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both"/>
        <w:spacing w:before="2129" w:after="0" w:lineRule="exact" w:line="932"/>
        <w:ind w:right="1415" w:left="3360" w:hanging="1958"/>
        <w:snapToGrid w:val="0"/>
        <w:textAlignment w:val="auto"/>
        <w:tabs/>
        <w:rPr>
          <w:rFonts w:ascii="宋体" w:hAnsi="宋体" w:cs="宋体" w:eastAsia="宋体" w:hint="ascii"/>
          <w:sz w:val="58"/>
        </w:rPr>
      </w:pPr>
      <w:r>
        <w:rPr>
          <w:rFonts w:ascii="Times New Roman" w:hAnsi="Times New Roman" w:cs="Times New Roman" w:eastAsia="Times New Roman" w:hint="ascii"/>
          <w:b w:val="1"/>
          <w:sz w:val="58"/>
        </w:rPr>
        <w:t>201</w:t>
      </w:r>
      <w:r>
        <w:rPr>
          <w:rFonts w:ascii="Times New Roman" w:hAnsi="Times New Roman" w:cs="Times New Roman" w:eastAsia="Times New Roman" w:hint="ascii"/>
          <w:b w:val="1"/>
          <w:sz w:val="58"/>
          <w:spacing w:val="146"/>
        </w:rPr>
        <w:t>8</w:t>
      </w:r>
      <w:r>
        <w:rPr>
          <w:rFonts w:ascii="宋体" w:hAnsi="宋体" w:cs="宋体" w:eastAsia="宋体" w:hint="ascii"/>
          <w:sz w:val="58"/>
          <w:spacing w:val="-16"/>
        </w:rPr>
        <w:t>年度国家自然科学</w:t>
      </w:r>
      <w:r>
        <w:rPr>
          <w:rFonts w:ascii="宋体" w:hAnsi="宋体" w:cs="宋体" w:eastAsia="宋体" w:hint="ascii"/>
          <w:sz w:val="58"/>
          <w:spacing w:val="-15"/>
        </w:rPr>
        <w:t>基金</w:t>
      </w:r>
      <w:r>
        <w:rPr>
          <w:rFonts w:ascii="宋体" w:hAnsi="宋体" w:cs="宋体" w:eastAsia="宋体" w:hint="ascii"/>
          <w:sz w:val="58"/>
        </w:rPr>
        <w:t xml:space="preserve"> 项 目 指 南</w:t>
      </w:r>
      <w:r>
        <w:rPr>
          <w:rFonts w:ascii="宋体" w:hAnsi="宋体" w:cs="宋体" w:eastAsia="宋体" w:hint="ascii"/>
          <w:sz w:val="58"/>
        </w:rPr>
        <mc:AlternateContent>
          <mc:Choice Requires="wps">
            <w:drawing>
              <wp:anchor distL="0" distR="0" distT="0" distB="0" simplePos="0" behindDoc="1" relativeHeight="0" locked="0" layoutInCell="1" allowOverlap="1">
                <wp:simplePos x="0" y="0"/>
                <wp:positionH relativeFrom="page">
                  <wp:posOffset>635</wp:posOffset>
                </wp:positionH>
                <wp:positionV relativeFrom="page">
                  <wp:posOffset>0</wp:posOffset>
                </wp:positionV>
                <wp:extent cx="6299200" cy="297815"/>
                <wp:wrapNone/>
                <wp:docPr id="1027" name="1027"/>
                <wp:cNvGraphicFramePr/>
                <a:graphic>
                  <a:graphicData uri="http://schemas.microsoft.com/office/word/2010/wordprocessingShape">
                    <wps:wsp>
                      <wps:cNvSpPr/>
                      <wps:spPr>
                        <a:xfrm>
                          <a:off x="0" y="0"/>
                          <a:ext cx="6299200" cy="297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0.05pt;mso-position-vertical:absolute;mso-position-vertical-relative:page;margin-top:0.00pt;z-index:-251658240;width:496.00pt;height:23.45pt;" id="1027" coordsize="9920,469" stroked="f" fillcolor="#ffffff" opacity="0f">
                <v:stroke endcap="round"/>
                <v:fill opacity="0f"/>
                <w10:wrap anchorx="page" anchory="page" side="both"/>
              </v:rect>
            </w:pict>
          </mc:Fallback>
        </mc:AlternateContent>
      </w:r>
      <w:r>
        <w:rPr>
          <w:rFonts w:ascii="宋体" w:hAnsi="宋体" w:cs="宋体" w:eastAsia="宋体" w:hint="ascii"/>
          <w:sz w:val="58"/>
        </w:rPr>
        <mc:AlternateContent>
          <mc:Choice Requires="wps">
            <w:drawing>
              <wp:anchor distL="0" distR="0" distT="0" distB="0" simplePos="0" behindDoc="1" relativeHeight="1" locked="0" layoutInCell="1" allowOverlap="1">
                <wp:simplePos x="0" y="0"/>
                <wp:positionH relativeFrom="page">
                  <wp:posOffset>0</wp:posOffset>
                </wp:positionH>
                <wp:positionV relativeFrom="page">
                  <wp:posOffset>0</wp:posOffset>
                </wp:positionV>
                <wp:extent cx="6300470" cy="298450"/>
                <wp:wrapNone/>
                <wp:docPr id="1028" name="1028"/>
                <wp:cNvGraphicFramePr/>
                <a:graphic>
                  <a:graphicData uri="http://schemas.openxmlformats.org/drawingml/2006/picture">
                    <pic:pic>
                      <pic:nvPicPr>
                        <pic:cNvPr id="1" name="1028"/>
                        <pic:cNvPicPr/>
                      </pic:nvPicPr>
                      <pic:blipFill>
                        <a:blip r:embed="rId5">
                          <a:clrChange>
                            <a:clrFrom>
                              <a:srgbClr val="FFFFFF"/>
                            </a:clrFrom>
                            <a:clrTo>
                              <a:srgbClr val="FFFFFF">
                                <a:alpha val="0"/>
                              </a:srgbClr>
                            </a:clrTo>
                          </a:clrChange>
                        </a:blip>
                        <a:stretch/>
                      </pic:blipFill>
                      <pic:spPr>
                        <a:xfrm>
                          <a:off x="0" y="0"/>
                          <a:ext cx="6300470" cy="298450"/>
                        </a:xfrm>
                        <a:prstGeom prst="rect"/>
                        <a:ln>
                          <a:noFill/>
                        </a:ln>
                      </pic:spPr>
                    </pic:pic>
                  </a:graphicData>
                </a:graphic>
              </wp:anchor>
            </w:drawing>
          </mc:Choice>
          <mc:Fallback>
            <w:pict>
              <v:shapetype id="_x0000_t75" o:spt="75" path="m,l,470r9922,l9922,xe"/>
              <v:shape type="_x0000_t75" style="position:absolute;mso-position-horizontal:absolute;mso-position-horizontal-relative:page;margin-left:0.00pt;mso-position-vertical:absolute;mso-position-vertical-relative:page;margin-top:0.00pt;z-index:-251657216;width:496.10pt;height:23.50pt;" id="1028" coordsize="9922,470" stroked="f" filled="f">
                <v:stroke endcap="round"/>
                <w10:wrap anchorx="page" anchory="page" side="both"/>
                <v:imagedata r:id="rId5" chromakey="#FFFFFF"/>
              </v:shape>
            </w:pict>
          </mc:Fallback>
        </mc:AlternateContent>
      </w:r>
      <w:r>
        <w:rPr>
          <w:rFonts w:ascii="宋体" w:hAnsi="宋体" w:cs="宋体" w:eastAsia="宋体" w:hint="ascii"/>
          <w:sz w:val="58"/>
        </w:rPr>
        <mc:AlternateContent>
          <mc:Choice Requires="wps">
            <w:drawing>
              <wp:anchor distL="0" distR="0" distT="0" distB="0" simplePos="0" behindDoc="1" relativeHeight="2" locked="0" layoutInCell="1" allowOverlap="1">
                <wp:simplePos x="0" y="0"/>
                <wp:positionH relativeFrom="page">
                  <wp:posOffset>635</wp:posOffset>
                </wp:positionH>
                <wp:positionV relativeFrom="page">
                  <wp:posOffset>299085</wp:posOffset>
                </wp:positionV>
                <wp:extent cx="6299200" cy="297815"/>
                <wp:wrapNone/>
                <wp:docPr id="1029" name="1029"/>
                <wp:cNvGraphicFramePr/>
                <a:graphic>
                  <a:graphicData uri="http://schemas.microsoft.com/office/word/2010/wordprocessingShape">
                    <wps:wsp>
                      <wps:cNvSpPr/>
                      <wps:spPr>
                        <a:xfrm>
                          <a:off x="0" y="0"/>
                          <a:ext cx="6299200" cy="297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0.05pt;mso-position-vertical:absolute;mso-position-vertical-relative:page;margin-top:23.55pt;z-index:-251656192;width:496.00pt;height:23.45pt;" id="1029" coordsize="9920,469" stroked="f" fillcolor="#ffffff" opacity="0f">
                <v:stroke endcap="round"/>
                <v:fill opacity="0f"/>
                <w10:wrap anchorx="page" anchory="page" side="both"/>
              </v:rect>
            </w:pict>
          </mc:Fallback>
        </mc:AlternateContent>
      </w:r>
      <w:r>
        <w:rPr>
          <w:rFonts w:ascii="宋体" w:hAnsi="宋体" w:cs="宋体" w:eastAsia="宋体" w:hint="ascii"/>
          <w:sz w:val="58"/>
        </w:rPr>
        <mc:AlternateContent>
          <mc:Choice Requires="wps">
            <w:drawing>
              <wp:anchor distL="0" distR="0" distT="0" distB="0" simplePos="0" behindDoc="1" relativeHeight="3" locked="0" layoutInCell="1" allowOverlap="1">
                <wp:simplePos x="0" y="0"/>
                <wp:positionH relativeFrom="page">
                  <wp:posOffset>0</wp:posOffset>
                </wp:positionH>
                <wp:positionV relativeFrom="page">
                  <wp:posOffset>298450</wp:posOffset>
                </wp:positionV>
                <wp:extent cx="6300470" cy="298450"/>
                <wp:wrapNone/>
                <wp:docPr id="1030" name="1030"/>
                <wp:cNvGraphicFramePr/>
                <a:graphic>
                  <a:graphicData uri="http://schemas.openxmlformats.org/drawingml/2006/picture">
                    <pic:pic>
                      <pic:nvPicPr>
                        <pic:cNvPr id="3" name="1030"/>
                        <pic:cNvPicPr/>
                      </pic:nvPicPr>
                      <pic:blipFill>
                        <a:blip r:embed="rId6">
                          <a:clrChange>
                            <a:clrFrom>
                              <a:srgbClr val="FFFFFF"/>
                            </a:clrFrom>
                            <a:clrTo>
                              <a:srgbClr val="FFFFFF">
                                <a:alpha val="0"/>
                              </a:srgbClr>
                            </a:clrTo>
                          </a:clrChange>
                        </a:blip>
                        <a:stretch/>
                      </pic:blipFill>
                      <pic:spPr>
                        <a:xfrm>
                          <a:off x="0" y="0"/>
                          <a:ext cx="6300470" cy="298450"/>
                        </a:xfrm>
                        <a:prstGeom prst="rect"/>
                        <a:ln>
                          <a:noFill/>
                        </a:ln>
                      </pic:spPr>
                    </pic:pic>
                  </a:graphicData>
                </a:graphic>
              </wp:anchor>
            </w:drawing>
          </mc:Choice>
          <mc:Fallback>
            <w:pict>
              <v:shapetype id="_x0000_t75" o:spt="75" path="m,l,470r9922,l9922,xe"/>
              <v:shape type="_x0000_t75" style="position:absolute;mso-position-horizontal:absolute;mso-position-horizontal-relative:page;margin-left:0.00pt;mso-position-vertical:absolute;mso-position-vertical-relative:page;margin-top:23.50pt;z-index:-251655168;width:496.10pt;height:23.50pt;" id="1030" coordsize="9922,470" stroked="f" filled="f">
                <v:stroke endcap="round"/>
                <w10:wrap anchorx="page" anchory="page" side="both"/>
                <v:imagedata r:id="rId6" chromakey="#FFFFFF"/>
              </v:shape>
            </w:pict>
          </mc:Fallback>
        </mc:AlternateContent>
      </w:r>
      <w:r>
        <w:rPr>
          <w:rFonts w:ascii="宋体" w:hAnsi="宋体" w:cs="宋体" w:eastAsia="宋体" w:hint="ascii"/>
          <w:sz w:val="58"/>
        </w:rPr>
        <mc:AlternateContent>
          <mc:Choice Requires="wps">
            <w:drawing>
              <wp:anchor distL="0" distR="0" distT="0" distB="0" simplePos="0" behindDoc="1" relativeHeight="4" locked="0" layoutInCell="1" allowOverlap="1">
                <wp:simplePos x="0" y="0"/>
                <wp:positionH relativeFrom="page">
                  <wp:posOffset>0</wp:posOffset>
                </wp:positionH>
                <wp:positionV relativeFrom="page">
                  <wp:posOffset>596900</wp:posOffset>
                </wp:positionV>
                <wp:extent cx="6300470" cy="297180"/>
                <wp:wrapNone/>
                <wp:docPr id="1031" name="1031"/>
                <wp:cNvGraphicFramePr/>
                <a:graphic>
                  <a:graphicData uri="http://schemas.openxmlformats.org/drawingml/2006/picture">
                    <pic:pic>
                      <pic:nvPicPr>
                        <pic:cNvPr id="4" name="1031"/>
                        <pic:cNvPicPr/>
                      </pic:nvPicPr>
                      <pic:blipFill>
                        <a:blip r:embed="rId7">
                          <a:clrChange>
                            <a:clrFrom>
                              <a:srgbClr val="FFFFFF"/>
                            </a:clrFrom>
                            <a:clrTo>
                              <a:srgbClr val="FFFFFF">
                                <a:alpha val="0"/>
                              </a:srgbClr>
                            </a:clrTo>
                          </a:clrChange>
                        </a:blip>
                        <a:stretch/>
                      </pic:blipFill>
                      <pic:spPr>
                        <a:xfrm>
                          <a:off x="0" y="0"/>
                          <a:ext cx="6300470" cy="297180"/>
                        </a:xfrm>
                        <a:prstGeom prst="rect"/>
                        <a:ln>
                          <a:noFill/>
                        </a:ln>
                      </pic:spPr>
                    </pic:pic>
                  </a:graphicData>
                </a:graphic>
              </wp:anchor>
            </w:drawing>
          </mc:Choice>
          <mc:Fallback>
            <w:pict>
              <v:shapetype id="_x0000_t75" o:spt="75" path="m,l,468r9922,l9922,xe"/>
              <v:shape type="_x0000_t75" style="position:absolute;mso-position-horizontal:absolute;mso-position-horizontal-relative:page;margin-left:0.00pt;mso-position-vertical:absolute;mso-position-vertical-relative:page;margin-top:47.00pt;z-index:-251654144;width:496.10pt;height:23.40pt;" id="1031" coordsize="9922,468" stroked="f" filled="f">
                <v:stroke endcap="round"/>
                <w10:wrap anchorx="page" anchory="page" side="both"/>
                <v:imagedata r:id="rId7" chromakey="#FFFFFF"/>
              </v:shape>
            </w:pict>
          </mc:Fallback>
        </mc:AlternateContent>
      </w:r>
      <w:r>
        <w:rPr>
          <w:rFonts w:ascii="宋体" w:hAnsi="宋体" w:cs="宋体" w:eastAsia="宋体" w:hint="ascii"/>
          <w:sz w:val="58"/>
        </w:rPr>
        <mc:AlternateContent>
          <mc:Choice Requires="wps">
            <w:drawing>
              <wp:anchor distL="0" distR="0" distT="0" distB="0" simplePos="0" behindDoc="1" relativeHeight="8" locked="0" layoutInCell="1" allowOverlap="1">
                <wp:simplePos x="0" y="0"/>
                <wp:positionH relativeFrom="page">
                  <wp:posOffset>372110</wp:posOffset>
                </wp:positionH>
                <wp:positionV relativeFrom="page">
                  <wp:posOffset>101600</wp:posOffset>
                </wp:positionV>
                <wp:extent cx="6050280" cy="876935"/>
                <wp:wrapNone/>
                <wp:docPr id="1032" name="1032"/>
                <wp:cNvGraphicFramePr/>
                <a:graphic>
                  <a:graphicData uri="http://schemas.microsoft.com/office/word/2010/wordprocessingShape">
                    <wps:wsp>
                      <wps:cNvSpPr/>
                      <wps:spPr>
                        <a:xfrm>
                          <a:off x="0" y="0"/>
                          <a:ext cx="6050280"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9.30pt;mso-position-vertical:absolute;mso-position-vertical-relative:page;margin-top:8.00pt;z-index:-251650048;width:476.40pt;height:69.05pt;" id="1032" coordsize="9528,1381" stroked="f" fillcolor="#ffffff" opacity="0f">
                <v:stroke endcap="round"/>
                <v:fill opacity="0f"/>
                <w10:wrap anchorx="page" anchory="page" side="both"/>
              </v:rect>
            </w:pict>
          </mc:Fallback>
        </mc:AlternateContent>
      </w:r>
    </w:p>
    <w:p>
      <w:pPr>
        <w:autoSpaceDE w:val="0"/>
        <w:autoSpaceDN w:val="0"/>
        <w:jc w:val="left"/>
        <w:spacing w:before="638" w:after="0" w:lineRule="exact" w:line="400"/>
        <w:ind w:right="0" w:left="2716" w:firstLine="0"/>
        <w:snapToGrid w:val="0"/>
        <w:textAlignment w:val="auto"/>
        <w:tabs/>
        <w:rPr>
          <w:rFonts w:ascii="宋体" w:hAnsi="宋体" w:cs="宋体" w:eastAsia="宋体" w:hint="ascii"/>
          <w:sz w:val="32"/>
        </w:rPr>
      </w:pPr>
      <w:r>
        <w:rPr>
          <w:rFonts w:ascii="宋体" w:hAnsi="宋体" w:cs="宋体" w:eastAsia="宋体" w:hint="ascii"/>
          <w:sz w:val="32"/>
        </w:rPr>
        <w:t>国家自然科学基金委员会</w:t>
      </w:r>
      <w:r>
        <w:rPr>
          <w:rFonts w:ascii="宋体" w:hAnsi="宋体" w:cs="宋体" w:eastAsia="宋体" w:hint="ascii"/>
          <w:sz w:val="32"/>
          <w:spacing w:val="79"/>
        </w:rPr>
        <w:t xml:space="preserve"> </w:t>
      </w:r>
      <w:r>
        <w:rPr>
          <w:rFonts w:ascii="宋体" w:hAnsi="宋体" w:cs="宋体" w:eastAsia="宋体" w:hint="ascii"/>
          <w:sz w:val="32"/>
        </w:rPr>
        <w:t>编著</w:t>
      </w:r>
    </w:p>
    <w:p>
      <w:pPr>
        <w:autoSpaceDE w:val="0"/>
        <w:autoSpaceDN w:val="0"/>
        <w:jc w:val="left"/>
        <w:spacing w:before="7688" w:after="0" w:lineRule="exact" w:line="350"/>
        <w:ind w:right="0" w:left="453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8"/>
        </w:rPr>
      </w:pPr>
      <w:r>
        <w:rPr>
          <w:rFonts w:ascii="宋体" w:hAnsi="宋体" w:cs="宋体" w:eastAsia="宋体" w:hint="ascii"/>
          <w:sz w:val="28"/>
        </w:rPr>
        <w:t>北</w:t>
      </w:r>
      <w:r>
        <w:rPr>
          <w:rFonts w:ascii="宋体" w:hAnsi="宋体" w:cs="宋体" w:eastAsia="宋体" w:hint="ascii"/>
          <w:sz w:val="28"/>
          <w:spacing w:val="70"/>
        </w:rPr>
        <w:t xml:space="preserve"> </w:t>
      </w:r>
      <w:r>
        <w:rPr>
          <w:rFonts w:ascii="宋体" w:hAnsi="宋体" w:cs="宋体" w:eastAsia="宋体" w:hint="ascii"/>
          <w:sz w:val="28"/>
        </w:rPr>
        <w:t>京</w:t>
      </w:r>
      <w:r>
        <w:rPr>
          <w:rFonts w:ascii="宋体" w:hAnsi="宋体" w:cs="宋体" w:eastAsia="宋体" w:hint="ascii"/>
          <w:sz w:val="28"/>
        </w:rPr>
        <mc:AlternateContent>
          <mc:Choice Requires="wps">
            <w:drawing>
              <wp:anchor distL="0" distR="0" distT="0" distB="0" simplePos="0" behindDoc="1" relativeHeight="5" locked="0" layoutInCell="1" allowOverlap="1">
                <wp:simplePos x="0" y="0"/>
                <wp:positionH relativeFrom="page">
                  <wp:posOffset>2628900</wp:posOffset>
                </wp:positionH>
                <wp:positionV relativeFrom="page">
                  <wp:posOffset>8042910</wp:posOffset>
                </wp:positionV>
                <wp:extent cx="1700530" cy="222250"/>
                <wp:wrapNone/>
                <wp:docPr id="1033" name="1033"/>
                <wp:cNvGraphicFramePr/>
                <a:graphic>
                  <a:graphicData uri="http://schemas.openxmlformats.org/drawingml/2006/picture">
                    <pic:pic>
                      <pic:nvPicPr>
                        <pic:cNvPr id="5" name="1033"/>
                        <pic:cNvPicPr/>
                      </pic:nvPicPr>
                      <pic:blipFill>
                        <a:blip r:embed="rId8">
                          <a:clrChange>
                            <a:clrFrom>
                              <a:srgbClr val="FFFFFF"/>
                            </a:clrFrom>
                            <a:clrTo>
                              <a:srgbClr val="FFFFFF">
                                <a:alpha val="0"/>
                              </a:srgbClr>
                            </a:clrTo>
                          </a:clrChange>
                        </a:blip>
                        <a:stretch/>
                      </pic:blipFill>
                      <pic:spPr>
                        <a:xfrm>
                          <a:off x="0" y="0"/>
                          <a:ext cx="1700530" cy="222250"/>
                        </a:xfrm>
                        <a:prstGeom prst="rect"/>
                        <a:ln>
                          <a:noFill/>
                        </a:ln>
                      </pic:spPr>
                    </pic:pic>
                  </a:graphicData>
                </a:graphic>
              </wp:anchor>
            </w:drawing>
          </mc:Choice>
          <mc:Fallback>
            <w:pict>
              <v:shapetype id="_x0000_t75" o:spt="75" path="m,l,350r2678,l2678,xe"/>
              <v:shape type="_x0000_t75" style="position:absolute;mso-position-horizontal:absolute;mso-position-horizontal-relative:page;margin-left:207.00pt;mso-position-vertical:absolute;mso-position-vertical-relative:page;margin-top:633.30pt;z-index:-251653120;width:133.90pt;height:17.50pt;" id="1033" coordsize="2678,350" stroked="f" filled="f">
                <v:stroke endcap="round"/>
                <w10:wrap anchorx="page" anchory="page" side="both"/>
                <v:imagedata r:id="rId8" chromakey="#FFFFFF"/>
              </v:shape>
            </w:pict>
          </mc:Fallback>
        </mc:AlternateContent>
      </w:r>
      <w:r>
        <w:rPr>
          <w:rFonts w:ascii="宋体" w:hAnsi="宋体" w:cs="宋体" w:eastAsia="宋体" w:hint="ascii"/>
          <w:sz w:val="28"/>
        </w:rPr>
        <mc:AlternateContent>
          <mc:Choice Requires="wps">
            <w:drawing>
              <wp:anchor distL="0" distR="0" distT="0" distB="0" simplePos="0" behindDoc="1" relativeHeight="6" locked="0" layoutInCell="1" allowOverlap="1">
                <wp:simplePos x="0" y="0"/>
                <wp:positionH relativeFrom="page">
                  <wp:posOffset>2632075</wp:posOffset>
                </wp:positionH>
                <wp:positionV relativeFrom="page">
                  <wp:posOffset>8045450</wp:posOffset>
                </wp:positionV>
                <wp:extent cx="1710055" cy="217805"/>
                <wp:wrapNone/>
                <wp:docPr id="1034" name="1034"/>
                <wp:cNvGraphicFramePr/>
                <a:graphic>
                  <a:graphicData uri="http://schemas.openxmlformats.org/drawingml/2006/picture">
                    <pic:pic>
                      <pic:nvPicPr>
                        <pic:cNvPr id="6" name="1034"/>
                        <pic:cNvPicPr/>
                      </pic:nvPicPr>
                      <pic:blipFill>
                        <a:blip r:embed="rId9">
                          <a:clrChange>
                            <a:clrFrom>
                              <a:srgbClr val="FFFFFF"/>
                            </a:clrFrom>
                            <a:clrTo>
                              <a:srgbClr val="FFFFFF">
                                <a:alpha val="0"/>
                              </a:srgbClr>
                            </a:clrTo>
                          </a:clrChange>
                        </a:blip>
                        <a:stretch/>
                      </pic:blipFill>
                      <pic:spPr>
                        <a:xfrm>
                          <a:off x="0" y="0"/>
                          <a:ext cx="1710055" cy="217805"/>
                        </a:xfrm>
                        <a:prstGeom prst="rect"/>
                        <a:ln>
                          <a:noFill/>
                        </a:ln>
                      </pic:spPr>
                    </pic:pic>
                  </a:graphicData>
                </a:graphic>
              </wp:anchor>
            </w:drawing>
          </mc:Choice>
          <mc:Fallback>
            <w:pict>
              <v:shapetype id="_x0000_t75" o:spt="75" path="m,l,343r2693,l2693,xe"/>
              <v:shape type="_x0000_t75" style="position:absolute;mso-position-horizontal:absolute;mso-position-horizontal-relative:page;margin-left:207.25pt;mso-position-vertical:absolute;mso-position-vertical-relative:page;margin-top:633.50pt;z-index:-251652096;width:134.65pt;height:17.15pt;" id="1034" coordsize="2693,343" stroked="f" filled="f">
                <v:stroke endcap="round"/>
                <w10:wrap anchorx="page" anchory="page" side="both"/>
                <v:imagedata r:id="rId9" chromakey="#FFFFFF"/>
              </v:shape>
            </w:pict>
          </mc:Fallback>
        </mc:AlternateContent>
      </w:r>
      <w:r>
        <w:rPr>
          <w:rFonts w:ascii="宋体" w:hAnsi="宋体" w:cs="宋体" w:eastAsia="宋体" w:hint="ascii"/>
          <w:sz w:val="28"/>
        </w:rPr>
        <mc:AlternateContent>
          <mc:Choice Requires="wps">
            <w:drawing>
              <wp:anchor distL="0" distR="0" distT="0" distB="0" simplePos="0" behindDoc="1" relativeHeight="7" locked="0" layoutInCell="1" allowOverlap="1">
                <wp:simplePos x="0" y="0"/>
                <wp:positionH relativeFrom="page">
                  <wp:posOffset>4636135</wp:posOffset>
                </wp:positionH>
                <wp:positionV relativeFrom="page">
                  <wp:posOffset>8418195</wp:posOffset>
                </wp:positionV>
                <wp:extent cx="1786255" cy="652780"/>
                <wp:wrapNone/>
                <wp:docPr id="1035" name="1035"/>
                <wp:cNvGraphicFramePr/>
                <a:graphic>
                  <a:graphicData uri="http://schemas.microsoft.com/office/word/2010/wordprocessingShape">
                    <wps:wsp>
                      <wps:cNvSpPr/>
                      <wps:spPr>
                        <a:xfrm>
                          <a:off x="0" y="0"/>
                          <a:ext cx="1786255" cy="65278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65.05pt;mso-position-vertical:absolute;mso-position-vertical-relative:page;margin-top:662.85pt;z-index:-251651072;width:140.65pt;height:51.40pt;" id="1035" coordsize="2813,1028" stroked="f" fillcolor="#ffffff" opacity="0f">
                <v:stroke endcap="round"/>
                <v:fill opacity="0f"/>
                <w10:wrap anchorx="page" anchory="page" side="both"/>
              </v:rect>
            </w:pict>
          </mc:Fallback>
        </mc:AlternateContent>
      </w:r>
      <w:rPr>
        <w:rFonts w:ascii="宋体" w:hAnsi="宋体" w:cs="宋体" w:eastAsia="宋体" w:hint="ascii"/>
        <w:sz w:val="28"/>
      </w:rPr>
    </w:p>
    <w:p>
      <w:pPr>
        <w:autoSpaceDE w:val="0"/>
        <w:autoSpaceDN w:val="0"/>
        <w:jc w:val="left"/>
        <w:spacing w:before="1005" w:after="0" w:lineRule="exact" w:line="263"/>
        <w:ind w:right="0" w:left="4221" w:firstLine="0"/>
        <w:snapToGrid w:val="0"/>
        <w:textAlignment w:val="auto"/>
        <w:tabs/>
        <w:rPr>
          <w:rFonts w:ascii="黑体" w:hAnsi="黑体" w:cs="黑体" w:eastAsia="黑体" w:hint="ascii"/>
          <w:sz w:val="21"/>
        </w:rPr>
      </w:pPr>
      <w:r>
        <w:rPr>
          <w:rFonts w:ascii="黑体" w:hAnsi="黑体" w:cs="黑体" w:eastAsia="黑体" w:hint="ascii"/>
          <w:sz w:val="21"/>
        </w:rPr>
        <w:t>内</w:t>
      </w:r>
      <w:r>
        <w:rPr>
          <w:rFonts w:ascii="黑体" w:hAnsi="黑体" w:cs="黑体" w:eastAsia="黑体" w:hint="ascii"/>
          <w:sz w:val="21"/>
          <w:spacing w:val="53"/>
        </w:rPr>
        <w:t xml:space="preserve"> </w:t>
      </w:r>
      <w:r>
        <w:rPr>
          <w:rFonts w:ascii="黑体" w:hAnsi="黑体" w:cs="黑体" w:eastAsia="黑体" w:hint="ascii"/>
          <w:sz w:val="21"/>
        </w:rPr>
        <w:t>容</w:t>
      </w:r>
      <w:r>
        <w:rPr>
          <w:rFonts w:ascii="黑体" w:hAnsi="黑体" w:cs="黑体" w:eastAsia="黑体" w:hint="ascii"/>
          <w:sz w:val="21"/>
          <w:spacing w:val="53"/>
        </w:rPr>
        <w:t xml:space="preserve"> </w:t>
      </w:r>
      <w:r>
        <w:rPr>
          <w:rFonts w:ascii="黑体" w:hAnsi="黑体" w:cs="黑体" w:eastAsia="黑体" w:hint="ascii"/>
          <w:sz w:val="21"/>
        </w:rPr>
        <w:t>简</w:t>
      </w:r>
      <w:r>
        <w:rPr>
          <w:rFonts w:ascii="黑体" w:hAnsi="黑体" w:cs="黑体" w:eastAsia="黑体" w:hint="ascii"/>
          <w:sz w:val="21"/>
          <w:spacing w:val="53"/>
        </w:rPr>
        <w:t xml:space="preserve"> </w:t>
      </w:r>
      <w:r>
        <w:rPr>
          <w:rFonts w:ascii="黑体" w:hAnsi="黑体" w:cs="黑体" w:eastAsia="黑体" w:hint="ascii"/>
          <w:sz w:val="21"/>
        </w:rPr>
        <w:t>介</w:t>
      </w:r>
      <w:r>
        <w:rPr>
          <w:rFonts w:ascii="黑体" w:hAnsi="黑体" w:cs="黑体" w:eastAsia="黑体" w:hint="ascii"/>
          <w:sz w:val="21"/>
        </w:rPr>
        <mc:AlternateContent>
          <mc:Choice Requires="wps">
            <w:drawing>
              <wp:anchor distL="0" distR="0" distT="0" distB="0" simplePos="0" behindDoc="1" relativeHeight="9" locked="0" layoutInCell="1" allowOverlap="1">
                <wp:simplePos x="0" y="0"/>
                <wp:positionH relativeFrom="page">
                  <wp:posOffset>938530</wp:posOffset>
                </wp:positionH>
                <wp:positionV relativeFrom="page">
                  <wp:posOffset>805815</wp:posOffset>
                </wp:positionV>
                <wp:extent cx="5076190" cy="0"/>
                <wp:wrapNone/>
                <wp:docPr id="1036" name="103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49024;width:399.70pt;" id="1036" coordsize="7994,0" strokeweight="0.50pt" strokecolor="#231f20" fillcolor="#auto" opacity="0f" from="0.00pt, 0.00pt" to="399.70pt, 0.00pt">
                <v:stroke endcap="round"/>
                <v:fill opacity="0f"/>
                <w10:wrap anchorx="page" anchory="page" side="both"/>
              </v:line>
            </w:pict>
          </mc:Fallback>
        </mc:AlternateContent>
      </w:r>
      <w:r>
        <w:rPr>
          <w:rFonts w:ascii="黑体" w:hAnsi="黑体" w:cs="黑体" w:eastAsia="黑体" w:hint="ascii"/>
          <w:sz w:val="21"/>
        </w:rPr>
        <mc:AlternateContent>
          <mc:Choice Requires="wps">
            <w:drawing>
              <wp:anchor distL="0" distR="0" distT="0" distB="0" simplePos="0" behindDoc="1" relativeHeight="21" locked="0" layoutInCell="1" allowOverlap="1">
                <wp:simplePos x="0" y="0"/>
                <wp:positionH relativeFrom="page">
                  <wp:posOffset>693420</wp:posOffset>
                </wp:positionH>
                <wp:positionV relativeFrom="page">
                  <wp:posOffset>324485</wp:posOffset>
                </wp:positionV>
                <wp:extent cx="4974590" cy="475615"/>
                <wp:wrapNone/>
                <wp:docPr id="1037" name="1037"/>
                <wp:cNvGraphicFramePr/>
                <a:graphic>
                  <a:graphicData uri="http://schemas.microsoft.com/office/word/2010/wordprocessingShape">
                    <wps:wsp>
                      <wps:cNvSpPr/>
                      <wps:spPr>
                        <a:xfrm>
                          <a:off x="0" y="0"/>
                          <a:ext cx="4974590" cy="4756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4.60pt;mso-position-vertical:absolute;mso-position-vertical-relative:page;margin-top:25.55pt;z-index:-251636736;width:391.70pt;height:37.45pt;" id="1037" coordsize="7834,749" stroked="f" fillcolor="#ffffff" opacity="0f">
                <v:stroke endcap="round"/>
                <v:fill opacity="0f"/>
                <w10:wrap anchorx="page" anchory="page" side="both"/>
              </v:rect>
            </w:pict>
          </mc:Fallback>
        </mc:AlternateContent>
      </w:r>
      <w:r>
        <w:rPr>
          <w:rFonts w:ascii="黑体" w:hAnsi="黑体" w:cs="黑体" w:eastAsia="黑体" w:hint="ascii"/>
          <w:sz w:val="21"/>
        </w:rPr>
        <mc:AlternateContent>
          <mc:Choice Requires="wps">
            <w:drawing>
              <wp:anchor distL="0" distR="0" distT="0" distB="0" simplePos="0" behindDoc="1" relativeHeight="22" locked="0" layoutInCell="1" allowOverlap="1">
                <wp:simplePos x="0" y="0"/>
                <wp:positionH relativeFrom="page">
                  <wp:posOffset>448310</wp:posOffset>
                </wp:positionH>
                <wp:positionV relativeFrom="page">
                  <wp:posOffset>88900</wp:posOffset>
                </wp:positionV>
                <wp:extent cx="6050280" cy="876935"/>
                <wp:wrapNone/>
                <wp:docPr id="1038" name="1038"/>
                <wp:cNvGraphicFramePr/>
                <a:graphic>
                  <a:graphicData uri="http://schemas.microsoft.com/office/word/2010/wordprocessingShape">
                    <wps:wsp>
                      <wps:cNvSpPr/>
                      <wps:spPr>
                        <a:xfrm>
                          <a:off x="0" y="0"/>
                          <a:ext cx="6050280"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5.30pt;mso-position-vertical:absolute;mso-position-vertical-relative:page;margin-top:7.00pt;z-index:-251635712;width:476.40pt;height:69.05pt;" id="1038" coordsize="9528,1381" stroked="f" fillcolor="#ffffff" opacity="0f">
                <v:stroke endcap="round"/>
                <v:fill opacity="0f"/>
                <w10:wrap anchorx="page" anchory="page" side="both"/>
              </v:rect>
            </w:pict>
          </mc:Fallback>
        </mc:AlternateContent>
      </w:r>
    </w:p>
    <w:p>
      <w:pPr>
        <w:autoSpaceDE w:val="0"/>
        <w:autoSpaceDN w:val="0"/>
        <w:jc w:val="both"/>
        <w:spacing w:before="165" w:after="0" w:lineRule="exact" w:line="280"/>
        <w:ind w:right="2024" w:left="2016" w:firstLine="27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2018</w:t>
      </w:r>
      <w:r>
        <w:rPr>
          <w:rFonts w:ascii="Times New Roman" w:hAnsi="Times New Roman" w:cs="Times New Roman" w:eastAsia="Times New Roman" w:hint="ascii"/>
          <w:sz w:val="18"/>
          <w:spacing w:val="-22"/>
        </w:rPr>
        <w:t xml:space="preserve"> </w:t>
      </w:r>
      <w:r>
        <w:rPr>
          <w:rFonts w:ascii="宋体" w:hAnsi="宋体" w:cs="宋体" w:eastAsia="宋体" w:hint="ascii"/>
          <w:sz w:val="18"/>
        </w:rPr>
        <w:t>年度国家自然科学基金项目指南</w:t>
      </w:r>
      <w:r>
        <w:rPr>
          <w:rFonts w:ascii="宋体" w:hAnsi="宋体" w:cs="宋体" w:eastAsia="宋体" w:hint="ascii"/>
          <w:sz w:val="18"/>
          <w:spacing w:val="-45"/>
        </w:rPr>
        <w:t>》</w:t>
      </w:r>
      <w:r>
        <w:rPr>
          <w:rFonts w:ascii="宋体" w:hAnsi="宋体" w:cs="宋体" w:eastAsia="宋体" w:hint="ascii"/>
          <w:sz w:val="18"/>
        </w:rPr>
        <w:t>，依据《国家自然科学基金条例》和项目</w:t>
      </w:r>
      <w:r>
        <w:rPr>
          <w:rFonts w:ascii="宋体" w:hAnsi="宋体" w:cs="宋体" w:eastAsia="宋体" w:hint="ascii"/>
          <w:sz w:val="18"/>
          <w:spacing w:val="-1"/>
        </w:rPr>
        <w:t>管</w:t>
      </w:r>
      <w:r>
        <w:rPr>
          <w:rFonts w:ascii="宋体" w:hAnsi="宋体" w:cs="宋体" w:eastAsia="宋体" w:hint="ascii"/>
          <w:sz w:val="18"/>
        </w:rPr>
        <w:t>理办法等相</w:t>
      </w:r>
      <w:r>
        <w:rPr>
          <w:rFonts w:ascii="宋体" w:hAnsi="宋体" w:cs="宋体" w:eastAsia="宋体" w:hint="ascii"/>
          <w:sz w:val="18"/>
          <w:spacing w:val="-1"/>
        </w:rPr>
        <w:t>关</w:t>
      </w:r>
      <w:r>
        <w:rPr>
          <w:rFonts w:ascii="宋体" w:hAnsi="宋体" w:cs="宋体" w:eastAsia="宋体" w:hint="ascii"/>
          <w:sz w:val="18"/>
        </w:rPr>
        <w:t>文件，发布</w:t>
      </w:r>
      <w:r>
        <w:rPr>
          <w:rFonts w:ascii="宋体" w:hAnsi="宋体" w:cs="宋体" w:eastAsia="宋体" w:hint="ascii"/>
          <w:sz w:val="18"/>
          <w:spacing w:val="22"/>
        </w:rPr>
        <w:t>了</w:t>
      </w:r>
      <w:r>
        <w:rPr>
          <w:rFonts w:ascii="Times New Roman" w:hAnsi="Times New Roman" w:cs="Times New Roman" w:eastAsia="Times New Roman" w:hint="ascii"/>
          <w:sz w:val="18"/>
          <w:spacing w:val="-1"/>
        </w:rPr>
        <w:t>2</w:t>
      </w:r>
      <w:r>
        <w:rPr>
          <w:rFonts w:ascii="Times New Roman" w:hAnsi="Times New Roman" w:cs="Times New Roman" w:eastAsia="Times New Roman" w:hint="ascii"/>
          <w:sz w:val="18"/>
        </w:rPr>
        <w:t>01</w:t>
      </w:r>
      <w:r>
        <w:rPr>
          <w:rFonts w:ascii="Times New Roman" w:hAnsi="Times New Roman" w:cs="Times New Roman" w:eastAsia="Times New Roman" w:hint="ascii"/>
          <w:sz w:val="18"/>
          <w:spacing w:val="47"/>
        </w:rPr>
        <w:t>8</w:t>
      </w:r>
      <w:r>
        <w:rPr>
          <w:rFonts w:ascii="宋体" w:hAnsi="宋体" w:cs="宋体" w:eastAsia="宋体" w:hint="ascii"/>
          <w:sz w:val="18"/>
        </w:rPr>
        <w:t>年度申请</w:t>
      </w:r>
      <w:r>
        <w:rPr>
          <w:rFonts w:ascii="宋体" w:hAnsi="宋体" w:cs="宋体" w:eastAsia="宋体" w:hint="ascii"/>
          <w:sz w:val="18"/>
          <w:spacing w:val="-1"/>
        </w:rPr>
        <w:t>须</w:t>
      </w:r>
      <w:r>
        <w:rPr>
          <w:rFonts w:ascii="宋体" w:hAnsi="宋体" w:cs="宋体" w:eastAsia="宋体" w:hint="ascii"/>
          <w:sz w:val="18"/>
        </w:rPr>
        <w:t>知、科研诚</w:t>
      </w:r>
      <w:r>
        <w:rPr>
          <w:rFonts w:ascii="宋体" w:hAnsi="宋体" w:cs="宋体" w:eastAsia="宋体" w:hint="ascii"/>
          <w:sz w:val="18"/>
          <w:spacing w:val="-1"/>
        </w:rPr>
        <w:t>信</w:t>
      </w:r>
      <w:r>
        <w:rPr>
          <w:rFonts w:ascii="宋体" w:hAnsi="宋体" w:cs="宋体" w:eastAsia="宋体" w:hint="ascii"/>
          <w:sz w:val="18"/>
          <w:spacing w:val="-2"/>
        </w:rPr>
        <w:t>须</w:t>
      </w:r>
      <w:r>
        <w:rPr>
          <w:rFonts w:ascii="宋体" w:hAnsi="宋体" w:cs="宋体" w:eastAsia="宋体" w:hint="ascii"/>
          <w:sz w:val="18"/>
        </w:rPr>
        <w:t>知、预算编报须知和限项申请规定以及各类项目资助政策，指导申请人自主选题、申</w:t>
      </w:r>
      <w:r>
        <w:rPr>
          <w:rFonts w:ascii="宋体" w:hAnsi="宋体" w:cs="宋体" w:eastAsia="宋体" w:hint="ascii"/>
          <w:sz w:val="18"/>
          <w:spacing w:val="-1"/>
        </w:rPr>
        <w:t>请</w:t>
      </w:r>
      <w:r>
        <w:rPr>
          <w:rFonts w:ascii="宋体" w:hAnsi="宋体" w:cs="宋体" w:eastAsia="宋体" w:hint="ascii"/>
          <w:sz w:val="18"/>
        </w:rPr>
        <w:t>国家自然科</w:t>
      </w:r>
      <w:r>
        <w:rPr>
          <w:rFonts w:ascii="宋体" w:hAnsi="宋体" w:cs="宋体" w:eastAsia="宋体" w:hint="ascii"/>
          <w:sz w:val="18"/>
          <w:spacing w:val="-1"/>
        </w:rPr>
        <w:t>学</w:t>
      </w:r>
      <w:r>
        <w:rPr>
          <w:rFonts w:ascii="宋体" w:hAnsi="宋体" w:cs="宋体" w:eastAsia="宋体" w:hint="ascii"/>
          <w:sz w:val="18"/>
        </w:rPr>
        <w:t>基金的资助</w:t>
      </w:r>
      <w:r>
        <w:rPr>
          <w:rFonts w:ascii="宋体" w:hAnsi="宋体" w:cs="宋体" w:eastAsia="宋体" w:hint="ascii"/>
          <w:sz w:val="18"/>
          <w:spacing w:val="-45"/>
        </w:rPr>
        <w:t>。</w:t>
      </w:r>
      <w:r>
        <w:rPr>
          <w:rFonts w:ascii="宋体" w:hAnsi="宋体" w:cs="宋体" w:eastAsia="宋体" w:hint="ascii"/>
          <w:sz w:val="18"/>
          <w:spacing w:val="-1"/>
        </w:rPr>
        <w:t>《</w:t>
      </w:r>
      <w:r>
        <w:rPr>
          <w:rFonts w:ascii="宋体" w:hAnsi="宋体" w:cs="宋体" w:eastAsia="宋体" w:hint="ascii"/>
          <w:sz w:val="18"/>
        </w:rPr>
        <w:t>指南》对探</w:t>
      </w:r>
      <w:r>
        <w:rPr>
          <w:rFonts w:ascii="宋体" w:hAnsi="宋体" w:cs="宋体" w:eastAsia="宋体" w:hint="ascii"/>
          <w:sz w:val="18"/>
          <w:spacing w:val="-1"/>
        </w:rPr>
        <w:t>索</w:t>
      </w:r>
      <w:r>
        <w:rPr>
          <w:rFonts w:ascii="宋体" w:hAnsi="宋体" w:cs="宋体" w:eastAsia="宋体" w:hint="ascii"/>
          <w:sz w:val="18"/>
        </w:rPr>
        <w:t>项目系列、</w:t>
      </w:r>
      <w:r>
        <w:rPr>
          <w:rFonts w:ascii="宋体" w:hAnsi="宋体" w:cs="宋体" w:eastAsia="宋体" w:hint="ascii"/>
          <w:sz w:val="18"/>
          <w:spacing w:val="-1"/>
        </w:rPr>
        <w:t>人</w:t>
      </w:r>
      <w:r>
        <w:rPr>
          <w:rFonts w:ascii="宋体" w:hAnsi="宋体" w:cs="宋体" w:eastAsia="宋体" w:hint="ascii"/>
          <w:sz w:val="18"/>
        </w:rPr>
        <w:t>才</w:t>
      </w:r>
      <w:r>
        <w:rPr>
          <w:rFonts w:ascii="宋体" w:hAnsi="宋体" w:cs="宋体" w:eastAsia="宋体" w:hint="ascii"/>
          <w:sz w:val="18"/>
          <w:spacing w:val="-2"/>
        </w:rPr>
        <w:t>项</w:t>
      </w:r>
      <w:r>
        <w:rPr>
          <w:rFonts w:ascii="宋体" w:hAnsi="宋体" w:cs="宋体" w:eastAsia="宋体" w:hint="ascii"/>
          <w:sz w:val="18"/>
        </w:rPr>
        <w:t>目系列、工具项目系列、融合项目系列等各类项目分别进行介绍，是国家自然科学基金资助工作的重要依据，也是国家自然科学基金申请人必读的参考文献。</w:t>
      </w:r>
      <w:r>
        <w:rPr>
          <w:rFonts w:ascii="宋体" w:hAnsi="宋体" w:cs="宋体" w:eastAsia="宋体" w:hint="ascii"/>
          <w:sz w:val="18"/>
        </w:rPr>
        <mc:AlternateContent>
          <mc:Choice Requires="wps">
            <w:drawing>
              <wp:anchor distL="0" distR="0" distT="0" distB="0" simplePos="0" behindDoc="1" relativeHeight="10" locked="0" layoutInCell="1" allowOverlap="1">
                <wp:simplePos x="0" y="0"/>
                <wp:positionH relativeFrom="page">
                  <wp:posOffset>1831340</wp:posOffset>
                </wp:positionH>
                <wp:positionV relativeFrom="page">
                  <wp:posOffset>1256030</wp:posOffset>
                </wp:positionV>
                <wp:extent cx="3505835" cy="170815"/>
                <wp:wrapNone/>
                <wp:docPr id="1039" name="1039"/>
                <wp:cNvGraphicFramePr/>
                <a:graphic>
                  <a:graphicData uri="http://schemas.microsoft.com/office/word/2010/wordprocessingShape">
                    <wps:wsp>
                      <wps:cNvSpPr/>
                      <wps:spPr>
                        <a:xfrm>
                          <a:off x="0" y="0"/>
                          <a:ext cx="35058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44.20pt;mso-position-vertical:absolute;mso-position-vertical-relative:page;margin-top:98.90pt;z-index:-251648000;width:276.05pt;height:13.45pt;" id="1039" coordsize="552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11" locked="0" layoutInCell="1" allowOverlap="1">
                <wp:simplePos x="0" y="0"/>
                <wp:positionH relativeFrom="page">
                  <wp:posOffset>1602740</wp:posOffset>
                </wp:positionH>
                <wp:positionV relativeFrom="page">
                  <wp:posOffset>1433830</wp:posOffset>
                </wp:positionV>
                <wp:extent cx="3734435" cy="170815"/>
                <wp:wrapNone/>
                <wp:docPr id="1040" name="1040"/>
                <wp:cNvGraphicFramePr/>
                <a:graphic>
                  <a:graphicData uri="http://schemas.microsoft.com/office/word/2010/wordprocessingShape">
                    <wps:wsp>
                      <wps:cNvSpPr/>
                      <wps:spPr>
                        <a:xfrm>
                          <a:off x="0" y="0"/>
                          <a:ext cx="37344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26.20pt;mso-position-vertical:absolute;mso-position-vertical-relative:page;margin-top:112.90pt;z-index:-251646976;width:294.05pt;height:13.45pt;" id="1040" coordsize="588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12" locked="0" layoutInCell="1" allowOverlap="1">
                <wp:simplePos x="0" y="0"/>
                <wp:positionH relativeFrom="page">
                  <wp:posOffset>1602740</wp:posOffset>
                </wp:positionH>
                <wp:positionV relativeFrom="page">
                  <wp:posOffset>1611630</wp:posOffset>
                </wp:positionV>
                <wp:extent cx="3734435" cy="170815"/>
                <wp:wrapNone/>
                <wp:docPr id="1041" name="1041"/>
                <wp:cNvGraphicFramePr/>
                <a:graphic>
                  <a:graphicData uri="http://schemas.microsoft.com/office/word/2010/wordprocessingShape">
                    <wps:wsp>
                      <wps:cNvSpPr/>
                      <wps:spPr>
                        <a:xfrm>
                          <a:off x="0" y="0"/>
                          <a:ext cx="37344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26.20pt;mso-position-vertical:absolute;mso-position-vertical-relative:page;margin-top:126.90pt;z-index:-251645952;width:294.05pt;height:13.45pt;" id="1041" coordsize="588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13" locked="0" layoutInCell="1" allowOverlap="1">
                <wp:simplePos x="0" y="0"/>
                <wp:positionH relativeFrom="page">
                  <wp:posOffset>1602740</wp:posOffset>
                </wp:positionH>
                <wp:positionV relativeFrom="page">
                  <wp:posOffset>1789430</wp:posOffset>
                </wp:positionV>
                <wp:extent cx="3734435" cy="170815"/>
                <wp:wrapNone/>
                <wp:docPr id="1042" name="1042"/>
                <wp:cNvGraphicFramePr/>
                <a:graphic>
                  <a:graphicData uri="http://schemas.microsoft.com/office/word/2010/wordprocessingShape">
                    <wps:wsp>
                      <wps:cNvSpPr/>
                      <wps:spPr>
                        <a:xfrm>
                          <a:off x="0" y="0"/>
                          <a:ext cx="37344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26.20pt;mso-position-vertical:absolute;mso-position-vertical-relative:page;margin-top:140.90pt;z-index:-251644928;width:294.05pt;height:13.45pt;" id="1042" coordsize="588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14" locked="0" layoutInCell="1" allowOverlap="1">
                <wp:simplePos x="0" y="0"/>
                <wp:positionH relativeFrom="page">
                  <wp:posOffset>1602740</wp:posOffset>
                </wp:positionH>
                <wp:positionV relativeFrom="page">
                  <wp:posOffset>1967230</wp:posOffset>
                </wp:positionV>
                <wp:extent cx="3734435" cy="170815"/>
                <wp:wrapNone/>
                <wp:docPr id="1043" name="1043"/>
                <wp:cNvGraphicFramePr/>
                <a:graphic>
                  <a:graphicData uri="http://schemas.microsoft.com/office/word/2010/wordprocessingShape">
                    <wps:wsp>
                      <wps:cNvSpPr/>
                      <wps:spPr>
                        <a:xfrm>
                          <a:off x="0" y="0"/>
                          <a:ext cx="37344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26.20pt;mso-position-vertical:absolute;mso-position-vertical-relative:page;margin-top:154.90pt;z-index:-251643904;width:294.05pt;height:13.45pt;" id="1043" coordsize="588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15" locked="0" layoutInCell="1" allowOverlap="1">
                <wp:simplePos x="0" y="0"/>
                <wp:positionH relativeFrom="page">
                  <wp:posOffset>1602740</wp:posOffset>
                </wp:positionH>
                <wp:positionV relativeFrom="page">
                  <wp:posOffset>2145030</wp:posOffset>
                </wp:positionV>
                <wp:extent cx="3734435" cy="170815"/>
                <wp:wrapNone/>
                <wp:docPr id="1044" name="1044"/>
                <wp:cNvGraphicFramePr/>
                <a:graphic>
                  <a:graphicData uri="http://schemas.microsoft.com/office/word/2010/wordprocessingShape">
                    <wps:wsp>
                      <wps:cNvSpPr/>
                      <wps:spPr>
                        <a:xfrm>
                          <a:off x="0" y="0"/>
                          <a:ext cx="37344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26.20pt;mso-position-vertical:absolute;mso-position-vertical-relative:page;margin-top:168.90pt;z-index:-251642880;width:294.05pt;height:13.45pt;" id="1044" coordsize="588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16" locked="0" layoutInCell="1" allowOverlap="1">
                <wp:simplePos x="0" y="0"/>
                <wp:positionH relativeFrom="page">
                  <wp:posOffset>1602740</wp:posOffset>
                </wp:positionH>
                <wp:positionV relativeFrom="page">
                  <wp:posOffset>2322830</wp:posOffset>
                </wp:positionV>
                <wp:extent cx="571500" cy="170815"/>
                <wp:wrapNone/>
                <wp:docPr id="1045" name="1045"/>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26.20pt;mso-position-vertical:absolute;mso-position-vertical-relative:page;margin-top:182.90pt;z-index:-251641856;width:45.00pt;height:13.45pt;" id="1045" coordsize="900,269" stroked="f" fillcolor="#ffffff" opacity="0f">
                <v:stroke endcap="round"/>
                <v:fill opacity="0f"/>
                <w10:wrap anchorx="page" anchory="page" side="both"/>
              </v:rect>
            </w:pict>
          </mc:Fallback>
        </mc:AlternateContent>
      </w:r>
    </w:p>
    <w:p>
      <w:pPr>
        <w:autoSpaceDE w:val="0"/>
        <w:autoSpaceDN w:val="0"/>
        <w:jc w:val="both"/>
        <w:spacing w:before="2" w:after="0" w:lineRule="exact" w:line="280"/>
        <w:ind w:right="2024" w:left="2016" w:firstLine="360"/>
        <w:snapToGrid w:val="0"/>
        <w:textAlignment w:val="auto"/>
        <w:tabs/>
        <w:rPr>
          <w:rFonts w:ascii="宋体" w:hAnsi="宋体" w:cs="宋体" w:eastAsia="宋体" w:hint="ascii"/>
          <w:sz w:val="18"/>
        </w:rPr>
      </w:pPr>
      <w:r>
        <w:rPr>
          <w:rFonts w:ascii="宋体" w:hAnsi="宋体" w:cs="宋体" w:eastAsia="宋体" w:hint="ascii"/>
          <w:sz w:val="18"/>
        </w:rPr>
        <w:t>本书可供高等学校、科研院所等机构从事科学研究工作的科研人员，以及参与科技管理和科技政策研究的人员参考。</w:t>
      </w:r>
    </w:p>
    <w:p>
      <w:pPr>
        <w:autoSpaceDE w:val="0"/>
        <w:autoSpaceDN w:val="0"/>
        <w:jc w:val="left"/>
        <w:spacing w:before="469" w:after="0" w:lineRule="exact" w:line="225"/>
        <w:ind w:right="0" w:left="2196" w:firstLine="0"/>
        <w:snapToGrid w:val="0"/>
        <w:textAlignment w:val="auto"/>
        <w:tabs/>
        <w:rPr>
          <w:rFonts w:ascii="宋体" w:hAnsi="宋体" w:cs="宋体" w:eastAsia="宋体" w:hint="ascii"/>
          <w:sz w:val="18"/>
        </w:rPr>
      </w:pPr>
      <w:r>
        <w:rPr>
          <w:rFonts w:ascii="宋体" w:hAnsi="宋体" w:cs="宋体" w:eastAsia="宋体" w:hint="ascii"/>
          <w:sz w:val="18"/>
        </w:rPr>
        <w:t>图书在版编目（</w:t>
      </w:r>
      <w:r>
        <w:rPr>
          <w:rFonts w:ascii="Times New Roman" w:hAnsi="Times New Roman" w:cs="Times New Roman" w:eastAsia="Times New Roman" w:hint="ascii"/>
          <w:b w:val="1"/>
          <w:sz w:val="18"/>
        </w:rPr>
        <w:t>CIP</w:t>
      </w:r>
      <w:r>
        <w:rPr>
          <w:rFonts w:ascii="宋体" w:hAnsi="宋体" w:cs="宋体" w:eastAsia="宋体" w:hint="ascii"/>
          <w:sz w:val="18"/>
        </w:rPr>
        <w:t>）数据</w:t>
      </w:r>
    </w:p>
    <w:p>
      <w:pPr>
        <w:autoSpaceDE w:val="0"/>
        <w:autoSpaceDN w:val="0"/>
        <w:jc w:val="both"/>
        <w:spacing w:before="161" w:after="0" w:lineRule="exact" w:line="240"/>
        <w:ind w:right="2369" w:left="2016" w:firstLine="180"/>
        <w:snapToGrid w:val="0"/>
        <w:textAlignment w:val="auto"/>
        <w:tabs/>
        <w:rPr>
          <w:rFonts w:ascii="Times New Roman" w:hAnsi="Times New Roman" w:cs="Times New Roman" w:eastAsia="Times New Roman" w:hint="ascii"/>
          <w:sz w:val="18"/>
        </w:rPr>
      </w:pPr>
      <w:r>
        <w:rPr>
          <w:rFonts w:ascii="Times New Roman" w:hAnsi="Times New Roman" w:cs="Times New Roman" w:eastAsia="Times New Roman" w:hint="ascii"/>
          <w:sz w:val="18"/>
        </w:rPr>
        <w:t>201</w:t>
      </w:r>
      <w:r>
        <w:rPr>
          <w:rFonts w:ascii="Times New Roman" w:hAnsi="Times New Roman" w:cs="Times New Roman" w:eastAsia="Times New Roman" w:hint="ascii"/>
          <w:sz w:val="18"/>
          <w:spacing w:val="44"/>
        </w:rPr>
        <w:t>8</w:t>
      </w:r>
      <w:r>
        <w:rPr>
          <w:rFonts w:ascii="宋体" w:hAnsi="宋体" w:cs="宋体" w:eastAsia="宋体" w:hint="ascii"/>
          <w:sz w:val="18"/>
          <w:spacing w:val="-1"/>
        </w:rPr>
        <w:t>年度国家自然科学基金项目指南</w:t>
      </w:r>
      <w:r>
        <w:rPr>
          <w:rFonts w:ascii="Times New Roman" w:hAnsi="Times New Roman" w:cs="Times New Roman" w:eastAsia="Times New Roman" w:hint="ascii"/>
          <w:sz w:val="18"/>
          <w:spacing w:val="-1"/>
        </w:rPr>
        <w:t>/</w:t>
      </w:r>
      <w:r>
        <w:rPr>
          <w:rFonts w:ascii="宋体" w:hAnsi="宋体" w:cs="宋体" w:eastAsia="宋体" w:hint="ascii"/>
          <w:sz w:val="18"/>
          <w:spacing w:val="-1"/>
        </w:rPr>
        <w:t>国家自然科学基金委员会编著</w:t>
      </w:r>
      <w:r>
        <w:rPr>
          <w:rFonts w:ascii="Times New Roman" w:hAnsi="Times New Roman" w:cs="Times New Roman" w:eastAsia="Times New Roman" w:hint="ascii"/>
          <w:sz w:val="18"/>
        </w:rPr>
        <w:t xml:space="preserve">. </w:t>
      </w:r>
      <w:r>
        <w:rPr>
          <w:rFonts w:ascii="宋体" w:hAnsi="宋体" w:cs="宋体" w:eastAsia="宋体" w:hint="ascii"/>
          <w:sz w:val="18"/>
        </w:rPr>
        <w:t>—北京：科学出版社，</w:t>
      </w:r>
      <w:r>
        <w:rPr>
          <w:rFonts w:ascii="Times New Roman" w:hAnsi="Times New Roman" w:cs="Times New Roman" w:eastAsia="Times New Roman" w:hint="ascii"/>
          <w:sz w:val="18"/>
        </w:rPr>
        <w:t>2018.1</w:t>
      </w:r>
      <w:r>
        <w:rPr>
          <w:rFonts w:ascii="Times New Roman" w:hAnsi="Times New Roman" w:cs="Times New Roman" w:eastAsia="Times New Roman" w:hint="ascii"/>
          <w:sz w:val="18"/>
        </w:rPr>
        <mc:AlternateContent>
          <mc:Choice Requires="wps">
            <w:drawing>
              <wp:anchor distL="0" distR="0" distT="0" distB="0" simplePos="0" behindDoc="1" relativeHeight="17" locked="0" layoutInCell="1" allowOverlap="1">
                <wp:simplePos x="0" y="0"/>
                <wp:positionH relativeFrom="page">
                  <wp:posOffset>1583690</wp:posOffset>
                </wp:positionH>
                <wp:positionV relativeFrom="page">
                  <wp:posOffset>3346450</wp:posOffset>
                </wp:positionV>
                <wp:extent cx="3772535" cy="0"/>
                <wp:wrapNone/>
                <wp:docPr id="1046" name="1046"/>
                <wp:cNvGraphicFramePr/>
                <a:graphic>
                  <a:graphicData uri="http://schemas.microsoft.com/office/word/2010/wordprocessingShape">
                    <wps:wsp>
                      <wps:cNvSpPr/>
                      <wps:spPr>
                        <a:xfrm>
                          <a:off x="0" y="0"/>
                          <a:ext cx="377253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24.70pt;mso-position-vertical:absolute;mso-position-vertical-relative:page;margin-top:263.50pt;z-index:-251640832;width:297.05pt;" id="1046" coordsize="5941,0" strokeweight="0.50pt" fillcolor="#000000" from="0.00pt, 0.00pt" to="297.05pt, 0.00pt">
                <v:stroke endcap="round"/>
                <w10:wrap anchorx="page" anchory="page" side="both"/>
              </v:line>
            </w:pict>
          </mc:Fallback>
        </mc:AlternateContent>
      </w:r>
    </w:p>
    <w:p>
      <w:pPr>
        <w:autoSpaceDE w:val="0"/>
        <w:autoSpaceDN w:val="0"/>
        <w:jc w:val="left"/>
        <w:spacing w:before="12" w:after="0" w:lineRule="auto" w:line="240"/>
        <w:ind w:right="0" w:left="2196" w:firstLine="0"/>
        <w:snapToGrid w:val="0"/>
        <w:textAlignment w:val="auto"/>
        <w:tabs/>
        <w:rPr>
          <w:rFonts w:ascii="Times New Roman" w:hAnsi="Times New Roman" w:cs="Times New Roman" w:eastAsia="Times New Roman" w:hint="ascii"/>
          <w:sz w:val="18"/>
        </w:rPr>
      </w:pPr>
      <w:r>
        <w:rPr>
          <w:rFonts w:ascii="Times New Roman" w:hAnsi="Times New Roman" w:cs="Times New Roman" w:eastAsia="Times New Roman" w:hint="ascii"/>
          <w:sz w:val="18"/>
        </w:rPr>
        <w:t>ISBN 978</w:t>
      </w:r>
      <w:r>
        <w:rPr>
          <w:rFonts w:ascii="宋体" w:hAnsi="宋体" w:cs="宋体" w:eastAsia="宋体" w:hint="ascii"/>
          <w:sz w:val="18"/>
        </w:rPr>
        <w:t>-</w:t>
      </w:r>
      <w:r>
        <w:rPr>
          <w:rFonts w:ascii="Times New Roman" w:hAnsi="Times New Roman" w:cs="Times New Roman" w:eastAsia="Times New Roman" w:hint="ascii"/>
          <w:sz w:val="18"/>
        </w:rPr>
        <w:t>7</w:t>
      </w:r>
      <w:r>
        <w:rPr>
          <w:rFonts w:ascii="宋体" w:hAnsi="宋体" w:cs="宋体" w:eastAsia="宋体" w:hint="ascii"/>
          <w:sz w:val="18"/>
        </w:rPr>
        <w:t>-</w:t>
      </w:r>
      <w:r>
        <w:rPr>
          <w:rFonts w:ascii="Times New Roman" w:hAnsi="Times New Roman" w:cs="Times New Roman" w:eastAsia="Times New Roman" w:hint="ascii"/>
          <w:sz w:val="18"/>
        </w:rPr>
        <w:t>03</w:t>
      </w:r>
      <w:r>
        <w:rPr>
          <w:rFonts w:ascii="宋体" w:hAnsi="宋体" w:cs="宋体" w:eastAsia="宋体" w:hint="ascii"/>
          <w:sz w:val="18"/>
        </w:rPr>
        <w:t>-</w:t>
      </w:r>
      <w:r>
        <w:rPr>
          <w:rFonts w:ascii="Times New Roman" w:hAnsi="Times New Roman" w:cs="Times New Roman" w:eastAsia="Times New Roman" w:hint="ascii"/>
          <w:sz w:val="18"/>
        </w:rPr>
        <w:t>055714</w:t>
      </w:r>
      <w:r>
        <w:rPr>
          <w:rFonts w:ascii="宋体" w:hAnsi="宋体" w:cs="宋体" w:eastAsia="宋体" w:hint="ascii"/>
          <w:sz w:val="18"/>
        </w:rPr>
        <w:t>-</w:t>
      </w:r>
      <w:r>
        <w:rPr>
          <w:rFonts w:ascii="Times New Roman" w:hAnsi="Times New Roman" w:cs="Times New Roman" w:eastAsia="Times New Roman" w:hint="ascii"/>
          <w:sz w:val="18"/>
        </w:rPr>
        <w:t>8</w:t>
      </w:r>
    </w:p>
    <w:p>
      <w:pPr>
        <w:autoSpaceDE w:val="0"/>
        <w:autoSpaceDN w:val="0"/>
        <w:jc w:val="both"/>
        <w:spacing w:before="164" w:after="0" w:lineRule="exact" w:line="240"/>
        <w:ind w:right="2024" w:left="2016" w:firstLine="122"/>
        <w:snapToGrid w:val="0"/>
        <w:textAlignment w:val="auto"/>
        <w:tabs/>
        <w:rPr>
          <w:rFonts w:ascii="Times New Roman" w:hAnsi="Times New Roman" w:cs="Times New Roman" w:eastAsia="Times New Roman" w:hint="ascii"/>
          <w:sz w:val="18"/>
        </w:rPr>
      </w:pPr>
      <w:r>
        <w:rPr>
          <w:rFonts w:ascii="宋体" w:hAnsi="宋体" w:cs="宋体" w:eastAsia="宋体" w:hint="ascii"/>
          <w:sz w:val="18"/>
          <w:spacing w:val="-4"/>
        </w:rPr>
        <w:t>Ⅰ</w:t>
      </w:r>
      <w:r>
        <w:rPr>
          <w:rFonts w:ascii="Times New Roman" w:hAnsi="Times New Roman" w:cs="Times New Roman" w:eastAsia="Times New Roman" w:hint="ascii"/>
          <w:sz w:val="18"/>
          <w:spacing w:val="-2"/>
        </w:rPr>
        <w:t>.</w:t>
      </w:r>
      <w:r>
        <w:rPr>
          <w:rFonts w:ascii="Times New Roman" w:hAnsi="Times New Roman" w:cs="Times New Roman" w:eastAsia="Times New Roman" w:hint="ascii"/>
          <w:sz w:val="18"/>
          <w:spacing w:val="-4"/>
        </w:rPr>
        <w:t xml:space="preserve"> </w:t>
      </w:r>
      <w:r>
        <w:rPr>
          <w:rFonts w:ascii="宋体" w:hAnsi="宋体" w:cs="宋体" w:eastAsia="宋体" w:hint="ascii"/>
          <w:sz w:val="18"/>
          <w:spacing w:val="-4"/>
        </w:rPr>
        <w:t>①</w:t>
      </w:r>
      <w:r>
        <w:rPr>
          <w:rFonts w:ascii="Times New Roman" w:hAnsi="Times New Roman" w:cs="Times New Roman" w:eastAsia="Times New Roman" w:hint="ascii"/>
          <w:sz w:val="18"/>
          <w:spacing w:val="-4"/>
        </w:rPr>
        <w:t>2</w:t>
      </w:r>
      <w:r>
        <w:rPr>
          <w:rFonts w:ascii="宋体" w:hAnsi="宋体" w:cs="宋体" w:eastAsia="宋体" w:hint="ascii"/>
          <w:sz w:val="18"/>
          <w:spacing w:val="-2"/>
        </w:rPr>
        <w:t>…</w:t>
      </w:r>
      <w:r>
        <w:rPr>
          <w:rFonts w:ascii="宋体" w:hAnsi="宋体" w:cs="宋体" w:eastAsia="宋体" w:hint="ascii"/>
          <w:sz w:val="18"/>
          <w:spacing w:val="38"/>
        </w:rPr>
        <w:t xml:space="preserve"> </w:t>
      </w:r>
      <w:r>
        <w:rPr>
          <w:rFonts w:ascii="宋体" w:hAnsi="宋体" w:cs="宋体" w:eastAsia="宋体" w:hint="ascii"/>
          <w:sz w:val="18"/>
          <w:spacing w:val="-4"/>
        </w:rPr>
        <w:t>Ⅱ</w:t>
      </w:r>
      <w:r>
        <w:rPr>
          <w:rFonts w:ascii="Times New Roman" w:hAnsi="Times New Roman" w:cs="Times New Roman" w:eastAsia="Times New Roman" w:hint="ascii"/>
          <w:sz w:val="18"/>
          <w:spacing w:val="-2"/>
        </w:rPr>
        <w:t>.</w:t>
      </w:r>
      <w:r>
        <w:rPr>
          <w:rFonts w:ascii="Times New Roman" w:hAnsi="Times New Roman" w:cs="Times New Roman" w:eastAsia="Times New Roman" w:hint="ascii"/>
          <w:sz w:val="18"/>
          <w:spacing w:val="-4"/>
        </w:rPr>
        <w:t xml:space="preserve"> </w:t>
      </w:r>
      <w:r>
        <w:rPr>
          <w:rFonts w:ascii="宋体" w:hAnsi="宋体" w:cs="宋体" w:eastAsia="宋体" w:hint="ascii"/>
          <w:sz w:val="18"/>
          <w:spacing w:val="-4"/>
        </w:rPr>
        <w:t>①国</w:t>
      </w:r>
      <w:r>
        <w:rPr>
          <w:rFonts w:ascii="宋体" w:hAnsi="宋体" w:cs="宋体" w:eastAsia="宋体" w:hint="ascii"/>
          <w:sz w:val="18"/>
          <w:spacing w:val="-2"/>
        </w:rPr>
        <w:t>…</w:t>
      </w:r>
      <w:r>
        <w:rPr>
          <w:rFonts w:ascii="宋体" w:hAnsi="宋体" w:cs="宋体" w:eastAsia="宋体" w:hint="ascii"/>
          <w:sz w:val="18"/>
          <w:spacing w:val="38"/>
        </w:rPr>
        <w:t xml:space="preserve"> </w:t>
      </w:r>
      <w:r>
        <w:rPr>
          <w:rFonts w:ascii="新宋体" w:hAnsi="新宋体" w:cs="新宋体" w:eastAsia="新宋体" w:hint="ascii"/>
          <w:sz w:val="18"/>
          <w:spacing w:val="-3"/>
        </w:rPr>
        <w:t>Ⅲ</w:t>
      </w:r>
      <w:r>
        <w:rPr>
          <w:rFonts w:ascii="Times New Roman" w:hAnsi="Times New Roman" w:cs="Times New Roman" w:eastAsia="Times New Roman" w:hint="ascii"/>
          <w:sz w:val="18"/>
          <w:spacing w:val="-2"/>
        </w:rPr>
        <w:t>.</w:t>
      </w:r>
      <w:r>
        <w:rPr>
          <w:rFonts w:ascii="Times New Roman" w:hAnsi="Times New Roman" w:cs="Times New Roman" w:eastAsia="Times New Roman" w:hint="ascii"/>
          <w:sz w:val="18"/>
          <w:spacing w:val="-4"/>
        </w:rPr>
        <w:t xml:space="preserve"> </w:t>
      </w:r>
      <w:r>
        <w:rPr>
          <w:rFonts w:ascii="宋体" w:hAnsi="宋体" w:cs="宋体" w:eastAsia="宋体" w:hint="ascii"/>
          <w:sz w:val="18"/>
          <w:spacing w:val="-4"/>
        </w:rPr>
        <w:t>①中</w:t>
      </w:r>
      <w:r>
        <w:rPr>
          <w:rFonts w:ascii="宋体" w:hAnsi="宋体" w:cs="宋体" w:eastAsia="宋体" w:hint="ascii"/>
          <w:sz w:val="18"/>
          <w:spacing w:val="-3"/>
        </w:rPr>
        <w:t>国国家自然科学基金委员会</w:t>
      </w:r>
      <w:r>
        <w:rPr>
          <w:rFonts w:ascii="宋体" w:hAnsi="宋体" w:cs="宋体" w:eastAsia="宋体" w:hint="ascii"/>
          <w:sz w:val="18"/>
          <w:spacing w:val="-2"/>
        </w:rPr>
        <w:t>-</w:t>
      </w:r>
      <w:r>
        <w:rPr>
          <w:rFonts w:ascii="宋体" w:hAnsi="宋体" w:cs="宋体" w:eastAsia="宋体" w:hint="ascii"/>
          <w:sz w:val="18"/>
          <w:spacing w:val="-3"/>
        </w:rPr>
        <w:t>科研项目</w:t>
      </w:r>
      <w:r>
        <w:rPr>
          <w:rFonts w:ascii="宋体" w:hAnsi="宋体" w:cs="宋体" w:eastAsia="宋体" w:hint="ascii"/>
          <w:sz w:val="18"/>
          <w:spacing w:val="-2"/>
        </w:rPr>
        <w:t>-</w:t>
      </w:r>
      <w:r>
        <w:rPr>
          <w:rFonts w:ascii="宋体" w:hAnsi="宋体" w:cs="宋体" w:eastAsia="宋体" w:hint="ascii"/>
          <w:sz w:val="18"/>
          <w:spacing w:val="-1"/>
        </w:rPr>
        <w:t>文</w:t>
      </w:r>
      <w:r>
        <w:rPr>
          <w:rFonts w:ascii="宋体" w:hAnsi="宋体" w:cs="宋体" w:eastAsia="宋体" w:hint="ascii"/>
          <w:sz w:val="18"/>
        </w:rPr>
        <w:t xml:space="preserve"> </w:t>
      </w:r>
      <w:r>
        <w:rPr>
          <w:rFonts w:ascii="宋体" w:hAnsi="宋体" w:cs="宋体" w:eastAsia="宋体" w:hint="ascii"/>
          <w:sz w:val="18"/>
          <w:spacing w:val="-2"/>
        </w:rPr>
        <w:t>件</w:t>
      </w:r>
      <w:r>
        <w:rPr>
          <w:rFonts w:ascii="宋体" w:hAnsi="宋体" w:cs="宋体" w:eastAsia="宋体" w:hint="ascii"/>
          <w:sz w:val="18"/>
          <w:spacing w:val="-2"/>
        </w:rPr>
        <w:t>-</w:t>
      </w:r>
      <w:r>
        <w:rPr>
          <w:rFonts w:ascii="Times New Roman" w:hAnsi="Times New Roman" w:cs="Times New Roman" w:eastAsia="Times New Roman" w:hint="ascii"/>
          <w:sz w:val="18"/>
          <w:spacing w:val="-1"/>
        </w:rPr>
        <w:t>2</w:t>
      </w:r>
      <w:r>
        <w:rPr>
          <w:rFonts w:ascii="Times New Roman" w:hAnsi="Times New Roman" w:cs="Times New Roman" w:eastAsia="Times New Roman" w:hint="ascii"/>
          <w:sz w:val="18"/>
          <w:spacing w:val="-2"/>
        </w:rPr>
        <w:t>01</w:t>
      </w:r>
      <w:r>
        <w:rPr>
          <w:rFonts w:ascii="Times New Roman" w:hAnsi="Times New Roman" w:cs="Times New Roman" w:eastAsia="Times New Roman" w:hint="ascii"/>
          <w:sz w:val="18"/>
        </w:rPr>
        <w:t>8</w:t>
      </w:r>
      <w:r>
        <w:rPr>
          <w:rFonts w:ascii="Times New Roman" w:hAnsi="Times New Roman" w:cs="Times New Roman" w:eastAsia="Times New Roman" w:hint="ascii"/>
          <w:sz w:val="18"/>
          <w:spacing w:val="44"/>
        </w:rPr>
        <w:t xml:space="preserve"> </w:t>
      </w:r>
      <w:r>
        <w:rPr>
          <w:rFonts w:ascii="新宋体" w:hAnsi="新宋体" w:cs="新宋体" w:eastAsia="新宋体" w:hint="ascii"/>
          <w:sz w:val="18"/>
        </w:rPr>
        <w:t>Ⅳ</w:t>
      </w:r>
      <w:r>
        <w:rPr>
          <w:rFonts w:ascii="Times New Roman" w:hAnsi="Times New Roman" w:cs="Times New Roman" w:eastAsia="Times New Roman" w:hint="ascii"/>
          <w:sz w:val="18"/>
          <w:spacing w:val="46"/>
        </w:rPr>
        <w:t>.</w:t>
      </w:r>
      <w:r>
        <w:rPr>
          <w:rFonts w:ascii="宋体" w:hAnsi="宋体" w:cs="宋体" w:eastAsia="宋体" w:hint="ascii"/>
          <w:sz w:val="18"/>
        </w:rPr>
        <w:t>①</w:t>
      </w:r>
      <w:r>
        <w:rPr>
          <w:rFonts w:ascii="Times New Roman" w:hAnsi="Times New Roman" w:cs="Times New Roman" w:eastAsia="Times New Roman" w:hint="ascii"/>
          <w:sz w:val="18"/>
        </w:rPr>
        <w:t>N12</w:t>
      </w:r>
    </w:p>
    <w:p>
      <w:pPr>
        <w:autoSpaceDE w:val="0"/>
        <w:autoSpaceDN w:val="0"/>
        <w:jc w:val="left"/>
        <w:spacing w:before="181" w:after="0" w:lineRule="exact" w:line="225"/>
        <w:ind w:right="0" w:left="2196" w:firstLine="0"/>
        <w:snapToGrid w:val="0"/>
        <w:textAlignment w:val="auto"/>
        <w:tabs/>
        <w:rPr>
          <w:rFonts w:ascii="宋体" w:hAnsi="宋体" w:cs="宋体" w:eastAsia="宋体" w:hint="ascii"/>
          <w:sz w:val="18"/>
        </w:rPr>
      </w:pPr>
      <w:r>
        <w:rPr>
          <w:rFonts w:ascii="宋体" w:hAnsi="宋体" w:cs="宋体" w:eastAsia="宋体" w:hint="ascii"/>
          <w:sz w:val="18"/>
        </w:rPr>
        <w:t>中国版本图书</w:t>
      </w:r>
      <w:r>
        <w:rPr>
          <w:rFonts w:ascii="宋体" w:hAnsi="宋体" w:cs="宋体" w:eastAsia="宋体" w:hint="ascii"/>
          <w:sz w:val="18"/>
          <w:spacing w:val="22"/>
        </w:rPr>
        <w:t>馆</w:t>
      </w:r>
      <w:r>
        <w:rPr>
          <w:rFonts w:ascii="Times New Roman" w:hAnsi="Times New Roman" w:cs="Times New Roman" w:eastAsia="Times New Roman" w:hint="ascii"/>
          <w:sz w:val="18"/>
        </w:rPr>
        <w:t>CI</w:t>
      </w:r>
      <w:r>
        <w:rPr>
          <w:rFonts w:ascii="Times New Roman" w:hAnsi="Times New Roman" w:cs="Times New Roman" w:eastAsia="Times New Roman" w:hint="ascii"/>
          <w:sz w:val="18"/>
          <w:spacing w:val="44"/>
        </w:rPr>
        <w:t>P</w:t>
      </w:r>
      <w:r>
        <w:rPr>
          <w:rFonts w:ascii="宋体" w:hAnsi="宋体" w:cs="宋体" w:eastAsia="宋体" w:hint="ascii"/>
          <w:sz w:val="18"/>
        </w:rPr>
        <w:t>数据核字（</w:t>
      </w:r>
      <w:r>
        <w:rPr>
          <w:rFonts w:ascii="Times New Roman" w:hAnsi="Times New Roman" w:cs="Times New Roman" w:eastAsia="Times New Roman" w:hint="ascii"/>
          <w:sz w:val="18"/>
        </w:rPr>
        <w:t>2017</w:t>
      </w:r>
      <w:r>
        <w:rPr>
          <w:rFonts w:ascii="宋体" w:hAnsi="宋体" w:cs="宋体" w:eastAsia="宋体" w:hint="ascii"/>
          <w:sz w:val="18"/>
        </w:rPr>
        <w:t>）</w:t>
      </w:r>
      <w:r>
        <w:rPr>
          <w:rFonts w:ascii="宋体" w:hAnsi="宋体" w:cs="宋体" w:eastAsia="宋体" w:hint="ascii"/>
          <w:sz w:val="18"/>
          <w:spacing w:val="22"/>
        </w:rPr>
        <w:t>第</w:t>
      </w:r>
      <w:r>
        <w:rPr>
          <w:rFonts w:ascii="Times New Roman" w:hAnsi="Times New Roman" w:cs="Times New Roman" w:eastAsia="Times New Roman" w:hint="ascii"/>
          <w:sz w:val="18"/>
        </w:rPr>
        <w:t>29328</w:t>
      </w:r>
      <w:r>
        <w:rPr>
          <w:rFonts w:ascii="Times New Roman" w:hAnsi="Times New Roman" w:cs="Times New Roman" w:eastAsia="Times New Roman" w:hint="ascii"/>
          <w:sz w:val="18"/>
          <w:spacing w:val="44"/>
        </w:rPr>
        <w:t>9</w:t>
      </w:r>
      <w:r>
        <w:rPr>
          <w:rFonts w:ascii="宋体" w:hAnsi="宋体" w:cs="宋体" w:eastAsia="宋体" w:hint="ascii"/>
          <w:sz w:val="18"/>
        </w:rPr>
        <w:t>号</w:t>
      </w:r>
    </w:p>
    <w:p>
      <w:pPr>
        <w:autoSpaceDE w:val="0"/>
        <w:autoSpaceDN w:val="0"/>
        <w:jc w:val="left"/>
        <w:spacing w:before="205" w:after="0" w:lineRule="exact" w:line="225"/>
        <w:ind w:right="0" w:left="2718" w:firstLine="0"/>
        <w:snapToGrid w:val="0"/>
        <w:textAlignment w:val="auto"/>
        <w:tabs/>
        <w:rPr>
          <w:rFonts w:ascii="宋体" w:hAnsi="宋体" w:cs="宋体" w:eastAsia="宋体" w:hint="ascii"/>
          <w:sz w:val="18"/>
        </w:rPr>
      </w:pPr>
      <w:r>
        <w:rPr>
          <w:rFonts w:ascii="宋体" w:hAnsi="宋体" w:cs="宋体" w:eastAsia="宋体" w:hint="ascii"/>
          <w:sz w:val="18"/>
        </w:rPr>
        <w:t>责任编辑：侯俊琳</w:t>
      </w:r>
      <w:r>
        <w:rPr>
          <w:rFonts w:ascii="宋体" w:hAnsi="宋体" w:cs="宋体" w:eastAsia="宋体" w:hint="ascii"/>
          <w:sz w:val="18"/>
          <w:spacing w:val="45"/>
        </w:rPr>
        <w:t xml:space="preserve"> </w:t>
      </w:r>
      <w:r>
        <w:rPr>
          <w:rFonts w:ascii="宋体" w:hAnsi="宋体" w:cs="宋体" w:eastAsia="宋体" w:hint="ascii"/>
          <w:sz w:val="18"/>
        </w:rPr>
        <w:t>牛</w:t>
      </w:r>
      <w:r>
        <w:rPr>
          <w:rFonts w:ascii="宋体" w:hAnsi="宋体" w:cs="宋体" w:eastAsia="宋体" w:hint="ascii"/>
          <w:sz w:val="18"/>
          <w:spacing w:val="45"/>
        </w:rPr>
        <w:t xml:space="preserve"> </w:t>
      </w:r>
      <w:r>
        <w:rPr>
          <w:rFonts w:ascii="宋体" w:hAnsi="宋体" w:cs="宋体" w:eastAsia="宋体" w:hint="ascii"/>
          <w:sz w:val="18"/>
        </w:rPr>
        <w:t>玲</w:t>
      </w:r>
      <w:r>
        <w:rPr>
          <w:rFonts w:ascii="宋体" w:hAnsi="宋体" w:cs="宋体" w:eastAsia="宋体" w:hint="ascii"/>
          <w:sz w:val="18"/>
          <w:spacing w:val="45"/>
        </w:rPr>
        <w:t xml:space="preserve"> </w:t>
      </w:r>
      <w:r>
        <w:rPr>
          <w:rFonts w:ascii="宋体" w:hAnsi="宋体" w:cs="宋体" w:eastAsia="宋体" w:hint="ascii"/>
          <w:sz w:val="18"/>
        </w:rPr>
        <w:t>张翠</w:t>
      </w:r>
      <w:r>
        <w:rPr>
          <w:rFonts w:ascii="宋体" w:hAnsi="宋体" w:cs="宋体" w:eastAsia="宋体" w:hint="ascii"/>
          <w:sz w:val="18"/>
          <w:spacing w:val="23"/>
        </w:rPr>
        <w:t>霞</w:t>
      </w:r>
      <w:r>
        <w:rPr>
          <w:rFonts w:ascii="宋体" w:hAnsi="宋体" w:cs="宋体" w:eastAsia="宋体" w:hint="ascii"/>
          <w:sz w:val="18"/>
          <w:spacing w:val="37"/>
        </w:rPr>
        <w:t>/</w:t>
      </w:r>
      <w:r>
        <w:rPr>
          <w:rFonts w:ascii="宋体" w:hAnsi="宋体" w:cs="宋体" w:eastAsia="宋体" w:hint="ascii"/>
          <w:sz w:val="18"/>
        </w:rPr>
        <w:t>责任校对：何艳萍</w:t>
      </w:r>
      <w:r>
        <w:rPr>
          <w:rFonts w:ascii="宋体" w:hAnsi="宋体" w:cs="宋体" w:eastAsia="宋体" w:hint="ascii"/>
          <w:sz w:val="18"/>
        </w:rPr>
        <mc:AlternateContent>
          <mc:Choice Requires="wps">
            <w:drawing>
              <wp:anchor distL="0" distR="0" distT="0" distB="0" simplePos="0" behindDoc="1" relativeHeight="18" locked="0" layoutInCell="1" allowOverlap="1">
                <wp:simplePos x="0" y="0"/>
                <wp:positionH relativeFrom="page">
                  <wp:posOffset>1583690</wp:posOffset>
                </wp:positionH>
                <wp:positionV relativeFrom="page">
                  <wp:posOffset>4546600</wp:posOffset>
                </wp:positionV>
                <wp:extent cx="3772535" cy="0"/>
                <wp:wrapNone/>
                <wp:docPr id="1047" name="1047"/>
                <wp:cNvGraphicFramePr/>
                <a:graphic>
                  <a:graphicData uri="http://schemas.microsoft.com/office/word/2010/wordprocessingShape">
                    <wps:wsp>
                      <wps:cNvSpPr/>
                      <wps:spPr>
                        <a:xfrm>
                          <a:off x="0" y="0"/>
                          <a:ext cx="3772535" cy="0"/>
                        </a:xfrm>
                        <a:prstGeom prst="line"/>
                        <a:solidFill>
                          <a:srgbClr val="000000"/>
                        </a:solidFill>
                        <a:ln w="635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124.70pt;mso-position-vertical:absolute;mso-position-vertical-relative:page;margin-top:358.00pt;z-index:-251639808;width:297.05pt;" id="1047" coordsize="5941,0" strokeweight="0.50pt" fillcolor="#000000" from="0.00pt, 0.00pt" to="297.05pt, 0.00pt">
                <v:stroke endcap="round"/>
                <w10:wrap anchorx="page" anchory="page" side="both"/>
              </v:line>
            </w:pict>
          </mc:Fallback>
        </mc:AlternateContent>
      </w:r>
    </w:p>
    <w:p>
      <w:pPr>
        <w:autoSpaceDE w:val="0"/>
        <w:autoSpaceDN w:val="0"/>
        <w:jc w:val="left"/>
        <w:spacing w:before="45" w:after="0" w:lineRule="exact" w:line="225"/>
        <w:ind w:right="0" w:left="2540" w:firstLine="0"/>
        <w:snapToGrid w:val="0"/>
        <w:textAlignment w:val="auto"/>
        <w:tabs/>
        <w:rPr>
          <w:rFonts w:ascii="宋体" w:hAnsi="宋体" w:cs="宋体" w:eastAsia="宋体" w:hint="ascii"/>
          <w:sz w:val="18"/>
        </w:rPr>
      </w:pPr>
      <w:r>
        <w:rPr>
          <w:rFonts w:ascii="宋体" w:hAnsi="宋体" w:cs="宋体" w:eastAsia="宋体" w:hint="ascii"/>
          <w:sz w:val="18"/>
        </w:rPr>
        <w:t>责任印制：张克</w:t>
      </w:r>
      <w:r>
        <w:rPr>
          <w:rFonts w:ascii="宋体" w:hAnsi="宋体" w:cs="宋体" w:eastAsia="宋体" w:hint="ascii"/>
          <w:sz w:val="18"/>
          <w:spacing w:val="20"/>
        </w:rPr>
        <w:t>忠</w:t>
      </w:r>
      <w:r>
        <w:rPr>
          <w:rFonts w:ascii="宋体" w:hAnsi="宋体" w:cs="宋体" w:eastAsia="宋体" w:hint="ascii"/>
          <w:sz w:val="18"/>
          <w:spacing w:val="37"/>
        </w:rPr>
        <w:t>/</w:t>
      </w:r>
      <w:r>
        <w:rPr>
          <w:rFonts w:ascii="宋体" w:hAnsi="宋体" w:cs="宋体" w:eastAsia="宋体" w:hint="ascii"/>
          <w:sz w:val="18"/>
        </w:rPr>
        <w:t>封面设计：北京铭轩堂广告设计有限公司</w:t>
      </w:r>
    </w:p>
    <w:p>
      <w:pPr>
        <w:autoSpaceDE w:val="0"/>
        <w:autoSpaceDN w:val="0"/>
        <w:jc w:val="left"/>
        <w:spacing w:before="1935" w:after="0" w:lineRule="exact" w:line="225"/>
        <w:ind w:right="0" w:left="3988" w:firstLine="0"/>
        <w:snapToGrid w:val="0"/>
        <w:textAlignment w:val="auto"/>
        <w:tabs/>
        <w:rPr>
          <w:rFonts w:ascii="Times New Roman" w:hAnsi="Times New Roman" w:cs="Times New Roman" w:eastAsia="Times New Roman" w:hint="ascii"/>
          <w:sz w:val="18"/>
          <w:color w:val="ffffff"/>
        </w:rPr>
      </w:pPr>
      <w:r>
        <w:rPr>
          <w:rFonts w:ascii="宋体" w:hAnsi="宋体" w:cs="宋体" w:eastAsia="宋体" w:hint="ascii"/>
          <w:sz w:val="18"/>
          <w:color w:val="ffffff"/>
        </w:rPr>
        <w:t>联系电话：</w:t>
      </w:r>
      <w:r>
        <w:rPr>
          <w:rFonts w:ascii="Times New Roman" w:hAnsi="Times New Roman" w:cs="Times New Roman" w:eastAsia="Times New Roman" w:hint="ascii"/>
          <w:sz w:val="18"/>
          <w:color w:val="ffffff"/>
        </w:rPr>
        <w:t>010-64026975</w:t>
      </w:r>
    </w:p>
    <w:p>
      <w:pPr>
        <w:autoSpaceDE w:val="0"/>
        <w:autoSpaceDN w:val="0"/>
        <w:jc w:val="left"/>
        <w:spacing w:before="45" w:after="0" w:lineRule="exact" w:line="225"/>
        <w:ind w:right="0" w:left="3546" w:firstLine="0"/>
        <w:snapToGrid w:val="0"/>
        <w:textAlignment w:val="auto"/>
        <w:tabs/>
        <w:rPr>
          <w:rFonts w:ascii="Times New Roman" w:hAnsi="Times New Roman" w:cs="Times New Roman" w:eastAsia="Times New Roman" w:hint="ascii"/>
          <w:sz w:val="18"/>
          <w:color w:val="ffffff"/>
        </w:rPr>
      </w:pPr>
      <w:r>
        <w:rPr>
          <w:rFonts w:ascii="宋体" w:hAnsi="宋体" w:cs="宋体" w:eastAsia="宋体" w:hint="ascii"/>
          <w:sz w:val="18"/>
          <w:color w:val="ffffff"/>
        </w:rPr>
        <w:t>电子邮箱：</w:t>
      </w:r>
      <w:r>
        <w:rPr>
          <w:rFonts w:ascii="Times New Roman" w:hAnsi="Times New Roman" w:cs="Times New Roman" w:eastAsia="Times New Roman" w:hint="ascii"/>
          <w:sz w:val="18"/>
          <w:color w:val="ffffff"/>
        </w:rPr>
        <w:t>chengliang@mail.sciencep.com</w:t>
      </w:r>
    </w:p>
    <w:p>
      <w:pPr>
        <w:autoSpaceDE w:val="0"/>
        <w:autoSpaceDN w:val="0"/>
        <w:jc w:val="left"/>
        <w:spacing w:before="28" w:after="0" w:lineRule="exact" w:line="225"/>
        <w:ind w:right="0" w:left="5473" w:firstLine="0"/>
        <w:snapToGrid w:val="0"/>
        <w:textAlignment w:val="auto"/>
        <w:tabs/>
        <w:rPr>
          <w:rFonts w:ascii="宋体" w:hAnsi="宋体" w:cs="宋体" w:eastAsia="宋体" w:hint="ascii"/>
          <w:sz w:val="18"/>
        </w:rPr>
      </w:pPr>
      <w:r>
        <w:rPr>
          <w:rFonts w:ascii="宋体" w:hAnsi="宋体" w:cs="宋体" w:eastAsia="宋体" w:hint="ascii"/>
          <w:sz w:val="18"/>
        </w:rPr>
        <w:t>出版</w:t>
      </w:r>
      <w:r>
        <w:rPr>
          <w:rFonts w:ascii="宋体" w:hAnsi="宋体" w:cs="宋体" w:eastAsia="宋体" w:hint="ascii"/>
          <w:sz w:val="18"/>
        </w:rPr>
        <mc:AlternateContent>
          <mc:Choice Requires="wps">
            <w:drawing>
              <wp:anchor distL="0" distR="0" distT="0" distB="0" simplePos="0" behindDoc="1" relativeHeight="19" locked="0" layoutInCell="1" allowOverlap="1">
                <wp:simplePos x="0" y="0"/>
                <wp:positionH relativeFrom="page">
                  <wp:posOffset>2941955</wp:posOffset>
                </wp:positionH>
                <wp:positionV relativeFrom="page">
                  <wp:posOffset>6511925</wp:posOffset>
                </wp:positionV>
                <wp:extent cx="795655" cy="101600"/>
                <wp:wrapNone/>
                <wp:docPr id="1048" name="1048"/>
                <wp:cNvGraphicFramePr/>
                <a:graphic>
                  <a:graphicData uri="http://schemas.microsoft.com/office/word/2010/wordprocessingShape">
                    <wps:wsp>
                      <wps:cNvSpPr/>
                      <wps:spPr>
                        <a:xfrm>
                          <a:off x="0" y="0"/>
                          <a:ext cx="795655" cy="10160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1.65pt;mso-position-vertical:absolute;mso-position-vertical-relative:page;margin-top:512.75pt;z-index:-251638784;width:62.65pt;height:8.00pt;" id="1048" coordsize="1253,160"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20" locked="0" layoutInCell="1" allowOverlap="1">
                <wp:simplePos x="0" y="0"/>
                <wp:positionH relativeFrom="page">
                  <wp:posOffset>2941320</wp:posOffset>
                </wp:positionH>
                <wp:positionV relativeFrom="page">
                  <wp:posOffset>6511925</wp:posOffset>
                </wp:positionV>
                <wp:extent cx="804545" cy="102870"/>
                <wp:wrapNone/>
                <wp:docPr id="1049" name="1049"/>
                <wp:cNvGraphicFramePr/>
                <a:graphic>
                  <a:graphicData uri="http://schemas.openxmlformats.org/drawingml/2006/picture">
                    <pic:pic>
                      <pic:nvPicPr>
                        <pic:cNvPr id="20" name="1049"/>
                        <pic:cNvPicPr/>
                      </pic:nvPicPr>
                      <pic:blipFill>
                        <a:blip r:embed="rId10">
                          <a:clrChange>
                            <a:clrFrom>
                              <a:srgbClr val="FFFFFF"/>
                            </a:clrFrom>
                            <a:clrTo>
                              <a:srgbClr val="FFFFFF">
                                <a:alpha val="0"/>
                              </a:srgbClr>
                            </a:clrTo>
                          </a:clrChange>
                        </a:blip>
                        <a:stretch/>
                      </pic:blipFill>
                      <pic:spPr>
                        <a:xfrm>
                          <a:off x="0" y="0"/>
                          <a:ext cx="804545" cy="102870"/>
                        </a:xfrm>
                        <a:prstGeom prst="rect"/>
                        <a:ln>
                          <a:noFill/>
                        </a:ln>
                      </pic:spPr>
                    </pic:pic>
                  </a:graphicData>
                </a:graphic>
              </wp:anchor>
            </w:drawing>
          </mc:Choice>
          <mc:Fallback>
            <w:pict>
              <v:shapetype id="_x0000_t75" o:spt="75" path="m,l,162r1267,l1267,xe"/>
              <v:shape type="_x0000_t75" style="position:absolute;mso-position-horizontal:absolute;mso-position-horizontal-relative:page;margin-left:231.60pt;mso-position-vertical:absolute;mso-position-vertical-relative:page;margin-top:512.75pt;z-index:-251637760;width:63.35pt;height:8.10pt;" id="1049" coordsize="1267,162" stroked="f" filled="f">
                <v:stroke endcap="round"/>
                <w10:wrap anchorx="page" anchory="page" side="both"/>
                <v:imagedata r:id="rId10" chromakey="#FFFFFF"/>
              </v:shape>
            </w:pict>
          </mc:Fallback>
        </mc:AlternateContent>
      </w:r>
    </w:p>
    <w:p>
      <w:pPr>
        <w:autoSpaceDE w:val="0"/>
        <w:autoSpaceDN w:val="0"/>
        <w:jc w:val="left"/>
        <w:spacing w:before="73" w:after="0" w:lineRule="exact" w:line="138"/>
        <w:ind w:right="0" w:left="4386" w:firstLine="0"/>
        <w:snapToGrid w:val="0"/>
        <w:textAlignment w:val="auto"/>
        <w:tabs/>
        <w:rPr>
          <w:rFonts w:ascii="宋体" w:hAnsi="宋体" w:cs="宋体" w:eastAsia="宋体" w:hint="ascii"/>
          <w:sz w:val="11"/>
        </w:rPr>
      </w:pPr>
      <w:r>
        <w:rPr>
          <w:rFonts w:ascii="宋体" w:hAnsi="宋体" w:cs="宋体" w:eastAsia="宋体" w:hint="ascii"/>
          <w:sz w:val="11"/>
        </w:rPr>
        <w:t>北京东黄城根北</w:t>
      </w:r>
      <w:r>
        <w:rPr>
          <w:rFonts w:ascii="宋体" w:hAnsi="宋体" w:cs="宋体" w:eastAsia="宋体" w:hint="ascii"/>
          <w:sz w:val="11"/>
          <w:spacing w:val="14"/>
        </w:rPr>
        <w:t>街</w:t>
      </w:r>
      <w:r>
        <w:rPr>
          <w:rFonts w:ascii="Times New Roman" w:hAnsi="Times New Roman" w:cs="Times New Roman" w:eastAsia="Times New Roman" w:hint="ascii"/>
          <w:sz w:val="11"/>
        </w:rPr>
        <w:t>1</w:t>
      </w:r>
      <w:r>
        <w:rPr>
          <w:rFonts w:ascii="Times New Roman" w:hAnsi="Times New Roman" w:cs="Times New Roman" w:eastAsia="Times New Roman" w:hint="ascii"/>
          <w:sz w:val="11"/>
          <w:spacing w:val="27"/>
        </w:rPr>
        <w:t>6</w:t>
      </w:r>
      <w:r>
        <w:rPr>
          <w:rFonts w:ascii="宋体" w:hAnsi="宋体" w:cs="宋体" w:eastAsia="宋体" w:hint="ascii"/>
          <w:sz w:val="11"/>
        </w:rPr>
        <w:t>号</w:t>
      </w:r>
    </w:p>
    <w:p>
      <w:pPr>
        <w:autoSpaceDE w:val="0"/>
        <w:autoSpaceDN w:val="0"/>
        <w:jc w:val="left"/>
        <w:spacing w:before="57" w:after="0" w:lineRule="exact" w:line="138"/>
        <w:ind w:right="0" w:left="4522" w:firstLine="0"/>
        <w:snapToGrid w:val="0"/>
        <w:textAlignment w:val="auto"/>
        <w:tabs/>
        <w:rPr>
          <w:rFonts w:ascii="Times New Roman" w:hAnsi="Times New Roman" w:cs="Times New Roman" w:eastAsia="Times New Roman" w:hint="ascii"/>
          <w:sz w:val="11"/>
        </w:rPr>
      </w:pPr>
      <w:r>
        <w:rPr>
          <w:rFonts w:ascii="宋体" w:hAnsi="宋体" w:cs="宋体" w:eastAsia="宋体" w:hint="ascii"/>
          <w:sz w:val="11"/>
        </w:rPr>
        <w:t>邮政编码：</w:t>
      </w:r>
      <w:r>
        <w:rPr>
          <w:rFonts w:ascii="Times New Roman" w:hAnsi="Times New Roman" w:cs="Times New Roman" w:eastAsia="Times New Roman" w:hint="ascii"/>
          <w:sz w:val="11"/>
        </w:rPr>
        <w:t>100717</w:t>
      </w:r>
    </w:p>
    <w:p>
      <w:pPr>
        <w:autoSpaceDE w:val="0"/>
        <w:autoSpaceDN w:val="0"/>
        <w:jc w:val="left"/>
        <w:spacing w:before="27" w:after="0" w:lineRule="auto" w:line="240"/>
        <w:ind w:right="0" w:left="4284" w:firstLine="0"/>
        <w:snapToGrid w:val="0"/>
        <w:textAlignment w:val="auto"/>
        <w:tabs/>
        <w:rPr>
          <w:rFonts w:ascii="Times New Roman" w:hAnsi="Times New Roman" w:cs="Times New Roman" w:eastAsia="Times New Roman" w:hint="ascii"/>
          <w:sz w:val="13"/>
        </w:rPr>
      </w:pPr>
      <w:r>
        <w:rPr>
          <w:rFonts w:ascii="Times New Roman" w:hAnsi="Times New Roman" w:cs="Times New Roman" w:eastAsia="Times New Roman" w:hint="ascii"/>
          <w:sz w:val="13"/>
        </w:rPr>
        <w:t>http</w:t>
      </w:r>
      <w:r>
        <w:rPr>
          <w:rFonts w:ascii="宋体" w:hAnsi="宋体" w:cs="宋体" w:eastAsia="宋体" w:hint="ascii"/>
          <w:sz w:val="13"/>
          <w:spacing w:val="-28"/>
        </w:rPr>
        <w:t>：</w:t>
      </w:r>
      <w:r>
        <w:rPr>
          <w:rFonts w:ascii="Times New Roman" w:hAnsi="Times New Roman" w:cs="Times New Roman" w:eastAsia="Times New Roman" w:hint="ascii"/>
          <w:sz w:val="13"/>
        </w:rPr>
        <w:t>//ww</w:t>
      </w:r>
      <w:r>
        <w:rPr>
          <w:rFonts w:ascii="Times New Roman" w:hAnsi="Times New Roman" w:cs="Times New Roman" w:eastAsia="Times New Roman" w:hint="ascii"/>
          <w:sz w:val="13"/>
          <w:spacing w:val="-9"/>
        </w:rPr>
        <w:t>w</w:t>
      </w:r>
      <w:r>
        <w:rPr>
          <w:rFonts w:ascii="Times New Roman" w:hAnsi="Times New Roman" w:cs="Times New Roman" w:eastAsia="Times New Roman" w:hint="ascii"/>
          <w:sz w:val="13"/>
        </w:rPr>
        <w:t>.sciencep.com</w:t>
      </w:r>
    </w:p>
    <w:p>
      <w:pPr>
        <w:autoSpaceDE w:val="0"/>
        <w:autoSpaceDN w:val="0"/>
        <w:jc w:val="left"/>
        <w:spacing w:before="73" w:after="0" w:lineRule="exact" w:line="225"/>
        <w:ind w:right="0" w:left="3757" w:firstLine="0"/>
        <w:snapToGrid w:val="0"/>
        <w:textAlignment w:val="auto"/>
        <w:tabs/>
        <w:rPr>
          <w:rFonts w:ascii="宋体" w:hAnsi="宋体" w:cs="宋体" w:eastAsia="宋体" w:hint="ascii"/>
          <w:sz w:val="18"/>
        </w:rPr>
      </w:pPr>
      <w:r>
        <w:rPr>
          <w:rFonts w:ascii="宋体" w:hAnsi="宋体" w:cs="宋体" w:eastAsia="宋体" w:hint="ascii"/>
          <w:sz w:val="18"/>
        </w:rPr>
        <w:t xml:space="preserve">保定中画美凯印刷有限公司 </w:t>
      </w:r>
      <w:r>
        <w:rPr>
          <w:rFonts w:ascii="宋体" w:hAnsi="宋体" w:cs="宋体" w:eastAsia="宋体" w:hint="ascii"/>
          <w:sz w:val="18"/>
        </w:rPr>
        <w:t>印刷</w:t>
      </w:r>
    </w:p>
    <w:p>
      <w:pPr>
        <w:autoSpaceDE w:val="0"/>
        <w:autoSpaceDN w:val="0"/>
        <w:jc w:val="left"/>
        <w:spacing w:before="86" w:after="0" w:lineRule="exact" w:line="188"/>
        <w:ind w:right="0" w:left="3837" w:firstLine="0"/>
        <w:snapToGrid w:val="0"/>
        <w:textAlignment w:val="auto"/>
        <w:tabs/>
        <w:rPr>
          <w:rFonts w:ascii="宋体" w:hAnsi="宋体" w:cs="宋体" w:eastAsia="宋体" w:hint="ascii"/>
          <w:sz w:val="15"/>
        </w:rPr>
      </w:pPr>
      <w:r>
        <w:rPr>
          <w:rFonts w:ascii="宋体" w:hAnsi="宋体" w:cs="宋体" w:eastAsia="宋体" w:hint="ascii"/>
          <w:sz w:val="15"/>
        </w:rPr>
        <w:t>科学出版社发行</w:t>
      </w:r>
      <w:r>
        <w:rPr>
          <w:rFonts w:ascii="宋体" w:hAnsi="宋体" w:cs="宋体" w:eastAsia="宋体" w:hint="ascii"/>
          <w:sz w:val="15"/>
          <w:spacing w:val="37"/>
        </w:rPr>
        <w:t xml:space="preserve"> </w:t>
      </w:r>
      <w:r>
        <w:rPr>
          <w:rFonts w:ascii="宋体" w:hAnsi="宋体" w:cs="宋体" w:eastAsia="宋体" w:hint="ascii"/>
          <w:sz w:val="15"/>
        </w:rPr>
        <w:t>各地新华书店经销</w:t>
      </w:r>
    </w:p>
    <w:p>
      <w:pPr>
        <w:autoSpaceDE w:val="0"/>
        <w:autoSpaceDN w:val="0"/>
        <w:jc w:val="left"/>
        <w:spacing w:before="105" w:after="0" w:lineRule="auto" w:line="240"/>
        <w:ind w:right="0" w:left="4910"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rPr>
        <w:t>*</w:t>
      </w:r>
    </w:p>
    <w:p>
      <w:pPr>
        <w:autoSpaceDE w:val="0"/>
        <w:autoSpaceDN w:val="0"/>
        <w:jc w:val="left"/>
        <w:spacing w:before="63" w:after="0" w:lineRule="auto" w:line="240"/>
        <w:ind w:right="0" w:left="3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1"/>
        </w:rPr>
        <w:t>2</w:t>
      </w:r>
      <w:r>
        <w:rPr>
          <w:rFonts w:ascii="Times New Roman" w:hAnsi="Times New Roman" w:cs="Times New Roman" w:eastAsia="Times New Roman" w:hint="ascii"/>
          <w:sz w:val="15"/>
          <w:spacing w:val="-1"/>
        </w:rPr>
        <w:t>0</w:t>
      </w:r>
      <w:r>
        <w:rPr>
          <w:rFonts w:ascii="Times New Roman" w:hAnsi="Times New Roman" w:cs="Times New Roman" w:eastAsia="Times New Roman" w:hint="ascii"/>
          <w:sz w:val="15"/>
          <w:spacing w:val="1"/>
        </w:rPr>
        <w:t>1</w:t>
      </w:r>
      <w:r>
        <w:rPr>
          <w:rFonts w:ascii="Times New Roman" w:hAnsi="Times New Roman" w:cs="Times New Roman" w:eastAsia="Times New Roman" w:hint="ascii"/>
          <w:sz w:val="15"/>
          <w:spacing w:val="38"/>
        </w:rPr>
        <w:t>8</w:t>
      </w:r>
      <w:r>
        <w:rPr>
          <w:rFonts w:ascii="宋体" w:hAnsi="宋体" w:cs="宋体" w:eastAsia="宋体" w:hint="ascii"/>
          <w:sz w:val="15"/>
          <w:spacing w:val="19"/>
        </w:rPr>
        <w:t>年</w:t>
      </w:r>
      <w:r>
        <w:rPr>
          <w:rFonts w:ascii="Times New Roman" w:hAnsi="Times New Roman" w:cs="Times New Roman" w:eastAsia="Times New Roman" w:hint="ascii"/>
          <w:sz w:val="15"/>
          <w:spacing w:val="38"/>
        </w:rPr>
        <w:t>1</w:t>
      </w:r>
      <w:r>
        <w:rPr>
          <w:rFonts w:ascii="宋体" w:hAnsi="宋体" w:cs="宋体" w:eastAsia="宋体" w:hint="ascii"/>
          <w:sz w:val="15"/>
        </w:rPr>
        <w:t>月第</w:t>
      </w:r>
      <w:r>
        <w:rPr>
          <w:rFonts w:ascii="宋体" w:hAnsi="宋体" w:cs="宋体" w:eastAsia="宋体" w:hint="ascii"/>
          <w:sz w:val="15"/>
          <w:spacing w:val="35"/>
        </w:rPr>
        <w:t xml:space="preserve"> </w:t>
      </w:r>
      <w:r>
        <w:rPr>
          <w:rFonts w:ascii="宋体" w:hAnsi="宋体" w:cs="宋体" w:eastAsia="宋体" w:hint="ascii"/>
          <w:sz w:val="15"/>
        </w:rPr>
        <w:t>一</w:t>
      </w:r>
      <w:r>
        <w:rPr>
          <w:rFonts w:ascii="宋体" w:hAnsi="宋体" w:cs="宋体" w:eastAsia="宋体" w:hint="ascii"/>
          <w:sz w:val="15"/>
          <w:spacing w:val="33"/>
        </w:rPr>
        <w:t xml:space="preserve"> </w:t>
      </w:r>
      <w:r>
        <w:rPr>
          <w:rFonts w:ascii="宋体" w:hAnsi="宋体" w:cs="宋体" w:eastAsia="宋体" w:hint="ascii"/>
          <w:sz w:val="15"/>
        </w:rPr>
        <w:t>版</w:t>
      </w:r>
      <w:r>
        <w:rPr>
          <w:rFonts w:ascii="宋体" w:hAnsi="宋体" w:cs="宋体" w:eastAsia="宋体" w:hint="ascii"/>
          <w:sz w:val="15"/>
          <w:spacing w:val="38"/>
        </w:rPr>
        <w:t xml:space="preserve"> </w:t>
      </w:r>
      <w:r>
        <w:rPr>
          <w:rFonts w:ascii="宋体" w:hAnsi="宋体" w:cs="宋体" w:eastAsia="宋体" w:hint="ascii"/>
          <w:sz w:val="15"/>
        </w:rPr>
        <w:t>开本：</w:t>
      </w:r>
      <w:r>
        <w:rPr>
          <w:rFonts w:ascii="Times New Roman" w:hAnsi="Times New Roman" w:cs="Times New Roman" w:eastAsia="Times New Roman" w:hint="ascii"/>
          <w:sz w:val="15"/>
        </w:rPr>
        <w:t>787×1092</w:t>
      </w:r>
      <w:r>
        <w:rPr>
          <w:rFonts w:ascii="Times New Roman" w:hAnsi="Times New Roman" w:cs="Times New Roman" w:eastAsia="Times New Roman" w:hint="ascii"/>
          <w:sz w:val="15"/>
          <w:spacing w:val="153"/>
        </w:rPr>
        <w:t xml:space="preserve"> </w:t>
      </w:r>
      <w:r>
        <w:rPr>
          <w:rFonts w:ascii="Times New Roman" w:hAnsi="Times New Roman" w:cs="Times New Roman" w:eastAsia="Times New Roman" w:hint="ascii"/>
          <w:sz w:val="15"/>
        </w:rPr>
        <w:t>1/16</w:t>
      </w:r>
    </w:p>
    <w:p>
      <w:pPr>
        <w:autoSpaceDE w:val="0"/>
        <w:autoSpaceDN w:val="0"/>
        <w:jc w:val="both"/>
        <w:spacing w:before="23" w:after="0" w:lineRule="exact" w:line="284"/>
        <w:ind w:right="4058" w:left="4494" w:hanging="1145"/>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1"/>
        </w:rPr>
        <w:t>2</w:t>
      </w:r>
      <w:r>
        <w:rPr>
          <w:rFonts w:ascii="Times New Roman" w:hAnsi="Times New Roman" w:cs="Times New Roman" w:eastAsia="Times New Roman" w:hint="ascii"/>
          <w:sz w:val="15"/>
          <w:spacing w:val="-1"/>
        </w:rPr>
        <w:t>0</w:t>
      </w:r>
      <w:r>
        <w:rPr>
          <w:rFonts w:ascii="Times New Roman" w:hAnsi="Times New Roman" w:cs="Times New Roman" w:eastAsia="Times New Roman" w:hint="ascii"/>
          <w:sz w:val="15"/>
          <w:spacing w:val="1"/>
        </w:rPr>
        <w:t>1</w:t>
      </w:r>
      <w:r>
        <w:rPr>
          <w:rFonts w:ascii="Times New Roman" w:hAnsi="Times New Roman" w:cs="Times New Roman" w:eastAsia="Times New Roman" w:hint="ascii"/>
          <w:sz w:val="15"/>
          <w:spacing w:val="38"/>
        </w:rPr>
        <w:t>8</w:t>
      </w:r>
      <w:r>
        <w:rPr>
          <w:rFonts w:ascii="宋体" w:hAnsi="宋体" w:cs="宋体" w:eastAsia="宋体" w:hint="ascii"/>
          <w:sz w:val="15"/>
          <w:spacing w:val="17"/>
        </w:rPr>
        <w:t>年</w:t>
      </w:r>
      <w:r>
        <w:rPr>
          <w:rFonts w:ascii="Times New Roman" w:hAnsi="Times New Roman" w:cs="Times New Roman" w:eastAsia="Times New Roman" w:hint="ascii"/>
          <w:sz w:val="15"/>
          <w:spacing w:val="36"/>
        </w:rPr>
        <w:t>1</w:t>
      </w:r>
      <w:r>
        <w:rPr>
          <w:rFonts w:ascii="宋体" w:hAnsi="宋体" w:cs="宋体" w:eastAsia="宋体" w:hint="ascii"/>
          <w:sz w:val="15"/>
          <w:spacing w:val="-2"/>
        </w:rPr>
        <w:t>月第一次印刷</w:t>
      </w:r>
      <w:r>
        <w:rPr>
          <w:rFonts w:ascii="宋体" w:hAnsi="宋体" w:cs="宋体" w:eastAsia="宋体" w:hint="ascii"/>
          <w:sz w:val="15"/>
          <w:spacing w:val="36"/>
        </w:rPr>
        <w:t xml:space="preserve"> </w:t>
      </w:r>
      <w:r>
        <w:rPr>
          <w:rFonts w:ascii="宋体" w:hAnsi="宋体" w:cs="宋体" w:eastAsia="宋体" w:hint="ascii"/>
          <w:sz w:val="15"/>
          <w:spacing w:val="-2"/>
        </w:rPr>
        <w:t>印张：</w:t>
      </w:r>
      <w:r>
        <w:rPr>
          <w:rFonts w:ascii="Times New Roman" w:hAnsi="Times New Roman" w:cs="Times New Roman" w:eastAsia="Times New Roman" w:hint="ascii"/>
          <w:sz w:val="15"/>
          <w:spacing w:val="-1"/>
        </w:rPr>
        <w:t>20 1/4</w:t>
      </w:r>
      <w:r>
        <w:rPr>
          <w:rFonts w:ascii="Times New Roman" w:hAnsi="Times New Roman" w:cs="Times New Roman" w:eastAsia="Times New Roman" w:hint="ascii"/>
          <w:sz w:val="15"/>
        </w:rPr>
        <w:t xml:space="preserve"> </w:t>
      </w:r>
      <w:r>
        <w:rPr>
          <w:rFonts w:ascii="宋体" w:hAnsi="宋体" w:cs="宋体" w:eastAsia="宋体" w:hint="ascii"/>
          <w:sz w:val="15"/>
        </w:rPr>
        <w:t>字数：</w:t>
      </w:r>
      <w:r>
        <w:rPr>
          <w:rFonts w:ascii="Times New Roman" w:hAnsi="Times New Roman" w:cs="Times New Roman" w:eastAsia="Times New Roman" w:hint="ascii"/>
          <w:sz w:val="15"/>
        </w:rPr>
        <w:t>430 000</w:t>
      </w:r>
    </w:p>
    <w:p>
      <w:pPr>
        <w:autoSpaceDE w:val="0"/>
        <w:autoSpaceDN w:val="0"/>
        <w:jc w:val="left"/>
        <w:spacing w:before="58" w:after="0" w:lineRule="exact" w:line="225"/>
        <w:ind w:right="0" w:left="4354" w:firstLine="0"/>
        <w:snapToGrid w:val="0"/>
        <w:textAlignment w:val="auto"/>
        <w:tabs/>
        <w:rPr>
          <w:rFonts w:ascii="黑体" w:hAnsi="黑体" w:cs="黑体" w:eastAsia="黑体" w:hint="ascii"/>
          <w:sz w:val="18"/>
        </w:rPr>
      </w:pPr>
      <w:r>
        <w:rPr>
          <w:rFonts w:ascii="黑体" w:hAnsi="黑体" w:cs="黑体" w:eastAsia="黑体" w:hint="ascii"/>
          <w:sz w:val="18"/>
        </w:rPr>
        <w:t>定价：</w:t>
      </w:r>
      <w:r>
        <w:rPr>
          <w:rFonts w:ascii="Arial" w:hAnsi="Arial" w:cs="Arial" w:eastAsia="Arial" w:hint="ascii"/>
          <w:sz w:val="18"/>
        </w:rPr>
        <w:t>48.0</w:t>
      </w:r>
      <w:r>
        <w:rPr>
          <w:rFonts w:ascii="Arial" w:hAnsi="Arial" w:cs="Arial" w:eastAsia="Arial" w:hint="ascii"/>
          <w:sz w:val="18"/>
          <w:spacing w:val="44"/>
        </w:rPr>
        <w:t>0</w:t>
      </w:r>
      <w:r>
        <w:rPr>
          <w:rFonts w:ascii="黑体" w:hAnsi="黑体" w:cs="黑体" w:eastAsia="黑体" w:hint="ascii"/>
          <w:sz w:val="18"/>
        </w:rPr>
        <w:t>元</w:t>
      </w:r>
    </w:p>
    <w:p>
      <w:pPr>
        <w:autoSpaceDE w:val="0"/>
        <w:autoSpaceDN w:val="0"/>
        <w:jc w:val="left"/>
        <w:spacing w:before="103" w:after="0" w:lineRule="exact" w:line="225"/>
        <w:ind w:right="0" w:left="356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（如有印装质量问题，我社负责调换）</w:t>
      </w:r>
      <w:r>
        <w:rPr>
          <w:rFonts w:ascii="宋体" w:hAnsi="宋体" w:cs="宋体" w:eastAsia="宋体" w:hint="ascii"/>
          <w:sz w:val="18"/>
        </w:rPr>
        <mc:AlternateContent>
          <mc:Choice Requires="wps">
            <w:drawing>
              <wp:anchor distL="0" distR="0" distT="0" distB="0" simplePos="0" behindDoc="1" relativeHeight="23" locked="0" layoutInCell="1" allowOverlap="1">
                <wp:simplePos x="0" y="0"/>
                <wp:positionH relativeFrom="page">
                  <wp:posOffset>597535</wp:posOffset>
                </wp:positionH>
                <wp:positionV relativeFrom="page">
                  <wp:posOffset>8836025</wp:posOffset>
                </wp:positionV>
                <wp:extent cx="6056630" cy="742950"/>
                <wp:wrapNone/>
                <wp:docPr id="1050" name="1050"/>
                <wp:cNvGraphicFramePr/>
                <a:graphic>
                  <a:graphicData uri="http://schemas.openxmlformats.org/drawingml/2006/picture">
                    <pic:pic>
                      <pic:nvPicPr>
                        <pic:cNvPr id="23" name="1050"/>
                        <pic:cNvPicPr/>
                      </pic:nvPicPr>
                      <pic:blipFill>
                        <a:blip r:embed="rId11">
                          <a:clrChange>
                            <a:clrFrom>
                              <a:srgbClr val="FFFFFF"/>
                            </a:clrFrom>
                            <a:clrTo>
                              <a:srgbClr val="FFFFFF">
                                <a:alpha val="0"/>
                              </a:srgbClr>
                            </a:clrTo>
                          </a:clrChange>
                        </a:blip>
                        <a:stretch/>
                      </pic:blipFill>
                      <pic:spPr>
                        <a:xfrm>
                          <a:off x="0" y="0"/>
                          <a:ext cx="6056630" cy="742950"/>
                        </a:xfrm>
                        <a:prstGeom prst="rect"/>
                        <a:ln>
                          <a:noFill/>
                        </a:ln>
                      </pic:spPr>
                    </pic:pic>
                  </a:graphicData>
                </a:graphic>
              </wp:anchor>
            </w:drawing>
          </mc:Choice>
          <mc:Fallback>
            <w:pict>
              <v:shapetype id="_x0000_t75" o:spt="75" path="m,l,1170r9538,l9538,xe"/>
              <v:shape type="_x0000_t75" style="position:absolute;mso-position-horizontal:absolute;mso-position-horizontal-relative:page;margin-left:47.05pt;mso-position-vertical:absolute;mso-position-vertical-relative:page;margin-top:695.75pt;z-index:-251634688;width:476.90pt;height:58.50pt;" id="1050" coordsize="9538,1170" stroked="f" filled="f">
                <v:stroke endcap="round"/>
                <w10:wrap anchorx="page" anchory="page" side="both"/>
                <v:imagedata r:id="rId11" chromakey="#FFFFFF"/>
              </v:shape>
            </w:pict>
          </mc:Fallback>
        </mc:AlternateContent>
      </w:r>
      <w:rPr>
        <w:rFonts w:ascii="宋体" w:hAnsi="宋体" w:cs="宋体" w:eastAsia="宋体" w:hint="ascii"/>
        <w:sz w:val="18"/>
      </w:rPr>
    </w:p>
    <w:p>
      <w:pPr>
        <w:autoSpaceDE w:val="0"/>
        <w:autoSpaceDN w:val="0"/>
        <w:jc w:val="left"/>
        <w:spacing w:before="1864" w:after="0" w:lineRule="exact" w:line="550"/>
        <w:ind w:right="0" w:left="3856" w:firstLine="0"/>
        <w:snapToGrid w:val="0"/>
        <w:textAlignment w:val="auto"/>
        <w:tabs/>
        <w:rPr>
          <w:rFonts w:ascii="宋体" w:hAnsi="宋体" w:cs="宋体" w:eastAsia="宋体" w:hint="ascii"/>
          <w:sz w:val="44"/>
        </w:rPr>
      </w:pPr>
      <w:r>
        <w:rPr>
          <w:rFonts w:ascii="宋体" w:hAnsi="宋体" w:cs="宋体" w:eastAsia="宋体" w:hint="ascii"/>
          <w:sz w:val="44"/>
        </w:rPr>
        <w:t>编辑委员会</w:t>
      </w:r>
      <w:r>
        <w:rPr>
          <w:rFonts w:ascii="宋体" w:hAnsi="宋体" w:cs="宋体" w:eastAsia="宋体" w:hint="ascii"/>
          <w:sz w:val="44"/>
        </w:rPr>
        <mc:AlternateContent>
          <mc:Choice Requires="wps">
            <w:drawing>
              <wp:anchor distL="0" distR="0" distT="0" distB="0" simplePos="0" behindDoc="1" relativeHeight="24" locked="0" layoutInCell="1" allowOverlap="1">
                <wp:simplePos x="0" y="0"/>
                <wp:positionH relativeFrom="page">
                  <wp:posOffset>938530</wp:posOffset>
                </wp:positionH>
                <wp:positionV relativeFrom="page">
                  <wp:posOffset>819150</wp:posOffset>
                </wp:positionV>
                <wp:extent cx="5076190" cy="0"/>
                <wp:wrapNone/>
                <wp:docPr id="1051" name="105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33664;width:399.70pt;" id="1051"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44"/>
        </w:rPr>
        <mc:AlternateContent>
          <mc:Choice Requires="wps">
            <w:drawing>
              <wp:anchor distL="0" distR="0" distT="0" distB="0" simplePos="0" behindDoc="1" relativeHeight="25" locked="0" layoutInCell="1" allowOverlap="1">
                <wp:simplePos x="0" y="0"/>
                <wp:positionH relativeFrom="page">
                  <wp:posOffset>437515</wp:posOffset>
                </wp:positionH>
                <wp:positionV relativeFrom="page">
                  <wp:posOffset>28575</wp:posOffset>
                </wp:positionV>
                <wp:extent cx="6049645" cy="876300"/>
                <wp:wrapNone/>
                <wp:docPr id="1052" name="1052"/>
                <wp:cNvGraphicFramePr/>
                <a:graphic>
                  <a:graphicData uri="http://schemas.microsoft.com/office/word/2010/wordprocessingShape">
                    <wps:wsp>
                      <wps:cNvSpPr/>
                      <wps:spPr>
                        <a:xfrm>
                          <a:off x="0" y="0"/>
                          <a:ext cx="6049645" cy="87630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45pt;mso-position-vertical:absolute;mso-position-vertical-relative:page;margin-top:2.25pt;z-index:-251632640;width:476.35pt;height:69.00pt;" id="1052" coordsize="9527,1380" stroked="f" fillcolor="#ffffff" opacity="0f">
                <v:stroke endcap="round"/>
                <v:fill opacity="0f"/>
                <w10:wrap anchorx="page" anchory="page" side="both"/>
              </v:rect>
            </w:pict>
          </mc:Fallback>
        </mc:AlternateContent>
      </w:r>
    </w:p>
    <w:p>
      <w:pPr>
        <w:autoSpaceDE w:val="0"/>
        <w:autoSpaceDN w:val="0"/>
        <w:jc w:val="left"/>
        <w:spacing w:before="502" w:after="0" w:lineRule="exact" w:line="375"/>
        <w:ind w:right="0" w:left="2091" w:firstLine="0"/>
        <w:snapToGrid w:val="0"/>
        <w:textAlignment w:val="auto"/>
        <w:tabs/>
        <w:rPr>
          <w:rFonts w:ascii="宋体" w:hAnsi="宋体" w:cs="宋体" w:eastAsia="宋体" w:hint="ascii"/>
          <w:sz w:val="30"/>
        </w:rPr>
      </w:pPr>
      <w:r>
        <w:rPr>
          <w:rFonts w:ascii="宋体" w:hAnsi="宋体" w:cs="宋体" w:eastAsia="宋体" w:hint="ascii"/>
          <w:sz w:val="30"/>
        </w:rPr>
        <w:t>主</w:t>
      </w:r>
      <w:r>
        <w:rPr>
          <w:rFonts w:ascii="宋体" w:hAnsi="宋体" w:cs="宋体" w:eastAsia="宋体" w:hint="ascii"/>
          <w:sz w:val="30"/>
          <w:spacing w:val="225"/>
        </w:rPr>
        <w:t xml:space="preserve"> </w:t>
      </w:r>
      <w:r>
        <w:rPr>
          <w:rFonts w:ascii="宋体" w:hAnsi="宋体" w:cs="宋体" w:eastAsia="宋体" w:hint="ascii"/>
          <w:sz w:val="30"/>
        </w:rPr>
        <w:t>任：</w:t>
      </w:r>
      <w:r>
        <w:rPr>
          <w:rFonts w:ascii="宋体" w:hAnsi="宋体" w:cs="宋体" w:eastAsia="宋体" w:hint="ascii"/>
          <w:sz w:val="30"/>
        </w:rPr>
        <w:t>高瑞平</w:t>
      </w:r>
    </w:p>
    <w:p>
      <w:pPr>
        <w:autoSpaceDE w:val="0"/>
        <w:autoSpaceDN w:val="0"/>
        <w:jc w:val="left"/>
        <w:spacing w:before="105" w:after="0" w:lineRule="exact" w:line="375"/>
        <w:ind w:right="0" w:left="2091" w:firstLine="0"/>
        <w:snapToGrid w:val="0"/>
        <w:textAlignment w:val="auto"/>
        <w:tabs/>
        <w:rPr>
          <w:rFonts w:ascii="宋体" w:hAnsi="宋体" w:cs="宋体" w:eastAsia="宋体" w:hint="ascii"/>
          <w:sz w:val="30"/>
        </w:rPr>
      </w:pPr>
      <w:r>
        <w:rPr>
          <w:rFonts w:ascii="宋体" w:hAnsi="宋体" w:cs="宋体" w:eastAsia="宋体" w:hint="ascii"/>
          <w:sz w:val="30"/>
        </w:rPr>
        <w:t>副 主 任：</w:t>
      </w:r>
      <w:r>
        <w:rPr>
          <w:rFonts w:ascii="宋体" w:hAnsi="宋体" w:cs="宋体" w:eastAsia="宋体" w:hint="ascii"/>
          <w:sz w:val="30"/>
        </w:rPr>
        <w:t>王长锐</w:t>
      </w:r>
    </w:p>
    <w:p>
      <w:pPr>
        <w:autoSpaceDE w:val="0"/>
        <w:autoSpaceDN w:val="0"/>
        <w:jc w:val="left"/>
        <w:spacing w:before="105" w:after="0" w:lineRule="exact" w:line="375"/>
        <w:ind w:right="0" w:left="2091" w:firstLine="0"/>
        <w:snapToGrid w:val="0"/>
        <w:textAlignment w:val="auto"/>
        <w:tabs/>
        <w:rPr>
          <w:rFonts w:ascii="宋体" w:hAnsi="宋体" w:cs="宋体" w:eastAsia="宋体" w:hint="ascii"/>
          <w:sz w:val="30"/>
        </w:rPr>
      </w:pPr>
      <w:r>
        <w:rPr>
          <w:rFonts w:ascii="宋体" w:hAnsi="宋体" w:cs="宋体" w:eastAsia="宋体" w:hint="ascii"/>
          <w:sz w:val="30"/>
        </w:rPr>
        <w:t>委</w:t>
      </w:r>
      <w:r>
        <w:rPr>
          <w:rFonts w:ascii="宋体" w:hAnsi="宋体" w:cs="宋体" w:eastAsia="宋体" w:hint="ascii"/>
          <w:sz w:val="30"/>
          <w:spacing w:val="225"/>
        </w:rPr>
        <w:t xml:space="preserve"> </w:t>
      </w:r>
      <w:r>
        <w:rPr>
          <w:rFonts w:ascii="宋体" w:hAnsi="宋体" w:cs="宋体" w:eastAsia="宋体" w:hint="ascii"/>
          <w:sz w:val="30"/>
        </w:rPr>
        <w:t>员</w:t>
      </w:r>
      <w:r>
        <w:rPr>
          <w:rFonts w:ascii="宋体" w:hAnsi="宋体" w:cs="宋体" w:eastAsia="宋体" w:hint="ascii"/>
        </w:rPr>
        <w:t>（</w:t>
      </w:r>
      <w:r>
        <w:rPr>
          <w:rFonts w:ascii="宋体" w:hAnsi="宋体" w:cs="宋体" w:eastAsia="宋体" w:hint="ascii"/>
        </w:rPr>
        <w:t>以姓氏笔画为序</w:t>
      </w:r>
      <w:r>
        <w:rPr>
          <w:rFonts w:ascii="宋体" w:hAnsi="宋体" w:cs="宋体" w:eastAsia="宋体" w:hint="ascii"/>
          <w:spacing w:val="-60"/>
        </w:rPr>
        <w:t>）</w:t>
      </w:r>
      <w:r>
        <w:rPr>
          <w:rFonts w:ascii="宋体" w:hAnsi="宋体" w:cs="宋体" w:eastAsia="宋体" w:hint="ascii"/>
          <w:sz w:val="30"/>
        </w:rPr>
        <w:t>：</w:t>
      </w:r>
    </w:p>
    <w:p>
      <w:pPr>
        <w:autoSpaceDE w:val="0"/>
        <w:autoSpaceDN w:val="0"/>
        <w:jc w:val="both"/>
        <w:spacing w:before="21" w:after="0" w:lineRule="exact" w:line="480"/>
        <w:ind w:right="1833" w:left="3591" w:firstLine="0"/>
        <w:snapToGrid w:val="0"/>
        <w:textAlignment w:val="auto"/>
        <w:tabs/>
        <w:rPr>
          <w:rFonts w:ascii="宋体" w:hAnsi="宋体" w:cs="宋体" w:eastAsia="宋体" w:hint="ascii"/>
          <w:sz w:val="30"/>
        </w:rPr>
      </w:pPr>
      <w:r>
        <w:rPr>
          <w:rFonts w:ascii="宋体" w:hAnsi="宋体" w:cs="宋体" w:eastAsia="宋体" w:hint="ascii"/>
          <w:sz w:val="30"/>
          <w:spacing w:val="-1"/>
        </w:rPr>
        <w:t>车成卫</w:t>
      </w:r>
      <w:r>
        <w:rPr>
          <w:rFonts w:ascii="宋体" w:hAnsi="宋体" w:cs="宋体" w:eastAsia="宋体" w:hint="ascii"/>
          <w:sz w:val="30"/>
          <w:spacing w:val="74"/>
        </w:rPr>
        <w:t xml:space="preserve"> </w:t>
      </w:r>
      <w:r>
        <w:rPr>
          <w:rFonts w:ascii="宋体" w:hAnsi="宋体" w:cs="宋体" w:eastAsia="宋体" w:hint="ascii"/>
          <w:sz w:val="30"/>
          <w:spacing w:val="-1"/>
        </w:rPr>
        <w:t>冯</w:t>
      </w:r>
      <w:r>
        <w:rPr>
          <w:rFonts w:ascii="宋体" w:hAnsi="宋体" w:cs="宋体" w:eastAsia="宋体" w:hint="ascii"/>
          <w:sz w:val="30"/>
          <w:spacing w:val="74"/>
        </w:rPr>
        <w:t xml:space="preserve"> </w:t>
      </w:r>
      <w:r>
        <w:rPr>
          <w:rFonts w:ascii="宋体" w:hAnsi="宋体" w:cs="宋体" w:eastAsia="宋体" w:hint="ascii"/>
          <w:sz w:val="30"/>
        </w:rPr>
        <w:t>锋</w:t>
      </w:r>
      <w:r>
        <w:rPr>
          <w:rFonts w:ascii="宋体" w:hAnsi="宋体" w:cs="宋体" w:eastAsia="宋体" w:hint="ascii"/>
          <w:sz w:val="30"/>
          <w:spacing w:val="75"/>
        </w:rPr>
        <w:t xml:space="preserve"> </w:t>
      </w:r>
      <w:r>
        <w:rPr>
          <w:rFonts w:ascii="宋体" w:hAnsi="宋体" w:cs="宋体" w:eastAsia="宋体" w:hint="ascii"/>
          <w:sz w:val="30"/>
        </w:rPr>
        <w:t>朱蔚彤</w:t>
      </w:r>
      <w:r>
        <w:rPr>
          <w:rFonts w:ascii="宋体" w:hAnsi="宋体" w:cs="宋体" w:eastAsia="宋体" w:hint="ascii"/>
          <w:sz w:val="30"/>
          <w:spacing w:val="75"/>
        </w:rPr>
        <w:t xml:space="preserve"> </w:t>
      </w:r>
      <w:r>
        <w:rPr>
          <w:rFonts w:ascii="宋体" w:hAnsi="宋体" w:cs="宋体" w:eastAsia="宋体" w:hint="ascii"/>
          <w:sz w:val="30"/>
        </w:rPr>
        <w:t>孙瑞娟</w:t>
      </w:r>
      <w:r>
        <w:rPr>
          <w:rFonts w:ascii="宋体" w:hAnsi="宋体" w:cs="宋体" w:eastAsia="宋体" w:hint="ascii"/>
          <w:sz w:val="30"/>
          <w:spacing w:val="-1"/>
        </w:rPr>
        <w:t>杜生明</w:t>
      </w:r>
      <w:r>
        <w:rPr>
          <w:rFonts w:ascii="宋体" w:hAnsi="宋体" w:cs="宋体" w:eastAsia="宋体" w:hint="ascii"/>
          <w:sz w:val="30"/>
          <w:spacing w:val="74"/>
        </w:rPr>
        <w:t xml:space="preserve"> </w:t>
      </w:r>
      <w:r>
        <w:rPr>
          <w:rFonts w:ascii="宋体" w:hAnsi="宋体" w:cs="宋体" w:eastAsia="宋体" w:hint="ascii"/>
          <w:sz w:val="30"/>
          <w:spacing w:val="-1"/>
        </w:rPr>
        <w:t>李建</w:t>
      </w:r>
      <w:r>
        <w:rPr>
          <w:rFonts w:ascii="宋体" w:hAnsi="宋体" w:cs="宋体" w:eastAsia="宋体" w:hint="ascii"/>
          <w:sz w:val="30"/>
        </w:rPr>
        <w:t>军</w:t>
      </w:r>
      <w:r>
        <w:rPr>
          <w:rFonts w:ascii="宋体" w:hAnsi="宋体" w:cs="宋体" w:eastAsia="宋体" w:hint="ascii"/>
          <w:sz w:val="30"/>
          <w:spacing w:val="75"/>
        </w:rPr>
        <w:t xml:space="preserve"> </w:t>
      </w:r>
      <w:r>
        <w:rPr>
          <w:rFonts w:ascii="宋体" w:hAnsi="宋体" w:cs="宋体" w:eastAsia="宋体" w:hint="ascii"/>
          <w:sz w:val="30"/>
        </w:rPr>
        <w:t>张兆田</w:t>
      </w:r>
      <w:r>
        <w:rPr>
          <w:rFonts w:ascii="宋体" w:hAnsi="宋体" w:cs="宋体" w:eastAsia="宋体" w:hint="ascii"/>
          <w:sz w:val="30"/>
          <w:spacing w:val="75"/>
        </w:rPr>
        <w:t xml:space="preserve"> </w:t>
      </w:r>
      <w:r>
        <w:rPr>
          <w:rFonts w:ascii="宋体" w:hAnsi="宋体" w:cs="宋体" w:eastAsia="宋体" w:hint="ascii"/>
          <w:sz w:val="30"/>
        </w:rPr>
        <w:t>张香平</w:t>
      </w:r>
      <w:r>
        <w:rPr>
          <w:rFonts w:ascii="宋体" w:hAnsi="宋体" w:cs="宋体" w:eastAsia="宋体" w:hint="ascii"/>
          <w:sz w:val="30"/>
          <w:spacing w:val="-1"/>
        </w:rPr>
        <w:t>陈拥军</w:t>
      </w:r>
      <w:r>
        <w:rPr>
          <w:rFonts w:ascii="宋体" w:hAnsi="宋体" w:cs="宋体" w:eastAsia="宋体" w:hint="ascii"/>
          <w:sz w:val="30"/>
          <w:spacing w:val="74"/>
        </w:rPr>
        <w:t xml:space="preserve"> </w:t>
      </w:r>
      <w:r>
        <w:rPr>
          <w:rFonts w:ascii="宋体" w:hAnsi="宋体" w:cs="宋体" w:eastAsia="宋体" w:hint="ascii"/>
          <w:sz w:val="30"/>
          <w:spacing w:val="-1"/>
        </w:rPr>
        <w:t>郑仲</w:t>
      </w:r>
      <w:r>
        <w:rPr>
          <w:rFonts w:ascii="宋体" w:hAnsi="宋体" w:cs="宋体" w:eastAsia="宋体" w:hint="ascii"/>
          <w:sz w:val="30"/>
        </w:rPr>
        <w:t>文</w:t>
      </w:r>
      <w:r>
        <w:rPr>
          <w:rFonts w:ascii="宋体" w:hAnsi="宋体" w:cs="宋体" w:eastAsia="宋体" w:hint="ascii"/>
          <w:sz w:val="30"/>
          <w:spacing w:val="75"/>
        </w:rPr>
        <w:t xml:space="preserve"> </w:t>
      </w:r>
      <w:r>
        <w:rPr>
          <w:rFonts w:ascii="宋体" w:hAnsi="宋体" w:cs="宋体" w:eastAsia="宋体" w:hint="ascii"/>
          <w:sz w:val="30"/>
        </w:rPr>
        <w:t>孟庆国</w:t>
      </w:r>
      <w:r>
        <w:rPr>
          <w:rFonts w:ascii="宋体" w:hAnsi="宋体" w:cs="宋体" w:eastAsia="宋体" w:hint="ascii"/>
          <w:sz w:val="30"/>
          <w:spacing w:val="75"/>
        </w:rPr>
        <w:t xml:space="preserve"> </w:t>
      </w:r>
      <w:r>
        <w:rPr>
          <w:rFonts w:ascii="宋体" w:hAnsi="宋体" w:cs="宋体" w:eastAsia="宋体" w:hint="ascii"/>
          <w:sz w:val="30"/>
        </w:rPr>
        <w:t>柴育成高自友</w:t>
      </w:r>
      <w:r>
        <w:rPr>
          <w:rFonts w:ascii="宋体" w:hAnsi="宋体" w:cs="宋体" w:eastAsia="宋体" w:hint="ascii"/>
          <w:sz w:val="30"/>
          <w:spacing w:val="75"/>
        </w:rPr>
        <w:t xml:space="preserve"> </w:t>
      </w:r>
      <w:r>
        <w:rPr>
          <w:rFonts w:ascii="宋体" w:hAnsi="宋体" w:cs="宋体" w:eastAsia="宋体" w:hint="ascii"/>
          <w:sz w:val="30"/>
        </w:rPr>
        <w:t>温明章</w:t>
      </w:r>
    </w:p>
    <w:p>
      <w:pPr>
        <w:autoSpaceDE w:val="0"/>
        <w:autoSpaceDN w:val="0"/>
        <w:jc w:val="left"/>
        <w:spacing w:before="84" w:after="0" w:lineRule="exact" w:line="375"/>
        <w:ind w:right="0" w:left="2091" w:firstLine="0"/>
        <w:snapToGrid w:val="0"/>
        <w:textAlignment w:val="auto"/>
        <w:tabs/>
        <w:rPr>
          <w:rFonts w:ascii="宋体" w:hAnsi="宋体" w:cs="宋体" w:eastAsia="宋体" w:hint="ascii"/>
          <w:sz w:val="30"/>
        </w:rPr>
      </w:pPr>
      <w:r>
        <w:rPr>
          <w:rFonts w:ascii="宋体" w:hAnsi="宋体" w:cs="宋体" w:eastAsia="宋体" w:hint="ascii"/>
          <w:sz w:val="30"/>
        </w:rPr>
        <w:t>责任编辑</w:t>
      </w:r>
      <w:r>
        <w:rPr>
          <w:rFonts w:ascii="宋体" w:hAnsi="宋体" w:cs="宋体" w:eastAsia="宋体" w:hint="ascii"/>
        </w:rPr>
        <w:t>（</w:t>
      </w:r>
      <w:r>
        <w:rPr>
          <w:rFonts w:ascii="宋体" w:hAnsi="宋体" w:cs="宋体" w:eastAsia="宋体" w:hint="ascii"/>
        </w:rPr>
        <w:t>以姓氏笔画为序</w:t>
      </w:r>
      <w:r>
        <w:rPr>
          <w:rFonts w:ascii="宋体" w:hAnsi="宋体" w:cs="宋体" w:eastAsia="宋体" w:hint="ascii"/>
          <w:spacing w:val="-60"/>
        </w:rPr>
        <w:t>）</w:t>
      </w:r>
      <w:r>
        <w:rPr>
          <w:rFonts w:ascii="宋体" w:hAnsi="宋体" w:cs="宋体" w:eastAsia="宋体" w:hint="ascii"/>
          <w:sz w:val="30"/>
        </w:rPr>
        <w:t>：</w:t>
      </w:r>
    </w:p>
    <w:p>
      <w:pPr>
        <w:autoSpaceDE w:val="0"/>
        <w:autoSpaceDN w:val="0"/>
        <w:jc w:val="left"/>
        <w:spacing w:before="105" w:after="0" w:lineRule="exact" w:line="375"/>
        <w:ind w:right="0" w:left="359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0"/>
        </w:rPr>
      </w:pPr>
      <w:r>
        <w:rPr>
          <w:rFonts w:ascii="宋体" w:hAnsi="宋体" w:cs="宋体" w:eastAsia="宋体" w:hint="ascii"/>
          <w:sz w:val="30"/>
        </w:rPr>
        <w:t>袁幼新</w:t>
      </w:r>
      <w:r>
        <w:rPr>
          <w:rFonts w:ascii="宋体" w:hAnsi="宋体" w:cs="宋体" w:eastAsia="宋体" w:hint="ascii"/>
          <w:sz w:val="30"/>
          <w:spacing w:val="75"/>
        </w:rPr>
        <w:t xml:space="preserve"> </w:t>
      </w:r>
      <w:r>
        <w:rPr>
          <w:rFonts w:ascii="宋体" w:hAnsi="宋体" w:cs="宋体" w:eastAsia="宋体" w:hint="ascii"/>
          <w:sz w:val="30"/>
        </w:rPr>
        <w:t>谢焕瑛</w:t>
      </w:r>
      <w:r>
        <w:rPr>
          <w:rFonts w:ascii="宋体" w:hAnsi="宋体" w:cs="宋体" w:eastAsia="宋体" w:hint="ascii"/>
          <w:sz w:val="30"/>
        </w:rPr>
        <mc:AlternateContent>
          <mc:Choice Requires="wps">
            <w:drawing>
              <wp:anchor distL="0" distR="0" distT="0" distB="0" simplePos="0" behindDoc="1" relativeHeight="26" locked="0" layoutInCell="1" allowOverlap="1">
                <wp:simplePos x="0" y="0"/>
                <wp:positionH relativeFrom="page">
                  <wp:posOffset>434340</wp:posOffset>
                </wp:positionH>
                <wp:positionV relativeFrom="page">
                  <wp:posOffset>8882380</wp:posOffset>
                </wp:positionV>
                <wp:extent cx="6055995" cy="696595"/>
                <wp:wrapNone/>
                <wp:docPr id="1053" name="1053"/>
                <wp:cNvGraphicFramePr/>
                <a:graphic>
                  <a:graphicData uri="http://schemas.openxmlformats.org/drawingml/2006/picture">
                    <pic:pic>
                      <pic:nvPicPr>
                        <pic:cNvPr id="26" name="1053"/>
                        <pic:cNvPicPr/>
                      </pic:nvPicPr>
                      <pic:blipFill>
                        <a:blip r:embed="rId12">
                          <a:clrChange>
                            <a:clrFrom>
                              <a:srgbClr val="FFFFFF"/>
                            </a:clrFrom>
                            <a:clrTo>
                              <a:srgbClr val="FFFFFF">
                                <a:alpha val="0"/>
                              </a:srgbClr>
                            </a:clrTo>
                          </a:clrChange>
                        </a:blip>
                        <a:stretch/>
                      </pic:blipFill>
                      <pic:spPr>
                        <a:xfrm>
                          <a:off x="0" y="0"/>
                          <a:ext cx="6055995" cy="696595"/>
                        </a:xfrm>
                        <a:prstGeom prst="rect"/>
                        <a:ln>
                          <a:noFill/>
                        </a:ln>
                      </pic:spPr>
                    </pic:pic>
                  </a:graphicData>
                </a:graphic>
              </wp:anchor>
            </w:drawing>
          </mc:Choice>
          <mc:Fallback>
            <w:pict>
              <v:shapetype id="_x0000_t75" o:spt="75" path="m,l,1097r9537,l9537,xe"/>
              <v:shape type="_x0000_t75" style="position:absolute;mso-position-horizontal:absolute;mso-position-horizontal-relative:page;margin-left:34.20pt;mso-position-vertical:absolute;mso-position-vertical-relative:page;margin-top:699.40pt;z-index:-251631616;width:476.85pt;height:54.85pt;" id="1053" coordsize="9537,1097" stroked="f" filled="f">
                <v:stroke endcap="round"/>
                <w10:wrap anchorx="page" anchory="page" side="both"/>
                <v:imagedata r:id="rId12" chromakey="#FFFFFF"/>
              </v:shape>
            </w:pict>
          </mc:Fallback>
        </mc:AlternateContent>
      </w:r>
      <w:rPr>
        <w:rFonts w:ascii="宋体" w:hAnsi="宋体" w:cs="宋体" w:eastAsia="宋体" w:hint="ascii"/>
        <w:sz w:val="30"/>
      </w:rPr>
    </w:p>
    <w:p>
      <w:pPr>
        <w:autoSpaceDE w:val="0"/>
        <w:autoSpaceDN w:val="0"/>
        <w:jc w:val="left"/>
        <w:spacing w:before="0" w:after="0" w:lineRule="auto" w:line="240"/>
        <w:ind w:right="0" w:left="0" w:firstLine="0"/>
        <w:snapToGrid w:val="0"/>
        <w:textAlignment w:val="auto"/>
        <w:tabs/>
        <w:sectPr>
          <w:pgSz w:w="10940" w:h="15080" w:orient="portrait"/>
          <w:pgMar w:top="508" w:right="508" w:bottom="3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0"/>
        </w:rPr>
      </w:pPr>
      <w:r>
        <w:rPr>
          <w:rFonts w:ascii="宋体" w:hAnsi="宋体" w:cs="宋体" w:eastAsia="宋体" w:hint="ascii"/>
          <w:sz w:val="30"/>
        </w:rPr>
        <mc:AlternateContent>
          <mc:Choice Requires="wps">
            <w:drawing>
              <wp:anchor distL="0" distR="0" distT="0" distB="0" simplePos="0" behindDoc="1" relativeHeight="27" locked="0" layoutInCell="1" allowOverlap="1">
                <wp:simplePos x="0" y="0"/>
                <wp:positionH relativeFrom="page">
                  <wp:posOffset>938530</wp:posOffset>
                </wp:positionH>
                <wp:positionV relativeFrom="page">
                  <wp:posOffset>805815</wp:posOffset>
                </wp:positionV>
                <wp:extent cx="5076190" cy="0"/>
                <wp:wrapNone/>
                <wp:docPr id="1054" name="105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30592;width:399.70pt;" id="1054"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30"/>
        </w:rPr>
        <mc:AlternateContent>
          <mc:Choice Requires="wps">
            <w:drawing>
              <wp:anchor distL="0" distR="0" distT="0" distB="0" simplePos="0" behindDoc="1" relativeHeight="28" locked="0" layoutInCell="1" allowOverlap="1">
                <wp:simplePos x="0" y="0"/>
                <wp:positionH relativeFrom="page">
                  <wp:posOffset>589915</wp:posOffset>
                </wp:positionH>
                <wp:positionV relativeFrom="page">
                  <wp:posOffset>180975</wp:posOffset>
                </wp:positionV>
                <wp:extent cx="6049645" cy="876300"/>
                <wp:wrapNone/>
                <wp:docPr id="1055" name="1055"/>
                <wp:cNvGraphicFramePr/>
                <a:graphic>
                  <a:graphicData uri="http://schemas.microsoft.com/office/word/2010/wordprocessingShape">
                    <wps:wsp>
                      <wps:cNvSpPr/>
                      <wps:spPr>
                        <a:xfrm>
                          <a:off x="0" y="0"/>
                          <a:ext cx="6049645" cy="87630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6.45pt;mso-position-vertical:absolute;mso-position-vertical-relative:page;margin-top:14.25pt;z-index:-251629568;width:476.35pt;height:69.00pt;" id="1055" coordsize="9527,1380" stroked="f" fillcolor="#ffffff" opacity="0f">
                <v:stroke endcap="round"/>
                <v:fill opacity="0f"/>
                <w10:wrap anchorx="page" anchory="page" side="both"/>
              </v:rect>
            </w:pict>
          </mc:Fallback>
        </mc:AlternateContent>
      </w:r>
      <w:r>
        <w:rPr>
          <w:rFonts w:ascii="宋体" w:hAnsi="宋体" w:cs="宋体" w:eastAsia="宋体" w:hint="ascii"/>
          <w:sz w:val="30"/>
        </w:rPr>
        <mc:AlternateContent>
          <mc:Choice Requires="wps">
            <w:drawing>
              <wp:anchor distL="0" distR="0" distT="0" distB="0" simplePos="0" behindDoc="1" relativeHeight="29" locked="0" layoutInCell="1" allowOverlap="1">
                <wp:simplePos x="0" y="0"/>
                <wp:positionH relativeFrom="page">
                  <wp:posOffset>589915</wp:posOffset>
                </wp:positionH>
                <wp:positionV relativeFrom="page">
                  <wp:posOffset>8428355</wp:posOffset>
                </wp:positionV>
                <wp:extent cx="6049645" cy="876935"/>
                <wp:wrapNone/>
                <wp:docPr id="1056" name="1056"/>
                <wp:cNvGraphicFramePr/>
                <a:graphic>
                  <a:graphicData uri="http://schemas.microsoft.com/office/word/2010/wordprocessingShape">
                    <wps:wsp>
                      <wps:cNvSpPr/>
                      <wps:spPr>
                        <a:xfrm>
                          <a:off x="0" y="0"/>
                          <a:ext cx="6049645"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6.45pt;mso-position-vertical:absolute;mso-position-vertical-relative:page;margin-top:663.65pt;z-index:-251628544;width:476.35pt;height:69.05pt;" id="1056" coordsize="9527,1381" stroked="f" fillcolor="#ffffff" opacity="0f">
                <v:stroke endcap="round"/>
                <v:fill opacity="0f"/>
                <w10:wrap anchorx="page" anchory="page" side="both"/>
              </v:rect>
            </w:pict>
          </mc:Fallback>
        </mc:AlternateContent>
      </w:r>
      <w:rPr>
        <w:rFonts w:ascii="宋体" w:hAnsi="宋体" w:cs="宋体" w:eastAsia="宋体" w:hint="ascii"/>
        <w:sz w:val="30"/>
      </w:rPr>
    </w:p>
    <w:p>
      <w:pPr>
        <w:autoSpaceDE w:val="0"/>
        <w:autoSpaceDN w:val="0"/>
        <w:jc w:val="left"/>
        <w:spacing w:before="1458" w:after="0" w:lineRule="exact" w:line="475"/>
        <w:ind w:right="0" w:left="4196" w:firstLine="0"/>
        <w:snapToGrid w:val="0"/>
        <w:textAlignment w:val="auto"/>
        <w:tabs/>
        <w:rPr>
          <w:rFonts w:ascii="宋体" w:hAnsi="宋体" w:cs="宋体" w:eastAsia="宋体" w:hint="ascii"/>
          <w:sz w:val="38"/>
        </w:rPr>
      </w:pPr>
      <w:r>
        <w:rPr>
          <w:rFonts w:ascii="宋体" w:hAnsi="宋体" w:cs="宋体" w:eastAsia="宋体" w:hint="ascii"/>
          <w:sz w:val="38"/>
        </w:rPr>
        <w:t>前</w:t>
      </w:r>
      <w:r>
        <w:rPr>
          <w:rFonts w:ascii="宋体" w:hAnsi="宋体" w:cs="宋体" w:eastAsia="宋体" w:hint="ascii"/>
          <w:sz w:val="38"/>
          <w:spacing w:val="285"/>
        </w:rPr>
        <w:t xml:space="preserve"> </w:t>
      </w:r>
      <w:r>
        <w:rPr>
          <w:rFonts w:ascii="宋体" w:hAnsi="宋体" w:cs="宋体" w:eastAsia="宋体" w:hint="ascii"/>
          <w:sz w:val="38"/>
        </w:rPr>
        <w:t>言</w:t>
      </w:r>
      <w:r>
        <w:rPr>
          <w:rFonts w:ascii="宋体" w:hAnsi="宋体" w:cs="宋体" w:eastAsia="宋体" w:hint="ascii"/>
          <w:sz w:val="38"/>
        </w:rPr>
        <mc:AlternateContent>
          <mc:Choice Requires="wps">
            <w:drawing>
              <wp:anchor distL="0" distR="0" distT="0" distB="0" simplePos="0" behindDoc="1" relativeHeight="30" locked="0" layoutInCell="1" allowOverlap="1">
                <wp:simplePos x="0" y="0"/>
                <wp:positionH relativeFrom="page">
                  <wp:posOffset>938530</wp:posOffset>
                </wp:positionH>
                <wp:positionV relativeFrom="page">
                  <wp:posOffset>819150</wp:posOffset>
                </wp:positionV>
                <wp:extent cx="5076190" cy="0"/>
                <wp:wrapNone/>
                <wp:docPr id="1057" name="105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27520;width:399.70pt;" id="1057"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38"/>
        </w:rPr>
        <mc:AlternateContent>
          <mc:Choice Requires="wps">
            <w:drawing>
              <wp:anchor distL="0" distR="0" distT="0" distB="0" simplePos="0" behindDoc="1" relativeHeight="41" locked="0" layoutInCell="1" allowOverlap="1">
                <wp:simplePos x="0" y="0"/>
                <wp:positionH relativeFrom="page">
                  <wp:posOffset>478790</wp:posOffset>
                </wp:positionH>
                <wp:positionV relativeFrom="page">
                  <wp:posOffset>95250</wp:posOffset>
                </wp:positionV>
                <wp:extent cx="6050280" cy="876935"/>
                <wp:wrapNone/>
                <wp:docPr id="1058" name="1058"/>
                <wp:cNvGraphicFramePr/>
                <a:graphic>
                  <a:graphicData uri="http://schemas.microsoft.com/office/word/2010/wordprocessingShape">
                    <wps:wsp>
                      <wps:cNvSpPr/>
                      <wps:spPr>
                        <a:xfrm>
                          <a:off x="0" y="0"/>
                          <a:ext cx="6050280"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7.70pt;mso-position-vertical:absolute;mso-position-vertical-relative:page;margin-top:7.50pt;z-index:-251616256;width:476.40pt;height:69.05pt;" id="1058" coordsize="9528,1381" stroked="f" fillcolor="#ffffff" opacity="0f">
                <v:stroke endcap="round"/>
                <v:fill opacity="0f"/>
                <w10:wrap anchorx="page" anchory="page" side="both"/>
              </v:rect>
            </w:pict>
          </mc:Fallback>
        </mc:AlternateContent>
      </w:r>
    </w:p>
    <w:p>
      <w:pPr>
        <w:autoSpaceDE w:val="0"/>
        <w:autoSpaceDN w:val="0"/>
        <w:jc w:val="left"/>
        <w:spacing w:before="278"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党的十九大胜利召开，中国特色社</w:t>
      </w:r>
      <w:r>
        <w:rPr>
          <w:rFonts w:ascii="宋体" w:hAnsi="宋体" w:cs="宋体" w:eastAsia="宋体" w:hint="ascii"/>
          <w:sz w:val="21"/>
          <w:spacing w:val="-1"/>
        </w:rPr>
        <w:t>会主义进入了新时代，这是我国发展新的历史方</w:t>
      </w:r>
      <w:r>
        <w:rPr>
          <w:rFonts w:ascii="宋体" w:hAnsi="宋体" w:cs="宋体" w:eastAsia="宋体" w:hint="ascii"/>
          <w:sz w:val="21"/>
        </w:rPr>
        <w:t xml:space="preserve"> 位。党的十九大报告充分肯定了我国科技创新取得的巨大成就，强调了科技创新在建设</w:t>
      </w:r>
      <w:r>
        <w:rPr>
          <w:rFonts w:ascii="宋体" w:hAnsi="宋体" w:cs="宋体" w:eastAsia="宋体" w:hint="ascii"/>
          <w:sz w:val="21"/>
          <w:spacing w:val="3"/>
        </w:rPr>
        <w:t>社会主义</w:t>
      </w:r>
      <w:r>
        <w:rPr>
          <w:rFonts w:ascii="宋体" w:hAnsi="宋体" w:cs="宋体" w:eastAsia="宋体" w:hint="ascii"/>
          <w:sz w:val="21"/>
        </w:rPr>
        <w:t>现</w:t>
      </w:r>
      <w:r>
        <w:rPr>
          <w:rFonts w:ascii="宋体" w:hAnsi="宋体" w:cs="宋体" w:eastAsia="宋体" w:hint="ascii"/>
          <w:sz w:val="21"/>
          <w:spacing w:val="3"/>
        </w:rPr>
        <w:t>代化强国</w:t>
      </w:r>
      <w:r>
        <w:rPr>
          <w:rFonts w:ascii="宋体" w:hAnsi="宋体" w:cs="宋体" w:eastAsia="宋体" w:hint="ascii"/>
          <w:sz w:val="21"/>
        </w:rPr>
        <w:t>中</w:t>
      </w:r>
      <w:r>
        <w:rPr>
          <w:rFonts w:ascii="宋体" w:hAnsi="宋体" w:cs="宋体" w:eastAsia="宋体" w:hint="ascii"/>
          <w:sz w:val="21"/>
          <w:spacing w:val="3"/>
        </w:rPr>
        <w:t>的重要地</w:t>
      </w:r>
      <w:r>
        <w:rPr>
          <w:rFonts w:ascii="宋体" w:hAnsi="宋体" w:cs="宋体" w:eastAsia="宋体" w:hint="ascii"/>
          <w:sz w:val="21"/>
        </w:rPr>
        <w:t>位</w:t>
      </w:r>
      <w:r>
        <w:rPr>
          <w:rFonts w:ascii="宋体" w:hAnsi="宋体" w:cs="宋体" w:eastAsia="宋体" w:hint="ascii"/>
          <w:sz w:val="21"/>
          <w:spacing w:val="3"/>
        </w:rPr>
        <w:t>和作用，</w:t>
      </w:r>
      <w:r>
        <w:rPr>
          <w:rFonts w:ascii="宋体" w:hAnsi="宋体" w:cs="宋体" w:eastAsia="宋体" w:hint="ascii"/>
          <w:sz w:val="21"/>
        </w:rPr>
        <w:t>对</w:t>
      </w:r>
      <w:r>
        <w:rPr>
          <w:rFonts w:ascii="宋体" w:hAnsi="宋体" w:cs="宋体" w:eastAsia="宋体" w:hint="ascii"/>
          <w:sz w:val="21"/>
          <w:spacing w:val="3"/>
        </w:rPr>
        <w:t>加快建设</w:t>
      </w:r>
      <w:r>
        <w:rPr>
          <w:rFonts w:ascii="宋体" w:hAnsi="宋体" w:cs="宋体" w:eastAsia="宋体" w:hint="ascii"/>
          <w:sz w:val="21"/>
        </w:rPr>
        <w:t>创</w:t>
      </w:r>
      <w:r>
        <w:rPr>
          <w:rFonts w:ascii="宋体" w:hAnsi="宋体" w:cs="宋体" w:eastAsia="宋体" w:hint="ascii"/>
          <w:sz w:val="21"/>
          <w:spacing w:val="3"/>
        </w:rPr>
        <w:t>新型国家</w:t>
      </w:r>
      <w:r>
        <w:rPr>
          <w:rFonts w:ascii="宋体" w:hAnsi="宋体" w:cs="宋体" w:eastAsia="宋体" w:hint="ascii"/>
          <w:sz w:val="21"/>
        </w:rPr>
        <w:t>提</w:t>
      </w:r>
      <w:r>
        <w:rPr>
          <w:rFonts w:ascii="宋体" w:hAnsi="宋体" w:cs="宋体" w:eastAsia="宋体" w:hint="ascii"/>
          <w:sz w:val="21"/>
          <w:spacing w:val="3"/>
        </w:rPr>
        <w:t>出明确部署</w:t>
      </w:r>
      <w:r>
        <w:rPr>
          <w:rFonts w:ascii="宋体" w:hAnsi="宋体" w:cs="宋体" w:eastAsia="宋体" w:hint="ascii"/>
          <w:sz w:val="21"/>
          <w:spacing w:val="4"/>
        </w:rPr>
        <w:t>和</w:t>
      </w:r>
      <w:r>
        <w:rPr>
          <w:rFonts w:ascii="宋体" w:hAnsi="宋体" w:cs="宋体" w:eastAsia="宋体" w:hint="ascii"/>
          <w:sz w:val="21"/>
        </w:rPr>
        <w:t>要求，将基础研究提升到建设创新型国家任务中更加突出的位置。国家自然科学基金委员会（简称自然科学基金委）将认真贯彻党的十九大精神，以习近平新时代中国特色社会主义思想为指导，全面落实新时代对基础研究和科学基金发展提出的新要求，坚持“资助基础研究和科学前沿探索、支持人才和团队建设、增强源头创新能力”的战略定位，坚守“依靠专家、发扬民主、择优支持、公正合理”的评审原则，聚力前瞻部署、聚力科学突破、聚力精准管理，深入实施《国家自然科学基金“十三五”发展规划</w:t>
      </w:r>
      <w:r>
        <w:rPr>
          <w:rFonts w:ascii="宋体" w:hAnsi="宋体" w:cs="宋体" w:eastAsia="宋体" w:hint="ascii"/>
          <w:sz w:val="21"/>
          <w:spacing w:val="-51"/>
        </w:rPr>
        <w:t>》</w:t>
      </w:r>
      <w:r>
        <w:rPr>
          <w:rFonts w:ascii="宋体" w:hAnsi="宋体" w:cs="宋体" w:eastAsia="宋体" w:hint="ascii"/>
          <w:sz w:val="21"/>
        </w:rPr>
        <w:t>，努力为建设创新型国家和夯实世界科技强国建设的科学基础作出更大贡献。</w:t>
      </w:r>
      <w:r>
        <w:rPr>
          <w:rFonts w:ascii="宋体" w:hAnsi="宋体" w:cs="宋体" w:eastAsia="宋体" w:hint="ascii"/>
          <w:sz w:val="21"/>
        </w:rPr>
        <mc:AlternateContent>
          <mc:Choice Requires="wps">
            <w:drawing>
              <wp:anchor distL="0" distR="0" distT="0" distB="0" simplePos="0" behindDoc="1" relativeHeight="31" locked="0" layoutInCell="1" allowOverlap="1">
                <wp:simplePos x="0" y="0"/>
                <wp:positionH relativeFrom="page">
                  <wp:posOffset>1202690</wp:posOffset>
                </wp:positionH>
                <wp:positionV relativeFrom="page">
                  <wp:posOffset>1746885</wp:posOffset>
                </wp:positionV>
                <wp:extent cx="4801235" cy="198755"/>
                <wp:wrapNone/>
                <wp:docPr id="1059" name="1059"/>
                <wp:cNvGraphicFramePr/>
                <a:graphic>
                  <a:graphicData uri="http://schemas.microsoft.com/office/word/2010/wordprocessingShape">
                    <wps:wsp>
                      <wps:cNvSpPr/>
                      <wps:spPr>
                        <a:xfrm>
                          <a:off x="0" y="0"/>
                          <a:ext cx="48012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94.70pt;mso-position-vertical:absolute;mso-position-vertical-relative:page;margin-top:137.55pt;z-index:-251626496;width:378.05pt;height:15.65pt;" id="1059" coordsize="756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2" locked="0" layoutInCell="1" allowOverlap="1">
                <wp:simplePos x="0" y="0"/>
                <wp:positionH relativeFrom="page">
                  <wp:posOffset>935990</wp:posOffset>
                </wp:positionH>
                <wp:positionV relativeFrom="page">
                  <wp:posOffset>1945005</wp:posOffset>
                </wp:positionV>
                <wp:extent cx="5067935" cy="198755"/>
                <wp:wrapNone/>
                <wp:docPr id="1060" name="1060"/>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153.15pt;z-index:-251625472;width:399.05pt;height:15.65pt;" id="1060"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3" locked="0" layoutInCell="1" allowOverlap="1">
                <wp:simplePos x="0" y="0"/>
                <wp:positionH relativeFrom="page">
                  <wp:posOffset>935990</wp:posOffset>
                </wp:positionH>
                <wp:positionV relativeFrom="page">
                  <wp:posOffset>2143125</wp:posOffset>
                </wp:positionV>
                <wp:extent cx="5067935" cy="198755"/>
                <wp:wrapNone/>
                <wp:docPr id="1061" name="1061"/>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168.75pt;z-index:-251624448;width:399.05pt;height:15.65pt;" id="1061"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4" locked="0" layoutInCell="1" allowOverlap="1">
                <wp:simplePos x="0" y="0"/>
                <wp:positionH relativeFrom="page">
                  <wp:posOffset>935990</wp:posOffset>
                </wp:positionH>
                <wp:positionV relativeFrom="page">
                  <wp:posOffset>2341245</wp:posOffset>
                </wp:positionV>
                <wp:extent cx="5067935" cy="198755"/>
                <wp:wrapNone/>
                <wp:docPr id="1062" name="1062"/>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184.35pt;z-index:-251623424;width:399.05pt;height:15.65pt;" id="1062"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5" locked="0" layoutInCell="1" allowOverlap="1">
                <wp:simplePos x="0" y="0"/>
                <wp:positionH relativeFrom="page">
                  <wp:posOffset>935990</wp:posOffset>
                </wp:positionH>
                <wp:positionV relativeFrom="page">
                  <wp:posOffset>2539365</wp:posOffset>
                </wp:positionV>
                <wp:extent cx="5067935" cy="198755"/>
                <wp:wrapNone/>
                <wp:docPr id="1063" name="1063"/>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199.95pt;z-index:-251622400;width:399.05pt;height:15.65pt;" id="1063"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6" locked="0" layoutInCell="1" allowOverlap="1">
                <wp:simplePos x="0" y="0"/>
                <wp:positionH relativeFrom="page">
                  <wp:posOffset>935990</wp:posOffset>
                </wp:positionH>
                <wp:positionV relativeFrom="page">
                  <wp:posOffset>2737485</wp:posOffset>
                </wp:positionV>
                <wp:extent cx="5067935" cy="198755"/>
                <wp:wrapNone/>
                <wp:docPr id="1064" name="1064"/>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215.55pt;z-index:-251621376;width:399.05pt;height:15.65pt;" id="1064"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7" locked="0" layoutInCell="1" allowOverlap="1">
                <wp:simplePos x="0" y="0"/>
                <wp:positionH relativeFrom="page">
                  <wp:posOffset>935990</wp:posOffset>
                </wp:positionH>
                <wp:positionV relativeFrom="page">
                  <wp:posOffset>2935605</wp:posOffset>
                </wp:positionV>
                <wp:extent cx="5067935" cy="198755"/>
                <wp:wrapNone/>
                <wp:docPr id="1065" name="1065"/>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231.15pt;z-index:-251620352;width:399.05pt;height:15.65pt;" id="1065"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8" locked="0" layoutInCell="1" allowOverlap="1">
                <wp:simplePos x="0" y="0"/>
                <wp:positionH relativeFrom="page">
                  <wp:posOffset>935990</wp:posOffset>
                </wp:positionH>
                <wp:positionV relativeFrom="page">
                  <wp:posOffset>3133725</wp:posOffset>
                </wp:positionV>
                <wp:extent cx="5067935" cy="198755"/>
                <wp:wrapNone/>
                <wp:docPr id="1066" name="1066"/>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246.75pt;z-index:-251619328;width:399.05pt;height:15.65pt;" id="1066"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39" locked="0" layoutInCell="1" allowOverlap="1">
                <wp:simplePos x="0" y="0"/>
                <wp:positionH relativeFrom="page">
                  <wp:posOffset>935990</wp:posOffset>
                </wp:positionH>
                <wp:positionV relativeFrom="page">
                  <wp:posOffset>3331845</wp:posOffset>
                </wp:positionV>
                <wp:extent cx="5067935" cy="198755"/>
                <wp:wrapNone/>
                <wp:docPr id="1067" name="1067"/>
                <wp:cNvGraphicFramePr/>
                <a:graphic>
                  <a:graphicData uri="http://schemas.microsoft.com/office/word/2010/wordprocessingShape">
                    <wps:wsp>
                      <wps:cNvSpPr/>
                      <wps:spPr>
                        <a:xfrm>
                          <a:off x="0" y="0"/>
                          <a:ext cx="5067935"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262.35pt;z-index:-251618304;width:399.05pt;height:15.65pt;" id="1067" coordsize="7981,313" stroked="f" fillcolor="#ffffff" opacity="0f">
                <v:stroke endcap="round"/>
                <v:fill opacity="0f"/>
                <w10:wrap anchorx="page" anchory="page" side="both"/>
              </v:rect>
            </w:pict>
          </mc:Fallback>
        </mc:AlternateContent>
      </w:r>
      <w:r>
        <w:rPr>
          <w:rFonts w:ascii="宋体" w:hAnsi="宋体" w:cs="宋体" w:eastAsia="宋体" w:hint="ascii"/>
          <w:sz w:val="21"/>
        </w:rPr>
        <mc:AlternateContent>
          <mc:Choice Requires="wps">
            <w:drawing>
              <wp:anchor distL="0" distR="0" distT="0" distB="0" simplePos="0" behindDoc="1" relativeHeight="40" locked="0" layoutInCell="1" allowOverlap="1">
                <wp:simplePos x="0" y="0"/>
                <wp:positionH relativeFrom="page">
                  <wp:posOffset>935990</wp:posOffset>
                </wp:positionH>
                <wp:positionV relativeFrom="page">
                  <wp:posOffset>3529965</wp:posOffset>
                </wp:positionV>
                <wp:extent cx="4133850" cy="198755"/>
                <wp:wrapNone/>
                <wp:docPr id="1068" name="1068"/>
                <wp:cNvGraphicFramePr/>
                <a:graphic>
                  <a:graphicData uri="http://schemas.microsoft.com/office/word/2010/wordprocessingShape">
                    <wps:wsp>
                      <wps:cNvSpPr/>
                      <wps:spPr>
                        <a:xfrm>
                          <a:off x="0" y="0"/>
                          <a:ext cx="4133850"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73.70pt;mso-position-vertical:absolute;mso-position-vertical-relative:page;margin-top:277.95pt;z-index:-251617280;width:325.50pt;height:15.65pt;" id="1068" coordsize="6510,313" stroked="f" fillcolor="#ffffff" opacity="0f">
                <v:stroke endcap="round"/>
                <v:fill opacity="0f"/>
                <w10:wrap anchorx="page" anchory="page" side="both"/>
              </v:rect>
            </w:pict>
          </mc:Fallback>
        </mc:AlternateContent>
      </w:r>
    </w:p>
    <w:p>
      <w:pPr>
        <w:autoSpaceDE w:val="0"/>
        <w:autoSpaceDN w:val="0"/>
        <w:jc w:val="left"/>
        <w:spacing w:before="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科学</w:t>
      </w:r>
      <w:r>
        <w:rPr>
          <w:rFonts w:ascii="宋体" w:hAnsi="宋体" w:cs="宋体" w:eastAsia="宋体" w:hint="ascii"/>
          <w:sz w:val="21"/>
          <w:spacing w:val="2"/>
        </w:rPr>
        <w:t>基</w:t>
      </w:r>
      <w:r>
        <w:rPr>
          <w:rFonts w:ascii="宋体" w:hAnsi="宋体" w:cs="宋体" w:eastAsia="宋体" w:hint="ascii"/>
          <w:sz w:val="21"/>
          <w:spacing w:val="1"/>
        </w:rPr>
        <w:t>金资助体</w:t>
      </w:r>
      <w:r>
        <w:rPr>
          <w:rFonts w:ascii="宋体" w:hAnsi="宋体" w:cs="宋体" w:eastAsia="宋体" w:hint="ascii"/>
          <w:sz w:val="21"/>
          <w:spacing w:val="2"/>
        </w:rPr>
        <w:t>系</w:t>
      </w:r>
      <w:r>
        <w:rPr>
          <w:rFonts w:ascii="宋体" w:hAnsi="宋体" w:cs="宋体" w:eastAsia="宋体" w:hint="ascii"/>
          <w:sz w:val="21"/>
          <w:spacing w:val="1"/>
        </w:rPr>
        <w:t>包含了探</w:t>
      </w:r>
      <w:r>
        <w:rPr>
          <w:rFonts w:ascii="宋体" w:hAnsi="宋体" w:cs="宋体" w:eastAsia="宋体" w:hint="ascii"/>
          <w:sz w:val="21"/>
          <w:spacing w:val="2"/>
        </w:rPr>
        <w:t>索</w:t>
      </w:r>
      <w:r>
        <w:rPr>
          <w:rFonts w:ascii="宋体" w:hAnsi="宋体" w:cs="宋体" w:eastAsia="宋体" w:hint="ascii"/>
          <w:sz w:val="21"/>
          <w:spacing w:val="1"/>
        </w:rPr>
        <w:t>、人才、</w:t>
      </w:r>
      <w:r>
        <w:rPr>
          <w:rFonts w:ascii="宋体" w:hAnsi="宋体" w:cs="宋体" w:eastAsia="宋体" w:hint="ascii"/>
          <w:sz w:val="21"/>
          <w:spacing w:val="2"/>
        </w:rPr>
        <w:t>工具、融</w:t>
      </w:r>
      <w:r>
        <w:rPr>
          <w:rFonts w:ascii="宋体" w:hAnsi="宋体" w:cs="宋体" w:eastAsia="宋体" w:hint="ascii"/>
          <w:sz w:val="21"/>
          <w:spacing w:val="-1"/>
        </w:rPr>
        <w:t>合</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个项目系</w:t>
      </w:r>
      <w:r>
        <w:rPr>
          <w:rFonts w:ascii="宋体" w:hAnsi="宋体" w:cs="宋体" w:eastAsia="宋体" w:hint="ascii"/>
          <w:sz w:val="21"/>
          <w:spacing w:val="3"/>
        </w:rPr>
        <w:t>列</w:t>
      </w:r>
      <w:r>
        <w:rPr>
          <w:rFonts w:ascii="宋体" w:hAnsi="宋体" w:cs="宋体" w:eastAsia="宋体" w:hint="ascii"/>
          <w:sz w:val="21"/>
          <w:spacing w:val="2"/>
        </w:rPr>
        <w:t>，其定位</w:t>
      </w:r>
      <w:r>
        <w:rPr>
          <w:rFonts w:ascii="宋体" w:hAnsi="宋体" w:cs="宋体" w:eastAsia="宋体" w:hint="ascii"/>
          <w:sz w:val="21"/>
          <w:spacing w:val="3"/>
        </w:rPr>
        <w:t>各</w:t>
      </w:r>
      <w:r>
        <w:rPr>
          <w:rFonts w:ascii="宋体" w:hAnsi="宋体" w:cs="宋体" w:eastAsia="宋体" w:hint="ascii"/>
          <w:sz w:val="21"/>
          <w:spacing w:val="2"/>
        </w:rPr>
        <w:t>有</w:t>
      </w:r>
      <w:r>
        <w:rPr>
          <w:rFonts w:ascii="宋体" w:hAnsi="宋体" w:cs="宋体" w:eastAsia="宋体" w:hint="ascii"/>
          <w:sz w:val="21"/>
          <w:spacing w:val="-1"/>
        </w:rPr>
        <w:t>侧</w:t>
      </w:r>
      <w:r>
        <w:rPr>
          <w:rFonts w:ascii="宋体" w:hAnsi="宋体" w:cs="宋体" w:eastAsia="宋体" w:hint="ascii"/>
          <w:sz w:val="21"/>
        </w:rPr>
        <w:t xml:space="preserve"> 重，相辅相成，构成了科学基金目前的资助格局。其中，探索项目系列以获得基础研究创新成果为主要目的，着眼于统筹学科布局，突出重点领域，激励原始创新；人才项目系列立足于提高未来科技竞争力，着力支持年轻学者独立主持科研项目，扶植基础研究薄弱地区的科研人才，培养青年优秀学术骨干，造就领军人才和拔尖人才，培育创新团队；工具项目系列主要着眼于加强科研条件支撑，特别是加强对原创性科研仪器研制工作的支持，开拓研究领域，催生源头创新；融合项目系列面向科学前沿和国家需求，聚焦重大基础科学问题，推动学科交叉融合，集成有限资源，汇聚和培养高水平人才，打造科学研究高地。同时，引导社会资源，解决共性基础科学问题，推动领域、行业或区域的自主创新能力提升。</w:t>
      </w:r>
    </w:p>
    <w:p>
      <w:pPr>
        <w:autoSpaceDE w:val="0"/>
        <w:autoSpaceDN w:val="0"/>
        <w:jc w:val="left"/>
        <w:spacing w:before="40"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8"/>
        </w:rPr>
        <w:t>截</w:t>
      </w:r>
      <w:r>
        <w:rPr>
          <w:rFonts w:ascii="宋体" w:hAnsi="宋体" w:cs="宋体" w:eastAsia="宋体" w:hint="ascii"/>
          <w:sz w:val="21"/>
        </w:rPr>
        <w:t>至</w:t>
      </w:r>
      <w:r>
        <w:rPr>
          <w:rFonts w:ascii="宋体" w:hAnsi="宋体" w:cs="宋体" w:eastAsia="宋体" w:hint="ascii"/>
          <w:sz w:val="21"/>
          <w:spacing w:val="-18"/>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19"/>
        </w:rPr>
        <w:t xml:space="preserve"> </w:t>
      </w:r>
      <w:r>
        <w:rPr>
          <w:rFonts w:ascii="宋体" w:hAnsi="宋体" w:cs="宋体" w:eastAsia="宋体" w:hint="ascii"/>
          <w:sz w:val="21"/>
        </w:rPr>
        <w:t>年</w:t>
      </w:r>
      <w:r>
        <w:rPr>
          <w:rFonts w:ascii="宋体" w:hAnsi="宋体" w:cs="宋体" w:eastAsia="宋体" w:hint="ascii"/>
          <w:sz w:val="21"/>
          <w:spacing w:val="-17"/>
        </w:rPr>
        <w:t xml:space="preserve"> </w:t>
      </w:r>
      <w:r>
        <w:rPr>
          <w:rFonts w:ascii="Times New Roman" w:hAnsi="Times New Roman" w:cs="Times New Roman" w:eastAsia="Times New Roman" w:hint="ascii"/>
          <w:sz w:val="21"/>
        </w:rPr>
        <w:t>12</w:t>
      </w:r>
      <w:r>
        <w:rPr>
          <w:rFonts w:ascii="Times New Roman" w:hAnsi="Times New Roman" w:cs="Times New Roman" w:eastAsia="Times New Roman" w:hint="ascii"/>
          <w:sz w:val="21"/>
          <w:spacing w:val="-19"/>
        </w:rPr>
        <w:t xml:space="preserve"> </w:t>
      </w:r>
      <w:r>
        <w:rPr>
          <w:rFonts w:ascii="宋体" w:hAnsi="宋体" w:cs="宋体" w:eastAsia="宋体" w:hint="ascii"/>
          <w:sz w:val="21"/>
        </w:rPr>
        <w:t>月</w:t>
      </w:r>
      <w:r>
        <w:rPr>
          <w:rFonts w:ascii="宋体" w:hAnsi="宋体" w:cs="宋体" w:eastAsia="宋体" w:hint="ascii"/>
          <w:sz w:val="21"/>
          <w:spacing w:val="-17"/>
        </w:rPr>
        <w:t xml:space="preserve"> </w:t>
      </w:r>
      <w:r>
        <w:rPr>
          <w:rFonts w:ascii="Times New Roman" w:hAnsi="Times New Roman" w:cs="Times New Roman" w:eastAsia="Times New Roman" w:hint="ascii"/>
          <w:sz w:val="21"/>
        </w:rPr>
        <w:t>14</w:t>
      </w:r>
      <w:r>
        <w:rPr>
          <w:rFonts w:ascii="Times New Roman" w:hAnsi="Times New Roman" w:cs="Times New Roman" w:eastAsia="Times New Roman" w:hint="ascii"/>
          <w:sz w:val="21"/>
          <w:spacing w:val="-19"/>
        </w:rPr>
        <w:t xml:space="preserve"> </w:t>
      </w:r>
      <w:r>
        <w:rPr>
          <w:rFonts w:ascii="宋体" w:hAnsi="宋体" w:cs="宋体" w:eastAsia="宋体" w:hint="ascii"/>
          <w:sz w:val="21"/>
          <w:spacing w:val="7"/>
        </w:rPr>
        <w:t>日</w:t>
      </w:r>
      <w:r>
        <w:rPr>
          <w:rFonts w:ascii="宋体" w:hAnsi="宋体" w:cs="宋体" w:eastAsia="宋体" w:hint="ascii"/>
          <w:sz w:val="21"/>
          <w:spacing w:val="8"/>
        </w:rPr>
        <w:t>，自</w:t>
      </w:r>
      <w:r>
        <w:rPr>
          <w:rFonts w:ascii="宋体" w:hAnsi="宋体" w:cs="宋体" w:eastAsia="宋体" w:hint="ascii"/>
          <w:sz w:val="21"/>
          <w:spacing w:val="7"/>
        </w:rPr>
        <w:t>然</w:t>
      </w:r>
      <w:r>
        <w:rPr>
          <w:rFonts w:ascii="宋体" w:hAnsi="宋体" w:cs="宋体" w:eastAsia="宋体" w:hint="ascii"/>
          <w:sz w:val="21"/>
          <w:spacing w:val="8"/>
        </w:rPr>
        <w:t>科</w:t>
      </w:r>
      <w:r>
        <w:rPr>
          <w:rFonts w:ascii="宋体" w:hAnsi="宋体" w:cs="宋体" w:eastAsia="宋体" w:hint="ascii"/>
          <w:sz w:val="21"/>
          <w:spacing w:val="7"/>
        </w:rPr>
        <w:t>学</w:t>
      </w:r>
      <w:r>
        <w:rPr>
          <w:rFonts w:ascii="宋体" w:hAnsi="宋体" w:cs="宋体" w:eastAsia="宋体" w:hint="ascii"/>
          <w:sz w:val="21"/>
          <w:spacing w:val="8"/>
        </w:rPr>
        <w:t>基金</w:t>
      </w:r>
      <w:r>
        <w:rPr>
          <w:rFonts w:ascii="宋体" w:hAnsi="宋体" w:cs="宋体" w:eastAsia="宋体" w:hint="ascii"/>
          <w:sz w:val="21"/>
          <w:spacing w:val="7"/>
        </w:rPr>
        <w:t>委</w:t>
      </w:r>
      <w:r>
        <w:rPr>
          <w:rFonts w:ascii="宋体" w:hAnsi="宋体" w:cs="宋体" w:eastAsia="宋体" w:hint="ascii"/>
          <w:sz w:val="21"/>
          <w:spacing w:val="8"/>
        </w:rPr>
        <w:t>（</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19"/>
        </w:rPr>
        <w:t xml:space="preserve"> </w:t>
      </w:r>
      <w:r>
        <w:rPr>
          <w:rFonts w:ascii="宋体" w:hAnsi="宋体" w:cs="宋体" w:eastAsia="宋体" w:hint="ascii"/>
          <w:sz w:val="21"/>
          <w:spacing w:val="8"/>
        </w:rPr>
        <w:t>年度</w:t>
      </w:r>
      <w:r>
        <w:rPr>
          <w:rFonts w:ascii="宋体" w:hAnsi="宋体" w:cs="宋体" w:eastAsia="宋体" w:hint="ascii"/>
          <w:sz w:val="21"/>
          <w:spacing w:val="7"/>
        </w:rPr>
        <w:t>）共</w:t>
      </w:r>
      <w:r>
        <w:rPr>
          <w:rFonts w:ascii="宋体" w:hAnsi="宋体" w:cs="宋体" w:eastAsia="宋体" w:hint="ascii"/>
          <w:sz w:val="21"/>
          <w:spacing w:val="8"/>
        </w:rPr>
        <w:t>接收</w:t>
      </w:r>
      <w:r>
        <w:rPr>
          <w:rFonts w:ascii="宋体" w:hAnsi="宋体" w:cs="宋体" w:eastAsia="宋体" w:hint="ascii"/>
          <w:sz w:val="21"/>
          <w:spacing w:val="7"/>
        </w:rPr>
        <w:t>各</w:t>
      </w:r>
      <w:r>
        <w:rPr>
          <w:rFonts w:ascii="宋体" w:hAnsi="宋体" w:cs="宋体" w:eastAsia="宋体" w:hint="ascii"/>
          <w:sz w:val="21"/>
          <w:spacing w:val="8"/>
        </w:rPr>
        <w:t>类</w:t>
      </w:r>
      <w:r>
        <w:rPr>
          <w:rFonts w:ascii="宋体" w:hAnsi="宋体" w:cs="宋体" w:eastAsia="宋体" w:hint="ascii"/>
          <w:sz w:val="21"/>
          <w:spacing w:val="7"/>
        </w:rPr>
        <w:t>项</w:t>
      </w:r>
      <w:r>
        <w:rPr>
          <w:rFonts w:ascii="宋体" w:hAnsi="宋体" w:cs="宋体" w:eastAsia="宋体" w:hint="ascii"/>
          <w:sz w:val="21"/>
          <w:spacing w:val="8"/>
        </w:rPr>
        <w:t>目申</w:t>
      </w:r>
      <w:r>
        <w:rPr>
          <w:rFonts w:ascii="宋体" w:hAnsi="宋体" w:cs="宋体" w:eastAsia="宋体" w:hint="ascii"/>
          <w:sz w:val="21"/>
        </w:rPr>
        <w:t>请</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2"/>
        </w:rPr>
        <w:t>20</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rPr>
        <w:t>248</w:t>
      </w:r>
      <w:r>
        <w:rPr>
          <w:rFonts w:ascii="Times New Roman" w:hAnsi="Times New Roman" w:cs="Times New Roman" w:eastAsia="Times New Roman" w:hint="ascii"/>
          <w:sz w:val="21"/>
          <w:spacing w:val="4"/>
        </w:rPr>
        <w:t xml:space="preserve"> </w:t>
      </w:r>
      <w:r>
        <w:rPr>
          <w:rFonts w:ascii="宋体" w:hAnsi="宋体" w:cs="宋体" w:eastAsia="宋体" w:hint="ascii"/>
          <w:sz w:val="21"/>
        </w:rPr>
        <w:t>项。在项目申请集中接收期（</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w:t>
      </w:r>
      <w:r>
        <w:rPr>
          <w:rFonts w:ascii="宋体" w:hAnsi="宋体" w:cs="宋体" w:eastAsia="宋体" w:hint="ascii"/>
          <w:sz w:val="21"/>
          <w:spacing w:val="-25"/>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5"/>
        </w:rPr>
        <w:t xml:space="preserve"> </w:t>
      </w:r>
      <w:r>
        <w:rPr>
          <w:rFonts w:ascii="宋体" w:hAnsi="宋体" w:cs="宋体" w:eastAsia="宋体" w:hint="ascii"/>
          <w:sz w:val="21"/>
        </w:rPr>
        <w:t>月</w:t>
      </w:r>
      <w:r>
        <w:rPr>
          <w:rFonts w:ascii="宋体" w:hAnsi="宋体" w:cs="宋体" w:eastAsia="宋体" w:hint="ascii"/>
          <w:sz w:val="21"/>
          <w:spacing w:val="-2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日至</w:t>
      </w:r>
      <w:r>
        <w:rPr>
          <w:rFonts w:ascii="宋体" w:hAnsi="宋体" w:cs="宋体" w:eastAsia="宋体" w:hint="ascii"/>
          <w:sz w:val="21"/>
          <w:spacing w:val="-24"/>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25"/>
        </w:rPr>
        <w:t xml:space="preserve"> </w:t>
      </w:r>
      <w:r>
        <w:rPr>
          <w:rFonts w:ascii="宋体" w:hAnsi="宋体" w:cs="宋体" w:eastAsia="宋体" w:hint="ascii"/>
          <w:sz w:val="21"/>
        </w:rPr>
        <w:t>日</w:t>
      </w:r>
      <w:r>
        <w:rPr>
          <w:rFonts w:ascii="宋体" w:hAnsi="宋体" w:cs="宋体" w:eastAsia="宋体" w:hint="ascii"/>
          <w:sz w:val="21"/>
          <w:spacing w:val="-25"/>
        </w:rPr>
        <w:t xml:space="preserve"> </w:t>
      </w:r>
      <w:r>
        <w:rPr>
          <w:rFonts w:ascii="Times New Roman" w:hAnsi="Times New Roman" w:cs="Times New Roman" w:eastAsia="Times New Roman" w:hint="ascii"/>
          <w:sz w:val="21"/>
        </w:rPr>
        <w:t>16</w:t>
      </w:r>
      <w:r>
        <w:rPr>
          <w:rFonts w:ascii="Times New Roman" w:hAnsi="Times New Roman" w:cs="Times New Roman" w:eastAsia="Times New Roman" w:hint="ascii"/>
          <w:sz w:val="21"/>
          <w:spacing w:val="-25"/>
        </w:rPr>
        <w:t xml:space="preserve"> </w:t>
      </w:r>
      <w:r>
        <w:rPr>
          <w:rFonts w:ascii="宋体" w:hAnsi="宋体" w:cs="宋体" w:eastAsia="宋体" w:hint="ascii"/>
          <w:sz w:val="21"/>
        </w:rPr>
        <w:t>时）共接收</w:t>
      </w:r>
      <w:r>
        <w:rPr>
          <w:rFonts w:ascii="宋体" w:hAnsi="宋体" w:cs="宋体" w:eastAsia="宋体" w:hint="ascii"/>
          <w:sz w:val="21"/>
          <w:spacing w:val="-25"/>
        </w:rPr>
        <w:t xml:space="preserve"> </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25"/>
        </w:rPr>
        <w:t xml:space="preserve"> </w:t>
      </w:r>
      <w:r>
        <w:rPr>
          <w:rFonts w:ascii="宋体" w:hAnsi="宋体" w:cs="宋体" w:eastAsia="宋体" w:hint="ascii"/>
          <w:sz w:val="21"/>
        </w:rPr>
        <w:t>类项</w:t>
      </w:r>
      <w:r>
        <w:rPr>
          <w:rFonts w:ascii="宋体" w:hAnsi="宋体" w:cs="宋体" w:eastAsia="宋体" w:hint="ascii"/>
          <w:sz w:val="21"/>
          <w:spacing w:val="-2"/>
        </w:rPr>
        <w:t>目申请</w:t>
      </w:r>
      <w:r>
        <w:rPr>
          <w:rFonts w:ascii="宋体" w:hAnsi="宋体" w:cs="宋体" w:eastAsia="宋体" w:hint="ascii"/>
          <w:sz w:val="21"/>
          <w:spacing w:val="-10"/>
        </w:rPr>
        <w:t xml:space="preserve"> </w:t>
      </w:r>
      <w:r>
        <w:rPr>
          <w:rFonts w:ascii="Times New Roman" w:hAnsi="Times New Roman" w:cs="Times New Roman" w:eastAsia="Times New Roman" w:hint="ascii"/>
          <w:sz w:val="21"/>
          <w:spacing w:val="-2"/>
        </w:rPr>
        <w:t>190 84</w:t>
      </w:r>
      <w:r>
        <w:rPr>
          <w:rFonts w:ascii="Times New Roman" w:hAnsi="Times New Roman" w:cs="Times New Roman" w:eastAsia="Times New Roman" w:hint="ascii"/>
          <w:sz w:val="21"/>
          <w:spacing w:val="50"/>
        </w:rPr>
        <w:t>0</w:t>
      </w:r>
      <w:r>
        <w:rPr>
          <w:rFonts w:ascii="宋体" w:hAnsi="宋体" w:cs="宋体" w:eastAsia="宋体" w:hint="ascii"/>
          <w:sz w:val="21"/>
          <w:spacing w:val="-2"/>
        </w:rPr>
        <w:t>项，</w:t>
      </w:r>
      <w:r>
        <w:rPr>
          <w:rFonts w:ascii="宋体" w:hAnsi="宋体" w:cs="宋体" w:eastAsia="宋体" w:hint="ascii"/>
          <w:sz w:val="21"/>
          <w:spacing w:val="24"/>
        </w:rPr>
        <w:t>比</w:t>
      </w:r>
      <w:r>
        <w:rPr>
          <w:rFonts w:ascii="Times New Roman" w:hAnsi="Times New Roman" w:cs="Times New Roman" w:eastAsia="Times New Roman" w:hint="ascii"/>
          <w:sz w:val="21"/>
          <w:spacing w:val="-2"/>
        </w:rPr>
        <w:t>201</w:t>
      </w:r>
      <w:r>
        <w:rPr>
          <w:rFonts w:ascii="Times New Roman" w:hAnsi="Times New Roman" w:cs="Times New Roman" w:eastAsia="Times New Roman" w:hint="ascii"/>
          <w:sz w:val="21"/>
          <w:spacing w:val="50"/>
        </w:rPr>
        <w:t>6</w:t>
      </w:r>
      <w:r>
        <w:rPr>
          <w:rFonts w:ascii="宋体" w:hAnsi="宋体" w:cs="宋体" w:eastAsia="宋体" w:hint="ascii"/>
          <w:sz w:val="21"/>
          <w:spacing w:val="-1"/>
        </w:rPr>
        <w:t>年同期增</w:t>
      </w:r>
      <w:r>
        <w:rPr>
          <w:rFonts w:ascii="宋体" w:hAnsi="宋体" w:cs="宋体" w:eastAsia="宋体" w:hint="ascii"/>
          <w:sz w:val="21"/>
          <w:spacing w:val="25"/>
        </w:rPr>
        <w:t>加</w:t>
      </w:r>
      <w:r>
        <w:rPr>
          <w:rFonts w:ascii="Times New Roman" w:hAnsi="Times New Roman" w:cs="Times New Roman" w:eastAsia="Times New Roman" w:hint="ascii"/>
          <w:sz w:val="21"/>
          <w:spacing w:val="-1"/>
        </w:rPr>
        <w:t>17 99</w:t>
      </w:r>
      <w:r>
        <w:rPr>
          <w:rFonts w:ascii="Times New Roman" w:hAnsi="Times New Roman" w:cs="Times New Roman" w:eastAsia="Times New Roman" w:hint="ascii"/>
          <w:sz w:val="21"/>
          <w:spacing w:val="51"/>
        </w:rPr>
        <w:t>7</w:t>
      </w:r>
      <w:r>
        <w:rPr>
          <w:rFonts w:ascii="宋体" w:hAnsi="宋体" w:cs="宋体" w:eastAsia="宋体" w:hint="ascii"/>
          <w:sz w:val="21"/>
          <w:spacing w:val="-1"/>
        </w:rPr>
        <w:t>项，增</w:t>
      </w:r>
      <w:r>
        <w:rPr>
          <w:rFonts w:ascii="宋体" w:hAnsi="宋体" w:cs="宋体" w:eastAsia="宋体" w:hint="ascii"/>
          <w:sz w:val="21"/>
          <w:spacing w:val="25"/>
        </w:rPr>
        <w:t>幅</w:t>
      </w:r>
      <w:r>
        <w:rPr>
          <w:rFonts w:ascii="Times New Roman" w:hAnsi="Times New Roman" w:cs="Times New Roman" w:eastAsia="Times New Roman" w:hint="ascii"/>
          <w:sz w:val="21"/>
          <w:spacing w:val="-1"/>
        </w:rPr>
        <w:t>10.41%</w:t>
      </w:r>
      <w:r>
        <w:rPr>
          <w:rFonts w:ascii="宋体" w:hAnsi="宋体" w:cs="宋体" w:eastAsia="宋体" w:hint="ascii"/>
          <w:sz w:val="21"/>
          <w:spacing w:val="-1"/>
        </w:rPr>
        <w:t>。其中，面上项目申请</w:t>
      </w:r>
      <w:r>
        <w:rPr>
          <w:rFonts w:ascii="宋体" w:hAnsi="宋体" w:cs="宋体" w:eastAsia="宋体" w:hint="ascii"/>
          <w:sz w:val="21"/>
        </w:rPr>
        <w:t xml:space="preserve"> 量增加</w:t>
      </w:r>
      <w:r>
        <w:rPr>
          <w:rFonts w:ascii="宋体" w:hAnsi="宋体" w:cs="宋体" w:eastAsia="宋体" w:hint="ascii"/>
          <w:sz w:val="21"/>
          <w:spacing w:val="-24"/>
        </w:rPr>
        <w:t xml:space="preserve"> </w:t>
      </w:r>
      <w:r>
        <w:rPr>
          <w:rFonts w:ascii="Times New Roman" w:hAnsi="Times New Roman" w:cs="Times New Roman" w:eastAsia="Times New Roman" w:hint="ascii"/>
          <w:sz w:val="21"/>
        </w:rPr>
        <w:t>6 243</w:t>
      </w:r>
      <w:r>
        <w:rPr>
          <w:rFonts w:ascii="Times New Roman" w:hAnsi="Times New Roman" w:cs="Times New Roman" w:eastAsia="Times New Roman" w:hint="ascii"/>
          <w:sz w:val="21"/>
          <w:spacing w:val="-25"/>
        </w:rPr>
        <w:t xml:space="preserve"> </w:t>
      </w:r>
      <w:r>
        <w:rPr>
          <w:rFonts w:ascii="宋体" w:hAnsi="宋体" w:cs="宋体" w:eastAsia="宋体" w:hint="ascii"/>
          <w:sz w:val="21"/>
        </w:rPr>
        <w:t>项，增幅</w:t>
      </w:r>
      <w:r>
        <w:rPr>
          <w:rFonts w:ascii="宋体" w:hAnsi="宋体" w:cs="宋体" w:eastAsia="宋体" w:hint="ascii"/>
          <w:sz w:val="21"/>
          <w:spacing w:val="-24"/>
        </w:rPr>
        <w:t xml:space="preserve"> </w:t>
      </w:r>
      <w:r>
        <w:rPr>
          <w:rFonts w:ascii="Times New Roman" w:hAnsi="Times New Roman" w:cs="Times New Roman" w:eastAsia="Times New Roman" w:hint="ascii"/>
          <w:sz w:val="21"/>
        </w:rPr>
        <w:t>8.43%</w:t>
      </w:r>
      <w:r>
        <w:rPr>
          <w:rFonts w:ascii="宋体" w:hAnsi="宋体" w:cs="宋体" w:eastAsia="宋体" w:hint="ascii"/>
          <w:sz w:val="21"/>
        </w:rPr>
        <w:t>；重点项目增加</w:t>
      </w:r>
      <w:r>
        <w:rPr>
          <w:rFonts w:ascii="宋体" w:hAnsi="宋体" w:cs="宋体" w:eastAsia="宋体" w:hint="ascii"/>
          <w:sz w:val="21"/>
          <w:spacing w:val="-24"/>
        </w:rPr>
        <w:t xml:space="preserve"> </w:t>
      </w:r>
      <w:r>
        <w:rPr>
          <w:rFonts w:ascii="Times New Roman" w:hAnsi="Times New Roman" w:cs="Times New Roman" w:eastAsia="Times New Roman" w:hint="ascii"/>
          <w:sz w:val="21"/>
        </w:rPr>
        <w:t>230</w:t>
      </w:r>
      <w:r>
        <w:rPr>
          <w:rFonts w:ascii="Times New Roman" w:hAnsi="Times New Roman" w:cs="Times New Roman" w:eastAsia="Times New Roman" w:hint="ascii"/>
          <w:sz w:val="21"/>
          <w:spacing w:val="-25"/>
        </w:rPr>
        <w:t xml:space="preserve"> </w:t>
      </w:r>
      <w:r>
        <w:rPr>
          <w:rFonts w:ascii="宋体" w:hAnsi="宋体" w:cs="宋体" w:eastAsia="宋体" w:hint="ascii"/>
          <w:sz w:val="21"/>
        </w:rPr>
        <w:t>项，增幅</w:t>
      </w:r>
      <w:r>
        <w:rPr>
          <w:rFonts w:ascii="宋体" w:hAnsi="宋体" w:cs="宋体" w:eastAsia="宋体" w:hint="ascii"/>
          <w:sz w:val="21"/>
          <w:spacing w:val="-24"/>
        </w:rPr>
        <w:t xml:space="preserve"> </w:t>
      </w:r>
      <w:r>
        <w:rPr>
          <w:rFonts w:ascii="Times New Roman" w:hAnsi="Times New Roman" w:cs="Times New Roman" w:eastAsia="Times New Roman" w:hint="ascii"/>
          <w:sz w:val="21"/>
        </w:rPr>
        <w:t>8.27%</w:t>
      </w:r>
      <w:r>
        <w:rPr>
          <w:rFonts w:ascii="宋体" w:hAnsi="宋体" w:cs="宋体" w:eastAsia="宋体" w:hint="ascii"/>
          <w:sz w:val="21"/>
        </w:rPr>
        <w:t>；青年科学基金项目</w:t>
      </w:r>
      <w:r>
        <w:rPr>
          <w:rFonts w:ascii="宋体" w:hAnsi="宋体" w:cs="宋体" w:eastAsia="宋体" w:hint="ascii"/>
          <w:sz w:val="21"/>
          <w:spacing w:val="3"/>
        </w:rPr>
        <w:t>增</w:t>
      </w:r>
      <w:r>
        <w:rPr>
          <w:rFonts w:ascii="宋体" w:hAnsi="宋体" w:cs="宋体" w:eastAsia="宋体" w:hint="ascii"/>
          <w:sz w:val="21"/>
        </w:rPr>
        <w:t>加</w:t>
      </w:r>
      <w:r>
        <w:rPr>
          <w:rFonts w:ascii="宋体" w:hAnsi="宋体" w:cs="宋体" w:eastAsia="宋体" w:hint="ascii"/>
          <w:sz w:val="21"/>
          <w:spacing w:val="-23"/>
        </w:rPr>
        <w:t xml:space="preserve"> </w:t>
      </w:r>
      <w:r>
        <w:rPr>
          <w:rFonts w:ascii="Times New Roman" w:hAnsi="Times New Roman" w:cs="Times New Roman" w:eastAsia="Times New Roman" w:hint="ascii"/>
          <w:sz w:val="21"/>
        </w:rPr>
        <w:t>7 796</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项</w:t>
      </w:r>
      <w:r>
        <w:rPr>
          <w:rFonts w:ascii="宋体" w:hAnsi="宋体" w:cs="宋体" w:eastAsia="宋体" w:hint="ascii"/>
          <w:sz w:val="21"/>
          <w:spacing w:val="3"/>
        </w:rPr>
        <w:t>，</w:t>
      </w:r>
      <w:r>
        <w:rPr>
          <w:rFonts w:ascii="宋体" w:hAnsi="宋体" w:cs="宋体" w:eastAsia="宋体" w:hint="ascii"/>
          <w:sz w:val="21"/>
          <w:spacing w:val="4"/>
        </w:rPr>
        <w:t>增</w:t>
      </w:r>
      <w:r>
        <w:rPr>
          <w:rFonts w:ascii="宋体" w:hAnsi="宋体" w:cs="宋体" w:eastAsia="宋体" w:hint="ascii"/>
          <w:sz w:val="21"/>
        </w:rPr>
        <w:t>幅</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1.07</w:t>
      </w:r>
      <w:r>
        <w:rPr>
          <w:rFonts w:ascii="Times New Roman" w:hAnsi="Times New Roman" w:cs="Times New Roman" w:eastAsia="Times New Roman" w:hint="ascii"/>
          <w:sz w:val="21"/>
          <w:spacing w:val="6"/>
        </w:rPr>
        <w:t>%</w:t>
      </w:r>
      <w:r>
        <w:rPr>
          <w:rFonts w:ascii="宋体" w:hAnsi="宋体" w:cs="宋体" w:eastAsia="宋体" w:hint="ascii"/>
          <w:sz w:val="21"/>
          <w:spacing w:val="3"/>
        </w:rPr>
        <w:t>；</w:t>
      </w:r>
      <w:r>
        <w:rPr>
          <w:rFonts w:ascii="宋体" w:hAnsi="宋体" w:cs="宋体" w:eastAsia="宋体" w:hint="ascii"/>
          <w:sz w:val="21"/>
          <w:spacing w:val="4"/>
        </w:rPr>
        <w:t>地</w:t>
      </w:r>
      <w:r>
        <w:rPr>
          <w:rFonts w:ascii="宋体" w:hAnsi="宋体" w:cs="宋体" w:eastAsia="宋体" w:hint="ascii"/>
          <w:sz w:val="21"/>
          <w:spacing w:val="3"/>
        </w:rPr>
        <w:t>区</w:t>
      </w:r>
      <w:r>
        <w:rPr>
          <w:rFonts w:ascii="宋体" w:hAnsi="宋体" w:cs="宋体" w:eastAsia="宋体" w:hint="ascii"/>
          <w:sz w:val="21"/>
          <w:spacing w:val="4"/>
        </w:rPr>
        <w:t>科</w:t>
      </w:r>
      <w:r>
        <w:rPr>
          <w:rFonts w:ascii="宋体" w:hAnsi="宋体" w:cs="宋体" w:eastAsia="宋体" w:hint="ascii"/>
          <w:sz w:val="21"/>
          <w:spacing w:val="3"/>
        </w:rPr>
        <w:t>学</w:t>
      </w:r>
      <w:r>
        <w:rPr>
          <w:rFonts w:ascii="宋体" w:hAnsi="宋体" w:cs="宋体" w:eastAsia="宋体" w:hint="ascii"/>
          <w:sz w:val="21"/>
          <w:spacing w:val="4"/>
        </w:rPr>
        <w:t>基</w:t>
      </w:r>
      <w:r>
        <w:rPr>
          <w:rFonts w:ascii="宋体" w:hAnsi="宋体" w:cs="宋体" w:eastAsia="宋体" w:hint="ascii"/>
          <w:sz w:val="21"/>
          <w:spacing w:val="3"/>
        </w:rPr>
        <w:t>金项</w:t>
      </w:r>
      <w:r>
        <w:rPr>
          <w:rFonts w:ascii="宋体" w:hAnsi="宋体" w:cs="宋体" w:eastAsia="宋体" w:hint="ascii"/>
          <w:sz w:val="21"/>
          <w:spacing w:val="4"/>
        </w:rPr>
        <w:t>目</w:t>
      </w:r>
      <w:r>
        <w:rPr>
          <w:rFonts w:ascii="宋体" w:hAnsi="宋体" w:cs="宋体" w:eastAsia="宋体" w:hint="ascii"/>
          <w:sz w:val="21"/>
          <w:spacing w:val="3"/>
        </w:rPr>
        <w:t>增</w:t>
      </w:r>
      <w:r>
        <w:rPr>
          <w:rFonts w:ascii="宋体" w:hAnsi="宋体" w:cs="宋体" w:eastAsia="宋体" w:hint="ascii"/>
          <w:sz w:val="21"/>
        </w:rPr>
        <w:t>加</w:t>
      </w:r>
      <w:r>
        <w:rPr>
          <w:rFonts w:ascii="宋体" w:hAnsi="宋体" w:cs="宋体" w:eastAsia="宋体" w:hint="ascii"/>
          <w:sz w:val="21"/>
          <w:spacing w:val="-23"/>
        </w:rPr>
        <w:t xml:space="preserve"> </w:t>
      </w:r>
      <w:r>
        <w:rPr>
          <w:rFonts w:ascii="Times New Roman" w:hAnsi="Times New Roman" w:cs="Times New Roman" w:eastAsia="Times New Roman" w:hint="ascii"/>
          <w:sz w:val="21"/>
        </w:rPr>
        <w:t>1 779</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4"/>
        </w:rPr>
        <w:t>项，</w:t>
      </w:r>
      <w:r>
        <w:rPr>
          <w:rFonts w:ascii="宋体" w:hAnsi="宋体" w:cs="宋体" w:eastAsia="宋体" w:hint="ascii"/>
          <w:sz w:val="21"/>
          <w:spacing w:val="3"/>
        </w:rPr>
        <w:t>增</w:t>
      </w:r>
      <w:r>
        <w:rPr>
          <w:rFonts w:ascii="宋体" w:hAnsi="宋体" w:cs="宋体" w:eastAsia="宋体" w:hint="ascii"/>
          <w:sz w:val="21"/>
        </w:rPr>
        <w:t>幅</w:t>
      </w:r>
      <w:r>
        <w:rPr>
          <w:rFonts w:ascii="宋体" w:hAnsi="宋体" w:cs="宋体" w:eastAsia="宋体" w:hint="ascii"/>
          <w:sz w:val="21"/>
          <w:spacing w:val="-23"/>
        </w:rPr>
        <w:t xml:space="preserve"> </w:t>
      </w:r>
      <w:r>
        <w:rPr>
          <w:rFonts w:ascii="Times New Roman" w:hAnsi="Times New Roman" w:cs="Times New Roman" w:eastAsia="Times New Roman" w:hint="ascii"/>
          <w:sz w:val="21"/>
        </w:rPr>
        <w:t>12.57</w:t>
      </w:r>
      <w:r>
        <w:rPr>
          <w:rFonts w:ascii="Times New Roman" w:hAnsi="Times New Roman" w:cs="Times New Roman" w:eastAsia="Times New Roman" w:hint="ascii"/>
          <w:sz w:val="21"/>
          <w:spacing w:val="5"/>
        </w:rPr>
        <w:t>%</w:t>
      </w:r>
      <w:r>
        <w:rPr>
          <w:rFonts w:ascii="宋体" w:hAnsi="宋体" w:cs="宋体" w:eastAsia="宋体" w:hint="ascii"/>
          <w:sz w:val="21"/>
          <w:spacing w:val="4"/>
        </w:rPr>
        <w:t>；</w:t>
      </w:r>
      <w:r>
        <w:rPr>
          <w:rFonts w:ascii="宋体" w:hAnsi="宋体" w:cs="宋体" w:eastAsia="宋体" w:hint="ascii"/>
          <w:sz w:val="21"/>
          <w:spacing w:val="3"/>
        </w:rPr>
        <w:t>优秀</w:t>
      </w:r>
      <w:r>
        <w:rPr>
          <w:rFonts w:ascii="宋体" w:hAnsi="宋体" w:cs="宋体" w:eastAsia="宋体" w:hint="ascii"/>
          <w:sz w:val="21"/>
        </w:rPr>
        <w:t>青年科学基金项目增加</w:t>
      </w:r>
      <w:r>
        <w:rPr>
          <w:rFonts w:ascii="宋体" w:hAnsi="宋体" w:cs="宋体" w:eastAsia="宋体" w:hint="ascii"/>
          <w:sz w:val="21"/>
          <w:spacing w:val="-24"/>
        </w:rPr>
        <w:t xml:space="preserve"> </w:t>
      </w:r>
      <w:r>
        <w:rPr>
          <w:rFonts w:ascii="Times New Roman" w:hAnsi="Times New Roman" w:cs="Times New Roman" w:eastAsia="Times New Roman" w:hint="ascii"/>
          <w:sz w:val="21"/>
        </w:rPr>
        <w:t>454</w:t>
      </w:r>
      <w:r>
        <w:rPr>
          <w:rFonts w:ascii="Times New Roman" w:hAnsi="Times New Roman" w:cs="Times New Roman" w:eastAsia="Times New Roman" w:hint="ascii"/>
          <w:sz w:val="21"/>
          <w:spacing w:val="-25"/>
        </w:rPr>
        <w:t xml:space="preserve"> </w:t>
      </w:r>
      <w:r>
        <w:rPr>
          <w:rFonts w:ascii="宋体" w:hAnsi="宋体" w:cs="宋体" w:eastAsia="宋体" w:hint="ascii"/>
          <w:sz w:val="21"/>
        </w:rPr>
        <w:t>项，增幅</w:t>
      </w:r>
      <w:r>
        <w:rPr>
          <w:rFonts w:ascii="宋体" w:hAnsi="宋体" w:cs="宋体" w:eastAsia="宋体" w:hint="ascii"/>
          <w:sz w:val="21"/>
          <w:spacing w:val="-24"/>
        </w:rPr>
        <w:t xml:space="preserve"> </w:t>
      </w:r>
      <w:r>
        <w:rPr>
          <w:rFonts w:ascii="Times New Roman" w:hAnsi="Times New Roman" w:cs="Times New Roman" w:eastAsia="Times New Roman" w:hint="ascii"/>
          <w:sz w:val="21"/>
        </w:rPr>
        <w:t>10.29%</w:t>
      </w:r>
      <w:r>
        <w:rPr>
          <w:rFonts w:ascii="宋体" w:hAnsi="宋体" w:cs="宋体" w:eastAsia="宋体" w:hint="ascii"/>
          <w:sz w:val="21"/>
        </w:rPr>
        <w:t>；国家杰出青年科学基金项目增加</w:t>
      </w:r>
      <w:r>
        <w:rPr>
          <w:rFonts w:ascii="宋体" w:hAnsi="宋体" w:cs="宋体" w:eastAsia="宋体" w:hint="ascii"/>
          <w:sz w:val="21"/>
          <w:spacing w:val="-24"/>
        </w:rPr>
        <w:t xml:space="preserve"> </w:t>
      </w:r>
      <w:r>
        <w:rPr>
          <w:rFonts w:ascii="Times New Roman" w:hAnsi="Times New Roman" w:cs="Times New Roman" w:eastAsia="Times New Roman" w:hint="ascii"/>
          <w:sz w:val="21"/>
        </w:rPr>
        <w:t>251</w:t>
      </w:r>
      <w:r>
        <w:rPr>
          <w:rFonts w:ascii="Times New Roman" w:hAnsi="Times New Roman" w:cs="Times New Roman" w:eastAsia="Times New Roman" w:hint="ascii"/>
          <w:sz w:val="21"/>
          <w:spacing w:val="-25"/>
        </w:rPr>
        <w:t xml:space="preserve"> </w:t>
      </w:r>
      <w:r>
        <w:rPr>
          <w:rFonts w:ascii="宋体" w:hAnsi="宋体" w:cs="宋体" w:eastAsia="宋体" w:hint="ascii"/>
          <w:sz w:val="21"/>
        </w:rPr>
        <w:t>项，</w:t>
      </w:r>
      <w:r>
        <w:rPr>
          <w:rFonts w:ascii="宋体" w:hAnsi="宋体" w:cs="宋体" w:eastAsia="宋体" w:hint="ascii"/>
          <w:sz w:val="21"/>
          <w:spacing w:val="3"/>
        </w:rPr>
        <w:t>增</w:t>
      </w:r>
      <w:r>
        <w:rPr>
          <w:rFonts w:ascii="宋体" w:hAnsi="宋体" w:cs="宋体" w:eastAsia="宋体" w:hint="ascii"/>
          <w:sz w:val="21"/>
        </w:rPr>
        <w:t>幅</w:t>
      </w:r>
      <w:r>
        <w:rPr>
          <w:rFonts w:ascii="宋体" w:hAnsi="宋体" w:cs="宋体" w:eastAsia="宋体" w:hint="ascii"/>
          <w:sz w:val="21"/>
          <w:spacing w:val="-24"/>
        </w:rPr>
        <w:t xml:space="preserve"> </w:t>
      </w:r>
      <w:r>
        <w:rPr>
          <w:rFonts w:ascii="Times New Roman" w:hAnsi="Times New Roman" w:cs="Times New Roman" w:eastAsia="Times New Roman" w:hint="ascii"/>
          <w:sz w:val="21"/>
        </w:rPr>
        <w:t>10.32</w:t>
      </w:r>
      <w:r>
        <w:rPr>
          <w:rFonts w:ascii="Times New Roman" w:hAnsi="Times New Roman" w:cs="Times New Roman" w:eastAsia="Times New Roman" w:hint="ascii"/>
          <w:sz w:val="21"/>
          <w:spacing w:val="5"/>
        </w:rPr>
        <w:t>%</w:t>
      </w:r>
      <w:r>
        <w:rPr>
          <w:rFonts w:ascii="宋体" w:hAnsi="宋体" w:cs="宋体" w:eastAsia="宋体" w:hint="ascii"/>
          <w:sz w:val="21"/>
          <w:spacing w:val="3"/>
        </w:rPr>
        <w:t>；创</w:t>
      </w:r>
      <w:r>
        <w:rPr>
          <w:rFonts w:ascii="宋体" w:hAnsi="宋体" w:cs="宋体" w:eastAsia="宋体" w:hint="ascii"/>
          <w:sz w:val="21"/>
        </w:rPr>
        <w:t>新</w:t>
      </w:r>
      <w:r>
        <w:rPr>
          <w:rFonts w:ascii="宋体" w:hAnsi="宋体" w:cs="宋体" w:eastAsia="宋体" w:hint="ascii"/>
          <w:sz w:val="21"/>
          <w:spacing w:val="3"/>
        </w:rPr>
        <w:t>研</w:t>
      </w:r>
      <w:r>
        <w:rPr>
          <w:rFonts w:ascii="宋体" w:hAnsi="宋体" w:cs="宋体" w:eastAsia="宋体" w:hint="ascii"/>
          <w:sz w:val="21"/>
        </w:rPr>
        <w:t>究</w:t>
      </w:r>
      <w:r>
        <w:rPr>
          <w:rFonts w:ascii="宋体" w:hAnsi="宋体" w:cs="宋体" w:eastAsia="宋体" w:hint="ascii"/>
          <w:sz w:val="21"/>
          <w:spacing w:val="3"/>
        </w:rPr>
        <w:t>群体</w:t>
      </w:r>
      <w:r>
        <w:rPr>
          <w:rFonts w:ascii="宋体" w:hAnsi="宋体" w:cs="宋体" w:eastAsia="宋体" w:hint="ascii"/>
          <w:sz w:val="21"/>
        </w:rPr>
        <w:t>项</w:t>
      </w:r>
      <w:r>
        <w:rPr>
          <w:rFonts w:ascii="宋体" w:hAnsi="宋体" w:cs="宋体" w:eastAsia="宋体" w:hint="ascii"/>
          <w:sz w:val="21"/>
          <w:spacing w:val="3"/>
        </w:rPr>
        <w:t>目</w:t>
      </w:r>
      <w:r>
        <w:rPr>
          <w:rFonts w:ascii="宋体" w:hAnsi="宋体" w:cs="宋体" w:eastAsia="宋体" w:hint="ascii"/>
          <w:sz w:val="21"/>
        </w:rPr>
        <w:t>减少</w:t>
      </w:r>
      <w:r>
        <w:rPr>
          <w:rFonts w:ascii="宋体" w:hAnsi="宋体" w:cs="宋体" w:eastAsia="宋体" w:hint="ascii"/>
          <w:sz w:val="21"/>
          <w:spacing w:val="-2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项，</w:t>
      </w:r>
      <w:r>
        <w:rPr>
          <w:rFonts w:ascii="宋体" w:hAnsi="宋体" w:cs="宋体" w:eastAsia="宋体" w:hint="ascii"/>
          <w:sz w:val="21"/>
        </w:rPr>
        <w:t>减幅</w:t>
      </w:r>
      <w:r>
        <w:rPr>
          <w:rFonts w:ascii="宋体" w:hAnsi="宋体" w:cs="宋体" w:eastAsia="宋体" w:hint="ascii"/>
          <w:sz w:val="21"/>
          <w:spacing w:val="-23"/>
        </w:rPr>
        <w:t xml:space="preserve"> </w:t>
      </w:r>
      <w:r>
        <w:rPr>
          <w:rFonts w:ascii="Times New Roman" w:hAnsi="Times New Roman" w:cs="Times New Roman" w:eastAsia="Times New Roman" w:hint="ascii"/>
          <w:sz w:val="21"/>
        </w:rPr>
        <w:t>0.39</w:t>
      </w:r>
      <w:r>
        <w:rPr>
          <w:rFonts w:ascii="Times New Roman" w:hAnsi="Times New Roman" w:cs="Times New Roman" w:eastAsia="Times New Roman" w:hint="ascii"/>
          <w:sz w:val="21"/>
          <w:spacing w:val="5"/>
        </w:rPr>
        <w:t>%</w:t>
      </w:r>
      <w:r>
        <w:rPr>
          <w:rFonts w:ascii="宋体" w:hAnsi="宋体" w:cs="宋体" w:eastAsia="宋体" w:hint="ascii"/>
          <w:sz w:val="21"/>
          <w:spacing w:val="3"/>
        </w:rPr>
        <w:t>；重点</w:t>
      </w:r>
      <w:r>
        <w:rPr>
          <w:rFonts w:ascii="宋体" w:hAnsi="宋体" w:cs="宋体" w:eastAsia="宋体" w:hint="ascii"/>
          <w:sz w:val="21"/>
        </w:rPr>
        <w:t>国</w:t>
      </w:r>
      <w:r>
        <w:rPr>
          <w:rFonts w:ascii="宋体" w:hAnsi="宋体" w:cs="宋体" w:eastAsia="宋体" w:hint="ascii"/>
          <w:sz w:val="21"/>
          <w:spacing w:val="3"/>
        </w:rPr>
        <w:t>际</w:t>
      </w:r>
      <w:r>
        <w:rPr>
          <w:rFonts w:ascii="宋体" w:hAnsi="宋体" w:cs="宋体" w:eastAsia="宋体" w:hint="ascii"/>
          <w:sz w:val="21"/>
        </w:rPr>
        <w:t>（</w:t>
      </w:r>
      <w:r>
        <w:rPr>
          <w:rFonts w:ascii="宋体" w:hAnsi="宋体" w:cs="宋体" w:eastAsia="宋体" w:hint="ascii"/>
          <w:sz w:val="21"/>
          <w:spacing w:val="3"/>
        </w:rPr>
        <w:t>地区</w:t>
      </w:r>
      <w:r>
        <w:rPr>
          <w:rFonts w:ascii="宋体" w:hAnsi="宋体" w:cs="宋体" w:eastAsia="宋体" w:hint="ascii"/>
          <w:sz w:val="21"/>
        </w:rPr>
        <w:t>）</w:t>
      </w:r>
      <w:r>
        <w:rPr>
          <w:rFonts w:ascii="宋体" w:hAnsi="宋体" w:cs="宋体" w:eastAsia="宋体" w:hint="ascii"/>
          <w:sz w:val="21"/>
          <w:spacing w:val="3"/>
        </w:rPr>
        <w:t>合</w:t>
      </w:r>
      <w:r>
        <w:rPr>
          <w:rFonts w:ascii="宋体" w:hAnsi="宋体" w:cs="宋体" w:eastAsia="宋体" w:hint="ascii"/>
          <w:sz w:val="21"/>
        </w:rPr>
        <w:t>作</w:t>
      </w:r>
      <w:r>
        <w:rPr>
          <w:rFonts w:ascii="宋体" w:hAnsi="宋体" w:cs="宋体" w:eastAsia="宋体" w:hint="ascii"/>
          <w:sz w:val="21"/>
          <w:spacing w:val="3"/>
        </w:rPr>
        <w:t>研</w:t>
      </w:r>
      <w:r>
        <w:rPr>
          <w:rFonts w:ascii="宋体" w:hAnsi="宋体" w:cs="宋体" w:eastAsia="宋体" w:hint="ascii"/>
          <w:sz w:val="21"/>
        </w:rPr>
        <w:t>究项目减</w:t>
      </w:r>
      <w:r>
        <w:rPr>
          <w:rFonts w:ascii="宋体" w:hAnsi="宋体" w:cs="宋体" w:eastAsia="宋体" w:hint="ascii"/>
          <w:sz w:val="21"/>
          <w:spacing w:val="27"/>
        </w:rPr>
        <w:t>少</w:t>
      </w:r>
      <w:r>
        <w:rPr>
          <w:rFonts w:ascii="Times New Roman" w:hAnsi="Times New Roman" w:cs="Times New Roman" w:eastAsia="Times New Roman" w:hint="ascii"/>
          <w:sz w:val="21"/>
          <w:spacing w:val="52"/>
        </w:rPr>
        <w:t>1</w:t>
      </w:r>
      <w:r>
        <w:rPr>
          <w:rFonts w:ascii="宋体" w:hAnsi="宋体" w:cs="宋体" w:eastAsia="宋体" w:hint="ascii"/>
          <w:sz w:val="21"/>
        </w:rPr>
        <w:t>项，减</w:t>
      </w:r>
      <w:r>
        <w:rPr>
          <w:rFonts w:ascii="宋体" w:hAnsi="宋体" w:cs="宋体" w:eastAsia="宋体" w:hint="ascii"/>
          <w:sz w:val="21"/>
          <w:spacing w:val="27"/>
        </w:rPr>
        <w:t>幅</w:t>
      </w:r>
      <w:r>
        <w:rPr>
          <w:rFonts w:ascii="Times New Roman" w:hAnsi="Times New Roman" w:cs="Times New Roman" w:eastAsia="Times New Roman" w:hint="ascii"/>
          <w:sz w:val="21"/>
        </w:rPr>
        <w:t>0.16%</w:t>
      </w:r>
      <w:r>
        <w:rPr>
          <w:rFonts w:ascii="宋体" w:hAnsi="宋体" w:cs="宋体" w:eastAsia="宋体" w:hint="ascii"/>
          <w:sz w:val="21"/>
        </w:rPr>
        <w:t>；国家重大科研仪器研制项目（自由申请）增</w:t>
      </w:r>
      <w:r>
        <w:rPr>
          <w:rFonts w:ascii="宋体" w:hAnsi="宋体" w:cs="宋体" w:eastAsia="宋体" w:hint="ascii"/>
          <w:sz w:val="21"/>
          <w:spacing w:val="27"/>
        </w:rPr>
        <w:t>加</w:t>
      </w:r>
      <w:r>
        <w:rPr>
          <w:rFonts w:ascii="Times New Roman" w:hAnsi="Times New Roman" w:cs="Times New Roman" w:eastAsia="Times New Roman" w:hint="ascii"/>
          <w:sz w:val="21"/>
          <w:spacing w:val="53"/>
        </w:rPr>
        <w:t>2</w:t>
      </w:r>
      <w:r>
        <w:rPr>
          <w:rFonts w:ascii="宋体" w:hAnsi="宋体" w:cs="宋体" w:eastAsia="宋体" w:hint="ascii"/>
          <w:sz w:val="21"/>
        </w:rPr>
        <w:t>项，增幅</w:t>
      </w:r>
    </w:p>
    <w:p>
      <w:pPr>
        <w:autoSpaceDE w:val="0"/>
        <w:autoSpaceDN w:val="0"/>
        <w:jc w:val="left"/>
        <w:spacing w:before="40" w:after="0" w:lineRule="auto" w:line="240"/>
        <w:ind w:right="0" w:left="420" w:firstLine="546"/>
        <w:snapToGrid w:val="0"/>
        <w:textAlignment w:val="auto"/>
        <w:tabs/>
        <w:numPr>
          <w:ilvl w:val="1"/>
          <w:numId w:val="1"/>
        </w:numPr>
        <w:rPr>
          <w:rFonts w:ascii="Times New Roman" w:hAnsi="Times New Roman" w:cs="Times New Roman" w:eastAsia="宋体" w:hint="ascii"/>
          <w:sz w:val="21"/>
        </w:rPr>
      </w:pPr>
      <w:r>
        <w:rPr>
          <w:rFonts w:ascii="Times New Roman" w:hAnsi="Times New Roman" w:cs="Times New Roman" w:eastAsia="Times New Roman" w:hint="ascii"/>
          <w:sz w:val="21"/>
        </w:rPr>
        <w:t>%</w:t>
      </w:r>
      <w:r>
        <w:rPr>
          <w:rFonts w:ascii="宋体" w:hAnsi="宋体" w:cs="宋体" w:eastAsia="宋体" w:hint="ascii"/>
          <w:sz w:val="21"/>
        </w:rPr>
        <w:t>。</w:t>
      </w:r>
    </w:p>
    <w:p>
      <w:pPr>
        <w:autoSpaceDE w:val="0"/>
        <w:autoSpaceDN w:val="0"/>
        <w:jc w:val="left"/>
        <w:spacing w:before="57" w:after="0" w:lineRule="exact" w:line="263"/>
        <w:ind w:right="0" w:left="1377" w:firstLine="0"/>
        <w:snapToGrid w:val="0"/>
        <w:textAlignment w:val="auto"/>
        <w:tabs/>
        <w:rPr>
          <w:rFonts w:ascii="宋体" w:hAnsi="宋体" w:cs="宋体" w:eastAsia="宋体" w:hint="ascii"/>
          <w:sz w:val="21"/>
        </w:rPr>
      </w:pPr>
      <w:r>
        <w:rPr>
          <w:rFonts w:ascii="宋体" w:hAnsi="宋体" w:cs="宋体" w:eastAsia="宋体" w:hint="ascii"/>
          <w:sz w:val="21"/>
        </w:rPr>
        <w:t>经过规定的评审程序，截</w:t>
      </w:r>
      <w:r>
        <w:rPr>
          <w:rFonts w:ascii="宋体" w:hAnsi="宋体" w:cs="宋体" w:eastAsia="宋体" w:hint="ascii"/>
          <w:sz w:val="21"/>
          <w:spacing w:val="26"/>
        </w:rPr>
        <w:t>至</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4"/>
        </w:rPr>
        <w:t>7</w:t>
      </w:r>
      <w:r>
        <w:rPr>
          <w:rFonts w:ascii="宋体" w:hAnsi="宋体" w:cs="宋体" w:eastAsia="宋体" w:hint="ascii"/>
          <w:sz w:val="21"/>
          <w:spacing w:val="26"/>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3"/>
        </w:rPr>
        <w:t>2</w:t>
      </w:r>
      <w:r>
        <w:rPr>
          <w:rFonts w:ascii="宋体" w:hAnsi="宋体" w:cs="宋体" w:eastAsia="宋体" w:hint="ascii"/>
          <w:sz w:val="21"/>
          <w:spacing w:val="26"/>
        </w:rPr>
        <w:t>月</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3"/>
        </w:rPr>
        <w:t>4</w:t>
      </w:r>
      <w:r>
        <w:rPr>
          <w:rFonts w:ascii="宋体" w:hAnsi="宋体" w:cs="宋体" w:eastAsia="宋体" w:hint="ascii"/>
          <w:sz w:val="21"/>
        </w:rPr>
        <w:t>日，自然科学基金</w:t>
      </w:r>
      <w:r>
        <w:rPr>
          <w:rFonts w:ascii="宋体" w:hAnsi="宋体" w:cs="宋体" w:eastAsia="宋体" w:hint="ascii"/>
          <w:sz w:val="21"/>
          <w:spacing w:val="26"/>
        </w:rPr>
        <w:t>委</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4"/>
        </w:rPr>
        <w:t>7</w:t>
      </w:r>
      <w:r>
        <w:rPr>
          <w:rFonts w:ascii="宋体" w:hAnsi="宋体" w:cs="宋体" w:eastAsia="宋体" w:hint="ascii"/>
          <w:sz w:val="21"/>
        </w:rPr>
        <w:t>年度批准资</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助的面上项</w:t>
      </w:r>
      <w:r>
        <w:rPr>
          <w:rFonts w:ascii="宋体" w:hAnsi="宋体" w:cs="宋体" w:eastAsia="宋体" w:hint="ascii"/>
          <w:sz w:val="21"/>
          <w:spacing w:val="23"/>
        </w:rPr>
        <w:t>目</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spacing w:val="-2"/>
        </w:rPr>
        <w:t>13</w:t>
      </w:r>
      <w:r>
        <w:rPr>
          <w:rFonts w:ascii="Times New Roman" w:hAnsi="Times New Roman" w:cs="Times New Roman" w:eastAsia="Times New Roman" w:hint="ascii"/>
          <w:sz w:val="21"/>
          <w:spacing w:val="49"/>
        </w:rPr>
        <w:t>6</w:t>
      </w:r>
      <w:r>
        <w:rPr>
          <w:rFonts w:ascii="宋体" w:hAnsi="宋体" w:cs="宋体" w:eastAsia="宋体" w:hint="ascii"/>
          <w:sz w:val="21"/>
          <w:spacing w:val="-2"/>
        </w:rPr>
        <w:t>项，重点项</w:t>
      </w:r>
      <w:r>
        <w:rPr>
          <w:rFonts w:ascii="宋体" w:hAnsi="宋体" w:cs="宋体" w:eastAsia="宋体" w:hint="ascii"/>
          <w:sz w:val="21"/>
          <w:spacing w:val="23"/>
        </w:rPr>
        <w:t>目</w:t>
      </w:r>
      <w:r>
        <w:rPr>
          <w:rFonts w:ascii="Times New Roman" w:hAnsi="Times New Roman" w:cs="Times New Roman" w:eastAsia="Times New Roman" w:hint="ascii"/>
          <w:sz w:val="21"/>
          <w:spacing w:val="-3"/>
        </w:rPr>
        <w:t>6</w:t>
      </w:r>
      <w:r>
        <w:rPr>
          <w:rFonts w:ascii="Times New Roman" w:hAnsi="Times New Roman" w:cs="Times New Roman" w:eastAsia="Times New Roman" w:hint="ascii"/>
          <w:sz w:val="21"/>
          <w:spacing w:val="-2"/>
        </w:rPr>
        <w:t>6</w:t>
      </w:r>
      <w:r>
        <w:rPr>
          <w:rFonts w:ascii="Times New Roman" w:hAnsi="Times New Roman" w:cs="Times New Roman" w:eastAsia="Times New Roman" w:hint="ascii"/>
          <w:sz w:val="21"/>
          <w:spacing w:val="49"/>
        </w:rPr>
        <w:t>7</w:t>
      </w:r>
      <w:r>
        <w:rPr>
          <w:rFonts w:ascii="宋体" w:hAnsi="宋体" w:cs="宋体" w:eastAsia="宋体" w:hint="ascii"/>
          <w:sz w:val="21"/>
          <w:spacing w:val="-2"/>
        </w:rPr>
        <w:t>项，重大项</w:t>
      </w:r>
      <w:r>
        <w:rPr>
          <w:rFonts w:ascii="宋体" w:hAnsi="宋体" w:cs="宋体" w:eastAsia="宋体" w:hint="ascii"/>
          <w:sz w:val="21"/>
          <w:spacing w:val="25"/>
        </w:rPr>
        <w:t>目</w:t>
      </w:r>
      <w:r>
        <w:rPr>
          <w:rFonts w:ascii="Times New Roman" w:hAnsi="Times New Roman" w:cs="Times New Roman" w:eastAsia="Times New Roman" w:hint="ascii"/>
          <w:sz w:val="21"/>
          <w:spacing w:val="-3"/>
        </w:rPr>
        <w:t>4</w:t>
      </w:r>
      <w:r>
        <w:rPr>
          <w:rFonts w:ascii="Times New Roman" w:hAnsi="Times New Roman" w:cs="Times New Roman" w:eastAsia="Times New Roman" w:hint="ascii"/>
          <w:sz w:val="21"/>
          <w:spacing w:val="51"/>
        </w:rPr>
        <w:t>0</w:t>
      </w:r>
      <w:r>
        <w:rPr>
          <w:rFonts w:ascii="宋体" w:hAnsi="宋体" w:cs="宋体" w:eastAsia="宋体" w:hint="ascii"/>
          <w:sz w:val="21"/>
          <w:spacing w:val="-2"/>
        </w:rPr>
        <w:t>项，重大研究计划项</w:t>
      </w:r>
      <w:r>
        <w:rPr>
          <w:rFonts w:ascii="宋体" w:hAnsi="宋体" w:cs="宋体" w:eastAsia="宋体" w:hint="ascii"/>
          <w:sz w:val="21"/>
          <w:spacing w:val="24"/>
        </w:rPr>
        <w:t>目</w:t>
      </w:r>
      <w:r>
        <w:rPr>
          <w:rFonts w:ascii="Times New Roman" w:hAnsi="Times New Roman" w:cs="Times New Roman" w:eastAsia="Times New Roman" w:hint="ascii"/>
          <w:sz w:val="21"/>
          <w:spacing w:val="-2"/>
        </w:rPr>
        <w:t>53</w:t>
      </w:r>
      <w:r>
        <w:rPr>
          <w:rFonts w:ascii="Times New Roman" w:hAnsi="Times New Roman" w:cs="Times New Roman" w:eastAsia="Times New Roman" w:hint="ascii"/>
          <w:sz w:val="21"/>
          <w:spacing w:val="50"/>
        </w:rPr>
        <w:t>5</w:t>
      </w:r>
      <w:r>
        <w:rPr>
          <w:rFonts w:ascii="宋体" w:hAnsi="宋体" w:cs="宋体" w:eastAsia="宋体" w:hint="ascii"/>
          <w:sz w:val="21"/>
          <w:spacing w:val="-2"/>
        </w:rPr>
        <w:t>项</w:t>
      </w:r>
      <w:r>
        <w:rPr>
          <w:rFonts w:ascii="宋体" w:hAnsi="宋体" w:cs="宋体" w:eastAsia="宋体" w:hint="ascii"/>
          <w:sz w:val="21"/>
        </w:rPr>
        <w:t>，</w:t>
      </w:r>
    </w:p>
    <w:p>
      <w:pPr>
        <w:autoSpaceDE w:val="0"/>
        <w:autoSpaceDN w:val="0"/>
        <w:jc w:val="both"/>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5"/>
        </w:rPr>
        <w:t>重点国际（地区）合作研究项</w:t>
      </w:r>
      <w:r>
        <w:rPr>
          <w:rFonts w:ascii="宋体" w:hAnsi="宋体" w:cs="宋体" w:eastAsia="宋体" w:hint="ascii"/>
          <w:sz w:val="21"/>
          <w:spacing w:val="21"/>
        </w:rPr>
        <w:t>目</w:t>
      </w:r>
      <w:r>
        <w:rPr>
          <w:rFonts w:ascii="Times New Roman" w:hAnsi="Times New Roman" w:cs="Times New Roman" w:eastAsia="Times New Roman" w:hint="ascii"/>
          <w:sz w:val="21"/>
          <w:spacing w:val="-4"/>
        </w:rPr>
        <w:t>10</w:t>
      </w:r>
      <w:r>
        <w:rPr>
          <w:rFonts w:ascii="Times New Roman" w:hAnsi="Times New Roman" w:cs="Times New Roman" w:eastAsia="Times New Roman" w:hint="ascii"/>
          <w:sz w:val="21"/>
          <w:spacing w:val="49"/>
        </w:rPr>
        <w:t>7</w:t>
      </w:r>
      <w:r>
        <w:rPr>
          <w:rFonts w:ascii="宋体" w:hAnsi="宋体" w:cs="宋体" w:eastAsia="宋体" w:hint="ascii"/>
          <w:sz w:val="21"/>
          <w:spacing w:val="-4"/>
        </w:rPr>
        <w:t>项</w:t>
      </w:r>
      <w:r>
        <w:rPr>
          <w:rFonts w:ascii="宋体" w:hAnsi="宋体" w:cs="宋体" w:eastAsia="宋体" w:hint="ascii"/>
          <w:sz w:val="21"/>
          <w:spacing w:val="-5"/>
        </w:rPr>
        <w:t>，</w:t>
      </w:r>
      <w:r>
        <w:rPr>
          <w:rFonts w:ascii="宋体" w:hAnsi="宋体" w:cs="宋体" w:eastAsia="宋体" w:hint="ascii"/>
          <w:sz w:val="21"/>
          <w:spacing w:val="-4"/>
        </w:rPr>
        <w:t>组织间国际（地区）合作研究项</w:t>
      </w:r>
      <w:r>
        <w:rPr>
          <w:rFonts w:ascii="宋体" w:hAnsi="宋体" w:cs="宋体" w:eastAsia="宋体" w:hint="ascii"/>
          <w:sz w:val="21"/>
          <w:spacing w:val="-1"/>
        </w:rPr>
        <w:t>目</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4"/>
        </w:rPr>
        <w:t>37</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4"/>
        </w:rPr>
        <w:t>项。青</w:t>
      </w:r>
      <w:r>
        <w:rPr>
          <w:rFonts w:ascii="宋体" w:hAnsi="宋体" w:cs="宋体" w:eastAsia="宋体" w:hint="ascii"/>
          <w:sz w:val="21"/>
          <w:spacing w:val="-1"/>
        </w:rPr>
        <w:t>年</w:t>
      </w:r>
      <w:r>
        <w:rPr>
          <w:rFonts w:ascii="宋体" w:hAnsi="宋体" w:cs="宋体" w:eastAsia="宋体" w:hint="ascii"/>
          <w:sz w:val="21"/>
        </w:rPr>
        <w:t xml:space="preserve"> </w:t>
      </w:r>
      <w:r>
        <w:rPr>
          <w:rFonts w:ascii="宋体" w:hAnsi="宋体" w:cs="宋体" w:eastAsia="宋体" w:hint="ascii"/>
          <w:sz w:val="21"/>
          <w:spacing w:val="-4"/>
        </w:rPr>
        <w:t>科学</w:t>
      </w:r>
      <w:r>
        <w:rPr>
          <w:rFonts w:ascii="宋体" w:hAnsi="宋体" w:cs="宋体" w:eastAsia="宋体" w:hint="ascii"/>
          <w:sz w:val="21"/>
          <w:spacing w:val="-3"/>
        </w:rPr>
        <w:t>基</w:t>
      </w:r>
      <w:r>
        <w:rPr>
          <w:rFonts w:ascii="宋体" w:hAnsi="宋体" w:cs="宋体" w:eastAsia="宋体" w:hint="ascii"/>
          <w:sz w:val="21"/>
          <w:spacing w:val="-4"/>
        </w:rPr>
        <w:t>金</w:t>
      </w:r>
      <w:r>
        <w:rPr>
          <w:rFonts w:ascii="宋体" w:hAnsi="宋体" w:cs="宋体" w:eastAsia="宋体" w:hint="ascii"/>
          <w:sz w:val="21"/>
          <w:spacing w:val="-3"/>
        </w:rPr>
        <w:t>项</w:t>
      </w:r>
      <w:r>
        <w:rPr>
          <w:rFonts w:ascii="宋体" w:hAnsi="宋体" w:cs="宋体" w:eastAsia="宋体" w:hint="ascii"/>
          <w:sz w:val="21"/>
          <w:spacing w:val="24"/>
        </w:rPr>
        <w:t>目</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spacing w:val="-3"/>
        </w:rPr>
        <w:t>52</w:t>
      </w:r>
      <w:r>
        <w:rPr>
          <w:rFonts w:ascii="Times New Roman" w:hAnsi="Times New Roman" w:cs="Times New Roman" w:eastAsia="Times New Roman" w:hint="ascii"/>
          <w:sz w:val="21"/>
          <w:spacing w:val="50"/>
        </w:rPr>
        <w:t>3</w:t>
      </w:r>
      <w:r>
        <w:rPr>
          <w:rFonts w:ascii="宋体" w:hAnsi="宋体" w:cs="宋体" w:eastAsia="宋体" w:hint="ascii"/>
          <w:sz w:val="21"/>
          <w:spacing w:val="-3"/>
        </w:rPr>
        <w:t>项</w:t>
      </w:r>
      <w:r>
        <w:rPr>
          <w:rFonts w:ascii="宋体" w:hAnsi="宋体" w:cs="宋体" w:eastAsia="宋体" w:hint="ascii"/>
          <w:sz w:val="21"/>
          <w:spacing w:val="-2"/>
        </w:rPr>
        <w:t>，</w:t>
      </w:r>
      <w:r>
        <w:rPr>
          <w:rFonts w:ascii="宋体" w:hAnsi="宋体" w:cs="宋体" w:eastAsia="宋体" w:hint="ascii"/>
          <w:sz w:val="21"/>
          <w:spacing w:val="-3"/>
        </w:rPr>
        <w:t>地区</w:t>
      </w:r>
      <w:r>
        <w:rPr>
          <w:rFonts w:ascii="宋体" w:hAnsi="宋体" w:cs="宋体" w:eastAsia="宋体" w:hint="ascii"/>
          <w:sz w:val="21"/>
          <w:spacing w:val="-2"/>
        </w:rPr>
        <w:t>科</w:t>
      </w:r>
      <w:r>
        <w:rPr>
          <w:rFonts w:ascii="宋体" w:hAnsi="宋体" w:cs="宋体" w:eastAsia="宋体" w:hint="ascii"/>
          <w:sz w:val="21"/>
          <w:spacing w:val="-3"/>
        </w:rPr>
        <w:t>学</w:t>
      </w:r>
      <w:r>
        <w:rPr>
          <w:rFonts w:ascii="宋体" w:hAnsi="宋体" w:cs="宋体" w:eastAsia="宋体" w:hint="ascii"/>
          <w:sz w:val="21"/>
          <w:spacing w:val="-2"/>
        </w:rPr>
        <w:t>基金</w:t>
      </w:r>
      <w:r>
        <w:rPr>
          <w:rFonts w:ascii="宋体" w:hAnsi="宋体" w:cs="宋体" w:eastAsia="宋体" w:hint="ascii"/>
          <w:sz w:val="21"/>
          <w:spacing w:val="-3"/>
        </w:rPr>
        <w:t>项</w:t>
      </w:r>
      <w:r>
        <w:rPr>
          <w:rFonts w:ascii="宋体" w:hAnsi="宋体" w:cs="宋体" w:eastAsia="宋体" w:hint="ascii"/>
          <w:sz w:val="21"/>
          <w:spacing w:val="23"/>
        </w:rPr>
        <w:t>目</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spacing w:val="-3"/>
        </w:rPr>
        <w:t>01</w:t>
      </w:r>
      <w:r>
        <w:rPr>
          <w:rFonts w:ascii="Times New Roman" w:hAnsi="Times New Roman" w:cs="Times New Roman" w:eastAsia="Times New Roman" w:hint="ascii"/>
          <w:sz w:val="21"/>
          <w:spacing w:val="51"/>
        </w:rPr>
        <w:t>7</w:t>
      </w:r>
      <w:r>
        <w:rPr>
          <w:rFonts w:ascii="宋体" w:hAnsi="宋体" w:cs="宋体" w:eastAsia="宋体" w:hint="ascii"/>
          <w:sz w:val="21"/>
          <w:spacing w:val="-2"/>
        </w:rPr>
        <w:t>项</w:t>
      </w:r>
      <w:r>
        <w:rPr>
          <w:rFonts w:ascii="宋体" w:hAnsi="宋体" w:cs="宋体" w:eastAsia="宋体" w:hint="ascii"/>
          <w:sz w:val="21"/>
          <w:spacing w:val="-3"/>
        </w:rPr>
        <w:t>，优</w:t>
      </w:r>
      <w:r>
        <w:rPr>
          <w:rFonts w:ascii="宋体" w:hAnsi="宋体" w:cs="宋体" w:eastAsia="宋体" w:hint="ascii"/>
          <w:sz w:val="21"/>
          <w:spacing w:val="-2"/>
        </w:rPr>
        <w:t>秀</w:t>
      </w:r>
      <w:r>
        <w:rPr>
          <w:rFonts w:ascii="宋体" w:hAnsi="宋体" w:cs="宋体" w:eastAsia="宋体" w:hint="ascii"/>
          <w:sz w:val="21"/>
          <w:spacing w:val="-3"/>
        </w:rPr>
        <w:t>青</w:t>
      </w:r>
      <w:r>
        <w:rPr>
          <w:rFonts w:ascii="宋体" w:hAnsi="宋体" w:cs="宋体" w:eastAsia="宋体" w:hint="ascii"/>
          <w:sz w:val="21"/>
          <w:spacing w:val="-2"/>
        </w:rPr>
        <w:t>年科</w:t>
      </w:r>
      <w:r>
        <w:rPr>
          <w:rFonts w:ascii="宋体" w:hAnsi="宋体" w:cs="宋体" w:eastAsia="宋体" w:hint="ascii"/>
          <w:sz w:val="21"/>
          <w:spacing w:val="-3"/>
        </w:rPr>
        <w:t>学基</w:t>
      </w:r>
      <w:r>
        <w:rPr>
          <w:rFonts w:ascii="宋体" w:hAnsi="宋体" w:cs="宋体" w:eastAsia="宋体" w:hint="ascii"/>
          <w:sz w:val="21"/>
          <w:spacing w:val="-2"/>
        </w:rPr>
        <w:t>金</w:t>
      </w:r>
      <w:r>
        <w:rPr>
          <w:rFonts w:ascii="宋体" w:hAnsi="宋体" w:cs="宋体" w:eastAsia="宋体" w:hint="ascii"/>
          <w:sz w:val="21"/>
          <w:spacing w:val="-3"/>
        </w:rPr>
        <w:t>项</w:t>
      </w:r>
      <w:r>
        <w:rPr>
          <w:rFonts w:ascii="宋体" w:hAnsi="宋体" w:cs="宋体" w:eastAsia="宋体" w:hint="ascii"/>
          <w:sz w:val="21"/>
          <w:spacing w:val="23"/>
        </w:rPr>
        <w:t>目</w:t>
      </w:r>
      <w:r>
        <w:rPr>
          <w:rFonts w:ascii="Times New Roman" w:hAnsi="Times New Roman" w:cs="Times New Roman" w:eastAsia="Times New Roman" w:hint="ascii"/>
          <w:sz w:val="21"/>
          <w:spacing w:val="-2"/>
        </w:rPr>
        <w:t>3</w:t>
      </w:r>
      <w:r>
        <w:rPr>
          <w:rFonts w:ascii="Times New Roman" w:hAnsi="Times New Roman" w:cs="Times New Roman" w:eastAsia="Times New Roman" w:hint="ascii"/>
          <w:sz w:val="21"/>
          <w:spacing w:val="-3"/>
        </w:rPr>
        <w:t>9</w:t>
      </w:r>
      <w:r>
        <w:rPr>
          <w:rFonts w:ascii="Times New Roman" w:hAnsi="Times New Roman" w:cs="Times New Roman" w:eastAsia="Times New Roman" w:hint="ascii"/>
          <w:sz w:val="21"/>
          <w:spacing w:val="50"/>
        </w:rPr>
        <w:t>9</w:t>
      </w:r>
      <w:r>
        <w:rPr>
          <w:rFonts w:ascii="宋体" w:hAnsi="宋体" w:cs="宋体" w:eastAsia="宋体" w:hint="ascii"/>
          <w:sz w:val="21"/>
          <w:spacing w:val="-3"/>
        </w:rPr>
        <w:t>项，</w:t>
      </w:r>
      <w:r>
        <w:rPr>
          <w:rFonts w:ascii="宋体" w:hAnsi="宋体" w:cs="宋体" w:eastAsia="宋体" w:hint="ascii"/>
          <w:sz w:val="21"/>
        </w:rPr>
        <w:t>国</w:t>
      </w:r>
    </w:p>
    <w:p>
      <w:pPr>
        <w:autoSpaceDE w:val="0"/>
        <w:autoSpaceDN w:val="0"/>
        <w:jc w:val="both"/>
        <w:spacing w:before="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3"/>
        </w:rPr>
        <w:t>家杰出青</w:t>
      </w:r>
      <w:r>
        <w:rPr>
          <w:rFonts w:ascii="宋体" w:hAnsi="宋体" w:cs="宋体" w:eastAsia="宋体" w:hint="ascii"/>
          <w:sz w:val="21"/>
          <w:spacing w:val="-4"/>
        </w:rPr>
        <w:t>年</w:t>
      </w:r>
      <w:r>
        <w:rPr>
          <w:rFonts w:ascii="宋体" w:hAnsi="宋体" w:cs="宋体" w:eastAsia="宋体" w:hint="ascii"/>
          <w:sz w:val="21"/>
          <w:spacing w:val="-3"/>
        </w:rPr>
        <w:t>科学基金</w:t>
      </w:r>
      <w:r>
        <w:rPr>
          <w:rFonts w:ascii="宋体" w:hAnsi="宋体" w:cs="宋体" w:eastAsia="宋体" w:hint="ascii"/>
          <w:sz w:val="21"/>
          <w:spacing w:val="-4"/>
        </w:rPr>
        <w:t>项</w:t>
      </w:r>
      <w:r>
        <w:rPr>
          <w:rFonts w:ascii="宋体" w:hAnsi="宋体" w:cs="宋体" w:eastAsia="宋体" w:hint="ascii"/>
          <w:sz w:val="21"/>
          <w:spacing w:val="23"/>
        </w:rPr>
        <w:t>目</w:t>
      </w:r>
      <w:r>
        <w:rPr>
          <w:rFonts w:ascii="Times New Roman" w:hAnsi="Times New Roman" w:cs="Times New Roman" w:eastAsia="Times New Roman" w:hint="ascii"/>
          <w:sz w:val="21"/>
          <w:spacing w:val="-5"/>
        </w:rPr>
        <w:t>19</w:t>
      </w:r>
      <w:r>
        <w:rPr>
          <w:rFonts w:ascii="Times New Roman" w:hAnsi="Times New Roman" w:cs="Times New Roman" w:eastAsia="Times New Roman" w:hint="ascii"/>
          <w:sz w:val="21"/>
          <w:spacing w:val="51"/>
        </w:rPr>
        <w:t>8</w:t>
      </w:r>
      <w:r>
        <w:rPr>
          <w:rFonts w:ascii="宋体" w:hAnsi="宋体" w:cs="宋体" w:eastAsia="宋体" w:hint="ascii"/>
          <w:sz w:val="21"/>
          <w:spacing w:val="-4"/>
        </w:rPr>
        <w:t>项，</w:t>
      </w:r>
      <w:r>
        <w:rPr>
          <w:rFonts w:ascii="宋体" w:hAnsi="宋体" w:cs="宋体" w:eastAsia="宋体" w:hint="ascii"/>
          <w:sz w:val="21"/>
          <w:spacing w:val="-3"/>
        </w:rPr>
        <w:t>新批准创</w:t>
      </w:r>
      <w:r>
        <w:rPr>
          <w:rFonts w:ascii="宋体" w:hAnsi="宋体" w:cs="宋体" w:eastAsia="宋体" w:hint="ascii"/>
          <w:sz w:val="21"/>
          <w:spacing w:val="-4"/>
        </w:rPr>
        <w:t>新</w:t>
      </w:r>
      <w:r>
        <w:rPr>
          <w:rFonts w:ascii="宋体" w:hAnsi="宋体" w:cs="宋体" w:eastAsia="宋体" w:hint="ascii"/>
          <w:sz w:val="21"/>
          <w:spacing w:val="-2"/>
        </w:rPr>
        <w:t>研究群体</w:t>
      </w:r>
      <w:r>
        <w:rPr>
          <w:rFonts w:ascii="宋体" w:hAnsi="宋体" w:cs="宋体" w:eastAsia="宋体" w:hint="ascii"/>
          <w:sz w:val="21"/>
          <w:spacing w:val="-3"/>
        </w:rPr>
        <w:t>项</w:t>
      </w:r>
      <w:r>
        <w:rPr>
          <w:rFonts w:ascii="宋体" w:hAnsi="宋体" w:cs="宋体" w:eastAsia="宋体" w:hint="ascii"/>
          <w:sz w:val="21"/>
          <w:spacing w:val="24"/>
        </w:rPr>
        <w:t>目</w:t>
      </w:r>
      <w:r>
        <w:rPr>
          <w:rFonts w:ascii="Times New Roman" w:hAnsi="Times New Roman" w:cs="Times New Roman" w:eastAsia="Times New Roman" w:hint="ascii"/>
          <w:sz w:val="21"/>
          <w:spacing w:val="-4"/>
        </w:rPr>
        <w:t>3</w:t>
      </w:r>
      <w:r>
        <w:rPr>
          <w:rFonts w:ascii="Times New Roman" w:hAnsi="Times New Roman" w:cs="Times New Roman" w:eastAsia="Times New Roman" w:hint="ascii"/>
          <w:sz w:val="21"/>
          <w:spacing w:val="52"/>
        </w:rPr>
        <w:t>8</w:t>
      </w:r>
      <w:r>
        <w:rPr>
          <w:rFonts w:ascii="宋体" w:hAnsi="宋体" w:cs="宋体" w:eastAsia="宋体" w:hint="ascii"/>
          <w:sz w:val="21"/>
          <w:spacing w:val="-3"/>
        </w:rPr>
        <w:t>项</w:t>
      </w:r>
      <w:r>
        <w:rPr>
          <w:rFonts w:ascii="宋体" w:hAnsi="宋体" w:cs="宋体" w:eastAsia="宋体" w:hint="ascii"/>
          <w:sz w:val="21"/>
          <w:spacing w:val="-2"/>
        </w:rPr>
        <w:t>，</w:t>
      </w:r>
      <w:r>
        <w:rPr>
          <w:rFonts w:ascii="宋体" w:hAnsi="宋体" w:cs="宋体" w:eastAsia="宋体" w:hint="ascii"/>
          <w:sz w:val="21"/>
          <w:spacing w:val="-3"/>
        </w:rPr>
        <w:t>延</w:t>
      </w:r>
      <w:r>
        <w:rPr>
          <w:rFonts w:ascii="宋体" w:hAnsi="宋体" w:cs="宋体" w:eastAsia="宋体" w:hint="ascii"/>
          <w:sz w:val="21"/>
          <w:spacing w:val="-2"/>
        </w:rPr>
        <w:t>续资助已</w:t>
      </w:r>
      <w:r>
        <w:rPr>
          <w:rFonts w:ascii="宋体" w:hAnsi="宋体" w:cs="宋体" w:eastAsia="宋体" w:hint="ascii"/>
          <w:sz w:val="21"/>
          <w:spacing w:val="-3"/>
        </w:rPr>
        <w:t>实</w:t>
      </w:r>
      <w:r>
        <w:rPr>
          <w:rFonts w:ascii="宋体" w:hAnsi="宋体" w:cs="宋体" w:eastAsia="宋体" w:hint="ascii"/>
          <w:sz w:val="21"/>
          <w:spacing w:val="24"/>
        </w:rPr>
        <w:t>施</w:t>
      </w:r>
      <w:r>
        <w:rPr>
          <w:rFonts w:ascii="Times New Roman" w:hAnsi="Times New Roman" w:cs="Times New Roman" w:eastAsia="Times New Roman" w:hint="ascii"/>
          <w:sz w:val="21"/>
          <w:spacing w:val="52"/>
        </w:rPr>
        <w:t>6</w:t>
      </w:r>
      <w:r>
        <w:rPr>
          <w:rFonts w:ascii="宋体" w:hAnsi="宋体" w:cs="宋体" w:eastAsia="宋体" w:hint="ascii"/>
          <w:sz w:val="21"/>
          <w:spacing w:val="-1"/>
        </w:rPr>
        <w:t>年</w:t>
      </w:r>
      <w:r>
        <w:rPr>
          <w:rFonts w:ascii="宋体" w:hAnsi="宋体" w:cs="宋体" w:eastAsia="宋体" w:hint="ascii"/>
          <w:sz w:val="21"/>
        </w:rPr>
        <w:t xml:space="preserve"> </w:t>
      </w:r>
      <w:r>
        <w:rPr>
          <w:rFonts w:ascii="宋体" w:hAnsi="宋体" w:cs="宋体" w:eastAsia="宋体" w:hint="ascii"/>
          <w:sz w:val="21"/>
          <w:spacing w:val="-1"/>
        </w:rPr>
        <w:t>的创新研究群体项</w:t>
      </w:r>
      <w:r>
        <w:rPr>
          <w:rFonts w:ascii="宋体" w:hAnsi="宋体" w:cs="宋体" w:eastAsia="宋体" w:hint="ascii"/>
          <w:sz w:val="21"/>
          <w:spacing w:val="26"/>
        </w:rPr>
        <w:t>目</w:t>
      </w:r>
      <w:r>
        <w:rPr>
          <w:rFonts w:ascii="Times New Roman" w:hAnsi="Times New Roman" w:cs="Times New Roman" w:eastAsia="Times New Roman" w:hint="ascii"/>
          <w:sz w:val="21"/>
          <w:spacing w:val="52"/>
        </w:rPr>
        <w:t>9</w:t>
      </w:r>
      <w:r>
        <w:rPr>
          <w:rFonts w:ascii="宋体" w:hAnsi="宋体" w:cs="宋体" w:eastAsia="宋体" w:hint="ascii"/>
          <w:sz w:val="21"/>
          <w:spacing w:val="-1"/>
        </w:rPr>
        <w:t>项，海外及港澳学者合</w:t>
      </w:r>
      <w:r>
        <w:rPr>
          <w:rFonts w:ascii="宋体" w:hAnsi="宋体" w:cs="宋体" w:eastAsia="宋体" w:hint="ascii"/>
          <w:sz w:val="21"/>
        </w:rPr>
        <w:t>作研究基金项</w:t>
      </w:r>
      <w:r>
        <w:rPr>
          <w:rFonts w:ascii="宋体" w:hAnsi="宋体" w:cs="宋体" w:eastAsia="宋体" w:hint="ascii"/>
          <w:sz w:val="21"/>
          <w:spacing w:val="26"/>
        </w:rPr>
        <w:t>目</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1"/>
        </w:rPr>
        <w:t>项，国家重大</w:t>
      </w:r>
      <w:r>
        <w:rPr>
          <w:rFonts w:ascii="宋体" w:hAnsi="宋体" w:cs="宋体" w:eastAsia="宋体" w:hint="ascii"/>
          <w:sz w:val="21"/>
          <w:spacing w:val="3"/>
        </w:rPr>
        <w:t>科研</w:t>
      </w:r>
      <w:r>
        <w:rPr>
          <w:rFonts w:ascii="宋体" w:hAnsi="宋体" w:cs="宋体" w:eastAsia="宋体" w:hint="ascii"/>
          <w:sz w:val="21"/>
        </w:rPr>
        <w:t>仪</w:t>
      </w:r>
    </w:p>
    <w:p>
      <w:pPr>
        <w:autoSpaceDE w:val="0"/>
        <w:autoSpaceDN w:val="0"/>
        <w:jc w:val="left"/>
        <w:spacing w:before="276" w:after="0" w:lineRule="exact" w:line="225"/>
        <w:ind w:right="0" w:left="855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器研制</w:t>
      </w:r>
      <w:r>
        <w:rPr>
          <w:rFonts w:ascii="宋体" w:hAnsi="宋体" w:cs="宋体" w:eastAsia="宋体" w:hint="ascii"/>
          <w:sz w:val="21"/>
        </w:rPr>
        <w:t>项目（自由申请）</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5</w:t>
      </w:r>
      <w:r>
        <w:rPr>
          <w:rFonts w:ascii="宋体" w:hAnsi="宋体" w:cs="宋体" w:eastAsia="宋体" w:hint="ascii"/>
          <w:sz w:val="21"/>
        </w:rPr>
        <w:t>项，国家重大科研仪器研制项目（部门推荐）</w:t>
      </w:r>
      <w:r>
        <w:rPr>
          <w:rFonts w:ascii="Times New Roman" w:hAnsi="Times New Roman" w:cs="Times New Roman" w:eastAsia="Times New Roman" w:hint="ascii"/>
          <w:sz w:val="21"/>
          <w:spacing w:val="51"/>
        </w:rPr>
        <w:t>5</w:t>
      </w:r>
      <w:r>
        <w:rPr>
          <w:rFonts w:ascii="宋体" w:hAnsi="宋体" w:cs="宋体" w:eastAsia="宋体" w:hint="ascii"/>
          <w:sz w:val="21"/>
        </w:rPr>
        <w:t>项，联合基</w:t>
      </w:r>
      <w:r>
        <w:rPr>
          <w:rFonts w:ascii="宋体" w:hAnsi="宋体" w:cs="宋体" w:eastAsia="宋体" w:hint="ascii"/>
          <w:sz w:val="21"/>
          <w:spacing w:val="-1"/>
        </w:rPr>
        <w:t>金项</w:t>
      </w:r>
      <w:r>
        <w:rPr>
          <w:rFonts w:ascii="宋体" w:hAnsi="宋体" w:cs="宋体" w:eastAsia="宋体" w:hint="ascii"/>
          <w:sz w:val="21"/>
          <w:spacing w:val="26"/>
        </w:rPr>
        <w:t>目</w:t>
      </w:r>
      <w:r>
        <w:rPr>
          <w:rFonts w:ascii="Times New Roman" w:hAnsi="Times New Roman" w:cs="Times New Roman" w:eastAsia="Times New Roman" w:hint="ascii"/>
          <w:sz w:val="21"/>
          <w:spacing w:val="-1"/>
        </w:rPr>
        <w:t>79</w:t>
      </w:r>
      <w:r>
        <w:rPr>
          <w:rFonts w:ascii="Times New Roman" w:hAnsi="Times New Roman" w:cs="Times New Roman" w:eastAsia="Times New Roman" w:hint="ascii"/>
          <w:sz w:val="21"/>
          <w:spacing w:val="52"/>
        </w:rPr>
        <w:t>3</w:t>
      </w:r>
      <w:r>
        <w:rPr>
          <w:rFonts w:ascii="宋体" w:hAnsi="宋体" w:cs="宋体" w:eastAsia="宋体" w:hint="ascii"/>
          <w:sz w:val="21"/>
        </w:rPr>
        <w:t>项，外国青年学者研究基金项</w:t>
      </w:r>
      <w:r>
        <w:rPr>
          <w:rFonts w:ascii="宋体" w:hAnsi="宋体" w:cs="宋体" w:eastAsia="宋体" w:hint="ascii"/>
          <w:sz w:val="21"/>
          <w:spacing w:val="26"/>
        </w:rPr>
        <w:t>目</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52"/>
        </w:rPr>
        <w:t>5</w:t>
      </w:r>
      <w:r>
        <w:rPr>
          <w:rFonts w:ascii="宋体" w:hAnsi="宋体" w:cs="宋体" w:eastAsia="宋体" w:hint="ascii"/>
          <w:sz w:val="21"/>
        </w:rPr>
        <w:t>项，组织间国际（地区）合作交流项目</w:t>
      </w:r>
      <w:r>
        <w:rPr>
          <w:rFonts w:ascii="宋体" w:hAnsi="宋体" w:cs="宋体" w:eastAsia="宋体" w:hint="ascii"/>
          <w:sz w:val="21"/>
        </w:rPr>
        <mc:AlternateContent>
          <mc:Choice Requires="wps">
            <w:drawing>
              <wp:anchor distL="0" distR="0" distT="0" distB="0" simplePos="0" behindDoc="1" relativeHeight="42" locked="0" layoutInCell="1" allowOverlap="1">
                <wp:simplePos x="0" y="0"/>
                <wp:positionH relativeFrom="page">
                  <wp:posOffset>938530</wp:posOffset>
                </wp:positionH>
                <wp:positionV relativeFrom="page">
                  <wp:posOffset>805815</wp:posOffset>
                </wp:positionV>
                <wp:extent cx="5076190" cy="0"/>
                <wp:wrapNone/>
                <wp:docPr id="1069" name="106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15232;width:399.70pt;" id="106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spacing w:val="52"/>
        </w:rPr>
        <w:t>3</w:t>
      </w:r>
      <w:r>
        <w:rPr>
          <w:rFonts w:ascii="宋体" w:hAnsi="宋体" w:cs="宋体" w:eastAsia="宋体" w:hint="ascii"/>
          <w:sz w:val="21"/>
        </w:rPr>
        <w:t>项。有关类型项目申请与资助情况详见本书相关部分的介绍。</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为了体现公开、公平、公正的资助原则，使依托单位和申请人更好地了解科学基金</w:t>
      </w:r>
    </w:p>
    <w:p>
      <w:pPr>
        <w:autoSpaceDE w:val="0"/>
        <w:autoSpaceDN w:val="0"/>
        <w:jc w:val="both"/>
        <w:spacing w:before="10" w:after="0" w:lineRule="exact" w:line="312"/>
        <w:ind w:right="976" w:left="861" w:firstLine="104"/>
        <w:snapToGrid w:val="0"/>
        <w:textAlignment w:val="auto"/>
        <w:tabs/>
        <w:rPr>
          <w:rFonts w:ascii="宋体" w:hAnsi="宋体" w:cs="宋体" w:eastAsia="宋体" w:hint="ascii"/>
          <w:sz w:val="21"/>
        </w:rPr>
      </w:pPr>
      <w:r>
        <w:rPr>
          <w:rFonts w:ascii="宋体" w:hAnsi="宋体" w:cs="宋体" w:eastAsia="宋体" w:hint="ascii"/>
          <w:sz w:val="21"/>
          <w:spacing w:val="2"/>
        </w:rPr>
        <w:t>的资</w:t>
      </w:r>
      <w:r>
        <w:rPr>
          <w:rFonts w:ascii="宋体" w:hAnsi="宋体" w:cs="宋体" w:eastAsia="宋体" w:hint="ascii"/>
          <w:sz w:val="21"/>
          <w:spacing w:val="1"/>
        </w:rPr>
        <w:t>助政策，自然科学基金委现发布《</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rPr>
        <w:t>018</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1"/>
        </w:rPr>
        <w:t>年度国家自然科学基金项目指南</w:t>
      </w:r>
      <w:r>
        <w:rPr>
          <w:rFonts w:ascii="宋体" w:hAnsi="宋体" w:cs="宋体" w:eastAsia="宋体" w:hint="ascii"/>
          <w:sz w:val="21"/>
          <w:spacing w:val="-52"/>
        </w:rPr>
        <w:t>》</w:t>
      </w:r>
      <w:r>
        <w:rPr>
          <w:rFonts w:ascii="宋体" w:hAnsi="宋体" w:cs="宋体" w:eastAsia="宋体" w:hint="ascii"/>
          <w:sz w:val="21"/>
          <w:spacing w:val="1"/>
        </w:rPr>
        <w:t>（简</w:t>
      </w:r>
      <w:r>
        <w:rPr>
          <w:rFonts w:ascii="宋体" w:hAnsi="宋体" w:cs="宋体" w:eastAsia="宋体" w:hint="ascii"/>
          <w:sz w:val="21"/>
          <w:spacing w:val="-6"/>
        </w:rPr>
        <w:t>称</w:t>
      </w:r>
      <w:r>
        <w:rPr>
          <w:rFonts w:ascii="宋体" w:hAnsi="宋体" w:cs="宋体" w:eastAsia="宋体" w:hint="ascii"/>
          <w:sz w:val="21"/>
        </w:rPr>
        <w:t>《指南</w:t>
      </w:r>
      <w:r>
        <w:rPr>
          <w:rFonts w:ascii="宋体" w:hAnsi="宋体" w:cs="宋体" w:eastAsia="宋体" w:hint="ascii"/>
          <w:sz w:val="21"/>
          <w:spacing w:val="-51"/>
        </w:rPr>
        <w:t>》）</w:t>
      </w:r>
      <w:r>
        <w:rPr>
          <w:rFonts w:ascii="宋体" w:hAnsi="宋体" w:cs="宋体" w:eastAsia="宋体" w:hint="ascii"/>
          <w:sz w:val="21"/>
        </w:rPr>
        <w:t>，以引导申请人正确选择项目类型、研究领域及研究方向，自主选题，申请科</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学基金的资助。</w:t>
      </w:r>
    </w:p>
    <w:p>
      <w:pPr>
        <w:autoSpaceDE w:val="0"/>
        <w:autoSpaceDN w:val="0"/>
        <w:jc w:val="both"/>
        <w:spacing w:before="1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本《指</w:t>
      </w:r>
      <w:r>
        <w:rPr>
          <w:rFonts w:ascii="宋体" w:hAnsi="宋体" w:cs="宋体" w:eastAsia="宋体" w:hint="ascii"/>
          <w:sz w:val="21"/>
          <w:spacing w:val="-1"/>
        </w:rPr>
        <w:t>南》</w:t>
      </w:r>
      <w:r>
        <w:rPr>
          <w:rFonts w:ascii="宋体" w:hAnsi="宋体" w:cs="宋体" w:eastAsia="宋体" w:hint="ascii"/>
          <w:sz w:val="21"/>
        </w:rPr>
        <w:t>主要</w:t>
      </w:r>
      <w:r>
        <w:rPr>
          <w:rFonts w:ascii="宋体" w:hAnsi="宋体" w:cs="宋体" w:eastAsia="宋体" w:hint="ascii"/>
          <w:sz w:val="21"/>
          <w:spacing w:val="-2"/>
        </w:rPr>
        <w:t>对</w:t>
      </w:r>
      <w:r>
        <w:rPr>
          <w:rFonts w:ascii="宋体" w:hAnsi="宋体" w:cs="宋体" w:eastAsia="宋体" w:hint="ascii"/>
          <w:sz w:val="21"/>
          <w:spacing w:val="-27"/>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rPr>
        <w:t>018</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年度项</w:t>
      </w:r>
      <w:r>
        <w:rPr>
          <w:rFonts w:ascii="宋体" w:hAnsi="宋体" w:cs="宋体" w:eastAsia="宋体" w:hint="ascii"/>
          <w:sz w:val="21"/>
          <w:spacing w:val="-1"/>
        </w:rPr>
        <w:t>目申</w:t>
      </w:r>
      <w:r>
        <w:rPr>
          <w:rFonts w:ascii="宋体" w:hAnsi="宋体" w:cs="宋体" w:eastAsia="宋体" w:hint="ascii"/>
          <w:sz w:val="21"/>
        </w:rPr>
        <w:t>请集中</w:t>
      </w:r>
      <w:r>
        <w:rPr>
          <w:rFonts w:ascii="宋体" w:hAnsi="宋体" w:cs="宋体" w:eastAsia="宋体" w:hint="ascii"/>
          <w:sz w:val="21"/>
          <w:spacing w:val="-1"/>
        </w:rPr>
        <w:t>接收</w:t>
      </w:r>
      <w:r>
        <w:rPr>
          <w:rFonts w:ascii="宋体" w:hAnsi="宋体" w:cs="宋体" w:eastAsia="宋体" w:hint="ascii"/>
          <w:sz w:val="21"/>
        </w:rPr>
        <w:t>期间接</w:t>
      </w:r>
      <w:r>
        <w:rPr>
          <w:rFonts w:ascii="宋体" w:hAnsi="宋体" w:cs="宋体" w:eastAsia="宋体" w:hint="ascii"/>
          <w:sz w:val="21"/>
          <w:spacing w:val="-1"/>
        </w:rPr>
        <w:t>收的</w:t>
      </w:r>
      <w:r>
        <w:rPr>
          <w:rFonts w:ascii="宋体" w:hAnsi="宋体" w:cs="宋体" w:eastAsia="宋体" w:hint="ascii"/>
          <w:sz w:val="21"/>
        </w:rPr>
        <w:t>各类型</w:t>
      </w:r>
      <w:r>
        <w:rPr>
          <w:rFonts w:ascii="宋体" w:hAnsi="宋体" w:cs="宋体" w:eastAsia="宋体" w:hint="ascii"/>
          <w:sz w:val="21"/>
          <w:spacing w:val="-1"/>
        </w:rPr>
        <w:t>项目</w:t>
      </w:r>
      <w:r>
        <w:rPr>
          <w:rFonts w:ascii="宋体" w:hAnsi="宋体" w:cs="宋体" w:eastAsia="宋体" w:hint="ascii"/>
          <w:sz w:val="21"/>
        </w:rPr>
        <w:t>申请进行</w:t>
      </w:r>
      <w:r>
        <w:rPr>
          <w:rFonts w:ascii="宋体" w:hAnsi="宋体" w:cs="宋体" w:eastAsia="宋体" w:hint="ascii"/>
          <w:sz w:val="21"/>
          <w:spacing w:val="-4"/>
        </w:rPr>
        <w:t>介</w:t>
      </w:r>
      <w:r>
        <w:rPr>
          <w:rFonts w:ascii="宋体" w:hAnsi="宋体" w:cs="宋体" w:eastAsia="宋体" w:hint="ascii"/>
          <w:sz w:val="21"/>
        </w:rPr>
        <w:t xml:space="preserve"> </w:t>
      </w:r>
      <w:r>
        <w:rPr>
          <w:rFonts w:ascii="宋体" w:hAnsi="宋体" w:cs="宋体" w:eastAsia="宋体" w:hint="ascii"/>
          <w:sz w:val="21"/>
          <w:spacing w:val="-1"/>
        </w:rPr>
        <w:t>绍。在前</w:t>
      </w:r>
      <w:r>
        <w:rPr>
          <w:rFonts w:ascii="宋体" w:hAnsi="宋体" w:cs="宋体" w:eastAsia="宋体" w:hint="ascii"/>
          <w:sz w:val="21"/>
        </w:rPr>
        <w:t>言之后，集中介绍各类型项目申请须知、科研诚信须知、预算编报须知和限项</w:t>
      </w:r>
      <w:r>
        <w:rPr>
          <w:rFonts w:ascii="宋体" w:hAnsi="宋体" w:cs="宋体" w:eastAsia="宋体" w:hint="ascii"/>
          <w:sz w:val="21"/>
          <w:spacing w:val="-1"/>
        </w:rPr>
        <w:t>申请规定</w:t>
      </w:r>
      <w:r>
        <w:rPr>
          <w:rFonts w:ascii="宋体" w:hAnsi="宋体" w:cs="宋体" w:eastAsia="宋体" w:hint="ascii"/>
          <w:sz w:val="21"/>
        </w:rPr>
        <w:t>，希望申请人认真阅读。面上项目、重点项目、青年科学基金项目和地区科学</w:t>
      </w:r>
      <w:r>
        <w:rPr>
          <w:rFonts w:ascii="宋体" w:hAnsi="宋体" w:cs="宋体" w:eastAsia="宋体" w:hint="ascii"/>
          <w:sz w:val="21"/>
          <w:spacing w:val="-1"/>
        </w:rPr>
        <w:t>基金项目</w:t>
      </w:r>
      <w:r>
        <w:rPr>
          <w:rFonts w:ascii="宋体" w:hAnsi="宋体" w:cs="宋体" w:eastAsia="宋体" w:hint="ascii"/>
          <w:sz w:val="21"/>
        </w:rPr>
        <w:t>按科学部顺序介绍项目的总体资助情况及优先资助范围。</w:t>
      </w:r>
      <w:r>
        <w:rPr>
          <w:rFonts w:ascii="宋体" w:hAnsi="宋体" w:cs="宋体" w:eastAsia="宋体" w:hint="ascii"/>
          <w:sz w:val="21"/>
        </w:rPr>
        <w:t>其中面上项目部分，</w:t>
      </w:r>
      <w:r>
        <w:rPr>
          <w:rFonts w:ascii="宋体" w:hAnsi="宋体" w:cs="宋体" w:eastAsia="宋体" w:hint="ascii"/>
          <w:sz w:val="21"/>
          <w:spacing w:val="-1"/>
        </w:rPr>
        <w:t>科学部在</w:t>
      </w:r>
      <w:r>
        <w:rPr>
          <w:rFonts w:ascii="宋体" w:hAnsi="宋体" w:cs="宋体" w:eastAsia="宋体" w:hint="ascii"/>
          <w:sz w:val="21"/>
        </w:rPr>
        <w:t>介绍资助概况之外，还涉及该科学部总体资助原则与要求以及申请注意事项，</w:t>
      </w:r>
      <w:r>
        <w:rPr>
          <w:rFonts w:ascii="宋体" w:hAnsi="宋体" w:cs="宋体" w:eastAsia="宋体" w:hint="ascii"/>
          <w:sz w:val="21"/>
          <w:spacing w:val="-1"/>
        </w:rPr>
        <w:t>然后以科</w:t>
      </w:r>
      <w:r>
        <w:rPr>
          <w:rFonts w:ascii="宋体" w:hAnsi="宋体" w:cs="宋体" w:eastAsia="宋体" w:hint="ascii"/>
          <w:sz w:val="21"/>
        </w:rPr>
        <w:t>学处或学科为单位分别介绍学科发展趋势或资助范围和要求；</w:t>
      </w:r>
      <w:r>
        <w:rPr>
          <w:rFonts w:ascii="宋体" w:hAnsi="宋体" w:cs="宋体" w:eastAsia="宋体" w:hint="ascii"/>
          <w:sz w:val="21"/>
        </w:rPr>
        <w:t>其他项目类型进行整体介绍。各类型项目有特殊要求的，将在本《指南》正文中加以叙述。</w:t>
      </w:r>
    </w:p>
    <w:p>
      <w:pPr>
        <w:autoSpaceDE w:val="0"/>
        <w:autoSpaceDN w:val="0"/>
        <w:jc w:val="both"/>
        <w:spacing w:before="0" w:after="0" w:lineRule="exact" w:line="312"/>
        <w:ind w:right="976" w:left="861" w:firstLine="524"/>
        <w:snapToGrid w:val="0"/>
        <w:textAlignment w:val="auto"/>
        <w:tabs/>
        <w:rPr>
          <w:rFonts w:ascii="宋体" w:hAnsi="宋体" w:cs="宋体" w:eastAsia="宋体" w:hint="ascii"/>
          <w:sz w:val="21"/>
        </w:rPr>
      </w:pPr>
      <w:r>
        <w:rPr>
          <w:rFonts w:ascii="宋体" w:hAnsi="宋体" w:cs="宋体" w:eastAsia="宋体" w:hint="ascii"/>
          <w:sz w:val="21"/>
        </w:rPr>
        <w:t>不在集中接收期间接收申请的其他类型项目，将另外在自然科学基金委门户网</w:t>
      </w:r>
      <w:r>
        <w:rPr>
          <w:rFonts w:ascii="宋体" w:hAnsi="宋体" w:cs="宋体" w:eastAsia="宋体" w:hint="ascii"/>
          <w:sz w:val="21"/>
          <w:spacing w:val="-6"/>
        </w:rPr>
        <w:t>站</w:t>
      </w:r>
      <w:r>
        <w:rPr>
          <w:rFonts w:ascii="宋体" w:hAnsi="宋体" w:cs="宋体" w:eastAsia="宋体" w:hint="ascii"/>
          <w:sz w:val="21"/>
        </w:rPr>
        <w:t>（</w:t>
      </w:r>
      <w:r>
        <w:rPr>
          <w:rFonts w:ascii="Times New Roman" w:hAnsi="Times New Roman" w:cs="Times New Roman" w:eastAsia="Times New Roman" w:hint="ascii"/>
          <w:sz w:val="21"/>
        </w:rPr>
        <w:t>http://ww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 nsfc. 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 cn</w:t>
      </w:r>
      <w:r>
        <w:rPr>
          <w:rFonts w:ascii="宋体" w:hAnsi="宋体" w:cs="宋体" w:eastAsia="宋体" w:hint="ascii"/>
          <w:sz w:val="21"/>
        </w:rPr>
        <w:t>）发布指南，请依托单位和申请人及时关注。</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自然科学基金委在项目申请受理、评审和管理过程中，将继续严格按照《国家自然</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科学基金条</w:t>
      </w:r>
      <w:r>
        <w:rPr>
          <w:rFonts w:ascii="宋体" w:hAnsi="宋体" w:cs="宋体" w:eastAsia="宋体" w:hint="ascii"/>
          <w:sz w:val="21"/>
        </w:rPr>
        <w:t>例</w:t>
      </w:r>
      <w:r>
        <w:rPr>
          <w:rFonts w:ascii="宋体" w:hAnsi="宋体" w:cs="宋体" w:eastAsia="宋体" w:hint="ascii"/>
          <w:sz w:val="21"/>
          <w:spacing w:val="-52"/>
        </w:rPr>
        <w:t>》</w:t>
      </w:r>
      <w:r>
        <w:rPr>
          <w:rFonts w:ascii="宋体" w:hAnsi="宋体" w:cs="宋体" w:eastAsia="宋体" w:hint="ascii"/>
          <w:sz w:val="21"/>
        </w:rPr>
        <w:t>（简称《条例</w:t>
      </w:r>
      <w:r>
        <w:rPr>
          <w:rFonts w:ascii="宋体" w:hAnsi="宋体" w:cs="宋体" w:eastAsia="宋体" w:hint="ascii"/>
          <w:sz w:val="21"/>
          <w:spacing w:val="-52"/>
        </w:rPr>
        <w:t>》</w:t>
      </w:r>
      <w:r>
        <w:rPr>
          <w:rFonts w:ascii="宋体" w:hAnsi="宋体" w:cs="宋体" w:eastAsia="宋体" w:hint="ascii"/>
          <w:sz w:val="21"/>
        </w:rPr>
        <w:t>）和相关类型项目管理办法等规定，规范管理工作程序，</w:t>
      </w:r>
      <w:r>
        <w:rPr>
          <w:rFonts w:ascii="宋体" w:hAnsi="宋体" w:cs="宋体" w:eastAsia="宋体" w:hint="ascii"/>
          <w:sz w:val="21"/>
          <w:spacing w:val="-1"/>
        </w:rPr>
        <w:t>完善同行</w:t>
      </w:r>
      <w:r>
        <w:rPr>
          <w:rFonts w:ascii="宋体" w:hAnsi="宋体" w:cs="宋体" w:eastAsia="宋体" w:hint="ascii"/>
          <w:sz w:val="21"/>
        </w:rPr>
        <w:t>评审机制；严格执行回避和保密的有关规定，接受科技界和社会公众的监督。欢迎广大科学技术人员提出高水准的项目申请。</w:t>
      </w:r>
    </w:p>
    <w:p>
      <w:pPr>
        <w:autoSpaceDE w:val="0"/>
        <w:autoSpaceDN w:val="0"/>
        <w:jc w:val="left"/>
        <w:spacing w:before="352" w:after="0" w:lineRule="exact" w:line="263"/>
        <w:ind w:right="0" w:left="3658" w:firstLine="0"/>
        <w:snapToGrid w:val="0"/>
        <w:textAlignment w:val="auto"/>
        <w:tabs/>
        <w:rPr>
          <w:rFonts w:ascii="宋体" w:hAnsi="宋体" w:cs="宋体" w:eastAsia="宋体" w:hint="ascii"/>
          <w:sz w:val="21"/>
        </w:rPr>
      </w:pPr>
      <w:r>
        <w:rPr>
          <w:rFonts w:ascii="宋体" w:hAnsi="宋体" w:cs="宋体" w:eastAsia="宋体" w:hint="ascii"/>
          <w:sz w:val="21"/>
        </w:rPr>
        <w:t>《201</w:t>
      </w:r>
      <w:r>
        <w:rPr>
          <w:rFonts w:ascii="宋体" w:hAnsi="宋体" w:cs="宋体" w:eastAsia="宋体" w:hint="ascii"/>
          <w:sz w:val="21"/>
          <w:spacing w:val="48"/>
        </w:rPr>
        <w:t>8</w:t>
      </w:r>
      <w:r>
        <w:rPr>
          <w:rFonts w:ascii="宋体" w:hAnsi="宋体" w:cs="宋体" w:eastAsia="宋体" w:hint="ascii"/>
          <w:sz w:val="21"/>
        </w:rPr>
        <w:t>年度国家自然科学基金项目指南》编辑委员会</w:t>
      </w:r>
    </w:p>
    <w:p>
      <w:pPr>
        <w:autoSpaceDE w:val="0"/>
        <w:autoSpaceDN w:val="0"/>
        <w:jc w:val="left"/>
        <w:spacing w:before="80" w:after="0" w:lineRule="auto" w:line="240"/>
        <w:ind w:right="0" w:left="5467"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201</w:t>
      </w:r>
      <w:r>
        <w:rPr>
          <w:rFonts w:ascii="Times New Roman" w:hAnsi="Times New Roman" w:cs="Times New Roman" w:eastAsia="Times New Roman" w:hint="ascii"/>
          <w:sz w:val="18"/>
          <w:spacing w:val="46"/>
        </w:rPr>
        <w:t>7</w:t>
      </w:r>
      <w:r>
        <w:rPr>
          <w:rFonts w:ascii="宋体" w:hAnsi="宋体" w:cs="宋体" w:eastAsia="宋体" w:hint="ascii"/>
          <w:sz w:val="18"/>
          <w:spacing w:val="23"/>
        </w:rPr>
        <w:t>年</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4"/>
        </w:rPr>
        <w:t>2</w:t>
      </w:r>
      <w:r>
        <w:rPr>
          <w:rFonts w:ascii="宋体" w:hAnsi="宋体" w:cs="宋体" w:eastAsia="宋体" w:hint="ascii"/>
          <w:sz w:val="18"/>
          <w:spacing w:val="23"/>
        </w:rPr>
        <w:t>月</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6"/>
        </w:rPr>
        <w:t>5</w:t>
      </w:r>
      <w:r>
        <w:rPr>
          <w:rFonts w:ascii="宋体" w:hAnsi="宋体" w:cs="宋体" w:eastAsia="宋体" w:hint="ascii"/>
          <w:sz w:val="18"/>
        </w:rPr>
        <w:t>日</w:t>
      </w:r>
    </w:p>
    <w:p>
      <w:pPr>
        <w:autoSpaceDE w:val="0"/>
        <w:autoSpaceDN w:val="0"/>
        <w:jc w:val="left"/>
        <w:spacing w:before="5289"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458" w:after="0" w:lineRule="exact" w:line="475"/>
        <w:ind w:right="0" w:left="3049" w:firstLine="0"/>
        <w:snapToGrid w:val="0"/>
        <w:textAlignment w:val="auto"/>
        <w:tabs/>
        <w:rPr>
          <w:rFonts w:ascii="宋体" w:hAnsi="宋体" w:cs="宋体" w:eastAsia="宋体" w:hint="ascii"/>
          <w:sz w:val="38"/>
        </w:rPr>
      </w:pPr>
      <w:r>
        <w:rPr>
          <w:rFonts w:ascii="宋体" w:hAnsi="宋体" w:cs="宋体" w:eastAsia="宋体" w:hint="ascii"/>
          <w:sz w:val="38"/>
        </w:rPr>
        <w:t>申 请 须 知</w:t>
      </w:r>
      <w:r>
        <w:rPr>
          <w:rFonts w:ascii="宋体" w:hAnsi="宋体" w:cs="宋体" w:eastAsia="宋体" w:hint="ascii"/>
          <w:sz w:val="38"/>
        </w:rPr>
        <mc:AlternateContent>
          <mc:Choice Requires="wps">
            <w:drawing>
              <wp:anchor distL="0" distR="0" distT="0" distB="0" simplePos="0" behindDoc="1" relativeHeight="43" locked="0" layoutInCell="1" allowOverlap="1">
                <wp:simplePos x="0" y="0"/>
                <wp:positionH relativeFrom="page">
                  <wp:posOffset>938530</wp:posOffset>
                </wp:positionH>
                <wp:positionV relativeFrom="page">
                  <wp:posOffset>819150</wp:posOffset>
                </wp:positionV>
                <wp:extent cx="5076190" cy="0"/>
                <wp:wrapNone/>
                <wp:docPr id="1070" name="107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14208;width:399.70pt;" id="1070"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38"/>
        </w:rPr>
        <mc:AlternateContent>
          <mc:Choice Requires="wps">
            <w:drawing>
              <wp:anchor distL="0" distR="0" distT="0" distB="0" simplePos="0" behindDoc="1" relativeHeight="44" locked="0" layoutInCell="1" allowOverlap="1">
                <wp:simplePos x="0" y="0"/>
                <wp:positionH relativeFrom="page">
                  <wp:posOffset>502285</wp:posOffset>
                </wp:positionH>
                <wp:positionV relativeFrom="page">
                  <wp:posOffset>-3175</wp:posOffset>
                </wp:positionV>
                <wp:extent cx="6055995" cy="866140"/>
                <wp:wrapNone/>
                <wp:docPr id="1071" name="1071"/>
                <wp:cNvGraphicFramePr/>
                <a:graphic>
                  <a:graphicData uri="http://schemas.openxmlformats.org/drawingml/2006/picture">
                    <pic:pic>
                      <pic:nvPicPr>
                        <pic:cNvPr id="44" name="1071"/>
                        <pic:cNvPicPr/>
                      </pic:nvPicPr>
                      <pic:blipFill>
                        <a:blip r:embed="rId13">
                          <a:clrChange>
                            <a:clrFrom>
                              <a:srgbClr val="FFFFFF"/>
                            </a:clrFrom>
                            <a:clrTo>
                              <a:srgbClr val="FFFFFF">
                                <a:alpha val="0"/>
                              </a:srgbClr>
                            </a:clrTo>
                          </a:clrChange>
                        </a:blip>
                        <a:stretch/>
                      </pic:blipFill>
                      <pic:spPr>
                        <a:xfrm>
                          <a:off x="0" y="0"/>
                          <a:ext cx="6055995" cy="866140"/>
                        </a:xfrm>
                        <a:prstGeom prst="rect"/>
                        <a:ln>
                          <a:noFill/>
                        </a:ln>
                      </pic:spPr>
                    </pic:pic>
                  </a:graphicData>
                </a:graphic>
              </wp:anchor>
            </w:drawing>
          </mc:Choice>
          <mc:Fallback>
            <w:pict>
              <v:shapetype id="_x0000_t75" o:spt="75" path="m,l,1364r9537,l9537,xe"/>
              <v:shape type="_x0000_t75" style="position:absolute;mso-position-horizontal:absolute;mso-position-horizontal-relative:page;margin-left:39.55pt;mso-position-vertical:absolute;mso-position-vertical-relative:page;margin-top:-0.25pt;z-index:-251613184;width:476.85pt;height:68.20pt;" id="1071" coordsize="9537,1364" stroked="f" filled="f">
                <v:stroke endcap="round"/>
                <w10:wrap anchorx="page" anchory="page" side="both"/>
                <v:imagedata r:id="rId13" chromakey="#FFFFFF"/>
              </v:shape>
            </w:pict>
          </mc:Fallback>
        </mc:AlternateContent>
      </w:r>
    </w:p>
    <w:p>
      <w:pPr>
        <w:autoSpaceDE w:val="0"/>
        <w:autoSpaceDN w:val="0"/>
        <w:jc w:val="both"/>
        <w:spacing w:before="278" w:after="0" w:lineRule="exact" w:line="312"/>
        <w:ind w:right="1714" w:left="524" w:firstLine="0"/>
        <w:snapToGrid w:val="0"/>
        <w:textAlignment w:val="auto"/>
        <w:tabs/>
        <w:rPr>
          <w:rFonts w:ascii="宋体" w:hAnsi="宋体" w:cs="宋体" w:eastAsia="宋体" w:hint="ascii"/>
          <w:sz w:val="21"/>
        </w:rPr>
      </w:pPr>
      <w:r>
        <w:rPr>
          <w:rFonts w:ascii="宋体" w:hAnsi="宋体" w:cs="宋体" w:eastAsia="宋体" w:hint="ascii"/>
          <w:sz w:val="21"/>
          <w:spacing w:val="-1"/>
        </w:rPr>
        <w:t>依托单位和</w:t>
      </w:r>
      <w:r>
        <w:rPr>
          <w:rFonts w:ascii="宋体" w:hAnsi="宋体" w:cs="宋体" w:eastAsia="宋体" w:hint="ascii"/>
          <w:sz w:val="21"/>
        </w:rPr>
        <w:t>申请人在申</w:t>
      </w:r>
      <w:r>
        <w:rPr>
          <w:rFonts w:ascii="宋体" w:hAnsi="宋体" w:cs="宋体" w:eastAsia="宋体" w:hint="ascii"/>
          <w:sz w:val="21"/>
          <w:spacing w:val="26"/>
        </w:rPr>
        <w:t>请</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8</w:t>
      </w:r>
      <w:r>
        <w:rPr>
          <w:rFonts w:ascii="宋体" w:hAnsi="宋体" w:cs="宋体" w:eastAsia="宋体" w:hint="ascii"/>
          <w:sz w:val="21"/>
        </w:rPr>
        <w:t>年度科学基金项目时，应当遵守下列规定。</w:t>
      </w:r>
      <w:r>
        <w:rPr>
          <w:rFonts w:ascii="宋体" w:hAnsi="宋体" w:cs="宋体" w:eastAsia="宋体" w:hint="ascii"/>
          <w:sz w:val="21"/>
        </w:rPr>
        <w:t>一、关于申请人条件</w:t>
      </w:r>
    </w:p>
    <w:p>
      <w:pPr>
        <w:autoSpaceDE w:val="0"/>
        <w:autoSpaceDN w:val="0"/>
        <w:jc w:val="left"/>
        <w:spacing w:before="40" w:after="0" w:lineRule="auto" w:line="240"/>
        <w:ind w:right="0" w:left="792" w:hanging="268"/>
        <w:snapToGrid w:val="0"/>
        <w:textAlignment w:val="auto"/>
        <w:tabs>
          <w:tab w:val="left" w:leader="none" w:pos="792"/>
        </w:tabs>
        <w:numPr>
          <w:ilvl w:val="0"/>
          <w:numId w:val="1"/>
        </w:numPr>
        <w:rPr>
          <w:rFonts w:ascii="Times New Roman" w:hAnsi="Times New Roman" w:cs="Times New Roman" w:eastAsia="Times New Roman" w:hint="ascii"/>
          <w:sz w:val="21"/>
        </w:rPr>
      </w:pPr>
      <w:r>
        <w:rPr>
          <w:rFonts w:ascii="宋体" w:hAnsi="宋体" w:cs="宋体" w:eastAsia="宋体" w:hint="ascii"/>
          <w:sz w:val="21"/>
        </w:rPr>
        <w:t>依托单位的科学技术人员作为申请人申请科学基金项目，应当符合《条</w:t>
      </w:r>
      <w:r>
        <w:rPr>
          <w:rFonts w:ascii="宋体" w:hAnsi="宋体" w:cs="宋体" w:eastAsia="宋体" w:hint="ascii"/>
          <w:sz w:val="21"/>
          <w:spacing w:val="3"/>
        </w:rPr>
        <w:t>例》</w:t>
      </w:r>
      <w:r>
        <w:rPr>
          <w:rFonts w:ascii="宋体" w:hAnsi="宋体" w:cs="宋体" w:eastAsia="宋体" w:hint="ascii"/>
          <w:sz w:val="21"/>
        </w:rPr>
        <w:t>第</w:t>
      </w:r>
    </w:p>
    <w:p>
      <w:pPr>
        <w:autoSpaceDE w:val="0"/>
        <w:autoSpaceDN w:val="0"/>
        <w:jc w:val="left"/>
        <w:spacing w:before="17" w:after="0" w:lineRule="exact" w:line="312"/>
        <w:ind w:right="962" w:left="104" w:firstLine="0"/>
        <w:snapToGrid w:val="0"/>
        <w:textAlignment w:val="auto"/>
        <w:tabs/>
        <w:rPr>
          <w:rFonts w:ascii="宋体" w:hAnsi="宋体" w:cs="宋体" w:eastAsia="宋体" w:hint="ascii"/>
          <w:sz w:val="21"/>
        </w:rPr>
      </w:pPr>
      <w:r>
        <w:rPr>
          <w:rFonts w:ascii="宋体" w:hAnsi="宋体" w:cs="宋体" w:eastAsia="宋体" w:hint="ascii"/>
          <w:sz w:val="21"/>
        </w:rPr>
        <w:t>十条第一款规定的条件：具有承担基础研究课题或其他从事基础研究的经历；具有高级专业技术职务（职称）或者具有博士学位，或者有两名与其研究领域相同、具有高级专业技术职务（职称）的科学技术人员推荐。部分类型项目在此基础上对申请人的条件还有特殊要求（详见本《指南》正文部分</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依托单位非全职聘用的工作人员作为申请人申请科学基金项目，应当提供依托单位</w:t>
      </w:r>
    </w:p>
    <w:p>
      <w:pPr>
        <w:autoSpaceDE w:val="0"/>
        <w:autoSpaceDN w:val="0"/>
        <w:jc w:val="both"/>
        <w:spacing w:before="10" w:after="0" w:lineRule="exact" w:line="312"/>
        <w:ind w:right="978" w:left="0" w:firstLine="104"/>
        <w:snapToGrid w:val="0"/>
        <w:textAlignment w:val="auto"/>
        <w:tabs/>
        <w:rPr>
          <w:rFonts w:ascii="宋体" w:hAnsi="宋体" w:cs="宋体" w:eastAsia="宋体" w:hint="ascii"/>
          <w:sz w:val="21"/>
        </w:rPr>
      </w:pPr>
      <w:r>
        <w:rPr>
          <w:rFonts w:ascii="宋体" w:hAnsi="宋体" w:cs="宋体" w:eastAsia="宋体" w:hint="ascii"/>
          <w:sz w:val="21"/>
          <w:spacing w:val="-1"/>
        </w:rPr>
        <w:t>的聘任合同复</w:t>
      </w:r>
      <w:r>
        <w:rPr>
          <w:rFonts w:ascii="宋体" w:hAnsi="宋体" w:cs="宋体" w:eastAsia="宋体" w:hint="ascii"/>
          <w:sz w:val="21"/>
        </w:rPr>
        <w:t>印件，并提供包含聘任岗位、聘任期限和每年在依托单位工作时间的说明（依托单位或其人事部门盖章</w:t>
      </w:r>
      <w:r>
        <w:rPr>
          <w:rFonts w:ascii="宋体" w:hAnsi="宋体" w:cs="宋体" w:eastAsia="宋体" w:hint="ascii"/>
          <w:sz w:val="21"/>
          <w:spacing w:val="-52"/>
        </w:rPr>
        <w:t>）</w:t>
      </w:r>
      <w:r>
        <w:rPr>
          <w:rFonts w:ascii="宋体" w:hAnsi="宋体" w:cs="宋体" w:eastAsia="宋体" w:hint="ascii"/>
          <w:sz w:val="21"/>
        </w:rPr>
        <w:t>，作为附件随申请书一并报送。</w:t>
      </w:r>
    </w:p>
    <w:p>
      <w:pPr>
        <w:autoSpaceDE w:val="0"/>
        <w:autoSpaceDN w:val="0"/>
        <w:jc w:val="left"/>
        <w:spacing w:before="46"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地区科学基金项目申请人应当是在地区科学基金资助范围内（详见本《指南》正文</w:t>
      </w:r>
    </w:p>
    <w:p>
      <w:pPr>
        <w:autoSpaceDE w:val="0"/>
        <w:autoSpaceDN w:val="0"/>
        <w:jc w:val="left"/>
        <w:spacing w:before="13" w:after="0" w:lineRule="exact" w:line="319"/>
        <w:ind w:right="962" w:left="104" w:firstLine="0"/>
        <w:snapToGrid w:val="0"/>
        <w:textAlignment w:val="auto"/>
        <w:tabs/>
        <w:rPr>
          <w:rFonts w:ascii="宋体" w:hAnsi="宋体" w:cs="宋体" w:eastAsia="宋体" w:hint="ascii"/>
          <w:sz w:val="21"/>
        </w:rPr>
      </w:pPr>
      <w:r>
        <w:rPr>
          <w:rFonts w:ascii="宋体" w:hAnsi="宋体" w:cs="宋体" w:eastAsia="宋体" w:hint="ascii"/>
          <w:sz w:val="21"/>
        </w:rPr>
        <w:t>地区科学基金项目部分）依托单位的全职工作人员，以及按照国家政策由中共中央组织</w:t>
      </w:r>
      <w:r>
        <w:rPr>
          <w:rFonts w:ascii="宋体" w:hAnsi="宋体" w:cs="宋体" w:eastAsia="宋体" w:hint="ascii"/>
          <w:sz w:val="21"/>
          <w:spacing w:val="3"/>
        </w:rPr>
        <w:t>部派出正</w:t>
      </w:r>
      <w:r>
        <w:rPr>
          <w:rFonts w:ascii="宋体" w:hAnsi="宋体" w:cs="宋体" w:eastAsia="宋体" w:hint="ascii"/>
          <w:sz w:val="21"/>
        </w:rPr>
        <w:t>在</w:t>
      </w:r>
      <w:r>
        <w:rPr>
          <w:rFonts w:ascii="宋体" w:hAnsi="宋体" w:cs="宋体" w:eastAsia="宋体" w:hint="ascii"/>
          <w:sz w:val="21"/>
          <w:spacing w:val="3"/>
        </w:rPr>
        <w:t>进行三年</w:t>
      </w:r>
      <w:r>
        <w:rPr>
          <w:rFonts w:ascii="宋体" w:hAnsi="宋体" w:cs="宋体" w:eastAsia="宋体" w:hint="ascii"/>
          <w:sz w:val="21"/>
        </w:rPr>
        <w:t>（</w:t>
      </w:r>
      <w:r>
        <w:rPr>
          <w:rFonts w:ascii="宋体" w:hAnsi="宋体" w:cs="宋体" w:eastAsia="宋体" w:hint="ascii"/>
          <w:sz w:val="21"/>
          <w:spacing w:val="3"/>
        </w:rPr>
        <w:t>含）期以</w:t>
      </w:r>
      <w:r>
        <w:rPr>
          <w:rFonts w:ascii="宋体" w:hAnsi="宋体" w:cs="宋体" w:eastAsia="宋体" w:hint="ascii"/>
          <w:sz w:val="21"/>
        </w:rPr>
        <w:t>上</w:t>
      </w:r>
      <w:r>
        <w:rPr>
          <w:rFonts w:ascii="宋体" w:hAnsi="宋体" w:cs="宋体" w:eastAsia="宋体" w:hint="ascii"/>
          <w:sz w:val="21"/>
          <w:spacing w:val="3"/>
        </w:rPr>
        <w:t>援疆、援</w:t>
      </w:r>
      <w:r>
        <w:rPr>
          <w:rFonts w:ascii="宋体" w:hAnsi="宋体" w:cs="宋体" w:eastAsia="宋体" w:hint="ascii"/>
          <w:sz w:val="21"/>
        </w:rPr>
        <w:t>藏</w:t>
      </w:r>
      <w:r>
        <w:rPr>
          <w:rFonts w:ascii="宋体" w:hAnsi="宋体" w:cs="宋体" w:eastAsia="宋体" w:hint="ascii"/>
          <w:sz w:val="21"/>
          <w:spacing w:val="3"/>
        </w:rPr>
        <w:t>的科学技</w:t>
      </w:r>
      <w:r>
        <w:rPr>
          <w:rFonts w:ascii="宋体" w:hAnsi="宋体" w:cs="宋体" w:eastAsia="宋体" w:hint="ascii"/>
          <w:sz w:val="21"/>
        </w:rPr>
        <w:t>术</w:t>
      </w:r>
      <w:r>
        <w:rPr>
          <w:rFonts w:ascii="宋体" w:hAnsi="宋体" w:cs="宋体" w:eastAsia="宋体" w:hint="ascii"/>
          <w:sz w:val="21"/>
          <w:spacing w:val="3"/>
        </w:rPr>
        <w:t>人员（受</w:t>
      </w:r>
      <w:r>
        <w:rPr>
          <w:rFonts w:ascii="宋体" w:hAnsi="宋体" w:cs="宋体" w:eastAsia="宋体" w:hint="ascii"/>
          <w:sz w:val="21"/>
        </w:rPr>
        <w:t>援</w:t>
      </w:r>
      <w:r>
        <w:rPr>
          <w:rFonts w:ascii="宋体" w:hAnsi="宋体" w:cs="宋体" w:eastAsia="宋体" w:hint="ascii"/>
          <w:sz w:val="21"/>
          <w:spacing w:val="3"/>
        </w:rPr>
        <w:t>依托单位</w:t>
      </w:r>
      <w:r>
        <w:rPr>
          <w:rFonts w:ascii="宋体" w:hAnsi="宋体" w:cs="宋体" w:eastAsia="宋体" w:hint="ascii"/>
          <w:sz w:val="21"/>
        </w:rPr>
        <w:t>组</w:t>
      </w:r>
      <w:r>
        <w:rPr>
          <w:rFonts w:ascii="宋体" w:hAnsi="宋体" w:cs="宋体" w:eastAsia="宋体" w:hint="ascii"/>
          <w:sz w:val="21"/>
          <w:spacing w:val="3"/>
        </w:rPr>
        <w:t>织</w:t>
      </w:r>
      <w:r>
        <w:rPr>
          <w:rFonts w:ascii="宋体" w:hAnsi="宋体" w:cs="宋体" w:eastAsia="宋体" w:hint="ascii"/>
          <w:sz w:val="21"/>
        </w:rPr>
        <w:t>部</w:t>
      </w:r>
      <w:r>
        <w:rPr>
          <w:rFonts w:ascii="宋体" w:hAnsi="宋体" w:cs="宋体" w:eastAsia="宋体" w:hint="ascii"/>
          <w:sz w:val="21"/>
          <w:spacing w:val="5"/>
        </w:rPr>
        <w:t>门</w:t>
      </w:r>
      <w:r>
        <w:rPr>
          <w:rFonts w:ascii="宋体" w:hAnsi="宋体" w:cs="宋体" w:eastAsia="宋体" w:hint="ascii"/>
          <w:sz w:val="21"/>
          <w:spacing w:val="4"/>
        </w:rPr>
        <w:t>或人事部</w:t>
      </w:r>
      <w:r>
        <w:rPr>
          <w:rFonts w:ascii="宋体" w:hAnsi="宋体" w:cs="宋体" w:eastAsia="宋体" w:hint="ascii"/>
          <w:sz w:val="21"/>
          <w:spacing w:val="5"/>
        </w:rPr>
        <w:t>门</w:t>
      </w:r>
      <w:r>
        <w:rPr>
          <w:rFonts w:ascii="宋体" w:hAnsi="宋体" w:cs="宋体" w:eastAsia="宋体" w:hint="ascii"/>
          <w:sz w:val="21"/>
          <w:spacing w:val="4"/>
        </w:rPr>
        <w:t>出具援疆</w:t>
      </w:r>
      <w:r>
        <w:rPr>
          <w:rFonts w:ascii="宋体" w:hAnsi="宋体" w:cs="宋体" w:eastAsia="宋体" w:hint="ascii"/>
          <w:sz w:val="21"/>
          <w:spacing w:val="5"/>
        </w:rPr>
        <w:t>或</w:t>
      </w:r>
      <w:r>
        <w:rPr>
          <w:rFonts w:ascii="宋体" w:hAnsi="宋体" w:cs="宋体" w:eastAsia="宋体" w:hint="ascii"/>
          <w:sz w:val="21"/>
          <w:spacing w:val="4"/>
        </w:rPr>
        <w:t>援藏的证</w:t>
      </w:r>
      <w:r>
        <w:rPr>
          <w:rFonts w:ascii="宋体" w:hAnsi="宋体" w:cs="宋体" w:eastAsia="宋体" w:hint="ascii"/>
          <w:sz w:val="21"/>
          <w:spacing w:val="5"/>
        </w:rPr>
        <w:t>明</w:t>
      </w:r>
      <w:r>
        <w:rPr>
          <w:rFonts w:ascii="宋体" w:hAnsi="宋体" w:cs="宋体" w:eastAsia="宋体" w:hint="ascii"/>
          <w:sz w:val="21"/>
          <w:spacing w:val="4"/>
        </w:rPr>
        <w:t>材料，作</w:t>
      </w:r>
      <w:r>
        <w:rPr>
          <w:rFonts w:ascii="宋体" w:hAnsi="宋体" w:cs="宋体" w:eastAsia="宋体" w:hint="ascii"/>
          <w:sz w:val="21"/>
          <w:spacing w:val="5"/>
        </w:rPr>
        <w:t>为</w:t>
      </w:r>
      <w:r>
        <w:rPr>
          <w:rFonts w:ascii="宋体" w:hAnsi="宋体" w:cs="宋体" w:eastAsia="宋体" w:hint="ascii"/>
          <w:sz w:val="21"/>
          <w:spacing w:val="4"/>
        </w:rPr>
        <w:t>附件随申</w:t>
      </w:r>
      <w:r>
        <w:rPr>
          <w:rFonts w:ascii="宋体" w:hAnsi="宋体" w:cs="宋体" w:eastAsia="宋体" w:hint="ascii"/>
          <w:sz w:val="21"/>
          <w:spacing w:val="5"/>
        </w:rPr>
        <w:t>请</w:t>
      </w:r>
      <w:r>
        <w:rPr>
          <w:rFonts w:ascii="宋体" w:hAnsi="宋体" w:cs="宋体" w:eastAsia="宋体" w:hint="ascii"/>
          <w:sz w:val="21"/>
          <w:spacing w:val="4"/>
        </w:rPr>
        <w:t>书一并报送</w:t>
      </w:r>
      <w:r>
        <w:rPr>
          <w:rFonts w:ascii="宋体" w:hAnsi="宋体" w:cs="宋体" w:eastAsia="宋体" w:hint="ascii"/>
          <w:sz w:val="21"/>
          <w:spacing w:val="-49"/>
        </w:rPr>
        <w:t>）</w:t>
      </w:r>
      <w:r>
        <w:rPr>
          <w:rFonts w:ascii="宋体" w:hAnsi="宋体" w:cs="宋体" w:eastAsia="宋体" w:hint="ascii"/>
          <w:sz w:val="21"/>
          <w:spacing w:val="4"/>
        </w:rPr>
        <w:t>。地</w:t>
      </w:r>
      <w:r>
        <w:rPr>
          <w:rFonts w:ascii="宋体" w:hAnsi="宋体" w:cs="宋体" w:eastAsia="宋体" w:hint="ascii"/>
          <w:sz w:val="21"/>
          <w:spacing w:val="5"/>
        </w:rPr>
        <w:t>区科</w:t>
      </w:r>
      <w:r>
        <w:rPr>
          <w:rFonts w:ascii="宋体" w:hAnsi="宋体" w:cs="宋体" w:eastAsia="宋体" w:hint="ascii"/>
          <w:sz w:val="21"/>
        </w:rPr>
        <w:t>学</w:t>
      </w:r>
      <w:r>
        <w:rPr>
          <w:rFonts w:ascii="宋体" w:hAnsi="宋体" w:cs="宋体" w:eastAsia="宋体" w:hint="ascii"/>
          <w:sz w:val="21"/>
          <w:spacing w:val="3"/>
        </w:rPr>
        <w:t>基金资助</w:t>
      </w:r>
      <w:r>
        <w:rPr>
          <w:rFonts w:ascii="宋体" w:hAnsi="宋体" w:cs="宋体" w:eastAsia="宋体" w:hint="ascii"/>
          <w:sz w:val="21"/>
        </w:rPr>
        <w:t>范</w:t>
      </w:r>
      <w:r>
        <w:rPr>
          <w:rFonts w:ascii="宋体" w:hAnsi="宋体" w:cs="宋体" w:eastAsia="宋体" w:hint="ascii"/>
          <w:sz w:val="21"/>
          <w:spacing w:val="3"/>
        </w:rPr>
        <w:t>围内依托</w:t>
      </w:r>
      <w:r>
        <w:rPr>
          <w:rFonts w:ascii="宋体" w:hAnsi="宋体" w:cs="宋体" w:eastAsia="宋体" w:hint="ascii"/>
          <w:sz w:val="21"/>
        </w:rPr>
        <w:t>单</w:t>
      </w:r>
      <w:r>
        <w:rPr>
          <w:rFonts w:ascii="宋体" w:hAnsi="宋体" w:cs="宋体" w:eastAsia="宋体" w:hint="ascii"/>
          <w:sz w:val="21"/>
          <w:spacing w:val="3"/>
        </w:rPr>
        <w:t>位的非全</w:t>
      </w:r>
      <w:r>
        <w:rPr>
          <w:rFonts w:ascii="宋体" w:hAnsi="宋体" w:cs="宋体" w:eastAsia="宋体" w:hint="ascii"/>
          <w:sz w:val="21"/>
        </w:rPr>
        <w:t>职</w:t>
      </w:r>
      <w:r>
        <w:rPr>
          <w:rFonts w:ascii="宋体" w:hAnsi="宋体" w:cs="宋体" w:eastAsia="宋体" w:hint="ascii"/>
          <w:sz w:val="21"/>
          <w:spacing w:val="3"/>
        </w:rPr>
        <w:t>工作人员</w:t>
      </w:r>
      <w:r>
        <w:rPr>
          <w:rFonts w:ascii="宋体" w:hAnsi="宋体" w:cs="宋体" w:eastAsia="宋体" w:hint="ascii"/>
          <w:sz w:val="21"/>
        </w:rPr>
        <w:t>、</w:t>
      </w:r>
      <w:r>
        <w:rPr>
          <w:rFonts w:ascii="宋体" w:hAnsi="宋体" w:cs="宋体" w:eastAsia="宋体" w:hint="ascii"/>
          <w:sz w:val="21"/>
          <w:spacing w:val="3"/>
        </w:rPr>
        <w:t>位于地区</w:t>
      </w:r>
      <w:r>
        <w:rPr>
          <w:rFonts w:ascii="宋体" w:hAnsi="宋体" w:cs="宋体" w:eastAsia="宋体" w:hint="ascii"/>
          <w:sz w:val="21"/>
        </w:rPr>
        <w:t>科</w:t>
      </w:r>
      <w:r>
        <w:rPr>
          <w:rFonts w:ascii="宋体" w:hAnsi="宋体" w:cs="宋体" w:eastAsia="宋体" w:hint="ascii"/>
          <w:sz w:val="21"/>
          <w:spacing w:val="3"/>
        </w:rPr>
        <w:t>学基金资</w:t>
      </w:r>
      <w:r>
        <w:rPr>
          <w:rFonts w:ascii="宋体" w:hAnsi="宋体" w:cs="宋体" w:eastAsia="宋体" w:hint="ascii"/>
          <w:sz w:val="21"/>
        </w:rPr>
        <w:t>助</w:t>
      </w:r>
      <w:r>
        <w:rPr>
          <w:rFonts w:ascii="宋体" w:hAnsi="宋体" w:cs="宋体" w:eastAsia="宋体" w:hint="ascii"/>
          <w:sz w:val="21"/>
          <w:spacing w:val="3"/>
        </w:rPr>
        <w:t>范围区域</w:t>
      </w:r>
      <w:r>
        <w:rPr>
          <w:rFonts w:ascii="宋体" w:hAnsi="宋体" w:cs="宋体" w:eastAsia="宋体" w:hint="ascii"/>
          <w:sz w:val="21"/>
        </w:rPr>
        <w:t>内</w:t>
      </w:r>
      <w:r>
        <w:rPr>
          <w:rFonts w:ascii="宋体" w:hAnsi="宋体" w:cs="宋体" w:eastAsia="宋体" w:hint="ascii"/>
          <w:sz w:val="21"/>
          <w:spacing w:val="3"/>
        </w:rPr>
        <w:t>的</w:t>
      </w:r>
      <w:r>
        <w:rPr>
          <w:rFonts w:ascii="宋体" w:hAnsi="宋体" w:cs="宋体" w:eastAsia="宋体" w:hint="ascii"/>
          <w:sz w:val="21"/>
        </w:rPr>
        <w:t>中</w:t>
      </w:r>
      <w:r>
        <w:rPr>
          <w:rFonts w:ascii="宋体" w:hAnsi="宋体" w:cs="宋体" w:eastAsia="宋体" w:hint="ascii"/>
          <w:sz w:val="21"/>
          <w:spacing w:val="3"/>
        </w:rPr>
        <w:t>央和中国</w:t>
      </w:r>
      <w:r>
        <w:rPr>
          <w:rFonts w:ascii="宋体" w:hAnsi="宋体" w:cs="宋体" w:eastAsia="宋体" w:hint="ascii"/>
          <w:sz w:val="21"/>
        </w:rPr>
        <w:t>人</w:t>
      </w:r>
      <w:r>
        <w:rPr>
          <w:rFonts w:ascii="宋体" w:hAnsi="宋体" w:cs="宋体" w:eastAsia="宋体" w:hint="ascii"/>
          <w:sz w:val="21"/>
          <w:spacing w:val="3"/>
        </w:rPr>
        <w:t>民解放军</w:t>
      </w:r>
      <w:r>
        <w:rPr>
          <w:rFonts w:ascii="宋体" w:hAnsi="宋体" w:cs="宋体" w:eastAsia="宋体" w:hint="ascii"/>
          <w:sz w:val="21"/>
        </w:rPr>
        <w:t>所</w:t>
      </w:r>
      <w:r>
        <w:rPr>
          <w:rFonts w:ascii="宋体" w:hAnsi="宋体" w:cs="宋体" w:eastAsia="宋体" w:hint="ascii"/>
          <w:sz w:val="21"/>
          <w:spacing w:val="3"/>
        </w:rPr>
        <w:t>属依托单</w:t>
      </w:r>
      <w:r>
        <w:rPr>
          <w:rFonts w:ascii="宋体" w:hAnsi="宋体" w:cs="宋体" w:eastAsia="宋体" w:hint="ascii"/>
          <w:sz w:val="21"/>
        </w:rPr>
        <w:t>位</w:t>
      </w:r>
      <w:r>
        <w:rPr>
          <w:rFonts w:ascii="宋体" w:hAnsi="宋体" w:cs="宋体" w:eastAsia="宋体" w:hint="ascii"/>
          <w:sz w:val="21"/>
          <w:spacing w:val="3"/>
        </w:rPr>
        <w:t>的科学技</w:t>
      </w:r>
      <w:r>
        <w:rPr>
          <w:rFonts w:ascii="宋体" w:hAnsi="宋体" w:cs="宋体" w:eastAsia="宋体" w:hint="ascii"/>
          <w:sz w:val="21"/>
        </w:rPr>
        <w:t>术</w:t>
      </w:r>
      <w:r>
        <w:rPr>
          <w:rFonts w:ascii="宋体" w:hAnsi="宋体" w:cs="宋体" w:eastAsia="宋体" w:hint="ascii"/>
          <w:sz w:val="21"/>
          <w:spacing w:val="3"/>
        </w:rPr>
        <w:t>人员及地</w:t>
      </w:r>
      <w:r>
        <w:rPr>
          <w:rFonts w:ascii="宋体" w:hAnsi="宋体" w:cs="宋体" w:eastAsia="宋体" w:hint="ascii"/>
          <w:sz w:val="21"/>
        </w:rPr>
        <w:t>区</w:t>
      </w:r>
      <w:r>
        <w:rPr>
          <w:rFonts w:ascii="宋体" w:hAnsi="宋体" w:cs="宋体" w:eastAsia="宋体" w:hint="ascii"/>
          <w:sz w:val="21"/>
          <w:spacing w:val="3"/>
        </w:rPr>
        <w:t>科学基金</w:t>
      </w:r>
      <w:r>
        <w:rPr>
          <w:rFonts w:ascii="宋体" w:hAnsi="宋体" w:cs="宋体" w:eastAsia="宋体" w:hint="ascii"/>
          <w:sz w:val="21"/>
        </w:rPr>
        <w:t>资</w:t>
      </w:r>
      <w:r>
        <w:rPr>
          <w:rFonts w:ascii="宋体" w:hAnsi="宋体" w:cs="宋体" w:eastAsia="宋体" w:hint="ascii"/>
          <w:sz w:val="21"/>
          <w:spacing w:val="3"/>
        </w:rPr>
        <w:t>助范围以</w:t>
      </w:r>
      <w:r>
        <w:rPr>
          <w:rFonts w:ascii="宋体" w:hAnsi="宋体" w:cs="宋体" w:eastAsia="宋体" w:hint="ascii"/>
          <w:sz w:val="21"/>
        </w:rPr>
        <w:t>外</w:t>
      </w:r>
      <w:r>
        <w:rPr>
          <w:rFonts w:ascii="宋体" w:hAnsi="宋体" w:cs="宋体" w:eastAsia="宋体" w:hint="ascii"/>
          <w:sz w:val="21"/>
          <w:spacing w:val="3"/>
        </w:rPr>
        <w:t>的</w:t>
      </w:r>
      <w:r>
        <w:rPr>
          <w:rFonts w:ascii="宋体" w:hAnsi="宋体" w:cs="宋体" w:eastAsia="宋体" w:hint="ascii"/>
          <w:sz w:val="21"/>
        </w:rPr>
        <w:t>科学技术人员，不得作为申请人申请地区科学基金项目。</w:t>
      </w:r>
    </w:p>
    <w:p>
      <w:pPr>
        <w:autoSpaceDE w:val="0"/>
        <w:autoSpaceDN w:val="0"/>
        <w:jc w:val="left"/>
        <w:spacing w:before="50" w:after="0" w:lineRule="auto" w:line="240"/>
        <w:ind w:right="0" w:left="792" w:hanging="268"/>
        <w:snapToGrid w:val="0"/>
        <w:textAlignment w:val="auto"/>
        <w:tabs>
          <w:tab w:val="left" w:leader="none" w:pos="792"/>
        </w:tabs>
        <w:numPr>
          <w:ilvl w:val="0"/>
          <w:numId w:val="1"/>
        </w:numPr>
        <w:rPr>
          <w:rFonts w:ascii="Times New Roman" w:hAnsi="Times New Roman" w:cs="Times New Roman" w:eastAsia="Times New Roman" w:hint="ascii"/>
          <w:sz w:val="21"/>
        </w:rPr>
      </w:pPr>
      <w:r>
        <w:rPr>
          <w:rFonts w:ascii="宋体" w:hAnsi="宋体" w:cs="宋体" w:eastAsia="宋体" w:hint="ascii"/>
          <w:sz w:val="21"/>
        </w:rPr>
        <w:t>从事基础研究的科学技术人员，具备《条例》第十条第一款规定的条件</w:t>
      </w:r>
      <w:r>
        <w:rPr>
          <w:rFonts w:ascii="宋体" w:hAnsi="宋体" w:cs="宋体" w:eastAsia="宋体" w:hint="ascii"/>
          <w:sz w:val="21"/>
          <w:spacing w:val="3"/>
        </w:rPr>
        <w:t>，无</w:t>
      </w:r>
      <w:r>
        <w:rPr>
          <w:rFonts w:ascii="宋体" w:hAnsi="宋体" w:cs="宋体" w:eastAsia="宋体" w:hint="ascii"/>
          <w:sz w:val="21"/>
        </w:rPr>
        <w:t>工</w:t>
      </w:r>
    </w:p>
    <w:p>
      <w:pPr>
        <w:autoSpaceDE w:val="0"/>
        <w:autoSpaceDN w:val="0"/>
        <w:jc w:val="left"/>
        <w:spacing w:before="17" w:after="0" w:lineRule="exact" w:line="320"/>
        <w:ind w:right="962" w:left="104" w:firstLine="0"/>
        <w:snapToGrid w:val="0"/>
        <w:textAlignment w:val="auto"/>
        <w:tabs/>
        <w:rPr>
          <w:rFonts w:ascii="宋体" w:hAnsi="宋体" w:cs="宋体" w:eastAsia="宋体" w:hint="ascii"/>
          <w:sz w:val="21"/>
        </w:rPr>
      </w:pPr>
      <w:r>
        <w:rPr>
          <w:rFonts w:ascii="宋体" w:hAnsi="宋体" w:cs="宋体" w:eastAsia="宋体" w:hint="ascii"/>
          <w:sz w:val="21"/>
          <w:spacing w:val="3"/>
        </w:rPr>
        <w:t>作单位或</w:t>
      </w:r>
      <w:r>
        <w:rPr>
          <w:rFonts w:ascii="宋体" w:hAnsi="宋体" w:cs="宋体" w:eastAsia="宋体" w:hint="ascii"/>
          <w:sz w:val="21"/>
        </w:rPr>
        <w:t>者</w:t>
      </w:r>
      <w:r>
        <w:rPr>
          <w:rFonts w:ascii="宋体" w:hAnsi="宋体" w:cs="宋体" w:eastAsia="宋体" w:hint="ascii"/>
          <w:sz w:val="21"/>
          <w:spacing w:val="3"/>
        </w:rPr>
        <w:t>所在单位</w:t>
      </w:r>
      <w:r>
        <w:rPr>
          <w:rFonts w:ascii="宋体" w:hAnsi="宋体" w:cs="宋体" w:eastAsia="宋体" w:hint="ascii"/>
          <w:sz w:val="21"/>
        </w:rPr>
        <w:t>不</w:t>
      </w:r>
      <w:r>
        <w:rPr>
          <w:rFonts w:ascii="宋体" w:hAnsi="宋体" w:cs="宋体" w:eastAsia="宋体" w:hint="ascii"/>
          <w:sz w:val="21"/>
          <w:spacing w:val="3"/>
        </w:rPr>
        <w:t>是依托单</w:t>
      </w:r>
      <w:r>
        <w:rPr>
          <w:rFonts w:ascii="宋体" w:hAnsi="宋体" w:cs="宋体" w:eastAsia="宋体" w:hint="ascii"/>
          <w:sz w:val="21"/>
        </w:rPr>
        <w:t>位</w:t>
      </w:r>
      <w:r>
        <w:rPr>
          <w:rFonts w:ascii="宋体" w:hAnsi="宋体" w:cs="宋体" w:eastAsia="宋体" w:hint="ascii"/>
          <w:sz w:val="21"/>
          <w:spacing w:val="3"/>
        </w:rPr>
        <w:t>，经与在</w:t>
      </w:r>
      <w:r>
        <w:rPr>
          <w:rFonts w:ascii="宋体" w:hAnsi="宋体" w:cs="宋体" w:eastAsia="宋体" w:hint="ascii"/>
          <w:sz w:val="21"/>
        </w:rPr>
        <w:t>自</w:t>
      </w:r>
      <w:r>
        <w:rPr>
          <w:rFonts w:ascii="宋体" w:hAnsi="宋体" w:cs="宋体" w:eastAsia="宋体" w:hint="ascii"/>
          <w:sz w:val="21"/>
          <w:spacing w:val="3"/>
        </w:rPr>
        <w:t>然科学基</w:t>
      </w:r>
      <w:r>
        <w:rPr>
          <w:rFonts w:ascii="宋体" w:hAnsi="宋体" w:cs="宋体" w:eastAsia="宋体" w:hint="ascii"/>
          <w:sz w:val="21"/>
        </w:rPr>
        <w:t>金</w:t>
      </w:r>
      <w:r>
        <w:rPr>
          <w:rFonts w:ascii="宋体" w:hAnsi="宋体" w:cs="宋体" w:eastAsia="宋体" w:hint="ascii"/>
          <w:sz w:val="21"/>
          <w:spacing w:val="3"/>
        </w:rPr>
        <w:t>委注册的</w:t>
      </w:r>
      <w:r>
        <w:rPr>
          <w:rFonts w:ascii="宋体" w:hAnsi="宋体" w:cs="宋体" w:eastAsia="宋体" w:hint="ascii"/>
          <w:sz w:val="21"/>
        </w:rPr>
        <w:t>依</w:t>
      </w:r>
      <w:r>
        <w:rPr>
          <w:rFonts w:ascii="宋体" w:hAnsi="宋体" w:cs="宋体" w:eastAsia="宋体" w:hint="ascii"/>
          <w:sz w:val="21"/>
          <w:spacing w:val="3"/>
        </w:rPr>
        <w:t>托单位协</w:t>
      </w:r>
      <w:r>
        <w:rPr>
          <w:rFonts w:ascii="宋体" w:hAnsi="宋体" w:cs="宋体" w:eastAsia="宋体" w:hint="ascii"/>
          <w:sz w:val="21"/>
        </w:rPr>
        <w:t>商</w:t>
      </w:r>
      <w:r>
        <w:rPr>
          <w:rFonts w:ascii="宋体" w:hAnsi="宋体" w:cs="宋体" w:eastAsia="宋体" w:hint="ascii"/>
          <w:sz w:val="21"/>
          <w:spacing w:val="3"/>
        </w:rPr>
        <w:t>，</w:t>
      </w:r>
      <w:r>
        <w:rPr>
          <w:rFonts w:ascii="宋体" w:hAnsi="宋体" w:cs="宋体" w:eastAsia="宋体" w:hint="ascii"/>
          <w:sz w:val="21"/>
        </w:rPr>
        <w:t>并</w:t>
      </w:r>
      <w:r>
        <w:rPr>
          <w:rFonts w:ascii="宋体" w:hAnsi="宋体" w:cs="宋体" w:eastAsia="宋体" w:hint="ascii"/>
          <w:sz w:val="21"/>
          <w:spacing w:val="3"/>
        </w:rPr>
        <w:t>取得该依</w:t>
      </w:r>
      <w:r>
        <w:rPr>
          <w:rFonts w:ascii="宋体" w:hAnsi="宋体" w:cs="宋体" w:eastAsia="宋体" w:hint="ascii"/>
          <w:sz w:val="21"/>
        </w:rPr>
        <w:t>托</w:t>
      </w:r>
      <w:r>
        <w:rPr>
          <w:rFonts w:ascii="宋体" w:hAnsi="宋体" w:cs="宋体" w:eastAsia="宋体" w:hint="ascii"/>
          <w:sz w:val="21"/>
          <w:spacing w:val="3"/>
        </w:rPr>
        <w:t>单位的同</w:t>
      </w:r>
      <w:r>
        <w:rPr>
          <w:rFonts w:ascii="宋体" w:hAnsi="宋体" w:cs="宋体" w:eastAsia="宋体" w:hint="ascii"/>
          <w:sz w:val="21"/>
        </w:rPr>
        <w:t>意</w:t>
      </w:r>
      <w:r>
        <w:rPr>
          <w:rFonts w:ascii="宋体" w:hAnsi="宋体" w:cs="宋体" w:eastAsia="宋体" w:hint="ascii"/>
          <w:sz w:val="21"/>
          <w:spacing w:val="3"/>
        </w:rPr>
        <w:t>，可以申</w:t>
      </w:r>
      <w:r>
        <w:rPr>
          <w:rFonts w:ascii="宋体" w:hAnsi="宋体" w:cs="宋体" w:eastAsia="宋体" w:hint="ascii"/>
          <w:sz w:val="21"/>
        </w:rPr>
        <w:t>请</w:t>
      </w:r>
      <w:r>
        <w:rPr>
          <w:rFonts w:ascii="宋体" w:hAnsi="宋体" w:cs="宋体" w:eastAsia="宋体" w:hint="ascii"/>
          <w:sz w:val="21"/>
          <w:spacing w:val="3"/>
        </w:rPr>
        <w:t>面上项目</w:t>
      </w:r>
      <w:r>
        <w:rPr>
          <w:rFonts w:ascii="宋体" w:hAnsi="宋体" w:cs="宋体" w:eastAsia="宋体" w:hint="ascii"/>
          <w:sz w:val="21"/>
        </w:rPr>
        <w:t>、</w:t>
      </w:r>
      <w:r>
        <w:rPr>
          <w:rFonts w:ascii="宋体" w:hAnsi="宋体" w:cs="宋体" w:eastAsia="宋体" w:hint="ascii"/>
          <w:sz w:val="21"/>
          <w:spacing w:val="3"/>
        </w:rPr>
        <w:t>青年科学</w:t>
      </w:r>
      <w:r>
        <w:rPr>
          <w:rFonts w:ascii="宋体" w:hAnsi="宋体" w:cs="宋体" w:eastAsia="宋体" w:hint="ascii"/>
          <w:sz w:val="21"/>
        </w:rPr>
        <w:t>基</w:t>
      </w:r>
      <w:r>
        <w:rPr>
          <w:rFonts w:ascii="宋体" w:hAnsi="宋体" w:cs="宋体" w:eastAsia="宋体" w:hint="ascii"/>
          <w:sz w:val="21"/>
          <w:spacing w:val="3"/>
        </w:rPr>
        <w:t>金项目，</w:t>
      </w:r>
      <w:r>
        <w:rPr>
          <w:rFonts w:ascii="宋体" w:hAnsi="宋体" w:cs="宋体" w:eastAsia="宋体" w:hint="ascii"/>
          <w:sz w:val="21"/>
        </w:rPr>
        <w:t>不</w:t>
      </w:r>
      <w:r>
        <w:rPr>
          <w:rFonts w:ascii="宋体" w:hAnsi="宋体" w:cs="宋体" w:eastAsia="宋体" w:hint="ascii"/>
          <w:sz w:val="21"/>
          <w:spacing w:val="3"/>
        </w:rPr>
        <w:t>得申请其</w:t>
      </w:r>
      <w:r>
        <w:rPr>
          <w:rFonts w:ascii="宋体" w:hAnsi="宋体" w:cs="宋体" w:eastAsia="宋体" w:hint="ascii"/>
          <w:sz w:val="21"/>
        </w:rPr>
        <w:t>他</w:t>
      </w:r>
      <w:r>
        <w:rPr>
          <w:rFonts w:ascii="宋体" w:hAnsi="宋体" w:cs="宋体" w:eastAsia="宋体" w:hint="ascii"/>
          <w:sz w:val="21"/>
          <w:spacing w:val="3"/>
        </w:rPr>
        <w:t>类</w:t>
      </w:r>
      <w:r>
        <w:rPr>
          <w:rFonts w:ascii="宋体" w:hAnsi="宋体" w:cs="宋体" w:eastAsia="宋体" w:hint="ascii"/>
          <w:sz w:val="21"/>
        </w:rPr>
        <w:t>型项目。</w:t>
      </w:r>
    </w:p>
    <w:p>
      <w:pPr>
        <w:autoSpaceDE w:val="0"/>
        <w:autoSpaceDN w:val="0"/>
        <w:jc w:val="left"/>
        <w:spacing w:before="45"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该类人员作为申请人申请项目时，应当在申请书基本信息表中如实填写工作单位信</w:t>
      </w:r>
    </w:p>
    <w:p>
      <w:pPr>
        <w:autoSpaceDE w:val="0"/>
        <w:autoSpaceDN w:val="0"/>
        <w:jc w:val="left"/>
        <w:spacing w:before="12" w:after="0" w:lineRule="exact" w:line="320"/>
        <w:ind w:right="962" w:left="104" w:firstLine="0"/>
        <w:snapToGrid w:val="0"/>
        <w:textAlignment w:val="auto"/>
        <w:tabs/>
        <w:rPr>
          <w:rFonts w:ascii="宋体" w:hAnsi="宋体" w:cs="宋体" w:eastAsia="宋体" w:hint="ascii"/>
          <w:sz w:val="21"/>
        </w:rPr>
      </w:pPr>
      <w:r>
        <w:rPr>
          <w:rFonts w:ascii="宋体" w:hAnsi="宋体" w:cs="宋体" w:eastAsia="宋体" w:hint="ascii"/>
          <w:sz w:val="21"/>
        </w:rPr>
        <w:t>息，在个人简历部分详细介绍本人以往研究工作情况，并提供与依托单位签订的书面合同（要求详见《国家自然科学基金依托单位基金工作管理办法》第十三条</w:t>
      </w:r>
      <w:r>
        <w:rPr>
          <w:rFonts w:ascii="宋体" w:hAnsi="宋体" w:cs="宋体" w:eastAsia="宋体" w:hint="ascii"/>
          <w:sz w:val="21"/>
          <w:spacing w:val="-51"/>
        </w:rPr>
        <w:t>）</w:t>
      </w:r>
      <w:r>
        <w:rPr>
          <w:rFonts w:ascii="宋体" w:hAnsi="宋体" w:cs="宋体" w:eastAsia="宋体" w:hint="ascii"/>
          <w:sz w:val="21"/>
        </w:rPr>
        <w:t>，作为附件随申请书一并报送。</w:t>
      </w:r>
    </w:p>
    <w:p>
      <w:pPr>
        <w:autoSpaceDE w:val="0"/>
        <w:autoSpaceDN w:val="0"/>
        <w:jc w:val="left"/>
        <w:spacing w:before="45"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非受聘于依托单位的境外人员，不能作为无依托单位或所在单位不是依托单位的申</w:t>
      </w:r>
    </w:p>
    <w:p>
      <w:pPr>
        <w:autoSpaceDE w:val="0"/>
        <w:autoSpaceDN w:val="0"/>
        <w:jc w:val="left"/>
        <w:spacing w:before="58" w:after="0" w:lineRule="exact" w:line="263"/>
        <w:ind w:right="0" w:left="104" w:firstLine="0"/>
        <w:snapToGrid w:val="0"/>
        <w:textAlignment w:val="auto"/>
        <w:tabs/>
        <w:rPr>
          <w:rFonts w:ascii="宋体" w:hAnsi="宋体" w:cs="宋体" w:eastAsia="宋体" w:hint="ascii"/>
          <w:sz w:val="21"/>
        </w:rPr>
      </w:pPr>
      <w:r>
        <w:rPr>
          <w:rFonts w:ascii="宋体" w:hAnsi="宋体" w:cs="宋体" w:eastAsia="宋体" w:hint="ascii"/>
          <w:sz w:val="21"/>
        </w:rPr>
        <w:t>请人申请各类项目。</w:t>
      </w:r>
    </w:p>
    <w:p>
      <w:pPr>
        <w:autoSpaceDE w:val="0"/>
        <w:autoSpaceDN w:val="0"/>
        <w:jc w:val="left"/>
        <w:spacing w:before="57" w:after="0" w:lineRule="auto" w:line="240"/>
        <w:ind w:right="0" w:left="792" w:hanging="268"/>
        <w:snapToGrid w:val="0"/>
        <w:textAlignment w:val="auto"/>
        <w:tabs>
          <w:tab w:val="left" w:leader="none" w:pos="792"/>
        </w:tabs>
        <w:numPr>
          <w:ilvl w:val="0"/>
          <w:numId w:val="1"/>
        </w:numPr>
        <w:rPr>
          <w:rFonts w:ascii="Times New Roman" w:hAnsi="Times New Roman" w:cs="Times New Roman" w:eastAsia="Times New Roman" w:hint="ascii"/>
          <w:sz w:val="21"/>
        </w:rPr>
      </w:pPr>
      <w:r>
        <w:rPr>
          <w:rFonts w:ascii="宋体" w:hAnsi="宋体" w:cs="宋体" w:eastAsia="宋体" w:hint="ascii"/>
          <w:sz w:val="21"/>
        </w:rPr>
        <w:t>正在攻读研究生学位的人员（科学基金接收申请截止日期时尚未获得学</w:t>
      </w:r>
      <w:r>
        <w:rPr>
          <w:rFonts w:ascii="宋体" w:hAnsi="宋体" w:cs="宋体" w:eastAsia="宋体" w:hint="ascii"/>
          <w:sz w:val="21"/>
          <w:spacing w:val="3"/>
        </w:rPr>
        <w:t>位）</w:t>
      </w:r>
      <w:r>
        <w:rPr>
          <w:rFonts w:ascii="宋体" w:hAnsi="宋体" w:cs="宋体" w:eastAsia="宋体" w:hint="ascii"/>
          <w:sz w:val="21"/>
        </w:rPr>
        <w:t>不</w:t>
      </w:r>
    </w:p>
    <w:p>
      <w:pPr>
        <w:autoSpaceDE w:val="0"/>
        <w:autoSpaceDN w:val="0"/>
        <w:jc w:val="left"/>
        <w:spacing w:before="19" w:after="0" w:lineRule="exact" w:line="320"/>
        <w:ind w:right="962" w:left="104" w:firstLine="0"/>
        <w:snapToGrid w:val="0"/>
        <w:textAlignment w:val="auto"/>
        <w:tabs/>
        <w:rPr>
          <w:rFonts w:ascii="宋体" w:hAnsi="宋体" w:cs="宋体" w:eastAsia="宋体" w:hint="ascii"/>
          <w:sz w:val="21"/>
        </w:rPr>
      </w:pPr>
      <w:r>
        <w:rPr>
          <w:rFonts w:ascii="宋体" w:hAnsi="宋体" w:cs="宋体" w:eastAsia="宋体" w:hint="ascii"/>
          <w:sz w:val="21"/>
        </w:rPr>
        <w:t>得作为申请人申请各类项目，但在职攻读研究生学位人员经过导师同意可以通过受聘单位作为申请人申请部分类型项目，同时应当单独提供导师同意其申请项目并由导师签字</w:t>
      </w:r>
      <w:r>
        <w:rPr>
          <w:rFonts w:ascii="宋体" w:hAnsi="宋体" w:cs="宋体" w:eastAsia="宋体" w:hint="ascii"/>
          <w:sz w:val="21"/>
          <w:spacing w:val="3"/>
        </w:rPr>
        <w:t>的函件，</w:t>
      </w:r>
      <w:r>
        <w:rPr>
          <w:rFonts w:ascii="宋体" w:hAnsi="宋体" w:cs="宋体" w:eastAsia="宋体" w:hint="ascii"/>
          <w:sz w:val="21"/>
        </w:rPr>
        <w:t>说</w:t>
      </w:r>
      <w:r>
        <w:rPr>
          <w:rFonts w:ascii="宋体" w:hAnsi="宋体" w:cs="宋体" w:eastAsia="宋体" w:hint="ascii"/>
          <w:sz w:val="21"/>
          <w:spacing w:val="3"/>
        </w:rPr>
        <w:t>明申请项</w:t>
      </w:r>
      <w:r>
        <w:rPr>
          <w:rFonts w:ascii="宋体" w:hAnsi="宋体" w:cs="宋体" w:eastAsia="宋体" w:hint="ascii"/>
          <w:sz w:val="21"/>
        </w:rPr>
        <w:t>目</w:t>
      </w:r>
      <w:r>
        <w:rPr>
          <w:rFonts w:ascii="宋体" w:hAnsi="宋体" w:cs="宋体" w:eastAsia="宋体" w:hint="ascii"/>
          <w:sz w:val="21"/>
          <w:spacing w:val="3"/>
        </w:rPr>
        <w:t>与其学位</w:t>
      </w:r>
      <w:r>
        <w:rPr>
          <w:rFonts w:ascii="宋体" w:hAnsi="宋体" w:cs="宋体" w:eastAsia="宋体" w:hint="ascii"/>
          <w:sz w:val="21"/>
        </w:rPr>
        <w:t>论</w:t>
      </w:r>
      <w:r>
        <w:rPr>
          <w:rFonts w:ascii="宋体" w:hAnsi="宋体" w:cs="宋体" w:eastAsia="宋体" w:hint="ascii"/>
          <w:sz w:val="21"/>
          <w:spacing w:val="3"/>
        </w:rPr>
        <w:t>文的关系</w:t>
      </w:r>
      <w:r>
        <w:rPr>
          <w:rFonts w:ascii="宋体" w:hAnsi="宋体" w:cs="宋体" w:eastAsia="宋体" w:hint="ascii"/>
          <w:sz w:val="21"/>
        </w:rPr>
        <w:t>，</w:t>
      </w:r>
      <w:r>
        <w:rPr>
          <w:rFonts w:ascii="宋体" w:hAnsi="宋体" w:cs="宋体" w:eastAsia="宋体" w:hint="ascii"/>
          <w:sz w:val="21"/>
          <w:spacing w:val="3"/>
        </w:rPr>
        <w:t>以及承担</w:t>
      </w:r>
      <w:r>
        <w:rPr>
          <w:rFonts w:ascii="宋体" w:hAnsi="宋体" w:cs="宋体" w:eastAsia="宋体" w:hint="ascii"/>
          <w:sz w:val="21"/>
        </w:rPr>
        <w:t>项</w:t>
      </w:r>
      <w:r>
        <w:rPr>
          <w:rFonts w:ascii="宋体" w:hAnsi="宋体" w:cs="宋体" w:eastAsia="宋体" w:hint="ascii"/>
          <w:sz w:val="21"/>
          <w:spacing w:val="3"/>
        </w:rPr>
        <w:t>目后的工</w:t>
      </w:r>
      <w:r>
        <w:rPr>
          <w:rFonts w:ascii="宋体" w:hAnsi="宋体" w:cs="宋体" w:eastAsia="宋体" w:hint="ascii"/>
          <w:sz w:val="21"/>
        </w:rPr>
        <w:t>作</w:t>
      </w:r>
      <w:r>
        <w:rPr>
          <w:rFonts w:ascii="宋体" w:hAnsi="宋体" w:cs="宋体" w:eastAsia="宋体" w:hint="ascii"/>
          <w:sz w:val="21"/>
          <w:spacing w:val="3"/>
        </w:rPr>
        <w:t>时间和条件</w:t>
      </w:r>
      <w:r>
        <w:rPr>
          <w:rFonts w:ascii="宋体" w:hAnsi="宋体" w:cs="宋体" w:eastAsia="宋体" w:hint="ascii"/>
          <w:sz w:val="21"/>
          <w:spacing w:val="4"/>
        </w:rPr>
        <w:t>保</w:t>
      </w:r>
      <w:r>
        <w:rPr>
          <w:rFonts w:ascii="宋体" w:hAnsi="宋体" w:cs="宋体" w:eastAsia="宋体" w:hint="ascii"/>
          <w:sz w:val="21"/>
        </w:rPr>
        <w:t>证等，作为附件随申请书一并报送。受聘单位不是依托单位的在职攻读研究生学位人员不得作为申请人申请各类项目。</w:t>
      </w:r>
    </w:p>
    <w:p>
      <w:pPr>
        <w:autoSpaceDE w:val="0"/>
        <w:autoSpaceDN w:val="0"/>
        <w:jc w:val="left"/>
        <w:spacing w:before="44"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spacing w:val="3"/>
        </w:rPr>
        <w:t>在职</w:t>
      </w:r>
      <w:r>
        <w:rPr>
          <w:rFonts w:ascii="宋体" w:hAnsi="宋体" w:cs="宋体" w:eastAsia="宋体" w:hint="ascii"/>
          <w:sz w:val="21"/>
          <w:spacing w:val="4"/>
        </w:rPr>
        <w:t>攻</w:t>
      </w:r>
      <w:r>
        <w:rPr>
          <w:rFonts w:ascii="宋体" w:hAnsi="宋体" w:cs="宋体" w:eastAsia="宋体" w:hint="ascii"/>
          <w:sz w:val="21"/>
          <w:spacing w:val="3"/>
        </w:rPr>
        <w:t>读研究生</w:t>
      </w:r>
      <w:r>
        <w:rPr>
          <w:rFonts w:ascii="宋体" w:hAnsi="宋体" w:cs="宋体" w:eastAsia="宋体" w:hint="ascii"/>
          <w:sz w:val="21"/>
          <w:spacing w:val="4"/>
        </w:rPr>
        <w:t>学</w:t>
      </w:r>
      <w:r>
        <w:rPr>
          <w:rFonts w:ascii="宋体" w:hAnsi="宋体" w:cs="宋体" w:eastAsia="宋体" w:hint="ascii"/>
          <w:sz w:val="21"/>
          <w:spacing w:val="3"/>
        </w:rPr>
        <w:t>位人员可</w:t>
      </w:r>
      <w:r>
        <w:rPr>
          <w:rFonts w:ascii="宋体" w:hAnsi="宋体" w:cs="宋体" w:eastAsia="宋体" w:hint="ascii"/>
          <w:sz w:val="21"/>
          <w:spacing w:val="4"/>
        </w:rPr>
        <w:t>以</w:t>
      </w:r>
      <w:r>
        <w:rPr>
          <w:rFonts w:ascii="宋体" w:hAnsi="宋体" w:cs="宋体" w:eastAsia="宋体" w:hint="ascii"/>
          <w:sz w:val="21"/>
          <w:spacing w:val="3"/>
        </w:rPr>
        <w:t>申请的项</w:t>
      </w:r>
      <w:r>
        <w:rPr>
          <w:rFonts w:ascii="宋体" w:hAnsi="宋体" w:cs="宋体" w:eastAsia="宋体" w:hint="ascii"/>
          <w:sz w:val="21"/>
          <w:spacing w:val="4"/>
        </w:rPr>
        <w:t>目</w:t>
      </w:r>
      <w:r>
        <w:rPr>
          <w:rFonts w:ascii="宋体" w:hAnsi="宋体" w:cs="宋体" w:eastAsia="宋体" w:hint="ascii"/>
          <w:sz w:val="21"/>
          <w:spacing w:val="3"/>
        </w:rPr>
        <w:t>类型包括</w:t>
      </w:r>
      <w:r>
        <w:rPr>
          <w:rFonts w:ascii="宋体" w:hAnsi="宋体" w:cs="宋体" w:eastAsia="宋体" w:hint="ascii"/>
          <w:sz w:val="21"/>
          <w:spacing w:val="4"/>
        </w:rPr>
        <w:t>：</w:t>
      </w:r>
      <w:r>
        <w:rPr>
          <w:rFonts w:ascii="宋体" w:hAnsi="宋体" w:cs="宋体" w:eastAsia="宋体" w:hint="ascii"/>
          <w:sz w:val="21"/>
          <w:spacing w:val="3"/>
        </w:rPr>
        <w:t>面上项目</w:t>
      </w:r>
      <w:r>
        <w:rPr>
          <w:rFonts w:ascii="宋体" w:hAnsi="宋体" w:cs="宋体" w:eastAsia="宋体" w:hint="ascii"/>
          <w:sz w:val="21"/>
          <w:spacing w:val="4"/>
        </w:rPr>
        <w:t>、</w:t>
      </w:r>
      <w:r>
        <w:rPr>
          <w:rFonts w:ascii="宋体" w:hAnsi="宋体" w:cs="宋体" w:eastAsia="宋体" w:hint="ascii"/>
          <w:sz w:val="21"/>
          <w:spacing w:val="3"/>
        </w:rPr>
        <w:t>青年科学</w:t>
      </w:r>
      <w:r>
        <w:rPr>
          <w:rFonts w:ascii="宋体" w:hAnsi="宋体" w:cs="宋体" w:eastAsia="宋体" w:hint="ascii"/>
          <w:sz w:val="21"/>
          <w:spacing w:val="4"/>
        </w:rPr>
        <w:t>基</w:t>
      </w:r>
      <w:r>
        <w:rPr>
          <w:rFonts w:ascii="宋体" w:hAnsi="宋体" w:cs="宋体" w:eastAsia="宋体" w:hint="ascii"/>
          <w:sz w:val="21"/>
          <w:spacing w:val="3"/>
        </w:rPr>
        <w:t>金</w:t>
      </w:r>
      <w:r>
        <w:rPr>
          <w:rFonts w:ascii="宋体" w:hAnsi="宋体" w:cs="宋体" w:eastAsia="宋体" w:hint="ascii"/>
          <w:sz w:val="21"/>
        </w:rPr>
        <w:t>项</w:t>
      </w:r>
    </w:p>
    <w:p>
      <w:pPr>
        <w:autoSpaceDE w:val="0"/>
        <w:autoSpaceDN w:val="0"/>
        <w:jc w:val="left"/>
        <w:spacing w:before="408" w:after="0" w:lineRule="exact" w:line="225"/>
        <w:ind w:right="0" w:left="7590" w:firstLine="0"/>
        <w:snapToGrid w:val="0"/>
        <w:textAlignment w:val="auto"/>
        <w:tabs/>
        <w:sectPr>
          <w:pgSz w:w="10940" w:h="15080" w:orient="portrait"/>
          <w:pgMar w:top="508" w:right="508" w:bottom="508" w:left="1369"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iii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103"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8" w:after="0" w:lineRule="exact" w:line="319"/>
        <w:ind w:right="971" w:left="103" w:firstLine="0"/>
        <w:snapToGrid w:val="0"/>
        <w:textAlignment w:val="auto"/>
        <w:tabs/>
        <w:rPr>
          <w:rFonts w:ascii="宋体" w:hAnsi="宋体" w:cs="宋体" w:eastAsia="宋体" w:hint="ascii"/>
          <w:sz w:val="21"/>
        </w:rPr>
      </w:pPr>
      <w:r>
        <w:rPr>
          <w:rFonts w:ascii="宋体" w:hAnsi="宋体" w:cs="宋体" w:eastAsia="宋体" w:hint="ascii"/>
          <w:sz w:val="21"/>
          <w:spacing w:val="-1"/>
        </w:rPr>
        <w:t>目、</w:t>
      </w:r>
      <w:r>
        <w:rPr>
          <w:rFonts w:ascii="宋体" w:hAnsi="宋体" w:cs="宋体" w:eastAsia="宋体" w:hint="ascii"/>
          <w:sz w:val="21"/>
        </w:rPr>
        <w:t>地区科学基金项目，但在职攻读硕士研究生学位的，不得作为申请人申请青年科学基金项目。</w:t>
      </w:r>
      <w:r>
        <w:rPr>
          <w:rFonts w:ascii="宋体" w:hAnsi="宋体" w:cs="宋体" w:eastAsia="宋体" w:hint="ascii"/>
          <w:sz w:val="21"/>
        </w:rPr>
        <mc:AlternateContent>
          <mc:Choice Requires="wps">
            <w:drawing>
              <wp:anchor distL="0" distR="0" distT="0" distB="0" simplePos="0" behindDoc="1" relativeHeight="45" locked="0" layoutInCell="1" allowOverlap="1">
                <wp:simplePos x="0" y="0"/>
                <wp:positionH relativeFrom="page">
                  <wp:posOffset>938530</wp:posOffset>
                </wp:positionH>
                <wp:positionV relativeFrom="page">
                  <wp:posOffset>805815</wp:posOffset>
                </wp:positionV>
                <wp:extent cx="5076190" cy="0"/>
                <wp:wrapNone/>
                <wp:docPr id="1072" name="107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12160;width:399.70pt;" id="107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1" w:after="0" w:lineRule="auto" w:line="240"/>
        <w:ind w:right="0" w:left="791" w:hanging="268"/>
        <w:snapToGrid w:val="0"/>
        <w:textAlignment w:val="auto"/>
        <w:tabs>
          <w:tab w:val="left" w:leader="none" w:pos="792"/>
        </w:tabs>
        <w:numPr>
          <w:ilvl w:val="0"/>
          <w:numId w:val="1"/>
        </w:numPr>
        <w:rPr>
          <w:rFonts w:ascii="Times New Roman" w:hAnsi="Times New Roman" w:cs="Times New Roman" w:eastAsia="Times New Roman" w:hint="ascii"/>
          <w:sz w:val="21"/>
        </w:rPr>
      </w:pPr>
      <w:r>
        <w:rPr>
          <w:rFonts w:ascii="宋体" w:hAnsi="宋体" w:cs="宋体" w:eastAsia="宋体" w:hint="ascii"/>
          <w:sz w:val="21"/>
        </w:rPr>
        <w:t>非受聘于依托单位的境外人员，不能作为无依托单位或所在单位不是依</w:t>
      </w:r>
      <w:r>
        <w:rPr>
          <w:rFonts w:ascii="宋体" w:hAnsi="宋体" w:cs="宋体" w:eastAsia="宋体" w:hint="ascii"/>
          <w:sz w:val="21"/>
          <w:spacing w:val="3"/>
        </w:rPr>
        <w:t>托单</w:t>
      </w:r>
      <w:r>
        <w:rPr>
          <w:rFonts w:ascii="宋体" w:hAnsi="宋体" w:cs="宋体" w:eastAsia="宋体" w:hint="ascii"/>
          <w:sz w:val="21"/>
        </w:rPr>
        <w:t>位</w:t>
      </w:r>
    </w:p>
    <w:p>
      <w:pPr>
        <w:autoSpaceDE w:val="0"/>
        <w:autoSpaceDN w:val="0"/>
        <w:jc w:val="both"/>
        <w:spacing w:before="17" w:after="0" w:lineRule="exact" w:line="312"/>
        <w:ind w:right="971" w:left="103" w:firstLine="0"/>
        <w:snapToGrid w:val="0"/>
        <w:textAlignment w:val="auto"/>
        <w:tabs/>
        <w:rPr>
          <w:rFonts w:ascii="宋体" w:hAnsi="宋体" w:cs="宋体" w:eastAsia="宋体" w:hint="ascii"/>
          <w:sz w:val="21"/>
        </w:rPr>
      </w:pPr>
      <w:r>
        <w:rPr>
          <w:rFonts w:ascii="宋体" w:hAnsi="宋体" w:cs="宋体" w:eastAsia="宋体" w:hint="ascii"/>
          <w:sz w:val="21"/>
        </w:rPr>
        <w:t>的申请人申请各类项目；受聘于依托单位的境外</w:t>
      </w:r>
      <w:r>
        <w:rPr>
          <w:rFonts w:ascii="宋体" w:hAnsi="宋体" w:cs="宋体" w:eastAsia="宋体" w:hint="ascii"/>
          <w:sz w:val="21"/>
          <w:spacing w:val="-2"/>
        </w:rPr>
        <w:t>人员，不得同时以境内、境外两种身份</w:t>
      </w:r>
      <w:r>
        <w:rPr>
          <w:rFonts w:ascii="宋体" w:hAnsi="宋体" w:cs="宋体" w:eastAsia="宋体" w:hint="ascii"/>
          <w:sz w:val="21"/>
          <w:spacing w:val="-1"/>
        </w:rPr>
        <w:t>申请</w:t>
      </w:r>
      <w:r>
        <w:rPr>
          <w:rFonts w:ascii="宋体" w:hAnsi="宋体" w:cs="宋体" w:eastAsia="宋体" w:hint="ascii"/>
          <w:sz w:val="21"/>
        </w:rPr>
        <w:t>或参与申请各类项目。如果已经作为负责人正在承担海外及港澳学者合作研究基金项目，或者作为合作者正在承担国际（地区）合作研究项</w:t>
      </w:r>
      <w:r>
        <w:rPr>
          <w:rFonts w:ascii="宋体" w:hAnsi="宋体" w:cs="宋体" w:eastAsia="宋体" w:hint="ascii"/>
          <w:sz w:val="21"/>
          <w:spacing w:val="25"/>
        </w:rPr>
        <w:t>目</w:t>
      </w:r>
      <w:r>
        <w:rPr>
          <w:rFonts w:ascii="Times New Roman" w:hAnsi="Times New Roman" w:cs="Times New Roman" w:eastAsia="Times New Roman" w:hint="ascii"/>
          <w:sz w:val="21"/>
          <w:spacing w:val="54"/>
        </w:rPr>
        <w:t>[</w:t>
      </w:r>
      <w:r>
        <w:rPr>
          <w:rFonts w:ascii="宋体" w:hAnsi="宋体" w:cs="宋体" w:eastAsia="宋体" w:hint="ascii"/>
          <w:sz w:val="21"/>
        </w:rPr>
        <w:t>包括重点国际（地区）合</w:t>
      </w:r>
      <w:r>
        <w:rPr>
          <w:rFonts w:ascii="宋体" w:hAnsi="宋体" w:cs="宋体" w:eastAsia="宋体" w:hint="ascii"/>
          <w:sz w:val="21"/>
          <w:spacing w:val="-3"/>
        </w:rPr>
        <w:t>作研究项目与组织间国际（地区</w:t>
      </w:r>
      <w:r>
        <w:rPr>
          <w:rFonts w:ascii="宋体" w:hAnsi="宋体" w:cs="宋体" w:eastAsia="宋体" w:hint="ascii"/>
          <w:sz w:val="21"/>
          <w:spacing w:val="-2"/>
        </w:rPr>
        <w:t>）合作研究项目</w:t>
      </w:r>
      <w:r>
        <w:rPr>
          <w:rFonts w:ascii="Times New Roman" w:hAnsi="Times New Roman" w:cs="Times New Roman" w:eastAsia="Times New Roman" w:hint="ascii"/>
          <w:sz w:val="21"/>
          <w:spacing w:val="-1"/>
        </w:rPr>
        <w:t>]</w:t>
      </w:r>
      <w:r>
        <w:rPr>
          <w:rFonts w:ascii="宋体" w:hAnsi="宋体" w:cs="宋体" w:eastAsia="宋体" w:hint="ascii"/>
          <w:sz w:val="21"/>
          <w:spacing w:val="-2"/>
        </w:rPr>
        <w:t>，在项目结题前不得作为申请人申请</w:t>
      </w:r>
      <w:r>
        <w:rPr>
          <w:rFonts w:ascii="宋体" w:hAnsi="宋体" w:cs="宋体" w:eastAsia="宋体" w:hint="ascii"/>
          <w:sz w:val="21"/>
          <w:spacing w:val="-1"/>
        </w:rPr>
        <w:t>其</w:t>
      </w:r>
      <w:r>
        <w:rPr>
          <w:rFonts w:ascii="宋体" w:hAnsi="宋体" w:cs="宋体" w:eastAsia="宋体" w:hint="ascii"/>
          <w:sz w:val="21"/>
        </w:rPr>
        <w:t xml:space="preserve"> </w:t>
      </w:r>
      <w:r>
        <w:rPr>
          <w:rFonts w:ascii="宋体" w:hAnsi="宋体" w:cs="宋体" w:eastAsia="宋体" w:hint="ascii"/>
          <w:sz w:val="21"/>
          <w:spacing w:val="-1"/>
        </w:rPr>
        <w:t>他</w:t>
      </w:r>
      <w:r>
        <w:rPr>
          <w:rFonts w:ascii="宋体" w:hAnsi="宋体" w:cs="宋体" w:eastAsia="宋体" w:hint="ascii"/>
          <w:sz w:val="21"/>
        </w:rPr>
        <w:t>类型项目；反之，如果作为项目负责人正在承担上</w:t>
      </w:r>
      <w:r>
        <w:rPr>
          <w:rFonts w:ascii="宋体" w:hAnsi="宋体" w:cs="宋体" w:eastAsia="宋体" w:hint="ascii"/>
          <w:sz w:val="21"/>
          <w:spacing w:val="25"/>
        </w:rPr>
        <w:t>述</w:t>
      </w:r>
      <w:r>
        <w:rPr>
          <w:rFonts w:ascii="Times New Roman" w:hAnsi="Times New Roman" w:cs="Times New Roman" w:eastAsia="Times New Roman" w:hint="ascii"/>
          <w:sz w:val="21"/>
          <w:spacing w:val="53"/>
        </w:rPr>
        <w:t>2</w:t>
      </w:r>
      <w:r>
        <w:rPr>
          <w:rFonts w:ascii="宋体" w:hAnsi="宋体" w:cs="宋体" w:eastAsia="宋体" w:hint="ascii"/>
          <w:sz w:val="21"/>
        </w:rPr>
        <w:t>类项目以外的其他类型项目，</w:t>
      </w:r>
      <w:r>
        <w:rPr>
          <w:rFonts w:ascii="宋体" w:hAnsi="宋体" w:cs="宋体" w:eastAsia="宋体" w:hint="ascii"/>
          <w:sz w:val="21"/>
          <w:spacing w:val="-1"/>
        </w:rPr>
        <w:t>在项</w:t>
      </w:r>
      <w:r>
        <w:rPr>
          <w:rFonts w:ascii="宋体" w:hAnsi="宋体" w:cs="宋体" w:eastAsia="宋体" w:hint="ascii"/>
          <w:sz w:val="21"/>
        </w:rPr>
        <w:t>目结题前不得作为申请人申请海外及港澳学者合作研究基金项目或作为合作者参与</w:t>
      </w:r>
      <w:r>
        <w:rPr>
          <w:rFonts w:ascii="宋体" w:hAnsi="宋体" w:cs="宋体" w:eastAsia="宋体" w:hint="ascii"/>
          <w:sz w:val="21"/>
          <w:spacing w:val="3"/>
        </w:rPr>
        <w:t>申请国际</w:t>
      </w:r>
      <w:r>
        <w:rPr>
          <w:rFonts w:ascii="宋体" w:hAnsi="宋体" w:cs="宋体" w:eastAsia="宋体" w:hint="ascii"/>
          <w:sz w:val="21"/>
          <w:spacing w:val="2"/>
        </w:rPr>
        <w:t>（</w:t>
      </w:r>
      <w:r>
        <w:rPr>
          <w:rFonts w:ascii="宋体" w:hAnsi="宋体" w:cs="宋体" w:eastAsia="宋体" w:hint="ascii"/>
          <w:sz w:val="21"/>
          <w:spacing w:val="3"/>
        </w:rPr>
        <w:t>地区）合</w:t>
      </w:r>
      <w:r>
        <w:rPr>
          <w:rFonts w:ascii="宋体" w:hAnsi="宋体" w:cs="宋体" w:eastAsia="宋体" w:hint="ascii"/>
          <w:sz w:val="21"/>
          <w:spacing w:val="2"/>
        </w:rPr>
        <w:t>作</w:t>
      </w:r>
      <w:r>
        <w:rPr>
          <w:rFonts w:ascii="宋体" w:hAnsi="宋体" w:cs="宋体" w:eastAsia="宋体" w:hint="ascii"/>
          <w:sz w:val="21"/>
          <w:spacing w:val="3"/>
        </w:rPr>
        <w:t>研究项</w:t>
      </w:r>
      <w:r>
        <w:rPr>
          <w:rFonts w:ascii="宋体" w:hAnsi="宋体" w:cs="宋体" w:eastAsia="宋体" w:hint="ascii"/>
          <w:sz w:val="21"/>
          <w:spacing w:val="-1"/>
        </w:rPr>
        <w:t>目</w:t>
      </w:r>
      <w:r>
        <w:rPr>
          <w:rFonts w:ascii="宋体" w:hAnsi="宋体" w:cs="宋体" w:eastAsia="宋体" w:hint="ascii"/>
          <w:sz w:val="21"/>
          <w:spacing w:val="-25"/>
        </w:rPr>
        <w:t xml:space="preserve"> </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包括重点</w:t>
      </w:r>
      <w:r>
        <w:rPr>
          <w:rFonts w:ascii="宋体" w:hAnsi="宋体" w:cs="宋体" w:eastAsia="宋体" w:hint="ascii"/>
          <w:sz w:val="21"/>
          <w:spacing w:val="3"/>
        </w:rPr>
        <w:t>国</w:t>
      </w:r>
      <w:r>
        <w:rPr>
          <w:rFonts w:ascii="宋体" w:hAnsi="宋体" w:cs="宋体" w:eastAsia="宋体" w:hint="ascii"/>
          <w:sz w:val="21"/>
          <w:spacing w:val="4"/>
        </w:rPr>
        <w:t>际（地区</w:t>
      </w:r>
      <w:r>
        <w:rPr>
          <w:rFonts w:ascii="宋体" w:hAnsi="宋体" w:cs="宋体" w:eastAsia="宋体" w:hint="ascii"/>
          <w:sz w:val="21"/>
          <w:spacing w:val="3"/>
        </w:rPr>
        <w:t>）</w:t>
      </w:r>
      <w:r>
        <w:rPr>
          <w:rFonts w:ascii="宋体" w:hAnsi="宋体" w:cs="宋体" w:eastAsia="宋体" w:hint="ascii"/>
          <w:sz w:val="21"/>
          <w:spacing w:val="4"/>
        </w:rPr>
        <w:t>合作研究</w:t>
      </w:r>
      <w:r>
        <w:rPr>
          <w:rFonts w:ascii="宋体" w:hAnsi="宋体" w:cs="宋体" w:eastAsia="宋体" w:hint="ascii"/>
          <w:sz w:val="21"/>
          <w:spacing w:val="3"/>
        </w:rPr>
        <w:t>项</w:t>
      </w:r>
      <w:r>
        <w:rPr>
          <w:rFonts w:ascii="宋体" w:hAnsi="宋体" w:cs="宋体" w:eastAsia="宋体" w:hint="ascii"/>
          <w:sz w:val="21"/>
          <w:spacing w:val="4"/>
        </w:rPr>
        <w:t>目与组织</w:t>
      </w:r>
      <w:r>
        <w:rPr>
          <w:rFonts w:ascii="宋体" w:hAnsi="宋体" w:cs="宋体" w:eastAsia="宋体" w:hint="ascii"/>
          <w:sz w:val="21"/>
          <w:spacing w:val="3"/>
        </w:rPr>
        <w:t>间</w:t>
      </w:r>
      <w:r>
        <w:rPr>
          <w:rFonts w:ascii="宋体" w:hAnsi="宋体" w:cs="宋体" w:eastAsia="宋体" w:hint="ascii"/>
          <w:sz w:val="21"/>
          <w:spacing w:val="4"/>
        </w:rPr>
        <w:t>国</w:t>
      </w:r>
      <w:r>
        <w:rPr>
          <w:rFonts w:ascii="宋体" w:hAnsi="宋体" w:cs="宋体" w:eastAsia="宋体" w:hint="ascii"/>
          <w:sz w:val="21"/>
        </w:rPr>
        <w:t>际</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spacing w:val="-2"/>
        </w:rPr>
        <w:t>（地区）合作研究项目</w:t>
      </w:r>
      <w:r>
        <w:rPr>
          <w:rFonts w:ascii="Times New Roman" w:hAnsi="Times New Roman" w:cs="Times New Roman" w:eastAsia="Times New Roman" w:hint="ascii"/>
          <w:sz w:val="21"/>
          <w:spacing w:val="-3"/>
        </w:rPr>
        <w:t>]</w:t>
      </w:r>
      <w:r>
        <w:rPr>
          <w:rFonts w:ascii="宋体" w:hAnsi="宋体" w:cs="宋体" w:eastAsia="宋体" w:hint="ascii"/>
          <w:sz w:val="21"/>
        </w:rPr>
        <w:t>。</w:t>
      </w:r>
    </w:p>
    <w:p>
      <w:pPr>
        <w:autoSpaceDE w:val="0"/>
        <w:autoSpaceDN w:val="0"/>
        <w:jc w:val="left"/>
        <w:spacing w:before="49" w:after="0" w:lineRule="auto" w:line="240"/>
        <w:ind w:right="0" w:left="791" w:hanging="268"/>
        <w:snapToGrid w:val="0"/>
        <w:textAlignment w:val="auto"/>
        <w:tabs>
          <w:tab w:val="left" w:leader="none" w:pos="792"/>
        </w:tabs>
        <w:numPr>
          <w:ilvl w:val="0"/>
          <w:numId w:val="1"/>
        </w:numPr>
        <w:rPr>
          <w:rFonts w:ascii="Times New Roman" w:hAnsi="Times New Roman" w:cs="Times New Roman" w:eastAsia="Times New Roman" w:hint="ascii"/>
          <w:sz w:val="21"/>
        </w:rPr>
      </w:pPr>
      <w:r>
        <w:rPr>
          <w:rFonts w:ascii="宋体" w:hAnsi="宋体" w:cs="宋体" w:eastAsia="宋体" w:hint="ascii"/>
          <w:sz w:val="21"/>
        </w:rPr>
        <w:t>在站博士后研究人员可以作为申请人申请的项目类型包括：面上项目、</w:t>
      </w:r>
      <w:r>
        <w:rPr>
          <w:rFonts w:ascii="宋体" w:hAnsi="宋体" w:cs="宋体" w:eastAsia="宋体" w:hint="ascii"/>
          <w:sz w:val="21"/>
          <w:spacing w:val="3"/>
        </w:rPr>
        <w:t>青年</w:t>
      </w:r>
      <w:r>
        <w:rPr>
          <w:rFonts w:ascii="宋体" w:hAnsi="宋体" w:cs="宋体" w:eastAsia="宋体" w:hint="ascii"/>
          <w:sz w:val="21"/>
        </w:rPr>
        <w:t>科</w:t>
      </w:r>
    </w:p>
    <w:p>
      <w:pPr>
        <w:autoSpaceDE w:val="0"/>
        <w:autoSpaceDN w:val="0"/>
        <w:jc w:val="both"/>
        <w:spacing w:before="17" w:after="0" w:lineRule="exact" w:line="312"/>
        <w:ind w:right="971" w:left="103" w:firstLine="0"/>
        <w:snapToGrid w:val="0"/>
        <w:textAlignment w:val="auto"/>
        <w:tabs/>
        <w:rPr>
          <w:rFonts w:ascii="宋体" w:hAnsi="宋体" w:cs="宋体" w:eastAsia="宋体" w:hint="ascii"/>
          <w:sz w:val="21"/>
        </w:rPr>
      </w:pPr>
      <w:r>
        <w:rPr>
          <w:rFonts w:ascii="宋体" w:hAnsi="宋体" w:cs="宋体" w:eastAsia="宋体" w:hint="ascii"/>
          <w:sz w:val="21"/>
          <w:spacing w:val="-1"/>
        </w:rPr>
        <w:t>学基</w:t>
      </w:r>
      <w:r>
        <w:rPr>
          <w:rFonts w:ascii="宋体" w:hAnsi="宋体" w:cs="宋体" w:eastAsia="宋体" w:hint="ascii"/>
          <w:sz w:val="21"/>
        </w:rPr>
        <w:t>金项目、地区科学基金项目，不得作为申请人申请其他类型项目。该类人员作为申</w:t>
      </w:r>
      <w:r>
        <w:rPr>
          <w:rFonts w:ascii="宋体" w:hAnsi="宋体" w:cs="宋体" w:eastAsia="宋体" w:hint="ascii"/>
          <w:sz w:val="21"/>
          <w:spacing w:val="-1"/>
        </w:rPr>
        <w:t>请人</w:t>
      </w:r>
      <w:r>
        <w:rPr>
          <w:rFonts w:ascii="宋体" w:hAnsi="宋体" w:cs="宋体" w:eastAsia="宋体" w:hint="ascii"/>
          <w:sz w:val="21"/>
        </w:rPr>
        <w:t>申请项目时，应当提供依托单位的书面承诺，保证在项目资助期内在站工作或出站后留在依托单位继续从事科学研究，作为附件随申请书一并报送。</w:t>
      </w:r>
    </w:p>
    <w:p>
      <w:pPr>
        <w:autoSpaceDE w:val="0"/>
        <w:autoSpaceDN w:val="0"/>
        <w:jc w:val="left"/>
        <w:spacing w:before="40" w:after="0" w:lineRule="auto" w:line="240"/>
        <w:ind w:right="0" w:left="791" w:hanging="268"/>
        <w:snapToGrid w:val="0"/>
        <w:textAlignment w:val="auto"/>
        <w:tabs>
          <w:tab w:val="left" w:leader="none" w:pos="792"/>
        </w:tabs>
        <w:numPr>
          <w:ilvl w:val="0"/>
          <w:numId w:val="1"/>
        </w:numPr>
        <w:rPr>
          <w:rFonts w:ascii="Times New Roman" w:hAnsi="Times New Roman" w:cs="Times New Roman" w:eastAsia="Times New Roman" w:hint="ascii"/>
          <w:sz w:val="21"/>
        </w:rPr>
      </w:pPr>
      <w:r>
        <w:rPr>
          <w:rFonts w:ascii="宋体" w:hAnsi="宋体" w:cs="宋体" w:eastAsia="宋体" w:hint="ascii"/>
          <w:sz w:val="21"/>
        </w:rPr>
        <w:t>正在承担国家社会科学基金项目的负责人，不得作为申请人申请除国家</w:t>
      </w:r>
      <w:r>
        <w:rPr>
          <w:rFonts w:ascii="宋体" w:hAnsi="宋体" w:cs="宋体" w:eastAsia="宋体" w:hint="ascii"/>
          <w:sz w:val="21"/>
          <w:spacing w:val="3"/>
        </w:rPr>
        <w:t>杰出</w:t>
      </w:r>
      <w:r>
        <w:rPr>
          <w:rFonts w:ascii="宋体" w:hAnsi="宋体" w:cs="宋体" w:eastAsia="宋体" w:hint="ascii"/>
          <w:sz w:val="21"/>
        </w:rPr>
        <w:t>青</w:t>
      </w:r>
    </w:p>
    <w:p>
      <w:pPr>
        <w:autoSpaceDE w:val="0"/>
        <w:autoSpaceDN w:val="0"/>
        <w:jc w:val="both"/>
        <w:spacing w:before="17" w:after="0" w:lineRule="exact" w:line="312"/>
        <w:ind w:right="971" w:left="103" w:firstLine="0"/>
        <w:snapToGrid w:val="0"/>
        <w:textAlignment w:val="auto"/>
        <w:tabs/>
        <w:rPr>
          <w:rFonts w:ascii="宋体" w:hAnsi="宋体" w:cs="宋体" w:eastAsia="宋体" w:hint="ascii"/>
          <w:sz w:val="21"/>
        </w:rPr>
      </w:pPr>
      <w:r>
        <w:rPr>
          <w:rFonts w:ascii="宋体" w:hAnsi="宋体" w:cs="宋体" w:eastAsia="宋体" w:hint="ascii"/>
          <w:sz w:val="21"/>
          <w:spacing w:val="-1"/>
        </w:rPr>
        <w:t>年科</w:t>
      </w:r>
      <w:r>
        <w:rPr>
          <w:rFonts w:ascii="宋体" w:hAnsi="宋体" w:cs="宋体" w:eastAsia="宋体" w:hint="ascii"/>
          <w:sz w:val="21"/>
        </w:rPr>
        <w:t>学基金项目以外的其他类型国家自然科学基金项目。同一年度内，已经申请国家社会科学基金项目的申请人，不得作为申请人申请国家自然科学基金项目。</w:t>
      </w:r>
    </w:p>
    <w:p>
      <w:pPr>
        <w:autoSpaceDE w:val="0"/>
        <w:autoSpaceDN w:val="0"/>
        <w:jc w:val="left"/>
        <w:spacing w:before="40" w:after="0" w:lineRule="exact" w:line="263"/>
        <w:ind w:right="0" w:left="523" w:firstLine="0"/>
        <w:snapToGrid w:val="0"/>
        <w:textAlignment w:val="auto"/>
        <w:tabs/>
        <w:rPr>
          <w:rFonts w:ascii="宋体" w:hAnsi="宋体" w:cs="宋体" w:eastAsia="宋体" w:hint="ascii"/>
          <w:sz w:val="21"/>
        </w:rPr>
      </w:pPr>
      <w:r>
        <w:rPr>
          <w:rFonts w:ascii="宋体" w:hAnsi="宋体" w:cs="宋体" w:eastAsia="宋体" w:hint="ascii"/>
          <w:sz w:val="21"/>
        </w:rPr>
        <w:t>二、关于申请书撰写要求</w:t>
      </w:r>
    </w:p>
    <w:p>
      <w:pPr>
        <w:autoSpaceDE w:val="0"/>
        <w:autoSpaceDN w:val="0"/>
        <w:jc w:val="left"/>
        <w:spacing w:before="49" w:after="0" w:lineRule="auto" w:line="240"/>
        <w:ind w:right="0" w:left="789" w:hanging="266"/>
        <w:snapToGrid w:val="0"/>
        <w:textAlignment w:val="auto"/>
        <w:tabs>
          <w:tab w:val="left" w:leader="none" w:pos="790"/>
        </w:tabs>
        <w:numPr>
          <w:ilvl w:val="0"/>
          <w:numId w:val="2"/>
        </w:numPr>
        <w:rPr>
          <w:rFonts w:ascii="Times New Roman" w:hAnsi="Times New Roman" w:cs="Times New Roman" w:eastAsia="Times New Roman" w:hint="ascii"/>
          <w:sz w:val="21"/>
        </w:rPr>
      </w:pPr>
      <w:r>
        <w:rPr>
          <w:rFonts w:ascii="宋体" w:hAnsi="宋体" w:cs="宋体" w:eastAsia="宋体" w:hint="ascii"/>
          <w:sz w:val="21"/>
          <w:spacing w:val="-1"/>
        </w:rPr>
        <w:t>申请人在撰写申请书之前，应当认真阅读《条例</w:t>
      </w:r>
      <w:r>
        <w:rPr>
          <w:rFonts w:ascii="宋体" w:hAnsi="宋体" w:cs="宋体" w:eastAsia="宋体" w:hint="ascii"/>
          <w:sz w:val="21"/>
          <w:spacing w:val="-52"/>
        </w:rPr>
        <w:t>》</w:t>
      </w:r>
      <w:r>
        <w:rPr>
          <w:rFonts w:ascii="宋体" w:hAnsi="宋体" w:cs="宋体" w:eastAsia="宋体" w:hint="ascii"/>
          <w:sz w:val="21"/>
          <w:spacing w:val="-1"/>
        </w:rPr>
        <w:t>、本《指南</w:t>
      </w:r>
      <w:r>
        <w:rPr>
          <w:rFonts w:ascii="宋体" w:hAnsi="宋体" w:cs="宋体" w:eastAsia="宋体" w:hint="ascii"/>
          <w:sz w:val="21"/>
          <w:spacing w:val="-52"/>
        </w:rPr>
        <w:t>》</w:t>
      </w:r>
      <w:r>
        <w:rPr>
          <w:rFonts w:ascii="宋体" w:hAnsi="宋体" w:cs="宋体" w:eastAsia="宋体" w:hint="ascii"/>
          <w:sz w:val="21"/>
          <w:spacing w:val="-1"/>
        </w:rPr>
        <w:t>、相关类型项目</w:t>
      </w:r>
      <w:r>
        <w:rPr>
          <w:rFonts w:ascii="宋体" w:hAnsi="宋体" w:cs="宋体" w:eastAsia="宋体" w:hint="ascii"/>
          <w:sz w:val="21"/>
        </w:rPr>
        <w:t>管</w:t>
      </w:r>
    </w:p>
    <w:p>
      <w:pPr>
        <w:autoSpaceDE w:val="0"/>
        <w:autoSpaceDN w:val="0"/>
        <w:jc w:val="both"/>
        <w:spacing w:before="17" w:after="0" w:lineRule="exact" w:line="312"/>
        <w:ind w:right="971" w:left="103" w:firstLine="0"/>
        <w:snapToGrid w:val="0"/>
        <w:textAlignment w:val="auto"/>
        <w:tabs/>
        <w:rPr>
          <w:rFonts w:ascii="宋体" w:hAnsi="宋体" w:cs="宋体" w:eastAsia="宋体" w:hint="ascii"/>
          <w:sz w:val="21"/>
        </w:rPr>
      </w:pPr>
      <w:r>
        <w:rPr>
          <w:rFonts w:ascii="宋体" w:hAnsi="宋体" w:cs="宋体" w:eastAsia="宋体" w:hint="ascii"/>
          <w:sz w:val="21"/>
          <w:spacing w:val="-3"/>
        </w:rPr>
        <w:t>理办法</w:t>
      </w:r>
      <w:r>
        <w:rPr>
          <w:rFonts w:ascii="宋体" w:hAnsi="宋体" w:cs="宋体" w:eastAsia="宋体" w:hint="ascii"/>
          <w:sz w:val="21"/>
          <w:spacing w:val="-55"/>
        </w:rPr>
        <w:t>、</w:t>
      </w:r>
      <w:r>
        <w:rPr>
          <w:rFonts w:ascii="宋体" w:hAnsi="宋体" w:cs="宋体" w:eastAsia="宋体" w:hint="ascii"/>
          <w:sz w:val="21"/>
          <w:spacing w:val="-3"/>
        </w:rPr>
        <w:t>《</w:t>
      </w:r>
      <w:r>
        <w:rPr>
          <w:rFonts w:ascii="宋体" w:hAnsi="宋体" w:cs="宋体" w:eastAsia="宋体" w:hint="ascii"/>
          <w:sz w:val="21"/>
          <w:spacing w:val="-4"/>
        </w:rPr>
        <w:t>国</w:t>
      </w:r>
      <w:r>
        <w:rPr>
          <w:rFonts w:ascii="宋体" w:hAnsi="宋体" w:cs="宋体" w:eastAsia="宋体" w:hint="ascii"/>
          <w:sz w:val="21"/>
          <w:spacing w:val="-3"/>
        </w:rPr>
        <w:t>家自然科</w:t>
      </w:r>
      <w:r>
        <w:rPr>
          <w:rFonts w:ascii="宋体" w:hAnsi="宋体" w:cs="宋体" w:eastAsia="宋体" w:hint="ascii"/>
          <w:sz w:val="21"/>
          <w:spacing w:val="-4"/>
        </w:rPr>
        <w:t>学</w:t>
      </w:r>
      <w:r>
        <w:rPr>
          <w:rFonts w:ascii="宋体" w:hAnsi="宋体" w:cs="宋体" w:eastAsia="宋体" w:hint="ascii"/>
          <w:sz w:val="21"/>
          <w:spacing w:val="-3"/>
        </w:rPr>
        <w:t>基金资助</w:t>
      </w:r>
      <w:r>
        <w:rPr>
          <w:rFonts w:ascii="宋体" w:hAnsi="宋体" w:cs="宋体" w:eastAsia="宋体" w:hint="ascii"/>
          <w:sz w:val="21"/>
          <w:spacing w:val="-4"/>
        </w:rPr>
        <w:t>项</w:t>
      </w:r>
      <w:r>
        <w:rPr>
          <w:rFonts w:ascii="宋体" w:hAnsi="宋体" w:cs="宋体" w:eastAsia="宋体" w:hint="ascii"/>
          <w:sz w:val="21"/>
          <w:spacing w:val="-3"/>
        </w:rPr>
        <w:t>目资金管</w:t>
      </w:r>
      <w:r>
        <w:rPr>
          <w:rFonts w:ascii="宋体" w:hAnsi="宋体" w:cs="宋体" w:eastAsia="宋体" w:hint="ascii"/>
          <w:sz w:val="21"/>
          <w:spacing w:val="-4"/>
        </w:rPr>
        <w:t>理</w:t>
      </w:r>
      <w:r>
        <w:rPr>
          <w:rFonts w:ascii="宋体" w:hAnsi="宋体" w:cs="宋体" w:eastAsia="宋体" w:hint="ascii"/>
          <w:sz w:val="21"/>
          <w:spacing w:val="-3"/>
        </w:rPr>
        <w:t>办法》</w:t>
      </w:r>
      <w:r>
        <w:rPr>
          <w:rFonts w:ascii="宋体" w:hAnsi="宋体" w:cs="宋体" w:eastAsia="宋体" w:hint="ascii"/>
          <w:sz w:val="21"/>
          <w:spacing w:val="-2"/>
        </w:rPr>
        <w:t>和</w:t>
      </w:r>
      <w:r>
        <w:rPr>
          <w:rFonts w:ascii="宋体" w:hAnsi="宋体" w:cs="宋体" w:eastAsia="宋体" w:hint="ascii"/>
          <w:sz w:val="21"/>
          <w:spacing w:val="-3"/>
        </w:rPr>
        <w:t>有</w:t>
      </w:r>
      <w:r>
        <w:rPr>
          <w:rFonts w:ascii="宋体" w:hAnsi="宋体" w:cs="宋体" w:eastAsia="宋体" w:hint="ascii"/>
          <w:sz w:val="21"/>
          <w:spacing w:val="-2"/>
        </w:rPr>
        <w:t>关受理申</w:t>
      </w:r>
      <w:r>
        <w:rPr>
          <w:rFonts w:ascii="宋体" w:hAnsi="宋体" w:cs="宋体" w:eastAsia="宋体" w:hint="ascii"/>
          <w:sz w:val="21"/>
          <w:spacing w:val="-3"/>
        </w:rPr>
        <w:t>请</w:t>
      </w:r>
      <w:r>
        <w:rPr>
          <w:rFonts w:ascii="宋体" w:hAnsi="宋体" w:cs="宋体" w:eastAsia="宋体" w:hint="ascii"/>
          <w:sz w:val="21"/>
          <w:spacing w:val="-2"/>
        </w:rPr>
        <w:t>的通知、</w:t>
      </w:r>
      <w:r>
        <w:rPr>
          <w:rFonts w:ascii="宋体" w:hAnsi="宋体" w:cs="宋体" w:eastAsia="宋体" w:hint="ascii"/>
          <w:sz w:val="21"/>
          <w:spacing w:val="-3"/>
        </w:rPr>
        <w:t>通</w:t>
      </w:r>
      <w:r>
        <w:rPr>
          <w:rFonts w:ascii="宋体" w:hAnsi="宋体" w:cs="宋体" w:eastAsia="宋体" w:hint="ascii"/>
          <w:sz w:val="21"/>
          <w:spacing w:val="-2"/>
        </w:rPr>
        <w:t>告等</w:t>
      </w:r>
      <w:r>
        <w:rPr>
          <w:rFonts w:ascii="宋体" w:hAnsi="宋体" w:cs="宋体" w:eastAsia="宋体" w:hint="ascii"/>
          <w:sz w:val="21"/>
          <w:spacing w:val="-1"/>
        </w:rPr>
        <w:t>。</w:t>
      </w:r>
      <w:r>
        <w:rPr>
          <w:rFonts w:ascii="宋体" w:hAnsi="宋体" w:cs="宋体" w:eastAsia="宋体" w:hint="ascii"/>
          <w:sz w:val="21"/>
        </w:rPr>
        <w:t xml:space="preserve"> </w:t>
      </w:r>
      <w:r>
        <w:rPr>
          <w:rFonts w:ascii="宋体" w:hAnsi="宋体" w:cs="宋体" w:eastAsia="宋体" w:hint="ascii"/>
          <w:sz w:val="21"/>
          <w:spacing w:val="-2"/>
        </w:rPr>
        <w:t>现行项目管理办法与《条例》和本《指南》有冲突的，以《条例》和本《指南》为准</w:t>
      </w:r>
      <w:r>
        <w:rPr>
          <w:rFonts w:ascii="宋体" w:hAnsi="宋体" w:cs="宋体" w:eastAsia="宋体" w:hint="ascii"/>
          <w:sz w:val="21"/>
        </w:rPr>
        <w:t>。</w:t>
      </w:r>
    </w:p>
    <w:p>
      <w:pPr>
        <w:autoSpaceDE w:val="0"/>
        <w:autoSpaceDN w:val="0"/>
        <w:jc w:val="left"/>
        <w:spacing w:before="40" w:after="0" w:lineRule="auto" w:line="240"/>
        <w:ind w:right="0" w:left="789" w:hanging="266"/>
        <w:snapToGrid w:val="0"/>
        <w:textAlignment w:val="auto"/>
        <w:tabs>
          <w:tab w:val="left" w:leader="none" w:pos="790"/>
        </w:tabs>
        <w:numPr>
          <w:ilvl w:val="0"/>
          <w:numId w:val="2"/>
        </w:numPr>
        <w:rPr>
          <w:rFonts w:ascii="Times New Roman" w:hAnsi="Times New Roman" w:cs="Times New Roman" w:eastAsia="Times New Roman" w:hint="ascii"/>
          <w:sz w:val="21"/>
        </w:rPr>
      </w:pPr>
      <w:r>
        <w:rPr>
          <w:rFonts w:ascii="宋体" w:hAnsi="宋体" w:cs="宋体" w:eastAsia="宋体" w:hint="ascii"/>
          <w:sz w:val="21"/>
        </w:rPr>
        <w:t>申请书应当由申请人本人按照撰写提纲撰写，申请人和主要参与者的个</w:t>
      </w:r>
      <w:r>
        <w:rPr>
          <w:rFonts w:ascii="宋体" w:hAnsi="宋体" w:cs="宋体" w:eastAsia="宋体" w:hint="ascii"/>
          <w:sz w:val="21"/>
          <w:spacing w:val="3"/>
        </w:rPr>
        <w:t>人简</w:t>
      </w:r>
      <w:r>
        <w:rPr>
          <w:rFonts w:ascii="宋体" w:hAnsi="宋体" w:cs="宋体" w:eastAsia="宋体" w:hint="ascii"/>
          <w:sz w:val="21"/>
        </w:rPr>
        <w:t>历</w:t>
      </w:r>
    </w:p>
    <w:p>
      <w:pPr>
        <w:autoSpaceDE w:val="0"/>
        <w:autoSpaceDN w:val="0"/>
        <w:jc w:val="both"/>
        <w:spacing w:before="17" w:after="0" w:lineRule="exact" w:line="312"/>
        <w:ind w:right="971" w:left="103" w:firstLine="0"/>
        <w:snapToGrid w:val="0"/>
        <w:textAlignment w:val="auto"/>
        <w:tabs/>
        <w:rPr>
          <w:rFonts w:ascii="宋体" w:hAnsi="宋体" w:cs="宋体" w:eastAsia="宋体" w:hint="ascii"/>
          <w:sz w:val="21"/>
        </w:rPr>
      </w:pPr>
      <w:r>
        <w:rPr>
          <w:rFonts w:ascii="宋体" w:hAnsi="宋体" w:cs="宋体" w:eastAsia="宋体" w:hint="ascii"/>
          <w:sz w:val="21"/>
          <w:spacing w:val="-1"/>
        </w:rPr>
        <w:t>填写</w:t>
      </w:r>
      <w:r>
        <w:rPr>
          <w:rFonts w:ascii="宋体" w:hAnsi="宋体" w:cs="宋体" w:eastAsia="宋体" w:hint="ascii"/>
          <w:sz w:val="21"/>
        </w:rPr>
        <w:t>应规范，并注意在申请书中不得出现任何违反法律及涉密的内容。申请人应当对所提交申请材料的真实性、合法性负责。</w:t>
      </w:r>
    </w:p>
    <w:p>
      <w:pPr>
        <w:autoSpaceDE w:val="0"/>
        <w:autoSpaceDN w:val="0"/>
        <w:jc w:val="both"/>
        <w:spacing w:before="0" w:after="0" w:lineRule="exact" w:line="312"/>
        <w:ind w:right="971" w:left="103" w:firstLine="420"/>
        <w:snapToGrid w:val="0"/>
        <w:textAlignment w:val="auto"/>
        <w:tabs>
          <w:tab w:val="left" w:leader="none" w:pos="797"/>
        </w:tabs>
        <w:numPr>
          <w:ilvl w:val="0"/>
          <w:numId w:val="2"/>
        </w:numPr>
        <w:rPr>
          <w:rFonts w:ascii="Times New Roman" w:hAnsi="Times New Roman" w:cs="Times New Roman" w:eastAsia="Times New Roman" w:hint="ascii"/>
          <w:sz w:val="21"/>
        </w:rPr>
      </w:pPr>
      <w:r>
        <w:rPr>
          <w:rFonts w:ascii="宋体" w:hAnsi="宋体" w:cs="宋体" w:eastAsia="宋体" w:hint="ascii"/>
          <w:sz w:val="21"/>
          <w:spacing w:val="3"/>
        </w:rPr>
        <w:t>根据所申请的项目类型，准确选择或填写</w:t>
      </w:r>
      <w:r>
        <w:rPr>
          <w:rFonts w:ascii="宋体" w:hAnsi="宋体" w:cs="宋体" w:eastAsia="宋体" w:hint="ascii"/>
          <w:sz w:val="21"/>
          <w:spacing w:val="2"/>
        </w:rPr>
        <w:t>“资助类别</w:t>
      </w:r>
      <w:r>
        <w:rPr>
          <w:rFonts w:ascii="宋体" w:hAnsi="宋体" w:cs="宋体" w:eastAsia="宋体" w:hint="ascii"/>
          <w:sz w:val="21"/>
          <w:spacing w:val="-50"/>
        </w:rPr>
        <w:t>”</w:t>
      </w:r>
      <w:r>
        <w:rPr>
          <w:rFonts w:ascii="宋体" w:hAnsi="宋体" w:cs="宋体" w:eastAsia="宋体" w:hint="ascii"/>
          <w:sz w:val="21"/>
          <w:spacing w:val="2"/>
        </w:rPr>
        <w:t>“亚类说明</w:t>
      </w:r>
      <w:r>
        <w:rPr>
          <w:rFonts w:ascii="宋体" w:hAnsi="宋体" w:cs="宋体" w:eastAsia="宋体" w:hint="ascii"/>
          <w:sz w:val="21"/>
          <w:spacing w:val="-50"/>
        </w:rPr>
        <w:t>”</w:t>
      </w:r>
      <w:r>
        <w:rPr>
          <w:rFonts w:ascii="宋体" w:hAnsi="宋体" w:cs="宋体" w:eastAsia="宋体" w:hint="ascii"/>
          <w:sz w:val="21"/>
          <w:spacing w:val="2"/>
        </w:rPr>
        <w:t>“附注</w:t>
      </w:r>
      <w:r>
        <w:rPr>
          <w:rFonts w:ascii="宋体" w:hAnsi="宋体" w:cs="宋体" w:eastAsia="宋体" w:hint="ascii"/>
          <w:sz w:val="21"/>
          <w:spacing w:val="-6"/>
        </w:rPr>
        <w:t>说</w:t>
      </w:r>
      <w:r>
        <w:rPr>
          <w:rFonts w:ascii="宋体" w:hAnsi="宋体" w:cs="宋体" w:eastAsia="宋体" w:hint="ascii"/>
          <w:sz w:val="21"/>
          <w:spacing w:val="-1"/>
        </w:rPr>
        <w:t>明”</w:t>
      </w:r>
      <w:r>
        <w:rPr>
          <w:rFonts w:ascii="宋体" w:hAnsi="宋体" w:cs="宋体" w:eastAsia="宋体" w:hint="ascii"/>
          <w:sz w:val="21"/>
        </w:rPr>
        <w:t>等内容。要求“选择”的内容，只能在下拉菜单中选定；要求“填写”的内容，可</w:t>
      </w:r>
      <w:r>
        <w:rPr>
          <w:rFonts w:ascii="宋体" w:hAnsi="宋体" w:cs="宋体" w:eastAsia="宋体" w:hint="ascii"/>
          <w:sz w:val="21"/>
          <w:spacing w:val="-1"/>
        </w:rPr>
        <w:t>以键</w:t>
      </w:r>
      <w:r>
        <w:rPr>
          <w:rFonts w:ascii="宋体" w:hAnsi="宋体" w:cs="宋体" w:eastAsia="宋体" w:hint="ascii"/>
          <w:sz w:val="21"/>
        </w:rPr>
        <w:t>入相应文字；部分项目“附注说明”需要严格按本《指南》相关要求选择或填写。</w:t>
      </w:r>
    </w:p>
    <w:p>
      <w:pPr>
        <w:autoSpaceDE w:val="0"/>
        <w:autoSpaceDN w:val="0"/>
        <w:jc w:val="left"/>
        <w:spacing w:before="40" w:after="0" w:lineRule="auto" w:line="240"/>
        <w:ind w:right="0" w:left="789" w:hanging="266"/>
        <w:snapToGrid w:val="0"/>
        <w:textAlignment w:val="auto"/>
        <w:tabs>
          <w:tab w:val="left" w:leader="none" w:pos="790"/>
        </w:tabs>
        <w:numPr>
          <w:ilvl w:val="0"/>
          <w:numId w:val="2"/>
        </w:numPr>
        <w:rPr>
          <w:rFonts w:ascii="Times New Roman" w:hAnsi="Times New Roman" w:cs="Times New Roman" w:eastAsia="Times New Roman" w:hint="ascii"/>
          <w:sz w:val="21"/>
          <w:spacing w:val="1"/>
        </w:rPr>
      </w:pP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年，部分科学部申请代码进行了调整，申请人应当根据所申请的研究方向</w:t>
      </w:r>
    </w:p>
    <w:p>
      <w:pPr>
        <w:autoSpaceDE w:val="0"/>
        <w:autoSpaceDN w:val="0"/>
        <w:jc w:val="both"/>
        <w:spacing w:before="17" w:after="0" w:lineRule="exact" w:line="312"/>
        <w:ind w:right="971" w:left="103" w:firstLine="0"/>
        <w:snapToGrid w:val="0"/>
        <w:textAlignment w:val="auto"/>
        <w:tabs/>
        <w:rPr>
          <w:rFonts w:ascii="宋体" w:hAnsi="宋体" w:cs="宋体" w:eastAsia="宋体" w:hint="ascii"/>
          <w:sz w:val="21"/>
        </w:rPr>
      </w:pPr>
      <w:r>
        <w:rPr>
          <w:rFonts w:ascii="宋体" w:hAnsi="宋体" w:cs="宋体" w:eastAsia="宋体" w:hint="ascii"/>
          <w:sz w:val="21"/>
          <w:spacing w:val="-1"/>
        </w:rPr>
        <w:t>或研</w:t>
      </w:r>
      <w:r>
        <w:rPr>
          <w:rFonts w:ascii="宋体" w:hAnsi="宋体" w:cs="宋体" w:eastAsia="宋体" w:hint="ascii"/>
          <w:sz w:val="21"/>
        </w:rPr>
        <w:t>究领域，按照本《指南》中的“国家自然科学基金申请代码”准确选择申请代码，特别注意：</w:t>
      </w:r>
    </w:p>
    <w:p>
      <w:pPr>
        <w:autoSpaceDE w:val="0"/>
        <w:autoSpaceDN w:val="0"/>
        <w:jc w:val="left"/>
        <w:spacing w:before="40" w:after="0" w:lineRule="exact" w:line="263"/>
        <w:ind w:right="0" w:left="419"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）选择申请代码时，尽量选择到最后一级（</w:t>
      </w:r>
      <w:r>
        <w:rPr>
          <w:rFonts w:ascii="Times New Roman" w:hAnsi="Times New Roman" w:cs="Times New Roman" w:eastAsia="Times New Roman" w:hint="ascii"/>
          <w:sz w:val="21"/>
          <w:spacing w:val="52"/>
        </w:rPr>
        <w:t>6</w:t>
      </w:r>
      <w:r>
        <w:rPr>
          <w:rFonts w:ascii="宋体" w:hAnsi="宋体" w:cs="宋体" w:eastAsia="宋体" w:hint="ascii"/>
          <w:sz w:val="21"/>
        </w:rPr>
        <w:t>位</w:t>
      </w:r>
      <w:r>
        <w:rPr>
          <w:rFonts w:ascii="宋体" w:hAnsi="宋体" w:cs="宋体" w:eastAsia="宋体" w:hint="ascii"/>
          <w:sz w:val="21"/>
          <w:spacing w:val="26"/>
        </w:rPr>
        <w:t>或</w:t>
      </w:r>
      <w:r>
        <w:rPr>
          <w:rFonts w:ascii="Times New Roman" w:hAnsi="Times New Roman" w:cs="Times New Roman" w:eastAsia="Times New Roman" w:hint="ascii"/>
          <w:sz w:val="21"/>
          <w:spacing w:val="52"/>
        </w:rPr>
        <w:t>4</w:t>
      </w:r>
      <w:r>
        <w:rPr>
          <w:rFonts w:ascii="宋体" w:hAnsi="宋体" w:cs="宋体" w:eastAsia="宋体" w:hint="ascii"/>
          <w:sz w:val="21"/>
        </w:rPr>
        <w:t>位数字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1" w:left="103"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w:t>
      </w:r>
      <w:r>
        <w:rPr>
          <w:rFonts w:ascii="宋体" w:hAnsi="宋体" w:cs="宋体" w:eastAsia="宋体" w:hint="ascii"/>
          <w:sz w:val="21"/>
        </w:rPr>
        <w:t>申请人选择的申请代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1</w:t>
      </w:r>
      <w:r>
        <w:rPr>
          <w:rFonts w:ascii="宋体" w:hAnsi="宋体" w:cs="宋体" w:eastAsia="宋体" w:hint="ascii"/>
          <w:sz w:val="21"/>
        </w:rPr>
        <w:t>是自然科学基金委确定受理部门和遴选评审专家的依据，申请代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作为补充。部分类型项目申请代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或申请代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需要选择指定的申请代码。</w:t>
      </w:r>
    </w:p>
    <w:p>
      <w:pPr>
        <w:autoSpaceDE w:val="0"/>
        <w:autoSpaceDN w:val="0"/>
        <w:jc w:val="both"/>
        <w:spacing w:before="0" w:after="0" w:lineRule="exact" w:line="312"/>
        <w:ind w:right="971" w:left="103"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6"/>
        </w:rPr>
        <w:t>3</w:t>
      </w:r>
      <w:r>
        <w:rPr>
          <w:rFonts w:ascii="宋体" w:hAnsi="宋体" w:cs="宋体" w:eastAsia="宋体" w:hint="ascii"/>
          <w:sz w:val="21"/>
          <w:spacing w:val="1"/>
        </w:rPr>
        <w:t>）重点项目、重大</w:t>
      </w:r>
      <w:r>
        <w:rPr>
          <w:rFonts w:ascii="宋体" w:hAnsi="宋体" w:cs="宋体" w:eastAsia="宋体" w:hint="ascii"/>
          <w:sz w:val="21"/>
        </w:rPr>
        <w:t>研究计划项目、联合基金项目等对申请代码填写有特殊的</w:t>
      </w:r>
      <w:r>
        <w:rPr>
          <w:rFonts w:ascii="宋体" w:hAnsi="宋体" w:cs="宋体" w:eastAsia="宋体" w:hint="ascii"/>
          <w:sz w:val="21"/>
          <w:spacing w:val="-6"/>
        </w:rPr>
        <w:t>要</w:t>
      </w:r>
      <w:r>
        <w:rPr>
          <w:rFonts w:ascii="宋体" w:hAnsi="宋体" w:cs="宋体" w:eastAsia="宋体" w:hint="ascii"/>
          <w:sz w:val="21"/>
        </w:rPr>
        <w:t>求，详见本《指南》正文相关类型项目部分。</w:t>
      </w:r>
    </w:p>
    <w:p>
      <w:pPr>
        <w:autoSpaceDE w:val="0"/>
        <w:autoSpaceDN w:val="0"/>
        <w:jc w:val="left"/>
        <w:spacing w:before="40" w:after="0" w:lineRule="exact" w:line="263"/>
        <w:ind w:right="0" w:left="419"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w:t>
      </w:r>
      <w:r>
        <w:rPr>
          <w:rFonts w:ascii="宋体" w:hAnsi="宋体" w:cs="宋体" w:eastAsia="宋体" w:hint="ascii"/>
          <w:sz w:val="21"/>
          <w:spacing w:val="3"/>
        </w:rPr>
        <w:t>进</w:t>
      </w:r>
      <w:r>
        <w:rPr>
          <w:rFonts w:ascii="宋体" w:hAnsi="宋体" w:cs="宋体" w:eastAsia="宋体" w:hint="ascii"/>
          <w:sz w:val="21"/>
          <w:spacing w:val="4"/>
        </w:rPr>
        <w:t>一</w:t>
      </w:r>
      <w:r>
        <w:rPr>
          <w:rFonts w:ascii="宋体" w:hAnsi="宋体" w:cs="宋体" w:eastAsia="宋体" w:hint="ascii"/>
          <w:sz w:val="21"/>
          <w:spacing w:val="3"/>
        </w:rPr>
        <w:t>步</w:t>
      </w:r>
      <w:r>
        <w:rPr>
          <w:rFonts w:ascii="宋体" w:hAnsi="宋体" w:cs="宋体" w:eastAsia="宋体" w:hint="ascii"/>
          <w:sz w:val="21"/>
          <w:spacing w:val="4"/>
        </w:rPr>
        <w:t>推</w:t>
      </w:r>
      <w:r>
        <w:rPr>
          <w:rFonts w:ascii="宋体" w:hAnsi="宋体" w:cs="宋体" w:eastAsia="宋体" w:hint="ascii"/>
          <w:sz w:val="21"/>
          <w:spacing w:val="3"/>
        </w:rPr>
        <w:t>进“申请</w:t>
      </w:r>
      <w:r>
        <w:rPr>
          <w:rFonts w:ascii="宋体" w:hAnsi="宋体" w:cs="宋体" w:eastAsia="宋体" w:hint="ascii"/>
          <w:sz w:val="21"/>
          <w:spacing w:val="4"/>
        </w:rPr>
        <w:t>代</w:t>
      </w:r>
      <w:r>
        <w:rPr>
          <w:rFonts w:ascii="宋体" w:hAnsi="宋体" w:cs="宋体" w:eastAsia="宋体" w:hint="ascii"/>
          <w:sz w:val="21"/>
          <w:spacing w:val="3"/>
        </w:rPr>
        <w:t>码</w:t>
      </w:r>
      <w:r>
        <w:rPr>
          <w:rFonts w:ascii="宋体" w:hAnsi="宋体" w:cs="宋体" w:eastAsia="宋体" w:hint="ascii"/>
          <w:sz w:val="21"/>
          <w:spacing w:val="-51"/>
        </w:rPr>
        <w:t>”、</w:t>
      </w:r>
      <w:r>
        <w:rPr>
          <w:rFonts w:ascii="宋体" w:hAnsi="宋体" w:cs="宋体" w:eastAsia="宋体" w:hint="ascii"/>
          <w:sz w:val="21"/>
          <w:spacing w:val="4"/>
        </w:rPr>
        <w:t>“</w:t>
      </w:r>
      <w:r>
        <w:rPr>
          <w:rFonts w:ascii="宋体" w:hAnsi="宋体" w:cs="宋体" w:eastAsia="宋体" w:hint="ascii"/>
          <w:sz w:val="21"/>
          <w:spacing w:val="3"/>
        </w:rPr>
        <w:t>研</w:t>
      </w:r>
      <w:r>
        <w:rPr>
          <w:rFonts w:ascii="宋体" w:hAnsi="宋体" w:cs="宋体" w:eastAsia="宋体" w:hint="ascii"/>
          <w:sz w:val="21"/>
          <w:spacing w:val="4"/>
        </w:rPr>
        <w:t>究</w:t>
      </w:r>
      <w:r>
        <w:rPr>
          <w:rFonts w:ascii="宋体" w:hAnsi="宋体" w:cs="宋体" w:eastAsia="宋体" w:hint="ascii"/>
          <w:sz w:val="21"/>
          <w:spacing w:val="3"/>
        </w:rPr>
        <w:t>方向”和</w:t>
      </w:r>
      <w:r>
        <w:rPr>
          <w:rFonts w:ascii="宋体" w:hAnsi="宋体" w:cs="宋体" w:eastAsia="宋体" w:hint="ascii"/>
          <w:sz w:val="21"/>
          <w:spacing w:val="4"/>
        </w:rPr>
        <w:t>“</w:t>
      </w:r>
      <w:r>
        <w:rPr>
          <w:rFonts w:ascii="宋体" w:hAnsi="宋体" w:cs="宋体" w:eastAsia="宋体" w:hint="ascii"/>
          <w:sz w:val="21"/>
          <w:spacing w:val="3"/>
        </w:rPr>
        <w:t>关键词”</w:t>
      </w:r>
      <w:r>
        <w:rPr>
          <w:rFonts w:ascii="宋体" w:hAnsi="宋体" w:cs="宋体" w:eastAsia="宋体" w:hint="ascii"/>
          <w:sz w:val="21"/>
          <w:spacing w:val="4"/>
        </w:rPr>
        <w:t>的</w:t>
      </w:r>
      <w:r>
        <w:rPr>
          <w:rFonts w:ascii="宋体" w:hAnsi="宋体" w:cs="宋体" w:eastAsia="宋体" w:hint="ascii"/>
          <w:sz w:val="21"/>
          <w:spacing w:val="3"/>
        </w:rPr>
        <w:t>规范化使</w:t>
      </w:r>
      <w:r>
        <w:rPr>
          <w:rFonts w:ascii="宋体" w:hAnsi="宋体" w:cs="宋体" w:eastAsia="宋体" w:hint="ascii"/>
          <w:sz w:val="21"/>
          <w:spacing w:val="4"/>
        </w:rPr>
        <w:t>用</w:t>
      </w:r>
      <w:r>
        <w:rPr>
          <w:rFonts w:ascii="宋体" w:hAnsi="宋体" w:cs="宋体" w:eastAsia="宋体" w:hint="ascii"/>
          <w:sz w:val="21"/>
          <w:spacing w:val="3"/>
        </w:rPr>
        <w:t>，申</w:t>
      </w:r>
      <w:r>
        <w:rPr>
          <w:rFonts w:ascii="宋体" w:hAnsi="宋体" w:cs="宋体" w:eastAsia="宋体" w:hint="ascii"/>
          <w:sz w:val="21"/>
          <w:spacing w:val="4"/>
        </w:rPr>
        <w:t>请</w:t>
      </w:r>
      <w:r>
        <w:rPr>
          <w:rFonts w:ascii="宋体" w:hAnsi="宋体" w:cs="宋体" w:eastAsia="宋体" w:hint="ascii"/>
          <w:sz w:val="21"/>
        </w:rPr>
        <w:t>人</w:t>
      </w:r>
    </w:p>
    <w:p>
      <w:pPr>
        <w:autoSpaceDE w:val="0"/>
        <w:autoSpaceDN w:val="0"/>
        <w:jc w:val="left"/>
        <w:spacing w:before="49" w:after="0" w:lineRule="exact" w:line="263"/>
        <w:ind w:right="0" w:left="103" w:firstLine="0"/>
        <w:snapToGrid w:val="0"/>
        <w:textAlignment w:val="auto"/>
        <w:tabs/>
        <w:rPr>
          <w:rFonts w:ascii="宋体" w:hAnsi="宋体" w:cs="宋体" w:eastAsia="宋体" w:hint="ascii"/>
          <w:sz w:val="21"/>
        </w:rPr>
      </w:pPr>
      <w:r>
        <w:rPr>
          <w:rFonts w:ascii="宋体" w:hAnsi="宋体" w:cs="宋体" w:eastAsia="宋体" w:hint="ascii"/>
          <w:sz w:val="21"/>
          <w:spacing w:val="7"/>
        </w:rPr>
        <w:t>在填写申请书简表时，准确选择“申请代</w:t>
      </w:r>
      <w:r>
        <w:rPr>
          <w:rFonts w:ascii="宋体" w:hAnsi="宋体" w:cs="宋体" w:eastAsia="宋体" w:hint="ascii"/>
          <w:sz w:val="21"/>
        </w:rPr>
        <w:t>码</w:t>
      </w:r>
      <w:r>
        <w:rPr>
          <w:rFonts w:ascii="宋体" w:hAnsi="宋体" w:cs="宋体" w:eastAsia="宋体" w:hint="ascii"/>
          <w:sz w:val="21"/>
          <w:spacing w:val="-18"/>
        </w:rPr>
        <w:t xml:space="preserve"> </w:t>
      </w:r>
      <w:r>
        <w:rPr>
          <w:rFonts w:ascii="Times New Roman" w:hAnsi="Times New Roman" w:cs="Times New Roman" w:eastAsia="Times New Roman" w:hint="ascii"/>
          <w:sz w:val="21"/>
          <w:spacing w:val="9"/>
        </w:rPr>
        <w:t>1</w:t>
      </w:r>
      <w:r>
        <w:rPr>
          <w:rFonts w:ascii="宋体" w:hAnsi="宋体" w:cs="宋体" w:eastAsia="宋体" w:hint="ascii"/>
          <w:sz w:val="21"/>
          <w:spacing w:val="7"/>
        </w:rPr>
        <w:t>”及其相应的“研究方向”和“关</w:t>
      </w:r>
      <w:r>
        <w:rPr>
          <w:rFonts w:ascii="宋体" w:hAnsi="宋体" w:cs="宋体" w:eastAsia="宋体" w:hint="ascii"/>
          <w:sz w:val="21"/>
        </w:rPr>
        <w:t>键</w:t>
      </w:r>
    </w:p>
    <w:p>
      <w:pPr>
        <w:autoSpaceDE w:val="0"/>
        <w:autoSpaceDN w:val="0"/>
        <w:jc w:val="left"/>
        <w:spacing w:before="274" w:after="0" w:lineRule="exact" w:line="225"/>
        <w:ind w:right="0" w:left="103" w:firstLine="0"/>
        <w:snapToGrid w:val="0"/>
        <w:textAlignment w:val="auto"/>
        <w:tabs/>
        <w:sectPr>
          <w:pgSz w:w="10940" w:h="15080" w:orient="portrait"/>
          <w:pgMar w:top="508" w:right="508" w:bottom="508" w:left="1370"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iv</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申 请 须 知</w:t>
      </w:r>
    </w:p>
    <w:p>
      <w:pPr>
        <w:autoSpaceDE w:val="0"/>
        <w:autoSpaceDN w:val="0"/>
        <w:jc w:val="left"/>
        <w:spacing w:before="29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3"/>
        </w:rPr>
        <w:t>词”内容</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46" locked="0" layoutInCell="1" allowOverlap="1">
                <wp:simplePos x="0" y="0"/>
                <wp:positionH relativeFrom="page">
                  <wp:posOffset>938530</wp:posOffset>
                </wp:positionH>
                <wp:positionV relativeFrom="page">
                  <wp:posOffset>819150</wp:posOffset>
                </wp:positionV>
                <wp:extent cx="5076190" cy="0"/>
                <wp:wrapNone/>
                <wp:docPr id="1073" name="107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11136;width:399.70pt;" id="107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）申请人如对申请代码有疑问，请向相关科学部咨询。</w:t>
      </w:r>
    </w:p>
    <w:p>
      <w:pPr>
        <w:autoSpaceDE w:val="0"/>
        <w:autoSpaceDN w:val="0"/>
        <w:jc w:val="left"/>
        <w:spacing w:before="49" w:after="0" w:lineRule="auto" w:line="240"/>
        <w:ind w:right="0" w:left="1652" w:hanging="266"/>
        <w:snapToGrid w:val="0"/>
        <w:textAlignment w:val="auto"/>
        <w:tabs>
          <w:tab w:val="left" w:leader="none" w:pos="1653"/>
        </w:tabs>
        <w:numPr>
          <w:ilvl w:val="0"/>
          <w:numId w:val="2"/>
        </w:numPr>
        <w:rPr>
          <w:rFonts w:ascii="Times New Roman" w:hAnsi="Times New Roman" w:cs="Times New Roman" w:eastAsia="Times New Roman" w:hint="ascii"/>
          <w:sz w:val="21"/>
        </w:rPr>
      </w:pPr>
      <w:r>
        <w:rPr>
          <w:rFonts w:ascii="宋体" w:hAnsi="宋体" w:cs="宋体" w:eastAsia="宋体" w:hint="ascii"/>
          <w:sz w:val="21"/>
        </w:rPr>
        <w:t>申请人和主要参与者应当本人在纸质申请书上签字（试点无纸化申请的</w:t>
      </w:r>
      <w:r>
        <w:rPr>
          <w:rFonts w:ascii="宋体" w:hAnsi="宋体" w:cs="宋体" w:eastAsia="宋体" w:hint="ascii"/>
          <w:sz w:val="21"/>
          <w:spacing w:val="3"/>
        </w:rPr>
        <w:t>项目</w:t>
      </w:r>
      <w:r>
        <w:rPr>
          <w:rFonts w:ascii="宋体" w:hAnsi="宋体" w:cs="宋体" w:eastAsia="宋体" w:hint="ascii"/>
          <w:sz w:val="21"/>
        </w:rPr>
        <w:t>类</w:t>
      </w:r>
    </w:p>
    <w:p>
      <w:pPr>
        <w:autoSpaceDE w:val="0"/>
        <w:autoSpaceDN w:val="0"/>
        <w:jc w:val="left"/>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型除外</w:t>
      </w:r>
      <w:r>
        <w:rPr>
          <w:rFonts w:ascii="宋体" w:hAnsi="宋体" w:cs="宋体" w:eastAsia="宋体" w:hint="ascii"/>
          <w:sz w:val="21"/>
          <w:spacing w:val="-52"/>
        </w:rPr>
        <w:t>）</w:t>
      </w:r>
      <w:r>
        <w:rPr>
          <w:rFonts w:ascii="宋体" w:hAnsi="宋体" w:cs="宋体" w:eastAsia="宋体" w:hint="ascii"/>
          <w:sz w:val="21"/>
        </w:rPr>
        <w:t>。主要参与者中如有申请人所在依托单位以外的人员（包括研究生</w:t>
      </w:r>
      <w:r>
        <w:rPr>
          <w:rFonts w:ascii="宋体" w:hAnsi="宋体" w:cs="宋体" w:eastAsia="宋体" w:hint="ascii"/>
          <w:sz w:val="21"/>
          <w:spacing w:val="-52"/>
        </w:rPr>
        <w:t>）</w:t>
      </w:r>
      <w:r>
        <w:rPr>
          <w:rFonts w:ascii="宋体" w:hAnsi="宋体" w:cs="宋体" w:eastAsia="宋体" w:hint="ascii"/>
          <w:sz w:val="21"/>
        </w:rPr>
        <w:t>，其所在单位即被视为合作研究单位，应当在申请书基本信息表中填写合作研究单位信息并在签字盖章页上加盖合作研究单位公章，填写的单位名称应当与公章一致。已经在自然科学基金委注册的合作研究单位，应当加盖依托单位公章；没有注册的合作研究单位，应当加盖该法人单位公章（试点无纸化申请的项目类型除外</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主要参与者中的境外人员被视为以个人身份参与项目申请，其境外工作单位不作为</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合作研究单</w:t>
      </w:r>
      <w:r>
        <w:rPr>
          <w:rFonts w:ascii="宋体" w:hAnsi="宋体" w:cs="宋体" w:eastAsia="宋体" w:hint="ascii"/>
          <w:sz w:val="21"/>
        </w:rPr>
        <w:t>位。如本人未能在纸质申请书上签字，则应通过信件、传真等方式发送本人</w:t>
      </w:r>
      <w:r>
        <w:rPr>
          <w:rFonts w:ascii="宋体" w:hAnsi="宋体" w:cs="宋体" w:eastAsia="宋体" w:hint="ascii"/>
          <w:sz w:val="21"/>
          <w:spacing w:val="-1"/>
        </w:rPr>
        <w:t>签字的纸质</w:t>
      </w:r>
      <w:r>
        <w:rPr>
          <w:rFonts w:ascii="宋体" w:hAnsi="宋体" w:cs="宋体" w:eastAsia="宋体" w:hint="ascii"/>
          <w:sz w:val="21"/>
        </w:rPr>
        <w:t>文件，说明本人同意参与该项目申请且履行相关职责，作为附件随申请书一并报送（试点无纸化申请的项目类型除外</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每个申请项目的合作研究单位不得超</w:t>
      </w:r>
      <w:r>
        <w:rPr>
          <w:rFonts w:ascii="宋体" w:hAnsi="宋体" w:cs="宋体" w:eastAsia="宋体" w:hint="ascii"/>
          <w:sz w:val="21"/>
          <w:spacing w:val="26"/>
        </w:rPr>
        <w:t>过</w:t>
      </w:r>
      <w:r>
        <w:rPr>
          <w:rFonts w:ascii="Times New Roman" w:hAnsi="Times New Roman" w:cs="Times New Roman" w:eastAsia="Times New Roman" w:hint="ascii"/>
          <w:b w:val="1"/>
          <w:sz w:val="21"/>
          <w:spacing w:val="52"/>
        </w:rPr>
        <w:t>2</w:t>
      </w:r>
      <w:r>
        <w:rPr>
          <w:rFonts w:ascii="宋体" w:hAnsi="宋体" w:cs="宋体" w:eastAsia="宋体" w:hint="ascii"/>
          <w:sz w:val="21"/>
        </w:rPr>
        <w:t>个（特殊说明的除外</w:t>
      </w:r>
      <w:r>
        <w:rPr>
          <w:rFonts w:ascii="宋体" w:hAnsi="宋体" w:cs="宋体" w:eastAsia="宋体" w:hint="ascii"/>
          <w:sz w:val="21"/>
          <w:spacing w:val="-52"/>
        </w:rPr>
        <w:t>）</w:t>
      </w:r>
      <w:r>
        <w:rPr>
          <w:rFonts w:ascii="宋体" w:hAnsi="宋体" w:cs="宋体" w:eastAsia="宋体" w:hint="ascii"/>
          <w:b w:val="1"/>
          <w:sz w:val="21"/>
        </w:rPr>
        <w:t>。</w:t>
      </w:r>
    </w:p>
    <w:p>
      <w:pPr>
        <w:autoSpaceDE w:val="0"/>
        <w:autoSpaceDN w:val="0"/>
        <w:jc w:val="left"/>
        <w:spacing w:before="49" w:after="0" w:lineRule="auto" w:line="240"/>
        <w:ind w:right="0" w:left="1652" w:hanging="266"/>
        <w:snapToGrid w:val="0"/>
        <w:textAlignment w:val="auto"/>
        <w:tabs>
          <w:tab w:val="left" w:leader="none" w:pos="1652"/>
        </w:tabs>
        <w:numPr>
          <w:ilvl w:val="0"/>
          <w:numId w:val="2"/>
        </w:numPr>
        <w:rPr>
          <w:rFonts w:ascii="Times New Roman" w:hAnsi="Times New Roman" w:cs="Times New Roman" w:eastAsia="Times New Roman" w:hint="ascii"/>
          <w:sz w:val="21"/>
        </w:rPr>
      </w:pPr>
      <w:r>
        <w:rPr>
          <w:rFonts w:ascii="Times New Roman" w:hAnsi="Times New Roman" w:cs="Times New Roman" w:eastAsia="Times New Roman" w:hint="ascii"/>
          <w:b w:val="1"/>
          <w:sz w:val="21"/>
          <w:spacing w:val="-3"/>
        </w:rPr>
        <w:t>201</w:t>
      </w:r>
      <w:r>
        <w:rPr>
          <w:rFonts w:ascii="Times New Roman" w:hAnsi="Times New Roman" w:cs="Times New Roman" w:eastAsia="Times New Roman" w:hint="ascii"/>
          <w:b w:val="1"/>
          <w:sz w:val="21"/>
          <w:spacing w:val="50"/>
        </w:rPr>
        <w:t>8</w:t>
      </w:r>
      <w:r>
        <w:rPr>
          <w:rFonts w:ascii="宋体" w:hAnsi="宋体" w:cs="宋体" w:eastAsia="宋体" w:hint="ascii"/>
          <w:sz w:val="21"/>
          <w:spacing w:val="-1"/>
        </w:rPr>
        <w:t>年</w:t>
      </w:r>
      <w:r>
        <w:rPr>
          <w:rFonts w:ascii="宋体" w:hAnsi="宋体" w:cs="宋体" w:eastAsia="宋体" w:hint="ascii"/>
          <w:sz w:val="21"/>
          <w:spacing w:val="-2"/>
        </w:rPr>
        <w:t>对</w:t>
      </w:r>
      <w:r>
        <w:rPr>
          <w:rFonts w:ascii="宋体" w:hAnsi="宋体" w:cs="宋体" w:eastAsia="宋体" w:hint="ascii"/>
          <w:sz w:val="21"/>
          <w:spacing w:val="-1"/>
        </w:rPr>
        <w:t>重点项</w:t>
      </w:r>
      <w:r>
        <w:rPr>
          <w:rFonts w:ascii="宋体" w:hAnsi="宋体" w:cs="宋体" w:eastAsia="宋体" w:hint="ascii"/>
          <w:sz w:val="21"/>
          <w:spacing w:val="-2"/>
        </w:rPr>
        <w:t>目和</w:t>
      </w:r>
      <w:r>
        <w:rPr>
          <w:rFonts w:ascii="宋体" w:hAnsi="宋体" w:cs="宋体" w:eastAsia="宋体" w:hint="ascii"/>
          <w:sz w:val="21"/>
          <w:spacing w:val="-1"/>
        </w:rPr>
        <w:t>优秀青</w:t>
      </w:r>
      <w:r>
        <w:rPr>
          <w:rFonts w:ascii="宋体" w:hAnsi="宋体" w:cs="宋体" w:eastAsia="宋体" w:hint="ascii"/>
          <w:sz w:val="21"/>
          <w:spacing w:val="-2"/>
        </w:rPr>
        <w:t>年科</w:t>
      </w:r>
      <w:r>
        <w:rPr>
          <w:rFonts w:ascii="宋体" w:hAnsi="宋体" w:cs="宋体" w:eastAsia="宋体" w:hint="ascii"/>
          <w:sz w:val="21"/>
          <w:spacing w:val="-1"/>
        </w:rPr>
        <w:t>学基金</w:t>
      </w:r>
      <w:r>
        <w:rPr>
          <w:rFonts w:ascii="宋体" w:hAnsi="宋体" w:cs="宋体" w:eastAsia="宋体" w:hint="ascii"/>
          <w:sz w:val="21"/>
          <w:spacing w:val="-2"/>
        </w:rPr>
        <w:t>项目</w:t>
      </w:r>
      <w:r>
        <w:rPr>
          <w:rFonts w:ascii="宋体" w:hAnsi="宋体" w:cs="宋体" w:eastAsia="宋体" w:hint="ascii"/>
          <w:sz w:val="21"/>
          <w:spacing w:val="-1"/>
        </w:rPr>
        <w:t>开展无</w:t>
      </w:r>
      <w:r>
        <w:rPr>
          <w:rFonts w:ascii="宋体" w:hAnsi="宋体" w:cs="宋体" w:eastAsia="宋体" w:hint="ascii"/>
          <w:sz w:val="21"/>
          <w:spacing w:val="-2"/>
        </w:rPr>
        <w:t>纸化</w:t>
      </w:r>
      <w:r>
        <w:rPr>
          <w:rFonts w:ascii="宋体" w:hAnsi="宋体" w:cs="宋体" w:eastAsia="宋体" w:hint="ascii"/>
          <w:sz w:val="21"/>
          <w:spacing w:val="-1"/>
        </w:rPr>
        <w:t>申请试</w:t>
      </w:r>
      <w:r>
        <w:rPr>
          <w:rFonts w:ascii="宋体" w:hAnsi="宋体" w:cs="宋体" w:eastAsia="宋体" w:hint="ascii"/>
          <w:sz w:val="21"/>
          <w:spacing w:val="-2"/>
        </w:rPr>
        <w:t>点</w:t>
      </w:r>
      <w:r>
        <w:rPr>
          <w:rFonts w:ascii="宋体" w:hAnsi="宋体" w:cs="宋体" w:eastAsia="宋体" w:hint="ascii"/>
          <w:b w:val="1"/>
          <w:sz w:val="21"/>
          <w:spacing w:val="-1"/>
        </w:rPr>
        <w:t>。</w:t>
      </w:r>
      <w:r>
        <w:rPr>
          <w:rFonts w:ascii="宋体" w:hAnsi="宋体" w:cs="宋体" w:eastAsia="宋体" w:hint="ascii"/>
          <w:sz w:val="21"/>
          <w:spacing w:val="-1"/>
        </w:rPr>
        <w:t>申请时</w:t>
      </w:r>
      <w:r>
        <w:rPr>
          <w:rFonts w:ascii="宋体" w:hAnsi="宋体" w:cs="宋体" w:eastAsia="宋体" w:hint="ascii"/>
          <w:sz w:val="21"/>
          <w:spacing w:val="-2"/>
        </w:rPr>
        <w:t>依托</w:t>
      </w:r>
      <w:r>
        <w:rPr>
          <w:rFonts w:ascii="宋体" w:hAnsi="宋体" w:cs="宋体" w:eastAsia="宋体" w:hint="ascii"/>
          <w:sz w:val="21"/>
        </w:rPr>
        <w:t>单</w:t>
      </w:r>
    </w:p>
    <w:p>
      <w:pPr>
        <w:autoSpaceDE w:val="0"/>
        <w:autoSpaceDN w:val="0"/>
        <w:jc w:val="both"/>
        <w:spacing w:before="17" w:after="0" w:lineRule="exact" w:line="312"/>
        <w:ind w:right="962" w:left="966" w:firstLine="0"/>
        <w:snapToGrid w:val="0"/>
        <w:textAlignment w:val="auto"/>
        <w:tabs/>
        <w:rPr>
          <w:rFonts w:ascii="宋体" w:hAnsi="宋体" w:cs="宋体" w:eastAsia="宋体" w:hint="ascii"/>
          <w:b w:val="1"/>
          <w:sz w:val="21"/>
        </w:rPr>
      </w:pPr>
      <w:r>
        <w:rPr>
          <w:rFonts w:ascii="宋体" w:hAnsi="宋体" w:cs="宋体" w:eastAsia="宋体" w:hint="ascii"/>
          <w:sz w:val="21"/>
          <w:spacing w:val="-4"/>
        </w:rPr>
        <w:t>位只</w:t>
      </w:r>
      <w:r>
        <w:rPr>
          <w:rFonts w:ascii="宋体" w:hAnsi="宋体" w:cs="宋体" w:eastAsia="宋体" w:hint="ascii"/>
          <w:sz w:val="21"/>
          <w:spacing w:val="-5"/>
        </w:rPr>
        <w:t>需</w:t>
      </w:r>
      <w:r>
        <w:rPr>
          <w:rFonts w:ascii="宋体" w:hAnsi="宋体" w:cs="宋体" w:eastAsia="宋体" w:hint="ascii"/>
          <w:sz w:val="21"/>
          <w:spacing w:val="-4"/>
        </w:rPr>
        <w:t>在</w:t>
      </w:r>
      <w:r>
        <w:rPr>
          <w:rFonts w:ascii="宋体" w:hAnsi="宋体" w:cs="宋体" w:eastAsia="宋体" w:hint="ascii"/>
          <w:sz w:val="21"/>
          <w:spacing w:val="-5"/>
        </w:rPr>
        <w:t>线确</w:t>
      </w:r>
      <w:r>
        <w:rPr>
          <w:rFonts w:ascii="宋体" w:hAnsi="宋体" w:cs="宋体" w:eastAsia="宋体" w:hint="ascii"/>
          <w:sz w:val="21"/>
          <w:spacing w:val="-4"/>
        </w:rPr>
        <w:t>认电</w:t>
      </w:r>
      <w:r>
        <w:rPr>
          <w:rFonts w:ascii="宋体" w:hAnsi="宋体" w:cs="宋体" w:eastAsia="宋体" w:hint="ascii"/>
          <w:sz w:val="21"/>
          <w:spacing w:val="-5"/>
        </w:rPr>
        <w:t>子</w:t>
      </w:r>
      <w:r>
        <w:rPr>
          <w:rFonts w:ascii="宋体" w:hAnsi="宋体" w:cs="宋体" w:eastAsia="宋体" w:hint="ascii"/>
          <w:sz w:val="21"/>
          <w:spacing w:val="-4"/>
        </w:rPr>
        <w:t>申</w:t>
      </w:r>
      <w:r>
        <w:rPr>
          <w:rFonts w:ascii="宋体" w:hAnsi="宋体" w:cs="宋体" w:eastAsia="宋体" w:hint="ascii"/>
          <w:sz w:val="21"/>
          <w:spacing w:val="-5"/>
        </w:rPr>
        <w:t>请书</w:t>
      </w:r>
      <w:r>
        <w:rPr>
          <w:rFonts w:ascii="宋体" w:hAnsi="宋体" w:cs="宋体" w:eastAsia="宋体" w:hint="ascii"/>
          <w:sz w:val="21"/>
          <w:spacing w:val="-4"/>
        </w:rPr>
        <w:t>及附</w:t>
      </w:r>
      <w:r>
        <w:rPr>
          <w:rFonts w:ascii="宋体" w:hAnsi="宋体" w:cs="宋体" w:eastAsia="宋体" w:hint="ascii"/>
          <w:sz w:val="21"/>
          <w:spacing w:val="-5"/>
        </w:rPr>
        <w:t>件</w:t>
      </w:r>
      <w:r>
        <w:rPr>
          <w:rFonts w:ascii="宋体" w:hAnsi="宋体" w:cs="宋体" w:eastAsia="宋体" w:hint="ascii"/>
          <w:sz w:val="21"/>
          <w:spacing w:val="-4"/>
        </w:rPr>
        <w:t>材</w:t>
      </w:r>
      <w:r>
        <w:rPr>
          <w:rFonts w:ascii="宋体" w:hAnsi="宋体" w:cs="宋体" w:eastAsia="宋体" w:hint="ascii"/>
          <w:sz w:val="21"/>
          <w:spacing w:val="-5"/>
        </w:rPr>
        <w:t>料</w:t>
      </w:r>
      <w:r>
        <w:rPr>
          <w:rFonts w:ascii="宋体" w:hAnsi="宋体" w:cs="宋体" w:eastAsia="宋体" w:hint="ascii"/>
          <w:b w:val="1"/>
          <w:sz w:val="21"/>
          <w:spacing w:val="-4"/>
        </w:rPr>
        <w:t>。</w:t>
      </w:r>
      <w:r>
        <w:rPr>
          <w:rFonts w:ascii="宋体" w:hAnsi="宋体" w:cs="宋体" w:eastAsia="宋体" w:hint="ascii"/>
          <w:sz w:val="21"/>
          <w:spacing w:val="-5"/>
        </w:rPr>
        <w:t>项</w:t>
      </w:r>
      <w:r>
        <w:rPr>
          <w:rFonts w:ascii="宋体" w:hAnsi="宋体" w:cs="宋体" w:eastAsia="宋体" w:hint="ascii"/>
          <w:sz w:val="21"/>
          <w:spacing w:val="-4"/>
        </w:rPr>
        <w:t>目</w:t>
      </w:r>
      <w:r>
        <w:rPr>
          <w:rFonts w:ascii="宋体" w:hAnsi="宋体" w:cs="宋体" w:eastAsia="宋体" w:hint="ascii"/>
          <w:sz w:val="21"/>
          <w:spacing w:val="-5"/>
        </w:rPr>
        <w:t>获批</w:t>
      </w:r>
      <w:r>
        <w:rPr>
          <w:rFonts w:ascii="宋体" w:hAnsi="宋体" w:cs="宋体" w:eastAsia="宋体" w:hint="ascii"/>
          <w:sz w:val="21"/>
          <w:spacing w:val="-4"/>
        </w:rPr>
        <w:t>准</w:t>
      </w:r>
      <w:r>
        <w:rPr>
          <w:rFonts w:ascii="宋体" w:hAnsi="宋体" w:cs="宋体" w:eastAsia="宋体" w:hint="ascii"/>
          <w:sz w:val="21"/>
          <w:spacing w:val="-3"/>
        </w:rPr>
        <w:t>后</w:t>
      </w:r>
      <w:r>
        <w:rPr>
          <w:rFonts w:ascii="宋体" w:hAnsi="宋体" w:cs="宋体" w:eastAsia="宋体" w:hint="ascii"/>
          <w:sz w:val="21"/>
          <w:spacing w:val="-4"/>
        </w:rPr>
        <w:t>，</w:t>
      </w:r>
      <w:r>
        <w:rPr>
          <w:rFonts w:ascii="宋体" w:hAnsi="宋体" w:cs="宋体" w:eastAsia="宋体" w:hint="ascii"/>
          <w:sz w:val="21"/>
          <w:spacing w:val="-3"/>
        </w:rPr>
        <w:t>在</w:t>
      </w:r>
      <w:r>
        <w:rPr>
          <w:rFonts w:ascii="宋体" w:hAnsi="宋体" w:cs="宋体" w:eastAsia="宋体" w:hint="ascii"/>
          <w:sz w:val="21"/>
          <w:spacing w:val="-4"/>
        </w:rPr>
        <w:t>提交</w:t>
      </w:r>
      <w:r>
        <w:rPr>
          <w:rFonts w:ascii="宋体" w:hAnsi="宋体" w:cs="宋体" w:eastAsia="宋体" w:hint="ascii"/>
          <w:sz w:val="21"/>
          <w:spacing w:val="-3"/>
        </w:rPr>
        <w:t>《资</w:t>
      </w:r>
      <w:r>
        <w:rPr>
          <w:rFonts w:ascii="宋体" w:hAnsi="宋体" w:cs="宋体" w:eastAsia="宋体" w:hint="ascii"/>
          <w:sz w:val="21"/>
          <w:spacing w:val="-4"/>
        </w:rPr>
        <w:t>助</w:t>
      </w:r>
      <w:r>
        <w:rPr>
          <w:rFonts w:ascii="宋体" w:hAnsi="宋体" w:cs="宋体" w:eastAsia="宋体" w:hint="ascii"/>
          <w:sz w:val="21"/>
          <w:spacing w:val="-3"/>
        </w:rPr>
        <w:t>项</w:t>
      </w:r>
      <w:r>
        <w:rPr>
          <w:rFonts w:ascii="宋体" w:hAnsi="宋体" w:cs="宋体" w:eastAsia="宋体" w:hint="ascii"/>
          <w:sz w:val="21"/>
          <w:spacing w:val="-4"/>
        </w:rPr>
        <w:t>目计</w:t>
      </w:r>
      <w:r>
        <w:rPr>
          <w:rFonts w:ascii="宋体" w:hAnsi="宋体" w:cs="宋体" w:eastAsia="宋体" w:hint="ascii"/>
          <w:sz w:val="21"/>
          <w:spacing w:val="-3"/>
        </w:rPr>
        <w:t>划书</w:t>
      </w:r>
      <w:r>
        <w:rPr>
          <w:rFonts w:ascii="宋体" w:hAnsi="宋体" w:cs="宋体" w:eastAsia="宋体" w:hint="ascii"/>
          <w:sz w:val="21"/>
          <w:spacing w:val="-4"/>
        </w:rPr>
        <w:t>》</w:t>
      </w:r>
      <w:r>
        <w:rPr>
          <w:rFonts w:ascii="宋体" w:hAnsi="宋体" w:cs="宋体" w:eastAsia="宋体" w:hint="ascii"/>
          <w:sz w:val="21"/>
          <w:spacing w:val="-3"/>
        </w:rPr>
        <w:t>时</w:t>
      </w:r>
      <w:r>
        <w:rPr>
          <w:rFonts w:ascii="宋体" w:hAnsi="宋体" w:cs="宋体" w:eastAsia="宋体" w:hint="ascii"/>
          <w:sz w:val="21"/>
          <w:spacing w:val="-1"/>
        </w:rPr>
        <w:t>补</w:t>
      </w:r>
      <w:r>
        <w:rPr>
          <w:rFonts w:ascii="宋体" w:hAnsi="宋体" w:cs="宋体" w:eastAsia="宋体" w:hint="ascii"/>
          <w:sz w:val="21"/>
        </w:rPr>
        <w:t xml:space="preserve"> </w:t>
      </w:r>
      <w:r>
        <w:rPr>
          <w:rFonts w:ascii="宋体" w:hAnsi="宋体" w:cs="宋体" w:eastAsia="宋体" w:hint="ascii"/>
          <w:sz w:val="21"/>
          <w:spacing w:val="-3"/>
        </w:rPr>
        <w:t>交申请书的纸质签字盖章页，其签字盖章的信息应与电子申请书保持一致</w:t>
      </w:r>
      <w:r>
        <w:rPr>
          <w:rFonts w:ascii="宋体" w:hAnsi="宋体" w:cs="宋体" w:eastAsia="宋体" w:hint="ascii"/>
          <w:b w:val="1"/>
          <w:sz w:val="21"/>
        </w:rPr>
        <w:t>。</w:t>
      </w:r>
    </w:p>
    <w:p>
      <w:pPr>
        <w:autoSpaceDE w:val="0"/>
        <w:autoSpaceDN w:val="0"/>
        <w:jc w:val="both"/>
        <w:spacing w:before="0" w:after="0" w:lineRule="exact" w:line="312"/>
        <w:ind w:right="962" w:left="966" w:firstLine="420"/>
        <w:snapToGrid w:val="0"/>
        <w:textAlignment w:val="auto"/>
        <w:tabs>
          <w:tab w:val="left" w:leader="none" w:pos="1653"/>
        </w:tabs>
        <w:numPr>
          <w:ilvl w:val="0"/>
          <w:numId w:val="2"/>
        </w:numPr>
        <w:rPr>
          <w:rFonts w:ascii="Times New Roman" w:hAnsi="Times New Roman" w:cs="Times New Roman" w:eastAsia="Times New Roman" w:hint="ascii"/>
          <w:sz w:val="21"/>
        </w:rPr>
      </w:pPr>
      <w:r>
        <w:rPr>
          <w:rFonts w:ascii="宋体" w:hAnsi="宋体" w:cs="宋体" w:eastAsia="宋体" w:hint="ascii"/>
          <w:sz w:val="21"/>
        </w:rPr>
        <w:t>具有高级专业技术职务（职称）的申请人或者主要参与者的单位有下列情况之 一的，应当在申请书中详细注明：</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）同年申请或者参与申请各类科学基金项目的单位不一致的；</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）与正在承担的各类科学基金项目的单位不一致的。</w:t>
      </w:r>
    </w:p>
    <w:p>
      <w:pPr>
        <w:autoSpaceDE w:val="0"/>
        <w:autoSpaceDN w:val="0"/>
        <w:jc w:val="left"/>
        <w:spacing w:before="49" w:after="0" w:lineRule="auto" w:line="240"/>
        <w:ind w:right="0" w:left="1652" w:hanging="266"/>
        <w:snapToGrid w:val="0"/>
        <w:textAlignment w:val="auto"/>
        <w:tabs>
          <w:tab w:val="left" w:leader="none" w:pos="1653"/>
        </w:tabs>
        <w:numPr>
          <w:ilvl w:val="0"/>
          <w:numId w:val="2"/>
        </w:numPr>
        <w:rPr>
          <w:rFonts w:ascii="Times New Roman" w:hAnsi="Times New Roman" w:cs="Times New Roman" w:eastAsia="Times New Roman" w:hint="ascii"/>
          <w:sz w:val="21"/>
        </w:rPr>
      </w:pPr>
      <w:r>
        <w:rPr>
          <w:rFonts w:ascii="宋体" w:hAnsi="宋体" w:cs="宋体" w:eastAsia="宋体" w:hint="ascii"/>
          <w:sz w:val="21"/>
        </w:rPr>
        <w:t>申请人申请科学基金项目的相关研究内容已获得其他渠道或项目资助的</w:t>
      </w:r>
      <w:r>
        <w:rPr>
          <w:rFonts w:ascii="宋体" w:hAnsi="宋体" w:cs="宋体" w:eastAsia="宋体" w:hint="ascii"/>
          <w:sz w:val="21"/>
          <w:spacing w:val="3"/>
        </w:rPr>
        <w:t>，请</w:t>
      </w:r>
      <w:r>
        <w:rPr>
          <w:rFonts w:ascii="宋体" w:hAnsi="宋体" w:cs="宋体" w:eastAsia="宋体" w:hint="ascii"/>
          <w:sz w:val="21"/>
        </w:rPr>
        <w:t>务</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必在申请书</w:t>
      </w:r>
      <w:r>
        <w:rPr>
          <w:rFonts w:ascii="宋体" w:hAnsi="宋体" w:cs="宋体" w:eastAsia="宋体" w:hint="ascii"/>
          <w:sz w:val="21"/>
        </w:rPr>
        <w:t>中说明受资助情况以及与申请项目的区别与联系，注意避免同一研究内容在不同资助机构申请的情况。</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申请人同年申</w:t>
      </w:r>
      <w:r>
        <w:rPr>
          <w:rFonts w:ascii="宋体" w:hAnsi="宋体" w:cs="宋体" w:eastAsia="宋体" w:hint="ascii"/>
          <w:sz w:val="21"/>
        </w:rPr>
        <w:t>请不同类型的科学基金项目时，应在申请书中列明同年申请的其他项目的项目类型、项目名称信息，并说明申请项目之间的区别与联系。</w:t>
      </w:r>
    </w:p>
    <w:p>
      <w:pPr>
        <w:autoSpaceDE w:val="0"/>
        <w:autoSpaceDN w:val="0"/>
        <w:jc w:val="left"/>
        <w:spacing w:before="40" w:after="0" w:lineRule="auto" w:line="240"/>
        <w:ind w:right="0" w:left="1652" w:hanging="266"/>
        <w:snapToGrid w:val="0"/>
        <w:textAlignment w:val="auto"/>
        <w:tabs>
          <w:tab w:val="left" w:leader="none" w:pos="1650"/>
        </w:tabs>
        <w:numPr>
          <w:ilvl w:val="0"/>
          <w:numId w:val="2"/>
        </w:numPr>
        <w:rPr>
          <w:rFonts w:ascii="Times New Roman" w:hAnsi="Times New Roman" w:cs="Times New Roman" w:eastAsia="Times New Roman" w:hint="ascii"/>
          <w:sz w:val="21"/>
        </w:rPr>
      </w:pPr>
      <w:r>
        <w:rPr>
          <w:rFonts w:ascii="宋体" w:hAnsi="宋体" w:cs="宋体" w:eastAsia="宋体" w:hint="ascii"/>
          <w:sz w:val="21"/>
        </w:rPr>
        <w:t>申请书中的起始时间一律填写</w:t>
      </w:r>
      <w:r>
        <w:rPr>
          <w:rFonts w:ascii="宋体" w:hAnsi="宋体" w:cs="宋体" w:eastAsia="宋体" w:hint="ascii"/>
          <w:sz w:val="21"/>
          <w:spacing w:val="-25"/>
        </w:rPr>
        <w:t xml:space="preserve"> </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4"/>
        </w:rPr>
        <w:t>9</w:t>
      </w:r>
      <w:r>
        <w:rPr>
          <w:rFonts w:ascii="宋体" w:hAnsi="宋体" w:cs="宋体" w:eastAsia="宋体" w:hint="ascii"/>
          <w:sz w:val="21"/>
          <w:spacing w:val="27"/>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27"/>
        </w:rPr>
        <w:t>月</w:t>
      </w:r>
      <w:r>
        <w:rPr>
          <w:rFonts w:ascii="Times New Roman" w:hAnsi="Times New Roman" w:cs="Times New Roman" w:eastAsia="Times New Roman" w:hint="ascii"/>
          <w:sz w:val="21"/>
          <w:spacing w:val="53"/>
        </w:rPr>
        <w:t>1</w:t>
      </w:r>
      <w:r>
        <w:rPr>
          <w:rFonts w:ascii="宋体" w:hAnsi="宋体" w:cs="宋体" w:eastAsia="宋体" w:hint="ascii"/>
          <w:sz w:val="21"/>
        </w:rPr>
        <w:t>日。终止时间按照各类型项目资助</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期限的要求填写</w:t>
      </w:r>
      <w:r>
        <w:rPr>
          <w:rFonts w:ascii="宋体" w:hAnsi="宋体" w:cs="宋体" w:eastAsia="宋体" w:hint="ascii"/>
          <w:sz w:val="21"/>
          <w:spacing w:val="-26"/>
        </w:rPr>
        <w:t xml:space="preserve"> </w:t>
      </w:r>
      <w:r>
        <w:rPr>
          <w:rFonts w:ascii="Times New Roman" w:hAnsi="Times New Roman" w:cs="Times New Roman" w:eastAsia="Times New Roman" w:hint="ascii"/>
          <w:sz w:val="21"/>
        </w:rPr>
        <w:t>20</w:t>
      </w:r>
      <w:r>
        <w:rPr>
          <w:rFonts w:ascii="宋体" w:hAnsi="宋体" w:cs="宋体" w:eastAsia="宋体" w:hint="ascii"/>
          <w:sz w:val="21"/>
        </w:rPr>
        <w:t>××</w:t>
      </w:r>
      <w:r>
        <w:rPr>
          <w:rFonts w:ascii="宋体" w:hAnsi="宋体" w:cs="宋体" w:eastAsia="宋体" w:hint="ascii"/>
          <w:sz w:val="21"/>
          <w:spacing w:val="26"/>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3"/>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3"/>
        </w:rPr>
        <w:t>1</w:t>
      </w:r>
      <w:r>
        <w:rPr>
          <w:rFonts w:ascii="宋体" w:hAnsi="宋体" w:cs="宋体" w:eastAsia="宋体" w:hint="ascii"/>
          <w:sz w:val="21"/>
        </w:rPr>
        <w:t>日（本《指南》特殊说明的除外</w:t>
      </w:r>
      <w:r>
        <w:rPr>
          <w:rFonts w:ascii="宋体" w:hAnsi="宋体" w:cs="宋体" w:eastAsia="宋体" w:hint="ascii"/>
          <w:sz w:val="21"/>
          <w:spacing w:val="-53"/>
        </w:rPr>
        <w:t>）</w:t>
      </w:r>
      <w:r>
        <w:rPr>
          <w:rFonts w:ascii="宋体" w:hAnsi="宋体" w:cs="宋体" w:eastAsia="宋体" w:hint="ascii"/>
          <w:sz w:val="21"/>
        </w:rPr>
        <w:t>。在站博士后研究</w:t>
      </w:r>
      <w:r>
        <w:rPr>
          <w:rFonts w:ascii="宋体" w:hAnsi="宋体" w:cs="宋体" w:eastAsia="宋体" w:hint="ascii"/>
          <w:sz w:val="21"/>
          <w:spacing w:val="-1"/>
        </w:rPr>
        <w:t>人员作为申</w:t>
      </w:r>
      <w:r>
        <w:rPr>
          <w:rFonts w:ascii="宋体" w:hAnsi="宋体" w:cs="宋体" w:eastAsia="宋体" w:hint="ascii"/>
          <w:sz w:val="21"/>
        </w:rPr>
        <w:t>请人申请相关类型项目，应当按照依托单位的书面承诺，填写到所申请项目终止年</w:t>
      </w:r>
      <w:r>
        <w:rPr>
          <w:rFonts w:ascii="宋体" w:hAnsi="宋体" w:cs="宋体" w:eastAsia="宋体" w:hint="ascii"/>
          <w:sz w:val="21"/>
          <w:spacing w:val="26"/>
        </w:rPr>
        <w:t>的</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1"/>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1"/>
        </w:rPr>
        <w:t>1</w:t>
      </w:r>
      <w:r>
        <w:rPr>
          <w:rFonts w:ascii="宋体" w:hAnsi="宋体" w:cs="宋体" w:eastAsia="宋体" w:hint="ascii"/>
          <w:sz w:val="21"/>
        </w:rPr>
        <w:t>日。</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10</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1"/>
        </w:rPr>
        <w:t xml:space="preserve"> </w:t>
      </w:r>
      <w:r>
        <w:rPr>
          <w:rFonts w:ascii="宋体" w:hAnsi="宋体" w:cs="宋体" w:eastAsia="宋体" w:hint="ascii"/>
          <w:sz w:val="21"/>
        </w:rPr>
        <w:t>申请人及主要参与者均应当使用唯一身份证件申请项目。</w:t>
      </w:r>
    </w:p>
    <w:p>
      <w:pPr>
        <w:autoSpaceDE w:val="0"/>
        <w:autoSpaceDN w:val="0"/>
        <w:jc w:val="both"/>
        <w:spacing w:before="1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申请人在填写</w:t>
      </w:r>
      <w:r>
        <w:rPr>
          <w:rFonts w:ascii="宋体" w:hAnsi="宋体" w:cs="宋体" w:eastAsia="宋体" w:hint="ascii"/>
          <w:sz w:val="21"/>
        </w:rPr>
        <w:t>本人及主要参与者姓名时，姓名应与使用的身份证件一致；姓名中的字符应规范。</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曾经使用其他</w:t>
      </w:r>
      <w:r>
        <w:rPr>
          <w:rFonts w:ascii="宋体" w:hAnsi="宋体" w:cs="宋体" w:eastAsia="宋体" w:hint="ascii"/>
          <w:sz w:val="21"/>
        </w:rPr>
        <w:t>身份证件作为申请人或主要参与者获得过项目资助的，应当在申请书相关栏目中说明，依托单位负有审核责任。</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三、关于依托单位的职责</w:t>
      </w:r>
    </w:p>
    <w:p>
      <w:pPr>
        <w:autoSpaceDE w:val="0"/>
        <w:autoSpaceDN w:val="0"/>
        <w:jc w:val="left"/>
        <w:spacing w:before="49" w:after="0" w:lineRule="auto" w:line="240"/>
        <w:ind w:right="0" w:left="966" w:firstLine="420"/>
        <w:snapToGrid w:val="0"/>
        <w:textAlignment w:val="auto"/>
        <w:tabs>
          <w:tab w:val="left" w:leader="none" w:pos="1650"/>
        </w:tabs>
        <w:numPr>
          <w:ilvl w:val="0"/>
          <w:numId w:val="3"/>
        </w:numPr>
        <w:rPr>
          <w:rFonts w:ascii="Times New Roman" w:hAnsi="Times New Roman" w:cs="Times New Roman" w:eastAsia="Times New Roman" w:hint="ascii"/>
          <w:sz w:val="21"/>
        </w:rPr>
      </w:pPr>
      <w:r>
        <w:rPr>
          <w:rFonts w:ascii="宋体" w:hAnsi="宋体" w:cs="宋体" w:eastAsia="宋体" w:hint="ascii"/>
          <w:sz w:val="21"/>
        </w:rPr>
        <w:t>依托单位应当严格按照《条例</w:t>
      </w:r>
      <w:r>
        <w:rPr>
          <w:rFonts w:ascii="宋体" w:hAnsi="宋体" w:cs="宋体" w:eastAsia="宋体" w:hint="ascii"/>
          <w:sz w:val="21"/>
          <w:spacing w:val="-52"/>
        </w:rPr>
        <w:t>》</w:t>
      </w:r>
      <w:r>
        <w:rPr>
          <w:rFonts w:ascii="宋体" w:hAnsi="宋体" w:cs="宋体" w:eastAsia="宋体" w:hint="ascii"/>
          <w:sz w:val="21"/>
        </w:rPr>
        <w:t>、本《指南</w:t>
      </w:r>
      <w:r>
        <w:rPr>
          <w:rFonts w:ascii="宋体" w:hAnsi="宋体" w:cs="宋体" w:eastAsia="宋体" w:hint="ascii"/>
          <w:sz w:val="21"/>
          <w:spacing w:val="-52"/>
        </w:rPr>
        <w:t>》、</w:t>
      </w:r>
      <w:r>
        <w:rPr>
          <w:rFonts w:ascii="宋体" w:hAnsi="宋体" w:cs="宋体" w:eastAsia="宋体" w:hint="ascii"/>
          <w:sz w:val="21"/>
        </w:rPr>
        <w:t>《国家自然科学基金依托单位基金</w:t>
      </w:r>
    </w:p>
    <w:p>
      <w:pPr>
        <w:autoSpaceDE w:val="0"/>
        <w:autoSpaceDN w:val="0"/>
        <w:jc w:val="both"/>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工作管理办法</w:t>
      </w:r>
      <w:r>
        <w:rPr>
          <w:rFonts w:ascii="宋体" w:hAnsi="宋体" w:cs="宋体" w:eastAsia="宋体" w:hint="ascii"/>
          <w:sz w:val="21"/>
          <w:spacing w:val="-51"/>
        </w:rPr>
        <w:t>》</w:t>
      </w:r>
      <w:r>
        <w:rPr>
          <w:rFonts w:ascii="宋体" w:hAnsi="宋体" w:cs="宋体" w:eastAsia="宋体" w:hint="ascii"/>
          <w:sz w:val="21"/>
        </w:rPr>
        <w:t>、有关受理申请的通知通告、相关类型项目管理办法，以及《国家自然科学基金资助项目资金管理办法</w:t>
      </w:r>
      <w:r>
        <w:rPr>
          <w:rFonts w:ascii="宋体" w:hAnsi="宋体" w:cs="宋体" w:eastAsia="宋体" w:hint="ascii"/>
          <w:sz w:val="21"/>
          <w:spacing w:val="-52"/>
        </w:rPr>
        <w:t>》</w:t>
      </w:r>
      <w:r>
        <w:rPr>
          <w:rFonts w:ascii="宋体" w:hAnsi="宋体" w:cs="宋体" w:eastAsia="宋体" w:hint="ascii"/>
          <w:sz w:val="21"/>
        </w:rPr>
        <w:t>《预算编报须知</w:t>
      </w:r>
      <w:r>
        <w:rPr>
          <w:rFonts w:ascii="宋体" w:hAnsi="宋体" w:cs="宋体" w:eastAsia="宋体" w:hint="ascii"/>
          <w:sz w:val="21"/>
          <w:spacing w:val="-52"/>
        </w:rPr>
        <w:t>》</w:t>
      </w:r>
      <w:r>
        <w:rPr>
          <w:rFonts w:ascii="宋体" w:hAnsi="宋体" w:cs="宋体" w:eastAsia="宋体" w:hint="ascii"/>
          <w:sz w:val="21"/>
        </w:rPr>
        <w:t>《国家自然科学基金项目预算表编制说明》等文件要求，组织本单位的项目申请工作。</w:t>
      </w:r>
    </w:p>
    <w:p>
      <w:pPr>
        <w:autoSpaceDE w:val="0"/>
        <w:autoSpaceDN w:val="0"/>
        <w:jc w:val="left"/>
        <w:spacing w:before="274" w:after="0" w:lineRule="exact" w:line="225"/>
        <w:ind w:right="0" w:left="851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v</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7" w:left="966" w:firstLine="420"/>
        <w:snapToGrid w:val="0"/>
        <w:textAlignment w:val="auto"/>
        <w:tabs>
          <w:tab w:val="left" w:leader="none" w:pos="1653"/>
        </w:tabs>
        <w:numPr>
          <w:ilvl w:val="0"/>
          <w:numId w:val="3"/>
        </w:numPr>
        <w:rPr>
          <w:rFonts w:ascii="Times New Roman" w:hAnsi="Times New Roman" w:cs="Times New Roman" w:eastAsia="Times New Roman" w:hint="ascii"/>
          <w:sz w:val="21"/>
        </w:rPr>
      </w:pPr>
      <w:r>
        <w:rPr>
          <w:rFonts w:ascii="宋体" w:hAnsi="宋体" w:cs="宋体" w:eastAsia="宋体" w:hint="ascii"/>
          <w:sz w:val="21"/>
        </w:rPr>
        <w:t>依托单位应当对申请人的申请资格负责，并对申请材料的真实性和完整性进行 审核，不得提交有涉密内容的项目申请。</w:t>
      </w:r>
      <w:r>
        <w:rPr>
          <w:rFonts w:ascii="宋体" w:hAnsi="宋体" w:cs="宋体" w:eastAsia="宋体" w:hint="ascii"/>
          <w:sz w:val="21"/>
        </w:rPr>
        <mc:AlternateContent>
          <mc:Choice Requires="wps">
            <w:drawing>
              <wp:anchor distL="0" distR="0" distT="0" distB="0" simplePos="0" behindDoc="1" relativeHeight="47" locked="0" layoutInCell="1" allowOverlap="1">
                <wp:simplePos x="0" y="0"/>
                <wp:positionH relativeFrom="page">
                  <wp:posOffset>938530</wp:posOffset>
                </wp:positionH>
                <wp:positionV relativeFrom="page">
                  <wp:posOffset>805815</wp:posOffset>
                </wp:positionV>
                <wp:extent cx="5076190" cy="0"/>
                <wp:wrapNone/>
                <wp:docPr id="1074" name="107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10112;width:399.70pt;" id="107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966" w:firstLine="420"/>
        <w:snapToGrid w:val="0"/>
        <w:textAlignment w:val="auto"/>
        <w:tabs>
          <w:tab w:val="left" w:leader="none" w:pos="1653"/>
        </w:tabs>
        <w:numPr>
          <w:ilvl w:val="0"/>
          <w:numId w:val="3"/>
        </w:numPr>
        <w:rPr>
          <w:rFonts w:ascii="Times New Roman" w:hAnsi="Times New Roman" w:cs="Times New Roman" w:eastAsia="Times New Roman" w:hint="ascii"/>
          <w:sz w:val="21"/>
        </w:rPr>
      </w:pPr>
      <w:r>
        <w:rPr>
          <w:rFonts w:ascii="宋体" w:hAnsi="宋体" w:cs="宋体" w:eastAsia="宋体" w:hint="ascii"/>
          <w:sz w:val="21"/>
        </w:rPr>
        <w:t>依托单位如果允许《条例》第十条第二款所列的无工作单位或者所在单</w:t>
      </w:r>
      <w:r>
        <w:rPr>
          <w:rFonts w:ascii="宋体" w:hAnsi="宋体" w:cs="宋体" w:eastAsia="宋体" w:hint="ascii"/>
          <w:sz w:val="21"/>
          <w:spacing w:val="3"/>
        </w:rPr>
        <w:t>位不</w:t>
      </w:r>
      <w:r>
        <w:rPr>
          <w:rFonts w:ascii="宋体" w:hAnsi="宋体" w:cs="宋体" w:eastAsia="宋体" w:hint="ascii"/>
          <w:sz w:val="21"/>
        </w:rPr>
        <w:t>是</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依托单位的</w:t>
      </w:r>
      <w:r>
        <w:rPr>
          <w:rFonts w:ascii="宋体" w:hAnsi="宋体" w:cs="宋体" w:eastAsia="宋体" w:hint="ascii"/>
          <w:sz w:val="21"/>
        </w:rPr>
        <w:t>科学技术人员通过本单位申请项目，应当按照《国家自然科学基金依托单位</w:t>
      </w:r>
      <w:r>
        <w:rPr>
          <w:rFonts w:ascii="宋体" w:hAnsi="宋体" w:cs="宋体" w:eastAsia="宋体" w:hint="ascii"/>
          <w:sz w:val="21"/>
          <w:spacing w:val="-1"/>
        </w:rPr>
        <w:t>基金工作管</w:t>
      </w:r>
      <w:r>
        <w:rPr>
          <w:rFonts w:ascii="宋体" w:hAnsi="宋体" w:cs="宋体" w:eastAsia="宋体" w:hint="ascii"/>
          <w:sz w:val="21"/>
        </w:rPr>
        <w:t>理办法》第十三条的要求履行相关职责，并签订书面合同，作为附件随申请书一并报送。</w:t>
      </w:r>
    </w:p>
    <w:p>
      <w:pPr>
        <w:autoSpaceDE w:val="0"/>
        <w:autoSpaceDN w:val="0"/>
        <w:jc w:val="left"/>
        <w:spacing w:before="40" w:after="0" w:lineRule="auto" w:line="240"/>
        <w:ind w:right="0" w:left="966" w:firstLine="420"/>
        <w:snapToGrid w:val="0"/>
        <w:textAlignment w:val="auto"/>
        <w:tabs>
          <w:tab w:val="left" w:leader="none" w:pos="1653"/>
        </w:tabs>
        <w:numPr>
          <w:ilvl w:val="0"/>
          <w:numId w:val="3"/>
        </w:numPr>
        <w:rPr>
          <w:rFonts w:ascii="Times New Roman" w:hAnsi="Times New Roman" w:cs="Times New Roman" w:eastAsia="Times New Roman" w:hint="ascii"/>
          <w:sz w:val="21"/>
        </w:rPr>
      </w:pPr>
      <w:r>
        <w:rPr>
          <w:rFonts w:ascii="宋体" w:hAnsi="宋体" w:cs="宋体" w:eastAsia="宋体" w:hint="ascii"/>
          <w:sz w:val="21"/>
        </w:rPr>
        <w:t>依托单位应当对在站博士后研究人员申请项目提供书面承诺，保证申请</w:t>
      </w:r>
      <w:r>
        <w:rPr>
          <w:rFonts w:ascii="宋体" w:hAnsi="宋体" w:cs="宋体" w:eastAsia="宋体" w:hint="ascii"/>
          <w:sz w:val="21"/>
          <w:spacing w:val="3"/>
        </w:rPr>
        <w:t>人在</w:t>
      </w:r>
      <w:r>
        <w:rPr>
          <w:rFonts w:ascii="宋体" w:hAnsi="宋体" w:cs="宋体" w:eastAsia="宋体" w:hint="ascii"/>
          <w:sz w:val="21"/>
        </w:rPr>
        <w:t>项</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目资助期内</w:t>
      </w:r>
      <w:r>
        <w:rPr>
          <w:rFonts w:ascii="宋体" w:hAnsi="宋体" w:cs="宋体" w:eastAsia="宋体" w:hint="ascii"/>
          <w:sz w:val="21"/>
        </w:rPr>
        <w:t>在站工作或者出站后继续留在依托单位从事科学研究。每份申请的书面承诺由依托单位盖章附在申请书后一并报送。</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四、关于申请不予受理情形的说明</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按照《条例》规定，申请科学基金项目时有以下情形之一的将不予受理：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）申请人不符合《条例</w:t>
      </w:r>
      <w:r>
        <w:rPr>
          <w:rFonts w:ascii="宋体" w:hAnsi="宋体" w:cs="宋体" w:eastAsia="宋体" w:hint="ascii"/>
          <w:sz w:val="21"/>
          <w:spacing w:val="-52"/>
        </w:rPr>
        <w:t>》</w:t>
      </w:r>
      <w:r>
        <w:rPr>
          <w:rFonts w:ascii="宋体" w:hAnsi="宋体" w:cs="宋体" w:eastAsia="宋体" w:hint="ascii"/>
          <w:sz w:val="21"/>
        </w:rPr>
        <w:t>、本《指南》和相关类型管理办法规定条件的；</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）申请材料不符合本《指南》要求的；</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）申请项目数量不符合限项申请规定的。</w:t>
      </w:r>
    </w:p>
    <w:p>
      <w:pPr>
        <w:autoSpaceDE w:val="0"/>
        <w:autoSpaceDN w:val="0"/>
        <w:jc w:val="left"/>
        <w:spacing w:before="808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vi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458" w:after="0" w:lineRule="exact" w:line="475"/>
        <w:ind w:right="0" w:left="3816" w:firstLine="0"/>
        <w:snapToGrid w:val="0"/>
        <w:textAlignment w:val="auto"/>
        <w:tabs/>
        <w:rPr>
          <w:rFonts w:ascii="宋体" w:hAnsi="宋体" w:cs="宋体" w:eastAsia="宋体" w:hint="ascii"/>
          <w:sz w:val="38"/>
        </w:rPr>
      </w:pPr>
      <w:r>
        <w:rPr>
          <w:rFonts w:ascii="宋体" w:hAnsi="宋体" w:cs="宋体" w:eastAsia="宋体" w:hint="ascii"/>
          <w:sz w:val="38"/>
        </w:rPr>
        <w:t>科研诚信须知</w:t>
      </w:r>
      <w:r>
        <w:rPr>
          <w:rFonts w:ascii="宋体" w:hAnsi="宋体" w:cs="宋体" w:eastAsia="宋体" w:hint="ascii"/>
          <w:sz w:val="38"/>
        </w:rPr>
        <mc:AlternateContent>
          <mc:Choice Requires="wps">
            <w:drawing>
              <wp:anchor distL="0" distR="0" distT="0" distB="0" simplePos="0" behindDoc="1" relativeHeight="48" locked="0" layoutInCell="1" allowOverlap="1">
                <wp:simplePos x="0" y="0"/>
                <wp:positionH relativeFrom="page">
                  <wp:posOffset>938530</wp:posOffset>
                </wp:positionH>
                <wp:positionV relativeFrom="page">
                  <wp:posOffset>819150</wp:posOffset>
                </wp:positionV>
                <wp:extent cx="5076190" cy="0"/>
                <wp:wrapNone/>
                <wp:docPr id="1075" name="107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09088;width:399.70pt;" id="1075"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38"/>
        </w:rPr>
        <mc:AlternateContent>
          <mc:Choice Requires="wps">
            <w:drawing>
              <wp:anchor distL="0" distR="0" distT="0" distB="0" simplePos="0" behindDoc="1" relativeHeight="49" locked="0" layoutInCell="1" allowOverlap="1">
                <wp:simplePos x="0" y="0"/>
                <wp:positionH relativeFrom="page">
                  <wp:posOffset>754380</wp:posOffset>
                </wp:positionH>
                <wp:positionV relativeFrom="page">
                  <wp:posOffset>588010</wp:posOffset>
                </wp:positionV>
                <wp:extent cx="5397500" cy="313690"/>
                <wp:wrapNone/>
                <wp:docPr id="1076" name="1076"/>
                <wp:cNvGraphicFramePr/>
                <a:graphic>
                  <a:graphicData uri="http://schemas.microsoft.com/office/word/2010/wordprocessingShape">
                    <wps:wsp>
                      <wps:cNvSpPr/>
                      <wps:spPr>
                        <a:xfrm>
                          <a:off x="0" y="0"/>
                          <a:ext cx="5397500" cy="31369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9.40pt;mso-position-vertical:absolute;mso-position-vertical-relative:page;margin-top:46.30pt;z-index:-251608064;width:425.00pt;height:24.70pt;" id="1076" coordsize="8500,494" stroked="f" fillcolor="#ffffff" opacity="0f">
                <v:stroke endcap="round"/>
                <v:fill opacity="0f"/>
                <w10:wrap anchorx="page" anchory="page" side="both"/>
              </v:rect>
            </w:pict>
          </mc:Fallback>
        </mc:AlternateConten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为加强国家自然科学基金科研诚信建设，规范科学基金项目申请，保证基础信息真</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实准确，防范</w:t>
      </w:r>
      <w:r>
        <w:rPr>
          <w:rFonts w:ascii="宋体" w:hAnsi="宋体" w:cs="宋体" w:eastAsia="宋体" w:hint="ascii"/>
          <w:sz w:val="21"/>
        </w:rPr>
        <w:t>科研不端行为，针对申请书撰写过程中出现的问题，对申请人、参与者和依托单位提出以下科研诚信要求：</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一、关于个人信息</w:t>
      </w:r>
    </w:p>
    <w:p>
      <w:pPr>
        <w:autoSpaceDE w:val="0"/>
        <w:autoSpaceDN w:val="0"/>
        <w:jc w:val="both"/>
        <w:spacing w:before="10" w:after="0" w:lineRule="exact" w:line="312"/>
        <w:ind w:right="977" w:left="966" w:firstLine="420"/>
        <w:snapToGrid w:val="0"/>
        <w:textAlignment w:val="auto"/>
        <w:tabs>
          <w:tab w:val="left" w:leader="none" w:pos="1653"/>
        </w:tabs>
        <w:numPr>
          <w:ilvl w:val="0"/>
          <w:numId w:val="4"/>
        </w:numPr>
        <w:rPr>
          <w:rFonts w:ascii="Times New Roman" w:hAnsi="Times New Roman" w:cs="Times New Roman" w:eastAsia="Times New Roman" w:hint="ascii"/>
          <w:sz w:val="21"/>
        </w:rPr>
      </w:pPr>
      <w:r>
        <w:rPr>
          <w:rFonts w:ascii="宋体" w:hAnsi="宋体" w:cs="宋体" w:eastAsia="宋体" w:hint="ascii"/>
          <w:sz w:val="21"/>
        </w:rPr>
        <w:t>科学基金项目应当由申请人本人申请，严禁冒名申请，严禁编造虚假的申请人 及参与者。</w:t>
      </w:r>
    </w:p>
    <w:p>
      <w:pPr>
        <w:autoSpaceDE w:val="0"/>
        <w:autoSpaceDN w:val="0"/>
        <w:jc w:val="both"/>
        <w:spacing w:before="0" w:after="0" w:lineRule="exact" w:line="312"/>
        <w:ind w:right="977" w:left="966" w:firstLine="420"/>
        <w:snapToGrid w:val="0"/>
        <w:textAlignment w:val="auto"/>
        <w:tabs>
          <w:tab w:val="left" w:leader="none" w:pos="1653"/>
        </w:tabs>
        <w:numPr>
          <w:ilvl w:val="0"/>
          <w:numId w:val="4"/>
        </w:numPr>
        <w:rPr>
          <w:rFonts w:ascii="Times New Roman" w:hAnsi="Times New Roman" w:cs="Times New Roman" w:eastAsia="Times New Roman" w:hint="ascii"/>
          <w:sz w:val="21"/>
        </w:rPr>
      </w:pPr>
      <w:r>
        <w:rPr>
          <w:rFonts w:ascii="宋体" w:hAnsi="宋体" w:cs="宋体" w:eastAsia="宋体" w:hint="ascii"/>
          <w:sz w:val="21"/>
        </w:rPr>
        <w:t>申请人及参与者应当如实填报个人信息并对其真实性负责；同时，申请人还应 当对所有参与者个人信息的真实性负责。严禁伪造或提供虚假信息。</w:t>
      </w:r>
    </w:p>
    <w:p>
      <w:pPr>
        <w:autoSpaceDE w:val="0"/>
        <w:autoSpaceDN w:val="0"/>
        <w:jc w:val="both"/>
        <w:spacing w:before="0" w:after="0" w:lineRule="exact" w:line="312"/>
        <w:ind w:right="977" w:left="966" w:firstLine="420"/>
        <w:snapToGrid w:val="0"/>
        <w:textAlignment w:val="auto"/>
        <w:tabs>
          <w:tab w:val="left" w:leader="none" w:pos="1653"/>
        </w:tabs>
        <w:numPr>
          <w:ilvl w:val="0"/>
          <w:numId w:val="4"/>
        </w:numPr>
        <w:rPr>
          <w:rFonts w:ascii="Times New Roman" w:hAnsi="Times New Roman" w:cs="Times New Roman" w:eastAsia="Times New Roman" w:hint="ascii"/>
          <w:sz w:val="21"/>
        </w:rPr>
      </w:pPr>
      <w:r>
        <w:rPr>
          <w:rFonts w:ascii="宋体" w:hAnsi="宋体" w:cs="宋体" w:eastAsia="宋体" w:hint="ascii"/>
          <w:sz w:val="21"/>
        </w:rPr>
        <w:t>申请人及参与者填报的学位信息，应当与学位证书一致；学位获得时间应当以 证书日期为准。</w:t>
      </w:r>
    </w:p>
    <w:p>
      <w:pPr>
        <w:autoSpaceDE w:val="0"/>
        <w:autoSpaceDN w:val="0"/>
        <w:jc w:val="both"/>
        <w:spacing w:before="0" w:after="0" w:lineRule="exact" w:line="312"/>
        <w:ind w:right="977" w:left="966" w:firstLine="420"/>
        <w:snapToGrid w:val="0"/>
        <w:textAlignment w:val="auto"/>
        <w:tabs>
          <w:tab w:val="left" w:leader="none" w:pos="1653"/>
        </w:tabs>
        <w:numPr>
          <w:ilvl w:val="0"/>
          <w:numId w:val="4"/>
        </w:numPr>
        <w:rPr>
          <w:rFonts w:ascii="Times New Roman" w:hAnsi="Times New Roman" w:cs="Times New Roman" w:eastAsia="Times New Roman" w:hint="ascii"/>
          <w:sz w:val="21"/>
        </w:rPr>
      </w:pPr>
      <w:r>
        <w:rPr>
          <w:rFonts w:ascii="宋体" w:hAnsi="宋体" w:cs="宋体" w:eastAsia="宋体" w:hint="ascii"/>
          <w:sz w:val="21"/>
        </w:rPr>
        <w:t>申请人及参与者应当如实、准确填写正式合规的聘用职称信息，严禁伪造或提 供虚假职称信息。</w:t>
      </w:r>
    </w:p>
    <w:p>
      <w:pPr>
        <w:autoSpaceDE w:val="0"/>
        <w:autoSpaceDN w:val="0"/>
        <w:jc w:val="both"/>
        <w:spacing w:before="0" w:after="0" w:lineRule="exact" w:line="312"/>
        <w:ind w:right="977" w:left="966" w:firstLine="420"/>
        <w:snapToGrid w:val="0"/>
        <w:textAlignment w:val="auto"/>
        <w:tabs>
          <w:tab w:val="left" w:leader="none" w:pos="1653"/>
        </w:tabs>
        <w:numPr>
          <w:ilvl w:val="0"/>
          <w:numId w:val="4"/>
        </w:numPr>
        <w:rPr>
          <w:rFonts w:ascii="Times New Roman" w:hAnsi="Times New Roman" w:cs="Times New Roman" w:eastAsia="Times New Roman" w:hint="ascii"/>
          <w:sz w:val="21"/>
        </w:rPr>
      </w:pPr>
      <w:r>
        <w:rPr>
          <w:rFonts w:ascii="宋体" w:hAnsi="宋体" w:cs="宋体" w:eastAsia="宋体" w:hint="ascii"/>
          <w:sz w:val="21"/>
        </w:rPr>
        <w:t>无工作单位或所在单位不是依托单位的申请人应当在申请书基本信息表中如实 填写工作单位和聘用信息，严禁信息造假。</w:t>
      </w:r>
    </w:p>
    <w:p>
      <w:pPr>
        <w:autoSpaceDE w:val="0"/>
        <w:autoSpaceDN w:val="0"/>
        <w:jc w:val="both"/>
        <w:spacing w:before="0" w:after="0" w:lineRule="exact" w:line="312"/>
        <w:ind w:right="1346" w:left="1386" w:firstLine="0"/>
        <w:snapToGrid w:val="0"/>
        <w:textAlignment w:val="auto"/>
        <w:tabs>
          <w:tab w:val="left" w:leader="none" w:pos="1648"/>
        </w:tabs>
        <w:numPr>
          <w:ilvl w:val="0"/>
          <w:numId w:val="4"/>
        </w:numPr>
        <w:rPr>
          <w:rFonts w:ascii="Times New Roman" w:hAnsi="Times New Roman" w:cs="Times New Roman" w:eastAsia="Times New Roman" w:hint="ascii"/>
          <w:sz w:val="21"/>
        </w:rPr>
      </w:pPr>
      <w:r>
        <w:rPr>
          <w:rFonts w:ascii="宋体" w:hAnsi="宋体" w:cs="宋体" w:eastAsia="宋体" w:hint="ascii"/>
          <w:sz w:val="21"/>
          <w:spacing w:val="-1"/>
        </w:rPr>
        <w:t>申请人及参与</w:t>
      </w:r>
      <w:r>
        <w:rPr>
          <w:rFonts w:ascii="宋体" w:hAnsi="宋体" w:cs="宋体" w:eastAsia="宋体" w:hint="ascii"/>
          <w:sz w:val="21"/>
        </w:rPr>
        <w:t>者应当如实、规范填写个人履历，严禁伪造或篡改相关信息。</w:t>
      </w:r>
      <w:r>
        <w:rPr>
          <w:rFonts w:ascii="宋体" w:hAnsi="宋体" w:cs="宋体" w:eastAsia="宋体" w:hint="ascii"/>
          <w:sz w:val="21"/>
        </w:rPr>
        <w:t>二、关于研究内容</w:t>
      </w:r>
    </w:p>
    <w:p>
      <w:pPr>
        <w:autoSpaceDE w:val="0"/>
        <w:autoSpaceDN w:val="0"/>
        <w:jc w:val="both"/>
        <w:spacing w:before="0" w:after="0" w:lineRule="exact" w:line="312"/>
        <w:ind w:right="978" w:left="966" w:firstLine="420"/>
        <w:snapToGrid w:val="0"/>
        <w:textAlignment w:val="auto"/>
        <w:tabs>
          <w:tab w:val="left" w:leader="none" w:pos="1650"/>
        </w:tabs>
        <w:numPr>
          <w:ilvl w:val="0"/>
          <w:numId w:val="5"/>
        </w:numPr>
        <w:rPr>
          <w:rFonts w:ascii="Times New Roman" w:hAnsi="Times New Roman" w:cs="Times New Roman" w:eastAsia="Times New Roman" w:hint="ascii"/>
          <w:sz w:val="21"/>
        </w:rPr>
      </w:pPr>
      <w:r>
        <w:rPr>
          <w:rFonts w:ascii="宋体" w:hAnsi="宋体" w:cs="宋体" w:eastAsia="宋体" w:hint="ascii"/>
          <w:sz w:val="21"/>
        </w:rPr>
        <w:t>申请人应当按照本《指南</w:t>
      </w:r>
      <w:r>
        <w:rPr>
          <w:rFonts w:ascii="宋体" w:hAnsi="宋体" w:cs="宋体" w:eastAsia="宋体" w:hint="ascii"/>
          <w:sz w:val="21"/>
          <w:spacing w:val="-53"/>
        </w:rPr>
        <w:t>》</w:t>
      </w:r>
      <w:r>
        <w:rPr>
          <w:rFonts w:ascii="宋体" w:hAnsi="宋体" w:cs="宋体" w:eastAsia="宋体" w:hint="ascii"/>
          <w:sz w:val="21"/>
        </w:rPr>
        <w:t>、申请书填报说明和撰写提纲的要求填写申请书报告正文，如实填写相关研究工作基础和研究内容等，严禁抄袭剽窃或弄虚作假。</w:t>
      </w:r>
    </w:p>
    <w:p>
      <w:pPr>
        <w:autoSpaceDE w:val="0"/>
        <w:autoSpaceDN w:val="0"/>
        <w:jc w:val="left"/>
        <w:spacing w:before="40" w:after="0" w:lineRule="auto" w:line="240"/>
        <w:ind w:right="0" w:left="966" w:firstLine="420"/>
        <w:snapToGrid w:val="0"/>
        <w:textAlignment w:val="auto"/>
        <w:tabs>
          <w:tab w:val="left" w:leader="none" w:pos="1653"/>
        </w:tabs>
        <w:numPr>
          <w:ilvl w:val="0"/>
          <w:numId w:val="5"/>
        </w:numPr>
        <w:rPr>
          <w:rFonts w:ascii="Times New Roman" w:hAnsi="Times New Roman" w:cs="Times New Roman" w:eastAsia="Times New Roman" w:hint="ascii"/>
          <w:sz w:val="21"/>
        </w:rPr>
      </w:pPr>
      <w:r>
        <w:rPr>
          <w:rFonts w:ascii="宋体" w:hAnsi="宋体" w:cs="宋体" w:eastAsia="宋体" w:hint="ascii"/>
          <w:sz w:val="21"/>
        </w:rPr>
        <w:t>申请人及参与者在填写论文、专利和奖励等研究成果时，应当严格按照</w:t>
      </w:r>
      <w:r>
        <w:rPr>
          <w:rFonts w:ascii="宋体" w:hAnsi="宋体" w:cs="宋体" w:eastAsia="宋体" w:hint="ascii"/>
          <w:sz w:val="21"/>
          <w:spacing w:val="3"/>
        </w:rPr>
        <w:t>申请</w:t>
      </w:r>
      <w:r>
        <w:rPr>
          <w:rFonts w:ascii="宋体" w:hAnsi="宋体" w:cs="宋体" w:eastAsia="宋体" w:hint="ascii"/>
          <w:sz w:val="21"/>
        </w:rPr>
        <w:t>书</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撰写提纲的要</w:t>
      </w:r>
      <w:r>
        <w:rPr>
          <w:rFonts w:ascii="宋体" w:hAnsi="宋体" w:cs="宋体" w:eastAsia="宋体" w:hint="ascii"/>
          <w:sz w:val="21"/>
        </w:rPr>
        <w:t>求，规范列出研究成果的所有作者署名，准确标注，不得篡改作者顺序，不得虚假标注第一或通讯作者。</w:t>
      </w:r>
    </w:p>
    <w:p>
      <w:pPr>
        <w:autoSpaceDE w:val="0"/>
        <w:autoSpaceDN w:val="0"/>
        <w:jc w:val="left"/>
        <w:spacing w:before="40" w:after="0" w:lineRule="auto" w:line="240"/>
        <w:ind w:right="0" w:left="966" w:firstLine="420"/>
        <w:snapToGrid w:val="0"/>
        <w:textAlignment w:val="auto"/>
        <w:tabs>
          <w:tab w:val="left" w:leader="none" w:pos="1653"/>
        </w:tabs>
        <w:numPr>
          <w:ilvl w:val="0"/>
          <w:numId w:val="5"/>
        </w:numPr>
        <w:rPr>
          <w:rFonts w:ascii="Times New Roman" w:hAnsi="Times New Roman" w:cs="Times New Roman" w:eastAsia="Times New Roman" w:hint="ascii"/>
          <w:sz w:val="21"/>
        </w:rPr>
      </w:pPr>
      <w:r>
        <w:rPr>
          <w:rFonts w:ascii="宋体" w:hAnsi="宋体" w:cs="宋体" w:eastAsia="宋体" w:hint="ascii"/>
          <w:sz w:val="21"/>
        </w:rPr>
        <w:t>申请人及参与者应严格遵循科学界公认的学术道德和行为规范，不得使</w:t>
      </w:r>
      <w:r>
        <w:rPr>
          <w:rFonts w:ascii="宋体" w:hAnsi="宋体" w:cs="宋体" w:eastAsia="宋体" w:hint="ascii"/>
          <w:sz w:val="21"/>
          <w:spacing w:val="3"/>
        </w:rPr>
        <w:t>用存</w:t>
      </w:r>
      <w:r>
        <w:rPr>
          <w:rFonts w:ascii="宋体" w:hAnsi="宋体" w:cs="宋体" w:eastAsia="宋体" w:hint="ascii"/>
          <w:sz w:val="21"/>
        </w:rPr>
        <w:t>在</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伪造、篡改、</w:t>
      </w:r>
      <w:r>
        <w:rPr>
          <w:rFonts w:ascii="宋体" w:hAnsi="宋体" w:cs="宋体" w:eastAsia="宋体" w:hint="ascii"/>
          <w:sz w:val="21"/>
        </w:rPr>
        <w:t>抄袭剽窃、委托“第三方”代写或代投以及同行评议造假等科研不端行为</w:t>
      </w:r>
      <w:r>
        <w:rPr>
          <w:rFonts w:ascii="宋体" w:hAnsi="宋体" w:cs="宋体" w:eastAsia="宋体" w:hint="ascii"/>
          <w:sz w:val="21"/>
          <w:spacing w:val="-1"/>
        </w:rPr>
        <w:t>的研究成果作</w:t>
      </w:r>
      <w:r>
        <w:rPr>
          <w:rFonts w:ascii="宋体" w:hAnsi="宋体" w:cs="宋体" w:eastAsia="宋体" w:hint="ascii"/>
          <w:sz w:val="21"/>
        </w:rPr>
        <w:t>为基础申请科学基金项目。涉及科学伦理问题的研究，应当提供有关机构的伦理证明。</w:t>
      </w:r>
    </w:p>
    <w:p>
      <w:pPr>
        <w:autoSpaceDE w:val="0"/>
        <w:autoSpaceDN w:val="0"/>
        <w:jc w:val="left"/>
        <w:spacing w:before="40" w:after="0" w:lineRule="auto" w:line="240"/>
        <w:ind w:right="0" w:left="966" w:firstLine="420"/>
        <w:snapToGrid w:val="0"/>
        <w:textAlignment w:val="auto"/>
        <w:tabs>
          <w:tab w:val="left" w:leader="none" w:pos="1653"/>
        </w:tabs>
        <w:numPr>
          <w:ilvl w:val="0"/>
          <w:numId w:val="5"/>
        </w:numPr>
        <w:rPr>
          <w:rFonts w:ascii="Times New Roman" w:hAnsi="Times New Roman" w:cs="Times New Roman" w:eastAsia="Times New Roman" w:hint="ascii"/>
          <w:sz w:val="21"/>
        </w:rPr>
      </w:pPr>
      <w:r>
        <w:rPr>
          <w:rFonts w:ascii="宋体" w:hAnsi="宋体" w:cs="宋体" w:eastAsia="宋体" w:hint="ascii"/>
          <w:sz w:val="21"/>
        </w:rPr>
        <w:t>申请人不得将已获资助项目向同一科学部或不同科学部提出重复申请；</w:t>
      </w:r>
      <w:r>
        <w:rPr>
          <w:rFonts w:ascii="宋体" w:hAnsi="宋体" w:cs="宋体" w:eastAsia="宋体" w:hint="ascii"/>
          <w:sz w:val="21"/>
          <w:spacing w:val="3"/>
        </w:rPr>
        <w:t>申请</w:t>
      </w:r>
      <w:r>
        <w:rPr>
          <w:rFonts w:ascii="宋体" w:hAnsi="宋体" w:cs="宋体" w:eastAsia="宋体" w:hint="ascii"/>
          <w:sz w:val="21"/>
        </w:rPr>
        <w:t>人</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不得将内容相</w:t>
      </w:r>
      <w:r>
        <w:rPr>
          <w:rFonts w:ascii="宋体" w:hAnsi="宋体" w:cs="宋体" w:eastAsia="宋体" w:hint="ascii"/>
          <w:sz w:val="21"/>
        </w:rPr>
        <w:t>同或相近的项目，以不同类型项目向同一科学部或不同科学部申请；受聘</w:t>
      </w:r>
      <w:r>
        <w:rPr>
          <w:rFonts w:ascii="宋体" w:hAnsi="宋体" w:cs="宋体" w:eastAsia="宋体" w:hint="ascii"/>
          <w:sz w:val="21"/>
          <w:spacing w:val="-1"/>
        </w:rPr>
        <w:t>于一个以上依</w:t>
      </w:r>
      <w:r>
        <w:rPr>
          <w:rFonts w:ascii="宋体" w:hAnsi="宋体" w:cs="宋体" w:eastAsia="宋体" w:hint="ascii"/>
          <w:sz w:val="21"/>
        </w:rPr>
        <w:t>托单位的申请人，不得将内容相同或相近的项目，通过不同依托单位提出申请；不得将内容相同或相近的项目，以不同申请人的名义提出申请。</w:t>
      </w:r>
    </w:p>
    <w:p>
      <w:pPr>
        <w:autoSpaceDE w:val="0"/>
        <w:autoSpaceDN w:val="0"/>
        <w:jc w:val="left"/>
        <w:spacing w:before="40" w:after="0" w:lineRule="auto" w:line="240"/>
        <w:ind w:right="0" w:left="966" w:firstLine="420"/>
        <w:snapToGrid w:val="0"/>
        <w:textAlignment w:val="auto"/>
        <w:tabs>
          <w:tab w:val="left" w:leader="none" w:pos="1653"/>
        </w:tabs>
        <w:numPr>
          <w:ilvl w:val="0"/>
          <w:numId w:val="5"/>
        </w:numPr>
        <w:rPr>
          <w:rFonts w:ascii="Times New Roman" w:hAnsi="Times New Roman" w:cs="Times New Roman" w:eastAsia="Times New Roman" w:hint="ascii"/>
          <w:sz w:val="21"/>
        </w:rPr>
      </w:pPr>
      <w:r>
        <w:rPr>
          <w:rFonts w:ascii="宋体" w:hAnsi="宋体" w:cs="宋体" w:eastAsia="宋体" w:hint="ascii"/>
          <w:sz w:val="21"/>
        </w:rPr>
        <w:t>申请人申请科学基金项目的相关研究内容已获得其他渠道或项目资助的</w:t>
      </w:r>
      <w:r>
        <w:rPr>
          <w:rFonts w:ascii="宋体" w:hAnsi="宋体" w:cs="宋体" w:eastAsia="宋体" w:hint="ascii"/>
          <w:sz w:val="21"/>
          <w:spacing w:val="3"/>
        </w:rPr>
        <w:t>，务</w:t>
      </w:r>
      <w:r>
        <w:rPr>
          <w:rFonts w:ascii="宋体" w:hAnsi="宋体" w:cs="宋体" w:eastAsia="宋体" w:hint="ascii"/>
          <w:sz w:val="21"/>
        </w:rPr>
        <w:t>必</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在申请书中说</w:t>
      </w:r>
      <w:r>
        <w:rPr>
          <w:rFonts w:ascii="宋体" w:hAnsi="宋体" w:cs="宋体" w:eastAsia="宋体" w:hint="ascii"/>
          <w:sz w:val="21"/>
        </w:rPr>
        <w:t>明受资助情况以及与所申请科学基金项目的区别和联系，避免将同一研究内容向不同资助机构提出申请。</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三、有关要求</w:t>
      </w:r>
    </w:p>
    <w:p>
      <w:pPr>
        <w:autoSpaceDE w:val="0"/>
        <w:autoSpaceDN w:val="0"/>
        <w:jc w:val="both"/>
        <w:spacing w:before="10" w:after="0" w:lineRule="exact" w:line="312"/>
        <w:ind w:right="977" w:left="966" w:firstLine="420"/>
        <w:snapToGrid w:val="0"/>
        <w:textAlignment w:val="auto"/>
        <w:tabs>
          <w:tab w:val="left" w:leader="none" w:pos="1653"/>
        </w:tabs>
        <w:numPr>
          <w:ilvl w:val="0"/>
          <w:numId w:val="6"/>
        </w:numPr>
        <w:rPr>
          <w:rFonts w:ascii="Times New Roman" w:hAnsi="Times New Roman" w:cs="Times New Roman" w:eastAsia="Times New Roman" w:hint="ascii"/>
          <w:sz w:val="21"/>
        </w:rPr>
      </w:pPr>
      <w:r>
        <w:rPr>
          <w:rFonts w:ascii="宋体" w:hAnsi="宋体" w:cs="宋体" w:eastAsia="宋体" w:hint="ascii"/>
          <w:sz w:val="21"/>
        </w:rPr>
        <w:t>申请人应当将申请书相关内容及科研诚信要求告知参与者，确保参与者全面了 解申请书相关内容并对所涉及内容的真实性、完整性及合规性负责。</w:t>
      </w:r>
    </w:p>
    <w:p>
      <w:pPr>
        <w:autoSpaceDE w:val="0"/>
        <w:autoSpaceDN w:val="0"/>
        <w:jc w:val="left"/>
        <w:spacing w:before="276" w:after="0" w:lineRule="exact" w:line="225"/>
        <w:ind w:right="0" w:left="8412"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vii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420"/>
        <w:snapToGrid w:val="0"/>
        <w:textAlignment w:val="auto"/>
        <w:tabs>
          <w:tab w:val="left" w:leader="none" w:pos="1653"/>
        </w:tabs>
        <w:numPr>
          <w:ilvl w:val="0"/>
          <w:numId w:val="6"/>
        </w:numPr>
        <w:rPr>
          <w:rFonts w:ascii="Times New Roman" w:hAnsi="Times New Roman" w:cs="Times New Roman" w:eastAsia="Times New Roman" w:hint="ascii"/>
          <w:sz w:val="21"/>
        </w:rPr>
      </w:pPr>
      <w:r>
        <w:rPr>
          <w:rFonts w:ascii="宋体" w:hAnsi="宋体" w:cs="宋体" w:eastAsia="宋体" w:hint="ascii"/>
          <w:sz w:val="21"/>
        </w:rPr>
        <w:t>依托单位应当对申请人的申请资格负责，并对申请材料的真实性、完整性及合 规性进行审核。</w:t>
      </w:r>
      <w:r>
        <w:rPr>
          <w:rFonts w:ascii="宋体" w:hAnsi="宋体" w:cs="宋体" w:eastAsia="宋体" w:hint="ascii"/>
          <w:sz w:val="21"/>
        </w:rPr>
        <mc:AlternateContent>
          <mc:Choice Requires="wps">
            <w:drawing>
              <wp:anchor distL="0" distR="0" distT="0" distB="0" simplePos="0" behindDoc="1" relativeHeight="50" locked="0" layoutInCell="1" allowOverlap="1">
                <wp:simplePos x="0" y="0"/>
                <wp:positionH relativeFrom="page">
                  <wp:posOffset>938530</wp:posOffset>
                </wp:positionH>
                <wp:positionV relativeFrom="page">
                  <wp:posOffset>805815</wp:posOffset>
                </wp:positionV>
                <wp:extent cx="5076190" cy="0"/>
                <wp:wrapNone/>
                <wp:docPr id="1077" name="107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07040;width:399.70pt;" id="107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四、关于责任追究</w:t>
      </w:r>
    </w:p>
    <w:p>
      <w:pPr>
        <w:autoSpaceDE w:val="0"/>
        <w:autoSpaceDN w:val="0"/>
        <w:jc w:val="left"/>
        <w:spacing w:before="49" w:after="0" w:lineRule="auto" w:line="240"/>
        <w:ind w:right="0" w:left="1654" w:hanging="268"/>
        <w:snapToGrid w:val="0"/>
        <w:textAlignment w:val="auto"/>
        <w:tabs>
          <w:tab w:val="left" w:leader="none" w:pos="1653"/>
        </w:tabs>
        <w:numPr>
          <w:ilvl w:val="0"/>
          <w:numId w:val="7"/>
        </w:numPr>
        <w:rPr>
          <w:rFonts w:ascii="Times New Roman" w:hAnsi="Times New Roman" w:cs="Times New Roman" w:eastAsia="Times New Roman" w:hint="ascii"/>
          <w:sz w:val="21"/>
        </w:rPr>
      </w:pPr>
      <w:r>
        <w:rPr>
          <w:rFonts w:ascii="宋体" w:hAnsi="宋体" w:cs="宋体" w:eastAsia="宋体" w:hint="ascii"/>
          <w:sz w:val="21"/>
        </w:rPr>
        <w:t>申请人及参与者违反以上要求的，一经发现，自然科学基金委将按照《</w:t>
      </w:r>
      <w:r>
        <w:rPr>
          <w:rFonts w:ascii="宋体" w:hAnsi="宋体" w:cs="宋体" w:eastAsia="宋体" w:hint="ascii"/>
          <w:sz w:val="21"/>
          <w:spacing w:val="3"/>
        </w:rPr>
        <w:t>条例</w:t>
      </w:r>
      <w:r>
        <w:rPr>
          <w:rFonts w:ascii="宋体" w:hAnsi="宋体" w:cs="宋体" w:eastAsia="宋体" w:hint="ascii"/>
          <w:sz w:val="21"/>
        </w:rPr>
        <w:t>》</w:t>
      </w:r>
    </w:p>
    <w:p>
      <w:pPr>
        <w:autoSpaceDE w:val="0"/>
        <w:autoSpaceDN w:val="0"/>
        <w:jc w:val="both"/>
        <w:spacing w:before="17"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和本《指</w:t>
      </w:r>
      <w:r>
        <w:rPr>
          <w:rFonts w:ascii="宋体" w:hAnsi="宋体" w:cs="宋体" w:eastAsia="宋体" w:hint="ascii"/>
          <w:sz w:val="21"/>
        </w:rPr>
        <w:t>南》等规定，视情节轻重予以处理；对确有伪造、篡改、抄袭剽窃，以及研究</w:t>
      </w:r>
      <w:r>
        <w:rPr>
          <w:rFonts w:ascii="宋体" w:hAnsi="宋体" w:cs="宋体" w:eastAsia="宋体" w:hint="ascii"/>
          <w:sz w:val="21"/>
          <w:spacing w:val="-1"/>
        </w:rPr>
        <w:t>成果存在</w:t>
      </w:r>
      <w:r>
        <w:rPr>
          <w:rFonts w:ascii="宋体" w:hAnsi="宋体" w:cs="宋体" w:eastAsia="宋体" w:hint="ascii"/>
          <w:sz w:val="21"/>
        </w:rPr>
        <w:t>委托“第三方”代写或代投、同行评议造假等科研不端行为的，将移交自然科学基金委监督委员会予以调查与处理。</w:t>
      </w:r>
    </w:p>
    <w:p>
      <w:pPr>
        <w:autoSpaceDE w:val="0"/>
        <w:autoSpaceDN w:val="0"/>
        <w:jc w:val="left"/>
        <w:spacing w:before="40" w:after="0" w:lineRule="auto" w:line="240"/>
        <w:ind w:right="0" w:left="1654" w:hanging="268"/>
        <w:snapToGrid w:val="0"/>
        <w:textAlignment w:val="auto"/>
        <w:tabs>
          <w:tab w:val="left" w:leader="none" w:pos="1653"/>
        </w:tabs>
        <w:numPr>
          <w:ilvl w:val="0"/>
          <w:numId w:val="7"/>
        </w:numPr>
        <w:rPr>
          <w:rFonts w:ascii="Times New Roman" w:hAnsi="Times New Roman" w:cs="Times New Roman" w:eastAsia="Times New Roman" w:hint="ascii"/>
          <w:sz w:val="21"/>
        </w:rPr>
      </w:pPr>
      <w:r>
        <w:rPr>
          <w:rFonts w:ascii="宋体" w:hAnsi="宋体" w:cs="宋体" w:eastAsia="宋体" w:hint="ascii"/>
          <w:sz w:val="21"/>
        </w:rPr>
        <w:t>依托单位疏于管理，未按要求对申请材料的真实性、完整性及合规性履</w:t>
      </w:r>
      <w:r>
        <w:rPr>
          <w:rFonts w:ascii="宋体" w:hAnsi="宋体" w:cs="宋体" w:eastAsia="宋体" w:hint="ascii"/>
          <w:sz w:val="21"/>
          <w:spacing w:val="3"/>
        </w:rPr>
        <w:t>行审</w:t>
      </w:r>
      <w:r>
        <w:rPr>
          <w:rFonts w:ascii="宋体" w:hAnsi="宋体" w:cs="宋体" w:eastAsia="宋体" w:hint="ascii"/>
          <w:sz w:val="21"/>
        </w:rPr>
        <w:t>查</w:t>
      </w:r>
    </w:p>
    <w:p>
      <w:pPr>
        <w:autoSpaceDE w:val="0"/>
        <w:autoSpaceDN w:val="0"/>
        <w:jc w:val="both"/>
        <w:spacing w:before="17"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职责的，自然科学基金委将按照《条例</w:t>
      </w:r>
      <w:r>
        <w:rPr>
          <w:rFonts w:ascii="宋体" w:hAnsi="宋体" w:cs="宋体" w:eastAsia="宋体" w:hint="ascii"/>
          <w:sz w:val="21"/>
          <w:spacing w:val="-52"/>
        </w:rPr>
        <w:t>》</w:t>
      </w:r>
      <w:r>
        <w:rPr>
          <w:rFonts w:ascii="宋体" w:hAnsi="宋体" w:cs="宋体" w:eastAsia="宋体" w:hint="ascii"/>
          <w:sz w:val="21"/>
        </w:rPr>
        <w:t>、本《指南</w:t>
      </w:r>
      <w:r>
        <w:rPr>
          <w:rFonts w:ascii="宋体" w:hAnsi="宋体" w:cs="宋体" w:eastAsia="宋体" w:hint="ascii"/>
          <w:sz w:val="21"/>
          <w:spacing w:val="-52"/>
        </w:rPr>
        <w:t>》、</w:t>
      </w:r>
      <w:r>
        <w:rPr>
          <w:rFonts w:ascii="宋体" w:hAnsi="宋体" w:cs="宋体" w:eastAsia="宋体" w:hint="ascii"/>
          <w:sz w:val="21"/>
        </w:rPr>
        <w:t>《国家自然科学基金依托单位基金工作管理办法》等规定，视情节轻重给予处理。</w:t>
      </w:r>
    </w:p>
    <w:p>
      <w:pPr>
        <w:autoSpaceDE w:val="0"/>
        <w:autoSpaceDN w:val="0"/>
        <w:jc w:val="left"/>
        <w:spacing w:before="932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viii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458" w:after="0" w:lineRule="exact" w:line="475"/>
        <w:ind w:right="0" w:left="2850" w:firstLine="0"/>
        <w:snapToGrid w:val="0"/>
        <w:textAlignment w:val="auto"/>
        <w:tabs/>
        <w:rPr>
          <w:rFonts w:ascii="宋体" w:hAnsi="宋体" w:cs="宋体" w:eastAsia="宋体" w:hint="ascii"/>
          <w:sz w:val="38"/>
        </w:rPr>
      </w:pPr>
      <w:r>
        <w:rPr>
          <w:rFonts w:ascii="宋体" w:hAnsi="宋体" w:cs="宋体" w:eastAsia="宋体" w:hint="ascii"/>
          <w:sz w:val="38"/>
        </w:rPr>
        <w:t>预算编报须知</w:t>
      </w:r>
      <w:r>
        <w:rPr>
          <w:rFonts w:ascii="宋体" w:hAnsi="宋体" w:cs="宋体" w:eastAsia="宋体" w:hint="ascii"/>
          <w:sz w:val="38"/>
        </w:rPr>
        <mc:AlternateContent>
          <mc:Choice Requires="wps">
            <w:drawing>
              <wp:anchor distL="0" distR="0" distT="0" distB="0" simplePos="0" behindDoc="1" relativeHeight="51" locked="0" layoutInCell="1" allowOverlap="1">
                <wp:simplePos x="0" y="0"/>
                <wp:positionH relativeFrom="page">
                  <wp:posOffset>938530</wp:posOffset>
                </wp:positionH>
                <wp:positionV relativeFrom="page">
                  <wp:posOffset>819150</wp:posOffset>
                </wp:positionV>
                <wp:extent cx="5076190" cy="0"/>
                <wp:wrapNone/>
                <wp:docPr id="1078" name="107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06016;width:399.70pt;" id="1078"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38"/>
        </w:rPr>
        <mc:AlternateContent>
          <mc:Choice Requires="wps">
            <w:drawing>
              <wp:anchor distL="0" distR="0" distT="0" distB="0" simplePos="0" behindDoc="1" relativeHeight="52" locked="0" layoutInCell="1" allowOverlap="1">
                <wp:simplePos x="0" y="0"/>
                <wp:positionH relativeFrom="page">
                  <wp:posOffset>403225</wp:posOffset>
                </wp:positionH>
                <wp:positionV relativeFrom="page">
                  <wp:posOffset>95885</wp:posOffset>
                </wp:positionV>
                <wp:extent cx="6049645" cy="876935"/>
                <wp:wrapNone/>
                <wp:docPr id="1079" name="1079"/>
                <wp:cNvGraphicFramePr/>
                <a:graphic>
                  <a:graphicData uri="http://schemas.microsoft.com/office/word/2010/wordprocessingShape">
                    <wps:wsp>
                      <wps:cNvSpPr/>
                      <wps:spPr>
                        <a:xfrm>
                          <a:off x="0" y="0"/>
                          <a:ext cx="6049645"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1.75pt;mso-position-vertical:absolute;mso-position-vertical-relative:page;margin-top:7.55pt;z-index:-251604992;width:476.35pt;height:69.05pt;" id="1079" coordsize="9527,1381" stroked="f" fillcolor="#ffffff" opacity="0f">
                <v:stroke endcap="round"/>
                <v:fill opacity="0f"/>
                <w10:wrap anchorx="page" anchory="page" side="both"/>
              </v:rect>
            </w:pict>
          </mc:Fallback>
        </mc:AlternateContent>
      </w:r>
    </w:p>
    <w:p>
      <w:pPr>
        <w:autoSpaceDE w:val="0"/>
        <w:autoSpaceDN w:val="0"/>
        <w:jc w:val="left"/>
        <w:spacing w:before="324"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一、关于总体要求</w:t>
      </w:r>
    </w:p>
    <w:p>
      <w:pPr>
        <w:autoSpaceDE w:val="0"/>
        <w:autoSpaceDN w:val="0"/>
        <w:jc w:val="left"/>
        <w:spacing w:before="58" w:after="0" w:lineRule="auto" w:line="240"/>
        <w:ind w:right="0" w:left="690" w:hanging="270"/>
        <w:snapToGrid w:val="0"/>
        <w:textAlignment w:val="auto"/>
        <w:tabs>
          <w:tab w:val="left" w:leader="none" w:pos="690"/>
        </w:tabs>
        <w:numPr>
          <w:ilvl w:val="0"/>
          <w:numId w:val="8"/>
        </w:numPr>
        <w:rPr>
          <w:rFonts w:ascii="Times New Roman" w:hAnsi="Times New Roman" w:cs="Times New Roman" w:eastAsia="Times New Roman" w:hint="ascii"/>
          <w:sz w:val="21"/>
        </w:rPr>
      </w:pPr>
      <w:r>
        <w:rPr>
          <w:rFonts w:ascii="宋体" w:hAnsi="宋体" w:cs="宋体" w:eastAsia="宋体" w:hint="ascii"/>
          <w:sz w:val="21"/>
          <w:spacing w:val="7"/>
        </w:rPr>
        <w:t>科学基金项目申请人要严格按照中央文件精神和</w:t>
      </w:r>
      <w:r>
        <w:rPr>
          <w:rFonts w:ascii="宋体" w:hAnsi="宋体" w:cs="宋体" w:eastAsia="宋体" w:hint="ascii"/>
          <w:sz w:val="21"/>
          <w:spacing w:val="4"/>
        </w:rPr>
        <w:t>《</w:t>
      </w:r>
      <w:r>
        <w:rPr>
          <w:rFonts w:ascii="宋体" w:hAnsi="宋体" w:cs="宋体" w:eastAsia="宋体" w:hint="ascii"/>
          <w:sz w:val="21"/>
          <w:spacing w:val="3"/>
        </w:rPr>
        <w:t>国家自然科学基金资助</w:t>
      </w:r>
      <w:r>
        <w:rPr>
          <w:rFonts w:ascii="宋体" w:hAnsi="宋体" w:cs="宋体" w:eastAsia="宋体" w:hint="ascii"/>
          <w:sz w:val="21"/>
        </w:rPr>
        <w:t>项</w:t>
      </w:r>
    </w:p>
    <w:p>
      <w:pPr>
        <w:autoSpaceDE w:val="0"/>
        <w:autoSpaceDN w:val="0"/>
        <w:jc w:val="both"/>
        <w:spacing w:before="17" w:after="0" w:lineRule="exact" w:line="320"/>
        <w:ind w:right="963" w:left="0" w:firstLine="0"/>
        <w:snapToGrid w:val="0"/>
        <w:textAlignment w:val="auto"/>
        <w:tabs/>
        <w:rPr>
          <w:rFonts w:ascii="宋体" w:hAnsi="宋体" w:cs="宋体" w:eastAsia="宋体" w:hint="ascii"/>
          <w:sz w:val="21"/>
        </w:rPr>
      </w:pPr>
      <w:r>
        <w:rPr>
          <w:rFonts w:ascii="宋体" w:hAnsi="宋体" w:cs="宋体" w:eastAsia="宋体" w:hint="ascii"/>
          <w:sz w:val="21"/>
        </w:rPr>
        <w:t>目资金管理办法</w:t>
      </w:r>
      <w:r>
        <w:rPr>
          <w:rFonts w:ascii="宋体" w:hAnsi="宋体" w:cs="宋体" w:eastAsia="宋体" w:hint="ascii"/>
          <w:sz w:val="21"/>
          <w:spacing w:val="-52"/>
        </w:rPr>
        <w:t>》</w:t>
      </w:r>
      <w:r>
        <w:rPr>
          <w:rFonts w:ascii="宋体" w:hAnsi="宋体" w:cs="宋体" w:eastAsia="宋体" w:hint="ascii"/>
          <w:sz w:val="21"/>
          <w:spacing w:val="4"/>
        </w:rPr>
        <w:t>（</w:t>
      </w:r>
      <w:r>
        <w:rPr>
          <w:rFonts w:ascii="宋体" w:hAnsi="宋体" w:cs="宋体" w:eastAsia="宋体" w:hint="ascii"/>
          <w:sz w:val="21"/>
          <w:spacing w:val="3"/>
        </w:rPr>
        <w:t>财教</w:t>
      </w:r>
      <w:r>
        <w:rPr>
          <w:rFonts w:ascii="宋体" w:hAnsi="宋体" w:cs="宋体" w:eastAsia="宋体" w:hint="ascii"/>
          <w:sz w:val="21"/>
          <w:spacing w:val="4"/>
        </w:rPr>
        <w:t>〔</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7"/>
        </w:rPr>
        <w:t>5</w:t>
      </w:r>
      <w:r>
        <w:rPr>
          <w:rFonts w:ascii="宋体" w:hAnsi="宋体" w:cs="宋体" w:eastAsia="宋体" w:hint="ascii"/>
          <w:sz w:val="21"/>
          <w:spacing w:val="4"/>
        </w:rPr>
        <w:t>〕</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3"/>
        </w:rPr>
        <w:t xml:space="preserve"> </w:t>
      </w:r>
      <w:r>
        <w:rPr>
          <w:rFonts w:ascii="宋体" w:hAnsi="宋体" w:cs="宋体" w:eastAsia="宋体" w:hint="ascii"/>
          <w:sz w:val="21"/>
          <w:spacing w:val="4"/>
        </w:rPr>
        <w:t>号</w:t>
      </w:r>
      <w:r>
        <w:rPr>
          <w:rFonts w:ascii="宋体" w:hAnsi="宋体" w:cs="宋体" w:eastAsia="宋体" w:hint="ascii"/>
          <w:sz w:val="21"/>
          <w:spacing w:val="-51"/>
        </w:rPr>
        <w:t>）、</w:t>
      </w:r>
      <w:r>
        <w:rPr>
          <w:rFonts w:ascii="宋体" w:hAnsi="宋体" w:cs="宋体" w:eastAsia="宋体" w:hint="ascii"/>
          <w:sz w:val="21"/>
        </w:rPr>
        <w:t>《关于国家自然科学基金资助项目资金管理有关问题的补充通知</w:t>
      </w:r>
      <w:r>
        <w:rPr>
          <w:rFonts w:ascii="宋体" w:hAnsi="宋体" w:cs="宋体" w:eastAsia="宋体" w:hint="ascii"/>
          <w:sz w:val="21"/>
          <w:spacing w:val="-52"/>
        </w:rPr>
        <w:t>》</w:t>
      </w:r>
      <w:r>
        <w:rPr>
          <w:rFonts w:ascii="宋体" w:hAnsi="宋体" w:cs="宋体" w:eastAsia="宋体" w:hint="ascii"/>
          <w:sz w:val="21"/>
        </w:rPr>
        <w:t>（财科教〔</w:t>
      </w:r>
      <w:r>
        <w:rPr>
          <w:rFonts w:ascii="Times New Roman" w:hAnsi="Times New Roman" w:cs="Times New Roman" w:eastAsia="Times New Roman" w:hint="ascii"/>
          <w:sz w:val="21"/>
        </w:rPr>
        <w:t>2016</w:t>
      </w:r>
      <w:r>
        <w:rPr>
          <w:rFonts w:ascii="宋体" w:hAnsi="宋体" w:cs="宋体" w:eastAsia="宋体" w:hint="ascii"/>
          <w:sz w:val="21"/>
        </w:rPr>
        <w:t>〕</w:t>
      </w:r>
      <w:r>
        <w:rPr>
          <w:rFonts w:ascii="Times New Roman" w:hAnsi="Times New Roman" w:cs="Times New Roman" w:eastAsia="Times New Roman" w:hint="ascii"/>
          <w:sz w:val="21"/>
        </w:rPr>
        <w:t xml:space="preserve">19 </w:t>
      </w:r>
      <w:r>
        <w:rPr>
          <w:rFonts w:ascii="宋体" w:hAnsi="宋体" w:cs="宋体" w:eastAsia="宋体" w:hint="ascii"/>
          <w:sz w:val="21"/>
        </w:rPr>
        <w:t>号</w:t>
      </w:r>
      <w:r>
        <w:rPr>
          <w:rFonts w:ascii="宋体" w:hAnsi="宋体" w:cs="宋体" w:eastAsia="宋体" w:hint="ascii"/>
          <w:sz w:val="21"/>
          <w:spacing w:val="-52"/>
        </w:rPr>
        <w:t>）</w:t>
      </w:r>
      <w:r>
        <w:rPr>
          <w:rFonts w:ascii="宋体" w:hAnsi="宋体" w:cs="宋体" w:eastAsia="宋体" w:hint="ascii"/>
          <w:sz w:val="21"/>
          <w:spacing w:val="-53"/>
        </w:rPr>
        <w:t>、</w:t>
      </w:r>
      <w:r>
        <w:rPr>
          <w:rFonts w:ascii="宋体" w:hAnsi="宋体" w:cs="宋体" w:eastAsia="宋体" w:hint="ascii"/>
          <w:sz w:val="21"/>
        </w:rPr>
        <w:t>《国家自然科学基金项目预算表编制说明》</w:t>
      </w:r>
      <w:r>
        <w:rPr>
          <w:rFonts w:ascii="宋体" w:hAnsi="宋体" w:cs="宋体" w:eastAsia="宋体" w:hint="ascii"/>
          <w:sz w:val="21"/>
          <w:spacing w:val="4"/>
        </w:rPr>
        <w:t>等的要求，认真如实编报项目预算。依托单位要按照有关规定认真进行审核</w:t>
      </w:r>
      <w:r>
        <w:rPr>
          <w:rFonts w:ascii="宋体" w:hAnsi="宋体" w:cs="宋体" w:eastAsia="宋体" w:hint="ascii"/>
          <w:sz w:val="21"/>
        </w:rPr>
        <w:t>。</w:t>
      </w:r>
    </w:p>
    <w:p>
      <w:pPr>
        <w:autoSpaceDE w:val="0"/>
        <w:autoSpaceDN w:val="0"/>
        <w:jc w:val="left"/>
        <w:spacing w:before="45" w:after="0" w:lineRule="auto" w:line="240"/>
        <w:ind w:right="0" w:left="690" w:hanging="270"/>
        <w:snapToGrid w:val="0"/>
        <w:textAlignment w:val="auto"/>
        <w:tabs>
          <w:tab w:val="left" w:leader="none" w:pos="688"/>
        </w:tabs>
        <w:numPr>
          <w:ilvl w:val="0"/>
          <w:numId w:val="8"/>
        </w:numPr>
        <w:rPr>
          <w:rFonts w:ascii="Times New Roman" w:hAnsi="Times New Roman" w:cs="Times New Roman" w:eastAsia="Times New Roman" w:hint="ascii"/>
          <w:sz w:val="21"/>
        </w:rPr>
      </w:pPr>
      <w:r>
        <w:rPr>
          <w:rFonts w:ascii="宋体" w:hAnsi="宋体" w:cs="宋体" w:eastAsia="宋体" w:hint="ascii"/>
          <w:sz w:val="21"/>
        </w:rPr>
        <w:t>预算编报要坚持“</w:t>
      </w:r>
      <w:r>
        <w:rPr>
          <w:rFonts w:ascii="宋体" w:hAnsi="宋体" w:cs="宋体" w:eastAsia="宋体" w:hint="ascii"/>
          <w:sz w:val="21"/>
        </w:rPr>
        <w:t>目标相关性、政策相符性、经济合理性</w:t>
      </w:r>
      <w:r>
        <w:rPr>
          <w:rFonts w:ascii="宋体" w:hAnsi="宋体" w:cs="宋体" w:eastAsia="宋体" w:hint="ascii"/>
          <w:sz w:val="21"/>
        </w:rPr>
        <w:t>”的基本原则</w:t>
      </w:r>
      <w:r>
        <w:rPr>
          <w:rFonts w:ascii="宋体" w:hAnsi="宋体" w:cs="宋体" w:eastAsia="宋体" w:hint="ascii"/>
          <w:sz w:val="21"/>
          <w:spacing w:val="3"/>
        </w:rPr>
        <w:t>，所</w:t>
      </w:r>
      <w:r>
        <w:rPr>
          <w:rFonts w:ascii="宋体" w:hAnsi="宋体" w:cs="宋体" w:eastAsia="宋体" w:hint="ascii"/>
          <w:sz w:val="21"/>
        </w:rPr>
        <w:t>有</w:t>
      </w:r>
    </w:p>
    <w:p>
      <w:pPr>
        <w:autoSpaceDE w:val="0"/>
        <w:autoSpaceDN w:val="0"/>
        <w:jc w:val="left"/>
        <w:spacing w:before="65"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预算支出科目、支出项目和支出标准等都要符合上述三个基本原则的精神。</w:t>
      </w:r>
    </w:p>
    <w:p>
      <w:pPr>
        <w:autoSpaceDE w:val="0"/>
        <w:autoSpaceDN w:val="0"/>
        <w:jc w:val="left"/>
        <w:spacing w:before="58"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二、关于预算科目</w:t>
      </w:r>
    </w:p>
    <w:p>
      <w:pPr>
        <w:autoSpaceDE w:val="0"/>
        <w:autoSpaceDN w:val="0"/>
        <w:jc w:val="both"/>
        <w:spacing w:before="10" w:after="0" w:lineRule="exact" w:line="320"/>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1"/>
        </w:rPr>
        <w:t>科学基金项目</w:t>
      </w:r>
      <w:r>
        <w:rPr>
          <w:rFonts w:ascii="宋体" w:hAnsi="宋体" w:cs="宋体" w:eastAsia="宋体" w:hint="ascii"/>
          <w:sz w:val="21"/>
        </w:rPr>
        <w:t>资金分为直接费用和间接费用。其中，</w:t>
      </w:r>
      <w:r>
        <w:rPr>
          <w:rFonts w:ascii="宋体" w:hAnsi="宋体" w:cs="宋体" w:eastAsia="宋体" w:hint="ascii"/>
          <w:sz w:val="21"/>
        </w:rPr>
        <w:t>项目申请人只编报直接费用预算；</w:t>
      </w:r>
      <w:r>
        <w:rPr>
          <w:rFonts w:ascii="宋体" w:hAnsi="宋体" w:cs="宋体" w:eastAsia="宋体" w:hint="ascii"/>
          <w:sz w:val="21"/>
        </w:rPr>
        <w:t>间接费用按依托单位单独核定。</w:t>
      </w:r>
    </w:p>
    <w:p>
      <w:pPr>
        <w:autoSpaceDE w:val="0"/>
        <w:autoSpaceDN w:val="0"/>
        <w:jc w:val="both"/>
        <w:spacing w:before="0" w:after="0" w:lineRule="exact" w:line="319"/>
        <w:ind w:right="963" w:left="0" w:firstLine="578"/>
        <w:snapToGrid w:val="0"/>
        <w:textAlignment w:val="auto"/>
        <w:tabs>
          <w:tab w:val="left" w:leader="none" w:pos="688"/>
        </w:tabs>
        <w:numPr>
          <w:ilvl w:val="0"/>
          <w:numId w:val="9"/>
        </w:numPr>
        <w:rPr>
          <w:rFonts w:ascii="Times New Roman" w:hAnsi="Times New Roman" w:cs="Times New Roman" w:eastAsia="Times New Roman" w:hint="ascii"/>
          <w:sz w:val="21"/>
        </w:rPr>
      </w:pPr>
      <w:r>
        <w:rPr>
          <w:rFonts w:ascii="宋体" w:hAnsi="宋体" w:cs="宋体" w:eastAsia="宋体" w:hint="ascii"/>
          <w:sz w:val="21"/>
        </w:rPr>
        <w:t>设备费，是指在项目研究过程中购置或试制专用仪器设备，对现有仪器设备进 行升级改造，以及租赁外单位仪器设备而发生的费用。</w:t>
      </w:r>
    </w:p>
    <w:p>
      <w:pPr>
        <w:autoSpaceDE w:val="0"/>
        <w:autoSpaceDN w:val="0"/>
        <w:jc w:val="both"/>
        <w:spacing w:before="1" w:after="0" w:lineRule="exact" w:line="320"/>
        <w:ind w:right="963" w:left="0" w:firstLine="578"/>
        <w:snapToGrid w:val="0"/>
        <w:textAlignment w:val="auto"/>
        <w:tabs>
          <w:tab w:val="left" w:leader="none" w:pos="688"/>
        </w:tabs>
        <w:numPr>
          <w:ilvl w:val="0"/>
          <w:numId w:val="9"/>
        </w:numPr>
        <w:rPr>
          <w:rFonts w:ascii="Times New Roman" w:hAnsi="Times New Roman" w:cs="Times New Roman" w:eastAsia="Times New Roman" w:hint="ascii"/>
          <w:sz w:val="21"/>
        </w:rPr>
      </w:pPr>
      <w:r>
        <w:rPr>
          <w:rFonts w:ascii="宋体" w:hAnsi="宋体" w:cs="宋体" w:eastAsia="宋体" w:hint="ascii"/>
          <w:sz w:val="21"/>
        </w:rPr>
        <w:t>材料费，是指在项目研究过程中消耗的各种原材料、辅助材料、低值易耗品等 的采购及运输、装卸、整理等费用。</w:t>
      </w:r>
    </w:p>
    <w:p>
      <w:pPr>
        <w:autoSpaceDE w:val="0"/>
        <w:autoSpaceDN w:val="0"/>
        <w:jc w:val="left"/>
        <w:spacing w:before="45" w:after="0" w:lineRule="auto" w:line="240"/>
        <w:ind w:right="0" w:left="0" w:firstLine="578"/>
        <w:snapToGrid w:val="0"/>
        <w:textAlignment w:val="auto"/>
        <w:tabs>
          <w:tab w:val="left" w:leader="none" w:pos="688"/>
        </w:tabs>
        <w:numPr>
          <w:ilvl w:val="0"/>
          <w:numId w:val="9"/>
        </w:numPr>
        <w:rPr>
          <w:rFonts w:ascii="Times New Roman" w:hAnsi="Times New Roman" w:cs="Times New Roman" w:eastAsia="Times New Roman" w:hint="ascii"/>
          <w:sz w:val="21"/>
        </w:rPr>
      </w:pPr>
      <w:r>
        <w:rPr>
          <w:rFonts w:ascii="宋体" w:hAnsi="宋体" w:cs="宋体" w:eastAsia="宋体" w:hint="ascii"/>
          <w:sz w:val="21"/>
        </w:rPr>
        <w:t>测试化验加工费，是指在项目研究过程中支付给外单位（包括依托单位</w:t>
      </w:r>
      <w:r>
        <w:rPr>
          <w:rFonts w:ascii="宋体" w:hAnsi="宋体" w:cs="宋体" w:eastAsia="宋体" w:hint="ascii"/>
          <w:sz w:val="21"/>
          <w:spacing w:val="3"/>
        </w:rPr>
        <w:t>内部</w:t>
      </w:r>
      <w:r>
        <w:rPr>
          <w:rFonts w:ascii="宋体" w:hAnsi="宋体" w:cs="宋体" w:eastAsia="宋体" w:hint="ascii"/>
          <w:sz w:val="21"/>
        </w:rPr>
        <w:t>独</w:t>
      </w:r>
    </w:p>
    <w:p>
      <w:pPr>
        <w:autoSpaceDE w:val="0"/>
        <w:autoSpaceDN w:val="0"/>
        <w:jc w:val="left"/>
        <w:spacing w:before="65"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立经济核算单位）的检验、测试、化验及加工等费用。</w:t>
      </w:r>
    </w:p>
    <w:p>
      <w:pPr>
        <w:autoSpaceDE w:val="0"/>
        <w:autoSpaceDN w:val="0"/>
        <w:jc w:val="both"/>
        <w:spacing w:before="13" w:after="0" w:lineRule="exact" w:line="319"/>
        <w:ind w:right="963" w:left="0" w:firstLine="578"/>
        <w:snapToGrid w:val="0"/>
        <w:textAlignment w:val="auto"/>
        <w:tabs>
          <w:tab w:val="left" w:leader="none" w:pos="688"/>
        </w:tabs>
        <w:numPr>
          <w:ilvl w:val="0"/>
          <w:numId w:val="9"/>
        </w:numPr>
        <w:rPr>
          <w:rFonts w:ascii="Times New Roman" w:hAnsi="Times New Roman" w:cs="Times New Roman" w:eastAsia="Times New Roman" w:hint="ascii"/>
          <w:sz w:val="21"/>
        </w:rPr>
      </w:pPr>
      <w:r>
        <w:rPr>
          <w:rFonts w:ascii="宋体" w:hAnsi="宋体" w:cs="宋体" w:eastAsia="宋体" w:hint="ascii"/>
          <w:sz w:val="21"/>
        </w:rPr>
        <w:t>燃料动力费，是指在项目研究过程中相关大型仪器设备、专用科学装置等运行 发生的可以单独计量的水、电、气、燃料消耗费用等。</w:t>
      </w:r>
    </w:p>
    <w:p>
      <w:pPr>
        <w:autoSpaceDE w:val="0"/>
        <w:autoSpaceDN w:val="0"/>
        <w:jc w:val="left"/>
        <w:spacing w:before="47" w:after="0" w:lineRule="auto" w:line="240"/>
        <w:ind w:right="0" w:left="0" w:firstLine="578"/>
        <w:snapToGrid w:val="0"/>
        <w:textAlignment w:val="auto"/>
        <w:tabs>
          <w:tab w:val="left" w:leader="none" w:pos="688"/>
        </w:tabs>
        <w:numPr>
          <w:ilvl w:val="0"/>
          <w:numId w:val="9"/>
        </w:numPr>
        <w:rPr>
          <w:rFonts w:ascii="Times New Roman" w:hAnsi="Times New Roman" w:cs="Times New Roman" w:eastAsia="Times New Roman" w:hint="ascii"/>
          <w:sz w:val="21"/>
        </w:rPr>
      </w:pPr>
      <w:r>
        <w:rPr>
          <w:rFonts w:ascii="宋体" w:hAnsi="宋体" w:cs="宋体" w:eastAsia="宋体" w:hint="ascii"/>
          <w:sz w:val="21"/>
        </w:rPr>
        <w:t>差旅</w:t>
      </w:r>
      <w:r>
        <w:rPr>
          <w:rFonts w:ascii="Times New Roman" w:hAnsi="Times New Roman" w:cs="Times New Roman" w:eastAsia="Times New Roman" w:hint="ascii"/>
          <w:sz w:val="21"/>
        </w:rPr>
        <w:t>/</w:t>
      </w:r>
      <w:r>
        <w:rPr>
          <w:rFonts w:ascii="宋体" w:hAnsi="宋体" w:cs="宋体" w:eastAsia="宋体" w:hint="ascii"/>
          <w:sz w:val="21"/>
        </w:rPr>
        <w:t>会议</w:t>
      </w:r>
      <w:r>
        <w:rPr>
          <w:rFonts w:ascii="Times New Roman" w:hAnsi="Times New Roman" w:cs="Times New Roman" w:eastAsia="Times New Roman" w:hint="ascii"/>
          <w:sz w:val="21"/>
        </w:rPr>
        <w:t>/</w:t>
      </w:r>
      <w:r>
        <w:rPr>
          <w:rFonts w:ascii="宋体" w:hAnsi="宋体" w:cs="宋体" w:eastAsia="宋体" w:hint="ascii"/>
          <w:sz w:val="21"/>
        </w:rPr>
        <w:t>国际合作与交流费，是指在项目研究过程中开展科学实验（试验</w:t>
      </w:r>
      <w:r>
        <w:rPr>
          <w:rFonts w:ascii="宋体" w:hAnsi="宋体" w:cs="宋体" w:eastAsia="宋体" w:hint="ascii"/>
          <w:sz w:val="21"/>
          <w:spacing w:val="-50"/>
        </w:rPr>
        <w:t>）</w:t>
      </w:r>
      <w:r>
        <w:rPr>
          <w:rFonts w:ascii="宋体" w:hAnsi="宋体" w:cs="宋体" w:eastAsia="宋体" w:hint="ascii"/>
          <w:sz w:val="21"/>
        </w:rPr>
        <w:t>、</w:t>
      </w:r>
    </w:p>
    <w:p>
      <w:pPr>
        <w:autoSpaceDE w:val="0"/>
        <w:autoSpaceDN w:val="0"/>
        <w:jc w:val="both"/>
        <w:spacing w:before="20" w:after="0" w:lineRule="exact" w:line="319"/>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科学考察、业</w:t>
      </w:r>
      <w:r>
        <w:rPr>
          <w:rFonts w:ascii="宋体" w:hAnsi="宋体" w:cs="宋体" w:eastAsia="宋体" w:hint="ascii"/>
          <w:sz w:val="21"/>
        </w:rPr>
        <w:t>务调研、学术交流等所发生的外埠差旅费、市内交通费用；为了组织开展</w:t>
      </w:r>
      <w:r>
        <w:rPr>
          <w:rFonts w:ascii="宋体" w:hAnsi="宋体" w:cs="宋体" w:eastAsia="宋体" w:hint="ascii"/>
          <w:sz w:val="21"/>
          <w:spacing w:val="-1"/>
        </w:rPr>
        <w:t>学术研讨、咨</w:t>
      </w:r>
      <w:r>
        <w:rPr>
          <w:rFonts w:ascii="宋体" w:hAnsi="宋体" w:cs="宋体" w:eastAsia="宋体" w:hint="ascii"/>
          <w:sz w:val="21"/>
        </w:rPr>
        <w:t>询以及协调项目研究工作等活动而发生的会议费用；以及项目研究人员出</w:t>
      </w:r>
      <w:r>
        <w:rPr>
          <w:rFonts w:ascii="宋体" w:hAnsi="宋体" w:cs="宋体" w:eastAsia="宋体" w:hint="ascii"/>
          <w:sz w:val="21"/>
          <w:spacing w:val="-1"/>
        </w:rPr>
        <w:t>国及赴港澳台</w:t>
      </w:r>
      <w:r>
        <w:rPr>
          <w:rFonts w:ascii="宋体" w:hAnsi="宋体" w:cs="宋体" w:eastAsia="宋体" w:hint="ascii"/>
          <w:sz w:val="21"/>
        </w:rPr>
        <w:t>、外国专家来华及港澳台专家来内地工作的费用。其中，本科目不超过直接费</w:t>
      </w:r>
      <w:r>
        <w:rPr>
          <w:rFonts w:ascii="宋体" w:hAnsi="宋体" w:cs="宋体" w:eastAsia="宋体" w:hint="ascii"/>
          <w:sz w:val="21"/>
          <w:spacing w:val="26"/>
        </w:rPr>
        <w:t>用</w:t>
      </w:r>
      <w:r>
        <w:rPr>
          <w:rFonts w:ascii="Times New Roman" w:hAnsi="Times New Roman" w:cs="Times New Roman" w:eastAsia="Times New Roman" w:hint="ascii"/>
          <w:sz w:val="21"/>
        </w:rPr>
        <w:t>10%</w:t>
      </w:r>
      <w:r>
        <w:rPr>
          <w:rFonts w:ascii="宋体" w:hAnsi="宋体" w:cs="宋体" w:eastAsia="宋体" w:hint="ascii"/>
          <w:sz w:val="21"/>
        </w:rPr>
        <w:t>的，不需要提供预算测算依据。</w:t>
      </w:r>
    </w:p>
    <w:p>
      <w:pPr>
        <w:autoSpaceDE w:val="0"/>
        <w:autoSpaceDN w:val="0"/>
        <w:jc w:val="left"/>
        <w:spacing w:before="48" w:after="0" w:lineRule="auto" w:line="240"/>
        <w:ind w:right="0" w:left="0" w:firstLine="578"/>
        <w:snapToGrid w:val="0"/>
        <w:textAlignment w:val="auto"/>
        <w:tabs>
          <w:tab w:val="left" w:leader="none" w:pos="688"/>
        </w:tabs>
        <w:numPr>
          <w:ilvl w:val="0"/>
          <w:numId w:val="9"/>
        </w:numPr>
        <w:rPr>
          <w:rFonts w:ascii="Times New Roman" w:hAnsi="Times New Roman" w:cs="Times New Roman" w:eastAsia="Times New Roman" w:hint="ascii"/>
          <w:sz w:val="21"/>
        </w:rPr>
      </w:pPr>
      <w:r>
        <w:rPr>
          <w:rFonts w:ascii="宋体" w:hAnsi="宋体" w:cs="宋体" w:eastAsia="宋体" w:hint="ascii"/>
          <w:sz w:val="21"/>
        </w:rPr>
        <w:t>出</w:t>
      </w:r>
      <w:r>
        <w:rPr>
          <w:rFonts w:ascii="宋体" w:hAnsi="宋体" w:cs="宋体" w:eastAsia="宋体" w:hint="ascii"/>
          <w:sz w:val="21"/>
          <w:spacing w:val="3"/>
        </w:rPr>
        <w:t>版</w:t>
      </w:r>
      <w:r>
        <w:rPr>
          <w:rFonts w:ascii="Times New Roman" w:hAnsi="Times New Roman" w:cs="Times New Roman" w:eastAsia="Times New Roman" w:hint="ascii"/>
          <w:sz w:val="21"/>
          <w:spacing w:val="5"/>
        </w:rPr>
        <w:t>/</w:t>
      </w:r>
      <w:r>
        <w:rPr>
          <w:rFonts w:ascii="宋体" w:hAnsi="宋体" w:cs="宋体" w:eastAsia="宋体" w:hint="ascii"/>
          <w:sz w:val="21"/>
        </w:rPr>
        <w:t>文献</w:t>
      </w:r>
      <w:r>
        <w:rPr>
          <w:rFonts w:ascii="Times New Roman" w:hAnsi="Times New Roman" w:cs="Times New Roman" w:eastAsia="Times New Roman" w:hint="ascii"/>
          <w:sz w:val="21"/>
          <w:spacing w:val="5"/>
        </w:rPr>
        <w:t>/</w:t>
      </w:r>
      <w:r>
        <w:rPr>
          <w:rFonts w:ascii="宋体" w:hAnsi="宋体" w:cs="宋体" w:eastAsia="宋体" w:hint="ascii"/>
          <w:sz w:val="21"/>
          <w:spacing w:val="3"/>
        </w:rPr>
        <w:t>信息</w:t>
      </w:r>
      <w:r>
        <w:rPr>
          <w:rFonts w:ascii="宋体" w:hAnsi="宋体" w:cs="宋体" w:eastAsia="宋体" w:hint="ascii"/>
          <w:sz w:val="21"/>
        </w:rPr>
        <w:t>传</w:t>
      </w:r>
      <w:r>
        <w:rPr>
          <w:rFonts w:ascii="宋体" w:hAnsi="宋体" w:cs="宋体" w:eastAsia="宋体" w:hint="ascii"/>
          <w:sz w:val="21"/>
          <w:spacing w:val="3"/>
        </w:rPr>
        <w:t>播</w:t>
      </w:r>
      <w:r>
        <w:rPr>
          <w:rFonts w:ascii="Times New Roman" w:hAnsi="Times New Roman" w:cs="Times New Roman" w:eastAsia="Times New Roman" w:hint="ascii"/>
          <w:sz w:val="21"/>
          <w:spacing w:val="5"/>
        </w:rPr>
        <w:t>/</w:t>
      </w:r>
      <w:r>
        <w:rPr>
          <w:rFonts w:ascii="宋体" w:hAnsi="宋体" w:cs="宋体" w:eastAsia="宋体" w:hint="ascii"/>
          <w:sz w:val="21"/>
        </w:rPr>
        <w:t>知</w:t>
      </w:r>
      <w:r>
        <w:rPr>
          <w:rFonts w:ascii="宋体" w:hAnsi="宋体" w:cs="宋体" w:eastAsia="宋体" w:hint="ascii"/>
          <w:sz w:val="21"/>
          <w:spacing w:val="3"/>
        </w:rPr>
        <w:t>识</w:t>
      </w:r>
      <w:r>
        <w:rPr>
          <w:rFonts w:ascii="宋体" w:hAnsi="宋体" w:cs="宋体" w:eastAsia="宋体" w:hint="ascii"/>
          <w:sz w:val="21"/>
        </w:rPr>
        <w:t>产</w:t>
      </w:r>
      <w:r>
        <w:rPr>
          <w:rFonts w:ascii="宋体" w:hAnsi="宋体" w:cs="宋体" w:eastAsia="宋体" w:hint="ascii"/>
          <w:sz w:val="21"/>
          <w:spacing w:val="3"/>
        </w:rPr>
        <w:t>权</w:t>
      </w:r>
      <w:r>
        <w:rPr>
          <w:rFonts w:ascii="宋体" w:hAnsi="宋体" w:cs="宋体" w:eastAsia="宋体" w:hint="ascii"/>
          <w:sz w:val="21"/>
        </w:rPr>
        <w:t>事务</w:t>
      </w:r>
      <w:r>
        <w:rPr>
          <w:rFonts w:ascii="宋体" w:hAnsi="宋体" w:cs="宋体" w:eastAsia="宋体" w:hint="ascii"/>
          <w:sz w:val="21"/>
          <w:spacing w:val="3"/>
        </w:rPr>
        <w:t>费</w:t>
      </w:r>
      <w:r>
        <w:rPr>
          <w:rFonts w:ascii="宋体" w:hAnsi="宋体" w:cs="宋体" w:eastAsia="宋体" w:hint="ascii"/>
          <w:sz w:val="21"/>
        </w:rPr>
        <w:t>，</w:t>
      </w:r>
      <w:r>
        <w:rPr>
          <w:rFonts w:ascii="宋体" w:hAnsi="宋体" w:cs="宋体" w:eastAsia="宋体" w:hint="ascii"/>
          <w:sz w:val="21"/>
          <w:spacing w:val="3"/>
        </w:rPr>
        <w:t>是</w:t>
      </w:r>
      <w:r>
        <w:rPr>
          <w:rFonts w:ascii="宋体" w:hAnsi="宋体" w:cs="宋体" w:eastAsia="宋体" w:hint="ascii"/>
          <w:sz w:val="21"/>
        </w:rPr>
        <w:t>指在</w:t>
      </w:r>
      <w:r>
        <w:rPr>
          <w:rFonts w:ascii="宋体" w:hAnsi="宋体" w:cs="宋体" w:eastAsia="宋体" w:hint="ascii"/>
          <w:sz w:val="21"/>
          <w:spacing w:val="3"/>
        </w:rPr>
        <w:t>项</w:t>
      </w:r>
      <w:r>
        <w:rPr>
          <w:rFonts w:ascii="宋体" w:hAnsi="宋体" w:cs="宋体" w:eastAsia="宋体" w:hint="ascii"/>
          <w:sz w:val="21"/>
        </w:rPr>
        <w:t>目</w:t>
      </w:r>
      <w:r>
        <w:rPr>
          <w:rFonts w:ascii="宋体" w:hAnsi="宋体" w:cs="宋体" w:eastAsia="宋体" w:hint="ascii"/>
          <w:sz w:val="21"/>
          <w:spacing w:val="3"/>
        </w:rPr>
        <w:t>研</w:t>
      </w:r>
      <w:r>
        <w:rPr>
          <w:rFonts w:ascii="宋体" w:hAnsi="宋体" w:cs="宋体" w:eastAsia="宋体" w:hint="ascii"/>
          <w:sz w:val="21"/>
        </w:rPr>
        <w:t>究过</w:t>
      </w:r>
      <w:r>
        <w:rPr>
          <w:rFonts w:ascii="宋体" w:hAnsi="宋体" w:cs="宋体" w:eastAsia="宋体" w:hint="ascii"/>
          <w:sz w:val="21"/>
          <w:spacing w:val="3"/>
        </w:rPr>
        <w:t>程</w:t>
      </w:r>
      <w:r>
        <w:rPr>
          <w:rFonts w:ascii="宋体" w:hAnsi="宋体" w:cs="宋体" w:eastAsia="宋体" w:hint="ascii"/>
          <w:sz w:val="21"/>
        </w:rPr>
        <w:t>中</w:t>
      </w:r>
      <w:r>
        <w:rPr>
          <w:rFonts w:ascii="宋体" w:hAnsi="宋体" w:cs="宋体" w:eastAsia="宋体" w:hint="ascii"/>
          <w:sz w:val="21"/>
          <w:spacing w:val="3"/>
        </w:rPr>
        <w:t>，</w:t>
      </w:r>
      <w:r>
        <w:rPr>
          <w:rFonts w:ascii="宋体" w:hAnsi="宋体" w:cs="宋体" w:eastAsia="宋体" w:hint="ascii"/>
          <w:sz w:val="21"/>
        </w:rPr>
        <w:t>需要</w:t>
      </w:r>
      <w:r>
        <w:rPr>
          <w:rFonts w:ascii="宋体" w:hAnsi="宋体" w:cs="宋体" w:eastAsia="宋体" w:hint="ascii"/>
          <w:sz w:val="21"/>
          <w:spacing w:val="3"/>
        </w:rPr>
        <w:t>支</w:t>
      </w:r>
      <w:r>
        <w:rPr>
          <w:rFonts w:ascii="宋体" w:hAnsi="宋体" w:cs="宋体" w:eastAsia="宋体" w:hint="ascii"/>
          <w:sz w:val="21"/>
        </w:rPr>
        <w:t>付</w:t>
      </w:r>
      <w:r>
        <w:rPr>
          <w:rFonts w:ascii="宋体" w:hAnsi="宋体" w:cs="宋体" w:eastAsia="宋体" w:hint="ascii"/>
          <w:sz w:val="21"/>
          <w:spacing w:val="3"/>
        </w:rPr>
        <w:t>的</w:t>
      </w:r>
      <w:r>
        <w:rPr>
          <w:rFonts w:ascii="宋体" w:hAnsi="宋体" w:cs="宋体" w:eastAsia="宋体" w:hint="ascii"/>
          <w:sz w:val="21"/>
        </w:rPr>
        <w:t>出</w:t>
      </w:r>
    </w:p>
    <w:p>
      <w:pPr>
        <w:autoSpaceDE w:val="0"/>
        <w:autoSpaceDN w:val="0"/>
        <w:jc w:val="both"/>
        <w:spacing w:before="19" w:after="0" w:lineRule="exact" w:line="320"/>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版费、资料</w:t>
      </w:r>
      <w:r>
        <w:rPr>
          <w:rFonts w:ascii="宋体" w:hAnsi="宋体" w:cs="宋体" w:eastAsia="宋体" w:hint="ascii"/>
          <w:sz w:val="21"/>
        </w:rPr>
        <w:t>费、专用软件购买费、文献检索费、专业通信费、专利申请及其他知识产权事务等费用。</w:t>
      </w:r>
    </w:p>
    <w:p>
      <w:pPr>
        <w:autoSpaceDE w:val="0"/>
        <w:autoSpaceDN w:val="0"/>
        <w:jc w:val="left"/>
        <w:spacing w:before="45" w:after="0" w:lineRule="auto" w:line="240"/>
        <w:ind w:right="0" w:left="0" w:firstLine="578"/>
        <w:snapToGrid w:val="0"/>
        <w:textAlignment w:val="auto"/>
        <w:tabs>
          <w:tab w:val="left" w:leader="none" w:pos="688"/>
        </w:tabs>
        <w:numPr>
          <w:ilvl w:val="0"/>
          <w:numId w:val="9"/>
        </w:numPr>
        <w:rPr>
          <w:rFonts w:ascii="Times New Roman" w:hAnsi="Times New Roman" w:cs="Times New Roman" w:eastAsia="Times New Roman" w:hint="ascii"/>
          <w:sz w:val="21"/>
        </w:rPr>
      </w:pPr>
      <w:r>
        <w:rPr>
          <w:rFonts w:ascii="宋体" w:hAnsi="宋体" w:cs="宋体" w:eastAsia="宋体" w:hint="ascii"/>
          <w:sz w:val="21"/>
        </w:rPr>
        <w:t>劳务费，是指在项目研究过程中支付给参与项目研究的研究生、博士后</w:t>
      </w:r>
      <w:r>
        <w:rPr>
          <w:rFonts w:ascii="宋体" w:hAnsi="宋体" w:cs="宋体" w:eastAsia="宋体" w:hint="ascii"/>
          <w:sz w:val="21"/>
          <w:spacing w:val="3"/>
        </w:rPr>
        <w:t>、访</w:t>
      </w:r>
      <w:r>
        <w:rPr>
          <w:rFonts w:ascii="宋体" w:hAnsi="宋体" w:cs="宋体" w:eastAsia="宋体" w:hint="ascii"/>
          <w:sz w:val="21"/>
        </w:rPr>
        <w:t>问</w:t>
      </w:r>
    </w:p>
    <w:p>
      <w:pPr>
        <w:autoSpaceDE w:val="0"/>
        <w:autoSpaceDN w:val="0"/>
        <w:jc w:val="both"/>
        <w:spacing w:before="19" w:after="0" w:lineRule="exact" w:line="320"/>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学者以及项</w:t>
      </w:r>
      <w:r>
        <w:rPr>
          <w:rFonts w:ascii="宋体" w:hAnsi="宋体" w:cs="宋体" w:eastAsia="宋体" w:hint="ascii"/>
          <w:sz w:val="21"/>
        </w:rPr>
        <w:t>目聘用的研究人员、科研辅助人员等的劳务费用，以及项目聘用人员的社会保险补助费用。</w:t>
      </w:r>
    </w:p>
    <w:p>
      <w:pPr>
        <w:autoSpaceDE w:val="0"/>
        <w:autoSpaceDN w:val="0"/>
        <w:jc w:val="left"/>
        <w:spacing w:before="45" w:after="0" w:lineRule="auto" w:line="240"/>
        <w:ind w:right="0" w:left="0" w:firstLine="578"/>
        <w:snapToGrid w:val="0"/>
        <w:textAlignment w:val="auto"/>
        <w:tabs>
          <w:tab w:val="left" w:leader="none" w:pos="683"/>
        </w:tabs>
        <w:numPr>
          <w:ilvl w:val="0"/>
          <w:numId w:val="9"/>
        </w:numPr>
        <w:rPr>
          <w:rFonts w:ascii="Times New Roman" w:hAnsi="Times New Roman" w:cs="Times New Roman" w:eastAsia="Times New Roman" w:hint="ascii"/>
          <w:sz w:val="21"/>
        </w:rPr>
      </w:pPr>
      <w:r>
        <w:rPr>
          <w:rFonts w:ascii="宋体" w:hAnsi="宋体" w:cs="宋体" w:eastAsia="宋体" w:hint="ascii"/>
          <w:sz w:val="21"/>
        </w:rPr>
        <w:t>专家咨询费，是指在项目研究过程中支付给临时聘请的咨询专家的费用。</w:t>
      </w:r>
    </w:p>
    <w:p>
      <w:pPr>
        <w:autoSpaceDE w:val="0"/>
        <w:autoSpaceDN w:val="0"/>
        <w:jc w:val="both"/>
        <w:spacing w:before="19" w:after="0" w:lineRule="exact" w:line="320"/>
        <w:ind w:right="1766" w:left="420" w:firstLine="158"/>
        <w:snapToGrid w:val="0"/>
        <w:textAlignment w:val="auto"/>
        <w:tabs>
          <w:tab w:val="left" w:leader="none" w:pos="683"/>
        </w:tabs>
        <w:numPr>
          <w:ilvl w:val="0"/>
          <w:numId w:val="9"/>
        </w:numPr>
        <w:rPr>
          <w:rFonts w:ascii="Times New Roman" w:hAnsi="Times New Roman" w:cs="Times New Roman" w:eastAsia="Times New Roman" w:hint="ascii"/>
          <w:sz w:val="21"/>
        </w:rPr>
      </w:pPr>
      <w:r>
        <w:rPr>
          <w:rFonts w:ascii="宋体" w:hAnsi="宋体" w:cs="宋体" w:eastAsia="宋体" w:hint="ascii"/>
          <w:sz w:val="21"/>
          <w:spacing w:val="-1"/>
        </w:rPr>
        <w:t>其他支出，是</w:t>
      </w:r>
      <w:r>
        <w:rPr>
          <w:rFonts w:ascii="宋体" w:hAnsi="宋体" w:cs="宋体" w:eastAsia="宋体" w:hint="ascii"/>
          <w:sz w:val="21"/>
        </w:rPr>
        <w:t>指在项目研究过程中发生的除上述费用之外的其他支出。</w:t>
      </w:r>
      <w:r>
        <w:rPr>
          <w:rFonts w:ascii="宋体" w:hAnsi="宋体" w:cs="宋体" w:eastAsia="宋体" w:hint="ascii"/>
          <w:sz w:val="21"/>
        </w:rPr>
        <w:t>三、关于定额补助式资助项目</w:t>
      </w:r>
    </w:p>
    <w:p>
      <w:pPr>
        <w:autoSpaceDE w:val="0"/>
        <w:autoSpaceDN w:val="0"/>
        <w:jc w:val="left"/>
        <w:spacing w:before="45" w:after="0" w:lineRule="auto" w:line="240"/>
        <w:ind w:right="0" w:left="683" w:hanging="263"/>
        <w:snapToGrid w:val="0"/>
        <w:textAlignment w:val="auto"/>
        <w:tabs>
          <w:tab w:val="left" w:leader="none" w:pos="683"/>
        </w:tabs>
        <w:numPr>
          <w:ilvl w:val="0"/>
          <w:numId w:val="10"/>
        </w:numPr>
        <w:rPr>
          <w:rFonts w:ascii="Times New Roman" w:hAnsi="Times New Roman" w:cs="Times New Roman" w:eastAsia="Times New Roman" w:hint="ascii"/>
          <w:sz w:val="21"/>
        </w:rPr>
      </w:pPr>
      <w:r>
        <w:rPr>
          <w:rFonts w:ascii="宋体" w:hAnsi="宋体" w:cs="宋体" w:eastAsia="宋体" w:hint="ascii"/>
          <w:sz w:val="21"/>
        </w:rPr>
        <w:t>科学基金项目分为定额补助和成本补偿两类。</w:t>
      </w:r>
    </w:p>
    <w:p>
      <w:pPr>
        <w:autoSpaceDE w:val="0"/>
        <w:autoSpaceDN w:val="0"/>
        <w:jc w:val="left"/>
        <w:spacing w:before="65" w:after="0" w:lineRule="auto" w:line="240"/>
        <w:ind w:right="0" w:left="683" w:hanging="263"/>
        <w:snapToGrid w:val="0"/>
        <w:textAlignment w:val="auto"/>
        <w:tabs>
          <w:tab w:val="left" w:leader="none" w:pos="688"/>
        </w:tabs>
        <w:numPr>
          <w:ilvl w:val="0"/>
          <w:numId w:val="10"/>
        </w:numPr>
        <w:rPr>
          <w:rFonts w:ascii="Times New Roman" w:hAnsi="Times New Roman" w:cs="Times New Roman" w:eastAsia="Times New Roman" w:hint="ascii"/>
          <w:sz w:val="21"/>
        </w:rPr>
      </w:pPr>
      <w:r>
        <w:rPr>
          <w:rFonts w:ascii="宋体" w:hAnsi="宋体" w:cs="宋体" w:eastAsia="宋体" w:hint="ascii"/>
          <w:sz w:val="21"/>
        </w:rPr>
        <w:t>除了重大项目和国家重大科研仪器研制项目以外的其他科学基金项目都</w:t>
      </w:r>
      <w:r>
        <w:rPr>
          <w:rFonts w:ascii="宋体" w:hAnsi="宋体" w:cs="宋体" w:eastAsia="宋体" w:hint="ascii"/>
          <w:sz w:val="21"/>
          <w:spacing w:val="3"/>
        </w:rPr>
        <w:t>是定</w:t>
      </w:r>
      <w:r>
        <w:rPr>
          <w:rFonts w:ascii="宋体" w:hAnsi="宋体" w:cs="宋体" w:eastAsia="宋体" w:hint="ascii"/>
          <w:sz w:val="21"/>
        </w:rPr>
        <w:t>额</w:t>
      </w:r>
    </w:p>
    <w:p>
      <w:pPr>
        <w:autoSpaceDE w:val="0"/>
        <w:autoSpaceDN w:val="0"/>
        <w:jc w:val="left"/>
        <w:spacing w:before="335" w:after="0" w:lineRule="exact" w:line="225"/>
        <w:ind w:right="0" w:left="7495"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ix</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8"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补助式资助项目。定</w:t>
      </w:r>
      <w:r>
        <w:rPr>
          <w:rFonts w:ascii="宋体" w:hAnsi="宋体" w:cs="宋体" w:eastAsia="宋体" w:hint="ascii"/>
          <w:sz w:val="21"/>
        </w:rPr>
        <w:t>额补助式资助项目填写《国家自然科学基金项目预算表（定额</w:t>
      </w:r>
      <w:r>
        <w:rPr>
          <w:rFonts w:ascii="宋体" w:hAnsi="宋体" w:cs="宋体" w:eastAsia="宋体" w:hint="ascii"/>
          <w:sz w:val="21"/>
          <w:spacing w:val="-6"/>
        </w:rPr>
        <w:t>补</w:t>
      </w:r>
      <w:r>
        <w:rPr>
          <w:rFonts w:ascii="宋体" w:hAnsi="宋体" w:cs="宋体" w:eastAsia="宋体" w:hint="ascii"/>
          <w:sz w:val="21"/>
        </w:rPr>
        <w:t>助</w:t>
      </w:r>
      <w:r>
        <w:rPr>
          <w:rFonts w:ascii="宋体" w:hAnsi="宋体" w:cs="宋体" w:eastAsia="宋体" w:hint="ascii"/>
          <w:sz w:val="21"/>
          <w:spacing w:val="-52"/>
        </w:rPr>
        <w:t>）</w:t>
      </w:r>
      <w:r>
        <w:rPr>
          <w:rFonts w:ascii="宋体" w:hAnsi="宋体" w:cs="宋体" w:eastAsia="宋体" w:hint="ascii"/>
          <w:sz w:val="21"/>
        </w:rPr>
        <w:t>》和《预算说明书（定额补助</w:t>
      </w:r>
      <w:r>
        <w:rPr>
          <w:rFonts w:ascii="宋体" w:hAnsi="宋体" w:cs="宋体" w:eastAsia="宋体" w:hint="ascii"/>
          <w:sz w:val="21"/>
          <w:spacing w:val="-52"/>
        </w:rPr>
        <w:t>）</w:t>
      </w:r>
      <w:r>
        <w:rPr>
          <w:rFonts w:ascii="宋体" w:hAnsi="宋体" w:cs="宋体" w:eastAsia="宋体" w:hint="ascii"/>
          <w:sz w:val="21"/>
          <w:spacing w:val="-53"/>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53" locked="0" layoutInCell="1" allowOverlap="1">
                <wp:simplePos x="0" y="0"/>
                <wp:positionH relativeFrom="page">
                  <wp:posOffset>938530</wp:posOffset>
                </wp:positionH>
                <wp:positionV relativeFrom="page">
                  <wp:posOffset>805815</wp:posOffset>
                </wp:positionV>
                <wp:extent cx="5076190" cy="0"/>
                <wp:wrapNone/>
                <wp:docPr id="1080" name="108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03968;width:399.70pt;" id="108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5" w:after="0" w:lineRule="auto" w:line="240"/>
        <w:ind w:right="0" w:left="1401"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3.</w:t>
      </w:r>
      <w:r>
        <w:rPr>
          <w:rFonts w:ascii="宋体" w:hAnsi="宋体" w:cs="宋体" w:eastAsia="宋体" w:hint="ascii"/>
          <w:sz w:val="21"/>
        </w:rPr>
        <w:t>《国家自然科学基金项目预算表（定额补助</w:t>
      </w:r>
      <w:r>
        <w:rPr>
          <w:rFonts w:ascii="宋体" w:hAnsi="宋体" w:cs="宋体" w:eastAsia="宋体" w:hint="ascii"/>
          <w:sz w:val="21"/>
          <w:spacing w:val="-52"/>
        </w:rPr>
        <w:t>）</w:t>
      </w:r>
      <w:r>
        <w:rPr>
          <w:rFonts w:ascii="宋体" w:hAnsi="宋体" w:cs="宋体" w:eastAsia="宋体" w:hint="ascii"/>
          <w:sz w:val="21"/>
          <w:spacing w:val="-53"/>
        </w:rPr>
        <w:t>》</w:t>
      </w:r>
      <w:r>
        <w:rPr>
          <w:rFonts w:ascii="宋体" w:hAnsi="宋体" w:cs="宋体" w:eastAsia="宋体" w:hint="ascii"/>
          <w:sz w:val="21"/>
        </w:rPr>
        <w:t>，填写申请科学基金予以资助的直</w:t>
      </w:r>
    </w:p>
    <w:p>
      <w:pPr>
        <w:autoSpaceDE w:val="0"/>
        <w:autoSpaceDN w:val="0"/>
        <w:jc w:val="both"/>
        <w:spacing w:before="21"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接费用金额、</w:t>
      </w:r>
      <w:r>
        <w:rPr>
          <w:rFonts w:ascii="宋体" w:hAnsi="宋体" w:cs="宋体" w:eastAsia="宋体" w:hint="ascii"/>
          <w:sz w:val="21"/>
        </w:rPr>
        <w:t>各科目预算，以及自筹或配套资金情况。直接费用各科目均无比例限制，由项目申请人根据项目研究需要，按照有关科目定义、范围和标准等如实编列。</w:t>
      </w:r>
    </w:p>
    <w:p>
      <w:pPr>
        <w:autoSpaceDE w:val="0"/>
        <w:autoSpaceDN w:val="0"/>
        <w:jc w:val="left"/>
        <w:spacing w:before="54"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4.</w:t>
      </w:r>
      <w:r>
        <w:rPr>
          <w:rFonts w:ascii="宋体" w:hAnsi="宋体" w:cs="宋体" w:eastAsia="宋体" w:hint="ascii"/>
          <w:sz w:val="21"/>
        </w:rPr>
        <w:t>《预算说明书（定额补助</w:t>
      </w:r>
      <w:r>
        <w:rPr>
          <w:rFonts w:ascii="宋体" w:hAnsi="宋体" w:cs="宋体" w:eastAsia="宋体" w:hint="ascii"/>
          <w:sz w:val="21"/>
          <w:spacing w:val="-52"/>
        </w:rPr>
        <w:t>）》</w:t>
      </w:r>
      <w:r>
        <w:rPr>
          <w:rFonts w:ascii="宋体" w:hAnsi="宋体" w:cs="宋体" w:eastAsia="宋体" w:hint="ascii"/>
          <w:sz w:val="21"/>
        </w:rPr>
        <w:t>，填写对项目预算表中各科目预算所做的必要说明，</w:t>
      </w:r>
    </w:p>
    <w:p>
      <w:pPr>
        <w:autoSpaceDE w:val="0"/>
        <w:autoSpaceDN w:val="0"/>
        <w:jc w:val="both"/>
        <w:spacing w:before="21"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以及对合作</w:t>
      </w:r>
      <w:r>
        <w:rPr>
          <w:rFonts w:ascii="宋体" w:hAnsi="宋体" w:cs="宋体" w:eastAsia="宋体" w:hint="ascii"/>
          <w:sz w:val="21"/>
        </w:rPr>
        <w:t xml:space="preserve">研究是否外拨资金、外拨资金金额，单价大于 </w:t>
      </w:r>
      <w:r>
        <w:rPr>
          <w:rFonts w:ascii="Times New Roman" w:hAnsi="Times New Roman" w:cs="Times New Roman" w:eastAsia="Times New Roman" w:hint="ascii"/>
          <w:sz w:val="21"/>
        </w:rPr>
        <w:t xml:space="preserve">10 </w:t>
      </w:r>
      <w:r>
        <w:rPr>
          <w:rFonts w:ascii="宋体" w:hAnsi="宋体" w:cs="宋体" w:eastAsia="宋体" w:hint="ascii"/>
          <w:sz w:val="21"/>
        </w:rPr>
        <w:t>万元的设备费、测试化验加工费，差旅费、会议费、劳务费、专家咨询费标准等内容所做的必要说明。</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四、关于成本补偿式资助项目</w:t>
      </w:r>
    </w:p>
    <w:p>
      <w:pPr>
        <w:autoSpaceDE w:val="0"/>
        <w:autoSpaceDN w:val="0"/>
        <w:jc w:val="left"/>
        <w:spacing w:before="6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
        </w:rPr>
        <w:t xml:space="preserve"> </w:t>
      </w:r>
      <w:r>
        <w:rPr>
          <w:rFonts w:ascii="宋体" w:hAnsi="宋体" w:cs="宋体" w:eastAsia="宋体" w:hint="ascii"/>
          <w:sz w:val="21"/>
        </w:rPr>
        <w:t>成本补偿式资助项目包括</w:t>
      </w:r>
      <w:r>
        <w:rPr>
          <w:rFonts w:ascii="宋体" w:hAnsi="宋体" w:cs="宋体" w:eastAsia="宋体" w:hint="ascii"/>
          <w:sz w:val="21"/>
        </w:rPr>
        <w:t>重大项目</w:t>
      </w:r>
      <w:r>
        <w:rPr>
          <w:rFonts w:ascii="宋体" w:hAnsi="宋体" w:cs="宋体" w:eastAsia="宋体" w:hint="ascii"/>
          <w:sz w:val="21"/>
        </w:rPr>
        <w:t>和</w:t>
      </w:r>
      <w:r>
        <w:rPr>
          <w:rFonts w:ascii="宋体" w:hAnsi="宋体" w:cs="宋体" w:eastAsia="宋体" w:hint="ascii"/>
          <w:sz w:val="21"/>
        </w:rPr>
        <w:t>国家重大科研仪器研制项目</w:t>
      </w:r>
      <w:r>
        <w:rPr>
          <w:rFonts w:ascii="宋体" w:hAnsi="宋体" w:cs="宋体" w:eastAsia="宋体" w:hint="ascii"/>
          <w:sz w:val="21"/>
        </w:rPr>
        <w:t>。成本</w:t>
      </w:r>
      <w:r>
        <w:rPr>
          <w:rFonts w:ascii="宋体" w:hAnsi="宋体" w:cs="宋体" w:eastAsia="宋体" w:hint="ascii"/>
          <w:sz w:val="21"/>
          <w:spacing w:val="3"/>
        </w:rPr>
        <w:t>补偿</w:t>
      </w:r>
      <w:r>
        <w:rPr>
          <w:rFonts w:ascii="宋体" w:hAnsi="宋体" w:cs="宋体" w:eastAsia="宋体" w:hint="ascii"/>
          <w:sz w:val="21"/>
        </w:rPr>
        <w:t>式</w:t>
      </w:r>
    </w:p>
    <w:p>
      <w:pPr>
        <w:autoSpaceDE w:val="0"/>
        <w:autoSpaceDN w:val="0"/>
        <w:jc w:val="left"/>
        <w:spacing w:before="75"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资助项目填写《国家自然科学基金项目预算表（成本补偿</w:t>
      </w:r>
      <w:r>
        <w:rPr>
          <w:rFonts w:ascii="宋体" w:hAnsi="宋体" w:cs="宋体" w:eastAsia="宋体" w:hint="ascii"/>
          <w:sz w:val="21"/>
          <w:spacing w:val="-52"/>
        </w:rPr>
        <w:t>）》</w:t>
      </w:r>
      <w:r>
        <w:rPr>
          <w:rFonts w:ascii="宋体" w:hAnsi="宋体" w:cs="宋体" w:eastAsia="宋体" w:hint="ascii"/>
          <w:sz w:val="21"/>
        </w:rPr>
        <w:t>《预算说明书（成本补偿</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67"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《合作研究资金预算明细表</w:t>
      </w:r>
      <w:r>
        <w:rPr>
          <w:rFonts w:ascii="宋体" w:hAnsi="宋体" w:cs="宋体" w:eastAsia="宋体" w:hint="ascii"/>
          <w:sz w:val="21"/>
          <w:spacing w:val="-52"/>
        </w:rPr>
        <w:t>》</w:t>
      </w:r>
      <w:r>
        <w:rPr>
          <w:rFonts w:ascii="宋体" w:hAnsi="宋体" w:cs="宋体" w:eastAsia="宋体" w:hint="ascii"/>
          <w:sz w:val="21"/>
        </w:rPr>
        <w:t>《设备费预算明细表</w:t>
      </w:r>
      <w:r>
        <w:rPr>
          <w:rFonts w:ascii="宋体" w:hAnsi="宋体" w:cs="宋体" w:eastAsia="宋体" w:hint="ascii"/>
          <w:sz w:val="21"/>
          <w:spacing w:val="-52"/>
        </w:rPr>
        <w:t>》</w:t>
      </w:r>
      <w:r>
        <w:rPr>
          <w:rFonts w:ascii="宋体" w:hAnsi="宋体" w:cs="宋体" w:eastAsia="宋体" w:hint="ascii"/>
          <w:sz w:val="21"/>
        </w:rPr>
        <w:t>《测试化验加工费预算明细表</w:t>
      </w:r>
      <w:r>
        <w:rPr>
          <w:rFonts w:ascii="宋体" w:hAnsi="宋体" w:cs="宋体" w:eastAsia="宋体" w:hint="ascii"/>
          <w:sz w:val="21"/>
          <w:spacing w:val="-52"/>
        </w:rPr>
        <w:t>》</w:t>
      </w:r>
      <w:r>
        <w:rPr>
          <w:rFonts w:ascii="宋体" w:hAnsi="宋体" w:cs="宋体" w:eastAsia="宋体" w:hint="ascii"/>
          <w:sz w:val="21"/>
        </w:rPr>
        <w:t>《劳务</w:t>
      </w:r>
    </w:p>
    <w:p>
      <w:pPr>
        <w:autoSpaceDE w:val="0"/>
        <w:autoSpaceDN w:val="0"/>
        <w:jc w:val="left"/>
        <w:spacing w:before="6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费预算明细表</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9" w:after="0" w:lineRule="auto" w:line="240"/>
        <w:ind w:right="0" w:left="1401"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2.</w:t>
      </w:r>
      <w:r>
        <w:rPr>
          <w:rFonts w:ascii="宋体" w:hAnsi="宋体" w:cs="宋体" w:eastAsia="宋体" w:hint="ascii"/>
          <w:sz w:val="21"/>
        </w:rPr>
        <w:t>《国家自然科学基金项目预算表（成本补偿</w:t>
      </w:r>
      <w:r>
        <w:rPr>
          <w:rFonts w:ascii="宋体" w:hAnsi="宋体" w:cs="宋体" w:eastAsia="宋体" w:hint="ascii"/>
          <w:sz w:val="21"/>
          <w:spacing w:val="-52"/>
        </w:rPr>
        <w:t>）</w:t>
      </w:r>
      <w:r>
        <w:rPr>
          <w:rFonts w:ascii="宋体" w:hAnsi="宋体" w:cs="宋体" w:eastAsia="宋体" w:hint="ascii"/>
          <w:sz w:val="21"/>
          <w:spacing w:val="-53"/>
        </w:rPr>
        <w:t>》</w:t>
      </w:r>
      <w:r>
        <w:rPr>
          <w:rFonts w:ascii="宋体" w:hAnsi="宋体" w:cs="宋体" w:eastAsia="宋体" w:hint="ascii"/>
          <w:sz w:val="21"/>
        </w:rPr>
        <w:t>，填写申请科学基金予以资助的直</w:t>
      </w:r>
    </w:p>
    <w:p>
      <w:pPr>
        <w:autoSpaceDE w:val="0"/>
        <w:autoSpaceDN w:val="0"/>
        <w:jc w:val="both"/>
        <w:spacing w:before="20"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接费用金额、</w:t>
      </w:r>
      <w:r>
        <w:rPr>
          <w:rFonts w:ascii="宋体" w:hAnsi="宋体" w:cs="宋体" w:eastAsia="宋体" w:hint="ascii"/>
          <w:sz w:val="21"/>
        </w:rPr>
        <w:t>各科目预算，以及自筹或配套资金情况。直接费用各科目均无比例限制，由项目申请人根据项目研究需要，按照有关科目定义、范围和标准等如实编列。</w:t>
      </w:r>
    </w:p>
    <w:p>
      <w:pPr>
        <w:autoSpaceDE w:val="0"/>
        <w:autoSpaceDN w:val="0"/>
        <w:jc w:val="left"/>
        <w:spacing w:before="55"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3.</w:t>
      </w:r>
      <w:r>
        <w:rPr>
          <w:rFonts w:ascii="宋体" w:hAnsi="宋体" w:cs="宋体" w:eastAsia="宋体" w:hint="ascii"/>
          <w:sz w:val="21"/>
        </w:rPr>
        <w:t>《合作研究资金预算明细表</w:t>
      </w:r>
      <w:r>
        <w:rPr>
          <w:rFonts w:ascii="宋体" w:hAnsi="宋体" w:cs="宋体" w:eastAsia="宋体" w:hint="ascii"/>
          <w:sz w:val="21"/>
          <w:spacing w:val="-50"/>
        </w:rPr>
        <w:t>》</w:t>
      </w:r>
      <w:r>
        <w:rPr>
          <w:rFonts w:ascii="宋体" w:hAnsi="宋体" w:cs="宋体" w:eastAsia="宋体" w:hint="ascii"/>
          <w:sz w:val="21"/>
        </w:rPr>
        <w:t>，填写申请的合作研究外拨资金情况，包括：合作</w:t>
      </w:r>
    </w:p>
    <w:p>
      <w:pPr>
        <w:autoSpaceDE w:val="0"/>
        <w:autoSpaceDN w:val="0"/>
        <w:jc w:val="both"/>
        <w:spacing w:before="21"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研究单位名称</w:t>
      </w:r>
      <w:r>
        <w:rPr>
          <w:rFonts w:ascii="宋体" w:hAnsi="宋体" w:cs="宋体" w:eastAsia="宋体" w:hint="ascii"/>
          <w:sz w:val="21"/>
        </w:rPr>
        <w:t>、是否为已注册依托单位、单位类型、任务分工、研究任务负责人、承担直接费用金额及占总金额的比例、是否已签订合作协议等信息。</w:t>
      </w:r>
    </w:p>
    <w:p>
      <w:pPr>
        <w:autoSpaceDE w:val="0"/>
        <w:autoSpaceDN w:val="0"/>
        <w:jc w:val="left"/>
        <w:spacing w:before="0" w:after="0" w:lineRule="exact" w:line="330"/>
        <w:ind w:right="872"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10"/>
        </w:rPr>
        <w:t>.</w:t>
      </w:r>
      <w:r>
        <w:rPr>
          <w:rFonts w:ascii="宋体" w:hAnsi="宋体" w:cs="宋体" w:eastAsia="宋体" w:hint="ascii"/>
          <w:sz w:val="21"/>
          <w:spacing w:val="5"/>
        </w:rPr>
        <w:t>《设备费预算明细表</w:t>
      </w:r>
      <w:r>
        <w:rPr>
          <w:rFonts w:ascii="宋体" w:hAnsi="宋体" w:cs="宋体" w:eastAsia="宋体" w:hint="ascii"/>
          <w:sz w:val="21"/>
          <w:spacing w:val="-47"/>
        </w:rPr>
        <w:t>》</w:t>
      </w:r>
      <w:r>
        <w:rPr>
          <w:rFonts w:ascii="宋体" w:hAnsi="宋体" w:cs="宋体" w:eastAsia="宋体" w:hint="ascii"/>
          <w:sz w:val="21"/>
          <w:spacing w:val="5"/>
        </w:rPr>
        <w:t>，填写申请的设备购置、设备试制情况，包括：设备</w:t>
      </w:r>
      <w:r>
        <w:rPr>
          <w:rFonts w:ascii="宋体" w:hAnsi="宋体" w:cs="宋体" w:eastAsia="宋体" w:hint="ascii"/>
          <w:sz w:val="21"/>
        </w:rPr>
        <w:t>名 称、设备分类、单价、数量、金额、购置设备型号、购置设备生产国别与地区、主要技</w:t>
      </w:r>
      <w:r>
        <w:rPr>
          <w:rFonts w:ascii="宋体" w:hAnsi="宋体" w:cs="宋体" w:eastAsia="宋体" w:hint="ascii"/>
          <w:sz w:val="21"/>
          <w:spacing w:val="-1"/>
        </w:rPr>
        <w:t>术性能指</w:t>
      </w:r>
      <w:r>
        <w:rPr>
          <w:rFonts w:ascii="宋体" w:hAnsi="宋体" w:cs="宋体" w:eastAsia="宋体" w:hint="ascii"/>
          <w:sz w:val="21"/>
        </w:rPr>
        <w:t>标、用途等信息。其中，单价超</w:t>
      </w:r>
      <w:r>
        <w:rPr>
          <w:rFonts w:ascii="宋体" w:hAnsi="宋体" w:cs="宋体" w:eastAsia="宋体" w:hint="ascii"/>
          <w:sz w:val="21"/>
          <w:spacing w:val="26"/>
        </w:rPr>
        <w:t>过</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宋体" w:hAnsi="宋体" w:cs="宋体" w:eastAsia="宋体" w:hint="ascii"/>
          <w:sz w:val="21"/>
          <w:spacing w:val="26"/>
        </w:rPr>
        <w:t>含</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0</w:t>
      </w:r>
      <w:r>
        <w:rPr>
          <w:rFonts w:ascii="宋体" w:hAnsi="宋体" w:cs="宋体" w:eastAsia="宋体" w:hint="ascii"/>
          <w:sz w:val="21"/>
        </w:rPr>
        <w:t>万元）的设备需填写明细， 单价低</w:t>
      </w:r>
      <w:r>
        <w:rPr>
          <w:rFonts w:ascii="宋体" w:hAnsi="宋体" w:cs="宋体" w:eastAsia="宋体" w:hint="ascii"/>
          <w:sz w:val="21"/>
          <w:spacing w:val="26"/>
        </w:rPr>
        <w:t>于</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0</w:t>
      </w:r>
      <w:r>
        <w:rPr>
          <w:rFonts w:ascii="宋体" w:hAnsi="宋体" w:cs="宋体" w:eastAsia="宋体" w:hint="ascii"/>
          <w:sz w:val="21"/>
        </w:rPr>
        <w:t>万元的设备只需填写合计数。</w:t>
      </w:r>
    </w:p>
    <w:p>
      <w:pPr>
        <w:autoSpaceDE w:val="0"/>
        <w:autoSpaceDN w:val="0"/>
        <w:jc w:val="left"/>
        <w:spacing w:before="62"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5.</w:t>
      </w:r>
      <w:r>
        <w:rPr>
          <w:rFonts w:ascii="宋体" w:hAnsi="宋体" w:cs="宋体" w:eastAsia="宋体" w:hint="ascii"/>
          <w:sz w:val="21"/>
        </w:rPr>
        <w:t>《测试化验加工费预算明细表</w:t>
      </w:r>
      <w:r>
        <w:rPr>
          <w:rFonts w:ascii="宋体" w:hAnsi="宋体" w:cs="宋体" w:eastAsia="宋体" w:hint="ascii"/>
          <w:sz w:val="21"/>
          <w:spacing w:val="-50"/>
        </w:rPr>
        <w:t>》</w:t>
      </w:r>
      <w:r>
        <w:rPr>
          <w:rFonts w:ascii="宋体" w:hAnsi="宋体" w:cs="宋体" w:eastAsia="宋体" w:hint="ascii"/>
          <w:sz w:val="21"/>
        </w:rPr>
        <w:t>，填写申请的测试化验加工情况，包括：测试化</w:t>
      </w:r>
    </w:p>
    <w:p>
      <w:pPr>
        <w:autoSpaceDE w:val="0"/>
        <w:autoSpaceDN w:val="0"/>
        <w:jc w:val="left"/>
        <w:spacing w:before="22" w:after="0" w:lineRule="exact" w:line="341"/>
        <w:ind w:right="872"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验加工内容、测试化验加工单位、计量单位、单价、数量、金额等信息。其中，数量过多或单位价格较高、总费用在 </w:t>
      </w:r>
      <w:r>
        <w:rPr>
          <w:rFonts w:ascii="Times New Roman" w:hAnsi="Times New Roman" w:cs="Times New Roman" w:eastAsia="Times New Roman" w:hint="ascii"/>
          <w:sz w:val="21"/>
        </w:rPr>
        <w:t xml:space="preserve">10 </w:t>
      </w:r>
      <w:r>
        <w:rPr>
          <w:rFonts w:ascii="宋体" w:hAnsi="宋体" w:cs="宋体" w:eastAsia="宋体" w:hint="ascii"/>
          <w:sz w:val="21"/>
        </w:rPr>
        <w:t>万元及以上的量大及价高的测试化验加工需要填写明细，其他测试化验加工只需填写合计数。</w:t>
      </w:r>
    </w:p>
    <w:p>
      <w:pPr>
        <w:autoSpaceDE w:val="0"/>
        <w:autoSpaceDN w:val="0"/>
        <w:jc w:val="left"/>
        <w:spacing w:before="6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6.</w:t>
      </w:r>
      <w:r>
        <w:rPr>
          <w:rFonts w:ascii="宋体" w:hAnsi="宋体" w:cs="宋体" w:eastAsia="宋体" w:hint="ascii"/>
          <w:sz w:val="21"/>
        </w:rPr>
        <w:t>《劳务费预算明细表</w:t>
      </w:r>
      <w:r>
        <w:rPr>
          <w:rFonts w:ascii="宋体" w:hAnsi="宋体" w:cs="宋体" w:eastAsia="宋体" w:hint="ascii"/>
          <w:sz w:val="21"/>
          <w:spacing w:val="-51"/>
        </w:rPr>
        <w:t>》</w:t>
      </w:r>
      <w:r>
        <w:rPr>
          <w:rFonts w:ascii="宋体" w:hAnsi="宋体" w:cs="宋体" w:eastAsia="宋体" w:hint="ascii"/>
          <w:sz w:val="21"/>
        </w:rPr>
        <w:t>，填写申请的劳务费情况，包括：人员分类、发放人数、</w:t>
      </w:r>
    </w:p>
    <w:p>
      <w:pPr>
        <w:autoSpaceDE w:val="0"/>
        <w:autoSpaceDN w:val="0"/>
        <w:jc w:val="left"/>
        <w:spacing w:before="85"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投入本项目的总工作时间、支出标准、金额等信息。</w:t>
      </w:r>
    </w:p>
    <w:p>
      <w:pPr>
        <w:autoSpaceDE w:val="0"/>
        <w:autoSpaceDN w:val="0"/>
        <w:jc w:val="both"/>
        <w:spacing w:before="15" w:after="0" w:lineRule="exact" w:line="340"/>
        <w:ind w:right="978"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7.</w:t>
      </w:r>
      <w:r>
        <w:rPr>
          <w:rFonts w:ascii="宋体" w:hAnsi="宋体" w:cs="宋体" w:eastAsia="宋体" w:hint="ascii"/>
          <w:sz w:val="21"/>
        </w:rPr>
        <w:t>《预算说明书（成本补偿</w:t>
      </w:r>
      <w:r>
        <w:rPr>
          <w:rFonts w:ascii="宋体" w:hAnsi="宋体" w:cs="宋体" w:eastAsia="宋体" w:hint="ascii"/>
          <w:sz w:val="21"/>
          <w:spacing w:val="-53"/>
        </w:rPr>
        <w:t>）》</w:t>
      </w:r>
      <w:r>
        <w:rPr>
          <w:rFonts w:ascii="宋体" w:hAnsi="宋体" w:cs="宋体" w:eastAsia="宋体" w:hint="ascii"/>
          <w:sz w:val="21"/>
        </w:rPr>
        <w:t>，填写对项目预算表中各科目预算所做的详细说明。具体要求如下：</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）项目申请人应详细说明拟购置</w:t>
      </w:r>
      <w:r>
        <w:rPr>
          <w:rFonts w:ascii="Times New Roman" w:hAnsi="Times New Roman" w:cs="Times New Roman" w:eastAsia="Times New Roman" w:hint="ascii"/>
          <w:sz w:val="21"/>
        </w:rPr>
        <w:t>/</w:t>
      </w:r>
      <w:r>
        <w:rPr>
          <w:rFonts w:ascii="宋体" w:hAnsi="宋体" w:cs="宋体" w:eastAsia="宋体" w:hint="ascii"/>
          <w:sz w:val="21"/>
        </w:rPr>
        <w:t>试制设备的必要性、现有同样设备的利用情况</w:t>
      </w:r>
    </w:p>
    <w:p>
      <w:pPr>
        <w:autoSpaceDE w:val="0"/>
        <w:autoSpaceDN w:val="0"/>
        <w:jc w:val="both"/>
        <w:spacing w:before="15" w:after="0" w:lineRule="exact" w:line="34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以及购置设</w:t>
      </w:r>
      <w:r>
        <w:rPr>
          <w:rFonts w:ascii="宋体" w:hAnsi="宋体" w:cs="宋体" w:eastAsia="宋体" w:hint="ascii"/>
          <w:sz w:val="21"/>
        </w:rPr>
        <w:t>备的开放共享方案等。单价超过</w:t>
      </w:r>
      <w:r>
        <w:rPr>
          <w:rFonts w:ascii="宋体" w:hAnsi="宋体" w:cs="宋体" w:eastAsia="宋体" w:hint="ascii"/>
          <w:sz w:val="21"/>
          <w:spacing w:val="-7"/>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7"/>
        </w:rPr>
        <w:t xml:space="preserve"> </w:t>
      </w:r>
      <w:r>
        <w:rPr>
          <w:rFonts w:ascii="宋体" w:hAnsi="宋体" w:cs="宋体" w:eastAsia="宋体" w:hint="ascii"/>
          <w:sz w:val="21"/>
        </w:rPr>
        <w:t>万元（含</w:t>
      </w:r>
      <w:r>
        <w:rPr>
          <w:rFonts w:ascii="宋体" w:hAnsi="宋体" w:cs="宋体" w:eastAsia="宋体" w:hint="ascii"/>
          <w:sz w:val="21"/>
          <w:spacing w:val="-7"/>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7"/>
        </w:rPr>
        <w:t xml:space="preserve"> </w:t>
      </w:r>
      <w:r>
        <w:rPr>
          <w:rFonts w:ascii="宋体" w:hAnsi="宋体" w:cs="宋体" w:eastAsia="宋体" w:hint="ascii"/>
          <w:sz w:val="21"/>
        </w:rPr>
        <w:t>万元）的购置</w:t>
      </w:r>
      <w:r>
        <w:rPr>
          <w:rFonts w:ascii="Times New Roman" w:hAnsi="Times New Roman" w:cs="Times New Roman" w:eastAsia="Times New Roman" w:hint="ascii"/>
          <w:sz w:val="21"/>
        </w:rPr>
        <w:t>/</w:t>
      </w:r>
      <w:r>
        <w:rPr>
          <w:rFonts w:ascii="宋体" w:hAnsi="宋体" w:cs="宋体" w:eastAsia="宋体" w:hint="ascii"/>
          <w:sz w:val="21"/>
        </w:rPr>
        <w:t>试制设备需提供价格测算依据，如报价单、询价文件等材料作为预算编报说明附件提交。</w:t>
      </w:r>
    </w:p>
    <w:p>
      <w:pPr>
        <w:autoSpaceDE w:val="0"/>
        <w:autoSpaceDN w:val="0"/>
        <w:jc w:val="both"/>
        <w:spacing w:before="0" w:after="0" w:lineRule="exact" w:line="319"/>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）项目申</w:t>
      </w:r>
      <w:r>
        <w:rPr>
          <w:rFonts w:ascii="宋体" w:hAnsi="宋体" w:cs="宋体" w:eastAsia="宋体" w:hint="ascii"/>
          <w:sz w:val="21"/>
        </w:rPr>
        <w:t>请人应详细说明购置的各种材料和项目研究任务的相关性、必要性及测算依据。</w:t>
      </w:r>
    </w:p>
    <w:p>
      <w:pPr>
        <w:autoSpaceDE w:val="0"/>
        <w:autoSpaceDN w:val="0"/>
        <w:jc w:val="left"/>
        <w:spacing w:before="53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预算编报须知</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）项目申请人应详细说明量大及价高的测试化验加工与课题研究任务的相关性，</w:t>
      </w:r>
      <w:r>
        <w:rPr>
          <w:rFonts w:ascii="宋体" w:hAnsi="宋体" w:cs="宋体" w:eastAsia="宋体" w:hint="ascii"/>
          <w:sz w:val="21"/>
        </w:rPr>
        <mc:AlternateContent>
          <mc:Choice Requires="wps">
            <w:drawing>
              <wp:anchor distL="0" distR="0" distT="0" distB="0" simplePos="0" behindDoc="1" relativeHeight="54" locked="0" layoutInCell="1" allowOverlap="1">
                <wp:simplePos x="0" y="0"/>
                <wp:positionH relativeFrom="page">
                  <wp:posOffset>938530</wp:posOffset>
                </wp:positionH>
                <wp:positionV relativeFrom="page">
                  <wp:posOffset>819150</wp:posOffset>
                </wp:positionV>
                <wp:extent cx="5076190" cy="0"/>
                <wp:wrapNone/>
                <wp:docPr id="1081" name="108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02944;width:399.70pt;" id="108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选择的测试化</w:t>
      </w:r>
      <w:r>
        <w:rPr>
          <w:rFonts w:ascii="宋体" w:hAnsi="宋体" w:cs="宋体" w:eastAsia="宋体" w:hint="ascii"/>
          <w:sz w:val="21"/>
        </w:rPr>
        <w:t>验加工单位的理由以及次数、价格的测算依据；其他测试化验加工需详细列示测算过程。</w:t>
      </w:r>
    </w:p>
    <w:p>
      <w:pPr>
        <w:autoSpaceDE w:val="0"/>
        <w:autoSpaceDN w:val="0"/>
        <w:jc w:val="both"/>
        <w:spacing w:before="0" w:after="0" w:lineRule="exact" w:line="319"/>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）项目申</w:t>
      </w:r>
      <w:r>
        <w:rPr>
          <w:rFonts w:ascii="宋体" w:hAnsi="宋体" w:cs="宋体" w:eastAsia="宋体" w:hint="ascii"/>
          <w:sz w:val="21"/>
        </w:rPr>
        <w:t>请人应说明项目研究过程中相关大型仪器设备、专用科学装置等为完成项目研究任务所运行的预计时间，以及即期水、电、气、燃料的实际价格。</w:t>
      </w:r>
    </w:p>
    <w:p>
      <w:pPr>
        <w:autoSpaceDE w:val="0"/>
        <w:autoSpaceDN w:val="0"/>
        <w:jc w:val="left"/>
        <w:spacing w:before="4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）项目申请人应结合科研活动实际需要编制差旅</w:t>
      </w:r>
      <w:r>
        <w:rPr>
          <w:rFonts w:ascii="Times New Roman" w:hAnsi="Times New Roman" w:cs="Times New Roman" w:eastAsia="Times New Roman" w:hint="ascii"/>
          <w:sz w:val="21"/>
        </w:rPr>
        <w:t>/</w:t>
      </w:r>
      <w:r>
        <w:rPr>
          <w:rFonts w:ascii="宋体" w:hAnsi="宋体" w:cs="宋体" w:eastAsia="宋体" w:hint="ascii"/>
          <w:sz w:val="21"/>
        </w:rPr>
        <w:t>会议</w:t>
      </w:r>
      <w:r>
        <w:rPr>
          <w:rFonts w:ascii="Times New Roman" w:hAnsi="Times New Roman" w:cs="Times New Roman" w:eastAsia="Times New Roman" w:hint="ascii"/>
          <w:sz w:val="21"/>
        </w:rPr>
        <w:t>/</w:t>
      </w:r>
      <w:r>
        <w:rPr>
          <w:rFonts w:ascii="宋体" w:hAnsi="宋体" w:cs="宋体" w:eastAsia="宋体" w:hint="ascii"/>
          <w:sz w:val="21"/>
        </w:rPr>
        <w:t>国际合作与交流费预算。</w:t>
      </w:r>
    </w:p>
    <w:p>
      <w:pPr>
        <w:autoSpaceDE w:val="0"/>
        <w:autoSpaceDN w:val="0"/>
        <w:jc w:val="left"/>
        <w:spacing w:before="13" w:after="0" w:lineRule="exact" w:line="319"/>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3"/>
        </w:rPr>
        <w:t>不</w:t>
      </w:r>
      <w:r>
        <w:rPr>
          <w:rFonts w:ascii="宋体" w:hAnsi="宋体" w:cs="宋体" w:eastAsia="宋体" w:hint="ascii"/>
          <w:sz w:val="21"/>
        </w:rPr>
        <w:t>超过</w:t>
      </w:r>
      <w:r>
        <w:rPr>
          <w:rFonts w:ascii="宋体" w:hAnsi="宋体" w:cs="宋体" w:eastAsia="宋体" w:hint="ascii"/>
          <w:sz w:val="21"/>
          <w:spacing w:val="3"/>
        </w:rPr>
        <w:t>直</w:t>
      </w:r>
      <w:r>
        <w:rPr>
          <w:rFonts w:ascii="宋体" w:hAnsi="宋体" w:cs="宋体" w:eastAsia="宋体" w:hint="ascii"/>
          <w:sz w:val="21"/>
        </w:rPr>
        <w:t>接</w:t>
      </w:r>
      <w:r>
        <w:rPr>
          <w:rFonts w:ascii="宋体" w:hAnsi="宋体" w:cs="宋体" w:eastAsia="宋体" w:hint="ascii"/>
          <w:sz w:val="21"/>
          <w:spacing w:val="3"/>
        </w:rPr>
        <w:t>费</w:t>
      </w:r>
      <w:r>
        <w:rPr>
          <w:rFonts w:ascii="宋体" w:hAnsi="宋体" w:cs="宋体" w:eastAsia="宋体" w:hint="ascii"/>
          <w:sz w:val="21"/>
        </w:rPr>
        <w:t>用</w:t>
      </w:r>
      <w:r>
        <w:rPr>
          <w:rFonts w:ascii="宋体" w:hAnsi="宋体" w:cs="宋体" w:eastAsia="宋体" w:hint="ascii"/>
          <w:sz w:val="21"/>
          <w:spacing w:val="-24"/>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5"/>
        </w:rPr>
        <w:t>%</w:t>
      </w:r>
      <w:r>
        <w:rPr>
          <w:rFonts w:ascii="宋体" w:hAnsi="宋体" w:cs="宋体" w:eastAsia="宋体" w:hint="ascii"/>
          <w:sz w:val="21"/>
        </w:rPr>
        <w:t>的</w:t>
      </w:r>
      <w:r>
        <w:rPr>
          <w:rFonts w:ascii="宋体" w:hAnsi="宋体" w:cs="宋体" w:eastAsia="宋体" w:hint="ascii"/>
          <w:sz w:val="21"/>
          <w:spacing w:val="3"/>
        </w:rPr>
        <w:t>，</w:t>
      </w:r>
      <w:r>
        <w:rPr>
          <w:rFonts w:ascii="宋体" w:hAnsi="宋体" w:cs="宋体" w:eastAsia="宋体" w:hint="ascii"/>
          <w:sz w:val="21"/>
        </w:rPr>
        <w:t>不需</w:t>
      </w:r>
      <w:r>
        <w:rPr>
          <w:rFonts w:ascii="宋体" w:hAnsi="宋体" w:cs="宋体" w:eastAsia="宋体" w:hint="ascii"/>
          <w:sz w:val="21"/>
          <w:spacing w:val="3"/>
        </w:rPr>
        <w:t>要</w:t>
      </w:r>
      <w:r>
        <w:rPr>
          <w:rFonts w:ascii="宋体" w:hAnsi="宋体" w:cs="宋体" w:eastAsia="宋体" w:hint="ascii"/>
          <w:sz w:val="21"/>
        </w:rPr>
        <w:t>提</w:t>
      </w:r>
      <w:r>
        <w:rPr>
          <w:rFonts w:ascii="宋体" w:hAnsi="宋体" w:cs="宋体" w:eastAsia="宋体" w:hint="ascii"/>
          <w:sz w:val="21"/>
          <w:spacing w:val="3"/>
        </w:rPr>
        <w:t>供</w:t>
      </w:r>
      <w:r>
        <w:rPr>
          <w:rFonts w:ascii="宋体" w:hAnsi="宋体" w:cs="宋体" w:eastAsia="宋体" w:hint="ascii"/>
          <w:sz w:val="21"/>
        </w:rPr>
        <w:t>预算</w:t>
      </w:r>
      <w:r>
        <w:rPr>
          <w:rFonts w:ascii="宋体" w:hAnsi="宋体" w:cs="宋体" w:eastAsia="宋体" w:hint="ascii"/>
          <w:sz w:val="21"/>
          <w:spacing w:val="3"/>
        </w:rPr>
        <w:t>测</w:t>
      </w:r>
      <w:r>
        <w:rPr>
          <w:rFonts w:ascii="宋体" w:hAnsi="宋体" w:cs="宋体" w:eastAsia="宋体" w:hint="ascii"/>
          <w:sz w:val="21"/>
        </w:rPr>
        <w:t>算</w:t>
      </w:r>
      <w:r>
        <w:rPr>
          <w:rFonts w:ascii="宋体" w:hAnsi="宋体" w:cs="宋体" w:eastAsia="宋体" w:hint="ascii"/>
          <w:sz w:val="21"/>
          <w:spacing w:val="3"/>
        </w:rPr>
        <w:t>依</w:t>
      </w:r>
      <w:r>
        <w:rPr>
          <w:rFonts w:ascii="宋体" w:hAnsi="宋体" w:cs="宋体" w:eastAsia="宋体" w:hint="ascii"/>
          <w:sz w:val="21"/>
        </w:rPr>
        <w:t>据；</w:t>
      </w:r>
      <w:r>
        <w:rPr>
          <w:rFonts w:ascii="宋体" w:hAnsi="宋体" w:cs="宋体" w:eastAsia="宋体" w:hint="ascii"/>
          <w:sz w:val="21"/>
          <w:spacing w:val="3"/>
        </w:rPr>
        <w:t>超</w:t>
      </w:r>
      <w:r>
        <w:rPr>
          <w:rFonts w:ascii="宋体" w:hAnsi="宋体" w:cs="宋体" w:eastAsia="宋体" w:hint="ascii"/>
          <w:sz w:val="21"/>
        </w:rPr>
        <w:t>过</w:t>
      </w:r>
      <w:r>
        <w:rPr>
          <w:rFonts w:ascii="宋体" w:hAnsi="宋体" w:cs="宋体" w:eastAsia="宋体" w:hint="ascii"/>
          <w:sz w:val="21"/>
          <w:spacing w:val="-24"/>
        </w:rPr>
        <w:t xml:space="preserve"> </w:t>
      </w:r>
      <w:r>
        <w:rPr>
          <w:rFonts w:ascii="Times New Roman" w:hAnsi="Times New Roman" w:cs="Times New Roman" w:eastAsia="Times New Roman" w:hint="ascii"/>
          <w:sz w:val="21"/>
        </w:rPr>
        <w:t>10%</w:t>
      </w:r>
      <w:r>
        <w:rPr>
          <w:rFonts w:ascii="宋体" w:hAnsi="宋体" w:cs="宋体" w:eastAsia="宋体" w:hint="ascii"/>
          <w:sz w:val="21"/>
          <w:spacing w:val="3"/>
        </w:rPr>
        <w:t>的</w:t>
      </w:r>
      <w:r>
        <w:rPr>
          <w:rFonts w:ascii="宋体" w:hAnsi="宋体" w:cs="宋体" w:eastAsia="宋体" w:hint="ascii"/>
          <w:sz w:val="21"/>
        </w:rPr>
        <w:t>，需</w:t>
      </w:r>
      <w:r>
        <w:rPr>
          <w:rFonts w:ascii="宋体" w:hAnsi="宋体" w:cs="宋体" w:eastAsia="宋体" w:hint="ascii"/>
          <w:sz w:val="21"/>
          <w:spacing w:val="3"/>
        </w:rPr>
        <w:t>说</w:t>
      </w:r>
      <w:r>
        <w:rPr>
          <w:rFonts w:ascii="宋体" w:hAnsi="宋体" w:cs="宋体" w:eastAsia="宋体" w:hint="ascii"/>
          <w:sz w:val="21"/>
        </w:rPr>
        <w:t>明支</w:t>
      </w:r>
      <w:r>
        <w:rPr>
          <w:rFonts w:ascii="宋体" w:hAnsi="宋体" w:cs="宋体" w:eastAsia="宋体" w:hint="ascii"/>
          <w:sz w:val="21"/>
          <w:spacing w:val="3"/>
        </w:rPr>
        <w:t>出</w:t>
      </w:r>
      <w:r>
        <w:rPr>
          <w:rFonts w:ascii="宋体" w:hAnsi="宋体" w:cs="宋体" w:eastAsia="宋体" w:hint="ascii"/>
          <w:sz w:val="21"/>
        </w:rPr>
        <w:t>内容构成，测算过程，并提供测算依据。如依托单位已制定相应开支范围、标准的，需作为预算编报说明附件提交。</w:t>
      </w:r>
    </w:p>
    <w:p>
      <w:pPr>
        <w:autoSpaceDE w:val="0"/>
        <w:autoSpaceDN w:val="0"/>
        <w:jc w:val="left"/>
        <w:spacing w:before="4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）项目申请人应说明出版</w:t>
      </w:r>
      <w:r>
        <w:rPr>
          <w:rFonts w:ascii="Times New Roman" w:hAnsi="Times New Roman" w:cs="Times New Roman" w:eastAsia="Times New Roman" w:hint="ascii"/>
          <w:sz w:val="21"/>
        </w:rPr>
        <w:t>/</w:t>
      </w:r>
      <w:r>
        <w:rPr>
          <w:rFonts w:ascii="宋体" w:hAnsi="宋体" w:cs="宋体" w:eastAsia="宋体" w:hint="ascii"/>
          <w:sz w:val="21"/>
        </w:rPr>
        <w:t>文献</w:t>
      </w:r>
      <w:r>
        <w:rPr>
          <w:rFonts w:ascii="Times New Roman" w:hAnsi="Times New Roman" w:cs="Times New Roman" w:eastAsia="Times New Roman" w:hint="ascii"/>
          <w:sz w:val="21"/>
        </w:rPr>
        <w:t>/</w:t>
      </w:r>
      <w:r>
        <w:rPr>
          <w:rFonts w:ascii="宋体" w:hAnsi="宋体" w:cs="宋体" w:eastAsia="宋体" w:hint="ascii"/>
          <w:sz w:val="21"/>
        </w:rPr>
        <w:t>信息传播</w:t>
      </w:r>
      <w:r>
        <w:rPr>
          <w:rFonts w:ascii="Times New Roman" w:hAnsi="Times New Roman" w:cs="Times New Roman" w:eastAsia="Times New Roman" w:hint="ascii"/>
          <w:sz w:val="21"/>
        </w:rPr>
        <w:t>/</w:t>
      </w:r>
      <w:r>
        <w:rPr>
          <w:rFonts w:ascii="宋体" w:hAnsi="宋体" w:cs="宋体" w:eastAsia="宋体" w:hint="ascii"/>
          <w:sz w:val="21"/>
        </w:rPr>
        <w:t>知识产权事务费各项支出与研究任务的</w:t>
      </w:r>
    </w:p>
    <w:p>
      <w:pPr>
        <w:autoSpaceDE w:val="0"/>
        <w:autoSpaceDN w:val="0"/>
        <w:jc w:val="both"/>
        <w:spacing w:before="10"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相关性、测</w:t>
      </w:r>
      <w:r>
        <w:rPr>
          <w:rFonts w:ascii="宋体" w:hAnsi="宋体" w:cs="宋体" w:eastAsia="宋体" w:hint="ascii"/>
          <w:sz w:val="21"/>
        </w:rPr>
        <w:t>算过程（如根据项目任务目标测算专利、论文发表等的数量，根据市场价格估算相关费用）等。</w:t>
      </w:r>
    </w:p>
    <w:p>
      <w:pPr>
        <w:autoSpaceDE w:val="0"/>
        <w:autoSpaceDN w:val="0"/>
        <w:jc w:val="both"/>
        <w:spacing w:before="0" w:after="0" w:lineRule="exact" w:line="319"/>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7</w:t>
      </w:r>
      <w:r>
        <w:rPr>
          <w:rFonts w:ascii="宋体" w:hAnsi="宋体" w:cs="宋体" w:eastAsia="宋体" w:hint="ascii"/>
          <w:sz w:val="21"/>
          <w:spacing w:val="-1"/>
        </w:rPr>
        <w:t>）项目申</w:t>
      </w:r>
      <w:r>
        <w:rPr>
          <w:rFonts w:ascii="宋体" w:hAnsi="宋体" w:cs="宋体" w:eastAsia="宋体" w:hint="ascii"/>
          <w:sz w:val="21"/>
        </w:rPr>
        <w:t>请人应分别说明研究生、博士后、访问学者及项目聘用的研究人员、科研辅助人员等在项目研究中承担的工作任务、劳务费发放标准的依据。</w:t>
      </w:r>
    </w:p>
    <w:p>
      <w:pPr>
        <w:autoSpaceDE w:val="0"/>
        <w:autoSpaceDN w:val="0"/>
        <w:jc w:val="left"/>
        <w:spacing w:before="4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）项目申请人应说明专家咨询费的开支标准并详细列示测算过程。</w:t>
      </w:r>
    </w:p>
    <w:p>
      <w:pPr>
        <w:autoSpaceDE w:val="0"/>
        <w:autoSpaceDN w:val="0"/>
        <w:jc w:val="both"/>
        <w:spacing w:before="13" w:after="0" w:lineRule="exact" w:line="319"/>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9</w:t>
      </w:r>
      <w:r>
        <w:rPr>
          <w:rFonts w:ascii="宋体" w:hAnsi="宋体" w:cs="宋体" w:eastAsia="宋体" w:hint="ascii"/>
          <w:sz w:val="21"/>
          <w:spacing w:val="-1"/>
        </w:rPr>
        <w:t>）项目申</w:t>
      </w:r>
      <w:r>
        <w:rPr>
          <w:rFonts w:ascii="宋体" w:hAnsi="宋体" w:cs="宋体" w:eastAsia="宋体" w:hint="ascii"/>
          <w:sz w:val="21"/>
        </w:rPr>
        <w:t>请人应说明其他支出的内容，以及与项目研究任务的相关性、必要性，并详细列示测算过程。</w: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五、关于合作研究外拨资金</w:t>
      </w:r>
    </w:p>
    <w:p>
      <w:pPr>
        <w:autoSpaceDE w:val="0"/>
        <w:autoSpaceDN w:val="0"/>
        <w:jc w:val="both"/>
        <w:spacing w:before="12" w:after="0" w:lineRule="exact" w:line="312"/>
        <w:ind w:right="963" w:left="966" w:firstLine="420"/>
        <w:snapToGrid w:val="0"/>
        <w:textAlignment w:val="auto"/>
        <w:tabs>
          <w:tab w:val="left" w:leader="none" w:pos="1653"/>
        </w:tabs>
        <w:numPr>
          <w:ilvl w:val="0"/>
          <w:numId w:val="11"/>
        </w:numPr>
        <w:rPr>
          <w:rFonts w:ascii="Times New Roman" w:hAnsi="Times New Roman" w:cs="Times New Roman" w:eastAsia="Times New Roman" w:hint="ascii"/>
          <w:sz w:val="21"/>
        </w:rPr>
      </w:pPr>
      <w:r>
        <w:rPr>
          <w:rFonts w:ascii="宋体" w:hAnsi="宋体" w:cs="宋体" w:eastAsia="宋体" w:hint="ascii"/>
          <w:sz w:val="21"/>
        </w:rPr>
        <w:t>项目申请人与参与者不是同一单位的，参与者所在单位（境内）视为合作研究 单位。</w:t>
      </w:r>
    </w:p>
    <w:p>
      <w:pPr>
        <w:autoSpaceDE w:val="0"/>
        <w:autoSpaceDN w:val="0"/>
        <w:jc w:val="left"/>
        <w:spacing w:before="40" w:after="0" w:lineRule="auto" w:line="240"/>
        <w:ind w:right="0" w:left="966" w:firstLine="420"/>
        <w:snapToGrid w:val="0"/>
        <w:textAlignment w:val="auto"/>
        <w:tabs>
          <w:tab w:val="left" w:leader="none" w:pos="1650"/>
        </w:tabs>
        <w:numPr>
          <w:ilvl w:val="0"/>
          <w:numId w:val="11"/>
        </w:numPr>
        <w:rPr>
          <w:rFonts w:ascii="Times New Roman" w:hAnsi="Times New Roman" w:cs="Times New Roman" w:eastAsia="Times New Roman" w:hint="ascii"/>
          <w:sz w:val="21"/>
        </w:rPr>
      </w:pPr>
      <w:r>
        <w:rPr>
          <w:rFonts w:ascii="宋体" w:hAnsi="宋体" w:cs="宋体" w:eastAsia="宋体" w:hint="ascii"/>
          <w:sz w:val="21"/>
        </w:rPr>
        <w:t>合作研究双方应当在计划书提交之前签订合作研究协议（或合同</w:t>
      </w:r>
      <w:r>
        <w:rPr>
          <w:rFonts w:ascii="宋体" w:hAnsi="宋体" w:cs="宋体" w:eastAsia="宋体" w:hint="ascii"/>
          <w:sz w:val="21"/>
          <w:spacing w:val="-52"/>
        </w:rPr>
        <w:t>）</w:t>
      </w:r>
      <w:r>
        <w:rPr>
          <w:rFonts w:ascii="宋体" w:hAnsi="宋体" w:cs="宋体" w:eastAsia="宋体" w:hint="ascii"/>
          <w:sz w:val="21"/>
        </w:rPr>
        <w:t>，并在预算说</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明书中对合</w:t>
      </w:r>
      <w:r>
        <w:rPr>
          <w:rFonts w:ascii="宋体" w:hAnsi="宋体" w:cs="宋体" w:eastAsia="宋体" w:hint="ascii"/>
          <w:sz w:val="21"/>
        </w:rPr>
        <w:t>作研究外拨资金进行单独说明。合作研究协议（或合同）无须提交，留在依托单位存档备查。</w:t>
      </w:r>
    </w:p>
    <w:p>
      <w:pPr>
        <w:autoSpaceDE w:val="0"/>
        <w:autoSpaceDN w:val="0"/>
        <w:jc w:val="left"/>
        <w:spacing w:before="40" w:after="0" w:lineRule="auto" w:line="240"/>
        <w:ind w:right="0" w:left="966" w:firstLine="420"/>
        <w:snapToGrid w:val="0"/>
        <w:textAlignment w:val="auto"/>
        <w:tabs>
          <w:tab w:val="left" w:leader="none" w:pos="1653"/>
        </w:tabs>
        <w:numPr>
          <w:ilvl w:val="0"/>
          <w:numId w:val="11"/>
        </w:numPr>
        <w:rPr>
          <w:rFonts w:ascii="Times New Roman" w:hAnsi="Times New Roman" w:cs="Times New Roman" w:eastAsia="Times New Roman" w:hint="ascii"/>
          <w:sz w:val="21"/>
        </w:rPr>
      </w:pPr>
      <w:r>
        <w:rPr>
          <w:rFonts w:ascii="宋体" w:hAnsi="宋体" w:cs="宋体" w:eastAsia="宋体" w:hint="ascii"/>
          <w:sz w:val="21"/>
        </w:rPr>
        <w:t>合作研究的项目申请人和合作方参与者应当根据各自承担的研究任务分</w:t>
      </w:r>
      <w:r>
        <w:rPr>
          <w:rFonts w:ascii="宋体" w:hAnsi="宋体" w:cs="宋体" w:eastAsia="宋体" w:hint="ascii"/>
          <w:sz w:val="21"/>
          <w:spacing w:val="3"/>
        </w:rPr>
        <w:t>别编</w:t>
      </w:r>
      <w:r>
        <w:rPr>
          <w:rFonts w:ascii="宋体" w:hAnsi="宋体" w:cs="宋体" w:eastAsia="宋体" w:hint="ascii"/>
          <w:sz w:val="21"/>
        </w:rPr>
        <w:t>制</w:t>
      </w:r>
    </w:p>
    <w:p>
      <w:pPr>
        <w:autoSpaceDE w:val="0"/>
        <w:autoSpaceDN w:val="0"/>
        <w:jc w:val="both"/>
        <w:spacing w:before="17"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预算（简称分预算</w:t>
      </w:r>
      <w:r>
        <w:rPr>
          <w:rFonts w:ascii="宋体" w:hAnsi="宋体" w:cs="宋体" w:eastAsia="宋体" w:hint="ascii"/>
          <w:sz w:val="21"/>
          <w:spacing w:val="-52"/>
        </w:rPr>
        <w:t>）</w:t>
      </w:r>
      <w:r>
        <w:rPr>
          <w:rFonts w:ascii="宋体" w:hAnsi="宋体" w:cs="宋体" w:eastAsia="宋体" w:hint="ascii"/>
          <w:sz w:val="21"/>
        </w:rPr>
        <w:t>，经所在单位审核并签署意见后，由项目申请人汇总编报预算（简称总预算</w:t>
      </w:r>
      <w:r>
        <w:rPr>
          <w:rFonts w:ascii="宋体" w:hAnsi="宋体" w:cs="宋体" w:eastAsia="宋体" w:hint="ascii"/>
          <w:sz w:val="21"/>
          <w:spacing w:val="-52"/>
        </w:rPr>
        <w:t>）</w:t>
      </w:r>
      <w:r>
        <w:rPr>
          <w:rFonts w:ascii="宋体" w:hAnsi="宋体" w:cs="宋体" w:eastAsia="宋体" w:hint="ascii"/>
          <w:sz w:val="21"/>
        </w:rPr>
        <w:t>。其中，申请书阶段的分预算至少需经合作方参与者签章，计划书阶段的分预算需经合作方参与者和合作研究单位签章。</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定额补助式资</w:t>
      </w:r>
      <w:r>
        <w:rPr>
          <w:rFonts w:ascii="宋体" w:hAnsi="宋体" w:cs="宋体" w:eastAsia="宋体" w:hint="ascii"/>
          <w:sz w:val="21"/>
        </w:rPr>
        <w:t>助项目的分预算无须提交，留在依托单位存档备查。成本补偿式资助项目的分预算作为总预算附件提交给自然科学基金委。</w:t>
      </w:r>
    </w:p>
    <w:p>
      <w:pPr>
        <w:autoSpaceDE w:val="0"/>
        <w:autoSpaceDN w:val="0"/>
        <w:jc w:val="both"/>
        <w:spacing w:before="0" w:after="0" w:lineRule="exact" w:line="312"/>
        <w:ind w:right="963" w:left="966" w:firstLine="420"/>
        <w:snapToGrid w:val="0"/>
        <w:textAlignment w:val="auto"/>
        <w:tabs>
          <w:tab w:val="left" w:leader="none" w:pos="1653"/>
        </w:tabs>
        <w:numPr>
          <w:ilvl w:val="0"/>
          <w:numId w:val="11"/>
        </w:numPr>
        <w:rPr>
          <w:rFonts w:ascii="Times New Roman" w:hAnsi="Times New Roman" w:cs="Times New Roman" w:eastAsia="Times New Roman" w:hint="ascii"/>
          <w:sz w:val="21"/>
        </w:rPr>
      </w:pPr>
      <w:r>
        <w:rPr>
          <w:rFonts w:ascii="宋体" w:hAnsi="宋体" w:cs="宋体" w:eastAsia="宋体" w:hint="ascii"/>
          <w:sz w:val="21"/>
        </w:rPr>
        <w:t>项目实施过程中，依托单位应当按照预算和协议（或合同）及时转拨合作研究 单位资金。</w:t>
      </w:r>
    </w:p>
    <w:p>
      <w:pPr>
        <w:autoSpaceDE w:val="0"/>
        <w:autoSpaceDN w:val="0"/>
        <w:jc w:val="both"/>
        <w:spacing w:before="0" w:after="0" w:lineRule="exact" w:line="312"/>
        <w:ind w:right="978" w:left="966" w:firstLine="420"/>
        <w:snapToGrid w:val="0"/>
        <w:textAlignment w:val="auto"/>
        <w:tabs>
          <w:tab w:val="left" w:leader="none" w:pos="1650"/>
        </w:tabs>
        <w:numPr>
          <w:ilvl w:val="0"/>
          <w:numId w:val="11"/>
        </w:numPr>
        <w:rPr>
          <w:rFonts w:ascii="Times New Roman" w:hAnsi="Times New Roman" w:cs="Times New Roman" w:eastAsia="Times New Roman" w:hint="ascii"/>
          <w:sz w:val="21"/>
        </w:rPr>
      </w:pPr>
      <w:r>
        <w:rPr>
          <w:rFonts w:ascii="宋体" w:hAnsi="宋体" w:cs="宋体" w:eastAsia="宋体" w:hint="ascii"/>
          <w:sz w:val="21"/>
        </w:rPr>
        <w:t>经双方协商约定不外拨资金的合作研究可以不签订合作研究协议（或合同</w:t>
      </w:r>
      <w:r>
        <w:rPr>
          <w:rFonts w:ascii="宋体" w:hAnsi="宋体" w:cs="宋体" w:eastAsia="宋体" w:hint="ascii"/>
          <w:sz w:val="21"/>
          <w:spacing w:val="-53"/>
        </w:rPr>
        <w:t>）</w:t>
      </w:r>
      <w:r>
        <w:rPr>
          <w:rFonts w:ascii="宋体" w:hAnsi="宋体" w:cs="宋体" w:eastAsia="宋体" w:hint="ascii"/>
          <w:sz w:val="21"/>
        </w:rPr>
        <w:t>、不分别编制预算，并在预算说明书中予以明确。</w:t>
      </w:r>
    </w:p>
    <w:p>
      <w:pPr>
        <w:autoSpaceDE w:val="0"/>
        <w:autoSpaceDN w:val="0"/>
        <w:jc w:val="left"/>
        <w:spacing w:before="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六、其他应注意的问题</w:t>
      </w:r>
    </w:p>
    <w:p>
      <w:pPr>
        <w:autoSpaceDE w:val="0"/>
        <w:autoSpaceDN w:val="0"/>
        <w:jc w:val="left"/>
        <w:spacing w:before="57" w:after="0" w:lineRule="auto" w:line="240"/>
        <w:ind w:right="0" w:left="861" w:firstLine="524"/>
        <w:snapToGrid w:val="0"/>
        <w:textAlignment w:val="auto"/>
        <w:tabs>
          <w:tab w:val="left" w:leader="none" w:pos="1653"/>
        </w:tabs>
        <w:numPr>
          <w:ilvl w:val="0"/>
          <w:numId w:val="12"/>
        </w:numPr>
        <w:rPr>
          <w:rFonts w:ascii="Times New Roman" w:hAnsi="Times New Roman" w:cs="Times New Roman" w:eastAsia="Times New Roman" w:hint="ascii"/>
          <w:sz w:val="21"/>
        </w:rPr>
      </w:pPr>
      <w:r>
        <w:rPr>
          <w:rFonts w:ascii="宋体" w:hAnsi="宋体" w:cs="宋体" w:eastAsia="宋体" w:hint="ascii"/>
          <w:sz w:val="21"/>
        </w:rPr>
        <w:t>根据《中共中央办公厅</w:t>
      </w:r>
      <w:r>
        <w:rPr>
          <w:rFonts w:ascii="宋体" w:hAnsi="宋体" w:cs="宋体" w:eastAsia="宋体" w:hint="ascii"/>
          <w:sz w:val="21"/>
          <w:spacing w:val="59"/>
        </w:rPr>
        <w:t xml:space="preserve"> </w:t>
      </w:r>
      <w:r>
        <w:rPr>
          <w:rFonts w:ascii="宋体" w:hAnsi="宋体" w:cs="宋体" w:eastAsia="宋体" w:hint="ascii"/>
          <w:sz w:val="21"/>
        </w:rPr>
        <w:t>国务院办公厅印发〈关于进一步完善中央财政科研项</w:t>
      </w:r>
    </w:p>
    <w:p>
      <w:pPr>
        <w:autoSpaceDE w:val="0"/>
        <w:autoSpaceDN w:val="0"/>
        <w:jc w:val="left"/>
        <w:spacing w:before="19"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目资金管理等政策的若干意见〉的通知</w:t>
      </w:r>
      <w:r>
        <w:rPr>
          <w:rFonts w:ascii="宋体" w:hAnsi="宋体" w:cs="宋体" w:eastAsia="宋体" w:hint="ascii"/>
          <w:sz w:val="21"/>
          <w:spacing w:val="-52"/>
        </w:rPr>
        <w:t>》</w:t>
      </w:r>
      <w:r>
        <w:rPr>
          <w:rFonts w:ascii="宋体" w:hAnsi="宋体" w:cs="宋体" w:eastAsia="宋体" w:hint="ascii"/>
          <w:sz w:val="21"/>
        </w:rPr>
        <w:t>（中办发〔</w:t>
      </w:r>
      <w:r>
        <w:rPr>
          <w:rFonts w:ascii="Times New Roman" w:hAnsi="Times New Roman" w:cs="Times New Roman" w:eastAsia="Times New Roman" w:hint="ascii"/>
          <w:sz w:val="21"/>
        </w:rPr>
        <w:t>2016</w:t>
      </w:r>
      <w:r>
        <w:rPr>
          <w:rFonts w:ascii="宋体" w:hAnsi="宋体" w:cs="宋体" w:eastAsia="宋体" w:hint="ascii"/>
          <w:sz w:val="21"/>
        </w:rPr>
        <w:t>〕</w:t>
      </w:r>
      <w:r>
        <w:rPr>
          <w:rFonts w:ascii="Times New Roman" w:hAnsi="Times New Roman" w:cs="Times New Roman" w:eastAsia="Times New Roman" w:hint="ascii"/>
          <w:sz w:val="21"/>
        </w:rPr>
        <w:t xml:space="preserve">50 </w:t>
      </w:r>
      <w:r>
        <w:rPr>
          <w:rFonts w:ascii="宋体" w:hAnsi="宋体" w:cs="宋体" w:eastAsia="宋体" w:hint="ascii"/>
          <w:sz w:val="21"/>
        </w:rPr>
        <w:t>号）精神，差旅费、会议费支出标准由依托单位按照实事求是、精简高效、厉行节约的原则确定。项目申请人须根据所在依托单位制定的相关内部标准和规定编制差旅费、会议费预算。</w:t>
      </w:r>
    </w:p>
    <w:p>
      <w:pPr>
        <w:autoSpaceDE w:val="0"/>
        <w:autoSpaceDN w:val="0"/>
        <w:jc w:val="left"/>
        <w:spacing w:before="408" w:after="0" w:lineRule="exact" w:line="225"/>
        <w:ind w:right="0" w:left="846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861" w:firstLine="524"/>
        <w:snapToGrid w:val="0"/>
        <w:textAlignment w:val="auto"/>
        <w:tabs>
          <w:tab w:val="left" w:leader="none" w:pos="1653"/>
        </w:tabs>
        <w:numPr>
          <w:ilvl w:val="0"/>
          <w:numId w:val="12"/>
        </w:numPr>
        <w:rPr>
          <w:rFonts w:ascii="Times New Roman" w:hAnsi="Times New Roman" w:cs="Times New Roman" w:eastAsia="Times New Roman" w:hint="ascii"/>
          <w:sz w:val="21"/>
        </w:rPr>
      </w:pPr>
      <w:r>
        <w:rPr>
          <w:rFonts w:ascii="宋体" w:hAnsi="宋体" w:cs="宋体" w:eastAsia="宋体" w:hint="ascii"/>
          <w:sz w:val="21"/>
        </w:rPr>
        <w:t>对于成本补偿式资助项目，自然科学基金委将对预算进行专项评审，根</w:t>
      </w:r>
      <w:r>
        <w:rPr>
          <w:rFonts w:ascii="宋体" w:hAnsi="宋体" w:cs="宋体" w:eastAsia="宋体" w:hint="ascii"/>
          <w:sz w:val="21"/>
          <w:spacing w:val="3"/>
        </w:rPr>
        <w:t>据项</w:t>
      </w:r>
      <w:r>
        <w:rPr>
          <w:rFonts w:ascii="宋体" w:hAnsi="宋体" w:cs="宋体" w:eastAsia="宋体" w:hint="ascii"/>
          <w:sz w:val="21"/>
        </w:rPr>
        <w:t>目</w:t>
      </w:r>
      <w:r>
        <w:rPr>
          <w:rFonts w:ascii="宋体" w:hAnsi="宋体" w:cs="宋体" w:eastAsia="宋体" w:hint="ascii"/>
          <w:sz w:val="21"/>
        </w:rPr>
        <mc:AlternateContent>
          <mc:Choice Requires="wps">
            <w:drawing>
              <wp:anchor distL="0" distR="0" distT="0" distB="0" simplePos="0" behindDoc="1" relativeHeight="55" locked="0" layoutInCell="1" allowOverlap="1">
                <wp:simplePos x="0" y="0"/>
                <wp:positionH relativeFrom="page">
                  <wp:posOffset>938530</wp:posOffset>
                </wp:positionH>
                <wp:positionV relativeFrom="page">
                  <wp:posOffset>805815</wp:posOffset>
                </wp:positionV>
                <wp:extent cx="5076190" cy="0"/>
                <wp:wrapNone/>
                <wp:docPr id="1082" name="108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601920;width:399.70pt;" id="108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7"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的实际需要</w:t>
      </w:r>
      <w:r>
        <w:rPr>
          <w:rFonts w:ascii="宋体" w:hAnsi="宋体" w:cs="宋体" w:eastAsia="宋体" w:hint="ascii"/>
          <w:sz w:val="21"/>
        </w:rPr>
        <w:t>确定资助金额。如有合作研究外拨资金、设备费、测试化验加工费、劳务费</w:t>
      </w:r>
      <w:r>
        <w:rPr>
          <w:rFonts w:ascii="宋体" w:hAnsi="宋体" w:cs="宋体" w:eastAsia="宋体" w:hint="ascii"/>
          <w:sz w:val="21"/>
          <w:spacing w:val="-1"/>
        </w:rPr>
        <w:t>预算，但未</w:t>
      </w:r>
      <w:r>
        <w:rPr>
          <w:rFonts w:ascii="宋体" w:hAnsi="宋体" w:cs="宋体" w:eastAsia="宋体" w:hint="ascii"/>
          <w:sz w:val="21"/>
        </w:rPr>
        <w:t>填报相应预算明细表的，形式审查将不予通过。各预算明细表仅填报申请科学基金予以资助的金额。</w:t>
      </w:r>
    </w:p>
    <w:p>
      <w:pPr>
        <w:autoSpaceDE w:val="0"/>
        <w:autoSpaceDN w:val="0"/>
        <w:jc w:val="both"/>
        <w:spacing w:before="0" w:after="0" w:lineRule="exact" w:line="312"/>
        <w:ind w:right="977" w:left="861" w:firstLine="524"/>
        <w:snapToGrid w:val="0"/>
        <w:textAlignment w:val="auto"/>
        <w:tabs>
          <w:tab w:val="left" w:leader="none" w:pos="1666"/>
        </w:tabs>
        <w:numPr>
          <w:ilvl w:val="0"/>
          <w:numId w:val="12"/>
        </w:numPr>
        <w:rPr>
          <w:rFonts w:ascii="Times New Roman" w:hAnsi="Times New Roman" w:cs="Times New Roman" w:eastAsia="Times New Roman" w:hint="ascii"/>
          <w:sz w:val="21"/>
        </w:rPr>
      </w:pPr>
      <w:r>
        <w:rPr>
          <w:rFonts w:ascii="宋体" w:hAnsi="宋体" w:cs="宋体" w:eastAsia="宋体" w:hint="ascii"/>
          <w:sz w:val="21"/>
          <w:spacing w:val="5"/>
        </w:rPr>
        <w:t>预算数据以“万元”为单位，精确到小数点后面两位。各类标准或单</w:t>
      </w:r>
      <w:r>
        <w:rPr>
          <w:rFonts w:ascii="宋体" w:hAnsi="宋体" w:cs="宋体" w:eastAsia="宋体" w:hint="ascii"/>
          <w:sz w:val="21"/>
          <w:spacing w:val="6"/>
        </w:rPr>
        <w:t>价</w:t>
      </w:r>
      <w:r>
        <w:rPr>
          <w:rFonts w:ascii="宋体" w:hAnsi="宋体" w:cs="宋体" w:eastAsia="宋体" w:hint="ascii"/>
          <w:sz w:val="21"/>
          <w:spacing w:val="-7"/>
        </w:rPr>
        <w:t>以</w:t>
      </w:r>
      <w:r>
        <w:rPr>
          <w:rFonts w:ascii="宋体" w:hAnsi="宋体" w:cs="宋体" w:eastAsia="宋体" w:hint="ascii"/>
          <w:sz w:val="21"/>
        </w:rPr>
        <w:t xml:space="preserve"> “元”为单位，精确到个位。外币需按中国人民银行公布的即期汇率折合成人民币。</w:t>
      </w:r>
    </w:p>
    <w:p>
      <w:pPr>
        <w:autoSpaceDE w:val="0"/>
        <w:autoSpaceDN w:val="0"/>
        <w:jc w:val="left"/>
        <w:spacing w:before="1054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458" w:after="0" w:lineRule="exact" w:line="475"/>
        <w:ind w:right="0" w:left="3816" w:firstLine="0"/>
        <w:snapToGrid w:val="0"/>
        <w:textAlignment w:val="auto"/>
        <w:tabs/>
        <w:rPr>
          <w:rFonts w:ascii="宋体" w:hAnsi="宋体" w:cs="宋体" w:eastAsia="宋体" w:hint="ascii"/>
          <w:sz w:val="38"/>
        </w:rPr>
      </w:pPr>
      <w:r>
        <w:rPr>
          <w:rFonts w:ascii="宋体" w:hAnsi="宋体" w:cs="宋体" w:eastAsia="宋体" w:hint="ascii"/>
          <w:sz w:val="38"/>
        </w:rPr>
        <w:t>限项申请规定</w:t>
      </w:r>
      <w:r>
        <w:rPr>
          <w:rFonts w:ascii="宋体" w:hAnsi="宋体" w:cs="宋体" w:eastAsia="宋体" w:hint="ascii"/>
          <w:sz w:val="38"/>
        </w:rPr>
        <mc:AlternateContent>
          <mc:Choice Requires="wps">
            <w:drawing>
              <wp:anchor distL="0" distR="0" distT="0" distB="0" simplePos="0" behindDoc="1" relativeHeight="56" locked="0" layoutInCell="1" allowOverlap="1">
                <wp:simplePos x="0" y="0"/>
                <wp:positionH relativeFrom="page">
                  <wp:posOffset>938530</wp:posOffset>
                </wp:positionH>
                <wp:positionV relativeFrom="page">
                  <wp:posOffset>819150</wp:posOffset>
                </wp:positionV>
                <wp:extent cx="5076190" cy="0"/>
                <wp:wrapNone/>
                <wp:docPr id="1083" name="108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600896;width:399.70pt;" id="1083"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38"/>
        </w:rPr>
        <mc:AlternateContent>
          <mc:Choice Requires="wps">
            <w:drawing>
              <wp:anchor distL="0" distR="0" distT="0" distB="0" simplePos="0" behindDoc="1" relativeHeight="57" locked="0" layoutInCell="1" allowOverlap="1">
                <wp:simplePos x="0" y="0"/>
                <wp:positionH relativeFrom="page">
                  <wp:posOffset>492125</wp:posOffset>
                </wp:positionH>
                <wp:positionV relativeFrom="page">
                  <wp:posOffset>44450</wp:posOffset>
                </wp:positionV>
                <wp:extent cx="6049645" cy="876935"/>
                <wp:wrapNone/>
                <wp:docPr id="1084" name="1084"/>
                <wp:cNvGraphicFramePr/>
                <a:graphic>
                  <a:graphicData uri="http://schemas.microsoft.com/office/word/2010/wordprocessingShape">
                    <wps:wsp>
                      <wps:cNvSpPr/>
                      <wps:spPr>
                        <a:xfrm>
                          <a:off x="0" y="0"/>
                          <a:ext cx="6049645"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75pt;mso-position-vertical:absolute;mso-position-vertical-relative:page;margin-top:3.50pt;z-index:-251599872;width:476.35pt;height:69.05pt;" id="1084" coordsize="9527,1381" stroked="f" fillcolor="#ffffff" opacity="0f">
                <v:stroke endcap="round"/>
                <v:fill opacity="0f"/>
                <w10:wrap anchorx="page" anchory="page" side="both"/>
              </v:rect>
            </w:pict>
          </mc:Fallback>
        </mc:AlternateConten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一、各类型项目限项申请规定</w:t>
      </w:r>
    </w:p>
    <w:p>
      <w:pPr>
        <w:autoSpaceDE w:val="0"/>
        <w:autoSpaceDN w:val="0"/>
        <w:jc w:val="left"/>
        <w:spacing w:before="49" w:after="0" w:lineRule="auto" w:line="240"/>
        <w:ind w:right="0" w:left="966" w:firstLine="420"/>
        <w:snapToGrid w:val="0"/>
        <w:textAlignment w:val="auto"/>
        <w:tabs>
          <w:tab w:val="left" w:leader="none" w:pos="1653"/>
        </w:tabs>
        <w:numPr>
          <w:ilvl w:val="0"/>
          <w:numId w:val="13"/>
        </w:numPr>
        <w:rPr>
          <w:rFonts w:ascii="Times New Roman" w:hAnsi="Times New Roman" w:cs="Times New Roman" w:eastAsia="Times New Roman" w:hint="ascii"/>
          <w:sz w:val="21"/>
        </w:rPr>
      </w:pPr>
      <w:r>
        <w:rPr>
          <w:rFonts w:ascii="宋体" w:hAnsi="宋体" w:cs="宋体" w:eastAsia="宋体" w:hint="ascii"/>
          <w:sz w:val="21"/>
          <w:spacing w:val="3"/>
        </w:rPr>
        <w:t>申请人</w:t>
      </w:r>
      <w:r>
        <w:rPr>
          <w:rFonts w:ascii="宋体" w:hAnsi="宋体" w:cs="宋体" w:eastAsia="宋体" w:hint="ascii"/>
          <w:sz w:val="21"/>
        </w:rPr>
        <w:t>同</w:t>
      </w:r>
      <w:r>
        <w:rPr>
          <w:rFonts w:ascii="宋体" w:hAnsi="宋体" w:cs="宋体" w:eastAsia="宋体" w:hint="ascii"/>
          <w:sz w:val="21"/>
          <w:spacing w:val="3"/>
        </w:rPr>
        <w:t>年只能申</w:t>
      </w:r>
      <w:r>
        <w:rPr>
          <w:rFonts w:ascii="宋体" w:hAnsi="宋体" w:cs="宋体" w:eastAsia="宋体" w:hint="ascii"/>
          <w:sz w:val="21"/>
        </w:rPr>
        <w:t>请</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项同类</w:t>
      </w:r>
      <w:r>
        <w:rPr>
          <w:rFonts w:ascii="宋体" w:hAnsi="宋体" w:cs="宋体" w:eastAsia="宋体" w:hint="ascii"/>
          <w:sz w:val="21"/>
        </w:rPr>
        <w:t>型</w:t>
      </w:r>
      <w:r>
        <w:rPr>
          <w:rFonts w:ascii="宋体" w:hAnsi="宋体" w:cs="宋体" w:eastAsia="宋体" w:hint="ascii"/>
          <w:sz w:val="21"/>
          <w:spacing w:val="3"/>
        </w:rPr>
        <w:t>项</w:t>
      </w:r>
      <w:r>
        <w:rPr>
          <w:rFonts w:ascii="宋体" w:hAnsi="宋体" w:cs="宋体" w:eastAsia="宋体" w:hint="ascii"/>
          <w:sz w:val="21"/>
        </w:rPr>
        <w:t>目</w:t>
      </w:r>
      <w:r>
        <w:rPr>
          <w:rFonts w:ascii="宋体" w:hAnsi="宋体" w:cs="宋体" w:eastAsia="宋体" w:hint="ascii"/>
          <w:sz w:val="21"/>
          <w:spacing w:val="-24"/>
        </w:rPr>
        <w:t xml:space="preserve"> </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其</w:t>
      </w:r>
      <w:r>
        <w:rPr>
          <w:rFonts w:ascii="宋体" w:hAnsi="宋体" w:cs="宋体" w:eastAsia="宋体" w:hint="ascii"/>
          <w:sz w:val="21"/>
        </w:rPr>
        <w:t>中</w:t>
      </w:r>
      <w:r>
        <w:rPr>
          <w:rFonts w:ascii="宋体" w:hAnsi="宋体" w:cs="宋体" w:eastAsia="宋体" w:hint="ascii"/>
          <w:sz w:val="21"/>
          <w:spacing w:val="3"/>
        </w:rPr>
        <w:t>：重大研</w:t>
      </w:r>
      <w:r>
        <w:rPr>
          <w:rFonts w:ascii="宋体" w:hAnsi="宋体" w:cs="宋体" w:eastAsia="宋体" w:hint="ascii"/>
          <w:sz w:val="21"/>
        </w:rPr>
        <w:t>究</w:t>
      </w:r>
      <w:r>
        <w:rPr>
          <w:rFonts w:ascii="宋体" w:hAnsi="宋体" w:cs="宋体" w:eastAsia="宋体" w:hint="ascii"/>
          <w:sz w:val="21"/>
          <w:spacing w:val="3"/>
        </w:rPr>
        <w:t>计划项目</w:t>
      </w:r>
      <w:r>
        <w:rPr>
          <w:rFonts w:ascii="宋体" w:hAnsi="宋体" w:cs="宋体" w:eastAsia="宋体" w:hint="ascii"/>
          <w:sz w:val="21"/>
        </w:rPr>
        <w:t>中</w:t>
      </w:r>
      <w:r>
        <w:rPr>
          <w:rFonts w:ascii="宋体" w:hAnsi="宋体" w:cs="宋体" w:eastAsia="宋体" w:hint="ascii"/>
          <w:sz w:val="21"/>
          <w:spacing w:val="3"/>
        </w:rPr>
        <w:t>的集成项</w:t>
      </w:r>
      <w:r>
        <w:rPr>
          <w:rFonts w:ascii="宋体" w:hAnsi="宋体" w:cs="宋体" w:eastAsia="宋体" w:hint="ascii"/>
          <w:sz w:val="21"/>
        </w:rPr>
        <w:t>目</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和战略研</w:t>
      </w:r>
      <w:r>
        <w:rPr>
          <w:rFonts w:ascii="宋体" w:hAnsi="宋体" w:cs="宋体" w:eastAsia="宋体" w:hint="ascii"/>
          <w:sz w:val="21"/>
          <w:spacing w:val="-1"/>
        </w:rPr>
        <w:t>究</w:t>
      </w:r>
      <w:r>
        <w:rPr>
          <w:rFonts w:ascii="宋体" w:hAnsi="宋体" w:cs="宋体" w:eastAsia="宋体" w:hint="ascii"/>
          <w:sz w:val="21"/>
        </w:rPr>
        <w:t>项目、国</w:t>
      </w:r>
      <w:r>
        <w:rPr>
          <w:rFonts w:ascii="宋体" w:hAnsi="宋体" w:cs="宋体" w:eastAsia="宋体" w:hint="ascii"/>
          <w:sz w:val="21"/>
          <w:spacing w:val="-1"/>
        </w:rPr>
        <w:t>际</w:t>
      </w:r>
      <w:r>
        <w:rPr>
          <w:rFonts w:ascii="宋体" w:hAnsi="宋体" w:cs="宋体" w:eastAsia="宋体" w:hint="ascii"/>
          <w:sz w:val="21"/>
        </w:rPr>
        <w:t>（地区）</w:t>
      </w:r>
      <w:r>
        <w:rPr>
          <w:rFonts w:ascii="宋体" w:hAnsi="宋体" w:cs="宋体" w:eastAsia="宋体" w:hint="ascii"/>
          <w:sz w:val="21"/>
          <w:spacing w:val="-1"/>
        </w:rPr>
        <w:t>合</w:t>
      </w:r>
      <w:r>
        <w:rPr>
          <w:rFonts w:ascii="宋体" w:hAnsi="宋体" w:cs="宋体" w:eastAsia="宋体" w:hint="ascii"/>
          <w:sz w:val="21"/>
        </w:rPr>
        <w:t>作交流项</w:t>
      </w:r>
      <w:r>
        <w:rPr>
          <w:rFonts w:ascii="宋体" w:hAnsi="宋体" w:cs="宋体" w:eastAsia="宋体" w:hint="ascii"/>
          <w:sz w:val="21"/>
          <w:spacing w:val="-1"/>
        </w:rPr>
        <w:t>目</w:t>
      </w:r>
      <w:r>
        <w:rPr>
          <w:rFonts w:ascii="宋体" w:hAnsi="宋体" w:cs="宋体" w:eastAsia="宋体" w:hint="ascii"/>
          <w:sz w:val="21"/>
        </w:rPr>
        <w:t>除外；联</w:t>
      </w:r>
      <w:r>
        <w:rPr>
          <w:rFonts w:ascii="宋体" w:hAnsi="宋体" w:cs="宋体" w:eastAsia="宋体" w:hint="ascii"/>
          <w:sz w:val="21"/>
          <w:spacing w:val="-1"/>
        </w:rPr>
        <w:t>合</w:t>
      </w:r>
      <w:r>
        <w:rPr>
          <w:rFonts w:ascii="宋体" w:hAnsi="宋体" w:cs="宋体" w:eastAsia="宋体" w:hint="ascii"/>
          <w:sz w:val="21"/>
        </w:rPr>
        <w:t>基金项目指同一名称联合</w:t>
      </w:r>
      <w:r>
        <w:rPr>
          <w:rFonts w:ascii="宋体" w:hAnsi="宋体" w:cs="宋体" w:eastAsia="宋体" w:hint="ascii"/>
          <w:sz w:val="21"/>
          <w:spacing w:val="-6"/>
        </w:rPr>
        <w:t>基</w:t>
      </w:r>
      <w:r>
        <w:rPr>
          <w:rFonts w:ascii="宋体" w:hAnsi="宋体" w:cs="宋体" w:eastAsia="宋体" w:hint="ascii"/>
          <w:sz w:val="21"/>
        </w:rPr>
        <w:t>金</w:t>
      </w:r>
      <w:r>
        <w:rPr>
          <w:rFonts w:ascii="Times New Roman" w:hAnsi="Times New Roman" w:cs="Times New Roman" w:eastAsia="Times New Roman" w:hint="ascii"/>
          <w:sz w:val="21"/>
        </w:rPr>
        <w:t>]</w:t>
      </w:r>
      <w:r>
        <w:rPr>
          <w:rFonts w:ascii="宋体" w:hAnsi="宋体" w:cs="宋体" w:eastAsia="宋体" w:hint="ascii"/>
          <w:sz w:val="21"/>
        </w:rPr>
        <w:t>。</w:t>
      </w:r>
    </w:p>
    <w:p>
      <w:pPr>
        <w:autoSpaceDE w:val="0"/>
        <w:autoSpaceDN w:val="0"/>
        <w:jc w:val="left"/>
        <w:spacing w:before="40" w:after="0" w:lineRule="auto" w:line="240"/>
        <w:ind w:right="0" w:left="966" w:firstLine="420"/>
        <w:snapToGrid w:val="0"/>
        <w:textAlignment w:val="auto"/>
        <w:tabs>
          <w:tab w:val="left" w:leader="none" w:pos="1650"/>
        </w:tabs>
        <w:numPr>
          <w:ilvl w:val="0"/>
          <w:numId w:val="13"/>
        </w:numPr>
        <w:rPr>
          <w:rFonts w:ascii="Times New Roman" w:hAnsi="Times New Roman" w:cs="Times New Roman" w:eastAsia="Times New Roman" w:hint="ascii"/>
          <w:sz w:val="21"/>
        </w:rPr>
      </w:pPr>
      <w:r>
        <w:rPr>
          <w:rFonts w:ascii="宋体" w:hAnsi="宋体" w:cs="宋体" w:eastAsia="宋体" w:hint="ascii"/>
          <w:sz w:val="21"/>
        </w:rPr>
        <w:t>上年度获得面上项目（包括一年期项目</w:t>
      </w:r>
      <w:r>
        <w:rPr>
          <w:rFonts w:ascii="宋体" w:hAnsi="宋体" w:cs="宋体" w:eastAsia="宋体" w:hint="ascii"/>
          <w:sz w:val="21"/>
          <w:spacing w:val="-52"/>
        </w:rPr>
        <w:t>）</w:t>
      </w:r>
      <w:r>
        <w:rPr>
          <w:rFonts w:ascii="宋体" w:hAnsi="宋体" w:cs="宋体" w:eastAsia="宋体" w:hint="ascii"/>
          <w:sz w:val="21"/>
        </w:rPr>
        <w:t>、重点项目、重大项目、重大研究计划</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项目（不包括</w:t>
      </w:r>
      <w:r>
        <w:rPr>
          <w:rFonts w:ascii="宋体" w:hAnsi="宋体" w:cs="宋体" w:eastAsia="宋体" w:hint="ascii"/>
          <w:sz w:val="21"/>
        </w:rPr>
        <w:t>集成项目和战略研究项目</w:t>
      </w:r>
      <w:r>
        <w:rPr>
          <w:rFonts w:ascii="宋体" w:hAnsi="宋体" w:cs="宋体" w:eastAsia="宋体" w:hint="ascii"/>
          <w:sz w:val="21"/>
          <w:spacing w:val="-52"/>
        </w:rPr>
        <w:t>）</w:t>
      </w:r>
      <w:r>
        <w:rPr>
          <w:rFonts w:ascii="宋体" w:hAnsi="宋体" w:cs="宋体" w:eastAsia="宋体" w:hint="ascii"/>
          <w:sz w:val="21"/>
        </w:rPr>
        <w:t>、联合基金项目（指同一名称联合基金</w:t>
      </w:r>
      <w:r>
        <w:rPr>
          <w:rFonts w:ascii="宋体" w:hAnsi="宋体" w:cs="宋体" w:eastAsia="宋体" w:hint="ascii"/>
          <w:sz w:val="21"/>
          <w:spacing w:val="-52"/>
        </w:rPr>
        <w:t>）</w:t>
      </w:r>
      <w:r>
        <w:rPr>
          <w:rFonts w:ascii="宋体" w:hAnsi="宋体" w:cs="宋体" w:eastAsia="宋体" w:hint="ascii"/>
          <w:sz w:val="21"/>
        </w:rPr>
        <w:t>、地区</w:t>
      </w:r>
      <w:r>
        <w:rPr>
          <w:rFonts w:ascii="宋体" w:hAnsi="宋体" w:cs="宋体" w:eastAsia="宋体" w:hint="ascii"/>
          <w:sz w:val="21"/>
          <w:spacing w:val="-1"/>
        </w:rPr>
        <w:t>科学基金项目</w:t>
      </w:r>
      <w:r>
        <w:rPr>
          <w:rFonts w:ascii="宋体" w:hAnsi="宋体" w:cs="宋体" w:eastAsia="宋体" w:hint="ascii"/>
          <w:sz w:val="21"/>
        </w:rPr>
        <w:t>（包括一年期项目</w:t>
      </w:r>
      <w:r>
        <w:rPr>
          <w:rFonts w:ascii="宋体" w:hAnsi="宋体" w:cs="宋体" w:eastAsia="宋体" w:hint="ascii"/>
          <w:sz w:val="21"/>
          <w:spacing w:val="-52"/>
        </w:rPr>
        <w:t>）</w:t>
      </w:r>
      <w:r>
        <w:rPr>
          <w:rFonts w:ascii="宋体" w:hAnsi="宋体" w:cs="宋体" w:eastAsia="宋体" w:hint="ascii"/>
          <w:sz w:val="21"/>
        </w:rPr>
        <w:t>、国际（地区）合作研究项目（特殊说明的除外</w:t>
      </w:r>
      <w:r>
        <w:rPr>
          <w:rFonts w:ascii="宋体" w:hAnsi="宋体" w:cs="宋体" w:eastAsia="宋体" w:hint="ascii"/>
          <w:sz w:val="21"/>
          <w:spacing w:val="-52"/>
        </w:rPr>
        <w:t>）</w:t>
      </w:r>
      <w:r>
        <w:rPr>
          <w:rFonts w:ascii="宋体" w:hAnsi="宋体" w:cs="宋体" w:eastAsia="宋体" w:hint="ascii"/>
          <w:sz w:val="21"/>
        </w:rPr>
        <w:t>、国</w:t>
      </w:r>
      <w:r>
        <w:rPr>
          <w:rFonts w:ascii="宋体" w:hAnsi="宋体" w:cs="宋体" w:eastAsia="宋体" w:hint="ascii"/>
          <w:sz w:val="21"/>
          <w:spacing w:val="-1"/>
        </w:rPr>
        <w:t>家重大科研</w:t>
      </w:r>
      <w:r>
        <w:rPr>
          <w:rFonts w:ascii="宋体" w:hAnsi="宋体" w:cs="宋体" w:eastAsia="宋体" w:hint="ascii"/>
          <w:sz w:val="21"/>
        </w:rPr>
        <w:t>仪器研制项目资助的项目负责人，本年度不得作为申请人申请同类型项目。</w:t>
      </w:r>
    </w:p>
    <w:p>
      <w:pPr>
        <w:autoSpaceDE w:val="0"/>
        <w:autoSpaceDN w:val="0"/>
        <w:jc w:val="both"/>
        <w:spacing w:before="0" w:after="0" w:lineRule="exact" w:line="312"/>
        <w:ind w:right="978" w:left="966" w:firstLine="420"/>
        <w:snapToGrid w:val="0"/>
        <w:textAlignment w:val="auto"/>
        <w:tabs>
          <w:tab w:val="left" w:leader="none" w:pos="1659"/>
        </w:tabs>
        <w:numPr>
          <w:ilvl w:val="0"/>
          <w:numId w:val="13"/>
        </w:numPr>
        <w:rPr>
          <w:rFonts w:ascii="Times New Roman" w:hAnsi="Times New Roman" w:cs="Times New Roman" w:eastAsia="Times New Roman" w:hint="ascii"/>
          <w:sz w:val="21"/>
        </w:rPr>
      </w:pPr>
      <w:r>
        <w:rPr>
          <w:rFonts w:ascii="宋体" w:hAnsi="宋体" w:cs="宋体" w:eastAsia="宋体" w:hint="ascii"/>
          <w:sz w:val="21"/>
          <w:spacing w:val="3"/>
        </w:rPr>
        <w:t>申请人同年申请国家重大科研仪器研制项目（部门推荐）和基础科学中心</w:t>
      </w:r>
      <w:r>
        <w:rPr>
          <w:rFonts w:ascii="宋体" w:hAnsi="宋体" w:cs="宋体" w:eastAsia="宋体" w:hint="ascii"/>
          <w:sz w:val="21"/>
          <w:spacing w:val="-6"/>
        </w:rPr>
        <w:t>项</w:t>
      </w:r>
      <w:r>
        <w:rPr>
          <w:rFonts w:ascii="宋体" w:hAnsi="宋体" w:cs="宋体" w:eastAsia="宋体" w:hint="ascii"/>
          <w:sz w:val="21"/>
        </w:rPr>
        <w:t>目，合计</w:t>
      </w:r>
      <w:r>
        <w:rPr>
          <w:rFonts w:ascii="宋体" w:hAnsi="宋体" w:cs="宋体" w:eastAsia="宋体" w:hint="ascii"/>
          <w:sz w:val="21"/>
          <w:spacing w:val="26"/>
        </w:rPr>
        <w:t>为</w:t>
      </w:r>
      <w:r>
        <w:rPr>
          <w:rFonts w:ascii="Times New Roman" w:hAnsi="Times New Roman" w:cs="Times New Roman" w:eastAsia="Times New Roman" w:hint="ascii"/>
          <w:sz w:val="21"/>
          <w:spacing w:val="52"/>
        </w:rPr>
        <w:t>1</w:t>
      </w:r>
      <w:r>
        <w:rPr>
          <w:rFonts w:ascii="宋体" w:hAnsi="宋体" w:cs="宋体" w:eastAsia="宋体" w:hint="ascii"/>
          <w:sz w:val="21"/>
        </w:rPr>
        <w:t>项。</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二、连续两年申请面上项目未获资助后暂停面上项目申</w:t>
      </w:r>
      <w:r>
        <w:rPr>
          <w:rFonts w:ascii="宋体" w:hAnsi="宋体" w:cs="宋体" w:eastAsia="宋体" w:hint="ascii"/>
          <w:sz w:val="21"/>
          <w:spacing w:val="26"/>
        </w:rPr>
        <w:t>请</w:t>
      </w:r>
      <w:r>
        <w:rPr>
          <w:rFonts w:ascii="Times New Roman" w:hAnsi="Times New Roman" w:cs="Times New Roman" w:eastAsia="Times New Roman" w:hint="ascii"/>
          <w:b w:val="1"/>
          <w:sz w:val="21"/>
          <w:spacing w:val="52"/>
        </w:rPr>
        <w:t>1</w:t>
      </w:r>
      <w:r>
        <w:rPr>
          <w:rFonts w:ascii="宋体" w:hAnsi="宋体" w:cs="宋体" w:eastAsia="宋体" w:hint="ascii"/>
          <w:sz w:val="21"/>
        </w:rPr>
        <w:t>年</w:t>
      </w:r>
    </w:p>
    <w:p>
      <w:pPr>
        <w:autoSpaceDE w:val="0"/>
        <w:autoSpaceDN w:val="0"/>
        <w:jc w:val="both"/>
        <w:spacing w:before="10" w:after="0" w:lineRule="exact" w:line="312"/>
        <w:ind w:right="977" w:left="966" w:firstLine="420"/>
        <w:snapToGrid w:val="0"/>
        <w:textAlignment w:val="auto"/>
        <w:tabs>
          <w:tab w:val="left" w:leader="none" w:pos="1861"/>
        </w:tabs>
        <w:numPr>
          <w:ilvl w:val="0"/>
          <w:numId w:val="14"/>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26"/>
        </w:rPr>
        <w:t>和</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年度连续两年申请面上项目未获资助的项目（包括初审不予受理的项目）申请人，</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8</w:t>
      </w:r>
      <w:r>
        <w:rPr>
          <w:rFonts w:ascii="宋体" w:hAnsi="宋体" w:cs="宋体" w:eastAsia="宋体" w:hint="ascii"/>
          <w:sz w:val="21"/>
        </w:rPr>
        <w:t>年度不得作为申请人申请面上项目。</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三、高级专业技术职务（职称）人员申请和承担项目总数的限制规定</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具有高级专业技术职务（职称）的人员，申请（包括申请人和主要参与者）和正在</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承担（包括负责人和主要参与者）以下类型项目总数合计限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项：面上项目、重点项</w:t>
      </w:r>
      <w:r>
        <w:rPr>
          <w:rFonts w:ascii="宋体" w:hAnsi="宋体" w:cs="宋体" w:eastAsia="宋体" w:hint="ascii"/>
          <w:sz w:val="21"/>
          <w:spacing w:val="5"/>
        </w:rPr>
        <w:t>目</w:t>
      </w:r>
      <w:r>
        <w:rPr>
          <w:rFonts w:ascii="宋体" w:hAnsi="宋体" w:cs="宋体" w:eastAsia="宋体" w:hint="ascii"/>
          <w:sz w:val="21"/>
          <w:spacing w:val="4"/>
        </w:rPr>
        <w:t>、重</w:t>
      </w:r>
      <w:r>
        <w:rPr>
          <w:rFonts w:ascii="宋体" w:hAnsi="宋体" w:cs="宋体" w:eastAsia="宋体" w:hint="ascii"/>
          <w:sz w:val="21"/>
          <w:spacing w:val="5"/>
        </w:rPr>
        <w:t>大</w:t>
      </w:r>
      <w:r>
        <w:rPr>
          <w:rFonts w:ascii="宋体" w:hAnsi="宋体" w:cs="宋体" w:eastAsia="宋体" w:hint="ascii"/>
          <w:sz w:val="21"/>
          <w:spacing w:val="4"/>
        </w:rPr>
        <w:t>项</w:t>
      </w:r>
      <w:r>
        <w:rPr>
          <w:rFonts w:ascii="宋体" w:hAnsi="宋体" w:cs="宋体" w:eastAsia="宋体" w:hint="ascii"/>
          <w:sz w:val="21"/>
          <w:spacing w:val="5"/>
        </w:rPr>
        <w:t>目</w:t>
      </w:r>
      <w:r>
        <w:rPr>
          <w:rFonts w:ascii="宋体" w:hAnsi="宋体" w:cs="宋体" w:eastAsia="宋体" w:hint="ascii"/>
          <w:sz w:val="21"/>
          <w:spacing w:val="4"/>
        </w:rPr>
        <w:t>、重</w:t>
      </w:r>
      <w:r>
        <w:rPr>
          <w:rFonts w:ascii="宋体" w:hAnsi="宋体" w:cs="宋体" w:eastAsia="宋体" w:hint="ascii"/>
          <w:sz w:val="21"/>
          <w:spacing w:val="5"/>
        </w:rPr>
        <w:t>大</w:t>
      </w:r>
      <w:r>
        <w:rPr>
          <w:rFonts w:ascii="宋体" w:hAnsi="宋体" w:cs="宋体" w:eastAsia="宋体" w:hint="ascii"/>
          <w:sz w:val="21"/>
          <w:spacing w:val="4"/>
        </w:rPr>
        <w:t>研</w:t>
      </w:r>
      <w:r>
        <w:rPr>
          <w:rFonts w:ascii="宋体" w:hAnsi="宋体" w:cs="宋体" w:eastAsia="宋体" w:hint="ascii"/>
          <w:sz w:val="21"/>
          <w:spacing w:val="5"/>
        </w:rPr>
        <w:t>究</w:t>
      </w:r>
      <w:r>
        <w:rPr>
          <w:rFonts w:ascii="宋体" w:hAnsi="宋体" w:cs="宋体" w:eastAsia="宋体" w:hint="ascii"/>
          <w:sz w:val="21"/>
          <w:spacing w:val="4"/>
        </w:rPr>
        <w:t>计划</w:t>
      </w:r>
      <w:r>
        <w:rPr>
          <w:rFonts w:ascii="宋体" w:hAnsi="宋体" w:cs="宋体" w:eastAsia="宋体" w:hint="ascii"/>
          <w:sz w:val="21"/>
          <w:spacing w:val="5"/>
        </w:rPr>
        <w:t>项</w:t>
      </w:r>
      <w:r>
        <w:rPr>
          <w:rFonts w:ascii="宋体" w:hAnsi="宋体" w:cs="宋体" w:eastAsia="宋体" w:hint="ascii"/>
          <w:sz w:val="21"/>
          <w:spacing w:val="4"/>
        </w:rPr>
        <w:t>目</w:t>
      </w:r>
      <w:r>
        <w:rPr>
          <w:rFonts w:ascii="宋体" w:hAnsi="宋体" w:cs="宋体" w:eastAsia="宋体" w:hint="ascii"/>
          <w:sz w:val="21"/>
          <w:spacing w:val="5"/>
        </w:rPr>
        <w:t>（</w:t>
      </w:r>
      <w:r>
        <w:rPr>
          <w:rFonts w:ascii="宋体" w:hAnsi="宋体" w:cs="宋体" w:eastAsia="宋体" w:hint="ascii"/>
          <w:sz w:val="21"/>
          <w:spacing w:val="4"/>
        </w:rPr>
        <w:t>不包</w:t>
      </w:r>
      <w:r>
        <w:rPr>
          <w:rFonts w:ascii="宋体" w:hAnsi="宋体" w:cs="宋体" w:eastAsia="宋体" w:hint="ascii"/>
          <w:sz w:val="21"/>
          <w:spacing w:val="5"/>
        </w:rPr>
        <w:t>括</w:t>
      </w:r>
      <w:r>
        <w:rPr>
          <w:rFonts w:ascii="宋体" w:hAnsi="宋体" w:cs="宋体" w:eastAsia="宋体" w:hint="ascii"/>
          <w:sz w:val="21"/>
          <w:spacing w:val="4"/>
        </w:rPr>
        <w:t>集</w:t>
      </w:r>
      <w:r>
        <w:rPr>
          <w:rFonts w:ascii="宋体" w:hAnsi="宋体" w:cs="宋体" w:eastAsia="宋体" w:hint="ascii"/>
          <w:sz w:val="21"/>
          <w:spacing w:val="5"/>
        </w:rPr>
        <w:t>成</w:t>
      </w:r>
      <w:r>
        <w:rPr>
          <w:rFonts w:ascii="宋体" w:hAnsi="宋体" w:cs="宋体" w:eastAsia="宋体" w:hint="ascii"/>
          <w:sz w:val="21"/>
          <w:spacing w:val="4"/>
        </w:rPr>
        <w:t>项目</w:t>
      </w:r>
      <w:r>
        <w:rPr>
          <w:rFonts w:ascii="宋体" w:hAnsi="宋体" w:cs="宋体" w:eastAsia="宋体" w:hint="ascii"/>
          <w:sz w:val="21"/>
          <w:spacing w:val="5"/>
        </w:rPr>
        <w:t>和</w:t>
      </w:r>
      <w:r>
        <w:rPr>
          <w:rFonts w:ascii="宋体" w:hAnsi="宋体" w:cs="宋体" w:eastAsia="宋体" w:hint="ascii"/>
          <w:sz w:val="21"/>
          <w:spacing w:val="4"/>
        </w:rPr>
        <w:t>战</w:t>
      </w:r>
      <w:r>
        <w:rPr>
          <w:rFonts w:ascii="宋体" w:hAnsi="宋体" w:cs="宋体" w:eastAsia="宋体" w:hint="ascii"/>
          <w:sz w:val="21"/>
          <w:spacing w:val="5"/>
        </w:rPr>
        <w:t>略</w:t>
      </w:r>
      <w:r>
        <w:rPr>
          <w:rFonts w:ascii="宋体" w:hAnsi="宋体" w:cs="宋体" w:eastAsia="宋体" w:hint="ascii"/>
          <w:sz w:val="21"/>
          <w:spacing w:val="4"/>
        </w:rPr>
        <w:t>研究</w:t>
      </w:r>
      <w:r>
        <w:rPr>
          <w:rFonts w:ascii="宋体" w:hAnsi="宋体" w:cs="宋体" w:eastAsia="宋体" w:hint="ascii"/>
          <w:sz w:val="21"/>
          <w:spacing w:val="5"/>
        </w:rPr>
        <w:t>项</w:t>
      </w:r>
      <w:r>
        <w:rPr>
          <w:rFonts w:ascii="宋体" w:hAnsi="宋体" w:cs="宋体" w:eastAsia="宋体" w:hint="ascii"/>
          <w:sz w:val="21"/>
          <w:spacing w:val="4"/>
        </w:rPr>
        <w:t>目</w:t>
      </w:r>
      <w:r>
        <w:rPr>
          <w:rFonts w:ascii="宋体" w:hAnsi="宋体" w:cs="宋体" w:eastAsia="宋体" w:hint="ascii"/>
          <w:sz w:val="21"/>
          <w:spacing w:val="-49"/>
        </w:rPr>
        <w:t>）</w:t>
      </w:r>
      <w:r>
        <w:rPr>
          <w:rFonts w:ascii="宋体" w:hAnsi="宋体" w:cs="宋体" w:eastAsia="宋体" w:hint="ascii"/>
          <w:sz w:val="21"/>
          <w:spacing w:val="5"/>
        </w:rPr>
        <w:t>、</w:t>
      </w:r>
      <w:r>
        <w:rPr>
          <w:rFonts w:ascii="宋体" w:hAnsi="宋体" w:cs="宋体" w:eastAsia="宋体" w:hint="ascii"/>
          <w:sz w:val="21"/>
          <w:spacing w:val="4"/>
        </w:rPr>
        <w:t>联合基金</w:t>
      </w:r>
      <w:r>
        <w:rPr>
          <w:rFonts w:ascii="宋体" w:hAnsi="宋体" w:cs="宋体" w:eastAsia="宋体" w:hint="ascii"/>
          <w:sz w:val="21"/>
        </w:rPr>
        <w:t>项目、青年科学基金项目、地区科学基金项目、优秀青年科学基金项目、国家杰出青年科学基金项目、重点国际（地区）合作研究项目、直接费用大于</w:t>
      </w:r>
      <w:r>
        <w:rPr>
          <w:rFonts w:ascii="宋体" w:hAnsi="宋体" w:cs="宋体" w:eastAsia="宋体" w:hint="ascii"/>
          <w:sz w:val="21"/>
          <w:spacing w:val="-24"/>
        </w:rPr>
        <w:t xml:space="preserve"> </w:t>
      </w:r>
      <w:r>
        <w:rPr>
          <w:rFonts w:ascii="Times New Roman" w:hAnsi="Times New Roman" w:cs="Times New Roman" w:eastAsia="Times New Roman" w:hint="ascii"/>
          <w:sz w:val="21"/>
        </w:rPr>
        <w:t>200</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项的组织间国</w:t>
      </w:r>
      <w:r>
        <w:rPr>
          <w:rFonts w:ascii="宋体" w:hAnsi="宋体" w:cs="宋体" w:eastAsia="宋体" w:hint="ascii"/>
          <w:sz w:val="21"/>
          <w:spacing w:val="6"/>
        </w:rPr>
        <w:t>际（地区）合作研究项目（仅限作为申请人申请和作为负责人承担，作为参与者</w:t>
      </w:r>
      <w:r>
        <w:rPr>
          <w:rFonts w:ascii="宋体" w:hAnsi="宋体" w:cs="宋体" w:eastAsia="宋体" w:hint="ascii"/>
          <w:sz w:val="21"/>
        </w:rPr>
        <w:t>不限</w:t>
      </w:r>
      <w:r>
        <w:rPr>
          <w:rFonts w:ascii="宋体" w:hAnsi="宋体" w:cs="宋体" w:eastAsia="宋体" w:hint="ascii"/>
          <w:sz w:val="21"/>
          <w:spacing w:val="-50"/>
        </w:rPr>
        <w:t>）</w:t>
      </w:r>
      <w:r>
        <w:rPr>
          <w:rFonts w:ascii="宋体" w:hAnsi="宋体" w:cs="宋体" w:eastAsia="宋体" w:hint="ascii"/>
          <w:sz w:val="21"/>
        </w:rPr>
        <w:t>、国家重大科研仪器研制项目（含承担科学仪器基础研究专款项目和国家重大科研仪器设备研制专项项目</w:t>
      </w:r>
      <w:r>
        <w:rPr>
          <w:rFonts w:ascii="宋体" w:hAnsi="宋体" w:cs="宋体" w:eastAsia="宋体" w:hint="ascii"/>
          <w:sz w:val="21"/>
          <w:spacing w:val="-51"/>
        </w:rPr>
        <w:t>）</w:t>
      </w:r>
      <w:r>
        <w:rPr>
          <w:rFonts w:ascii="宋体" w:hAnsi="宋体" w:cs="宋体" w:eastAsia="宋体" w:hint="ascii"/>
          <w:sz w:val="21"/>
        </w:rPr>
        <w:t>、优秀国家重点实验室研究项目，以及资助期限超过</w:t>
      </w:r>
      <w:r>
        <w:rPr>
          <w:rFonts w:ascii="宋体" w:hAnsi="宋体" w:cs="宋体" w:eastAsia="宋体" w:hint="ascii"/>
          <w:sz w:val="21"/>
          <w:spacing w:val="-2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年的应急管理项</w:t>
      </w:r>
      <w:r>
        <w:rPr>
          <w:rFonts w:ascii="宋体" w:hAnsi="宋体" w:cs="宋体" w:eastAsia="宋体" w:hint="ascii"/>
          <w:sz w:val="21"/>
          <w:spacing w:val="26"/>
        </w:rPr>
        <w:t>目</w:t>
      </w:r>
      <w:r>
        <w:rPr>
          <w:rFonts w:ascii="Times New Roman" w:hAnsi="Times New Roman" w:cs="Times New Roman" w:eastAsia="Times New Roman" w:hint="ascii"/>
          <w:sz w:val="21"/>
          <w:spacing w:val="52"/>
        </w:rPr>
        <w:t>[</w:t>
      </w:r>
      <w:r>
        <w:rPr>
          <w:rFonts w:ascii="宋体" w:hAnsi="宋体" w:cs="宋体" w:eastAsia="宋体" w:hint="ascii"/>
          <w:sz w:val="21"/>
        </w:rPr>
        <w:t>特殊说明的除外；局（室）委托任务及软课题研究项目除外</w:t>
      </w:r>
      <w:r>
        <w:rPr>
          <w:rFonts w:ascii="Times New Roman" w:hAnsi="Times New Roman" w:cs="Times New Roman" w:eastAsia="Times New Roman" w:hint="ascii"/>
          <w:sz w:val="21"/>
        </w:rPr>
        <w:t>]</w:t>
      </w:r>
      <w:r>
        <w:rPr>
          <w:rFonts w:ascii="宋体" w:hAnsi="宋体" w:cs="宋体" w:eastAsia="宋体" w:hint="ascii"/>
          <w:sz w:val="21"/>
        </w:rPr>
        <w:t>。</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优秀青年科学</w:t>
      </w:r>
      <w:r>
        <w:rPr>
          <w:rFonts w:ascii="宋体" w:hAnsi="宋体" w:cs="宋体" w:eastAsia="宋体" w:hint="ascii"/>
          <w:sz w:val="21"/>
        </w:rPr>
        <w:t>基金项目和国家杰出青年科学基金项目申请时不限项；正式接收申请到自然科学基金委作出资助与否决定之前，以及获得资助后，计入限项。</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仪器类项目总数</w:t>
      </w:r>
      <w:r>
        <w:rPr>
          <w:rFonts w:ascii="宋体" w:hAnsi="宋体" w:cs="宋体" w:eastAsia="宋体" w:hint="ascii"/>
          <w:sz w:val="21"/>
          <w:spacing w:val="26"/>
        </w:rPr>
        <w:t>限</w:t>
      </w:r>
      <w:r>
        <w:rPr>
          <w:rFonts w:ascii="Times New Roman" w:hAnsi="Times New Roman" w:cs="Times New Roman" w:eastAsia="Times New Roman" w:hint="ascii"/>
          <w:sz w:val="21"/>
          <w:spacing w:val="52"/>
        </w:rPr>
        <w:t>1</w:t>
      </w:r>
      <w:r>
        <w:rPr>
          <w:rFonts w:ascii="宋体" w:hAnsi="宋体" w:cs="宋体" w:eastAsia="宋体" w:hint="ascii"/>
          <w:sz w:val="21"/>
        </w:rPr>
        <w:t>项：申请（包括申请人和主要参与者）和正在承担（包括负责</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人和主要参</w:t>
      </w:r>
      <w:r>
        <w:rPr>
          <w:rFonts w:ascii="宋体" w:hAnsi="宋体" w:cs="宋体" w:eastAsia="宋体" w:hint="ascii"/>
          <w:sz w:val="21"/>
        </w:rPr>
        <w:t>与者）国家重大科研仪器研制项目（含承担科学仪器基础研究专款项目和国家重大科研仪器设备研制专项项目</w:t>
      </w:r>
      <w:r>
        <w:rPr>
          <w:rFonts w:ascii="宋体" w:hAnsi="宋体" w:cs="宋体" w:eastAsia="宋体" w:hint="ascii"/>
          <w:sz w:val="21"/>
          <w:spacing w:val="-52"/>
        </w:rPr>
        <w:t>）</w:t>
      </w:r>
      <w:r>
        <w:rPr>
          <w:rFonts w:ascii="宋体" w:hAnsi="宋体" w:cs="宋体" w:eastAsia="宋体" w:hint="ascii"/>
          <w:sz w:val="21"/>
        </w:rPr>
        <w:t>，以及科技部主管的国家重大科学仪器设备开发专</w:t>
      </w:r>
      <w:r>
        <w:rPr>
          <w:rFonts w:ascii="宋体" w:hAnsi="宋体" w:cs="宋体" w:eastAsia="宋体" w:hint="ascii"/>
          <w:sz w:val="21"/>
          <w:spacing w:val="-1"/>
        </w:rPr>
        <w:t>项项目总数</w:t>
      </w:r>
      <w:r>
        <w:rPr>
          <w:rFonts w:ascii="宋体" w:hAnsi="宋体" w:cs="宋体" w:eastAsia="宋体" w:hint="ascii"/>
          <w:sz w:val="21"/>
          <w:spacing w:val="26"/>
        </w:rPr>
        <w:t>限</w:t>
      </w:r>
      <w:r>
        <w:rPr>
          <w:rFonts w:ascii="Times New Roman" w:hAnsi="Times New Roman" w:cs="Times New Roman" w:eastAsia="Times New Roman" w:hint="ascii"/>
          <w:sz w:val="21"/>
          <w:spacing w:val="52"/>
        </w:rPr>
        <w:t>1</w:t>
      </w:r>
      <w:r>
        <w:rPr>
          <w:rFonts w:ascii="宋体" w:hAnsi="宋体" w:cs="宋体" w:eastAsia="宋体" w:hint="ascii"/>
          <w:sz w:val="21"/>
        </w:rPr>
        <w:t>项；国家重大科研仪器研制项目（部门推荐）获得资助后，项目负责人在结题前不得申请除国家杰出青年科学基金以外的其他类型项目。</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基础</w:t>
      </w:r>
      <w:r>
        <w:rPr>
          <w:rFonts w:ascii="宋体" w:hAnsi="宋体" w:cs="宋体" w:eastAsia="宋体" w:hint="ascii"/>
          <w:sz w:val="21"/>
          <w:spacing w:val="2"/>
        </w:rPr>
        <w:t>科</w:t>
      </w:r>
      <w:r>
        <w:rPr>
          <w:rFonts w:ascii="宋体" w:hAnsi="宋体" w:cs="宋体" w:eastAsia="宋体" w:hint="ascii"/>
          <w:sz w:val="21"/>
          <w:spacing w:val="1"/>
        </w:rPr>
        <w:t>学中心项</w:t>
      </w:r>
      <w:r>
        <w:rPr>
          <w:rFonts w:ascii="宋体" w:hAnsi="宋体" w:cs="宋体" w:eastAsia="宋体" w:hint="ascii"/>
          <w:sz w:val="21"/>
          <w:spacing w:val="2"/>
        </w:rPr>
        <w:t>目</w:t>
      </w:r>
      <w:r>
        <w:rPr>
          <w:rFonts w:ascii="宋体" w:hAnsi="宋体" w:cs="宋体" w:eastAsia="宋体" w:hint="ascii"/>
          <w:sz w:val="21"/>
          <w:spacing w:val="1"/>
        </w:rPr>
        <w:t>申请时不</w:t>
      </w:r>
      <w:r>
        <w:rPr>
          <w:rFonts w:ascii="宋体" w:hAnsi="宋体" w:cs="宋体" w:eastAsia="宋体" w:hint="ascii"/>
          <w:sz w:val="21"/>
          <w:spacing w:val="2"/>
        </w:rPr>
        <w:t>限</w:t>
      </w:r>
      <w:r>
        <w:rPr>
          <w:rFonts w:ascii="宋体" w:hAnsi="宋体" w:cs="宋体" w:eastAsia="宋体" w:hint="ascii"/>
          <w:sz w:val="21"/>
          <w:spacing w:val="1"/>
        </w:rPr>
        <w:t>项，获得</w:t>
      </w:r>
      <w:r>
        <w:rPr>
          <w:rFonts w:ascii="宋体" w:hAnsi="宋体" w:cs="宋体" w:eastAsia="宋体" w:hint="ascii"/>
          <w:sz w:val="21"/>
          <w:spacing w:val="2"/>
        </w:rPr>
        <w:t>资</w:t>
      </w:r>
      <w:r>
        <w:rPr>
          <w:rFonts w:ascii="宋体" w:hAnsi="宋体" w:cs="宋体" w:eastAsia="宋体" w:hint="ascii"/>
          <w:sz w:val="21"/>
          <w:spacing w:val="1"/>
        </w:rPr>
        <w:t>助</w:t>
      </w:r>
      <w:r>
        <w:rPr>
          <w:rFonts w:ascii="宋体" w:hAnsi="宋体" w:cs="宋体" w:eastAsia="宋体" w:hint="ascii"/>
          <w:sz w:val="21"/>
          <w:spacing w:val="2"/>
        </w:rPr>
        <w:t>后项目</w:t>
      </w:r>
      <w:r>
        <w:rPr>
          <w:rFonts w:ascii="宋体" w:hAnsi="宋体" w:cs="宋体" w:eastAsia="宋体" w:hint="ascii"/>
          <w:sz w:val="21"/>
          <w:spacing w:val="3"/>
        </w:rPr>
        <w:t>负</w:t>
      </w:r>
      <w:r>
        <w:rPr>
          <w:rFonts w:ascii="宋体" w:hAnsi="宋体" w:cs="宋体" w:eastAsia="宋体" w:hint="ascii"/>
          <w:sz w:val="21"/>
          <w:spacing w:val="2"/>
        </w:rPr>
        <w:t>责人及主</w:t>
      </w:r>
      <w:r>
        <w:rPr>
          <w:rFonts w:ascii="宋体" w:hAnsi="宋体" w:cs="宋体" w:eastAsia="宋体" w:hint="ascii"/>
          <w:sz w:val="21"/>
          <w:spacing w:val="3"/>
        </w:rPr>
        <w:t>要</w:t>
      </w:r>
      <w:r>
        <w:rPr>
          <w:rFonts w:ascii="宋体" w:hAnsi="宋体" w:cs="宋体" w:eastAsia="宋体" w:hint="ascii"/>
          <w:sz w:val="21"/>
          <w:spacing w:val="2"/>
        </w:rPr>
        <w:t>参与者（</w:t>
      </w:r>
      <w:r>
        <w:rPr>
          <w:rFonts w:ascii="宋体" w:hAnsi="宋体" w:cs="宋体" w:eastAsia="宋体" w:hint="ascii"/>
          <w:sz w:val="21"/>
          <w:spacing w:val="3"/>
        </w:rPr>
        <w:t>骨</w:t>
      </w:r>
      <w:r>
        <w:rPr>
          <w:rFonts w:ascii="宋体" w:hAnsi="宋体" w:cs="宋体" w:eastAsia="宋体" w:hint="ascii"/>
          <w:sz w:val="21"/>
          <w:spacing w:val="2"/>
        </w:rPr>
        <w:t>干</w:t>
      </w:r>
      <w:r>
        <w:rPr>
          <w:rFonts w:ascii="宋体" w:hAnsi="宋体" w:cs="宋体" w:eastAsia="宋体" w:hint="ascii"/>
          <w:sz w:val="21"/>
          <w:spacing w:val="-1"/>
        </w:rPr>
        <w:t>成</w:t>
      </w:r>
      <w:r>
        <w:rPr>
          <w:rFonts w:ascii="宋体" w:hAnsi="宋体" w:cs="宋体" w:eastAsia="宋体" w:hint="ascii"/>
          <w:sz w:val="21"/>
        </w:rPr>
        <w:t xml:space="preserve"> 员）在结题前不得申请除国家杰出青年科学基金以外的其他类型项目，不得以获得资助的基础科学中心项目的研究内容再申请其他科技计划项目。</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四、不具有高级专业技术职务（职称）人员申请和承担项目总数的限制规定</w:t>
      </w:r>
    </w:p>
    <w:p>
      <w:pPr>
        <w:autoSpaceDE w:val="0"/>
        <w:autoSpaceDN w:val="0"/>
        <w:jc w:val="left"/>
        <w:spacing w:before="49" w:after="0" w:lineRule="auto" w:line="240"/>
        <w:ind w:right="0" w:left="966" w:firstLine="420"/>
        <w:snapToGrid w:val="0"/>
        <w:textAlignment w:val="auto"/>
        <w:tabs>
          <w:tab w:val="left" w:leader="none" w:pos="1653"/>
        </w:tabs>
        <w:numPr>
          <w:ilvl w:val="0"/>
          <w:numId w:val="15"/>
        </w:numPr>
        <w:rPr>
          <w:rFonts w:ascii="Times New Roman" w:hAnsi="Times New Roman" w:cs="Times New Roman" w:eastAsia="Times New Roman" w:hint="ascii"/>
          <w:sz w:val="21"/>
        </w:rPr>
      </w:pPr>
      <w:r>
        <w:rPr>
          <w:rFonts w:ascii="宋体" w:hAnsi="宋体" w:cs="宋体" w:eastAsia="宋体" w:hint="ascii"/>
          <w:sz w:val="21"/>
        </w:rPr>
        <w:t>作为申请人申请和作为项目负责人正在承担的项目数合计限为</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项；申</w:t>
      </w:r>
      <w:r>
        <w:rPr>
          <w:rFonts w:ascii="宋体" w:hAnsi="宋体" w:cs="宋体" w:eastAsia="宋体" w:hint="ascii"/>
          <w:sz w:val="21"/>
          <w:spacing w:val="3"/>
        </w:rPr>
        <w:t>请优</w:t>
      </w:r>
      <w:r>
        <w:rPr>
          <w:rFonts w:ascii="宋体" w:hAnsi="宋体" w:cs="宋体" w:eastAsia="宋体" w:hint="ascii"/>
          <w:sz w:val="21"/>
        </w:rPr>
        <w:t>秀</w:t>
      </w:r>
    </w:p>
    <w:p>
      <w:pPr>
        <w:autoSpaceDE w:val="0"/>
        <w:autoSpaceDN w:val="0"/>
        <w:jc w:val="left"/>
        <w:spacing w:before="293" w:after="0" w:lineRule="exact" w:line="225"/>
        <w:ind w:right="0" w:left="836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xiii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0" w:firstLine="0"/>
        <w:snapToGrid w:val="0"/>
        <w:textAlignment w:val="auto"/>
        <w:tabs/>
        <w:rPr>
          <w:rFonts w:ascii="宋体" w:hAnsi="宋体" w:cs="宋体" w:eastAsia="宋体" w:hint="ascii"/>
          <w:sz w:val="21"/>
        </w:rPr>
      </w:pPr>
      <w:r>
        <w:rPr>
          <w:rFonts w:ascii="宋体" w:hAnsi="宋体" w:cs="宋体" w:eastAsia="宋体" w:hint="ascii"/>
          <w:sz w:val="21"/>
          <w:spacing w:val="-1"/>
        </w:rPr>
        <w:t>青年科学</w:t>
      </w:r>
      <w:r>
        <w:rPr>
          <w:rFonts w:ascii="宋体" w:hAnsi="宋体" w:cs="宋体" w:eastAsia="宋体" w:hint="ascii"/>
          <w:sz w:val="21"/>
        </w:rPr>
        <w:t>基金或者国家杰出青年科学基金项目的，申请时不限项；正式接收申请到自然</w:t>
      </w:r>
      <w:r>
        <w:rPr>
          <w:rFonts w:ascii="宋体" w:hAnsi="宋体" w:cs="宋体" w:eastAsia="宋体" w:hint="ascii"/>
          <w:sz w:val="21"/>
          <w:spacing w:val="-1"/>
        </w:rPr>
        <w:t>科学基金</w:t>
      </w:r>
      <w:r>
        <w:rPr>
          <w:rFonts w:ascii="宋体" w:hAnsi="宋体" w:cs="宋体" w:eastAsia="宋体" w:hint="ascii"/>
          <w:sz w:val="21"/>
        </w:rPr>
        <w:t>委作出资助与否决定之前，以及获得资助后，计入限项。作为青年科学基金项目负责人，在结题当年可以申请面上项目。</w:t>
      </w:r>
      <w:r>
        <w:rPr>
          <w:rFonts w:ascii="宋体" w:hAnsi="宋体" w:cs="宋体" w:eastAsia="宋体" w:hint="ascii"/>
          <w:sz w:val="21"/>
        </w:rPr>
        <mc:AlternateContent>
          <mc:Choice Requires="wps">
            <w:drawing>
              <wp:anchor distL="0" distR="0" distT="0" distB="0" simplePos="0" behindDoc="1" relativeHeight="58" locked="0" layoutInCell="1" allowOverlap="1">
                <wp:simplePos x="0" y="0"/>
                <wp:positionH relativeFrom="page">
                  <wp:posOffset>938530</wp:posOffset>
                </wp:positionH>
                <wp:positionV relativeFrom="page">
                  <wp:posOffset>805815</wp:posOffset>
                </wp:positionV>
                <wp:extent cx="5076190" cy="0"/>
                <wp:wrapNone/>
                <wp:docPr id="1085" name="108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98848;width:399.70pt;" id="108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6" w:left="0" w:firstLine="420"/>
        <w:snapToGrid w:val="0"/>
        <w:textAlignment w:val="auto"/>
        <w:tabs>
          <w:tab w:val="left" w:leader="none" w:pos="688"/>
        </w:tabs>
        <w:numPr>
          <w:ilvl w:val="0"/>
          <w:numId w:val="15"/>
        </w:numPr>
        <w:rPr>
          <w:rFonts w:ascii="Times New Roman" w:hAnsi="Times New Roman" w:cs="Times New Roman" w:eastAsia="Times New Roman" w:hint="ascii"/>
          <w:sz w:val="21"/>
        </w:rPr>
      </w:pPr>
      <w:r>
        <w:rPr>
          <w:rFonts w:ascii="宋体" w:hAnsi="宋体" w:cs="宋体" w:eastAsia="宋体" w:hint="ascii"/>
          <w:sz w:val="21"/>
        </w:rPr>
        <w:t>在保证有足够的时间和精力参与项目研究工作的前提下，作为主要参与者申请 或者承担各类型项目数量不限。</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五、作为项目负责人限制获得资助次数的项目类型</w:t>
      </w:r>
    </w:p>
    <w:p>
      <w:pPr>
        <w:autoSpaceDE w:val="0"/>
        <w:autoSpaceDN w:val="0"/>
        <w:jc w:val="both"/>
        <w:spacing w:before="10" w:after="0" w:lineRule="exact" w:line="312"/>
        <w:ind w:right="976" w:left="0" w:firstLine="578"/>
        <w:snapToGrid w:val="0"/>
        <w:textAlignment w:val="auto"/>
        <w:tabs>
          <w:tab w:val="left" w:leader="none" w:pos="688"/>
        </w:tabs>
        <w:numPr>
          <w:ilvl w:val="0"/>
          <w:numId w:val="16"/>
        </w:numPr>
        <w:rPr>
          <w:rFonts w:ascii="Times New Roman" w:hAnsi="Times New Roman" w:cs="Times New Roman" w:eastAsia="Times New Roman" w:hint="ascii"/>
          <w:sz w:val="21"/>
        </w:rPr>
      </w:pPr>
      <w:r>
        <w:rPr>
          <w:rFonts w:ascii="宋体" w:hAnsi="宋体" w:cs="宋体" w:eastAsia="宋体" w:hint="ascii"/>
          <w:sz w:val="21"/>
        </w:rPr>
        <w:t>青年科学基金项目、优秀青年科学基金项目、国家杰出青年科学基金项目、创 新研究群体项目：作为项目负责人仅能获</w:t>
      </w:r>
      <w:r>
        <w:rPr>
          <w:rFonts w:ascii="宋体" w:hAnsi="宋体" w:cs="宋体" w:eastAsia="宋体" w:hint="ascii"/>
          <w:sz w:val="21"/>
          <w:spacing w:val="26"/>
        </w:rPr>
        <w:t>得</w:t>
      </w:r>
      <w:r>
        <w:rPr>
          <w:rFonts w:ascii="Times New Roman" w:hAnsi="Times New Roman" w:cs="Times New Roman" w:eastAsia="Times New Roman" w:hint="ascii"/>
          <w:sz w:val="21"/>
          <w:spacing w:val="52"/>
        </w:rPr>
        <w:t>1</w:t>
      </w:r>
      <w:r>
        <w:rPr>
          <w:rFonts w:ascii="宋体" w:hAnsi="宋体" w:cs="宋体" w:eastAsia="宋体" w:hint="ascii"/>
          <w:sz w:val="21"/>
        </w:rPr>
        <w:t>次资助。</w:t>
      </w:r>
    </w:p>
    <w:p>
      <w:pPr>
        <w:autoSpaceDE w:val="0"/>
        <w:autoSpaceDN w:val="0"/>
        <w:jc w:val="left"/>
        <w:spacing w:before="40" w:after="0" w:lineRule="auto" w:line="240"/>
        <w:ind w:right="0" w:left="0" w:firstLine="578"/>
        <w:snapToGrid w:val="0"/>
        <w:textAlignment w:val="auto"/>
        <w:tabs>
          <w:tab w:val="left" w:leader="none" w:pos="684"/>
        </w:tabs>
        <w:numPr>
          <w:ilvl w:val="0"/>
          <w:numId w:val="16"/>
        </w:numPr>
        <w:rPr>
          <w:rFonts w:ascii="Times New Roman" w:hAnsi="Times New Roman" w:cs="Times New Roman" w:eastAsia="Times New Roman" w:hint="ascii"/>
          <w:sz w:val="21"/>
        </w:rPr>
      </w:pPr>
      <w:r>
        <w:rPr>
          <w:rFonts w:ascii="宋体" w:hAnsi="宋体" w:cs="宋体" w:eastAsia="宋体" w:hint="ascii"/>
          <w:sz w:val="21"/>
        </w:rPr>
        <w:t>地区科学基金项目：自</w:t>
      </w:r>
      <w:r>
        <w:rPr>
          <w:rFonts w:ascii="宋体" w:hAnsi="宋体" w:cs="宋体" w:eastAsia="宋体" w:hint="ascii"/>
          <w:sz w:val="21"/>
          <w:spacing w:val="-25"/>
        </w:rPr>
        <w:t xml:space="preserve"> </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4"/>
        </w:rPr>
        <w:t>6</w:t>
      </w:r>
      <w:r>
        <w:rPr>
          <w:rFonts w:ascii="宋体" w:hAnsi="宋体" w:cs="宋体" w:eastAsia="宋体" w:hint="ascii"/>
          <w:sz w:val="21"/>
        </w:rPr>
        <w:t>年起，作为项目负责人获得资助累计不超</w:t>
      </w:r>
      <w:r>
        <w:rPr>
          <w:rFonts w:ascii="宋体" w:hAnsi="宋体" w:cs="宋体" w:eastAsia="宋体" w:hint="ascii"/>
          <w:sz w:val="21"/>
          <w:spacing w:val="27"/>
        </w:rPr>
        <w:t>过</w:t>
      </w:r>
      <w:r>
        <w:rPr>
          <w:rFonts w:ascii="Times New Roman" w:hAnsi="Times New Roman" w:cs="Times New Roman" w:eastAsia="Times New Roman" w:hint="ascii"/>
          <w:sz w:val="21"/>
          <w:spacing w:val="53"/>
        </w:rPr>
        <w:t>3</w:t>
      </w:r>
      <w:r>
        <w:rPr>
          <w:rFonts w:ascii="宋体" w:hAnsi="宋体" w:cs="宋体" w:eastAsia="宋体" w:hint="ascii"/>
          <w:sz w:val="21"/>
        </w:rPr>
        <w:t>次，</w:t>
      </w:r>
    </w:p>
    <w:p>
      <w:pPr>
        <w:autoSpaceDE w:val="0"/>
        <w:autoSpaceDN w:val="0"/>
        <w:jc w:val="left"/>
        <w:spacing w:before="57" w:after="0" w:lineRule="auto" w:line="240"/>
        <w:ind w:right="0" w:left="473" w:hanging="473"/>
        <w:snapToGrid w:val="0"/>
        <w:textAlignment w:val="auto"/>
        <w:tabs>
          <w:tab w:val="left" w:leader="none" w:pos="473"/>
        </w:tabs>
        <w:numPr>
          <w:ilvl w:val="0"/>
          <w:numId w:val="17"/>
        </w:numPr>
        <w:rPr>
          <w:rFonts w:ascii="Times New Roman" w:hAnsi="Times New Roman" w:cs="Times New Roman" w:eastAsia="Times New Roman" w:hint="ascii"/>
          <w:sz w:val="21"/>
          <w:spacing w:val="1"/>
        </w:rPr>
      </w:pPr>
      <w:r>
        <w:rPr>
          <w:rFonts w:ascii="宋体" w:hAnsi="宋体" w:cs="宋体" w:eastAsia="宋体" w:hint="ascii"/>
          <w:sz w:val="21"/>
        </w:rPr>
        <w:t>年以前（</w:t>
      </w:r>
      <w:r>
        <w:rPr>
          <w:rFonts w:ascii="宋体" w:hAnsi="宋体" w:cs="宋体" w:eastAsia="宋体" w:hint="ascii"/>
          <w:sz w:val="21"/>
          <w:spacing w:val="26"/>
        </w:rPr>
        <w:t>含</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1"/>
        </w:rPr>
        <w:t>5</w:t>
      </w:r>
      <w:r>
        <w:rPr>
          <w:rFonts w:ascii="宋体" w:hAnsi="宋体" w:cs="宋体" w:eastAsia="宋体" w:hint="ascii"/>
          <w:sz w:val="21"/>
        </w:rPr>
        <w:t>年）批准资助的地区科学基金项目不计入累计范围。</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六、不受申请和承担项目总数限制的项目类型</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创新研究群体项目、海外及港澳学者合作研究基金项目、数学天元基金项目、直接</w:t>
      </w:r>
    </w:p>
    <w:p>
      <w:pPr>
        <w:autoSpaceDE w:val="0"/>
        <w:autoSpaceDN w:val="0"/>
        <w:jc w:val="both"/>
        <w:spacing w:before="10" w:after="0" w:lineRule="exact" w:line="312"/>
        <w:ind w:right="976" w:left="0" w:firstLine="0"/>
        <w:snapToGrid w:val="0"/>
        <w:textAlignment w:val="auto"/>
        <w:tabs/>
        <w:rPr>
          <w:rFonts w:ascii="宋体" w:hAnsi="宋体" w:cs="宋体" w:eastAsia="宋体" w:hint="ascii"/>
          <w:sz w:val="21"/>
        </w:rPr>
      </w:pPr>
      <w:r>
        <w:rPr>
          <w:rFonts w:ascii="宋体" w:hAnsi="宋体" w:cs="宋体" w:eastAsia="宋体" w:hint="ascii"/>
          <w:sz w:val="21"/>
        </w:rPr>
        <w:t>费用小于或等于</w:t>
      </w:r>
      <w:r>
        <w:rPr>
          <w:rFonts w:ascii="宋体" w:hAnsi="宋体" w:cs="宋体" w:eastAsia="宋体" w:hint="ascii"/>
          <w:sz w:val="21"/>
          <w:spacing w:val="-26"/>
        </w:rPr>
        <w:t xml:space="preserve"> </w:t>
      </w:r>
      <w:r>
        <w:rPr>
          <w:rFonts w:ascii="Times New Roman" w:hAnsi="Times New Roman" w:cs="Times New Roman" w:eastAsia="Times New Roman" w:hint="ascii"/>
          <w:sz w:val="21"/>
        </w:rPr>
        <w:t>200</w:t>
      </w:r>
      <w:r>
        <w:rPr>
          <w:rFonts w:ascii="Times New Roman" w:hAnsi="Times New Roman" w:cs="Times New Roman" w:eastAsia="Times New Roman" w:hint="ascii"/>
          <w:sz w:val="21"/>
          <w:spacing w:val="-2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项的组织间国际（地区）合作研究项目、国际（地区）合作</w:t>
      </w:r>
      <w:r>
        <w:rPr>
          <w:rFonts w:ascii="宋体" w:hAnsi="宋体" w:cs="宋体" w:eastAsia="宋体" w:hint="ascii"/>
          <w:sz w:val="21"/>
          <w:spacing w:val="-1"/>
        </w:rPr>
        <w:t>交流项目</w:t>
      </w:r>
      <w:r>
        <w:rPr>
          <w:rFonts w:ascii="宋体" w:hAnsi="宋体" w:cs="宋体" w:eastAsia="宋体" w:hint="ascii"/>
          <w:sz w:val="21"/>
        </w:rPr>
        <w:t>、外国青年学者合作研究基金项目、应急管理项目中的局（室）委托任务及软</w:t>
      </w:r>
      <w:r>
        <w:rPr>
          <w:rFonts w:ascii="宋体" w:hAnsi="宋体" w:cs="宋体" w:eastAsia="宋体" w:hint="ascii"/>
          <w:sz w:val="21"/>
          <w:spacing w:val="-1"/>
        </w:rPr>
        <w:t>课题研究</w:t>
      </w:r>
      <w:r>
        <w:rPr>
          <w:rFonts w:ascii="宋体" w:hAnsi="宋体" w:cs="宋体" w:eastAsia="宋体" w:hint="ascii"/>
          <w:sz w:val="21"/>
        </w:rPr>
        <w:t>项目、资助期</w:t>
      </w:r>
      <w:r>
        <w:rPr>
          <w:rFonts w:ascii="宋体" w:hAnsi="宋体" w:cs="宋体" w:eastAsia="宋体" w:hint="ascii"/>
          <w:sz w:val="21"/>
          <w:spacing w:val="26"/>
        </w:rPr>
        <w:t>限</w:t>
      </w:r>
      <w:r>
        <w:rPr>
          <w:rFonts w:ascii="Times New Roman" w:hAnsi="Times New Roman" w:cs="Times New Roman" w:eastAsia="Times New Roman" w:hint="ascii"/>
          <w:sz w:val="21"/>
          <w:spacing w:val="52"/>
        </w:rPr>
        <w:t>1</w:t>
      </w:r>
      <w:r>
        <w:rPr>
          <w:rFonts w:ascii="宋体" w:hAnsi="宋体" w:cs="宋体" w:eastAsia="宋体" w:hint="ascii"/>
          <w:sz w:val="21"/>
        </w:rPr>
        <w:t>年及以下的其他类型项目，以及项目指南中特殊说明不限项的项目等。</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注意事项</w:t>
      </w:r>
    </w:p>
    <w:p>
      <w:pPr>
        <w:autoSpaceDE w:val="0"/>
        <w:autoSpaceDN w:val="0"/>
        <w:jc w:val="both"/>
        <w:spacing w:before="10" w:after="0" w:lineRule="exact" w:line="312"/>
        <w:ind w:right="976" w:left="0" w:firstLine="420"/>
        <w:snapToGrid w:val="0"/>
        <w:textAlignment w:val="auto"/>
        <w:tabs>
          <w:tab w:val="left" w:leader="none" w:pos="688"/>
        </w:tabs>
        <w:numPr>
          <w:ilvl w:val="0"/>
          <w:numId w:val="18"/>
        </w:numPr>
        <w:rPr>
          <w:rFonts w:ascii="Times New Roman" w:hAnsi="Times New Roman" w:cs="Times New Roman" w:eastAsia="Times New Roman" w:hint="ascii"/>
          <w:sz w:val="21"/>
        </w:rPr>
      </w:pPr>
      <w:r>
        <w:rPr>
          <w:rFonts w:ascii="宋体" w:hAnsi="宋体" w:cs="宋体" w:eastAsia="宋体" w:hint="ascii"/>
          <w:sz w:val="21"/>
        </w:rPr>
        <w:t>处于评审阶段（自然科学基金委作出资助与否决定之前）的申请，计入本限项 申请规定范围之内。</w:t>
      </w:r>
    </w:p>
    <w:p>
      <w:pPr>
        <w:autoSpaceDE w:val="0"/>
        <w:autoSpaceDN w:val="0"/>
        <w:jc w:val="both"/>
        <w:spacing w:before="0" w:after="0" w:lineRule="exact" w:line="312"/>
        <w:ind w:right="976" w:left="0" w:firstLine="420"/>
        <w:snapToGrid w:val="0"/>
        <w:textAlignment w:val="auto"/>
        <w:tabs>
          <w:tab w:val="left" w:leader="none" w:pos="688"/>
        </w:tabs>
        <w:numPr>
          <w:ilvl w:val="0"/>
          <w:numId w:val="18"/>
        </w:numPr>
        <w:rPr>
          <w:rFonts w:ascii="Times New Roman" w:hAnsi="Times New Roman" w:cs="Times New Roman" w:eastAsia="Times New Roman" w:hint="ascii"/>
          <w:sz w:val="21"/>
        </w:rPr>
      </w:pPr>
      <w:r>
        <w:rPr>
          <w:rFonts w:ascii="宋体" w:hAnsi="宋体" w:cs="宋体" w:eastAsia="宋体" w:hint="ascii"/>
          <w:sz w:val="21"/>
        </w:rPr>
        <w:t>申请人即使受聘于多个依托单位，通过不同依托单位申请和承担项目，其申请 和承担项目数量仍然适用于本限项申请规定。</w:t>
      </w:r>
    </w:p>
    <w:p>
      <w:pPr>
        <w:autoSpaceDE w:val="0"/>
        <w:autoSpaceDN w:val="0"/>
        <w:jc w:val="both"/>
        <w:spacing w:before="0" w:after="0" w:lineRule="exact" w:line="312"/>
        <w:ind w:right="976" w:left="0" w:firstLine="420"/>
        <w:snapToGrid w:val="0"/>
        <w:textAlignment w:val="auto"/>
        <w:tabs>
          <w:tab w:val="left" w:leader="none" w:pos="694"/>
        </w:tabs>
        <w:numPr>
          <w:ilvl w:val="0"/>
          <w:numId w:val="18"/>
        </w:numPr>
        <w:rPr>
          <w:rFonts w:ascii="Times New Roman" w:hAnsi="Times New Roman" w:cs="Times New Roman" w:eastAsia="Times New Roman" w:hint="ascii"/>
          <w:sz w:val="21"/>
        </w:rPr>
      </w:pPr>
      <w:r>
        <w:rPr>
          <w:rFonts w:ascii="宋体" w:hAnsi="宋体" w:cs="宋体" w:eastAsia="宋体" w:hint="ascii"/>
          <w:sz w:val="21"/>
          <w:spacing w:val="3"/>
        </w:rPr>
        <w:t>不具有高级专业技术职务（职称）的人员晋升为高级专业技术职务（职称</w:t>
      </w:r>
      <w:r>
        <w:rPr>
          <w:rFonts w:ascii="宋体" w:hAnsi="宋体" w:cs="宋体" w:eastAsia="宋体" w:hint="ascii"/>
          <w:sz w:val="21"/>
          <w:spacing w:val="-6"/>
        </w:rPr>
        <w:t>）</w:t>
      </w:r>
      <w:r>
        <w:rPr>
          <w:rFonts w:ascii="宋体" w:hAnsi="宋体" w:cs="宋体" w:eastAsia="宋体" w:hint="ascii"/>
          <w:sz w:val="21"/>
        </w:rPr>
        <w:t xml:space="preserve"> </w:t>
      </w:r>
      <w:r>
        <w:rPr>
          <w:rFonts w:ascii="宋体" w:hAnsi="宋体" w:cs="宋体" w:eastAsia="宋体" w:hint="ascii"/>
          <w:sz w:val="21"/>
          <w:spacing w:val="-1"/>
        </w:rPr>
        <w:t>后，作为</w:t>
      </w:r>
      <w:r>
        <w:rPr>
          <w:rFonts w:ascii="宋体" w:hAnsi="宋体" w:cs="宋体" w:eastAsia="宋体" w:hint="ascii"/>
          <w:sz w:val="21"/>
        </w:rPr>
        <w:t>负责人正在承担的项目计入限项范围，作为参与者正在承担的项目不计入限项范围。</w:t>
      </w:r>
    </w:p>
    <w:p>
      <w:pPr>
        <w:autoSpaceDE w:val="0"/>
        <w:autoSpaceDN w:val="0"/>
        <w:jc w:val="both"/>
        <w:spacing w:before="0" w:after="0" w:lineRule="exact" w:line="312"/>
        <w:ind w:right="976" w:left="0" w:firstLine="420"/>
        <w:snapToGrid w:val="0"/>
        <w:textAlignment w:val="auto"/>
        <w:tabs>
          <w:tab w:val="left" w:leader="none" w:pos="688"/>
        </w:tabs>
        <w:numPr>
          <w:ilvl w:val="0"/>
          <w:numId w:val="18"/>
        </w:numPr>
        <w:rPr>
          <w:rFonts w:ascii="Times New Roman" w:hAnsi="Times New Roman" w:cs="Times New Roman" w:eastAsia="Times New Roman" w:hint="ascii"/>
          <w:sz w:val="21"/>
        </w:rPr>
      </w:pPr>
      <w:r>
        <w:rPr>
          <w:rFonts w:ascii="宋体" w:hAnsi="宋体" w:cs="宋体" w:eastAsia="宋体" w:hint="ascii"/>
          <w:sz w:val="21"/>
        </w:rPr>
        <w:t>现行项目管理办法中，有关申请项目数量的要求与本限项申请规定不一致的， 以本规定为准。</w:t>
      </w:r>
    </w:p>
    <w:p>
      <w:pPr>
        <w:autoSpaceDE w:val="0"/>
        <w:autoSpaceDN w:val="0"/>
        <w:jc w:val="left"/>
        <w:spacing w:before="4330"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xiv</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612" w:after="0" w:lineRule="exact" w:line="475"/>
        <w:ind w:right="0" w:left="4196" w:firstLine="0"/>
        <w:snapToGrid w:val="0"/>
        <w:textAlignment w:val="auto"/>
        <w:tabs/>
        <w:rPr>
          <w:rFonts w:ascii="宋体" w:hAnsi="宋体" w:cs="宋体" w:eastAsia="宋体" w:hint="ascii"/>
          <w:sz w:val="38"/>
        </w:rPr>
      </w:pPr>
      <w:r>
        <w:rPr>
          <w:rFonts w:ascii="宋体" w:hAnsi="宋体" w:cs="宋体" w:eastAsia="宋体" w:hint="ascii"/>
          <w:sz w:val="38"/>
        </w:rPr>
        <w:t>目</w:t>
      </w:r>
      <w:r>
        <w:rPr>
          <w:rFonts w:ascii="宋体" w:hAnsi="宋体" w:cs="宋体" w:eastAsia="宋体" w:hint="ascii"/>
          <w:sz w:val="38"/>
          <w:spacing w:val="285"/>
        </w:rPr>
        <w:t xml:space="preserve"> </w:t>
      </w:r>
      <w:r>
        <w:rPr>
          <w:rFonts w:ascii="宋体" w:hAnsi="宋体" w:cs="宋体" w:eastAsia="宋体" w:hint="ascii"/>
          <w:sz w:val="38"/>
        </w:rPr>
        <w:t>录</w:t>
      </w:r>
      <w:r>
        <w:rPr>
          <w:rFonts w:ascii="宋体" w:hAnsi="宋体" w:cs="宋体" w:eastAsia="宋体" w:hint="ascii"/>
          <w:sz w:val="38"/>
        </w:rPr>
        <mc:AlternateContent>
          <mc:Choice Requires="wps">
            <w:drawing>
              <wp:anchor distL="0" distR="0" distT="0" distB="0" simplePos="0" behindDoc="1" relativeHeight="59" locked="0" layoutInCell="1" allowOverlap="1">
                <wp:simplePos x="0" y="0"/>
                <wp:positionH relativeFrom="page">
                  <wp:posOffset>938530</wp:posOffset>
                </wp:positionH>
                <wp:positionV relativeFrom="page">
                  <wp:posOffset>819150</wp:posOffset>
                </wp:positionV>
                <wp:extent cx="5076190" cy="0"/>
                <wp:wrapNone/>
                <wp:docPr id="1086" name="108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97824;width:399.70pt;" id="1086"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38"/>
        </w:rPr>
        <mc:AlternateContent>
          <mc:Choice Requires="wps">
            <w:drawing>
              <wp:anchor distL="0" distR="0" distT="0" distB="0" simplePos="0" behindDoc="1" relativeHeight="60" locked="0" layoutInCell="1" allowOverlap="1">
                <wp:simplePos x="0" y="0"/>
                <wp:positionH relativeFrom="page">
                  <wp:posOffset>492125</wp:posOffset>
                </wp:positionH>
                <wp:positionV relativeFrom="page">
                  <wp:posOffset>196850</wp:posOffset>
                </wp:positionV>
                <wp:extent cx="6049645" cy="876935"/>
                <wp:wrapNone/>
                <wp:docPr id="1087" name="1087"/>
                <wp:cNvGraphicFramePr/>
                <a:graphic>
                  <a:graphicData uri="http://schemas.microsoft.com/office/word/2010/wordprocessingShape">
                    <wps:wsp>
                      <wps:cNvSpPr/>
                      <wps:spPr>
                        <a:xfrm>
                          <a:off x="0" y="0"/>
                          <a:ext cx="6049645"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75pt;mso-position-vertical:absolute;mso-position-vertical-relative:page;margin-top:15.50pt;z-index:-251596800;width:476.35pt;height:69.05pt;" id="1087" coordsize="9527,1381" stroked="f" fillcolor="#ffffff" opacity="0f">
                <v:stroke endcap="round"/>
                <v:fill opacity="0f"/>
                <w10:wrap anchorx="page" anchory="page" side="both"/>
              </v:rect>
            </w:pict>
          </mc:Fallback>
        </mc:AlternateContent>
      </w:r>
    </w:p>
    <w:p>
      <w:pPr>
        <w:autoSpaceDE w:val="0"/>
        <w:autoSpaceDN w:val="0"/>
        <w:jc w:val="left"/>
        <w:spacing w:before="691" w:after="0" w:lineRule="exact" w:line="263"/>
        <w:ind w:right="0" w:left="966" w:firstLine="0"/>
        <w:snapToGrid w:val="0"/>
        <w:textAlignment w:val="auto"/>
        <w:tabs>
          <w:tab w:val="left" w:leader="middleDot" w:pos="8886"/>
        </w:tabs>
        <w:rPr>
          <w:rFonts w:ascii="Times New Roman" w:hAnsi="Times New Roman" w:cs="Times New Roman" w:eastAsia="Times New Roman" w:hint="ascii"/>
          <w:sz w:val="21"/>
        </w:rPr>
      </w:pPr>
      <w:r>
        <w:rPr>
          <w:rFonts w:ascii="宋体" w:hAnsi="宋体" w:cs="宋体" w:eastAsia="宋体" w:hint="ascii"/>
          <w:sz w:val="21"/>
        </w:rPr>
        <w:t>前言</w:t>
      </w:r>
      <w:r>
        <w:rPr>
          <w:rFonts w:ascii="宋体" w:hAnsi="宋体" w:cs="宋体" w:eastAsia="宋体" w:hint="ascii"/>
          <w:sz w:val="21"/>
          <w:spacing w:val="-25"/>
        </w:rPr>
        <w:t xml:space="preserve"> </w:t>
      </w:r>
      <w:r>
        <w:rPr>
          <w:rFonts w:ascii="Times New Roman" w:hAnsi="Times New Roman" w:cs="Times New Roman" w:eastAsia="Times New Roman" w:hint="ascii"/>
          <w:sz w:val="21"/>
        </w:rPr>
        <w:tab/>
        <w:t>i</w:t>
      </w:r>
    </w:p>
    <w:p>
      <w:pPr>
        <w:autoSpaceDE w:val="0"/>
        <w:autoSpaceDN w:val="0"/>
        <w:jc w:val="left"/>
        <w:spacing w:before="49" w:after="0" w:lineRule="exact" w:line="263"/>
        <w:ind w:right="0" w:left="966" w:firstLine="0"/>
        <w:snapToGrid w:val="0"/>
        <w:textAlignment w:val="auto"/>
        <w:tabs>
          <w:tab w:val="left" w:leader="middleDot" w:pos="8772"/>
        </w:tabs>
        <w:rPr>
          <w:rFonts w:ascii="Times New Roman" w:hAnsi="Times New Roman" w:cs="Times New Roman" w:eastAsia="Times New Roman" w:hint="ascii"/>
          <w:sz w:val="21"/>
        </w:rPr>
      </w:pPr>
      <w:r>
        <w:rPr>
          <w:rFonts w:ascii="宋体" w:hAnsi="宋体" w:cs="宋体" w:eastAsia="宋体" w:hint="ascii"/>
          <w:sz w:val="21"/>
        </w:rPr>
        <w:t>申请须</w:t>
      </w:r>
      <w:r>
        <w:rPr>
          <w:rFonts w:ascii="宋体" w:hAnsi="宋体" w:cs="宋体" w:eastAsia="宋体" w:hint="ascii"/>
          <w:sz w:val="21"/>
          <w:spacing w:val="26"/>
        </w:rPr>
        <w:t>知</w:t>
      </w:r>
      <w:r>
        <w:rPr>
          <w:rFonts w:ascii="Times New Roman" w:hAnsi="Times New Roman" w:cs="Times New Roman" w:eastAsia="Times New Roman" w:hint="ascii"/>
          <w:sz w:val="21"/>
        </w:rPr>
        <w:tab/>
        <w:t>iii</w:t>
      </w:r>
    </w:p>
    <w:p>
      <w:pPr>
        <w:autoSpaceDE w:val="0"/>
        <w:autoSpaceDN w:val="0"/>
        <w:jc w:val="left"/>
        <w:spacing w:before="49" w:after="0" w:lineRule="exact" w:line="263"/>
        <w:ind w:right="0" w:left="966" w:firstLine="0"/>
        <w:snapToGrid w:val="0"/>
        <w:textAlignment w:val="auto"/>
        <w:tabs>
          <w:tab w:val="left" w:leader="middleDot" w:pos="8725"/>
        </w:tabs>
        <w:rPr>
          <w:rFonts w:ascii="Times New Roman" w:hAnsi="Times New Roman" w:cs="Times New Roman" w:eastAsia="Times New Roman" w:hint="ascii"/>
          <w:sz w:val="21"/>
        </w:rPr>
      </w:pPr>
      <w:r>
        <w:rPr>
          <w:rFonts w:ascii="宋体" w:hAnsi="宋体" w:cs="宋体" w:eastAsia="宋体" w:hint="ascii"/>
          <w:sz w:val="21"/>
        </w:rPr>
        <w:t>科研诚信须</w:t>
      </w:r>
      <w:r>
        <w:rPr>
          <w:rFonts w:ascii="宋体" w:hAnsi="宋体" w:cs="宋体" w:eastAsia="宋体" w:hint="ascii"/>
          <w:sz w:val="21"/>
          <w:spacing w:val="25"/>
        </w:rPr>
        <w:t>知</w:t>
      </w:r>
      <w:r>
        <w:rPr>
          <w:rFonts w:ascii="Times New Roman" w:hAnsi="Times New Roman" w:cs="Times New Roman" w:eastAsia="Times New Roman" w:hint="ascii"/>
          <w:sz w:val="21"/>
        </w:rPr>
        <w:tab/>
        <w:t>vii</w:t>
      </w:r>
    </w:p>
    <w:p>
      <w:pPr>
        <w:autoSpaceDE w:val="0"/>
        <w:autoSpaceDN w:val="0"/>
        <w:jc w:val="left"/>
        <w:spacing w:before="49" w:after="0" w:lineRule="exact" w:line="263"/>
        <w:ind w:right="0" w:left="966" w:firstLine="0"/>
        <w:snapToGrid w:val="0"/>
        <w:textAlignment w:val="auto"/>
        <w:tabs>
          <w:tab w:val="left" w:leader="middleDot" w:pos="8784"/>
        </w:tabs>
        <w:rPr>
          <w:rFonts w:ascii="Times New Roman" w:hAnsi="Times New Roman" w:cs="Times New Roman" w:eastAsia="Times New Roman" w:hint="ascii"/>
          <w:sz w:val="21"/>
        </w:rPr>
      </w:pPr>
      <w:r>
        <w:rPr>
          <w:rFonts w:ascii="宋体" w:hAnsi="宋体" w:cs="宋体" w:eastAsia="宋体" w:hint="ascii"/>
          <w:sz w:val="21"/>
        </w:rPr>
        <w:t>预算编报须</w:t>
      </w:r>
      <w:r>
        <w:rPr>
          <w:rFonts w:ascii="宋体" w:hAnsi="宋体" w:cs="宋体" w:eastAsia="宋体" w:hint="ascii"/>
          <w:sz w:val="21"/>
          <w:spacing w:val="25"/>
        </w:rPr>
        <w:t>知</w:t>
      </w:r>
      <w:r>
        <w:rPr>
          <w:rFonts w:ascii="Times New Roman" w:hAnsi="Times New Roman" w:cs="Times New Roman" w:eastAsia="Times New Roman" w:hint="ascii"/>
          <w:sz w:val="21"/>
        </w:rPr>
        <w:tab/>
        <w:t>ix</w:t>
      </w:r>
    </w:p>
    <w:p>
      <w:pPr>
        <w:autoSpaceDE w:val="0"/>
        <w:autoSpaceDN w:val="0"/>
        <w:jc w:val="left"/>
        <w:spacing w:before="49" w:after="0" w:lineRule="exact" w:line="263"/>
        <w:ind w:right="0" w:left="966" w:firstLine="0"/>
        <w:snapToGrid w:val="0"/>
        <w:textAlignment w:val="auto"/>
        <w:tabs>
          <w:tab w:val="left" w:leader="middleDot" w:pos="8665"/>
        </w:tabs>
        <w:rPr>
          <w:rFonts w:ascii="Times New Roman" w:hAnsi="Times New Roman" w:cs="Times New Roman" w:eastAsia="Times New Roman" w:hint="ascii"/>
          <w:sz w:val="21"/>
        </w:rPr>
      </w:pPr>
      <w:r>
        <w:rPr>
          <w:rFonts w:ascii="宋体" w:hAnsi="宋体" w:cs="宋体" w:eastAsia="宋体" w:hint="ascii"/>
          <w:sz w:val="21"/>
        </w:rPr>
        <w:t>限项申请规</w:t>
      </w:r>
      <w:r>
        <w:rPr>
          <w:rFonts w:ascii="宋体" w:hAnsi="宋体" w:cs="宋体" w:eastAsia="宋体" w:hint="ascii"/>
          <w:sz w:val="21"/>
          <w:spacing w:val="25"/>
        </w:rPr>
        <w:t>定</w:t>
      </w:r>
      <w:r>
        <w:rPr>
          <w:rFonts w:ascii="Times New Roman" w:hAnsi="Times New Roman" w:cs="Times New Roman" w:eastAsia="Times New Roman" w:hint="ascii"/>
          <w:sz w:val="21"/>
        </w:rPr>
        <w:tab/>
        <w:t>xiii</w:t>
      </w:r>
    </w:p>
    <w:p>
      <w:pPr>
        <w:autoSpaceDE w:val="0"/>
        <w:autoSpaceDN w:val="0"/>
        <w:jc w:val="left"/>
        <w:spacing w:before="49" w:after="0" w:lineRule="exact" w:line="263"/>
        <w:ind w:right="0" w:left="966" w:firstLine="0"/>
        <w:snapToGrid w:val="0"/>
        <w:textAlignment w:val="auto"/>
        <w:tabs>
          <w:tab w:val="left" w:leader="middleDot" w:pos="8841"/>
        </w:tabs>
        <w:rPr>
          <w:rFonts w:ascii="Times New Roman" w:hAnsi="Times New Roman" w:cs="Times New Roman" w:eastAsia="Times New Roman" w:hint="ascii"/>
          <w:sz w:val="21"/>
        </w:rPr>
      </w:pPr>
      <w:r>
        <w:rPr>
          <w:rFonts w:ascii="宋体" w:hAnsi="宋体" w:cs="宋体" w:eastAsia="宋体" w:hint="ascii"/>
          <w:sz w:val="21"/>
        </w:rPr>
        <w:t>面上项</w:t>
      </w:r>
      <w:r>
        <w:rPr>
          <w:rFonts w:ascii="宋体" w:hAnsi="宋体" w:cs="宋体" w:eastAsia="宋体" w:hint="ascii"/>
          <w:sz w:val="21"/>
          <w:spacing w:val="26"/>
        </w:rPr>
        <w:t>目</w:t>
      </w:r>
      <w:r>
        <w:rPr>
          <w:rFonts w:ascii="Times New Roman" w:hAnsi="Times New Roman" w:cs="Times New Roman" w:eastAsia="Times New Roman" w:hint="ascii"/>
          <w:sz w:val="21"/>
        </w:rPr>
        <w:tab/>
        <w:t>1</w:t>
      </w:r>
    </w:p>
    <w:p>
      <w:pPr>
        <w:autoSpaceDE w:val="0"/>
        <w:autoSpaceDN w:val="0"/>
        <w:jc w:val="left"/>
        <w:spacing w:before="49" w:after="0" w:lineRule="exact" w:line="263"/>
        <w:ind w:right="0" w:left="1176" w:firstLine="0"/>
        <w:snapToGrid w:val="0"/>
        <w:textAlignment w:val="auto"/>
        <w:tabs>
          <w:tab w:val="left" w:leader="middleDot" w:pos="8841"/>
        </w:tabs>
        <w:rPr>
          <w:rFonts w:ascii="Times New Roman" w:hAnsi="Times New Roman" w:cs="Times New Roman" w:eastAsia="Times New Roman" w:hint="ascii"/>
          <w:sz w:val="21"/>
        </w:rPr>
      </w:pPr>
      <w:r>
        <w:rPr>
          <w:rFonts w:ascii="宋体" w:hAnsi="宋体" w:cs="宋体" w:eastAsia="宋体" w:hint="ascii"/>
          <w:sz w:val="21"/>
        </w:rPr>
        <w:t>数理科学</w:t>
      </w:r>
      <w:r>
        <w:rPr>
          <w:rFonts w:ascii="宋体" w:hAnsi="宋体" w:cs="宋体" w:eastAsia="宋体" w:hint="ascii"/>
          <w:sz w:val="21"/>
          <w:spacing w:val="25"/>
        </w:rPr>
        <w:t>部</w:t>
      </w:r>
      <w:r>
        <w:rPr>
          <w:rFonts w:ascii="Times New Roman" w:hAnsi="Times New Roman" w:cs="Times New Roman" w:eastAsia="Times New Roman" w:hint="ascii"/>
          <w:sz w:val="21"/>
        </w:rPr>
        <w:tab/>
        <w:t>3</w:t>
      </w:r>
    </w:p>
    <w:p>
      <w:pPr>
        <w:autoSpaceDE w:val="0"/>
        <w:autoSpaceDN w:val="0"/>
        <w:jc w:val="left"/>
        <w:spacing w:before="74" w:after="0" w:lineRule="exact" w:line="225"/>
        <w:ind w:right="0" w:left="1386" w:firstLine="0"/>
        <w:snapToGrid w:val="0"/>
        <w:textAlignment w:val="auto"/>
        <w:tabs>
          <w:tab w:val="left" w:leader="middleDot" w:pos="8855"/>
        </w:tabs>
        <w:rPr>
          <w:rFonts w:ascii="Times New Roman" w:hAnsi="Times New Roman" w:cs="Times New Roman" w:eastAsia="Times New Roman" w:hint="ascii"/>
          <w:sz w:val="18"/>
        </w:rPr>
      </w:pPr>
      <w:r>
        <w:rPr>
          <w:rFonts w:ascii="宋体" w:hAnsi="宋体" w:cs="宋体" w:eastAsia="宋体" w:hint="ascii"/>
          <w:sz w:val="18"/>
        </w:rPr>
        <w:t>数学科学</w:t>
      </w:r>
      <w:r>
        <w:rPr>
          <w:rFonts w:ascii="宋体" w:hAnsi="宋体" w:cs="宋体" w:eastAsia="宋体" w:hint="ascii"/>
          <w:sz w:val="18"/>
          <w:spacing w:val="13"/>
        </w:rPr>
        <w:t>处</w:t>
      </w:r>
      <w:r>
        <w:rPr>
          <w:rFonts w:ascii="Times New Roman" w:hAnsi="Times New Roman" w:cs="Times New Roman" w:eastAsia="Times New Roman" w:hint="ascii"/>
          <w:sz w:val="18"/>
        </w:rPr>
        <w:tab/>
        <w:t>4</w:t>
      </w:r>
    </w:p>
    <w:p>
      <w:pPr>
        <w:autoSpaceDE w:val="0"/>
        <w:autoSpaceDN w:val="0"/>
        <w:jc w:val="left"/>
        <w:spacing w:before="79" w:after="0" w:lineRule="exact" w:line="225"/>
        <w:ind w:right="0" w:left="1386" w:firstLine="0"/>
        <w:snapToGrid w:val="0"/>
        <w:textAlignment w:val="auto"/>
        <w:tabs>
          <w:tab w:val="left" w:leader="middleDot" w:pos="8855"/>
        </w:tabs>
        <w:rPr>
          <w:rFonts w:ascii="Times New Roman" w:hAnsi="Times New Roman" w:cs="Times New Roman" w:eastAsia="Times New Roman" w:hint="ascii"/>
          <w:sz w:val="18"/>
        </w:rPr>
      </w:pPr>
      <w:r>
        <w:rPr>
          <w:rFonts w:ascii="宋体" w:hAnsi="宋体" w:cs="宋体" w:eastAsia="宋体" w:hint="ascii"/>
          <w:sz w:val="18"/>
        </w:rPr>
        <w:t>力学科学</w:t>
      </w:r>
      <w:r>
        <w:rPr>
          <w:rFonts w:ascii="宋体" w:hAnsi="宋体" w:cs="宋体" w:eastAsia="宋体" w:hint="ascii"/>
          <w:sz w:val="18"/>
          <w:spacing w:val="13"/>
        </w:rPr>
        <w:t>处</w:t>
      </w:r>
      <w:r>
        <w:rPr>
          <w:rFonts w:ascii="Times New Roman" w:hAnsi="Times New Roman" w:cs="Times New Roman" w:eastAsia="Times New Roman" w:hint="ascii"/>
          <w:sz w:val="18"/>
        </w:rPr>
        <w:tab/>
        <w:t>5</w:t>
      </w:r>
    </w:p>
    <w:p>
      <w:pPr>
        <w:autoSpaceDE w:val="0"/>
        <w:autoSpaceDN w:val="0"/>
        <w:jc w:val="left"/>
        <w:spacing w:before="80" w:after="0" w:lineRule="exact" w:line="225"/>
        <w:ind w:right="0" w:left="1386" w:firstLine="0"/>
        <w:snapToGrid w:val="0"/>
        <w:textAlignment w:val="auto"/>
        <w:tabs>
          <w:tab w:val="left" w:leader="middleDot" w:pos="8855"/>
        </w:tabs>
        <w:rPr>
          <w:rFonts w:ascii="Times New Roman" w:hAnsi="Times New Roman" w:cs="Times New Roman" w:eastAsia="Times New Roman" w:hint="ascii"/>
          <w:sz w:val="18"/>
        </w:rPr>
      </w:pPr>
      <w:r>
        <w:rPr>
          <w:rFonts w:ascii="宋体" w:hAnsi="宋体" w:cs="宋体" w:eastAsia="宋体" w:hint="ascii"/>
          <w:sz w:val="18"/>
        </w:rPr>
        <w:t>天文科学</w:t>
      </w:r>
      <w:r>
        <w:rPr>
          <w:rFonts w:ascii="宋体" w:hAnsi="宋体" w:cs="宋体" w:eastAsia="宋体" w:hint="ascii"/>
          <w:sz w:val="18"/>
          <w:spacing w:val="13"/>
        </w:rPr>
        <w:t>处</w:t>
      </w:r>
      <w:r>
        <w:rPr>
          <w:rFonts w:ascii="Times New Roman" w:hAnsi="Times New Roman" w:cs="Times New Roman" w:eastAsia="Times New Roman" w:hint="ascii"/>
          <w:sz w:val="18"/>
        </w:rPr>
        <w:tab/>
        <w:t>6</w:t>
      </w:r>
    </w:p>
    <w:p>
      <w:pPr>
        <w:autoSpaceDE w:val="0"/>
        <w:autoSpaceDN w:val="0"/>
        <w:jc w:val="left"/>
        <w:spacing w:before="79" w:after="0" w:lineRule="exact" w:line="225"/>
        <w:ind w:right="0" w:left="1386" w:firstLine="0"/>
        <w:snapToGrid w:val="0"/>
        <w:textAlignment w:val="auto"/>
        <w:tabs>
          <w:tab w:val="left" w:leader="middleDot" w:pos="8855"/>
        </w:tabs>
        <w:rPr>
          <w:rFonts w:ascii="Times New Roman" w:hAnsi="Times New Roman" w:cs="Times New Roman" w:eastAsia="Times New Roman" w:hint="ascii"/>
          <w:sz w:val="18"/>
        </w:rPr>
      </w:pPr>
      <w:r>
        <w:rPr>
          <w:rFonts w:ascii="宋体" w:hAnsi="宋体" w:cs="宋体" w:eastAsia="宋体" w:hint="ascii"/>
          <w:sz w:val="18"/>
        </w:rPr>
        <w:t>物理科学一</w:t>
      </w:r>
      <w:r>
        <w:rPr>
          <w:rFonts w:ascii="宋体" w:hAnsi="宋体" w:cs="宋体" w:eastAsia="宋体" w:hint="ascii"/>
          <w:sz w:val="18"/>
          <w:spacing w:val="13"/>
        </w:rPr>
        <w:t>处</w:t>
      </w:r>
      <w:r>
        <w:rPr>
          <w:rFonts w:ascii="Times New Roman" w:hAnsi="Times New Roman" w:cs="Times New Roman" w:eastAsia="Times New Roman" w:hint="ascii"/>
          <w:sz w:val="18"/>
        </w:rPr>
        <w:tab/>
        <w:t>7</w:t>
      </w:r>
    </w:p>
    <w:p>
      <w:pPr>
        <w:autoSpaceDE w:val="0"/>
        <w:autoSpaceDN w:val="0"/>
        <w:jc w:val="left"/>
        <w:spacing w:before="79" w:after="0" w:lineRule="exact" w:line="225"/>
        <w:ind w:right="0" w:left="1386" w:firstLine="0"/>
        <w:snapToGrid w:val="0"/>
        <w:textAlignment w:val="auto"/>
        <w:tabs>
          <w:tab w:val="left" w:leader="middleDot" w:pos="8855"/>
        </w:tabs>
        <w:rPr>
          <w:rFonts w:ascii="Times New Roman" w:hAnsi="Times New Roman" w:cs="Times New Roman" w:eastAsia="Times New Roman" w:hint="ascii"/>
          <w:sz w:val="18"/>
        </w:rPr>
      </w:pPr>
      <w:r>
        <w:rPr>
          <w:rFonts w:ascii="宋体" w:hAnsi="宋体" w:cs="宋体" w:eastAsia="宋体" w:hint="ascii"/>
          <w:sz w:val="18"/>
        </w:rPr>
        <w:t>物理科学二</w:t>
      </w:r>
      <w:r>
        <w:rPr>
          <w:rFonts w:ascii="宋体" w:hAnsi="宋体" w:cs="宋体" w:eastAsia="宋体" w:hint="ascii"/>
          <w:sz w:val="18"/>
          <w:spacing w:val="13"/>
        </w:rPr>
        <w:t>处</w:t>
      </w:r>
      <w:r>
        <w:rPr>
          <w:rFonts w:ascii="Times New Roman" w:hAnsi="Times New Roman" w:cs="Times New Roman" w:eastAsia="Times New Roman" w:hint="ascii"/>
          <w:sz w:val="18"/>
        </w:rPr>
        <w:tab/>
        <w:t>7</w:t>
      </w:r>
    </w:p>
    <w:p>
      <w:pPr>
        <w:autoSpaceDE w:val="0"/>
        <w:autoSpaceDN w:val="0"/>
        <w:jc w:val="left"/>
        <w:spacing w:before="56" w:after="0" w:lineRule="exact" w:line="263"/>
        <w:ind w:right="0" w:left="1176" w:firstLine="0"/>
        <w:snapToGrid w:val="0"/>
        <w:textAlignment w:val="auto"/>
        <w:tabs>
          <w:tab w:val="left" w:leader="middleDot" w:pos="8841"/>
        </w:tabs>
        <w:rPr>
          <w:rFonts w:ascii="Times New Roman" w:hAnsi="Times New Roman" w:cs="Times New Roman" w:eastAsia="Times New Roman" w:hint="ascii"/>
          <w:sz w:val="21"/>
        </w:rPr>
      </w:pPr>
      <w:r>
        <w:rPr>
          <w:rFonts w:ascii="宋体" w:hAnsi="宋体" w:cs="宋体" w:eastAsia="宋体" w:hint="ascii"/>
          <w:sz w:val="21"/>
        </w:rPr>
        <w:t>化学科学</w:t>
      </w:r>
      <w:r>
        <w:rPr>
          <w:rFonts w:ascii="宋体" w:hAnsi="宋体" w:cs="宋体" w:eastAsia="宋体" w:hint="ascii"/>
          <w:sz w:val="21"/>
          <w:spacing w:val="25"/>
        </w:rPr>
        <w:t>部</w:t>
      </w:r>
      <w:r>
        <w:rPr>
          <w:rFonts w:ascii="Times New Roman" w:hAnsi="Times New Roman" w:cs="Times New Roman" w:eastAsia="Times New Roman" w:hint="ascii"/>
          <w:sz w:val="21"/>
        </w:rPr>
        <w:tab/>
        <w:t>8</w:t>
      </w:r>
    </w:p>
    <w:p>
      <w:pPr>
        <w:autoSpaceDE w:val="0"/>
        <w:autoSpaceDN w:val="0"/>
        <w:jc w:val="left"/>
        <w:spacing w:before="73" w:after="0" w:lineRule="exact" w:line="225"/>
        <w:ind w:right="0" w:left="1386" w:firstLine="0"/>
        <w:snapToGrid w:val="0"/>
        <w:textAlignment w:val="auto"/>
        <w:tabs>
          <w:tab w:val="left" w:leader="middleDot" w:pos="8855"/>
        </w:tabs>
        <w:rPr>
          <w:rFonts w:ascii="Times New Roman" w:hAnsi="Times New Roman" w:cs="Times New Roman" w:eastAsia="Times New Roman" w:hint="ascii"/>
          <w:sz w:val="18"/>
        </w:rPr>
      </w:pPr>
      <w:r>
        <w:rPr>
          <w:rFonts w:ascii="宋体" w:hAnsi="宋体" w:cs="宋体" w:eastAsia="宋体" w:hint="ascii"/>
          <w:sz w:val="18"/>
        </w:rPr>
        <w:t>合成化</w:t>
      </w:r>
      <w:r>
        <w:rPr>
          <w:rFonts w:ascii="宋体" w:hAnsi="宋体" w:cs="宋体" w:eastAsia="宋体" w:hint="ascii"/>
          <w:sz w:val="18"/>
          <w:spacing w:val="13"/>
        </w:rPr>
        <w:t>学</w:t>
      </w:r>
      <w:r>
        <w:rPr>
          <w:rFonts w:ascii="Times New Roman" w:hAnsi="Times New Roman" w:cs="Times New Roman" w:eastAsia="Times New Roman" w:hint="ascii"/>
          <w:sz w:val="18"/>
        </w:rPr>
        <w:tab/>
        <w:t>9</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催化与表界面化</w:t>
      </w:r>
      <w:r>
        <w:rPr>
          <w:rFonts w:ascii="宋体" w:hAnsi="宋体" w:cs="宋体" w:eastAsia="宋体" w:hint="ascii"/>
          <w:sz w:val="18"/>
          <w:spacing w:val="13"/>
        </w:rPr>
        <w:t>学</w:t>
      </w:r>
      <w:r>
        <w:rPr>
          <w:rFonts w:ascii="Times New Roman" w:hAnsi="Times New Roman" w:cs="Times New Roman" w:eastAsia="Times New Roman" w:hint="ascii"/>
          <w:sz w:val="18"/>
        </w:rPr>
        <w:tab/>
        <w:t>10</w:t>
      </w:r>
    </w:p>
    <w:p>
      <w:pPr>
        <w:autoSpaceDE w:val="0"/>
        <w:autoSpaceDN w:val="0"/>
        <w:jc w:val="left"/>
        <w:spacing w:before="79" w:after="0" w:lineRule="exact" w:line="225"/>
        <w:ind w:right="0" w:left="1386" w:firstLine="0"/>
        <w:snapToGrid w:val="0"/>
        <w:textAlignment w:val="auto"/>
        <w:tabs>
          <w:tab w:val="left" w:leader="middleDot" w:pos="8772"/>
        </w:tabs>
        <w:rPr>
          <w:rFonts w:ascii="Times New Roman" w:hAnsi="Times New Roman" w:cs="Times New Roman" w:eastAsia="Times New Roman" w:hint="ascii"/>
          <w:sz w:val="18"/>
        </w:rPr>
      </w:pPr>
      <w:r>
        <w:rPr>
          <w:rFonts w:ascii="宋体" w:hAnsi="宋体" w:cs="宋体" w:eastAsia="宋体" w:hint="ascii"/>
          <w:sz w:val="18"/>
        </w:rPr>
        <w:t>化学理论与机</w:t>
      </w:r>
      <w:r>
        <w:rPr>
          <w:rFonts w:ascii="宋体" w:hAnsi="宋体" w:cs="宋体" w:eastAsia="宋体" w:hint="ascii"/>
          <w:sz w:val="18"/>
          <w:spacing w:val="13"/>
        </w:rPr>
        <w:t>制</w:t>
      </w:r>
      <w:r>
        <w:rPr>
          <w:rFonts w:ascii="Times New Roman" w:hAnsi="Times New Roman" w:cs="Times New Roman" w:eastAsia="Times New Roman" w:hint="ascii"/>
          <w:sz w:val="18"/>
        </w:rPr>
        <w:tab/>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p>
    <w:p>
      <w:pPr>
        <w:autoSpaceDE w:val="0"/>
        <w:autoSpaceDN w:val="0"/>
        <w:jc w:val="left"/>
        <w:spacing w:before="80" w:after="0" w:lineRule="exact" w:line="225"/>
        <w:ind w:right="0" w:left="1386" w:firstLine="0"/>
        <w:snapToGrid w:val="0"/>
        <w:textAlignment w:val="auto"/>
        <w:tabs>
          <w:tab w:val="left" w:leader="middleDot" w:pos="8772"/>
        </w:tabs>
        <w:rPr>
          <w:rFonts w:ascii="Times New Roman" w:hAnsi="Times New Roman" w:cs="Times New Roman" w:eastAsia="Times New Roman" w:hint="ascii"/>
          <w:sz w:val="18"/>
        </w:rPr>
      </w:pPr>
      <w:r>
        <w:rPr>
          <w:rFonts w:ascii="宋体" w:hAnsi="宋体" w:cs="宋体" w:eastAsia="宋体" w:hint="ascii"/>
          <w:sz w:val="18"/>
        </w:rPr>
        <w:t>化学测量</w:t>
      </w:r>
      <w:r>
        <w:rPr>
          <w:rFonts w:ascii="宋体" w:hAnsi="宋体" w:cs="宋体" w:eastAsia="宋体" w:hint="ascii"/>
          <w:sz w:val="18"/>
          <w:spacing w:val="13"/>
        </w:rPr>
        <w:t>学</w:t>
      </w:r>
      <w:r>
        <w:rPr>
          <w:rFonts w:ascii="Times New Roman" w:hAnsi="Times New Roman" w:cs="Times New Roman" w:eastAsia="Times New Roman" w:hint="ascii"/>
          <w:sz w:val="18"/>
        </w:rPr>
        <w:tab/>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材料化学与能源化</w:t>
      </w:r>
      <w:r>
        <w:rPr>
          <w:rFonts w:ascii="宋体" w:hAnsi="宋体" w:cs="宋体" w:eastAsia="宋体" w:hint="ascii"/>
          <w:sz w:val="18"/>
          <w:spacing w:val="13"/>
        </w:rPr>
        <w:t>学</w:t>
      </w:r>
      <w:r>
        <w:rPr>
          <w:rFonts w:ascii="Times New Roman" w:hAnsi="Times New Roman" w:cs="Times New Roman" w:eastAsia="Times New Roman" w:hint="ascii"/>
          <w:sz w:val="18"/>
        </w:rPr>
        <w:tab/>
        <w:t>12</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环境化</w:t>
      </w:r>
      <w:r>
        <w:rPr>
          <w:rFonts w:ascii="宋体" w:hAnsi="宋体" w:cs="宋体" w:eastAsia="宋体" w:hint="ascii"/>
          <w:sz w:val="18"/>
          <w:spacing w:val="13"/>
        </w:rPr>
        <w:t>学</w:t>
      </w:r>
      <w:r>
        <w:rPr>
          <w:rFonts w:ascii="Times New Roman" w:hAnsi="Times New Roman" w:cs="Times New Roman" w:eastAsia="Times New Roman" w:hint="ascii"/>
          <w:sz w:val="18"/>
        </w:rPr>
        <w:tab/>
        <w:t>12</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化学生物</w:t>
      </w:r>
      <w:r>
        <w:rPr>
          <w:rFonts w:ascii="宋体" w:hAnsi="宋体" w:cs="宋体" w:eastAsia="宋体" w:hint="ascii"/>
          <w:sz w:val="18"/>
          <w:spacing w:val="13"/>
        </w:rPr>
        <w:t>学</w:t>
      </w:r>
      <w:r>
        <w:rPr>
          <w:rFonts w:ascii="Times New Roman" w:hAnsi="Times New Roman" w:cs="Times New Roman" w:eastAsia="Times New Roman" w:hint="ascii"/>
          <w:sz w:val="18"/>
        </w:rPr>
        <w:tab/>
        <w:t>13</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化学工程与工业化</w:t>
      </w:r>
      <w:r>
        <w:rPr>
          <w:rFonts w:ascii="宋体" w:hAnsi="宋体" w:cs="宋体" w:eastAsia="宋体" w:hint="ascii"/>
          <w:sz w:val="18"/>
          <w:spacing w:val="13"/>
        </w:rPr>
        <w:t>学</w:t>
      </w:r>
      <w:r>
        <w:rPr>
          <w:rFonts w:ascii="Times New Roman" w:hAnsi="Times New Roman" w:cs="Times New Roman" w:eastAsia="Times New Roman" w:hint="ascii"/>
          <w:sz w:val="18"/>
        </w:rPr>
        <w:tab/>
        <w:t>13</w:t>
      </w:r>
    </w:p>
    <w:p>
      <w:pPr>
        <w:autoSpaceDE w:val="0"/>
        <w:autoSpaceDN w:val="0"/>
        <w:jc w:val="left"/>
        <w:spacing w:before="55"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生命科学</w:t>
      </w:r>
      <w:r>
        <w:rPr>
          <w:rFonts w:ascii="宋体" w:hAnsi="宋体" w:cs="宋体" w:eastAsia="宋体" w:hint="ascii"/>
          <w:sz w:val="21"/>
          <w:spacing w:val="25"/>
        </w:rPr>
        <w:t>部</w:t>
      </w:r>
      <w:r>
        <w:rPr>
          <w:rFonts w:ascii="Times New Roman" w:hAnsi="Times New Roman" w:cs="Times New Roman" w:eastAsia="Times New Roman" w:hint="ascii"/>
          <w:sz w:val="21"/>
        </w:rPr>
        <w:tab/>
        <w:t>14</w:t>
      </w:r>
    </w:p>
    <w:p>
      <w:pPr>
        <w:autoSpaceDE w:val="0"/>
        <w:autoSpaceDN w:val="0"/>
        <w:jc w:val="left"/>
        <w:spacing w:before="73"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生命科学一</w:t>
      </w:r>
      <w:r>
        <w:rPr>
          <w:rFonts w:ascii="宋体" w:hAnsi="宋体" w:cs="宋体" w:eastAsia="宋体" w:hint="ascii"/>
          <w:sz w:val="18"/>
          <w:spacing w:val="13"/>
        </w:rPr>
        <w:t>处</w:t>
      </w:r>
      <w:r>
        <w:rPr>
          <w:rFonts w:ascii="Times New Roman" w:hAnsi="Times New Roman" w:cs="Times New Roman" w:eastAsia="Times New Roman" w:hint="ascii"/>
          <w:sz w:val="18"/>
        </w:rPr>
        <w:tab/>
        <w:t>16</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生命科学二</w:t>
      </w:r>
      <w:r>
        <w:rPr>
          <w:rFonts w:ascii="宋体" w:hAnsi="宋体" w:cs="宋体" w:eastAsia="宋体" w:hint="ascii"/>
          <w:sz w:val="18"/>
          <w:spacing w:val="13"/>
        </w:rPr>
        <w:t>处</w:t>
      </w:r>
      <w:r>
        <w:rPr>
          <w:rFonts w:ascii="Times New Roman" w:hAnsi="Times New Roman" w:cs="Times New Roman" w:eastAsia="Times New Roman" w:hint="ascii"/>
          <w:sz w:val="18"/>
        </w:rPr>
        <w:tab/>
        <w:t>17</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生命科学三</w:t>
      </w:r>
      <w:r>
        <w:rPr>
          <w:rFonts w:ascii="宋体" w:hAnsi="宋体" w:cs="宋体" w:eastAsia="宋体" w:hint="ascii"/>
          <w:sz w:val="18"/>
          <w:spacing w:val="13"/>
        </w:rPr>
        <w:t>处</w:t>
      </w:r>
      <w:r>
        <w:rPr>
          <w:rFonts w:ascii="Times New Roman" w:hAnsi="Times New Roman" w:cs="Times New Roman" w:eastAsia="Times New Roman" w:hint="ascii"/>
          <w:sz w:val="18"/>
        </w:rPr>
        <w:tab/>
        <w:t>19</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生命科学四</w:t>
      </w:r>
      <w:r>
        <w:rPr>
          <w:rFonts w:ascii="宋体" w:hAnsi="宋体" w:cs="宋体" w:eastAsia="宋体" w:hint="ascii"/>
          <w:sz w:val="18"/>
          <w:spacing w:val="13"/>
        </w:rPr>
        <w:t>处</w:t>
      </w:r>
      <w:r>
        <w:rPr>
          <w:rFonts w:ascii="Times New Roman" w:hAnsi="Times New Roman" w:cs="Times New Roman" w:eastAsia="Times New Roman" w:hint="ascii"/>
          <w:sz w:val="18"/>
        </w:rPr>
        <w:tab/>
        <w:t>22</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生命科学五</w:t>
      </w:r>
      <w:r>
        <w:rPr>
          <w:rFonts w:ascii="宋体" w:hAnsi="宋体" w:cs="宋体" w:eastAsia="宋体" w:hint="ascii"/>
          <w:sz w:val="18"/>
          <w:spacing w:val="13"/>
        </w:rPr>
        <w:t>处</w:t>
      </w:r>
      <w:r>
        <w:rPr>
          <w:rFonts w:ascii="Times New Roman" w:hAnsi="Times New Roman" w:cs="Times New Roman" w:eastAsia="Times New Roman" w:hint="ascii"/>
          <w:sz w:val="18"/>
        </w:rPr>
        <w:tab/>
        <w:t>24</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生命科学六</w:t>
      </w:r>
      <w:r>
        <w:rPr>
          <w:rFonts w:ascii="宋体" w:hAnsi="宋体" w:cs="宋体" w:eastAsia="宋体" w:hint="ascii"/>
          <w:sz w:val="18"/>
          <w:spacing w:val="13"/>
        </w:rPr>
        <w:t>处</w:t>
      </w:r>
      <w:r>
        <w:rPr>
          <w:rFonts w:ascii="Times New Roman" w:hAnsi="Times New Roman" w:cs="Times New Roman" w:eastAsia="Times New Roman" w:hint="ascii"/>
          <w:sz w:val="18"/>
        </w:rPr>
        <w:tab/>
        <w:t>26</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生命科学七</w:t>
      </w:r>
      <w:r>
        <w:rPr>
          <w:rFonts w:ascii="宋体" w:hAnsi="宋体" w:cs="宋体" w:eastAsia="宋体" w:hint="ascii"/>
          <w:sz w:val="18"/>
          <w:spacing w:val="13"/>
        </w:rPr>
        <w:t>处</w:t>
      </w:r>
      <w:r>
        <w:rPr>
          <w:rFonts w:ascii="Times New Roman" w:hAnsi="Times New Roman" w:cs="Times New Roman" w:eastAsia="Times New Roman" w:hint="ascii"/>
          <w:sz w:val="18"/>
        </w:rPr>
        <w:tab/>
        <w:t>28</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生命科学八</w:t>
      </w:r>
      <w:r>
        <w:rPr>
          <w:rFonts w:ascii="宋体" w:hAnsi="宋体" w:cs="宋体" w:eastAsia="宋体" w:hint="ascii"/>
          <w:sz w:val="18"/>
          <w:spacing w:val="13"/>
        </w:rPr>
        <w:t>处</w:t>
      </w:r>
      <w:r>
        <w:rPr>
          <w:rFonts w:ascii="Times New Roman" w:hAnsi="Times New Roman" w:cs="Times New Roman" w:eastAsia="Times New Roman" w:hint="ascii"/>
          <w:sz w:val="18"/>
        </w:rPr>
        <w:tab/>
        <w:t>30</w:t>
      </w:r>
    </w:p>
    <w:p>
      <w:pPr>
        <w:autoSpaceDE w:val="0"/>
        <w:autoSpaceDN w:val="0"/>
        <w:jc w:val="left"/>
        <w:spacing w:before="55"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地球科学</w:t>
      </w:r>
      <w:r>
        <w:rPr>
          <w:rFonts w:ascii="宋体" w:hAnsi="宋体" w:cs="宋体" w:eastAsia="宋体" w:hint="ascii"/>
          <w:sz w:val="21"/>
          <w:spacing w:val="25"/>
        </w:rPr>
        <w:t>部</w:t>
      </w:r>
      <w:r>
        <w:rPr>
          <w:rFonts w:ascii="Times New Roman" w:hAnsi="Times New Roman" w:cs="Times New Roman" w:eastAsia="Times New Roman" w:hint="ascii"/>
          <w:sz w:val="21"/>
        </w:rPr>
        <w:tab/>
        <w:t>32</w:t>
      </w:r>
    </w:p>
    <w:p>
      <w:pPr>
        <w:autoSpaceDE w:val="0"/>
        <w:autoSpaceDN w:val="0"/>
        <w:jc w:val="left"/>
        <w:spacing w:before="73"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环境地球科</w:t>
      </w:r>
      <w:r>
        <w:rPr>
          <w:rFonts w:ascii="宋体" w:hAnsi="宋体" w:cs="宋体" w:eastAsia="宋体" w:hint="ascii"/>
          <w:sz w:val="18"/>
          <w:spacing w:val="13"/>
        </w:rPr>
        <w:t>学</w:t>
      </w:r>
      <w:r>
        <w:rPr>
          <w:rFonts w:ascii="Times New Roman" w:hAnsi="Times New Roman" w:cs="Times New Roman" w:eastAsia="Times New Roman" w:hint="ascii"/>
          <w:sz w:val="18"/>
        </w:rPr>
        <w:tab/>
        <w:t>34</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地理</w:t>
      </w:r>
      <w:r>
        <w:rPr>
          <w:rFonts w:ascii="宋体" w:hAnsi="宋体" w:cs="宋体" w:eastAsia="宋体" w:hint="ascii"/>
          <w:sz w:val="18"/>
          <w:spacing w:val="13"/>
        </w:rPr>
        <w:t>学</w:t>
      </w:r>
      <w:r>
        <w:rPr>
          <w:rFonts w:ascii="Times New Roman" w:hAnsi="Times New Roman" w:cs="Times New Roman" w:eastAsia="Times New Roman" w:hint="ascii"/>
          <w:sz w:val="18"/>
        </w:rPr>
        <w:tab/>
        <w:t>34</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地质</w:t>
      </w:r>
      <w:r>
        <w:rPr>
          <w:rFonts w:ascii="宋体" w:hAnsi="宋体" w:cs="宋体" w:eastAsia="宋体" w:hint="ascii"/>
          <w:sz w:val="18"/>
          <w:spacing w:val="13"/>
        </w:rPr>
        <w:t>学</w:t>
      </w:r>
      <w:r>
        <w:rPr>
          <w:rFonts w:ascii="Times New Roman" w:hAnsi="Times New Roman" w:cs="Times New Roman" w:eastAsia="Times New Roman" w:hint="ascii"/>
          <w:sz w:val="18"/>
        </w:rPr>
        <w:tab/>
        <w:t>34</w:t>
      </w:r>
    </w:p>
    <w:p>
      <w:pPr>
        <w:autoSpaceDE w:val="0"/>
        <w:autoSpaceDN w:val="0"/>
        <w:jc w:val="left"/>
        <w:spacing w:before="267"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xv</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地球化</w:t>
      </w:r>
      <w:r>
        <w:rPr>
          <w:rFonts w:ascii="宋体" w:hAnsi="宋体" w:cs="宋体" w:eastAsia="宋体" w:hint="ascii"/>
          <w:sz w:val="18"/>
          <w:spacing w:val="13"/>
        </w:rPr>
        <w:t>学</w:t>
      </w:r>
      <w:r>
        <w:rPr>
          <w:rFonts w:ascii="Times New Roman" w:hAnsi="Times New Roman" w:cs="Times New Roman" w:eastAsia="Times New Roman" w:hint="ascii"/>
          <w:sz w:val="18"/>
        </w:rPr>
        <w:tab/>
        <w:t>35</w:t>
      </w:r>
      <w:r>
        <w:rPr>
          <w:rFonts w:ascii="Times New Roman" w:hAnsi="Times New Roman" w:cs="Times New Roman" w:eastAsia="Times New Roman" w:hint="ascii"/>
          <w:sz w:val="18"/>
        </w:rPr>
        <mc:AlternateContent>
          <mc:Choice Requires="wps">
            <w:drawing>
              <wp:anchor distL="0" distR="0" distT="0" distB="0" simplePos="0" behindDoc="1" relativeHeight="61" locked="0" layoutInCell="1" allowOverlap="1">
                <wp:simplePos x="0" y="0"/>
                <wp:positionH relativeFrom="page">
                  <wp:posOffset>938530</wp:posOffset>
                </wp:positionH>
                <wp:positionV relativeFrom="page">
                  <wp:posOffset>805815</wp:posOffset>
                </wp:positionV>
                <wp:extent cx="5076190" cy="0"/>
                <wp:wrapNone/>
                <wp:docPr id="1088" name="108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95776;width:399.70pt;" id="108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地球物理学和空间物理</w:t>
      </w:r>
      <w:r>
        <w:rPr>
          <w:rFonts w:ascii="宋体" w:hAnsi="宋体" w:cs="宋体" w:eastAsia="宋体" w:hint="ascii"/>
          <w:sz w:val="18"/>
          <w:spacing w:val="13"/>
        </w:rPr>
        <w:t>学</w:t>
      </w:r>
      <w:r>
        <w:rPr>
          <w:rFonts w:ascii="Times New Roman" w:hAnsi="Times New Roman" w:cs="Times New Roman" w:eastAsia="Times New Roman" w:hint="ascii"/>
          <w:sz w:val="18"/>
        </w:rPr>
        <w:tab/>
        <w:t>35</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海洋科</w:t>
      </w:r>
      <w:r>
        <w:rPr>
          <w:rFonts w:ascii="宋体" w:hAnsi="宋体" w:cs="宋体" w:eastAsia="宋体" w:hint="ascii"/>
          <w:sz w:val="18"/>
          <w:spacing w:val="13"/>
        </w:rPr>
        <w:t>学</w:t>
      </w:r>
      <w:r>
        <w:rPr>
          <w:rFonts w:ascii="Times New Roman" w:hAnsi="Times New Roman" w:cs="Times New Roman" w:eastAsia="Times New Roman" w:hint="ascii"/>
          <w:sz w:val="18"/>
        </w:rPr>
        <w:tab/>
        <w:t>36</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大气科</w:t>
      </w:r>
      <w:r>
        <w:rPr>
          <w:rFonts w:ascii="宋体" w:hAnsi="宋体" w:cs="宋体" w:eastAsia="宋体" w:hint="ascii"/>
          <w:sz w:val="18"/>
          <w:spacing w:val="13"/>
        </w:rPr>
        <w:t>学</w:t>
      </w:r>
      <w:r>
        <w:rPr>
          <w:rFonts w:ascii="Times New Roman" w:hAnsi="Times New Roman" w:cs="Times New Roman" w:eastAsia="Times New Roman" w:hint="ascii"/>
          <w:sz w:val="18"/>
        </w:rPr>
        <w:tab/>
        <w:t>37</w:t>
      </w:r>
    </w:p>
    <w:p>
      <w:pPr>
        <w:autoSpaceDE w:val="0"/>
        <w:autoSpaceDN w:val="0"/>
        <w:jc w:val="left"/>
        <w:spacing w:before="56"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工程与材料科学</w:t>
      </w:r>
      <w:r>
        <w:rPr>
          <w:rFonts w:ascii="宋体" w:hAnsi="宋体" w:cs="宋体" w:eastAsia="宋体" w:hint="ascii"/>
          <w:sz w:val="21"/>
          <w:spacing w:val="23"/>
        </w:rPr>
        <w:t>部</w:t>
      </w:r>
      <w:r>
        <w:rPr>
          <w:rFonts w:ascii="Times New Roman" w:hAnsi="Times New Roman" w:cs="Times New Roman" w:eastAsia="Times New Roman" w:hint="ascii"/>
          <w:sz w:val="21"/>
        </w:rPr>
        <w:tab/>
        <w:t>38</w:t>
      </w:r>
    </w:p>
    <w:p>
      <w:pPr>
        <w:autoSpaceDE w:val="0"/>
        <w:autoSpaceDN w:val="0"/>
        <w:jc w:val="left"/>
        <w:spacing w:before="73"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材料科学一</w:t>
      </w:r>
      <w:r>
        <w:rPr>
          <w:rFonts w:ascii="宋体" w:hAnsi="宋体" w:cs="宋体" w:eastAsia="宋体" w:hint="ascii"/>
          <w:sz w:val="18"/>
          <w:spacing w:val="13"/>
        </w:rPr>
        <w:t>处</w:t>
      </w:r>
      <w:r>
        <w:rPr>
          <w:rFonts w:ascii="Times New Roman" w:hAnsi="Times New Roman" w:cs="Times New Roman" w:eastAsia="Times New Roman" w:hint="ascii"/>
          <w:sz w:val="18"/>
        </w:rPr>
        <w:tab/>
        <w:t>39</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材料科学二</w:t>
      </w:r>
      <w:r>
        <w:rPr>
          <w:rFonts w:ascii="宋体" w:hAnsi="宋体" w:cs="宋体" w:eastAsia="宋体" w:hint="ascii"/>
          <w:sz w:val="18"/>
          <w:spacing w:val="13"/>
        </w:rPr>
        <w:t>处</w:t>
      </w:r>
      <w:r>
        <w:rPr>
          <w:rFonts w:ascii="Times New Roman" w:hAnsi="Times New Roman" w:cs="Times New Roman" w:eastAsia="Times New Roman" w:hint="ascii"/>
          <w:sz w:val="18"/>
        </w:rPr>
        <w:tab/>
        <w:t>41</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工程科学一</w:t>
      </w:r>
      <w:r>
        <w:rPr>
          <w:rFonts w:ascii="宋体" w:hAnsi="宋体" w:cs="宋体" w:eastAsia="宋体" w:hint="ascii"/>
          <w:sz w:val="18"/>
          <w:spacing w:val="13"/>
        </w:rPr>
        <w:t>处</w:t>
      </w:r>
      <w:r>
        <w:rPr>
          <w:rFonts w:ascii="Times New Roman" w:hAnsi="Times New Roman" w:cs="Times New Roman" w:eastAsia="Times New Roman" w:hint="ascii"/>
          <w:sz w:val="18"/>
        </w:rPr>
        <w:tab/>
        <w:t>41</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工程科学二</w:t>
      </w:r>
      <w:r>
        <w:rPr>
          <w:rFonts w:ascii="宋体" w:hAnsi="宋体" w:cs="宋体" w:eastAsia="宋体" w:hint="ascii"/>
          <w:sz w:val="18"/>
          <w:spacing w:val="13"/>
        </w:rPr>
        <w:t>处</w:t>
      </w:r>
      <w:r>
        <w:rPr>
          <w:rFonts w:ascii="Times New Roman" w:hAnsi="Times New Roman" w:cs="Times New Roman" w:eastAsia="Times New Roman" w:hint="ascii"/>
          <w:sz w:val="18"/>
        </w:rPr>
        <w:tab/>
        <w:t>42</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工程科学三</w:t>
      </w:r>
      <w:r>
        <w:rPr>
          <w:rFonts w:ascii="宋体" w:hAnsi="宋体" w:cs="宋体" w:eastAsia="宋体" w:hint="ascii"/>
          <w:sz w:val="18"/>
          <w:spacing w:val="13"/>
        </w:rPr>
        <w:t>处</w:t>
      </w:r>
      <w:r>
        <w:rPr>
          <w:rFonts w:ascii="Times New Roman" w:hAnsi="Times New Roman" w:cs="Times New Roman" w:eastAsia="Times New Roman" w:hint="ascii"/>
          <w:sz w:val="18"/>
        </w:rPr>
        <w:tab/>
        <w:t>43</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工程科学四</w:t>
      </w:r>
      <w:r>
        <w:rPr>
          <w:rFonts w:ascii="宋体" w:hAnsi="宋体" w:cs="宋体" w:eastAsia="宋体" w:hint="ascii"/>
          <w:sz w:val="18"/>
          <w:spacing w:val="13"/>
        </w:rPr>
        <w:t>处</w:t>
      </w:r>
      <w:r>
        <w:rPr>
          <w:rFonts w:ascii="Times New Roman" w:hAnsi="Times New Roman" w:cs="Times New Roman" w:eastAsia="Times New Roman" w:hint="ascii"/>
          <w:sz w:val="18"/>
        </w:rPr>
        <w:tab/>
        <w:t>44</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工程科学五</w:t>
      </w:r>
      <w:r>
        <w:rPr>
          <w:rFonts w:ascii="宋体" w:hAnsi="宋体" w:cs="宋体" w:eastAsia="宋体" w:hint="ascii"/>
          <w:sz w:val="18"/>
          <w:spacing w:val="13"/>
        </w:rPr>
        <w:t>处</w:t>
      </w:r>
      <w:r>
        <w:rPr>
          <w:rFonts w:ascii="Times New Roman" w:hAnsi="Times New Roman" w:cs="Times New Roman" w:eastAsia="Times New Roman" w:hint="ascii"/>
          <w:sz w:val="18"/>
        </w:rPr>
        <w:tab/>
        <w:t>45</w:t>
      </w:r>
    </w:p>
    <w:p>
      <w:pPr>
        <w:autoSpaceDE w:val="0"/>
        <w:autoSpaceDN w:val="0"/>
        <w:jc w:val="left"/>
        <w:spacing w:before="55"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信息科学</w:t>
      </w:r>
      <w:r>
        <w:rPr>
          <w:rFonts w:ascii="宋体" w:hAnsi="宋体" w:cs="宋体" w:eastAsia="宋体" w:hint="ascii"/>
          <w:sz w:val="21"/>
          <w:spacing w:val="25"/>
        </w:rPr>
        <w:t>部</w:t>
      </w:r>
      <w:r>
        <w:rPr>
          <w:rFonts w:ascii="Times New Roman" w:hAnsi="Times New Roman" w:cs="Times New Roman" w:eastAsia="Times New Roman" w:hint="ascii"/>
          <w:sz w:val="21"/>
        </w:rPr>
        <w:tab/>
        <w:t>47</w:t>
      </w:r>
    </w:p>
    <w:p>
      <w:pPr>
        <w:autoSpaceDE w:val="0"/>
        <w:autoSpaceDN w:val="0"/>
        <w:jc w:val="left"/>
        <w:spacing w:before="73"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信息科学一</w:t>
      </w:r>
      <w:r>
        <w:rPr>
          <w:rFonts w:ascii="宋体" w:hAnsi="宋体" w:cs="宋体" w:eastAsia="宋体" w:hint="ascii"/>
          <w:sz w:val="18"/>
          <w:spacing w:val="13"/>
        </w:rPr>
        <w:t>处</w:t>
      </w:r>
      <w:r>
        <w:rPr>
          <w:rFonts w:ascii="Times New Roman" w:hAnsi="Times New Roman" w:cs="Times New Roman" w:eastAsia="Times New Roman" w:hint="ascii"/>
          <w:sz w:val="18"/>
        </w:rPr>
        <w:tab/>
        <w:t>48</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信息科学二</w:t>
      </w:r>
      <w:r>
        <w:rPr>
          <w:rFonts w:ascii="宋体" w:hAnsi="宋体" w:cs="宋体" w:eastAsia="宋体" w:hint="ascii"/>
          <w:sz w:val="18"/>
          <w:spacing w:val="13"/>
        </w:rPr>
        <w:t>处</w:t>
      </w:r>
      <w:r>
        <w:rPr>
          <w:rFonts w:ascii="Times New Roman" w:hAnsi="Times New Roman" w:cs="Times New Roman" w:eastAsia="Times New Roman" w:hint="ascii"/>
          <w:sz w:val="18"/>
        </w:rPr>
        <w:tab/>
        <w:t>49</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信息科学三</w:t>
      </w:r>
      <w:r>
        <w:rPr>
          <w:rFonts w:ascii="宋体" w:hAnsi="宋体" w:cs="宋体" w:eastAsia="宋体" w:hint="ascii"/>
          <w:sz w:val="18"/>
          <w:spacing w:val="13"/>
        </w:rPr>
        <w:t>处</w:t>
      </w:r>
      <w:r>
        <w:rPr>
          <w:rFonts w:ascii="Times New Roman" w:hAnsi="Times New Roman" w:cs="Times New Roman" w:eastAsia="Times New Roman" w:hint="ascii"/>
          <w:sz w:val="18"/>
        </w:rPr>
        <w:tab/>
        <w:t>50</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信息科学四</w:t>
      </w:r>
      <w:r>
        <w:rPr>
          <w:rFonts w:ascii="宋体" w:hAnsi="宋体" w:cs="宋体" w:eastAsia="宋体" w:hint="ascii"/>
          <w:sz w:val="18"/>
          <w:spacing w:val="13"/>
        </w:rPr>
        <w:t>处</w:t>
      </w:r>
      <w:r>
        <w:rPr>
          <w:rFonts w:ascii="Times New Roman" w:hAnsi="Times New Roman" w:cs="Times New Roman" w:eastAsia="Times New Roman" w:hint="ascii"/>
          <w:sz w:val="18"/>
        </w:rPr>
        <w:tab/>
        <w:t>52</w:t>
      </w:r>
    </w:p>
    <w:p>
      <w:pPr>
        <w:autoSpaceDE w:val="0"/>
        <w:autoSpaceDN w:val="0"/>
        <w:jc w:val="left"/>
        <w:spacing w:before="55"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管理科学</w:t>
      </w:r>
      <w:r>
        <w:rPr>
          <w:rFonts w:ascii="宋体" w:hAnsi="宋体" w:cs="宋体" w:eastAsia="宋体" w:hint="ascii"/>
          <w:sz w:val="21"/>
          <w:spacing w:val="25"/>
        </w:rPr>
        <w:t>部</w:t>
      </w:r>
      <w:r>
        <w:rPr>
          <w:rFonts w:ascii="Times New Roman" w:hAnsi="Times New Roman" w:cs="Times New Roman" w:eastAsia="Times New Roman" w:hint="ascii"/>
          <w:sz w:val="21"/>
        </w:rPr>
        <w:tab/>
        <w:t>52</w:t>
      </w:r>
    </w:p>
    <w:p>
      <w:pPr>
        <w:autoSpaceDE w:val="0"/>
        <w:autoSpaceDN w:val="0"/>
        <w:jc w:val="left"/>
        <w:spacing w:before="73"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管理科学一</w:t>
      </w:r>
      <w:r>
        <w:rPr>
          <w:rFonts w:ascii="宋体" w:hAnsi="宋体" w:cs="宋体" w:eastAsia="宋体" w:hint="ascii"/>
          <w:sz w:val="18"/>
          <w:spacing w:val="13"/>
        </w:rPr>
        <w:t>处</w:t>
      </w:r>
      <w:r>
        <w:rPr>
          <w:rFonts w:ascii="Times New Roman" w:hAnsi="Times New Roman" w:cs="Times New Roman" w:eastAsia="Times New Roman" w:hint="ascii"/>
          <w:sz w:val="18"/>
        </w:rPr>
        <w:tab/>
        <w:t>54</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管理科学二</w:t>
      </w:r>
      <w:r>
        <w:rPr>
          <w:rFonts w:ascii="宋体" w:hAnsi="宋体" w:cs="宋体" w:eastAsia="宋体" w:hint="ascii"/>
          <w:sz w:val="18"/>
          <w:spacing w:val="13"/>
        </w:rPr>
        <w:t>处</w:t>
      </w:r>
      <w:r>
        <w:rPr>
          <w:rFonts w:ascii="Times New Roman" w:hAnsi="Times New Roman" w:cs="Times New Roman" w:eastAsia="Times New Roman" w:hint="ascii"/>
          <w:sz w:val="18"/>
        </w:rPr>
        <w:tab/>
        <w:t>55</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管理科学三</w:t>
      </w:r>
      <w:r>
        <w:rPr>
          <w:rFonts w:ascii="宋体" w:hAnsi="宋体" w:cs="宋体" w:eastAsia="宋体" w:hint="ascii"/>
          <w:sz w:val="18"/>
          <w:spacing w:val="13"/>
        </w:rPr>
        <w:t>处</w:t>
      </w:r>
      <w:r>
        <w:rPr>
          <w:rFonts w:ascii="Times New Roman" w:hAnsi="Times New Roman" w:cs="Times New Roman" w:eastAsia="Times New Roman" w:hint="ascii"/>
          <w:sz w:val="18"/>
        </w:rPr>
        <w:tab/>
        <w:t>55</w:t>
      </w:r>
    </w:p>
    <w:p>
      <w:pPr>
        <w:autoSpaceDE w:val="0"/>
        <w:autoSpaceDN w:val="0"/>
        <w:jc w:val="left"/>
        <w:spacing w:before="55"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医学科学</w:t>
      </w:r>
      <w:r>
        <w:rPr>
          <w:rFonts w:ascii="宋体" w:hAnsi="宋体" w:cs="宋体" w:eastAsia="宋体" w:hint="ascii"/>
          <w:sz w:val="21"/>
          <w:spacing w:val="25"/>
        </w:rPr>
        <w:t>部</w:t>
      </w:r>
      <w:r>
        <w:rPr>
          <w:rFonts w:ascii="Times New Roman" w:hAnsi="Times New Roman" w:cs="Times New Roman" w:eastAsia="Times New Roman" w:hint="ascii"/>
          <w:sz w:val="21"/>
        </w:rPr>
        <w:tab/>
        <w:t>57</w:t>
      </w:r>
    </w:p>
    <w:p>
      <w:pPr>
        <w:autoSpaceDE w:val="0"/>
        <w:autoSpaceDN w:val="0"/>
        <w:jc w:val="left"/>
        <w:spacing w:before="73"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医学科学一</w:t>
      </w:r>
      <w:r>
        <w:rPr>
          <w:rFonts w:ascii="宋体" w:hAnsi="宋体" w:cs="宋体" w:eastAsia="宋体" w:hint="ascii"/>
          <w:sz w:val="18"/>
          <w:spacing w:val="13"/>
        </w:rPr>
        <w:t>处</w:t>
      </w:r>
      <w:r>
        <w:rPr>
          <w:rFonts w:ascii="Times New Roman" w:hAnsi="Times New Roman" w:cs="Times New Roman" w:eastAsia="Times New Roman" w:hint="ascii"/>
          <w:sz w:val="18"/>
        </w:rPr>
        <w:tab/>
        <w:t>61</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医学科学二</w:t>
      </w:r>
      <w:r>
        <w:rPr>
          <w:rFonts w:ascii="宋体" w:hAnsi="宋体" w:cs="宋体" w:eastAsia="宋体" w:hint="ascii"/>
          <w:sz w:val="18"/>
          <w:spacing w:val="13"/>
        </w:rPr>
        <w:t>处</w:t>
      </w:r>
      <w:r>
        <w:rPr>
          <w:rFonts w:ascii="Times New Roman" w:hAnsi="Times New Roman" w:cs="Times New Roman" w:eastAsia="Times New Roman" w:hint="ascii"/>
          <w:sz w:val="18"/>
        </w:rPr>
        <w:tab/>
        <w:t>63</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医学科学三</w:t>
      </w:r>
      <w:r>
        <w:rPr>
          <w:rFonts w:ascii="宋体" w:hAnsi="宋体" w:cs="宋体" w:eastAsia="宋体" w:hint="ascii"/>
          <w:sz w:val="18"/>
          <w:spacing w:val="13"/>
        </w:rPr>
        <w:t>处</w:t>
      </w:r>
      <w:r>
        <w:rPr>
          <w:rFonts w:ascii="Times New Roman" w:hAnsi="Times New Roman" w:cs="Times New Roman" w:eastAsia="Times New Roman" w:hint="ascii"/>
          <w:sz w:val="18"/>
        </w:rPr>
        <w:tab/>
        <w:t>65</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医学科学四</w:t>
      </w:r>
      <w:r>
        <w:rPr>
          <w:rFonts w:ascii="宋体" w:hAnsi="宋体" w:cs="宋体" w:eastAsia="宋体" w:hint="ascii"/>
          <w:sz w:val="18"/>
          <w:spacing w:val="13"/>
        </w:rPr>
        <w:t>处</w:t>
      </w:r>
      <w:r>
        <w:rPr>
          <w:rFonts w:ascii="Times New Roman" w:hAnsi="Times New Roman" w:cs="Times New Roman" w:eastAsia="Times New Roman" w:hint="ascii"/>
          <w:sz w:val="18"/>
        </w:rPr>
        <w:tab/>
        <w:t>66</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医学科学五</w:t>
      </w:r>
      <w:r>
        <w:rPr>
          <w:rFonts w:ascii="宋体" w:hAnsi="宋体" w:cs="宋体" w:eastAsia="宋体" w:hint="ascii"/>
          <w:sz w:val="18"/>
          <w:spacing w:val="13"/>
        </w:rPr>
        <w:t>处</w:t>
      </w:r>
      <w:r>
        <w:rPr>
          <w:rFonts w:ascii="Times New Roman" w:hAnsi="Times New Roman" w:cs="Times New Roman" w:eastAsia="Times New Roman" w:hint="ascii"/>
          <w:sz w:val="18"/>
        </w:rPr>
        <w:tab/>
        <w:t>68</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医学科学六</w:t>
      </w:r>
      <w:r>
        <w:rPr>
          <w:rFonts w:ascii="宋体" w:hAnsi="宋体" w:cs="宋体" w:eastAsia="宋体" w:hint="ascii"/>
          <w:sz w:val="18"/>
          <w:spacing w:val="13"/>
        </w:rPr>
        <w:t>处</w:t>
      </w:r>
      <w:r>
        <w:rPr>
          <w:rFonts w:ascii="Times New Roman" w:hAnsi="Times New Roman" w:cs="Times New Roman" w:eastAsia="Times New Roman" w:hint="ascii"/>
          <w:sz w:val="18"/>
        </w:rPr>
        <w:tab/>
        <w:t>70</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医学科学七</w:t>
      </w:r>
      <w:r>
        <w:rPr>
          <w:rFonts w:ascii="宋体" w:hAnsi="宋体" w:cs="宋体" w:eastAsia="宋体" w:hint="ascii"/>
          <w:sz w:val="18"/>
          <w:spacing w:val="13"/>
        </w:rPr>
        <w:t>处</w:t>
      </w:r>
      <w:r>
        <w:rPr>
          <w:rFonts w:ascii="Times New Roman" w:hAnsi="Times New Roman" w:cs="Times New Roman" w:eastAsia="Times New Roman" w:hint="ascii"/>
          <w:sz w:val="18"/>
        </w:rPr>
        <w:tab/>
        <w:t>71</w:t>
      </w:r>
    </w:p>
    <w:p>
      <w:pPr>
        <w:autoSpaceDE w:val="0"/>
        <w:autoSpaceDN w:val="0"/>
        <w:jc w:val="left"/>
        <w:spacing w:before="80"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医学科学八</w:t>
      </w:r>
      <w:r>
        <w:rPr>
          <w:rFonts w:ascii="宋体" w:hAnsi="宋体" w:cs="宋体" w:eastAsia="宋体" w:hint="ascii"/>
          <w:sz w:val="18"/>
          <w:spacing w:val="13"/>
        </w:rPr>
        <w:t>处</w:t>
      </w:r>
      <w:r>
        <w:rPr>
          <w:rFonts w:ascii="Times New Roman" w:hAnsi="Times New Roman" w:cs="Times New Roman" w:eastAsia="Times New Roman" w:hint="ascii"/>
          <w:sz w:val="18"/>
        </w:rPr>
        <w:tab/>
        <w:t>72</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医学科学九</w:t>
      </w:r>
      <w:r>
        <w:rPr>
          <w:rFonts w:ascii="宋体" w:hAnsi="宋体" w:cs="宋体" w:eastAsia="宋体" w:hint="ascii"/>
          <w:sz w:val="18"/>
          <w:spacing w:val="13"/>
        </w:rPr>
        <w:t>处</w:t>
      </w:r>
      <w:r>
        <w:rPr>
          <w:rFonts w:ascii="Times New Roman" w:hAnsi="Times New Roman" w:cs="Times New Roman" w:eastAsia="Times New Roman" w:hint="ascii"/>
          <w:sz w:val="18"/>
        </w:rPr>
        <w:tab/>
        <w:t>74</w:t>
      </w:r>
    </w:p>
    <w:p>
      <w:pPr>
        <w:autoSpaceDE w:val="0"/>
        <w:autoSpaceDN w:val="0"/>
        <w:jc w:val="left"/>
        <w:spacing w:before="79" w:after="0" w:lineRule="exact" w:line="225"/>
        <w:ind w:right="0" w:left="1386" w:firstLine="0"/>
        <w:snapToGrid w:val="0"/>
        <w:textAlignment w:val="auto"/>
        <w:tabs>
          <w:tab w:val="left" w:leader="middleDot" w:pos="8765"/>
        </w:tabs>
        <w:rPr>
          <w:rFonts w:ascii="Times New Roman" w:hAnsi="Times New Roman" w:cs="Times New Roman" w:eastAsia="Times New Roman" w:hint="ascii"/>
          <w:sz w:val="18"/>
        </w:rPr>
      </w:pPr>
      <w:r>
        <w:rPr>
          <w:rFonts w:ascii="宋体" w:hAnsi="宋体" w:cs="宋体" w:eastAsia="宋体" w:hint="ascii"/>
          <w:sz w:val="18"/>
        </w:rPr>
        <w:t>医学科学十</w:t>
      </w:r>
      <w:r>
        <w:rPr>
          <w:rFonts w:ascii="宋体" w:hAnsi="宋体" w:cs="宋体" w:eastAsia="宋体" w:hint="ascii"/>
          <w:sz w:val="18"/>
          <w:spacing w:val="13"/>
        </w:rPr>
        <w:t>处</w:t>
      </w:r>
      <w:r>
        <w:rPr>
          <w:rFonts w:ascii="Times New Roman" w:hAnsi="Times New Roman" w:cs="Times New Roman" w:eastAsia="Times New Roman" w:hint="ascii"/>
          <w:sz w:val="18"/>
        </w:rPr>
        <w:tab/>
        <w:t>75</w:t>
      </w:r>
    </w:p>
    <w:p>
      <w:pPr>
        <w:autoSpaceDE w:val="0"/>
        <w:autoSpaceDN w:val="0"/>
        <w:jc w:val="left"/>
        <w:spacing w:before="56" w:after="0" w:lineRule="exact" w:line="263"/>
        <w:ind w:right="0" w:left="96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重点项</w:t>
      </w:r>
      <w:r>
        <w:rPr>
          <w:rFonts w:ascii="宋体" w:hAnsi="宋体" w:cs="宋体" w:eastAsia="宋体" w:hint="ascii"/>
          <w:sz w:val="21"/>
          <w:spacing w:val="26"/>
        </w:rPr>
        <w:t>目</w:t>
      </w:r>
      <w:r>
        <w:rPr>
          <w:rFonts w:ascii="Times New Roman" w:hAnsi="Times New Roman" w:cs="Times New Roman" w:eastAsia="Times New Roman" w:hint="ascii"/>
          <w:sz w:val="21"/>
        </w:rPr>
        <w:tab/>
        <w:t>77</w:t>
      </w:r>
    </w:p>
    <w:p>
      <w:pPr>
        <w:autoSpaceDE w:val="0"/>
        <w:autoSpaceDN w:val="0"/>
        <w:jc w:val="left"/>
        <w:spacing w:before="49"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数理科学</w:t>
      </w:r>
      <w:r>
        <w:rPr>
          <w:rFonts w:ascii="宋体" w:hAnsi="宋体" w:cs="宋体" w:eastAsia="宋体" w:hint="ascii"/>
          <w:sz w:val="21"/>
          <w:spacing w:val="25"/>
        </w:rPr>
        <w:t>部</w:t>
      </w:r>
      <w:r>
        <w:rPr>
          <w:rFonts w:ascii="Times New Roman" w:hAnsi="Times New Roman" w:cs="Times New Roman" w:eastAsia="Times New Roman" w:hint="ascii"/>
          <w:sz w:val="21"/>
        </w:rPr>
        <w:tab/>
        <w:t>79</w:t>
      </w:r>
    </w:p>
    <w:p>
      <w:pPr>
        <w:autoSpaceDE w:val="0"/>
        <w:autoSpaceDN w:val="0"/>
        <w:jc w:val="left"/>
        <w:spacing w:before="49"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化学科学</w:t>
      </w:r>
      <w:r>
        <w:rPr>
          <w:rFonts w:ascii="宋体" w:hAnsi="宋体" w:cs="宋体" w:eastAsia="宋体" w:hint="ascii"/>
          <w:sz w:val="21"/>
          <w:spacing w:val="25"/>
        </w:rPr>
        <w:t>部</w:t>
      </w:r>
      <w:r>
        <w:rPr>
          <w:rFonts w:ascii="Times New Roman" w:hAnsi="Times New Roman" w:cs="Times New Roman" w:eastAsia="Times New Roman" w:hint="ascii"/>
          <w:sz w:val="21"/>
        </w:rPr>
        <w:tab/>
        <w:t>83</w:t>
      </w:r>
    </w:p>
    <w:p>
      <w:pPr>
        <w:autoSpaceDE w:val="0"/>
        <w:autoSpaceDN w:val="0"/>
        <w:jc w:val="left"/>
        <w:spacing w:before="49"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生命科学</w:t>
      </w:r>
      <w:r>
        <w:rPr>
          <w:rFonts w:ascii="宋体" w:hAnsi="宋体" w:cs="宋体" w:eastAsia="宋体" w:hint="ascii"/>
          <w:sz w:val="21"/>
          <w:spacing w:val="25"/>
        </w:rPr>
        <w:t>部</w:t>
      </w:r>
      <w:r>
        <w:rPr>
          <w:rFonts w:ascii="Times New Roman" w:hAnsi="Times New Roman" w:cs="Times New Roman" w:eastAsia="Times New Roman" w:hint="ascii"/>
          <w:sz w:val="21"/>
        </w:rPr>
        <w:tab/>
        <w:t>86</w:t>
      </w:r>
    </w:p>
    <w:p>
      <w:pPr>
        <w:autoSpaceDE w:val="0"/>
        <w:autoSpaceDN w:val="0"/>
        <w:jc w:val="left"/>
        <w:spacing w:before="49"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地球科学</w:t>
      </w:r>
      <w:r>
        <w:rPr>
          <w:rFonts w:ascii="宋体" w:hAnsi="宋体" w:cs="宋体" w:eastAsia="宋体" w:hint="ascii"/>
          <w:sz w:val="21"/>
          <w:spacing w:val="25"/>
        </w:rPr>
        <w:t>部</w:t>
      </w:r>
      <w:r>
        <w:rPr>
          <w:rFonts w:ascii="Times New Roman" w:hAnsi="Times New Roman" w:cs="Times New Roman" w:eastAsia="Times New Roman" w:hint="ascii"/>
          <w:sz w:val="21"/>
        </w:rPr>
        <w:tab/>
        <w:t>89</w:t>
      </w:r>
    </w:p>
    <w:p>
      <w:pPr>
        <w:autoSpaceDE w:val="0"/>
        <w:autoSpaceDN w:val="0"/>
        <w:jc w:val="left"/>
        <w:spacing w:before="49" w:after="0" w:lineRule="exact" w:line="263"/>
        <w:ind w:right="0" w:left="1176" w:firstLine="0"/>
        <w:snapToGrid w:val="0"/>
        <w:textAlignment w:val="auto"/>
        <w:tabs>
          <w:tab w:val="left" w:leader="middleDot" w:pos="8737"/>
        </w:tabs>
        <w:rPr>
          <w:rFonts w:ascii="Times New Roman" w:hAnsi="Times New Roman" w:cs="Times New Roman" w:eastAsia="Times New Roman" w:hint="ascii"/>
          <w:sz w:val="21"/>
        </w:rPr>
      </w:pPr>
      <w:r>
        <w:rPr>
          <w:rFonts w:ascii="宋体" w:hAnsi="宋体" w:cs="宋体" w:eastAsia="宋体" w:hint="ascii"/>
          <w:sz w:val="21"/>
        </w:rPr>
        <w:t>工程与材料科学</w:t>
      </w:r>
      <w:r>
        <w:rPr>
          <w:rFonts w:ascii="宋体" w:hAnsi="宋体" w:cs="宋体" w:eastAsia="宋体" w:hint="ascii"/>
          <w:sz w:val="21"/>
          <w:spacing w:val="23"/>
        </w:rPr>
        <w:t>部</w:t>
      </w:r>
      <w:r>
        <w:rPr>
          <w:rFonts w:ascii="Times New Roman" w:hAnsi="Times New Roman" w:cs="Times New Roman" w:eastAsia="Times New Roman" w:hint="ascii"/>
          <w:sz w:val="21"/>
        </w:rPr>
        <w:tab/>
        <w:t>98</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信息科学</w:t>
      </w:r>
      <w:r>
        <w:rPr>
          <w:rFonts w:ascii="宋体" w:hAnsi="宋体" w:cs="宋体" w:eastAsia="宋体" w:hint="ascii"/>
          <w:sz w:val="21"/>
          <w:spacing w:val="25"/>
        </w:rPr>
        <w:t>部</w:t>
      </w:r>
      <w:r>
        <w:rPr>
          <w:rFonts w:ascii="Times New Roman" w:hAnsi="Times New Roman" w:cs="Times New Roman" w:eastAsia="Times New Roman" w:hint="ascii"/>
          <w:sz w:val="21"/>
        </w:rPr>
        <w:tab/>
        <w:t>101</w:t>
      </w:r>
    </w:p>
    <w:p>
      <w:pPr>
        <w:autoSpaceDE w:val="0"/>
        <w:autoSpaceDN w:val="0"/>
        <w:jc w:val="left"/>
        <w:spacing w:before="501"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xvi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7"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管理科学</w:t>
      </w:r>
      <w:r>
        <w:rPr>
          <w:rFonts w:ascii="宋体" w:hAnsi="宋体" w:cs="宋体" w:eastAsia="宋体" w:hint="ascii"/>
          <w:sz w:val="21"/>
          <w:spacing w:val="25"/>
        </w:rPr>
        <w:t>部</w:t>
      </w:r>
      <w:r>
        <w:rPr>
          <w:rFonts w:ascii="Times New Roman" w:hAnsi="Times New Roman" w:cs="Times New Roman" w:eastAsia="Times New Roman" w:hint="ascii"/>
          <w:sz w:val="21"/>
        </w:rPr>
        <w:tab/>
        <w:t>104</w:t>
      </w:r>
      <w:r>
        <w:rPr>
          <w:rFonts w:ascii="Times New Roman" w:hAnsi="Times New Roman" w:cs="Times New Roman" w:eastAsia="Times New Roman" w:hint="ascii"/>
          <w:sz w:val="21"/>
        </w:rPr>
        <mc:AlternateContent>
          <mc:Choice Requires="wps">
            <w:drawing>
              <wp:anchor distL="0" distR="0" distT="0" distB="0" simplePos="0" behindDoc="1" relativeHeight="62" locked="0" layoutInCell="1" allowOverlap="1">
                <wp:simplePos x="0" y="0"/>
                <wp:positionH relativeFrom="page">
                  <wp:posOffset>938530</wp:posOffset>
                </wp:positionH>
                <wp:positionV relativeFrom="page">
                  <wp:posOffset>819150</wp:posOffset>
                </wp:positionV>
                <wp:extent cx="5076190" cy="0"/>
                <wp:wrapNone/>
                <wp:docPr id="1089" name="108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94752;width:399.70pt;" id="108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176" w:firstLine="0"/>
        <w:snapToGrid w:val="0"/>
        <w:textAlignment w:val="auto"/>
        <w:tabs>
          <w:tab w:val="left" w:leader="middleDot" w:pos="8638"/>
        </w:tabs>
        <w:rPr>
          <w:rFonts w:ascii="Times New Roman" w:hAnsi="Times New Roman" w:cs="Times New Roman" w:eastAsia="Times New Roman" w:hint="ascii"/>
          <w:sz w:val="21"/>
        </w:rPr>
      </w:pPr>
      <w:r>
        <w:rPr>
          <w:rFonts w:ascii="宋体" w:hAnsi="宋体" w:cs="宋体" w:eastAsia="宋体" w:hint="ascii"/>
          <w:sz w:val="21"/>
        </w:rPr>
        <w:t>医学科学</w:t>
      </w:r>
      <w:r>
        <w:rPr>
          <w:rFonts w:ascii="宋体" w:hAnsi="宋体" w:cs="宋体" w:eastAsia="宋体" w:hint="ascii"/>
          <w:sz w:val="21"/>
          <w:spacing w:val="25"/>
        </w:rPr>
        <w:t>部</w:t>
      </w:r>
      <w:r>
        <w:rPr>
          <w:rFonts w:ascii="Times New Roman" w:hAnsi="Times New Roman" w:cs="Times New Roman" w:eastAsia="Times New Roman" w:hint="ascii"/>
          <w:sz w:val="21"/>
        </w:rPr>
        <w:tab/>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10</w:t>
      </w:r>
    </w:p>
    <w:p>
      <w:pPr>
        <w:autoSpaceDE w:val="0"/>
        <w:autoSpaceDN w:val="0"/>
        <w:jc w:val="left"/>
        <w:spacing w:before="49" w:after="0" w:lineRule="exact" w:line="263"/>
        <w:ind w:right="0" w:left="966" w:firstLine="0"/>
        <w:snapToGrid w:val="0"/>
        <w:textAlignment w:val="auto"/>
        <w:tabs>
          <w:tab w:val="left" w:leader="middleDot" w:pos="8638"/>
        </w:tabs>
        <w:rPr>
          <w:rFonts w:ascii="Times New Roman" w:hAnsi="Times New Roman" w:cs="Times New Roman" w:eastAsia="Times New Roman" w:hint="ascii"/>
          <w:sz w:val="21"/>
        </w:rPr>
      </w:pPr>
      <w:r>
        <w:rPr>
          <w:rFonts w:ascii="宋体" w:hAnsi="宋体" w:cs="宋体" w:eastAsia="宋体" w:hint="ascii"/>
          <w:sz w:val="21"/>
        </w:rPr>
        <w:t>重大项</w:t>
      </w:r>
      <w:r>
        <w:rPr>
          <w:rFonts w:ascii="宋体" w:hAnsi="宋体" w:cs="宋体" w:eastAsia="宋体" w:hint="ascii"/>
          <w:sz w:val="21"/>
          <w:spacing w:val="26"/>
        </w:rPr>
        <w:t>目</w:t>
      </w:r>
      <w:r>
        <w:rPr>
          <w:rFonts w:ascii="Times New Roman" w:hAnsi="Times New Roman" w:cs="Times New Roman" w:eastAsia="Times New Roman" w:hint="ascii"/>
          <w:sz w:val="21"/>
        </w:rPr>
        <w:tab/>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16</w:t>
      </w:r>
    </w:p>
    <w:p>
      <w:pPr>
        <w:autoSpaceDE w:val="0"/>
        <w:autoSpaceDN w:val="0"/>
        <w:jc w:val="left"/>
        <w:spacing w:before="49" w:after="0" w:lineRule="exact" w:line="263"/>
        <w:ind w:right="0" w:left="1176" w:firstLine="0"/>
        <w:snapToGrid w:val="0"/>
        <w:textAlignment w:val="auto"/>
        <w:tabs>
          <w:tab w:val="left" w:leader="middleDot" w:pos="8638"/>
        </w:tabs>
        <w:rPr>
          <w:rFonts w:ascii="Times New Roman" w:hAnsi="Times New Roman" w:cs="Times New Roman" w:eastAsia="Times New Roman" w:hint="ascii"/>
          <w:sz w:val="21"/>
        </w:rPr>
      </w:pPr>
      <w:r>
        <w:rPr>
          <w:rFonts w:ascii="宋体" w:hAnsi="宋体" w:cs="宋体" w:eastAsia="宋体" w:hint="ascii"/>
          <w:sz w:val="21"/>
        </w:rPr>
        <w:t>面向能源相关小分子活化</w:t>
      </w:r>
      <w:r>
        <w:rPr>
          <w:rFonts w:ascii="Times New Roman" w:hAnsi="Times New Roman" w:cs="Times New Roman" w:eastAsia="Times New Roman" w:hint="ascii"/>
          <w:sz w:val="21"/>
        </w:rPr>
        <w:t>/</w:t>
      </w:r>
      <w:r>
        <w:rPr>
          <w:rFonts w:ascii="宋体" w:hAnsi="宋体" w:cs="宋体" w:eastAsia="宋体" w:hint="ascii"/>
          <w:sz w:val="21"/>
        </w:rPr>
        <w:t>转化的多孔配合</w:t>
      </w:r>
      <w:r>
        <w:rPr>
          <w:rFonts w:ascii="宋体" w:hAnsi="宋体" w:cs="宋体" w:eastAsia="宋体" w:hint="ascii"/>
          <w:sz w:val="21"/>
          <w:spacing w:val="22"/>
        </w:rPr>
        <w:t>物</w:t>
      </w:r>
      <w:r>
        <w:rPr>
          <w:rFonts w:ascii="Times New Roman" w:hAnsi="Times New Roman" w:cs="Times New Roman" w:eastAsia="Times New Roman" w:hint="ascii"/>
          <w:sz w:val="21"/>
        </w:rPr>
        <w:tab/>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18</w:t>
      </w:r>
    </w:p>
    <w:p>
      <w:pPr>
        <w:autoSpaceDE w:val="0"/>
        <w:autoSpaceDN w:val="0"/>
        <w:jc w:val="left"/>
        <w:spacing w:before="49" w:after="0" w:lineRule="exact" w:line="263"/>
        <w:ind w:right="0" w:left="1176" w:firstLine="0"/>
        <w:snapToGrid w:val="0"/>
        <w:textAlignment w:val="auto"/>
        <w:tabs>
          <w:tab w:val="left" w:leader="middleDot" w:pos="8638"/>
        </w:tabs>
        <w:rPr>
          <w:rFonts w:ascii="Times New Roman" w:hAnsi="Times New Roman" w:cs="Times New Roman" w:eastAsia="Times New Roman" w:hint="ascii"/>
          <w:sz w:val="21"/>
        </w:rPr>
      </w:pPr>
      <w:r>
        <w:rPr>
          <w:rFonts w:ascii="宋体" w:hAnsi="宋体" w:cs="宋体" w:eastAsia="宋体" w:hint="ascii"/>
          <w:sz w:val="21"/>
        </w:rPr>
        <w:t>空间复杂动态多目标电磁特征的表征与重构基础理论及关键技</w:t>
      </w:r>
      <w:r>
        <w:rPr>
          <w:rFonts w:ascii="宋体" w:hAnsi="宋体" w:cs="宋体" w:eastAsia="宋体" w:hint="ascii"/>
          <w:sz w:val="21"/>
          <w:spacing w:val="11"/>
        </w:rPr>
        <w:t>术</w:t>
      </w:r>
      <w:r>
        <w:rPr>
          <w:rFonts w:ascii="Times New Roman" w:hAnsi="Times New Roman" w:cs="Times New Roman" w:eastAsia="Times New Roman" w:hint="ascii"/>
          <w:sz w:val="21"/>
        </w:rPr>
        <w:tab/>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19</w:t>
      </w:r>
    </w:p>
    <w:p>
      <w:pPr>
        <w:autoSpaceDE w:val="0"/>
        <w:autoSpaceDN w:val="0"/>
        <w:jc w:val="left"/>
        <w:spacing w:before="49"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重大研究计划项</w:t>
      </w:r>
      <w:r>
        <w:rPr>
          <w:rFonts w:ascii="宋体" w:hAnsi="宋体" w:cs="宋体" w:eastAsia="宋体" w:hint="ascii"/>
          <w:sz w:val="21"/>
          <w:spacing w:val="24"/>
        </w:rPr>
        <w:t>目</w:t>
      </w:r>
      <w:r>
        <w:rPr>
          <w:rFonts w:ascii="Times New Roman" w:hAnsi="Times New Roman" w:cs="Times New Roman" w:eastAsia="Times New Roman" w:hint="ascii"/>
          <w:sz w:val="21"/>
        </w:rPr>
        <w:tab/>
        <w:t>121</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新型光场调控物理及应</w:t>
      </w:r>
      <w:r>
        <w:rPr>
          <w:rFonts w:ascii="宋体" w:hAnsi="宋体" w:cs="宋体" w:eastAsia="宋体" w:hint="ascii"/>
          <w:sz w:val="21"/>
          <w:spacing w:val="22"/>
        </w:rPr>
        <w:t>用</w:t>
      </w:r>
      <w:r>
        <w:rPr>
          <w:rFonts w:ascii="Times New Roman" w:hAnsi="Times New Roman" w:cs="Times New Roman" w:eastAsia="Times New Roman" w:hint="ascii"/>
          <w:sz w:val="21"/>
        </w:rPr>
        <w:tab/>
        <w:t>123</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湍流结构的生成演化及作用机</w:t>
      </w:r>
      <w:r>
        <w:rPr>
          <w:rFonts w:ascii="宋体" w:hAnsi="宋体" w:cs="宋体" w:eastAsia="宋体" w:hint="ascii"/>
          <w:sz w:val="21"/>
          <w:spacing w:val="20"/>
        </w:rPr>
        <w:t>理</w:t>
      </w:r>
      <w:r>
        <w:rPr>
          <w:rFonts w:ascii="Times New Roman" w:hAnsi="Times New Roman" w:cs="Times New Roman" w:eastAsia="Times New Roman" w:hint="ascii"/>
          <w:sz w:val="21"/>
        </w:rPr>
        <w:tab/>
        <w:t>125</w:t>
      </w:r>
    </w:p>
    <w:p>
      <w:pPr>
        <w:autoSpaceDE w:val="0"/>
        <w:autoSpaceDN w:val="0"/>
        <w:jc w:val="left"/>
        <w:spacing w:before="49" w:after="0" w:lineRule="exact" w:line="263"/>
        <w:ind w:right="0" w:left="1176" w:firstLine="0"/>
        <w:snapToGrid w:val="0"/>
        <w:textAlignment w:val="auto"/>
        <w:tabs>
          <w:tab w:val="left" w:leader="middleDot" w:pos="8632"/>
        </w:tabs>
        <w:rPr>
          <w:rFonts w:ascii="Times New Roman" w:hAnsi="Times New Roman" w:cs="Times New Roman" w:eastAsia="Times New Roman" w:hint="ascii"/>
          <w:sz w:val="21"/>
        </w:rPr>
      </w:pPr>
      <w:r>
        <w:rPr>
          <w:rFonts w:ascii="宋体" w:hAnsi="宋体" w:cs="宋体" w:eastAsia="宋体" w:hint="ascii"/>
          <w:sz w:val="21"/>
        </w:rPr>
        <w:t>共融机器人基础理论与关键技术研</w:t>
      </w:r>
      <w:r>
        <w:rPr>
          <w:rFonts w:ascii="宋体" w:hAnsi="宋体" w:cs="宋体" w:eastAsia="宋体" w:hint="ascii"/>
          <w:sz w:val="21"/>
          <w:spacing w:val="19"/>
        </w:rPr>
        <w:t>究</w:t>
      </w:r>
      <w:r>
        <w:rPr>
          <w:rFonts w:ascii="Times New Roman" w:hAnsi="Times New Roman" w:cs="Times New Roman" w:eastAsia="Times New Roman" w:hint="ascii"/>
          <w:sz w:val="21"/>
        </w:rPr>
        <w:tab/>
        <w:t>128</w:t>
      </w:r>
    </w:p>
    <w:p>
      <w:pPr>
        <w:autoSpaceDE w:val="0"/>
        <w:autoSpaceDN w:val="0"/>
        <w:jc w:val="left"/>
        <w:spacing w:before="49"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青年科学基金项</w:t>
      </w:r>
      <w:r>
        <w:rPr>
          <w:rFonts w:ascii="宋体" w:hAnsi="宋体" w:cs="宋体" w:eastAsia="宋体" w:hint="ascii"/>
          <w:sz w:val="21"/>
          <w:spacing w:val="24"/>
        </w:rPr>
        <w:t>目</w:t>
      </w:r>
      <w:r>
        <w:rPr>
          <w:rFonts w:ascii="Times New Roman" w:hAnsi="Times New Roman" w:cs="Times New Roman" w:eastAsia="Times New Roman" w:hint="ascii"/>
          <w:sz w:val="21"/>
        </w:rPr>
        <w:tab/>
        <w:t>131</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数理科学</w:t>
      </w:r>
      <w:r>
        <w:rPr>
          <w:rFonts w:ascii="宋体" w:hAnsi="宋体" w:cs="宋体" w:eastAsia="宋体" w:hint="ascii"/>
          <w:sz w:val="21"/>
          <w:spacing w:val="25"/>
        </w:rPr>
        <w:t>部</w:t>
      </w:r>
      <w:r>
        <w:rPr>
          <w:rFonts w:ascii="Times New Roman" w:hAnsi="Times New Roman" w:cs="Times New Roman" w:eastAsia="Times New Roman" w:hint="ascii"/>
          <w:sz w:val="21"/>
        </w:rPr>
        <w:tab/>
        <w:t>133</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化学科学</w:t>
      </w:r>
      <w:r>
        <w:rPr>
          <w:rFonts w:ascii="宋体" w:hAnsi="宋体" w:cs="宋体" w:eastAsia="宋体" w:hint="ascii"/>
          <w:sz w:val="21"/>
          <w:spacing w:val="25"/>
        </w:rPr>
        <w:t>部</w:t>
      </w:r>
      <w:r>
        <w:rPr>
          <w:rFonts w:ascii="Times New Roman" w:hAnsi="Times New Roman" w:cs="Times New Roman" w:eastAsia="Times New Roman" w:hint="ascii"/>
          <w:sz w:val="21"/>
        </w:rPr>
        <w:tab/>
        <w:t>134</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生命科学</w:t>
      </w:r>
      <w:r>
        <w:rPr>
          <w:rFonts w:ascii="宋体" w:hAnsi="宋体" w:cs="宋体" w:eastAsia="宋体" w:hint="ascii"/>
          <w:sz w:val="21"/>
          <w:spacing w:val="25"/>
        </w:rPr>
        <w:t>部</w:t>
      </w:r>
      <w:r>
        <w:rPr>
          <w:rFonts w:ascii="Times New Roman" w:hAnsi="Times New Roman" w:cs="Times New Roman" w:eastAsia="Times New Roman" w:hint="ascii"/>
          <w:sz w:val="21"/>
        </w:rPr>
        <w:tab/>
        <w:t>134</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地球科学</w:t>
      </w:r>
      <w:r>
        <w:rPr>
          <w:rFonts w:ascii="宋体" w:hAnsi="宋体" w:cs="宋体" w:eastAsia="宋体" w:hint="ascii"/>
          <w:sz w:val="21"/>
          <w:spacing w:val="25"/>
        </w:rPr>
        <w:t>部</w:t>
      </w:r>
      <w:r>
        <w:rPr>
          <w:rFonts w:ascii="Times New Roman" w:hAnsi="Times New Roman" w:cs="Times New Roman" w:eastAsia="Times New Roman" w:hint="ascii"/>
          <w:sz w:val="21"/>
        </w:rPr>
        <w:tab/>
        <w:t>135</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工程与材料科学</w:t>
      </w:r>
      <w:r>
        <w:rPr>
          <w:rFonts w:ascii="宋体" w:hAnsi="宋体" w:cs="宋体" w:eastAsia="宋体" w:hint="ascii"/>
          <w:sz w:val="21"/>
          <w:spacing w:val="23"/>
        </w:rPr>
        <w:t>部</w:t>
      </w:r>
      <w:r>
        <w:rPr>
          <w:rFonts w:ascii="Times New Roman" w:hAnsi="Times New Roman" w:cs="Times New Roman" w:eastAsia="Times New Roman" w:hint="ascii"/>
          <w:sz w:val="21"/>
        </w:rPr>
        <w:tab/>
        <w:t>136</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信息科学</w:t>
      </w:r>
      <w:r>
        <w:rPr>
          <w:rFonts w:ascii="宋体" w:hAnsi="宋体" w:cs="宋体" w:eastAsia="宋体" w:hint="ascii"/>
          <w:sz w:val="21"/>
          <w:spacing w:val="25"/>
        </w:rPr>
        <w:t>部</w:t>
      </w:r>
      <w:r>
        <w:rPr>
          <w:rFonts w:ascii="Times New Roman" w:hAnsi="Times New Roman" w:cs="Times New Roman" w:eastAsia="Times New Roman" w:hint="ascii"/>
          <w:sz w:val="21"/>
        </w:rPr>
        <w:tab/>
        <w:t>137</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管理科学</w:t>
      </w:r>
      <w:r>
        <w:rPr>
          <w:rFonts w:ascii="宋体" w:hAnsi="宋体" w:cs="宋体" w:eastAsia="宋体" w:hint="ascii"/>
          <w:sz w:val="21"/>
          <w:spacing w:val="25"/>
        </w:rPr>
        <w:t>部</w:t>
      </w:r>
      <w:r>
        <w:rPr>
          <w:rFonts w:ascii="Times New Roman" w:hAnsi="Times New Roman" w:cs="Times New Roman" w:eastAsia="Times New Roman" w:hint="ascii"/>
          <w:sz w:val="21"/>
        </w:rPr>
        <w:tab/>
        <w:t>137</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医学科学</w:t>
      </w:r>
      <w:r>
        <w:rPr>
          <w:rFonts w:ascii="宋体" w:hAnsi="宋体" w:cs="宋体" w:eastAsia="宋体" w:hint="ascii"/>
          <w:sz w:val="21"/>
          <w:spacing w:val="25"/>
        </w:rPr>
        <w:t>部</w:t>
      </w:r>
      <w:r>
        <w:rPr>
          <w:rFonts w:ascii="Times New Roman" w:hAnsi="Times New Roman" w:cs="Times New Roman" w:eastAsia="Times New Roman" w:hint="ascii"/>
          <w:sz w:val="21"/>
        </w:rPr>
        <w:tab/>
        <w:t>138</w:t>
      </w:r>
    </w:p>
    <w:p>
      <w:pPr>
        <w:autoSpaceDE w:val="0"/>
        <w:autoSpaceDN w:val="0"/>
        <w:jc w:val="left"/>
        <w:spacing w:before="49"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地区科学基金项</w:t>
      </w:r>
      <w:r>
        <w:rPr>
          <w:rFonts w:ascii="宋体" w:hAnsi="宋体" w:cs="宋体" w:eastAsia="宋体" w:hint="ascii"/>
          <w:sz w:val="21"/>
          <w:spacing w:val="24"/>
        </w:rPr>
        <w:t>目</w:t>
      </w:r>
      <w:r>
        <w:rPr>
          <w:rFonts w:ascii="Times New Roman" w:hAnsi="Times New Roman" w:cs="Times New Roman" w:eastAsia="Times New Roman" w:hint="ascii"/>
          <w:sz w:val="21"/>
        </w:rPr>
        <w:tab/>
        <w:t>140</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数理科学</w:t>
      </w:r>
      <w:r>
        <w:rPr>
          <w:rFonts w:ascii="宋体" w:hAnsi="宋体" w:cs="宋体" w:eastAsia="宋体" w:hint="ascii"/>
          <w:sz w:val="21"/>
          <w:spacing w:val="25"/>
        </w:rPr>
        <w:t>部</w:t>
      </w:r>
      <w:r>
        <w:rPr>
          <w:rFonts w:ascii="Times New Roman" w:hAnsi="Times New Roman" w:cs="Times New Roman" w:eastAsia="Times New Roman" w:hint="ascii"/>
          <w:sz w:val="21"/>
        </w:rPr>
        <w:tab/>
        <w:t>142</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化学科学</w:t>
      </w:r>
      <w:r>
        <w:rPr>
          <w:rFonts w:ascii="宋体" w:hAnsi="宋体" w:cs="宋体" w:eastAsia="宋体" w:hint="ascii"/>
          <w:sz w:val="21"/>
          <w:spacing w:val="25"/>
        </w:rPr>
        <w:t>部</w:t>
      </w:r>
      <w:r>
        <w:rPr>
          <w:rFonts w:ascii="Times New Roman" w:hAnsi="Times New Roman" w:cs="Times New Roman" w:eastAsia="Times New Roman" w:hint="ascii"/>
          <w:sz w:val="21"/>
        </w:rPr>
        <w:tab/>
        <w:t>142</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生命科学</w:t>
      </w:r>
      <w:r>
        <w:rPr>
          <w:rFonts w:ascii="宋体" w:hAnsi="宋体" w:cs="宋体" w:eastAsia="宋体" w:hint="ascii"/>
          <w:sz w:val="21"/>
          <w:spacing w:val="25"/>
        </w:rPr>
        <w:t>部</w:t>
      </w:r>
      <w:r>
        <w:rPr>
          <w:rFonts w:ascii="Times New Roman" w:hAnsi="Times New Roman" w:cs="Times New Roman" w:eastAsia="Times New Roman" w:hint="ascii"/>
          <w:sz w:val="21"/>
        </w:rPr>
        <w:tab/>
        <w:t>143</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地球科学</w:t>
      </w:r>
      <w:r>
        <w:rPr>
          <w:rFonts w:ascii="宋体" w:hAnsi="宋体" w:cs="宋体" w:eastAsia="宋体" w:hint="ascii"/>
          <w:sz w:val="21"/>
          <w:spacing w:val="25"/>
        </w:rPr>
        <w:t>部</w:t>
      </w:r>
      <w:r>
        <w:rPr>
          <w:rFonts w:ascii="Times New Roman" w:hAnsi="Times New Roman" w:cs="Times New Roman" w:eastAsia="Times New Roman" w:hint="ascii"/>
          <w:sz w:val="21"/>
        </w:rPr>
        <w:tab/>
        <w:t>144</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工程与材料科学</w:t>
      </w:r>
      <w:r>
        <w:rPr>
          <w:rFonts w:ascii="宋体" w:hAnsi="宋体" w:cs="宋体" w:eastAsia="宋体" w:hint="ascii"/>
          <w:sz w:val="21"/>
          <w:spacing w:val="23"/>
        </w:rPr>
        <w:t>部</w:t>
      </w:r>
      <w:r>
        <w:rPr>
          <w:rFonts w:ascii="Times New Roman" w:hAnsi="Times New Roman" w:cs="Times New Roman" w:eastAsia="Times New Roman" w:hint="ascii"/>
          <w:sz w:val="21"/>
        </w:rPr>
        <w:tab/>
        <w:t>145</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信息科学</w:t>
      </w:r>
      <w:r>
        <w:rPr>
          <w:rFonts w:ascii="宋体" w:hAnsi="宋体" w:cs="宋体" w:eastAsia="宋体" w:hint="ascii"/>
          <w:sz w:val="21"/>
          <w:spacing w:val="25"/>
        </w:rPr>
        <w:t>部</w:t>
      </w:r>
      <w:r>
        <w:rPr>
          <w:rFonts w:ascii="Times New Roman" w:hAnsi="Times New Roman" w:cs="Times New Roman" w:eastAsia="Times New Roman" w:hint="ascii"/>
          <w:sz w:val="21"/>
        </w:rPr>
        <w:tab/>
        <w:t>145</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管理科学</w:t>
      </w:r>
      <w:r>
        <w:rPr>
          <w:rFonts w:ascii="宋体" w:hAnsi="宋体" w:cs="宋体" w:eastAsia="宋体" w:hint="ascii"/>
          <w:sz w:val="21"/>
          <w:spacing w:val="25"/>
        </w:rPr>
        <w:t>部</w:t>
      </w:r>
      <w:r>
        <w:rPr>
          <w:rFonts w:ascii="Times New Roman" w:hAnsi="Times New Roman" w:cs="Times New Roman" w:eastAsia="Times New Roman" w:hint="ascii"/>
          <w:sz w:val="21"/>
        </w:rPr>
        <w:tab/>
        <w:t>146</w:t>
      </w:r>
    </w:p>
    <w:p>
      <w:pPr>
        <w:autoSpaceDE w:val="0"/>
        <w:autoSpaceDN w:val="0"/>
        <w:jc w:val="left"/>
        <w:spacing w:before="49" w:after="0" w:lineRule="exact" w:line="263"/>
        <w:ind w:right="0" w:left="117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医学科学</w:t>
      </w:r>
      <w:r>
        <w:rPr>
          <w:rFonts w:ascii="宋体" w:hAnsi="宋体" w:cs="宋体" w:eastAsia="宋体" w:hint="ascii"/>
          <w:sz w:val="21"/>
          <w:spacing w:val="25"/>
        </w:rPr>
        <w:t>部</w:t>
      </w:r>
      <w:r>
        <w:rPr>
          <w:rFonts w:ascii="Times New Roman" w:hAnsi="Times New Roman" w:cs="Times New Roman" w:eastAsia="Times New Roman" w:hint="ascii"/>
          <w:sz w:val="21"/>
        </w:rPr>
        <w:tab/>
        <w:t>147</w:t>
      </w:r>
    </w:p>
    <w:p>
      <w:pPr>
        <w:autoSpaceDE w:val="0"/>
        <w:autoSpaceDN w:val="0"/>
        <w:jc w:val="left"/>
        <w:spacing w:before="49"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优秀青年科学基金项</w:t>
      </w:r>
      <w:r>
        <w:rPr>
          <w:rFonts w:ascii="宋体" w:hAnsi="宋体" w:cs="宋体" w:eastAsia="宋体" w:hint="ascii"/>
          <w:sz w:val="21"/>
          <w:spacing w:val="23"/>
        </w:rPr>
        <w:t>目</w:t>
      </w:r>
      <w:r>
        <w:rPr>
          <w:rFonts w:ascii="Times New Roman" w:hAnsi="Times New Roman" w:cs="Times New Roman" w:eastAsia="Times New Roman" w:hint="ascii"/>
          <w:sz w:val="21"/>
        </w:rPr>
        <w:tab/>
        <w:t>149</w:t>
      </w:r>
    </w:p>
    <w:p>
      <w:pPr>
        <w:autoSpaceDE w:val="0"/>
        <w:autoSpaceDN w:val="0"/>
        <w:jc w:val="left"/>
        <w:spacing w:before="49"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国家杰出青年科学基金项</w:t>
      </w:r>
      <w:r>
        <w:rPr>
          <w:rFonts w:ascii="宋体" w:hAnsi="宋体" w:cs="宋体" w:eastAsia="宋体" w:hint="ascii"/>
          <w:sz w:val="21"/>
          <w:spacing w:val="22"/>
        </w:rPr>
        <w:t>目</w:t>
      </w:r>
      <w:r>
        <w:rPr>
          <w:rFonts w:ascii="Times New Roman" w:hAnsi="Times New Roman" w:cs="Times New Roman" w:eastAsia="Times New Roman" w:hint="ascii"/>
          <w:sz w:val="21"/>
        </w:rPr>
        <w:tab/>
        <w:t>151</w:t>
      </w:r>
    </w:p>
    <w:p>
      <w:pPr>
        <w:autoSpaceDE w:val="0"/>
        <w:autoSpaceDN w:val="0"/>
        <w:jc w:val="left"/>
        <w:spacing w:before="49"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创新研究群体项</w:t>
      </w:r>
      <w:r>
        <w:rPr>
          <w:rFonts w:ascii="宋体" w:hAnsi="宋体" w:cs="宋体" w:eastAsia="宋体" w:hint="ascii"/>
          <w:sz w:val="21"/>
          <w:spacing w:val="24"/>
        </w:rPr>
        <w:t>目</w:t>
      </w:r>
      <w:r>
        <w:rPr>
          <w:rFonts w:ascii="Times New Roman" w:hAnsi="Times New Roman" w:cs="Times New Roman" w:eastAsia="Times New Roman" w:hint="ascii"/>
          <w:sz w:val="21"/>
        </w:rPr>
        <w:tab/>
        <w:t>153</w:t>
      </w:r>
    </w:p>
    <w:p>
      <w:pPr>
        <w:autoSpaceDE w:val="0"/>
        <w:autoSpaceDN w:val="0"/>
        <w:jc w:val="left"/>
        <w:spacing w:before="49"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海外及港澳学者合作研究基金项</w:t>
      </w:r>
      <w:r>
        <w:rPr>
          <w:rFonts w:ascii="宋体" w:hAnsi="宋体" w:cs="宋体" w:eastAsia="宋体" w:hint="ascii"/>
          <w:sz w:val="21"/>
          <w:spacing w:val="20"/>
        </w:rPr>
        <w:t>目</w:t>
      </w:r>
      <w:r>
        <w:rPr>
          <w:rFonts w:ascii="Times New Roman" w:hAnsi="Times New Roman" w:cs="Times New Roman" w:eastAsia="Times New Roman" w:hint="ascii"/>
          <w:sz w:val="21"/>
        </w:rPr>
        <w:tab/>
        <w:t>155</w:t>
      </w:r>
    </w:p>
    <w:p>
      <w:pPr>
        <w:autoSpaceDE w:val="0"/>
        <w:autoSpaceDN w:val="0"/>
        <w:jc w:val="left"/>
        <w:spacing w:before="74" w:after="0" w:lineRule="exact" w:line="225"/>
        <w:ind w:right="0" w:left="1386" w:firstLine="0"/>
        <w:snapToGrid w:val="0"/>
        <w:textAlignment w:val="auto"/>
        <w:tabs>
          <w:tab w:val="left" w:leader="middleDot" w:pos="8675"/>
        </w:tabs>
        <w:rPr>
          <w:rFonts w:ascii="Times New Roman" w:hAnsi="Times New Roman" w:cs="Times New Roman" w:eastAsia="Times New Roman" w:hint="ascii"/>
          <w:sz w:val="18"/>
        </w:rPr>
      </w:pPr>
      <w:r>
        <w:rPr>
          <w:rFonts w:ascii="宋体" w:hAnsi="宋体" w:cs="宋体" w:eastAsia="宋体" w:hint="ascii"/>
          <w:sz w:val="18"/>
        </w:rPr>
        <w:t>两年期资助项</w:t>
      </w:r>
      <w:r>
        <w:rPr>
          <w:rFonts w:ascii="宋体" w:hAnsi="宋体" w:cs="宋体" w:eastAsia="宋体" w:hint="ascii"/>
          <w:sz w:val="18"/>
          <w:spacing w:val="13"/>
        </w:rPr>
        <w:t>目</w:t>
      </w:r>
      <w:r>
        <w:rPr>
          <w:rFonts w:ascii="Times New Roman" w:hAnsi="Times New Roman" w:cs="Times New Roman" w:eastAsia="Times New Roman" w:hint="ascii"/>
          <w:sz w:val="18"/>
        </w:rPr>
        <w:tab/>
        <w:t>155</w:t>
      </w:r>
    </w:p>
    <w:p>
      <w:pPr>
        <w:autoSpaceDE w:val="0"/>
        <w:autoSpaceDN w:val="0"/>
        <w:jc w:val="left"/>
        <w:spacing w:before="79" w:after="0" w:lineRule="exact" w:line="225"/>
        <w:ind w:right="0" w:left="1386" w:firstLine="0"/>
        <w:snapToGrid w:val="0"/>
        <w:textAlignment w:val="auto"/>
        <w:tabs>
          <w:tab w:val="left" w:leader="middleDot" w:pos="8675"/>
        </w:tabs>
        <w:rPr>
          <w:rFonts w:ascii="Times New Roman" w:hAnsi="Times New Roman" w:cs="Times New Roman" w:eastAsia="Times New Roman" w:hint="ascii"/>
          <w:sz w:val="18"/>
        </w:rPr>
      </w:pPr>
      <w:r>
        <w:rPr>
          <w:rFonts w:ascii="宋体" w:hAnsi="宋体" w:cs="宋体" w:eastAsia="宋体" w:hint="ascii"/>
          <w:sz w:val="18"/>
        </w:rPr>
        <w:t>延续资助项</w:t>
      </w:r>
      <w:r>
        <w:rPr>
          <w:rFonts w:ascii="宋体" w:hAnsi="宋体" w:cs="宋体" w:eastAsia="宋体" w:hint="ascii"/>
          <w:sz w:val="18"/>
          <w:spacing w:val="13"/>
        </w:rPr>
        <w:t>目</w:t>
      </w:r>
      <w:r>
        <w:rPr>
          <w:rFonts w:ascii="Times New Roman" w:hAnsi="Times New Roman" w:cs="Times New Roman" w:eastAsia="Times New Roman" w:hint="ascii"/>
          <w:sz w:val="18"/>
        </w:rPr>
        <w:tab/>
        <w:t>156</w:t>
      </w:r>
    </w:p>
    <w:p>
      <w:pPr>
        <w:autoSpaceDE w:val="0"/>
        <w:autoSpaceDN w:val="0"/>
        <w:jc w:val="left"/>
        <w:spacing w:before="55" w:after="0" w:lineRule="exact" w:line="263"/>
        <w:ind w:right="0" w:left="966" w:firstLine="0"/>
        <w:snapToGrid w:val="0"/>
        <w:textAlignment w:val="auto"/>
        <w:tabs>
          <w:tab w:val="left" w:leader="middleDot" w:pos="8631"/>
        </w:tabs>
        <w:rPr>
          <w:rFonts w:ascii="Times New Roman" w:hAnsi="Times New Roman" w:cs="Times New Roman" w:eastAsia="Times New Roman" w:hint="ascii"/>
          <w:sz w:val="21"/>
        </w:rPr>
      </w:pPr>
      <w:r>
        <w:rPr>
          <w:rFonts w:ascii="宋体" w:hAnsi="宋体" w:cs="宋体" w:eastAsia="宋体" w:hint="ascii"/>
          <w:sz w:val="21"/>
        </w:rPr>
        <w:t>国际（地区）合作研究与交流项</w:t>
      </w:r>
      <w:r>
        <w:rPr>
          <w:rFonts w:ascii="宋体" w:hAnsi="宋体" w:cs="宋体" w:eastAsia="宋体" w:hint="ascii"/>
          <w:sz w:val="21"/>
          <w:spacing w:val="20"/>
        </w:rPr>
        <w:t>目</w:t>
      </w:r>
      <w:r>
        <w:rPr>
          <w:rFonts w:ascii="Times New Roman" w:hAnsi="Times New Roman" w:cs="Times New Roman" w:eastAsia="Times New Roman" w:hint="ascii"/>
          <w:sz w:val="21"/>
        </w:rPr>
        <w:tab/>
        <w:t>158</w:t>
      </w:r>
    </w:p>
    <w:p>
      <w:pPr>
        <w:autoSpaceDE w:val="0"/>
        <w:autoSpaceDN w:val="0"/>
        <w:jc w:val="left"/>
        <w:spacing w:before="73" w:after="0" w:lineRule="exact" w:line="225"/>
        <w:ind w:right="0" w:left="1386" w:firstLine="0"/>
        <w:snapToGrid w:val="0"/>
        <w:textAlignment w:val="auto"/>
        <w:tabs>
          <w:tab w:val="left" w:leader="middleDot" w:pos="8675"/>
        </w:tabs>
        <w:rPr>
          <w:rFonts w:ascii="Times New Roman" w:hAnsi="Times New Roman" w:cs="Times New Roman" w:eastAsia="Times New Roman" w:hint="ascii"/>
          <w:sz w:val="18"/>
        </w:rPr>
      </w:pPr>
      <w:r>
        <w:rPr>
          <w:rFonts w:ascii="宋体" w:hAnsi="宋体" w:cs="宋体" w:eastAsia="宋体" w:hint="ascii"/>
          <w:sz w:val="18"/>
        </w:rPr>
        <w:t>重点国际（地区）合作研究项</w:t>
      </w:r>
      <w:r>
        <w:rPr>
          <w:rFonts w:ascii="宋体" w:hAnsi="宋体" w:cs="宋体" w:eastAsia="宋体" w:hint="ascii"/>
          <w:sz w:val="18"/>
          <w:spacing w:val="13"/>
        </w:rPr>
        <w:t>目</w:t>
      </w:r>
      <w:r>
        <w:rPr>
          <w:rFonts w:ascii="Times New Roman" w:hAnsi="Times New Roman" w:cs="Times New Roman" w:eastAsia="Times New Roman" w:hint="ascii"/>
          <w:sz w:val="18"/>
        </w:rPr>
        <w:tab/>
        <w:t>159</w:t>
      </w:r>
    </w:p>
    <w:p>
      <w:pPr>
        <w:autoSpaceDE w:val="0"/>
        <w:autoSpaceDN w:val="0"/>
        <w:jc w:val="left"/>
        <w:spacing w:before="80" w:after="0" w:lineRule="exact" w:line="225"/>
        <w:ind w:right="0" w:left="1386" w:firstLine="0"/>
        <w:snapToGrid w:val="0"/>
        <w:textAlignment w:val="auto"/>
        <w:tabs>
          <w:tab w:val="left" w:leader="middleDot" w:pos="8675"/>
        </w:tabs>
        <w:rPr>
          <w:rFonts w:ascii="Times New Roman" w:hAnsi="Times New Roman" w:cs="Times New Roman" w:eastAsia="Times New Roman" w:hint="ascii"/>
          <w:sz w:val="18"/>
        </w:rPr>
      </w:pPr>
      <w:r>
        <w:rPr>
          <w:rFonts w:ascii="宋体" w:hAnsi="宋体" w:cs="宋体" w:eastAsia="宋体" w:hint="ascii"/>
          <w:sz w:val="18"/>
        </w:rPr>
        <w:t>组织间国际（地区）合作研究与交流项</w:t>
      </w:r>
      <w:r>
        <w:rPr>
          <w:rFonts w:ascii="宋体" w:hAnsi="宋体" w:cs="宋体" w:eastAsia="宋体" w:hint="ascii"/>
          <w:sz w:val="18"/>
          <w:spacing w:val="13"/>
        </w:rPr>
        <w:t>目</w:t>
      </w:r>
      <w:r>
        <w:rPr>
          <w:rFonts w:ascii="Times New Roman" w:hAnsi="Times New Roman" w:cs="Times New Roman" w:eastAsia="Times New Roman" w:hint="ascii"/>
          <w:sz w:val="18"/>
        </w:rPr>
        <w:tab/>
        <w:t>163</w:t>
      </w:r>
    </w:p>
    <w:p>
      <w:pPr>
        <w:autoSpaceDE w:val="0"/>
        <w:autoSpaceDN w:val="0"/>
        <w:jc w:val="left"/>
        <w:spacing w:before="79" w:after="0" w:lineRule="exact" w:line="225"/>
        <w:ind w:right="0" w:left="1386" w:firstLine="0"/>
        <w:snapToGrid w:val="0"/>
        <w:textAlignment w:val="auto"/>
        <w:tabs>
          <w:tab w:val="left" w:leader="middleDot" w:pos="8675"/>
        </w:tabs>
        <w:rPr>
          <w:rFonts w:ascii="Times New Roman" w:hAnsi="Times New Roman" w:cs="Times New Roman" w:eastAsia="Times New Roman" w:hint="ascii"/>
          <w:sz w:val="18"/>
        </w:rPr>
      </w:pPr>
      <w:r>
        <w:rPr>
          <w:rFonts w:ascii="宋体" w:hAnsi="宋体" w:cs="宋体" w:eastAsia="宋体" w:hint="ascii"/>
          <w:sz w:val="18"/>
        </w:rPr>
        <w:t>亚洲、非</w:t>
      </w:r>
      <w:r>
        <w:rPr>
          <w:rFonts w:ascii="宋体" w:hAnsi="宋体" w:cs="宋体" w:eastAsia="宋体" w:hint="ascii"/>
          <w:sz w:val="18"/>
          <w:spacing w:val="13"/>
        </w:rPr>
        <w:t>洲</w:t>
      </w:r>
      <w:r>
        <w:rPr>
          <w:rFonts w:ascii="Times New Roman" w:hAnsi="Times New Roman" w:cs="Times New Roman" w:eastAsia="Times New Roman" w:hint="ascii"/>
          <w:sz w:val="18"/>
        </w:rPr>
        <w:tab/>
        <w:t>165</w:t>
      </w:r>
    </w:p>
    <w:p>
      <w:pPr>
        <w:autoSpaceDE w:val="0"/>
        <w:autoSpaceDN w:val="0"/>
        <w:jc w:val="left"/>
        <w:spacing w:before="79" w:after="0" w:lineRule="exact" w:line="225"/>
        <w:ind w:right="0" w:left="1386" w:firstLine="0"/>
        <w:snapToGrid w:val="0"/>
        <w:textAlignment w:val="auto"/>
        <w:tabs>
          <w:tab w:val="left" w:leader="middleDot" w:pos="8675"/>
        </w:tabs>
        <w:rPr>
          <w:rFonts w:ascii="Times New Roman" w:hAnsi="Times New Roman" w:cs="Times New Roman" w:eastAsia="Times New Roman" w:hint="ascii"/>
          <w:sz w:val="18"/>
        </w:rPr>
      </w:pPr>
      <w:r>
        <w:rPr>
          <w:rFonts w:ascii="宋体" w:hAnsi="宋体" w:cs="宋体" w:eastAsia="宋体" w:hint="ascii"/>
          <w:sz w:val="18"/>
        </w:rPr>
        <w:t>国际科学组</w:t>
      </w:r>
      <w:r>
        <w:rPr>
          <w:rFonts w:ascii="宋体" w:hAnsi="宋体" w:cs="宋体" w:eastAsia="宋体" w:hint="ascii"/>
          <w:sz w:val="18"/>
          <w:spacing w:val="13"/>
        </w:rPr>
        <w:t>织</w:t>
      </w:r>
      <w:r>
        <w:rPr>
          <w:rFonts w:ascii="Times New Roman" w:hAnsi="Times New Roman" w:cs="Times New Roman" w:eastAsia="Times New Roman" w:hint="ascii"/>
          <w:sz w:val="18"/>
        </w:rPr>
        <w:tab/>
        <w:t>168</w:t>
      </w:r>
    </w:p>
    <w:p>
      <w:pPr>
        <w:autoSpaceDE w:val="0"/>
        <w:autoSpaceDN w:val="0"/>
        <w:jc w:val="left"/>
        <w:spacing w:before="80" w:after="0" w:lineRule="exact" w:line="225"/>
        <w:ind w:right="0" w:left="1386" w:firstLine="0"/>
        <w:snapToGrid w:val="0"/>
        <w:textAlignment w:val="auto"/>
        <w:tabs>
          <w:tab w:val="left" w:leader="middleDot" w:pos="8675"/>
        </w:tabs>
        <w:rPr>
          <w:rFonts w:ascii="Times New Roman" w:hAnsi="Times New Roman" w:cs="Times New Roman" w:eastAsia="Times New Roman" w:hint="ascii"/>
          <w:sz w:val="18"/>
        </w:rPr>
      </w:pPr>
      <w:r>
        <w:rPr>
          <w:rFonts w:ascii="宋体" w:hAnsi="宋体" w:cs="宋体" w:eastAsia="宋体" w:hint="ascii"/>
          <w:sz w:val="18"/>
        </w:rPr>
        <w:t>美洲、大洋</w:t>
      </w:r>
      <w:r>
        <w:rPr>
          <w:rFonts w:ascii="宋体" w:hAnsi="宋体" w:cs="宋体" w:eastAsia="宋体" w:hint="ascii"/>
          <w:sz w:val="18"/>
          <w:spacing w:val="13"/>
        </w:rPr>
        <w:t>洲</w:t>
      </w:r>
      <w:r>
        <w:rPr>
          <w:rFonts w:ascii="Times New Roman" w:hAnsi="Times New Roman" w:cs="Times New Roman" w:eastAsia="Times New Roman" w:hint="ascii"/>
          <w:sz w:val="18"/>
        </w:rPr>
        <w:tab/>
        <w:t>170</w:t>
      </w:r>
    </w:p>
    <w:p>
      <w:pPr>
        <w:autoSpaceDE w:val="0"/>
        <w:autoSpaceDN w:val="0"/>
        <w:jc w:val="left"/>
        <w:spacing w:before="345" w:after="0" w:lineRule="exact" w:line="225"/>
        <w:ind w:right="0" w:left="8322"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xvii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0" w:lineRule="exact" w:line="225"/>
        <w:ind w:right="0" w:left="420" w:firstLine="0"/>
        <w:snapToGrid w:val="0"/>
        <w:textAlignment w:val="auto"/>
        <w:tabs>
          <w:tab w:val="left" w:leader="middleDot" w:pos="7709"/>
        </w:tabs>
        <w:rPr>
          <w:rFonts w:ascii="Times New Roman" w:hAnsi="Times New Roman" w:cs="Times New Roman" w:eastAsia="Times New Roman" w:hint="ascii"/>
          <w:sz w:val="18"/>
        </w:rPr>
      </w:pPr>
      <w:r>
        <w:rPr>
          <w:rFonts w:ascii="宋体" w:hAnsi="宋体" w:cs="宋体" w:eastAsia="宋体" w:hint="ascii"/>
          <w:sz w:val="18"/>
        </w:rPr>
        <w:t>欧</w:t>
      </w:r>
      <w:r>
        <w:rPr>
          <w:rFonts w:ascii="宋体" w:hAnsi="宋体" w:cs="宋体" w:eastAsia="宋体" w:hint="ascii"/>
          <w:sz w:val="18"/>
          <w:spacing w:val="13"/>
        </w:rPr>
        <w:t>洲</w:t>
      </w:r>
      <w:r>
        <w:rPr>
          <w:rFonts w:ascii="Times New Roman" w:hAnsi="Times New Roman" w:cs="Times New Roman" w:eastAsia="Times New Roman" w:hint="ascii"/>
          <w:sz w:val="18"/>
        </w:rPr>
        <w:tab/>
        <w:t>173</w:t>
      </w:r>
      <w:r>
        <w:rPr>
          <w:rFonts w:ascii="Times New Roman" w:hAnsi="Times New Roman" w:cs="Times New Roman" w:eastAsia="Times New Roman" w:hint="ascii"/>
          <w:sz w:val="18"/>
        </w:rPr>
        <mc:AlternateContent>
          <mc:Choice Requires="wps">
            <w:drawing>
              <wp:anchor distL="0" distR="0" distT="0" distB="0" simplePos="0" behindDoc="1" relativeHeight="63" locked="0" layoutInCell="1" allowOverlap="1">
                <wp:simplePos x="0" y="0"/>
                <wp:positionH relativeFrom="page">
                  <wp:posOffset>938530</wp:posOffset>
                </wp:positionH>
                <wp:positionV relativeFrom="page">
                  <wp:posOffset>805815</wp:posOffset>
                </wp:positionV>
                <wp:extent cx="5076190" cy="0"/>
                <wp:wrapNone/>
                <wp:docPr id="1090" name="109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93728;width:399.70pt;" id="109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80" w:after="0" w:lineRule="exact" w:line="225"/>
        <w:ind w:right="0" w:left="420" w:firstLine="0"/>
        <w:snapToGrid w:val="0"/>
        <w:textAlignment w:val="auto"/>
        <w:tabs>
          <w:tab w:val="left" w:leader="middleDot" w:pos="7709"/>
        </w:tabs>
        <w:rPr>
          <w:rFonts w:ascii="Times New Roman" w:hAnsi="Times New Roman" w:cs="Times New Roman" w:eastAsia="Times New Roman" w:hint="ascii"/>
          <w:sz w:val="18"/>
        </w:rPr>
      </w:pPr>
      <w:r>
        <w:rPr>
          <w:rFonts w:ascii="宋体" w:hAnsi="宋体" w:cs="宋体" w:eastAsia="宋体" w:hint="ascii"/>
          <w:sz w:val="18"/>
        </w:rPr>
        <w:t>港澳台地</w:t>
      </w:r>
      <w:r>
        <w:rPr>
          <w:rFonts w:ascii="宋体" w:hAnsi="宋体" w:cs="宋体" w:eastAsia="宋体" w:hint="ascii"/>
          <w:sz w:val="18"/>
          <w:spacing w:val="13"/>
        </w:rPr>
        <w:t>区</w:t>
      </w:r>
      <w:r>
        <w:rPr>
          <w:rFonts w:ascii="Times New Roman" w:hAnsi="Times New Roman" w:cs="Times New Roman" w:eastAsia="Times New Roman" w:hint="ascii"/>
          <w:sz w:val="18"/>
        </w:rPr>
        <w:tab/>
        <w:t>180</w:t>
      </w:r>
    </w:p>
    <w:p>
      <w:pPr>
        <w:autoSpaceDE w:val="0"/>
        <w:autoSpaceDN w:val="0"/>
        <w:jc w:val="left"/>
        <w:spacing w:before="79" w:after="0" w:lineRule="exact" w:line="225"/>
        <w:ind w:right="0" w:left="420" w:firstLine="0"/>
        <w:snapToGrid w:val="0"/>
        <w:textAlignment w:val="auto"/>
        <w:tabs>
          <w:tab w:val="left" w:leader="middleDot" w:pos="7709"/>
        </w:tabs>
        <w:rPr>
          <w:rFonts w:ascii="Times New Roman" w:hAnsi="Times New Roman" w:cs="Times New Roman" w:eastAsia="Times New Roman" w:hint="ascii"/>
          <w:sz w:val="18"/>
        </w:rPr>
      </w:pPr>
      <w:r>
        <w:rPr>
          <w:rFonts w:ascii="宋体" w:hAnsi="宋体" w:cs="宋体" w:eastAsia="宋体" w:hint="ascii"/>
          <w:sz w:val="18"/>
        </w:rPr>
        <w:t>中德科学中</w:t>
      </w:r>
      <w:r>
        <w:rPr>
          <w:rFonts w:ascii="宋体" w:hAnsi="宋体" w:cs="宋体" w:eastAsia="宋体" w:hint="ascii"/>
          <w:sz w:val="18"/>
          <w:spacing w:val="13"/>
        </w:rPr>
        <w:t>心</w:t>
      </w:r>
      <w:r>
        <w:rPr>
          <w:rFonts w:ascii="Times New Roman" w:hAnsi="Times New Roman" w:cs="Times New Roman" w:eastAsia="Times New Roman" w:hint="ascii"/>
          <w:sz w:val="18"/>
        </w:rPr>
        <w:tab/>
        <w:t>181</w:t>
      </w:r>
    </w:p>
    <w:p>
      <w:pPr>
        <w:autoSpaceDE w:val="0"/>
        <w:autoSpaceDN w:val="0"/>
        <w:jc w:val="left"/>
        <w:spacing w:before="79" w:after="0" w:lineRule="exact" w:line="225"/>
        <w:ind w:right="0" w:left="420" w:firstLine="0"/>
        <w:snapToGrid w:val="0"/>
        <w:textAlignment w:val="auto"/>
        <w:tabs>
          <w:tab w:val="left" w:leader="middleDot" w:pos="7710"/>
        </w:tabs>
        <w:rPr>
          <w:rFonts w:ascii="Times New Roman" w:hAnsi="Times New Roman" w:cs="Times New Roman" w:eastAsia="Times New Roman" w:hint="ascii"/>
          <w:sz w:val="18"/>
        </w:rPr>
      </w:pPr>
      <w:r>
        <w:rPr>
          <w:rFonts w:ascii="宋体" w:hAnsi="宋体" w:cs="宋体" w:eastAsia="宋体" w:hint="ascii"/>
          <w:sz w:val="18"/>
        </w:rPr>
        <w:t>外国青年学者研究基金项</w:t>
      </w:r>
      <w:r>
        <w:rPr>
          <w:rFonts w:ascii="宋体" w:hAnsi="宋体" w:cs="宋体" w:eastAsia="宋体" w:hint="ascii"/>
          <w:sz w:val="18"/>
          <w:spacing w:val="13"/>
        </w:rPr>
        <w:t>目</w:t>
      </w:r>
      <w:r>
        <w:rPr>
          <w:rFonts w:ascii="Times New Roman" w:hAnsi="Times New Roman" w:cs="Times New Roman" w:eastAsia="Times New Roman" w:hint="ascii"/>
          <w:sz w:val="18"/>
        </w:rPr>
        <w:tab/>
        <w:t>183</w:t>
      </w:r>
    </w:p>
    <w:p>
      <w:pPr>
        <w:autoSpaceDE w:val="0"/>
        <w:autoSpaceDN w:val="0"/>
        <w:jc w:val="left"/>
        <w:spacing w:before="56" w:after="0" w:lineRule="exact" w:line="263"/>
        <w:ind w:right="0" w:left="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联合基金项</w:t>
      </w:r>
      <w:r>
        <w:rPr>
          <w:rFonts w:ascii="宋体" w:hAnsi="宋体" w:cs="宋体" w:eastAsia="宋体" w:hint="ascii"/>
          <w:sz w:val="21"/>
          <w:spacing w:val="25"/>
        </w:rPr>
        <w:t>目</w:t>
      </w:r>
      <w:r>
        <w:rPr>
          <w:rFonts w:ascii="Times New Roman" w:hAnsi="Times New Roman" w:cs="Times New Roman" w:eastAsia="Times New Roman" w:hint="ascii"/>
          <w:sz w:val="21"/>
        </w:rPr>
        <w:tab/>
        <w:t>184</w:t>
      </w:r>
    </w:p>
    <w:p>
      <w:pPr>
        <w:autoSpaceDE w:val="0"/>
        <w:autoSpaceDN w:val="0"/>
        <w:jc w:val="left"/>
        <w:spacing w:before="49"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NSA</w:t>
      </w:r>
      <w:r>
        <w:rPr>
          <w:rFonts w:ascii="Times New Roman" w:hAnsi="Times New Roman" w:cs="Times New Roman" w:eastAsia="Times New Roman" w:hint="ascii"/>
          <w:sz w:val="21"/>
          <w:spacing w:val="53"/>
        </w:rPr>
        <w:t>F</w:t>
      </w:r>
      <w:r>
        <w:rPr>
          <w:rFonts w:ascii="宋体" w:hAnsi="宋体" w:cs="宋体" w:eastAsia="宋体" w:hint="ascii"/>
          <w:sz w:val="21"/>
        </w:rPr>
        <w:t>联合基</w:t>
      </w:r>
      <w:r>
        <w:rPr>
          <w:rFonts w:ascii="宋体" w:hAnsi="宋体" w:cs="宋体" w:eastAsia="宋体" w:hint="ascii"/>
          <w:sz w:val="21"/>
          <w:spacing w:val="10"/>
        </w:rPr>
        <w:t>金</w:t>
      </w:r>
      <w:r>
        <w:rPr>
          <w:rFonts w:ascii="Times New Roman" w:hAnsi="Times New Roman" w:cs="Times New Roman" w:eastAsia="Times New Roman" w:hint="ascii"/>
          <w:sz w:val="21"/>
        </w:rPr>
        <w:tab/>
        <w:t>186</w:t>
      </w:r>
    </w:p>
    <w:p>
      <w:pPr>
        <w:autoSpaceDE w:val="0"/>
        <w:autoSpaceDN w:val="0"/>
        <w:jc w:val="left"/>
        <w:spacing w:before="57"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天文联合基</w:t>
      </w:r>
      <w:r>
        <w:rPr>
          <w:rFonts w:ascii="宋体" w:hAnsi="宋体" w:cs="宋体" w:eastAsia="宋体" w:hint="ascii"/>
          <w:sz w:val="21"/>
          <w:spacing w:val="25"/>
        </w:rPr>
        <w:t>金</w:t>
      </w:r>
      <w:r>
        <w:rPr>
          <w:rFonts w:ascii="Times New Roman" w:hAnsi="Times New Roman" w:cs="Times New Roman" w:eastAsia="Times New Roman" w:hint="ascii"/>
          <w:sz w:val="21"/>
        </w:rPr>
        <w:tab/>
        <w:t>189</w:t>
      </w:r>
    </w:p>
    <w:p>
      <w:pPr>
        <w:autoSpaceDE w:val="0"/>
        <w:autoSpaceDN w:val="0"/>
        <w:jc w:val="left"/>
        <w:spacing w:before="49"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大科学装置科学研究联合基</w:t>
      </w:r>
      <w:r>
        <w:rPr>
          <w:rFonts w:ascii="宋体" w:hAnsi="宋体" w:cs="宋体" w:eastAsia="宋体" w:hint="ascii"/>
          <w:sz w:val="21"/>
          <w:spacing w:val="20"/>
        </w:rPr>
        <w:t>金</w:t>
      </w:r>
      <w:r>
        <w:rPr>
          <w:rFonts w:ascii="Times New Roman" w:hAnsi="Times New Roman" w:cs="Times New Roman" w:eastAsia="Times New Roman" w:hint="ascii"/>
          <w:sz w:val="21"/>
        </w:rPr>
        <w:tab/>
        <w:t>191</w:t>
      </w:r>
    </w:p>
    <w:p>
      <w:pPr>
        <w:autoSpaceDE w:val="0"/>
        <w:autoSpaceDN w:val="0"/>
        <w:jc w:val="left"/>
        <w:spacing w:before="49"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钢铁联合研究基</w:t>
      </w:r>
      <w:r>
        <w:rPr>
          <w:rFonts w:ascii="宋体" w:hAnsi="宋体" w:cs="宋体" w:eastAsia="宋体" w:hint="ascii"/>
          <w:sz w:val="21"/>
          <w:spacing w:val="23"/>
        </w:rPr>
        <w:t>金</w:t>
      </w:r>
      <w:r>
        <w:rPr>
          <w:rFonts w:ascii="Times New Roman" w:hAnsi="Times New Roman" w:cs="Times New Roman" w:eastAsia="Times New Roman" w:hint="ascii"/>
          <w:sz w:val="21"/>
        </w:rPr>
        <w:tab/>
        <w:t>194</w:t>
      </w:r>
    </w:p>
    <w:p>
      <w:pPr>
        <w:autoSpaceDE w:val="0"/>
        <w:autoSpaceDN w:val="0"/>
        <w:jc w:val="left"/>
        <w:spacing w:before="49"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民航联合研究基</w:t>
      </w:r>
      <w:r>
        <w:rPr>
          <w:rFonts w:ascii="宋体" w:hAnsi="宋体" w:cs="宋体" w:eastAsia="宋体" w:hint="ascii"/>
          <w:sz w:val="21"/>
          <w:spacing w:val="23"/>
        </w:rPr>
        <w:t>金</w:t>
      </w:r>
      <w:r>
        <w:rPr>
          <w:rFonts w:ascii="Times New Roman" w:hAnsi="Times New Roman" w:cs="Times New Roman" w:eastAsia="Times New Roman" w:hint="ascii"/>
          <w:sz w:val="21"/>
        </w:rPr>
        <w:tab/>
        <w:t>196</w:t>
      </w:r>
    </w:p>
    <w:p>
      <w:pPr>
        <w:autoSpaceDE w:val="0"/>
        <w:autoSpaceDN w:val="0"/>
        <w:jc w:val="left"/>
        <w:spacing w:before="49"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通用技术基础研究联合基</w:t>
      </w:r>
      <w:r>
        <w:rPr>
          <w:rFonts w:ascii="宋体" w:hAnsi="宋体" w:cs="宋体" w:eastAsia="宋体" w:hint="ascii"/>
          <w:sz w:val="21"/>
          <w:spacing w:val="19"/>
        </w:rPr>
        <w:t>金</w:t>
      </w:r>
      <w:r>
        <w:rPr>
          <w:rFonts w:ascii="Times New Roman" w:hAnsi="Times New Roman" w:cs="Times New Roman" w:eastAsia="Times New Roman" w:hint="ascii"/>
          <w:sz w:val="21"/>
        </w:rPr>
        <w:tab/>
        <w:t>197</w:t>
      </w:r>
    </w:p>
    <w:p>
      <w:pPr>
        <w:autoSpaceDE w:val="0"/>
        <w:autoSpaceDN w:val="0"/>
        <w:jc w:val="left"/>
        <w:spacing w:before="57"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中国汽车产业创新发展联合基</w:t>
      </w:r>
      <w:r>
        <w:rPr>
          <w:rFonts w:ascii="宋体" w:hAnsi="宋体" w:cs="宋体" w:eastAsia="宋体" w:hint="ascii"/>
          <w:sz w:val="21"/>
          <w:spacing w:val="20"/>
        </w:rPr>
        <w:t>金</w:t>
      </w:r>
      <w:r>
        <w:rPr>
          <w:rFonts w:ascii="Times New Roman" w:hAnsi="Times New Roman" w:cs="Times New Roman" w:eastAsia="Times New Roman" w:hint="ascii"/>
          <w:sz w:val="21"/>
        </w:rPr>
        <w:tab/>
        <w:t>201</w:t>
      </w:r>
    </w:p>
    <w:p>
      <w:pPr>
        <w:autoSpaceDE w:val="0"/>
        <w:autoSpaceDN w:val="0"/>
        <w:jc w:val="left"/>
        <w:spacing w:before="49"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雅砻江联合基</w:t>
      </w:r>
      <w:r>
        <w:rPr>
          <w:rFonts w:ascii="宋体" w:hAnsi="宋体" w:cs="宋体" w:eastAsia="宋体" w:hint="ascii"/>
          <w:sz w:val="21"/>
          <w:spacing w:val="24"/>
        </w:rPr>
        <w:t>金</w:t>
      </w:r>
      <w:r>
        <w:rPr>
          <w:rFonts w:ascii="Times New Roman" w:hAnsi="Times New Roman" w:cs="Times New Roman" w:eastAsia="Times New Roman" w:hint="ascii"/>
          <w:sz w:val="21"/>
        </w:rPr>
        <w:tab/>
        <w:t>203</w:t>
      </w:r>
    </w:p>
    <w:p>
      <w:pPr>
        <w:autoSpaceDE w:val="0"/>
        <w:autoSpaceDN w:val="0"/>
        <w:jc w:val="left"/>
        <w:spacing w:before="49"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智能电网联合基</w:t>
      </w:r>
      <w:r>
        <w:rPr>
          <w:rFonts w:ascii="宋体" w:hAnsi="宋体" w:cs="宋体" w:eastAsia="宋体" w:hint="ascii"/>
          <w:sz w:val="21"/>
          <w:spacing w:val="23"/>
        </w:rPr>
        <w:t>金</w:t>
      </w:r>
      <w:r>
        <w:rPr>
          <w:rFonts w:ascii="Times New Roman" w:hAnsi="Times New Roman" w:cs="Times New Roman" w:eastAsia="Times New Roman" w:hint="ascii"/>
          <w:sz w:val="21"/>
        </w:rPr>
        <w:tab/>
        <w:t>206</w:t>
      </w:r>
    </w:p>
    <w:p>
      <w:pPr>
        <w:autoSpaceDE w:val="0"/>
        <w:autoSpaceDN w:val="0"/>
        <w:jc w:val="left"/>
        <w:spacing w:before="49"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广东联合基</w:t>
      </w:r>
      <w:r>
        <w:rPr>
          <w:rFonts w:ascii="宋体" w:hAnsi="宋体" w:cs="宋体" w:eastAsia="宋体" w:hint="ascii"/>
          <w:sz w:val="21"/>
          <w:spacing w:val="23"/>
        </w:rPr>
        <w:t>金</w:t>
      </w:r>
      <w:r>
        <w:rPr>
          <w:rFonts w:ascii="Times New Roman" w:hAnsi="Times New Roman" w:cs="Times New Roman" w:eastAsia="Times New Roman" w:hint="ascii"/>
          <w:sz w:val="21"/>
        </w:rPr>
        <w:tab/>
        <w:t>210</w:t>
      </w:r>
    </w:p>
    <w:p>
      <w:pPr>
        <w:autoSpaceDE w:val="0"/>
        <w:autoSpaceDN w:val="0"/>
        <w:jc w:val="left"/>
        <w:spacing w:before="57"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云南联合基</w:t>
      </w:r>
      <w:r>
        <w:rPr>
          <w:rFonts w:ascii="宋体" w:hAnsi="宋体" w:cs="宋体" w:eastAsia="宋体" w:hint="ascii"/>
          <w:sz w:val="21"/>
          <w:spacing w:val="23"/>
        </w:rPr>
        <w:t>金</w:t>
      </w:r>
      <w:r>
        <w:rPr>
          <w:rFonts w:ascii="Times New Roman" w:hAnsi="Times New Roman" w:cs="Times New Roman" w:eastAsia="Times New Roman" w:hint="ascii"/>
          <w:sz w:val="21"/>
        </w:rPr>
        <w:tab/>
        <w:t>214</w:t>
      </w:r>
    </w:p>
    <w:p>
      <w:pPr>
        <w:autoSpaceDE w:val="0"/>
        <w:autoSpaceDN w:val="0"/>
        <w:jc w:val="left"/>
        <w:spacing w:before="57"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新疆联合基</w:t>
      </w:r>
      <w:r>
        <w:rPr>
          <w:rFonts w:ascii="宋体" w:hAnsi="宋体" w:cs="宋体" w:eastAsia="宋体" w:hint="ascii"/>
          <w:sz w:val="21"/>
          <w:spacing w:val="23"/>
        </w:rPr>
        <w:t>金</w:t>
      </w:r>
      <w:r>
        <w:rPr>
          <w:rFonts w:ascii="Times New Roman" w:hAnsi="Times New Roman" w:cs="Times New Roman" w:eastAsia="Times New Roman" w:hint="ascii"/>
          <w:sz w:val="21"/>
        </w:rPr>
        <w:tab/>
        <w:t>219</w:t>
      </w:r>
    </w:p>
    <w:p>
      <w:pPr>
        <w:autoSpaceDE w:val="0"/>
        <w:autoSpaceDN w:val="0"/>
        <w:jc w:val="left"/>
        <w:spacing w:before="57"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河南联合基</w:t>
      </w:r>
      <w:r>
        <w:rPr>
          <w:rFonts w:ascii="宋体" w:hAnsi="宋体" w:cs="宋体" w:eastAsia="宋体" w:hint="ascii"/>
          <w:sz w:val="21"/>
          <w:spacing w:val="23"/>
        </w:rPr>
        <w:t>金</w:t>
      </w:r>
      <w:r>
        <w:rPr>
          <w:rFonts w:ascii="Times New Roman" w:hAnsi="Times New Roman" w:cs="Times New Roman" w:eastAsia="Times New Roman" w:hint="ascii"/>
          <w:sz w:val="21"/>
        </w:rPr>
        <w:tab/>
        <w:t>222</w:t>
      </w:r>
    </w:p>
    <w:p>
      <w:pPr>
        <w:autoSpaceDE w:val="0"/>
        <w:autoSpaceDN w:val="0"/>
        <w:jc w:val="left"/>
        <w:spacing w:before="57" w:after="0" w:lineRule="exact" w:line="263"/>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促进海峡两岸科技合作联合基</w:t>
      </w:r>
      <w:r>
        <w:rPr>
          <w:rFonts w:ascii="宋体" w:hAnsi="宋体" w:cs="宋体" w:eastAsia="宋体" w:hint="ascii"/>
          <w:sz w:val="21"/>
          <w:spacing w:val="20"/>
        </w:rPr>
        <w:t>金</w:t>
      </w:r>
      <w:r>
        <w:rPr>
          <w:rFonts w:ascii="Times New Roman" w:hAnsi="Times New Roman" w:cs="Times New Roman" w:eastAsia="Times New Roman" w:hint="ascii"/>
          <w:sz w:val="21"/>
        </w:rPr>
        <w:tab/>
        <w:t>225</w:t>
      </w:r>
    </w:p>
    <w:p>
      <w:pPr>
        <w:autoSpaceDE w:val="0"/>
        <w:autoSpaceDN w:val="0"/>
        <w:jc w:val="left"/>
        <w:spacing w:before="49"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山东联合基</w:t>
      </w:r>
      <w:r>
        <w:rPr>
          <w:rFonts w:ascii="宋体" w:hAnsi="宋体" w:cs="宋体" w:eastAsia="宋体" w:hint="ascii"/>
          <w:sz w:val="21"/>
          <w:spacing w:val="23"/>
        </w:rPr>
        <w:t>金</w:t>
      </w:r>
      <w:r>
        <w:rPr>
          <w:rFonts w:ascii="Times New Roman" w:hAnsi="Times New Roman" w:cs="Times New Roman" w:eastAsia="Times New Roman" w:hint="ascii"/>
          <w:sz w:val="21"/>
        </w:rPr>
        <w:tab/>
        <w:t>227</w:t>
      </w:r>
    </w:p>
    <w:p>
      <w:pPr>
        <w:autoSpaceDE w:val="0"/>
        <w:autoSpaceDN w:val="0"/>
        <w:jc w:val="left"/>
        <w:spacing w:before="57"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辽宁联合基</w:t>
      </w:r>
      <w:r>
        <w:rPr>
          <w:rFonts w:ascii="宋体" w:hAnsi="宋体" w:cs="宋体" w:eastAsia="宋体" w:hint="ascii"/>
          <w:sz w:val="21"/>
          <w:spacing w:val="23"/>
        </w:rPr>
        <w:t>金</w:t>
      </w:r>
      <w:r>
        <w:rPr>
          <w:rFonts w:ascii="Times New Roman" w:hAnsi="Times New Roman" w:cs="Times New Roman" w:eastAsia="Times New Roman" w:hint="ascii"/>
          <w:sz w:val="21"/>
        </w:rPr>
        <w:tab/>
        <w:t>231</w:t>
      </w:r>
    </w:p>
    <w:p>
      <w:pPr>
        <w:autoSpaceDE w:val="0"/>
        <w:autoSpaceDN w:val="0"/>
        <w:jc w:val="left"/>
        <w:spacing w:before="57"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浙江两化融合联合基</w:t>
      </w:r>
      <w:r>
        <w:rPr>
          <w:rFonts w:ascii="宋体" w:hAnsi="宋体" w:cs="宋体" w:eastAsia="宋体" w:hint="ascii"/>
          <w:sz w:val="21"/>
          <w:spacing w:val="20"/>
        </w:rPr>
        <w:t>金</w:t>
      </w:r>
      <w:r>
        <w:rPr>
          <w:rFonts w:ascii="Times New Roman" w:hAnsi="Times New Roman" w:cs="Times New Roman" w:eastAsia="Times New Roman" w:hint="ascii"/>
          <w:sz w:val="21"/>
        </w:rPr>
        <w:tab/>
        <w:t>233</w:t>
      </w:r>
    </w:p>
    <w:p>
      <w:pPr>
        <w:autoSpaceDE w:val="0"/>
        <w:autoSpaceDN w:val="0"/>
        <w:jc w:val="left"/>
        <w:spacing w:before="57" w:after="0" w:lineRule="auto" w:line="240"/>
        <w:ind w:right="0" w:left="210" w:firstLine="0"/>
        <w:snapToGrid w:val="0"/>
        <w:textAlignment w:val="auto"/>
        <w:tabs>
          <w:tab w:val="left" w:leader="middleDot" w:pos="7665"/>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山西煤基低碳联合基</w:t>
      </w:r>
      <w:r>
        <w:rPr>
          <w:rFonts w:ascii="宋体" w:hAnsi="宋体" w:cs="宋体" w:eastAsia="宋体" w:hint="ascii"/>
          <w:sz w:val="21"/>
          <w:spacing w:val="20"/>
        </w:rPr>
        <w:t>金</w:t>
      </w:r>
      <w:r>
        <w:rPr>
          <w:rFonts w:ascii="Times New Roman" w:hAnsi="Times New Roman" w:cs="Times New Roman" w:eastAsia="Times New Roman" w:hint="ascii"/>
          <w:sz w:val="21"/>
        </w:rPr>
        <w:tab/>
        <w:t>236</w:t>
      </w:r>
    </w:p>
    <w:p>
      <w:pPr>
        <w:autoSpaceDE w:val="0"/>
        <w:autoSpaceDN w:val="0"/>
        <w:jc w:val="left"/>
        <w:spacing w:before="57" w:after="0" w:lineRule="auto" w:line="240"/>
        <w:ind w:right="0" w:left="210" w:firstLine="0"/>
        <w:snapToGrid w:val="0"/>
        <w:textAlignment w:val="auto"/>
        <w:tabs>
          <w:tab w:val="left" w:leader="middleDot" w:pos="7667"/>
        </w:tabs>
        <w:rPr>
          <w:rFonts w:ascii="Times New Roman" w:hAnsi="Times New Roman" w:cs="Times New Roman" w:eastAsia="Times New Roman"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广东大数据科学研究中心项</w:t>
      </w:r>
      <w:r>
        <w:rPr>
          <w:rFonts w:ascii="宋体" w:hAnsi="宋体" w:cs="宋体" w:eastAsia="宋体" w:hint="ascii"/>
          <w:sz w:val="21"/>
          <w:spacing w:val="19"/>
        </w:rPr>
        <w:t>目</w:t>
      </w:r>
      <w:r>
        <w:rPr>
          <w:rFonts w:ascii="Times New Roman" w:hAnsi="Times New Roman" w:cs="Times New Roman" w:eastAsia="Times New Roman" w:hint="ascii"/>
          <w:sz w:val="21"/>
        </w:rPr>
        <w:tab/>
        <w:t>238</w:t>
      </w:r>
    </w:p>
    <w:p>
      <w:pPr>
        <w:autoSpaceDE w:val="0"/>
        <w:autoSpaceDN w:val="0"/>
        <w:jc w:val="left"/>
        <w:spacing w:before="57" w:after="0" w:lineRule="auto" w:line="240"/>
        <w:ind w:right="0" w:left="210" w:firstLine="0"/>
        <w:snapToGrid w:val="0"/>
        <w:textAlignment w:val="auto"/>
        <w:tabs>
          <w:tab w:val="left" w:leader="middleDot" w:pos="7667"/>
        </w:tabs>
        <w:rPr>
          <w:rFonts w:ascii="Times New Roman" w:hAnsi="Times New Roman" w:cs="Times New Roman" w:eastAsia="Times New Roman" w:hint="ascii"/>
          <w:sz w:val="21"/>
        </w:rPr>
      </w:pPr>
      <w:r>
        <w:rPr>
          <w:rFonts w:ascii="Times New Roman" w:hAnsi="Times New Roman" w:cs="Times New Roman" w:eastAsia="Times New Roman" w:hint="ascii"/>
          <w:sz w:val="21"/>
          <w:spacing w:val="-3"/>
        </w:rPr>
        <w:t>NS</w:t>
      </w:r>
      <w:r>
        <w:rPr>
          <w:rFonts w:ascii="Times New Roman" w:hAnsi="Times New Roman" w:cs="Times New Roman" w:eastAsia="Times New Roman" w:hint="ascii"/>
          <w:sz w:val="21"/>
          <w:spacing w:val="-4"/>
        </w:rPr>
        <w:t>F</w:t>
      </w:r>
      <w:r>
        <w:rPr>
          <w:rFonts w:ascii="Times New Roman" w:hAnsi="Times New Roman" w:cs="Times New Roman" w:eastAsia="Times New Roman" w:hint="ascii"/>
          <w:sz w:val="21"/>
          <w:spacing w:val="-3"/>
        </w:rPr>
        <w:t>C</w:t>
      </w:r>
      <w:r>
        <w:rPr>
          <w:rFonts w:ascii="宋体" w:hAnsi="宋体" w:cs="宋体" w:eastAsia="宋体" w:hint="ascii"/>
          <w:sz w:val="21"/>
          <w:spacing w:val="-3"/>
        </w:rPr>
        <w:t>-</w:t>
      </w:r>
      <w:r>
        <w:rPr>
          <w:rFonts w:ascii="宋体" w:hAnsi="宋体" w:cs="宋体" w:eastAsia="宋体" w:hint="ascii"/>
          <w:sz w:val="21"/>
          <w:spacing w:val="-3"/>
        </w:rPr>
        <w:t>深圳</w:t>
      </w:r>
      <w:r>
        <w:rPr>
          <w:rFonts w:ascii="宋体" w:hAnsi="宋体" w:cs="宋体" w:eastAsia="宋体" w:hint="ascii"/>
          <w:sz w:val="21"/>
          <w:spacing w:val="-2"/>
        </w:rPr>
        <w:t>机</w:t>
      </w:r>
      <w:r>
        <w:rPr>
          <w:rFonts w:ascii="宋体" w:hAnsi="宋体" w:cs="宋体" w:eastAsia="宋体" w:hint="ascii"/>
          <w:sz w:val="21"/>
          <w:spacing w:val="-3"/>
        </w:rPr>
        <w:t>器人基础研究中心项</w:t>
      </w:r>
      <w:r>
        <w:rPr>
          <w:rFonts w:ascii="宋体" w:hAnsi="宋体" w:cs="宋体" w:eastAsia="宋体" w:hint="ascii"/>
          <w:sz w:val="21"/>
          <w:spacing w:val="27"/>
        </w:rPr>
        <w:t>目</w:t>
      </w:r>
      <w:r>
        <w:rPr>
          <w:rFonts w:ascii="Times New Roman" w:hAnsi="Times New Roman" w:cs="Times New Roman" w:eastAsia="Times New Roman" w:hint="ascii"/>
          <w:sz w:val="21"/>
        </w:rPr>
        <w:tab/>
        <w:t>244</w:t>
      </w:r>
    </w:p>
    <w:p>
      <w:pPr>
        <w:autoSpaceDE w:val="0"/>
        <w:autoSpaceDN w:val="0"/>
        <w:jc w:val="left"/>
        <w:spacing w:before="57" w:after="0" w:lineRule="exact" w:line="263"/>
        <w:ind w:right="0" w:left="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数学天元基金项</w:t>
      </w:r>
      <w:r>
        <w:rPr>
          <w:rFonts w:ascii="宋体" w:hAnsi="宋体" w:cs="宋体" w:eastAsia="宋体" w:hint="ascii"/>
          <w:sz w:val="21"/>
          <w:spacing w:val="24"/>
        </w:rPr>
        <w:t>目</w:t>
      </w:r>
      <w:r>
        <w:rPr>
          <w:rFonts w:ascii="Times New Roman" w:hAnsi="Times New Roman" w:cs="Times New Roman" w:eastAsia="Times New Roman" w:hint="ascii"/>
          <w:sz w:val="21"/>
        </w:rPr>
        <w:tab/>
        <w:t>247</w:t>
      </w:r>
    </w:p>
    <w:p>
      <w:pPr>
        <w:autoSpaceDE w:val="0"/>
        <w:autoSpaceDN w:val="0"/>
        <w:jc w:val="left"/>
        <w:spacing w:before="49" w:after="0" w:lineRule="exact" w:line="263"/>
        <w:ind w:right="0" w:left="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国家重大科研仪器研制项</w:t>
      </w:r>
      <w:r>
        <w:rPr>
          <w:rFonts w:ascii="宋体" w:hAnsi="宋体" w:cs="宋体" w:eastAsia="宋体" w:hint="ascii"/>
          <w:sz w:val="21"/>
          <w:spacing w:val="22"/>
        </w:rPr>
        <w:t>目</w:t>
      </w:r>
      <w:r>
        <w:rPr>
          <w:rFonts w:ascii="Times New Roman" w:hAnsi="Times New Roman" w:cs="Times New Roman" w:eastAsia="Times New Roman" w:hint="ascii"/>
          <w:sz w:val="21"/>
        </w:rPr>
        <w:tab/>
        <w:t>250</w:t>
      </w:r>
    </w:p>
    <w:p>
      <w:pPr>
        <w:autoSpaceDE w:val="0"/>
        <w:autoSpaceDN w:val="0"/>
        <w:jc w:val="left"/>
        <w:spacing w:before="49" w:after="0" w:lineRule="exact" w:line="263"/>
        <w:ind w:right="0" w:left="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国家自然科学基金申请代</w:t>
      </w:r>
      <w:r>
        <w:rPr>
          <w:rFonts w:ascii="宋体" w:hAnsi="宋体" w:cs="宋体" w:eastAsia="宋体" w:hint="ascii"/>
          <w:sz w:val="21"/>
          <w:spacing w:val="22"/>
        </w:rPr>
        <w:t>码</w:t>
      </w:r>
      <w:r>
        <w:rPr>
          <w:rFonts w:ascii="Times New Roman" w:hAnsi="Times New Roman" w:cs="Times New Roman" w:eastAsia="Times New Roman" w:hint="ascii"/>
          <w:sz w:val="21"/>
        </w:rPr>
        <w:tab/>
        <w:t>252</w:t>
      </w:r>
    </w:p>
    <w:p>
      <w:pPr>
        <w:autoSpaceDE w:val="0"/>
        <w:autoSpaceDN w:val="0"/>
        <w:jc w:val="left"/>
        <w:spacing w:before="49" w:after="0" w:lineRule="auto" w:line="240"/>
        <w:ind w:right="0" w:left="520" w:hanging="208"/>
        <w:snapToGrid w:val="0"/>
        <w:textAlignment w:val="auto"/>
        <w:tabs>
          <w:tab w:val="left" w:leader="none" w:pos="520"/>
          <w:tab w:val="left" w:leader="middleDot" w:pos="7665"/>
        </w:tabs>
        <w:numPr>
          <w:ilvl w:val="0"/>
          <w:numId w:val="19"/>
        </w:numPr>
        <w:rPr>
          <w:rFonts w:ascii="Times New Roman" w:hAnsi="Times New Roman" w:cs="Times New Roman" w:eastAsia="Times New Roman" w:hint="ascii"/>
          <w:sz w:val="21"/>
        </w:rPr>
      </w:pPr>
      <w:r>
        <w:rPr>
          <w:rFonts w:ascii="宋体" w:hAnsi="宋体" w:cs="宋体" w:eastAsia="宋体" w:hint="ascii"/>
          <w:sz w:val="21"/>
        </w:rPr>
        <w:t>数理科学</w:t>
      </w:r>
      <w:r>
        <w:rPr>
          <w:rFonts w:ascii="宋体" w:hAnsi="宋体" w:cs="宋体" w:eastAsia="宋体" w:hint="ascii"/>
          <w:sz w:val="21"/>
          <w:spacing w:val="10"/>
        </w:rPr>
        <w:t>部</w:t>
      </w:r>
      <w:r>
        <w:rPr>
          <w:rFonts w:ascii="Times New Roman" w:hAnsi="Times New Roman" w:cs="Times New Roman" w:eastAsia="Times New Roman" w:hint="ascii"/>
          <w:sz w:val="21"/>
        </w:rPr>
        <w:tab/>
        <w:t>252</w:t>
      </w:r>
    </w:p>
    <w:p>
      <w:pPr>
        <w:autoSpaceDE w:val="0"/>
        <w:autoSpaceDN w:val="0"/>
        <w:jc w:val="left"/>
        <w:spacing w:before="57" w:after="0" w:lineRule="auto" w:line="240"/>
        <w:ind w:right="0" w:left="514" w:hanging="208"/>
        <w:snapToGrid w:val="0"/>
        <w:textAlignment w:val="auto"/>
        <w:tabs>
          <w:tab w:val="left" w:leader="none" w:pos="508"/>
          <w:tab w:val="left" w:leader="middleDot" w:pos="7665"/>
        </w:tabs>
        <w:numPr>
          <w:ilvl w:val="0"/>
          <w:numId w:val="19"/>
        </w:numPr>
        <w:rPr>
          <w:rFonts w:ascii="Times New Roman" w:hAnsi="Times New Roman" w:cs="Times New Roman" w:eastAsia="Times New Roman" w:hint="ascii"/>
          <w:sz w:val="21"/>
        </w:rPr>
      </w:pPr>
      <w:r>
        <w:rPr>
          <w:rFonts w:ascii="宋体" w:hAnsi="宋体" w:cs="宋体" w:eastAsia="宋体" w:hint="ascii"/>
          <w:sz w:val="21"/>
        </w:rPr>
        <w:t>化学科学</w:t>
      </w:r>
      <w:r>
        <w:rPr>
          <w:rFonts w:ascii="宋体" w:hAnsi="宋体" w:cs="宋体" w:eastAsia="宋体" w:hint="ascii"/>
          <w:sz w:val="21"/>
          <w:spacing w:val="16"/>
        </w:rPr>
        <w:t>部</w:t>
      </w:r>
      <w:r>
        <w:rPr>
          <w:rFonts w:ascii="Times New Roman" w:hAnsi="Times New Roman" w:cs="Times New Roman" w:eastAsia="Times New Roman" w:hint="ascii"/>
          <w:sz w:val="21"/>
        </w:rPr>
        <w:tab/>
        <w:t>257</w:t>
      </w:r>
    </w:p>
    <w:p>
      <w:pPr>
        <w:autoSpaceDE w:val="0"/>
        <w:autoSpaceDN w:val="0"/>
        <w:jc w:val="left"/>
        <w:spacing w:before="57" w:after="0" w:lineRule="auto" w:line="240"/>
        <w:ind w:right="0" w:left="514" w:hanging="208"/>
        <w:snapToGrid w:val="0"/>
        <w:textAlignment w:val="auto"/>
        <w:tabs>
          <w:tab w:val="left" w:leader="none" w:pos="508"/>
          <w:tab w:val="left" w:leader="middleDot" w:pos="7665"/>
        </w:tabs>
        <w:numPr>
          <w:ilvl w:val="0"/>
          <w:numId w:val="19"/>
        </w:numPr>
        <w:rPr>
          <w:rFonts w:ascii="Times New Roman" w:hAnsi="Times New Roman" w:cs="Times New Roman" w:eastAsia="Times New Roman" w:hint="ascii"/>
          <w:sz w:val="21"/>
        </w:rPr>
      </w:pPr>
      <w:r>
        <w:rPr>
          <w:rFonts w:ascii="宋体" w:hAnsi="宋体" w:cs="宋体" w:eastAsia="宋体" w:hint="ascii"/>
          <w:sz w:val="21"/>
        </w:rPr>
        <w:t>生命科学</w:t>
      </w:r>
      <w:r>
        <w:rPr>
          <w:rFonts w:ascii="宋体" w:hAnsi="宋体" w:cs="宋体" w:eastAsia="宋体" w:hint="ascii"/>
          <w:sz w:val="21"/>
          <w:spacing w:val="16"/>
        </w:rPr>
        <w:t>部</w:t>
      </w:r>
      <w:r>
        <w:rPr>
          <w:rFonts w:ascii="Times New Roman" w:hAnsi="Times New Roman" w:cs="Times New Roman" w:eastAsia="Times New Roman" w:hint="ascii"/>
          <w:sz w:val="21"/>
        </w:rPr>
        <w:tab/>
        <w:t>262</w:t>
      </w:r>
    </w:p>
    <w:p>
      <w:pPr>
        <w:autoSpaceDE w:val="0"/>
        <w:autoSpaceDN w:val="0"/>
        <w:jc w:val="left"/>
        <w:spacing w:before="57" w:after="0" w:lineRule="auto" w:line="240"/>
        <w:ind w:right="0" w:left="520" w:hanging="208"/>
        <w:snapToGrid w:val="0"/>
        <w:textAlignment w:val="auto"/>
        <w:tabs>
          <w:tab w:val="left" w:leader="none" w:pos="520"/>
          <w:tab w:val="left" w:leader="middleDot" w:pos="7665"/>
        </w:tabs>
        <w:numPr>
          <w:ilvl w:val="0"/>
          <w:numId w:val="19"/>
        </w:numPr>
        <w:rPr>
          <w:rFonts w:ascii="Times New Roman" w:hAnsi="Times New Roman" w:cs="Times New Roman" w:eastAsia="Times New Roman" w:hint="ascii"/>
          <w:sz w:val="21"/>
        </w:rPr>
      </w:pPr>
      <w:r>
        <w:rPr>
          <w:rFonts w:ascii="宋体" w:hAnsi="宋体" w:cs="宋体" w:eastAsia="宋体" w:hint="ascii"/>
          <w:sz w:val="21"/>
        </w:rPr>
        <w:t>地球科学</w:t>
      </w:r>
      <w:r>
        <w:rPr>
          <w:rFonts w:ascii="宋体" w:hAnsi="宋体" w:cs="宋体" w:eastAsia="宋体" w:hint="ascii"/>
          <w:sz w:val="21"/>
          <w:spacing w:val="10"/>
        </w:rPr>
        <w:t>部</w:t>
      </w:r>
      <w:r>
        <w:rPr>
          <w:rFonts w:ascii="Times New Roman" w:hAnsi="Times New Roman" w:cs="Times New Roman" w:eastAsia="Times New Roman" w:hint="ascii"/>
          <w:sz w:val="21"/>
        </w:rPr>
        <w:tab/>
        <w:t>271</w:t>
      </w:r>
    </w:p>
    <w:p>
      <w:pPr>
        <w:autoSpaceDE w:val="0"/>
        <w:autoSpaceDN w:val="0"/>
        <w:jc w:val="left"/>
        <w:spacing w:before="57" w:after="0" w:lineRule="auto" w:line="240"/>
        <w:ind w:right="0" w:left="509" w:hanging="208"/>
        <w:snapToGrid w:val="0"/>
        <w:textAlignment w:val="auto"/>
        <w:tabs>
          <w:tab w:val="left" w:leader="none" w:pos="496"/>
          <w:tab w:val="left" w:leader="middleDot" w:pos="7665"/>
        </w:tabs>
        <w:numPr>
          <w:ilvl w:val="0"/>
          <w:numId w:val="19"/>
        </w:numPr>
        <w:rPr>
          <w:rFonts w:ascii="Times New Roman" w:hAnsi="Times New Roman" w:cs="Times New Roman" w:eastAsia="Times New Roman" w:hint="ascii"/>
          <w:sz w:val="21"/>
        </w:rPr>
      </w:pPr>
      <w:r>
        <w:rPr>
          <w:rFonts w:ascii="宋体" w:hAnsi="宋体" w:cs="宋体" w:eastAsia="宋体" w:hint="ascii"/>
          <w:sz w:val="21"/>
        </w:rPr>
        <w:t>工程与材料科学</w:t>
      </w:r>
      <w:r>
        <w:rPr>
          <w:rFonts w:ascii="宋体" w:hAnsi="宋体" w:cs="宋体" w:eastAsia="宋体" w:hint="ascii"/>
          <w:sz w:val="21"/>
          <w:spacing w:val="20"/>
        </w:rPr>
        <w:t>部</w:t>
      </w:r>
      <w:r>
        <w:rPr>
          <w:rFonts w:ascii="Times New Roman" w:hAnsi="Times New Roman" w:cs="Times New Roman" w:eastAsia="Times New Roman" w:hint="ascii"/>
          <w:sz w:val="21"/>
        </w:rPr>
        <w:tab/>
        <w:t>273</w:t>
      </w:r>
    </w:p>
    <w:p>
      <w:pPr>
        <w:autoSpaceDE w:val="0"/>
        <w:autoSpaceDN w:val="0"/>
        <w:jc w:val="left"/>
        <w:spacing w:before="57" w:after="0" w:lineRule="auto" w:line="240"/>
        <w:ind w:right="0" w:left="494" w:hanging="208"/>
        <w:snapToGrid w:val="0"/>
        <w:textAlignment w:val="auto"/>
        <w:tabs>
          <w:tab w:val="left" w:leader="none" w:pos="468"/>
          <w:tab w:val="left" w:leader="middleDot" w:pos="7665"/>
        </w:tabs>
        <w:numPr>
          <w:ilvl w:val="0"/>
          <w:numId w:val="19"/>
        </w:numPr>
        <w:rPr>
          <w:rFonts w:ascii="Times New Roman" w:hAnsi="Times New Roman" w:cs="Times New Roman" w:eastAsia="Times New Roman" w:hint="ascii"/>
          <w:sz w:val="21"/>
          <w:spacing w:val="-17"/>
        </w:rPr>
      </w:pPr>
      <w:r>
        <w:rPr>
          <w:rFonts w:ascii="宋体" w:hAnsi="宋体" w:cs="宋体" w:eastAsia="宋体" w:hint="ascii"/>
          <w:sz w:val="21"/>
        </w:rPr>
        <w:t>信息科学部</w:t>
      </w:r>
      <w:r>
        <w:rPr>
          <w:rFonts w:ascii="Times New Roman" w:hAnsi="Times New Roman" w:cs="Times New Roman" w:eastAsia="Times New Roman" w:hint="ascii"/>
          <w:sz w:val="21"/>
        </w:rPr>
        <w:tab/>
        <w:t>279</w:t>
      </w:r>
    </w:p>
    <w:p>
      <w:pPr>
        <w:autoSpaceDE w:val="0"/>
        <w:autoSpaceDN w:val="0"/>
        <w:jc w:val="left"/>
        <w:spacing w:before="57" w:after="0" w:lineRule="auto" w:line="240"/>
        <w:ind w:right="0" w:left="520" w:hanging="310"/>
        <w:snapToGrid w:val="0"/>
        <w:textAlignment w:val="auto"/>
        <w:tabs>
          <w:tab w:val="left" w:leader="none" w:pos="520"/>
          <w:tab w:val="left" w:leader="middleDot" w:pos="7665"/>
        </w:tabs>
        <w:numPr>
          <w:ilvl w:val="0"/>
          <w:numId w:val="20"/>
        </w:numPr>
        <w:rPr>
          <w:rFonts w:ascii="Times New Roman" w:hAnsi="Times New Roman" w:cs="Times New Roman" w:eastAsia="Times New Roman" w:hint="ascii"/>
          <w:sz w:val="21"/>
        </w:rPr>
      </w:pPr>
      <w:r>
        <w:rPr>
          <w:rFonts w:ascii="宋体" w:hAnsi="宋体" w:cs="宋体" w:eastAsia="宋体" w:hint="ascii"/>
          <w:sz w:val="21"/>
        </w:rPr>
        <w:t>管理科学</w:t>
      </w:r>
      <w:r>
        <w:rPr>
          <w:rFonts w:ascii="宋体" w:hAnsi="宋体" w:cs="宋体" w:eastAsia="宋体" w:hint="ascii"/>
          <w:sz w:val="21"/>
          <w:spacing w:val="10"/>
        </w:rPr>
        <w:t>部</w:t>
      </w:r>
      <w:r>
        <w:rPr>
          <w:rFonts w:ascii="Times New Roman" w:hAnsi="Times New Roman" w:cs="Times New Roman" w:eastAsia="Times New Roman" w:hint="ascii"/>
          <w:sz w:val="21"/>
        </w:rPr>
        <w:tab/>
        <w:t>291</w:t>
      </w:r>
    </w:p>
    <w:p>
      <w:pPr>
        <w:autoSpaceDE w:val="0"/>
        <w:autoSpaceDN w:val="0"/>
        <w:jc w:val="left"/>
        <w:spacing w:before="57" w:after="0" w:lineRule="auto" w:line="240"/>
        <w:ind w:right="0" w:left="520" w:hanging="310"/>
        <w:snapToGrid w:val="0"/>
        <w:textAlignment w:val="auto"/>
        <w:tabs>
          <w:tab w:val="left" w:leader="none" w:pos="520"/>
          <w:tab w:val="left" w:leader="middleDot" w:pos="7665"/>
        </w:tabs>
        <w:numPr>
          <w:ilvl w:val="0"/>
          <w:numId w:val="20"/>
        </w:numPr>
        <w:rPr>
          <w:rFonts w:ascii="Times New Roman" w:hAnsi="Times New Roman" w:cs="Times New Roman" w:eastAsia="Times New Roman" w:hint="ascii"/>
          <w:sz w:val="21"/>
        </w:rPr>
      </w:pPr>
      <w:r>
        <w:rPr>
          <w:rFonts w:ascii="宋体" w:hAnsi="宋体" w:cs="宋体" w:eastAsia="宋体" w:hint="ascii"/>
          <w:sz w:val="21"/>
        </w:rPr>
        <w:t>医学科学</w:t>
      </w:r>
      <w:r>
        <w:rPr>
          <w:rFonts w:ascii="宋体" w:hAnsi="宋体" w:cs="宋体" w:eastAsia="宋体" w:hint="ascii"/>
          <w:sz w:val="21"/>
          <w:spacing w:val="10"/>
        </w:rPr>
        <w:t>部</w:t>
      </w:r>
      <w:r>
        <w:rPr>
          <w:rFonts w:ascii="Times New Roman" w:hAnsi="Times New Roman" w:cs="Times New Roman" w:eastAsia="Times New Roman" w:hint="ascii"/>
          <w:sz w:val="21"/>
        </w:rPr>
        <w:tab/>
        <w:t>293</w:t>
      </w:r>
    </w:p>
    <w:p>
      <w:pPr>
        <w:autoSpaceDE w:val="0"/>
        <w:autoSpaceDN w:val="0"/>
        <w:jc w:val="left"/>
        <w:spacing w:before="57" w:after="0" w:lineRule="exact" w:line="263"/>
        <w:ind w:right="0" w:left="0" w:firstLine="0"/>
        <w:snapToGrid w:val="0"/>
        <w:textAlignment w:val="auto"/>
        <w:tabs>
          <w:tab w:val="left" w:leader="middleDot" w:pos="7665"/>
        </w:tabs>
        <w:rPr>
          <w:rFonts w:ascii="Times New Roman" w:hAnsi="Times New Roman" w:cs="Times New Roman" w:eastAsia="Times New Roman" w:hint="ascii"/>
          <w:sz w:val="21"/>
        </w:rPr>
      </w:pPr>
      <w:r>
        <w:rPr>
          <w:rFonts w:ascii="宋体" w:hAnsi="宋体" w:cs="宋体" w:eastAsia="宋体" w:hint="ascii"/>
          <w:sz w:val="21"/>
        </w:rPr>
        <w:t>附录</w:t>
      </w:r>
      <w:r>
        <w:rPr>
          <w:rFonts w:ascii="宋体" w:hAnsi="宋体" w:cs="宋体" w:eastAsia="宋体" w:hint="ascii"/>
          <w:sz w:val="21"/>
          <w:spacing w:val="-25"/>
        </w:rPr>
        <w:t xml:space="preserve"> </w:t>
      </w:r>
      <w:r>
        <w:rPr>
          <w:rFonts w:ascii="Times New Roman" w:hAnsi="Times New Roman" w:cs="Times New Roman" w:eastAsia="Times New Roman" w:hint="ascii"/>
          <w:sz w:val="21"/>
        </w:rPr>
        <w:tab/>
        <w:t>301</w:t>
      </w:r>
    </w:p>
    <w:p>
      <w:pPr>
        <w:autoSpaceDE w:val="0"/>
        <w:autoSpaceDN w:val="0"/>
        <w:jc w:val="left"/>
        <w:spacing w:before="49" w:after="0" w:lineRule="exact" w:line="263"/>
        <w:ind w:right="0" w:left="210" w:firstLine="0"/>
        <w:snapToGrid w:val="0"/>
        <w:textAlignment w:val="auto"/>
        <w:tabs>
          <w:tab w:val="left" w:leader="middleDot" w:pos="7666"/>
        </w:tabs>
        <w:rPr>
          <w:rFonts w:ascii="Times New Roman" w:hAnsi="Times New Roman" w:cs="Times New Roman" w:eastAsia="Times New Roman" w:hint="ascii"/>
          <w:sz w:val="21"/>
        </w:rPr>
      </w:pPr>
      <w:r>
        <w:rPr>
          <w:rFonts w:ascii="宋体" w:hAnsi="宋体" w:cs="宋体" w:eastAsia="宋体" w:hint="ascii"/>
          <w:sz w:val="21"/>
        </w:rPr>
        <w:t>国家自然科学基金委员会有关部门联系电</w:t>
      </w:r>
      <w:r>
        <w:rPr>
          <w:rFonts w:ascii="宋体" w:hAnsi="宋体" w:cs="宋体" w:eastAsia="宋体" w:hint="ascii"/>
          <w:sz w:val="21"/>
          <w:spacing w:val="17"/>
        </w:rPr>
        <w:t>话</w:t>
      </w:r>
      <w:r>
        <w:rPr>
          <w:rFonts w:ascii="Times New Roman" w:hAnsi="Times New Roman" w:cs="Times New Roman" w:eastAsia="Times New Roman" w:hint="ascii"/>
          <w:sz w:val="21"/>
        </w:rPr>
        <w:tab/>
        <w:t>301</w:t>
      </w:r>
    </w:p>
    <w:p>
      <w:pPr>
        <w:autoSpaceDE w:val="0"/>
        <w:autoSpaceDN w:val="0"/>
        <w:jc w:val="left"/>
        <w:spacing w:before="621"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xviii</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627" w:after="0" w:lineRule="exact" w:line="650"/>
        <w:ind w:right="0" w:left="3740" w:firstLine="0"/>
        <w:snapToGrid w:val="0"/>
        <w:textAlignment w:val="auto"/>
        <w:tabs/>
        <w:rPr>
          <w:rFonts w:ascii="宋体" w:hAnsi="宋体" w:cs="宋体" w:eastAsia="宋体" w:hint="ascii"/>
          <w:sz w:val="52"/>
        </w:rPr>
      </w:pPr>
      <w:r>
        <w:rPr>
          <w:rFonts w:ascii="宋体" w:hAnsi="宋体" w:cs="宋体" w:eastAsia="宋体" w:hint="ascii"/>
          <w:sz w:val="52"/>
          <w:spacing w:val="59"/>
        </w:rPr>
        <w:t>面上项</w:t>
      </w:r>
      <w:r>
        <w:rPr>
          <w:rFonts w:ascii="宋体" w:hAnsi="宋体" w:cs="宋体" w:eastAsia="宋体" w:hint="ascii"/>
          <w:sz w:val="52"/>
        </w:rPr>
        <w:t>目</w:t>
      </w:r>
      <w:r>
        <w:rPr>
          <w:rFonts w:ascii="宋体" w:hAnsi="宋体" w:cs="宋体" w:eastAsia="宋体" w:hint="ascii"/>
          <w:sz w:val="52"/>
        </w:rPr>
        <mc:AlternateContent>
          <mc:Choice Requires="wps">
            <w:drawing>
              <wp:anchor distL="0" distR="0" distT="0" distB="0" simplePos="0" behindDoc="1" relativeHeight="64" locked="0" layoutInCell="1" allowOverlap="1">
                <wp:simplePos x="0" y="0"/>
                <wp:positionH relativeFrom="page">
                  <wp:posOffset>938530</wp:posOffset>
                </wp:positionH>
                <wp:positionV relativeFrom="page">
                  <wp:posOffset>819150</wp:posOffset>
                </wp:positionV>
                <wp:extent cx="5076190" cy="0"/>
                <wp:wrapNone/>
                <wp:docPr id="1091" name="109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92704;width:399.70pt;" id="1091"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65" locked="0" layoutInCell="1" allowOverlap="1">
                <wp:simplePos x="0" y="0"/>
                <wp:positionH relativeFrom="page">
                  <wp:posOffset>394970</wp:posOffset>
                </wp:positionH>
                <wp:positionV relativeFrom="page">
                  <wp:posOffset>387350</wp:posOffset>
                </wp:positionV>
                <wp:extent cx="6152515" cy="723900"/>
                <wp:wrapNone/>
                <wp:docPr id="1092" name="1092"/>
                <wp:cNvGraphicFramePr/>
                <a:graphic>
                  <a:graphicData uri="http://schemas.microsoft.com/office/word/2010/wordprocessingShape">
                    <wps:wsp>
                      <wps:cNvSpPr/>
                      <wps:spPr>
                        <a:xfrm>
                          <a:off x="0" y="0"/>
                          <a:ext cx="6152515" cy="72390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1.10pt;mso-position-vertical:absolute;mso-position-vertical-relative:page;margin-top:30.50pt;z-index:-251591680;width:484.45pt;height:57.00pt;" id="1092" coordsize="9689,1140" stroked="f" fillcolor="#ffffff" opacity="0f">
                <v:stroke endcap="round"/>
                <v:fill opacity="0f"/>
                <w10:wrap anchorx="page" anchory="page" side="both"/>
              </v:rect>
            </w:pict>
          </mc:Fallback>
        </mc:AlternateContent>
      </w:r>
    </w:p>
    <w:p>
      <w:pPr>
        <w:autoSpaceDE w:val="0"/>
        <w:autoSpaceDN w:val="0"/>
        <w:jc w:val="both"/>
        <w:spacing w:before="397" w:after="0" w:lineRule="exact" w:line="356"/>
        <w:ind w:right="978" w:left="966" w:firstLine="480"/>
        <w:snapToGrid w:val="0"/>
        <w:textAlignment w:val="auto"/>
        <w:tabs/>
        <w:rPr>
          <w:rFonts w:ascii="宋体" w:hAnsi="宋体" w:cs="宋体" w:eastAsia="宋体" w:hint="ascii"/>
        </w:rPr>
      </w:pPr>
      <w:r>
        <w:rPr>
          <w:rFonts w:ascii="宋体" w:hAnsi="宋体" w:cs="宋体" w:eastAsia="宋体" w:hint="ascii"/>
        </w:rPr>
        <w:t>面上项目支持从事基础研究的科学技术人员在科学基金资助范围内自主选题，开展创新性的科学研究，促进各学科均衡、协调和可持续发展。</w:t>
      </w:r>
    </w:p>
    <w:p>
      <w:pPr>
        <w:autoSpaceDE w:val="0"/>
        <w:autoSpaceDN w:val="0"/>
        <w:jc w:val="left"/>
        <w:spacing w:before="4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面上项目申请人应当具备以下条件：</w:t>
      </w:r>
    </w:p>
    <w:p>
      <w:pPr>
        <w:autoSpaceDE w:val="0"/>
        <w:autoSpaceDN w:val="0"/>
        <w:jc w:val="left"/>
        <w:spacing w:before="55"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）具有承担基础研究课题或者其他从事基础研究的经历；</w:t>
      </w:r>
    </w:p>
    <w:p>
      <w:pPr>
        <w:autoSpaceDE w:val="0"/>
        <w:autoSpaceDN w:val="0"/>
        <w:jc w:val="both"/>
        <w:spacing w:before="11" w:after="0" w:lineRule="exact" w:line="356"/>
        <w:ind w:right="979"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）具有高级专业技术职务（职称）或者具有博士学位，或者有两名与其研究领域相同、具有高级专业技术职务（职称）的科学技术人员推荐。</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正在攻读研究生学位的人员不得申请面上项目，但在职攻读研究生学位</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人员经过导师同意可以通过其受聘单位申请。</w:t>
      </w:r>
    </w:p>
    <w:p>
      <w:pPr>
        <w:autoSpaceDE w:val="0"/>
        <w:autoSpaceDN w:val="0"/>
        <w:jc w:val="left"/>
        <w:spacing w:before="56"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面上项目申请人应当充分了解国内外相关研究领域发展现状与动态，能</w:t>
      </w:r>
    </w:p>
    <w:p>
      <w:pPr>
        <w:autoSpaceDE w:val="0"/>
        <w:autoSpaceDN w:val="0"/>
        <w:jc w:val="both"/>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领导一个研究组开展创新性研究工作；申请人应当按照面上项目申请书撰写</w:t>
      </w:r>
      <w:r>
        <w:rPr>
          <w:rFonts w:ascii="宋体" w:hAnsi="宋体" w:cs="宋体" w:eastAsia="宋体" w:hint="ascii"/>
          <w:spacing w:val="2"/>
        </w:rPr>
        <w:t>提纲撰写申请书，申请的项目有重要</w:t>
      </w:r>
      <w:r>
        <w:rPr>
          <w:rFonts w:ascii="宋体" w:hAnsi="宋体" w:cs="宋体" w:eastAsia="宋体" w:hint="ascii"/>
          <w:spacing w:val="1"/>
        </w:rPr>
        <w:t>的科学意义和研究价值，立论依据</w:t>
      </w:r>
      <w:r>
        <w:rPr>
          <w:rFonts w:ascii="宋体" w:hAnsi="宋体" w:cs="宋体" w:eastAsia="宋体" w:hint="ascii"/>
          <w:spacing w:val="-8"/>
        </w:rPr>
        <w:t>充</w:t>
      </w:r>
      <w:r>
        <w:rPr>
          <w:rFonts w:ascii="宋体" w:hAnsi="宋体" w:cs="宋体" w:eastAsia="宋体" w:hint="ascii"/>
        </w:rPr>
        <w:t>分，学术思想新颖，研究目标明确，研究内容合理、具体，研究方案可行。面上项目合作研究单位不得超过</w:t>
      </w:r>
      <w:r>
        <w:rPr>
          <w:rFonts w:ascii="宋体" w:hAnsi="宋体" w:cs="宋体" w:eastAsia="宋体" w:hint="ascii"/>
          <w:spacing w:val="-30"/>
        </w:rPr>
        <w:t xml:space="preserve"> </w:t>
      </w:r>
      <w:r>
        <w:rPr>
          <w:rFonts w:ascii="Times New Roman" w:hAnsi="Times New Roman" w:cs="Times New Roman" w:eastAsia="Times New Roman" w:hint="ascii"/>
          <w:spacing w:val="61"/>
        </w:rPr>
        <w:t>2</w:t>
      </w:r>
      <w:r>
        <w:rPr>
          <w:rFonts w:ascii="宋体" w:hAnsi="宋体" w:cs="宋体" w:eastAsia="宋体" w:hint="ascii"/>
        </w:rPr>
        <w:t>个，资助期限为</w:t>
      </w:r>
      <w:r>
        <w:rPr>
          <w:rFonts w:ascii="宋体" w:hAnsi="宋体" w:cs="宋体" w:eastAsia="宋体" w:hint="ascii"/>
          <w:spacing w:val="-30"/>
        </w:rPr>
        <w:t xml:space="preserve"> </w:t>
      </w:r>
      <w:r>
        <w:rPr>
          <w:rFonts w:ascii="Times New Roman" w:hAnsi="Times New Roman" w:cs="Times New Roman" w:eastAsia="Times New Roman" w:hint="ascii"/>
          <w:spacing w:val="61"/>
        </w:rPr>
        <w:t>4</w:t>
      </w:r>
      <w:r>
        <w:rPr>
          <w:rFonts w:ascii="宋体" w:hAnsi="宋体" w:cs="宋体" w:eastAsia="宋体" w:hint="ascii"/>
        </w:rPr>
        <w:t>年（仅在站博士后研究</w:t>
      </w:r>
      <w:r>
        <w:rPr>
          <w:rFonts w:ascii="宋体" w:hAnsi="宋体" w:cs="宋体" w:eastAsia="宋体" w:hint="ascii"/>
          <w:spacing w:val="2"/>
        </w:rPr>
        <w:t>人员作为申请人申请的项目，可按照</w:t>
      </w:r>
      <w:r>
        <w:rPr>
          <w:rFonts w:ascii="宋体" w:hAnsi="宋体" w:cs="宋体" w:eastAsia="宋体" w:hint="ascii"/>
          <w:spacing w:val="1"/>
        </w:rPr>
        <w:t>依托单位的书面承诺填写相应的资</w:t>
      </w:r>
      <w:r>
        <w:rPr>
          <w:rFonts w:ascii="宋体" w:hAnsi="宋体" w:cs="宋体" w:eastAsia="宋体" w:hint="ascii"/>
          <w:spacing w:val="-8"/>
        </w:rPr>
        <w:t>助</w:t>
      </w:r>
      <w:r>
        <w:rPr>
          <w:rFonts w:ascii="宋体" w:hAnsi="宋体" w:cs="宋体" w:eastAsia="宋体" w:hint="ascii"/>
        </w:rPr>
        <w:t>期限</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43" w:after="0" w:lineRule="auto" w:line="240"/>
        <w:ind w:right="0" w:left="1988" w:hanging="542"/>
        <w:snapToGrid w:val="0"/>
        <w:textAlignment w:val="auto"/>
        <w:tabs>
          <w:tab w:val="left" w:leader="none" w:pos="1988"/>
        </w:tabs>
        <w:numPr>
          <w:ilvl w:val="0"/>
          <w:numId w:val="21"/>
        </w:numPr>
        <w:rPr>
          <w:rFonts w:ascii="Times New Roman" w:hAnsi="Times New Roman" w:cs="Times New Roman" w:eastAsia="Times New Roman" w:hint="ascii"/>
        </w:rPr>
      </w:pPr>
      <w:r>
        <w:rPr>
          <w:rFonts w:ascii="宋体" w:hAnsi="宋体" w:cs="宋体" w:eastAsia="宋体" w:hint="ascii"/>
        </w:rPr>
        <w:t>年度共资助面上项目</w:t>
      </w:r>
      <w:r>
        <w:rPr>
          <w:rFonts w:ascii="宋体" w:hAnsi="宋体" w:cs="宋体" w:eastAsia="宋体" w:hint="ascii"/>
          <w:spacing w:val="-29"/>
        </w:rPr>
        <w:t xml:space="preserve"> </w:t>
      </w:r>
      <w:r>
        <w:rPr>
          <w:rFonts w:ascii="Times New Roman" w:hAnsi="Times New Roman" w:cs="Times New Roman" w:eastAsia="Times New Roman" w:hint="ascii"/>
        </w:rPr>
        <w:t>18 136</w:t>
      </w:r>
      <w:r>
        <w:rPr>
          <w:rFonts w:ascii="Times New Roman" w:hAnsi="Times New Roman" w:cs="Times New Roman" w:eastAsia="Times New Roman" w:hint="ascii"/>
          <w:spacing w:val="-29"/>
        </w:rPr>
        <w:t xml:space="preserve"> </w:t>
      </w:r>
      <w:r>
        <w:rPr>
          <w:rFonts w:ascii="宋体" w:hAnsi="宋体" w:cs="宋体" w:eastAsia="宋体" w:hint="ascii"/>
        </w:rPr>
        <w:t>项，直接费用</w:t>
      </w:r>
      <w:r>
        <w:rPr>
          <w:rFonts w:ascii="宋体" w:hAnsi="宋体" w:cs="宋体" w:eastAsia="宋体" w:hint="ascii"/>
          <w:spacing w:val="-29"/>
        </w:rPr>
        <w:t xml:space="preserve"> </w:t>
      </w:r>
      <w:r>
        <w:rPr>
          <w:rFonts w:ascii="Times New Roman" w:hAnsi="Times New Roman" w:cs="Times New Roman" w:eastAsia="Times New Roman" w:hint="ascii"/>
        </w:rPr>
        <w:t>1 068 590</w:t>
      </w:r>
      <w:r>
        <w:rPr>
          <w:rFonts w:ascii="Times New Roman" w:hAnsi="Times New Roman" w:cs="Times New Roman" w:eastAsia="Times New Roman" w:hint="ascii"/>
          <w:spacing w:val="-29"/>
        </w:rPr>
        <w:t xml:space="preserve"> </w:t>
      </w:r>
      <w:r>
        <w:rPr>
          <w:rFonts w:ascii="宋体" w:hAnsi="宋体" w:cs="宋体" w:eastAsia="宋体" w:hint="ascii"/>
        </w:rPr>
        <w:t>万元。平均资</w:t>
      </w:r>
    </w:p>
    <w:p>
      <w:pPr>
        <w:autoSpaceDE w:val="0"/>
        <w:autoSpaceDN w:val="0"/>
        <w:jc w:val="left"/>
        <w:spacing w:before="19"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spacing w:val="4"/>
        </w:rPr>
        <w:t>助强</w:t>
      </w:r>
      <w:r>
        <w:rPr>
          <w:rFonts w:ascii="宋体" w:hAnsi="宋体" w:cs="宋体" w:eastAsia="宋体" w:hint="ascii"/>
        </w:rPr>
        <w:t>度</w:t>
      </w:r>
      <w:r>
        <w:rPr>
          <w:rFonts w:ascii="宋体" w:hAnsi="宋体" w:cs="宋体" w:eastAsia="宋体" w:hint="ascii"/>
          <w:spacing w:val="-26"/>
        </w:rPr>
        <w:t xml:space="preserve"> </w:t>
      </w:r>
      <w:r>
        <w:rPr>
          <w:rFonts w:ascii="Times New Roman" w:hAnsi="Times New Roman" w:cs="Times New Roman" w:eastAsia="Times New Roman" w:hint="ascii"/>
        </w:rPr>
        <w:t>58.92</w:t>
      </w:r>
      <w:r>
        <w:rPr>
          <w:rFonts w:ascii="Times New Roman" w:hAnsi="Times New Roman" w:cs="Times New Roman" w:eastAsia="Times New Roman" w:hint="ascii"/>
          <w:spacing w:val="-26"/>
        </w:rPr>
        <w:t xml:space="preserve"> </w:t>
      </w:r>
      <w:r>
        <w:rPr>
          <w:rFonts w:ascii="宋体" w:hAnsi="宋体" w:cs="宋体" w:eastAsia="宋体" w:hint="ascii"/>
          <w:spacing w:val="4"/>
        </w:rPr>
        <w:t>万元</w:t>
      </w:r>
      <w:r>
        <w:rPr>
          <w:rFonts w:ascii="Times New Roman" w:hAnsi="Times New Roman" w:cs="Times New Roman" w:eastAsia="Times New Roman" w:hint="ascii"/>
          <w:spacing w:val="9"/>
        </w:rPr>
        <w:t>/</w:t>
      </w:r>
      <w:r>
        <w:rPr>
          <w:rFonts w:ascii="宋体" w:hAnsi="宋体" w:cs="宋体" w:eastAsia="宋体" w:hint="ascii"/>
          <w:spacing w:val="4"/>
        </w:rPr>
        <w:t>项。资助项目数</w:t>
      </w:r>
      <w:r>
        <w:rPr>
          <w:rFonts w:ascii="宋体" w:hAnsi="宋体" w:cs="宋体" w:eastAsia="宋体" w:hint="ascii"/>
        </w:rPr>
        <w:t>比</w:t>
      </w:r>
      <w:r>
        <w:rPr>
          <w:rFonts w:ascii="宋体" w:hAnsi="宋体" w:cs="宋体" w:eastAsia="宋体" w:hint="ascii"/>
          <w:spacing w:val="-26"/>
        </w:rPr>
        <w:t xml:space="preserve"> </w:t>
      </w:r>
      <w:r>
        <w:rPr>
          <w:rFonts w:ascii="Times New Roman" w:hAnsi="Times New Roman" w:cs="Times New Roman" w:eastAsia="Times New Roman" w:hint="ascii"/>
        </w:rPr>
        <w:t>2016</w:t>
      </w:r>
      <w:r>
        <w:rPr>
          <w:rFonts w:ascii="Times New Roman" w:hAnsi="Times New Roman" w:cs="Times New Roman" w:eastAsia="Times New Roman" w:hint="ascii"/>
          <w:spacing w:val="-25"/>
        </w:rPr>
        <w:t xml:space="preserve"> </w:t>
      </w:r>
      <w:r>
        <w:rPr>
          <w:rFonts w:ascii="宋体" w:hAnsi="宋体" w:cs="宋体" w:eastAsia="宋体" w:hint="ascii"/>
          <w:spacing w:val="4"/>
        </w:rPr>
        <w:t>年增加</w:t>
      </w:r>
      <w:r>
        <w:rPr>
          <w:rFonts w:ascii="宋体" w:hAnsi="宋体" w:cs="宋体" w:eastAsia="宋体" w:hint="ascii"/>
        </w:rPr>
        <w:t>了</w:t>
      </w:r>
      <w:r>
        <w:rPr>
          <w:rFonts w:ascii="宋体" w:hAnsi="宋体" w:cs="宋体" w:eastAsia="宋体" w:hint="ascii"/>
          <w:spacing w:val="-25"/>
        </w:rPr>
        <w:t xml:space="preserve"> </w:t>
      </w:r>
      <w:r>
        <w:rPr>
          <w:rFonts w:ascii="Times New Roman" w:hAnsi="Times New Roman" w:cs="Times New Roman" w:eastAsia="Times New Roman" w:hint="ascii"/>
        </w:rPr>
        <w:t>1 202</w:t>
      </w:r>
      <w:r>
        <w:rPr>
          <w:rFonts w:ascii="Times New Roman" w:hAnsi="Times New Roman" w:cs="Times New Roman" w:eastAsia="Times New Roman" w:hint="ascii"/>
          <w:spacing w:val="-26"/>
        </w:rPr>
        <w:t xml:space="preserve"> </w:t>
      </w:r>
      <w:r>
        <w:rPr>
          <w:rFonts w:ascii="宋体" w:hAnsi="宋体" w:cs="宋体" w:eastAsia="宋体" w:hint="ascii"/>
          <w:spacing w:val="4"/>
        </w:rPr>
        <w:t>项，增加幅度</w:t>
      </w:r>
      <w:r>
        <w:rPr>
          <w:rFonts w:ascii="宋体" w:hAnsi="宋体" w:cs="宋体" w:eastAsia="宋体" w:hint="ascii"/>
        </w:rPr>
        <w:t>为</w:t>
      </w:r>
      <w:r>
        <w:rPr>
          <w:rFonts w:ascii="Times New Roman" w:hAnsi="Times New Roman" w:cs="Times New Roman" w:eastAsia="Times New Roman" w:hint="ascii"/>
          <w:spacing w:val="-1"/>
        </w:rPr>
        <w:t>7.10</w:t>
      </w:r>
      <w:r>
        <w:rPr>
          <w:rFonts w:ascii="Times New Roman" w:hAnsi="Times New Roman" w:cs="Times New Roman" w:eastAsia="Times New Roman" w:hint="ascii"/>
          <w:spacing w:val="7"/>
        </w:rPr>
        <w:t>%</w:t>
      </w:r>
      <w:r>
        <w:rPr>
          <w:rFonts w:ascii="宋体" w:hAnsi="宋体" w:cs="宋体" w:eastAsia="宋体" w:hint="ascii"/>
          <w:spacing w:val="3"/>
        </w:rPr>
        <w:t>；资助</w:t>
      </w:r>
      <w:r>
        <w:rPr>
          <w:rFonts w:ascii="宋体" w:hAnsi="宋体" w:cs="宋体" w:eastAsia="宋体" w:hint="ascii"/>
          <w:spacing w:val="4"/>
        </w:rPr>
        <w:t>率</w:t>
      </w:r>
      <w:r>
        <w:rPr>
          <w:rFonts w:ascii="宋体" w:hAnsi="宋体" w:cs="宋体" w:eastAsia="宋体" w:hint="ascii"/>
        </w:rPr>
        <w:t>为</w:t>
      </w:r>
      <w:r>
        <w:rPr>
          <w:rFonts w:ascii="宋体" w:hAnsi="宋体" w:cs="宋体" w:eastAsia="宋体" w:hint="ascii"/>
          <w:spacing w:val="-26"/>
        </w:rPr>
        <w:t xml:space="preserve"> </w:t>
      </w:r>
      <w:r>
        <w:rPr>
          <w:rFonts w:ascii="Times New Roman" w:hAnsi="Times New Roman" w:cs="Times New Roman" w:eastAsia="Times New Roman" w:hint="ascii"/>
        </w:rPr>
        <w:t>22.59</w:t>
      </w:r>
      <w:r>
        <w:rPr>
          <w:rFonts w:ascii="Times New Roman" w:hAnsi="Times New Roman" w:cs="Times New Roman" w:eastAsia="Times New Roman" w:hint="ascii"/>
          <w:spacing w:val="8"/>
        </w:rPr>
        <w:t>%</w:t>
      </w:r>
      <w:r>
        <w:rPr>
          <w:rFonts w:ascii="宋体" w:hAnsi="宋体" w:cs="宋体" w:eastAsia="宋体" w:hint="ascii"/>
          <w:spacing w:val="4"/>
        </w:rPr>
        <w:t>，</w:t>
      </w:r>
      <w:r>
        <w:rPr>
          <w:rFonts w:ascii="宋体" w:hAnsi="宋体" w:cs="宋体" w:eastAsia="宋体" w:hint="ascii"/>
        </w:rPr>
        <w:t>与</w:t>
      </w:r>
      <w:r>
        <w:rPr>
          <w:rFonts w:ascii="宋体" w:hAnsi="宋体" w:cs="宋体" w:eastAsia="宋体" w:hint="ascii"/>
          <w:spacing w:val="-26"/>
        </w:rPr>
        <w:t xml:space="preserve"> </w:t>
      </w:r>
      <w:r>
        <w:rPr>
          <w:rFonts w:ascii="Times New Roman" w:hAnsi="Times New Roman" w:cs="Times New Roman" w:eastAsia="Times New Roman" w:hint="ascii"/>
        </w:rPr>
        <w:t>2016</w:t>
      </w:r>
      <w:r>
        <w:rPr>
          <w:rFonts w:ascii="Times New Roman" w:hAnsi="Times New Roman" w:cs="Times New Roman" w:eastAsia="Times New Roman" w:hint="ascii"/>
          <w:spacing w:val="-26"/>
        </w:rPr>
        <w:t xml:space="preserve"> </w:t>
      </w:r>
      <w:r>
        <w:rPr>
          <w:rFonts w:ascii="宋体" w:hAnsi="宋体" w:cs="宋体" w:eastAsia="宋体" w:hint="ascii"/>
          <w:spacing w:val="4"/>
        </w:rPr>
        <w:t>年度（</w:t>
      </w:r>
      <w:r>
        <w:rPr>
          <w:rFonts w:ascii="Times New Roman" w:hAnsi="Times New Roman" w:cs="Times New Roman" w:eastAsia="Times New Roman" w:hint="ascii"/>
        </w:rPr>
        <w:t>22.87</w:t>
      </w:r>
      <w:r>
        <w:rPr>
          <w:rFonts w:ascii="Times New Roman" w:hAnsi="Times New Roman" w:cs="Times New Roman" w:eastAsia="Times New Roman" w:hint="ascii"/>
          <w:spacing w:val="8"/>
        </w:rPr>
        <w:t>%</w:t>
      </w:r>
      <w:r>
        <w:rPr>
          <w:rFonts w:ascii="宋体" w:hAnsi="宋体" w:cs="宋体" w:eastAsia="宋体" w:hint="ascii"/>
          <w:spacing w:val="4"/>
        </w:rPr>
        <w:t>）基本持平。请申请</w:t>
      </w:r>
      <w:r>
        <w:rPr>
          <w:rFonts w:ascii="宋体" w:hAnsi="宋体" w:cs="宋体" w:eastAsia="宋体" w:hint="ascii"/>
          <w:spacing w:val="5"/>
        </w:rPr>
        <w:t>人</w:t>
      </w:r>
      <w:r>
        <w:rPr>
          <w:rFonts w:ascii="宋体" w:hAnsi="宋体" w:cs="宋体" w:eastAsia="宋体" w:hint="ascii"/>
        </w:rPr>
        <w:t>参考相关科学部的资助强度说明提出申请。</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spacing w:val="5"/>
        </w:rPr>
        <w:t>关于面上项目资助范围、近年资助状况和有关要求见本部分各科学</w:t>
      </w:r>
      <w:r>
        <w:rPr>
          <w:rFonts w:ascii="宋体" w:hAnsi="宋体" w:cs="宋体" w:eastAsia="宋体" w:hint="ascii"/>
        </w:rPr>
        <w:t>部</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介绍。</w:t>
      </w:r>
    </w:p>
    <w:p>
      <w:pPr>
        <w:autoSpaceDE w:val="0"/>
        <w:autoSpaceDN w:val="0"/>
        <w:jc w:val="left"/>
        <w:spacing w:before="178" w:after="0" w:lineRule="auto" w:line="240"/>
        <w:ind w:right="0" w:left="3861"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6"/>
        </w:rPr>
        <w:t>7</w:t>
      </w:r>
      <w:r>
        <w:rPr>
          <w:rFonts w:ascii="宋体" w:hAnsi="宋体" w:cs="宋体" w:eastAsia="宋体" w:hint="ascii"/>
          <w:sz w:val="18"/>
        </w:rPr>
        <w:t>年度面上项目资助情况</w:t>
      </w:r>
    </w:p>
    <w:p>
      <w:pPr>
        <w:autoSpaceDE w:val="0"/>
        <w:autoSpaceDN w:val="0"/>
        <w:jc w:val="left"/>
        <w:spacing w:before="44" w:after="34"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416"/>
        <w:gridCol w:w="849"/>
        <w:gridCol w:w="995"/>
        <w:gridCol w:w="1050"/>
        <w:gridCol w:w="1218"/>
        <w:gridCol w:w="1416"/>
        <w:gridCol w:w="1048"/>
      </w:tblGrid>
      <w:tr>
        <w:trPr>
          <w:trHeight w:val="266" w:hRule="exact"/>
          <w:cantSplit w:val="1"/>
        </w:trPr>
        <w:tc>
          <w:tcPr>
            <w:tcW w:w="1416" w:type="dxa"/>
            <w:gridSpan w:val="1"/>
            <w:vAlign w:val="top"/>
            <w:vMerge w:val="restart"/>
            <w:tcMar/>
            <w:tcBorders/>
          </w:tcPr>
          <w:p>
            <w:pPr>
              <w:autoSpaceDE w:val="0"/>
              <w:autoSpaceDN w:val="0"/>
              <w:jc w:val="left"/>
              <w:spacing w:before="256" w:after="0" w:lineRule="exact" w:line="188"/>
              <w:ind w:right="0" w:left="474"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849" w:type="dxa"/>
            <w:gridSpan w:val="1"/>
            <w:vAlign w:val="top"/>
            <w:vMerge w:val="restart"/>
            <w:tcMar/>
            <w:tcBorders>
              <w:left w:val="single" w:sz="4" w:space="0" w:color="000000"/>
            </w:tcBorders>
          </w:tcPr>
          <w:p>
            <w:pPr>
              <w:autoSpaceDE w:val="0"/>
              <w:autoSpaceDN w:val="0"/>
              <w:jc w:val="left"/>
              <w:spacing w:before="256"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申请项数</w:t>
            </w:r>
          </w:p>
        </w:tc>
        <w:tc>
          <w:tcPr>
            <w:tcW w:w="4679" w:type="dxa"/>
            <w:gridSpan w:val="4"/>
            <w:vAlign w:val="top"/>
            <w:tcMar/>
            <w:tcBorders>
              <w:left w:val="single" w:sz="4" w:space="0" w:color="000000"/>
            </w:tcBorders>
          </w:tcPr>
          <w:p>
            <w:pPr>
              <w:autoSpaceDE w:val="0"/>
              <w:autoSpaceDN w:val="0"/>
              <w:jc w:val="left"/>
              <w:spacing w:before="28" w:after="0" w:lineRule="exact" w:line="188"/>
              <w:ind w:right="0" w:left="2035" w:firstLine="0"/>
              <w:snapToGrid w:val="0"/>
              <w:textAlignment w:val="auto"/>
              <w:tabs/>
              <w:rPr>
                <w:rFonts w:ascii="宋体" w:hAnsi="宋体" w:cs="宋体" w:eastAsia="宋体" w:hint="ascii"/>
                <w:sz w:val="15"/>
              </w:rPr>
            </w:pPr>
            <w:r>
              <w:rPr>
                <w:rFonts w:ascii="宋体" w:hAnsi="宋体" w:cs="宋体" w:eastAsia="宋体" w:hint="ascii"/>
                <w:sz w:val="15"/>
              </w:rPr>
              <w:t>批准资助</w:t>
            </w:r>
          </w:p>
        </w:tc>
        <w:tc>
          <w:tcPr>
            <w:tcW w:w="1048" w:type="dxa"/>
            <w:gridSpan w:val="1"/>
            <w:vAlign w:val="top"/>
            <w:vMerge w:val="restart"/>
            <w:tcMar/>
            <w:tcBorders>
              <w:left w:val="single" w:sz="4" w:space="0" w:color="000000"/>
              <w:right w:val="single" w:sz="8" w:space="0" w:color="000000"/>
            </w:tcBorders>
          </w:tcPr>
          <w:p>
            <w:pPr>
              <w:autoSpaceDE w:val="0"/>
              <w:autoSpaceDN w:val="0"/>
              <w:jc w:val="left"/>
              <w:spacing w:before="256" w:after="0" w:lineRule="exact" w:line="188"/>
              <w:ind w:right="0" w:left="81"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455" w:hRule="exact"/>
          <w:cantSplit w:val="1"/>
        </w:trPr>
        <w:tc>
          <w:tcPr>
            <w:tcW w:w="1416"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vMerge w:val="continue"/>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95"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343" w:firstLine="0"/>
              <w:snapToGrid w:val="0"/>
              <w:textAlignment w:val="auto"/>
              <w:tabs/>
              <w:rPr>
                <w:rFonts w:ascii="宋体" w:hAnsi="宋体" w:cs="宋体" w:eastAsia="宋体" w:hint="ascii"/>
                <w:sz w:val="15"/>
              </w:rPr>
            </w:pPr>
            <w:r>
              <w:rPr>
                <w:rFonts w:ascii="宋体" w:hAnsi="宋体" w:cs="宋体" w:eastAsia="宋体" w:hint="ascii"/>
                <w:sz w:val="15"/>
              </w:rPr>
              <w:t>项数</w:t>
            </w:r>
          </w:p>
        </w:tc>
        <w:tc>
          <w:tcPr>
            <w:tcW w:w="1050"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221"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218"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53" w:firstLine="0"/>
              <w:snapToGrid w:val="0"/>
              <w:textAlignment w:val="auto"/>
              <w:tabs/>
              <w:rPr>
                <w:rFonts w:ascii="宋体" w:hAnsi="宋体" w:cs="宋体" w:eastAsia="宋体" w:hint="ascii"/>
                <w:sz w:val="15"/>
              </w:rPr>
            </w:pPr>
            <w:r>
              <w:rPr>
                <w:rFonts w:ascii="宋体" w:hAnsi="宋体" w:cs="宋体" w:eastAsia="宋体" w:hint="ascii"/>
                <w:sz w:val="15"/>
              </w:rPr>
              <w:t>平均资助强度</w:t>
            </w:r>
          </w:p>
        </w:tc>
        <w:tc>
          <w:tcPr>
            <w:tcW w:w="1416"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253" w:firstLine="0"/>
              <w:snapToGrid w:val="0"/>
              <w:textAlignment w:val="auto"/>
              <w:tabs/>
              <w:rPr>
                <w:rFonts w:ascii="宋体" w:hAnsi="宋体" w:cs="宋体" w:eastAsia="宋体" w:hint="ascii"/>
                <w:sz w:val="15"/>
              </w:rPr>
            </w:pPr>
            <w:r>
              <w:rPr>
                <w:rFonts w:ascii="宋体" w:hAnsi="宋体" w:cs="宋体" w:eastAsia="宋体" w:hint="ascii"/>
                <w:sz w:val="15"/>
              </w:rPr>
              <w:t>直接费用占比</w:t>
            </w:r>
          </w:p>
          <w:p>
            <w:pPr>
              <w:autoSpaceDE w:val="0"/>
              <w:autoSpaceDN w:val="0"/>
              <w:jc w:val="left"/>
              <w:spacing w:before="7" w:after="0" w:lineRule="exact" w:line="188"/>
              <w:ind w:right="0" w:left="453"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1048" w:type="dxa"/>
            <w:gridSpan w:val="1"/>
            <w:vAlign w:val="top"/>
            <w:vMerge w:val="continue"/>
            <w:tcMar/>
            <w:tcBorders>
              <w:left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r>
      <w:tr>
        <w:trPr>
          <w:trHeight w:val="260" w:hRule="exact"/>
          <w:cantSplit w:val="1"/>
        </w:trPr>
        <w:tc>
          <w:tcPr>
            <w:tcW w:w="1416" w:type="dxa"/>
            <w:gridSpan w:val="1"/>
            <w:vAlign w:val="top"/>
            <w:tcMar/>
            <w:tcBorders>
              <w:top w:val="single" w:sz="4" w:space="0" w:color="000000"/>
            </w:tcBorders>
          </w:tcPr>
          <w:p>
            <w:pPr>
              <w:autoSpaceDE w:val="0"/>
              <w:autoSpaceDN w:val="0"/>
              <w:jc w:val="left"/>
              <w:spacing w:before="29"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93" w:firstLine="0"/>
              <w:snapToGrid w:val="0"/>
              <w:textAlignment w:val="auto"/>
              <w:tabs>
                <w:tab w:val="left" w:leader="none" w:pos="410"/>
              </w:tabs>
              <w:numPr>
                <w:ilvl w:val="0"/>
                <w:numId w:val="22"/>
              </w:numPr>
              <w:rPr>
                <w:rFonts w:ascii="Times New Roman" w:hAnsi="Times New Roman" w:cs="Times New Roman" w:eastAsia="Times New Roman" w:hint="ascii"/>
                <w:sz w:val="15"/>
              </w:rPr>
            </w:pPr>
            <w:r>
              <w:rPr>
                <w:rFonts w:ascii="Times New Roman" w:hAnsi="Times New Roman" w:cs="Times New Roman" w:eastAsia="Times New Roman" w:hint="ascii"/>
                <w:sz w:val="15"/>
              </w:rPr>
              <w:t>804</w:t>
            </w:r>
          </w:p>
        </w:tc>
        <w:tc>
          <w:tcPr>
            <w:tcW w:w="99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2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1 673</w:t>
            </w:r>
          </w:p>
        </w:tc>
        <w:tc>
          <w:tcPr>
            <w:tcW w:w="105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100 480</w:t>
            </w:r>
          </w:p>
        </w:tc>
        <w:tc>
          <w:tcPr>
            <w:tcW w:w="121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60.06</w:t>
            </w:r>
          </w:p>
        </w:tc>
        <w:tc>
          <w:tcPr>
            <w:tcW w:w="141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9.40</w:t>
            </w:r>
          </w:p>
        </w:tc>
        <w:tc>
          <w:tcPr>
            <w:tcW w:w="104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28.82</w:t>
            </w:r>
          </w:p>
        </w:tc>
      </w:tr>
      <w:tr>
        <w:trPr>
          <w:trHeight w:val="260" w:hRule="exact"/>
          <w:cantSplit w:val="1"/>
        </w:trPr>
        <w:tc>
          <w:tcPr>
            <w:tcW w:w="1416" w:type="dxa"/>
            <w:gridSpan w:val="1"/>
            <w:vAlign w:val="top"/>
            <w:tcMar/>
            <w:tcBorders>
              <w:top w:val="single" w:sz="4" w:space="0" w:color="000000"/>
            </w:tcBorders>
          </w:tcPr>
          <w:p>
            <w:pPr>
              <w:autoSpaceDE w:val="0"/>
              <w:autoSpaceDN w:val="0"/>
              <w:jc w:val="left"/>
              <w:spacing w:before="29"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93" w:firstLine="0"/>
              <w:snapToGrid w:val="0"/>
              <w:textAlignment w:val="auto"/>
              <w:tabs>
                <w:tab w:val="left" w:leader="none" w:pos="410"/>
              </w:tabs>
              <w:numPr>
                <w:ilvl w:val="0"/>
                <w:numId w:val="22"/>
              </w:numPr>
              <w:rPr>
                <w:rFonts w:ascii="Times New Roman" w:hAnsi="Times New Roman" w:cs="Times New Roman" w:eastAsia="Times New Roman" w:hint="ascii"/>
                <w:sz w:val="15"/>
              </w:rPr>
            </w:pPr>
            <w:r>
              <w:rPr>
                <w:rFonts w:ascii="Times New Roman" w:hAnsi="Times New Roman" w:cs="Times New Roman" w:eastAsia="Times New Roman" w:hint="ascii"/>
                <w:sz w:val="15"/>
              </w:rPr>
              <w:t>577</w:t>
            </w:r>
          </w:p>
        </w:tc>
        <w:tc>
          <w:tcPr>
            <w:tcW w:w="99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24" w:firstLine="0"/>
              <w:snapToGrid w:val="0"/>
              <w:textAlignment w:val="auto"/>
              <w:tabs>
                <w:tab w:val="left" w:leader="none" w:pos="442"/>
              </w:tabs>
              <w:numPr>
                <w:ilvl w:val="0"/>
                <w:numId w:val="23"/>
              </w:numPr>
              <w:rPr>
                <w:rFonts w:ascii="Times New Roman" w:hAnsi="Times New Roman" w:cs="Times New Roman" w:eastAsia="Times New Roman" w:hint="ascii"/>
                <w:sz w:val="15"/>
              </w:rPr>
            </w:pPr>
            <w:r>
              <w:rPr>
                <w:rFonts w:ascii="Times New Roman" w:hAnsi="Times New Roman" w:cs="Times New Roman" w:eastAsia="Times New Roman" w:hint="ascii"/>
                <w:sz w:val="15"/>
              </w:rPr>
              <w:t>671</w:t>
            </w:r>
          </w:p>
        </w:tc>
        <w:tc>
          <w:tcPr>
            <w:tcW w:w="105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107 630</w:t>
            </w:r>
          </w:p>
        </w:tc>
        <w:tc>
          <w:tcPr>
            <w:tcW w:w="121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64.41</w:t>
            </w:r>
          </w:p>
        </w:tc>
        <w:tc>
          <w:tcPr>
            <w:tcW w:w="141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34" w:firstLine="0"/>
              <w:snapToGrid w:val="0"/>
              <w:textAlignment w:val="auto"/>
              <w:tabs/>
              <w:numPr>
                <w:ilvl w:val="1"/>
                <w:numId w:val="2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7</w:t>
            </w:r>
          </w:p>
        </w:tc>
        <w:tc>
          <w:tcPr>
            <w:tcW w:w="104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25.41</w:t>
            </w:r>
          </w:p>
        </w:tc>
      </w:tr>
      <w:tr>
        <w:trPr>
          <w:trHeight w:val="260" w:hRule="exact"/>
          <w:cantSplit w:val="1"/>
        </w:trPr>
        <w:tc>
          <w:tcPr>
            <w:tcW w:w="1416" w:type="dxa"/>
            <w:gridSpan w:val="1"/>
            <w:vAlign w:val="top"/>
            <w:tcMar/>
            <w:tcBorders>
              <w:top w:val="single" w:sz="4" w:space="0" w:color="000000"/>
            </w:tcBorders>
          </w:tcPr>
          <w:p>
            <w:pPr>
              <w:autoSpaceDE w:val="0"/>
              <w:autoSpaceDN w:val="0"/>
              <w:jc w:val="left"/>
              <w:spacing w:before="29"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23" w:firstLine="0"/>
              <w:snapToGrid w:val="0"/>
              <w:textAlignment w:val="auto"/>
              <w:tabs>
                <w:tab w:val="left" w:leader="none" w:pos="410"/>
              </w:tabs>
              <w:numPr>
                <w:ilvl w:val="0"/>
                <w:numId w:val="24"/>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028</w:t>
            </w:r>
          </w:p>
        </w:tc>
        <w:tc>
          <w:tcPr>
            <w:tcW w:w="99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24" w:firstLine="0"/>
              <w:snapToGrid w:val="0"/>
              <w:textAlignment w:val="auto"/>
              <w:tabs>
                <w:tab w:val="left" w:leader="none" w:pos="442"/>
              </w:tabs>
              <w:numPr>
                <w:ilvl w:val="0"/>
                <w:numId w:val="23"/>
              </w:numPr>
              <w:rPr>
                <w:rFonts w:ascii="Times New Roman" w:hAnsi="Times New Roman" w:cs="Times New Roman" w:eastAsia="Times New Roman" w:hint="ascii"/>
                <w:sz w:val="15"/>
              </w:rPr>
            </w:pPr>
            <w:r>
              <w:rPr>
                <w:rFonts w:ascii="Times New Roman" w:hAnsi="Times New Roman" w:cs="Times New Roman" w:eastAsia="Times New Roman" w:hint="ascii"/>
                <w:sz w:val="15"/>
              </w:rPr>
              <w:t>902</w:t>
            </w:r>
          </w:p>
        </w:tc>
        <w:tc>
          <w:tcPr>
            <w:tcW w:w="105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170 030</w:t>
            </w:r>
          </w:p>
        </w:tc>
        <w:tc>
          <w:tcPr>
            <w:tcW w:w="121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58.59</w:t>
            </w:r>
          </w:p>
        </w:tc>
        <w:tc>
          <w:tcPr>
            <w:tcW w:w="141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15.91</w:t>
            </w:r>
          </w:p>
        </w:tc>
        <w:tc>
          <w:tcPr>
            <w:tcW w:w="104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26.31</w:t>
            </w:r>
          </w:p>
        </w:tc>
      </w:tr>
      <w:tr>
        <w:trPr>
          <w:trHeight w:val="262" w:hRule="exact"/>
          <w:cantSplit w:val="1"/>
        </w:trPr>
        <w:tc>
          <w:tcPr>
            <w:tcW w:w="1416" w:type="dxa"/>
            <w:gridSpan w:val="1"/>
            <w:vAlign w:val="top"/>
            <w:tcMar/>
            <w:tcBorders>
              <w:top w:val="single" w:sz="4" w:space="0" w:color="000000"/>
            </w:tcBorders>
          </w:tcPr>
          <w:p>
            <w:pPr>
              <w:autoSpaceDE w:val="0"/>
              <w:autoSpaceDN w:val="0"/>
              <w:jc w:val="left"/>
              <w:spacing w:before="29"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6 272</w:t>
            </w:r>
          </w:p>
        </w:tc>
        <w:tc>
          <w:tcPr>
            <w:tcW w:w="99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2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1 683</w:t>
            </w:r>
          </w:p>
        </w:tc>
        <w:tc>
          <w:tcPr>
            <w:tcW w:w="105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13 070</w:t>
            </w:r>
          </w:p>
        </w:tc>
        <w:tc>
          <w:tcPr>
            <w:tcW w:w="121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67.18</w:t>
            </w:r>
          </w:p>
        </w:tc>
        <w:tc>
          <w:tcPr>
            <w:tcW w:w="141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10.58</w:t>
            </w:r>
          </w:p>
        </w:tc>
        <w:tc>
          <w:tcPr>
            <w:tcW w:w="104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26.83</w:t>
            </w:r>
          </w:p>
        </w:tc>
      </w:tr>
      <w:tr>
        <w:trPr>
          <w:trHeight w:val="265" w:hRule="exact"/>
          <w:cantSplit w:val="1"/>
        </w:trPr>
        <w:tc>
          <w:tcPr>
            <w:tcW w:w="1416" w:type="dxa"/>
            <w:gridSpan w:val="1"/>
            <w:vAlign w:val="top"/>
            <w:tcMar/>
            <w:tcBorders>
              <w:top w:val="single" w:sz="4" w:space="0" w:color="000000"/>
              <w:bottom w:val="single" w:sz="8" w:space="0" w:color="000000"/>
            </w:tcBorders>
          </w:tcPr>
          <w:p>
            <w:pPr>
              <w:autoSpaceDE w:val="0"/>
              <w:autoSpaceDN w:val="0"/>
              <w:jc w:val="left"/>
              <w:spacing w:before="27" w:after="0" w:lineRule="exact" w:line="188"/>
              <w:ind w:right="0" w:left="98"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c>
          <w:tcPr>
            <w:tcW w:w="849"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4" w:after="0" w:lineRule="auto" w:line="240"/>
              <w:ind w:right="0" w:left="21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14 706</w:t>
            </w:r>
          </w:p>
        </w:tc>
        <w:tc>
          <w:tcPr>
            <w:tcW w:w="99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4" w:after="0" w:lineRule="auto" w:line="240"/>
              <w:ind w:right="0" w:left="324" w:firstLine="0"/>
              <w:snapToGrid w:val="0"/>
              <w:textAlignment w:val="auto"/>
              <w:tabs>
                <w:tab w:val="left" w:leader="none" w:pos="442"/>
              </w:tabs>
              <w:numPr>
                <w:ilvl w:val="0"/>
                <w:numId w:val="23"/>
              </w:numPr>
              <w:rPr>
                <w:rFonts w:ascii="Times New Roman" w:hAnsi="Times New Roman" w:cs="Times New Roman" w:eastAsia="Times New Roman" w:hint="ascii"/>
                <w:sz w:val="15"/>
              </w:rPr>
            </w:pPr>
            <w:r>
              <w:rPr>
                <w:rFonts w:ascii="Times New Roman" w:hAnsi="Times New Roman" w:cs="Times New Roman" w:eastAsia="Times New Roman" w:hint="ascii"/>
                <w:sz w:val="15"/>
              </w:rPr>
              <w:t>085</w:t>
            </w:r>
          </w:p>
        </w:tc>
        <w:tc>
          <w:tcPr>
            <w:tcW w:w="1050"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4" w:after="0" w:lineRule="auto" w:line="240"/>
              <w:ind w:right="0" w:left="2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185 120</w:t>
            </w:r>
          </w:p>
        </w:tc>
        <w:tc>
          <w:tcPr>
            <w:tcW w:w="1218"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4" w:after="0" w:lineRule="auto" w:line="240"/>
              <w:ind w:right="0" w:left="4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60.01</w:t>
            </w:r>
          </w:p>
        </w:tc>
        <w:tc>
          <w:tcPr>
            <w:tcW w:w="1416"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4" w:after="0" w:lineRule="auto" w:line="240"/>
              <w:ind w:right="0" w:left="5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17.32</w:t>
            </w:r>
          </w:p>
        </w:tc>
        <w:tc>
          <w:tcPr>
            <w:tcW w:w="1048"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4" w:after="0" w:lineRule="auto" w:line="240"/>
              <w:ind w:right="0" w:left="3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20.98</w:t>
            </w:r>
          </w:p>
        </w:tc>
      </w:tr>
    </w:tbl>
    <w:p>
      <w:pPr>
        <w:autoSpaceDE w:val="0"/>
        <w:autoSpaceDN w:val="0"/>
        <w:jc w:val="left"/>
        <w:spacing w:before="518" w:after="0" w:lineRule="exact" w:line="225"/>
        <w:ind w:right="0" w:left="851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66" locked="0" layoutInCell="1" allowOverlap="1">
                <wp:simplePos x="0" y="0"/>
                <wp:positionH relativeFrom="page">
                  <wp:posOffset>938530</wp:posOffset>
                </wp:positionH>
                <wp:positionV relativeFrom="page">
                  <wp:posOffset>805815</wp:posOffset>
                </wp:positionV>
                <wp:extent cx="5076190" cy="0"/>
                <wp:wrapNone/>
                <wp:docPr id="1093" name="109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90656;width:399.70pt;" id="1093"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416"/>
        <w:gridCol w:w="849"/>
        <w:gridCol w:w="995"/>
        <w:gridCol w:w="1037"/>
        <w:gridCol w:w="1231"/>
        <w:gridCol w:w="1416"/>
        <w:gridCol w:w="1048"/>
      </w:tblGrid>
      <w:tr>
        <w:trPr>
          <w:trHeight w:val="265" w:hRule="exact"/>
          <w:cantSplit w:val="1"/>
        </w:trPr>
        <w:tc>
          <w:tcPr>
            <w:tcW w:w="1416" w:type="dxa"/>
            <w:gridSpan w:val="1"/>
            <w:vAlign w:val="top"/>
            <w:vMerge w:val="restart"/>
            <w:tcMar/>
            <w:tcBorders/>
          </w:tcPr>
          <w:p>
            <w:pPr>
              <w:autoSpaceDE w:val="0"/>
              <w:autoSpaceDN w:val="0"/>
              <w:jc w:val="left"/>
              <w:spacing w:before="255" w:after="0" w:lineRule="exact" w:line="188"/>
              <w:ind w:right="0" w:left="474"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849" w:type="dxa"/>
            <w:gridSpan w:val="1"/>
            <w:vAlign w:val="top"/>
            <w:vMerge w:val="restart"/>
            <w:tcMar/>
            <w:tcBorders>
              <w:left w:val="single" w:sz="4" w:space="0" w:color="000000"/>
            </w:tcBorders>
          </w:tcPr>
          <w:p>
            <w:pPr>
              <w:autoSpaceDE w:val="0"/>
              <w:autoSpaceDN w:val="0"/>
              <w:jc w:val="left"/>
              <w:spacing w:before="255"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申请项数</w:t>
            </w:r>
          </w:p>
        </w:tc>
        <w:tc>
          <w:tcPr>
            <w:tcW w:w="4679" w:type="dxa"/>
            <w:gridSpan w:val="4"/>
            <w:vAlign w:val="top"/>
            <w:tcMar/>
            <w:tcBorders>
              <w:left w:val="single" w:sz="4" w:space="0" w:color="000000"/>
            </w:tcBorders>
          </w:tcPr>
          <w:p>
            <w:pPr>
              <w:autoSpaceDE w:val="0"/>
              <w:autoSpaceDN w:val="0"/>
              <w:jc w:val="left"/>
              <w:spacing w:before="28" w:after="0" w:lineRule="exact" w:line="188"/>
              <w:ind w:right="0" w:left="2035" w:firstLine="0"/>
              <w:snapToGrid w:val="0"/>
              <w:textAlignment w:val="auto"/>
              <w:tabs/>
              <w:rPr>
                <w:rFonts w:ascii="宋体" w:hAnsi="宋体" w:cs="宋体" w:eastAsia="宋体" w:hint="ascii"/>
                <w:sz w:val="15"/>
              </w:rPr>
            </w:pPr>
            <w:r>
              <w:rPr>
                <w:rFonts w:ascii="宋体" w:hAnsi="宋体" w:cs="宋体" w:eastAsia="宋体" w:hint="ascii"/>
                <w:sz w:val="15"/>
              </w:rPr>
              <w:t>批准资助</w:t>
            </w:r>
          </w:p>
        </w:tc>
        <w:tc>
          <w:tcPr>
            <w:tcW w:w="1048" w:type="dxa"/>
            <w:gridSpan w:val="1"/>
            <w:vAlign w:val="top"/>
            <w:vMerge w:val="restart"/>
            <w:tcMar/>
            <w:tcBorders>
              <w:left w:val="single" w:sz="4" w:space="0" w:color="000000"/>
              <w:right w:val="single" w:sz="8" w:space="0" w:color="000000"/>
            </w:tcBorders>
          </w:tcPr>
          <w:p>
            <w:pPr>
              <w:autoSpaceDE w:val="0"/>
              <w:autoSpaceDN w:val="0"/>
              <w:jc w:val="left"/>
              <w:spacing w:before="255" w:after="0" w:lineRule="exact" w:line="188"/>
              <w:ind w:right="0" w:left="81"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455" w:hRule="exact"/>
          <w:cantSplit w:val="1"/>
        </w:trPr>
        <w:tc>
          <w:tcPr>
            <w:tcW w:w="1416"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vMerge w:val="continue"/>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95"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项数</w:t>
            </w:r>
          </w:p>
        </w:tc>
        <w:tc>
          <w:tcPr>
            <w:tcW w:w="1037"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21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231"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59" w:firstLine="0"/>
              <w:snapToGrid w:val="0"/>
              <w:textAlignment w:val="auto"/>
              <w:tabs/>
              <w:rPr>
                <w:rFonts w:ascii="宋体" w:hAnsi="宋体" w:cs="宋体" w:eastAsia="宋体" w:hint="ascii"/>
                <w:sz w:val="15"/>
              </w:rPr>
            </w:pPr>
            <w:r>
              <w:rPr>
                <w:rFonts w:ascii="宋体" w:hAnsi="宋体" w:cs="宋体" w:eastAsia="宋体" w:hint="ascii"/>
                <w:sz w:val="15"/>
              </w:rPr>
              <w:t>平均资助强度</w:t>
            </w:r>
          </w:p>
        </w:tc>
        <w:tc>
          <w:tcPr>
            <w:tcW w:w="1416"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253" w:firstLine="0"/>
              <w:snapToGrid w:val="0"/>
              <w:textAlignment w:val="auto"/>
              <w:tabs/>
              <w:rPr>
                <w:rFonts w:ascii="宋体" w:hAnsi="宋体" w:cs="宋体" w:eastAsia="宋体" w:hint="ascii"/>
                <w:sz w:val="15"/>
              </w:rPr>
            </w:pPr>
            <w:r>
              <w:rPr>
                <w:rFonts w:ascii="宋体" w:hAnsi="宋体" w:cs="宋体" w:eastAsia="宋体" w:hint="ascii"/>
                <w:sz w:val="15"/>
              </w:rPr>
              <w:t>直接费用占比</w:t>
            </w:r>
          </w:p>
          <w:p>
            <w:pPr>
              <w:autoSpaceDE w:val="0"/>
              <w:autoSpaceDN w:val="0"/>
              <w:jc w:val="left"/>
              <w:spacing w:before="7" w:after="0" w:lineRule="exact" w:line="188"/>
              <w:ind w:right="0" w:left="453"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1048" w:type="dxa"/>
            <w:gridSpan w:val="1"/>
            <w:vAlign w:val="top"/>
            <w:vMerge w:val="continue"/>
            <w:tcMar/>
            <w:tcBorders>
              <w:left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r>
      <w:tr>
        <w:trPr>
          <w:trHeight w:val="260" w:hRule="exact"/>
          <w:cantSplit w:val="1"/>
        </w:trPr>
        <w:tc>
          <w:tcPr>
            <w:tcW w:w="1416" w:type="dxa"/>
            <w:gridSpan w:val="1"/>
            <w:vAlign w:val="top"/>
            <w:tcMar/>
            <w:tcBorders>
              <w:top w:val="single" w:sz="4" w:space="0" w:color="000000"/>
            </w:tcBorders>
          </w:tcPr>
          <w:p>
            <w:pPr>
              <w:autoSpaceDE w:val="0"/>
              <w:autoSpaceDN w:val="0"/>
              <w:jc w:val="left"/>
              <w:spacing w:before="29"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8 867</w:t>
            </w:r>
          </w:p>
        </w:tc>
        <w:tc>
          <w:tcPr>
            <w:tcW w:w="99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6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1 912</w:t>
            </w:r>
          </w:p>
        </w:tc>
        <w:tc>
          <w:tcPr>
            <w:tcW w:w="103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4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13 880</w:t>
            </w:r>
          </w:p>
        </w:tc>
        <w:tc>
          <w:tcPr>
            <w:tcW w:w="123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59.56</w:t>
            </w:r>
          </w:p>
        </w:tc>
        <w:tc>
          <w:tcPr>
            <w:tcW w:w="141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1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10.66</w:t>
            </w:r>
          </w:p>
        </w:tc>
        <w:tc>
          <w:tcPr>
            <w:tcW w:w="104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92" w:firstLine="0"/>
              <w:snapToGrid w:val="0"/>
              <w:textAlignment w:val="auto"/>
              <w:tabs>
                <w:tab w:val="left" w:leader="none" w:pos="-655355"/>
              </w:tabs>
              <w:numPr>
                <w:ilvl w:val="1"/>
                <w:numId w:val="2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r>
      <w:tr>
        <w:trPr>
          <w:trHeight w:val="260" w:hRule="exact"/>
          <w:cantSplit w:val="1"/>
        </w:trPr>
        <w:tc>
          <w:tcPr>
            <w:tcW w:w="1416" w:type="dxa"/>
            <w:gridSpan w:val="1"/>
            <w:vAlign w:val="top"/>
            <w:tcMar/>
            <w:tcBorders>
              <w:top w:val="single" w:sz="4" w:space="0" w:color="000000"/>
            </w:tcBorders>
          </w:tcPr>
          <w:p>
            <w:pPr>
              <w:autoSpaceDE w:val="0"/>
              <w:autoSpaceDN w:val="0"/>
              <w:jc w:val="left"/>
              <w:spacing w:before="29"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4 072</w:t>
            </w:r>
          </w:p>
        </w:tc>
        <w:tc>
          <w:tcPr>
            <w:tcW w:w="99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5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755</w:t>
            </w:r>
          </w:p>
        </w:tc>
        <w:tc>
          <w:tcPr>
            <w:tcW w:w="103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36 240</w:t>
            </w:r>
          </w:p>
        </w:tc>
        <w:tc>
          <w:tcPr>
            <w:tcW w:w="123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48.00</w:t>
            </w:r>
          </w:p>
        </w:tc>
        <w:tc>
          <w:tcPr>
            <w:tcW w:w="141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87" w:firstLine="0"/>
              <w:snapToGrid w:val="0"/>
              <w:textAlignment w:val="auto"/>
              <w:tabs>
                <w:tab w:val="left" w:leader="none" w:pos="-655355"/>
              </w:tabs>
              <w:numPr>
                <w:ilvl w:val="1"/>
                <w:numId w:val="26"/>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104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9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18.54</w:t>
            </w:r>
          </w:p>
        </w:tc>
      </w:tr>
      <w:tr>
        <w:trPr>
          <w:trHeight w:val="260" w:hRule="exact"/>
          <w:cantSplit w:val="1"/>
        </w:trPr>
        <w:tc>
          <w:tcPr>
            <w:tcW w:w="1416" w:type="dxa"/>
            <w:gridSpan w:val="1"/>
            <w:vAlign w:val="top"/>
            <w:tcMar/>
            <w:tcBorders>
              <w:top w:val="single" w:sz="4" w:space="0" w:color="000000"/>
            </w:tcBorders>
          </w:tcPr>
          <w:p>
            <w:pPr>
              <w:autoSpaceDE w:val="0"/>
              <w:autoSpaceDN w:val="0"/>
              <w:jc w:val="left"/>
              <w:spacing w:before="29"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13" w:firstLine="0"/>
              <w:snapToGrid w:val="0"/>
              <w:textAlignment w:val="auto"/>
              <w:tabs>
                <w:tab w:val="left" w:leader="none" w:pos="407"/>
              </w:tabs>
              <w:numPr>
                <w:ilvl w:val="0"/>
                <w:numId w:val="2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965</w:t>
            </w:r>
          </w:p>
        </w:tc>
        <w:tc>
          <w:tcPr>
            <w:tcW w:w="99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60" w:firstLine="0"/>
              <w:snapToGrid w:val="0"/>
              <w:textAlignment w:val="auto"/>
              <w:tabs>
                <w:tab w:val="left" w:leader="none" w:pos="478"/>
              </w:tabs>
              <w:numPr>
                <w:ilvl w:val="0"/>
                <w:numId w:val="26"/>
              </w:numPr>
              <w:rPr>
                <w:rFonts w:ascii="Times New Roman" w:hAnsi="Times New Roman" w:cs="Times New Roman" w:eastAsia="Times New Roman" w:hint="ascii"/>
                <w:sz w:val="15"/>
              </w:rPr>
            </w:pPr>
            <w:r>
              <w:rPr>
                <w:rFonts w:ascii="Times New Roman" w:hAnsi="Times New Roman" w:cs="Times New Roman" w:eastAsia="Times New Roman" w:hint="ascii"/>
                <w:sz w:val="15"/>
              </w:rPr>
              <w:t>455</w:t>
            </w:r>
          </w:p>
        </w:tc>
        <w:tc>
          <w:tcPr>
            <w:tcW w:w="103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242 140</w:t>
            </w:r>
          </w:p>
        </w:tc>
        <w:tc>
          <w:tcPr>
            <w:tcW w:w="123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54.35</w:t>
            </w:r>
          </w:p>
        </w:tc>
        <w:tc>
          <w:tcPr>
            <w:tcW w:w="141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1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22.66</w:t>
            </w:r>
          </w:p>
        </w:tc>
        <w:tc>
          <w:tcPr>
            <w:tcW w:w="104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9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19.40</w:t>
            </w:r>
          </w:p>
        </w:tc>
      </w:tr>
      <w:tr>
        <w:trPr>
          <w:trHeight w:val="266" w:hRule="exact"/>
          <w:cantSplit w:val="1"/>
        </w:trPr>
        <w:tc>
          <w:tcPr>
            <w:tcW w:w="1416" w:type="dxa"/>
            <w:gridSpan w:val="1"/>
            <w:vAlign w:val="top"/>
            <w:tcMar/>
            <w:tcBorders>
              <w:top w:val="single" w:sz="4" w:space="0" w:color="000000"/>
              <w:bottom w:val="single" w:sz="8" w:space="0" w:color="000000"/>
            </w:tcBorders>
          </w:tcPr>
          <w:p>
            <w:pPr>
              <w:autoSpaceDE w:val="0"/>
              <w:autoSpaceDN w:val="0"/>
              <w:jc w:val="left"/>
              <w:spacing w:before="29" w:after="0" w:lineRule="exact" w:line="188"/>
              <w:ind w:right="0" w:left="248"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49"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1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80 291</w:t>
            </w:r>
          </w:p>
        </w:tc>
        <w:tc>
          <w:tcPr>
            <w:tcW w:w="99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18 136</w:t>
            </w:r>
          </w:p>
        </w:tc>
        <w:tc>
          <w:tcPr>
            <w:tcW w:w="1037"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1 068 590</w:t>
            </w:r>
          </w:p>
        </w:tc>
        <w:tc>
          <w:tcPr>
            <w:tcW w:w="123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41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58.92</w:t>
            </w:r>
          </w:p>
        </w:tc>
        <w:tc>
          <w:tcPr>
            <w:tcW w:w="1416"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53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100.00</w:t>
            </w:r>
          </w:p>
        </w:tc>
        <w:tc>
          <w:tcPr>
            <w:tcW w:w="1048"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5" w:after="0" w:lineRule="auto" w:line="240"/>
              <w:ind w:right="0" w:left="39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22.59</w:t>
            </w:r>
          </w:p>
        </w:tc>
      </w:tr>
    </w:tbl>
    <w:p>
      <w:pPr>
        <w:autoSpaceDE w:val="0"/>
        <w:autoSpaceDN w:val="0"/>
        <w:jc w:val="left"/>
        <w:spacing w:before="1034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438"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数理科学部</w:t>
      </w:r>
      <w:r>
        <w:rPr>
          <w:rFonts w:ascii="宋体" w:hAnsi="宋体" w:cs="宋体" w:eastAsia="宋体" w:hint="ascii"/>
          <w:sz w:val="38"/>
        </w:rPr>
        <mc:AlternateContent>
          <mc:Choice Requires="wps">
            <w:drawing>
              <wp:anchor distL="0" distR="0" distT="0" distB="0" simplePos="0" behindDoc="1" relativeHeight="67" locked="0" layoutInCell="1" allowOverlap="1">
                <wp:simplePos x="0" y="0"/>
                <wp:positionH relativeFrom="page">
                  <wp:posOffset>938530</wp:posOffset>
                </wp:positionH>
                <wp:positionV relativeFrom="page">
                  <wp:posOffset>819150</wp:posOffset>
                </wp:positionV>
                <wp:extent cx="5076190" cy="0"/>
                <wp:wrapNone/>
                <wp:docPr id="1094" name="109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89632;width:399.70pt;" id="109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数理科学研究物质深层次结构和运动规律，是自然科学的重要基础，是当代科学发</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展的先导和基础。数理科学在自身发展的同时，还为其他学科的发展提供理论、方法和手段等，数理科学的研究成果在推动基础学科和应用学科的发展中起着重要作用。数理科学所属各学科间差异大，独立性强，既有纯理论研究（如数学、理论物理等</w:t>
      </w:r>
      <w:r>
        <w:rPr>
          <w:rFonts w:ascii="宋体" w:hAnsi="宋体" w:cs="宋体" w:eastAsia="宋体" w:hint="ascii"/>
          <w:sz w:val="21"/>
          <w:spacing w:val="-51"/>
        </w:rPr>
        <w:t>）</w:t>
      </w:r>
      <w:r>
        <w:rPr>
          <w:rFonts w:ascii="宋体" w:hAnsi="宋体" w:cs="宋体" w:eastAsia="宋体" w:hint="ascii"/>
          <w:sz w:val="21"/>
        </w:rPr>
        <w:t>，又有</w:t>
      </w:r>
      <w:r>
        <w:rPr>
          <w:rFonts w:ascii="宋体" w:hAnsi="宋体" w:cs="宋体" w:eastAsia="宋体" w:hint="ascii"/>
          <w:sz w:val="21"/>
          <w:spacing w:val="5"/>
        </w:rPr>
        <w:t>实</w:t>
      </w:r>
      <w:r>
        <w:rPr>
          <w:rFonts w:ascii="宋体" w:hAnsi="宋体" w:cs="宋体" w:eastAsia="宋体" w:hint="ascii"/>
          <w:sz w:val="21"/>
          <w:spacing w:val="4"/>
        </w:rPr>
        <w:t>验研究</w:t>
      </w:r>
      <w:r>
        <w:rPr>
          <w:rFonts w:ascii="宋体" w:hAnsi="宋体" w:cs="宋体" w:eastAsia="宋体" w:hint="ascii"/>
          <w:sz w:val="21"/>
          <w:spacing w:val="-48"/>
        </w:rPr>
        <w:t>；</w:t>
      </w:r>
      <w:r>
        <w:rPr>
          <w:rFonts w:ascii="宋体" w:hAnsi="宋体" w:cs="宋体" w:eastAsia="宋体" w:hint="ascii"/>
          <w:sz w:val="21"/>
          <w:spacing w:val="4"/>
        </w:rPr>
        <w:t>“</w:t>
      </w:r>
      <w:r>
        <w:rPr>
          <w:rFonts w:ascii="宋体" w:hAnsi="宋体" w:cs="宋体" w:eastAsia="宋体" w:hint="ascii"/>
          <w:sz w:val="21"/>
          <w:spacing w:val="5"/>
        </w:rPr>
        <w:t>大</w:t>
      </w:r>
      <w:r>
        <w:rPr>
          <w:rFonts w:ascii="宋体" w:hAnsi="宋体" w:cs="宋体" w:eastAsia="宋体" w:hint="ascii"/>
          <w:sz w:val="21"/>
          <w:spacing w:val="4"/>
        </w:rPr>
        <w:t>科学</w:t>
      </w:r>
      <w:r>
        <w:rPr>
          <w:rFonts w:ascii="宋体" w:hAnsi="宋体" w:cs="宋体" w:eastAsia="宋体" w:hint="ascii"/>
          <w:sz w:val="21"/>
          <w:spacing w:val="5"/>
        </w:rPr>
        <w:t>”</w:t>
      </w:r>
      <w:r>
        <w:rPr>
          <w:rFonts w:ascii="宋体" w:hAnsi="宋体" w:cs="宋体" w:eastAsia="宋体" w:hint="ascii"/>
          <w:sz w:val="21"/>
          <w:spacing w:val="4"/>
        </w:rPr>
        <w:t>的</w:t>
      </w:r>
      <w:r>
        <w:rPr>
          <w:rFonts w:ascii="宋体" w:hAnsi="宋体" w:cs="宋体" w:eastAsia="宋体" w:hint="ascii"/>
          <w:sz w:val="21"/>
          <w:spacing w:val="5"/>
        </w:rPr>
        <w:t>学</w:t>
      </w:r>
      <w:r>
        <w:rPr>
          <w:rFonts w:ascii="宋体" w:hAnsi="宋体" w:cs="宋体" w:eastAsia="宋体" w:hint="ascii"/>
          <w:sz w:val="21"/>
          <w:spacing w:val="4"/>
        </w:rPr>
        <w:t>科多</w:t>
      </w:r>
      <w:r>
        <w:rPr>
          <w:rFonts w:ascii="宋体" w:hAnsi="宋体" w:cs="宋体" w:eastAsia="宋体" w:hint="ascii"/>
          <w:sz w:val="21"/>
          <w:spacing w:val="5"/>
        </w:rPr>
        <w:t>，</w:t>
      </w:r>
      <w:r>
        <w:rPr>
          <w:rFonts w:ascii="宋体" w:hAnsi="宋体" w:cs="宋体" w:eastAsia="宋体" w:hint="ascii"/>
          <w:sz w:val="21"/>
          <w:spacing w:val="4"/>
        </w:rPr>
        <w:t>如</w:t>
      </w:r>
      <w:r>
        <w:rPr>
          <w:rFonts w:ascii="宋体" w:hAnsi="宋体" w:cs="宋体" w:eastAsia="宋体" w:hint="ascii"/>
          <w:sz w:val="21"/>
          <w:spacing w:val="5"/>
        </w:rPr>
        <w:t>高</w:t>
      </w:r>
      <w:r>
        <w:rPr>
          <w:rFonts w:ascii="宋体" w:hAnsi="宋体" w:cs="宋体" w:eastAsia="宋体" w:hint="ascii"/>
          <w:sz w:val="21"/>
          <w:spacing w:val="4"/>
        </w:rPr>
        <w:t>能物</w:t>
      </w:r>
      <w:r>
        <w:rPr>
          <w:rFonts w:ascii="宋体" w:hAnsi="宋体" w:cs="宋体" w:eastAsia="宋体" w:hint="ascii"/>
          <w:sz w:val="21"/>
          <w:spacing w:val="5"/>
        </w:rPr>
        <w:t>理</w:t>
      </w:r>
      <w:r>
        <w:rPr>
          <w:rFonts w:ascii="宋体" w:hAnsi="宋体" w:cs="宋体" w:eastAsia="宋体" w:hint="ascii"/>
          <w:sz w:val="21"/>
          <w:spacing w:val="4"/>
        </w:rPr>
        <w:t>、</w:t>
      </w:r>
      <w:r>
        <w:rPr>
          <w:rFonts w:ascii="宋体" w:hAnsi="宋体" w:cs="宋体" w:eastAsia="宋体" w:hint="ascii"/>
          <w:sz w:val="21"/>
          <w:spacing w:val="5"/>
        </w:rPr>
        <w:t>核</w:t>
      </w:r>
      <w:r>
        <w:rPr>
          <w:rFonts w:ascii="宋体" w:hAnsi="宋体" w:cs="宋体" w:eastAsia="宋体" w:hint="ascii"/>
          <w:sz w:val="21"/>
          <w:spacing w:val="4"/>
        </w:rPr>
        <w:t>物理</w:t>
      </w:r>
      <w:r>
        <w:rPr>
          <w:rFonts w:ascii="宋体" w:hAnsi="宋体" w:cs="宋体" w:eastAsia="宋体" w:hint="ascii"/>
          <w:sz w:val="21"/>
          <w:spacing w:val="5"/>
        </w:rPr>
        <w:t>、</w:t>
      </w:r>
      <w:r>
        <w:rPr>
          <w:rFonts w:ascii="宋体" w:hAnsi="宋体" w:cs="宋体" w:eastAsia="宋体" w:hint="ascii"/>
          <w:sz w:val="21"/>
          <w:spacing w:val="4"/>
        </w:rPr>
        <w:t>天</w:t>
      </w:r>
      <w:r>
        <w:rPr>
          <w:rFonts w:ascii="宋体" w:hAnsi="宋体" w:cs="宋体" w:eastAsia="宋体" w:hint="ascii"/>
          <w:sz w:val="21"/>
          <w:spacing w:val="5"/>
        </w:rPr>
        <w:t>体</w:t>
      </w:r>
      <w:r>
        <w:rPr>
          <w:rFonts w:ascii="宋体" w:hAnsi="宋体" w:cs="宋体" w:eastAsia="宋体" w:hint="ascii"/>
          <w:sz w:val="21"/>
          <w:spacing w:val="4"/>
        </w:rPr>
        <w:t>物理</w:t>
      </w:r>
      <w:r>
        <w:rPr>
          <w:rFonts w:ascii="宋体" w:hAnsi="宋体" w:cs="宋体" w:eastAsia="宋体" w:hint="ascii"/>
          <w:sz w:val="21"/>
          <w:spacing w:val="5"/>
        </w:rPr>
        <w:t>、</w:t>
      </w:r>
      <w:r>
        <w:rPr>
          <w:rFonts w:ascii="宋体" w:hAnsi="宋体" w:cs="宋体" w:eastAsia="宋体" w:hint="ascii"/>
          <w:sz w:val="21"/>
          <w:spacing w:val="4"/>
        </w:rPr>
        <w:t>高</w:t>
      </w:r>
      <w:r>
        <w:rPr>
          <w:rFonts w:ascii="宋体" w:hAnsi="宋体" w:cs="宋体" w:eastAsia="宋体" w:hint="ascii"/>
          <w:sz w:val="21"/>
          <w:spacing w:val="5"/>
        </w:rPr>
        <w:t>温</w:t>
      </w:r>
      <w:r>
        <w:rPr>
          <w:rFonts w:ascii="宋体" w:hAnsi="宋体" w:cs="宋体" w:eastAsia="宋体" w:hint="ascii"/>
          <w:sz w:val="21"/>
          <w:spacing w:val="4"/>
        </w:rPr>
        <w:t>等离子体</w:t>
      </w:r>
      <w:r>
        <w:rPr>
          <w:rFonts w:ascii="宋体" w:hAnsi="宋体" w:cs="宋体" w:eastAsia="宋体" w:hint="ascii"/>
          <w:sz w:val="21"/>
        </w:rPr>
        <w:t>物理等。</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数理</w:t>
      </w:r>
      <w:r>
        <w:rPr>
          <w:rFonts w:ascii="宋体" w:hAnsi="宋体" w:cs="宋体" w:eastAsia="宋体" w:hint="ascii"/>
          <w:sz w:val="21"/>
          <w:spacing w:val="2"/>
        </w:rPr>
        <w:t>科</w:t>
      </w:r>
      <w:r>
        <w:rPr>
          <w:rFonts w:ascii="宋体" w:hAnsi="宋体" w:cs="宋体" w:eastAsia="宋体" w:hint="ascii"/>
          <w:sz w:val="21"/>
          <w:spacing w:val="1"/>
        </w:rPr>
        <w:t>学与其他</w:t>
      </w:r>
      <w:r>
        <w:rPr>
          <w:rFonts w:ascii="宋体" w:hAnsi="宋体" w:cs="宋体" w:eastAsia="宋体" w:hint="ascii"/>
          <w:sz w:val="21"/>
          <w:spacing w:val="2"/>
        </w:rPr>
        <w:t>科</w:t>
      </w:r>
      <w:r>
        <w:rPr>
          <w:rFonts w:ascii="宋体" w:hAnsi="宋体" w:cs="宋体" w:eastAsia="宋体" w:hint="ascii"/>
          <w:sz w:val="21"/>
          <w:spacing w:val="1"/>
        </w:rPr>
        <w:t>学有着广</w:t>
      </w:r>
      <w:r>
        <w:rPr>
          <w:rFonts w:ascii="宋体" w:hAnsi="宋体" w:cs="宋体" w:eastAsia="宋体" w:hint="ascii"/>
          <w:sz w:val="21"/>
          <w:spacing w:val="2"/>
        </w:rPr>
        <w:t>泛</w:t>
      </w:r>
      <w:r>
        <w:rPr>
          <w:rFonts w:ascii="宋体" w:hAnsi="宋体" w:cs="宋体" w:eastAsia="宋体" w:hint="ascii"/>
          <w:sz w:val="21"/>
          <w:spacing w:val="1"/>
        </w:rPr>
        <w:t>的交叉，</w:t>
      </w:r>
      <w:r>
        <w:rPr>
          <w:rFonts w:ascii="宋体" w:hAnsi="宋体" w:cs="宋体" w:eastAsia="宋体" w:hint="ascii"/>
          <w:sz w:val="21"/>
          <w:spacing w:val="2"/>
        </w:rPr>
        <w:t>例</w:t>
      </w:r>
      <w:r>
        <w:rPr>
          <w:rFonts w:ascii="宋体" w:hAnsi="宋体" w:cs="宋体" w:eastAsia="宋体" w:hint="ascii"/>
          <w:sz w:val="21"/>
          <w:spacing w:val="1"/>
        </w:rPr>
        <w:t>如数</w:t>
      </w:r>
      <w:r>
        <w:rPr>
          <w:rFonts w:ascii="宋体" w:hAnsi="宋体" w:cs="宋体" w:eastAsia="宋体" w:hint="ascii"/>
          <w:sz w:val="21"/>
          <w:spacing w:val="2"/>
        </w:rPr>
        <w:t>学与</w:t>
      </w:r>
      <w:r>
        <w:rPr>
          <w:rFonts w:ascii="宋体" w:hAnsi="宋体" w:cs="宋体" w:eastAsia="宋体" w:hint="ascii"/>
          <w:sz w:val="21"/>
          <w:spacing w:val="3"/>
        </w:rPr>
        <w:t>信</w:t>
      </w:r>
      <w:r>
        <w:rPr>
          <w:rFonts w:ascii="宋体" w:hAnsi="宋体" w:cs="宋体" w:eastAsia="宋体" w:hint="ascii"/>
          <w:sz w:val="21"/>
          <w:spacing w:val="2"/>
        </w:rPr>
        <w:t>息科学、</w:t>
      </w:r>
      <w:r>
        <w:rPr>
          <w:rFonts w:ascii="宋体" w:hAnsi="宋体" w:cs="宋体" w:eastAsia="宋体" w:hint="ascii"/>
          <w:sz w:val="21"/>
          <w:spacing w:val="3"/>
        </w:rPr>
        <w:t>生</w:t>
      </w:r>
      <w:r>
        <w:rPr>
          <w:rFonts w:ascii="宋体" w:hAnsi="宋体" w:cs="宋体" w:eastAsia="宋体" w:hint="ascii"/>
          <w:sz w:val="21"/>
          <w:spacing w:val="2"/>
        </w:rPr>
        <w:t>命科学、</w:t>
      </w:r>
      <w:r>
        <w:rPr>
          <w:rFonts w:ascii="宋体" w:hAnsi="宋体" w:cs="宋体" w:eastAsia="宋体" w:hint="ascii"/>
          <w:sz w:val="21"/>
          <w:spacing w:val="3"/>
        </w:rPr>
        <w:t>管</w:t>
      </w:r>
      <w:r>
        <w:rPr>
          <w:rFonts w:ascii="宋体" w:hAnsi="宋体" w:cs="宋体" w:eastAsia="宋体" w:hint="ascii"/>
          <w:sz w:val="21"/>
          <w:spacing w:val="2"/>
        </w:rPr>
        <w:t>理</w:t>
      </w:r>
      <w:r>
        <w:rPr>
          <w:rFonts w:ascii="宋体" w:hAnsi="宋体" w:cs="宋体" w:eastAsia="宋体" w:hint="ascii"/>
          <w:sz w:val="21"/>
          <w:spacing w:val="-1"/>
        </w:rPr>
        <w:t>科</w:t>
      </w:r>
      <w:r>
        <w:rPr>
          <w:rFonts w:ascii="宋体" w:hAnsi="宋体" w:cs="宋体" w:eastAsia="宋体" w:hint="ascii"/>
          <w:sz w:val="21"/>
        </w:rPr>
        <w:t xml:space="preserve"> 学，物理学与材料科学、生命科学、信息科学、化学，天文学与地球科学，力学与工程科学、材料科学、地球科学等都有大量的交叉，从而促使一系列交叉学科、边缘学科和新兴领域不断涌现，同时数理科学研究的对象和领域也在不断扩展。</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数理科学部将继续加大力度支持以推进学科发展、促进原始创新、培养高水平研究</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人才和适应国</w:t>
      </w:r>
      <w:r>
        <w:rPr>
          <w:rFonts w:ascii="宋体" w:hAnsi="宋体" w:cs="宋体" w:eastAsia="宋体" w:hint="ascii"/>
          <w:sz w:val="21"/>
        </w:rPr>
        <w:t>家长期发展需求为主要目标的基础研究，以及科学部内和跨科学部的学科交叉项目。</w:t>
      </w:r>
    </w:p>
    <w:p>
      <w:pPr>
        <w:autoSpaceDE w:val="0"/>
        <w:autoSpaceDN w:val="0"/>
        <w:jc w:val="left"/>
        <w:spacing w:before="40" w:after="0" w:lineRule="auto" w:line="240"/>
        <w:ind w:right="0" w:left="954" w:firstLine="420"/>
        <w:snapToGrid w:val="0"/>
        <w:textAlignment w:val="auto"/>
        <w:tabs>
          <w:tab w:val="left" w:leader="none" w:pos="1836"/>
        </w:tabs>
        <w:numPr>
          <w:ilvl w:val="0"/>
          <w:numId w:val="14"/>
        </w:numPr>
        <w:rPr>
          <w:rFonts w:ascii="Times New Roman" w:hAnsi="Times New Roman" w:cs="Times New Roman" w:eastAsia="Times New Roman" w:hint="ascii"/>
          <w:sz w:val="21"/>
          <w:spacing w:val="-3"/>
        </w:rPr>
      </w:pPr>
      <w:r>
        <w:rPr>
          <w:rFonts w:ascii="宋体" w:hAnsi="宋体" w:cs="宋体" w:eastAsia="宋体" w:hint="ascii"/>
          <w:sz w:val="21"/>
          <w:spacing w:val="-1"/>
        </w:rPr>
        <w:t>年度数理科学部共接收面上项目申</w:t>
      </w:r>
      <w:r>
        <w:rPr>
          <w:rFonts w:ascii="宋体" w:hAnsi="宋体" w:cs="宋体" w:eastAsia="宋体" w:hint="ascii"/>
          <w:sz w:val="21"/>
          <w:spacing w:val="24"/>
        </w:rPr>
        <w:t>请</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spacing w:val="-3"/>
        </w:rPr>
        <w:t>80</w:t>
      </w:r>
      <w:r>
        <w:rPr>
          <w:rFonts w:ascii="Times New Roman" w:hAnsi="Times New Roman" w:cs="Times New Roman" w:eastAsia="Times New Roman" w:hint="ascii"/>
          <w:sz w:val="21"/>
          <w:spacing w:val="51"/>
        </w:rPr>
        <w:t>4</w:t>
      </w:r>
      <w:r>
        <w:rPr>
          <w:rFonts w:ascii="宋体" w:hAnsi="宋体" w:cs="宋体" w:eastAsia="宋体" w:hint="ascii"/>
          <w:sz w:val="21"/>
          <w:spacing w:val="-1"/>
        </w:rPr>
        <w:t>项，</w:t>
      </w:r>
      <w:r>
        <w:rPr>
          <w:rFonts w:ascii="宋体" w:hAnsi="宋体" w:cs="宋体" w:eastAsia="宋体" w:hint="ascii"/>
          <w:sz w:val="21"/>
          <w:spacing w:val="24"/>
        </w:rPr>
        <w:t>比</w:t>
      </w:r>
      <w:r>
        <w:rPr>
          <w:rFonts w:ascii="Times New Roman" w:hAnsi="Times New Roman" w:cs="Times New Roman" w:eastAsia="Times New Roman" w:hint="ascii"/>
          <w:sz w:val="21"/>
          <w:spacing w:val="-3"/>
        </w:rPr>
        <w:t>201</w:t>
      </w:r>
      <w:r>
        <w:rPr>
          <w:rFonts w:ascii="Times New Roman" w:hAnsi="Times New Roman" w:cs="Times New Roman" w:eastAsia="Times New Roman" w:hint="ascii"/>
          <w:sz w:val="21"/>
          <w:spacing w:val="51"/>
        </w:rPr>
        <w:t>6</w:t>
      </w:r>
      <w:r>
        <w:rPr>
          <w:rFonts w:ascii="宋体" w:hAnsi="宋体" w:cs="宋体" w:eastAsia="宋体" w:hint="ascii"/>
          <w:sz w:val="21"/>
          <w:spacing w:val="-1"/>
        </w:rPr>
        <w:t>年度增</w:t>
      </w:r>
      <w:r>
        <w:rPr>
          <w:rFonts w:ascii="宋体" w:hAnsi="宋体" w:cs="宋体" w:eastAsia="宋体" w:hint="ascii"/>
          <w:sz w:val="21"/>
          <w:spacing w:val="24"/>
        </w:rPr>
        <w:t>长</w:t>
      </w:r>
      <w:r>
        <w:rPr>
          <w:rFonts w:ascii="Times New Roman" w:hAnsi="Times New Roman" w:cs="Times New Roman" w:eastAsia="Times New Roman" w:hint="ascii"/>
          <w:sz w:val="21"/>
          <w:spacing w:val="-3"/>
        </w:rPr>
        <w:t>42</w:t>
      </w:r>
      <w:r>
        <w:rPr>
          <w:rFonts w:ascii="Times New Roman" w:hAnsi="Times New Roman" w:cs="Times New Roman" w:eastAsia="Times New Roman" w:hint="ascii"/>
          <w:sz w:val="21"/>
          <w:spacing w:val="51"/>
        </w:rPr>
        <w:t>4</w:t>
      </w:r>
      <w:r>
        <w:rPr>
          <w:rFonts w:ascii="宋体" w:hAnsi="宋体" w:cs="宋体" w:eastAsia="宋体" w:hint="ascii"/>
          <w:sz w:val="21"/>
          <w:spacing w:val="-1"/>
        </w:rPr>
        <w:t>项，增</w:t>
      </w:r>
      <w:r>
        <w:rPr>
          <w:rFonts w:ascii="宋体" w:hAnsi="宋体" w:cs="宋体" w:eastAsia="宋体" w:hint="ascii"/>
          <w:sz w:val="21"/>
        </w:rPr>
        <w:t>长</w:t>
      </w:r>
    </w:p>
    <w:p>
      <w:pPr>
        <w:autoSpaceDE w:val="0"/>
        <w:autoSpaceDN w:val="0"/>
        <w:jc w:val="left"/>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率</w:t>
      </w:r>
      <w:r>
        <w:rPr>
          <w:rFonts w:ascii="宋体" w:hAnsi="宋体" w:cs="宋体" w:eastAsia="宋体" w:hint="ascii"/>
          <w:sz w:val="21"/>
          <w:spacing w:val="20"/>
        </w:rPr>
        <w:t>为</w:t>
      </w:r>
      <w:r>
        <w:rPr>
          <w:rFonts w:ascii="Times New Roman" w:hAnsi="Times New Roman" w:cs="Times New Roman" w:eastAsia="Times New Roman" w:hint="ascii"/>
          <w:sz w:val="21"/>
          <w:spacing w:val="-5"/>
        </w:rPr>
        <w:t>7.8</w:t>
      </w:r>
      <w:r>
        <w:rPr>
          <w:rFonts w:ascii="Times New Roman" w:hAnsi="Times New Roman" w:cs="Times New Roman" w:eastAsia="Times New Roman" w:hint="ascii"/>
          <w:sz w:val="21"/>
          <w:spacing w:val="-4"/>
        </w:rPr>
        <w:t>8%</w:t>
      </w:r>
      <w:r>
        <w:rPr>
          <w:rFonts w:ascii="宋体" w:hAnsi="宋体" w:cs="宋体" w:eastAsia="宋体" w:hint="ascii"/>
          <w:sz w:val="21"/>
          <w:spacing w:val="-4"/>
        </w:rPr>
        <w:t>。资</w:t>
      </w:r>
      <w:r>
        <w:rPr>
          <w:rFonts w:ascii="宋体" w:hAnsi="宋体" w:cs="宋体" w:eastAsia="宋体" w:hint="ascii"/>
          <w:sz w:val="21"/>
          <w:spacing w:val="20"/>
        </w:rPr>
        <w:t>助</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spacing w:val="-8"/>
        </w:rPr>
        <w:t xml:space="preserve"> </w:t>
      </w:r>
      <w:r>
        <w:rPr>
          <w:rFonts w:ascii="Times New Roman" w:hAnsi="Times New Roman" w:cs="Times New Roman" w:eastAsia="Times New Roman" w:hint="ascii"/>
          <w:sz w:val="21"/>
          <w:spacing w:val="-5"/>
        </w:rPr>
        <w:t>67</w:t>
      </w:r>
      <w:r>
        <w:rPr>
          <w:rFonts w:ascii="Times New Roman" w:hAnsi="Times New Roman" w:cs="Times New Roman" w:eastAsia="Times New Roman" w:hint="ascii"/>
          <w:sz w:val="21"/>
          <w:spacing w:val="47"/>
        </w:rPr>
        <w:t>3</w:t>
      </w:r>
      <w:r>
        <w:rPr>
          <w:rFonts w:ascii="宋体" w:hAnsi="宋体" w:cs="宋体" w:eastAsia="宋体" w:hint="ascii"/>
          <w:sz w:val="21"/>
          <w:spacing w:val="-4"/>
        </w:rPr>
        <w:t>项，资助率</w:t>
      </w:r>
      <w:r>
        <w:rPr>
          <w:rFonts w:ascii="宋体" w:hAnsi="宋体" w:cs="宋体" w:eastAsia="宋体" w:hint="ascii"/>
          <w:sz w:val="21"/>
          <w:spacing w:val="20"/>
        </w:rPr>
        <w:t>为</w:t>
      </w:r>
      <w:r>
        <w:rPr>
          <w:rFonts w:ascii="Times New Roman" w:hAnsi="Times New Roman" w:cs="Times New Roman" w:eastAsia="Times New Roman" w:hint="ascii"/>
          <w:sz w:val="21"/>
          <w:spacing w:val="-4"/>
        </w:rPr>
        <w:t>2</w:t>
      </w:r>
      <w:r>
        <w:rPr>
          <w:rFonts w:ascii="Times New Roman" w:hAnsi="Times New Roman" w:cs="Times New Roman" w:eastAsia="Times New Roman" w:hint="ascii"/>
          <w:sz w:val="21"/>
          <w:spacing w:val="-5"/>
        </w:rPr>
        <w:t>8.82</w:t>
      </w:r>
      <w:r>
        <w:rPr>
          <w:rFonts w:ascii="Times New Roman" w:hAnsi="Times New Roman" w:cs="Times New Roman" w:eastAsia="Times New Roman" w:hint="ascii"/>
          <w:sz w:val="21"/>
          <w:spacing w:val="-4"/>
        </w:rPr>
        <w:t>%</w:t>
      </w:r>
      <w:r>
        <w:rPr>
          <w:rFonts w:ascii="宋体" w:hAnsi="宋体" w:cs="宋体" w:eastAsia="宋体" w:hint="ascii"/>
          <w:sz w:val="21"/>
          <w:spacing w:val="-4"/>
        </w:rPr>
        <w:t>，</w:t>
      </w:r>
      <w:r>
        <w:rPr>
          <w:rFonts w:ascii="宋体" w:hAnsi="宋体" w:cs="宋体" w:eastAsia="宋体" w:hint="ascii"/>
          <w:sz w:val="21"/>
          <w:spacing w:val="-3"/>
        </w:rPr>
        <w:t>直接费用平均资助强度</w:t>
      </w:r>
      <w:r>
        <w:rPr>
          <w:rFonts w:ascii="宋体" w:hAnsi="宋体" w:cs="宋体" w:eastAsia="宋体" w:hint="ascii"/>
          <w:sz w:val="21"/>
          <w:spacing w:val="21"/>
        </w:rPr>
        <w:t>为</w:t>
      </w:r>
      <w:r>
        <w:rPr>
          <w:rFonts w:ascii="Times New Roman" w:hAnsi="Times New Roman" w:cs="Times New Roman" w:eastAsia="Times New Roman" w:hint="ascii"/>
          <w:sz w:val="21"/>
          <w:spacing w:val="-4"/>
        </w:rPr>
        <w:t>6</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46"/>
        </w:rPr>
        <w:t>6</w:t>
      </w:r>
      <w:r>
        <w:rPr>
          <w:rFonts w:ascii="宋体" w:hAnsi="宋体" w:cs="宋体" w:eastAsia="宋体" w:hint="ascii"/>
          <w:sz w:val="21"/>
          <w:spacing w:val="-3"/>
        </w:rPr>
        <w:t>万元</w:t>
      </w:r>
      <w:r>
        <w:rPr>
          <w:rFonts w:ascii="Times New Roman" w:hAnsi="Times New Roman" w:cs="Times New Roman" w:eastAsia="Times New Roman" w:hint="ascii"/>
          <w:sz w:val="21"/>
          <w:spacing w:val="-3"/>
        </w:rPr>
        <w:t>/</w:t>
      </w:r>
      <w:r>
        <w:rPr>
          <w:rFonts w:ascii="宋体" w:hAnsi="宋体" w:cs="宋体" w:eastAsia="宋体" w:hint="ascii"/>
          <w:sz w:val="21"/>
          <w:spacing w:val="-3"/>
        </w:rPr>
        <w:t>项</w:t>
      </w:r>
      <w:r>
        <w:rPr>
          <w:rFonts w:ascii="宋体" w:hAnsi="宋体" w:cs="宋体" w:eastAsia="宋体" w:hint="ascii"/>
          <w:sz w:val="21"/>
          <w:spacing w:val="-1"/>
        </w:rPr>
        <w:t>，</w:t>
      </w:r>
      <w:r>
        <w:rPr>
          <w:rFonts w:ascii="宋体" w:hAnsi="宋体" w:cs="宋体" w:eastAsia="宋体" w:hint="ascii"/>
          <w:sz w:val="21"/>
        </w:rPr>
        <w:t xml:space="preserve"> </w:t>
      </w:r>
      <w:r>
        <w:rPr>
          <w:rFonts w:ascii="宋体" w:hAnsi="宋体" w:cs="宋体" w:eastAsia="宋体" w:hint="ascii"/>
          <w:sz w:val="21"/>
          <w:spacing w:val="3"/>
        </w:rPr>
        <w:t>其中直接</w:t>
      </w:r>
      <w:r>
        <w:rPr>
          <w:rFonts w:ascii="宋体" w:hAnsi="宋体" w:cs="宋体" w:eastAsia="宋体" w:hint="ascii"/>
          <w:sz w:val="21"/>
        </w:rPr>
        <w:t>费</w:t>
      </w:r>
      <w:r>
        <w:rPr>
          <w:rFonts w:ascii="宋体" w:hAnsi="宋体" w:cs="宋体" w:eastAsia="宋体" w:hint="ascii"/>
          <w:sz w:val="21"/>
          <w:spacing w:val="3"/>
        </w:rPr>
        <w:t>用平均资</w:t>
      </w:r>
      <w:r>
        <w:rPr>
          <w:rFonts w:ascii="宋体" w:hAnsi="宋体" w:cs="宋体" w:eastAsia="宋体" w:hint="ascii"/>
          <w:sz w:val="21"/>
        </w:rPr>
        <w:t>助</w:t>
      </w:r>
      <w:r>
        <w:rPr>
          <w:rFonts w:ascii="宋体" w:hAnsi="宋体" w:cs="宋体" w:eastAsia="宋体" w:hint="ascii"/>
          <w:sz w:val="21"/>
          <w:spacing w:val="3"/>
        </w:rPr>
        <w:t>强度按科</w:t>
      </w:r>
      <w:r>
        <w:rPr>
          <w:rFonts w:ascii="宋体" w:hAnsi="宋体" w:cs="宋体" w:eastAsia="宋体" w:hint="ascii"/>
          <w:sz w:val="21"/>
        </w:rPr>
        <w:t>学</w:t>
      </w:r>
      <w:r>
        <w:rPr>
          <w:rFonts w:ascii="宋体" w:hAnsi="宋体" w:cs="宋体" w:eastAsia="宋体" w:hint="ascii"/>
          <w:sz w:val="21"/>
          <w:spacing w:val="3"/>
        </w:rPr>
        <w:t>处的分布</w:t>
      </w:r>
      <w:r>
        <w:rPr>
          <w:rFonts w:ascii="宋体" w:hAnsi="宋体" w:cs="宋体" w:eastAsia="宋体" w:hint="ascii"/>
          <w:sz w:val="21"/>
        </w:rPr>
        <w:t>为</w:t>
      </w:r>
      <w:r>
        <w:rPr>
          <w:rFonts w:ascii="宋体" w:hAnsi="宋体" w:cs="宋体" w:eastAsia="宋体" w:hint="ascii"/>
          <w:sz w:val="21"/>
          <w:spacing w:val="3"/>
        </w:rPr>
        <w:t>：数学科</w:t>
      </w:r>
      <w:r>
        <w:rPr>
          <w:rFonts w:ascii="宋体" w:hAnsi="宋体" w:cs="宋体" w:eastAsia="宋体" w:hint="ascii"/>
          <w:sz w:val="21"/>
        </w:rPr>
        <w:t>学处</w:t>
      </w:r>
      <w:r>
        <w:rPr>
          <w:rFonts w:ascii="宋体" w:hAnsi="宋体" w:cs="宋体" w:eastAsia="宋体" w:hint="ascii"/>
          <w:sz w:val="21"/>
          <w:spacing w:val="-23"/>
        </w:rPr>
        <w:t xml:space="preserve"> </w:t>
      </w:r>
      <w:r>
        <w:rPr>
          <w:rFonts w:ascii="Times New Roman" w:hAnsi="Times New Roman" w:cs="Times New Roman" w:eastAsia="Times New Roman" w:hint="ascii"/>
          <w:sz w:val="21"/>
        </w:rPr>
        <w:t>48.00</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万元</w:t>
      </w:r>
      <w:r>
        <w:rPr>
          <w:rFonts w:ascii="Times New Roman" w:hAnsi="Times New Roman" w:cs="Times New Roman" w:eastAsia="Times New Roman" w:hint="ascii"/>
          <w:sz w:val="21"/>
          <w:spacing w:val="5"/>
        </w:rPr>
        <w:t>/</w:t>
      </w:r>
      <w:r>
        <w:rPr>
          <w:rFonts w:ascii="宋体" w:hAnsi="宋体" w:cs="宋体" w:eastAsia="宋体" w:hint="ascii"/>
          <w:sz w:val="21"/>
          <w:spacing w:val="3"/>
        </w:rPr>
        <w:t>项、力学</w:t>
      </w:r>
      <w:r>
        <w:rPr>
          <w:rFonts w:ascii="宋体" w:hAnsi="宋体" w:cs="宋体" w:eastAsia="宋体" w:hint="ascii"/>
          <w:sz w:val="21"/>
          <w:spacing w:val="4"/>
        </w:rPr>
        <w:t>科</w:t>
      </w:r>
      <w:r>
        <w:rPr>
          <w:rFonts w:ascii="宋体" w:hAnsi="宋体" w:cs="宋体" w:eastAsia="宋体" w:hint="ascii"/>
          <w:sz w:val="21"/>
        </w:rPr>
        <w:t>学</w:t>
      </w:r>
      <w:r>
        <w:rPr>
          <w:rFonts w:ascii="宋体" w:hAnsi="宋体" w:cs="宋体" w:eastAsia="宋体" w:hint="ascii"/>
          <w:sz w:val="21"/>
          <w:spacing w:val="-2"/>
        </w:rPr>
        <w:t>处</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2"/>
        </w:rPr>
        <w:t>64.75</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1"/>
        </w:rPr>
        <w:t>万</w:t>
      </w:r>
      <w:r>
        <w:rPr>
          <w:rFonts w:ascii="宋体" w:hAnsi="宋体" w:cs="宋体" w:eastAsia="宋体" w:hint="ascii"/>
          <w:sz w:val="21"/>
          <w:spacing w:val="2"/>
        </w:rPr>
        <w:t>元</w:t>
      </w:r>
      <w:r>
        <w:rPr>
          <w:rFonts w:ascii="Times New Roman" w:hAnsi="Times New Roman" w:cs="Times New Roman" w:eastAsia="Times New Roman" w:hint="ascii"/>
          <w:sz w:val="21"/>
          <w:spacing w:val="4"/>
        </w:rPr>
        <w:t>/</w:t>
      </w:r>
      <w:r>
        <w:rPr>
          <w:rFonts w:ascii="宋体" w:hAnsi="宋体" w:cs="宋体" w:eastAsia="宋体" w:hint="ascii"/>
          <w:sz w:val="21"/>
          <w:spacing w:val="2"/>
        </w:rPr>
        <w:t>项、天文科学</w:t>
      </w:r>
      <w:r>
        <w:rPr>
          <w:rFonts w:ascii="宋体" w:hAnsi="宋体" w:cs="宋体" w:eastAsia="宋体" w:hint="ascii"/>
          <w:sz w:val="21"/>
          <w:spacing w:val="-1"/>
        </w:rPr>
        <w:t>处</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64.90</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万元</w:t>
      </w:r>
      <w:r>
        <w:rPr>
          <w:rFonts w:ascii="Times New Roman" w:hAnsi="Times New Roman" w:cs="Times New Roman" w:eastAsia="Times New Roman" w:hint="ascii"/>
          <w:sz w:val="21"/>
          <w:spacing w:val="4"/>
        </w:rPr>
        <w:t>/</w:t>
      </w:r>
      <w:r>
        <w:rPr>
          <w:rFonts w:ascii="宋体" w:hAnsi="宋体" w:cs="宋体" w:eastAsia="宋体" w:hint="ascii"/>
          <w:sz w:val="21"/>
          <w:spacing w:val="2"/>
        </w:rPr>
        <w:t>项、物理科学一</w:t>
      </w:r>
      <w:r>
        <w:rPr>
          <w:rFonts w:ascii="宋体" w:hAnsi="宋体" w:cs="宋体" w:eastAsia="宋体" w:hint="ascii"/>
          <w:sz w:val="21"/>
          <w:spacing w:val="-1"/>
        </w:rPr>
        <w:t>处</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1"/>
        </w:rPr>
        <w:t>64.75</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2"/>
        </w:rPr>
        <w:t>万</w:t>
      </w:r>
      <w:r>
        <w:rPr>
          <w:rFonts w:ascii="宋体" w:hAnsi="宋体" w:cs="宋体" w:eastAsia="宋体" w:hint="ascii"/>
          <w:sz w:val="21"/>
          <w:spacing w:val="3"/>
        </w:rPr>
        <w:t>元</w:t>
      </w:r>
      <w:r>
        <w:rPr>
          <w:rFonts w:ascii="Times New Roman" w:hAnsi="Times New Roman" w:cs="Times New Roman" w:eastAsia="Times New Roman" w:hint="ascii"/>
          <w:sz w:val="21"/>
          <w:spacing w:val="4"/>
        </w:rPr>
        <w:t>/</w:t>
      </w:r>
      <w:r>
        <w:rPr>
          <w:rFonts w:ascii="宋体" w:hAnsi="宋体" w:cs="宋体" w:eastAsia="宋体" w:hint="ascii"/>
          <w:sz w:val="21"/>
          <w:spacing w:val="2"/>
        </w:rPr>
        <w:t>项、物理</w:t>
      </w:r>
      <w:r>
        <w:rPr>
          <w:rFonts w:ascii="宋体" w:hAnsi="宋体" w:cs="宋体" w:eastAsia="宋体" w:hint="ascii"/>
          <w:sz w:val="21"/>
          <w:spacing w:val="-1"/>
        </w:rPr>
        <w:t>科学</w:t>
      </w:r>
      <w:r>
        <w:rPr>
          <w:rFonts w:ascii="宋体" w:hAnsi="宋体" w:cs="宋体" w:eastAsia="宋体" w:hint="ascii"/>
          <w:sz w:val="21"/>
        </w:rPr>
        <w:t xml:space="preserve"> 二</w:t>
      </w:r>
      <w:r>
        <w:rPr>
          <w:rFonts w:ascii="宋体" w:hAnsi="宋体" w:cs="宋体" w:eastAsia="宋体" w:hint="ascii"/>
          <w:sz w:val="21"/>
          <w:spacing w:val="26"/>
        </w:rPr>
        <w:t>处</w:t>
      </w:r>
      <w:r>
        <w:rPr>
          <w:rFonts w:ascii="Times New Roman" w:hAnsi="Times New Roman" w:cs="Times New Roman" w:eastAsia="Times New Roman" w:hint="ascii"/>
          <w:sz w:val="21"/>
        </w:rPr>
        <w:t>64.7</w:t>
      </w:r>
      <w:r>
        <w:rPr>
          <w:rFonts w:ascii="Times New Roman" w:hAnsi="Times New Roman" w:cs="Times New Roman" w:eastAsia="Times New Roman" w:hint="ascii"/>
          <w:sz w:val="21"/>
          <w:spacing w:val="52"/>
        </w:rPr>
        <w:t>5</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根据数理科学</w:t>
      </w:r>
      <w:r>
        <w:rPr>
          <w:rFonts w:ascii="宋体" w:hAnsi="宋体" w:cs="宋体" w:eastAsia="宋体" w:hint="ascii"/>
          <w:sz w:val="21"/>
        </w:rPr>
        <w:t>发展的战略需求和项目资助布局，数理科学部在项目资助方面采取了一定的措施，加强了宏观引导。</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8</w:t>
      </w:r>
      <w:r>
        <w:rPr>
          <w:rFonts w:ascii="宋体" w:hAnsi="宋体" w:cs="宋体" w:eastAsia="宋体" w:hint="ascii"/>
          <w:sz w:val="21"/>
        </w:rPr>
        <w:t>年度将继续注重如下方面的工作。</w:t>
      </w:r>
    </w:p>
    <w:p>
      <w:pPr>
        <w:autoSpaceDE w:val="0"/>
        <w:autoSpaceDN w:val="0"/>
        <w:jc w:val="left"/>
        <w:spacing w:before="40" w:after="0" w:lineRule="exact" w:line="263"/>
        <w:ind w:right="0" w:left="128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）加大对优秀青年人才的培养和支持力度。</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年度面上项目负责人年龄在</w:t>
      </w:r>
      <w:r>
        <w:rPr>
          <w:rFonts w:ascii="宋体" w:hAnsi="宋体" w:cs="宋体" w:eastAsia="宋体" w:hint="ascii"/>
          <w:sz w:val="21"/>
          <w:spacing w:val="-25"/>
        </w:rPr>
        <w:t xml:space="preserve"> </w:t>
      </w:r>
      <w:r>
        <w:rPr>
          <w:rFonts w:ascii="Times New Roman" w:hAnsi="Times New Roman" w:cs="Times New Roman" w:eastAsia="Times New Roman" w:hint="ascii"/>
          <w:sz w:val="21"/>
        </w:rPr>
        <w:t>40</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岁以下的达</w:t>
      </w:r>
      <w:r>
        <w:rPr>
          <w:rFonts w:ascii="宋体" w:hAnsi="宋体" w:cs="宋体" w:eastAsia="宋体" w:hint="ascii"/>
          <w:sz w:val="21"/>
          <w:spacing w:val="-3"/>
        </w:rPr>
        <w:t>到</w:t>
      </w:r>
      <w:r>
        <w:rPr>
          <w:rFonts w:ascii="宋体" w:hAnsi="宋体" w:cs="宋体" w:eastAsia="宋体" w:hint="ascii"/>
          <w:sz w:val="21"/>
          <w:spacing w:val="-26"/>
        </w:rPr>
        <w:t xml:space="preserve"> </w:t>
      </w:r>
      <w:r>
        <w:rPr>
          <w:rFonts w:ascii="Times New Roman" w:hAnsi="Times New Roman" w:cs="Times New Roman" w:eastAsia="Times New Roman" w:hint="ascii"/>
          <w:sz w:val="21"/>
        </w:rPr>
        <w:t>52.0</w:t>
      </w:r>
      <w:r>
        <w:rPr>
          <w:rFonts w:ascii="Times New Roman" w:hAnsi="Times New Roman" w:cs="Times New Roman" w:eastAsia="Times New Roman" w:hint="ascii"/>
          <w:sz w:val="21"/>
          <w:spacing w:val="5"/>
        </w:rPr>
        <w:t>%</w:t>
      </w:r>
      <w:r>
        <w:rPr>
          <w:rFonts w:ascii="宋体" w:hAnsi="宋体" w:cs="宋体" w:eastAsia="宋体" w:hint="ascii"/>
          <w:sz w:val="21"/>
        </w:rPr>
        <w:t>，</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年度将进一步加强对优秀青年科学研究人员的资助，继</w:t>
      </w:r>
      <w:r>
        <w:rPr>
          <w:rFonts w:ascii="宋体" w:hAnsi="宋体" w:cs="宋体" w:eastAsia="宋体" w:hint="ascii"/>
          <w:sz w:val="21"/>
          <w:spacing w:val="-6"/>
        </w:rPr>
        <w:t>续</w:t>
      </w:r>
      <w:r>
        <w:rPr>
          <w:rFonts w:ascii="宋体" w:hAnsi="宋体" w:cs="宋体" w:eastAsia="宋体" w:hint="ascii"/>
          <w:sz w:val="21"/>
        </w:rPr>
        <w:t>扩大</w:t>
      </w:r>
      <w:r>
        <w:rPr>
          <w:rFonts w:ascii="宋体" w:hAnsi="宋体" w:cs="宋体" w:eastAsia="宋体" w:hint="ascii"/>
          <w:sz w:val="21"/>
          <w:spacing w:val="-26"/>
        </w:rPr>
        <w:t xml:space="preserve"> </w:t>
      </w:r>
      <w:r>
        <w:rPr>
          <w:rFonts w:ascii="Times New Roman" w:hAnsi="Times New Roman" w:cs="Times New Roman" w:eastAsia="Times New Roman" w:hint="ascii"/>
          <w:sz w:val="21"/>
        </w:rPr>
        <w:t>40</w:t>
      </w:r>
      <w:r>
        <w:rPr>
          <w:rFonts w:ascii="Times New Roman" w:hAnsi="Times New Roman" w:cs="Times New Roman" w:eastAsia="Times New Roman" w:hint="ascii"/>
          <w:sz w:val="21"/>
          <w:spacing w:val="-26"/>
        </w:rPr>
        <w:t xml:space="preserve"> </w:t>
      </w:r>
      <w:r>
        <w:rPr>
          <w:rFonts w:ascii="宋体" w:hAnsi="宋体" w:cs="宋体" w:eastAsia="宋体" w:hint="ascii"/>
          <w:sz w:val="21"/>
        </w:rPr>
        <w:t>岁以下申请人申请项目的资助规模，使更多的青年科学研究人员能得到资助，不断提高其开展创新研究的能力。</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）更加注重创新研究和学科发展，采取多层次资助方式，以适应科学研究的实际</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需要。对具</w:t>
      </w:r>
      <w:r>
        <w:rPr>
          <w:rFonts w:ascii="宋体" w:hAnsi="宋体" w:cs="宋体" w:eastAsia="宋体" w:hint="ascii"/>
          <w:sz w:val="21"/>
        </w:rPr>
        <w:t>有创新思想的实验方法和技术的基础研究项目，将视具体情况给予较高强度的资助。</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）加强宏</w:t>
      </w:r>
      <w:r>
        <w:rPr>
          <w:rFonts w:ascii="宋体" w:hAnsi="宋体" w:cs="宋体" w:eastAsia="宋体" w:hint="ascii"/>
          <w:sz w:val="21"/>
        </w:rPr>
        <w:t>观调控，对若干基础前沿科学问题和国家重大需求领域的数理科学问题给予重点关注和倾斜资助，以促进这些领域的创新发展。</w:t>
      </w:r>
    </w:p>
    <w:p>
      <w:pPr>
        <w:autoSpaceDE w:val="0"/>
        <w:autoSpaceDN w:val="0"/>
        <w:jc w:val="left"/>
        <w:spacing w:before="40" w:after="0" w:lineRule="auto" w:line="240"/>
        <w:ind w:right="0" w:left="966" w:firstLine="420"/>
        <w:snapToGrid w:val="0"/>
        <w:textAlignment w:val="auto"/>
        <w:tabs>
          <w:tab w:val="left" w:leader="none" w:pos="1858"/>
        </w:tabs>
        <w:numPr>
          <w:ilvl w:val="0"/>
          <w:numId w:val="14"/>
        </w:numPr>
        <w:rPr>
          <w:rFonts w:ascii="Times New Roman" w:hAnsi="Times New Roman" w:cs="Times New Roman" w:eastAsia="Times New Roman" w:hint="ascii"/>
          <w:sz w:val="21"/>
          <w:spacing w:val="1"/>
        </w:rPr>
      </w:pPr>
      <w:r>
        <w:rPr>
          <w:rFonts w:ascii="宋体" w:hAnsi="宋体" w:cs="宋体" w:eastAsia="宋体" w:hint="ascii"/>
          <w:sz w:val="21"/>
        </w:rPr>
        <w:t>年度倾斜资助的领域为：</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①新型能源中的关键科学问题；</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②深空探测、航空航天、海洋领域的关键科学问题；</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③国防安全与军民融合领域的创新研究；</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④人类健康的数理基础科学问题；</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⑤大数据和深度学习的建模、算法与分析；</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⑥引力波物理及探测关键技术；</w:t>
      </w:r>
    </w:p>
    <w:p>
      <w:pPr>
        <w:autoSpaceDE w:val="0"/>
        <w:autoSpaceDN w:val="0"/>
        <w:jc w:val="left"/>
        <w:spacing w:before="286" w:after="0" w:lineRule="exact" w:line="225"/>
        <w:ind w:right="0" w:left="851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⑦新型计算方法与标准化软件；</w:t>
      </w:r>
      <w:r>
        <w:rPr>
          <w:rFonts w:ascii="宋体" w:hAnsi="宋体" w:cs="宋体" w:eastAsia="宋体" w:hint="ascii"/>
          <w:sz w:val="21"/>
        </w:rPr>
        <mc:AlternateContent>
          <mc:Choice Requires="wps">
            <w:drawing>
              <wp:anchor distL="0" distR="0" distT="0" distB="0" simplePos="0" behindDoc="1" relativeHeight="68" locked="0" layoutInCell="1" allowOverlap="1">
                <wp:simplePos x="0" y="0"/>
                <wp:positionH relativeFrom="page">
                  <wp:posOffset>938530</wp:posOffset>
                </wp:positionH>
                <wp:positionV relativeFrom="page">
                  <wp:posOffset>805815</wp:posOffset>
                </wp:positionV>
                <wp:extent cx="5076190" cy="0"/>
                <wp:wrapNone/>
                <wp:docPr id="1095" name="109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88608;width:399.70pt;" id="109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⑧实验研究和仪器研制的先进方法和关键技术。</w:t>
      </w:r>
    </w:p>
    <w:p>
      <w:pPr>
        <w:autoSpaceDE w:val="0"/>
        <w:autoSpaceDN w:val="0"/>
        <w:jc w:val="left"/>
        <w:spacing w:before="10" w:after="0" w:lineRule="exact" w:line="312"/>
        <w:ind w:right="976" w:left="1281" w:firstLine="92"/>
        <w:snapToGrid w:val="0"/>
        <w:textAlignment w:val="auto"/>
        <w:tabs/>
        <w:rPr>
          <w:rFonts w:ascii="宋体" w:hAnsi="宋体" w:cs="宋体" w:eastAsia="宋体" w:hint="ascii"/>
          <w:sz w:val="21"/>
        </w:rPr>
      </w:pPr>
      <w:r>
        <w:rPr>
          <w:rFonts w:ascii="宋体" w:hAnsi="宋体" w:cs="宋体" w:eastAsia="宋体" w:hint="ascii"/>
          <w:sz w:val="21"/>
          <w:spacing w:val="-3"/>
        </w:rPr>
        <w:t>申请此类项目，应在申请书的附注说明栏填写相应的方向，并选择相应的申请代码</w:t>
      </w:r>
      <w:r>
        <w:rPr>
          <w:rFonts w:ascii="宋体" w:hAnsi="宋体" w:cs="宋体" w:eastAsia="宋体" w:hint="ascii"/>
          <w:b w:val="1"/>
          <w:sz w:val="21"/>
        </w:rPr>
        <w:t>。</w:t>
      </w:r>
      <w:r>
        <w:rPr>
          <w:rFonts w:ascii="宋体" w:hAnsi="宋体" w:cs="宋体" w:eastAsia="宋体" w:hint="ascii"/>
          <w:sz w:val="21"/>
          <w:spacing w:val="2"/>
        </w:rPr>
        <w:t>（</w:t>
      </w:r>
      <w:r>
        <w:rPr>
          <w:rFonts w:ascii="Times New Roman" w:hAnsi="Times New Roman" w:cs="Times New Roman" w:eastAsia="Times New Roman" w:hint="ascii"/>
          <w:sz w:val="21"/>
          <w:spacing w:val="4"/>
        </w:rPr>
        <w:t>4</w:t>
      </w:r>
      <w:r>
        <w:rPr>
          <w:rFonts w:ascii="宋体" w:hAnsi="宋体" w:cs="宋体" w:eastAsia="宋体" w:hint="ascii"/>
          <w:sz w:val="21"/>
          <w:spacing w:val="2"/>
        </w:rPr>
        <w:t>）数理</w:t>
      </w:r>
      <w:r>
        <w:rPr>
          <w:rFonts w:ascii="宋体" w:hAnsi="宋体" w:cs="宋体" w:eastAsia="宋体" w:hint="ascii"/>
          <w:sz w:val="21"/>
          <w:spacing w:val="3"/>
        </w:rPr>
        <w:t>领域项目直接费用平均资助强度随着国家对科学基金投入情况不同而</w:t>
      </w:r>
      <w:r>
        <w:rPr>
          <w:rFonts w:ascii="宋体" w:hAnsi="宋体" w:cs="宋体" w:eastAsia="宋体" w:hint="ascii"/>
          <w:sz w:val="21"/>
        </w:rPr>
        <w:t>变</w:t>
      </w:r>
    </w:p>
    <w:p>
      <w:pPr>
        <w:autoSpaceDE w:val="0"/>
        <w:autoSpaceDN w:val="0"/>
        <w:jc w:val="both"/>
        <w:spacing w:before="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化，务请</w:t>
      </w:r>
      <w:r>
        <w:rPr>
          <w:rFonts w:ascii="宋体" w:hAnsi="宋体" w:cs="宋体" w:eastAsia="宋体" w:hint="ascii"/>
          <w:sz w:val="21"/>
        </w:rPr>
        <w:t>关注下表所列各领域直接费用平均资助强度情况，实验类项目直接费用资助强度高于理论类项目。</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年度面上项目直接费用平均资助强度</w:t>
      </w:r>
      <w:r>
        <w:rPr>
          <w:rFonts w:ascii="宋体" w:hAnsi="宋体" w:cs="宋体" w:eastAsia="宋体" w:hint="ascii"/>
          <w:sz w:val="21"/>
          <w:spacing w:val="26"/>
        </w:rPr>
        <w:t>与</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7</w:t>
      </w:r>
      <w:r>
        <w:rPr>
          <w:rFonts w:ascii="宋体" w:hAnsi="宋体" w:cs="宋体" w:eastAsia="宋体" w:hint="ascii"/>
          <w:sz w:val="21"/>
        </w:rPr>
        <w:t>年度基本持平。</w:t>
      </w:r>
    </w:p>
    <w:p>
      <w:pPr>
        <w:autoSpaceDE w:val="0"/>
        <w:autoSpaceDN w:val="0"/>
        <w:jc w:val="left"/>
        <w:spacing w:before="184" w:after="0" w:lineRule="exact" w:line="225"/>
        <w:ind w:right="0" w:left="3253" w:firstLine="0"/>
        <w:snapToGrid w:val="0"/>
        <w:textAlignment w:val="auto"/>
        <w:tabs/>
        <w:rPr>
          <w:rFonts w:ascii="宋体" w:hAnsi="宋体" w:cs="宋体" w:eastAsia="宋体" w:hint="ascii"/>
          <w:sz w:val="18"/>
        </w:rPr>
      </w:pPr>
      <w:r>
        <w:rPr>
          <w:rFonts w:ascii="宋体" w:hAnsi="宋体" w:cs="宋体" w:eastAsia="宋体" w:hint="ascii"/>
          <w:sz w:val="18"/>
        </w:rPr>
        <w:t>数理科学部面上项目近两年资助情况一览表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979"/>
        <w:gridCol w:w="1554"/>
        <w:gridCol w:w="858"/>
        <w:gridCol w:w="859"/>
        <w:gridCol w:w="1020"/>
        <w:gridCol w:w="852"/>
        <w:gridCol w:w="851"/>
        <w:gridCol w:w="1019"/>
      </w:tblGrid>
      <w:tr>
        <w:trPr>
          <w:trHeight w:val="265" w:hRule="exact"/>
          <w:cantSplit w:val="1"/>
        </w:trPr>
        <w:tc>
          <w:tcPr>
            <w:tcW w:w="2533" w:type="dxa"/>
            <w:gridSpan w:val="2"/>
            <w:vAlign w:val="top"/>
            <w:vMerge w:val="restart"/>
            <w:tcMar/>
            <w:tcBorders/>
          </w:tcPr>
          <w:p>
            <w:pPr>
              <w:autoSpaceDE w:val="0"/>
              <w:autoSpaceDN w:val="0"/>
              <w:jc w:val="left"/>
              <w:spacing w:before="158" w:after="0" w:lineRule="exact" w:line="188"/>
              <w:ind w:right="0" w:left="103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37" w:type="dxa"/>
            <w:gridSpan w:val="3"/>
            <w:vAlign w:val="top"/>
            <w:tcMar/>
            <w:tcBorders>
              <w:left w:val="single" w:sz="4" w:space="0" w:color="000000"/>
            </w:tcBorders>
          </w:tcPr>
          <w:p>
            <w:pPr>
              <w:autoSpaceDE w:val="0"/>
              <w:autoSpaceDN w:val="0"/>
              <w:jc w:val="left"/>
              <w:spacing w:before="28" w:after="0" w:lineRule="auto" w:line="240"/>
              <w:ind w:right="0" w:left="1045" w:firstLine="0"/>
              <w:snapToGrid w:val="0"/>
              <w:textAlignment w:val="auto"/>
              <w:tabs>
                <w:tab w:val="left" w:leader="none" w:pos="1388"/>
              </w:tabs>
              <w:numPr>
                <w:ilvl w:val="0"/>
                <w:numId w:val="27"/>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28" w:after="0" w:lineRule="auto" w:line="240"/>
              <w:ind w:right="0" w:left="1038" w:firstLine="0"/>
              <w:snapToGrid w:val="0"/>
              <w:textAlignment w:val="auto"/>
              <w:tabs>
                <w:tab w:val="left" w:leader="none" w:pos="1381"/>
              </w:tabs>
              <w:numPr>
                <w:ilvl w:val="0"/>
                <w:numId w:val="27"/>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260" w:hRule="exact"/>
          <w:cantSplit w:val="1"/>
        </w:trPr>
        <w:tc>
          <w:tcPr>
            <w:tcW w:w="2533"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58"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9"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20"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852"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exact" w:line="188"/>
              <w:ind w:right="0" w:left="66"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90" w:hRule="exact"/>
          <w:cantSplit w:val="1"/>
        </w:trPr>
        <w:tc>
          <w:tcPr>
            <w:tcW w:w="979" w:type="dxa"/>
            <w:gridSpan w:val="1"/>
            <w:vAlign w:val="top"/>
            <w:vMerge w:val="restart"/>
            <w:tcMar/>
            <w:tcBorders>
              <w:top w:val="single" w:sz="4" w:space="0" w:color="000000"/>
            </w:tcBorders>
          </w:tcPr>
          <w:p>
            <w:pPr>
              <w:autoSpaceDE w:val="0"/>
              <w:autoSpaceDN w:val="0"/>
              <w:jc w:val="left"/>
              <w:spacing w:before="188" w:after="0" w:lineRule="exact" w:line="188"/>
              <w:ind w:right="0" w:left="104" w:firstLine="0"/>
              <w:snapToGrid w:val="0"/>
              <w:textAlignment w:val="auto"/>
              <w:tabs/>
              <w:rPr>
                <w:rFonts w:ascii="宋体" w:hAnsi="宋体" w:cs="宋体" w:eastAsia="宋体" w:hint="ascii"/>
                <w:sz w:val="15"/>
              </w:rPr>
            </w:pPr>
            <w:r>
              <w:rPr>
                <w:rFonts w:ascii="宋体" w:hAnsi="宋体" w:cs="宋体" w:eastAsia="宋体" w:hint="ascii"/>
                <w:sz w:val="15"/>
              </w:rPr>
              <w:t>数学科学处</w:t>
            </w:r>
          </w:p>
        </w:tc>
        <w:tc>
          <w:tcPr>
            <w:tcW w:w="1554" w:type="dxa"/>
            <w:gridSpan w:val="1"/>
            <w:vAlign w:val="top"/>
            <w:tcMar/>
            <w:tcBorders>
              <w:left w:val="single" w:sz="4" w:space="0" w:color="000000"/>
              <w:top w:val="single" w:sz="4" w:space="0" w:color="000000"/>
            </w:tcBorders>
          </w:tcPr>
          <w:p>
            <w:pPr>
              <w:autoSpaceDE w:val="0"/>
              <w:autoSpaceDN w:val="0"/>
              <w:jc w:val="left"/>
              <w:spacing w:before="32" w:after="0" w:lineRule="exact" w:line="188"/>
              <w:ind w:right="0" w:left="546" w:firstLine="0"/>
              <w:snapToGrid w:val="0"/>
              <w:textAlignment w:val="auto"/>
              <w:tabs/>
              <w:rPr>
                <w:rFonts w:ascii="宋体" w:hAnsi="宋体" w:cs="宋体" w:eastAsia="宋体" w:hint="ascii"/>
                <w:sz w:val="15"/>
              </w:rPr>
            </w:pPr>
            <w:r>
              <w:rPr>
                <w:rFonts w:ascii="宋体" w:hAnsi="宋体" w:cs="宋体" w:eastAsia="宋体" w:hint="ascii"/>
                <w:sz w:val="15"/>
              </w:rPr>
              <w:t>数学</w:t>
            </w:r>
            <w:r>
              <w:rPr>
                <w:rFonts w:ascii="宋体" w:hAnsi="宋体" w:cs="宋体" w:eastAsia="宋体" w:hint="ascii"/>
                <w:sz w:val="15"/>
              </w:rPr>
              <w:t>Ⅰ</w:t>
            </w:r>
          </w:p>
        </w:tc>
        <w:tc>
          <w:tcPr>
            <w:tcW w:w="858"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32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201</w:t>
            </w:r>
          </w:p>
        </w:tc>
        <w:tc>
          <w:tcPr>
            <w:tcW w:w="859"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278" w:firstLine="0"/>
              <w:snapToGrid w:val="0"/>
              <w:textAlignment w:val="auto"/>
              <w:tabs>
                <w:tab w:val="left" w:leader="none" w:pos="396"/>
              </w:tabs>
              <w:numPr>
                <w:ilvl w:val="0"/>
                <w:numId w:val="28"/>
              </w:numPr>
              <w:rPr>
                <w:rFonts w:ascii="Times New Roman" w:hAnsi="Times New Roman" w:cs="Times New Roman" w:eastAsia="Times New Roman" w:hint="ascii"/>
                <w:sz w:val="15"/>
              </w:rPr>
            </w:pPr>
            <w:r>
              <w:rPr>
                <w:rFonts w:ascii="Times New Roman" w:hAnsi="Times New Roman" w:cs="Times New Roman" w:eastAsia="Times New Roman" w:hint="ascii"/>
                <w:sz w:val="15"/>
              </w:rPr>
              <w:t>644</w:t>
            </w:r>
          </w:p>
        </w:tc>
        <w:tc>
          <w:tcPr>
            <w:tcW w:w="1020"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29.91</w:t>
            </w:r>
          </w:p>
        </w:tc>
        <w:tc>
          <w:tcPr>
            <w:tcW w:w="852"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34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229</w:t>
            </w:r>
          </w:p>
        </w:tc>
        <w:tc>
          <w:tcPr>
            <w:tcW w:w="851"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195" w:firstLine="0"/>
              <w:snapToGrid w:val="0"/>
              <w:textAlignment w:val="auto"/>
              <w:tabs>
                <w:tab w:val="left" w:leader="none" w:pos="389"/>
              </w:tabs>
              <w:numPr>
                <w:ilvl w:val="0"/>
                <w:numId w:val="28"/>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990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9"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30.41</w:t>
            </w:r>
          </w:p>
        </w:tc>
      </w:tr>
      <w:tr>
        <w:trPr>
          <w:trHeight w:val="289"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31" w:after="0" w:lineRule="exact" w:line="188"/>
              <w:ind w:right="0" w:left="546" w:firstLine="0"/>
              <w:snapToGrid w:val="0"/>
              <w:textAlignment w:val="auto"/>
              <w:tabs/>
              <w:rPr>
                <w:rFonts w:ascii="宋体" w:hAnsi="宋体" w:cs="宋体" w:eastAsia="宋体" w:hint="ascii"/>
                <w:sz w:val="15"/>
              </w:rPr>
            </w:pPr>
            <w:r>
              <w:rPr>
                <w:rFonts w:ascii="宋体" w:hAnsi="宋体" w:cs="宋体" w:eastAsia="宋体" w:hint="ascii"/>
                <w:sz w:val="15"/>
              </w:rPr>
              <w:t>数学</w:t>
            </w:r>
            <w:r>
              <w:rPr>
                <w:rFonts w:ascii="宋体" w:hAnsi="宋体" w:cs="宋体" w:eastAsia="宋体" w:hint="ascii"/>
                <w:sz w:val="15"/>
              </w:rPr>
              <w:t>Ⅱ</w:t>
            </w:r>
          </w:p>
        </w:tc>
        <w:tc>
          <w:tcPr>
            <w:tcW w:w="858"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32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218</w:t>
            </w:r>
          </w:p>
        </w:tc>
        <w:tc>
          <w:tcPr>
            <w:tcW w:w="859"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2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10 466</w:t>
            </w:r>
          </w:p>
        </w:tc>
        <w:tc>
          <w:tcPr>
            <w:tcW w:w="1020"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27.98</w:t>
            </w:r>
          </w:p>
        </w:tc>
        <w:tc>
          <w:tcPr>
            <w:tcW w:w="852"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34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w:t>
            </w:r>
          </w:p>
        </w:tc>
        <w:tc>
          <w:tcPr>
            <w:tcW w:w="851" w:type="dxa"/>
            <w:gridSpan w:val="1"/>
            <w:vAlign w:val="top"/>
            <w:tcMar/>
            <w:tcBorders>
              <w:left w:val="single" w:sz="4" w:space="0" w:color="000000"/>
              <w:top w:val="single" w:sz="4" w:space="0" w:color="000000"/>
            </w:tcBorders>
          </w:tcPr>
          <w:p>
            <w:pPr>
              <w:autoSpaceDE w:val="0"/>
              <w:autoSpaceDN w:val="0"/>
              <w:jc w:val="left"/>
              <w:spacing w:before="49" w:after="0" w:lineRule="auto" w:line="240"/>
              <w:ind w:right="0" w:left="202" w:firstLine="0"/>
              <w:snapToGrid w:val="0"/>
              <w:textAlignment w:val="auto"/>
              <w:tabs>
                <w:tab w:val="left" w:leader="none" w:pos="389"/>
              </w:tabs>
              <w:numPr>
                <w:ilvl w:val="0"/>
                <w:numId w:val="28"/>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520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9"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27.52</w:t>
            </w:r>
          </w:p>
        </w:tc>
      </w:tr>
      <w:tr>
        <w:trPr>
          <w:trHeight w:val="455" w:hRule="exact"/>
          <w:cantSplit w:val="1"/>
        </w:trPr>
        <w:tc>
          <w:tcPr>
            <w:tcW w:w="979" w:type="dxa"/>
            <w:gridSpan w:val="1"/>
            <w:vAlign w:val="top"/>
            <w:vMerge w:val="restart"/>
            <w:tcMar/>
            <w:tcBorders>
              <w:top w:val="single" w:sz="4" w:space="0" w:color="000000"/>
            </w:tcBorders>
          </w:tcPr>
          <w:p>
            <w:pPr>
              <w:autoSpaceDE w:val="0"/>
              <w:autoSpaceDN w:val="0"/>
              <w:jc w:val="left"/>
              <w:spacing w:before="777" w:after="0" w:lineRule="exact" w:line="188"/>
              <w:ind w:right="0" w:left="104" w:firstLine="0"/>
              <w:snapToGrid w:val="0"/>
              <w:textAlignment w:val="auto"/>
              <w:tabs/>
              <w:rPr>
                <w:rFonts w:ascii="宋体" w:hAnsi="宋体" w:cs="宋体" w:eastAsia="宋体" w:hint="ascii"/>
                <w:sz w:val="15"/>
              </w:rPr>
            </w:pPr>
            <w:r>
              <w:rPr>
                <w:rFonts w:ascii="宋体" w:hAnsi="宋体" w:cs="宋体" w:eastAsia="宋体" w:hint="ascii"/>
                <w:sz w:val="15"/>
              </w:rPr>
              <w:t>力学科学处</w:t>
            </w: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71" w:firstLine="0"/>
              <w:snapToGrid w:val="0"/>
              <w:textAlignment w:val="auto"/>
              <w:tabs/>
              <w:rPr>
                <w:rFonts w:ascii="宋体" w:hAnsi="宋体" w:cs="宋体" w:eastAsia="宋体" w:hint="ascii"/>
                <w:sz w:val="15"/>
              </w:rPr>
            </w:pPr>
            <w:r>
              <w:rPr>
                <w:rFonts w:ascii="宋体" w:hAnsi="宋体" w:cs="宋体" w:eastAsia="宋体" w:hint="ascii"/>
                <w:sz w:val="15"/>
              </w:rPr>
              <w:t>力学中的基本问题</w:t>
            </w:r>
          </w:p>
          <w:p>
            <w:pPr>
              <w:autoSpaceDE w:val="0"/>
              <w:autoSpaceDN w:val="0"/>
              <w:jc w:val="left"/>
              <w:spacing w:before="7" w:after="0" w:lineRule="exact" w:line="188"/>
              <w:ind w:right="0" w:left="546" w:firstLine="0"/>
              <w:snapToGrid w:val="0"/>
              <w:textAlignment w:val="auto"/>
              <w:tabs/>
              <w:rPr>
                <w:rFonts w:ascii="宋体" w:hAnsi="宋体" w:cs="宋体" w:eastAsia="宋体" w:hint="ascii"/>
                <w:sz w:val="15"/>
              </w:rPr>
            </w:pPr>
            <w:r>
              <w:rPr>
                <w:rFonts w:ascii="宋体" w:hAnsi="宋体" w:cs="宋体" w:eastAsia="宋体" w:hint="ascii"/>
                <w:sz w:val="15"/>
              </w:rPr>
              <w:t>和方法</w:t>
            </w:r>
          </w:p>
        </w:tc>
        <w:tc>
          <w:tcPr>
            <w:tcW w:w="858"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4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w:t>
            </w:r>
          </w:p>
        </w:tc>
        <w:tc>
          <w:tcPr>
            <w:tcW w:w="859"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9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376</w:t>
            </w:r>
          </w:p>
        </w:tc>
        <w:tc>
          <w:tcPr>
            <w:tcW w:w="1020"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36" w:firstLine="0"/>
              <w:snapToGrid w:val="0"/>
              <w:textAlignment w:val="auto"/>
              <w:tabs/>
              <w:numPr>
                <w:ilvl w:val="1"/>
                <w:numId w:val="29"/>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w:t>
            </w:r>
          </w:p>
        </w:tc>
        <w:tc>
          <w:tcPr>
            <w:tcW w:w="85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492" w:firstLine="0"/>
              <w:snapToGrid w:val="0"/>
              <w:textAlignment w:val="auto"/>
              <w:tabs>
                <w:tab w:val="left" w:leader="none" w:pos="396"/>
              </w:tabs>
              <w:numPr>
                <w:ilvl w:val="0"/>
                <w:numId w:val="30"/>
              </w:numPr>
              <w:rPr>
                <w:rFonts w:ascii="Times New Roman" w:hAnsi="Times New Roman" w:cs="Times New Roman" w:eastAsia="Times New Roman" w:hint="ascii"/>
                <w:sz w:val="15"/>
              </w:rPr>
            </w:pPr>
            <w:r>
              <w:rPr>
                <w:rFonts w:ascii="Times New Roman" w:hAnsi="Times New Roman" w:cs="Times New Roman" w:eastAsia="Times New Roman" w:hint="ascii"/>
                <w:sz w:val="15"/>
              </w:rPr>
              <w:t xml:space="preserve"> </w:t>
            </w:r>
          </w:p>
        </w:tc>
        <w:tc>
          <w:tcPr>
            <w:tcW w:w="851"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498</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2"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29.63</w:t>
            </w:r>
          </w:p>
        </w:tc>
      </w:tr>
      <w:tr>
        <w:trPr>
          <w:trHeight w:val="262"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321" w:firstLine="0"/>
              <w:snapToGrid w:val="0"/>
              <w:textAlignment w:val="auto"/>
              <w:tabs/>
              <w:rPr>
                <w:rFonts w:ascii="宋体" w:hAnsi="宋体" w:cs="宋体" w:eastAsia="宋体" w:hint="ascii"/>
                <w:sz w:val="15"/>
              </w:rPr>
            </w:pPr>
            <w:r>
              <w:rPr>
                <w:rFonts w:ascii="宋体" w:hAnsi="宋体" w:cs="宋体" w:eastAsia="宋体" w:hint="ascii"/>
                <w:sz w:val="15"/>
              </w:rPr>
              <w:t>动力学与控制</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tab w:val="left" w:leader="none" w:pos="396"/>
              </w:tabs>
              <w:numPr>
                <w:ilvl w:val="0"/>
                <w:numId w:val="31"/>
              </w:numPr>
              <w:rPr>
                <w:rFonts w:ascii="Times New Roman" w:hAnsi="Times New Roman" w:cs="Times New Roman" w:eastAsia="Times New Roman" w:hint="ascii"/>
                <w:sz w:val="15"/>
              </w:rPr>
            </w:pPr>
            <w:r>
              <w:rPr>
                <w:rFonts w:ascii="Times New Roman" w:hAnsi="Times New Roman" w:cs="Times New Roman" w:eastAsia="Times New Roman" w:hint="ascii"/>
                <w:sz w:val="15"/>
              </w:rPr>
              <w:t>945</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28.97</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67</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tab w:val="left" w:leader="none" w:pos="389"/>
              </w:tabs>
              <w:numPr>
                <w:ilvl w:val="0"/>
                <w:numId w:val="31"/>
              </w:numPr>
              <w:rPr>
                <w:rFonts w:ascii="Times New Roman" w:hAnsi="Times New Roman" w:cs="Times New Roman" w:eastAsia="Times New Roman" w:hint="ascii"/>
                <w:sz w:val="15"/>
              </w:rPr>
            </w:pPr>
            <w:r>
              <w:rPr>
                <w:rFonts w:ascii="Times New Roman" w:hAnsi="Times New Roman" w:cs="Times New Roman" w:eastAsia="Times New Roman" w:hint="ascii"/>
                <w:sz w:val="15"/>
              </w:rPr>
              <w:t>276</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28.76</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471" w:firstLine="0"/>
              <w:snapToGrid w:val="0"/>
              <w:textAlignment w:val="auto"/>
              <w:tabs/>
              <w:rPr>
                <w:rFonts w:ascii="宋体" w:hAnsi="宋体" w:cs="宋体" w:eastAsia="宋体" w:hint="ascii"/>
                <w:sz w:val="15"/>
              </w:rPr>
            </w:pPr>
            <w:r>
              <w:rPr>
                <w:rFonts w:ascii="宋体" w:hAnsi="宋体" w:cs="宋体" w:eastAsia="宋体" w:hint="ascii"/>
                <w:sz w:val="15"/>
              </w:rPr>
              <w:t>固体力学</w:t>
            </w:r>
          </w:p>
        </w:tc>
        <w:tc>
          <w:tcPr>
            <w:tcW w:w="858"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2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147</w:t>
            </w:r>
          </w:p>
        </w:tc>
        <w:tc>
          <w:tcPr>
            <w:tcW w:w="859"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78" w:firstLine="0"/>
              <w:snapToGrid w:val="0"/>
              <w:textAlignment w:val="auto"/>
              <w:tabs>
                <w:tab w:val="left" w:leader="none" w:pos="396"/>
              </w:tabs>
              <w:numPr>
                <w:ilvl w:val="0"/>
                <w:numId w:val="30"/>
              </w:numPr>
              <w:rPr>
                <w:rFonts w:ascii="Times New Roman" w:hAnsi="Times New Roman" w:cs="Times New Roman" w:eastAsia="Times New Roman" w:hint="ascii"/>
                <w:sz w:val="15"/>
              </w:rPr>
            </w:pPr>
            <w:r>
              <w:rPr>
                <w:rFonts w:ascii="Times New Roman" w:hAnsi="Times New Roman" w:cs="Times New Roman" w:eastAsia="Times New Roman" w:hint="ascii"/>
                <w:sz w:val="15"/>
              </w:rPr>
              <w:t>783</w:t>
            </w:r>
          </w:p>
        </w:tc>
        <w:tc>
          <w:tcPr>
            <w:tcW w:w="1020"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28.43</w:t>
            </w:r>
          </w:p>
        </w:tc>
        <w:tc>
          <w:tcPr>
            <w:tcW w:w="85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4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142</w:t>
            </w:r>
          </w:p>
        </w:tc>
        <w:tc>
          <w:tcPr>
            <w:tcW w:w="851"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9 179</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28.34</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471" w:firstLine="0"/>
              <w:snapToGrid w:val="0"/>
              <w:textAlignment w:val="auto"/>
              <w:tabs/>
              <w:rPr>
                <w:rFonts w:ascii="宋体" w:hAnsi="宋体" w:cs="宋体" w:eastAsia="宋体" w:hint="ascii"/>
                <w:sz w:val="15"/>
              </w:rPr>
            </w:pPr>
            <w:r>
              <w:rPr>
                <w:rFonts w:ascii="宋体" w:hAnsi="宋体" w:cs="宋体" w:eastAsia="宋体" w:hint="ascii"/>
                <w:sz w:val="15"/>
              </w:rPr>
              <w:t>流体力学</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84</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tab w:val="left" w:leader="none" w:pos="396"/>
              </w:tabs>
              <w:numPr>
                <w:ilvl w:val="0"/>
                <w:numId w:val="31"/>
              </w:numPr>
              <w:rPr>
                <w:rFonts w:ascii="Times New Roman" w:hAnsi="Times New Roman" w:cs="Times New Roman" w:eastAsia="Times New Roman" w:hint="ascii"/>
                <w:sz w:val="15"/>
              </w:rPr>
            </w:pPr>
            <w:r>
              <w:rPr>
                <w:rFonts w:ascii="Times New Roman" w:hAnsi="Times New Roman" w:cs="Times New Roman" w:eastAsia="Times New Roman" w:hint="ascii"/>
                <w:sz w:val="15"/>
              </w:rPr>
              <w:t>752</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28.57</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83</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5 433</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28.42</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471" w:firstLine="0"/>
              <w:snapToGrid w:val="0"/>
              <w:textAlignment w:val="auto"/>
              <w:tabs/>
              <w:rPr>
                <w:rFonts w:ascii="宋体" w:hAnsi="宋体" w:cs="宋体" w:eastAsia="宋体" w:hint="ascii"/>
                <w:sz w:val="15"/>
              </w:rPr>
            </w:pPr>
            <w:r>
              <w:rPr>
                <w:rFonts w:ascii="宋体" w:hAnsi="宋体" w:cs="宋体" w:eastAsia="宋体" w:hint="ascii"/>
                <w:sz w:val="15"/>
              </w:rPr>
              <w:t>生物力学</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tab w:val="left" w:leader="none" w:pos="-655355"/>
              </w:tabs>
              <w:numPr>
                <w:ilvl w:val="0"/>
                <w:numId w:val="29"/>
              </w:numPr>
              <w:rPr>
                <w:rFonts w:ascii="Times New Roman" w:hAnsi="Times New Roman" w:cs="Times New Roman" w:eastAsia="Times New Roman" w:hint="ascii"/>
                <w:sz w:val="15"/>
                <w:spacing w:val="1"/>
              </w:rPr>
            </w:pPr>
            <w:r>
              <w:rPr>
                <w:rFonts w:ascii="宋体" w:hAnsi="宋体" w:cs="宋体" w:eastAsia="宋体" w:hint="ascii"/>
                <w:sz w:val="15"/>
              </w:rPr>
              <w:t xml:space="preserve"> </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tab w:val="left" w:leader="none" w:pos="396"/>
              </w:tabs>
              <w:numPr>
                <w:ilvl w:val="0"/>
                <w:numId w:val="32"/>
              </w:numPr>
              <w:rPr>
                <w:rFonts w:ascii="Times New Roman" w:hAnsi="Times New Roman" w:cs="Times New Roman" w:eastAsia="Times New Roman" w:hint="ascii"/>
                <w:sz w:val="15"/>
              </w:rPr>
            </w:pPr>
            <w:r>
              <w:rPr>
                <w:rFonts w:ascii="Times New Roman" w:hAnsi="Times New Roman" w:cs="Times New Roman" w:eastAsia="Times New Roman" w:hint="ascii"/>
                <w:sz w:val="15"/>
              </w:rPr>
              <w:t>676</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28.89</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tab w:val="left" w:leader="none" w:pos="389"/>
              </w:tabs>
              <w:numPr>
                <w:ilvl w:val="0"/>
                <w:numId w:val="33"/>
              </w:numPr>
              <w:rPr>
                <w:rFonts w:ascii="Times New Roman" w:hAnsi="Times New Roman" w:cs="Times New Roman" w:eastAsia="Times New Roman" w:hint="ascii"/>
                <w:sz w:val="15"/>
              </w:rPr>
            </w:pPr>
            <w:r>
              <w:rPr>
                <w:rFonts w:ascii="Times New Roman" w:hAnsi="Times New Roman" w:cs="Times New Roman" w:eastAsia="Times New Roman" w:hint="ascii"/>
                <w:sz w:val="15"/>
              </w:rPr>
              <w:t>707</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28.26</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71" w:firstLine="0"/>
              <w:snapToGrid w:val="0"/>
              <w:textAlignment w:val="auto"/>
              <w:tabs/>
              <w:rPr>
                <w:rFonts w:ascii="宋体" w:hAnsi="宋体" w:cs="宋体" w:eastAsia="宋体" w:hint="ascii"/>
                <w:sz w:val="15"/>
              </w:rPr>
            </w:pPr>
            <w:r>
              <w:rPr>
                <w:rFonts w:ascii="宋体" w:hAnsi="宋体" w:cs="宋体" w:eastAsia="宋体" w:hint="ascii"/>
                <w:sz w:val="15"/>
              </w:rPr>
              <w:t>爆炸与冲击动力学</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tab w:val="left" w:leader="none" w:pos="396"/>
              </w:tabs>
              <w:numPr>
                <w:ilvl w:val="0"/>
                <w:numId w:val="32"/>
              </w:numPr>
              <w:rPr>
                <w:rFonts w:ascii="Times New Roman" w:hAnsi="Times New Roman" w:cs="Times New Roman" w:eastAsia="Times New Roman" w:hint="ascii"/>
                <w:sz w:val="15"/>
              </w:rPr>
            </w:pPr>
            <w:r>
              <w:rPr>
                <w:rFonts w:ascii="Times New Roman" w:hAnsi="Times New Roman" w:cs="Times New Roman" w:eastAsia="Times New Roman" w:hint="ascii"/>
                <w:sz w:val="15"/>
              </w:rPr>
              <w:t>423</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28.03</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6" w:firstLine="0"/>
              <w:snapToGrid w:val="0"/>
              <w:textAlignment w:val="auto"/>
              <w:tabs>
                <w:tab w:val="left" w:leader="none" w:pos="394"/>
              </w:tabs>
              <w:numPr>
                <w:ilvl w:val="0"/>
                <w:numId w:val="33"/>
              </w:numPr>
              <w:rPr>
                <w:rFonts w:ascii="Times New Roman" w:hAnsi="Times New Roman" w:cs="Times New Roman" w:eastAsia="Times New Roman" w:hint="ascii"/>
                <w:sz w:val="15"/>
              </w:rPr>
            </w:pPr>
            <w:r>
              <w:rPr>
                <w:rFonts w:ascii="Times New Roman" w:hAnsi="Times New Roman" w:cs="Times New Roman" w:eastAsia="Times New Roman" w:hint="ascii"/>
                <w:sz w:val="15"/>
              </w:rPr>
              <w:t>4</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28.91</w:t>
            </w:r>
          </w:p>
        </w:tc>
      </w:tr>
      <w:tr>
        <w:trPr>
          <w:trHeight w:val="260" w:hRule="exact"/>
          <w:cantSplit w:val="1"/>
        </w:trPr>
        <w:tc>
          <w:tcPr>
            <w:tcW w:w="979" w:type="dxa"/>
            <w:gridSpan w:val="1"/>
            <w:vAlign w:val="top"/>
            <w:vMerge w:val="restart"/>
            <w:tcMar/>
            <w:tcBorders>
              <w:top w:val="single" w:sz="4" w:space="0" w:color="000000"/>
            </w:tcBorders>
          </w:tcPr>
          <w:p>
            <w:pPr>
              <w:autoSpaceDE w:val="0"/>
              <w:autoSpaceDN w:val="0"/>
              <w:jc w:val="left"/>
              <w:spacing w:before="158" w:after="0" w:lineRule="exact" w:line="188"/>
              <w:ind w:right="0" w:left="104" w:firstLine="0"/>
              <w:snapToGrid w:val="0"/>
              <w:textAlignment w:val="auto"/>
              <w:tabs/>
              <w:rPr>
                <w:rFonts w:ascii="宋体" w:hAnsi="宋体" w:cs="宋体" w:eastAsia="宋体" w:hint="ascii"/>
                <w:sz w:val="15"/>
              </w:rPr>
            </w:pPr>
            <w:r>
              <w:rPr>
                <w:rFonts w:ascii="宋体" w:hAnsi="宋体" w:cs="宋体" w:eastAsia="宋体" w:hint="ascii"/>
                <w:sz w:val="15"/>
              </w:rPr>
              <w:t>天文科学处</w:t>
            </w: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471" w:firstLine="0"/>
              <w:snapToGrid w:val="0"/>
              <w:textAlignment w:val="auto"/>
              <w:tabs/>
              <w:rPr>
                <w:rFonts w:ascii="宋体" w:hAnsi="宋体" w:cs="宋体" w:eastAsia="宋体" w:hint="ascii"/>
                <w:sz w:val="15"/>
              </w:rPr>
            </w:pPr>
            <w:r>
              <w:rPr>
                <w:rFonts w:ascii="宋体" w:hAnsi="宋体" w:cs="宋体" w:eastAsia="宋体" w:hint="ascii"/>
                <w:sz w:val="15"/>
              </w:rPr>
              <w:t>天体物理</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46</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tab w:val="left" w:leader="none" w:pos="396"/>
              </w:tabs>
              <w:numPr>
                <w:ilvl w:val="0"/>
                <w:numId w:val="32"/>
              </w:numPr>
              <w:rPr>
                <w:rFonts w:ascii="Times New Roman" w:hAnsi="Times New Roman" w:cs="Times New Roman" w:eastAsia="Times New Roman" w:hint="ascii"/>
                <w:sz w:val="15"/>
              </w:rPr>
            </w:pPr>
            <w:r>
              <w:rPr>
                <w:rFonts w:ascii="Times New Roman" w:hAnsi="Times New Roman" w:cs="Times New Roman" w:eastAsia="Times New Roman" w:hint="ascii"/>
                <w:sz w:val="15"/>
              </w:rPr>
              <w:t>065</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29.30</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tab w:val="left" w:leader="none" w:pos="389"/>
              </w:tabs>
              <w:numPr>
                <w:ilvl w:val="0"/>
                <w:numId w:val="33"/>
              </w:numPr>
              <w:rPr>
                <w:rFonts w:ascii="Times New Roman" w:hAnsi="Times New Roman" w:cs="Times New Roman" w:eastAsia="Times New Roman" w:hint="ascii"/>
                <w:sz w:val="15"/>
              </w:rPr>
            </w:pPr>
            <w:r>
              <w:rPr>
                <w:rFonts w:ascii="Times New Roman" w:hAnsi="Times New Roman" w:cs="Times New Roman" w:eastAsia="Times New Roman" w:hint="ascii"/>
                <w:sz w:val="15"/>
              </w:rPr>
              <w:t>149</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29.52</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96" w:firstLine="0"/>
              <w:snapToGrid w:val="0"/>
              <w:textAlignment w:val="auto"/>
              <w:tabs/>
              <w:rPr>
                <w:rFonts w:ascii="宋体" w:hAnsi="宋体" w:cs="宋体" w:eastAsia="宋体" w:hint="ascii"/>
                <w:sz w:val="15"/>
              </w:rPr>
            </w:pPr>
            <w:r>
              <w:rPr>
                <w:rFonts w:ascii="宋体" w:hAnsi="宋体" w:cs="宋体" w:eastAsia="宋体" w:hint="ascii"/>
                <w:sz w:val="15"/>
              </w:rPr>
              <w:t>基本天文和技术方法</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2 521</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29.01</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tab w:val="left" w:leader="none" w:pos="389"/>
              </w:tabs>
              <w:numPr>
                <w:ilvl w:val="0"/>
                <w:numId w:val="34"/>
              </w:numPr>
              <w:rPr>
                <w:rFonts w:ascii="Times New Roman" w:hAnsi="Times New Roman" w:cs="Times New Roman" w:eastAsia="Times New Roman" w:hint="ascii"/>
                <w:sz w:val="15"/>
              </w:rPr>
            </w:pPr>
            <w:r>
              <w:rPr>
                <w:rFonts w:ascii="Times New Roman" w:hAnsi="Times New Roman" w:cs="Times New Roman" w:eastAsia="Times New Roman" w:hint="ascii"/>
                <w:sz w:val="15"/>
              </w:rPr>
              <w:t>497</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28.79</w:t>
            </w:r>
          </w:p>
        </w:tc>
      </w:tr>
      <w:tr>
        <w:trPr>
          <w:trHeight w:val="260" w:hRule="exact"/>
          <w:cantSplit w:val="1"/>
        </w:trPr>
        <w:tc>
          <w:tcPr>
            <w:tcW w:w="979" w:type="dxa"/>
            <w:gridSpan w:val="1"/>
            <w:vAlign w:val="top"/>
            <w:vMerge w:val="restart"/>
            <w:tcMar/>
            <w:tcBorders>
              <w:top w:val="single" w:sz="4" w:space="0" w:color="000000"/>
            </w:tcBorders>
          </w:tcPr>
          <w:p>
            <w:pPr>
              <w:autoSpaceDE w:val="0"/>
              <w:autoSpaceDN w:val="0"/>
              <w:jc w:val="left"/>
              <w:spacing w:before="321" w:after="0" w:lineRule="exact" w:line="188"/>
              <w:ind w:right="0" w:left="178" w:firstLine="0"/>
              <w:snapToGrid w:val="0"/>
              <w:textAlignment w:val="auto"/>
              <w:tabs/>
              <w:rPr>
                <w:rFonts w:ascii="宋体" w:hAnsi="宋体" w:cs="宋体" w:eastAsia="宋体" w:hint="ascii"/>
                <w:sz w:val="15"/>
              </w:rPr>
            </w:pPr>
            <w:r>
              <w:rPr>
                <w:rFonts w:ascii="宋体" w:hAnsi="宋体" w:cs="宋体" w:eastAsia="宋体" w:hint="ascii"/>
                <w:sz w:val="15"/>
              </w:rPr>
              <w:t>物理科学</w:t>
            </w:r>
          </w:p>
          <w:p>
            <w:pPr>
              <w:autoSpaceDE w:val="0"/>
              <w:autoSpaceDN w:val="0"/>
              <w:jc w:val="left"/>
              <w:spacing w:before="8" w:after="0" w:lineRule="exact" w:line="188"/>
              <w:ind w:right="0" w:left="328"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396" w:firstLine="0"/>
              <w:snapToGrid w:val="0"/>
              <w:textAlignment w:val="auto"/>
              <w:tabs/>
              <w:rPr>
                <w:rFonts w:ascii="宋体" w:hAnsi="宋体" w:cs="宋体" w:eastAsia="宋体" w:hint="ascii"/>
                <w:sz w:val="15"/>
              </w:rPr>
            </w:pPr>
            <w:r>
              <w:rPr>
                <w:rFonts w:ascii="宋体" w:hAnsi="宋体" w:cs="宋体" w:eastAsia="宋体" w:hint="ascii"/>
                <w:sz w:val="15"/>
              </w:rPr>
              <w:t>凝聚态物理</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2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212</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03" w:firstLine="0"/>
              <w:snapToGrid w:val="0"/>
              <w:textAlignment w:val="auto"/>
              <w:tabs>
                <w:tab w:val="left" w:leader="none" w:pos="396"/>
              </w:tabs>
              <w:numPr>
                <w:ilvl w:val="0"/>
                <w:numId w:val="3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940</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28.84</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4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195" w:firstLine="0"/>
              <w:snapToGrid w:val="0"/>
              <w:textAlignment w:val="auto"/>
              <w:tabs>
                <w:tab w:val="left" w:leader="none" w:pos="389"/>
              </w:tabs>
              <w:numPr>
                <w:ilvl w:val="0"/>
                <w:numId w:val="3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085</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28.78</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246" w:firstLine="0"/>
              <w:snapToGrid w:val="0"/>
              <w:textAlignment w:val="auto"/>
              <w:tabs/>
              <w:rPr>
                <w:rFonts w:ascii="宋体" w:hAnsi="宋体" w:cs="宋体" w:eastAsia="宋体" w:hint="ascii"/>
                <w:sz w:val="15"/>
              </w:rPr>
            </w:pPr>
            <w:r>
              <w:rPr>
                <w:rFonts w:ascii="宋体" w:hAnsi="宋体" w:cs="宋体" w:eastAsia="宋体" w:hint="ascii"/>
                <w:sz w:val="15"/>
              </w:rPr>
              <w:t>原子和分子物理</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41</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2 648</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29.08</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tab w:val="left" w:leader="none" w:pos="389"/>
              </w:tabs>
              <w:numPr>
                <w:ilvl w:val="0"/>
                <w:numId w:val="34"/>
              </w:numPr>
              <w:rPr>
                <w:rFonts w:ascii="Times New Roman" w:hAnsi="Times New Roman" w:cs="Times New Roman" w:eastAsia="Times New Roman" w:hint="ascii"/>
                <w:sz w:val="15"/>
              </w:rPr>
            </w:pPr>
            <w:r>
              <w:rPr>
                <w:rFonts w:ascii="Times New Roman" w:hAnsi="Times New Roman" w:cs="Times New Roman" w:eastAsia="Times New Roman" w:hint="ascii"/>
                <w:sz w:val="15"/>
              </w:rPr>
              <w:t>170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29.34</w:t>
            </w:r>
          </w:p>
        </w:tc>
      </w:tr>
      <w:tr>
        <w:trPr>
          <w:trHeight w:val="262"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621" w:firstLine="0"/>
              <w:snapToGrid w:val="0"/>
              <w:textAlignment w:val="auto"/>
              <w:tabs/>
              <w:rPr>
                <w:rFonts w:ascii="宋体" w:hAnsi="宋体" w:cs="宋体" w:eastAsia="宋体" w:hint="ascii"/>
                <w:sz w:val="15"/>
              </w:rPr>
            </w:pPr>
            <w:r>
              <w:rPr>
                <w:rFonts w:ascii="宋体" w:hAnsi="宋体" w:cs="宋体" w:eastAsia="宋体" w:hint="ascii"/>
                <w:sz w:val="15"/>
              </w:rPr>
              <w:t>光学</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2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120</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8 033</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28.99</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4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127</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8 204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28.86</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621" w:firstLine="0"/>
              <w:snapToGrid w:val="0"/>
              <w:textAlignment w:val="auto"/>
              <w:tabs/>
              <w:rPr>
                <w:rFonts w:ascii="宋体" w:hAnsi="宋体" w:cs="宋体" w:eastAsia="宋体" w:hint="ascii"/>
                <w:sz w:val="15"/>
              </w:rPr>
            </w:pPr>
            <w:r>
              <w:rPr>
                <w:rFonts w:ascii="宋体" w:hAnsi="宋体" w:cs="宋体" w:eastAsia="宋体" w:hint="ascii"/>
                <w:sz w:val="15"/>
              </w:rPr>
              <w:t>声学</w:t>
            </w:r>
          </w:p>
        </w:tc>
        <w:tc>
          <w:tcPr>
            <w:tcW w:w="858"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w:t>
            </w:r>
          </w:p>
        </w:tc>
        <w:tc>
          <w:tcPr>
            <w:tcW w:w="859"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78" w:firstLine="0"/>
              <w:snapToGrid w:val="0"/>
              <w:textAlignment w:val="auto"/>
              <w:tabs>
                <w:tab w:val="left" w:leader="none" w:pos="396"/>
              </w:tabs>
              <w:numPr>
                <w:ilvl w:val="0"/>
                <w:numId w:val="36"/>
              </w:numPr>
              <w:rPr>
                <w:rFonts w:ascii="Times New Roman" w:hAnsi="Times New Roman" w:cs="Times New Roman" w:eastAsia="Times New Roman" w:hint="ascii"/>
                <w:sz w:val="15"/>
              </w:rPr>
            </w:pPr>
            <w:r>
              <w:rPr>
                <w:rFonts w:ascii="Times New Roman" w:hAnsi="Times New Roman" w:cs="Times New Roman" w:eastAsia="Times New Roman" w:hint="ascii"/>
                <w:sz w:val="15"/>
              </w:rPr>
              <w:t>245</w:t>
            </w:r>
          </w:p>
        </w:tc>
        <w:tc>
          <w:tcPr>
            <w:tcW w:w="1020"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28.95</w:t>
            </w:r>
          </w:p>
        </w:tc>
        <w:tc>
          <w:tcPr>
            <w:tcW w:w="85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45</w:t>
            </w:r>
          </w:p>
        </w:tc>
        <w:tc>
          <w:tcPr>
            <w:tcW w:w="851"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2 901</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29.03</w:t>
            </w:r>
          </w:p>
        </w:tc>
      </w:tr>
      <w:tr>
        <w:trPr>
          <w:trHeight w:val="260" w:hRule="exact"/>
          <w:cantSplit w:val="1"/>
        </w:trPr>
        <w:tc>
          <w:tcPr>
            <w:tcW w:w="979" w:type="dxa"/>
            <w:gridSpan w:val="1"/>
            <w:vAlign w:val="top"/>
            <w:vMerge w:val="restart"/>
            <w:tcMar/>
            <w:tcBorders>
              <w:top w:val="single" w:sz="4" w:space="0" w:color="000000"/>
            </w:tcBorders>
          </w:tcPr>
          <w:p>
            <w:pPr>
              <w:autoSpaceDE w:val="0"/>
              <w:autoSpaceDN w:val="0"/>
              <w:jc w:val="left"/>
              <w:spacing w:before="516" w:after="0" w:lineRule="exact" w:line="188"/>
              <w:ind w:right="0" w:left="178" w:firstLine="0"/>
              <w:snapToGrid w:val="0"/>
              <w:textAlignment w:val="auto"/>
              <w:tabs/>
              <w:rPr>
                <w:rFonts w:ascii="宋体" w:hAnsi="宋体" w:cs="宋体" w:eastAsia="宋体" w:hint="ascii"/>
                <w:sz w:val="15"/>
              </w:rPr>
            </w:pPr>
            <w:r>
              <w:rPr>
                <w:rFonts w:ascii="宋体" w:hAnsi="宋体" w:cs="宋体" w:eastAsia="宋体" w:hint="ascii"/>
                <w:sz w:val="15"/>
              </w:rPr>
              <w:t>物理科学</w:t>
            </w:r>
          </w:p>
          <w:p>
            <w:pPr>
              <w:autoSpaceDE w:val="0"/>
              <w:autoSpaceDN w:val="0"/>
              <w:jc w:val="left"/>
              <w:spacing w:before="7" w:after="0" w:lineRule="exact" w:line="188"/>
              <w:ind w:right="0" w:left="328"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554"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96" w:firstLine="0"/>
              <w:snapToGrid w:val="0"/>
              <w:textAlignment w:val="auto"/>
              <w:tabs/>
              <w:rPr>
                <w:rFonts w:ascii="宋体" w:hAnsi="宋体" w:cs="宋体" w:eastAsia="宋体" w:hint="ascii"/>
                <w:sz w:val="15"/>
              </w:rPr>
            </w:pPr>
            <w:r>
              <w:rPr>
                <w:rFonts w:ascii="宋体" w:hAnsi="宋体" w:cs="宋体" w:eastAsia="宋体" w:hint="ascii"/>
                <w:sz w:val="15"/>
              </w:rPr>
              <w:t>基础物理和粒子物理</w:t>
            </w:r>
          </w:p>
        </w:tc>
        <w:tc>
          <w:tcPr>
            <w:tcW w:w="858"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78</w:t>
            </w:r>
          </w:p>
        </w:tc>
        <w:tc>
          <w:tcPr>
            <w:tcW w:w="859"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78" w:firstLine="0"/>
              <w:snapToGrid w:val="0"/>
              <w:textAlignment w:val="auto"/>
              <w:tabs>
                <w:tab w:val="left" w:leader="none" w:pos="396"/>
              </w:tabs>
              <w:numPr>
                <w:ilvl w:val="0"/>
                <w:numId w:val="32"/>
              </w:numPr>
              <w:rPr>
                <w:rFonts w:ascii="Times New Roman" w:hAnsi="Times New Roman" w:cs="Times New Roman" w:eastAsia="Times New Roman" w:hint="ascii"/>
                <w:sz w:val="15"/>
              </w:rPr>
            </w:pPr>
            <w:r>
              <w:rPr>
                <w:rFonts w:ascii="Times New Roman" w:hAnsi="Times New Roman" w:cs="Times New Roman" w:eastAsia="Times New Roman" w:hint="ascii"/>
                <w:sz w:val="15"/>
              </w:rPr>
              <w:t>678</w:t>
            </w:r>
          </w:p>
        </w:tc>
        <w:tc>
          <w:tcPr>
            <w:tcW w:w="1020"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30.95</w:t>
            </w:r>
          </w:p>
        </w:tc>
        <w:tc>
          <w:tcPr>
            <w:tcW w:w="85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84</w:t>
            </w:r>
          </w:p>
        </w:tc>
        <w:tc>
          <w:tcPr>
            <w:tcW w:w="851"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71" w:firstLine="0"/>
              <w:snapToGrid w:val="0"/>
              <w:textAlignment w:val="auto"/>
              <w:tabs>
                <w:tab w:val="left" w:leader="none" w:pos="389"/>
              </w:tabs>
              <w:numPr>
                <w:ilvl w:val="0"/>
                <w:numId w:val="32"/>
              </w:numPr>
              <w:rPr>
                <w:rFonts w:ascii="Times New Roman" w:hAnsi="Times New Roman" w:cs="Times New Roman" w:eastAsia="Times New Roman" w:hint="ascii"/>
                <w:sz w:val="15"/>
              </w:rPr>
            </w:pPr>
            <w:r>
              <w:rPr>
                <w:rFonts w:ascii="Times New Roman" w:hAnsi="Times New Roman" w:cs="Times New Roman" w:eastAsia="Times New Roman" w:hint="ascii"/>
                <w:sz w:val="15"/>
              </w:rPr>
              <w:t>047</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28.97</w:t>
            </w:r>
          </w:p>
        </w:tc>
      </w:tr>
      <w:tr>
        <w:trPr>
          <w:trHeight w:val="455"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246" w:firstLine="0"/>
              <w:snapToGrid w:val="0"/>
              <w:textAlignment w:val="auto"/>
              <w:tabs/>
              <w:rPr>
                <w:rFonts w:ascii="宋体" w:hAnsi="宋体" w:cs="宋体" w:eastAsia="宋体" w:hint="ascii"/>
                <w:sz w:val="15"/>
              </w:rPr>
            </w:pPr>
            <w:r>
              <w:rPr>
                <w:rFonts w:ascii="宋体" w:hAnsi="宋体" w:cs="宋体" w:eastAsia="宋体" w:hint="ascii"/>
                <w:sz w:val="15"/>
              </w:rPr>
              <w:t>核物理与核技术</w:t>
            </w:r>
          </w:p>
          <w:p>
            <w:pPr>
              <w:autoSpaceDE w:val="0"/>
              <w:autoSpaceDN w:val="0"/>
              <w:jc w:val="left"/>
              <w:spacing w:before="8" w:after="0" w:lineRule="exact" w:line="188"/>
              <w:ind w:right="0" w:left="471" w:firstLine="0"/>
              <w:snapToGrid w:val="0"/>
              <w:textAlignment w:val="auto"/>
              <w:tabs/>
              <w:rPr>
                <w:rFonts w:ascii="宋体" w:hAnsi="宋体" w:cs="宋体" w:eastAsia="宋体" w:hint="ascii"/>
                <w:sz w:val="15"/>
              </w:rPr>
            </w:pPr>
            <w:r>
              <w:rPr>
                <w:rFonts w:ascii="宋体" w:hAnsi="宋体" w:cs="宋体" w:eastAsia="宋体" w:hint="ascii"/>
                <w:sz w:val="15"/>
              </w:rPr>
              <w:t>及其应用</w:t>
            </w:r>
          </w:p>
        </w:tc>
        <w:tc>
          <w:tcPr>
            <w:tcW w:w="858"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86</w:t>
            </w:r>
          </w:p>
        </w:tc>
        <w:tc>
          <w:tcPr>
            <w:tcW w:w="859"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27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5 846</w:t>
            </w:r>
          </w:p>
        </w:tc>
        <w:tc>
          <w:tcPr>
            <w:tcW w:w="1020"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27.74</w:t>
            </w:r>
          </w:p>
        </w:tc>
        <w:tc>
          <w:tcPr>
            <w:tcW w:w="85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97</w:t>
            </w:r>
          </w:p>
        </w:tc>
        <w:tc>
          <w:tcPr>
            <w:tcW w:w="851"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271" w:firstLine="0"/>
              <w:snapToGrid w:val="0"/>
              <w:textAlignment w:val="auto"/>
              <w:tabs>
                <w:tab w:val="left" w:leader="none" w:pos="389"/>
              </w:tabs>
              <w:numPr>
                <w:ilvl w:val="0"/>
                <w:numId w:val="32"/>
              </w:numPr>
              <w:rPr>
                <w:rFonts w:ascii="Times New Roman" w:hAnsi="Times New Roman" w:cs="Times New Roman" w:eastAsia="Times New Roman" w:hint="ascii"/>
                <w:sz w:val="15"/>
              </w:rPr>
            </w:pPr>
            <w:r>
              <w:rPr>
                <w:rFonts w:ascii="Times New Roman" w:hAnsi="Times New Roman" w:cs="Times New Roman" w:eastAsia="Times New Roman" w:hint="ascii"/>
                <w:sz w:val="15"/>
              </w:rPr>
              <w:t>195</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2"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28.53</w:t>
            </w:r>
          </w:p>
        </w:tc>
      </w:tr>
      <w:tr>
        <w:trPr>
          <w:trHeight w:val="455"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71" w:firstLine="0"/>
              <w:snapToGrid w:val="0"/>
              <w:textAlignment w:val="auto"/>
              <w:tabs/>
              <w:rPr>
                <w:rFonts w:ascii="宋体" w:hAnsi="宋体" w:cs="宋体" w:eastAsia="宋体" w:hint="ascii"/>
                <w:sz w:val="15"/>
              </w:rPr>
            </w:pPr>
            <w:r>
              <w:rPr>
                <w:rFonts w:ascii="宋体" w:hAnsi="宋体" w:cs="宋体" w:eastAsia="宋体" w:hint="ascii"/>
                <w:sz w:val="15"/>
              </w:rPr>
              <w:t>粒子物理与核物理</w:t>
            </w:r>
          </w:p>
          <w:p>
            <w:pPr>
              <w:autoSpaceDE w:val="0"/>
              <w:autoSpaceDN w:val="0"/>
              <w:jc w:val="left"/>
              <w:spacing w:before="7" w:after="0" w:lineRule="exact" w:line="188"/>
              <w:ind w:right="0" w:left="471" w:firstLine="0"/>
              <w:snapToGrid w:val="0"/>
              <w:textAlignment w:val="auto"/>
              <w:tabs/>
              <w:rPr>
                <w:rFonts w:ascii="宋体" w:hAnsi="宋体" w:cs="宋体" w:eastAsia="宋体" w:hint="ascii"/>
                <w:sz w:val="15"/>
              </w:rPr>
            </w:pPr>
            <w:r>
              <w:rPr>
                <w:rFonts w:ascii="宋体" w:hAnsi="宋体" w:cs="宋体" w:eastAsia="宋体" w:hint="ascii"/>
                <w:sz w:val="15"/>
              </w:rPr>
              <w:t>实验设备</w:t>
            </w:r>
          </w:p>
        </w:tc>
        <w:tc>
          <w:tcPr>
            <w:tcW w:w="858"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65</w:t>
            </w:r>
          </w:p>
        </w:tc>
        <w:tc>
          <w:tcPr>
            <w:tcW w:w="859"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278" w:firstLine="0"/>
              <w:snapToGrid w:val="0"/>
              <w:textAlignment w:val="auto"/>
              <w:tabs>
                <w:tab w:val="left" w:leader="none" w:pos="396"/>
              </w:tabs>
              <w:numPr>
                <w:ilvl w:val="0"/>
                <w:numId w:val="34"/>
              </w:numPr>
              <w:rPr>
                <w:rFonts w:ascii="Times New Roman" w:hAnsi="Times New Roman" w:cs="Times New Roman" w:eastAsia="Times New Roman" w:hint="ascii"/>
                <w:sz w:val="15"/>
              </w:rPr>
            </w:pPr>
            <w:r>
              <w:rPr>
                <w:rFonts w:ascii="Times New Roman" w:hAnsi="Times New Roman" w:cs="Times New Roman" w:eastAsia="Times New Roman" w:hint="ascii"/>
                <w:sz w:val="15"/>
              </w:rPr>
              <w:t>594</w:t>
            </w:r>
          </w:p>
        </w:tc>
        <w:tc>
          <w:tcPr>
            <w:tcW w:w="1020"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26.97</w:t>
            </w:r>
          </w:p>
        </w:tc>
        <w:tc>
          <w:tcPr>
            <w:tcW w:w="85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69</w:t>
            </w:r>
          </w:p>
        </w:tc>
        <w:tc>
          <w:tcPr>
            <w:tcW w:w="851"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271" w:firstLine="0"/>
              <w:snapToGrid w:val="0"/>
              <w:textAlignment w:val="auto"/>
              <w:tabs>
                <w:tab w:val="left" w:leader="none" w:pos="389"/>
              </w:tabs>
              <w:numPr>
                <w:ilvl w:val="0"/>
                <w:numId w:val="33"/>
              </w:numPr>
              <w:rPr>
                <w:rFonts w:ascii="Times New Roman" w:hAnsi="Times New Roman" w:cs="Times New Roman" w:eastAsia="Times New Roman" w:hint="ascii"/>
                <w:sz w:val="15"/>
              </w:rPr>
            </w:pPr>
            <w:r>
              <w:rPr>
                <w:rFonts w:ascii="Times New Roman" w:hAnsi="Times New Roman" w:cs="Times New Roman" w:eastAsia="Times New Roman" w:hint="ascii"/>
                <w:sz w:val="15"/>
              </w:rPr>
              <w:t>972</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2"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28.40</w:t>
            </w:r>
          </w:p>
        </w:tc>
      </w:tr>
      <w:tr>
        <w:trPr>
          <w:trHeight w:val="260" w:hRule="exact"/>
          <w:cantSplit w:val="1"/>
        </w:trPr>
        <w:tc>
          <w:tcPr>
            <w:tcW w:w="97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54"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321" w:firstLine="0"/>
              <w:snapToGrid w:val="0"/>
              <w:textAlignment w:val="auto"/>
              <w:tabs/>
              <w:rPr>
                <w:rFonts w:ascii="宋体" w:hAnsi="宋体" w:cs="宋体" w:eastAsia="宋体" w:hint="ascii"/>
                <w:sz w:val="15"/>
              </w:rPr>
            </w:pPr>
            <w:r>
              <w:rPr>
                <w:rFonts w:ascii="宋体" w:hAnsi="宋体" w:cs="宋体" w:eastAsia="宋体" w:hint="ascii"/>
                <w:sz w:val="15"/>
              </w:rPr>
              <w:t>等离子体物理</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51</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8" w:firstLine="0"/>
              <w:snapToGrid w:val="0"/>
              <w:textAlignment w:val="auto"/>
              <w:tabs>
                <w:tab w:val="left" w:leader="none" w:pos="396"/>
              </w:tabs>
              <w:numPr>
                <w:ilvl w:val="0"/>
                <w:numId w:val="36"/>
              </w:numPr>
              <w:rPr>
                <w:rFonts w:ascii="Times New Roman" w:hAnsi="Times New Roman" w:cs="Times New Roman" w:eastAsia="Times New Roman" w:hint="ascii"/>
                <w:sz w:val="15"/>
              </w:rPr>
            </w:pPr>
            <w:r>
              <w:rPr>
                <w:rFonts w:ascii="Times New Roman" w:hAnsi="Times New Roman" w:cs="Times New Roman" w:eastAsia="Times New Roman" w:hint="ascii"/>
                <w:sz w:val="15"/>
              </w:rPr>
              <w:t>410</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31.29</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66</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71" w:firstLine="0"/>
              <w:snapToGrid w:val="0"/>
              <w:textAlignment w:val="auto"/>
              <w:tabs>
                <w:tab w:val="left" w:leader="none" w:pos="389"/>
              </w:tabs>
              <w:numPr>
                <w:ilvl w:val="0"/>
                <w:numId w:val="36"/>
              </w:numPr>
              <w:rPr>
                <w:rFonts w:ascii="Times New Roman" w:hAnsi="Times New Roman" w:cs="Times New Roman" w:eastAsia="Times New Roman" w:hint="ascii"/>
                <w:sz w:val="15"/>
              </w:rPr>
            </w:pPr>
            <w:r>
              <w:rPr>
                <w:rFonts w:ascii="Times New Roman" w:hAnsi="Times New Roman" w:cs="Times New Roman" w:eastAsia="Times New Roman" w:hint="ascii"/>
                <w:sz w:val="15"/>
              </w:rPr>
              <w:t>246</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30.14</w:t>
            </w:r>
          </w:p>
        </w:tc>
      </w:tr>
      <w:tr>
        <w:trPr>
          <w:trHeight w:val="260" w:hRule="exact"/>
          <w:cantSplit w:val="1"/>
        </w:trPr>
        <w:tc>
          <w:tcPr>
            <w:tcW w:w="2533" w:type="dxa"/>
            <w:gridSpan w:val="2"/>
            <w:vAlign w:val="top"/>
            <w:tcMar/>
            <w:tcBorders>
              <w:top w:val="single" w:sz="4" w:space="0" w:color="000000"/>
            </w:tcBorders>
          </w:tcPr>
          <w:p>
            <w:pPr>
              <w:autoSpaceDE w:val="0"/>
              <w:autoSpaceDN w:val="0"/>
              <w:jc w:val="left"/>
              <w:spacing w:before="29" w:after="0" w:lineRule="exact" w:line="188"/>
              <w:ind w:right="0" w:left="806"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58"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1 551</w:t>
            </w:r>
          </w:p>
        </w:tc>
        <w:tc>
          <w:tcPr>
            <w:tcW w:w="8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95 045</w:t>
            </w:r>
          </w:p>
        </w:tc>
        <w:tc>
          <w:tcPr>
            <w:tcW w:w="1020"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28.83</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1 673</w:t>
            </w:r>
          </w:p>
        </w:tc>
        <w:tc>
          <w:tcPr>
            <w:tcW w:w="85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12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100 480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28.82</w:t>
            </w:r>
          </w:p>
        </w:tc>
      </w:tr>
      <w:tr>
        <w:trPr>
          <w:trHeight w:val="266" w:hRule="exact"/>
          <w:cantSplit w:val="1"/>
        </w:trPr>
        <w:tc>
          <w:tcPr>
            <w:tcW w:w="2533" w:type="dxa"/>
            <w:gridSpan w:val="2"/>
            <w:vAlign w:val="top"/>
            <w:tcMar/>
            <w:tcBorders>
              <w:top w:val="single" w:sz="4" w:space="0" w:color="000000"/>
              <w:bottom w:val="single" w:sz="8" w:space="0" w:color="000000"/>
            </w:tcBorders>
          </w:tcPr>
          <w:p>
            <w:pPr>
              <w:autoSpaceDE w:val="0"/>
              <w:autoSpaceDN w:val="0"/>
              <w:jc w:val="left"/>
              <w:spacing w:before="29" w:after="0" w:lineRule="exact" w:line="188"/>
              <w:ind w:right="0" w:left="56"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直接费用平均资助强度（万元／项）</w:t>
            </w:r>
          </w:p>
        </w:tc>
        <w:tc>
          <w:tcPr>
            <w:tcW w:w="2737"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119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61.28</w:t>
            </w:r>
          </w:p>
        </w:tc>
        <w:tc>
          <w:tcPr>
            <w:tcW w:w="2722"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5" w:after="0" w:lineRule="auto" w:line="240"/>
              <w:ind w:right="0" w:left="1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60.06</w:t>
            </w:r>
          </w:p>
        </w:tc>
      </w:tr>
    </w:tbl>
    <w:p>
      <w:pPr>
        <w:autoSpaceDE w:val="0"/>
        <w:autoSpaceDN w:val="0"/>
        <w:jc w:val="left"/>
        <w:spacing w:before="410"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数学科学处</w:t>
      </w:r>
    </w:p>
    <w:p>
      <w:pPr>
        <w:autoSpaceDE w:val="0"/>
        <w:autoSpaceDN w:val="0"/>
        <w:jc w:val="both"/>
        <w:spacing w:before="301"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数学科学处鼓励瞄准国际数学主流和学科发展前沿的重要科学问题开展创新性</w:t>
      </w:r>
      <w:r>
        <w:rPr>
          <w:rFonts w:ascii="宋体" w:hAnsi="宋体" w:cs="宋体" w:eastAsia="宋体" w:hint="ascii"/>
          <w:sz w:val="21"/>
          <w:spacing w:val="-6"/>
        </w:rPr>
        <w:t>研</w:t>
      </w:r>
      <w:r>
        <w:rPr>
          <w:rFonts w:ascii="宋体" w:hAnsi="宋体" w:cs="宋体" w:eastAsia="宋体" w:hint="ascii"/>
          <w:sz w:val="21"/>
        </w:rPr>
        <w:t xml:space="preserve"> </w:t>
      </w:r>
      <w:r>
        <w:rPr>
          <w:rFonts w:ascii="宋体" w:hAnsi="宋体" w:cs="宋体" w:eastAsia="宋体" w:hint="ascii"/>
          <w:sz w:val="21"/>
          <w:spacing w:val="-1"/>
        </w:rPr>
        <w:t>究，鼓励</w:t>
      </w:r>
      <w:r>
        <w:rPr>
          <w:rFonts w:ascii="宋体" w:hAnsi="宋体" w:cs="宋体" w:eastAsia="宋体" w:hint="ascii"/>
          <w:sz w:val="21"/>
        </w:rPr>
        <w:t>探索数学及其交叉应用中的新思想、新理论和新方法，鼓励数学不同分支学科</w:t>
      </w:r>
      <w:r>
        <w:rPr>
          <w:rFonts w:ascii="宋体" w:hAnsi="宋体" w:cs="宋体" w:eastAsia="宋体" w:hint="ascii"/>
          <w:sz w:val="21"/>
          <w:spacing w:val="-1"/>
        </w:rPr>
        <w:t>之间的相</w:t>
      </w:r>
      <w:r>
        <w:rPr>
          <w:rFonts w:ascii="宋体" w:hAnsi="宋体" w:cs="宋体" w:eastAsia="宋体" w:hint="ascii"/>
          <w:sz w:val="21"/>
        </w:rPr>
        <w:t>互交叉和渗透，鼓励面向实际问题的应用数学研究。要求申请人具备一定的研</w:t>
      </w:r>
      <w:r>
        <w:rPr>
          <w:rFonts w:ascii="宋体" w:hAnsi="宋体" w:cs="宋体" w:eastAsia="宋体" w:hint="ascii"/>
          <w:sz w:val="21"/>
          <w:spacing w:val="-1"/>
        </w:rPr>
        <w:t>究基础和</w:t>
      </w:r>
      <w:r>
        <w:rPr>
          <w:rFonts w:ascii="宋体" w:hAnsi="宋体" w:cs="宋体" w:eastAsia="宋体" w:hint="ascii"/>
          <w:sz w:val="21"/>
        </w:rPr>
        <w:t>研究实力，对所申请项目的研究现状、拟解决的主要问题、拟采用的研究方法</w:t>
      </w:r>
      <w:r>
        <w:rPr>
          <w:rFonts w:ascii="宋体" w:hAnsi="宋体" w:cs="宋体" w:eastAsia="宋体" w:hint="ascii"/>
          <w:sz w:val="21"/>
          <w:spacing w:val="-1"/>
        </w:rPr>
        <w:t>等有深入</w:t>
      </w:r>
      <w:r>
        <w:rPr>
          <w:rFonts w:ascii="宋体" w:hAnsi="宋体" w:cs="宋体" w:eastAsia="宋体" w:hint="ascii"/>
          <w:sz w:val="21"/>
        </w:rPr>
        <w:t>的了解和掌握，并在此基础上制订研究计划。鼓励通过项目的组织与实施，调</w:t>
      </w:r>
    </w:p>
    <w:p>
      <w:pPr>
        <w:autoSpaceDE w:val="0"/>
        <w:autoSpaceDN w:val="0"/>
        <w:jc w:val="left"/>
        <w:spacing w:before="53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整研究方向，发展研究团队，培养优秀人才，促进学术交流。</w:t>
      </w:r>
      <w:r>
        <w:rPr>
          <w:rFonts w:ascii="宋体" w:hAnsi="宋体" w:cs="宋体" w:eastAsia="宋体" w:hint="ascii"/>
          <w:sz w:val="21"/>
        </w:rPr>
        <mc:AlternateContent>
          <mc:Choice Requires="wps">
            <w:drawing>
              <wp:anchor distL="0" distR="0" distT="0" distB="0" simplePos="0" behindDoc="1" relativeHeight="69" locked="0" layoutInCell="1" allowOverlap="1">
                <wp:simplePos x="0" y="0"/>
                <wp:positionH relativeFrom="page">
                  <wp:posOffset>938530</wp:posOffset>
                </wp:positionH>
                <wp:positionV relativeFrom="page">
                  <wp:posOffset>819150</wp:posOffset>
                </wp:positionV>
                <wp:extent cx="5076190" cy="0"/>
                <wp:wrapNone/>
                <wp:docPr id="1096" name="109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87584;width:399.70pt;" id="109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对于基础数学项目的资助，旨在保持我国具有传统优势的研究方向和具有相当规模</w:t>
      </w:r>
    </w:p>
    <w:p>
      <w:pPr>
        <w:autoSpaceDE w:val="0"/>
        <w:autoSpaceDN w:val="0"/>
        <w:jc w:val="both"/>
        <w:spacing w:before="10"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的研究领域的</w:t>
      </w:r>
      <w:r>
        <w:rPr>
          <w:rFonts w:ascii="宋体" w:hAnsi="宋体" w:cs="宋体" w:eastAsia="宋体" w:hint="ascii"/>
          <w:sz w:val="21"/>
        </w:rPr>
        <w:t>稳定发展，促进我国基础相对薄弱但属国际数学主流的研究方向和领域的</w:t>
      </w:r>
      <w:r>
        <w:rPr>
          <w:rFonts w:ascii="宋体" w:hAnsi="宋体" w:cs="宋体" w:eastAsia="宋体" w:hint="ascii"/>
          <w:sz w:val="21"/>
          <w:spacing w:val="-1"/>
        </w:rPr>
        <w:t>快速发展，推</w:t>
      </w:r>
      <w:r>
        <w:rPr>
          <w:rFonts w:ascii="宋体" w:hAnsi="宋体" w:cs="宋体" w:eastAsia="宋体" w:hint="ascii"/>
          <w:sz w:val="21"/>
        </w:rPr>
        <w:t>动数学各分支学科之间的交叉、渗透和融合。特别关注算法数论与计算代</w:t>
      </w:r>
      <w:r>
        <w:rPr>
          <w:rFonts w:ascii="宋体" w:hAnsi="宋体" w:cs="宋体" w:eastAsia="宋体" w:hint="ascii"/>
          <w:sz w:val="21"/>
          <w:spacing w:val="-1"/>
        </w:rPr>
        <w:t>数几何中的算</w:t>
      </w:r>
      <w:r>
        <w:rPr>
          <w:rFonts w:ascii="宋体" w:hAnsi="宋体" w:cs="宋体" w:eastAsia="宋体" w:hint="ascii"/>
          <w:sz w:val="21"/>
        </w:rPr>
        <w:t>法，格理论及其算法，表示论中的几何方法和范畴法，比较几何及非光滑</w:t>
      </w:r>
      <w:r>
        <w:rPr>
          <w:rFonts w:ascii="宋体" w:hAnsi="宋体" w:cs="宋体" w:eastAsia="宋体" w:hint="ascii"/>
          <w:sz w:val="21"/>
          <w:spacing w:val="-1"/>
        </w:rPr>
        <w:t>空间上的几何</w:t>
      </w:r>
      <w:r>
        <w:rPr>
          <w:rFonts w:ascii="宋体" w:hAnsi="宋体" w:cs="宋体" w:eastAsia="宋体" w:hint="ascii"/>
          <w:sz w:val="21"/>
        </w:rPr>
        <w:t>分析，现代调和分析在数论、关联几何和几何测度中的应用，随机方法及其应用，量子场论中的数学问题等方向的研究。</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对于应用数学和计算数学项目的资助，旨在推动应用数学更加满足实际需求，使数</w:t>
      </w:r>
    </w:p>
    <w:p>
      <w:pPr>
        <w:autoSpaceDE w:val="0"/>
        <w:autoSpaceDN w:val="0"/>
        <w:jc w:val="both"/>
        <w:spacing w:before="10"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学在解决科学</w:t>
      </w:r>
      <w:r>
        <w:rPr>
          <w:rFonts w:ascii="宋体" w:hAnsi="宋体" w:cs="宋体" w:eastAsia="宋体" w:hint="ascii"/>
          <w:sz w:val="21"/>
        </w:rPr>
        <w:t>技术发展以及国家重大经济社会发展的问题中发挥更加积极的作用。重视</w:t>
      </w:r>
      <w:r>
        <w:rPr>
          <w:rFonts w:ascii="宋体" w:hAnsi="宋体" w:cs="宋体" w:eastAsia="宋体" w:hint="ascii"/>
          <w:sz w:val="21"/>
          <w:spacing w:val="-1"/>
        </w:rPr>
        <w:t>更具实际背景</w:t>
      </w:r>
      <w:r>
        <w:rPr>
          <w:rFonts w:ascii="宋体" w:hAnsi="宋体" w:cs="宋体" w:eastAsia="宋体" w:hint="ascii"/>
          <w:sz w:val="21"/>
        </w:rPr>
        <w:t>和应用前景的基础理论和数学新方法的研究；鼓励面向实际问题的数学建</w:t>
      </w:r>
      <w:r>
        <w:rPr>
          <w:rFonts w:ascii="宋体" w:hAnsi="宋体" w:cs="宋体" w:eastAsia="宋体" w:hint="ascii"/>
          <w:sz w:val="21"/>
          <w:spacing w:val="-1"/>
        </w:rPr>
        <w:t>模、分析与计</w:t>
      </w:r>
      <w:r>
        <w:rPr>
          <w:rFonts w:ascii="宋体" w:hAnsi="宋体" w:cs="宋体" w:eastAsia="宋体" w:hint="ascii"/>
          <w:sz w:val="21"/>
        </w:rPr>
        <w:t>算，以及面向大数据的统计优化方法与理论研究；重点扶持数理逻辑、算</w:t>
      </w:r>
      <w:r>
        <w:rPr>
          <w:rFonts w:ascii="宋体" w:hAnsi="宋体" w:cs="宋体" w:eastAsia="宋体" w:hint="ascii"/>
          <w:sz w:val="21"/>
          <w:spacing w:val="-1"/>
        </w:rPr>
        <w:t>法复杂性、离</w:t>
      </w:r>
      <w:r>
        <w:rPr>
          <w:rFonts w:ascii="宋体" w:hAnsi="宋体" w:cs="宋体" w:eastAsia="宋体" w:hint="ascii"/>
          <w:sz w:val="21"/>
        </w:rPr>
        <w:t>散概率模型、优化算法、组合算法等方向的研究；关注新型材料的数学模</w:t>
      </w:r>
      <w:r>
        <w:rPr>
          <w:rFonts w:ascii="宋体" w:hAnsi="宋体" w:cs="宋体" w:eastAsia="宋体" w:hint="ascii"/>
          <w:sz w:val="21"/>
          <w:spacing w:val="-1"/>
        </w:rPr>
        <w:t>型与数学理论</w:t>
      </w:r>
      <w:r>
        <w:rPr>
          <w:rFonts w:ascii="宋体" w:hAnsi="宋体" w:cs="宋体" w:eastAsia="宋体" w:hint="ascii"/>
          <w:sz w:val="21"/>
        </w:rPr>
        <w:t>，数据处理中的不确定性理论，编码理论与信息安全，环境与能源科学中</w:t>
      </w:r>
      <w:r>
        <w:rPr>
          <w:rFonts w:ascii="宋体" w:hAnsi="宋体" w:cs="宋体" w:eastAsia="宋体" w:hint="ascii"/>
          <w:sz w:val="21"/>
          <w:spacing w:val="-1"/>
        </w:rPr>
        <w:t>的数学建模与</w:t>
      </w:r>
      <w:r>
        <w:rPr>
          <w:rFonts w:ascii="宋体" w:hAnsi="宋体" w:cs="宋体" w:eastAsia="宋体" w:hint="ascii"/>
          <w:sz w:val="21"/>
        </w:rPr>
        <w:t>分析，生物信息与生命系统，传染病的发病机理与预防控制的数学模型，</w:t>
      </w:r>
      <w:r>
        <w:rPr>
          <w:rFonts w:ascii="宋体" w:hAnsi="宋体" w:cs="宋体" w:eastAsia="宋体" w:hint="ascii"/>
          <w:sz w:val="21"/>
          <w:spacing w:val="-1"/>
        </w:rPr>
        <w:t>复杂性生物过</w:t>
      </w:r>
      <w:r>
        <w:rPr>
          <w:rFonts w:ascii="宋体" w:hAnsi="宋体" w:cs="宋体" w:eastAsia="宋体" w:hint="ascii"/>
          <w:sz w:val="21"/>
        </w:rPr>
        <w:t>程及疾病发生发展的数学分析方法，工业与医学中的统计方法，深度学习</w:t>
      </w:r>
      <w:r>
        <w:rPr>
          <w:rFonts w:ascii="宋体" w:hAnsi="宋体" w:cs="宋体" w:eastAsia="宋体" w:hint="ascii"/>
          <w:sz w:val="21"/>
          <w:spacing w:val="-1"/>
        </w:rPr>
        <w:t>和人工智能中</w:t>
      </w:r>
      <w:r>
        <w:rPr>
          <w:rFonts w:ascii="宋体" w:hAnsi="宋体" w:cs="宋体" w:eastAsia="宋体" w:hint="ascii"/>
          <w:sz w:val="21"/>
        </w:rPr>
        <w:t>的统计与优化方法，大数据与人工智能的数学理论，经济预测与金融风险</w:t>
      </w:r>
      <w:r>
        <w:rPr>
          <w:rFonts w:ascii="宋体" w:hAnsi="宋体" w:cs="宋体" w:eastAsia="宋体" w:hint="ascii"/>
          <w:sz w:val="21"/>
          <w:spacing w:val="-1"/>
        </w:rPr>
        <w:t>管理中的不确</w:t>
      </w:r>
      <w:r>
        <w:rPr>
          <w:rFonts w:ascii="宋体" w:hAnsi="宋体" w:cs="宋体" w:eastAsia="宋体" w:hint="ascii"/>
          <w:sz w:val="21"/>
        </w:rPr>
        <w:t>定性建模与分析，工业、医学成像与图像处理的数学理论与新方法、新技术等的研究。</w:t>
      </w:r>
    </w:p>
    <w:p>
      <w:pPr>
        <w:autoSpaceDE w:val="0"/>
        <w:autoSpaceDN w:val="0"/>
        <w:jc w:val="left"/>
        <w:spacing w:before="4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对于数学与其他学科交叉且通过数理科学部申请的项目，申请代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应选择数学学</w:t>
      </w:r>
    </w:p>
    <w:p>
      <w:pPr>
        <w:autoSpaceDE w:val="0"/>
        <w:autoSpaceDN w:val="0"/>
        <w:jc w:val="left"/>
        <w:spacing w:before="58" w:after="0" w:lineRule="exact" w:line="263"/>
        <w:ind w:right="0" w:left="966" w:firstLine="0"/>
        <w:snapToGrid w:val="0"/>
        <w:textAlignment w:val="auto"/>
        <w:tabs/>
        <w:rPr>
          <w:rFonts w:ascii="宋体" w:hAnsi="宋体" w:cs="宋体" w:eastAsia="宋体" w:hint="ascii"/>
          <w:b w:val="1"/>
          <w:sz w:val="21"/>
        </w:rPr>
      </w:pPr>
      <w:r>
        <w:rPr>
          <w:rFonts w:ascii="宋体" w:hAnsi="宋体" w:cs="宋体" w:eastAsia="宋体" w:hint="ascii"/>
          <w:sz w:val="21"/>
        </w:rPr>
        <w:t>科相应的申请代码，申请代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选择相关交叉学科的申请代码</w:t>
      </w:r>
      <w:r>
        <w:rPr>
          <w:rFonts w:ascii="宋体" w:hAnsi="宋体" w:cs="宋体" w:eastAsia="宋体" w:hint="ascii"/>
          <w:b w:val="1"/>
          <w:sz w:val="21"/>
        </w:rPr>
        <w:t>。</w:t>
      </w:r>
    </w:p>
    <w:p>
      <w:pPr>
        <w:autoSpaceDE w:val="0"/>
        <w:autoSpaceDN w:val="0"/>
        <w:jc w:val="left"/>
        <w:spacing w:before="282"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力学科学处</w:t>
      </w:r>
    </w:p>
    <w:p>
      <w:pPr>
        <w:autoSpaceDE w:val="0"/>
        <w:autoSpaceDN w:val="0"/>
        <w:jc w:val="both"/>
        <w:spacing w:before="302"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力学科学处主要资助力学中的基本问题和方法、动力</w:t>
      </w:r>
      <w:r>
        <w:rPr>
          <w:rFonts w:ascii="宋体" w:hAnsi="宋体" w:cs="宋体" w:eastAsia="宋体" w:hint="ascii"/>
          <w:sz w:val="21"/>
          <w:spacing w:val="-1"/>
        </w:rPr>
        <w:t>学与控制、固体力学、流体力</w:t>
      </w:r>
      <w:r>
        <w:rPr>
          <w:rFonts w:ascii="宋体" w:hAnsi="宋体" w:cs="宋体" w:eastAsia="宋体" w:hint="ascii"/>
          <w:sz w:val="21"/>
        </w:rPr>
        <w:t xml:space="preserve"> </w:t>
      </w:r>
      <w:r>
        <w:rPr>
          <w:rFonts w:ascii="宋体" w:hAnsi="宋体" w:cs="宋体" w:eastAsia="宋体" w:hint="ascii"/>
          <w:sz w:val="21"/>
          <w:spacing w:val="-1"/>
        </w:rPr>
        <w:t>学、生物力学</w:t>
      </w:r>
      <w:r>
        <w:rPr>
          <w:rFonts w:ascii="宋体" w:hAnsi="宋体" w:cs="宋体" w:eastAsia="宋体" w:hint="ascii"/>
          <w:sz w:val="21"/>
        </w:rPr>
        <w:t>、爆炸与冲击动力学等力学学科分支领域的研究。一方面资助处于国际前</w:t>
      </w:r>
      <w:r>
        <w:rPr>
          <w:rFonts w:ascii="宋体" w:hAnsi="宋体" w:cs="宋体" w:eastAsia="宋体" w:hint="ascii"/>
          <w:sz w:val="21"/>
          <w:spacing w:val="-1"/>
        </w:rPr>
        <w:t>沿、具有创新</w:t>
      </w:r>
      <w:r>
        <w:rPr>
          <w:rFonts w:ascii="宋体" w:hAnsi="宋体" w:cs="宋体" w:eastAsia="宋体" w:hint="ascii"/>
          <w:sz w:val="21"/>
        </w:rPr>
        <w:t>学术思想的研究项目，另一方面侧重资助与我国社会经济可持续发展和国</w:t>
      </w:r>
      <w:r>
        <w:rPr>
          <w:rFonts w:ascii="宋体" w:hAnsi="宋体" w:cs="宋体" w:eastAsia="宋体" w:hint="ascii"/>
          <w:sz w:val="21"/>
          <w:spacing w:val="-1"/>
        </w:rPr>
        <w:t>家安全紧密结</w:t>
      </w:r>
      <w:r>
        <w:rPr>
          <w:rFonts w:ascii="宋体" w:hAnsi="宋体" w:cs="宋体" w:eastAsia="宋体" w:hint="ascii"/>
          <w:sz w:val="21"/>
        </w:rPr>
        <w:t>合的、能推动工程技术发展的研究项目；鼓励利用国内现有仪器设备和重</w:t>
      </w:r>
      <w:r>
        <w:rPr>
          <w:rFonts w:ascii="宋体" w:hAnsi="宋体" w:cs="宋体" w:eastAsia="宋体" w:hint="ascii"/>
          <w:sz w:val="21"/>
          <w:spacing w:val="-1"/>
        </w:rPr>
        <w:t>点实验室条件</w:t>
      </w:r>
      <w:r>
        <w:rPr>
          <w:rFonts w:ascii="宋体" w:hAnsi="宋体" w:cs="宋体" w:eastAsia="宋体" w:hint="ascii"/>
          <w:sz w:val="21"/>
        </w:rPr>
        <w:t>开展力学的实验研究；提倡与相关学科的研究人员联合开展学科交叉问题的研究。</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力学中的基本</w:t>
      </w:r>
      <w:r>
        <w:rPr>
          <w:rFonts w:ascii="宋体" w:hAnsi="宋体" w:cs="宋体" w:eastAsia="宋体" w:hint="ascii"/>
          <w:sz w:val="21"/>
        </w:rPr>
        <w:t>问题和方法领域的项目申请应注重力学中的数学方法、理性力学和物理力学等基本理论的研究，并加强与数学、物理等相关学科的交叉和融合。</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动力学与控制领域的项目申请应注重非线性动力学理论、方法和实验研究，加强复</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杂系统的动力学与控制研究，尤其是非光滑系统、不确定系统、刚</w:t>
      </w:r>
      <w:r>
        <w:rPr>
          <w:rFonts w:ascii="宋体" w:hAnsi="宋体" w:cs="宋体" w:eastAsia="宋体" w:hint="ascii"/>
          <w:sz w:val="21"/>
        </w:rPr>
        <w:t>-</w:t>
      </w:r>
      <w:r>
        <w:rPr>
          <w:rFonts w:ascii="宋体" w:hAnsi="宋体" w:cs="宋体" w:eastAsia="宋体" w:hint="ascii"/>
          <w:sz w:val="21"/>
        </w:rPr>
        <w:t>柔</w:t>
      </w:r>
      <w:r>
        <w:rPr>
          <w:rFonts w:ascii="宋体" w:hAnsi="宋体" w:cs="宋体" w:eastAsia="宋体" w:hint="ascii"/>
          <w:sz w:val="21"/>
        </w:rPr>
        <w:t>-</w:t>
      </w:r>
      <w:r>
        <w:rPr>
          <w:rFonts w:ascii="宋体" w:hAnsi="宋体" w:cs="宋体" w:eastAsia="宋体" w:hint="ascii"/>
          <w:sz w:val="21"/>
        </w:rPr>
        <w:t>液耦合系统以及多场作用研究，扶持分析力学和多体动力学研究，支持航空航天等重大工程中的关键动力学与控制问题研究。</w:t>
      </w:r>
    </w:p>
    <w:p>
      <w:pPr>
        <w:autoSpaceDE w:val="0"/>
        <w:autoSpaceDN w:val="0"/>
        <w:jc w:val="both"/>
        <w:spacing w:before="0" w:after="0" w:lineRule="exact" w:line="312"/>
        <w:ind w:right="980" w:left="966" w:firstLine="428"/>
        <w:snapToGrid w:val="0"/>
        <w:textAlignment w:val="auto"/>
        <w:tabs/>
        <w:rPr>
          <w:rFonts w:ascii="宋体" w:hAnsi="宋体" w:cs="宋体" w:eastAsia="宋体" w:hint="ascii"/>
          <w:sz w:val="21"/>
        </w:rPr>
      </w:pPr>
      <w:r>
        <w:rPr>
          <w:rFonts w:ascii="宋体" w:hAnsi="宋体" w:cs="宋体" w:eastAsia="宋体" w:hint="ascii"/>
          <w:sz w:val="21"/>
          <w:spacing w:val="4"/>
        </w:rPr>
        <w:t>固</w:t>
      </w:r>
      <w:r>
        <w:rPr>
          <w:rFonts w:ascii="宋体" w:hAnsi="宋体" w:cs="宋体" w:eastAsia="宋体" w:hint="ascii"/>
          <w:sz w:val="21"/>
          <w:spacing w:val="3"/>
        </w:rPr>
        <w:t>体力</w:t>
      </w:r>
      <w:r>
        <w:rPr>
          <w:rFonts w:ascii="宋体" w:hAnsi="宋体" w:cs="宋体" w:eastAsia="宋体" w:hint="ascii"/>
          <w:sz w:val="21"/>
          <w:spacing w:val="4"/>
        </w:rPr>
        <w:t>学</w:t>
      </w:r>
      <w:r>
        <w:rPr>
          <w:rFonts w:ascii="宋体" w:hAnsi="宋体" w:cs="宋体" w:eastAsia="宋体" w:hint="ascii"/>
          <w:sz w:val="21"/>
          <w:spacing w:val="3"/>
        </w:rPr>
        <w:t>领</w:t>
      </w:r>
      <w:r>
        <w:rPr>
          <w:rFonts w:ascii="宋体" w:hAnsi="宋体" w:cs="宋体" w:eastAsia="宋体" w:hint="ascii"/>
          <w:sz w:val="21"/>
          <w:spacing w:val="4"/>
        </w:rPr>
        <w:t>域</w:t>
      </w:r>
      <w:r>
        <w:rPr>
          <w:rFonts w:ascii="宋体" w:hAnsi="宋体" w:cs="宋体" w:eastAsia="宋体" w:hint="ascii"/>
          <w:sz w:val="21"/>
          <w:spacing w:val="3"/>
        </w:rPr>
        <w:t>的项</w:t>
      </w:r>
      <w:r>
        <w:rPr>
          <w:rFonts w:ascii="宋体" w:hAnsi="宋体" w:cs="宋体" w:eastAsia="宋体" w:hint="ascii"/>
          <w:sz w:val="21"/>
          <w:spacing w:val="4"/>
        </w:rPr>
        <w:t>目</w:t>
      </w:r>
      <w:r>
        <w:rPr>
          <w:rFonts w:ascii="宋体" w:hAnsi="宋体" w:cs="宋体" w:eastAsia="宋体" w:hint="ascii"/>
          <w:sz w:val="21"/>
          <w:spacing w:val="3"/>
        </w:rPr>
        <w:t>申</w:t>
      </w:r>
      <w:r>
        <w:rPr>
          <w:rFonts w:ascii="宋体" w:hAnsi="宋体" w:cs="宋体" w:eastAsia="宋体" w:hint="ascii"/>
          <w:sz w:val="21"/>
          <w:spacing w:val="4"/>
        </w:rPr>
        <w:t>请</w:t>
      </w:r>
      <w:r>
        <w:rPr>
          <w:rFonts w:ascii="宋体" w:hAnsi="宋体" w:cs="宋体" w:eastAsia="宋体" w:hint="ascii"/>
          <w:sz w:val="21"/>
          <w:spacing w:val="3"/>
        </w:rPr>
        <w:t>应注</w:t>
      </w:r>
      <w:r>
        <w:rPr>
          <w:rFonts w:ascii="宋体" w:hAnsi="宋体" w:cs="宋体" w:eastAsia="宋体" w:hint="ascii"/>
          <w:sz w:val="21"/>
          <w:spacing w:val="4"/>
        </w:rPr>
        <w:t>重</w:t>
      </w:r>
      <w:r>
        <w:rPr>
          <w:rFonts w:ascii="宋体" w:hAnsi="宋体" w:cs="宋体" w:eastAsia="宋体" w:hint="ascii"/>
          <w:sz w:val="21"/>
          <w:spacing w:val="3"/>
        </w:rPr>
        <w:t>与</w:t>
      </w:r>
      <w:r>
        <w:rPr>
          <w:rFonts w:ascii="宋体" w:hAnsi="宋体" w:cs="宋体" w:eastAsia="宋体" w:hint="ascii"/>
          <w:sz w:val="21"/>
          <w:spacing w:val="4"/>
        </w:rPr>
        <w:t>材</w:t>
      </w:r>
      <w:r>
        <w:rPr>
          <w:rFonts w:ascii="宋体" w:hAnsi="宋体" w:cs="宋体" w:eastAsia="宋体" w:hint="ascii"/>
          <w:sz w:val="21"/>
          <w:spacing w:val="3"/>
        </w:rPr>
        <w:t>料、</w:t>
      </w:r>
      <w:r>
        <w:rPr>
          <w:rFonts w:ascii="宋体" w:hAnsi="宋体" w:cs="宋体" w:eastAsia="宋体" w:hint="ascii"/>
          <w:sz w:val="21"/>
          <w:spacing w:val="4"/>
        </w:rPr>
        <w:t>物</w:t>
      </w:r>
      <w:r>
        <w:rPr>
          <w:rFonts w:ascii="宋体" w:hAnsi="宋体" w:cs="宋体" w:eastAsia="宋体" w:hint="ascii"/>
          <w:sz w:val="21"/>
          <w:spacing w:val="3"/>
        </w:rPr>
        <w:t>理</w:t>
      </w:r>
      <w:r>
        <w:rPr>
          <w:rFonts w:ascii="宋体" w:hAnsi="宋体" w:cs="宋体" w:eastAsia="宋体" w:hint="ascii"/>
          <w:sz w:val="21"/>
          <w:spacing w:val="4"/>
        </w:rPr>
        <w:t>、</w:t>
      </w:r>
      <w:r>
        <w:rPr>
          <w:rFonts w:ascii="宋体" w:hAnsi="宋体" w:cs="宋体" w:eastAsia="宋体" w:hint="ascii"/>
          <w:sz w:val="21"/>
          <w:spacing w:val="3"/>
        </w:rPr>
        <w:t>化学</w:t>
      </w:r>
      <w:r>
        <w:rPr>
          <w:rFonts w:ascii="宋体" w:hAnsi="宋体" w:cs="宋体" w:eastAsia="宋体" w:hint="ascii"/>
          <w:sz w:val="21"/>
          <w:spacing w:val="4"/>
        </w:rPr>
        <w:t>、</w:t>
      </w:r>
      <w:r>
        <w:rPr>
          <w:rFonts w:ascii="宋体" w:hAnsi="宋体" w:cs="宋体" w:eastAsia="宋体" w:hint="ascii"/>
          <w:sz w:val="21"/>
          <w:spacing w:val="3"/>
        </w:rPr>
        <w:t>生</w:t>
      </w:r>
      <w:r>
        <w:rPr>
          <w:rFonts w:ascii="宋体" w:hAnsi="宋体" w:cs="宋体" w:eastAsia="宋体" w:hint="ascii"/>
          <w:sz w:val="21"/>
          <w:spacing w:val="4"/>
        </w:rPr>
        <w:t>物</w:t>
      </w:r>
      <w:r>
        <w:rPr>
          <w:rFonts w:ascii="宋体" w:hAnsi="宋体" w:cs="宋体" w:eastAsia="宋体" w:hint="ascii"/>
          <w:sz w:val="21"/>
          <w:spacing w:val="3"/>
        </w:rPr>
        <w:t>、信</w:t>
      </w:r>
      <w:r>
        <w:rPr>
          <w:rFonts w:ascii="宋体" w:hAnsi="宋体" w:cs="宋体" w:eastAsia="宋体" w:hint="ascii"/>
          <w:sz w:val="21"/>
          <w:spacing w:val="4"/>
        </w:rPr>
        <w:t>息</w:t>
      </w:r>
      <w:r>
        <w:rPr>
          <w:rFonts w:ascii="宋体" w:hAnsi="宋体" w:cs="宋体" w:eastAsia="宋体" w:hint="ascii"/>
          <w:sz w:val="21"/>
          <w:spacing w:val="3"/>
        </w:rPr>
        <w:t>等</w:t>
      </w:r>
      <w:r>
        <w:rPr>
          <w:rFonts w:ascii="宋体" w:hAnsi="宋体" w:cs="宋体" w:eastAsia="宋体" w:hint="ascii"/>
          <w:sz w:val="21"/>
          <w:spacing w:val="4"/>
        </w:rPr>
        <w:t>学</w:t>
      </w:r>
      <w:r>
        <w:rPr>
          <w:rFonts w:ascii="宋体" w:hAnsi="宋体" w:cs="宋体" w:eastAsia="宋体" w:hint="ascii"/>
          <w:sz w:val="21"/>
          <w:spacing w:val="3"/>
        </w:rPr>
        <w:t>科的</w:t>
      </w:r>
      <w:r>
        <w:rPr>
          <w:rFonts w:ascii="宋体" w:hAnsi="宋体" w:cs="宋体" w:eastAsia="宋体" w:hint="ascii"/>
          <w:sz w:val="21"/>
          <w:spacing w:val="-6"/>
        </w:rPr>
        <w:t>结</w:t>
      </w:r>
      <w:r>
        <w:rPr>
          <w:rFonts w:ascii="宋体" w:hAnsi="宋体" w:cs="宋体" w:eastAsia="宋体" w:hint="ascii"/>
          <w:sz w:val="21"/>
        </w:rPr>
        <w:t xml:space="preserve"> </w:t>
      </w:r>
      <w:r>
        <w:rPr>
          <w:rFonts w:ascii="宋体" w:hAnsi="宋体" w:cs="宋体" w:eastAsia="宋体" w:hint="ascii"/>
          <w:sz w:val="21"/>
          <w:spacing w:val="1"/>
        </w:rPr>
        <w:t>合，加强重大</w:t>
      </w:r>
      <w:r>
        <w:rPr>
          <w:rFonts w:ascii="宋体" w:hAnsi="宋体" w:cs="宋体" w:eastAsia="宋体" w:hint="ascii"/>
          <w:sz w:val="21"/>
        </w:rPr>
        <w:t>工程领域关键科学问题的提炼与研究。拓展连续介质力学基本理论，</w:t>
      </w:r>
      <w:r>
        <w:rPr>
          <w:rFonts w:ascii="宋体" w:hAnsi="宋体" w:cs="宋体" w:eastAsia="宋体" w:hint="ascii"/>
          <w:sz w:val="21"/>
          <w:spacing w:val="-6"/>
        </w:rPr>
        <w:t>推</w:t>
      </w:r>
      <w:r>
        <w:rPr>
          <w:rFonts w:ascii="宋体" w:hAnsi="宋体" w:cs="宋体" w:eastAsia="宋体" w:hint="ascii"/>
          <w:sz w:val="21"/>
          <w:spacing w:val="3"/>
        </w:rPr>
        <w:t>动多尺度</w:t>
      </w:r>
      <w:r>
        <w:rPr>
          <w:rFonts w:ascii="宋体" w:hAnsi="宋体" w:cs="宋体" w:eastAsia="宋体" w:hint="ascii"/>
          <w:sz w:val="21"/>
        </w:rPr>
        <w:t>力</w:t>
      </w:r>
      <w:r>
        <w:rPr>
          <w:rFonts w:ascii="宋体" w:hAnsi="宋体" w:cs="宋体" w:eastAsia="宋体" w:hint="ascii"/>
          <w:sz w:val="21"/>
          <w:spacing w:val="3"/>
        </w:rPr>
        <w:t>学与多场</w:t>
      </w:r>
      <w:r>
        <w:rPr>
          <w:rFonts w:ascii="宋体" w:hAnsi="宋体" w:cs="宋体" w:eastAsia="宋体" w:hint="ascii"/>
          <w:sz w:val="21"/>
        </w:rPr>
        <w:t>耦</w:t>
      </w:r>
      <w:r>
        <w:rPr>
          <w:rFonts w:ascii="宋体" w:hAnsi="宋体" w:cs="宋体" w:eastAsia="宋体" w:hint="ascii"/>
          <w:sz w:val="21"/>
          <w:spacing w:val="3"/>
        </w:rPr>
        <w:t>合力学的</w:t>
      </w:r>
      <w:r>
        <w:rPr>
          <w:rFonts w:ascii="宋体" w:hAnsi="宋体" w:cs="宋体" w:eastAsia="宋体" w:hint="ascii"/>
          <w:sz w:val="21"/>
        </w:rPr>
        <w:t>发</w:t>
      </w:r>
      <w:r>
        <w:rPr>
          <w:rFonts w:ascii="宋体" w:hAnsi="宋体" w:cs="宋体" w:eastAsia="宋体" w:hint="ascii"/>
          <w:sz w:val="21"/>
          <w:spacing w:val="3"/>
        </w:rPr>
        <w:t>展。加强</w:t>
      </w:r>
      <w:r>
        <w:rPr>
          <w:rFonts w:ascii="宋体" w:hAnsi="宋体" w:cs="宋体" w:eastAsia="宋体" w:hint="ascii"/>
          <w:sz w:val="21"/>
        </w:rPr>
        <w:t>对</w:t>
      </w:r>
      <w:r>
        <w:rPr>
          <w:rFonts w:ascii="宋体" w:hAnsi="宋体" w:cs="宋体" w:eastAsia="宋体" w:hint="ascii"/>
          <w:sz w:val="21"/>
          <w:spacing w:val="3"/>
        </w:rPr>
        <w:t>宏细观本</w:t>
      </w:r>
      <w:r>
        <w:rPr>
          <w:rFonts w:ascii="宋体" w:hAnsi="宋体" w:cs="宋体" w:eastAsia="宋体" w:hint="ascii"/>
          <w:sz w:val="21"/>
        </w:rPr>
        <w:t>构</w:t>
      </w:r>
      <w:r>
        <w:rPr>
          <w:rFonts w:ascii="宋体" w:hAnsi="宋体" w:cs="宋体" w:eastAsia="宋体" w:hint="ascii"/>
          <w:sz w:val="21"/>
          <w:spacing w:val="3"/>
        </w:rPr>
        <w:t>理论、强</w:t>
      </w:r>
      <w:r>
        <w:rPr>
          <w:rFonts w:ascii="宋体" w:hAnsi="宋体" w:cs="宋体" w:eastAsia="宋体" w:hint="ascii"/>
          <w:sz w:val="21"/>
        </w:rPr>
        <w:t>度</w:t>
      </w:r>
      <w:r>
        <w:rPr>
          <w:rFonts w:ascii="宋体" w:hAnsi="宋体" w:cs="宋体" w:eastAsia="宋体" w:hint="ascii"/>
          <w:sz w:val="21"/>
          <w:spacing w:val="3"/>
        </w:rPr>
        <w:t>理论、损</w:t>
      </w:r>
      <w:r>
        <w:rPr>
          <w:rFonts w:ascii="宋体" w:hAnsi="宋体" w:cs="宋体" w:eastAsia="宋体" w:hint="ascii"/>
          <w:sz w:val="21"/>
        </w:rPr>
        <w:t>伤</w:t>
      </w:r>
      <w:r>
        <w:rPr>
          <w:rFonts w:ascii="宋体" w:hAnsi="宋体" w:cs="宋体" w:eastAsia="宋体" w:hint="ascii"/>
          <w:sz w:val="21"/>
          <w:spacing w:val="3"/>
        </w:rPr>
        <w:t>、</w:t>
      </w:r>
      <w:r>
        <w:rPr>
          <w:rFonts w:ascii="宋体" w:hAnsi="宋体" w:cs="宋体" w:eastAsia="宋体" w:hint="ascii"/>
          <w:sz w:val="21"/>
        </w:rPr>
        <w:t>疲</w:t>
      </w:r>
    </w:p>
    <w:p>
      <w:pPr>
        <w:autoSpaceDE w:val="0"/>
        <w:autoSpaceDN w:val="0"/>
        <w:jc w:val="left"/>
        <w:spacing w:before="436" w:after="0" w:lineRule="exact" w:line="225"/>
        <w:ind w:right="0" w:left="851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劳与失效机理，新材</w:t>
      </w:r>
      <w:r>
        <w:rPr>
          <w:rFonts w:ascii="宋体" w:hAnsi="宋体" w:cs="宋体" w:eastAsia="宋体" w:hint="ascii"/>
          <w:sz w:val="21"/>
          <w:spacing w:val="3"/>
        </w:rPr>
        <w:t>料与结构力学行为，实验检测技术与表征方法，高性能计算</w:t>
      </w:r>
      <w:r>
        <w:rPr>
          <w:rFonts w:ascii="宋体" w:hAnsi="宋体" w:cs="宋体" w:eastAsia="宋体" w:hint="ascii"/>
          <w:sz w:val="21"/>
          <w:spacing w:val="-6"/>
        </w:rPr>
        <w:t>方</w:t>
      </w:r>
      <w:r>
        <w:rPr>
          <w:rFonts w:ascii="宋体" w:hAnsi="宋体" w:cs="宋体" w:eastAsia="宋体" w:hint="ascii"/>
          <w:sz w:val="21"/>
          <w:spacing w:val="1"/>
        </w:rPr>
        <w:t>法，结构的优化、完整</w:t>
      </w:r>
      <w:r>
        <w:rPr>
          <w:rFonts w:ascii="宋体" w:hAnsi="宋体" w:cs="宋体" w:eastAsia="宋体" w:hint="ascii"/>
          <w:sz w:val="21"/>
        </w:rPr>
        <w:t>性与安全评估，岩土类介质的变形、破坏机理与岩土工程稳</w:t>
      </w:r>
      <w:r>
        <w:rPr>
          <w:rFonts w:ascii="宋体" w:hAnsi="宋体" w:cs="宋体" w:eastAsia="宋体" w:hint="ascii"/>
          <w:sz w:val="21"/>
          <w:spacing w:val="-6"/>
        </w:rPr>
        <w:t>定</w:t>
      </w:r>
      <w:r>
        <w:rPr>
          <w:rFonts w:ascii="宋体" w:hAnsi="宋体" w:cs="宋体" w:eastAsia="宋体" w:hint="ascii"/>
          <w:sz w:val="21"/>
        </w:rPr>
        <w:t>性等问题的研究。</w:t>
      </w:r>
      <w:r>
        <w:rPr>
          <w:rFonts w:ascii="宋体" w:hAnsi="宋体" w:cs="宋体" w:eastAsia="宋体" w:hint="ascii"/>
          <w:sz w:val="21"/>
        </w:rPr>
        <mc:AlternateContent>
          <mc:Choice Requires="wps">
            <w:drawing>
              <wp:anchor distL="0" distR="0" distT="0" distB="0" simplePos="0" behindDoc="1" relativeHeight="70" locked="0" layoutInCell="1" allowOverlap="1">
                <wp:simplePos x="0" y="0"/>
                <wp:positionH relativeFrom="page">
                  <wp:posOffset>938530</wp:posOffset>
                </wp:positionH>
                <wp:positionV relativeFrom="page">
                  <wp:posOffset>805815</wp:posOffset>
                </wp:positionV>
                <wp:extent cx="5076190" cy="0"/>
                <wp:wrapNone/>
                <wp:docPr id="1097" name="109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86560;width:399.70pt;" id="109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流体力学领域的项目申请应注重对复杂流动的演化规律和机理的研究，鼓励稀薄气</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体流动、</w:t>
      </w:r>
      <w:r>
        <w:rPr>
          <w:rFonts w:ascii="宋体" w:hAnsi="宋体" w:cs="宋体" w:eastAsia="宋体" w:hint="ascii"/>
          <w:sz w:val="21"/>
        </w:rPr>
        <w:t>高超声速空气动力学的研究；加强可压缩湍流理论、模拟与实验研究；扶持高</w:t>
      </w:r>
      <w:r>
        <w:rPr>
          <w:rFonts w:ascii="宋体" w:hAnsi="宋体" w:cs="宋体" w:eastAsia="宋体" w:hint="ascii"/>
          <w:sz w:val="21"/>
          <w:spacing w:val="-1"/>
        </w:rPr>
        <w:t>速水动力</w:t>
      </w:r>
      <w:r>
        <w:rPr>
          <w:rFonts w:ascii="宋体" w:hAnsi="宋体" w:cs="宋体" w:eastAsia="宋体" w:hint="ascii"/>
          <w:sz w:val="21"/>
        </w:rPr>
        <w:t>学、多相复杂流动研究；支持航空航天、能源与海洋、环境与灾害、交通运输等重大需求领域中的关键流体力学问题研究。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生物力学领域的项目申请应充分关注人类健康与疾病、体育竞技中的生物力学与力</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学生物学</w:t>
      </w:r>
      <w:r>
        <w:rPr>
          <w:rFonts w:ascii="宋体" w:hAnsi="宋体" w:cs="宋体" w:eastAsia="宋体" w:hint="ascii"/>
          <w:sz w:val="21"/>
        </w:rPr>
        <w:t>问题，加强心脑血管、骨关节和肿瘤等非传染性疾病的力学生物学机理与转化医学研究，鼓励生物力学实验研究以及新理论、新方法和新技术的探索。</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爆炸与冲击动力学领域的项目申请应注重学科前沿与国家重大需求的结合，紧密围</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绕相关工</w:t>
      </w:r>
      <w:r>
        <w:rPr>
          <w:rFonts w:ascii="宋体" w:hAnsi="宋体" w:cs="宋体" w:eastAsia="宋体" w:hint="ascii"/>
          <w:sz w:val="21"/>
        </w:rPr>
        <w:t>程和安全问题，加强对材料动态力学行为、结构爆炸冲击响应和爆轰机制的理论和实验研究。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继续支持有创新思想的仪器设备研制和改造、新实验方法和技术研究，申请人应在</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b w:val="1"/>
          <w:sz w:val="21"/>
        </w:rPr>
      </w:pPr>
      <w:r>
        <w:rPr>
          <w:rFonts w:ascii="宋体" w:hAnsi="宋体" w:cs="宋体" w:eastAsia="宋体" w:hint="ascii"/>
          <w:sz w:val="21"/>
          <w:spacing w:val="-1"/>
        </w:rPr>
        <w:t>申</w:t>
      </w:r>
      <w:r>
        <w:rPr>
          <w:rFonts w:ascii="宋体" w:hAnsi="宋体" w:cs="宋体" w:eastAsia="宋体" w:hint="ascii"/>
          <w:sz w:val="21"/>
        </w:rPr>
        <w:t>请书的附注说明栏填写“实验技术与仪器”字样</w:t>
      </w:r>
      <w:r>
        <w:rPr>
          <w:rFonts w:ascii="宋体" w:hAnsi="宋体" w:cs="宋体" w:eastAsia="宋体" w:hint="ascii"/>
          <w:b w:val="1"/>
          <w:sz w:val="21"/>
          <w:spacing w:val="-3"/>
        </w:rPr>
        <w:t>。</w:t>
      </w:r>
      <w:r>
        <w:rPr>
          <w:rFonts w:ascii="宋体" w:hAnsi="宋体" w:cs="宋体" w:eastAsia="宋体" w:hint="ascii"/>
          <w:sz w:val="21"/>
        </w:rPr>
        <w:t>继续支持计算力学软件发展项目，</w:t>
      </w:r>
      <w:r>
        <w:rPr>
          <w:rFonts w:ascii="宋体" w:hAnsi="宋体" w:cs="宋体" w:eastAsia="宋体" w:hint="ascii"/>
          <w:sz w:val="21"/>
          <w:spacing w:val="-1"/>
        </w:rPr>
        <w:t>注重能够</w:t>
      </w:r>
      <w:r>
        <w:rPr>
          <w:rFonts w:ascii="宋体" w:hAnsi="宋体" w:cs="宋体" w:eastAsia="宋体" w:hint="ascii"/>
          <w:sz w:val="21"/>
        </w:rPr>
        <w:t>形成自主知识产权和共享的计算力学软件的集成与标准化研究，申请人应在申</w:t>
      </w:r>
      <w:r>
        <w:rPr>
          <w:rFonts w:ascii="宋体" w:hAnsi="宋体" w:cs="宋体" w:eastAsia="宋体" w:hint="ascii"/>
          <w:sz w:val="21"/>
          <w:spacing w:val="-1"/>
        </w:rPr>
        <w:t>请书的附</w:t>
      </w:r>
      <w:r>
        <w:rPr>
          <w:rFonts w:ascii="宋体" w:hAnsi="宋体" w:cs="宋体" w:eastAsia="宋体" w:hint="ascii"/>
          <w:sz w:val="21"/>
        </w:rPr>
        <w:t>注说明栏填写“计算力学软件”字样</w:t>
      </w:r>
      <w:r>
        <w:rPr>
          <w:rFonts w:ascii="宋体" w:hAnsi="宋体" w:cs="宋体" w:eastAsia="宋体" w:hint="ascii"/>
          <w:b w:val="1"/>
          <w:sz w:val="21"/>
        </w:rPr>
        <w:t>。</w:t>
      </w:r>
      <w:r>
        <w:rPr>
          <w:rFonts w:ascii="宋体" w:hAnsi="宋体" w:cs="宋体" w:eastAsia="宋体" w:hint="ascii"/>
          <w:sz w:val="21"/>
        </w:rPr>
        <w:t>以上两类项目的申请人应具有一定的相关研究工作基础</w:t>
      </w:r>
      <w:r>
        <w:rPr>
          <w:rFonts w:ascii="宋体" w:hAnsi="宋体" w:cs="宋体" w:eastAsia="宋体" w:hint="ascii"/>
          <w:b w:val="1"/>
          <w:sz w:val="21"/>
        </w:rPr>
        <w:t>。</w:t>
      </w:r>
    </w:p>
    <w:p>
      <w:pPr>
        <w:autoSpaceDE w:val="0"/>
        <w:autoSpaceDN w:val="0"/>
        <w:jc w:val="left"/>
        <w:spacing w:before="270"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天文科学处</w:t>
      </w:r>
    </w:p>
    <w:p>
      <w:pPr>
        <w:autoSpaceDE w:val="0"/>
        <w:autoSpaceDN w:val="0"/>
        <w:jc w:val="left"/>
        <w:spacing w:before="3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天文科学处主要接收天体物理学、基本天文学和天文仪器与技术方法等研究领域的</w:t>
      </w:r>
    </w:p>
    <w:p>
      <w:pPr>
        <w:autoSpaceDE w:val="0"/>
        <w:autoSpaceDN w:val="0"/>
        <w:jc w:val="both"/>
        <w:spacing w:before="13" w:after="0" w:lineRule="exact" w:line="319"/>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申请。根</w:t>
      </w:r>
      <w:r>
        <w:rPr>
          <w:rFonts w:ascii="宋体" w:hAnsi="宋体" w:cs="宋体" w:eastAsia="宋体" w:hint="ascii"/>
          <w:sz w:val="21"/>
        </w:rPr>
        <w:t>据国际天文学发展趋势和中国天文学发展现状，本科学处侧重支持以研究为主</w:t>
      </w:r>
      <w:r>
        <w:rPr>
          <w:rFonts w:ascii="宋体" w:hAnsi="宋体" w:cs="宋体" w:eastAsia="宋体" w:hint="ascii"/>
          <w:sz w:val="21"/>
          <w:spacing w:val="-1"/>
        </w:rPr>
        <w:t>的项目，</w:t>
      </w:r>
      <w:r>
        <w:rPr>
          <w:rFonts w:ascii="宋体" w:hAnsi="宋体" w:cs="宋体" w:eastAsia="宋体" w:hint="ascii"/>
          <w:sz w:val="21"/>
        </w:rPr>
        <w:t>强调以研究带动技术、仪器的发展，提倡立足国内现有和将建的观测设备，加</w:t>
      </w:r>
      <w:r>
        <w:rPr>
          <w:rFonts w:ascii="宋体" w:hAnsi="宋体" w:cs="宋体" w:eastAsia="宋体" w:hint="ascii"/>
          <w:sz w:val="21"/>
          <w:spacing w:val="-1"/>
        </w:rPr>
        <w:t>强学术思</w:t>
      </w:r>
      <w:r>
        <w:rPr>
          <w:rFonts w:ascii="宋体" w:hAnsi="宋体" w:cs="宋体" w:eastAsia="宋体" w:hint="ascii"/>
          <w:sz w:val="21"/>
        </w:rPr>
        <w:t>想创新、观测与理论相结合，特别是与我国正在建设的国家重大科技基础设施</w:t>
      </w:r>
      <w:r>
        <w:rPr>
          <w:rFonts w:ascii="宋体" w:hAnsi="宋体" w:cs="宋体" w:eastAsia="宋体" w:hint="ascii"/>
          <w:sz w:val="21"/>
          <w:spacing w:val="-1"/>
        </w:rPr>
        <w:t>项目相结</w:t>
      </w:r>
      <w:r>
        <w:rPr>
          <w:rFonts w:ascii="宋体" w:hAnsi="宋体" w:cs="宋体" w:eastAsia="宋体" w:hint="ascii"/>
          <w:sz w:val="21"/>
        </w:rPr>
        <w:t>合的研究以及天文新技术、新方法的研究；鼓励与其他学科的交叉和渗透，逐步形成在国际上有特色、有影响的研究团队，重视和支持国际合作与交流。</w:t>
      </w:r>
    </w:p>
    <w:p>
      <w:pPr>
        <w:autoSpaceDE w:val="0"/>
        <w:autoSpaceDN w:val="0"/>
        <w:jc w:val="both"/>
        <w:spacing w:before="3" w:after="0" w:lineRule="exact" w:line="320"/>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近年来资</w:t>
      </w:r>
      <w:r>
        <w:rPr>
          <w:rFonts w:ascii="宋体" w:hAnsi="宋体" w:cs="宋体" w:eastAsia="宋体" w:hint="ascii"/>
          <w:sz w:val="21"/>
        </w:rPr>
        <w:t>助的面上项目中，基本实现了天体物理（包括星系和宇宙学、恒星与银河系、太阳系与系外行星系统、太阳物理</w:t>
      </w:r>
      <w:r>
        <w:rPr>
          <w:rFonts w:ascii="宋体" w:hAnsi="宋体" w:cs="宋体" w:eastAsia="宋体" w:hint="ascii"/>
          <w:sz w:val="21"/>
          <w:spacing w:val="-52"/>
        </w:rPr>
        <w:t>）</w:t>
      </w:r>
      <w:r>
        <w:rPr>
          <w:rFonts w:ascii="宋体" w:hAnsi="宋体" w:cs="宋体" w:eastAsia="宋体" w:hint="ascii"/>
          <w:sz w:val="21"/>
        </w:rPr>
        <w:t>、基本天文学（包括天体测量和天体力学）和</w:t>
      </w:r>
      <w:r>
        <w:rPr>
          <w:rFonts w:ascii="宋体" w:hAnsi="宋体" w:cs="宋体" w:eastAsia="宋体" w:hint="ascii"/>
          <w:sz w:val="21"/>
          <w:spacing w:val="-1"/>
        </w:rPr>
        <w:t>天文技术</w:t>
      </w:r>
      <w:r>
        <w:rPr>
          <w:rFonts w:ascii="宋体" w:hAnsi="宋体" w:cs="宋体" w:eastAsia="宋体" w:hint="ascii"/>
          <w:sz w:val="21"/>
        </w:rPr>
        <w:t>方法（包括天文学史）等领域的均衡资助。青年研究人员已逐渐成为天文学研究的中坚力量，</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52"/>
        </w:rPr>
        <w:t>0</w:t>
      </w:r>
      <w:r>
        <w:rPr>
          <w:rFonts w:ascii="宋体" w:hAnsi="宋体" w:cs="宋体" w:eastAsia="宋体" w:hint="ascii"/>
          <w:sz w:val="21"/>
        </w:rPr>
        <w:t>岁以下的青年人已占到研究人员总数的一半以上。</w:t>
      </w:r>
    </w:p>
    <w:p>
      <w:pPr>
        <w:autoSpaceDE w:val="0"/>
        <w:autoSpaceDN w:val="0"/>
        <w:jc w:val="left"/>
        <w:spacing w:before="45"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年度本科学处在继续加强对理论与观测相结合及青年学者的申请项目支持的</w:t>
      </w:r>
    </w:p>
    <w:p>
      <w:pPr>
        <w:autoSpaceDE w:val="0"/>
        <w:autoSpaceDN w:val="0"/>
        <w:jc w:val="both"/>
        <w:spacing w:before="17" w:after="0" w:lineRule="exact" w:line="32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同时，优</w:t>
      </w:r>
      <w:r>
        <w:rPr>
          <w:rFonts w:ascii="宋体" w:hAnsi="宋体" w:cs="宋体" w:eastAsia="宋体" w:hint="ascii"/>
          <w:sz w:val="21"/>
        </w:rPr>
        <w:t>先支持天文学与物理学、空间科学、地球科学和信息科学等密切相关学科的交</w:t>
      </w:r>
      <w:r>
        <w:rPr>
          <w:rFonts w:ascii="宋体" w:hAnsi="宋体" w:cs="宋体" w:eastAsia="宋体" w:hint="ascii"/>
          <w:sz w:val="21"/>
          <w:spacing w:val="-1"/>
        </w:rPr>
        <w:t>叉研究。</w:t>
      </w:r>
      <w:r>
        <w:rPr>
          <w:rFonts w:ascii="宋体" w:hAnsi="宋体" w:cs="宋体" w:eastAsia="宋体" w:hint="ascii"/>
          <w:sz w:val="21"/>
        </w:rPr>
        <w:t>稳定支持已经具备一定优势的研究方向，促进充分发挥我国观测大设备潜力的</w:t>
      </w:r>
      <w:r>
        <w:rPr>
          <w:rFonts w:ascii="宋体" w:hAnsi="宋体" w:cs="宋体" w:eastAsia="宋体" w:hint="ascii"/>
          <w:sz w:val="21"/>
          <w:spacing w:val="-1"/>
        </w:rPr>
        <w:t>相关研究</w:t>
      </w:r>
      <w:r>
        <w:rPr>
          <w:rFonts w:ascii="宋体" w:hAnsi="宋体" w:cs="宋体" w:eastAsia="宋体" w:hint="ascii"/>
          <w:sz w:val="21"/>
        </w:rPr>
        <w:t>，培育有可能取得重大突破的研究方向。鼓励开展天体基本物理过程、天体化</w:t>
      </w:r>
      <w:r>
        <w:rPr>
          <w:rFonts w:ascii="宋体" w:hAnsi="宋体" w:cs="宋体" w:eastAsia="宋体" w:hint="ascii"/>
          <w:sz w:val="21"/>
          <w:spacing w:val="-1"/>
        </w:rPr>
        <w:t>学演化、</w:t>
      </w:r>
      <w:r>
        <w:rPr>
          <w:rFonts w:ascii="宋体" w:hAnsi="宋体" w:cs="宋体" w:eastAsia="宋体" w:hint="ascii"/>
          <w:sz w:val="21"/>
        </w:rPr>
        <w:t>太阳系天体、系外行星系统、红外天文、空间天文观测方面的研究以及面向国</w:t>
      </w:r>
      <w:r>
        <w:rPr>
          <w:rFonts w:ascii="宋体" w:hAnsi="宋体" w:cs="宋体" w:eastAsia="宋体" w:hint="ascii"/>
          <w:sz w:val="21"/>
          <w:spacing w:val="-1"/>
        </w:rPr>
        <w:t>家重大需</w:t>
      </w:r>
      <w:r>
        <w:rPr>
          <w:rFonts w:ascii="宋体" w:hAnsi="宋体" w:cs="宋体" w:eastAsia="宋体" w:hint="ascii"/>
          <w:sz w:val="21"/>
        </w:rPr>
        <w:t>求的天文学研究。继续对基本天文学、天文技术方法及规模较小的天文研究单位的项目申请给予适当倾斜资助。</w:t>
      </w:r>
    </w:p>
    <w:p>
      <w:pPr>
        <w:autoSpaceDE w:val="0"/>
        <w:autoSpaceDN w:val="0"/>
        <w:jc w:val="left"/>
        <w:spacing w:before="451"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未来几年里，本科学处计划针对围绕已建成或正在建设的望远镜设备开展的科学工</w:t>
      </w:r>
      <w:r>
        <w:rPr>
          <w:rFonts w:ascii="宋体" w:hAnsi="宋体" w:cs="宋体" w:eastAsia="宋体" w:hint="ascii"/>
          <w:sz w:val="21"/>
        </w:rPr>
        <mc:AlternateContent>
          <mc:Choice Requires="wps">
            <w:drawing>
              <wp:anchor distL="0" distR="0" distT="0" distB="0" simplePos="0" behindDoc="1" relativeHeight="71" locked="0" layoutInCell="1" allowOverlap="1">
                <wp:simplePos x="0" y="0"/>
                <wp:positionH relativeFrom="page">
                  <wp:posOffset>938530</wp:posOffset>
                </wp:positionH>
                <wp:positionV relativeFrom="page">
                  <wp:posOffset>819150</wp:posOffset>
                </wp:positionV>
                <wp:extent cx="5076190" cy="0"/>
                <wp:wrapNone/>
                <wp:docPr id="1098" name="109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85536;width:399.70pt;" id="109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0" w:after="0" w:lineRule="exact" w:line="312"/>
        <w:ind w:right="962" w:left="966" w:firstLine="0"/>
        <w:snapToGrid w:val="0"/>
        <w:textAlignment w:val="auto"/>
        <w:tabs/>
        <w:rPr>
          <w:rFonts w:ascii="宋体" w:hAnsi="宋体" w:cs="宋体" w:eastAsia="宋体" w:hint="ascii"/>
          <w:b w:val="1"/>
          <w:sz w:val="21"/>
        </w:rPr>
      </w:pPr>
      <w:r>
        <w:rPr>
          <w:rFonts w:ascii="宋体" w:hAnsi="宋体" w:cs="宋体" w:eastAsia="宋体" w:hint="ascii"/>
          <w:sz w:val="21"/>
        </w:rPr>
        <w:t>作和发展大望远镜及空间探测所急需的天文新技术方法的前期概念性、原理性研究给予特别支持</w:t>
      </w:r>
      <w:r>
        <w:rPr>
          <w:rFonts w:ascii="宋体" w:hAnsi="宋体" w:cs="宋体" w:eastAsia="宋体" w:hint="ascii"/>
          <w:b w:val="1"/>
          <w:sz w:val="21"/>
        </w:rPr>
        <w:t>。</w:t>
      </w:r>
      <w:r>
        <w:rPr>
          <w:rFonts w:ascii="宋体" w:hAnsi="宋体" w:cs="宋体" w:eastAsia="宋体" w:hint="ascii"/>
          <w:sz w:val="21"/>
        </w:rPr>
        <w:t>申请此类项目，申请人应在申请书的附注说明栏填写“重大科技基础设施课题研究”或“天文新技术方法”字样</w:t>
      </w:r>
      <w:r>
        <w:rPr>
          <w:rFonts w:ascii="宋体" w:hAnsi="宋体" w:cs="宋体" w:eastAsia="宋体" w:hint="ascii"/>
          <w:b w:val="1"/>
          <w:sz w:val="21"/>
        </w:rPr>
        <w:t>。</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物理科学一处</w:t>
      </w:r>
    </w:p>
    <w:p>
      <w:pPr>
        <w:autoSpaceDE w:val="0"/>
        <w:autoSpaceDN w:val="0"/>
        <w:jc w:val="both"/>
        <w:spacing w:before="301" w:after="0" w:lineRule="exact" w:line="330"/>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物理科学一处</w:t>
      </w:r>
      <w:r>
        <w:rPr>
          <w:rFonts w:ascii="宋体" w:hAnsi="宋体" w:cs="宋体" w:eastAsia="宋体" w:hint="ascii"/>
          <w:sz w:val="21"/>
        </w:rPr>
        <w:t>资助范围涵盖凝聚态物理、原子和分子物理、光学和声学，以及这</w:t>
      </w:r>
      <w:r>
        <w:rPr>
          <w:rFonts w:ascii="宋体" w:hAnsi="宋体" w:cs="宋体" w:eastAsia="宋体" w:hint="ascii"/>
          <w:sz w:val="21"/>
          <w:spacing w:val="-25"/>
        </w:rPr>
        <w:t xml:space="preserve"> </w:t>
      </w:r>
      <w:r>
        <w:rPr>
          <w:rFonts w:ascii="Times New Roman" w:hAnsi="Times New Roman" w:cs="Times New Roman" w:eastAsia="Times New Roman" w:hint="ascii"/>
          <w:sz w:val="21"/>
        </w:rPr>
        <w:t xml:space="preserve">4 </w:t>
      </w:r>
      <w:r>
        <w:rPr>
          <w:rFonts w:ascii="宋体" w:hAnsi="宋体" w:cs="宋体" w:eastAsia="宋体" w:hint="ascii"/>
          <w:sz w:val="21"/>
        </w:rPr>
        <w:t>个学科与其他学科相互交叉所形成的新研究领域。</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根据学科发展的现状和要求，重视具有创新思想的实验方法、实验技术研究；鼓励</w:t>
      </w:r>
    </w:p>
    <w:p>
      <w:pPr>
        <w:autoSpaceDE w:val="0"/>
        <w:autoSpaceDN w:val="0"/>
        <w:jc w:val="left"/>
        <w:spacing w:before="14" w:after="0" w:lineRule="exact" w:line="33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与实验物理结合密切、探索性强的新计算方法研究和模拟软件开发；关注国家重大需求中关键基础物理问题以及交叉领域中新物理概念和方法等研究。特别鼓励对科学有重要意义但尚未成为热点物理问题的深入研究，鼓励器件层面上的基础物理研究，鼓励开拓新领域、新方向的研究。</w:t>
      </w:r>
    </w:p>
    <w:p>
      <w:pPr>
        <w:autoSpaceDE w:val="0"/>
        <w:autoSpaceDN w:val="0"/>
        <w:jc w:val="both"/>
        <w:spacing w:before="0" w:after="0" w:lineRule="exact" w:line="330"/>
        <w:ind w:right="978" w:left="861" w:firstLine="524"/>
        <w:snapToGrid w:val="0"/>
        <w:textAlignment w:val="auto"/>
        <w:tabs/>
        <w:rPr>
          <w:rFonts w:ascii="宋体" w:hAnsi="宋体" w:cs="宋体" w:eastAsia="宋体" w:hint="ascii"/>
          <w:sz w:val="21"/>
        </w:rPr>
      </w:pPr>
      <w:r>
        <w:rPr>
          <w:rFonts w:ascii="宋体" w:hAnsi="宋体" w:cs="宋体" w:eastAsia="宋体" w:hint="ascii"/>
          <w:sz w:val="21"/>
          <w:spacing w:val="-2"/>
        </w:rPr>
        <w:t>在凝聚态物理方面，重视关联电子系统中的奇异量</w:t>
      </w:r>
      <w:r>
        <w:rPr>
          <w:rFonts w:ascii="宋体" w:hAnsi="宋体" w:cs="宋体" w:eastAsia="宋体" w:hint="ascii"/>
          <w:sz w:val="21"/>
          <w:spacing w:val="-1"/>
        </w:rPr>
        <w:t>子现象；各种低维、小尺度系统</w:t>
      </w:r>
      <w:r>
        <w:rPr>
          <w:rFonts w:ascii="宋体" w:hAnsi="宋体" w:cs="宋体" w:eastAsia="宋体" w:hint="ascii"/>
          <w:sz w:val="21"/>
        </w:rPr>
        <w:t xml:space="preserve"> （器件）量子现象和量子效应、器件物理及先进的表征技术和方法；表面、界面和薄膜</w:t>
      </w:r>
    </w:p>
    <w:p>
      <w:pPr>
        <w:autoSpaceDE w:val="0"/>
        <w:autoSpaceDN w:val="0"/>
        <w:jc w:val="left"/>
        <w:spacing w:before="0" w:after="0" w:lineRule="exact" w:line="330"/>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3"/>
        </w:rPr>
        <w:t>的结构与</w:t>
      </w:r>
      <w:r>
        <w:rPr>
          <w:rFonts w:ascii="宋体" w:hAnsi="宋体" w:cs="宋体" w:eastAsia="宋体" w:hint="ascii"/>
          <w:sz w:val="21"/>
        </w:rPr>
        <w:t>物</w:t>
      </w:r>
      <w:r>
        <w:rPr>
          <w:rFonts w:ascii="宋体" w:hAnsi="宋体" w:cs="宋体" w:eastAsia="宋体" w:hint="ascii"/>
          <w:sz w:val="21"/>
          <w:spacing w:val="3"/>
        </w:rPr>
        <w:t>理性质；</w:t>
      </w:r>
      <w:r>
        <w:rPr>
          <w:rFonts w:ascii="宋体" w:hAnsi="宋体" w:cs="宋体" w:eastAsia="宋体" w:hint="ascii"/>
          <w:sz w:val="21"/>
        </w:rPr>
        <w:t>先</w:t>
      </w:r>
      <w:r>
        <w:rPr>
          <w:rFonts w:ascii="宋体" w:hAnsi="宋体" w:cs="宋体" w:eastAsia="宋体" w:hint="ascii"/>
          <w:sz w:val="21"/>
          <w:spacing w:val="3"/>
        </w:rPr>
        <w:t>进材料的</w:t>
      </w:r>
      <w:r>
        <w:rPr>
          <w:rFonts w:ascii="宋体" w:hAnsi="宋体" w:cs="宋体" w:eastAsia="宋体" w:hint="ascii"/>
          <w:sz w:val="21"/>
        </w:rPr>
        <w:t>结</w:t>
      </w:r>
      <w:r>
        <w:rPr>
          <w:rFonts w:ascii="宋体" w:hAnsi="宋体" w:cs="宋体" w:eastAsia="宋体" w:hint="ascii"/>
          <w:sz w:val="21"/>
          <w:spacing w:val="3"/>
        </w:rPr>
        <w:t>构、性能</w:t>
      </w:r>
      <w:r>
        <w:rPr>
          <w:rFonts w:ascii="宋体" w:hAnsi="宋体" w:cs="宋体" w:eastAsia="宋体" w:hint="ascii"/>
          <w:sz w:val="21"/>
        </w:rPr>
        <w:t>、</w:t>
      </w:r>
      <w:r>
        <w:rPr>
          <w:rFonts w:ascii="宋体" w:hAnsi="宋体" w:cs="宋体" w:eastAsia="宋体" w:hint="ascii"/>
          <w:sz w:val="21"/>
          <w:spacing w:val="3"/>
        </w:rPr>
        <w:t>制备与应</w:t>
      </w:r>
      <w:r>
        <w:rPr>
          <w:rFonts w:ascii="宋体" w:hAnsi="宋体" w:cs="宋体" w:eastAsia="宋体" w:hint="ascii"/>
          <w:sz w:val="21"/>
        </w:rPr>
        <w:t>用</w:t>
      </w:r>
      <w:r>
        <w:rPr>
          <w:rFonts w:ascii="宋体" w:hAnsi="宋体" w:cs="宋体" w:eastAsia="宋体" w:hint="ascii"/>
          <w:sz w:val="21"/>
          <w:spacing w:val="3"/>
        </w:rPr>
        <w:t>中的物理</w:t>
      </w:r>
      <w:r>
        <w:rPr>
          <w:rFonts w:ascii="宋体" w:hAnsi="宋体" w:cs="宋体" w:eastAsia="宋体" w:hint="ascii"/>
          <w:sz w:val="21"/>
        </w:rPr>
        <w:t>问</w:t>
      </w:r>
      <w:r>
        <w:rPr>
          <w:rFonts w:ascii="宋体" w:hAnsi="宋体" w:cs="宋体" w:eastAsia="宋体" w:hint="ascii"/>
          <w:sz w:val="21"/>
          <w:spacing w:val="3"/>
        </w:rPr>
        <w:t>题。鼓励对</w:t>
      </w:r>
      <w:r>
        <w:rPr>
          <w:rFonts w:ascii="宋体" w:hAnsi="宋体" w:cs="宋体" w:eastAsia="宋体" w:hint="ascii"/>
          <w:sz w:val="21"/>
          <w:spacing w:val="4"/>
        </w:rPr>
        <w:t>软</w:t>
      </w:r>
      <w:r>
        <w:rPr>
          <w:rFonts w:ascii="宋体" w:hAnsi="宋体" w:cs="宋体" w:eastAsia="宋体" w:hint="ascii"/>
          <w:sz w:val="21"/>
        </w:rPr>
        <w:t>物质、生命科学及其他交叉学科相关的基本物理问题和实验方法的研究；特别重视有重大应用前景的材料、器件中物理问题的研究。</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在原子和分子物理学、光学方面，重视对原子、分子和团簇的结构与动力学过程；</w:t>
      </w:r>
    </w:p>
    <w:p>
      <w:pPr>
        <w:autoSpaceDE w:val="0"/>
        <w:autoSpaceDN w:val="0"/>
        <w:jc w:val="left"/>
        <w:spacing w:before="13" w:after="0" w:lineRule="exact" w:line="33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冷原子分子物理及其与光场相互作用中的物理问题；原子、分子体系的复杂相互作用；激光与原子分子相互作用；超快和超强光物理；光在新型光学介质中的传输过程及其特性</w:t>
      </w:r>
      <w:r>
        <w:rPr>
          <w:rFonts w:ascii="宋体" w:hAnsi="宋体" w:cs="宋体" w:eastAsia="宋体" w:hint="ascii"/>
          <w:sz w:val="21"/>
          <w:spacing w:val="3"/>
        </w:rPr>
        <w:t>；</w:t>
      </w:r>
      <w:r>
        <w:rPr>
          <w:rFonts w:ascii="宋体" w:hAnsi="宋体" w:cs="宋体" w:eastAsia="宋体" w:hint="ascii"/>
          <w:sz w:val="21"/>
        </w:rPr>
        <w:t>量子频标</w:t>
      </w:r>
      <w:r>
        <w:rPr>
          <w:rFonts w:ascii="宋体" w:hAnsi="宋体" w:cs="宋体" w:eastAsia="宋体" w:hint="ascii"/>
          <w:sz w:val="21"/>
          <w:spacing w:val="3"/>
        </w:rPr>
        <w:t>、</w:t>
      </w:r>
      <w:r>
        <w:rPr>
          <w:rFonts w:ascii="宋体" w:hAnsi="宋体" w:cs="宋体" w:eastAsia="宋体" w:hint="ascii"/>
          <w:sz w:val="21"/>
        </w:rPr>
        <w:t>量子计量</w:t>
      </w:r>
      <w:r>
        <w:rPr>
          <w:rFonts w:ascii="宋体" w:hAnsi="宋体" w:cs="宋体" w:eastAsia="宋体" w:hint="ascii"/>
          <w:sz w:val="21"/>
          <w:spacing w:val="3"/>
        </w:rPr>
        <w:t>、</w:t>
      </w:r>
      <w:r>
        <w:rPr>
          <w:rFonts w:ascii="宋体" w:hAnsi="宋体" w:cs="宋体" w:eastAsia="宋体" w:hint="ascii"/>
          <w:sz w:val="21"/>
        </w:rPr>
        <w:t>量子信息</w:t>
      </w:r>
      <w:r>
        <w:rPr>
          <w:rFonts w:ascii="宋体" w:hAnsi="宋体" w:cs="宋体" w:eastAsia="宋体" w:hint="ascii"/>
          <w:sz w:val="21"/>
          <w:spacing w:val="3"/>
        </w:rPr>
        <w:t>中</w:t>
      </w:r>
      <w:r>
        <w:rPr>
          <w:rFonts w:ascii="宋体" w:hAnsi="宋体" w:cs="宋体" w:eastAsia="宋体" w:hint="ascii"/>
          <w:sz w:val="21"/>
        </w:rPr>
        <w:t>的物理问</w:t>
      </w:r>
      <w:r>
        <w:rPr>
          <w:rFonts w:ascii="宋体" w:hAnsi="宋体" w:cs="宋体" w:eastAsia="宋体" w:hint="ascii"/>
          <w:sz w:val="21"/>
          <w:spacing w:val="3"/>
        </w:rPr>
        <w:t>题</w:t>
      </w:r>
      <w:r>
        <w:rPr>
          <w:rFonts w:ascii="宋体" w:hAnsi="宋体" w:cs="宋体" w:eastAsia="宋体" w:hint="ascii"/>
          <w:sz w:val="21"/>
        </w:rPr>
        <w:t>；原子分</w:t>
      </w:r>
      <w:r>
        <w:rPr>
          <w:rFonts w:ascii="宋体" w:hAnsi="宋体" w:cs="宋体" w:eastAsia="宋体" w:hint="ascii"/>
          <w:sz w:val="21"/>
          <w:spacing w:val="3"/>
        </w:rPr>
        <w:t>子</w:t>
      </w:r>
      <w:r>
        <w:rPr>
          <w:rFonts w:ascii="宋体" w:hAnsi="宋体" w:cs="宋体" w:eastAsia="宋体" w:hint="ascii"/>
          <w:sz w:val="21"/>
        </w:rPr>
        <w:t>精密谱</w:t>
      </w:r>
      <w:r>
        <w:rPr>
          <w:rFonts w:ascii="宋体" w:hAnsi="宋体" w:cs="宋体" w:eastAsia="宋体" w:hint="ascii"/>
          <w:sz w:val="21"/>
          <w:spacing w:val="5"/>
        </w:rPr>
        <w:t>、精</w:t>
      </w:r>
      <w:r>
        <w:rPr>
          <w:rFonts w:ascii="宋体" w:hAnsi="宋体" w:cs="宋体" w:eastAsia="宋体" w:hint="ascii"/>
          <w:sz w:val="21"/>
          <w:spacing w:val="4"/>
        </w:rPr>
        <w:t>密</w:t>
      </w:r>
      <w:r>
        <w:rPr>
          <w:rFonts w:ascii="宋体" w:hAnsi="宋体" w:cs="宋体" w:eastAsia="宋体" w:hint="ascii"/>
          <w:sz w:val="21"/>
          <w:spacing w:val="5"/>
        </w:rPr>
        <w:t>测</w:t>
      </w:r>
      <w:r>
        <w:rPr>
          <w:rFonts w:ascii="宋体" w:hAnsi="宋体" w:cs="宋体" w:eastAsia="宋体" w:hint="ascii"/>
          <w:sz w:val="21"/>
          <w:spacing w:val="4"/>
        </w:rPr>
        <w:t>量</w:t>
      </w:r>
      <w:r>
        <w:rPr>
          <w:rFonts w:ascii="宋体" w:hAnsi="宋体" w:cs="宋体" w:eastAsia="宋体" w:hint="ascii"/>
          <w:sz w:val="21"/>
          <w:spacing w:val="5"/>
        </w:rPr>
        <w:t>物</w:t>
      </w:r>
      <w:r>
        <w:rPr>
          <w:rFonts w:ascii="宋体" w:hAnsi="宋体" w:cs="宋体" w:eastAsia="宋体" w:hint="ascii"/>
          <w:sz w:val="21"/>
        </w:rPr>
        <w:t>理</w:t>
      </w:r>
      <w:r>
        <w:rPr>
          <w:rFonts w:ascii="宋体" w:hAnsi="宋体" w:cs="宋体" w:eastAsia="宋体" w:hint="ascii"/>
          <w:sz w:val="21"/>
          <w:spacing w:val="3"/>
        </w:rPr>
        <w:t>与方法；</w:t>
      </w:r>
      <w:r>
        <w:rPr>
          <w:rFonts w:ascii="宋体" w:hAnsi="宋体" w:cs="宋体" w:eastAsia="宋体" w:hint="ascii"/>
          <w:sz w:val="21"/>
        </w:rPr>
        <w:t>高</w:t>
      </w:r>
      <w:r>
        <w:rPr>
          <w:rFonts w:ascii="宋体" w:hAnsi="宋体" w:cs="宋体" w:eastAsia="宋体" w:hint="ascii"/>
          <w:sz w:val="21"/>
          <w:spacing w:val="3"/>
        </w:rPr>
        <w:t>分辨、高</w:t>
      </w:r>
      <w:r>
        <w:rPr>
          <w:rFonts w:ascii="宋体" w:hAnsi="宋体" w:cs="宋体" w:eastAsia="宋体" w:hint="ascii"/>
          <w:sz w:val="21"/>
        </w:rPr>
        <w:t>灵</w:t>
      </w:r>
      <w:r>
        <w:rPr>
          <w:rFonts w:ascii="宋体" w:hAnsi="宋体" w:cs="宋体" w:eastAsia="宋体" w:hint="ascii"/>
          <w:sz w:val="21"/>
          <w:spacing w:val="3"/>
        </w:rPr>
        <w:t>敏和高精</w:t>
      </w:r>
      <w:r>
        <w:rPr>
          <w:rFonts w:ascii="宋体" w:hAnsi="宋体" w:cs="宋体" w:eastAsia="宋体" w:hint="ascii"/>
          <w:sz w:val="21"/>
        </w:rPr>
        <w:t>度</w:t>
      </w:r>
      <w:r>
        <w:rPr>
          <w:rFonts w:ascii="宋体" w:hAnsi="宋体" w:cs="宋体" w:eastAsia="宋体" w:hint="ascii"/>
          <w:sz w:val="21"/>
          <w:spacing w:val="3"/>
        </w:rPr>
        <w:t>激光光谱</w:t>
      </w:r>
      <w:r>
        <w:rPr>
          <w:rFonts w:ascii="宋体" w:hAnsi="宋体" w:cs="宋体" w:eastAsia="宋体" w:hint="ascii"/>
          <w:sz w:val="21"/>
        </w:rPr>
        <w:t>学</w:t>
      </w:r>
      <w:r>
        <w:rPr>
          <w:rFonts w:ascii="宋体" w:hAnsi="宋体" w:cs="宋体" w:eastAsia="宋体" w:hint="ascii"/>
          <w:sz w:val="21"/>
          <w:spacing w:val="3"/>
        </w:rPr>
        <w:t>及其应用</w:t>
      </w:r>
      <w:r>
        <w:rPr>
          <w:rFonts w:ascii="宋体" w:hAnsi="宋体" w:cs="宋体" w:eastAsia="宋体" w:hint="ascii"/>
          <w:sz w:val="21"/>
        </w:rPr>
        <w:t>，</w:t>
      </w:r>
      <w:r>
        <w:rPr>
          <w:rFonts w:ascii="宋体" w:hAnsi="宋体" w:cs="宋体" w:eastAsia="宋体" w:hint="ascii"/>
          <w:sz w:val="21"/>
          <w:spacing w:val="3"/>
        </w:rPr>
        <w:t>以及微纳</w:t>
      </w:r>
      <w:r>
        <w:rPr>
          <w:rFonts w:ascii="宋体" w:hAnsi="宋体" w:cs="宋体" w:eastAsia="宋体" w:hint="ascii"/>
          <w:sz w:val="21"/>
        </w:rPr>
        <w:t>光</w:t>
      </w:r>
      <w:r>
        <w:rPr>
          <w:rFonts w:ascii="宋体" w:hAnsi="宋体" w:cs="宋体" w:eastAsia="宋体" w:hint="ascii"/>
          <w:sz w:val="21"/>
          <w:spacing w:val="3"/>
        </w:rPr>
        <w:t>子学、光</w:t>
      </w:r>
      <w:r>
        <w:rPr>
          <w:rFonts w:ascii="宋体" w:hAnsi="宋体" w:cs="宋体" w:eastAsia="宋体" w:hint="ascii"/>
          <w:sz w:val="21"/>
        </w:rPr>
        <w:t>力</w:t>
      </w:r>
      <w:r>
        <w:rPr>
          <w:rFonts w:ascii="宋体" w:hAnsi="宋体" w:cs="宋体" w:eastAsia="宋体" w:hint="ascii"/>
          <w:sz w:val="21"/>
          <w:spacing w:val="3"/>
        </w:rPr>
        <w:t>学</w:t>
      </w:r>
      <w:r>
        <w:rPr>
          <w:rFonts w:ascii="宋体" w:hAnsi="宋体" w:cs="宋体" w:eastAsia="宋体" w:hint="ascii"/>
          <w:sz w:val="21"/>
        </w:rPr>
        <w:t>、</w:t>
      </w:r>
      <w:r>
        <w:rPr>
          <w:rFonts w:ascii="宋体" w:hAnsi="宋体" w:cs="宋体" w:eastAsia="宋体" w:hint="ascii"/>
          <w:sz w:val="21"/>
          <w:spacing w:val="3"/>
        </w:rPr>
        <w:t>表面等离</w:t>
      </w:r>
      <w:r>
        <w:rPr>
          <w:rFonts w:ascii="宋体" w:hAnsi="宋体" w:cs="宋体" w:eastAsia="宋体" w:hint="ascii"/>
          <w:sz w:val="21"/>
        </w:rPr>
        <w:t>激</w:t>
      </w:r>
      <w:r>
        <w:rPr>
          <w:rFonts w:ascii="宋体" w:hAnsi="宋体" w:cs="宋体" w:eastAsia="宋体" w:hint="ascii"/>
          <w:sz w:val="21"/>
          <w:spacing w:val="3"/>
        </w:rPr>
        <w:t>元学中的</w:t>
      </w:r>
      <w:r>
        <w:rPr>
          <w:rFonts w:ascii="宋体" w:hAnsi="宋体" w:cs="宋体" w:eastAsia="宋体" w:hint="ascii"/>
          <w:sz w:val="21"/>
        </w:rPr>
        <w:t>基</w:t>
      </w:r>
      <w:r>
        <w:rPr>
          <w:rFonts w:ascii="宋体" w:hAnsi="宋体" w:cs="宋体" w:eastAsia="宋体" w:hint="ascii"/>
          <w:sz w:val="21"/>
          <w:spacing w:val="3"/>
        </w:rPr>
        <w:t>础物理问</w:t>
      </w:r>
      <w:r>
        <w:rPr>
          <w:rFonts w:ascii="宋体" w:hAnsi="宋体" w:cs="宋体" w:eastAsia="宋体" w:hint="ascii"/>
          <w:sz w:val="21"/>
        </w:rPr>
        <w:t>题</w:t>
      </w:r>
      <w:r>
        <w:rPr>
          <w:rFonts w:ascii="宋体" w:hAnsi="宋体" w:cs="宋体" w:eastAsia="宋体" w:hint="ascii"/>
          <w:sz w:val="21"/>
          <w:spacing w:val="3"/>
        </w:rPr>
        <w:t>的研究。</w:t>
      </w:r>
      <w:r>
        <w:rPr>
          <w:rFonts w:ascii="宋体" w:hAnsi="宋体" w:cs="宋体" w:eastAsia="宋体" w:hint="ascii"/>
          <w:sz w:val="21"/>
        </w:rPr>
        <w:t>重</w:t>
      </w:r>
      <w:r>
        <w:rPr>
          <w:rFonts w:ascii="宋体" w:hAnsi="宋体" w:cs="宋体" w:eastAsia="宋体" w:hint="ascii"/>
          <w:sz w:val="21"/>
          <w:spacing w:val="3"/>
        </w:rPr>
        <w:t>视光场调</w:t>
      </w:r>
      <w:r>
        <w:rPr>
          <w:rFonts w:ascii="宋体" w:hAnsi="宋体" w:cs="宋体" w:eastAsia="宋体" w:hint="ascii"/>
          <w:sz w:val="21"/>
        </w:rPr>
        <w:t>控</w:t>
      </w:r>
      <w:r>
        <w:rPr>
          <w:rFonts w:ascii="宋体" w:hAnsi="宋体" w:cs="宋体" w:eastAsia="宋体" w:hint="ascii"/>
          <w:sz w:val="21"/>
          <w:spacing w:val="3"/>
        </w:rPr>
        <w:t>及其应用</w:t>
      </w:r>
      <w:r>
        <w:rPr>
          <w:rFonts w:ascii="宋体" w:hAnsi="宋体" w:cs="宋体" w:eastAsia="宋体" w:hint="ascii"/>
          <w:sz w:val="21"/>
        </w:rPr>
        <w:t>方</w:t>
      </w:r>
      <w:r>
        <w:rPr>
          <w:rFonts w:ascii="宋体" w:hAnsi="宋体" w:cs="宋体" w:eastAsia="宋体" w:hint="ascii"/>
          <w:sz w:val="21"/>
          <w:spacing w:val="3"/>
        </w:rPr>
        <w:t>面的研究</w:t>
      </w:r>
      <w:r>
        <w:rPr>
          <w:rFonts w:ascii="宋体" w:hAnsi="宋体" w:cs="宋体" w:eastAsia="宋体" w:hint="ascii"/>
          <w:sz w:val="21"/>
        </w:rPr>
        <w:t>。</w:t>
      </w:r>
      <w:r>
        <w:rPr>
          <w:rFonts w:ascii="宋体" w:hAnsi="宋体" w:cs="宋体" w:eastAsia="宋体" w:hint="ascii"/>
          <w:sz w:val="21"/>
          <w:spacing w:val="3"/>
        </w:rPr>
        <w:t>鼓</w:t>
      </w:r>
      <w:r>
        <w:rPr>
          <w:rFonts w:ascii="宋体" w:hAnsi="宋体" w:cs="宋体" w:eastAsia="宋体" w:hint="ascii"/>
          <w:sz w:val="21"/>
        </w:rPr>
        <w:t>励</w:t>
      </w:r>
      <w:r>
        <w:rPr>
          <w:rFonts w:ascii="宋体" w:hAnsi="宋体" w:cs="宋体" w:eastAsia="宋体" w:hint="ascii"/>
          <w:sz w:val="21"/>
          <w:spacing w:val="3"/>
        </w:rPr>
        <w:t>开展相关</w:t>
      </w:r>
      <w:r>
        <w:rPr>
          <w:rFonts w:ascii="宋体" w:hAnsi="宋体" w:cs="宋体" w:eastAsia="宋体" w:hint="ascii"/>
          <w:sz w:val="21"/>
        </w:rPr>
        <w:t>交</w:t>
      </w:r>
      <w:r>
        <w:rPr>
          <w:rFonts w:ascii="宋体" w:hAnsi="宋体" w:cs="宋体" w:eastAsia="宋体" w:hint="ascii"/>
          <w:sz w:val="21"/>
          <w:spacing w:val="3"/>
        </w:rPr>
        <w:t>叉领域研</w:t>
      </w:r>
      <w:r>
        <w:rPr>
          <w:rFonts w:ascii="宋体" w:hAnsi="宋体" w:cs="宋体" w:eastAsia="宋体" w:hint="ascii"/>
          <w:sz w:val="21"/>
        </w:rPr>
        <w:t>究</w:t>
      </w:r>
      <w:r>
        <w:rPr>
          <w:rFonts w:ascii="宋体" w:hAnsi="宋体" w:cs="宋体" w:eastAsia="宋体" w:hint="ascii"/>
          <w:sz w:val="21"/>
          <w:spacing w:val="3"/>
        </w:rPr>
        <w:t>。此外，</w:t>
      </w:r>
      <w:r>
        <w:rPr>
          <w:rFonts w:ascii="宋体" w:hAnsi="宋体" w:cs="宋体" w:eastAsia="宋体" w:hint="ascii"/>
          <w:sz w:val="21"/>
        </w:rPr>
        <w:t>光</w:t>
      </w:r>
      <w:r>
        <w:rPr>
          <w:rFonts w:ascii="宋体" w:hAnsi="宋体" w:cs="宋体" w:eastAsia="宋体" w:hint="ascii"/>
          <w:sz w:val="21"/>
          <w:spacing w:val="3"/>
        </w:rPr>
        <w:t>电子学、</w:t>
      </w:r>
      <w:r>
        <w:rPr>
          <w:rFonts w:ascii="宋体" w:hAnsi="宋体" w:cs="宋体" w:eastAsia="宋体" w:hint="ascii"/>
          <w:sz w:val="21"/>
        </w:rPr>
        <w:t>光</w:t>
      </w:r>
      <w:r>
        <w:rPr>
          <w:rFonts w:ascii="宋体" w:hAnsi="宋体" w:cs="宋体" w:eastAsia="宋体" w:hint="ascii"/>
          <w:sz w:val="21"/>
          <w:spacing w:val="3"/>
        </w:rPr>
        <w:t>子学中的</w:t>
      </w:r>
      <w:r>
        <w:rPr>
          <w:rFonts w:ascii="宋体" w:hAnsi="宋体" w:cs="宋体" w:eastAsia="宋体" w:hint="ascii"/>
          <w:sz w:val="21"/>
        </w:rPr>
        <w:t>前</w:t>
      </w:r>
      <w:r>
        <w:rPr>
          <w:rFonts w:ascii="宋体" w:hAnsi="宋体" w:cs="宋体" w:eastAsia="宋体" w:hint="ascii"/>
          <w:sz w:val="21"/>
          <w:spacing w:val="3"/>
        </w:rPr>
        <w:t>沿物理问</w:t>
      </w:r>
      <w:r>
        <w:rPr>
          <w:rFonts w:ascii="宋体" w:hAnsi="宋体" w:cs="宋体" w:eastAsia="宋体" w:hint="ascii"/>
          <w:sz w:val="21"/>
        </w:rPr>
        <w:t>题</w:t>
      </w:r>
      <w:r>
        <w:rPr>
          <w:rFonts w:ascii="宋体" w:hAnsi="宋体" w:cs="宋体" w:eastAsia="宋体" w:hint="ascii"/>
          <w:sz w:val="21"/>
          <w:spacing w:val="3"/>
        </w:rPr>
        <w:t>也是支持</w:t>
      </w:r>
      <w:r>
        <w:rPr>
          <w:rFonts w:ascii="宋体" w:hAnsi="宋体" w:cs="宋体" w:eastAsia="宋体" w:hint="ascii"/>
          <w:sz w:val="21"/>
        </w:rPr>
        <w:t>的</w:t>
      </w:r>
      <w:r>
        <w:rPr>
          <w:rFonts w:ascii="宋体" w:hAnsi="宋体" w:cs="宋体" w:eastAsia="宋体" w:hint="ascii"/>
          <w:sz w:val="21"/>
          <w:spacing w:val="3"/>
        </w:rPr>
        <w:t>重</w:t>
      </w:r>
      <w:r>
        <w:rPr>
          <w:rFonts w:ascii="宋体" w:hAnsi="宋体" w:cs="宋体" w:eastAsia="宋体" w:hint="ascii"/>
          <w:sz w:val="21"/>
        </w:rPr>
        <w:t>要研究方向。</w:t>
      </w:r>
    </w:p>
    <w:p>
      <w:pPr>
        <w:autoSpaceDE w:val="0"/>
        <w:autoSpaceDN w:val="0"/>
        <w:jc w:val="left"/>
        <w:spacing w:before="0" w:after="0" w:lineRule="exact" w:line="330"/>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在声学领域，结合社会发展的重大</w:t>
      </w:r>
      <w:r>
        <w:rPr>
          <w:rFonts w:ascii="宋体" w:hAnsi="宋体" w:cs="宋体" w:eastAsia="宋体" w:hint="ascii"/>
          <w:sz w:val="21"/>
          <w:spacing w:val="-1"/>
        </w:rPr>
        <w:t>需求，研究其中关键基础声学问题；重视物理声</w:t>
      </w:r>
      <w:r>
        <w:rPr>
          <w:rFonts w:ascii="宋体" w:hAnsi="宋体" w:cs="宋体" w:eastAsia="宋体" w:hint="ascii"/>
          <w:sz w:val="21"/>
        </w:rPr>
        <w:t xml:space="preserve"> 学，鼓励海洋声学、超声学及声学效应、噪声及其控制、新型声学材料及器件、声学换能器、信息科学和生物医学中的声学问题等方面的基础性研究。</w:t>
      </w:r>
    </w:p>
    <w:p>
      <w:pPr>
        <w:autoSpaceDE w:val="0"/>
        <w:autoSpaceDN w:val="0"/>
        <w:jc w:val="left"/>
        <w:spacing w:before="271"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物理科学二处</w:t>
      </w:r>
    </w:p>
    <w:p>
      <w:pPr>
        <w:autoSpaceDE w:val="0"/>
        <w:autoSpaceDN w:val="0"/>
        <w:jc w:val="both"/>
        <w:spacing w:before="301" w:after="0" w:lineRule="exact" w:line="330"/>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物理科学二处</w:t>
      </w:r>
      <w:r>
        <w:rPr>
          <w:rFonts w:ascii="宋体" w:hAnsi="宋体" w:cs="宋体" w:eastAsia="宋体" w:hint="ascii"/>
          <w:sz w:val="21"/>
        </w:rPr>
        <w:t>主要资助基础物理、粒子物理、核物理、核技术及其应用、加速器物理与探测器技术、等离子体物理、同步辐射方法与技术等领域的研究。</w:t>
      </w:r>
    </w:p>
    <w:p>
      <w:pPr>
        <w:autoSpaceDE w:val="0"/>
        <w:autoSpaceDN w:val="0"/>
        <w:jc w:val="both"/>
        <w:spacing w:before="0" w:after="0" w:lineRule="exact" w:line="330"/>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在基础物理领</w:t>
      </w:r>
      <w:r>
        <w:rPr>
          <w:rFonts w:ascii="宋体" w:hAnsi="宋体" w:cs="宋体" w:eastAsia="宋体" w:hint="ascii"/>
          <w:sz w:val="21"/>
        </w:rPr>
        <w:t>域方面，重点资助具有原创性的或与其他学科交叉的研究；针对现代物理学研究前沿，特别关注通过科学实践和实验提出的重要理论物理问题。</w:t>
      </w:r>
    </w:p>
    <w:p>
      <w:pPr>
        <w:autoSpaceDE w:val="0"/>
        <w:autoSpaceDN w:val="0"/>
        <w:jc w:val="left"/>
        <w:spacing w:before="416" w:after="0" w:lineRule="exact" w:line="225"/>
        <w:ind w:right="0" w:left="851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401" w:firstLine="0"/>
        <w:snapToGrid w:val="0"/>
        <w:textAlignment w:val="auto"/>
        <w:tabs/>
        <w:rPr>
          <w:rFonts w:ascii="宋体" w:hAnsi="宋体" w:cs="宋体" w:eastAsia="宋体" w:hint="ascii"/>
          <w:sz w:val="21"/>
        </w:rPr>
      </w:pPr>
      <w:r>
        <w:rPr>
          <w:rFonts w:ascii="宋体" w:hAnsi="宋体" w:cs="宋体" w:eastAsia="宋体" w:hint="ascii"/>
          <w:sz w:val="21"/>
          <w:spacing w:val="6"/>
        </w:rPr>
        <w:t>在粒子物理和核物理领域方面，支持创新的理论和实验研究，尤其是与国内</w:t>
      </w:r>
      <w:r>
        <w:rPr>
          <w:rFonts w:ascii="宋体" w:hAnsi="宋体" w:cs="宋体" w:eastAsia="宋体" w:hint="ascii"/>
          <w:sz w:val="21"/>
        </w:rPr>
        <w:t>外</w:t>
      </w:r>
      <w:r>
        <w:rPr>
          <w:rFonts w:ascii="宋体" w:hAnsi="宋体" w:cs="宋体" w:eastAsia="宋体" w:hint="ascii"/>
          <w:sz w:val="21"/>
        </w:rPr>
        <mc:AlternateContent>
          <mc:Choice Requires="wps">
            <w:drawing>
              <wp:anchor distL="0" distR="0" distT="0" distB="0" simplePos="0" behindDoc="1" relativeHeight="72" locked="0" layoutInCell="1" allowOverlap="1">
                <wp:simplePos x="0" y="0"/>
                <wp:positionH relativeFrom="page">
                  <wp:posOffset>938530</wp:posOffset>
                </wp:positionH>
                <wp:positionV relativeFrom="page">
                  <wp:posOffset>805815</wp:posOffset>
                </wp:positionV>
                <wp:extent cx="5076190" cy="0"/>
                <wp:wrapNone/>
                <wp:docPr id="1099" name="109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84512;width:399.70pt;" id="109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3"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4"/>
        </w:rPr>
        <w:t>正在运行</w:t>
      </w:r>
      <w:r>
        <w:rPr>
          <w:rFonts w:ascii="宋体" w:hAnsi="宋体" w:cs="宋体" w:eastAsia="宋体" w:hint="ascii"/>
          <w:sz w:val="21"/>
          <w:spacing w:val="3"/>
        </w:rPr>
        <w:t>、</w:t>
      </w:r>
      <w:r>
        <w:rPr>
          <w:rFonts w:ascii="宋体" w:hAnsi="宋体" w:cs="宋体" w:eastAsia="宋体" w:hint="ascii"/>
          <w:sz w:val="21"/>
          <w:spacing w:val="4"/>
        </w:rPr>
        <w:t>升级、建</w:t>
      </w:r>
      <w:r>
        <w:rPr>
          <w:rFonts w:ascii="宋体" w:hAnsi="宋体" w:cs="宋体" w:eastAsia="宋体" w:hint="ascii"/>
          <w:sz w:val="21"/>
          <w:spacing w:val="3"/>
        </w:rPr>
        <w:t>造</w:t>
      </w:r>
      <w:r>
        <w:rPr>
          <w:rFonts w:ascii="宋体" w:hAnsi="宋体" w:cs="宋体" w:eastAsia="宋体" w:hint="ascii"/>
          <w:sz w:val="21"/>
          <w:spacing w:val="4"/>
        </w:rPr>
        <w:t>和已经立</w:t>
      </w:r>
      <w:r>
        <w:rPr>
          <w:rFonts w:ascii="宋体" w:hAnsi="宋体" w:cs="宋体" w:eastAsia="宋体" w:hint="ascii"/>
          <w:sz w:val="21"/>
          <w:spacing w:val="2"/>
        </w:rPr>
        <w:t>项</w:t>
      </w:r>
      <w:r>
        <w:rPr>
          <w:rFonts w:ascii="宋体" w:hAnsi="宋体" w:cs="宋体" w:eastAsia="宋体" w:hint="ascii"/>
          <w:sz w:val="21"/>
          <w:spacing w:val="3"/>
        </w:rPr>
        <w:t>的大型科</w:t>
      </w:r>
      <w:r>
        <w:rPr>
          <w:rFonts w:ascii="宋体" w:hAnsi="宋体" w:cs="宋体" w:eastAsia="宋体" w:hint="ascii"/>
          <w:sz w:val="21"/>
          <w:spacing w:val="2"/>
        </w:rPr>
        <w:t>学</w:t>
      </w:r>
      <w:r>
        <w:rPr>
          <w:rFonts w:ascii="宋体" w:hAnsi="宋体" w:cs="宋体" w:eastAsia="宋体" w:hint="ascii"/>
          <w:sz w:val="21"/>
          <w:spacing w:val="3"/>
        </w:rPr>
        <w:t>实验装置</w:t>
      </w:r>
      <w:r>
        <w:rPr>
          <w:rFonts w:ascii="宋体" w:hAnsi="宋体" w:cs="宋体" w:eastAsia="宋体" w:hint="ascii"/>
          <w:sz w:val="21"/>
          <w:spacing w:val="2"/>
        </w:rPr>
        <w:t>相</w:t>
      </w:r>
      <w:r>
        <w:rPr>
          <w:rFonts w:ascii="宋体" w:hAnsi="宋体" w:cs="宋体" w:eastAsia="宋体" w:hint="ascii"/>
          <w:sz w:val="21"/>
          <w:spacing w:val="3"/>
        </w:rPr>
        <w:t>关的物理</w:t>
      </w:r>
      <w:r>
        <w:rPr>
          <w:rFonts w:ascii="宋体" w:hAnsi="宋体" w:cs="宋体" w:eastAsia="宋体" w:hint="ascii"/>
          <w:sz w:val="21"/>
          <w:spacing w:val="2"/>
        </w:rPr>
        <w:t>研</w:t>
      </w:r>
      <w:r>
        <w:rPr>
          <w:rFonts w:ascii="宋体" w:hAnsi="宋体" w:cs="宋体" w:eastAsia="宋体" w:hint="ascii"/>
          <w:sz w:val="21"/>
          <w:spacing w:val="3"/>
        </w:rPr>
        <w:t>究，注重</w:t>
      </w:r>
      <w:r>
        <w:rPr>
          <w:rFonts w:ascii="宋体" w:hAnsi="宋体" w:cs="宋体" w:eastAsia="宋体" w:hint="ascii"/>
          <w:sz w:val="21"/>
          <w:spacing w:val="2"/>
        </w:rPr>
        <w:t>理</w:t>
      </w:r>
      <w:r>
        <w:rPr>
          <w:rFonts w:ascii="宋体" w:hAnsi="宋体" w:cs="宋体" w:eastAsia="宋体" w:hint="ascii"/>
          <w:sz w:val="21"/>
          <w:spacing w:val="-6"/>
        </w:rPr>
        <w:t>论</w:t>
      </w:r>
      <w:r>
        <w:rPr>
          <w:rFonts w:ascii="宋体" w:hAnsi="宋体" w:cs="宋体" w:eastAsia="宋体" w:hint="ascii"/>
          <w:sz w:val="21"/>
          <w:spacing w:val="4"/>
        </w:rPr>
        <w:t>与实验的</w:t>
      </w:r>
      <w:r>
        <w:rPr>
          <w:rFonts w:ascii="宋体" w:hAnsi="宋体" w:cs="宋体" w:eastAsia="宋体" w:hint="ascii"/>
          <w:sz w:val="21"/>
          <w:spacing w:val="3"/>
        </w:rPr>
        <w:t>结</w:t>
      </w:r>
      <w:r>
        <w:rPr>
          <w:rFonts w:ascii="宋体" w:hAnsi="宋体" w:cs="宋体" w:eastAsia="宋体" w:hint="ascii"/>
          <w:sz w:val="21"/>
          <w:spacing w:val="4"/>
        </w:rPr>
        <w:t>合。对于</w:t>
      </w:r>
      <w:r>
        <w:rPr>
          <w:rFonts w:ascii="宋体" w:hAnsi="宋体" w:cs="宋体" w:eastAsia="宋体" w:hint="ascii"/>
          <w:sz w:val="21"/>
          <w:spacing w:val="3"/>
        </w:rPr>
        <w:t>这</w:t>
      </w:r>
      <w:r>
        <w:rPr>
          <w:rFonts w:ascii="宋体" w:hAnsi="宋体" w:cs="宋体" w:eastAsia="宋体" w:hint="ascii"/>
          <w:sz w:val="21"/>
          <w:spacing w:val="4"/>
        </w:rPr>
        <w:t>两个领域</w:t>
      </w:r>
      <w:r>
        <w:rPr>
          <w:rFonts w:ascii="宋体" w:hAnsi="宋体" w:cs="宋体" w:eastAsia="宋体" w:hint="ascii"/>
          <w:sz w:val="21"/>
          <w:spacing w:val="2"/>
        </w:rPr>
        <w:t>的</w:t>
      </w:r>
      <w:r>
        <w:rPr>
          <w:rFonts w:ascii="宋体" w:hAnsi="宋体" w:cs="宋体" w:eastAsia="宋体" w:hint="ascii"/>
          <w:sz w:val="21"/>
          <w:spacing w:val="3"/>
        </w:rPr>
        <w:t>研究工作</w:t>
      </w:r>
      <w:r>
        <w:rPr>
          <w:rFonts w:ascii="宋体" w:hAnsi="宋体" w:cs="宋体" w:eastAsia="宋体" w:hint="ascii"/>
          <w:sz w:val="21"/>
          <w:spacing w:val="2"/>
        </w:rPr>
        <w:t>，</w:t>
      </w:r>
      <w:r>
        <w:rPr>
          <w:rFonts w:ascii="宋体" w:hAnsi="宋体" w:cs="宋体" w:eastAsia="宋体" w:hint="ascii"/>
          <w:sz w:val="21"/>
          <w:spacing w:val="3"/>
        </w:rPr>
        <w:t>希望通过</w:t>
      </w:r>
      <w:r>
        <w:rPr>
          <w:rFonts w:ascii="宋体" w:hAnsi="宋体" w:cs="宋体" w:eastAsia="宋体" w:hint="ascii"/>
          <w:sz w:val="21"/>
          <w:spacing w:val="2"/>
        </w:rPr>
        <w:t>科</w:t>
      </w:r>
      <w:r>
        <w:rPr>
          <w:rFonts w:ascii="宋体" w:hAnsi="宋体" w:cs="宋体" w:eastAsia="宋体" w:hint="ascii"/>
          <w:sz w:val="21"/>
          <w:spacing w:val="3"/>
        </w:rPr>
        <w:t>学基金的</w:t>
      </w:r>
      <w:r>
        <w:rPr>
          <w:rFonts w:ascii="宋体" w:hAnsi="宋体" w:cs="宋体" w:eastAsia="宋体" w:hint="ascii"/>
          <w:sz w:val="21"/>
          <w:spacing w:val="2"/>
        </w:rPr>
        <w:t>引</w:t>
      </w:r>
      <w:r>
        <w:rPr>
          <w:rFonts w:ascii="宋体" w:hAnsi="宋体" w:cs="宋体" w:eastAsia="宋体" w:hint="ascii"/>
          <w:sz w:val="21"/>
          <w:spacing w:val="3"/>
        </w:rPr>
        <w:t>导，将国</w:t>
      </w:r>
      <w:r>
        <w:rPr>
          <w:rFonts w:ascii="宋体" w:hAnsi="宋体" w:cs="宋体" w:eastAsia="宋体" w:hint="ascii"/>
          <w:sz w:val="21"/>
          <w:spacing w:val="2"/>
        </w:rPr>
        <w:t>内</w:t>
      </w:r>
      <w:r>
        <w:rPr>
          <w:rFonts w:ascii="宋体" w:hAnsi="宋体" w:cs="宋体" w:eastAsia="宋体" w:hint="ascii"/>
          <w:sz w:val="21"/>
          <w:spacing w:val="-6"/>
        </w:rPr>
        <w:t>的</w:t>
      </w:r>
      <w:r>
        <w:rPr>
          <w:rFonts w:ascii="宋体" w:hAnsi="宋体" w:cs="宋体" w:eastAsia="宋体" w:hint="ascii"/>
          <w:sz w:val="21"/>
          <w:spacing w:val="4"/>
        </w:rPr>
        <w:t>研究工作</w:t>
      </w:r>
      <w:r>
        <w:rPr>
          <w:rFonts w:ascii="宋体" w:hAnsi="宋体" w:cs="宋体" w:eastAsia="宋体" w:hint="ascii"/>
          <w:sz w:val="21"/>
          <w:spacing w:val="3"/>
        </w:rPr>
        <w:t>逐</w:t>
      </w:r>
      <w:r>
        <w:rPr>
          <w:rFonts w:ascii="宋体" w:hAnsi="宋体" w:cs="宋体" w:eastAsia="宋体" w:hint="ascii"/>
          <w:sz w:val="21"/>
          <w:spacing w:val="4"/>
        </w:rPr>
        <w:t>步凝聚到</w:t>
      </w:r>
      <w:r>
        <w:rPr>
          <w:rFonts w:ascii="宋体" w:hAnsi="宋体" w:cs="宋体" w:eastAsia="宋体" w:hint="ascii"/>
          <w:sz w:val="21"/>
          <w:spacing w:val="3"/>
        </w:rPr>
        <w:t>与</w:t>
      </w:r>
      <w:r>
        <w:rPr>
          <w:rFonts w:ascii="宋体" w:hAnsi="宋体" w:cs="宋体" w:eastAsia="宋体" w:hint="ascii"/>
          <w:sz w:val="21"/>
          <w:spacing w:val="4"/>
        </w:rPr>
        <w:t>最新物理</w:t>
      </w:r>
      <w:r>
        <w:rPr>
          <w:rFonts w:ascii="宋体" w:hAnsi="宋体" w:cs="宋体" w:eastAsia="宋体" w:hint="ascii"/>
          <w:sz w:val="21"/>
          <w:spacing w:val="2"/>
        </w:rPr>
        <w:t>实</w:t>
      </w:r>
      <w:r>
        <w:rPr>
          <w:rFonts w:ascii="宋体" w:hAnsi="宋体" w:cs="宋体" w:eastAsia="宋体" w:hint="ascii"/>
          <w:sz w:val="21"/>
          <w:spacing w:val="3"/>
        </w:rPr>
        <w:t>验结果相</w:t>
      </w:r>
      <w:r>
        <w:rPr>
          <w:rFonts w:ascii="宋体" w:hAnsi="宋体" w:cs="宋体" w:eastAsia="宋体" w:hint="ascii"/>
          <w:sz w:val="21"/>
          <w:spacing w:val="2"/>
        </w:rPr>
        <w:t>关</w:t>
      </w:r>
      <w:r>
        <w:rPr>
          <w:rFonts w:ascii="宋体" w:hAnsi="宋体" w:cs="宋体" w:eastAsia="宋体" w:hint="ascii"/>
          <w:sz w:val="21"/>
          <w:spacing w:val="3"/>
        </w:rPr>
        <w:t>、认识重</w:t>
      </w:r>
      <w:r>
        <w:rPr>
          <w:rFonts w:ascii="宋体" w:hAnsi="宋体" w:cs="宋体" w:eastAsia="宋体" w:hint="ascii"/>
          <w:sz w:val="21"/>
          <w:spacing w:val="2"/>
        </w:rPr>
        <w:t>要</w:t>
      </w:r>
      <w:r>
        <w:rPr>
          <w:rFonts w:ascii="宋体" w:hAnsi="宋体" w:cs="宋体" w:eastAsia="宋体" w:hint="ascii"/>
          <w:sz w:val="21"/>
          <w:spacing w:val="3"/>
        </w:rPr>
        <w:t>物理规律</w:t>
      </w:r>
      <w:r>
        <w:rPr>
          <w:rFonts w:ascii="宋体" w:hAnsi="宋体" w:cs="宋体" w:eastAsia="宋体" w:hint="ascii"/>
          <w:sz w:val="21"/>
          <w:spacing w:val="2"/>
        </w:rPr>
        <w:t>的</w:t>
      </w:r>
      <w:r>
        <w:rPr>
          <w:rFonts w:ascii="宋体" w:hAnsi="宋体" w:cs="宋体" w:eastAsia="宋体" w:hint="ascii"/>
          <w:sz w:val="21"/>
          <w:spacing w:val="3"/>
        </w:rPr>
        <w:t>研究方向</w:t>
      </w:r>
      <w:r>
        <w:rPr>
          <w:rFonts w:ascii="宋体" w:hAnsi="宋体" w:cs="宋体" w:eastAsia="宋体" w:hint="ascii"/>
          <w:sz w:val="21"/>
          <w:spacing w:val="2"/>
        </w:rPr>
        <w:t>上</w:t>
      </w:r>
      <w:r>
        <w:rPr>
          <w:rFonts w:ascii="宋体" w:hAnsi="宋体" w:cs="宋体" w:eastAsia="宋体" w:hint="ascii"/>
          <w:sz w:val="21"/>
          <w:spacing w:val="-6"/>
        </w:rPr>
        <w:t>，</w:t>
      </w:r>
      <w:r>
        <w:rPr>
          <w:rFonts w:ascii="宋体" w:hAnsi="宋体" w:cs="宋体" w:eastAsia="宋体" w:hint="ascii"/>
          <w:sz w:val="21"/>
          <w:spacing w:val="4"/>
        </w:rPr>
        <w:t>如粒子物</w:t>
      </w:r>
      <w:r>
        <w:rPr>
          <w:rFonts w:ascii="宋体" w:hAnsi="宋体" w:cs="宋体" w:eastAsia="宋体" w:hint="ascii"/>
          <w:sz w:val="21"/>
          <w:spacing w:val="3"/>
        </w:rPr>
        <w:t>理</w:t>
      </w:r>
      <w:r>
        <w:rPr>
          <w:rFonts w:ascii="宋体" w:hAnsi="宋体" w:cs="宋体" w:eastAsia="宋体" w:hint="ascii"/>
          <w:sz w:val="21"/>
          <w:spacing w:val="4"/>
        </w:rPr>
        <w:t>中的唯象</w:t>
      </w:r>
      <w:r>
        <w:rPr>
          <w:rFonts w:ascii="宋体" w:hAnsi="宋体" w:cs="宋体" w:eastAsia="宋体" w:hint="ascii"/>
          <w:sz w:val="21"/>
          <w:spacing w:val="3"/>
        </w:rPr>
        <w:t>理</w:t>
      </w:r>
      <w:r>
        <w:rPr>
          <w:rFonts w:ascii="宋体" w:hAnsi="宋体" w:cs="宋体" w:eastAsia="宋体" w:hint="ascii"/>
          <w:sz w:val="21"/>
          <w:spacing w:val="4"/>
        </w:rPr>
        <w:t>论及其实</w:t>
      </w:r>
      <w:r>
        <w:rPr>
          <w:rFonts w:ascii="宋体" w:hAnsi="宋体" w:cs="宋体" w:eastAsia="宋体" w:hint="ascii"/>
          <w:sz w:val="21"/>
          <w:spacing w:val="2"/>
        </w:rPr>
        <w:t>验</w:t>
      </w:r>
      <w:r>
        <w:rPr>
          <w:rFonts w:ascii="宋体" w:hAnsi="宋体" w:cs="宋体" w:eastAsia="宋体" w:hint="ascii"/>
          <w:sz w:val="21"/>
          <w:spacing w:val="3"/>
        </w:rPr>
        <w:t>、极端条</w:t>
      </w:r>
      <w:r>
        <w:rPr>
          <w:rFonts w:ascii="宋体" w:hAnsi="宋体" w:cs="宋体" w:eastAsia="宋体" w:hint="ascii"/>
          <w:sz w:val="21"/>
          <w:spacing w:val="2"/>
        </w:rPr>
        <w:t>件</w:t>
      </w:r>
      <w:r>
        <w:rPr>
          <w:rFonts w:ascii="宋体" w:hAnsi="宋体" w:cs="宋体" w:eastAsia="宋体" w:hint="ascii"/>
          <w:sz w:val="21"/>
          <w:spacing w:val="3"/>
        </w:rPr>
        <w:t>下核物理</w:t>
      </w:r>
      <w:r>
        <w:rPr>
          <w:rFonts w:ascii="宋体" w:hAnsi="宋体" w:cs="宋体" w:eastAsia="宋体" w:hint="ascii"/>
          <w:sz w:val="21"/>
          <w:spacing w:val="2"/>
        </w:rPr>
        <w:t>与</w:t>
      </w:r>
      <w:r>
        <w:rPr>
          <w:rFonts w:ascii="宋体" w:hAnsi="宋体" w:cs="宋体" w:eastAsia="宋体" w:hint="ascii"/>
          <w:sz w:val="21"/>
          <w:spacing w:val="3"/>
        </w:rPr>
        <w:t>核天体物</w:t>
      </w:r>
      <w:r>
        <w:rPr>
          <w:rFonts w:ascii="宋体" w:hAnsi="宋体" w:cs="宋体" w:eastAsia="宋体" w:hint="ascii"/>
          <w:sz w:val="21"/>
          <w:spacing w:val="2"/>
        </w:rPr>
        <w:t>理</w:t>
      </w:r>
      <w:r>
        <w:rPr>
          <w:rFonts w:ascii="宋体" w:hAnsi="宋体" w:cs="宋体" w:eastAsia="宋体" w:hint="ascii"/>
          <w:sz w:val="21"/>
          <w:spacing w:val="3"/>
        </w:rPr>
        <w:t>以及与其</w:t>
      </w:r>
      <w:r>
        <w:rPr>
          <w:rFonts w:ascii="宋体" w:hAnsi="宋体" w:cs="宋体" w:eastAsia="宋体" w:hint="ascii"/>
          <w:sz w:val="21"/>
          <w:spacing w:val="2"/>
        </w:rPr>
        <w:t>他</w:t>
      </w:r>
      <w:r>
        <w:rPr>
          <w:rFonts w:ascii="宋体" w:hAnsi="宋体" w:cs="宋体" w:eastAsia="宋体" w:hint="ascii"/>
          <w:sz w:val="21"/>
          <w:spacing w:val="-6"/>
        </w:rPr>
        <w:t>学</w:t>
      </w:r>
      <w:r>
        <w:rPr>
          <w:rFonts w:ascii="宋体" w:hAnsi="宋体" w:cs="宋体" w:eastAsia="宋体" w:hint="ascii"/>
          <w:sz w:val="21"/>
          <w:spacing w:val="4"/>
        </w:rPr>
        <w:t>科交叉等问题</w:t>
      </w:r>
      <w:r>
        <w:rPr>
          <w:rFonts w:ascii="宋体" w:hAnsi="宋体" w:cs="宋体" w:eastAsia="宋体" w:hint="ascii"/>
          <w:sz w:val="21"/>
        </w:rPr>
        <w:t>。</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在核技术、加速器与核探测器、低温等离子体以及同步辐射等领域的资助，希望通</w:t>
      </w:r>
    </w:p>
    <w:p>
      <w:pPr>
        <w:autoSpaceDE w:val="0"/>
        <w:autoSpaceDN w:val="0"/>
        <w:jc w:val="both"/>
        <w:spacing w:before="13"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过学科前沿</w:t>
      </w:r>
      <w:r>
        <w:rPr>
          <w:rFonts w:ascii="宋体" w:hAnsi="宋体" w:cs="宋体" w:eastAsia="宋体" w:hint="ascii"/>
          <w:sz w:val="21"/>
        </w:rPr>
        <w:t>发展、国家需求和学科交叉的牵引，凝练出既能深化对客观规律的认识、解</w:t>
      </w:r>
      <w:r>
        <w:rPr>
          <w:rFonts w:ascii="宋体" w:hAnsi="宋体" w:cs="宋体" w:eastAsia="宋体" w:hint="ascii"/>
          <w:sz w:val="21"/>
          <w:spacing w:val="-1"/>
        </w:rPr>
        <w:t>决本领域自</w:t>
      </w:r>
      <w:r>
        <w:rPr>
          <w:rFonts w:ascii="宋体" w:hAnsi="宋体" w:cs="宋体" w:eastAsia="宋体" w:hint="ascii"/>
          <w:sz w:val="21"/>
        </w:rPr>
        <w:t>身发展，又有重要应用前景的基础性，特别要注重关键技术、方法学的创新</w:t>
      </w:r>
      <w:r>
        <w:rPr>
          <w:rFonts w:ascii="宋体" w:hAnsi="宋体" w:cs="宋体" w:eastAsia="宋体" w:hint="ascii"/>
          <w:sz w:val="21"/>
          <w:spacing w:val="-1"/>
        </w:rPr>
        <w:t>等学科自身</w:t>
      </w:r>
      <w:r>
        <w:rPr>
          <w:rFonts w:ascii="宋体" w:hAnsi="宋体" w:cs="宋体" w:eastAsia="宋体" w:hint="ascii"/>
          <w:sz w:val="21"/>
        </w:rPr>
        <w:t>的提升和新的学科交叉点等方面的研究。重点资助探索瞬时、高能量、高功率的</w:t>
      </w:r>
      <w:r>
        <w:rPr>
          <w:rFonts w:ascii="宋体" w:hAnsi="宋体" w:cs="宋体" w:eastAsia="宋体" w:hint="ascii"/>
          <w:sz w:val="21"/>
          <w:spacing w:val="-1"/>
        </w:rPr>
        <w:t>各</w:t>
      </w:r>
      <w:r>
        <w:rPr>
          <w:rFonts w:ascii="宋体" w:hAnsi="宋体" w:cs="宋体" w:eastAsia="宋体" w:hint="ascii"/>
          <w:sz w:val="21"/>
        </w:rPr>
        <w:t>类</w:t>
      </w:r>
      <w:r>
        <w:rPr>
          <w:rFonts w:ascii="宋体" w:hAnsi="宋体" w:cs="宋体" w:eastAsia="宋体" w:hint="ascii"/>
          <w:sz w:val="21"/>
          <w:spacing w:val="-1"/>
        </w:rPr>
        <w:t>强</w:t>
      </w:r>
      <w:r>
        <w:rPr>
          <w:rFonts w:ascii="宋体" w:hAnsi="宋体" w:cs="宋体" w:eastAsia="宋体" w:hint="ascii"/>
          <w:sz w:val="21"/>
        </w:rPr>
        <w:t>场辐</w:t>
      </w:r>
      <w:r>
        <w:rPr>
          <w:rFonts w:ascii="宋体" w:hAnsi="宋体" w:cs="宋体" w:eastAsia="宋体" w:hint="ascii"/>
          <w:sz w:val="21"/>
          <w:spacing w:val="-1"/>
        </w:rPr>
        <w:t>射</w:t>
      </w:r>
      <w:r>
        <w:rPr>
          <w:rFonts w:ascii="宋体" w:hAnsi="宋体" w:cs="宋体" w:eastAsia="宋体" w:hint="ascii"/>
          <w:sz w:val="21"/>
        </w:rPr>
        <w:t>（</w:t>
      </w:r>
      <w:r>
        <w:rPr>
          <w:rFonts w:ascii="宋体" w:hAnsi="宋体" w:cs="宋体" w:eastAsia="宋体" w:hint="ascii"/>
          <w:sz w:val="21"/>
          <w:spacing w:val="-1"/>
        </w:rPr>
        <w:t>如</w:t>
      </w:r>
      <w:r>
        <w:rPr>
          <w:rFonts w:ascii="宋体" w:hAnsi="宋体" w:cs="宋体" w:eastAsia="宋体" w:hint="ascii"/>
          <w:sz w:val="21"/>
        </w:rPr>
        <w:t>带电</w:t>
      </w:r>
      <w:r>
        <w:rPr>
          <w:rFonts w:ascii="宋体" w:hAnsi="宋体" w:cs="宋体" w:eastAsia="宋体" w:hint="ascii"/>
          <w:sz w:val="21"/>
          <w:spacing w:val="-1"/>
        </w:rPr>
        <w:t>粒</w:t>
      </w:r>
      <w:r>
        <w:rPr>
          <w:rFonts w:ascii="宋体" w:hAnsi="宋体" w:cs="宋体" w:eastAsia="宋体" w:hint="ascii"/>
          <w:sz w:val="21"/>
        </w:rPr>
        <w:t>子</w:t>
      </w:r>
      <w:r>
        <w:rPr>
          <w:rFonts w:ascii="宋体" w:hAnsi="宋体" w:cs="宋体" w:eastAsia="宋体" w:hint="ascii"/>
          <w:sz w:val="21"/>
          <w:spacing w:val="-1"/>
        </w:rPr>
        <w:t>、</w:t>
      </w:r>
      <w:r>
        <w:rPr>
          <w:rFonts w:ascii="宋体" w:hAnsi="宋体" w:cs="宋体" w:eastAsia="宋体" w:hint="ascii"/>
          <w:sz w:val="21"/>
        </w:rPr>
        <w:t>中子、</w:t>
      </w:r>
      <w:r>
        <w:rPr>
          <w:rFonts w:ascii="Times New Roman" w:hAnsi="Times New Roman" w:cs="Times New Roman" w:eastAsia="Times New Roman" w:hint="ascii"/>
          <w:sz w:val="21"/>
        </w:rPr>
        <w:t>X/</w:t>
      </w:r>
      <w:r>
        <w:rPr>
          <w:rFonts w:ascii="Symbol" w:hAnsi="Symbol" w:cs="Symbol" w:eastAsia="Symbol" w:hint="ascii"/>
          <w:spacing w:val="-2"/>
        </w:rPr>
        <w:t></w:t>
      </w:r>
      <w:r>
        <w:rPr>
          <w:rFonts w:ascii="宋体" w:hAnsi="宋体" w:cs="宋体" w:eastAsia="宋体" w:hint="ascii"/>
          <w:sz w:val="21"/>
          <w:spacing w:val="-1"/>
        </w:rPr>
        <w:t>射</w:t>
      </w:r>
      <w:r>
        <w:rPr>
          <w:rFonts w:ascii="宋体" w:hAnsi="宋体" w:cs="宋体" w:eastAsia="宋体" w:hint="ascii"/>
          <w:sz w:val="21"/>
        </w:rPr>
        <w:t>线、</w:t>
      </w:r>
      <w:r>
        <w:rPr>
          <w:rFonts w:ascii="宋体" w:hAnsi="宋体" w:cs="宋体" w:eastAsia="宋体" w:hint="ascii"/>
          <w:sz w:val="21"/>
          <w:spacing w:val="-1"/>
        </w:rPr>
        <w:t>电</w:t>
      </w:r>
      <w:r>
        <w:rPr>
          <w:rFonts w:ascii="宋体" w:hAnsi="宋体" w:cs="宋体" w:eastAsia="宋体" w:hint="ascii"/>
          <w:sz w:val="21"/>
        </w:rPr>
        <w:t>磁</w:t>
      </w:r>
      <w:r>
        <w:rPr>
          <w:rFonts w:ascii="宋体" w:hAnsi="宋体" w:cs="宋体" w:eastAsia="宋体" w:hint="ascii"/>
          <w:sz w:val="21"/>
          <w:spacing w:val="-1"/>
        </w:rPr>
        <w:t>场</w:t>
      </w:r>
      <w:r>
        <w:rPr>
          <w:rFonts w:ascii="宋体" w:hAnsi="宋体" w:cs="宋体" w:eastAsia="宋体" w:hint="ascii"/>
          <w:sz w:val="21"/>
        </w:rPr>
        <w:t>等）</w:t>
      </w:r>
      <w:r>
        <w:rPr>
          <w:rFonts w:ascii="宋体" w:hAnsi="宋体" w:cs="宋体" w:eastAsia="宋体" w:hint="ascii"/>
          <w:sz w:val="21"/>
          <w:spacing w:val="-1"/>
        </w:rPr>
        <w:t>与</w:t>
      </w:r>
      <w:r>
        <w:rPr>
          <w:rFonts w:ascii="宋体" w:hAnsi="宋体" w:cs="宋体" w:eastAsia="宋体" w:hint="ascii"/>
          <w:sz w:val="21"/>
        </w:rPr>
        <w:t>物</w:t>
      </w:r>
      <w:r>
        <w:rPr>
          <w:rFonts w:ascii="宋体" w:hAnsi="宋体" w:cs="宋体" w:eastAsia="宋体" w:hint="ascii"/>
          <w:sz w:val="21"/>
          <w:spacing w:val="-1"/>
        </w:rPr>
        <w:t>质</w:t>
      </w:r>
      <w:r>
        <w:rPr>
          <w:rFonts w:ascii="宋体" w:hAnsi="宋体" w:cs="宋体" w:eastAsia="宋体" w:hint="ascii"/>
          <w:sz w:val="21"/>
        </w:rPr>
        <w:t>相互</w:t>
      </w:r>
      <w:r>
        <w:rPr>
          <w:rFonts w:ascii="宋体" w:hAnsi="宋体" w:cs="宋体" w:eastAsia="宋体" w:hint="ascii"/>
          <w:sz w:val="21"/>
          <w:spacing w:val="-1"/>
        </w:rPr>
        <w:t>作</w:t>
      </w:r>
      <w:r>
        <w:rPr>
          <w:rFonts w:ascii="宋体" w:hAnsi="宋体" w:cs="宋体" w:eastAsia="宋体" w:hint="ascii"/>
          <w:sz w:val="21"/>
        </w:rPr>
        <w:t>用</w:t>
      </w:r>
      <w:r>
        <w:rPr>
          <w:rFonts w:ascii="宋体" w:hAnsi="宋体" w:cs="宋体" w:eastAsia="宋体" w:hint="ascii"/>
          <w:sz w:val="21"/>
          <w:spacing w:val="-1"/>
        </w:rPr>
        <w:t>机</w:t>
      </w:r>
      <w:r>
        <w:rPr>
          <w:rFonts w:ascii="宋体" w:hAnsi="宋体" w:cs="宋体" w:eastAsia="宋体" w:hint="ascii"/>
          <w:sz w:val="21"/>
        </w:rPr>
        <w:t>理</w:t>
      </w:r>
      <w:r>
        <w:rPr>
          <w:rFonts w:ascii="宋体" w:hAnsi="宋体" w:cs="宋体" w:eastAsia="宋体" w:hint="ascii"/>
          <w:sz w:val="21"/>
          <w:spacing w:val="-4"/>
        </w:rPr>
        <w:t>和</w:t>
      </w:r>
      <w:r>
        <w:rPr>
          <w:rFonts w:ascii="宋体" w:hAnsi="宋体" w:cs="宋体" w:eastAsia="宋体" w:hint="ascii"/>
          <w:sz w:val="21"/>
          <w:spacing w:val="-1"/>
        </w:rPr>
        <w:t>规律的研究</w:t>
      </w:r>
      <w:r>
        <w:rPr>
          <w:rFonts w:ascii="宋体" w:hAnsi="宋体" w:cs="宋体" w:eastAsia="宋体" w:hint="ascii"/>
          <w:sz w:val="21"/>
        </w:rPr>
        <w:t>。重视在加速器与核探测器和等离子体领域中的新加速原理、纳米微束、高</w:t>
      </w:r>
      <w:r>
        <w:rPr>
          <w:rFonts w:ascii="宋体" w:hAnsi="宋体" w:cs="宋体" w:eastAsia="宋体" w:hint="ascii"/>
          <w:sz w:val="21"/>
          <w:spacing w:val="-1"/>
        </w:rPr>
        <w:t>功率粒子束</w:t>
      </w:r>
      <w:r>
        <w:rPr>
          <w:rFonts w:ascii="宋体" w:hAnsi="宋体" w:cs="宋体" w:eastAsia="宋体" w:hint="ascii"/>
          <w:sz w:val="21"/>
        </w:rPr>
        <w:t>、强流加速器、等离子体源以及各类先进辐射源的物理和关键技术研究。着</w:t>
      </w:r>
      <w:r>
        <w:rPr>
          <w:rFonts w:ascii="宋体" w:hAnsi="宋体" w:cs="宋体" w:eastAsia="宋体" w:hint="ascii"/>
          <w:sz w:val="21"/>
          <w:spacing w:val="-1"/>
        </w:rPr>
        <w:t>力支持大面</w:t>
      </w:r>
      <w:r>
        <w:rPr>
          <w:rFonts w:ascii="宋体" w:hAnsi="宋体" w:cs="宋体" w:eastAsia="宋体" w:hint="ascii"/>
          <w:sz w:val="21"/>
        </w:rPr>
        <w:t>积、高计数率、高时间分辨、低本底、微弱信号等新型核探测技术和方法，以及相关核电子学的研究。</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在核聚变与等离子体物理领域方面，希望更加注重与目前正在运行和即将建成的大</w:t>
      </w:r>
    </w:p>
    <w:p>
      <w:pPr>
        <w:autoSpaceDE w:val="0"/>
        <w:autoSpaceDN w:val="0"/>
        <w:jc w:val="both"/>
        <w:spacing w:before="13"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型装置有关</w:t>
      </w:r>
      <w:r>
        <w:rPr>
          <w:rFonts w:ascii="宋体" w:hAnsi="宋体" w:cs="宋体" w:eastAsia="宋体" w:hint="ascii"/>
          <w:sz w:val="21"/>
        </w:rPr>
        <w:t>的科学问题和新型诊断手段的探索性研究工作，特别是与目前世界前沿接轨</w:t>
      </w:r>
      <w:r>
        <w:rPr>
          <w:rFonts w:ascii="宋体" w:hAnsi="宋体" w:cs="宋体" w:eastAsia="宋体" w:hint="ascii"/>
          <w:sz w:val="21"/>
          <w:spacing w:val="-1"/>
        </w:rPr>
        <w:t>的“先进磁</w:t>
      </w:r>
      <w:r>
        <w:rPr>
          <w:rFonts w:ascii="宋体" w:hAnsi="宋体" w:cs="宋体" w:eastAsia="宋体" w:hint="ascii"/>
          <w:sz w:val="21"/>
        </w:rPr>
        <w:t>约束聚变”和“惯性约束聚变”等方面的基础物理问题和各类等离子体的计算机模拟与实验的研究。</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为了更有效地使用有限的资源，鼓励全国各领域的科研工作者充分利用国家大科学</w:t>
      </w:r>
    </w:p>
    <w:p>
      <w:pPr>
        <w:autoSpaceDE w:val="0"/>
        <w:autoSpaceDN w:val="0"/>
        <w:jc w:val="both"/>
        <w:spacing w:before="13"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装置以及现</w:t>
      </w:r>
      <w:r>
        <w:rPr>
          <w:rFonts w:ascii="宋体" w:hAnsi="宋体" w:cs="宋体" w:eastAsia="宋体" w:hint="ascii"/>
          <w:sz w:val="21"/>
        </w:rPr>
        <w:t>有的中小型设备平台开展相应的科学研究，使科学研究工作步入可持续发展</w:t>
      </w:r>
      <w:r>
        <w:rPr>
          <w:rFonts w:ascii="宋体" w:hAnsi="宋体" w:cs="宋体" w:eastAsia="宋体" w:hint="ascii"/>
          <w:sz w:val="21"/>
          <w:spacing w:val="-1"/>
        </w:rPr>
        <w:t>的良性循环</w:t>
      </w:r>
      <w:r>
        <w:rPr>
          <w:rFonts w:ascii="宋体" w:hAnsi="宋体" w:cs="宋体" w:eastAsia="宋体" w:hint="ascii"/>
          <w:sz w:val="21"/>
        </w:rPr>
        <w:t>；鼓励有自主创新的高分辨率诊断、探测方法和对加速器、核探测器、引力</w:t>
      </w:r>
      <w:r>
        <w:rPr>
          <w:rFonts w:ascii="宋体" w:hAnsi="宋体" w:cs="宋体" w:eastAsia="宋体" w:hint="ascii"/>
          <w:sz w:val="21"/>
          <w:spacing w:val="-1"/>
        </w:rPr>
        <w:t>波探测等发</w:t>
      </w:r>
      <w:r>
        <w:rPr>
          <w:rFonts w:ascii="宋体" w:hAnsi="宋体" w:cs="宋体" w:eastAsia="宋体" w:hint="ascii"/>
          <w:sz w:val="21"/>
        </w:rPr>
        <w:t>展起关键作用的实验（包括必要的实验设备、探测器和诊断仪器的研制）等</w:t>
      </w:r>
      <w:r>
        <w:rPr>
          <w:rFonts w:ascii="宋体" w:hAnsi="宋体" w:cs="宋体" w:eastAsia="宋体" w:hint="ascii"/>
          <w:sz w:val="21"/>
          <w:spacing w:val="-1"/>
        </w:rPr>
        <w:t>项目申请，</w:t>
      </w:r>
      <w:r>
        <w:rPr>
          <w:rFonts w:ascii="宋体" w:hAnsi="宋体" w:cs="宋体" w:eastAsia="宋体" w:hint="ascii"/>
          <w:sz w:val="21"/>
        </w:rPr>
        <w:t>此类项目申请可根据需要适度提高申请直接费用资助强度；对在相同条件下有较多青年科学工作者参加的项目予以适当倾斜支持。</w:t>
      </w:r>
    </w:p>
    <w:p>
      <w:pPr>
        <w:autoSpaceDE w:val="0"/>
        <w:autoSpaceDN w:val="0"/>
        <w:jc w:val="left"/>
        <w:spacing w:before="180"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化学科学部</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化学是研究物质的组成、结构、性质和反应及物质转化的一门科学；是创造新分子</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和构建新物</w:t>
      </w:r>
      <w:r>
        <w:rPr>
          <w:rFonts w:ascii="宋体" w:hAnsi="宋体" w:cs="宋体" w:eastAsia="宋体" w:hint="ascii"/>
          <w:sz w:val="21"/>
        </w:rPr>
        <w:t>质的根本途径；是与其他学科密切交叉和相互渗透的中心科学。化工是利用</w:t>
      </w:r>
      <w:r>
        <w:rPr>
          <w:rFonts w:ascii="宋体" w:hAnsi="宋体" w:cs="宋体" w:eastAsia="宋体" w:hint="ascii"/>
          <w:sz w:val="21"/>
          <w:spacing w:val="-1"/>
        </w:rPr>
        <w:t>基础学科原</w:t>
      </w:r>
      <w:r>
        <w:rPr>
          <w:rFonts w:ascii="宋体" w:hAnsi="宋体" w:cs="宋体" w:eastAsia="宋体" w:hint="ascii"/>
          <w:sz w:val="21"/>
        </w:rPr>
        <w:t>理，实现物质和能量的传递和转化，解决规模生产的方式和途径等过程问题的科学。</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化学科学部以提升我国化学科学基础研究整体水平和在国际上的地位，培育一批有</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国际影响的</w:t>
      </w:r>
      <w:r>
        <w:rPr>
          <w:rFonts w:ascii="宋体" w:hAnsi="宋体" w:cs="宋体" w:eastAsia="宋体" w:hint="ascii"/>
          <w:sz w:val="21"/>
        </w:rPr>
        <w:t>化学研究创新人才和团队为目标，支持从原子、分子、分子聚集体及凝聚态</w:t>
      </w:r>
      <w:r>
        <w:rPr>
          <w:rFonts w:ascii="宋体" w:hAnsi="宋体" w:cs="宋体" w:eastAsia="宋体" w:hint="ascii"/>
          <w:sz w:val="21"/>
          <w:spacing w:val="-1"/>
        </w:rPr>
        <w:t>体系的反应</w:t>
      </w:r>
      <w:r>
        <w:rPr>
          <w:rFonts w:ascii="宋体" w:hAnsi="宋体" w:cs="宋体" w:eastAsia="宋体" w:hint="ascii"/>
          <w:sz w:val="21"/>
        </w:rPr>
        <w:t>、过程与功能的多层次、多尺度研究，以及复杂化学体系的研究，实现化学</w:t>
      </w:r>
      <w:r>
        <w:rPr>
          <w:rFonts w:ascii="宋体" w:hAnsi="宋体" w:cs="宋体" w:eastAsia="宋体" w:hint="ascii"/>
          <w:sz w:val="21"/>
          <w:spacing w:val="-1"/>
        </w:rPr>
        <w:t>合成、过程</w:t>
      </w:r>
      <w:r>
        <w:rPr>
          <w:rFonts w:ascii="宋体" w:hAnsi="宋体" w:cs="宋体" w:eastAsia="宋体" w:hint="ascii"/>
          <w:sz w:val="21"/>
        </w:rPr>
        <w:t>及功能的精准控制和规律认知；针对国民经济、社会发展、国家安全和可持</w:t>
      </w:r>
      <w:r>
        <w:rPr>
          <w:rFonts w:ascii="宋体" w:hAnsi="宋体" w:cs="宋体" w:eastAsia="宋体" w:hint="ascii"/>
          <w:sz w:val="21"/>
          <w:spacing w:val="-1"/>
        </w:rPr>
        <w:t>续发展中提</w:t>
      </w:r>
      <w:r>
        <w:rPr>
          <w:rFonts w:ascii="宋体" w:hAnsi="宋体" w:cs="宋体" w:eastAsia="宋体" w:hint="ascii"/>
          <w:sz w:val="21"/>
        </w:rPr>
        <w:t>出的重大科学问题，在生物、材料、能源、信息、资源、环境和人类健康等</w:t>
      </w:r>
    </w:p>
    <w:p>
      <w:pPr>
        <w:autoSpaceDE w:val="0"/>
        <w:autoSpaceDN w:val="0"/>
        <w:jc w:val="left"/>
        <w:spacing w:before="46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领域，发挥</w:t>
      </w:r>
      <w:r>
        <w:rPr>
          <w:rFonts w:ascii="宋体" w:hAnsi="宋体" w:cs="宋体" w:eastAsia="宋体" w:hint="ascii"/>
          <w:sz w:val="21"/>
        </w:rPr>
        <w:t>化学与化工科学的作用。强调微观与宏观相结合、静态与动态相结合、化学</w:t>
      </w:r>
      <w:r>
        <w:rPr>
          <w:rFonts w:ascii="宋体" w:hAnsi="宋体" w:cs="宋体" w:eastAsia="宋体" w:hint="ascii"/>
          <w:sz w:val="21"/>
          <w:spacing w:val="-1"/>
        </w:rPr>
        <w:t>理论研究与</w:t>
      </w:r>
      <w:r>
        <w:rPr>
          <w:rFonts w:ascii="宋体" w:hAnsi="宋体" w:cs="宋体" w:eastAsia="宋体" w:hint="ascii"/>
          <w:sz w:val="21"/>
        </w:rPr>
        <w:t>发展实验方法和精准分析测试技术相结合，鼓励吸收其他学科的最新理论、</w:t>
      </w:r>
      <w:r>
        <w:rPr>
          <w:rFonts w:ascii="宋体" w:hAnsi="宋体" w:cs="宋体" w:eastAsia="宋体" w:hint="ascii"/>
          <w:sz w:val="21"/>
          <w:spacing w:val="-1"/>
        </w:rPr>
        <w:t>技术和成果</w:t>
      </w:r>
      <w:r>
        <w:rPr>
          <w:rFonts w:ascii="宋体" w:hAnsi="宋体" w:cs="宋体" w:eastAsia="宋体" w:hint="ascii"/>
          <w:sz w:val="21"/>
        </w:rPr>
        <w:t>，倡导源头创新与学科交叉，瞄准学科发展前沿，推动化学与化工学科的可持续发展。</w:t>
      </w:r>
      <w:r>
        <w:rPr>
          <w:rFonts w:ascii="宋体" w:hAnsi="宋体" w:cs="宋体" w:eastAsia="宋体" w:hint="ascii"/>
          <w:sz w:val="21"/>
        </w:rPr>
        <mc:AlternateContent>
          <mc:Choice Requires="wps">
            <w:drawing>
              <wp:anchor distL="0" distR="0" distT="0" distB="0" simplePos="0" behindDoc="1" relativeHeight="73" locked="0" layoutInCell="1" allowOverlap="1">
                <wp:simplePos x="0" y="0"/>
                <wp:positionH relativeFrom="page">
                  <wp:posOffset>938530</wp:posOffset>
                </wp:positionH>
                <wp:positionV relativeFrom="page">
                  <wp:posOffset>819150</wp:posOffset>
                </wp:positionV>
                <wp:extent cx="5076190" cy="0"/>
                <wp:wrapNone/>
                <wp:docPr id="1100" name="110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83488;width:399.70pt;" id="110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7" w:after="0" w:lineRule="exact" w:line="225"/>
        <w:ind w:right="0" w:left="3253" w:firstLine="0"/>
        <w:snapToGrid w:val="0"/>
        <w:textAlignment w:val="auto"/>
        <w:tabs/>
        <w:rPr>
          <w:rFonts w:ascii="宋体" w:hAnsi="宋体" w:cs="宋体" w:eastAsia="宋体" w:hint="ascii"/>
          <w:sz w:val="18"/>
        </w:rPr>
      </w:pPr>
      <w:r>
        <w:rPr>
          <w:rFonts w:ascii="宋体" w:hAnsi="宋体" w:cs="宋体" w:eastAsia="宋体" w:hint="ascii"/>
          <w:sz w:val="18"/>
        </w:rPr>
        <w:t>化学科学部面上项目近两年资助情况一览表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22" w:type="dxa"/>
        <w:jc w:val="left"/>
        <w:tblInd w:w="1002"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625"/>
        <w:gridCol w:w="1382"/>
        <w:gridCol w:w="887"/>
        <w:gridCol w:w="925"/>
        <w:gridCol w:w="1096"/>
        <w:gridCol w:w="936"/>
        <w:gridCol w:w="951"/>
        <w:gridCol w:w="1120"/>
      </w:tblGrid>
      <w:tr>
        <w:trPr>
          <w:trHeight w:val="259" w:hRule="exact"/>
          <w:cantSplit w:val="1"/>
        </w:trPr>
        <w:tc>
          <w:tcPr>
            <w:tcW w:w="2007" w:type="dxa"/>
            <w:gridSpan w:val="2"/>
            <w:vAlign w:val="top"/>
            <w:vMerge w:val="restart"/>
            <w:tcMar/>
            <w:tcBorders/>
          </w:tcPr>
          <w:p>
            <w:pPr>
              <w:autoSpaceDE w:val="0"/>
              <w:autoSpaceDN w:val="0"/>
              <w:jc w:val="left"/>
              <w:spacing w:before="152" w:after="0" w:lineRule="exact" w:line="188"/>
              <w:ind w:right="0" w:left="769"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908" w:type="dxa"/>
            <w:gridSpan w:val="3"/>
            <w:vAlign w:val="top"/>
            <w:tcMar/>
            <w:tcBorders>
              <w:left w:val="single" w:sz="4" w:space="0" w:color="000000"/>
            </w:tcBorders>
          </w:tcPr>
          <w:p>
            <w:pPr>
              <w:autoSpaceDE w:val="0"/>
              <w:autoSpaceDN w:val="0"/>
              <w:jc w:val="left"/>
              <w:spacing w:before="25" w:after="0" w:lineRule="auto" w:line="240"/>
              <w:ind w:right="0" w:left="1131" w:firstLine="0"/>
              <w:snapToGrid w:val="0"/>
              <w:textAlignment w:val="auto"/>
              <w:tabs>
                <w:tab w:val="left" w:leader="none" w:pos="1475"/>
              </w:tabs>
              <w:numPr>
                <w:ilvl w:val="0"/>
                <w:numId w:val="37"/>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3007" w:type="dxa"/>
            <w:gridSpan w:val="3"/>
            <w:vAlign w:val="top"/>
            <w:tcMar/>
            <w:tcBorders>
              <w:left w:val="single" w:sz="4" w:space="0" w:color="000000"/>
              <w:right w:val="single" w:sz="8" w:space="0" w:color="000000"/>
            </w:tcBorders>
          </w:tcPr>
          <w:p>
            <w:pPr>
              <w:autoSpaceDE w:val="0"/>
              <w:autoSpaceDN w:val="0"/>
              <w:jc w:val="left"/>
              <w:spacing w:before="25" w:after="0" w:lineRule="auto" w:line="240"/>
              <w:ind w:right="0" w:left="1179" w:firstLine="0"/>
              <w:snapToGrid w:val="0"/>
              <w:textAlignment w:val="auto"/>
              <w:tabs>
                <w:tab w:val="left" w:leader="none" w:pos="1523"/>
              </w:tabs>
              <w:numPr>
                <w:ilvl w:val="0"/>
                <w:numId w:val="37"/>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253" w:hRule="exact"/>
          <w:cantSplit w:val="1"/>
        </w:trPr>
        <w:tc>
          <w:tcPr>
            <w:tcW w:w="2007"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87"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139"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925"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96"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105"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936"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163"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951"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17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5"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54" w:hRule="exact"/>
          <w:cantSplit w:val="1"/>
        </w:trPr>
        <w:tc>
          <w:tcPr>
            <w:tcW w:w="625" w:type="dxa"/>
            <w:gridSpan w:val="1"/>
            <w:vAlign w:val="top"/>
            <w:vMerge w:val="restart"/>
            <w:tcMar/>
            <w:tcBorders>
              <w:top w:val="single" w:sz="4" w:space="0" w:color="000000"/>
            </w:tcBorders>
          </w:tcPr>
          <w:p>
            <w:pPr>
              <w:autoSpaceDE w:val="0"/>
              <w:autoSpaceDN w:val="0"/>
              <w:jc w:val="left"/>
              <w:spacing w:before="152"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无机化学</w:t>
            </w:r>
          </w:p>
        </w:tc>
        <w:tc>
          <w:tcPr>
            <w:tcW w:w="88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w:t>
            </w:r>
          </w:p>
        </w:tc>
        <w:tc>
          <w:tcPr>
            <w:tcW w:w="92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13 175</w:t>
            </w:r>
          </w:p>
        </w:tc>
        <w:tc>
          <w:tcPr>
            <w:tcW w:w="109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27.30</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0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12 883</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26.60</w:t>
            </w:r>
          </w:p>
        </w:tc>
      </w:tr>
      <w:tr>
        <w:trPr>
          <w:trHeight w:val="254" w:hRule="exact"/>
          <w:cantSplit w:val="1"/>
        </w:trPr>
        <w:tc>
          <w:tcPr>
            <w:tcW w:w="62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分析化学</w:t>
            </w:r>
          </w:p>
        </w:tc>
        <w:tc>
          <w:tcPr>
            <w:tcW w:w="88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181</w:t>
            </w:r>
          </w:p>
        </w:tc>
        <w:tc>
          <w:tcPr>
            <w:tcW w:w="92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1 601</w:t>
            </w:r>
          </w:p>
        </w:tc>
        <w:tc>
          <w:tcPr>
            <w:tcW w:w="109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26.70</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169</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01" w:firstLine="0"/>
              <w:snapToGrid w:val="0"/>
              <w:textAlignment w:val="auto"/>
              <w:tabs>
                <w:tab w:val="left" w:leader="none" w:pos="494"/>
              </w:tabs>
              <w:numPr>
                <w:ilvl w:val="0"/>
                <w:numId w:val="38"/>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884</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25.72</w:t>
            </w:r>
          </w:p>
        </w:tc>
      </w:tr>
      <w:tr>
        <w:trPr>
          <w:trHeight w:val="253" w:hRule="exact"/>
          <w:cantSplit w:val="1"/>
        </w:trPr>
        <w:tc>
          <w:tcPr>
            <w:tcW w:w="625" w:type="dxa"/>
            <w:gridSpan w:val="1"/>
            <w:vAlign w:val="top"/>
            <w:vMerge w:val="restart"/>
            <w:tcMar/>
            <w:tcBorders>
              <w:top w:val="single" w:sz="4" w:space="0" w:color="000000"/>
            </w:tcBorders>
          </w:tcPr>
          <w:p>
            <w:pPr>
              <w:autoSpaceDE w:val="0"/>
              <w:autoSpaceDN w:val="0"/>
              <w:jc w:val="left"/>
              <w:spacing w:before="151"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有机化学</w:t>
            </w:r>
          </w:p>
        </w:tc>
        <w:tc>
          <w:tcPr>
            <w:tcW w:w="887" w:type="dxa"/>
            <w:gridSpan w:val="1"/>
            <w:vAlign w:val="top"/>
            <w:vMerge w:val="restart"/>
            <w:tcMar/>
            <w:tcBorders>
              <w:left w:val="single" w:sz="4" w:space="0" w:color="000000"/>
              <w:top w:val="single" w:sz="4" w:space="0" w:color="000000"/>
            </w:tcBorders>
          </w:tcPr>
          <w:p>
            <w:pPr>
              <w:autoSpaceDE w:val="0"/>
              <w:autoSpaceDN w:val="0"/>
              <w:jc w:val="left"/>
              <w:spacing w:before="159"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268</w:t>
            </w:r>
          </w:p>
        </w:tc>
        <w:tc>
          <w:tcPr>
            <w:tcW w:w="925" w:type="dxa"/>
            <w:gridSpan w:val="1"/>
            <w:vAlign w:val="top"/>
            <w:vMerge w:val="restart"/>
            <w:tcMar/>
            <w:tcBorders>
              <w:left w:val="single" w:sz="4" w:space="0" w:color="000000"/>
              <w:top w:val="single" w:sz="4" w:space="0" w:color="000000"/>
            </w:tcBorders>
          </w:tcPr>
          <w:p>
            <w:pPr>
              <w:autoSpaceDE w:val="0"/>
              <w:autoSpaceDN w:val="0"/>
              <w:jc w:val="left"/>
              <w:spacing w:before="159" w:after="0" w:lineRule="auto" w:line="240"/>
              <w:ind w:right="0" w:left="2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17 177</w:t>
            </w:r>
          </w:p>
        </w:tc>
        <w:tc>
          <w:tcPr>
            <w:tcW w:w="1096" w:type="dxa"/>
            <w:gridSpan w:val="1"/>
            <w:vAlign w:val="top"/>
            <w:vMerge w:val="restart"/>
            <w:tcMar/>
            <w:tcBorders>
              <w:left w:val="single" w:sz="4" w:space="0" w:color="000000"/>
              <w:top w:val="single" w:sz="4" w:space="0" w:color="000000"/>
            </w:tcBorders>
          </w:tcPr>
          <w:p>
            <w:pPr>
              <w:autoSpaceDE w:val="0"/>
              <w:autoSpaceDN w:val="0"/>
              <w:jc w:val="left"/>
              <w:spacing w:before="159"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26.77</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241</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0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15 520</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25.72</w:t>
            </w:r>
          </w:p>
        </w:tc>
      </w:tr>
      <w:tr>
        <w:trPr>
          <w:trHeight w:val="254" w:hRule="exact"/>
          <w:cantSplit w:val="1"/>
        </w:trPr>
        <w:tc>
          <w:tcPr>
            <w:tcW w:w="62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12" w:firstLine="0"/>
              <w:snapToGrid w:val="0"/>
              <w:textAlignment w:val="auto"/>
              <w:tabs/>
              <w:rPr>
                <w:rFonts w:ascii="宋体" w:hAnsi="宋体" w:cs="宋体" w:eastAsia="宋体" w:hint="ascii"/>
                <w:sz w:val="15"/>
              </w:rPr>
            </w:pPr>
            <w:r>
              <w:rPr>
                <w:rFonts w:ascii="宋体" w:hAnsi="宋体" w:cs="宋体" w:eastAsia="宋体" w:hint="ascii"/>
                <w:sz w:val="15"/>
              </w:rPr>
              <w:t>化学生物学</w:t>
            </w:r>
          </w:p>
        </w:tc>
        <w:tc>
          <w:tcPr>
            <w:tcW w:w="887"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25"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1096"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79</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5 095</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27.43</w:t>
            </w:r>
          </w:p>
        </w:tc>
      </w:tr>
      <w:tr>
        <w:trPr>
          <w:trHeight w:val="254" w:hRule="exact"/>
          <w:cantSplit w:val="1"/>
        </w:trPr>
        <w:tc>
          <w:tcPr>
            <w:tcW w:w="625" w:type="dxa"/>
            <w:gridSpan w:val="1"/>
            <w:vAlign w:val="top"/>
            <w:tcMar/>
            <w:tcBorders>
              <w:top w:val="single" w:sz="4" w:space="0" w:color="000000"/>
            </w:tcBorders>
          </w:tcPr>
          <w:p>
            <w:pPr>
              <w:autoSpaceDE w:val="0"/>
              <w:autoSpaceDN w:val="0"/>
              <w:jc w:val="left"/>
              <w:spacing w:before="25"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物理化学</w:t>
            </w:r>
          </w:p>
        </w:tc>
        <w:tc>
          <w:tcPr>
            <w:tcW w:w="88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302</w:t>
            </w:r>
          </w:p>
        </w:tc>
        <w:tc>
          <w:tcPr>
            <w:tcW w:w="92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3" w:firstLine="0"/>
              <w:snapToGrid w:val="0"/>
              <w:textAlignment w:val="auto"/>
              <w:tabs>
                <w:tab w:val="left" w:leader="none" w:pos="467"/>
              </w:tabs>
              <w:numPr>
                <w:ilvl w:val="0"/>
                <w:numId w:val="39"/>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356</w:t>
            </w:r>
          </w:p>
        </w:tc>
        <w:tc>
          <w:tcPr>
            <w:tcW w:w="109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26.65</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316</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01" w:firstLine="0"/>
              <w:snapToGrid w:val="0"/>
              <w:textAlignment w:val="auto"/>
              <w:tabs>
                <w:tab w:val="left" w:leader="none" w:pos="494"/>
              </w:tabs>
              <w:numPr>
                <w:ilvl w:val="0"/>
                <w:numId w:val="39"/>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353</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26.51</w:t>
            </w:r>
          </w:p>
        </w:tc>
      </w:tr>
      <w:tr>
        <w:trPr>
          <w:trHeight w:val="253" w:hRule="exact"/>
          <w:cantSplit w:val="1"/>
        </w:trPr>
        <w:tc>
          <w:tcPr>
            <w:tcW w:w="625" w:type="dxa"/>
            <w:gridSpan w:val="1"/>
            <w:vAlign w:val="top"/>
            <w:vMerge w:val="restart"/>
            <w:tcMar/>
            <w:tcBorders>
              <w:top w:val="single" w:sz="4" w:space="0" w:color="000000"/>
            </w:tcBorders>
          </w:tcPr>
          <w:p>
            <w:pPr>
              <w:autoSpaceDE w:val="0"/>
              <w:autoSpaceDN w:val="0"/>
              <w:jc w:val="left"/>
              <w:spacing w:before="151"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12" w:firstLine="0"/>
              <w:snapToGrid w:val="0"/>
              <w:textAlignment w:val="auto"/>
              <w:tabs/>
              <w:rPr>
                <w:rFonts w:ascii="宋体" w:hAnsi="宋体" w:cs="宋体" w:eastAsia="宋体" w:hint="ascii"/>
                <w:sz w:val="15"/>
              </w:rPr>
            </w:pPr>
            <w:r>
              <w:rPr>
                <w:rFonts w:ascii="宋体" w:hAnsi="宋体" w:cs="宋体" w:eastAsia="宋体" w:hint="ascii"/>
                <w:sz w:val="15"/>
              </w:rPr>
              <w:t>高分子科学</w:t>
            </w:r>
          </w:p>
        </w:tc>
        <w:tc>
          <w:tcPr>
            <w:tcW w:w="88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130</w:t>
            </w:r>
          </w:p>
        </w:tc>
        <w:tc>
          <w:tcPr>
            <w:tcW w:w="92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49" w:firstLine="0"/>
              <w:snapToGrid w:val="0"/>
              <w:textAlignment w:val="auto"/>
              <w:tabs>
                <w:tab w:val="left" w:leader="none" w:pos="467"/>
              </w:tabs>
              <w:numPr>
                <w:ilvl w:val="0"/>
                <w:numId w:val="40"/>
              </w:numPr>
              <w:rPr>
                <w:rFonts w:ascii="Times New Roman" w:hAnsi="Times New Roman" w:cs="Times New Roman" w:eastAsia="Times New Roman" w:hint="ascii"/>
                <w:sz w:val="15"/>
              </w:rPr>
            </w:pPr>
            <w:r>
              <w:rPr>
                <w:rFonts w:ascii="Times New Roman" w:hAnsi="Times New Roman" w:cs="Times New Roman" w:eastAsia="Times New Roman" w:hint="ascii"/>
                <w:sz w:val="15"/>
              </w:rPr>
              <w:t>333</w:t>
            </w:r>
          </w:p>
        </w:tc>
        <w:tc>
          <w:tcPr>
            <w:tcW w:w="109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26.97</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143</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8" w:firstLine="0"/>
              <w:snapToGrid w:val="0"/>
              <w:textAlignment w:val="auto"/>
              <w:tabs>
                <w:tab w:val="left" w:leader="none" w:pos="496"/>
              </w:tabs>
              <w:numPr>
                <w:ilvl w:val="0"/>
                <w:numId w:val="40"/>
              </w:numPr>
              <w:rPr>
                <w:rFonts w:ascii="Times New Roman" w:hAnsi="Times New Roman" w:cs="Times New Roman" w:eastAsia="Times New Roman" w:hint="ascii"/>
                <w:sz w:val="15"/>
              </w:rPr>
            </w:pPr>
            <w:r>
              <w:rPr>
                <w:rFonts w:ascii="Times New Roman" w:hAnsi="Times New Roman" w:cs="Times New Roman" w:eastAsia="Times New Roman" w:hint="ascii"/>
                <w:sz w:val="15"/>
              </w:rPr>
              <w:t>2</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26.58</w:t>
            </w:r>
          </w:p>
        </w:tc>
      </w:tr>
      <w:tr>
        <w:trPr>
          <w:trHeight w:val="254" w:hRule="exact"/>
          <w:cantSplit w:val="1"/>
        </w:trPr>
        <w:tc>
          <w:tcPr>
            <w:tcW w:w="62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环境化学</w:t>
            </w:r>
          </w:p>
        </w:tc>
        <w:tc>
          <w:tcPr>
            <w:tcW w:w="88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184</w:t>
            </w:r>
          </w:p>
        </w:tc>
        <w:tc>
          <w:tcPr>
            <w:tcW w:w="92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tab w:val="left" w:leader="none" w:pos="467"/>
              </w:tabs>
              <w:numPr>
                <w:ilvl w:val="0"/>
                <w:numId w:val="38"/>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828</w:t>
            </w:r>
          </w:p>
        </w:tc>
        <w:tc>
          <w:tcPr>
            <w:tcW w:w="109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27.42</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199</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01" w:firstLine="0"/>
              <w:snapToGrid w:val="0"/>
              <w:textAlignment w:val="auto"/>
              <w:tabs>
                <w:tab w:val="left" w:leader="none" w:pos="494"/>
              </w:tabs>
              <w:numPr>
                <w:ilvl w:val="0"/>
                <w:numId w:val="38"/>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818</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26.46</w:t>
            </w:r>
          </w:p>
        </w:tc>
      </w:tr>
      <w:tr>
        <w:trPr>
          <w:trHeight w:val="254" w:hRule="exact"/>
          <w:cantSplit w:val="1"/>
        </w:trPr>
        <w:tc>
          <w:tcPr>
            <w:tcW w:w="625" w:type="dxa"/>
            <w:gridSpan w:val="1"/>
            <w:vAlign w:val="top"/>
            <w:tcMar/>
            <w:tcBorders>
              <w:top w:val="single" w:sz="4" w:space="0" w:color="000000"/>
            </w:tcBorders>
          </w:tcPr>
          <w:p>
            <w:pPr>
              <w:autoSpaceDE w:val="0"/>
              <w:autoSpaceDN w:val="0"/>
              <w:jc w:val="left"/>
              <w:spacing w:before="25"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382"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化学工程</w:t>
            </w:r>
          </w:p>
        </w:tc>
        <w:tc>
          <w:tcPr>
            <w:tcW w:w="88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306</w:t>
            </w:r>
          </w:p>
        </w:tc>
        <w:tc>
          <w:tcPr>
            <w:tcW w:w="92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3" w:firstLine="0"/>
              <w:snapToGrid w:val="0"/>
              <w:textAlignment w:val="auto"/>
              <w:tabs>
                <w:tab w:val="left" w:leader="none" w:pos="467"/>
              </w:tabs>
              <w:numPr>
                <w:ilvl w:val="0"/>
                <w:numId w:val="4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612</w:t>
            </w:r>
          </w:p>
        </w:tc>
        <w:tc>
          <w:tcPr>
            <w:tcW w:w="109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22.68</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324</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01" w:firstLine="0"/>
              <w:snapToGrid w:val="0"/>
              <w:textAlignment w:val="auto"/>
              <w:tabs>
                <w:tab w:val="left" w:leader="none" w:pos="494"/>
              </w:tabs>
              <w:numPr>
                <w:ilvl w:val="0"/>
                <w:numId w:val="4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866</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22.18</w:t>
            </w:r>
          </w:p>
        </w:tc>
      </w:tr>
      <w:tr>
        <w:trPr>
          <w:trHeight w:val="253" w:hRule="exact"/>
          <w:cantSplit w:val="1"/>
        </w:trPr>
        <w:tc>
          <w:tcPr>
            <w:tcW w:w="2007" w:type="dxa"/>
            <w:gridSpan w:val="2"/>
            <w:vAlign w:val="top"/>
            <w:tcMar/>
            <w:tcBorders>
              <w:top w:val="single" w:sz="4" w:space="0" w:color="000000"/>
            </w:tcBorders>
          </w:tcPr>
          <w:p>
            <w:pPr>
              <w:autoSpaceDE w:val="0"/>
              <w:autoSpaceDN w:val="0"/>
              <w:jc w:val="left"/>
              <w:spacing w:before="25" w:after="0" w:lineRule="exact" w:line="188"/>
              <w:ind w:right="0" w:left="543"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8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1 576</w:t>
            </w:r>
          </w:p>
        </w:tc>
        <w:tc>
          <w:tcPr>
            <w:tcW w:w="92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19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101 082</w:t>
            </w:r>
          </w:p>
        </w:tc>
        <w:tc>
          <w:tcPr>
            <w:tcW w:w="109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25.99</w:t>
            </w:r>
          </w:p>
        </w:tc>
        <w:tc>
          <w:tcPr>
            <w:tcW w:w="936"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1 671</w:t>
            </w:r>
          </w:p>
        </w:tc>
        <w:tc>
          <w:tcPr>
            <w:tcW w:w="951"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2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107 630</w:t>
            </w:r>
          </w:p>
        </w:tc>
        <w:tc>
          <w:tcPr>
            <w:tcW w:w="11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25.41</w:t>
            </w:r>
          </w:p>
        </w:tc>
      </w:tr>
      <w:tr>
        <w:trPr>
          <w:trHeight w:val="406" w:hRule="exact"/>
          <w:cantSplit w:val="1"/>
        </w:trPr>
        <w:tc>
          <w:tcPr>
            <w:tcW w:w="2007" w:type="dxa"/>
            <w:gridSpan w:val="2"/>
            <w:vAlign w:val="top"/>
            <w:tcMar/>
            <w:tcBorders>
              <w:top w:val="single" w:sz="4" w:space="0" w:color="000000"/>
              <w:bottom w:val="single" w:sz="8" w:space="0" w:color="000000"/>
            </w:tcBorders>
          </w:tcPr>
          <w:p>
            <w:pPr>
              <w:autoSpaceDE w:val="0"/>
              <w:autoSpaceDN w:val="0"/>
              <w:jc w:val="left"/>
              <w:spacing w:before="1" w:after="0" w:lineRule="exact" w:line="188"/>
              <w:ind w:right="0" w:left="243"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w:t>
            </w:r>
          </w:p>
          <w:p>
            <w:pPr>
              <w:autoSpaceDE w:val="0"/>
              <w:autoSpaceDN w:val="0"/>
              <w:jc w:val="left"/>
              <w:spacing w:before="7" w:after="0" w:lineRule="exact" w:line="188"/>
              <w:ind w:right="0" w:left="561" w:firstLine="0"/>
              <w:snapToGrid w:val="0"/>
              <w:textAlignment w:val="auto"/>
              <w:tabs/>
              <w:rPr>
                <w:rFonts w:ascii="宋体" w:hAnsi="宋体" w:cs="宋体" w:eastAsia="宋体" w:hint="ascii"/>
                <w:sz w:val="15"/>
              </w:rPr>
            </w:pPr>
            <w:r>
              <w:rPr>
                <w:rFonts w:ascii="宋体" w:hAnsi="宋体" w:cs="宋体" w:eastAsia="宋体" w:hint="ascii"/>
                <w:sz w:val="15"/>
              </w:rPr>
              <w:t>（万元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908"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105" w:after="0" w:lineRule="auto" w:line="240"/>
              <w:ind w:right="0" w:left="128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64.14</w:t>
            </w:r>
          </w:p>
        </w:tc>
        <w:tc>
          <w:tcPr>
            <w:tcW w:w="3007"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105" w:after="0" w:lineRule="auto" w:line="240"/>
              <w:ind w:right="0" w:left="13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64.41</w:t>
            </w:r>
          </w:p>
        </w:tc>
      </w:tr>
    </w:tbl>
    <w:p>
      <w:pPr>
        <w:autoSpaceDE w:val="0"/>
        <w:autoSpaceDN w:val="0"/>
        <w:jc w:val="left"/>
        <w:spacing w:before="194" w:after="0" w:lineRule="auto" w:line="240"/>
        <w:ind w:right="0" w:left="1873" w:hanging="487"/>
        <w:snapToGrid w:val="0"/>
        <w:textAlignment w:val="auto"/>
        <w:tabs>
          <w:tab w:val="left" w:leader="none" w:pos="1873"/>
        </w:tabs>
        <w:numPr>
          <w:ilvl w:val="0"/>
          <w:numId w:val="42"/>
        </w:numPr>
        <w:rPr>
          <w:rFonts w:ascii="Times New Roman" w:hAnsi="Times New Roman" w:cs="Times New Roman" w:eastAsia="Times New Roman" w:hint="ascii"/>
          <w:sz w:val="21"/>
          <w:spacing w:val="1"/>
        </w:rPr>
      </w:pPr>
      <w:r>
        <w:rPr>
          <w:rFonts w:ascii="宋体" w:hAnsi="宋体" w:cs="宋体" w:eastAsia="宋体" w:hint="ascii"/>
          <w:sz w:val="21"/>
        </w:rPr>
        <w:t>年度化学科学部共接收面上项目申请</w:t>
      </w:r>
      <w:r>
        <w:rPr>
          <w:rFonts w:ascii="宋体" w:hAnsi="宋体" w:cs="宋体" w:eastAsia="宋体" w:hint="ascii"/>
          <w:sz w:val="21"/>
          <w:spacing w:val="-18"/>
        </w:rPr>
        <w:t xml:space="preserve"> </w:t>
      </w:r>
      <w:r>
        <w:rPr>
          <w:rFonts w:ascii="Times New Roman" w:hAnsi="Times New Roman" w:cs="Times New Roman" w:eastAsia="Times New Roman" w:hint="ascii"/>
          <w:sz w:val="21"/>
        </w:rPr>
        <w:t>6 577</w:t>
      </w:r>
      <w:r>
        <w:rPr>
          <w:rFonts w:ascii="Times New Roman" w:hAnsi="Times New Roman" w:cs="Times New Roman" w:eastAsia="Times New Roman" w:hint="ascii"/>
          <w:sz w:val="21"/>
          <w:spacing w:val="-19"/>
        </w:rPr>
        <w:t xml:space="preserve"> </w:t>
      </w:r>
      <w:r>
        <w:rPr>
          <w:rFonts w:ascii="宋体" w:hAnsi="宋体" w:cs="宋体" w:eastAsia="宋体" w:hint="ascii"/>
          <w:sz w:val="21"/>
        </w:rPr>
        <w:t>项，比</w:t>
      </w:r>
      <w:r>
        <w:rPr>
          <w:rFonts w:ascii="宋体" w:hAnsi="宋体" w:cs="宋体" w:eastAsia="宋体" w:hint="ascii"/>
          <w:sz w:val="21"/>
          <w:spacing w:val="-18"/>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19"/>
        </w:rPr>
        <w:t xml:space="preserve"> </w:t>
      </w:r>
      <w:r>
        <w:rPr>
          <w:rFonts w:ascii="宋体" w:hAnsi="宋体" w:cs="宋体" w:eastAsia="宋体" w:hint="ascii"/>
          <w:sz w:val="21"/>
        </w:rPr>
        <w:t>年增加了</w:t>
      </w:r>
      <w:r>
        <w:rPr>
          <w:rFonts w:ascii="宋体" w:hAnsi="宋体" w:cs="宋体" w:eastAsia="宋体" w:hint="ascii"/>
          <w:sz w:val="21"/>
          <w:spacing w:val="-18"/>
        </w:rPr>
        <w:t xml:space="preserve"> </w:t>
      </w:r>
      <w:r>
        <w:rPr>
          <w:rFonts w:ascii="Times New Roman" w:hAnsi="Times New Roman" w:cs="Times New Roman" w:eastAsia="Times New Roman" w:hint="ascii"/>
          <w:sz w:val="21"/>
        </w:rPr>
        <w:t>512</w:t>
      </w:r>
      <w:r>
        <w:rPr>
          <w:rFonts w:ascii="Times New Roman" w:hAnsi="Times New Roman" w:cs="Times New Roman" w:eastAsia="Times New Roman" w:hint="ascii"/>
          <w:sz w:val="21"/>
          <w:spacing w:val="-19"/>
        </w:rPr>
        <w:t xml:space="preserve"> </w:t>
      </w:r>
      <w:r>
        <w:rPr>
          <w:rFonts w:ascii="宋体" w:hAnsi="宋体" w:cs="宋体" w:eastAsia="宋体" w:hint="ascii"/>
          <w:sz w:val="21"/>
        </w:rPr>
        <w:t>项，增</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加</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1"/>
        </w:rPr>
        <w:t>8.44%</w:t>
      </w:r>
      <w:r>
        <w:rPr>
          <w:rFonts w:ascii="宋体" w:hAnsi="宋体" w:cs="宋体" w:eastAsia="宋体" w:hint="ascii"/>
          <w:sz w:val="21"/>
          <w:spacing w:val="-1"/>
        </w:rPr>
        <w:t>，申请单</w:t>
      </w:r>
      <w:r>
        <w:rPr>
          <w:rFonts w:ascii="宋体" w:hAnsi="宋体" w:cs="宋体" w:eastAsia="宋体" w:hint="ascii"/>
          <w:sz w:val="21"/>
        </w:rPr>
        <w:t>位</w:t>
      </w:r>
      <w:r>
        <w:rPr>
          <w:rFonts w:ascii="宋体" w:hAnsi="宋体" w:cs="宋体" w:eastAsia="宋体" w:hint="ascii"/>
          <w:sz w:val="21"/>
          <w:spacing w:val="-24"/>
        </w:rPr>
        <w:t xml:space="preserve"> </w:t>
      </w:r>
      <w:r>
        <w:rPr>
          <w:rFonts w:ascii="Times New Roman" w:hAnsi="Times New Roman" w:cs="Times New Roman" w:eastAsia="Times New Roman" w:hint="ascii"/>
          <w:sz w:val="21"/>
        </w:rPr>
        <w:t>657</w:t>
      </w:r>
      <w:r>
        <w:rPr>
          <w:rFonts w:ascii="Times New Roman" w:hAnsi="Times New Roman" w:cs="Times New Roman" w:eastAsia="Times New Roman" w:hint="ascii"/>
          <w:sz w:val="21"/>
          <w:spacing w:val="-25"/>
        </w:rPr>
        <w:t xml:space="preserve"> </w:t>
      </w:r>
      <w:r>
        <w:rPr>
          <w:rFonts w:ascii="宋体" w:hAnsi="宋体" w:cs="宋体" w:eastAsia="宋体" w:hint="ascii"/>
          <w:sz w:val="21"/>
        </w:rPr>
        <w:t>个，资助</w:t>
      </w:r>
      <w:r>
        <w:rPr>
          <w:rFonts w:ascii="宋体" w:hAnsi="宋体" w:cs="宋体" w:eastAsia="宋体" w:hint="ascii"/>
          <w:sz w:val="21"/>
          <w:spacing w:val="-24"/>
        </w:rPr>
        <w:t xml:space="preserve"> </w:t>
      </w:r>
      <w:r>
        <w:rPr>
          <w:rFonts w:ascii="Times New Roman" w:hAnsi="Times New Roman" w:cs="Times New Roman" w:eastAsia="Times New Roman" w:hint="ascii"/>
          <w:sz w:val="21"/>
        </w:rPr>
        <w:t>1 671</w:t>
      </w:r>
      <w:r>
        <w:rPr>
          <w:rFonts w:ascii="Times New Roman" w:hAnsi="Times New Roman" w:cs="Times New Roman" w:eastAsia="Times New Roman" w:hint="ascii"/>
          <w:sz w:val="21"/>
          <w:spacing w:val="-25"/>
        </w:rPr>
        <w:t xml:space="preserve"> </w:t>
      </w:r>
      <w:r>
        <w:rPr>
          <w:rFonts w:ascii="宋体" w:hAnsi="宋体" w:cs="宋体" w:eastAsia="宋体" w:hint="ascii"/>
          <w:sz w:val="21"/>
        </w:rPr>
        <w:t>项，资助率为</w:t>
      </w:r>
      <w:r>
        <w:rPr>
          <w:rFonts w:ascii="宋体" w:hAnsi="宋体" w:cs="宋体" w:eastAsia="宋体" w:hint="ascii"/>
          <w:sz w:val="21"/>
          <w:spacing w:val="-24"/>
        </w:rPr>
        <w:t xml:space="preserve"> </w:t>
      </w:r>
      <w:r>
        <w:rPr>
          <w:rFonts w:ascii="Times New Roman" w:hAnsi="Times New Roman" w:cs="Times New Roman" w:eastAsia="Times New Roman" w:hint="ascii"/>
          <w:sz w:val="21"/>
        </w:rPr>
        <w:t>25.41%</w:t>
      </w:r>
      <w:r>
        <w:rPr>
          <w:rFonts w:ascii="宋体" w:hAnsi="宋体" w:cs="宋体" w:eastAsia="宋体" w:hint="ascii"/>
          <w:sz w:val="21"/>
        </w:rPr>
        <w:t>，直接费用平均资助强度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64.4</w:t>
      </w:r>
      <w:r>
        <w:rPr>
          <w:rFonts w:ascii="Times New Roman" w:hAnsi="Times New Roman" w:cs="Times New Roman" w:eastAsia="Times New Roman" w:hint="ascii"/>
          <w:sz w:val="21"/>
          <w:spacing w:val="52"/>
        </w:rPr>
        <w:t>1</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年度化学科学部将进行全面的学科重新调整，以化学化工的主要研究方向进</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行分类资助和</w:t>
      </w:r>
      <w:r>
        <w:rPr>
          <w:rFonts w:ascii="宋体" w:hAnsi="宋体" w:cs="宋体" w:eastAsia="宋体" w:hint="ascii"/>
          <w:sz w:val="21"/>
        </w:rPr>
        <w:t>管理，更好地适应国际化学发展的趋势和促进中国化学化工研究的转型发展。申请人需仔细阅读各研究方向的说明，准确选择申请代码。</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化学科学部新的项目资助方向为：①合成化学；②催化与表界面化学；③化学理论</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与机制；④化</w:t>
      </w:r>
      <w:r>
        <w:rPr>
          <w:rFonts w:ascii="宋体" w:hAnsi="宋体" w:cs="宋体" w:eastAsia="宋体" w:hint="ascii"/>
          <w:sz w:val="21"/>
        </w:rPr>
        <w:t>学测量学；⑤材料化学与能源化学；⑥环境化学；⑦化学生物学；⑧化学工程与工业化学。</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化</w:t>
      </w:r>
      <w:r>
        <w:rPr>
          <w:rFonts w:ascii="宋体" w:hAnsi="宋体" w:cs="宋体" w:eastAsia="宋体" w:hint="ascii"/>
          <w:sz w:val="21"/>
          <w:spacing w:val="3"/>
        </w:rPr>
        <w:t>学</w:t>
      </w:r>
      <w:r>
        <w:rPr>
          <w:rFonts w:ascii="宋体" w:hAnsi="宋体" w:cs="宋体" w:eastAsia="宋体" w:hint="ascii"/>
          <w:sz w:val="21"/>
          <w:spacing w:val="4"/>
        </w:rPr>
        <w:t>科</w:t>
      </w:r>
      <w:r>
        <w:rPr>
          <w:rFonts w:ascii="宋体" w:hAnsi="宋体" w:cs="宋体" w:eastAsia="宋体" w:hint="ascii"/>
          <w:sz w:val="21"/>
          <w:spacing w:val="3"/>
        </w:rPr>
        <w:t>学部将继</w:t>
      </w:r>
      <w:r>
        <w:rPr>
          <w:rFonts w:ascii="宋体" w:hAnsi="宋体" w:cs="宋体" w:eastAsia="宋体" w:hint="ascii"/>
          <w:sz w:val="21"/>
          <w:spacing w:val="4"/>
        </w:rPr>
        <w:t>续</w:t>
      </w:r>
      <w:r>
        <w:rPr>
          <w:rFonts w:ascii="宋体" w:hAnsi="宋体" w:cs="宋体" w:eastAsia="宋体" w:hint="ascii"/>
          <w:sz w:val="21"/>
          <w:spacing w:val="3"/>
        </w:rPr>
        <w:t>大力支持</w:t>
      </w:r>
      <w:r>
        <w:rPr>
          <w:rFonts w:ascii="宋体" w:hAnsi="宋体" w:cs="宋体" w:eastAsia="宋体" w:hint="ascii"/>
          <w:sz w:val="21"/>
          <w:spacing w:val="4"/>
        </w:rPr>
        <w:t>学</w:t>
      </w:r>
      <w:r>
        <w:rPr>
          <w:rFonts w:ascii="宋体" w:hAnsi="宋体" w:cs="宋体" w:eastAsia="宋体" w:hint="ascii"/>
          <w:sz w:val="21"/>
          <w:spacing w:val="3"/>
        </w:rPr>
        <w:t>科前沿的</w:t>
      </w:r>
      <w:r>
        <w:rPr>
          <w:rFonts w:ascii="宋体" w:hAnsi="宋体" w:cs="宋体" w:eastAsia="宋体" w:hint="ascii"/>
          <w:sz w:val="21"/>
          <w:spacing w:val="4"/>
        </w:rPr>
        <w:t>高</w:t>
      </w:r>
      <w:r>
        <w:rPr>
          <w:rFonts w:ascii="宋体" w:hAnsi="宋体" w:cs="宋体" w:eastAsia="宋体" w:hint="ascii"/>
          <w:sz w:val="21"/>
          <w:spacing w:val="3"/>
        </w:rPr>
        <w:t>水平创新</w:t>
      </w:r>
      <w:r>
        <w:rPr>
          <w:rFonts w:ascii="宋体" w:hAnsi="宋体" w:cs="宋体" w:eastAsia="宋体" w:hint="ascii"/>
          <w:sz w:val="21"/>
          <w:spacing w:val="4"/>
        </w:rPr>
        <w:t>研</w:t>
      </w:r>
      <w:r>
        <w:rPr>
          <w:rFonts w:ascii="宋体" w:hAnsi="宋体" w:cs="宋体" w:eastAsia="宋体" w:hint="ascii"/>
          <w:sz w:val="21"/>
          <w:spacing w:val="3"/>
        </w:rPr>
        <w:t>究，关注</w:t>
      </w:r>
      <w:r>
        <w:rPr>
          <w:rFonts w:ascii="宋体" w:hAnsi="宋体" w:cs="宋体" w:eastAsia="宋体" w:hint="ascii"/>
          <w:sz w:val="21"/>
          <w:spacing w:val="4"/>
        </w:rPr>
        <w:t>深</w:t>
      </w:r>
      <w:r>
        <w:rPr>
          <w:rFonts w:ascii="宋体" w:hAnsi="宋体" w:cs="宋体" w:eastAsia="宋体" w:hint="ascii"/>
          <w:sz w:val="21"/>
          <w:spacing w:val="3"/>
        </w:rPr>
        <w:t>入系统的</w:t>
      </w:r>
      <w:r>
        <w:rPr>
          <w:rFonts w:ascii="宋体" w:hAnsi="宋体" w:cs="宋体" w:eastAsia="宋体" w:hint="ascii"/>
          <w:sz w:val="21"/>
          <w:spacing w:val="4"/>
        </w:rPr>
        <w:t>研</w:t>
      </w:r>
      <w:r>
        <w:rPr>
          <w:rFonts w:ascii="宋体" w:hAnsi="宋体" w:cs="宋体" w:eastAsia="宋体" w:hint="ascii"/>
          <w:sz w:val="21"/>
          <w:spacing w:val="3"/>
        </w:rPr>
        <w:t>究</w:t>
      </w:r>
      <w:r>
        <w:rPr>
          <w:rFonts w:ascii="宋体" w:hAnsi="宋体" w:cs="宋体" w:eastAsia="宋体" w:hint="ascii"/>
          <w:sz w:val="21"/>
        </w:rPr>
        <w:t>工</w:t>
      </w:r>
      <w:r>
        <w:rPr>
          <w:rFonts w:ascii="宋体" w:hAnsi="宋体" w:cs="宋体" w:eastAsia="宋体" w:hint="ascii"/>
          <w:sz w:val="21"/>
          <w:spacing w:val="3"/>
        </w:rPr>
        <w:t>作，鼓励</w:t>
      </w:r>
      <w:r>
        <w:rPr>
          <w:rFonts w:ascii="宋体" w:hAnsi="宋体" w:cs="宋体" w:eastAsia="宋体" w:hint="ascii"/>
          <w:sz w:val="21"/>
        </w:rPr>
        <w:t>和</w:t>
      </w:r>
      <w:r>
        <w:rPr>
          <w:rFonts w:ascii="宋体" w:hAnsi="宋体" w:cs="宋体" w:eastAsia="宋体" w:hint="ascii"/>
          <w:sz w:val="21"/>
          <w:spacing w:val="3"/>
        </w:rPr>
        <w:t>优先支持</w:t>
      </w:r>
      <w:r>
        <w:rPr>
          <w:rFonts w:ascii="宋体" w:hAnsi="宋体" w:cs="宋体" w:eastAsia="宋体" w:hint="ascii"/>
          <w:sz w:val="21"/>
        </w:rPr>
        <w:t>在</w:t>
      </w:r>
      <w:r>
        <w:rPr>
          <w:rFonts w:ascii="宋体" w:hAnsi="宋体" w:cs="宋体" w:eastAsia="宋体" w:hint="ascii"/>
          <w:sz w:val="21"/>
          <w:spacing w:val="3"/>
        </w:rPr>
        <w:t>学科交叉</w:t>
      </w:r>
      <w:r>
        <w:rPr>
          <w:rFonts w:ascii="宋体" w:hAnsi="宋体" w:cs="宋体" w:eastAsia="宋体" w:hint="ascii"/>
          <w:sz w:val="21"/>
        </w:rPr>
        <w:t>融</w:t>
      </w:r>
      <w:r>
        <w:rPr>
          <w:rFonts w:ascii="宋体" w:hAnsi="宋体" w:cs="宋体" w:eastAsia="宋体" w:hint="ascii"/>
          <w:sz w:val="21"/>
          <w:spacing w:val="3"/>
        </w:rPr>
        <w:t>合基础上</w:t>
      </w:r>
      <w:r>
        <w:rPr>
          <w:rFonts w:ascii="宋体" w:hAnsi="宋体" w:cs="宋体" w:eastAsia="宋体" w:hint="ascii"/>
          <w:sz w:val="21"/>
        </w:rPr>
        <w:t>提</w:t>
      </w:r>
      <w:r>
        <w:rPr>
          <w:rFonts w:ascii="宋体" w:hAnsi="宋体" w:cs="宋体" w:eastAsia="宋体" w:hint="ascii"/>
          <w:sz w:val="21"/>
          <w:spacing w:val="3"/>
        </w:rPr>
        <w:t>出的研究</w:t>
      </w:r>
      <w:r>
        <w:rPr>
          <w:rFonts w:ascii="宋体" w:hAnsi="宋体" w:cs="宋体" w:eastAsia="宋体" w:hint="ascii"/>
          <w:sz w:val="21"/>
        </w:rPr>
        <w:t>课</w:t>
      </w:r>
      <w:r>
        <w:rPr>
          <w:rFonts w:ascii="宋体" w:hAnsi="宋体" w:cs="宋体" w:eastAsia="宋体" w:hint="ascii"/>
          <w:sz w:val="21"/>
          <w:spacing w:val="3"/>
        </w:rPr>
        <w:t>题，强调</w:t>
      </w:r>
      <w:r>
        <w:rPr>
          <w:rFonts w:ascii="宋体" w:hAnsi="宋体" w:cs="宋体" w:eastAsia="宋体" w:hint="ascii"/>
          <w:sz w:val="21"/>
        </w:rPr>
        <w:t>研</w:t>
      </w:r>
      <w:r>
        <w:rPr>
          <w:rFonts w:ascii="宋体" w:hAnsi="宋体" w:cs="宋体" w:eastAsia="宋体" w:hint="ascii"/>
          <w:sz w:val="21"/>
          <w:spacing w:val="3"/>
        </w:rPr>
        <w:t>究思想、研</w:t>
      </w:r>
      <w:r>
        <w:rPr>
          <w:rFonts w:ascii="宋体" w:hAnsi="宋体" w:cs="宋体" w:eastAsia="宋体" w:hint="ascii"/>
          <w:sz w:val="21"/>
          <w:spacing w:val="4"/>
        </w:rPr>
        <w:t>究</w:t>
      </w:r>
      <w:r>
        <w:rPr>
          <w:rFonts w:ascii="宋体" w:hAnsi="宋体" w:cs="宋体" w:eastAsia="宋体" w:hint="ascii"/>
          <w:sz w:val="21"/>
        </w:rPr>
        <w:t>方向、研究内容的多元化，避免研究的趋同性和同质化。对于有较大风险的原创性研究，将采取措施给予支持，以突破中国化学化工创新引领乏力的瓶颈，实现从量的扩张到质的提升的转变与跃升。评审工作将始终贯彻科学价值的理念，注重研究领域的均衡、协调和可持续发展，将中国化学化工基础研究推向国际前沿。</w:t>
      </w:r>
      <w:r>
        <w:rPr>
          <w:rFonts w:ascii="Times New Roman" w:hAnsi="Times New Roman" w:cs="Times New Roman" w:eastAsia="Times New Roman" w:hint="ascii"/>
          <w:sz w:val="21"/>
        </w:rPr>
        <w:t xml:space="preserve">2018 </w:t>
      </w:r>
      <w:r>
        <w:rPr>
          <w:rFonts w:ascii="宋体" w:hAnsi="宋体" w:cs="宋体" w:eastAsia="宋体" w:hint="ascii"/>
          <w:sz w:val="21"/>
        </w:rPr>
        <w:t>年度面上项目直接费用平均资助强度</w:t>
      </w:r>
      <w:r>
        <w:rPr>
          <w:rFonts w:ascii="宋体" w:hAnsi="宋体" w:cs="宋体" w:eastAsia="宋体" w:hint="ascii"/>
          <w:sz w:val="21"/>
          <w:spacing w:val="26"/>
        </w:rPr>
        <w:t>与</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7</w:t>
      </w:r>
      <w:r>
        <w:rPr>
          <w:rFonts w:ascii="宋体" w:hAnsi="宋体" w:cs="宋体" w:eastAsia="宋体" w:hint="ascii"/>
          <w:sz w:val="21"/>
        </w:rPr>
        <w:t>年度基本持平。</w:t>
      </w:r>
    </w:p>
    <w:p>
      <w:pPr>
        <w:autoSpaceDE w:val="0"/>
        <w:autoSpaceDN w:val="0"/>
        <w:jc w:val="left"/>
        <w:spacing w:before="270" w:after="0" w:lineRule="exact" w:line="363"/>
        <w:ind w:right="0" w:left="4376" w:firstLine="0"/>
        <w:snapToGrid w:val="0"/>
        <w:textAlignment w:val="auto"/>
        <w:tabs/>
        <w:rPr>
          <w:rFonts w:ascii="宋体" w:hAnsi="宋体" w:cs="宋体" w:eastAsia="宋体" w:hint="ascii"/>
          <w:sz w:val="29"/>
        </w:rPr>
      </w:pPr>
      <w:r>
        <w:rPr>
          <w:rFonts w:ascii="宋体" w:hAnsi="宋体" w:cs="宋体" w:eastAsia="宋体" w:hint="ascii"/>
          <w:sz w:val="29"/>
        </w:rPr>
        <w:t>合成化学</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合成化学是研究物质转化和合成方法的科学，它包含了无机、有机、高分子等物质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的合成与组</w:t>
      </w:r>
      <w:r>
        <w:rPr>
          <w:rFonts w:ascii="宋体" w:hAnsi="宋体" w:cs="宋体" w:eastAsia="宋体" w:hint="ascii"/>
          <w:sz w:val="21"/>
        </w:rPr>
        <w:t>装。合成化学通过分子创造和物质转化过程中选择性的控制，逐步实现具有</w:t>
      </w:r>
      <w:r>
        <w:rPr>
          <w:rFonts w:ascii="宋体" w:hAnsi="宋体" w:cs="宋体" w:eastAsia="宋体" w:hint="ascii"/>
          <w:sz w:val="21"/>
          <w:spacing w:val="-1"/>
        </w:rPr>
        <w:t>特定性质和</w:t>
      </w:r>
      <w:r>
        <w:rPr>
          <w:rFonts w:ascii="宋体" w:hAnsi="宋体" w:cs="宋体" w:eastAsia="宋体" w:hint="ascii"/>
          <w:sz w:val="21"/>
        </w:rPr>
        <w:t>功能的新物质的精准化制备和应用。合成化学作为化学学科的基础和核心，</w:t>
      </w:r>
    </w:p>
    <w:p>
      <w:pPr>
        <w:autoSpaceDE w:val="0"/>
        <w:autoSpaceDN w:val="0"/>
        <w:jc w:val="left"/>
        <w:spacing w:before="265" w:after="0" w:lineRule="exact" w:line="225"/>
        <w:ind w:right="0" w:left="851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积极拓展</w:t>
      </w:r>
      <w:r>
        <w:rPr>
          <w:rFonts w:ascii="宋体" w:hAnsi="宋体" w:cs="宋体" w:eastAsia="宋体" w:hint="ascii"/>
          <w:sz w:val="21"/>
        </w:rPr>
        <w:t>与相关学科的交叉融合，推动相关领域重大科学问题的解决，促进国家经济和社会发展。</w:t>
      </w:r>
      <w:r>
        <w:rPr>
          <w:rFonts w:ascii="宋体" w:hAnsi="宋体" w:cs="宋体" w:eastAsia="宋体" w:hint="ascii"/>
          <w:sz w:val="21"/>
        </w:rPr>
        <mc:AlternateContent>
          <mc:Choice Requires="wps">
            <w:drawing>
              <wp:anchor distL="0" distR="0" distT="0" distB="0" simplePos="0" behindDoc="1" relativeHeight="74" locked="0" layoutInCell="1" allowOverlap="1">
                <wp:simplePos x="0" y="0"/>
                <wp:positionH relativeFrom="page">
                  <wp:posOffset>938530</wp:posOffset>
                </wp:positionH>
                <wp:positionV relativeFrom="page">
                  <wp:posOffset>805815</wp:posOffset>
                </wp:positionV>
                <wp:extent cx="5076190" cy="0"/>
                <wp:wrapNone/>
                <wp:docPr id="1101" name="110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82464;width:399.70pt;" id="110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合成化学面向生命科学、材料科学、信息科学、</w:t>
      </w:r>
      <w:r>
        <w:rPr>
          <w:rFonts w:ascii="宋体" w:hAnsi="宋体" w:cs="宋体" w:eastAsia="宋体" w:hint="ascii"/>
          <w:sz w:val="21"/>
          <w:spacing w:val="-1"/>
        </w:rPr>
        <w:t>能源科学和环境科学等领域对新物</w:t>
      </w:r>
      <w:r>
        <w:rPr>
          <w:rFonts w:ascii="宋体" w:hAnsi="宋体" w:cs="宋体" w:eastAsia="宋体" w:hint="ascii"/>
          <w:sz w:val="21"/>
        </w:rPr>
        <w:t xml:space="preserve"> </w:t>
      </w:r>
      <w:r>
        <w:rPr>
          <w:rFonts w:ascii="宋体" w:hAnsi="宋体" w:cs="宋体" w:eastAsia="宋体" w:hint="ascii"/>
          <w:sz w:val="21"/>
          <w:spacing w:val="-1"/>
        </w:rPr>
        <w:t>质、新材</w:t>
      </w:r>
      <w:r>
        <w:rPr>
          <w:rFonts w:ascii="宋体" w:hAnsi="宋体" w:cs="宋体" w:eastAsia="宋体" w:hint="ascii"/>
          <w:sz w:val="21"/>
        </w:rPr>
        <w:t>料和新器件的需求，重点研究功能导向新物质的设计理论、反应过程、高效和</w:t>
      </w:r>
      <w:r>
        <w:rPr>
          <w:rFonts w:ascii="宋体" w:hAnsi="宋体" w:cs="宋体" w:eastAsia="宋体" w:hint="ascii"/>
          <w:sz w:val="21"/>
          <w:spacing w:val="-1"/>
        </w:rPr>
        <w:t>高选择性</w:t>
      </w:r>
      <w:r>
        <w:rPr>
          <w:rFonts w:ascii="宋体" w:hAnsi="宋体" w:cs="宋体" w:eastAsia="宋体" w:hint="ascii"/>
          <w:sz w:val="21"/>
        </w:rPr>
        <w:t>的合成与组装方法学；探讨合成反应和物质转化过程的机理与本质规律；借鉴</w:t>
      </w:r>
      <w:r>
        <w:rPr>
          <w:rFonts w:ascii="宋体" w:hAnsi="宋体" w:cs="宋体" w:eastAsia="宋体" w:hint="ascii"/>
          <w:sz w:val="21"/>
          <w:spacing w:val="-1"/>
        </w:rPr>
        <w:t>生命体系</w:t>
      </w:r>
      <w:r>
        <w:rPr>
          <w:rFonts w:ascii="宋体" w:hAnsi="宋体" w:cs="宋体" w:eastAsia="宋体" w:hint="ascii"/>
          <w:sz w:val="21"/>
        </w:rPr>
        <w:t>的生物合成和演化过程，结合物理与材料等学科的研究方法和技术，发展新的</w:t>
      </w:r>
      <w:r>
        <w:rPr>
          <w:rFonts w:ascii="宋体" w:hAnsi="宋体" w:cs="宋体" w:eastAsia="宋体" w:hint="ascii"/>
          <w:sz w:val="21"/>
          <w:spacing w:val="-1"/>
        </w:rPr>
        <w:t>合成策略</w:t>
      </w:r>
      <w:r>
        <w:rPr>
          <w:rFonts w:ascii="宋体" w:hAnsi="宋体" w:cs="宋体" w:eastAsia="宋体" w:hint="ascii"/>
          <w:sz w:val="21"/>
        </w:rPr>
        <w:t>，合成各种特定结构和特定功能的化合物和材料。合成化学已经迈向了绿色、</w:t>
      </w:r>
      <w:r>
        <w:rPr>
          <w:rFonts w:ascii="宋体" w:hAnsi="宋体" w:cs="宋体" w:eastAsia="宋体" w:hint="ascii"/>
          <w:sz w:val="21"/>
          <w:spacing w:val="-1"/>
        </w:rPr>
        <w:t>经济、高</w:t>
      </w:r>
      <w:r>
        <w:rPr>
          <w:rFonts w:ascii="宋体" w:hAnsi="宋体" w:cs="宋体" w:eastAsia="宋体" w:hint="ascii"/>
          <w:sz w:val="21"/>
        </w:rPr>
        <w:t>效、高选择性的大门，新物质的合成已变得更加精准和环境友好。合成化学发</w:t>
      </w:r>
      <w:r>
        <w:rPr>
          <w:rFonts w:ascii="宋体" w:hAnsi="宋体" w:cs="宋体" w:eastAsia="宋体" w:hint="ascii"/>
          <w:sz w:val="21"/>
          <w:spacing w:val="-1"/>
        </w:rPr>
        <w:t>展将遵循</w:t>
      </w:r>
      <w:r>
        <w:rPr>
          <w:rFonts w:ascii="宋体" w:hAnsi="宋体" w:cs="宋体" w:eastAsia="宋体" w:hint="ascii"/>
          <w:sz w:val="21"/>
        </w:rPr>
        <w:t>这一趋势，更加注重人类健康、环境资源的有效利用和社会可持续发展。合成</w:t>
      </w:r>
      <w:r>
        <w:rPr>
          <w:rFonts w:ascii="宋体" w:hAnsi="宋体" w:cs="宋体" w:eastAsia="宋体" w:hint="ascii"/>
          <w:sz w:val="21"/>
          <w:spacing w:val="-1"/>
        </w:rPr>
        <w:t>化学鼓励</w:t>
      </w:r>
      <w:r>
        <w:rPr>
          <w:rFonts w:ascii="宋体" w:hAnsi="宋体" w:cs="宋体" w:eastAsia="宋体" w:hint="ascii"/>
          <w:sz w:val="21"/>
        </w:rPr>
        <w:t>的研究方向主要有：新试剂、新反应、新概念、新策略和新理论驱动的合成化</w:t>
      </w:r>
      <w:r>
        <w:rPr>
          <w:rFonts w:ascii="宋体" w:hAnsi="宋体" w:cs="宋体" w:eastAsia="宋体" w:hint="ascii"/>
          <w:sz w:val="21"/>
          <w:spacing w:val="-1"/>
        </w:rPr>
        <w:t>学；原子</w:t>
      </w:r>
      <w:r>
        <w:rPr>
          <w:rFonts w:ascii="宋体" w:hAnsi="宋体" w:cs="宋体" w:eastAsia="宋体" w:hint="ascii"/>
          <w:sz w:val="21"/>
        </w:rPr>
        <w:t>经济、绿色可持续和精准可控的合成方法与技术；化学原理驱动的生物及仿生</w:t>
      </w:r>
      <w:r>
        <w:rPr>
          <w:rFonts w:ascii="宋体" w:hAnsi="宋体" w:cs="宋体" w:eastAsia="宋体" w:hint="ascii"/>
          <w:sz w:val="21"/>
          <w:spacing w:val="-1"/>
        </w:rPr>
        <w:t>合成；非</w:t>
      </w:r>
      <w:r>
        <w:rPr>
          <w:rFonts w:ascii="宋体" w:hAnsi="宋体" w:cs="宋体" w:eastAsia="宋体" w:hint="ascii"/>
          <w:sz w:val="21"/>
        </w:rPr>
        <w:t>常规和极端条件下的合成化学；基于各种分子间相互作用的非共价合成；功能导向的新物质的合成与制备等。</w:t>
      </w:r>
    </w:p>
    <w:p>
      <w:pPr>
        <w:autoSpaceDE w:val="0"/>
        <w:autoSpaceDN w:val="0"/>
        <w:jc w:val="both"/>
        <w:spacing w:before="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合成化学</w:t>
      </w:r>
      <w:r>
        <w:rPr>
          <w:rFonts w:ascii="宋体" w:hAnsi="宋体" w:cs="宋体" w:eastAsia="宋体" w:hint="ascii"/>
          <w:sz w:val="21"/>
        </w:rPr>
        <w:t>鼓励以分子创造和物质转化为核心的合成化学基础研究原创性突破，以及对产业应用的源头贡献。</w:t>
      </w:r>
    </w:p>
    <w:p>
      <w:pPr>
        <w:autoSpaceDE w:val="0"/>
        <w:autoSpaceDN w:val="0"/>
        <w:jc w:val="left"/>
        <w:spacing w:before="270" w:after="0" w:lineRule="exact" w:line="363"/>
        <w:ind w:right="0" w:left="3795" w:firstLine="0"/>
        <w:snapToGrid w:val="0"/>
        <w:textAlignment w:val="auto"/>
        <w:tabs/>
        <w:rPr>
          <w:rFonts w:ascii="宋体" w:hAnsi="宋体" w:cs="宋体" w:eastAsia="宋体" w:hint="ascii"/>
          <w:sz w:val="29"/>
        </w:rPr>
      </w:pPr>
      <w:r>
        <w:rPr>
          <w:rFonts w:ascii="宋体" w:hAnsi="宋体" w:cs="宋体" w:eastAsia="宋体" w:hint="ascii"/>
          <w:sz w:val="29"/>
        </w:rPr>
        <w:t>催化与表界面化学</w:t>
      </w:r>
    </w:p>
    <w:p>
      <w:pPr>
        <w:autoSpaceDE w:val="0"/>
        <w:autoSpaceDN w:val="0"/>
        <w:jc w:val="both"/>
        <w:spacing w:before="301"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催化与表</w:t>
      </w:r>
      <w:r>
        <w:rPr>
          <w:rFonts w:ascii="宋体" w:hAnsi="宋体" w:cs="宋体" w:eastAsia="宋体" w:hint="ascii"/>
          <w:sz w:val="21"/>
        </w:rPr>
        <w:t>界面化学旨在研究表界面的结构与性质，揭示物质在表界面发生的物理与化学转化过程的基本规律。</w:t>
      </w:r>
    </w:p>
    <w:p>
      <w:pPr>
        <w:autoSpaceDE w:val="0"/>
        <w:autoSpaceDN w:val="0"/>
        <w:jc w:val="both"/>
        <w:spacing w:before="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催化与表界面化学资助的领域包括催化化学、表面化学、胶体与界面化学和电</w:t>
      </w:r>
      <w:r>
        <w:rPr>
          <w:rFonts w:ascii="宋体" w:hAnsi="宋体" w:cs="宋体" w:eastAsia="宋体" w:hint="ascii"/>
          <w:sz w:val="21"/>
          <w:spacing w:val="-6"/>
        </w:rPr>
        <w:t>化</w:t>
      </w:r>
      <w:r>
        <w:rPr>
          <w:rFonts w:ascii="宋体" w:hAnsi="宋体" w:cs="宋体" w:eastAsia="宋体" w:hint="ascii"/>
          <w:sz w:val="21"/>
        </w:rPr>
        <w:t xml:space="preserve"> 学，这些体系涉及固体表面、气</w:t>
      </w:r>
      <w:r>
        <w:rPr>
          <w:rFonts w:ascii="宋体" w:hAnsi="宋体" w:cs="宋体" w:eastAsia="宋体" w:hint="ascii"/>
          <w:sz w:val="21"/>
        </w:rPr>
        <w:t>-</w:t>
      </w:r>
      <w:r>
        <w:rPr>
          <w:rFonts w:ascii="宋体" w:hAnsi="宋体" w:cs="宋体" w:eastAsia="宋体" w:hint="ascii"/>
          <w:sz w:val="21"/>
        </w:rPr>
        <w:t>固界面、气</w:t>
      </w:r>
      <w:r>
        <w:rPr>
          <w:rFonts w:ascii="宋体" w:hAnsi="宋体" w:cs="宋体" w:eastAsia="宋体" w:hint="ascii"/>
          <w:sz w:val="21"/>
        </w:rPr>
        <w:t>-</w:t>
      </w:r>
      <w:r>
        <w:rPr>
          <w:rFonts w:ascii="宋体" w:hAnsi="宋体" w:cs="宋体" w:eastAsia="宋体" w:hint="ascii"/>
          <w:sz w:val="21"/>
        </w:rPr>
        <w:t>液界面、液</w:t>
      </w:r>
      <w:r>
        <w:rPr>
          <w:rFonts w:ascii="宋体" w:hAnsi="宋体" w:cs="宋体" w:eastAsia="宋体" w:hint="ascii"/>
          <w:sz w:val="21"/>
        </w:rPr>
        <w:t>-</w:t>
      </w:r>
      <w:r>
        <w:rPr>
          <w:rFonts w:ascii="宋体" w:hAnsi="宋体" w:cs="宋体" w:eastAsia="宋体" w:hint="ascii"/>
          <w:sz w:val="21"/>
        </w:rPr>
        <w:t>液界面、液</w:t>
      </w:r>
      <w:r>
        <w:rPr>
          <w:rFonts w:ascii="宋体" w:hAnsi="宋体" w:cs="宋体" w:eastAsia="宋体" w:hint="ascii"/>
          <w:sz w:val="21"/>
        </w:rPr>
        <w:t>-</w:t>
      </w:r>
      <w:r>
        <w:rPr>
          <w:rFonts w:ascii="宋体" w:hAnsi="宋体" w:cs="宋体" w:eastAsia="宋体" w:hint="ascii"/>
          <w:sz w:val="21"/>
        </w:rPr>
        <w:t>固界面、固</w:t>
      </w:r>
      <w:r>
        <w:rPr>
          <w:rFonts w:ascii="宋体" w:hAnsi="宋体" w:cs="宋体" w:eastAsia="宋体" w:hint="ascii"/>
          <w:sz w:val="21"/>
        </w:rPr>
        <w:t>-</w:t>
      </w:r>
      <w:r>
        <w:rPr>
          <w:rFonts w:ascii="宋体" w:hAnsi="宋体" w:cs="宋体" w:eastAsia="宋体" w:hint="ascii"/>
          <w:sz w:val="21"/>
        </w:rPr>
        <w:t>固界面及气</w:t>
      </w:r>
      <w:r>
        <w:rPr>
          <w:rFonts w:ascii="宋体" w:hAnsi="宋体" w:cs="宋体" w:eastAsia="宋体" w:hint="ascii"/>
          <w:sz w:val="21"/>
        </w:rPr>
        <w:t>-</w:t>
      </w:r>
      <w:r>
        <w:rPr>
          <w:rFonts w:ascii="宋体" w:hAnsi="宋体" w:cs="宋体" w:eastAsia="宋体" w:hint="ascii"/>
          <w:sz w:val="21"/>
        </w:rPr>
        <w:t>液</w:t>
      </w:r>
      <w:r>
        <w:rPr>
          <w:rFonts w:ascii="宋体" w:hAnsi="宋体" w:cs="宋体" w:eastAsia="宋体" w:hint="ascii"/>
          <w:sz w:val="21"/>
        </w:rPr>
        <w:t>-</w:t>
      </w:r>
      <w:r>
        <w:rPr>
          <w:rFonts w:ascii="宋体" w:hAnsi="宋体" w:cs="宋体" w:eastAsia="宋体" w:hint="ascii"/>
          <w:sz w:val="21"/>
        </w:rPr>
        <w:t>固多相界面。</w:t>
      </w:r>
    </w:p>
    <w:p>
      <w:pPr>
        <w:autoSpaceDE w:val="0"/>
        <w:autoSpaceDN w:val="0"/>
        <w:jc w:val="both"/>
        <w:spacing w:before="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催化化</w:t>
      </w:r>
      <w:r>
        <w:rPr>
          <w:rFonts w:ascii="宋体" w:hAnsi="宋体" w:cs="宋体" w:eastAsia="宋体" w:hint="ascii"/>
          <w:sz w:val="21"/>
        </w:rPr>
        <w:t>学重点支</w:t>
      </w:r>
      <w:r>
        <w:rPr>
          <w:rFonts w:ascii="宋体" w:hAnsi="宋体" w:cs="宋体" w:eastAsia="宋体" w:hint="ascii"/>
          <w:sz w:val="21"/>
          <w:spacing w:val="1"/>
        </w:rPr>
        <w:t>持</w:t>
      </w:r>
      <w:r>
        <w:rPr>
          <w:rFonts w:ascii="宋体" w:hAnsi="宋体" w:cs="宋体" w:eastAsia="宋体" w:hint="ascii"/>
          <w:sz w:val="21"/>
        </w:rPr>
        <w:t>发展催化</w:t>
      </w:r>
      <w:r>
        <w:rPr>
          <w:rFonts w:ascii="宋体" w:hAnsi="宋体" w:cs="宋体" w:eastAsia="宋体" w:hint="ascii"/>
          <w:sz w:val="21"/>
          <w:spacing w:val="1"/>
        </w:rPr>
        <w:t>新</w:t>
      </w:r>
      <w:r>
        <w:rPr>
          <w:rFonts w:ascii="宋体" w:hAnsi="宋体" w:cs="宋体" w:eastAsia="宋体" w:hint="ascii"/>
          <w:sz w:val="21"/>
        </w:rPr>
        <w:t>理论和新</w:t>
      </w:r>
      <w:r>
        <w:rPr>
          <w:rFonts w:ascii="宋体" w:hAnsi="宋体" w:cs="宋体" w:eastAsia="宋体" w:hint="ascii"/>
          <w:sz w:val="21"/>
          <w:spacing w:val="1"/>
        </w:rPr>
        <w:t>概</w:t>
      </w:r>
      <w:r>
        <w:rPr>
          <w:rFonts w:ascii="宋体" w:hAnsi="宋体" w:cs="宋体" w:eastAsia="宋体" w:hint="ascii"/>
          <w:sz w:val="21"/>
        </w:rPr>
        <w:t>念，创制</w:t>
      </w:r>
      <w:r>
        <w:rPr>
          <w:rFonts w:ascii="宋体" w:hAnsi="宋体" w:cs="宋体" w:eastAsia="宋体" w:hint="ascii"/>
          <w:sz w:val="21"/>
          <w:spacing w:val="1"/>
        </w:rPr>
        <w:t>具</w:t>
      </w:r>
      <w:r>
        <w:rPr>
          <w:rFonts w:ascii="宋体" w:hAnsi="宋体" w:cs="宋体" w:eastAsia="宋体" w:hint="ascii"/>
          <w:sz w:val="21"/>
        </w:rPr>
        <w:t>有特定功</w:t>
      </w:r>
      <w:r>
        <w:rPr>
          <w:rFonts w:ascii="宋体" w:hAnsi="宋体" w:cs="宋体" w:eastAsia="宋体" w:hint="ascii"/>
          <w:sz w:val="21"/>
          <w:spacing w:val="1"/>
        </w:rPr>
        <w:t>能</w:t>
      </w:r>
      <w:r>
        <w:rPr>
          <w:rFonts w:ascii="宋体" w:hAnsi="宋体" w:cs="宋体" w:eastAsia="宋体" w:hint="ascii"/>
          <w:sz w:val="21"/>
        </w:rPr>
        <w:t>的新催化</w:t>
      </w:r>
      <w:r>
        <w:rPr>
          <w:rFonts w:ascii="宋体" w:hAnsi="宋体" w:cs="宋体" w:eastAsia="宋体" w:hint="ascii"/>
          <w:sz w:val="21"/>
          <w:spacing w:val="1"/>
        </w:rPr>
        <w:t>剂</w:t>
      </w:r>
      <w:r>
        <w:rPr>
          <w:rFonts w:ascii="宋体" w:hAnsi="宋体" w:cs="宋体" w:eastAsia="宋体" w:hint="ascii"/>
          <w:sz w:val="21"/>
        </w:rPr>
        <w:t>和</w:t>
      </w:r>
      <w:r>
        <w:rPr>
          <w:rFonts w:ascii="宋体" w:hAnsi="宋体" w:cs="宋体" w:eastAsia="宋体" w:hint="ascii"/>
          <w:sz w:val="21"/>
          <w:spacing w:val="-6"/>
        </w:rPr>
        <w:t>体</w:t>
      </w:r>
      <w:r>
        <w:rPr>
          <w:rFonts w:ascii="宋体" w:hAnsi="宋体" w:cs="宋体" w:eastAsia="宋体" w:hint="ascii"/>
          <w:sz w:val="21"/>
          <w:spacing w:val="1"/>
        </w:rPr>
        <w:t>系，注重多相、均相和</w:t>
      </w:r>
      <w:r>
        <w:rPr>
          <w:rFonts w:ascii="宋体" w:hAnsi="宋体" w:cs="宋体" w:eastAsia="宋体" w:hint="ascii"/>
          <w:sz w:val="21"/>
        </w:rPr>
        <w:t>仿生催化的交叉和融合；加强催化活性位的结构设计和调控</w:t>
      </w:r>
      <w:r>
        <w:rPr>
          <w:rFonts w:ascii="宋体" w:hAnsi="宋体" w:cs="宋体" w:eastAsia="宋体" w:hint="ascii"/>
          <w:sz w:val="21"/>
          <w:spacing w:val="-6"/>
        </w:rPr>
        <w:t>研</w:t>
      </w:r>
      <w:r>
        <w:rPr>
          <w:rFonts w:ascii="宋体" w:hAnsi="宋体" w:cs="宋体" w:eastAsia="宋体" w:hint="ascii"/>
          <w:sz w:val="21"/>
          <w:spacing w:val="-1"/>
        </w:rPr>
        <w:t>究，以及</w:t>
      </w:r>
      <w:r>
        <w:rPr>
          <w:rFonts w:ascii="宋体" w:hAnsi="宋体" w:cs="宋体" w:eastAsia="宋体" w:hint="ascii"/>
          <w:sz w:val="21"/>
        </w:rPr>
        <w:t>发展原位、动态、高时空分辨的催化表征新方法与新技术；注重催化反应过程的耦合和功能集成。</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表面化学主要支持与固体表界面相关的化学和物理过程，以及其表征技术和方法。</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鼓励的研</w:t>
      </w:r>
      <w:r>
        <w:rPr>
          <w:rFonts w:ascii="宋体" w:hAnsi="宋体" w:cs="宋体" w:eastAsia="宋体" w:hint="ascii"/>
          <w:sz w:val="21"/>
        </w:rPr>
        <w:t>究方向包括固体表界面结构、性能与调控，表界面反应过程动态学与能量传递原理，以及表界面物理化学过程研究新方法。</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胶体与界面化学鼓励利用理论化学与先进实验技术，深化对胶体与界面体系本质的</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认识。重</w:t>
      </w:r>
      <w:r>
        <w:rPr>
          <w:rFonts w:ascii="宋体" w:hAnsi="宋体" w:cs="宋体" w:eastAsia="宋体" w:hint="ascii"/>
          <w:sz w:val="21"/>
        </w:rPr>
        <w:t>视新型表面活性剂、分散体系和纳米颗粒的设计与构筑，深入理解界面吸附与</w:t>
      </w:r>
      <w:r>
        <w:rPr>
          <w:rFonts w:ascii="宋体" w:hAnsi="宋体" w:cs="宋体" w:eastAsia="宋体" w:hint="ascii"/>
          <w:sz w:val="21"/>
          <w:spacing w:val="-1"/>
        </w:rPr>
        <w:t>组装和浸</w:t>
      </w:r>
      <w:r>
        <w:rPr>
          <w:rFonts w:ascii="宋体" w:hAnsi="宋体" w:cs="宋体" w:eastAsia="宋体" w:hint="ascii"/>
          <w:sz w:val="21"/>
        </w:rPr>
        <w:t>润行为；构筑具有自修复、外场响应性的胶体体系；加强石油开采、食品、日用化工、生命科学及环境治理等领域中胶体化学的基础研究。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电化学领域申请的项目须注重电化学基础和理论，以及电化学界面的构筑和表征。</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发展现场</w:t>
      </w:r>
      <w:r>
        <w:rPr>
          <w:rFonts w:ascii="宋体" w:hAnsi="宋体" w:cs="宋体" w:eastAsia="宋体" w:hint="ascii"/>
          <w:sz w:val="21"/>
        </w:rPr>
        <w:t>原位的谱学电化学新方法，从微观和分子水平认识复杂界面中的电子转移、离</w:t>
      </w:r>
      <w:r>
        <w:rPr>
          <w:rFonts w:ascii="宋体" w:hAnsi="宋体" w:cs="宋体" w:eastAsia="宋体" w:hint="ascii"/>
          <w:sz w:val="21"/>
          <w:spacing w:val="-1"/>
        </w:rPr>
        <w:t>子输运和</w:t>
      </w:r>
      <w:r>
        <w:rPr>
          <w:rFonts w:ascii="宋体" w:hAnsi="宋体" w:cs="宋体" w:eastAsia="宋体" w:hint="ascii"/>
          <w:sz w:val="21"/>
        </w:rPr>
        <w:t>分子转化过程；结合理论计算，设计和筛选电催化剂，揭示其构效关系，提高</w:t>
      </w:r>
      <w:r>
        <w:rPr>
          <w:rFonts w:ascii="宋体" w:hAnsi="宋体" w:cs="宋体" w:eastAsia="宋体" w:hint="ascii"/>
          <w:sz w:val="21"/>
          <w:spacing w:val="-1"/>
        </w:rPr>
        <w:t>电催化效</w:t>
      </w:r>
      <w:r>
        <w:rPr>
          <w:rFonts w:ascii="宋体" w:hAnsi="宋体" w:cs="宋体" w:eastAsia="宋体" w:hint="ascii"/>
          <w:sz w:val="21"/>
        </w:rPr>
        <w:t>率；关注各类电化学能量转化与储存器件、电化学加工与表面修饰、生物电化学等基础科学问题。</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528" w:after="0" w:lineRule="exact" w:line="363"/>
        <w:ind w:right="0" w:left="3940" w:firstLine="0"/>
        <w:snapToGrid w:val="0"/>
        <w:textAlignment w:val="auto"/>
        <w:tabs/>
        <w:rPr>
          <w:rFonts w:ascii="宋体" w:hAnsi="宋体" w:cs="宋体" w:eastAsia="宋体" w:hint="ascii"/>
          <w:sz w:val="29"/>
        </w:rPr>
      </w:pPr>
      <w:r>
        <w:rPr>
          <w:rFonts w:ascii="宋体" w:hAnsi="宋体" w:cs="宋体" w:eastAsia="宋体" w:hint="ascii"/>
          <w:sz w:val="29"/>
        </w:rPr>
        <w:t>化学理论与机制</w:t>
      </w:r>
      <w:r>
        <w:rPr>
          <w:rFonts w:ascii="宋体" w:hAnsi="宋体" w:cs="宋体" w:eastAsia="宋体" w:hint="ascii"/>
          <w:sz w:val="29"/>
        </w:rPr>
        <mc:AlternateContent>
          <mc:Choice Requires="wps">
            <w:drawing>
              <wp:anchor distL="0" distR="0" distT="0" distB="0" simplePos="0" behindDoc="1" relativeHeight="75" locked="0" layoutInCell="1" allowOverlap="1">
                <wp:simplePos x="0" y="0"/>
                <wp:positionH relativeFrom="page">
                  <wp:posOffset>938530</wp:posOffset>
                </wp:positionH>
                <wp:positionV relativeFrom="page">
                  <wp:posOffset>819150</wp:posOffset>
                </wp:positionV>
                <wp:extent cx="5076190" cy="0"/>
                <wp:wrapNone/>
                <wp:docPr id="1102" name="110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81440;width:399.70pt;" id="110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301"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化学理论与机</w:t>
      </w:r>
      <w:r>
        <w:rPr>
          <w:rFonts w:ascii="宋体" w:hAnsi="宋体" w:cs="宋体" w:eastAsia="宋体" w:hint="ascii"/>
          <w:sz w:val="21"/>
        </w:rPr>
        <w:t>制旨在建立和发展新的化学理论和实验方法，揭示化学反应及其相关过程的机制和基本规律。</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化学理论与机制支持的研究领域主要包括理论与计算</w:t>
      </w:r>
      <w:r>
        <w:rPr>
          <w:rFonts w:ascii="宋体" w:hAnsi="宋体" w:cs="宋体" w:eastAsia="宋体" w:hint="ascii"/>
          <w:sz w:val="21"/>
          <w:spacing w:val="-1"/>
        </w:rPr>
        <w:t>化学、化学热力学、化学动态</w:t>
      </w:r>
      <w:r>
        <w:rPr>
          <w:rFonts w:ascii="宋体" w:hAnsi="宋体" w:cs="宋体" w:eastAsia="宋体" w:hint="ascii"/>
          <w:sz w:val="21"/>
        </w:rPr>
        <w:t xml:space="preserve"> </w:t>
      </w:r>
      <w:r>
        <w:rPr>
          <w:rFonts w:ascii="宋体" w:hAnsi="宋体" w:cs="宋体" w:eastAsia="宋体" w:hint="ascii"/>
          <w:sz w:val="21"/>
          <w:spacing w:val="-1"/>
        </w:rPr>
        <w:t>学、结构化学</w:t>
      </w:r>
      <w:r>
        <w:rPr>
          <w:rFonts w:ascii="宋体" w:hAnsi="宋体" w:cs="宋体" w:eastAsia="宋体" w:hint="ascii"/>
          <w:sz w:val="21"/>
        </w:rPr>
        <w:t>、光化学与光谱学、化学反应机制、高分子物理与高分子物理化学，以及化学信息学。</w:t>
      </w:r>
    </w:p>
    <w:p>
      <w:pPr>
        <w:autoSpaceDE w:val="0"/>
        <w:autoSpaceDN w:val="0"/>
        <w:jc w:val="left"/>
        <w:spacing w:before="40" w:after="0" w:lineRule="exact" w:line="263"/>
        <w:ind w:right="0" w:left="1370" w:firstLine="0"/>
        <w:snapToGrid w:val="0"/>
        <w:textAlignment w:val="auto"/>
        <w:tabs/>
        <w:rPr>
          <w:rFonts w:ascii="宋体" w:hAnsi="宋体" w:cs="宋体" w:eastAsia="宋体" w:hint="ascii"/>
          <w:sz w:val="21"/>
        </w:rPr>
      </w:pPr>
      <w:r>
        <w:rPr>
          <w:rFonts w:ascii="宋体" w:hAnsi="宋体" w:cs="宋体" w:eastAsia="宋体" w:hint="ascii"/>
          <w:sz w:val="21"/>
          <w:spacing w:val="-2"/>
        </w:rPr>
        <w:t>理论与计</w:t>
      </w:r>
      <w:r>
        <w:rPr>
          <w:rFonts w:ascii="宋体" w:hAnsi="宋体" w:cs="宋体" w:eastAsia="宋体" w:hint="ascii"/>
          <w:sz w:val="21"/>
          <w:spacing w:val="-3"/>
        </w:rPr>
        <w:t>算</w:t>
      </w:r>
      <w:r>
        <w:rPr>
          <w:rFonts w:ascii="宋体" w:hAnsi="宋体" w:cs="宋体" w:eastAsia="宋体" w:hint="ascii"/>
          <w:sz w:val="21"/>
          <w:spacing w:val="-2"/>
        </w:rPr>
        <w:t>化学项目</w:t>
      </w:r>
      <w:r>
        <w:rPr>
          <w:rFonts w:ascii="宋体" w:hAnsi="宋体" w:cs="宋体" w:eastAsia="宋体" w:hint="ascii"/>
          <w:sz w:val="21"/>
          <w:spacing w:val="-3"/>
        </w:rPr>
        <w:t>须</w:t>
      </w:r>
      <w:r>
        <w:rPr>
          <w:rFonts w:ascii="宋体" w:hAnsi="宋体" w:cs="宋体" w:eastAsia="宋体" w:hint="ascii"/>
          <w:sz w:val="21"/>
          <w:spacing w:val="-2"/>
        </w:rPr>
        <w:t>重点关注</w:t>
      </w:r>
      <w:r>
        <w:rPr>
          <w:rFonts w:ascii="宋体" w:hAnsi="宋体" w:cs="宋体" w:eastAsia="宋体" w:hint="ascii"/>
          <w:sz w:val="21"/>
          <w:spacing w:val="-3"/>
        </w:rPr>
        <w:t>发</w:t>
      </w:r>
      <w:r>
        <w:rPr>
          <w:rFonts w:ascii="宋体" w:hAnsi="宋体" w:cs="宋体" w:eastAsia="宋体" w:hint="ascii"/>
          <w:sz w:val="21"/>
          <w:spacing w:val="-2"/>
        </w:rPr>
        <w:t>展新的理</w:t>
      </w:r>
      <w:r>
        <w:rPr>
          <w:rFonts w:ascii="宋体" w:hAnsi="宋体" w:cs="宋体" w:eastAsia="宋体" w:hint="ascii"/>
          <w:sz w:val="21"/>
          <w:spacing w:val="-3"/>
        </w:rPr>
        <w:t>论</w:t>
      </w:r>
      <w:r>
        <w:rPr>
          <w:rFonts w:ascii="宋体" w:hAnsi="宋体" w:cs="宋体" w:eastAsia="宋体" w:hint="ascii"/>
          <w:sz w:val="21"/>
          <w:spacing w:val="-2"/>
        </w:rPr>
        <w:t>与计算方</w:t>
      </w:r>
      <w:r>
        <w:rPr>
          <w:rFonts w:ascii="宋体" w:hAnsi="宋体" w:cs="宋体" w:eastAsia="宋体" w:hint="ascii"/>
          <w:sz w:val="21"/>
          <w:spacing w:val="-3"/>
        </w:rPr>
        <w:t>法</w:t>
      </w:r>
      <w:r>
        <w:rPr>
          <w:rFonts w:ascii="宋体" w:hAnsi="宋体" w:cs="宋体" w:eastAsia="宋体" w:hint="ascii"/>
          <w:sz w:val="21"/>
          <w:spacing w:val="-2"/>
        </w:rPr>
        <w:t>及其在实</w:t>
      </w:r>
      <w:r>
        <w:rPr>
          <w:rFonts w:ascii="宋体" w:hAnsi="宋体" w:cs="宋体" w:eastAsia="宋体" w:hint="ascii"/>
          <w:sz w:val="21"/>
          <w:spacing w:val="-3"/>
        </w:rPr>
        <w:t>际</w:t>
      </w:r>
      <w:r>
        <w:rPr>
          <w:rFonts w:ascii="宋体" w:hAnsi="宋体" w:cs="宋体" w:eastAsia="宋体" w:hint="ascii"/>
          <w:sz w:val="21"/>
          <w:spacing w:val="-2"/>
        </w:rPr>
        <w:t>体系中的</w:t>
      </w:r>
      <w:r>
        <w:rPr>
          <w:rFonts w:ascii="宋体" w:hAnsi="宋体" w:cs="宋体" w:eastAsia="宋体" w:hint="ascii"/>
          <w:sz w:val="21"/>
          <w:spacing w:val="-3"/>
        </w:rPr>
        <w:t>应用</w:t>
      </w:r>
      <w:r>
        <w:rPr>
          <w:rFonts w:ascii="宋体" w:hAnsi="宋体" w:cs="宋体" w:eastAsia="宋体" w:hint="ascii"/>
          <w:sz w:val="21"/>
        </w:rPr>
        <w:t>。</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特别</w:t>
      </w:r>
      <w:r>
        <w:rPr>
          <w:rFonts w:ascii="宋体" w:hAnsi="宋体" w:cs="宋体" w:eastAsia="宋体" w:hint="ascii"/>
          <w:sz w:val="21"/>
          <w:spacing w:val="-3"/>
        </w:rPr>
        <w:t>是</w:t>
      </w:r>
      <w:r>
        <w:rPr>
          <w:rFonts w:ascii="宋体" w:hAnsi="宋体" w:cs="宋体" w:eastAsia="宋体" w:hint="ascii"/>
          <w:sz w:val="21"/>
          <w:spacing w:val="-2"/>
        </w:rPr>
        <w:t>要</w:t>
      </w:r>
      <w:r>
        <w:rPr>
          <w:rFonts w:ascii="宋体" w:hAnsi="宋体" w:cs="宋体" w:eastAsia="宋体" w:hint="ascii"/>
          <w:sz w:val="21"/>
          <w:spacing w:val="-3"/>
        </w:rPr>
        <w:t>发</w:t>
      </w:r>
      <w:r>
        <w:rPr>
          <w:rFonts w:ascii="宋体" w:hAnsi="宋体" w:cs="宋体" w:eastAsia="宋体" w:hint="ascii"/>
          <w:sz w:val="21"/>
          <w:spacing w:val="-2"/>
        </w:rPr>
        <w:t>展：</w:t>
      </w:r>
      <w:r>
        <w:rPr>
          <w:rFonts w:ascii="宋体" w:hAnsi="宋体" w:cs="宋体" w:eastAsia="宋体" w:hint="ascii"/>
          <w:sz w:val="21"/>
          <w:spacing w:val="-3"/>
        </w:rPr>
        <w:t>电</w:t>
      </w:r>
      <w:r>
        <w:rPr>
          <w:rFonts w:ascii="宋体" w:hAnsi="宋体" w:cs="宋体" w:eastAsia="宋体" w:hint="ascii"/>
          <w:sz w:val="21"/>
          <w:spacing w:val="-2"/>
        </w:rPr>
        <w:t>子</w:t>
      </w:r>
      <w:r>
        <w:rPr>
          <w:rFonts w:ascii="宋体" w:hAnsi="宋体" w:cs="宋体" w:eastAsia="宋体" w:hint="ascii"/>
          <w:sz w:val="21"/>
          <w:spacing w:val="-3"/>
        </w:rPr>
        <w:t>相</w:t>
      </w:r>
      <w:r>
        <w:rPr>
          <w:rFonts w:ascii="宋体" w:hAnsi="宋体" w:cs="宋体" w:eastAsia="宋体" w:hint="ascii"/>
          <w:sz w:val="21"/>
          <w:spacing w:val="-2"/>
        </w:rPr>
        <w:t>关方</w:t>
      </w:r>
      <w:r>
        <w:rPr>
          <w:rFonts w:ascii="宋体" w:hAnsi="宋体" w:cs="宋体" w:eastAsia="宋体" w:hint="ascii"/>
          <w:sz w:val="21"/>
          <w:spacing w:val="-3"/>
        </w:rPr>
        <w:t>法</w:t>
      </w:r>
      <w:r>
        <w:rPr>
          <w:rFonts w:ascii="宋体" w:hAnsi="宋体" w:cs="宋体" w:eastAsia="宋体" w:hint="ascii"/>
          <w:sz w:val="21"/>
          <w:spacing w:val="-2"/>
        </w:rPr>
        <w:t>及</w:t>
      </w:r>
      <w:r>
        <w:rPr>
          <w:rFonts w:ascii="宋体" w:hAnsi="宋体" w:cs="宋体" w:eastAsia="宋体" w:hint="ascii"/>
          <w:sz w:val="21"/>
          <w:spacing w:val="-3"/>
        </w:rPr>
        <w:t>激</w:t>
      </w:r>
      <w:r>
        <w:rPr>
          <w:rFonts w:ascii="宋体" w:hAnsi="宋体" w:cs="宋体" w:eastAsia="宋体" w:hint="ascii"/>
          <w:sz w:val="21"/>
          <w:spacing w:val="-2"/>
        </w:rPr>
        <w:t>发态</w:t>
      </w:r>
      <w:r>
        <w:rPr>
          <w:rFonts w:ascii="宋体" w:hAnsi="宋体" w:cs="宋体" w:eastAsia="宋体" w:hint="ascii"/>
          <w:sz w:val="21"/>
          <w:spacing w:val="-3"/>
        </w:rPr>
        <w:t>的</w:t>
      </w:r>
      <w:r>
        <w:rPr>
          <w:rFonts w:ascii="宋体" w:hAnsi="宋体" w:cs="宋体" w:eastAsia="宋体" w:hint="ascii"/>
          <w:sz w:val="21"/>
          <w:spacing w:val="-2"/>
        </w:rPr>
        <w:t>电</w:t>
      </w:r>
      <w:r>
        <w:rPr>
          <w:rFonts w:ascii="宋体" w:hAnsi="宋体" w:cs="宋体" w:eastAsia="宋体" w:hint="ascii"/>
          <w:sz w:val="21"/>
          <w:spacing w:val="-3"/>
        </w:rPr>
        <w:t>子</w:t>
      </w:r>
      <w:r>
        <w:rPr>
          <w:rFonts w:ascii="宋体" w:hAnsi="宋体" w:cs="宋体" w:eastAsia="宋体" w:hint="ascii"/>
          <w:sz w:val="21"/>
          <w:spacing w:val="-2"/>
        </w:rPr>
        <w:t>结构</w:t>
      </w:r>
      <w:r>
        <w:rPr>
          <w:rFonts w:ascii="宋体" w:hAnsi="宋体" w:cs="宋体" w:eastAsia="宋体" w:hint="ascii"/>
          <w:sz w:val="21"/>
          <w:spacing w:val="-3"/>
        </w:rPr>
        <w:t>理</w:t>
      </w:r>
      <w:r>
        <w:rPr>
          <w:rFonts w:ascii="宋体" w:hAnsi="宋体" w:cs="宋体" w:eastAsia="宋体" w:hint="ascii"/>
          <w:sz w:val="21"/>
          <w:spacing w:val="-2"/>
        </w:rPr>
        <w:t>论</w:t>
      </w:r>
      <w:r>
        <w:rPr>
          <w:rFonts w:ascii="宋体" w:hAnsi="宋体" w:cs="宋体" w:eastAsia="宋体" w:hint="ascii"/>
          <w:sz w:val="21"/>
          <w:spacing w:val="-3"/>
        </w:rPr>
        <w:t>，</w:t>
      </w:r>
      <w:r>
        <w:rPr>
          <w:rFonts w:ascii="宋体" w:hAnsi="宋体" w:cs="宋体" w:eastAsia="宋体" w:hint="ascii"/>
          <w:sz w:val="21"/>
          <w:spacing w:val="-2"/>
        </w:rPr>
        <w:t>针对</w:t>
      </w:r>
      <w:r>
        <w:rPr>
          <w:rFonts w:ascii="宋体" w:hAnsi="宋体" w:cs="宋体" w:eastAsia="宋体" w:hint="ascii"/>
          <w:sz w:val="21"/>
          <w:spacing w:val="-3"/>
        </w:rPr>
        <w:t>大</w:t>
      </w:r>
      <w:r>
        <w:rPr>
          <w:rFonts w:ascii="宋体" w:hAnsi="宋体" w:cs="宋体" w:eastAsia="宋体" w:hint="ascii"/>
          <w:sz w:val="21"/>
          <w:spacing w:val="-2"/>
        </w:rPr>
        <w:t>分</w:t>
      </w:r>
      <w:r>
        <w:rPr>
          <w:rFonts w:ascii="宋体" w:hAnsi="宋体" w:cs="宋体" w:eastAsia="宋体" w:hint="ascii"/>
          <w:sz w:val="21"/>
          <w:spacing w:val="-3"/>
        </w:rPr>
        <w:t>子</w:t>
      </w:r>
      <w:r>
        <w:rPr>
          <w:rFonts w:ascii="宋体" w:hAnsi="宋体" w:cs="宋体" w:eastAsia="宋体" w:hint="ascii"/>
          <w:sz w:val="21"/>
          <w:spacing w:val="-2"/>
        </w:rPr>
        <w:t>和凝</w:t>
      </w:r>
      <w:r>
        <w:rPr>
          <w:rFonts w:ascii="宋体" w:hAnsi="宋体" w:cs="宋体" w:eastAsia="宋体" w:hint="ascii"/>
          <w:sz w:val="21"/>
          <w:spacing w:val="-3"/>
        </w:rPr>
        <w:t>聚</w:t>
      </w:r>
      <w:r>
        <w:rPr>
          <w:rFonts w:ascii="宋体" w:hAnsi="宋体" w:cs="宋体" w:eastAsia="宋体" w:hint="ascii"/>
          <w:sz w:val="21"/>
          <w:spacing w:val="-2"/>
        </w:rPr>
        <w:t>相</w:t>
      </w:r>
      <w:r>
        <w:rPr>
          <w:rFonts w:ascii="宋体" w:hAnsi="宋体" w:cs="宋体" w:eastAsia="宋体" w:hint="ascii"/>
          <w:sz w:val="21"/>
          <w:spacing w:val="-3"/>
        </w:rPr>
        <w:t>体系</w:t>
      </w:r>
      <w:r>
        <w:rPr>
          <w:rFonts w:ascii="宋体" w:hAnsi="宋体" w:cs="宋体" w:eastAsia="宋体" w:hint="ascii"/>
          <w:sz w:val="21"/>
          <w:spacing w:val="-2"/>
        </w:rPr>
        <w:t>的</w:t>
      </w:r>
      <w:r>
        <w:rPr>
          <w:rFonts w:ascii="宋体" w:hAnsi="宋体" w:cs="宋体" w:eastAsia="宋体" w:hint="ascii"/>
          <w:sz w:val="21"/>
          <w:spacing w:val="-3"/>
        </w:rPr>
        <w:t>低</w:t>
      </w:r>
      <w:r>
        <w:rPr>
          <w:rFonts w:ascii="宋体" w:hAnsi="宋体" w:cs="宋体" w:eastAsia="宋体" w:hint="ascii"/>
          <w:sz w:val="21"/>
        </w:rPr>
        <w:t>标</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度有</w:t>
      </w:r>
      <w:r>
        <w:rPr>
          <w:rFonts w:ascii="宋体" w:hAnsi="宋体" w:cs="宋体" w:eastAsia="宋体" w:hint="ascii"/>
          <w:sz w:val="21"/>
          <w:spacing w:val="-3"/>
        </w:rPr>
        <w:t>效</w:t>
      </w:r>
      <w:r>
        <w:rPr>
          <w:rFonts w:ascii="宋体" w:hAnsi="宋体" w:cs="宋体" w:eastAsia="宋体" w:hint="ascii"/>
          <w:sz w:val="21"/>
          <w:spacing w:val="-2"/>
        </w:rPr>
        <w:t>算</w:t>
      </w:r>
      <w:r>
        <w:rPr>
          <w:rFonts w:ascii="宋体" w:hAnsi="宋体" w:cs="宋体" w:eastAsia="宋体" w:hint="ascii"/>
          <w:sz w:val="21"/>
          <w:spacing w:val="-3"/>
        </w:rPr>
        <w:t>法</w:t>
      </w:r>
      <w:r>
        <w:rPr>
          <w:rFonts w:ascii="宋体" w:hAnsi="宋体" w:cs="宋体" w:eastAsia="宋体" w:hint="ascii"/>
          <w:sz w:val="21"/>
          <w:spacing w:val="-2"/>
        </w:rPr>
        <w:t>，针</w:t>
      </w:r>
      <w:r>
        <w:rPr>
          <w:rFonts w:ascii="宋体" w:hAnsi="宋体" w:cs="宋体" w:eastAsia="宋体" w:hint="ascii"/>
          <w:sz w:val="21"/>
          <w:spacing w:val="-3"/>
        </w:rPr>
        <w:t>对</w:t>
      </w:r>
      <w:r>
        <w:rPr>
          <w:rFonts w:ascii="宋体" w:hAnsi="宋体" w:cs="宋体" w:eastAsia="宋体" w:hint="ascii"/>
          <w:sz w:val="21"/>
          <w:spacing w:val="-2"/>
        </w:rPr>
        <w:t>复</w:t>
      </w:r>
      <w:r>
        <w:rPr>
          <w:rFonts w:ascii="宋体" w:hAnsi="宋体" w:cs="宋体" w:eastAsia="宋体" w:hint="ascii"/>
          <w:sz w:val="21"/>
          <w:spacing w:val="-3"/>
        </w:rPr>
        <w:t>杂</w:t>
      </w:r>
      <w:r>
        <w:rPr>
          <w:rFonts w:ascii="宋体" w:hAnsi="宋体" w:cs="宋体" w:eastAsia="宋体" w:hint="ascii"/>
          <w:sz w:val="21"/>
          <w:spacing w:val="-2"/>
        </w:rPr>
        <w:t>体系</w:t>
      </w:r>
      <w:r>
        <w:rPr>
          <w:rFonts w:ascii="宋体" w:hAnsi="宋体" w:cs="宋体" w:eastAsia="宋体" w:hint="ascii"/>
          <w:sz w:val="21"/>
          <w:spacing w:val="-3"/>
        </w:rPr>
        <w:t>的</w:t>
      </w:r>
      <w:r>
        <w:rPr>
          <w:rFonts w:ascii="宋体" w:hAnsi="宋体" w:cs="宋体" w:eastAsia="宋体" w:hint="ascii"/>
          <w:sz w:val="21"/>
          <w:spacing w:val="-2"/>
        </w:rPr>
        <w:t>多</w:t>
      </w:r>
      <w:r>
        <w:rPr>
          <w:rFonts w:ascii="宋体" w:hAnsi="宋体" w:cs="宋体" w:eastAsia="宋体" w:hint="ascii"/>
          <w:sz w:val="21"/>
          <w:spacing w:val="-3"/>
        </w:rPr>
        <w:t>尺</w:t>
      </w:r>
      <w:r>
        <w:rPr>
          <w:rFonts w:ascii="宋体" w:hAnsi="宋体" w:cs="宋体" w:eastAsia="宋体" w:hint="ascii"/>
          <w:sz w:val="21"/>
          <w:spacing w:val="-2"/>
        </w:rPr>
        <w:t>度和</w:t>
      </w:r>
      <w:r>
        <w:rPr>
          <w:rFonts w:ascii="宋体" w:hAnsi="宋体" w:cs="宋体" w:eastAsia="宋体" w:hint="ascii"/>
          <w:sz w:val="21"/>
          <w:spacing w:val="-3"/>
        </w:rPr>
        <w:t>非</w:t>
      </w:r>
      <w:r>
        <w:rPr>
          <w:rFonts w:ascii="宋体" w:hAnsi="宋体" w:cs="宋体" w:eastAsia="宋体" w:hint="ascii"/>
          <w:sz w:val="21"/>
          <w:spacing w:val="-2"/>
        </w:rPr>
        <w:t>绝</w:t>
      </w:r>
      <w:r>
        <w:rPr>
          <w:rFonts w:ascii="宋体" w:hAnsi="宋体" w:cs="宋体" w:eastAsia="宋体" w:hint="ascii"/>
          <w:sz w:val="21"/>
          <w:spacing w:val="-3"/>
        </w:rPr>
        <w:t>热</w:t>
      </w:r>
      <w:r>
        <w:rPr>
          <w:rFonts w:ascii="宋体" w:hAnsi="宋体" w:cs="宋体" w:eastAsia="宋体" w:hint="ascii"/>
          <w:sz w:val="21"/>
          <w:spacing w:val="-2"/>
        </w:rPr>
        <w:t>动力</w:t>
      </w:r>
      <w:r>
        <w:rPr>
          <w:rFonts w:ascii="宋体" w:hAnsi="宋体" w:cs="宋体" w:eastAsia="宋体" w:hint="ascii"/>
          <w:sz w:val="21"/>
          <w:spacing w:val="-3"/>
        </w:rPr>
        <w:t>学</w:t>
      </w:r>
      <w:r>
        <w:rPr>
          <w:rFonts w:ascii="宋体" w:hAnsi="宋体" w:cs="宋体" w:eastAsia="宋体" w:hint="ascii"/>
          <w:sz w:val="21"/>
          <w:spacing w:val="-2"/>
        </w:rPr>
        <w:t>理</w:t>
      </w:r>
      <w:r>
        <w:rPr>
          <w:rFonts w:ascii="宋体" w:hAnsi="宋体" w:cs="宋体" w:eastAsia="宋体" w:hint="ascii"/>
          <w:sz w:val="21"/>
          <w:spacing w:val="-3"/>
        </w:rPr>
        <w:t>论</w:t>
      </w:r>
      <w:r>
        <w:rPr>
          <w:rFonts w:ascii="宋体" w:hAnsi="宋体" w:cs="宋体" w:eastAsia="宋体" w:hint="ascii"/>
          <w:sz w:val="21"/>
          <w:spacing w:val="-2"/>
        </w:rPr>
        <w:t>，以</w:t>
      </w:r>
      <w:r>
        <w:rPr>
          <w:rFonts w:ascii="宋体" w:hAnsi="宋体" w:cs="宋体" w:eastAsia="宋体" w:hint="ascii"/>
          <w:sz w:val="21"/>
          <w:spacing w:val="-3"/>
        </w:rPr>
        <w:t>及</w:t>
      </w:r>
      <w:r>
        <w:rPr>
          <w:rFonts w:ascii="宋体" w:hAnsi="宋体" w:cs="宋体" w:eastAsia="宋体" w:hint="ascii"/>
          <w:sz w:val="21"/>
          <w:spacing w:val="-2"/>
        </w:rPr>
        <w:t>非</w:t>
      </w:r>
      <w:r>
        <w:rPr>
          <w:rFonts w:ascii="宋体" w:hAnsi="宋体" w:cs="宋体" w:eastAsia="宋体" w:hint="ascii"/>
          <w:sz w:val="21"/>
          <w:spacing w:val="-3"/>
        </w:rPr>
        <w:t>平</w:t>
      </w:r>
      <w:r>
        <w:rPr>
          <w:rFonts w:ascii="宋体" w:hAnsi="宋体" w:cs="宋体" w:eastAsia="宋体" w:hint="ascii"/>
          <w:sz w:val="21"/>
          <w:spacing w:val="-2"/>
        </w:rPr>
        <w:t>衡和</w:t>
      </w:r>
      <w:r>
        <w:rPr>
          <w:rFonts w:ascii="宋体" w:hAnsi="宋体" w:cs="宋体" w:eastAsia="宋体" w:hint="ascii"/>
          <w:sz w:val="21"/>
          <w:spacing w:val="-3"/>
        </w:rPr>
        <w:t>小</w:t>
      </w:r>
      <w:r>
        <w:rPr>
          <w:rFonts w:ascii="宋体" w:hAnsi="宋体" w:cs="宋体" w:eastAsia="宋体" w:hint="ascii"/>
          <w:sz w:val="21"/>
          <w:spacing w:val="-2"/>
        </w:rPr>
        <w:t>体</w:t>
      </w:r>
      <w:r>
        <w:rPr>
          <w:rFonts w:ascii="宋体" w:hAnsi="宋体" w:cs="宋体" w:eastAsia="宋体" w:hint="ascii"/>
          <w:sz w:val="21"/>
          <w:spacing w:val="-3"/>
        </w:rPr>
        <w:t>系的</w:t>
      </w:r>
      <w:r>
        <w:rPr>
          <w:rFonts w:ascii="宋体" w:hAnsi="宋体" w:cs="宋体" w:eastAsia="宋体" w:hint="ascii"/>
          <w:sz w:val="21"/>
          <w:spacing w:val="-2"/>
        </w:rPr>
        <w:t>统</w:t>
      </w:r>
      <w:r>
        <w:rPr>
          <w:rFonts w:ascii="宋体" w:hAnsi="宋体" w:cs="宋体" w:eastAsia="宋体" w:hint="ascii"/>
          <w:sz w:val="21"/>
          <w:spacing w:val="-3"/>
        </w:rPr>
        <w:t>计</w:t>
      </w:r>
      <w:r>
        <w:rPr>
          <w:rFonts w:ascii="宋体" w:hAnsi="宋体" w:cs="宋体" w:eastAsia="宋体" w:hint="ascii"/>
          <w:sz w:val="21"/>
        </w:rPr>
        <w:t>力</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学；</w:t>
      </w:r>
      <w:r>
        <w:rPr>
          <w:rFonts w:ascii="宋体" w:hAnsi="宋体" w:cs="宋体" w:eastAsia="宋体" w:hint="ascii"/>
          <w:sz w:val="21"/>
          <w:spacing w:val="-3"/>
        </w:rPr>
        <w:t>高</w:t>
      </w:r>
      <w:r>
        <w:rPr>
          <w:rFonts w:ascii="宋体" w:hAnsi="宋体" w:cs="宋体" w:eastAsia="宋体" w:hint="ascii"/>
          <w:sz w:val="21"/>
          <w:spacing w:val="-2"/>
        </w:rPr>
        <w:t>度</w:t>
      </w:r>
      <w:r>
        <w:rPr>
          <w:rFonts w:ascii="宋体" w:hAnsi="宋体" w:cs="宋体" w:eastAsia="宋体" w:hint="ascii"/>
          <w:sz w:val="21"/>
          <w:spacing w:val="-3"/>
        </w:rPr>
        <w:t>重</w:t>
      </w:r>
      <w:r>
        <w:rPr>
          <w:rFonts w:ascii="宋体" w:hAnsi="宋体" w:cs="宋体" w:eastAsia="宋体" w:hint="ascii"/>
          <w:sz w:val="21"/>
          <w:spacing w:val="-2"/>
        </w:rPr>
        <w:t>视创</w:t>
      </w:r>
      <w:r>
        <w:rPr>
          <w:rFonts w:ascii="宋体" w:hAnsi="宋体" w:cs="宋体" w:eastAsia="宋体" w:hint="ascii"/>
          <w:sz w:val="21"/>
          <w:spacing w:val="-3"/>
        </w:rPr>
        <w:t>新</w:t>
      </w:r>
      <w:r>
        <w:rPr>
          <w:rFonts w:ascii="宋体" w:hAnsi="宋体" w:cs="宋体" w:eastAsia="宋体" w:hint="ascii"/>
          <w:sz w:val="21"/>
          <w:spacing w:val="-2"/>
        </w:rPr>
        <w:t>化</w:t>
      </w:r>
      <w:r>
        <w:rPr>
          <w:rFonts w:ascii="宋体" w:hAnsi="宋体" w:cs="宋体" w:eastAsia="宋体" w:hint="ascii"/>
          <w:sz w:val="21"/>
          <w:spacing w:val="-3"/>
        </w:rPr>
        <w:t>学</w:t>
      </w:r>
      <w:r>
        <w:rPr>
          <w:rFonts w:ascii="宋体" w:hAnsi="宋体" w:cs="宋体" w:eastAsia="宋体" w:hint="ascii"/>
          <w:sz w:val="21"/>
          <w:spacing w:val="-2"/>
        </w:rPr>
        <w:t>软件</w:t>
      </w:r>
      <w:r>
        <w:rPr>
          <w:rFonts w:ascii="宋体" w:hAnsi="宋体" w:cs="宋体" w:eastAsia="宋体" w:hint="ascii"/>
          <w:sz w:val="21"/>
          <w:spacing w:val="-3"/>
        </w:rPr>
        <w:t>程</w:t>
      </w:r>
      <w:r>
        <w:rPr>
          <w:rFonts w:ascii="宋体" w:hAnsi="宋体" w:cs="宋体" w:eastAsia="宋体" w:hint="ascii"/>
          <w:sz w:val="21"/>
          <w:spacing w:val="-2"/>
        </w:rPr>
        <w:t>序</w:t>
      </w:r>
      <w:r>
        <w:rPr>
          <w:rFonts w:ascii="宋体" w:hAnsi="宋体" w:cs="宋体" w:eastAsia="宋体" w:hint="ascii"/>
          <w:sz w:val="21"/>
          <w:spacing w:val="-3"/>
        </w:rPr>
        <w:t>的</w:t>
      </w:r>
      <w:r>
        <w:rPr>
          <w:rFonts w:ascii="宋体" w:hAnsi="宋体" w:cs="宋体" w:eastAsia="宋体" w:hint="ascii"/>
          <w:sz w:val="21"/>
          <w:spacing w:val="-2"/>
        </w:rPr>
        <w:t>设计</w:t>
      </w:r>
      <w:r>
        <w:rPr>
          <w:rFonts w:ascii="宋体" w:hAnsi="宋体" w:cs="宋体" w:eastAsia="宋体" w:hint="ascii"/>
          <w:sz w:val="21"/>
          <w:spacing w:val="-3"/>
        </w:rPr>
        <w:t>开</w:t>
      </w:r>
      <w:r>
        <w:rPr>
          <w:rFonts w:ascii="宋体" w:hAnsi="宋体" w:cs="宋体" w:eastAsia="宋体" w:hint="ascii"/>
          <w:sz w:val="21"/>
          <w:spacing w:val="-2"/>
        </w:rPr>
        <w:t>发</w:t>
      </w:r>
      <w:r>
        <w:rPr>
          <w:rFonts w:ascii="宋体" w:hAnsi="宋体" w:cs="宋体" w:eastAsia="宋体" w:hint="ascii"/>
          <w:sz w:val="21"/>
          <w:spacing w:val="-3"/>
        </w:rPr>
        <w:t>。</w:t>
      </w:r>
      <w:r>
        <w:rPr>
          <w:rFonts w:ascii="宋体" w:hAnsi="宋体" w:cs="宋体" w:eastAsia="宋体" w:hint="ascii"/>
          <w:sz w:val="21"/>
          <w:spacing w:val="-2"/>
        </w:rPr>
        <w:t>化学</w:t>
      </w:r>
      <w:r>
        <w:rPr>
          <w:rFonts w:ascii="宋体" w:hAnsi="宋体" w:cs="宋体" w:eastAsia="宋体" w:hint="ascii"/>
          <w:sz w:val="21"/>
          <w:spacing w:val="-3"/>
        </w:rPr>
        <w:t>热</w:t>
      </w:r>
      <w:r>
        <w:rPr>
          <w:rFonts w:ascii="宋体" w:hAnsi="宋体" w:cs="宋体" w:eastAsia="宋体" w:hint="ascii"/>
          <w:sz w:val="21"/>
          <w:spacing w:val="-2"/>
        </w:rPr>
        <w:t>力</w:t>
      </w:r>
      <w:r>
        <w:rPr>
          <w:rFonts w:ascii="宋体" w:hAnsi="宋体" w:cs="宋体" w:eastAsia="宋体" w:hint="ascii"/>
          <w:sz w:val="21"/>
          <w:spacing w:val="-3"/>
        </w:rPr>
        <w:t>学</w:t>
      </w:r>
      <w:r>
        <w:rPr>
          <w:rFonts w:ascii="宋体" w:hAnsi="宋体" w:cs="宋体" w:eastAsia="宋体" w:hint="ascii"/>
          <w:sz w:val="21"/>
          <w:spacing w:val="-2"/>
        </w:rPr>
        <w:t>迫切</w:t>
      </w:r>
      <w:r>
        <w:rPr>
          <w:rFonts w:ascii="宋体" w:hAnsi="宋体" w:cs="宋体" w:eastAsia="宋体" w:hint="ascii"/>
          <w:sz w:val="21"/>
          <w:spacing w:val="-3"/>
        </w:rPr>
        <w:t>需</w:t>
      </w:r>
      <w:r>
        <w:rPr>
          <w:rFonts w:ascii="宋体" w:hAnsi="宋体" w:cs="宋体" w:eastAsia="宋体" w:hint="ascii"/>
          <w:sz w:val="21"/>
          <w:spacing w:val="-2"/>
        </w:rPr>
        <w:t>要</w:t>
      </w:r>
      <w:r>
        <w:rPr>
          <w:rFonts w:ascii="宋体" w:hAnsi="宋体" w:cs="宋体" w:eastAsia="宋体" w:hint="ascii"/>
          <w:sz w:val="21"/>
          <w:spacing w:val="-3"/>
        </w:rPr>
        <w:t>发</w:t>
      </w:r>
      <w:r>
        <w:rPr>
          <w:rFonts w:ascii="宋体" w:hAnsi="宋体" w:cs="宋体" w:eastAsia="宋体" w:hint="ascii"/>
          <w:sz w:val="21"/>
          <w:spacing w:val="-2"/>
        </w:rPr>
        <w:t>展适</w:t>
      </w:r>
      <w:r>
        <w:rPr>
          <w:rFonts w:ascii="宋体" w:hAnsi="宋体" w:cs="宋体" w:eastAsia="宋体" w:hint="ascii"/>
          <w:sz w:val="21"/>
          <w:spacing w:val="-3"/>
        </w:rPr>
        <w:t>合</w:t>
      </w:r>
      <w:r>
        <w:rPr>
          <w:rFonts w:ascii="宋体" w:hAnsi="宋体" w:cs="宋体" w:eastAsia="宋体" w:hint="ascii"/>
          <w:sz w:val="21"/>
          <w:spacing w:val="-2"/>
        </w:rPr>
        <w:t>真</w:t>
      </w:r>
      <w:r>
        <w:rPr>
          <w:rFonts w:ascii="宋体" w:hAnsi="宋体" w:cs="宋体" w:eastAsia="宋体" w:hint="ascii"/>
          <w:sz w:val="21"/>
          <w:spacing w:val="-3"/>
        </w:rPr>
        <w:t>实体</w:t>
      </w:r>
      <w:r>
        <w:rPr>
          <w:rFonts w:ascii="宋体" w:hAnsi="宋体" w:cs="宋体" w:eastAsia="宋体" w:hint="ascii"/>
          <w:sz w:val="21"/>
          <w:spacing w:val="-2"/>
        </w:rPr>
        <w:t>系</w:t>
      </w:r>
      <w:r>
        <w:rPr>
          <w:rFonts w:ascii="宋体" w:hAnsi="宋体" w:cs="宋体" w:eastAsia="宋体" w:hint="ascii"/>
          <w:sz w:val="21"/>
          <w:spacing w:val="-3"/>
        </w:rPr>
        <w:t>的</w:t>
      </w:r>
      <w:r>
        <w:rPr>
          <w:rFonts w:ascii="宋体" w:hAnsi="宋体" w:cs="宋体" w:eastAsia="宋体" w:hint="ascii"/>
          <w:sz w:val="21"/>
        </w:rPr>
        <w:t>化</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学热</w:t>
      </w:r>
      <w:r>
        <w:rPr>
          <w:rFonts w:ascii="宋体" w:hAnsi="宋体" w:cs="宋体" w:eastAsia="宋体" w:hint="ascii"/>
          <w:sz w:val="21"/>
          <w:spacing w:val="-3"/>
        </w:rPr>
        <w:t>力</w:t>
      </w:r>
      <w:r>
        <w:rPr>
          <w:rFonts w:ascii="宋体" w:hAnsi="宋体" w:cs="宋体" w:eastAsia="宋体" w:hint="ascii"/>
          <w:sz w:val="21"/>
          <w:spacing w:val="-2"/>
        </w:rPr>
        <w:t>学</w:t>
      </w:r>
      <w:r>
        <w:rPr>
          <w:rFonts w:ascii="宋体" w:hAnsi="宋体" w:cs="宋体" w:eastAsia="宋体" w:hint="ascii"/>
          <w:sz w:val="21"/>
          <w:spacing w:val="-3"/>
        </w:rPr>
        <w:t>理</w:t>
      </w:r>
      <w:r>
        <w:rPr>
          <w:rFonts w:ascii="宋体" w:hAnsi="宋体" w:cs="宋体" w:eastAsia="宋体" w:hint="ascii"/>
          <w:sz w:val="21"/>
          <w:spacing w:val="-2"/>
        </w:rPr>
        <w:t>论和</w:t>
      </w:r>
      <w:r>
        <w:rPr>
          <w:rFonts w:ascii="宋体" w:hAnsi="宋体" w:cs="宋体" w:eastAsia="宋体" w:hint="ascii"/>
          <w:sz w:val="21"/>
          <w:spacing w:val="-3"/>
        </w:rPr>
        <w:t>实</w:t>
      </w:r>
      <w:r>
        <w:rPr>
          <w:rFonts w:ascii="宋体" w:hAnsi="宋体" w:cs="宋体" w:eastAsia="宋体" w:hint="ascii"/>
          <w:sz w:val="21"/>
          <w:spacing w:val="-2"/>
        </w:rPr>
        <w:t>验</w:t>
      </w:r>
      <w:r>
        <w:rPr>
          <w:rFonts w:ascii="宋体" w:hAnsi="宋体" w:cs="宋体" w:eastAsia="宋体" w:hint="ascii"/>
          <w:sz w:val="21"/>
          <w:spacing w:val="-3"/>
        </w:rPr>
        <w:t>方</w:t>
      </w:r>
      <w:r>
        <w:rPr>
          <w:rFonts w:ascii="宋体" w:hAnsi="宋体" w:cs="宋体" w:eastAsia="宋体" w:hint="ascii"/>
          <w:sz w:val="21"/>
          <w:spacing w:val="-2"/>
        </w:rPr>
        <w:t>法，</w:t>
      </w:r>
      <w:r>
        <w:rPr>
          <w:rFonts w:ascii="宋体" w:hAnsi="宋体" w:cs="宋体" w:eastAsia="宋体" w:hint="ascii"/>
          <w:sz w:val="21"/>
          <w:spacing w:val="-3"/>
        </w:rPr>
        <w:t>提</w:t>
      </w:r>
      <w:r>
        <w:rPr>
          <w:rFonts w:ascii="宋体" w:hAnsi="宋体" w:cs="宋体" w:eastAsia="宋体" w:hint="ascii"/>
          <w:sz w:val="21"/>
          <w:spacing w:val="-2"/>
        </w:rPr>
        <w:t>高</w:t>
      </w:r>
      <w:r>
        <w:rPr>
          <w:rFonts w:ascii="宋体" w:hAnsi="宋体" w:cs="宋体" w:eastAsia="宋体" w:hint="ascii"/>
          <w:sz w:val="21"/>
          <w:spacing w:val="-3"/>
        </w:rPr>
        <w:t>计</w:t>
      </w:r>
      <w:r>
        <w:rPr>
          <w:rFonts w:ascii="宋体" w:hAnsi="宋体" w:cs="宋体" w:eastAsia="宋体" w:hint="ascii"/>
          <w:sz w:val="21"/>
          <w:spacing w:val="-2"/>
        </w:rPr>
        <w:t>算和</w:t>
      </w:r>
      <w:r>
        <w:rPr>
          <w:rFonts w:ascii="宋体" w:hAnsi="宋体" w:cs="宋体" w:eastAsia="宋体" w:hint="ascii"/>
          <w:sz w:val="21"/>
          <w:spacing w:val="-3"/>
        </w:rPr>
        <w:t>测</w:t>
      </w:r>
      <w:r>
        <w:rPr>
          <w:rFonts w:ascii="宋体" w:hAnsi="宋体" w:cs="宋体" w:eastAsia="宋体" w:hint="ascii"/>
          <w:sz w:val="21"/>
          <w:spacing w:val="-2"/>
        </w:rPr>
        <w:t>量</w:t>
      </w:r>
      <w:r>
        <w:rPr>
          <w:rFonts w:ascii="宋体" w:hAnsi="宋体" w:cs="宋体" w:eastAsia="宋体" w:hint="ascii"/>
          <w:sz w:val="21"/>
          <w:spacing w:val="-3"/>
        </w:rPr>
        <w:t>精</w:t>
      </w:r>
      <w:r>
        <w:rPr>
          <w:rFonts w:ascii="宋体" w:hAnsi="宋体" w:cs="宋体" w:eastAsia="宋体" w:hint="ascii"/>
          <w:sz w:val="21"/>
          <w:spacing w:val="-2"/>
        </w:rPr>
        <w:t>度，</w:t>
      </w:r>
      <w:r>
        <w:rPr>
          <w:rFonts w:ascii="宋体" w:hAnsi="宋体" w:cs="宋体" w:eastAsia="宋体" w:hint="ascii"/>
          <w:sz w:val="21"/>
          <w:spacing w:val="-3"/>
        </w:rPr>
        <w:t>揭</w:t>
      </w:r>
      <w:r>
        <w:rPr>
          <w:rFonts w:ascii="宋体" w:hAnsi="宋体" w:cs="宋体" w:eastAsia="宋体" w:hint="ascii"/>
          <w:sz w:val="21"/>
          <w:spacing w:val="-2"/>
        </w:rPr>
        <w:t>示</w:t>
      </w:r>
      <w:r>
        <w:rPr>
          <w:rFonts w:ascii="宋体" w:hAnsi="宋体" w:cs="宋体" w:eastAsia="宋体" w:hint="ascii"/>
          <w:sz w:val="21"/>
          <w:spacing w:val="-3"/>
        </w:rPr>
        <w:t>体</w:t>
      </w:r>
      <w:r>
        <w:rPr>
          <w:rFonts w:ascii="宋体" w:hAnsi="宋体" w:cs="宋体" w:eastAsia="宋体" w:hint="ascii"/>
          <w:sz w:val="21"/>
          <w:spacing w:val="-2"/>
        </w:rPr>
        <w:t>系热</w:t>
      </w:r>
      <w:r>
        <w:rPr>
          <w:rFonts w:ascii="宋体" w:hAnsi="宋体" w:cs="宋体" w:eastAsia="宋体" w:hint="ascii"/>
          <w:sz w:val="21"/>
          <w:spacing w:val="-3"/>
        </w:rPr>
        <w:t>力</w:t>
      </w:r>
      <w:r>
        <w:rPr>
          <w:rFonts w:ascii="宋体" w:hAnsi="宋体" w:cs="宋体" w:eastAsia="宋体" w:hint="ascii"/>
          <w:sz w:val="21"/>
          <w:spacing w:val="-2"/>
        </w:rPr>
        <w:t>学</w:t>
      </w:r>
      <w:r>
        <w:rPr>
          <w:rFonts w:ascii="宋体" w:hAnsi="宋体" w:cs="宋体" w:eastAsia="宋体" w:hint="ascii"/>
          <w:sz w:val="21"/>
          <w:spacing w:val="-3"/>
        </w:rPr>
        <w:t>性</w:t>
      </w:r>
      <w:r>
        <w:rPr>
          <w:rFonts w:ascii="宋体" w:hAnsi="宋体" w:cs="宋体" w:eastAsia="宋体" w:hint="ascii"/>
          <w:sz w:val="21"/>
          <w:spacing w:val="-2"/>
        </w:rPr>
        <w:t>质与</w:t>
      </w:r>
      <w:r>
        <w:rPr>
          <w:rFonts w:ascii="宋体" w:hAnsi="宋体" w:cs="宋体" w:eastAsia="宋体" w:hint="ascii"/>
          <w:sz w:val="21"/>
          <w:spacing w:val="-3"/>
        </w:rPr>
        <w:t>微</w:t>
      </w:r>
      <w:r>
        <w:rPr>
          <w:rFonts w:ascii="宋体" w:hAnsi="宋体" w:cs="宋体" w:eastAsia="宋体" w:hint="ascii"/>
          <w:sz w:val="21"/>
          <w:spacing w:val="-2"/>
        </w:rPr>
        <w:t>观</w:t>
      </w:r>
      <w:r>
        <w:rPr>
          <w:rFonts w:ascii="宋体" w:hAnsi="宋体" w:cs="宋体" w:eastAsia="宋体" w:hint="ascii"/>
          <w:sz w:val="21"/>
          <w:spacing w:val="-3"/>
        </w:rPr>
        <w:t>结构</w:t>
      </w:r>
      <w:r>
        <w:rPr>
          <w:rFonts w:ascii="宋体" w:hAnsi="宋体" w:cs="宋体" w:eastAsia="宋体" w:hint="ascii"/>
          <w:sz w:val="21"/>
          <w:spacing w:val="-2"/>
        </w:rPr>
        <w:t>的</w:t>
      </w:r>
      <w:r>
        <w:rPr>
          <w:rFonts w:ascii="宋体" w:hAnsi="宋体" w:cs="宋体" w:eastAsia="宋体" w:hint="ascii"/>
          <w:sz w:val="21"/>
          <w:spacing w:val="-3"/>
        </w:rPr>
        <w:t>内</w:t>
      </w:r>
      <w:r>
        <w:rPr>
          <w:rFonts w:ascii="宋体" w:hAnsi="宋体" w:cs="宋体" w:eastAsia="宋体" w:hint="ascii"/>
          <w:sz w:val="21"/>
        </w:rPr>
        <w:t>在</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联系</w:t>
      </w:r>
      <w:r>
        <w:rPr>
          <w:rFonts w:ascii="宋体" w:hAnsi="宋体" w:cs="宋体" w:eastAsia="宋体" w:hint="ascii"/>
          <w:sz w:val="21"/>
          <w:spacing w:val="-3"/>
        </w:rPr>
        <w:t>，</w:t>
      </w:r>
      <w:r>
        <w:rPr>
          <w:rFonts w:ascii="宋体" w:hAnsi="宋体" w:cs="宋体" w:eastAsia="宋体" w:hint="ascii"/>
          <w:sz w:val="21"/>
          <w:spacing w:val="-2"/>
        </w:rPr>
        <w:t>注</w:t>
      </w:r>
      <w:r>
        <w:rPr>
          <w:rFonts w:ascii="宋体" w:hAnsi="宋体" w:cs="宋体" w:eastAsia="宋体" w:hint="ascii"/>
          <w:sz w:val="21"/>
          <w:spacing w:val="-3"/>
        </w:rPr>
        <w:t>重</w:t>
      </w:r>
      <w:r>
        <w:rPr>
          <w:rFonts w:ascii="宋体" w:hAnsi="宋体" w:cs="宋体" w:eastAsia="宋体" w:hint="ascii"/>
          <w:sz w:val="21"/>
          <w:spacing w:val="-2"/>
        </w:rPr>
        <w:t>化学</w:t>
      </w:r>
      <w:r>
        <w:rPr>
          <w:rFonts w:ascii="宋体" w:hAnsi="宋体" w:cs="宋体" w:eastAsia="宋体" w:hint="ascii"/>
          <w:sz w:val="21"/>
          <w:spacing w:val="-3"/>
        </w:rPr>
        <w:t>热</w:t>
      </w:r>
      <w:r>
        <w:rPr>
          <w:rFonts w:ascii="宋体" w:hAnsi="宋体" w:cs="宋体" w:eastAsia="宋体" w:hint="ascii"/>
          <w:sz w:val="21"/>
          <w:spacing w:val="-2"/>
        </w:rPr>
        <w:t>力</w:t>
      </w:r>
      <w:r>
        <w:rPr>
          <w:rFonts w:ascii="宋体" w:hAnsi="宋体" w:cs="宋体" w:eastAsia="宋体" w:hint="ascii"/>
          <w:sz w:val="21"/>
          <w:spacing w:val="-3"/>
        </w:rPr>
        <w:t>学</w:t>
      </w:r>
      <w:r>
        <w:rPr>
          <w:rFonts w:ascii="宋体" w:hAnsi="宋体" w:cs="宋体" w:eastAsia="宋体" w:hint="ascii"/>
          <w:sz w:val="21"/>
          <w:spacing w:val="-2"/>
        </w:rPr>
        <w:t>在重</w:t>
      </w:r>
      <w:r>
        <w:rPr>
          <w:rFonts w:ascii="宋体" w:hAnsi="宋体" w:cs="宋体" w:eastAsia="宋体" w:hint="ascii"/>
          <w:sz w:val="21"/>
          <w:spacing w:val="-3"/>
        </w:rPr>
        <w:t>要</w:t>
      </w:r>
      <w:r>
        <w:rPr>
          <w:rFonts w:ascii="宋体" w:hAnsi="宋体" w:cs="宋体" w:eastAsia="宋体" w:hint="ascii"/>
          <w:sz w:val="21"/>
          <w:spacing w:val="-2"/>
        </w:rPr>
        <w:t>交</w:t>
      </w:r>
      <w:r>
        <w:rPr>
          <w:rFonts w:ascii="宋体" w:hAnsi="宋体" w:cs="宋体" w:eastAsia="宋体" w:hint="ascii"/>
          <w:sz w:val="21"/>
          <w:spacing w:val="-3"/>
        </w:rPr>
        <w:t>叉</w:t>
      </w:r>
      <w:r>
        <w:rPr>
          <w:rFonts w:ascii="宋体" w:hAnsi="宋体" w:cs="宋体" w:eastAsia="宋体" w:hint="ascii"/>
          <w:sz w:val="21"/>
          <w:spacing w:val="-2"/>
        </w:rPr>
        <w:t>领域</w:t>
      </w:r>
      <w:r>
        <w:rPr>
          <w:rFonts w:ascii="宋体" w:hAnsi="宋体" w:cs="宋体" w:eastAsia="宋体" w:hint="ascii"/>
          <w:sz w:val="21"/>
          <w:spacing w:val="-3"/>
        </w:rPr>
        <w:t>中</w:t>
      </w:r>
      <w:r>
        <w:rPr>
          <w:rFonts w:ascii="宋体" w:hAnsi="宋体" w:cs="宋体" w:eastAsia="宋体" w:hint="ascii"/>
          <w:sz w:val="21"/>
          <w:spacing w:val="-2"/>
        </w:rPr>
        <w:t>的</w:t>
      </w:r>
      <w:r>
        <w:rPr>
          <w:rFonts w:ascii="宋体" w:hAnsi="宋体" w:cs="宋体" w:eastAsia="宋体" w:hint="ascii"/>
          <w:sz w:val="21"/>
          <w:spacing w:val="-3"/>
        </w:rPr>
        <w:t>应</w:t>
      </w:r>
      <w:r>
        <w:rPr>
          <w:rFonts w:ascii="宋体" w:hAnsi="宋体" w:cs="宋体" w:eastAsia="宋体" w:hint="ascii"/>
          <w:sz w:val="21"/>
          <w:spacing w:val="-2"/>
        </w:rPr>
        <w:t>用研</w:t>
      </w:r>
      <w:r>
        <w:rPr>
          <w:rFonts w:ascii="宋体" w:hAnsi="宋体" w:cs="宋体" w:eastAsia="宋体" w:hint="ascii"/>
          <w:sz w:val="21"/>
          <w:spacing w:val="-3"/>
        </w:rPr>
        <w:t>究</w:t>
      </w:r>
      <w:r>
        <w:rPr>
          <w:rFonts w:ascii="宋体" w:hAnsi="宋体" w:cs="宋体" w:eastAsia="宋体" w:hint="ascii"/>
          <w:sz w:val="21"/>
          <w:spacing w:val="-2"/>
        </w:rPr>
        <w:t>。</w:t>
      </w:r>
      <w:r>
        <w:rPr>
          <w:rFonts w:ascii="宋体" w:hAnsi="宋体" w:cs="宋体" w:eastAsia="宋体" w:hint="ascii"/>
          <w:sz w:val="21"/>
          <w:spacing w:val="-3"/>
        </w:rPr>
        <w:t>化</w:t>
      </w:r>
      <w:r>
        <w:rPr>
          <w:rFonts w:ascii="宋体" w:hAnsi="宋体" w:cs="宋体" w:eastAsia="宋体" w:hint="ascii"/>
          <w:sz w:val="21"/>
          <w:spacing w:val="-2"/>
        </w:rPr>
        <w:t>学动</w:t>
      </w:r>
      <w:r>
        <w:rPr>
          <w:rFonts w:ascii="宋体" w:hAnsi="宋体" w:cs="宋体" w:eastAsia="宋体" w:hint="ascii"/>
          <w:sz w:val="21"/>
          <w:spacing w:val="-3"/>
        </w:rPr>
        <w:t>态</w:t>
      </w:r>
      <w:r>
        <w:rPr>
          <w:rFonts w:ascii="宋体" w:hAnsi="宋体" w:cs="宋体" w:eastAsia="宋体" w:hint="ascii"/>
          <w:sz w:val="21"/>
          <w:spacing w:val="-2"/>
        </w:rPr>
        <w:t>学</w:t>
      </w:r>
      <w:r>
        <w:rPr>
          <w:rFonts w:ascii="宋体" w:hAnsi="宋体" w:cs="宋体" w:eastAsia="宋体" w:hint="ascii"/>
          <w:sz w:val="21"/>
          <w:spacing w:val="-3"/>
        </w:rPr>
        <w:t>将</w:t>
      </w:r>
      <w:r>
        <w:rPr>
          <w:rFonts w:ascii="宋体" w:hAnsi="宋体" w:cs="宋体" w:eastAsia="宋体" w:hint="ascii"/>
          <w:sz w:val="21"/>
          <w:spacing w:val="-2"/>
        </w:rPr>
        <w:t>注重</w:t>
      </w:r>
      <w:r>
        <w:rPr>
          <w:rFonts w:ascii="宋体" w:hAnsi="宋体" w:cs="宋体" w:eastAsia="宋体" w:hint="ascii"/>
          <w:sz w:val="21"/>
          <w:spacing w:val="-3"/>
        </w:rPr>
        <w:t>发</w:t>
      </w:r>
      <w:r>
        <w:rPr>
          <w:rFonts w:ascii="宋体" w:hAnsi="宋体" w:cs="宋体" w:eastAsia="宋体" w:hint="ascii"/>
          <w:sz w:val="21"/>
          <w:spacing w:val="-2"/>
        </w:rPr>
        <w:t>展</w:t>
      </w:r>
      <w:r>
        <w:rPr>
          <w:rFonts w:ascii="宋体" w:hAnsi="宋体" w:cs="宋体" w:eastAsia="宋体" w:hint="ascii"/>
          <w:sz w:val="21"/>
          <w:spacing w:val="-3"/>
        </w:rPr>
        <w:t>和利</w:t>
      </w:r>
      <w:r>
        <w:rPr>
          <w:rFonts w:ascii="宋体" w:hAnsi="宋体" w:cs="宋体" w:eastAsia="宋体" w:hint="ascii"/>
          <w:sz w:val="21"/>
          <w:spacing w:val="-2"/>
        </w:rPr>
        <w:t>用</w:t>
      </w:r>
      <w:r>
        <w:rPr>
          <w:rFonts w:ascii="宋体" w:hAnsi="宋体" w:cs="宋体" w:eastAsia="宋体" w:hint="ascii"/>
          <w:sz w:val="21"/>
          <w:spacing w:val="-3"/>
        </w:rPr>
        <w:t>新</w:t>
      </w:r>
      <w:r>
        <w:rPr>
          <w:rFonts w:ascii="宋体" w:hAnsi="宋体" w:cs="宋体" w:eastAsia="宋体" w:hint="ascii"/>
          <w:sz w:val="21"/>
        </w:rPr>
        <w:t>的</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实验</w:t>
      </w:r>
      <w:r>
        <w:rPr>
          <w:rFonts w:ascii="宋体" w:hAnsi="宋体" w:cs="宋体" w:eastAsia="宋体" w:hint="ascii"/>
          <w:sz w:val="21"/>
          <w:spacing w:val="-3"/>
        </w:rPr>
        <w:t>和</w:t>
      </w:r>
      <w:r>
        <w:rPr>
          <w:rFonts w:ascii="宋体" w:hAnsi="宋体" w:cs="宋体" w:eastAsia="宋体" w:hint="ascii"/>
          <w:sz w:val="21"/>
          <w:spacing w:val="-2"/>
        </w:rPr>
        <w:t>理</w:t>
      </w:r>
      <w:r>
        <w:rPr>
          <w:rFonts w:ascii="宋体" w:hAnsi="宋体" w:cs="宋体" w:eastAsia="宋体" w:hint="ascii"/>
          <w:sz w:val="21"/>
          <w:spacing w:val="-3"/>
        </w:rPr>
        <w:t>论</w:t>
      </w:r>
      <w:r>
        <w:rPr>
          <w:rFonts w:ascii="宋体" w:hAnsi="宋体" w:cs="宋体" w:eastAsia="宋体" w:hint="ascii"/>
          <w:sz w:val="21"/>
          <w:spacing w:val="-2"/>
        </w:rPr>
        <w:t>方法</w:t>
      </w:r>
      <w:r>
        <w:rPr>
          <w:rFonts w:ascii="宋体" w:hAnsi="宋体" w:cs="宋体" w:eastAsia="宋体" w:hint="ascii"/>
          <w:sz w:val="21"/>
          <w:spacing w:val="-3"/>
        </w:rPr>
        <w:t>，</w:t>
      </w:r>
      <w:r>
        <w:rPr>
          <w:rFonts w:ascii="宋体" w:hAnsi="宋体" w:cs="宋体" w:eastAsia="宋体" w:hint="ascii"/>
          <w:sz w:val="21"/>
          <w:spacing w:val="-2"/>
        </w:rPr>
        <w:t>探</w:t>
      </w:r>
      <w:r>
        <w:rPr>
          <w:rFonts w:ascii="宋体" w:hAnsi="宋体" w:cs="宋体" w:eastAsia="宋体" w:hint="ascii"/>
          <w:sz w:val="21"/>
          <w:spacing w:val="-3"/>
        </w:rPr>
        <w:t>究</w:t>
      </w:r>
      <w:r>
        <w:rPr>
          <w:rFonts w:ascii="宋体" w:hAnsi="宋体" w:cs="宋体" w:eastAsia="宋体" w:hint="ascii"/>
          <w:sz w:val="21"/>
          <w:spacing w:val="-2"/>
        </w:rPr>
        <w:t>化学</w:t>
      </w:r>
      <w:r>
        <w:rPr>
          <w:rFonts w:ascii="宋体" w:hAnsi="宋体" w:cs="宋体" w:eastAsia="宋体" w:hint="ascii"/>
          <w:sz w:val="21"/>
          <w:spacing w:val="-3"/>
        </w:rPr>
        <w:t>反</w:t>
      </w:r>
      <w:r>
        <w:rPr>
          <w:rFonts w:ascii="宋体" w:hAnsi="宋体" w:cs="宋体" w:eastAsia="宋体" w:hint="ascii"/>
          <w:sz w:val="21"/>
          <w:spacing w:val="-2"/>
        </w:rPr>
        <w:t>应</w:t>
      </w:r>
      <w:r>
        <w:rPr>
          <w:rFonts w:ascii="宋体" w:hAnsi="宋体" w:cs="宋体" w:eastAsia="宋体" w:hint="ascii"/>
          <w:sz w:val="21"/>
          <w:spacing w:val="-3"/>
        </w:rPr>
        <w:t>过</w:t>
      </w:r>
      <w:r>
        <w:rPr>
          <w:rFonts w:ascii="宋体" w:hAnsi="宋体" w:cs="宋体" w:eastAsia="宋体" w:hint="ascii"/>
          <w:sz w:val="21"/>
          <w:spacing w:val="-2"/>
        </w:rPr>
        <w:t>渡态</w:t>
      </w:r>
      <w:r>
        <w:rPr>
          <w:rFonts w:ascii="宋体" w:hAnsi="宋体" w:cs="宋体" w:eastAsia="宋体" w:hint="ascii"/>
          <w:sz w:val="21"/>
          <w:spacing w:val="-3"/>
        </w:rPr>
        <w:t>的</w:t>
      </w:r>
      <w:r>
        <w:rPr>
          <w:rFonts w:ascii="宋体" w:hAnsi="宋体" w:cs="宋体" w:eastAsia="宋体" w:hint="ascii"/>
          <w:sz w:val="21"/>
          <w:spacing w:val="-2"/>
        </w:rPr>
        <w:t>结</w:t>
      </w:r>
      <w:r>
        <w:rPr>
          <w:rFonts w:ascii="宋体" w:hAnsi="宋体" w:cs="宋体" w:eastAsia="宋体" w:hint="ascii"/>
          <w:sz w:val="21"/>
          <w:spacing w:val="-3"/>
        </w:rPr>
        <w:t>构</w:t>
      </w:r>
      <w:r>
        <w:rPr>
          <w:rFonts w:ascii="宋体" w:hAnsi="宋体" w:cs="宋体" w:eastAsia="宋体" w:hint="ascii"/>
          <w:sz w:val="21"/>
          <w:spacing w:val="-2"/>
        </w:rPr>
        <w:t>和动</w:t>
      </w:r>
      <w:r>
        <w:rPr>
          <w:rFonts w:ascii="宋体" w:hAnsi="宋体" w:cs="宋体" w:eastAsia="宋体" w:hint="ascii"/>
          <w:sz w:val="21"/>
          <w:spacing w:val="-3"/>
        </w:rPr>
        <w:t>力</w:t>
      </w:r>
      <w:r>
        <w:rPr>
          <w:rFonts w:ascii="宋体" w:hAnsi="宋体" w:cs="宋体" w:eastAsia="宋体" w:hint="ascii"/>
          <w:sz w:val="21"/>
          <w:spacing w:val="-2"/>
        </w:rPr>
        <w:t>学</w:t>
      </w:r>
      <w:r>
        <w:rPr>
          <w:rFonts w:ascii="宋体" w:hAnsi="宋体" w:cs="宋体" w:eastAsia="宋体" w:hint="ascii"/>
          <w:sz w:val="21"/>
          <w:spacing w:val="-3"/>
        </w:rPr>
        <w:t>性</w:t>
      </w:r>
      <w:r>
        <w:rPr>
          <w:rFonts w:ascii="宋体" w:hAnsi="宋体" w:cs="宋体" w:eastAsia="宋体" w:hint="ascii"/>
          <w:sz w:val="21"/>
          <w:spacing w:val="-2"/>
        </w:rPr>
        <w:t>质、</w:t>
      </w:r>
      <w:r>
        <w:rPr>
          <w:rFonts w:ascii="宋体" w:hAnsi="宋体" w:cs="宋体" w:eastAsia="宋体" w:hint="ascii"/>
          <w:sz w:val="21"/>
          <w:spacing w:val="-3"/>
        </w:rPr>
        <w:t>共</w:t>
      </w:r>
      <w:r>
        <w:rPr>
          <w:rFonts w:ascii="宋体" w:hAnsi="宋体" w:cs="宋体" w:eastAsia="宋体" w:hint="ascii"/>
          <w:sz w:val="21"/>
          <w:spacing w:val="-2"/>
        </w:rPr>
        <w:t>振</w:t>
      </w:r>
      <w:r>
        <w:rPr>
          <w:rFonts w:ascii="宋体" w:hAnsi="宋体" w:cs="宋体" w:eastAsia="宋体" w:hint="ascii"/>
          <w:sz w:val="21"/>
          <w:spacing w:val="-3"/>
        </w:rPr>
        <w:t>态</w:t>
      </w:r>
      <w:r>
        <w:rPr>
          <w:rFonts w:ascii="宋体" w:hAnsi="宋体" w:cs="宋体" w:eastAsia="宋体" w:hint="ascii"/>
          <w:sz w:val="21"/>
          <w:spacing w:val="-2"/>
        </w:rPr>
        <w:t>观测</w:t>
      </w:r>
      <w:r>
        <w:rPr>
          <w:rFonts w:ascii="宋体" w:hAnsi="宋体" w:cs="宋体" w:eastAsia="宋体" w:hint="ascii"/>
          <w:sz w:val="21"/>
          <w:spacing w:val="-3"/>
        </w:rPr>
        <w:t>、</w:t>
      </w:r>
      <w:r>
        <w:rPr>
          <w:rFonts w:ascii="宋体" w:hAnsi="宋体" w:cs="宋体" w:eastAsia="宋体" w:hint="ascii"/>
          <w:sz w:val="21"/>
          <w:spacing w:val="-2"/>
        </w:rPr>
        <w:t>反</w:t>
      </w:r>
      <w:r>
        <w:rPr>
          <w:rFonts w:ascii="宋体" w:hAnsi="宋体" w:cs="宋体" w:eastAsia="宋体" w:hint="ascii"/>
          <w:sz w:val="21"/>
          <w:spacing w:val="-3"/>
        </w:rPr>
        <w:t>应过</w:t>
      </w:r>
      <w:r>
        <w:rPr>
          <w:rFonts w:ascii="宋体" w:hAnsi="宋体" w:cs="宋体" w:eastAsia="宋体" w:hint="ascii"/>
          <w:sz w:val="21"/>
          <w:spacing w:val="-2"/>
        </w:rPr>
        <w:t>程</w:t>
      </w:r>
      <w:r>
        <w:rPr>
          <w:rFonts w:ascii="宋体" w:hAnsi="宋体" w:cs="宋体" w:eastAsia="宋体" w:hint="ascii"/>
          <w:sz w:val="21"/>
          <w:spacing w:val="-3"/>
        </w:rPr>
        <w:t>中</w:t>
      </w:r>
      <w:r>
        <w:rPr>
          <w:rFonts w:ascii="宋体" w:hAnsi="宋体" w:cs="宋体" w:eastAsia="宋体" w:hint="ascii"/>
          <w:sz w:val="21"/>
        </w:rPr>
        <w:t>的</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非绝</w:t>
      </w:r>
      <w:r>
        <w:rPr>
          <w:rFonts w:ascii="宋体" w:hAnsi="宋体" w:cs="宋体" w:eastAsia="宋体" w:hint="ascii"/>
          <w:sz w:val="21"/>
          <w:spacing w:val="-3"/>
        </w:rPr>
        <w:t>热</w:t>
      </w:r>
      <w:r>
        <w:rPr>
          <w:rFonts w:ascii="宋体" w:hAnsi="宋体" w:cs="宋体" w:eastAsia="宋体" w:hint="ascii"/>
          <w:sz w:val="21"/>
          <w:spacing w:val="-2"/>
        </w:rPr>
        <w:t>效</w:t>
      </w:r>
      <w:r>
        <w:rPr>
          <w:rFonts w:ascii="宋体" w:hAnsi="宋体" w:cs="宋体" w:eastAsia="宋体" w:hint="ascii"/>
          <w:sz w:val="21"/>
          <w:spacing w:val="-3"/>
        </w:rPr>
        <w:t>应</w:t>
      </w:r>
      <w:r>
        <w:rPr>
          <w:rFonts w:ascii="宋体" w:hAnsi="宋体" w:cs="宋体" w:eastAsia="宋体" w:hint="ascii"/>
          <w:sz w:val="21"/>
          <w:spacing w:val="-2"/>
        </w:rPr>
        <w:t>、振</w:t>
      </w:r>
      <w:r>
        <w:rPr>
          <w:rFonts w:ascii="宋体" w:hAnsi="宋体" w:cs="宋体" w:eastAsia="宋体" w:hint="ascii"/>
          <w:sz w:val="21"/>
          <w:spacing w:val="-3"/>
        </w:rPr>
        <w:t>动</w:t>
      </w:r>
      <w:r>
        <w:rPr>
          <w:rFonts w:ascii="宋体" w:hAnsi="宋体" w:cs="宋体" w:eastAsia="宋体" w:hint="ascii"/>
          <w:sz w:val="21"/>
          <w:spacing w:val="-2"/>
        </w:rPr>
        <w:t>激</w:t>
      </w:r>
      <w:r>
        <w:rPr>
          <w:rFonts w:ascii="宋体" w:hAnsi="宋体" w:cs="宋体" w:eastAsia="宋体" w:hint="ascii"/>
          <w:sz w:val="21"/>
          <w:spacing w:val="-3"/>
        </w:rPr>
        <w:t>发</w:t>
      </w:r>
      <w:r>
        <w:rPr>
          <w:rFonts w:ascii="宋体" w:hAnsi="宋体" w:cs="宋体" w:eastAsia="宋体" w:hint="ascii"/>
          <w:sz w:val="21"/>
          <w:spacing w:val="-2"/>
        </w:rPr>
        <w:t>态动</w:t>
      </w:r>
      <w:r>
        <w:rPr>
          <w:rFonts w:ascii="宋体" w:hAnsi="宋体" w:cs="宋体" w:eastAsia="宋体" w:hint="ascii"/>
          <w:sz w:val="21"/>
          <w:spacing w:val="-3"/>
        </w:rPr>
        <w:t>力</w:t>
      </w:r>
      <w:r>
        <w:rPr>
          <w:rFonts w:ascii="宋体" w:hAnsi="宋体" w:cs="宋体" w:eastAsia="宋体" w:hint="ascii"/>
          <w:sz w:val="21"/>
          <w:spacing w:val="-2"/>
        </w:rPr>
        <w:t>学</w:t>
      </w:r>
      <w:r>
        <w:rPr>
          <w:rFonts w:ascii="宋体" w:hAnsi="宋体" w:cs="宋体" w:eastAsia="宋体" w:hint="ascii"/>
          <w:sz w:val="21"/>
          <w:spacing w:val="-3"/>
        </w:rPr>
        <w:t>、</w:t>
      </w:r>
      <w:r>
        <w:rPr>
          <w:rFonts w:ascii="宋体" w:hAnsi="宋体" w:cs="宋体" w:eastAsia="宋体" w:hint="ascii"/>
          <w:sz w:val="21"/>
          <w:spacing w:val="-2"/>
        </w:rPr>
        <w:t>高精</w:t>
      </w:r>
      <w:r>
        <w:rPr>
          <w:rFonts w:ascii="宋体" w:hAnsi="宋体" w:cs="宋体" w:eastAsia="宋体" w:hint="ascii"/>
          <w:sz w:val="21"/>
          <w:spacing w:val="-3"/>
        </w:rPr>
        <w:t>度</w:t>
      </w:r>
      <w:r>
        <w:rPr>
          <w:rFonts w:ascii="宋体" w:hAnsi="宋体" w:cs="宋体" w:eastAsia="宋体" w:hint="ascii"/>
          <w:sz w:val="21"/>
          <w:spacing w:val="-2"/>
        </w:rPr>
        <w:t>反</w:t>
      </w:r>
      <w:r>
        <w:rPr>
          <w:rFonts w:ascii="宋体" w:hAnsi="宋体" w:cs="宋体" w:eastAsia="宋体" w:hint="ascii"/>
          <w:sz w:val="21"/>
          <w:spacing w:val="-3"/>
        </w:rPr>
        <w:t>应</w:t>
      </w:r>
      <w:r>
        <w:rPr>
          <w:rFonts w:ascii="宋体" w:hAnsi="宋体" w:cs="宋体" w:eastAsia="宋体" w:hint="ascii"/>
          <w:sz w:val="21"/>
          <w:spacing w:val="-2"/>
        </w:rPr>
        <w:t>势能</w:t>
      </w:r>
      <w:r>
        <w:rPr>
          <w:rFonts w:ascii="宋体" w:hAnsi="宋体" w:cs="宋体" w:eastAsia="宋体" w:hint="ascii"/>
          <w:sz w:val="21"/>
          <w:spacing w:val="-3"/>
        </w:rPr>
        <w:t>面</w:t>
      </w:r>
      <w:r>
        <w:rPr>
          <w:rFonts w:ascii="宋体" w:hAnsi="宋体" w:cs="宋体" w:eastAsia="宋体" w:hint="ascii"/>
          <w:sz w:val="21"/>
          <w:spacing w:val="-2"/>
        </w:rPr>
        <w:t>的</w:t>
      </w:r>
      <w:r>
        <w:rPr>
          <w:rFonts w:ascii="宋体" w:hAnsi="宋体" w:cs="宋体" w:eastAsia="宋体" w:hint="ascii"/>
          <w:sz w:val="21"/>
          <w:spacing w:val="-3"/>
        </w:rPr>
        <w:t>构</w:t>
      </w:r>
      <w:r>
        <w:rPr>
          <w:rFonts w:ascii="宋体" w:hAnsi="宋体" w:cs="宋体" w:eastAsia="宋体" w:hint="ascii"/>
          <w:sz w:val="21"/>
          <w:spacing w:val="-2"/>
        </w:rPr>
        <w:t>造和</w:t>
      </w:r>
      <w:r>
        <w:rPr>
          <w:rFonts w:ascii="宋体" w:hAnsi="宋体" w:cs="宋体" w:eastAsia="宋体" w:hint="ascii"/>
          <w:sz w:val="21"/>
          <w:spacing w:val="-3"/>
        </w:rPr>
        <w:t>动</w:t>
      </w:r>
      <w:r>
        <w:rPr>
          <w:rFonts w:ascii="宋体" w:hAnsi="宋体" w:cs="宋体" w:eastAsia="宋体" w:hint="ascii"/>
          <w:sz w:val="21"/>
          <w:spacing w:val="-2"/>
        </w:rPr>
        <w:t>力</w:t>
      </w:r>
      <w:r>
        <w:rPr>
          <w:rFonts w:ascii="宋体" w:hAnsi="宋体" w:cs="宋体" w:eastAsia="宋体" w:hint="ascii"/>
          <w:sz w:val="21"/>
          <w:spacing w:val="-3"/>
        </w:rPr>
        <w:t>学</w:t>
      </w:r>
      <w:r>
        <w:rPr>
          <w:rFonts w:ascii="宋体" w:hAnsi="宋体" w:cs="宋体" w:eastAsia="宋体" w:hint="ascii"/>
          <w:sz w:val="21"/>
          <w:spacing w:val="-2"/>
        </w:rPr>
        <w:t>计算</w:t>
      </w:r>
      <w:r>
        <w:rPr>
          <w:rFonts w:ascii="宋体" w:hAnsi="宋体" w:cs="宋体" w:eastAsia="宋体" w:hint="ascii"/>
          <w:sz w:val="21"/>
          <w:spacing w:val="-3"/>
        </w:rPr>
        <w:t>；</w:t>
      </w:r>
      <w:r>
        <w:rPr>
          <w:rFonts w:ascii="宋体" w:hAnsi="宋体" w:cs="宋体" w:eastAsia="宋体" w:hint="ascii"/>
          <w:sz w:val="21"/>
          <w:spacing w:val="-2"/>
        </w:rPr>
        <w:t>鼓</w:t>
      </w:r>
      <w:r>
        <w:rPr>
          <w:rFonts w:ascii="宋体" w:hAnsi="宋体" w:cs="宋体" w:eastAsia="宋体" w:hint="ascii"/>
          <w:sz w:val="21"/>
          <w:spacing w:val="-3"/>
        </w:rPr>
        <w:t>励结</w:t>
      </w:r>
      <w:r>
        <w:rPr>
          <w:rFonts w:ascii="宋体" w:hAnsi="宋体" w:cs="宋体" w:eastAsia="宋体" w:hint="ascii"/>
          <w:sz w:val="21"/>
          <w:spacing w:val="-2"/>
        </w:rPr>
        <w:t>合</w:t>
      </w:r>
      <w:r>
        <w:rPr>
          <w:rFonts w:ascii="宋体" w:hAnsi="宋体" w:cs="宋体" w:eastAsia="宋体" w:hint="ascii"/>
          <w:sz w:val="21"/>
          <w:spacing w:val="-3"/>
        </w:rPr>
        <w:t>高</w:t>
      </w:r>
      <w:r>
        <w:rPr>
          <w:rFonts w:ascii="宋体" w:hAnsi="宋体" w:cs="宋体" w:eastAsia="宋体" w:hint="ascii"/>
          <w:sz w:val="21"/>
        </w:rPr>
        <w:t>效</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分子</w:t>
      </w:r>
      <w:r>
        <w:rPr>
          <w:rFonts w:ascii="宋体" w:hAnsi="宋体" w:cs="宋体" w:eastAsia="宋体" w:hint="ascii"/>
          <w:sz w:val="21"/>
          <w:spacing w:val="-3"/>
        </w:rPr>
        <w:t>激</w:t>
      </w:r>
      <w:r>
        <w:rPr>
          <w:rFonts w:ascii="宋体" w:hAnsi="宋体" w:cs="宋体" w:eastAsia="宋体" w:hint="ascii"/>
          <w:sz w:val="21"/>
          <w:spacing w:val="-2"/>
        </w:rPr>
        <w:t>发</w:t>
      </w:r>
      <w:r>
        <w:rPr>
          <w:rFonts w:ascii="宋体" w:hAnsi="宋体" w:cs="宋体" w:eastAsia="宋体" w:hint="ascii"/>
          <w:sz w:val="21"/>
          <w:spacing w:val="-3"/>
        </w:rPr>
        <w:t>态</w:t>
      </w:r>
      <w:r>
        <w:rPr>
          <w:rFonts w:ascii="宋体" w:hAnsi="宋体" w:cs="宋体" w:eastAsia="宋体" w:hint="ascii"/>
          <w:sz w:val="21"/>
          <w:spacing w:val="-2"/>
        </w:rPr>
        <w:t>制备</w:t>
      </w:r>
      <w:r>
        <w:rPr>
          <w:rFonts w:ascii="宋体" w:hAnsi="宋体" w:cs="宋体" w:eastAsia="宋体" w:hint="ascii"/>
          <w:sz w:val="21"/>
          <w:spacing w:val="-3"/>
        </w:rPr>
        <w:t>方</w:t>
      </w:r>
      <w:r>
        <w:rPr>
          <w:rFonts w:ascii="宋体" w:hAnsi="宋体" w:cs="宋体" w:eastAsia="宋体" w:hint="ascii"/>
          <w:sz w:val="21"/>
          <w:spacing w:val="-2"/>
        </w:rPr>
        <w:t>法</w:t>
      </w:r>
      <w:r>
        <w:rPr>
          <w:rFonts w:ascii="宋体" w:hAnsi="宋体" w:cs="宋体" w:eastAsia="宋体" w:hint="ascii"/>
          <w:sz w:val="21"/>
          <w:spacing w:val="-3"/>
        </w:rPr>
        <w:t>和</w:t>
      </w:r>
      <w:r>
        <w:rPr>
          <w:rFonts w:ascii="宋体" w:hAnsi="宋体" w:cs="宋体" w:eastAsia="宋体" w:hint="ascii"/>
          <w:sz w:val="21"/>
          <w:spacing w:val="-2"/>
        </w:rPr>
        <w:t>相干</w:t>
      </w:r>
      <w:r>
        <w:rPr>
          <w:rFonts w:ascii="宋体" w:hAnsi="宋体" w:cs="宋体" w:eastAsia="宋体" w:hint="ascii"/>
          <w:sz w:val="21"/>
          <w:spacing w:val="-3"/>
        </w:rPr>
        <w:t>光</w:t>
      </w:r>
      <w:r>
        <w:rPr>
          <w:rFonts w:ascii="宋体" w:hAnsi="宋体" w:cs="宋体" w:eastAsia="宋体" w:hint="ascii"/>
          <w:sz w:val="21"/>
          <w:spacing w:val="-2"/>
        </w:rPr>
        <w:t>源</w:t>
      </w:r>
      <w:r>
        <w:rPr>
          <w:rFonts w:ascii="宋体" w:hAnsi="宋体" w:cs="宋体" w:eastAsia="宋体" w:hint="ascii"/>
          <w:sz w:val="21"/>
          <w:spacing w:val="-3"/>
        </w:rPr>
        <w:t>的</w:t>
      </w:r>
      <w:r>
        <w:rPr>
          <w:rFonts w:ascii="宋体" w:hAnsi="宋体" w:cs="宋体" w:eastAsia="宋体" w:hint="ascii"/>
          <w:sz w:val="21"/>
          <w:spacing w:val="-2"/>
        </w:rPr>
        <w:t>探测</w:t>
      </w:r>
      <w:r>
        <w:rPr>
          <w:rFonts w:ascii="宋体" w:hAnsi="宋体" w:cs="宋体" w:eastAsia="宋体" w:hint="ascii"/>
          <w:sz w:val="21"/>
          <w:spacing w:val="-3"/>
        </w:rPr>
        <w:t>技</w:t>
      </w:r>
      <w:r>
        <w:rPr>
          <w:rFonts w:ascii="宋体" w:hAnsi="宋体" w:cs="宋体" w:eastAsia="宋体" w:hint="ascii"/>
          <w:sz w:val="21"/>
          <w:spacing w:val="-2"/>
        </w:rPr>
        <w:t>术</w:t>
      </w:r>
      <w:r>
        <w:rPr>
          <w:rFonts w:ascii="宋体" w:hAnsi="宋体" w:cs="宋体" w:eastAsia="宋体" w:hint="ascii"/>
          <w:sz w:val="21"/>
          <w:spacing w:val="-3"/>
        </w:rPr>
        <w:t>，</w:t>
      </w:r>
      <w:r>
        <w:rPr>
          <w:rFonts w:ascii="宋体" w:hAnsi="宋体" w:cs="宋体" w:eastAsia="宋体" w:hint="ascii"/>
          <w:sz w:val="21"/>
          <w:spacing w:val="-2"/>
        </w:rPr>
        <w:t>开展</w:t>
      </w:r>
      <w:r>
        <w:rPr>
          <w:rFonts w:ascii="宋体" w:hAnsi="宋体" w:cs="宋体" w:eastAsia="宋体" w:hint="ascii"/>
          <w:sz w:val="21"/>
          <w:spacing w:val="-3"/>
        </w:rPr>
        <w:t>化</w:t>
      </w:r>
      <w:r>
        <w:rPr>
          <w:rFonts w:ascii="宋体" w:hAnsi="宋体" w:cs="宋体" w:eastAsia="宋体" w:hint="ascii"/>
          <w:sz w:val="21"/>
          <w:spacing w:val="-2"/>
        </w:rPr>
        <w:t>学</w:t>
      </w:r>
      <w:r>
        <w:rPr>
          <w:rFonts w:ascii="宋体" w:hAnsi="宋体" w:cs="宋体" w:eastAsia="宋体" w:hint="ascii"/>
          <w:sz w:val="21"/>
          <w:spacing w:val="-3"/>
        </w:rPr>
        <w:t>动</w:t>
      </w:r>
      <w:r>
        <w:rPr>
          <w:rFonts w:ascii="宋体" w:hAnsi="宋体" w:cs="宋体" w:eastAsia="宋体" w:hint="ascii"/>
          <w:sz w:val="21"/>
          <w:spacing w:val="-2"/>
        </w:rPr>
        <w:t>态学</w:t>
      </w:r>
      <w:r>
        <w:rPr>
          <w:rFonts w:ascii="宋体" w:hAnsi="宋体" w:cs="宋体" w:eastAsia="宋体" w:hint="ascii"/>
          <w:sz w:val="21"/>
          <w:spacing w:val="-3"/>
        </w:rPr>
        <w:t>研</w:t>
      </w:r>
      <w:r>
        <w:rPr>
          <w:rFonts w:ascii="宋体" w:hAnsi="宋体" w:cs="宋体" w:eastAsia="宋体" w:hint="ascii"/>
          <w:sz w:val="21"/>
          <w:spacing w:val="-2"/>
        </w:rPr>
        <w:t>究</w:t>
      </w:r>
      <w:r>
        <w:rPr>
          <w:rFonts w:ascii="宋体" w:hAnsi="宋体" w:cs="宋体" w:eastAsia="宋体" w:hint="ascii"/>
          <w:sz w:val="21"/>
          <w:spacing w:val="-3"/>
        </w:rPr>
        <w:t>。</w:t>
      </w:r>
      <w:r>
        <w:rPr>
          <w:rFonts w:ascii="宋体" w:hAnsi="宋体" w:cs="宋体" w:eastAsia="宋体" w:hint="ascii"/>
          <w:sz w:val="21"/>
          <w:spacing w:val="-2"/>
        </w:rPr>
        <w:t>结构</w:t>
      </w:r>
      <w:r>
        <w:rPr>
          <w:rFonts w:ascii="宋体" w:hAnsi="宋体" w:cs="宋体" w:eastAsia="宋体" w:hint="ascii"/>
          <w:sz w:val="21"/>
          <w:spacing w:val="-3"/>
        </w:rPr>
        <w:t>化</w:t>
      </w:r>
      <w:r>
        <w:rPr>
          <w:rFonts w:ascii="宋体" w:hAnsi="宋体" w:cs="宋体" w:eastAsia="宋体" w:hint="ascii"/>
          <w:sz w:val="21"/>
          <w:spacing w:val="-2"/>
        </w:rPr>
        <w:t>学</w:t>
      </w:r>
      <w:r>
        <w:rPr>
          <w:rFonts w:ascii="宋体" w:hAnsi="宋体" w:cs="宋体" w:eastAsia="宋体" w:hint="ascii"/>
          <w:sz w:val="21"/>
          <w:spacing w:val="-3"/>
        </w:rPr>
        <w:t>的申</w:t>
      </w:r>
      <w:r>
        <w:rPr>
          <w:rFonts w:ascii="宋体" w:hAnsi="宋体" w:cs="宋体" w:eastAsia="宋体" w:hint="ascii"/>
          <w:sz w:val="21"/>
          <w:spacing w:val="-2"/>
        </w:rPr>
        <w:t>请</w:t>
      </w:r>
      <w:r>
        <w:rPr>
          <w:rFonts w:ascii="宋体" w:hAnsi="宋体" w:cs="宋体" w:eastAsia="宋体" w:hint="ascii"/>
          <w:sz w:val="21"/>
          <w:spacing w:val="-3"/>
        </w:rPr>
        <w:t>项</w:t>
      </w:r>
      <w:r>
        <w:rPr>
          <w:rFonts w:ascii="宋体" w:hAnsi="宋体" w:cs="宋体" w:eastAsia="宋体" w:hint="ascii"/>
          <w:sz w:val="21"/>
        </w:rPr>
        <w:t>目</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要更</w:t>
      </w:r>
      <w:r>
        <w:rPr>
          <w:rFonts w:ascii="宋体" w:hAnsi="宋体" w:cs="宋体" w:eastAsia="宋体" w:hint="ascii"/>
          <w:sz w:val="21"/>
          <w:spacing w:val="-3"/>
        </w:rPr>
        <w:t>加</w:t>
      </w:r>
      <w:r>
        <w:rPr>
          <w:rFonts w:ascii="宋体" w:hAnsi="宋体" w:cs="宋体" w:eastAsia="宋体" w:hint="ascii"/>
          <w:sz w:val="21"/>
          <w:spacing w:val="-2"/>
        </w:rPr>
        <w:t>注</w:t>
      </w:r>
      <w:r>
        <w:rPr>
          <w:rFonts w:ascii="宋体" w:hAnsi="宋体" w:cs="宋体" w:eastAsia="宋体" w:hint="ascii"/>
          <w:sz w:val="21"/>
          <w:spacing w:val="-3"/>
        </w:rPr>
        <w:t>重</w:t>
      </w:r>
      <w:r>
        <w:rPr>
          <w:rFonts w:ascii="宋体" w:hAnsi="宋体" w:cs="宋体" w:eastAsia="宋体" w:hint="ascii"/>
          <w:sz w:val="21"/>
          <w:spacing w:val="-2"/>
        </w:rPr>
        <w:t>研究</w:t>
      </w:r>
      <w:r>
        <w:rPr>
          <w:rFonts w:ascii="宋体" w:hAnsi="宋体" w:cs="宋体" w:eastAsia="宋体" w:hint="ascii"/>
          <w:sz w:val="21"/>
          <w:spacing w:val="-3"/>
        </w:rPr>
        <w:t>复</w:t>
      </w:r>
      <w:r>
        <w:rPr>
          <w:rFonts w:ascii="宋体" w:hAnsi="宋体" w:cs="宋体" w:eastAsia="宋体" w:hint="ascii"/>
          <w:sz w:val="21"/>
          <w:spacing w:val="-2"/>
        </w:rPr>
        <w:t>杂</w:t>
      </w:r>
      <w:r>
        <w:rPr>
          <w:rFonts w:ascii="宋体" w:hAnsi="宋体" w:cs="宋体" w:eastAsia="宋体" w:hint="ascii"/>
          <w:sz w:val="21"/>
          <w:spacing w:val="-3"/>
        </w:rPr>
        <w:t>功</w:t>
      </w:r>
      <w:r>
        <w:rPr>
          <w:rFonts w:ascii="宋体" w:hAnsi="宋体" w:cs="宋体" w:eastAsia="宋体" w:hint="ascii"/>
          <w:sz w:val="21"/>
          <w:spacing w:val="-2"/>
        </w:rPr>
        <w:t>能体</w:t>
      </w:r>
      <w:r>
        <w:rPr>
          <w:rFonts w:ascii="宋体" w:hAnsi="宋体" w:cs="宋体" w:eastAsia="宋体" w:hint="ascii"/>
          <w:sz w:val="21"/>
          <w:spacing w:val="-3"/>
        </w:rPr>
        <w:t>系</w:t>
      </w:r>
      <w:r>
        <w:rPr>
          <w:rFonts w:ascii="宋体" w:hAnsi="宋体" w:cs="宋体" w:eastAsia="宋体" w:hint="ascii"/>
          <w:sz w:val="21"/>
          <w:spacing w:val="-2"/>
        </w:rPr>
        <w:t>的</w:t>
      </w:r>
      <w:r>
        <w:rPr>
          <w:rFonts w:ascii="宋体" w:hAnsi="宋体" w:cs="宋体" w:eastAsia="宋体" w:hint="ascii"/>
          <w:sz w:val="21"/>
          <w:spacing w:val="-3"/>
        </w:rPr>
        <w:t>结</w:t>
      </w:r>
      <w:r>
        <w:rPr>
          <w:rFonts w:ascii="宋体" w:hAnsi="宋体" w:cs="宋体" w:eastAsia="宋体" w:hint="ascii"/>
          <w:sz w:val="21"/>
          <w:spacing w:val="-2"/>
        </w:rPr>
        <w:t>构特</w:t>
      </w:r>
      <w:r>
        <w:rPr>
          <w:rFonts w:ascii="宋体" w:hAnsi="宋体" w:cs="宋体" w:eastAsia="宋体" w:hint="ascii"/>
          <w:sz w:val="21"/>
          <w:spacing w:val="-3"/>
        </w:rPr>
        <w:t>征</w:t>
      </w:r>
      <w:r>
        <w:rPr>
          <w:rFonts w:ascii="宋体" w:hAnsi="宋体" w:cs="宋体" w:eastAsia="宋体" w:hint="ascii"/>
          <w:sz w:val="21"/>
          <w:spacing w:val="-2"/>
        </w:rPr>
        <w:t>、</w:t>
      </w:r>
      <w:r>
        <w:rPr>
          <w:rFonts w:ascii="宋体" w:hAnsi="宋体" w:cs="宋体" w:eastAsia="宋体" w:hint="ascii"/>
          <w:sz w:val="21"/>
          <w:spacing w:val="-3"/>
        </w:rPr>
        <w:t>理</w:t>
      </w:r>
      <w:r>
        <w:rPr>
          <w:rFonts w:ascii="宋体" w:hAnsi="宋体" w:cs="宋体" w:eastAsia="宋体" w:hint="ascii"/>
          <w:sz w:val="21"/>
          <w:spacing w:val="-2"/>
        </w:rPr>
        <w:t>论预</w:t>
      </w:r>
      <w:r>
        <w:rPr>
          <w:rFonts w:ascii="宋体" w:hAnsi="宋体" w:cs="宋体" w:eastAsia="宋体" w:hint="ascii"/>
          <w:sz w:val="21"/>
          <w:spacing w:val="-3"/>
        </w:rPr>
        <w:t>测</w:t>
      </w:r>
      <w:r>
        <w:rPr>
          <w:rFonts w:ascii="宋体" w:hAnsi="宋体" w:cs="宋体" w:eastAsia="宋体" w:hint="ascii"/>
          <w:sz w:val="21"/>
          <w:spacing w:val="-2"/>
        </w:rPr>
        <w:t>、</w:t>
      </w:r>
      <w:r>
        <w:rPr>
          <w:rFonts w:ascii="宋体" w:hAnsi="宋体" w:cs="宋体" w:eastAsia="宋体" w:hint="ascii"/>
          <w:sz w:val="21"/>
          <w:spacing w:val="-3"/>
        </w:rPr>
        <w:t>可</w:t>
      </w:r>
      <w:r>
        <w:rPr>
          <w:rFonts w:ascii="宋体" w:hAnsi="宋体" w:cs="宋体" w:eastAsia="宋体" w:hint="ascii"/>
          <w:sz w:val="21"/>
          <w:spacing w:val="-2"/>
        </w:rPr>
        <w:t>控合</w:t>
      </w:r>
      <w:r>
        <w:rPr>
          <w:rFonts w:ascii="宋体" w:hAnsi="宋体" w:cs="宋体" w:eastAsia="宋体" w:hint="ascii"/>
          <w:sz w:val="21"/>
          <w:spacing w:val="-3"/>
        </w:rPr>
        <w:t>成</w:t>
      </w:r>
      <w:r>
        <w:rPr>
          <w:rFonts w:ascii="宋体" w:hAnsi="宋体" w:cs="宋体" w:eastAsia="宋体" w:hint="ascii"/>
          <w:sz w:val="21"/>
          <w:spacing w:val="-2"/>
        </w:rPr>
        <w:t>与</w:t>
      </w:r>
      <w:r>
        <w:rPr>
          <w:rFonts w:ascii="宋体" w:hAnsi="宋体" w:cs="宋体" w:eastAsia="宋体" w:hint="ascii"/>
          <w:sz w:val="21"/>
          <w:spacing w:val="-3"/>
        </w:rPr>
        <w:t>自</w:t>
      </w:r>
      <w:r>
        <w:rPr>
          <w:rFonts w:ascii="宋体" w:hAnsi="宋体" w:cs="宋体" w:eastAsia="宋体" w:hint="ascii"/>
          <w:sz w:val="21"/>
          <w:spacing w:val="-2"/>
        </w:rPr>
        <w:t>组装</w:t>
      </w:r>
      <w:r>
        <w:rPr>
          <w:rFonts w:ascii="宋体" w:hAnsi="宋体" w:cs="宋体" w:eastAsia="宋体" w:hint="ascii"/>
          <w:sz w:val="21"/>
          <w:spacing w:val="-3"/>
        </w:rPr>
        <w:t>方</w:t>
      </w:r>
      <w:r>
        <w:rPr>
          <w:rFonts w:ascii="宋体" w:hAnsi="宋体" w:cs="宋体" w:eastAsia="宋体" w:hint="ascii"/>
          <w:sz w:val="21"/>
          <w:spacing w:val="-2"/>
        </w:rPr>
        <w:t>法</w:t>
      </w:r>
      <w:r>
        <w:rPr>
          <w:rFonts w:ascii="宋体" w:hAnsi="宋体" w:cs="宋体" w:eastAsia="宋体" w:hint="ascii"/>
          <w:sz w:val="21"/>
          <w:spacing w:val="-3"/>
        </w:rPr>
        <w:t>、动</w:t>
      </w:r>
      <w:r>
        <w:rPr>
          <w:rFonts w:ascii="宋体" w:hAnsi="宋体" w:cs="宋体" w:eastAsia="宋体" w:hint="ascii"/>
          <w:sz w:val="21"/>
          <w:spacing w:val="-2"/>
        </w:rPr>
        <w:t>态</w:t>
      </w:r>
      <w:r>
        <w:rPr>
          <w:rFonts w:ascii="宋体" w:hAnsi="宋体" w:cs="宋体" w:eastAsia="宋体" w:hint="ascii"/>
          <w:sz w:val="21"/>
          <w:spacing w:val="-3"/>
        </w:rPr>
        <w:t>转</w:t>
      </w:r>
      <w:r>
        <w:rPr>
          <w:rFonts w:ascii="宋体" w:hAnsi="宋体" w:cs="宋体" w:eastAsia="宋体" w:hint="ascii"/>
          <w:sz w:val="21"/>
        </w:rPr>
        <w:t>化</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与结</w:t>
      </w:r>
      <w:r>
        <w:rPr>
          <w:rFonts w:ascii="宋体" w:hAnsi="宋体" w:cs="宋体" w:eastAsia="宋体" w:hint="ascii"/>
          <w:sz w:val="21"/>
          <w:spacing w:val="-3"/>
        </w:rPr>
        <w:t>构</w:t>
      </w:r>
      <w:r>
        <w:rPr>
          <w:rFonts w:ascii="宋体" w:hAnsi="宋体" w:cs="宋体" w:eastAsia="宋体" w:hint="ascii"/>
          <w:sz w:val="21"/>
          <w:spacing w:val="-2"/>
        </w:rPr>
        <w:t>调</w:t>
      </w:r>
      <w:r>
        <w:rPr>
          <w:rFonts w:ascii="宋体" w:hAnsi="宋体" w:cs="宋体" w:eastAsia="宋体" w:hint="ascii"/>
          <w:sz w:val="21"/>
          <w:spacing w:val="-3"/>
        </w:rPr>
        <w:t>控</w:t>
      </w:r>
      <w:r>
        <w:rPr>
          <w:rFonts w:ascii="宋体" w:hAnsi="宋体" w:cs="宋体" w:eastAsia="宋体" w:hint="ascii"/>
          <w:sz w:val="21"/>
          <w:spacing w:val="-2"/>
        </w:rPr>
        <w:t>。光</w:t>
      </w:r>
      <w:r>
        <w:rPr>
          <w:rFonts w:ascii="宋体" w:hAnsi="宋体" w:cs="宋体" w:eastAsia="宋体" w:hint="ascii"/>
          <w:sz w:val="21"/>
          <w:spacing w:val="-3"/>
        </w:rPr>
        <w:t>化</w:t>
      </w:r>
      <w:r>
        <w:rPr>
          <w:rFonts w:ascii="宋体" w:hAnsi="宋体" w:cs="宋体" w:eastAsia="宋体" w:hint="ascii"/>
          <w:sz w:val="21"/>
          <w:spacing w:val="-2"/>
        </w:rPr>
        <w:t>学</w:t>
      </w:r>
      <w:r>
        <w:rPr>
          <w:rFonts w:ascii="宋体" w:hAnsi="宋体" w:cs="宋体" w:eastAsia="宋体" w:hint="ascii"/>
          <w:sz w:val="21"/>
          <w:spacing w:val="-3"/>
        </w:rPr>
        <w:t>与</w:t>
      </w:r>
      <w:r>
        <w:rPr>
          <w:rFonts w:ascii="宋体" w:hAnsi="宋体" w:cs="宋体" w:eastAsia="宋体" w:hint="ascii"/>
          <w:sz w:val="21"/>
          <w:spacing w:val="-2"/>
        </w:rPr>
        <w:t>光谱</w:t>
      </w:r>
      <w:r>
        <w:rPr>
          <w:rFonts w:ascii="宋体" w:hAnsi="宋体" w:cs="宋体" w:eastAsia="宋体" w:hint="ascii"/>
          <w:sz w:val="21"/>
          <w:spacing w:val="-3"/>
        </w:rPr>
        <w:t>学</w:t>
      </w:r>
      <w:r>
        <w:rPr>
          <w:rFonts w:ascii="宋体" w:hAnsi="宋体" w:cs="宋体" w:eastAsia="宋体" w:hint="ascii"/>
          <w:sz w:val="21"/>
          <w:spacing w:val="-2"/>
        </w:rPr>
        <w:t>要</w:t>
      </w:r>
      <w:r>
        <w:rPr>
          <w:rFonts w:ascii="宋体" w:hAnsi="宋体" w:cs="宋体" w:eastAsia="宋体" w:hint="ascii"/>
          <w:sz w:val="21"/>
          <w:spacing w:val="-3"/>
        </w:rPr>
        <w:t>结</w:t>
      </w:r>
      <w:r>
        <w:rPr>
          <w:rFonts w:ascii="宋体" w:hAnsi="宋体" w:cs="宋体" w:eastAsia="宋体" w:hint="ascii"/>
          <w:sz w:val="21"/>
          <w:spacing w:val="-2"/>
        </w:rPr>
        <w:t>合短</w:t>
      </w:r>
      <w:r>
        <w:rPr>
          <w:rFonts w:ascii="宋体" w:hAnsi="宋体" w:cs="宋体" w:eastAsia="宋体" w:hint="ascii"/>
          <w:sz w:val="21"/>
          <w:spacing w:val="-3"/>
        </w:rPr>
        <w:t>脉</w:t>
      </w:r>
      <w:r>
        <w:rPr>
          <w:rFonts w:ascii="宋体" w:hAnsi="宋体" w:cs="宋体" w:eastAsia="宋体" w:hint="ascii"/>
          <w:sz w:val="21"/>
          <w:spacing w:val="-2"/>
        </w:rPr>
        <w:t>冲</w:t>
      </w:r>
      <w:r>
        <w:rPr>
          <w:rFonts w:ascii="宋体" w:hAnsi="宋体" w:cs="宋体" w:eastAsia="宋体" w:hint="ascii"/>
          <w:sz w:val="21"/>
          <w:spacing w:val="-3"/>
        </w:rPr>
        <w:t>激</w:t>
      </w:r>
      <w:r>
        <w:rPr>
          <w:rFonts w:ascii="宋体" w:hAnsi="宋体" w:cs="宋体" w:eastAsia="宋体" w:hint="ascii"/>
          <w:sz w:val="21"/>
          <w:spacing w:val="-2"/>
        </w:rPr>
        <w:t>光技</w:t>
      </w:r>
      <w:r>
        <w:rPr>
          <w:rFonts w:ascii="宋体" w:hAnsi="宋体" w:cs="宋体" w:eastAsia="宋体" w:hint="ascii"/>
          <w:sz w:val="21"/>
          <w:spacing w:val="-3"/>
        </w:rPr>
        <w:t>术</w:t>
      </w:r>
      <w:r>
        <w:rPr>
          <w:rFonts w:ascii="宋体" w:hAnsi="宋体" w:cs="宋体" w:eastAsia="宋体" w:hint="ascii"/>
          <w:sz w:val="21"/>
          <w:spacing w:val="-2"/>
        </w:rPr>
        <w:t>、</w:t>
      </w:r>
      <w:r>
        <w:rPr>
          <w:rFonts w:ascii="宋体" w:hAnsi="宋体" w:cs="宋体" w:eastAsia="宋体" w:hint="ascii"/>
          <w:sz w:val="21"/>
          <w:spacing w:val="-3"/>
        </w:rPr>
        <w:t>空</w:t>
      </w:r>
      <w:r>
        <w:rPr>
          <w:rFonts w:ascii="宋体" w:hAnsi="宋体" w:cs="宋体" w:eastAsia="宋体" w:hint="ascii"/>
          <w:sz w:val="21"/>
          <w:spacing w:val="-2"/>
        </w:rPr>
        <w:t>间分</w:t>
      </w:r>
      <w:r>
        <w:rPr>
          <w:rFonts w:ascii="宋体" w:hAnsi="宋体" w:cs="宋体" w:eastAsia="宋体" w:hint="ascii"/>
          <w:sz w:val="21"/>
          <w:spacing w:val="-3"/>
        </w:rPr>
        <w:t>辨</w:t>
      </w:r>
      <w:r>
        <w:rPr>
          <w:rFonts w:ascii="宋体" w:hAnsi="宋体" w:cs="宋体" w:eastAsia="宋体" w:hint="ascii"/>
          <w:sz w:val="21"/>
          <w:spacing w:val="-2"/>
        </w:rPr>
        <w:t>与</w:t>
      </w:r>
      <w:r>
        <w:rPr>
          <w:rFonts w:ascii="宋体" w:hAnsi="宋体" w:cs="宋体" w:eastAsia="宋体" w:hint="ascii"/>
          <w:sz w:val="21"/>
          <w:spacing w:val="-3"/>
        </w:rPr>
        <w:t>时</w:t>
      </w:r>
      <w:r>
        <w:rPr>
          <w:rFonts w:ascii="宋体" w:hAnsi="宋体" w:cs="宋体" w:eastAsia="宋体" w:hint="ascii"/>
          <w:sz w:val="21"/>
          <w:spacing w:val="-2"/>
        </w:rPr>
        <w:t>间分</w:t>
      </w:r>
      <w:r>
        <w:rPr>
          <w:rFonts w:ascii="宋体" w:hAnsi="宋体" w:cs="宋体" w:eastAsia="宋体" w:hint="ascii"/>
          <w:sz w:val="21"/>
          <w:spacing w:val="-3"/>
        </w:rPr>
        <w:t>辨</w:t>
      </w:r>
      <w:r>
        <w:rPr>
          <w:rFonts w:ascii="宋体" w:hAnsi="宋体" w:cs="宋体" w:eastAsia="宋体" w:hint="ascii"/>
          <w:sz w:val="21"/>
          <w:spacing w:val="-2"/>
        </w:rPr>
        <w:t>相</w:t>
      </w:r>
      <w:r>
        <w:rPr>
          <w:rFonts w:ascii="宋体" w:hAnsi="宋体" w:cs="宋体" w:eastAsia="宋体" w:hint="ascii"/>
          <w:sz w:val="21"/>
          <w:spacing w:val="-3"/>
        </w:rPr>
        <w:t>结合</w:t>
      </w:r>
      <w:r>
        <w:rPr>
          <w:rFonts w:ascii="宋体" w:hAnsi="宋体" w:cs="宋体" w:eastAsia="宋体" w:hint="ascii"/>
          <w:sz w:val="21"/>
          <w:spacing w:val="-2"/>
        </w:rPr>
        <w:t>的</w:t>
      </w:r>
      <w:r>
        <w:rPr>
          <w:rFonts w:ascii="宋体" w:hAnsi="宋体" w:cs="宋体" w:eastAsia="宋体" w:hint="ascii"/>
          <w:sz w:val="21"/>
          <w:spacing w:val="-3"/>
        </w:rPr>
        <w:t>光</w:t>
      </w:r>
      <w:r>
        <w:rPr>
          <w:rFonts w:ascii="宋体" w:hAnsi="宋体" w:cs="宋体" w:eastAsia="宋体" w:hint="ascii"/>
          <w:sz w:val="21"/>
        </w:rPr>
        <w:t>谱</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技术</w:t>
      </w:r>
      <w:r>
        <w:rPr>
          <w:rFonts w:ascii="宋体" w:hAnsi="宋体" w:cs="宋体" w:eastAsia="宋体" w:hint="ascii"/>
          <w:sz w:val="21"/>
          <w:spacing w:val="-3"/>
        </w:rPr>
        <w:t>开</w:t>
      </w:r>
      <w:r>
        <w:rPr>
          <w:rFonts w:ascii="宋体" w:hAnsi="宋体" w:cs="宋体" w:eastAsia="宋体" w:hint="ascii"/>
          <w:sz w:val="21"/>
          <w:spacing w:val="-2"/>
        </w:rPr>
        <w:t>展</w:t>
      </w:r>
      <w:r>
        <w:rPr>
          <w:rFonts w:ascii="宋体" w:hAnsi="宋体" w:cs="宋体" w:eastAsia="宋体" w:hint="ascii"/>
          <w:sz w:val="21"/>
          <w:spacing w:val="-3"/>
        </w:rPr>
        <w:t>研</w:t>
      </w:r>
      <w:r>
        <w:rPr>
          <w:rFonts w:ascii="宋体" w:hAnsi="宋体" w:cs="宋体" w:eastAsia="宋体" w:hint="ascii"/>
          <w:sz w:val="21"/>
          <w:spacing w:val="-2"/>
        </w:rPr>
        <w:t>究。</w:t>
      </w:r>
      <w:r>
        <w:rPr>
          <w:rFonts w:ascii="宋体" w:hAnsi="宋体" w:cs="宋体" w:eastAsia="宋体" w:hint="ascii"/>
          <w:sz w:val="21"/>
          <w:spacing w:val="-3"/>
        </w:rPr>
        <w:t>化</w:t>
      </w:r>
      <w:r>
        <w:rPr>
          <w:rFonts w:ascii="宋体" w:hAnsi="宋体" w:cs="宋体" w:eastAsia="宋体" w:hint="ascii"/>
          <w:sz w:val="21"/>
          <w:spacing w:val="-2"/>
        </w:rPr>
        <w:t>学</w:t>
      </w:r>
      <w:r>
        <w:rPr>
          <w:rFonts w:ascii="宋体" w:hAnsi="宋体" w:cs="宋体" w:eastAsia="宋体" w:hint="ascii"/>
          <w:sz w:val="21"/>
          <w:spacing w:val="-3"/>
        </w:rPr>
        <w:t>反</w:t>
      </w:r>
      <w:r>
        <w:rPr>
          <w:rFonts w:ascii="宋体" w:hAnsi="宋体" w:cs="宋体" w:eastAsia="宋体" w:hint="ascii"/>
          <w:sz w:val="21"/>
          <w:spacing w:val="-2"/>
        </w:rPr>
        <w:t>应机</w:t>
      </w:r>
      <w:r>
        <w:rPr>
          <w:rFonts w:ascii="宋体" w:hAnsi="宋体" w:cs="宋体" w:eastAsia="宋体" w:hint="ascii"/>
          <w:sz w:val="21"/>
          <w:spacing w:val="-3"/>
        </w:rPr>
        <w:t>制</w:t>
      </w:r>
      <w:r>
        <w:rPr>
          <w:rFonts w:ascii="宋体" w:hAnsi="宋体" w:cs="宋体" w:eastAsia="宋体" w:hint="ascii"/>
          <w:sz w:val="21"/>
          <w:spacing w:val="-2"/>
        </w:rPr>
        <w:t>的</w:t>
      </w:r>
      <w:r>
        <w:rPr>
          <w:rFonts w:ascii="宋体" w:hAnsi="宋体" w:cs="宋体" w:eastAsia="宋体" w:hint="ascii"/>
          <w:sz w:val="21"/>
          <w:spacing w:val="-3"/>
        </w:rPr>
        <w:t>研</w:t>
      </w:r>
      <w:r>
        <w:rPr>
          <w:rFonts w:ascii="宋体" w:hAnsi="宋体" w:cs="宋体" w:eastAsia="宋体" w:hint="ascii"/>
          <w:sz w:val="21"/>
          <w:spacing w:val="-2"/>
        </w:rPr>
        <w:t>究要</w:t>
      </w:r>
      <w:r>
        <w:rPr>
          <w:rFonts w:ascii="宋体" w:hAnsi="宋体" w:cs="宋体" w:eastAsia="宋体" w:hint="ascii"/>
          <w:sz w:val="21"/>
          <w:spacing w:val="-3"/>
        </w:rPr>
        <w:t>重</w:t>
      </w:r>
      <w:r>
        <w:rPr>
          <w:rFonts w:ascii="宋体" w:hAnsi="宋体" w:cs="宋体" w:eastAsia="宋体" w:hint="ascii"/>
          <w:sz w:val="21"/>
          <w:spacing w:val="-2"/>
        </w:rPr>
        <w:t>在</w:t>
      </w:r>
      <w:r>
        <w:rPr>
          <w:rFonts w:ascii="宋体" w:hAnsi="宋体" w:cs="宋体" w:eastAsia="宋体" w:hint="ascii"/>
          <w:sz w:val="21"/>
          <w:spacing w:val="-3"/>
        </w:rPr>
        <w:t>探</w:t>
      </w:r>
      <w:r>
        <w:rPr>
          <w:rFonts w:ascii="宋体" w:hAnsi="宋体" w:cs="宋体" w:eastAsia="宋体" w:hint="ascii"/>
          <w:sz w:val="21"/>
          <w:spacing w:val="-2"/>
        </w:rPr>
        <w:t>讨化</w:t>
      </w:r>
      <w:r>
        <w:rPr>
          <w:rFonts w:ascii="宋体" w:hAnsi="宋体" w:cs="宋体" w:eastAsia="宋体" w:hint="ascii"/>
          <w:sz w:val="21"/>
          <w:spacing w:val="-3"/>
        </w:rPr>
        <w:t>学</w:t>
      </w:r>
      <w:r>
        <w:rPr>
          <w:rFonts w:ascii="宋体" w:hAnsi="宋体" w:cs="宋体" w:eastAsia="宋体" w:hint="ascii"/>
          <w:sz w:val="21"/>
          <w:spacing w:val="-2"/>
        </w:rPr>
        <w:t>反</w:t>
      </w:r>
      <w:r>
        <w:rPr>
          <w:rFonts w:ascii="宋体" w:hAnsi="宋体" w:cs="宋体" w:eastAsia="宋体" w:hint="ascii"/>
          <w:sz w:val="21"/>
          <w:spacing w:val="-3"/>
        </w:rPr>
        <w:t>应</w:t>
      </w:r>
      <w:r>
        <w:rPr>
          <w:rFonts w:ascii="宋体" w:hAnsi="宋体" w:cs="宋体" w:eastAsia="宋体" w:hint="ascii"/>
          <w:sz w:val="21"/>
          <w:spacing w:val="-2"/>
        </w:rPr>
        <w:t>微观</w:t>
      </w:r>
      <w:r>
        <w:rPr>
          <w:rFonts w:ascii="宋体" w:hAnsi="宋体" w:cs="宋体" w:eastAsia="宋体" w:hint="ascii"/>
          <w:sz w:val="21"/>
          <w:spacing w:val="-3"/>
        </w:rPr>
        <w:t>机</w:t>
      </w:r>
      <w:r>
        <w:rPr>
          <w:rFonts w:ascii="宋体" w:hAnsi="宋体" w:cs="宋体" w:eastAsia="宋体" w:hint="ascii"/>
          <w:sz w:val="21"/>
          <w:spacing w:val="-2"/>
        </w:rPr>
        <w:t>理</w:t>
      </w:r>
      <w:r>
        <w:rPr>
          <w:rFonts w:ascii="宋体" w:hAnsi="宋体" w:cs="宋体" w:eastAsia="宋体" w:hint="ascii"/>
          <w:sz w:val="21"/>
          <w:spacing w:val="-3"/>
        </w:rPr>
        <w:t>和</w:t>
      </w:r>
      <w:r>
        <w:rPr>
          <w:rFonts w:ascii="宋体" w:hAnsi="宋体" w:cs="宋体" w:eastAsia="宋体" w:hint="ascii"/>
          <w:sz w:val="21"/>
          <w:spacing w:val="-2"/>
        </w:rPr>
        <w:t>基本</w:t>
      </w:r>
      <w:r>
        <w:rPr>
          <w:rFonts w:ascii="宋体" w:hAnsi="宋体" w:cs="宋体" w:eastAsia="宋体" w:hint="ascii"/>
          <w:sz w:val="21"/>
          <w:spacing w:val="-3"/>
        </w:rPr>
        <w:t>规</w:t>
      </w:r>
      <w:r>
        <w:rPr>
          <w:rFonts w:ascii="宋体" w:hAnsi="宋体" w:cs="宋体" w:eastAsia="宋体" w:hint="ascii"/>
          <w:sz w:val="21"/>
          <w:spacing w:val="-2"/>
        </w:rPr>
        <w:t>律</w:t>
      </w:r>
      <w:r>
        <w:rPr>
          <w:rFonts w:ascii="宋体" w:hAnsi="宋体" w:cs="宋体" w:eastAsia="宋体" w:hint="ascii"/>
          <w:sz w:val="21"/>
          <w:spacing w:val="-3"/>
        </w:rPr>
        <w:t>。高</w:t>
      </w:r>
      <w:r>
        <w:rPr>
          <w:rFonts w:ascii="宋体" w:hAnsi="宋体" w:cs="宋体" w:eastAsia="宋体" w:hint="ascii"/>
          <w:sz w:val="21"/>
          <w:spacing w:val="-2"/>
        </w:rPr>
        <w:t>分</w:t>
      </w:r>
      <w:r>
        <w:rPr>
          <w:rFonts w:ascii="宋体" w:hAnsi="宋体" w:cs="宋体" w:eastAsia="宋体" w:hint="ascii"/>
          <w:sz w:val="21"/>
          <w:spacing w:val="-3"/>
        </w:rPr>
        <w:t>子</w:t>
      </w:r>
      <w:r>
        <w:rPr>
          <w:rFonts w:ascii="宋体" w:hAnsi="宋体" w:cs="宋体" w:eastAsia="宋体" w:hint="ascii"/>
          <w:sz w:val="21"/>
        </w:rPr>
        <w:t>物</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理与</w:t>
      </w:r>
      <w:r>
        <w:rPr>
          <w:rFonts w:ascii="宋体" w:hAnsi="宋体" w:cs="宋体" w:eastAsia="宋体" w:hint="ascii"/>
          <w:sz w:val="21"/>
          <w:spacing w:val="-3"/>
        </w:rPr>
        <w:t>高</w:t>
      </w:r>
      <w:r>
        <w:rPr>
          <w:rFonts w:ascii="宋体" w:hAnsi="宋体" w:cs="宋体" w:eastAsia="宋体" w:hint="ascii"/>
          <w:sz w:val="21"/>
          <w:spacing w:val="-2"/>
        </w:rPr>
        <w:t>分</w:t>
      </w:r>
      <w:r>
        <w:rPr>
          <w:rFonts w:ascii="宋体" w:hAnsi="宋体" w:cs="宋体" w:eastAsia="宋体" w:hint="ascii"/>
          <w:sz w:val="21"/>
          <w:spacing w:val="-3"/>
        </w:rPr>
        <w:t>子</w:t>
      </w:r>
      <w:r>
        <w:rPr>
          <w:rFonts w:ascii="宋体" w:hAnsi="宋体" w:cs="宋体" w:eastAsia="宋体" w:hint="ascii"/>
          <w:sz w:val="21"/>
          <w:spacing w:val="-2"/>
        </w:rPr>
        <w:t>物理</w:t>
      </w:r>
      <w:r>
        <w:rPr>
          <w:rFonts w:ascii="宋体" w:hAnsi="宋体" w:cs="宋体" w:eastAsia="宋体" w:hint="ascii"/>
          <w:sz w:val="21"/>
          <w:spacing w:val="-3"/>
        </w:rPr>
        <w:t>化</w:t>
      </w:r>
      <w:r>
        <w:rPr>
          <w:rFonts w:ascii="宋体" w:hAnsi="宋体" w:cs="宋体" w:eastAsia="宋体" w:hint="ascii"/>
          <w:sz w:val="21"/>
          <w:spacing w:val="-2"/>
        </w:rPr>
        <w:t>学</w:t>
      </w:r>
      <w:r>
        <w:rPr>
          <w:rFonts w:ascii="宋体" w:hAnsi="宋体" w:cs="宋体" w:eastAsia="宋体" w:hint="ascii"/>
          <w:sz w:val="21"/>
          <w:spacing w:val="-3"/>
        </w:rPr>
        <w:t>要</w:t>
      </w:r>
      <w:r>
        <w:rPr>
          <w:rFonts w:ascii="宋体" w:hAnsi="宋体" w:cs="宋体" w:eastAsia="宋体" w:hint="ascii"/>
          <w:sz w:val="21"/>
          <w:spacing w:val="-2"/>
        </w:rPr>
        <w:t>重点</w:t>
      </w:r>
      <w:r>
        <w:rPr>
          <w:rFonts w:ascii="宋体" w:hAnsi="宋体" w:cs="宋体" w:eastAsia="宋体" w:hint="ascii"/>
          <w:sz w:val="21"/>
          <w:spacing w:val="-3"/>
        </w:rPr>
        <w:t>研</w:t>
      </w:r>
      <w:r>
        <w:rPr>
          <w:rFonts w:ascii="宋体" w:hAnsi="宋体" w:cs="宋体" w:eastAsia="宋体" w:hint="ascii"/>
          <w:sz w:val="21"/>
          <w:spacing w:val="-2"/>
        </w:rPr>
        <w:t>究</w:t>
      </w:r>
      <w:r>
        <w:rPr>
          <w:rFonts w:ascii="宋体" w:hAnsi="宋体" w:cs="宋体" w:eastAsia="宋体" w:hint="ascii"/>
          <w:sz w:val="21"/>
          <w:spacing w:val="-3"/>
        </w:rPr>
        <w:t>大</w:t>
      </w:r>
      <w:r>
        <w:rPr>
          <w:rFonts w:ascii="宋体" w:hAnsi="宋体" w:cs="宋体" w:eastAsia="宋体" w:hint="ascii"/>
          <w:sz w:val="21"/>
          <w:spacing w:val="-2"/>
        </w:rPr>
        <w:t>分子</w:t>
      </w:r>
      <w:r>
        <w:rPr>
          <w:rFonts w:ascii="宋体" w:hAnsi="宋体" w:cs="宋体" w:eastAsia="宋体" w:hint="ascii"/>
          <w:sz w:val="21"/>
          <w:spacing w:val="-3"/>
        </w:rPr>
        <w:t>链</w:t>
      </w:r>
      <w:r>
        <w:rPr>
          <w:rFonts w:ascii="宋体" w:hAnsi="宋体" w:cs="宋体" w:eastAsia="宋体" w:hint="ascii"/>
          <w:sz w:val="21"/>
          <w:spacing w:val="-2"/>
        </w:rPr>
        <w:t>行</w:t>
      </w:r>
      <w:r>
        <w:rPr>
          <w:rFonts w:ascii="宋体" w:hAnsi="宋体" w:cs="宋体" w:eastAsia="宋体" w:hint="ascii"/>
          <w:sz w:val="21"/>
          <w:spacing w:val="-3"/>
        </w:rPr>
        <w:t>为</w:t>
      </w:r>
      <w:r>
        <w:rPr>
          <w:rFonts w:ascii="宋体" w:hAnsi="宋体" w:cs="宋体" w:eastAsia="宋体" w:hint="ascii"/>
          <w:sz w:val="21"/>
          <w:spacing w:val="-2"/>
        </w:rPr>
        <w:t>与相</w:t>
      </w:r>
      <w:r>
        <w:rPr>
          <w:rFonts w:ascii="宋体" w:hAnsi="宋体" w:cs="宋体" w:eastAsia="宋体" w:hint="ascii"/>
          <w:sz w:val="21"/>
          <w:spacing w:val="-3"/>
        </w:rPr>
        <w:t>互</w:t>
      </w:r>
      <w:r>
        <w:rPr>
          <w:rFonts w:ascii="宋体" w:hAnsi="宋体" w:cs="宋体" w:eastAsia="宋体" w:hint="ascii"/>
          <w:sz w:val="21"/>
          <w:spacing w:val="-2"/>
        </w:rPr>
        <w:t>作</w:t>
      </w:r>
      <w:r>
        <w:rPr>
          <w:rFonts w:ascii="宋体" w:hAnsi="宋体" w:cs="宋体" w:eastAsia="宋体" w:hint="ascii"/>
          <w:sz w:val="21"/>
          <w:spacing w:val="-3"/>
        </w:rPr>
        <w:t>用</w:t>
      </w:r>
      <w:r>
        <w:rPr>
          <w:rFonts w:ascii="宋体" w:hAnsi="宋体" w:cs="宋体" w:eastAsia="宋体" w:hint="ascii"/>
          <w:sz w:val="21"/>
          <w:spacing w:val="-2"/>
        </w:rPr>
        <w:t>，不</w:t>
      </w:r>
      <w:r>
        <w:rPr>
          <w:rFonts w:ascii="宋体" w:hAnsi="宋体" w:cs="宋体" w:eastAsia="宋体" w:hint="ascii"/>
          <w:sz w:val="21"/>
          <w:spacing w:val="-3"/>
        </w:rPr>
        <w:t>同</w:t>
      </w:r>
      <w:r>
        <w:rPr>
          <w:rFonts w:ascii="宋体" w:hAnsi="宋体" w:cs="宋体" w:eastAsia="宋体" w:hint="ascii"/>
          <w:sz w:val="21"/>
          <w:spacing w:val="-2"/>
        </w:rPr>
        <w:t>尺</w:t>
      </w:r>
      <w:r>
        <w:rPr>
          <w:rFonts w:ascii="宋体" w:hAnsi="宋体" w:cs="宋体" w:eastAsia="宋体" w:hint="ascii"/>
          <w:sz w:val="21"/>
          <w:spacing w:val="-3"/>
        </w:rPr>
        <w:t>度</w:t>
      </w:r>
      <w:r>
        <w:rPr>
          <w:rFonts w:ascii="宋体" w:hAnsi="宋体" w:cs="宋体" w:eastAsia="宋体" w:hint="ascii"/>
          <w:sz w:val="21"/>
          <w:spacing w:val="-2"/>
        </w:rPr>
        <w:t>结构</w:t>
      </w:r>
      <w:r>
        <w:rPr>
          <w:rFonts w:ascii="宋体" w:hAnsi="宋体" w:cs="宋体" w:eastAsia="宋体" w:hint="ascii"/>
          <w:sz w:val="21"/>
          <w:spacing w:val="-3"/>
        </w:rPr>
        <w:t>的</w:t>
      </w:r>
      <w:r>
        <w:rPr>
          <w:rFonts w:ascii="宋体" w:hAnsi="宋体" w:cs="宋体" w:eastAsia="宋体" w:hint="ascii"/>
          <w:sz w:val="21"/>
          <w:spacing w:val="-2"/>
        </w:rPr>
        <w:t>形</w:t>
      </w:r>
      <w:r>
        <w:rPr>
          <w:rFonts w:ascii="宋体" w:hAnsi="宋体" w:cs="宋体" w:eastAsia="宋体" w:hint="ascii"/>
          <w:sz w:val="21"/>
          <w:spacing w:val="-3"/>
        </w:rPr>
        <w:t>成与</w:t>
      </w:r>
      <w:r>
        <w:rPr>
          <w:rFonts w:ascii="宋体" w:hAnsi="宋体" w:cs="宋体" w:eastAsia="宋体" w:hint="ascii"/>
          <w:sz w:val="21"/>
          <w:spacing w:val="-2"/>
        </w:rPr>
        <w:t>演</w:t>
      </w:r>
      <w:r>
        <w:rPr>
          <w:rFonts w:ascii="宋体" w:hAnsi="宋体" w:cs="宋体" w:eastAsia="宋体" w:hint="ascii"/>
          <w:sz w:val="21"/>
          <w:spacing w:val="-3"/>
        </w:rPr>
        <w:t>变</w:t>
      </w:r>
      <w:r>
        <w:rPr>
          <w:rFonts w:ascii="宋体" w:hAnsi="宋体" w:cs="宋体" w:eastAsia="宋体" w:hint="ascii"/>
          <w:sz w:val="21"/>
        </w:rPr>
        <w:t>机</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制，</w:t>
      </w:r>
      <w:r>
        <w:rPr>
          <w:rFonts w:ascii="宋体" w:hAnsi="宋体" w:cs="宋体" w:eastAsia="宋体" w:hint="ascii"/>
          <w:sz w:val="21"/>
          <w:spacing w:val="-5"/>
        </w:rPr>
        <w:t>微</w:t>
      </w:r>
      <w:r>
        <w:rPr>
          <w:rFonts w:ascii="宋体" w:hAnsi="宋体" w:cs="宋体" w:eastAsia="宋体" w:hint="ascii"/>
          <w:sz w:val="21"/>
          <w:spacing w:val="-4"/>
        </w:rPr>
        <w:t>观</w:t>
      </w:r>
      <w:r>
        <w:rPr>
          <w:rFonts w:ascii="宋体" w:hAnsi="宋体" w:cs="宋体" w:eastAsia="宋体" w:hint="ascii"/>
          <w:sz w:val="21"/>
          <w:spacing w:val="-5"/>
        </w:rPr>
        <w:t>结</w:t>
      </w:r>
      <w:r>
        <w:rPr>
          <w:rFonts w:ascii="宋体" w:hAnsi="宋体" w:cs="宋体" w:eastAsia="宋体" w:hint="ascii"/>
          <w:sz w:val="21"/>
          <w:spacing w:val="-4"/>
        </w:rPr>
        <w:t>构与</w:t>
      </w:r>
      <w:r>
        <w:rPr>
          <w:rFonts w:ascii="宋体" w:hAnsi="宋体" w:cs="宋体" w:eastAsia="宋体" w:hint="ascii"/>
          <w:sz w:val="21"/>
          <w:spacing w:val="-5"/>
        </w:rPr>
        <w:t>宏</w:t>
      </w:r>
      <w:r>
        <w:rPr>
          <w:rFonts w:ascii="宋体" w:hAnsi="宋体" w:cs="宋体" w:eastAsia="宋体" w:hint="ascii"/>
          <w:sz w:val="21"/>
          <w:spacing w:val="-4"/>
        </w:rPr>
        <w:t>观</w:t>
      </w:r>
      <w:r>
        <w:rPr>
          <w:rFonts w:ascii="宋体" w:hAnsi="宋体" w:cs="宋体" w:eastAsia="宋体" w:hint="ascii"/>
          <w:sz w:val="21"/>
          <w:spacing w:val="-5"/>
        </w:rPr>
        <w:t>性</w:t>
      </w:r>
      <w:r>
        <w:rPr>
          <w:rFonts w:ascii="宋体" w:hAnsi="宋体" w:cs="宋体" w:eastAsia="宋体" w:hint="ascii"/>
          <w:sz w:val="21"/>
          <w:spacing w:val="-4"/>
        </w:rPr>
        <w:t>质的</w:t>
      </w:r>
      <w:r>
        <w:rPr>
          <w:rFonts w:ascii="宋体" w:hAnsi="宋体" w:cs="宋体" w:eastAsia="宋体" w:hint="ascii"/>
          <w:sz w:val="21"/>
          <w:spacing w:val="-5"/>
        </w:rPr>
        <w:t>关</w:t>
      </w:r>
      <w:r>
        <w:rPr>
          <w:rFonts w:ascii="宋体" w:hAnsi="宋体" w:cs="宋体" w:eastAsia="宋体" w:hint="ascii"/>
          <w:sz w:val="21"/>
          <w:spacing w:val="-4"/>
        </w:rPr>
        <w:t>联</w:t>
      </w:r>
      <w:r>
        <w:rPr>
          <w:rFonts w:ascii="宋体" w:hAnsi="宋体" w:cs="宋体" w:eastAsia="宋体" w:hint="ascii"/>
          <w:sz w:val="21"/>
          <w:spacing w:val="-5"/>
        </w:rPr>
        <w:t>与</w:t>
      </w:r>
      <w:r>
        <w:rPr>
          <w:rFonts w:ascii="宋体" w:hAnsi="宋体" w:cs="宋体" w:eastAsia="宋体" w:hint="ascii"/>
          <w:sz w:val="21"/>
          <w:spacing w:val="-4"/>
        </w:rPr>
        <w:t>控制</w:t>
      </w:r>
      <w:r>
        <w:rPr>
          <w:rFonts w:ascii="宋体" w:hAnsi="宋体" w:cs="宋体" w:eastAsia="宋体" w:hint="ascii"/>
          <w:sz w:val="21"/>
          <w:spacing w:val="-5"/>
        </w:rPr>
        <w:t>。</w:t>
      </w:r>
      <w:r>
        <w:rPr>
          <w:rFonts w:ascii="宋体" w:hAnsi="宋体" w:cs="宋体" w:eastAsia="宋体" w:hint="ascii"/>
          <w:sz w:val="21"/>
          <w:spacing w:val="-4"/>
        </w:rPr>
        <w:t>化</w:t>
      </w:r>
      <w:r>
        <w:rPr>
          <w:rFonts w:ascii="宋体" w:hAnsi="宋体" w:cs="宋体" w:eastAsia="宋体" w:hint="ascii"/>
          <w:sz w:val="21"/>
          <w:spacing w:val="-5"/>
        </w:rPr>
        <w:t>学</w:t>
      </w:r>
      <w:r>
        <w:rPr>
          <w:rFonts w:ascii="宋体" w:hAnsi="宋体" w:cs="宋体" w:eastAsia="宋体" w:hint="ascii"/>
          <w:sz w:val="21"/>
          <w:spacing w:val="-4"/>
        </w:rPr>
        <w:t>信息</w:t>
      </w:r>
      <w:r>
        <w:rPr>
          <w:rFonts w:ascii="宋体" w:hAnsi="宋体" w:cs="宋体" w:eastAsia="宋体" w:hint="ascii"/>
          <w:sz w:val="21"/>
          <w:spacing w:val="-5"/>
        </w:rPr>
        <w:t>学</w:t>
      </w:r>
      <w:r>
        <w:rPr>
          <w:rFonts w:ascii="宋体" w:hAnsi="宋体" w:cs="宋体" w:eastAsia="宋体" w:hint="ascii"/>
          <w:sz w:val="21"/>
          <w:spacing w:val="-4"/>
        </w:rPr>
        <w:t>倡</w:t>
      </w:r>
      <w:r>
        <w:rPr>
          <w:rFonts w:ascii="宋体" w:hAnsi="宋体" w:cs="宋体" w:eastAsia="宋体" w:hint="ascii"/>
          <w:sz w:val="21"/>
          <w:spacing w:val="-5"/>
        </w:rPr>
        <w:t>导</w:t>
      </w:r>
      <w:r>
        <w:rPr>
          <w:rFonts w:ascii="宋体" w:hAnsi="宋体" w:cs="宋体" w:eastAsia="宋体" w:hint="ascii"/>
          <w:sz w:val="21"/>
          <w:spacing w:val="-3"/>
        </w:rPr>
        <w:t>与人</w:t>
      </w:r>
      <w:r>
        <w:rPr>
          <w:rFonts w:ascii="宋体" w:hAnsi="宋体" w:cs="宋体" w:eastAsia="宋体" w:hint="ascii"/>
          <w:sz w:val="21"/>
          <w:spacing w:val="-4"/>
        </w:rPr>
        <w:t>工</w:t>
      </w:r>
      <w:r>
        <w:rPr>
          <w:rFonts w:ascii="宋体" w:hAnsi="宋体" w:cs="宋体" w:eastAsia="宋体" w:hint="ascii"/>
          <w:sz w:val="21"/>
          <w:spacing w:val="-3"/>
        </w:rPr>
        <w:t>智</w:t>
      </w:r>
      <w:r>
        <w:rPr>
          <w:rFonts w:ascii="宋体" w:hAnsi="宋体" w:cs="宋体" w:eastAsia="宋体" w:hint="ascii"/>
          <w:sz w:val="21"/>
          <w:spacing w:val="-4"/>
        </w:rPr>
        <w:t>能</w:t>
      </w:r>
      <w:r>
        <w:rPr>
          <w:rFonts w:ascii="宋体" w:hAnsi="宋体" w:cs="宋体" w:eastAsia="宋体" w:hint="ascii"/>
          <w:sz w:val="21"/>
          <w:spacing w:val="-3"/>
        </w:rPr>
        <w:t>和大</w:t>
      </w:r>
      <w:r>
        <w:rPr>
          <w:rFonts w:ascii="宋体" w:hAnsi="宋体" w:cs="宋体" w:eastAsia="宋体" w:hint="ascii"/>
          <w:sz w:val="21"/>
          <w:spacing w:val="-4"/>
        </w:rPr>
        <w:t>数</w:t>
      </w:r>
      <w:r>
        <w:rPr>
          <w:rFonts w:ascii="宋体" w:hAnsi="宋体" w:cs="宋体" w:eastAsia="宋体" w:hint="ascii"/>
          <w:sz w:val="21"/>
          <w:spacing w:val="-3"/>
        </w:rPr>
        <w:t>据</w:t>
      </w:r>
      <w:r>
        <w:rPr>
          <w:rFonts w:ascii="宋体" w:hAnsi="宋体" w:cs="宋体" w:eastAsia="宋体" w:hint="ascii"/>
          <w:sz w:val="21"/>
          <w:spacing w:val="-4"/>
        </w:rPr>
        <w:t>处理</w:t>
      </w:r>
      <w:r>
        <w:rPr>
          <w:rFonts w:ascii="宋体" w:hAnsi="宋体" w:cs="宋体" w:eastAsia="宋体" w:hint="ascii"/>
          <w:sz w:val="21"/>
          <w:spacing w:val="-3"/>
        </w:rPr>
        <w:t>技</w:t>
      </w:r>
      <w:r>
        <w:rPr>
          <w:rFonts w:ascii="宋体" w:hAnsi="宋体" w:cs="宋体" w:eastAsia="宋体" w:hint="ascii"/>
          <w:sz w:val="21"/>
          <w:spacing w:val="-4"/>
        </w:rPr>
        <w:t>术</w:t>
      </w:r>
      <w:r>
        <w:rPr>
          <w:rFonts w:ascii="宋体" w:hAnsi="宋体" w:cs="宋体" w:eastAsia="宋体" w:hint="ascii"/>
          <w:sz w:val="21"/>
          <w:spacing w:val="-1"/>
        </w:rPr>
        <w:t>融</w:t>
      </w:r>
      <w:r>
        <w:rPr>
          <w:rFonts w:ascii="宋体" w:hAnsi="宋体" w:cs="宋体" w:eastAsia="宋体" w:hint="ascii"/>
          <w:sz w:val="21"/>
        </w:rPr>
        <w:t xml:space="preserve"> </w:t>
      </w:r>
      <w:r>
        <w:rPr>
          <w:rFonts w:ascii="宋体" w:hAnsi="宋体" w:cs="宋体" w:eastAsia="宋体" w:hint="ascii"/>
          <w:sz w:val="21"/>
          <w:spacing w:val="-4"/>
        </w:rPr>
        <w:t>合，鼓励发展基于系统原理的分子结构信息的存储、检索和变换的新理论和新算法</w:t>
      </w:r>
      <w:r>
        <w:rPr>
          <w:rFonts w:ascii="宋体" w:hAnsi="宋体" w:cs="宋体" w:eastAsia="宋体" w:hint="ascii"/>
          <w:sz w:val="21"/>
        </w:rPr>
        <w:t>。</w:t>
      </w:r>
    </w:p>
    <w:p>
      <w:pPr>
        <w:autoSpaceDE w:val="0"/>
        <w:autoSpaceDN w:val="0"/>
        <w:jc w:val="left"/>
        <w:spacing w:before="270"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化学测量学</w:t>
      </w:r>
    </w:p>
    <w:p>
      <w:pPr>
        <w:autoSpaceDE w:val="0"/>
        <w:autoSpaceDN w:val="0"/>
        <w:jc w:val="both"/>
        <w:spacing w:before="301"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化学</w:t>
      </w:r>
      <w:r>
        <w:rPr>
          <w:rFonts w:ascii="宋体" w:hAnsi="宋体" w:cs="宋体" w:eastAsia="宋体" w:hint="ascii"/>
          <w:sz w:val="21"/>
          <w:spacing w:val="2"/>
        </w:rPr>
        <w:t>测</w:t>
      </w:r>
      <w:r>
        <w:rPr>
          <w:rFonts w:ascii="宋体" w:hAnsi="宋体" w:cs="宋体" w:eastAsia="宋体" w:hint="ascii"/>
          <w:sz w:val="21"/>
          <w:spacing w:val="1"/>
        </w:rPr>
        <w:t>量学旨在</w:t>
      </w:r>
      <w:r>
        <w:rPr>
          <w:rFonts w:ascii="宋体" w:hAnsi="宋体" w:cs="宋体" w:eastAsia="宋体" w:hint="ascii"/>
          <w:sz w:val="21"/>
          <w:spacing w:val="2"/>
        </w:rPr>
        <w:t>发</w:t>
      </w:r>
      <w:r>
        <w:rPr>
          <w:rFonts w:ascii="宋体" w:hAnsi="宋体" w:cs="宋体" w:eastAsia="宋体" w:hint="ascii"/>
          <w:sz w:val="21"/>
          <w:spacing w:val="1"/>
        </w:rPr>
        <w:t>展</w:t>
      </w:r>
      <w:r>
        <w:rPr>
          <w:rFonts w:ascii="宋体" w:hAnsi="宋体" w:cs="宋体" w:eastAsia="宋体" w:hint="ascii"/>
          <w:sz w:val="21"/>
        </w:rPr>
        <w:t>化学相</w:t>
      </w:r>
      <w:r>
        <w:rPr>
          <w:rFonts w:ascii="宋体" w:hAnsi="宋体" w:cs="宋体" w:eastAsia="宋体" w:hint="ascii"/>
          <w:sz w:val="21"/>
          <w:spacing w:val="1"/>
        </w:rPr>
        <w:t>关</w:t>
      </w:r>
      <w:r>
        <w:rPr>
          <w:rFonts w:ascii="宋体" w:hAnsi="宋体" w:cs="宋体" w:eastAsia="宋体" w:hint="ascii"/>
          <w:sz w:val="21"/>
        </w:rPr>
        <w:t>的测量策</w:t>
      </w:r>
      <w:r>
        <w:rPr>
          <w:rFonts w:ascii="宋体" w:hAnsi="宋体" w:cs="宋体" w:eastAsia="宋体" w:hint="ascii"/>
          <w:sz w:val="21"/>
          <w:spacing w:val="1"/>
        </w:rPr>
        <w:t>略</w:t>
      </w:r>
      <w:r>
        <w:rPr>
          <w:rFonts w:ascii="宋体" w:hAnsi="宋体" w:cs="宋体" w:eastAsia="宋体" w:hint="ascii"/>
          <w:sz w:val="21"/>
        </w:rPr>
        <w:t>、原理、</w:t>
      </w:r>
      <w:r>
        <w:rPr>
          <w:rFonts w:ascii="宋体" w:hAnsi="宋体" w:cs="宋体" w:eastAsia="宋体" w:hint="ascii"/>
          <w:sz w:val="21"/>
          <w:spacing w:val="1"/>
        </w:rPr>
        <w:t>方</w:t>
      </w:r>
      <w:r>
        <w:rPr>
          <w:rFonts w:ascii="宋体" w:hAnsi="宋体" w:cs="宋体" w:eastAsia="宋体" w:hint="ascii"/>
          <w:sz w:val="21"/>
        </w:rPr>
        <w:t>法与技术</w:t>
      </w:r>
      <w:r>
        <w:rPr>
          <w:rFonts w:ascii="宋体" w:hAnsi="宋体" w:cs="宋体" w:eastAsia="宋体" w:hint="ascii"/>
          <w:sz w:val="21"/>
          <w:spacing w:val="1"/>
        </w:rPr>
        <w:t>，</w:t>
      </w:r>
      <w:r>
        <w:rPr>
          <w:rFonts w:ascii="宋体" w:hAnsi="宋体" w:cs="宋体" w:eastAsia="宋体" w:hint="ascii"/>
          <w:sz w:val="21"/>
        </w:rPr>
        <w:t>研制各类</w:t>
      </w:r>
      <w:r>
        <w:rPr>
          <w:rFonts w:ascii="宋体" w:hAnsi="宋体" w:cs="宋体" w:eastAsia="宋体" w:hint="ascii"/>
          <w:sz w:val="21"/>
          <w:spacing w:val="1"/>
        </w:rPr>
        <w:t>分</w:t>
      </w:r>
      <w:r>
        <w:rPr>
          <w:rFonts w:ascii="宋体" w:hAnsi="宋体" w:cs="宋体" w:eastAsia="宋体" w:hint="ascii"/>
          <w:sz w:val="21"/>
        </w:rPr>
        <w:t>析</w:t>
      </w:r>
      <w:r>
        <w:rPr>
          <w:rFonts w:ascii="宋体" w:hAnsi="宋体" w:cs="宋体" w:eastAsia="宋体" w:hint="ascii"/>
          <w:sz w:val="21"/>
          <w:spacing w:val="-6"/>
        </w:rPr>
        <w:t>仪</w:t>
      </w:r>
      <w:r>
        <w:rPr>
          <w:rFonts w:ascii="宋体" w:hAnsi="宋体" w:cs="宋体" w:eastAsia="宋体" w:hint="ascii"/>
          <w:sz w:val="21"/>
        </w:rPr>
        <w:t>器、装置及相关软件，以精准获取物质组成、分布、结构与性质的时空变化规律。</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化学测量学要突出新方法学研究，注重学科交叉、方法集成及信号关联，重视基于</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新原理的仪器</w:t>
      </w:r>
      <w:r>
        <w:rPr>
          <w:rFonts w:ascii="宋体" w:hAnsi="宋体" w:cs="宋体" w:eastAsia="宋体" w:hint="ascii"/>
          <w:sz w:val="21"/>
        </w:rPr>
        <w:t>创制以及关键部件性能提升，充分发挥化学测量学在国家安全、国家重大</w:t>
      </w:r>
      <w:r>
        <w:rPr>
          <w:rFonts w:ascii="宋体" w:hAnsi="宋体" w:cs="宋体" w:eastAsia="宋体" w:hint="ascii"/>
          <w:sz w:val="21"/>
          <w:spacing w:val="-1"/>
        </w:rPr>
        <w:t>需求及经济社</w:t>
      </w:r>
      <w:r>
        <w:rPr>
          <w:rFonts w:ascii="宋体" w:hAnsi="宋体" w:cs="宋体" w:eastAsia="宋体" w:hint="ascii"/>
          <w:sz w:val="21"/>
        </w:rPr>
        <w:t>会发展中的重要作用。化学测量学支持的研究涵盖从宏观到微观复杂体系</w:t>
      </w:r>
      <w:r>
        <w:rPr>
          <w:rFonts w:ascii="宋体" w:hAnsi="宋体" w:cs="宋体" w:eastAsia="宋体" w:hint="ascii"/>
          <w:sz w:val="21"/>
          <w:spacing w:val="-1"/>
        </w:rPr>
        <w:t>的检测与分析</w:t>
      </w:r>
      <w:r>
        <w:rPr>
          <w:rFonts w:ascii="宋体" w:hAnsi="宋体" w:cs="宋体" w:eastAsia="宋体" w:hint="ascii"/>
          <w:sz w:val="21"/>
        </w:rPr>
        <w:t>，旨在建立新策略、新原理、新方法和新技术，或致力于拓宽现有技术在</w:t>
      </w:r>
      <w:r>
        <w:rPr>
          <w:rFonts w:ascii="宋体" w:hAnsi="宋体" w:cs="宋体" w:eastAsia="宋体" w:hint="ascii"/>
          <w:sz w:val="21"/>
          <w:spacing w:val="-1"/>
        </w:rPr>
        <w:t>重要科学领域</w:t>
      </w:r>
      <w:r>
        <w:rPr>
          <w:rFonts w:ascii="宋体" w:hAnsi="宋体" w:cs="宋体" w:eastAsia="宋体" w:hint="ascii"/>
          <w:sz w:val="21"/>
        </w:rPr>
        <w:t>的应用。该领域研究方向包括：样品处理和分离、谱学方法理论及应用、</w:t>
      </w:r>
      <w:r>
        <w:rPr>
          <w:rFonts w:ascii="宋体" w:hAnsi="宋体" w:cs="宋体" w:eastAsia="宋体" w:hint="ascii"/>
          <w:sz w:val="21"/>
          <w:spacing w:val="-1"/>
        </w:rPr>
        <w:t>化学与生物传</w:t>
      </w:r>
      <w:r>
        <w:rPr>
          <w:rFonts w:ascii="宋体" w:hAnsi="宋体" w:cs="宋体" w:eastAsia="宋体" w:hint="ascii"/>
          <w:sz w:val="21"/>
        </w:rPr>
        <w:t>感、化学成像及仪器研发创制等。研究范围涵盖色谱、光谱、电化学、质</w:t>
      </w:r>
      <w:r>
        <w:rPr>
          <w:rFonts w:ascii="宋体" w:hAnsi="宋体" w:cs="宋体" w:eastAsia="宋体" w:hint="ascii"/>
          <w:sz w:val="21"/>
          <w:spacing w:val="-1"/>
        </w:rPr>
        <w:t>谱、核磁、顺</w:t>
      </w:r>
      <w:r>
        <w:rPr>
          <w:rFonts w:ascii="宋体" w:hAnsi="宋体" w:cs="宋体" w:eastAsia="宋体" w:hint="ascii"/>
          <w:sz w:val="21"/>
        </w:rPr>
        <w:t>磁、量热分析、能谱分析，以及新兴领域如组学分析、单原子单分子单细胞分析、活体分析、微纳分析等。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化学测量学优先资助领域包括：复杂样品处理、分离与鉴定方法；超快时空分辨光</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谱技术与化学</w:t>
      </w:r>
      <w:r>
        <w:rPr>
          <w:rFonts w:ascii="宋体" w:hAnsi="宋体" w:cs="宋体" w:eastAsia="宋体" w:hint="ascii"/>
          <w:sz w:val="21"/>
        </w:rPr>
        <w:t>成像，多维谱学原理与技术的发展及应用；单原子、单分子、单细胞、单</w:t>
      </w:r>
      <w:r>
        <w:rPr>
          <w:rFonts w:ascii="宋体" w:hAnsi="宋体" w:cs="宋体" w:eastAsia="宋体" w:hint="ascii"/>
          <w:sz w:val="21"/>
          <w:spacing w:val="-1"/>
        </w:rPr>
        <w:t>颗粒的精准测</w:t>
      </w:r>
      <w:r>
        <w:rPr>
          <w:rFonts w:ascii="宋体" w:hAnsi="宋体" w:cs="宋体" w:eastAsia="宋体" w:hint="ascii"/>
          <w:sz w:val="21"/>
        </w:rPr>
        <w:t>量，活体的原位、实时探测与化学成像，生物大分子结构和功能分析，生</w:t>
      </w:r>
    </w:p>
    <w:p>
      <w:pPr>
        <w:autoSpaceDE w:val="0"/>
        <w:autoSpaceDN w:val="0"/>
        <w:jc w:val="left"/>
        <w:spacing w:before="278" w:after="0" w:lineRule="exact" w:line="225"/>
        <w:ind w:right="0" w:left="8428"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物分</w:t>
      </w:r>
      <w:r>
        <w:rPr>
          <w:rFonts w:ascii="宋体" w:hAnsi="宋体" w:cs="宋体" w:eastAsia="宋体" w:hint="ascii"/>
          <w:sz w:val="21"/>
        </w:rPr>
        <w:t>子识别与重大疾病诊断；快速化学过程及电子转移过程的监测与成像方法，公共安全预警、甄别与溯源；小型仪器与装置的创制，基于大科学装置的化学测量等。</w:t>
      </w:r>
      <w:r>
        <w:rPr>
          <w:rFonts w:ascii="宋体" w:hAnsi="宋体" w:cs="宋体" w:eastAsia="宋体" w:hint="ascii"/>
          <w:sz w:val="21"/>
        </w:rPr>
        <mc:AlternateContent>
          <mc:Choice Requires="wps">
            <w:drawing>
              <wp:anchor distL="0" distR="0" distT="0" distB="0" simplePos="0" behindDoc="1" relativeHeight="76" locked="0" layoutInCell="1" allowOverlap="1">
                <wp:simplePos x="0" y="0"/>
                <wp:positionH relativeFrom="page">
                  <wp:posOffset>938530</wp:posOffset>
                </wp:positionH>
                <wp:positionV relativeFrom="page">
                  <wp:posOffset>805815</wp:posOffset>
                </wp:positionV>
                <wp:extent cx="5076190" cy="0"/>
                <wp:wrapNone/>
                <wp:docPr id="1103" name="110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80416;width:399.70pt;" id="110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70" w:after="0" w:lineRule="exact" w:line="363"/>
        <w:ind w:right="0" w:left="3650" w:firstLine="0"/>
        <w:snapToGrid w:val="0"/>
        <w:textAlignment w:val="auto"/>
        <w:tabs/>
        <w:rPr>
          <w:rFonts w:ascii="宋体" w:hAnsi="宋体" w:cs="宋体" w:eastAsia="宋体" w:hint="ascii"/>
          <w:sz w:val="29"/>
        </w:rPr>
      </w:pPr>
      <w:r>
        <w:rPr>
          <w:rFonts w:ascii="宋体" w:hAnsi="宋体" w:cs="宋体" w:eastAsia="宋体" w:hint="ascii"/>
          <w:sz w:val="29"/>
        </w:rPr>
        <w:t>材料化学与能源化学</w:t>
      </w:r>
    </w:p>
    <w:p>
      <w:pPr>
        <w:autoSpaceDE w:val="0"/>
        <w:autoSpaceDN w:val="0"/>
        <w:jc w:val="left"/>
        <w:spacing w:before="33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包括材料化学与能源化学两个领域。</w:t>
      </w:r>
    </w:p>
    <w:p>
      <w:pPr>
        <w:autoSpaceDE w:val="0"/>
        <w:autoSpaceDN w:val="0"/>
        <w:jc w:val="both"/>
        <w:spacing w:before="7" w:after="0" w:lineRule="exact" w:line="305"/>
        <w:ind w:right="971" w:left="966" w:firstLine="420"/>
        <w:snapToGrid w:val="0"/>
        <w:textAlignment w:val="auto"/>
        <w:tabs/>
        <w:rPr>
          <w:rFonts w:ascii="宋体" w:hAnsi="宋体" w:cs="宋体" w:eastAsia="宋体" w:hint="ascii"/>
          <w:sz w:val="21"/>
        </w:rPr>
      </w:pPr>
      <w:r>
        <w:rPr>
          <w:rFonts w:ascii="宋体" w:hAnsi="宋体" w:cs="宋体" w:eastAsia="宋体" w:hint="ascii"/>
          <w:sz w:val="21"/>
        </w:rPr>
        <w:t>材料化学是研究材料的设计、制备、结构、性能及应用的科学，是化学与材料</w:t>
      </w:r>
      <w:r>
        <w:rPr>
          <w:rFonts w:ascii="宋体" w:hAnsi="宋体" w:cs="宋体" w:eastAsia="宋体" w:hint="ascii"/>
          <w:sz w:val="21"/>
          <w:spacing w:val="-6"/>
        </w:rPr>
        <w:t>科</w:t>
      </w:r>
      <w:r>
        <w:rPr>
          <w:rFonts w:ascii="宋体" w:hAnsi="宋体" w:cs="宋体" w:eastAsia="宋体" w:hint="ascii"/>
          <w:sz w:val="21"/>
        </w:rPr>
        <w:t xml:space="preserve"> </w:t>
      </w:r>
      <w:r>
        <w:rPr>
          <w:rFonts w:ascii="宋体" w:hAnsi="宋体" w:cs="宋体" w:eastAsia="宋体" w:hint="ascii"/>
          <w:sz w:val="21"/>
          <w:spacing w:val="-1"/>
        </w:rPr>
        <w:t>学、</w:t>
      </w:r>
      <w:r>
        <w:rPr>
          <w:rFonts w:ascii="宋体" w:hAnsi="宋体" w:cs="宋体" w:eastAsia="宋体" w:hint="ascii"/>
          <w:sz w:val="21"/>
        </w:rPr>
        <w:t>生命科学、医学和信息科学等学科之间的桥梁。材料化学是应用导向的化学分支，</w:t>
      </w:r>
      <w:r>
        <w:rPr>
          <w:rFonts w:ascii="宋体" w:hAnsi="宋体" w:cs="宋体" w:eastAsia="宋体" w:hint="ascii"/>
          <w:sz w:val="21"/>
          <w:spacing w:val="-1"/>
        </w:rPr>
        <w:t>是新</w:t>
      </w:r>
      <w:r>
        <w:rPr>
          <w:rFonts w:ascii="宋体" w:hAnsi="宋体" w:cs="宋体" w:eastAsia="宋体" w:hint="ascii"/>
          <w:sz w:val="21"/>
        </w:rPr>
        <w:t>型材料体系的分子基础。材料化学利用化学原理与方法，在原子和分子水平上设计</w:t>
      </w:r>
      <w:r>
        <w:rPr>
          <w:rFonts w:ascii="宋体" w:hAnsi="宋体" w:cs="宋体" w:eastAsia="宋体" w:hint="ascii"/>
          <w:sz w:val="21"/>
          <w:spacing w:val="-1"/>
        </w:rPr>
        <w:t>新材</w:t>
      </w:r>
      <w:r>
        <w:rPr>
          <w:rFonts w:ascii="宋体" w:hAnsi="宋体" w:cs="宋体" w:eastAsia="宋体" w:hint="ascii"/>
          <w:sz w:val="21"/>
        </w:rPr>
        <w:t>料，发展制备技术，研究构效关系；通过多尺度、多层次结构功能传递、集成与协</w:t>
      </w:r>
      <w:r>
        <w:rPr>
          <w:rFonts w:ascii="宋体" w:hAnsi="宋体" w:cs="宋体" w:eastAsia="宋体" w:hint="ascii"/>
          <w:sz w:val="21"/>
          <w:spacing w:val="-1"/>
        </w:rPr>
        <w:t>同，</w:t>
      </w:r>
      <w:r>
        <w:rPr>
          <w:rFonts w:ascii="宋体" w:hAnsi="宋体" w:cs="宋体" w:eastAsia="宋体" w:hint="ascii"/>
          <w:sz w:val="21"/>
        </w:rPr>
        <w:t>实现材料宏观性能调控；研究高性能和多功能新材料的创制及其在能源、健康、环境和信息等领域的应用。</w:t>
      </w:r>
    </w:p>
    <w:p>
      <w:pPr>
        <w:autoSpaceDE w:val="0"/>
        <w:autoSpaceDN w:val="0"/>
        <w:jc w:val="left"/>
        <w:spacing w:before="29" w:after="0" w:lineRule="exact" w:line="263"/>
        <w:ind w:right="0" w:left="1374" w:firstLine="0"/>
        <w:snapToGrid w:val="0"/>
        <w:textAlignment w:val="auto"/>
        <w:tabs/>
        <w:rPr>
          <w:rFonts w:ascii="宋体" w:hAnsi="宋体" w:cs="宋体" w:eastAsia="宋体" w:hint="ascii"/>
          <w:sz w:val="21"/>
        </w:rPr>
      </w:pPr>
      <w:r>
        <w:rPr>
          <w:rFonts w:ascii="宋体" w:hAnsi="宋体" w:cs="宋体" w:eastAsia="宋体" w:hint="ascii"/>
          <w:sz w:val="21"/>
          <w:spacing w:val="-2"/>
        </w:rPr>
        <w:t>材料</w:t>
      </w:r>
      <w:r>
        <w:rPr>
          <w:rFonts w:ascii="宋体" w:hAnsi="宋体" w:cs="宋体" w:eastAsia="宋体" w:hint="ascii"/>
          <w:sz w:val="21"/>
          <w:spacing w:val="-3"/>
        </w:rPr>
        <w:t>化</w:t>
      </w:r>
      <w:r>
        <w:rPr>
          <w:rFonts w:ascii="宋体" w:hAnsi="宋体" w:cs="宋体" w:eastAsia="宋体" w:hint="ascii"/>
          <w:sz w:val="21"/>
          <w:spacing w:val="-2"/>
        </w:rPr>
        <w:t>学</w:t>
      </w:r>
      <w:r>
        <w:rPr>
          <w:rFonts w:ascii="宋体" w:hAnsi="宋体" w:cs="宋体" w:eastAsia="宋体" w:hint="ascii"/>
          <w:sz w:val="21"/>
          <w:spacing w:val="-3"/>
        </w:rPr>
        <w:t>注重</w:t>
      </w:r>
      <w:r>
        <w:rPr>
          <w:rFonts w:ascii="宋体" w:hAnsi="宋体" w:cs="宋体" w:eastAsia="宋体" w:hint="ascii"/>
          <w:sz w:val="21"/>
          <w:spacing w:val="-2"/>
        </w:rPr>
        <w:t>精准</w:t>
      </w:r>
      <w:r>
        <w:rPr>
          <w:rFonts w:ascii="宋体" w:hAnsi="宋体" w:cs="宋体" w:eastAsia="宋体" w:hint="ascii"/>
          <w:sz w:val="21"/>
          <w:spacing w:val="-3"/>
        </w:rPr>
        <w:t>制</w:t>
      </w:r>
      <w:r>
        <w:rPr>
          <w:rFonts w:ascii="宋体" w:hAnsi="宋体" w:cs="宋体" w:eastAsia="宋体" w:hint="ascii"/>
          <w:sz w:val="21"/>
          <w:spacing w:val="-2"/>
        </w:rPr>
        <w:t>备</w:t>
      </w:r>
      <w:r>
        <w:rPr>
          <w:rFonts w:ascii="宋体" w:hAnsi="宋体" w:cs="宋体" w:eastAsia="宋体" w:hint="ascii"/>
          <w:sz w:val="21"/>
          <w:spacing w:val="-3"/>
        </w:rPr>
        <w:t>具有</w:t>
      </w:r>
      <w:r>
        <w:rPr>
          <w:rFonts w:ascii="宋体" w:hAnsi="宋体" w:cs="宋体" w:eastAsia="宋体" w:hint="ascii"/>
          <w:sz w:val="21"/>
          <w:spacing w:val="-2"/>
        </w:rPr>
        <w:t>特定</w:t>
      </w:r>
      <w:r>
        <w:rPr>
          <w:rFonts w:ascii="宋体" w:hAnsi="宋体" w:cs="宋体" w:eastAsia="宋体" w:hint="ascii"/>
          <w:sz w:val="21"/>
          <w:spacing w:val="-3"/>
        </w:rPr>
        <w:t>功</w:t>
      </w:r>
      <w:r>
        <w:rPr>
          <w:rFonts w:ascii="宋体" w:hAnsi="宋体" w:cs="宋体" w:eastAsia="宋体" w:hint="ascii"/>
          <w:sz w:val="21"/>
          <w:spacing w:val="-2"/>
        </w:rPr>
        <w:t>能</w:t>
      </w:r>
      <w:r>
        <w:rPr>
          <w:rFonts w:ascii="宋体" w:hAnsi="宋体" w:cs="宋体" w:eastAsia="宋体" w:hint="ascii"/>
          <w:sz w:val="21"/>
          <w:spacing w:val="-3"/>
        </w:rPr>
        <w:t>的新</w:t>
      </w:r>
      <w:r>
        <w:rPr>
          <w:rFonts w:ascii="宋体" w:hAnsi="宋体" w:cs="宋体" w:eastAsia="宋体" w:hint="ascii"/>
          <w:sz w:val="21"/>
          <w:spacing w:val="-2"/>
        </w:rPr>
        <w:t>材料</w:t>
      </w:r>
      <w:r>
        <w:rPr>
          <w:rFonts w:ascii="宋体" w:hAnsi="宋体" w:cs="宋体" w:eastAsia="宋体" w:hint="ascii"/>
          <w:sz w:val="21"/>
          <w:spacing w:val="-3"/>
        </w:rPr>
        <w:t>，</w:t>
      </w:r>
      <w:r>
        <w:rPr>
          <w:rFonts w:ascii="宋体" w:hAnsi="宋体" w:cs="宋体" w:eastAsia="宋体" w:hint="ascii"/>
          <w:sz w:val="21"/>
          <w:spacing w:val="-2"/>
        </w:rPr>
        <w:t>准</w:t>
      </w:r>
      <w:r>
        <w:rPr>
          <w:rFonts w:ascii="宋体" w:hAnsi="宋体" w:cs="宋体" w:eastAsia="宋体" w:hint="ascii"/>
          <w:sz w:val="21"/>
          <w:spacing w:val="-3"/>
        </w:rPr>
        <w:t>确构</w:t>
      </w:r>
      <w:r>
        <w:rPr>
          <w:rFonts w:ascii="宋体" w:hAnsi="宋体" w:cs="宋体" w:eastAsia="宋体" w:hint="ascii"/>
          <w:sz w:val="21"/>
          <w:spacing w:val="-2"/>
        </w:rPr>
        <w:t>筑和</w:t>
      </w:r>
      <w:r>
        <w:rPr>
          <w:rFonts w:ascii="宋体" w:hAnsi="宋体" w:cs="宋体" w:eastAsia="宋体" w:hint="ascii"/>
          <w:sz w:val="21"/>
          <w:spacing w:val="-3"/>
        </w:rPr>
        <w:t>调</w:t>
      </w:r>
      <w:r>
        <w:rPr>
          <w:rFonts w:ascii="宋体" w:hAnsi="宋体" w:cs="宋体" w:eastAsia="宋体" w:hint="ascii"/>
          <w:sz w:val="21"/>
          <w:spacing w:val="-2"/>
        </w:rPr>
        <w:t>控</w:t>
      </w:r>
      <w:r>
        <w:rPr>
          <w:rFonts w:ascii="宋体" w:hAnsi="宋体" w:cs="宋体" w:eastAsia="宋体" w:hint="ascii"/>
          <w:sz w:val="21"/>
          <w:spacing w:val="-3"/>
        </w:rPr>
        <w:t>材料</w:t>
      </w:r>
      <w:r>
        <w:rPr>
          <w:rFonts w:ascii="宋体" w:hAnsi="宋体" w:cs="宋体" w:eastAsia="宋体" w:hint="ascii"/>
          <w:sz w:val="21"/>
          <w:spacing w:val="-2"/>
        </w:rPr>
        <w:t>的结</w:t>
      </w:r>
      <w:r>
        <w:rPr>
          <w:rFonts w:ascii="宋体" w:hAnsi="宋体" w:cs="宋体" w:eastAsia="宋体" w:hint="ascii"/>
          <w:sz w:val="21"/>
          <w:spacing w:val="-3"/>
        </w:rPr>
        <w:t>构</w:t>
      </w:r>
      <w:r>
        <w:rPr>
          <w:rFonts w:ascii="宋体" w:hAnsi="宋体" w:cs="宋体" w:eastAsia="宋体" w:hint="ascii"/>
          <w:sz w:val="21"/>
          <w:spacing w:val="-2"/>
        </w:rPr>
        <w:t>和性能</w:t>
      </w:r>
      <w:r>
        <w:rPr>
          <w:rFonts w:ascii="宋体" w:hAnsi="宋体" w:cs="宋体" w:eastAsia="宋体" w:hint="ascii"/>
          <w:sz w:val="21"/>
        </w:rPr>
        <w:t>；</w:t>
      </w:r>
    </w:p>
    <w:p>
      <w:pPr>
        <w:autoSpaceDE w:val="0"/>
        <w:autoSpaceDN w:val="0"/>
        <w:jc w:val="both"/>
        <w:spacing w:before="9" w:after="0" w:lineRule="exact" w:line="304"/>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4"/>
        </w:rPr>
        <w:t>注重</w:t>
      </w:r>
      <w:r>
        <w:rPr>
          <w:rFonts w:ascii="宋体" w:hAnsi="宋体" w:cs="宋体" w:eastAsia="宋体" w:hint="ascii"/>
          <w:sz w:val="21"/>
          <w:spacing w:val="-5"/>
        </w:rPr>
        <w:t>多</w:t>
      </w:r>
      <w:r>
        <w:rPr>
          <w:rFonts w:ascii="宋体" w:hAnsi="宋体" w:cs="宋体" w:eastAsia="宋体" w:hint="ascii"/>
          <w:sz w:val="21"/>
          <w:spacing w:val="-4"/>
        </w:rPr>
        <w:t>学</w:t>
      </w:r>
      <w:r>
        <w:rPr>
          <w:rFonts w:ascii="宋体" w:hAnsi="宋体" w:cs="宋体" w:eastAsia="宋体" w:hint="ascii"/>
          <w:sz w:val="21"/>
          <w:spacing w:val="-5"/>
        </w:rPr>
        <w:t>科的</w:t>
      </w:r>
      <w:r>
        <w:rPr>
          <w:rFonts w:ascii="宋体" w:hAnsi="宋体" w:cs="宋体" w:eastAsia="宋体" w:hint="ascii"/>
          <w:sz w:val="21"/>
          <w:spacing w:val="-4"/>
        </w:rPr>
        <w:t>交叉</w:t>
      </w:r>
      <w:r>
        <w:rPr>
          <w:rFonts w:ascii="宋体" w:hAnsi="宋体" w:cs="宋体" w:eastAsia="宋体" w:hint="ascii"/>
          <w:sz w:val="21"/>
          <w:spacing w:val="-5"/>
        </w:rPr>
        <w:t>与</w:t>
      </w:r>
      <w:r>
        <w:rPr>
          <w:rFonts w:ascii="宋体" w:hAnsi="宋体" w:cs="宋体" w:eastAsia="宋体" w:hint="ascii"/>
          <w:sz w:val="21"/>
          <w:spacing w:val="-4"/>
        </w:rPr>
        <w:t>综</w:t>
      </w:r>
      <w:r>
        <w:rPr>
          <w:rFonts w:ascii="宋体" w:hAnsi="宋体" w:cs="宋体" w:eastAsia="宋体" w:hint="ascii"/>
          <w:sz w:val="21"/>
          <w:spacing w:val="-5"/>
        </w:rPr>
        <w:t>合，</w:t>
      </w:r>
      <w:r>
        <w:rPr>
          <w:rFonts w:ascii="宋体" w:hAnsi="宋体" w:cs="宋体" w:eastAsia="宋体" w:hint="ascii"/>
          <w:sz w:val="21"/>
          <w:spacing w:val="-4"/>
        </w:rPr>
        <w:t>注重</w:t>
      </w:r>
      <w:r>
        <w:rPr>
          <w:rFonts w:ascii="宋体" w:hAnsi="宋体" w:cs="宋体" w:eastAsia="宋体" w:hint="ascii"/>
          <w:sz w:val="21"/>
          <w:spacing w:val="-5"/>
        </w:rPr>
        <w:t>结</w:t>
      </w:r>
      <w:r>
        <w:rPr>
          <w:rFonts w:ascii="宋体" w:hAnsi="宋体" w:cs="宋体" w:eastAsia="宋体" w:hint="ascii"/>
          <w:sz w:val="21"/>
          <w:spacing w:val="-4"/>
        </w:rPr>
        <w:t>构</w:t>
      </w:r>
      <w:r>
        <w:rPr>
          <w:rFonts w:ascii="宋体" w:hAnsi="宋体" w:cs="宋体" w:eastAsia="宋体" w:hint="ascii"/>
          <w:sz w:val="21"/>
          <w:spacing w:val="-5"/>
        </w:rPr>
        <w:t>与性</w:t>
      </w:r>
      <w:r>
        <w:rPr>
          <w:rFonts w:ascii="宋体" w:hAnsi="宋体" w:cs="宋体" w:eastAsia="宋体" w:hint="ascii"/>
          <w:sz w:val="21"/>
          <w:spacing w:val="-4"/>
        </w:rPr>
        <w:t>能的</w:t>
      </w:r>
      <w:r>
        <w:rPr>
          <w:rFonts w:ascii="宋体" w:hAnsi="宋体" w:cs="宋体" w:eastAsia="宋体" w:hint="ascii"/>
          <w:sz w:val="21"/>
          <w:spacing w:val="-5"/>
        </w:rPr>
        <w:t>关</w:t>
      </w:r>
      <w:r>
        <w:rPr>
          <w:rFonts w:ascii="宋体" w:hAnsi="宋体" w:cs="宋体" w:eastAsia="宋体" w:hint="ascii"/>
          <w:sz w:val="21"/>
          <w:spacing w:val="-4"/>
        </w:rPr>
        <w:t>联</w:t>
      </w:r>
      <w:r>
        <w:rPr>
          <w:rFonts w:ascii="宋体" w:hAnsi="宋体" w:cs="宋体" w:eastAsia="宋体" w:hint="ascii"/>
          <w:sz w:val="21"/>
          <w:spacing w:val="-5"/>
        </w:rPr>
        <w:t>，利</w:t>
      </w:r>
      <w:r>
        <w:rPr>
          <w:rFonts w:ascii="宋体" w:hAnsi="宋体" w:cs="宋体" w:eastAsia="宋体" w:hint="ascii"/>
          <w:sz w:val="21"/>
          <w:spacing w:val="-4"/>
        </w:rPr>
        <w:t>用多</w:t>
      </w:r>
      <w:r>
        <w:rPr>
          <w:rFonts w:ascii="宋体" w:hAnsi="宋体" w:cs="宋体" w:eastAsia="宋体" w:hint="ascii"/>
          <w:sz w:val="21"/>
          <w:spacing w:val="-5"/>
        </w:rPr>
        <w:t>种</w:t>
      </w:r>
      <w:r>
        <w:rPr>
          <w:rFonts w:ascii="宋体" w:hAnsi="宋体" w:cs="宋体" w:eastAsia="宋体" w:hint="ascii"/>
          <w:sz w:val="21"/>
          <w:spacing w:val="-3"/>
        </w:rPr>
        <w:t>表</w:t>
      </w:r>
      <w:r>
        <w:rPr>
          <w:rFonts w:ascii="宋体" w:hAnsi="宋体" w:cs="宋体" w:eastAsia="宋体" w:hint="ascii"/>
          <w:sz w:val="21"/>
          <w:spacing w:val="-4"/>
        </w:rPr>
        <w:t>征技</w:t>
      </w:r>
      <w:r>
        <w:rPr>
          <w:rFonts w:ascii="宋体" w:hAnsi="宋体" w:cs="宋体" w:eastAsia="宋体" w:hint="ascii"/>
          <w:sz w:val="21"/>
          <w:spacing w:val="-3"/>
        </w:rPr>
        <w:t>术，</w:t>
      </w:r>
      <w:r>
        <w:rPr>
          <w:rFonts w:ascii="宋体" w:hAnsi="宋体" w:cs="宋体" w:eastAsia="宋体" w:hint="ascii"/>
          <w:sz w:val="21"/>
          <w:spacing w:val="-4"/>
        </w:rPr>
        <w:t>深</w:t>
      </w:r>
      <w:r>
        <w:rPr>
          <w:rFonts w:ascii="宋体" w:hAnsi="宋体" w:cs="宋体" w:eastAsia="宋体" w:hint="ascii"/>
          <w:sz w:val="21"/>
          <w:spacing w:val="-3"/>
        </w:rPr>
        <w:t>入</w:t>
      </w:r>
      <w:r>
        <w:rPr>
          <w:rFonts w:ascii="宋体" w:hAnsi="宋体" w:cs="宋体" w:eastAsia="宋体" w:hint="ascii"/>
          <w:sz w:val="21"/>
          <w:spacing w:val="-4"/>
        </w:rPr>
        <w:t>探究</w:t>
      </w:r>
      <w:r>
        <w:rPr>
          <w:rFonts w:ascii="宋体" w:hAnsi="宋体" w:cs="宋体" w:eastAsia="宋体" w:hint="ascii"/>
          <w:sz w:val="21"/>
          <w:spacing w:val="-3"/>
        </w:rPr>
        <w:t>材料</w:t>
      </w:r>
      <w:r>
        <w:rPr>
          <w:rFonts w:ascii="宋体" w:hAnsi="宋体" w:cs="宋体" w:eastAsia="宋体" w:hint="ascii"/>
          <w:sz w:val="21"/>
          <w:spacing w:val="-1"/>
        </w:rPr>
        <w:t>体</w:t>
      </w:r>
      <w:r>
        <w:rPr>
          <w:rFonts w:ascii="宋体" w:hAnsi="宋体" w:cs="宋体" w:eastAsia="宋体" w:hint="ascii"/>
          <w:sz w:val="21"/>
        </w:rPr>
        <w:t xml:space="preserve"> </w:t>
      </w:r>
      <w:r>
        <w:rPr>
          <w:rFonts w:ascii="宋体" w:hAnsi="宋体" w:cs="宋体" w:eastAsia="宋体" w:hint="ascii"/>
          <w:sz w:val="21"/>
          <w:spacing w:val="-3"/>
        </w:rPr>
        <w:t>系的分子基础、原理和规律；面向国家重大需求，注重我国特色资源的深度利用</w:t>
      </w:r>
      <w:r>
        <w:rPr>
          <w:rFonts w:ascii="宋体" w:hAnsi="宋体" w:cs="宋体" w:eastAsia="宋体" w:hint="ascii"/>
          <w:sz w:val="21"/>
        </w:rPr>
        <w:t>。</w:t>
      </w:r>
    </w:p>
    <w:p>
      <w:pPr>
        <w:autoSpaceDE w:val="0"/>
        <w:autoSpaceDN w:val="0"/>
        <w:jc w:val="left"/>
        <w:spacing w:before="3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材料化学要重点关注功能材料的发现，重视具有电、光、磁等特性的材料分子基础</w:t>
      </w:r>
    </w:p>
    <w:p>
      <w:pPr>
        <w:autoSpaceDE w:val="0"/>
        <w:autoSpaceDN w:val="0"/>
        <w:jc w:val="both"/>
        <w:spacing w:before="9" w:after="0" w:lineRule="exact" w:line="304"/>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w:t>
      </w:r>
      <w:r>
        <w:rPr>
          <w:rFonts w:ascii="宋体" w:hAnsi="宋体" w:cs="宋体" w:eastAsia="宋体" w:hint="ascii"/>
          <w:sz w:val="21"/>
        </w:rPr>
        <w:t>，重视与生物学、医学、药学相关的材料研究。要关注利用人工智能设计先进材料</w:t>
      </w:r>
      <w:r>
        <w:rPr>
          <w:rFonts w:ascii="宋体" w:hAnsi="宋体" w:cs="宋体" w:eastAsia="宋体" w:hint="ascii"/>
          <w:sz w:val="21"/>
          <w:spacing w:val="-2"/>
        </w:rPr>
        <w:t>的结构与制备，注重发展先进材料数</w:t>
      </w:r>
      <w:r>
        <w:rPr>
          <w:rFonts w:ascii="宋体" w:hAnsi="宋体" w:cs="宋体" w:eastAsia="宋体" w:hint="ascii"/>
          <w:sz w:val="21"/>
          <w:spacing w:val="-1"/>
        </w:rPr>
        <w:t>字化加工（如</w:t>
      </w:r>
      <w:r>
        <w:rPr>
          <w:rFonts w:ascii="宋体" w:hAnsi="宋体" w:cs="宋体" w:eastAsia="宋体" w:hint="ascii"/>
          <w:sz w:val="21"/>
          <w:spacing w:val="-12"/>
        </w:rPr>
        <w:t xml:space="preserve"> </w:t>
      </w:r>
      <w:r>
        <w:rPr>
          <w:rFonts w:ascii="Times New Roman" w:hAnsi="Times New Roman" w:cs="Times New Roman" w:eastAsia="Times New Roman" w:hint="ascii"/>
          <w:sz w:val="21"/>
          <w:spacing w:val="-1"/>
        </w:rPr>
        <w:t>3D</w:t>
      </w:r>
      <w:r>
        <w:rPr>
          <w:rFonts w:ascii="Times New Roman" w:hAnsi="Times New Roman" w:cs="Times New Roman" w:eastAsia="Times New Roman" w:hint="ascii"/>
          <w:sz w:val="21"/>
          <w:spacing w:val="-13"/>
        </w:rPr>
        <w:t xml:space="preserve"> </w:t>
      </w:r>
      <w:r>
        <w:rPr>
          <w:rFonts w:ascii="宋体" w:hAnsi="宋体" w:cs="宋体" w:eastAsia="宋体" w:hint="ascii"/>
          <w:sz w:val="21"/>
          <w:spacing w:val="-1"/>
        </w:rPr>
        <w:t>打印成型）中的材料化学方法与</w:t>
      </w:r>
      <w:r>
        <w:rPr>
          <w:rFonts w:ascii="宋体" w:hAnsi="宋体" w:cs="宋体" w:eastAsia="宋体" w:hint="ascii"/>
          <w:sz w:val="21"/>
        </w:rPr>
        <w:t xml:space="preserve"> </w:t>
      </w:r>
      <w:r>
        <w:rPr>
          <w:rFonts w:ascii="宋体" w:hAnsi="宋体" w:cs="宋体" w:eastAsia="宋体" w:hint="ascii"/>
          <w:sz w:val="21"/>
          <w:spacing w:val="-1"/>
        </w:rPr>
        <w:t>原理</w:t>
      </w:r>
      <w:r>
        <w:rPr>
          <w:rFonts w:ascii="宋体" w:hAnsi="宋体" w:cs="宋体" w:eastAsia="宋体" w:hint="ascii"/>
          <w:sz w:val="21"/>
        </w:rPr>
        <w:t>。含能材料化学应关注高密度化学能的储存、释放及应用的基础问题，重视全氮结构、离子型和配位型等新型含能材料的设计与制备研究。</w:t>
      </w:r>
    </w:p>
    <w:p>
      <w:pPr>
        <w:autoSpaceDE w:val="0"/>
        <w:autoSpaceDN w:val="0"/>
        <w:jc w:val="left"/>
        <w:spacing w:before="3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能源化学是利用化学原理与方法，研究能源转化、储存、传输与利用的科学。其基</w:t>
      </w:r>
    </w:p>
    <w:p>
      <w:pPr>
        <w:autoSpaceDE w:val="0"/>
        <w:autoSpaceDN w:val="0"/>
        <w:jc w:val="both"/>
        <w:spacing w:before="8" w:after="0" w:lineRule="exact" w:line="304"/>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本任</w:t>
      </w:r>
      <w:r>
        <w:rPr>
          <w:rFonts w:ascii="宋体" w:hAnsi="宋体" w:cs="宋体" w:eastAsia="宋体" w:hint="ascii"/>
          <w:sz w:val="21"/>
        </w:rPr>
        <w:t>务是研究新型能量转换和储存机制，设计新材料，构筑新器件，建立新方法，以实现能源绿色高效利用。</w:t>
      </w:r>
    </w:p>
    <w:p>
      <w:pPr>
        <w:autoSpaceDE w:val="0"/>
        <w:autoSpaceDN w:val="0"/>
        <w:jc w:val="both"/>
        <w:spacing w:before="1" w:after="0" w:lineRule="exact" w:line="304"/>
        <w:ind w:right="971"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能源化学应注重发展化石资源的高效绿色利</w:t>
      </w:r>
      <w:r>
        <w:rPr>
          <w:rFonts w:ascii="宋体" w:hAnsi="宋体" w:cs="宋体" w:eastAsia="宋体" w:hint="ascii"/>
          <w:sz w:val="21"/>
          <w:spacing w:val="-1"/>
        </w:rPr>
        <w:t>用，以及高效太阳能电池材料设计与制</w:t>
      </w:r>
      <w:r>
        <w:rPr>
          <w:rFonts w:ascii="宋体" w:hAnsi="宋体" w:cs="宋体" w:eastAsia="宋体" w:hint="ascii"/>
          <w:sz w:val="21"/>
        </w:rPr>
        <w:t xml:space="preserve"> </w:t>
      </w:r>
      <w:r>
        <w:rPr>
          <w:rFonts w:ascii="宋体" w:hAnsi="宋体" w:cs="宋体" w:eastAsia="宋体" w:hint="ascii"/>
          <w:sz w:val="21"/>
          <w:spacing w:val="-1"/>
        </w:rPr>
        <w:t>备、</w:t>
      </w:r>
      <w:r>
        <w:rPr>
          <w:rFonts w:ascii="宋体" w:hAnsi="宋体" w:cs="宋体" w:eastAsia="宋体" w:hint="ascii"/>
          <w:sz w:val="21"/>
        </w:rPr>
        <w:t>器件组装与集成的光电转换过程。应重视生物质选择转化和生物燃料电池等。加强</w:t>
      </w:r>
      <w:r>
        <w:rPr>
          <w:rFonts w:ascii="宋体" w:hAnsi="宋体" w:cs="宋体" w:eastAsia="宋体" w:hint="ascii"/>
          <w:sz w:val="21"/>
          <w:spacing w:val="-1"/>
        </w:rPr>
        <w:t>非化</w:t>
      </w:r>
      <w:r>
        <w:rPr>
          <w:rFonts w:ascii="宋体" w:hAnsi="宋体" w:cs="宋体" w:eastAsia="宋体" w:hint="ascii"/>
          <w:sz w:val="21"/>
        </w:rPr>
        <w:t>石液体燃料、氢能等清洁能源的制备化学、存储材料及其能量高效转化等研究。电</w:t>
      </w:r>
      <w:r>
        <w:rPr>
          <w:rFonts w:ascii="宋体" w:hAnsi="宋体" w:cs="宋体" w:eastAsia="宋体" w:hint="ascii"/>
          <w:sz w:val="21"/>
          <w:spacing w:val="-1"/>
        </w:rPr>
        <w:t>化学</w:t>
      </w:r>
      <w:r>
        <w:rPr>
          <w:rFonts w:ascii="宋体" w:hAnsi="宋体" w:cs="宋体" w:eastAsia="宋体" w:hint="ascii"/>
          <w:sz w:val="21"/>
        </w:rPr>
        <w:t>能源重点关注动力与储能型各类电池及可穿戴与微电子系统储能器件等。应重视发</w:t>
      </w:r>
      <w:r>
        <w:rPr>
          <w:rFonts w:ascii="宋体" w:hAnsi="宋体" w:cs="宋体" w:eastAsia="宋体" w:hint="ascii"/>
          <w:sz w:val="21"/>
          <w:spacing w:val="-1"/>
        </w:rPr>
        <w:t>展能</w:t>
      </w:r>
      <w:r>
        <w:rPr>
          <w:rFonts w:ascii="宋体" w:hAnsi="宋体" w:cs="宋体" w:eastAsia="宋体" w:hint="ascii"/>
          <w:sz w:val="21"/>
        </w:rPr>
        <w:t>量转化与存储材料的研究，如电解质、电池隔膜，优化相变能量储存材料、电极材料等。应注重热电、光电、光热等重要新型能源转化过程。</w:t>
      </w:r>
    </w:p>
    <w:p>
      <w:pPr>
        <w:autoSpaceDE w:val="0"/>
        <w:autoSpaceDN w:val="0"/>
        <w:jc w:val="left"/>
        <w:spacing w:before="3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生物质能源是新兴的可再生能源。以生物质能源化、材料化利用过程中的绿色化学</w:t>
      </w:r>
    </w:p>
    <w:p>
      <w:pPr>
        <w:autoSpaceDE w:val="0"/>
        <w:autoSpaceDN w:val="0"/>
        <w:jc w:val="both"/>
        <w:spacing w:before="8" w:after="0" w:lineRule="exact" w:line="304"/>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w:t>
      </w:r>
      <w:r>
        <w:rPr>
          <w:rFonts w:ascii="宋体" w:hAnsi="宋体" w:cs="宋体" w:eastAsia="宋体" w:hint="ascii"/>
          <w:sz w:val="21"/>
        </w:rPr>
        <w:t>为核心，重点研究生物质分子的选择性解聚制备小分子平台化合物，以及其平台化</w:t>
      </w:r>
      <w:r>
        <w:rPr>
          <w:rFonts w:ascii="宋体" w:hAnsi="宋体" w:cs="宋体" w:eastAsia="宋体" w:hint="ascii"/>
          <w:sz w:val="21"/>
          <w:spacing w:val="-1"/>
        </w:rPr>
        <w:t>合物</w:t>
      </w:r>
      <w:r>
        <w:rPr>
          <w:rFonts w:ascii="宋体" w:hAnsi="宋体" w:cs="宋体" w:eastAsia="宋体" w:hint="ascii"/>
          <w:sz w:val="21"/>
        </w:rPr>
        <w:t>的定向转化，制备新型能源与材料化学品；研究生物质气化合成和催化热解，制备高品质液体燃料等。</w:t>
      </w:r>
    </w:p>
    <w:p>
      <w:pPr>
        <w:autoSpaceDE w:val="0"/>
        <w:autoSpaceDN w:val="0"/>
        <w:jc w:val="left"/>
        <w:spacing w:before="271" w:after="0" w:lineRule="exact" w:line="363"/>
        <w:ind w:right="0" w:left="4376" w:firstLine="0"/>
        <w:snapToGrid w:val="0"/>
        <w:textAlignment w:val="auto"/>
        <w:tabs/>
        <w:rPr>
          <w:rFonts w:ascii="宋体" w:hAnsi="宋体" w:cs="宋体" w:eastAsia="宋体" w:hint="ascii"/>
          <w:sz w:val="29"/>
        </w:rPr>
      </w:pPr>
      <w:r>
        <w:rPr>
          <w:rFonts w:ascii="宋体" w:hAnsi="宋体" w:cs="宋体" w:eastAsia="宋体" w:hint="ascii"/>
          <w:sz w:val="29"/>
        </w:rPr>
        <w:t>环境化学</w:t>
      </w:r>
    </w:p>
    <w:p>
      <w:pPr>
        <w:autoSpaceDE w:val="0"/>
        <w:autoSpaceDN w:val="0"/>
        <w:jc w:val="left"/>
        <w:spacing w:before="33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环境化学是研究化学物质在环境介质中的存在、特性、行为、效应及其污染控制原</w:t>
      </w:r>
    </w:p>
    <w:p>
      <w:pPr>
        <w:autoSpaceDE w:val="0"/>
        <w:autoSpaceDN w:val="0"/>
        <w:jc w:val="both"/>
        <w:spacing w:before="9" w:after="0" w:lineRule="exact" w:line="304"/>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理和</w:t>
      </w:r>
      <w:r>
        <w:rPr>
          <w:rFonts w:ascii="宋体" w:hAnsi="宋体" w:cs="宋体" w:eastAsia="宋体" w:hint="ascii"/>
          <w:sz w:val="21"/>
        </w:rPr>
        <w:t>方法的科学，是化学科学的重要分支和环境科学的核心领域。近年来，环境化学迅</w:t>
      </w:r>
      <w:r>
        <w:rPr>
          <w:rFonts w:ascii="宋体" w:hAnsi="宋体" w:cs="宋体" w:eastAsia="宋体" w:hint="ascii"/>
          <w:sz w:val="21"/>
          <w:spacing w:val="3"/>
        </w:rPr>
        <w:t>速发展，</w:t>
      </w:r>
      <w:r>
        <w:rPr>
          <w:rFonts w:ascii="宋体" w:hAnsi="宋体" w:cs="宋体" w:eastAsia="宋体" w:hint="ascii"/>
          <w:sz w:val="21"/>
        </w:rPr>
        <w:t>研</w:t>
      </w:r>
      <w:r>
        <w:rPr>
          <w:rFonts w:ascii="宋体" w:hAnsi="宋体" w:cs="宋体" w:eastAsia="宋体" w:hint="ascii"/>
          <w:sz w:val="21"/>
          <w:spacing w:val="3"/>
        </w:rPr>
        <w:t>究内容从</w:t>
      </w:r>
      <w:r>
        <w:rPr>
          <w:rFonts w:ascii="宋体" w:hAnsi="宋体" w:cs="宋体" w:eastAsia="宋体" w:hint="ascii"/>
          <w:sz w:val="21"/>
        </w:rPr>
        <w:t>微</w:t>
      </w:r>
      <w:r>
        <w:rPr>
          <w:rFonts w:ascii="宋体" w:hAnsi="宋体" w:cs="宋体" w:eastAsia="宋体" w:hint="ascii"/>
          <w:sz w:val="21"/>
          <w:spacing w:val="3"/>
        </w:rPr>
        <w:t>观机理到</w:t>
      </w:r>
      <w:r>
        <w:rPr>
          <w:rFonts w:ascii="宋体" w:hAnsi="宋体" w:cs="宋体" w:eastAsia="宋体" w:hint="ascii"/>
          <w:sz w:val="21"/>
        </w:rPr>
        <w:t>宏</w:t>
      </w:r>
      <w:r>
        <w:rPr>
          <w:rFonts w:ascii="宋体" w:hAnsi="宋体" w:cs="宋体" w:eastAsia="宋体" w:hint="ascii"/>
          <w:sz w:val="21"/>
          <w:spacing w:val="3"/>
        </w:rPr>
        <w:t>观规律不</w:t>
      </w:r>
      <w:r>
        <w:rPr>
          <w:rFonts w:ascii="宋体" w:hAnsi="宋体" w:cs="宋体" w:eastAsia="宋体" w:hint="ascii"/>
          <w:sz w:val="21"/>
        </w:rPr>
        <w:t>断</w:t>
      </w:r>
      <w:r>
        <w:rPr>
          <w:rFonts w:ascii="宋体" w:hAnsi="宋体" w:cs="宋体" w:eastAsia="宋体" w:hint="ascii"/>
          <w:sz w:val="21"/>
          <w:spacing w:val="3"/>
        </w:rPr>
        <w:t>拓展，创</w:t>
      </w:r>
      <w:r>
        <w:rPr>
          <w:rFonts w:ascii="宋体" w:hAnsi="宋体" w:cs="宋体" w:eastAsia="宋体" w:hint="ascii"/>
          <w:sz w:val="21"/>
        </w:rPr>
        <w:t>新</w:t>
      </w:r>
      <w:r>
        <w:rPr>
          <w:rFonts w:ascii="宋体" w:hAnsi="宋体" w:cs="宋体" w:eastAsia="宋体" w:hint="ascii"/>
          <w:sz w:val="21"/>
          <w:spacing w:val="3"/>
        </w:rPr>
        <w:t>性、系统</w:t>
      </w:r>
      <w:r>
        <w:rPr>
          <w:rFonts w:ascii="宋体" w:hAnsi="宋体" w:cs="宋体" w:eastAsia="宋体" w:hint="ascii"/>
          <w:sz w:val="21"/>
        </w:rPr>
        <w:t>性</w:t>
      </w:r>
      <w:r>
        <w:rPr>
          <w:rFonts w:ascii="宋体" w:hAnsi="宋体" w:cs="宋体" w:eastAsia="宋体" w:hint="ascii"/>
          <w:sz w:val="21"/>
          <w:spacing w:val="3"/>
        </w:rPr>
        <w:t>、实用性显</w:t>
      </w:r>
      <w:r>
        <w:rPr>
          <w:rFonts w:ascii="宋体" w:hAnsi="宋体" w:cs="宋体" w:eastAsia="宋体" w:hint="ascii"/>
          <w:sz w:val="21"/>
          <w:spacing w:val="4"/>
        </w:rPr>
        <w:t>著</w:t>
      </w:r>
      <w:r>
        <w:rPr>
          <w:rFonts w:ascii="宋体" w:hAnsi="宋体" w:cs="宋体" w:eastAsia="宋体" w:hint="ascii"/>
          <w:sz w:val="21"/>
        </w:rPr>
        <w:t>提</w:t>
      </w:r>
    </w:p>
    <w:p>
      <w:pPr>
        <w:autoSpaceDE w:val="0"/>
        <w:autoSpaceDN w:val="0"/>
        <w:jc w:val="left"/>
        <w:spacing w:before="52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升，在推动学科发展和解决国家重大环境问题中发挥着越来越重要的作用。</w:t>
      </w:r>
      <w:r>
        <w:rPr>
          <w:rFonts w:ascii="宋体" w:hAnsi="宋体" w:cs="宋体" w:eastAsia="宋体" w:hint="ascii"/>
          <w:sz w:val="21"/>
        </w:rPr>
        <mc:AlternateContent>
          <mc:Choice Requires="wps">
            <w:drawing>
              <wp:anchor distL="0" distR="0" distT="0" distB="0" simplePos="0" behindDoc="1" relativeHeight="77" locked="0" layoutInCell="1" allowOverlap="1">
                <wp:simplePos x="0" y="0"/>
                <wp:positionH relativeFrom="page">
                  <wp:posOffset>938530</wp:posOffset>
                </wp:positionH>
                <wp:positionV relativeFrom="page">
                  <wp:posOffset>819150</wp:posOffset>
                </wp:positionV>
                <wp:extent cx="5076190" cy="0"/>
                <wp:wrapNone/>
                <wp:docPr id="1104" name="110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79392;width:399.70pt;" id="110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9" w:after="0" w:lineRule="exact" w:line="304"/>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环境化学主要</w:t>
      </w:r>
      <w:r>
        <w:rPr>
          <w:rFonts w:ascii="宋体" w:hAnsi="宋体" w:cs="宋体" w:eastAsia="宋体" w:hint="ascii"/>
          <w:sz w:val="21"/>
        </w:rPr>
        <w:t>资助领域涵盖环境污染化学、污染控制与修复、环境毒理与健康、理论环境化学、放射化学</w:t>
      </w:r>
      <w:r>
        <w:rPr>
          <w:rFonts w:ascii="Times New Roman" w:hAnsi="Times New Roman" w:cs="Times New Roman" w:eastAsia="Times New Roman" w:hint="ascii"/>
          <w:sz w:val="21"/>
        </w:rPr>
        <w:t>/</w:t>
      </w:r>
      <w:r>
        <w:rPr>
          <w:rFonts w:ascii="宋体" w:hAnsi="宋体" w:cs="宋体" w:eastAsia="宋体" w:hint="ascii"/>
          <w:sz w:val="21"/>
        </w:rPr>
        <w:t>辐射化学、安全与防护化学等。</w:t>
      </w:r>
    </w:p>
    <w:p>
      <w:pPr>
        <w:autoSpaceDE w:val="0"/>
        <w:autoSpaceDN w:val="0"/>
        <w:jc w:val="left"/>
        <w:spacing w:before="3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环境化学鼓励针对我国环境污染防治的重大需求，凝练关键科学问题，发展和运用</w:t>
      </w:r>
    </w:p>
    <w:p>
      <w:pPr>
        <w:autoSpaceDE w:val="0"/>
        <w:autoSpaceDN w:val="0"/>
        <w:jc w:val="both"/>
        <w:spacing w:before="9" w:after="0" w:lineRule="exact" w:line="304"/>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现代科学技术</w:t>
      </w:r>
      <w:r>
        <w:rPr>
          <w:rFonts w:ascii="宋体" w:hAnsi="宋体" w:cs="宋体" w:eastAsia="宋体" w:hint="ascii"/>
          <w:sz w:val="21"/>
        </w:rPr>
        <w:t>手段和方法；通过实验室模拟、现场研究与理论计算相结合，研究污染物</w:t>
      </w:r>
      <w:r>
        <w:rPr>
          <w:rFonts w:ascii="宋体" w:hAnsi="宋体" w:cs="宋体" w:eastAsia="宋体" w:hint="ascii"/>
          <w:sz w:val="21"/>
          <w:spacing w:val="-1"/>
        </w:rPr>
        <w:t>的环境特征、</w:t>
      </w:r>
      <w:r>
        <w:rPr>
          <w:rFonts w:ascii="宋体" w:hAnsi="宋体" w:cs="宋体" w:eastAsia="宋体" w:hint="ascii"/>
          <w:sz w:val="21"/>
        </w:rPr>
        <w:t>分子转化、生态与健康效应及防治原理等。主要包括：复杂环境介质中污</w:t>
      </w:r>
      <w:r>
        <w:rPr>
          <w:rFonts w:ascii="宋体" w:hAnsi="宋体" w:cs="宋体" w:eastAsia="宋体" w:hint="ascii"/>
          <w:sz w:val="21"/>
          <w:spacing w:val="-1"/>
        </w:rPr>
        <w:t>染物的表征与</w:t>
      </w:r>
      <w:r>
        <w:rPr>
          <w:rFonts w:ascii="宋体" w:hAnsi="宋体" w:cs="宋体" w:eastAsia="宋体" w:hint="ascii"/>
          <w:sz w:val="21"/>
        </w:rPr>
        <w:t>分析；多介质界面行为与调控；大气复合污染机制、健康风险与控制；水</w:t>
      </w:r>
      <w:r>
        <w:rPr>
          <w:rFonts w:ascii="宋体" w:hAnsi="宋体" w:cs="宋体" w:eastAsia="宋体" w:hint="ascii"/>
          <w:sz w:val="21"/>
          <w:spacing w:val="-1"/>
        </w:rPr>
        <w:t>土污染控制与</w:t>
      </w:r>
      <w:r>
        <w:rPr>
          <w:rFonts w:ascii="宋体" w:hAnsi="宋体" w:cs="宋体" w:eastAsia="宋体" w:hint="ascii"/>
          <w:sz w:val="21"/>
        </w:rPr>
        <w:t>修复；持久性有毒污染物环境暴露与健康效应；纳米环境化学与毒理学；环境中抗生素及抗性基因的传播与控制；放射性物质的环境行为与防控等。</w:t>
      </w:r>
    </w:p>
    <w:p>
      <w:pPr>
        <w:autoSpaceDE w:val="0"/>
        <w:autoSpaceDN w:val="0"/>
        <w:jc w:val="left"/>
        <w:spacing w:before="271"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化学生物学</w:t>
      </w:r>
    </w:p>
    <w:p>
      <w:pPr>
        <w:autoSpaceDE w:val="0"/>
        <w:autoSpaceDN w:val="0"/>
        <w:jc w:val="left"/>
        <w:spacing w:before="342"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化学生物学利用外源的化学物质，通过介入式化学方法或途径，在分子层面上对生</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命体系进行精</w:t>
      </w:r>
      <w:r>
        <w:rPr>
          <w:rFonts w:ascii="宋体" w:hAnsi="宋体" w:cs="宋体" w:eastAsia="宋体" w:hint="ascii"/>
          <w:sz w:val="21"/>
        </w:rPr>
        <w:t>准修饰或调控。化学生物学不仅创造强大的新反应技术和新分子工具，更</w:t>
      </w:r>
      <w:r>
        <w:rPr>
          <w:rFonts w:ascii="宋体" w:hAnsi="宋体" w:cs="宋体" w:eastAsia="宋体" w:hint="ascii"/>
          <w:sz w:val="21"/>
          <w:spacing w:val="-1"/>
        </w:rPr>
        <w:t>为生命科学的</w:t>
      </w:r>
      <w:r>
        <w:rPr>
          <w:rFonts w:ascii="宋体" w:hAnsi="宋体" w:cs="宋体" w:eastAsia="宋体" w:hint="ascii"/>
          <w:sz w:val="21"/>
        </w:rPr>
        <w:t>研究提供全新的思路和理念，在研究生命过程（或功能）可视、可控、可创造的进程中日益彰显其重要作用。</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化学生物学关注生命科学中重要分子事件的过程和动态规律，充分发挥化学科学的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特点和创造性</w:t>
      </w:r>
      <w:r>
        <w:rPr>
          <w:rFonts w:ascii="宋体" w:hAnsi="宋体" w:cs="宋体" w:eastAsia="宋体" w:hint="ascii"/>
          <w:sz w:val="21"/>
        </w:rPr>
        <w:t>，主要开展以下几方面的研究：通过分子探针的构建与发现，实现实时、</w:t>
      </w:r>
      <w:r>
        <w:rPr>
          <w:rFonts w:ascii="宋体" w:hAnsi="宋体" w:cs="宋体" w:eastAsia="宋体" w:hint="ascii"/>
          <w:sz w:val="21"/>
          <w:spacing w:val="-1"/>
        </w:rPr>
        <w:t>原位、定量探</w:t>
      </w:r>
      <w:r>
        <w:rPr>
          <w:rFonts w:ascii="宋体" w:hAnsi="宋体" w:cs="宋体" w:eastAsia="宋体" w:hint="ascii"/>
          <w:sz w:val="21"/>
        </w:rPr>
        <w:t>测或调控生命活动；通过生物分子正交与偶联技术实现生物分子的修饰与</w:t>
      </w:r>
      <w:r>
        <w:rPr>
          <w:rFonts w:ascii="宋体" w:hAnsi="宋体" w:cs="宋体" w:eastAsia="宋体" w:hint="ascii"/>
          <w:sz w:val="21"/>
          <w:spacing w:val="-1"/>
        </w:rPr>
        <w:t>标记，研究蛋</w:t>
      </w:r>
      <w:r>
        <w:rPr>
          <w:rFonts w:ascii="宋体" w:hAnsi="宋体" w:cs="宋体" w:eastAsia="宋体" w:hint="ascii"/>
          <w:sz w:val="21"/>
        </w:rPr>
        <w:t>白质、核酸、多糖、脂类等生物大分子以及金属物种与微量元素的生物功</w:t>
      </w:r>
      <w:r>
        <w:rPr>
          <w:rFonts w:ascii="宋体" w:hAnsi="宋体" w:cs="宋体" w:eastAsia="宋体" w:hint="ascii"/>
          <w:sz w:val="21"/>
          <w:spacing w:val="-1"/>
        </w:rPr>
        <w:t>能；系统地建</w:t>
      </w:r>
      <w:r>
        <w:rPr>
          <w:rFonts w:ascii="宋体" w:hAnsi="宋体" w:cs="宋体" w:eastAsia="宋体" w:hint="ascii"/>
          <w:sz w:val="21"/>
        </w:rPr>
        <w:t>立、优化小分子化合物库和筛选技术，利用这些手段来干扰和探索细胞内</w:t>
      </w:r>
      <w:r>
        <w:rPr>
          <w:rFonts w:ascii="宋体" w:hAnsi="宋体" w:cs="宋体" w:eastAsia="宋体" w:hint="ascii"/>
          <w:sz w:val="21"/>
          <w:spacing w:val="-1"/>
        </w:rPr>
        <w:t>生物学过程，</w:t>
      </w:r>
      <w:r>
        <w:rPr>
          <w:rFonts w:ascii="宋体" w:hAnsi="宋体" w:cs="宋体" w:eastAsia="宋体" w:hint="ascii"/>
          <w:sz w:val="21"/>
        </w:rPr>
        <w:t>揭示未知的生命活动通路和新的生物分子间相互作用，推动基于活性小分</w:t>
      </w:r>
      <w:r>
        <w:rPr>
          <w:rFonts w:ascii="宋体" w:hAnsi="宋体" w:cs="宋体" w:eastAsia="宋体" w:hint="ascii"/>
          <w:sz w:val="21"/>
          <w:spacing w:val="-1"/>
        </w:rPr>
        <w:t>子的信号转导</w:t>
      </w:r>
      <w:r>
        <w:rPr>
          <w:rFonts w:ascii="宋体" w:hAnsi="宋体" w:cs="宋体" w:eastAsia="宋体" w:hint="ascii"/>
          <w:sz w:val="21"/>
        </w:rPr>
        <w:t>和基因转录研究，实现药物靶标的鉴定和先导化合物的发现与开发；解析</w:t>
      </w:r>
      <w:r>
        <w:rPr>
          <w:rFonts w:ascii="宋体" w:hAnsi="宋体" w:cs="宋体" w:eastAsia="宋体" w:hint="ascii"/>
          <w:sz w:val="21"/>
          <w:spacing w:val="-1"/>
        </w:rPr>
        <w:t>生命活动中物</w:t>
      </w:r>
      <w:r>
        <w:rPr>
          <w:rFonts w:ascii="宋体" w:hAnsi="宋体" w:cs="宋体" w:eastAsia="宋体" w:hint="ascii"/>
          <w:sz w:val="21"/>
        </w:rPr>
        <w:t>质的生物合成机制，并利用生物体系、生物元件等合成目标分子或完成特</w:t>
      </w:r>
      <w:r>
        <w:rPr>
          <w:rFonts w:ascii="宋体" w:hAnsi="宋体" w:cs="宋体" w:eastAsia="宋体" w:hint="ascii"/>
          <w:sz w:val="21"/>
          <w:spacing w:val="-1"/>
        </w:rPr>
        <w:t>定化学反应。</w:t>
      </w:r>
      <w:r>
        <w:rPr>
          <w:rFonts w:ascii="宋体" w:hAnsi="宋体" w:cs="宋体" w:eastAsia="宋体" w:hint="ascii"/>
          <w:sz w:val="21"/>
        </w:rPr>
        <w:t>在创造和发挥化学工具和技术方法的基础上，建立化学生物学新理论，开展对复杂生命体系的化学组装与模拟研究，揭示生命活动的化学本质。</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化学生物学优先支持分子探针的发现、构建及其在生物重大事件和重大疾病中的分</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子机能和功能</w:t>
      </w:r>
      <w:r>
        <w:rPr>
          <w:rFonts w:ascii="宋体" w:hAnsi="宋体" w:cs="宋体" w:eastAsia="宋体" w:hint="ascii"/>
          <w:sz w:val="21"/>
        </w:rPr>
        <w:t>调控等方面的研究；鼓励以化学手段、方法解决生物学和医学问题为导向</w:t>
      </w:r>
      <w:r>
        <w:rPr>
          <w:rFonts w:ascii="宋体" w:hAnsi="宋体" w:cs="宋体" w:eastAsia="宋体" w:hint="ascii"/>
          <w:sz w:val="21"/>
          <w:spacing w:val="-1"/>
        </w:rPr>
        <w:t>的研究；加强</w:t>
      </w:r>
      <w:r>
        <w:rPr>
          <w:rFonts w:ascii="宋体" w:hAnsi="宋体" w:cs="宋体" w:eastAsia="宋体" w:hint="ascii"/>
          <w:sz w:val="21"/>
        </w:rPr>
        <w:t>生物体系化学反应机理和理论的基础研究，推动化学与生物学、医学等的实质性交叉与合作。</w:t>
      </w:r>
    </w:p>
    <w:p>
      <w:pPr>
        <w:autoSpaceDE w:val="0"/>
        <w:autoSpaceDN w:val="0"/>
        <w:jc w:val="left"/>
        <w:spacing w:before="270" w:after="0" w:lineRule="exact" w:line="363"/>
        <w:ind w:right="0" w:left="3650" w:firstLine="0"/>
        <w:snapToGrid w:val="0"/>
        <w:textAlignment w:val="auto"/>
        <w:tabs/>
        <w:rPr>
          <w:rFonts w:ascii="宋体" w:hAnsi="宋体" w:cs="宋体" w:eastAsia="宋体" w:hint="ascii"/>
          <w:sz w:val="29"/>
        </w:rPr>
      </w:pPr>
      <w:r>
        <w:rPr>
          <w:rFonts w:ascii="宋体" w:hAnsi="宋体" w:cs="宋体" w:eastAsia="宋体" w:hint="ascii"/>
          <w:sz w:val="29"/>
        </w:rPr>
        <w:t>化学工程与工业化学</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化学工程与工业化学是研究物质转化过程中物质运动、传递、反应及其相互关系的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科学，其任务</w:t>
      </w:r>
      <w:r>
        <w:rPr>
          <w:rFonts w:ascii="宋体" w:hAnsi="宋体" w:cs="宋体" w:eastAsia="宋体" w:hint="ascii"/>
          <w:sz w:val="21"/>
        </w:rPr>
        <w:t>是认识物质转化过程中传递现象和规律及其对反应本身和目标产品性能的</w:t>
      </w:r>
      <w:r>
        <w:rPr>
          <w:rFonts w:ascii="宋体" w:hAnsi="宋体" w:cs="宋体" w:eastAsia="宋体" w:hint="ascii"/>
          <w:sz w:val="21"/>
          <w:spacing w:val="-1"/>
        </w:rPr>
        <w:t>影响，研究绿</w:t>
      </w:r>
      <w:r>
        <w:rPr>
          <w:rFonts w:ascii="宋体" w:hAnsi="宋体" w:cs="宋体" w:eastAsia="宋体" w:hint="ascii"/>
          <w:sz w:val="21"/>
        </w:rPr>
        <w:t>色高效地进行物质转化的工艺、流程和设备，建立使之工业化（规模）的</w:t>
      </w:r>
      <w:r>
        <w:rPr>
          <w:rFonts w:ascii="宋体" w:hAnsi="宋体" w:cs="宋体" w:eastAsia="宋体" w:hint="ascii"/>
          <w:sz w:val="21"/>
          <w:spacing w:val="-1"/>
        </w:rPr>
        <w:t>设计、放大和</w:t>
      </w:r>
      <w:r>
        <w:rPr>
          <w:rFonts w:ascii="宋体" w:hAnsi="宋体" w:cs="宋体" w:eastAsia="宋体" w:hint="ascii"/>
          <w:sz w:val="21"/>
        </w:rPr>
        <w:t>调控的理论和方法，并重点关注化学与化工的交叉融合，将新理论、新概念、新方法应用于工业过程。</w:t>
      </w:r>
    </w:p>
    <w:p>
      <w:pPr>
        <w:autoSpaceDE w:val="0"/>
        <w:autoSpaceDN w:val="0"/>
        <w:jc w:val="left"/>
        <w:spacing w:before="3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化学工程与工业化学主要资助领域涵盖化工热力学、传递过程、反应工程、分离工</w:t>
      </w:r>
    </w:p>
    <w:p>
      <w:pPr>
        <w:autoSpaceDE w:val="0"/>
        <w:autoSpaceDN w:val="0"/>
        <w:jc w:val="left"/>
        <w:spacing w:before="35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9" w:after="0" w:lineRule="exact" w:line="306"/>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程</w:t>
      </w:r>
      <w:r>
        <w:rPr>
          <w:rFonts w:ascii="宋体" w:hAnsi="宋体" w:cs="宋体" w:eastAsia="宋体" w:hint="ascii"/>
          <w:sz w:val="21"/>
        </w:rPr>
        <w:t>、化工装备与过程强化、系统工程与化工安全、生物化工与轻化工、精细化工与绿色</w:t>
      </w:r>
      <w:r>
        <w:rPr>
          <w:rFonts w:ascii="宋体" w:hAnsi="宋体" w:cs="宋体" w:eastAsia="宋体" w:hint="ascii"/>
          <w:sz w:val="21"/>
          <w:spacing w:val="-1"/>
        </w:rPr>
        <w:t>制</w:t>
      </w:r>
      <w:r>
        <w:rPr>
          <w:rFonts w:ascii="宋体" w:hAnsi="宋体" w:cs="宋体" w:eastAsia="宋体" w:hint="ascii"/>
          <w:sz w:val="21"/>
        </w:rPr>
        <w:t>造、材料化工与产品工程、能源化工、资源与环境化工。近年来，从复杂体系研究和</w:t>
      </w:r>
      <w:r>
        <w:rPr>
          <w:rFonts w:ascii="宋体" w:hAnsi="宋体" w:cs="宋体" w:eastAsia="宋体" w:hint="ascii"/>
          <w:sz w:val="21"/>
          <w:spacing w:val="-1"/>
        </w:rPr>
        <w:t>实</w:t>
      </w:r>
      <w:r>
        <w:rPr>
          <w:rFonts w:ascii="宋体" w:hAnsi="宋体" w:cs="宋体" w:eastAsia="宋体" w:hint="ascii"/>
          <w:sz w:val="21"/>
        </w:rPr>
        <w:t>践中提炼出共性关键科学问题，逐步形成系统理论和关键技术，已成为化学工程与工</w:t>
      </w:r>
      <w:r>
        <w:rPr>
          <w:rFonts w:ascii="宋体" w:hAnsi="宋体" w:cs="宋体" w:eastAsia="宋体" w:hint="ascii"/>
          <w:sz w:val="21"/>
          <w:spacing w:val="-1"/>
        </w:rPr>
        <w:t>业</w:t>
      </w:r>
      <w:r>
        <w:rPr>
          <w:rFonts w:ascii="宋体" w:hAnsi="宋体" w:cs="宋体" w:eastAsia="宋体" w:hint="ascii"/>
          <w:sz w:val="21"/>
        </w:rPr>
        <w:t>化学基础研究的主流。该领域研究内涵也出现了许多新的变化，主要表现在：更加聚</w:t>
      </w:r>
      <w:r>
        <w:rPr>
          <w:rFonts w:ascii="宋体" w:hAnsi="宋体" w:cs="宋体" w:eastAsia="宋体" w:hint="ascii"/>
          <w:sz w:val="21"/>
          <w:spacing w:val="-1"/>
        </w:rPr>
        <w:t>焦</w:t>
      </w:r>
      <w:r>
        <w:rPr>
          <w:rFonts w:ascii="宋体" w:hAnsi="宋体" w:cs="宋体" w:eastAsia="宋体" w:hint="ascii"/>
          <w:sz w:val="21"/>
        </w:rPr>
        <w:t>于纳微介观结构、界面与多尺度优化与调控的研究、观测和模拟，并注重过程强化和</w:t>
      </w:r>
      <w:r>
        <w:rPr>
          <w:rFonts w:ascii="宋体" w:hAnsi="宋体" w:cs="宋体" w:eastAsia="宋体" w:hint="ascii"/>
          <w:sz w:val="21"/>
          <w:spacing w:val="-1"/>
        </w:rPr>
        <w:t>放</w:t>
      </w:r>
      <w:r>
        <w:rPr>
          <w:rFonts w:ascii="宋体" w:hAnsi="宋体" w:cs="宋体" w:eastAsia="宋体" w:hint="ascii"/>
          <w:sz w:val="21"/>
        </w:rPr>
        <w:t>大的科学规律；更加聚焦于非常规和极端过程的研究；进一步从化学加工过程拓展到化学产品工程和全生命周期过程等。</w:t>
      </w:r>
      <w:r>
        <w:rPr>
          <w:rFonts w:ascii="宋体" w:hAnsi="宋体" w:cs="宋体" w:eastAsia="宋体" w:hint="ascii"/>
          <w:sz w:val="21"/>
        </w:rPr>
        <mc:AlternateContent>
          <mc:Choice Requires="wps">
            <w:drawing>
              <wp:anchor distL="0" distR="0" distT="0" distB="0" simplePos="0" behindDoc="1" relativeHeight="78" locked="0" layoutInCell="1" allowOverlap="1">
                <wp:simplePos x="0" y="0"/>
                <wp:positionH relativeFrom="page">
                  <wp:posOffset>938530</wp:posOffset>
                </wp:positionH>
                <wp:positionV relativeFrom="page">
                  <wp:posOffset>805815</wp:posOffset>
                </wp:positionV>
                <wp:extent cx="5076190" cy="0"/>
                <wp:wrapNone/>
                <wp:docPr id="1105" name="110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78368;width:399.70pt;" id="110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06"/>
        <w:ind w:right="970" w:left="966" w:firstLine="420"/>
        <w:snapToGrid w:val="0"/>
        <w:textAlignment w:val="auto"/>
        <w:tabs/>
        <w:rPr>
          <w:rFonts w:ascii="宋体" w:hAnsi="宋体" w:cs="宋体" w:eastAsia="宋体" w:hint="ascii"/>
          <w:sz w:val="21"/>
        </w:rPr>
      </w:pPr>
      <w:r>
        <w:rPr>
          <w:rFonts w:ascii="宋体" w:hAnsi="宋体" w:cs="宋体" w:eastAsia="宋体" w:hint="ascii"/>
          <w:sz w:val="21"/>
        </w:rPr>
        <w:t>化学工程与工业化学鼓励的领域包括：介尺度时空动态结构，系统与合成生物</w:t>
      </w:r>
      <w:r>
        <w:rPr>
          <w:rFonts w:ascii="宋体" w:hAnsi="宋体" w:cs="宋体" w:eastAsia="宋体" w:hint="ascii"/>
          <w:sz w:val="21"/>
          <w:spacing w:val="-6"/>
        </w:rPr>
        <w:t>技</w:t>
      </w:r>
      <w:r>
        <w:rPr>
          <w:rFonts w:ascii="宋体" w:hAnsi="宋体" w:cs="宋体" w:eastAsia="宋体" w:hint="ascii"/>
          <w:sz w:val="21"/>
        </w:rPr>
        <w:t xml:space="preserve"> </w:t>
      </w:r>
      <w:r>
        <w:rPr>
          <w:rFonts w:ascii="宋体" w:hAnsi="宋体" w:cs="宋体" w:eastAsia="宋体" w:hint="ascii"/>
          <w:sz w:val="21"/>
          <w:spacing w:val="-1"/>
        </w:rPr>
        <w:t>术</w:t>
      </w:r>
      <w:r>
        <w:rPr>
          <w:rFonts w:ascii="宋体" w:hAnsi="宋体" w:cs="宋体" w:eastAsia="宋体" w:hint="ascii"/>
          <w:sz w:val="21"/>
        </w:rPr>
        <w:t>，化工大数据与虚拟过程，智能化工系统与制造，非常规条件下传递与反应过程，绿色化工技术，产品工程以及涉及能源、资源、安全等的化工科学基础。</w:t>
      </w:r>
    </w:p>
    <w:p>
      <w:pPr>
        <w:autoSpaceDE w:val="0"/>
        <w:autoSpaceDN w:val="0"/>
        <w:jc w:val="left"/>
        <w:spacing w:before="180"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生命科学部</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生命科学部资助范围包括生物学、农业科学和基础医学，涉及资源、环境与生态、</w:t>
      </w:r>
    </w:p>
    <w:p>
      <w:pPr>
        <w:autoSpaceDE w:val="0"/>
        <w:autoSpaceDN w:val="0"/>
        <w:jc w:val="both"/>
        <w:spacing w:before="10" w:after="0" w:lineRule="exact" w:line="312"/>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人</w:t>
      </w:r>
      <w:r>
        <w:rPr>
          <w:rFonts w:ascii="宋体" w:hAnsi="宋体" w:cs="宋体" w:eastAsia="宋体" w:hint="ascii"/>
          <w:sz w:val="21"/>
        </w:rPr>
        <w:t>口与健康等领域。近年来，经过科学基金等的资助和科学家的不懈努力，我国生命科</w:t>
      </w:r>
      <w:r>
        <w:rPr>
          <w:rFonts w:ascii="宋体" w:hAnsi="宋体" w:cs="宋体" w:eastAsia="宋体" w:hint="ascii"/>
          <w:sz w:val="21"/>
          <w:spacing w:val="-1"/>
        </w:rPr>
        <w:t>学</w:t>
      </w:r>
      <w:r>
        <w:rPr>
          <w:rFonts w:ascii="宋体" w:hAnsi="宋体" w:cs="宋体" w:eastAsia="宋体" w:hint="ascii"/>
          <w:sz w:val="21"/>
        </w:rPr>
        <w:t>领域的基础研究得到了快速发展，在国际权威学术期刊上发表的研究论文逐渐增多，研究水平有了明显提升。</w:t>
      </w:r>
    </w:p>
    <w:p>
      <w:pPr>
        <w:autoSpaceDE w:val="0"/>
        <w:autoSpaceDN w:val="0"/>
        <w:jc w:val="left"/>
        <w:spacing w:before="40" w:after="0" w:lineRule="auto" w:line="240"/>
        <w:ind w:right="0" w:left="1835" w:hanging="461"/>
        <w:snapToGrid w:val="0"/>
        <w:textAlignment w:val="auto"/>
        <w:tabs>
          <w:tab w:val="left" w:leader="none" w:pos="1834"/>
        </w:tabs>
        <w:numPr>
          <w:ilvl w:val="0"/>
          <w:numId w:val="43"/>
        </w:numPr>
        <w:rPr>
          <w:rFonts w:ascii="Times New Roman" w:hAnsi="Times New Roman" w:cs="Times New Roman" w:eastAsia="Times New Roman" w:hint="ascii"/>
          <w:sz w:val="21"/>
          <w:spacing w:val="-3"/>
        </w:rPr>
      </w:pPr>
      <w:r>
        <w:rPr>
          <w:rFonts w:ascii="宋体" w:hAnsi="宋体" w:cs="宋体" w:eastAsia="宋体" w:hint="ascii"/>
          <w:sz w:val="21"/>
          <w:spacing w:val="-1"/>
        </w:rPr>
        <w:t>年度</w:t>
      </w:r>
      <w:r>
        <w:rPr>
          <w:rFonts w:ascii="宋体" w:hAnsi="宋体" w:cs="宋体" w:eastAsia="宋体" w:hint="ascii"/>
          <w:sz w:val="21"/>
          <w:spacing w:val="-2"/>
        </w:rPr>
        <w:t>生</w:t>
      </w:r>
      <w:r>
        <w:rPr>
          <w:rFonts w:ascii="宋体" w:hAnsi="宋体" w:cs="宋体" w:eastAsia="宋体" w:hint="ascii"/>
          <w:sz w:val="21"/>
          <w:spacing w:val="-1"/>
        </w:rPr>
        <w:t>命科</w:t>
      </w:r>
      <w:r>
        <w:rPr>
          <w:rFonts w:ascii="宋体" w:hAnsi="宋体" w:cs="宋体" w:eastAsia="宋体" w:hint="ascii"/>
          <w:sz w:val="21"/>
          <w:spacing w:val="-2"/>
        </w:rPr>
        <w:t>学</w:t>
      </w:r>
      <w:r>
        <w:rPr>
          <w:rFonts w:ascii="宋体" w:hAnsi="宋体" w:cs="宋体" w:eastAsia="宋体" w:hint="ascii"/>
          <w:sz w:val="21"/>
          <w:spacing w:val="-1"/>
        </w:rPr>
        <w:t>部</w:t>
      </w:r>
      <w:r>
        <w:rPr>
          <w:rFonts w:ascii="宋体" w:hAnsi="宋体" w:cs="宋体" w:eastAsia="宋体" w:hint="ascii"/>
          <w:sz w:val="21"/>
          <w:spacing w:val="-2"/>
        </w:rPr>
        <w:t>面</w:t>
      </w:r>
      <w:r>
        <w:rPr>
          <w:rFonts w:ascii="宋体" w:hAnsi="宋体" w:cs="宋体" w:eastAsia="宋体" w:hint="ascii"/>
          <w:sz w:val="21"/>
          <w:spacing w:val="-1"/>
        </w:rPr>
        <w:t>上项</w:t>
      </w:r>
      <w:r>
        <w:rPr>
          <w:rFonts w:ascii="宋体" w:hAnsi="宋体" w:cs="宋体" w:eastAsia="宋体" w:hint="ascii"/>
          <w:sz w:val="21"/>
          <w:spacing w:val="-2"/>
        </w:rPr>
        <w:t>目</w:t>
      </w:r>
      <w:r>
        <w:rPr>
          <w:rFonts w:ascii="宋体" w:hAnsi="宋体" w:cs="宋体" w:eastAsia="宋体" w:hint="ascii"/>
          <w:sz w:val="21"/>
          <w:spacing w:val="-1"/>
        </w:rPr>
        <w:t>共</w:t>
      </w:r>
      <w:r>
        <w:rPr>
          <w:rFonts w:ascii="宋体" w:hAnsi="宋体" w:cs="宋体" w:eastAsia="宋体" w:hint="ascii"/>
          <w:sz w:val="21"/>
          <w:spacing w:val="-2"/>
        </w:rPr>
        <w:t>接</w:t>
      </w:r>
      <w:r>
        <w:rPr>
          <w:rFonts w:ascii="宋体" w:hAnsi="宋体" w:cs="宋体" w:eastAsia="宋体" w:hint="ascii"/>
          <w:sz w:val="21"/>
          <w:spacing w:val="-1"/>
        </w:rPr>
        <w:t>收申</w:t>
      </w:r>
      <w:r>
        <w:rPr>
          <w:rFonts w:ascii="宋体" w:hAnsi="宋体" w:cs="宋体" w:eastAsia="宋体" w:hint="ascii"/>
          <w:sz w:val="21"/>
          <w:spacing w:val="23"/>
        </w:rPr>
        <w:t>请</w:t>
      </w:r>
      <w:r>
        <w:rPr>
          <w:rFonts w:ascii="Times New Roman" w:hAnsi="Times New Roman" w:cs="Times New Roman" w:eastAsia="Times New Roman" w:hint="ascii"/>
          <w:sz w:val="21"/>
          <w:spacing w:val="-10"/>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spacing w:val="-3"/>
        </w:rPr>
        <w:t>02</w:t>
      </w:r>
      <w:r>
        <w:rPr>
          <w:rFonts w:ascii="Times New Roman" w:hAnsi="Times New Roman" w:cs="Times New Roman" w:eastAsia="Times New Roman" w:hint="ascii"/>
          <w:sz w:val="21"/>
          <w:spacing w:val="49"/>
        </w:rPr>
        <w:t>8</w:t>
      </w:r>
      <w:r>
        <w:rPr>
          <w:rFonts w:ascii="宋体" w:hAnsi="宋体" w:cs="宋体" w:eastAsia="宋体" w:hint="ascii"/>
          <w:sz w:val="21"/>
          <w:spacing w:val="-1"/>
        </w:rPr>
        <w:t>项，</w:t>
      </w:r>
      <w:r>
        <w:rPr>
          <w:rFonts w:ascii="宋体" w:hAnsi="宋体" w:cs="宋体" w:eastAsia="宋体" w:hint="ascii"/>
          <w:sz w:val="21"/>
          <w:spacing w:val="-2"/>
        </w:rPr>
        <w:t>受</w:t>
      </w:r>
      <w:r>
        <w:rPr>
          <w:rFonts w:ascii="宋体" w:hAnsi="宋体" w:cs="宋体" w:eastAsia="宋体" w:hint="ascii"/>
          <w:sz w:val="21"/>
          <w:spacing w:val="23"/>
        </w:rPr>
        <w:t>理</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spacing w:val="-3"/>
        </w:rPr>
        <w:t>70</w:t>
      </w:r>
      <w:r>
        <w:rPr>
          <w:rFonts w:ascii="Times New Roman" w:hAnsi="Times New Roman" w:cs="Times New Roman" w:eastAsia="Times New Roman" w:hint="ascii"/>
          <w:sz w:val="21"/>
          <w:spacing w:val="50"/>
        </w:rPr>
        <w:t>3</w:t>
      </w:r>
      <w:r>
        <w:rPr>
          <w:rFonts w:ascii="宋体" w:hAnsi="宋体" w:cs="宋体" w:eastAsia="宋体" w:hint="ascii"/>
          <w:sz w:val="21"/>
          <w:spacing w:val="-1"/>
        </w:rPr>
        <w:t>项，</w:t>
      </w:r>
      <w:r>
        <w:rPr>
          <w:rFonts w:ascii="宋体" w:hAnsi="宋体" w:cs="宋体" w:eastAsia="宋体" w:hint="ascii"/>
          <w:sz w:val="21"/>
          <w:spacing w:val="-2"/>
        </w:rPr>
        <w:t>包括</w:t>
      </w:r>
      <w:r>
        <w:rPr>
          <w:rFonts w:ascii="宋体" w:hAnsi="宋体" w:cs="宋体" w:eastAsia="宋体" w:hint="ascii"/>
          <w:sz w:val="21"/>
          <w:spacing w:val="-1"/>
        </w:rPr>
        <w:t>小额探</w:t>
      </w:r>
      <w:r>
        <w:rPr>
          <w:rFonts w:ascii="宋体" w:hAnsi="宋体" w:cs="宋体" w:eastAsia="宋体" w:hint="ascii"/>
          <w:sz w:val="21"/>
        </w:rPr>
        <w:t>索</w:t>
      </w:r>
    </w:p>
    <w:p>
      <w:pPr>
        <w:autoSpaceDE w:val="0"/>
        <w:autoSpaceDN w:val="0"/>
        <w:jc w:val="both"/>
        <w:spacing w:before="17" w:after="0" w:lineRule="exact" w:line="312"/>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项目在内共资</w:t>
      </w:r>
      <w:r>
        <w:rPr>
          <w:rFonts w:ascii="宋体" w:hAnsi="宋体" w:cs="宋体" w:eastAsia="宋体" w:hint="ascii"/>
          <w:sz w:val="21"/>
          <w:spacing w:val="26"/>
        </w:rPr>
        <w:t>助</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spacing w:val="-2"/>
        </w:rPr>
        <w:t>90</w:t>
      </w:r>
      <w:r>
        <w:rPr>
          <w:rFonts w:ascii="Times New Roman" w:hAnsi="Times New Roman" w:cs="Times New Roman" w:eastAsia="Times New Roman" w:hint="ascii"/>
          <w:sz w:val="21"/>
          <w:spacing w:val="52"/>
        </w:rPr>
        <w:t>2</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
        </w:rPr>
        <w:t>6.3</w:t>
      </w:r>
      <w:r>
        <w:rPr>
          <w:rFonts w:ascii="Times New Roman" w:hAnsi="Times New Roman" w:cs="Times New Roman" w:eastAsia="Times New Roman" w:hint="ascii"/>
          <w:sz w:val="21"/>
        </w:rPr>
        <w:t>1%</w:t>
      </w:r>
      <w:r>
        <w:rPr>
          <w:rFonts w:ascii="宋体" w:hAnsi="宋体" w:cs="宋体" w:eastAsia="宋体" w:hint="ascii"/>
          <w:sz w:val="21"/>
        </w:rPr>
        <w:t>，直接费用平均资助强度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58.5</w:t>
      </w:r>
      <w:r>
        <w:rPr>
          <w:rFonts w:ascii="Times New Roman" w:hAnsi="Times New Roman" w:cs="Times New Roman" w:eastAsia="Times New Roman" w:hint="ascii"/>
          <w:sz w:val="21"/>
          <w:spacing w:val="54"/>
        </w:rPr>
        <w:t>9</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1"/>
        </w:rPr>
        <w:t>其中四年期的面上项</w:t>
      </w:r>
      <w:r>
        <w:rPr>
          <w:rFonts w:ascii="宋体" w:hAnsi="宋体" w:cs="宋体" w:eastAsia="宋体" w:hint="ascii"/>
          <w:sz w:val="21"/>
        </w:rPr>
        <w:t>目共计资</w:t>
      </w:r>
      <w:r>
        <w:rPr>
          <w:rFonts w:ascii="宋体" w:hAnsi="宋体" w:cs="宋体" w:eastAsia="宋体" w:hint="ascii"/>
          <w:sz w:val="21"/>
          <w:spacing w:val="-3"/>
        </w:rPr>
        <w:t>助</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
        </w:rPr>
        <w:t xml:space="preserve"> </w:t>
      </w:r>
      <w:r>
        <w:rPr>
          <w:rFonts w:ascii="Times New Roman" w:hAnsi="Times New Roman" w:cs="Times New Roman" w:eastAsia="Times New Roman" w:hint="ascii"/>
          <w:sz w:val="21"/>
        </w:rPr>
        <w:t>782</w:t>
      </w:r>
      <w:r>
        <w:rPr>
          <w:rFonts w:ascii="Times New Roman" w:hAnsi="Times New Roman" w:cs="Times New Roman" w:eastAsia="Times New Roman" w:hint="ascii"/>
          <w:sz w:val="21"/>
          <w:spacing w:val="-26"/>
        </w:rPr>
        <w:t xml:space="preserve"> </w:t>
      </w:r>
      <w:r>
        <w:rPr>
          <w:rFonts w:ascii="宋体" w:hAnsi="宋体" w:cs="宋体" w:eastAsia="宋体" w:hint="ascii"/>
          <w:sz w:val="21"/>
        </w:rPr>
        <w:t>项，资助率</w:t>
      </w:r>
      <w:r>
        <w:rPr>
          <w:rFonts w:ascii="宋体" w:hAnsi="宋体" w:cs="宋体" w:eastAsia="宋体" w:hint="ascii"/>
          <w:sz w:val="21"/>
          <w:spacing w:val="-3"/>
        </w:rPr>
        <w:t>为</w:t>
      </w:r>
      <w:r>
        <w:rPr>
          <w:rFonts w:ascii="宋体" w:hAnsi="宋体" w:cs="宋体" w:eastAsia="宋体" w:hint="ascii"/>
          <w:sz w:val="21"/>
          <w:spacing w:val="-26"/>
        </w:rPr>
        <w:t xml:space="preserve"> </w:t>
      </w:r>
      <w:r>
        <w:rPr>
          <w:rFonts w:ascii="Times New Roman" w:hAnsi="Times New Roman" w:cs="Times New Roman" w:eastAsia="Times New Roman" w:hint="ascii"/>
          <w:sz w:val="21"/>
        </w:rPr>
        <w:t>25.23</w:t>
      </w:r>
      <w:r>
        <w:rPr>
          <w:rFonts w:ascii="Times New Roman" w:hAnsi="Times New Roman" w:cs="Times New Roman" w:eastAsia="Times New Roman" w:hint="ascii"/>
          <w:sz w:val="21"/>
          <w:spacing w:val="5"/>
        </w:rPr>
        <w:t>%</w:t>
      </w:r>
      <w:r>
        <w:rPr>
          <w:rFonts w:ascii="宋体" w:hAnsi="宋体" w:cs="宋体" w:eastAsia="宋体" w:hint="ascii"/>
          <w:sz w:val="21"/>
        </w:rPr>
        <w:t>，直接费用平均资助强</w:t>
      </w:r>
      <w:r>
        <w:rPr>
          <w:rFonts w:ascii="宋体" w:hAnsi="宋体" w:cs="宋体" w:eastAsia="宋体" w:hint="ascii"/>
          <w:sz w:val="21"/>
          <w:spacing w:val="-6"/>
        </w:rPr>
        <w:t>度</w:t>
      </w:r>
      <w:r>
        <w:rPr>
          <w:rFonts w:ascii="宋体" w:hAnsi="宋体" w:cs="宋体" w:eastAsia="宋体" w:hint="ascii"/>
          <w:sz w:val="21"/>
          <w:spacing w:val="-3"/>
        </w:rPr>
        <w:t>为</w:t>
      </w:r>
      <w:r>
        <w:rPr>
          <w:rFonts w:ascii="宋体" w:hAnsi="宋体" w:cs="宋体" w:eastAsia="宋体" w:hint="ascii"/>
          <w:sz w:val="21"/>
          <w:spacing w:val="-26"/>
        </w:rPr>
        <w:t xml:space="preserve"> </w:t>
      </w:r>
      <w:r>
        <w:rPr>
          <w:rFonts w:ascii="Times New Roman" w:hAnsi="Times New Roman" w:cs="Times New Roman" w:eastAsia="Times New Roman" w:hint="ascii"/>
          <w:sz w:val="21"/>
        </w:rPr>
        <w:t>60.04</w:t>
      </w:r>
      <w:r>
        <w:rPr>
          <w:rFonts w:ascii="Times New Roman" w:hAnsi="Times New Roman" w:cs="Times New Roman" w:eastAsia="Times New Roman" w:hint="ascii"/>
          <w:sz w:val="21"/>
          <w:spacing w:val="-26"/>
        </w:rPr>
        <w:t xml:space="preserve"> </w:t>
      </w:r>
      <w:r>
        <w:rPr>
          <w:rFonts w:ascii="宋体" w:hAnsi="宋体" w:cs="宋体" w:eastAsia="宋体" w:hint="ascii"/>
          <w:sz w:val="21"/>
        </w:rPr>
        <w:t>万元</w:t>
      </w:r>
      <w:r>
        <w:rPr>
          <w:rFonts w:ascii="Times New Roman" w:hAnsi="Times New Roman" w:cs="Times New Roman" w:eastAsia="Times New Roman" w:hint="ascii"/>
          <w:sz w:val="21"/>
          <w:spacing w:val="5"/>
        </w:rPr>
        <w:t>/</w:t>
      </w:r>
      <w:r>
        <w:rPr>
          <w:rFonts w:ascii="宋体" w:hAnsi="宋体" w:cs="宋体" w:eastAsia="宋体" w:hint="ascii"/>
          <w:sz w:val="21"/>
        </w:rPr>
        <w:t>项。今后，生命科学部将在面上项目的资助中更加强调根据项目的研</w:t>
      </w:r>
      <w:r>
        <w:rPr>
          <w:rFonts w:ascii="宋体" w:hAnsi="宋体" w:cs="宋体" w:eastAsia="宋体" w:hint="ascii"/>
          <w:sz w:val="21"/>
          <w:spacing w:val="-6"/>
        </w:rPr>
        <w:t>究</w:t>
      </w:r>
      <w:r>
        <w:rPr>
          <w:rFonts w:ascii="宋体" w:hAnsi="宋体" w:cs="宋体" w:eastAsia="宋体" w:hint="ascii"/>
          <w:sz w:val="21"/>
        </w:rPr>
        <w:t xml:space="preserve"> </w:t>
      </w:r>
      <w:r>
        <w:rPr>
          <w:rFonts w:ascii="宋体" w:hAnsi="宋体" w:cs="宋体" w:eastAsia="宋体" w:hint="ascii"/>
          <w:sz w:val="21"/>
          <w:spacing w:val="-1"/>
        </w:rPr>
        <w:t>水</w:t>
      </w:r>
      <w:r>
        <w:rPr>
          <w:rFonts w:ascii="宋体" w:hAnsi="宋体" w:cs="宋体" w:eastAsia="宋体" w:hint="ascii"/>
          <w:sz w:val="21"/>
        </w:rPr>
        <w:t>平和实际需求拉开资助档次，在资助强度上不平均分配。同时也希望各依托单位能够关注申请项目的研究水平，提高申请项目的质量。</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年度预计面上项目直接费用资助强</w:t>
      </w:r>
      <w:r>
        <w:rPr>
          <w:rFonts w:ascii="宋体" w:hAnsi="宋体" w:cs="宋体" w:eastAsia="宋体" w:hint="ascii"/>
          <w:sz w:val="21"/>
          <w:spacing w:val="-1"/>
        </w:rPr>
        <w:t>度</w:t>
      </w:r>
      <w:r>
        <w:rPr>
          <w:rFonts w:ascii="宋体" w:hAnsi="宋体" w:cs="宋体" w:eastAsia="宋体" w:hint="ascii"/>
          <w:sz w:val="21"/>
          <w:spacing w:val="-2"/>
        </w:rPr>
        <w:t>与</w:t>
      </w:r>
      <w:r>
        <w:rPr>
          <w:rFonts w:ascii="宋体" w:hAnsi="宋体" w:cs="宋体" w:eastAsia="宋体" w:hint="ascii"/>
          <w:sz w:val="21"/>
          <w:spacing w:val="-27"/>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17</w:t>
      </w:r>
      <w:r>
        <w:rPr>
          <w:rFonts w:ascii="Times New Roman" w:hAnsi="Times New Roman" w:cs="Times New Roman" w:eastAsia="Times New Roman" w:hint="ascii"/>
          <w:sz w:val="21"/>
          <w:spacing w:val="-27"/>
        </w:rPr>
        <w:t xml:space="preserve"> </w:t>
      </w:r>
      <w:r>
        <w:rPr>
          <w:rFonts w:ascii="宋体" w:hAnsi="宋体" w:cs="宋体" w:eastAsia="宋体" w:hint="ascii"/>
          <w:sz w:val="21"/>
        </w:rPr>
        <w:t>年</w:t>
      </w:r>
      <w:r>
        <w:rPr>
          <w:rFonts w:ascii="宋体" w:hAnsi="宋体" w:cs="宋体" w:eastAsia="宋体" w:hint="ascii"/>
          <w:sz w:val="21"/>
          <w:spacing w:val="-1"/>
        </w:rPr>
        <w:t>度</w:t>
      </w:r>
      <w:r>
        <w:rPr>
          <w:rFonts w:ascii="宋体" w:hAnsi="宋体" w:cs="宋体" w:eastAsia="宋体" w:hint="ascii"/>
          <w:sz w:val="21"/>
        </w:rPr>
        <w:t>持</w:t>
      </w:r>
      <w:r>
        <w:rPr>
          <w:rFonts w:ascii="宋体" w:hAnsi="宋体" w:cs="宋体" w:eastAsia="宋体" w:hint="ascii"/>
          <w:sz w:val="21"/>
          <w:spacing w:val="-1"/>
        </w:rPr>
        <w:t>平，</w:t>
      </w:r>
      <w:r>
        <w:rPr>
          <w:rFonts w:ascii="宋体" w:hAnsi="宋体" w:cs="宋体" w:eastAsia="宋体" w:hint="ascii"/>
          <w:sz w:val="21"/>
        </w:rPr>
        <w:t>请申</w:t>
      </w:r>
      <w:r>
        <w:rPr>
          <w:rFonts w:ascii="宋体" w:hAnsi="宋体" w:cs="宋体" w:eastAsia="宋体" w:hint="ascii"/>
          <w:sz w:val="21"/>
          <w:spacing w:val="-1"/>
        </w:rPr>
        <w:t>请</w:t>
      </w:r>
      <w:r>
        <w:rPr>
          <w:rFonts w:ascii="宋体" w:hAnsi="宋体" w:cs="宋体" w:eastAsia="宋体" w:hint="ascii"/>
          <w:sz w:val="21"/>
        </w:rPr>
        <w:t>人</w:t>
      </w:r>
      <w:r>
        <w:rPr>
          <w:rFonts w:ascii="宋体" w:hAnsi="宋体" w:cs="宋体" w:eastAsia="宋体" w:hint="ascii"/>
          <w:sz w:val="21"/>
          <w:spacing w:val="-1"/>
        </w:rPr>
        <w:t>根</w:t>
      </w:r>
      <w:r>
        <w:rPr>
          <w:rFonts w:ascii="宋体" w:hAnsi="宋体" w:cs="宋体" w:eastAsia="宋体" w:hint="ascii"/>
          <w:sz w:val="21"/>
        </w:rPr>
        <w:t>据研</w:t>
      </w:r>
      <w:r>
        <w:rPr>
          <w:rFonts w:ascii="宋体" w:hAnsi="宋体" w:cs="宋体" w:eastAsia="宋体" w:hint="ascii"/>
          <w:sz w:val="21"/>
          <w:spacing w:val="-1"/>
        </w:rPr>
        <w:t>究</w:t>
      </w:r>
      <w:r>
        <w:rPr>
          <w:rFonts w:ascii="宋体" w:hAnsi="宋体" w:cs="宋体" w:eastAsia="宋体" w:hint="ascii"/>
          <w:sz w:val="21"/>
        </w:rPr>
        <w:t>工</w:t>
      </w:r>
      <w:r>
        <w:rPr>
          <w:rFonts w:ascii="宋体" w:hAnsi="宋体" w:cs="宋体" w:eastAsia="宋体" w:hint="ascii"/>
          <w:sz w:val="21"/>
          <w:spacing w:val="-1"/>
        </w:rPr>
        <w:t>作</w:t>
      </w:r>
      <w:r>
        <w:rPr>
          <w:rFonts w:ascii="宋体" w:hAnsi="宋体" w:cs="宋体" w:eastAsia="宋体" w:hint="ascii"/>
          <w:sz w:val="21"/>
        </w:rPr>
        <w:t>的实</w:t>
      </w:r>
      <w:r>
        <w:rPr>
          <w:rFonts w:ascii="宋体" w:hAnsi="宋体" w:cs="宋体" w:eastAsia="宋体" w:hint="ascii"/>
          <w:sz w:val="21"/>
          <w:spacing w:val="-1"/>
        </w:rPr>
        <w:t>际</w:t>
      </w:r>
      <w:r>
        <w:rPr>
          <w:rFonts w:ascii="宋体" w:hAnsi="宋体" w:cs="宋体" w:eastAsia="宋体" w:hint="ascii"/>
          <w:sz w:val="21"/>
        </w:rPr>
        <w:t>需</w:t>
      </w:r>
      <w:r>
        <w:rPr>
          <w:rFonts w:ascii="宋体" w:hAnsi="宋体" w:cs="宋体" w:eastAsia="宋体" w:hint="ascii"/>
          <w:sz w:val="21"/>
          <w:spacing w:val="-1"/>
        </w:rPr>
        <w:t>要</w:t>
      </w:r>
      <w:r>
        <w:rPr>
          <w:rFonts w:ascii="宋体" w:hAnsi="宋体" w:cs="宋体" w:eastAsia="宋体" w:hint="ascii"/>
          <w:sz w:val="21"/>
        </w:rPr>
        <w:t>，客</w:t>
      </w:r>
      <w:r>
        <w:rPr>
          <w:rFonts w:ascii="宋体" w:hAnsi="宋体" w:cs="宋体" w:eastAsia="宋体" w:hint="ascii"/>
          <w:sz w:val="21"/>
          <w:spacing w:val="-1"/>
        </w:rPr>
        <w:t>观</w:t>
      </w:r>
      <w:r>
        <w:rPr>
          <w:rFonts w:ascii="宋体" w:hAnsi="宋体" w:cs="宋体" w:eastAsia="宋体" w:hint="ascii"/>
          <w:sz w:val="21"/>
        </w:rPr>
        <w:t>、</w:t>
      </w:r>
      <w:r>
        <w:rPr>
          <w:rFonts w:ascii="宋体" w:hAnsi="宋体" w:cs="宋体" w:eastAsia="宋体" w:hint="ascii"/>
          <w:sz w:val="21"/>
          <w:spacing w:val="-1"/>
        </w:rPr>
        <w:t>实</w:t>
      </w:r>
      <w:r>
        <w:rPr>
          <w:rFonts w:ascii="宋体" w:hAnsi="宋体" w:cs="宋体" w:eastAsia="宋体" w:hint="ascii"/>
          <w:sz w:val="21"/>
        </w:rPr>
        <w:t>事求</w:t>
      </w:r>
      <w:r>
        <w:rPr>
          <w:rFonts w:ascii="宋体" w:hAnsi="宋体" w:cs="宋体" w:eastAsia="宋体" w:hint="ascii"/>
          <w:sz w:val="21"/>
          <w:spacing w:val="-1"/>
        </w:rPr>
        <w:t>是</w:t>
      </w:r>
      <w:r>
        <w:rPr>
          <w:rFonts w:ascii="宋体" w:hAnsi="宋体" w:cs="宋体" w:eastAsia="宋体" w:hint="ascii"/>
          <w:sz w:val="21"/>
        </w:rPr>
        <w:t>地</w:t>
      </w:r>
      <w:r>
        <w:rPr>
          <w:rFonts w:ascii="宋体" w:hAnsi="宋体" w:cs="宋体" w:eastAsia="宋体" w:hint="ascii"/>
          <w:sz w:val="21"/>
          <w:spacing w:val="-1"/>
        </w:rPr>
        <w:t>申</w:t>
      </w:r>
      <w:r>
        <w:rPr>
          <w:rFonts w:ascii="宋体" w:hAnsi="宋体" w:cs="宋体" w:eastAsia="宋体" w:hint="ascii"/>
          <w:sz w:val="21"/>
          <w:spacing w:val="-4"/>
        </w:rPr>
        <w:t>请</w:t>
      </w:r>
      <w:r>
        <w:rPr>
          <w:rFonts w:ascii="宋体" w:hAnsi="宋体" w:cs="宋体" w:eastAsia="宋体" w:hint="ascii"/>
          <w:sz w:val="21"/>
          <w:spacing w:val="-1"/>
        </w:rPr>
        <w:t>项</w:t>
      </w:r>
      <w:r>
        <w:rPr>
          <w:rFonts w:ascii="宋体" w:hAnsi="宋体" w:cs="宋体" w:eastAsia="宋体" w:hint="ascii"/>
          <w:sz w:val="21"/>
        </w:rPr>
        <w:t>目资金，</w:t>
      </w:r>
      <w:r>
        <w:rPr>
          <w:rFonts w:ascii="宋体" w:hAnsi="宋体" w:cs="宋体" w:eastAsia="宋体" w:hint="ascii"/>
          <w:sz w:val="21"/>
        </w:rPr>
        <w:t>对于研究基础尚薄弱、探索性较强的申请项目，建议申请较低强度的资金资</w:t>
      </w:r>
      <w:r>
        <w:rPr>
          <w:rFonts w:ascii="宋体" w:hAnsi="宋体" w:cs="宋体" w:eastAsia="宋体" w:hint="ascii"/>
          <w:sz w:val="21"/>
          <w:spacing w:val="-1"/>
        </w:rPr>
        <w:t>助</w:t>
      </w:r>
      <w:r>
        <w:rPr>
          <w:rFonts w:ascii="宋体" w:hAnsi="宋体" w:cs="宋体" w:eastAsia="宋体" w:hint="ascii"/>
          <w:sz w:val="21"/>
        </w:rPr>
        <w:t>。对于工作基础较好，在以往的研究中有突出进展，确实需要高强度资助来进行深入研究的，可根据需要申请较高强度的资金资助。</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生命科学部一直坚持积极鼓励开展具有创新性学术思想和新技术、新方法的研究，</w:t>
      </w:r>
    </w:p>
    <w:p>
      <w:pPr>
        <w:autoSpaceDE w:val="0"/>
        <w:autoSpaceDN w:val="0"/>
        <w:jc w:val="both"/>
        <w:spacing w:before="10" w:after="0" w:lineRule="exact" w:line="312"/>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尤</w:t>
      </w:r>
      <w:r>
        <w:rPr>
          <w:rFonts w:ascii="宋体" w:hAnsi="宋体" w:cs="宋体" w:eastAsia="宋体" w:hint="ascii"/>
          <w:sz w:val="21"/>
        </w:rPr>
        <w:t>其是对原创性的、对学科发展有重要推动作用的申请项目，或是在长期研究基础上提</w:t>
      </w:r>
      <w:r>
        <w:rPr>
          <w:rFonts w:ascii="宋体" w:hAnsi="宋体" w:cs="宋体" w:eastAsia="宋体" w:hint="ascii"/>
          <w:sz w:val="21"/>
          <w:spacing w:val="-1"/>
        </w:rPr>
        <w:t>出</w:t>
      </w:r>
      <w:r>
        <w:rPr>
          <w:rFonts w:ascii="宋体" w:hAnsi="宋体" w:cs="宋体" w:eastAsia="宋体" w:hint="ascii"/>
          <w:sz w:val="21"/>
        </w:rPr>
        <w:t>的新理论、新假说和学科交叉的申请项目给予特别的重视。今后生命科学部将继续关</w:t>
      </w:r>
      <w:r>
        <w:rPr>
          <w:rFonts w:ascii="宋体" w:hAnsi="宋体" w:cs="宋体" w:eastAsia="宋体" w:hint="ascii"/>
          <w:sz w:val="21"/>
          <w:spacing w:val="-1"/>
        </w:rPr>
        <w:t>注</w:t>
      </w:r>
      <w:r>
        <w:rPr>
          <w:rFonts w:ascii="宋体" w:hAnsi="宋体" w:cs="宋体" w:eastAsia="宋体" w:hint="ascii"/>
          <w:sz w:val="21"/>
        </w:rPr>
        <w:t>生命科学研究中的重要前沿和新兴领域，注重学科均衡、协调和可持续发展。继续鼓</w:t>
      </w:r>
      <w:r>
        <w:rPr>
          <w:rFonts w:ascii="宋体" w:hAnsi="宋体" w:cs="宋体" w:eastAsia="宋体" w:hint="ascii"/>
          <w:sz w:val="21"/>
          <w:spacing w:val="-1"/>
        </w:rPr>
        <w:t>励</w:t>
      </w:r>
      <w:r>
        <w:rPr>
          <w:rFonts w:ascii="宋体" w:hAnsi="宋体" w:cs="宋体" w:eastAsia="宋体" w:hint="ascii"/>
          <w:sz w:val="21"/>
        </w:rPr>
        <w:t>与分子、细胞、组织、器官和系统的形态、结构、功能相关的基础研究，积极支持遗</w:t>
      </w:r>
      <w:r>
        <w:rPr>
          <w:rFonts w:ascii="宋体" w:hAnsi="宋体" w:cs="宋体" w:eastAsia="宋体" w:hint="ascii"/>
          <w:sz w:val="21"/>
          <w:spacing w:val="-1"/>
        </w:rPr>
        <w:t>传</w:t>
      </w:r>
      <w:r>
        <w:rPr>
          <w:rFonts w:ascii="宋体" w:hAnsi="宋体" w:cs="宋体" w:eastAsia="宋体" w:hint="ascii"/>
          <w:sz w:val="21"/>
        </w:rPr>
        <w:t>、生理、生化、免疫、神经、心理、生殖、发育、衰老、干细胞和组织工程等方面的</w:t>
      </w:r>
      <w:r>
        <w:rPr>
          <w:rFonts w:ascii="宋体" w:hAnsi="宋体" w:cs="宋体" w:eastAsia="宋体" w:hint="ascii"/>
          <w:sz w:val="21"/>
          <w:spacing w:val="-1"/>
        </w:rPr>
        <w:t>研</w:t>
      </w:r>
      <w:r>
        <w:rPr>
          <w:rFonts w:ascii="宋体" w:hAnsi="宋体" w:cs="宋体" w:eastAsia="宋体" w:hint="ascii"/>
          <w:sz w:val="21"/>
        </w:rPr>
        <w:t>究申请。鼓励以疾病为模型针对生命科学领域共性和基础性的科学问题开展的研究。重视农业和环境生态学领域的重大基础科学问题的研究。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生命科学部鼓励科学家长期围绕关键科学问题开展系统性、原创性的研究工作，对</w:t>
      </w:r>
    </w:p>
    <w:p>
      <w:pPr>
        <w:autoSpaceDE w:val="0"/>
        <w:autoSpaceDN w:val="0"/>
        <w:jc w:val="both"/>
        <w:spacing w:before="10" w:after="0" w:lineRule="exact" w:line="312"/>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高</w:t>
      </w:r>
      <w:r>
        <w:rPr>
          <w:rFonts w:ascii="宋体" w:hAnsi="宋体" w:cs="宋体" w:eastAsia="宋体" w:hint="ascii"/>
          <w:sz w:val="21"/>
        </w:rPr>
        <w:t>质量完成科学基金项目的负责人所申请的项目，在同等条件下给予优先资助。</w:t>
      </w:r>
      <w:r>
        <w:rPr>
          <w:rFonts w:ascii="宋体" w:hAnsi="宋体" w:cs="宋体" w:eastAsia="宋体" w:hint="ascii"/>
          <w:sz w:val="21"/>
        </w:rPr>
        <w:t>此外，</w:t>
      </w:r>
      <w:r>
        <w:rPr>
          <w:rFonts w:ascii="宋体" w:hAnsi="宋体" w:cs="宋体" w:eastAsia="宋体" w:hint="ascii"/>
          <w:sz w:val="21"/>
          <w:spacing w:val="-1"/>
        </w:rPr>
        <w:t>针</w:t>
      </w:r>
      <w:r>
        <w:rPr>
          <w:rFonts w:ascii="宋体" w:hAnsi="宋体" w:cs="宋体" w:eastAsia="宋体" w:hint="ascii"/>
          <w:sz w:val="21"/>
        </w:rPr>
        <w:t>对近年来科学基金申请及评审中发现的问题，生命科学部特别提醒申请人在撰写申请书时注意以下几点：</w:t>
      </w:r>
    </w:p>
    <w:p>
      <w:pPr>
        <w:autoSpaceDE w:val="0"/>
        <w:autoSpaceDN w:val="0"/>
        <w:jc w:val="left"/>
        <w:spacing w:before="331"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）生命科学部面上项目指南的科学处及学科部分，具体说明了学科资助范围和不</w:t>
      </w:r>
      <w:r>
        <w:rPr>
          <w:rFonts w:ascii="宋体" w:hAnsi="宋体" w:cs="宋体" w:eastAsia="宋体" w:hint="ascii"/>
          <w:sz w:val="21"/>
        </w:rPr>
        <mc:AlternateContent>
          <mc:Choice Requires="wps">
            <w:drawing>
              <wp:anchor distL="0" distR="0" distT="0" distB="0" simplePos="0" behindDoc="1" relativeHeight="79" locked="0" layoutInCell="1" allowOverlap="1">
                <wp:simplePos x="0" y="0"/>
                <wp:positionH relativeFrom="page">
                  <wp:posOffset>938530</wp:posOffset>
                </wp:positionH>
                <wp:positionV relativeFrom="page">
                  <wp:posOffset>819150</wp:posOffset>
                </wp:positionV>
                <wp:extent cx="5076190" cy="0"/>
                <wp:wrapNone/>
                <wp:docPr id="1106" name="110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77344;width:399.70pt;" id="110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12"/>
        <w:ind w:right="978" w:left="966" w:firstLine="0"/>
        <w:snapToGrid w:val="0"/>
        <w:textAlignment w:val="auto"/>
        <w:tabs/>
        <w:rPr>
          <w:rFonts w:ascii="宋体" w:hAnsi="宋体" w:cs="宋体" w:eastAsia="宋体" w:hint="ascii"/>
          <w:b w:val="1"/>
          <w:sz w:val="21"/>
        </w:rPr>
      </w:pPr>
      <w:r>
        <w:rPr>
          <w:rFonts w:ascii="宋体" w:hAnsi="宋体" w:cs="宋体" w:eastAsia="宋体" w:hint="ascii"/>
          <w:sz w:val="21"/>
          <w:spacing w:val="-1"/>
        </w:rPr>
        <w:t>予受理的内</w:t>
      </w:r>
      <w:r>
        <w:rPr>
          <w:rFonts w:ascii="宋体" w:hAnsi="宋体" w:cs="宋体" w:eastAsia="宋体" w:hint="ascii"/>
          <w:sz w:val="21"/>
        </w:rPr>
        <w:t>容，请申请人认真阅读拟申请学科的项目指南。需要强调的是：</w:t>
      </w:r>
      <w:r>
        <w:rPr>
          <w:rFonts w:ascii="宋体" w:hAnsi="宋体" w:cs="宋体" w:eastAsia="宋体" w:hint="ascii"/>
          <w:sz w:val="21"/>
        </w:rPr>
        <w:t>在面上项目指南中学科提出的不予受理内容也适用于在该学科申请的其他各类项目</w:t>
      </w:r>
      <w:r>
        <w:rPr>
          <w:rFonts w:ascii="宋体" w:hAnsi="宋体" w:cs="宋体" w:eastAsia="宋体" w:hint="ascii"/>
          <w:b w:val="1"/>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）对于涉</w:t>
      </w:r>
      <w:r>
        <w:rPr>
          <w:rFonts w:ascii="宋体" w:hAnsi="宋体" w:cs="宋体" w:eastAsia="宋体" w:hint="ascii"/>
          <w:sz w:val="21"/>
        </w:rPr>
        <w:t>及伦理学的研究项目，要求申请人在申请书中提供所在单位或上级主管单位伦理委员会的纸质证明，并作为附件上传电子版。</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）对于涉</w:t>
      </w:r>
      <w:r>
        <w:rPr>
          <w:rFonts w:ascii="宋体" w:hAnsi="宋体" w:cs="宋体" w:eastAsia="宋体" w:hint="ascii"/>
          <w:sz w:val="21"/>
        </w:rPr>
        <w:t>及高致病性病原生物操作的研究项目，必须严格遵守国家有关规定，在具备相应的生物安全条件下方可申请。</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）申请书</w:t>
      </w:r>
      <w:r>
        <w:rPr>
          <w:rFonts w:ascii="宋体" w:hAnsi="宋体" w:cs="宋体" w:eastAsia="宋体" w:hint="ascii"/>
          <w:sz w:val="21"/>
        </w:rPr>
        <w:t>中申请人和主要参与者签字要求印刷体姓名与手写签名使用同一种语言并要求一致。</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5</w:t>
      </w:r>
      <w:r>
        <w:rPr>
          <w:rFonts w:ascii="宋体" w:hAnsi="宋体" w:cs="宋体" w:eastAsia="宋体" w:hint="ascii"/>
          <w:sz w:val="21"/>
          <w:spacing w:val="-1"/>
        </w:rPr>
        <w:t>）项目资</w:t>
      </w:r>
      <w:r>
        <w:rPr>
          <w:rFonts w:ascii="宋体" w:hAnsi="宋体" w:cs="宋体" w:eastAsia="宋体" w:hint="ascii"/>
          <w:sz w:val="21"/>
        </w:rPr>
        <w:t>金填写以万元为单位，由于错误填写（如小数点错位等）造成申请资金数额巨大的项目将不予受理。</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6</w:t>
      </w:r>
      <w:r>
        <w:rPr>
          <w:rFonts w:ascii="宋体" w:hAnsi="宋体" w:cs="宋体" w:eastAsia="宋体" w:hint="ascii"/>
          <w:sz w:val="21"/>
          <w:spacing w:val="-1"/>
        </w:rPr>
        <w:t>）请严格</w:t>
      </w:r>
      <w:r>
        <w:rPr>
          <w:rFonts w:ascii="宋体" w:hAnsi="宋体" w:cs="宋体" w:eastAsia="宋体" w:hint="ascii"/>
          <w:sz w:val="21"/>
        </w:rPr>
        <w:t>按照指南申请须知的要求填写资助期限；申请书中所列研究计划要与资助期限一致，否则将不予受理。</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7</w:t>
      </w:r>
      <w:r>
        <w:rPr>
          <w:rFonts w:ascii="宋体" w:hAnsi="宋体" w:cs="宋体" w:eastAsia="宋体" w:hint="ascii"/>
          <w:sz w:val="21"/>
          <w:spacing w:val="-1"/>
        </w:rPr>
        <w:t>）项目的</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请填写至最末一级，凡是只填写到学科一级代码的申请一律不予受理。学科对申请代码填写有特殊要求的，请参照学科指南部分执行。</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请申请人按照</w:t>
      </w:r>
      <w:r>
        <w:rPr>
          <w:rFonts w:ascii="宋体" w:hAnsi="宋体" w:cs="宋体" w:eastAsia="宋体" w:hint="ascii"/>
          <w:sz w:val="21"/>
        </w:rPr>
        <w:t>本《指南》和申请书填写要求撰写申请书，凡未按要求撰写的申请书将不予受理</w:t>
      </w:r>
      <w:r>
        <w:rPr>
          <w:rFonts w:ascii="宋体" w:hAnsi="宋体" w:cs="宋体" w:eastAsia="宋体" w:hint="ascii"/>
          <w:b w:val="1"/>
          <w:sz w:val="21"/>
        </w:rPr>
        <w:t>。</w:t>
      </w:r>
    </w:p>
    <w:p>
      <w:pPr>
        <w:autoSpaceDE w:val="0"/>
        <w:autoSpaceDN w:val="0"/>
        <w:jc w:val="left"/>
        <w:spacing w:before="167" w:after="0" w:lineRule="exact" w:line="225"/>
        <w:ind w:right="0" w:left="3253" w:firstLine="0"/>
        <w:snapToGrid w:val="0"/>
        <w:textAlignment w:val="auto"/>
        <w:tabs/>
        <w:rPr>
          <w:rFonts w:ascii="宋体" w:hAnsi="宋体" w:cs="宋体" w:eastAsia="宋体" w:hint="ascii"/>
          <w:sz w:val="18"/>
        </w:rPr>
      </w:pPr>
      <w:r>
        <w:rPr>
          <w:rFonts w:ascii="宋体" w:hAnsi="宋体" w:cs="宋体" w:eastAsia="宋体" w:hint="ascii"/>
          <w:sz w:val="18"/>
        </w:rPr>
        <w:t>生命科学部面上项目近两年资助情况一览表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566"/>
        <w:gridCol w:w="1981"/>
        <w:gridCol w:w="965"/>
        <w:gridCol w:w="1021"/>
        <w:gridCol w:w="737"/>
        <w:gridCol w:w="965"/>
        <w:gridCol w:w="1021"/>
        <w:gridCol w:w="736"/>
      </w:tblGrid>
      <w:tr>
        <w:trPr>
          <w:trHeight w:val="276" w:hRule="exact"/>
          <w:cantSplit w:val="1"/>
        </w:trPr>
        <w:tc>
          <w:tcPr>
            <w:tcW w:w="2547" w:type="dxa"/>
            <w:gridSpan w:val="2"/>
            <w:vAlign w:val="top"/>
            <w:vMerge w:val="restart"/>
            <w:tcMar/>
            <w:tcBorders/>
          </w:tcPr>
          <w:p>
            <w:pPr>
              <w:autoSpaceDE w:val="0"/>
              <w:autoSpaceDN w:val="0"/>
              <w:jc w:val="left"/>
              <w:spacing w:before="249" w:after="0" w:lineRule="exact" w:line="188"/>
              <w:ind w:right="0" w:left="1039"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3" w:type="dxa"/>
            <w:gridSpan w:val="3"/>
            <w:vAlign w:val="top"/>
            <w:tcMar/>
            <w:tcBorders>
              <w:left w:val="single" w:sz="4" w:space="0" w:color="000000"/>
            </w:tcBorders>
          </w:tcPr>
          <w:p>
            <w:pPr>
              <w:autoSpaceDE w:val="0"/>
              <w:autoSpaceDN w:val="0"/>
              <w:jc w:val="left"/>
              <w:spacing w:before="33" w:after="0" w:lineRule="auto" w:line="240"/>
              <w:ind w:right="0" w:left="1038" w:firstLine="0"/>
              <w:snapToGrid w:val="0"/>
              <w:textAlignment w:val="auto"/>
              <w:tabs>
                <w:tab w:val="left" w:leader="none" w:pos="1381"/>
              </w:tabs>
              <w:numPr>
                <w:ilvl w:val="0"/>
                <w:numId w:val="44"/>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33" w:after="0" w:lineRule="auto" w:line="240"/>
              <w:ind w:right="0" w:left="1037" w:firstLine="0"/>
              <w:snapToGrid w:val="0"/>
              <w:textAlignment w:val="auto"/>
              <w:tabs>
                <w:tab w:val="left" w:leader="none" w:pos="1381"/>
              </w:tabs>
              <w:numPr>
                <w:ilvl w:val="0"/>
                <w:numId w:val="44"/>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33" w:hRule="exact"/>
          <w:cantSplit w:val="1"/>
        </w:trPr>
        <w:tc>
          <w:tcPr>
            <w:tcW w:w="2547"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65"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17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021"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206"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737" w:type="dxa"/>
            <w:gridSpan w:val="1"/>
            <w:vAlign w:val="top"/>
            <w:tcMar/>
            <w:tcBorders>
              <w:left w:val="single" w:sz="4" w:space="0" w:color="000000"/>
              <w:top w:val="single" w:sz="4" w:space="0" w:color="000000"/>
            </w:tcBorders>
          </w:tcPr>
          <w:p>
            <w:pPr>
              <w:autoSpaceDE w:val="0"/>
              <w:autoSpaceDN w:val="0"/>
              <w:jc w:val="left"/>
              <w:spacing w:before="6" w:after="0" w:lineRule="exact" w:line="201"/>
              <w:ind w:right="0" w:left="98"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1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965"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176"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021"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206"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 w:after="0" w:lineRule="exact" w:line="200"/>
              <w:ind w:right="0" w:left="97"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13"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71" w:hRule="exact"/>
          <w:cantSplit w:val="1"/>
        </w:trPr>
        <w:tc>
          <w:tcPr>
            <w:tcW w:w="566" w:type="dxa"/>
            <w:gridSpan w:val="1"/>
            <w:vAlign w:val="top"/>
            <w:vMerge w:val="restart"/>
            <w:tcMar/>
            <w:tcBorders>
              <w:top w:val="single" w:sz="4" w:space="0" w:color="000000"/>
            </w:tcBorders>
          </w:tcPr>
          <w:p>
            <w:pPr>
              <w:autoSpaceDE w:val="0"/>
              <w:autoSpaceDN w:val="0"/>
              <w:jc w:val="left"/>
              <w:spacing w:before="16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685" w:firstLine="0"/>
              <w:snapToGrid w:val="0"/>
              <w:textAlignment w:val="auto"/>
              <w:tabs/>
              <w:rPr>
                <w:rFonts w:ascii="宋体" w:hAnsi="宋体" w:cs="宋体" w:eastAsia="宋体" w:hint="ascii"/>
                <w:sz w:val="15"/>
              </w:rPr>
            </w:pPr>
            <w:r>
              <w:rPr>
                <w:rFonts w:ascii="宋体" w:hAnsi="宋体" w:cs="宋体" w:eastAsia="宋体" w:hint="ascii"/>
                <w:sz w:val="15"/>
              </w:rPr>
              <w:t>微生物学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171</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tab w:val="left" w:leader="none" w:pos="281"/>
              </w:tabs>
              <w:numPr>
                <w:ilvl w:val="0"/>
                <w:numId w:val="4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605</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24.65</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187</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90" w:firstLine="0"/>
              <w:snapToGrid w:val="0"/>
              <w:textAlignment w:val="auto"/>
              <w:tabs>
                <w:tab w:val="left" w:leader="none" w:pos="277"/>
              </w:tabs>
              <w:numPr>
                <w:ilvl w:val="0"/>
                <w:numId w:val="45"/>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209</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26.15</w:t>
            </w:r>
          </w:p>
        </w:tc>
      </w:tr>
      <w:tr>
        <w:trPr>
          <w:trHeight w:val="270"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植物学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189</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90" w:firstLine="0"/>
              <w:snapToGrid w:val="0"/>
              <w:textAlignment w:val="auto"/>
              <w:tabs>
                <w:tab w:val="left" w:leader="none" w:pos="277"/>
              </w:tabs>
              <w:numPr>
                <w:ilvl w:val="0"/>
                <w:numId w:val="46"/>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716</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28.08</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199</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90" w:firstLine="0"/>
              <w:snapToGrid w:val="0"/>
              <w:textAlignment w:val="auto"/>
              <w:tabs>
                <w:tab w:val="left" w:leader="none" w:pos="277"/>
              </w:tabs>
              <w:numPr>
                <w:ilvl w:val="0"/>
                <w:numId w:val="47"/>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931</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28.41</w:t>
            </w:r>
          </w:p>
        </w:tc>
      </w:tr>
      <w:tr>
        <w:trPr>
          <w:trHeight w:val="271" w:hRule="exact"/>
          <w:cantSplit w:val="1"/>
        </w:trPr>
        <w:tc>
          <w:tcPr>
            <w:tcW w:w="566" w:type="dxa"/>
            <w:gridSpan w:val="1"/>
            <w:vAlign w:val="top"/>
            <w:vMerge w:val="restart"/>
            <w:tcMar/>
            <w:tcBorders>
              <w:top w:val="single" w:sz="4" w:space="0" w:color="000000"/>
            </w:tcBorders>
          </w:tcPr>
          <w:p>
            <w:pPr>
              <w:autoSpaceDE w:val="0"/>
              <w:autoSpaceDN w:val="0"/>
              <w:jc w:val="left"/>
              <w:spacing w:before="16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生态学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167</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10 334</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25.78</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179</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10 764</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26.76</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835" w:firstLine="0"/>
              <w:snapToGrid w:val="0"/>
              <w:textAlignment w:val="auto"/>
              <w:tabs/>
              <w:rPr>
                <w:rFonts w:ascii="宋体" w:hAnsi="宋体" w:cs="宋体" w:eastAsia="宋体" w:hint="ascii"/>
                <w:sz w:val="15"/>
              </w:rPr>
            </w:pPr>
            <w:r>
              <w:rPr>
                <w:rFonts w:ascii="宋体" w:hAnsi="宋体" w:cs="宋体" w:eastAsia="宋体" w:hint="ascii"/>
                <w:sz w:val="15"/>
              </w:rPr>
              <w:t>林学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166</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tab w:val="left" w:leader="none" w:pos="281"/>
              </w:tabs>
              <w:numPr>
                <w:ilvl w:val="0"/>
                <w:numId w:val="48"/>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273</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22.67</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177</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10 593</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23.87</w:t>
            </w:r>
          </w:p>
        </w:tc>
      </w:tr>
      <w:tr>
        <w:trPr>
          <w:trHeight w:val="433" w:hRule="exact"/>
          <w:cantSplit w:val="1"/>
        </w:trPr>
        <w:tc>
          <w:tcPr>
            <w:tcW w:w="566" w:type="dxa"/>
            <w:gridSpan w:val="1"/>
            <w:vAlign w:val="top"/>
            <w:vMerge w:val="restart"/>
            <w:tcMar/>
            <w:tcBorders>
              <w:top w:val="single" w:sz="4" w:space="0" w:color="000000"/>
            </w:tcBorders>
          </w:tcPr>
          <w:p>
            <w:pPr>
              <w:autoSpaceDE w:val="0"/>
              <w:autoSpaceDN w:val="0"/>
              <w:jc w:val="left"/>
              <w:spacing w:before="38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81"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生物物理、生物化学</w:t>
            </w:r>
          </w:p>
          <w:p>
            <w:pPr>
              <w:autoSpaceDE w:val="0"/>
              <w:autoSpaceDN w:val="0"/>
              <w:jc w:val="left"/>
              <w:spacing w:before="7" w:after="0" w:lineRule="exact" w:line="188"/>
              <w:ind w:right="0" w:left="535" w:firstLine="0"/>
              <w:snapToGrid w:val="0"/>
              <w:textAlignment w:val="auto"/>
              <w:tabs/>
              <w:rPr>
                <w:rFonts w:ascii="宋体" w:hAnsi="宋体" w:cs="宋体" w:eastAsia="宋体" w:hint="ascii"/>
                <w:sz w:val="15"/>
              </w:rPr>
            </w:pPr>
            <w:r>
              <w:rPr>
                <w:rFonts w:ascii="宋体" w:hAnsi="宋体" w:cs="宋体" w:eastAsia="宋体" w:hint="ascii"/>
                <w:sz w:val="15"/>
              </w:rPr>
              <w:t>与分子生物学</w:t>
            </w:r>
          </w:p>
        </w:tc>
        <w:tc>
          <w:tcPr>
            <w:tcW w:w="965" w:type="dxa"/>
            <w:gridSpan w:val="1"/>
            <w:vAlign w:val="top"/>
            <w:tcMar/>
            <w:tcBorders>
              <w:left w:val="single" w:sz="4" w:space="0" w:color="000000"/>
              <w:top w:val="single" w:sz="4" w:space="0" w:color="000000"/>
            </w:tcBorders>
          </w:tcPr>
          <w:p>
            <w:pPr>
              <w:autoSpaceDE w:val="0"/>
              <w:autoSpaceDN w:val="0"/>
              <w:jc w:val="left"/>
              <w:spacing w:before="102"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146</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102"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9 061</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30.58</w:t>
            </w:r>
          </w:p>
        </w:tc>
        <w:tc>
          <w:tcPr>
            <w:tcW w:w="965" w:type="dxa"/>
            <w:gridSpan w:val="1"/>
            <w:vAlign w:val="top"/>
            <w:tcMar/>
            <w:tcBorders>
              <w:left w:val="single" w:sz="4" w:space="0" w:color="000000"/>
              <w:top w:val="single" w:sz="4" w:space="0" w:color="000000"/>
            </w:tcBorders>
          </w:tcPr>
          <w:p>
            <w:pPr>
              <w:autoSpaceDE w:val="0"/>
              <w:autoSpaceDN w:val="0"/>
              <w:jc w:val="left"/>
              <w:spacing w:before="102"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155</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102" w:after="0" w:lineRule="auto" w:line="240"/>
              <w:ind w:right="0" w:left="1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9 3</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21"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34.48</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免疫学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72</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49"/>
              </w:numPr>
              <w:rPr>
                <w:rFonts w:ascii="Times New Roman" w:hAnsi="Times New Roman" w:cs="Times New Roman" w:eastAsia="Times New Roman" w:hint="ascii"/>
                <w:sz w:val="15"/>
              </w:rPr>
            </w:pPr>
            <w:r>
              <w:rPr>
                <w:rFonts w:ascii="Times New Roman" w:hAnsi="Times New Roman" w:cs="Times New Roman" w:eastAsia="Times New Roman" w:hint="ascii"/>
                <w:sz w:val="15"/>
              </w:rPr>
              <w:t>454</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29.12</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76</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0"/>
              </w:numPr>
              <w:rPr>
                <w:rFonts w:ascii="Times New Roman" w:hAnsi="Times New Roman" w:cs="Times New Roman" w:eastAsia="Times New Roman" w:hint="ascii"/>
                <w:sz w:val="15"/>
              </w:rPr>
            </w:pPr>
            <w:r>
              <w:rPr>
                <w:rFonts w:ascii="Times New Roman" w:hAnsi="Times New Roman" w:cs="Times New Roman" w:eastAsia="Times New Roman" w:hint="ascii"/>
                <w:sz w:val="15"/>
              </w:rPr>
              <w:t>567</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32.65</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235" w:firstLine="0"/>
              <w:snapToGrid w:val="0"/>
              <w:textAlignment w:val="auto"/>
              <w:tabs/>
              <w:rPr>
                <w:rFonts w:ascii="宋体" w:hAnsi="宋体" w:cs="宋体" w:eastAsia="宋体" w:hint="ascii"/>
                <w:sz w:val="15"/>
              </w:rPr>
            </w:pPr>
            <w:r>
              <w:rPr>
                <w:rFonts w:ascii="宋体" w:hAnsi="宋体" w:cs="宋体" w:eastAsia="宋体" w:hint="ascii"/>
                <w:sz w:val="15"/>
              </w:rPr>
              <w:t>生物力学与组织工程学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84</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49"/>
              </w:numPr>
              <w:rPr>
                <w:rFonts w:ascii="Times New Roman" w:hAnsi="Times New Roman" w:cs="Times New Roman" w:eastAsia="Times New Roman" w:hint="ascii"/>
                <w:sz w:val="15"/>
              </w:rPr>
            </w:pPr>
            <w:r>
              <w:rPr>
                <w:rFonts w:ascii="Times New Roman" w:hAnsi="Times New Roman" w:cs="Times New Roman" w:eastAsia="Times New Roman" w:hint="ascii"/>
                <w:sz w:val="15"/>
              </w:rPr>
              <w:t>193</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25.87</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93</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0"/>
              </w:numPr>
              <w:rPr>
                <w:rFonts w:ascii="Times New Roman" w:hAnsi="Times New Roman" w:cs="Times New Roman" w:eastAsia="Times New Roman" w:hint="ascii"/>
                <w:sz w:val="15"/>
              </w:rPr>
            </w:pPr>
            <w:r>
              <w:rPr>
                <w:rFonts w:ascii="Times New Roman" w:hAnsi="Times New Roman" w:cs="Times New Roman" w:eastAsia="Times New Roman" w:hint="ascii"/>
                <w:sz w:val="15"/>
              </w:rPr>
              <w:t>587</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25.00</w:t>
            </w:r>
          </w:p>
        </w:tc>
      </w:tr>
      <w:tr>
        <w:trPr>
          <w:trHeight w:val="270" w:hRule="exact"/>
          <w:cantSplit w:val="1"/>
        </w:trPr>
        <w:tc>
          <w:tcPr>
            <w:tcW w:w="566" w:type="dxa"/>
            <w:gridSpan w:val="1"/>
            <w:vAlign w:val="top"/>
            <w:vMerge w:val="restart"/>
            <w:tcMar/>
            <w:tcBorders>
              <w:top w:val="single" w:sz="4" w:space="0" w:color="000000"/>
            </w:tcBorders>
          </w:tcPr>
          <w:p>
            <w:pPr>
              <w:autoSpaceDE w:val="0"/>
              <w:autoSpaceDN w:val="0"/>
              <w:jc w:val="left"/>
              <w:spacing w:before="30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685" w:firstLine="0"/>
              <w:snapToGrid w:val="0"/>
              <w:textAlignment w:val="auto"/>
              <w:tabs/>
              <w:rPr>
                <w:rFonts w:ascii="宋体" w:hAnsi="宋体" w:cs="宋体" w:eastAsia="宋体" w:hint="ascii"/>
                <w:sz w:val="15"/>
              </w:rPr>
            </w:pPr>
            <w:r>
              <w:rPr>
                <w:rFonts w:ascii="宋体" w:hAnsi="宋体" w:cs="宋体" w:eastAsia="宋体" w:hint="ascii"/>
                <w:sz w:val="15"/>
              </w:rPr>
              <w:t>神经科学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77</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1"/>
              </w:numPr>
              <w:rPr>
                <w:rFonts w:ascii="Times New Roman" w:hAnsi="Times New Roman" w:cs="Times New Roman" w:eastAsia="Times New Roman" w:hint="ascii"/>
                <w:sz w:val="15"/>
              </w:rPr>
            </w:pPr>
            <w:r>
              <w:rPr>
                <w:rFonts w:ascii="Times New Roman" w:hAnsi="Times New Roman" w:cs="Times New Roman" w:eastAsia="Times New Roman" w:hint="ascii"/>
                <w:sz w:val="15"/>
              </w:rPr>
              <w:t>804</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26.71</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85</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1"/>
              </w:numPr>
              <w:rPr>
                <w:rFonts w:ascii="Times New Roman" w:hAnsi="Times New Roman" w:cs="Times New Roman" w:eastAsia="Times New Roman" w:hint="ascii"/>
                <w:sz w:val="15"/>
              </w:rPr>
            </w:pPr>
            <w:r>
              <w:rPr>
                <w:rFonts w:ascii="Times New Roman" w:hAnsi="Times New Roman" w:cs="Times New Roman" w:eastAsia="Times New Roman" w:hint="ascii"/>
                <w:sz w:val="15"/>
              </w:rPr>
              <w:t>088</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26.47</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385" w:firstLine="0"/>
              <w:snapToGrid w:val="0"/>
              <w:textAlignment w:val="auto"/>
              <w:tabs/>
              <w:rPr>
                <w:rFonts w:ascii="宋体" w:hAnsi="宋体" w:cs="宋体" w:eastAsia="宋体" w:hint="ascii"/>
                <w:sz w:val="15"/>
              </w:rPr>
            </w:pPr>
            <w:r>
              <w:rPr>
                <w:rFonts w:ascii="宋体" w:hAnsi="宋体" w:cs="宋体" w:eastAsia="宋体" w:hint="ascii"/>
                <w:sz w:val="15"/>
              </w:rPr>
              <w:t>心理学与认知科学</w:t>
            </w:r>
          </w:p>
        </w:tc>
        <w:tc>
          <w:tcPr>
            <w:tcW w:w="965" w:type="dxa"/>
            <w:gridSpan w:val="1"/>
            <w:vAlign w:val="top"/>
            <w:tcMar/>
            <w:tcBorders>
              <w:left w:val="single" w:sz="4" w:space="0" w:color="000000"/>
              <w:top w:val="single" w:sz="4" w:space="0" w:color="000000"/>
            </w:tcBorders>
          </w:tcPr>
          <w:p>
            <w:pPr>
              <w:autoSpaceDE w:val="0"/>
              <w:autoSpaceDN w:val="0"/>
              <w:jc w:val="left"/>
              <w:spacing w:before="22" w:after="0" w:lineRule="auto" w:line="240"/>
              <w:ind w:right="0" w:left="2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49</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2" w:after="0" w:lineRule="auto" w:line="240"/>
              <w:ind w:right="0" w:left="125" w:firstLine="0"/>
              <w:snapToGrid w:val="0"/>
              <w:textAlignment w:val="auto"/>
              <w:tabs>
                <w:tab w:val="left" w:leader="none" w:pos="242"/>
              </w:tabs>
              <w:numPr>
                <w:ilvl w:val="0"/>
                <w:numId w:val="52"/>
              </w:numPr>
              <w:rPr>
                <w:rFonts w:ascii="Times New Roman" w:hAnsi="Times New Roman" w:cs="Times New Roman" w:eastAsia="Times New Roman" w:hint="ascii"/>
                <w:sz w:val="15"/>
              </w:rPr>
            </w:pPr>
            <w:r>
              <w:rPr>
                <w:rFonts w:ascii="Times New Roman" w:hAnsi="Times New Roman" w:cs="Times New Roman" w:eastAsia="Times New Roman" w:hint="ascii"/>
                <w:sz w:val="15"/>
              </w:rPr>
              <w:t>026</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20.46</w:t>
            </w:r>
          </w:p>
        </w:tc>
        <w:tc>
          <w:tcPr>
            <w:tcW w:w="965" w:type="dxa"/>
            <w:gridSpan w:val="1"/>
            <w:vAlign w:val="top"/>
            <w:tcMar/>
            <w:tcBorders>
              <w:left w:val="single" w:sz="4" w:space="0" w:color="000000"/>
              <w:top w:val="single" w:sz="4" w:space="0" w:color="000000"/>
            </w:tcBorders>
          </w:tcPr>
          <w:p>
            <w:pPr>
              <w:autoSpaceDE w:val="0"/>
              <w:autoSpaceDN w:val="0"/>
              <w:jc w:val="left"/>
              <w:spacing w:before="22"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53</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2" w:after="0" w:lineRule="auto" w:line="240"/>
              <w:ind w:right="0" w:left="125" w:firstLine="0"/>
              <w:snapToGrid w:val="0"/>
              <w:textAlignment w:val="auto"/>
              <w:tabs>
                <w:tab w:val="left" w:leader="none" w:pos="242"/>
              </w:tabs>
              <w:numPr>
                <w:ilvl w:val="0"/>
                <w:numId w:val="53"/>
              </w:numPr>
              <w:rPr>
                <w:rFonts w:ascii="Times New Roman" w:hAnsi="Times New Roman" w:cs="Times New Roman" w:eastAsia="Times New Roman" w:hint="ascii"/>
                <w:sz w:val="15"/>
              </w:rPr>
            </w:pPr>
            <w:r>
              <w:rPr>
                <w:rFonts w:ascii="Times New Roman" w:hAnsi="Times New Roman" w:cs="Times New Roman" w:eastAsia="Times New Roman" w:hint="ascii"/>
                <w:sz w:val="15"/>
              </w:rPr>
              <w:t>208</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22.89</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生理学与整合生物学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77</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2"/>
              </w:numPr>
              <w:rPr>
                <w:rFonts w:ascii="Times New Roman" w:hAnsi="Times New Roman" w:cs="Times New Roman" w:eastAsia="Times New Roman" w:hint="ascii"/>
                <w:sz w:val="15"/>
              </w:rPr>
            </w:pPr>
            <w:r>
              <w:rPr>
                <w:rFonts w:ascii="Times New Roman" w:hAnsi="Times New Roman" w:cs="Times New Roman" w:eastAsia="Times New Roman" w:hint="ascii"/>
                <w:sz w:val="15"/>
              </w:rPr>
              <w:t>752</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31.15</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80</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3"/>
              </w:numPr>
              <w:rPr>
                <w:rFonts w:ascii="Times New Roman" w:hAnsi="Times New Roman" w:cs="Times New Roman" w:eastAsia="Times New Roman" w:hint="ascii"/>
                <w:sz w:val="15"/>
              </w:rPr>
            </w:pPr>
            <w:r>
              <w:rPr>
                <w:rFonts w:ascii="Times New Roman" w:hAnsi="Times New Roman" w:cs="Times New Roman" w:eastAsia="Times New Roman" w:hint="ascii"/>
                <w:sz w:val="15"/>
              </w:rPr>
              <w:t>806</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32.56</w:t>
            </w:r>
          </w:p>
        </w:tc>
      </w:tr>
      <w:tr>
        <w:trPr>
          <w:trHeight w:val="271" w:hRule="exact"/>
          <w:cantSplit w:val="1"/>
        </w:trPr>
        <w:tc>
          <w:tcPr>
            <w:tcW w:w="566" w:type="dxa"/>
            <w:gridSpan w:val="1"/>
            <w:vAlign w:val="top"/>
            <w:vMerge w:val="restart"/>
            <w:tcMar/>
            <w:tcBorders>
              <w:top w:val="single" w:sz="4" w:space="0" w:color="000000"/>
            </w:tcBorders>
          </w:tcPr>
          <w:p>
            <w:pPr>
              <w:autoSpaceDE w:val="0"/>
              <w:autoSpaceDN w:val="0"/>
              <w:jc w:val="left"/>
              <w:spacing w:before="30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遗传学与生物信息学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126</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4"/>
              </w:numPr>
              <w:rPr>
                <w:rFonts w:ascii="Times New Roman" w:hAnsi="Times New Roman" w:cs="Times New Roman" w:eastAsia="Times New Roman" w:hint="ascii"/>
                <w:sz w:val="15"/>
              </w:rPr>
            </w:pPr>
            <w:r>
              <w:rPr>
                <w:rFonts w:ascii="Times New Roman" w:hAnsi="Times New Roman" w:cs="Times New Roman" w:eastAsia="Times New Roman" w:hint="ascii"/>
                <w:sz w:val="15"/>
              </w:rPr>
              <w:t>850</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26.67</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141</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4"/>
              </w:numPr>
              <w:rPr>
                <w:rFonts w:ascii="Times New Roman" w:hAnsi="Times New Roman" w:cs="Times New Roman" w:eastAsia="Times New Roman" w:hint="ascii"/>
                <w:sz w:val="15"/>
              </w:rPr>
            </w:pPr>
            <w:r>
              <w:rPr>
                <w:rFonts w:ascii="Times New Roman" w:hAnsi="Times New Roman" w:cs="Times New Roman" w:eastAsia="Times New Roman" w:hint="ascii"/>
                <w:sz w:val="15"/>
              </w:rPr>
              <w:t>456</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28.77</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611" w:firstLine="0"/>
              <w:snapToGrid w:val="0"/>
              <w:textAlignment w:val="auto"/>
              <w:tabs/>
              <w:rPr>
                <w:rFonts w:ascii="宋体" w:hAnsi="宋体" w:cs="宋体" w:eastAsia="宋体" w:hint="ascii"/>
                <w:sz w:val="15"/>
              </w:rPr>
            </w:pPr>
            <w:r>
              <w:rPr>
                <w:rFonts w:ascii="宋体" w:hAnsi="宋体" w:cs="宋体" w:eastAsia="宋体" w:hint="ascii"/>
                <w:sz w:val="15"/>
              </w:rPr>
              <w:t>细胞生物学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101</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49"/>
              </w:numPr>
              <w:rPr>
                <w:rFonts w:ascii="Times New Roman" w:hAnsi="Times New Roman" w:cs="Times New Roman" w:eastAsia="Times New Roman" w:hint="ascii"/>
                <w:sz w:val="15"/>
              </w:rPr>
            </w:pPr>
            <w:r>
              <w:rPr>
                <w:rFonts w:ascii="Times New Roman" w:hAnsi="Times New Roman" w:cs="Times New Roman" w:eastAsia="Times New Roman" w:hint="ascii"/>
                <w:sz w:val="15"/>
              </w:rPr>
              <w:t>263</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32.02</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94</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3"/>
              </w:numPr>
              <w:rPr>
                <w:rFonts w:ascii="Times New Roman" w:hAnsi="Times New Roman" w:cs="Times New Roman" w:eastAsia="Times New Roman" w:hint="ascii"/>
                <w:sz w:val="15"/>
              </w:rPr>
            </w:pPr>
            <w:r>
              <w:rPr>
                <w:rFonts w:ascii="Times New Roman" w:hAnsi="Times New Roman" w:cs="Times New Roman" w:eastAsia="Times New Roman" w:hint="ascii"/>
                <w:sz w:val="15"/>
              </w:rPr>
              <w:t>622</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34.86</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161" w:firstLine="0"/>
              <w:snapToGrid w:val="0"/>
              <w:textAlignment w:val="auto"/>
              <w:tabs/>
              <w:rPr>
                <w:rFonts w:ascii="宋体" w:hAnsi="宋体" w:cs="宋体" w:eastAsia="宋体" w:hint="ascii"/>
                <w:sz w:val="15"/>
              </w:rPr>
            </w:pPr>
            <w:r>
              <w:rPr>
                <w:rFonts w:ascii="宋体" w:hAnsi="宋体" w:cs="宋体" w:eastAsia="宋体" w:hint="ascii"/>
                <w:sz w:val="15"/>
              </w:rPr>
              <w:t>发育生物学与生殖生物学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73</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4 515</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29.73</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80</w:t>
            </w:r>
            <w:r>
              <w:rPr>
                <w:rFonts w:ascii="宋体" w:hAnsi="宋体" w:cs="宋体" w:eastAsia="宋体" w:hint="ascii"/>
                <w:sz w:val="15"/>
              </w:rPr>
              <w:t>＋</w:t>
            </w:r>
            <w:r>
              <w:rPr>
                <w:rFonts w:ascii="Times New Roman" w:hAnsi="Times New Roman" w:cs="Times New Roman" w:eastAsia="Times New Roman" w:hint="ascii"/>
                <w:sz w:val="15"/>
              </w:rPr>
              <w:t>4</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4 820</w:t>
            </w:r>
            <w:r>
              <w:rPr>
                <w:rFonts w:ascii="宋体" w:hAnsi="宋体" w:cs="宋体" w:eastAsia="宋体" w:hint="ascii"/>
                <w:sz w:val="15"/>
              </w:rPr>
              <w:t>＋</w:t>
            </w:r>
            <w:r>
              <w:rPr>
                <w:rFonts w:ascii="Times New Roman" w:hAnsi="Times New Roman" w:cs="Times New Roman" w:eastAsia="Times New Roman" w:hint="ascii"/>
                <w:sz w:val="15"/>
              </w:rPr>
              <w:t>100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31.94</w:t>
            </w:r>
          </w:p>
        </w:tc>
      </w:tr>
      <w:tr>
        <w:trPr>
          <w:trHeight w:val="271" w:hRule="exact"/>
          <w:cantSplit w:val="1"/>
        </w:trPr>
        <w:tc>
          <w:tcPr>
            <w:tcW w:w="566" w:type="dxa"/>
            <w:gridSpan w:val="1"/>
            <w:vAlign w:val="top"/>
            <w:vMerge w:val="restart"/>
            <w:tcMar/>
            <w:tcBorders>
              <w:top w:val="single" w:sz="4" w:space="0" w:color="000000"/>
            </w:tcBorders>
          </w:tcPr>
          <w:p>
            <w:pPr>
              <w:autoSpaceDE w:val="0"/>
              <w:autoSpaceDN w:val="0"/>
              <w:jc w:val="left"/>
              <w:spacing w:before="16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作物学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200</w:t>
            </w:r>
            <w:r>
              <w:rPr>
                <w:rFonts w:ascii="宋体" w:hAnsi="宋体" w:cs="宋体" w:eastAsia="宋体" w:hint="ascii"/>
                <w:sz w:val="15"/>
              </w:rPr>
              <w:t>＋</w:t>
            </w:r>
            <w:r>
              <w:rPr>
                <w:rFonts w:ascii="Times New Roman" w:hAnsi="Times New Roman" w:cs="Times New Roman" w:eastAsia="Times New Roman" w:hint="ascii"/>
                <w:sz w:val="15"/>
              </w:rPr>
              <w:t>8</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tab w:val="left" w:leader="none" w:pos="281"/>
              </w:tabs>
              <w:numPr>
                <w:ilvl w:val="0"/>
                <w:numId w:val="46"/>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398</w:t>
            </w:r>
            <w:r>
              <w:rPr>
                <w:rFonts w:ascii="宋体" w:hAnsi="宋体" w:cs="宋体" w:eastAsia="宋体" w:hint="ascii"/>
                <w:sz w:val="15"/>
              </w:rPr>
              <w:t>＋</w:t>
            </w:r>
            <w:r>
              <w:rPr>
                <w:rFonts w:ascii="Times New Roman" w:hAnsi="Times New Roman" w:cs="Times New Roman" w:eastAsia="Times New Roman" w:hint="ascii"/>
                <w:sz w:val="15"/>
              </w:rPr>
              <w:t>200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23.19</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214</w:t>
            </w:r>
            <w:r>
              <w:rPr>
                <w:rFonts w:ascii="宋体" w:hAnsi="宋体" w:cs="宋体" w:eastAsia="宋体" w:hint="ascii"/>
                <w:sz w:val="15"/>
              </w:rPr>
              <w:t>＋</w:t>
            </w:r>
            <w:r>
              <w:rPr>
                <w:rFonts w:ascii="Times New Roman" w:hAnsi="Times New Roman" w:cs="Times New Roman" w:eastAsia="Times New Roman" w:hint="ascii"/>
                <w:sz w:val="15"/>
              </w:rPr>
              <w:t>8</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tab w:val="left" w:leader="none" w:pos="281"/>
              </w:tabs>
              <w:numPr>
                <w:ilvl w:val="0"/>
                <w:numId w:val="47"/>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817</w:t>
            </w:r>
            <w:r>
              <w:rPr>
                <w:rFonts w:ascii="宋体" w:hAnsi="宋体" w:cs="宋体" w:eastAsia="宋体" w:hint="ascii"/>
                <w:sz w:val="15"/>
              </w:rPr>
              <w:t>＋</w:t>
            </w:r>
            <w:r>
              <w:rPr>
                <w:rFonts w:ascii="Times New Roman" w:hAnsi="Times New Roman" w:cs="Times New Roman" w:eastAsia="Times New Roman" w:hint="ascii"/>
                <w:sz w:val="15"/>
              </w:rPr>
              <w:t>200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23.39</w:t>
            </w:r>
          </w:p>
        </w:tc>
      </w:tr>
      <w:tr>
        <w:trPr>
          <w:trHeight w:val="270"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685" w:firstLine="0"/>
              <w:snapToGrid w:val="0"/>
              <w:textAlignment w:val="auto"/>
              <w:tabs/>
              <w:rPr>
                <w:rFonts w:ascii="宋体" w:hAnsi="宋体" w:cs="宋体" w:eastAsia="宋体" w:hint="ascii"/>
                <w:sz w:val="15"/>
              </w:rPr>
            </w:pPr>
            <w:r>
              <w:rPr>
                <w:rFonts w:ascii="宋体" w:hAnsi="宋体" w:cs="宋体" w:eastAsia="宋体" w:hint="ascii"/>
                <w:sz w:val="15"/>
              </w:rPr>
              <w:t>食品科学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180</w:t>
            </w:r>
            <w:r>
              <w:rPr>
                <w:rFonts w:ascii="宋体" w:hAnsi="宋体" w:cs="宋体" w:eastAsia="宋体" w:hint="ascii"/>
                <w:sz w:val="15"/>
              </w:rPr>
              <w:t>＋</w:t>
            </w:r>
            <w:r>
              <w:rPr>
                <w:rFonts w:ascii="Times New Roman" w:hAnsi="Times New Roman" w:cs="Times New Roman" w:eastAsia="Times New Roman" w:hint="ascii"/>
                <w:sz w:val="15"/>
              </w:rPr>
              <w:t>7</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90" w:firstLine="0"/>
              <w:snapToGrid w:val="0"/>
              <w:textAlignment w:val="auto"/>
              <w:tabs>
                <w:tab w:val="left" w:leader="none" w:pos="277"/>
              </w:tabs>
              <w:numPr>
                <w:ilvl w:val="0"/>
                <w:numId w:val="48"/>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175</w:t>
            </w:r>
            <w:r>
              <w:rPr>
                <w:rFonts w:ascii="宋体" w:hAnsi="宋体" w:cs="宋体" w:eastAsia="宋体" w:hint="ascii"/>
                <w:sz w:val="15"/>
              </w:rPr>
              <w:t>＋</w:t>
            </w:r>
            <w:r>
              <w:rPr>
                <w:rFonts w:ascii="Times New Roman" w:hAnsi="Times New Roman" w:cs="Times New Roman" w:eastAsia="Times New Roman" w:hint="ascii"/>
                <w:sz w:val="15"/>
              </w:rPr>
              <w:t>175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19.34</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201</w:t>
            </w:r>
            <w:r>
              <w:rPr>
                <w:rFonts w:ascii="宋体" w:hAnsi="宋体" w:cs="宋体" w:eastAsia="宋体" w:hint="ascii"/>
                <w:sz w:val="15"/>
              </w:rPr>
              <w:t>＋</w:t>
            </w:r>
            <w:r>
              <w:rPr>
                <w:rFonts w:ascii="Times New Roman" w:hAnsi="Times New Roman" w:cs="Times New Roman" w:eastAsia="Times New Roman" w:hint="ascii"/>
                <w:sz w:val="15"/>
              </w:rPr>
              <w:t>8</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87" w:firstLine="0"/>
              <w:snapToGrid w:val="0"/>
              <w:textAlignment w:val="auto"/>
              <w:tabs>
                <w:tab w:val="left" w:leader="none" w:pos="281"/>
              </w:tabs>
              <w:numPr>
                <w:ilvl w:val="0"/>
                <w:numId w:val="4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068</w:t>
            </w:r>
            <w:r>
              <w:rPr>
                <w:rFonts w:ascii="宋体" w:hAnsi="宋体" w:cs="宋体" w:eastAsia="宋体" w:hint="ascii"/>
                <w:sz w:val="15"/>
              </w:rPr>
              <w:t>＋</w:t>
            </w:r>
            <w:r>
              <w:rPr>
                <w:rFonts w:ascii="Times New Roman" w:hAnsi="Times New Roman" w:cs="Times New Roman" w:eastAsia="Times New Roman" w:hint="ascii"/>
                <w:sz w:val="15"/>
              </w:rPr>
              <w:t>200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22.00</w:t>
            </w:r>
          </w:p>
        </w:tc>
      </w:tr>
      <w:tr>
        <w:trPr>
          <w:trHeight w:val="271" w:hRule="exact"/>
          <w:cantSplit w:val="1"/>
        </w:trPr>
        <w:tc>
          <w:tcPr>
            <w:tcW w:w="566" w:type="dxa"/>
            <w:gridSpan w:val="1"/>
            <w:vAlign w:val="top"/>
            <w:vMerge w:val="restart"/>
            <w:tcMar/>
            <w:tcBorders>
              <w:top w:val="single" w:sz="4" w:space="0" w:color="000000"/>
            </w:tcBorders>
          </w:tcPr>
          <w:p>
            <w:pPr>
              <w:autoSpaceDE w:val="0"/>
              <w:autoSpaceDN w:val="0"/>
              <w:jc w:val="left"/>
              <w:spacing w:before="16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611" w:firstLine="0"/>
              <w:snapToGrid w:val="0"/>
              <w:textAlignment w:val="auto"/>
              <w:tabs/>
              <w:rPr>
                <w:rFonts w:ascii="宋体" w:hAnsi="宋体" w:cs="宋体" w:eastAsia="宋体" w:hint="ascii"/>
                <w:sz w:val="15"/>
              </w:rPr>
            </w:pPr>
            <w:r>
              <w:rPr>
                <w:rFonts w:ascii="宋体" w:hAnsi="宋体" w:cs="宋体" w:eastAsia="宋体" w:hint="ascii"/>
                <w:sz w:val="15"/>
              </w:rPr>
              <w:t>植物保护学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127</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49"/>
              </w:numPr>
              <w:rPr>
                <w:rFonts w:ascii="Times New Roman" w:hAnsi="Times New Roman" w:cs="Times New Roman" w:eastAsia="Times New Roman" w:hint="ascii"/>
                <w:sz w:val="15"/>
              </w:rPr>
            </w:pPr>
            <w:r>
              <w:rPr>
                <w:rFonts w:ascii="Times New Roman" w:hAnsi="Times New Roman" w:cs="Times New Roman" w:eastAsia="Times New Roman" w:hint="ascii"/>
                <w:sz w:val="15"/>
              </w:rPr>
              <w:t>864</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23.67</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141</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49"/>
              </w:numPr>
              <w:rPr>
                <w:rFonts w:ascii="Times New Roman" w:hAnsi="Times New Roman" w:cs="Times New Roman" w:eastAsia="Times New Roman" w:hint="ascii"/>
                <w:sz w:val="15"/>
              </w:rPr>
            </w:pPr>
            <w:r>
              <w:rPr>
                <w:rFonts w:ascii="Times New Roman" w:hAnsi="Times New Roman" w:cs="Times New Roman" w:eastAsia="Times New Roman" w:hint="ascii"/>
                <w:sz w:val="15"/>
              </w:rPr>
              <w:t>485</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23.60</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园艺学与植物营养学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140</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8 663</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22.92</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151</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tab w:val="left" w:leader="none" w:pos="242"/>
              </w:tabs>
              <w:numPr>
                <w:ilvl w:val="0"/>
                <w:numId w:val="54"/>
              </w:numPr>
              <w:rPr>
                <w:rFonts w:ascii="Times New Roman" w:hAnsi="Times New Roman" w:cs="Times New Roman" w:eastAsia="Times New Roman" w:hint="ascii"/>
                <w:sz w:val="15"/>
              </w:rPr>
            </w:pPr>
            <w:r>
              <w:rPr>
                <w:rFonts w:ascii="Times New Roman" w:hAnsi="Times New Roman" w:cs="Times New Roman" w:eastAsia="Times New Roman" w:hint="ascii"/>
                <w:sz w:val="15"/>
              </w:rPr>
              <w:t>089</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24.49</w:t>
            </w:r>
          </w:p>
        </w:tc>
      </w:tr>
      <w:tr>
        <w:trPr>
          <w:trHeight w:val="271" w:hRule="exact"/>
          <w:cantSplit w:val="1"/>
        </w:trPr>
        <w:tc>
          <w:tcPr>
            <w:tcW w:w="566" w:type="dxa"/>
            <w:gridSpan w:val="1"/>
            <w:vAlign w:val="top"/>
            <w:vMerge w:val="restart"/>
            <w:tcMar/>
            <w:tcBorders>
              <w:top w:val="single" w:sz="4" w:space="0" w:color="000000"/>
              <w:bottom w:val="single" w:sz="8" w:space="0" w:color="000000"/>
            </w:tcBorders>
          </w:tcPr>
          <w:p>
            <w:pPr>
              <w:autoSpaceDE w:val="0"/>
              <w:autoSpaceDN w:val="0"/>
              <w:jc w:val="left"/>
              <w:spacing w:before="16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动物学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130</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8 081</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32.69</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142</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8 552</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34.59</w:t>
            </w:r>
          </w:p>
        </w:tc>
      </w:tr>
      <w:tr>
        <w:trPr>
          <w:trHeight w:val="276" w:hRule="exact"/>
          <w:cantSplit w:val="1"/>
        </w:trPr>
        <w:tc>
          <w:tcPr>
            <w:tcW w:w="566" w:type="dxa"/>
            <w:gridSpan w:val="1"/>
            <w:vAlign w:val="top"/>
            <w:vMerge w:val="continue"/>
            <w:tcMar/>
            <w:tcBorders>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3" w:after="0" w:lineRule="exact" w:line="188"/>
              <w:ind w:right="0" w:left="385" w:firstLine="0"/>
              <w:snapToGrid w:val="0"/>
              <w:textAlignment w:val="auto"/>
              <w:tabs/>
              <w:rPr>
                <w:rFonts w:ascii="宋体" w:hAnsi="宋体" w:cs="宋体" w:eastAsia="宋体" w:hint="ascii"/>
                <w:sz w:val="15"/>
              </w:rPr>
            </w:pPr>
            <w:r>
              <w:rPr>
                <w:rFonts w:ascii="宋体" w:hAnsi="宋体" w:cs="宋体" w:eastAsia="宋体" w:hint="ascii"/>
                <w:sz w:val="15"/>
              </w:rPr>
              <w:t>畜牧学与草地科学</w:t>
            </w:r>
          </w:p>
        </w:tc>
        <w:tc>
          <w:tcPr>
            <w:tcW w:w="96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0" w:after="0" w:lineRule="auto" w:line="240"/>
              <w:ind w:right="0" w:left="23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16</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7 228</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21.75</w:t>
            </w:r>
          </w:p>
        </w:tc>
        <w:tc>
          <w:tcPr>
            <w:tcW w:w="96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127</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7 648</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23.33</w:t>
            </w:r>
          </w:p>
        </w:tc>
      </w:tr>
    </w:tbl>
    <w:p>
      <w:pPr>
        <w:autoSpaceDE w:val="0"/>
        <w:autoSpaceDN w:val="0"/>
        <w:jc w:val="left"/>
        <w:spacing w:before="404"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80" locked="0" layoutInCell="1" allowOverlap="1">
                <wp:simplePos x="0" y="0"/>
                <wp:positionH relativeFrom="page">
                  <wp:posOffset>938530</wp:posOffset>
                </wp:positionH>
                <wp:positionV relativeFrom="page">
                  <wp:posOffset>805815</wp:posOffset>
                </wp:positionV>
                <wp:extent cx="5076190" cy="0"/>
                <wp:wrapNone/>
                <wp:docPr id="1107" name="110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76320;width:399.70pt;" id="1107"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566"/>
        <w:gridCol w:w="1981"/>
        <w:gridCol w:w="965"/>
        <w:gridCol w:w="1021"/>
        <w:gridCol w:w="737"/>
        <w:gridCol w:w="965"/>
        <w:gridCol w:w="1021"/>
        <w:gridCol w:w="736"/>
      </w:tblGrid>
      <w:tr>
        <w:trPr>
          <w:trHeight w:val="276" w:hRule="exact"/>
          <w:cantSplit w:val="1"/>
        </w:trPr>
        <w:tc>
          <w:tcPr>
            <w:tcW w:w="2547" w:type="dxa"/>
            <w:gridSpan w:val="2"/>
            <w:vAlign w:val="top"/>
            <w:vMerge w:val="restart"/>
            <w:tcMar/>
            <w:tcBorders/>
          </w:tcPr>
          <w:p>
            <w:pPr>
              <w:autoSpaceDE w:val="0"/>
              <w:autoSpaceDN w:val="0"/>
              <w:jc w:val="left"/>
              <w:spacing w:before="249" w:after="0" w:lineRule="exact" w:line="188"/>
              <w:ind w:right="0" w:left="1039"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3" w:type="dxa"/>
            <w:gridSpan w:val="3"/>
            <w:vAlign w:val="top"/>
            <w:tcMar/>
            <w:tcBorders>
              <w:left w:val="single" w:sz="4" w:space="0" w:color="000000"/>
            </w:tcBorders>
          </w:tcPr>
          <w:p>
            <w:pPr>
              <w:autoSpaceDE w:val="0"/>
              <w:autoSpaceDN w:val="0"/>
              <w:jc w:val="left"/>
              <w:spacing w:before="33" w:after="0" w:lineRule="auto" w:line="240"/>
              <w:ind w:right="0" w:left="1038" w:firstLine="0"/>
              <w:snapToGrid w:val="0"/>
              <w:textAlignment w:val="auto"/>
              <w:tabs>
                <w:tab w:val="left" w:leader="none" w:pos="1381"/>
              </w:tabs>
              <w:numPr>
                <w:ilvl w:val="0"/>
                <w:numId w:val="55"/>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33" w:after="0" w:lineRule="auto" w:line="240"/>
              <w:ind w:right="0" w:left="1037" w:firstLine="0"/>
              <w:snapToGrid w:val="0"/>
              <w:textAlignment w:val="auto"/>
              <w:tabs>
                <w:tab w:val="left" w:leader="none" w:pos="1381"/>
              </w:tabs>
              <w:numPr>
                <w:ilvl w:val="0"/>
                <w:numId w:val="55"/>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33" w:hRule="exact"/>
          <w:cantSplit w:val="1"/>
        </w:trPr>
        <w:tc>
          <w:tcPr>
            <w:tcW w:w="2547"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65"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17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021"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206"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737" w:type="dxa"/>
            <w:gridSpan w:val="1"/>
            <w:vAlign w:val="top"/>
            <w:tcMar/>
            <w:tcBorders>
              <w:left w:val="single" w:sz="4" w:space="0" w:color="000000"/>
              <w:top w:val="single" w:sz="4" w:space="0" w:color="000000"/>
            </w:tcBorders>
          </w:tcPr>
          <w:p>
            <w:pPr>
              <w:autoSpaceDE w:val="0"/>
              <w:autoSpaceDN w:val="0"/>
              <w:jc w:val="left"/>
              <w:spacing w:before="6" w:after="0" w:lineRule="exact" w:line="201"/>
              <w:ind w:right="0" w:left="98"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1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965"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176"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021" w:type="dxa"/>
            <w:gridSpan w:val="1"/>
            <w:vAlign w:val="top"/>
            <w:tcMar/>
            <w:tcBorders>
              <w:left w:val="single" w:sz="4" w:space="0" w:color="000000"/>
              <w:top w:val="single" w:sz="4" w:space="0" w:color="000000"/>
            </w:tcBorders>
          </w:tcPr>
          <w:p>
            <w:pPr>
              <w:autoSpaceDE w:val="0"/>
              <w:autoSpaceDN w:val="0"/>
              <w:jc w:val="left"/>
              <w:spacing w:before="114" w:after="0" w:lineRule="exact" w:line="188"/>
              <w:ind w:right="0" w:left="206"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 w:after="0" w:lineRule="exact" w:line="201"/>
              <w:ind w:right="0" w:left="97"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13"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70" w:hRule="exact"/>
          <w:cantSplit w:val="1"/>
        </w:trPr>
        <w:tc>
          <w:tcPr>
            <w:tcW w:w="566" w:type="dxa"/>
            <w:gridSpan w:val="1"/>
            <w:vAlign w:val="top"/>
            <w:vMerge w:val="restart"/>
            <w:tcMar/>
            <w:tcBorders>
              <w:top w:val="single" w:sz="4" w:space="0" w:color="000000"/>
            </w:tcBorders>
          </w:tcPr>
          <w:p>
            <w:pPr>
              <w:autoSpaceDE w:val="0"/>
              <w:autoSpaceDN w:val="0"/>
              <w:jc w:val="left"/>
              <w:spacing w:before="169"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兽医学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3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18</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7 309</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22.30</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27"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129</w:t>
            </w:r>
            <w:r>
              <w:rPr>
                <w:rFonts w:ascii="宋体" w:hAnsi="宋体" w:cs="宋体" w:eastAsia="宋体" w:hint="ascii"/>
                <w:sz w:val="15"/>
              </w:rPr>
              <w:t>＋</w:t>
            </w:r>
            <w:r>
              <w:rPr>
                <w:rFonts w:ascii="Times New Roman" w:hAnsi="Times New Roman" w:cs="Times New Roman" w:eastAsia="Times New Roman" w:hint="ascii"/>
                <w:sz w:val="15"/>
              </w:rPr>
              <w:t>6</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7 721</w:t>
            </w:r>
            <w:r>
              <w:rPr>
                <w:rFonts w:ascii="宋体" w:hAnsi="宋体" w:cs="宋体" w:eastAsia="宋体" w:hint="ascii"/>
                <w:sz w:val="15"/>
              </w:rPr>
              <w:t>＋</w:t>
            </w:r>
            <w:r>
              <w:rPr>
                <w:rFonts w:ascii="Times New Roman" w:hAnsi="Times New Roman" w:cs="Times New Roman" w:eastAsia="Times New Roman" w:hint="ascii"/>
                <w:sz w:val="15"/>
              </w:rPr>
              <w:t>150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23.52</w:t>
            </w:r>
          </w:p>
        </w:tc>
      </w:tr>
      <w:tr>
        <w:trPr>
          <w:trHeight w:val="27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1"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水产学</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71</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4 426</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22.22</w:t>
            </w:r>
          </w:p>
        </w:tc>
        <w:tc>
          <w:tcPr>
            <w:tcW w:w="965"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26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78</w:t>
            </w:r>
            <w:r>
              <w:rPr>
                <w:rFonts w:ascii="宋体" w:hAnsi="宋体" w:cs="宋体" w:eastAsia="宋体" w:hint="ascii"/>
                <w:sz w:val="15"/>
              </w:rPr>
              <w:t>＋</w:t>
            </w:r>
            <w:r>
              <w:rPr>
                <w:rFonts w:ascii="Times New Roman" w:hAnsi="Times New Roman" w:cs="Times New Roman" w:eastAsia="Times New Roman" w:hint="ascii"/>
                <w:sz w:val="15"/>
              </w:rPr>
              <w:t>5</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20" w:after="0" w:lineRule="auto" w:line="240"/>
              <w:ind w:right="0" w:left="12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4 688</w:t>
            </w:r>
            <w:r>
              <w:rPr>
                <w:rFonts w:ascii="宋体" w:hAnsi="宋体" w:cs="宋体" w:eastAsia="宋体" w:hint="ascii"/>
                <w:sz w:val="15"/>
              </w:rPr>
              <w:t>＋</w:t>
            </w:r>
            <w:r>
              <w:rPr>
                <w:rFonts w:ascii="Times New Roman" w:hAnsi="Times New Roman" w:cs="Times New Roman" w:eastAsia="Times New Roman" w:hint="ascii"/>
                <w:sz w:val="15"/>
              </w:rPr>
              <w:t>125</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23.25</w:t>
            </w:r>
          </w:p>
        </w:tc>
      </w:tr>
      <w:tr>
        <w:trPr>
          <w:trHeight w:val="412" w:hRule="exact"/>
          <w:cantSplit w:val="1"/>
        </w:trPr>
        <w:tc>
          <w:tcPr>
            <w:tcW w:w="2547" w:type="dxa"/>
            <w:gridSpan w:val="2"/>
            <w:vAlign w:val="top"/>
            <w:tcMar/>
            <w:tcBorders>
              <w:top w:val="single" w:sz="4" w:space="0" w:color="000000"/>
            </w:tcBorders>
          </w:tcPr>
          <w:p>
            <w:pPr>
              <w:autoSpaceDE w:val="0"/>
              <w:autoSpaceDN w:val="0"/>
              <w:jc w:val="left"/>
              <w:spacing w:before="104" w:after="0" w:lineRule="exact" w:line="188"/>
              <w:ind w:right="0" w:left="814"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965" w:type="dxa"/>
            <w:gridSpan w:val="1"/>
            <w:vAlign w:val="top"/>
            <w:tcMar/>
            <w:tcBorders>
              <w:left w:val="single" w:sz="4" w:space="0" w:color="000000"/>
              <w:top w:val="single" w:sz="4" w:space="0" w:color="000000"/>
            </w:tcBorders>
          </w:tcPr>
          <w:p>
            <w:pPr>
              <w:autoSpaceDE w:val="0"/>
              <w:autoSpaceDN w:val="0"/>
              <w:jc w:val="left"/>
              <w:spacing w:before="91" w:after="0" w:lineRule="auto" w:line="240"/>
              <w:ind w:right="0" w:left="97" w:firstLine="0"/>
              <w:snapToGrid w:val="0"/>
              <w:textAlignment w:val="auto"/>
              <w:tabs>
                <w:tab w:val="left" w:leader="none" w:pos="215"/>
              </w:tabs>
              <w:numPr>
                <w:ilvl w:val="0"/>
                <w:numId w:val="56"/>
              </w:numPr>
              <w:rPr>
                <w:rFonts w:ascii="Times New Roman" w:hAnsi="Times New Roman" w:cs="Times New Roman" w:eastAsia="Times New Roman" w:hint="ascii"/>
                <w:sz w:val="15"/>
              </w:rPr>
            </w:pPr>
            <w:r>
              <w:rPr>
                <w:rFonts w:ascii="Times New Roman" w:hAnsi="Times New Roman" w:cs="Times New Roman" w:eastAsia="Times New Roman" w:hint="ascii"/>
                <w:sz w:val="15"/>
              </w:rPr>
              <w:t>580</w:t>
            </w:r>
            <w:r>
              <w:rPr>
                <w:rFonts w:ascii="宋体" w:hAnsi="宋体" w:cs="宋体" w:eastAsia="宋体" w:hint="ascii"/>
                <w:sz w:val="15"/>
              </w:rPr>
              <w:t>＋</w:t>
            </w:r>
            <w:r>
              <w:rPr>
                <w:rFonts w:ascii="Times New Roman" w:hAnsi="Times New Roman" w:cs="Times New Roman" w:eastAsia="Times New Roman" w:hint="ascii"/>
                <w:sz w:val="15"/>
              </w:rPr>
              <w:t>120</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20"/>
              <w:ind w:right="0" w:left="187"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159 990</w:t>
            </w:r>
            <w:r>
              <w:rPr>
                <w:rFonts w:ascii="宋体" w:hAnsi="宋体" w:cs="宋体" w:eastAsia="宋体" w:hint="ascii"/>
                <w:sz w:val="15"/>
              </w:rPr>
              <w:t>＋</w:t>
            </w:r>
          </w:p>
          <w:p>
            <w:pPr>
              <w:autoSpaceDE w:val="0"/>
              <w:autoSpaceDN w:val="0"/>
              <w:jc w:val="left"/>
              <w:spacing w:before="0" w:after="0" w:lineRule="auto" w:line="221"/>
              <w:ind w:right="0" w:left="312" w:firstLine="0"/>
              <w:snapToGrid w:val="0"/>
              <w:textAlignment w:val="auto"/>
              <w:tabs>
                <w:tab w:val="left" w:leader="none" w:pos="430"/>
              </w:tabs>
              <w:numPr>
                <w:ilvl w:val="0"/>
                <w:numId w:val="56"/>
              </w:numPr>
              <w:rPr>
                <w:rFonts w:ascii="Times New Roman" w:hAnsi="Times New Roman" w:cs="Times New Roman" w:eastAsia="Times New Roman" w:hint="ascii"/>
                <w:sz w:val="15"/>
              </w:rPr>
            </w:pPr>
            <w:r>
              <w:rPr>
                <w:rFonts w:ascii="Times New Roman" w:hAnsi="Times New Roman" w:cs="Times New Roman" w:eastAsia="Times New Roman" w:hint="ascii"/>
                <w:sz w:val="15"/>
              </w:rPr>
              <w:t>000</w:t>
            </w:r>
            <w:r>
              <w:rPr>
                <w:rFonts w:ascii="Times New Roman" w:hAnsi="Times New Roman" w:cs="Times New Roman" w:eastAsia="Times New Roman" w:hint="ascii"/>
                <w:sz w:val="10"/>
                <w:position w:val="7"/>
              </w:rPr>
              <w:t>*</w:t>
            </w:r>
          </w:p>
        </w:tc>
        <w:tc>
          <w:tcPr>
            <w:tcW w:w="737" w:type="dxa"/>
            <w:gridSpan w:val="1"/>
            <w:vAlign w:val="top"/>
            <w:tcMar/>
            <w:tcBorders>
              <w:left w:val="single" w:sz="4" w:space="0" w:color="000000"/>
              <w:top w:val="single" w:sz="4" w:space="0" w:color="000000"/>
            </w:tcBorders>
          </w:tcPr>
          <w:p>
            <w:pPr>
              <w:autoSpaceDE w:val="0"/>
              <w:autoSpaceDN w:val="0"/>
              <w:jc w:val="left"/>
              <w:spacing w:before="111" w:after="0" w:lineRule="auto" w:line="240"/>
              <w:ind w:right="0" w:left="1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24.99</w:t>
            </w:r>
          </w:p>
        </w:tc>
        <w:tc>
          <w:tcPr>
            <w:tcW w:w="965" w:type="dxa"/>
            <w:gridSpan w:val="1"/>
            <w:vAlign w:val="top"/>
            <w:tcMar/>
            <w:tcBorders>
              <w:left w:val="single" w:sz="4" w:space="0" w:color="000000"/>
              <w:top w:val="single" w:sz="4" w:space="0" w:color="000000"/>
            </w:tcBorders>
          </w:tcPr>
          <w:p>
            <w:pPr>
              <w:autoSpaceDE w:val="0"/>
              <w:autoSpaceDN w:val="0"/>
              <w:jc w:val="left"/>
              <w:spacing w:before="91" w:after="0" w:lineRule="auto" w:line="240"/>
              <w:ind w:right="0" w:left="96" w:firstLine="0"/>
              <w:snapToGrid w:val="0"/>
              <w:textAlignment w:val="auto"/>
              <w:tabs>
                <w:tab w:val="left" w:leader="none" w:pos="214"/>
              </w:tabs>
              <w:numPr>
                <w:ilvl w:val="0"/>
                <w:numId w:val="57"/>
              </w:numPr>
              <w:rPr>
                <w:rFonts w:ascii="Times New Roman" w:hAnsi="Times New Roman" w:cs="Times New Roman" w:eastAsia="Times New Roman" w:hint="ascii"/>
                <w:sz w:val="15"/>
              </w:rPr>
            </w:pPr>
            <w:r>
              <w:rPr>
                <w:rFonts w:ascii="Times New Roman" w:hAnsi="Times New Roman" w:cs="Times New Roman" w:eastAsia="Times New Roman" w:hint="ascii"/>
                <w:sz w:val="15"/>
              </w:rPr>
              <w:t>782</w:t>
            </w:r>
            <w:r>
              <w:rPr>
                <w:rFonts w:ascii="宋体" w:hAnsi="宋体" w:cs="宋体" w:eastAsia="宋体" w:hint="ascii"/>
                <w:sz w:val="15"/>
              </w:rPr>
              <w:t>＋</w:t>
            </w:r>
            <w:r>
              <w:rPr>
                <w:rFonts w:ascii="Times New Roman" w:hAnsi="Times New Roman" w:cs="Times New Roman" w:eastAsia="Times New Roman" w:hint="ascii"/>
                <w:sz w:val="15"/>
              </w:rPr>
              <w:t>120</w:t>
            </w:r>
            <w:r>
              <w:rPr>
                <w:rFonts w:ascii="Times New Roman" w:hAnsi="Times New Roman" w:cs="Times New Roman" w:eastAsia="Times New Roman" w:hint="ascii"/>
                <w:sz w:val="10"/>
                <w:position w:val="7"/>
              </w:rPr>
              <w:t>*</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20"/>
              <w:ind w:right="0" w:left="187"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167 030</w:t>
            </w:r>
            <w:r>
              <w:rPr>
                <w:rFonts w:ascii="宋体" w:hAnsi="宋体" w:cs="宋体" w:eastAsia="宋体" w:hint="ascii"/>
                <w:sz w:val="15"/>
              </w:rPr>
              <w:t>＋</w:t>
            </w:r>
          </w:p>
          <w:p>
            <w:pPr>
              <w:autoSpaceDE w:val="0"/>
              <w:autoSpaceDN w:val="0"/>
              <w:jc w:val="left"/>
              <w:spacing w:before="0" w:after="0" w:lineRule="auto" w:line="221"/>
              <w:ind w:right="0" w:left="312" w:firstLine="0"/>
              <w:snapToGrid w:val="0"/>
              <w:textAlignment w:val="auto"/>
              <w:tabs>
                <w:tab w:val="left" w:leader="none" w:pos="430"/>
              </w:tabs>
              <w:numPr>
                <w:ilvl w:val="0"/>
                <w:numId w:val="57"/>
              </w:numPr>
              <w:rPr>
                <w:rFonts w:ascii="Times New Roman" w:hAnsi="Times New Roman" w:cs="Times New Roman" w:eastAsia="Times New Roman" w:hint="ascii"/>
                <w:sz w:val="15"/>
              </w:rPr>
            </w:pPr>
            <w:r>
              <w:rPr>
                <w:rFonts w:ascii="Times New Roman" w:hAnsi="Times New Roman" w:cs="Times New Roman" w:eastAsia="Times New Roman" w:hint="ascii"/>
                <w:sz w:val="15"/>
              </w:rPr>
              <w:t>000</w:t>
            </w:r>
            <w:r>
              <w:rPr>
                <w:rFonts w:ascii="Times New Roman" w:hAnsi="Times New Roman" w:cs="Times New Roman" w:eastAsia="Times New Roman" w:hint="ascii"/>
                <w:sz w:val="10"/>
                <w:position w:val="7"/>
              </w:rPr>
              <w:t>*</w:t>
            </w:r>
          </w:p>
        </w:tc>
        <w:tc>
          <w:tcPr>
            <w:tcW w:w="73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11" w:after="0" w:lineRule="auto" w:line="240"/>
              <w:ind w:right="0" w:left="1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26.31</w:t>
            </w:r>
          </w:p>
        </w:tc>
      </w:tr>
      <w:tr>
        <w:trPr>
          <w:trHeight w:val="276" w:hRule="exact"/>
          <w:cantSplit w:val="1"/>
        </w:trPr>
        <w:tc>
          <w:tcPr>
            <w:tcW w:w="2547" w:type="dxa"/>
            <w:gridSpan w:val="2"/>
            <w:vAlign w:val="top"/>
            <w:tcMar/>
            <w:tcBorders>
              <w:top w:val="single" w:sz="4" w:space="0" w:color="000000"/>
              <w:bottom w:val="single" w:sz="8" w:space="0" w:color="000000"/>
            </w:tcBorders>
          </w:tcPr>
          <w:p>
            <w:pPr>
              <w:autoSpaceDE w:val="0"/>
              <w:autoSpaceDN w:val="0"/>
              <w:jc w:val="left"/>
              <w:spacing w:before="33" w:after="0" w:lineRule="exact" w:line="188"/>
              <w:ind w:right="0" w:left="6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直接费用平均资助强度（万元／项）</w:t>
            </w:r>
          </w:p>
        </w:tc>
        <w:tc>
          <w:tcPr>
            <w:tcW w:w="2723"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20" w:after="0" w:lineRule="auto" w:line="240"/>
              <w:ind w:right="0" w:left="818"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60.37</w:t>
            </w:r>
            <w:r>
              <w:rPr>
                <w:rFonts w:ascii="宋体" w:hAnsi="宋体" w:cs="宋体" w:eastAsia="宋体" w:hint="ascii"/>
                <w:sz w:val="15"/>
              </w:rPr>
              <w:t>（</w:t>
            </w:r>
            <w:r>
              <w:rPr>
                <w:rFonts w:ascii="Times New Roman" w:hAnsi="Times New Roman" w:cs="Times New Roman" w:eastAsia="Times New Roman" w:hint="ascii"/>
                <w:sz w:val="15"/>
              </w:rPr>
              <w:t>62.01</w:t>
            </w:r>
            <w:r>
              <w:rPr>
                <w:rFonts w:ascii="Times New Roman" w:hAnsi="Times New Roman" w:cs="Times New Roman" w:eastAsia="Times New Roman" w:hint="ascii"/>
                <w:sz w:val="10"/>
                <w:position w:val="7"/>
              </w:rPr>
              <w:t>**</w:t>
            </w:r>
            <w:r>
              <w:rPr>
                <w:rFonts w:ascii="宋体" w:hAnsi="宋体" w:cs="宋体" w:eastAsia="宋体" w:hint="ascii"/>
                <w:sz w:val="15"/>
              </w:rPr>
              <w:t>）</w:t>
            </w:r>
          </w:p>
        </w:tc>
        <w:tc>
          <w:tcPr>
            <w:tcW w:w="2722"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20" w:after="0" w:lineRule="auto" w:line="240"/>
              <w:ind w:right="0" w:left="817"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58.59</w:t>
            </w:r>
            <w:r>
              <w:rPr>
                <w:rFonts w:ascii="宋体" w:hAnsi="宋体" w:cs="宋体" w:eastAsia="宋体" w:hint="ascii"/>
                <w:sz w:val="15"/>
              </w:rPr>
              <w:t>（</w:t>
            </w:r>
            <w:r>
              <w:rPr>
                <w:rFonts w:ascii="Times New Roman" w:hAnsi="Times New Roman" w:cs="Times New Roman" w:eastAsia="Times New Roman" w:hint="ascii"/>
                <w:sz w:val="15"/>
              </w:rPr>
              <w:t>60.04</w:t>
            </w:r>
            <w:r>
              <w:rPr>
                <w:rFonts w:ascii="Times New Roman" w:hAnsi="Times New Roman" w:cs="Times New Roman" w:eastAsia="Times New Roman" w:hint="ascii"/>
                <w:sz w:val="10"/>
                <w:position w:val="7"/>
              </w:rPr>
              <w:t>**</w:t>
            </w:r>
            <w:r>
              <w:rPr>
                <w:rFonts w:ascii="宋体" w:hAnsi="宋体" w:cs="宋体" w:eastAsia="宋体" w:hint="ascii"/>
                <w:sz w:val="15"/>
              </w:rPr>
              <w:t>）</w:t>
            </w:r>
          </w:p>
        </w:tc>
      </w:tr>
    </w:tbl>
    <w:p>
      <w:pPr>
        <w:autoSpaceDE w:val="0"/>
        <w:autoSpaceDN w:val="0"/>
        <w:jc w:val="left"/>
        <w:spacing w:before="72" w:after="0" w:lineRule="auto" w:line="240"/>
        <w:ind w:right="0" w:left="126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w:t>
      </w:r>
      <w:r>
        <w:rPr>
          <w:rFonts w:ascii="宋体" w:hAnsi="宋体" w:cs="宋体" w:eastAsia="宋体" w:hint="ascii"/>
          <w:sz w:val="15"/>
        </w:rPr>
        <w:t>为小额探索项目</w:t>
      </w:r>
    </w:p>
    <w:p>
      <w:pPr>
        <w:autoSpaceDE w:val="0"/>
        <w:autoSpaceDN w:val="0"/>
        <w:jc w:val="left"/>
        <w:spacing w:before="59" w:after="0" w:lineRule="auto" w:line="240"/>
        <w:ind w:right="0" w:left="126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w:t>
      </w:r>
      <w:r>
        <w:rPr>
          <w:rFonts w:ascii="宋体" w:hAnsi="宋体" w:cs="宋体" w:eastAsia="宋体" w:hint="ascii"/>
          <w:sz w:val="15"/>
        </w:rPr>
        <w:t>为不含小额探索项目的面上项目直接费用平均资助强度</w:t>
      </w:r>
    </w:p>
    <w:p>
      <w:pPr>
        <w:autoSpaceDE w:val="0"/>
        <w:autoSpaceDN w:val="0"/>
        <w:jc w:val="left"/>
        <w:spacing w:before="58" w:after="0" w:lineRule="auto" w:line="240"/>
        <w:ind w:right="0" w:left="126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w:t>
      </w:r>
      <w:r>
        <w:rPr>
          <w:rFonts w:ascii="宋体" w:hAnsi="宋体" w:cs="宋体" w:eastAsia="宋体" w:hint="ascii"/>
          <w:sz w:val="15"/>
        </w:rPr>
        <w:t>为包括小额探索项目在内的资助率</w:t>
      </w:r>
    </w:p>
    <w:p>
      <w:pPr>
        <w:autoSpaceDE w:val="0"/>
        <w:autoSpaceDN w:val="0"/>
        <w:jc w:val="left"/>
        <w:spacing w:before="286"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生命科学一处</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生命科学一处的资助范围包括微生物学和植物学两个学科。</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微生物学学科</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微生物学学科资助以真菌、细菌、古菌、病毒和朊病毒等微生物为研究对象的基础</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研究，主</w:t>
      </w:r>
      <w:r>
        <w:rPr>
          <w:rFonts w:ascii="宋体" w:hAnsi="宋体" w:cs="宋体" w:eastAsia="宋体" w:hint="ascii"/>
          <w:sz w:val="21"/>
        </w:rPr>
        <w:t>要资助范围包括：微生物资源与分类、微生物起源与进化、微生物群体结构与</w:t>
      </w:r>
      <w:r>
        <w:rPr>
          <w:rFonts w:ascii="宋体" w:hAnsi="宋体" w:cs="宋体" w:eastAsia="宋体" w:hint="ascii"/>
          <w:sz w:val="21"/>
          <w:spacing w:val="-1"/>
        </w:rPr>
        <w:t>功能、微</w:t>
      </w:r>
      <w:r>
        <w:rPr>
          <w:rFonts w:ascii="宋体" w:hAnsi="宋体" w:cs="宋体" w:eastAsia="宋体" w:hint="ascii"/>
          <w:sz w:val="21"/>
        </w:rPr>
        <w:t>生物代谢与生理生化、微生物细胞结构与功能、微生物遗传与育种、微生物与环境（包括宿主）的互作、病源微生物学等。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近年来微生物学各分支学科间的发展不平衡，以支原体、立克次氏体、衣原体、螺</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旋体、噬</w:t>
      </w:r>
      <w:r>
        <w:rPr>
          <w:rFonts w:ascii="宋体" w:hAnsi="宋体" w:cs="宋体" w:eastAsia="宋体" w:hint="ascii"/>
          <w:sz w:val="21"/>
        </w:rPr>
        <w:t>菌体、朊病毒等为研究对象的科研队伍亟待充实和加强，学科鼓励科学家在上述领域开展基础科学研究，并在资助工作中予以倾斜。</w:t>
      </w:r>
    </w:p>
    <w:p>
      <w:pPr>
        <w:autoSpaceDE w:val="0"/>
        <w:autoSpaceDN w:val="0"/>
        <w:jc w:val="left"/>
        <w:spacing w:before="40" w:after="0" w:lineRule="auto" w:line="240"/>
        <w:ind w:right="0" w:left="1847" w:hanging="461"/>
        <w:snapToGrid w:val="0"/>
        <w:textAlignment w:val="auto"/>
        <w:tabs>
          <w:tab w:val="left" w:leader="none" w:pos="1863"/>
        </w:tabs>
        <w:numPr>
          <w:ilvl w:val="0"/>
          <w:numId w:val="43"/>
        </w:numPr>
        <w:rPr>
          <w:rFonts w:ascii="Times New Roman" w:hAnsi="Times New Roman" w:cs="Times New Roman" w:eastAsia="Times New Roman" w:hint="ascii"/>
          <w:sz w:val="21"/>
          <w:spacing w:val="1"/>
        </w:rPr>
      </w:pPr>
      <w:r>
        <w:rPr>
          <w:rFonts w:ascii="宋体" w:hAnsi="宋体" w:cs="宋体" w:eastAsia="宋体" w:hint="ascii"/>
          <w:sz w:val="21"/>
        </w:rPr>
        <w:t>年度本学科将继续对“微生物分类学”领域进行倾斜资助，尤其是稀有和难</w:t>
      </w:r>
    </w:p>
    <w:p>
      <w:pPr>
        <w:autoSpaceDE w:val="0"/>
        <w:autoSpaceDN w:val="0"/>
        <w:jc w:val="both"/>
        <w:spacing w:before="17"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培养的微</w:t>
      </w:r>
      <w:r>
        <w:rPr>
          <w:rFonts w:ascii="宋体" w:hAnsi="宋体" w:cs="宋体" w:eastAsia="宋体" w:hint="ascii"/>
          <w:sz w:val="21"/>
        </w:rPr>
        <w:t>生物类群，鼓励使用基因组及大数据等现代技术结合传统方法，促进分类和系统发育研究，加强分类学人才培养。</w:t>
      </w:r>
    </w:p>
    <w:p>
      <w:pPr>
        <w:autoSpaceDE w:val="0"/>
        <w:autoSpaceDN w:val="0"/>
        <w:jc w:val="both"/>
        <w:spacing w:before="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本学科鼓励微生物学家与数学、物理学、化学、</w:t>
      </w:r>
      <w:r>
        <w:rPr>
          <w:rFonts w:ascii="宋体" w:hAnsi="宋体" w:cs="宋体" w:eastAsia="宋体" w:hint="ascii"/>
          <w:sz w:val="21"/>
          <w:spacing w:val="-1"/>
        </w:rPr>
        <w:t>信息学等领域的科学家开展合作研</w:t>
      </w:r>
      <w:r>
        <w:rPr>
          <w:rFonts w:ascii="宋体" w:hAnsi="宋体" w:cs="宋体" w:eastAsia="宋体" w:hint="ascii"/>
          <w:sz w:val="21"/>
        </w:rPr>
        <w:t xml:space="preserve"> </w:t>
      </w:r>
      <w:r>
        <w:rPr>
          <w:rFonts w:ascii="宋体" w:hAnsi="宋体" w:cs="宋体" w:eastAsia="宋体" w:hint="ascii"/>
          <w:sz w:val="21"/>
          <w:spacing w:val="-1"/>
        </w:rPr>
        <w:t>究；鼓励</w:t>
      </w:r>
      <w:r>
        <w:rPr>
          <w:rFonts w:ascii="宋体" w:hAnsi="宋体" w:cs="宋体" w:eastAsia="宋体" w:hint="ascii"/>
          <w:sz w:val="21"/>
        </w:rPr>
        <w:t>开展微生物单细胞、微生物共感染、微生物表观遗传学、合成生物学及化学生</w:t>
      </w:r>
      <w:r>
        <w:rPr>
          <w:rFonts w:ascii="宋体" w:hAnsi="宋体" w:cs="宋体" w:eastAsia="宋体" w:hint="ascii"/>
          <w:sz w:val="21"/>
          <w:spacing w:val="-1"/>
        </w:rPr>
        <w:t>物学的研</w:t>
      </w:r>
      <w:r>
        <w:rPr>
          <w:rFonts w:ascii="宋体" w:hAnsi="宋体" w:cs="宋体" w:eastAsia="宋体" w:hint="ascii"/>
          <w:sz w:val="21"/>
        </w:rPr>
        <w:t>究；鼓励针对病原微生物和海洋微生物的基础科学研究；鼓励针对我国重大环</w:t>
      </w:r>
      <w:r>
        <w:rPr>
          <w:rFonts w:ascii="宋体" w:hAnsi="宋体" w:cs="宋体" w:eastAsia="宋体" w:hint="ascii"/>
          <w:sz w:val="21"/>
          <w:spacing w:val="-1"/>
        </w:rPr>
        <w:t>境问题，</w:t>
      </w:r>
      <w:r>
        <w:rPr>
          <w:rFonts w:ascii="宋体" w:hAnsi="宋体" w:cs="宋体" w:eastAsia="宋体" w:hint="ascii"/>
          <w:sz w:val="21"/>
        </w:rPr>
        <w:t>开展微生物学前沿性基础研究；鼓励利用微生物为模式材料对生命科学的基础及前沿问题开展系统深入的研究工作。</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为了促进微生物研究新技术与新方法的发展，汇聚多领域学术思想、研究方法和技</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术手段，突破传统学科壁垒，解决复杂科学问题，</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年生命科学部拟设立专项经费</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万元，鼓励非生物学教育背景（本科或研究生阶段专业为数学、物理学、化学、电</w:t>
      </w:r>
      <w:r>
        <w:rPr>
          <w:rFonts w:ascii="宋体" w:hAnsi="宋体" w:cs="宋体" w:eastAsia="宋体" w:hint="ascii"/>
          <w:sz w:val="21"/>
          <w:spacing w:val="-1"/>
        </w:rPr>
        <w:t>子、信息</w:t>
      </w:r>
      <w:r>
        <w:rPr>
          <w:rFonts w:ascii="宋体" w:hAnsi="宋体" w:cs="宋体" w:eastAsia="宋体" w:hint="ascii"/>
          <w:sz w:val="21"/>
        </w:rPr>
        <w:t>、工程等）的申请者致力于微生物学新技术和新方法的基础研究，项目申请代码</w:t>
      </w:r>
      <w:r>
        <w:rPr>
          <w:rFonts w:ascii="宋体" w:hAnsi="宋体" w:cs="宋体" w:eastAsia="宋体" w:hint="ascii"/>
          <w:sz w:val="21"/>
          <w:spacing w:val="26"/>
        </w:rPr>
        <w:t>为</w:t>
      </w:r>
      <w:r>
        <w:rPr>
          <w:rFonts w:ascii="Times New Roman" w:hAnsi="Times New Roman" w:cs="Times New Roman" w:eastAsia="Times New Roman" w:hint="ascii"/>
          <w:sz w:val="21"/>
        </w:rPr>
        <w:t>C0104</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植物学学科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植物学学科资助以植物为研究对象的基础研究项目，包括植物分类学（含区系地理</w:t>
      </w:r>
    </w:p>
    <w:p>
      <w:pPr>
        <w:autoSpaceDE w:val="0"/>
        <w:autoSpaceDN w:val="0"/>
        <w:jc w:val="left"/>
        <w:spacing w:before="389"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5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学</w:t>
      </w:r>
      <w:r>
        <w:rPr>
          <w:rFonts w:ascii="宋体" w:hAnsi="宋体" w:cs="宋体" w:eastAsia="宋体" w:hint="ascii"/>
          <w:sz w:val="21"/>
          <w:spacing w:val="-50"/>
        </w:rPr>
        <w:t>）</w:t>
      </w:r>
      <w:r>
        <w:rPr>
          <w:rFonts w:ascii="宋体" w:hAnsi="宋体" w:cs="宋体" w:eastAsia="宋体" w:hint="ascii"/>
          <w:sz w:val="21"/>
        </w:rPr>
        <w:t>、植物进化生物学、古植物学、结构植物学、植物生理学、植物发育生物学、植物生殖生物学、代谢植物学、资源植物学（含种质保存和种质创新</w:t>
      </w:r>
      <w:r>
        <w:rPr>
          <w:rFonts w:ascii="宋体" w:hAnsi="宋体" w:cs="宋体" w:eastAsia="宋体" w:hint="ascii"/>
          <w:sz w:val="21"/>
          <w:spacing w:val="-51"/>
        </w:rPr>
        <w:t>）</w:t>
      </w:r>
      <w:r>
        <w:rPr>
          <w:rFonts w:ascii="宋体" w:hAnsi="宋体" w:cs="宋体" w:eastAsia="宋体" w:hint="ascii"/>
          <w:sz w:val="21"/>
        </w:rPr>
        <w:t>、环境植物学、植物保护生物学、植物化学与天然产物化学、水生</w:t>
      </w:r>
      <w:r>
        <w:rPr>
          <w:rFonts w:ascii="Times New Roman" w:hAnsi="Times New Roman" w:cs="Times New Roman" w:eastAsia="Times New Roman" w:hint="ascii"/>
          <w:sz w:val="21"/>
        </w:rPr>
        <w:t>/</w:t>
      </w:r>
      <w:r>
        <w:rPr>
          <w:rFonts w:ascii="宋体" w:hAnsi="宋体" w:cs="宋体" w:eastAsia="宋体" w:hint="ascii"/>
          <w:sz w:val="21"/>
        </w:rPr>
        <w:t>海洋植物学以及与植物学研究相关的新技术与新方法探讨等。</w:t>
      </w:r>
      <w:r>
        <w:rPr>
          <w:rFonts w:ascii="宋体" w:hAnsi="宋体" w:cs="宋体" w:eastAsia="宋体" w:hint="ascii"/>
          <w:sz w:val="21"/>
        </w:rPr>
        <mc:AlternateContent>
          <mc:Choice Requires="wps">
            <w:drawing>
              <wp:anchor distL="0" distR="0" distT="0" distB="0" simplePos="0" behindDoc="1" relativeHeight="81" locked="0" layoutInCell="1" allowOverlap="1">
                <wp:simplePos x="0" y="0"/>
                <wp:positionH relativeFrom="page">
                  <wp:posOffset>938530</wp:posOffset>
                </wp:positionH>
                <wp:positionV relativeFrom="page">
                  <wp:posOffset>819150</wp:posOffset>
                </wp:positionV>
                <wp:extent cx="5076190" cy="0"/>
                <wp:wrapNone/>
                <wp:docPr id="1108" name="110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75296;width:399.70pt;" id="110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从近年来植物学学科受理与资助项目情况看，植物学各分支学科间的发展不平衡，</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植物系统发</w:t>
      </w:r>
      <w:r>
        <w:rPr>
          <w:rFonts w:ascii="宋体" w:hAnsi="宋体" w:cs="宋体" w:eastAsia="宋体" w:hint="ascii"/>
          <w:sz w:val="21"/>
        </w:rPr>
        <w:t>育、植物激素和生长发育、抗性生理等方面的申请数量相对较多，研究水平</w:t>
      </w:r>
      <w:r>
        <w:rPr>
          <w:rFonts w:ascii="宋体" w:hAnsi="宋体" w:cs="宋体" w:eastAsia="宋体" w:hint="ascii"/>
          <w:sz w:val="21"/>
          <w:spacing w:val="-1"/>
        </w:rPr>
        <w:t>相对较高，</w:t>
      </w:r>
      <w:r>
        <w:rPr>
          <w:rFonts w:ascii="宋体" w:hAnsi="宋体" w:cs="宋体" w:eastAsia="宋体" w:hint="ascii"/>
          <w:sz w:val="21"/>
        </w:rPr>
        <w:t>今后应进一步加强研究工作的系统性和创新性，鼓励从结构生物学与计算生</w:t>
      </w:r>
      <w:r>
        <w:rPr>
          <w:rFonts w:ascii="宋体" w:hAnsi="宋体" w:cs="宋体" w:eastAsia="宋体" w:hint="ascii"/>
          <w:sz w:val="21"/>
          <w:spacing w:val="-1"/>
        </w:rPr>
        <w:t>物学角度解</w:t>
      </w:r>
      <w:r>
        <w:rPr>
          <w:rFonts w:ascii="宋体" w:hAnsi="宋体" w:cs="宋体" w:eastAsia="宋体" w:hint="ascii"/>
          <w:sz w:val="21"/>
        </w:rPr>
        <w:t>析植物生物学重大科学问题，重视新技术的应用。呼吸作用、古植物学、生物固氮、矿质元素与代谢、有机物合成与运输、植物种质和水生</w:t>
      </w:r>
      <w:r>
        <w:rPr>
          <w:rFonts w:ascii="Times New Roman" w:hAnsi="Times New Roman" w:cs="Times New Roman" w:eastAsia="Times New Roman" w:hint="ascii"/>
          <w:sz w:val="21"/>
        </w:rPr>
        <w:t>/</w:t>
      </w:r>
      <w:r>
        <w:rPr>
          <w:rFonts w:ascii="宋体" w:hAnsi="宋体" w:cs="宋体" w:eastAsia="宋体" w:hint="ascii"/>
          <w:sz w:val="21"/>
        </w:rPr>
        <w:t>海洋植物与资源等研究领域申请数量相对较少，本学科鼓励有相关基础的研究人员在上述领域进行申请。</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植物学学科关注植物自然变异与驯化机制、植物的环境适应机制、植物生命过程与</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功能模拟，</w:t>
      </w:r>
      <w:r>
        <w:rPr>
          <w:rFonts w:ascii="宋体" w:hAnsi="宋体" w:cs="宋体" w:eastAsia="宋体" w:hint="ascii"/>
          <w:sz w:val="21"/>
        </w:rPr>
        <w:t>鼓励申请人在植物系统生物学、入侵植物生物学、引种和植物种质保护、植物细胞的全能性、植物重要性状的分子基础、植物与共生</w:t>
      </w:r>
      <w:r>
        <w:rPr>
          <w:rFonts w:ascii="Times New Roman" w:hAnsi="Times New Roman" w:cs="Times New Roman" w:eastAsia="Times New Roman" w:hint="ascii"/>
          <w:sz w:val="21"/>
        </w:rPr>
        <w:t>/</w:t>
      </w:r>
      <w:r>
        <w:rPr>
          <w:rFonts w:ascii="宋体" w:hAnsi="宋体" w:cs="宋体" w:eastAsia="宋体" w:hint="ascii"/>
          <w:sz w:val="21"/>
        </w:rPr>
        <w:t>寄生生物的相互作用、植物对环境变化的响应等领域和方向开展多学科的综合研究。</w:t>
      </w:r>
    </w:p>
    <w:p>
      <w:pPr>
        <w:autoSpaceDE w:val="0"/>
        <w:autoSpaceDN w:val="0"/>
        <w:jc w:val="left"/>
        <w:spacing w:before="40" w:after="0" w:lineRule="auto" w:line="240"/>
        <w:ind w:right="0" w:left="1873" w:hanging="487"/>
        <w:snapToGrid w:val="0"/>
        <w:textAlignment w:val="auto"/>
        <w:tabs>
          <w:tab w:val="left" w:leader="none" w:pos="1863"/>
        </w:tabs>
        <w:numPr>
          <w:ilvl w:val="0"/>
          <w:numId w:val="42"/>
        </w:numPr>
        <w:rPr>
          <w:rFonts w:ascii="Times New Roman" w:hAnsi="Times New Roman" w:cs="Times New Roman" w:eastAsia="Times New Roman" w:hint="ascii"/>
          <w:sz w:val="21"/>
          <w:spacing w:val="1"/>
        </w:rPr>
      </w:pPr>
      <w:r>
        <w:rPr>
          <w:rFonts w:ascii="宋体" w:hAnsi="宋体" w:cs="宋体" w:eastAsia="宋体" w:hint="ascii"/>
          <w:sz w:val="21"/>
        </w:rPr>
        <w:t>年度本学科将继续加强对植物经典分类项目的倾斜支持，尤其加强对青年分</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类学人才的支</w:t>
      </w:r>
      <w:r>
        <w:rPr>
          <w:rFonts w:ascii="宋体" w:hAnsi="宋体" w:cs="宋体" w:eastAsia="宋体" w:hint="ascii"/>
          <w:sz w:val="21"/>
        </w:rPr>
        <w:t>持力度，鼓励申请人开展世界性的科属修订、关键地区和特殊生境植物资源的研究。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本学科积极鼓励植物学与数学、物理学、力学、化学、地学以及生态学、遗传学、</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基因组学、蛋白质组学、代谢组学、表型组学（</w:t>
      </w:r>
      <w:r>
        <w:rPr>
          <w:rFonts w:ascii="Times New Roman" w:hAnsi="Times New Roman" w:cs="Times New Roman" w:eastAsia="Times New Roman" w:hint="ascii"/>
          <w:sz w:val="21"/>
        </w:rPr>
        <w:t>phenomics</w:t>
      </w:r>
      <w:r>
        <w:rPr>
          <w:rFonts w:ascii="宋体" w:hAnsi="宋体" w:cs="宋体" w:eastAsia="宋体" w:hint="ascii"/>
          <w:sz w:val="21"/>
          <w:spacing w:val="-53"/>
        </w:rPr>
        <w:t>）</w:t>
      </w:r>
      <w:r>
        <w:rPr>
          <w:rFonts w:ascii="宋体" w:hAnsi="宋体" w:cs="宋体" w:eastAsia="宋体" w:hint="ascii"/>
          <w:sz w:val="21"/>
        </w:rPr>
        <w:t>、生物信息学、仿生学、计</w:t>
      </w:r>
      <w:r>
        <w:rPr>
          <w:rFonts w:ascii="宋体" w:hAnsi="宋体" w:cs="宋体" w:eastAsia="宋体" w:hint="ascii"/>
          <w:sz w:val="21"/>
          <w:spacing w:val="-1"/>
        </w:rPr>
        <w:t>算机科学和社</w:t>
      </w:r>
      <w:r>
        <w:rPr>
          <w:rFonts w:ascii="宋体" w:hAnsi="宋体" w:cs="宋体" w:eastAsia="宋体" w:hint="ascii"/>
          <w:sz w:val="21"/>
        </w:rPr>
        <w:t>会科学等学科的交叉。鼓励申请人根据自己的优势和研究基础提出独特的</w:t>
      </w:r>
      <w:r>
        <w:rPr>
          <w:rFonts w:ascii="宋体" w:hAnsi="宋体" w:cs="宋体" w:eastAsia="宋体" w:hint="ascii"/>
          <w:sz w:val="21"/>
          <w:spacing w:val="-1"/>
        </w:rPr>
        <w:t>科学问题。鼓</w:t>
      </w:r>
      <w:r>
        <w:rPr>
          <w:rFonts w:ascii="宋体" w:hAnsi="宋体" w:cs="宋体" w:eastAsia="宋体" w:hint="ascii"/>
          <w:sz w:val="21"/>
        </w:rPr>
        <w:t>励发展一些进化位置重要的新模式植物，探索特殊的生物学现象。为了充</w:t>
      </w:r>
      <w:r>
        <w:rPr>
          <w:rFonts w:ascii="宋体" w:hAnsi="宋体" w:cs="宋体" w:eastAsia="宋体" w:hint="ascii"/>
          <w:sz w:val="21"/>
          <w:spacing w:val="-1"/>
        </w:rPr>
        <w:t>分发挥地域和</w:t>
      </w:r>
      <w:r>
        <w:rPr>
          <w:rFonts w:ascii="宋体" w:hAnsi="宋体" w:cs="宋体" w:eastAsia="宋体" w:hint="ascii"/>
          <w:sz w:val="21"/>
        </w:rPr>
        <w:t>资源优势、加强人才培养，鼓励边远地区和科技不发达地区的申请人与相关优势单位和群体开展合作研究。</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生命科学二处</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生命科学二处的资助范围包括生态学和林学两个学科。</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生态学学科</w:t>
      </w:r>
    </w:p>
    <w:p>
      <w:pPr>
        <w:autoSpaceDE w:val="0"/>
        <w:autoSpaceDN w:val="0"/>
        <w:jc w:val="left"/>
        <w:spacing w:before="20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生态学是研究生物与环境、生物与生物之间相互作用的一门学科，对于解决我国日</w:t>
      </w:r>
    </w:p>
    <w:p>
      <w:pPr>
        <w:autoSpaceDE w:val="0"/>
        <w:autoSpaceDN w:val="0"/>
        <w:jc w:val="both"/>
        <w:spacing w:before="13" w:after="0" w:lineRule="exact" w:line="326"/>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益突出的生</w:t>
      </w:r>
      <w:r>
        <w:rPr>
          <w:rFonts w:ascii="宋体" w:hAnsi="宋体" w:cs="宋体" w:eastAsia="宋体" w:hint="ascii"/>
          <w:sz w:val="21"/>
        </w:rPr>
        <w:t>态环境问题发挥着重要作用。生态学学科资助范围包括分子与进化生态学、</w:t>
      </w:r>
      <w:r>
        <w:rPr>
          <w:rFonts w:ascii="宋体" w:hAnsi="宋体" w:cs="宋体" w:eastAsia="宋体" w:hint="ascii"/>
          <w:sz w:val="21"/>
          <w:spacing w:val="-1"/>
        </w:rPr>
        <w:t>行为生态学</w:t>
      </w:r>
      <w:r>
        <w:rPr>
          <w:rFonts w:ascii="宋体" w:hAnsi="宋体" w:cs="宋体" w:eastAsia="宋体" w:hint="ascii"/>
          <w:sz w:val="21"/>
        </w:rPr>
        <w:t>、生理生态学、种群生态学、群落生态学、生态系统生态学、景观与区域生</w:t>
      </w:r>
      <w:r>
        <w:rPr>
          <w:rFonts w:ascii="宋体" w:hAnsi="宋体" w:cs="宋体" w:eastAsia="宋体" w:hint="ascii"/>
          <w:sz w:val="21"/>
          <w:spacing w:val="-1"/>
        </w:rPr>
        <w:t>态学、全球</w:t>
      </w:r>
      <w:r>
        <w:rPr>
          <w:rFonts w:ascii="宋体" w:hAnsi="宋体" w:cs="宋体" w:eastAsia="宋体" w:hint="ascii"/>
          <w:sz w:val="21"/>
        </w:rPr>
        <w:t>变化生态学、微生物生态学、污染生态学、生态安全评价、土壤生态学、保护生物学与恢复生态学等。</w:t>
      </w:r>
    </w:p>
    <w:p>
      <w:pPr>
        <w:autoSpaceDE w:val="0"/>
        <w:autoSpaceDN w:val="0"/>
        <w:jc w:val="left"/>
        <w:spacing w:before="5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近年来，我国生态学研究取得了快速进展，但跟踪性研究还比较普遍。今后将进一</w:t>
      </w:r>
    </w:p>
    <w:p>
      <w:pPr>
        <w:autoSpaceDE w:val="0"/>
        <w:autoSpaceDN w:val="0"/>
        <w:jc w:val="both"/>
        <w:spacing w:before="12" w:after="0" w:lineRule="exact" w:line="326"/>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步支持原创</w:t>
      </w:r>
      <w:r>
        <w:rPr>
          <w:rFonts w:ascii="宋体" w:hAnsi="宋体" w:cs="宋体" w:eastAsia="宋体" w:hint="ascii"/>
          <w:sz w:val="21"/>
        </w:rPr>
        <w:t>性、多学科交叉以及新兴分支学科的申请项目；面向国际生态学研究前沿，</w:t>
      </w:r>
      <w:r>
        <w:rPr>
          <w:rFonts w:ascii="宋体" w:hAnsi="宋体" w:cs="宋体" w:eastAsia="宋体" w:hint="ascii"/>
          <w:sz w:val="21"/>
          <w:spacing w:val="-1"/>
        </w:rPr>
        <w:t>结合我国生</w:t>
      </w:r>
      <w:r>
        <w:rPr>
          <w:rFonts w:ascii="宋体" w:hAnsi="宋体" w:cs="宋体" w:eastAsia="宋体" w:hint="ascii"/>
          <w:sz w:val="21"/>
        </w:rPr>
        <w:t>态与环境科学问题，优先支持有望取得重大突破的新理论、新方法研究；加强依托长期野外观测与实验平台的基础研究，以及景观和区域尺度上的研究。</w:t>
      </w:r>
    </w:p>
    <w:p>
      <w:pPr>
        <w:autoSpaceDE w:val="0"/>
        <w:autoSpaceDN w:val="0"/>
        <w:jc w:val="left"/>
        <w:spacing w:before="464"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spacing w:val="27"/>
        </w:rPr>
        <w:t>从</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7</w:t>
      </w:r>
      <w:r>
        <w:rPr>
          <w:rFonts w:ascii="宋体" w:hAnsi="宋体" w:cs="宋体" w:eastAsia="宋体" w:hint="ascii"/>
          <w:sz w:val="21"/>
        </w:rPr>
        <w:t>年度受理的项目申请来看，申请人在生态系统生态学、生理生态学、</w:t>
      </w:r>
      <w:r>
        <w:rPr>
          <w:rFonts w:ascii="宋体" w:hAnsi="宋体" w:cs="宋体" w:eastAsia="宋体" w:hint="ascii"/>
          <w:sz w:val="21"/>
          <w:spacing w:val="3"/>
        </w:rPr>
        <w:t>全</w:t>
      </w:r>
      <w:r>
        <w:rPr>
          <w:rFonts w:ascii="宋体" w:hAnsi="宋体" w:cs="宋体" w:eastAsia="宋体" w:hint="ascii"/>
          <w:sz w:val="21"/>
        </w:rPr>
        <w:t>球</w:t>
      </w:r>
      <w:r>
        <w:rPr>
          <w:rFonts w:ascii="宋体" w:hAnsi="宋体" w:cs="宋体" w:eastAsia="宋体" w:hint="ascii"/>
          <w:sz w:val="21"/>
        </w:rPr>
        <mc:AlternateContent>
          <mc:Choice Requires="wps">
            <w:drawing>
              <wp:anchor distL="0" distR="0" distT="0" distB="0" simplePos="0" behindDoc="1" relativeHeight="82" locked="0" layoutInCell="1" allowOverlap="1">
                <wp:simplePos x="0" y="0"/>
                <wp:positionH relativeFrom="page">
                  <wp:posOffset>938530</wp:posOffset>
                </wp:positionH>
                <wp:positionV relativeFrom="page">
                  <wp:posOffset>805815</wp:posOffset>
                </wp:positionV>
                <wp:extent cx="5076190" cy="0"/>
                <wp:wrapNone/>
                <wp:docPr id="1109" name="110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74272;width:399.70pt;" id="110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3" w:after="0" w:lineRule="exact" w:line="326"/>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变化生态学、群落生</w:t>
      </w:r>
      <w:r>
        <w:rPr>
          <w:rFonts w:ascii="宋体" w:hAnsi="宋体" w:cs="宋体" w:eastAsia="宋体" w:hint="ascii"/>
          <w:sz w:val="21"/>
        </w:rPr>
        <w:t>态学、保护生物学与恢复生态学、微生物生态学、污染生态学</w:t>
      </w:r>
      <w:r>
        <w:rPr>
          <w:rFonts w:ascii="宋体" w:hAnsi="宋体" w:cs="宋体" w:eastAsia="宋体" w:hint="ascii"/>
          <w:sz w:val="21"/>
          <w:spacing w:val="-6"/>
        </w:rPr>
        <w:t>、</w:t>
      </w:r>
      <w:r>
        <w:rPr>
          <w:rFonts w:ascii="宋体" w:hAnsi="宋体" w:cs="宋体" w:eastAsia="宋体" w:hint="ascii"/>
          <w:sz w:val="21"/>
          <w:spacing w:val="1"/>
        </w:rPr>
        <w:t>土壤生态学、分子与</w:t>
      </w:r>
      <w:r>
        <w:rPr>
          <w:rFonts w:ascii="宋体" w:hAnsi="宋体" w:cs="宋体" w:eastAsia="宋体" w:hint="ascii"/>
          <w:sz w:val="21"/>
        </w:rPr>
        <w:t>进化生态学等领域的选题较多，在行为生态学、生态安全评价</w:t>
      </w:r>
      <w:r>
        <w:rPr>
          <w:rFonts w:ascii="宋体" w:hAnsi="宋体" w:cs="宋体" w:eastAsia="宋体" w:hint="ascii"/>
          <w:sz w:val="21"/>
          <w:spacing w:val="-6"/>
        </w:rPr>
        <w:t>、</w:t>
      </w:r>
      <w:r>
        <w:rPr>
          <w:rFonts w:ascii="宋体" w:hAnsi="宋体" w:cs="宋体" w:eastAsia="宋体" w:hint="ascii"/>
          <w:sz w:val="21"/>
          <w:spacing w:val="1"/>
        </w:rPr>
        <w:t>景观与区域生态学</w:t>
      </w:r>
      <w:r>
        <w:rPr>
          <w:rFonts w:ascii="宋体" w:hAnsi="宋体" w:cs="宋体" w:eastAsia="宋体" w:hint="ascii"/>
          <w:sz w:val="21"/>
        </w:rPr>
        <w:t>、种群生态学领域的选题较少。今后将鼓励微进化、物种形成与</w:t>
      </w:r>
      <w:r>
        <w:rPr>
          <w:rFonts w:ascii="宋体" w:hAnsi="宋体" w:cs="宋体" w:eastAsia="宋体" w:hint="ascii"/>
          <w:sz w:val="21"/>
          <w:spacing w:val="-6"/>
        </w:rPr>
        <w:t>分</w:t>
      </w:r>
      <w:r>
        <w:rPr>
          <w:rFonts w:ascii="宋体" w:hAnsi="宋体" w:cs="宋体" w:eastAsia="宋体" w:hint="ascii"/>
          <w:sz w:val="21"/>
          <w:spacing w:val="2"/>
        </w:rPr>
        <w:t>化、谱系</w:t>
      </w:r>
      <w:r>
        <w:rPr>
          <w:rFonts w:ascii="宋体" w:hAnsi="宋体" w:cs="宋体" w:eastAsia="宋体" w:hint="ascii"/>
          <w:sz w:val="21"/>
          <w:spacing w:val="1"/>
        </w:rPr>
        <w:t>生态学</w:t>
      </w:r>
      <w:r>
        <w:rPr>
          <w:rFonts w:ascii="宋体" w:hAnsi="宋体" w:cs="宋体" w:eastAsia="宋体" w:hint="ascii"/>
          <w:sz w:val="21"/>
        </w:rPr>
        <w:t>、宏观生态学、理论生态学和生态模拟</w:t>
      </w:r>
      <w:r>
        <w:rPr>
          <w:rFonts w:ascii="宋体" w:hAnsi="宋体" w:cs="宋体" w:eastAsia="宋体" w:hint="ascii"/>
          <w:sz w:val="21"/>
          <w:spacing w:val="-2"/>
        </w:rPr>
        <w:t>与</w:t>
      </w:r>
      <w:r>
        <w:rPr>
          <w:rFonts w:ascii="宋体" w:hAnsi="宋体" w:cs="宋体" w:eastAsia="宋体" w:hint="ascii"/>
          <w:sz w:val="21"/>
        </w:rPr>
        <w:t>预测等领域的研究；鼓励</w:t>
      </w:r>
      <w:r>
        <w:rPr>
          <w:rFonts w:ascii="宋体" w:hAnsi="宋体" w:cs="宋体" w:eastAsia="宋体" w:hint="ascii"/>
          <w:sz w:val="21"/>
          <w:spacing w:val="-6"/>
        </w:rPr>
        <w:t>行</w:t>
      </w:r>
      <w:r>
        <w:rPr>
          <w:rFonts w:ascii="宋体" w:hAnsi="宋体" w:cs="宋体" w:eastAsia="宋体" w:hint="ascii"/>
          <w:sz w:val="21"/>
          <w:spacing w:val="-1"/>
        </w:rPr>
        <w:t>为生态学、</w:t>
      </w:r>
      <w:r>
        <w:rPr>
          <w:rFonts w:ascii="宋体" w:hAnsi="宋体" w:cs="宋体" w:eastAsia="宋体" w:hint="ascii"/>
          <w:sz w:val="21"/>
        </w:rPr>
        <w:t>生态安全评价、景观与区域生态学、种群生态学等领域的研究；加强地区科</w:t>
      </w:r>
      <w:r>
        <w:rPr>
          <w:rFonts w:ascii="宋体" w:hAnsi="宋体" w:cs="宋体" w:eastAsia="宋体" w:hint="ascii"/>
          <w:sz w:val="21"/>
          <w:spacing w:val="-1"/>
        </w:rPr>
        <w:t>学基金中具</w:t>
      </w:r>
      <w:r>
        <w:rPr>
          <w:rFonts w:ascii="宋体" w:hAnsi="宋体" w:cs="宋体" w:eastAsia="宋体" w:hint="ascii"/>
          <w:sz w:val="21"/>
        </w:rPr>
        <w:t>有区域特色的生态学研究，鼓励开展“一带一路”区域生态与可持续发展问题研究。</w:t>
      </w:r>
    </w:p>
    <w:p>
      <w:pPr>
        <w:autoSpaceDE w:val="0"/>
        <w:autoSpaceDN w:val="0"/>
        <w:jc w:val="left"/>
        <w:spacing w:before="49"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年度请申请人注意：申请项目要科学问题明确、内容重点突出，注重技术路</w:t>
      </w:r>
    </w:p>
    <w:p>
      <w:pPr>
        <w:autoSpaceDE w:val="0"/>
        <w:autoSpaceDN w:val="0"/>
        <w:jc w:val="both"/>
        <w:spacing w:before="19" w:after="0" w:lineRule="exact" w:line="326"/>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线、研究方</w:t>
      </w:r>
      <w:r>
        <w:rPr>
          <w:rFonts w:ascii="宋体" w:hAnsi="宋体" w:cs="宋体" w:eastAsia="宋体" w:hint="ascii"/>
          <w:sz w:val="21"/>
        </w:rPr>
        <w:t>法和数据处理的科学性与可行性；注重学科交叉和新技术、新方法在生态学研究中的应用；区域性研究需要注重理论探索与国家需求相结合。</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林学学科</w:t>
      </w:r>
    </w:p>
    <w:p>
      <w:pPr>
        <w:autoSpaceDE w:val="0"/>
        <w:autoSpaceDN w:val="0"/>
        <w:jc w:val="left"/>
        <w:spacing w:before="20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林学是以森林和木本植物为主要对象，揭示其生物学现象的本质和规律，开展森林</w:t>
      </w:r>
    </w:p>
    <w:p>
      <w:pPr>
        <w:autoSpaceDE w:val="0"/>
        <w:autoSpaceDN w:val="0"/>
        <w:jc w:val="both"/>
        <w:spacing w:before="14" w:after="0" w:lineRule="exact" w:line="325"/>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资源的培育</w:t>
      </w:r>
      <w:r>
        <w:rPr>
          <w:rFonts w:ascii="宋体" w:hAnsi="宋体" w:cs="宋体" w:eastAsia="宋体" w:hint="ascii"/>
          <w:sz w:val="21"/>
        </w:rPr>
        <w:t>、保护、经营管理和利用等的一门学科。林学学科资助范围包括：森林资源</w:t>
      </w:r>
      <w:r>
        <w:rPr>
          <w:rFonts w:ascii="宋体" w:hAnsi="宋体" w:cs="宋体" w:eastAsia="宋体" w:hint="ascii"/>
          <w:sz w:val="21"/>
          <w:spacing w:val="1"/>
        </w:rPr>
        <w:t>学、森林资源信息学</w:t>
      </w:r>
      <w:r>
        <w:rPr>
          <w:rFonts w:ascii="宋体" w:hAnsi="宋体" w:cs="宋体" w:eastAsia="宋体" w:hint="ascii"/>
          <w:sz w:val="21"/>
        </w:rPr>
        <w:t>、木材物理学、林产化学、森林生物学、森林土壤学、森林培</w:t>
      </w:r>
      <w:r>
        <w:rPr>
          <w:rFonts w:ascii="宋体" w:hAnsi="宋体" w:cs="宋体" w:eastAsia="宋体" w:hint="ascii"/>
          <w:sz w:val="21"/>
          <w:spacing w:val="-6"/>
        </w:rPr>
        <w:t>育</w:t>
      </w:r>
      <w:r>
        <w:rPr>
          <w:rFonts w:ascii="宋体" w:hAnsi="宋体" w:cs="宋体" w:eastAsia="宋体" w:hint="ascii"/>
          <w:sz w:val="21"/>
          <w:spacing w:val="-1"/>
        </w:rPr>
        <w:t>学、森林经</w:t>
      </w:r>
      <w:r>
        <w:rPr>
          <w:rFonts w:ascii="宋体" w:hAnsi="宋体" w:cs="宋体" w:eastAsia="宋体" w:hint="ascii"/>
          <w:sz w:val="21"/>
        </w:rPr>
        <w:t>理学、森林健康、林木遗传育种学、经济林学、园林学、荒漠化与水土保持以及与林业研究相关的新技术与新方法等。</w:t>
      </w:r>
    </w:p>
    <w:p>
      <w:pPr>
        <w:autoSpaceDE w:val="0"/>
        <w:autoSpaceDN w:val="0"/>
        <w:jc w:val="both"/>
        <w:spacing w:before="1" w:after="0" w:lineRule="exact" w:line="326"/>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近年来，我国林学基础研究呈现良好的发展态势，</w:t>
      </w:r>
      <w:r>
        <w:rPr>
          <w:rFonts w:ascii="宋体" w:hAnsi="宋体" w:cs="宋体" w:eastAsia="宋体" w:hint="ascii"/>
          <w:sz w:val="21"/>
          <w:spacing w:val="-1"/>
        </w:rPr>
        <w:t>但分支学科发展不平衡：林产化</w:t>
      </w:r>
      <w:r>
        <w:rPr>
          <w:rFonts w:ascii="宋体" w:hAnsi="宋体" w:cs="宋体" w:eastAsia="宋体" w:hint="ascii"/>
          <w:sz w:val="21"/>
        </w:rPr>
        <w:t xml:space="preserve"> </w:t>
      </w:r>
      <w:r>
        <w:rPr>
          <w:rFonts w:ascii="宋体" w:hAnsi="宋体" w:cs="宋体" w:eastAsia="宋体" w:hint="ascii"/>
          <w:sz w:val="21"/>
          <w:spacing w:val="-1"/>
        </w:rPr>
        <w:t>学、经济林</w:t>
      </w:r>
      <w:r>
        <w:rPr>
          <w:rFonts w:ascii="宋体" w:hAnsi="宋体" w:cs="宋体" w:eastAsia="宋体" w:hint="ascii"/>
          <w:sz w:val="21"/>
        </w:rPr>
        <w:t>学、园林学、林木遗传育种学、木材物理学的申请项目较多；森林资源学、</w:t>
      </w:r>
      <w:r>
        <w:rPr>
          <w:rFonts w:ascii="宋体" w:hAnsi="宋体" w:cs="宋体" w:eastAsia="宋体" w:hint="ascii"/>
          <w:sz w:val="21"/>
          <w:spacing w:val="-1"/>
        </w:rPr>
        <w:t>森林资源信</w:t>
      </w:r>
      <w:r>
        <w:rPr>
          <w:rFonts w:ascii="宋体" w:hAnsi="宋体" w:cs="宋体" w:eastAsia="宋体" w:hint="ascii"/>
          <w:sz w:val="21"/>
        </w:rPr>
        <w:t>息学的申请项目数较少，呈现萎缩趋势；一些重要领域如森林培育学和经济</w:t>
      </w:r>
      <w:r>
        <w:rPr>
          <w:rFonts w:ascii="宋体" w:hAnsi="宋体" w:cs="宋体" w:eastAsia="宋体" w:hint="ascii"/>
          <w:sz w:val="21"/>
          <w:spacing w:val="-1"/>
        </w:rPr>
        <w:t>林学等未能</w:t>
      </w:r>
      <w:r>
        <w:rPr>
          <w:rFonts w:ascii="宋体" w:hAnsi="宋体" w:cs="宋体" w:eastAsia="宋体" w:hint="ascii"/>
          <w:sz w:val="21"/>
        </w:rPr>
        <w:t>凝练出本领域重要的基础科学问题，林木遗传育种学中关于基因同源克隆及</w:t>
      </w:r>
      <w:r>
        <w:rPr>
          <w:rFonts w:ascii="宋体" w:hAnsi="宋体" w:cs="宋体" w:eastAsia="宋体" w:hint="ascii"/>
          <w:sz w:val="21"/>
          <w:spacing w:val="-1"/>
        </w:rPr>
        <w:t>异源功能验</w:t>
      </w:r>
      <w:r>
        <w:rPr>
          <w:rFonts w:ascii="宋体" w:hAnsi="宋体" w:cs="宋体" w:eastAsia="宋体" w:hint="ascii"/>
          <w:sz w:val="21"/>
        </w:rPr>
        <w:t>证的项目大多属跟踪性研究，林产化学领域有些项目研究内容偏离林学资助范畴，与森林培育和林业产业不够紧密。</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林学基础研究有两个明显特点：一是要适应国家林业发展需求，研究选题和立项应</w:t>
      </w:r>
    </w:p>
    <w:p>
      <w:pPr>
        <w:autoSpaceDE w:val="0"/>
        <w:autoSpaceDN w:val="0"/>
        <w:jc w:val="both"/>
        <w:spacing w:before="13" w:after="0" w:lineRule="exact" w:line="326"/>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注重在林业</w:t>
      </w:r>
      <w:r>
        <w:rPr>
          <w:rFonts w:ascii="宋体" w:hAnsi="宋体" w:cs="宋体" w:eastAsia="宋体" w:hint="ascii"/>
          <w:sz w:val="21"/>
        </w:rPr>
        <w:t>实践中寻求关键科学问题；二是研究对象为多年生木本植物，研究周期长，</w:t>
      </w:r>
      <w:r>
        <w:rPr>
          <w:rFonts w:ascii="宋体" w:hAnsi="宋体" w:cs="宋体" w:eastAsia="宋体" w:hint="ascii"/>
          <w:sz w:val="21"/>
          <w:spacing w:val="-1"/>
        </w:rPr>
        <w:t>开展连续研</w:t>
      </w:r>
      <w:r>
        <w:rPr>
          <w:rFonts w:ascii="宋体" w:hAnsi="宋体" w:cs="宋体" w:eastAsia="宋体" w:hint="ascii"/>
          <w:sz w:val="21"/>
        </w:rPr>
        <w:t>究尤为重要。今后，本学科继续大力支持森林培育、森林健康和森林资源高</w:t>
      </w:r>
      <w:r>
        <w:rPr>
          <w:rFonts w:ascii="宋体" w:hAnsi="宋体" w:cs="宋体" w:eastAsia="宋体" w:hint="ascii"/>
          <w:sz w:val="21"/>
          <w:spacing w:val="-1"/>
        </w:rPr>
        <w:t>效利用等核</w:t>
      </w:r>
      <w:r>
        <w:rPr>
          <w:rFonts w:ascii="宋体" w:hAnsi="宋体" w:cs="宋体" w:eastAsia="宋体" w:hint="ascii"/>
          <w:sz w:val="21"/>
        </w:rPr>
        <w:t>心领域的基础研究。鼓励在林下资源培育、木材和林产品的基础特征、重要</w:t>
      </w:r>
      <w:r>
        <w:rPr>
          <w:rFonts w:ascii="宋体" w:hAnsi="宋体" w:cs="宋体" w:eastAsia="宋体" w:hint="ascii"/>
          <w:sz w:val="21"/>
          <w:spacing w:val="-1"/>
        </w:rPr>
        <w:t>造林树种生</w:t>
      </w:r>
      <w:r>
        <w:rPr>
          <w:rFonts w:ascii="宋体" w:hAnsi="宋体" w:cs="宋体" w:eastAsia="宋体" w:hint="ascii"/>
          <w:sz w:val="21"/>
        </w:rPr>
        <w:t>理生态、林木营养、森林土壤与生产力、森林退化与恢复机制、气候变化下</w:t>
      </w:r>
      <w:r>
        <w:rPr>
          <w:rFonts w:ascii="宋体" w:hAnsi="宋体" w:cs="宋体" w:eastAsia="宋体" w:hint="ascii"/>
          <w:sz w:val="21"/>
          <w:spacing w:val="1"/>
        </w:rPr>
        <w:t>的种源选择与林木适</w:t>
      </w:r>
      <w:r>
        <w:rPr>
          <w:rFonts w:ascii="宋体" w:hAnsi="宋体" w:cs="宋体" w:eastAsia="宋体" w:hint="ascii"/>
          <w:sz w:val="21"/>
        </w:rPr>
        <w:t>应机制、重大森林灾害成灾规律与防控、林木种质资源挖掘与</w:t>
      </w:r>
      <w:r>
        <w:rPr>
          <w:rFonts w:ascii="宋体" w:hAnsi="宋体" w:cs="宋体" w:eastAsia="宋体" w:hint="ascii"/>
          <w:sz w:val="21"/>
          <w:spacing w:val="-6"/>
        </w:rPr>
        <w:t>创</w:t>
      </w:r>
      <w:r>
        <w:rPr>
          <w:rFonts w:ascii="宋体" w:hAnsi="宋体" w:cs="宋体" w:eastAsia="宋体" w:hint="ascii"/>
          <w:sz w:val="21"/>
          <w:spacing w:val="-1"/>
        </w:rPr>
        <w:t>新、林木特</w:t>
      </w:r>
      <w:r>
        <w:rPr>
          <w:rFonts w:ascii="宋体" w:hAnsi="宋体" w:cs="宋体" w:eastAsia="宋体" w:hint="ascii"/>
          <w:sz w:val="21"/>
        </w:rPr>
        <w:t>殊性状的基因资源发掘、潜在模式树种遗传转化及基因功能验证体系、传统</w:t>
      </w:r>
      <w:r>
        <w:rPr>
          <w:rFonts w:ascii="宋体" w:hAnsi="宋体" w:cs="宋体" w:eastAsia="宋体" w:hint="ascii"/>
          <w:sz w:val="21"/>
          <w:spacing w:val="-1"/>
        </w:rPr>
        <w:t>林木遗传育</w:t>
      </w:r>
      <w:r>
        <w:rPr>
          <w:rFonts w:ascii="宋体" w:hAnsi="宋体" w:cs="宋体" w:eastAsia="宋体" w:hint="ascii"/>
          <w:sz w:val="21"/>
        </w:rPr>
        <w:t>种、经济林品种退化机制与栽培生物学基础、园林植物与应用、节约型园林建设、长期野外监测与试验研究等领域开展探索。</w:t>
      </w:r>
    </w:p>
    <w:p>
      <w:pPr>
        <w:autoSpaceDE w:val="0"/>
        <w:autoSpaceDN w:val="0"/>
        <w:jc w:val="left"/>
        <w:spacing w:before="37" w:after="0" w:lineRule="auto" w:line="240"/>
        <w:ind w:right="0" w:left="140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3"/>
        </w:rPr>
        <w:t>201</w:t>
      </w:r>
      <w:r>
        <w:rPr>
          <w:rFonts w:ascii="Times New Roman" w:hAnsi="Times New Roman" w:cs="Times New Roman" w:eastAsia="Times New Roman" w:hint="ascii"/>
          <w:b w:val="1"/>
          <w:sz w:val="21"/>
        </w:rPr>
        <w:t>8</w:t>
      </w:r>
      <w:r>
        <w:rPr>
          <w:rFonts w:ascii="Times New Roman" w:hAnsi="Times New Roman" w:cs="Times New Roman" w:eastAsia="Times New Roman" w:hint="ascii"/>
          <w:b w:val="1"/>
          <w:sz w:val="21"/>
          <w:spacing w:val="-21"/>
        </w:rPr>
        <w:t xml:space="preserve"> </w:t>
      </w:r>
      <w:r>
        <w:rPr>
          <w:rFonts w:ascii="宋体" w:hAnsi="宋体" w:cs="宋体" w:eastAsia="宋体" w:hint="ascii"/>
          <w:sz w:val="21"/>
          <w:spacing w:val="5"/>
        </w:rPr>
        <w:t>年度请申请人注意：本学科不受理：</w:t>
      </w:r>
      <w:r>
        <w:rPr>
          <w:rFonts w:ascii="宋体" w:hAnsi="宋体" w:cs="宋体" w:eastAsia="宋体" w:hint="ascii"/>
          <w:b w:val="1"/>
          <w:sz w:val="21"/>
          <w:spacing w:val="5"/>
        </w:rPr>
        <w:t>①</w:t>
      </w:r>
      <w:r>
        <w:rPr>
          <w:rFonts w:ascii="宋体" w:hAnsi="宋体" w:cs="宋体" w:eastAsia="宋体" w:hint="ascii"/>
          <w:sz w:val="21"/>
          <w:spacing w:val="5"/>
        </w:rPr>
        <w:t>以动物为研究对象的有效活性成</w:t>
      </w:r>
      <w:r>
        <w:rPr>
          <w:rFonts w:ascii="宋体" w:hAnsi="宋体" w:cs="宋体" w:eastAsia="宋体" w:hint="ascii"/>
          <w:sz w:val="21"/>
        </w:rPr>
        <w:t>分</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b w:val="1"/>
          <w:sz w:val="21"/>
        </w:rPr>
      </w:pPr>
      <w:r>
        <w:rPr>
          <w:rFonts w:ascii="宋体" w:hAnsi="宋体" w:cs="宋体" w:eastAsia="宋体" w:hint="ascii"/>
          <w:sz w:val="21"/>
          <w:spacing w:val="8"/>
        </w:rPr>
        <w:t>药</w:t>
      </w:r>
      <w:r>
        <w:rPr>
          <w:rFonts w:ascii="宋体" w:hAnsi="宋体" w:cs="宋体" w:eastAsia="宋体" w:hint="ascii"/>
          <w:sz w:val="21"/>
          <w:spacing w:val="7"/>
        </w:rPr>
        <w:t>物学功</w:t>
      </w:r>
      <w:r>
        <w:rPr>
          <w:rFonts w:ascii="宋体" w:hAnsi="宋体" w:cs="宋体" w:eastAsia="宋体" w:hint="ascii"/>
          <w:sz w:val="21"/>
          <w:spacing w:val="6"/>
        </w:rPr>
        <w:t>能</w:t>
      </w:r>
      <w:r>
        <w:rPr>
          <w:rFonts w:ascii="宋体" w:hAnsi="宋体" w:cs="宋体" w:eastAsia="宋体" w:hint="ascii"/>
          <w:sz w:val="21"/>
          <w:spacing w:val="7"/>
        </w:rPr>
        <w:t>验</w:t>
      </w:r>
      <w:r>
        <w:rPr>
          <w:rFonts w:ascii="宋体" w:hAnsi="宋体" w:cs="宋体" w:eastAsia="宋体" w:hint="ascii"/>
          <w:sz w:val="21"/>
          <w:spacing w:val="6"/>
        </w:rPr>
        <w:t>证（包括</w:t>
      </w:r>
      <w:r>
        <w:rPr>
          <w:rFonts w:ascii="宋体" w:hAnsi="宋体" w:cs="宋体" w:eastAsia="宋体" w:hint="ascii"/>
          <w:sz w:val="21"/>
          <w:spacing w:val="7"/>
        </w:rPr>
        <w:t>抗</w:t>
      </w:r>
      <w:r>
        <w:rPr>
          <w:rFonts w:ascii="宋体" w:hAnsi="宋体" w:cs="宋体" w:eastAsia="宋体" w:hint="ascii"/>
          <w:sz w:val="21"/>
          <w:spacing w:val="6"/>
        </w:rPr>
        <w:t>肿瘤）的</w:t>
      </w:r>
      <w:r>
        <w:rPr>
          <w:rFonts w:ascii="宋体" w:hAnsi="宋体" w:cs="宋体" w:eastAsia="宋体" w:hint="ascii"/>
          <w:sz w:val="21"/>
          <w:spacing w:val="7"/>
        </w:rPr>
        <w:t>申</w:t>
      </w:r>
      <w:r>
        <w:rPr>
          <w:rFonts w:ascii="宋体" w:hAnsi="宋体" w:cs="宋体" w:eastAsia="宋体" w:hint="ascii"/>
          <w:sz w:val="21"/>
          <w:spacing w:val="6"/>
        </w:rPr>
        <w:t>请项目；</w:t>
      </w:r>
      <w:r>
        <w:rPr>
          <w:rFonts w:ascii="宋体" w:hAnsi="宋体" w:cs="宋体" w:eastAsia="宋体" w:hint="ascii"/>
          <w:b w:val="1"/>
          <w:sz w:val="21"/>
          <w:spacing w:val="7"/>
        </w:rPr>
        <w:t>②</w:t>
      </w:r>
      <w:r>
        <w:rPr>
          <w:rFonts w:ascii="宋体" w:hAnsi="宋体" w:cs="宋体" w:eastAsia="宋体" w:hint="ascii"/>
          <w:sz w:val="21"/>
          <w:spacing w:val="7"/>
        </w:rPr>
        <w:t>林</w:t>
      </w:r>
      <w:r>
        <w:rPr>
          <w:rFonts w:ascii="宋体" w:hAnsi="宋体" w:cs="宋体" w:eastAsia="宋体" w:hint="ascii"/>
          <w:sz w:val="21"/>
          <w:spacing w:val="6"/>
        </w:rPr>
        <w:t>业机械</w:t>
      </w:r>
      <w:r>
        <w:rPr>
          <w:rFonts w:ascii="宋体" w:hAnsi="宋体" w:cs="宋体" w:eastAsia="宋体" w:hint="ascii"/>
          <w:sz w:val="21"/>
          <w:spacing w:val="7"/>
        </w:rPr>
        <w:t>和</w:t>
      </w:r>
      <w:r>
        <w:rPr>
          <w:rFonts w:ascii="宋体" w:hAnsi="宋体" w:cs="宋体" w:eastAsia="宋体" w:hint="ascii"/>
          <w:sz w:val="21"/>
          <w:spacing w:val="6"/>
        </w:rPr>
        <w:t>木材切削</w:t>
      </w:r>
      <w:r>
        <w:rPr>
          <w:rFonts w:ascii="宋体" w:hAnsi="宋体" w:cs="宋体" w:eastAsia="宋体" w:hint="ascii"/>
          <w:sz w:val="21"/>
          <w:spacing w:val="7"/>
        </w:rPr>
        <w:t>刀</w:t>
      </w:r>
      <w:r>
        <w:rPr>
          <w:rFonts w:ascii="宋体" w:hAnsi="宋体" w:cs="宋体" w:eastAsia="宋体" w:hint="ascii"/>
          <w:sz w:val="21"/>
          <w:spacing w:val="6"/>
        </w:rPr>
        <w:t>具</w:t>
      </w:r>
      <w:r>
        <w:rPr>
          <w:rFonts w:ascii="宋体" w:hAnsi="宋体" w:cs="宋体" w:eastAsia="宋体" w:hint="ascii"/>
          <w:sz w:val="21"/>
          <w:spacing w:val="7"/>
        </w:rPr>
        <w:t>研发</w:t>
      </w:r>
      <w:r>
        <w:rPr>
          <w:rFonts w:ascii="宋体" w:hAnsi="宋体" w:cs="宋体" w:eastAsia="宋体" w:hint="ascii"/>
          <w:sz w:val="21"/>
          <w:spacing w:val="-6"/>
        </w:rPr>
        <w:t>项</w:t>
      </w:r>
      <w:r>
        <w:rPr>
          <w:rFonts w:ascii="宋体" w:hAnsi="宋体" w:cs="宋体" w:eastAsia="宋体" w:hint="ascii"/>
          <w:sz w:val="21"/>
          <w:spacing w:val="3"/>
        </w:rPr>
        <w:t>目；</w:t>
      </w:r>
      <w:r>
        <w:rPr>
          <w:rFonts w:ascii="宋体" w:hAnsi="宋体" w:cs="宋体" w:eastAsia="宋体" w:hint="ascii"/>
          <w:b w:val="1"/>
          <w:sz w:val="21"/>
          <w:spacing w:val="-1"/>
        </w:rPr>
        <w:t>③</w:t>
      </w:r>
      <w:r>
        <w:rPr>
          <w:rFonts w:ascii="宋体" w:hAnsi="宋体" w:cs="宋体" w:eastAsia="宋体" w:hint="ascii"/>
          <w:sz w:val="21"/>
        </w:rPr>
        <w:t>林</w:t>
      </w:r>
      <w:r>
        <w:rPr>
          <w:rFonts w:ascii="宋体" w:hAnsi="宋体" w:cs="宋体" w:eastAsia="宋体" w:hint="ascii"/>
          <w:sz w:val="21"/>
          <w:spacing w:val="-1"/>
        </w:rPr>
        <w:t>产</w:t>
      </w:r>
      <w:r>
        <w:rPr>
          <w:rFonts w:ascii="宋体" w:hAnsi="宋体" w:cs="宋体" w:eastAsia="宋体" w:hint="ascii"/>
          <w:sz w:val="21"/>
        </w:rPr>
        <w:t>化学（</w:t>
      </w:r>
      <w:r>
        <w:rPr>
          <w:rFonts w:ascii="Times New Roman" w:hAnsi="Times New Roman" w:cs="Times New Roman" w:eastAsia="Times New Roman" w:hint="ascii"/>
          <w:b w:val="1"/>
          <w:sz w:val="21"/>
          <w:spacing w:val="-1"/>
        </w:rPr>
        <w:t>C1</w:t>
      </w:r>
      <w:r>
        <w:rPr>
          <w:rFonts w:ascii="Times New Roman" w:hAnsi="Times New Roman" w:cs="Times New Roman" w:eastAsia="Times New Roman" w:hint="ascii"/>
          <w:b w:val="1"/>
          <w:sz w:val="21"/>
        </w:rPr>
        <w:t>60</w:t>
      </w:r>
      <w:r>
        <w:rPr>
          <w:rFonts w:ascii="Times New Roman" w:hAnsi="Times New Roman" w:cs="Times New Roman" w:eastAsia="Times New Roman" w:hint="ascii"/>
          <w:b w:val="1"/>
          <w:sz w:val="21"/>
          <w:spacing w:val="2"/>
        </w:rPr>
        <w:t>4</w:t>
      </w:r>
      <w:r>
        <w:rPr>
          <w:rFonts w:ascii="宋体" w:hAnsi="宋体" w:cs="宋体" w:eastAsia="宋体" w:hint="ascii"/>
          <w:sz w:val="21"/>
        </w:rPr>
        <w:t>）到</w:t>
      </w:r>
      <w:r>
        <w:rPr>
          <w:rFonts w:ascii="宋体" w:hAnsi="宋体" w:cs="宋体" w:eastAsia="宋体" w:hint="ascii"/>
          <w:sz w:val="21"/>
          <w:spacing w:val="-1"/>
        </w:rPr>
        <w:t>木</w:t>
      </w:r>
      <w:r>
        <w:rPr>
          <w:rFonts w:ascii="宋体" w:hAnsi="宋体" w:cs="宋体" w:eastAsia="宋体" w:hint="ascii"/>
          <w:sz w:val="21"/>
        </w:rPr>
        <w:t>材</w:t>
      </w:r>
      <w:r>
        <w:rPr>
          <w:rFonts w:ascii="宋体" w:hAnsi="宋体" w:cs="宋体" w:eastAsia="宋体" w:hint="ascii"/>
          <w:sz w:val="21"/>
          <w:spacing w:val="-1"/>
        </w:rPr>
        <w:t>物</w:t>
      </w:r>
      <w:r>
        <w:rPr>
          <w:rFonts w:ascii="宋体" w:hAnsi="宋体" w:cs="宋体" w:eastAsia="宋体" w:hint="ascii"/>
          <w:sz w:val="21"/>
        </w:rPr>
        <w:t>理学（</w:t>
      </w:r>
      <w:r>
        <w:rPr>
          <w:rFonts w:ascii="Times New Roman" w:hAnsi="Times New Roman" w:cs="Times New Roman" w:eastAsia="Times New Roman" w:hint="ascii"/>
          <w:b w:val="1"/>
          <w:sz w:val="21"/>
        </w:rPr>
        <w:t>C160</w:t>
      </w:r>
      <w:r>
        <w:rPr>
          <w:rFonts w:ascii="Times New Roman" w:hAnsi="Times New Roman" w:cs="Times New Roman" w:eastAsia="Times New Roman" w:hint="ascii"/>
          <w:b w:val="1"/>
          <w:sz w:val="21"/>
          <w:spacing w:val="2"/>
        </w:rPr>
        <w:t>3</w:t>
      </w:r>
      <w:r>
        <w:rPr>
          <w:rFonts w:ascii="宋体" w:hAnsi="宋体" w:cs="宋体" w:eastAsia="宋体" w:hint="ascii"/>
          <w:sz w:val="21"/>
        </w:rPr>
        <w:t>）方</w:t>
      </w:r>
      <w:r>
        <w:rPr>
          <w:rFonts w:ascii="宋体" w:hAnsi="宋体" w:cs="宋体" w:eastAsia="宋体" w:hint="ascii"/>
          <w:sz w:val="21"/>
          <w:spacing w:val="-1"/>
        </w:rPr>
        <w:t>向</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的项</w:t>
      </w:r>
      <w:r>
        <w:rPr>
          <w:rFonts w:ascii="宋体" w:hAnsi="宋体" w:cs="宋体" w:eastAsia="宋体" w:hint="ascii"/>
          <w:sz w:val="21"/>
          <w:spacing w:val="-1"/>
        </w:rPr>
        <w:t>目</w:t>
      </w:r>
      <w:r>
        <w:rPr>
          <w:rFonts w:ascii="宋体" w:hAnsi="宋体" w:cs="宋体" w:eastAsia="宋体" w:hint="ascii"/>
          <w:b w:val="1"/>
          <w:sz w:val="21"/>
        </w:rPr>
        <w:t>。</w:t>
      </w:r>
      <w:r>
        <w:rPr>
          <w:rFonts w:ascii="宋体" w:hAnsi="宋体" w:cs="宋体" w:eastAsia="宋体" w:hint="ascii"/>
          <w:sz w:val="21"/>
          <w:spacing w:val="-1"/>
        </w:rPr>
        <w:t>针</w:t>
      </w:r>
      <w:r>
        <w:rPr>
          <w:rFonts w:ascii="宋体" w:hAnsi="宋体" w:cs="宋体" w:eastAsia="宋体" w:hint="ascii"/>
          <w:sz w:val="21"/>
        </w:rPr>
        <w:t>对科</w:t>
      </w:r>
      <w:r>
        <w:rPr>
          <w:rFonts w:ascii="宋体" w:hAnsi="宋体" w:cs="宋体" w:eastAsia="宋体" w:hint="ascii"/>
          <w:sz w:val="21"/>
          <w:spacing w:val="-1"/>
        </w:rPr>
        <w:t>学</w:t>
      </w:r>
      <w:r>
        <w:rPr>
          <w:rFonts w:ascii="宋体" w:hAnsi="宋体" w:cs="宋体" w:eastAsia="宋体" w:hint="ascii"/>
          <w:sz w:val="21"/>
        </w:rPr>
        <w:t>问</w:t>
      </w:r>
      <w:r>
        <w:rPr>
          <w:rFonts w:ascii="宋体" w:hAnsi="宋体" w:cs="宋体" w:eastAsia="宋体" w:hint="ascii"/>
          <w:sz w:val="21"/>
          <w:spacing w:val="-1"/>
        </w:rPr>
        <w:t>题</w:t>
      </w:r>
      <w:r>
        <w:rPr>
          <w:rFonts w:ascii="宋体" w:hAnsi="宋体" w:cs="宋体" w:eastAsia="宋体" w:hint="ascii"/>
          <w:sz w:val="21"/>
          <w:spacing w:val="-4"/>
        </w:rPr>
        <w:t>凝</w:t>
      </w:r>
      <w:r>
        <w:rPr>
          <w:rFonts w:ascii="宋体" w:hAnsi="宋体" w:cs="宋体" w:eastAsia="宋体" w:hint="ascii"/>
          <w:sz w:val="21"/>
        </w:rPr>
        <w:t>练研究题目，题目应当简练明确；根据研究对象和内容，填写最为详细的申请代码</w:t>
      </w:r>
      <w:r>
        <w:rPr>
          <w:rFonts w:ascii="宋体" w:hAnsi="宋体" w:cs="宋体" w:eastAsia="宋体" w:hint="ascii"/>
          <w:b w:val="1"/>
          <w:sz w:val="21"/>
        </w:rPr>
        <w:t>。</w:t>
      </w:r>
    </w:p>
    <w:p>
      <w:pPr>
        <w:autoSpaceDE w:val="0"/>
        <w:autoSpaceDN w:val="0"/>
        <w:jc w:val="left"/>
        <w:spacing w:before="47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528"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生命科学三处</w:t>
      </w:r>
      <w:r>
        <w:rPr>
          <w:rFonts w:ascii="宋体" w:hAnsi="宋体" w:cs="宋体" w:eastAsia="宋体" w:hint="ascii"/>
          <w:sz w:val="29"/>
        </w:rPr>
        <mc:AlternateContent>
          <mc:Choice Requires="wps">
            <w:drawing>
              <wp:anchor distL="0" distR="0" distT="0" distB="0" simplePos="0" behindDoc="1" relativeHeight="83" locked="0" layoutInCell="1" allowOverlap="1">
                <wp:simplePos x="0" y="0"/>
                <wp:positionH relativeFrom="page">
                  <wp:posOffset>938530</wp:posOffset>
                </wp:positionH>
                <wp:positionV relativeFrom="page">
                  <wp:posOffset>819150</wp:posOffset>
                </wp:positionV>
                <wp:extent cx="5076190" cy="0"/>
                <wp:wrapNone/>
                <wp:docPr id="1110" name="111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73248;width:399.70pt;" id="111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301"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生命科学三处</w:t>
      </w:r>
      <w:r>
        <w:rPr>
          <w:rFonts w:ascii="宋体" w:hAnsi="宋体" w:cs="宋体" w:eastAsia="宋体" w:hint="ascii"/>
          <w:sz w:val="21"/>
        </w:rPr>
        <w:t>的资助范围包括生物物理、生物化学与分子生物学、免疫学，以及生物力学与组织工程学。</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生物物理、生物化学与分子生物学学科</w:t>
      </w:r>
    </w:p>
    <w:p>
      <w:pPr>
        <w:autoSpaceDE w:val="0"/>
        <w:autoSpaceDN w:val="0"/>
        <w:jc w:val="left"/>
        <w:spacing w:before="157"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生物</w:t>
      </w:r>
      <w:r>
        <w:rPr>
          <w:rFonts w:ascii="宋体" w:hAnsi="宋体" w:cs="宋体" w:eastAsia="宋体" w:hint="ascii"/>
          <w:sz w:val="21"/>
          <w:spacing w:val="2"/>
        </w:rPr>
        <w:t>物</w:t>
      </w:r>
      <w:r>
        <w:rPr>
          <w:rFonts w:ascii="宋体" w:hAnsi="宋体" w:cs="宋体" w:eastAsia="宋体" w:hint="ascii"/>
          <w:sz w:val="21"/>
          <w:spacing w:val="1"/>
        </w:rPr>
        <w:t>理学是应</w:t>
      </w:r>
      <w:r>
        <w:rPr>
          <w:rFonts w:ascii="宋体" w:hAnsi="宋体" w:cs="宋体" w:eastAsia="宋体" w:hint="ascii"/>
          <w:sz w:val="21"/>
          <w:spacing w:val="2"/>
        </w:rPr>
        <w:t>用</w:t>
      </w:r>
      <w:r>
        <w:rPr>
          <w:rFonts w:ascii="宋体" w:hAnsi="宋体" w:cs="宋体" w:eastAsia="宋体" w:hint="ascii"/>
          <w:sz w:val="21"/>
          <w:spacing w:val="1"/>
        </w:rPr>
        <w:t>物理学的</w:t>
      </w:r>
      <w:r>
        <w:rPr>
          <w:rFonts w:ascii="宋体" w:hAnsi="宋体" w:cs="宋体" w:eastAsia="宋体" w:hint="ascii"/>
          <w:sz w:val="21"/>
          <w:spacing w:val="2"/>
        </w:rPr>
        <w:t>理</w:t>
      </w:r>
      <w:r>
        <w:rPr>
          <w:rFonts w:ascii="宋体" w:hAnsi="宋体" w:cs="宋体" w:eastAsia="宋体" w:hint="ascii"/>
          <w:sz w:val="21"/>
          <w:spacing w:val="1"/>
        </w:rPr>
        <w:t>论和方法</w:t>
      </w:r>
      <w:r>
        <w:rPr>
          <w:rFonts w:ascii="宋体" w:hAnsi="宋体" w:cs="宋体" w:eastAsia="宋体" w:hint="ascii"/>
          <w:sz w:val="21"/>
          <w:spacing w:val="2"/>
        </w:rPr>
        <w:t>研</w:t>
      </w:r>
      <w:r>
        <w:rPr>
          <w:rFonts w:ascii="宋体" w:hAnsi="宋体" w:cs="宋体" w:eastAsia="宋体" w:hint="ascii"/>
          <w:sz w:val="21"/>
          <w:spacing w:val="1"/>
        </w:rPr>
        <w:t>究生</w:t>
      </w:r>
      <w:r>
        <w:rPr>
          <w:rFonts w:ascii="宋体" w:hAnsi="宋体" w:cs="宋体" w:eastAsia="宋体" w:hint="ascii"/>
          <w:sz w:val="21"/>
          <w:spacing w:val="2"/>
        </w:rPr>
        <w:t>命现</w:t>
      </w:r>
      <w:r>
        <w:rPr>
          <w:rFonts w:ascii="宋体" w:hAnsi="宋体" w:cs="宋体" w:eastAsia="宋体" w:hint="ascii"/>
          <w:sz w:val="21"/>
          <w:spacing w:val="3"/>
        </w:rPr>
        <w:t>象</w:t>
      </w:r>
      <w:r>
        <w:rPr>
          <w:rFonts w:ascii="宋体" w:hAnsi="宋体" w:cs="宋体" w:eastAsia="宋体" w:hint="ascii"/>
          <w:sz w:val="21"/>
          <w:spacing w:val="2"/>
        </w:rPr>
        <w:t>、生物学</w:t>
      </w:r>
      <w:r>
        <w:rPr>
          <w:rFonts w:ascii="宋体" w:hAnsi="宋体" w:cs="宋体" w:eastAsia="宋体" w:hint="ascii"/>
          <w:sz w:val="21"/>
          <w:spacing w:val="3"/>
        </w:rPr>
        <w:t>问</w:t>
      </w:r>
      <w:r>
        <w:rPr>
          <w:rFonts w:ascii="宋体" w:hAnsi="宋体" w:cs="宋体" w:eastAsia="宋体" w:hint="ascii"/>
          <w:sz w:val="21"/>
          <w:spacing w:val="2"/>
        </w:rPr>
        <w:t>题的一门</w:t>
      </w:r>
      <w:r>
        <w:rPr>
          <w:rFonts w:ascii="宋体" w:hAnsi="宋体" w:cs="宋体" w:eastAsia="宋体" w:hint="ascii"/>
          <w:sz w:val="21"/>
          <w:spacing w:val="3"/>
        </w:rPr>
        <w:t>交</w:t>
      </w:r>
      <w:r>
        <w:rPr>
          <w:rFonts w:ascii="宋体" w:hAnsi="宋体" w:cs="宋体" w:eastAsia="宋体" w:hint="ascii"/>
          <w:sz w:val="21"/>
          <w:spacing w:val="2"/>
        </w:rPr>
        <w:t>叉</w:t>
      </w:r>
      <w:r>
        <w:rPr>
          <w:rFonts w:ascii="宋体" w:hAnsi="宋体" w:cs="宋体" w:eastAsia="宋体" w:hint="ascii"/>
          <w:sz w:val="21"/>
          <w:spacing w:val="-1"/>
        </w:rPr>
        <w:t>学</w:t>
      </w:r>
      <w:r>
        <w:rPr>
          <w:rFonts w:ascii="宋体" w:hAnsi="宋体" w:cs="宋体" w:eastAsia="宋体" w:hint="ascii"/>
          <w:sz w:val="21"/>
        </w:rPr>
        <w:t xml:space="preserve"> 科；生物化学与分子生物学是研究生物机体的化学组成和生命过程中的化学变化，并在分子水平上研究生命现象和生命过程活动规律的学科。本学科主要资助范围包括：</w:t>
      </w:r>
      <w:r>
        <w:rPr>
          <w:rFonts w:ascii="宋体" w:hAnsi="宋体" w:cs="宋体" w:eastAsia="宋体" w:hint="ascii"/>
          <w:sz w:val="21"/>
        </w:rPr>
        <w:t>①</w:t>
      </w:r>
      <w:r>
        <w:rPr>
          <w:rFonts w:ascii="宋体" w:hAnsi="宋体" w:cs="宋体" w:eastAsia="宋体" w:hint="ascii"/>
          <w:sz w:val="21"/>
        </w:rPr>
        <w:t>生物大分子及复合物结构计算与预测方法、蛋白质晶体学、核磁共振波谱、生物质谱、电镜、小角散射等研究蛋白质及其复合物结构与功能；蛋白质复合物及膜蛋白结构生物学研究，以及发展新的结构生物学方法用于蛋白质等生物大分子的结构测定和功能研究；</w:t>
      </w:r>
      <w:r>
        <w:rPr>
          <w:rFonts w:ascii="宋体" w:hAnsi="宋体" w:cs="宋体" w:eastAsia="宋体" w:hint="ascii"/>
          <w:sz w:val="21"/>
        </w:rPr>
        <w:t>②</w:t>
      </w:r>
      <w:r>
        <w:rPr>
          <w:rFonts w:ascii="宋体" w:hAnsi="宋体" w:cs="宋体" w:eastAsia="宋体" w:hint="ascii"/>
          <w:sz w:val="21"/>
        </w:rPr>
        <w:t>生物大分子之间（包括生物大分子与活性小分子之间）的相互作用研究；</w:t>
      </w:r>
      <w:r>
        <w:rPr>
          <w:rFonts w:ascii="宋体" w:hAnsi="宋体" w:cs="宋体" w:eastAsia="宋体" w:hint="ascii"/>
          <w:sz w:val="21"/>
        </w:rPr>
        <w:t>③</w:t>
      </w:r>
      <w:r>
        <w:rPr>
          <w:rFonts w:ascii="宋体" w:hAnsi="宋体" w:cs="宋体" w:eastAsia="宋体" w:hint="ascii"/>
          <w:sz w:val="21"/>
        </w:rPr>
        <w:t>蛋白质翻译后修饰对蛋白质稳定性及功能的研究；</w:t>
      </w:r>
      <w:r>
        <w:rPr>
          <w:rFonts w:ascii="宋体" w:hAnsi="宋体" w:cs="宋体" w:eastAsia="宋体" w:hint="ascii"/>
          <w:sz w:val="21"/>
        </w:rPr>
        <w:t>④</w:t>
      </w:r>
      <w:r>
        <w:rPr>
          <w:rFonts w:ascii="宋体" w:hAnsi="宋体" w:cs="宋体" w:eastAsia="宋体" w:hint="ascii"/>
          <w:sz w:val="21"/>
        </w:rPr>
        <w:t>蛋白质与多肽、核酸生物化学、酶学等传统生物化学研究；</w:t>
      </w:r>
      <w:r>
        <w:rPr>
          <w:rFonts w:ascii="宋体" w:hAnsi="宋体" w:cs="宋体" w:eastAsia="宋体" w:hint="ascii"/>
          <w:sz w:val="21"/>
        </w:rPr>
        <w:t>⑤</w:t>
      </w:r>
      <w:r>
        <w:rPr>
          <w:rFonts w:ascii="宋体" w:hAnsi="宋体" w:cs="宋体" w:eastAsia="宋体" w:hint="ascii"/>
          <w:sz w:val="21"/>
        </w:rPr>
        <w:t>糖脂代谢及蛋白质、核酸代谢调控分子机制研究；</w:t>
      </w:r>
      <w:r>
        <w:rPr>
          <w:rFonts w:ascii="宋体" w:hAnsi="宋体" w:cs="宋体" w:eastAsia="宋体" w:hint="ascii"/>
          <w:sz w:val="21"/>
        </w:rPr>
        <w:t>⑥</w:t>
      </w:r>
      <w:r>
        <w:rPr>
          <w:rFonts w:ascii="宋体" w:hAnsi="宋体" w:cs="宋体" w:eastAsia="宋体" w:hint="ascii"/>
          <w:sz w:val="21"/>
        </w:rPr>
        <w:t>计算生物学、生物信息学、系统生物学及合成生物学研究；</w:t>
      </w:r>
      <w:r>
        <w:rPr>
          <w:rFonts w:ascii="宋体" w:hAnsi="宋体" w:cs="宋体" w:eastAsia="宋体" w:hint="ascii"/>
          <w:sz w:val="21"/>
        </w:rPr>
        <w:t>⑦</w:t>
      </w:r>
      <w:r>
        <w:rPr>
          <w:rFonts w:ascii="宋体" w:hAnsi="宋体" w:cs="宋体" w:eastAsia="宋体" w:hint="ascii"/>
          <w:sz w:val="21"/>
        </w:rPr>
        <w:t>生物膜脂质与膜蛋白相互作用和调控机制研究；</w:t>
      </w:r>
      <w:r>
        <w:rPr>
          <w:rFonts w:ascii="宋体" w:hAnsi="宋体" w:cs="宋体" w:eastAsia="宋体" w:hint="ascii"/>
          <w:sz w:val="21"/>
        </w:rPr>
        <w:t>⑧</w:t>
      </w:r>
      <w:r>
        <w:rPr>
          <w:rFonts w:ascii="宋体" w:hAnsi="宋体" w:cs="宋体" w:eastAsia="宋体" w:hint="ascii"/>
          <w:sz w:val="21"/>
        </w:rPr>
        <w:t>多糖和糖复合物研究；</w:t>
      </w:r>
      <w:r>
        <w:rPr>
          <w:rFonts w:ascii="宋体" w:hAnsi="宋体" w:cs="宋体" w:eastAsia="宋体" w:hint="ascii"/>
          <w:sz w:val="21"/>
        </w:rPr>
        <w:t>⑨</w:t>
      </w:r>
      <w:r>
        <w:rPr>
          <w:rFonts w:ascii="宋体" w:hAnsi="宋体" w:cs="宋体" w:eastAsia="宋体" w:hint="ascii"/>
          <w:sz w:val="21"/>
        </w:rPr>
        <w:t>环境物理因素对机体的影响机制，以及微重力、太空</w:t>
      </w:r>
      <w:r>
        <w:rPr>
          <w:rFonts w:ascii="宋体" w:hAnsi="宋体" w:cs="宋体" w:eastAsia="宋体" w:hint="ascii"/>
          <w:sz w:val="21"/>
          <w:spacing w:val="3"/>
        </w:rPr>
        <w:t>辐射等空</w:t>
      </w:r>
      <w:r>
        <w:rPr>
          <w:rFonts w:ascii="宋体" w:hAnsi="宋体" w:cs="宋体" w:eastAsia="宋体" w:hint="ascii"/>
          <w:sz w:val="21"/>
        </w:rPr>
        <w:t>间</w:t>
      </w:r>
      <w:r>
        <w:rPr>
          <w:rFonts w:ascii="宋体" w:hAnsi="宋体" w:cs="宋体" w:eastAsia="宋体" w:hint="ascii"/>
          <w:sz w:val="21"/>
          <w:spacing w:val="3"/>
        </w:rPr>
        <w:t>因素对生</w:t>
      </w:r>
      <w:r>
        <w:rPr>
          <w:rFonts w:ascii="宋体" w:hAnsi="宋体" w:cs="宋体" w:eastAsia="宋体" w:hint="ascii"/>
          <w:sz w:val="21"/>
        </w:rPr>
        <w:t>物</w:t>
      </w:r>
      <w:r>
        <w:rPr>
          <w:rFonts w:ascii="宋体" w:hAnsi="宋体" w:cs="宋体" w:eastAsia="宋体" w:hint="ascii"/>
          <w:sz w:val="21"/>
          <w:spacing w:val="3"/>
        </w:rPr>
        <w:t>体的影响</w:t>
      </w:r>
      <w:r>
        <w:rPr>
          <w:rFonts w:ascii="宋体" w:hAnsi="宋体" w:cs="宋体" w:eastAsia="宋体" w:hint="ascii"/>
          <w:sz w:val="21"/>
        </w:rPr>
        <w:t>等</w:t>
      </w:r>
      <w:r>
        <w:rPr>
          <w:rFonts w:ascii="宋体" w:hAnsi="宋体" w:cs="宋体" w:eastAsia="宋体" w:hint="ascii"/>
          <w:sz w:val="21"/>
          <w:spacing w:val="3"/>
        </w:rPr>
        <w:t>研究</w:t>
      </w:r>
      <w:r>
        <w:rPr>
          <w:rFonts w:ascii="宋体" w:hAnsi="宋体" w:cs="宋体" w:eastAsia="宋体" w:hint="ascii"/>
          <w:sz w:val="21"/>
          <w:spacing w:val="4"/>
        </w:rPr>
        <w:t>；</w:t>
      </w:r>
      <w:r>
        <w:rPr>
          <w:rFonts w:ascii="宋体" w:hAnsi="宋体" w:cs="宋体" w:eastAsia="宋体" w:hint="ascii"/>
          <w:sz w:val="21"/>
        </w:rPr>
        <w:t>⑩</w:t>
      </w:r>
      <w:r>
        <w:rPr>
          <w:rFonts w:ascii="宋体" w:hAnsi="宋体" w:cs="宋体" w:eastAsia="宋体" w:hint="ascii"/>
          <w:sz w:val="21"/>
        </w:rPr>
        <w:t>生</w:t>
      </w:r>
      <w:r>
        <w:rPr>
          <w:rFonts w:ascii="宋体" w:hAnsi="宋体" w:cs="宋体" w:eastAsia="宋体" w:hint="ascii"/>
          <w:sz w:val="21"/>
          <w:spacing w:val="3"/>
        </w:rPr>
        <w:t>物物理、</w:t>
      </w:r>
      <w:r>
        <w:rPr>
          <w:rFonts w:ascii="宋体" w:hAnsi="宋体" w:cs="宋体" w:eastAsia="宋体" w:hint="ascii"/>
          <w:sz w:val="21"/>
        </w:rPr>
        <w:t>生</w:t>
      </w:r>
      <w:r>
        <w:rPr>
          <w:rFonts w:ascii="宋体" w:hAnsi="宋体" w:cs="宋体" w:eastAsia="宋体" w:hint="ascii"/>
          <w:sz w:val="21"/>
          <w:spacing w:val="3"/>
        </w:rPr>
        <w:t>物化学与</w:t>
      </w:r>
      <w:r>
        <w:rPr>
          <w:rFonts w:ascii="宋体" w:hAnsi="宋体" w:cs="宋体" w:eastAsia="宋体" w:hint="ascii"/>
          <w:sz w:val="21"/>
        </w:rPr>
        <w:t>分</w:t>
      </w:r>
      <w:r>
        <w:rPr>
          <w:rFonts w:ascii="宋体" w:hAnsi="宋体" w:cs="宋体" w:eastAsia="宋体" w:hint="ascii"/>
          <w:sz w:val="21"/>
          <w:spacing w:val="3"/>
        </w:rPr>
        <w:t>子生物学的</w:t>
      </w:r>
      <w:r>
        <w:rPr>
          <w:rFonts w:ascii="宋体" w:hAnsi="宋体" w:cs="宋体" w:eastAsia="宋体" w:hint="ascii"/>
          <w:sz w:val="21"/>
          <w:spacing w:val="4"/>
        </w:rPr>
        <w:t>新</w:t>
      </w:r>
      <w:r>
        <w:rPr>
          <w:rFonts w:ascii="宋体" w:hAnsi="宋体" w:cs="宋体" w:eastAsia="宋体" w:hint="ascii"/>
          <w:sz w:val="21"/>
        </w:rPr>
        <w:t>方法、新技术研究，包括发展新的结构生物学方法用于蛋白质等生物大分子的结构测定和功能研究。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w:t>
      </w:r>
      <w:r>
        <w:rPr>
          <w:rFonts w:ascii="宋体" w:hAnsi="宋体" w:cs="宋体" w:eastAsia="宋体" w:hint="ascii"/>
          <w:sz w:val="21"/>
          <w:spacing w:val="27"/>
        </w:rPr>
        <w:t>近</w:t>
      </w:r>
      <w:r>
        <w:rPr>
          <w:rFonts w:ascii="Times New Roman" w:hAnsi="Times New Roman" w:cs="Times New Roman" w:eastAsia="Times New Roman" w:hint="ascii"/>
          <w:sz w:val="21"/>
          <w:spacing w:val="52"/>
        </w:rPr>
        <w:t>3</w:t>
      </w:r>
      <w:r>
        <w:rPr>
          <w:rFonts w:ascii="宋体" w:hAnsi="宋体" w:cs="宋体" w:eastAsia="宋体" w:hint="ascii"/>
          <w:sz w:val="21"/>
        </w:rPr>
        <w:t>年本学科接收和资助情况看，项目申请数较多并获得资助较多的领域包括：</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结构生物学、生物大分子相互作用等；结构生物学是本学科重要研究领域，其中蛋白质晶体学仍然是结构生物学最常用的研究方法，在蛋白质结构研究方面，蛋白质复合物、膜蛋白的结构与功能项目申请逐年增多；冷冻电镜的研究队伍和申请项目数量都有了比较快的发展；利用核磁共振波谱研究生物大分子结构的申请数量没有大的变化；在生物</w:t>
      </w:r>
      <w:r>
        <w:rPr>
          <w:rFonts w:ascii="宋体" w:hAnsi="宋体" w:cs="宋体" w:eastAsia="宋体" w:hint="ascii"/>
          <w:sz w:val="21"/>
          <w:spacing w:val="3"/>
        </w:rPr>
        <w:t>大分子相</w:t>
      </w:r>
      <w:r>
        <w:rPr>
          <w:rFonts w:ascii="宋体" w:hAnsi="宋体" w:cs="宋体" w:eastAsia="宋体" w:hint="ascii"/>
          <w:sz w:val="21"/>
        </w:rPr>
        <w:t>互</w:t>
      </w:r>
      <w:r>
        <w:rPr>
          <w:rFonts w:ascii="宋体" w:hAnsi="宋体" w:cs="宋体" w:eastAsia="宋体" w:hint="ascii"/>
          <w:sz w:val="21"/>
          <w:spacing w:val="3"/>
        </w:rPr>
        <w:t>作用方面</w:t>
      </w:r>
      <w:r>
        <w:rPr>
          <w:rFonts w:ascii="宋体" w:hAnsi="宋体" w:cs="宋体" w:eastAsia="宋体" w:hint="ascii"/>
          <w:sz w:val="21"/>
        </w:rPr>
        <w:t>，</w:t>
      </w:r>
      <w:r>
        <w:rPr>
          <w:rFonts w:ascii="宋体" w:hAnsi="宋体" w:cs="宋体" w:eastAsia="宋体" w:hint="ascii"/>
          <w:sz w:val="21"/>
          <w:spacing w:val="3"/>
        </w:rPr>
        <w:t>有不少研</w:t>
      </w:r>
      <w:r>
        <w:rPr>
          <w:rFonts w:ascii="宋体" w:hAnsi="宋体" w:cs="宋体" w:eastAsia="宋体" w:hint="ascii"/>
          <w:sz w:val="21"/>
        </w:rPr>
        <w:t>究</w:t>
      </w:r>
      <w:r>
        <w:rPr>
          <w:rFonts w:ascii="宋体" w:hAnsi="宋体" w:cs="宋体" w:eastAsia="宋体" w:hint="ascii"/>
          <w:sz w:val="21"/>
          <w:spacing w:val="3"/>
        </w:rPr>
        <w:t>集中在信</w:t>
      </w:r>
      <w:r>
        <w:rPr>
          <w:rFonts w:ascii="宋体" w:hAnsi="宋体" w:cs="宋体" w:eastAsia="宋体" w:hint="ascii"/>
          <w:sz w:val="21"/>
        </w:rPr>
        <w:t>号</w:t>
      </w:r>
      <w:r>
        <w:rPr>
          <w:rFonts w:ascii="宋体" w:hAnsi="宋体" w:cs="宋体" w:eastAsia="宋体" w:hint="ascii"/>
          <w:sz w:val="21"/>
          <w:spacing w:val="3"/>
        </w:rPr>
        <w:t>通路各个</w:t>
      </w:r>
      <w:r>
        <w:rPr>
          <w:rFonts w:ascii="宋体" w:hAnsi="宋体" w:cs="宋体" w:eastAsia="宋体" w:hint="ascii"/>
          <w:sz w:val="21"/>
        </w:rPr>
        <w:t>重</w:t>
      </w:r>
      <w:r>
        <w:rPr>
          <w:rFonts w:ascii="宋体" w:hAnsi="宋体" w:cs="宋体" w:eastAsia="宋体" w:hint="ascii"/>
          <w:sz w:val="21"/>
          <w:spacing w:val="3"/>
        </w:rPr>
        <w:t>要环节蛋</w:t>
      </w:r>
      <w:r>
        <w:rPr>
          <w:rFonts w:ascii="宋体" w:hAnsi="宋体" w:cs="宋体" w:eastAsia="宋体" w:hint="ascii"/>
          <w:sz w:val="21"/>
        </w:rPr>
        <w:t>白</w:t>
      </w:r>
      <w:r>
        <w:rPr>
          <w:rFonts w:ascii="宋体" w:hAnsi="宋体" w:cs="宋体" w:eastAsia="宋体" w:hint="ascii"/>
          <w:sz w:val="21"/>
          <w:spacing w:val="3"/>
        </w:rPr>
        <w:t>质之间的相</w:t>
      </w:r>
      <w:r>
        <w:rPr>
          <w:rFonts w:ascii="宋体" w:hAnsi="宋体" w:cs="宋体" w:eastAsia="宋体" w:hint="ascii"/>
          <w:sz w:val="21"/>
          <w:spacing w:val="4"/>
        </w:rPr>
        <w:t>互</w:t>
      </w:r>
      <w:r>
        <w:rPr>
          <w:rFonts w:ascii="宋体" w:hAnsi="宋体" w:cs="宋体" w:eastAsia="宋体" w:hint="ascii"/>
          <w:sz w:val="21"/>
        </w:rPr>
        <w:t>作用、鉴定和发现信号转导网络的新组分、揭示其在信号转导中的功能等；在核酸生物化学方面，涉及非编码</w:t>
      </w:r>
      <w:r>
        <w:rPr>
          <w:rFonts w:ascii="宋体" w:hAnsi="宋体" w:cs="宋体" w:eastAsia="宋体" w:hint="ascii"/>
          <w:sz w:val="21"/>
          <w:spacing w:val="-17"/>
        </w:rPr>
        <w:t xml:space="preserve"> </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18"/>
        </w:rPr>
        <w:t xml:space="preserve"> </w:t>
      </w:r>
      <w:r>
        <w:rPr>
          <w:rFonts w:ascii="宋体" w:hAnsi="宋体" w:cs="宋体" w:eastAsia="宋体" w:hint="ascii"/>
          <w:sz w:val="21"/>
        </w:rPr>
        <w:t>和</w:t>
      </w:r>
      <w:r>
        <w:rPr>
          <w:rFonts w:ascii="宋体" w:hAnsi="宋体" w:cs="宋体" w:eastAsia="宋体" w:hint="ascii"/>
          <w:sz w:val="21"/>
          <w:spacing w:val="-17"/>
        </w:rPr>
        <w:t xml:space="preserve"> </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18"/>
        </w:rPr>
        <w:t xml:space="preserve"> </w:t>
      </w:r>
      <w:r>
        <w:rPr>
          <w:rFonts w:ascii="宋体" w:hAnsi="宋体" w:cs="宋体" w:eastAsia="宋体" w:hint="ascii"/>
          <w:sz w:val="21"/>
        </w:rPr>
        <w:t>转录后修饰、</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18"/>
        </w:rPr>
        <w:t xml:space="preserve"> </w:t>
      </w:r>
      <w:r>
        <w:rPr>
          <w:rFonts w:ascii="宋体" w:hAnsi="宋体" w:cs="宋体" w:eastAsia="宋体" w:hint="ascii"/>
          <w:sz w:val="21"/>
        </w:rPr>
        <w:t>与蛋白质相互作用在生命活动中的多样功能和调控机制的项目申请数量逐年增多；在生物膜的结构与功能、跨膜信号转导、物质跨膜转运等方面，申请数量不多但申请项目水平和质量相对较好；生物大分子结构计算与理论预测、生物信息学等方面申请课题比较好地体现了学科交叉和整合生物学研究的特点和趋势；电离、电磁辐射等对机体的生物效应和作用机制申请研究深度不够；蛋白质组学方面</w:t>
      </w:r>
      <w:r>
        <w:rPr>
          <w:rFonts w:ascii="宋体" w:hAnsi="宋体" w:cs="宋体" w:eastAsia="宋体" w:hint="ascii"/>
          <w:sz w:val="21"/>
          <w:spacing w:val="-25"/>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年度的项目申请在创新性上仍有待加强；多糖与糖复合物研</w:t>
      </w:r>
      <w:r>
        <w:rPr>
          <w:rFonts w:ascii="宋体" w:hAnsi="宋体" w:cs="宋体" w:eastAsia="宋体" w:hint="ascii"/>
          <w:sz w:val="21"/>
          <w:spacing w:val="3"/>
        </w:rPr>
        <w:t>究近年来</w:t>
      </w:r>
      <w:r>
        <w:rPr>
          <w:rFonts w:ascii="宋体" w:hAnsi="宋体" w:cs="宋体" w:eastAsia="宋体" w:hint="ascii"/>
          <w:sz w:val="21"/>
        </w:rPr>
        <w:t>在</w:t>
      </w:r>
      <w:r>
        <w:rPr>
          <w:rFonts w:ascii="宋体" w:hAnsi="宋体" w:cs="宋体" w:eastAsia="宋体" w:hint="ascii"/>
          <w:sz w:val="21"/>
          <w:spacing w:val="3"/>
        </w:rPr>
        <w:t>糖链结构</w:t>
      </w:r>
      <w:r>
        <w:rPr>
          <w:rFonts w:ascii="宋体" w:hAnsi="宋体" w:cs="宋体" w:eastAsia="宋体" w:hint="ascii"/>
          <w:sz w:val="21"/>
        </w:rPr>
        <w:t>测</w:t>
      </w:r>
      <w:r>
        <w:rPr>
          <w:rFonts w:ascii="宋体" w:hAnsi="宋体" w:cs="宋体" w:eastAsia="宋体" w:hint="ascii"/>
          <w:sz w:val="21"/>
          <w:spacing w:val="3"/>
        </w:rPr>
        <w:t>定方法学</w:t>
      </w:r>
      <w:r>
        <w:rPr>
          <w:rFonts w:ascii="宋体" w:hAnsi="宋体" w:cs="宋体" w:eastAsia="宋体" w:hint="ascii"/>
          <w:sz w:val="21"/>
        </w:rPr>
        <w:t>方</w:t>
      </w:r>
      <w:r>
        <w:rPr>
          <w:rFonts w:ascii="宋体" w:hAnsi="宋体" w:cs="宋体" w:eastAsia="宋体" w:hint="ascii"/>
          <w:sz w:val="21"/>
          <w:spacing w:val="3"/>
        </w:rPr>
        <w:t>面有了较</w:t>
      </w:r>
      <w:r>
        <w:rPr>
          <w:rFonts w:ascii="宋体" w:hAnsi="宋体" w:cs="宋体" w:eastAsia="宋体" w:hint="ascii"/>
          <w:sz w:val="21"/>
        </w:rPr>
        <w:t>好</w:t>
      </w:r>
      <w:r>
        <w:rPr>
          <w:rFonts w:ascii="宋体" w:hAnsi="宋体" w:cs="宋体" w:eastAsia="宋体" w:hint="ascii"/>
          <w:sz w:val="21"/>
          <w:spacing w:val="3"/>
        </w:rPr>
        <w:t>进展；环</w:t>
      </w:r>
      <w:r>
        <w:rPr>
          <w:rFonts w:ascii="宋体" w:hAnsi="宋体" w:cs="宋体" w:eastAsia="宋体" w:hint="ascii"/>
          <w:sz w:val="21"/>
        </w:rPr>
        <w:t>境</w:t>
      </w:r>
      <w:r>
        <w:rPr>
          <w:rFonts w:ascii="宋体" w:hAnsi="宋体" w:cs="宋体" w:eastAsia="宋体" w:hint="ascii"/>
          <w:sz w:val="21"/>
          <w:spacing w:val="3"/>
        </w:rPr>
        <w:t>生物物理</w:t>
      </w:r>
      <w:r>
        <w:rPr>
          <w:rFonts w:ascii="宋体" w:hAnsi="宋体" w:cs="宋体" w:eastAsia="宋体" w:hint="ascii"/>
          <w:sz w:val="21"/>
        </w:rPr>
        <w:t>方</w:t>
      </w:r>
      <w:r>
        <w:rPr>
          <w:rFonts w:ascii="宋体" w:hAnsi="宋体" w:cs="宋体" w:eastAsia="宋体" w:hint="ascii"/>
          <w:sz w:val="21"/>
          <w:spacing w:val="3"/>
        </w:rPr>
        <w:t>面的项目总</w:t>
      </w:r>
      <w:r>
        <w:rPr>
          <w:rFonts w:ascii="宋体" w:hAnsi="宋体" w:cs="宋体" w:eastAsia="宋体" w:hint="ascii"/>
          <w:sz w:val="21"/>
          <w:spacing w:val="4"/>
        </w:rPr>
        <w:t>体</w:t>
      </w:r>
      <w:r>
        <w:rPr>
          <w:rFonts w:ascii="宋体" w:hAnsi="宋体" w:cs="宋体" w:eastAsia="宋体" w:hint="ascii"/>
          <w:sz w:val="21"/>
        </w:rPr>
        <w:t>稍弱，其中声生物物理、光生物物理及空间生物学等方面研究项目申请数量较少。生物物理、分子生物学的新技术、新方法研究涉及面广，尽管多数仍属一般方法，并不是具有开拓性的新技术和方法，但是，近年来在发展学科交叉手段，开拓新技术、新方法方面开始有了一些有创新思路的申请，应鼓励和支持。</w:t>
      </w:r>
    </w:p>
    <w:p>
      <w:pPr>
        <w:autoSpaceDE w:val="0"/>
        <w:autoSpaceDN w:val="0"/>
        <w:jc w:val="left"/>
        <w:spacing w:before="27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作</w:t>
      </w:r>
      <w:r>
        <w:rPr>
          <w:rFonts w:ascii="宋体" w:hAnsi="宋体" w:cs="宋体" w:eastAsia="宋体" w:hint="ascii"/>
          <w:sz w:val="21"/>
          <w:spacing w:val="7"/>
        </w:rPr>
        <w:t>为</w:t>
      </w:r>
      <w:r>
        <w:rPr>
          <w:rFonts w:ascii="宋体" w:hAnsi="宋体" w:cs="宋体" w:eastAsia="宋体" w:hint="ascii"/>
          <w:sz w:val="21"/>
          <w:spacing w:val="6"/>
        </w:rPr>
        <w:t>研究对象</w:t>
      </w:r>
      <w:r>
        <w:rPr>
          <w:rFonts w:ascii="宋体" w:hAnsi="宋体" w:cs="宋体" w:eastAsia="宋体" w:hint="ascii"/>
          <w:sz w:val="21"/>
          <w:spacing w:val="7"/>
        </w:rPr>
        <w:t>是</w:t>
      </w:r>
      <w:r>
        <w:rPr>
          <w:rFonts w:ascii="宋体" w:hAnsi="宋体" w:cs="宋体" w:eastAsia="宋体" w:hint="ascii"/>
          <w:sz w:val="21"/>
          <w:spacing w:val="6"/>
        </w:rPr>
        <w:t>生物分子</w:t>
      </w:r>
      <w:r>
        <w:rPr>
          <w:rFonts w:ascii="宋体" w:hAnsi="宋体" w:cs="宋体" w:eastAsia="宋体" w:hint="ascii"/>
          <w:sz w:val="21"/>
          <w:spacing w:val="7"/>
        </w:rPr>
        <w:t>并</w:t>
      </w:r>
      <w:r>
        <w:rPr>
          <w:rFonts w:ascii="宋体" w:hAnsi="宋体" w:cs="宋体" w:eastAsia="宋体" w:hint="ascii"/>
          <w:sz w:val="21"/>
          <w:spacing w:val="6"/>
        </w:rPr>
        <w:t>侧重方法</w:t>
      </w:r>
      <w:r>
        <w:rPr>
          <w:rFonts w:ascii="宋体" w:hAnsi="宋体" w:cs="宋体" w:eastAsia="宋体" w:hint="ascii"/>
          <w:sz w:val="21"/>
          <w:spacing w:val="7"/>
        </w:rPr>
        <w:t>学</w:t>
      </w:r>
      <w:r>
        <w:rPr>
          <w:rFonts w:ascii="宋体" w:hAnsi="宋体" w:cs="宋体" w:eastAsia="宋体" w:hint="ascii"/>
          <w:sz w:val="21"/>
          <w:spacing w:val="6"/>
        </w:rPr>
        <w:t>的学科，</w:t>
      </w:r>
      <w:r>
        <w:rPr>
          <w:rFonts w:ascii="宋体" w:hAnsi="宋体" w:cs="宋体" w:eastAsia="宋体" w:hint="ascii"/>
          <w:sz w:val="21"/>
          <w:spacing w:val="7"/>
        </w:rPr>
        <w:t>生</w:t>
      </w:r>
      <w:r>
        <w:rPr>
          <w:rFonts w:ascii="宋体" w:hAnsi="宋体" w:cs="宋体" w:eastAsia="宋体" w:hint="ascii"/>
          <w:sz w:val="21"/>
          <w:spacing w:val="6"/>
        </w:rPr>
        <w:t>物物理、</w:t>
      </w:r>
      <w:r>
        <w:rPr>
          <w:rFonts w:ascii="宋体" w:hAnsi="宋体" w:cs="宋体" w:eastAsia="宋体" w:hint="ascii"/>
          <w:sz w:val="21"/>
          <w:spacing w:val="7"/>
        </w:rPr>
        <w:t>生</w:t>
      </w:r>
      <w:r>
        <w:rPr>
          <w:rFonts w:ascii="宋体" w:hAnsi="宋体" w:cs="宋体" w:eastAsia="宋体" w:hint="ascii"/>
          <w:sz w:val="21"/>
          <w:spacing w:val="6"/>
        </w:rPr>
        <w:t>物化学与</w:t>
      </w:r>
      <w:r>
        <w:rPr>
          <w:rFonts w:ascii="宋体" w:hAnsi="宋体" w:cs="宋体" w:eastAsia="宋体" w:hint="ascii"/>
          <w:sz w:val="21"/>
          <w:spacing w:val="7"/>
        </w:rPr>
        <w:t>分</w:t>
      </w:r>
      <w:r>
        <w:rPr>
          <w:rFonts w:ascii="宋体" w:hAnsi="宋体" w:cs="宋体" w:eastAsia="宋体" w:hint="ascii"/>
          <w:sz w:val="21"/>
          <w:spacing w:val="6"/>
        </w:rPr>
        <w:t>子</w:t>
      </w:r>
      <w:r>
        <w:rPr>
          <w:rFonts w:ascii="宋体" w:hAnsi="宋体" w:cs="宋体" w:eastAsia="宋体" w:hint="ascii"/>
          <w:sz w:val="21"/>
        </w:rPr>
        <w:t>生</w:t>
      </w:r>
      <w:r>
        <w:rPr>
          <w:rFonts w:ascii="宋体" w:hAnsi="宋体" w:cs="宋体" w:eastAsia="宋体" w:hint="ascii"/>
          <w:sz w:val="21"/>
        </w:rPr>
        <mc:AlternateContent>
          <mc:Choice Requires="wps">
            <w:drawing>
              <wp:anchor distL="0" distR="0" distT="0" distB="0" simplePos="0" behindDoc="1" relativeHeight="84" locked="0" layoutInCell="1" allowOverlap="1">
                <wp:simplePos x="0" y="0"/>
                <wp:positionH relativeFrom="page">
                  <wp:posOffset>938530</wp:posOffset>
                </wp:positionH>
                <wp:positionV relativeFrom="page">
                  <wp:posOffset>805815</wp:posOffset>
                </wp:positionV>
                <wp:extent cx="5076190" cy="0"/>
                <wp:wrapNone/>
                <wp:docPr id="1111" name="111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72224;width:399.70pt;" id="111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物学学科</w:t>
      </w:r>
      <w:r>
        <w:rPr>
          <w:rFonts w:ascii="宋体" w:hAnsi="宋体" w:cs="宋体" w:eastAsia="宋体" w:hint="ascii"/>
          <w:sz w:val="21"/>
          <w:spacing w:val="3"/>
        </w:rPr>
        <w:t>将</w:t>
      </w:r>
      <w:r>
        <w:rPr>
          <w:rFonts w:ascii="宋体" w:hAnsi="宋体" w:cs="宋体" w:eastAsia="宋体" w:hint="ascii"/>
          <w:sz w:val="21"/>
          <w:spacing w:val="4"/>
        </w:rPr>
        <w:t>继续鼓励</w:t>
      </w:r>
      <w:r>
        <w:rPr>
          <w:rFonts w:ascii="宋体" w:hAnsi="宋体" w:cs="宋体" w:eastAsia="宋体" w:hint="ascii"/>
          <w:sz w:val="21"/>
          <w:spacing w:val="3"/>
        </w:rPr>
        <w:t>和</w:t>
      </w:r>
      <w:r>
        <w:rPr>
          <w:rFonts w:ascii="宋体" w:hAnsi="宋体" w:cs="宋体" w:eastAsia="宋体" w:hint="ascii"/>
          <w:sz w:val="21"/>
          <w:spacing w:val="4"/>
        </w:rPr>
        <w:t>支持</w:t>
      </w:r>
      <w:r>
        <w:rPr>
          <w:rFonts w:ascii="宋体" w:hAnsi="宋体" w:cs="宋体" w:eastAsia="宋体" w:hint="ascii"/>
          <w:sz w:val="21"/>
          <w:spacing w:val="3"/>
        </w:rPr>
        <w:t>在分</w:t>
      </w:r>
      <w:r>
        <w:rPr>
          <w:rFonts w:ascii="宋体" w:hAnsi="宋体" w:cs="宋体" w:eastAsia="宋体" w:hint="ascii"/>
          <w:sz w:val="21"/>
          <w:spacing w:val="2"/>
        </w:rPr>
        <w:t>子</w:t>
      </w:r>
      <w:r>
        <w:rPr>
          <w:rFonts w:ascii="宋体" w:hAnsi="宋体" w:cs="宋体" w:eastAsia="宋体" w:hint="ascii"/>
          <w:sz w:val="21"/>
          <w:spacing w:val="3"/>
        </w:rPr>
        <w:t>水平及分</w:t>
      </w:r>
      <w:r>
        <w:rPr>
          <w:rFonts w:ascii="宋体" w:hAnsi="宋体" w:cs="宋体" w:eastAsia="宋体" w:hint="ascii"/>
          <w:sz w:val="21"/>
          <w:spacing w:val="2"/>
        </w:rPr>
        <w:t>子</w:t>
      </w:r>
      <w:r>
        <w:rPr>
          <w:rFonts w:ascii="宋体" w:hAnsi="宋体" w:cs="宋体" w:eastAsia="宋体" w:hint="ascii"/>
          <w:sz w:val="21"/>
          <w:spacing w:val="3"/>
        </w:rPr>
        <w:t>空间结构</w:t>
      </w:r>
      <w:r>
        <w:rPr>
          <w:rFonts w:ascii="宋体" w:hAnsi="宋体" w:cs="宋体" w:eastAsia="宋体" w:hint="ascii"/>
          <w:sz w:val="21"/>
          <w:spacing w:val="2"/>
        </w:rPr>
        <w:t>水</w:t>
      </w:r>
      <w:r>
        <w:rPr>
          <w:rFonts w:ascii="宋体" w:hAnsi="宋体" w:cs="宋体" w:eastAsia="宋体" w:hint="ascii"/>
          <w:sz w:val="21"/>
          <w:spacing w:val="3"/>
        </w:rPr>
        <w:t>平上研究</w:t>
      </w:r>
      <w:r>
        <w:rPr>
          <w:rFonts w:ascii="宋体" w:hAnsi="宋体" w:cs="宋体" w:eastAsia="宋体" w:hint="ascii"/>
          <w:sz w:val="21"/>
          <w:spacing w:val="2"/>
        </w:rPr>
        <w:t>生</w:t>
      </w:r>
      <w:r>
        <w:rPr>
          <w:rFonts w:ascii="宋体" w:hAnsi="宋体" w:cs="宋体" w:eastAsia="宋体" w:hint="ascii"/>
          <w:sz w:val="21"/>
          <w:spacing w:val="3"/>
        </w:rPr>
        <w:t>命现象</w:t>
      </w:r>
      <w:r>
        <w:rPr>
          <w:rFonts w:ascii="宋体" w:hAnsi="宋体" w:cs="宋体" w:eastAsia="宋体" w:hint="ascii"/>
          <w:sz w:val="21"/>
          <w:spacing w:val="4"/>
        </w:rPr>
        <w:t>和</w:t>
      </w:r>
      <w:r>
        <w:rPr>
          <w:rFonts w:ascii="宋体" w:hAnsi="宋体" w:cs="宋体" w:eastAsia="宋体" w:hint="ascii"/>
          <w:sz w:val="21"/>
          <w:spacing w:val="3"/>
        </w:rPr>
        <w:t>生</w:t>
      </w:r>
      <w:r>
        <w:rPr>
          <w:rFonts w:ascii="宋体" w:hAnsi="宋体" w:cs="宋体" w:eastAsia="宋体" w:hint="ascii"/>
          <w:sz w:val="21"/>
          <w:spacing w:val="-6"/>
        </w:rPr>
        <w:t>命</w:t>
      </w:r>
      <w:r>
        <w:rPr>
          <w:rFonts w:ascii="宋体" w:hAnsi="宋体" w:cs="宋体" w:eastAsia="宋体" w:hint="ascii"/>
          <w:sz w:val="21"/>
          <w:spacing w:val="4"/>
        </w:rPr>
        <w:t>过程活动</w:t>
      </w:r>
      <w:r>
        <w:rPr>
          <w:rFonts w:ascii="宋体" w:hAnsi="宋体" w:cs="宋体" w:eastAsia="宋体" w:hint="ascii"/>
          <w:sz w:val="21"/>
          <w:spacing w:val="3"/>
        </w:rPr>
        <w:t>规</w:t>
      </w:r>
      <w:r>
        <w:rPr>
          <w:rFonts w:ascii="宋体" w:hAnsi="宋体" w:cs="宋体" w:eastAsia="宋体" w:hint="ascii"/>
          <w:sz w:val="21"/>
          <w:spacing w:val="4"/>
        </w:rPr>
        <w:t>律相关课</w:t>
      </w:r>
      <w:r>
        <w:rPr>
          <w:rFonts w:ascii="宋体" w:hAnsi="宋体" w:cs="宋体" w:eastAsia="宋体" w:hint="ascii"/>
          <w:sz w:val="21"/>
          <w:spacing w:val="3"/>
        </w:rPr>
        <w:t>题</w:t>
      </w:r>
      <w:r>
        <w:rPr>
          <w:rFonts w:ascii="宋体" w:hAnsi="宋体" w:cs="宋体" w:eastAsia="宋体" w:hint="ascii"/>
          <w:sz w:val="21"/>
          <w:spacing w:val="4"/>
        </w:rPr>
        <w:t>，并</w:t>
      </w:r>
      <w:r>
        <w:rPr>
          <w:rFonts w:ascii="宋体" w:hAnsi="宋体" w:cs="宋体" w:eastAsia="宋体" w:hint="ascii"/>
          <w:sz w:val="21"/>
          <w:spacing w:val="3"/>
        </w:rPr>
        <w:t>重视</w:t>
      </w:r>
      <w:r>
        <w:rPr>
          <w:rFonts w:ascii="宋体" w:hAnsi="宋体" w:cs="宋体" w:eastAsia="宋体" w:hint="ascii"/>
          <w:sz w:val="21"/>
          <w:spacing w:val="2"/>
        </w:rPr>
        <w:t>和</w:t>
      </w:r>
      <w:r>
        <w:rPr>
          <w:rFonts w:ascii="宋体" w:hAnsi="宋体" w:cs="宋体" w:eastAsia="宋体" w:hint="ascii"/>
          <w:sz w:val="21"/>
          <w:spacing w:val="3"/>
        </w:rPr>
        <w:t>支持试图</w:t>
      </w:r>
      <w:r>
        <w:rPr>
          <w:rFonts w:ascii="宋体" w:hAnsi="宋体" w:cs="宋体" w:eastAsia="宋体" w:hint="ascii"/>
          <w:sz w:val="21"/>
          <w:spacing w:val="2"/>
        </w:rPr>
        <w:t>借</w:t>
      </w:r>
      <w:r>
        <w:rPr>
          <w:rFonts w:ascii="宋体" w:hAnsi="宋体" w:cs="宋体" w:eastAsia="宋体" w:hint="ascii"/>
          <w:sz w:val="21"/>
          <w:spacing w:val="3"/>
        </w:rPr>
        <w:t>鉴数学、</w:t>
      </w:r>
      <w:r>
        <w:rPr>
          <w:rFonts w:ascii="宋体" w:hAnsi="宋体" w:cs="宋体" w:eastAsia="宋体" w:hint="ascii"/>
          <w:sz w:val="21"/>
          <w:spacing w:val="2"/>
        </w:rPr>
        <w:t>信</w:t>
      </w:r>
      <w:r>
        <w:rPr>
          <w:rFonts w:ascii="宋体" w:hAnsi="宋体" w:cs="宋体" w:eastAsia="宋体" w:hint="ascii"/>
          <w:sz w:val="21"/>
          <w:spacing w:val="3"/>
        </w:rPr>
        <w:t>息科学等</w:t>
      </w:r>
      <w:r>
        <w:rPr>
          <w:rFonts w:ascii="宋体" w:hAnsi="宋体" w:cs="宋体" w:eastAsia="宋体" w:hint="ascii"/>
          <w:sz w:val="21"/>
          <w:spacing w:val="2"/>
        </w:rPr>
        <w:t>交</w:t>
      </w:r>
      <w:r>
        <w:rPr>
          <w:rFonts w:ascii="宋体" w:hAnsi="宋体" w:cs="宋体" w:eastAsia="宋体" w:hint="ascii"/>
          <w:sz w:val="21"/>
          <w:spacing w:val="3"/>
        </w:rPr>
        <w:t>叉学科</w:t>
      </w:r>
      <w:r>
        <w:rPr>
          <w:rFonts w:ascii="宋体" w:hAnsi="宋体" w:cs="宋体" w:eastAsia="宋体" w:hint="ascii"/>
          <w:sz w:val="21"/>
          <w:spacing w:val="4"/>
        </w:rPr>
        <w:t>的</w:t>
      </w:r>
      <w:r>
        <w:rPr>
          <w:rFonts w:ascii="宋体" w:hAnsi="宋体" w:cs="宋体" w:eastAsia="宋体" w:hint="ascii"/>
          <w:sz w:val="21"/>
          <w:spacing w:val="3"/>
        </w:rPr>
        <w:t>研</w:t>
      </w:r>
      <w:r>
        <w:rPr>
          <w:rFonts w:ascii="宋体" w:hAnsi="宋体" w:cs="宋体" w:eastAsia="宋体" w:hint="ascii"/>
          <w:sz w:val="21"/>
          <w:spacing w:val="-6"/>
        </w:rPr>
        <w:t>究</w:t>
      </w:r>
      <w:r>
        <w:rPr>
          <w:rFonts w:ascii="宋体" w:hAnsi="宋体" w:cs="宋体" w:eastAsia="宋体" w:hint="ascii"/>
          <w:sz w:val="21"/>
          <w:spacing w:val="4"/>
        </w:rPr>
        <w:t>方法和思</w:t>
      </w:r>
      <w:r>
        <w:rPr>
          <w:rFonts w:ascii="宋体" w:hAnsi="宋体" w:cs="宋体" w:eastAsia="宋体" w:hint="ascii"/>
          <w:sz w:val="21"/>
          <w:spacing w:val="3"/>
        </w:rPr>
        <w:t>路</w:t>
      </w:r>
      <w:r>
        <w:rPr>
          <w:rFonts w:ascii="宋体" w:hAnsi="宋体" w:cs="宋体" w:eastAsia="宋体" w:hint="ascii"/>
          <w:sz w:val="21"/>
          <w:spacing w:val="4"/>
        </w:rPr>
        <w:t>，开展生</w:t>
      </w:r>
      <w:r>
        <w:rPr>
          <w:rFonts w:ascii="宋体" w:hAnsi="宋体" w:cs="宋体" w:eastAsia="宋体" w:hint="ascii"/>
          <w:sz w:val="21"/>
          <w:spacing w:val="3"/>
        </w:rPr>
        <w:t>物</w:t>
      </w:r>
      <w:r>
        <w:rPr>
          <w:rFonts w:ascii="宋体" w:hAnsi="宋体" w:cs="宋体" w:eastAsia="宋体" w:hint="ascii"/>
          <w:sz w:val="21"/>
          <w:spacing w:val="4"/>
        </w:rPr>
        <w:t>信息</w:t>
      </w:r>
      <w:r>
        <w:rPr>
          <w:rFonts w:ascii="宋体" w:hAnsi="宋体" w:cs="宋体" w:eastAsia="宋体" w:hint="ascii"/>
          <w:sz w:val="21"/>
          <w:spacing w:val="3"/>
        </w:rPr>
        <w:t>学、</w:t>
      </w:r>
      <w:r>
        <w:rPr>
          <w:rFonts w:ascii="宋体" w:hAnsi="宋体" w:cs="宋体" w:eastAsia="宋体" w:hint="ascii"/>
          <w:sz w:val="21"/>
          <w:spacing w:val="2"/>
        </w:rPr>
        <w:t>系</w:t>
      </w:r>
      <w:r>
        <w:rPr>
          <w:rFonts w:ascii="宋体" w:hAnsi="宋体" w:cs="宋体" w:eastAsia="宋体" w:hint="ascii"/>
          <w:sz w:val="21"/>
          <w:spacing w:val="3"/>
        </w:rPr>
        <w:t>统生物学</w:t>
      </w:r>
      <w:r>
        <w:rPr>
          <w:rFonts w:ascii="宋体" w:hAnsi="宋体" w:cs="宋体" w:eastAsia="宋体" w:hint="ascii"/>
          <w:sz w:val="21"/>
          <w:spacing w:val="2"/>
        </w:rPr>
        <w:t>包</w:t>
      </w:r>
      <w:r>
        <w:rPr>
          <w:rFonts w:ascii="宋体" w:hAnsi="宋体" w:cs="宋体" w:eastAsia="宋体" w:hint="ascii"/>
          <w:sz w:val="21"/>
          <w:spacing w:val="3"/>
        </w:rPr>
        <w:t>括合成生</w:t>
      </w:r>
      <w:r>
        <w:rPr>
          <w:rFonts w:ascii="宋体" w:hAnsi="宋体" w:cs="宋体" w:eastAsia="宋体" w:hint="ascii"/>
          <w:sz w:val="21"/>
          <w:spacing w:val="2"/>
        </w:rPr>
        <w:t>物</w:t>
      </w:r>
      <w:r>
        <w:rPr>
          <w:rFonts w:ascii="宋体" w:hAnsi="宋体" w:cs="宋体" w:eastAsia="宋体" w:hint="ascii"/>
          <w:sz w:val="21"/>
          <w:spacing w:val="3"/>
        </w:rPr>
        <w:t>学等研究</w:t>
      </w:r>
      <w:r>
        <w:rPr>
          <w:rFonts w:ascii="宋体" w:hAnsi="宋体" w:cs="宋体" w:eastAsia="宋体" w:hint="ascii"/>
          <w:sz w:val="21"/>
          <w:spacing w:val="2"/>
        </w:rPr>
        <w:t>。</w:t>
      </w:r>
      <w:r>
        <w:rPr>
          <w:rFonts w:ascii="宋体" w:hAnsi="宋体" w:cs="宋体" w:eastAsia="宋体" w:hint="ascii"/>
          <w:sz w:val="21"/>
          <w:spacing w:val="3"/>
        </w:rPr>
        <w:t>对糖生</w:t>
      </w:r>
      <w:r>
        <w:rPr>
          <w:rFonts w:ascii="宋体" w:hAnsi="宋体" w:cs="宋体" w:eastAsia="宋体" w:hint="ascii"/>
          <w:sz w:val="21"/>
          <w:spacing w:val="4"/>
        </w:rPr>
        <w:t>物</w:t>
      </w:r>
      <w:r>
        <w:rPr>
          <w:rFonts w:ascii="宋体" w:hAnsi="宋体" w:cs="宋体" w:eastAsia="宋体" w:hint="ascii"/>
          <w:sz w:val="21"/>
          <w:spacing w:val="3"/>
        </w:rPr>
        <w:t>学</w:t>
      </w:r>
      <w:r>
        <w:rPr>
          <w:rFonts w:ascii="宋体" w:hAnsi="宋体" w:cs="宋体" w:eastAsia="宋体" w:hint="ascii"/>
          <w:sz w:val="21"/>
          <w:spacing w:val="-6"/>
        </w:rPr>
        <w:t>、</w:t>
      </w:r>
      <w:r>
        <w:rPr>
          <w:rFonts w:ascii="宋体" w:hAnsi="宋体" w:cs="宋体" w:eastAsia="宋体" w:hint="ascii"/>
          <w:sz w:val="21"/>
          <w:spacing w:val="4"/>
        </w:rPr>
        <w:t>脂质生物</w:t>
      </w:r>
      <w:r>
        <w:rPr>
          <w:rFonts w:ascii="宋体" w:hAnsi="宋体" w:cs="宋体" w:eastAsia="宋体" w:hint="ascii"/>
          <w:sz w:val="21"/>
          <w:spacing w:val="3"/>
        </w:rPr>
        <w:t>化</w:t>
      </w:r>
      <w:r>
        <w:rPr>
          <w:rFonts w:ascii="宋体" w:hAnsi="宋体" w:cs="宋体" w:eastAsia="宋体" w:hint="ascii"/>
          <w:sz w:val="21"/>
          <w:spacing w:val="4"/>
        </w:rPr>
        <w:t>学等偏弱</w:t>
      </w:r>
      <w:r>
        <w:rPr>
          <w:rFonts w:ascii="宋体" w:hAnsi="宋体" w:cs="宋体" w:eastAsia="宋体" w:hint="ascii"/>
          <w:sz w:val="21"/>
          <w:spacing w:val="3"/>
        </w:rPr>
        <w:t>的</w:t>
      </w:r>
      <w:r>
        <w:rPr>
          <w:rFonts w:ascii="宋体" w:hAnsi="宋体" w:cs="宋体" w:eastAsia="宋体" w:hint="ascii"/>
          <w:sz w:val="21"/>
          <w:spacing w:val="4"/>
        </w:rPr>
        <w:t>，但</w:t>
      </w:r>
      <w:r>
        <w:rPr>
          <w:rFonts w:ascii="宋体" w:hAnsi="宋体" w:cs="宋体" w:eastAsia="宋体" w:hint="ascii"/>
          <w:sz w:val="21"/>
          <w:spacing w:val="3"/>
        </w:rPr>
        <w:t>有重</w:t>
      </w:r>
      <w:r>
        <w:rPr>
          <w:rFonts w:ascii="宋体" w:hAnsi="宋体" w:cs="宋体" w:eastAsia="宋体" w:hint="ascii"/>
          <w:sz w:val="21"/>
          <w:spacing w:val="2"/>
        </w:rPr>
        <w:t>要</w:t>
      </w:r>
      <w:r>
        <w:rPr>
          <w:rFonts w:ascii="宋体" w:hAnsi="宋体" w:cs="宋体" w:eastAsia="宋体" w:hint="ascii"/>
          <w:sz w:val="21"/>
          <w:spacing w:val="3"/>
        </w:rPr>
        <w:t>生物学意</w:t>
      </w:r>
      <w:r>
        <w:rPr>
          <w:rFonts w:ascii="宋体" w:hAnsi="宋体" w:cs="宋体" w:eastAsia="宋体" w:hint="ascii"/>
          <w:sz w:val="21"/>
          <w:spacing w:val="2"/>
        </w:rPr>
        <w:t>义</w:t>
      </w:r>
      <w:r>
        <w:rPr>
          <w:rFonts w:ascii="宋体" w:hAnsi="宋体" w:cs="宋体" w:eastAsia="宋体" w:hint="ascii"/>
          <w:sz w:val="21"/>
          <w:spacing w:val="3"/>
        </w:rPr>
        <w:t>的学科领</w:t>
      </w:r>
      <w:r>
        <w:rPr>
          <w:rFonts w:ascii="宋体" w:hAnsi="宋体" w:cs="宋体" w:eastAsia="宋体" w:hint="ascii"/>
          <w:sz w:val="21"/>
          <w:spacing w:val="2"/>
        </w:rPr>
        <w:t>域</w:t>
      </w:r>
      <w:r>
        <w:rPr>
          <w:rFonts w:ascii="宋体" w:hAnsi="宋体" w:cs="宋体" w:eastAsia="宋体" w:hint="ascii"/>
          <w:sz w:val="21"/>
          <w:spacing w:val="3"/>
        </w:rPr>
        <w:t>给予一定</w:t>
      </w:r>
      <w:r>
        <w:rPr>
          <w:rFonts w:ascii="宋体" w:hAnsi="宋体" w:cs="宋体" w:eastAsia="宋体" w:hint="ascii"/>
          <w:sz w:val="21"/>
          <w:spacing w:val="2"/>
        </w:rPr>
        <w:t>扶</w:t>
      </w:r>
      <w:r>
        <w:rPr>
          <w:rFonts w:ascii="宋体" w:hAnsi="宋体" w:cs="宋体" w:eastAsia="宋体" w:hint="ascii"/>
          <w:sz w:val="21"/>
          <w:spacing w:val="3"/>
        </w:rPr>
        <w:t>持和鼓</w:t>
      </w:r>
      <w:r>
        <w:rPr>
          <w:rFonts w:ascii="宋体" w:hAnsi="宋体" w:cs="宋体" w:eastAsia="宋体" w:hint="ascii"/>
          <w:sz w:val="21"/>
          <w:spacing w:val="4"/>
        </w:rPr>
        <w:t>励</w:t>
      </w:r>
      <w:r>
        <w:rPr>
          <w:rFonts w:ascii="宋体" w:hAnsi="宋体" w:cs="宋体" w:eastAsia="宋体" w:hint="ascii"/>
          <w:sz w:val="21"/>
          <w:spacing w:val="3"/>
        </w:rPr>
        <w:t>。</w:t>
      </w:r>
      <w:r>
        <w:rPr>
          <w:rFonts w:ascii="宋体" w:hAnsi="宋体" w:cs="宋体" w:eastAsia="宋体" w:hint="ascii"/>
          <w:sz w:val="21"/>
          <w:spacing w:val="-6"/>
        </w:rPr>
        <w:t>针</w:t>
      </w:r>
      <w:r>
        <w:rPr>
          <w:rFonts w:ascii="宋体" w:hAnsi="宋体" w:cs="宋体" w:eastAsia="宋体" w:hint="ascii"/>
          <w:sz w:val="21"/>
          <w:spacing w:val="4"/>
        </w:rPr>
        <w:t>对我国目</w:t>
      </w:r>
      <w:r>
        <w:rPr>
          <w:rFonts w:ascii="宋体" w:hAnsi="宋体" w:cs="宋体" w:eastAsia="宋体" w:hint="ascii"/>
          <w:sz w:val="21"/>
          <w:spacing w:val="3"/>
        </w:rPr>
        <w:t>前</w:t>
      </w:r>
      <w:r>
        <w:rPr>
          <w:rFonts w:ascii="宋体" w:hAnsi="宋体" w:cs="宋体" w:eastAsia="宋体" w:hint="ascii"/>
          <w:sz w:val="21"/>
          <w:spacing w:val="4"/>
        </w:rPr>
        <w:t>空间科学</w:t>
      </w:r>
      <w:r>
        <w:rPr>
          <w:rFonts w:ascii="宋体" w:hAnsi="宋体" w:cs="宋体" w:eastAsia="宋体" w:hint="ascii"/>
          <w:sz w:val="21"/>
          <w:spacing w:val="3"/>
        </w:rPr>
        <w:t>实</w:t>
      </w:r>
      <w:r>
        <w:rPr>
          <w:rFonts w:ascii="宋体" w:hAnsi="宋体" w:cs="宋体" w:eastAsia="宋体" w:hint="ascii"/>
          <w:sz w:val="21"/>
          <w:spacing w:val="4"/>
        </w:rPr>
        <w:t>力长足</w:t>
      </w:r>
      <w:r>
        <w:rPr>
          <w:rFonts w:ascii="宋体" w:hAnsi="宋体" w:cs="宋体" w:eastAsia="宋体" w:hint="ascii"/>
          <w:sz w:val="21"/>
          <w:spacing w:val="3"/>
        </w:rPr>
        <w:t>发</w:t>
      </w:r>
      <w:r>
        <w:rPr>
          <w:rFonts w:ascii="宋体" w:hAnsi="宋体" w:cs="宋体" w:eastAsia="宋体" w:hint="ascii"/>
          <w:sz w:val="21"/>
          <w:spacing w:val="2"/>
        </w:rPr>
        <w:t>展</w:t>
      </w:r>
      <w:r>
        <w:rPr>
          <w:rFonts w:ascii="宋体" w:hAnsi="宋体" w:cs="宋体" w:eastAsia="宋体" w:hint="ascii"/>
          <w:sz w:val="21"/>
          <w:spacing w:val="3"/>
        </w:rPr>
        <w:t>的现状，</w:t>
      </w:r>
      <w:r>
        <w:rPr>
          <w:rFonts w:ascii="宋体" w:hAnsi="宋体" w:cs="宋体" w:eastAsia="宋体" w:hint="ascii"/>
          <w:sz w:val="21"/>
          <w:spacing w:val="2"/>
        </w:rPr>
        <w:t>学</w:t>
      </w:r>
      <w:r>
        <w:rPr>
          <w:rFonts w:ascii="宋体" w:hAnsi="宋体" w:cs="宋体" w:eastAsia="宋体" w:hint="ascii"/>
          <w:sz w:val="21"/>
          <w:spacing w:val="3"/>
        </w:rPr>
        <w:t>科也将对</w:t>
      </w:r>
      <w:r>
        <w:rPr>
          <w:rFonts w:ascii="宋体" w:hAnsi="宋体" w:cs="宋体" w:eastAsia="宋体" w:hint="ascii"/>
          <w:sz w:val="21"/>
          <w:spacing w:val="2"/>
        </w:rPr>
        <w:t>环</w:t>
      </w:r>
      <w:r>
        <w:rPr>
          <w:rFonts w:ascii="宋体" w:hAnsi="宋体" w:cs="宋体" w:eastAsia="宋体" w:hint="ascii"/>
          <w:sz w:val="21"/>
          <w:spacing w:val="3"/>
        </w:rPr>
        <w:t>境生物物</w:t>
      </w:r>
      <w:r>
        <w:rPr>
          <w:rFonts w:ascii="宋体" w:hAnsi="宋体" w:cs="宋体" w:eastAsia="宋体" w:hint="ascii"/>
          <w:sz w:val="21"/>
          <w:spacing w:val="2"/>
        </w:rPr>
        <w:t>理</w:t>
      </w:r>
      <w:r>
        <w:rPr>
          <w:rFonts w:ascii="宋体" w:hAnsi="宋体" w:cs="宋体" w:eastAsia="宋体" w:hint="ascii"/>
          <w:sz w:val="21"/>
          <w:spacing w:val="3"/>
        </w:rPr>
        <w:t>及空间</w:t>
      </w:r>
      <w:r>
        <w:rPr>
          <w:rFonts w:ascii="宋体" w:hAnsi="宋体" w:cs="宋体" w:eastAsia="宋体" w:hint="ascii"/>
          <w:sz w:val="21"/>
          <w:spacing w:val="4"/>
        </w:rPr>
        <w:t>生</w:t>
      </w:r>
      <w:r>
        <w:rPr>
          <w:rFonts w:ascii="宋体" w:hAnsi="宋体" w:cs="宋体" w:eastAsia="宋体" w:hint="ascii"/>
          <w:sz w:val="21"/>
          <w:spacing w:val="3"/>
        </w:rPr>
        <w:t>物</w:t>
      </w:r>
      <w:r>
        <w:rPr>
          <w:rFonts w:ascii="宋体" w:hAnsi="宋体" w:cs="宋体" w:eastAsia="宋体" w:hint="ascii"/>
          <w:sz w:val="21"/>
          <w:spacing w:val="-6"/>
        </w:rPr>
        <w:t>学</w:t>
      </w:r>
      <w:r>
        <w:rPr>
          <w:rFonts w:ascii="宋体" w:hAnsi="宋体" w:cs="宋体" w:eastAsia="宋体" w:hint="ascii"/>
          <w:sz w:val="21"/>
          <w:spacing w:val="3"/>
        </w:rPr>
        <w:t>给予适当倾斜</w:t>
      </w:r>
      <w:r>
        <w:rPr>
          <w:rFonts w:ascii="宋体" w:hAnsi="宋体" w:cs="宋体" w:eastAsia="宋体" w:hint="ascii"/>
          <w:sz w:val="21"/>
        </w:rPr>
        <w:t>。</w:t>
      </w:r>
    </w:p>
    <w:p>
      <w:pPr>
        <w:autoSpaceDE w:val="0"/>
        <w:autoSpaceDN w:val="0"/>
        <w:jc w:val="left"/>
        <w:spacing w:before="163"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免疫学学科</w:t>
      </w:r>
    </w:p>
    <w:p>
      <w:pPr>
        <w:autoSpaceDE w:val="0"/>
        <w:autoSpaceDN w:val="0"/>
        <w:jc w:val="both"/>
        <w:spacing w:before="158"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免疫学是研究免疫系统结构和功能的学科，是生命</w:t>
      </w:r>
      <w:r>
        <w:rPr>
          <w:rFonts w:ascii="宋体" w:hAnsi="宋体" w:cs="宋体" w:eastAsia="宋体" w:hint="ascii"/>
          <w:sz w:val="21"/>
          <w:spacing w:val="-1"/>
        </w:rPr>
        <w:t>科学与基础医学领域中一门基础</w:t>
      </w:r>
      <w:r>
        <w:rPr>
          <w:rFonts w:ascii="宋体" w:hAnsi="宋体" w:cs="宋体" w:eastAsia="宋体" w:hint="ascii"/>
          <w:sz w:val="21"/>
        </w:rPr>
        <w:t xml:space="preserve"> </w:t>
      </w:r>
      <w:r>
        <w:rPr>
          <w:rFonts w:ascii="宋体" w:hAnsi="宋体" w:cs="宋体" w:eastAsia="宋体" w:hint="ascii"/>
          <w:sz w:val="21"/>
          <w:spacing w:val="-1"/>
        </w:rPr>
        <w:t>性、支柱性</w:t>
      </w:r>
      <w:r>
        <w:rPr>
          <w:rFonts w:ascii="宋体" w:hAnsi="宋体" w:cs="宋体" w:eastAsia="宋体" w:hint="ascii"/>
          <w:sz w:val="21"/>
        </w:rPr>
        <w:t>和引领性的前沿学科，是连接基础生物学与临床医学的桥梁。免疫学学科资</w:t>
      </w:r>
      <w:r>
        <w:rPr>
          <w:rFonts w:ascii="宋体" w:hAnsi="宋体" w:cs="宋体" w:eastAsia="宋体" w:hint="ascii"/>
          <w:sz w:val="21"/>
          <w:spacing w:val="-1"/>
        </w:rPr>
        <w:t>助范围包括</w:t>
      </w:r>
      <w:r>
        <w:rPr>
          <w:rFonts w:ascii="宋体" w:hAnsi="宋体" w:cs="宋体" w:eastAsia="宋体" w:hint="ascii"/>
          <w:sz w:val="21"/>
        </w:rPr>
        <w:t>：分子免疫、细胞免疫、免疫应答、免疫耐受、免疫调节、免疫遗传、生殖免疫、黏膜免疫、疫苗研究、抗体工程研究和免疫学研究新技术与新方法等。</w:t>
      </w:r>
    </w:p>
    <w:p>
      <w:pPr>
        <w:autoSpaceDE w:val="0"/>
        <w:autoSpaceDN w:val="0"/>
        <w:jc w:val="left"/>
        <w:spacing w:before="46"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本学科资</w:t>
      </w:r>
      <w:r>
        <w:rPr>
          <w:rFonts w:ascii="宋体" w:hAnsi="宋体" w:cs="宋体" w:eastAsia="宋体" w:hint="ascii"/>
          <w:sz w:val="21"/>
        </w:rPr>
        <w:t>助</w:t>
      </w:r>
      <w:r>
        <w:rPr>
          <w:rFonts w:ascii="宋体" w:hAnsi="宋体" w:cs="宋体" w:eastAsia="宋体" w:hint="ascii"/>
          <w:sz w:val="21"/>
          <w:spacing w:val="3"/>
        </w:rPr>
        <w:t>的研究方</w:t>
      </w:r>
      <w:r>
        <w:rPr>
          <w:rFonts w:ascii="宋体" w:hAnsi="宋体" w:cs="宋体" w:eastAsia="宋体" w:hint="ascii"/>
          <w:sz w:val="21"/>
        </w:rPr>
        <w:t>向</w:t>
      </w:r>
      <w:r>
        <w:rPr>
          <w:rFonts w:ascii="宋体" w:hAnsi="宋体" w:cs="宋体" w:eastAsia="宋体" w:hint="ascii"/>
          <w:sz w:val="21"/>
          <w:spacing w:val="3"/>
        </w:rPr>
        <w:t>主要包括</w:t>
      </w:r>
      <w:r>
        <w:rPr>
          <w:rFonts w:ascii="宋体" w:hAnsi="宋体" w:cs="宋体" w:eastAsia="宋体" w:hint="ascii"/>
          <w:sz w:val="21"/>
        </w:rPr>
        <w:t>：</w:t>
      </w:r>
      <w:r>
        <w:rPr>
          <w:rFonts w:ascii="宋体" w:hAnsi="宋体" w:cs="宋体" w:eastAsia="宋体" w:hint="ascii"/>
          <w:sz w:val="21"/>
          <w:spacing w:val="3"/>
        </w:rPr>
        <w:t>①免疫分</w:t>
      </w:r>
      <w:r>
        <w:rPr>
          <w:rFonts w:ascii="宋体" w:hAnsi="宋体" w:cs="宋体" w:eastAsia="宋体" w:hint="ascii"/>
          <w:sz w:val="21"/>
        </w:rPr>
        <w:t>子</w:t>
      </w:r>
      <w:r>
        <w:rPr>
          <w:rFonts w:ascii="宋体" w:hAnsi="宋体" w:cs="宋体" w:eastAsia="宋体" w:hint="ascii"/>
          <w:sz w:val="21"/>
          <w:spacing w:val="3"/>
        </w:rPr>
        <w:t>的表达、</w:t>
      </w:r>
      <w:r>
        <w:rPr>
          <w:rFonts w:ascii="宋体" w:hAnsi="宋体" w:cs="宋体" w:eastAsia="宋体" w:hint="ascii"/>
          <w:sz w:val="21"/>
        </w:rPr>
        <w:t>结</w:t>
      </w:r>
      <w:r>
        <w:rPr>
          <w:rFonts w:ascii="宋体" w:hAnsi="宋体" w:cs="宋体" w:eastAsia="宋体" w:hint="ascii"/>
          <w:sz w:val="21"/>
          <w:spacing w:val="3"/>
        </w:rPr>
        <w:t>构与功能</w:t>
      </w:r>
      <w:r>
        <w:rPr>
          <w:rFonts w:ascii="宋体" w:hAnsi="宋体" w:cs="宋体" w:eastAsia="宋体" w:hint="ascii"/>
          <w:sz w:val="21"/>
        </w:rPr>
        <w:t>，</w:t>
      </w:r>
      <w:r>
        <w:rPr>
          <w:rFonts w:ascii="宋体" w:hAnsi="宋体" w:cs="宋体" w:eastAsia="宋体" w:hint="ascii"/>
          <w:sz w:val="21"/>
          <w:spacing w:val="3"/>
        </w:rPr>
        <w:t>免疫识</w:t>
      </w:r>
      <w:r>
        <w:rPr>
          <w:rFonts w:ascii="宋体" w:hAnsi="宋体" w:cs="宋体" w:eastAsia="宋体" w:hint="ascii"/>
          <w:sz w:val="21"/>
          <w:spacing w:val="4"/>
        </w:rPr>
        <w:t>别</w:t>
      </w:r>
      <w:r>
        <w:rPr>
          <w:rFonts w:ascii="宋体" w:hAnsi="宋体" w:cs="宋体" w:eastAsia="宋体" w:hint="ascii"/>
          <w:sz w:val="21"/>
        </w:rPr>
        <w:t>的</w:t>
      </w:r>
    </w:p>
    <w:p>
      <w:pPr>
        <w:autoSpaceDE w:val="0"/>
        <w:autoSpaceDN w:val="0"/>
        <w:jc w:val="both"/>
        <w:spacing w:before="10"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结构基础，固有免疫</w:t>
      </w:r>
      <w:r>
        <w:rPr>
          <w:rFonts w:ascii="宋体" w:hAnsi="宋体" w:cs="宋体" w:eastAsia="宋体" w:hint="ascii"/>
          <w:sz w:val="21"/>
        </w:rPr>
        <w:t>的识别、活化及效应机制，抗原加工和提呈的分子机制，细胞</w:t>
      </w:r>
      <w:r>
        <w:rPr>
          <w:rFonts w:ascii="宋体" w:hAnsi="宋体" w:cs="宋体" w:eastAsia="宋体" w:hint="ascii"/>
          <w:sz w:val="21"/>
          <w:spacing w:val="-6"/>
        </w:rPr>
        <w:t>因</w:t>
      </w:r>
      <w:r>
        <w:rPr>
          <w:rFonts w:ascii="宋体" w:hAnsi="宋体" w:cs="宋体" w:eastAsia="宋体" w:hint="ascii"/>
          <w:sz w:val="21"/>
          <w:spacing w:val="1"/>
        </w:rPr>
        <w:t>子和趋化因子的结构</w:t>
      </w:r>
      <w:r>
        <w:rPr>
          <w:rFonts w:ascii="宋体" w:hAnsi="宋体" w:cs="宋体" w:eastAsia="宋体" w:hint="ascii"/>
          <w:sz w:val="21"/>
        </w:rPr>
        <w:t>、功能和免疫病理；②免疫系统的发育与进化，免疫细胞及其</w:t>
      </w:r>
      <w:r>
        <w:rPr>
          <w:rFonts w:ascii="宋体" w:hAnsi="宋体" w:cs="宋体" w:eastAsia="宋体" w:hint="ascii"/>
          <w:sz w:val="21"/>
          <w:spacing w:val="-6"/>
        </w:rPr>
        <w:t>亚</w:t>
      </w:r>
      <w:r>
        <w:rPr>
          <w:rFonts w:ascii="宋体" w:hAnsi="宋体" w:cs="宋体" w:eastAsia="宋体" w:hint="ascii"/>
          <w:sz w:val="21"/>
          <w:spacing w:val="1"/>
        </w:rPr>
        <w:t>群的分化、活化、迁</w:t>
      </w:r>
      <w:r>
        <w:rPr>
          <w:rFonts w:ascii="宋体" w:hAnsi="宋体" w:cs="宋体" w:eastAsia="宋体" w:hint="ascii"/>
          <w:sz w:val="21"/>
        </w:rPr>
        <w:t>徙、组织分布和功能调控；③感染免疫，肿瘤免疫，自身免疫</w:t>
      </w:r>
      <w:r>
        <w:rPr>
          <w:rFonts w:ascii="宋体" w:hAnsi="宋体" w:cs="宋体" w:eastAsia="宋体" w:hint="ascii"/>
          <w:sz w:val="21"/>
          <w:spacing w:val="-6"/>
        </w:rPr>
        <w:t>，</w:t>
      </w:r>
      <w:r>
        <w:rPr>
          <w:rFonts w:ascii="宋体" w:hAnsi="宋体" w:cs="宋体" w:eastAsia="宋体" w:hint="ascii"/>
          <w:sz w:val="21"/>
          <w:spacing w:val="1"/>
        </w:rPr>
        <w:t>超敏（过敏性）反应</w:t>
      </w:r>
      <w:r>
        <w:rPr>
          <w:rFonts w:ascii="宋体" w:hAnsi="宋体" w:cs="宋体" w:eastAsia="宋体" w:hint="ascii"/>
          <w:sz w:val="21"/>
        </w:rPr>
        <w:t>，感染性与非感染性炎症的发生、发展、消退与干预；④免疫</w:t>
      </w:r>
      <w:r>
        <w:rPr>
          <w:rFonts w:ascii="宋体" w:hAnsi="宋体" w:cs="宋体" w:eastAsia="宋体" w:hint="ascii"/>
          <w:sz w:val="21"/>
          <w:spacing w:val="-6"/>
        </w:rPr>
        <w:t>耐</w:t>
      </w:r>
      <w:r>
        <w:rPr>
          <w:rFonts w:ascii="宋体" w:hAnsi="宋体" w:cs="宋体" w:eastAsia="宋体" w:hint="ascii"/>
          <w:sz w:val="21"/>
          <w:spacing w:val="1"/>
        </w:rPr>
        <w:t>受及异常的细胞和分</w:t>
      </w:r>
      <w:r>
        <w:rPr>
          <w:rFonts w:ascii="宋体" w:hAnsi="宋体" w:cs="宋体" w:eastAsia="宋体" w:hint="ascii"/>
          <w:sz w:val="21"/>
        </w:rPr>
        <w:t>子机制，移植排斥与免疫耐受机制；⑤免疫调节分子和免疫调</w:t>
      </w:r>
      <w:r>
        <w:rPr>
          <w:rFonts w:ascii="宋体" w:hAnsi="宋体" w:cs="宋体" w:eastAsia="宋体" w:hint="ascii"/>
          <w:sz w:val="21"/>
          <w:spacing w:val="-6"/>
        </w:rPr>
        <w:t>节</w:t>
      </w:r>
      <w:r>
        <w:rPr>
          <w:rFonts w:ascii="宋体" w:hAnsi="宋体" w:cs="宋体" w:eastAsia="宋体" w:hint="ascii"/>
          <w:sz w:val="21"/>
          <w:spacing w:val="1"/>
        </w:rPr>
        <w:t>细胞的作用机制，免</w:t>
      </w:r>
      <w:r>
        <w:rPr>
          <w:rFonts w:ascii="宋体" w:hAnsi="宋体" w:cs="宋体" w:eastAsia="宋体" w:hint="ascii"/>
          <w:sz w:val="21"/>
        </w:rPr>
        <w:t>疫反应、免疫调节异常与免疫缺陷，神经</w:t>
      </w:r>
      <w:r>
        <w:rPr>
          <w:rFonts w:ascii="宋体" w:hAnsi="宋体" w:cs="宋体" w:eastAsia="宋体" w:hint="ascii"/>
          <w:sz w:val="21"/>
        </w:rPr>
        <w:t>-</w:t>
      </w:r>
      <w:r>
        <w:rPr>
          <w:rFonts w:ascii="宋体" w:hAnsi="宋体" w:cs="宋体" w:eastAsia="宋体" w:hint="ascii"/>
          <w:sz w:val="21"/>
        </w:rPr>
        <w:t>内分泌</w:t>
      </w:r>
      <w:r>
        <w:rPr>
          <w:rFonts w:ascii="宋体" w:hAnsi="宋体" w:cs="宋体" w:eastAsia="宋体" w:hint="ascii"/>
          <w:sz w:val="21"/>
        </w:rPr>
        <w:t>-</w:t>
      </w:r>
      <w:r>
        <w:rPr>
          <w:rFonts w:ascii="宋体" w:hAnsi="宋体" w:cs="宋体" w:eastAsia="宋体" w:hint="ascii"/>
          <w:sz w:val="21"/>
        </w:rPr>
        <w:t>免疫网络，</w:t>
      </w:r>
      <w:r>
        <w:rPr>
          <w:rFonts w:ascii="宋体" w:hAnsi="宋体" w:cs="宋体" w:eastAsia="宋体" w:hint="ascii"/>
          <w:sz w:val="21"/>
          <w:spacing w:val="-6"/>
        </w:rPr>
        <w:t>代</w:t>
      </w:r>
      <w:r>
        <w:rPr>
          <w:rFonts w:ascii="宋体" w:hAnsi="宋体" w:cs="宋体" w:eastAsia="宋体" w:hint="ascii"/>
          <w:sz w:val="21"/>
          <w:spacing w:val="1"/>
        </w:rPr>
        <w:t>谢与免疫调节；⑥</w:t>
      </w:r>
      <w:r>
        <w:rPr>
          <w:rFonts w:ascii="宋体" w:hAnsi="宋体" w:cs="宋体" w:eastAsia="宋体" w:hint="ascii"/>
          <w:sz w:val="21"/>
        </w:rPr>
        <w:t>免疫分子的遗传多态性，免疫应答的表观遗传调控，免疫相关疾</w:t>
      </w:r>
      <w:r>
        <w:rPr>
          <w:rFonts w:ascii="宋体" w:hAnsi="宋体" w:cs="宋体" w:eastAsia="宋体" w:hint="ascii"/>
          <w:sz w:val="21"/>
          <w:spacing w:val="-6"/>
        </w:rPr>
        <w:t>病</w:t>
      </w:r>
      <w:r>
        <w:rPr>
          <w:rFonts w:ascii="宋体" w:hAnsi="宋体" w:cs="宋体" w:eastAsia="宋体" w:hint="ascii"/>
          <w:sz w:val="21"/>
          <w:spacing w:val="3"/>
        </w:rPr>
        <w:t>的</w:t>
      </w:r>
      <w:r>
        <w:rPr>
          <w:rFonts w:ascii="宋体" w:hAnsi="宋体" w:cs="宋体" w:eastAsia="宋体" w:hint="ascii"/>
          <w:sz w:val="21"/>
          <w:spacing w:val="2"/>
        </w:rPr>
        <w:t>遗传学基</w:t>
      </w:r>
      <w:r>
        <w:rPr>
          <w:rFonts w:ascii="宋体" w:hAnsi="宋体" w:cs="宋体" w:eastAsia="宋体" w:hint="ascii"/>
          <w:sz w:val="21"/>
          <w:spacing w:val="3"/>
        </w:rPr>
        <w:t>础</w:t>
      </w:r>
      <w:r>
        <w:rPr>
          <w:rFonts w:ascii="宋体" w:hAnsi="宋体" w:cs="宋体" w:eastAsia="宋体" w:hint="ascii"/>
          <w:sz w:val="21"/>
          <w:spacing w:val="2"/>
        </w:rPr>
        <w:t>，进化与</w:t>
      </w:r>
      <w:r>
        <w:rPr>
          <w:rFonts w:ascii="宋体" w:hAnsi="宋体" w:cs="宋体" w:eastAsia="宋体" w:hint="ascii"/>
          <w:sz w:val="21"/>
          <w:spacing w:val="3"/>
        </w:rPr>
        <w:t>比</w:t>
      </w:r>
      <w:r>
        <w:rPr>
          <w:rFonts w:ascii="宋体" w:hAnsi="宋体" w:cs="宋体" w:eastAsia="宋体" w:hint="ascii"/>
          <w:sz w:val="21"/>
          <w:spacing w:val="2"/>
        </w:rPr>
        <w:t>较免疫</w:t>
      </w:r>
      <w:r>
        <w:rPr>
          <w:rFonts w:ascii="宋体" w:hAnsi="宋体" w:cs="宋体" w:eastAsia="宋体" w:hint="ascii"/>
          <w:sz w:val="21"/>
          <w:spacing w:val="1"/>
        </w:rPr>
        <w:t>学</w:t>
      </w:r>
      <w:r>
        <w:rPr>
          <w:rFonts w:ascii="宋体" w:hAnsi="宋体" w:cs="宋体" w:eastAsia="宋体" w:hint="ascii"/>
          <w:sz w:val="21"/>
          <w:spacing w:val="2"/>
        </w:rPr>
        <w:t>；</w:t>
      </w:r>
      <w:r>
        <w:rPr>
          <w:rFonts w:ascii="宋体" w:hAnsi="宋体" w:cs="宋体" w:eastAsia="宋体" w:hint="ascii"/>
          <w:sz w:val="21"/>
          <w:spacing w:val="1"/>
        </w:rPr>
        <w:t>⑦</w:t>
      </w:r>
      <w:r>
        <w:rPr>
          <w:rFonts w:ascii="宋体" w:hAnsi="宋体" w:cs="宋体" w:eastAsia="宋体" w:hint="ascii"/>
          <w:sz w:val="21"/>
          <w:spacing w:val="2"/>
        </w:rPr>
        <w:t>母</w:t>
      </w:r>
      <w:r>
        <w:rPr>
          <w:rFonts w:ascii="宋体" w:hAnsi="宋体" w:cs="宋体" w:eastAsia="宋体" w:hint="ascii"/>
          <w:sz w:val="21"/>
          <w:spacing w:val="5"/>
        </w:rPr>
        <w:t>-</w:t>
      </w:r>
      <w:r>
        <w:rPr>
          <w:rFonts w:ascii="宋体" w:hAnsi="宋体" w:cs="宋体" w:eastAsia="宋体" w:hint="ascii"/>
          <w:sz w:val="21"/>
          <w:spacing w:val="1"/>
        </w:rPr>
        <w:t>胎免</w:t>
      </w:r>
      <w:r>
        <w:rPr>
          <w:rFonts w:ascii="宋体" w:hAnsi="宋体" w:cs="宋体" w:eastAsia="宋体" w:hint="ascii"/>
          <w:sz w:val="21"/>
          <w:spacing w:val="2"/>
        </w:rPr>
        <w:t>疫</w:t>
      </w:r>
      <w:r>
        <w:rPr>
          <w:rFonts w:ascii="宋体" w:hAnsi="宋体" w:cs="宋体" w:eastAsia="宋体" w:hint="ascii"/>
          <w:sz w:val="21"/>
          <w:spacing w:val="1"/>
        </w:rPr>
        <w:t>与耐受机</w:t>
      </w:r>
      <w:r>
        <w:rPr>
          <w:rFonts w:ascii="宋体" w:hAnsi="宋体" w:cs="宋体" w:eastAsia="宋体" w:hint="ascii"/>
          <w:sz w:val="21"/>
          <w:spacing w:val="2"/>
        </w:rPr>
        <w:t>制</w:t>
      </w:r>
      <w:r>
        <w:rPr>
          <w:rFonts w:ascii="宋体" w:hAnsi="宋体" w:cs="宋体" w:eastAsia="宋体" w:hint="ascii"/>
          <w:sz w:val="21"/>
          <w:spacing w:val="1"/>
        </w:rPr>
        <w:t>，生育的</w:t>
      </w:r>
      <w:r>
        <w:rPr>
          <w:rFonts w:ascii="宋体" w:hAnsi="宋体" w:cs="宋体" w:eastAsia="宋体" w:hint="ascii"/>
          <w:sz w:val="21"/>
          <w:spacing w:val="2"/>
        </w:rPr>
        <w:t>免</w:t>
      </w:r>
      <w:r>
        <w:rPr>
          <w:rFonts w:ascii="宋体" w:hAnsi="宋体" w:cs="宋体" w:eastAsia="宋体" w:hint="ascii"/>
          <w:sz w:val="21"/>
          <w:spacing w:val="1"/>
        </w:rPr>
        <w:t>疫调</w:t>
      </w:r>
      <w:r>
        <w:rPr>
          <w:rFonts w:ascii="宋体" w:hAnsi="宋体" w:cs="宋体" w:eastAsia="宋体" w:hint="ascii"/>
          <w:sz w:val="21"/>
          <w:spacing w:val="2"/>
        </w:rPr>
        <w:t>节与</w:t>
      </w:r>
      <w:r>
        <w:rPr>
          <w:rFonts w:ascii="宋体" w:hAnsi="宋体" w:cs="宋体" w:eastAsia="宋体" w:hint="ascii"/>
          <w:sz w:val="21"/>
          <w:spacing w:val="-6"/>
        </w:rPr>
        <w:t>干</w:t>
      </w:r>
      <w:r>
        <w:rPr>
          <w:rFonts w:ascii="宋体" w:hAnsi="宋体" w:cs="宋体" w:eastAsia="宋体" w:hint="ascii"/>
          <w:sz w:val="21"/>
          <w:spacing w:val="1"/>
        </w:rPr>
        <w:t>预，生殖内分泌与免</w:t>
      </w:r>
      <w:r>
        <w:rPr>
          <w:rFonts w:ascii="宋体" w:hAnsi="宋体" w:cs="宋体" w:eastAsia="宋体" w:hint="ascii"/>
          <w:sz w:val="21"/>
        </w:rPr>
        <w:t>疫系统的相互调节机制；⑧黏膜免疫的分子与细胞作用机制以</w:t>
      </w:r>
      <w:r>
        <w:rPr>
          <w:rFonts w:ascii="宋体" w:hAnsi="宋体" w:cs="宋体" w:eastAsia="宋体" w:hint="ascii"/>
          <w:sz w:val="21"/>
          <w:spacing w:val="-6"/>
        </w:rPr>
        <w:t>及</w:t>
      </w:r>
      <w:r>
        <w:rPr>
          <w:rFonts w:ascii="宋体" w:hAnsi="宋体" w:cs="宋体" w:eastAsia="宋体" w:hint="ascii"/>
          <w:sz w:val="21"/>
          <w:spacing w:val="1"/>
        </w:rPr>
        <w:t>组织器官的局部</w:t>
      </w:r>
      <w:r>
        <w:rPr>
          <w:rFonts w:ascii="宋体" w:hAnsi="宋体" w:cs="宋体" w:eastAsia="宋体" w:hint="ascii"/>
          <w:sz w:val="21"/>
        </w:rPr>
        <w:t>免疫特性及调控机制；⑨疫苗的设计、构建、优化与保护性机制，</w:t>
      </w:r>
      <w:r>
        <w:rPr>
          <w:rFonts w:ascii="宋体" w:hAnsi="宋体" w:cs="宋体" w:eastAsia="宋体" w:hint="ascii"/>
          <w:sz w:val="21"/>
          <w:spacing w:val="-6"/>
        </w:rPr>
        <w:t>疫</w:t>
      </w:r>
      <w:r>
        <w:rPr>
          <w:rFonts w:ascii="宋体" w:hAnsi="宋体" w:cs="宋体" w:eastAsia="宋体" w:hint="ascii"/>
          <w:sz w:val="21"/>
          <w:spacing w:val="4"/>
        </w:rPr>
        <w:t>苗佐剂的研制与作用</w:t>
      </w:r>
      <w:r>
        <w:rPr>
          <w:rFonts w:ascii="宋体" w:hAnsi="宋体" w:cs="宋体" w:eastAsia="宋体" w:hint="ascii"/>
          <w:sz w:val="21"/>
          <w:spacing w:val="3"/>
        </w:rPr>
        <w:t>机制，疫苗的递送系统及效应和机制研究；⑩抗体的结构与</w:t>
      </w:r>
      <w:r>
        <w:rPr>
          <w:rFonts w:ascii="宋体" w:hAnsi="宋体" w:cs="宋体" w:eastAsia="宋体" w:hint="ascii"/>
          <w:sz w:val="21"/>
          <w:spacing w:val="-6"/>
        </w:rPr>
        <w:t>功</w:t>
      </w:r>
      <w:r>
        <w:rPr>
          <w:rFonts w:ascii="宋体" w:hAnsi="宋体" w:cs="宋体" w:eastAsia="宋体" w:hint="ascii"/>
          <w:sz w:val="21"/>
        </w:rPr>
        <w:t>能，抗体的设计、筛选与优化，抗体的重组与改型；</w:t>
      </w:r>
      <w:r>
        <w:rPr>
          <w:rFonts w:ascii="宋体" w:hAnsi="宋体" w:cs="宋体" w:eastAsia="宋体" w:hint="ascii"/>
          <w:sz w:val="21"/>
          <w:spacing w:val="75"/>
        </w:rPr>
        <w:t xml:space="preserve"> </w:t>
      </w:r>
      <w:r>
        <w:rPr>
          <w:rFonts w:ascii="宋体" w:hAnsi="宋体" w:cs="宋体" w:eastAsia="宋体" w:hint="ascii"/>
          <w:sz w:val="21"/>
        </w:rPr>
        <w:t>免疫学新技术、新方法和新型研究体系。</w:t>
      </w:r>
      <w:r>
        <w:rPr>
          <w:rFonts w:ascii="宋体" w:hAnsi="宋体" w:cs="宋体" w:eastAsia="宋体" w:hint="ascii"/>
          <w:sz w:val="21"/>
        </w:rPr>
        <mc:AlternateContent>
          <mc:Choice Requires="wps">
            <w:drawing>
              <wp:anchor distL="0" distR="0" distT="0" distB="0" simplePos="0" behindDoc="0" relativeHeight="297" locked="0" layoutInCell="1" allowOverlap="1">
                <wp:simplePos x="0" y="0"/>
                <wp:positionH relativeFrom="page">
                  <wp:posOffset>4070350</wp:posOffset>
                </wp:positionH>
                <wp:positionV relativeFrom="page">
                  <wp:posOffset>5726430</wp:posOffset>
                </wp:positionV>
                <wp:extent cx="160020" cy="744220"/>
                <wp:wrapNone/>
                <wp:docPr id="1112" name="1112"/>
                <wp:cNvGraphicFramePr/>
                <a:graphic>
                  <a:graphicData uri="http://schemas.microsoft.com/office/word/2010/wordprocessingShape">
                    <wps:wsp>
                      <wps:cNvSpPr txBox="1"/>
                      <wps:spPr>
                        <a:xfrm>
                          <a:off x="0" y="0"/>
                          <a:ext cx="160020" cy="74422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mbria Math" w:hAnsi="Cambria Math" w:cs="Cambria Math" w:eastAsia="Cambria Math" w:hint="ascii"/>
                                <w:sz w:val="21"/>
                              </w:rPr>
                            </w:pPr>
                            <w:r>
                              <w:rPr>
                                <w:rFonts w:ascii="Cambria Math" w:hAnsi="Cambria Math" w:cs="Cambria Math" w:eastAsia="Cambria Math" w:hint="ascii"/>
                                <w:sz w:val="21"/>
                              </w:rPr>
                              <w:t>⑪</w:t>
                            </w:r>
                          </w:p>
                        </w:txbxContent>
                      </wps:txbx>
                      <wps:bodyPr vert="horz" wrap="square" lIns="0" tIns="0" rIns="0" bIns="0" anchor="t">
                        <a:noAutofit/>
                      </wps:bodyPr>
                    </wps:wsp>
                  </a:graphicData>
                </a:graphic>
              </wp:anchor>
            </w:drawing>
          </mc:Choice>
          <mc:Fallback>
            <w:pict>
              <v:shapetype id="_x0000_t202" o:spt="202" path="m,l,1172r252,l252,xe"/>
              <v:shape type="_x0000_t202" style="position:absolute;mso-position-horizontal:absolute;mso-position-horizontal-relative:page;margin-left:320.50pt;mso-position-vertical:absolute;mso-position-vertical-relative:page;margin-top:450.90pt;z-index:251962368;width:12.60pt;height:58.60pt;" id="1112" coordsize="252,1172"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mbria Math" w:hAnsi="Cambria Math" w:cs="Cambria Math" w:eastAsia="Cambria Math" w:hint="ascii"/>
                          <w:sz w:val="21"/>
                        </w:rPr>
                      </w:pPr>
                      <w:r>
                        <w:rPr>
                          <w:rFonts w:ascii="Cambria Math" w:hAnsi="Cambria Math" w:cs="Cambria Math" w:eastAsia="Cambria Math" w:hint="ascii"/>
                          <w:sz w:val="21"/>
                        </w:rPr>
                        <w:t>⑪</w:t>
                      </w:r>
                    </w:p>
                  </w:txbxContent>
                </v:textbox>
              </v:shape>
            </w:pict>
          </mc:Fallback>
        </mc:AlternateContent>
      </w:r>
    </w:p>
    <w:p>
      <w:pPr>
        <w:autoSpaceDE w:val="0"/>
        <w:autoSpaceDN w:val="0"/>
        <w:jc w:val="left"/>
        <w:spacing w:before="3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w:t>
      </w:r>
      <w:r>
        <w:rPr>
          <w:rFonts w:ascii="宋体" w:hAnsi="宋体" w:cs="宋体" w:eastAsia="宋体" w:hint="ascii"/>
          <w:sz w:val="21"/>
          <w:spacing w:val="-24"/>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年度项目申请来看，申请项目的学科覆盖面进一步扩宽，研究水平明显提</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高：大部分</w:t>
      </w:r>
      <w:r>
        <w:rPr>
          <w:rFonts w:ascii="宋体" w:hAnsi="宋体" w:cs="宋体" w:eastAsia="宋体" w:hint="ascii"/>
          <w:sz w:val="21"/>
        </w:rPr>
        <w:t>项目有较好的研究基础；一些申请项目分析了实验技术路线失败的可能性并</w:t>
      </w:r>
      <w:r>
        <w:rPr>
          <w:rFonts w:ascii="宋体" w:hAnsi="宋体" w:cs="宋体" w:eastAsia="宋体" w:hint="ascii"/>
          <w:sz w:val="21"/>
          <w:spacing w:val="-1"/>
        </w:rPr>
        <w:t>提出了替代</w:t>
      </w:r>
      <w:r>
        <w:rPr>
          <w:rFonts w:ascii="宋体" w:hAnsi="宋体" w:cs="宋体" w:eastAsia="宋体" w:hint="ascii"/>
          <w:sz w:val="21"/>
        </w:rPr>
        <w:t>解决方案；部分申请项目能提出创新性科学假说并开展系统性研究。但仍然</w:t>
      </w:r>
      <w:r>
        <w:rPr>
          <w:rFonts w:ascii="宋体" w:hAnsi="宋体" w:cs="宋体" w:eastAsia="宋体" w:hint="ascii"/>
          <w:sz w:val="21"/>
          <w:spacing w:val="-1"/>
        </w:rPr>
        <w:t>存在一定不</w:t>
      </w:r>
      <w:r>
        <w:rPr>
          <w:rFonts w:ascii="宋体" w:hAnsi="宋体" w:cs="宋体" w:eastAsia="宋体" w:hint="ascii"/>
          <w:sz w:val="21"/>
        </w:rPr>
        <w:t>足，如坚持在同一个研究方向上形成特色研究的较少，缺乏实质性的学科交叉研究等。</w:t>
      </w:r>
    </w:p>
    <w:p>
      <w:pPr>
        <w:autoSpaceDE w:val="0"/>
        <w:autoSpaceDN w:val="0"/>
        <w:jc w:val="left"/>
        <w:spacing w:before="40" w:after="0" w:lineRule="auto" w:line="240"/>
        <w:ind w:right="0" w:left="1394"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2"/>
        </w:rPr>
        <w:t>20</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年度免疫学科鼓励具有原创学术思想的项目申请；鼓励申请人从前期研究和</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实践中凝练科学问题</w:t>
      </w:r>
      <w:r>
        <w:rPr>
          <w:rFonts w:ascii="宋体" w:hAnsi="宋体" w:cs="宋体" w:eastAsia="宋体" w:hint="ascii"/>
          <w:sz w:val="21"/>
        </w:rPr>
        <w:t>，围绕具体科学目标进行深入的机制探讨；鼓励建立有特色的</w:t>
      </w:r>
      <w:r>
        <w:rPr>
          <w:rFonts w:ascii="宋体" w:hAnsi="宋体" w:cs="宋体" w:eastAsia="宋体" w:hint="ascii"/>
          <w:sz w:val="21"/>
          <w:spacing w:val="-6"/>
        </w:rPr>
        <w:t>研</w:t>
      </w:r>
      <w:r>
        <w:rPr>
          <w:rFonts w:ascii="宋体" w:hAnsi="宋体" w:cs="宋体" w:eastAsia="宋体" w:hint="ascii"/>
          <w:sz w:val="21"/>
          <w:spacing w:val="1"/>
        </w:rPr>
        <w:t>究体系和技术平</w:t>
      </w:r>
      <w:r>
        <w:rPr>
          <w:rFonts w:ascii="宋体" w:hAnsi="宋体" w:cs="宋体" w:eastAsia="宋体" w:hint="ascii"/>
          <w:sz w:val="21"/>
        </w:rPr>
        <w:t>台，重视免疫学研究中各种新方法和新技术的建立和应用；鼓励开</w:t>
      </w:r>
      <w:r>
        <w:rPr>
          <w:rFonts w:ascii="宋体" w:hAnsi="宋体" w:cs="宋体" w:eastAsia="宋体" w:hint="ascii"/>
          <w:sz w:val="21"/>
          <w:spacing w:val="-6"/>
        </w:rPr>
        <w:t>展</w:t>
      </w:r>
      <w:r>
        <w:rPr>
          <w:rFonts w:ascii="宋体" w:hAnsi="宋体" w:cs="宋体" w:eastAsia="宋体" w:hint="ascii"/>
          <w:sz w:val="21"/>
          <w:spacing w:val="4"/>
        </w:rPr>
        <w:t>系统免疫学、免疫组</w:t>
      </w:r>
      <w:r>
        <w:rPr>
          <w:rFonts w:ascii="宋体" w:hAnsi="宋体" w:cs="宋体" w:eastAsia="宋体" w:hint="ascii"/>
          <w:sz w:val="21"/>
          <w:spacing w:val="3"/>
        </w:rPr>
        <w:t>学和计算免疫学等前沿研究；鼓励与其他学科的实质性交叉</w:t>
      </w:r>
      <w:r>
        <w:rPr>
          <w:rFonts w:ascii="宋体" w:hAnsi="宋体" w:cs="宋体" w:eastAsia="宋体" w:hint="ascii"/>
          <w:sz w:val="21"/>
          <w:spacing w:val="-6"/>
        </w:rPr>
        <w:t>研</w:t>
      </w:r>
      <w:r>
        <w:rPr>
          <w:rFonts w:ascii="宋体" w:hAnsi="宋体" w:cs="宋体" w:eastAsia="宋体" w:hint="ascii"/>
          <w:sz w:val="21"/>
          <w:spacing w:val="1"/>
        </w:rPr>
        <w:t>究；鼓励开展与免疫</w:t>
      </w:r>
      <w:r>
        <w:rPr>
          <w:rFonts w:ascii="宋体" w:hAnsi="宋体" w:cs="宋体" w:eastAsia="宋体" w:hint="ascii"/>
          <w:sz w:val="21"/>
        </w:rPr>
        <w:t>系统的结构和功能异常相关的研究，支持从临床问题出发的生</w:t>
      </w:r>
      <w:r>
        <w:rPr>
          <w:rFonts w:ascii="宋体" w:hAnsi="宋体" w:cs="宋体" w:eastAsia="宋体" w:hint="ascii"/>
          <w:sz w:val="21"/>
          <w:spacing w:val="-6"/>
        </w:rPr>
        <w:t>物</w:t>
      </w:r>
      <w:r>
        <w:rPr>
          <w:rFonts w:ascii="宋体" w:hAnsi="宋体" w:cs="宋体" w:eastAsia="宋体" w:hint="ascii"/>
          <w:sz w:val="21"/>
        </w:rPr>
        <w:t>医学研究。</w:t>
      </w:r>
    </w:p>
    <w:p>
      <w:pPr>
        <w:autoSpaceDE w:val="0"/>
        <w:autoSpaceDN w:val="0"/>
        <w:jc w:val="left"/>
        <w:spacing w:before="42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生物力学与组织工程学学科</w:t>
      </w:r>
      <w:r>
        <w:rPr>
          <w:rFonts w:ascii="宋体" w:hAnsi="宋体" w:cs="宋体" w:eastAsia="宋体" w:hint="ascii"/>
        </w:rPr>
        <mc:AlternateContent>
          <mc:Choice Requires="wps">
            <w:drawing>
              <wp:anchor distL="0" distR="0" distT="0" distB="0" simplePos="0" behindDoc="1" relativeHeight="85" locked="0" layoutInCell="1" allowOverlap="1">
                <wp:simplePos x="0" y="0"/>
                <wp:positionH relativeFrom="page">
                  <wp:posOffset>938530</wp:posOffset>
                </wp:positionH>
                <wp:positionV relativeFrom="page">
                  <wp:posOffset>819150</wp:posOffset>
                </wp:positionV>
                <wp:extent cx="5076190" cy="0"/>
                <wp:wrapNone/>
                <wp:docPr id="1113" name="111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71200;width:399.70pt;" id="111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生物力学与组织工程学学科是生命科学与其他领域交叉的学科，资助范围包括：生</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物力学与生物</w:t>
      </w:r>
      <w:r>
        <w:rPr>
          <w:rFonts w:ascii="宋体" w:hAnsi="宋体" w:cs="宋体" w:eastAsia="宋体" w:hint="ascii"/>
          <w:sz w:val="21"/>
        </w:rPr>
        <w:t>流变学、生物材料、组织工程学、生物图像与生物电子学、仿生学和纳米生物学。</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生物力学与生物流变学领域主要涉及：分子</w:t>
      </w:r>
      <w:r>
        <w:rPr>
          <w:rFonts w:ascii="宋体" w:hAnsi="宋体" w:cs="宋体" w:eastAsia="宋体" w:hint="ascii"/>
          <w:sz w:val="21"/>
        </w:rPr>
        <w:t>-</w:t>
      </w:r>
      <w:r>
        <w:rPr>
          <w:rFonts w:ascii="宋体" w:hAnsi="宋体" w:cs="宋体" w:eastAsia="宋体" w:hint="ascii"/>
          <w:sz w:val="21"/>
        </w:rPr>
        <w:t>细胞层次的力学</w:t>
      </w:r>
      <w:r>
        <w:rPr>
          <w:rFonts w:ascii="宋体" w:hAnsi="宋体" w:cs="宋体" w:eastAsia="宋体" w:hint="ascii"/>
          <w:sz w:val="21"/>
        </w:rPr>
        <w:t>-</w:t>
      </w:r>
      <w:r>
        <w:rPr>
          <w:rFonts w:ascii="宋体" w:hAnsi="宋体" w:cs="宋体" w:eastAsia="宋体" w:hint="ascii"/>
          <w:sz w:val="21"/>
        </w:rPr>
        <w:t>生物学与力学</w:t>
      </w:r>
      <w:r>
        <w:rPr>
          <w:rFonts w:ascii="宋体" w:hAnsi="宋体" w:cs="宋体" w:eastAsia="宋体" w:hint="ascii"/>
          <w:sz w:val="21"/>
        </w:rPr>
        <w:t>-</w:t>
      </w:r>
      <w:r>
        <w:rPr>
          <w:rFonts w:ascii="宋体" w:hAnsi="宋体" w:cs="宋体" w:eastAsia="宋体" w:hint="ascii"/>
          <w:sz w:val="21"/>
        </w:rPr>
        <w:t>化学</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耦合、组织</w:t>
      </w:r>
      <w:r>
        <w:rPr>
          <w:rFonts w:ascii="宋体" w:hAnsi="宋体" w:cs="宋体" w:eastAsia="宋体" w:hint="ascii"/>
          <w:sz w:val="21"/>
        </w:rPr>
        <w:t>-</w:t>
      </w:r>
      <w:r>
        <w:rPr>
          <w:rFonts w:ascii="宋体" w:hAnsi="宋体" w:cs="宋体" w:eastAsia="宋体" w:hint="ascii"/>
          <w:sz w:val="21"/>
        </w:rPr>
        <w:t>器官</w:t>
      </w:r>
      <w:r>
        <w:rPr>
          <w:rFonts w:ascii="宋体" w:hAnsi="宋体" w:cs="宋体" w:eastAsia="宋体" w:hint="ascii"/>
          <w:sz w:val="21"/>
        </w:rPr>
        <w:t>-</w:t>
      </w:r>
      <w:r>
        <w:rPr>
          <w:rFonts w:ascii="宋体" w:hAnsi="宋体" w:cs="宋体" w:eastAsia="宋体" w:hint="ascii"/>
          <w:sz w:val="21"/>
        </w:rPr>
        <w:t>系统等方面力学及流变学特性与机制、生物力学及生物流变学仿真与建模、生物材料力学等。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生物材料领域主要涉及再生医学和组织工程生物材料，植入、介入性和人工器官生</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物材料，药物</w:t>
      </w:r>
      <w:r>
        <w:rPr>
          <w:rFonts w:ascii="宋体" w:hAnsi="宋体" w:cs="宋体" w:eastAsia="宋体" w:hint="ascii"/>
          <w:sz w:val="21"/>
        </w:rPr>
        <w:t>、基因载体生物材料，生物材料的表界面及其生物效应，生物材料的生物相容性和安全性等。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组织工程学领域主要涉及人体正常组织与器官的再生与构建，肿瘤等异常增生组织</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体外模型系统研究，以及与生物反应器、生物制造、微组织</w:t>
      </w:r>
      <w:r>
        <w:rPr>
          <w:rFonts w:ascii="Times New Roman" w:hAnsi="Times New Roman" w:cs="Times New Roman" w:eastAsia="Times New Roman" w:hint="ascii"/>
          <w:sz w:val="21"/>
        </w:rPr>
        <w:t>/</w:t>
      </w:r>
      <w:r>
        <w:rPr>
          <w:rFonts w:ascii="宋体" w:hAnsi="宋体" w:cs="宋体" w:eastAsia="宋体" w:hint="ascii"/>
          <w:sz w:val="21"/>
        </w:rPr>
        <w:t>器官构建新体系等组织工程研究的新技术与新方法。</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生物图像与生</w:t>
      </w:r>
      <w:r>
        <w:rPr>
          <w:rFonts w:ascii="宋体" w:hAnsi="宋体" w:cs="宋体" w:eastAsia="宋体" w:hint="ascii"/>
          <w:sz w:val="21"/>
        </w:rPr>
        <w:t>物电子学领域主要涉及生物医学信号检测与分析、生物医学成像与图像分析、生物医学传感与分析、微纳芯片、生物医学检测的器件及系统等。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仿生学领域主要涉及生物体组织</w:t>
      </w:r>
      <w:r>
        <w:rPr>
          <w:rFonts w:ascii="Times New Roman" w:hAnsi="Times New Roman" w:cs="Times New Roman" w:eastAsia="Times New Roman" w:hint="ascii"/>
          <w:sz w:val="21"/>
        </w:rPr>
        <w:t>/</w:t>
      </w:r>
      <w:r>
        <w:rPr>
          <w:rFonts w:ascii="宋体" w:hAnsi="宋体" w:cs="宋体" w:eastAsia="宋体" w:hint="ascii"/>
          <w:sz w:val="21"/>
        </w:rPr>
        <w:t>器官及其相关生物材料的结构仿生、化学组成仿</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生与功能仿生，以及其仿生制备技术、方法与原理；生物体组织</w:t>
      </w:r>
      <w:r>
        <w:rPr>
          <w:rFonts w:ascii="Times New Roman" w:hAnsi="Times New Roman" w:cs="Times New Roman" w:eastAsia="Times New Roman" w:hint="ascii"/>
          <w:sz w:val="21"/>
        </w:rPr>
        <w:t>/</w:t>
      </w:r>
      <w:r>
        <w:rPr>
          <w:rFonts w:ascii="宋体" w:hAnsi="宋体" w:cs="宋体" w:eastAsia="宋体" w:hint="ascii"/>
          <w:sz w:val="21"/>
        </w:rPr>
        <w:t>器官相关的仿生器件与系统等。</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纳米生物学领</w:t>
      </w:r>
      <w:r>
        <w:rPr>
          <w:rFonts w:ascii="宋体" w:hAnsi="宋体" w:cs="宋体" w:eastAsia="宋体" w:hint="ascii"/>
          <w:sz w:val="21"/>
        </w:rPr>
        <w:t>域主要涉及纳米生物检测、纳米载体与递送、纳米生物效应、纳米生物安全性等。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从近几年的申请项目来看，上述各个分支学科发展不够平衡。在生物力学与生物流</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变学领域，</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年度的申请项目仍然集中在细胞与分子生物力学、骨关节与运动生物力学和心血管组织生物力学，其他组织器官的生物力学申请项目偏少；生物材料领域是相对成熟的分支领域，</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年度的申请仍然集中在植入、介入性生物材料、基因、药</w:t>
      </w:r>
      <w:r>
        <w:rPr>
          <w:rFonts w:ascii="宋体" w:hAnsi="宋体" w:cs="宋体" w:eastAsia="宋体" w:hint="ascii"/>
          <w:sz w:val="21"/>
          <w:spacing w:val="-1"/>
        </w:rPr>
        <w:t>物载体生物材料、材料表界面、生物相容性、安全性等</w:t>
      </w:r>
      <w:r>
        <w:rPr>
          <w:rFonts w:ascii="宋体" w:hAnsi="宋体" w:cs="宋体" w:eastAsia="宋体" w:hint="ascii"/>
          <w:sz w:val="21"/>
        </w:rPr>
        <w:t>方面；在组织工程学领域，</w:t>
      </w:r>
      <w:r>
        <w:rPr>
          <w:rFonts w:ascii="Times New Roman" w:hAnsi="Times New Roman" w:cs="Times New Roman" w:eastAsia="Times New Roman" w:hint="ascii"/>
          <w:sz w:val="21"/>
        </w:rPr>
        <w:t xml:space="preserve">2017 </w:t>
      </w:r>
      <w:r>
        <w:rPr>
          <w:rFonts w:ascii="宋体" w:hAnsi="宋体" w:cs="宋体" w:eastAsia="宋体" w:hint="ascii"/>
          <w:sz w:val="21"/>
        </w:rPr>
        <w:t>年度的申请项目集中在骨和软骨组织工程、神经组织工程、口腔组织工程、干细胞移植与组织再生，而其他重要生命器官组织工程以及组织工程研究的新技术与新方法申请项目偏少；在生物图像与生物电子学领域，总体看申请项目偏少；在纳米生物学领域，纳米生物检测及纳米生物安全性评价申请项目较少；另外，仿生学领域申请项目仍然很少</w:t>
      </w:r>
    </w:p>
    <w:p>
      <w:pPr>
        <w:autoSpaceDE w:val="0"/>
        <w:autoSpaceDN w:val="0"/>
        <w:jc w:val="left"/>
        <w:spacing w:before="40"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 xml:space="preserve">（不足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3"/>
        </w:rPr>
        <w:t>0</w:t>
      </w:r>
      <w:r>
        <w:rPr>
          <w:rFonts w:ascii="宋体" w:hAnsi="宋体" w:cs="宋体" w:eastAsia="宋体" w:hint="ascii"/>
          <w:sz w:val="21"/>
        </w:rPr>
        <w:t>项</w:t>
      </w:r>
      <w:r>
        <w:rPr>
          <w:rFonts w:ascii="宋体" w:hAnsi="宋体" w:cs="宋体" w:eastAsia="宋体" w:hint="ascii"/>
          <w:sz w:val="21"/>
          <w:spacing w:val="-52"/>
        </w:rPr>
        <w:t>）</w:t>
      </w:r>
      <w:r>
        <w:rPr>
          <w:rFonts w:ascii="宋体" w:hAnsi="宋体" w:cs="宋体" w:eastAsia="宋体" w:hint="ascii"/>
          <w:sz w:val="21"/>
        </w:rPr>
        <w:t>。从获资助的项目水平上看，大部分项目具有较好的研究基础，并提出了</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明确的科学问</w:t>
      </w:r>
      <w:r>
        <w:rPr>
          <w:rFonts w:ascii="宋体" w:hAnsi="宋体" w:cs="宋体" w:eastAsia="宋体" w:hint="ascii"/>
          <w:sz w:val="21"/>
        </w:rPr>
        <w:t>题，但是仍存在以下问题：原始创新性不足，缺乏不同分支学科间的实质性交叉合作，沿着同一研究方向以应用为导向的长期持续深入的基础研究较少。</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年度本学科将继续鼓励科学家在生物力学与生物流变学、生物材料、组织工</w:t>
      </w:r>
    </w:p>
    <w:p>
      <w:pPr>
        <w:autoSpaceDE w:val="0"/>
        <w:autoSpaceDN w:val="0"/>
        <w:jc w:val="left"/>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程学、生物图像与生物电子学、仿生学和纳米生物学领域间开展系统、多学科交叉的基础研究。尤其鼓励并扶持在组织与器官（特别是骨与心血管组织之外的组织与器官）生物力学领域，开展基础与实际应用相结合的基础研究；鼓励对具有临床应用价值的生物材料与机体相互作用机制开展深入探讨；鼓励针对重要组织</w:t>
      </w:r>
      <w:r>
        <w:rPr>
          <w:rFonts w:ascii="Times New Roman" w:hAnsi="Times New Roman" w:cs="Times New Roman" w:eastAsia="Times New Roman" w:hint="ascii"/>
          <w:sz w:val="21"/>
        </w:rPr>
        <w:t>/</w:t>
      </w:r>
      <w:r>
        <w:rPr>
          <w:rFonts w:ascii="宋体" w:hAnsi="宋体" w:cs="宋体" w:eastAsia="宋体" w:hint="ascii"/>
          <w:sz w:val="21"/>
        </w:rPr>
        <w:t>器官工程化构建与转化过程中的关键科学问题开展长期、系统、深入的研究，继续扶持组织工程新技术、新方法</w:t>
      </w:r>
    </w:p>
    <w:p>
      <w:pPr>
        <w:autoSpaceDE w:val="0"/>
        <w:autoSpaceDN w:val="0"/>
        <w:jc w:val="left"/>
        <w:spacing w:before="27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以及利用组</w:t>
      </w:r>
      <w:r>
        <w:rPr>
          <w:rFonts w:ascii="宋体" w:hAnsi="宋体" w:cs="宋体" w:eastAsia="宋体" w:hint="ascii"/>
          <w:sz w:val="21"/>
        </w:rPr>
        <w:t>织工程学原理和技术探索疾病发病机制及治疗的研究；继续鼓励生物医学图</w:t>
      </w:r>
      <w:r>
        <w:rPr>
          <w:rFonts w:ascii="宋体" w:hAnsi="宋体" w:cs="宋体" w:eastAsia="宋体" w:hint="ascii"/>
          <w:sz w:val="21"/>
          <w:spacing w:val="-1"/>
        </w:rPr>
        <w:t>像与生物电</w:t>
      </w:r>
      <w:r>
        <w:rPr>
          <w:rFonts w:ascii="宋体" w:hAnsi="宋体" w:cs="宋体" w:eastAsia="宋体" w:hint="ascii"/>
          <w:sz w:val="21"/>
        </w:rPr>
        <w:t>子学、与生物医学系统研究相关的仿生学，以及纳米生物检测、纳米生物效应及安全性评价方面的项目申请。</w:t>
      </w:r>
      <w:r>
        <w:rPr>
          <w:rFonts w:ascii="宋体" w:hAnsi="宋体" w:cs="宋体" w:eastAsia="宋体" w:hint="ascii"/>
          <w:sz w:val="21"/>
        </w:rPr>
        <mc:AlternateContent>
          <mc:Choice Requires="wps">
            <w:drawing>
              <wp:anchor distL="0" distR="0" distT="0" distB="0" simplePos="0" behindDoc="1" relativeHeight="86" locked="0" layoutInCell="1" allowOverlap="1">
                <wp:simplePos x="0" y="0"/>
                <wp:positionH relativeFrom="page">
                  <wp:posOffset>938530</wp:posOffset>
                </wp:positionH>
                <wp:positionV relativeFrom="page">
                  <wp:posOffset>805815</wp:posOffset>
                </wp:positionV>
                <wp:extent cx="5076190" cy="0"/>
                <wp:wrapNone/>
                <wp:docPr id="1114" name="111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70176;width:399.70pt;" id="111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7"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特别提醒申</w:t>
      </w:r>
      <w:r>
        <w:rPr>
          <w:rFonts w:ascii="宋体" w:hAnsi="宋体" w:cs="宋体" w:eastAsia="宋体" w:hint="ascii"/>
          <w:sz w:val="21"/>
        </w:rPr>
        <w:t>请人注意：非生物学医学用途的生物材料以及非生物学医学用途的仿生学研究不在本学科受理范围</w:t>
      </w:r>
      <w:r>
        <w:rPr>
          <w:rFonts w:ascii="宋体" w:hAnsi="宋体" w:cs="宋体" w:eastAsia="宋体" w:hint="ascii"/>
          <w:b w:val="1"/>
          <w:sz w:val="21"/>
        </w:rPr>
        <w:t>。</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生命科学四处</w:t>
      </w:r>
    </w:p>
    <w:p>
      <w:pPr>
        <w:autoSpaceDE w:val="0"/>
        <w:autoSpaceDN w:val="0"/>
        <w:jc w:val="both"/>
        <w:spacing w:before="301"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生命科学四</w:t>
      </w:r>
      <w:r>
        <w:rPr>
          <w:rFonts w:ascii="宋体" w:hAnsi="宋体" w:cs="宋体" w:eastAsia="宋体" w:hint="ascii"/>
          <w:sz w:val="21"/>
        </w:rPr>
        <w:t>处的资助范围包括神经科学、生理学与整合生物学和心理学与认知科学三个学科。</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神经科学学科</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神经科学是研究神经系统的结构与功能，探讨人和动物行为、认知活动的本质与规</w:t>
      </w:r>
    </w:p>
    <w:p>
      <w:pPr>
        <w:autoSpaceDE w:val="0"/>
        <w:autoSpaceDN w:val="0"/>
        <w:jc w:val="both"/>
        <w:spacing w:before="12"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律的科学。</w:t>
      </w:r>
      <w:r>
        <w:rPr>
          <w:rFonts w:ascii="宋体" w:hAnsi="宋体" w:cs="宋体" w:eastAsia="宋体" w:hint="ascii"/>
          <w:sz w:val="21"/>
        </w:rPr>
        <w:t>神经科学的核心问题是解析人类神经活动的本质，即从较初级的感觉和本能</w:t>
      </w:r>
      <w:r>
        <w:rPr>
          <w:rFonts w:ascii="宋体" w:hAnsi="宋体" w:cs="宋体" w:eastAsia="宋体" w:hint="ascii"/>
          <w:sz w:val="21"/>
          <w:spacing w:val="1"/>
        </w:rPr>
        <w:t>行为，到较高级的语</w:t>
      </w:r>
      <w:r>
        <w:rPr>
          <w:rFonts w:ascii="宋体" w:hAnsi="宋体" w:cs="宋体" w:eastAsia="宋体" w:hint="ascii"/>
          <w:sz w:val="21"/>
        </w:rPr>
        <w:t>言、学习、记忆、注意、意识、思维与决策等各个层面的神经</w:t>
      </w:r>
      <w:r>
        <w:rPr>
          <w:rFonts w:ascii="宋体" w:hAnsi="宋体" w:cs="宋体" w:eastAsia="宋体" w:hint="ascii"/>
          <w:sz w:val="21"/>
          <w:spacing w:val="-6"/>
        </w:rPr>
        <w:t>功</w:t>
      </w:r>
      <w:r>
        <w:rPr>
          <w:rFonts w:ascii="宋体" w:hAnsi="宋体" w:cs="宋体" w:eastAsia="宋体" w:hint="ascii"/>
          <w:sz w:val="21"/>
          <w:spacing w:val="-1"/>
        </w:rPr>
        <w:t>能。本学科</w:t>
      </w:r>
      <w:r>
        <w:rPr>
          <w:rFonts w:ascii="宋体" w:hAnsi="宋体" w:cs="宋体" w:eastAsia="宋体" w:hint="ascii"/>
          <w:sz w:val="21"/>
        </w:rPr>
        <w:t>的资助范围包括分子神经生物学、细胞神经生物学、发育神经生物学、系统</w:t>
      </w:r>
      <w:r>
        <w:rPr>
          <w:rFonts w:ascii="宋体" w:hAnsi="宋体" w:cs="宋体" w:eastAsia="宋体" w:hint="ascii"/>
          <w:sz w:val="21"/>
          <w:spacing w:val="-1"/>
        </w:rPr>
        <w:t>神经生物学</w:t>
      </w:r>
      <w:r>
        <w:rPr>
          <w:rFonts w:ascii="宋体" w:hAnsi="宋体" w:cs="宋体" w:eastAsia="宋体" w:hint="ascii"/>
          <w:sz w:val="21"/>
        </w:rPr>
        <w:t>、计算神经生物学、触觉神经生物学、行为神经生物学、神经信息学、认知神经生物学、神经系统结构与功能异常以及神经科学研究的新技术和新方法等。</w:t>
      </w:r>
    </w:p>
    <w:p>
      <w:pPr>
        <w:autoSpaceDE w:val="0"/>
        <w:autoSpaceDN w:val="0"/>
        <w:jc w:val="left"/>
        <w:spacing w:before="4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w:t>
      </w:r>
      <w:r>
        <w:rPr>
          <w:rFonts w:ascii="宋体" w:hAnsi="宋体" w:cs="宋体" w:eastAsia="宋体" w:hint="ascii"/>
          <w:sz w:val="21"/>
          <w:spacing w:val="-24"/>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年度申请情况来看，分子神经生物学和细胞神经生物学两个申请代码下的</w:t>
      </w:r>
    </w:p>
    <w:p>
      <w:pPr>
        <w:autoSpaceDE w:val="0"/>
        <w:autoSpaceDN w:val="0"/>
        <w:jc w:val="both"/>
        <w:spacing w:before="12"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项目申请数</w:t>
      </w:r>
      <w:r>
        <w:rPr>
          <w:rFonts w:ascii="宋体" w:hAnsi="宋体" w:cs="宋体" w:eastAsia="宋体" w:hint="ascii"/>
          <w:sz w:val="21"/>
        </w:rPr>
        <w:t>量较多，而触觉神经生物学、化学感受神经生物学、计算神经生物学和神经</w:t>
      </w:r>
      <w:r>
        <w:rPr>
          <w:rFonts w:ascii="宋体" w:hAnsi="宋体" w:cs="宋体" w:eastAsia="宋体" w:hint="ascii"/>
          <w:sz w:val="21"/>
          <w:spacing w:val="1"/>
        </w:rPr>
        <w:t>信息学申请代码下的</w:t>
      </w:r>
      <w:r>
        <w:rPr>
          <w:rFonts w:ascii="宋体" w:hAnsi="宋体" w:cs="宋体" w:eastAsia="宋体" w:hint="ascii"/>
          <w:sz w:val="21"/>
        </w:rPr>
        <w:t>申请数量较少。从资助情况来看，获资助较多的研究方向包括</w:t>
      </w:r>
      <w:r>
        <w:rPr>
          <w:rFonts w:ascii="宋体" w:hAnsi="宋体" w:cs="宋体" w:eastAsia="宋体" w:hint="ascii"/>
          <w:sz w:val="21"/>
          <w:spacing w:val="-6"/>
        </w:rPr>
        <w:t>发</w:t>
      </w:r>
      <w:r>
        <w:rPr>
          <w:rFonts w:ascii="宋体" w:hAnsi="宋体" w:cs="宋体" w:eastAsia="宋体" w:hint="ascii"/>
          <w:sz w:val="21"/>
          <w:spacing w:val="-1"/>
        </w:rPr>
        <w:t>育、痛觉、</w:t>
      </w:r>
      <w:r>
        <w:rPr>
          <w:rFonts w:ascii="宋体" w:hAnsi="宋体" w:cs="宋体" w:eastAsia="宋体" w:hint="ascii"/>
          <w:sz w:val="21"/>
        </w:rPr>
        <w:t>行为和神经退行性病变等，获得资助的项目其选题普遍具有较好的创新性，</w:t>
      </w:r>
      <w:r>
        <w:rPr>
          <w:rFonts w:ascii="宋体" w:hAnsi="宋体" w:cs="宋体" w:eastAsia="宋体" w:hint="ascii"/>
          <w:sz w:val="21"/>
          <w:spacing w:val="-1"/>
        </w:rPr>
        <w:t>科学问题明</w:t>
      </w:r>
      <w:r>
        <w:rPr>
          <w:rFonts w:ascii="宋体" w:hAnsi="宋体" w:cs="宋体" w:eastAsia="宋体" w:hint="ascii"/>
          <w:sz w:val="21"/>
        </w:rPr>
        <w:t>确、研究内容深入、研究基础扎实、可行性好。未获资助的项目申请存在选</w:t>
      </w:r>
      <w:r>
        <w:rPr>
          <w:rFonts w:ascii="宋体" w:hAnsi="宋体" w:cs="宋体" w:eastAsia="宋体" w:hint="ascii"/>
          <w:sz w:val="21"/>
          <w:spacing w:val="-1"/>
        </w:rPr>
        <w:t>题创新性不</w:t>
      </w:r>
      <w:r>
        <w:rPr>
          <w:rFonts w:ascii="宋体" w:hAnsi="宋体" w:cs="宋体" w:eastAsia="宋体" w:hint="ascii"/>
          <w:sz w:val="21"/>
        </w:rPr>
        <w:t>强、低水平重复、题目过于宽泛、关键科学问题凝练不够、研究方案尚需进</w:t>
      </w:r>
      <w:r>
        <w:rPr>
          <w:rFonts w:ascii="宋体" w:hAnsi="宋体" w:cs="宋体" w:eastAsia="宋体" w:hint="ascii"/>
          <w:sz w:val="21"/>
          <w:spacing w:val="-1"/>
        </w:rPr>
        <w:t>一步完善、</w:t>
      </w:r>
      <w:r>
        <w:rPr>
          <w:rFonts w:ascii="宋体" w:hAnsi="宋体" w:cs="宋体" w:eastAsia="宋体" w:hint="ascii"/>
          <w:sz w:val="21"/>
        </w:rPr>
        <w:t>前期工作基础薄弱、项目的可行性有待提高等问题。申请书应有明确的科学</w:t>
      </w:r>
      <w:r>
        <w:rPr>
          <w:rFonts w:ascii="宋体" w:hAnsi="宋体" w:cs="宋体" w:eastAsia="宋体" w:hint="ascii"/>
          <w:sz w:val="21"/>
          <w:spacing w:val="1"/>
        </w:rPr>
        <w:t>假说，研究内容需紧</w:t>
      </w:r>
      <w:r>
        <w:rPr>
          <w:rFonts w:ascii="宋体" w:hAnsi="宋体" w:cs="宋体" w:eastAsia="宋体" w:hint="ascii"/>
          <w:sz w:val="21"/>
        </w:rPr>
        <w:t>扣关键科学问题，申请书写作也需规范。申请人在线填报申请</w:t>
      </w:r>
      <w:r>
        <w:rPr>
          <w:rFonts w:ascii="宋体" w:hAnsi="宋体" w:cs="宋体" w:eastAsia="宋体" w:hint="ascii"/>
          <w:sz w:val="21"/>
          <w:spacing w:val="-6"/>
        </w:rPr>
        <w:t>书</w:t>
      </w:r>
      <w:r>
        <w:rPr>
          <w:rFonts w:ascii="宋体" w:hAnsi="宋体" w:cs="宋体" w:eastAsia="宋体" w:hint="ascii"/>
          <w:sz w:val="21"/>
          <w:spacing w:val="-1"/>
        </w:rPr>
        <w:t>时，应正确</w:t>
      </w:r>
      <w:r>
        <w:rPr>
          <w:rFonts w:ascii="宋体" w:hAnsi="宋体" w:cs="宋体" w:eastAsia="宋体" w:hint="ascii"/>
          <w:sz w:val="21"/>
        </w:rPr>
        <w:t>选择二级代码和研究方向，尤其应注意研究层次的符合度；对于计算神经生</w:t>
      </w:r>
      <w:r>
        <w:rPr>
          <w:rFonts w:ascii="宋体" w:hAnsi="宋体" w:cs="宋体" w:eastAsia="宋体" w:hint="ascii"/>
          <w:sz w:val="21"/>
          <w:spacing w:val="-1"/>
        </w:rPr>
        <w:t>物学和神经</w:t>
      </w:r>
      <w:r>
        <w:rPr>
          <w:rFonts w:ascii="宋体" w:hAnsi="宋体" w:cs="宋体" w:eastAsia="宋体" w:hint="ascii"/>
          <w:sz w:val="21"/>
        </w:rPr>
        <w:t>信息学等交叉性较强的研究，建议申请人不仅注重数学模型和计算理论的提出，还应针对神经生物学研究的具体问题进行相关的实验验证。</w:t>
      </w:r>
    </w:p>
    <w:p>
      <w:pPr>
        <w:autoSpaceDE w:val="0"/>
        <w:autoSpaceDN w:val="0"/>
        <w:jc w:val="left"/>
        <w:spacing w:before="43"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年度本学科继续鼓励探索认知和行为的神经生物学基础，解析脑高级功能的</w:t>
      </w:r>
    </w:p>
    <w:p>
      <w:pPr>
        <w:autoSpaceDE w:val="0"/>
        <w:autoSpaceDN w:val="0"/>
        <w:jc w:val="both"/>
        <w:spacing w:before="17"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神经机制；</w:t>
      </w:r>
      <w:r>
        <w:rPr>
          <w:rFonts w:ascii="宋体" w:hAnsi="宋体" w:cs="宋体" w:eastAsia="宋体" w:hint="ascii"/>
          <w:sz w:val="21"/>
        </w:rPr>
        <w:t>鼓励利用学科交叉优势提高神经科学基础研究的水平，从分子、细胞和整体</w:t>
      </w:r>
      <w:r>
        <w:rPr>
          <w:rFonts w:ascii="宋体" w:hAnsi="宋体" w:cs="宋体" w:eastAsia="宋体" w:hint="ascii"/>
          <w:sz w:val="21"/>
          <w:spacing w:val="-1"/>
        </w:rPr>
        <w:t>等不同层面</w:t>
      </w:r>
      <w:r>
        <w:rPr>
          <w:rFonts w:ascii="宋体" w:hAnsi="宋体" w:cs="宋体" w:eastAsia="宋体" w:hint="ascii"/>
          <w:sz w:val="21"/>
        </w:rPr>
        <w:t>阐明神经系统疾病的发生、发展规律和机制；鼓励利用非人灵长类动物进行</w:t>
      </w:r>
      <w:r>
        <w:rPr>
          <w:rFonts w:ascii="宋体" w:hAnsi="宋体" w:cs="宋体" w:eastAsia="宋体" w:hint="ascii"/>
          <w:sz w:val="21"/>
          <w:spacing w:val="-1"/>
        </w:rPr>
        <w:t>神经科学研</w:t>
      </w:r>
      <w:r>
        <w:rPr>
          <w:rFonts w:ascii="宋体" w:hAnsi="宋体" w:cs="宋体" w:eastAsia="宋体" w:hint="ascii"/>
          <w:sz w:val="21"/>
        </w:rPr>
        <w:t>究，并继续鼓励针对神经系统和神经科学研究中的瓶颈问题进行新技术、新方法的研究和开发。</w:t>
      </w:r>
    </w:p>
    <w:p>
      <w:pPr>
        <w:autoSpaceDE w:val="0"/>
        <w:autoSpaceDN w:val="0"/>
        <w:jc w:val="left"/>
        <w:spacing w:before="45"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特别提醒申请人注意：以人为研究对象的认知心理学项目请到心理学科申请</w:t>
      </w:r>
      <w:r>
        <w:rPr>
          <w:rFonts w:ascii="宋体" w:hAnsi="宋体" w:cs="宋体" w:eastAsia="宋体" w:hint="ascii"/>
          <w:b w:val="1"/>
          <w:sz w:val="21"/>
        </w:rPr>
        <w:t>。</w:t>
      </w:r>
    </w:p>
    <w:p>
      <w:pPr>
        <w:autoSpaceDE w:val="0"/>
        <w:autoSpaceDN w:val="0"/>
        <w:jc w:val="left"/>
        <w:spacing w:before="17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生理学与整合生物学学科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生理学是研究生命体的生命活动现象、规律和调控的科学，是生物学和临床医学的</w:t>
      </w:r>
    </w:p>
    <w:p>
      <w:pPr>
        <w:autoSpaceDE w:val="0"/>
        <w:autoSpaceDN w:val="0"/>
        <w:jc w:val="left"/>
        <w:spacing w:before="41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重要“桥梁”</w:t>
      </w:r>
      <w:r>
        <w:rPr>
          <w:rFonts w:ascii="宋体" w:hAnsi="宋体" w:cs="宋体" w:eastAsia="宋体" w:hint="ascii"/>
          <w:sz w:val="21"/>
        </w:rPr>
        <w:t>基础学科，资助范围包括机体在生理状态下的各个系统功能及其稳态维持</w:t>
      </w:r>
      <w:r>
        <w:rPr>
          <w:rFonts w:ascii="宋体" w:hAnsi="宋体" w:cs="宋体" w:eastAsia="宋体" w:hint="ascii"/>
          <w:sz w:val="21"/>
          <w:spacing w:val="-1"/>
        </w:rPr>
        <w:t>机制，以及病</w:t>
      </w:r>
      <w:r>
        <w:rPr>
          <w:rFonts w:ascii="宋体" w:hAnsi="宋体" w:cs="宋体" w:eastAsia="宋体" w:hint="ascii"/>
          <w:sz w:val="21"/>
        </w:rPr>
        <w:t>理生理状态下细胞、组织、器官的结构、代谢和功能的失衡及机制研究；</w:t>
      </w:r>
      <w:r>
        <w:rPr>
          <w:rFonts w:ascii="宋体" w:hAnsi="宋体" w:cs="宋体" w:eastAsia="宋体" w:hint="ascii"/>
          <w:sz w:val="21"/>
          <w:spacing w:val="1"/>
        </w:rPr>
        <w:t>整合生物学是探讨机</w:t>
      </w:r>
      <w:r>
        <w:rPr>
          <w:rFonts w:ascii="宋体" w:hAnsi="宋体" w:cs="宋体" w:eastAsia="宋体" w:hint="ascii"/>
          <w:sz w:val="21"/>
        </w:rPr>
        <w:t>体结构、功能、表型、行为以及相关信息传递规律的一门新兴</w:t>
      </w:r>
      <w:r>
        <w:rPr>
          <w:rFonts w:ascii="宋体" w:hAnsi="宋体" w:cs="宋体" w:eastAsia="宋体" w:hint="ascii"/>
          <w:sz w:val="21"/>
          <w:spacing w:val="-6"/>
        </w:rPr>
        <w:t>学</w:t>
      </w:r>
      <w:r>
        <w:rPr>
          <w:rFonts w:ascii="宋体" w:hAnsi="宋体" w:cs="宋体" w:eastAsia="宋体" w:hint="ascii"/>
          <w:sz w:val="21"/>
          <w:spacing w:val="-1"/>
        </w:rPr>
        <w:t>科，鼓励开展</w:t>
      </w:r>
      <w:r>
        <w:rPr>
          <w:rFonts w:ascii="宋体" w:hAnsi="宋体" w:cs="宋体" w:eastAsia="宋体" w:hint="ascii"/>
          <w:sz w:val="21"/>
        </w:rPr>
        <w:t>不同组织、器官及系统间相互作用及功能整合的创新性研究，以阐明机体</w:t>
      </w:r>
      <w:r>
        <w:rPr>
          <w:rFonts w:ascii="宋体" w:hAnsi="宋体" w:cs="宋体" w:eastAsia="宋体" w:hint="ascii"/>
          <w:sz w:val="21"/>
          <w:spacing w:val="-1"/>
        </w:rPr>
        <w:t>功能稳态维持</w:t>
      </w:r>
      <w:r>
        <w:rPr>
          <w:rFonts w:ascii="宋体" w:hAnsi="宋体" w:cs="宋体" w:eastAsia="宋体" w:hint="ascii"/>
          <w:sz w:val="21"/>
        </w:rPr>
        <w:t>及失调的机制。生理学与整合生物学学科还鼓励在特殊环境、疾病等模型条件下针对基础性、共性的科学问题开展机制性探讨和研究的项目申请。</w:t>
      </w:r>
      <w:r>
        <w:rPr>
          <w:rFonts w:ascii="宋体" w:hAnsi="宋体" w:cs="宋体" w:eastAsia="宋体" w:hint="ascii"/>
          <w:sz w:val="21"/>
        </w:rPr>
        <mc:AlternateContent>
          <mc:Choice Requires="wps">
            <w:drawing>
              <wp:anchor distL="0" distR="0" distT="0" distB="0" simplePos="0" behindDoc="1" relativeHeight="87" locked="0" layoutInCell="1" allowOverlap="1">
                <wp:simplePos x="0" y="0"/>
                <wp:positionH relativeFrom="page">
                  <wp:posOffset>938530</wp:posOffset>
                </wp:positionH>
                <wp:positionV relativeFrom="page">
                  <wp:posOffset>819150</wp:posOffset>
                </wp:positionV>
                <wp:extent cx="5076190" cy="0"/>
                <wp:wrapNone/>
                <wp:docPr id="1115" name="111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69152;width:399.70pt;" id="111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w:t>
      </w:r>
      <w:r>
        <w:rPr>
          <w:rFonts w:ascii="宋体" w:hAnsi="宋体" w:cs="宋体" w:eastAsia="宋体" w:hint="ascii"/>
          <w:sz w:val="21"/>
          <w:spacing w:val="-24"/>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年度本学科接收情况来看，系统生理学、运动生理学及整合生理学代码下</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的申请数量相</w:t>
      </w:r>
      <w:r>
        <w:rPr>
          <w:rFonts w:ascii="宋体" w:hAnsi="宋体" w:cs="宋体" w:eastAsia="宋体" w:hint="ascii"/>
          <w:sz w:val="21"/>
        </w:rPr>
        <w:t>对较多。从研究内容来看，循环生理学申请主要包括血压调控、血管稳态</w:t>
      </w:r>
      <w:r>
        <w:rPr>
          <w:rFonts w:ascii="宋体" w:hAnsi="宋体" w:cs="宋体" w:eastAsia="宋体" w:hint="ascii"/>
          <w:sz w:val="21"/>
          <w:spacing w:val="-1"/>
        </w:rPr>
        <w:t>维持、血管功</w:t>
      </w:r>
      <w:r>
        <w:rPr>
          <w:rFonts w:ascii="宋体" w:hAnsi="宋体" w:cs="宋体" w:eastAsia="宋体" w:hint="ascii"/>
          <w:sz w:val="21"/>
        </w:rPr>
        <w:t>能异常及机制、心脏节律维持及心律失常、心肌损伤修复及功能改善；呼</w:t>
      </w:r>
      <w:r>
        <w:rPr>
          <w:rFonts w:ascii="宋体" w:hAnsi="宋体" w:cs="宋体" w:eastAsia="宋体" w:hint="ascii"/>
          <w:sz w:val="21"/>
          <w:spacing w:val="-1"/>
        </w:rPr>
        <w:t>吸生理学包括</w:t>
      </w:r>
      <w:r>
        <w:rPr>
          <w:rFonts w:ascii="宋体" w:hAnsi="宋体" w:cs="宋体" w:eastAsia="宋体" w:hint="ascii"/>
          <w:sz w:val="21"/>
        </w:rPr>
        <w:t>呼吸系统结构、功能调节及异常、呼吸中枢与呼吸调控、肺血管平滑肌及</w:t>
      </w:r>
      <w:r>
        <w:rPr>
          <w:rFonts w:ascii="宋体" w:hAnsi="宋体" w:cs="宋体" w:eastAsia="宋体" w:hint="ascii"/>
          <w:sz w:val="21"/>
          <w:spacing w:val="-1"/>
        </w:rPr>
        <w:t>肺动脉高压；</w:t>
      </w:r>
      <w:r>
        <w:rPr>
          <w:rFonts w:ascii="宋体" w:hAnsi="宋体" w:cs="宋体" w:eastAsia="宋体" w:hint="ascii"/>
          <w:sz w:val="21"/>
        </w:rPr>
        <w:t>消化生理学包括消化道及消化腺功能及其调节机制，消化道屏障及菌群、</w:t>
      </w:r>
      <w:r>
        <w:rPr>
          <w:rFonts w:ascii="宋体" w:hAnsi="宋体" w:cs="宋体" w:eastAsia="宋体" w:hint="ascii"/>
          <w:sz w:val="21"/>
          <w:spacing w:val="-1"/>
        </w:rPr>
        <w:t>肠道内分泌功</w:t>
      </w:r>
      <w:r>
        <w:rPr>
          <w:rFonts w:ascii="宋体" w:hAnsi="宋体" w:cs="宋体" w:eastAsia="宋体" w:hint="ascii"/>
          <w:sz w:val="21"/>
        </w:rPr>
        <w:t>能调节、胃肠动力调节；泌尿生理学包括肾小球滤过、肾小管分泌与重吸</w:t>
      </w:r>
      <w:r>
        <w:rPr>
          <w:rFonts w:ascii="宋体" w:hAnsi="宋体" w:cs="宋体" w:eastAsia="宋体" w:hint="ascii"/>
          <w:sz w:val="21"/>
          <w:spacing w:val="-1"/>
        </w:rPr>
        <w:t>收、肾脏血流</w:t>
      </w:r>
      <w:r>
        <w:rPr>
          <w:rFonts w:ascii="宋体" w:hAnsi="宋体" w:cs="宋体" w:eastAsia="宋体" w:hint="ascii"/>
          <w:sz w:val="21"/>
        </w:rPr>
        <w:t>动力学、肾脏内分泌功能及调控机制以及泌尿道的生理功能及调控机制；</w:t>
      </w:r>
      <w:r>
        <w:rPr>
          <w:rFonts w:ascii="宋体" w:hAnsi="宋体" w:cs="宋体" w:eastAsia="宋体" w:hint="ascii"/>
          <w:sz w:val="21"/>
          <w:spacing w:val="-1"/>
        </w:rPr>
        <w:t>生殖生理学包</w:t>
      </w:r>
      <w:r>
        <w:rPr>
          <w:rFonts w:ascii="宋体" w:hAnsi="宋体" w:cs="宋体" w:eastAsia="宋体" w:hint="ascii"/>
          <w:sz w:val="21"/>
        </w:rPr>
        <w:t>括生殖过程的调节机制、生殖细胞发生与成熟、卵巢及睾丸功能、胚胎着</w:t>
      </w:r>
      <w:r>
        <w:rPr>
          <w:rFonts w:ascii="宋体" w:hAnsi="宋体" w:cs="宋体" w:eastAsia="宋体" w:hint="ascii"/>
          <w:sz w:val="21"/>
          <w:spacing w:val="1"/>
        </w:rPr>
        <w:t>床及胎盘形成及功能</w:t>
      </w:r>
      <w:r>
        <w:rPr>
          <w:rFonts w:ascii="宋体" w:hAnsi="宋体" w:cs="宋体" w:eastAsia="宋体" w:hint="ascii"/>
          <w:sz w:val="21"/>
        </w:rPr>
        <w:t>、妊娠的维持及适应；神经系统研究主要包括神经内分泌免疫</w:t>
      </w:r>
      <w:r>
        <w:rPr>
          <w:rFonts w:ascii="宋体" w:hAnsi="宋体" w:cs="宋体" w:eastAsia="宋体" w:hint="ascii"/>
          <w:sz w:val="21"/>
          <w:spacing w:val="-6"/>
        </w:rPr>
        <w:t>调</w:t>
      </w:r>
      <w:r>
        <w:rPr>
          <w:rFonts w:ascii="宋体" w:hAnsi="宋体" w:cs="宋体" w:eastAsia="宋体" w:hint="ascii"/>
          <w:sz w:val="21"/>
          <w:spacing w:val="-1"/>
        </w:rPr>
        <w:t>节、神经系统</w:t>
      </w:r>
      <w:r>
        <w:rPr>
          <w:rFonts w:ascii="宋体" w:hAnsi="宋体" w:cs="宋体" w:eastAsia="宋体" w:hint="ascii"/>
          <w:sz w:val="21"/>
        </w:rPr>
        <w:t>和外周组织器官的交互调节；运动生理学主要包括运动对机体各组织、器</w:t>
      </w:r>
      <w:r>
        <w:rPr>
          <w:rFonts w:ascii="宋体" w:hAnsi="宋体" w:cs="宋体" w:eastAsia="宋体" w:hint="ascii"/>
          <w:sz w:val="21"/>
          <w:spacing w:val="-1"/>
        </w:rPr>
        <w:t>官结构、功能</w:t>
      </w:r>
      <w:r>
        <w:rPr>
          <w:rFonts w:ascii="宋体" w:hAnsi="宋体" w:cs="宋体" w:eastAsia="宋体" w:hint="ascii"/>
          <w:sz w:val="21"/>
        </w:rPr>
        <w:t>以及代谢等生理过程的影响及调节机制，以及运动改善机体功能、干预及</w:t>
      </w:r>
      <w:r>
        <w:rPr>
          <w:rFonts w:ascii="宋体" w:hAnsi="宋体" w:cs="宋体" w:eastAsia="宋体" w:hint="ascii"/>
          <w:sz w:val="21"/>
          <w:spacing w:val="-1"/>
        </w:rPr>
        <w:t>防治相关疾病</w:t>
      </w:r>
      <w:r>
        <w:rPr>
          <w:rFonts w:ascii="宋体" w:hAnsi="宋体" w:cs="宋体" w:eastAsia="宋体" w:hint="ascii"/>
          <w:sz w:val="21"/>
        </w:rPr>
        <w:t>的机理等；人体解剖学主要包括应用解剖学、数字解剖学和体质人类学；</w:t>
      </w:r>
      <w:r>
        <w:rPr>
          <w:rFonts w:ascii="宋体" w:hAnsi="宋体" w:cs="宋体" w:eastAsia="宋体" w:hint="ascii"/>
          <w:sz w:val="21"/>
          <w:spacing w:val="-1"/>
        </w:rPr>
        <w:t>人体组织与胚</w:t>
      </w:r>
      <w:r>
        <w:rPr>
          <w:rFonts w:ascii="宋体" w:hAnsi="宋体" w:cs="宋体" w:eastAsia="宋体" w:hint="ascii"/>
          <w:sz w:val="21"/>
        </w:rPr>
        <w:t>胎学包括正常及异常胚胎发育的调控机制、组织损伤及修复与再生机制；</w:t>
      </w:r>
      <w:r>
        <w:rPr>
          <w:rFonts w:ascii="宋体" w:hAnsi="宋体" w:cs="宋体" w:eastAsia="宋体" w:hint="ascii"/>
          <w:sz w:val="21"/>
          <w:spacing w:val="-1"/>
        </w:rPr>
        <w:t>内分泌与代谢</w:t>
      </w:r>
      <w:r>
        <w:rPr>
          <w:rFonts w:ascii="宋体" w:hAnsi="宋体" w:cs="宋体" w:eastAsia="宋体" w:hint="ascii"/>
          <w:sz w:val="21"/>
        </w:rPr>
        <w:t>生理学包括经典及非经典内分泌组织器官的内分泌功能及调控、营养物质</w:t>
      </w:r>
      <w:r>
        <w:rPr>
          <w:rFonts w:ascii="宋体" w:hAnsi="宋体" w:cs="宋体" w:eastAsia="宋体" w:hint="ascii"/>
          <w:sz w:val="21"/>
          <w:spacing w:val="-1"/>
        </w:rPr>
        <w:t>及能量代谢调</w:t>
      </w:r>
      <w:r>
        <w:rPr>
          <w:rFonts w:ascii="宋体" w:hAnsi="宋体" w:cs="宋体" w:eastAsia="宋体" w:hint="ascii"/>
          <w:sz w:val="21"/>
        </w:rPr>
        <w:t>节及失调机制、微量元素的作用与稳态调节；血液生理学包括造血调控、</w:t>
      </w:r>
      <w:r>
        <w:rPr>
          <w:rFonts w:ascii="宋体" w:hAnsi="宋体" w:cs="宋体" w:eastAsia="宋体" w:hint="ascii"/>
          <w:sz w:val="21"/>
          <w:spacing w:val="-1"/>
        </w:rPr>
        <w:t>凝血纤溶、血</w:t>
      </w:r>
      <w:r>
        <w:rPr>
          <w:rFonts w:ascii="宋体" w:hAnsi="宋体" w:cs="宋体" w:eastAsia="宋体" w:hint="ascii"/>
          <w:sz w:val="21"/>
        </w:rPr>
        <w:t>细胞功能及异常等。本学科支持衰老及生物节律等相关研究，鼓励开展机</w:t>
      </w:r>
      <w:r>
        <w:rPr>
          <w:rFonts w:ascii="宋体" w:hAnsi="宋体" w:cs="宋体" w:eastAsia="宋体" w:hint="ascii"/>
          <w:sz w:val="21"/>
          <w:spacing w:val="-1"/>
        </w:rPr>
        <w:t>体功能稳态维</w:t>
      </w:r>
      <w:r>
        <w:rPr>
          <w:rFonts w:ascii="宋体" w:hAnsi="宋体" w:cs="宋体" w:eastAsia="宋体" w:hint="ascii"/>
          <w:sz w:val="21"/>
        </w:rPr>
        <w:t>持及失调中组织（或器官）间交互作用，以及内、外环境下机体应激反应机制等研究申请。</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特别提醒申请</w:t>
      </w:r>
      <w:r>
        <w:rPr>
          <w:rFonts w:ascii="宋体" w:hAnsi="宋体" w:cs="宋体" w:eastAsia="宋体" w:hint="ascii"/>
          <w:sz w:val="21"/>
        </w:rPr>
        <w:t>人注意：本学科不受理以植物、藻类、野生动物（比较生理学除外）为研究对象的申请以及中医相关的项目申请</w:t>
      </w:r>
      <w:r>
        <w:rPr>
          <w:rFonts w:ascii="宋体" w:hAnsi="宋体" w:cs="宋体" w:eastAsia="宋体" w:hint="ascii"/>
          <w:b w:val="1"/>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心理学与认知科学学科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心理学是研究人的心理和行为的科学，旨在阐明认知、情绪、动机、智力、意识、</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人格等心理现</w:t>
      </w:r>
      <w:r>
        <w:rPr>
          <w:rFonts w:ascii="宋体" w:hAnsi="宋体" w:cs="宋体" w:eastAsia="宋体" w:hint="ascii"/>
          <w:sz w:val="21"/>
        </w:rPr>
        <w:t>象的发生、发展、表现和作用的规律和机制。由于研究对象的复杂性，心</w:t>
      </w:r>
      <w:r>
        <w:rPr>
          <w:rFonts w:ascii="宋体" w:hAnsi="宋体" w:cs="宋体" w:eastAsia="宋体" w:hint="ascii"/>
          <w:sz w:val="21"/>
          <w:spacing w:val="-1"/>
        </w:rPr>
        <w:t>理学研究呈现</w:t>
      </w:r>
      <w:r>
        <w:rPr>
          <w:rFonts w:ascii="宋体" w:hAnsi="宋体" w:cs="宋体" w:eastAsia="宋体" w:hint="ascii"/>
          <w:sz w:val="21"/>
        </w:rPr>
        <w:t>多层次和多角度并存、分支学科逐渐细化，一系列新兴交叉研究领域逐步</w:t>
      </w:r>
      <w:r>
        <w:rPr>
          <w:rFonts w:ascii="宋体" w:hAnsi="宋体" w:cs="宋体" w:eastAsia="宋体" w:hint="ascii"/>
          <w:sz w:val="21"/>
          <w:spacing w:val="-1"/>
        </w:rPr>
        <w:t>形成的趋势。</w:t>
      </w:r>
      <w:r>
        <w:rPr>
          <w:rFonts w:ascii="宋体" w:hAnsi="宋体" w:cs="宋体" w:eastAsia="宋体" w:hint="ascii"/>
          <w:sz w:val="21"/>
        </w:rPr>
        <w:t>借助神经科学、信息科学、医学科学和工程科学等的新技术、新方法，心</w:t>
      </w:r>
      <w:r>
        <w:rPr>
          <w:rFonts w:ascii="宋体" w:hAnsi="宋体" w:cs="宋体" w:eastAsia="宋体" w:hint="ascii"/>
          <w:sz w:val="21"/>
          <w:spacing w:val="-1"/>
        </w:rPr>
        <w:t>理学的多个分支</w:t>
      </w:r>
      <w:r>
        <w:rPr>
          <w:rFonts w:ascii="宋体" w:hAnsi="宋体" w:cs="宋体" w:eastAsia="宋体" w:hint="ascii"/>
          <w:sz w:val="21"/>
        </w:rPr>
        <w:t>领域对于心理活动及其物质基础</w:t>
      </w:r>
      <w:r>
        <w:rPr>
          <w:rFonts w:ascii="宋体" w:hAnsi="宋体" w:cs="宋体" w:eastAsia="宋体" w:hint="ascii"/>
          <w:sz w:val="21"/>
          <w:w w:val="201"/>
        </w:rPr>
        <w:t>—</w:t>
      </w:r>
      <w:r>
        <w:rPr>
          <w:rFonts w:ascii="宋体" w:hAnsi="宋体" w:cs="宋体" w:eastAsia="宋体" w:hint="ascii"/>
          <w:sz w:val="21"/>
        </w:rPr>
        <w:t>脑结构及功能不断地进行诠释和解</w:t>
      </w:r>
      <w:r>
        <w:rPr>
          <w:rFonts w:ascii="宋体" w:hAnsi="宋体" w:cs="宋体" w:eastAsia="宋体" w:hint="ascii"/>
          <w:sz w:val="21"/>
          <w:spacing w:val="-1"/>
        </w:rPr>
        <w:t>析。认知科学</w:t>
      </w:r>
      <w:r>
        <w:rPr>
          <w:rFonts w:ascii="宋体" w:hAnsi="宋体" w:cs="宋体" w:eastAsia="宋体" w:hint="ascii"/>
          <w:sz w:val="21"/>
        </w:rPr>
        <w:t>是研究人类认知及智力本质和规律的科学，其研究范围包括知觉、注意、</w:t>
      </w:r>
      <w:r>
        <w:rPr>
          <w:rFonts w:ascii="宋体" w:hAnsi="宋体" w:cs="宋体" w:eastAsia="宋体" w:hint="ascii"/>
          <w:sz w:val="21"/>
          <w:spacing w:val="-1"/>
        </w:rPr>
        <w:t>记忆、动作、</w:t>
      </w:r>
      <w:r>
        <w:rPr>
          <w:rFonts w:ascii="宋体" w:hAnsi="宋体" w:cs="宋体" w:eastAsia="宋体" w:hint="ascii"/>
          <w:sz w:val="21"/>
        </w:rPr>
        <w:t>语言、推理、抉择、思考、意识乃至情感动机在内的各个层次和方面的人类认知和智力活动。</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本学科资助范围包括实验心理学、认知心理学、发展心理学、教育心理学、社会心</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理学、生理心理学、</w:t>
      </w:r>
      <w:r>
        <w:rPr>
          <w:rFonts w:ascii="宋体" w:hAnsi="宋体" w:cs="宋体" w:eastAsia="宋体" w:hint="ascii"/>
          <w:sz w:val="21"/>
        </w:rPr>
        <w:t>行为心理学、医学心理学、应激心理学、工程心理学、个性心</w:t>
      </w:r>
      <w:r>
        <w:rPr>
          <w:rFonts w:ascii="宋体" w:hAnsi="宋体" w:cs="宋体" w:eastAsia="宋体" w:hint="ascii"/>
          <w:sz w:val="21"/>
          <w:spacing w:val="-6"/>
        </w:rPr>
        <w:t>理</w:t>
      </w:r>
      <w:r>
        <w:rPr>
          <w:rFonts w:ascii="宋体" w:hAnsi="宋体" w:cs="宋体" w:eastAsia="宋体" w:hint="ascii"/>
          <w:sz w:val="21"/>
          <w:spacing w:val="-1"/>
        </w:rPr>
        <w:t>学、遗传心</w:t>
      </w:r>
      <w:r>
        <w:rPr>
          <w:rFonts w:ascii="宋体" w:hAnsi="宋体" w:cs="宋体" w:eastAsia="宋体" w:hint="ascii"/>
          <w:sz w:val="21"/>
        </w:rPr>
        <w:t>理学、运动心理学、应用心理学，以及认知语言学、认知模拟和认知的脑结</w:t>
      </w:r>
    </w:p>
    <w:p>
      <w:pPr>
        <w:autoSpaceDE w:val="0"/>
        <w:autoSpaceDN w:val="0"/>
        <w:jc w:val="left"/>
        <w:spacing w:before="27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构与神经基础等。</w:t>
      </w:r>
      <w:r>
        <w:rPr>
          <w:rFonts w:ascii="宋体" w:hAnsi="宋体" w:cs="宋体" w:eastAsia="宋体" w:hint="ascii"/>
          <w:sz w:val="21"/>
        </w:rPr>
        <mc:AlternateContent>
          <mc:Choice Requires="wps">
            <w:drawing>
              <wp:anchor distL="0" distR="0" distT="0" distB="0" simplePos="0" behindDoc="1" relativeHeight="88" locked="0" layoutInCell="1" allowOverlap="1">
                <wp:simplePos x="0" y="0"/>
                <wp:positionH relativeFrom="page">
                  <wp:posOffset>938530</wp:posOffset>
                </wp:positionH>
                <wp:positionV relativeFrom="page">
                  <wp:posOffset>805815</wp:posOffset>
                </wp:positionV>
                <wp:extent cx="5076190" cy="0"/>
                <wp:wrapNone/>
                <wp:docPr id="1116" name="111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68128;width:399.70pt;" id="111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我国心理</w:t>
      </w:r>
      <w:r>
        <w:rPr>
          <w:rFonts w:ascii="宋体" w:hAnsi="宋体" w:cs="宋体" w:eastAsia="宋体" w:hint="ascii"/>
          <w:sz w:val="21"/>
        </w:rPr>
        <w:t>学</w:t>
      </w:r>
      <w:r>
        <w:rPr>
          <w:rFonts w:ascii="宋体" w:hAnsi="宋体" w:cs="宋体" w:eastAsia="宋体" w:hint="ascii"/>
          <w:sz w:val="21"/>
          <w:spacing w:val="3"/>
        </w:rPr>
        <w:t>与认知科</w:t>
      </w:r>
      <w:r>
        <w:rPr>
          <w:rFonts w:ascii="宋体" w:hAnsi="宋体" w:cs="宋体" w:eastAsia="宋体" w:hint="ascii"/>
          <w:sz w:val="21"/>
        </w:rPr>
        <w:t>学</w:t>
      </w:r>
      <w:r>
        <w:rPr>
          <w:rFonts w:ascii="宋体" w:hAnsi="宋体" w:cs="宋体" w:eastAsia="宋体" w:hint="ascii"/>
          <w:sz w:val="21"/>
          <w:spacing w:val="3"/>
        </w:rPr>
        <w:t>各分支学</w:t>
      </w:r>
      <w:r>
        <w:rPr>
          <w:rFonts w:ascii="宋体" w:hAnsi="宋体" w:cs="宋体" w:eastAsia="宋体" w:hint="ascii"/>
          <w:sz w:val="21"/>
        </w:rPr>
        <w:t>科</w:t>
      </w:r>
      <w:r>
        <w:rPr>
          <w:rFonts w:ascii="宋体" w:hAnsi="宋体" w:cs="宋体" w:eastAsia="宋体" w:hint="ascii"/>
          <w:sz w:val="21"/>
          <w:spacing w:val="3"/>
        </w:rPr>
        <w:t>的发展并</w:t>
      </w:r>
      <w:r>
        <w:rPr>
          <w:rFonts w:ascii="宋体" w:hAnsi="宋体" w:cs="宋体" w:eastAsia="宋体" w:hint="ascii"/>
          <w:sz w:val="21"/>
        </w:rPr>
        <w:t>不</w:t>
      </w:r>
      <w:r>
        <w:rPr>
          <w:rFonts w:ascii="宋体" w:hAnsi="宋体" w:cs="宋体" w:eastAsia="宋体" w:hint="ascii"/>
          <w:sz w:val="21"/>
          <w:spacing w:val="3"/>
        </w:rPr>
        <w:t>平衡。认</w:t>
      </w:r>
      <w:r>
        <w:rPr>
          <w:rFonts w:ascii="宋体" w:hAnsi="宋体" w:cs="宋体" w:eastAsia="宋体" w:hint="ascii"/>
          <w:sz w:val="21"/>
        </w:rPr>
        <w:t>知</w:t>
      </w:r>
      <w:r>
        <w:rPr>
          <w:rFonts w:ascii="宋体" w:hAnsi="宋体" w:cs="宋体" w:eastAsia="宋体" w:hint="ascii"/>
          <w:sz w:val="21"/>
          <w:spacing w:val="3"/>
        </w:rPr>
        <w:t>心理学、</w:t>
      </w:r>
      <w:r>
        <w:rPr>
          <w:rFonts w:ascii="宋体" w:hAnsi="宋体" w:cs="宋体" w:eastAsia="宋体" w:hint="ascii"/>
          <w:sz w:val="21"/>
        </w:rPr>
        <w:t>发</w:t>
      </w:r>
      <w:r>
        <w:rPr>
          <w:rFonts w:ascii="宋体" w:hAnsi="宋体" w:cs="宋体" w:eastAsia="宋体" w:hint="ascii"/>
          <w:sz w:val="21"/>
          <w:spacing w:val="3"/>
        </w:rPr>
        <w:t>展心理</w:t>
      </w:r>
      <w:r>
        <w:rPr>
          <w:rFonts w:ascii="宋体" w:hAnsi="宋体" w:cs="宋体" w:eastAsia="宋体" w:hint="ascii"/>
          <w:sz w:val="21"/>
          <w:spacing w:val="4"/>
        </w:rPr>
        <w:t>学</w:t>
      </w:r>
      <w:r>
        <w:rPr>
          <w:rFonts w:ascii="宋体" w:hAnsi="宋体" w:cs="宋体" w:eastAsia="宋体" w:hint="ascii"/>
          <w:sz w:val="21"/>
        </w:rPr>
        <w:t>、</w:t>
      </w:r>
    </w:p>
    <w:p>
      <w:pPr>
        <w:autoSpaceDE w:val="0"/>
        <w:autoSpaceDN w:val="0"/>
        <w:jc w:val="right"/>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5"/>
        </w:rPr>
        <w:t>社会心理学</w:t>
      </w:r>
      <w:r>
        <w:rPr>
          <w:rFonts w:ascii="宋体" w:hAnsi="宋体" w:cs="宋体" w:eastAsia="宋体" w:hint="ascii"/>
          <w:sz w:val="21"/>
          <w:spacing w:val="6"/>
        </w:rPr>
        <w:t>、认知的脑结构与神经基础、医学心理学等方向发展较快，而遗传心</w:t>
      </w:r>
      <w:r>
        <w:rPr>
          <w:rFonts w:ascii="宋体" w:hAnsi="宋体" w:cs="宋体" w:eastAsia="宋体" w:hint="ascii"/>
          <w:sz w:val="21"/>
        </w:rPr>
        <w:t>理</w:t>
      </w:r>
      <w:r>
        <w:rPr>
          <w:rFonts w:ascii="宋体" w:hAnsi="宋体" w:cs="宋体" w:eastAsia="宋体" w:hint="ascii"/>
          <w:sz w:val="21"/>
          <w:spacing w:val="3"/>
        </w:rPr>
        <w:t>学、人格</w:t>
      </w:r>
      <w:r>
        <w:rPr>
          <w:rFonts w:ascii="宋体" w:hAnsi="宋体" w:cs="宋体" w:eastAsia="宋体" w:hint="ascii"/>
          <w:sz w:val="21"/>
        </w:rPr>
        <w:t>心</w:t>
      </w:r>
      <w:r>
        <w:rPr>
          <w:rFonts w:ascii="宋体" w:hAnsi="宋体" w:cs="宋体" w:eastAsia="宋体" w:hint="ascii"/>
          <w:sz w:val="21"/>
          <w:spacing w:val="3"/>
        </w:rPr>
        <w:t>理学等方</w:t>
      </w:r>
      <w:r>
        <w:rPr>
          <w:rFonts w:ascii="宋体" w:hAnsi="宋体" w:cs="宋体" w:eastAsia="宋体" w:hint="ascii"/>
          <w:sz w:val="21"/>
        </w:rPr>
        <w:t>向</w:t>
      </w:r>
      <w:r>
        <w:rPr>
          <w:rFonts w:ascii="宋体" w:hAnsi="宋体" w:cs="宋体" w:eastAsia="宋体" w:hint="ascii"/>
          <w:sz w:val="21"/>
          <w:spacing w:val="3"/>
        </w:rPr>
        <w:t>发展则相</w:t>
      </w:r>
      <w:r>
        <w:rPr>
          <w:rFonts w:ascii="宋体" w:hAnsi="宋体" w:cs="宋体" w:eastAsia="宋体" w:hint="ascii"/>
          <w:sz w:val="21"/>
        </w:rPr>
        <w:t>对</w:t>
      </w:r>
      <w:r>
        <w:rPr>
          <w:rFonts w:ascii="宋体" w:hAnsi="宋体" w:cs="宋体" w:eastAsia="宋体" w:hint="ascii"/>
          <w:sz w:val="21"/>
          <w:spacing w:val="3"/>
        </w:rPr>
        <w:t>薄弱。目</w:t>
      </w:r>
      <w:r>
        <w:rPr>
          <w:rFonts w:ascii="宋体" w:hAnsi="宋体" w:cs="宋体" w:eastAsia="宋体" w:hint="ascii"/>
          <w:sz w:val="21"/>
        </w:rPr>
        <w:t>前</w:t>
      </w:r>
      <w:r>
        <w:rPr>
          <w:rFonts w:ascii="宋体" w:hAnsi="宋体" w:cs="宋体" w:eastAsia="宋体" w:hint="ascii"/>
          <w:sz w:val="21"/>
          <w:spacing w:val="3"/>
        </w:rPr>
        <w:t>乃至今后</w:t>
      </w:r>
      <w:r>
        <w:rPr>
          <w:rFonts w:ascii="宋体" w:hAnsi="宋体" w:cs="宋体" w:eastAsia="宋体" w:hint="ascii"/>
          <w:sz w:val="21"/>
        </w:rPr>
        <w:t>几</w:t>
      </w:r>
      <w:r>
        <w:rPr>
          <w:rFonts w:ascii="宋体" w:hAnsi="宋体" w:cs="宋体" w:eastAsia="宋体" w:hint="ascii"/>
          <w:sz w:val="21"/>
          <w:spacing w:val="3"/>
        </w:rPr>
        <w:t>年，在感</w:t>
      </w:r>
      <w:r>
        <w:rPr>
          <w:rFonts w:ascii="宋体" w:hAnsi="宋体" w:cs="宋体" w:eastAsia="宋体" w:hint="ascii"/>
          <w:sz w:val="21"/>
        </w:rPr>
        <w:t>知</w:t>
      </w:r>
      <w:r>
        <w:rPr>
          <w:rFonts w:ascii="宋体" w:hAnsi="宋体" w:cs="宋体" w:eastAsia="宋体" w:hint="ascii"/>
          <w:sz w:val="21"/>
          <w:spacing w:val="3"/>
        </w:rPr>
        <w:t>觉信息处</w:t>
      </w:r>
      <w:r>
        <w:rPr>
          <w:rFonts w:ascii="宋体" w:hAnsi="宋体" w:cs="宋体" w:eastAsia="宋体" w:hint="ascii"/>
          <w:sz w:val="21"/>
        </w:rPr>
        <w:t>理</w:t>
      </w:r>
      <w:r>
        <w:rPr>
          <w:rFonts w:ascii="宋体" w:hAnsi="宋体" w:cs="宋体" w:eastAsia="宋体" w:hint="ascii"/>
          <w:sz w:val="21"/>
          <w:spacing w:val="3"/>
        </w:rPr>
        <w:t>与</w:t>
      </w:r>
      <w:r>
        <w:rPr>
          <w:rFonts w:ascii="宋体" w:hAnsi="宋体" w:cs="宋体" w:eastAsia="宋体" w:hint="ascii"/>
          <w:sz w:val="21"/>
        </w:rPr>
        <w:t>多</w:t>
      </w:r>
      <w:r>
        <w:rPr>
          <w:rFonts w:ascii="宋体" w:hAnsi="宋体" w:cs="宋体" w:eastAsia="宋体" w:hint="ascii"/>
          <w:sz w:val="21"/>
          <w:spacing w:val="3"/>
        </w:rPr>
        <w:t>通道整合</w:t>
      </w:r>
      <w:r>
        <w:rPr>
          <w:rFonts w:ascii="宋体" w:hAnsi="宋体" w:cs="宋体" w:eastAsia="宋体" w:hint="ascii"/>
          <w:sz w:val="21"/>
        </w:rPr>
        <w:t>、</w:t>
      </w:r>
      <w:r>
        <w:rPr>
          <w:rFonts w:ascii="宋体" w:hAnsi="宋体" w:cs="宋体" w:eastAsia="宋体" w:hint="ascii"/>
          <w:sz w:val="21"/>
          <w:spacing w:val="3"/>
        </w:rPr>
        <w:t>注意与意</w:t>
      </w:r>
      <w:r>
        <w:rPr>
          <w:rFonts w:ascii="宋体" w:hAnsi="宋体" w:cs="宋体" w:eastAsia="宋体" w:hint="ascii"/>
          <w:sz w:val="21"/>
        </w:rPr>
        <w:t>识</w:t>
      </w:r>
      <w:r>
        <w:rPr>
          <w:rFonts w:ascii="宋体" w:hAnsi="宋体" w:cs="宋体" w:eastAsia="宋体" w:hint="ascii"/>
          <w:sz w:val="21"/>
          <w:spacing w:val="3"/>
        </w:rPr>
        <w:t>的认知神</w:t>
      </w:r>
      <w:r>
        <w:rPr>
          <w:rFonts w:ascii="宋体" w:hAnsi="宋体" w:cs="宋体" w:eastAsia="宋体" w:hint="ascii"/>
          <w:sz w:val="21"/>
        </w:rPr>
        <w:t>经</w:t>
      </w:r>
      <w:r>
        <w:rPr>
          <w:rFonts w:ascii="宋体" w:hAnsi="宋体" w:cs="宋体" w:eastAsia="宋体" w:hint="ascii"/>
          <w:sz w:val="21"/>
          <w:spacing w:val="3"/>
        </w:rPr>
        <w:t>机制、学</w:t>
      </w:r>
      <w:r>
        <w:rPr>
          <w:rFonts w:ascii="宋体" w:hAnsi="宋体" w:cs="宋体" w:eastAsia="宋体" w:hint="ascii"/>
          <w:sz w:val="21"/>
        </w:rPr>
        <w:t>习</w:t>
      </w:r>
      <w:r>
        <w:rPr>
          <w:rFonts w:ascii="宋体" w:hAnsi="宋体" w:cs="宋体" w:eastAsia="宋体" w:hint="ascii"/>
          <w:sz w:val="21"/>
          <w:spacing w:val="3"/>
        </w:rPr>
        <w:t>与记忆的</w:t>
      </w:r>
      <w:r>
        <w:rPr>
          <w:rFonts w:ascii="宋体" w:hAnsi="宋体" w:cs="宋体" w:eastAsia="宋体" w:hint="ascii"/>
          <w:sz w:val="21"/>
        </w:rPr>
        <w:t>心</w:t>
      </w:r>
      <w:r>
        <w:rPr>
          <w:rFonts w:ascii="宋体" w:hAnsi="宋体" w:cs="宋体" w:eastAsia="宋体" w:hint="ascii"/>
          <w:sz w:val="21"/>
          <w:spacing w:val="3"/>
        </w:rPr>
        <w:t>理过程及</w:t>
      </w:r>
      <w:r>
        <w:rPr>
          <w:rFonts w:ascii="宋体" w:hAnsi="宋体" w:cs="宋体" w:eastAsia="宋体" w:hint="ascii"/>
          <w:sz w:val="21"/>
        </w:rPr>
        <w:t>其</w:t>
      </w:r>
      <w:r>
        <w:rPr>
          <w:rFonts w:ascii="宋体" w:hAnsi="宋体" w:cs="宋体" w:eastAsia="宋体" w:hint="ascii"/>
          <w:sz w:val="21"/>
          <w:spacing w:val="3"/>
        </w:rPr>
        <w:t>生物学基</w:t>
      </w:r>
      <w:r>
        <w:rPr>
          <w:rFonts w:ascii="宋体" w:hAnsi="宋体" w:cs="宋体" w:eastAsia="宋体" w:hint="ascii"/>
          <w:sz w:val="21"/>
        </w:rPr>
        <w:t>础</w:t>
      </w:r>
      <w:r>
        <w:rPr>
          <w:rFonts w:ascii="宋体" w:hAnsi="宋体" w:cs="宋体" w:eastAsia="宋体" w:hint="ascii"/>
          <w:sz w:val="21"/>
          <w:spacing w:val="3"/>
        </w:rPr>
        <w:t>、</w:t>
      </w:r>
      <w:r>
        <w:rPr>
          <w:rFonts w:ascii="宋体" w:hAnsi="宋体" w:cs="宋体" w:eastAsia="宋体" w:hint="ascii"/>
          <w:sz w:val="21"/>
        </w:rPr>
        <w:t>情</w:t>
      </w:r>
      <w:r>
        <w:rPr>
          <w:rFonts w:ascii="宋体" w:hAnsi="宋体" w:cs="宋体" w:eastAsia="宋体" w:hint="ascii"/>
          <w:sz w:val="21"/>
          <w:spacing w:val="-1"/>
        </w:rPr>
        <w:t>绪与行为调</w:t>
      </w:r>
      <w:r>
        <w:rPr>
          <w:rFonts w:ascii="宋体" w:hAnsi="宋体" w:cs="宋体" w:eastAsia="宋体" w:hint="ascii"/>
          <w:sz w:val="21"/>
        </w:rPr>
        <w:t>节的心理生理基础、心理应激与危机干预机制、人类个体认知与社会行为的</w:t>
      </w:r>
      <w:r>
        <w:rPr>
          <w:rFonts w:ascii="宋体" w:hAnsi="宋体" w:cs="宋体" w:eastAsia="宋体" w:hint="ascii"/>
          <w:sz w:val="21"/>
          <w:spacing w:val="-1"/>
        </w:rPr>
        <w:t>发生发展过</w:t>
      </w:r>
      <w:r>
        <w:rPr>
          <w:rFonts w:ascii="宋体" w:hAnsi="宋体" w:cs="宋体" w:eastAsia="宋体" w:hint="ascii"/>
          <w:sz w:val="21"/>
        </w:rPr>
        <w:t>程，以及心理疾患的发生机理、早期识别和干预等领域有望取得重要进展。从</w:t>
      </w:r>
      <w:r>
        <w:rPr>
          <w:rFonts w:ascii="宋体" w:hAnsi="宋体" w:cs="宋体" w:eastAsia="宋体" w:hint="ascii"/>
          <w:sz w:val="21"/>
          <w:spacing w:val="-24"/>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年度心理学与认知科学项目接收情况来看，认知心理学的申请数量最多，</w:t>
      </w:r>
    </w:p>
    <w:p>
      <w:pPr>
        <w:autoSpaceDE w:val="0"/>
        <w:autoSpaceDN w:val="0"/>
        <w:jc w:val="both"/>
        <w:spacing w:before="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rPr>
        <w:t>约占学科申请总数</w:t>
      </w:r>
      <w:r>
        <w:rPr>
          <w:rFonts w:ascii="宋体" w:hAnsi="宋体" w:cs="宋体" w:eastAsia="宋体" w:hint="ascii"/>
          <w:sz w:val="21"/>
          <w:spacing w:val="-3"/>
        </w:rPr>
        <w:t>的</w:t>
      </w:r>
      <w:r>
        <w:rPr>
          <w:rFonts w:ascii="宋体" w:hAnsi="宋体" w:cs="宋体" w:eastAsia="宋体" w:hint="ascii"/>
          <w:sz w:val="21"/>
          <w:spacing w:val="-26"/>
        </w:rPr>
        <w:t xml:space="preserve"> </w:t>
      </w:r>
      <w:r>
        <w:rPr>
          <w:rFonts w:ascii="Times New Roman" w:hAnsi="Times New Roman" w:cs="Times New Roman" w:eastAsia="Times New Roman" w:hint="ascii"/>
          <w:sz w:val="21"/>
        </w:rPr>
        <w:t>25</w:t>
      </w:r>
      <w:r>
        <w:rPr>
          <w:rFonts w:ascii="Times New Roman" w:hAnsi="Times New Roman" w:cs="Times New Roman" w:eastAsia="Times New Roman" w:hint="ascii"/>
          <w:sz w:val="21"/>
          <w:spacing w:val="5"/>
        </w:rPr>
        <w:t>%</w:t>
      </w:r>
      <w:r>
        <w:rPr>
          <w:rFonts w:ascii="宋体" w:hAnsi="宋体" w:cs="宋体" w:eastAsia="宋体" w:hint="ascii"/>
          <w:sz w:val="21"/>
        </w:rPr>
        <w:t>；其次为发展心理学、认知的脑结构与神经基础、社会心</w:t>
      </w:r>
      <w:r>
        <w:rPr>
          <w:rFonts w:ascii="宋体" w:hAnsi="宋体" w:cs="宋体" w:eastAsia="宋体" w:hint="ascii"/>
          <w:sz w:val="21"/>
          <w:spacing w:val="-6"/>
        </w:rPr>
        <w:t>理</w:t>
      </w:r>
      <w:r>
        <w:rPr>
          <w:rFonts w:ascii="宋体" w:hAnsi="宋体" w:cs="宋体" w:eastAsia="宋体" w:hint="ascii"/>
          <w:sz w:val="21"/>
          <w:spacing w:val="1"/>
        </w:rPr>
        <w:t>学</w:t>
      </w:r>
      <w:r>
        <w:rPr>
          <w:rFonts w:ascii="宋体" w:hAnsi="宋体" w:cs="宋体" w:eastAsia="宋体" w:hint="ascii"/>
          <w:sz w:val="21"/>
        </w:rPr>
        <w:t>、医学心理学等，各约占学科申请总数</w:t>
      </w:r>
      <w:r>
        <w:rPr>
          <w:rFonts w:ascii="宋体" w:hAnsi="宋体" w:cs="宋体" w:eastAsia="宋体" w:hint="ascii"/>
          <w:sz w:val="21"/>
          <w:spacing w:val="-3"/>
        </w:rPr>
        <w:t>的</w:t>
      </w:r>
      <w:r>
        <w:rPr>
          <w:rFonts w:ascii="宋体" w:hAnsi="宋体" w:cs="宋体" w:eastAsia="宋体" w:hint="ascii"/>
          <w:sz w:val="21"/>
          <w:spacing w:val="-26"/>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5"/>
        </w:rPr>
        <w:t>%</w:t>
      </w:r>
      <w:r>
        <w:rPr>
          <w:rFonts w:ascii="宋体" w:hAnsi="宋体" w:cs="宋体" w:eastAsia="宋体" w:hint="ascii"/>
          <w:sz w:val="21"/>
        </w:rPr>
        <w:t>；而遗传心理学和人格心理学申请</w:t>
      </w:r>
      <w:r>
        <w:rPr>
          <w:rFonts w:ascii="宋体" w:hAnsi="宋体" w:cs="宋体" w:eastAsia="宋体" w:hint="ascii"/>
          <w:sz w:val="21"/>
          <w:spacing w:val="-6"/>
        </w:rPr>
        <w:t>数</w:t>
      </w:r>
      <w:r>
        <w:rPr>
          <w:rFonts w:ascii="宋体" w:hAnsi="宋体" w:cs="宋体" w:eastAsia="宋体" w:hint="ascii"/>
          <w:sz w:val="21"/>
          <w:spacing w:val="-1"/>
        </w:rPr>
        <w:t>量偏少，认</w:t>
      </w:r>
      <w:r>
        <w:rPr>
          <w:rFonts w:ascii="宋体" w:hAnsi="宋体" w:cs="宋体" w:eastAsia="宋体" w:hint="ascii"/>
          <w:sz w:val="21"/>
        </w:rPr>
        <w:t>知模拟代码没有面上类项目申请。从获资助情况来看，认知心理学中的感知</w:t>
      </w:r>
      <w:r>
        <w:rPr>
          <w:rFonts w:ascii="宋体" w:hAnsi="宋体" w:cs="宋体" w:eastAsia="宋体" w:hint="ascii"/>
          <w:sz w:val="21"/>
          <w:spacing w:val="-1"/>
        </w:rPr>
        <w:t>觉信息加工</w:t>
      </w:r>
      <w:r>
        <w:rPr>
          <w:rFonts w:ascii="宋体" w:hAnsi="宋体" w:cs="宋体" w:eastAsia="宋体" w:hint="ascii"/>
          <w:sz w:val="21"/>
        </w:rPr>
        <w:t>、记忆、情绪、社会认知和语言，发展心理学中的认知发展和发展障碍，社会心理学中的态度与行为，以及医学心理学中的心理疾患等研究领域获资助较多。</w:t>
      </w:r>
    </w:p>
    <w:p>
      <w:pPr>
        <w:autoSpaceDE w:val="0"/>
        <w:autoSpaceDN w:val="0"/>
        <w:jc w:val="left"/>
        <w:spacing w:before="40" w:after="0" w:lineRule="auto" w:line="240"/>
        <w:ind w:right="0" w:left="1394"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2"/>
        </w:rPr>
        <w:t>20</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年度心理学与认知科学将在继续支持优势领域的同时，加强对遗传心理学、</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个性心理学、医学心</w:t>
      </w:r>
      <w:r>
        <w:rPr>
          <w:rFonts w:ascii="宋体" w:hAnsi="宋体" w:cs="宋体" w:eastAsia="宋体" w:hint="ascii"/>
          <w:sz w:val="21"/>
        </w:rPr>
        <w:t>理学等领域的资助；鼓励多学科交叉融合，采用现代神经影像</w:t>
      </w:r>
      <w:r>
        <w:rPr>
          <w:rFonts w:ascii="宋体" w:hAnsi="宋体" w:cs="宋体" w:eastAsia="宋体" w:hint="ascii"/>
          <w:sz w:val="21"/>
          <w:spacing w:val="-6"/>
        </w:rPr>
        <w:t>、</w:t>
      </w:r>
      <w:r>
        <w:rPr>
          <w:rFonts w:ascii="宋体" w:hAnsi="宋体" w:cs="宋体" w:eastAsia="宋体" w:hint="ascii"/>
          <w:sz w:val="21"/>
          <w:spacing w:val="1"/>
        </w:rPr>
        <w:t>基因分析、脑刺激、</w:t>
      </w:r>
      <w:r>
        <w:rPr>
          <w:rFonts w:ascii="宋体" w:hAnsi="宋体" w:cs="宋体" w:eastAsia="宋体" w:hint="ascii"/>
          <w:sz w:val="21"/>
        </w:rPr>
        <w:t>大数据分析、纵向追踪等技术和方法，推动对心理活动及其物</w:t>
      </w:r>
      <w:r>
        <w:rPr>
          <w:rFonts w:ascii="宋体" w:hAnsi="宋体" w:cs="宋体" w:eastAsia="宋体" w:hint="ascii"/>
          <w:sz w:val="21"/>
          <w:spacing w:val="-6"/>
        </w:rPr>
        <w:t>质</w:t>
      </w:r>
      <w:r>
        <w:rPr>
          <w:rFonts w:ascii="宋体" w:hAnsi="宋体" w:cs="宋体" w:eastAsia="宋体" w:hint="ascii"/>
          <w:sz w:val="21"/>
          <w:spacing w:val="1"/>
        </w:rPr>
        <w:t>基础的深入研究，鼓</w:t>
      </w:r>
      <w:r>
        <w:rPr>
          <w:rFonts w:ascii="宋体" w:hAnsi="宋体" w:cs="宋体" w:eastAsia="宋体" w:hint="ascii"/>
          <w:sz w:val="21"/>
        </w:rPr>
        <w:t>励提出和发展新的理论、方法和技术。加强基础研究与应用研</w:t>
      </w:r>
      <w:r>
        <w:rPr>
          <w:rFonts w:ascii="宋体" w:hAnsi="宋体" w:cs="宋体" w:eastAsia="宋体" w:hint="ascii"/>
          <w:sz w:val="21"/>
          <w:spacing w:val="-6"/>
        </w:rPr>
        <w:t>究</w:t>
      </w:r>
      <w:r>
        <w:rPr>
          <w:rFonts w:ascii="宋体" w:hAnsi="宋体" w:cs="宋体" w:eastAsia="宋体" w:hint="ascii"/>
          <w:sz w:val="21"/>
          <w:spacing w:val="1"/>
        </w:rPr>
        <w:t>相结合，提高国民心</w:t>
      </w:r>
      <w:r>
        <w:rPr>
          <w:rFonts w:ascii="宋体" w:hAnsi="宋体" w:cs="宋体" w:eastAsia="宋体" w:hint="ascii"/>
          <w:sz w:val="21"/>
        </w:rPr>
        <w:t>理素质；加强对人类个体与社会行为的心理机制研究，促进社</w:t>
      </w:r>
      <w:r>
        <w:rPr>
          <w:rFonts w:ascii="宋体" w:hAnsi="宋体" w:cs="宋体" w:eastAsia="宋体" w:hint="ascii"/>
          <w:sz w:val="21"/>
          <w:spacing w:val="-6"/>
        </w:rPr>
        <w:t>会</w:t>
      </w:r>
      <w:r>
        <w:rPr>
          <w:rFonts w:ascii="宋体" w:hAnsi="宋体" w:cs="宋体" w:eastAsia="宋体" w:hint="ascii"/>
          <w:sz w:val="21"/>
        </w:rPr>
        <w:t>和谐发展。</w:t>
      </w:r>
    </w:p>
    <w:p>
      <w:pPr>
        <w:autoSpaceDE w:val="0"/>
        <w:autoSpaceDN w:val="0"/>
        <w:jc w:val="both"/>
        <w:spacing w:before="0" w:after="0" w:lineRule="exact" w:line="319"/>
        <w:ind w:right="977"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特别提醒申</w:t>
      </w:r>
      <w:r>
        <w:rPr>
          <w:rFonts w:ascii="宋体" w:hAnsi="宋体" w:cs="宋体" w:eastAsia="宋体" w:hint="ascii"/>
          <w:sz w:val="21"/>
        </w:rPr>
        <w:t>请人注意：单纯以实验动物为研究对象的认知科学项目建议到神经科学学科申请</w:t>
      </w:r>
      <w:r>
        <w:rPr>
          <w:rFonts w:ascii="宋体" w:hAnsi="宋体" w:cs="宋体" w:eastAsia="宋体" w:hint="ascii"/>
          <w:b w:val="1"/>
          <w:sz w:val="21"/>
        </w:rPr>
        <w:t>。</w:t>
      </w:r>
    </w:p>
    <w:p>
      <w:pPr>
        <w:autoSpaceDE w:val="0"/>
        <w:autoSpaceDN w:val="0"/>
        <w:jc w:val="left"/>
        <w:spacing w:before="272"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生命科学五处</w:t>
      </w:r>
    </w:p>
    <w:p>
      <w:pPr>
        <w:autoSpaceDE w:val="0"/>
        <w:autoSpaceDN w:val="0"/>
        <w:jc w:val="both"/>
        <w:spacing w:before="301"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生命科学五</w:t>
      </w:r>
      <w:r>
        <w:rPr>
          <w:rFonts w:ascii="宋体" w:hAnsi="宋体" w:cs="宋体" w:eastAsia="宋体" w:hint="ascii"/>
          <w:sz w:val="21"/>
        </w:rPr>
        <w:t>处的资助范围包括遗传学与生物信息学、细胞生物学以及发育生物学与生殖生物学三个学科。</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遗传学与生物信息学学科</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遗传学是在分子、细胞、个体、群体和物种等水平上研究遗传、变异与演化规律的</w:t>
      </w:r>
    </w:p>
    <w:p>
      <w:pPr>
        <w:autoSpaceDE w:val="0"/>
        <w:autoSpaceDN w:val="0"/>
        <w:jc w:val="right"/>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学科。生物</w:t>
      </w:r>
      <w:r>
        <w:rPr>
          <w:rFonts w:ascii="宋体" w:hAnsi="宋体" w:cs="宋体" w:eastAsia="宋体" w:hint="ascii"/>
          <w:sz w:val="21"/>
        </w:rPr>
        <w:t>信息学是研究生物数据获取、存储、共享、分析的方法和应用的交叉学科。本学科的资助涉及人类遗传学、植物遗传学、动物遗传学和微生物遗传学。资助领</w:t>
      </w:r>
    </w:p>
    <w:p>
      <w:pPr>
        <w:autoSpaceDE w:val="0"/>
        <w:autoSpaceDN w:val="0"/>
        <w:jc w:val="both"/>
        <w:spacing w:before="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域包括表观遗传学、</w:t>
      </w:r>
      <w:r>
        <w:rPr>
          <w:rFonts w:ascii="宋体" w:hAnsi="宋体" w:cs="宋体" w:eastAsia="宋体" w:hint="ascii"/>
          <w:sz w:val="21"/>
        </w:rPr>
        <w:t>分子遗传学、细胞遗传学、群体遗传学、进化遗传学、行为遗</w:t>
      </w:r>
      <w:r>
        <w:rPr>
          <w:rFonts w:ascii="宋体" w:hAnsi="宋体" w:cs="宋体" w:eastAsia="宋体" w:hint="ascii"/>
          <w:sz w:val="21"/>
          <w:spacing w:val="-6"/>
        </w:rPr>
        <w:t>传</w:t>
      </w:r>
      <w:r>
        <w:rPr>
          <w:rFonts w:ascii="宋体" w:hAnsi="宋体" w:cs="宋体" w:eastAsia="宋体" w:hint="ascii"/>
          <w:sz w:val="21"/>
          <w:spacing w:val="1"/>
        </w:rPr>
        <w:t>学、化学遗传学、基</w:t>
      </w:r>
      <w:r>
        <w:rPr>
          <w:rFonts w:ascii="宋体" w:hAnsi="宋体" w:cs="宋体" w:eastAsia="宋体" w:hint="ascii"/>
          <w:sz w:val="21"/>
        </w:rPr>
        <w:t>因组学、生物信息学、计算生物学、生物统计学、生物大数据</w:t>
      </w:r>
      <w:r>
        <w:rPr>
          <w:rFonts w:ascii="宋体" w:hAnsi="宋体" w:cs="宋体" w:eastAsia="宋体" w:hint="ascii"/>
          <w:sz w:val="21"/>
          <w:spacing w:val="-6"/>
        </w:rPr>
        <w:t>科</w:t>
      </w:r>
      <w:r>
        <w:rPr>
          <w:rFonts w:ascii="宋体" w:hAnsi="宋体" w:cs="宋体" w:eastAsia="宋体" w:hint="ascii"/>
          <w:sz w:val="21"/>
        </w:rPr>
        <w:t>学、系统生物学与合成生物学等。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遗传学领域重点关注：生物复杂性状的遗传机制，包括重要功能基因的鉴定、分析</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及其调控规</w:t>
      </w:r>
      <w:r>
        <w:rPr>
          <w:rFonts w:ascii="宋体" w:hAnsi="宋体" w:cs="宋体" w:eastAsia="宋体" w:hint="ascii"/>
          <w:sz w:val="21"/>
        </w:rPr>
        <w:t>律，遗传多样性，基因组稳定性，表型与基因型的关系，重要生物类群遗传变异的演化模式和机制；人类疾病的遗传学基础，包括基因组变异鉴定、致病</w:t>
      </w:r>
      <w:r>
        <w:rPr>
          <w:rFonts w:ascii="Times New Roman" w:hAnsi="Times New Roman" w:cs="Times New Roman" w:eastAsia="Times New Roman" w:hint="ascii"/>
          <w:sz w:val="21"/>
        </w:rPr>
        <w:t>/</w:t>
      </w:r>
      <w:r>
        <w:rPr>
          <w:rFonts w:ascii="宋体" w:hAnsi="宋体" w:cs="宋体" w:eastAsia="宋体" w:hint="ascii"/>
          <w:sz w:val="21"/>
        </w:rPr>
        <w:t>易感基</w:t>
      </w:r>
      <w:r>
        <w:rPr>
          <w:rFonts w:ascii="宋体" w:hAnsi="宋体" w:cs="宋体" w:eastAsia="宋体" w:hint="ascii"/>
          <w:sz w:val="21"/>
          <w:spacing w:val="-1"/>
        </w:rPr>
        <w:t>因及其修饰</w:t>
      </w:r>
      <w:r>
        <w:rPr>
          <w:rFonts w:ascii="宋体" w:hAnsi="宋体" w:cs="宋体" w:eastAsia="宋体" w:hint="ascii"/>
          <w:sz w:val="21"/>
        </w:rPr>
        <w:t>基因的发现、功能验证、疾病发生分子机制及其预测；以模式生物为材料研</w:t>
      </w:r>
      <w:r>
        <w:rPr>
          <w:rFonts w:ascii="宋体" w:hAnsi="宋体" w:cs="宋体" w:eastAsia="宋体" w:hint="ascii"/>
          <w:sz w:val="21"/>
          <w:spacing w:val="-1"/>
        </w:rPr>
        <w:t>究遗传基本</w:t>
      </w:r>
      <w:r>
        <w:rPr>
          <w:rFonts w:ascii="宋体" w:hAnsi="宋体" w:cs="宋体" w:eastAsia="宋体" w:hint="ascii"/>
          <w:sz w:val="21"/>
        </w:rPr>
        <w:t>规律与基因表达调控的分子机制；遗传操作及遗传育种新技术、新方法；重</w:t>
      </w:r>
    </w:p>
    <w:p>
      <w:pPr>
        <w:autoSpaceDE w:val="0"/>
        <w:autoSpaceDN w:val="0"/>
        <w:jc w:val="left"/>
        <w:spacing w:before="26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要动植物、</w:t>
      </w:r>
      <w:r>
        <w:rPr>
          <w:rFonts w:ascii="宋体" w:hAnsi="宋体" w:cs="宋体" w:eastAsia="宋体" w:hint="ascii"/>
          <w:sz w:val="21"/>
        </w:rPr>
        <w:t>微生物资源和特色生物资源重要性状的遗传规律和分子遗传解析；极端或特</w:t>
      </w:r>
      <w:r>
        <w:rPr>
          <w:rFonts w:ascii="宋体" w:hAnsi="宋体" w:cs="宋体" w:eastAsia="宋体" w:hint="ascii"/>
          <w:sz w:val="21"/>
          <w:spacing w:val="-1"/>
        </w:rPr>
        <w:t>殊环境下生</w:t>
      </w:r>
      <w:r>
        <w:rPr>
          <w:rFonts w:ascii="宋体" w:hAnsi="宋体" w:cs="宋体" w:eastAsia="宋体" w:hint="ascii"/>
          <w:sz w:val="21"/>
        </w:rPr>
        <w:t>物遗传和变异的分子基础；新兴遗传学领域如基因编辑、化学遗传学、光遗传学、表型组学、</w:t>
      </w:r>
      <w:r>
        <w:rPr>
          <w:rFonts w:ascii="Times New Roman" w:hAnsi="Times New Roman" w:cs="Times New Roman" w:eastAsia="Times New Roman" w:hint="ascii"/>
          <w:sz w:val="21"/>
        </w:rPr>
        <w:t>3D/4</w:t>
      </w:r>
      <w:r>
        <w:rPr>
          <w:rFonts w:ascii="Times New Roman" w:hAnsi="Times New Roman" w:cs="Times New Roman" w:eastAsia="Times New Roman" w:hint="ascii"/>
          <w:sz w:val="21"/>
          <w:spacing w:val="52"/>
        </w:rPr>
        <w:t>D</w:t>
      </w:r>
      <w:r>
        <w:rPr>
          <w:rFonts w:ascii="宋体" w:hAnsi="宋体" w:cs="宋体" w:eastAsia="宋体" w:hint="ascii"/>
          <w:sz w:val="21"/>
        </w:rPr>
        <w:t>基因组学；生物大数据和多维组学的方法建立与应用等。</w:t>
      </w:r>
      <w:r>
        <w:rPr>
          <w:rFonts w:ascii="宋体" w:hAnsi="宋体" w:cs="宋体" w:eastAsia="宋体" w:hint="ascii"/>
          <w:sz w:val="21"/>
        </w:rPr>
        <mc:AlternateContent>
          <mc:Choice Requires="wps">
            <w:drawing>
              <wp:anchor distL="0" distR="0" distT="0" distB="0" simplePos="0" behindDoc="1" relativeHeight="89" locked="0" layoutInCell="1" allowOverlap="1">
                <wp:simplePos x="0" y="0"/>
                <wp:positionH relativeFrom="page">
                  <wp:posOffset>938530</wp:posOffset>
                </wp:positionH>
                <wp:positionV relativeFrom="page">
                  <wp:posOffset>819150</wp:posOffset>
                </wp:positionV>
                <wp:extent cx="5076190" cy="0"/>
                <wp:wrapNone/>
                <wp:docPr id="1117" name="111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67104;width:399.70pt;" id="111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864" w:hanging="478"/>
        <w:snapToGrid w:val="0"/>
        <w:textAlignment w:val="auto"/>
        <w:tabs>
          <w:tab w:val="left" w:leader="none" w:pos="1863"/>
        </w:tabs>
        <w:numPr>
          <w:ilvl w:val="0"/>
          <w:numId w:val="58"/>
        </w:numPr>
        <w:rPr>
          <w:rFonts w:ascii="Times New Roman" w:hAnsi="Times New Roman" w:cs="Times New Roman" w:eastAsia="Times New Roman" w:hint="ascii"/>
          <w:sz w:val="21"/>
          <w:spacing w:val="1"/>
        </w:rPr>
      </w:pPr>
      <w:r>
        <w:rPr>
          <w:rFonts w:ascii="宋体" w:hAnsi="宋体" w:cs="宋体" w:eastAsia="宋体" w:hint="ascii"/>
          <w:sz w:val="21"/>
        </w:rPr>
        <w:t>年度动物遗传学、微生物遗传学、细胞遗传学、数量遗传学、行为遗传学、</w:t>
      </w:r>
    </w:p>
    <w:p>
      <w:pPr>
        <w:autoSpaceDE w:val="0"/>
        <w:autoSpaceDN w:val="0"/>
        <w:jc w:val="both"/>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进化遗传学、生物环路的模拟与构建等领域申请项目较少，这些领域是遗传学研究的重要内容，而且国内已有一定基础，希望申请人从前期研究中凝练出科学问题，提出项目申请，本学科将考虑予以倾斜支持。人类遗传学中遗传与变异主要支持人类遗传与变异</w:t>
      </w:r>
      <w:r>
        <w:rPr>
          <w:rFonts w:ascii="宋体" w:hAnsi="宋体" w:cs="宋体" w:eastAsia="宋体" w:hint="ascii"/>
          <w:sz w:val="21"/>
          <w:spacing w:val="-2"/>
        </w:rPr>
        <w:t>的机制研究。</w:t>
      </w:r>
      <w:r>
        <w:rPr>
          <w:rFonts w:ascii="Times New Roman" w:hAnsi="Times New Roman" w:cs="Times New Roman" w:eastAsia="Times New Roman" w:hint="ascii"/>
          <w:sz w:val="21"/>
          <w:spacing w:val="-2"/>
        </w:rPr>
        <w:t>201</w:t>
      </w:r>
      <w:r>
        <w:rPr>
          <w:rFonts w:ascii="Times New Roman" w:hAnsi="Times New Roman" w:cs="Times New Roman" w:eastAsia="Times New Roman" w:hint="ascii"/>
          <w:sz w:val="21"/>
          <w:spacing w:val="49"/>
        </w:rPr>
        <w:t>8</w:t>
      </w:r>
      <w:r>
        <w:rPr>
          <w:rFonts w:ascii="宋体" w:hAnsi="宋体" w:cs="宋体" w:eastAsia="宋体" w:hint="ascii"/>
          <w:sz w:val="21"/>
          <w:spacing w:val="-2"/>
        </w:rPr>
        <w:t>年度遗传学将继续鼓励和支持对遗传学基本机制和规律探讨的项目</w:t>
      </w:r>
      <w:r>
        <w:rPr>
          <w:rFonts w:ascii="宋体" w:hAnsi="宋体" w:cs="宋体" w:eastAsia="宋体" w:hint="ascii"/>
          <w:sz w:val="21"/>
        </w:rPr>
        <w:t>。</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生物</w:t>
      </w:r>
      <w:r>
        <w:rPr>
          <w:rFonts w:ascii="宋体" w:hAnsi="宋体" w:cs="宋体" w:eastAsia="宋体" w:hint="ascii"/>
          <w:sz w:val="21"/>
          <w:spacing w:val="2"/>
        </w:rPr>
        <w:t>信</w:t>
      </w:r>
      <w:r>
        <w:rPr>
          <w:rFonts w:ascii="宋体" w:hAnsi="宋体" w:cs="宋体" w:eastAsia="宋体" w:hint="ascii"/>
          <w:sz w:val="21"/>
          <w:spacing w:val="1"/>
        </w:rPr>
        <w:t>息学领域</w:t>
      </w:r>
      <w:r>
        <w:rPr>
          <w:rFonts w:ascii="宋体" w:hAnsi="宋体" w:cs="宋体" w:eastAsia="宋体" w:hint="ascii"/>
          <w:sz w:val="21"/>
          <w:spacing w:val="2"/>
        </w:rPr>
        <w:t>重</w:t>
      </w:r>
      <w:r>
        <w:rPr>
          <w:rFonts w:ascii="宋体" w:hAnsi="宋体" w:cs="宋体" w:eastAsia="宋体" w:hint="ascii"/>
          <w:sz w:val="21"/>
          <w:spacing w:val="1"/>
        </w:rPr>
        <w:t>点关注：</w:t>
      </w:r>
      <w:r>
        <w:rPr>
          <w:rFonts w:ascii="宋体" w:hAnsi="宋体" w:cs="宋体" w:eastAsia="宋体" w:hint="ascii"/>
          <w:sz w:val="21"/>
          <w:spacing w:val="2"/>
        </w:rPr>
        <w:t>发</w:t>
      </w:r>
      <w:r>
        <w:rPr>
          <w:rFonts w:ascii="宋体" w:hAnsi="宋体" w:cs="宋体" w:eastAsia="宋体" w:hint="ascii"/>
          <w:sz w:val="21"/>
          <w:spacing w:val="1"/>
        </w:rPr>
        <w:t>展新的理</w:t>
      </w:r>
      <w:r>
        <w:rPr>
          <w:rFonts w:ascii="宋体" w:hAnsi="宋体" w:cs="宋体" w:eastAsia="宋体" w:hint="ascii"/>
          <w:sz w:val="21"/>
          <w:spacing w:val="2"/>
        </w:rPr>
        <w:t>论</w:t>
      </w:r>
      <w:r>
        <w:rPr>
          <w:rFonts w:ascii="宋体" w:hAnsi="宋体" w:cs="宋体" w:eastAsia="宋体" w:hint="ascii"/>
          <w:sz w:val="21"/>
          <w:spacing w:val="1"/>
        </w:rPr>
        <w:t>、</w:t>
      </w:r>
      <w:r>
        <w:rPr>
          <w:rFonts w:ascii="宋体" w:hAnsi="宋体" w:cs="宋体" w:eastAsia="宋体" w:hint="ascii"/>
          <w:sz w:val="21"/>
          <w:spacing w:val="2"/>
        </w:rPr>
        <w:t>算法和</w:t>
      </w:r>
      <w:r>
        <w:rPr>
          <w:rFonts w:ascii="宋体" w:hAnsi="宋体" w:cs="宋体" w:eastAsia="宋体" w:hint="ascii"/>
          <w:sz w:val="21"/>
          <w:spacing w:val="3"/>
        </w:rPr>
        <w:t>分</w:t>
      </w:r>
      <w:r>
        <w:rPr>
          <w:rFonts w:ascii="宋体" w:hAnsi="宋体" w:cs="宋体" w:eastAsia="宋体" w:hint="ascii"/>
          <w:sz w:val="21"/>
          <w:spacing w:val="2"/>
        </w:rPr>
        <w:t>析技术，</w:t>
      </w:r>
      <w:r>
        <w:rPr>
          <w:rFonts w:ascii="宋体" w:hAnsi="宋体" w:cs="宋体" w:eastAsia="宋体" w:hint="ascii"/>
          <w:sz w:val="21"/>
          <w:spacing w:val="3"/>
        </w:rPr>
        <w:t>用</w:t>
      </w:r>
      <w:r>
        <w:rPr>
          <w:rFonts w:ascii="宋体" w:hAnsi="宋体" w:cs="宋体" w:eastAsia="宋体" w:hint="ascii"/>
          <w:sz w:val="21"/>
          <w:spacing w:val="2"/>
        </w:rPr>
        <w:t>于研究单</w:t>
      </w:r>
      <w:r>
        <w:rPr>
          <w:rFonts w:ascii="宋体" w:hAnsi="宋体" w:cs="宋体" w:eastAsia="宋体" w:hint="ascii"/>
          <w:sz w:val="21"/>
          <w:spacing w:val="3"/>
        </w:rPr>
        <w:t>细</w:t>
      </w:r>
      <w:r>
        <w:rPr>
          <w:rFonts w:ascii="宋体" w:hAnsi="宋体" w:cs="宋体" w:eastAsia="宋体" w:hint="ascii"/>
          <w:sz w:val="21"/>
          <w:spacing w:val="2"/>
        </w:rPr>
        <w:t>胞</w:t>
      </w:r>
      <w:r>
        <w:rPr>
          <w:rFonts w:ascii="宋体" w:hAnsi="宋体" w:cs="宋体" w:eastAsia="宋体" w:hint="ascii"/>
          <w:sz w:val="21"/>
          <w:spacing w:val="-1"/>
        </w:rPr>
        <w:t>组</w:t>
      </w:r>
      <w:r>
        <w:rPr>
          <w:rFonts w:ascii="宋体" w:hAnsi="宋体" w:cs="宋体" w:eastAsia="宋体" w:hint="ascii"/>
          <w:sz w:val="21"/>
        </w:rPr>
        <w:t xml:space="preserve"> 学、基因组结构、功能与演化；整合组学数据与系统生物学分析；生物大数据的整合、标准化和可视化的方法研究；生物数据编审（</w:t>
      </w:r>
      <w:r>
        <w:rPr>
          <w:rFonts w:ascii="Times New Roman" w:hAnsi="Times New Roman" w:cs="Times New Roman" w:eastAsia="Times New Roman" w:hint="ascii"/>
          <w:sz w:val="21"/>
        </w:rPr>
        <w:t>curation</w:t>
      </w:r>
      <w:r>
        <w:rPr>
          <w:rFonts w:ascii="宋体" w:hAnsi="宋体" w:cs="宋体" w:eastAsia="宋体" w:hint="ascii"/>
          <w:sz w:val="21"/>
          <w:spacing w:val="-52"/>
        </w:rPr>
        <w:t>）</w:t>
      </w:r>
      <w:r>
        <w:rPr>
          <w:rFonts w:ascii="宋体" w:hAnsi="宋体" w:cs="宋体" w:eastAsia="宋体" w:hint="ascii"/>
          <w:sz w:val="21"/>
        </w:rPr>
        <w:t>；生物数据的虚拟现实展示；分子模块和网络的设计与合成；生物网络的研究等。鼓励生物信息学分析与生物实验验证相结合。今后，本学科将继续支持和鼓励遗传学的新理论、新方法及交叉研究。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细胞生物学学科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细胞生物学是研究细胞生命活动规律及其机制的基础性科学。现代细胞生物学研究</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主要是在分</w:t>
      </w:r>
      <w:r>
        <w:rPr>
          <w:rFonts w:ascii="宋体" w:hAnsi="宋体" w:cs="宋体" w:eastAsia="宋体" w:hint="ascii"/>
          <w:sz w:val="21"/>
        </w:rPr>
        <w:t>子、细胞和个体水平上研究机体内环境中的细胞的结构、功能、表型及其调</w:t>
      </w:r>
      <w:r>
        <w:rPr>
          <w:rFonts w:ascii="宋体" w:hAnsi="宋体" w:cs="宋体" w:eastAsia="宋体" w:hint="ascii"/>
          <w:sz w:val="21"/>
          <w:spacing w:val="-1"/>
        </w:rPr>
        <w:t>控机制，并</w:t>
      </w:r>
      <w:r>
        <w:rPr>
          <w:rFonts w:ascii="宋体" w:hAnsi="宋体" w:cs="宋体" w:eastAsia="宋体" w:hint="ascii"/>
          <w:sz w:val="21"/>
        </w:rPr>
        <w:t>重视利用各种新技术手段，对细胞生命活动在时空上精细的分子调节机制及复杂的调控网络进行系统研究，阐明生物体表型和功能异常产生的细胞生物学机制。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本学科的主要资助范围包括：细胞及细胞器结构、成分及组装机制，细胞骨架，细</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胞生长、分裂与细胞</w:t>
      </w:r>
      <w:r>
        <w:rPr>
          <w:rFonts w:ascii="宋体" w:hAnsi="宋体" w:cs="宋体" w:eastAsia="宋体" w:hint="ascii"/>
          <w:sz w:val="21"/>
        </w:rPr>
        <w:t>周期的调控机制，干细胞生物学，细胞分化，细胞极性，细胞</w:t>
      </w:r>
      <w:r>
        <w:rPr>
          <w:rFonts w:ascii="宋体" w:hAnsi="宋体" w:cs="宋体" w:eastAsia="宋体" w:hint="ascii"/>
          <w:sz w:val="21"/>
          <w:spacing w:val="-6"/>
        </w:rPr>
        <w:t>衰</w:t>
      </w:r>
      <w:r>
        <w:rPr>
          <w:rFonts w:ascii="宋体" w:hAnsi="宋体" w:cs="宋体" w:eastAsia="宋体" w:hint="ascii"/>
          <w:sz w:val="21"/>
          <w:spacing w:val="-1"/>
        </w:rPr>
        <w:t>老，细胞自</w:t>
      </w:r>
      <w:r>
        <w:rPr>
          <w:rFonts w:ascii="宋体" w:hAnsi="宋体" w:cs="宋体" w:eastAsia="宋体" w:hint="ascii"/>
          <w:sz w:val="21"/>
        </w:rPr>
        <w:t>噬，细胞死亡，细胞运动，细胞信号传导，细胞外基质，囊泡运输（包括内吞和胞吐</w:t>
      </w:r>
      <w:r>
        <w:rPr>
          <w:rFonts w:ascii="宋体" w:hAnsi="宋体" w:cs="宋体" w:eastAsia="宋体" w:hint="ascii"/>
          <w:sz w:val="21"/>
          <w:spacing w:val="-52"/>
        </w:rPr>
        <w:t>）</w:t>
      </w:r>
      <w:r>
        <w:rPr>
          <w:rFonts w:ascii="宋体" w:hAnsi="宋体" w:cs="宋体" w:eastAsia="宋体" w:hint="ascii"/>
          <w:sz w:val="21"/>
        </w:rPr>
        <w:t>，细胞呼吸与代谢，细胞与细胞、细胞与环境、细胞与微生物相互作用，细胞变异与转化，以及细胞生物学研究的新方法。</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细胞及细胞器结构与功能研究一直是本学科资助的重心。学科鼓励申请人将大分子</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的合成、修</w:t>
      </w:r>
      <w:r>
        <w:rPr>
          <w:rFonts w:ascii="宋体" w:hAnsi="宋体" w:cs="宋体" w:eastAsia="宋体" w:hint="ascii"/>
          <w:sz w:val="21"/>
        </w:rPr>
        <w:t>饰、降解、定位、转位，生物大分子复合物的组装、解离及其组分活性的时</w:t>
      </w:r>
      <w:r>
        <w:rPr>
          <w:rFonts w:ascii="宋体" w:hAnsi="宋体" w:cs="宋体" w:eastAsia="宋体" w:hint="ascii"/>
          <w:sz w:val="21"/>
          <w:spacing w:val="-1"/>
        </w:rPr>
        <w:t>空变化，与</w:t>
      </w:r>
      <w:r>
        <w:rPr>
          <w:rFonts w:ascii="宋体" w:hAnsi="宋体" w:cs="宋体" w:eastAsia="宋体" w:hint="ascii"/>
          <w:sz w:val="21"/>
        </w:rPr>
        <w:t>细胞的生命活动过程的动态变化相互联系起来开展研究；鼓励申请人利用细</w:t>
      </w:r>
      <w:r>
        <w:rPr>
          <w:rFonts w:ascii="宋体" w:hAnsi="宋体" w:cs="宋体" w:eastAsia="宋体" w:hint="ascii"/>
          <w:sz w:val="21"/>
          <w:spacing w:val="1"/>
        </w:rPr>
        <w:t>胞模型和模式生物，</w:t>
      </w:r>
      <w:r>
        <w:rPr>
          <w:rFonts w:ascii="宋体" w:hAnsi="宋体" w:cs="宋体" w:eastAsia="宋体" w:hint="ascii"/>
          <w:sz w:val="21"/>
        </w:rPr>
        <w:t>结合遗传学、发育生物学、生物化学及细胞成像的研究技术和</w:t>
      </w:r>
      <w:r>
        <w:rPr>
          <w:rFonts w:ascii="宋体" w:hAnsi="宋体" w:cs="宋体" w:eastAsia="宋体" w:hint="ascii"/>
          <w:sz w:val="21"/>
          <w:spacing w:val="-6"/>
        </w:rPr>
        <w:t>方</w:t>
      </w:r>
      <w:r>
        <w:rPr>
          <w:rFonts w:ascii="宋体" w:hAnsi="宋体" w:cs="宋体" w:eastAsia="宋体" w:hint="ascii"/>
          <w:sz w:val="21"/>
        </w:rPr>
        <w:t>法，开展细胞结构与功能的研究。</w:t>
      </w:r>
    </w:p>
    <w:p>
      <w:pPr>
        <w:autoSpaceDE w:val="0"/>
        <w:autoSpaceDN w:val="0"/>
        <w:jc w:val="left"/>
        <w:spacing w:before="40" w:after="0" w:lineRule="auto" w:line="240"/>
        <w:ind w:right="0" w:left="1864" w:hanging="478"/>
        <w:snapToGrid w:val="0"/>
        <w:textAlignment w:val="auto"/>
        <w:tabs>
          <w:tab w:val="left" w:leader="none" w:pos="1863"/>
        </w:tabs>
        <w:numPr>
          <w:ilvl w:val="0"/>
          <w:numId w:val="59"/>
        </w:numPr>
        <w:rPr>
          <w:rFonts w:ascii="Times New Roman" w:hAnsi="Times New Roman" w:cs="Times New Roman" w:eastAsia="Times New Roman" w:hint="ascii"/>
          <w:sz w:val="21"/>
          <w:spacing w:val="1"/>
        </w:rPr>
      </w:pPr>
      <w:r>
        <w:rPr>
          <w:rFonts w:ascii="宋体" w:hAnsi="宋体" w:cs="宋体" w:eastAsia="宋体" w:hint="ascii"/>
          <w:sz w:val="21"/>
        </w:rPr>
        <w:t>年度受理的项目申请中，细胞生长与分裂、细胞周期与调控、细胞衰老、细</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胞极性建立</w:t>
      </w:r>
      <w:r>
        <w:rPr>
          <w:rFonts w:ascii="宋体" w:hAnsi="宋体" w:cs="宋体" w:eastAsia="宋体" w:hint="ascii"/>
          <w:sz w:val="21"/>
        </w:rPr>
        <w:t>与维持、细胞运动与微环境、细胞的变异与转化和细胞生物学研究中的新方</w:t>
      </w:r>
      <w:r>
        <w:rPr>
          <w:rFonts w:ascii="宋体" w:hAnsi="宋体" w:cs="宋体" w:eastAsia="宋体" w:hint="ascii"/>
          <w:sz w:val="21"/>
          <w:spacing w:val="-1"/>
        </w:rPr>
        <w:t>法等领域的</w:t>
      </w:r>
      <w:r>
        <w:rPr>
          <w:rFonts w:ascii="宋体" w:hAnsi="宋体" w:cs="宋体" w:eastAsia="宋体" w:hint="ascii"/>
          <w:sz w:val="21"/>
        </w:rPr>
        <w:t>项目较少，其中细胞周期与调控和细胞的变异与转化方面的面上项目申请量</w:t>
      </w:r>
      <w:r>
        <w:rPr>
          <w:rFonts w:ascii="宋体" w:hAnsi="宋体" w:cs="宋体" w:eastAsia="宋体" w:hint="ascii"/>
          <w:sz w:val="21"/>
          <w:spacing w:val="-1"/>
        </w:rPr>
        <w:t xml:space="preserve">相比 </w:t>
      </w:r>
      <w:r>
        <w:rPr>
          <w:rFonts w:ascii="Times New Roman" w:hAnsi="Times New Roman" w:cs="Times New Roman" w:eastAsia="Times New Roman" w:hint="ascii"/>
          <w:sz w:val="21"/>
          <w:spacing w:val="-1"/>
        </w:rPr>
        <w:t>2016</w:t>
      </w:r>
      <w:r>
        <w:rPr>
          <w:rFonts w:ascii="Times New Roman" w:hAnsi="Times New Roman" w:cs="Times New Roman" w:eastAsia="Times New Roman" w:hint="ascii"/>
          <w:sz w:val="21"/>
        </w:rPr>
        <w:t xml:space="preserve"> </w:t>
      </w:r>
      <w:r>
        <w:rPr>
          <w:rFonts w:ascii="宋体" w:hAnsi="宋体" w:cs="宋体" w:eastAsia="宋体" w:hint="ascii"/>
          <w:sz w:val="21"/>
        </w:rPr>
        <w:t>年有大幅下降。这些领域是细胞生物学研究的重要内容，而且国内从事相关</w:t>
      </w:r>
      <w:r>
        <w:rPr>
          <w:rFonts w:ascii="宋体" w:hAnsi="宋体" w:cs="宋体" w:eastAsia="宋体" w:hint="ascii"/>
          <w:sz w:val="21"/>
          <w:spacing w:val="-1"/>
        </w:rPr>
        <w:t>研究已有一</w:t>
      </w:r>
      <w:r>
        <w:rPr>
          <w:rFonts w:ascii="宋体" w:hAnsi="宋体" w:cs="宋体" w:eastAsia="宋体" w:hint="ascii"/>
          <w:sz w:val="21"/>
        </w:rPr>
        <w:t>定基础，希望申请人从前期研究中凝练出科学问题，提出项目申请，本学科将予以倾斜支持。</w:t>
      </w:r>
    </w:p>
    <w:p>
      <w:pPr>
        <w:autoSpaceDE w:val="0"/>
        <w:autoSpaceDN w:val="0"/>
        <w:jc w:val="left"/>
        <w:spacing w:before="40" w:after="0" w:lineRule="auto" w:line="240"/>
        <w:ind w:right="0" w:left="1864" w:hanging="478"/>
        <w:snapToGrid w:val="0"/>
        <w:textAlignment w:val="auto"/>
        <w:tabs>
          <w:tab w:val="left" w:leader="none" w:pos="1863"/>
        </w:tabs>
        <w:numPr>
          <w:ilvl w:val="0"/>
          <w:numId w:val="59"/>
        </w:numPr>
        <w:rPr>
          <w:rFonts w:ascii="Times New Roman" w:hAnsi="Times New Roman" w:cs="Times New Roman" w:eastAsia="Times New Roman" w:hint="ascii"/>
          <w:sz w:val="21"/>
          <w:spacing w:val="1"/>
        </w:rPr>
      </w:pPr>
      <w:r>
        <w:rPr>
          <w:rFonts w:ascii="宋体" w:hAnsi="宋体" w:cs="宋体" w:eastAsia="宋体" w:hint="ascii"/>
          <w:sz w:val="21"/>
        </w:rPr>
        <w:t>年度本学科继续强调功能和机理性研究，重视新研究方法和手段在细胞学领</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域的使用，</w:t>
      </w:r>
      <w:r>
        <w:rPr>
          <w:rFonts w:ascii="宋体" w:hAnsi="宋体" w:cs="宋体" w:eastAsia="宋体" w:hint="ascii"/>
          <w:sz w:val="21"/>
        </w:rPr>
        <w:t>积极推动类器官模型与在体细胞原位、实时、动态分析技术和方法的发展，</w:t>
      </w:r>
      <w:r>
        <w:rPr>
          <w:rFonts w:ascii="宋体" w:hAnsi="宋体" w:cs="宋体" w:eastAsia="宋体" w:hint="ascii"/>
          <w:sz w:val="21"/>
          <w:spacing w:val="-1"/>
        </w:rPr>
        <w:t>注重从分子</w:t>
      </w:r>
      <w:r>
        <w:rPr>
          <w:rFonts w:ascii="宋体" w:hAnsi="宋体" w:cs="宋体" w:eastAsia="宋体" w:hint="ascii"/>
          <w:sz w:val="21"/>
        </w:rPr>
        <w:t>、细胞、组织和个体水平上开展动态性和整合性研究，鼓励多学科交叉研究以揭示与细胞功能和生物学效应相关的分子机制和调控网络。</w:t>
      </w:r>
    </w:p>
    <w:p>
      <w:pPr>
        <w:autoSpaceDE w:val="0"/>
        <w:autoSpaceDN w:val="0"/>
        <w:jc w:val="left"/>
        <w:spacing w:before="27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发育生物学与生殖生物学学科</w:t>
      </w:r>
      <w:r>
        <w:rPr>
          <w:rFonts w:ascii="宋体" w:hAnsi="宋体" w:cs="宋体" w:eastAsia="宋体" w:hint="ascii"/>
        </w:rPr>
        <mc:AlternateContent>
          <mc:Choice Requires="wps">
            <w:drawing>
              <wp:anchor distL="0" distR="0" distT="0" distB="0" simplePos="0" behindDoc="1" relativeHeight="90" locked="0" layoutInCell="1" allowOverlap="1">
                <wp:simplePos x="0" y="0"/>
                <wp:positionH relativeFrom="page">
                  <wp:posOffset>938530</wp:posOffset>
                </wp:positionH>
                <wp:positionV relativeFrom="page">
                  <wp:posOffset>805815</wp:posOffset>
                </wp:positionV>
                <wp:extent cx="5076190" cy="0"/>
                <wp:wrapNone/>
                <wp:docPr id="1118" name="111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66080;width:399.70pt;" id="111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本学科资助范围包括动物和植物的发育生物学、生殖生物学两个研究领域，研究内</w:t>
      </w:r>
    </w:p>
    <w:p>
      <w:pPr>
        <w:autoSpaceDE w:val="0"/>
        <w:autoSpaceDN w:val="0"/>
        <w:jc w:val="both"/>
        <w:spacing w:before="10"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容涉</w:t>
      </w:r>
      <w:r>
        <w:rPr>
          <w:rFonts w:ascii="宋体" w:hAnsi="宋体" w:cs="宋体" w:eastAsia="宋体" w:hint="ascii"/>
          <w:sz w:val="21"/>
        </w:rPr>
        <w:t>及人、动物和植物的配子发生、受精、胚胎发育、组织器官的发生、稳态维持、衰老、损伤修复与再生等重要生命过程的基本规律。</w:t>
      </w:r>
    </w:p>
    <w:p>
      <w:pPr>
        <w:autoSpaceDE w:val="0"/>
        <w:autoSpaceDN w:val="0"/>
        <w:jc w:val="both"/>
        <w:spacing w:before="0" w:after="0" w:lineRule="exact" w:line="312"/>
        <w:ind w:right="971" w:left="966" w:firstLine="420"/>
        <w:snapToGrid w:val="0"/>
        <w:textAlignment w:val="auto"/>
        <w:tabs/>
        <w:rPr>
          <w:rFonts w:ascii="宋体" w:hAnsi="宋体" w:cs="宋体" w:eastAsia="宋体" w:hint="ascii"/>
          <w:sz w:val="21"/>
        </w:rPr>
      </w:pPr>
      <w:r>
        <w:rPr>
          <w:rFonts w:ascii="宋体" w:hAnsi="宋体" w:cs="宋体" w:eastAsia="宋体" w:hint="ascii"/>
          <w:sz w:val="21"/>
        </w:rPr>
        <w:t>发育生物学的资助范围主要包括：母源合子转换与合子激活；胚胎细胞增殖和</w:t>
      </w:r>
      <w:r>
        <w:rPr>
          <w:rFonts w:ascii="宋体" w:hAnsi="宋体" w:cs="宋体" w:eastAsia="宋体" w:hint="ascii"/>
          <w:sz w:val="21"/>
          <w:spacing w:val="-6"/>
        </w:rPr>
        <w:t>迁</w:t>
      </w:r>
      <w:r>
        <w:rPr>
          <w:rFonts w:ascii="宋体" w:hAnsi="宋体" w:cs="宋体" w:eastAsia="宋体" w:hint="ascii"/>
          <w:sz w:val="21"/>
        </w:rPr>
        <w:t xml:space="preserve"> </w:t>
      </w:r>
      <w:r>
        <w:rPr>
          <w:rFonts w:ascii="宋体" w:hAnsi="宋体" w:cs="宋体" w:eastAsia="宋体" w:hint="ascii"/>
          <w:sz w:val="21"/>
          <w:spacing w:val="-1"/>
        </w:rPr>
        <w:t>移；</w:t>
      </w:r>
      <w:r>
        <w:rPr>
          <w:rFonts w:ascii="宋体" w:hAnsi="宋体" w:cs="宋体" w:eastAsia="宋体" w:hint="ascii"/>
          <w:sz w:val="21"/>
        </w:rPr>
        <w:t>胚胎极性决定；胚层诱导和分化；细胞谱系与命运决定；细胞分化；组织器官形态</w:t>
      </w:r>
      <w:r>
        <w:rPr>
          <w:rFonts w:ascii="宋体" w:hAnsi="宋体" w:cs="宋体" w:eastAsia="宋体" w:hint="ascii"/>
          <w:sz w:val="21"/>
          <w:spacing w:val="-1"/>
        </w:rPr>
        <w:t>发生</w:t>
      </w:r>
      <w:r>
        <w:rPr>
          <w:rFonts w:ascii="宋体" w:hAnsi="宋体" w:cs="宋体" w:eastAsia="宋体" w:hint="ascii"/>
          <w:sz w:val="21"/>
        </w:rPr>
        <w:t>；组织器官生长与大小控制；器官稳态维持、衰老、损伤修复与再生；发育的信号</w:t>
      </w:r>
      <w:r>
        <w:rPr>
          <w:rFonts w:ascii="宋体" w:hAnsi="宋体" w:cs="宋体" w:eastAsia="宋体" w:hint="ascii"/>
          <w:sz w:val="21"/>
          <w:spacing w:val="1"/>
        </w:rPr>
        <w:t>转导机制；表观调控与发育</w:t>
      </w:r>
      <w:r>
        <w:rPr>
          <w:rFonts w:ascii="宋体" w:hAnsi="宋体" w:cs="宋体" w:eastAsia="宋体" w:hint="ascii"/>
          <w:sz w:val="21"/>
        </w:rPr>
        <w:t>；发育的代谢调控；发育异常与疾病模型；发育机制的</w:t>
      </w:r>
      <w:r>
        <w:rPr>
          <w:rFonts w:ascii="宋体" w:hAnsi="宋体" w:cs="宋体" w:eastAsia="宋体" w:hint="ascii"/>
          <w:sz w:val="21"/>
          <w:spacing w:val="-6"/>
        </w:rPr>
        <w:t>进</w:t>
      </w:r>
      <w:r>
        <w:rPr>
          <w:rFonts w:ascii="宋体" w:hAnsi="宋体" w:cs="宋体" w:eastAsia="宋体" w:hint="ascii"/>
          <w:sz w:val="21"/>
          <w:spacing w:val="-1"/>
        </w:rPr>
        <w:t>化；</w:t>
      </w:r>
      <w:r>
        <w:rPr>
          <w:rFonts w:ascii="宋体" w:hAnsi="宋体" w:cs="宋体" w:eastAsia="宋体" w:hint="ascii"/>
          <w:sz w:val="21"/>
        </w:rPr>
        <w:t>环境对发育的影响；植物的授粉、受精、合子激活，胚乳发育，维管束分化，开花</w:t>
      </w:r>
      <w:r>
        <w:rPr>
          <w:rFonts w:ascii="宋体" w:hAnsi="宋体" w:cs="宋体" w:eastAsia="宋体" w:hint="ascii"/>
          <w:sz w:val="21"/>
          <w:spacing w:val="-1"/>
        </w:rPr>
        <w:t>诱导</w:t>
      </w:r>
      <w:r>
        <w:rPr>
          <w:rFonts w:ascii="宋体" w:hAnsi="宋体" w:cs="宋体" w:eastAsia="宋体" w:hint="ascii"/>
          <w:sz w:val="21"/>
        </w:rPr>
        <w:t>；胚胎干细胞；生殖干细胞；成体干细胞；植物干细胞；茎尖与根尖生长点；植物</w:t>
      </w:r>
      <w:r>
        <w:rPr>
          <w:rFonts w:ascii="宋体" w:hAnsi="宋体" w:cs="宋体" w:eastAsia="宋体" w:hint="ascii"/>
          <w:sz w:val="21"/>
          <w:spacing w:val="-1"/>
        </w:rPr>
        <w:t>形成</w:t>
      </w:r>
      <w:r>
        <w:rPr>
          <w:rFonts w:ascii="宋体" w:hAnsi="宋体" w:cs="宋体" w:eastAsia="宋体" w:hint="ascii"/>
          <w:sz w:val="21"/>
        </w:rPr>
        <w:t>层；细胞重编程与诱导性多能干细胞；体细胞核移植；植物体细胞胚胎发生；干细</w:t>
      </w:r>
      <w:r>
        <w:rPr>
          <w:rFonts w:ascii="宋体" w:hAnsi="宋体" w:cs="宋体" w:eastAsia="宋体" w:hint="ascii"/>
          <w:sz w:val="21"/>
          <w:spacing w:val="1"/>
        </w:rPr>
        <w:t>胞的静息与激活；干细胞增</w:t>
      </w:r>
      <w:r>
        <w:rPr>
          <w:rFonts w:ascii="宋体" w:hAnsi="宋体" w:cs="宋体" w:eastAsia="宋体" w:hint="ascii"/>
          <w:sz w:val="21"/>
        </w:rPr>
        <w:t>殖和多能性维持；干细胞的自我更新；干细胞基因组稳</w:t>
      </w:r>
      <w:r>
        <w:rPr>
          <w:rFonts w:ascii="宋体" w:hAnsi="宋体" w:cs="宋体" w:eastAsia="宋体" w:hint="ascii"/>
          <w:sz w:val="21"/>
          <w:spacing w:val="-6"/>
        </w:rPr>
        <w:t>定</w:t>
      </w:r>
      <w:r>
        <w:rPr>
          <w:rFonts w:ascii="宋体" w:hAnsi="宋体" w:cs="宋体" w:eastAsia="宋体" w:hint="ascii"/>
          <w:sz w:val="21"/>
          <w:spacing w:val="-1"/>
        </w:rPr>
        <w:t>性；</w:t>
      </w:r>
      <w:r>
        <w:rPr>
          <w:rFonts w:ascii="宋体" w:hAnsi="宋体" w:cs="宋体" w:eastAsia="宋体" w:hint="ascii"/>
          <w:sz w:val="21"/>
        </w:rPr>
        <w:t>干细胞的细胞周期调控；干细胞定向分化；干细胞衰老；干细胞恶性转化；干细胞与微环境；干细胞的免疫原性；细胞的去分化与转分化等。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生殖生物学的资助范围主要包括：性别决定；性腺分化、生殖器官的发育与衰老；</w:t>
      </w:r>
    </w:p>
    <w:p>
      <w:pPr>
        <w:autoSpaceDE w:val="0"/>
        <w:autoSpaceDN w:val="0"/>
        <w:jc w:val="both"/>
        <w:spacing w:before="10"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性激</w:t>
      </w:r>
      <w:r>
        <w:rPr>
          <w:rFonts w:ascii="宋体" w:hAnsi="宋体" w:cs="宋体" w:eastAsia="宋体" w:hint="ascii"/>
          <w:sz w:val="21"/>
        </w:rPr>
        <w:t>素与靶器官；原始生殖细胞命运决定、特化、迁移和增殖；配子发生和成熟；植物</w:t>
      </w:r>
      <w:r>
        <w:rPr>
          <w:rFonts w:ascii="宋体" w:hAnsi="宋体" w:cs="宋体" w:eastAsia="宋体" w:hint="ascii"/>
          <w:sz w:val="21"/>
          <w:spacing w:val="-1"/>
        </w:rPr>
        <w:t>的花</w:t>
      </w:r>
      <w:r>
        <w:rPr>
          <w:rFonts w:ascii="宋体" w:hAnsi="宋体" w:cs="宋体" w:eastAsia="宋体" w:hint="ascii"/>
          <w:sz w:val="21"/>
        </w:rPr>
        <w:t>药与子房发育；卵泡发育和排卵；生殖细胞与体细胞的互作；生殖器官体细胞的发</w:t>
      </w:r>
      <w:r>
        <w:rPr>
          <w:rFonts w:ascii="宋体" w:hAnsi="宋体" w:cs="宋体" w:eastAsia="宋体" w:hint="ascii"/>
          <w:sz w:val="21"/>
          <w:spacing w:val="-1"/>
        </w:rPr>
        <w:t>育；</w:t>
      </w:r>
      <w:r>
        <w:rPr>
          <w:rFonts w:ascii="宋体" w:hAnsi="宋体" w:cs="宋体" w:eastAsia="宋体" w:hint="ascii"/>
          <w:sz w:val="21"/>
        </w:rPr>
        <w:t>精卵识别和受精；早期胚胎发育和着床；无融合生殖；遗传、表观遗传对生殖的调</w:t>
      </w:r>
      <w:r>
        <w:rPr>
          <w:rFonts w:ascii="宋体" w:hAnsi="宋体" w:cs="宋体" w:eastAsia="宋体" w:hint="ascii"/>
          <w:sz w:val="21"/>
          <w:spacing w:val="-1"/>
        </w:rPr>
        <w:t>控；</w:t>
      </w:r>
      <w:r>
        <w:rPr>
          <w:rFonts w:ascii="宋体" w:hAnsi="宋体" w:cs="宋体" w:eastAsia="宋体" w:hint="ascii"/>
          <w:sz w:val="21"/>
        </w:rPr>
        <w:t>环境与微环境对生殖健康的影响；生殖相关疾病发生的生物学机制；辅助生殖技术安全性；生育调控；生殖内分泌的调控作用等。</w:t>
      </w:r>
    </w:p>
    <w:p>
      <w:pPr>
        <w:autoSpaceDE w:val="0"/>
        <w:autoSpaceDN w:val="0"/>
        <w:jc w:val="both"/>
        <w:spacing w:before="0" w:after="0" w:lineRule="exact" w:line="312"/>
        <w:ind w:right="971" w:left="966" w:firstLine="408"/>
        <w:snapToGrid w:val="0"/>
        <w:textAlignment w:val="auto"/>
        <w:tabs/>
        <w:rPr>
          <w:rFonts w:ascii="宋体" w:hAnsi="宋体" w:cs="宋体" w:eastAsia="宋体" w:hint="ascii"/>
          <w:sz w:val="21"/>
        </w:rPr>
      </w:pPr>
      <w:r>
        <w:rPr>
          <w:rFonts w:ascii="宋体" w:hAnsi="宋体" w:cs="宋体" w:eastAsia="宋体" w:hint="ascii"/>
          <w:sz w:val="21"/>
          <w:spacing w:val="21"/>
        </w:rPr>
        <w:t>在</w:t>
      </w:r>
      <w:r>
        <w:rPr>
          <w:rFonts w:ascii="Times New Roman" w:hAnsi="Times New Roman" w:cs="Times New Roman" w:eastAsia="Times New Roman" w:hint="ascii"/>
          <w:sz w:val="21"/>
          <w:spacing w:val="-5"/>
        </w:rPr>
        <w:t>201</w:t>
      </w:r>
      <w:r>
        <w:rPr>
          <w:rFonts w:ascii="Times New Roman" w:hAnsi="Times New Roman" w:cs="Times New Roman" w:eastAsia="Times New Roman" w:hint="ascii"/>
          <w:sz w:val="21"/>
          <w:spacing w:val="48"/>
        </w:rPr>
        <w:t>7</w:t>
      </w:r>
      <w:r>
        <w:rPr>
          <w:rFonts w:ascii="宋体" w:hAnsi="宋体" w:cs="宋体" w:eastAsia="宋体" w:hint="ascii"/>
          <w:sz w:val="21"/>
          <w:spacing w:val="-3"/>
        </w:rPr>
        <w:t>年度接收的项目申请中，组织器官发生与发育以</w:t>
      </w:r>
      <w:r>
        <w:rPr>
          <w:rFonts w:ascii="宋体" w:hAnsi="宋体" w:cs="宋体" w:eastAsia="宋体" w:hint="ascii"/>
          <w:sz w:val="21"/>
          <w:spacing w:val="-2"/>
        </w:rPr>
        <w:t>及干细胞领域申请项目数</w:t>
      </w:r>
      <w:r>
        <w:rPr>
          <w:rFonts w:ascii="宋体" w:hAnsi="宋体" w:cs="宋体" w:eastAsia="宋体" w:hint="ascii"/>
          <w:sz w:val="21"/>
          <w:spacing w:val="-1"/>
        </w:rPr>
        <w:t>较</w:t>
      </w:r>
      <w:r>
        <w:rPr>
          <w:rFonts w:ascii="宋体" w:hAnsi="宋体" w:cs="宋体" w:eastAsia="宋体" w:hint="ascii"/>
          <w:sz w:val="21"/>
        </w:rPr>
        <w:t xml:space="preserve"> </w:t>
      </w:r>
      <w:r>
        <w:rPr>
          <w:rFonts w:ascii="宋体" w:hAnsi="宋体" w:cs="宋体" w:eastAsia="宋体" w:hint="ascii"/>
          <w:sz w:val="21"/>
          <w:spacing w:val="-3"/>
        </w:rPr>
        <w:t>多，</w:t>
      </w:r>
      <w:r>
        <w:rPr>
          <w:rFonts w:ascii="宋体" w:hAnsi="宋体" w:cs="宋体" w:eastAsia="宋体" w:hint="ascii"/>
          <w:sz w:val="21"/>
          <w:spacing w:val="-4"/>
        </w:rPr>
        <w:t>一</w:t>
      </w:r>
      <w:r>
        <w:rPr>
          <w:rFonts w:ascii="宋体" w:hAnsi="宋体" w:cs="宋体" w:eastAsia="宋体" w:hint="ascii"/>
          <w:sz w:val="21"/>
          <w:spacing w:val="-3"/>
        </w:rPr>
        <w:t>些</w:t>
      </w:r>
      <w:r>
        <w:rPr>
          <w:rFonts w:ascii="宋体" w:hAnsi="宋体" w:cs="宋体" w:eastAsia="宋体" w:hint="ascii"/>
          <w:sz w:val="21"/>
          <w:spacing w:val="-4"/>
        </w:rPr>
        <w:t>项目</w:t>
      </w:r>
      <w:r>
        <w:rPr>
          <w:rFonts w:ascii="宋体" w:hAnsi="宋体" w:cs="宋体" w:eastAsia="宋体" w:hint="ascii"/>
          <w:sz w:val="21"/>
          <w:spacing w:val="-3"/>
        </w:rPr>
        <w:t>瞄准</w:t>
      </w:r>
      <w:r>
        <w:rPr>
          <w:rFonts w:ascii="宋体" w:hAnsi="宋体" w:cs="宋体" w:eastAsia="宋体" w:hint="ascii"/>
          <w:sz w:val="21"/>
          <w:spacing w:val="-4"/>
        </w:rPr>
        <w:t>国</w:t>
      </w:r>
      <w:r>
        <w:rPr>
          <w:rFonts w:ascii="宋体" w:hAnsi="宋体" w:cs="宋体" w:eastAsia="宋体" w:hint="ascii"/>
          <w:sz w:val="21"/>
          <w:spacing w:val="-3"/>
        </w:rPr>
        <w:t>际</w:t>
      </w:r>
      <w:r>
        <w:rPr>
          <w:rFonts w:ascii="宋体" w:hAnsi="宋体" w:cs="宋体" w:eastAsia="宋体" w:hint="ascii"/>
          <w:sz w:val="21"/>
          <w:spacing w:val="-4"/>
        </w:rPr>
        <w:t>前沿</w:t>
      </w:r>
      <w:r>
        <w:rPr>
          <w:rFonts w:ascii="宋体" w:hAnsi="宋体" w:cs="宋体" w:eastAsia="宋体" w:hint="ascii"/>
          <w:sz w:val="21"/>
          <w:spacing w:val="-3"/>
        </w:rPr>
        <w:t>，</w:t>
      </w:r>
      <w:r>
        <w:rPr>
          <w:rFonts w:ascii="宋体" w:hAnsi="宋体" w:cs="宋体" w:eastAsia="宋体" w:hint="ascii"/>
          <w:sz w:val="21"/>
          <w:spacing w:val="-2"/>
        </w:rPr>
        <w:t>选</w:t>
      </w:r>
      <w:r>
        <w:rPr>
          <w:rFonts w:ascii="宋体" w:hAnsi="宋体" w:cs="宋体" w:eastAsia="宋体" w:hint="ascii"/>
          <w:sz w:val="21"/>
          <w:spacing w:val="-3"/>
        </w:rPr>
        <w:t>题</w:t>
      </w:r>
      <w:r>
        <w:rPr>
          <w:rFonts w:ascii="宋体" w:hAnsi="宋体" w:cs="宋体" w:eastAsia="宋体" w:hint="ascii"/>
          <w:sz w:val="21"/>
          <w:spacing w:val="-2"/>
        </w:rPr>
        <w:t>准</w:t>
      </w:r>
      <w:r>
        <w:rPr>
          <w:rFonts w:ascii="宋体" w:hAnsi="宋体" w:cs="宋体" w:eastAsia="宋体" w:hint="ascii"/>
          <w:sz w:val="21"/>
          <w:spacing w:val="-3"/>
        </w:rPr>
        <w:t>确、</w:t>
      </w:r>
      <w:r>
        <w:rPr>
          <w:rFonts w:ascii="宋体" w:hAnsi="宋体" w:cs="宋体" w:eastAsia="宋体" w:hint="ascii"/>
          <w:sz w:val="21"/>
          <w:spacing w:val="-2"/>
        </w:rPr>
        <w:t>起点</w:t>
      </w:r>
      <w:r>
        <w:rPr>
          <w:rFonts w:ascii="宋体" w:hAnsi="宋体" w:cs="宋体" w:eastAsia="宋体" w:hint="ascii"/>
          <w:sz w:val="21"/>
          <w:spacing w:val="-3"/>
        </w:rPr>
        <w:t>较</w:t>
      </w:r>
      <w:r>
        <w:rPr>
          <w:rFonts w:ascii="宋体" w:hAnsi="宋体" w:cs="宋体" w:eastAsia="宋体" w:hint="ascii"/>
          <w:sz w:val="21"/>
          <w:spacing w:val="-2"/>
        </w:rPr>
        <w:t>高</w:t>
      </w:r>
      <w:r>
        <w:rPr>
          <w:rFonts w:ascii="宋体" w:hAnsi="宋体" w:cs="宋体" w:eastAsia="宋体" w:hint="ascii"/>
          <w:sz w:val="21"/>
          <w:spacing w:val="-3"/>
        </w:rPr>
        <w:t>；生</w:t>
      </w:r>
      <w:r>
        <w:rPr>
          <w:rFonts w:ascii="宋体" w:hAnsi="宋体" w:cs="宋体" w:eastAsia="宋体" w:hint="ascii"/>
          <w:sz w:val="21"/>
          <w:spacing w:val="-2"/>
        </w:rPr>
        <w:t>殖生</w:t>
      </w:r>
      <w:r>
        <w:rPr>
          <w:rFonts w:ascii="宋体" w:hAnsi="宋体" w:cs="宋体" w:eastAsia="宋体" w:hint="ascii"/>
          <w:sz w:val="21"/>
          <w:spacing w:val="-3"/>
        </w:rPr>
        <w:t>物</w:t>
      </w:r>
      <w:r>
        <w:rPr>
          <w:rFonts w:ascii="宋体" w:hAnsi="宋体" w:cs="宋体" w:eastAsia="宋体" w:hint="ascii"/>
          <w:sz w:val="21"/>
          <w:spacing w:val="-2"/>
        </w:rPr>
        <w:t>学</w:t>
      </w:r>
      <w:r>
        <w:rPr>
          <w:rFonts w:ascii="宋体" w:hAnsi="宋体" w:cs="宋体" w:eastAsia="宋体" w:hint="ascii"/>
          <w:sz w:val="21"/>
          <w:spacing w:val="-3"/>
        </w:rPr>
        <w:t>领域</w:t>
      </w:r>
      <w:r>
        <w:rPr>
          <w:rFonts w:ascii="宋体" w:hAnsi="宋体" w:cs="宋体" w:eastAsia="宋体" w:hint="ascii"/>
          <w:sz w:val="21"/>
          <w:spacing w:val="-2"/>
        </w:rPr>
        <w:t>的研</w:t>
      </w:r>
      <w:r>
        <w:rPr>
          <w:rFonts w:ascii="宋体" w:hAnsi="宋体" w:cs="宋体" w:eastAsia="宋体" w:hint="ascii"/>
          <w:sz w:val="21"/>
          <w:spacing w:val="-3"/>
        </w:rPr>
        <w:t>究</w:t>
      </w:r>
      <w:r>
        <w:rPr>
          <w:rFonts w:ascii="宋体" w:hAnsi="宋体" w:cs="宋体" w:eastAsia="宋体" w:hint="ascii"/>
          <w:sz w:val="21"/>
          <w:spacing w:val="-2"/>
        </w:rPr>
        <w:t>密</w:t>
      </w:r>
      <w:r>
        <w:rPr>
          <w:rFonts w:ascii="宋体" w:hAnsi="宋体" w:cs="宋体" w:eastAsia="宋体" w:hint="ascii"/>
          <w:sz w:val="21"/>
          <w:spacing w:val="-3"/>
        </w:rPr>
        <w:t>切结</w:t>
      </w:r>
      <w:r>
        <w:rPr>
          <w:rFonts w:ascii="宋体" w:hAnsi="宋体" w:cs="宋体" w:eastAsia="宋体" w:hint="ascii"/>
          <w:sz w:val="21"/>
          <w:spacing w:val="-2"/>
        </w:rPr>
        <w:t>合人</w:t>
      </w:r>
      <w:r>
        <w:rPr>
          <w:rFonts w:ascii="宋体" w:hAnsi="宋体" w:cs="宋体" w:eastAsia="宋体" w:hint="ascii"/>
          <w:sz w:val="21"/>
        </w:rPr>
        <w:t>类</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生殖</w:t>
      </w:r>
      <w:r>
        <w:rPr>
          <w:rFonts w:ascii="宋体" w:hAnsi="宋体" w:cs="宋体" w:eastAsia="宋体" w:hint="ascii"/>
          <w:sz w:val="21"/>
          <w:spacing w:val="-3"/>
        </w:rPr>
        <w:t>医</w:t>
      </w:r>
      <w:r>
        <w:rPr>
          <w:rFonts w:ascii="宋体" w:hAnsi="宋体" w:cs="宋体" w:eastAsia="宋体" w:hint="ascii"/>
          <w:sz w:val="21"/>
          <w:spacing w:val="-2"/>
        </w:rPr>
        <w:t>学</w:t>
      </w:r>
      <w:r>
        <w:rPr>
          <w:rFonts w:ascii="宋体" w:hAnsi="宋体" w:cs="宋体" w:eastAsia="宋体" w:hint="ascii"/>
          <w:sz w:val="21"/>
          <w:spacing w:val="-3"/>
        </w:rPr>
        <w:t>领域</w:t>
      </w:r>
      <w:r>
        <w:rPr>
          <w:rFonts w:ascii="宋体" w:hAnsi="宋体" w:cs="宋体" w:eastAsia="宋体" w:hint="ascii"/>
          <w:sz w:val="21"/>
          <w:spacing w:val="-2"/>
        </w:rPr>
        <w:t>的重</w:t>
      </w:r>
      <w:r>
        <w:rPr>
          <w:rFonts w:ascii="宋体" w:hAnsi="宋体" w:cs="宋体" w:eastAsia="宋体" w:hint="ascii"/>
          <w:sz w:val="21"/>
          <w:spacing w:val="-3"/>
        </w:rPr>
        <w:t>要</w:t>
      </w:r>
      <w:r>
        <w:rPr>
          <w:rFonts w:ascii="宋体" w:hAnsi="宋体" w:cs="宋体" w:eastAsia="宋体" w:hint="ascii"/>
          <w:sz w:val="21"/>
          <w:spacing w:val="-2"/>
        </w:rPr>
        <w:t>科</w:t>
      </w:r>
      <w:r>
        <w:rPr>
          <w:rFonts w:ascii="宋体" w:hAnsi="宋体" w:cs="宋体" w:eastAsia="宋体" w:hint="ascii"/>
          <w:sz w:val="21"/>
          <w:spacing w:val="-3"/>
        </w:rPr>
        <w:t>学问</w:t>
      </w:r>
      <w:r>
        <w:rPr>
          <w:rFonts w:ascii="宋体" w:hAnsi="宋体" w:cs="宋体" w:eastAsia="宋体" w:hint="ascii"/>
          <w:sz w:val="21"/>
          <w:spacing w:val="-2"/>
        </w:rPr>
        <w:t>题，</w:t>
      </w:r>
      <w:r>
        <w:rPr>
          <w:rFonts w:ascii="宋体" w:hAnsi="宋体" w:cs="宋体" w:eastAsia="宋体" w:hint="ascii"/>
          <w:sz w:val="21"/>
          <w:spacing w:val="-3"/>
        </w:rPr>
        <w:t>部</w:t>
      </w:r>
      <w:r>
        <w:rPr>
          <w:rFonts w:ascii="宋体" w:hAnsi="宋体" w:cs="宋体" w:eastAsia="宋体" w:hint="ascii"/>
          <w:sz w:val="21"/>
          <w:spacing w:val="-2"/>
        </w:rPr>
        <w:t>分</w:t>
      </w:r>
      <w:r>
        <w:rPr>
          <w:rFonts w:ascii="宋体" w:hAnsi="宋体" w:cs="宋体" w:eastAsia="宋体" w:hint="ascii"/>
          <w:sz w:val="21"/>
          <w:spacing w:val="-3"/>
        </w:rPr>
        <w:t>项目</w:t>
      </w:r>
      <w:r>
        <w:rPr>
          <w:rFonts w:ascii="宋体" w:hAnsi="宋体" w:cs="宋体" w:eastAsia="宋体" w:hint="ascii"/>
          <w:sz w:val="21"/>
          <w:spacing w:val="-2"/>
        </w:rPr>
        <w:t>来源</w:t>
      </w:r>
      <w:r>
        <w:rPr>
          <w:rFonts w:ascii="宋体" w:hAnsi="宋体" w:cs="宋体" w:eastAsia="宋体" w:hint="ascii"/>
          <w:sz w:val="21"/>
          <w:spacing w:val="-3"/>
        </w:rPr>
        <w:t>于</w:t>
      </w:r>
      <w:r>
        <w:rPr>
          <w:rFonts w:ascii="宋体" w:hAnsi="宋体" w:cs="宋体" w:eastAsia="宋体" w:hint="ascii"/>
          <w:sz w:val="21"/>
          <w:spacing w:val="-2"/>
        </w:rPr>
        <w:t>医</w:t>
      </w:r>
      <w:r>
        <w:rPr>
          <w:rFonts w:ascii="宋体" w:hAnsi="宋体" w:cs="宋体" w:eastAsia="宋体" w:hint="ascii"/>
          <w:sz w:val="21"/>
          <w:spacing w:val="-3"/>
        </w:rPr>
        <w:t>学临</w:t>
      </w:r>
      <w:r>
        <w:rPr>
          <w:rFonts w:ascii="宋体" w:hAnsi="宋体" w:cs="宋体" w:eastAsia="宋体" w:hint="ascii"/>
          <w:sz w:val="21"/>
          <w:spacing w:val="-2"/>
        </w:rPr>
        <w:t>床实</w:t>
      </w:r>
      <w:r>
        <w:rPr>
          <w:rFonts w:ascii="宋体" w:hAnsi="宋体" w:cs="宋体" w:eastAsia="宋体" w:hint="ascii"/>
          <w:sz w:val="21"/>
          <w:spacing w:val="-3"/>
        </w:rPr>
        <w:t>践</w:t>
      </w:r>
      <w:r>
        <w:rPr>
          <w:rFonts w:ascii="宋体" w:hAnsi="宋体" w:cs="宋体" w:eastAsia="宋体" w:hint="ascii"/>
          <w:sz w:val="21"/>
          <w:spacing w:val="-2"/>
        </w:rPr>
        <w:t>的</w:t>
      </w:r>
      <w:r>
        <w:rPr>
          <w:rFonts w:ascii="宋体" w:hAnsi="宋体" w:cs="宋体" w:eastAsia="宋体" w:hint="ascii"/>
          <w:sz w:val="21"/>
          <w:spacing w:val="-3"/>
        </w:rPr>
        <w:t>基础</w:t>
      </w:r>
      <w:r>
        <w:rPr>
          <w:rFonts w:ascii="宋体" w:hAnsi="宋体" w:cs="宋体" w:eastAsia="宋体" w:hint="ascii"/>
          <w:sz w:val="21"/>
          <w:spacing w:val="-2"/>
        </w:rPr>
        <w:t>研究</w:t>
      </w:r>
      <w:r>
        <w:rPr>
          <w:rFonts w:ascii="宋体" w:hAnsi="宋体" w:cs="宋体" w:eastAsia="宋体" w:hint="ascii"/>
          <w:sz w:val="21"/>
          <w:spacing w:val="-3"/>
        </w:rPr>
        <w:t>，</w:t>
      </w:r>
      <w:r>
        <w:rPr>
          <w:rFonts w:ascii="宋体" w:hAnsi="宋体" w:cs="宋体" w:eastAsia="宋体" w:hint="ascii"/>
          <w:sz w:val="21"/>
          <w:spacing w:val="-2"/>
        </w:rPr>
        <w:t>选</w:t>
      </w:r>
      <w:r>
        <w:rPr>
          <w:rFonts w:ascii="宋体" w:hAnsi="宋体" w:cs="宋体" w:eastAsia="宋体" w:hint="ascii"/>
          <w:sz w:val="21"/>
          <w:spacing w:val="-3"/>
        </w:rPr>
        <w:t>题兼</w:t>
      </w:r>
      <w:r>
        <w:rPr>
          <w:rFonts w:ascii="宋体" w:hAnsi="宋体" w:cs="宋体" w:eastAsia="宋体" w:hint="ascii"/>
          <w:sz w:val="21"/>
          <w:spacing w:val="-2"/>
        </w:rPr>
        <w:t>顾了</w:t>
      </w:r>
      <w:r>
        <w:rPr>
          <w:rFonts w:ascii="宋体" w:hAnsi="宋体" w:cs="宋体" w:eastAsia="宋体" w:hint="ascii"/>
          <w:sz w:val="21"/>
        </w:rPr>
        <w:t>基</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础性</w:t>
      </w:r>
      <w:r>
        <w:rPr>
          <w:rFonts w:ascii="宋体" w:hAnsi="宋体" w:cs="宋体" w:eastAsia="宋体" w:hint="ascii"/>
          <w:sz w:val="21"/>
          <w:spacing w:val="-3"/>
        </w:rPr>
        <w:t>与</w:t>
      </w:r>
      <w:r>
        <w:rPr>
          <w:rFonts w:ascii="宋体" w:hAnsi="宋体" w:cs="宋体" w:eastAsia="宋体" w:hint="ascii"/>
          <w:sz w:val="21"/>
          <w:spacing w:val="-2"/>
        </w:rPr>
        <w:t>应</w:t>
      </w:r>
      <w:r>
        <w:rPr>
          <w:rFonts w:ascii="宋体" w:hAnsi="宋体" w:cs="宋体" w:eastAsia="宋体" w:hint="ascii"/>
          <w:sz w:val="21"/>
          <w:spacing w:val="-3"/>
        </w:rPr>
        <w:t>用性</w:t>
      </w:r>
      <w:r>
        <w:rPr>
          <w:rFonts w:ascii="宋体" w:hAnsi="宋体" w:cs="宋体" w:eastAsia="宋体" w:hint="ascii"/>
          <w:sz w:val="21"/>
          <w:spacing w:val="-2"/>
        </w:rPr>
        <w:t>，体</w:t>
      </w:r>
      <w:r>
        <w:rPr>
          <w:rFonts w:ascii="宋体" w:hAnsi="宋体" w:cs="宋体" w:eastAsia="宋体" w:hint="ascii"/>
          <w:sz w:val="21"/>
          <w:spacing w:val="-3"/>
        </w:rPr>
        <w:t>现</w:t>
      </w:r>
      <w:r>
        <w:rPr>
          <w:rFonts w:ascii="宋体" w:hAnsi="宋体" w:cs="宋体" w:eastAsia="宋体" w:hint="ascii"/>
          <w:sz w:val="21"/>
          <w:spacing w:val="-2"/>
        </w:rPr>
        <w:t>了</w:t>
      </w:r>
      <w:r>
        <w:rPr>
          <w:rFonts w:ascii="宋体" w:hAnsi="宋体" w:cs="宋体" w:eastAsia="宋体" w:hint="ascii"/>
          <w:sz w:val="21"/>
          <w:spacing w:val="-3"/>
        </w:rPr>
        <w:t>基础</w:t>
      </w:r>
      <w:r>
        <w:rPr>
          <w:rFonts w:ascii="宋体" w:hAnsi="宋体" w:cs="宋体" w:eastAsia="宋体" w:hint="ascii"/>
          <w:sz w:val="21"/>
          <w:spacing w:val="-2"/>
        </w:rPr>
        <w:t>研究</w:t>
      </w:r>
      <w:r>
        <w:rPr>
          <w:rFonts w:ascii="宋体" w:hAnsi="宋体" w:cs="宋体" w:eastAsia="宋体" w:hint="ascii"/>
          <w:sz w:val="21"/>
          <w:spacing w:val="-3"/>
        </w:rPr>
        <w:t>向</w:t>
      </w:r>
      <w:r>
        <w:rPr>
          <w:rFonts w:ascii="宋体" w:hAnsi="宋体" w:cs="宋体" w:eastAsia="宋体" w:hint="ascii"/>
          <w:sz w:val="21"/>
          <w:spacing w:val="-2"/>
        </w:rPr>
        <w:t>临</w:t>
      </w:r>
      <w:r>
        <w:rPr>
          <w:rFonts w:ascii="宋体" w:hAnsi="宋体" w:cs="宋体" w:eastAsia="宋体" w:hint="ascii"/>
          <w:sz w:val="21"/>
          <w:spacing w:val="-3"/>
        </w:rPr>
        <w:t>床医</w:t>
      </w:r>
      <w:r>
        <w:rPr>
          <w:rFonts w:ascii="宋体" w:hAnsi="宋体" w:cs="宋体" w:eastAsia="宋体" w:hint="ascii"/>
          <w:sz w:val="21"/>
          <w:spacing w:val="-2"/>
        </w:rPr>
        <w:t>学转</w:t>
      </w:r>
      <w:r>
        <w:rPr>
          <w:rFonts w:ascii="宋体" w:hAnsi="宋体" w:cs="宋体" w:eastAsia="宋体" w:hint="ascii"/>
          <w:sz w:val="21"/>
          <w:spacing w:val="-3"/>
        </w:rPr>
        <w:t>化</w:t>
      </w:r>
      <w:r>
        <w:rPr>
          <w:rFonts w:ascii="宋体" w:hAnsi="宋体" w:cs="宋体" w:eastAsia="宋体" w:hint="ascii"/>
          <w:sz w:val="21"/>
          <w:spacing w:val="-2"/>
        </w:rPr>
        <w:t>的</w:t>
      </w:r>
      <w:r>
        <w:rPr>
          <w:rFonts w:ascii="宋体" w:hAnsi="宋体" w:cs="宋体" w:eastAsia="宋体" w:hint="ascii"/>
          <w:sz w:val="21"/>
          <w:spacing w:val="-3"/>
        </w:rPr>
        <w:t>研究</w:t>
      </w:r>
      <w:r>
        <w:rPr>
          <w:rFonts w:ascii="宋体" w:hAnsi="宋体" w:cs="宋体" w:eastAsia="宋体" w:hint="ascii"/>
          <w:sz w:val="21"/>
          <w:spacing w:val="-2"/>
        </w:rPr>
        <w:t>趋势</w:t>
      </w:r>
      <w:r>
        <w:rPr>
          <w:rFonts w:ascii="宋体" w:hAnsi="宋体" w:cs="宋体" w:eastAsia="宋体" w:hint="ascii"/>
          <w:sz w:val="21"/>
          <w:spacing w:val="-3"/>
        </w:rPr>
        <w:t>。</w:t>
      </w:r>
      <w:r>
        <w:rPr>
          <w:rFonts w:ascii="宋体" w:hAnsi="宋体" w:cs="宋体" w:eastAsia="宋体" w:hint="ascii"/>
          <w:sz w:val="21"/>
          <w:spacing w:val="-2"/>
        </w:rPr>
        <w:t>今</w:t>
      </w:r>
      <w:r>
        <w:rPr>
          <w:rFonts w:ascii="宋体" w:hAnsi="宋体" w:cs="宋体" w:eastAsia="宋体" w:hint="ascii"/>
          <w:sz w:val="21"/>
          <w:spacing w:val="-3"/>
        </w:rPr>
        <w:t>后本</w:t>
      </w:r>
      <w:r>
        <w:rPr>
          <w:rFonts w:ascii="宋体" w:hAnsi="宋体" w:cs="宋体" w:eastAsia="宋体" w:hint="ascii"/>
          <w:sz w:val="21"/>
          <w:spacing w:val="-2"/>
        </w:rPr>
        <w:t>学科</w:t>
      </w:r>
      <w:r>
        <w:rPr>
          <w:rFonts w:ascii="宋体" w:hAnsi="宋体" w:cs="宋体" w:eastAsia="宋体" w:hint="ascii"/>
          <w:sz w:val="21"/>
          <w:spacing w:val="-3"/>
        </w:rPr>
        <w:t>将</w:t>
      </w:r>
      <w:r>
        <w:rPr>
          <w:rFonts w:ascii="宋体" w:hAnsi="宋体" w:cs="宋体" w:eastAsia="宋体" w:hint="ascii"/>
          <w:sz w:val="21"/>
          <w:spacing w:val="-2"/>
        </w:rPr>
        <w:t>继</w:t>
      </w:r>
      <w:r>
        <w:rPr>
          <w:rFonts w:ascii="宋体" w:hAnsi="宋体" w:cs="宋体" w:eastAsia="宋体" w:hint="ascii"/>
          <w:sz w:val="21"/>
          <w:spacing w:val="-3"/>
        </w:rPr>
        <w:t>续鼓</w:t>
      </w:r>
      <w:r>
        <w:rPr>
          <w:rFonts w:ascii="宋体" w:hAnsi="宋体" w:cs="宋体" w:eastAsia="宋体" w:hint="ascii"/>
          <w:sz w:val="21"/>
          <w:spacing w:val="-2"/>
        </w:rPr>
        <w:t>励发</w:t>
      </w:r>
      <w:r>
        <w:rPr>
          <w:rFonts w:ascii="宋体" w:hAnsi="宋体" w:cs="宋体" w:eastAsia="宋体" w:hint="ascii"/>
          <w:sz w:val="21"/>
        </w:rPr>
        <w:t>育</w:t>
      </w:r>
    </w:p>
    <w:p>
      <w:pPr>
        <w:autoSpaceDE w:val="0"/>
        <w:autoSpaceDN w:val="0"/>
        <w:jc w:val="both"/>
        <w:spacing w:before="10"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生物</w:t>
      </w:r>
      <w:r>
        <w:rPr>
          <w:rFonts w:ascii="宋体" w:hAnsi="宋体" w:cs="宋体" w:eastAsia="宋体" w:hint="ascii"/>
          <w:sz w:val="21"/>
          <w:spacing w:val="-5"/>
        </w:rPr>
        <w:t>学</w:t>
      </w:r>
      <w:r>
        <w:rPr>
          <w:rFonts w:ascii="宋体" w:hAnsi="宋体" w:cs="宋体" w:eastAsia="宋体" w:hint="ascii"/>
          <w:sz w:val="21"/>
          <w:spacing w:val="-4"/>
        </w:rPr>
        <w:t>与</w:t>
      </w:r>
      <w:r>
        <w:rPr>
          <w:rFonts w:ascii="宋体" w:hAnsi="宋体" w:cs="宋体" w:eastAsia="宋体" w:hint="ascii"/>
          <w:sz w:val="21"/>
          <w:spacing w:val="-5"/>
        </w:rPr>
        <w:t>干细</w:t>
      </w:r>
      <w:r>
        <w:rPr>
          <w:rFonts w:ascii="宋体" w:hAnsi="宋体" w:cs="宋体" w:eastAsia="宋体" w:hint="ascii"/>
          <w:sz w:val="21"/>
          <w:spacing w:val="-4"/>
        </w:rPr>
        <w:t>胞领</w:t>
      </w:r>
      <w:r>
        <w:rPr>
          <w:rFonts w:ascii="宋体" w:hAnsi="宋体" w:cs="宋体" w:eastAsia="宋体" w:hint="ascii"/>
          <w:sz w:val="21"/>
          <w:spacing w:val="-5"/>
        </w:rPr>
        <w:t>域</w:t>
      </w:r>
      <w:r>
        <w:rPr>
          <w:rFonts w:ascii="宋体" w:hAnsi="宋体" w:cs="宋体" w:eastAsia="宋体" w:hint="ascii"/>
          <w:sz w:val="21"/>
          <w:spacing w:val="-4"/>
        </w:rPr>
        <w:t>的</w:t>
      </w:r>
      <w:r>
        <w:rPr>
          <w:rFonts w:ascii="宋体" w:hAnsi="宋体" w:cs="宋体" w:eastAsia="宋体" w:hint="ascii"/>
          <w:sz w:val="21"/>
          <w:spacing w:val="-5"/>
        </w:rPr>
        <w:t>申请</w:t>
      </w:r>
      <w:r>
        <w:rPr>
          <w:rFonts w:ascii="宋体" w:hAnsi="宋体" w:cs="宋体" w:eastAsia="宋体" w:hint="ascii"/>
          <w:sz w:val="21"/>
          <w:spacing w:val="-4"/>
        </w:rPr>
        <w:t>人开</w:t>
      </w:r>
      <w:r>
        <w:rPr>
          <w:rFonts w:ascii="宋体" w:hAnsi="宋体" w:cs="宋体" w:eastAsia="宋体" w:hint="ascii"/>
          <w:sz w:val="21"/>
          <w:spacing w:val="-5"/>
        </w:rPr>
        <w:t>展</w:t>
      </w:r>
      <w:r>
        <w:rPr>
          <w:rFonts w:ascii="宋体" w:hAnsi="宋体" w:cs="宋体" w:eastAsia="宋体" w:hint="ascii"/>
          <w:sz w:val="21"/>
          <w:spacing w:val="-4"/>
        </w:rPr>
        <w:t>具</w:t>
      </w:r>
      <w:r>
        <w:rPr>
          <w:rFonts w:ascii="宋体" w:hAnsi="宋体" w:cs="宋体" w:eastAsia="宋体" w:hint="ascii"/>
          <w:sz w:val="21"/>
          <w:spacing w:val="-5"/>
        </w:rPr>
        <w:t>有国</w:t>
      </w:r>
      <w:r>
        <w:rPr>
          <w:rFonts w:ascii="宋体" w:hAnsi="宋体" w:cs="宋体" w:eastAsia="宋体" w:hint="ascii"/>
          <w:sz w:val="21"/>
          <w:spacing w:val="-4"/>
        </w:rPr>
        <w:t>际竞</w:t>
      </w:r>
      <w:r>
        <w:rPr>
          <w:rFonts w:ascii="宋体" w:hAnsi="宋体" w:cs="宋体" w:eastAsia="宋体" w:hint="ascii"/>
          <w:sz w:val="21"/>
          <w:spacing w:val="-5"/>
        </w:rPr>
        <w:t>争</w:t>
      </w:r>
      <w:r>
        <w:rPr>
          <w:rFonts w:ascii="宋体" w:hAnsi="宋体" w:cs="宋体" w:eastAsia="宋体" w:hint="ascii"/>
          <w:sz w:val="21"/>
          <w:spacing w:val="-4"/>
        </w:rPr>
        <w:t>力</w:t>
      </w:r>
      <w:r>
        <w:rPr>
          <w:rFonts w:ascii="宋体" w:hAnsi="宋体" w:cs="宋体" w:eastAsia="宋体" w:hint="ascii"/>
          <w:sz w:val="21"/>
          <w:spacing w:val="-5"/>
        </w:rPr>
        <w:t>的科</w:t>
      </w:r>
      <w:r>
        <w:rPr>
          <w:rFonts w:ascii="宋体" w:hAnsi="宋体" w:cs="宋体" w:eastAsia="宋体" w:hint="ascii"/>
          <w:sz w:val="21"/>
          <w:spacing w:val="-4"/>
        </w:rPr>
        <w:t>研工</w:t>
      </w:r>
      <w:r>
        <w:rPr>
          <w:rFonts w:ascii="宋体" w:hAnsi="宋体" w:cs="宋体" w:eastAsia="宋体" w:hint="ascii"/>
          <w:sz w:val="21"/>
          <w:spacing w:val="-5"/>
        </w:rPr>
        <w:t>作</w:t>
      </w:r>
      <w:r>
        <w:rPr>
          <w:rFonts w:ascii="宋体" w:hAnsi="宋体" w:cs="宋体" w:eastAsia="宋体" w:hint="ascii"/>
          <w:sz w:val="21"/>
          <w:spacing w:val="-3"/>
        </w:rPr>
        <w:t>，</w:t>
      </w:r>
      <w:r>
        <w:rPr>
          <w:rFonts w:ascii="宋体" w:hAnsi="宋体" w:cs="宋体" w:eastAsia="宋体" w:hint="ascii"/>
          <w:sz w:val="21"/>
          <w:spacing w:val="-4"/>
        </w:rPr>
        <w:t>鼓励</w:t>
      </w:r>
      <w:r>
        <w:rPr>
          <w:rFonts w:ascii="宋体" w:hAnsi="宋体" w:cs="宋体" w:eastAsia="宋体" w:hint="ascii"/>
          <w:sz w:val="21"/>
          <w:spacing w:val="-3"/>
        </w:rPr>
        <w:t>生殖</w:t>
      </w:r>
      <w:r>
        <w:rPr>
          <w:rFonts w:ascii="宋体" w:hAnsi="宋体" w:cs="宋体" w:eastAsia="宋体" w:hint="ascii"/>
          <w:sz w:val="21"/>
          <w:spacing w:val="-4"/>
        </w:rPr>
        <w:t>生</w:t>
      </w:r>
      <w:r>
        <w:rPr>
          <w:rFonts w:ascii="宋体" w:hAnsi="宋体" w:cs="宋体" w:eastAsia="宋体" w:hint="ascii"/>
          <w:sz w:val="21"/>
          <w:spacing w:val="-3"/>
        </w:rPr>
        <w:t>物</w:t>
      </w:r>
      <w:r>
        <w:rPr>
          <w:rFonts w:ascii="宋体" w:hAnsi="宋体" w:cs="宋体" w:eastAsia="宋体" w:hint="ascii"/>
          <w:sz w:val="21"/>
          <w:spacing w:val="-4"/>
        </w:rPr>
        <w:t>学领</w:t>
      </w:r>
      <w:r>
        <w:rPr>
          <w:rFonts w:ascii="宋体" w:hAnsi="宋体" w:cs="宋体" w:eastAsia="宋体" w:hint="ascii"/>
          <w:sz w:val="21"/>
          <w:spacing w:val="-3"/>
        </w:rPr>
        <w:t>域的</w:t>
      </w:r>
      <w:r>
        <w:rPr>
          <w:rFonts w:ascii="宋体" w:hAnsi="宋体" w:cs="宋体" w:eastAsia="宋体" w:hint="ascii"/>
          <w:sz w:val="21"/>
          <w:spacing w:val="-1"/>
        </w:rPr>
        <w:t>申</w:t>
      </w:r>
      <w:r>
        <w:rPr>
          <w:rFonts w:ascii="宋体" w:hAnsi="宋体" w:cs="宋体" w:eastAsia="宋体" w:hint="ascii"/>
          <w:sz w:val="21"/>
        </w:rPr>
        <w:t xml:space="preserve"> </w:t>
      </w:r>
      <w:r>
        <w:rPr>
          <w:rFonts w:ascii="宋体" w:hAnsi="宋体" w:cs="宋体" w:eastAsia="宋体" w:hint="ascii"/>
          <w:sz w:val="21"/>
          <w:spacing w:val="-3"/>
        </w:rPr>
        <w:t>请人开展与人类生殖医学需求密切相关的基础性研究，并在这一领域给予倾斜资助</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现代发育生物学与生殖生物学研究强调在体、连续、动态，注重多细胞、多基因的</w:t>
      </w:r>
    </w:p>
    <w:p>
      <w:pPr>
        <w:autoSpaceDE w:val="0"/>
        <w:autoSpaceDN w:val="0"/>
        <w:jc w:val="both"/>
        <w:spacing w:before="10"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协同作用，关注发育和疾病</w:t>
      </w:r>
      <w:r>
        <w:rPr>
          <w:rFonts w:ascii="宋体" w:hAnsi="宋体" w:cs="宋体" w:eastAsia="宋体" w:hint="ascii"/>
          <w:sz w:val="21"/>
        </w:rPr>
        <w:t>的关系，鼓励利用模式生物探讨发育和生殖的分子调控</w:t>
      </w:r>
      <w:r>
        <w:rPr>
          <w:rFonts w:ascii="宋体" w:hAnsi="宋体" w:cs="宋体" w:eastAsia="宋体" w:hint="ascii"/>
          <w:sz w:val="21"/>
          <w:spacing w:val="-6"/>
        </w:rPr>
        <w:t>机</w:t>
      </w:r>
      <w:r>
        <w:rPr>
          <w:rFonts w:ascii="宋体" w:hAnsi="宋体" w:cs="宋体" w:eastAsia="宋体" w:hint="ascii"/>
          <w:sz w:val="21"/>
          <w:spacing w:val="-1"/>
        </w:rPr>
        <w:t>理，</w:t>
      </w:r>
      <w:r>
        <w:rPr>
          <w:rFonts w:ascii="宋体" w:hAnsi="宋体" w:cs="宋体" w:eastAsia="宋体" w:hint="ascii"/>
          <w:sz w:val="21"/>
        </w:rPr>
        <w:t>鼓励建立发育和生殖相关疾病模型。在植物发育与生殖研究领域鼓励为现代分子育</w:t>
      </w:r>
      <w:r>
        <w:rPr>
          <w:rFonts w:ascii="宋体" w:hAnsi="宋体" w:cs="宋体" w:eastAsia="宋体" w:hint="ascii"/>
          <w:sz w:val="21"/>
          <w:spacing w:val="-1"/>
        </w:rPr>
        <w:t>种提</w:t>
      </w:r>
      <w:r>
        <w:rPr>
          <w:rFonts w:ascii="宋体" w:hAnsi="宋体" w:cs="宋体" w:eastAsia="宋体" w:hint="ascii"/>
          <w:sz w:val="21"/>
        </w:rPr>
        <w:t>供理论指导的基础性项目申请。鼓励发展发育生物学与生殖生物学的新技术、新方法的研究。</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生命科学六处</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生命科学六处的资助范围包括作物学、食品科学两个学科。</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作物学学科</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本学科主要资助以作物为研究对象开展的基础和应用基础研究，包括作物的生长发</w:t>
      </w:r>
    </w:p>
    <w:p>
      <w:pPr>
        <w:autoSpaceDE w:val="0"/>
        <w:autoSpaceDN w:val="0"/>
        <w:jc w:val="left"/>
        <w:spacing w:before="29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育、遗传改良</w:t>
      </w:r>
      <w:r>
        <w:rPr>
          <w:rFonts w:ascii="宋体" w:hAnsi="宋体" w:cs="宋体" w:eastAsia="宋体" w:hint="ascii"/>
          <w:sz w:val="21"/>
        </w:rPr>
        <w:t>、与环境相互关系和生产等相关科学问题，涵盖作物基础、作物生理学、作物栽培与耕作、作物种质资源与遗传育种学，以及作物种子科学等分支学科。</w:t>
      </w:r>
      <w:r>
        <w:rPr>
          <w:rFonts w:ascii="宋体" w:hAnsi="宋体" w:cs="宋体" w:eastAsia="宋体" w:hint="ascii"/>
          <w:sz w:val="21"/>
        </w:rPr>
        <mc:AlternateContent>
          <mc:Choice Requires="wps">
            <w:drawing>
              <wp:anchor distL="0" distR="0" distT="0" distB="0" simplePos="0" behindDoc="1" relativeHeight="91" locked="0" layoutInCell="1" allowOverlap="1">
                <wp:simplePos x="0" y="0"/>
                <wp:positionH relativeFrom="page">
                  <wp:posOffset>938530</wp:posOffset>
                </wp:positionH>
                <wp:positionV relativeFrom="page">
                  <wp:posOffset>819150</wp:posOffset>
                </wp:positionV>
                <wp:extent cx="5076190" cy="0"/>
                <wp:wrapNone/>
                <wp:docPr id="1119" name="111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65056;width:399.70pt;" id="111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作物种质资源评价与创新、作物重要性状形成的遗传和分子机理、作物与环境的相</w:t>
      </w:r>
    </w:p>
    <w:p>
      <w:pPr>
        <w:autoSpaceDE w:val="0"/>
        <w:autoSpaceDN w:val="0"/>
        <w:jc w:val="both"/>
        <w:spacing w:before="12" w:after="0" w:lineRule="exact" w:line="324"/>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互作用、作物</w:t>
      </w:r>
      <w:r>
        <w:rPr>
          <w:rFonts w:ascii="宋体" w:hAnsi="宋体" w:cs="宋体" w:eastAsia="宋体" w:hint="ascii"/>
          <w:sz w:val="21"/>
        </w:rPr>
        <w:t>高产优质理论和资源高效利用规律、种子生产及质量控制是目前作物学研</w:t>
      </w:r>
      <w:r>
        <w:rPr>
          <w:rFonts w:ascii="宋体" w:hAnsi="宋体" w:cs="宋体" w:eastAsia="宋体" w:hint="ascii"/>
          <w:sz w:val="21"/>
          <w:spacing w:val="-1"/>
        </w:rPr>
        <w:t>究的主要领域</w:t>
      </w:r>
      <w:r>
        <w:rPr>
          <w:rFonts w:ascii="宋体" w:hAnsi="宋体" w:cs="宋体" w:eastAsia="宋体" w:hint="ascii"/>
          <w:sz w:val="21"/>
        </w:rPr>
        <w:t>。本学科支持科研工作者以作物生产和农业可持续发展中的科学问题为导</w:t>
      </w:r>
      <w:r>
        <w:rPr>
          <w:rFonts w:ascii="宋体" w:hAnsi="宋体" w:cs="宋体" w:eastAsia="宋体" w:hint="ascii"/>
          <w:sz w:val="21"/>
          <w:spacing w:val="-1"/>
        </w:rPr>
        <w:t>向，重点围绕</w:t>
      </w:r>
      <w:r>
        <w:rPr>
          <w:rFonts w:ascii="宋体" w:hAnsi="宋体" w:cs="宋体" w:eastAsia="宋体" w:hint="ascii"/>
          <w:sz w:val="21"/>
        </w:rPr>
        <w:t>上述领域开展的基础研究。积极支持针对作物科学前沿和我国农业发展的</w:t>
      </w:r>
      <w:r>
        <w:rPr>
          <w:rFonts w:ascii="宋体" w:hAnsi="宋体" w:cs="宋体" w:eastAsia="宋体" w:hint="ascii"/>
          <w:sz w:val="21"/>
          <w:spacing w:val="-1"/>
        </w:rPr>
        <w:t>需求，将基础</w:t>
      </w:r>
      <w:r>
        <w:rPr>
          <w:rFonts w:ascii="宋体" w:hAnsi="宋体" w:cs="宋体" w:eastAsia="宋体" w:hint="ascii"/>
          <w:sz w:val="21"/>
        </w:rPr>
        <w:t>生物学、生物技术和生物信息学与作物生产和农艺性状改良紧密结合的基</w:t>
      </w:r>
      <w:r>
        <w:rPr>
          <w:rFonts w:ascii="宋体" w:hAnsi="宋体" w:cs="宋体" w:eastAsia="宋体" w:hint="ascii"/>
          <w:sz w:val="21"/>
          <w:spacing w:val="1"/>
        </w:rPr>
        <w:t>础研究。鼓励作物</w:t>
      </w:r>
      <w:r>
        <w:rPr>
          <w:rFonts w:ascii="宋体" w:hAnsi="宋体" w:cs="宋体" w:eastAsia="宋体" w:hint="ascii"/>
          <w:sz w:val="21"/>
        </w:rPr>
        <w:t>学与信息技术、计算生物学、系统生物学等交叉研究。鼓励围绕</w:t>
      </w:r>
      <w:r>
        <w:rPr>
          <w:rFonts w:ascii="宋体" w:hAnsi="宋体" w:cs="宋体" w:eastAsia="宋体" w:hint="ascii"/>
          <w:sz w:val="21"/>
          <w:spacing w:val="-6"/>
        </w:rPr>
        <w:t>作</w:t>
      </w:r>
      <w:r>
        <w:rPr>
          <w:rFonts w:ascii="宋体" w:hAnsi="宋体" w:cs="宋体" w:eastAsia="宋体" w:hint="ascii"/>
          <w:sz w:val="21"/>
          <w:spacing w:val="1"/>
        </w:rPr>
        <w:t>物丰产、优质、抗</w:t>
      </w:r>
      <w:r>
        <w:rPr>
          <w:rFonts w:ascii="宋体" w:hAnsi="宋体" w:cs="宋体" w:eastAsia="宋体" w:hint="ascii"/>
          <w:sz w:val="21"/>
        </w:rPr>
        <w:t>逆及资源高效利用开展的作物栽培与耕作调控研究。鼓励以生产</w:t>
      </w:r>
      <w:r>
        <w:rPr>
          <w:rFonts w:ascii="宋体" w:hAnsi="宋体" w:cs="宋体" w:eastAsia="宋体" w:hint="ascii"/>
          <w:sz w:val="21"/>
          <w:spacing w:val="-6"/>
        </w:rPr>
        <w:t>上</w:t>
      </w:r>
      <w:r>
        <w:rPr>
          <w:rFonts w:ascii="宋体" w:hAnsi="宋体" w:cs="宋体" w:eastAsia="宋体" w:hint="ascii"/>
          <w:sz w:val="21"/>
          <w:spacing w:val="1"/>
        </w:rPr>
        <w:t>广泛应用的农作物</w:t>
      </w:r>
      <w:r>
        <w:rPr>
          <w:rFonts w:ascii="宋体" w:hAnsi="宋体" w:cs="宋体" w:eastAsia="宋体" w:hint="ascii"/>
          <w:sz w:val="21"/>
        </w:rPr>
        <w:t>品种及优异种质为材料，开展栽培、生理和遗传学的系统研究。</w:t>
      </w:r>
      <w:r>
        <w:rPr>
          <w:rFonts w:ascii="宋体" w:hAnsi="宋体" w:cs="宋体" w:eastAsia="宋体" w:hint="ascii"/>
          <w:sz w:val="21"/>
          <w:spacing w:val="-6"/>
        </w:rPr>
        <w:t>鼓</w:t>
      </w:r>
      <w:r>
        <w:rPr>
          <w:rFonts w:ascii="宋体" w:hAnsi="宋体" w:cs="宋体" w:eastAsia="宋体" w:hint="ascii"/>
          <w:sz w:val="21"/>
          <w:spacing w:val="1"/>
        </w:rPr>
        <w:t>励采用现代新技术</w:t>
      </w:r>
      <w:r>
        <w:rPr>
          <w:rFonts w:ascii="宋体" w:hAnsi="宋体" w:cs="宋体" w:eastAsia="宋体" w:hint="ascii"/>
          <w:sz w:val="21"/>
        </w:rPr>
        <w:t>、新方法进行种质资源挖掘与创新的应用基础研究。鼓励新理论</w:t>
      </w:r>
      <w:r>
        <w:rPr>
          <w:rFonts w:ascii="宋体" w:hAnsi="宋体" w:cs="宋体" w:eastAsia="宋体" w:hint="ascii"/>
          <w:sz w:val="21"/>
          <w:spacing w:val="-6"/>
        </w:rPr>
        <w:t>、</w:t>
      </w:r>
      <w:r>
        <w:rPr>
          <w:rFonts w:ascii="宋体" w:hAnsi="宋体" w:cs="宋体" w:eastAsia="宋体" w:hint="ascii"/>
          <w:sz w:val="21"/>
          <w:spacing w:val="1"/>
        </w:rPr>
        <w:t>新技术与田间试验密</w:t>
      </w:r>
      <w:r>
        <w:rPr>
          <w:rFonts w:ascii="宋体" w:hAnsi="宋体" w:cs="宋体" w:eastAsia="宋体" w:hint="ascii"/>
          <w:sz w:val="21"/>
        </w:rPr>
        <w:t>切结合的研究。鼓励以特色小作物为研究对象开展的基础与应</w:t>
      </w:r>
      <w:r>
        <w:rPr>
          <w:rFonts w:ascii="宋体" w:hAnsi="宋体" w:cs="宋体" w:eastAsia="宋体" w:hint="ascii"/>
          <w:sz w:val="21"/>
          <w:spacing w:val="-6"/>
        </w:rPr>
        <w:t>用</w:t>
      </w:r>
      <w:r>
        <w:rPr>
          <w:rFonts w:ascii="宋体" w:hAnsi="宋体" w:cs="宋体" w:eastAsia="宋体" w:hint="ascii"/>
          <w:sz w:val="21"/>
        </w:rPr>
        <w:t>基础研究。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从项目申请来看，从我国农业生产需求中凝练基础科学问题的项目申请有所增加，</w:t>
      </w:r>
    </w:p>
    <w:p>
      <w:pPr>
        <w:autoSpaceDE w:val="0"/>
        <w:autoSpaceDN w:val="0"/>
        <w:jc w:val="both"/>
        <w:spacing w:before="9" w:after="0" w:lineRule="exact" w:line="313"/>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围绕作物生产</w:t>
      </w:r>
      <w:r>
        <w:rPr>
          <w:rFonts w:ascii="宋体" w:hAnsi="宋体" w:cs="宋体" w:eastAsia="宋体" w:hint="ascii"/>
          <w:sz w:val="21"/>
        </w:rPr>
        <w:t>问题开展多学科交叉研究的趋势更加明显，依托单位的分布呈现出多样化</w:t>
      </w:r>
      <w:r>
        <w:rPr>
          <w:rFonts w:ascii="宋体" w:hAnsi="宋体" w:cs="宋体" w:eastAsia="宋体" w:hint="ascii"/>
          <w:sz w:val="21"/>
          <w:spacing w:val="-1"/>
        </w:rPr>
        <w:t>的格局，但依</w:t>
      </w:r>
      <w:r>
        <w:rPr>
          <w:rFonts w:ascii="宋体" w:hAnsi="宋体" w:cs="宋体" w:eastAsia="宋体" w:hint="ascii"/>
          <w:sz w:val="21"/>
        </w:rPr>
        <w:t>然存在下列主要问题：</w:t>
      </w:r>
      <w:r>
        <w:rPr>
          <w:rFonts w:ascii="宋体" w:hAnsi="宋体" w:cs="宋体" w:eastAsia="宋体" w:hint="ascii"/>
          <w:sz w:val="21"/>
        </w:rPr>
        <w:t>①</w:t>
      </w:r>
      <w:r>
        <w:rPr>
          <w:rFonts w:ascii="宋体" w:hAnsi="宋体" w:cs="宋体" w:eastAsia="宋体" w:hint="ascii"/>
          <w:sz w:val="21"/>
        </w:rPr>
        <w:t>农作物基因组和基因功能研究的项目较多，但在</w:t>
      </w:r>
      <w:r>
        <w:rPr>
          <w:rFonts w:ascii="宋体" w:hAnsi="宋体" w:cs="宋体" w:eastAsia="宋体" w:hint="ascii"/>
          <w:sz w:val="21"/>
          <w:spacing w:val="-1"/>
        </w:rPr>
        <w:t>此基础上对生</w:t>
      </w:r>
      <w:r>
        <w:rPr>
          <w:rFonts w:ascii="宋体" w:hAnsi="宋体" w:cs="宋体" w:eastAsia="宋体" w:hint="ascii"/>
          <w:sz w:val="21"/>
        </w:rPr>
        <w:t>理学、遗传学和遗传育种应用的机理揭示不够。</w:t>
      </w:r>
      <w:r>
        <w:rPr>
          <w:rFonts w:ascii="宋体" w:hAnsi="宋体" w:cs="宋体" w:eastAsia="宋体" w:hint="ascii"/>
          <w:sz w:val="21"/>
        </w:rPr>
        <w:t>②</w:t>
      </w:r>
      <w:r>
        <w:rPr>
          <w:rFonts w:ascii="宋体" w:hAnsi="宋体" w:cs="宋体" w:eastAsia="宋体" w:hint="ascii"/>
          <w:sz w:val="21"/>
        </w:rPr>
        <w:t>部分项目注重跟踪国际</w:t>
      </w:r>
      <w:r>
        <w:rPr>
          <w:rFonts w:ascii="宋体" w:hAnsi="宋体" w:cs="宋体" w:eastAsia="宋体" w:hint="ascii"/>
          <w:sz w:val="21"/>
          <w:spacing w:val="-1"/>
        </w:rPr>
        <w:t>研究热点，但</w:t>
      </w:r>
      <w:r>
        <w:rPr>
          <w:rFonts w:ascii="宋体" w:hAnsi="宋体" w:cs="宋体" w:eastAsia="宋体" w:hint="ascii"/>
          <w:sz w:val="21"/>
        </w:rPr>
        <w:t>与我国作物生产实际结合不够紧密，基础研究支撑应用研究的能力不强。</w:t>
      </w:r>
      <w:r>
        <w:rPr>
          <w:rFonts w:ascii="宋体" w:hAnsi="宋体" w:cs="宋体" w:eastAsia="宋体" w:hint="ascii"/>
          <w:sz w:val="21"/>
          <w:spacing w:val="-1"/>
        </w:rPr>
        <w:t>③</w:t>
      </w:r>
      <w:r>
        <w:rPr>
          <w:rFonts w:ascii="宋体" w:hAnsi="宋体" w:cs="宋体" w:eastAsia="宋体" w:hint="ascii"/>
          <w:sz w:val="21"/>
          <w:spacing w:val="-1"/>
        </w:rPr>
        <w:t>部分青年科</w:t>
      </w:r>
      <w:r>
        <w:rPr>
          <w:rFonts w:ascii="宋体" w:hAnsi="宋体" w:cs="宋体" w:eastAsia="宋体" w:hint="ascii"/>
          <w:sz w:val="21"/>
        </w:rPr>
        <w:t>学基金申请内容与现岗位结合不紧密，只是研究生期间研究工作的简单延</w:t>
      </w:r>
      <w:r>
        <w:rPr>
          <w:rFonts w:ascii="宋体" w:hAnsi="宋体" w:cs="宋体" w:eastAsia="宋体" w:hint="ascii"/>
          <w:sz w:val="21"/>
          <w:spacing w:val="-1"/>
        </w:rPr>
        <w:t>续，创新性不</w:t>
      </w:r>
      <w:r>
        <w:rPr>
          <w:rFonts w:ascii="宋体" w:hAnsi="宋体" w:cs="宋体" w:eastAsia="宋体" w:hint="ascii"/>
          <w:sz w:val="21"/>
        </w:rPr>
        <w:t>强；部分地区基金与当地作物生产中的科学问题研究结合不紧密。</w:t>
      </w:r>
      <w:r>
        <w:rPr>
          <w:rFonts w:ascii="宋体" w:hAnsi="宋体" w:cs="宋体" w:eastAsia="宋体" w:hint="ascii"/>
          <w:sz w:val="21"/>
        </w:rPr>
        <w:t>④</w:t>
      </w:r>
      <w:r>
        <w:rPr>
          <w:rFonts w:ascii="宋体" w:hAnsi="宋体" w:cs="宋体" w:eastAsia="宋体" w:hint="ascii"/>
          <w:sz w:val="21"/>
        </w:rPr>
        <w:t>在作</w:t>
      </w:r>
      <w:r>
        <w:rPr>
          <w:rFonts w:ascii="宋体" w:hAnsi="宋体" w:cs="宋体" w:eastAsia="宋体" w:hint="ascii"/>
          <w:sz w:val="21"/>
          <w:spacing w:val="-1"/>
        </w:rPr>
        <w:t>物信息学领域</w:t>
      </w:r>
      <w:r>
        <w:rPr>
          <w:rFonts w:ascii="宋体" w:hAnsi="宋体" w:cs="宋体" w:eastAsia="宋体" w:hint="ascii"/>
          <w:sz w:val="21"/>
        </w:rPr>
        <w:t>，借用光谱、红外、遥感等方法获取作物信息的研究项目较多，但理论深</w:t>
      </w:r>
      <w:r>
        <w:rPr>
          <w:rFonts w:ascii="宋体" w:hAnsi="宋体" w:cs="宋体" w:eastAsia="宋体" w:hint="ascii"/>
          <w:sz w:val="21"/>
          <w:spacing w:val="-1"/>
        </w:rPr>
        <w:t>度不够且实际</w:t>
      </w:r>
      <w:r>
        <w:rPr>
          <w:rFonts w:ascii="宋体" w:hAnsi="宋体" w:cs="宋体" w:eastAsia="宋体" w:hint="ascii"/>
          <w:sz w:val="21"/>
        </w:rPr>
        <w:t>应用比较困难。</w:t>
      </w:r>
      <w:r>
        <w:rPr>
          <w:rFonts w:ascii="宋体" w:hAnsi="宋体" w:cs="宋体" w:eastAsia="宋体" w:hint="ascii"/>
          <w:sz w:val="21"/>
        </w:rPr>
        <w:t>⑤</w:t>
      </w:r>
      <w:r>
        <w:rPr>
          <w:rFonts w:ascii="宋体" w:hAnsi="宋体" w:cs="宋体" w:eastAsia="宋体" w:hint="ascii"/>
          <w:sz w:val="21"/>
        </w:rPr>
        <w:t>少数申请书写作不规范、科研态度不严谨，如在研究基</w:t>
      </w:r>
      <w:r>
        <w:rPr>
          <w:rFonts w:ascii="宋体" w:hAnsi="宋体" w:cs="宋体" w:eastAsia="宋体" w:hint="ascii"/>
          <w:sz w:val="21"/>
          <w:spacing w:val="1"/>
        </w:rPr>
        <w:t>础和个人简介部分存</w:t>
      </w:r>
      <w:r>
        <w:rPr>
          <w:rFonts w:ascii="宋体" w:hAnsi="宋体" w:cs="宋体" w:eastAsia="宋体" w:hint="ascii"/>
          <w:sz w:val="21"/>
        </w:rPr>
        <w:t>在内容失实或不准确，对于代表性研究成果（论文、专利和奖</w:t>
      </w:r>
      <w:r>
        <w:rPr>
          <w:rFonts w:ascii="宋体" w:hAnsi="宋体" w:cs="宋体" w:eastAsia="宋体" w:hint="ascii"/>
          <w:sz w:val="21"/>
          <w:spacing w:val="-6"/>
        </w:rPr>
        <w:t>励</w:t>
      </w:r>
      <w:r>
        <w:rPr>
          <w:rFonts w:ascii="宋体" w:hAnsi="宋体" w:cs="宋体" w:eastAsia="宋体" w:hint="ascii"/>
          <w:sz w:val="21"/>
        </w:rPr>
        <w:t>等）尤其应如实填写。</w: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本学科项目申请应以作物为研究对象，与其他学科的交叉不能偏离这一研究主体，</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b w:val="1"/>
          <w:sz w:val="21"/>
        </w:rPr>
      </w:pPr>
      <w:r>
        <w:rPr>
          <w:rFonts w:ascii="宋体" w:hAnsi="宋体" w:cs="宋体" w:eastAsia="宋体" w:hint="ascii"/>
          <w:sz w:val="21"/>
        </w:rPr>
        <w:t>申请书中必须明确研究对象为哪种（些）作物，否则不属于本学科的资助范围</w:t>
      </w:r>
      <w:r>
        <w:rPr>
          <w:rFonts w:ascii="宋体" w:hAnsi="宋体" w:cs="宋体" w:eastAsia="宋体" w:hint="ascii"/>
          <w:b w:val="1"/>
          <w:sz w:val="21"/>
        </w:rPr>
        <w:t>。</w:t>
      </w:r>
      <w:r>
        <w:rPr>
          <w:rFonts w:ascii="宋体" w:hAnsi="宋体" w:cs="宋体" w:eastAsia="宋体" w:hint="ascii"/>
          <w:sz w:val="21"/>
        </w:rPr>
        <w:t>本学科</w:t>
      </w:r>
      <w:r>
        <w:rPr>
          <w:rFonts w:ascii="宋体" w:hAnsi="宋体" w:cs="宋体" w:eastAsia="宋体" w:hint="ascii"/>
          <w:sz w:val="21"/>
          <w:spacing w:val="3"/>
        </w:rPr>
        <w:t>不受理以</w:t>
      </w:r>
      <w:r>
        <w:rPr>
          <w:rFonts w:ascii="宋体" w:hAnsi="宋体" w:cs="宋体" w:eastAsia="宋体" w:hint="ascii"/>
          <w:sz w:val="21"/>
        </w:rPr>
        <w:t>农</w:t>
      </w:r>
      <w:r>
        <w:rPr>
          <w:rFonts w:ascii="宋体" w:hAnsi="宋体" w:cs="宋体" w:eastAsia="宋体" w:hint="ascii"/>
          <w:sz w:val="21"/>
          <w:spacing w:val="3"/>
        </w:rPr>
        <w:t>业动物、</w:t>
      </w:r>
      <w:r>
        <w:rPr>
          <w:rFonts w:ascii="宋体" w:hAnsi="宋体" w:cs="宋体" w:eastAsia="宋体" w:hint="ascii"/>
          <w:sz w:val="21"/>
        </w:rPr>
        <w:t>动</w:t>
      </w:r>
      <w:r>
        <w:rPr>
          <w:rFonts w:ascii="宋体" w:hAnsi="宋体" w:cs="宋体" w:eastAsia="宋体" w:hint="ascii"/>
          <w:sz w:val="21"/>
          <w:spacing w:val="3"/>
        </w:rPr>
        <w:t>物产品、</w:t>
      </w:r>
      <w:r>
        <w:rPr>
          <w:rFonts w:ascii="宋体" w:hAnsi="宋体" w:cs="宋体" w:eastAsia="宋体" w:hint="ascii"/>
          <w:sz w:val="21"/>
        </w:rPr>
        <w:t>微</w:t>
      </w:r>
      <w:r>
        <w:rPr>
          <w:rFonts w:ascii="宋体" w:hAnsi="宋体" w:cs="宋体" w:eastAsia="宋体" w:hint="ascii"/>
          <w:sz w:val="21"/>
          <w:spacing w:val="3"/>
        </w:rPr>
        <w:t>生物、林</w:t>
      </w:r>
      <w:r>
        <w:rPr>
          <w:rFonts w:ascii="宋体" w:hAnsi="宋体" w:cs="宋体" w:eastAsia="宋体" w:hint="ascii"/>
          <w:sz w:val="21"/>
        </w:rPr>
        <w:t>木</w:t>
      </w:r>
      <w:r>
        <w:rPr>
          <w:rFonts w:ascii="宋体" w:hAnsi="宋体" w:cs="宋体" w:eastAsia="宋体" w:hint="ascii"/>
          <w:sz w:val="21"/>
          <w:spacing w:val="3"/>
        </w:rPr>
        <w:t>、果树、</w:t>
      </w:r>
      <w:r>
        <w:rPr>
          <w:rFonts w:ascii="宋体" w:hAnsi="宋体" w:cs="宋体" w:eastAsia="宋体" w:hint="ascii"/>
          <w:sz w:val="21"/>
        </w:rPr>
        <w:t>蔬</w:t>
      </w:r>
      <w:r>
        <w:rPr>
          <w:rFonts w:ascii="宋体" w:hAnsi="宋体" w:cs="宋体" w:eastAsia="宋体" w:hint="ascii"/>
          <w:sz w:val="21"/>
          <w:spacing w:val="3"/>
        </w:rPr>
        <w:t>菜、瓜果</w:t>
      </w:r>
      <w:r>
        <w:rPr>
          <w:rFonts w:ascii="宋体" w:hAnsi="宋体" w:cs="宋体" w:eastAsia="宋体" w:hint="ascii"/>
          <w:sz w:val="21"/>
        </w:rPr>
        <w:t>、</w:t>
      </w:r>
      <w:r>
        <w:rPr>
          <w:rFonts w:ascii="宋体" w:hAnsi="宋体" w:cs="宋体" w:eastAsia="宋体" w:hint="ascii"/>
          <w:sz w:val="21"/>
          <w:spacing w:val="3"/>
        </w:rPr>
        <w:t>花卉、藻类</w:t>
      </w:r>
      <w:r>
        <w:rPr>
          <w:rFonts w:ascii="宋体" w:hAnsi="宋体" w:cs="宋体" w:eastAsia="宋体" w:hint="ascii"/>
          <w:sz w:val="21"/>
          <w:spacing w:val="4"/>
        </w:rPr>
        <w:t>、</w:t>
      </w:r>
      <w:r>
        <w:rPr>
          <w:rFonts w:ascii="宋体" w:hAnsi="宋体" w:cs="宋体" w:eastAsia="宋体" w:hint="ascii"/>
          <w:sz w:val="21"/>
        </w:rPr>
        <w:t>牧草、草坪草、茶、桑和拟南芥等为研究对象的申请</w:t>
      </w:r>
      <w:r>
        <w:rPr>
          <w:rFonts w:ascii="宋体" w:hAnsi="宋体" w:cs="宋体" w:eastAsia="宋体" w:hint="ascii"/>
          <w:b w:val="1"/>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食品科学学科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食品科学学科主要资助以食品及其原料为研究对象的食品生物学领域的基础和应用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基础研究，本</w:t>
      </w:r>
      <w:r>
        <w:rPr>
          <w:rFonts w:ascii="宋体" w:hAnsi="宋体" w:cs="宋体" w:eastAsia="宋体" w:hint="ascii"/>
          <w:sz w:val="21"/>
        </w:rPr>
        <w:t>学科资助范围包括：食品原料学、食品生物化学、食品发酵与酿造、食品营养、食品加工的生物学基础、食品贮藏与保鲜、食品安全与质量控制。</w:t>
      </w:r>
    </w:p>
    <w:p>
      <w:pPr>
        <w:autoSpaceDE w:val="0"/>
        <w:autoSpaceDN w:val="0"/>
        <w:jc w:val="left"/>
        <w:spacing w:before="40" w:after="0" w:lineRule="auto" w:line="240"/>
        <w:ind w:right="0" w:left="1875" w:hanging="481"/>
        <w:snapToGrid w:val="0"/>
        <w:textAlignment w:val="auto"/>
        <w:tabs>
          <w:tab w:val="left" w:leader="none" w:pos="1875"/>
        </w:tabs>
        <w:numPr>
          <w:ilvl w:val="0"/>
          <w:numId w:val="60"/>
        </w:numPr>
        <w:rPr>
          <w:rFonts w:ascii="Times New Roman" w:hAnsi="Times New Roman" w:cs="Times New Roman" w:eastAsia="Times New Roman" w:hint="ascii"/>
          <w:sz w:val="21"/>
          <w:spacing w:val="2"/>
        </w:rPr>
      </w:pPr>
      <w:r>
        <w:rPr>
          <w:rFonts w:ascii="宋体" w:hAnsi="宋体" w:cs="宋体" w:eastAsia="宋体" w:hint="ascii"/>
          <w:sz w:val="21"/>
        </w:rPr>
        <w:t>年度项目申请存在以下主要问题：①申请书中内容失实或不准确，特别是个</w:t>
      </w:r>
    </w:p>
    <w:p>
      <w:pPr>
        <w:autoSpaceDE w:val="0"/>
        <w:autoSpaceDN w:val="0"/>
        <w:jc w:val="both"/>
        <w:spacing w:before="17" w:after="0" w:lineRule="exact" w:line="312"/>
        <w:ind w:right="982" w:left="966" w:firstLine="0"/>
        <w:snapToGrid w:val="0"/>
        <w:textAlignment w:val="auto"/>
        <w:tabs/>
        <w:rPr>
          <w:rFonts w:ascii="宋体" w:hAnsi="宋体" w:cs="宋体" w:eastAsia="宋体" w:hint="ascii"/>
          <w:sz w:val="21"/>
        </w:rPr>
      </w:pPr>
      <w:r>
        <w:rPr>
          <w:rFonts w:ascii="宋体" w:hAnsi="宋体" w:cs="宋体" w:eastAsia="宋体" w:hint="ascii"/>
          <w:sz w:val="21"/>
          <w:spacing w:val="3"/>
        </w:rPr>
        <w:t>人</w:t>
      </w:r>
      <w:r>
        <w:rPr>
          <w:rFonts w:ascii="宋体" w:hAnsi="宋体" w:cs="宋体" w:eastAsia="宋体" w:hint="ascii"/>
          <w:sz w:val="21"/>
          <w:spacing w:val="2"/>
        </w:rPr>
        <w:t>简介部分</w:t>
      </w:r>
      <w:r>
        <w:rPr>
          <w:rFonts w:ascii="宋体" w:hAnsi="宋体" w:cs="宋体" w:eastAsia="宋体" w:hint="ascii"/>
          <w:sz w:val="21"/>
          <w:spacing w:val="3"/>
        </w:rPr>
        <w:t>中</w:t>
      </w:r>
      <w:r>
        <w:rPr>
          <w:rFonts w:ascii="宋体" w:hAnsi="宋体" w:cs="宋体" w:eastAsia="宋体" w:hint="ascii"/>
          <w:sz w:val="21"/>
          <w:spacing w:val="2"/>
        </w:rPr>
        <w:t>的代表性</w:t>
      </w:r>
      <w:r>
        <w:rPr>
          <w:rFonts w:ascii="宋体" w:hAnsi="宋体" w:cs="宋体" w:eastAsia="宋体" w:hint="ascii"/>
          <w:sz w:val="21"/>
          <w:spacing w:val="3"/>
        </w:rPr>
        <w:t>研</w:t>
      </w:r>
      <w:r>
        <w:rPr>
          <w:rFonts w:ascii="宋体" w:hAnsi="宋体" w:cs="宋体" w:eastAsia="宋体" w:hint="ascii"/>
          <w:sz w:val="21"/>
          <w:spacing w:val="2"/>
        </w:rPr>
        <w:t>究成果（论</w:t>
      </w:r>
      <w:r>
        <w:rPr>
          <w:rFonts w:ascii="宋体" w:hAnsi="宋体" w:cs="宋体" w:eastAsia="宋体" w:hint="ascii"/>
          <w:sz w:val="21"/>
          <w:spacing w:val="1"/>
        </w:rPr>
        <w:t>文、专利</w:t>
      </w:r>
      <w:r>
        <w:rPr>
          <w:rFonts w:ascii="宋体" w:hAnsi="宋体" w:cs="宋体" w:eastAsia="宋体" w:hint="ascii"/>
          <w:sz w:val="21"/>
          <w:spacing w:val="-52"/>
        </w:rPr>
        <w:t>）</w:t>
      </w:r>
      <w:r>
        <w:rPr>
          <w:rFonts w:ascii="宋体" w:hAnsi="宋体" w:cs="宋体" w:eastAsia="宋体" w:hint="ascii"/>
          <w:sz w:val="21"/>
          <w:spacing w:val="2"/>
        </w:rPr>
        <w:t>；</w:t>
      </w:r>
      <w:r>
        <w:rPr>
          <w:rFonts w:ascii="宋体" w:hAnsi="宋体" w:cs="宋体" w:eastAsia="宋体" w:hint="ascii"/>
          <w:sz w:val="21"/>
          <w:spacing w:val="1"/>
        </w:rPr>
        <w:t>②申请代</w:t>
      </w:r>
      <w:r>
        <w:rPr>
          <w:rFonts w:ascii="宋体" w:hAnsi="宋体" w:cs="宋体" w:eastAsia="宋体" w:hint="ascii"/>
          <w:sz w:val="21"/>
          <w:spacing w:val="2"/>
        </w:rPr>
        <w:t>码</w:t>
      </w:r>
      <w:r>
        <w:rPr>
          <w:rFonts w:ascii="宋体" w:hAnsi="宋体" w:cs="宋体" w:eastAsia="宋体" w:hint="ascii"/>
          <w:sz w:val="21"/>
          <w:spacing w:val="1"/>
        </w:rPr>
        <w:t>填写不准</w:t>
      </w:r>
      <w:r>
        <w:rPr>
          <w:rFonts w:ascii="宋体" w:hAnsi="宋体" w:cs="宋体" w:eastAsia="宋体" w:hint="ascii"/>
          <w:sz w:val="21"/>
          <w:spacing w:val="2"/>
        </w:rPr>
        <w:t>确</w:t>
      </w:r>
      <w:r>
        <w:rPr>
          <w:rFonts w:ascii="宋体" w:hAnsi="宋体" w:cs="宋体" w:eastAsia="宋体" w:hint="ascii"/>
          <w:sz w:val="21"/>
          <w:spacing w:val="1"/>
        </w:rPr>
        <w:t>、不</w:t>
      </w:r>
      <w:r>
        <w:rPr>
          <w:rFonts w:ascii="宋体" w:hAnsi="宋体" w:cs="宋体" w:eastAsia="宋体" w:hint="ascii"/>
          <w:sz w:val="21"/>
          <w:spacing w:val="2"/>
        </w:rPr>
        <w:t>完整</w:t>
      </w:r>
      <w:r>
        <w:rPr>
          <w:rFonts w:ascii="宋体" w:hAnsi="宋体" w:cs="宋体" w:eastAsia="宋体" w:hint="ascii"/>
          <w:sz w:val="21"/>
          <w:spacing w:val="-6"/>
        </w:rPr>
        <w:t>；</w:t>
      </w:r>
      <w:r>
        <w:rPr>
          <w:rFonts w:ascii="宋体" w:hAnsi="宋体" w:cs="宋体" w:eastAsia="宋体" w:hint="ascii"/>
          <w:sz w:val="21"/>
          <w:spacing w:val="-1"/>
        </w:rPr>
        <w:t>③申请书写作不</w:t>
      </w:r>
      <w:r>
        <w:rPr>
          <w:rFonts w:ascii="宋体" w:hAnsi="宋体" w:cs="宋体" w:eastAsia="宋体" w:hint="ascii"/>
          <w:sz w:val="21"/>
        </w:rPr>
        <w:t>严谨、不规范，存在多处书写错误；④研究内容分散、范围过宽，关键</w:t>
      </w:r>
      <w:r>
        <w:rPr>
          <w:rFonts w:ascii="宋体" w:hAnsi="宋体" w:cs="宋体" w:eastAsia="宋体" w:hint="ascii"/>
          <w:sz w:val="21"/>
          <w:spacing w:val="-1"/>
        </w:rPr>
        <w:t>科学问题凝练不</w:t>
      </w:r>
      <w:r>
        <w:rPr>
          <w:rFonts w:ascii="宋体" w:hAnsi="宋体" w:cs="宋体" w:eastAsia="宋体" w:hint="ascii"/>
          <w:sz w:val="21"/>
        </w:rPr>
        <w:t>够等；⑤部分项目偏重工艺和产品开发；⑥食品检验学有不少项目偏重</w:t>
      </w:r>
      <w:r>
        <w:rPr>
          <w:rFonts w:ascii="宋体" w:hAnsi="宋体" w:cs="宋体" w:eastAsia="宋体" w:hint="ascii"/>
          <w:sz w:val="21"/>
          <w:spacing w:val="-1"/>
        </w:rPr>
        <w:t>同种检测方法在</w:t>
      </w:r>
      <w:r>
        <w:rPr>
          <w:rFonts w:ascii="宋体" w:hAnsi="宋体" w:cs="宋体" w:eastAsia="宋体" w:hint="ascii"/>
          <w:sz w:val="21"/>
        </w:rPr>
        <w:t>不同领域的简单应用；⑦食品原料学有些项目偏向于某种成分的分离纯</w:t>
      </w:r>
    </w:p>
    <w:p>
      <w:pPr>
        <w:autoSpaceDE w:val="0"/>
        <w:autoSpaceDN w:val="0"/>
        <w:jc w:val="left"/>
        <w:spacing w:before="45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化及其性质</w:t>
      </w:r>
      <w:r>
        <w:rPr>
          <w:rFonts w:ascii="宋体" w:hAnsi="宋体" w:cs="宋体" w:eastAsia="宋体" w:hint="ascii"/>
          <w:sz w:val="21"/>
        </w:rPr>
        <w:t>研究。此外，近年来不予受理的申请项目较多，其中最突出的问题是研究内</w:t>
      </w:r>
      <w:r>
        <w:rPr>
          <w:rFonts w:ascii="宋体" w:hAnsi="宋体" w:cs="宋体" w:eastAsia="宋体" w:hint="ascii"/>
          <w:sz w:val="21"/>
          <w:spacing w:val="-1"/>
        </w:rPr>
        <w:t>容不属于本</w:t>
      </w:r>
      <w:r>
        <w:rPr>
          <w:rFonts w:ascii="宋体" w:hAnsi="宋体" w:cs="宋体" w:eastAsia="宋体" w:hint="ascii"/>
          <w:sz w:val="21"/>
        </w:rPr>
        <w:t>学科的资助范围，主要涉及四种类型：①保健品相关研究；②食品和食品成</w:t>
      </w:r>
      <w:r>
        <w:rPr>
          <w:rFonts w:ascii="宋体" w:hAnsi="宋体" w:cs="宋体" w:eastAsia="宋体" w:hint="ascii"/>
          <w:sz w:val="21"/>
          <w:spacing w:val="-1"/>
        </w:rPr>
        <w:t>分预防与治</w:t>
      </w:r>
      <w:r>
        <w:rPr>
          <w:rFonts w:ascii="宋体" w:hAnsi="宋体" w:cs="宋体" w:eastAsia="宋体" w:hint="ascii"/>
          <w:sz w:val="21"/>
        </w:rPr>
        <w:t>疗疾病研究；③动植物生长发育与代谢生理为主要研究内容的项目；④药物开发研究项目等。</w:t>
      </w:r>
      <w:r>
        <w:rPr>
          <w:rFonts w:ascii="宋体" w:hAnsi="宋体" w:cs="宋体" w:eastAsia="宋体" w:hint="ascii"/>
          <w:sz w:val="21"/>
        </w:rPr>
        <mc:AlternateContent>
          <mc:Choice Requires="wps">
            <w:drawing>
              <wp:anchor distL="0" distR="0" distT="0" distB="0" simplePos="0" behindDoc="1" relativeHeight="92" locked="0" layoutInCell="1" allowOverlap="1">
                <wp:simplePos x="0" y="0"/>
                <wp:positionH relativeFrom="page">
                  <wp:posOffset>938530</wp:posOffset>
                </wp:positionH>
                <wp:positionV relativeFrom="page">
                  <wp:posOffset>805815</wp:posOffset>
                </wp:positionV>
                <wp:extent cx="5076190" cy="0"/>
                <wp:wrapNone/>
                <wp:docPr id="1120" name="112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64032;width:399.70pt;" id="112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6"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本</w:t>
      </w:r>
      <w:r>
        <w:rPr>
          <w:rFonts w:ascii="宋体" w:hAnsi="宋体" w:cs="宋体" w:eastAsia="宋体" w:hint="ascii"/>
          <w:sz w:val="21"/>
          <w:spacing w:val="7"/>
        </w:rPr>
        <w:t>学</w:t>
      </w:r>
      <w:r>
        <w:rPr>
          <w:rFonts w:ascii="宋体" w:hAnsi="宋体" w:cs="宋体" w:eastAsia="宋体" w:hint="ascii"/>
          <w:sz w:val="21"/>
          <w:spacing w:val="6"/>
        </w:rPr>
        <w:t>科项目申</w:t>
      </w:r>
      <w:r>
        <w:rPr>
          <w:rFonts w:ascii="宋体" w:hAnsi="宋体" w:cs="宋体" w:eastAsia="宋体" w:hint="ascii"/>
          <w:sz w:val="21"/>
          <w:spacing w:val="7"/>
        </w:rPr>
        <w:t>请</w:t>
      </w:r>
      <w:r>
        <w:rPr>
          <w:rFonts w:ascii="宋体" w:hAnsi="宋体" w:cs="宋体" w:eastAsia="宋体" w:hint="ascii"/>
          <w:sz w:val="21"/>
          <w:spacing w:val="6"/>
        </w:rPr>
        <w:t>应以食品</w:t>
      </w:r>
      <w:r>
        <w:rPr>
          <w:rFonts w:ascii="宋体" w:hAnsi="宋体" w:cs="宋体" w:eastAsia="宋体" w:hint="ascii"/>
          <w:sz w:val="21"/>
          <w:spacing w:val="7"/>
        </w:rPr>
        <w:t>及</w:t>
      </w:r>
      <w:r>
        <w:rPr>
          <w:rFonts w:ascii="宋体" w:hAnsi="宋体" w:cs="宋体" w:eastAsia="宋体" w:hint="ascii"/>
          <w:sz w:val="21"/>
          <w:spacing w:val="6"/>
        </w:rPr>
        <w:t>其原料为</w:t>
      </w:r>
      <w:r>
        <w:rPr>
          <w:rFonts w:ascii="宋体" w:hAnsi="宋体" w:cs="宋体" w:eastAsia="宋体" w:hint="ascii"/>
          <w:sz w:val="21"/>
          <w:spacing w:val="7"/>
        </w:rPr>
        <w:t>研</w:t>
      </w:r>
      <w:r>
        <w:rPr>
          <w:rFonts w:ascii="宋体" w:hAnsi="宋体" w:cs="宋体" w:eastAsia="宋体" w:hint="ascii"/>
          <w:sz w:val="21"/>
          <w:spacing w:val="6"/>
        </w:rPr>
        <w:t>究对象，</w:t>
      </w:r>
      <w:r>
        <w:rPr>
          <w:rFonts w:ascii="宋体" w:hAnsi="宋体" w:cs="宋体" w:eastAsia="宋体" w:hint="ascii"/>
          <w:sz w:val="21"/>
          <w:spacing w:val="7"/>
        </w:rPr>
        <w:t>同</w:t>
      </w:r>
      <w:r>
        <w:rPr>
          <w:rFonts w:ascii="宋体" w:hAnsi="宋体" w:cs="宋体" w:eastAsia="宋体" w:hint="ascii"/>
          <w:sz w:val="21"/>
          <w:spacing w:val="6"/>
        </w:rPr>
        <w:t>时研究内</w:t>
      </w:r>
      <w:r>
        <w:rPr>
          <w:rFonts w:ascii="宋体" w:hAnsi="宋体" w:cs="宋体" w:eastAsia="宋体" w:hint="ascii"/>
          <w:sz w:val="21"/>
          <w:spacing w:val="7"/>
        </w:rPr>
        <w:t>容</w:t>
      </w:r>
      <w:r>
        <w:rPr>
          <w:rFonts w:ascii="宋体" w:hAnsi="宋体" w:cs="宋体" w:eastAsia="宋体" w:hint="ascii"/>
          <w:sz w:val="21"/>
          <w:spacing w:val="6"/>
        </w:rPr>
        <w:t>应符合本</w:t>
      </w:r>
      <w:r>
        <w:rPr>
          <w:rFonts w:ascii="宋体" w:hAnsi="宋体" w:cs="宋体" w:eastAsia="宋体" w:hint="ascii"/>
          <w:sz w:val="21"/>
          <w:spacing w:val="7"/>
        </w:rPr>
        <w:t>学</w:t>
      </w:r>
      <w:r>
        <w:rPr>
          <w:rFonts w:ascii="宋体" w:hAnsi="宋体" w:cs="宋体" w:eastAsia="宋体" w:hint="ascii"/>
          <w:sz w:val="21"/>
          <w:spacing w:val="6"/>
        </w:rPr>
        <w:t>科</w:t>
      </w:r>
      <w:r>
        <w:rPr>
          <w:rFonts w:ascii="宋体" w:hAnsi="宋体" w:cs="宋体" w:eastAsia="宋体" w:hint="ascii"/>
          <w:sz w:val="21"/>
        </w:rPr>
        <w:t>的</w:t>
      </w:r>
    </w:p>
    <w:p>
      <w:pPr>
        <w:autoSpaceDE w:val="0"/>
        <w:autoSpaceDN w:val="0"/>
        <w:jc w:val="both"/>
        <w:spacing w:before="10"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4"/>
        </w:rPr>
        <w:t>资助范围</w:t>
      </w:r>
      <w:r>
        <w:rPr>
          <w:rFonts w:ascii="宋体" w:hAnsi="宋体" w:cs="宋体" w:eastAsia="宋体" w:hint="ascii"/>
          <w:sz w:val="21"/>
          <w:spacing w:val="3"/>
        </w:rPr>
        <w:t>，</w:t>
      </w:r>
      <w:r>
        <w:rPr>
          <w:rFonts w:ascii="宋体" w:hAnsi="宋体" w:cs="宋体" w:eastAsia="宋体" w:hint="ascii"/>
          <w:sz w:val="21"/>
          <w:spacing w:val="4"/>
        </w:rPr>
        <w:t>与其他学</w:t>
      </w:r>
      <w:r>
        <w:rPr>
          <w:rFonts w:ascii="宋体" w:hAnsi="宋体" w:cs="宋体" w:eastAsia="宋体" w:hint="ascii"/>
          <w:sz w:val="21"/>
          <w:spacing w:val="3"/>
        </w:rPr>
        <w:t>科</w:t>
      </w:r>
      <w:r>
        <w:rPr>
          <w:rFonts w:ascii="宋体" w:hAnsi="宋体" w:cs="宋体" w:eastAsia="宋体" w:hint="ascii"/>
          <w:sz w:val="21"/>
          <w:spacing w:val="4"/>
        </w:rPr>
        <w:t>的交</w:t>
      </w:r>
      <w:r>
        <w:rPr>
          <w:rFonts w:ascii="宋体" w:hAnsi="宋体" w:cs="宋体" w:eastAsia="宋体" w:hint="ascii"/>
          <w:sz w:val="21"/>
          <w:spacing w:val="3"/>
        </w:rPr>
        <w:t>叉不</w:t>
      </w:r>
      <w:r>
        <w:rPr>
          <w:rFonts w:ascii="宋体" w:hAnsi="宋体" w:cs="宋体" w:eastAsia="宋体" w:hint="ascii"/>
          <w:sz w:val="21"/>
          <w:spacing w:val="2"/>
        </w:rPr>
        <w:t>能</w:t>
      </w:r>
      <w:r>
        <w:rPr>
          <w:rFonts w:ascii="宋体" w:hAnsi="宋体" w:cs="宋体" w:eastAsia="宋体" w:hint="ascii"/>
          <w:sz w:val="21"/>
          <w:spacing w:val="3"/>
        </w:rPr>
        <w:t>偏离这个</w:t>
      </w:r>
      <w:r>
        <w:rPr>
          <w:rFonts w:ascii="宋体" w:hAnsi="宋体" w:cs="宋体" w:eastAsia="宋体" w:hint="ascii"/>
          <w:sz w:val="21"/>
          <w:spacing w:val="2"/>
        </w:rPr>
        <w:t>研</w:t>
      </w:r>
      <w:r>
        <w:rPr>
          <w:rFonts w:ascii="宋体" w:hAnsi="宋体" w:cs="宋体" w:eastAsia="宋体" w:hint="ascii"/>
          <w:sz w:val="21"/>
          <w:spacing w:val="3"/>
        </w:rPr>
        <w:t>究主体，</w:t>
      </w:r>
      <w:r>
        <w:rPr>
          <w:rFonts w:ascii="宋体" w:hAnsi="宋体" w:cs="宋体" w:eastAsia="宋体" w:hint="ascii"/>
          <w:sz w:val="21"/>
          <w:spacing w:val="2"/>
        </w:rPr>
        <w:t>否</w:t>
      </w:r>
      <w:r>
        <w:rPr>
          <w:rFonts w:ascii="宋体" w:hAnsi="宋体" w:cs="宋体" w:eastAsia="宋体" w:hint="ascii"/>
          <w:sz w:val="21"/>
          <w:spacing w:val="3"/>
        </w:rPr>
        <w:t>则不属于</w:t>
      </w:r>
      <w:r>
        <w:rPr>
          <w:rFonts w:ascii="宋体" w:hAnsi="宋体" w:cs="宋体" w:eastAsia="宋体" w:hint="ascii"/>
          <w:sz w:val="21"/>
          <w:spacing w:val="2"/>
        </w:rPr>
        <w:t>本</w:t>
      </w:r>
      <w:r>
        <w:rPr>
          <w:rFonts w:ascii="宋体" w:hAnsi="宋体" w:cs="宋体" w:eastAsia="宋体" w:hint="ascii"/>
          <w:sz w:val="21"/>
          <w:spacing w:val="3"/>
        </w:rPr>
        <w:t>学科的</w:t>
      </w:r>
      <w:r>
        <w:rPr>
          <w:rFonts w:ascii="宋体" w:hAnsi="宋体" w:cs="宋体" w:eastAsia="宋体" w:hint="ascii"/>
          <w:sz w:val="21"/>
          <w:spacing w:val="4"/>
        </w:rPr>
        <w:t>资</w:t>
      </w:r>
      <w:r>
        <w:rPr>
          <w:rFonts w:ascii="宋体" w:hAnsi="宋体" w:cs="宋体" w:eastAsia="宋体" w:hint="ascii"/>
          <w:sz w:val="21"/>
          <w:spacing w:val="3"/>
        </w:rPr>
        <w:t>助</w:t>
      </w:r>
      <w:r>
        <w:rPr>
          <w:rFonts w:ascii="宋体" w:hAnsi="宋体" w:cs="宋体" w:eastAsia="宋体" w:hint="ascii"/>
          <w:sz w:val="21"/>
          <w:spacing w:val="-6"/>
        </w:rPr>
        <w:t>范</w:t>
      </w:r>
      <w:r>
        <w:rPr>
          <w:rFonts w:ascii="宋体" w:hAnsi="宋体" w:cs="宋体" w:eastAsia="宋体" w:hint="ascii"/>
          <w:sz w:val="21"/>
          <w:spacing w:val="4"/>
        </w:rPr>
        <w:t>围。如有</w:t>
      </w:r>
      <w:r>
        <w:rPr>
          <w:rFonts w:ascii="宋体" w:hAnsi="宋体" w:cs="宋体" w:eastAsia="宋体" w:hint="ascii"/>
          <w:sz w:val="21"/>
          <w:spacing w:val="3"/>
        </w:rPr>
        <w:t>些</w:t>
      </w:r>
      <w:r>
        <w:rPr>
          <w:rFonts w:ascii="宋体" w:hAnsi="宋体" w:cs="宋体" w:eastAsia="宋体" w:hint="ascii"/>
          <w:sz w:val="21"/>
          <w:spacing w:val="4"/>
        </w:rPr>
        <w:t>申请项目</w:t>
      </w:r>
      <w:r>
        <w:rPr>
          <w:rFonts w:ascii="宋体" w:hAnsi="宋体" w:cs="宋体" w:eastAsia="宋体" w:hint="ascii"/>
          <w:sz w:val="21"/>
          <w:spacing w:val="3"/>
        </w:rPr>
        <w:t>仅</w:t>
      </w:r>
      <w:r>
        <w:rPr>
          <w:rFonts w:ascii="宋体" w:hAnsi="宋体" w:cs="宋体" w:eastAsia="宋体" w:hint="ascii"/>
          <w:sz w:val="21"/>
          <w:spacing w:val="4"/>
        </w:rPr>
        <w:t>有研</w:t>
      </w:r>
      <w:r>
        <w:rPr>
          <w:rFonts w:ascii="宋体" w:hAnsi="宋体" w:cs="宋体" w:eastAsia="宋体" w:hint="ascii"/>
          <w:sz w:val="21"/>
          <w:spacing w:val="3"/>
        </w:rPr>
        <w:t>究对</w:t>
      </w:r>
      <w:r>
        <w:rPr>
          <w:rFonts w:ascii="宋体" w:hAnsi="宋体" w:cs="宋体" w:eastAsia="宋体" w:hint="ascii"/>
          <w:sz w:val="21"/>
          <w:spacing w:val="2"/>
        </w:rPr>
        <w:t>象</w:t>
      </w:r>
      <w:r>
        <w:rPr>
          <w:rFonts w:ascii="宋体" w:hAnsi="宋体" w:cs="宋体" w:eastAsia="宋体" w:hint="ascii"/>
          <w:sz w:val="21"/>
          <w:spacing w:val="3"/>
        </w:rPr>
        <w:t>和食品及</w:t>
      </w:r>
      <w:r>
        <w:rPr>
          <w:rFonts w:ascii="宋体" w:hAnsi="宋体" w:cs="宋体" w:eastAsia="宋体" w:hint="ascii"/>
          <w:sz w:val="21"/>
          <w:spacing w:val="2"/>
        </w:rPr>
        <w:t>其</w:t>
      </w:r>
      <w:r>
        <w:rPr>
          <w:rFonts w:ascii="宋体" w:hAnsi="宋体" w:cs="宋体" w:eastAsia="宋体" w:hint="ascii"/>
          <w:sz w:val="21"/>
          <w:spacing w:val="3"/>
        </w:rPr>
        <w:t>原料有关</w:t>
      </w:r>
      <w:r>
        <w:rPr>
          <w:rFonts w:ascii="宋体" w:hAnsi="宋体" w:cs="宋体" w:eastAsia="宋体" w:hint="ascii"/>
          <w:sz w:val="21"/>
          <w:spacing w:val="2"/>
        </w:rPr>
        <w:t>，</w:t>
      </w:r>
      <w:r>
        <w:rPr>
          <w:rFonts w:ascii="宋体" w:hAnsi="宋体" w:cs="宋体" w:eastAsia="宋体" w:hint="ascii"/>
          <w:sz w:val="21"/>
          <w:spacing w:val="3"/>
        </w:rPr>
        <w:t>而研究内</w:t>
      </w:r>
      <w:r>
        <w:rPr>
          <w:rFonts w:ascii="宋体" w:hAnsi="宋体" w:cs="宋体" w:eastAsia="宋体" w:hint="ascii"/>
          <w:sz w:val="21"/>
          <w:spacing w:val="2"/>
        </w:rPr>
        <w:t>容</w:t>
      </w:r>
      <w:r>
        <w:rPr>
          <w:rFonts w:ascii="宋体" w:hAnsi="宋体" w:cs="宋体" w:eastAsia="宋体" w:hint="ascii"/>
          <w:sz w:val="21"/>
          <w:spacing w:val="3"/>
        </w:rPr>
        <w:t>为预防</w:t>
      </w:r>
      <w:r>
        <w:rPr>
          <w:rFonts w:ascii="宋体" w:hAnsi="宋体" w:cs="宋体" w:eastAsia="宋体" w:hint="ascii"/>
          <w:sz w:val="21"/>
          <w:spacing w:val="4"/>
        </w:rPr>
        <w:t>与</w:t>
      </w:r>
      <w:r>
        <w:rPr>
          <w:rFonts w:ascii="宋体" w:hAnsi="宋体" w:cs="宋体" w:eastAsia="宋体" w:hint="ascii"/>
          <w:sz w:val="21"/>
          <w:spacing w:val="3"/>
        </w:rPr>
        <w:t>治</w:t>
      </w:r>
      <w:r>
        <w:rPr>
          <w:rFonts w:ascii="宋体" w:hAnsi="宋体" w:cs="宋体" w:eastAsia="宋体" w:hint="ascii"/>
          <w:sz w:val="21"/>
          <w:spacing w:val="-6"/>
        </w:rPr>
        <w:t>疗</w:t>
      </w:r>
      <w:r>
        <w:rPr>
          <w:rFonts w:ascii="宋体" w:hAnsi="宋体" w:cs="宋体" w:eastAsia="宋体" w:hint="ascii"/>
          <w:sz w:val="21"/>
          <w:spacing w:val="4"/>
        </w:rPr>
        <w:t>疾病、保</w:t>
      </w:r>
      <w:r>
        <w:rPr>
          <w:rFonts w:ascii="宋体" w:hAnsi="宋体" w:cs="宋体" w:eastAsia="宋体" w:hint="ascii"/>
          <w:sz w:val="21"/>
          <w:spacing w:val="3"/>
        </w:rPr>
        <w:t>健</w:t>
      </w:r>
      <w:r>
        <w:rPr>
          <w:rFonts w:ascii="宋体" w:hAnsi="宋体" w:cs="宋体" w:eastAsia="宋体" w:hint="ascii"/>
          <w:sz w:val="21"/>
          <w:spacing w:val="4"/>
        </w:rPr>
        <w:t>品、药物</w:t>
      </w:r>
      <w:r>
        <w:rPr>
          <w:rFonts w:ascii="宋体" w:hAnsi="宋体" w:cs="宋体" w:eastAsia="宋体" w:hint="ascii"/>
          <w:sz w:val="21"/>
          <w:spacing w:val="3"/>
        </w:rPr>
        <w:t>等</w:t>
      </w:r>
      <w:r>
        <w:rPr>
          <w:rFonts w:ascii="宋体" w:hAnsi="宋体" w:cs="宋体" w:eastAsia="宋体" w:hint="ascii"/>
          <w:sz w:val="21"/>
          <w:spacing w:val="4"/>
        </w:rPr>
        <w:t>相</w:t>
      </w:r>
      <w:r>
        <w:rPr>
          <w:rFonts w:ascii="宋体" w:hAnsi="宋体" w:cs="宋体" w:eastAsia="宋体" w:hint="ascii"/>
          <w:sz w:val="21"/>
          <w:spacing w:val="3"/>
        </w:rPr>
        <w:t>关研究</w:t>
      </w:r>
      <w:r>
        <w:rPr>
          <w:rFonts w:ascii="宋体" w:hAnsi="宋体" w:cs="宋体" w:eastAsia="宋体" w:hint="ascii"/>
          <w:sz w:val="21"/>
          <w:spacing w:val="2"/>
        </w:rPr>
        <w:t>，</w:t>
      </w:r>
      <w:r>
        <w:rPr>
          <w:rFonts w:ascii="宋体" w:hAnsi="宋体" w:cs="宋体" w:eastAsia="宋体" w:hint="ascii"/>
          <w:sz w:val="21"/>
          <w:spacing w:val="3"/>
        </w:rPr>
        <w:t>这些项目</w:t>
      </w:r>
      <w:r>
        <w:rPr>
          <w:rFonts w:ascii="宋体" w:hAnsi="宋体" w:cs="宋体" w:eastAsia="宋体" w:hint="ascii"/>
          <w:sz w:val="21"/>
          <w:spacing w:val="2"/>
        </w:rPr>
        <w:t>可</w:t>
      </w:r>
      <w:r>
        <w:rPr>
          <w:rFonts w:ascii="宋体" w:hAnsi="宋体" w:cs="宋体" w:eastAsia="宋体" w:hint="ascii"/>
          <w:sz w:val="21"/>
          <w:spacing w:val="3"/>
        </w:rPr>
        <w:t>向自然科</w:t>
      </w:r>
      <w:r>
        <w:rPr>
          <w:rFonts w:ascii="宋体" w:hAnsi="宋体" w:cs="宋体" w:eastAsia="宋体" w:hint="ascii"/>
          <w:sz w:val="21"/>
          <w:spacing w:val="2"/>
        </w:rPr>
        <w:t>学</w:t>
      </w:r>
      <w:r>
        <w:rPr>
          <w:rFonts w:ascii="宋体" w:hAnsi="宋体" w:cs="宋体" w:eastAsia="宋体" w:hint="ascii"/>
          <w:sz w:val="21"/>
          <w:spacing w:val="3"/>
        </w:rPr>
        <w:t>基金委有</w:t>
      </w:r>
      <w:r>
        <w:rPr>
          <w:rFonts w:ascii="宋体" w:hAnsi="宋体" w:cs="宋体" w:eastAsia="宋体" w:hint="ascii"/>
          <w:sz w:val="21"/>
          <w:spacing w:val="2"/>
        </w:rPr>
        <w:t>关</w:t>
      </w:r>
      <w:r>
        <w:rPr>
          <w:rFonts w:ascii="宋体" w:hAnsi="宋体" w:cs="宋体" w:eastAsia="宋体" w:hint="ascii"/>
          <w:sz w:val="21"/>
          <w:spacing w:val="3"/>
        </w:rPr>
        <w:t>科学部</w:t>
      </w:r>
      <w:r>
        <w:rPr>
          <w:rFonts w:ascii="宋体" w:hAnsi="宋体" w:cs="宋体" w:eastAsia="宋体" w:hint="ascii"/>
          <w:sz w:val="21"/>
          <w:spacing w:val="4"/>
        </w:rPr>
        <w:t>相</w:t>
      </w:r>
      <w:r>
        <w:rPr>
          <w:rFonts w:ascii="宋体" w:hAnsi="宋体" w:cs="宋体" w:eastAsia="宋体" w:hint="ascii"/>
          <w:sz w:val="21"/>
          <w:spacing w:val="3"/>
        </w:rPr>
        <w:t>关</w:t>
      </w:r>
      <w:r>
        <w:rPr>
          <w:rFonts w:ascii="宋体" w:hAnsi="宋体" w:cs="宋体" w:eastAsia="宋体" w:hint="ascii"/>
          <w:sz w:val="21"/>
          <w:spacing w:val="-6"/>
        </w:rPr>
        <w:t>学</w:t>
      </w:r>
      <w:r>
        <w:rPr>
          <w:rFonts w:ascii="宋体" w:hAnsi="宋体" w:cs="宋体" w:eastAsia="宋体" w:hint="ascii"/>
          <w:sz w:val="21"/>
          <w:spacing w:val="7"/>
        </w:rPr>
        <w:t>科</w:t>
      </w:r>
      <w:r>
        <w:rPr>
          <w:rFonts w:ascii="宋体" w:hAnsi="宋体" w:cs="宋体" w:eastAsia="宋体" w:hint="ascii"/>
          <w:sz w:val="21"/>
          <w:spacing w:val="6"/>
        </w:rPr>
        <w:t>申请</w:t>
      </w:r>
      <w:r>
        <w:rPr>
          <w:rFonts w:ascii="宋体" w:hAnsi="宋体" w:cs="宋体" w:eastAsia="宋体" w:hint="ascii"/>
          <w:sz w:val="21"/>
          <w:spacing w:val="7"/>
        </w:rPr>
        <w:t>。</w:t>
      </w:r>
      <w:r>
        <w:rPr>
          <w:rFonts w:ascii="Times New Roman" w:hAnsi="Times New Roman" w:cs="Times New Roman" w:eastAsia="Times New Roman" w:hint="ascii"/>
          <w:sz w:val="21"/>
          <w:spacing w:val="1"/>
        </w:rPr>
        <w:t>2018</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7"/>
        </w:rPr>
        <w:t>年</w:t>
      </w:r>
      <w:r>
        <w:rPr>
          <w:rFonts w:ascii="宋体" w:hAnsi="宋体" w:cs="宋体" w:eastAsia="宋体" w:hint="ascii"/>
          <w:sz w:val="21"/>
          <w:spacing w:val="6"/>
        </w:rPr>
        <w:t>度本学</w:t>
      </w:r>
      <w:r>
        <w:rPr>
          <w:rFonts w:ascii="宋体" w:hAnsi="宋体" w:cs="宋体" w:eastAsia="宋体" w:hint="ascii"/>
          <w:sz w:val="21"/>
          <w:spacing w:val="7"/>
        </w:rPr>
        <w:t>科</w:t>
      </w:r>
      <w:r>
        <w:rPr>
          <w:rFonts w:ascii="宋体" w:hAnsi="宋体" w:cs="宋体" w:eastAsia="宋体" w:hint="ascii"/>
          <w:sz w:val="21"/>
          <w:spacing w:val="6"/>
        </w:rPr>
        <w:t>继续鼓励</w:t>
      </w:r>
      <w:r>
        <w:rPr>
          <w:rFonts w:ascii="宋体" w:hAnsi="宋体" w:cs="宋体" w:eastAsia="宋体" w:hint="ascii"/>
          <w:sz w:val="21"/>
          <w:spacing w:val="7"/>
        </w:rPr>
        <w:t>申</w:t>
      </w:r>
      <w:r>
        <w:rPr>
          <w:rFonts w:ascii="宋体" w:hAnsi="宋体" w:cs="宋体" w:eastAsia="宋体" w:hint="ascii"/>
          <w:sz w:val="21"/>
          <w:spacing w:val="5"/>
        </w:rPr>
        <w:t>请人面向</w:t>
      </w:r>
      <w:r>
        <w:rPr>
          <w:rFonts w:ascii="宋体" w:hAnsi="宋体" w:cs="宋体" w:eastAsia="宋体" w:hint="ascii"/>
          <w:sz w:val="21"/>
          <w:spacing w:val="6"/>
        </w:rPr>
        <w:t>国</w:t>
      </w:r>
      <w:r>
        <w:rPr>
          <w:rFonts w:ascii="宋体" w:hAnsi="宋体" w:cs="宋体" w:eastAsia="宋体" w:hint="ascii"/>
          <w:sz w:val="21"/>
          <w:spacing w:val="5"/>
        </w:rPr>
        <w:t>家重大需</w:t>
      </w:r>
      <w:r>
        <w:rPr>
          <w:rFonts w:ascii="宋体" w:hAnsi="宋体" w:cs="宋体" w:eastAsia="宋体" w:hint="ascii"/>
          <w:sz w:val="21"/>
          <w:spacing w:val="6"/>
        </w:rPr>
        <w:t>求</w:t>
      </w:r>
      <w:r>
        <w:rPr>
          <w:rFonts w:ascii="宋体" w:hAnsi="宋体" w:cs="宋体" w:eastAsia="宋体" w:hint="ascii"/>
          <w:sz w:val="21"/>
          <w:spacing w:val="5"/>
        </w:rPr>
        <w:t>，立足本</w:t>
      </w:r>
      <w:r>
        <w:rPr>
          <w:rFonts w:ascii="宋体" w:hAnsi="宋体" w:cs="宋体" w:eastAsia="宋体" w:hint="ascii"/>
          <w:sz w:val="21"/>
          <w:spacing w:val="6"/>
        </w:rPr>
        <w:t>学</w:t>
      </w:r>
      <w:r>
        <w:rPr>
          <w:rFonts w:ascii="宋体" w:hAnsi="宋体" w:cs="宋体" w:eastAsia="宋体" w:hint="ascii"/>
          <w:sz w:val="21"/>
          <w:spacing w:val="5"/>
        </w:rPr>
        <w:t>科</w:t>
      </w:r>
      <w:r>
        <w:rPr>
          <w:rFonts w:ascii="宋体" w:hAnsi="宋体" w:cs="宋体" w:eastAsia="宋体" w:hint="ascii"/>
          <w:sz w:val="21"/>
          <w:spacing w:val="6"/>
        </w:rPr>
        <w:t>资助</w:t>
      </w:r>
      <w:r>
        <w:rPr>
          <w:rFonts w:ascii="宋体" w:hAnsi="宋体" w:cs="宋体" w:eastAsia="宋体" w:hint="ascii"/>
          <w:sz w:val="21"/>
          <w:spacing w:val="-6"/>
        </w:rPr>
        <w:t>范</w:t>
      </w:r>
      <w:r>
        <w:rPr>
          <w:rFonts w:ascii="宋体" w:hAnsi="宋体" w:cs="宋体" w:eastAsia="宋体" w:hint="ascii"/>
          <w:sz w:val="21"/>
          <w:spacing w:val="4"/>
        </w:rPr>
        <w:t>围，从食</w:t>
      </w:r>
      <w:r>
        <w:rPr>
          <w:rFonts w:ascii="宋体" w:hAnsi="宋体" w:cs="宋体" w:eastAsia="宋体" w:hint="ascii"/>
          <w:sz w:val="21"/>
          <w:spacing w:val="3"/>
        </w:rPr>
        <w:t>品</w:t>
      </w:r>
      <w:r>
        <w:rPr>
          <w:rFonts w:ascii="宋体" w:hAnsi="宋体" w:cs="宋体" w:eastAsia="宋体" w:hint="ascii"/>
          <w:sz w:val="21"/>
          <w:spacing w:val="4"/>
        </w:rPr>
        <w:t>生产实际</w:t>
      </w:r>
      <w:r>
        <w:rPr>
          <w:rFonts w:ascii="宋体" w:hAnsi="宋体" w:cs="宋体" w:eastAsia="宋体" w:hint="ascii"/>
          <w:sz w:val="21"/>
          <w:spacing w:val="3"/>
        </w:rPr>
        <w:t>中</w:t>
      </w:r>
      <w:r>
        <w:rPr>
          <w:rFonts w:ascii="宋体" w:hAnsi="宋体" w:cs="宋体" w:eastAsia="宋体" w:hint="ascii"/>
          <w:sz w:val="21"/>
          <w:spacing w:val="4"/>
        </w:rPr>
        <w:t>凝练科</w:t>
      </w:r>
      <w:r>
        <w:rPr>
          <w:rFonts w:ascii="宋体" w:hAnsi="宋体" w:cs="宋体" w:eastAsia="宋体" w:hint="ascii"/>
          <w:sz w:val="21"/>
          <w:spacing w:val="3"/>
        </w:rPr>
        <w:t>学</w:t>
      </w:r>
      <w:r>
        <w:rPr>
          <w:rFonts w:ascii="宋体" w:hAnsi="宋体" w:cs="宋体" w:eastAsia="宋体" w:hint="ascii"/>
          <w:sz w:val="21"/>
          <w:spacing w:val="2"/>
        </w:rPr>
        <w:t>问</w:t>
      </w:r>
      <w:r>
        <w:rPr>
          <w:rFonts w:ascii="宋体" w:hAnsi="宋体" w:cs="宋体" w:eastAsia="宋体" w:hint="ascii"/>
          <w:sz w:val="21"/>
          <w:spacing w:val="3"/>
        </w:rPr>
        <w:t>题，更加</w:t>
      </w:r>
      <w:r>
        <w:rPr>
          <w:rFonts w:ascii="宋体" w:hAnsi="宋体" w:cs="宋体" w:eastAsia="宋体" w:hint="ascii"/>
          <w:sz w:val="21"/>
          <w:spacing w:val="2"/>
        </w:rPr>
        <w:t>注</w:t>
      </w:r>
      <w:r>
        <w:rPr>
          <w:rFonts w:ascii="宋体" w:hAnsi="宋体" w:cs="宋体" w:eastAsia="宋体" w:hint="ascii"/>
          <w:sz w:val="21"/>
          <w:spacing w:val="3"/>
        </w:rPr>
        <w:t>重食品安</w:t>
      </w:r>
      <w:r>
        <w:rPr>
          <w:rFonts w:ascii="宋体" w:hAnsi="宋体" w:cs="宋体" w:eastAsia="宋体" w:hint="ascii"/>
          <w:sz w:val="21"/>
          <w:spacing w:val="2"/>
        </w:rPr>
        <w:t>全</w:t>
      </w:r>
      <w:r>
        <w:rPr>
          <w:rFonts w:ascii="宋体" w:hAnsi="宋体" w:cs="宋体" w:eastAsia="宋体" w:hint="ascii"/>
          <w:sz w:val="21"/>
          <w:spacing w:val="3"/>
        </w:rPr>
        <w:t>与质量，</w:t>
      </w:r>
      <w:r>
        <w:rPr>
          <w:rFonts w:ascii="宋体" w:hAnsi="宋体" w:cs="宋体" w:eastAsia="宋体" w:hint="ascii"/>
          <w:sz w:val="21"/>
          <w:spacing w:val="2"/>
        </w:rPr>
        <w:t>开</w:t>
      </w:r>
      <w:r>
        <w:rPr>
          <w:rFonts w:ascii="宋体" w:hAnsi="宋体" w:cs="宋体" w:eastAsia="宋体" w:hint="ascii"/>
          <w:sz w:val="21"/>
          <w:spacing w:val="3"/>
        </w:rPr>
        <w:t>展原创</w:t>
      </w:r>
      <w:r>
        <w:rPr>
          <w:rFonts w:ascii="宋体" w:hAnsi="宋体" w:cs="宋体" w:eastAsia="宋体" w:hint="ascii"/>
          <w:sz w:val="21"/>
          <w:spacing w:val="4"/>
        </w:rPr>
        <w:t>性</w:t>
      </w:r>
      <w:r>
        <w:rPr>
          <w:rFonts w:ascii="宋体" w:hAnsi="宋体" w:cs="宋体" w:eastAsia="宋体" w:hint="ascii"/>
          <w:sz w:val="21"/>
          <w:spacing w:val="3"/>
        </w:rPr>
        <w:t>的</w:t>
      </w:r>
      <w:r>
        <w:rPr>
          <w:rFonts w:ascii="宋体" w:hAnsi="宋体" w:cs="宋体" w:eastAsia="宋体" w:hint="ascii"/>
          <w:sz w:val="21"/>
          <w:spacing w:val="-6"/>
        </w:rPr>
        <w:t>基</w:t>
      </w:r>
      <w:r>
        <w:rPr>
          <w:rFonts w:ascii="宋体" w:hAnsi="宋体" w:cs="宋体" w:eastAsia="宋体" w:hint="ascii"/>
          <w:sz w:val="21"/>
          <w:spacing w:val="3"/>
        </w:rPr>
        <w:t>础和应用基础研究</w:t>
      </w:r>
      <w:r>
        <w:rPr>
          <w:rFonts w:ascii="宋体" w:hAnsi="宋体" w:cs="宋体" w:eastAsia="宋体" w:hint="ascii"/>
          <w:sz w:val="21"/>
        </w:rPr>
        <w:t>。</w:t>
      </w:r>
    </w:p>
    <w:p>
      <w:pPr>
        <w:autoSpaceDE w:val="0"/>
        <w:autoSpaceDN w:val="0"/>
        <w:jc w:val="left"/>
        <w:spacing w:before="44"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本学</w:t>
      </w:r>
      <w:r>
        <w:rPr>
          <w:rFonts w:ascii="宋体" w:hAnsi="宋体" w:cs="宋体" w:eastAsia="宋体" w:hint="ascii"/>
          <w:sz w:val="21"/>
          <w:spacing w:val="7"/>
        </w:rPr>
        <w:t>科</w:t>
      </w:r>
      <w:r>
        <w:rPr>
          <w:rFonts w:ascii="宋体" w:hAnsi="宋体" w:cs="宋体" w:eastAsia="宋体" w:hint="ascii"/>
          <w:sz w:val="21"/>
          <w:spacing w:val="6"/>
        </w:rPr>
        <w:t>不受理以</w:t>
      </w:r>
      <w:r>
        <w:rPr>
          <w:rFonts w:ascii="宋体" w:hAnsi="宋体" w:cs="宋体" w:eastAsia="宋体" w:hint="ascii"/>
          <w:sz w:val="21"/>
          <w:spacing w:val="7"/>
        </w:rPr>
        <w:t>下</w:t>
      </w:r>
      <w:r>
        <w:rPr>
          <w:rFonts w:ascii="宋体" w:hAnsi="宋体" w:cs="宋体" w:eastAsia="宋体" w:hint="ascii"/>
          <w:sz w:val="21"/>
          <w:spacing w:val="6"/>
        </w:rPr>
        <w:t>项目申请</w:t>
      </w:r>
      <w:r>
        <w:rPr>
          <w:rFonts w:ascii="宋体" w:hAnsi="宋体" w:cs="宋体" w:eastAsia="宋体" w:hint="ascii"/>
          <w:sz w:val="21"/>
          <w:spacing w:val="7"/>
        </w:rPr>
        <w:t>：</w:t>
      </w:r>
      <w:r>
        <w:rPr>
          <w:rFonts w:ascii="宋体" w:hAnsi="宋体" w:cs="宋体" w:eastAsia="宋体" w:hint="ascii"/>
          <w:b w:val="1"/>
          <w:sz w:val="21"/>
          <w:spacing w:val="6"/>
        </w:rPr>
        <w:t>①</w:t>
      </w:r>
      <w:r>
        <w:rPr>
          <w:rFonts w:ascii="宋体" w:hAnsi="宋体" w:cs="宋体" w:eastAsia="宋体" w:hint="ascii"/>
          <w:sz w:val="21"/>
          <w:spacing w:val="6"/>
        </w:rPr>
        <w:t>食品和</w:t>
      </w:r>
      <w:r>
        <w:rPr>
          <w:rFonts w:ascii="宋体" w:hAnsi="宋体" w:cs="宋体" w:eastAsia="宋体" w:hint="ascii"/>
          <w:sz w:val="21"/>
          <w:spacing w:val="7"/>
        </w:rPr>
        <w:t>食</w:t>
      </w:r>
      <w:r>
        <w:rPr>
          <w:rFonts w:ascii="宋体" w:hAnsi="宋体" w:cs="宋体" w:eastAsia="宋体" w:hint="ascii"/>
          <w:sz w:val="21"/>
          <w:spacing w:val="6"/>
        </w:rPr>
        <w:t>品成分预</w:t>
      </w:r>
      <w:r>
        <w:rPr>
          <w:rFonts w:ascii="宋体" w:hAnsi="宋体" w:cs="宋体" w:eastAsia="宋体" w:hint="ascii"/>
          <w:sz w:val="21"/>
          <w:spacing w:val="7"/>
        </w:rPr>
        <w:t>防</w:t>
      </w:r>
      <w:r>
        <w:rPr>
          <w:rFonts w:ascii="宋体" w:hAnsi="宋体" w:cs="宋体" w:eastAsia="宋体" w:hint="ascii"/>
          <w:sz w:val="21"/>
          <w:spacing w:val="6"/>
        </w:rPr>
        <w:t>与治疗疾</w:t>
      </w:r>
      <w:r>
        <w:rPr>
          <w:rFonts w:ascii="宋体" w:hAnsi="宋体" w:cs="宋体" w:eastAsia="宋体" w:hint="ascii"/>
          <w:sz w:val="21"/>
          <w:spacing w:val="7"/>
        </w:rPr>
        <w:t>病</w:t>
      </w:r>
      <w:r>
        <w:rPr>
          <w:rFonts w:ascii="宋体" w:hAnsi="宋体" w:cs="宋体" w:eastAsia="宋体" w:hint="ascii"/>
          <w:sz w:val="21"/>
          <w:spacing w:val="6"/>
        </w:rPr>
        <w:t>研究</w:t>
      </w:r>
      <w:r>
        <w:rPr>
          <w:rFonts w:ascii="宋体" w:hAnsi="宋体" w:cs="宋体" w:eastAsia="宋体" w:hint="ascii"/>
          <w:sz w:val="21"/>
          <w:spacing w:val="7"/>
        </w:rPr>
        <w:t>；</w:t>
      </w:r>
      <w:r>
        <w:rPr>
          <w:rFonts w:ascii="宋体" w:hAnsi="宋体" w:cs="宋体" w:eastAsia="宋体" w:hint="ascii"/>
          <w:b w:val="1"/>
          <w:sz w:val="21"/>
          <w:spacing w:val="6"/>
        </w:rPr>
        <w:t>②</w:t>
      </w:r>
      <w:r>
        <w:rPr>
          <w:rFonts w:ascii="宋体" w:hAnsi="宋体" w:cs="宋体" w:eastAsia="宋体" w:hint="ascii"/>
          <w:sz w:val="21"/>
          <w:spacing w:val="6"/>
        </w:rPr>
        <w:t>保</w:t>
      </w:r>
      <w:r>
        <w:rPr>
          <w:rFonts w:ascii="宋体" w:hAnsi="宋体" w:cs="宋体" w:eastAsia="宋体" w:hint="ascii"/>
          <w:sz w:val="21"/>
        </w:rPr>
        <w:t>健</w:t>
      </w:r>
    </w:p>
    <w:p>
      <w:pPr>
        <w:autoSpaceDE w:val="0"/>
        <w:autoSpaceDN w:val="0"/>
        <w:jc w:val="both"/>
        <w:spacing w:before="12" w:after="0" w:lineRule="exact" w:line="320"/>
        <w:ind w:right="977" w:left="966" w:firstLine="0"/>
        <w:snapToGrid w:val="0"/>
        <w:textAlignment w:val="auto"/>
        <w:tabs/>
        <w:rPr>
          <w:rFonts w:ascii="宋体" w:hAnsi="宋体" w:cs="宋体" w:eastAsia="宋体" w:hint="ascii"/>
          <w:b w:val="1"/>
          <w:sz w:val="21"/>
        </w:rPr>
      </w:pPr>
      <w:r>
        <w:rPr>
          <w:rFonts w:ascii="宋体" w:hAnsi="宋体" w:cs="宋体" w:eastAsia="宋体" w:hint="ascii"/>
          <w:sz w:val="21"/>
          <w:spacing w:val="4"/>
        </w:rPr>
        <w:t>品相关研</w:t>
      </w:r>
      <w:r>
        <w:rPr>
          <w:rFonts w:ascii="宋体" w:hAnsi="宋体" w:cs="宋体" w:eastAsia="宋体" w:hint="ascii"/>
          <w:sz w:val="21"/>
          <w:spacing w:val="3"/>
        </w:rPr>
        <w:t>究</w:t>
      </w:r>
      <w:r>
        <w:rPr>
          <w:rFonts w:ascii="宋体" w:hAnsi="宋体" w:cs="宋体" w:eastAsia="宋体" w:hint="ascii"/>
          <w:sz w:val="21"/>
          <w:spacing w:val="4"/>
        </w:rPr>
        <w:t>项目；</w:t>
      </w:r>
      <w:r>
        <w:rPr>
          <w:rFonts w:ascii="宋体" w:hAnsi="宋体" w:cs="宋体" w:eastAsia="宋体" w:hint="ascii"/>
          <w:b w:val="1"/>
          <w:sz w:val="21"/>
          <w:spacing w:val="4"/>
        </w:rPr>
        <w:t>③</w:t>
      </w:r>
      <w:r>
        <w:rPr>
          <w:rFonts w:ascii="宋体" w:hAnsi="宋体" w:cs="宋体" w:eastAsia="宋体" w:hint="ascii"/>
          <w:sz w:val="21"/>
          <w:spacing w:val="4"/>
        </w:rPr>
        <w:t>药物及</w:t>
      </w:r>
      <w:r>
        <w:rPr>
          <w:rFonts w:ascii="宋体" w:hAnsi="宋体" w:cs="宋体" w:eastAsia="宋体" w:hint="ascii"/>
          <w:sz w:val="21"/>
          <w:spacing w:val="3"/>
        </w:rPr>
        <w:t>其成</w:t>
      </w:r>
      <w:r>
        <w:rPr>
          <w:rFonts w:ascii="宋体" w:hAnsi="宋体" w:cs="宋体" w:eastAsia="宋体" w:hint="ascii"/>
          <w:sz w:val="21"/>
          <w:spacing w:val="2"/>
        </w:rPr>
        <w:t>分</w:t>
      </w:r>
      <w:r>
        <w:rPr>
          <w:rFonts w:ascii="宋体" w:hAnsi="宋体" w:cs="宋体" w:eastAsia="宋体" w:hint="ascii"/>
          <w:sz w:val="21"/>
          <w:spacing w:val="3"/>
        </w:rPr>
        <w:t>开发研究</w:t>
      </w:r>
      <w:r>
        <w:rPr>
          <w:rFonts w:ascii="宋体" w:hAnsi="宋体" w:cs="宋体" w:eastAsia="宋体" w:hint="ascii"/>
          <w:sz w:val="21"/>
          <w:spacing w:val="2"/>
        </w:rPr>
        <w:t>；</w:t>
      </w:r>
      <w:r>
        <w:rPr>
          <w:rFonts w:ascii="宋体" w:hAnsi="宋体" w:cs="宋体" w:eastAsia="宋体" w:hint="ascii"/>
          <w:b w:val="1"/>
          <w:sz w:val="21"/>
          <w:spacing w:val="3"/>
        </w:rPr>
        <w:t>④</w:t>
      </w:r>
      <w:r>
        <w:rPr>
          <w:rFonts w:ascii="宋体" w:hAnsi="宋体" w:cs="宋体" w:eastAsia="宋体" w:hint="ascii"/>
          <w:sz w:val="21"/>
          <w:spacing w:val="3"/>
        </w:rPr>
        <w:t>直接利用人体开展</w:t>
      </w:r>
      <w:r>
        <w:rPr>
          <w:rFonts w:ascii="宋体" w:hAnsi="宋体" w:cs="宋体" w:eastAsia="宋体" w:hint="ascii"/>
          <w:sz w:val="21"/>
          <w:spacing w:val="2"/>
        </w:rPr>
        <w:t>的</w:t>
      </w:r>
      <w:r>
        <w:rPr>
          <w:rFonts w:ascii="宋体" w:hAnsi="宋体" w:cs="宋体" w:eastAsia="宋体" w:hint="ascii"/>
          <w:sz w:val="21"/>
          <w:spacing w:val="3"/>
        </w:rPr>
        <w:t>临床前期</w:t>
      </w:r>
      <w:r>
        <w:rPr>
          <w:rFonts w:ascii="宋体" w:hAnsi="宋体" w:cs="宋体" w:eastAsia="宋体" w:hint="ascii"/>
          <w:sz w:val="21"/>
          <w:spacing w:val="2"/>
        </w:rPr>
        <w:t>的</w:t>
      </w:r>
      <w:r>
        <w:rPr>
          <w:rFonts w:ascii="宋体" w:hAnsi="宋体" w:cs="宋体" w:eastAsia="宋体" w:hint="ascii"/>
          <w:sz w:val="21"/>
          <w:spacing w:val="-6"/>
        </w:rPr>
        <w:t>试</w:t>
      </w:r>
      <w:r>
        <w:rPr>
          <w:rFonts w:ascii="宋体" w:hAnsi="宋体" w:cs="宋体" w:eastAsia="宋体" w:hint="ascii"/>
          <w:sz w:val="21"/>
          <w:spacing w:val="4"/>
        </w:rPr>
        <w:t>验研究；</w:t>
      </w:r>
      <w:r>
        <w:rPr>
          <w:rFonts w:ascii="宋体" w:hAnsi="宋体" w:cs="宋体" w:eastAsia="宋体" w:hint="ascii"/>
          <w:b w:val="1"/>
          <w:sz w:val="21"/>
          <w:spacing w:val="4"/>
        </w:rPr>
        <w:t>⑤</w:t>
      </w:r>
      <w:r>
        <w:rPr>
          <w:rFonts w:ascii="宋体" w:hAnsi="宋体" w:cs="宋体" w:eastAsia="宋体" w:hint="ascii"/>
          <w:sz w:val="21"/>
          <w:spacing w:val="4"/>
        </w:rPr>
        <w:t>涉及动植</w:t>
      </w:r>
      <w:r>
        <w:rPr>
          <w:rFonts w:ascii="宋体" w:hAnsi="宋体" w:cs="宋体" w:eastAsia="宋体" w:hint="ascii"/>
          <w:sz w:val="21"/>
          <w:spacing w:val="3"/>
        </w:rPr>
        <w:t>物</w:t>
      </w:r>
      <w:r>
        <w:rPr>
          <w:rFonts w:ascii="宋体" w:hAnsi="宋体" w:cs="宋体" w:eastAsia="宋体" w:hint="ascii"/>
          <w:sz w:val="21"/>
          <w:spacing w:val="4"/>
        </w:rPr>
        <w:t>种植</w:t>
      </w:r>
      <w:r>
        <w:rPr>
          <w:rFonts w:ascii="宋体" w:hAnsi="宋体" w:cs="宋体" w:eastAsia="宋体" w:hint="ascii"/>
          <w:sz w:val="21"/>
          <w:spacing w:val="3"/>
        </w:rPr>
        <w:t>、养</w:t>
      </w:r>
      <w:r>
        <w:rPr>
          <w:rFonts w:ascii="宋体" w:hAnsi="宋体" w:cs="宋体" w:eastAsia="宋体" w:hint="ascii"/>
          <w:sz w:val="21"/>
          <w:spacing w:val="2"/>
        </w:rPr>
        <w:t>殖</w:t>
      </w:r>
      <w:r>
        <w:rPr>
          <w:rFonts w:ascii="宋体" w:hAnsi="宋体" w:cs="宋体" w:eastAsia="宋体" w:hint="ascii"/>
          <w:sz w:val="21"/>
          <w:spacing w:val="3"/>
        </w:rPr>
        <w:t>环节中的</w:t>
      </w:r>
      <w:r>
        <w:rPr>
          <w:rFonts w:ascii="宋体" w:hAnsi="宋体" w:cs="宋体" w:eastAsia="宋体" w:hint="ascii"/>
          <w:sz w:val="21"/>
          <w:spacing w:val="2"/>
        </w:rPr>
        <w:t>生</w:t>
      </w:r>
      <w:r>
        <w:rPr>
          <w:rFonts w:ascii="宋体" w:hAnsi="宋体" w:cs="宋体" w:eastAsia="宋体" w:hint="ascii"/>
          <w:sz w:val="21"/>
          <w:spacing w:val="3"/>
        </w:rPr>
        <w:t>长发育与</w:t>
      </w:r>
      <w:r>
        <w:rPr>
          <w:rFonts w:ascii="宋体" w:hAnsi="宋体" w:cs="宋体" w:eastAsia="宋体" w:hint="ascii"/>
          <w:sz w:val="21"/>
          <w:spacing w:val="2"/>
        </w:rPr>
        <w:t>代</w:t>
      </w:r>
      <w:r>
        <w:rPr>
          <w:rFonts w:ascii="宋体" w:hAnsi="宋体" w:cs="宋体" w:eastAsia="宋体" w:hint="ascii"/>
          <w:sz w:val="21"/>
          <w:spacing w:val="3"/>
        </w:rPr>
        <w:t>谢生理等</w:t>
      </w:r>
      <w:r>
        <w:rPr>
          <w:rFonts w:ascii="宋体" w:hAnsi="宋体" w:cs="宋体" w:eastAsia="宋体" w:hint="ascii"/>
          <w:sz w:val="21"/>
          <w:spacing w:val="2"/>
        </w:rPr>
        <w:t>为</w:t>
      </w:r>
      <w:r>
        <w:rPr>
          <w:rFonts w:ascii="宋体" w:hAnsi="宋体" w:cs="宋体" w:eastAsia="宋体" w:hint="ascii"/>
          <w:sz w:val="21"/>
          <w:spacing w:val="3"/>
        </w:rPr>
        <w:t>主要研究内</w:t>
      </w:r>
      <w:r>
        <w:rPr>
          <w:rFonts w:ascii="宋体" w:hAnsi="宋体" w:cs="宋体" w:eastAsia="宋体" w:hint="ascii"/>
          <w:sz w:val="21"/>
          <w:spacing w:val="-6"/>
        </w:rPr>
        <w:t>容</w:t>
      </w:r>
      <w:r>
        <w:rPr>
          <w:rFonts w:ascii="宋体" w:hAnsi="宋体" w:cs="宋体" w:eastAsia="宋体" w:hint="ascii"/>
          <w:sz w:val="21"/>
          <w:spacing w:val="4"/>
        </w:rPr>
        <w:t>的项目；</w:t>
      </w:r>
      <w:r>
        <w:rPr>
          <w:rFonts w:ascii="宋体" w:hAnsi="宋体" w:cs="宋体" w:eastAsia="宋体" w:hint="ascii"/>
          <w:b w:val="1"/>
          <w:sz w:val="21"/>
          <w:spacing w:val="4"/>
        </w:rPr>
        <w:t>⑥</w:t>
      </w:r>
      <w:r>
        <w:rPr>
          <w:rFonts w:ascii="宋体" w:hAnsi="宋体" w:cs="宋体" w:eastAsia="宋体" w:hint="ascii"/>
          <w:sz w:val="21"/>
          <w:spacing w:val="4"/>
        </w:rPr>
        <w:t>以食品机</w:t>
      </w:r>
      <w:r>
        <w:rPr>
          <w:rFonts w:ascii="宋体" w:hAnsi="宋体" w:cs="宋体" w:eastAsia="宋体" w:hint="ascii"/>
          <w:sz w:val="21"/>
          <w:spacing w:val="3"/>
        </w:rPr>
        <w:t>械</w:t>
      </w:r>
      <w:r>
        <w:rPr>
          <w:rFonts w:ascii="宋体" w:hAnsi="宋体" w:cs="宋体" w:eastAsia="宋体" w:hint="ascii"/>
          <w:sz w:val="21"/>
          <w:spacing w:val="4"/>
        </w:rPr>
        <w:t>、包装</w:t>
      </w:r>
      <w:r>
        <w:rPr>
          <w:rFonts w:ascii="宋体" w:hAnsi="宋体" w:cs="宋体" w:eastAsia="宋体" w:hint="ascii"/>
          <w:sz w:val="21"/>
          <w:spacing w:val="3"/>
        </w:rPr>
        <w:t>材</w:t>
      </w:r>
      <w:r>
        <w:rPr>
          <w:rFonts w:ascii="宋体" w:hAnsi="宋体" w:cs="宋体" w:eastAsia="宋体" w:hint="ascii"/>
          <w:sz w:val="21"/>
          <w:spacing w:val="2"/>
        </w:rPr>
        <w:t>料</w:t>
      </w:r>
      <w:r>
        <w:rPr>
          <w:rFonts w:ascii="宋体" w:hAnsi="宋体" w:cs="宋体" w:eastAsia="宋体" w:hint="ascii"/>
          <w:sz w:val="21"/>
          <w:spacing w:val="3"/>
        </w:rPr>
        <w:t>、食品加</w:t>
      </w:r>
      <w:r>
        <w:rPr>
          <w:rFonts w:ascii="宋体" w:hAnsi="宋体" w:cs="宋体" w:eastAsia="宋体" w:hint="ascii"/>
          <w:sz w:val="21"/>
          <w:spacing w:val="2"/>
        </w:rPr>
        <w:t>工</w:t>
      </w:r>
      <w:r>
        <w:rPr>
          <w:rFonts w:ascii="宋体" w:hAnsi="宋体" w:cs="宋体" w:eastAsia="宋体" w:hint="ascii"/>
          <w:sz w:val="21"/>
          <w:spacing w:val="3"/>
        </w:rPr>
        <w:t>工艺、产</w:t>
      </w:r>
      <w:r>
        <w:rPr>
          <w:rFonts w:ascii="宋体" w:hAnsi="宋体" w:cs="宋体" w:eastAsia="宋体" w:hint="ascii"/>
          <w:sz w:val="21"/>
          <w:spacing w:val="2"/>
        </w:rPr>
        <w:t>品</w:t>
      </w:r>
      <w:r>
        <w:rPr>
          <w:rFonts w:ascii="宋体" w:hAnsi="宋体" w:cs="宋体" w:eastAsia="宋体" w:hint="ascii"/>
          <w:sz w:val="21"/>
          <w:spacing w:val="3"/>
        </w:rPr>
        <w:t>开发和食</w:t>
      </w:r>
      <w:r>
        <w:rPr>
          <w:rFonts w:ascii="宋体" w:hAnsi="宋体" w:cs="宋体" w:eastAsia="宋体" w:hint="ascii"/>
          <w:sz w:val="21"/>
          <w:spacing w:val="2"/>
        </w:rPr>
        <w:t>品</w:t>
      </w:r>
      <w:r>
        <w:rPr>
          <w:rFonts w:ascii="宋体" w:hAnsi="宋体" w:cs="宋体" w:eastAsia="宋体" w:hint="ascii"/>
          <w:sz w:val="21"/>
          <w:spacing w:val="3"/>
        </w:rPr>
        <w:t>化学改性为</w:t>
      </w:r>
      <w:r>
        <w:rPr>
          <w:rFonts w:ascii="宋体" w:hAnsi="宋体" w:cs="宋体" w:eastAsia="宋体" w:hint="ascii"/>
          <w:sz w:val="21"/>
          <w:spacing w:val="-6"/>
        </w:rPr>
        <w:t>主</w:t>
      </w:r>
      <w:r>
        <w:rPr>
          <w:rFonts w:ascii="宋体" w:hAnsi="宋体" w:cs="宋体" w:eastAsia="宋体" w:hint="ascii"/>
          <w:sz w:val="21"/>
          <w:spacing w:val="3"/>
        </w:rPr>
        <w:t>要研究内容的项</w:t>
      </w:r>
      <w:r>
        <w:rPr>
          <w:rFonts w:ascii="宋体" w:hAnsi="宋体" w:cs="宋体" w:eastAsia="宋体" w:hint="ascii"/>
          <w:sz w:val="21"/>
          <w:spacing w:val="4"/>
        </w:rPr>
        <w:t>目</w:t>
      </w:r>
      <w:r>
        <w:rPr>
          <w:rFonts w:ascii="宋体" w:hAnsi="宋体" w:cs="宋体" w:eastAsia="宋体" w:hint="ascii"/>
          <w:b w:val="1"/>
          <w:sz w:val="21"/>
        </w:rPr>
        <w:t>。</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生命科学七处</w:t>
      </w:r>
    </w:p>
    <w:p>
      <w:pPr>
        <w:autoSpaceDE w:val="0"/>
        <w:autoSpaceDN w:val="0"/>
        <w:jc w:val="both"/>
        <w:spacing w:before="181" w:after="0" w:lineRule="exact" w:line="469"/>
        <w:ind w:right="1608" w:left="1386" w:firstLine="0"/>
        <w:snapToGrid w:val="0"/>
        <w:textAlignment w:val="auto"/>
        <w:tabs/>
        <w:rPr>
          <w:rFonts w:ascii="宋体" w:hAnsi="宋体" w:cs="宋体" w:eastAsia="宋体" w:hint="ascii"/>
        </w:rPr>
      </w:pPr>
      <w:r>
        <w:rPr>
          <w:rFonts w:ascii="宋体" w:hAnsi="宋体" w:cs="宋体" w:eastAsia="宋体" w:hint="ascii"/>
          <w:sz w:val="21"/>
          <w:spacing w:val="-1"/>
        </w:rPr>
        <w:t>生命科学七处</w:t>
      </w:r>
      <w:r>
        <w:rPr>
          <w:rFonts w:ascii="宋体" w:hAnsi="宋体" w:cs="宋体" w:eastAsia="宋体" w:hint="ascii"/>
          <w:sz w:val="21"/>
        </w:rPr>
        <w:t>的资助范围包括植物保护学、园艺学与植物营养学两个学科。</w:t>
      </w:r>
      <w:r>
        <w:rPr>
          <w:rFonts w:ascii="宋体" w:hAnsi="宋体" w:cs="宋体" w:eastAsia="宋体" w:hint="ascii"/>
        </w:rPr>
        <w:t>植物保护学学科</w:t>
      </w:r>
    </w:p>
    <w:p>
      <w:pPr>
        <w:autoSpaceDE w:val="0"/>
        <w:autoSpaceDN w:val="0"/>
        <w:jc w:val="left"/>
        <w:spacing w:before="16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植物保护学的资助范围包括植物病理学、农业昆虫学、农田草害、农田鼠害及其他</w:t>
      </w:r>
    </w:p>
    <w:p>
      <w:pPr>
        <w:autoSpaceDE w:val="0"/>
        <w:autoSpaceDN w:val="0"/>
        <w:jc w:val="both"/>
        <w:spacing w:before="13" w:after="0" w:lineRule="exact" w:line="319"/>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有害生物、</w:t>
      </w:r>
      <w:r>
        <w:rPr>
          <w:rFonts w:ascii="宋体" w:hAnsi="宋体" w:cs="宋体" w:eastAsia="宋体" w:hint="ascii"/>
          <w:sz w:val="21"/>
        </w:rPr>
        <w:t>植物化学保护、生物防治、农业有害生物检疫与入侵生物学、植物保护生物</w:t>
      </w:r>
      <w:r>
        <w:rPr>
          <w:rFonts w:ascii="宋体" w:hAnsi="宋体" w:cs="宋体" w:eastAsia="宋体" w:hint="ascii"/>
          <w:sz w:val="21"/>
          <w:spacing w:val="-1"/>
        </w:rPr>
        <w:t>技术、植物</w:t>
      </w:r>
      <w:r>
        <w:rPr>
          <w:rFonts w:ascii="宋体" w:hAnsi="宋体" w:cs="宋体" w:eastAsia="宋体" w:hint="ascii"/>
          <w:sz w:val="21"/>
        </w:rPr>
        <w:t>免疫学等方面的基础和应用基础研究。近年来，植物保护学在微观和宏观两</w:t>
      </w:r>
      <w:r>
        <w:rPr>
          <w:rFonts w:ascii="宋体" w:hAnsi="宋体" w:cs="宋体" w:eastAsia="宋体" w:hint="ascii"/>
          <w:sz w:val="21"/>
          <w:spacing w:val="-1"/>
        </w:rPr>
        <w:t>个方向快速</w:t>
      </w:r>
      <w:r>
        <w:rPr>
          <w:rFonts w:ascii="宋体" w:hAnsi="宋体" w:cs="宋体" w:eastAsia="宋体" w:hint="ascii"/>
          <w:sz w:val="21"/>
        </w:rPr>
        <w:t>发展。一方面利用现代生物技术和信息技术等手段，深入揭示了植物抵御有</w:t>
      </w:r>
      <w:r>
        <w:rPr>
          <w:rFonts w:ascii="宋体" w:hAnsi="宋体" w:cs="宋体" w:eastAsia="宋体" w:hint="ascii"/>
          <w:sz w:val="21"/>
          <w:spacing w:val="-1"/>
        </w:rPr>
        <w:t>害生物的分</w:t>
      </w:r>
      <w:r>
        <w:rPr>
          <w:rFonts w:ascii="宋体" w:hAnsi="宋体" w:cs="宋体" w:eastAsia="宋体" w:hint="ascii"/>
          <w:sz w:val="21"/>
        </w:rPr>
        <w:t>子机理和有害生物的灾变规律；另一方面应用生态学和综合治理的原理和方</w:t>
      </w:r>
      <w:r>
        <w:rPr>
          <w:rFonts w:ascii="宋体" w:hAnsi="宋体" w:cs="宋体" w:eastAsia="宋体" w:hint="ascii"/>
          <w:sz w:val="21"/>
          <w:spacing w:val="-1"/>
        </w:rPr>
        <w:t>法，建立了</w:t>
      </w:r>
      <w:r>
        <w:rPr>
          <w:rFonts w:ascii="宋体" w:hAnsi="宋体" w:cs="宋体" w:eastAsia="宋体" w:hint="ascii"/>
          <w:sz w:val="21"/>
        </w:rPr>
        <w:t>提高农业综合生产能力、保护生物多样性、控制环境污染和节约资源的有害生物可持续治理理论和技术体系。</w:t>
      </w:r>
    </w:p>
    <w:p>
      <w:pPr>
        <w:autoSpaceDE w:val="0"/>
        <w:autoSpaceDN w:val="0"/>
        <w:jc w:val="left"/>
        <w:spacing w:before="50" w:after="0" w:lineRule="auto" w:line="240"/>
        <w:ind w:right="0" w:left="1859" w:hanging="473"/>
        <w:snapToGrid w:val="0"/>
        <w:textAlignment w:val="auto"/>
        <w:tabs>
          <w:tab w:val="left" w:leader="none" w:pos="1863"/>
        </w:tabs>
        <w:numPr>
          <w:ilvl w:val="0"/>
          <w:numId w:val="17"/>
        </w:numPr>
        <w:rPr>
          <w:rFonts w:ascii="Times New Roman" w:hAnsi="Times New Roman" w:cs="Times New Roman" w:eastAsia="Times New Roman" w:hint="ascii"/>
          <w:sz w:val="21"/>
          <w:spacing w:val="1"/>
        </w:rPr>
      </w:pPr>
      <w:r>
        <w:rPr>
          <w:rFonts w:ascii="宋体" w:hAnsi="宋体" w:cs="宋体" w:eastAsia="宋体" w:hint="ascii"/>
          <w:sz w:val="21"/>
        </w:rPr>
        <w:t>年度本学科项目申请存在的主要问题：①部分申请项目的科学问题不能很好</w:t>
      </w:r>
    </w:p>
    <w:p>
      <w:pPr>
        <w:autoSpaceDE w:val="0"/>
        <w:autoSpaceDN w:val="0"/>
        <w:jc w:val="both"/>
        <w:spacing w:before="17"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地切入我国</w:t>
      </w:r>
      <w:r>
        <w:rPr>
          <w:rFonts w:ascii="宋体" w:hAnsi="宋体" w:cs="宋体" w:eastAsia="宋体" w:hint="ascii"/>
          <w:sz w:val="21"/>
        </w:rPr>
        <w:t>农业生产实际，选题研究价值不大；②跟踪或仿效国内外相关研究的现象仍</w:t>
      </w:r>
      <w:r>
        <w:rPr>
          <w:rFonts w:ascii="宋体" w:hAnsi="宋体" w:cs="宋体" w:eastAsia="宋体" w:hint="ascii"/>
          <w:sz w:val="21"/>
          <w:spacing w:val="1"/>
        </w:rPr>
        <w:t>然存在，有些申请项</w:t>
      </w:r>
      <w:r>
        <w:rPr>
          <w:rFonts w:ascii="宋体" w:hAnsi="宋体" w:cs="宋体" w:eastAsia="宋体" w:hint="ascii"/>
          <w:sz w:val="21"/>
        </w:rPr>
        <w:t>目简单地将其他研究方法（或材料）嫁接到另外一个材料（或</w:t>
      </w:r>
      <w:r>
        <w:rPr>
          <w:rFonts w:ascii="宋体" w:hAnsi="宋体" w:cs="宋体" w:eastAsia="宋体" w:hint="ascii"/>
          <w:sz w:val="21"/>
          <w:spacing w:val="-6"/>
        </w:rPr>
        <w:t>方</w:t>
      </w:r>
      <w:r>
        <w:rPr>
          <w:rFonts w:ascii="宋体" w:hAnsi="宋体" w:cs="宋体" w:eastAsia="宋体" w:hint="ascii"/>
          <w:sz w:val="21"/>
          <w:spacing w:val="-1"/>
        </w:rPr>
        <w:t>法）上，缺</w:t>
      </w:r>
      <w:r>
        <w:rPr>
          <w:rFonts w:ascii="宋体" w:hAnsi="宋体" w:cs="宋体" w:eastAsia="宋体" w:hint="ascii"/>
          <w:sz w:val="21"/>
        </w:rPr>
        <w:t>乏创新性；③重视实验室模拟条件下的研究，对田间条件下的验证研究重视</w:t>
      </w:r>
      <w:r>
        <w:rPr>
          <w:rFonts w:ascii="宋体" w:hAnsi="宋体" w:cs="宋体" w:eastAsia="宋体" w:hint="ascii"/>
          <w:sz w:val="21"/>
          <w:spacing w:val="-1"/>
        </w:rPr>
        <w:t>不够；④部</w:t>
      </w:r>
      <w:r>
        <w:rPr>
          <w:rFonts w:ascii="宋体" w:hAnsi="宋体" w:cs="宋体" w:eastAsia="宋体" w:hint="ascii"/>
          <w:sz w:val="21"/>
        </w:rPr>
        <w:t>分项目申请题目过大或内容过多，科学问题凝练不够准确，研究内容重点不</w:t>
      </w:r>
      <w:r>
        <w:rPr>
          <w:rFonts w:ascii="宋体" w:hAnsi="宋体" w:cs="宋体" w:eastAsia="宋体" w:hint="ascii"/>
          <w:sz w:val="21"/>
          <w:spacing w:val="-1"/>
        </w:rPr>
        <w:t>突出，缺乏</w:t>
      </w:r>
      <w:r>
        <w:rPr>
          <w:rFonts w:ascii="宋体" w:hAnsi="宋体" w:cs="宋体" w:eastAsia="宋体" w:hint="ascii"/>
          <w:sz w:val="21"/>
        </w:rPr>
        <w:t>研究深度；⑤一些申请项目相关研究的前期积累不足，研究工作的系统性和延续性不强。</w:t>
      </w:r>
    </w:p>
    <w:p>
      <w:pPr>
        <w:autoSpaceDE w:val="0"/>
        <w:autoSpaceDN w:val="0"/>
        <w:jc w:val="left"/>
        <w:spacing w:before="44" w:after="0" w:lineRule="auto" w:line="240"/>
        <w:ind w:right="0" w:left="1867" w:hanging="481"/>
        <w:snapToGrid w:val="0"/>
        <w:textAlignment w:val="auto"/>
        <w:tabs>
          <w:tab w:val="left" w:leader="none" w:pos="1863"/>
        </w:tabs>
        <w:numPr>
          <w:ilvl w:val="0"/>
          <w:numId w:val="60"/>
        </w:numPr>
        <w:rPr>
          <w:rFonts w:ascii="Times New Roman" w:hAnsi="Times New Roman" w:cs="Times New Roman" w:eastAsia="Times New Roman" w:hint="ascii"/>
          <w:sz w:val="21"/>
          <w:spacing w:val="1"/>
        </w:rPr>
      </w:pPr>
      <w:r>
        <w:rPr>
          <w:rFonts w:ascii="宋体" w:hAnsi="宋体" w:cs="宋体" w:eastAsia="宋体" w:hint="ascii"/>
          <w:sz w:val="21"/>
        </w:rPr>
        <w:t>年度本学科将继续鼓励申请人以国家农业生产安全、农产品质量安全和生态</w:t>
      </w:r>
    </w:p>
    <w:p>
      <w:pPr>
        <w:autoSpaceDE w:val="0"/>
        <w:autoSpaceDN w:val="0"/>
        <w:jc w:val="left"/>
        <w:spacing w:before="65"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环境安全等国家需求为导向，把握相关领域国内外的研究前沿，从农业生产实际中凝练</w:t>
      </w:r>
    </w:p>
    <w:p>
      <w:pPr>
        <w:autoSpaceDE w:val="0"/>
        <w:autoSpaceDN w:val="0"/>
        <w:jc w:val="left"/>
        <w:spacing w:before="37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52" w:after="0" w:lineRule="exact" w:line="319"/>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科学问题，更加注重植物保护学科的新理论、新技术和新方法的原始创新，更加注重研究工作的连续性和系统性。在研究内容上，鼓励微观与宏观相结合，研究揭示农作物</w:t>
      </w:r>
      <w:r>
        <w:rPr>
          <w:rFonts w:ascii="MS Mincho" w:hAnsi="MS Mincho" w:cs="MS Mincho" w:eastAsia="MS Mincho" w:hint="ascii"/>
          <w:sz w:val="21"/>
        </w:rPr>
        <w:t xml:space="preserve">− </w:t>
      </w:r>
      <w:r>
        <w:rPr>
          <w:rFonts w:ascii="宋体" w:hAnsi="宋体" w:cs="宋体" w:eastAsia="宋体" w:hint="ascii"/>
          <w:sz w:val="21"/>
        </w:rPr>
        <w:t>有害生物</w:t>
      </w:r>
      <w:r>
        <w:rPr>
          <w:rFonts w:ascii="MS Mincho" w:hAnsi="MS Mincho" w:cs="MS Mincho" w:eastAsia="MS Mincho" w:hint="ascii"/>
          <w:sz w:val="21"/>
        </w:rPr>
        <w:t>−</w:t>
      </w:r>
      <w:r>
        <w:rPr>
          <w:rFonts w:ascii="宋体" w:hAnsi="宋体" w:cs="宋体" w:eastAsia="宋体" w:hint="ascii"/>
          <w:sz w:val="21"/>
        </w:rPr>
        <w:t>环境（生物和非生物）的互作机理、有害生物种群演化与灾变规律、有害生物监测与预报、有害生物可持续综合防控、农药毒理及科学使用等基础和应用基础性问题；鼓励植物保护学与遗传育种学相结合，研究阐明具有抗性的农作物种质资源对有害生物的抗性机制；注重结合我国农作物不同产区生态特点，研究产业结构调整、栽培措施改进及全球气候变化等因素带来的新的科学问题。在研究手段上，鼓励新理论、新技术与经典或传统研究方法的结合，注重实验室研究和田间试验验证的密切结合，优先支持有连续性和系统性工作积累的研究项目。鼓励以解决植物保护学科学问题为目标的交叉学科申请项目，支持学科新生长点的研究项目。继续扶持“农田草害</w:t>
      </w:r>
      <w:r>
        <w:rPr>
          <w:rFonts w:ascii="宋体" w:hAnsi="宋体" w:cs="宋体" w:eastAsia="宋体" w:hint="ascii"/>
          <w:sz w:val="21"/>
          <w:spacing w:val="-52"/>
        </w:rPr>
        <w:t>”、</w:t>
      </w:r>
      <w:r>
        <w:rPr>
          <w:rFonts w:ascii="宋体" w:hAnsi="宋体" w:cs="宋体" w:eastAsia="宋体" w:hint="ascii"/>
          <w:sz w:val="21"/>
        </w:rPr>
        <w:t>“农田鼠害”</w:t>
      </w:r>
      <w:r>
        <w:rPr>
          <w:rFonts w:ascii="宋体" w:hAnsi="宋体" w:cs="宋体" w:eastAsia="宋体" w:hint="ascii"/>
          <w:sz w:val="21"/>
        </w:rPr>
        <mc:AlternateContent>
          <mc:Choice Requires="wps">
            <w:drawing>
              <wp:anchor distL="0" distR="0" distT="0" distB="0" simplePos="0" behindDoc="1" relativeHeight="93" locked="0" layoutInCell="1" allowOverlap="1">
                <wp:simplePos x="0" y="0"/>
                <wp:positionH relativeFrom="page">
                  <wp:posOffset>938530</wp:posOffset>
                </wp:positionH>
                <wp:positionV relativeFrom="page">
                  <wp:posOffset>819150</wp:posOffset>
                </wp:positionV>
                <wp:extent cx="5076190" cy="0"/>
                <wp:wrapNone/>
                <wp:docPr id="1121" name="112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63008;width:399.70pt;" id="112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6"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以及“农作</w:t>
      </w:r>
      <w:r>
        <w:rPr>
          <w:rFonts w:ascii="宋体" w:hAnsi="宋体" w:cs="宋体" w:eastAsia="宋体" w:hint="ascii"/>
          <w:sz w:val="21"/>
        </w:rPr>
        <w:t>物病虫测报学”等研究领域的优秀项目，促进植物保护学科各方向的均衡协调发展。</w:t>
      </w:r>
    </w:p>
    <w:p>
      <w:pPr>
        <w:autoSpaceDE w:val="0"/>
        <w:autoSpaceDN w:val="0"/>
        <w:jc w:val="left"/>
        <w:spacing w:before="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本学科项目申请应注重以农作物有害生物为研究对象，以防治或控制有害生物危害</w:t>
      </w:r>
    </w:p>
    <w:p>
      <w:pPr>
        <w:autoSpaceDE w:val="0"/>
        <w:autoSpaceDN w:val="0"/>
        <w:jc w:val="both"/>
        <w:spacing w:before="10" w:after="0" w:lineRule="exact" w:line="320"/>
        <w:ind w:right="962" w:left="966" w:firstLine="0"/>
        <w:snapToGrid w:val="0"/>
        <w:textAlignment w:val="auto"/>
        <w:tabs/>
        <w:rPr>
          <w:rFonts w:ascii="宋体" w:hAnsi="宋体" w:cs="宋体" w:eastAsia="宋体" w:hint="ascii"/>
          <w:b w:val="1"/>
          <w:sz w:val="21"/>
        </w:rPr>
      </w:pPr>
      <w:r>
        <w:rPr>
          <w:rFonts w:ascii="宋体" w:hAnsi="宋体" w:cs="宋体" w:eastAsia="宋体" w:hint="ascii"/>
          <w:sz w:val="21"/>
        </w:rPr>
        <w:t>为科学目标，否则不属于本学科资助范围</w:t>
      </w:r>
      <w:r>
        <w:rPr>
          <w:rFonts w:ascii="宋体" w:hAnsi="宋体" w:cs="宋体" w:eastAsia="宋体" w:hint="ascii"/>
          <w:b w:val="1"/>
          <w:sz w:val="21"/>
        </w:rPr>
        <w:t>。</w:t>
      </w:r>
      <w:r>
        <w:rPr>
          <w:rFonts w:ascii="宋体" w:hAnsi="宋体" w:cs="宋体" w:eastAsia="宋体" w:hint="ascii"/>
          <w:sz w:val="21"/>
        </w:rPr>
        <w:t>本学科不受理以林木与模式生物（拟南芥、果蝇等）为主要研究对象的项目申请</w:t>
      </w:r>
      <w:r>
        <w:rPr>
          <w:rFonts w:ascii="宋体" w:hAnsi="宋体" w:cs="宋体" w:eastAsia="宋体" w:hint="ascii"/>
          <w:b w:val="1"/>
          <w:sz w:val="21"/>
        </w:rPr>
        <w:t>。</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园艺学与植物营养学学科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本学科包括园艺学和植物营养学两个研究领域。</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园艺学的资助范围包括果树学、蔬菜学与瓜果学、观赏园艺学、设施园艺学、园艺</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作物采后生</w:t>
      </w:r>
      <w:r>
        <w:rPr>
          <w:rFonts w:ascii="宋体" w:hAnsi="宋体" w:cs="宋体" w:eastAsia="宋体" w:hint="ascii"/>
          <w:sz w:val="21"/>
        </w:rPr>
        <w:t>物学和食用真菌学等方面的基础与应用基础研究。近年来，我国在园艺作物</w:t>
      </w:r>
      <w:r>
        <w:rPr>
          <w:rFonts w:ascii="宋体" w:hAnsi="宋体" w:cs="宋体" w:eastAsia="宋体" w:hint="ascii"/>
          <w:sz w:val="21"/>
          <w:spacing w:val="1"/>
        </w:rPr>
        <w:t>基因组学研究方面取</w:t>
      </w:r>
      <w:r>
        <w:rPr>
          <w:rFonts w:ascii="宋体" w:hAnsi="宋体" w:cs="宋体" w:eastAsia="宋体" w:hint="ascii"/>
          <w:sz w:val="21"/>
        </w:rPr>
        <w:t>得了重要进展；在园艺作物产品器官发育与成熟、品质形成与</w:t>
      </w:r>
      <w:r>
        <w:rPr>
          <w:rFonts w:ascii="宋体" w:hAnsi="宋体" w:cs="宋体" w:eastAsia="宋体" w:hint="ascii"/>
          <w:sz w:val="21"/>
          <w:spacing w:val="-6"/>
        </w:rPr>
        <w:t>调</w:t>
      </w:r>
      <w:r>
        <w:rPr>
          <w:rFonts w:ascii="宋体" w:hAnsi="宋体" w:cs="宋体" w:eastAsia="宋体" w:hint="ascii"/>
          <w:sz w:val="21"/>
          <w:spacing w:val="-1"/>
        </w:rPr>
        <w:t>控、逆境应</w:t>
      </w:r>
      <w:r>
        <w:rPr>
          <w:rFonts w:ascii="宋体" w:hAnsi="宋体" w:cs="宋体" w:eastAsia="宋体" w:hint="ascii"/>
          <w:sz w:val="21"/>
        </w:rPr>
        <w:t>答与适应机理，以及园艺作物重要功能基因挖掘和资源创新等方面取得了长足进步。</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植物营养学的资助范围包括植物营养遗传、植物营养生理、肥料与施肥科学、养分</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资源与养分循环、作物</w:t>
      </w:r>
      <w:r>
        <w:rPr>
          <w:rFonts w:ascii="MS Mincho" w:hAnsi="MS Mincho" w:cs="MS Mincho" w:eastAsia="MS Mincho" w:hint="ascii"/>
          <w:sz w:val="21"/>
        </w:rPr>
        <w:t>−</w:t>
      </w:r>
      <w:r>
        <w:rPr>
          <w:rFonts w:ascii="宋体" w:hAnsi="宋体" w:cs="宋体" w:eastAsia="宋体" w:hint="ascii"/>
          <w:sz w:val="21"/>
        </w:rPr>
        <w:t>土壤互作过程与调控等方面的基础和应用基础研究。近年来，植物营养学立足学科发展的前沿和我国农业资源环境的需求，在作物营养遗传机制、土</w:t>
      </w:r>
      <w:r>
        <w:rPr>
          <w:rFonts w:ascii="宋体" w:hAnsi="宋体" w:cs="宋体" w:eastAsia="宋体" w:hint="ascii"/>
          <w:sz w:val="21"/>
          <w:spacing w:val="5"/>
        </w:rPr>
        <w:t>壤</w:t>
      </w:r>
      <w:r>
        <w:rPr>
          <w:rFonts w:ascii="MS Mincho" w:hAnsi="MS Mincho" w:cs="MS Mincho" w:eastAsia="MS Mincho" w:hint="ascii"/>
          <w:sz w:val="21"/>
          <w:spacing w:val="8"/>
        </w:rPr>
        <w:t>−</w:t>
      </w:r>
      <w:r>
        <w:rPr>
          <w:rFonts w:ascii="宋体" w:hAnsi="宋体" w:cs="宋体" w:eastAsia="宋体" w:hint="ascii"/>
          <w:sz w:val="21"/>
          <w:spacing w:val="5"/>
        </w:rPr>
        <w:t>作</w:t>
      </w:r>
      <w:r>
        <w:rPr>
          <w:rFonts w:ascii="宋体" w:hAnsi="宋体" w:cs="宋体" w:eastAsia="宋体" w:hint="ascii"/>
          <w:sz w:val="21"/>
          <w:spacing w:val="4"/>
        </w:rPr>
        <w:t>物系统</w:t>
      </w:r>
      <w:r>
        <w:rPr>
          <w:rFonts w:ascii="宋体" w:hAnsi="宋体" w:cs="宋体" w:eastAsia="宋体" w:hint="ascii"/>
          <w:sz w:val="21"/>
          <w:spacing w:val="5"/>
        </w:rPr>
        <w:t>氮</w:t>
      </w:r>
      <w:r>
        <w:rPr>
          <w:rFonts w:ascii="宋体" w:hAnsi="宋体" w:cs="宋体" w:eastAsia="宋体" w:hint="ascii"/>
          <w:sz w:val="21"/>
          <w:spacing w:val="4"/>
        </w:rPr>
        <w:t>磷循</w:t>
      </w:r>
      <w:r>
        <w:rPr>
          <w:rFonts w:ascii="宋体" w:hAnsi="宋体" w:cs="宋体" w:eastAsia="宋体" w:hint="ascii"/>
          <w:sz w:val="21"/>
          <w:spacing w:val="5"/>
        </w:rPr>
        <w:t>环</w:t>
      </w:r>
      <w:r>
        <w:rPr>
          <w:rFonts w:ascii="宋体" w:hAnsi="宋体" w:cs="宋体" w:eastAsia="宋体" w:hint="ascii"/>
          <w:sz w:val="21"/>
          <w:spacing w:val="4"/>
        </w:rPr>
        <w:t>与</w:t>
      </w:r>
      <w:r>
        <w:rPr>
          <w:rFonts w:ascii="宋体" w:hAnsi="宋体" w:cs="宋体" w:eastAsia="宋体" w:hint="ascii"/>
          <w:sz w:val="21"/>
          <w:spacing w:val="5"/>
        </w:rPr>
        <w:t>高</w:t>
      </w:r>
      <w:r>
        <w:rPr>
          <w:rFonts w:ascii="宋体" w:hAnsi="宋体" w:cs="宋体" w:eastAsia="宋体" w:hint="ascii"/>
          <w:sz w:val="21"/>
          <w:spacing w:val="4"/>
        </w:rPr>
        <w:t>效利</w:t>
      </w:r>
      <w:r>
        <w:rPr>
          <w:rFonts w:ascii="宋体" w:hAnsi="宋体" w:cs="宋体" w:eastAsia="宋体" w:hint="ascii"/>
          <w:sz w:val="21"/>
          <w:spacing w:val="5"/>
        </w:rPr>
        <w:t>用</w:t>
      </w:r>
      <w:r>
        <w:rPr>
          <w:rFonts w:ascii="宋体" w:hAnsi="宋体" w:cs="宋体" w:eastAsia="宋体" w:hint="ascii"/>
          <w:sz w:val="21"/>
          <w:spacing w:val="4"/>
        </w:rPr>
        <w:t>、</w:t>
      </w:r>
      <w:r>
        <w:rPr>
          <w:rFonts w:ascii="宋体" w:hAnsi="宋体" w:cs="宋体" w:eastAsia="宋体" w:hint="ascii"/>
          <w:sz w:val="21"/>
          <w:spacing w:val="5"/>
        </w:rPr>
        <w:t>新</w:t>
      </w:r>
      <w:r>
        <w:rPr>
          <w:rFonts w:ascii="宋体" w:hAnsi="宋体" w:cs="宋体" w:eastAsia="宋体" w:hint="ascii"/>
          <w:sz w:val="21"/>
          <w:spacing w:val="4"/>
        </w:rPr>
        <w:t>型肥</w:t>
      </w:r>
      <w:r>
        <w:rPr>
          <w:rFonts w:ascii="宋体" w:hAnsi="宋体" w:cs="宋体" w:eastAsia="宋体" w:hint="ascii"/>
          <w:sz w:val="21"/>
          <w:spacing w:val="5"/>
        </w:rPr>
        <w:t>料</w:t>
      </w:r>
      <w:r>
        <w:rPr>
          <w:rFonts w:ascii="宋体" w:hAnsi="宋体" w:cs="宋体" w:eastAsia="宋体" w:hint="ascii"/>
          <w:sz w:val="21"/>
          <w:spacing w:val="4"/>
        </w:rPr>
        <w:t>创</w:t>
      </w:r>
      <w:r>
        <w:rPr>
          <w:rFonts w:ascii="宋体" w:hAnsi="宋体" w:cs="宋体" w:eastAsia="宋体" w:hint="ascii"/>
          <w:sz w:val="21"/>
          <w:spacing w:val="5"/>
        </w:rPr>
        <w:t>制</w:t>
      </w:r>
      <w:r>
        <w:rPr>
          <w:rFonts w:ascii="宋体" w:hAnsi="宋体" w:cs="宋体" w:eastAsia="宋体" w:hint="ascii"/>
          <w:sz w:val="21"/>
          <w:spacing w:val="4"/>
        </w:rPr>
        <w:t>与施</w:t>
      </w:r>
      <w:r>
        <w:rPr>
          <w:rFonts w:ascii="宋体" w:hAnsi="宋体" w:cs="宋体" w:eastAsia="宋体" w:hint="ascii"/>
          <w:sz w:val="21"/>
          <w:spacing w:val="5"/>
        </w:rPr>
        <w:t>用</w:t>
      </w:r>
      <w:r>
        <w:rPr>
          <w:rFonts w:ascii="宋体" w:hAnsi="宋体" w:cs="宋体" w:eastAsia="宋体" w:hint="ascii"/>
          <w:sz w:val="21"/>
          <w:spacing w:val="4"/>
        </w:rPr>
        <w:t>等</w:t>
      </w:r>
      <w:r>
        <w:rPr>
          <w:rFonts w:ascii="宋体" w:hAnsi="宋体" w:cs="宋体" w:eastAsia="宋体" w:hint="ascii"/>
          <w:sz w:val="21"/>
          <w:spacing w:val="5"/>
        </w:rPr>
        <w:t>方</w:t>
      </w:r>
      <w:r>
        <w:rPr>
          <w:rFonts w:ascii="宋体" w:hAnsi="宋体" w:cs="宋体" w:eastAsia="宋体" w:hint="ascii"/>
          <w:sz w:val="21"/>
          <w:spacing w:val="4"/>
        </w:rPr>
        <w:t>面取</w:t>
      </w:r>
      <w:r>
        <w:rPr>
          <w:rFonts w:ascii="宋体" w:hAnsi="宋体" w:cs="宋体" w:eastAsia="宋体" w:hint="ascii"/>
          <w:sz w:val="21"/>
          <w:spacing w:val="5"/>
        </w:rPr>
        <w:t>得</w:t>
      </w:r>
      <w:r>
        <w:rPr>
          <w:rFonts w:ascii="宋体" w:hAnsi="宋体" w:cs="宋体" w:eastAsia="宋体" w:hint="ascii"/>
          <w:sz w:val="21"/>
          <w:spacing w:val="4"/>
        </w:rPr>
        <w:t>了</w:t>
      </w:r>
      <w:r>
        <w:rPr>
          <w:rFonts w:ascii="宋体" w:hAnsi="宋体" w:cs="宋体" w:eastAsia="宋体" w:hint="ascii"/>
          <w:sz w:val="21"/>
          <w:spacing w:val="5"/>
        </w:rPr>
        <w:t>明</w:t>
      </w:r>
      <w:r>
        <w:rPr>
          <w:rFonts w:ascii="宋体" w:hAnsi="宋体" w:cs="宋体" w:eastAsia="宋体" w:hint="ascii"/>
          <w:sz w:val="21"/>
          <w:spacing w:val="4"/>
        </w:rPr>
        <w:t>显进步。</w:t>
      </w:r>
      <w:r>
        <w:rPr>
          <w:rFonts w:ascii="宋体" w:hAnsi="宋体" w:cs="宋体" w:eastAsia="宋体" w:hint="ascii"/>
          <w:sz w:val="21"/>
        </w:rPr>
        <w:t>当前，将进一步关注作物</w:t>
      </w:r>
      <w:r>
        <w:rPr>
          <w:rFonts w:ascii="MS Mincho" w:hAnsi="MS Mincho" w:cs="MS Mincho" w:eastAsia="MS Mincho" w:hint="ascii"/>
          <w:sz w:val="21"/>
        </w:rPr>
        <w:t>−</w:t>
      </w:r>
      <w:r>
        <w:rPr>
          <w:rFonts w:ascii="宋体" w:hAnsi="宋体" w:cs="宋体" w:eastAsia="宋体" w:hint="ascii"/>
          <w:sz w:val="21"/>
        </w:rPr>
        <w:t>土壤</w:t>
      </w:r>
      <w:r>
        <w:rPr>
          <w:rFonts w:ascii="MS Mincho" w:hAnsi="MS Mincho" w:cs="MS Mincho" w:eastAsia="MS Mincho" w:hint="ascii"/>
          <w:sz w:val="21"/>
        </w:rPr>
        <w:t>−</w:t>
      </w:r>
      <w:r>
        <w:rPr>
          <w:rFonts w:ascii="宋体" w:hAnsi="宋体" w:cs="宋体" w:eastAsia="宋体" w:hint="ascii"/>
          <w:sz w:val="21"/>
        </w:rPr>
        <w:t>微生物相互作用的交叉研究、根际微生物群落与养分高效利用以及有害元素阻控的耦合机制研究；加强肥料与施肥科学等新理论与新方法研究。</w:t>
      </w:r>
    </w:p>
    <w:p>
      <w:pPr>
        <w:autoSpaceDE w:val="0"/>
        <w:autoSpaceDN w:val="0"/>
        <w:jc w:val="left"/>
        <w:spacing w:before="40" w:after="0" w:lineRule="auto" w:line="240"/>
        <w:ind w:right="0" w:left="1867" w:hanging="473"/>
        <w:snapToGrid w:val="0"/>
        <w:textAlignment w:val="auto"/>
        <w:tabs>
          <w:tab w:val="left" w:leader="none" w:pos="1876"/>
        </w:tabs>
        <w:numPr>
          <w:ilvl w:val="0"/>
          <w:numId w:val="17"/>
        </w:numPr>
        <w:rPr>
          <w:rFonts w:ascii="Times New Roman" w:hAnsi="Times New Roman" w:cs="Times New Roman" w:eastAsia="Times New Roman" w:hint="ascii"/>
          <w:sz w:val="21"/>
          <w:spacing w:val="2"/>
        </w:rPr>
      </w:pPr>
      <w:r>
        <w:rPr>
          <w:rFonts w:ascii="宋体" w:hAnsi="宋体" w:cs="宋体" w:eastAsia="宋体" w:hint="ascii"/>
          <w:sz w:val="21"/>
        </w:rPr>
        <w:t>年度园艺学项目申请存在以下主要问题：①根据我国园艺生产实际和产业发</w:t>
      </w:r>
    </w:p>
    <w:p>
      <w:pPr>
        <w:autoSpaceDE w:val="0"/>
        <w:autoSpaceDN w:val="0"/>
        <w:jc w:val="left"/>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3"/>
        </w:rPr>
        <w:t>展需求提</w:t>
      </w:r>
      <w:r>
        <w:rPr>
          <w:rFonts w:ascii="宋体" w:hAnsi="宋体" w:cs="宋体" w:eastAsia="宋体" w:hint="ascii"/>
          <w:sz w:val="21"/>
        </w:rPr>
        <w:t>出</w:t>
      </w:r>
      <w:r>
        <w:rPr>
          <w:rFonts w:ascii="宋体" w:hAnsi="宋体" w:cs="宋体" w:eastAsia="宋体" w:hint="ascii"/>
          <w:sz w:val="21"/>
          <w:spacing w:val="3"/>
        </w:rPr>
        <w:t>和凝练科</w:t>
      </w:r>
      <w:r>
        <w:rPr>
          <w:rFonts w:ascii="宋体" w:hAnsi="宋体" w:cs="宋体" w:eastAsia="宋体" w:hint="ascii"/>
          <w:sz w:val="21"/>
        </w:rPr>
        <w:t>学</w:t>
      </w:r>
      <w:r>
        <w:rPr>
          <w:rFonts w:ascii="宋体" w:hAnsi="宋体" w:cs="宋体" w:eastAsia="宋体" w:hint="ascii"/>
          <w:sz w:val="21"/>
          <w:spacing w:val="3"/>
        </w:rPr>
        <w:t>问题不够</w:t>
      </w:r>
      <w:r>
        <w:rPr>
          <w:rFonts w:ascii="宋体" w:hAnsi="宋体" w:cs="宋体" w:eastAsia="宋体" w:hint="ascii"/>
          <w:sz w:val="21"/>
        </w:rPr>
        <w:t>；</w:t>
      </w:r>
      <w:r>
        <w:rPr>
          <w:rFonts w:ascii="宋体" w:hAnsi="宋体" w:cs="宋体" w:eastAsia="宋体" w:hint="ascii"/>
          <w:sz w:val="21"/>
          <w:spacing w:val="3"/>
        </w:rPr>
        <w:t>②移植和</w:t>
      </w:r>
      <w:r>
        <w:rPr>
          <w:rFonts w:ascii="宋体" w:hAnsi="宋体" w:cs="宋体" w:eastAsia="宋体" w:hint="ascii"/>
          <w:sz w:val="21"/>
        </w:rPr>
        <w:t>跟</w:t>
      </w:r>
      <w:r>
        <w:rPr>
          <w:rFonts w:ascii="宋体" w:hAnsi="宋体" w:cs="宋体" w:eastAsia="宋体" w:hint="ascii"/>
          <w:sz w:val="21"/>
          <w:spacing w:val="3"/>
        </w:rPr>
        <w:t>踪性研究</w:t>
      </w:r>
      <w:r>
        <w:rPr>
          <w:rFonts w:ascii="宋体" w:hAnsi="宋体" w:cs="宋体" w:eastAsia="宋体" w:hint="ascii"/>
          <w:sz w:val="21"/>
        </w:rPr>
        <w:t>较</w:t>
      </w:r>
      <w:r>
        <w:rPr>
          <w:rFonts w:ascii="宋体" w:hAnsi="宋体" w:cs="宋体" w:eastAsia="宋体" w:hint="ascii"/>
          <w:sz w:val="21"/>
          <w:spacing w:val="3"/>
        </w:rPr>
        <w:t>多，原创</w:t>
      </w:r>
      <w:r>
        <w:rPr>
          <w:rFonts w:ascii="宋体" w:hAnsi="宋体" w:cs="宋体" w:eastAsia="宋体" w:hint="ascii"/>
          <w:sz w:val="21"/>
        </w:rPr>
        <w:t>性</w:t>
      </w:r>
      <w:r>
        <w:rPr>
          <w:rFonts w:ascii="宋体" w:hAnsi="宋体" w:cs="宋体" w:eastAsia="宋体" w:hint="ascii"/>
          <w:sz w:val="21"/>
          <w:spacing w:val="3"/>
        </w:rPr>
        <w:t>和系统性</w:t>
      </w:r>
      <w:r>
        <w:rPr>
          <w:rFonts w:ascii="宋体" w:hAnsi="宋体" w:cs="宋体" w:eastAsia="宋体" w:hint="ascii"/>
          <w:sz w:val="21"/>
        </w:rPr>
        <w:t>不</w:t>
      </w:r>
      <w:r>
        <w:rPr>
          <w:rFonts w:ascii="宋体" w:hAnsi="宋体" w:cs="宋体" w:eastAsia="宋体" w:hint="ascii"/>
          <w:sz w:val="21"/>
          <w:spacing w:val="3"/>
        </w:rPr>
        <w:t>足</w:t>
      </w:r>
      <w:r>
        <w:rPr>
          <w:rFonts w:ascii="宋体" w:hAnsi="宋体" w:cs="宋体" w:eastAsia="宋体" w:hint="ascii"/>
          <w:sz w:val="21"/>
        </w:rPr>
        <w:t>；</w:t>
      </w:r>
      <w:r>
        <w:rPr>
          <w:rFonts w:ascii="宋体" w:hAnsi="宋体" w:cs="宋体" w:eastAsia="宋体" w:hint="ascii"/>
          <w:sz w:val="21"/>
          <w:spacing w:val="3"/>
        </w:rPr>
        <w:t>③一些设</w:t>
      </w:r>
      <w:r>
        <w:rPr>
          <w:rFonts w:ascii="宋体" w:hAnsi="宋体" w:cs="宋体" w:eastAsia="宋体" w:hint="ascii"/>
          <w:sz w:val="21"/>
        </w:rPr>
        <w:t>施</w:t>
      </w:r>
      <w:r>
        <w:rPr>
          <w:rFonts w:ascii="宋体" w:hAnsi="宋体" w:cs="宋体" w:eastAsia="宋体" w:hint="ascii"/>
          <w:sz w:val="21"/>
          <w:spacing w:val="3"/>
        </w:rPr>
        <w:t>园艺学的</w:t>
      </w:r>
      <w:r>
        <w:rPr>
          <w:rFonts w:ascii="宋体" w:hAnsi="宋体" w:cs="宋体" w:eastAsia="宋体" w:hint="ascii"/>
          <w:sz w:val="21"/>
        </w:rPr>
        <w:t>项</w:t>
      </w:r>
      <w:r>
        <w:rPr>
          <w:rFonts w:ascii="宋体" w:hAnsi="宋体" w:cs="宋体" w:eastAsia="宋体" w:hint="ascii"/>
          <w:sz w:val="21"/>
          <w:spacing w:val="3"/>
        </w:rPr>
        <w:t>目，忽视</w:t>
      </w:r>
      <w:r>
        <w:rPr>
          <w:rFonts w:ascii="宋体" w:hAnsi="宋体" w:cs="宋体" w:eastAsia="宋体" w:hint="ascii"/>
          <w:sz w:val="21"/>
        </w:rPr>
        <w:t>了</w:t>
      </w:r>
      <w:r>
        <w:rPr>
          <w:rFonts w:ascii="宋体" w:hAnsi="宋体" w:cs="宋体" w:eastAsia="宋体" w:hint="ascii"/>
          <w:sz w:val="21"/>
          <w:spacing w:val="3"/>
        </w:rPr>
        <w:t>设施环境</w:t>
      </w:r>
      <w:r>
        <w:rPr>
          <w:rFonts w:ascii="宋体" w:hAnsi="宋体" w:cs="宋体" w:eastAsia="宋体" w:hint="ascii"/>
          <w:sz w:val="21"/>
        </w:rPr>
        <w:t>及</w:t>
      </w:r>
      <w:r>
        <w:rPr>
          <w:rFonts w:ascii="宋体" w:hAnsi="宋体" w:cs="宋体" w:eastAsia="宋体" w:hint="ascii"/>
          <w:sz w:val="21"/>
          <w:spacing w:val="3"/>
        </w:rPr>
        <w:t>其调控与</w:t>
      </w:r>
      <w:r>
        <w:rPr>
          <w:rFonts w:ascii="宋体" w:hAnsi="宋体" w:cs="宋体" w:eastAsia="宋体" w:hint="ascii"/>
          <w:sz w:val="21"/>
        </w:rPr>
        <w:t>园</w:t>
      </w:r>
      <w:r>
        <w:rPr>
          <w:rFonts w:ascii="宋体" w:hAnsi="宋体" w:cs="宋体" w:eastAsia="宋体" w:hint="ascii"/>
          <w:sz w:val="21"/>
          <w:spacing w:val="3"/>
        </w:rPr>
        <w:t>艺作物生</w:t>
      </w:r>
      <w:r>
        <w:rPr>
          <w:rFonts w:ascii="宋体" w:hAnsi="宋体" w:cs="宋体" w:eastAsia="宋体" w:hint="ascii"/>
          <w:sz w:val="21"/>
        </w:rPr>
        <w:t>物</w:t>
      </w:r>
      <w:r>
        <w:rPr>
          <w:rFonts w:ascii="宋体" w:hAnsi="宋体" w:cs="宋体" w:eastAsia="宋体" w:hint="ascii"/>
          <w:sz w:val="21"/>
          <w:spacing w:val="3"/>
        </w:rPr>
        <w:t>学问题的</w:t>
      </w:r>
      <w:r>
        <w:rPr>
          <w:rFonts w:ascii="宋体" w:hAnsi="宋体" w:cs="宋体" w:eastAsia="宋体" w:hint="ascii"/>
          <w:sz w:val="21"/>
        </w:rPr>
        <w:t>结</w:t>
      </w:r>
      <w:r>
        <w:rPr>
          <w:rFonts w:ascii="宋体" w:hAnsi="宋体" w:cs="宋体" w:eastAsia="宋体" w:hint="ascii"/>
          <w:sz w:val="21"/>
          <w:spacing w:val="3"/>
        </w:rPr>
        <w:t>合</w:t>
      </w:r>
      <w:r>
        <w:rPr>
          <w:rFonts w:ascii="宋体" w:hAnsi="宋体" w:cs="宋体" w:eastAsia="宋体" w:hint="ascii"/>
          <w:sz w:val="21"/>
        </w:rPr>
        <w:t>；④一些项目的研究方向不稳定，缺乏系统性研究。植物营养学项目申请存在以下主要问</w:t>
      </w:r>
      <w:r>
        <w:rPr>
          <w:rFonts w:ascii="宋体" w:hAnsi="宋体" w:cs="宋体" w:eastAsia="宋体" w:hint="ascii"/>
          <w:sz w:val="21"/>
          <w:spacing w:val="3"/>
        </w:rPr>
        <w:t>题：①较</w:t>
      </w:r>
      <w:r>
        <w:rPr>
          <w:rFonts w:ascii="宋体" w:hAnsi="宋体" w:cs="宋体" w:eastAsia="宋体" w:hint="ascii"/>
          <w:sz w:val="21"/>
        </w:rPr>
        <w:t>多</w:t>
      </w:r>
      <w:r>
        <w:rPr>
          <w:rFonts w:ascii="宋体" w:hAnsi="宋体" w:cs="宋体" w:eastAsia="宋体" w:hint="ascii"/>
          <w:sz w:val="21"/>
          <w:spacing w:val="3"/>
        </w:rPr>
        <w:t>重视植物</w:t>
      </w:r>
      <w:r>
        <w:rPr>
          <w:rFonts w:ascii="宋体" w:hAnsi="宋体" w:cs="宋体" w:eastAsia="宋体" w:hint="ascii"/>
          <w:sz w:val="21"/>
        </w:rPr>
        <w:t>营</w:t>
      </w:r>
      <w:r>
        <w:rPr>
          <w:rFonts w:ascii="宋体" w:hAnsi="宋体" w:cs="宋体" w:eastAsia="宋体" w:hint="ascii"/>
          <w:sz w:val="21"/>
          <w:spacing w:val="3"/>
        </w:rPr>
        <w:t>养分子生</w:t>
      </w:r>
      <w:r>
        <w:rPr>
          <w:rFonts w:ascii="宋体" w:hAnsi="宋体" w:cs="宋体" w:eastAsia="宋体" w:hint="ascii"/>
          <w:sz w:val="21"/>
        </w:rPr>
        <w:t>物</w:t>
      </w:r>
      <w:r>
        <w:rPr>
          <w:rFonts w:ascii="宋体" w:hAnsi="宋体" w:cs="宋体" w:eastAsia="宋体" w:hint="ascii"/>
          <w:sz w:val="21"/>
          <w:spacing w:val="3"/>
        </w:rPr>
        <w:t>学研究，</w:t>
      </w:r>
      <w:r>
        <w:rPr>
          <w:rFonts w:ascii="宋体" w:hAnsi="宋体" w:cs="宋体" w:eastAsia="宋体" w:hint="ascii"/>
          <w:sz w:val="21"/>
        </w:rPr>
        <w:t>与</w:t>
      </w:r>
      <w:r>
        <w:rPr>
          <w:rFonts w:ascii="宋体" w:hAnsi="宋体" w:cs="宋体" w:eastAsia="宋体" w:hint="ascii"/>
          <w:sz w:val="21"/>
          <w:spacing w:val="3"/>
        </w:rPr>
        <w:t>作物遗传</w:t>
      </w:r>
      <w:r>
        <w:rPr>
          <w:rFonts w:ascii="宋体" w:hAnsi="宋体" w:cs="宋体" w:eastAsia="宋体" w:hint="ascii"/>
          <w:sz w:val="21"/>
        </w:rPr>
        <w:t>育</w:t>
      </w:r>
      <w:r>
        <w:rPr>
          <w:rFonts w:ascii="宋体" w:hAnsi="宋体" w:cs="宋体" w:eastAsia="宋体" w:hint="ascii"/>
          <w:sz w:val="21"/>
          <w:spacing w:val="3"/>
        </w:rPr>
        <w:t>种学等学</w:t>
      </w:r>
      <w:r>
        <w:rPr>
          <w:rFonts w:ascii="宋体" w:hAnsi="宋体" w:cs="宋体" w:eastAsia="宋体" w:hint="ascii"/>
          <w:sz w:val="21"/>
        </w:rPr>
        <w:t>科</w:t>
      </w:r>
      <w:r>
        <w:rPr>
          <w:rFonts w:ascii="宋体" w:hAnsi="宋体" w:cs="宋体" w:eastAsia="宋体" w:hint="ascii"/>
          <w:sz w:val="21"/>
          <w:spacing w:val="3"/>
        </w:rPr>
        <w:t>相结合的研</w:t>
      </w:r>
      <w:r>
        <w:rPr>
          <w:rFonts w:ascii="宋体" w:hAnsi="宋体" w:cs="宋体" w:eastAsia="宋体" w:hint="ascii"/>
          <w:sz w:val="21"/>
          <w:spacing w:val="4"/>
        </w:rPr>
        <w:t>究</w:t>
      </w:r>
      <w:r>
        <w:rPr>
          <w:rFonts w:ascii="宋体" w:hAnsi="宋体" w:cs="宋体" w:eastAsia="宋体" w:hint="ascii"/>
          <w:sz w:val="21"/>
        </w:rPr>
        <w:t>较少；②作物</w:t>
      </w:r>
      <w:r>
        <w:rPr>
          <w:rFonts w:ascii="MS Mincho" w:hAnsi="MS Mincho" w:cs="MS Mincho" w:eastAsia="MS Mincho" w:hint="ascii"/>
          <w:sz w:val="21"/>
        </w:rPr>
        <w:t>−</w:t>
      </w:r>
      <w:r>
        <w:rPr>
          <w:rFonts w:ascii="宋体" w:hAnsi="宋体" w:cs="宋体" w:eastAsia="宋体" w:hint="ascii"/>
          <w:sz w:val="21"/>
        </w:rPr>
        <w:t>土壤</w:t>
      </w:r>
      <w:r>
        <w:rPr>
          <w:rFonts w:ascii="MS Mincho" w:hAnsi="MS Mincho" w:cs="MS Mincho" w:eastAsia="MS Mincho" w:hint="ascii"/>
          <w:sz w:val="21"/>
        </w:rPr>
        <w:t>−</w:t>
      </w:r>
      <w:r>
        <w:rPr>
          <w:rFonts w:ascii="宋体" w:hAnsi="宋体" w:cs="宋体" w:eastAsia="宋体" w:hint="ascii"/>
          <w:sz w:val="21"/>
        </w:rPr>
        <w:t>微生物相互作用的实质性交叉研究较少，农业废弃物养分资源化高效利用机理研究不够，缺乏根土互作、根际微生物与作物养分高效利用之间的关联与机制研究；③养分资源与施肥科学的基础研究力量偏弱，水肥耦合机制研究项目较少。</w:t>
      </w:r>
    </w:p>
    <w:p>
      <w:pPr>
        <w:autoSpaceDE w:val="0"/>
        <w:autoSpaceDN w:val="0"/>
        <w:jc w:val="left"/>
        <w:spacing w:before="40" w:after="0" w:lineRule="auto" w:line="240"/>
        <w:ind w:right="0" w:left="1859" w:hanging="473"/>
        <w:snapToGrid w:val="0"/>
        <w:textAlignment w:val="auto"/>
        <w:tabs>
          <w:tab w:val="left" w:leader="none" w:pos="1863"/>
        </w:tabs>
        <w:numPr>
          <w:ilvl w:val="0"/>
          <w:numId w:val="17"/>
        </w:numPr>
        <w:rPr>
          <w:rFonts w:ascii="Times New Roman" w:hAnsi="Times New Roman" w:cs="Times New Roman" w:eastAsia="Times New Roman" w:hint="ascii"/>
          <w:sz w:val="21"/>
          <w:spacing w:val="1"/>
        </w:rPr>
      </w:pPr>
      <w:r>
        <w:rPr>
          <w:rFonts w:ascii="宋体" w:hAnsi="宋体" w:cs="宋体" w:eastAsia="宋体" w:hint="ascii"/>
          <w:sz w:val="21"/>
        </w:rPr>
        <w:t>年度本学科将继续鼓励从我国农业产业发展需求和生产实际提出和凝练科学</w:t>
      </w:r>
    </w:p>
    <w:p>
      <w:pPr>
        <w:autoSpaceDE w:val="0"/>
        <w:autoSpaceDN w:val="0"/>
        <w:jc w:val="left"/>
        <w:spacing w:before="491"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问题，鼓</w:t>
      </w:r>
      <w:r>
        <w:rPr>
          <w:rFonts w:ascii="宋体" w:hAnsi="宋体" w:cs="宋体" w:eastAsia="宋体" w:hint="ascii"/>
          <w:sz w:val="21"/>
        </w:rPr>
        <w:t>励研究技术、方法和手段创新，优先支持原创性、连续性、系统性和特色性研</w:t>
      </w:r>
      <w:r>
        <w:rPr>
          <w:rFonts w:ascii="宋体" w:hAnsi="宋体" w:cs="宋体" w:eastAsia="宋体" w:hint="ascii"/>
          <w:sz w:val="21"/>
          <w:spacing w:val="-1"/>
        </w:rPr>
        <w:t>究。园艺</w:t>
      </w:r>
      <w:r>
        <w:rPr>
          <w:rFonts w:ascii="宋体" w:hAnsi="宋体" w:cs="宋体" w:eastAsia="宋体" w:hint="ascii"/>
          <w:sz w:val="21"/>
        </w:rPr>
        <w:t>学支持以园艺作物为研究对象，以产量、品质和抗性等农艺性状为主要研究内</w:t>
      </w:r>
      <w:r>
        <w:rPr>
          <w:rFonts w:ascii="宋体" w:hAnsi="宋体" w:cs="宋体" w:eastAsia="宋体" w:hint="ascii"/>
          <w:sz w:val="21"/>
          <w:spacing w:val="-1"/>
        </w:rPr>
        <w:t>容的项目</w:t>
      </w:r>
      <w:r>
        <w:rPr>
          <w:rFonts w:ascii="宋体" w:hAnsi="宋体" w:cs="宋体" w:eastAsia="宋体" w:hint="ascii"/>
          <w:sz w:val="21"/>
        </w:rPr>
        <w:t>；积极扶持起源于我国或重要野生园艺作物种质资源发掘与评价、优异性状挖</w:t>
      </w:r>
      <w:r>
        <w:rPr>
          <w:rFonts w:ascii="宋体" w:hAnsi="宋体" w:cs="宋体" w:eastAsia="宋体" w:hint="ascii"/>
          <w:sz w:val="21"/>
          <w:spacing w:val="-1"/>
        </w:rPr>
        <w:t>掘与利用</w:t>
      </w:r>
      <w:r>
        <w:rPr>
          <w:rFonts w:ascii="宋体" w:hAnsi="宋体" w:cs="宋体" w:eastAsia="宋体" w:hint="ascii"/>
          <w:sz w:val="21"/>
        </w:rPr>
        <w:t>研究；鼓励开展园艺作物休眠、童期、砧穗互作、器官形成与发育、衰老与品</w:t>
      </w:r>
      <w:r>
        <w:rPr>
          <w:rFonts w:ascii="宋体" w:hAnsi="宋体" w:cs="宋体" w:eastAsia="宋体" w:hint="ascii"/>
          <w:sz w:val="21"/>
          <w:spacing w:val="-1"/>
        </w:rPr>
        <w:t>质退变等</w:t>
      </w:r>
      <w:r>
        <w:rPr>
          <w:rFonts w:ascii="宋体" w:hAnsi="宋体" w:cs="宋体" w:eastAsia="宋体" w:hint="ascii"/>
          <w:sz w:val="21"/>
        </w:rPr>
        <w:t>特异生物学问题的研究；设施园艺学支持以设施环境及其调控与园艺作物生物</w:t>
      </w:r>
      <w:r>
        <w:rPr>
          <w:rFonts w:ascii="宋体" w:hAnsi="宋体" w:cs="宋体" w:eastAsia="宋体" w:hint="ascii"/>
          <w:sz w:val="21"/>
          <w:spacing w:val="-1"/>
        </w:rPr>
        <w:t>学问题有</w:t>
      </w:r>
      <w:r>
        <w:rPr>
          <w:rFonts w:ascii="宋体" w:hAnsi="宋体" w:cs="宋体" w:eastAsia="宋体" w:hint="ascii"/>
          <w:sz w:val="21"/>
        </w:rPr>
        <w:t>机结合的项目，突出设施园艺作物生长发育最佳环境因子组合及逆境障碍调控</w:t>
      </w:r>
      <w:r>
        <w:rPr>
          <w:rFonts w:ascii="宋体" w:hAnsi="宋体" w:cs="宋体" w:eastAsia="宋体" w:hint="ascii"/>
          <w:sz w:val="21"/>
          <w:spacing w:val="-1"/>
        </w:rPr>
        <w:t>机理研究</w:t>
      </w:r>
      <w:r>
        <w:rPr>
          <w:rFonts w:ascii="宋体" w:hAnsi="宋体" w:cs="宋体" w:eastAsia="宋体" w:hint="ascii"/>
          <w:sz w:val="21"/>
        </w:rPr>
        <w:t>。植物营养学继续支持作物高效利用养分的遗传育种、生理与分子机制，作物</w:t>
      </w:r>
      <w:r>
        <w:rPr>
          <w:rFonts w:ascii="MS Mincho" w:hAnsi="MS Mincho" w:cs="MS Mincho" w:eastAsia="MS Mincho" w:hint="ascii"/>
          <w:sz w:val="21"/>
          <w:spacing w:val="-1"/>
        </w:rPr>
        <w:t>−</w:t>
      </w:r>
      <w:r>
        <w:rPr>
          <w:rFonts w:ascii="宋体" w:hAnsi="宋体" w:cs="宋体" w:eastAsia="宋体" w:hint="ascii"/>
          <w:sz w:val="21"/>
          <w:spacing w:val="-1"/>
        </w:rPr>
        <w:t>土壤</w:t>
      </w:r>
      <w:r>
        <w:rPr>
          <w:rFonts w:ascii="MS Mincho" w:hAnsi="MS Mincho" w:cs="MS Mincho" w:eastAsia="MS Mincho" w:hint="ascii"/>
          <w:sz w:val="21"/>
          <w:spacing w:val="-1"/>
        </w:rPr>
        <w:t>−</w:t>
      </w:r>
      <w:r>
        <w:rPr>
          <w:rFonts w:ascii="宋体" w:hAnsi="宋体" w:cs="宋体" w:eastAsia="宋体" w:hint="ascii"/>
          <w:sz w:val="21"/>
          <w:spacing w:val="-1"/>
        </w:rPr>
        <w:t>微</w:t>
      </w:r>
      <w:r>
        <w:rPr>
          <w:rFonts w:ascii="宋体" w:hAnsi="宋体" w:cs="宋体" w:eastAsia="宋体" w:hint="ascii"/>
          <w:sz w:val="21"/>
        </w:rPr>
        <w:t>生物相互作用与调控，以及土壤水肥耦合机制及其对作物有效性的深入研究；鼓励实验室研究在田间的试验验证；积极扶持“肥料与施肥科学</w:t>
      </w:r>
      <w:r>
        <w:rPr>
          <w:rFonts w:ascii="宋体" w:hAnsi="宋体" w:cs="宋体" w:eastAsia="宋体" w:hint="ascii"/>
          <w:sz w:val="21"/>
          <w:spacing w:val="-52"/>
        </w:rPr>
        <w:t>”</w:t>
      </w:r>
      <w:r>
        <w:rPr>
          <w:rFonts w:ascii="宋体" w:hAnsi="宋体" w:cs="宋体" w:eastAsia="宋体" w:hint="ascii"/>
          <w:sz w:val="21"/>
        </w:rPr>
        <w:t>“养分资源与养分循环”领域的优秀项目，促进植物营养学各方向的均衡协调发展。</w:t>
      </w:r>
      <w:r>
        <w:rPr>
          <w:rFonts w:ascii="宋体" w:hAnsi="宋体" w:cs="宋体" w:eastAsia="宋体" w:hint="ascii"/>
          <w:sz w:val="21"/>
        </w:rPr>
        <mc:AlternateContent>
          <mc:Choice Requires="wps">
            <w:drawing>
              <wp:anchor distL="0" distR="0" distT="0" distB="0" simplePos="0" behindDoc="1" relativeHeight="94" locked="0" layoutInCell="1" allowOverlap="1">
                <wp:simplePos x="0" y="0"/>
                <wp:positionH relativeFrom="page">
                  <wp:posOffset>938530</wp:posOffset>
                </wp:positionH>
                <wp:positionV relativeFrom="page">
                  <wp:posOffset>805815</wp:posOffset>
                </wp:positionV>
                <wp:extent cx="5076190" cy="0"/>
                <wp:wrapNone/>
                <wp:docPr id="1122" name="112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61984;width:399.70pt;" id="112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本学科不受理以林木及模式植物拟南芥等为主要研究对象的项目申请</w:t>
      </w:r>
      <w:r>
        <w:rPr>
          <w:rFonts w:ascii="宋体" w:hAnsi="宋体" w:cs="宋体" w:eastAsia="宋体" w:hint="ascii"/>
          <w:b w:val="1"/>
          <w:sz w:val="21"/>
        </w:rPr>
        <w:t>。</w:t>
      </w:r>
    </w:p>
    <w:p>
      <w:pPr>
        <w:autoSpaceDE w:val="0"/>
        <w:autoSpaceDN w:val="0"/>
        <w:jc w:val="left"/>
        <w:spacing w:before="28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生命科学八处</w:t>
      </w:r>
    </w:p>
    <w:p>
      <w:pPr>
        <w:autoSpaceDE w:val="0"/>
        <w:autoSpaceDN w:val="0"/>
        <w:jc w:val="both"/>
        <w:spacing w:before="301"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生命</w:t>
      </w:r>
      <w:r>
        <w:rPr>
          <w:rFonts w:ascii="宋体" w:hAnsi="宋体" w:cs="宋体" w:eastAsia="宋体" w:hint="ascii"/>
          <w:sz w:val="21"/>
          <w:spacing w:val="2"/>
        </w:rPr>
        <w:t>科</w:t>
      </w:r>
      <w:r>
        <w:rPr>
          <w:rFonts w:ascii="宋体" w:hAnsi="宋体" w:cs="宋体" w:eastAsia="宋体" w:hint="ascii"/>
          <w:sz w:val="21"/>
        </w:rPr>
        <w:t>学八处的</w:t>
      </w:r>
      <w:r>
        <w:rPr>
          <w:rFonts w:ascii="宋体" w:hAnsi="宋体" w:cs="宋体" w:eastAsia="宋体" w:hint="ascii"/>
          <w:sz w:val="21"/>
          <w:spacing w:val="1"/>
        </w:rPr>
        <w:t>资</w:t>
      </w:r>
      <w:r>
        <w:rPr>
          <w:rFonts w:ascii="宋体" w:hAnsi="宋体" w:cs="宋体" w:eastAsia="宋体" w:hint="ascii"/>
          <w:sz w:val="21"/>
        </w:rPr>
        <w:t>助范围包</w:t>
      </w:r>
      <w:r>
        <w:rPr>
          <w:rFonts w:ascii="宋体" w:hAnsi="宋体" w:cs="宋体" w:eastAsia="宋体" w:hint="ascii"/>
          <w:sz w:val="21"/>
          <w:spacing w:val="1"/>
        </w:rPr>
        <w:t>括</w:t>
      </w:r>
      <w:r>
        <w:rPr>
          <w:rFonts w:ascii="宋体" w:hAnsi="宋体" w:cs="宋体" w:eastAsia="宋体" w:hint="ascii"/>
          <w:sz w:val="21"/>
        </w:rPr>
        <w:t>动物学、</w:t>
      </w:r>
      <w:r>
        <w:rPr>
          <w:rFonts w:ascii="宋体" w:hAnsi="宋体" w:cs="宋体" w:eastAsia="宋体" w:hint="ascii"/>
          <w:sz w:val="21"/>
          <w:spacing w:val="1"/>
        </w:rPr>
        <w:t>畜</w:t>
      </w:r>
      <w:r>
        <w:rPr>
          <w:rFonts w:ascii="宋体" w:hAnsi="宋体" w:cs="宋体" w:eastAsia="宋体" w:hint="ascii"/>
          <w:sz w:val="21"/>
        </w:rPr>
        <w:t>牧学与草</w:t>
      </w:r>
      <w:r>
        <w:rPr>
          <w:rFonts w:ascii="宋体" w:hAnsi="宋体" w:cs="宋体" w:eastAsia="宋体" w:hint="ascii"/>
          <w:sz w:val="21"/>
          <w:spacing w:val="1"/>
        </w:rPr>
        <w:t>地</w:t>
      </w:r>
      <w:r>
        <w:rPr>
          <w:rFonts w:ascii="宋体" w:hAnsi="宋体" w:cs="宋体" w:eastAsia="宋体" w:hint="ascii"/>
          <w:sz w:val="21"/>
        </w:rPr>
        <w:t>科学、兽</w:t>
      </w:r>
      <w:r>
        <w:rPr>
          <w:rFonts w:ascii="宋体" w:hAnsi="宋体" w:cs="宋体" w:eastAsia="宋体" w:hint="ascii"/>
          <w:sz w:val="21"/>
          <w:spacing w:val="1"/>
        </w:rPr>
        <w:t>医</w:t>
      </w:r>
      <w:r>
        <w:rPr>
          <w:rFonts w:ascii="宋体" w:hAnsi="宋体" w:cs="宋体" w:eastAsia="宋体" w:hint="ascii"/>
          <w:sz w:val="21"/>
        </w:rPr>
        <w:t>学和水产</w:t>
      </w:r>
      <w:r>
        <w:rPr>
          <w:rFonts w:ascii="宋体" w:hAnsi="宋体" w:cs="宋体" w:eastAsia="宋体" w:hint="ascii"/>
          <w:sz w:val="21"/>
          <w:spacing w:val="1"/>
        </w:rPr>
        <w:t>学</w:t>
      </w:r>
      <w:r>
        <w:rPr>
          <w:rFonts w:ascii="宋体" w:hAnsi="宋体" w:cs="宋体" w:eastAsia="宋体" w:hint="ascii"/>
          <w:sz w:val="21"/>
        </w:rPr>
        <w:t>四</w:t>
      </w:r>
      <w:r>
        <w:rPr>
          <w:rFonts w:ascii="宋体" w:hAnsi="宋体" w:cs="宋体" w:eastAsia="宋体" w:hint="ascii"/>
          <w:sz w:val="21"/>
          <w:spacing w:val="-6"/>
        </w:rPr>
        <w:t>个</w:t>
      </w:r>
      <w:r>
        <w:rPr>
          <w:rFonts w:ascii="宋体" w:hAnsi="宋体" w:cs="宋体" w:eastAsia="宋体" w:hint="ascii"/>
          <w:sz w:val="21"/>
        </w:rPr>
        <w:t>学科。</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动物学学科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动物学是研究动物的形态、分类、发育、生理、行为、生态、进化和遗传等生命现</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象及其规</w:t>
      </w:r>
      <w:r>
        <w:rPr>
          <w:rFonts w:ascii="宋体" w:hAnsi="宋体" w:cs="宋体" w:eastAsia="宋体" w:hint="ascii"/>
          <w:sz w:val="21"/>
        </w:rPr>
        <w:t>律的科学。分子生物学、组学、生物信息学等相关学科理论和技术的应用，促</w:t>
      </w:r>
      <w:r>
        <w:rPr>
          <w:rFonts w:ascii="宋体" w:hAnsi="宋体" w:cs="宋体" w:eastAsia="宋体" w:hint="ascii"/>
          <w:sz w:val="21"/>
          <w:spacing w:val="-1"/>
        </w:rPr>
        <w:t>进了动物</w:t>
      </w:r>
      <w:r>
        <w:rPr>
          <w:rFonts w:ascii="宋体" w:hAnsi="宋体" w:cs="宋体" w:eastAsia="宋体" w:hint="ascii"/>
          <w:sz w:val="21"/>
        </w:rPr>
        <w:t>学的发展。动物多样性、个体发生、系统发育、协同进化、表型进化、动物的</w:t>
      </w:r>
      <w:r>
        <w:rPr>
          <w:rFonts w:ascii="宋体" w:hAnsi="宋体" w:cs="宋体" w:eastAsia="宋体" w:hint="ascii"/>
          <w:sz w:val="21"/>
          <w:spacing w:val="-1"/>
        </w:rPr>
        <w:t>行为和适</w:t>
      </w:r>
      <w:r>
        <w:rPr>
          <w:rFonts w:ascii="宋体" w:hAnsi="宋体" w:cs="宋体" w:eastAsia="宋体" w:hint="ascii"/>
          <w:sz w:val="21"/>
        </w:rPr>
        <w:t>应性等研究已成为热点，动物分类学、动物地理学、保护生物学及动物资源利用研究不断深入和整合，实验动物科学的发展受到重视。</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近年来受理项目的情况表明，动物学一些分支学科已形成了自己的研究特色，并在</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国际上产</w:t>
      </w:r>
      <w:r>
        <w:rPr>
          <w:rFonts w:ascii="宋体" w:hAnsi="宋体" w:cs="宋体" w:eastAsia="宋体" w:hint="ascii"/>
          <w:sz w:val="21"/>
        </w:rPr>
        <w:t>生了重要影响。申请的项目无论是选题科学性还是设计合理性，尤其是学术思</w:t>
      </w:r>
      <w:r>
        <w:rPr>
          <w:rFonts w:ascii="宋体" w:hAnsi="宋体" w:cs="宋体" w:eastAsia="宋体" w:hint="ascii"/>
          <w:sz w:val="21"/>
          <w:spacing w:val="-1"/>
        </w:rPr>
        <w:t>想的创新</w:t>
      </w:r>
      <w:r>
        <w:rPr>
          <w:rFonts w:ascii="宋体" w:hAnsi="宋体" w:cs="宋体" w:eastAsia="宋体" w:hint="ascii"/>
          <w:sz w:val="21"/>
        </w:rPr>
        <w:t>性，较过去均有明显提高。但项目申请中还存在某些问题，如过分追求热点而</w:t>
      </w:r>
      <w:r>
        <w:rPr>
          <w:rFonts w:ascii="宋体" w:hAnsi="宋体" w:cs="宋体" w:eastAsia="宋体" w:hint="ascii"/>
          <w:sz w:val="21"/>
          <w:spacing w:val="-1"/>
        </w:rPr>
        <w:t>忽视了工</w:t>
      </w:r>
      <w:r>
        <w:rPr>
          <w:rFonts w:ascii="宋体" w:hAnsi="宋体" w:cs="宋体" w:eastAsia="宋体" w:hint="ascii"/>
          <w:sz w:val="21"/>
        </w:rPr>
        <w:t>作的连续性和系统性，立项依据的阐述和技术路线的可行性论证不够充分，前</w:t>
      </w:r>
      <w:r>
        <w:rPr>
          <w:rFonts w:ascii="宋体" w:hAnsi="宋体" w:cs="宋体" w:eastAsia="宋体" w:hint="ascii"/>
          <w:sz w:val="21"/>
          <w:spacing w:val="-1"/>
        </w:rPr>
        <w:t>期工作基</w:t>
      </w:r>
      <w:r>
        <w:rPr>
          <w:rFonts w:ascii="宋体" w:hAnsi="宋体" w:cs="宋体" w:eastAsia="宋体" w:hint="ascii"/>
          <w:sz w:val="21"/>
        </w:rPr>
        <w:t>础积累不够，没有提供具体的研究进展和详细的研究内容，缺乏明确的科学问题或科学假设，或目标过大过高，经费预算不切实际。个别项目有重复申请的现象。</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对未知动物物种的发现和描述，对已知动物物种的厘定和分类地位的修订，仍是今</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后一段时</w:t>
      </w:r>
      <w:r>
        <w:rPr>
          <w:rFonts w:ascii="宋体" w:hAnsi="宋体" w:cs="宋体" w:eastAsia="宋体" w:hint="ascii"/>
          <w:sz w:val="21"/>
        </w:rPr>
        <w:t>期分类学资助的重要内容；继续鼓励海洋无脊椎动物的分类研究，以进化为核</w:t>
      </w:r>
      <w:r>
        <w:rPr>
          <w:rFonts w:ascii="宋体" w:hAnsi="宋体" w:cs="宋体" w:eastAsia="宋体" w:hint="ascii"/>
          <w:sz w:val="21"/>
          <w:spacing w:val="-1"/>
        </w:rPr>
        <w:t>心的动物</w:t>
      </w:r>
      <w:r>
        <w:rPr>
          <w:rFonts w:ascii="宋体" w:hAnsi="宋体" w:cs="宋体" w:eastAsia="宋体" w:hint="ascii"/>
          <w:sz w:val="21"/>
        </w:rPr>
        <w:t>形态发生、系统发育、动物地理学和生活史对策的研究是当前的重要领域；鼓</w:t>
      </w:r>
      <w:r>
        <w:rPr>
          <w:rFonts w:ascii="宋体" w:hAnsi="宋体" w:cs="宋体" w:eastAsia="宋体" w:hint="ascii"/>
          <w:sz w:val="21"/>
          <w:spacing w:val="-1"/>
        </w:rPr>
        <w:t>励野生动</w:t>
      </w:r>
      <w:r>
        <w:rPr>
          <w:rFonts w:ascii="宋体" w:hAnsi="宋体" w:cs="宋体" w:eastAsia="宋体" w:hint="ascii"/>
          <w:sz w:val="21"/>
        </w:rPr>
        <w:t>物形态学、生理学和行为学等方向的研究；加强濒危动物保护、重要资源动物</w:t>
      </w:r>
      <w:r>
        <w:rPr>
          <w:rFonts w:ascii="宋体" w:hAnsi="宋体" w:cs="宋体" w:eastAsia="宋体" w:hint="ascii"/>
          <w:sz w:val="21"/>
          <w:spacing w:val="-1"/>
        </w:rPr>
        <w:t>可持续利</w:t>
      </w:r>
      <w:r>
        <w:rPr>
          <w:rFonts w:ascii="宋体" w:hAnsi="宋体" w:cs="宋体" w:eastAsia="宋体" w:hint="ascii"/>
          <w:sz w:val="21"/>
        </w:rPr>
        <w:t>用、有害动物控制、外来入侵动物相关的生物学研究；对我国特有动物类群以</w:t>
      </w:r>
      <w:r>
        <w:rPr>
          <w:rFonts w:ascii="宋体" w:hAnsi="宋体" w:cs="宋体" w:eastAsia="宋体" w:hint="ascii"/>
          <w:sz w:val="21"/>
          <w:spacing w:val="-1"/>
        </w:rPr>
        <w:t>及基础薄</w:t>
      </w:r>
      <w:r>
        <w:rPr>
          <w:rFonts w:ascii="宋体" w:hAnsi="宋体" w:cs="宋体" w:eastAsia="宋体" w:hint="ascii"/>
          <w:sz w:val="21"/>
        </w:rPr>
        <w:t>弱地区的研究将继续给予扶持。重视野生动物实验动物化和实验动物标准化等</w:t>
      </w:r>
      <w:r>
        <w:rPr>
          <w:rFonts w:ascii="宋体" w:hAnsi="宋体" w:cs="宋体" w:eastAsia="宋体" w:hint="ascii"/>
          <w:sz w:val="21"/>
          <w:spacing w:val="-1"/>
        </w:rPr>
        <w:t>方向的研</w:t>
      </w:r>
      <w:r>
        <w:rPr>
          <w:rFonts w:ascii="宋体" w:hAnsi="宋体" w:cs="宋体" w:eastAsia="宋体" w:hint="ascii"/>
          <w:sz w:val="21"/>
        </w:rPr>
        <w:t>究。今后，本学科更加侧重动物学基础研究，鼓励根据我国动物资源的特色和</w:t>
      </w:r>
      <w:r>
        <w:rPr>
          <w:rFonts w:ascii="宋体" w:hAnsi="宋体" w:cs="宋体" w:eastAsia="宋体" w:hint="ascii"/>
          <w:sz w:val="21"/>
          <w:spacing w:val="-1"/>
        </w:rPr>
        <w:t>区域特点</w:t>
      </w:r>
      <w:r>
        <w:rPr>
          <w:rFonts w:ascii="宋体" w:hAnsi="宋体" w:cs="宋体" w:eastAsia="宋体" w:hint="ascii"/>
          <w:sz w:val="21"/>
        </w:rPr>
        <w:t>，结合新理论和新技术的应用，进行原创性的探索；鼓励动物行为学与神经生物学等跨学科交叉研究。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提请申请人注意：本学科不受理以模式动物为研究材料的临床医学诊断和治疗相关</w:t>
      </w:r>
    </w:p>
    <w:p>
      <w:pPr>
        <w:autoSpaceDE w:val="0"/>
        <w:autoSpaceDN w:val="0"/>
        <w:jc w:val="left"/>
        <w:spacing w:before="28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7" w:after="0" w:lineRule="exact" w:line="263"/>
        <w:ind w:right="0" w:left="966" w:firstLine="0"/>
        <w:snapToGrid w:val="0"/>
        <w:textAlignment w:val="auto"/>
        <w:tabs/>
        <w:rPr>
          <w:rFonts w:ascii="宋体" w:hAnsi="宋体" w:cs="宋体" w:eastAsia="宋体" w:hint="ascii"/>
          <w:b w:val="1"/>
          <w:sz w:val="21"/>
        </w:rPr>
      </w:pPr>
      <w:r>
        <w:rPr>
          <w:rFonts w:ascii="宋体" w:hAnsi="宋体" w:cs="宋体" w:eastAsia="宋体" w:hint="ascii"/>
          <w:sz w:val="21"/>
        </w:rPr>
        <w:t>的研究申请，不受理以家畜家禽为材料的应用研究申请</w:t>
      </w:r>
      <w:r>
        <w:rPr>
          <w:rFonts w:ascii="宋体" w:hAnsi="宋体" w:cs="宋体" w:eastAsia="宋体" w:hint="ascii"/>
          <w:b w:val="1"/>
          <w:sz w:val="21"/>
        </w:rPr>
        <w:t>。</w:t>
      </w:r>
      <w:r>
        <w:rPr>
          <w:rFonts w:ascii="宋体" w:hAnsi="宋体" w:cs="宋体" w:eastAsia="宋体" w:hint="ascii"/>
          <w:b w:val="1"/>
          <w:sz w:val="21"/>
        </w:rPr>
        <mc:AlternateContent>
          <mc:Choice Requires="wps">
            <w:drawing>
              <wp:anchor distL="0" distR="0" distT="0" distB="0" simplePos="0" behindDoc="1" relativeHeight="95" locked="0" layoutInCell="1" allowOverlap="1">
                <wp:simplePos x="0" y="0"/>
                <wp:positionH relativeFrom="page">
                  <wp:posOffset>938530</wp:posOffset>
                </wp:positionH>
                <wp:positionV relativeFrom="page">
                  <wp:posOffset>819150</wp:posOffset>
                </wp:positionV>
                <wp:extent cx="5076190" cy="0"/>
                <wp:wrapNone/>
                <wp:docPr id="1123" name="112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60960;width:399.70pt;" id="112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畜牧学与草地科学学科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畜牧学与草地科学是研究畜禽（含特种经济动物）种质资源、遗传与育种、生长发</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育与繁殖、营养与饲养、草地植物资源、优质高产饲草及草地保护与综合利用的科学。</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畜牧学与草地科学资助范围包括：畜禽资源、家畜遗传育种学、家禽遗传育种学、</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畜禽繁殖学、</w:t>
      </w:r>
      <w:r>
        <w:rPr>
          <w:rFonts w:ascii="宋体" w:hAnsi="宋体" w:cs="宋体" w:eastAsia="宋体" w:hint="ascii"/>
          <w:sz w:val="21"/>
        </w:rPr>
        <w:t>单胃动物营养学、家禽营养学、反刍动物营养学、饲料学、畜禽行为学、</w:t>
      </w:r>
      <w:r>
        <w:rPr>
          <w:rFonts w:ascii="宋体" w:hAnsi="宋体" w:cs="宋体" w:eastAsia="宋体" w:hint="ascii"/>
          <w:sz w:val="21"/>
          <w:spacing w:val="-1"/>
        </w:rPr>
        <w:t>畜禽环境学、</w:t>
      </w:r>
      <w:r>
        <w:rPr>
          <w:rFonts w:ascii="宋体" w:hAnsi="宋体" w:cs="宋体" w:eastAsia="宋体" w:hint="ascii"/>
          <w:sz w:val="21"/>
        </w:rPr>
        <w:t>草地与放牧学、草种质资源与育种、草地环境与灾害、牧草生产与加工、养蚕学和养蜂学。</w:t>
      </w:r>
    </w:p>
    <w:p>
      <w:pPr>
        <w:autoSpaceDE w:val="0"/>
        <w:autoSpaceDN w:val="0"/>
        <w:jc w:val="left"/>
        <w:spacing w:before="0" w:after="0" w:lineRule="exact" w:line="312"/>
        <w:ind w:right="962" w:left="966" w:firstLine="420"/>
        <w:snapToGrid w:val="0"/>
        <w:textAlignment w:val="auto"/>
        <w:tabs>
          <w:tab w:val="left" w:leader="none" w:pos="1869"/>
        </w:tabs>
        <w:numPr>
          <w:ilvl w:val="0"/>
          <w:numId w:val="61"/>
        </w:numPr>
        <w:rPr>
          <w:rFonts w:ascii="Times New Roman" w:hAnsi="Times New Roman" w:cs="Times New Roman" w:eastAsia="Times New Roman" w:hint="ascii"/>
          <w:sz w:val="21"/>
          <w:spacing w:val="1"/>
        </w:rPr>
      </w:pPr>
      <w:r>
        <w:rPr>
          <w:rFonts w:ascii="宋体" w:hAnsi="宋体" w:cs="宋体" w:eastAsia="宋体" w:hint="ascii"/>
          <w:sz w:val="21"/>
          <w:spacing w:val="6"/>
        </w:rPr>
        <w:t>年度</w:t>
      </w:r>
      <w:r>
        <w:rPr>
          <w:rFonts w:ascii="宋体" w:hAnsi="宋体" w:cs="宋体" w:eastAsia="宋体" w:hint="ascii"/>
          <w:sz w:val="21"/>
          <w:spacing w:val="5"/>
        </w:rPr>
        <w:t>本</w:t>
      </w:r>
      <w:r>
        <w:rPr>
          <w:rFonts w:ascii="宋体" w:hAnsi="宋体" w:cs="宋体" w:eastAsia="宋体" w:hint="ascii"/>
          <w:sz w:val="21"/>
          <w:spacing w:val="6"/>
        </w:rPr>
        <w:t>学科</w:t>
      </w:r>
      <w:r>
        <w:rPr>
          <w:rFonts w:ascii="宋体" w:hAnsi="宋体" w:cs="宋体" w:eastAsia="宋体" w:hint="ascii"/>
          <w:sz w:val="21"/>
          <w:spacing w:val="5"/>
        </w:rPr>
        <w:t>接</w:t>
      </w:r>
      <w:r>
        <w:rPr>
          <w:rFonts w:ascii="宋体" w:hAnsi="宋体" w:cs="宋体" w:eastAsia="宋体" w:hint="ascii"/>
          <w:sz w:val="21"/>
          <w:spacing w:val="6"/>
        </w:rPr>
        <w:t>收</w:t>
      </w:r>
      <w:r>
        <w:rPr>
          <w:rFonts w:ascii="宋体" w:hAnsi="宋体" w:cs="宋体" w:eastAsia="宋体" w:hint="ascii"/>
          <w:sz w:val="21"/>
          <w:spacing w:val="5"/>
        </w:rPr>
        <w:t>和</w:t>
      </w:r>
      <w:r>
        <w:rPr>
          <w:rFonts w:ascii="宋体" w:hAnsi="宋体" w:cs="宋体" w:eastAsia="宋体" w:hint="ascii"/>
          <w:sz w:val="21"/>
          <w:spacing w:val="6"/>
        </w:rPr>
        <w:t>资助</w:t>
      </w:r>
      <w:r>
        <w:rPr>
          <w:rFonts w:ascii="宋体" w:hAnsi="宋体" w:cs="宋体" w:eastAsia="宋体" w:hint="ascii"/>
          <w:sz w:val="21"/>
          <w:spacing w:val="5"/>
        </w:rPr>
        <w:t>的</w:t>
      </w:r>
      <w:r>
        <w:rPr>
          <w:rFonts w:ascii="宋体" w:hAnsi="宋体" w:cs="宋体" w:eastAsia="宋体" w:hint="ascii"/>
          <w:sz w:val="21"/>
          <w:spacing w:val="6"/>
        </w:rPr>
        <w:t>项</w:t>
      </w:r>
      <w:r>
        <w:rPr>
          <w:rFonts w:ascii="宋体" w:hAnsi="宋体" w:cs="宋体" w:eastAsia="宋体" w:hint="ascii"/>
          <w:sz w:val="21"/>
          <w:spacing w:val="5"/>
        </w:rPr>
        <w:t>目</w:t>
      </w:r>
      <w:r>
        <w:rPr>
          <w:rFonts w:ascii="宋体" w:hAnsi="宋体" w:cs="宋体" w:eastAsia="宋体" w:hint="ascii"/>
          <w:sz w:val="21"/>
          <w:spacing w:val="6"/>
        </w:rPr>
        <w:t>涉及</w:t>
      </w:r>
      <w:r>
        <w:rPr>
          <w:rFonts w:ascii="宋体" w:hAnsi="宋体" w:cs="宋体" w:eastAsia="宋体" w:hint="ascii"/>
          <w:sz w:val="21"/>
          <w:spacing w:val="5"/>
        </w:rPr>
        <w:t>学</w:t>
      </w:r>
      <w:r>
        <w:rPr>
          <w:rFonts w:ascii="宋体" w:hAnsi="宋体" w:cs="宋体" w:eastAsia="宋体" w:hint="ascii"/>
          <w:sz w:val="21"/>
          <w:spacing w:val="6"/>
        </w:rPr>
        <w:t>科</w:t>
      </w:r>
      <w:r>
        <w:rPr>
          <w:rFonts w:ascii="宋体" w:hAnsi="宋体" w:cs="宋体" w:eastAsia="宋体" w:hint="ascii"/>
          <w:sz w:val="21"/>
          <w:spacing w:val="5"/>
        </w:rPr>
        <w:t>的</w:t>
      </w:r>
      <w:r>
        <w:rPr>
          <w:rFonts w:ascii="宋体" w:hAnsi="宋体" w:cs="宋体" w:eastAsia="宋体" w:hint="ascii"/>
          <w:sz w:val="21"/>
          <w:spacing w:val="6"/>
        </w:rPr>
        <w:t>各个</w:t>
      </w:r>
      <w:r>
        <w:rPr>
          <w:rFonts w:ascii="宋体" w:hAnsi="宋体" w:cs="宋体" w:eastAsia="宋体" w:hint="ascii"/>
          <w:sz w:val="21"/>
          <w:spacing w:val="5"/>
        </w:rPr>
        <w:t>领</w:t>
      </w:r>
      <w:r>
        <w:rPr>
          <w:rFonts w:ascii="宋体" w:hAnsi="宋体" w:cs="宋体" w:eastAsia="宋体" w:hint="ascii"/>
          <w:sz w:val="21"/>
          <w:spacing w:val="6"/>
        </w:rPr>
        <w:t>域</w:t>
      </w:r>
      <w:r>
        <w:rPr>
          <w:rFonts w:ascii="宋体" w:hAnsi="宋体" w:cs="宋体" w:eastAsia="宋体" w:hint="ascii"/>
          <w:sz w:val="21"/>
          <w:spacing w:val="5"/>
        </w:rPr>
        <w:t>，</w:t>
      </w:r>
      <w:r>
        <w:rPr>
          <w:rFonts w:ascii="宋体" w:hAnsi="宋体" w:cs="宋体" w:eastAsia="宋体" w:hint="ascii"/>
          <w:sz w:val="21"/>
          <w:spacing w:val="6"/>
        </w:rPr>
        <w:t>其中</w:t>
      </w:r>
      <w:r>
        <w:rPr>
          <w:rFonts w:ascii="宋体" w:hAnsi="宋体" w:cs="宋体" w:eastAsia="宋体" w:hint="ascii"/>
          <w:sz w:val="21"/>
          <w:spacing w:val="5"/>
        </w:rPr>
        <w:t>在</w:t>
      </w:r>
      <w:r>
        <w:rPr>
          <w:rFonts w:ascii="宋体" w:hAnsi="宋体" w:cs="宋体" w:eastAsia="宋体" w:hint="ascii"/>
          <w:sz w:val="21"/>
          <w:spacing w:val="6"/>
        </w:rPr>
        <w:t>畜</w:t>
      </w:r>
      <w:r>
        <w:rPr>
          <w:rFonts w:ascii="宋体" w:hAnsi="宋体" w:cs="宋体" w:eastAsia="宋体" w:hint="ascii"/>
          <w:sz w:val="21"/>
          <w:spacing w:val="5"/>
        </w:rPr>
        <w:t>禽</w:t>
      </w:r>
      <w:r>
        <w:rPr>
          <w:rFonts w:ascii="宋体" w:hAnsi="宋体" w:cs="宋体" w:eastAsia="宋体" w:hint="ascii"/>
          <w:sz w:val="21"/>
          <w:spacing w:val="6"/>
        </w:rPr>
        <w:t>遗传育</w:t>
      </w:r>
      <w:r>
        <w:rPr>
          <w:rFonts w:ascii="宋体" w:hAnsi="宋体" w:cs="宋体" w:eastAsia="宋体" w:hint="ascii"/>
          <w:sz w:val="21"/>
        </w:rPr>
        <w:t>种学、畜禽繁殖学、单胃动物营养学、反刍动物营养学、饲料学和草种质资源与育种等方面项目数量较多，而且在某些研究方面已形成特色，但在畜禽资源、畜禽行为学、牧草加工、畜禽环境学、养蜂学、养蚕学等方向申请项目数较少。总体来看，学术思想和研究方法的创新性有所提高，但也存在一些问题，如畜禽资源研究偏向于功能基因挖掘，缺少遗传资源评价、保种理论和方法的基础研究，部分项目选题与畜牧生产实际问题脱节，基础研究支撑应用研究能力不强；偏重于分子生物学等技术与方法的应用，但对畜禽重要经济性状形成的生理生化基础和遗传机理研究深度不够。</w:t>
      </w:r>
    </w:p>
    <w:p>
      <w:pPr>
        <w:autoSpaceDE w:val="0"/>
        <w:autoSpaceDN w:val="0"/>
        <w:jc w:val="left"/>
        <w:spacing w:before="0" w:after="0" w:lineRule="exact" w:line="312"/>
        <w:ind w:right="962" w:left="966" w:firstLine="420"/>
        <w:snapToGrid w:val="0"/>
        <w:textAlignment w:val="auto"/>
        <w:tabs>
          <w:tab w:val="left" w:leader="none" w:pos="1869"/>
        </w:tabs>
        <w:numPr>
          <w:ilvl w:val="0"/>
          <w:numId w:val="61"/>
        </w:numPr>
        <w:rPr>
          <w:rFonts w:ascii="Times New Roman" w:hAnsi="Times New Roman" w:cs="Times New Roman" w:eastAsia="Times New Roman" w:hint="ascii"/>
          <w:sz w:val="21"/>
          <w:spacing w:val="1"/>
        </w:rPr>
      </w:pPr>
      <w:r>
        <w:rPr>
          <w:rFonts w:ascii="宋体" w:hAnsi="宋体" w:cs="宋体" w:eastAsia="宋体" w:hint="ascii"/>
          <w:sz w:val="21"/>
          <w:spacing w:val="6"/>
        </w:rPr>
        <w:t>年度</w:t>
      </w:r>
      <w:r>
        <w:rPr>
          <w:rFonts w:ascii="宋体" w:hAnsi="宋体" w:cs="宋体" w:eastAsia="宋体" w:hint="ascii"/>
          <w:sz w:val="21"/>
          <w:spacing w:val="5"/>
        </w:rPr>
        <w:t>，</w:t>
      </w:r>
      <w:r>
        <w:rPr>
          <w:rFonts w:ascii="宋体" w:hAnsi="宋体" w:cs="宋体" w:eastAsia="宋体" w:hint="ascii"/>
          <w:sz w:val="21"/>
          <w:spacing w:val="6"/>
        </w:rPr>
        <w:t>本学</w:t>
      </w:r>
      <w:r>
        <w:rPr>
          <w:rFonts w:ascii="宋体" w:hAnsi="宋体" w:cs="宋体" w:eastAsia="宋体" w:hint="ascii"/>
          <w:sz w:val="21"/>
          <w:spacing w:val="5"/>
        </w:rPr>
        <w:t>科</w:t>
      </w:r>
      <w:r>
        <w:rPr>
          <w:rFonts w:ascii="宋体" w:hAnsi="宋体" w:cs="宋体" w:eastAsia="宋体" w:hint="ascii"/>
          <w:sz w:val="21"/>
          <w:spacing w:val="6"/>
        </w:rPr>
        <w:t>将</w:t>
      </w:r>
      <w:r>
        <w:rPr>
          <w:rFonts w:ascii="宋体" w:hAnsi="宋体" w:cs="宋体" w:eastAsia="宋体" w:hint="ascii"/>
          <w:sz w:val="21"/>
          <w:spacing w:val="5"/>
        </w:rPr>
        <w:t>围</w:t>
      </w:r>
      <w:r>
        <w:rPr>
          <w:rFonts w:ascii="宋体" w:hAnsi="宋体" w:cs="宋体" w:eastAsia="宋体" w:hint="ascii"/>
          <w:sz w:val="21"/>
          <w:spacing w:val="6"/>
        </w:rPr>
        <w:t>绕国</w:t>
      </w:r>
      <w:r>
        <w:rPr>
          <w:rFonts w:ascii="宋体" w:hAnsi="宋体" w:cs="宋体" w:eastAsia="宋体" w:hint="ascii"/>
          <w:sz w:val="21"/>
          <w:spacing w:val="5"/>
        </w:rPr>
        <w:t>家</w:t>
      </w:r>
      <w:r>
        <w:rPr>
          <w:rFonts w:ascii="宋体" w:hAnsi="宋体" w:cs="宋体" w:eastAsia="宋体" w:hint="ascii"/>
          <w:sz w:val="21"/>
          <w:spacing w:val="6"/>
        </w:rPr>
        <w:t>重</w:t>
      </w:r>
      <w:r>
        <w:rPr>
          <w:rFonts w:ascii="宋体" w:hAnsi="宋体" w:cs="宋体" w:eastAsia="宋体" w:hint="ascii"/>
          <w:sz w:val="21"/>
          <w:spacing w:val="5"/>
        </w:rPr>
        <w:t>大</w:t>
      </w:r>
      <w:r>
        <w:rPr>
          <w:rFonts w:ascii="宋体" w:hAnsi="宋体" w:cs="宋体" w:eastAsia="宋体" w:hint="ascii"/>
          <w:sz w:val="21"/>
          <w:spacing w:val="6"/>
        </w:rPr>
        <w:t>需求</w:t>
      </w:r>
      <w:r>
        <w:rPr>
          <w:rFonts w:ascii="宋体" w:hAnsi="宋体" w:cs="宋体" w:eastAsia="宋体" w:hint="ascii"/>
          <w:sz w:val="21"/>
          <w:spacing w:val="5"/>
        </w:rPr>
        <w:t>，</w:t>
      </w:r>
      <w:r>
        <w:rPr>
          <w:rFonts w:ascii="宋体" w:hAnsi="宋体" w:cs="宋体" w:eastAsia="宋体" w:hint="ascii"/>
          <w:sz w:val="21"/>
          <w:spacing w:val="6"/>
        </w:rPr>
        <w:t>结</w:t>
      </w:r>
      <w:r>
        <w:rPr>
          <w:rFonts w:ascii="宋体" w:hAnsi="宋体" w:cs="宋体" w:eastAsia="宋体" w:hint="ascii"/>
          <w:sz w:val="21"/>
          <w:spacing w:val="5"/>
        </w:rPr>
        <w:t>合</w:t>
      </w:r>
      <w:r>
        <w:rPr>
          <w:rFonts w:ascii="宋体" w:hAnsi="宋体" w:cs="宋体" w:eastAsia="宋体" w:hint="ascii"/>
          <w:sz w:val="21"/>
          <w:spacing w:val="6"/>
        </w:rPr>
        <w:t>畜牧</w:t>
      </w:r>
      <w:r>
        <w:rPr>
          <w:rFonts w:ascii="宋体" w:hAnsi="宋体" w:cs="宋体" w:eastAsia="宋体" w:hint="ascii"/>
          <w:sz w:val="21"/>
          <w:spacing w:val="5"/>
        </w:rPr>
        <w:t>与</w:t>
      </w:r>
      <w:r>
        <w:rPr>
          <w:rFonts w:ascii="宋体" w:hAnsi="宋体" w:cs="宋体" w:eastAsia="宋体" w:hint="ascii"/>
          <w:sz w:val="21"/>
          <w:spacing w:val="6"/>
        </w:rPr>
        <w:t>草</w:t>
      </w:r>
      <w:r>
        <w:rPr>
          <w:rFonts w:ascii="宋体" w:hAnsi="宋体" w:cs="宋体" w:eastAsia="宋体" w:hint="ascii"/>
          <w:sz w:val="21"/>
          <w:spacing w:val="5"/>
        </w:rPr>
        <w:t>业</w:t>
      </w:r>
      <w:r>
        <w:rPr>
          <w:rFonts w:ascii="宋体" w:hAnsi="宋体" w:cs="宋体" w:eastAsia="宋体" w:hint="ascii"/>
          <w:sz w:val="21"/>
          <w:spacing w:val="6"/>
        </w:rPr>
        <w:t>生产</w:t>
      </w:r>
      <w:r>
        <w:rPr>
          <w:rFonts w:ascii="宋体" w:hAnsi="宋体" w:cs="宋体" w:eastAsia="宋体" w:hint="ascii"/>
          <w:sz w:val="21"/>
          <w:spacing w:val="5"/>
        </w:rPr>
        <w:t>实</w:t>
      </w:r>
      <w:r>
        <w:rPr>
          <w:rFonts w:ascii="宋体" w:hAnsi="宋体" w:cs="宋体" w:eastAsia="宋体" w:hint="ascii"/>
          <w:sz w:val="21"/>
          <w:spacing w:val="6"/>
        </w:rPr>
        <w:t>际</w:t>
      </w:r>
      <w:r>
        <w:rPr>
          <w:rFonts w:ascii="宋体" w:hAnsi="宋体" w:cs="宋体" w:eastAsia="宋体" w:hint="ascii"/>
          <w:sz w:val="21"/>
          <w:spacing w:val="5"/>
        </w:rPr>
        <w:t>，</w:t>
      </w:r>
      <w:r>
        <w:rPr>
          <w:rFonts w:ascii="宋体" w:hAnsi="宋体" w:cs="宋体" w:eastAsia="宋体" w:hint="ascii"/>
          <w:sz w:val="21"/>
          <w:spacing w:val="6"/>
        </w:rPr>
        <w:t>继续重</w:t>
      </w:r>
      <w:r>
        <w:rPr>
          <w:rFonts w:ascii="宋体" w:hAnsi="宋体" w:cs="宋体" w:eastAsia="宋体" w:hint="ascii"/>
          <w:sz w:val="21"/>
        </w:rPr>
        <w:t>视畜、禽、草、蚕和蜂资源在优异基因的发掘及良种培育相关重要科学问题的研究；加强畜禽种质资源、遗传育种、营养、繁殖及饲料与牧草高效生产与利用的基础研究。对畜禽环境、畜禽和蜂蚕行为与福利，牧草与饲料作物生理生化、牧草生产与加工，养蚕学和养蜂学等研究予以适当倾斜支持。鼓励申请人在原有工作基础上，开展原创性、系统性和连续性研究工作，对前期科学基金项目完成质量高的给予倾斜。</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本年度项目申请注意事项：①在本学科申请项目应以畜、禽、草、蚕和蜂等农业经</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济动物为研究</w:t>
      </w:r>
      <w:r>
        <w:rPr>
          <w:rFonts w:ascii="宋体" w:hAnsi="宋体" w:cs="宋体" w:eastAsia="宋体" w:hint="ascii"/>
          <w:sz w:val="21"/>
        </w:rPr>
        <w:t>对象，与其他学科的交叉不应该偏离上述研究主体，</w:t>
      </w:r>
      <w:r>
        <w:rPr>
          <w:rFonts w:ascii="宋体" w:hAnsi="宋体" w:cs="宋体" w:eastAsia="宋体" w:hint="ascii"/>
          <w:sz w:val="21"/>
        </w:rPr>
        <w:t>否则不予受理；</w:t>
      </w:r>
      <w:r>
        <w:rPr>
          <w:rFonts w:ascii="宋体" w:hAnsi="宋体" w:cs="宋体" w:eastAsia="宋体" w:hint="ascii"/>
          <w:sz w:val="21"/>
        </w:rPr>
        <w:t>②项目选题既要注重国内外最新研究进展，也要重视具有应用前景的基础性问题研究。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兽医学学科</w:t>
      </w:r>
    </w:p>
    <w:p>
      <w:pPr>
        <w:autoSpaceDE w:val="0"/>
        <w:autoSpaceDN w:val="0"/>
        <w:jc w:val="both"/>
        <w:spacing w:before="157"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兽医</w:t>
      </w:r>
      <w:r>
        <w:rPr>
          <w:rFonts w:ascii="宋体" w:hAnsi="宋体" w:cs="宋体" w:eastAsia="宋体" w:hint="ascii"/>
          <w:sz w:val="21"/>
          <w:spacing w:val="2"/>
        </w:rPr>
        <w:t>学</w:t>
      </w:r>
      <w:r>
        <w:rPr>
          <w:rFonts w:ascii="宋体" w:hAnsi="宋体" w:cs="宋体" w:eastAsia="宋体" w:hint="ascii"/>
          <w:sz w:val="21"/>
          <w:spacing w:val="1"/>
        </w:rPr>
        <w:t>是研究动</w:t>
      </w:r>
      <w:r>
        <w:rPr>
          <w:rFonts w:ascii="宋体" w:hAnsi="宋体" w:cs="宋体" w:eastAsia="宋体" w:hint="ascii"/>
          <w:sz w:val="21"/>
          <w:spacing w:val="2"/>
        </w:rPr>
        <w:t>物</w:t>
      </w:r>
      <w:r>
        <w:rPr>
          <w:rFonts w:ascii="宋体" w:hAnsi="宋体" w:cs="宋体" w:eastAsia="宋体" w:hint="ascii"/>
          <w:sz w:val="21"/>
          <w:spacing w:val="1"/>
        </w:rPr>
        <w:t>疾</w:t>
      </w:r>
      <w:r>
        <w:rPr>
          <w:rFonts w:ascii="宋体" w:hAnsi="宋体" w:cs="宋体" w:eastAsia="宋体" w:hint="ascii"/>
          <w:sz w:val="21"/>
        </w:rPr>
        <w:t>病发生</w:t>
      </w:r>
      <w:r>
        <w:rPr>
          <w:rFonts w:ascii="宋体" w:hAnsi="宋体" w:cs="宋体" w:eastAsia="宋体" w:hint="ascii"/>
          <w:sz w:val="21"/>
          <w:spacing w:val="1"/>
        </w:rPr>
        <w:t>、</w:t>
      </w:r>
      <w:r>
        <w:rPr>
          <w:rFonts w:ascii="宋体" w:hAnsi="宋体" w:cs="宋体" w:eastAsia="宋体" w:hint="ascii"/>
          <w:sz w:val="21"/>
        </w:rPr>
        <w:t>发展、诊</w:t>
      </w:r>
      <w:r>
        <w:rPr>
          <w:rFonts w:ascii="宋体" w:hAnsi="宋体" w:cs="宋体" w:eastAsia="宋体" w:hint="ascii"/>
          <w:sz w:val="21"/>
          <w:spacing w:val="1"/>
        </w:rPr>
        <w:t>断</w:t>
      </w:r>
      <w:r>
        <w:rPr>
          <w:rFonts w:ascii="宋体" w:hAnsi="宋体" w:cs="宋体" w:eastAsia="宋体" w:hint="ascii"/>
          <w:sz w:val="21"/>
        </w:rPr>
        <w:t>、预防和</w:t>
      </w:r>
      <w:r>
        <w:rPr>
          <w:rFonts w:ascii="宋体" w:hAnsi="宋体" w:cs="宋体" w:eastAsia="宋体" w:hint="ascii"/>
          <w:sz w:val="21"/>
          <w:spacing w:val="1"/>
        </w:rPr>
        <w:t>治</w:t>
      </w:r>
      <w:r>
        <w:rPr>
          <w:rFonts w:ascii="宋体" w:hAnsi="宋体" w:cs="宋体" w:eastAsia="宋体" w:hint="ascii"/>
          <w:sz w:val="21"/>
        </w:rPr>
        <w:t>疗的科学</w:t>
      </w:r>
      <w:r>
        <w:rPr>
          <w:rFonts w:ascii="宋体" w:hAnsi="宋体" w:cs="宋体" w:eastAsia="宋体" w:hint="ascii"/>
          <w:sz w:val="21"/>
          <w:spacing w:val="1"/>
        </w:rPr>
        <w:t>。</w:t>
      </w:r>
      <w:r>
        <w:rPr>
          <w:rFonts w:ascii="宋体" w:hAnsi="宋体" w:cs="宋体" w:eastAsia="宋体" w:hint="ascii"/>
          <w:sz w:val="21"/>
        </w:rPr>
        <w:t>研究涉及</w:t>
      </w:r>
      <w:r>
        <w:rPr>
          <w:rFonts w:ascii="宋体" w:hAnsi="宋体" w:cs="宋体" w:eastAsia="宋体" w:hint="ascii"/>
          <w:sz w:val="21"/>
          <w:spacing w:val="1"/>
        </w:rPr>
        <w:t>动</w:t>
      </w:r>
      <w:r>
        <w:rPr>
          <w:rFonts w:ascii="宋体" w:hAnsi="宋体" w:cs="宋体" w:eastAsia="宋体" w:hint="ascii"/>
          <w:sz w:val="21"/>
        </w:rPr>
        <w:t>物</w:t>
      </w:r>
      <w:r>
        <w:rPr>
          <w:rFonts w:ascii="宋体" w:hAnsi="宋体" w:cs="宋体" w:eastAsia="宋体" w:hint="ascii"/>
          <w:sz w:val="21"/>
          <w:spacing w:val="-6"/>
        </w:rPr>
        <w:t>疾</w:t>
      </w:r>
      <w:r>
        <w:rPr>
          <w:rFonts w:ascii="宋体" w:hAnsi="宋体" w:cs="宋体" w:eastAsia="宋体" w:hint="ascii"/>
          <w:sz w:val="21"/>
        </w:rPr>
        <w:t>病、人兽共患病、公共卫生、实验动物及兽药等领域，并形成了许多新的交叉学科。</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本学科以动物疾病为主要研究对象，支持动物传染病、人兽共患病、群发性普通病</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和比较医学的</w:t>
      </w:r>
      <w:r>
        <w:rPr>
          <w:rFonts w:ascii="宋体" w:hAnsi="宋体" w:cs="宋体" w:eastAsia="宋体" w:hint="ascii"/>
          <w:sz w:val="21"/>
        </w:rPr>
        <w:t>基础研究，资助范围包括：基础兽医学、兽医病理学、兽医免疫学、兽医寄生虫学、兽医传染病学、中兽医学、兽医药理学与毒理学和临床兽医学。</w:t>
      </w:r>
    </w:p>
    <w:p>
      <w:pPr>
        <w:autoSpaceDE w:val="0"/>
        <w:autoSpaceDN w:val="0"/>
        <w:jc w:val="left"/>
        <w:spacing w:before="0" w:after="0" w:lineRule="exact" w:line="290"/>
        <w:ind w:right="962" w:left="966" w:firstLine="420"/>
        <w:snapToGrid w:val="0"/>
        <w:textAlignment w:val="auto"/>
        <w:tabs>
          <w:tab w:val="left" w:leader="none" w:pos="1863"/>
        </w:tabs>
        <w:numPr>
          <w:ilvl w:val="0"/>
          <w:numId w:val="62"/>
        </w:numPr>
        <w:rPr>
          <w:rFonts w:ascii="Times New Roman" w:hAnsi="Times New Roman" w:cs="Times New Roman" w:eastAsia="Times New Roman" w:hint="ascii"/>
          <w:sz w:val="21"/>
          <w:spacing w:val="1"/>
        </w:rPr>
      </w:pPr>
      <w:r>
        <w:rPr>
          <w:rFonts w:ascii="宋体" w:hAnsi="宋体" w:cs="宋体" w:eastAsia="宋体" w:hint="ascii"/>
          <w:sz w:val="21"/>
        </w:rPr>
        <w:t>年度受理和资助的项目涉及学科的各个领域，其中兽医传染病学、基础兽医学、兽医药理学与毒理学和兽医免疫学等方向项目数量相对较多。部分项目申请能够瞄准本领域的国际前沿，注重选题的创新性，但是还存在着一些问题，如一些项目申请盲目跟踪国际研究热点，科学问题凝练有待提高；对兽医病理学、中兽医学等方面的基础研究重视不够。</w:t>
      </w:r>
    </w:p>
    <w:p>
      <w:pPr>
        <w:autoSpaceDE w:val="0"/>
        <w:autoSpaceDN w:val="0"/>
        <w:jc w:val="left"/>
        <w:spacing w:before="3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今后，本学科将继续鼓励重要动物疫病和人兽共患病的流行病学、病原生物学、感</w:t>
      </w:r>
    </w:p>
    <w:p>
      <w:pPr>
        <w:autoSpaceDE w:val="0"/>
        <w:autoSpaceDN w:val="0"/>
        <w:jc w:val="left"/>
        <w:spacing w:before="397"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染致病与</w:t>
      </w:r>
      <w:r>
        <w:rPr>
          <w:rFonts w:ascii="宋体" w:hAnsi="宋体" w:cs="宋体" w:eastAsia="宋体" w:hint="ascii"/>
          <w:sz w:val="21"/>
        </w:rPr>
        <w:t>免疫机制的研究，同时加强基础兽医学、动物非传染性疾病、兽医基础免疫学</w:t>
      </w:r>
      <w:r>
        <w:rPr>
          <w:rFonts w:ascii="宋体" w:hAnsi="宋体" w:cs="宋体" w:eastAsia="宋体" w:hint="ascii"/>
          <w:sz w:val="21"/>
          <w:spacing w:val="-1"/>
        </w:rPr>
        <w:t>和动物源</w:t>
      </w:r>
      <w:r>
        <w:rPr>
          <w:rFonts w:ascii="宋体" w:hAnsi="宋体" w:cs="宋体" w:eastAsia="宋体" w:hint="ascii"/>
          <w:sz w:val="21"/>
        </w:rPr>
        <w:t>性食品安全的相关研究，对兽医病理学、中兽医学等领域予以适度倾斜支持。</w:t>
      </w:r>
      <w:r>
        <w:rPr>
          <w:rFonts w:ascii="宋体" w:hAnsi="宋体" w:cs="宋体" w:eastAsia="宋体" w:hint="ascii"/>
          <w:sz w:val="21"/>
        </w:rPr>
        <mc:AlternateContent>
          <mc:Choice Requires="wps">
            <w:drawing>
              <wp:anchor distL="0" distR="0" distT="0" distB="0" simplePos="0" behindDoc="1" relativeHeight="96" locked="0" layoutInCell="1" allowOverlap="1">
                <wp:simplePos x="0" y="0"/>
                <wp:positionH relativeFrom="page">
                  <wp:posOffset>938530</wp:posOffset>
                </wp:positionH>
                <wp:positionV relativeFrom="page">
                  <wp:posOffset>805815</wp:posOffset>
                </wp:positionV>
                <wp:extent cx="5076190" cy="0"/>
                <wp:wrapNone/>
                <wp:docPr id="1124" name="112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59936;width:399.70pt;" id="112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966" w:firstLine="420"/>
        <w:snapToGrid w:val="0"/>
        <w:textAlignment w:val="auto"/>
        <w:tabs>
          <w:tab w:val="left" w:leader="none" w:pos="1863"/>
        </w:tabs>
        <w:numPr>
          <w:ilvl w:val="0"/>
          <w:numId w:val="62"/>
        </w:numPr>
        <w:rPr>
          <w:rFonts w:ascii="Times New Roman" w:hAnsi="Times New Roman" w:cs="Times New Roman" w:eastAsia="Times New Roman" w:hint="ascii"/>
          <w:sz w:val="21"/>
          <w:spacing w:val="1"/>
        </w:rPr>
      </w:pPr>
      <w:r>
        <w:rPr>
          <w:rFonts w:ascii="宋体" w:hAnsi="宋体" w:cs="宋体" w:eastAsia="宋体" w:hint="ascii"/>
          <w:sz w:val="21"/>
        </w:rPr>
        <w:t>年度本学科要求项目申请以防控动物疾病、保障动物健康和公共卫生安全为</w:t>
      </w:r>
    </w:p>
    <w:p>
      <w:pPr>
        <w:autoSpaceDE w:val="0"/>
        <w:autoSpaceDN w:val="0"/>
        <w:jc w:val="both"/>
        <w:spacing w:before="17"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目的，学</w:t>
      </w:r>
      <w:r>
        <w:rPr>
          <w:rFonts w:ascii="宋体" w:hAnsi="宋体" w:cs="宋体" w:eastAsia="宋体" w:hint="ascii"/>
          <w:sz w:val="21"/>
        </w:rPr>
        <w:t>科交叉的申请项目应该符合上述研究主体。鼓励围绕国家畜牧业需求和兽医学</w:t>
      </w:r>
      <w:r>
        <w:rPr>
          <w:rFonts w:ascii="宋体" w:hAnsi="宋体" w:cs="宋体" w:eastAsia="宋体" w:hint="ascii"/>
          <w:sz w:val="21"/>
          <w:spacing w:val="-1"/>
        </w:rPr>
        <w:t>科发展的</w:t>
      </w:r>
      <w:r>
        <w:rPr>
          <w:rFonts w:ascii="宋体" w:hAnsi="宋体" w:cs="宋体" w:eastAsia="宋体" w:hint="ascii"/>
          <w:sz w:val="21"/>
        </w:rPr>
        <w:t>需求，针对新发、再发和潜在的动物疫病开展研究。特别提示申请人注意，凡</w:t>
      </w:r>
      <w:r>
        <w:rPr>
          <w:rFonts w:ascii="宋体" w:hAnsi="宋体" w:cs="宋体" w:eastAsia="宋体" w:hint="ascii"/>
          <w:sz w:val="21"/>
          <w:spacing w:val="-1"/>
        </w:rPr>
        <w:t>涉及高致</w:t>
      </w:r>
      <w:r>
        <w:rPr>
          <w:rFonts w:ascii="宋体" w:hAnsi="宋体" w:cs="宋体" w:eastAsia="宋体" w:hint="ascii"/>
          <w:sz w:val="21"/>
        </w:rPr>
        <w:t>病性病原微生物操作的项目，必须严格遵守国家有关规定，具备相应的生物安全条件，方可申请。</w:t>
      </w:r>
    </w:p>
    <w:p>
      <w:pPr>
        <w:autoSpaceDE w:val="0"/>
        <w:autoSpaceDN w:val="0"/>
        <w:jc w:val="left"/>
        <w:spacing w:before="30"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本学科不受理有关水生动物、蜂、蚕病害方面的申请项目</w:t>
      </w:r>
      <w:r>
        <w:rPr>
          <w:rFonts w:ascii="宋体" w:hAnsi="宋体" w:cs="宋体" w:eastAsia="宋体" w:hint="ascii"/>
          <w:b w:val="1"/>
          <w:sz w:val="21"/>
        </w:rPr>
        <w:t>。</w:t>
      </w:r>
    </w:p>
    <w:p>
      <w:pPr>
        <w:autoSpaceDE w:val="0"/>
        <w:autoSpaceDN w:val="0"/>
        <w:jc w:val="left"/>
        <w:spacing w:before="141"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水产学学科</w:t>
      </w:r>
    </w:p>
    <w:p>
      <w:pPr>
        <w:autoSpaceDE w:val="0"/>
        <w:autoSpaceDN w:val="0"/>
        <w:jc w:val="both"/>
        <w:spacing w:before="126" w:after="0" w:lineRule="exact" w:line="293"/>
        <w:ind w:right="975"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水产学是</w:t>
      </w:r>
      <w:r>
        <w:rPr>
          <w:rFonts w:ascii="宋体" w:hAnsi="宋体" w:cs="宋体" w:eastAsia="宋体" w:hint="ascii"/>
          <w:sz w:val="21"/>
        </w:rPr>
        <w:t>研究水产生物的发育、生长、繁殖、遗传、生理、免疫等基本规律及养殖生态、养殖工程、营养与饲料、病害控制、资源保护与利用的学科。</w:t>
      </w:r>
    </w:p>
    <w:p>
      <w:pPr>
        <w:autoSpaceDE w:val="0"/>
        <w:autoSpaceDN w:val="0"/>
        <w:jc w:val="left"/>
        <w:spacing w:before="2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spacing w:val="3"/>
        </w:rPr>
        <w:t>本学</w:t>
      </w:r>
      <w:r>
        <w:rPr>
          <w:rFonts w:ascii="宋体" w:hAnsi="宋体" w:cs="宋体" w:eastAsia="宋体" w:hint="ascii"/>
          <w:sz w:val="21"/>
          <w:spacing w:val="4"/>
        </w:rPr>
        <w:t>科</w:t>
      </w:r>
      <w:r>
        <w:rPr>
          <w:rFonts w:ascii="宋体" w:hAnsi="宋体" w:cs="宋体" w:eastAsia="宋体" w:hint="ascii"/>
          <w:sz w:val="21"/>
          <w:spacing w:val="3"/>
        </w:rPr>
        <w:t>资助范围</w:t>
      </w:r>
      <w:r>
        <w:rPr>
          <w:rFonts w:ascii="宋体" w:hAnsi="宋体" w:cs="宋体" w:eastAsia="宋体" w:hint="ascii"/>
          <w:sz w:val="21"/>
          <w:spacing w:val="4"/>
        </w:rPr>
        <w:t>包</w:t>
      </w:r>
      <w:r>
        <w:rPr>
          <w:rFonts w:ascii="宋体" w:hAnsi="宋体" w:cs="宋体" w:eastAsia="宋体" w:hint="ascii"/>
          <w:sz w:val="21"/>
          <w:spacing w:val="3"/>
        </w:rPr>
        <w:t>括：水产</w:t>
      </w:r>
      <w:r>
        <w:rPr>
          <w:rFonts w:ascii="宋体" w:hAnsi="宋体" w:cs="宋体" w:eastAsia="宋体" w:hint="ascii"/>
          <w:sz w:val="21"/>
          <w:spacing w:val="4"/>
        </w:rPr>
        <w:t>基</w:t>
      </w:r>
      <w:r>
        <w:rPr>
          <w:rFonts w:ascii="宋体" w:hAnsi="宋体" w:cs="宋体" w:eastAsia="宋体" w:hint="ascii"/>
          <w:sz w:val="21"/>
          <w:spacing w:val="3"/>
        </w:rPr>
        <w:t>础生物学</w:t>
      </w:r>
      <w:r>
        <w:rPr>
          <w:rFonts w:ascii="宋体" w:hAnsi="宋体" w:cs="宋体" w:eastAsia="宋体" w:hint="ascii"/>
          <w:sz w:val="21"/>
          <w:spacing w:val="4"/>
        </w:rPr>
        <w:t>、</w:t>
      </w:r>
      <w:r>
        <w:rPr>
          <w:rFonts w:ascii="宋体" w:hAnsi="宋体" w:cs="宋体" w:eastAsia="宋体" w:hint="ascii"/>
          <w:sz w:val="21"/>
          <w:spacing w:val="3"/>
        </w:rPr>
        <w:t>水产生物</w:t>
      </w:r>
      <w:r>
        <w:rPr>
          <w:rFonts w:ascii="宋体" w:hAnsi="宋体" w:cs="宋体" w:eastAsia="宋体" w:hint="ascii"/>
          <w:sz w:val="21"/>
          <w:spacing w:val="4"/>
        </w:rPr>
        <w:t>遗</w:t>
      </w:r>
      <w:r>
        <w:rPr>
          <w:rFonts w:ascii="宋体" w:hAnsi="宋体" w:cs="宋体" w:eastAsia="宋体" w:hint="ascii"/>
          <w:sz w:val="21"/>
          <w:spacing w:val="3"/>
        </w:rPr>
        <w:t>传育种学</w:t>
      </w:r>
      <w:r>
        <w:rPr>
          <w:rFonts w:ascii="宋体" w:hAnsi="宋体" w:cs="宋体" w:eastAsia="宋体" w:hint="ascii"/>
          <w:sz w:val="21"/>
          <w:spacing w:val="4"/>
        </w:rPr>
        <w:t>、</w:t>
      </w:r>
      <w:r>
        <w:rPr>
          <w:rFonts w:ascii="宋体" w:hAnsi="宋体" w:cs="宋体" w:eastAsia="宋体" w:hint="ascii"/>
          <w:sz w:val="21"/>
          <w:spacing w:val="3"/>
        </w:rPr>
        <w:t>水产资源</w:t>
      </w:r>
      <w:r>
        <w:rPr>
          <w:rFonts w:ascii="宋体" w:hAnsi="宋体" w:cs="宋体" w:eastAsia="宋体" w:hint="ascii"/>
          <w:sz w:val="21"/>
          <w:spacing w:val="4"/>
        </w:rPr>
        <w:t>与</w:t>
      </w:r>
      <w:r>
        <w:rPr>
          <w:rFonts w:ascii="宋体" w:hAnsi="宋体" w:cs="宋体" w:eastAsia="宋体" w:hint="ascii"/>
          <w:sz w:val="21"/>
          <w:spacing w:val="3"/>
        </w:rPr>
        <w:t>保</w:t>
      </w:r>
      <w:r>
        <w:rPr>
          <w:rFonts w:ascii="宋体" w:hAnsi="宋体" w:cs="宋体" w:eastAsia="宋体" w:hint="ascii"/>
          <w:sz w:val="21"/>
        </w:rPr>
        <w:t>护</w:t>
      </w:r>
    </w:p>
    <w:p>
      <w:pPr>
        <w:autoSpaceDE w:val="0"/>
        <w:autoSpaceDN w:val="0"/>
        <w:jc w:val="both"/>
        <w:spacing w:before="5" w:after="0" w:lineRule="exact" w:line="293"/>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学、水产</w:t>
      </w:r>
      <w:r>
        <w:rPr>
          <w:rFonts w:ascii="宋体" w:hAnsi="宋体" w:cs="宋体" w:eastAsia="宋体" w:hint="ascii"/>
          <w:sz w:val="21"/>
        </w:rPr>
        <w:t>动物营养与饲料学、水产养殖学、水产生物免疫学与病害控制、养殖与渔业工程学、水产生物研究的新技术和新方法。</w:t>
      </w:r>
    </w:p>
    <w:p>
      <w:pPr>
        <w:autoSpaceDE w:val="0"/>
        <w:autoSpaceDN w:val="0"/>
        <w:jc w:val="left"/>
        <w:spacing w:before="39" w:after="0" w:lineRule="auto" w:line="240"/>
        <w:ind w:right="0" w:left="1864" w:hanging="478"/>
        <w:snapToGrid w:val="0"/>
        <w:textAlignment w:val="auto"/>
        <w:tabs>
          <w:tab w:val="left" w:leader="none" w:pos="1863"/>
        </w:tabs>
        <w:numPr>
          <w:ilvl w:val="0"/>
          <w:numId w:val="63"/>
        </w:numPr>
        <w:rPr>
          <w:rFonts w:ascii="Times New Roman" w:hAnsi="Times New Roman" w:cs="Times New Roman" w:eastAsia="Times New Roman" w:hint="ascii"/>
          <w:sz w:val="21"/>
          <w:spacing w:val="1"/>
        </w:rPr>
      </w:pPr>
      <w:r>
        <w:rPr>
          <w:rFonts w:ascii="宋体" w:hAnsi="宋体" w:cs="宋体" w:eastAsia="宋体" w:hint="ascii"/>
          <w:sz w:val="21"/>
        </w:rPr>
        <w:t>年度接收和资助项目较多的方向有水产生物免疫学与病害控制、水产基础生</w:t>
      </w:r>
    </w:p>
    <w:p>
      <w:pPr>
        <w:autoSpaceDE w:val="0"/>
        <w:autoSpaceDN w:val="0"/>
        <w:jc w:val="both"/>
        <w:spacing w:before="17"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物学、水</w:t>
      </w:r>
      <w:r>
        <w:rPr>
          <w:rFonts w:ascii="宋体" w:hAnsi="宋体" w:cs="宋体" w:eastAsia="宋体" w:hint="ascii"/>
          <w:sz w:val="21"/>
        </w:rPr>
        <w:t>产动物营养与饲料学、水产生物遗传育种学和水产资源与保护学；在水产生物</w:t>
      </w:r>
      <w:r>
        <w:rPr>
          <w:rFonts w:ascii="宋体" w:hAnsi="宋体" w:cs="宋体" w:eastAsia="宋体" w:hint="ascii"/>
          <w:sz w:val="21"/>
          <w:spacing w:val="1"/>
        </w:rPr>
        <w:t>的重要经济性状、水产</w:t>
      </w:r>
      <w:r>
        <w:rPr>
          <w:rFonts w:ascii="宋体" w:hAnsi="宋体" w:cs="宋体" w:eastAsia="宋体" w:hint="ascii"/>
          <w:sz w:val="21"/>
        </w:rPr>
        <w:t>动物重要病原的分子特征和致病机理等方面开展比较深入的</w:t>
      </w:r>
      <w:r>
        <w:rPr>
          <w:rFonts w:ascii="宋体" w:hAnsi="宋体" w:cs="宋体" w:eastAsia="宋体" w:hint="ascii"/>
          <w:sz w:val="21"/>
          <w:spacing w:val="-6"/>
        </w:rPr>
        <w:t>研</w:t>
      </w:r>
      <w:r>
        <w:rPr>
          <w:rFonts w:ascii="宋体" w:hAnsi="宋体" w:cs="宋体" w:eastAsia="宋体" w:hint="ascii"/>
          <w:sz w:val="21"/>
          <w:spacing w:val="-1"/>
        </w:rPr>
        <w:t>究，在若</w:t>
      </w:r>
      <w:r>
        <w:rPr>
          <w:rFonts w:ascii="宋体" w:hAnsi="宋体" w:cs="宋体" w:eastAsia="宋体" w:hint="ascii"/>
          <w:sz w:val="21"/>
        </w:rPr>
        <w:t>干方向形成了研究特色和优势。从项目申请和评审情况来看，总体上学术思想</w:t>
      </w:r>
      <w:r>
        <w:rPr>
          <w:rFonts w:ascii="宋体" w:hAnsi="宋体" w:cs="宋体" w:eastAsia="宋体" w:hint="ascii"/>
          <w:sz w:val="21"/>
          <w:spacing w:val="-1"/>
        </w:rPr>
        <w:t>的创新性</w:t>
      </w:r>
      <w:r>
        <w:rPr>
          <w:rFonts w:ascii="宋体" w:hAnsi="宋体" w:cs="宋体" w:eastAsia="宋体" w:hint="ascii"/>
          <w:sz w:val="21"/>
        </w:rPr>
        <w:t>有所提高。然而，围绕水产学重要科学问题的原创性项目尚少，对具体科学问题的凝练和阐述能力有待提高。</w:t>
      </w:r>
    </w:p>
    <w:p>
      <w:pPr>
        <w:autoSpaceDE w:val="0"/>
        <w:autoSpaceDN w:val="0"/>
        <w:jc w:val="left"/>
        <w:spacing w:before="40" w:after="0" w:lineRule="auto" w:line="240"/>
        <w:ind w:right="0" w:left="1864" w:hanging="478"/>
        <w:snapToGrid w:val="0"/>
        <w:textAlignment w:val="auto"/>
        <w:tabs>
          <w:tab w:val="left" w:leader="none" w:pos="1863"/>
        </w:tabs>
        <w:numPr>
          <w:ilvl w:val="0"/>
          <w:numId w:val="63"/>
        </w:numPr>
        <w:rPr>
          <w:rFonts w:ascii="Times New Roman" w:hAnsi="Times New Roman" w:cs="Times New Roman" w:eastAsia="Times New Roman" w:hint="ascii"/>
          <w:sz w:val="21"/>
          <w:spacing w:val="1"/>
        </w:rPr>
      </w:pPr>
      <w:r>
        <w:rPr>
          <w:rFonts w:ascii="宋体" w:hAnsi="宋体" w:cs="宋体" w:eastAsia="宋体" w:hint="ascii"/>
          <w:sz w:val="21"/>
        </w:rPr>
        <w:t>年度希望申请人立足本学科研究领域，把握国内外最新研究动态，结合已有</w:t>
      </w:r>
    </w:p>
    <w:p>
      <w:pPr>
        <w:autoSpaceDE w:val="0"/>
        <w:autoSpaceDN w:val="0"/>
        <w:jc w:val="both"/>
        <w:spacing w:before="17"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的工作基础，开展原创</w:t>
      </w:r>
      <w:r>
        <w:rPr>
          <w:rFonts w:ascii="宋体" w:hAnsi="宋体" w:cs="宋体" w:eastAsia="宋体" w:hint="ascii"/>
          <w:sz w:val="21"/>
        </w:rPr>
        <w:t>性的研究。避免盲目强调新技术手段而忽视关键科学问题的</w:t>
      </w:r>
      <w:r>
        <w:rPr>
          <w:rFonts w:ascii="宋体" w:hAnsi="宋体" w:cs="宋体" w:eastAsia="宋体" w:hint="ascii"/>
          <w:sz w:val="21"/>
          <w:spacing w:val="-6"/>
        </w:rPr>
        <w:t>凝</w:t>
      </w:r>
      <w:r>
        <w:rPr>
          <w:rFonts w:ascii="宋体" w:hAnsi="宋体" w:cs="宋体" w:eastAsia="宋体" w:hint="ascii"/>
          <w:sz w:val="21"/>
          <w:spacing w:val="-1"/>
        </w:rPr>
        <w:t>练；以模</w:t>
      </w:r>
      <w:r>
        <w:rPr>
          <w:rFonts w:ascii="宋体" w:hAnsi="宋体" w:cs="宋体" w:eastAsia="宋体" w:hint="ascii"/>
          <w:sz w:val="21"/>
        </w:rPr>
        <w:t>式生物为对象的研究，应立足于解析水产学科的科学问题。本学科鼓励以水产</w:t>
      </w:r>
      <w:r>
        <w:rPr>
          <w:rFonts w:ascii="宋体" w:hAnsi="宋体" w:cs="宋体" w:eastAsia="宋体" w:hint="ascii"/>
          <w:sz w:val="21"/>
          <w:spacing w:val="-1"/>
        </w:rPr>
        <w:t>学研究为</w:t>
      </w:r>
      <w:r>
        <w:rPr>
          <w:rFonts w:ascii="宋体" w:hAnsi="宋体" w:cs="宋体" w:eastAsia="宋体" w:hint="ascii"/>
          <w:sz w:val="21"/>
        </w:rPr>
        <w:t>主体的交叉与合作研究，充分发挥地域和资源优势、加强人才培养。今后，本</w:t>
      </w:r>
      <w:r>
        <w:rPr>
          <w:rFonts w:ascii="宋体" w:hAnsi="宋体" w:cs="宋体" w:eastAsia="宋体" w:hint="ascii"/>
          <w:sz w:val="21"/>
          <w:spacing w:val="-1"/>
        </w:rPr>
        <w:t>学科将继</w:t>
      </w:r>
      <w:r>
        <w:rPr>
          <w:rFonts w:ascii="宋体" w:hAnsi="宋体" w:cs="宋体" w:eastAsia="宋体" w:hint="ascii"/>
          <w:sz w:val="21"/>
        </w:rPr>
        <w:t>续鼓励研究养殖对象重要经济性状的遗传规律与基因功能、重要水产病原的流</w:t>
      </w:r>
      <w:r>
        <w:rPr>
          <w:rFonts w:ascii="宋体" w:hAnsi="宋体" w:cs="宋体" w:eastAsia="宋体" w:hint="ascii"/>
          <w:sz w:val="21"/>
          <w:spacing w:val="-1"/>
        </w:rPr>
        <w:t>行病学和</w:t>
      </w:r>
      <w:r>
        <w:rPr>
          <w:rFonts w:ascii="宋体" w:hAnsi="宋体" w:cs="宋体" w:eastAsia="宋体" w:hint="ascii"/>
          <w:sz w:val="21"/>
        </w:rPr>
        <w:t>致病机理、宿主免疫与疾病防治、主要水产养殖生物繁殖与发育的分子基础和</w:t>
      </w:r>
      <w:r>
        <w:rPr>
          <w:rFonts w:ascii="宋体" w:hAnsi="宋体" w:cs="宋体" w:eastAsia="宋体" w:hint="ascii"/>
          <w:sz w:val="21"/>
          <w:spacing w:val="-1"/>
        </w:rPr>
        <w:t>调控机理</w:t>
      </w:r>
      <w:r>
        <w:rPr>
          <w:rFonts w:ascii="宋体" w:hAnsi="宋体" w:cs="宋体" w:eastAsia="宋体" w:hint="ascii"/>
          <w:sz w:val="21"/>
        </w:rPr>
        <w:t>以及水产动物营养物质利用和代谢调控机制。适度倾斜资助经济藻类生物学、</w:t>
      </w:r>
      <w:r>
        <w:rPr>
          <w:rFonts w:ascii="宋体" w:hAnsi="宋体" w:cs="宋体" w:eastAsia="宋体" w:hint="ascii"/>
          <w:sz w:val="21"/>
          <w:spacing w:val="-1"/>
        </w:rPr>
        <w:t>水产养殖</w:t>
      </w:r>
      <w:r>
        <w:rPr>
          <w:rFonts w:ascii="宋体" w:hAnsi="宋体" w:cs="宋体" w:eastAsia="宋体" w:hint="ascii"/>
          <w:sz w:val="21"/>
        </w:rPr>
        <w:t>与环境的相互作用、水产资源养护、养殖新模式和新技术等方面的基础研究。</w:t>
      </w:r>
    </w:p>
    <w:p>
      <w:pPr>
        <w:autoSpaceDE w:val="0"/>
        <w:autoSpaceDN w:val="0"/>
        <w:jc w:val="left"/>
        <w:spacing w:before="180"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地球科学部</w:t>
      </w:r>
    </w:p>
    <w:p>
      <w:pPr>
        <w:autoSpaceDE w:val="0"/>
        <w:autoSpaceDN w:val="0"/>
        <w:jc w:val="both"/>
        <w:spacing w:before="278" w:after="0" w:lineRule="exact" w:line="312"/>
        <w:ind w:right="975"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地球科学主要研究行星地球系统的形成和演化，</w:t>
      </w:r>
      <w:r>
        <w:rPr>
          <w:rFonts w:ascii="宋体" w:hAnsi="宋体" w:cs="宋体" w:eastAsia="宋体" w:hint="ascii"/>
          <w:sz w:val="21"/>
          <w:spacing w:val="-1"/>
        </w:rPr>
        <w:t>主要包括地理学、地质学、地球化</w:t>
      </w:r>
      <w:r>
        <w:rPr>
          <w:rFonts w:ascii="宋体" w:hAnsi="宋体" w:cs="宋体" w:eastAsia="宋体" w:hint="ascii"/>
          <w:sz w:val="21"/>
        </w:rPr>
        <w:t xml:space="preserve"> </w:t>
      </w:r>
      <w:r>
        <w:rPr>
          <w:rFonts w:ascii="宋体" w:hAnsi="宋体" w:cs="宋体" w:eastAsia="宋体" w:hint="ascii"/>
          <w:sz w:val="21"/>
          <w:spacing w:val="-1"/>
        </w:rPr>
        <w:t>学、地球</w:t>
      </w:r>
      <w:r>
        <w:rPr>
          <w:rFonts w:ascii="宋体" w:hAnsi="宋体" w:cs="宋体" w:eastAsia="宋体" w:hint="ascii"/>
          <w:sz w:val="21"/>
        </w:rPr>
        <w:t>物理学和空间物理学、大气科学和海洋科学等分支学科及环境地球科学等相关的交叉学科。</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上述分支学科是地球科学的核心与基础。地球科学部通过面上项目的资助促进地球</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科学各学</w:t>
      </w:r>
      <w:r>
        <w:rPr>
          <w:rFonts w:ascii="宋体" w:hAnsi="宋体" w:cs="宋体" w:eastAsia="宋体" w:hint="ascii"/>
          <w:sz w:val="21"/>
        </w:rPr>
        <w:t>科均衡、协调和可持续发展，推动各学科的创新性研究和新兴领域的发展；激励原</w:t>
      </w:r>
      <w:r>
        <w:rPr>
          <w:rFonts w:ascii="宋体" w:hAnsi="宋体" w:cs="宋体" w:eastAsia="宋体" w:hint="ascii"/>
          <w:sz w:val="21"/>
          <w:spacing w:val="-1"/>
        </w:rPr>
        <w:t>始</w:t>
      </w:r>
      <w:r>
        <w:rPr>
          <w:rFonts w:ascii="宋体" w:hAnsi="宋体" w:cs="宋体" w:eastAsia="宋体" w:hint="ascii"/>
          <w:sz w:val="21"/>
        </w:rPr>
        <w:t>创</w:t>
      </w:r>
      <w:r>
        <w:rPr>
          <w:rFonts w:ascii="宋体" w:hAnsi="宋体" w:cs="宋体" w:eastAsia="宋体" w:hint="ascii"/>
          <w:sz w:val="21"/>
          <w:spacing w:val="-1"/>
        </w:rPr>
        <w:t>新</w:t>
      </w:r>
      <w:r>
        <w:rPr>
          <w:rFonts w:ascii="宋体" w:hAnsi="宋体" w:cs="宋体" w:eastAsia="宋体" w:hint="ascii"/>
          <w:sz w:val="21"/>
        </w:rPr>
        <w:t>，拓</w:t>
      </w:r>
      <w:r>
        <w:rPr>
          <w:rFonts w:ascii="宋体" w:hAnsi="宋体" w:cs="宋体" w:eastAsia="宋体" w:hint="ascii"/>
          <w:sz w:val="21"/>
          <w:spacing w:val="-1"/>
        </w:rPr>
        <w:t>展</w:t>
      </w:r>
      <w:r>
        <w:rPr>
          <w:rFonts w:ascii="宋体" w:hAnsi="宋体" w:cs="宋体" w:eastAsia="宋体" w:hint="ascii"/>
          <w:sz w:val="21"/>
        </w:rPr>
        <w:t>科</w:t>
      </w:r>
      <w:r>
        <w:rPr>
          <w:rFonts w:ascii="宋体" w:hAnsi="宋体" w:cs="宋体" w:eastAsia="宋体" w:hint="ascii"/>
          <w:sz w:val="21"/>
          <w:spacing w:val="-1"/>
        </w:rPr>
        <w:t>学</w:t>
      </w:r>
      <w:r>
        <w:rPr>
          <w:rFonts w:ascii="宋体" w:hAnsi="宋体" w:cs="宋体" w:eastAsia="宋体" w:hint="ascii"/>
          <w:sz w:val="21"/>
        </w:rPr>
        <w:t>前沿</w:t>
      </w:r>
      <w:r>
        <w:rPr>
          <w:rFonts w:ascii="宋体" w:hAnsi="宋体" w:cs="宋体" w:eastAsia="宋体" w:hint="ascii"/>
          <w:sz w:val="21"/>
          <w:spacing w:val="-1"/>
        </w:rPr>
        <w:t>，</w:t>
      </w:r>
      <w:r>
        <w:rPr>
          <w:rFonts w:ascii="宋体" w:hAnsi="宋体" w:cs="宋体" w:eastAsia="宋体" w:hint="ascii"/>
          <w:sz w:val="21"/>
        </w:rPr>
        <w:t>为</w:t>
      </w:r>
      <w:r>
        <w:rPr>
          <w:rFonts w:ascii="宋体" w:hAnsi="宋体" w:cs="宋体" w:eastAsia="宋体" w:hint="ascii"/>
          <w:sz w:val="21"/>
          <w:spacing w:val="-1"/>
        </w:rPr>
        <w:t>学</w:t>
      </w:r>
      <w:r>
        <w:rPr>
          <w:rFonts w:ascii="宋体" w:hAnsi="宋体" w:cs="宋体" w:eastAsia="宋体" w:hint="ascii"/>
          <w:sz w:val="21"/>
        </w:rPr>
        <w:t>科发</w:t>
      </w:r>
      <w:r>
        <w:rPr>
          <w:rFonts w:ascii="宋体" w:hAnsi="宋体" w:cs="宋体" w:eastAsia="宋体" w:hint="ascii"/>
          <w:sz w:val="21"/>
          <w:spacing w:val="-1"/>
        </w:rPr>
        <w:t>展</w:t>
      </w:r>
      <w:r>
        <w:rPr>
          <w:rFonts w:ascii="宋体" w:hAnsi="宋体" w:cs="宋体" w:eastAsia="宋体" w:hint="ascii"/>
          <w:sz w:val="21"/>
        </w:rPr>
        <w:t>打</w:t>
      </w:r>
      <w:r>
        <w:rPr>
          <w:rFonts w:ascii="宋体" w:hAnsi="宋体" w:cs="宋体" w:eastAsia="宋体" w:hint="ascii"/>
          <w:sz w:val="21"/>
          <w:spacing w:val="-1"/>
        </w:rPr>
        <w:t>下</w:t>
      </w:r>
      <w:r>
        <w:rPr>
          <w:rFonts w:ascii="宋体" w:hAnsi="宋体" w:cs="宋体" w:eastAsia="宋体" w:hint="ascii"/>
          <w:sz w:val="21"/>
        </w:rPr>
        <w:t>全面</w:t>
      </w:r>
      <w:r>
        <w:rPr>
          <w:rFonts w:ascii="宋体" w:hAnsi="宋体" w:cs="宋体" w:eastAsia="宋体" w:hint="ascii"/>
          <w:sz w:val="21"/>
          <w:spacing w:val="-1"/>
        </w:rPr>
        <w:t>而</w:t>
      </w:r>
      <w:r>
        <w:rPr>
          <w:rFonts w:ascii="宋体" w:hAnsi="宋体" w:cs="宋体" w:eastAsia="宋体" w:hint="ascii"/>
          <w:sz w:val="21"/>
        </w:rPr>
        <w:t>厚</w:t>
      </w:r>
      <w:r>
        <w:rPr>
          <w:rFonts w:ascii="宋体" w:hAnsi="宋体" w:cs="宋体" w:eastAsia="宋体" w:hint="ascii"/>
          <w:sz w:val="21"/>
          <w:spacing w:val="-1"/>
        </w:rPr>
        <w:t>实</w:t>
      </w:r>
      <w:r>
        <w:rPr>
          <w:rFonts w:ascii="宋体" w:hAnsi="宋体" w:cs="宋体" w:eastAsia="宋体" w:hint="ascii"/>
          <w:sz w:val="21"/>
        </w:rPr>
        <w:t>的基</w:t>
      </w:r>
      <w:r>
        <w:rPr>
          <w:rFonts w:ascii="宋体" w:hAnsi="宋体" w:cs="宋体" w:eastAsia="宋体" w:hint="ascii"/>
          <w:sz w:val="21"/>
          <w:spacing w:val="-1"/>
        </w:rPr>
        <w:t>础</w:t>
      </w:r>
      <w:r>
        <w:rPr>
          <w:rFonts w:ascii="宋体" w:hAnsi="宋体" w:cs="宋体" w:eastAsia="宋体" w:hint="ascii"/>
          <w:sz w:val="21"/>
        </w:rPr>
        <w:t>。</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年度地</w:t>
      </w:r>
      <w:r>
        <w:rPr>
          <w:rFonts w:ascii="宋体" w:hAnsi="宋体" w:cs="宋体" w:eastAsia="宋体" w:hint="ascii"/>
          <w:sz w:val="21"/>
          <w:spacing w:val="-1"/>
        </w:rPr>
        <w:t>球</w:t>
      </w:r>
      <w:r>
        <w:rPr>
          <w:rFonts w:ascii="宋体" w:hAnsi="宋体" w:cs="宋体" w:eastAsia="宋体" w:hint="ascii"/>
          <w:sz w:val="21"/>
        </w:rPr>
        <w:t>科</w:t>
      </w:r>
      <w:r>
        <w:rPr>
          <w:rFonts w:ascii="宋体" w:hAnsi="宋体" w:cs="宋体" w:eastAsia="宋体" w:hint="ascii"/>
          <w:sz w:val="21"/>
          <w:spacing w:val="-4"/>
        </w:rPr>
        <w:t>学</w:t>
      </w:r>
      <w:r>
        <w:rPr>
          <w:rFonts w:ascii="宋体" w:hAnsi="宋体" w:cs="宋体" w:eastAsia="宋体" w:hint="ascii"/>
          <w:sz w:val="21"/>
          <w:spacing w:val="7"/>
        </w:rPr>
        <w:t>部共接收面上项</w:t>
      </w:r>
      <w:r>
        <w:rPr>
          <w:rFonts w:ascii="宋体" w:hAnsi="宋体" w:cs="宋体" w:eastAsia="宋体" w:hint="ascii"/>
          <w:sz w:val="21"/>
          <w:spacing w:val="8"/>
        </w:rPr>
        <w:t>目申</w:t>
      </w:r>
      <w:r>
        <w:rPr>
          <w:rFonts w:ascii="宋体" w:hAnsi="宋体" w:cs="宋体" w:eastAsia="宋体" w:hint="ascii"/>
          <w:sz w:val="21"/>
        </w:rPr>
        <w:t>请</w:t>
      </w:r>
      <w:r>
        <w:rPr>
          <w:rFonts w:ascii="宋体" w:hAnsi="宋体" w:cs="宋体" w:eastAsia="宋体" w:hint="ascii"/>
          <w:sz w:val="21"/>
          <w:spacing w:val="-19"/>
        </w:rPr>
        <w:t xml:space="preserve"> </w:t>
      </w:r>
      <w:r>
        <w:rPr>
          <w:rFonts w:ascii="Times New Roman" w:hAnsi="Times New Roman" w:cs="Times New Roman" w:eastAsia="Times New Roman" w:hint="ascii"/>
          <w:sz w:val="21"/>
        </w:rPr>
        <w:t>6 272</w:t>
      </w:r>
      <w:r>
        <w:rPr>
          <w:rFonts w:ascii="Times New Roman" w:hAnsi="Times New Roman" w:cs="Times New Roman" w:eastAsia="Times New Roman" w:hint="ascii"/>
          <w:sz w:val="21"/>
          <w:spacing w:val="8"/>
        </w:rPr>
        <w:t xml:space="preserve"> </w:t>
      </w:r>
      <w:r>
        <w:rPr>
          <w:rFonts w:ascii="宋体" w:hAnsi="宋体" w:cs="宋体" w:eastAsia="宋体" w:hint="ascii"/>
          <w:sz w:val="21"/>
          <w:spacing w:val="8"/>
        </w:rPr>
        <w:t>项，申请单</w:t>
      </w:r>
      <w:r>
        <w:rPr>
          <w:rFonts w:ascii="宋体" w:hAnsi="宋体" w:cs="宋体" w:eastAsia="宋体" w:hint="ascii"/>
          <w:sz w:val="21"/>
        </w:rPr>
        <w:t>位</w:t>
      </w:r>
      <w:r>
        <w:rPr>
          <w:rFonts w:ascii="宋体" w:hAnsi="宋体" w:cs="宋体" w:eastAsia="宋体" w:hint="ascii"/>
          <w:sz w:val="21"/>
          <w:spacing w:val="-18"/>
        </w:rPr>
        <w:t xml:space="preserve"> </w:t>
      </w:r>
      <w:r>
        <w:rPr>
          <w:rFonts w:ascii="Times New Roman" w:hAnsi="Times New Roman" w:cs="Times New Roman" w:eastAsia="Times New Roman" w:hint="ascii"/>
          <w:sz w:val="21"/>
        </w:rPr>
        <w:t>697</w:t>
      </w:r>
      <w:r>
        <w:rPr>
          <w:rFonts w:ascii="Times New Roman" w:hAnsi="Times New Roman" w:cs="Times New Roman" w:eastAsia="Times New Roman" w:hint="ascii"/>
          <w:sz w:val="21"/>
          <w:spacing w:val="-18"/>
        </w:rPr>
        <w:t xml:space="preserve"> </w:t>
      </w:r>
      <w:r>
        <w:rPr>
          <w:rFonts w:ascii="宋体" w:hAnsi="宋体" w:cs="宋体" w:eastAsia="宋体" w:hint="ascii"/>
          <w:sz w:val="21"/>
          <w:spacing w:val="8"/>
        </w:rPr>
        <w:t>个；资</w:t>
      </w:r>
      <w:r>
        <w:rPr>
          <w:rFonts w:ascii="宋体" w:hAnsi="宋体" w:cs="宋体" w:eastAsia="宋体" w:hint="ascii"/>
          <w:sz w:val="21"/>
        </w:rPr>
        <w:t>助</w:t>
      </w:r>
      <w:r>
        <w:rPr>
          <w:rFonts w:ascii="宋体" w:hAnsi="宋体" w:cs="宋体" w:eastAsia="宋体" w:hint="ascii"/>
          <w:sz w:val="21"/>
          <w:spacing w:val="-18"/>
        </w:rPr>
        <w:t xml:space="preserve"> </w:t>
      </w:r>
      <w:r>
        <w:rPr>
          <w:rFonts w:ascii="Times New Roman" w:hAnsi="Times New Roman" w:cs="Times New Roman" w:eastAsia="Times New Roman" w:hint="ascii"/>
          <w:sz w:val="21"/>
        </w:rPr>
        <w:t>1 683</w:t>
      </w:r>
      <w:r>
        <w:rPr>
          <w:rFonts w:ascii="Times New Roman" w:hAnsi="Times New Roman" w:cs="Times New Roman" w:eastAsia="Times New Roman" w:hint="ascii"/>
          <w:sz w:val="21"/>
          <w:spacing w:val="-19"/>
        </w:rPr>
        <w:t xml:space="preserve"> </w:t>
      </w:r>
      <w:r>
        <w:rPr>
          <w:rFonts w:ascii="宋体" w:hAnsi="宋体" w:cs="宋体" w:eastAsia="宋体" w:hint="ascii"/>
          <w:sz w:val="21"/>
          <w:spacing w:val="8"/>
        </w:rPr>
        <w:t>项，资助直接费</w:t>
      </w:r>
      <w:r>
        <w:rPr>
          <w:rFonts w:ascii="宋体" w:hAnsi="宋体" w:cs="宋体" w:eastAsia="宋体" w:hint="ascii"/>
          <w:sz w:val="21"/>
        </w:rPr>
        <w:t>用</w:t>
      </w:r>
    </w:p>
    <w:p>
      <w:pPr>
        <w:autoSpaceDE w:val="0"/>
        <w:autoSpaceDN w:val="0"/>
        <w:jc w:val="left"/>
        <w:spacing w:before="45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62"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13 070</w:t>
      </w:r>
      <w:r>
        <w:rPr>
          <w:rFonts w:ascii="Times New Roman" w:hAnsi="Times New Roman" w:cs="Times New Roman" w:eastAsia="Times New Roman" w:hint="ascii"/>
          <w:sz w:val="21"/>
          <w:spacing w:val="-26"/>
        </w:rPr>
        <w:t xml:space="preserve"> </w:t>
      </w:r>
      <w:r>
        <w:rPr>
          <w:rFonts w:ascii="宋体" w:hAnsi="宋体" w:cs="宋体" w:eastAsia="宋体" w:hint="ascii"/>
          <w:sz w:val="21"/>
        </w:rPr>
        <w:t>万元，直接费用平均资助强度</w:t>
      </w:r>
      <w:r>
        <w:rPr>
          <w:rFonts w:ascii="宋体" w:hAnsi="宋体" w:cs="宋体" w:eastAsia="宋体" w:hint="ascii"/>
          <w:sz w:val="21"/>
          <w:spacing w:val="-26"/>
        </w:rPr>
        <w:t xml:space="preserve"> </w:t>
      </w:r>
      <w:r>
        <w:rPr>
          <w:rFonts w:ascii="Times New Roman" w:hAnsi="Times New Roman" w:cs="Times New Roman" w:eastAsia="Times New Roman" w:hint="ascii"/>
          <w:sz w:val="21"/>
        </w:rPr>
        <w:t>67.18</w:t>
      </w:r>
      <w:r>
        <w:rPr>
          <w:rFonts w:ascii="Times New Roman" w:hAnsi="Times New Roman" w:cs="Times New Roman" w:eastAsia="Times New Roman" w:hint="ascii"/>
          <w:sz w:val="21"/>
          <w:spacing w:val="-26"/>
        </w:rPr>
        <w:t xml:space="preserve"> </w:t>
      </w:r>
      <w:r>
        <w:rPr>
          <w:rFonts w:ascii="宋体" w:hAnsi="宋体" w:cs="宋体" w:eastAsia="宋体" w:hint="ascii"/>
          <w:sz w:val="21"/>
        </w:rPr>
        <w:t>万元</w:t>
      </w:r>
      <w:r>
        <w:rPr>
          <w:rFonts w:ascii="Times New Roman" w:hAnsi="Times New Roman" w:cs="Times New Roman" w:eastAsia="Times New Roman" w:hint="ascii"/>
          <w:sz w:val="21"/>
          <w:spacing w:val="5"/>
        </w:rPr>
        <w:t>/</w:t>
      </w:r>
      <w:r>
        <w:rPr>
          <w:rFonts w:ascii="宋体" w:hAnsi="宋体" w:cs="宋体" w:eastAsia="宋体" w:hint="ascii"/>
          <w:sz w:val="21"/>
        </w:rPr>
        <w:t>项，资助率</w:t>
      </w:r>
      <w:r>
        <w:rPr>
          <w:rFonts w:ascii="宋体" w:hAnsi="宋体" w:cs="宋体" w:eastAsia="宋体" w:hint="ascii"/>
          <w:sz w:val="21"/>
          <w:spacing w:val="-26"/>
        </w:rPr>
        <w:t xml:space="preserve"> </w:t>
      </w:r>
      <w:r>
        <w:rPr>
          <w:rFonts w:ascii="Times New Roman" w:hAnsi="Times New Roman" w:cs="Times New Roman" w:eastAsia="Times New Roman" w:hint="ascii"/>
          <w:sz w:val="21"/>
        </w:rPr>
        <w:t>26.83%</w:t>
      </w:r>
      <w:r>
        <w:rPr>
          <w:rFonts w:ascii="宋体" w:hAnsi="宋体" w:cs="宋体" w:eastAsia="宋体" w:hint="ascii"/>
          <w:sz w:val="21"/>
        </w:rPr>
        <w:t>。</w:t>
      </w:r>
      <w:r>
        <w:rPr>
          <w:rFonts w:ascii="Times New Roman" w:hAnsi="Times New Roman" w:cs="Times New Roman" w:eastAsia="Times New Roman" w:hint="ascii"/>
          <w:sz w:val="21"/>
        </w:rPr>
        <w:t xml:space="preserve">2017 </w:t>
      </w:r>
      <w:r>
        <w:rPr>
          <w:rFonts w:ascii="宋体" w:hAnsi="宋体" w:cs="宋体" w:eastAsia="宋体" w:hint="ascii"/>
          <w:sz w:val="21"/>
        </w:rPr>
        <w:t>年度资助 的面上项目中，高等学校承担</w:t>
      </w:r>
      <w:r>
        <w:rPr>
          <w:rFonts w:ascii="宋体" w:hAnsi="宋体" w:cs="宋体" w:eastAsia="宋体" w:hint="ascii"/>
          <w:sz w:val="21"/>
          <w:spacing w:val="-8"/>
        </w:rPr>
        <w:t>了</w:t>
      </w:r>
      <w:r>
        <w:rPr>
          <w:rFonts w:ascii="宋体" w:hAnsi="宋体" w:cs="宋体" w:eastAsia="宋体" w:hint="ascii"/>
          <w:sz w:val="21"/>
          <w:spacing w:val="-25"/>
        </w:rPr>
        <w:t xml:space="preserve"> </w:t>
      </w:r>
      <w:r>
        <w:rPr>
          <w:rFonts w:ascii="Times New Roman" w:hAnsi="Times New Roman" w:cs="Times New Roman" w:eastAsia="Times New Roman" w:hint="ascii"/>
          <w:sz w:val="21"/>
        </w:rPr>
        <w:t>997</w:t>
      </w:r>
      <w:r>
        <w:rPr>
          <w:rFonts w:ascii="Times New Roman" w:hAnsi="Times New Roman" w:cs="Times New Roman" w:eastAsia="Times New Roman" w:hint="ascii"/>
          <w:sz w:val="21"/>
          <w:spacing w:val="-26"/>
        </w:rPr>
        <w:t xml:space="preserve"> </w:t>
      </w:r>
      <w:r>
        <w:rPr>
          <w:rFonts w:ascii="宋体" w:hAnsi="宋体" w:cs="宋体" w:eastAsia="宋体" w:hint="ascii"/>
          <w:sz w:val="21"/>
        </w:rPr>
        <w:t>项，</w:t>
      </w:r>
      <w:r>
        <w:rPr>
          <w:rFonts w:ascii="宋体" w:hAnsi="宋体" w:cs="宋体" w:eastAsia="宋体" w:hint="ascii"/>
          <w:sz w:val="21"/>
          <w:spacing w:val="-8"/>
        </w:rPr>
        <w:t>占</w:t>
      </w:r>
      <w:r>
        <w:rPr>
          <w:rFonts w:ascii="宋体" w:hAnsi="宋体" w:cs="宋体" w:eastAsia="宋体" w:hint="ascii"/>
          <w:sz w:val="21"/>
        </w:rPr>
        <w:t xml:space="preserve"> </w:t>
      </w:r>
      <w:r>
        <w:rPr>
          <w:rFonts w:ascii="Times New Roman" w:hAnsi="Times New Roman" w:cs="Times New Roman" w:eastAsia="Times New Roman" w:hint="ascii"/>
          <w:sz w:val="21"/>
        </w:rPr>
        <w:t>59.24</w:t>
      </w:r>
      <w:r>
        <w:rPr>
          <w:rFonts w:ascii="Times New Roman" w:hAnsi="Times New Roman" w:cs="Times New Roman" w:eastAsia="Times New Roman" w:hint="ascii"/>
          <w:sz w:val="21"/>
          <w:spacing w:val="16"/>
        </w:rPr>
        <w:t>%</w:t>
      </w:r>
      <w:r>
        <w:rPr>
          <w:rFonts w:ascii="宋体" w:hAnsi="宋体" w:cs="宋体" w:eastAsia="宋体" w:hint="ascii"/>
          <w:sz w:val="21"/>
        </w:rPr>
        <w:t>，科研院所承担</w:t>
      </w:r>
      <w:r>
        <w:rPr>
          <w:rFonts w:ascii="宋体" w:hAnsi="宋体" w:cs="宋体" w:eastAsia="宋体" w:hint="ascii"/>
          <w:sz w:val="21"/>
          <w:spacing w:val="-8"/>
        </w:rPr>
        <w:t>了</w:t>
      </w:r>
      <w:r>
        <w:rPr>
          <w:rFonts w:ascii="宋体" w:hAnsi="宋体" w:cs="宋体" w:eastAsia="宋体" w:hint="ascii"/>
          <w:sz w:val="21"/>
          <w:spacing w:val="-26"/>
        </w:rPr>
        <w:t xml:space="preserve"> </w:t>
      </w:r>
      <w:r>
        <w:rPr>
          <w:rFonts w:ascii="Times New Roman" w:hAnsi="Times New Roman" w:cs="Times New Roman" w:eastAsia="Times New Roman" w:hint="ascii"/>
          <w:sz w:val="21"/>
        </w:rPr>
        <w:t>661</w:t>
      </w:r>
      <w:r>
        <w:rPr>
          <w:rFonts w:ascii="Times New Roman" w:hAnsi="Times New Roman" w:cs="Times New Roman" w:eastAsia="Times New Roman" w:hint="ascii"/>
          <w:sz w:val="21"/>
          <w:spacing w:val="-26"/>
        </w:rPr>
        <w:t xml:space="preserve"> </w:t>
      </w:r>
      <w:r>
        <w:rPr>
          <w:rFonts w:ascii="宋体" w:hAnsi="宋体" w:cs="宋体" w:eastAsia="宋体" w:hint="ascii"/>
          <w:sz w:val="21"/>
        </w:rPr>
        <w:t>项，</w:t>
      </w:r>
      <w:r>
        <w:rPr>
          <w:rFonts w:ascii="宋体" w:hAnsi="宋体" w:cs="宋体" w:eastAsia="宋体" w:hint="ascii"/>
          <w:sz w:val="21"/>
          <w:spacing w:val="-16"/>
        </w:rPr>
        <w:t>占</w:t>
      </w:r>
      <w:r>
        <w:rPr>
          <w:rFonts w:ascii="Times New Roman" w:hAnsi="Times New Roman" w:cs="Times New Roman" w:eastAsia="Times New Roman" w:hint="ascii"/>
          <w:sz w:val="21"/>
        </w:rPr>
        <w:t>39.28%</w:t>
      </w:r>
      <w:r>
        <w:rPr>
          <w:rFonts w:ascii="宋体" w:hAnsi="宋体" w:cs="宋体" w:eastAsia="宋体" w:hint="ascii"/>
          <w:sz w:val="21"/>
        </w:rPr>
        <w:t>；</w:t>
      </w:r>
      <w:r>
        <w:rPr>
          <w:rFonts w:ascii="Times New Roman" w:hAnsi="Times New Roman" w:cs="Times New Roman" w:eastAsia="Times New Roman" w:hint="ascii"/>
          <w:sz w:val="21"/>
        </w:rPr>
        <w:t>45</w:t>
      </w:r>
      <w:r>
        <w:rPr>
          <w:rFonts w:ascii="Times New Roman" w:hAnsi="Times New Roman" w:cs="Times New Roman" w:eastAsia="Times New Roman" w:hint="ascii"/>
          <w:sz w:val="21"/>
          <w:spacing w:val="-25"/>
        </w:rPr>
        <w:t xml:space="preserve"> </w:t>
      </w:r>
      <w:r>
        <w:rPr>
          <w:rFonts w:ascii="宋体" w:hAnsi="宋体" w:cs="宋体" w:eastAsia="宋体" w:hint="ascii"/>
          <w:sz w:val="21"/>
        </w:rPr>
        <w:t>岁以下科研人员承担项目</w:t>
      </w:r>
      <w:r>
        <w:rPr>
          <w:rFonts w:ascii="宋体" w:hAnsi="宋体" w:cs="宋体" w:eastAsia="宋体" w:hint="ascii"/>
          <w:sz w:val="21"/>
          <w:spacing w:val="-25"/>
        </w:rPr>
        <w:t xml:space="preserve"> </w:t>
      </w:r>
      <w:r>
        <w:rPr>
          <w:rFonts w:ascii="Times New Roman" w:hAnsi="Times New Roman" w:cs="Times New Roman" w:eastAsia="Times New Roman" w:hint="ascii"/>
          <w:sz w:val="21"/>
        </w:rPr>
        <w:t xml:space="preserve">1 182 </w:t>
      </w:r>
      <w:r>
        <w:rPr>
          <w:rFonts w:ascii="宋体" w:hAnsi="宋体" w:cs="宋体" w:eastAsia="宋体" w:hint="ascii"/>
          <w:sz w:val="21"/>
        </w:rPr>
        <w:t>项，占项目负责人总数的</w:t>
      </w:r>
      <w:r>
        <w:rPr>
          <w:rFonts w:ascii="宋体" w:hAnsi="宋体" w:cs="宋体" w:eastAsia="宋体" w:hint="ascii"/>
          <w:sz w:val="21"/>
          <w:spacing w:val="-25"/>
        </w:rPr>
        <w:t xml:space="preserve"> </w:t>
      </w:r>
      <w:r>
        <w:rPr>
          <w:rFonts w:ascii="Times New Roman" w:hAnsi="Times New Roman" w:cs="Times New Roman" w:eastAsia="Times New Roman" w:hint="ascii"/>
          <w:sz w:val="21"/>
        </w:rPr>
        <w:t>70.23%</w:t>
      </w:r>
      <w:r>
        <w:rPr>
          <w:rFonts w:ascii="宋体" w:hAnsi="宋体" w:cs="宋体" w:eastAsia="宋体" w:hint="ascii"/>
          <w:sz w:val="21"/>
        </w:rPr>
        <w:t>；跨科学</w:t>
      </w:r>
      <w:r>
        <w:rPr>
          <w:rFonts w:ascii="宋体" w:hAnsi="宋体" w:cs="宋体" w:eastAsia="宋体" w:hint="ascii"/>
          <w:sz w:val="21"/>
        </w:rPr>
        <mc:AlternateContent>
          <mc:Choice Requires="wps">
            <w:drawing>
              <wp:anchor distL="0" distR="0" distT="0" distB="0" simplePos="0" behindDoc="1" relativeHeight="97" locked="0" layoutInCell="1" allowOverlap="1">
                <wp:simplePos x="0" y="0"/>
                <wp:positionH relativeFrom="page">
                  <wp:posOffset>938530</wp:posOffset>
                </wp:positionH>
                <wp:positionV relativeFrom="page">
                  <wp:posOffset>819150</wp:posOffset>
                </wp:positionV>
                <wp:extent cx="5076190" cy="0"/>
                <wp:wrapNone/>
                <wp:docPr id="1125" name="112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58912;width:399.70pt;" id="112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部交叉项</w:t>
      </w:r>
      <w:r>
        <w:rPr>
          <w:rFonts w:ascii="宋体" w:hAnsi="宋体" w:cs="宋体" w:eastAsia="宋体" w:hint="ascii"/>
          <w:sz w:val="21"/>
          <w:spacing w:val="26"/>
        </w:rPr>
        <w:t>目</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rPr>
        <w:t>项，科学部内学科交叉项目所占的比例更高。对一些探索性强、有创新性但具有较大风险或不确定因素的项目，设立小额探索项目，给予</w:t>
      </w:r>
      <w:r>
        <w:rPr>
          <w:rFonts w:ascii="宋体" w:hAnsi="宋体" w:cs="宋体" w:eastAsia="宋体" w:hint="ascii"/>
          <w:sz w:val="21"/>
          <w:spacing w:val="-2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6"/>
        </w:rPr>
        <w:t xml:space="preserve"> </w:t>
      </w:r>
      <w:r>
        <w:rPr>
          <w:rFonts w:ascii="宋体" w:hAnsi="宋体" w:cs="宋体" w:eastAsia="宋体" w:hint="ascii"/>
          <w:sz w:val="21"/>
        </w:rPr>
        <w:t>年资助，</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年度共资助小额探索项</w:t>
      </w:r>
      <w:r>
        <w:rPr>
          <w:rFonts w:ascii="宋体" w:hAnsi="宋体" w:cs="宋体" w:eastAsia="宋体" w:hint="ascii"/>
          <w:sz w:val="21"/>
          <w:spacing w:val="26"/>
        </w:rPr>
        <w:t>目</w:t>
      </w:r>
      <w:r>
        <w:rPr>
          <w:rFonts w:ascii="Times New Roman" w:hAnsi="Times New Roman" w:cs="Times New Roman" w:eastAsia="Times New Roman" w:hint="ascii"/>
          <w:sz w:val="21"/>
          <w:spacing w:val="52"/>
        </w:rPr>
        <w:t>9</w:t>
      </w:r>
      <w:r>
        <w:rPr>
          <w:rFonts w:ascii="宋体" w:hAnsi="宋体" w:cs="宋体" w:eastAsia="宋体" w:hint="ascii"/>
          <w:sz w:val="21"/>
        </w:rPr>
        <w:t>项，资助直接费</w:t>
      </w:r>
      <w:r>
        <w:rPr>
          <w:rFonts w:ascii="宋体" w:hAnsi="宋体" w:cs="宋体" w:eastAsia="宋体" w:hint="ascii"/>
          <w:sz w:val="21"/>
          <w:spacing w:val="26"/>
        </w:rPr>
        <w:t>用</w:t>
      </w:r>
      <w:r>
        <w:rPr>
          <w:rFonts w:ascii="Times New Roman" w:hAnsi="Times New Roman" w:cs="Times New Roman" w:eastAsia="Times New Roman" w:hint="ascii"/>
          <w:sz w:val="21"/>
        </w:rPr>
        <w:t>18</w:t>
      </w:r>
      <w:r>
        <w:rPr>
          <w:rFonts w:ascii="Times New Roman" w:hAnsi="Times New Roman" w:cs="Times New Roman" w:eastAsia="Times New Roman" w:hint="ascii"/>
          <w:sz w:val="21"/>
          <w:spacing w:val="52"/>
        </w:rPr>
        <w:t>0</w:t>
      </w:r>
      <w:r>
        <w:rPr>
          <w:rFonts w:ascii="宋体" w:hAnsi="宋体" w:cs="宋体" w:eastAsia="宋体" w:hint="ascii"/>
          <w:sz w:val="21"/>
        </w:rPr>
        <w:t>万元。</w:t>
      </w:r>
    </w:p>
    <w:p>
      <w:pPr>
        <w:autoSpaceDE w:val="0"/>
        <w:autoSpaceDN w:val="0"/>
        <w:jc w:val="left"/>
        <w:spacing w:before="40" w:after="0" w:lineRule="auto" w:line="240"/>
        <w:ind w:right="0" w:left="1864" w:hanging="478"/>
        <w:snapToGrid w:val="0"/>
        <w:textAlignment w:val="auto"/>
        <w:tabs>
          <w:tab w:val="left" w:leader="none" w:pos="1863"/>
        </w:tabs>
        <w:numPr>
          <w:ilvl w:val="0"/>
          <w:numId w:val="58"/>
        </w:numPr>
        <w:rPr>
          <w:rFonts w:ascii="Times New Roman" w:hAnsi="Times New Roman" w:cs="Times New Roman" w:eastAsia="Times New Roman" w:hint="ascii"/>
          <w:sz w:val="21"/>
          <w:spacing w:val="1"/>
        </w:rPr>
      </w:pPr>
      <w:r>
        <w:rPr>
          <w:rFonts w:ascii="宋体" w:hAnsi="宋体" w:cs="宋体" w:eastAsia="宋体" w:hint="ascii"/>
          <w:sz w:val="21"/>
        </w:rPr>
        <w:t>年度，面上项目仍然根据以下方面进行遴选</w:t>
      </w:r>
      <w:r>
        <w:rPr>
          <w:rFonts w:ascii="宋体" w:hAnsi="宋体" w:cs="宋体" w:eastAsia="宋体" w:hint="ascii"/>
          <w:sz w:val="21"/>
          <w:spacing w:val="3"/>
        </w:rPr>
        <w:t>：</w:t>
      </w:r>
      <w:r>
        <w:rPr>
          <w:rFonts w:ascii="宋体" w:hAnsi="宋体" w:cs="宋体" w:eastAsia="宋体" w:hint="ascii"/>
          <w:sz w:val="21"/>
        </w:rPr>
        <w:t>①</w:t>
      </w:r>
      <w:r>
        <w:rPr>
          <w:rFonts w:ascii="宋体" w:hAnsi="宋体" w:cs="宋体" w:eastAsia="宋体" w:hint="ascii"/>
          <w:sz w:val="21"/>
        </w:rPr>
        <w:t>项目的创新性和学术价值；</w:t>
      </w:r>
    </w:p>
    <w:p>
      <w:pPr>
        <w:autoSpaceDE w:val="0"/>
        <w:autoSpaceDN w:val="0"/>
        <w:jc w:val="left"/>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②</w:t>
      </w:r>
      <w:r>
        <w:rPr>
          <w:rFonts w:ascii="宋体" w:hAnsi="宋体" w:cs="宋体" w:eastAsia="宋体" w:hint="ascii"/>
          <w:sz w:val="21"/>
        </w:rPr>
        <w:t>申请人的研究能力；</w:t>
      </w:r>
      <w:r>
        <w:rPr>
          <w:rFonts w:ascii="宋体" w:hAnsi="宋体" w:cs="宋体" w:eastAsia="宋体" w:hint="ascii"/>
          <w:sz w:val="21"/>
        </w:rPr>
        <w:t>③</w:t>
      </w:r>
      <w:r>
        <w:rPr>
          <w:rFonts w:ascii="宋体" w:hAnsi="宋体" w:cs="宋体" w:eastAsia="宋体" w:hint="ascii"/>
          <w:sz w:val="21"/>
        </w:rPr>
        <w:t>项目构思是否科学，是否有明确的科学问题；</w:t>
      </w:r>
      <w:r>
        <w:rPr>
          <w:rFonts w:ascii="宋体" w:hAnsi="宋体" w:cs="宋体" w:eastAsia="宋体" w:hint="ascii"/>
          <w:sz w:val="21"/>
        </w:rPr>
        <w:t>④</w:t>
      </w:r>
      <w:r>
        <w:rPr>
          <w:rFonts w:ascii="宋体" w:hAnsi="宋体" w:cs="宋体" w:eastAsia="宋体" w:hint="ascii"/>
          <w:sz w:val="21"/>
        </w:rPr>
        <w:t>是否具备必要</w:t>
      </w:r>
      <w:r>
        <w:rPr>
          <w:rFonts w:ascii="宋体" w:hAnsi="宋体" w:cs="宋体" w:eastAsia="宋体" w:hint="ascii"/>
          <w:sz w:val="21"/>
          <w:spacing w:val="3"/>
        </w:rPr>
        <w:t>的研究基</w:t>
      </w:r>
      <w:r>
        <w:rPr>
          <w:rFonts w:ascii="宋体" w:hAnsi="宋体" w:cs="宋体" w:eastAsia="宋体" w:hint="ascii"/>
          <w:sz w:val="21"/>
        </w:rPr>
        <w:t>础</w:t>
      </w:r>
      <w:r>
        <w:rPr>
          <w:rFonts w:ascii="宋体" w:hAnsi="宋体" w:cs="宋体" w:eastAsia="宋体" w:hint="ascii"/>
          <w:sz w:val="21"/>
          <w:spacing w:val="3"/>
        </w:rPr>
        <w:t>与条件。</w:t>
      </w:r>
      <w:r>
        <w:rPr>
          <w:rFonts w:ascii="宋体" w:hAnsi="宋体" w:cs="宋体" w:eastAsia="宋体" w:hint="ascii"/>
          <w:sz w:val="21"/>
        </w:rPr>
        <w:t>项</w:t>
      </w:r>
      <w:r>
        <w:rPr>
          <w:rFonts w:ascii="宋体" w:hAnsi="宋体" w:cs="宋体" w:eastAsia="宋体" w:hint="ascii"/>
          <w:sz w:val="21"/>
          <w:spacing w:val="3"/>
        </w:rPr>
        <w:t>目遴选时</w:t>
      </w:r>
      <w:r>
        <w:rPr>
          <w:rFonts w:ascii="宋体" w:hAnsi="宋体" w:cs="宋体" w:eastAsia="宋体" w:hint="ascii"/>
          <w:sz w:val="21"/>
        </w:rPr>
        <w:t>，</w:t>
      </w:r>
      <w:r>
        <w:rPr>
          <w:rFonts w:ascii="宋体" w:hAnsi="宋体" w:cs="宋体" w:eastAsia="宋体" w:hint="ascii"/>
          <w:sz w:val="21"/>
          <w:spacing w:val="3"/>
        </w:rPr>
        <w:t>高度重视</w:t>
      </w:r>
      <w:r>
        <w:rPr>
          <w:rFonts w:ascii="宋体" w:hAnsi="宋体" w:cs="宋体" w:eastAsia="宋体" w:hint="ascii"/>
          <w:sz w:val="21"/>
        </w:rPr>
        <w:t>基</w:t>
      </w:r>
      <w:r>
        <w:rPr>
          <w:rFonts w:ascii="宋体" w:hAnsi="宋体" w:cs="宋体" w:eastAsia="宋体" w:hint="ascii"/>
          <w:sz w:val="21"/>
          <w:spacing w:val="3"/>
        </w:rPr>
        <w:t>础学科或</w:t>
      </w:r>
      <w:r>
        <w:rPr>
          <w:rFonts w:ascii="宋体" w:hAnsi="宋体" w:cs="宋体" w:eastAsia="宋体" w:hint="ascii"/>
          <w:sz w:val="21"/>
        </w:rPr>
        <w:t>传</w:t>
      </w:r>
      <w:r>
        <w:rPr>
          <w:rFonts w:ascii="宋体" w:hAnsi="宋体" w:cs="宋体" w:eastAsia="宋体" w:hint="ascii"/>
          <w:sz w:val="21"/>
          <w:spacing w:val="3"/>
        </w:rPr>
        <w:t>统学科，</w:t>
      </w:r>
      <w:r>
        <w:rPr>
          <w:rFonts w:ascii="宋体" w:hAnsi="宋体" w:cs="宋体" w:eastAsia="宋体" w:hint="ascii"/>
          <w:sz w:val="21"/>
        </w:rPr>
        <w:t>关</w:t>
      </w:r>
      <w:r>
        <w:rPr>
          <w:rFonts w:ascii="宋体" w:hAnsi="宋体" w:cs="宋体" w:eastAsia="宋体" w:hint="ascii"/>
          <w:sz w:val="21"/>
          <w:spacing w:val="3"/>
        </w:rPr>
        <w:t>注基本数据</w:t>
      </w:r>
      <w:r>
        <w:rPr>
          <w:rFonts w:ascii="宋体" w:hAnsi="宋体" w:cs="宋体" w:eastAsia="宋体" w:hint="ascii"/>
          <w:sz w:val="21"/>
          <w:spacing w:val="4"/>
        </w:rPr>
        <w:t>的</w:t>
      </w:r>
      <w:r>
        <w:rPr>
          <w:rFonts w:ascii="宋体" w:hAnsi="宋体" w:cs="宋体" w:eastAsia="宋体" w:hint="ascii"/>
          <w:sz w:val="21"/>
        </w:rPr>
        <w:t>积累。加强前沿性、基础性分支学科的发展，鼓励学科之间的交叉和渗透融合，保持我国优势学科和领域的国际地位，切实加强薄弱学科或</w:t>
      </w:r>
      <w:r>
        <w:rPr>
          <w:rFonts w:ascii="宋体" w:hAnsi="宋体" w:cs="宋体" w:eastAsia="宋体" w:hint="ascii"/>
          <w:sz w:val="21"/>
        </w:rPr>
        <w:t>“</w:t>
      </w:r>
      <w:r>
        <w:rPr>
          <w:rFonts w:ascii="宋体" w:hAnsi="宋体" w:cs="宋体" w:eastAsia="宋体" w:hint="ascii"/>
          <w:sz w:val="21"/>
        </w:rPr>
        <w:t>濒危</w:t>
      </w:r>
      <w:r>
        <w:rPr>
          <w:rFonts w:ascii="宋体" w:hAnsi="宋体" w:cs="宋体" w:eastAsia="宋体" w:hint="ascii"/>
          <w:sz w:val="21"/>
        </w:rPr>
        <w:t>”</w:t>
      </w:r>
      <w:r>
        <w:rPr>
          <w:rFonts w:ascii="宋体" w:hAnsi="宋体" w:cs="宋体" w:eastAsia="宋体" w:hint="ascii"/>
          <w:sz w:val="21"/>
        </w:rPr>
        <w:t>学科，促进我国相对薄弱但属国际主流领域的发展，扶持与实验、观测、数据集成和模拟密切相关的分支学科的发展，重视地球科学与其他学科的交叉。在倡导创新的同时，注重研究工作的积累。对以往研究工作中已有好的研究积累，近期完成质量较高的面上项目，如申请延续研究，在</w:t>
      </w:r>
      <w:r>
        <w:rPr>
          <w:rFonts w:ascii="宋体" w:hAnsi="宋体" w:cs="宋体" w:eastAsia="宋体" w:hint="ascii"/>
          <w:sz w:val="21"/>
          <w:spacing w:val="3"/>
        </w:rPr>
        <w:t>同等条件</w:t>
      </w:r>
      <w:r>
        <w:rPr>
          <w:rFonts w:ascii="宋体" w:hAnsi="宋体" w:cs="宋体" w:eastAsia="宋体" w:hint="ascii"/>
          <w:sz w:val="21"/>
        </w:rPr>
        <w:t>下</w:t>
      </w:r>
      <w:r>
        <w:rPr>
          <w:rFonts w:ascii="宋体" w:hAnsi="宋体" w:cs="宋体" w:eastAsia="宋体" w:hint="ascii"/>
          <w:sz w:val="21"/>
          <w:spacing w:val="3"/>
        </w:rPr>
        <w:t>给予优先</w:t>
      </w:r>
      <w:r>
        <w:rPr>
          <w:rFonts w:ascii="宋体" w:hAnsi="宋体" w:cs="宋体" w:eastAsia="宋体" w:hint="ascii"/>
          <w:sz w:val="21"/>
        </w:rPr>
        <w:t>资</w:t>
      </w:r>
      <w:r>
        <w:rPr>
          <w:rFonts w:ascii="宋体" w:hAnsi="宋体" w:cs="宋体" w:eastAsia="宋体" w:hint="ascii"/>
          <w:sz w:val="21"/>
          <w:spacing w:val="3"/>
        </w:rPr>
        <w:t>助；要求</w:t>
      </w:r>
      <w:r>
        <w:rPr>
          <w:rFonts w:ascii="宋体" w:hAnsi="宋体" w:cs="宋体" w:eastAsia="宋体" w:hint="ascii"/>
          <w:sz w:val="21"/>
        </w:rPr>
        <w:t>申</w:t>
      </w:r>
      <w:r>
        <w:rPr>
          <w:rFonts w:ascii="宋体" w:hAnsi="宋体" w:cs="宋体" w:eastAsia="宋体" w:hint="ascii"/>
          <w:sz w:val="21"/>
          <w:spacing w:val="3"/>
        </w:rPr>
        <w:t>请书论述</w:t>
      </w:r>
      <w:r>
        <w:rPr>
          <w:rFonts w:ascii="宋体" w:hAnsi="宋体" w:cs="宋体" w:eastAsia="宋体" w:hint="ascii"/>
          <w:sz w:val="21"/>
        </w:rPr>
        <w:t>与</w:t>
      </w:r>
      <w:r>
        <w:rPr>
          <w:rFonts w:ascii="宋体" w:hAnsi="宋体" w:cs="宋体" w:eastAsia="宋体" w:hint="ascii"/>
          <w:sz w:val="21"/>
          <w:spacing w:val="3"/>
        </w:rPr>
        <w:t>已完成项</w:t>
      </w:r>
      <w:r>
        <w:rPr>
          <w:rFonts w:ascii="宋体" w:hAnsi="宋体" w:cs="宋体" w:eastAsia="宋体" w:hint="ascii"/>
          <w:sz w:val="21"/>
        </w:rPr>
        <w:t>目</w:t>
      </w:r>
      <w:r>
        <w:rPr>
          <w:rFonts w:ascii="宋体" w:hAnsi="宋体" w:cs="宋体" w:eastAsia="宋体" w:hint="ascii"/>
          <w:sz w:val="21"/>
          <w:spacing w:val="3"/>
        </w:rPr>
        <w:t>的关系。</w:t>
      </w:r>
      <w:r>
        <w:rPr>
          <w:rFonts w:ascii="宋体" w:hAnsi="宋体" w:cs="宋体" w:eastAsia="宋体" w:hint="ascii"/>
          <w:sz w:val="21"/>
        </w:rPr>
        <w:t>尊</w:t>
      </w:r>
      <w:r>
        <w:rPr>
          <w:rFonts w:ascii="宋体" w:hAnsi="宋体" w:cs="宋体" w:eastAsia="宋体" w:hint="ascii"/>
          <w:sz w:val="21"/>
          <w:spacing w:val="3"/>
        </w:rPr>
        <w:t>重基础研究</w:t>
      </w:r>
      <w:r>
        <w:rPr>
          <w:rFonts w:ascii="宋体" w:hAnsi="宋体" w:cs="宋体" w:eastAsia="宋体" w:hint="ascii"/>
          <w:sz w:val="21"/>
          <w:spacing w:val="4"/>
        </w:rPr>
        <w:t>探</w:t>
      </w:r>
      <w:r>
        <w:rPr>
          <w:rFonts w:ascii="宋体" w:hAnsi="宋体" w:cs="宋体" w:eastAsia="宋体" w:hint="ascii"/>
          <w:sz w:val="21"/>
        </w:rPr>
        <w:t>索性、不可预见性和长期性的特点，特别关注高风险性、交叉和科学前沿研究。鼓励科学家勇于面对最具挑战性的科学问题，开展高风险的探索性研究。</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年度面上项目的直接费用平均资助强度与上一年度基本持平。</w:t>
      </w:r>
    </w:p>
    <w:p>
      <w:pPr>
        <w:autoSpaceDE w:val="0"/>
        <w:autoSpaceDN w:val="0"/>
        <w:jc w:val="both"/>
        <w:spacing w:before="0" w:after="0" w:lineRule="exact" w:line="300"/>
        <w:ind w:right="962" w:left="966" w:firstLine="422"/>
        <w:snapToGrid w:val="0"/>
        <w:textAlignment w:val="auto"/>
        <w:tabs/>
        <w:rPr>
          <w:rFonts w:ascii="宋体" w:hAnsi="宋体" w:cs="宋体" w:eastAsia="宋体" w:hint="ascii"/>
          <w:b w:val="1"/>
          <w:sz w:val="21"/>
        </w:rPr>
      </w:pPr>
      <w:r>
        <w:rPr>
          <w:rFonts w:ascii="Times New Roman" w:hAnsi="Times New Roman" w:cs="Times New Roman" w:eastAsia="Times New Roman" w:hint="ascii"/>
          <w:b w:val="1"/>
          <w:sz w:val="21"/>
          <w:spacing w:val="1"/>
        </w:rPr>
        <w:t>2</w:t>
      </w:r>
      <w:r>
        <w:rPr>
          <w:rFonts w:ascii="Times New Roman" w:hAnsi="Times New Roman" w:cs="Times New Roman" w:eastAsia="Times New Roman" w:hint="ascii"/>
          <w:b w:val="1"/>
          <w:sz w:val="21"/>
          <w:spacing w:val="-1"/>
        </w:rPr>
        <w:t>0</w:t>
      </w:r>
      <w:r>
        <w:rPr>
          <w:rFonts w:ascii="Times New Roman" w:hAnsi="Times New Roman" w:cs="Times New Roman" w:eastAsia="Times New Roman" w:hint="ascii"/>
          <w:b w:val="1"/>
          <w:sz w:val="21"/>
          <w:spacing w:val="1"/>
        </w:rPr>
        <w:t>1</w:t>
      </w:r>
      <w:r>
        <w:rPr>
          <w:rFonts w:ascii="Times New Roman" w:hAnsi="Times New Roman" w:cs="Times New Roman" w:eastAsia="Times New Roman" w:hint="ascii"/>
          <w:b w:val="1"/>
          <w:sz w:val="21"/>
        </w:rPr>
        <w:t>8</w:t>
      </w:r>
      <w:r>
        <w:rPr>
          <w:rFonts w:ascii="Times New Roman" w:hAnsi="Times New Roman" w:cs="Times New Roman" w:eastAsia="Times New Roman" w:hint="ascii"/>
          <w:b w:val="1"/>
          <w:sz w:val="21"/>
          <w:spacing w:val="-24"/>
        </w:rPr>
        <w:t xml:space="preserve"> </w:t>
      </w:r>
      <w:r>
        <w:rPr>
          <w:rFonts w:ascii="宋体" w:hAnsi="宋体" w:cs="宋体" w:eastAsia="宋体" w:hint="ascii"/>
          <w:sz w:val="21"/>
        </w:rPr>
        <w:t>年度，地球科学部对学科结构进行了调整，以强化对环境地球科学的支持</w:t>
      </w:r>
      <w:r>
        <w:rPr>
          <w:rFonts w:ascii="宋体" w:hAnsi="宋体" w:cs="宋体" w:eastAsia="宋体" w:hint="ascii"/>
          <w:b w:val="1"/>
          <w:sz w:val="21"/>
        </w:rPr>
        <w:t xml:space="preserve">。 </w:t>
      </w:r>
      <w:r>
        <w:rPr>
          <w:rFonts w:ascii="宋体" w:hAnsi="宋体" w:cs="宋体" w:eastAsia="宋体" w:hint="ascii"/>
          <w:sz w:val="21"/>
        </w:rPr>
        <w:t>请申请者注意相关的变化</w:t>
      </w:r>
      <w:r>
        <w:rPr>
          <w:rFonts w:ascii="宋体" w:hAnsi="宋体" w:cs="宋体" w:eastAsia="宋体" w:hint="ascii"/>
          <w:b w:val="1"/>
          <w:sz w:val="21"/>
        </w:rPr>
        <w:t>。</w:t>
      </w:r>
    </w:p>
    <w:p>
      <w:pPr>
        <w:autoSpaceDE w:val="0"/>
        <w:autoSpaceDN w:val="0"/>
        <w:jc w:val="left"/>
        <w:spacing w:before="167" w:after="0" w:lineRule="exact" w:line="225"/>
        <w:ind w:right="0" w:left="3253" w:firstLine="0"/>
        <w:snapToGrid w:val="0"/>
        <w:textAlignment w:val="auto"/>
        <w:tabs/>
        <w:rPr>
          <w:rFonts w:ascii="宋体" w:hAnsi="宋体" w:cs="宋体" w:eastAsia="宋体" w:hint="ascii"/>
          <w:sz w:val="18"/>
        </w:rPr>
      </w:pPr>
      <w:r>
        <w:rPr>
          <w:rFonts w:ascii="宋体" w:hAnsi="宋体" w:cs="宋体" w:eastAsia="宋体" w:hint="ascii"/>
          <w:sz w:val="18"/>
        </w:rPr>
        <w:t>地球科学部面上项目近两年资助情况一览表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566"/>
        <w:gridCol w:w="1984"/>
        <w:gridCol w:w="849"/>
        <w:gridCol w:w="851"/>
        <w:gridCol w:w="1020"/>
        <w:gridCol w:w="851"/>
        <w:gridCol w:w="852"/>
        <w:gridCol w:w="1019"/>
      </w:tblGrid>
      <w:tr>
        <w:trPr>
          <w:trHeight w:val="370" w:hRule="exact"/>
          <w:cantSplit w:val="1"/>
        </w:trPr>
        <w:tc>
          <w:tcPr>
            <w:tcW w:w="2550" w:type="dxa"/>
            <w:gridSpan w:val="2"/>
            <w:vAlign w:val="top"/>
            <w:vMerge w:val="restart"/>
            <w:tcMar/>
            <w:tcBorders/>
          </w:tcPr>
          <w:p>
            <w:pPr>
              <w:autoSpaceDE w:val="0"/>
              <w:autoSpaceDN w:val="0"/>
              <w:jc w:val="left"/>
              <w:spacing w:before="360" w:after="0" w:lineRule="exact" w:line="188"/>
              <w:ind w:right="0" w:left="104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0" w:type="dxa"/>
            <w:gridSpan w:val="3"/>
            <w:vAlign w:val="top"/>
            <w:tcMar/>
            <w:tcBorders>
              <w:left w:val="single" w:sz="4" w:space="0" w:color="000000"/>
            </w:tcBorders>
          </w:tcPr>
          <w:p>
            <w:pPr>
              <w:autoSpaceDE w:val="0"/>
              <w:autoSpaceDN w:val="0"/>
              <w:jc w:val="left"/>
              <w:spacing w:before="80" w:after="0" w:lineRule="auto" w:line="240"/>
              <w:ind w:right="0" w:left="1037" w:firstLine="0"/>
              <w:snapToGrid w:val="0"/>
              <w:textAlignment w:val="auto"/>
              <w:tabs>
                <w:tab w:val="left" w:leader="none" w:pos="1380"/>
              </w:tabs>
              <w:numPr>
                <w:ilvl w:val="0"/>
                <w:numId w:val="64"/>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80" w:after="0" w:lineRule="auto" w:line="240"/>
              <w:ind w:right="0" w:left="1037" w:firstLine="0"/>
              <w:snapToGrid w:val="0"/>
              <w:textAlignment w:val="auto"/>
              <w:tabs>
                <w:tab w:val="left" w:leader="none" w:pos="1380"/>
              </w:tabs>
              <w:numPr>
                <w:ilvl w:val="0"/>
                <w:numId w:val="64"/>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559" w:hRule="exact"/>
          <w:cantSplit w:val="1"/>
        </w:trPr>
        <w:tc>
          <w:tcPr>
            <w:tcW w:w="255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tcMar/>
            <w:tcBorders>
              <w:left w:val="single" w:sz="4" w:space="0" w:color="000000"/>
              <w:top w:val="single" w:sz="4" w:space="0" w:color="000000"/>
            </w:tcBorders>
          </w:tcPr>
          <w:p>
            <w:pPr>
              <w:autoSpaceDE w:val="0"/>
              <w:autoSpaceDN w:val="0"/>
              <w:jc w:val="left"/>
              <w:spacing w:before="17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17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1020" w:type="dxa"/>
            <w:gridSpan w:val="1"/>
            <w:vAlign w:val="top"/>
            <w:tcMar/>
            <w:tcBorders>
              <w:left w:val="single" w:sz="4" w:space="0" w:color="000000"/>
              <w:top w:val="single" w:sz="4" w:space="0" w:color="000000"/>
            </w:tcBorders>
          </w:tcPr>
          <w:p>
            <w:pPr>
              <w:autoSpaceDE w:val="0"/>
              <w:autoSpaceDN w:val="0"/>
              <w:jc w:val="left"/>
              <w:spacing w:before="70" w:after="0" w:lineRule="exact" w:line="201"/>
              <w:ind w:right="0" w:left="241"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2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51" w:type="dxa"/>
            <w:gridSpan w:val="1"/>
            <w:vAlign w:val="top"/>
            <w:tcMar/>
            <w:tcBorders>
              <w:left w:val="single" w:sz="4" w:space="0" w:color="000000"/>
              <w:top w:val="single" w:sz="4" w:space="0" w:color="000000"/>
            </w:tcBorders>
          </w:tcPr>
          <w:p>
            <w:pPr>
              <w:autoSpaceDE w:val="0"/>
              <w:autoSpaceDN w:val="0"/>
              <w:jc w:val="left"/>
              <w:spacing w:before="17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2" w:type="dxa"/>
            <w:gridSpan w:val="1"/>
            <w:vAlign w:val="top"/>
            <w:tcMar/>
            <w:tcBorders>
              <w:left w:val="single" w:sz="4" w:space="0" w:color="000000"/>
              <w:top w:val="single" w:sz="4" w:space="0" w:color="000000"/>
            </w:tcBorders>
          </w:tcPr>
          <w:p>
            <w:pPr>
              <w:autoSpaceDE w:val="0"/>
              <w:autoSpaceDN w:val="0"/>
              <w:jc w:val="left"/>
              <w:spacing w:before="177"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exact" w:line="201"/>
              <w:ind w:right="0" w:left="240"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255"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364" w:hRule="exact"/>
          <w:cantSplit w:val="1"/>
        </w:trPr>
        <w:tc>
          <w:tcPr>
            <w:tcW w:w="566" w:type="dxa"/>
            <w:gridSpan w:val="1"/>
            <w:vAlign w:val="top"/>
            <w:tcMar/>
            <w:tcBorders>
              <w:top w:val="single" w:sz="4" w:space="0" w:color="000000"/>
            </w:tcBorders>
          </w:tcPr>
          <w:p>
            <w:pPr>
              <w:autoSpaceDE w:val="0"/>
              <w:autoSpaceDN w:val="0"/>
              <w:jc w:val="left"/>
              <w:spacing w:before="80"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984" w:type="dxa"/>
            <w:gridSpan w:val="1"/>
            <w:vAlign w:val="top"/>
            <w:tcMar/>
            <w:tcBorders>
              <w:left w:val="single" w:sz="4" w:space="0" w:color="000000"/>
              <w:top w:val="single" w:sz="4" w:space="0" w:color="000000"/>
            </w:tcBorders>
          </w:tcPr>
          <w:p>
            <w:pPr>
              <w:autoSpaceDE w:val="0"/>
              <w:autoSpaceDN w:val="0"/>
              <w:jc w:val="left"/>
              <w:spacing w:before="80" w:after="0" w:lineRule="exact" w:line="188"/>
              <w:ind w:right="0" w:left="86" w:firstLine="0"/>
              <w:snapToGrid w:val="0"/>
              <w:textAlignment w:val="auto"/>
              <w:tabs/>
              <w:rPr>
                <w:rFonts w:ascii="宋体" w:hAnsi="宋体" w:cs="宋体" w:eastAsia="宋体" w:hint="ascii"/>
                <w:sz w:val="15"/>
              </w:rPr>
            </w:pPr>
            <w:r>
              <w:rPr>
                <w:rFonts w:ascii="宋体" w:hAnsi="宋体" w:cs="宋体" w:eastAsia="宋体" w:hint="ascii"/>
                <w:sz w:val="15"/>
              </w:rPr>
              <w:t>地理学（含土壤学和遥感）</w:t>
            </w:r>
          </w:p>
        </w:tc>
        <w:tc>
          <w:tcPr>
            <w:tcW w:w="849"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17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534</w:t>
            </w:r>
            <w:r>
              <w:rPr>
                <w:rFonts w:ascii="宋体" w:hAnsi="宋体" w:cs="宋体" w:eastAsia="宋体" w:hint="ascii"/>
                <w:sz w:val="15"/>
              </w:rPr>
              <w:t>＋</w:t>
            </w:r>
            <w:r>
              <w:rPr>
                <w:rFonts w:ascii="Times New Roman" w:hAnsi="Times New Roman" w:cs="Times New Roman" w:eastAsia="Times New Roman" w:hint="ascii"/>
                <w:sz w:val="15"/>
              </w:rPr>
              <w:t>2</w:t>
            </w:r>
            <w:r>
              <w:rPr>
                <w:rFonts w:ascii="Times New Roman" w:hAnsi="Times New Roman" w:cs="Times New Roman" w:eastAsia="Times New Roman" w:hint="ascii"/>
                <w:sz w:val="10"/>
                <w:position w:val="7"/>
              </w:rPr>
              <w:t>*</w:t>
            </w:r>
          </w:p>
        </w:tc>
        <w:tc>
          <w:tcPr>
            <w:tcW w:w="851"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3" w:firstLine="0"/>
              <w:snapToGrid w:val="0"/>
              <w:textAlignment w:val="auto"/>
              <w:tabs>
                <w:tab w:val="left" w:leader="none" w:pos="407"/>
              </w:tabs>
              <w:numPr>
                <w:ilvl w:val="0"/>
                <w:numId w:val="6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017</w:t>
            </w:r>
          </w:p>
        </w:tc>
        <w:tc>
          <w:tcPr>
            <w:tcW w:w="1020"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23.83</w:t>
            </w:r>
          </w:p>
        </w:tc>
        <w:tc>
          <w:tcPr>
            <w:tcW w:w="851"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3"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573+3</w:t>
            </w:r>
            <w:r>
              <w:rPr>
                <w:rFonts w:ascii="Times New Roman" w:hAnsi="Times New Roman" w:cs="Times New Roman" w:eastAsia="Times New Roman" w:hint="ascii"/>
                <w:sz w:val="10"/>
                <w:position w:val="7"/>
              </w:rPr>
              <w:t>*</w:t>
            </w:r>
          </w:p>
        </w:tc>
        <w:tc>
          <w:tcPr>
            <w:tcW w:w="852"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5" w:firstLine="0"/>
              <w:snapToGrid w:val="0"/>
              <w:textAlignment w:val="auto"/>
              <w:tabs>
                <w:tab w:val="left" w:leader="none" w:pos="407"/>
              </w:tabs>
              <w:numPr>
                <w:ilvl w:val="0"/>
                <w:numId w:val="6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780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7"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24.17</w:t>
            </w:r>
          </w:p>
        </w:tc>
      </w:tr>
      <w:tr>
        <w:trPr>
          <w:trHeight w:val="365" w:hRule="exact"/>
          <w:cantSplit w:val="1"/>
        </w:trPr>
        <w:tc>
          <w:tcPr>
            <w:tcW w:w="566" w:type="dxa"/>
            <w:gridSpan w:val="1"/>
            <w:vAlign w:val="top"/>
            <w:vMerge w:val="restart"/>
            <w:tcMar/>
            <w:tcBorders>
              <w:top w:val="single" w:sz="4" w:space="0" w:color="000000"/>
            </w:tcBorders>
          </w:tcPr>
          <w:p>
            <w:pPr>
              <w:autoSpaceDE w:val="0"/>
              <w:autoSpaceDN w:val="0"/>
              <w:jc w:val="left"/>
              <w:spacing w:before="26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984" w:type="dxa"/>
            <w:gridSpan w:val="1"/>
            <w:vAlign w:val="top"/>
            <w:tcMar/>
            <w:tcBorders>
              <w:left w:val="single" w:sz="4" w:space="0" w:color="000000"/>
              <w:top w:val="single" w:sz="4" w:space="0" w:color="000000"/>
            </w:tcBorders>
          </w:tcPr>
          <w:p>
            <w:pPr>
              <w:autoSpaceDE w:val="0"/>
              <w:autoSpaceDN w:val="0"/>
              <w:jc w:val="left"/>
              <w:spacing w:before="80" w:after="0" w:lineRule="exact" w:line="188"/>
              <w:ind w:right="0" w:left="762" w:firstLine="0"/>
              <w:snapToGrid w:val="0"/>
              <w:textAlignment w:val="auto"/>
              <w:tabs/>
              <w:rPr>
                <w:rFonts w:ascii="宋体" w:hAnsi="宋体" w:cs="宋体" w:eastAsia="宋体" w:hint="ascii"/>
                <w:sz w:val="15"/>
              </w:rPr>
            </w:pPr>
            <w:r>
              <w:rPr>
                <w:rFonts w:ascii="宋体" w:hAnsi="宋体" w:cs="宋体" w:eastAsia="宋体" w:hint="ascii"/>
                <w:sz w:val="15"/>
              </w:rPr>
              <w:t>地质学</w:t>
            </w:r>
          </w:p>
        </w:tc>
        <w:tc>
          <w:tcPr>
            <w:tcW w:w="849"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17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365</w:t>
            </w:r>
            <w:r>
              <w:rPr>
                <w:rFonts w:ascii="宋体" w:hAnsi="宋体" w:cs="宋体" w:eastAsia="宋体" w:hint="ascii"/>
                <w:sz w:val="15"/>
              </w:rPr>
              <w:t>＋</w:t>
            </w:r>
            <w:r>
              <w:rPr>
                <w:rFonts w:ascii="Times New Roman" w:hAnsi="Times New Roman" w:cs="Times New Roman" w:eastAsia="Times New Roman" w:hint="ascii"/>
                <w:sz w:val="15"/>
              </w:rPr>
              <w:t>2</w:t>
            </w:r>
            <w:r>
              <w:rPr>
                <w:rFonts w:ascii="Times New Roman" w:hAnsi="Times New Roman" w:cs="Times New Roman" w:eastAsia="Times New Roman" w:hint="ascii"/>
                <w:sz w:val="10"/>
                <w:position w:val="7"/>
              </w:rPr>
              <w:t>*</w:t>
            </w:r>
          </w:p>
        </w:tc>
        <w:tc>
          <w:tcPr>
            <w:tcW w:w="851" w:type="dxa"/>
            <w:gridSpan w:val="1"/>
            <w:vAlign w:val="top"/>
            <w:tcMar/>
            <w:tcBorders>
              <w:left w:val="single" w:sz="4" w:space="0" w:color="000000"/>
              <w:top w:val="single" w:sz="4" w:space="0" w:color="000000"/>
            </w:tcBorders>
          </w:tcPr>
          <w:p>
            <w:pPr>
              <w:autoSpaceDE w:val="0"/>
              <w:autoSpaceDN w:val="0"/>
              <w:jc w:val="left"/>
              <w:spacing w:before="88" w:after="0" w:lineRule="auto" w:line="240"/>
              <w:ind w:right="0" w:left="213" w:firstLine="0"/>
              <w:snapToGrid w:val="0"/>
              <w:textAlignment w:val="auto"/>
              <w:tabs>
                <w:tab w:val="left" w:leader="none" w:pos="407"/>
              </w:tabs>
              <w:numPr>
                <w:ilvl w:val="0"/>
                <w:numId w:val="66"/>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488</w:t>
            </w:r>
          </w:p>
        </w:tc>
        <w:tc>
          <w:tcPr>
            <w:tcW w:w="1020" w:type="dxa"/>
            <w:gridSpan w:val="1"/>
            <w:vAlign w:val="top"/>
            <w:tcMar/>
            <w:tcBorders>
              <w:left w:val="single" w:sz="4" w:space="0" w:color="000000"/>
              <w:top w:val="single" w:sz="4" w:space="0" w:color="000000"/>
            </w:tcBorders>
          </w:tcPr>
          <w:p>
            <w:pPr>
              <w:autoSpaceDE w:val="0"/>
              <w:autoSpaceDN w:val="0"/>
              <w:jc w:val="left"/>
              <w:spacing w:before="88"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27.72</w:t>
            </w:r>
          </w:p>
        </w:tc>
        <w:tc>
          <w:tcPr>
            <w:tcW w:w="851" w:type="dxa"/>
            <w:gridSpan w:val="1"/>
            <w:vAlign w:val="top"/>
            <w:tcMar/>
            <w:tcBorders>
              <w:left w:val="single" w:sz="4" w:space="0" w:color="000000"/>
              <w:top w:val="single" w:sz="4" w:space="0" w:color="000000"/>
            </w:tcBorders>
          </w:tcPr>
          <w:p>
            <w:pPr>
              <w:autoSpaceDE w:val="0"/>
              <w:autoSpaceDN w:val="0"/>
              <w:jc w:val="left"/>
              <w:spacing w:before="65" w:after="0" w:lineRule="auto" w:line="240"/>
              <w:ind w:right="0" w:left="203"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390+2</w:t>
            </w:r>
            <w:r>
              <w:rPr>
                <w:rFonts w:ascii="Times New Roman" w:hAnsi="Times New Roman" w:cs="Times New Roman" w:eastAsia="Times New Roman" w:hint="ascii"/>
                <w:sz w:val="10"/>
                <w:position w:val="7"/>
              </w:rPr>
              <w:t>*</w:t>
            </w:r>
          </w:p>
        </w:tc>
        <w:tc>
          <w:tcPr>
            <w:tcW w:w="852" w:type="dxa"/>
            <w:gridSpan w:val="1"/>
            <w:vAlign w:val="top"/>
            <w:tcMar/>
            <w:tcBorders>
              <w:left w:val="single" w:sz="4" w:space="0" w:color="000000"/>
              <w:top w:val="single" w:sz="4" w:space="0" w:color="000000"/>
            </w:tcBorders>
          </w:tcPr>
          <w:p>
            <w:pPr>
              <w:autoSpaceDE w:val="0"/>
              <w:autoSpaceDN w:val="0"/>
              <w:jc w:val="left"/>
              <w:spacing w:before="88" w:after="0" w:lineRule="auto" w:line="240"/>
              <w:ind w:right="0" w:left="215" w:firstLine="0"/>
              <w:snapToGrid w:val="0"/>
              <w:textAlignment w:val="auto"/>
              <w:tabs>
                <w:tab w:val="left" w:leader="none" w:pos="407"/>
              </w:tabs>
              <w:numPr>
                <w:ilvl w:val="0"/>
                <w:numId w:val="66"/>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634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8"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26.96</w:t>
            </w:r>
          </w:p>
        </w:tc>
      </w:tr>
      <w:tr>
        <w:trPr>
          <w:trHeight w:val="365"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4" w:type="dxa"/>
            <w:gridSpan w:val="1"/>
            <w:vAlign w:val="top"/>
            <w:tcMar/>
            <w:tcBorders>
              <w:left w:val="single" w:sz="4" w:space="0" w:color="000000"/>
              <w:top w:val="single" w:sz="4" w:space="0" w:color="000000"/>
            </w:tcBorders>
          </w:tcPr>
          <w:p>
            <w:pPr>
              <w:autoSpaceDE w:val="0"/>
              <w:autoSpaceDN w:val="0"/>
              <w:jc w:val="left"/>
              <w:spacing w:before="80"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地球化学</w:t>
            </w:r>
          </w:p>
        </w:tc>
        <w:tc>
          <w:tcPr>
            <w:tcW w:w="849"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17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137</w:t>
            </w:r>
            <w:r>
              <w:rPr>
                <w:rFonts w:ascii="宋体" w:hAnsi="宋体" w:cs="宋体" w:eastAsia="宋体" w:hint="ascii"/>
                <w:sz w:val="15"/>
              </w:rPr>
              <w:t>＋</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851"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52" w:firstLine="0"/>
              <w:snapToGrid w:val="0"/>
              <w:textAlignment w:val="auto"/>
              <w:tabs>
                <w:tab w:val="left" w:leader="none" w:pos="370"/>
              </w:tabs>
              <w:numPr>
                <w:ilvl w:val="0"/>
                <w:numId w:val="67"/>
              </w:numPr>
              <w:rPr>
                <w:rFonts w:ascii="Times New Roman" w:hAnsi="Times New Roman" w:cs="Times New Roman" w:eastAsia="Times New Roman" w:hint="ascii"/>
                <w:sz w:val="15"/>
              </w:rPr>
            </w:pPr>
            <w:r>
              <w:rPr>
                <w:rFonts w:ascii="Times New Roman" w:hAnsi="Times New Roman" w:cs="Times New Roman" w:eastAsia="Times New Roman" w:hint="ascii"/>
                <w:sz w:val="15"/>
              </w:rPr>
              <w:t>809</w:t>
            </w:r>
          </w:p>
        </w:tc>
        <w:tc>
          <w:tcPr>
            <w:tcW w:w="1020"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28.93</w:t>
            </w:r>
          </w:p>
        </w:tc>
        <w:tc>
          <w:tcPr>
            <w:tcW w:w="851"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3"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148+1</w:t>
            </w:r>
            <w:r>
              <w:rPr>
                <w:rFonts w:ascii="Times New Roman" w:hAnsi="Times New Roman" w:cs="Times New Roman" w:eastAsia="Times New Roman" w:hint="ascii"/>
                <w:sz w:val="10"/>
                <w:position w:val="7"/>
              </w:rPr>
              <w:t>*</w:t>
            </w:r>
          </w:p>
        </w:tc>
        <w:tc>
          <w:tcPr>
            <w:tcW w:w="852"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5" w:firstLine="0"/>
              <w:snapToGrid w:val="0"/>
              <w:textAlignment w:val="auto"/>
              <w:tabs>
                <w:tab w:val="left" w:leader="none" w:pos="408"/>
              </w:tabs>
              <w:numPr>
                <w:ilvl w:val="0"/>
                <w:numId w:val="67"/>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145</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7"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31.63</w:t>
            </w:r>
          </w:p>
        </w:tc>
      </w:tr>
      <w:tr>
        <w:trPr>
          <w:trHeight w:val="365" w:hRule="exact"/>
          <w:cantSplit w:val="1"/>
        </w:trPr>
        <w:tc>
          <w:tcPr>
            <w:tcW w:w="566" w:type="dxa"/>
            <w:gridSpan w:val="1"/>
            <w:vAlign w:val="top"/>
            <w:tcMar/>
            <w:tcBorders>
              <w:top w:val="single" w:sz="4" w:space="0" w:color="000000"/>
            </w:tcBorders>
          </w:tcPr>
          <w:p>
            <w:pPr>
              <w:autoSpaceDE w:val="0"/>
              <w:autoSpaceDN w:val="0"/>
              <w:jc w:val="left"/>
              <w:spacing w:before="80"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84" w:type="dxa"/>
            <w:gridSpan w:val="1"/>
            <w:vAlign w:val="top"/>
            <w:tcMar/>
            <w:tcBorders>
              <w:left w:val="single" w:sz="4" w:space="0" w:color="000000"/>
              <w:top w:val="single" w:sz="4" w:space="0" w:color="000000"/>
            </w:tcBorders>
          </w:tcPr>
          <w:p>
            <w:pPr>
              <w:autoSpaceDE w:val="0"/>
              <w:autoSpaceDN w:val="0"/>
              <w:jc w:val="left"/>
              <w:spacing w:before="80" w:after="0" w:lineRule="exact" w:line="188"/>
              <w:ind w:right="0" w:left="162" w:firstLine="0"/>
              <w:snapToGrid w:val="0"/>
              <w:textAlignment w:val="auto"/>
              <w:tabs/>
              <w:rPr>
                <w:rFonts w:ascii="宋体" w:hAnsi="宋体" w:cs="宋体" w:eastAsia="宋体" w:hint="ascii"/>
                <w:sz w:val="15"/>
              </w:rPr>
            </w:pPr>
            <w:r>
              <w:rPr>
                <w:rFonts w:ascii="宋体" w:hAnsi="宋体" w:cs="宋体" w:eastAsia="宋体" w:hint="ascii"/>
                <w:sz w:val="15"/>
              </w:rPr>
              <w:t>地球物理学和空间物理学</w:t>
            </w:r>
          </w:p>
        </w:tc>
        <w:tc>
          <w:tcPr>
            <w:tcW w:w="849"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17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182</w:t>
            </w:r>
            <w:r>
              <w:rPr>
                <w:rFonts w:ascii="宋体" w:hAnsi="宋体" w:cs="宋体" w:eastAsia="宋体" w:hint="ascii"/>
                <w:sz w:val="15"/>
              </w:rPr>
              <w:t>＋</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851"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3" w:firstLine="0"/>
              <w:snapToGrid w:val="0"/>
              <w:textAlignment w:val="auto"/>
              <w:tabs>
                <w:tab w:val="left" w:leader="none" w:pos="407"/>
              </w:tabs>
              <w:numPr>
                <w:ilvl w:val="0"/>
                <w:numId w:val="68"/>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816</w:t>
            </w:r>
          </w:p>
        </w:tc>
        <w:tc>
          <w:tcPr>
            <w:tcW w:w="1020"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29.85</w:t>
            </w:r>
          </w:p>
        </w:tc>
        <w:tc>
          <w:tcPr>
            <w:tcW w:w="851"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3"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194+1</w:t>
            </w:r>
            <w:r>
              <w:rPr>
                <w:rFonts w:ascii="Times New Roman" w:hAnsi="Times New Roman" w:cs="Times New Roman" w:eastAsia="Times New Roman" w:hint="ascii"/>
                <w:sz w:val="10"/>
                <w:position w:val="7"/>
              </w:rPr>
              <w:t>*</w:t>
            </w:r>
          </w:p>
        </w:tc>
        <w:tc>
          <w:tcPr>
            <w:tcW w:w="852"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5" w:firstLine="0"/>
              <w:snapToGrid w:val="0"/>
              <w:textAlignment w:val="auto"/>
              <w:tabs>
                <w:tab w:val="left" w:leader="none" w:pos="407"/>
              </w:tabs>
              <w:numPr>
                <w:ilvl w:val="0"/>
                <w:numId w:val="68"/>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355</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7"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29.15</w:t>
            </w:r>
          </w:p>
        </w:tc>
      </w:tr>
      <w:tr>
        <w:trPr>
          <w:trHeight w:val="365" w:hRule="exact"/>
          <w:cantSplit w:val="1"/>
        </w:trPr>
        <w:tc>
          <w:tcPr>
            <w:tcW w:w="566" w:type="dxa"/>
            <w:gridSpan w:val="1"/>
            <w:vAlign w:val="top"/>
            <w:tcMar/>
            <w:tcBorders>
              <w:top w:val="single" w:sz="4" w:space="0" w:color="000000"/>
            </w:tcBorders>
          </w:tcPr>
          <w:p>
            <w:pPr>
              <w:autoSpaceDE w:val="0"/>
              <w:autoSpaceDN w:val="0"/>
              <w:jc w:val="left"/>
              <w:spacing w:before="80"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984" w:type="dxa"/>
            <w:gridSpan w:val="1"/>
            <w:vAlign w:val="top"/>
            <w:tcMar/>
            <w:tcBorders>
              <w:left w:val="single" w:sz="4" w:space="0" w:color="000000"/>
              <w:top w:val="single" w:sz="4" w:space="0" w:color="000000"/>
            </w:tcBorders>
          </w:tcPr>
          <w:p>
            <w:pPr>
              <w:autoSpaceDE w:val="0"/>
              <w:autoSpaceDN w:val="0"/>
              <w:jc w:val="left"/>
              <w:spacing w:before="80"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海洋科学</w:t>
            </w:r>
          </w:p>
        </w:tc>
        <w:tc>
          <w:tcPr>
            <w:tcW w:w="849"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17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191</w:t>
            </w:r>
            <w:r>
              <w:rPr>
                <w:rFonts w:ascii="宋体" w:hAnsi="宋体" w:cs="宋体" w:eastAsia="宋体" w:hint="ascii"/>
                <w:sz w:val="15"/>
              </w:rPr>
              <w:t>＋</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851"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13 349</w:t>
            </w:r>
          </w:p>
        </w:tc>
        <w:tc>
          <w:tcPr>
            <w:tcW w:w="1020"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26.82</w:t>
            </w:r>
          </w:p>
        </w:tc>
        <w:tc>
          <w:tcPr>
            <w:tcW w:w="851"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3"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204+1</w:t>
            </w:r>
            <w:r>
              <w:rPr>
                <w:rFonts w:ascii="Times New Roman" w:hAnsi="Times New Roman" w:cs="Times New Roman" w:eastAsia="Times New Roman" w:hint="ascii"/>
                <w:sz w:val="10"/>
                <w:position w:val="7"/>
              </w:rPr>
              <w:t>*</w:t>
            </w:r>
          </w:p>
        </w:tc>
        <w:tc>
          <w:tcPr>
            <w:tcW w:w="852"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13 902</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7"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27.89</w:t>
            </w:r>
          </w:p>
        </w:tc>
      </w:tr>
      <w:tr>
        <w:trPr>
          <w:trHeight w:val="364" w:hRule="exact"/>
          <w:cantSplit w:val="1"/>
        </w:trPr>
        <w:tc>
          <w:tcPr>
            <w:tcW w:w="566" w:type="dxa"/>
            <w:gridSpan w:val="1"/>
            <w:vAlign w:val="top"/>
            <w:tcMar/>
            <w:tcBorders>
              <w:top w:val="single" w:sz="4" w:space="0" w:color="000000"/>
            </w:tcBorders>
          </w:tcPr>
          <w:p>
            <w:pPr>
              <w:autoSpaceDE w:val="0"/>
              <w:autoSpaceDN w:val="0"/>
              <w:jc w:val="left"/>
              <w:spacing w:before="80"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984" w:type="dxa"/>
            <w:gridSpan w:val="1"/>
            <w:vAlign w:val="top"/>
            <w:tcMar/>
            <w:tcBorders>
              <w:left w:val="single" w:sz="4" w:space="0" w:color="000000"/>
              <w:top w:val="single" w:sz="4" w:space="0" w:color="000000"/>
            </w:tcBorders>
          </w:tcPr>
          <w:p>
            <w:pPr>
              <w:autoSpaceDE w:val="0"/>
              <w:autoSpaceDN w:val="0"/>
              <w:jc w:val="left"/>
              <w:spacing w:before="80"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大气科学</w:t>
            </w:r>
          </w:p>
        </w:tc>
        <w:tc>
          <w:tcPr>
            <w:tcW w:w="849"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170"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156</w:t>
            </w:r>
            <w:r>
              <w:rPr>
                <w:rFonts w:ascii="宋体" w:hAnsi="宋体" w:cs="宋体" w:eastAsia="宋体" w:hint="ascii"/>
                <w:sz w:val="15"/>
              </w:rPr>
              <w:t>＋</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851"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10 781</w:t>
            </w:r>
          </w:p>
        </w:tc>
        <w:tc>
          <w:tcPr>
            <w:tcW w:w="1020"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32.17</w:t>
            </w:r>
          </w:p>
        </w:tc>
        <w:tc>
          <w:tcPr>
            <w:tcW w:w="851"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3"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165+1</w:t>
            </w:r>
            <w:r>
              <w:rPr>
                <w:rFonts w:ascii="Times New Roman" w:hAnsi="Times New Roman" w:cs="Times New Roman" w:eastAsia="Times New Roman" w:hint="ascii"/>
                <w:sz w:val="10"/>
                <w:position w:val="7"/>
              </w:rPr>
              <w:t>*</w:t>
            </w:r>
          </w:p>
        </w:tc>
        <w:tc>
          <w:tcPr>
            <w:tcW w:w="852" w:type="dxa"/>
            <w:gridSpan w:val="1"/>
            <w:vAlign w:val="top"/>
            <w:tcMar/>
            <w:tcBorders>
              <w:left w:val="single" w:sz="4" w:space="0" w:color="000000"/>
              <w:top w:val="single" w:sz="4" w:space="0" w:color="000000"/>
            </w:tcBorders>
          </w:tcPr>
          <w:p>
            <w:pPr>
              <w:autoSpaceDE w:val="0"/>
              <w:autoSpaceDN w:val="0"/>
              <w:jc w:val="left"/>
              <w:spacing w:before="87" w:after="0" w:lineRule="auto" w:line="240"/>
              <w:ind w:right="0" w:left="218" w:firstLine="0"/>
              <w:snapToGrid w:val="0"/>
              <w:textAlignment w:val="auto"/>
              <w:tabs>
                <w:tab w:val="left" w:leader="none" w:pos="406"/>
              </w:tabs>
              <w:numPr>
                <w:ilvl w:val="0"/>
                <w:numId w:val="67"/>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254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7"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29.64</w:t>
            </w:r>
          </w:p>
        </w:tc>
      </w:tr>
      <w:tr>
        <w:trPr>
          <w:trHeight w:val="365" w:hRule="exact"/>
          <w:cantSplit w:val="1"/>
        </w:trPr>
        <w:tc>
          <w:tcPr>
            <w:tcW w:w="2550" w:type="dxa"/>
            <w:gridSpan w:val="2"/>
            <w:vAlign w:val="top"/>
            <w:tcMar/>
            <w:tcBorders>
              <w:top w:val="single" w:sz="4" w:space="0" w:color="000000"/>
            </w:tcBorders>
          </w:tcPr>
          <w:p>
            <w:pPr>
              <w:autoSpaceDE w:val="0"/>
              <w:autoSpaceDN w:val="0"/>
              <w:jc w:val="left"/>
              <w:spacing w:before="80" w:after="0" w:lineRule="exact" w:line="188"/>
              <w:ind w:right="0" w:left="816"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49"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11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1,565</w:t>
            </w:r>
            <w:r>
              <w:rPr>
                <w:rFonts w:ascii="宋体" w:hAnsi="宋体" w:cs="宋体" w:eastAsia="宋体" w:hint="ascii"/>
                <w:sz w:val="15"/>
              </w:rPr>
              <w:t>＋</w:t>
            </w:r>
            <w:r>
              <w:rPr>
                <w:rFonts w:ascii="Times New Roman" w:hAnsi="Times New Roman" w:cs="Times New Roman" w:eastAsia="Times New Roman" w:hint="ascii"/>
                <w:sz w:val="15"/>
              </w:rPr>
              <w:t>8</w:t>
            </w:r>
            <w:r>
              <w:rPr>
                <w:rFonts w:ascii="Times New Roman" w:hAnsi="Times New Roman" w:cs="Times New Roman" w:eastAsia="Times New Roman" w:hint="ascii"/>
                <w:sz w:val="10"/>
                <w:position w:val="7"/>
              </w:rPr>
              <w:t>*</w:t>
            </w:r>
          </w:p>
        </w:tc>
        <w:tc>
          <w:tcPr>
            <w:tcW w:w="851" w:type="dxa"/>
            <w:gridSpan w:val="1"/>
            <w:vAlign w:val="top"/>
            <w:tcMar/>
            <w:tcBorders>
              <w:left w:val="single" w:sz="4" w:space="0" w:color="000000"/>
              <w:top w:val="single" w:sz="4" w:space="0" w:color="000000"/>
            </w:tcBorders>
          </w:tcPr>
          <w:p>
            <w:pPr>
              <w:autoSpaceDE w:val="0"/>
              <w:autoSpaceDN w:val="0"/>
              <w:jc w:val="left"/>
              <w:spacing w:before="88" w:after="0" w:lineRule="auto" w:line="240"/>
              <w:ind w:right="0" w:left="1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108 260</w:t>
            </w:r>
          </w:p>
        </w:tc>
        <w:tc>
          <w:tcPr>
            <w:tcW w:w="1020" w:type="dxa"/>
            <w:gridSpan w:val="1"/>
            <w:vAlign w:val="top"/>
            <w:tcMar/>
            <w:tcBorders>
              <w:left w:val="single" w:sz="4" w:space="0" w:color="000000"/>
              <w:top w:val="single" w:sz="4" w:space="0" w:color="000000"/>
            </w:tcBorders>
          </w:tcPr>
          <w:p>
            <w:pPr>
              <w:autoSpaceDE w:val="0"/>
              <w:autoSpaceDN w:val="0"/>
              <w:jc w:val="left"/>
              <w:spacing w:before="88"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26.81</w:t>
            </w:r>
          </w:p>
        </w:tc>
        <w:tc>
          <w:tcPr>
            <w:tcW w:w="851" w:type="dxa"/>
            <w:gridSpan w:val="1"/>
            <w:vAlign w:val="top"/>
            <w:tcMar/>
            <w:tcBorders>
              <w:left w:val="single" w:sz="4" w:space="0" w:color="000000"/>
              <w:top w:val="single" w:sz="4" w:space="0" w:color="000000"/>
            </w:tcBorders>
          </w:tcPr>
          <w:p>
            <w:pPr>
              <w:autoSpaceDE w:val="0"/>
              <w:autoSpaceDN w:val="0"/>
              <w:jc w:val="left"/>
              <w:spacing w:before="65" w:after="0" w:lineRule="auto" w:line="240"/>
              <w:ind w:right="0" w:left="16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1674+9</w:t>
            </w:r>
            <w:r>
              <w:rPr>
                <w:rFonts w:ascii="Times New Roman" w:hAnsi="Times New Roman" w:cs="Times New Roman" w:eastAsia="Times New Roman" w:hint="ascii"/>
                <w:sz w:val="10"/>
                <w:position w:val="7"/>
              </w:rPr>
              <w:t>*</w:t>
            </w:r>
          </w:p>
        </w:tc>
        <w:tc>
          <w:tcPr>
            <w:tcW w:w="852" w:type="dxa"/>
            <w:gridSpan w:val="1"/>
            <w:vAlign w:val="top"/>
            <w:tcMar/>
            <w:tcBorders>
              <w:left w:val="single" w:sz="4" w:space="0" w:color="000000"/>
              <w:top w:val="single" w:sz="4" w:space="0" w:color="000000"/>
            </w:tcBorders>
          </w:tcPr>
          <w:p>
            <w:pPr>
              <w:autoSpaceDE w:val="0"/>
              <w:autoSpaceDN w:val="0"/>
              <w:jc w:val="left"/>
              <w:spacing w:before="88" w:after="0" w:lineRule="auto" w:line="240"/>
              <w:ind w:right="0" w:left="1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13 070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8"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26.83</w:t>
            </w:r>
          </w:p>
        </w:tc>
      </w:tr>
      <w:tr>
        <w:trPr>
          <w:trHeight w:val="371" w:hRule="exact"/>
          <w:cantSplit w:val="1"/>
        </w:trPr>
        <w:tc>
          <w:tcPr>
            <w:tcW w:w="2550" w:type="dxa"/>
            <w:gridSpan w:val="2"/>
            <w:vAlign w:val="top"/>
            <w:tcMar/>
            <w:tcBorders>
              <w:top w:val="single" w:sz="4" w:space="0" w:color="000000"/>
              <w:bottom w:val="single" w:sz="8" w:space="0" w:color="000000"/>
            </w:tcBorders>
          </w:tcPr>
          <w:p>
            <w:pPr>
              <w:autoSpaceDE w:val="0"/>
              <w:autoSpaceDN w:val="0"/>
              <w:jc w:val="left"/>
              <w:spacing w:before="80"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spacing w:val="-4"/>
              </w:rPr>
              <w:t>直接费用平均资助强度（万元／</w:t>
            </w:r>
            <w:r>
              <w:rPr>
                <w:rFonts w:ascii="宋体" w:hAnsi="宋体" w:cs="宋体" w:eastAsia="宋体" w:hint="ascii"/>
                <w:sz w:val="15"/>
              </w:rPr>
              <w:t>项）</w:t>
            </w:r>
          </w:p>
        </w:tc>
        <w:tc>
          <w:tcPr>
            <w:tcW w:w="2720"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67" w:after="0" w:lineRule="auto" w:line="240"/>
              <w:ind w:right="0" w:left="818"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68.82</w:t>
            </w:r>
            <w:r>
              <w:rPr>
                <w:rFonts w:ascii="宋体" w:hAnsi="宋体" w:cs="宋体" w:eastAsia="宋体" w:hint="ascii"/>
                <w:sz w:val="15"/>
              </w:rPr>
              <w:t>（</w:t>
            </w:r>
            <w:r>
              <w:rPr>
                <w:rFonts w:ascii="Times New Roman" w:hAnsi="Times New Roman" w:cs="Times New Roman" w:eastAsia="Times New Roman" w:hint="ascii"/>
                <w:sz w:val="15"/>
              </w:rPr>
              <w:t>69.07</w:t>
            </w:r>
            <w:r>
              <w:rPr>
                <w:rFonts w:ascii="Times New Roman" w:hAnsi="Times New Roman" w:cs="Times New Roman" w:eastAsia="Times New Roman" w:hint="ascii"/>
                <w:sz w:val="10"/>
                <w:position w:val="7"/>
              </w:rPr>
              <w:t>**</w:t>
            </w:r>
            <w:r>
              <w:rPr>
                <w:rFonts w:ascii="宋体" w:hAnsi="宋体" w:cs="宋体" w:eastAsia="宋体" w:hint="ascii"/>
                <w:sz w:val="15"/>
              </w:rPr>
              <w:t>）</w:t>
            </w:r>
          </w:p>
        </w:tc>
        <w:tc>
          <w:tcPr>
            <w:tcW w:w="2722"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67" w:after="0" w:lineRule="auto" w:line="240"/>
              <w:ind w:right="0" w:left="818"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67.18</w:t>
            </w:r>
            <w:r>
              <w:rPr>
                <w:rFonts w:ascii="宋体" w:hAnsi="宋体" w:cs="宋体" w:eastAsia="宋体" w:hint="ascii"/>
                <w:sz w:val="15"/>
              </w:rPr>
              <w:t>（</w:t>
            </w:r>
            <w:r>
              <w:rPr>
                <w:rFonts w:ascii="Times New Roman" w:hAnsi="Times New Roman" w:cs="Times New Roman" w:eastAsia="Times New Roman" w:hint="ascii"/>
                <w:sz w:val="15"/>
              </w:rPr>
              <w:t>67.44</w:t>
            </w:r>
            <w:r>
              <w:rPr>
                <w:rFonts w:ascii="Times New Roman" w:hAnsi="Times New Roman" w:cs="Times New Roman" w:eastAsia="Times New Roman" w:hint="ascii"/>
                <w:sz w:val="10"/>
                <w:position w:val="7"/>
              </w:rPr>
              <w:t>**</w:t>
            </w:r>
            <w:r>
              <w:rPr>
                <w:rFonts w:ascii="宋体" w:hAnsi="宋体" w:cs="宋体" w:eastAsia="宋体" w:hint="ascii"/>
                <w:sz w:val="15"/>
              </w:rPr>
              <w:t>）</w:t>
            </w:r>
          </w:p>
        </w:tc>
      </w:tr>
    </w:tbl>
    <w:p>
      <w:pPr>
        <w:autoSpaceDE w:val="0"/>
        <w:autoSpaceDN w:val="0"/>
        <w:jc w:val="left"/>
        <w:spacing w:before="57" w:after="0" w:lineRule="auto" w:line="240"/>
        <w:ind w:right="0" w:left="126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w:t>
      </w:r>
      <w:r>
        <w:rPr>
          <w:rFonts w:ascii="宋体" w:hAnsi="宋体" w:cs="宋体" w:eastAsia="宋体" w:hint="ascii"/>
          <w:sz w:val="15"/>
        </w:rPr>
        <w:t>为小额探索项目</w:t>
      </w:r>
    </w:p>
    <w:p>
      <w:pPr>
        <w:autoSpaceDE w:val="0"/>
        <w:autoSpaceDN w:val="0"/>
        <w:jc w:val="left"/>
        <w:spacing w:before="37" w:after="0" w:lineRule="auto" w:line="240"/>
        <w:ind w:right="0" w:left="126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w:t>
      </w:r>
      <w:r>
        <w:rPr>
          <w:rFonts w:ascii="宋体" w:hAnsi="宋体" w:cs="宋体" w:eastAsia="宋体" w:hint="ascii"/>
          <w:sz w:val="15"/>
        </w:rPr>
        <w:t>为四年期面上项目直接费用平均资助强度</w:t>
      </w:r>
    </w:p>
    <w:p>
      <w:pPr>
        <w:autoSpaceDE w:val="0"/>
        <w:autoSpaceDN w:val="0"/>
        <w:jc w:val="left"/>
        <w:spacing w:before="37" w:after="0" w:lineRule="auto" w:line="240"/>
        <w:ind w:right="0" w:left="126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w:t>
      </w:r>
      <w:r>
        <w:rPr>
          <w:rFonts w:ascii="宋体" w:hAnsi="宋体" w:cs="宋体" w:eastAsia="宋体" w:hint="ascii"/>
          <w:sz w:val="15"/>
        </w:rPr>
        <w:t>为资助率包括小额探索项目</w:t>
      </w:r>
    </w:p>
    <w:p>
      <w:pPr>
        <w:autoSpaceDE w:val="0"/>
        <w:autoSpaceDN w:val="0"/>
        <w:jc w:val="left"/>
        <w:spacing w:before="37" w:after="0" w:lineRule="exact" w:line="188"/>
        <w:ind w:right="0" w:left="1266" w:firstLine="0"/>
        <w:snapToGrid w:val="0"/>
        <w:textAlignment w:val="auto"/>
        <w:tabs/>
        <w:rPr>
          <w:rFonts w:ascii="宋体" w:hAnsi="宋体" w:cs="宋体" w:eastAsia="宋体" w:hint="ascii"/>
          <w:sz w:val="15"/>
        </w:rPr>
      </w:pPr>
      <w:r>
        <w:rPr>
          <w:rFonts w:ascii="宋体" w:hAnsi="宋体" w:cs="宋体" w:eastAsia="宋体" w:hint="ascii"/>
          <w:sz w:val="15"/>
        </w:rPr>
        <w:t>注：此表</w:t>
      </w:r>
      <w:r>
        <w:rPr>
          <w:rFonts w:ascii="宋体" w:hAnsi="宋体" w:cs="宋体" w:eastAsia="宋体" w:hint="ascii"/>
          <w:sz w:val="15"/>
          <w:spacing w:val="19"/>
        </w:rPr>
        <w:t>按</w:t>
      </w:r>
      <w:r>
        <w:rPr>
          <w:rFonts w:ascii="Times New Roman" w:hAnsi="Times New Roman" w:cs="Times New Roman" w:eastAsia="Times New Roman" w:hint="ascii"/>
          <w:sz w:val="15"/>
        </w:rPr>
        <w:t>201</w:t>
      </w:r>
      <w:r>
        <w:rPr>
          <w:rFonts w:ascii="Times New Roman" w:hAnsi="Times New Roman" w:cs="Times New Roman" w:eastAsia="Times New Roman" w:hint="ascii"/>
          <w:sz w:val="15"/>
          <w:spacing w:val="37"/>
        </w:rPr>
        <w:t>7</w:t>
      </w:r>
      <w:r>
        <w:rPr>
          <w:rFonts w:ascii="宋体" w:hAnsi="宋体" w:cs="宋体" w:eastAsia="宋体" w:hint="ascii"/>
          <w:sz w:val="15"/>
        </w:rPr>
        <w:t>年之前原科学处设置统计</w:t>
      </w:r>
    </w:p>
    <w:p>
      <w:pPr>
        <w:autoSpaceDE w:val="0"/>
        <w:autoSpaceDN w:val="0"/>
        <w:jc w:val="left"/>
        <w:spacing w:before="763"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0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环境地球科学</w:t>
      </w:r>
      <w:r>
        <w:rPr>
          <w:rFonts w:ascii="宋体" w:hAnsi="宋体" w:cs="宋体" w:eastAsia="宋体" w:hint="ascii"/>
          <w:sz w:val="29"/>
        </w:rPr>
        <mc:AlternateContent>
          <mc:Choice Requires="wps">
            <w:drawing>
              <wp:anchor distL="0" distR="0" distT="0" distB="0" simplePos="0" behindDoc="1" relativeHeight="98" locked="0" layoutInCell="1" allowOverlap="1">
                <wp:simplePos x="0" y="0"/>
                <wp:positionH relativeFrom="page">
                  <wp:posOffset>938530</wp:posOffset>
                </wp:positionH>
                <wp:positionV relativeFrom="page">
                  <wp:posOffset>805815</wp:posOffset>
                </wp:positionV>
                <wp:extent cx="5076190" cy="0"/>
                <wp:wrapNone/>
                <wp:docPr id="1126" name="112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57888;width:399.70pt;" id="112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301" w:after="0" w:lineRule="exact" w:line="325"/>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资助范围</w:t>
      </w:r>
      <w:r>
        <w:rPr>
          <w:rFonts w:ascii="宋体" w:hAnsi="宋体" w:cs="宋体" w:eastAsia="宋体" w:hint="ascii"/>
          <w:sz w:val="21"/>
        </w:rPr>
        <w:t>为</w:t>
      </w:r>
      <w:r>
        <w:rPr>
          <w:rFonts w:ascii="宋体" w:hAnsi="宋体" w:cs="宋体" w:eastAsia="宋体" w:hint="ascii"/>
          <w:sz w:val="21"/>
        </w:rPr>
        <w:t>：土壤学、水文学和环境地球科学（</w:t>
      </w:r>
      <w:r>
        <w:rPr>
          <w:rFonts w:ascii="宋体" w:hAnsi="宋体" w:cs="宋体" w:eastAsia="宋体" w:hint="ascii"/>
          <w:sz w:val="21"/>
        </w:rPr>
        <w:t>包括</w:t>
      </w:r>
      <w:r>
        <w:rPr>
          <w:rFonts w:ascii="宋体" w:hAnsi="宋体" w:cs="宋体" w:eastAsia="宋体" w:hint="ascii"/>
          <w:sz w:val="21"/>
        </w:rPr>
        <w:t>环境地球化学、环境地质学、环境生态学、大气环境科学</w:t>
      </w:r>
      <w:r>
        <w:rPr>
          <w:rFonts w:ascii="宋体" w:hAnsi="宋体" w:cs="宋体" w:eastAsia="宋体" w:hint="ascii"/>
          <w:sz w:val="21"/>
        </w:rPr>
        <w:t>等</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26"/>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本学科以表层地球系统为研究对象，主要研究大气圈、水圈、表层岩石圈、生</w:t>
      </w:r>
      <w:r>
        <w:rPr>
          <w:rFonts w:ascii="宋体" w:hAnsi="宋体" w:cs="宋体" w:eastAsia="宋体" w:hint="ascii"/>
          <w:sz w:val="21"/>
          <w:spacing w:val="-6"/>
        </w:rPr>
        <w:t>物</w:t>
      </w:r>
      <w:r>
        <w:rPr>
          <w:rFonts w:ascii="宋体" w:hAnsi="宋体" w:cs="宋体" w:eastAsia="宋体" w:hint="ascii"/>
          <w:sz w:val="21"/>
        </w:rPr>
        <w:t xml:space="preserve"> </w:t>
      </w:r>
      <w:r>
        <w:rPr>
          <w:rFonts w:ascii="宋体" w:hAnsi="宋体" w:cs="宋体" w:eastAsia="宋体" w:hint="ascii"/>
          <w:sz w:val="21"/>
          <w:spacing w:val="-1"/>
        </w:rPr>
        <w:t>圈、土壤</w:t>
      </w:r>
      <w:r>
        <w:rPr>
          <w:rFonts w:ascii="宋体" w:hAnsi="宋体" w:cs="宋体" w:eastAsia="宋体" w:hint="ascii"/>
          <w:sz w:val="21"/>
        </w:rPr>
        <w:t>圈各自演化的物理、化学和生物过程以及各层圈之间的相互作用和物质的生物地球化学循环，研究人与地球表层地质系统、生态系统之间的相互作用。</w:t>
      </w:r>
    </w:p>
    <w:p>
      <w:pPr>
        <w:autoSpaceDE w:val="0"/>
        <w:autoSpaceDN w:val="0"/>
        <w:jc w:val="left"/>
        <w:spacing w:before="5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主要研究方向包括：土壤学主要探讨土壤的发生与分布规律、土壤物质组成与特性</w:t>
      </w:r>
    </w:p>
    <w:p>
      <w:pPr>
        <w:autoSpaceDE w:val="0"/>
        <w:autoSpaceDN w:val="0"/>
        <w:jc w:val="both"/>
        <w:spacing w:before="14" w:after="0" w:lineRule="exact" w:line="325"/>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以及土壤</w:t>
      </w:r>
      <w:r>
        <w:rPr>
          <w:rFonts w:ascii="宋体" w:hAnsi="宋体" w:cs="宋体" w:eastAsia="宋体" w:hint="ascii"/>
          <w:sz w:val="21"/>
        </w:rPr>
        <w:t>功能的时空演变过程，重视人类高强度利用导致的土壤质量与土壤功能变化的物理、化学和生物学机理研究。</w:t>
      </w:r>
    </w:p>
    <w:p>
      <w:pPr>
        <w:autoSpaceDE w:val="0"/>
        <w:autoSpaceDN w:val="0"/>
        <w:jc w:val="left"/>
        <w:spacing w:before="5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环境地球科学主要以地球科学（地质、地球化学、地球物理和地理学等）的理论、</w:t>
      </w:r>
    </w:p>
    <w:p>
      <w:pPr>
        <w:autoSpaceDE w:val="0"/>
        <w:autoSpaceDN w:val="0"/>
        <w:jc w:val="both"/>
        <w:spacing w:before="14" w:after="0" w:lineRule="exact" w:line="325"/>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方法和手</w:t>
      </w:r>
      <w:r>
        <w:rPr>
          <w:rFonts w:ascii="宋体" w:hAnsi="宋体" w:cs="宋体" w:eastAsia="宋体" w:hint="ascii"/>
          <w:sz w:val="21"/>
        </w:rPr>
        <w:t>段研究地球环境变化的规律，研究大气环境、水环境、土壤环境变化及其与生</w:t>
      </w:r>
      <w:r>
        <w:rPr>
          <w:rFonts w:ascii="宋体" w:hAnsi="宋体" w:cs="宋体" w:eastAsia="宋体" w:hint="ascii"/>
          <w:sz w:val="21"/>
          <w:spacing w:val="-1"/>
        </w:rPr>
        <w:t>物圈演化</w:t>
      </w:r>
      <w:r>
        <w:rPr>
          <w:rFonts w:ascii="宋体" w:hAnsi="宋体" w:cs="宋体" w:eastAsia="宋体" w:hint="ascii"/>
          <w:sz w:val="21"/>
        </w:rPr>
        <w:t>之间的关系，研究自然和人为活动影响下的各种地质和环境灾害发生发展规律</w:t>
      </w:r>
      <w:r>
        <w:rPr>
          <w:rFonts w:ascii="宋体" w:hAnsi="宋体" w:cs="宋体" w:eastAsia="宋体" w:hint="ascii"/>
          <w:sz w:val="21"/>
          <w:spacing w:val="-1"/>
        </w:rPr>
        <w:t>和风险评</w:t>
      </w:r>
      <w:r>
        <w:rPr>
          <w:rFonts w:ascii="宋体" w:hAnsi="宋体" w:cs="宋体" w:eastAsia="宋体" w:hint="ascii"/>
          <w:sz w:val="21"/>
        </w:rPr>
        <w:t>估理论，研究各种污染环境和退化生态系统修复和恢复的基础科学问题。鼓励为实现人类社会可持续发展的多学科交叉和系统科学研究。</w:t>
      </w:r>
    </w:p>
    <w:p>
      <w:pPr>
        <w:autoSpaceDE w:val="0"/>
        <w:autoSpaceDN w:val="0"/>
        <w:jc w:val="left"/>
        <w:spacing w:before="273"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地</w:t>
      </w:r>
      <w:r>
        <w:rPr>
          <w:rFonts w:ascii="宋体" w:hAnsi="宋体" w:cs="宋体" w:eastAsia="宋体" w:hint="ascii"/>
          <w:sz w:val="29"/>
          <w:spacing w:val="73"/>
        </w:rPr>
        <w:t xml:space="preserve"> </w:t>
      </w:r>
      <w:r>
        <w:rPr>
          <w:rFonts w:ascii="宋体" w:hAnsi="宋体" w:cs="宋体" w:eastAsia="宋体" w:hint="ascii"/>
          <w:sz w:val="29"/>
        </w:rPr>
        <w:t>理</w:t>
      </w:r>
      <w:r>
        <w:rPr>
          <w:rFonts w:ascii="宋体" w:hAnsi="宋体" w:cs="宋体" w:eastAsia="宋体" w:hint="ascii"/>
          <w:sz w:val="29"/>
          <w:spacing w:val="72"/>
        </w:rPr>
        <w:t xml:space="preserve"> </w:t>
      </w:r>
      <w:r>
        <w:rPr>
          <w:rFonts w:ascii="宋体" w:hAnsi="宋体" w:cs="宋体" w:eastAsia="宋体" w:hint="ascii"/>
          <w:sz w:val="29"/>
        </w:rPr>
        <w:t>学</w:t>
      </w:r>
    </w:p>
    <w:p>
      <w:pPr>
        <w:autoSpaceDE w:val="0"/>
        <w:autoSpaceDN w:val="0"/>
        <w:jc w:val="left"/>
        <w:spacing w:before="352"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资助范围为：自然地理学、人文地理学、遥感与地理信息系统。</w:t>
      </w:r>
    </w:p>
    <w:p>
      <w:pPr>
        <w:autoSpaceDE w:val="0"/>
        <w:autoSpaceDN w:val="0"/>
        <w:jc w:val="both"/>
        <w:spacing w:before="12" w:after="0" w:lineRule="exact" w:line="326"/>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自然地理</w:t>
      </w:r>
      <w:r>
        <w:rPr>
          <w:rFonts w:ascii="宋体" w:hAnsi="宋体" w:cs="宋体" w:eastAsia="宋体" w:hint="ascii"/>
          <w:sz w:val="21"/>
        </w:rPr>
        <w:t>学主要探讨现代自然环境组成要素之间的相互作用关系、空间分异规律及不同时空尺度的演化过程，兼顾第四纪尤其是全新世以来的人地关系演化研究。</w:t>
      </w:r>
    </w:p>
    <w:p>
      <w:pPr>
        <w:autoSpaceDE w:val="0"/>
        <w:autoSpaceDN w:val="0"/>
        <w:jc w:val="both"/>
        <w:spacing w:before="0" w:after="0" w:lineRule="exact" w:line="325"/>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人文</w:t>
      </w:r>
      <w:r>
        <w:rPr>
          <w:rFonts w:ascii="宋体" w:hAnsi="宋体" w:cs="宋体" w:eastAsia="宋体" w:hint="ascii"/>
          <w:sz w:val="21"/>
          <w:spacing w:val="2"/>
        </w:rPr>
        <w:t>地</w:t>
      </w:r>
      <w:r>
        <w:rPr>
          <w:rFonts w:ascii="宋体" w:hAnsi="宋体" w:cs="宋体" w:eastAsia="宋体" w:hint="ascii"/>
          <w:sz w:val="21"/>
        </w:rPr>
        <w:t>理学主要</w:t>
      </w:r>
      <w:r>
        <w:rPr>
          <w:rFonts w:ascii="宋体" w:hAnsi="宋体" w:cs="宋体" w:eastAsia="宋体" w:hint="ascii"/>
          <w:sz w:val="21"/>
          <w:spacing w:val="1"/>
        </w:rPr>
        <w:t>探</w:t>
      </w:r>
      <w:r>
        <w:rPr>
          <w:rFonts w:ascii="宋体" w:hAnsi="宋体" w:cs="宋体" w:eastAsia="宋体" w:hint="ascii"/>
          <w:sz w:val="21"/>
        </w:rPr>
        <w:t>讨现代不</w:t>
      </w:r>
      <w:r>
        <w:rPr>
          <w:rFonts w:ascii="宋体" w:hAnsi="宋体" w:cs="宋体" w:eastAsia="宋体" w:hint="ascii"/>
          <w:sz w:val="21"/>
          <w:spacing w:val="1"/>
        </w:rPr>
        <w:t>同</w:t>
      </w:r>
      <w:r>
        <w:rPr>
          <w:rFonts w:ascii="宋体" w:hAnsi="宋体" w:cs="宋体" w:eastAsia="宋体" w:hint="ascii"/>
          <w:sz w:val="21"/>
        </w:rPr>
        <w:t>类型人文</w:t>
      </w:r>
      <w:r>
        <w:rPr>
          <w:rFonts w:ascii="宋体" w:hAnsi="宋体" w:cs="宋体" w:eastAsia="宋体" w:hint="ascii"/>
          <w:sz w:val="21"/>
          <w:spacing w:val="1"/>
        </w:rPr>
        <w:t>要</w:t>
      </w:r>
      <w:r>
        <w:rPr>
          <w:rFonts w:ascii="宋体" w:hAnsi="宋体" w:cs="宋体" w:eastAsia="宋体" w:hint="ascii"/>
          <w:sz w:val="21"/>
        </w:rPr>
        <w:t>素及其载</w:t>
      </w:r>
      <w:r>
        <w:rPr>
          <w:rFonts w:ascii="宋体" w:hAnsi="宋体" w:cs="宋体" w:eastAsia="宋体" w:hint="ascii"/>
          <w:sz w:val="21"/>
          <w:spacing w:val="1"/>
        </w:rPr>
        <w:t>体</w:t>
      </w:r>
      <w:r>
        <w:rPr>
          <w:rFonts w:ascii="宋体" w:hAnsi="宋体" w:cs="宋体" w:eastAsia="宋体" w:hint="ascii"/>
          <w:sz w:val="21"/>
        </w:rPr>
        <w:t>的空间结</w:t>
      </w:r>
      <w:r>
        <w:rPr>
          <w:rFonts w:ascii="宋体" w:hAnsi="宋体" w:cs="宋体" w:eastAsia="宋体" w:hint="ascii"/>
          <w:sz w:val="21"/>
          <w:spacing w:val="1"/>
        </w:rPr>
        <w:t>构</w:t>
      </w:r>
      <w:r>
        <w:rPr>
          <w:rFonts w:ascii="宋体" w:hAnsi="宋体" w:cs="宋体" w:eastAsia="宋体" w:hint="ascii"/>
          <w:sz w:val="21"/>
        </w:rPr>
        <w:t>特征及其</w:t>
      </w:r>
      <w:r>
        <w:rPr>
          <w:rFonts w:ascii="宋体" w:hAnsi="宋体" w:cs="宋体" w:eastAsia="宋体" w:hint="ascii"/>
          <w:sz w:val="21"/>
          <w:spacing w:val="1"/>
        </w:rPr>
        <w:t>演</w:t>
      </w:r>
      <w:r>
        <w:rPr>
          <w:rFonts w:ascii="宋体" w:hAnsi="宋体" w:cs="宋体" w:eastAsia="宋体" w:hint="ascii"/>
          <w:sz w:val="21"/>
        </w:rPr>
        <w:t>化</w:t>
      </w:r>
      <w:r>
        <w:rPr>
          <w:rFonts w:ascii="宋体" w:hAnsi="宋体" w:cs="宋体" w:eastAsia="宋体" w:hint="ascii"/>
          <w:sz w:val="21"/>
          <w:spacing w:val="-6"/>
        </w:rPr>
        <w:t>过</w:t>
      </w:r>
      <w:r>
        <w:rPr>
          <w:rFonts w:ascii="宋体" w:hAnsi="宋体" w:cs="宋体" w:eastAsia="宋体" w:hint="ascii"/>
          <w:sz w:val="21"/>
        </w:rPr>
        <w:t>程，重视区域人文要素空间结构形成的自然背景、历史沿革及人文机制研究。</w:t>
      </w:r>
    </w:p>
    <w:p>
      <w:pPr>
        <w:autoSpaceDE w:val="0"/>
        <w:autoSpaceDN w:val="0"/>
        <w:jc w:val="left"/>
        <w:spacing w:before="52"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遥感与地理信息系统以现代遥感技术、地理信息系统技术与空间定位技术为依托，</w:t>
      </w:r>
    </w:p>
    <w:p>
      <w:pPr>
        <w:autoSpaceDE w:val="0"/>
        <w:autoSpaceDN w:val="0"/>
        <w:jc w:val="both"/>
        <w:spacing w:before="14" w:after="0" w:lineRule="exact" w:line="325"/>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主要探讨</w:t>
      </w:r>
      <w:r>
        <w:rPr>
          <w:rFonts w:ascii="宋体" w:hAnsi="宋体" w:cs="宋体" w:eastAsia="宋体" w:hint="ascii"/>
          <w:sz w:val="21"/>
        </w:rPr>
        <w:t>地球表层地理时空信息的获取、处理、分析、表达、传输、存储及管理的理论与方法，重视地理信息的地学解释研究。</w:t>
      </w:r>
    </w:p>
    <w:p>
      <w:pPr>
        <w:autoSpaceDE w:val="0"/>
        <w:autoSpaceDN w:val="0"/>
        <w:jc w:val="left"/>
        <w:spacing w:before="271"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地</w:t>
      </w:r>
      <w:r>
        <w:rPr>
          <w:rFonts w:ascii="宋体" w:hAnsi="宋体" w:cs="宋体" w:eastAsia="宋体" w:hint="ascii"/>
          <w:sz w:val="29"/>
          <w:spacing w:val="73"/>
        </w:rPr>
        <w:t xml:space="preserve"> </w:t>
      </w:r>
      <w:r>
        <w:rPr>
          <w:rFonts w:ascii="宋体" w:hAnsi="宋体" w:cs="宋体" w:eastAsia="宋体" w:hint="ascii"/>
          <w:sz w:val="29"/>
        </w:rPr>
        <w:t>质</w:t>
      </w:r>
      <w:r>
        <w:rPr>
          <w:rFonts w:ascii="宋体" w:hAnsi="宋体" w:cs="宋体" w:eastAsia="宋体" w:hint="ascii"/>
          <w:sz w:val="29"/>
          <w:spacing w:val="72"/>
        </w:rPr>
        <w:t xml:space="preserve"> </w:t>
      </w:r>
      <w:r>
        <w:rPr>
          <w:rFonts w:ascii="宋体" w:hAnsi="宋体" w:cs="宋体" w:eastAsia="宋体" w:hint="ascii"/>
          <w:sz w:val="29"/>
        </w:rPr>
        <w:t>学</w:t>
      </w:r>
    </w:p>
    <w:p>
      <w:pPr>
        <w:autoSpaceDE w:val="0"/>
        <w:autoSpaceDN w:val="0"/>
        <w:jc w:val="left"/>
        <w:spacing w:before="35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资助范围为：地质学。</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地质学是关于地球组成、结构及地球演化历史的知识体系。现代地质学不仅要阐明</w:t>
      </w:r>
    </w:p>
    <w:p>
      <w:pPr>
        <w:autoSpaceDE w:val="0"/>
        <w:autoSpaceDN w:val="0"/>
        <w:jc w:val="both"/>
        <w:spacing w:before="14" w:after="0" w:lineRule="exact" w:line="325"/>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地球的结</w:t>
      </w:r>
      <w:r>
        <w:rPr>
          <w:rFonts w:ascii="宋体" w:hAnsi="宋体" w:cs="宋体" w:eastAsia="宋体" w:hint="ascii"/>
          <w:sz w:val="21"/>
        </w:rPr>
        <w:t>构、物质组成、控制物质转换的机制以及由这些物质记录的地球环境、生命演</w:t>
      </w:r>
      <w:r>
        <w:rPr>
          <w:rFonts w:ascii="宋体" w:hAnsi="宋体" w:cs="宋体" w:eastAsia="宋体" w:hint="ascii"/>
          <w:sz w:val="21"/>
          <w:spacing w:val="-1"/>
        </w:rPr>
        <w:t>化历史及</w:t>
      </w:r>
      <w:r>
        <w:rPr>
          <w:rFonts w:ascii="宋体" w:hAnsi="宋体" w:cs="宋体" w:eastAsia="宋体" w:hint="ascii"/>
          <w:sz w:val="21"/>
        </w:rPr>
        <w:t>其相互关系，而且要揭示改变地球外层的营力和改造地球表层的过程，并运用</w:t>
      </w:r>
      <w:r>
        <w:rPr>
          <w:rFonts w:ascii="宋体" w:hAnsi="宋体" w:cs="宋体" w:eastAsia="宋体" w:hint="ascii"/>
          <w:sz w:val="21"/>
          <w:spacing w:val="-1"/>
        </w:rPr>
        <w:t>地质学知</w:t>
      </w:r>
      <w:r>
        <w:rPr>
          <w:rFonts w:ascii="宋体" w:hAnsi="宋体" w:cs="宋体" w:eastAsia="宋体" w:hint="ascii"/>
          <w:sz w:val="21"/>
        </w:rPr>
        <w:t>识查明可供利用的能源、矿产和水资源，揭示地质过程、生命演化和人类活动的关系，保护地球环境，预防（警）和减轻地质灾害。</w:t>
      </w:r>
    </w:p>
    <w:p>
      <w:pPr>
        <w:autoSpaceDE w:val="0"/>
        <w:autoSpaceDN w:val="0"/>
        <w:jc w:val="left"/>
        <w:spacing w:before="5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地质学的发展建立在理论和技术进步基础之上。板块构造理论的提出使人类对地球</w:t>
      </w:r>
    </w:p>
    <w:p>
      <w:pPr>
        <w:autoSpaceDE w:val="0"/>
        <w:autoSpaceDN w:val="0"/>
        <w:jc w:val="left"/>
        <w:spacing w:before="6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3"/>
        </w:rPr>
        <w:t>的认识发</w:t>
      </w:r>
      <w:r>
        <w:rPr>
          <w:rFonts w:ascii="宋体" w:hAnsi="宋体" w:cs="宋体" w:eastAsia="宋体" w:hint="ascii"/>
          <w:sz w:val="21"/>
        </w:rPr>
        <w:t>生</w:t>
      </w:r>
      <w:r>
        <w:rPr>
          <w:rFonts w:ascii="宋体" w:hAnsi="宋体" w:cs="宋体" w:eastAsia="宋体" w:hint="ascii"/>
          <w:sz w:val="21"/>
          <w:spacing w:val="3"/>
        </w:rPr>
        <w:t>了革命性</w:t>
      </w:r>
      <w:r>
        <w:rPr>
          <w:rFonts w:ascii="宋体" w:hAnsi="宋体" w:cs="宋体" w:eastAsia="宋体" w:hint="ascii"/>
          <w:sz w:val="21"/>
        </w:rPr>
        <w:t>飞</w:t>
      </w:r>
      <w:r>
        <w:rPr>
          <w:rFonts w:ascii="宋体" w:hAnsi="宋体" w:cs="宋体" w:eastAsia="宋体" w:hint="ascii"/>
          <w:sz w:val="21"/>
          <w:spacing w:val="3"/>
        </w:rPr>
        <w:t>跃；对大</w:t>
      </w:r>
      <w:r>
        <w:rPr>
          <w:rFonts w:ascii="宋体" w:hAnsi="宋体" w:cs="宋体" w:eastAsia="宋体" w:hint="ascii"/>
          <w:sz w:val="21"/>
        </w:rPr>
        <w:t>陆</w:t>
      </w:r>
      <w:r>
        <w:rPr>
          <w:rFonts w:ascii="宋体" w:hAnsi="宋体" w:cs="宋体" w:eastAsia="宋体" w:hint="ascii"/>
          <w:sz w:val="21"/>
          <w:spacing w:val="3"/>
        </w:rPr>
        <w:t>内部更为</w:t>
      </w:r>
      <w:r>
        <w:rPr>
          <w:rFonts w:ascii="宋体" w:hAnsi="宋体" w:cs="宋体" w:eastAsia="宋体" w:hint="ascii"/>
          <w:sz w:val="21"/>
        </w:rPr>
        <w:t>复</w:t>
      </w:r>
      <w:r>
        <w:rPr>
          <w:rFonts w:ascii="宋体" w:hAnsi="宋体" w:cs="宋体" w:eastAsia="宋体" w:hint="ascii"/>
          <w:sz w:val="21"/>
          <w:spacing w:val="3"/>
        </w:rPr>
        <w:t>杂的动力</w:t>
      </w:r>
      <w:r>
        <w:rPr>
          <w:rFonts w:ascii="宋体" w:hAnsi="宋体" w:cs="宋体" w:eastAsia="宋体" w:hint="ascii"/>
          <w:sz w:val="21"/>
        </w:rPr>
        <w:t>学</w:t>
      </w:r>
      <w:r>
        <w:rPr>
          <w:rFonts w:ascii="宋体" w:hAnsi="宋体" w:cs="宋体" w:eastAsia="宋体" w:hint="ascii"/>
          <w:sz w:val="21"/>
          <w:spacing w:val="3"/>
        </w:rPr>
        <w:t>过程和前</w:t>
      </w:r>
      <w:r>
        <w:rPr>
          <w:rFonts w:ascii="宋体" w:hAnsi="宋体" w:cs="宋体" w:eastAsia="宋体" w:hint="ascii"/>
          <w:sz w:val="21"/>
        </w:rPr>
        <w:t>板</w:t>
      </w:r>
      <w:r>
        <w:rPr>
          <w:rFonts w:ascii="宋体" w:hAnsi="宋体" w:cs="宋体" w:eastAsia="宋体" w:hint="ascii"/>
          <w:sz w:val="21"/>
          <w:spacing w:val="3"/>
        </w:rPr>
        <w:t>块构造体系</w:t>
      </w:r>
      <w:r>
        <w:rPr>
          <w:rFonts w:ascii="宋体" w:hAnsi="宋体" w:cs="宋体" w:eastAsia="宋体" w:hint="ascii"/>
          <w:sz w:val="21"/>
          <w:spacing w:val="4"/>
        </w:rPr>
        <w:t>的</w:t>
      </w:r>
      <w:r>
        <w:rPr>
          <w:rFonts w:ascii="宋体" w:hAnsi="宋体" w:cs="宋体" w:eastAsia="宋体" w:hint="ascii"/>
          <w:sz w:val="21"/>
        </w:rPr>
        <w:t>探</w:t>
      </w:r>
    </w:p>
    <w:p>
      <w:pPr>
        <w:autoSpaceDE w:val="0"/>
        <w:autoSpaceDN w:val="0"/>
        <w:jc w:val="left"/>
        <w:spacing w:before="35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45" w:after="0" w:lineRule="exact" w:line="326"/>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索，成为板块</w:t>
      </w:r>
      <w:r>
        <w:rPr>
          <w:rFonts w:ascii="宋体" w:hAnsi="宋体" w:cs="宋体" w:eastAsia="宋体" w:hint="ascii"/>
          <w:sz w:val="21"/>
        </w:rPr>
        <w:t>构造理论深化和发展的重要方向。地球系统科学理念的兴起，使得探讨地</w:t>
      </w:r>
      <w:r>
        <w:rPr>
          <w:rFonts w:ascii="宋体" w:hAnsi="宋体" w:cs="宋体" w:eastAsia="宋体" w:hint="ascii"/>
          <w:sz w:val="21"/>
          <w:spacing w:val="-1"/>
        </w:rPr>
        <w:t>球内部运行过</w:t>
      </w:r>
      <w:r>
        <w:rPr>
          <w:rFonts w:ascii="宋体" w:hAnsi="宋体" w:cs="宋体" w:eastAsia="宋体" w:hint="ascii"/>
          <w:sz w:val="21"/>
        </w:rPr>
        <w:t>程与地表响应成为地质学前沿领域。获取和分析数据能力的提高，成为推</w:t>
      </w:r>
      <w:r>
        <w:rPr>
          <w:rFonts w:ascii="宋体" w:hAnsi="宋体" w:cs="宋体" w:eastAsia="宋体" w:hint="ascii"/>
          <w:sz w:val="21"/>
          <w:spacing w:val="-1"/>
        </w:rPr>
        <w:t>动地质学发展</w:t>
      </w:r>
      <w:r>
        <w:rPr>
          <w:rFonts w:ascii="宋体" w:hAnsi="宋体" w:cs="宋体" w:eastAsia="宋体" w:hint="ascii"/>
          <w:sz w:val="21"/>
        </w:rPr>
        <w:t>的重要驱动力：高精度、原位、实时的地球物质成分和结构分析方法的完</w:t>
      </w:r>
      <w:r>
        <w:rPr>
          <w:rFonts w:ascii="宋体" w:hAnsi="宋体" w:cs="宋体" w:eastAsia="宋体" w:hint="ascii"/>
          <w:sz w:val="21"/>
          <w:spacing w:val="-1"/>
        </w:rPr>
        <w:t>善，增强了对</w:t>
      </w:r>
      <w:r>
        <w:rPr>
          <w:rFonts w:ascii="宋体" w:hAnsi="宋体" w:cs="宋体" w:eastAsia="宋体" w:hint="ascii"/>
          <w:sz w:val="21"/>
        </w:rPr>
        <w:t>地球物质组成及演化历史的约束能力；地球物理探测、空间对地观测和地</w:t>
      </w:r>
      <w:r>
        <w:rPr>
          <w:rFonts w:ascii="宋体" w:hAnsi="宋体" w:cs="宋体" w:eastAsia="宋体" w:hint="ascii"/>
          <w:sz w:val="21"/>
          <w:spacing w:val="-1"/>
        </w:rPr>
        <w:t>质钻探技术的</w:t>
      </w:r>
      <w:r>
        <w:rPr>
          <w:rFonts w:ascii="宋体" w:hAnsi="宋体" w:cs="宋体" w:eastAsia="宋体" w:hint="ascii"/>
          <w:sz w:val="21"/>
        </w:rPr>
        <w:t>发展，使人们对地球构造的认识更为完整和精确；信息、物联网和光电子</w:t>
      </w:r>
      <w:r>
        <w:rPr>
          <w:rFonts w:ascii="宋体" w:hAnsi="宋体" w:cs="宋体" w:eastAsia="宋体" w:hint="ascii"/>
          <w:sz w:val="21"/>
          <w:spacing w:val="-1"/>
        </w:rPr>
        <w:t>等高新技术的</w:t>
      </w:r>
      <w:r>
        <w:rPr>
          <w:rFonts w:ascii="宋体" w:hAnsi="宋体" w:cs="宋体" w:eastAsia="宋体" w:hint="ascii"/>
          <w:sz w:val="21"/>
        </w:rPr>
        <w:t>应用，实现了对地壳运动、地震与火山等活动的实时监测；计算模拟和高</w:t>
      </w:r>
      <w:r>
        <w:rPr>
          <w:rFonts w:ascii="宋体" w:hAnsi="宋体" w:cs="宋体" w:eastAsia="宋体" w:hint="ascii"/>
          <w:sz w:val="21"/>
          <w:spacing w:val="-1"/>
        </w:rPr>
        <w:t>温高压实验等</w:t>
      </w:r>
      <w:r>
        <w:rPr>
          <w:rFonts w:ascii="宋体" w:hAnsi="宋体" w:cs="宋体" w:eastAsia="宋体" w:hint="ascii"/>
          <w:sz w:val="21"/>
        </w:rPr>
        <w:t>技术的发展，使科学家能对重要地质过程进行再现和预测。地质学研究鼓</w:t>
      </w:r>
      <w:r>
        <w:rPr>
          <w:rFonts w:ascii="宋体" w:hAnsi="宋体" w:cs="宋体" w:eastAsia="宋体" w:hint="ascii"/>
          <w:sz w:val="21"/>
          <w:spacing w:val="-1"/>
        </w:rPr>
        <w:t>励立足于扎实</w:t>
      </w:r>
      <w:r>
        <w:rPr>
          <w:rFonts w:ascii="宋体" w:hAnsi="宋体" w:cs="宋体" w:eastAsia="宋体" w:hint="ascii"/>
          <w:sz w:val="21"/>
        </w:rPr>
        <w:t>的野外、现场和实时观察基础上的研究工作，以及利用行业部门和企业积</w:t>
      </w:r>
      <w:r>
        <w:rPr>
          <w:rFonts w:ascii="宋体" w:hAnsi="宋体" w:cs="宋体" w:eastAsia="宋体" w:hint="ascii"/>
          <w:sz w:val="21"/>
          <w:spacing w:val="-1"/>
        </w:rPr>
        <w:t>累的基础资料</w:t>
      </w:r>
      <w:r>
        <w:rPr>
          <w:rFonts w:ascii="宋体" w:hAnsi="宋体" w:cs="宋体" w:eastAsia="宋体" w:hint="ascii"/>
          <w:sz w:val="21"/>
        </w:rPr>
        <w:t>凝练的基础研究工作。积极推动综合运用数学、物理、化学、生物学和计</w:t>
      </w:r>
      <w:r>
        <w:rPr>
          <w:rFonts w:ascii="宋体" w:hAnsi="宋体" w:cs="宋体" w:eastAsia="宋体" w:hint="ascii"/>
          <w:sz w:val="21"/>
          <w:spacing w:val="-1"/>
        </w:rPr>
        <w:t>算信息科学等</w:t>
      </w:r>
      <w:r>
        <w:rPr>
          <w:rFonts w:ascii="宋体" w:hAnsi="宋体" w:cs="宋体" w:eastAsia="宋体" w:hint="ascii"/>
          <w:sz w:val="21"/>
        </w:rPr>
        <w:t>相关学科的理论、方法和技术，探讨地质科学问题。倡导面向国际，以全球视野开展地质学理论研究。</w:t>
      </w:r>
      <w:r>
        <w:rPr>
          <w:rFonts w:ascii="宋体" w:hAnsi="宋体" w:cs="宋体" w:eastAsia="宋体" w:hint="ascii"/>
          <w:sz w:val="21"/>
        </w:rPr>
        <mc:AlternateContent>
          <mc:Choice Requires="wps">
            <w:drawing>
              <wp:anchor distL="0" distR="0" distT="0" distB="0" simplePos="0" behindDoc="1" relativeHeight="99" locked="0" layoutInCell="1" allowOverlap="1">
                <wp:simplePos x="0" y="0"/>
                <wp:positionH relativeFrom="page">
                  <wp:posOffset>938530</wp:posOffset>
                </wp:positionH>
                <wp:positionV relativeFrom="page">
                  <wp:posOffset>819150</wp:posOffset>
                </wp:positionV>
                <wp:extent cx="5076190" cy="0"/>
                <wp:wrapNone/>
                <wp:docPr id="1127" name="112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56864;width:399.70pt;" id="112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67" w:after="0" w:lineRule="exact" w:line="363"/>
        <w:ind w:right="0" w:left="4159" w:firstLine="0"/>
        <w:snapToGrid w:val="0"/>
        <w:textAlignment w:val="auto"/>
        <w:tabs/>
        <w:rPr>
          <w:rFonts w:ascii="宋体" w:hAnsi="宋体" w:cs="宋体" w:eastAsia="宋体" w:hint="ascii"/>
          <w:sz w:val="29"/>
        </w:rPr>
      </w:pPr>
      <w:r>
        <w:rPr>
          <w:rFonts w:ascii="宋体" w:hAnsi="宋体" w:cs="宋体" w:eastAsia="宋体" w:hint="ascii"/>
          <w:sz w:val="29"/>
        </w:rPr>
        <w:t>地 球 化 学</w:t>
      </w:r>
    </w:p>
    <w:p>
      <w:pPr>
        <w:autoSpaceDE w:val="0"/>
        <w:autoSpaceDN w:val="0"/>
        <w:jc w:val="left"/>
        <w:spacing w:before="35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地球化学是研究地球表层和内部、天体和其他宇宙物质的化学组成、化学作用、化</w:t>
      </w:r>
    </w:p>
    <w:p>
      <w:pPr>
        <w:autoSpaceDE w:val="0"/>
        <w:autoSpaceDN w:val="0"/>
        <w:jc w:val="both"/>
        <w:spacing w:before="14" w:after="0" w:lineRule="exact" w:line="325"/>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学演化的学科，主要</w:t>
      </w:r>
      <w:r>
        <w:rPr>
          <w:rFonts w:ascii="宋体" w:hAnsi="宋体" w:cs="宋体" w:eastAsia="宋体" w:hint="ascii"/>
          <w:sz w:val="21"/>
        </w:rPr>
        <w:t>采用元素和同位素示踪、宏观和微观结构解析、有机质和生物</w:t>
      </w:r>
      <w:r>
        <w:rPr>
          <w:rFonts w:ascii="宋体" w:hAnsi="宋体" w:cs="宋体" w:eastAsia="宋体" w:hint="ascii"/>
          <w:sz w:val="21"/>
          <w:spacing w:val="-6"/>
        </w:rPr>
        <w:t>分</w:t>
      </w:r>
      <w:r>
        <w:rPr>
          <w:rFonts w:ascii="宋体" w:hAnsi="宋体" w:cs="宋体" w:eastAsia="宋体" w:hint="ascii"/>
          <w:sz w:val="21"/>
          <w:spacing w:val="-1"/>
        </w:rPr>
        <w:t>析、同位素</w:t>
      </w:r>
      <w:r>
        <w:rPr>
          <w:rFonts w:ascii="宋体" w:hAnsi="宋体" w:cs="宋体" w:eastAsia="宋体" w:hint="ascii"/>
          <w:sz w:val="21"/>
        </w:rPr>
        <w:t>和化学定年等相关技术、方法和理论，着重研究地球历史和现代不同时期各</w:t>
      </w:r>
      <w:r>
        <w:rPr>
          <w:rFonts w:ascii="宋体" w:hAnsi="宋体" w:cs="宋体" w:eastAsia="宋体" w:hint="ascii"/>
          <w:sz w:val="21"/>
          <w:spacing w:val="-1"/>
        </w:rPr>
        <w:t>圈层的物质</w:t>
      </w:r>
      <w:r>
        <w:rPr>
          <w:rFonts w:ascii="宋体" w:hAnsi="宋体" w:cs="宋体" w:eastAsia="宋体" w:hint="ascii"/>
          <w:sz w:val="21"/>
        </w:rPr>
        <w:t>演化过程和相互作用机制，以及人类活动和自然因素影响条件下地球表层系统中物质的分布、状态、转化、运移、循环和归趋规律。</w:t>
      </w:r>
    </w:p>
    <w:p>
      <w:pPr>
        <w:autoSpaceDE w:val="0"/>
        <w:autoSpaceDN w:val="0"/>
        <w:jc w:val="left"/>
        <w:spacing w:before="5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地球化学不仅是人类认知地球和宇宙的基础学科，也是解决人类生存和发展面临的</w:t>
      </w:r>
    </w:p>
    <w:p>
      <w:pPr>
        <w:autoSpaceDE w:val="0"/>
        <w:autoSpaceDN w:val="0"/>
        <w:jc w:val="both"/>
        <w:spacing w:before="13" w:after="0" w:lineRule="exact" w:line="326"/>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自然资源、生</w:t>
      </w:r>
      <w:r>
        <w:rPr>
          <w:rFonts w:ascii="宋体" w:hAnsi="宋体" w:cs="宋体" w:eastAsia="宋体" w:hint="ascii"/>
          <w:sz w:val="21"/>
        </w:rPr>
        <w:t>态环境、地质灾害问题的应用性学科。行星科学、地球系统科学等新兴和</w:t>
      </w:r>
      <w:r>
        <w:rPr>
          <w:rFonts w:ascii="宋体" w:hAnsi="宋体" w:cs="宋体" w:eastAsia="宋体" w:hint="ascii"/>
          <w:sz w:val="21"/>
          <w:spacing w:val="-1"/>
        </w:rPr>
        <w:t>交叉学科的发</w:t>
      </w:r>
      <w:r>
        <w:rPr>
          <w:rFonts w:ascii="宋体" w:hAnsi="宋体" w:cs="宋体" w:eastAsia="宋体" w:hint="ascii"/>
          <w:sz w:val="21"/>
        </w:rPr>
        <w:t>展以及分析技术的进步，满足人类可持续发展对矿产资源、化石能源、生</w:t>
      </w:r>
      <w:r>
        <w:rPr>
          <w:rFonts w:ascii="宋体" w:hAnsi="宋体" w:cs="宋体" w:eastAsia="宋体" w:hint="ascii"/>
          <w:sz w:val="21"/>
          <w:spacing w:val="-1"/>
        </w:rPr>
        <w:t>态安全和环境</w:t>
      </w:r>
      <w:r>
        <w:rPr>
          <w:rFonts w:ascii="宋体" w:hAnsi="宋体" w:cs="宋体" w:eastAsia="宋体" w:hint="ascii"/>
          <w:sz w:val="21"/>
        </w:rPr>
        <w:t>保护的需求，共同促使了地球化学基础理论研究和应用领域的拓展，研究</w:t>
      </w:r>
      <w:r>
        <w:rPr>
          <w:rFonts w:ascii="宋体" w:hAnsi="宋体" w:cs="宋体" w:eastAsia="宋体" w:hint="ascii"/>
          <w:sz w:val="21"/>
          <w:spacing w:val="1"/>
        </w:rPr>
        <w:t>领域涵盖了岩石、土</w:t>
      </w:r>
      <w:r>
        <w:rPr>
          <w:rFonts w:ascii="宋体" w:hAnsi="宋体" w:cs="宋体" w:eastAsia="宋体" w:hint="ascii"/>
          <w:sz w:val="21"/>
        </w:rPr>
        <w:t>壤、水体、大气、</w:t>
      </w:r>
      <w:r>
        <w:rPr>
          <w:rFonts w:ascii="宋体" w:hAnsi="宋体" w:cs="宋体" w:eastAsia="宋体" w:hint="ascii"/>
          <w:sz w:val="21"/>
        </w:rPr>
        <w:t>地球内部挥发分及</w:t>
      </w:r>
      <w:r>
        <w:rPr>
          <w:rFonts w:ascii="宋体" w:hAnsi="宋体" w:cs="宋体" w:eastAsia="宋体" w:hint="ascii"/>
          <w:sz w:val="21"/>
        </w:rPr>
        <w:t>生物体等各种介质的化学</w:t>
      </w:r>
      <w:r>
        <w:rPr>
          <w:rFonts w:ascii="宋体" w:hAnsi="宋体" w:cs="宋体" w:eastAsia="宋体" w:hint="ascii"/>
          <w:sz w:val="21"/>
          <w:spacing w:val="-6"/>
        </w:rPr>
        <w:t>组</w:t>
      </w:r>
      <w:r>
        <w:rPr>
          <w:rFonts w:ascii="宋体" w:hAnsi="宋体" w:cs="宋体" w:eastAsia="宋体" w:hint="ascii"/>
          <w:sz w:val="21"/>
        </w:rPr>
        <w:t>成、化学作用和化学演化过程与机理、影响与调控。</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现代地球化学研究的特点是：</w:t>
      </w:r>
      <w:r>
        <w:rPr>
          <w:rFonts w:ascii="宋体" w:hAnsi="宋体" w:cs="宋体" w:eastAsia="宋体" w:hint="ascii"/>
          <w:sz w:val="21"/>
        </w:rPr>
        <w:t>①</w:t>
      </w:r>
      <w:r>
        <w:rPr>
          <w:rFonts w:ascii="宋体" w:hAnsi="宋体" w:cs="宋体" w:eastAsia="宋体" w:hint="ascii"/>
          <w:sz w:val="21"/>
        </w:rPr>
        <w:t>在固体地球化学领域，从研究地球深部的物质组成</w:t>
      </w:r>
    </w:p>
    <w:p>
      <w:pPr>
        <w:autoSpaceDE w:val="0"/>
        <w:autoSpaceDN w:val="0"/>
        <w:jc w:val="both"/>
        <w:spacing w:before="13" w:after="0" w:lineRule="exact" w:line="326"/>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和化学作用发</w:t>
      </w:r>
      <w:r>
        <w:rPr>
          <w:rFonts w:ascii="宋体" w:hAnsi="宋体" w:cs="宋体" w:eastAsia="宋体" w:hint="ascii"/>
          <w:sz w:val="21"/>
        </w:rPr>
        <w:t>展到研究不同圈层之间的相互作用及其资源、环境和生态效应，从研究地</w:t>
      </w:r>
      <w:r>
        <w:rPr>
          <w:rFonts w:ascii="宋体" w:hAnsi="宋体" w:cs="宋体" w:eastAsia="宋体" w:hint="ascii"/>
          <w:sz w:val="21"/>
          <w:spacing w:val="1"/>
        </w:rPr>
        <w:t>球本身发展到宇宙化</w:t>
      </w:r>
      <w:r>
        <w:rPr>
          <w:rFonts w:ascii="宋体" w:hAnsi="宋体" w:cs="宋体" w:eastAsia="宋体" w:hint="ascii"/>
          <w:sz w:val="21"/>
        </w:rPr>
        <w:t>学和比较行星学，重视发挥地球化学微区原位分析技术的高分</w:t>
      </w:r>
      <w:r>
        <w:rPr>
          <w:rFonts w:ascii="宋体" w:hAnsi="宋体" w:cs="宋体" w:eastAsia="宋体" w:hint="ascii"/>
          <w:sz w:val="21"/>
          <w:spacing w:val="-6"/>
        </w:rPr>
        <w:t>辨</w:t>
      </w:r>
      <w:r>
        <w:rPr>
          <w:rFonts w:ascii="宋体" w:hAnsi="宋体" w:cs="宋体" w:eastAsia="宋体" w:hint="ascii"/>
          <w:sz w:val="21"/>
          <w:spacing w:val="-1"/>
        </w:rPr>
        <w:t>率、高精度和</w:t>
      </w:r>
      <w:r>
        <w:rPr>
          <w:rFonts w:ascii="宋体" w:hAnsi="宋体" w:cs="宋体" w:eastAsia="宋体" w:hint="ascii"/>
          <w:sz w:val="21"/>
        </w:rPr>
        <w:t>高灵敏度优势，研究地球圈层过程和物质结构，重视地球化学与板块构造</w:t>
      </w:r>
      <w:r>
        <w:rPr>
          <w:rFonts w:ascii="宋体" w:hAnsi="宋体" w:cs="宋体" w:eastAsia="宋体" w:hint="ascii"/>
          <w:sz w:val="21"/>
          <w:spacing w:val="-1"/>
        </w:rPr>
        <w:t>演化和全球变</w:t>
      </w:r>
      <w:r>
        <w:rPr>
          <w:rFonts w:ascii="宋体" w:hAnsi="宋体" w:cs="宋体" w:eastAsia="宋体" w:hint="ascii"/>
          <w:sz w:val="21"/>
        </w:rPr>
        <w:t>化的结合；</w:t>
      </w:r>
      <w:r>
        <w:rPr>
          <w:rFonts w:ascii="宋体" w:hAnsi="宋体" w:cs="宋体" w:eastAsia="宋体" w:hint="ascii"/>
          <w:sz w:val="21"/>
        </w:rPr>
        <w:t>②</w:t>
      </w:r>
      <w:r>
        <w:rPr>
          <w:rFonts w:ascii="宋体" w:hAnsi="宋体" w:cs="宋体" w:eastAsia="宋体" w:hint="ascii"/>
          <w:sz w:val="21"/>
        </w:rPr>
        <w:t>在研究方法和技术方面，从静态的半定量描述逐步转向动态</w:t>
      </w:r>
      <w:r>
        <w:rPr>
          <w:rFonts w:ascii="宋体" w:hAnsi="宋体" w:cs="宋体" w:eastAsia="宋体" w:hint="ascii"/>
          <w:sz w:val="21"/>
          <w:spacing w:val="-1"/>
        </w:rPr>
        <w:t>的定量模拟，</w:t>
      </w:r>
      <w:r>
        <w:rPr>
          <w:rFonts w:ascii="宋体" w:hAnsi="宋体" w:cs="宋体" w:eastAsia="宋体" w:hint="ascii"/>
          <w:sz w:val="21"/>
        </w:rPr>
        <w:t>更加注重对四维时空演化规律的研究；</w:t>
      </w:r>
      <w:r>
        <w:rPr>
          <w:rFonts w:ascii="宋体" w:hAnsi="宋体" w:cs="宋体" w:eastAsia="宋体" w:hint="ascii"/>
          <w:sz w:val="21"/>
        </w:rPr>
        <w:t>③</w:t>
      </w:r>
      <w:r>
        <w:rPr>
          <w:rFonts w:ascii="宋体" w:hAnsi="宋体" w:cs="宋体" w:eastAsia="宋体" w:hint="ascii"/>
          <w:sz w:val="21"/>
        </w:rPr>
        <w:t>既注重对长时间尺度内生地质事</w:t>
      </w:r>
      <w:r>
        <w:rPr>
          <w:rFonts w:ascii="宋体" w:hAnsi="宋体" w:cs="宋体" w:eastAsia="宋体" w:hint="ascii"/>
          <w:sz w:val="21"/>
          <w:spacing w:val="-1"/>
        </w:rPr>
        <w:t>件的重建，也</w:t>
      </w:r>
      <w:r>
        <w:rPr>
          <w:rFonts w:ascii="宋体" w:hAnsi="宋体" w:cs="宋体" w:eastAsia="宋体" w:hint="ascii"/>
          <w:sz w:val="21"/>
        </w:rPr>
        <w:t>关注短时间尺度表生物理、化学和生物过程的刻画以及对地球环境未来变化的预测和模拟。</w:t>
      </w:r>
    </w:p>
    <w:p>
      <w:pPr>
        <w:autoSpaceDE w:val="0"/>
        <w:autoSpaceDN w:val="0"/>
        <w:jc w:val="left"/>
        <w:spacing w:before="269" w:after="0" w:lineRule="exact" w:line="363"/>
        <w:ind w:right="0" w:left="3361" w:firstLine="0"/>
        <w:snapToGrid w:val="0"/>
        <w:textAlignment w:val="auto"/>
        <w:tabs/>
        <w:rPr>
          <w:rFonts w:ascii="宋体" w:hAnsi="宋体" w:cs="宋体" w:eastAsia="宋体" w:hint="ascii"/>
          <w:sz w:val="29"/>
        </w:rPr>
      </w:pPr>
      <w:r>
        <w:rPr>
          <w:rFonts w:ascii="宋体" w:hAnsi="宋体" w:cs="宋体" w:eastAsia="宋体" w:hint="ascii"/>
          <w:sz w:val="29"/>
        </w:rPr>
        <w:t>地球物理学和空间物理学</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资助范围为：地球物理学、空间物理学、大地测量学。</w:t>
      </w:r>
    </w:p>
    <w:p>
      <w:pPr>
        <w:autoSpaceDE w:val="0"/>
        <w:autoSpaceDN w:val="0"/>
        <w:jc w:val="left"/>
        <w:spacing w:before="503"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地球物理学：通过对地球及行星基本物理场（重力场、磁场、电场、应力场及热流</w:t>
      </w:r>
      <w:r>
        <w:rPr>
          <w:rFonts w:ascii="宋体" w:hAnsi="宋体" w:cs="宋体" w:eastAsia="宋体" w:hint="ascii"/>
          <w:sz w:val="21"/>
        </w:rPr>
        <mc:AlternateContent>
          <mc:Choice Requires="wps">
            <w:drawing>
              <wp:anchor distL="0" distR="0" distT="0" distB="0" simplePos="0" behindDoc="1" relativeHeight="100" locked="0" layoutInCell="1" allowOverlap="1">
                <wp:simplePos x="0" y="0"/>
                <wp:positionH relativeFrom="page">
                  <wp:posOffset>938530</wp:posOffset>
                </wp:positionH>
                <wp:positionV relativeFrom="page">
                  <wp:posOffset>805815</wp:posOffset>
                </wp:positionV>
                <wp:extent cx="5076190" cy="0"/>
                <wp:wrapNone/>
                <wp:docPr id="1128" name="112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55840;width:399.70pt;" id="112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场等）和地</w:t>
      </w:r>
      <w:r>
        <w:rPr>
          <w:rFonts w:ascii="宋体" w:hAnsi="宋体" w:cs="宋体" w:eastAsia="宋体" w:hint="ascii"/>
          <w:sz w:val="21"/>
        </w:rPr>
        <w:t>震波的观测与理论研究，揭示地球和行星内部结构、成分及动力学过程，发</w:t>
      </w:r>
      <w:r>
        <w:rPr>
          <w:rFonts w:ascii="宋体" w:hAnsi="宋体" w:cs="宋体" w:eastAsia="宋体" w:hint="ascii"/>
          <w:sz w:val="21"/>
          <w:spacing w:val="-1"/>
        </w:rPr>
        <w:t>展资源勘探</w:t>
      </w:r>
      <w:r>
        <w:rPr>
          <w:rFonts w:ascii="宋体" w:hAnsi="宋体" w:cs="宋体" w:eastAsia="宋体" w:hint="ascii"/>
          <w:sz w:val="21"/>
        </w:rPr>
        <w:t>的新方法和技术，理解地震及其他自然灾害的致灾原理，为经济建设、社会发展、防灾减灾和国家安全作出重要贡献。</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空间物理学：通过天基、地基空间物理观测和理论研究，了解太阳大气、日球层、</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地球和行星</w:t>
      </w:r>
      <w:r>
        <w:rPr>
          <w:rFonts w:ascii="宋体" w:hAnsi="宋体" w:cs="宋体" w:eastAsia="宋体" w:hint="ascii"/>
          <w:sz w:val="21"/>
        </w:rPr>
        <w:t>的中高层大气、电离层、磁层中的物理现象以及它们之间的相互联系，为航天活动、通信、导航等方面作出重要贡献。</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大地测量学：通过天基、空基、地基大地测量观测和理论研究，了解地球形状、地</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球重力场、</w:t>
      </w:r>
      <w:r>
        <w:rPr>
          <w:rFonts w:ascii="宋体" w:hAnsi="宋体" w:cs="宋体" w:eastAsia="宋体" w:hint="ascii"/>
          <w:sz w:val="21"/>
        </w:rPr>
        <w:t>地壳形变场及其变化，为认识地球提供几何和重力场信息，为国家经济及国防建设提供空间基准、时间基准和重力基准。</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地球物理学、空间物理学和大地测量学从根本上讲是运用物理学理论与方法去认识</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地球、行星</w:t>
      </w:r>
      <w:r>
        <w:rPr>
          <w:rFonts w:ascii="宋体" w:hAnsi="宋体" w:cs="宋体" w:eastAsia="宋体" w:hint="ascii"/>
          <w:sz w:val="21"/>
        </w:rPr>
        <w:t>和日地空间，开发地球内部资源，了解地球与空间天气中发生的自然灾害，服务于人类的可持续发展。</w:t>
      </w:r>
    </w:p>
    <w:p>
      <w:pPr>
        <w:autoSpaceDE w:val="0"/>
        <w:autoSpaceDN w:val="0"/>
        <w:jc w:val="left"/>
        <w:spacing w:before="40"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在进一步</w:t>
      </w:r>
      <w:r>
        <w:rPr>
          <w:rFonts w:ascii="宋体" w:hAnsi="宋体" w:cs="宋体" w:eastAsia="宋体" w:hint="ascii"/>
          <w:sz w:val="21"/>
        </w:rPr>
        <w:t>加</w:t>
      </w:r>
      <w:r>
        <w:rPr>
          <w:rFonts w:ascii="宋体" w:hAnsi="宋体" w:cs="宋体" w:eastAsia="宋体" w:hint="ascii"/>
          <w:sz w:val="21"/>
          <w:spacing w:val="3"/>
        </w:rPr>
        <w:t>强基础理</w:t>
      </w:r>
      <w:r>
        <w:rPr>
          <w:rFonts w:ascii="宋体" w:hAnsi="宋体" w:cs="宋体" w:eastAsia="宋体" w:hint="ascii"/>
          <w:sz w:val="21"/>
        </w:rPr>
        <w:t>论</w:t>
      </w:r>
      <w:r>
        <w:rPr>
          <w:rFonts w:ascii="宋体" w:hAnsi="宋体" w:cs="宋体" w:eastAsia="宋体" w:hint="ascii"/>
          <w:sz w:val="21"/>
          <w:spacing w:val="3"/>
        </w:rPr>
        <w:t>研究的同</w:t>
      </w:r>
      <w:r>
        <w:rPr>
          <w:rFonts w:ascii="宋体" w:hAnsi="宋体" w:cs="宋体" w:eastAsia="宋体" w:hint="ascii"/>
          <w:sz w:val="21"/>
        </w:rPr>
        <w:t>时</w:t>
      </w:r>
      <w:r>
        <w:rPr>
          <w:rFonts w:ascii="宋体" w:hAnsi="宋体" w:cs="宋体" w:eastAsia="宋体" w:hint="ascii"/>
          <w:sz w:val="21"/>
          <w:spacing w:val="3"/>
        </w:rPr>
        <w:t>，鼓励结</w:t>
      </w:r>
      <w:r>
        <w:rPr>
          <w:rFonts w:ascii="宋体" w:hAnsi="宋体" w:cs="宋体" w:eastAsia="宋体" w:hint="ascii"/>
          <w:sz w:val="21"/>
        </w:rPr>
        <w:t>合</w:t>
      </w:r>
      <w:r>
        <w:rPr>
          <w:rFonts w:ascii="宋体" w:hAnsi="宋体" w:cs="宋体" w:eastAsia="宋体" w:hint="ascii"/>
          <w:sz w:val="21"/>
          <w:spacing w:val="3"/>
        </w:rPr>
        <w:t>理论和观</w:t>
      </w:r>
      <w:r>
        <w:rPr>
          <w:rFonts w:ascii="宋体" w:hAnsi="宋体" w:cs="宋体" w:eastAsia="宋体" w:hint="ascii"/>
          <w:sz w:val="21"/>
        </w:rPr>
        <w:t>测</w:t>
      </w:r>
      <w:r>
        <w:rPr>
          <w:rFonts w:ascii="宋体" w:hAnsi="宋体" w:cs="宋体" w:eastAsia="宋体" w:hint="ascii"/>
          <w:sz w:val="21"/>
          <w:spacing w:val="3"/>
        </w:rPr>
        <w:t>的深层次</w:t>
      </w:r>
      <w:r>
        <w:rPr>
          <w:rFonts w:ascii="宋体" w:hAnsi="宋体" w:cs="宋体" w:eastAsia="宋体" w:hint="ascii"/>
          <w:sz w:val="21"/>
        </w:rPr>
        <w:t>研</w:t>
      </w:r>
      <w:r>
        <w:rPr>
          <w:rFonts w:ascii="宋体" w:hAnsi="宋体" w:cs="宋体" w:eastAsia="宋体" w:hint="ascii"/>
          <w:sz w:val="21"/>
          <w:spacing w:val="3"/>
        </w:rPr>
        <w:t>究，注</w:t>
      </w:r>
      <w:r>
        <w:rPr>
          <w:rFonts w:ascii="宋体" w:hAnsi="宋体" w:cs="宋体" w:eastAsia="宋体" w:hint="ascii"/>
          <w:sz w:val="21"/>
          <w:spacing w:val="4"/>
        </w:rPr>
        <w:t>重</w:t>
      </w:r>
      <w:r>
        <w:rPr>
          <w:rFonts w:ascii="宋体" w:hAnsi="宋体" w:cs="宋体" w:eastAsia="宋体" w:hint="ascii"/>
          <w:sz w:val="21"/>
        </w:rPr>
        <w:t>新</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的生长点以及开</w:t>
      </w:r>
      <w:r>
        <w:rPr>
          <w:rFonts w:ascii="宋体" w:hAnsi="宋体" w:cs="宋体" w:eastAsia="宋体" w:hint="ascii"/>
          <w:sz w:val="21"/>
        </w:rPr>
        <w:t>拓新的研究方向，特别是长期以来人们关注的焦点与难点的突破；</w:t>
      </w:r>
      <w:r>
        <w:rPr>
          <w:rFonts w:ascii="宋体" w:hAnsi="宋体" w:cs="宋体" w:eastAsia="宋体" w:hint="ascii"/>
          <w:sz w:val="21"/>
          <w:spacing w:val="-6"/>
        </w:rPr>
        <w:t>特</w:t>
      </w:r>
      <w:r>
        <w:rPr>
          <w:rFonts w:ascii="宋体" w:hAnsi="宋体" w:cs="宋体" w:eastAsia="宋体" w:hint="ascii"/>
          <w:sz w:val="21"/>
          <w:spacing w:val="4"/>
        </w:rPr>
        <w:t>别关注利用新技术</w:t>
      </w:r>
      <w:r>
        <w:rPr>
          <w:rFonts w:ascii="宋体" w:hAnsi="宋体" w:cs="宋体" w:eastAsia="宋体" w:hint="ascii"/>
          <w:sz w:val="21"/>
          <w:spacing w:val="3"/>
        </w:rPr>
        <w:t>、新方法解决地球物理、空间物理和大地测量核心科学问题的</w:t>
      </w:r>
      <w:r>
        <w:rPr>
          <w:rFonts w:ascii="宋体" w:hAnsi="宋体" w:cs="宋体" w:eastAsia="宋体" w:hint="ascii"/>
          <w:sz w:val="21"/>
          <w:spacing w:val="-6"/>
        </w:rPr>
        <w:t>研</w:t>
      </w:r>
      <w:r>
        <w:rPr>
          <w:rFonts w:ascii="宋体" w:hAnsi="宋体" w:cs="宋体" w:eastAsia="宋体" w:hint="ascii"/>
          <w:sz w:val="21"/>
          <w:spacing w:val="2"/>
        </w:rPr>
        <w:t>究</w:t>
      </w:r>
      <w:r>
        <w:rPr>
          <w:rFonts w:ascii="宋体" w:hAnsi="宋体" w:cs="宋体" w:eastAsia="宋体" w:hint="ascii"/>
          <w:sz w:val="21"/>
          <w:spacing w:val="1"/>
        </w:rPr>
        <w:t>，以及各学科交</w:t>
      </w:r>
      <w:r>
        <w:rPr>
          <w:rFonts w:ascii="宋体" w:hAnsi="宋体" w:cs="宋体" w:eastAsia="宋体" w:hint="ascii"/>
          <w:sz w:val="21"/>
        </w:rPr>
        <w:t>叉的研究项目；重点扶持相关自主探测仪器研发和利用自主获取</w:t>
      </w:r>
      <w:r>
        <w:rPr>
          <w:rFonts w:ascii="宋体" w:hAnsi="宋体" w:cs="宋体" w:eastAsia="宋体" w:hint="ascii"/>
          <w:sz w:val="21"/>
          <w:spacing w:val="-6"/>
        </w:rPr>
        <w:t>的</w:t>
      </w:r>
      <w:r>
        <w:rPr>
          <w:rFonts w:ascii="宋体" w:hAnsi="宋体" w:cs="宋体" w:eastAsia="宋体" w:hint="ascii"/>
          <w:sz w:val="21"/>
          <w:spacing w:val="-1"/>
        </w:rPr>
        <w:t>观测资料进</w:t>
      </w:r>
      <w:r>
        <w:rPr>
          <w:rFonts w:ascii="宋体" w:hAnsi="宋体" w:cs="宋体" w:eastAsia="宋体" w:hint="ascii"/>
          <w:sz w:val="21"/>
        </w:rPr>
        <w:t>行研究的项目。在研究中国区域地球内部结构方面，鼓励在地震资料覆盖度</w:t>
      </w:r>
      <w:r>
        <w:rPr>
          <w:rFonts w:ascii="宋体" w:hAnsi="宋体" w:cs="宋体" w:eastAsia="宋体" w:hint="ascii"/>
          <w:sz w:val="21"/>
          <w:spacing w:val="-1"/>
        </w:rPr>
        <w:t>薄弱的地区</w:t>
      </w:r>
      <w:r>
        <w:rPr>
          <w:rFonts w:ascii="宋体" w:hAnsi="宋体" w:cs="宋体" w:eastAsia="宋体" w:hint="ascii"/>
          <w:sz w:val="21"/>
        </w:rPr>
        <w:t>加强观测研究，发展融合各种资料来源约束的新方法，促进地震资料共享。</w:t>
      </w:r>
    </w:p>
    <w:p>
      <w:pPr>
        <w:autoSpaceDE w:val="0"/>
        <w:autoSpaceDN w:val="0"/>
        <w:jc w:val="left"/>
        <w:spacing w:before="270" w:after="0" w:lineRule="exact" w:line="363"/>
        <w:ind w:right="0" w:left="4159" w:firstLine="0"/>
        <w:snapToGrid w:val="0"/>
        <w:textAlignment w:val="auto"/>
        <w:tabs/>
        <w:rPr>
          <w:rFonts w:ascii="宋体" w:hAnsi="宋体" w:cs="宋体" w:eastAsia="宋体" w:hint="ascii"/>
          <w:sz w:val="29"/>
        </w:rPr>
      </w:pPr>
      <w:r>
        <w:rPr>
          <w:rFonts w:ascii="宋体" w:hAnsi="宋体" w:cs="宋体" w:eastAsia="宋体" w:hint="ascii"/>
          <w:sz w:val="29"/>
        </w:rPr>
        <w:t>海 洋 科 学</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资助范围为：海洋科学、极地科学。</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海洋科学是研究海洋水体和海底，以及海洋与大气、海水与河口海岸等界面各种过</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程的科学，</w:t>
      </w:r>
      <w:r>
        <w:rPr>
          <w:rFonts w:ascii="宋体" w:hAnsi="宋体" w:cs="宋体" w:eastAsia="宋体" w:hint="ascii"/>
          <w:sz w:val="21"/>
        </w:rPr>
        <w:t>包括物理海洋学、海洋地质与地球物理学、海洋化学、生物海洋学、海洋环</w:t>
      </w:r>
      <w:r>
        <w:rPr>
          <w:rFonts w:ascii="宋体" w:hAnsi="宋体" w:cs="宋体" w:eastAsia="宋体" w:hint="ascii"/>
          <w:sz w:val="21"/>
          <w:spacing w:val="-1"/>
        </w:rPr>
        <w:t>境科学、河</w:t>
      </w:r>
      <w:r>
        <w:rPr>
          <w:rFonts w:ascii="宋体" w:hAnsi="宋体" w:cs="宋体" w:eastAsia="宋体" w:hint="ascii"/>
          <w:sz w:val="21"/>
        </w:rPr>
        <w:t>口海岸学、海洋工程、海洋监测与调查技术、海洋遥感、海岸带综合管理等</w:t>
      </w:r>
      <w:r>
        <w:rPr>
          <w:rFonts w:ascii="宋体" w:hAnsi="宋体" w:cs="宋体" w:eastAsia="宋体" w:hint="ascii"/>
          <w:sz w:val="21"/>
          <w:spacing w:val="-1"/>
        </w:rPr>
        <w:t>分支学科。</w:t>
      </w:r>
      <w:r>
        <w:rPr>
          <w:rFonts w:ascii="宋体" w:hAnsi="宋体" w:cs="宋体" w:eastAsia="宋体" w:hint="ascii"/>
          <w:sz w:val="21"/>
        </w:rPr>
        <w:t>数学、力学、物理、化学、生物等基础学科不断向海洋科学渗透和交叉，以</w:t>
      </w:r>
      <w:r>
        <w:rPr>
          <w:rFonts w:ascii="宋体" w:hAnsi="宋体" w:cs="宋体" w:eastAsia="宋体" w:hint="ascii"/>
          <w:sz w:val="21"/>
          <w:spacing w:val="-1"/>
        </w:rPr>
        <w:t>及高新技术</w:t>
      </w:r>
      <w:r>
        <w:rPr>
          <w:rFonts w:ascii="宋体" w:hAnsi="宋体" w:cs="宋体" w:eastAsia="宋体" w:hint="ascii"/>
          <w:sz w:val="21"/>
        </w:rPr>
        <w:t>如空间技术、信息技术、生物技术和深潜技术等在海洋中的应用，形成的新的学科前沿方向也属于海洋科学的资助范围。</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海洋科学综合性强，以观测和实验资料的积累、高新技术的应用、大型模拟工具的</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研制、研究</w:t>
      </w:r>
      <w:r>
        <w:rPr>
          <w:rFonts w:ascii="宋体" w:hAnsi="宋体" w:cs="宋体" w:eastAsia="宋体" w:hint="ascii"/>
          <w:sz w:val="21"/>
        </w:rPr>
        <w:t>的国际化为学科的重要特点。海洋科学的发展可以使社会经济更多地从海洋</w:t>
      </w:r>
      <w:r>
        <w:rPr>
          <w:rFonts w:ascii="宋体" w:hAnsi="宋体" w:cs="宋体" w:eastAsia="宋体" w:hint="ascii"/>
          <w:sz w:val="21"/>
          <w:spacing w:val="-1"/>
        </w:rPr>
        <w:t>获得资源和</w:t>
      </w:r>
      <w:r>
        <w:rPr>
          <w:rFonts w:ascii="宋体" w:hAnsi="宋体" w:cs="宋体" w:eastAsia="宋体" w:hint="ascii"/>
          <w:sz w:val="21"/>
        </w:rPr>
        <w:t>环境支撑，是衡量一个国家科技实力的重要标志。当前海洋科学的战略地位</w:t>
      </w:r>
      <w:r>
        <w:rPr>
          <w:rFonts w:ascii="宋体" w:hAnsi="宋体" w:cs="宋体" w:eastAsia="宋体" w:hint="ascii"/>
          <w:sz w:val="21"/>
          <w:spacing w:val="-1"/>
        </w:rPr>
        <w:t>急剧上升，</w:t>
      </w:r>
      <w:r>
        <w:rPr>
          <w:rFonts w:ascii="宋体" w:hAnsi="宋体" w:cs="宋体" w:eastAsia="宋体" w:hint="ascii"/>
          <w:sz w:val="21"/>
        </w:rPr>
        <w:t>具有“全球变化”和“深海研究”两大发展趋势，形成从近岸向远洋、从浅水向深海拓展的新格局。</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海洋科学本质上是一门以观测为基础的科学，其学术思想和研究水平的提升离不开</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长期观测和</w:t>
      </w:r>
      <w:r>
        <w:rPr>
          <w:rFonts w:ascii="宋体" w:hAnsi="宋体" w:cs="宋体" w:eastAsia="宋体" w:hint="ascii"/>
          <w:sz w:val="21"/>
        </w:rPr>
        <w:t>数据积累。自然科学基金委试点实施科学基金项目共享航次计划，为科学基</w:t>
      </w:r>
      <w:r>
        <w:rPr>
          <w:rFonts w:ascii="宋体" w:hAnsi="宋体" w:cs="宋体" w:eastAsia="宋体" w:hint="ascii"/>
          <w:sz w:val="21"/>
          <w:spacing w:val="1"/>
        </w:rPr>
        <w:t>金项目海上考察任务</w:t>
      </w:r>
      <w:r>
        <w:rPr>
          <w:rFonts w:ascii="宋体" w:hAnsi="宋体" w:cs="宋体" w:eastAsia="宋体" w:hint="ascii"/>
          <w:sz w:val="21"/>
        </w:rPr>
        <w:t>的实施提供保障。鼓励科学家参与共享航次，开展调查与观测</w:t>
      </w:r>
      <w:r>
        <w:rPr>
          <w:rFonts w:ascii="宋体" w:hAnsi="宋体" w:cs="宋体" w:eastAsia="宋体" w:hint="ascii"/>
          <w:sz w:val="21"/>
          <w:spacing w:val="-6"/>
        </w:rPr>
        <w:t>研</w:t>
      </w:r>
      <w:r>
        <w:rPr>
          <w:rFonts w:ascii="宋体" w:hAnsi="宋体" w:cs="宋体" w:eastAsia="宋体" w:hint="ascii"/>
          <w:sz w:val="21"/>
          <w:spacing w:val="-1"/>
        </w:rPr>
        <w:t>究，以期获</w:t>
      </w:r>
      <w:r>
        <w:rPr>
          <w:rFonts w:ascii="宋体" w:hAnsi="宋体" w:cs="宋体" w:eastAsia="宋体" w:hint="ascii"/>
          <w:sz w:val="21"/>
        </w:rPr>
        <w:t>得较为连续、系统、综合的观测数据；鼓励科学家围绕拟研究的科学问题，</w:t>
      </w:r>
      <w:r>
        <w:rPr>
          <w:rFonts w:ascii="宋体" w:hAnsi="宋体" w:cs="宋体" w:eastAsia="宋体" w:hint="ascii"/>
          <w:sz w:val="21"/>
          <w:spacing w:val="-1"/>
        </w:rPr>
        <w:t>开展现场观</w:t>
      </w:r>
      <w:r>
        <w:rPr>
          <w:rFonts w:ascii="宋体" w:hAnsi="宋体" w:cs="宋体" w:eastAsia="宋体" w:hint="ascii"/>
          <w:sz w:val="21"/>
        </w:rPr>
        <w:t>测、数值模拟与实验室分析新技术、新方法的研究，为开拓新领域、获得新</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成果提供技术</w:t>
      </w:r>
      <w:r>
        <w:rPr>
          <w:rFonts w:ascii="宋体" w:hAnsi="宋体" w:cs="宋体" w:eastAsia="宋体" w:hint="ascii"/>
          <w:sz w:val="21"/>
        </w:rPr>
        <w:t>支撑；鼓励科学家利用其他部门已有的航次计划，开展深海大洋的研究，</w:t>
      </w:r>
      <w:r>
        <w:rPr>
          <w:rFonts w:ascii="宋体" w:hAnsi="宋体" w:cs="宋体" w:eastAsia="宋体" w:hint="ascii"/>
          <w:sz w:val="21"/>
          <w:spacing w:val="-1"/>
        </w:rPr>
        <w:t>促进我国海洋</w:t>
      </w:r>
      <w:r>
        <w:rPr>
          <w:rFonts w:ascii="宋体" w:hAnsi="宋体" w:cs="宋体" w:eastAsia="宋体" w:hint="ascii"/>
          <w:sz w:val="21"/>
        </w:rPr>
        <w:t>科学的均衡发展；鼓励科学家通过对不同时空尺度的海洋物理、化学、地质和生物等过程与机制的研究，为海洋科学理论体系的发展和完善作出贡献。</w:t>
      </w:r>
      <w:r>
        <w:rPr>
          <w:rFonts w:ascii="宋体" w:hAnsi="宋体" w:cs="宋体" w:eastAsia="宋体" w:hint="ascii"/>
          <w:sz w:val="21"/>
        </w:rPr>
        <mc:AlternateContent>
          <mc:Choice Requires="wps">
            <w:drawing>
              <wp:anchor distL="0" distR="0" distT="0" distB="0" simplePos="0" behindDoc="1" relativeHeight="101" locked="0" layoutInCell="1" allowOverlap="1">
                <wp:simplePos x="0" y="0"/>
                <wp:positionH relativeFrom="page">
                  <wp:posOffset>938530</wp:posOffset>
                </wp:positionH>
                <wp:positionV relativeFrom="page">
                  <wp:posOffset>819150</wp:posOffset>
                </wp:positionV>
                <wp:extent cx="5076190" cy="0"/>
                <wp:wrapNone/>
                <wp:docPr id="1129" name="112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54816;width:399.70pt;" id="112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有出海调查需</w:t>
      </w:r>
      <w:r>
        <w:rPr>
          <w:rFonts w:ascii="宋体" w:hAnsi="宋体" w:cs="宋体" w:eastAsia="宋体" w:hint="ascii"/>
          <w:sz w:val="21"/>
        </w:rPr>
        <w:t>求的申请项目需结合研究项目的技术路线，阐述项目实施过程中的用船计划以及观测内容</w:t>
      </w:r>
      <w:r>
        <w:rPr>
          <w:rFonts w:ascii="宋体" w:hAnsi="宋体" w:cs="宋体" w:eastAsia="宋体" w:hint="ascii"/>
          <w:b w:val="1"/>
          <w:sz w:val="21"/>
        </w:rPr>
        <w:t>。</w:t>
      </w:r>
      <w:r>
        <w:rPr>
          <w:rFonts w:ascii="宋体" w:hAnsi="宋体" w:cs="宋体" w:eastAsia="宋体" w:hint="ascii"/>
          <w:sz w:val="21"/>
        </w:rPr>
        <w:t>项目申请人应密切关注地球科学部的有关通知</w:t>
      </w:r>
      <w:r>
        <w:rPr>
          <w:rFonts w:ascii="宋体" w:hAnsi="宋体" w:cs="宋体" w:eastAsia="宋体" w:hint="ascii"/>
          <w:b w:val="1"/>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极地科学是研究极地特有的各种自然现象、过程和变化规律及其与极地以外的地球</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系统单元相互</w:t>
      </w:r>
      <w:r>
        <w:rPr>
          <w:rFonts w:ascii="宋体" w:hAnsi="宋体" w:cs="宋体" w:eastAsia="宋体" w:hint="ascii"/>
          <w:sz w:val="21"/>
        </w:rPr>
        <w:t>作用的科学。它包括极地生物和生态学、极地海洋学、极区空间物理学、</w:t>
      </w:r>
      <w:r>
        <w:rPr>
          <w:rFonts w:ascii="宋体" w:hAnsi="宋体" w:cs="宋体" w:eastAsia="宋体" w:hint="ascii"/>
          <w:sz w:val="21"/>
          <w:spacing w:val="-1"/>
        </w:rPr>
        <w:t>极地大气和气</w:t>
      </w:r>
      <w:r>
        <w:rPr>
          <w:rFonts w:ascii="宋体" w:hAnsi="宋体" w:cs="宋体" w:eastAsia="宋体" w:hint="ascii"/>
          <w:sz w:val="21"/>
        </w:rPr>
        <w:t>候学、极地地质、地球物理和地球化学、南极陨石学、极地冰川学、极地</w:t>
      </w:r>
      <w:r>
        <w:rPr>
          <w:rFonts w:ascii="宋体" w:hAnsi="宋体" w:cs="宋体" w:eastAsia="宋体" w:hint="ascii"/>
          <w:sz w:val="21"/>
          <w:spacing w:val="-1"/>
        </w:rPr>
        <w:t>测绘与遥感、</w:t>
      </w:r>
      <w:r>
        <w:rPr>
          <w:rFonts w:ascii="宋体" w:hAnsi="宋体" w:cs="宋体" w:eastAsia="宋体" w:hint="ascii"/>
          <w:sz w:val="21"/>
        </w:rPr>
        <w:t>极地管理与信息科学、极地观测和工程技术等分支学科，是一门由多个学科领域构成的综合性学科。</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近年来国际极地科学研究有了长足的进展，但总体来说仍然是地球系统科学中最薄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弱的环节。针</w:t>
      </w:r>
      <w:r>
        <w:rPr>
          <w:rFonts w:ascii="宋体" w:hAnsi="宋体" w:cs="宋体" w:eastAsia="宋体" w:hint="ascii"/>
          <w:sz w:val="21"/>
        </w:rPr>
        <w:t>对当前全球变化和可持续发展的关键科学问题，打破原有的学科界限，在</w:t>
      </w:r>
      <w:r>
        <w:rPr>
          <w:rFonts w:ascii="宋体" w:hAnsi="宋体" w:cs="宋体" w:eastAsia="宋体" w:hint="ascii"/>
          <w:sz w:val="21"/>
          <w:spacing w:val="-1"/>
        </w:rPr>
        <w:t>更大的时空尺</w:t>
      </w:r>
      <w:r>
        <w:rPr>
          <w:rFonts w:ascii="宋体" w:hAnsi="宋体" w:cs="宋体" w:eastAsia="宋体" w:hint="ascii"/>
          <w:sz w:val="21"/>
        </w:rPr>
        <w:t>度上开展极地五大圈层的特性和相互作用，以及它们与中、低纬度各圈层</w:t>
      </w:r>
      <w:r>
        <w:rPr>
          <w:rFonts w:ascii="宋体" w:hAnsi="宋体" w:cs="宋体" w:eastAsia="宋体" w:hint="ascii"/>
          <w:sz w:val="21"/>
          <w:spacing w:val="-1"/>
        </w:rPr>
        <w:t>的联系的集成</w:t>
      </w:r>
      <w:r>
        <w:rPr>
          <w:rFonts w:ascii="宋体" w:hAnsi="宋体" w:cs="宋体" w:eastAsia="宋体" w:hint="ascii"/>
          <w:sz w:val="21"/>
        </w:rPr>
        <w:t>化研究，已成为当今极地科学研究发展的趋势。我国极地科学的研究应结合已有的研究基础，围绕全球变化、可持续发展等重大科学问题开展研究。</w:t>
      </w:r>
    </w:p>
    <w:p>
      <w:pPr>
        <w:autoSpaceDE w:val="0"/>
        <w:autoSpaceDN w:val="0"/>
        <w:jc w:val="left"/>
        <w:spacing w:before="270" w:after="0" w:lineRule="exact" w:line="363"/>
        <w:ind w:right="0" w:left="4159" w:firstLine="0"/>
        <w:snapToGrid w:val="0"/>
        <w:textAlignment w:val="auto"/>
        <w:tabs/>
        <w:rPr>
          <w:rFonts w:ascii="宋体" w:hAnsi="宋体" w:cs="宋体" w:eastAsia="宋体" w:hint="ascii"/>
          <w:sz w:val="29"/>
        </w:rPr>
      </w:pPr>
      <w:r>
        <w:rPr>
          <w:rFonts w:ascii="宋体" w:hAnsi="宋体" w:cs="宋体" w:eastAsia="宋体" w:hint="ascii"/>
          <w:sz w:val="29"/>
        </w:rPr>
        <w:t>大 气 科 学</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主要资助范围为：气象学、大气物理学与大气化学。</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大气科学是研究地球和行星大气中发生的各种现象及其变化规律，进而利用这些规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律为人类服务</w:t>
      </w:r>
      <w:r>
        <w:rPr>
          <w:rFonts w:ascii="宋体" w:hAnsi="宋体" w:cs="宋体" w:eastAsia="宋体" w:hint="ascii"/>
          <w:sz w:val="21"/>
        </w:rPr>
        <w:t>的科学。近年来，随着地球系统科学和圈层相互作用概念的提出，大气科</w:t>
      </w:r>
      <w:r>
        <w:rPr>
          <w:rFonts w:ascii="宋体" w:hAnsi="宋体" w:cs="宋体" w:eastAsia="宋体" w:hint="ascii"/>
          <w:sz w:val="21"/>
          <w:spacing w:val="-1"/>
        </w:rPr>
        <w:t>学研究进入一</w:t>
      </w:r>
      <w:r>
        <w:rPr>
          <w:rFonts w:ascii="宋体" w:hAnsi="宋体" w:cs="宋体" w:eastAsia="宋体" w:hint="ascii"/>
          <w:sz w:val="21"/>
        </w:rPr>
        <w:t>个崭新的历史发展时期。大气圈是地球系统中最活跃的圈层之一，其变化</w:t>
      </w:r>
      <w:r>
        <w:rPr>
          <w:rFonts w:ascii="宋体" w:hAnsi="宋体" w:cs="宋体" w:eastAsia="宋体" w:hint="ascii"/>
          <w:sz w:val="21"/>
          <w:spacing w:val="-1"/>
        </w:rPr>
        <w:t>受到地球系统</w:t>
      </w:r>
      <w:r>
        <w:rPr>
          <w:rFonts w:ascii="宋体" w:hAnsi="宋体" w:cs="宋体" w:eastAsia="宋体" w:hint="ascii"/>
          <w:sz w:val="21"/>
        </w:rPr>
        <w:t>中其他圈层和太阳等天体的控制与影响，而大气本身又对海洋、陆面、冰</w:t>
      </w:r>
      <w:r>
        <w:rPr>
          <w:rFonts w:ascii="宋体" w:hAnsi="宋体" w:cs="宋体" w:eastAsia="宋体" w:hint="ascii"/>
          <w:sz w:val="21"/>
          <w:spacing w:val="-1"/>
        </w:rPr>
        <w:t>雪和生态系统</w:t>
      </w:r>
      <w:r>
        <w:rPr>
          <w:rFonts w:ascii="宋体" w:hAnsi="宋体" w:cs="宋体" w:eastAsia="宋体" w:hint="ascii"/>
          <w:sz w:val="21"/>
        </w:rPr>
        <w:t>产生直接、重大的影响。在地球系统各圈层相互作用中，大气圈占有重要</w:t>
      </w:r>
      <w:r>
        <w:rPr>
          <w:rFonts w:ascii="宋体" w:hAnsi="宋体" w:cs="宋体" w:eastAsia="宋体" w:hint="ascii"/>
          <w:sz w:val="21"/>
          <w:spacing w:val="-1"/>
        </w:rPr>
        <w:t>地位，与地球</w:t>
      </w:r>
      <w:r>
        <w:rPr>
          <w:rFonts w:ascii="宋体" w:hAnsi="宋体" w:cs="宋体" w:eastAsia="宋体" w:hint="ascii"/>
          <w:sz w:val="21"/>
        </w:rPr>
        <w:t>其他圈层的相互作用决定着地球系统的整体行为。因此，当代大气科学除</w:t>
      </w:r>
      <w:r>
        <w:rPr>
          <w:rFonts w:ascii="宋体" w:hAnsi="宋体" w:cs="宋体" w:eastAsia="宋体" w:hint="ascii"/>
          <w:sz w:val="21"/>
          <w:spacing w:val="-1"/>
        </w:rPr>
        <w:t>研究大气圈本</w:t>
      </w:r>
      <w:r>
        <w:rPr>
          <w:rFonts w:ascii="宋体" w:hAnsi="宋体" w:cs="宋体" w:eastAsia="宋体" w:hint="ascii"/>
          <w:sz w:val="21"/>
        </w:rPr>
        <w:t>身的动力、物理、化学等过程的变化外，已从水圈、岩石圈、冰雪圈、生</w:t>
      </w:r>
      <w:r>
        <w:rPr>
          <w:rFonts w:ascii="宋体" w:hAnsi="宋体" w:cs="宋体" w:eastAsia="宋体" w:hint="ascii"/>
          <w:sz w:val="21"/>
          <w:spacing w:val="-1"/>
        </w:rPr>
        <w:t>物圈和人类活</w:t>
      </w:r>
      <w:r>
        <w:rPr>
          <w:rFonts w:ascii="宋体" w:hAnsi="宋体" w:cs="宋体" w:eastAsia="宋体" w:hint="ascii"/>
          <w:sz w:val="21"/>
        </w:rPr>
        <w:t>动对全球气候相互作用的角度全方位地研究大气运动变化的本质；研究天</w:t>
      </w:r>
      <w:r>
        <w:rPr>
          <w:rFonts w:ascii="宋体" w:hAnsi="宋体" w:cs="宋体" w:eastAsia="宋体" w:hint="ascii"/>
          <w:sz w:val="21"/>
          <w:spacing w:val="-1"/>
        </w:rPr>
        <w:t>气、气候系统</w:t>
      </w:r>
      <w:r>
        <w:rPr>
          <w:rFonts w:ascii="宋体" w:hAnsi="宋体" w:cs="宋体" w:eastAsia="宋体" w:hint="ascii"/>
          <w:sz w:val="21"/>
        </w:rPr>
        <w:t>的演变规律和预测、预报的理论和方法；研究影响天气和气候的调控技术</w:t>
      </w:r>
      <w:r>
        <w:rPr>
          <w:rFonts w:ascii="宋体" w:hAnsi="宋体" w:cs="宋体" w:eastAsia="宋体" w:hint="ascii"/>
          <w:sz w:val="21"/>
          <w:spacing w:val="-1"/>
        </w:rPr>
        <w:t>和措施；研究</w:t>
      </w:r>
      <w:r>
        <w:rPr>
          <w:rFonts w:ascii="宋体" w:hAnsi="宋体" w:cs="宋体" w:eastAsia="宋体" w:hint="ascii"/>
          <w:sz w:val="21"/>
        </w:rPr>
        <w:t>人类活动对天气、气候、环境系统的影响，以及天气、气候和环境变化对</w:t>
      </w:r>
      <w:r>
        <w:rPr>
          <w:rFonts w:ascii="宋体" w:hAnsi="宋体" w:cs="宋体" w:eastAsia="宋体" w:hint="ascii"/>
          <w:sz w:val="21"/>
          <w:spacing w:val="-1"/>
        </w:rPr>
        <w:t>人类社会的影</w:t>
      </w:r>
      <w:r>
        <w:rPr>
          <w:rFonts w:ascii="宋体" w:hAnsi="宋体" w:cs="宋体" w:eastAsia="宋体" w:hint="ascii"/>
          <w:sz w:val="21"/>
        </w:rPr>
        <w:t>响等。大气科学在各分支领域继续深化研究的同时，重视天气、气候、大</w:t>
      </w:r>
      <w:r>
        <w:rPr>
          <w:rFonts w:ascii="宋体" w:hAnsi="宋体" w:cs="宋体" w:eastAsia="宋体" w:hint="ascii"/>
          <w:sz w:val="21"/>
          <w:spacing w:val="1"/>
        </w:rPr>
        <w:t>气环境灾害事件的发</w:t>
      </w:r>
      <w:r>
        <w:rPr>
          <w:rFonts w:ascii="宋体" w:hAnsi="宋体" w:cs="宋体" w:eastAsia="宋体" w:hint="ascii"/>
          <w:sz w:val="21"/>
        </w:rPr>
        <w:t>生发展机理及其预报预测研究；重视全球气候和环境变化及其</w:t>
      </w:r>
      <w:r>
        <w:rPr>
          <w:rFonts w:ascii="宋体" w:hAnsi="宋体" w:cs="宋体" w:eastAsia="宋体" w:hint="ascii"/>
          <w:sz w:val="21"/>
          <w:spacing w:val="-6"/>
        </w:rPr>
        <w:t>影</w:t>
      </w:r>
      <w:r>
        <w:rPr>
          <w:rFonts w:ascii="宋体" w:hAnsi="宋体" w:cs="宋体" w:eastAsia="宋体" w:hint="ascii"/>
          <w:sz w:val="21"/>
          <w:spacing w:val="-1"/>
        </w:rPr>
        <w:t>响、适应和减</w:t>
      </w:r>
      <w:r>
        <w:rPr>
          <w:rFonts w:ascii="宋体" w:hAnsi="宋体" w:cs="宋体" w:eastAsia="宋体" w:hint="ascii"/>
          <w:sz w:val="21"/>
        </w:rPr>
        <w:t>缓问题；重视各种过程的综合、集成、系统化、数理建模和模拟研究；重视为民生和社会的可持续发展提供有力科学支持的多学科交叉研究。</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年度本科学处继续鼓励各种探索性、原创性、前瞻性基础研究项目的申请。</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鼓励运用其他</w:t>
      </w:r>
      <w:r>
        <w:rPr>
          <w:rFonts w:ascii="宋体" w:hAnsi="宋体" w:cs="宋体" w:eastAsia="宋体" w:hint="ascii"/>
          <w:sz w:val="21"/>
        </w:rPr>
        <w:t>学科的新思想、方法、成果和先进的设备技术，研究发生在地球大气中的</w:t>
      </w:r>
      <w:r>
        <w:rPr>
          <w:rFonts w:ascii="宋体" w:hAnsi="宋体" w:cs="宋体" w:eastAsia="宋体" w:hint="ascii"/>
          <w:sz w:val="21"/>
          <w:spacing w:val="-1"/>
        </w:rPr>
        <w:t>现象、过程及</w:t>
      </w:r>
      <w:r>
        <w:rPr>
          <w:rFonts w:ascii="宋体" w:hAnsi="宋体" w:cs="宋体" w:eastAsia="宋体" w:hint="ascii"/>
          <w:sz w:val="21"/>
        </w:rPr>
        <w:t>其机理，以及大气与其他圈层物质、能量交换等相互作用的物理、化学、</w:t>
      </w:r>
      <w:r>
        <w:rPr>
          <w:rFonts w:ascii="宋体" w:hAnsi="宋体" w:cs="宋体" w:eastAsia="宋体" w:hint="ascii"/>
          <w:sz w:val="21"/>
          <w:spacing w:val="-1"/>
        </w:rPr>
        <w:t>生物过程；鼓</w:t>
      </w:r>
      <w:r>
        <w:rPr>
          <w:rFonts w:ascii="宋体" w:hAnsi="宋体" w:cs="宋体" w:eastAsia="宋体" w:hint="ascii"/>
          <w:sz w:val="21"/>
        </w:rPr>
        <w:t>励天气学、大气动力学、大气物理、大气化学、大气环境、大气探测与遥</w:t>
      </w:r>
      <w:r>
        <w:rPr>
          <w:rFonts w:ascii="宋体" w:hAnsi="宋体" w:cs="宋体" w:eastAsia="宋体" w:hint="ascii"/>
          <w:sz w:val="21"/>
          <w:spacing w:val="-1"/>
        </w:rPr>
        <w:t>感、边界层、</w:t>
      </w:r>
      <w:r>
        <w:rPr>
          <w:rFonts w:ascii="宋体" w:hAnsi="宋体" w:cs="宋体" w:eastAsia="宋体" w:hint="ascii"/>
          <w:sz w:val="21"/>
        </w:rPr>
        <w:t>平流层、中间层大气等研究领域的项目申请；鼓励开展气候变化及极端天</w:t>
      </w:r>
      <w:r>
        <w:rPr>
          <w:rFonts w:ascii="宋体" w:hAnsi="宋体" w:cs="宋体" w:eastAsia="宋体" w:hint="ascii"/>
          <w:sz w:val="21"/>
          <w:spacing w:val="-1"/>
        </w:rPr>
        <w:t>气气候事件的</w:t>
      </w:r>
      <w:r>
        <w:rPr>
          <w:rFonts w:ascii="宋体" w:hAnsi="宋体" w:cs="宋体" w:eastAsia="宋体" w:hint="ascii"/>
          <w:sz w:val="21"/>
        </w:rPr>
        <w:t>研究；鼓励天气预报、气候预测与预估的新理论和新方法研究；鼓励数值</w:t>
      </w:r>
    </w:p>
    <w:p>
      <w:pPr>
        <w:autoSpaceDE w:val="0"/>
        <w:autoSpaceDN w:val="0"/>
        <w:jc w:val="left"/>
        <w:spacing w:before="27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模式、资料</w:t>
      </w:r>
      <w:r>
        <w:rPr>
          <w:rFonts w:ascii="宋体" w:hAnsi="宋体" w:cs="宋体" w:eastAsia="宋体" w:hint="ascii"/>
          <w:sz w:val="21"/>
        </w:rPr>
        <w:t>同化新理论和新方法研究；鼓励开展卫星、雷达气象的相关基础研究；鼓励</w:t>
      </w:r>
      <w:r>
        <w:rPr>
          <w:rFonts w:ascii="宋体" w:hAnsi="宋体" w:cs="宋体" w:eastAsia="宋体" w:hint="ascii"/>
          <w:sz w:val="21"/>
          <w:spacing w:val="-1"/>
        </w:rPr>
        <w:t>对大型科学</w:t>
      </w:r>
      <w:r>
        <w:rPr>
          <w:rFonts w:ascii="宋体" w:hAnsi="宋体" w:cs="宋体" w:eastAsia="宋体" w:hint="ascii"/>
          <w:sz w:val="21"/>
        </w:rPr>
        <w:t>试验、科学计划和已建立的大型观测网资料开展分析和应用研究；鼓励开展</w:t>
      </w:r>
      <w:r>
        <w:rPr>
          <w:rFonts w:ascii="宋体" w:hAnsi="宋体" w:cs="宋体" w:eastAsia="宋体" w:hint="ascii"/>
          <w:sz w:val="21"/>
          <w:spacing w:val="-1"/>
        </w:rPr>
        <w:t>大气观测原</w:t>
      </w:r>
      <w:r>
        <w:rPr>
          <w:rFonts w:ascii="宋体" w:hAnsi="宋体" w:cs="宋体" w:eastAsia="宋体" w:hint="ascii"/>
          <w:sz w:val="21"/>
        </w:rPr>
        <w:t>理和方法、气象数据分析及应用的基础研究；鼓励围绕国防、农业、能源、</w:t>
      </w:r>
      <w:r>
        <w:rPr>
          <w:rFonts w:ascii="宋体" w:hAnsi="宋体" w:cs="宋体" w:eastAsia="宋体" w:hint="ascii"/>
          <w:sz w:val="21"/>
          <w:spacing w:val="-1"/>
        </w:rPr>
        <w:t>交通、林业</w:t>
      </w:r>
      <w:r>
        <w:rPr>
          <w:rFonts w:ascii="宋体" w:hAnsi="宋体" w:cs="宋体" w:eastAsia="宋体" w:hint="ascii"/>
          <w:sz w:val="21"/>
        </w:rPr>
        <w:t>、水文、健康、经济、生态等重点领域以及“一带一路”战略和重大工程保障等国家需求，开展服务于民生和社会可持续发展的交叉研究。</w:t>
      </w:r>
      <w:r>
        <w:rPr>
          <w:rFonts w:ascii="宋体" w:hAnsi="宋体" w:cs="宋体" w:eastAsia="宋体" w:hint="ascii"/>
          <w:sz w:val="21"/>
        </w:rPr>
        <mc:AlternateContent>
          <mc:Choice Requires="wps">
            <w:drawing>
              <wp:anchor distL="0" distR="0" distT="0" distB="0" simplePos="0" behindDoc="1" relativeHeight="102" locked="0" layoutInCell="1" allowOverlap="1">
                <wp:simplePos x="0" y="0"/>
                <wp:positionH relativeFrom="page">
                  <wp:posOffset>938530</wp:posOffset>
                </wp:positionH>
                <wp:positionV relativeFrom="page">
                  <wp:posOffset>805815</wp:posOffset>
                </wp:positionV>
                <wp:extent cx="5076190" cy="0"/>
                <wp:wrapNone/>
                <wp:docPr id="1130" name="113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53792;width:399.70pt;" id="113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80" w:after="0" w:lineRule="exact" w:line="475"/>
        <w:ind w:right="0" w:left="3436" w:firstLine="0"/>
        <w:snapToGrid w:val="0"/>
        <w:textAlignment w:val="auto"/>
        <w:tabs/>
        <w:rPr>
          <w:rFonts w:ascii="宋体" w:hAnsi="宋体" w:cs="宋体" w:eastAsia="宋体" w:hint="ascii"/>
          <w:sz w:val="38"/>
        </w:rPr>
      </w:pPr>
      <w:r>
        <w:rPr>
          <w:rFonts w:ascii="宋体" w:hAnsi="宋体" w:cs="宋体" w:eastAsia="宋体" w:hint="ascii"/>
          <w:sz w:val="38"/>
        </w:rPr>
        <w:t>工程与材料科学部</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工程科学与材料科学是保障国家安全、促进社会进步与经济可持续发展和提高人民</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生活质量的重要科学</w:t>
      </w:r>
      <w:r>
        <w:rPr>
          <w:rFonts w:ascii="宋体" w:hAnsi="宋体" w:cs="宋体" w:eastAsia="宋体" w:hint="ascii"/>
          <w:sz w:val="21"/>
        </w:rPr>
        <w:t>基础和技术支撑。工程科学与材料科学基础研究坚持立足学科</w:t>
      </w:r>
      <w:r>
        <w:rPr>
          <w:rFonts w:ascii="宋体" w:hAnsi="宋体" w:cs="宋体" w:eastAsia="宋体" w:hint="ascii"/>
          <w:sz w:val="21"/>
          <w:spacing w:val="-6"/>
        </w:rPr>
        <w:t>前</w:t>
      </w:r>
      <w:r>
        <w:rPr>
          <w:rFonts w:ascii="宋体" w:hAnsi="宋体" w:cs="宋体" w:eastAsia="宋体" w:hint="ascii"/>
          <w:sz w:val="21"/>
          <w:spacing w:val="-1"/>
        </w:rPr>
        <w:t>沿，密切结</w:t>
      </w:r>
      <w:r>
        <w:rPr>
          <w:rFonts w:ascii="宋体" w:hAnsi="宋体" w:cs="宋体" w:eastAsia="宋体" w:hint="ascii"/>
          <w:sz w:val="21"/>
        </w:rPr>
        <w:t>合国家社会进步与经济发展的重大战略需求，以国家目标导向和前沿领域探</w:t>
      </w:r>
      <w:r>
        <w:rPr>
          <w:rFonts w:ascii="宋体" w:hAnsi="宋体" w:cs="宋体" w:eastAsia="宋体" w:hint="ascii"/>
          <w:sz w:val="21"/>
          <w:spacing w:val="-1"/>
        </w:rPr>
        <w:t>索的有机结</w:t>
      </w:r>
      <w:r>
        <w:rPr>
          <w:rFonts w:ascii="宋体" w:hAnsi="宋体" w:cs="宋体" w:eastAsia="宋体" w:hint="ascii"/>
          <w:sz w:val="21"/>
        </w:rPr>
        <w:t>合为落脚点，积极促进基础研究与工程实践相结合，加强自主创新和源头创</w:t>
      </w:r>
      <w:r>
        <w:rPr>
          <w:rFonts w:ascii="宋体" w:hAnsi="宋体" w:cs="宋体" w:eastAsia="宋体" w:hint="ascii"/>
          <w:sz w:val="21"/>
          <w:spacing w:val="-1"/>
        </w:rPr>
        <w:t>新，有所发</w:t>
      </w:r>
      <w:r>
        <w:rPr>
          <w:rFonts w:ascii="宋体" w:hAnsi="宋体" w:cs="宋体" w:eastAsia="宋体" w:hint="ascii"/>
          <w:sz w:val="21"/>
        </w:rPr>
        <w:t>现、有所发明、有所创造，推动学科交叉与融合的可持续发展，不断提高我国在工程与材料领域的科学与技术水平和国际影响力。</w:t>
      </w:r>
    </w:p>
    <w:p>
      <w:pPr>
        <w:autoSpaceDE w:val="0"/>
        <w:autoSpaceDN w:val="0"/>
        <w:jc w:val="both"/>
        <w:spacing w:before="0" w:after="0" w:lineRule="exact" w:line="320"/>
        <w:ind w:right="978" w:left="966" w:firstLine="428"/>
        <w:snapToGrid w:val="0"/>
        <w:textAlignment w:val="auto"/>
        <w:tabs/>
        <w:rPr>
          <w:rFonts w:ascii="宋体" w:hAnsi="宋体" w:cs="宋体" w:eastAsia="宋体" w:hint="ascii"/>
          <w:sz w:val="21"/>
        </w:rPr>
      </w:pPr>
      <w:r>
        <w:rPr>
          <w:rFonts w:ascii="宋体" w:hAnsi="宋体" w:cs="宋体" w:eastAsia="宋体" w:hint="ascii"/>
          <w:sz w:val="21"/>
          <w:spacing w:val="4"/>
        </w:rPr>
        <w:t>工</w:t>
      </w:r>
      <w:r>
        <w:rPr>
          <w:rFonts w:ascii="宋体" w:hAnsi="宋体" w:cs="宋体" w:eastAsia="宋体" w:hint="ascii"/>
          <w:sz w:val="21"/>
          <w:spacing w:val="3"/>
        </w:rPr>
        <w:t>程与</w:t>
      </w:r>
      <w:r>
        <w:rPr>
          <w:rFonts w:ascii="宋体" w:hAnsi="宋体" w:cs="宋体" w:eastAsia="宋体" w:hint="ascii"/>
          <w:sz w:val="21"/>
          <w:spacing w:val="4"/>
        </w:rPr>
        <w:t>材</w:t>
      </w:r>
      <w:r>
        <w:rPr>
          <w:rFonts w:ascii="宋体" w:hAnsi="宋体" w:cs="宋体" w:eastAsia="宋体" w:hint="ascii"/>
          <w:sz w:val="21"/>
          <w:spacing w:val="3"/>
        </w:rPr>
        <w:t>料</w:t>
      </w:r>
      <w:r>
        <w:rPr>
          <w:rFonts w:ascii="宋体" w:hAnsi="宋体" w:cs="宋体" w:eastAsia="宋体" w:hint="ascii"/>
          <w:sz w:val="21"/>
          <w:spacing w:val="4"/>
        </w:rPr>
        <w:t>科</w:t>
      </w:r>
      <w:r>
        <w:rPr>
          <w:rFonts w:ascii="宋体" w:hAnsi="宋体" w:cs="宋体" w:eastAsia="宋体" w:hint="ascii"/>
          <w:sz w:val="21"/>
          <w:spacing w:val="3"/>
        </w:rPr>
        <w:t>学部</w:t>
      </w:r>
      <w:r>
        <w:rPr>
          <w:rFonts w:ascii="宋体" w:hAnsi="宋体" w:cs="宋体" w:eastAsia="宋体" w:hint="ascii"/>
          <w:sz w:val="21"/>
          <w:spacing w:val="4"/>
        </w:rPr>
        <w:t>一</w:t>
      </w:r>
      <w:r>
        <w:rPr>
          <w:rFonts w:ascii="宋体" w:hAnsi="宋体" w:cs="宋体" w:eastAsia="宋体" w:hint="ascii"/>
          <w:sz w:val="21"/>
          <w:spacing w:val="3"/>
        </w:rPr>
        <w:t>贯</w:t>
      </w:r>
      <w:r>
        <w:rPr>
          <w:rFonts w:ascii="宋体" w:hAnsi="宋体" w:cs="宋体" w:eastAsia="宋体" w:hint="ascii"/>
          <w:sz w:val="21"/>
          <w:spacing w:val="4"/>
        </w:rPr>
        <w:t>支</w:t>
      </w:r>
      <w:r>
        <w:rPr>
          <w:rFonts w:ascii="宋体" w:hAnsi="宋体" w:cs="宋体" w:eastAsia="宋体" w:hint="ascii"/>
          <w:sz w:val="21"/>
          <w:spacing w:val="3"/>
        </w:rPr>
        <w:t>持学</w:t>
      </w:r>
      <w:r>
        <w:rPr>
          <w:rFonts w:ascii="宋体" w:hAnsi="宋体" w:cs="宋体" w:eastAsia="宋体" w:hint="ascii"/>
          <w:sz w:val="21"/>
          <w:spacing w:val="4"/>
        </w:rPr>
        <w:t>科</w:t>
      </w:r>
      <w:r>
        <w:rPr>
          <w:rFonts w:ascii="宋体" w:hAnsi="宋体" w:cs="宋体" w:eastAsia="宋体" w:hint="ascii"/>
          <w:sz w:val="21"/>
          <w:spacing w:val="3"/>
        </w:rPr>
        <w:t>前</w:t>
      </w:r>
      <w:r>
        <w:rPr>
          <w:rFonts w:ascii="宋体" w:hAnsi="宋体" w:cs="宋体" w:eastAsia="宋体" w:hint="ascii"/>
          <w:sz w:val="21"/>
          <w:spacing w:val="4"/>
        </w:rPr>
        <w:t>沿</w:t>
      </w:r>
      <w:r>
        <w:rPr>
          <w:rFonts w:ascii="宋体" w:hAnsi="宋体" w:cs="宋体" w:eastAsia="宋体" w:hint="ascii"/>
          <w:sz w:val="21"/>
          <w:spacing w:val="3"/>
        </w:rPr>
        <w:t>领域</w:t>
      </w:r>
      <w:r>
        <w:rPr>
          <w:rFonts w:ascii="宋体" w:hAnsi="宋体" w:cs="宋体" w:eastAsia="宋体" w:hint="ascii"/>
          <w:sz w:val="21"/>
          <w:spacing w:val="4"/>
        </w:rPr>
        <w:t>的</w:t>
      </w:r>
      <w:r>
        <w:rPr>
          <w:rFonts w:ascii="宋体" w:hAnsi="宋体" w:cs="宋体" w:eastAsia="宋体" w:hint="ascii"/>
          <w:sz w:val="21"/>
          <w:spacing w:val="3"/>
        </w:rPr>
        <w:t>探</w:t>
      </w:r>
      <w:r>
        <w:rPr>
          <w:rFonts w:ascii="宋体" w:hAnsi="宋体" w:cs="宋体" w:eastAsia="宋体" w:hint="ascii"/>
          <w:sz w:val="21"/>
          <w:spacing w:val="4"/>
        </w:rPr>
        <w:t>索</w:t>
      </w:r>
      <w:r>
        <w:rPr>
          <w:rFonts w:ascii="宋体" w:hAnsi="宋体" w:cs="宋体" w:eastAsia="宋体" w:hint="ascii"/>
          <w:sz w:val="21"/>
          <w:spacing w:val="3"/>
        </w:rPr>
        <w:t>研究</w:t>
      </w:r>
      <w:r>
        <w:rPr>
          <w:rFonts w:ascii="宋体" w:hAnsi="宋体" w:cs="宋体" w:eastAsia="宋体" w:hint="ascii"/>
          <w:sz w:val="21"/>
          <w:spacing w:val="4"/>
        </w:rPr>
        <w:t>，</w:t>
      </w:r>
      <w:r>
        <w:rPr>
          <w:rFonts w:ascii="宋体" w:hAnsi="宋体" w:cs="宋体" w:eastAsia="宋体" w:hint="ascii"/>
          <w:sz w:val="21"/>
          <w:spacing w:val="3"/>
        </w:rPr>
        <w:t>鼓</w:t>
      </w:r>
      <w:r>
        <w:rPr>
          <w:rFonts w:ascii="宋体" w:hAnsi="宋体" w:cs="宋体" w:eastAsia="宋体" w:hint="ascii"/>
          <w:sz w:val="21"/>
          <w:spacing w:val="4"/>
        </w:rPr>
        <w:t>励</w:t>
      </w:r>
      <w:r>
        <w:rPr>
          <w:rFonts w:ascii="宋体" w:hAnsi="宋体" w:cs="宋体" w:eastAsia="宋体" w:hint="ascii"/>
          <w:sz w:val="21"/>
          <w:spacing w:val="3"/>
        </w:rPr>
        <w:t>原始</w:t>
      </w:r>
      <w:r>
        <w:rPr>
          <w:rFonts w:ascii="宋体" w:hAnsi="宋体" w:cs="宋体" w:eastAsia="宋体" w:hint="ascii"/>
          <w:sz w:val="21"/>
          <w:spacing w:val="4"/>
        </w:rPr>
        <w:t>创</w:t>
      </w:r>
      <w:r>
        <w:rPr>
          <w:rFonts w:ascii="宋体" w:hAnsi="宋体" w:cs="宋体" w:eastAsia="宋体" w:hint="ascii"/>
          <w:sz w:val="21"/>
          <w:spacing w:val="3"/>
        </w:rPr>
        <w:t>新</w:t>
      </w:r>
      <w:r>
        <w:rPr>
          <w:rFonts w:ascii="宋体" w:hAnsi="宋体" w:cs="宋体" w:eastAsia="宋体" w:hint="ascii"/>
          <w:sz w:val="21"/>
          <w:spacing w:val="4"/>
        </w:rPr>
        <w:t>和</w:t>
      </w:r>
      <w:r>
        <w:rPr>
          <w:rFonts w:ascii="宋体" w:hAnsi="宋体" w:cs="宋体" w:eastAsia="宋体" w:hint="ascii"/>
          <w:sz w:val="21"/>
          <w:spacing w:val="3"/>
        </w:rPr>
        <w:t>集成</w:t>
      </w:r>
      <w:r>
        <w:rPr>
          <w:rFonts w:ascii="宋体" w:hAnsi="宋体" w:cs="宋体" w:eastAsia="宋体" w:hint="ascii"/>
          <w:sz w:val="21"/>
          <w:spacing w:val="-6"/>
        </w:rPr>
        <w:t>创</w:t>
      </w:r>
      <w:r>
        <w:rPr>
          <w:rFonts w:ascii="宋体" w:hAnsi="宋体" w:cs="宋体" w:eastAsia="宋体" w:hint="ascii"/>
          <w:sz w:val="21"/>
        </w:rPr>
        <w:t xml:space="preserve"> </w:t>
      </w:r>
      <w:r>
        <w:rPr>
          <w:rFonts w:ascii="宋体" w:hAnsi="宋体" w:cs="宋体" w:eastAsia="宋体" w:hint="ascii"/>
          <w:sz w:val="21"/>
          <w:spacing w:val="1"/>
        </w:rPr>
        <w:t>新，注重从工程应</w:t>
      </w:r>
      <w:r>
        <w:rPr>
          <w:rFonts w:ascii="宋体" w:hAnsi="宋体" w:cs="宋体" w:eastAsia="宋体" w:hint="ascii"/>
          <w:sz w:val="21"/>
        </w:rPr>
        <w:t>用实践中提炼关键科学问题和提出基础研究内容，特别是具有我</w:t>
      </w:r>
      <w:r>
        <w:rPr>
          <w:rFonts w:ascii="宋体" w:hAnsi="宋体" w:cs="宋体" w:eastAsia="宋体" w:hint="ascii"/>
          <w:sz w:val="21"/>
          <w:spacing w:val="-6"/>
        </w:rPr>
        <w:t>国</w:t>
      </w:r>
      <w:r>
        <w:rPr>
          <w:rFonts w:ascii="宋体" w:hAnsi="宋体" w:cs="宋体" w:eastAsia="宋体" w:hint="ascii"/>
          <w:sz w:val="21"/>
          <w:spacing w:val="1"/>
        </w:rPr>
        <w:t>特色的、对促进我</w:t>
      </w:r>
      <w:r>
        <w:rPr>
          <w:rFonts w:ascii="宋体" w:hAnsi="宋体" w:cs="宋体" w:eastAsia="宋体" w:hint="ascii"/>
          <w:sz w:val="21"/>
        </w:rPr>
        <w:t>国相关产业发展和提高我国国际影响力有重大意义的基础研究。</w:t>
      </w:r>
      <w:r>
        <w:rPr>
          <w:rFonts w:ascii="宋体" w:hAnsi="宋体" w:cs="宋体" w:eastAsia="宋体" w:hint="ascii"/>
          <w:sz w:val="21"/>
          <w:spacing w:val="-6"/>
        </w:rPr>
        <w:t>在</w:t>
      </w:r>
      <w:r>
        <w:rPr>
          <w:rFonts w:ascii="宋体" w:hAnsi="宋体" w:cs="宋体" w:eastAsia="宋体" w:hint="ascii"/>
          <w:sz w:val="21"/>
          <w:spacing w:val="1"/>
        </w:rPr>
        <w:t>选题方面，优先资</w:t>
      </w:r>
      <w:r>
        <w:rPr>
          <w:rFonts w:ascii="宋体" w:hAnsi="宋体" w:cs="宋体" w:eastAsia="宋体" w:hint="ascii"/>
          <w:sz w:val="21"/>
        </w:rPr>
        <w:t>助具有重要科学研究价值和重大应用前景，并有可能成为新的知</w:t>
      </w:r>
      <w:r>
        <w:rPr>
          <w:rFonts w:ascii="宋体" w:hAnsi="宋体" w:cs="宋体" w:eastAsia="宋体" w:hint="ascii"/>
          <w:sz w:val="21"/>
          <w:spacing w:val="-6"/>
        </w:rPr>
        <w:t>识</w:t>
      </w:r>
      <w:r>
        <w:rPr>
          <w:rFonts w:ascii="宋体" w:hAnsi="宋体" w:cs="宋体" w:eastAsia="宋体" w:hint="ascii"/>
          <w:sz w:val="21"/>
          <w:spacing w:val="1"/>
        </w:rPr>
        <w:t>生长点的基础研究，</w:t>
      </w:r>
      <w:r>
        <w:rPr>
          <w:rFonts w:ascii="宋体" w:hAnsi="宋体" w:cs="宋体" w:eastAsia="宋体" w:hint="ascii"/>
          <w:sz w:val="21"/>
        </w:rPr>
        <w:t>优先资助能够带动学科发展、结合国情并有可能形成自主知识</w:t>
      </w:r>
      <w:r>
        <w:rPr>
          <w:rFonts w:ascii="宋体" w:hAnsi="宋体" w:cs="宋体" w:eastAsia="宋体" w:hint="ascii"/>
          <w:sz w:val="21"/>
          <w:spacing w:val="-6"/>
        </w:rPr>
        <w:t>产</w:t>
      </w:r>
      <w:r>
        <w:rPr>
          <w:rFonts w:ascii="宋体" w:hAnsi="宋体" w:cs="宋体" w:eastAsia="宋体" w:hint="ascii"/>
          <w:sz w:val="21"/>
        </w:rPr>
        <w:t>权的研究项目。</w:t>
      </w:r>
    </w:p>
    <w:p>
      <w:pPr>
        <w:autoSpaceDE w:val="0"/>
        <w:autoSpaceDN w:val="0"/>
        <w:jc w:val="left"/>
        <w:spacing w:before="43"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工程与材</w:t>
      </w:r>
      <w:r>
        <w:rPr>
          <w:rFonts w:ascii="宋体" w:hAnsi="宋体" w:cs="宋体" w:eastAsia="宋体" w:hint="ascii"/>
          <w:sz w:val="21"/>
        </w:rPr>
        <w:t>料</w:t>
      </w:r>
      <w:r>
        <w:rPr>
          <w:rFonts w:ascii="宋体" w:hAnsi="宋体" w:cs="宋体" w:eastAsia="宋体" w:hint="ascii"/>
          <w:sz w:val="21"/>
          <w:spacing w:val="3"/>
        </w:rPr>
        <w:t>科学部鼓</w:t>
      </w:r>
      <w:r>
        <w:rPr>
          <w:rFonts w:ascii="宋体" w:hAnsi="宋体" w:cs="宋体" w:eastAsia="宋体" w:hint="ascii"/>
          <w:sz w:val="21"/>
        </w:rPr>
        <w:t>励</w:t>
      </w:r>
      <w:r>
        <w:rPr>
          <w:rFonts w:ascii="宋体" w:hAnsi="宋体" w:cs="宋体" w:eastAsia="宋体" w:hint="ascii"/>
          <w:sz w:val="21"/>
          <w:spacing w:val="3"/>
        </w:rPr>
        <w:t>资助具有</w:t>
      </w:r>
      <w:r>
        <w:rPr>
          <w:rFonts w:ascii="宋体" w:hAnsi="宋体" w:cs="宋体" w:eastAsia="宋体" w:hint="ascii"/>
          <w:sz w:val="21"/>
        </w:rPr>
        <w:t>鲜</w:t>
      </w:r>
      <w:r>
        <w:rPr>
          <w:rFonts w:ascii="宋体" w:hAnsi="宋体" w:cs="宋体" w:eastAsia="宋体" w:hint="ascii"/>
          <w:sz w:val="21"/>
          <w:spacing w:val="3"/>
        </w:rPr>
        <w:t>明基础研</w:t>
      </w:r>
      <w:r>
        <w:rPr>
          <w:rFonts w:ascii="宋体" w:hAnsi="宋体" w:cs="宋体" w:eastAsia="宋体" w:hint="ascii"/>
          <w:sz w:val="21"/>
        </w:rPr>
        <w:t>究</w:t>
      </w:r>
      <w:r>
        <w:rPr>
          <w:rFonts w:ascii="宋体" w:hAnsi="宋体" w:cs="宋体" w:eastAsia="宋体" w:hint="ascii"/>
          <w:sz w:val="21"/>
          <w:spacing w:val="3"/>
        </w:rPr>
        <w:t>和高新技</w:t>
      </w:r>
      <w:r>
        <w:rPr>
          <w:rFonts w:ascii="宋体" w:hAnsi="宋体" w:cs="宋体" w:eastAsia="宋体" w:hint="ascii"/>
          <w:sz w:val="21"/>
        </w:rPr>
        <w:t>术</w:t>
      </w:r>
      <w:r>
        <w:rPr>
          <w:rFonts w:ascii="宋体" w:hAnsi="宋体" w:cs="宋体" w:eastAsia="宋体" w:hint="ascii"/>
          <w:sz w:val="21"/>
          <w:spacing w:val="3"/>
        </w:rPr>
        <w:t>特征的各</w:t>
      </w:r>
      <w:r>
        <w:rPr>
          <w:rFonts w:ascii="宋体" w:hAnsi="宋体" w:cs="宋体" w:eastAsia="宋体" w:hint="ascii"/>
          <w:sz w:val="21"/>
        </w:rPr>
        <w:t>类</w:t>
      </w:r>
      <w:r>
        <w:rPr>
          <w:rFonts w:ascii="宋体" w:hAnsi="宋体" w:cs="宋体" w:eastAsia="宋体" w:hint="ascii"/>
          <w:sz w:val="21"/>
          <w:spacing w:val="3"/>
        </w:rPr>
        <w:t>项目。</w:t>
      </w:r>
      <w:r>
        <w:rPr>
          <w:rFonts w:ascii="宋体" w:hAnsi="宋体" w:cs="宋体" w:eastAsia="宋体" w:hint="ascii"/>
          <w:sz w:val="21"/>
          <w:spacing w:val="4"/>
        </w:rPr>
        <w:t>请</w:t>
      </w:r>
      <w:r>
        <w:rPr>
          <w:rFonts w:ascii="宋体" w:hAnsi="宋体" w:cs="宋体" w:eastAsia="宋体" w:hint="ascii"/>
          <w:sz w:val="21"/>
        </w:rPr>
        <w:t>申</w:t>
      </w:r>
    </w:p>
    <w:p>
      <w:pPr>
        <w:autoSpaceDE w:val="0"/>
        <w:autoSpaceDN w:val="0"/>
        <w:jc w:val="both"/>
        <w:spacing w:before="13"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请人密切关注科</w:t>
      </w:r>
      <w:r>
        <w:rPr>
          <w:rFonts w:ascii="宋体" w:hAnsi="宋体" w:cs="宋体" w:eastAsia="宋体" w:hint="ascii"/>
          <w:sz w:val="21"/>
        </w:rPr>
        <w:t>学部优先发展领域</w:t>
      </w:r>
      <w:r>
        <w:rPr>
          <w:rFonts w:ascii="宋体" w:hAnsi="宋体" w:cs="宋体" w:eastAsia="宋体" w:hint="ascii"/>
          <w:sz w:val="21"/>
          <w:w w:val="201"/>
        </w:rPr>
        <w:t>—</w:t>
      </w:r>
      <w:r>
        <w:rPr>
          <w:rFonts w:ascii="宋体" w:hAnsi="宋体" w:cs="宋体" w:eastAsia="宋体" w:hint="ascii"/>
          <w:sz w:val="21"/>
        </w:rPr>
        <w:t>亚稳金属材料的微结构和变形机理、高性能</w:t>
      </w:r>
      <w:r>
        <w:rPr>
          <w:rFonts w:ascii="宋体" w:hAnsi="宋体" w:cs="宋体" w:eastAsia="宋体" w:hint="ascii"/>
          <w:sz w:val="21"/>
          <w:spacing w:val="-6"/>
        </w:rPr>
        <w:t>轻</w:t>
      </w:r>
      <w:r>
        <w:rPr>
          <w:rFonts w:ascii="宋体" w:hAnsi="宋体" w:cs="宋体" w:eastAsia="宋体" w:hint="ascii"/>
          <w:sz w:val="21"/>
          <w:spacing w:val="1"/>
        </w:rPr>
        <w:t>质金属材料的制备加</w:t>
      </w:r>
      <w:r>
        <w:rPr>
          <w:rFonts w:ascii="宋体" w:hAnsi="宋体" w:cs="宋体" w:eastAsia="宋体" w:hint="ascii"/>
          <w:sz w:val="21"/>
        </w:rPr>
        <w:t>工和性能调控、低维碳材料、新型无机功能材料、高分子材料</w:t>
      </w:r>
      <w:r>
        <w:rPr>
          <w:rFonts w:ascii="宋体" w:hAnsi="宋体" w:cs="宋体" w:eastAsia="宋体" w:hint="ascii"/>
          <w:sz w:val="21"/>
          <w:spacing w:val="-6"/>
        </w:rPr>
        <w:t>加</w:t>
      </w:r>
      <w:r>
        <w:rPr>
          <w:rFonts w:ascii="宋体" w:hAnsi="宋体" w:cs="宋体" w:eastAsia="宋体" w:hint="ascii"/>
          <w:sz w:val="21"/>
        </w:rPr>
        <w:t>工的新原理和新方法、生物活性物质控释</w:t>
      </w:r>
      <w:r>
        <w:rPr>
          <w:rFonts w:ascii="Times New Roman" w:hAnsi="Times New Roman" w:cs="Times New Roman" w:eastAsia="Times New Roman" w:hint="ascii"/>
          <w:sz w:val="21"/>
        </w:rPr>
        <w:t>/</w:t>
      </w:r>
      <w:r>
        <w:rPr>
          <w:rFonts w:ascii="宋体" w:hAnsi="宋体" w:cs="宋体" w:eastAsia="宋体" w:hint="ascii"/>
          <w:sz w:val="21"/>
        </w:rPr>
        <w:t>递送系统载体材料、化石能源高效开发与灾</w:t>
      </w:r>
      <w:r>
        <w:rPr>
          <w:rFonts w:ascii="宋体" w:hAnsi="宋体" w:cs="宋体" w:eastAsia="宋体" w:hint="ascii"/>
          <w:sz w:val="21"/>
          <w:spacing w:val="1"/>
        </w:rPr>
        <w:t>害防控理论、面向</w:t>
      </w:r>
      <w:r>
        <w:rPr>
          <w:rFonts w:ascii="宋体" w:hAnsi="宋体" w:cs="宋体" w:eastAsia="宋体" w:hint="ascii"/>
          <w:sz w:val="21"/>
        </w:rPr>
        <w:t>资源节约的绿色冶金过程、高效提取冶金及高性能材料制备加工</w:t>
      </w:r>
      <w:r>
        <w:rPr>
          <w:rFonts w:ascii="宋体" w:hAnsi="宋体" w:cs="宋体" w:eastAsia="宋体" w:hint="ascii"/>
          <w:sz w:val="21"/>
          <w:spacing w:val="-6"/>
        </w:rPr>
        <w:t>过</w:t>
      </w:r>
      <w:r>
        <w:rPr>
          <w:rFonts w:ascii="宋体" w:hAnsi="宋体" w:cs="宋体" w:eastAsia="宋体" w:hint="ascii"/>
          <w:sz w:val="21"/>
          <w:spacing w:val="1"/>
        </w:rPr>
        <w:t>程、机械表界面行</w:t>
      </w:r>
      <w:r>
        <w:rPr>
          <w:rFonts w:ascii="宋体" w:hAnsi="宋体" w:cs="宋体" w:eastAsia="宋体" w:hint="ascii"/>
          <w:sz w:val="21"/>
        </w:rPr>
        <w:t>为与调控、增材制造技术基础、传热传质与先进热力系统、燃烧</w:t>
      </w:r>
      <w:r>
        <w:rPr>
          <w:rFonts w:ascii="宋体" w:hAnsi="宋体" w:cs="宋体" w:eastAsia="宋体" w:hint="ascii"/>
          <w:sz w:val="21"/>
          <w:spacing w:val="-6"/>
        </w:rPr>
        <w:t>反</w:t>
      </w:r>
      <w:r>
        <w:rPr>
          <w:rFonts w:ascii="宋体" w:hAnsi="宋体" w:cs="宋体" w:eastAsia="宋体" w:hint="ascii"/>
          <w:sz w:val="21"/>
          <w:spacing w:val="1"/>
        </w:rPr>
        <w:t>应途径调控、新一</w:t>
      </w:r>
      <w:r>
        <w:rPr>
          <w:rFonts w:ascii="宋体" w:hAnsi="宋体" w:cs="宋体" w:eastAsia="宋体" w:hint="ascii"/>
          <w:sz w:val="21"/>
        </w:rPr>
        <w:t>代能源电力系统基础、高效能高品质电机系统基础、多种灾害作</w:t>
      </w:r>
      <w:r>
        <w:rPr>
          <w:rFonts w:ascii="宋体" w:hAnsi="宋体" w:cs="宋体" w:eastAsia="宋体" w:hint="ascii"/>
          <w:sz w:val="21"/>
          <w:spacing w:val="-6"/>
        </w:rPr>
        <w:t>用</w:t>
      </w:r>
      <w:r>
        <w:rPr>
          <w:rFonts w:ascii="宋体" w:hAnsi="宋体" w:cs="宋体" w:eastAsia="宋体" w:hint="ascii"/>
          <w:sz w:val="21"/>
          <w:spacing w:val="1"/>
        </w:rPr>
        <w:t>下的结构全寿命整体</w:t>
      </w:r>
      <w:r>
        <w:rPr>
          <w:rFonts w:ascii="宋体" w:hAnsi="宋体" w:cs="宋体" w:eastAsia="宋体" w:hint="ascii"/>
          <w:sz w:val="21"/>
        </w:rPr>
        <w:t>可靠性设计理论、绿色建筑设计理论与方法、重大库坝和海洋</w:t>
      </w:r>
      <w:r>
        <w:rPr>
          <w:rFonts w:ascii="宋体" w:hAnsi="宋体" w:cs="宋体" w:eastAsia="宋体" w:hint="ascii"/>
          <w:sz w:val="21"/>
          <w:spacing w:val="-6"/>
        </w:rPr>
        <w:t>平</w:t>
      </w:r>
      <w:r>
        <w:rPr>
          <w:rFonts w:ascii="宋体" w:hAnsi="宋体" w:cs="宋体" w:eastAsia="宋体" w:hint="ascii"/>
          <w:sz w:val="21"/>
        </w:rPr>
        <w:t>台全寿命周期性能演变等方面的最新进展，并提出有原创思想的申请。</w:t>
      </w:r>
    </w:p>
    <w:p>
      <w:pPr>
        <w:autoSpaceDE w:val="0"/>
        <w:autoSpaceDN w:val="0"/>
        <w:jc w:val="left"/>
        <w:spacing w:before="51" w:after="0" w:lineRule="auto" w:line="240"/>
        <w:ind w:right="0" w:left="1873" w:hanging="472"/>
        <w:snapToGrid w:val="0"/>
        <w:textAlignment w:val="auto"/>
        <w:tabs>
          <w:tab w:val="left" w:leader="none" w:pos="1873"/>
        </w:tabs>
        <w:numPr>
          <w:ilvl w:val="0"/>
          <w:numId w:val="69"/>
        </w:numPr>
        <w:rPr>
          <w:rFonts w:ascii="Times New Roman" w:hAnsi="Times New Roman" w:cs="Times New Roman" w:eastAsia="Times New Roman" w:hint="ascii"/>
          <w:sz w:val="21"/>
          <w:spacing w:val="4"/>
        </w:rPr>
      </w:pPr>
      <w:r>
        <w:rPr>
          <w:rFonts w:ascii="宋体" w:hAnsi="宋体" w:cs="宋体" w:eastAsia="宋体" w:hint="ascii"/>
          <w:sz w:val="21"/>
          <w:spacing w:val="5"/>
        </w:rPr>
        <w:t>年度接收面上项目申</w:t>
      </w:r>
      <w:r>
        <w:rPr>
          <w:rFonts w:ascii="宋体" w:hAnsi="宋体" w:cs="宋体" w:eastAsia="宋体" w:hint="ascii"/>
          <w:sz w:val="21"/>
          <w:spacing w:val="22"/>
        </w:rPr>
        <w:t>请</w:t>
      </w:r>
      <w:r>
        <w:rPr>
          <w:rFonts w:ascii="Times New Roman" w:hAnsi="Times New Roman" w:cs="Times New Roman" w:eastAsia="Times New Roman" w:hint="ascii"/>
          <w:sz w:val="21"/>
        </w:rPr>
        <w:t>14 70</w:t>
      </w:r>
      <w:r>
        <w:rPr>
          <w:rFonts w:ascii="Times New Roman" w:hAnsi="Times New Roman" w:cs="Times New Roman" w:eastAsia="Times New Roman" w:hint="ascii"/>
          <w:sz w:val="21"/>
          <w:spacing w:val="38"/>
        </w:rPr>
        <w:t>6</w:t>
      </w:r>
      <w:r>
        <w:rPr>
          <w:rFonts w:ascii="宋体" w:hAnsi="宋体" w:cs="宋体" w:eastAsia="宋体" w:hint="ascii"/>
          <w:sz w:val="21"/>
          <w:spacing w:val="5"/>
        </w:rPr>
        <w:t>项（不予受</w:t>
      </w:r>
      <w:r>
        <w:rPr>
          <w:rFonts w:ascii="宋体" w:hAnsi="宋体" w:cs="宋体" w:eastAsia="宋体" w:hint="ascii"/>
          <w:sz w:val="21"/>
          <w:spacing w:val="22"/>
        </w:rPr>
        <w:t>理</w:t>
      </w:r>
      <w:r>
        <w:rPr>
          <w:rFonts w:ascii="Times New Roman" w:hAnsi="Times New Roman" w:cs="Times New Roman" w:eastAsia="Times New Roman" w:hint="ascii"/>
          <w:sz w:val="21"/>
        </w:rPr>
        <w:t>331</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5"/>
        </w:rPr>
        <w:t>项</w:t>
      </w:r>
      <w:r>
        <w:rPr>
          <w:rFonts w:ascii="宋体" w:hAnsi="宋体" w:cs="宋体" w:eastAsia="宋体" w:hint="ascii"/>
          <w:sz w:val="21"/>
          <w:spacing w:val="-49"/>
        </w:rPr>
        <w:t>）</w:t>
      </w:r>
      <w:r>
        <w:rPr>
          <w:rFonts w:ascii="宋体" w:hAnsi="宋体" w:cs="宋体" w:eastAsia="宋体" w:hint="ascii"/>
          <w:sz w:val="21"/>
          <w:spacing w:val="5"/>
        </w:rPr>
        <w:t>，增幅</w:t>
      </w:r>
      <w:r>
        <w:rPr>
          <w:rFonts w:ascii="宋体" w:hAnsi="宋体" w:cs="宋体" w:eastAsia="宋体" w:hint="ascii"/>
          <w:sz w:val="21"/>
          <w:spacing w:val="22"/>
        </w:rPr>
        <w:t>为</w:t>
      </w:r>
      <w:r>
        <w:rPr>
          <w:rFonts w:ascii="Times New Roman" w:hAnsi="Times New Roman" w:cs="Times New Roman" w:eastAsia="Times New Roman" w:hint="ascii"/>
          <w:sz w:val="21"/>
        </w:rPr>
        <w:t>5.49</w:t>
      </w:r>
      <w:r>
        <w:rPr>
          <w:rFonts w:ascii="Times New Roman" w:hAnsi="Times New Roman" w:cs="Times New Roman" w:eastAsia="Times New Roman" w:hint="ascii"/>
          <w:sz w:val="21"/>
          <w:spacing w:val="6"/>
        </w:rPr>
        <w:t>%</w:t>
      </w:r>
      <w:r>
        <w:rPr>
          <w:rFonts w:ascii="宋体" w:hAnsi="宋体" w:cs="宋体" w:eastAsia="宋体" w:hint="ascii"/>
          <w:sz w:val="21"/>
          <w:spacing w:val="5"/>
        </w:rPr>
        <w:t>；资</w:t>
      </w:r>
      <w:r>
        <w:rPr>
          <w:rFonts w:ascii="宋体" w:hAnsi="宋体" w:cs="宋体" w:eastAsia="宋体" w:hint="ascii"/>
          <w:sz w:val="21"/>
        </w:rPr>
        <w:t>助</w:t>
      </w:r>
    </w:p>
    <w:p>
      <w:pPr>
        <w:autoSpaceDE w:val="0"/>
        <w:autoSpaceDN w:val="0"/>
        <w:jc w:val="left"/>
        <w:spacing w:before="65"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1"/>
        </w:rPr>
        <w:t xml:space="preserve"> </w:t>
      </w:r>
      <w:r>
        <w:rPr>
          <w:rFonts w:ascii="Times New Roman" w:hAnsi="Times New Roman" w:cs="Times New Roman" w:eastAsia="Times New Roman" w:hint="ascii"/>
          <w:sz w:val="21"/>
        </w:rPr>
        <w:t>08</w:t>
      </w:r>
      <w:r>
        <w:rPr>
          <w:rFonts w:ascii="Times New Roman" w:hAnsi="Times New Roman" w:cs="Times New Roman" w:eastAsia="Times New Roman" w:hint="ascii"/>
          <w:sz w:val="21"/>
          <w:spacing w:val="43"/>
        </w:rPr>
        <w:t>5</w:t>
      </w:r>
      <w:r>
        <w:rPr>
          <w:rFonts w:ascii="宋体" w:hAnsi="宋体" w:cs="宋体" w:eastAsia="宋体" w:hint="ascii"/>
          <w:sz w:val="21"/>
          <w:spacing w:val="4"/>
        </w:rPr>
        <w:t>项，直接费</w:t>
      </w:r>
      <w:r>
        <w:rPr>
          <w:rFonts w:ascii="宋体" w:hAnsi="宋体" w:cs="宋体" w:eastAsia="宋体" w:hint="ascii"/>
          <w:sz w:val="21"/>
          <w:spacing w:val="21"/>
        </w:rPr>
        <w:t>用</w:t>
      </w:r>
      <w:r>
        <w:rPr>
          <w:rFonts w:ascii="Times New Roman" w:hAnsi="Times New Roman" w:cs="Times New Roman" w:eastAsia="Times New Roman" w:hint="ascii"/>
          <w:sz w:val="21"/>
        </w:rPr>
        <w:t>185 12</w:t>
      </w:r>
      <w:r>
        <w:rPr>
          <w:rFonts w:ascii="Times New Roman" w:hAnsi="Times New Roman" w:cs="Times New Roman" w:eastAsia="Times New Roman" w:hint="ascii"/>
          <w:sz w:val="21"/>
          <w:spacing w:val="41"/>
        </w:rPr>
        <w:t>0</w:t>
      </w:r>
      <w:r>
        <w:rPr>
          <w:rFonts w:ascii="宋体" w:hAnsi="宋体" w:cs="宋体" w:eastAsia="宋体" w:hint="ascii"/>
          <w:sz w:val="21"/>
          <w:spacing w:val="4"/>
        </w:rPr>
        <w:t>万元，直接费用平均资助强度</w:t>
      </w:r>
      <w:r>
        <w:rPr>
          <w:rFonts w:ascii="宋体" w:hAnsi="宋体" w:cs="宋体" w:eastAsia="宋体" w:hint="ascii"/>
          <w:sz w:val="21"/>
          <w:spacing w:val="20"/>
        </w:rPr>
        <w:t>为</w:t>
      </w:r>
      <w:r>
        <w:rPr>
          <w:rFonts w:ascii="Times New Roman" w:hAnsi="Times New Roman" w:cs="Times New Roman" w:eastAsia="Times New Roman" w:hint="ascii"/>
          <w:sz w:val="21"/>
        </w:rPr>
        <w:t>60.0</w:t>
      </w:r>
      <w:r>
        <w:rPr>
          <w:rFonts w:ascii="Times New Roman" w:hAnsi="Times New Roman" w:cs="Times New Roman" w:eastAsia="Times New Roman" w:hint="ascii"/>
          <w:sz w:val="21"/>
          <w:spacing w:val="43"/>
        </w:rPr>
        <w:t>1</w:t>
      </w:r>
      <w:r>
        <w:rPr>
          <w:rFonts w:ascii="宋体" w:hAnsi="宋体" w:cs="宋体" w:eastAsia="宋体" w:hint="ascii"/>
          <w:sz w:val="21"/>
          <w:spacing w:val="4"/>
        </w:rPr>
        <w:t>万元</w:t>
      </w:r>
      <w:r>
        <w:rPr>
          <w:rFonts w:ascii="Times New Roman" w:hAnsi="Times New Roman" w:cs="Times New Roman" w:eastAsia="Times New Roman" w:hint="ascii"/>
          <w:sz w:val="21"/>
          <w:spacing w:val="6"/>
        </w:rPr>
        <w:t>/</w:t>
      </w:r>
      <w:r>
        <w:rPr>
          <w:rFonts w:ascii="宋体" w:hAnsi="宋体" w:cs="宋体" w:eastAsia="宋体" w:hint="ascii"/>
          <w:sz w:val="21"/>
          <w:spacing w:val="4"/>
        </w:rPr>
        <w:t>项，资助率</w:t>
      </w:r>
      <w:r>
        <w:rPr>
          <w:rFonts w:ascii="宋体" w:hAnsi="宋体" w:cs="宋体" w:eastAsia="宋体" w:hint="ascii"/>
          <w:sz w:val="21"/>
        </w:rPr>
        <w:t>为</w:t>
      </w:r>
    </w:p>
    <w:p>
      <w:pPr>
        <w:autoSpaceDE w:val="0"/>
        <w:autoSpaceDN w:val="0"/>
        <w:jc w:val="left"/>
        <w:spacing w:before="64"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宋体" w:hint="ascii"/>
          <w:sz w:val="21"/>
          <w:spacing w:val="1"/>
        </w:rPr>
        <w:t>20</w:t>
      </w:r>
      <w:r>
        <w:rPr>
          <w:rFonts w:ascii="Times New Roman" w:hAnsi="Times New Roman" w:cs="Times New Roman" w:eastAsia="宋体" w:hint="ascii"/>
          <w:sz w:val="21"/>
          <w:spacing w:val="-1"/>
        </w:rPr>
        <w:t>.</w:t>
      </w:r>
      <w:r>
        <w:rPr>
          <w:rFonts w:ascii="Times New Roman" w:hAnsi="Times New Roman" w:cs="Times New Roman" w:eastAsia="宋体" w:hint="ascii"/>
          <w:sz w:val="21"/>
          <w:spacing w:val="1"/>
        </w:rPr>
        <w:t>98</w:t>
      </w:r>
      <w:r>
        <w:rPr>
          <w:rFonts w:ascii="Times New Roman" w:hAnsi="Times New Roman" w:cs="Times New Roman" w:eastAsia="Times New Roman" w:hint="ascii"/>
          <w:sz w:val="21"/>
        </w:rPr>
        <w:t>%</w:t>
      </w:r>
      <w:r>
        <w:rPr>
          <w:rFonts w:ascii="宋体" w:hAnsi="宋体" w:cs="宋体" w:eastAsia="宋体" w:hint="ascii"/>
          <w:sz w:val="21"/>
        </w:rPr>
        <w:t>，同比有所提高（</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6"/>
        </w:rPr>
        <w:t>6</w:t>
      </w:r>
      <w:r>
        <w:rPr>
          <w:rFonts w:ascii="宋体" w:hAnsi="宋体" w:cs="宋体" w:eastAsia="宋体" w:hint="ascii"/>
          <w:sz w:val="21"/>
        </w:rPr>
        <w:t>年度</w:t>
      </w:r>
      <w:r>
        <w:rPr>
          <w:rFonts w:ascii="宋体" w:hAnsi="宋体" w:cs="宋体" w:eastAsia="宋体" w:hint="ascii"/>
          <w:sz w:val="21"/>
          <w:spacing w:val="13"/>
        </w:rPr>
        <w:t>为</w:t>
      </w:r>
      <w:r>
        <w:rPr>
          <w:rFonts w:ascii="Times New Roman" w:hAnsi="Times New Roman" w:cs="Times New Roman" w:eastAsia="Times New Roman" w:hint="ascii"/>
          <w:sz w:val="21"/>
        </w:rPr>
        <w:t>20.45%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86" w:after="0" w:lineRule="exact" w:line="225"/>
        <w:ind w:right="0" w:left="2983" w:firstLine="0"/>
        <w:snapToGrid w:val="0"/>
        <w:textAlignment w:val="auto"/>
        <w:tabs/>
        <w:rPr>
          <w:rFonts w:ascii="宋体" w:hAnsi="宋体" w:cs="宋体" w:eastAsia="宋体" w:hint="ascii"/>
          <w:sz w:val="18"/>
        </w:rPr>
      </w:pPr>
      <w:r>
        <w:rPr>
          <w:rFonts w:ascii="宋体" w:hAnsi="宋体" w:cs="宋体" w:eastAsia="宋体" w:hint="ascii"/>
          <w:sz w:val="18"/>
        </w:rPr>
        <w:t>工程与材料科学部面上项目近两年资助情况一览表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40"/>
        <w:gridCol w:w="1510"/>
        <w:gridCol w:w="849"/>
        <w:gridCol w:w="851"/>
        <w:gridCol w:w="1020"/>
        <w:gridCol w:w="852"/>
        <w:gridCol w:w="851"/>
        <w:gridCol w:w="1019"/>
      </w:tblGrid>
      <w:tr>
        <w:trPr>
          <w:trHeight w:val="244" w:hRule="exact"/>
          <w:cantSplit w:val="1"/>
        </w:trPr>
        <w:tc>
          <w:tcPr>
            <w:tcW w:w="2550" w:type="dxa"/>
            <w:gridSpan w:val="2"/>
            <w:vAlign w:val="top"/>
            <w:vMerge w:val="restart"/>
            <w:tcMar/>
            <w:tcBorders/>
          </w:tcPr>
          <w:p>
            <w:pPr>
              <w:autoSpaceDE w:val="0"/>
              <w:autoSpaceDN w:val="0"/>
              <w:jc w:val="left"/>
              <w:spacing w:before="136" w:after="0" w:lineRule="exact" w:line="188"/>
              <w:ind w:right="0" w:left="104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0" w:type="dxa"/>
            <w:gridSpan w:val="3"/>
            <w:vAlign w:val="top"/>
            <w:tcMar/>
            <w:tcBorders>
              <w:left w:val="single" w:sz="4" w:space="0" w:color="000000"/>
            </w:tcBorders>
          </w:tcPr>
          <w:p>
            <w:pPr>
              <w:autoSpaceDE w:val="0"/>
              <w:autoSpaceDN w:val="0"/>
              <w:jc w:val="left"/>
              <w:spacing w:before="18" w:after="0" w:lineRule="auto" w:line="240"/>
              <w:ind w:right="0" w:left="1046" w:firstLine="0"/>
              <w:snapToGrid w:val="0"/>
              <w:textAlignment w:val="auto"/>
              <w:tabs>
                <w:tab w:val="left" w:leader="none" w:pos="1372"/>
              </w:tabs>
              <w:numPr>
                <w:ilvl w:val="0"/>
                <w:numId w:val="70"/>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18" w:after="0" w:lineRule="auto" w:line="240"/>
              <w:ind w:right="0" w:left="1046" w:firstLine="0"/>
              <w:snapToGrid w:val="0"/>
              <w:textAlignment w:val="auto"/>
              <w:tabs>
                <w:tab w:val="left" w:leader="none" w:pos="1372"/>
              </w:tabs>
              <w:numPr>
                <w:ilvl w:val="0"/>
                <w:numId w:val="70"/>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239" w:hRule="exact"/>
          <w:cantSplit w:val="1"/>
        </w:trPr>
        <w:tc>
          <w:tcPr>
            <w:tcW w:w="255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20"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852"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8"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39" w:hRule="exact"/>
          <w:cantSplit w:val="1"/>
        </w:trPr>
        <w:tc>
          <w:tcPr>
            <w:tcW w:w="1040" w:type="dxa"/>
            <w:gridSpan w:val="1"/>
            <w:vAlign w:val="top"/>
            <w:vMerge w:val="restart"/>
            <w:tcMar/>
            <w:tcBorders>
              <w:top w:val="single" w:sz="4" w:space="0" w:color="000000"/>
            </w:tcBorders>
          </w:tcPr>
          <w:p>
            <w:pPr>
              <w:autoSpaceDE w:val="0"/>
              <w:autoSpaceDN w:val="0"/>
              <w:jc w:val="left"/>
              <w:spacing w:before="137" w:after="0" w:lineRule="exact" w:line="188"/>
              <w:ind w:right="0" w:left="61" w:firstLine="0"/>
              <w:snapToGrid w:val="0"/>
              <w:textAlignment w:val="auto"/>
              <w:tabs/>
              <w:rPr>
                <w:rFonts w:ascii="宋体" w:hAnsi="宋体" w:cs="宋体" w:eastAsia="宋体" w:hint="ascii"/>
                <w:sz w:val="15"/>
              </w:rPr>
            </w:pPr>
            <w:r>
              <w:rPr>
                <w:rFonts w:ascii="宋体" w:hAnsi="宋体" w:cs="宋体" w:eastAsia="宋体" w:hint="ascii"/>
                <w:sz w:val="15"/>
              </w:rPr>
              <w:t>材料科学一处</w:t>
            </w:r>
          </w:p>
        </w:tc>
        <w:tc>
          <w:tcPr>
            <w:tcW w:w="151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450" w:firstLine="0"/>
              <w:snapToGrid w:val="0"/>
              <w:textAlignment w:val="auto"/>
              <w:tabs/>
              <w:rPr>
                <w:rFonts w:ascii="宋体" w:hAnsi="宋体" w:cs="宋体" w:eastAsia="宋体" w:hint="ascii"/>
                <w:sz w:val="15"/>
              </w:rPr>
            </w:pPr>
            <w:r>
              <w:rPr>
                <w:rFonts w:ascii="宋体" w:hAnsi="宋体" w:cs="宋体" w:eastAsia="宋体" w:hint="ascii"/>
                <w:sz w:val="15"/>
              </w:rPr>
              <w:t>金属材料</w:t>
            </w:r>
          </w:p>
        </w:tc>
        <w:tc>
          <w:tcPr>
            <w:tcW w:w="849"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219</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1" w:firstLine="0"/>
              <w:snapToGrid w:val="0"/>
              <w:textAlignment w:val="auto"/>
              <w:tabs>
                <w:tab w:val="left" w:leader="none" w:pos="444"/>
              </w:tabs>
              <w:numPr>
                <w:ilvl w:val="0"/>
                <w:numId w:val="7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573</w:t>
            </w:r>
          </w:p>
        </w:tc>
        <w:tc>
          <w:tcPr>
            <w:tcW w:w="1020"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20.86</w:t>
            </w:r>
          </w:p>
        </w:tc>
        <w:tc>
          <w:tcPr>
            <w:tcW w:w="85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1" w:firstLine="0"/>
              <w:snapToGrid w:val="0"/>
              <w:textAlignment w:val="auto"/>
              <w:tabs>
                <w:tab w:val="left" w:leader="none" w:pos="444"/>
              </w:tabs>
              <w:numPr>
                <w:ilvl w:val="0"/>
                <w:numId w:val="7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284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21.02</w:t>
            </w:r>
          </w:p>
        </w:tc>
      </w:tr>
      <w:tr>
        <w:trPr>
          <w:trHeight w:val="238" w:hRule="exact"/>
          <w:cantSplit w:val="1"/>
        </w:trPr>
        <w:tc>
          <w:tcPr>
            <w:tcW w:w="1040"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1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25" w:firstLine="0"/>
              <w:snapToGrid w:val="0"/>
              <w:textAlignment w:val="auto"/>
              <w:tabs/>
              <w:rPr>
                <w:rFonts w:ascii="宋体" w:hAnsi="宋体" w:cs="宋体" w:eastAsia="宋体" w:hint="ascii"/>
                <w:sz w:val="15"/>
              </w:rPr>
            </w:pPr>
            <w:r>
              <w:rPr>
                <w:rFonts w:ascii="宋体" w:hAnsi="宋体" w:cs="宋体" w:eastAsia="宋体" w:hint="ascii"/>
                <w:sz w:val="15"/>
              </w:rPr>
              <w:t>有机高分子材料</w:t>
            </w:r>
          </w:p>
        </w:tc>
        <w:tc>
          <w:tcPr>
            <w:tcW w:w="84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220</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13 6</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02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21.19</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231</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13 845</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21.51</w:t>
            </w:r>
          </w:p>
        </w:tc>
      </w:tr>
      <w:tr>
        <w:trPr>
          <w:trHeight w:val="245" w:hRule="exact"/>
          <w:cantSplit w:val="1"/>
        </w:trPr>
        <w:tc>
          <w:tcPr>
            <w:tcW w:w="1040" w:type="dxa"/>
            <w:gridSpan w:val="1"/>
            <w:vAlign w:val="top"/>
            <w:tcMar/>
            <w:tcBorders>
              <w:top w:val="single" w:sz="4" w:space="0" w:color="000000"/>
              <w:bottom w:val="single" w:sz="8" w:space="0" w:color="000000"/>
            </w:tcBorders>
          </w:tcPr>
          <w:p>
            <w:pPr>
              <w:autoSpaceDE w:val="0"/>
              <w:autoSpaceDN w:val="0"/>
              <w:jc w:val="left"/>
              <w:spacing w:before="18" w:after="0" w:lineRule="exact" w:line="188"/>
              <w:ind w:right="0" w:left="61" w:firstLine="0"/>
              <w:snapToGrid w:val="0"/>
              <w:textAlignment w:val="auto"/>
              <w:tabs/>
              <w:rPr>
                <w:rFonts w:ascii="宋体" w:hAnsi="宋体" w:cs="宋体" w:eastAsia="宋体" w:hint="ascii"/>
                <w:sz w:val="15"/>
              </w:rPr>
            </w:pPr>
            <w:r>
              <w:rPr>
                <w:rFonts w:ascii="宋体" w:hAnsi="宋体" w:cs="宋体" w:eastAsia="宋体" w:hint="ascii"/>
                <w:sz w:val="15"/>
              </w:rPr>
              <w:t>材料科学二处</w:t>
            </w:r>
          </w:p>
        </w:tc>
        <w:tc>
          <w:tcPr>
            <w:tcW w:w="1510"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8" w:after="0" w:lineRule="exact" w:line="188"/>
              <w:ind w:right="0" w:left="225" w:firstLine="0"/>
              <w:snapToGrid w:val="0"/>
              <w:textAlignment w:val="auto"/>
              <w:tabs/>
              <w:rPr>
                <w:rFonts w:ascii="宋体" w:hAnsi="宋体" w:cs="宋体" w:eastAsia="宋体" w:hint="ascii"/>
                <w:sz w:val="15"/>
              </w:rPr>
            </w:pPr>
            <w:r>
              <w:rPr>
                <w:rFonts w:ascii="宋体" w:hAnsi="宋体" w:cs="宋体" w:eastAsia="宋体" w:hint="ascii"/>
                <w:sz w:val="15"/>
              </w:rPr>
              <w:t>无机非金属材料</w:t>
            </w:r>
          </w:p>
        </w:tc>
        <w:tc>
          <w:tcPr>
            <w:tcW w:w="849"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315</w:t>
            </w:r>
          </w:p>
        </w:tc>
        <w:tc>
          <w:tcPr>
            <w:tcW w:w="85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4" w:after="0" w:lineRule="auto" w:line="240"/>
              <w:ind w:right="0" w:left="251" w:firstLine="0"/>
              <w:snapToGrid w:val="0"/>
              <w:textAlignment w:val="auto"/>
              <w:tabs>
                <w:tab w:val="left" w:leader="none" w:pos="444"/>
              </w:tabs>
              <w:numPr>
                <w:ilvl w:val="0"/>
                <w:numId w:val="7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536</w:t>
            </w:r>
          </w:p>
        </w:tc>
        <w:tc>
          <w:tcPr>
            <w:tcW w:w="1020"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20.43</w:t>
            </w:r>
          </w:p>
        </w:tc>
        <w:tc>
          <w:tcPr>
            <w:tcW w:w="85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339</w:t>
            </w:r>
          </w:p>
        </w:tc>
        <w:tc>
          <w:tcPr>
            <w:tcW w:w="85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4" w:after="0" w:lineRule="auto" w:line="240"/>
              <w:ind w:right="0" w:left="251" w:firstLine="0"/>
              <w:snapToGrid w:val="0"/>
              <w:textAlignment w:val="auto"/>
              <w:tabs>
                <w:tab w:val="left" w:leader="none" w:pos="444"/>
              </w:tabs>
              <w:numPr>
                <w:ilvl w:val="0"/>
                <w:numId w:val="7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355</w:t>
            </w:r>
          </w:p>
        </w:tc>
        <w:tc>
          <w:tcPr>
            <w:tcW w:w="1019"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21.23</w:t>
            </w:r>
          </w:p>
        </w:tc>
      </w:tr>
    </w:tbl>
    <w:p>
      <w:pPr>
        <w:autoSpaceDE w:val="0"/>
        <w:autoSpaceDN w:val="0"/>
        <w:jc w:val="left"/>
        <w:spacing w:before="40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327"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103" locked="0" layoutInCell="1" allowOverlap="1">
                <wp:simplePos x="0" y="0"/>
                <wp:positionH relativeFrom="page">
                  <wp:posOffset>938530</wp:posOffset>
                </wp:positionH>
                <wp:positionV relativeFrom="page">
                  <wp:posOffset>819150</wp:posOffset>
                </wp:positionV>
                <wp:extent cx="5076190" cy="0"/>
                <wp:wrapNone/>
                <wp:docPr id="1131" name="113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52768;width:399.70pt;" id="1131"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40"/>
        <w:gridCol w:w="1510"/>
        <w:gridCol w:w="849"/>
        <w:gridCol w:w="851"/>
        <w:gridCol w:w="1020"/>
        <w:gridCol w:w="852"/>
        <w:gridCol w:w="851"/>
        <w:gridCol w:w="1019"/>
      </w:tblGrid>
      <w:tr>
        <w:trPr>
          <w:trHeight w:val="244" w:hRule="exact"/>
          <w:cantSplit w:val="1"/>
        </w:trPr>
        <w:tc>
          <w:tcPr>
            <w:tcW w:w="2550" w:type="dxa"/>
            <w:gridSpan w:val="2"/>
            <w:vAlign w:val="top"/>
            <w:vMerge w:val="restart"/>
            <w:tcMar/>
            <w:tcBorders/>
          </w:tcPr>
          <w:p>
            <w:pPr>
              <w:autoSpaceDE w:val="0"/>
              <w:autoSpaceDN w:val="0"/>
              <w:jc w:val="left"/>
              <w:spacing w:before="136" w:after="0" w:lineRule="exact" w:line="188"/>
              <w:ind w:right="0" w:left="104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0" w:type="dxa"/>
            <w:gridSpan w:val="3"/>
            <w:vAlign w:val="top"/>
            <w:tcMar/>
            <w:tcBorders>
              <w:left w:val="single" w:sz="4" w:space="0" w:color="000000"/>
            </w:tcBorders>
          </w:tcPr>
          <w:p>
            <w:pPr>
              <w:autoSpaceDE w:val="0"/>
              <w:autoSpaceDN w:val="0"/>
              <w:jc w:val="left"/>
              <w:spacing w:before="16" w:after="0" w:lineRule="auto" w:line="240"/>
              <w:ind w:right="0" w:left="1046" w:firstLine="0"/>
              <w:snapToGrid w:val="0"/>
              <w:textAlignment w:val="auto"/>
              <w:tabs>
                <w:tab w:val="left" w:leader="none" w:pos="1372"/>
              </w:tabs>
              <w:numPr>
                <w:ilvl w:val="0"/>
                <w:numId w:val="73"/>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16" w:after="0" w:lineRule="auto" w:line="240"/>
              <w:ind w:right="0" w:left="1046" w:firstLine="0"/>
              <w:snapToGrid w:val="0"/>
              <w:textAlignment w:val="auto"/>
              <w:tabs>
                <w:tab w:val="left" w:leader="none" w:pos="1372"/>
              </w:tabs>
              <w:numPr>
                <w:ilvl w:val="0"/>
                <w:numId w:val="73"/>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238" w:hRule="exact"/>
          <w:cantSplit w:val="1"/>
        </w:trPr>
        <w:tc>
          <w:tcPr>
            <w:tcW w:w="255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2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852"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7"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39" w:hRule="exact"/>
          <w:cantSplit w:val="1"/>
        </w:trPr>
        <w:tc>
          <w:tcPr>
            <w:tcW w:w="1040" w:type="dxa"/>
            <w:gridSpan w:val="1"/>
            <w:vAlign w:val="top"/>
            <w:tcMar/>
            <w:tcBorders>
              <w:top w:val="single" w:sz="4" w:space="0" w:color="000000"/>
            </w:tcBorders>
          </w:tcPr>
          <w:p>
            <w:pPr>
              <w:autoSpaceDE w:val="0"/>
              <w:autoSpaceDN w:val="0"/>
              <w:jc w:val="left"/>
              <w:spacing w:before="18" w:after="0" w:lineRule="exact" w:line="188"/>
              <w:ind w:right="0" w:left="61" w:firstLine="0"/>
              <w:snapToGrid w:val="0"/>
              <w:textAlignment w:val="auto"/>
              <w:tabs/>
              <w:rPr>
                <w:rFonts w:ascii="宋体" w:hAnsi="宋体" w:cs="宋体" w:eastAsia="宋体" w:hint="ascii"/>
                <w:sz w:val="15"/>
              </w:rPr>
            </w:pPr>
            <w:r>
              <w:rPr>
                <w:rFonts w:ascii="宋体" w:hAnsi="宋体" w:cs="宋体" w:eastAsia="宋体" w:hint="ascii"/>
                <w:sz w:val="15"/>
              </w:rPr>
              <w:t>工程科学一处</w:t>
            </w:r>
          </w:p>
        </w:tc>
        <w:tc>
          <w:tcPr>
            <w:tcW w:w="1510"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375" w:firstLine="0"/>
              <w:snapToGrid w:val="0"/>
              <w:textAlignment w:val="auto"/>
              <w:tabs/>
              <w:rPr>
                <w:rFonts w:ascii="宋体" w:hAnsi="宋体" w:cs="宋体" w:eastAsia="宋体" w:hint="ascii"/>
                <w:sz w:val="15"/>
              </w:rPr>
            </w:pPr>
            <w:r>
              <w:rPr>
                <w:rFonts w:ascii="宋体" w:hAnsi="宋体" w:cs="宋体" w:eastAsia="宋体" w:hint="ascii"/>
                <w:sz w:val="15"/>
              </w:rPr>
              <w:t>冶金与矿业</w:t>
            </w:r>
          </w:p>
        </w:tc>
        <w:tc>
          <w:tcPr>
            <w:tcW w:w="849"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305</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18 938</w:t>
            </w:r>
          </w:p>
        </w:tc>
        <w:tc>
          <w:tcPr>
            <w:tcW w:w="1020"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c>
          <w:tcPr>
            <w:tcW w:w="85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344</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1" w:firstLine="0"/>
              <w:snapToGrid w:val="0"/>
              <w:textAlignment w:val="auto"/>
              <w:tabs>
                <w:tab w:val="left" w:leader="none" w:pos="444"/>
              </w:tabs>
              <w:numPr>
                <w:ilvl w:val="0"/>
                <w:numId w:val="7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624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36" w:firstLine="0"/>
              <w:snapToGrid w:val="0"/>
              <w:textAlignment w:val="auto"/>
              <w:tabs>
                <w:tab w:val="left" w:leader="none" w:pos="-655355"/>
              </w:tabs>
              <w:numPr>
                <w:ilvl w:val="1"/>
                <w:numId w:val="7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r>
      <w:tr>
        <w:trPr>
          <w:trHeight w:val="239" w:hRule="exact"/>
          <w:cantSplit w:val="1"/>
        </w:trPr>
        <w:tc>
          <w:tcPr>
            <w:tcW w:w="1040" w:type="dxa"/>
            <w:gridSpan w:val="1"/>
            <w:vAlign w:val="top"/>
            <w:tcMar/>
            <w:tcBorders>
              <w:top w:val="single" w:sz="4" w:space="0" w:color="000000"/>
            </w:tcBorders>
          </w:tcPr>
          <w:p>
            <w:pPr>
              <w:autoSpaceDE w:val="0"/>
              <w:autoSpaceDN w:val="0"/>
              <w:jc w:val="left"/>
              <w:spacing w:before="18" w:after="0" w:lineRule="exact" w:line="188"/>
              <w:ind w:right="0" w:left="61" w:firstLine="0"/>
              <w:snapToGrid w:val="0"/>
              <w:textAlignment w:val="auto"/>
              <w:tabs/>
              <w:rPr>
                <w:rFonts w:ascii="宋体" w:hAnsi="宋体" w:cs="宋体" w:eastAsia="宋体" w:hint="ascii"/>
                <w:sz w:val="15"/>
              </w:rPr>
            </w:pPr>
            <w:r>
              <w:rPr>
                <w:rFonts w:ascii="宋体" w:hAnsi="宋体" w:cs="宋体" w:eastAsia="宋体" w:hint="ascii"/>
                <w:sz w:val="15"/>
              </w:rPr>
              <w:t>工程科学二处</w:t>
            </w:r>
          </w:p>
        </w:tc>
        <w:tc>
          <w:tcPr>
            <w:tcW w:w="1510" w:type="dxa"/>
            <w:gridSpan w:val="1"/>
            <w:vAlign w:val="top"/>
            <w:tcMar/>
            <w:tcBorders>
              <w:left w:val="single" w:sz="4" w:space="0" w:color="000000"/>
              <w:top w:val="single" w:sz="4" w:space="0" w:color="000000"/>
            </w:tcBorders>
          </w:tcPr>
          <w:p>
            <w:pPr>
              <w:autoSpaceDE w:val="0"/>
              <w:autoSpaceDN w:val="0"/>
              <w:jc w:val="left"/>
              <w:spacing w:before="18" w:after="0" w:lineRule="exact" w:line="188"/>
              <w:ind w:right="0" w:left="150" w:firstLine="0"/>
              <w:snapToGrid w:val="0"/>
              <w:textAlignment w:val="auto"/>
              <w:tabs/>
              <w:rPr>
                <w:rFonts w:ascii="宋体" w:hAnsi="宋体" w:cs="宋体" w:eastAsia="宋体" w:hint="ascii"/>
                <w:sz w:val="15"/>
              </w:rPr>
            </w:pPr>
            <w:r>
              <w:rPr>
                <w:rFonts w:ascii="宋体" w:hAnsi="宋体" w:cs="宋体" w:eastAsia="宋体" w:hint="ascii"/>
                <w:sz w:val="15"/>
              </w:rPr>
              <w:t>机械学与制造科学</w:t>
            </w:r>
          </w:p>
        </w:tc>
        <w:tc>
          <w:tcPr>
            <w:tcW w:w="849"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540</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33 486</w:t>
            </w:r>
          </w:p>
        </w:tc>
        <w:tc>
          <w:tcPr>
            <w:tcW w:w="1020"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21.38</w:t>
            </w:r>
          </w:p>
        </w:tc>
        <w:tc>
          <w:tcPr>
            <w:tcW w:w="85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565</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33 965</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21.41</w:t>
            </w:r>
          </w:p>
        </w:tc>
      </w:tr>
      <w:tr>
        <w:trPr>
          <w:trHeight w:val="433" w:hRule="exact"/>
          <w:cantSplit w:val="1"/>
        </w:trPr>
        <w:tc>
          <w:tcPr>
            <w:tcW w:w="1040" w:type="dxa"/>
            <w:gridSpan w:val="1"/>
            <w:vAlign w:val="top"/>
            <w:tcMar/>
            <w:tcBorders>
              <w:top w:val="single" w:sz="4" w:space="0" w:color="000000"/>
            </w:tcBorders>
          </w:tcPr>
          <w:p>
            <w:pPr>
              <w:autoSpaceDE w:val="0"/>
              <w:autoSpaceDN w:val="0"/>
              <w:jc w:val="left"/>
              <w:spacing w:before="115" w:after="0" w:lineRule="exact" w:line="188"/>
              <w:ind w:right="0" w:left="61" w:firstLine="0"/>
              <w:snapToGrid w:val="0"/>
              <w:textAlignment w:val="auto"/>
              <w:tabs/>
              <w:rPr>
                <w:rFonts w:ascii="宋体" w:hAnsi="宋体" w:cs="宋体" w:eastAsia="宋体" w:hint="ascii"/>
                <w:sz w:val="15"/>
              </w:rPr>
            </w:pPr>
            <w:r>
              <w:rPr>
                <w:rFonts w:ascii="宋体" w:hAnsi="宋体" w:cs="宋体" w:eastAsia="宋体" w:hint="ascii"/>
                <w:sz w:val="15"/>
              </w:rPr>
              <w:t>工程科学三处</w:t>
            </w:r>
          </w:p>
        </w:tc>
        <w:tc>
          <w:tcPr>
            <w:tcW w:w="151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300" w:firstLine="0"/>
              <w:snapToGrid w:val="0"/>
              <w:textAlignment w:val="auto"/>
              <w:tabs/>
              <w:rPr>
                <w:rFonts w:ascii="宋体" w:hAnsi="宋体" w:cs="宋体" w:eastAsia="宋体" w:hint="ascii"/>
                <w:sz w:val="15"/>
              </w:rPr>
            </w:pPr>
            <w:r>
              <w:rPr>
                <w:rFonts w:ascii="宋体" w:hAnsi="宋体" w:cs="宋体" w:eastAsia="宋体" w:hint="ascii"/>
                <w:sz w:val="15"/>
              </w:rPr>
              <w:t>工程热物理与</w:t>
            </w:r>
          </w:p>
          <w:p>
            <w:pPr>
              <w:autoSpaceDE w:val="0"/>
              <w:autoSpaceDN w:val="0"/>
              <w:jc w:val="left"/>
              <w:spacing w:before="8" w:after="0" w:lineRule="exact" w:line="188"/>
              <w:ind w:right="0" w:left="450" w:firstLine="0"/>
              <w:snapToGrid w:val="0"/>
              <w:textAlignment w:val="auto"/>
              <w:tabs/>
              <w:rPr>
                <w:rFonts w:ascii="宋体" w:hAnsi="宋体" w:cs="宋体" w:eastAsia="宋体" w:hint="ascii"/>
                <w:sz w:val="15"/>
              </w:rPr>
            </w:pPr>
            <w:r>
              <w:rPr>
                <w:rFonts w:ascii="宋体" w:hAnsi="宋体" w:cs="宋体" w:eastAsia="宋体" w:hint="ascii"/>
                <w:sz w:val="15"/>
              </w:rPr>
              <w:t>能源利用</w:t>
            </w:r>
          </w:p>
        </w:tc>
        <w:tc>
          <w:tcPr>
            <w:tcW w:w="849"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213</w:t>
            </w:r>
          </w:p>
        </w:tc>
        <w:tc>
          <w:tcPr>
            <w:tcW w:w="851"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13 214</w:t>
            </w:r>
          </w:p>
        </w:tc>
        <w:tc>
          <w:tcPr>
            <w:tcW w:w="1020"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21.24</w:t>
            </w:r>
          </w:p>
        </w:tc>
        <w:tc>
          <w:tcPr>
            <w:tcW w:w="852"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228</w:t>
            </w:r>
          </w:p>
        </w:tc>
        <w:tc>
          <w:tcPr>
            <w:tcW w:w="851"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13 680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2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21.67</w:t>
            </w:r>
          </w:p>
        </w:tc>
      </w:tr>
      <w:tr>
        <w:trPr>
          <w:trHeight w:val="433" w:hRule="exact"/>
          <w:cantSplit w:val="1"/>
        </w:trPr>
        <w:tc>
          <w:tcPr>
            <w:tcW w:w="1040" w:type="dxa"/>
            <w:gridSpan w:val="1"/>
            <w:vAlign w:val="top"/>
            <w:tcMar/>
            <w:tcBorders>
              <w:top w:val="single" w:sz="4" w:space="0" w:color="000000"/>
            </w:tcBorders>
          </w:tcPr>
          <w:p>
            <w:pPr>
              <w:autoSpaceDE w:val="0"/>
              <w:autoSpaceDN w:val="0"/>
              <w:jc w:val="left"/>
              <w:spacing w:before="114" w:after="0" w:lineRule="exact" w:line="188"/>
              <w:ind w:right="0" w:left="61" w:firstLine="0"/>
              <w:snapToGrid w:val="0"/>
              <w:textAlignment w:val="auto"/>
              <w:tabs/>
              <w:rPr>
                <w:rFonts w:ascii="宋体" w:hAnsi="宋体" w:cs="宋体" w:eastAsia="宋体" w:hint="ascii"/>
                <w:sz w:val="15"/>
              </w:rPr>
            </w:pPr>
            <w:r>
              <w:rPr>
                <w:rFonts w:ascii="宋体" w:hAnsi="宋体" w:cs="宋体" w:eastAsia="宋体" w:hint="ascii"/>
                <w:sz w:val="15"/>
              </w:rPr>
              <w:t>工程科学四处</w:t>
            </w:r>
          </w:p>
        </w:tc>
        <w:tc>
          <w:tcPr>
            <w:tcW w:w="151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75" w:firstLine="0"/>
              <w:snapToGrid w:val="0"/>
              <w:textAlignment w:val="auto"/>
              <w:tabs/>
              <w:rPr>
                <w:rFonts w:ascii="宋体" w:hAnsi="宋体" w:cs="宋体" w:eastAsia="宋体" w:hint="ascii"/>
                <w:sz w:val="15"/>
              </w:rPr>
            </w:pPr>
            <w:r>
              <w:rPr>
                <w:rFonts w:ascii="宋体" w:hAnsi="宋体" w:cs="宋体" w:eastAsia="宋体" w:hint="ascii"/>
                <w:sz w:val="15"/>
              </w:rPr>
              <w:t>建筑学、环境工程与</w:t>
            </w:r>
          </w:p>
          <w:p>
            <w:pPr>
              <w:autoSpaceDE w:val="0"/>
              <w:autoSpaceDN w:val="0"/>
              <w:jc w:val="left"/>
              <w:spacing w:before="7" w:after="0" w:lineRule="exact" w:line="188"/>
              <w:ind w:right="0" w:left="450" w:firstLine="0"/>
              <w:snapToGrid w:val="0"/>
              <w:textAlignment w:val="auto"/>
              <w:tabs/>
              <w:rPr>
                <w:rFonts w:ascii="宋体" w:hAnsi="宋体" w:cs="宋体" w:eastAsia="宋体" w:hint="ascii"/>
                <w:sz w:val="15"/>
              </w:rPr>
            </w:pPr>
            <w:r>
              <w:rPr>
                <w:rFonts w:ascii="宋体" w:hAnsi="宋体" w:cs="宋体" w:eastAsia="宋体" w:hint="ascii"/>
                <w:sz w:val="15"/>
              </w:rPr>
              <w:t>土木工程</w:t>
            </w:r>
          </w:p>
        </w:tc>
        <w:tc>
          <w:tcPr>
            <w:tcW w:w="849"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579</w:t>
            </w:r>
          </w:p>
        </w:tc>
        <w:tc>
          <w:tcPr>
            <w:tcW w:w="851"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35 918</w:t>
            </w:r>
          </w:p>
        </w:tc>
        <w:tc>
          <w:tcPr>
            <w:tcW w:w="1020"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19.78</w:t>
            </w:r>
          </w:p>
        </w:tc>
        <w:tc>
          <w:tcPr>
            <w:tcW w:w="852"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643</w:t>
            </w:r>
          </w:p>
        </w:tc>
        <w:tc>
          <w:tcPr>
            <w:tcW w:w="851" w:type="dxa"/>
            <w:gridSpan w:val="1"/>
            <w:vAlign w:val="top"/>
            <w:tcMar/>
            <w:tcBorders>
              <w:left w:val="single" w:sz="4" w:space="0" w:color="000000"/>
              <w:top w:val="single" w:sz="4" w:space="0" w:color="000000"/>
            </w:tcBorders>
          </w:tcPr>
          <w:p>
            <w:pPr>
              <w:autoSpaceDE w:val="0"/>
              <w:autoSpaceDN w:val="0"/>
              <w:jc w:val="left"/>
              <w:spacing w:before="121"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38 564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2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20.64</w:t>
            </w:r>
          </w:p>
        </w:tc>
      </w:tr>
      <w:tr>
        <w:trPr>
          <w:trHeight w:val="239" w:hRule="exact"/>
          <w:cantSplit w:val="1"/>
        </w:trPr>
        <w:tc>
          <w:tcPr>
            <w:tcW w:w="1040" w:type="dxa"/>
            <w:gridSpan w:val="1"/>
            <w:vAlign w:val="top"/>
            <w:vMerge w:val="restart"/>
            <w:tcMar/>
            <w:tcBorders>
              <w:top w:val="single" w:sz="4" w:space="0" w:color="000000"/>
            </w:tcBorders>
          </w:tcPr>
          <w:p>
            <w:pPr>
              <w:autoSpaceDE w:val="0"/>
              <w:autoSpaceDN w:val="0"/>
              <w:jc w:val="left"/>
              <w:spacing w:before="137" w:after="0" w:lineRule="exact" w:line="188"/>
              <w:ind w:right="0" w:left="61" w:firstLine="0"/>
              <w:snapToGrid w:val="0"/>
              <w:textAlignment w:val="auto"/>
              <w:tabs/>
              <w:rPr>
                <w:rFonts w:ascii="宋体" w:hAnsi="宋体" w:cs="宋体" w:eastAsia="宋体" w:hint="ascii"/>
                <w:sz w:val="15"/>
              </w:rPr>
            </w:pPr>
            <w:r>
              <w:rPr>
                <w:rFonts w:ascii="宋体" w:hAnsi="宋体" w:cs="宋体" w:eastAsia="宋体" w:hint="ascii"/>
                <w:sz w:val="15"/>
              </w:rPr>
              <w:t>工程科学五处</w:t>
            </w:r>
          </w:p>
        </w:tc>
        <w:tc>
          <w:tcPr>
            <w:tcW w:w="151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25" w:firstLine="0"/>
              <w:snapToGrid w:val="0"/>
              <w:textAlignment w:val="auto"/>
              <w:tabs/>
              <w:rPr>
                <w:rFonts w:ascii="宋体" w:hAnsi="宋体" w:cs="宋体" w:eastAsia="宋体" w:hint="ascii"/>
                <w:sz w:val="15"/>
              </w:rPr>
            </w:pPr>
            <w:r>
              <w:rPr>
                <w:rFonts w:ascii="宋体" w:hAnsi="宋体" w:cs="宋体" w:eastAsia="宋体" w:hint="ascii"/>
                <w:sz w:val="15"/>
              </w:rPr>
              <w:t>电气科学与工程</w:t>
            </w:r>
          </w:p>
        </w:tc>
        <w:tc>
          <w:tcPr>
            <w:tcW w:w="84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12 161</w:t>
            </w:r>
          </w:p>
        </w:tc>
        <w:tc>
          <w:tcPr>
            <w:tcW w:w="102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19.42</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12 993</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19.87</w:t>
            </w:r>
          </w:p>
        </w:tc>
      </w:tr>
      <w:tr>
        <w:trPr>
          <w:trHeight w:val="238" w:hRule="exact"/>
          <w:cantSplit w:val="1"/>
        </w:trPr>
        <w:tc>
          <w:tcPr>
            <w:tcW w:w="1040"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1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75" w:firstLine="0"/>
              <w:snapToGrid w:val="0"/>
              <w:textAlignment w:val="auto"/>
              <w:tabs/>
              <w:rPr>
                <w:rFonts w:ascii="宋体" w:hAnsi="宋体" w:cs="宋体" w:eastAsia="宋体" w:hint="ascii"/>
                <w:sz w:val="15"/>
              </w:rPr>
            </w:pPr>
            <w:r>
              <w:rPr>
                <w:rFonts w:ascii="宋体" w:hAnsi="宋体" w:cs="宋体" w:eastAsia="宋体" w:hint="ascii"/>
                <w:sz w:val="15"/>
              </w:rPr>
              <w:t>水利科学与海洋工程</w:t>
            </w:r>
          </w:p>
        </w:tc>
        <w:tc>
          <w:tcPr>
            <w:tcW w:w="84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265</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16 463</w:t>
            </w:r>
          </w:p>
        </w:tc>
        <w:tc>
          <w:tcPr>
            <w:tcW w:w="102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19.98</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280</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16 810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20.91</w:t>
            </w:r>
          </w:p>
        </w:tc>
      </w:tr>
      <w:tr>
        <w:trPr>
          <w:trHeight w:val="239" w:hRule="exact"/>
          <w:cantSplit w:val="1"/>
        </w:trPr>
        <w:tc>
          <w:tcPr>
            <w:tcW w:w="2550" w:type="dxa"/>
            <w:gridSpan w:val="2"/>
            <w:vAlign w:val="top"/>
            <w:tcMar/>
            <w:tcBorders>
              <w:top w:val="single" w:sz="4" w:space="0" w:color="000000"/>
            </w:tcBorders>
          </w:tcPr>
          <w:p>
            <w:pPr>
              <w:autoSpaceDE w:val="0"/>
              <w:autoSpaceDN w:val="0"/>
              <w:jc w:val="left"/>
              <w:spacing w:before="18" w:after="0" w:lineRule="exact" w:line="188"/>
              <w:ind w:right="0" w:left="816"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49"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2" w:firstLine="0"/>
              <w:snapToGrid w:val="0"/>
              <w:textAlignment w:val="auto"/>
              <w:tabs>
                <w:tab w:val="left" w:leader="none" w:pos="370"/>
              </w:tabs>
              <w:numPr>
                <w:ilvl w:val="0"/>
                <w:numId w:val="75"/>
              </w:numPr>
              <w:rPr>
                <w:rFonts w:ascii="Times New Roman" w:hAnsi="Times New Roman" w:cs="Times New Roman" w:eastAsia="Times New Roman" w:hint="ascii"/>
                <w:sz w:val="15"/>
              </w:rPr>
            </w:pPr>
            <w:r>
              <w:rPr>
                <w:rFonts w:ascii="Times New Roman" w:hAnsi="Times New Roman" w:cs="Times New Roman" w:eastAsia="Times New Roman" w:hint="ascii"/>
                <w:sz w:val="15"/>
              </w:rPr>
              <w:t>851</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1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176 900</w:t>
            </w:r>
          </w:p>
        </w:tc>
        <w:tc>
          <w:tcPr>
            <w:tcW w:w="1020"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20.45</w:t>
            </w:r>
          </w:p>
        </w:tc>
        <w:tc>
          <w:tcPr>
            <w:tcW w:w="85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52" w:firstLine="0"/>
              <w:snapToGrid w:val="0"/>
              <w:textAlignment w:val="auto"/>
              <w:tabs>
                <w:tab w:val="left" w:leader="none" w:pos="370"/>
              </w:tabs>
              <w:numPr>
                <w:ilvl w:val="0"/>
                <w:numId w:val="75"/>
              </w:numPr>
              <w:rPr>
                <w:rFonts w:ascii="Times New Roman" w:hAnsi="Times New Roman" w:cs="Times New Roman" w:eastAsia="Times New Roman" w:hint="ascii"/>
                <w:sz w:val="15"/>
              </w:rPr>
            </w:pPr>
            <w:r>
              <w:rPr>
                <w:rFonts w:ascii="Times New Roman" w:hAnsi="Times New Roman" w:cs="Times New Roman" w:eastAsia="Times New Roman" w:hint="ascii"/>
                <w:sz w:val="15"/>
              </w:rPr>
              <w:t>085</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1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185 120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20.98</w:t>
            </w:r>
          </w:p>
        </w:tc>
      </w:tr>
      <w:tr>
        <w:trPr>
          <w:trHeight w:val="245" w:hRule="exact"/>
          <w:cantSplit w:val="1"/>
        </w:trPr>
        <w:tc>
          <w:tcPr>
            <w:tcW w:w="2550" w:type="dxa"/>
            <w:gridSpan w:val="2"/>
            <w:vAlign w:val="top"/>
            <w:tcMar/>
            <w:tcBorders>
              <w:top w:val="single" w:sz="4" w:space="0" w:color="000000"/>
              <w:bottom w:val="single" w:sz="8" w:space="0" w:color="000000"/>
            </w:tcBorders>
          </w:tcPr>
          <w:p>
            <w:pPr>
              <w:autoSpaceDE w:val="0"/>
              <w:autoSpaceDN w:val="0"/>
              <w:jc w:val="left"/>
              <w:spacing w:before="18" w:after="0" w:lineRule="exact" w:line="188"/>
              <w:ind w:right="0" w:left="66"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直接费用平均资助强度（万元／项）</w:t>
            </w:r>
          </w:p>
        </w:tc>
        <w:tc>
          <w:tcPr>
            <w:tcW w:w="2720"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24" w:after="0" w:lineRule="auto" w:line="240"/>
              <w:ind w:right="0" w:left="1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62.05</w:t>
            </w:r>
          </w:p>
        </w:tc>
        <w:tc>
          <w:tcPr>
            <w:tcW w:w="2722"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24" w:after="0" w:lineRule="auto" w:line="240"/>
              <w:ind w:right="0" w:left="1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60.01</w:t>
            </w:r>
          </w:p>
        </w:tc>
      </w:tr>
    </w:tbl>
    <w:p>
      <w:pPr>
        <w:autoSpaceDE w:val="0"/>
        <w:autoSpaceDN w:val="0"/>
        <w:jc w:val="left"/>
        <w:spacing w:before="17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项目申请中请注意以下问题。</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）鼓励结合国家经济建设和社会可持续发展的重大需求进行选题，优先资助具有</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重要科学研究</w:t>
      </w:r>
      <w:r>
        <w:rPr>
          <w:rFonts w:ascii="宋体" w:hAnsi="宋体" w:cs="宋体" w:eastAsia="宋体" w:hint="ascii"/>
          <w:sz w:val="21"/>
        </w:rPr>
        <w:t>价值和重要应用前景的基础研究项目；优先资助结合国情和我国资源特点</w:t>
      </w:r>
      <w:r>
        <w:rPr>
          <w:rFonts w:ascii="宋体" w:hAnsi="宋体" w:cs="宋体" w:eastAsia="宋体" w:hint="ascii"/>
          <w:sz w:val="21"/>
          <w:spacing w:val="-1"/>
        </w:rPr>
        <w:t>的基础研究项</w:t>
      </w:r>
      <w:r>
        <w:rPr>
          <w:rFonts w:ascii="宋体" w:hAnsi="宋体" w:cs="宋体" w:eastAsia="宋体" w:hint="ascii"/>
          <w:sz w:val="21"/>
        </w:rPr>
        <w:t>目；优先资助能够引领学科前沿、带动学科发展，能形成我国自主知识产权的基础研究项目。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）鼓励申请人提出具有创新学术思想和有特色的项目申请，开展实质性的学科交</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叉和合作研究</w:t>
      </w:r>
      <w:r>
        <w:rPr>
          <w:rFonts w:ascii="宋体" w:hAnsi="宋体" w:cs="宋体" w:eastAsia="宋体" w:hint="ascii"/>
          <w:sz w:val="21"/>
        </w:rPr>
        <w:t>，促进本学科和相关学科领域的高水平发展。但必须指出的是，项目申请必须有所申请学科的具体科学问题。</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）注意项目申请的基础性和创新性，注重凝练关键科学问题，研究内容应集中，</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突出研究重点。申请不同类别项目时，请参阅相关项目管理办法，准确把握项目定位。</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）对于承担过科学基金项目并已经结题的项目负责人，要求提供取得的具体研究</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成果或项目进</w:t>
      </w:r>
      <w:r>
        <w:rPr>
          <w:rFonts w:ascii="宋体" w:hAnsi="宋体" w:cs="宋体" w:eastAsia="宋体" w:hint="ascii"/>
          <w:sz w:val="21"/>
        </w:rPr>
        <w:t>展。所提供的基本情况务必客观和实事求是，否则将直接影响申请项目的评审结果。</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5</w:t>
      </w:r>
      <w:r>
        <w:rPr>
          <w:rFonts w:ascii="宋体" w:hAnsi="宋体" w:cs="宋体" w:eastAsia="宋体" w:hint="ascii"/>
          <w:sz w:val="21"/>
          <w:spacing w:val="-1"/>
        </w:rPr>
        <w:t>）请参考</w:t>
      </w:r>
      <w:r>
        <w:rPr>
          <w:rFonts w:ascii="宋体" w:hAnsi="宋体" w:cs="宋体" w:eastAsia="宋体" w:hint="ascii"/>
          <w:sz w:val="21"/>
        </w:rPr>
        <w:t>各类项目资助强度，提出合理申请金额，并根据实际需要对各项开支给出合理预算。</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材料科学一处</w:t>
      </w:r>
    </w:p>
    <w:p>
      <w:pPr>
        <w:autoSpaceDE w:val="0"/>
        <w:autoSpaceDN w:val="0"/>
        <w:jc w:val="left"/>
        <w:spacing w:before="34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本科学处主要资助金属材料学科和有机高分子材料学科的基础研究。</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金属材料学科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本学科资助以金属体系为主体的各类材料的基础研究。申请书需要体现基础研究的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性质和价值，</w:t>
      </w:r>
      <w:r>
        <w:rPr>
          <w:rFonts w:ascii="宋体" w:hAnsi="宋体" w:cs="宋体" w:eastAsia="宋体" w:hint="ascii"/>
          <w:sz w:val="21"/>
        </w:rPr>
        <w:t>提出确切的材料科学问题和有特色的研究思路，目标指向推动学科前沿发展，或者推动国家重大需求领域的科技进步。</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本学科资助的范围包括：金属及其合金、金属基复合材料、金属间化合物和类金属</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等金属材料的</w:t>
      </w:r>
      <w:r>
        <w:rPr>
          <w:rFonts w:ascii="宋体" w:hAnsi="宋体" w:cs="宋体" w:eastAsia="宋体" w:hint="ascii"/>
          <w:sz w:val="21"/>
        </w:rPr>
        <w:t>化学成分、微观结构、合金相、表面与界面、尺度效应、杂质与缺陷等及</w:t>
      </w:r>
      <w:r>
        <w:rPr>
          <w:rFonts w:ascii="宋体" w:hAnsi="宋体" w:cs="宋体" w:eastAsia="宋体" w:hint="ascii"/>
          <w:sz w:val="21"/>
          <w:spacing w:val="1"/>
        </w:rPr>
        <w:t>其对金属材料力学性</w:t>
      </w:r>
      <w:r>
        <w:rPr>
          <w:rFonts w:ascii="宋体" w:hAnsi="宋体" w:cs="宋体" w:eastAsia="宋体" w:hint="ascii"/>
          <w:sz w:val="21"/>
        </w:rPr>
        <w:t>能、物理性能和化学性能影响的机理；金属在热处理、铸造、</w:t>
      </w:r>
      <w:r>
        <w:rPr>
          <w:rFonts w:ascii="宋体" w:hAnsi="宋体" w:cs="宋体" w:eastAsia="宋体" w:hint="ascii"/>
          <w:sz w:val="21"/>
          <w:spacing w:val="-6"/>
        </w:rPr>
        <w:t>锻</w:t>
      </w:r>
      <w:r>
        <w:rPr>
          <w:rFonts w:ascii="宋体" w:hAnsi="宋体" w:cs="宋体" w:eastAsia="宋体" w:hint="ascii"/>
          <w:sz w:val="21"/>
          <w:spacing w:val="-1"/>
        </w:rPr>
        <w:t>压、焊接和切</w:t>
      </w:r>
      <w:r>
        <w:rPr>
          <w:rFonts w:ascii="宋体" w:hAnsi="宋体" w:cs="宋体" w:eastAsia="宋体" w:hint="ascii"/>
          <w:sz w:val="21"/>
        </w:rPr>
        <w:t>削等制备加工中的材料科学问题；金属材料的强韧化、变形与断裂；相变</w:t>
      </w:r>
    </w:p>
    <w:p>
      <w:pPr>
        <w:autoSpaceDE w:val="0"/>
        <w:autoSpaceDN w:val="0"/>
        <w:jc w:val="left"/>
        <w:spacing w:before="454"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及合金设</w:t>
      </w:r>
      <w:r>
        <w:rPr>
          <w:rFonts w:ascii="宋体" w:hAnsi="宋体" w:cs="宋体" w:eastAsia="宋体" w:hint="ascii"/>
          <w:sz w:val="21"/>
        </w:rPr>
        <w:t>计；能源、环境、生物医用、交通运输、航空航天领域金属材料中的材料科学</w:t>
      </w:r>
      <w:r>
        <w:rPr>
          <w:rFonts w:ascii="宋体" w:hAnsi="宋体" w:cs="宋体" w:eastAsia="宋体" w:hint="ascii"/>
          <w:sz w:val="21"/>
          <w:spacing w:val="1"/>
        </w:rPr>
        <w:t>基础；金属材料与环境</w:t>
      </w:r>
      <w:r>
        <w:rPr>
          <w:rFonts w:ascii="宋体" w:hAnsi="宋体" w:cs="宋体" w:eastAsia="宋体" w:hint="ascii"/>
          <w:sz w:val="21"/>
        </w:rPr>
        <w:t>的交互作用、损伤、功能退化与失效、循环再生机制及相关</w:t>
      </w:r>
      <w:r>
        <w:rPr>
          <w:rFonts w:ascii="宋体" w:hAnsi="宋体" w:cs="宋体" w:eastAsia="宋体" w:hint="ascii"/>
          <w:sz w:val="21"/>
          <w:spacing w:val="-6"/>
        </w:rPr>
        <w:t>基</w:t>
      </w:r>
      <w:r>
        <w:rPr>
          <w:rFonts w:ascii="宋体" w:hAnsi="宋体" w:cs="宋体" w:eastAsia="宋体" w:hint="ascii"/>
          <w:sz w:val="21"/>
          <w:spacing w:val="-1"/>
        </w:rPr>
        <w:t>础；有关</w:t>
      </w:r>
      <w:r>
        <w:rPr>
          <w:rFonts w:ascii="宋体" w:hAnsi="宋体" w:cs="宋体" w:eastAsia="宋体" w:hint="ascii"/>
          <w:sz w:val="21"/>
        </w:rPr>
        <w:t>金属材料体系的材料理论基础；结合金属材料的基础研究，发展材料研究的理论方法、计算方法、现代分析测试方法和大数据分析处理方法。</w:t>
      </w:r>
      <w:r>
        <w:rPr>
          <w:rFonts w:ascii="宋体" w:hAnsi="宋体" w:cs="宋体" w:eastAsia="宋体" w:hint="ascii"/>
          <w:sz w:val="21"/>
        </w:rPr>
        <mc:AlternateContent>
          <mc:Choice Requires="wps">
            <w:drawing>
              <wp:anchor distL="0" distR="0" distT="0" distB="0" simplePos="0" behindDoc="1" relativeHeight="104" locked="0" layoutInCell="1" allowOverlap="1">
                <wp:simplePos x="0" y="0"/>
                <wp:positionH relativeFrom="page">
                  <wp:posOffset>938530</wp:posOffset>
                </wp:positionH>
                <wp:positionV relativeFrom="page">
                  <wp:posOffset>805815</wp:posOffset>
                </wp:positionV>
                <wp:extent cx="5076190" cy="0"/>
                <wp:wrapNone/>
                <wp:docPr id="1132" name="113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51744;width:399.70pt;" id="113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6" w:left="966" w:firstLine="420"/>
        <w:snapToGrid w:val="0"/>
        <w:textAlignment w:val="auto"/>
        <w:tabs>
          <w:tab w:val="left" w:leader="none" w:pos="1860"/>
        </w:tabs>
        <w:numPr>
          <w:ilvl w:val="0"/>
          <w:numId w:val="76"/>
        </w:numPr>
        <w:rPr>
          <w:rFonts w:ascii="Times New Roman" w:hAnsi="Times New Roman" w:cs="Times New Roman" w:eastAsia="Times New Roman" w:hint="ascii"/>
          <w:sz w:val="21"/>
          <w:spacing w:val="1"/>
        </w:rPr>
      </w:pPr>
      <w:r>
        <w:rPr>
          <w:rFonts w:ascii="宋体" w:hAnsi="宋体" w:cs="宋体" w:eastAsia="宋体" w:hint="ascii"/>
          <w:sz w:val="21"/>
        </w:rPr>
        <w:t>年度本学科共受理面上项目申</w:t>
      </w:r>
      <w:r>
        <w:rPr>
          <w:rFonts w:ascii="宋体" w:hAnsi="宋体" w:cs="宋体" w:eastAsia="宋体" w:hint="ascii"/>
          <w:sz w:val="21"/>
          <w:spacing w:val="26"/>
        </w:rPr>
        <w:t>请</w:t>
      </w:r>
      <w:r>
        <w:rPr>
          <w:rFonts w:ascii="Times New Roman" w:hAnsi="Times New Roman" w:cs="Times New Roman" w:eastAsia="Times New Roman" w:hint="ascii"/>
          <w:sz w:val="21"/>
        </w:rPr>
        <w:t>1 13</w:t>
      </w:r>
      <w:r>
        <w:rPr>
          <w:rFonts w:ascii="Times New Roman" w:hAnsi="Times New Roman" w:cs="Times New Roman" w:eastAsia="Times New Roman" w:hint="ascii"/>
          <w:sz w:val="21"/>
          <w:spacing w:val="52"/>
        </w:rPr>
        <w:t>2</w:t>
      </w:r>
      <w:r>
        <w:rPr>
          <w:rFonts w:ascii="宋体" w:hAnsi="宋体" w:cs="宋体" w:eastAsia="宋体" w:hint="ascii"/>
          <w:sz w:val="21"/>
        </w:rPr>
        <w:t>项，增幅</w:t>
      </w:r>
      <w:r>
        <w:rPr>
          <w:rFonts w:ascii="宋体" w:hAnsi="宋体" w:cs="宋体" w:eastAsia="宋体" w:hint="ascii"/>
          <w:sz w:val="21"/>
          <w:spacing w:val="26"/>
        </w:rPr>
        <w:t>为</w:t>
      </w:r>
      <w:r>
        <w:rPr>
          <w:rFonts w:ascii="Times New Roman" w:hAnsi="Times New Roman" w:cs="Times New Roman" w:eastAsia="Times New Roman" w:hint="ascii"/>
          <w:sz w:val="21"/>
        </w:rPr>
        <w:t>7.81%</w:t>
      </w:r>
      <w:r>
        <w:rPr>
          <w:rFonts w:ascii="宋体" w:hAnsi="宋体" w:cs="宋体" w:eastAsia="宋体" w:hint="ascii"/>
          <w:sz w:val="21"/>
        </w:rPr>
        <w:t>；资</w:t>
      </w:r>
      <w:r>
        <w:rPr>
          <w:rFonts w:ascii="宋体" w:hAnsi="宋体" w:cs="宋体" w:eastAsia="宋体" w:hint="ascii"/>
          <w:sz w:val="21"/>
          <w:spacing w:val="26"/>
        </w:rPr>
        <w:t>助</w:t>
      </w:r>
      <w:r>
        <w:rPr>
          <w:rFonts w:ascii="Times New Roman" w:hAnsi="Times New Roman" w:cs="Times New Roman" w:eastAsia="Times New Roman" w:hint="ascii"/>
          <w:sz w:val="21"/>
        </w:rPr>
        <w:t>23</w:t>
      </w:r>
      <w:r>
        <w:rPr>
          <w:rFonts w:ascii="Times New Roman" w:hAnsi="Times New Roman" w:cs="Times New Roman" w:eastAsia="Times New Roman" w:hint="ascii"/>
          <w:sz w:val="21"/>
          <w:spacing w:val="53"/>
        </w:rPr>
        <w:t>8</w:t>
      </w:r>
      <w:r>
        <w:rPr>
          <w:rFonts w:ascii="宋体" w:hAnsi="宋体" w:cs="宋体" w:eastAsia="宋体" w:hint="ascii"/>
          <w:sz w:val="21"/>
        </w:rPr>
        <w:t>项，直接费用平均资助强度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60.0</w:t>
      </w:r>
      <w:r>
        <w:rPr>
          <w:rFonts w:ascii="Times New Roman" w:hAnsi="Times New Roman" w:cs="Times New Roman" w:eastAsia="Times New Roman" w:hint="ascii"/>
          <w:sz w:val="21"/>
          <w:spacing w:val="52"/>
        </w:rPr>
        <w:t>2</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21.02%</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从申请数量看，亚稳金属材料领域、功能材料领域和表面工程领域连年名列前茅。</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希望申请</w:t>
      </w:r>
      <w:r>
        <w:rPr>
          <w:rFonts w:ascii="宋体" w:hAnsi="宋体" w:cs="宋体" w:eastAsia="宋体" w:hint="ascii"/>
          <w:sz w:val="21"/>
        </w:rPr>
        <w:t>人在关注热点、前沿领域的同时，还应该潜心关注金属材料领域内超越材料体</w:t>
      </w:r>
      <w:r>
        <w:rPr>
          <w:rFonts w:ascii="宋体" w:hAnsi="宋体" w:cs="宋体" w:eastAsia="宋体" w:hint="ascii"/>
          <w:sz w:val="21"/>
          <w:spacing w:val="-1"/>
        </w:rPr>
        <w:t>系自身的</w:t>
      </w:r>
      <w:r>
        <w:rPr>
          <w:rFonts w:ascii="宋体" w:hAnsi="宋体" w:cs="宋体" w:eastAsia="宋体" w:hint="ascii"/>
          <w:sz w:val="21"/>
        </w:rPr>
        <w:t>共性科学问题和研究思路；对传统材料中基本科学问题的再认识和新理解也应</w:t>
      </w:r>
      <w:r>
        <w:rPr>
          <w:rFonts w:ascii="宋体" w:hAnsi="宋体" w:cs="宋体" w:eastAsia="宋体" w:hint="ascii"/>
          <w:sz w:val="21"/>
          <w:spacing w:val="-1"/>
        </w:rPr>
        <w:t>该给予关</w:t>
      </w:r>
      <w:r>
        <w:rPr>
          <w:rFonts w:ascii="宋体" w:hAnsi="宋体" w:cs="宋体" w:eastAsia="宋体" w:hint="ascii"/>
          <w:sz w:val="21"/>
        </w:rPr>
        <w:t>注。各个领域的申请应注意凝练科学问题并突出特色思路，特别是材料工程领</w:t>
      </w:r>
      <w:r>
        <w:rPr>
          <w:rFonts w:ascii="宋体" w:hAnsi="宋体" w:cs="宋体" w:eastAsia="宋体" w:hint="ascii"/>
          <w:sz w:val="21"/>
          <w:spacing w:val="-1"/>
        </w:rPr>
        <w:t>域的申请</w:t>
      </w:r>
      <w:r>
        <w:rPr>
          <w:rFonts w:ascii="宋体" w:hAnsi="宋体" w:cs="宋体" w:eastAsia="宋体" w:hint="ascii"/>
          <w:sz w:val="21"/>
        </w:rPr>
        <w:t>，尤其应该注意从工程和技术问题中提炼出具有一般意义的科学问题。交叉学科的申请不应偏离金属材料学科的资助范围。</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本学科将以面上项目群的方式，对瞄准国家重要需求或者有望取得重要突破的领域</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适当加大资助力度。</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年度重点支持方向包括：①先进核能材料缺陷形成演化与性能调控；②纳米多孔金属的结构调控与催化特性。</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有机高分子材料学科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有机高分子材料学科资助的研究方向主要包括：有机高分子材料制备化学；高分子</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材料表征</w:t>
      </w:r>
      <w:r>
        <w:rPr>
          <w:rFonts w:ascii="宋体" w:hAnsi="宋体" w:cs="宋体" w:eastAsia="宋体" w:hint="ascii"/>
          <w:sz w:val="21"/>
        </w:rPr>
        <w:t>的理论与方法；高分子材料的加工成型；高分子材料的表面与界面；通用高分子材料的高性能化、功能化；聚合物基复合</w:t>
      </w:r>
      <w:r>
        <w:rPr>
          <w:rFonts w:ascii="Times New Roman" w:hAnsi="Times New Roman" w:cs="Times New Roman" w:eastAsia="Times New Roman" w:hint="ascii"/>
          <w:sz w:val="21"/>
        </w:rPr>
        <w:t>/</w:t>
      </w:r>
      <w:r>
        <w:rPr>
          <w:rFonts w:ascii="宋体" w:hAnsi="宋体" w:cs="宋体" w:eastAsia="宋体" w:hint="ascii"/>
          <w:sz w:val="21"/>
        </w:rPr>
        <w:t>杂化材料；有机</w:t>
      </w:r>
      <w:r>
        <w:rPr>
          <w:rFonts w:ascii="Times New Roman" w:hAnsi="Times New Roman" w:cs="Times New Roman" w:eastAsia="Times New Roman" w:hint="ascii"/>
          <w:sz w:val="21"/>
        </w:rPr>
        <w:t>/</w:t>
      </w:r>
      <w:r>
        <w:rPr>
          <w:rFonts w:ascii="宋体" w:hAnsi="宋体" w:cs="宋体" w:eastAsia="宋体" w:hint="ascii"/>
          <w:sz w:val="21"/>
        </w:rPr>
        <w:t>高分子功能材料和有机固</w:t>
      </w:r>
      <w:r>
        <w:rPr>
          <w:rFonts w:ascii="宋体" w:hAnsi="宋体" w:cs="宋体" w:eastAsia="宋体" w:hint="ascii"/>
          <w:sz w:val="21"/>
          <w:spacing w:val="-1"/>
        </w:rPr>
        <w:t>体材料；</w:t>
      </w:r>
      <w:r>
        <w:rPr>
          <w:rFonts w:ascii="宋体" w:hAnsi="宋体" w:cs="宋体" w:eastAsia="宋体" w:hint="ascii"/>
          <w:sz w:val="21"/>
        </w:rPr>
        <w:t>生物医用高分子材料；与能源、交通、生态环境、资源利用相关的有机高分子材料；智能与仿生高分子材料；特种高分子材料等。</w:t>
      </w:r>
    </w:p>
    <w:p>
      <w:pPr>
        <w:autoSpaceDE w:val="0"/>
        <w:autoSpaceDN w:val="0"/>
        <w:jc w:val="both"/>
        <w:spacing w:before="0" w:after="0" w:lineRule="exact" w:line="312"/>
        <w:ind w:right="976" w:left="966" w:firstLine="420"/>
        <w:snapToGrid w:val="0"/>
        <w:textAlignment w:val="auto"/>
        <w:tabs>
          <w:tab w:val="left" w:leader="none" w:pos="1863"/>
        </w:tabs>
        <w:numPr>
          <w:ilvl w:val="0"/>
          <w:numId w:val="77"/>
        </w:numPr>
        <w:rPr>
          <w:rFonts w:ascii="Times New Roman" w:hAnsi="Times New Roman" w:cs="Times New Roman" w:eastAsia="Times New Roman" w:hint="ascii"/>
          <w:sz w:val="21"/>
          <w:spacing w:val="1"/>
        </w:rPr>
      </w:pPr>
      <w:r>
        <w:rPr>
          <w:rFonts w:ascii="宋体" w:hAnsi="宋体" w:cs="宋体" w:eastAsia="宋体" w:hint="ascii"/>
          <w:sz w:val="21"/>
        </w:rPr>
        <w:t>年度本学科接收面上项目申</w:t>
      </w:r>
      <w:r>
        <w:rPr>
          <w:rFonts w:ascii="宋体" w:hAnsi="宋体" w:cs="宋体" w:eastAsia="宋体" w:hint="ascii"/>
          <w:sz w:val="21"/>
          <w:spacing w:val="-2"/>
        </w:rPr>
        <w:t>请</w:t>
      </w:r>
      <w:r>
        <w:rPr>
          <w:rFonts w:ascii="宋体" w:hAnsi="宋体" w:cs="宋体" w:eastAsia="宋体" w:hint="ascii"/>
          <w:sz w:val="21"/>
          <w:spacing w:val="-2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
        </w:rPr>
        <w:t xml:space="preserve"> </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74</w:t>
      </w:r>
      <w:r>
        <w:rPr>
          <w:rFonts w:ascii="Times New Roman" w:hAnsi="Times New Roman" w:cs="Times New Roman" w:eastAsia="Times New Roman" w:hint="ascii"/>
          <w:sz w:val="21"/>
          <w:spacing w:val="-26"/>
        </w:rPr>
        <w:t xml:space="preserve"> </w:t>
      </w:r>
      <w:r>
        <w:rPr>
          <w:rFonts w:ascii="宋体" w:hAnsi="宋体" w:cs="宋体" w:eastAsia="宋体" w:hint="ascii"/>
          <w:sz w:val="21"/>
        </w:rPr>
        <w:t>项，增幅</w:t>
      </w:r>
      <w:r>
        <w:rPr>
          <w:rFonts w:ascii="宋体" w:hAnsi="宋体" w:cs="宋体" w:eastAsia="宋体" w:hint="ascii"/>
          <w:sz w:val="21"/>
          <w:spacing w:val="-2"/>
        </w:rPr>
        <w:t>为</w:t>
      </w:r>
      <w:r>
        <w:rPr>
          <w:rFonts w:ascii="宋体" w:hAnsi="宋体" w:cs="宋体" w:eastAsia="宋体" w:hint="ascii"/>
          <w:sz w:val="21"/>
          <w:spacing w:val="-26"/>
        </w:rPr>
        <w:t xml:space="preserve"> </w:t>
      </w:r>
      <w:r>
        <w:rPr>
          <w:rFonts w:ascii="Times New Roman" w:hAnsi="Times New Roman" w:cs="Times New Roman" w:eastAsia="Times New Roman" w:hint="ascii"/>
          <w:sz w:val="21"/>
        </w:rPr>
        <w:t>3.5%</w:t>
      </w:r>
      <w:r>
        <w:rPr>
          <w:rFonts w:ascii="宋体" w:hAnsi="宋体" w:cs="宋体" w:eastAsia="宋体" w:hint="ascii"/>
          <w:sz w:val="21"/>
        </w:rPr>
        <w:t>；资</w:t>
      </w:r>
      <w:r>
        <w:rPr>
          <w:rFonts w:ascii="宋体" w:hAnsi="宋体" w:cs="宋体" w:eastAsia="宋体" w:hint="ascii"/>
          <w:sz w:val="21"/>
          <w:spacing w:val="-2"/>
        </w:rPr>
        <w:t>助</w:t>
      </w:r>
      <w:r>
        <w:rPr>
          <w:rFonts w:ascii="宋体" w:hAnsi="宋体" w:cs="宋体" w:eastAsia="宋体" w:hint="ascii"/>
          <w:sz w:val="21"/>
          <w:spacing w:val="-26"/>
        </w:rPr>
        <w:t xml:space="preserve"> </w:t>
      </w:r>
      <w:r>
        <w:rPr>
          <w:rFonts w:ascii="Times New Roman" w:hAnsi="Times New Roman" w:cs="Times New Roman" w:eastAsia="Times New Roman" w:hint="ascii"/>
          <w:sz w:val="21"/>
        </w:rPr>
        <w:t>231</w:t>
      </w:r>
      <w:r>
        <w:rPr>
          <w:rFonts w:ascii="Times New Roman" w:hAnsi="Times New Roman" w:cs="Times New Roman" w:eastAsia="Times New Roman" w:hint="ascii"/>
          <w:sz w:val="21"/>
          <w:spacing w:val="-26"/>
        </w:rPr>
        <w:t xml:space="preserve"> </w:t>
      </w:r>
      <w:r>
        <w:rPr>
          <w:rFonts w:ascii="宋体" w:hAnsi="宋体" w:cs="宋体" w:eastAsia="宋体" w:hint="ascii"/>
          <w:sz w:val="21"/>
        </w:rPr>
        <w:t>项，直接费 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59.9</w:t>
      </w:r>
      <w:r>
        <w:rPr>
          <w:rFonts w:ascii="Times New Roman" w:hAnsi="Times New Roman" w:cs="Times New Roman" w:eastAsia="Times New Roman" w:hint="ascii"/>
          <w:sz w:val="21"/>
          <w:spacing w:val="52"/>
        </w:rPr>
        <w:t>4</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21.51%</w:t>
      </w:r>
      <w:r>
        <w:rPr>
          <w:rFonts w:ascii="宋体" w:hAnsi="宋体" w:cs="宋体" w:eastAsia="宋体" w:hint="ascii"/>
          <w:sz w:val="21"/>
        </w:rPr>
        <w:t>。</w:t>
      </w:r>
    </w:p>
    <w:p>
      <w:pPr>
        <w:autoSpaceDE w:val="0"/>
        <w:autoSpaceDN w:val="0"/>
        <w:jc w:val="both"/>
        <w:spacing w:before="0" w:after="0" w:lineRule="exact" w:line="312"/>
        <w:ind w:right="976" w:left="966" w:firstLine="420"/>
        <w:snapToGrid w:val="0"/>
        <w:textAlignment w:val="auto"/>
        <w:tabs>
          <w:tab w:val="left" w:leader="none" w:pos="1869"/>
        </w:tabs>
        <w:numPr>
          <w:ilvl w:val="0"/>
          <w:numId w:val="78"/>
        </w:numPr>
        <w:rPr>
          <w:rFonts w:ascii="Times New Roman" w:hAnsi="Times New Roman" w:cs="Times New Roman" w:eastAsia="Times New Roman" w:hint="ascii"/>
          <w:sz w:val="21"/>
          <w:spacing w:val="1"/>
        </w:rPr>
      </w:pPr>
      <w:r>
        <w:rPr>
          <w:rFonts w:ascii="宋体" w:hAnsi="宋体" w:cs="宋体" w:eastAsia="宋体" w:hint="ascii"/>
          <w:sz w:val="21"/>
          <w:spacing w:val="4"/>
        </w:rPr>
        <w:t>年度</w:t>
      </w:r>
      <w:r>
        <w:rPr>
          <w:rFonts w:ascii="宋体" w:hAnsi="宋体" w:cs="宋体" w:eastAsia="宋体" w:hint="ascii"/>
          <w:sz w:val="21"/>
          <w:spacing w:val="2"/>
        </w:rPr>
        <w:t>申</w:t>
      </w:r>
      <w:r>
        <w:rPr>
          <w:rFonts w:ascii="宋体" w:hAnsi="宋体" w:cs="宋体" w:eastAsia="宋体" w:hint="ascii"/>
          <w:sz w:val="21"/>
          <w:spacing w:val="4"/>
        </w:rPr>
        <w:t>请项</w:t>
      </w:r>
      <w:r>
        <w:rPr>
          <w:rFonts w:ascii="宋体" w:hAnsi="宋体" w:cs="宋体" w:eastAsia="宋体" w:hint="ascii"/>
          <w:sz w:val="21"/>
          <w:spacing w:val="2"/>
        </w:rPr>
        <w:t>目</w:t>
      </w:r>
      <w:r>
        <w:rPr>
          <w:rFonts w:ascii="宋体" w:hAnsi="宋体" w:cs="宋体" w:eastAsia="宋体" w:hint="ascii"/>
          <w:sz w:val="21"/>
          <w:spacing w:val="4"/>
        </w:rPr>
        <w:t>较</w:t>
      </w:r>
      <w:r>
        <w:rPr>
          <w:rFonts w:ascii="宋体" w:hAnsi="宋体" w:cs="宋体" w:eastAsia="宋体" w:hint="ascii"/>
          <w:sz w:val="21"/>
          <w:spacing w:val="2"/>
        </w:rPr>
        <w:t>多</w:t>
      </w:r>
      <w:r>
        <w:rPr>
          <w:rFonts w:ascii="宋体" w:hAnsi="宋体" w:cs="宋体" w:eastAsia="宋体" w:hint="ascii"/>
          <w:sz w:val="21"/>
          <w:spacing w:val="4"/>
        </w:rPr>
        <w:t>的领</w:t>
      </w:r>
      <w:r>
        <w:rPr>
          <w:rFonts w:ascii="宋体" w:hAnsi="宋体" w:cs="宋体" w:eastAsia="宋体" w:hint="ascii"/>
          <w:sz w:val="21"/>
          <w:spacing w:val="2"/>
        </w:rPr>
        <w:t>域</w:t>
      </w:r>
      <w:r>
        <w:rPr>
          <w:rFonts w:ascii="宋体" w:hAnsi="宋体" w:cs="宋体" w:eastAsia="宋体" w:hint="ascii"/>
          <w:sz w:val="21"/>
          <w:spacing w:val="4"/>
        </w:rPr>
        <w:t>有</w:t>
      </w:r>
      <w:r>
        <w:rPr>
          <w:rFonts w:ascii="宋体" w:hAnsi="宋体" w:cs="宋体" w:eastAsia="宋体" w:hint="ascii"/>
          <w:sz w:val="21"/>
          <w:spacing w:val="1"/>
        </w:rPr>
        <w:t>：</w:t>
      </w:r>
      <w:r>
        <w:rPr>
          <w:rFonts w:ascii="宋体" w:hAnsi="宋体" w:cs="宋体" w:eastAsia="宋体" w:hint="ascii"/>
          <w:sz w:val="21"/>
          <w:spacing w:val="3"/>
        </w:rPr>
        <w:t>聚合</w:t>
      </w:r>
      <w:r>
        <w:rPr>
          <w:rFonts w:ascii="宋体" w:hAnsi="宋体" w:cs="宋体" w:eastAsia="宋体" w:hint="ascii"/>
          <w:sz w:val="21"/>
          <w:spacing w:val="1"/>
        </w:rPr>
        <w:t>物</w:t>
      </w:r>
      <w:r>
        <w:rPr>
          <w:rFonts w:ascii="宋体" w:hAnsi="宋体" w:cs="宋体" w:eastAsia="宋体" w:hint="ascii"/>
          <w:sz w:val="21"/>
          <w:spacing w:val="3"/>
        </w:rPr>
        <w:t>共</w:t>
      </w:r>
      <w:r>
        <w:rPr>
          <w:rFonts w:ascii="宋体" w:hAnsi="宋体" w:cs="宋体" w:eastAsia="宋体" w:hint="ascii"/>
          <w:sz w:val="21"/>
          <w:spacing w:val="1"/>
        </w:rPr>
        <w:t>混</w:t>
      </w:r>
      <w:r>
        <w:rPr>
          <w:rFonts w:ascii="宋体" w:hAnsi="宋体" w:cs="宋体" w:eastAsia="宋体" w:hint="ascii"/>
          <w:sz w:val="21"/>
          <w:spacing w:val="3"/>
        </w:rPr>
        <w:t>与复</w:t>
      </w:r>
      <w:r>
        <w:rPr>
          <w:rFonts w:ascii="宋体" w:hAnsi="宋体" w:cs="宋体" w:eastAsia="宋体" w:hint="ascii"/>
          <w:sz w:val="21"/>
          <w:spacing w:val="1"/>
        </w:rPr>
        <w:t>合</w:t>
      </w:r>
      <w:r>
        <w:rPr>
          <w:rFonts w:ascii="宋体" w:hAnsi="宋体" w:cs="宋体" w:eastAsia="宋体" w:hint="ascii"/>
          <w:sz w:val="21"/>
          <w:spacing w:val="3"/>
        </w:rPr>
        <w:t>材</w:t>
      </w:r>
      <w:r>
        <w:rPr>
          <w:rFonts w:ascii="宋体" w:hAnsi="宋体" w:cs="宋体" w:eastAsia="宋体" w:hint="ascii"/>
          <w:sz w:val="21"/>
          <w:spacing w:val="1"/>
        </w:rPr>
        <w:t>料</w:t>
      </w:r>
      <w:r>
        <w:rPr>
          <w:rFonts w:ascii="宋体" w:hAnsi="宋体" w:cs="宋体" w:eastAsia="宋体" w:hint="ascii"/>
          <w:sz w:val="21"/>
          <w:spacing w:val="3"/>
        </w:rPr>
        <w:t>；生</w:t>
      </w:r>
      <w:r>
        <w:rPr>
          <w:rFonts w:ascii="宋体" w:hAnsi="宋体" w:cs="宋体" w:eastAsia="宋体" w:hint="ascii"/>
          <w:sz w:val="21"/>
          <w:spacing w:val="1"/>
        </w:rPr>
        <w:t>物</w:t>
      </w:r>
      <w:r>
        <w:rPr>
          <w:rFonts w:ascii="宋体" w:hAnsi="宋体" w:cs="宋体" w:eastAsia="宋体" w:hint="ascii"/>
          <w:sz w:val="21"/>
          <w:spacing w:val="3"/>
        </w:rPr>
        <w:t>医</w:t>
      </w:r>
      <w:r>
        <w:rPr>
          <w:rFonts w:ascii="宋体" w:hAnsi="宋体" w:cs="宋体" w:eastAsia="宋体" w:hint="ascii"/>
          <w:sz w:val="21"/>
          <w:spacing w:val="1"/>
        </w:rPr>
        <w:t>用</w:t>
      </w:r>
      <w:r>
        <w:rPr>
          <w:rFonts w:ascii="宋体" w:hAnsi="宋体" w:cs="宋体" w:eastAsia="宋体" w:hint="ascii"/>
          <w:sz w:val="21"/>
          <w:spacing w:val="3"/>
        </w:rPr>
        <w:t>高分子</w:t>
      </w:r>
      <w:r>
        <w:rPr>
          <w:rFonts w:ascii="宋体" w:hAnsi="宋体" w:cs="宋体" w:eastAsia="宋体" w:hint="ascii"/>
          <w:sz w:val="21"/>
          <w:spacing w:val="-7"/>
        </w:rPr>
        <w:t>材</w:t>
      </w:r>
      <w:r>
        <w:rPr>
          <w:rFonts w:ascii="宋体" w:hAnsi="宋体" w:cs="宋体" w:eastAsia="宋体" w:hint="ascii"/>
          <w:sz w:val="21"/>
          <w:spacing w:val="-1"/>
        </w:rPr>
        <w:t>料；有机</w:t>
      </w:r>
      <w:r>
        <w:rPr>
          <w:rFonts w:ascii="宋体" w:hAnsi="宋体" w:cs="宋体" w:eastAsia="宋体" w:hint="ascii"/>
          <w:sz w:val="21"/>
        </w:rPr>
        <w:t>无机复合功能材料；光、电、磁信息功能材料；高分子材料与环境；高分子材料结构与性能等。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本学科鼓励在不同层次上与数学、化学、物理、生命、医学、信息、能源、环境、</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机械制造、交通以及航</w:t>
      </w:r>
      <w:r>
        <w:rPr>
          <w:rFonts w:ascii="宋体" w:hAnsi="宋体" w:cs="宋体" w:eastAsia="宋体" w:hint="ascii"/>
          <w:sz w:val="21"/>
        </w:rPr>
        <w:t>空航天、海洋等学科的交叉研究。鼓励在以下领域开展基础</w:t>
      </w:r>
      <w:r>
        <w:rPr>
          <w:rFonts w:ascii="宋体" w:hAnsi="宋体" w:cs="宋体" w:eastAsia="宋体" w:hint="ascii"/>
          <w:sz w:val="21"/>
          <w:spacing w:val="-6"/>
        </w:rPr>
        <w:t>研</w:t>
      </w:r>
      <w:r>
        <w:rPr>
          <w:rFonts w:ascii="宋体" w:hAnsi="宋体" w:cs="宋体" w:eastAsia="宋体" w:hint="ascii"/>
          <w:sz w:val="21"/>
        </w:rPr>
        <w:t>究：高分</w:t>
      </w:r>
      <w:r>
        <w:rPr>
          <w:rFonts w:ascii="宋体" w:hAnsi="宋体" w:cs="宋体" w:eastAsia="宋体" w:hint="ascii"/>
          <w:sz w:val="21"/>
          <w:spacing w:val="-1"/>
        </w:rPr>
        <w:t>子</w:t>
      </w:r>
      <w:r>
        <w:rPr>
          <w:rFonts w:ascii="宋体" w:hAnsi="宋体" w:cs="宋体" w:eastAsia="宋体" w:hint="ascii"/>
          <w:sz w:val="21"/>
        </w:rPr>
        <w:t>材料制备</w:t>
      </w:r>
      <w:r>
        <w:rPr>
          <w:rFonts w:ascii="宋体" w:hAnsi="宋体" w:cs="宋体" w:eastAsia="宋体" w:hint="ascii"/>
          <w:sz w:val="21"/>
          <w:spacing w:val="-1"/>
        </w:rPr>
        <w:t>科</w:t>
      </w:r>
      <w:r>
        <w:rPr>
          <w:rFonts w:ascii="宋体" w:hAnsi="宋体" w:cs="宋体" w:eastAsia="宋体" w:hint="ascii"/>
          <w:sz w:val="21"/>
          <w:spacing w:val="26"/>
        </w:rPr>
        <w:t>学</w:t>
      </w:r>
      <w:r>
        <w:rPr>
          <w:rFonts w:ascii="Times New Roman" w:hAnsi="Times New Roman" w:cs="Times New Roman" w:eastAsia="Times New Roman" w:hint="ascii"/>
          <w:sz w:val="21"/>
          <w:spacing w:val="52"/>
        </w:rPr>
        <w:t>[</w:t>
      </w:r>
      <w:r>
        <w:rPr>
          <w:rFonts w:ascii="宋体" w:hAnsi="宋体" w:cs="宋体" w:eastAsia="宋体" w:hint="ascii"/>
          <w:sz w:val="21"/>
        </w:rPr>
        <w:t>如高分子材料合</w:t>
      </w:r>
      <w:r>
        <w:rPr>
          <w:rFonts w:ascii="宋体" w:hAnsi="宋体" w:cs="宋体" w:eastAsia="宋体" w:hint="ascii"/>
          <w:sz w:val="21"/>
          <w:spacing w:val="-1"/>
        </w:rPr>
        <w:t>成</w:t>
      </w:r>
      <w:r>
        <w:rPr>
          <w:rFonts w:ascii="宋体" w:hAnsi="宋体" w:cs="宋体" w:eastAsia="宋体" w:hint="ascii"/>
          <w:sz w:val="21"/>
        </w:rPr>
        <w:t>的高效性</w:t>
      </w:r>
      <w:r>
        <w:rPr>
          <w:rFonts w:ascii="宋体" w:hAnsi="宋体" w:cs="宋体" w:eastAsia="宋体" w:hint="ascii"/>
          <w:sz w:val="21"/>
          <w:spacing w:val="-1"/>
        </w:rPr>
        <w:t>与</w:t>
      </w:r>
      <w:r>
        <w:rPr>
          <w:rFonts w:ascii="宋体" w:hAnsi="宋体" w:cs="宋体" w:eastAsia="宋体" w:hint="ascii"/>
          <w:sz w:val="21"/>
        </w:rPr>
        <w:t>可控性、</w:t>
      </w:r>
      <w:r>
        <w:rPr>
          <w:rFonts w:ascii="宋体" w:hAnsi="宋体" w:cs="宋体" w:eastAsia="宋体" w:hint="ascii"/>
          <w:sz w:val="21"/>
          <w:spacing w:val="-1"/>
        </w:rPr>
        <w:t>高</w:t>
      </w:r>
      <w:r>
        <w:rPr>
          <w:rFonts w:ascii="宋体" w:hAnsi="宋体" w:cs="宋体" w:eastAsia="宋体" w:hint="ascii"/>
          <w:sz w:val="21"/>
        </w:rPr>
        <w:t>性能高分</w:t>
      </w:r>
      <w:r>
        <w:rPr>
          <w:rFonts w:ascii="宋体" w:hAnsi="宋体" w:cs="宋体" w:eastAsia="宋体" w:hint="ascii"/>
          <w:sz w:val="21"/>
          <w:spacing w:val="-1"/>
        </w:rPr>
        <w:t>子</w:t>
      </w:r>
      <w:r>
        <w:rPr>
          <w:rFonts w:ascii="宋体" w:hAnsi="宋体" w:cs="宋体" w:eastAsia="宋体" w:hint="ascii"/>
          <w:sz w:val="21"/>
        </w:rPr>
        <w:t>材料</w:t>
      </w:r>
      <w:r>
        <w:rPr>
          <w:rFonts w:ascii="宋体" w:hAnsi="宋体" w:cs="宋体" w:eastAsia="宋体" w:hint="ascii"/>
          <w:sz w:val="21"/>
          <w:spacing w:val="-2"/>
        </w:rPr>
        <w:t>的</w:t>
      </w:r>
      <w:r>
        <w:rPr>
          <w:rFonts w:ascii="宋体" w:hAnsi="宋体" w:cs="宋体" w:eastAsia="宋体" w:hint="ascii"/>
          <w:sz w:val="21"/>
        </w:rPr>
        <w:t>合成化学（新单体、新路径、新工艺</w:t>
      </w:r>
      <w:r>
        <w:rPr>
          <w:rFonts w:ascii="宋体" w:hAnsi="宋体" w:cs="宋体" w:eastAsia="宋体" w:hint="ascii"/>
          <w:sz w:val="21"/>
          <w:spacing w:val="-51"/>
        </w:rPr>
        <w:t>）</w:t>
      </w:r>
      <w:r>
        <w:rPr>
          <w:rFonts w:ascii="宋体" w:hAnsi="宋体" w:cs="宋体" w:eastAsia="宋体" w:hint="ascii"/>
          <w:sz w:val="21"/>
        </w:rPr>
        <w:t>、功能高分子材料的制备、高分子材料加工成型的新方法和新原理、高分子及其复合材料的聚集态结构与性能关系</w:t>
      </w:r>
      <w:r>
        <w:rPr>
          <w:rFonts w:ascii="Times New Roman" w:hAnsi="Times New Roman" w:cs="Times New Roman" w:eastAsia="Times New Roman" w:hint="ascii"/>
          <w:sz w:val="21"/>
        </w:rPr>
        <w:t>]</w:t>
      </w:r>
      <w:r>
        <w:rPr>
          <w:rFonts w:ascii="宋体" w:hAnsi="宋体" w:cs="宋体" w:eastAsia="宋体" w:hint="ascii"/>
          <w:sz w:val="21"/>
        </w:rPr>
        <w:t>；通用高分子材料高性能化、功能化的方法与理论；有机</w:t>
      </w:r>
      <w:r>
        <w:rPr>
          <w:rFonts w:ascii="Times New Roman" w:hAnsi="Times New Roman" w:cs="Times New Roman" w:eastAsia="Times New Roman" w:hint="ascii"/>
          <w:sz w:val="21"/>
        </w:rPr>
        <w:t>/</w:t>
      </w:r>
      <w:r>
        <w:rPr>
          <w:rFonts w:ascii="宋体" w:hAnsi="宋体" w:cs="宋体" w:eastAsia="宋体" w:hint="ascii"/>
          <w:sz w:val="21"/>
        </w:rPr>
        <w:t>高分子功能材料的低成本、绿色制备与构效关</w:t>
      </w:r>
      <w:r>
        <w:rPr>
          <w:rFonts w:ascii="宋体" w:hAnsi="宋体" w:cs="宋体" w:eastAsia="宋体" w:hint="ascii"/>
          <w:sz w:val="21"/>
          <w:spacing w:val="-1"/>
        </w:rPr>
        <w:t>系，以及</w:t>
      </w:r>
      <w:r>
        <w:rPr>
          <w:rFonts w:ascii="宋体" w:hAnsi="宋体" w:cs="宋体" w:eastAsia="宋体" w:hint="ascii"/>
          <w:sz w:val="21"/>
        </w:rPr>
        <w:t>材料的稳定化研究；目标导向的生物医用高分子材料的基础研究与应用评价方</w:t>
      </w:r>
      <w:r>
        <w:rPr>
          <w:rFonts w:ascii="宋体" w:hAnsi="宋体" w:cs="宋体" w:eastAsia="宋体" w:hint="ascii"/>
          <w:sz w:val="21"/>
          <w:spacing w:val="-1"/>
        </w:rPr>
        <w:t>法；智能</w:t>
      </w:r>
      <w:r>
        <w:rPr>
          <w:rFonts w:ascii="宋体" w:hAnsi="宋体" w:cs="宋体" w:eastAsia="宋体" w:hint="ascii"/>
          <w:sz w:val="21"/>
        </w:rPr>
        <w:t>材料与仿生高分子材料的新概念设计原理与制备方法；超分子及多级结构高分</w:t>
      </w:r>
      <w:r>
        <w:rPr>
          <w:rFonts w:ascii="宋体" w:hAnsi="宋体" w:cs="宋体" w:eastAsia="宋体" w:hint="ascii"/>
          <w:sz w:val="21"/>
          <w:spacing w:val="-1"/>
        </w:rPr>
        <w:t>子材料的</w:t>
      </w:r>
      <w:r>
        <w:rPr>
          <w:rFonts w:ascii="宋体" w:hAnsi="宋体" w:cs="宋体" w:eastAsia="宋体" w:hint="ascii"/>
          <w:sz w:val="21"/>
        </w:rPr>
        <w:t>可控制备、组装新方法及其功能化；高分子材料与生态环境（天然高分子材料</w:t>
      </w:r>
      <w:r>
        <w:rPr>
          <w:rFonts w:ascii="宋体" w:hAnsi="宋体" w:cs="宋体" w:eastAsia="宋体" w:hint="ascii"/>
          <w:sz w:val="21"/>
          <w:spacing w:val="-1"/>
        </w:rPr>
        <w:t>的结构、</w:t>
      </w:r>
      <w:r>
        <w:rPr>
          <w:rFonts w:ascii="宋体" w:hAnsi="宋体" w:cs="宋体" w:eastAsia="宋体" w:hint="ascii"/>
          <w:sz w:val="21"/>
        </w:rPr>
        <w:t>性能与有效利用，环境友好高分子材料的设计原理与制备方法，高分子材料的</w:t>
      </w:r>
      <w:r>
        <w:rPr>
          <w:rFonts w:ascii="宋体" w:hAnsi="宋体" w:cs="宋体" w:eastAsia="宋体" w:hint="ascii"/>
          <w:sz w:val="21"/>
          <w:spacing w:val="-1"/>
        </w:rPr>
        <w:t>循环利用</w:t>
      </w:r>
      <w:r>
        <w:rPr>
          <w:rFonts w:ascii="宋体" w:hAnsi="宋体" w:cs="宋体" w:eastAsia="宋体" w:hint="ascii"/>
          <w:sz w:val="21"/>
        </w:rPr>
        <w:t>与资源化，水、土壤、大气等环境治理用高分子材料，高分子材料的稳定与老</w:t>
      </w:r>
      <w:r>
        <w:rPr>
          <w:rFonts w:ascii="宋体" w:hAnsi="宋体" w:cs="宋体" w:eastAsia="宋体" w:hint="ascii"/>
          <w:sz w:val="21"/>
          <w:spacing w:val="-1"/>
        </w:rPr>
        <w:t>化</w:t>
      </w:r>
      <w:r>
        <w:rPr>
          <w:rFonts w:ascii="宋体" w:hAnsi="宋体" w:cs="宋体" w:eastAsia="宋体" w:hint="ascii"/>
          <w:sz w:val="21"/>
          <w:spacing w:val="-53"/>
        </w:rPr>
        <w:t>）</w:t>
      </w:r>
      <w:r>
        <w:rPr>
          <w:rFonts w:ascii="宋体" w:hAnsi="宋体" w:cs="宋体" w:eastAsia="宋体" w:hint="ascii"/>
          <w:sz w:val="21"/>
          <w:spacing w:val="-1"/>
        </w:rPr>
        <w:t>。鼓励</w:t>
      </w:r>
      <w:r>
        <w:rPr>
          <w:rFonts w:ascii="宋体" w:hAnsi="宋体" w:cs="宋体" w:eastAsia="宋体" w:hint="ascii"/>
          <w:sz w:val="21"/>
        </w:rPr>
        <w:t>加强高分子材料设计的理论指导，发展以高效“理论指导</w:t>
      </w:r>
      <w:r>
        <w:rPr>
          <w:rFonts w:ascii="宋体" w:hAnsi="宋体" w:cs="宋体" w:eastAsia="宋体" w:hint="ascii"/>
          <w:sz w:val="21"/>
        </w:rPr>
        <w:t>-</w:t>
      </w:r>
      <w:r>
        <w:rPr>
          <w:rFonts w:ascii="宋体" w:hAnsi="宋体" w:cs="宋体" w:eastAsia="宋体" w:hint="ascii"/>
          <w:sz w:val="21"/>
        </w:rPr>
        <w:t>实验验证”为目标</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的高分子材料</w:t>
      </w:r>
      <w:r>
        <w:rPr>
          <w:rFonts w:ascii="宋体" w:hAnsi="宋体" w:cs="宋体" w:eastAsia="宋体" w:hint="ascii"/>
          <w:sz w:val="21"/>
        </w:rPr>
        <w:t>基因工程研究方法。鼓励针对国内主要高分子材料品种在制备、改性和加工等领域存在的一些普适性难题的基础研究。</w:t>
      </w:r>
      <w:r>
        <w:rPr>
          <w:rFonts w:ascii="宋体" w:hAnsi="宋体" w:cs="宋体" w:eastAsia="宋体" w:hint="ascii"/>
          <w:sz w:val="21"/>
        </w:rPr>
        <mc:AlternateContent>
          <mc:Choice Requires="wps">
            <w:drawing>
              <wp:anchor distL="0" distR="0" distT="0" distB="0" simplePos="0" behindDoc="1" relativeHeight="105" locked="0" layoutInCell="1" allowOverlap="1">
                <wp:simplePos x="0" y="0"/>
                <wp:positionH relativeFrom="page">
                  <wp:posOffset>938530</wp:posOffset>
                </wp:positionH>
                <wp:positionV relativeFrom="page">
                  <wp:posOffset>819150</wp:posOffset>
                </wp:positionV>
                <wp:extent cx="5076190" cy="0"/>
                <wp:wrapNone/>
                <wp:docPr id="1133" name="113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50720;width:399.70pt;" id="113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材料科学二处</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无机非金属材料学科支持以非金属的无机材料为研究主体的基础研究。随着材料基</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础理论的发展</w:t>
      </w:r>
      <w:r>
        <w:rPr>
          <w:rFonts w:ascii="宋体" w:hAnsi="宋体" w:cs="宋体" w:eastAsia="宋体" w:hint="ascii"/>
          <w:sz w:val="21"/>
        </w:rPr>
        <w:t>和制备技术的创新，诸如二维材料、智能材料、生物材料、新能源材料等</w:t>
      </w:r>
      <w:r>
        <w:rPr>
          <w:rFonts w:ascii="宋体" w:hAnsi="宋体" w:cs="宋体" w:eastAsia="宋体" w:hint="ascii"/>
          <w:sz w:val="21"/>
          <w:spacing w:val="-1"/>
        </w:rPr>
        <w:t>新型材料的不</w:t>
      </w:r>
      <w:r>
        <w:rPr>
          <w:rFonts w:ascii="宋体" w:hAnsi="宋体" w:cs="宋体" w:eastAsia="宋体" w:hint="ascii"/>
          <w:sz w:val="21"/>
        </w:rPr>
        <w:t>断涌现，无机非金属材料的研究日趋活跃。目前，无机非金属材料的研究</w:t>
      </w:r>
      <w:r>
        <w:rPr>
          <w:rFonts w:ascii="宋体" w:hAnsi="宋体" w:cs="宋体" w:eastAsia="宋体" w:hint="ascii"/>
          <w:sz w:val="21"/>
          <w:spacing w:val="-1"/>
        </w:rPr>
        <w:t>中，功能材料</w:t>
      </w:r>
      <w:r>
        <w:rPr>
          <w:rFonts w:ascii="宋体" w:hAnsi="宋体" w:cs="宋体" w:eastAsia="宋体" w:hint="ascii"/>
          <w:sz w:val="21"/>
        </w:rPr>
        <w:t>向着高效能、高可靠性、高灵敏性、智能化和功能集成化等方向发展，结</w:t>
      </w:r>
      <w:r>
        <w:rPr>
          <w:rFonts w:ascii="宋体" w:hAnsi="宋体" w:cs="宋体" w:eastAsia="宋体" w:hint="ascii"/>
          <w:sz w:val="21"/>
          <w:spacing w:val="-1"/>
        </w:rPr>
        <w:t>构材料向着强</w:t>
      </w:r>
      <w:r>
        <w:rPr>
          <w:rFonts w:ascii="宋体" w:hAnsi="宋体" w:cs="宋体" w:eastAsia="宋体" w:hint="ascii"/>
          <w:sz w:val="21"/>
        </w:rPr>
        <w:t>韧化、功能化、耐极端环境、绿色制备和高可靠性等方向发展。在发展新</w:t>
      </w:r>
      <w:r>
        <w:rPr>
          <w:rFonts w:ascii="宋体" w:hAnsi="宋体" w:cs="宋体" w:eastAsia="宋体" w:hint="ascii"/>
          <w:sz w:val="21"/>
          <w:spacing w:val="-1"/>
        </w:rPr>
        <w:t>材料的同时，</w:t>
      </w:r>
      <w:r>
        <w:rPr>
          <w:rFonts w:ascii="宋体" w:hAnsi="宋体" w:cs="宋体" w:eastAsia="宋体" w:hint="ascii"/>
          <w:sz w:val="21"/>
        </w:rPr>
        <w:t>传统无机非金属材料也不断地得到改造、更新和发展。无机非金属材料在信息、生命、能源与环境、航天航空等工程科学技术中的应用越来越受到重视。</w:t>
      </w:r>
    </w:p>
    <w:p>
      <w:pPr>
        <w:autoSpaceDE w:val="0"/>
        <w:autoSpaceDN w:val="0"/>
        <w:jc w:val="both"/>
        <w:spacing w:before="0" w:after="0" w:lineRule="exact" w:line="312"/>
        <w:ind w:right="978" w:left="966" w:firstLine="420"/>
        <w:snapToGrid w:val="0"/>
        <w:textAlignment w:val="auto"/>
        <w:tabs>
          <w:tab w:val="left" w:leader="none" w:pos="1842"/>
        </w:tabs>
        <w:numPr>
          <w:ilvl w:val="0"/>
          <w:numId w:val="79"/>
        </w:numPr>
        <w:rPr>
          <w:rFonts w:ascii="Times New Roman" w:hAnsi="Times New Roman" w:cs="Times New Roman" w:eastAsia="Times New Roman" w:hint="ascii"/>
          <w:sz w:val="21"/>
          <w:spacing w:val="1"/>
        </w:rPr>
      </w:pPr>
      <w:r>
        <w:rPr>
          <w:rFonts w:ascii="宋体" w:hAnsi="宋体" w:cs="宋体" w:eastAsia="宋体" w:hint="ascii"/>
          <w:sz w:val="21"/>
        </w:rPr>
        <w:t>年度本科学处接收面上项目申</w:t>
      </w:r>
      <w:r>
        <w:rPr>
          <w:rFonts w:ascii="宋体" w:hAnsi="宋体" w:cs="宋体" w:eastAsia="宋体" w:hint="ascii"/>
          <w:sz w:val="21"/>
          <w:spacing w:val="17"/>
        </w:rPr>
        <w:t>请</w:t>
      </w:r>
      <w:r>
        <w:rPr>
          <w:rFonts w:ascii="Times New Roman" w:hAnsi="Times New Roman" w:cs="Times New Roman" w:eastAsia="Times New Roman" w:hint="ascii"/>
          <w:sz w:val="21"/>
        </w:rPr>
        <w:t>1 597</w:t>
      </w:r>
      <w:r>
        <w:rPr>
          <w:rFonts w:ascii="Times New Roman" w:hAnsi="Times New Roman" w:cs="Times New Roman" w:eastAsia="Times New Roman" w:hint="ascii"/>
          <w:sz w:val="21"/>
          <w:spacing w:val="-26"/>
        </w:rPr>
        <w:t xml:space="preserve"> </w:t>
      </w:r>
      <w:r>
        <w:rPr>
          <w:rFonts w:ascii="宋体" w:hAnsi="宋体" w:cs="宋体" w:eastAsia="宋体" w:hint="ascii"/>
          <w:sz w:val="21"/>
        </w:rPr>
        <w:t>项，增幅</w:t>
      </w:r>
      <w:r>
        <w:rPr>
          <w:rFonts w:ascii="宋体" w:hAnsi="宋体" w:cs="宋体" w:eastAsia="宋体" w:hint="ascii"/>
          <w:sz w:val="21"/>
          <w:spacing w:val="17"/>
        </w:rPr>
        <w:t>为</w:t>
      </w:r>
      <w:r>
        <w:rPr>
          <w:rFonts w:ascii="Times New Roman" w:hAnsi="Times New Roman" w:cs="Times New Roman" w:eastAsia="Times New Roman" w:hint="ascii"/>
          <w:sz w:val="21"/>
        </w:rPr>
        <w:t>3.57%</w:t>
      </w:r>
      <w:r>
        <w:rPr>
          <w:rFonts w:ascii="宋体" w:hAnsi="宋体" w:cs="宋体" w:eastAsia="宋体" w:hint="ascii"/>
          <w:sz w:val="21"/>
        </w:rPr>
        <w:t>；资</w:t>
      </w:r>
      <w:r>
        <w:rPr>
          <w:rFonts w:ascii="宋体" w:hAnsi="宋体" w:cs="宋体" w:eastAsia="宋体" w:hint="ascii"/>
          <w:sz w:val="21"/>
          <w:spacing w:val="17"/>
        </w:rPr>
        <w:t>助</w:t>
      </w:r>
      <w:r>
        <w:rPr>
          <w:rFonts w:ascii="Times New Roman" w:hAnsi="Times New Roman" w:cs="Times New Roman" w:eastAsia="Times New Roman" w:hint="ascii"/>
          <w:sz w:val="21"/>
        </w:rPr>
        <w:t>33</w:t>
      </w:r>
      <w:r>
        <w:rPr>
          <w:rFonts w:ascii="Times New Roman" w:hAnsi="Times New Roman" w:cs="Times New Roman" w:eastAsia="Times New Roman" w:hint="ascii"/>
          <w:sz w:val="21"/>
          <w:spacing w:val="35"/>
        </w:rPr>
        <w:t>9</w:t>
      </w:r>
      <w:r>
        <w:rPr>
          <w:rFonts w:ascii="宋体" w:hAnsi="宋体" w:cs="宋体" w:eastAsia="宋体" w:hint="ascii"/>
          <w:sz w:val="21"/>
        </w:rPr>
        <w:t>项，直接 费用平均资助强度</w:t>
      </w:r>
      <w:r>
        <w:rPr>
          <w:rFonts w:ascii="宋体" w:hAnsi="宋体" w:cs="宋体" w:eastAsia="宋体" w:hint="ascii"/>
          <w:sz w:val="21"/>
          <w:spacing w:val="13"/>
        </w:rPr>
        <w:t>为</w:t>
      </w:r>
      <w:r>
        <w:rPr>
          <w:rFonts w:ascii="Times New Roman" w:hAnsi="Times New Roman" w:cs="Times New Roman" w:eastAsia="Times New Roman" w:hint="ascii"/>
          <w:sz w:val="21"/>
        </w:rPr>
        <w:t>60.0</w:t>
      </w:r>
      <w:r>
        <w:rPr>
          <w:rFonts w:ascii="Times New Roman" w:hAnsi="Times New Roman" w:cs="Times New Roman" w:eastAsia="Times New Roman" w:hint="ascii"/>
          <w:sz w:val="21"/>
          <w:spacing w:val="26"/>
        </w:rPr>
        <w:t>4</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13"/>
        </w:rPr>
        <w:t>为</w:t>
      </w:r>
      <w:r>
        <w:rPr>
          <w:rFonts w:ascii="Times New Roman" w:hAnsi="Times New Roman" w:cs="Times New Roman" w:eastAsia="Times New Roman" w:hint="ascii"/>
          <w:sz w:val="21"/>
        </w:rPr>
        <w:t>21.23%</w:t>
      </w:r>
      <w:r>
        <w:rPr>
          <w:rFonts w:ascii="宋体" w:hAnsi="宋体" w:cs="宋体" w:eastAsia="宋体" w:hint="ascii"/>
          <w:sz w:val="21"/>
        </w:rPr>
        <w:t>。</w:t>
      </w:r>
    </w:p>
    <w:p>
      <w:pPr>
        <w:autoSpaceDE w:val="0"/>
        <w:autoSpaceDN w:val="0"/>
        <w:jc w:val="left"/>
        <w:spacing w:before="40" w:after="0" w:lineRule="exact" w:line="263"/>
        <w:ind w:right="0" w:left="1377" w:firstLine="0"/>
        <w:snapToGrid w:val="0"/>
        <w:textAlignment w:val="auto"/>
        <w:tabs/>
        <w:rPr>
          <w:rFonts w:ascii="宋体" w:hAnsi="宋体" w:cs="宋体" w:eastAsia="宋体" w:hint="ascii"/>
          <w:sz w:val="21"/>
        </w:rPr>
      </w:pPr>
      <w:r>
        <w:rPr>
          <w:rFonts w:ascii="宋体" w:hAnsi="宋体" w:cs="宋体" w:eastAsia="宋体" w:hint="ascii"/>
          <w:sz w:val="21"/>
          <w:spacing w:val="-2"/>
        </w:rPr>
        <w:t>从</w:t>
      </w:r>
      <w:r>
        <w:rPr>
          <w:rFonts w:ascii="宋体" w:hAnsi="宋体" w:cs="宋体" w:eastAsia="宋体" w:hint="ascii"/>
          <w:sz w:val="21"/>
          <w:spacing w:val="10"/>
        </w:rPr>
        <w:t>近</w:t>
      </w:r>
      <w:r>
        <w:rPr>
          <w:rFonts w:ascii="Times New Roman" w:hAnsi="Times New Roman" w:cs="Times New Roman" w:eastAsia="Times New Roman" w:hint="ascii"/>
          <w:sz w:val="21"/>
          <w:spacing w:val="22"/>
        </w:rPr>
        <w:t>3</w:t>
      </w:r>
      <w:r>
        <w:rPr>
          <w:rFonts w:ascii="宋体" w:hAnsi="宋体" w:cs="宋体" w:eastAsia="宋体" w:hint="ascii"/>
          <w:sz w:val="21"/>
          <w:spacing w:val="-2"/>
        </w:rPr>
        <w:t>年申请的项目来看，无机非金属材料研究涉及面广、交叉性强，申请数量逐</w:t>
      </w:r>
      <w:r>
        <w:rPr>
          <w:rFonts w:ascii="宋体" w:hAnsi="宋体" w:cs="宋体" w:eastAsia="宋体" w:hint="ascii"/>
          <w:sz w:val="21"/>
        </w:rPr>
        <w:t>年</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增</w:t>
      </w:r>
      <w:r>
        <w:rPr>
          <w:rFonts w:ascii="宋体" w:hAnsi="宋体" w:cs="宋体" w:eastAsia="宋体" w:hint="ascii"/>
          <w:sz w:val="21"/>
        </w:rPr>
        <w:t>加</w:t>
      </w:r>
      <w:r>
        <w:rPr>
          <w:rFonts w:ascii="宋体" w:hAnsi="宋体" w:cs="宋体" w:eastAsia="宋体" w:hint="ascii"/>
          <w:sz w:val="21"/>
          <w:spacing w:val="-1"/>
        </w:rPr>
        <w:t>。申请项</w:t>
      </w:r>
      <w:r>
        <w:rPr>
          <w:rFonts w:ascii="宋体" w:hAnsi="宋体" w:cs="宋体" w:eastAsia="宋体" w:hint="ascii"/>
          <w:sz w:val="21"/>
        </w:rPr>
        <w:t>目</w:t>
      </w:r>
      <w:r>
        <w:rPr>
          <w:rFonts w:ascii="宋体" w:hAnsi="宋体" w:cs="宋体" w:eastAsia="宋体" w:hint="ascii"/>
          <w:sz w:val="21"/>
          <w:spacing w:val="-1"/>
        </w:rPr>
        <w:t>中，功能</w:t>
      </w:r>
      <w:r>
        <w:rPr>
          <w:rFonts w:ascii="宋体" w:hAnsi="宋体" w:cs="宋体" w:eastAsia="宋体" w:hint="ascii"/>
          <w:sz w:val="21"/>
        </w:rPr>
        <w:t>材</w:t>
      </w:r>
      <w:r>
        <w:rPr>
          <w:rFonts w:ascii="宋体" w:hAnsi="宋体" w:cs="宋体" w:eastAsia="宋体" w:hint="ascii"/>
          <w:sz w:val="21"/>
          <w:spacing w:val="-1"/>
        </w:rPr>
        <w:t>料申请数</w:t>
      </w:r>
      <w:r>
        <w:rPr>
          <w:rFonts w:ascii="宋体" w:hAnsi="宋体" w:cs="宋体" w:eastAsia="宋体" w:hint="ascii"/>
          <w:sz w:val="21"/>
          <w:spacing w:val="14"/>
        </w:rPr>
        <w:t>占</w:t>
      </w:r>
      <w:r>
        <w:rPr>
          <w:rFonts w:ascii="Times New Roman" w:hAnsi="Times New Roman" w:cs="Times New Roman" w:eastAsia="Times New Roman" w:hint="ascii"/>
          <w:sz w:val="21"/>
          <w:spacing w:val="-2"/>
        </w:rPr>
        <w:t>59.7</w:t>
      </w:r>
      <w:r>
        <w:rPr>
          <w:rFonts w:ascii="Times New Roman" w:hAnsi="Times New Roman" w:cs="Times New Roman" w:eastAsia="Times New Roman" w:hint="ascii"/>
          <w:sz w:val="21"/>
          <w:spacing w:val="-3"/>
        </w:rPr>
        <w:t>5</w:t>
      </w:r>
      <w:r>
        <w:rPr>
          <w:rFonts w:ascii="Times New Roman" w:hAnsi="Times New Roman" w:cs="Times New Roman" w:eastAsia="Times New Roman" w:hint="ascii"/>
          <w:sz w:val="21"/>
        </w:rPr>
        <w:t>%</w:t>
      </w:r>
      <w:r>
        <w:rPr>
          <w:rFonts w:ascii="宋体" w:hAnsi="宋体" w:cs="宋体" w:eastAsia="宋体" w:hint="ascii"/>
          <w:sz w:val="21"/>
          <w:spacing w:val="-1"/>
        </w:rPr>
        <w:t>，</w:t>
      </w:r>
      <w:r>
        <w:rPr>
          <w:rFonts w:ascii="宋体" w:hAnsi="宋体" w:cs="宋体" w:eastAsia="宋体" w:hint="ascii"/>
          <w:sz w:val="21"/>
        </w:rPr>
        <w:t>最</w:t>
      </w:r>
      <w:r>
        <w:rPr>
          <w:rFonts w:ascii="宋体" w:hAnsi="宋体" w:cs="宋体" w:eastAsia="宋体" w:hint="ascii"/>
          <w:sz w:val="21"/>
          <w:spacing w:val="-1"/>
        </w:rPr>
        <w:t>为活跃，</w:t>
      </w:r>
      <w:r>
        <w:rPr>
          <w:rFonts w:ascii="宋体" w:hAnsi="宋体" w:cs="宋体" w:eastAsia="宋体" w:hint="ascii"/>
          <w:sz w:val="21"/>
        </w:rPr>
        <w:t>形</w:t>
      </w:r>
      <w:r>
        <w:rPr>
          <w:rFonts w:ascii="宋体" w:hAnsi="宋体" w:cs="宋体" w:eastAsia="宋体" w:hint="ascii"/>
          <w:sz w:val="21"/>
          <w:spacing w:val="-1"/>
        </w:rPr>
        <w:t>成了诸多</w:t>
      </w:r>
      <w:r>
        <w:rPr>
          <w:rFonts w:ascii="宋体" w:hAnsi="宋体" w:cs="宋体" w:eastAsia="宋体" w:hint="ascii"/>
          <w:sz w:val="21"/>
        </w:rPr>
        <w:t>的</w:t>
      </w:r>
      <w:r>
        <w:rPr>
          <w:rFonts w:ascii="宋体" w:hAnsi="宋体" w:cs="宋体" w:eastAsia="宋体" w:hint="ascii"/>
          <w:sz w:val="21"/>
          <w:spacing w:val="-1"/>
        </w:rPr>
        <w:t>学科热</w:t>
      </w:r>
      <w:r>
        <w:rPr>
          <w:rFonts w:ascii="宋体" w:hAnsi="宋体" w:cs="宋体" w:eastAsia="宋体" w:hint="ascii"/>
          <w:sz w:val="21"/>
        </w:rPr>
        <w:t>点，如</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能量转换与存储材料、低维碳及二维</w:t>
      </w:r>
      <w:r>
        <w:rPr>
          <w:rFonts w:ascii="宋体" w:hAnsi="宋体" w:cs="宋体" w:eastAsia="宋体" w:hint="ascii"/>
          <w:sz w:val="21"/>
        </w:rPr>
        <w:t>材料、多铁性与无铅压电材料、光电信息功能</w:t>
      </w:r>
      <w:r>
        <w:rPr>
          <w:rFonts w:ascii="宋体" w:hAnsi="宋体" w:cs="宋体" w:eastAsia="宋体" w:hint="ascii"/>
          <w:sz w:val="21"/>
          <w:spacing w:val="-6"/>
        </w:rPr>
        <w:t>材</w:t>
      </w:r>
      <w:r>
        <w:rPr>
          <w:rFonts w:ascii="宋体" w:hAnsi="宋体" w:cs="宋体" w:eastAsia="宋体" w:hint="ascii"/>
          <w:sz w:val="21"/>
        </w:rPr>
        <w:t>料、多功能复合材料和生物医用材料等。其中能量转换与存储材料占无机非金属材料领</w:t>
      </w:r>
      <w:r>
        <w:rPr>
          <w:rFonts w:ascii="宋体" w:hAnsi="宋体" w:cs="宋体" w:eastAsia="宋体" w:hint="ascii"/>
          <w:sz w:val="21"/>
          <w:spacing w:val="-1"/>
        </w:rPr>
        <w:t>域申</w:t>
      </w:r>
      <w:r>
        <w:rPr>
          <w:rFonts w:ascii="宋体" w:hAnsi="宋体" w:cs="宋体" w:eastAsia="宋体" w:hint="ascii"/>
          <w:sz w:val="21"/>
          <w:spacing w:val="-2"/>
        </w:rPr>
        <w:t>请</w:t>
      </w:r>
      <w:r>
        <w:rPr>
          <w:rFonts w:ascii="宋体" w:hAnsi="宋体" w:cs="宋体" w:eastAsia="宋体" w:hint="ascii"/>
          <w:sz w:val="21"/>
          <w:spacing w:val="-1"/>
        </w:rPr>
        <w:t>数量</w:t>
      </w:r>
      <w:r>
        <w:rPr>
          <w:rFonts w:ascii="宋体" w:hAnsi="宋体" w:cs="宋体" w:eastAsia="宋体" w:hint="ascii"/>
          <w:sz w:val="21"/>
          <w:spacing w:val="-2"/>
        </w:rPr>
        <w:t>的</w:t>
      </w:r>
      <w:r>
        <w:rPr>
          <w:rFonts w:ascii="宋体" w:hAnsi="宋体" w:cs="宋体" w:eastAsia="宋体" w:hint="ascii"/>
          <w:sz w:val="21"/>
          <w:spacing w:val="11"/>
        </w:rPr>
        <w:t>第</w:t>
      </w:r>
      <w:r>
        <w:rPr>
          <w:rFonts w:ascii="Times New Roman" w:hAnsi="Times New Roman" w:cs="Times New Roman" w:eastAsia="Times New Roman" w:hint="ascii"/>
          <w:sz w:val="21"/>
          <w:spacing w:val="26"/>
        </w:rPr>
        <w:t>1</w:t>
      </w:r>
      <w:r>
        <w:rPr>
          <w:rFonts w:ascii="宋体" w:hAnsi="宋体" w:cs="宋体" w:eastAsia="宋体" w:hint="ascii"/>
          <w:sz w:val="21"/>
          <w:spacing w:val="-1"/>
        </w:rPr>
        <w:t>位</w:t>
      </w:r>
      <w:r>
        <w:rPr>
          <w:rFonts w:ascii="宋体" w:hAnsi="宋体" w:cs="宋体" w:eastAsia="宋体" w:hint="ascii"/>
          <w:sz w:val="21"/>
          <w:spacing w:val="-2"/>
        </w:rPr>
        <w:t>（</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2"/>
        </w:rPr>
        <w:t>0</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spacing w:val="26"/>
        </w:rPr>
        <w:t>7</w:t>
      </w:r>
      <w:r>
        <w:rPr>
          <w:rFonts w:ascii="宋体" w:hAnsi="宋体" w:cs="宋体" w:eastAsia="宋体" w:hint="ascii"/>
          <w:sz w:val="21"/>
          <w:spacing w:val="-2"/>
        </w:rPr>
        <w:t>年</w:t>
      </w:r>
      <w:r>
        <w:rPr>
          <w:rFonts w:ascii="宋体" w:hAnsi="宋体" w:cs="宋体" w:eastAsia="宋体" w:hint="ascii"/>
          <w:sz w:val="21"/>
          <w:spacing w:val="-1"/>
        </w:rPr>
        <w:t>度</w:t>
      </w:r>
      <w:r>
        <w:rPr>
          <w:rFonts w:ascii="宋体" w:hAnsi="宋体" w:cs="宋体" w:eastAsia="宋体" w:hint="ascii"/>
          <w:sz w:val="21"/>
          <w:spacing w:val="-2"/>
        </w:rPr>
        <w:t>约</w:t>
      </w:r>
      <w:r>
        <w:rPr>
          <w:rFonts w:ascii="宋体" w:hAnsi="宋体" w:cs="宋体" w:eastAsia="宋体" w:hint="ascii"/>
          <w:sz w:val="21"/>
          <w:spacing w:val="11"/>
        </w:rPr>
        <w:t>占</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spacing w:val="-3"/>
        </w:rPr>
        <w:t>3.64</w:t>
      </w:r>
      <w:r>
        <w:rPr>
          <w:rFonts w:ascii="Times New Roman" w:hAnsi="Times New Roman" w:cs="Times New Roman" w:eastAsia="Times New Roman" w:hint="ascii"/>
          <w:sz w:val="21"/>
          <w:spacing w:val="-1"/>
        </w:rPr>
        <w:t>%</w:t>
      </w:r>
      <w:r>
        <w:rPr>
          <w:rFonts w:ascii="宋体" w:hAnsi="宋体" w:cs="宋体" w:eastAsia="宋体" w:hint="ascii"/>
          <w:sz w:val="21"/>
          <w:spacing w:val="-52"/>
        </w:rPr>
        <w:t>）</w:t>
      </w:r>
      <w:r>
        <w:rPr>
          <w:rFonts w:ascii="宋体" w:hAnsi="宋体" w:cs="宋体" w:eastAsia="宋体" w:hint="ascii"/>
          <w:sz w:val="21"/>
          <w:spacing w:val="-2"/>
        </w:rPr>
        <w:t>，</w:t>
      </w:r>
      <w:r>
        <w:rPr>
          <w:rFonts w:ascii="宋体" w:hAnsi="宋体" w:cs="宋体" w:eastAsia="宋体" w:hint="ascii"/>
          <w:sz w:val="21"/>
          <w:spacing w:val="-1"/>
        </w:rPr>
        <w:t>光</w:t>
      </w:r>
      <w:r>
        <w:rPr>
          <w:rFonts w:ascii="宋体" w:hAnsi="宋体" w:cs="宋体" w:eastAsia="宋体" w:hint="ascii"/>
          <w:sz w:val="21"/>
          <w:spacing w:val="-2"/>
        </w:rPr>
        <w:t>电信</w:t>
      </w:r>
      <w:r>
        <w:rPr>
          <w:rFonts w:ascii="宋体" w:hAnsi="宋体" w:cs="宋体" w:eastAsia="宋体" w:hint="ascii"/>
          <w:sz w:val="21"/>
          <w:spacing w:val="-1"/>
        </w:rPr>
        <w:t>息</w:t>
      </w:r>
      <w:r>
        <w:rPr>
          <w:rFonts w:ascii="宋体" w:hAnsi="宋体" w:cs="宋体" w:eastAsia="宋体" w:hint="ascii"/>
          <w:sz w:val="21"/>
          <w:spacing w:val="-2"/>
        </w:rPr>
        <w:t>功</w:t>
      </w:r>
      <w:r>
        <w:rPr>
          <w:rFonts w:ascii="宋体" w:hAnsi="宋体" w:cs="宋体" w:eastAsia="宋体" w:hint="ascii"/>
          <w:sz w:val="21"/>
          <w:spacing w:val="-1"/>
        </w:rPr>
        <w:t>能</w:t>
      </w:r>
      <w:r>
        <w:rPr>
          <w:rFonts w:ascii="宋体" w:hAnsi="宋体" w:cs="宋体" w:eastAsia="宋体" w:hint="ascii"/>
          <w:sz w:val="21"/>
          <w:spacing w:val="-2"/>
        </w:rPr>
        <w:t>材料</w:t>
      </w:r>
      <w:r>
        <w:rPr>
          <w:rFonts w:ascii="宋体" w:hAnsi="宋体" w:cs="宋体" w:eastAsia="宋体" w:hint="ascii"/>
          <w:sz w:val="21"/>
          <w:spacing w:val="-1"/>
        </w:rPr>
        <w:t>、</w:t>
      </w:r>
      <w:r>
        <w:rPr>
          <w:rFonts w:ascii="宋体" w:hAnsi="宋体" w:cs="宋体" w:eastAsia="宋体" w:hint="ascii"/>
          <w:sz w:val="21"/>
          <w:spacing w:val="-2"/>
        </w:rPr>
        <w:t>低</w:t>
      </w:r>
      <w:r>
        <w:rPr>
          <w:rFonts w:ascii="宋体" w:hAnsi="宋体" w:cs="宋体" w:eastAsia="宋体" w:hint="ascii"/>
          <w:sz w:val="21"/>
          <w:spacing w:val="-1"/>
        </w:rPr>
        <w:t>维</w:t>
      </w:r>
      <w:r>
        <w:rPr>
          <w:rFonts w:ascii="宋体" w:hAnsi="宋体" w:cs="宋体" w:eastAsia="宋体" w:hint="ascii"/>
          <w:sz w:val="21"/>
          <w:spacing w:val="-2"/>
        </w:rPr>
        <w:t>碳及</w:t>
      </w:r>
      <w:r>
        <w:rPr>
          <w:rFonts w:ascii="宋体" w:hAnsi="宋体" w:cs="宋体" w:eastAsia="宋体" w:hint="ascii"/>
          <w:sz w:val="21"/>
          <w:spacing w:val="-1"/>
        </w:rPr>
        <w:t>二</w:t>
      </w:r>
      <w:r>
        <w:rPr>
          <w:rFonts w:ascii="宋体" w:hAnsi="宋体" w:cs="宋体" w:eastAsia="宋体" w:hint="ascii"/>
          <w:sz w:val="21"/>
          <w:spacing w:val="-2"/>
        </w:rPr>
        <w:t>维</w:t>
      </w:r>
      <w:r>
        <w:rPr>
          <w:rFonts w:ascii="宋体" w:hAnsi="宋体" w:cs="宋体" w:eastAsia="宋体" w:hint="ascii"/>
          <w:sz w:val="21"/>
          <w:spacing w:val="-1"/>
        </w:rPr>
        <w:t>材</w:t>
      </w:r>
      <w:r>
        <w:rPr>
          <w:rFonts w:ascii="宋体" w:hAnsi="宋体" w:cs="宋体" w:eastAsia="宋体" w:hint="ascii"/>
          <w:sz w:val="21"/>
          <w:spacing w:val="-2"/>
        </w:rPr>
        <w:t>料</w:t>
      </w:r>
      <w:r>
        <w:rPr>
          <w:rFonts w:ascii="宋体" w:hAnsi="宋体" w:cs="宋体" w:eastAsia="宋体" w:hint="ascii"/>
          <w:sz w:val="21"/>
        </w:rPr>
        <w:t>、</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生物</w:t>
      </w:r>
      <w:r>
        <w:rPr>
          <w:rFonts w:ascii="宋体" w:hAnsi="宋体" w:cs="宋体" w:eastAsia="宋体" w:hint="ascii"/>
          <w:sz w:val="21"/>
          <w:spacing w:val="-3"/>
        </w:rPr>
        <w:t>医</w:t>
      </w:r>
      <w:r>
        <w:rPr>
          <w:rFonts w:ascii="宋体" w:hAnsi="宋体" w:cs="宋体" w:eastAsia="宋体" w:hint="ascii"/>
          <w:sz w:val="21"/>
          <w:spacing w:val="-2"/>
        </w:rPr>
        <w:t>用</w:t>
      </w:r>
      <w:r>
        <w:rPr>
          <w:rFonts w:ascii="宋体" w:hAnsi="宋体" w:cs="宋体" w:eastAsia="宋体" w:hint="ascii"/>
          <w:sz w:val="21"/>
          <w:spacing w:val="-3"/>
        </w:rPr>
        <w:t>材料</w:t>
      </w:r>
      <w:r>
        <w:rPr>
          <w:rFonts w:ascii="宋体" w:hAnsi="宋体" w:cs="宋体" w:eastAsia="宋体" w:hint="ascii"/>
          <w:sz w:val="21"/>
          <w:spacing w:val="-2"/>
        </w:rPr>
        <w:t>等领</w:t>
      </w:r>
      <w:r>
        <w:rPr>
          <w:rFonts w:ascii="宋体" w:hAnsi="宋体" w:cs="宋体" w:eastAsia="宋体" w:hint="ascii"/>
          <w:sz w:val="21"/>
          <w:spacing w:val="-3"/>
        </w:rPr>
        <w:t>域</w:t>
      </w:r>
      <w:r>
        <w:rPr>
          <w:rFonts w:ascii="宋体" w:hAnsi="宋体" w:cs="宋体" w:eastAsia="宋体" w:hint="ascii"/>
          <w:sz w:val="21"/>
          <w:spacing w:val="-2"/>
        </w:rPr>
        <w:t>的</w:t>
      </w:r>
      <w:r>
        <w:rPr>
          <w:rFonts w:ascii="宋体" w:hAnsi="宋体" w:cs="宋体" w:eastAsia="宋体" w:hint="ascii"/>
          <w:sz w:val="21"/>
          <w:spacing w:val="-3"/>
        </w:rPr>
        <w:t>申请</w:t>
      </w:r>
      <w:r>
        <w:rPr>
          <w:rFonts w:ascii="宋体" w:hAnsi="宋体" w:cs="宋体" w:eastAsia="宋体" w:hint="ascii"/>
          <w:sz w:val="21"/>
          <w:spacing w:val="-2"/>
        </w:rPr>
        <w:t>仍然</w:t>
      </w:r>
      <w:r>
        <w:rPr>
          <w:rFonts w:ascii="宋体" w:hAnsi="宋体" w:cs="宋体" w:eastAsia="宋体" w:hint="ascii"/>
          <w:sz w:val="21"/>
          <w:spacing w:val="-3"/>
        </w:rPr>
        <w:t>较</w:t>
      </w:r>
      <w:r>
        <w:rPr>
          <w:rFonts w:ascii="宋体" w:hAnsi="宋体" w:cs="宋体" w:eastAsia="宋体" w:hint="ascii"/>
          <w:sz w:val="21"/>
          <w:spacing w:val="-2"/>
        </w:rPr>
        <w:t>多</w:t>
      </w:r>
      <w:r>
        <w:rPr>
          <w:rFonts w:ascii="宋体" w:hAnsi="宋体" w:cs="宋体" w:eastAsia="宋体" w:hint="ascii"/>
          <w:sz w:val="21"/>
          <w:spacing w:val="-3"/>
        </w:rPr>
        <w:t>，但</w:t>
      </w:r>
      <w:r>
        <w:rPr>
          <w:rFonts w:ascii="宋体" w:hAnsi="宋体" w:cs="宋体" w:eastAsia="宋体" w:hint="ascii"/>
          <w:sz w:val="21"/>
          <w:spacing w:val="-2"/>
        </w:rPr>
        <w:t>需要</w:t>
      </w:r>
      <w:r>
        <w:rPr>
          <w:rFonts w:ascii="宋体" w:hAnsi="宋体" w:cs="宋体" w:eastAsia="宋体" w:hint="ascii"/>
          <w:sz w:val="21"/>
          <w:spacing w:val="-3"/>
        </w:rPr>
        <w:t>不</w:t>
      </w:r>
      <w:r>
        <w:rPr>
          <w:rFonts w:ascii="宋体" w:hAnsi="宋体" w:cs="宋体" w:eastAsia="宋体" w:hint="ascii"/>
          <w:sz w:val="21"/>
          <w:spacing w:val="-2"/>
        </w:rPr>
        <w:t>断</w:t>
      </w:r>
      <w:r>
        <w:rPr>
          <w:rFonts w:ascii="宋体" w:hAnsi="宋体" w:cs="宋体" w:eastAsia="宋体" w:hint="ascii"/>
          <w:sz w:val="21"/>
          <w:spacing w:val="-3"/>
        </w:rPr>
        <w:t>提高</w:t>
      </w:r>
      <w:r>
        <w:rPr>
          <w:rFonts w:ascii="宋体" w:hAnsi="宋体" w:cs="宋体" w:eastAsia="宋体" w:hint="ascii"/>
          <w:sz w:val="21"/>
          <w:spacing w:val="-2"/>
        </w:rPr>
        <w:t>其创</w:t>
      </w:r>
      <w:r>
        <w:rPr>
          <w:rFonts w:ascii="宋体" w:hAnsi="宋体" w:cs="宋体" w:eastAsia="宋体" w:hint="ascii"/>
          <w:sz w:val="21"/>
          <w:spacing w:val="-3"/>
        </w:rPr>
        <w:t>新</w:t>
      </w:r>
      <w:r>
        <w:rPr>
          <w:rFonts w:ascii="宋体" w:hAnsi="宋体" w:cs="宋体" w:eastAsia="宋体" w:hint="ascii"/>
          <w:sz w:val="21"/>
          <w:spacing w:val="-2"/>
        </w:rPr>
        <w:t>性</w:t>
      </w:r>
      <w:r>
        <w:rPr>
          <w:rFonts w:ascii="宋体" w:hAnsi="宋体" w:cs="宋体" w:eastAsia="宋体" w:hint="ascii"/>
          <w:sz w:val="21"/>
          <w:spacing w:val="-3"/>
        </w:rPr>
        <w:t>。结</w:t>
      </w:r>
      <w:r>
        <w:rPr>
          <w:rFonts w:ascii="宋体" w:hAnsi="宋体" w:cs="宋体" w:eastAsia="宋体" w:hint="ascii"/>
          <w:sz w:val="21"/>
          <w:spacing w:val="-2"/>
        </w:rPr>
        <w:t>构材</w:t>
      </w:r>
      <w:r>
        <w:rPr>
          <w:rFonts w:ascii="宋体" w:hAnsi="宋体" w:cs="宋体" w:eastAsia="宋体" w:hint="ascii"/>
          <w:sz w:val="21"/>
          <w:spacing w:val="-3"/>
        </w:rPr>
        <w:t>料</w:t>
      </w:r>
      <w:r>
        <w:rPr>
          <w:rFonts w:ascii="宋体" w:hAnsi="宋体" w:cs="宋体" w:eastAsia="宋体" w:hint="ascii"/>
          <w:sz w:val="21"/>
          <w:spacing w:val="-2"/>
        </w:rPr>
        <w:t>领</w:t>
      </w:r>
      <w:r>
        <w:rPr>
          <w:rFonts w:ascii="宋体" w:hAnsi="宋体" w:cs="宋体" w:eastAsia="宋体" w:hint="ascii"/>
          <w:sz w:val="21"/>
          <w:spacing w:val="-3"/>
        </w:rPr>
        <w:t>域的</w:t>
      </w:r>
      <w:r>
        <w:rPr>
          <w:rFonts w:ascii="宋体" w:hAnsi="宋体" w:cs="宋体" w:eastAsia="宋体" w:hint="ascii"/>
          <w:sz w:val="21"/>
          <w:spacing w:val="-2"/>
        </w:rPr>
        <w:t>申请</w:t>
      </w:r>
      <w:r>
        <w:rPr>
          <w:rFonts w:ascii="宋体" w:hAnsi="宋体" w:cs="宋体" w:eastAsia="宋体" w:hint="ascii"/>
          <w:sz w:val="21"/>
        </w:rPr>
        <w:t>单</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2"/>
        </w:rPr>
        <w:t>位相对集中，申请数约占申请总量</w:t>
      </w:r>
      <w:r>
        <w:rPr>
          <w:rFonts w:ascii="宋体" w:hAnsi="宋体" w:cs="宋体" w:eastAsia="宋体" w:hint="ascii"/>
          <w:sz w:val="21"/>
          <w:spacing w:val="11"/>
        </w:rPr>
        <w:t>的</w:t>
      </w:r>
      <w:r>
        <w:rPr>
          <w:rFonts w:ascii="Times New Roman" w:hAnsi="Times New Roman" w:cs="Times New Roman" w:eastAsia="Times New Roman" w:hint="ascii"/>
          <w:sz w:val="21"/>
          <w:spacing w:val="-3"/>
        </w:rPr>
        <w:t>5.51</w:t>
      </w:r>
      <w:r>
        <w:rPr>
          <w:rFonts w:ascii="Times New Roman" w:hAnsi="Times New Roman" w:cs="Times New Roman" w:eastAsia="Times New Roman" w:hint="ascii"/>
          <w:sz w:val="21"/>
          <w:spacing w:val="-1"/>
        </w:rPr>
        <w:t>%</w:t>
      </w:r>
      <w:r>
        <w:rPr>
          <w:rFonts w:ascii="宋体" w:hAnsi="宋体" w:cs="宋体" w:eastAsia="宋体" w:hint="ascii"/>
          <w:sz w:val="21"/>
          <w:spacing w:val="-2"/>
        </w:rPr>
        <w:t>。</w:t>
      </w:r>
      <w:r>
        <w:rPr>
          <w:rFonts w:ascii="宋体" w:hAnsi="宋体" w:cs="宋体" w:eastAsia="宋体" w:hint="ascii"/>
          <w:sz w:val="21"/>
          <w:spacing w:val="-1"/>
        </w:rPr>
        <w:t>以</w:t>
      </w:r>
      <w:r>
        <w:rPr>
          <w:rFonts w:ascii="宋体" w:hAnsi="宋体" w:cs="宋体" w:eastAsia="宋体" w:hint="ascii"/>
          <w:sz w:val="21"/>
          <w:spacing w:val="-2"/>
        </w:rPr>
        <w:t>无机非金属材料为基的复合材料申请数</w:t>
      </w:r>
      <w:r>
        <w:rPr>
          <w:rFonts w:ascii="宋体" w:hAnsi="宋体" w:cs="宋体" w:eastAsia="宋体" w:hint="ascii"/>
          <w:sz w:val="21"/>
        </w:rPr>
        <w:t>量</w:t>
      </w:r>
      <w:r>
        <w:rPr>
          <w:rFonts w:ascii="宋体" w:hAnsi="宋体" w:cs="宋体" w:eastAsia="宋体" w:hint="ascii"/>
          <w:sz w:val="21"/>
          <w:spacing w:val="-4"/>
        </w:rPr>
        <w:t>也较</w:t>
      </w:r>
      <w:r>
        <w:rPr>
          <w:rFonts w:ascii="宋体" w:hAnsi="宋体" w:cs="宋体" w:eastAsia="宋体" w:hint="ascii"/>
          <w:sz w:val="21"/>
          <w:spacing w:val="-5"/>
        </w:rPr>
        <w:t>多</w:t>
      </w:r>
      <w:r>
        <w:rPr>
          <w:rFonts w:ascii="宋体" w:hAnsi="宋体" w:cs="宋体" w:eastAsia="宋体" w:hint="ascii"/>
          <w:sz w:val="21"/>
          <w:spacing w:val="-4"/>
        </w:rPr>
        <w:t>，</w:t>
      </w:r>
      <w:r>
        <w:rPr>
          <w:rFonts w:ascii="宋体" w:hAnsi="宋体" w:cs="宋体" w:eastAsia="宋体" w:hint="ascii"/>
          <w:sz w:val="21"/>
          <w:spacing w:val="-5"/>
        </w:rPr>
        <w:t>其中</w:t>
      </w:r>
      <w:r>
        <w:rPr>
          <w:rFonts w:ascii="宋体" w:hAnsi="宋体" w:cs="宋体" w:eastAsia="宋体" w:hint="ascii"/>
          <w:sz w:val="21"/>
          <w:spacing w:val="-4"/>
        </w:rPr>
        <w:t>功能</w:t>
      </w:r>
      <w:r>
        <w:rPr>
          <w:rFonts w:ascii="宋体" w:hAnsi="宋体" w:cs="宋体" w:eastAsia="宋体" w:hint="ascii"/>
          <w:sz w:val="21"/>
          <w:spacing w:val="-5"/>
        </w:rPr>
        <w:t>型</w:t>
      </w:r>
      <w:r>
        <w:rPr>
          <w:rFonts w:ascii="宋体" w:hAnsi="宋体" w:cs="宋体" w:eastAsia="宋体" w:hint="ascii"/>
          <w:sz w:val="21"/>
          <w:spacing w:val="-4"/>
        </w:rPr>
        <w:t>复</w:t>
      </w:r>
      <w:r>
        <w:rPr>
          <w:rFonts w:ascii="宋体" w:hAnsi="宋体" w:cs="宋体" w:eastAsia="宋体" w:hint="ascii"/>
          <w:sz w:val="21"/>
          <w:spacing w:val="-5"/>
        </w:rPr>
        <w:t>合材</w:t>
      </w:r>
      <w:r>
        <w:rPr>
          <w:rFonts w:ascii="宋体" w:hAnsi="宋体" w:cs="宋体" w:eastAsia="宋体" w:hint="ascii"/>
          <w:sz w:val="21"/>
          <w:spacing w:val="-4"/>
        </w:rPr>
        <w:t>料的</w:t>
      </w:r>
      <w:r>
        <w:rPr>
          <w:rFonts w:ascii="宋体" w:hAnsi="宋体" w:cs="宋体" w:eastAsia="宋体" w:hint="ascii"/>
          <w:sz w:val="21"/>
          <w:spacing w:val="-5"/>
        </w:rPr>
        <w:t>申</w:t>
      </w:r>
      <w:r>
        <w:rPr>
          <w:rFonts w:ascii="宋体" w:hAnsi="宋体" w:cs="宋体" w:eastAsia="宋体" w:hint="ascii"/>
          <w:sz w:val="21"/>
          <w:spacing w:val="-4"/>
        </w:rPr>
        <w:t>请</w:t>
      </w:r>
      <w:r>
        <w:rPr>
          <w:rFonts w:ascii="宋体" w:hAnsi="宋体" w:cs="宋体" w:eastAsia="宋体" w:hint="ascii"/>
          <w:sz w:val="21"/>
          <w:spacing w:val="-5"/>
        </w:rPr>
        <w:t>较过</w:t>
      </w:r>
      <w:r>
        <w:rPr>
          <w:rFonts w:ascii="宋体" w:hAnsi="宋体" w:cs="宋体" w:eastAsia="宋体" w:hint="ascii"/>
          <w:sz w:val="21"/>
          <w:spacing w:val="-4"/>
        </w:rPr>
        <w:t>去有</w:t>
      </w:r>
      <w:r>
        <w:rPr>
          <w:rFonts w:ascii="宋体" w:hAnsi="宋体" w:cs="宋体" w:eastAsia="宋体" w:hint="ascii"/>
          <w:sz w:val="21"/>
          <w:spacing w:val="-5"/>
        </w:rPr>
        <w:t>所</w:t>
      </w:r>
      <w:r>
        <w:rPr>
          <w:rFonts w:ascii="宋体" w:hAnsi="宋体" w:cs="宋体" w:eastAsia="宋体" w:hint="ascii"/>
          <w:sz w:val="21"/>
          <w:spacing w:val="-4"/>
        </w:rPr>
        <w:t>增</w:t>
      </w:r>
      <w:r>
        <w:rPr>
          <w:rFonts w:ascii="宋体" w:hAnsi="宋体" w:cs="宋体" w:eastAsia="宋体" w:hint="ascii"/>
          <w:sz w:val="21"/>
          <w:spacing w:val="-5"/>
        </w:rPr>
        <w:t>加</w:t>
      </w:r>
      <w:r>
        <w:rPr>
          <w:rFonts w:ascii="宋体" w:hAnsi="宋体" w:cs="宋体" w:eastAsia="宋体" w:hint="ascii"/>
          <w:sz w:val="21"/>
          <w:spacing w:val="-4"/>
        </w:rPr>
        <w:t>，</w:t>
      </w:r>
      <w:r>
        <w:rPr>
          <w:rFonts w:ascii="宋体" w:hAnsi="宋体" w:cs="宋体" w:eastAsia="宋体" w:hint="ascii"/>
          <w:sz w:val="21"/>
          <w:spacing w:val="-3"/>
        </w:rPr>
        <w:t>但跟</w:t>
      </w:r>
      <w:r>
        <w:rPr>
          <w:rFonts w:ascii="宋体" w:hAnsi="宋体" w:cs="宋体" w:eastAsia="宋体" w:hint="ascii"/>
          <w:sz w:val="21"/>
          <w:spacing w:val="-4"/>
        </w:rPr>
        <w:t>踪</w:t>
      </w:r>
      <w:r>
        <w:rPr>
          <w:rFonts w:ascii="宋体" w:hAnsi="宋体" w:cs="宋体" w:eastAsia="宋体" w:hint="ascii"/>
          <w:sz w:val="21"/>
          <w:spacing w:val="-3"/>
        </w:rPr>
        <w:t>型</w:t>
      </w:r>
      <w:r>
        <w:rPr>
          <w:rFonts w:ascii="宋体" w:hAnsi="宋体" w:cs="宋体" w:eastAsia="宋体" w:hint="ascii"/>
          <w:sz w:val="21"/>
          <w:spacing w:val="-4"/>
        </w:rPr>
        <w:t>、低</w:t>
      </w:r>
      <w:r>
        <w:rPr>
          <w:rFonts w:ascii="宋体" w:hAnsi="宋体" w:cs="宋体" w:eastAsia="宋体" w:hint="ascii"/>
          <w:sz w:val="21"/>
          <w:spacing w:val="-3"/>
        </w:rPr>
        <w:t>水平</w:t>
      </w:r>
      <w:r>
        <w:rPr>
          <w:rFonts w:ascii="宋体" w:hAnsi="宋体" w:cs="宋体" w:eastAsia="宋体" w:hint="ascii"/>
          <w:sz w:val="21"/>
          <w:spacing w:val="-4"/>
        </w:rPr>
        <w:t>重</w:t>
      </w:r>
      <w:r>
        <w:rPr>
          <w:rFonts w:ascii="宋体" w:hAnsi="宋体" w:cs="宋体" w:eastAsia="宋体" w:hint="ascii"/>
          <w:sz w:val="21"/>
          <w:spacing w:val="-3"/>
        </w:rPr>
        <w:t>复</w:t>
      </w:r>
      <w:r>
        <w:rPr>
          <w:rFonts w:ascii="宋体" w:hAnsi="宋体" w:cs="宋体" w:eastAsia="宋体" w:hint="ascii"/>
          <w:sz w:val="21"/>
          <w:spacing w:val="-4"/>
        </w:rPr>
        <w:t>、缺</w:t>
      </w:r>
      <w:r>
        <w:rPr>
          <w:rFonts w:ascii="宋体" w:hAnsi="宋体" w:cs="宋体" w:eastAsia="宋体" w:hint="ascii"/>
          <w:sz w:val="21"/>
          <w:spacing w:val="-3"/>
        </w:rPr>
        <w:t>乏创</w:t>
      </w:r>
      <w:r>
        <w:rPr>
          <w:rFonts w:ascii="宋体" w:hAnsi="宋体" w:cs="宋体" w:eastAsia="宋体" w:hint="ascii"/>
          <w:sz w:val="21"/>
          <w:spacing w:val="-1"/>
        </w:rPr>
        <w:t>新</w:t>
      </w:r>
      <w:r>
        <w:rPr>
          <w:rFonts w:ascii="宋体" w:hAnsi="宋体" w:cs="宋体" w:eastAsia="宋体" w:hint="ascii"/>
          <w:sz w:val="21"/>
        </w:rPr>
        <w:t xml:space="preserve"> </w:t>
      </w:r>
      <w:r>
        <w:rPr>
          <w:rFonts w:ascii="宋体" w:hAnsi="宋体" w:cs="宋体" w:eastAsia="宋体" w:hint="ascii"/>
          <w:sz w:val="21"/>
          <w:spacing w:val="-3"/>
        </w:rPr>
        <w:t>思想和特色、缺少基础性和缺乏无机非金属材料研究内容的申请项目均有相当数量</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本科学处支持具有创新思想的研究项目，支持无机非金属材料学科与其他相关学科</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进行实质性的交叉研究。鼓励结合我国资源状况的无机非金属材料新体系的探索；无机非金属材料的制备科学与新技术、新理论、新效应、表征新技术与方法的研究；支持新型无机功能材料与智能材料、先进结构材料、光电信息功能材料、低维碳及二维材料、生物医用材料、新能源材料、生态环境材料等方向的应用基础研究；材料的表面、界面和复合设计的研究</w:t>
      </w:r>
      <w:r>
        <w:rPr>
          <w:rFonts w:ascii="宋体" w:hAnsi="宋体" w:cs="宋体" w:eastAsia="宋体" w:hint="ascii"/>
          <w:sz w:val="21"/>
          <w:spacing w:val="-52"/>
        </w:rPr>
        <w:t>；</w:t>
      </w:r>
      <w:r>
        <w:rPr>
          <w:rFonts w:ascii="宋体" w:hAnsi="宋体" w:cs="宋体" w:eastAsia="宋体" w:hint="ascii"/>
          <w:sz w:val="21"/>
        </w:rPr>
        <w:t>“结构</w:t>
      </w:r>
      <w:r>
        <w:rPr>
          <w:rFonts w:ascii="MS Mincho" w:hAnsi="MS Mincho" w:cs="MS Mincho" w:eastAsia="MS Mincho" w:hint="ascii"/>
          <w:sz w:val="21"/>
        </w:rPr>
        <w:t>−</w:t>
      </w:r>
      <w:r>
        <w:rPr>
          <w:rFonts w:ascii="宋体" w:hAnsi="宋体" w:cs="宋体" w:eastAsia="宋体" w:hint="ascii"/>
          <w:sz w:val="21"/>
        </w:rPr>
        <w:t>功能”一体化复合材料的基础研究；用新理论、新技术、新工艺提高和改造传统无机非金属材料的应用基础研究。</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工程科学一处</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本科学处资助冶金与矿业学科的基础研究，主要涉及资源开采、安全科学与工程、</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矿物工程与物质分离</w:t>
      </w:r>
      <w:r>
        <w:rPr>
          <w:rFonts w:ascii="宋体" w:hAnsi="宋体" w:cs="宋体" w:eastAsia="宋体" w:hint="ascii"/>
          <w:sz w:val="21"/>
        </w:rPr>
        <w:t>科学、冶金与材料物理化学、钢铁及有色金属冶金、材料制备</w:t>
      </w:r>
      <w:r>
        <w:rPr>
          <w:rFonts w:ascii="宋体" w:hAnsi="宋体" w:cs="宋体" w:eastAsia="宋体" w:hint="ascii"/>
          <w:sz w:val="21"/>
          <w:spacing w:val="-6"/>
        </w:rPr>
        <w:t>加</w:t>
      </w:r>
      <w:r>
        <w:rPr>
          <w:rFonts w:ascii="宋体" w:hAnsi="宋体" w:cs="宋体" w:eastAsia="宋体" w:hint="ascii"/>
          <w:sz w:val="21"/>
        </w:rPr>
        <w:t>工、矿冶生态与环境、资源循环与利用等领域。</w:t>
      </w:r>
    </w:p>
    <w:p>
      <w:pPr>
        <w:autoSpaceDE w:val="0"/>
        <w:autoSpaceDN w:val="0"/>
        <w:jc w:val="both"/>
        <w:spacing w:before="0" w:after="0" w:lineRule="exact" w:line="312"/>
        <w:ind w:right="962" w:left="966" w:firstLine="420"/>
        <w:snapToGrid w:val="0"/>
        <w:textAlignment w:val="auto"/>
        <w:tabs>
          <w:tab w:val="left" w:leader="none" w:pos="1861"/>
        </w:tabs>
        <w:numPr>
          <w:ilvl w:val="0"/>
          <w:numId w:val="80"/>
        </w:numPr>
        <w:rPr>
          <w:rFonts w:ascii="Times New Roman" w:hAnsi="Times New Roman" w:cs="Times New Roman" w:eastAsia="Times New Roman" w:hint="ascii"/>
          <w:sz w:val="21"/>
          <w:spacing w:val="1"/>
        </w:rPr>
      </w:pPr>
      <w:r>
        <w:rPr>
          <w:rFonts w:ascii="宋体" w:hAnsi="宋体" w:cs="宋体" w:eastAsia="宋体" w:hint="ascii"/>
          <w:sz w:val="21"/>
        </w:rPr>
        <w:t>年度本科学处接收面上项目申请</w:t>
      </w:r>
      <w:r>
        <w:rPr>
          <w:rFonts w:ascii="宋体" w:hAnsi="宋体" w:cs="宋体" w:eastAsia="宋体" w:hint="ascii"/>
          <w:sz w:val="21"/>
          <w:spacing w:val="-25"/>
        </w:rPr>
        <w:t xml:space="preserve"> </w:t>
      </w:r>
      <w:r>
        <w:rPr>
          <w:rFonts w:ascii="Times New Roman" w:hAnsi="Times New Roman" w:cs="Times New Roman" w:eastAsia="Times New Roman" w:hint="ascii"/>
          <w:sz w:val="21"/>
        </w:rPr>
        <w:t>1 66</w:t>
      </w:r>
      <w:r>
        <w:rPr>
          <w:rFonts w:ascii="Times New Roman" w:hAnsi="Times New Roman" w:cs="Times New Roman" w:eastAsia="Times New Roman" w:hint="ascii"/>
          <w:sz w:val="21"/>
          <w:spacing w:val="54"/>
        </w:rPr>
        <w:t>5</w:t>
      </w:r>
      <w:r>
        <w:rPr>
          <w:rFonts w:ascii="宋体" w:hAnsi="宋体" w:cs="宋体" w:eastAsia="宋体" w:hint="ascii"/>
          <w:sz w:val="21"/>
        </w:rPr>
        <w:t>项，增幅为</w:t>
      </w:r>
      <w:r>
        <w:rPr>
          <w:rFonts w:ascii="宋体" w:hAnsi="宋体" w:cs="宋体" w:eastAsia="宋体" w:hint="ascii"/>
          <w:sz w:val="21"/>
          <w:spacing w:val="-26"/>
        </w:rPr>
        <w:t xml:space="preserve"> </w:t>
      </w:r>
      <w:r>
        <w:rPr>
          <w:rFonts w:ascii="Times New Roman" w:hAnsi="Times New Roman" w:cs="Times New Roman" w:eastAsia="Times New Roman" w:hint="ascii"/>
          <w:sz w:val="21"/>
        </w:rPr>
        <w:t>9.18%</w:t>
      </w:r>
      <w:r>
        <w:rPr>
          <w:rFonts w:ascii="宋体" w:hAnsi="宋体" w:cs="宋体" w:eastAsia="宋体" w:hint="ascii"/>
          <w:sz w:val="21"/>
        </w:rPr>
        <w:t>；资</w:t>
      </w:r>
      <w:r>
        <w:rPr>
          <w:rFonts w:ascii="宋体" w:hAnsi="宋体" w:cs="宋体" w:eastAsia="宋体" w:hint="ascii"/>
          <w:sz w:val="21"/>
          <w:spacing w:val="15"/>
        </w:rPr>
        <w:t>助</w:t>
      </w:r>
      <w:r>
        <w:rPr>
          <w:rFonts w:ascii="Times New Roman" w:hAnsi="Times New Roman" w:cs="Times New Roman" w:eastAsia="Times New Roman" w:hint="ascii"/>
          <w:sz w:val="21"/>
        </w:rPr>
        <w:t>34</w:t>
      </w:r>
      <w:r>
        <w:rPr>
          <w:rFonts w:ascii="Times New Roman" w:hAnsi="Times New Roman" w:cs="Times New Roman" w:eastAsia="Times New Roman" w:hint="ascii"/>
          <w:sz w:val="21"/>
          <w:spacing w:val="32"/>
        </w:rPr>
        <w:t>4</w:t>
      </w:r>
      <w:r>
        <w:rPr>
          <w:rFonts w:ascii="宋体" w:hAnsi="宋体" w:cs="宋体" w:eastAsia="宋体" w:hint="ascii"/>
          <w:sz w:val="21"/>
        </w:rPr>
        <w:t>项，直接费用平均资助强度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59.9</w:t>
      </w:r>
      <w:r>
        <w:rPr>
          <w:rFonts w:ascii="Times New Roman" w:hAnsi="Times New Roman" w:cs="Times New Roman" w:eastAsia="Times New Roman" w:hint="ascii"/>
          <w:sz w:val="21"/>
          <w:spacing w:val="26"/>
        </w:rPr>
        <w:t>5</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13"/>
        </w:rPr>
        <w:t>为</w:t>
      </w:r>
      <w:r>
        <w:rPr>
          <w:rFonts w:ascii="Times New Roman" w:hAnsi="Times New Roman" w:cs="Times New Roman" w:eastAsia="Times New Roman" w:hint="ascii"/>
          <w:sz w:val="21"/>
        </w:rPr>
        <w:t>20.66%</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近些年，通过持续的支持，我国冶金与矿业工程科学以国家重大需求及国际科技发</w:t>
      </w:r>
    </w:p>
    <w:p>
      <w:pPr>
        <w:autoSpaceDE w:val="0"/>
        <w:autoSpaceDN w:val="0"/>
        <w:jc w:val="left"/>
        <w:spacing w:before="28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1" w:left="0" w:firstLine="0"/>
        <w:snapToGrid w:val="0"/>
        <w:textAlignment w:val="auto"/>
        <w:tabs/>
        <w:rPr>
          <w:rFonts w:ascii="宋体" w:hAnsi="宋体" w:cs="宋体" w:eastAsia="宋体" w:hint="ascii"/>
          <w:sz w:val="21"/>
        </w:rPr>
      </w:pPr>
      <w:r>
        <w:rPr>
          <w:rFonts w:ascii="宋体" w:hAnsi="宋体" w:cs="宋体" w:eastAsia="宋体" w:hint="ascii"/>
          <w:sz w:val="21"/>
          <w:spacing w:val="-1"/>
        </w:rPr>
        <w:t>展大</w:t>
      </w:r>
      <w:r>
        <w:rPr>
          <w:rFonts w:ascii="宋体" w:hAnsi="宋体" w:cs="宋体" w:eastAsia="宋体" w:hint="ascii"/>
          <w:sz w:val="21"/>
        </w:rPr>
        <w:t>趋势为主要动力，不断开拓创新，研究取得了较大进展，研究水平不断提高，在若</w:t>
      </w:r>
      <w:r>
        <w:rPr>
          <w:rFonts w:ascii="宋体" w:hAnsi="宋体" w:cs="宋体" w:eastAsia="宋体" w:hint="ascii"/>
          <w:sz w:val="21"/>
          <w:spacing w:val="1"/>
        </w:rPr>
        <w:t>干领域步入国际前沿，形成</w:t>
      </w:r>
      <w:r>
        <w:rPr>
          <w:rFonts w:ascii="宋体" w:hAnsi="宋体" w:cs="宋体" w:eastAsia="宋体" w:hint="ascii"/>
          <w:sz w:val="21"/>
        </w:rPr>
        <w:t>了一批有影响的成果。主要发展趋势是：①学科分化与</w:t>
      </w:r>
      <w:r>
        <w:rPr>
          <w:rFonts w:ascii="宋体" w:hAnsi="宋体" w:cs="宋体" w:eastAsia="宋体" w:hint="ascii"/>
          <w:sz w:val="21"/>
          <w:spacing w:val="-6"/>
        </w:rPr>
        <w:t>拓</w:t>
      </w:r>
      <w:r>
        <w:rPr>
          <w:rFonts w:ascii="宋体" w:hAnsi="宋体" w:cs="宋体" w:eastAsia="宋体" w:hint="ascii"/>
          <w:sz w:val="21"/>
          <w:spacing w:val="-1"/>
        </w:rPr>
        <w:t>展。</w:t>
      </w:r>
      <w:r>
        <w:rPr>
          <w:rFonts w:ascii="宋体" w:hAnsi="宋体" w:cs="宋体" w:eastAsia="宋体" w:hint="ascii"/>
          <w:sz w:val="21"/>
        </w:rPr>
        <w:t>从宏观尺度向微观尺度的过渡过程中不断借鉴其他学科的新方法和新技术，使学科</w:t>
      </w:r>
      <w:r>
        <w:rPr>
          <w:rFonts w:ascii="宋体" w:hAnsi="宋体" w:cs="宋体" w:eastAsia="宋体" w:hint="ascii"/>
          <w:sz w:val="21"/>
          <w:spacing w:val="-1"/>
        </w:rPr>
        <w:t>理论</w:t>
      </w:r>
      <w:r>
        <w:rPr>
          <w:rFonts w:ascii="宋体" w:hAnsi="宋体" w:cs="宋体" w:eastAsia="宋体" w:hint="ascii"/>
          <w:sz w:val="21"/>
        </w:rPr>
        <w:t>不断深入和完善。②学科交叉与融合。各学科在越分越细的同时，学科间的联合则</w:t>
      </w:r>
      <w:r>
        <w:rPr>
          <w:rFonts w:ascii="宋体" w:hAnsi="宋体" w:cs="宋体" w:eastAsia="宋体" w:hint="ascii"/>
          <w:sz w:val="21"/>
          <w:spacing w:val="-1"/>
        </w:rPr>
        <w:t>越来</w:t>
      </w:r>
      <w:r>
        <w:rPr>
          <w:rFonts w:ascii="宋体" w:hAnsi="宋体" w:cs="宋体" w:eastAsia="宋体" w:hint="ascii"/>
          <w:sz w:val="21"/>
        </w:rPr>
        <w:t>越紧密，学科交叉不断增强，新研究领域相继出现。如多场多尺度耦合、钻采储信</w:t>
      </w:r>
      <w:r>
        <w:rPr>
          <w:rFonts w:ascii="宋体" w:hAnsi="宋体" w:cs="宋体" w:eastAsia="宋体" w:hint="ascii"/>
          <w:sz w:val="21"/>
          <w:spacing w:val="-1"/>
        </w:rPr>
        <w:t>息化</w:t>
      </w:r>
      <w:r>
        <w:rPr>
          <w:rFonts w:ascii="宋体" w:hAnsi="宋体" w:cs="宋体" w:eastAsia="宋体" w:hint="ascii"/>
          <w:sz w:val="21"/>
        </w:rPr>
        <w:t>与智能化，均来源于学科交叉与融合，并向智能化发展。③基础与应用结合越来越</w:t>
      </w:r>
      <w:r>
        <w:rPr>
          <w:rFonts w:ascii="宋体" w:hAnsi="宋体" w:cs="宋体" w:eastAsia="宋体" w:hint="ascii"/>
          <w:sz w:val="21"/>
          <w:spacing w:val="-1"/>
        </w:rPr>
        <w:t>密切</w:t>
      </w:r>
      <w:r>
        <w:rPr>
          <w:rFonts w:ascii="宋体" w:hAnsi="宋体" w:cs="宋体" w:eastAsia="宋体" w:hint="ascii"/>
          <w:sz w:val="21"/>
        </w:rPr>
        <w:t>。如矿冶装备、检测与控制、冶金反应工程学与系统工程，矿冶生态技术的综合集成等，越来越来源于基础研究的深入理论创新</w:t>
      </w:r>
      <w:r>
        <w:rPr>
          <w:rFonts w:ascii="宋体" w:hAnsi="宋体" w:cs="宋体" w:eastAsia="宋体" w:hint="ascii"/>
          <w:sz w:val="21"/>
          <w:spacing w:val="-52"/>
        </w:rPr>
        <w:t>。</w:t>
      </w:r>
      <w:r>
        <w:rPr>
          <w:rFonts w:ascii="宋体" w:hAnsi="宋体" w:cs="宋体" w:eastAsia="宋体" w:hint="ascii"/>
          <w:sz w:val="21"/>
        </w:rPr>
        <w:t>“过程综合、技术综合、学科综合”特</w:t>
      </w:r>
      <w:r>
        <w:rPr>
          <w:rFonts w:ascii="宋体" w:hAnsi="宋体" w:cs="宋体" w:eastAsia="宋体" w:hint="ascii"/>
          <w:sz w:val="21"/>
          <w:spacing w:val="-1"/>
        </w:rPr>
        <w:t>色明</w:t>
      </w:r>
      <w:r>
        <w:rPr>
          <w:rFonts w:ascii="宋体" w:hAnsi="宋体" w:cs="宋体" w:eastAsia="宋体" w:hint="ascii"/>
          <w:sz w:val="21"/>
        </w:rPr>
        <w:t>显，科学与技术融合，相互作用、转化的时间越来越快。目前，学科处于资源、能</w:t>
      </w:r>
      <w:r>
        <w:rPr>
          <w:rFonts w:ascii="宋体" w:hAnsi="宋体" w:cs="宋体" w:eastAsia="宋体" w:hint="ascii"/>
          <w:sz w:val="21"/>
          <w:spacing w:val="-1"/>
        </w:rPr>
        <w:t>源和</w:t>
      </w:r>
      <w:r>
        <w:rPr>
          <w:rFonts w:ascii="宋体" w:hAnsi="宋体" w:cs="宋体" w:eastAsia="宋体" w:hint="ascii"/>
          <w:sz w:val="21"/>
        </w:rPr>
        <w:t>环境的交点，需求与发展的矛盾突出，传统产业的升级、生态环境的改善，都要求践行“创新、协调、绿色、开放、共享”的发展理念。</w:t>
      </w:r>
      <w:r>
        <w:rPr>
          <w:rFonts w:ascii="宋体" w:hAnsi="宋体" w:cs="宋体" w:eastAsia="宋体" w:hint="ascii"/>
          <w:sz w:val="21"/>
        </w:rPr>
        <mc:AlternateContent>
          <mc:Choice Requires="wps">
            <w:drawing>
              <wp:anchor distL="0" distR="0" distT="0" distB="0" simplePos="0" behindDoc="1" relativeHeight="106" locked="0" layoutInCell="1" allowOverlap="1">
                <wp:simplePos x="0" y="0"/>
                <wp:positionH relativeFrom="page">
                  <wp:posOffset>938530</wp:posOffset>
                </wp:positionH>
                <wp:positionV relativeFrom="page">
                  <wp:posOffset>805815</wp:posOffset>
                </wp:positionV>
                <wp:extent cx="5076190" cy="0"/>
                <wp:wrapNone/>
                <wp:docPr id="1134" name="113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49696;width:399.70pt;" id="113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1" w:left="0" w:firstLine="420"/>
        <w:snapToGrid w:val="0"/>
        <w:textAlignment w:val="auto"/>
        <w:tabs/>
        <w:rPr>
          <w:rFonts w:ascii="宋体" w:hAnsi="宋体" w:cs="宋体" w:eastAsia="宋体" w:hint="ascii"/>
          <w:sz w:val="21"/>
        </w:rPr>
      </w:pPr>
      <w:r>
        <w:rPr>
          <w:rFonts w:ascii="宋体" w:hAnsi="宋体" w:cs="宋体" w:eastAsia="宋体" w:hint="ascii"/>
          <w:sz w:val="21"/>
          <w:spacing w:val="-1"/>
        </w:rPr>
        <w:t>本科</w:t>
      </w:r>
      <w:r>
        <w:rPr>
          <w:rFonts w:ascii="宋体" w:hAnsi="宋体" w:cs="宋体" w:eastAsia="宋体" w:hint="ascii"/>
          <w:sz w:val="21"/>
        </w:rPr>
        <w:t>学处项目主要研究热点领域是：石油天然气开采、金属及非金属矿开采、安全科学与工程、金属材料制备加工、矿物工程、电化学冶金与电池电化学等。</w:t>
      </w:r>
    </w:p>
    <w:p>
      <w:pPr>
        <w:autoSpaceDE w:val="0"/>
        <w:autoSpaceDN w:val="0"/>
        <w:jc w:val="left"/>
        <w:spacing w:before="40" w:after="0" w:lineRule="exact" w:line="263"/>
        <w:ind w:right="0" w:left="412" w:firstLine="0"/>
        <w:snapToGrid w:val="0"/>
        <w:textAlignment w:val="auto"/>
        <w:tabs/>
        <w:rPr>
          <w:rFonts w:ascii="宋体" w:hAnsi="宋体" w:cs="宋体" w:eastAsia="宋体" w:hint="ascii"/>
          <w:sz w:val="21"/>
        </w:rPr>
      </w:pPr>
      <w:r>
        <w:rPr>
          <w:rFonts w:ascii="宋体" w:hAnsi="宋体" w:cs="宋体" w:eastAsia="宋体" w:hint="ascii"/>
          <w:sz w:val="21"/>
          <w:spacing w:val="-1"/>
        </w:rPr>
        <w:t>本科学处</w:t>
      </w:r>
      <w:r>
        <w:rPr>
          <w:rFonts w:ascii="宋体" w:hAnsi="宋体" w:cs="宋体" w:eastAsia="宋体" w:hint="ascii"/>
          <w:sz w:val="21"/>
          <w:spacing w:val="-2"/>
        </w:rPr>
        <w:t>以</w:t>
      </w:r>
      <w:r>
        <w:rPr>
          <w:rFonts w:ascii="宋体" w:hAnsi="宋体" w:cs="宋体" w:eastAsia="宋体" w:hint="ascii"/>
          <w:sz w:val="21"/>
          <w:spacing w:val="-1"/>
        </w:rPr>
        <w:t>工程科学</w:t>
      </w:r>
      <w:r>
        <w:rPr>
          <w:rFonts w:ascii="宋体" w:hAnsi="宋体" w:cs="宋体" w:eastAsia="宋体" w:hint="ascii"/>
          <w:sz w:val="21"/>
          <w:spacing w:val="-2"/>
        </w:rPr>
        <w:t>为</w:t>
      </w:r>
      <w:r>
        <w:rPr>
          <w:rFonts w:ascii="宋体" w:hAnsi="宋体" w:cs="宋体" w:eastAsia="宋体" w:hint="ascii"/>
          <w:sz w:val="21"/>
          <w:spacing w:val="-1"/>
        </w:rPr>
        <w:t>主，关注</w:t>
      </w:r>
      <w:r>
        <w:rPr>
          <w:rFonts w:ascii="宋体" w:hAnsi="宋体" w:cs="宋体" w:eastAsia="宋体" w:hint="ascii"/>
          <w:sz w:val="21"/>
          <w:spacing w:val="-2"/>
        </w:rPr>
        <w:t>“</w:t>
      </w:r>
      <w:r>
        <w:rPr>
          <w:rFonts w:ascii="宋体" w:hAnsi="宋体" w:cs="宋体" w:eastAsia="宋体" w:hint="ascii"/>
          <w:sz w:val="21"/>
          <w:spacing w:val="-1"/>
        </w:rPr>
        <w:t>质的支撑</w:t>
      </w:r>
      <w:r>
        <w:rPr>
          <w:rFonts w:ascii="宋体" w:hAnsi="宋体" w:cs="宋体" w:eastAsia="宋体" w:hint="ascii"/>
          <w:sz w:val="21"/>
          <w:spacing w:val="-2"/>
        </w:rPr>
        <w:t>”</w:t>
      </w:r>
      <w:r>
        <w:rPr>
          <w:rFonts w:ascii="宋体" w:hAnsi="宋体" w:cs="宋体" w:eastAsia="宋体" w:hint="ascii"/>
          <w:sz w:val="21"/>
          <w:spacing w:val="-1"/>
        </w:rPr>
        <w:t>而不是“</w:t>
      </w:r>
      <w:r>
        <w:rPr>
          <w:rFonts w:ascii="宋体" w:hAnsi="宋体" w:cs="宋体" w:eastAsia="宋体" w:hint="ascii"/>
          <w:sz w:val="21"/>
          <w:spacing w:val="-2"/>
        </w:rPr>
        <w:t>量</w:t>
      </w:r>
      <w:r>
        <w:rPr>
          <w:rFonts w:ascii="宋体" w:hAnsi="宋体" w:cs="宋体" w:eastAsia="宋体" w:hint="ascii"/>
          <w:sz w:val="21"/>
          <w:spacing w:val="-1"/>
        </w:rPr>
        <w:t>的保障</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spacing w:val="-2"/>
        </w:rPr>
        <w:t>将</w:t>
      </w:r>
      <w:r>
        <w:rPr>
          <w:rFonts w:ascii="宋体" w:hAnsi="宋体" w:cs="宋体" w:eastAsia="宋体" w:hint="ascii"/>
          <w:sz w:val="21"/>
          <w:spacing w:val="-1"/>
        </w:rPr>
        <w:t>继续加强</w:t>
      </w:r>
      <w:r>
        <w:rPr>
          <w:rFonts w:ascii="宋体" w:hAnsi="宋体" w:cs="宋体" w:eastAsia="宋体" w:hint="ascii"/>
          <w:sz w:val="21"/>
          <w:spacing w:val="-2"/>
        </w:rPr>
        <w:t>学</w:t>
      </w:r>
      <w:r>
        <w:rPr>
          <w:rFonts w:ascii="宋体" w:hAnsi="宋体" w:cs="宋体" w:eastAsia="宋体" w:hint="ascii"/>
          <w:sz w:val="21"/>
        </w:rPr>
        <w:t>科</w:t>
      </w:r>
    </w:p>
    <w:p>
      <w:pPr>
        <w:autoSpaceDE w:val="0"/>
        <w:autoSpaceDN w:val="0"/>
        <w:jc w:val="both"/>
        <w:spacing w:before="10" w:after="0" w:lineRule="exact" w:line="312"/>
        <w:ind w:right="971" w:left="0" w:firstLine="0"/>
        <w:snapToGrid w:val="0"/>
        <w:textAlignment w:val="auto"/>
        <w:tabs/>
        <w:rPr>
          <w:rFonts w:ascii="宋体" w:hAnsi="宋体" w:cs="宋体" w:eastAsia="宋体" w:hint="ascii"/>
          <w:sz w:val="21"/>
        </w:rPr>
      </w:pPr>
      <w:r>
        <w:rPr>
          <w:rFonts w:ascii="宋体" w:hAnsi="宋体" w:cs="宋体" w:eastAsia="宋体" w:hint="ascii"/>
          <w:sz w:val="21"/>
          <w:spacing w:val="-1"/>
        </w:rPr>
        <w:t>交叉</w:t>
      </w:r>
      <w:r>
        <w:rPr>
          <w:rFonts w:ascii="宋体" w:hAnsi="宋体" w:cs="宋体" w:eastAsia="宋体" w:hint="ascii"/>
          <w:sz w:val="21"/>
        </w:rPr>
        <w:t>和新方法的探索，关注新理论、新概念、新方法及其在本领域的创新性应用。重视</w:t>
      </w:r>
      <w:r>
        <w:rPr>
          <w:rFonts w:ascii="宋体" w:hAnsi="宋体" w:cs="宋体" w:eastAsia="宋体" w:hint="ascii"/>
          <w:sz w:val="21"/>
          <w:spacing w:val="-1"/>
        </w:rPr>
        <w:t>具有</w:t>
      </w:r>
      <w:r>
        <w:rPr>
          <w:rFonts w:ascii="宋体" w:hAnsi="宋体" w:cs="宋体" w:eastAsia="宋体" w:hint="ascii"/>
          <w:sz w:val="21"/>
        </w:rPr>
        <w:t>我国特色的，以提高我国石油、矿业、冶金与材料制备加工行业竞争力方面的创新</w:t>
      </w:r>
      <w:r>
        <w:rPr>
          <w:rFonts w:ascii="宋体" w:hAnsi="宋体" w:cs="宋体" w:eastAsia="宋体" w:hint="ascii"/>
          <w:sz w:val="21"/>
          <w:spacing w:val="-1"/>
        </w:rPr>
        <w:t>性基</w:t>
      </w:r>
      <w:r>
        <w:rPr>
          <w:rFonts w:ascii="宋体" w:hAnsi="宋体" w:cs="宋体" w:eastAsia="宋体" w:hint="ascii"/>
          <w:sz w:val="21"/>
        </w:rPr>
        <w:t>础研究。在资源开采方面，注重开采、安全与环境协调友好的工程科学问题研究，</w:t>
      </w:r>
      <w:r>
        <w:rPr>
          <w:rFonts w:ascii="宋体" w:hAnsi="宋体" w:cs="宋体" w:eastAsia="宋体" w:hint="ascii"/>
          <w:sz w:val="21"/>
          <w:spacing w:val="-1"/>
        </w:rPr>
        <w:t>在工</w:t>
      </w:r>
      <w:r>
        <w:rPr>
          <w:rFonts w:ascii="宋体" w:hAnsi="宋体" w:cs="宋体" w:eastAsia="宋体" w:hint="ascii"/>
          <w:sz w:val="21"/>
        </w:rPr>
        <w:t>艺、过程和设备方面，强调结构的优化与调控、过程强化以及工程化的科学规律。</w:t>
      </w:r>
      <w:r>
        <w:rPr>
          <w:rFonts w:ascii="宋体" w:hAnsi="宋体" w:cs="宋体" w:eastAsia="宋体" w:hint="ascii"/>
          <w:sz w:val="21"/>
          <w:spacing w:val="-3"/>
        </w:rPr>
        <w:t>鼓励研究</w:t>
      </w:r>
      <w:r>
        <w:rPr>
          <w:rFonts w:ascii="宋体" w:hAnsi="宋体" w:cs="宋体" w:eastAsia="宋体" w:hint="ascii"/>
          <w:sz w:val="21"/>
          <w:spacing w:val="-4"/>
        </w:rPr>
        <w:t>人</w:t>
      </w:r>
      <w:r>
        <w:rPr>
          <w:rFonts w:ascii="宋体" w:hAnsi="宋体" w:cs="宋体" w:eastAsia="宋体" w:hint="ascii"/>
          <w:sz w:val="21"/>
          <w:spacing w:val="-3"/>
        </w:rPr>
        <w:t>员进行原</w:t>
      </w:r>
      <w:r>
        <w:rPr>
          <w:rFonts w:ascii="宋体" w:hAnsi="宋体" w:cs="宋体" w:eastAsia="宋体" w:hint="ascii"/>
          <w:sz w:val="21"/>
          <w:spacing w:val="-4"/>
        </w:rPr>
        <w:t>创</w:t>
      </w:r>
      <w:r>
        <w:rPr>
          <w:rFonts w:ascii="宋体" w:hAnsi="宋体" w:cs="宋体" w:eastAsia="宋体" w:hint="ascii"/>
          <w:sz w:val="21"/>
          <w:spacing w:val="-3"/>
        </w:rPr>
        <w:t>性研究，</w:t>
      </w:r>
      <w:r>
        <w:rPr>
          <w:rFonts w:ascii="宋体" w:hAnsi="宋体" w:cs="宋体" w:eastAsia="宋体" w:hint="ascii"/>
          <w:sz w:val="21"/>
          <w:spacing w:val="-4"/>
        </w:rPr>
        <w:t>大</w:t>
      </w:r>
      <w:r>
        <w:rPr>
          <w:rFonts w:ascii="宋体" w:hAnsi="宋体" w:cs="宋体" w:eastAsia="宋体" w:hint="ascii"/>
          <w:sz w:val="21"/>
          <w:spacing w:val="-3"/>
        </w:rPr>
        <w:t>胆提出自</w:t>
      </w:r>
      <w:r>
        <w:rPr>
          <w:rFonts w:ascii="宋体" w:hAnsi="宋体" w:cs="宋体" w:eastAsia="宋体" w:hint="ascii"/>
          <w:sz w:val="21"/>
          <w:spacing w:val="-4"/>
        </w:rPr>
        <w:t>己</w:t>
      </w:r>
      <w:r>
        <w:rPr>
          <w:rFonts w:ascii="宋体" w:hAnsi="宋体" w:cs="宋体" w:eastAsia="宋体" w:hint="ascii"/>
          <w:sz w:val="21"/>
          <w:spacing w:val="-3"/>
        </w:rPr>
        <w:t>的“假说</w:t>
      </w:r>
      <w:r>
        <w:rPr>
          <w:rFonts w:ascii="宋体" w:hAnsi="宋体" w:cs="宋体" w:eastAsia="宋体" w:hint="ascii"/>
          <w:sz w:val="21"/>
          <w:spacing w:val="-54"/>
        </w:rPr>
        <w:t>”</w:t>
      </w:r>
      <w:r>
        <w:rPr>
          <w:rFonts w:ascii="宋体" w:hAnsi="宋体" w:cs="宋体" w:eastAsia="宋体" w:hint="ascii"/>
          <w:sz w:val="21"/>
          <w:spacing w:val="-3"/>
        </w:rPr>
        <w:t>，</w:t>
      </w:r>
      <w:r>
        <w:rPr>
          <w:rFonts w:ascii="宋体" w:hAnsi="宋体" w:cs="宋体" w:eastAsia="宋体" w:hint="ascii"/>
          <w:sz w:val="21"/>
          <w:spacing w:val="-2"/>
        </w:rPr>
        <w:t>以形成自</w:t>
      </w:r>
      <w:r>
        <w:rPr>
          <w:rFonts w:ascii="宋体" w:hAnsi="宋体" w:cs="宋体" w:eastAsia="宋体" w:hint="ascii"/>
          <w:sz w:val="21"/>
          <w:spacing w:val="-3"/>
        </w:rPr>
        <w:t>己</w:t>
      </w:r>
      <w:r>
        <w:rPr>
          <w:rFonts w:ascii="宋体" w:hAnsi="宋体" w:cs="宋体" w:eastAsia="宋体" w:hint="ascii"/>
          <w:sz w:val="21"/>
          <w:spacing w:val="-2"/>
        </w:rPr>
        <w:t>的研究特</w:t>
      </w:r>
      <w:r>
        <w:rPr>
          <w:rFonts w:ascii="宋体" w:hAnsi="宋体" w:cs="宋体" w:eastAsia="宋体" w:hint="ascii"/>
          <w:sz w:val="21"/>
          <w:spacing w:val="-3"/>
        </w:rPr>
        <w:t>色</w:t>
      </w:r>
      <w:r>
        <w:rPr>
          <w:rFonts w:ascii="宋体" w:hAnsi="宋体" w:cs="宋体" w:eastAsia="宋体" w:hint="ascii"/>
          <w:sz w:val="21"/>
          <w:spacing w:val="-2"/>
        </w:rPr>
        <w:t>。鼓</w:t>
      </w:r>
      <w:r>
        <w:rPr>
          <w:rFonts w:ascii="宋体" w:hAnsi="宋体" w:cs="宋体" w:eastAsia="宋体" w:hint="ascii"/>
          <w:sz w:val="21"/>
          <w:spacing w:val="-1"/>
        </w:rPr>
        <w:t>励</w:t>
      </w:r>
      <w:r>
        <w:rPr>
          <w:rFonts w:ascii="宋体" w:hAnsi="宋体" w:cs="宋体" w:eastAsia="宋体" w:hint="ascii"/>
          <w:sz w:val="21"/>
        </w:rPr>
        <w:t xml:space="preserve"> </w:t>
      </w:r>
      <w:r>
        <w:rPr>
          <w:rFonts w:ascii="宋体" w:hAnsi="宋体" w:cs="宋体" w:eastAsia="宋体" w:hint="ascii"/>
          <w:sz w:val="21"/>
          <w:spacing w:val="1"/>
        </w:rPr>
        <w:t>研究人员发挥校企合作优势</w:t>
      </w:r>
      <w:r>
        <w:rPr>
          <w:rFonts w:ascii="宋体" w:hAnsi="宋体" w:cs="宋体" w:eastAsia="宋体" w:hint="ascii"/>
          <w:sz w:val="21"/>
        </w:rPr>
        <w:t>，推动技术落地和应用。在选题方面，优先资助具有原</w:t>
      </w:r>
      <w:r>
        <w:rPr>
          <w:rFonts w:ascii="宋体" w:hAnsi="宋体" w:cs="宋体" w:eastAsia="宋体" w:hint="ascii"/>
          <w:sz w:val="21"/>
          <w:spacing w:val="-6"/>
        </w:rPr>
        <w:t>创</w:t>
      </w:r>
      <w:r>
        <w:rPr>
          <w:rFonts w:ascii="宋体" w:hAnsi="宋体" w:cs="宋体" w:eastAsia="宋体" w:hint="ascii"/>
          <w:sz w:val="21"/>
          <w:spacing w:val="-2"/>
        </w:rPr>
        <w:t>性、重大理论意义、重要应用前景和前瞻性、有可能成为新的知识生长点的基础研究</w:t>
      </w:r>
      <w:r>
        <w:rPr>
          <w:rFonts w:ascii="宋体" w:hAnsi="宋体" w:cs="宋体" w:eastAsia="宋体" w:hint="ascii"/>
          <w:sz w:val="21"/>
        </w:rPr>
        <w:t>。</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鼓励以下研究领域：①油气钻采与运储新理论与新方法；②复杂油气工况相互作用</w:t>
      </w:r>
    </w:p>
    <w:p>
      <w:pPr>
        <w:autoSpaceDE w:val="0"/>
        <w:autoSpaceDN w:val="0"/>
        <w:jc w:val="both"/>
        <w:spacing w:before="10" w:after="0" w:lineRule="exact" w:line="312"/>
        <w:ind w:right="971" w:left="0" w:firstLine="0"/>
        <w:snapToGrid w:val="0"/>
        <w:textAlignment w:val="auto"/>
        <w:tabs/>
        <w:rPr>
          <w:rFonts w:ascii="宋体" w:hAnsi="宋体" w:cs="宋体" w:eastAsia="宋体" w:hint="ascii"/>
          <w:sz w:val="21"/>
        </w:rPr>
      </w:pPr>
      <w:r>
        <w:rPr>
          <w:rFonts w:ascii="宋体" w:hAnsi="宋体" w:cs="宋体" w:eastAsia="宋体" w:hint="ascii"/>
          <w:sz w:val="21"/>
          <w:spacing w:val="1"/>
        </w:rPr>
        <w:t>机制；③低品位油气和</w:t>
      </w:r>
      <w:r>
        <w:rPr>
          <w:rFonts w:ascii="宋体" w:hAnsi="宋体" w:cs="宋体" w:eastAsia="宋体" w:hint="ascii"/>
          <w:sz w:val="21"/>
        </w:rPr>
        <w:t>老油田提高采收率；④矿产资源绿色开采理论；⑤物质绿色</w:t>
      </w:r>
      <w:r>
        <w:rPr>
          <w:rFonts w:ascii="宋体" w:hAnsi="宋体" w:cs="宋体" w:eastAsia="宋体" w:hint="ascii"/>
          <w:sz w:val="21"/>
          <w:spacing w:val="-6"/>
        </w:rPr>
        <w:t>分</w:t>
      </w:r>
      <w:r>
        <w:rPr>
          <w:rFonts w:ascii="宋体" w:hAnsi="宋体" w:cs="宋体" w:eastAsia="宋体" w:hint="ascii"/>
          <w:sz w:val="21"/>
          <w:spacing w:val="4"/>
        </w:rPr>
        <w:t>离理论；⑥矿产资源清洁</w:t>
      </w:r>
      <w:r>
        <w:rPr>
          <w:rFonts w:ascii="宋体" w:hAnsi="宋体" w:cs="宋体" w:eastAsia="宋体" w:hint="ascii"/>
          <w:sz w:val="21"/>
          <w:spacing w:val="3"/>
        </w:rPr>
        <w:t>高效提取；⑦高品质金属材料生产的热力学基础与冶金</w:t>
      </w:r>
      <w:r>
        <w:rPr>
          <w:rFonts w:ascii="宋体" w:hAnsi="宋体" w:cs="宋体" w:eastAsia="宋体" w:hint="ascii"/>
          <w:sz w:val="21"/>
          <w:spacing w:val="-6"/>
        </w:rPr>
        <w:t>理</w:t>
      </w:r>
      <w:r>
        <w:rPr>
          <w:rFonts w:ascii="宋体" w:hAnsi="宋体" w:cs="宋体" w:eastAsia="宋体" w:hint="ascii"/>
          <w:sz w:val="21"/>
          <w:spacing w:val="2"/>
        </w:rPr>
        <w:t>论；⑧</w:t>
      </w:r>
      <w:r>
        <w:rPr>
          <w:rFonts w:ascii="宋体" w:hAnsi="宋体" w:cs="宋体" w:eastAsia="宋体" w:hint="ascii"/>
          <w:sz w:val="21"/>
          <w:spacing w:val="1"/>
        </w:rPr>
        <w:t>冶金过程污染</w:t>
      </w:r>
      <w:r>
        <w:rPr>
          <w:rFonts w:ascii="宋体" w:hAnsi="宋体" w:cs="宋体" w:eastAsia="宋体" w:hint="ascii"/>
          <w:sz w:val="21"/>
        </w:rPr>
        <w:t>物的形成、输送及控制；⑨多场作用下高性能材料制备及近净</w:t>
      </w:r>
      <w:r>
        <w:rPr>
          <w:rFonts w:ascii="宋体" w:hAnsi="宋体" w:cs="宋体" w:eastAsia="宋体" w:hint="ascii"/>
          <w:sz w:val="21"/>
          <w:spacing w:val="-6"/>
        </w:rPr>
        <w:t>成</w:t>
      </w:r>
      <w:r>
        <w:rPr>
          <w:rFonts w:ascii="宋体" w:hAnsi="宋体" w:cs="宋体" w:eastAsia="宋体" w:hint="ascii"/>
          <w:sz w:val="21"/>
        </w:rPr>
        <w:t>形；⑩矿冶信息采集与数据处理；</w:t>
      </w:r>
      <w:r>
        <w:rPr>
          <w:rFonts w:ascii="宋体" w:hAnsi="宋体" w:cs="宋体" w:eastAsia="宋体" w:hint="ascii"/>
          <w:sz w:val="21"/>
          <w:spacing w:val="74"/>
        </w:rPr>
        <w:t xml:space="preserve"> </w:t>
      </w:r>
      <w:r>
        <w:rPr>
          <w:rFonts w:ascii="宋体" w:hAnsi="宋体" w:cs="宋体" w:eastAsia="宋体" w:hint="ascii"/>
          <w:sz w:val="21"/>
        </w:rPr>
        <w:t>危险化学品事故预防与系统评价。</w:t>
      </w:r>
      <w:r>
        <w:rPr>
          <w:rFonts w:ascii="宋体" w:hAnsi="宋体" w:cs="宋体" w:eastAsia="宋体" w:hint="ascii"/>
          <w:sz w:val="21"/>
        </w:rPr>
        <mc:AlternateContent>
          <mc:Choice Requires="wps">
            <w:drawing>
              <wp:anchor distL="0" distR="0" distT="0" distB="0" simplePos="0" behindDoc="0" relativeHeight="320" locked="0" layoutInCell="1" allowOverlap="1">
                <wp:simplePos x="0" y="0"/>
                <wp:positionH relativeFrom="page">
                  <wp:posOffset>2936240</wp:posOffset>
                </wp:positionH>
                <wp:positionV relativeFrom="page">
                  <wp:posOffset>5631180</wp:posOffset>
                </wp:positionV>
                <wp:extent cx="160020" cy="744220"/>
                <wp:wrapNone/>
                <wp:docPr id="1135" name="1135"/>
                <wp:cNvGraphicFramePr/>
                <a:graphic>
                  <a:graphicData uri="http://schemas.microsoft.com/office/word/2010/wordprocessingShape">
                    <wps:wsp>
                      <wps:cNvSpPr txBox="1"/>
                      <wps:spPr>
                        <a:xfrm>
                          <a:off x="0" y="0"/>
                          <a:ext cx="160020" cy="74422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mbria Math" w:hAnsi="Cambria Math" w:cs="Cambria Math" w:eastAsia="Cambria Math" w:hint="ascii"/>
                                <w:sz w:val="21"/>
                              </w:rPr>
                            </w:pPr>
                            <w:r>
                              <w:rPr>
                                <w:rFonts w:ascii="Cambria Math" w:hAnsi="Cambria Math" w:cs="Cambria Math" w:eastAsia="Cambria Math" w:hint="ascii"/>
                                <w:sz w:val="21"/>
                              </w:rPr>
                              <w:t>⑪</w:t>
                            </w:r>
                          </w:p>
                        </w:txbxContent>
                      </wps:txbx>
                      <wps:bodyPr vert="horz" wrap="square" lIns="0" tIns="0" rIns="0" bIns="0" anchor="t">
                        <a:noAutofit/>
                      </wps:bodyPr>
                    </wps:wsp>
                  </a:graphicData>
                </a:graphic>
              </wp:anchor>
            </w:drawing>
          </mc:Choice>
          <mc:Fallback>
            <w:pict>
              <v:shapetype id="_x0000_t202" o:spt="202" path="m,l,1172r252,l252,xe"/>
              <v:shape type="_x0000_t202" style="position:absolute;mso-position-horizontal:absolute;mso-position-horizontal-relative:page;margin-left:231.20pt;mso-position-vertical:absolute;mso-position-vertical-relative:page;margin-top:443.40pt;z-index:251985920;width:12.60pt;height:58.60pt;" id="1135" coordsize="252,1172"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mbria Math" w:hAnsi="Cambria Math" w:cs="Cambria Math" w:eastAsia="Cambria Math" w:hint="ascii"/>
                          <w:sz w:val="21"/>
                        </w:rPr>
                      </w:pPr>
                      <w:r>
                        <w:rPr>
                          <w:rFonts w:ascii="Cambria Math" w:hAnsi="Cambria Math" w:cs="Cambria Math" w:eastAsia="Cambria Math" w:hint="ascii"/>
                          <w:sz w:val="21"/>
                        </w:rPr>
                        <w:t>⑪</w:t>
                      </w:r>
                    </w:p>
                  </w:txbxContent>
                </v:textbox>
              </v:shape>
            </w:pict>
          </mc:Fallback>
        </mc:AlternateContent>
      </w:r>
    </w:p>
    <w:p>
      <w:pPr>
        <w:autoSpaceDE w:val="0"/>
        <w:autoSpaceDN w:val="0"/>
        <w:jc w:val="left"/>
        <w:spacing w:before="270" w:after="0" w:lineRule="exact" w:line="363"/>
        <w:ind w:right="0" w:left="3120" w:firstLine="0"/>
        <w:snapToGrid w:val="0"/>
        <w:textAlignment w:val="auto"/>
        <w:tabs/>
        <w:rPr>
          <w:rFonts w:ascii="宋体" w:hAnsi="宋体" w:cs="宋体" w:eastAsia="宋体" w:hint="ascii"/>
          <w:sz w:val="29"/>
        </w:rPr>
      </w:pPr>
      <w:r>
        <w:rPr>
          <w:rFonts w:ascii="宋体" w:hAnsi="宋体" w:cs="宋体" w:eastAsia="宋体" w:hint="ascii"/>
          <w:sz w:val="29"/>
        </w:rPr>
        <w:t>工程科学二处</w:t>
      </w:r>
    </w:p>
    <w:p>
      <w:pPr>
        <w:autoSpaceDE w:val="0"/>
        <w:autoSpaceDN w:val="0"/>
        <w:jc w:val="left"/>
        <w:spacing w:before="3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本科学处资助机械学和制造科学领域的基础研究。</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机械学是研究各类机械产品功能综合、定量描述和性能控制，应用机械系统相关知</w:t>
      </w:r>
    </w:p>
    <w:p>
      <w:pPr>
        <w:autoSpaceDE w:val="0"/>
        <w:autoSpaceDN w:val="0"/>
        <w:jc w:val="both"/>
        <w:spacing w:before="10" w:after="0" w:lineRule="exact" w:line="312"/>
        <w:ind w:right="971" w:left="0" w:firstLine="0"/>
        <w:snapToGrid w:val="0"/>
        <w:textAlignment w:val="auto"/>
        <w:tabs/>
        <w:rPr>
          <w:rFonts w:ascii="宋体" w:hAnsi="宋体" w:cs="宋体" w:eastAsia="宋体" w:hint="ascii"/>
          <w:sz w:val="21"/>
        </w:rPr>
      </w:pPr>
      <w:r>
        <w:rPr>
          <w:rFonts w:ascii="宋体" w:hAnsi="宋体" w:cs="宋体" w:eastAsia="宋体" w:hint="ascii"/>
          <w:sz w:val="21"/>
          <w:spacing w:val="-1"/>
        </w:rPr>
        <w:t>识和</w:t>
      </w:r>
      <w:r>
        <w:rPr>
          <w:rFonts w:ascii="宋体" w:hAnsi="宋体" w:cs="宋体" w:eastAsia="宋体" w:hint="ascii"/>
          <w:sz w:val="21"/>
        </w:rPr>
        <w:t>技术，发展新的设计理论与方法的基础技术科学，主要包括机构学与机器人、传动</w:t>
      </w:r>
      <w:r>
        <w:rPr>
          <w:rFonts w:ascii="宋体" w:hAnsi="宋体" w:cs="宋体" w:eastAsia="宋体" w:hint="ascii"/>
          <w:sz w:val="21"/>
          <w:spacing w:val="-1"/>
        </w:rPr>
        <w:t>机械</w:t>
      </w:r>
      <w:r>
        <w:rPr>
          <w:rFonts w:ascii="宋体" w:hAnsi="宋体" w:cs="宋体" w:eastAsia="宋体" w:hint="ascii"/>
          <w:sz w:val="21"/>
        </w:rPr>
        <w:t>学、机械动力学、机械结构强度学、机械摩擦学与表面技术、机械设计学和机械仿</w:t>
      </w:r>
      <w:r>
        <w:rPr>
          <w:rFonts w:ascii="宋体" w:hAnsi="宋体" w:cs="宋体" w:eastAsia="宋体" w:hint="ascii"/>
          <w:sz w:val="21"/>
          <w:spacing w:val="-1"/>
        </w:rPr>
        <w:t>生学</w:t>
      </w:r>
      <w:r>
        <w:rPr>
          <w:rFonts w:ascii="宋体" w:hAnsi="宋体" w:cs="宋体" w:eastAsia="宋体" w:hint="ascii"/>
          <w:sz w:val="21"/>
        </w:rPr>
        <w:t>等；制造科学主要研究产品高效、低成本、智能、高性能制造所涉及的各种理论、</w:t>
      </w:r>
      <w:r>
        <w:rPr>
          <w:rFonts w:ascii="宋体" w:hAnsi="宋体" w:cs="宋体" w:eastAsia="宋体" w:hint="ascii"/>
          <w:sz w:val="21"/>
          <w:spacing w:val="-1"/>
        </w:rPr>
        <w:t>方法</w:t>
      </w:r>
      <w:r>
        <w:rPr>
          <w:rFonts w:ascii="宋体" w:hAnsi="宋体" w:cs="宋体" w:eastAsia="宋体" w:hint="ascii"/>
          <w:sz w:val="21"/>
        </w:rPr>
        <w:t>、技术、工艺、装备与系统等，主要包括零件成形制造、零件加工制造、制造系统与自动化、机械测试理论与技术和微</w:t>
      </w:r>
      <w:r>
        <w:rPr>
          <w:rFonts w:ascii="Times New Roman" w:hAnsi="Times New Roman" w:cs="Times New Roman" w:eastAsia="Times New Roman" w:hint="ascii"/>
          <w:sz w:val="21"/>
        </w:rPr>
        <w:t>/</w:t>
      </w:r>
      <w:r>
        <w:rPr>
          <w:rFonts w:ascii="宋体" w:hAnsi="宋体" w:cs="宋体" w:eastAsia="宋体" w:hint="ascii"/>
          <w:sz w:val="21"/>
        </w:rPr>
        <w:t>纳机械系统等。</w:t>
      </w:r>
    </w:p>
    <w:p>
      <w:pPr>
        <w:autoSpaceDE w:val="0"/>
        <w:autoSpaceDN w:val="0"/>
        <w:jc w:val="both"/>
        <w:spacing w:before="0" w:after="0" w:lineRule="exact" w:line="312"/>
        <w:ind w:right="971" w:left="0" w:firstLine="657"/>
        <w:snapToGrid w:val="0"/>
        <w:textAlignment w:val="auto"/>
        <w:tabs>
          <w:tab w:val="left" w:leader="none" w:pos="894"/>
        </w:tabs>
        <w:numPr>
          <w:ilvl w:val="0"/>
          <w:numId w:val="81"/>
        </w:numPr>
        <w:rPr>
          <w:rFonts w:ascii="Times New Roman" w:hAnsi="Times New Roman" w:cs="Times New Roman" w:eastAsia="Times New Roman" w:hint="ascii"/>
          <w:sz w:val="21"/>
          <w:spacing w:val="1"/>
        </w:rPr>
      </w:pPr>
      <w:r>
        <w:rPr>
          <w:rFonts w:ascii="宋体" w:hAnsi="宋体" w:cs="宋体" w:eastAsia="宋体" w:hint="ascii"/>
          <w:sz w:val="21"/>
        </w:rPr>
        <w:t>年度本科学处接收面上项目申</w:t>
      </w:r>
      <w:r>
        <w:rPr>
          <w:rFonts w:ascii="宋体" w:hAnsi="宋体" w:cs="宋体" w:eastAsia="宋体" w:hint="ascii"/>
          <w:sz w:val="21"/>
          <w:spacing w:val="26"/>
        </w:rPr>
        <w:t>请</w:t>
      </w:r>
      <w:r>
        <w:rPr>
          <w:rFonts w:ascii="Times New Roman" w:hAnsi="Times New Roman" w:cs="Times New Roman" w:eastAsia="Times New Roman" w:hint="ascii"/>
          <w:sz w:val="21"/>
        </w:rPr>
        <w:t>2 63</w:t>
      </w:r>
      <w:r>
        <w:rPr>
          <w:rFonts w:ascii="Times New Roman" w:hAnsi="Times New Roman" w:cs="Times New Roman" w:eastAsia="Times New Roman" w:hint="ascii"/>
          <w:sz w:val="21"/>
          <w:spacing w:val="52"/>
        </w:rPr>
        <w:t>9</w:t>
      </w:r>
      <w:r>
        <w:rPr>
          <w:rFonts w:ascii="宋体" w:hAnsi="宋体" w:cs="宋体" w:eastAsia="宋体" w:hint="ascii"/>
          <w:sz w:val="21"/>
        </w:rPr>
        <w:t>项，增</w:t>
      </w:r>
      <w:r>
        <w:rPr>
          <w:rFonts w:ascii="宋体" w:hAnsi="宋体" w:cs="宋体" w:eastAsia="宋体" w:hint="ascii"/>
          <w:sz w:val="21"/>
          <w:spacing w:val="26"/>
        </w:rPr>
        <w:t>幅</w:t>
      </w:r>
      <w:r>
        <w:rPr>
          <w:rFonts w:ascii="Times New Roman" w:hAnsi="Times New Roman" w:cs="Times New Roman" w:eastAsia="Times New Roman" w:hint="ascii"/>
          <w:sz w:val="21"/>
        </w:rPr>
        <w:t>4.47%</w:t>
      </w:r>
      <w:r>
        <w:rPr>
          <w:rFonts w:ascii="宋体" w:hAnsi="宋体" w:cs="宋体" w:eastAsia="宋体" w:hint="ascii"/>
          <w:sz w:val="21"/>
        </w:rPr>
        <w:t>；资</w:t>
      </w:r>
      <w:r>
        <w:rPr>
          <w:rFonts w:ascii="宋体" w:hAnsi="宋体" w:cs="宋体" w:eastAsia="宋体" w:hint="ascii"/>
          <w:sz w:val="21"/>
          <w:spacing w:val="26"/>
        </w:rPr>
        <w:t>助</w:t>
      </w:r>
      <w:r>
        <w:rPr>
          <w:rFonts w:ascii="Times New Roman" w:hAnsi="Times New Roman" w:cs="Times New Roman" w:eastAsia="Times New Roman" w:hint="ascii"/>
          <w:sz w:val="21"/>
        </w:rPr>
        <w:t>56</w:t>
      </w:r>
      <w:r>
        <w:rPr>
          <w:rFonts w:ascii="Times New Roman" w:hAnsi="Times New Roman" w:cs="Times New Roman" w:eastAsia="Times New Roman" w:hint="ascii"/>
          <w:sz w:val="21"/>
          <w:spacing w:val="53"/>
        </w:rPr>
        <w:t>5</w:t>
      </w:r>
      <w:r>
        <w:rPr>
          <w:rFonts w:ascii="宋体" w:hAnsi="宋体" w:cs="宋体" w:eastAsia="宋体" w:hint="ascii"/>
          <w:sz w:val="21"/>
        </w:rPr>
        <w:t>项，直接费用平均资助强度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60.1</w:t>
      </w:r>
      <w:r>
        <w:rPr>
          <w:rFonts w:ascii="Times New Roman" w:hAnsi="Times New Roman" w:cs="Times New Roman" w:eastAsia="Times New Roman" w:hint="ascii"/>
          <w:sz w:val="21"/>
          <w:spacing w:val="52"/>
        </w:rPr>
        <w:t>2</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21.41%</w:t>
      </w:r>
      <w:r>
        <w:rPr>
          <w:rFonts w:ascii="宋体" w:hAnsi="宋体" w:cs="宋体" w:eastAsia="宋体" w:hint="ascii"/>
          <w:sz w:val="21"/>
        </w:rPr>
        <w:t>。</w:t>
      </w:r>
    </w:p>
    <w:p>
      <w:pPr>
        <w:autoSpaceDE w:val="0"/>
        <w:autoSpaceDN w:val="0"/>
        <w:jc w:val="left"/>
        <w:spacing w:before="46"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重点支持的研究方向是：面向国家战略需求、学科发展前沿和具有潜在重大工程应</w:t>
      </w:r>
    </w:p>
    <w:p>
      <w:pPr>
        <w:autoSpaceDE w:val="0"/>
        <w:autoSpaceDN w:val="0"/>
        <w:jc w:val="left"/>
        <w:spacing w:before="280"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2" w:after="0" w:lineRule="exact" w:line="319"/>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用前景的基</w:t>
      </w:r>
      <w:r>
        <w:rPr>
          <w:rFonts w:ascii="宋体" w:hAnsi="宋体" w:cs="宋体" w:eastAsia="宋体" w:hint="ascii"/>
          <w:sz w:val="21"/>
        </w:rPr>
        <w:t>础研究；面向环境友好、资源节约和能源高效利用的可持续设计与制造一体化研究；面向超、精、尖、特（大</w:t>
      </w:r>
      <w:r>
        <w:rPr>
          <w:rFonts w:ascii="Times New Roman" w:hAnsi="Times New Roman" w:cs="Times New Roman" w:eastAsia="Times New Roman" w:hint="ascii"/>
          <w:sz w:val="21"/>
        </w:rPr>
        <w:t>/</w:t>
      </w:r>
      <w:r>
        <w:rPr>
          <w:rFonts w:ascii="宋体" w:hAnsi="宋体" w:cs="宋体" w:eastAsia="宋体" w:hint="ascii"/>
          <w:sz w:val="21"/>
        </w:rPr>
        <w:t>重）装备的创新设计、制造新原理与工艺优化、测</w:t>
      </w:r>
      <w:r>
        <w:rPr>
          <w:rFonts w:ascii="宋体" w:hAnsi="宋体" w:cs="宋体" w:eastAsia="宋体" w:hint="ascii"/>
          <w:sz w:val="21"/>
          <w:spacing w:val="-1"/>
        </w:rPr>
        <w:t>试理论和装</w:t>
      </w:r>
      <w:r>
        <w:rPr>
          <w:rFonts w:ascii="宋体" w:hAnsi="宋体" w:cs="宋体" w:eastAsia="宋体" w:hint="ascii"/>
          <w:sz w:val="21"/>
        </w:rPr>
        <w:t>备原型样机研究；面向极端工况（如参数由常规向超常或极端发展，尺度从</w:t>
      </w:r>
      <w:r>
        <w:rPr>
          <w:rFonts w:ascii="宋体" w:hAnsi="宋体" w:cs="宋体" w:eastAsia="宋体" w:hint="ascii"/>
          <w:sz w:val="21"/>
          <w:spacing w:val="-1"/>
        </w:rPr>
        <w:t>宏观向介观</w:t>
      </w:r>
      <w:r>
        <w:rPr>
          <w:rFonts w:ascii="宋体" w:hAnsi="宋体" w:cs="宋体" w:eastAsia="宋体" w:hint="ascii"/>
          <w:sz w:val="21"/>
        </w:rPr>
        <w:t>、微观、纳观及跨尺度扩展）的设计与制造方法研究；面向多学科交叉、多场耦合分析与设计方法的研究。</w:t>
      </w:r>
      <w:r>
        <w:rPr>
          <w:rFonts w:ascii="宋体" w:hAnsi="宋体" w:cs="宋体" w:eastAsia="宋体" w:hint="ascii"/>
          <w:sz w:val="21"/>
        </w:rPr>
        <mc:AlternateContent>
          <mc:Choice Requires="wps">
            <w:drawing>
              <wp:anchor distL="0" distR="0" distT="0" distB="0" simplePos="0" behindDoc="1" relativeHeight="107" locked="0" layoutInCell="1" allowOverlap="1">
                <wp:simplePos x="0" y="0"/>
                <wp:positionH relativeFrom="page">
                  <wp:posOffset>938530</wp:posOffset>
                </wp:positionH>
                <wp:positionV relativeFrom="page">
                  <wp:posOffset>819150</wp:posOffset>
                </wp:positionV>
                <wp:extent cx="5076190" cy="0"/>
                <wp:wrapNone/>
                <wp:docPr id="1136" name="113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48672;width:399.70pt;" id="113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本科学处将一如既往地支持本领域面向“基础、前</w:t>
      </w:r>
      <w:r>
        <w:rPr>
          <w:rFonts w:ascii="宋体" w:hAnsi="宋体" w:cs="宋体" w:eastAsia="宋体" w:hint="ascii"/>
          <w:sz w:val="21"/>
          <w:spacing w:val="4"/>
        </w:rPr>
        <w:t>沿、探索、创新”的研究。</w:t>
      </w:r>
      <w:r>
        <w:rPr>
          <w:rFonts w:ascii="宋体" w:hAnsi="宋体" w:cs="宋体" w:eastAsia="宋体" w:hint="ascii"/>
          <w:sz w:val="21"/>
        </w:rPr>
        <w:t>鼓</w:t>
      </w:r>
    </w:p>
    <w:p>
      <w:pPr>
        <w:autoSpaceDE w:val="0"/>
        <w:autoSpaceDN w:val="0"/>
        <w:jc w:val="both"/>
        <w:spacing w:before="13" w:after="0" w:lineRule="exact" w:line="319"/>
        <w:ind w:right="981" w:left="0" w:firstLine="0"/>
        <w:snapToGrid w:val="0"/>
        <w:textAlignment w:val="auto"/>
        <w:tabs/>
        <w:rPr>
          <w:rFonts w:ascii="宋体" w:hAnsi="宋体" w:cs="宋体" w:eastAsia="宋体" w:hint="ascii"/>
          <w:sz w:val="21"/>
        </w:rPr>
      </w:pPr>
      <w:r>
        <w:rPr>
          <w:rFonts w:ascii="宋体" w:hAnsi="宋体" w:cs="宋体" w:eastAsia="宋体" w:hint="ascii"/>
          <w:sz w:val="21"/>
          <w:spacing w:val="1"/>
        </w:rPr>
        <w:t>励在某一领域开</w:t>
      </w:r>
      <w:r>
        <w:rPr>
          <w:rFonts w:ascii="宋体" w:hAnsi="宋体" w:cs="宋体" w:eastAsia="宋体" w:hint="ascii"/>
          <w:sz w:val="21"/>
        </w:rPr>
        <w:t>展深入的持续性研究；鼓励原理性突破和颠覆性创新的高风险探索</w:t>
      </w:r>
      <w:r>
        <w:rPr>
          <w:rFonts w:ascii="宋体" w:hAnsi="宋体" w:cs="宋体" w:eastAsia="宋体" w:hint="ascii"/>
          <w:sz w:val="21"/>
          <w:spacing w:val="-6"/>
        </w:rPr>
        <w:t>性</w:t>
      </w:r>
      <w:r>
        <w:rPr>
          <w:rFonts w:ascii="宋体" w:hAnsi="宋体" w:cs="宋体" w:eastAsia="宋体" w:hint="ascii"/>
          <w:sz w:val="21"/>
          <w:spacing w:val="1"/>
        </w:rPr>
        <w:t>研究。优先</w:t>
      </w:r>
      <w:r>
        <w:rPr>
          <w:rFonts w:ascii="宋体" w:hAnsi="宋体" w:cs="宋体" w:eastAsia="宋体" w:hint="ascii"/>
          <w:sz w:val="21"/>
        </w:rPr>
        <w:t>支持前期已取得创新性成果并有望取得重大突破的工作；优先支持与自</w:t>
      </w:r>
      <w:r>
        <w:rPr>
          <w:rFonts w:ascii="宋体" w:hAnsi="宋体" w:cs="宋体" w:eastAsia="宋体" w:hint="ascii"/>
          <w:sz w:val="21"/>
          <w:spacing w:val="-6"/>
        </w:rPr>
        <w:t>然</w:t>
      </w:r>
      <w:r>
        <w:rPr>
          <w:rFonts w:ascii="宋体" w:hAnsi="宋体" w:cs="宋体" w:eastAsia="宋体" w:hint="ascii"/>
          <w:sz w:val="21"/>
          <w:spacing w:val="4"/>
        </w:rPr>
        <w:t>科学和其他</w:t>
      </w:r>
      <w:r>
        <w:rPr>
          <w:rFonts w:ascii="宋体" w:hAnsi="宋体" w:cs="宋体" w:eastAsia="宋体" w:hint="ascii"/>
          <w:sz w:val="21"/>
          <w:spacing w:val="3"/>
        </w:rPr>
        <w:t>工程科学深度交叉融合、有望开辟学科新方向的基础研究，特别是与</w:t>
      </w:r>
      <w:r>
        <w:rPr>
          <w:rFonts w:ascii="宋体" w:hAnsi="宋体" w:cs="宋体" w:eastAsia="宋体" w:hint="ascii"/>
          <w:sz w:val="21"/>
          <w:spacing w:val="-6"/>
        </w:rPr>
        <w:t>电</w:t>
      </w:r>
      <w:r>
        <w:rPr>
          <w:rFonts w:ascii="宋体" w:hAnsi="宋体" w:cs="宋体" w:eastAsia="宋体" w:hint="ascii"/>
          <w:sz w:val="21"/>
          <w:spacing w:val="4"/>
        </w:rPr>
        <w:t>子、信息、生物</w:t>
      </w:r>
      <w:r>
        <w:rPr>
          <w:rFonts w:ascii="宋体" w:hAnsi="宋体" w:cs="宋体" w:eastAsia="宋体" w:hint="ascii"/>
          <w:sz w:val="21"/>
          <w:spacing w:val="3"/>
        </w:rPr>
        <w:t>、材料和医学领域交叉且以解决机械领域科学问题为主体的基础</w:t>
      </w:r>
      <w:r>
        <w:rPr>
          <w:rFonts w:ascii="宋体" w:hAnsi="宋体" w:cs="宋体" w:eastAsia="宋体" w:hint="ascii"/>
          <w:sz w:val="21"/>
          <w:spacing w:val="-6"/>
        </w:rPr>
        <w:t>研</w:t>
      </w:r>
      <w:r>
        <w:rPr>
          <w:rFonts w:ascii="宋体" w:hAnsi="宋体" w:cs="宋体" w:eastAsia="宋体" w:hint="ascii"/>
          <w:sz w:val="21"/>
        </w:rPr>
        <w:t>究。</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年度，拟通过面上项目群的方式，在“机械装备服役性能保持的基础理论与方法”和“大数据驱动的智能制造”两个领域，给予较高强度的资金资助。</w:t>
      </w:r>
    </w:p>
    <w:p>
      <w:pPr>
        <w:autoSpaceDE w:val="0"/>
        <w:autoSpaceDN w:val="0"/>
        <w:jc w:val="left"/>
        <w:spacing w:before="5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建议在研项目负责人潜心研究承担的项目，不要急于提出新的申请；鼓励青年科技</w:t>
      </w:r>
    </w:p>
    <w:p>
      <w:pPr>
        <w:autoSpaceDE w:val="0"/>
        <w:autoSpaceDN w:val="0"/>
        <w:jc w:val="both"/>
        <w:spacing w:before="10" w:after="0" w:lineRule="exact" w:line="320"/>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人员结合自身</w:t>
      </w:r>
      <w:r>
        <w:rPr>
          <w:rFonts w:ascii="宋体" w:hAnsi="宋体" w:cs="宋体" w:eastAsia="宋体" w:hint="ascii"/>
          <w:sz w:val="21"/>
        </w:rPr>
        <w:t>的业务专长与行业背景进行科研选题，不参加与本人研究方向无关的项目申请。</w:t>
      </w:r>
    </w:p>
    <w:p>
      <w:pPr>
        <w:autoSpaceDE w:val="0"/>
        <w:autoSpaceDN w:val="0"/>
        <w:jc w:val="left"/>
        <w:spacing w:before="271" w:after="0" w:lineRule="exact" w:line="363"/>
        <w:ind w:right="0" w:left="3120" w:firstLine="0"/>
        <w:snapToGrid w:val="0"/>
        <w:textAlignment w:val="auto"/>
        <w:tabs/>
        <w:rPr>
          <w:rFonts w:ascii="宋体" w:hAnsi="宋体" w:cs="宋体" w:eastAsia="宋体" w:hint="ascii"/>
          <w:sz w:val="29"/>
        </w:rPr>
      </w:pPr>
      <w:r>
        <w:rPr>
          <w:rFonts w:ascii="宋体" w:hAnsi="宋体" w:cs="宋体" w:eastAsia="宋体" w:hint="ascii"/>
          <w:sz w:val="29"/>
        </w:rPr>
        <w:t>工程科学三处</w:t>
      </w:r>
    </w:p>
    <w:p>
      <w:pPr>
        <w:autoSpaceDE w:val="0"/>
        <w:autoSpaceDN w:val="0"/>
        <w:jc w:val="left"/>
        <w:spacing w:before="346"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本科学处资助工程热物理与能源利用领域的基础研究。</w:t>
      </w:r>
    </w:p>
    <w:p>
      <w:pPr>
        <w:autoSpaceDE w:val="0"/>
        <w:autoSpaceDN w:val="0"/>
        <w:jc w:val="left"/>
        <w:spacing w:before="6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工程热物理与能源利用学科研究能源在转化、传递和利用过程中的基本规律及其应</w:t>
      </w:r>
    </w:p>
    <w:p>
      <w:pPr>
        <w:autoSpaceDE w:val="0"/>
        <w:autoSpaceDN w:val="0"/>
        <w:jc w:val="both"/>
        <w:spacing w:before="12" w:after="0" w:lineRule="exact" w:line="324"/>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用技术理论</w:t>
      </w:r>
      <w:r>
        <w:rPr>
          <w:rFonts w:ascii="宋体" w:hAnsi="宋体" w:cs="宋体" w:eastAsia="宋体" w:hint="ascii"/>
          <w:sz w:val="21"/>
        </w:rPr>
        <w:t>基础。传统研究主要针对常规能源以热和功的形式转换及利用的基本规律，</w:t>
      </w:r>
      <w:r>
        <w:rPr>
          <w:rFonts w:ascii="宋体" w:hAnsi="宋体" w:cs="宋体" w:eastAsia="宋体" w:hint="ascii"/>
          <w:sz w:val="21"/>
          <w:spacing w:val="-1"/>
        </w:rPr>
        <w:t>目前已经扩</w:t>
      </w:r>
      <w:r>
        <w:rPr>
          <w:rFonts w:ascii="宋体" w:hAnsi="宋体" w:cs="宋体" w:eastAsia="宋体" w:hint="ascii"/>
          <w:sz w:val="21"/>
        </w:rPr>
        <w:t>展到利用工程热物理基本原理对包括可再生能源和替代能源在内的多种能源</w:t>
      </w:r>
      <w:r>
        <w:rPr>
          <w:rFonts w:ascii="宋体" w:hAnsi="宋体" w:cs="宋体" w:eastAsia="宋体" w:hint="ascii"/>
          <w:sz w:val="21"/>
          <w:spacing w:val="-1"/>
        </w:rPr>
        <w:t>转化、存储</w:t>
      </w:r>
      <w:r>
        <w:rPr>
          <w:rFonts w:ascii="宋体" w:hAnsi="宋体" w:cs="宋体" w:eastAsia="宋体" w:hint="ascii"/>
          <w:sz w:val="21"/>
        </w:rPr>
        <w:t>和利用的研究。内容包括：工程热力学、制冷与低温工程学及热力系统动态</w:t>
      </w:r>
      <w:r>
        <w:rPr>
          <w:rFonts w:ascii="宋体" w:hAnsi="宋体" w:cs="宋体" w:eastAsia="宋体" w:hint="ascii"/>
          <w:sz w:val="21"/>
          <w:spacing w:val="-1"/>
        </w:rPr>
        <w:t>学、内流流</w:t>
      </w:r>
      <w:r>
        <w:rPr>
          <w:rFonts w:ascii="宋体" w:hAnsi="宋体" w:cs="宋体" w:eastAsia="宋体" w:hint="ascii"/>
          <w:sz w:val="21"/>
        </w:rPr>
        <w:t>体力学、传热传质学、多相流热物理学、燃烧学、热物性与热物理测试技术</w:t>
      </w:r>
      <w:r>
        <w:rPr>
          <w:rFonts w:ascii="宋体" w:hAnsi="宋体" w:cs="宋体" w:eastAsia="宋体" w:hint="ascii"/>
          <w:sz w:val="21"/>
          <w:spacing w:val="-1"/>
        </w:rPr>
        <w:t>基础、可再</w:t>
      </w:r>
      <w:r>
        <w:rPr>
          <w:rFonts w:ascii="宋体" w:hAnsi="宋体" w:cs="宋体" w:eastAsia="宋体" w:hint="ascii"/>
          <w:sz w:val="21"/>
        </w:rPr>
        <w:t>生能源或替代能源利用中的热科学问题，以及与工程热物理与能源利用领域相关问题的基础性与创新性研究。</w:t>
      </w:r>
    </w:p>
    <w:p>
      <w:pPr>
        <w:autoSpaceDE w:val="0"/>
        <w:autoSpaceDN w:val="0"/>
        <w:jc w:val="left"/>
        <w:spacing w:before="48" w:after="0" w:lineRule="auto" w:line="240"/>
        <w:ind w:right="0" w:left="894" w:hanging="237"/>
        <w:snapToGrid w:val="0"/>
        <w:textAlignment w:val="auto"/>
        <w:tabs>
          <w:tab w:val="left" w:leader="none" w:pos="894"/>
        </w:tabs>
        <w:numPr>
          <w:ilvl w:val="0"/>
          <w:numId w:val="82"/>
        </w:numPr>
        <w:rPr>
          <w:rFonts w:ascii="Times New Roman" w:hAnsi="Times New Roman" w:cs="Times New Roman" w:eastAsia="Times New Roman" w:hint="ascii"/>
          <w:sz w:val="21"/>
          <w:spacing w:val="1"/>
        </w:rPr>
      </w:pPr>
      <w:r>
        <w:rPr>
          <w:rFonts w:ascii="宋体" w:hAnsi="宋体" w:cs="宋体" w:eastAsia="宋体" w:hint="ascii"/>
          <w:sz w:val="21"/>
        </w:rPr>
        <w:t>年度本科学处接受面上项</w:t>
      </w:r>
      <w:r>
        <w:rPr>
          <w:rFonts w:ascii="宋体" w:hAnsi="宋体" w:cs="宋体" w:eastAsia="宋体" w:hint="ascii"/>
          <w:sz w:val="21"/>
          <w:spacing w:val="27"/>
        </w:rPr>
        <w:t>目</w:t>
      </w:r>
      <w:r>
        <w:rPr>
          <w:rFonts w:ascii="Times New Roman" w:hAnsi="Times New Roman" w:cs="Times New Roman" w:eastAsia="Times New Roman" w:hint="ascii"/>
          <w:sz w:val="21"/>
        </w:rPr>
        <w:t>1 05</w:t>
      </w:r>
      <w:r>
        <w:rPr>
          <w:rFonts w:ascii="Times New Roman" w:hAnsi="Times New Roman" w:cs="Times New Roman" w:eastAsia="Times New Roman" w:hint="ascii"/>
          <w:sz w:val="21"/>
          <w:spacing w:val="53"/>
        </w:rPr>
        <w:t>2</w:t>
      </w:r>
      <w:r>
        <w:rPr>
          <w:rFonts w:ascii="宋体" w:hAnsi="宋体" w:cs="宋体" w:eastAsia="宋体" w:hint="ascii"/>
          <w:sz w:val="21"/>
        </w:rPr>
        <w:t>项，增幅</w:t>
      </w:r>
      <w:r>
        <w:rPr>
          <w:rFonts w:ascii="宋体" w:hAnsi="宋体" w:cs="宋体" w:eastAsia="宋体" w:hint="ascii"/>
          <w:sz w:val="21"/>
          <w:spacing w:val="27"/>
        </w:rPr>
        <w:t>为</w:t>
      </w:r>
      <w:r>
        <w:rPr>
          <w:rFonts w:ascii="Times New Roman" w:hAnsi="Times New Roman" w:cs="Times New Roman" w:eastAsia="Times New Roman" w:hint="ascii"/>
          <w:sz w:val="21"/>
        </w:rPr>
        <w:t>4.89%</w:t>
      </w:r>
      <w:r>
        <w:rPr>
          <w:rFonts w:ascii="宋体" w:hAnsi="宋体" w:cs="宋体" w:eastAsia="宋体" w:hint="ascii"/>
          <w:sz w:val="21"/>
        </w:rPr>
        <w:t>。资</w:t>
      </w:r>
      <w:r>
        <w:rPr>
          <w:rFonts w:ascii="宋体" w:hAnsi="宋体" w:cs="宋体" w:eastAsia="宋体" w:hint="ascii"/>
          <w:sz w:val="21"/>
          <w:spacing w:val="27"/>
        </w:rPr>
        <w:t>助</w:t>
      </w:r>
      <w:r>
        <w:rPr>
          <w:rFonts w:ascii="Times New Roman" w:hAnsi="Times New Roman" w:cs="Times New Roman" w:eastAsia="Times New Roman" w:hint="ascii"/>
          <w:sz w:val="21"/>
        </w:rPr>
        <w:t>22</w:t>
      </w:r>
      <w:r>
        <w:rPr>
          <w:rFonts w:ascii="Times New Roman" w:hAnsi="Times New Roman" w:cs="Times New Roman" w:eastAsia="Times New Roman" w:hint="ascii"/>
          <w:sz w:val="21"/>
          <w:spacing w:val="53"/>
        </w:rPr>
        <w:t>8</w:t>
      </w:r>
      <w:r>
        <w:rPr>
          <w:rFonts w:ascii="宋体" w:hAnsi="宋体" w:cs="宋体" w:eastAsia="宋体" w:hint="ascii"/>
          <w:sz w:val="21"/>
        </w:rPr>
        <w:t>项，直接经费</w:t>
      </w:r>
    </w:p>
    <w:p>
      <w:pPr>
        <w:autoSpaceDE w:val="0"/>
        <w:autoSpaceDN w:val="0"/>
        <w:jc w:val="left"/>
        <w:spacing w:before="6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平均资助强度</w:t>
      </w:r>
      <w:r>
        <w:rPr>
          <w:rFonts w:ascii="宋体" w:hAnsi="宋体" w:cs="宋体" w:eastAsia="宋体" w:hint="ascii"/>
          <w:sz w:val="21"/>
          <w:spacing w:val="26"/>
        </w:rPr>
        <w:t>为</w:t>
      </w:r>
      <w:r>
        <w:rPr>
          <w:rFonts w:ascii="Times New Roman" w:hAnsi="Times New Roman" w:cs="Times New Roman" w:eastAsia="Times New Roman" w:hint="ascii"/>
          <w:sz w:val="21"/>
        </w:rPr>
        <w:t>60.0</w:t>
      </w:r>
      <w:r>
        <w:rPr>
          <w:rFonts w:ascii="Times New Roman" w:hAnsi="Times New Roman" w:cs="Times New Roman" w:eastAsia="Times New Roman" w:hint="ascii"/>
          <w:sz w:val="21"/>
          <w:spacing w:val="52"/>
        </w:rPr>
        <w:t>0</w:t>
      </w:r>
      <w:r>
        <w:rPr>
          <w:rFonts w:ascii="宋体" w:hAnsi="宋体" w:cs="宋体" w:eastAsia="宋体" w:hint="ascii"/>
          <w:sz w:val="21"/>
        </w:rPr>
        <w:t>万</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21.67%</w:t>
      </w:r>
      <w:r>
        <w:rPr>
          <w:rFonts w:ascii="宋体" w:hAnsi="宋体" w:cs="宋体" w:eastAsia="宋体" w:hint="ascii"/>
          <w:sz w:val="21"/>
        </w:rPr>
        <w:t>。</w:t>
      </w:r>
    </w:p>
    <w:p>
      <w:pPr>
        <w:autoSpaceDE w:val="0"/>
        <w:autoSpaceDN w:val="0"/>
        <w:jc w:val="left"/>
        <w:spacing w:before="62"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目前学科的主要发展趋势是：①基本研究问题的不断深化，如尺度从宏观向介观、</w:t>
      </w:r>
    </w:p>
    <w:p>
      <w:pPr>
        <w:autoSpaceDE w:val="0"/>
        <w:autoSpaceDN w:val="0"/>
        <w:jc w:val="both"/>
        <w:spacing w:before="12" w:after="0" w:lineRule="exact" w:line="324"/>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微观扩展，</w:t>
      </w:r>
      <w:r>
        <w:rPr>
          <w:rFonts w:ascii="宋体" w:hAnsi="宋体" w:cs="宋体" w:eastAsia="宋体" w:hint="ascii"/>
          <w:sz w:val="21"/>
        </w:rPr>
        <w:t>参数由常规向超常或极端发展，以及对随机、非定常、多维、多相、复杂热</w:t>
      </w:r>
      <w:r>
        <w:rPr>
          <w:rFonts w:ascii="宋体" w:hAnsi="宋体" w:cs="宋体" w:eastAsia="宋体" w:hint="ascii"/>
          <w:sz w:val="21"/>
          <w:spacing w:val="-1"/>
        </w:rPr>
        <w:t>物理问题的</w:t>
      </w:r>
      <w:r>
        <w:rPr>
          <w:rFonts w:ascii="宋体" w:hAnsi="宋体" w:cs="宋体" w:eastAsia="宋体" w:hint="ascii"/>
          <w:sz w:val="21"/>
        </w:rPr>
        <w:t>探索研究，而且研究越来越定量化、精确化；②拓展本科学处的传统研究领</w:t>
      </w:r>
      <w:r>
        <w:rPr>
          <w:rFonts w:ascii="宋体" w:hAnsi="宋体" w:cs="宋体" w:eastAsia="宋体" w:hint="ascii"/>
          <w:sz w:val="21"/>
          <w:spacing w:val="1"/>
        </w:rPr>
        <w:t>域，研究与相邻</w:t>
      </w:r>
      <w:r>
        <w:rPr>
          <w:rFonts w:ascii="宋体" w:hAnsi="宋体" w:cs="宋体" w:eastAsia="宋体" w:hint="ascii"/>
          <w:sz w:val="21"/>
        </w:rPr>
        <w:t>学科形成交叉的项目（如与物理、化学化工、生命、信息、材料、</w:t>
      </w:r>
      <w:r>
        <w:rPr>
          <w:rFonts w:ascii="宋体" w:hAnsi="宋体" w:cs="宋体" w:eastAsia="宋体" w:hint="ascii"/>
          <w:sz w:val="21"/>
          <w:spacing w:val="-6"/>
        </w:rPr>
        <w:t>资</w:t>
      </w:r>
      <w:r>
        <w:rPr>
          <w:rFonts w:ascii="宋体" w:hAnsi="宋体" w:cs="宋体" w:eastAsia="宋体" w:hint="ascii"/>
          <w:sz w:val="21"/>
          <w:spacing w:val="3"/>
        </w:rPr>
        <w:t>源</w:t>
      </w:r>
      <w:r>
        <w:rPr>
          <w:rFonts w:ascii="宋体" w:hAnsi="宋体" w:cs="宋体" w:eastAsia="宋体" w:hint="ascii"/>
          <w:sz w:val="21"/>
          <w:spacing w:val="2"/>
        </w:rPr>
        <w:t>、环境、</w:t>
      </w:r>
      <w:r>
        <w:rPr>
          <w:rFonts w:ascii="宋体" w:hAnsi="宋体" w:cs="宋体" w:eastAsia="宋体" w:hint="ascii"/>
          <w:sz w:val="21"/>
          <w:spacing w:val="3"/>
        </w:rPr>
        <w:t>安</w:t>
      </w:r>
      <w:r>
        <w:rPr>
          <w:rFonts w:ascii="宋体" w:hAnsi="宋体" w:cs="宋体" w:eastAsia="宋体" w:hint="ascii"/>
          <w:sz w:val="21"/>
          <w:spacing w:val="2"/>
        </w:rPr>
        <w:t>全等领域</w:t>
      </w:r>
      <w:r>
        <w:rPr>
          <w:rFonts w:ascii="宋体" w:hAnsi="宋体" w:cs="宋体" w:eastAsia="宋体" w:hint="ascii"/>
          <w:sz w:val="21"/>
          <w:spacing w:val="3"/>
        </w:rPr>
        <w:t>的</w:t>
      </w:r>
      <w:r>
        <w:rPr>
          <w:rFonts w:ascii="宋体" w:hAnsi="宋体" w:cs="宋体" w:eastAsia="宋体" w:hint="ascii"/>
          <w:sz w:val="21"/>
          <w:spacing w:val="2"/>
        </w:rPr>
        <w:t>交叉研究</w:t>
      </w:r>
      <w:r>
        <w:rPr>
          <w:rFonts w:ascii="宋体" w:hAnsi="宋体" w:cs="宋体" w:eastAsia="宋体" w:hint="ascii"/>
          <w:sz w:val="21"/>
          <w:spacing w:val="-51"/>
        </w:rPr>
        <w:t>）</w:t>
      </w:r>
      <w:r>
        <w:rPr>
          <w:rFonts w:ascii="宋体" w:hAnsi="宋体" w:cs="宋体" w:eastAsia="宋体" w:hint="ascii"/>
          <w:sz w:val="21"/>
          <w:spacing w:val="2"/>
        </w:rPr>
        <w:t>。</w:t>
      </w:r>
      <w:r>
        <w:rPr>
          <w:rFonts w:ascii="宋体" w:hAnsi="宋体" w:cs="宋体" w:eastAsia="宋体" w:hint="ascii"/>
          <w:sz w:val="21"/>
          <w:spacing w:val="1"/>
        </w:rPr>
        <w:t>当前的研</w:t>
      </w:r>
      <w:r>
        <w:rPr>
          <w:rFonts w:ascii="宋体" w:hAnsi="宋体" w:cs="宋体" w:eastAsia="宋体" w:hint="ascii"/>
          <w:sz w:val="21"/>
          <w:spacing w:val="2"/>
        </w:rPr>
        <w:t>究</w:t>
      </w:r>
      <w:r>
        <w:rPr>
          <w:rFonts w:ascii="宋体" w:hAnsi="宋体" w:cs="宋体" w:eastAsia="宋体" w:hint="ascii"/>
          <w:sz w:val="21"/>
          <w:spacing w:val="1"/>
        </w:rPr>
        <w:t>热点有：</w:t>
      </w:r>
      <w:r>
        <w:rPr>
          <w:rFonts w:ascii="宋体" w:hAnsi="宋体" w:cs="宋体" w:eastAsia="宋体" w:hint="ascii"/>
          <w:sz w:val="21"/>
          <w:spacing w:val="2"/>
        </w:rPr>
        <w:t>新</w:t>
      </w:r>
      <w:r>
        <w:rPr>
          <w:rFonts w:ascii="宋体" w:hAnsi="宋体" w:cs="宋体" w:eastAsia="宋体" w:hint="ascii"/>
          <w:sz w:val="21"/>
          <w:spacing w:val="1"/>
        </w:rPr>
        <w:t>型热力循</w:t>
      </w:r>
      <w:r>
        <w:rPr>
          <w:rFonts w:ascii="宋体" w:hAnsi="宋体" w:cs="宋体" w:eastAsia="宋体" w:hint="ascii"/>
          <w:sz w:val="21"/>
          <w:spacing w:val="2"/>
        </w:rPr>
        <w:t>环</w:t>
      </w:r>
      <w:r>
        <w:rPr>
          <w:rFonts w:ascii="宋体" w:hAnsi="宋体" w:cs="宋体" w:eastAsia="宋体" w:hint="ascii"/>
          <w:sz w:val="21"/>
          <w:spacing w:val="1"/>
        </w:rPr>
        <w:t>机理</w:t>
      </w:r>
      <w:r>
        <w:rPr>
          <w:rFonts w:ascii="宋体" w:hAnsi="宋体" w:cs="宋体" w:eastAsia="宋体" w:hint="ascii"/>
          <w:sz w:val="21"/>
          <w:spacing w:val="2"/>
        </w:rPr>
        <w:t>和非</w:t>
      </w:r>
      <w:r>
        <w:rPr>
          <w:rFonts w:ascii="宋体" w:hAnsi="宋体" w:cs="宋体" w:eastAsia="宋体" w:hint="ascii"/>
          <w:sz w:val="21"/>
          <w:spacing w:val="-6"/>
        </w:rPr>
        <w:t>平</w:t>
      </w:r>
      <w:r>
        <w:rPr>
          <w:rFonts w:ascii="宋体" w:hAnsi="宋体" w:cs="宋体" w:eastAsia="宋体" w:hint="ascii"/>
          <w:sz w:val="21"/>
          <w:spacing w:val="1"/>
        </w:rPr>
        <w:t>衡热动力学；制</w:t>
      </w:r>
      <w:r>
        <w:rPr>
          <w:rFonts w:ascii="宋体" w:hAnsi="宋体" w:cs="宋体" w:eastAsia="宋体" w:hint="ascii"/>
          <w:sz w:val="21"/>
        </w:rPr>
        <w:t>冷与低温工程学；复杂系统的热动力学及其优化与控制；内流湍流</w:t>
      </w:r>
      <w:r>
        <w:rPr>
          <w:rFonts w:ascii="宋体" w:hAnsi="宋体" w:cs="宋体" w:eastAsia="宋体" w:hint="ascii"/>
          <w:sz w:val="21"/>
          <w:spacing w:val="-6"/>
        </w:rPr>
        <w:t>特</w:t>
      </w:r>
      <w:r>
        <w:rPr>
          <w:rFonts w:ascii="宋体" w:hAnsi="宋体" w:cs="宋体" w:eastAsia="宋体" w:hint="ascii"/>
          <w:sz w:val="21"/>
          <w:spacing w:val="4"/>
        </w:rPr>
        <w:t>性和非定常流特性</w:t>
      </w:r>
      <w:r>
        <w:rPr>
          <w:rFonts w:ascii="宋体" w:hAnsi="宋体" w:cs="宋体" w:eastAsia="宋体" w:hint="ascii"/>
          <w:sz w:val="21"/>
          <w:spacing w:val="3"/>
        </w:rPr>
        <w:t>与流动控制；微纳尺度及微细结构内的传热传质，辐射与相变</w:t>
      </w:r>
      <w:r>
        <w:rPr>
          <w:rFonts w:ascii="宋体" w:hAnsi="宋体" w:cs="宋体" w:eastAsia="宋体" w:hint="ascii"/>
          <w:sz w:val="21"/>
          <w:spacing w:val="-6"/>
        </w:rPr>
        <w:t>换</w:t>
      </w:r>
      <w:r>
        <w:rPr>
          <w:rFonts w:ascii="宋体" w:hAnsi="宋体" w:cs="宋体" w:eastAsia="宋体" w:hint="ascii"/>
          <w:sz w:val="21"/>
          <w:spacing w:val="1"/>
        </w:rPr>
        <w:t>热；清洁、高效</w:t>
      </w:r>
      <w:r>
        <w:rPr>
          <w:rFonts w:ascii="宋体" w:hAnsi="宋体" w:cs="宋体" w:eastAsia="宋体" w:hint="ascii"/>
          <w:sz w:val="21"/>
        </w:rPr>
        <w:t>、超声速、微尺度、微重力燃烧；燃烧及燃烧污染物的生成与控制</w:t>
      </w:r>
      <w:r>
        <w:rPr>
          <w:rFonts w:ascii="宋体" w:hAnsi="宋体" w:cs="宋体" w:eastAsia="宋体" w:hint="ascii"/>
          <w:sz w:val="21"/>
          <w:spacing w:val="-6"/>
        </w:rPr>
        <w:t>，</w:t>
      </w:r>
      <w:r>
        <w:rPr>
          <w:rFonts w:ascii="宋体" w:hAnsi="宋体" w:cs="宋体" w:eastAsia="宋体" w:hint="ascii"/>
          <w:sz w:val="21"/>
          <w:spacing w:val="3"/>
        </w:rPr>
        <w:t>公共安全</w:t>
      </w:r>
      <w:r>
        <w:rPr>
          <w:rFonts w:ascii="宋体" w:hAnsi="宋体" w:cs="宋体" w:eastAsia="宋体" w:hint="ascii"/>
          <w:sz w:val="21"/>
        </w:rPr>
        <w:t>防</w:t>
      </w:r>
      <w:r>
        <w:rPr>
          <w:rFonts w:ascii="宋体" w:hAnsi="宋体" w:cs="宋体" w:eastAsia="宋体" w:hint="ascii"/>
          <w:sz w:val="21"/>
          <w:spacing w:val="3"/>
        </w:rPr>
        <w:t>治中的热</w:t>
      </w:r>
      <w:r>
        <w:rPr>
          <w:rFonts w:ascii="宋体" w:hAnsi="宋体" w:cs="宋体" w:eastAsia="宋体" w:hint="ascii"/>
          <w:sz w:val="21"/>
        </w:rPr>
        <w:t>物</w:t>
      </w:r>
      <w:r>
        <w:rPr>
          <w:rFonts w:ascii="宋体" w:hAnsi="宋体" w:cs="宋体" w:eastAsia="宋体" w:hint="ascii"/>
          <w:sz w:val="21"/>
          <w:spacing w:val="3"/>
        </w:rPr>
        <w:t>理问题；</w:t>
      </w:r>
      <w:r>
        <w:rPr>
          <w:rFonts w:ascii="宋体" w:hAnsi="宋体" w:cs="宋体" w:eastAsia="宋体" w:hint="ascii"/>
          <w:sz w:val="21"/>
        </w:rPr>
        <w:t>多</w:t>
      </w:r>
      <w:r>
        <w:rPr>
          <w:rFonts w:ascii="宋体" w:hAnsi="宋体" w:cs="宋体" w:eastAsia="宋体" w:hint="ascii"/>
          <w:sz w:val="21"/>
          <w:spacing w:val="3"/>
        </w:rPr>
        <w:t>相流动相</w:t>
      </w:r>
      <w:r>
        <w:rPr>
          <w:rFonts w:ascii="宋体" w:hAnsi="宋体" w:cs="宋体" w:eastAsia="宋体" w:hint="ascii"/>
          <w:sz w:val="21"/>
        </w:rPr>
        <w:t>间</w:t>
      </w:r>
      <w:r>
        <w:rPr>
          <w:rFonts w:ascii="宋体" w:hAnsi="宋体" w:cs="宋体" w:eastAsia="宋体" w:hint="ascii"/>
          <w:sz w:val="21"/>
          <w:spacing w:val="3"/>
        </w:rPr>
        <w:t>作用机理</w:t>
      </w:r>
      <w:r>
        <w:rPr>
          <w:rFonts w:ascii="宋体" w:hAnsi="宋体" w:cs="宋体" w:eastAsia="宋体" w:hint="ascii"/>
          <w:sz w:val="21"/>
        </w:rPr>
        <w:t>和</w:t>
      </w:r>
      <w:r>
        <w:rPr>
          <w:rFonts w:ascii="宋体" w:hAnsi="宋体" w:cs="宋体" w:eastAsia="宋体" w:hint="ascii"/>
          <w:sz w:val="21"/>
          <w:spacing w:val="3"/>
        </w:rPr>
        <w:t>热物理模</w:t>
      </w:r>
      <w:r>
        <w:rPr>
          <w:rFonts w:ascii="宋体" w:hAnsi="宋体" w:cs="宋体" w:eastAsia="宋体" w:hint="ascii"/>
          <w:sz w:val="21"/>
        </w:rPr>
        <w:t>型</w:t>
      </w:r>
      <w:r>
        <w:rPr>
          <w:rFonts w:ascii="宋体" w:hAnsi="宋体" w:cs="宋体" w:eastAsia="宋体" w:hint="ascii"/>
          <w:sz w:val="21"/>
          <w:spacing w:val="3"/>
        </w:rPr>
        <w:t>；热物理</w:t>
      </w:r>
      <w:r>
        <w:rPr>
          <w:rFonts w:ascii="宋体" w:hAnsi="宋体" w:cs="宋体" w:eastAsia="宋体" w:hint="ascii"/>
          <w:sz w:val="21"/>
        </w:rPr>
        <w:t>测</w:t>
      </w:r>
      <w:r>
        <w:rPr>
          <w:rFonts w:ascii="宋体" w:hAnsi="宋体" w:cs="宋体" w:eastAsia="宋体" w:hint="ascii"/>
          <w:sz w:val="21"/>
          <w:spacing w:val="3"/>
        </w:rPr>
        <w:t>量</w:t>
      </w:r>
      <w:r>
        <w:rPr>
          <w:rFonts w:ascii="宋体" w:hAnsi="宋体" w:cs="宋体" w:eastAsia="宋体" w:hint="ascii"/>
          <w:sz w:val="21"/>
        </w:rPr>
        <w:t>中</w:t>
      </w:r>
    </w:p>
    <w:p>
      <w:pPr>
        <w:autoSpaceDE w:val="0"/>
        <w:autoSpaceDN w:val="0"/>
        <w:jc w:val="left"/>
        <w:spacing w:before="564" w:after="0" w:lineRule="exact" w:line="225"/>
        <w:ind w:right="0" w:left="745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3" w:after="0" w:lineRule="exact" w:line="324"/>
        <w:ind w:right="976" w:left="966" w:firstLine="0"/>
        <w:snapToGrid w:val="0"/>
        <w:textAlignment w:val="auto"/>
        <w:tabs/>
        <w:rPr>
          <w:rFonts w:ascii="宋体" w:hAnsi="宋体" w:cs="宋体" w:eastAsia="宋体" w:hint="ascii"/>
          <w:sz w:val="21"/>
        </w:rPr>
      </w:pPr>
      <w:r>
        <w:rPr>
          <w:rFonts w:ascii="宋体" w:hAnsi="宋体" w:cs="宋体" w:eastAsia="宋体" w:hint="ascii"/>
          <w:sz w:val="21"/>
        </w:rPr>
        <w:t>的新概念、新方法；节能与可再生能源利用、能源与环境中的热科学问题。</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9"/>
        </w:rPr>
        <w:t>8</w:t>
      </w:r>
      <w:r>
        <w:rPr>
          <w:rFonts w:ascii="宋体" w:hAnsi="宋体" w:cs="宋体" w:eastAsia="宋体" w:hint="ascii"/>
          <w:sz w:val="21"/>
        </w:rPr>
        <w:t>年优</w:t>
      </w:r>
      <w:r>
        <w:rPr>
          <w:rFonts w:ascii="宋体" w:hAnsi="宋体" w:cs="宋体" w:eastAsia="宋体" w:hint="ascii"/>
          <w:sz w:val="21"/>
          <w:spacing w:val="1"/>
        </w:rPr>
        <w:t>先资助领域包括：①面</w:t>
      </w:r>
      <w:r>
        <w:rPr>
          <w:rFonts w:ascii="宋体" w:hAnsi="宋体" w:cs="宋体" w:eastAsia="宋体" w:hint="ascii"/>
          <w:sz w:val="21"/>
        </w:rPr>
        <w:t>向可再生能源利用的基础问题；②极端条件下的能源转化和</w:t>
      </w:r>
      <w:r>
        <w:rPr>
          <w:rFonts w:ascii="宋体" w:hAnsi="宋体" w:cs="宋体" w:eastAsia="宋体" w:hint="ascii"/>
          <w:sz w:val="21"/>
          <w:spacing w:val="-6"/>
        </w:rPr>
        <w:t>利</w:t>
      </w:r>
      <w:r>
        <w:rPr>
          <w:rFonts w:ascii="宋体" w:hAnsi="宋体" w:cs="宋体" w:eastAsia="宋体" w:hint="ascii"/>
          <w:sz w:val="21"/>
        </w:rPr>
        <w:t>用基础问题。</w:t>
      </w:r>
      <w:r>
        <w:rPr>
          <w:rFonts w:ascii="宋体" w:hAnsi="宋体" w:cs="宋体" w:eastAsia="宋体" w:hint="ascii"/>
          <w:sz w:val="21"/>
        </w:rPr>
        <mc:AlternateContent>
          <mc:Choice Requires="wps">
            <w:drawing>
              <wp:anchor distL="0" distR="0" distT="0" distB="0" simplePos="0" behindDoc="1" relativeHeight="108" locked="0" layoutInCell="1" allowOverlap="1">
                <wp:simplePos x="0" y="0"/>
                <wp:positionH relativeFrom="page">
                  <wp:posOffset>938530</wp:posOffset>
                </wp:positionH>
                <wp:positionV relativeFrom="page">
                  <wp:posOffset>805815</wp:posOffset>
                </wp:positionV>
                <wp:extent cx="5076190" cy="0"/>
                <wp:wrapNone/>
                <wp:docPr id="1137" name="113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47648;width:399.70pt;" id="113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本科学处优先资助具有重要理论意义和学术价值，把握国际科学发展前沿，具有前</w:t>
      </w:r>
    </w:p>
    <w:p>
      <w:pPr>
        <w:autoSpaceDE w:val="0"/>
        <w:autoSpaceDN w:val="0"/>
        <w:jc w:val="both"/>
        <w:spacing w:before="13" w:after="0" w:lineRule="exact" w:line="319"/>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瞻性、探</w:t>
      </w:r>
      <w:r>
        <w:rPr>
          <w:rFonts w:ascii="宋体" w:hAnsi="宋体" w:cs="宋体" w:eastAsia="宋体" w:hint="ascii"/>
          <w:sz w:val="21"/>
        </w:rPr>
        <w:t>索性，有可能形成新的学科生长点，能够促进学科发展，以及对国民经济和社</w:t>
      </w:r>
      <w:r>
        <w:rPr>
          <w:rFonts w:ascii="宋体" w:hAnsi="宋体" w:cs="宋体" w:eastAsia="宋体" w:hint="ascii"/>
          <w:sz w:val="21"/>
          <w:spacing w:val="-1"/>
        </w:rPr>
        <w:t>会发展有</w:t>
      </w:r>
      <w:r>
        <w:rPr>
          <w:rFonts w:ascii="宋体" w:hAnsi="宋体" w:cs="宋体" w:eastAsia="宋体" w:hint="ascii"/>
          <w:sz w:val="21"/>
        </w:rPr>
        <w:t>重要意义的基础性研究。本科学处不支持纯技术性产品开发或一般意义的重复</w:t>
      </w:r>
      <w:r>
        <w:rPr>
          <w:rFonts w:ascii="宋体" w:hAnsi="宋体" w:cs="宋体" w:eastAsia="宋体" w:hint="ascii"/>
          <w:sz w:val="21"/>
          <w:spacing w:val="-1"/>
        </w:rPr>
        <w:t>研究。对</w:t>
      </w:r>
      <w:r>
        <w:rPr>
          <w:rFonts w:ascii="宋体" w:hAnsi="宋体" w:cs="宋体" w:eastAsia="宋体" w:hint="ascii"/>
          <w:sz w:val="21"/>
        </w:rPr>
        <w:t>实质性学科交叉项目、国际合作背景项目、基金项目完成绩效突出的申请人将</w:t>
      </w:r>
      <w:r>
        <w:rPr>
          <w:rFonts w:ascii="宋体" w:hAnsi="宋体" w:cs="宋体" w:eastAsia="宋体" w:hint="ascii"/>
          <w:sz w:val="21"/>
          <w:spacing w:val="-1"/>
        </w:rPr>
        <w:t>继续给予</w:t>
      </w:r>
      <w:r>
        <w:rPr>
          <w:rFonts w:ascii="宋体" w:hAnsi="宋体" w:cs="宋体" w:eastAsia="宋体" w:hint="ascii"/>
          <w:sz w:val="21"/>
        </w:rPr>
        <w:t>优先支持。由此期望能够产生原创性强、具有我国自主知识产权的研究成果，促进工程热物理和能源利用领域的基础研究的不断发展。</w:t>
      </w:r>
    </w:p>
    <w:p>
      <w:pPr>
        <w:autoSpaceDE w:val="0"/>
        <w:autoSpaceDN w:val="0"/>
        <w:jc w:val="left"/>
        <w:spacing w:before="274"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工程科学四处</w:t>
      </w:r>
    </w:p>
    <w:p>
      <w:pPr>
        <w:autoSpaceDE w:val="0"/>
        <w:autoSpaceDN w:val="0"/>
        <w:jc w:val="left"/>
        <w:spacing w:before="35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本科学处资助建筑学、环境工程学与土木工程学等领域的基础研究。</w:t>
      </w:r>
    </w:p>
    <w:p>
      <w:pPr>
        <w:autoSpaceDE w:val="0"/>
        <w:autoSpaceDN w:val="0"/>
        <w:jc w:val="left"/>
        <w:spacing w:before="6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建筑学研究领域的发展趋势是从人与资源环境相互关系的高度，研究区域、城市与</w:t>
      </w:r>
    </w:p>
    <w:p>
      <w:pPr>
        <w:autoSpaceDE w:val="0"/>
        <w:autoSpaceDN w:val="0"/>
        <w:jc w:val="both"/>
        <w:spacing w:before="13" w:after="0" w:lineRule="exact" w:line="328"/>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乡村、建</w:t>
      </w:r>
      <w:r>
        <w:rPr>
          <w:rFonts w:ascii="宋体" w:hAnsi="宋体" w:cs="宋体" w:eastAsia="宋体" w:hint="ascii"/>
          <w:sz w:val="21"/>
        </w:rPr>
        <w:t>筑的发展，研究基于可持续发展思想的建筑学基础理论、规划设计方法和建筑</w:t>
      </w:r>
      <w:r>
        <w:rPr>
          <w:rFonts w:ascii="宋体" w:hAnsi="宋体" w:cs="宋体" w:eastAsia="宋体" w:hint="ascii"/>
          <w:sz w:val="21"/>
          <w:spacing w:val="-1"/>
        </w:rPr>
        <w:t>技术的创</w:t>
      </w:r>
      <w:r>
        <w:rPr>
          <w:rFonts w:ascii="宋体" w:hAnsi="宋体" w:cs="宋体" w:eastAsia="宋体" w:hint="ascii"/>
          <w:sz w:val="21"/>
        </w:rPr>
        <w:t>新；环境工程学关注的重点是水和空气污染控制与质量改善、废水及城镇固体</w:t>
      </w:r>
      <w:r>
        <w:rPr>
          <w:rFonts w:ascii="宋体" w:hAnsi="宋体" w:cs="宋体" w:eastAsia="宋体" w:hint="ascii"/>
          <w:sz w:val="21"/>
          <w:spacing w:val="-1"/>
        </w:rPr>
        <w:t>废物的处</w:t>
      </w:r>
      <w:r>
        <w:rPr>
          <w:rFonts w:ascii="宋体" w:hAnsi="宋体" w:cs="宋体" w:eastAsia="宋体" w:hint="ascii"/>
          <w:sz w:val="21"/>
        </w:rPr>
        <w:t>理处置及其资源化和无害化处理的理论与方法；土木工程学的发展趋势在于面</w:t>
      </w:r>
      <w:r>
        <w:rPr>
          <w:rFonts w:ascii="宋体" w:hAnsi="宋体" w:cs="宋体" w:eastAsia="宋体" w:hint="ascii"/>
          <w:sz w:val="21"/>
          <w:spacing w:val="-1"/>
        </w:rPr>
        <w:t>向国家重</w:t>
      </w:r>
      <w:r>
        <w:rPr>
          <w:rFonts w:ascii="宋体" w:hAnsi="宋体" w:cs="宋体" w:eastAsia="宋体" w:hint="ascii"/>
          <w:sz w:val="21"/>
        </w:rPr>
        <w:t>大工程建设需求，研究工程中具有共性的基础理论、解决带有前瞻性的关键科</w:t>
      </w:r>
      <w:r>
        <w:rPr>
          <w:rFonts w:ascii="宋体" w:hAnsi="宋体" w:cs="宋体" w:eastAsia="宋体" w:hint="ascii"/>
          <w:sz w:val="21"/>
          <w:spacing w:val="-1"/>
        </w:rPr>
        <w:t>学技术问</w:t>
      </w:r>
      <w:r>
        <w:rPr>
          <w:rFonts w:ascii="宋体" w:hAnsi="宋体" w:cs="宋体" w:eastAsia="宋体" w:hint="ascii"/>
          <w:sz w:val="21"/>
        </w:rPr>
        <w:t>题，学科间的交叉渗透、先进实验技术与信息技术的应用以及新材料、新结构与新工艺的采用是本领域发展的重要特征。</w:t>
      </w:r>
    </w:p>
    <w:p>
      <w:pPr>
        <w:autoSpaceDE w:val="0"/>
        <w:autoSpaceDN w:val="0"/>
        <w:jc w:val="both"/>
        <w:spacing w:before="2" w:after="0" w:lineRule="exact" w:line="328"/>
        <w:ind w:right="976" w:left="966" w:firstLine="420"/>
        <w:snapToGrid w:val="0"/>
        <w:textAlignment w:val="auto"/>
        <w:tabs>
          <w:tab w:val="left" w:leader="none" w:pos="1843"/>
        </w:tabs>
        <w:numPr>
          <w:ilvl w:val="0"/>
          <w:numId w:val="83"/>
        </w:numPr>
        <w:rPr>
          <w:rFonts w:ascii="Times New Roman" w:hAnsi="Times New Roman" w:cs="Times New Roman" w:eastAsia="Times New Roman" w:hint="ascii"/>
          <w:sz w:val="21"/>
          <w:spacing w:val="1"/>
        </w:rPr>
      </w:pPr>
      <w:r>
        <w:rPr>
          <w:rFonts w:ascii="宋体" w:hAnsi="宋体" w:cs="宋体" w:eastAsia="宋体" w:hint="ascii"/>
          <w:sz w:val="21"/>
        </w:rPr>
        <w:t>年度本科学处接收面上项目申</w:t>
      </w:r>
      <w:r>
        <w:rPr>
          <w:rFonts w:ascii="宋体" w:hAnsi="宋体" w:cs="宋体" w:eastAsia="宋体" w:hint="ascii"/>
          <w:sz w:val="21"/>
          <w:spacing w:val="16"/>
        </w:rPr>
        <w:t>请</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8"/>
        </w:rPr>
        <w:t>6</w:t>
      </w:r>
      <w:r>
        <w:rPr>
          <w:rFonts w:ascii="宋体" w:hAnsi="宋体" w:cs="宋体" w:eastAsia="宋体" w:hint="ascii"/>
          <w:sz w:val="21"/>
        </w:rPr>
        <w:t>项，增幅</w:t>
      </w:r>
      <w:r>
        <w:rPr>
          <w:rFonts w:ascii="宋体" w:hAnsi="宋体" w:cs="宋体" w:eastAsia="宋体" w:hint="ascii"/>
          <w:sz w:val="21"/>
          <w:spacing w:val="16"/>
        </w:rPr>
        <w:t>为</w:t>
      </w:r>
      <w:r>
        <w:rPr>
          <w:rFonts w:ascii="Times New Roman" w:hAnsi="Times New Roman" w:cs="Times New Roman" w:eastAsia="Times New Roman" w:hint="ascii"/>
          <w:sz w:val="21"/>
        </w:rPr>
        <w:t>6.46</w:t>
      </w:r>
      <w:r>
        <w:rPr>
          <w:rFonts w:ascii="Times New Roman" w:hAnsi="Times New Roman" w:cs="Times New Roman" w:eastAsia="Times New Roman" w:hint="ascii"/>
          <w:sz w:val="21"/>
          <w:spacing w:val="5"/>
        </w:rPr>
        <w:t>%</w:t>
      </w:r>
      <w:r>
        <w:rPr>
          <w:rFonts w:ascii="宋体" w:hAnsi="宋体" w:cs="宋体" w:eastAsia="宋体" w:hint="ascii"/>
          <w:sz w:val="21"/>
        </w:rPr>
        <w:t>；资</w:t>
      </w:r>
      <w:r>
        <w:rPr>
          <w:rFonts w:ascii="宋体" w:hAnsi="宋体" w:cs="宋体" w:eastAsia="宋体" w:hint="ascii"/>
          <w:sz w:val="21"/>
          <w:spacing w:val="16"/>
        </w:rPr>
        <w:t>助</w:t>
      </w:r>
      <w:r>
        <w:rPr>
          <w:rFonts w:ascii="Times New Roman" w:hAnsi="Times New Roman" w:cs="Times New Roman" w:eastAsia="Times New Roman" w:hint="ascii"/>
          <w:sz w:val="21"/>
        </w:rPr>
        <w:t>64</w:t>
      </w:r>
      <w:r>
        <w:rPr>
          <w:rFonts w:ascii="Times New Roman" w:hAnsi="Times New Roman" w:cs="Times New Roman" w:eastAsia="Times New Roman" w:hint="ascii"/>
          <w:sz w:val="21"/>
          <w:spacing w:val="38"/>
        </w:rPr>
        <w:t>3</w:t>
      </w:r>
      <w:r>
        <w:rPr>
          <w:rFonts w:ascii="宋体" w:hAnsi="宋体" w:cs="宋体" w:eastAsia="宋体" w:hint="ascii"/>
          <w:sz w:val="21"/>
        </w:rPr>
        <w:t>项，直</w:t>
      </w:r>
      <w:r>
        <w:rPr>
          <w:rFonts w:ascii="宋体" w:hAnsi="宋体" w:cs="宋体" w:eastAsia="宋体" w:hint="ascii"/>
          <w:sz w:val="21"/>
          <w:spacing w:val="-6"/>
        </w:rPr>
        <w:t>接</w:t>
      </w:r>
      <w:r>
        <w:rPr>
          <w:rFonts w:ascii="宋体" w:hAnsi="宋体" w:cs="宋体" w:eastAsia="宋体" w:hint="ascii"/>
          <w:sz w:val="21"/>
        </w:rPr>
        <w:t>费用平均资助强度</w:t>
      </w:r>
      <w:r>
        <w:rPr>
          <w:rFonts w:ascii="宋体" w:hAnsi="宋体" w:cs="宋体" w:eastAsia="宋体" w:hint="ascii"/>
          <w:sz w:val="21"/>
          <w:spacing w:val="13"/>
        </w:rPr>
        <w:t>为</w:t>
      </w:r>
      <w:r>
        <w:rPr>
          <w:rFonts w:ascii="Times New Roman" w:hAnsi="Times New Roman" w:cs="Times New Roman" w:eastAsia="Times New Roman" w:hint="ascii"/>
          <w:sz w:val="21"/>
        </w:rPr>
        <w:t>59.9</w:t>
      </w:r>
      <w:r>
        <w:rPr>
          <w:rFonts w:ascii="Times New Roman" w:hAnsi="Times New Roman" w:cs="Times New Roman" w:eastAsia="Times New Roman" w:hint="ascii"/>
          <w:sz w:val="21"/>
          <w:spacing w:val="26"/>
        </w:rPr>
        <w:t>8</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13"/>
        </w:rPr>
        <w:t>为</w:t>
      </w:r>
      <w:r>
        <w:rPr>
          <w:rFonts w:ascii="Times New Roman" w:hAnsi="Times New Roman" w:cs="Times New Roman" w:eastAsia="Times New Roman" w:hint="ascii"/>
          <w:sz w:val="21"/>
        </w:rPr>
        <w:t>20.64%</w:t>
      </w:r>
      <w:r>
        <w:rPr>
          <w:rFonts w:ascii="宋体" w:hAnsi="宋体" w:cs="宋体" w:eastAsia="宋体" w:hint="ascii"/>
          <w:sz w:val="21"/>
        </w:rPr>
        <w:t>。</w:t>
      </w:r>
    </w:p>
    <w:p>
      <w:pPr>
        <w:autoSpaceDE w:val="0"/>
        <w:autoSpaceDN w:val="0"/>
        <w:jc w:val="left"/>
        <w:spacing w:before="5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为了更加明确地表达学科内涵，本科学处对申请代码做了局部修改与调整。请申请</w:t>
      </w:r>
    </w:p>
    <w:p>
      <w:pPr>
        <w:autoSpaceDE w:val="0"/>
        <w:autoSpaceDN w:val="0"/>
        <w:jc w:val="both"/>
        <w:spacing w:before="13" w:after="0" w:lineRule="exact" w:line="328"/>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人认真了</w:t>
      </w:r>
      <w:r>
        <w:rPr>
          <w:rFonts w:ascii="宋体" w:hAnsi="宋体" w:cs="宋体" w:eastAsia="宋体" w:hint="ascii"/>
          <w:sz w:val="21"/>
        </w:rPr>
        <w:t>解学科资助范围，不要以是否在本学科申请（或获资助）过项目为再次申请依</w:t>
      </w:r>
      <w:r>
        <w:rPr>
          <w:rFonts w:ascii="宋体" w:hAnsi="宋体" w:cs="宋体" w:eastAsia="宋体" w:hint="ascii"/>
          <w:sz w:val="21"/>
          <w:spacing w:val="-1"/>
        </w:rPr>
        <w:t>据，并正</w:t>
      </w:r>
      <w:r>
        <w:rPr>
          <w:rFonts w:ascii="宋体" w:hAnsi="宋体" w:cs="宋体" w:eastAsia="宋体" w:hint="ascii"/>
          <w:sz w:val="21"/>
        </w:rPr>
        <w:t>确填写申请代码至三级代码。在此，</w:t>
      </w:r>
      <w:r>
        <w:rPr>
          <w:rFonts w:ascii="宋体" w:hAnsi="宋体" w:cs="宋体" w:eastAsia="宋体" w:hint="ascii"/>
          <w:sz w:val="21"/>
        </w:rPr>
        <w:t>再次提醒申请人应认真查阅并正确理解申</w:t>
      </w:r>
      <w:r>
        <w:rPr>
          <w:rFonts w:ascii="宋体" w:hAnsi="宋体" w:cs="宋体" w:eastAsia="宋体" w:hint="ascii"/>
          <w:sz w:val="21"/>
          <w:spacing w:val="-1"/>
        </w:rPr>
        <w:t>请代码，</w:t>
      </w:r>
      <w:r>
        <w:rPr>
          <w:rFonts w:ascii="宋体" w:hAnsi="宋体" w:cs="宋体" w:eastAsia="宋体" w:hint="ascii"/>
          <w:sz w:val="21"/>
        </w:rPr>
        <w:t>避免误报</w:t>
      </w:r>
      <w:r>
        <w:rPr>
          <w:rFonts w:ascii="宋体" w:hAnsi="宋体" w:cs="宋体" w:eastAsia="宋体" w:hint="ascii"/>
          <w:sz w:val="21"/>
        </w:rPr>
        <w:t>：①本科学处与建筑学类相关的领域包括建筑学、城乡规划和建筑物</w:t>
      </w:r>
      <w:r>
        <w:rPr>
          <w:rFonts w:ascii="宋体" w:hAnsi="宋体" w:cs="宋体" w:eastAsia="宋体" w:hint="ascii"/>
          <w:sz w:val="21"/>
          <w:spacing w:val="14"/>
        </w:rPr>
        <w:t>理</w:t>
      </w:r>
      <w:r>
        <w:rPr>
          <w:rFonts w:ascii="Times New Roman" w:hAnsi="Times New Roman" w:cs="Times New Roman" w:eastAsia="Times New Roman" w:hint="ascii"/>
          <w:sz w:val="21"/>
          <w:spacing w:val="28"/>
        </w:rPr>
        <w:t>3</w:t>
      </w:r>
      <w:r>
        <w:rPr>
          <w:rFonts w:ascii="宋体" w:hAnsi="宋体" w:cs="宋体" w:eastAsia="宋体" w:hint="ascii"/>
          <w:sz w:val="21"/>
        </w:rPr>
        <w:t>个二级申请代码。在建筑学和城乡规划领域资助的是有关设计原理、设计方法的科</w:t>
      </w:r>
      <w:r>
        <w:rPr>
          <w:rFonts w:ascii="宋体" w:hAnsi="宋体" w:cs="宋体" w:eastAsia="宋体" w:hint="ascii"/>
          <w:sz w:val="21"/>
          <w:spacing w:val="-1"/>
        </w:rPr>
        <w:t>学基础和</w:t>
      </w:r>
      <w:r>
        <w:rPr>
          <w:rFonts w:ascii="宋体" w:hAnsi="宋体" w:cs="宋体" w:eastAsia="宋体" w:hint="ascii"/>
          <w:sz w:val="21"/>
        </w:rPr>
        <w:t>科学问题研究，纯粹的社会人文以及经济与政策管理等研究不属于资助范围；</w:t>
      </w:r>
      <w:r>
        <w:rPr>
          <w:rFonts w:ascii="宋体" w:hAnsi="宋体" w:cs="宋体" w:eastAsia="宋体" w:hint="ascii"/>
          <w:sz w:val="21"/>
          <w:spacing w:val="-1"/>
        </w:rPr>
        <w:t>在建筑物</w:t>
      </w:r>
      <w:r>
        <w:rPr>
          <w:rFonts w:ascii="宋体" w:hAnsi="宋体" w:cs="宋体" w:eastAsia="宋体" w:hint="ascii"/>
          <w:sz w:val="21"/>
        </w:rPr>
        <w:t>理领域本学科资助通过建筑设计、构造设计和建筑环境设备系统设计来实现建</w:t>
      </w:r>
      <w:r>
        <w:rPr>
          <w:rFonts w:ascii="宋体" w:hAnsi="宋体" w:cs="宋体" w:eastAsia="宋体" w:hint="ascii"/>
          <w:sz w:val="21"/>
          <w:spacing w:val="-1"/>
        </w:rPr>
        <w:t>筑物理环</w:t>
      </w:r>
      <w:r>
        <w:rPr>
          <w:rFonts w:ascii="宋体" w:hAnsi="宋体" w:cs="宋体" w:eastAsia="宋体" w:hint="ascii"/>
          <w:sz w:val="21"/>
        </w:rPr>
        <w:t>境的基础研究，但建筑用冷源和热源设备研发的基础研究则不在资助范围内。</w:t>
      </w:r>
      <w:r>
        <w:rPr>
          <w:rFonts w:ascii="宋体" w:hAnsi="宋体" w:cs="宋体" w:eastAsia="宋体" w:hint="ascii"/>
          <w:sz w:val="21"/>
          <w:spacing w:val="-1"/>
        </w:rPr>
        <w:t>②本科学</w:t>
      </w:r>
      <w:r>
        <w:rPr>
          <w:rFonts w:ascii="宋体" w:hAnsi="宋体" w:cs="宋体" w:eastAsia="宋体" w:hint="ascii"/>
          <w:sz w:val="21"/>
        </w:rPr>
        <w:t>处的“环境工程”主要包括给水处理、污水处理与资源化、城镇给排水系统、城镇固体废物处置与资源化、空气污染治理、城市受污染水环境的工程修复</w:t>
      </w:r>
      <w:r>
        <w:rPr>
          <w:rFonts w:ascii="宋体" w:hAnsi="宋体" w:cs="宋体" w:eastAsia="宋体" w:hint="ascii"/>
          <w:sz w:val="21"/>
          <w:spacing w:val="13"/>
        </w:rPr>
        <w:t>等</w:t>
      </w:r>
      <w:r>
        <w:rPr>
          <w:rFonts w:ascii="Times New Roman" w:hAnsi="Times New Roman" w:cs="Times New Roman" w:eastAsia="Times New Roman" w:hint="ascii"/>
          <w:sz w:val="21"/>
          <w:spacing w:val="28"/>
        </w:rPr>
        <w:t>6</w:t>
      </w:r>
      <w:r>
        <w:rPr>
          <w:rFonts w:ascii="宋体" w:hAnsi="宋体" w:cs="宋体" w:eastAsia="宋体" w:hint="ascii"/>
          <w:sz w:val="21"/>
        </w:rPr>
        <w:t>个三级</w:t>
      </w:r>
      <w:r>
        <w:rPr>
          <w:rFonts w:ascii="宋体" w:hAnsi="宋体" w:cs="宋体" w:eastAsia="宋体" w:hint="ascii"/>
          <w:sz w:val="21"/>
          <w:spacing w:val="-1"/>
        </w:rPr>
        <w:t>申请代码</w:t>
      </w:r>
      <w:r>
        <w:rPr>
          <w:rFonts w:ascii="宋体" w:hAnsi="宋体" w:cs="宋体" w:eastAsia="宋体" w:hint="ascii"/>
          <w:sz w:val="21"/>
        </w:rPr>
        <w:t>，交叉学科新理论、新技术、新方法的采用应注意与环境工程学科污染控制的</w:t>
      </w:r>
      <w:r>
        <w:rPr>
          <w:rFonts w:ascii="宋体" w:hAnsi="宋体" w:cs="宋体" w:eastAsia="宋体" w:hint="ascii"/>
          <w:sz w:val="21"/>
          <w:spacing w:val="-1"/>
        </w:rPr>
        <w:t>有机结合</w:t>
      </w:r>
      <w:r>
        <w:rPr>
          <w:rFonts w:ascii="宋体" w:hAnsi="宋体" w:cs="宋体" w:eastAsia="宋体" w:hint="ascii"/>
          <w:sz w:val="21"/>
        </w:rPr>
        <w:t>，有关监测分析、环境材料制备、清洁生产工艺等与污染物控制技术原理关联</w:t>
      </w:r>
      <w:r>
        <w:rPr>
          <w:rFonts w:ascii="宋体" w:hAnsi="宋体" w:cs="宋体" w:eastAsia="宋体" w:hint="ascii"/>
          <w:sz w:val="21"/>
          <w:spacing w:val="-1"/>
        </w:rPr>
        <w:t>度不大或</w:t>
      </w:r>
      <w:r>
        <w:rPr>
          <w:rFonts w:ascii="宋体" w:hAnsi="宋体" w:cs="宋体" w:eastAsia="宋体" w:hint="ascii"/>
          <w:sz w:val="21"/>
        </w:rPr>
        <w:t>无显著应用前景的研究不应在本学科申报。③由于学科划分的原因，有些研究</w:t>
      </w:r>
      <w:r>
        <w:rPr>
          <w:rFonts w:ascii="宋体" w:hAnsi="宋体" w:cs="宋体" w:eastAsia="宋体" w:hint="ascii"/>
          <w:sz w:val="21"/>
          <w:spacing w:val="-1"/>
        </w:rPr>
        <w:t>虽然与土</w:t>
      </w:r>
      <w:r>
        <w:rPr>
          <w:rFonts w:ascii="宋体" w:hAnsi="宋体" w:cs="宋体" w:eastAsia="宋体" w:hint="ascii"/>
          <w:sz w:val="21"/>
        </w:rPr>
        <w:t>木工程领域有相近的科学问题，但有明确的不同学科的工程背景，这样的研究也应该到相关的工程学科申请。</w:t>
      </w:r>
    </w:p>
    <w:p>
      <w:pPr>
        <w:autoSpaceDE w:val="0"/>
        <w:autoSpaceDN w:val="0"/>
        <w:jc w:val="left"/>
        <w:spacing w:before="43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建筑学领域应注重研究我国城乡建设中面临的新的科学问题，注重城市与乡村规划</w:t>
      </w:r>
      <w:r>
        <w:rPr>
          <w:rFonts w:ascii="宋体" w:hAnsi="宋体" w:cs="宋体" w:eastAsia="宋体" w:hint="ascii"/>
          <w:sz w:val="21"/>
        </w:rPr>
        <mc:AlternateContent>
          <mc:Choice Requires="wps">
            <w:drawing>
              <wp:anchor distL="0" distR="0" distT="0" distB="0" simplePos="0" behindDoc="1" relativeHeight="109" locked="0" layoutInCell="1" allowOverlap="1">
                <wp:simplePos x="0" y="0"/>
                <wp:positionH relativeFrom="page">
                  <wp:posOffset>938530</wp:posOffset>
                </wp:positionH>
                <wp:positionV relativeFrom="page">
                  <wp:posOffset>819150</wp:posOffset>
                </wp:positionV>
                <wp:extent cx="5076190" cy="0"/>
                <wp:wrapNone/>
                <wp:docPr id="1138" name="113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46624;width:399.70pt;" id="113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3" w:after="0" w:lineRule="exact" w:line="328"/>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及建筑设计中科学方法的研究，注重建筑物理、建筑环境控制与节能基础理论的研究和创新。环境工程领域应注重环境污染控制过程中关键科学问题的挖掘、分析和解决，注重新理论及高效低耗工艺技术的创新性基础研究，鼓励优先领域“城市污水再生与资源化”相关科学问题的创新性研究。土木工程领域应注重复杂结构的设计理论方法方面深层次的创新研究，鼓励新型结构体系与性能设计理论、灾害作用及结构失效机理与性态控制、现代结构实验及实测与数值模拟方法等方面的关键科学问题的研究。岩土与基础</w:t>
      </w:r>
      <w:r>
        <w:rPr>
          <w:rFonts w:ascii="宋体" w:hAnsi="宋体" w:cs="宋体" w:eastAsia="宋体" w:hint="ascii"/>
          <w:sz w:val="21"/>
          <w:spacing w:val="6"/>
        </w:rPr>
        <w:t>工程领域应注重在复杂环境下土工结构物和基础工程的失效机理及控制方法的创</w:t>
      </w:r>
      <w:r>
        <w:rPr>
          <w:rFonts w:ascii="宋体" w:hAnsi="宋体" w:cs="宋体" w:eastAsia="宋体" w:hint="ascii"/>
          <w:sz w:val="21"/>
        </w:rPr>
        <w:t>新研究。</w:t>
      </w:r>
    </w:p>
    <w:p>
      <w:pPr>
        <w:autoSpaceDE w:val="0"/>
        <w:autoSpaceDN w:val="0"/>
        <w:jc w:val="left"/>
        <w:spacing w:before="272"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工程科学五处</w:t>
      </w:r>
    </w:p>
    <w:p>
      <w:pPr>
        <w:autoSpaceDE w:val="0"/>
        <w:autoSpaceDN w:val="0"/>
        <w:jc w:val="both"/>
        <w:spacing w:before="183" w:after="0" w:lineRule="exact" w:line="468"/>
        <w:ind w:right="1188" w:left="1386" w:firstLine="0"/>
        <w:snapToGrid w:val="0"/>
        <w:textAlignment w:val="auto"/>
        <w:tabs/>
        <w:rPr>
          <w:rFonts w:ascii="宋体" w:hAnsi="宋体" w:cs="宋体" w:eastAsia="宋体" w:hint="ascii"/>
        </w:rPr>
      </w:pPr>
      <w:r>
        <w:rPr>
          <w:rFonts w:ascii="宋体" w:hAnsi="宋体" w:cs="宋体" w:eastAsia="宋体" w:hint="ascii"/>
          <w:sz w:val="21"/>
          <w:spacing w:val="-1"/>
        </w:rPr>
        <w:t>本科学处主要</w:t>
      </w:r>
      <w:r>
        <w:rPr>
          <w:rFonts w:ascii="宋体" w:hAnsi="宋体" w:cs="宋体" w:eastAsia="宋体" w:hint="ascii"/>
          <w:sz w:val="21"/>
        </w:rPr>
        <w:t>资助电气科学与工程学科、水利科学与海洋工程学科的基础研究。</w:t>
      </w:r>
      <w:r>
        <w:rPr>
          <w:rFonts w:ascii="宋体" w:hAnsi="宋体" w:cs="宋体" w:eastAsia="宋体" w:hint="ascii"/>
        </w:rPr>
        <w:t>电气科学与工程学科</w:t>
      </w:r>
    </w:p>
    <w:p>
      <w:pPr>
        <w:autoSpaceDE w:val="0"/>
        <w:autoSpaceDN w:val="0"/>
        <w:jc w:val="left"/>
        <w:spacing w:before="17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电气科学与工程学科包含电（磁）能科学、电磁场与物质相互作用两大领域以及电</w:t>
      </w:r>
    </w:p>
    <w:p>
      <w:pPr>
        <w:autoSpaceDE w:val="0"/>
        <w:autoSpaceDN w:val="0"/>
        <w:jc w:val="left"/>
        <w:spacing w:before="10" w:after="0" w:lineRule="exact" w:line="320"/>
        <w:ind w:right="962" w:left="861" w:firstLine="104"/>
        <w:snapToGrid w:val="0"/>
        <w:textAlignment w:val="auto"/>
        <w:tabs/>
        <w:rPr>
          <w:rFonts w:ascii="宋体" w:hAnsi="宋体" w:cs="宋体" w:eastAsia="宋体" w:hint="ascii"/>
          <w:sz w:val="21"/>
        </w:rPr>
      </w:pPr>
      <w:r>
        <w:rPr>
          <w:rFonts w:ascii="宋体" w:hAnsi="宋体" w:cs="宋体" w:eastAsia="宋体" w:hint="ascii"/>
          <w:sz w:val="21"/>
          <w:spacing w:val="3"/>
        </w:rPr>
        <w:t>网络理论</w:t>
      </w:r>
      <w:r>
        <w:rPr>
          <w:rFonts w:ascii="宋体" w:hAnsi="宋体" w:cs="宋体" w:eastAsia="宋体" w:hint="ascii"/>
          <w:sz w:val="21"/>
        </w:rPr>
        <w:t>、</w:t>
      </w:r>
      <w:r>
        <w:rPr>
          <w:rFonts w:ascii="宋体" w:hAnsi="宋体" w:cs="宋体" w:eastAsia="宋体" w:hint="ascii"/>
          <w:sz w:val="21"/>
          <w:spacing w:val="3"/>
        </w:rPr>
        <w:t>电磁场理</w:t>
      </w:r>
      <w:r>
        <w:rPr>
          <w:rFonts w:ascii="宋体" w:hAnsi="宋体" w:cs="宋体" w:eastAsia="宋体" w:hint="ascii"/>
          <w:sz w:val="21"/>
        </w:rPr>
        <w:t>论</w:t>
      </w:r>
      <w:r>
        <w:rPr>
          <w:rFonts w:ascii="宋体" w:hAnsi="宋体" w:cs="宋体" w:eastAsia="宋体" w:hint="ascii"/>
          <w:sz w:val="21"/>
          <w:spacing w:val="3"/>
        </w:rPr>
        <w:t>、电磁测</w:t>
      </w:r>
      <w:r>
        <w:rPr>
          <w:rFonts w:ascii="宋体" w:hAnsi="宋体" w:cs="宋体" w:eastAsia="宋体" w:hint="ascii"/>
          <w:sz w:val="21"/>
        </w:rPr>
        <w:t>量</w:t>
      </w:r>
      <w:r>
        <w:rPr>
          <w:rFonts w:ascii="宋体" w:hAnsi="宋体" w:cs="宋体" w:eastAsia="宋体" w:hint="ascii"/>
          <w:sz w:val="21"/>
          <w:spacing w:val="3"/>
        </w:rPr>
        <w:t>等共性基</w:t>
      </w:r>
      <w:r>
        <w:rPr>
          <w:rFonts w:ascii="宋体" w:hAnsi="宋体" w:cs="宋体" w:eastAsia="宋体" w:hint="ascii"/>
          <w:sz w:val="21"/>
        </w:rPr>
        <w:t>础</w:t>
      </w:r>
      <w:r>
        <w:rPr>
          <w:rFonts w:ascii="宋体" w:hAnsi="宋体" w:cs="宋体" w:eastAsia="宋体" w:hint="ascii"/>
          <w:sz w:val="21"/>
          <w:spacing w:val="3"/>
        </w:rPr>
        <w:t>领域，所</w:t>
      </w:r>
      <w:r>
        <w:rPr>
          <w:rFonts w:ascii="宋体" w:hAnsi="宋体" w:cs="宋体" w:eastAsia="宋体" w:hint="ascii"/>
          <w:sz w:val="21"/>
        </w:rPr>
        <w:t>涉</w:t>
      </w:r>
      <w:r>
        <w:rPr>
          <w:rFonts w:ascii="宋体" w:hAnsi="宋体" w:cs="宋体" w:eastAsia="宋体" w:hint="ascii"/>
          <w:sz w:val="21"/>
          <w:spacing w:val="3"/>
        </w:rPr>
        <w:t>及的研究</w:t>
      </w:r>
      <w:r>
        <w:rPr>
          <w:rFonts w:ascii="宋体" w:hAnsi="宋体" w:cs="宋体" w:eastAsia="宋体" w:hint="ascii"/>
          <w:sz w:val="21"/>
        </w:rPr>
        <w:t>主</w:t>
      </w:r>
      <w:r>
        <w:rPr>
          <w:rFonts w:ascii="宋体" w:hAnsi="宋体" w:cs="宋体" w:eastAsia="宋体" w:hint="ascii"/>
          <w:sz w:val="21"/>
          <w:spacing w:val="3"/>
        </w:rPr>
        <w:t>要包括电能</w:t>
      </w:r>
      <w:r>
        <w:rPr>
          <w:rFonts w:ascii="宋体" w:hAnsi="宋体" w:cs="宋体" w:eastAsia="宋体" w:hint="ascii"/>
          <w:sz w:val="21"/>
          <w:spacing w:val="4"/>
        </w:rPr>
        <w:t>转</w:t>
      </w:r>
      <w:r>
        <w:rPr>
          <w:rFonts w:ascii="宋体" w:hAnsi="宋体" w:cs="宋体" w:eastAsia="宋体" w:hint="ascii"/>
          <w:sz w:val="21"/>
        </w:rPr>
        <w:t>换（含新型可再生能源的电能转换、电能与其他能源形式的转换与替代</w:t>
      </w:r>
      <w:r>
        <w:rPr>
          <w:rFonts w:ascii="宋体" w:hAnsi="宋体" w:cs="宋体" w:eastAsia="宋体" w:hint="ascii"/>
          <w:sz w:val="21"/>
          <w:spacing w:val="-52"/>
        </w:rPr>
        <w:t>）</w:t>
      </w:r>
      <w:r>
        <w:rPr>
          <w:rFonts w:ascii="宋体" w:hAnsi="宋体" w:cs="宋体" w:eastAsia="宋体" w:hint="ascii"/>
          <w:sz w:val="21"/>
        </w:rPr>
        <w:t>、电机系统及驱动</w:t>
      </w:r>
    </w:p>
    <w:p>
      <w:pPr>
        <w:autoSpaceDE w:val="0"/>
        <w:autoSpaceDN w:val="0"/>
        <w:jc w:val="left"/>
        <w:spacing w:before="0" w:after="0" w:lineRule="exact" w:line="319"/>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控制、电器、电力系统、电力电子器件与系统、超导电工、脉冲功率、高电压与绝缘、电工材料、放电与等离子体、电磁生物、电磁兼容、电磁环境、电工传感与测量、电力传动与运动控制、电网通信与信息、电能存储与节电新方法等。</w:t>
      </w:r>
    </w:p>
    <w:p>
      <w:pPr>
        <w:autoSpaceDE w:val="0"/>
        <w:autoSpaceDN w:val="0"/>
        <w:jc w:val="both"/>
        <w:spacing w:before="3" w:after="0" w:lineRule="exact" w:line="319"/>
        <w:ind w:right="978" w:left="966" w:firstLine="420"/>
        <w:snapToGrid w:val="0"/>
        <w:textAlignment w:val="auto"/>
        <w:tabs>
          <w:tab w:val="left" w:leader="none" w:pos="1860"/>
        </w:tabs>
        <w:numPr>
          <w:ilvl w:val="0"/>
          <w:numId w:val="84"/>
        </w:numPr>
        <w:rPr>
          <w:rFonts w:ascii="Times New Roman" w:hAnsi="Times New Roman" w:cs="Times New Roman" w:eastAsia="Times New Roman" w:hint="ascii"/>
          <w:sz w:val="21"/>
          <w:spacing w:val="1"/>
        </w:rPr>
      </w:pPr>
      <w:r>
        <w:rPr>
          <w:rFonts w:ascii="宋体" w:hAnsi="宋体" w:cs="宋体" w:eastAsia="宋体" w:hint="ascii"/>
          <w:sz w:val="21"/>
        </w:rPr>
        <w:t>年度本学科接收面上项目申</w:t>
      </w:r>
      <w:r>
        <w:rPr>
          <w:rFonts w:ascii="宋体" w:hAnsi="宋体" w:cs="宋体" w:eastAsia="宋体" w:hint="ascii"/>
          <w:sz w:val="21"/>
          <w:spacing w:val="26"/>
        </w:rPr>
        <w:t>请</w:t>
      </w:r>
      <w:r>
        <w:rPr>
          <w:rFonts w:ascii="Times New Roman" w:hAnsi="Times New Roman" w:cs="Times New Roman" w:eastAsia="Times New Roman" w:hint="ascii"/>
          <w:sz w:val="21"/>
        </w:rPr>
        <w:t>1 09</w:t>
      </w:r>
      <w:r>
        <w:rPr>
          <w:rFonts w:ascii="Times New Roman" w:hAnsi="Times New Roman" w:cs="Times New Roman" w:eastAsia="Times New Roman" w:hint="ascii"/>
          <w:sz w:val="21"/>
          <w:spacing w:val="53"/>
        </w:rPr>
        <w:t>2</w:t>
      </w:r>
      <w:r>
        <w:rPr>
          <w:rFonts w:ascii="宋体" w:hAnsi="宋体" w:cs="宋体" w:eastAsia="宋体" w:hint="ascii"/>
          <w:sz w:val="21"/>
        </w:rPr>
        <w:t>项，增幅</w:t>
      </w:r>
      <w:r>
        <w:rPr>
          <w:rFonts w:ascii="宋体" w:hAnsi="宋体" w:cs="宋体" w:eastAsia="宋体" w:hint="ascii"/>
          <w:sz w:val="21"/>
          <w:spacing w:val="26"/>
        </w:rPr>
        <w:t>为</w:t>
      </w:r>
      <w:r>
        <w:rPr>
          <w:rFonts w:ascii="Times New Roman" w:hAnsi="Times New Roman" w:cs="Times New Roman" w:eastAsia="Times New Roman" w:hint="ascii"/>
          <w:sz w:val="21"/>
        </w:rPr>
        <w:t>8.76%</w:t>
      </w:r>
      <w:r>
        <w:rPr>
          <w:rFonts w:ascii="宋体" w:hAnsi="宋体" w:cs="宋体" w:eastAsia="宋体" w:hint="ascii"/>
          <w:sz w:val="21"/>
        </w:rPr>
        <w:t>；资</w:t>
      </w:r>
      <w:r>
        <w:rPr>
          <w:rFonts w:ascii="宋体" w:hAnsi="宋体" w:cs="宋体" w:eastAsia="宋体" w:hint="ascii"/>
          <w:sz w:val="21"/>
          <w:spacing w:val="26"/>
        </w:rPr>
        <w:t>助</w:t>
      </w:r>
      <w:r>
        <w:rPr>
          <w:rFonts w:ascii="Times New Roman" w:hAnsi="Times New Roman" w:cs="Times New Roman" w:eastAsia="Times New Roman" w:hint="ascii"/>
          <w:sz w:val="21"/>
        </w:rPr>
        <w:t>21</w:t>
      </w:r>
      <w:r>
        <w:rPr>
          <w:rFonts w:ascii="Times New Roman" w:hAnsi="Times New Roman" w:cs="Times New Roman" w:eastAsia="Times New Roman" w:hint="ascii"/>
          <w:sz w:val="21"/>
          <w:spacing w:val="53"/>
        </w:rPr>
        <w:t>7</w:t>
      </w:r>
      <w:r>
        <w:rPr>
          <w:rFonts w:ascii="宋体" w:hAnsi="宋体" w:cs="宋体" w:eastAsia="宋体" w:hint="ascii"/>
          <w:sz w:val="21"/>
        </w:rPr>
        <w:t>项，直接费用平均资助强度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59.8</w:t>
      </w:r>
      <w:r>
        <w:rPr>
          <w:rFonts w:ascii="Times New Roman" w:hAnsi="Times New Roman" w:cs="Times New Roman" w:eastAsia="Times New Roman" w:hint="ascii"/>
          <w:sz w:val="21"/>
          <w:spacing w:val="52"/>
        </w:rPr>
        <w:t>8</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19.87%</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在电（磁）能科学领域，鼓励开展电（磁）能转换、传输、存储与利用的新理论、</w:t>
      </w:r>
    </w:p>
    <w:p>
      <w:pPr>
        <w:autoSpaceDE w:val="0"/>
        <w:autoSpaceDN w:val="0"/>
        <w:jc w:val="left"/>
        <w:spacing w:before="12" w:after="0" w:lineRule="exact" w:line="324"/>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新方法和新设备的研究，主要包括新型可再生能源发电、智能电网、电能无线传输、电能高效转换与利用、电机及系统（含机器人中的驱动与控制</w:t>
      </w:r>
      <w:r>
        <w:rPr>
          <w:rFonts w:ascii="宋体" w:hAnsi="宋体" w:cs="宋体" w:eastAsia="宋体" w:hint="ascii"/>
          <w:sz w:val="21"/>
          <w:spacing w:val="-50"/>
        </w:rPr>
        <w:t>）</w:t>
      </w:r>
      <w:r>
        <w:rPr>
          <w:rFonts w:ascii="宋体" w:hAnsi="宋体" w:cs="宋体" w:eastAsia="宋体" w:hint="ascii"/>
          <w:sz w:val="21"/>
        </w:rPr>
        <w:t>、电力驱动及控制（含电动汽车、轨道交通、舰船与多电飞机等</w:t>
      </w:r>
      <w:r>
        <w:rPr>
          <w:rFonts w:ascii="宋体" w:hAnsi="宋体" w:cs="宋体" w:eastAsia="宋体" w:hint="ascii"/>
          <w:sz w:val="21"/>
          <w:spacing w:val="-51"/>
        </w:rPr>
        <w:t>）</w:t>
      </w:r>
      <w:r>
        <w:rPr>
          <w:rFonts w:ascii="宋体" w:hAnsi="宋体" w:cs="宋体" w:eastAsia="宋体" w:hint="ascii"/>
          <w:sz w:val="21"/>
        </w:rPr>
        <w:t>、超导电力技术、电磁能量的时空压缩与传输等以及相关的电气信息、控制理论与方法。</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在电磁场与物质相互作用科学领域，鼓励在电力装备安全运行及可靠性、新型电力</w:t>
      </w:r>
    </w:p>
    <w:p>
      <w:pPr>
        <w:autoSpaceDE w:val="0"/>
        <w:autoSpaceDN w:val="0"/>
        <w:jc w:val="left"/>
        <w:spacing w:before="12" w:after="0" w:lineRule="exact" w:line="324"/>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电子器件、先进电工材料、电磁特性测量、电磁脉冲与作用对象的能量耦合、放电理论及高活性等离子体的产生、电能存储等方面开展新现象、新原理、新模型的研究，特别</w:t>
      </w:r>
      <w:r>
        <w:rPr>
          <w:rFonts w:ascii="宋体" w:hAnsi="宋体" w:cs="宋体" w:eastAsia="宋体" w:hint="ascii"/>
          <w:sz w:val="21"/>
          <w:spacing w:val="3"/>
        </w:rPr>
        <w:t>鼓励在电</w:t>
      </w:r>
      <w:r>
        <w:rPr>
          <w:rFonts w:ascii="宋体" w:hAnsi="宋体" w:cs="宋体" w:eastAsia="宋体" w:hint="ascii"/>
          <w:sz w:val="21"/>
        </w:rPr>
        <w:t>磁</w:t>
      </w:r>
      <w:r>
        <w:rPr>
          <w:rFonts w:ascii="宋体" w:hAnsi="宋体" w:cs="宋体" w:eastAsia="宋体" w:hint="ascii"/>
          <w:sz w:val="21"/>
          <w:spacing w:val="3"/>
        </w:rPr>
        <w:t>场与生物</w:t>
      </w:r>
      <w:r>
        <w:rPr>
          <w:rFonts w:ascii="宋体" w:hAnsi="宋体" w:cs="宋体" w:eastAsia="宋体" w:hint="ascii"/>
          <w:sz w:val="21"/>
        </w:rPr>
        <w:t>的</w:t>
      </w:r>
      <w:r>
        <w:rPr>
          <w:rFonts w:ascii="宋体" w:hAnsi="宋体" w:cs="宋体" w:eastAsia="宋体" w:hint="ascii"/>
          <w:sz w:val="21"/>
          <w:spacing w:val="3"/>
        </w:rPr>
        <w:t>相互作用</w:t>
      </w:r>
      <w:r>
        <w:rPr>
          <w:rFonts w:ascii="宋体" w:hAnsi="宋体" w:cs="宋体" w:eastAsia="宋体" w:hint="ascii"/>
          <w:sz w:val="21"/>
        </w:rPr>
        <w:t>、</w:t>
      </w:r>
      <w:r>
        <w:rPr>
          <w:rFonts w:ascii="宋体" w:hAnsi="宋体" w:cs="宋体" w:eastAsia="宋体" w:hint="ascii"/>
          <w:sz w:val="21"/>
          <w:spacing w:val="3"/>
        </w:rPr>
        <w:t>生命过程</w:t>
      </w:r>
      <w:r>
        <w:rPr>
          <w:rFonts w:ascii="宋体" w:hAnsi="宋体" w:cs="宋体" w:eastAsia="宋体" w:hint="ascii"/>
          <w:sz w:val="21"/>
        </w:rPr>
        <w:t>电</w:t>
      </w:r>
      <w:r>
        <w:rPr>
          <w:rFonts w:ascii="宋体" w:hAnsi="宋体" w:cs="宋体" w:eastAsia="宋体" w:hint="ascii"/>
          <w:sz w:val="21"/>
          <w:spacing w:val="3"/>
        </w:rPr>
        <w:t>磁信息的</w:t>
      </w:r>
      <w:r>
        <w:rPr>
          <w:rFonts w:ascii="宋体" w:hAnsi="宋体" w:cs="宋体" w:eastAsia="宋体" w:hint="ascii"/>
          <w:sz w:val="21"/>
        </w:rPr>
        <w:t>提</w:t>
      </w:r>
      <w:r>
        <w:rPr>
          <w:rFonts w:ascii="宋体" w:hAnsi="宋体" w:cs="宋体" w:eastAsia="宋体" w:hint="ascii"/>
          <w:sz w:val="21"/>
          <w:spacing w:val="3"/>
        </w:rPr>
        <w:t>取与利用</w:t>
      </w:r>
      <w:r>
        <w:rPr>
          <w:rFonts w:ascii="宋体" w:hAnsi="宋体" w:cs="宋体" w:eastAsia="宋体" w:hint="ascii"/>
          <w:sz w:val="21"/>
        </w:rPr>
        <w:t>等</w:t>
      </w:r>
      <w:r>
        <w:rPr>
          <w:rFonts w:ascii="宋体" w:hAnsi="宋体" w:cs="宋体" w:eastAsia="宋体" w:hint="ascii"/>
          <w:sz w:val="21"/>
          <w:spacing w:val="3"/>
        </w:rPr>
        <w:t>方面开展有</w:t>
      </w:r>
      <w:r>
        <w:rPr>
          <w:rFonts w:ascii="宋体" w:hAnsi="宋体" w:cs="宋体" w:eastAsia="宋体" w:hint="ascii"/>
          <w:sz w:val="21"/>
          <w:spacing w:val="4"/>
        </w:rPr>
        <w:t>深</w:t>
      </w:r>
      <w:r>
        <w:rPr>
          <w:rFonts w:ascii="宋体" w:hAnsi="宋体" w:cs="宋体" w:eastAsia="宋体" w:hint="ascii"/>
          <w:sz w:val="21"/>
        </w:rPr>
        <w:t>度的、实质性的以电磁科学为主体的学科交叉研究。</w:t>
      </w:r>
    </w:p>
    <w:p>
      <w:pPr>
        <w:autoSpaceDE w:val="0"/>
        <w:autoSpaceDN w:val="0"/>
        <w:jc w:val="left"/>
        <w:spacing w:before="166"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水利科学与海洋工程学科</w:t>
      </w:r>
    </w:p>
    <w:p>
      <w:pPr>
        <w:autoSpaceDE w:val="0"/>
        <w:autoSpaceDN w:val="0"/>
        <w:jc w:val="left"/>
        <w:spacing w:before="210"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水利科学</w:t>
      </w:r>
      <w:r>
        <w:rPr>
          <w:rFonts w:ascii="宋体" w:hAnsi="宋体" w:cs="宋体" w:eastAsia="宋体" w:hint="ascii"/>
          <w:sz w:val="21"/>
        </w:rPr>
        <w:t>与</w:t>
      </w:r>
      <w:r>
        <w:rPr>
          <w:rFonts w:ascii="宋体" w:hAnsi="宋体" w:cs="宋体" w:eastAsia="宋体" w:hint="ascii"/>
          <w:sz w:val="21"/>
          <w:spacing w:val="3"/>
        </w:rPr>
        <w:t>海洋工程</w:t>
      </w:r>
      <w:r>
        <w:rPr>
          <w:rFonts w:ascii="宋体" w:hAnsi="宋体" w:cs="宋体" w:eastAsia="宋体" w:hint="ascii"/>
          <w:sz w:val="21"/>
        </w:rPr>
        <w:t>学</w:t>
      </w:r>
      <w:r>
        <w:rPr>
          <w:rFonts w:ascii="宋体" w:hAnsi="宋体" w:cs="宋体" w:eastAsia="宋体" w:hint="ascii"/>
          <w:sz w:val="21"/>
          <w:spacing w:val="3"/>
        </w:rPr>
        <w:t>科包括水</w:t>
      </w:r>
      <w:r>
        <w:rPr>
          <w:rFonts w:ascii="宋体" w:hAnsi="宋体" w:cs="宋体" w:eastAsia="宋体" w:hint="ascii"/>
          <w:sz w:val="21"/>
        </w:rPr>
        <w:t>利</w:t>
      </w:r>
      <w:r>
        <w:rPr>
          <w:rFonts w:ascii="宋体" w:hAnsi="宋体" w:cs="宋体" w:eastAsia="宋体" w:hint="ascii"/>
          <w:sz w:val="21"/>
          <w:spacing w:val="3"/>
        </w:rPr>
        <w:t>科学和水</w:t>
      </w:r>
      <w:r>
        <w:rPr>
          <w:rFonts w:ascii="宋体" w:hAnsi="宋体" w:cs="宋体" w:eastAsia="宋体" w:hint="ascii"/>
          <w:sz w:val="21"/>
        </w:rPr>
        <w:t>利</w:t>
      </w:r>
      <w:r>
        <w:rPr>
          <w:rFonts w:ascii="宋体" w:hAnsi="宋体" w:cs="宋体" w:eastAsia="宋体" w:hint="ascii"/>
          <w:sz w:val="21"/>
          <w:spacing w:val="3"/>
        </w:rPr>
        <w:t>工程、岩</w:t>
      </w:r>
      <w:r>
        <w:rPr>
          <w:rFonts w:ascii="宋体" w:hAnsi="宋体" w:cs="宋体" w:eastAsia="宋体" w:hint="ascii"/>
          <w:sz w:val="21"/>
        </w:rPr>
        <w:t>土</w:t>
      </w:r>
      <w:r>
        <w:rPr>
          <w:rFonts w:ascii="宋体" w:hAnsi="宋体" w:cs="宋体" w:eastAsia="宋体" w:hint="ascii"/>
          <w:sz w:val="21"/>
          <w:spacing w:val="3"/>
        </w:rPr>
        <w:t>工程和水</w:t>
      </w:r>
      <w:r>
        <w:rPr>
          <w:rFonts w:ascii="宋体" w:hAnsi="宋体" w:cs="宋体" w:eastAsia="宋体" w:hint="ascii"/>
          <w:sz w:val="21"/>
        </w:rPr>
        <w:t>电</w:t>
      </w:r>
      <w:r>
        <w:rPr>
          <w:rFonts w:ascii="宋体" w:hAnsi="宋体" w:cs="宋体" w:eastAsia="宋体" w:hint="ascii"/>
          <w:sz w:val="21"/>
          <w:spacing w:val="3"/>
        </w:rPr>
        <w:t>工程、</w:t>
      </w:r>
      <w:r>
        <w:rPr>
          <w:rFonts w:ascii="宋体" w:hAnsi="宋体" w:cs="宋体" w:eastAsia="宋体" w:hint="ascii"/>
          <w:sz w:val="21"/>
          <w:spacing w:val="4"/>
        </w:rPr>
        <w:t>海</w:t>
      </w:r>
      <w:r>
        <w:rPr>
          <w:rFonts w:ascii="宋体" w:hAnsi="宋体" w:cs="宋体" w:eastAsia="宋体" w:hint="ascii"/>
          <w:sz w:val="21"/>
        </w:rPr>
        <w:t>岸</w:t>
      </w:r>
    </w:p>
    <w:p>
      <w:pPr>
        <w:autoSpaceDE w:val="0"/>
        <w:autoSpaceDN w:val="0"/>
        <w:jc w:val="left"/>
        <w:spacing w:before="66"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3"/>
        </w:rPr>
        <w:t>工程和海</w:t>
      </w:r>
      <w:r>
        <w:rPr>
          <w:rFonts w:ascii="宋体" w:hAnsi="宋体" w:cs="宋体" w:eastAsia="宋体" w:hint="ascii"/>
          <w:sz w:val="21"/>
        </w:rPr>
        <w:t>洋</w:t>
      </w:r>
      <w:r>
        <w:rPr>
          <w:rFonts w:ascii="宋体" w:hAnsi="宋体" w:cs="宋体" w:eastAsia="宋体" w:hint="ascii"/>
          <w:sz w:val="21"/>
          <w:spacing w:val="3"/>
        </w:rPr>
        <w:t>工程三个</w:t>
      </w:r>
      <w:r>
        <w:rPr>
          <w:rFonts w:ascii="宋体" w:hAnsi="宋体" w:cs="宋体" w:eastAsia="宋体" w:hint="ascii"/>
          <w:sz w:val="21"/>
        </w:rPr>
        <w:t>研</w:t>
      </w:r>
      <w:r>
        <w:rPr>
          <w:rFonts w:ascii="宋体" w:hAnsi="宋体" w:cs="宋体" w:eastAsia="宋体" w:hint="ascii"/>
          <w:sz w:val="21"/>
          <w:spacing w:val="3"/>
        </w:rPr>
        <w:t>究领域，</w:t>
      </w:r>
      <w:r>
        <w:rPr>
          <w:rFonts w:ascii="宋体" w:hAnsi="宋体" w:cs="宋体" w:eastAsia="宋体" w:hint="ascii"/>
          <w:sz w:val="21"/>
        </w:rPr>
        <w:t>其</w:t>
      </w:r>
      <w:r>
        <w:rPr>
          <w:rFonts w:ascii="宋体" w:hAnsi="宋体" w:cs="宋体" w:eastAsia="宋体" w:hint="ascii"/>
          <w:sz w:val="21"/>
          <w:spacing w:val="3"/>
        </w:rPr>
        <w:t>资助范围</w:t>
      </w:r>
      <w:r>
        <w:rPr>
          <w:rFonts w:ascii="宋体" w:hAnsi="宋体" w:cs="宋体" w:eastAsia="宋体" w:hint="ascii"/>
          <w:sz w:val="21"/>
        </w:rPr>
        <w:t>包</w:t>
      </w:r>
      <w:r>
        <w:rPr>
          <w:rFonts w:ascii="宋体" w:hAnsi="宋体" w:cs="宋体" w:eastAsia="宋体" w:hint="ascii"/>
          <w:sz w:val="21"/>
          <w:spacing w:val="3"/>
        </w:rPr>
        <w:t>括：水文</w:t>
      </w:r>
      <w:r>
        <w:rPr>
          <w:rFonts w:ascii="宋体" w:hAnsi="宋体" w:cs="宋体" w:eastAsia="宋体" w:hint="ascii"/>
          <w:sz w:val="21"/>
        </w:rPr>
        <w:t>学</w:t>
      </w:r>
      <w:r>
        <w:rPr>
          <w:rFonts w:ascii="宋体" w:hAnsi="宋体" w:cs="宋体" w:eastAsia="宋体" w:hint="ascii"/>
          <w:sz w:val="21"/>
          <w:spacing w:val="3"/>
        </w:rPr>
        <w:t>及水资源</w:t>
      </w:r>
      <w:r>
        <w:rPr>
          <w:rFonts w:ascii="宋体" w:hAnsi="宋体" w:cs="宋体" w:eastAsia="宋体" w:hint="ascii"/>
          <w:sz w:val="21"/>
        </w:rPr>
        <w:t>、</w:t>
      </w:r>
      <w:r>
        <w:rPr>
          <w:rFonts w:ascii="宋体" w:hAnsi="宋体" w:cs="宋体" w:eastAsia="宋体" w:hint="ascii"/>
          <w:sz w:val="21"/>
          <w:spacing w:val="3"/>
        </w:rPr>
        <w:t>农业水土</w:t>
      </w:r>
      <w:r>
        <w:rPr>
          <w:rFonts w:ascii="宋体" w:hAnsi="宋体" w:cs="宋体" w:eastAsia="宋体" w:hint="ascii"/>
          <w:sz w:val="21"/>
        </w:rPr>
        <w:t>与</w:t>
      </w:r>
      <w:r>
        <w:rPr>
          <w:rFonts w:ascii="宋体" w:hAnsi="宋体" w:cs="宋体" w:eastAsia="宋体" w:hint="ascii"/>
          <w:sz w:val="21"/>
          <w:spacing w:val="3"/>
        </w:rPr>
        <w:t>生</w:t>
      </w:r>
      <w:r>
        <w:rPr>
          <w:rFonts w:ascii="宋体" w:hAnsi="宋体" w:cs="宋体" w:eastAsia="宋体" w:hint="ascii"/>
          <w:sz w:val="21"/>
        </w:rPr>
        <w:t>物</w:t>
      </w:r>
    </w:p>
    <w:p>
      <w:pPr>
        <w:autoSpaceDE w:val="0"/>
        <w:autoSpaceDN w:val="0"/>
        <w:jc w:val="left"/>
        <w:spacing w:before="561"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3" w:after="0" w:lineRule="exact" w:line="328"/>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系统工程、水环境与</w:t>
      </w:r>
      <w:r>
        <w:rPr>
          <w:rFonts w:ascii="宋体" w:hAnsi="宋体" w:cs="宋体" w:eastAsia="宋体" w:hint="ascii"/>
          <w:sz w:val="21"/>
        </w:rPr>
        <w:t>水生态、河流海岸动力学与泥沙研究；岩土力学与岩土工程、</w:t>
      </w:r>
      <w:r>
        <w:rPr>
          <w:rFonts w:ascii="宋体" w:hAnsi="宋体" w:cs="宋体" w:eastAsia="宋体" w:hint="ascii"/>
          <w:sz w:val="21"/>
          <w:spacing w:val="-6"/>
        </w:rPr>
        <w:t>水</w:t>
      </w:r>
      <w:r>
        <w:rPr>
          <w:rFonts w:ascii="宋体" w:hAnsi="宋体" w:cs="宋体" w:eastAsia="宋体" w:hint="ascii"/>
          <w:sz w:val="21"/>
          <w:spacing w:val="1"/>
        </w:rPr>
        <w:t>力学、水力机械及系</w:t>
      </w:r>
      <w:r>
        <w:rPr>
          <w:rFonts w:ascii="宋体" w:hAnsi="宋体" w:cs="宋体" w:eastAsia="宋体" w:hint="ascii"/>
          <w:sz w:val="21"/>
        </w:rPr>
        <w:t>统、水工结构与材料；海岸和近海工程、船舶工程、海洋工程</w:t>
      </w:r>
      <w:r>
        <w:rPr>
          <w:rFonts w:ascii="宋体" w:hAnsi="宋体" w:cs="宋体" w:eastAsia="宋体" w:hint="ascii"/>
          <w:sz w:val="21"/>
          <w:spacing w:val="-6"/>
        </w:rPr>
        <w:t>与</w:t>
      </w:r>
      <w:r>
        <w:rPr>
          <w:rFonts w:ascii="宋体" w:hAnsi="宋体" w:cs="宋体" w:eastAsia="宋体" w:hint="ascii"/>
          <w:sz w:val="21"/>
          <w:spacing w:val="1"/>
        </w:rPr>
        <w:t>海洋技术。其中，</w:t>
      </w:r>
      <w:r>
        <w:rPr>
          <w:rFonts w:ascii="宋体" w:hAnsi="宋体" w:cs="宋体" w:eastAsia="宋体" w:hint="ascii"/>
          <w:sz w:val="21"/>
        </w:rPr>
        <w:t>水环境领域受理以开放性水体和土壤为主要研究对象的申请；岩</w:t>
      </w:r>
      <w:r>
        <w:rPr>
          <w:rFonts w:ascii="宋体" w:hAnsi="宋体" w:cs="宋体" w:eastAsia="宋体" w:hint="ascii"/>
          <w:sz w:val="21"/>
          <w:spacing w:val="-6"/>
        </w:rPr>
        <w:t>土</w:t>
      </w:r>
      <w:r>
        <w:rPr>
          <w:rFonts w:ascii="宋体" w:hAnsi="宋体" w:cs="宋体" w:eastAsia="宋体" w:hint="ascii"/>
          <w:sz w:val="21"/>
          <w:spacing w:val="4"/>
        </w:rPr>
        <w:t>力学与岩土工程领域</w:t>
      </w:r>
      <w:r>
        <w:rPr>
          <w:rFonts w:ascii="宋体" w:hAnsi="宋体" w:cs="宋体" w:eastAsia="宋体" w:hint="ascii"/>
          <w:sz w:val="21"/>
          <w:spacing w:val="3"/>
        </w:rPr>
        <w:t>受理该领域内具有共性科学问题的申请和具有本学科特色的</w:t>
      </w:r>
      <w:r>
        <w:rPr>
          <w:rFonts w:ascii="宋体" w:hAnsi="宋体" w:cs="宋体" w:eastAsia="宋体" w:hint="ascii"/>
          <w:sz w:val="21"/>
          <w:spacing w:val="-6"/>
        </w:rPr>
        <w:t>申</w:t>
      </w:r>
      <w:r>
        <w:rPr>
          <w:rFonts w:ascii="宋体" w:hAnsi="宋体" w:cs="宋体" w:eastAsia="宋体" w:hint="ascii"/>
          <w:sz w:val="21"/>
          <w:spacing w:val="1"/>
        </w:rPr>
        <w:t>请；船舶与海洋工程领</w:t>
      </w:r>
      <w:r>
        <w:rPr>
          <w:rFonts w:ascii="宋体" w:hAnsi="宋体" w:cs="宋体" w:eastAsia="宋体" w:hint="ascii"/>
          <w:sz w:val="21"/>
        </w:rPr>
        <w:t>域中的轮机工程受理与海洋环境密切相关和具有本领域特色</w:t>
      </w:r>
      <w:r>
        <w:rPr>
          <w:rFonts w:ascii="宋体" w:hAnsi="宋体" w:cs="宋体" w:eastAsia="宋体" w:hint="ascii"/>
          <w:sz w:val="21"/>
          <w:spacing w:val="-6"/>
        </w:rPr>
        <w:t>的</w:t>
      </w:r>
      <w:r>
        <w:rPr>
          <w:rFonts w:ascii="宋体" w:hAnsi="宋体" w:cs="宋体" w:eastAsia="宋体" w:hint="ascii"/>
          <w:sz w:val="21"/>
        </w:rPr>
        <w:t>项目申请。</w:t>
      </w:r>
      <w:r>
        <w:rPr>
          <w:rFonts w:ascii="宋体" w:hAnsi="宋体" w:cs="宋体" w:eastAsia="宋体" w:hint="ascii"/>
          <w:sz w:val="21"/>
        </w:rPr>
        <mc:AlternateContent>
          <mc:Choice Requires="wps">
            <w:drawing>
              <wp:anchor distL="0" distR="0" distT="0" distB="0" simplePos="0" behindDoc="1" relativeHeight="110" locked="0" layoutInCell="1" allowOverlap="1">
                <wp:simplePos x="0" y="0"/>
                <wp:positionH relativeFrom="page">
                  <wp:posOffset>938530</wp:posOffset>
                </wp:positionH>
                <wp:positionV relativeFrom="page">
                  <wp:posOffset>805815</wp:posOffset>
                </wp:positionV>
                <wp:extent cx="5076190" cy="0"/>
                <wp:wrapNone/>
                <wp:docPr id="1139" name="113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45600;width:399.70pt;" id="113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29"/>
        <w:ind w:right="976" w:left="966" w:firstLine="420"/>
        <w:snapToGrid w:val="0"/>
        <w:textAlignment w:val="auto"/>
        <w:tabs>
          <w:tab w:val="left" w:leader="none" w:pos="1860"/>
        </w:tabs>
        <w:numPr>
          <w:ilvl w:val="0"/>
          <w:numId w:val="85"/>
        </w:numPr>
        <w:rPr>
          <w:rFonts w:ascii="Times New Roman" w:hAnsi="Times New Roman" w:cs="Times New Roman" w:eastAsia="Times New Roman" w:hint="ascii"/>
          <w:sz w:val="21"/>
          <w:spacing w:val="1"/>
        </w:rPr>
      </w:pPr>
      <w:r>
        <w:rPr>
          <w:rFonts w:ascii="宋体" w:hAnsi="宋体" w:cs="宋体" w:eastAsia="宋体" w:hint="ascii"/>
          <w:sz w:val="21"/>
        </w:rPr>
        <w:t>年度本学科接收面上项目申</w:t>
      </w:r>
      <w:r>
        <w:rPr>
          <w:rFonts w:ascii="宋体" w:hAnsi="宋体" w:cs="宋体" w:eastAsia="宋体" w:hint="ascii"/>
          <w:sz w:val="21"/>
          <w:spacing w:val="26"/>
        </w:rPr>
        <w:t>请</w:t>
      </w:r>
      <w:r>
        <w:rPr>
          <w:rFonts w:ascii="Times New Roman" w:hAnsi="Times New Roman" w:cs="Times New Roman" w:eastAsia="Times New Roman" w:hint="ascii"/>
          <w:sz w:val="21"/>
        </w:rPr>
        <w:t>1 33</w:t>
      </w:r>
      <w:r>
        <w:rPr>
          <w:rFonts w:ascii="Times New Roman" w:hAnsi="Times New Roman" w:cs="Times New Roman" w:eastAsia="Times New Roman" w:hint="ascii"/>
          <w:sz w:val="21"/>
          <w:spacing w:val="53"/>
        </w:rPr>
        <w:t>9</w:t>
      </w:r>
      <w:r>
        <w:rPr>
          <w:rFonts w:ascii="宋体" w:hAnsi="宋体" w:cs="宋体" w:eastAsia="宋体" w:hint="ascii"/>
          <w:sz w:val="21"/>
        </w:rPr>
        <w:t>项，增幅</w:t>
      </w:r>
      <w:r>
        <w:rPr>
          <w:rFonts w:ascii="宋体" w:hAnsi="宋体" w:cs="宋体" w:eastAsia="宋体" w:hint="ascii"/>
          <w:sz w:val="21"/>
          <w:spacing w:val="26"/>
        </w:rPr>
        <w:t>为</w:t>
      </w:r>
      <w:r>
        <w:rPr>
          <w:rFonts w:ascii="Times New Roman" w:hAnsi="Times New Roman" w:cs="Times New Roman" w:eastAsia="Times New Roman" w:hint="ascii"/>
          <w:sz w:val="21"/>
        </w:rPr>
        <w:t>0.98%</w:t>
      </w:r>
      <w:r>
        <w:rPr>
          <w:rFonts w:ascii="宋体" w:hAnsi="宋体" w:cs="宋体" w:eastAsia="宋体" w:hint="ascii"/>
          <w:sz w:val="21"/>
        </w:rPr>
        <w:t>；资</w:t>
      </w:r>
      <w:r>
        <w:rPr>
          <w:rFonts w:ascii="宋体" w:hAnsi="宋体" w:cs="宋体" w:eastAsia="宋体" w:hint="ascii"/>
          <w:sz w:val="21"/>
          <w:spacing w:val="26"/>
        </w:rPr>
        <w:t>助</w:t>
      </w:r>
      <w:r>
        <w:rPr>
          <w:rFonts w:ascii="Times New Roman" w:hAnsi="Times New Roman" w:cs="Times New Roman" w:eastAsia="Times New Roman" w:hint="ascii"/>
          <w:sz w:val="21"/>
        </w:rPr>
        <w:t>28</w:t>
      </w:r>
      <w:r>
        <w:rPr>
          <w:rFonts w:ascii="Times New Roman" w:hAnsi="Times New Roman" w:cs="Times New Roman" w:eastAsia="Times New Roman" w:hint="ascii"/>
          <w:sz w:val="21"/>
          <w:spacing w:val="53"/>
        </w:rPr>
        <w:t>0</w:t>
      </w:r>
      <w:r>
        <w:rPr>
          <w:rFonts w:ascii="宋体" w:hAnsi="宋体" w:cs="宋体" w:eastAsia="宋体" w:hint="ascii"/>
          <w:sz w:val="21"/>
        </w:rPr>
        <w:t>项，直接费用平均资助强度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60.0</w:t>
      </w:r>
      <w:r>
        <w:rPr>
          <w:rFonts w:ascii="Times New Roman" w:hAnsi="Times New Roman" w:cs="Times New Roman" w:eastAsia="Times New Roman" w:hint="ascii"/>
          <w:sz w:val="21"/>
          <w:spacing w:val="52"/>
        </w:rPr>
        <w:t>4</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20.91%</w:t>
      </w:r>
      <w:r>
        <w:rPr>
          <w:rFonts w:ascii="宋体" w:hAnsi="宋体" w:cs="宋体" w:eastAsia="宋体" w:hint="ascii"/>
          <w:sz w:val="21"/>
        </w:rPr>
        <w:t>。</w:t>
      </w:r>
    </w:p>
    <w:p>
      <w:pPr>
        <w:autoSpaceDE w:val="0"/>
        <w:autoSpaceDN w:val="0"/>
        <w:jc w:val="left"/>
        <w:spacing w:before="52" w:after="0" w:lineRule="auto" w:line="240"/>
        <w:ind w:right="0" w:left="956" w:firstLine="420"/>
        <w:snapToGrid w:val="0"/>
        <w:textAlignment w:val="auto"/>
        <w:tabs>
          <w:tab w:val="left" w:leader="none" w:pos="1838"/>
        </w:tabs>
        <w:numPr>
          <w:ilvl w:val="0"/>
          <w:numId w:val="85"/>
        </w:numPr>
        <w:rPr>
          <w:rFonts w:ascii="Times New Roman" w:hAnsi="Times New Roman" w:cs="Times New Roman" w:eastAsia="Times New Roman" w:hint="ascii"/>
          <w:b w:val="1"/>
          <w:sz w:val="21"/>
          <w:spacing w:val="-3"/>
        </w:rPr>
      </w:pPr>
      <w:r>
        <w:rPr>
          <w:rFonts w:ascii="宋体" w:hAnsi="宋体" w:cs="宋体" w:eastAsia="宋体" w:hint="ascii"/>
          <w:sz w:val="21"/>
          <w:spacing w:val="-1"/>
        </w:rPr>
        <w:t>年度</w:t>
      </w:r>
      <w:r>
        <w:rPr>
          <w:rFonts w:ascii="宋体" w:hAnsi="宋体" w:cs="宋体" w:eastAsia="宋体" w:hint="ascii"/>
          <w:sz w:val="21"/>
        </w:rPr>
        <w:t>拟</w:t>
      </w:r>
      <w:r>
        <w:rPr>
          <w:rFonts w:ascii="宋体" w:hAnsi="宋体" w:cs="宋体" w:eastAsia="宋体" w:hint="ascii"/>
          <w:sz w:val="21"/>
          <w:spacing w:val="-1"/>
        </w:rPr>
        <w:t>以适当提</w:t>
      </w:r>
      <w:r>
        <w:rPr>
          <w:rFonts w:ascii="宋体" w:hAnsi="宋体" w:cs="宋体" w:eastAsia="宋体" w:hint="ascii"/>
          <w:sz w:val="21"/>
        </w:rPr>
        <w:t>高</w:t>
      </w:r>
      <w:r>
        <w:rPr>
          <w:rFonts w:ascii="宋体" w:hAnsi="宋体" w:cs="宋体" w:eastAsia="宋体" w:hint="ascii"/>
          <w:sz w:val="21"/>
          <w:spacing w:val="-1"/>
        </w:rPr>
        <w:t>资助强度</w:t>
      </w:r>
      <w:r>
        <w:rPr>
          <w:rFonts w:ascii="宋体" w:hAnsi="宋体" w:cs="宋体" w:eastAsia="宋体" w:hint="ascii"/>
          <w:sz w:val="21"/>
        </w:rPr>
        <w:t>的</w:t>
      </w:r>
      <w:r>
        <w:rPr>
          <w:rFonts w:ascii="宋体" w:hAnsi="宋体" w:cs="宋体" w:eastAsia="宋体" w:hint="ascii"/>
          <w:sz w:val="21"/>
          <w:spacing w:val="-1"/>
        </w:rPr>
        <w:t>方式鼓励</w:t>
      </w:r>
      <w:r>
        <w:rPr>
          <w:rFonts w:ascii="宋体" w:hAnsi="宋体" w:cs="宋体" w:eastAsia="宋体" w:hint="ascii"/>
          <w:sz w:val="21"/>
        </w:rPr>
        <w:t>和</w:t>
      </w:r>
      <w:r>
        <w:rPr>
          <w:rFonts w:ascii="宋体" w:hAnsi="宋体" w:cs="宋体" w:eastAsia="宋体" w:hint="ascii"/>
          <w:sz w:val="21"/>
          <w:spacing w:val="-1"/>
        </w:rPr>
        <w:t>引导以下</w:t>
      </w:r>
      <w:r>
        <w:rPr>
          <w:rFonts w:ascii="宋体" w:hAnsi="宋体" w:cs="宋体" w:eastAsia="宋体" w:hint="ascii"/>
          <w:sz w:val="21"/>
        </w:rPr>
        <w:t>两</w:t>
      </w:r>
      <w:r>
        <w:rPr>
          <w:rFonts w:ascii="宋体" w:hAnsi="宋体" w:cs="宋体" w:eastAsia="宋体" w:hint="ascii"/>
          <w:sz w:val="21"/>
          <w:spacing w:val="-1"/>
        </w:rPr>
        <w:t>个研究领</w:t>
      </w:r>
      <w:r>
        <w:rPr>
          <w:rFonts w:ascii="宋体" w:hAnsi="宋体" w:cs="宋体" w:eastAsia="宋体" w:hint="ascii"/>
          <w:sz w:val="21"/>
        </w:rPr>
        <w:t>域</w:t>
      </w:r>
      <w:r>
        <w:rPr>
          <w:rFonts w:ascii="宋体" w:hAnsi="宋体" w:cs="宋体" w:eastAsia="宋体" w:hint="ascii"/>
          <w:sz w:val="21"/>
          <w:spacing w:val="-1"/>
        </w:rPr>
        <w:t>的申请</w:t>
      </w:r>
      <w:r>
        <w:rPr>
          <w:rFonts w:ascii="宋体" w:hAnsi="宋体" w:cs="宋体" w:eastAsia="宋体" w:hint="ascii"/>
          <w:sz w:val="21"/>
        </w:rPr>
        <w:t>：</w:t>
      </w:r>
      <w:r>
        <w:rPr>
          <w:rFonts w:ascii="宋体" w:hAnsi="宋体" w:cs="宋体" w:eastAsia="宋体" w:hint="ascii"/>
          <w:b w:val="1"/>
          <w:sz w:val="21"/>
        </w:rPr>
        <w:t>①</w:t>
      </w:r>
      <w:r>
        <w:rPr>
          <w:rFonts w:ascii="宋体" w:hAnsi="宋体" w:cs="宋体" w:eastAsia="宋体" w:hint="ascii"/>
          <w:sz w:val="21"/>
        </w:rPr>
        <w:t>城</w:t>
      </w:r>
    </w:p>
    <w:p>
      <w:pPr>
        <w:autoSpaceDE w:val="0"/>
        <w:autoSpaceDN w:val="0"/>
        <w:jc w:val="both"/>
        <w:spacing w:before="19" w:after="0" w:lineRule="exact" w:line="329"/>
        <w:ind w:right="976" w:left="966" w:firstLine="0"/>
        <w:snapToGrid w:val="0"/>
        <w:textAlignment w:val="auto"/>
        <w:tabs/>
        <w:rPr>
          <w:rFonts w:ascii="宋体" w:hAnsi="宋体" w:cs="宋体" w:eastAsia="宋体" w:hint="ascii"/>
          <w:b w:val="1"/>
          <w:sz w:val="21"/>
        </w:rPr>
      </w:pPr>
      <w:r>
        <w:rPr>
          <w:rFonts w:ascii="宋体" w:hAnsi="宋体" w:cs="宋体" w:eastAsia="宋体" w:hint="ascii"/>
          <w:sz w:val="21"/>
          <w:spacing w:val="1"/>
        </w:rPr>
        <w:t>市（或者山区）洪涝特</w:t>
      </w:r>
      <w:r>
        <w:rPr>
          <w:rFonts w:ascii="宋体" w:hAnsi="宋体" w:cs="宋体" w:eastAsia="宋体" w:hint="ascii"/>
          <w:sz w:val="21"/>
        </w:rPr>
        <w:t>性与减灾技术；</w:t>
      </w:r>
      <w:r>
        <w:rPr>
          <w:rFonts w:ascii="宋体" w:hAnsi="宋体" w:cs="宋体" w:eastAsia="宋体" w:hint="ascii"/>
          <w:b w:val="1"/>
          <w:sz w:val="21"/>
        </w:rPr>
        <w:t>②</w:t>
      </w:r>
      <w:r>
        <w:rPr>
          <w:rFonts w:ascii="宋体" w:hAnsi="宋体" w:cs="宋体" w:eastAsia="宋体" w:hint="ascii"/>
          <w:sz w:val="21"/>
        </w:rPr>
        <w:t>生态水利的基础理论</w:t>
      </w:r>
      <w:r>
        <w:rPr>
          <w:rFonts w:ascii="宋体" w:hAnsi="宋体" w:cs="宋体" w:eastAsia="宋体" w:hint="ascii"/>
          <w:b w:val="1"/>
          <w:sz w:val="21"/>
        </w:rPr>
        <w:t>。</w:t>
      </w:r>
      <w:r>
        <w:rPr>
          <w:rFonts w:ascii="宋体" w:hAnsi="宋体" w:cs="宋体" w:eastAsia="宋体" w:hint="ascii"/>
          <w:sz w:val="21"/>
        </w:rPr>
        <w:t>请选择在上述两个</w:t>
      </w:r>
      <w:r>
        <w:rPr>
          <w:rFonts w:ascii="宋体" w:hAnsi="宋体" w:cs="宋体" w:eastAsia="宋体" w:hint="ascii"/>
          <w:sz w:val="21"/>
          <w:spacing w:val="-6"/>
        </w:rPr>
        <w:t>领</w:t>
      </w:r>
      <w:r>
        <w:rPr>
          <w:rFonts w:ascii="宋体" w:hAnsi="宋体" w:cs="宋体" w:eastAsia="宋体" w:hint="ascii"/>
          <w:sz w:val="21"/>
          <w:spacing w:val="-1"/>
        </w:rPr>
        <w:t>域内开展</w:t>
      </w:r>
      <w:r>
        <w:rPr>
          <w:rFonts w:ascii="宋体" w:hAnsi="宋体" w:cs="宋体" w:eastAsia="宋体" w:hint="ascii"/>
          <w:sz w:val="21"/>
        </w:rPr>
        <w:t>研究的申请人在申请书正文第一行中注明：本申请属于面上项目指南中的“鼓励和引导的研究领域</w:t>
      </w:r>
      <w:r>
        <w:rPr>
          <w:rFonts w:ascii="宋体" w:hAnsi="宋体" w:cs="宋体" w:eastAsia="宋体" w:hint="ascii"/>
          <w:sz w:val="21"/>
          <w:spacing w:val="-52"/>
        </w:rPr>
        <w:t>”</w:t>
      </w:r>
      <w:r>
        <w:rPr>
          <w:rFonts w:ascii="宋体" w:hAnsi="宋体" w:cs="宋体" w:eastAsia="宋体" w:hint="ascii"/>
          <w:sz w:val="21"/>
        </w:rPr>
        <w:t>，以便提醒评审人给予关注</w:t>
      </w:r>
      <w:r>
        <w:rPr>
          <w:rFonts w:ascii="宋体" w:hAnsi="宋体" w:cs="宋体" w:eastAsia="宋体" w:hint="ascii"/>
          <w:b w:val="1"/>
          <w:sz w:val="21"/>
        </w:rPr>
        <w:t>。</w:t>
      </w:r>
    </w:p>
    <w:p>
      <w:pPr>
        <w:autoSpaceDE w:val="0"/>
        <w:autoSpaceDN w:val="0"/>
        <w:jc w:val="left"/>
        <w:spacing w:before="52"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变化环境</w:t>
      </w:r>
      <w:r>
        <w:rPr>
          <w:rFonts w:ascii="宋体" w:hAnsi="宋体" w:cs="宋体" w:eastAsia="宋体" w:hint="ascii"/>
          <w:sz w:val="21"/>
        </w:rPr>
        <w:t>下</w:t>
      </w:r>
      <w:r>
        <w:rPr>
          <w:rFonts w:ascii="宋体" w:hAnsi="宋体" w:cs="宋体" w:eastAsia="宋体" w:hint="ascii"/>
          <w:sz w:val="21"/>
          <w:spacing w:val="3"/>
        </w:rPr>
        <w:t>水循环及</w:t>
      </w:r>
      <w:r>
        <w:rPr>
          <w:rFonts w:ascii="宋体" w:hAnsi="宋体" w:cs="宋体" w:eastAsia="宋体" w:hint="ascii"/>
          <w:sz w:val="21"/>
        </w:rPr>
        <w:t>极</w:t>
      </w:r>
      <w:r>
        <w:rPr>
          <w:rFonts w:ascii="宋体" w:hAnsi="宋体" w:cs="宋体" w:eastAsia="宋体" w:hint="ascii"/>
          <w:sz w:val="21"/>
          <w:spacing w:val="3"/>
        </w:rPr>
        <w:t>端洪旱灾</w:t>
      </w:r>
      <w:r>
        <w:rPr>
          <w:rFonts w:ascii="宋体" w:hAnsi="宋体" w:cs="宋体" w:eastAsia="宋体" w:hint="ascii"/>
          <w:sz w:val="21"/>
        </w:rPr>
        <w:t>害</w:t>
      </w:r>
      <w:r>
        <w:rPr>
          <w:rFonts w:ascii="宋体" w:hAnsi="宋体" w:cs="宋体" w:eastAsia="宋体" w:hint="ascii"/>
          <w:sz w:val="21"/>
          <w:spacing w:val="3"/>
        </w:rPr>
        <w:t>演变及预</w:t>
      </w:r>
      <w:r>
        <w:rPr>
          <w:rFonts w:ascii="宋体" w:hAnsi="宋体" w:cs="宋体" w:eastAsia="宋体" w:hint="ascii"/>
          <w:sz w:val="21"/>
        </w:rPr>
        <w:t>测</w:t>
      </w:r>
      <w:r>
        <w:rPr>
          <w:rFonts w:ascii="宋体" w:hAnsi="宋体" w:cs="宋体" w:eastAsia="宋体" w:hint="ascii"/>
          <w:sz w:val="21"/>
          <w:spacing w:val="3"/>
        </w:rPr>
        <w:t>、流域水</w:t>
      </w:r>
      <w:r>
        <w:rPr>
          <w:rFonts w:ascii="宋体" w:hAnsi="宋体" w:cs="宋体" w:eastAsia="宋体" w:hint="ascii"/>
          <w:sz w:val="21"/>
        </w:rPr>
        <w:t>文</w:t>
      </w:r>
      <w:r>
        <w:rPr>
          <w:rFonts w:ascii="宋体" w:hAnsi="宋体" w:cs="宋体" w:eastAsia="宋体" w:hint="ascii"/>
          <w:sz w:val="21"/>
          <w:spacing w:val="3"/>
        </w:rPr>
        <w:t>过程模拟</w:t>
      </w:r>
      <w:r>
        <w:rPr>
          <w:rFonts w:ascii="宋体" w:hAnsi="宋体" w:cs="宋体" w:eastAsia="宋体" w:hint="ascii"/>
          <w:sz w:val="21"/>
        </w:rPr>
        <w:t>与</w:t>
      </w:r>
      <w:r>
        <w:rPr>
          <w:rFonts w:ascii="宋体" w:hAnsi="宋体" w:cs="宋体" w:eastAsia="宋体" w:hint="ascii"/>
          <w:sz w:val="21"/>
          <w:spacing w:val="3"/>
        </w:rPr>
        <w:t>预报是</w:t>
      </w:r>
      <w:r>
        <w:rPr>
          <w:rFonts w:ascii="宋体" w:hAnsi="宋体" w:cs="宋体" w:eastAsia="宋体" w:hint="ascii"/>
          <w:sz w:val="21"/>
          <w:spacing w:val="4"/>
        </w:rPr>
        <w:t>水</w:t>
      </w:r>
      <w:r>
        <w:rPr>
          <w:rFonts w:ascii="宋体" w:hAnsi="宋体" w:cs="宋体" w:eastAsia="宋体" w:hint="ascii"/>
          <w:sz w:val="21"/>
        </w:rPr>
        <w:t>文</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水资源领域的重要研</w:t>
      </w:r>
      <w:r>
        <w:rPr>
          <w:rFonts w:ascii="宋体" w:hAnsi="宋体" w:cs="宋体" w:eastAsia="宋体" w:hint="ascii"/>
          <w:sz w:val="21"/>
        </w:rPr>
        <w:t>究方向。水土科学与生物系统工程研究热点主要集中在农田水</w:t>
      </w:r>
      <w:r>
        <w:rPr>
          <w:rFonts w:ascii="宋体" w:hAnsi="宋体" w:cs="宋体" w:eastAsia="宋体" w:hint="ascii"/>
          <w:sz w:val="21"/>
          <w:spacing w:val="-6"/>
        </w:rPr>
        <w:t>热</w:t>
      </w:r>
      <w:r>
        <w:rPr>
          <w:rFonts w:ascii="宋体" w:hAnsi="宋体" w:cs="宋体" w:eastAsia="宋体" w:hint="ascii"/>
          <w:sz w:val="21"/>
          <w:spacing w:val="1"/>
        </w:rPr>
        <w:t>及化学生物过程及其</w:t>
      </w:r>
      <w:r>
        <w:rPr>
          <w:rFonts w:ascii="宋体" w:hAnsi="宋体" w:cs="宋体" w:eastAsia="宋体" w:hint="ascii"/>
          <w:sz w:val="21"/>
        </w:rPr>
        <w:t>耦合作用、作物节水机理、高效灌排技术与模式及其生态环境</w:t>
      </w:r>
      <w:r>
        <w:rPr>
          <w:rFonts w:ascii="宋体" w:hAnsi="宋体" w:cs="宋体" w:eastAsia="宋体" w:hint="ascii"/>
          <w:sz w:val="21"/>
          <w:spacing w:val="-6"/>
        </w:rPr>
        <w:t>效</w:t>
      </w:r>
      <w:r>
        <w:rPr>
          <w:rFonts w:ascii="宋体" w:hAnsi="宋体" w:cs="宋体" w:eastAsia="宋体" w:hint="ascii"/>
          <w:sz w:val="21"/>
          <w:spacing w:val="1"/>
        </w:rPr>
        <w:t>应等方面；与水环境</w:t>
      </w:r>
      <w:r>
        <w:rPr>
          <w:rFonts w:ascii="宋体" w:hAnsi="宋体" w:cs="宋体" w:eastAsia="宋体" w:hint="ascii"/>
          <w:sz w:val="21"/>
        </w:rPr>
        <w:t>有关的物理、化学和生物过程及重大工程生态环境效应及调控</w:t>
      </w:r>
      <w:r>
        <w:rPr>
          <w:rFonts w:ascii="宋体" w:hAnsi="宋体" w:cs="宋体" w:eastAsia="宋体" w:hint="ascii"/>
          <w:sz w:val="21"/>
          <w:spacing w:val="-6"/>
        </w:rPr>
        <w:t>理</w:t>
      </w:r>
      <w:r>
        <w:rPr>
          <w:rFonts w:ascii="宋体" w:hAnsi="宋体" w:cs="宋体" w:eastAsia="宋体" w:hint="ascii"/>
          <w:sz w:val="21"/>
          <w:spacing w:val="1"/>
        </w:rPr>
        <w:t>论是水环境与生态水</w:t>
      </w:r>
      <w:r>
        <w:rPr>
          <w:rFonts w:ascii="宋体" w:hAnsi="宋体" w:cs="宋体" w:eastAsia="宋体" w:hint="ascii"/>
          <w:sz w:val="21"/>
        </w:rPr>
        <w:t>利的研究热点；水与经济和社会、环境与能源等密切相关，鼓</w:t>
      </w:r>
      <w:r>
        <w:rPr>
          <w:rFonts w:ascii="宋体" w:hAnsi="宋体" w:cs="宋体" w:eastAsia="宋体" w:hint="ascii"/>
          <w:sz w:val="21"/>
          <w:spacing w:val="-6"/>
        </w:rPr>
        <w:t>励</w:t>
      </w:r>
      <w:r>
        <w:rPr>
          <w:rFonts w:ascii="宋体" w:hAnsi="宋体" w:cs="宋体" w:eastAsia="宋体" w:hint="ascii"/>
          <w:sz w:val="21"/>
          <w:spacing w:val="1"/>
        </w:rPr>
        <w:t>在水资源、水环境与</w:t>
      </w:r>
      <w:r>
        <w:rPr>
          <w:rFonts w:ascii="宋体" w:hAnsi="宋体" w:cs="宋体" w:eastAsia="宋体" w:hint="ascii"/>
          <w:sz w:val="21"/>
        </w:rPr>
        <w:t>水生态等领域采用学科交叉和集成的研究方法；河流海岸动力</w:t>
      </w:r>
      <w:r>
        <w:rPr>
          <w:rFonts w:ascii="宋体" w:hAnsi="宋体" w:cs="宋体" w:eastAsia="宋体" w:hint="ascii"/>
          <w:sz w:val="21"/>
          <w:spacing w:val="-6"/>
        </w:rPr>
        <w:t>学</w:t>
      </w:r>
      <w:r>
        <w:rPr>
          <w:rFonts w:ascii="宋体" w:hAnsi="宋体" w:cs="宋体" w:eastAsia="宋体" w:hint="ascii"/>
          <w:sz w:val="21"/>
          <w:spacing w:val="1"/>
        </w:rPr>
        <w:t>与泥沙研究重视泥</w:t>
      </w:r>
      <w:r>
        <w:rPr>
          <w:rFonts w:ascii="宋体" w:hAnsi="宋体" w:cs="宋体" w:eastAsia="宋体" w:hint="ascii"/>
          <w:sz w:val="21"/>
        </w:rPr>
        <w:t>沙运动基础理论与应用研究、河流河口演变，以及重大工程泥沙</w:t>
      </w:r>
      <w:r>
        <w:rPr>
          <w:rFonts w:ascii="宋体" w:hAnsi="宋体" w:cs="宋体" w:eastAsia="宋体" w:hint="ascii"/>
          <w:sz w:val="21"/>
          <w:spacing w:val="-6"/>
        </w:rPr>
        <w:t>问</w:t>
      </w:r>
      <w:r>
        <w:rPr>
          <w:rFonts w:ascii="宋体" w:hAnsi="宋体" w:cs="宋体" w:eastAsia="宋体" w:hint="ascii"/>
          <w:sz w:val="21"/>
          <w:spacing w:val="4"/>
        </w:rPr>
        <w:t>题；鼓励从宏观到微</w:t>
      </w:r>
      <w:r>
        <w:rPr>
          <w:rFonts w:ascii="宋体" w:hAnsi="宋体" w:cs="宋体" w:eastAsia="宋体" w:hint="ascii"/>
          <w:sz w:val="21"/>
          <w:spacing w:val="3"/>
        </w:rPr>
        <w:t>观、从工程到流域的水力学基础研究，以及水信息学新方法</w:t>
      </w:r>
      <w:r>
        <w:rPr>
          <w:rFonts w:ascii="宋体" w:hAnsi="宋体" w:cs="宋体" w:eastAsia="宋体" w:hint="ascii"/>
          <w:sz w:val="21"/>
          <w:spacing w:val="-6"/>
        </w:rPr>
        <w:t>探</w:t>
      </w:r>
      <w:r>
        <w:rPr>
          <w:rFonts w:ascii="宋体" w:hAnsi="宋体" w:cs="宋体" w:eastAsia="宋体" w:hint="ascii"/>
          <w:sz w:val="21"/>
          <w:spacing w:val="1"/>
        </w:rPr>
        <w:t>索；水力机械瞬态过</w:t>
      </w:r>
      <w:r>
        <w:rPr>
          <w:rFonts w:ascii="宋体" w:hAnsi="宋体" w:cs="宋体" w:eastAsia="宋体" w:hint="ascii"/>
          <w:sz w:val="21"/>
        </w:rPr>
        <w:t>程是当前水力机械领域的研究重点；岩土力学与岩土工程的研</w:t>
      </w:r>
      <w:r>
        <w:rPr>
          <w:rFonts w:ascii="宋体" w:hAnsi="宋体" w:cs="宋体" w:eastAsia="宋体" w:hint="ascii"/>
          <w:sz w:val="21"/>
          <w:spacing w:val="-6"/>
        </w:rPr>
        <w:t>究</w:t>
      </w:r>
      <w:r>
        <w:rPr>
          <w:rFonts w:ascii="宋体" w:hAnsi="宋体" w:cs="宋体" w:eastAsia="宋体" w:hint="ascii"/>
          <w:sz w:val="21"/>
          <w:spacing w:val="1"/>
        </w:rPr>
        <w:t>热点包括岩土体的本</w:t>
      </w:r>
      <w:r>
        <w:rPr>
          <w:rFonts w:ascii="宋体" w:hAnsi="宋体" w:cs="宋体" w:eastAsia="宋体" w:hint="ascii"/>
          <w:sz w:val="21"/>
        </w:rPr>
        <w:t>构关系、多场多相耦合、变形与破坏机理及工程安全调控；复</w:t>
      </w:r>
      <w:r>
        <w:rPr>
          <w:rFonts w:ascii="宋体" w:hAnsi="宋体" w:cs="宋体" w:eastAsia="宋体" w:hint="ascii"/>
          <w:sz w:val="21"/>
          <w:spacing w:val="-6"/>
        </w:rPr>
        <w:t>杂</w:t>
      </w:r>
      <w:r>
        <w:rPr>
          <w:rFonts w:ascii="宋体" w:hAnsi="宋体" w:cs="宋体" w:eastAsia="宋体" w:hint="ascii"/>
          <w:sz w:val="21"/>
          <w:spacing w:val="1"/>
        </w:rPr>
        <w:t>条件下水利水电结构</w:t>
      </w:r>
      <w:r>
        <w:rPr>
          <w:rFonts w:ascii="宋体" w:hAnsi="宋体" w:cs="宋体" w:eastAsia="宋体" w:hint="ascii"/>
          <w:sz w:val="21"/>
        </w:rPr>
        <w:t>工程前沿理论研究有待新的突破，环境友好和性能设计是水工</w:t>
      </w:r>
      <w:r>
        <w:rPr>
          <w:rFonts w:ascii="宋体" w:hAnsi="宋体" w:cs="宋体" w:eastAsia="宋体" w:hint="ascii"/>
          <w:sz w:val="21"/>
          <w:spacing w:val="-6"/>
        </w:rPr>
        <w:t>新</w:t>
      </w:r>
      <w:r>
        <w:rPr>
          <w:rFonts w:ascii="宋体" w:hAnsi="宋体" w:cs="宋体" w:eastAsia="宋体" w:hint="ascii"/>
          <w:sz w:val="21"/>
          <w:spacing w:val="1"/>
        </w:rPr>
        <w:t>材料领域重要的发展</w:t>
      </w:r>
      <w:r>
        <w:rPr>
          <w:rFonts w:ascii="宋体" w:hAnsi="宋体" w:cs="宋体" w:eastAsia="宋体" w:hint="ascii"/>
          <w:sz w:val="21"/>
        </w:rPr>
        <w:t>趋势；海岸工程领域的研究热点包括港口航道工程，近海资源</w:t>
      </w:r>
      <w:r>
        <w:rPr>
          <w:rFonts w:ascii="宋体" w:hAnsi="宋体" w:cs="宋体" w:eastAsia="宋体" w:hint="ascii"/>
          <w:sz w:val="21"/>
          <w:spacing w:val="-6"/>
        </w:rPr>
        <w:t>与</w:t>
      </w:r>
      <w:r>
        <w:rPr>
          <w:rFonts w:ascii="宋体" w:hAnsi="宋体" w:cs="宋体" w:eastAsia="宋体" w:hint="ascii"/>
          <w:sz w:val="21"/>
          <w:spacing w:val="1"/>
        </w:rPr>
        <w:t>能源开发及环境保护</w:t>
      </w:r>
      <w:r>
        <w:rPr>
          <w:rFonts w:ascii="宋体" w:hAnsi="宋体" w:cs="宋体" w:eastAsia="宋体" w:hint="ascii"/>
          <w:sz w:val="21"/>
        </w:rPr>
        <w:t>，极端情况下防灾减灾工程；船舶与海洋工程领域重视船舶与</w:t>
      </w:r>
      <w:r>
        <w:rPr>
          <w:rFonts w:ascii="宋体" w:hAnsi="宋体" w:cs="宋体" w:eastAsia="宋体" w:hint="ascii"/>
          <w:sz w:val="21"/>
          <w:spacing w:val="-6"/>
        </w:rPr>
        <w:t>海</w:t>
      </w:r>
      <w:r>
        <w:rPr>
          <w:rFonts w:ascii="宋体" w:hAnsi="宋体" w:cs="宋体" w:eastAsia="宋体" w:hint="ascii"/>
          <w:sz w:val="21"/>
          <w:spacing w:val="1"/>
        </w:rPr>
        <w:t>洋结构物在复杂海况</w:t>
      </w:r>
      <w:r>
        <w:rPr>
          <w:rFonts w:ascii="宋体" w:hAnsi="宋体" w:cs="宋体" w:eastAsia="宋体" w:hint="ascii"/>
          <w:sz w:val="21"/>
        </w:rPr>
        <w:t>下的运动与响应基础理论，新船型开发与设计方法、船舶航线</w:t>
      </w:r>
      <w:r>
        <w:rPr>
          <w:rFonts w:ascii="宋体" w:hAnsi="宋体" w:cs="宋体" w:eastAsia="宋体" w:hint="ascii"/>
          <w:sz w:val="21"/>
          <w:spacing w:val="-6"/>
        </w:rPr>
        <w:t>安</w:t>
      </w:r>
      <w:r>
        <w:rPr>
          <w:rFonts w:ascii="宋体" w:hAnsi="宋体" w:cs="宋体" w:eastAsia="宋体" w:hint="ascii"/>
          <w:sz w:val="21"/>
          <w:spacing w:val="1"/>
        </w:rPr>
        <w:t>全保障技术、深海探</w:t>
      </w:r>
      <w:r>
        <w:rPr>
          <w:rFonts w:ascii="宋体" w:hAnsi="宋体" w:cs="宋体" w:eastAsia="宋体" w:hint="ascii"/>
          <w:sz w:val="21"/>
        </w:rPr>
        <w:t>测技术及深海资源开发中相关基础理论，新型水声换能和通信</w:t>
      </w:r>
      <w:r>
        <w:rPr>
          <w:rFonts w:ascii="宋体" w:hAnsi="宋体" w:cs="宋体" w:eastAsia="宋体" w:hint="ascii"/>
          <w:sz w:val="21"/>
          <w:spacing w:val="-6"/>
        </w:rPr>
        <w:t>理</w:t>
      </w:r>
      <w:r>
        <w:rPr>
          <w:rFonts w:ascii="宋体" w:hAnsi="宋体" w:cs="宋体" w:eastAsia="宋体" w:hint="ascii"/>
          <w:sz w:val="21"/>
          <w:spacing w:val="1"/>
        </w:rPr>
        <w:t>论，数值实验与实测技</w:t>
      </w:r>
      <w:r>
        <w:rPr>
          <w:rFonts w:ascii="宋体" w:hAnsi="宋体" w:cs="宋体" w:eastAsia="宋体" w:hint="ascii"/>
          <w:sz w:val="21"/>
        </w:rPr>
        <w:t>术，以及船舶新型动力装置及绿色技术、船舶安全及预警、</w:t>
      </w:r>
      <w:r>
        <w:rPr>
          <w:rFonts w:ascii="宋体" w:hAnsi="宋体" w:cs="宋体" w:eastAsia="宋体" w:hint="ascii"/>
          <w:sz w:val="21"/>
          <w:spacing w:val="-6"/>
        </w:rPr>
        <w:t>船</w:t>
      </w:r>
      <w:r>
        <w:rPr>
          <w:rFonts w:ascii="宋体" w:hAnsi="宋体" w:cs="宋体" w:eastAsia="宋体" w:hint="ascii"/>
          <w:sz w:val="21"/>
        </w:rPr>
        <w:t>舶智能化及信息化关键技术。</w:t>
      </w:r>
    </w:p>
    <w:p>
      <w:pPr>
        <w:autoSpaceDE w:val="0"/>
        <w:autoSpaceDN w:val="0"/>
        <w:jc w:val="both"/>
        <w:spacing w:before="0" w:after="0" w:lineRule="exact" w:line="330"/>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从近年申请和资助的情况来看，水利科学与海洋工程学科涉及面渐广、交叉性</w:t>
      </w:r>
      <w:r>
        <w:rPr>
          <w:rFonts w:ascii="宋体" w:hAnsi="宋体" w:cs="宋体" w:eastAsia="宋体" w:hint="ascii"/>
          <w:sz w:val="21"/>
          <w:spacing w:val="-6"/>
        </w:rPr>
        <w:t>渐</w:t>
      </w:r>
      <w:r>
        <w:rPr>
          <w:rFonts w:ascii="宋体" w:hAnsi="宋体" w:cs="宋体" w:eastAsia="宋体" w:hint="ascii"/>
          <w:sz w:val="21"/>
        </w:rPr>
        <w:t xml:space="preserve"> 强，项目申请数和资助量逐年增加。</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年度面上项目申请和资助较多的领域为海洋工程（</w:t>
      </w:r>
      <w:r>
        <w:rPr>
          <w:rFonts w:ascii="Times New Roman" w:hAnsi="Times New Roman" w:cs="Times New Roman" w:eastAsia="Times New Roman" w:hint="ascii"/>
          <w:sz w:val="21"/>
        </w:rPr>
        <w:t>E0910</w:t>
      </w:r>
      <w:r>
        <w:rPr>
          <w:rFonts w:ascii="宋体" w:hAnsi="宋体" w:cs="宋体" w:eastAsia="宋体" w:hint="ascii"/>
          <w:sz w:val="21"/>
          <w:spacing w:val="-52"/>
        </w:rPr>
        <w:t>）</w:t>
      </w:r>
      <w:r>
        <w:rPr>
          <w:rFonts w:ascii="宋体" w:hAnsi="宋体" w:cs="宋体" w:eastAsia="宋体" w:hint="ascii"/>
          <w:sz w:val="21"/>
        </w:rPr>
        <w:t>、水环境与生态水利（</w:t>
      </w:r>
      <w:r>
        <w:rPr>
          <w:rFonts w:ascii="Times New Roman" w:hAnsi="Times New Roman" w:cs="Times New Roman" w:eastAsia="Times New Roman" w:hint="ascii"/>
          <w:sz w:val="21"/>
        </w:rPr>
        <w:t>E0903</w:t>
      </w:r>
      <w:r>
        <w:rPr>
          <w:rFonts w:ascii="宋体" w:hAnsi="宋体" w:cs="宋体" w:eastAsia="宋体" w:hint="ascii"/>
          <w:sz w:val="21"/>
          <w:spacing w:val="-52"/>
        </w:rPr>
        <w:t>）</w:t>
      </w:r>
      <w:r>
        <w:rPr>
          <w:rFonts w:ascii="宋体" w:hAnsi="宋体" w:cs="宋体" w:eastAsia="宋体" w:hint="ascii"/>
          <w:sz w:val="21"/>
        </w:rPr>
        <w:t>、岩土力学与岩土工程（</w:t>
      </w:r>
      <w:r>
        <w:rPr>
          <w:rFonts w:ascii="Times New Roman" w:hAnsi="Times New Roman" w:cs="Times New Roman" w:eastAsia="Times New Roman" w:hint="ascii"/>
          <w:sz w:val="21"/>
        </w:rPr>
        <w:t>E0907</w:t>
      </w:r>
      <w:r>
        <w:rPr>
          <w:rFonts w:ascii="宋体" w:hAnsi="宋体" w:cs="宋体" w:eastAsia="宋体" w:hint="ascii"/>
          <w:sz w:val="21"/>
          <w:spacing w:val="-52"/>
        </w:rPr>
        <w:t>）</w:t>
      </w:r>
      <w:r>
        <w:rPr>
          <w:rFonts w:ascii="宋体" w:hAnsi="宋体" w:cs="宋体" w:eastAsia="宋体" w:hint="ascii"/>
          <w:sz w:val="21"/>
        </w:rPr>
        <w:t>；申请和资助较少的领域为海岸工程（</w:t>
      </w:r>
      <w:r>
        <w:rPr>
          <w:rFonts w:ascii="Times New Roman" w:hAnsi="Times New Roman" w:cs="Times New Roman" w:eastAsia="Times New Roman" w:hint="ascii"/>
          <w:sz w:val="21"/>
        </w:rPr>
        <w:t>E0909</w:t>
      </w:r>
      <w:r>
        <w:rPr>
          <w:rFonts w:ascii="宋体" w:hAnsi="宋体" w:cs="宋体" w:eastAsia="宋体" w:hint="ascii"/>
          <w:sz w:val="21"/>
        </w:rPr>
        <w:t>）和水力学与水信息学（</w:t>
      </w:r>
      <w:r>
        <w:rPr>
          <w:rFonts w:ascii="Times New Roman" w:hAnsi="Times New Roman" w:cs="Times New Roman" w:eastAsia="Times New Roman" w:hint="ascii"/>
          <w:sz w:val="21"/>
        </w:rPr>
        <w:t>E0905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589"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438"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信息科学部</w:t>
      </w:r>
      <w:r>
        <w:rPr>
          <w:rFonts w:ascii="宋体" w:hAnsi="宋体" w:cs="宋体" w:eastAsia="宋体" w:hint="ascii"/>
          <w:sz w:val="38"/>
        </w:rPr>
        <mc:AlternateContent>
          <mc:Choice Requires="wps">
            <w:drawing>
              <wp:anchor distL="0" distR="0" distT="0" distB="0" simplePos="0" behindDoc="1" relativeHeight="111" locked="0" layoutInCell="1" allowOverlap="1">
                <wp:simplePos x="0" y="0"/>
                <wp:positionH relativeFrom="page">
                  <wp:posOffset>938530</wp:posOffset>
                </wp:positionH>
                <wp:positionV relativeFrom="page">
                  <wp:posOffset>819150</wp:posOffset>
                </wp:positionV>
                <wp:extent cx="5076190" cy="0"/>
                <wp:wrapNone/>
                <wp:docPr id="1140" name="114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44576;width:399.70pt;" id="114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32"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信</w:t>
      </w:r>
      <w:r>
        <w:rPr>
          <w:rFonts w:ascii="宋体" w:hAnsi="宋体" w:cs="宋体" w:eastAsia="宋体" w:hint="ascii"/>
          <w:sz w:val="21"/>
          <w:spacing w:val="7"/>
        </w:rPr>
        <w:t>息</w:t>
      </w:r>
      <w:r>
        <w:rPr>
          <w:rFonts w:ascii="宋体" w:hAnsi="宋体" w:cs="宋体" w:eastAsia="宋体" w:hint="ascii"/>
          <w:sz w:val="21"/>
          <w:spacing w:val="6"/>
        </w:rPr>
        <w:t>科学部支</w:t>
      </w:r>
      <w:r>
        <w:rPr>
          <w:rFonts w:ascii="宋体" w:hAnsi="宋体" w:cs="宋体" w:eastAsia="宋体" w:hint="ascii"/>
          <w:sz w:val="21"/>
          <w:spacing w:val="7"/>
        </w:rPr>
        <w:t>持</w:t>
      </w:r>
      <w:r>
        <w:rPr>
          <w:rFonts w:ascii="宋体" w:hAnsi="宋体" w:cs="宋体" w:eastAsia="宋体" w:hint="ascii"/>
          <w:sz w:val="21"/>
          <w:spacing w:val="6"/>
        </w:rPr>
        <w:t>信息的产</w:t>
      </w:r>
      <w:r>
        <w:rPr>
          <w:rFonts w:ascii="宋体" w:hAnsi="宋体" w:cs="宋体" w:eastAsia="宋体" w:hint="ascii"/>
          <w:sz w:val="21"/>
          <w:spacing w:val="7"/>
        </w:rPr>
        <w:t>生</w:t>
      </w:r>
      <w:r>
        <w:rPr>
          <w:rFonts w:ascii="宋体" w:hAnsi="宋体" w:cs="宋体" w:eastAsia="宋体" w:hint="ascii"/>
          <w:sz w:val="21"/>
          <w:spacing w:val="6"/>
        </w:rPr>
        <w:t>、获取、</w:t>
      </w:r>
      <w:r>
        <w:rPr>
          <w:rFonts w:ascii="宋体" w:hAnsi="宋体" w:cs="宋体" w:eastAsia="宋体" w:hint="ascii"/>
          <w:sz w:val="21"/>
          <w:spacing w:val="7"/>
        </w:rPr>
        <w:t>存</w:t>
      </w:r>
      <w:r>
        <w:rPr>
          <w:rFonts w:ascii="宋体" w:hAnsi="宋体" w:cs="宋体" w:eastAsia="宋体" w:hint="ascii"/>
          <w:sz w:val="21"/>
          <w:spacing w:val="6"/>
        </w:rPr>
        <w:t>储、传输</w:t>
      </w:r>
      <w:r>
        <w:rPr>
          <w:rFonts w:ascii="宋体" w:hAnsi="宋体" w:cs="宋体" w:eastAsia="宋体" w:hint="ascii"/>
          <w:sz w:val="21"/>
          <w:spacing w:val="7"/>
        </w:rPr>
        <w:t>、</w:t>
      </w:r>
      <w:r>
        <w:rPr>
          <w:rFonts w:ascii="宋体" w:hAnsi="宋体" w:cs="宋体" w:eastAsia="宋体" w:hint="ascii"/>
          <w:sz w:val="21"/>
          <w:spacing w:val="6"/>
        </w:rPr>
        <w:t>处理及其</w:t>
      </w:r>
      <w:r>
        <w:rPr>
          <w:rFonts w:ascii="宋体" w:hAnsi="宋体" w:cs="宋体" w:eastAsia="宋体" w:hint="ascii"/>
          <w:sz w:val="21"/>
          <w:spacing w:val="7"/>
        </w:rPr>
        <w:t>应</w:t>
      </w:r>
      <w:r>
        <w:rPr>
          <w:rFonts w:ascii="宋体" w:hAnsi="宋体" w:cs="宋体" w:eastAsia="宋体" w:hint="ascii"/>
          <w:sz w:val="21"/>
          <w:spacing w:val="6"/>
        </w:rPr>
        <w:t>用等基础</w:t>
      </w:r>
      <w:r>
        <w:rPr>
          <w:rFonts w:ascii="宋体" w:hAnsi="宋体" w:cs="宋体" w:eastAsia="宋体" w:hint="ascii"/>
          <w:sz w:val="21"/>
          <w:spacing w:val="7"/>
        </w:rPr>
        <w:t>研</w:t>
      </w:r>
      <w:r>
        <w:rPr>
          <w:rFonts w:ascii="宋体" w:hAnsi="宋体" w:cs="宋体" w:eastAsia="宋体" w:hint="ascii"/>
          <w:sz w:val="21"/>
          <w:spacing w:val="6"/>
        </w:rPr>
        <w:t>究</w:t>
      </w:r>
      <w:r>
        <w:rPr>
          <w:rFonts w:ascii="宋体" w:hAnsi="宋体" w:cs="宋体" w:eastAsia="宋体" w:hint="ascii"/>
          <w:sz w:val="21"/>
        </w:rPr>
        <w:t>。</w:t>
      </w:r>
    </w:p>
    <w:p>
      <w:pPr>
        <w:autoSpaceDE w:val="0"/>
        <w:autoSpaceDN w:val="0"/>
        <w:jc w:val="both"/>
        <w:spacing w:before="13" w:after="0" w:lineRule="exact" w:line="330"/>
        <w:ind w:right="981" w:left="966" w:firstLine="0"/>
        <w:snapToGrid w:val="0"/>
        <w:textAlignment w:val="auto"/>
        <w:tabs/>
        <w:rPr>
          <w:rFonts w:ascii="宋体" w:hAnsi="宋体" w:cs="宋体" w:eastAsia="宋体" w:hint="ascii"/>
          <w:sz w:val="21"/>
        </w:rPr>
      </w:pPr>
      <w:r>
        <w:rPr>
          <w:rFonts w:ascii="宋体" w:hAnsi="宋体" w:cs="宋体" w:eastAsia="宋体" w:hint="ascii"/>
          <w:sz w:val="21"/>
          <w:spacing w:val="7"/>
        </w:rPr>
        <w:t>根</w:t>
      </w:r>
      <w:r>
        <w:rPr>
          <w:rFonts w:ascii="宋体" w:hAnsi="宋体" w:cs="宋体" w:eastAsia="宋体" w:hint="ascii"/>
          <w:sz w:val="21"/>
          <w:spacing w:val="6"/>
        </w:rPr>
        <w:t>据学</w:t>
      </w:r>
      <w:r>
        <w:rPr>
          <w:rFonts w:ascii="宋体" w:hAnsi="宋体" w:cs="宋体" w:eastAsia="宋体" w:hint="ascii"/>
          <w:sz w:val="21"/>
          <w:spacing w:val="7"/>
        </w:rPr>
        <w:t>科</w:t>
      </w:r>
      <w:r>
        <w:rPr>
          <w:rFonts w:ascii="宋体" w:hAnsi="宋体" w:cs="宋体" w:eastAsia="宋体" w:hint="ascii"/>
          <w:sz w:val="21"/>
          <w:spacing w:val="6"/>
        </w:rPr>
        <w:t>发</w:t>
      </w:r>
      <w:r>
        <w:rPr>
          <w:rFonts w:ascii="宋体" w:hAnsi="宋体" w:cs="宋体" w:eastAsia="宋体" w:hint="ascii"/>
          <w:sz w:val="21"/>
          <w:spacing w:val="7"/>
        </w:rPr>
        <w:t>展</w:t>
      </w:r>
      <w:r>
        <w:rPr>
          <w:rFonts w:ascii="宋体" w:hAnsi="宋体" w:cs="宋体" w:eastAsia="宋体" w:hint="ascii"/>
          <w:sz w:val="21"/>
          <w:spacing w:val="6"/>
        </w:rPr>
        <w:t>趋势</w:t>
      </w:r>
      <w:r>
        <w:rPr>
          <w:rFonts w:ascii="宋体" w:hAnsi="宋体" w:cs="宋体" w:eastAsia="宋体" w:hint="ascii"/>
          <w:sz w:val="21"/>
          <w:spacing w:val="7"/>
        </w:rPr>
        <w:t>及</w:t>
      </w:r>
      <w:r>
        <w:rPr>
          <w:rFonts w:ascii="宋体" w:hAnsi="宋体" w:cs="宋体" w:eastAsia="宋体" w:hint="ascii"/>
          <w:sz w:val="21"/>
          <w:spacing w:val="6"/>
        </w:rPr>
        <w:t>社</w:t>
      </w:r>
      <w:r>
        <w:rPr>
          <w:rFonts w:ascii="宋体" w:hAnsi="宋体" w:cs="宋体" w:eastAsia="宋体" w:hint="ascii"/>
          <w:sz w:val="21"/>
          <w:spacing w:val="7"/>
        </w:rPr>
        <w:t>会</w:t>
      </w:r>
      <w:r>
        <w:rPr>
          <w:rFonts w:ascii="宋体" w:hAnsi="宋体" w:cs="宋体" w:eastAsia="宋体" w:hint="ascii"/>
          <w:sz w:val="21"/>
          <w:spacing w:val="6"/>
        </w:rPr>
        <w:t>发展</w:t>
      </w:r>
      <w:r>
        <w:rPr>
          <w:rFonts w:ascii="宋体" w:hAnsi="宋体" w:cs="宋体" w:eastAsia="宋体" w:hint="ascii"/>
          <w:sz w:val="21"/>
          <w:spacing w:val="7"/>
        </w:rPr>
        <w:t>需</w:t>
      </w:r>
      <w:r>
        <w:rPr>
          <w:rFonts w:ascii="宋体" w:hAnsi="宋体" w:cs="宋体" w:eastAsia="宋体" w:hint="ascii"/>
          <w:sz w:val="21"/>
          <w:spacing w:val="6"/>
        </w:rPr>
        <w:t>要</w:t>
      </w:r>
      <w:r>
        <w:rPr>
          <w:rFonts w:ascii="宋体" w:hAnsi="宋体" w:cs="宋体" w:eastAsia="宋体" w:hint="ascii"/>
          <w:sz w:val="21"/>
          <w:spacing w:val="7"/>
        </w:rPr>
        <w:t>，</w:t>
      </w:r>
      <w:r>
        <w:rPr>
          <w:rFonts w:ascii="宋体" w:hAnsi="宋体" w:cs="宋体" w:eastAsia="宋体" w:hint="ascii"/>
          <w:sz w:val="21"/>
          <w:spacing w:val="6"/>
        </w:rPr>
        <w:t>信息</w:t>
      </w:r>
      <w:r>
        <w:rPr>
          <w:rFonts w:ascii="宋体" w:hAnsi="宋体" w:cs="宋体" w:eastAsia="宋体" w:hint="ascii"/>
          <w:sz w:val="21"/>
          <w:spacing w:val="7"/>
        </w:rPr>
        <w:t>科</w:t>
      </w:r>
      <w:r>
        <w:rPr>
          <w:rFonts w:ascii="宋体" w:hAnsi="宋体" w:cs="宋体" w:eastAsia="宋体" w:hint="ascii"/>
          <w:sz w:val="21"/>
          <w:spacing w:val="6"/>
        </w:rPr>
        <w:t>学</w:t>
      </w:r>
      <w:r>
        <w:rPr>
          <w:rFonts w:ascii="宋体" w:hAnsi="宋体" w:cs="宋体" w:eastAsia="宋体" w:hint="ascii"/>
          <w:sz w:val="21"/>
          <w:spacing w:val="7"/>
        </w:rPr>
        <w:t>部</w:t>
      </w:r>
      <w:r>
        <w:rPr>
          <w:rFonts w:ascii="宋体" w:hAnsi="宋体" w:cs="宋体" w:eastAsia="宋体" w:hint="ascii"/>
          <w:sz w:val="21"/>
          <w:spacing w:val="6"/>
        </w:rPr>
        <w:t>把新</w:t>
      </w:r>
      <w:r>
        <w:rPr>
          <w:rFonts w:ascii="宋体" w:hAnsi="宋体" w:cs="宋体" w:eastAsia="宋体" w:hint="ascii"/>
          <w:sz w:val="21"/>
          <w:spacing w:val="7"/>
        </w:rPr>
        <w:t>一</w:t>
      </w:r>
      <w:r>
        <w:rPr>
          <w:rFonts w:ascii="宋体" w:hAnsi="宋体" w:cs="宋体" w:eastAsia="宋体" w:hint="ascii"/>
          <w:sz w:val="21"/>
          <w:spacing w:val="6"/>
        </w:rPr>
        <w:t>代</w:t>
      </w:r>
      <w:r>
        <w:rPr>
          <w:rFonts w:ascii="宋体" w:hAnsi="宋体" w:cs="宋体" w:eastAsia="宋体" w:hint="ascii"/>
          <w:sz w:val="21"/>
          <w:spacing w:val="7"/>
        </w:rPr>
        <w:t>移</w:t>
      </w:r>
      <w:r>
        <w:rPr>
          <w:rFonts w:ascii="宋体" w:hAnsi="宋体" w:cs="宋体" w:eastAsia="宋体" w:hint="ascii"/>
          <w:sz w:val="21"/>
          <w:spacing w:val="6"/>
        </w:rPr>
        <w:t>动通</w:t>
      </w:r>
      <w:r>
        <w:rPr>
          <w:rFonts w:ascii="宋体" w:hAnsi="宋体" w:cs="宋体" w:eastAsia="宋体" w:hint="ascii"/>
          <w:sz w:val="21"/>
          <w:spacing w:val="7"/>
        </w:rPr>
        <w:t>信</w:t>
      </w:r>
      <w:r>
        <w:rPr>
          <w:rFonts w:ascii="宋体" w:hAnsi="宋体" w:cs="宋体" w:eastAsia="宋体" w:hint="ascii"/>
          <w:sz w:val="21"/>
          <w:spacing w:val="6"/>
        </w:rPr>
        <w:t>理</w:t>
      </w:r>
      <w:r>
        <w:rPr>
          <w:rFonts w:ascii="宋体" w:hAnsi="宋体" w:cs="宋体" w:eastAsia="宋体" w:hint="ascii"/>
          <w:sz w:val="21"/>
          <w:spacing w:val="7"/>
        </w:rPr>
        <w:t>论</w:t>
      </w:r>
      <w:r>
        <w:rPr>
          <w:rFonts w:ascii="宋体" w:hAnsi="宋体" w:cs="宋体" w:eastAsia="宋体" w:hint="ascii"/>
          <w:sz w:val="21"/>
          <w:spacing w:val="6"/>
        </w:rPr>
        <w:t>与关键</w:t>
      </w:r>
      <w:r>
        <w:rPr>
          <w:rFonts w:ascii="宋体" w:hAnsi="宋体" w:cs="宋体" w:eastAsia="宋体" w:hint="ascii"/>
          <w:sz w:val="21"/>
          <w:spacing w:val="-6"/>
        </w:rPr>
        <w:t>技</w:t>
      </w:r>
      <w:r>
        <w:rPr>
          <w:rFonts w:ascii="宋体" w:hAnsi="宋体" w:cs="宋体" w:eastAsia="宋体" w:hint="ascii"/>
          <w:sz w:val="21"/>
          <w:spacing w:val="4"/>
        </w:rPr>
        <w:t>术、空地</w:t>
      </w:r>
      <w:r>
        <w:rPr>
          <w:rFonts w:ascii="宋体" w:hAnsi="宋体" w:cs="宋体" w:eastAsia="宋体" w:hint="ascii"/>
          <w:sz w:val="21"/>
          <w:spacing w:val="3"/>
        </w:rPr>
        <w:t>协</w:t>
      </w:r>
      <w:r>
        <w:rPr>
          <w:rFonts w:ascii="宋体" w:hAnsi="宋体" w:cs="宋体" w:eastAsia="宋体" w:hint="ascii"/>
          <w:sz w:val="21"/>
          <w:spacing w:val="4"/>
        </w:rPr>
        <w:t>同网络理</w:t>
      </w:r>
      <w:r>
        <w:rPr>
          <w:rFonts w:ascii="宋体" w:hAnsi="宋体" w:cs="宋体" w:eastAsia="宋体" w:hint="ascii"/>
          <w:sz w:val="21"/>
          <w:spacing w:val="3"/>
        </w:rPr>
        <w:t>论与技术、</w:t>
      </w:r>
      <w:r>
        <w:rPr>
          <w:rFonts w:ascii="宋体" w:hAnsi="宋体" w:cs="宋体" w:eastAsia="宋体" w:hint="ascii"/>
          <w:sz w:val="21"/>
          <w:spacing w:val="2"/>
        </w:rPr>
        <w:t>海</w:t>
      </w:r>
      <w:r>
        <w:rPr>
          <w:rFonts w:ascii="宋体" w:hAnsi="宋体" w:cs="宋体" w:eastAsia="宋体" w:hint="ascii"/>
          <w:sz w:val="21"/>
          <w:spacing w:val="3"/>
        </w:rPr>
        <w:t>洋信息获</w:t>
      </w:r>
      <w:r>
        <w:rPr>
          <w:rFonts w:ascii="宋体" w:hAnsi="宋体" w:cs="宋体" w:eastAsia="宋体" w:hint="ascii"/>
          <w:sz w:val="21"/>
          <w:spacing w:val="2"/>
        </w:rPr>
        <w:t>取</w:t>
      </w:r>
      <w:r>
        <w:rPr>
          <w:rFonts w:ascii="宋体" w:hAnsi="宋体" w:cs="宋体" w:eastAsia="宋体" w:hint="ascii"/>
          <w:sz w:val="21"/>
          <w:spacing w:val="3"/>
        </w:rPr>
        <w:t>与处理、</w:t>
      </w:r>
      <w:r>
        <w:rPr>
          <w:rFonts w:ascii="宋体" w:hAnsi="宋体" w:cs="宋体" w:eastAsia="宋体" w:hint="ascii"/>
          <w:sz w:val="21"/>
          <w:spacing w:val="2"/>
        </w:rPr>
        <w:t>高</w:t>
      </w:r>
      <w:r>
        <w:rPr>
          <w:rFonts w:ascii="宋体" w:hAnsi="宋体" w:cs="宋体" w:eastAsia="宋体" w:hint="ascii"/>
          <w:sz w:val="21"/>
          <w:spacing w:val="3"/>
        </w:rPr>
        <w:t>性能探测</w:t>
      </w:r>
      <w:r>
        <w:rPr>
          <w:rFonts w:ascii="宋体" w:hAnsi="宋体" w:cs="宋体" w:eastAsia="宋体" w:hint="ascii"/>
          <w:sz w:val="21"/>
          <w:spacing w:val="2"/>
        </w:rPr>
        <w:t>成</w:t>
      </w:r>
      <w:r>
        <w:rPr>
          <w:rFonts w:ascii="宋体" w:hAnsi="宋体" w:cs="宋体" w:eastAsia="宋体" w:hint="ascii"/>
          <w:sz w:val="21"/>
          <w:spacing w:val="3"/>
        </w:rPr>
        <w:t>像与识</w:t>
      </w:r>
      <w:r>
        <w:rPr>
          <w:rFonts w:ascii="宋体" w:hAnsi="宋体" w:cs="宋体" w:eastAsia="宋体" w:hint="ascii"/>
          <w:sz w:val="21"/>
          <w:spacing w:val="4"/>
        </w:rPr>
        <w:t>别</w:t>
      </w:r>
      <w:r>
        <w:rPr>
          <w:rFonts w:ascii="宋体" w:hAnsi="宋体" w:cs="宋体" w:eastAsia="宋体" w:hint="ascii"/>
          <w:sz w:val="21"/>
          <w:spacing w:val="3"/>
        </w:rPr>
        <w:t>、</w:t>
      </w:r>
      <w:r>
        <w:rPr>
          <w:rFonts w:ascii="宋体" w:hAnsi="宋体" w:cs="宋体" w:eastAsia="宋体" w:hint="ascii"/>
          <w:sz w:val="21"/>
          <w:spacing w:val="-6"/>
        </w:rPr>
        <w:t>电</w:t>
      </w:r>
      <w:r>
        <w:rPr>
          <w:rFonts w:ascii="宋体" w:hAnsi="宋体" w:cs="宋体" w:eastAsia="宋体" w:hint="ascii"/>
          <w:sz w:val="21"/>
          <w:spacing w:val="4"/>
        </w:rPr>
        <w:t>磁波与复</w:t>
      </w:r>
      <w:r>
        <w:rPr>
          <w:rFonts w:ascii="宋体" w:hAnsi="宋体" w:cs="宋体" w:eastAsia="宋体" w:hint="ascii"/>
          <w:sz w:val="21"/>
          <w:spacing w:val="3"/>
        </w:rPr>
        <w:t>杂</w:t>
      </w:r>
      <w:r>
        <w:rPr>
          <w:rFonts w:ascii="宋体" w:hAnsi="宋体" w:cs="宋体" w:eastAsia="宋体" w:hint="ascii"/>
          <w:sz w:val="21"/>
          <w:spacing w:val="4"/>
        </w:rPr>
        <w:t>目标相互</w:t>
      </w:r>
      <w:r>
        <w:rPr>
          <w:rFonts w:ascii="宋体" w:hAnsi="宋体" w:cs="宋体" w:eastAsia="宋体" w:hint="ascii"/>
          <w:sz w:val="21"/>
          <w:spacing w:val="3"/>
        </w:rPr>
        <w:t>作用、理论</w:t>
      </w:r>
      <w:r>
        <w:rPr>
          <w:rFonts w:ascii="宋体" w:hAnsi="宋体" w:cs="宋体" w:eastAsia="宋体" w:hint="ascii"/>
          <w:sz w:val="21"/>
          <w:spacing w:val="2"/>
        </w:rPr>
        <w:t>计</w:t>
      </w:r>
      <w:r>
        <w:rPr>
          <w:rFonts w:ascii="宋体" w:hAnsi="宋体" w:cs="宋体" w:eastAsia="宋体" w:hint="ascii"/>
          <w:sz w:val="21"/>
          <w:spacing w:val="3"/>
        </w:rPr>
        <w:t>算机科学</w:t>
      </w:r>
      <w:r>
        <w:rPr>
          <w:rFonts w:ascii="宋体" w:hAnsi="宋体" w:cs="宋体" w:eastAsia="宋体" w:hint="ascii"/>
          <w:sz w:val="21"/>
          <w:spacing w:val="2"/>
        </w:rPr>
        <w:t>、</w:t>
      </w:r>
      <w:r>
        <w:rPr>
          <w:rFonts w:ascii="宋体" w:hAnsi="宋体" w:cs="宋体" w:eastAsia="宋体" w:hint="ascii"/>
          <w:sz w:val="21"/>
          <w:spacing w:val="3"/>
        </w:rPr>
        <w:t>新型计算</w:t>
      </w:r>
      <w:r>
        <w:rPr>
          <w:rFonts w:ascii="宋体" w:hAnsi="宋体" w:cs="宋体" w:eastAsia="宋体" w:hint="ascii"/>
          <w:sz w:val="21"/>
          <w:spacing w:val="2"/>
        </w:rPr>
        <w:t>系</w:t>
      </w:r>
      <w:r>
        <w:rPr>
          <w:rFonts w:ascii="宋体" w:hAnsi="宋体" w:cs="宋体" w:eastAsia="宋体" w:hint="ascii"/>
          <w:sz w:val="21"/>
          <w:spacing w:val="3"/>
        </w:rPr>
        <w:t>统结构、</w:t>
      </w:r>
      <w:r>
        <w:rPr>
          <w:rFonts w:ascii="宋体" w:hAnsi="宋体" w:cs="宋体" w:eastAsia="宋体" w:hint="ascii"/>
          <w:sz w:val="21"/>
          <w:spacing w:val="2"/>
        </w:rPr>
        <w:t>高</w:t>
      </w:r>
      <w:r>
        <w:rPr>
          <w:rFonts w:ascii="宋体" w:hAnsi="宋体" w:cs="宋体" w:eastAsia="宋体" w:hint="ascii"/>
          <w:sz w:val="21"/>
          <w:spacing w:val="3"/>
        </w:rPr>
        <w:t>效能并</w:t>
      </w:r>
      <w:r>
        <w:rPr>
          <w:rFonts w:ascii="宋体" w:hAnsi="宋体" w:cs="宋体" w:eastAsia="宋体" w:hint="ascii"/>
          <w:sz w:val="21"/>
          <w:spacing w:val="4"/>
        </w:rPr>
        <w:t>行</w:t>
      </w:r>
      <w:r>
        <w:rPr>
          <w:rFonts w:ascii="宋体" w:hAnsi="宋体" w:cs="宋体" w:eastAsia="宋体" w:hint="ascii"/>
          <w:sz w:val="21"/>
          <w:spacing w:val="3"/>
        </w:rPr>
        <w:t>与</w:t>
      </w:r>
      <w:r>
        <w:rPr>
          <w:rFonts w:ascii="宋体" w:hAnsi="宋体" w:cs="宋体" w:eastAsia="宋体" w:hint="ascii"/>
          <w:sz w:val="21"/>
          <w:spacing w:val="-6"/>
        </w:rPr>
        <w:t>分</w:t>
      </w:r>
      <w:r>
        <w:rPr>
          <w:rFonts w:ascii="宋体" w:hAnsi="宋体" w:cs="宋体" w:eastAsia="宋体" w:hint="ascii"/>
          <w:sz w:val="21"/>
          <w:spacing w:val="4"/>
        </w:rPr>
        <w:t>布式计算</w:t>
      </w:r>
      <w:r>
        <w:rPr>
          <w:rFonts w:ascii="宋体" w:hAnsi="宋体" w:cs="宋体" w:eastAsia="宋体" w:hint="ascii"/>
          <w:sz w:val="21"/>
          <w:spacing w:val="3"/>
        </w:rPr>
        <w:t>、</w:t>
      </w:r>
      <w:r>
        <w:rPr>
          <w:rFonts w:ascii="宋体" w:hAnsi="宋体" w:cs="宋体" w:eastAsia="宋体" w:hint="ascii"/>
          <w:sz w:val="21"/>
          <w:spacing w:val="4"/>
        </w:rPr>
        <w:t>计算机应</w:t>
      </w:r>
      <w:r>
        <w:rPr>
          <w:rFonts w:ascii="宋体" w:hAnsi="宋体" w:cs="宋体" w:eastAsia="宋体" w:hint="ascii"/>
          <w:sz w:val="21"/>
          <w:spacing w:val="3"/>
        </w:rPr>
        <w:t>用关键技术</w:t>
      </w:r>
      <w:r>
        <w:rPr>
          <w:rFonts w:ascii="宋体" w:hAnsi="宋体" w:cs="宋体" w:eastAsia="宋体" w:hint="ascii"/>
          <w:sz w:val="21"/>
          <w:spacing w:val="2"/>
        </w:rPr>
        <w:t>、</w:t>
      </w:r>
      <w:r>
        <w:rPr>
          <w:rFonts w:ascii="宋体" w:hAnsi="宋体" w:cs="宋体" w:eastAsia="宋体" w:hint="ascii"/>
          <w:sz w:val="21"/>
          <w:spacing w:val="3"/>
        </w:rPr>
        <w:t>网络空间</w:t>
      </w:r>
      <w:r>
        <w:rPr>
          <w:rFonts w:ascii="宋体" w:hAnsi="宋体" w:cs="宋体" w:eastAsia="宋体" w:hint="ascii"/>
          <w:sz w:val="21"/>
          <w:spacing w:val="2"/>
        </w:rPr>
        <w:t>安</w:t>
      </w:r>
      <w:r>
        <w:rPr>
          <w:rFonts w:ascii="宋体" w:hAnsi="宋体" w:cs="宋体" w:eastAsia="宋体" w:hint="ascii"/>
          <w:sz w:val="21"/>
          <w:spacing w:val="3"/>
        </w:rPr>
        <w:t>全、复杂</w:t>
      </w:r>
      <w:r>
        <w:rPr>
          <w:rFonts w:ascii="宋体" w:hAnsi="宋体" w:cs="宋体" w:eastAsia="宋体" w:hint="ascii"/>
          <w:sz w:val="21"/>
          <w:spacing w:val="2"/>
        </w:rPr>
        <w:t>系</w:t>
      </w:r>
      <w:r>
        <w:rPr>
          <w:rFonts w:ascii="宋体" w:hAnsi="宋体" w:cs="宋体" w:eastAsia="宋体" w:hint="ascii"/>
          <w:sz w:val="21"/>
          <w:spacing w:val="3"/>
        </w:rPr>
        <w:t>统建模分</w:t>
      </w:r>
      <w:r>
        <w:rPr>
          <w:rFonts w:ascii="宋体" w:hAnsi="宋体" w:cs="宋体" w:eastAsia="宋体" w:hint="ascii"/>
          <w:sz w:val="21"/>
          <w:spacing w:val="2"/>
        </w:rPr>
        <w:t>析</w:t>
      </w:r>
      <w:r>
        <w:rPr>
          <w:rFonts w:ascii="宋体" w:hAnsi="宋体" w:cs="宋体" w:eastAsia="宋体" w:hint="ascii"/>
          <w:sz w:val="21"/>
          <w:spacing w:val="3"/>
        </w:rPr>
        <w:t>与控制</w:t>
      </w:r>
      <w:r>
        <w:rPr>
          <w:rFonts w:ascii="宋体" w:hAnsi="宋体" w:cs="宋体" w:eastAsia="宋体" w:hint="ascii"/>
          <w:sz w:val="21"/>
          <w:spacing w:val="4"/>
        </w:rPr>
        <w:t>、</w:t>
      </w:r>
      <w:r>
        <w:rPr>
          <w:rFonts w:ascii="宋体" w:hAnsi="宋体" w:cs="宋体" w:eastAsia="宋体" w:hint="ascii"/>
          <w:sz w:val="21"/>
          <w:spacing w:val="3"/>
        </w:rPr>
        <w:t>先</w:t>
      </w:r>
      <w:r>
        <w:rPr>
          <w:rFonts w:ascii="宋体" w:hAnsi="宋体" w:cs="宋体" w:eastAsia="宋体" w:hint="ascii"/>
          <w:sz w:val="21"/>
          <w:spacing w:val="-6"/>
        </w:rPr>
        <w:t>进</w:t>
      </w:r>
      <w:r>
        <w:rPr>
          <w:rFonts w:ascii="宋体" w:hAnsi="宋体" w:cs="宋体" w:eastAsia="宋体" w:hint="ascii"/>
          <w:sz w:val="21"/>
          <w:spacing w:val="4"/>
        </w:rPr>
        <w:t>导航技术</w:t>
      </w:r>
      <w:r>
        <w:rPr>
          <w:rFonts w:ascii="宋体" w:hAnsi="宋体" w:cs="宋体" w:eastAsia="宋体" w:hint="ascii"/>
          <w:sz w:val="21"/>
          <w:spacing w:val="3"/>
        </w:rPr>
        <w:t>与</w:t>
      </w:r>
      <w:r>
        <w:rPr>
          <w:rFonts w:ascii="宋体" w:hAnsi="宋体" w:cs="宋体" w:eastAsia="宋体" w:hint="ascii"/>
          <w:sz w:val="21"/>
          <w:spacing w:val="4"/>
        </w:rPr>
        <w:t>系统、智</w:t>
      </w:r>
      <w:r>
        <w:rPr>
          <w:rFonts w:ascii="宋体" w:hAnsi="宋体" w:cs="宋体" w:eastAsia="宋体" w:hint="ascii"/>
          <w:sz w:val="21"/>
          <w:spacing w:val="3"/>
        </w:rPr>
        <w:t>能机器人理</w:t>
      </w:r>
      <w:r>
        <w:rPr>
          <w:rFonts w:ascii="宋体" w:hAnsi="宋体" w:cs="宋体" w:eastAsia="宋体" w:hint="ascii"/>
          <w:sz w:val="21"/>
          <w:spacing w:val="2"/>
        </w:rPr>
        <w:t>论</w:t>
      </w:r>
      <w:r>
        <w:rPr>
          <w:rFonts w:ascii="宋体" w:hAnsi="宋体" w:cs="宋体" w:eastAsia="宋体" w:hint="ascii"/>
          <w:sz w:val="21"/>
          <w:spacing w:val="3"/>
        </w:rPr>
        <w:t>技术与系</w:t>
      </w:r>
      <w:r>
        <w:rPr>
          <w:rFonts w:ascii="宋体" w:hAnsi="宋体" w:cs="宋体" w:eastAsia="宋体" w:hint="ascii"/>
          <w:sz w:val="21"/>
          <w:spacing w:val="2"/>
        </w:rPr>
        <w:t>统</w:t>
      </w:r>
      <w:r>
        <w:rPr>
          <w:rFonts w:ascii="宋体" w:hAnsi="宋体" w:cs="宋体" w:eastAsia="宋体" w:hint="ascii"/>
          <w:sz w:val="21"/>
          <w:spacing w:val="3"/>
        </w:rPr>
        <w:t>、智能优</w:t>
      </w:r>
      <w:r>
        <w:rPr>
          <w:rFonts w:ascii="宋体" w:hAnsi="宋体" w:cs="宋体" w:eastAsia="宋体" w:hint="ascii"/>
          <w:sz w:val="21"/>
          <w:spacing w:val="2"/>
        </w:rPr>
        <w:t>化</w:t>
      </w:r>
      <w:r>
        <w:rPr>
          <w:rFonts w:ascii="宋体" w:hAnsi="宋体" w:cs="宋体" w:eastAsia="宋体" w:hint="ascii"/>
          <w:sz w:val="21"/>
          <w:spacing w:val="3"/>
        </w:rPr>
        <w:t>制造理论</w:t>
      </w:r>
      <w:r>
        <w:rPr>
          <w:rFonts w:ascii="宋体" w:hAnsi="宋体" w:cs="宋体" w:eastAsia="宋体" w:hint="ascii"/>
          <w:sz w:val="21"/>
          <w:spacing w:val="2"/>
        </w:rPr>
        <w:t>与</w:t>
      </w:r>
      <w:r>
        <w:rPr>
          <w:rFonts w:ascii="宋体" w:hAnsi="宋体" w:cs="宋体" w:eastAsia="宋体" w:hint="ascii"/>
          <w:sz w:val="21"/>
          <w:spacing w:val="3"/>
        </w:rPr>
        <w:t>技术、</w:t>
      </w:r>
      <w:r>
        <w:rPr>
          <w:rFonts w:ascii="宋体" w:hAnsi="宋体" w:cs="宋体" w:eastAsia="宋体" w:hint="ascii"/>
          <w:sz w:val="21"/>
          <w:spacing w:val="4"/>
        </w:rPr>
        <w:t>人</w:t>
      </w:r>
      <w:r>
        <w:rPr>
          <w:rFonts w:ascii="宋体" w:hAnsi="宋体" w:cs="宋体" w:eastAsia="宋体" w:hint="ascii"/>
          <w:sz w:val="21"/>
          <w:spacing w:val="3"/>
        </w:rPr>
        <w:t>工</w:t>
      </w:r>
      <w:r>
        <w:rPr>
          <w:rFonts w:ascii="宋体" w:hAnsi="宋体" w:cs="宋体" w:eastAsia="宋体" w:hint="ascii"/>
          <w:sz w:val="21"/>
          <w:spacing w:val="-6"/>
        </w:rPr>
        <w:t>智</w:t>
      </w:r>
      <w:r>
        <w:rPr>
          <w:rFonts w:ascii="宋体" w:hAnsi="宋体" w:cs="宋体" w:eastAsia="宋体" w:hint="ascii"/>
          <w:sz w:val="21"/>
          <w:spacing w:val="4"/>
        </w:rPr>
        <w:t>能驱动的</w:t>
      </w:r>
      <w:r>
        <w:rPr>
          <w:rFonts w:ascii="宋体" w:hAnsi="宋体" w:cs="宋体" w:eastAsia="宋体" w:hint="ascii"/>
          <w:sz w:val="21"/>
          <w:spacing w:val="3"/>
        </w:rPr>
        <w:t>自</w:t>
      </w:r>
      <w:r>
        <w:rPr>
          <w:rFonts w:ascii="宋体" w:hAnsi="宋体" w:cs="宋体" w:eastAsia="宋体" w:hint="ascii"/>
          <w:sz w:val="21"/>
          <w:spacing w:val="4"/>
        </w:rPr>
        <w:t>动化、半</w:t>
      </w:r>
      <w:r>
        <w:rPr>
          <w:rFonts w:ascii="宋体" w:hAnsi="宋体" w:cs="宋体" w:eastAsia="宋体" w:hint="ascii"/>
          <w:sz w:val="21"/>
          <w:spacing w:val="3"/>
        </w:rPr>
        <w:t>导体光电子</w:t>
      </w:r>
      <w:r>
        <w:rPr>
          <w:rFonts w:ascii="宋体" w:hAnsi="宋体" w:cs="宋体" w:eastAsia="宋体" w:hint="ascii"/>
          <w:sz w:val="21"/>
          <w:spacing w:val="2"/>
        </w:rPr>
        <w:t>器</w:t>
      </w:r>
      <w:r>
        <w:rPr>
          <w:rFonts w:ascii="宋体" w:hAnsi="宋体" w:cs="宋体" w:eastAsia="宋体" w:hint="ascii"/>
          <w:sz w:val="21"/>
          <w:spacing w:val="3"/>
        </w:rPr>
        <w:t>件与电子</w:t>
      </w:r>
      <w:r>
        <w:rPr>
          <w:rFonts w:ascii="宋体" w:hAnsi="宋体" w:cs="宋体" w:eastAsia="宋体" w:hint="ascii"/>
          <w:sz w:val="21"/>
          <w:spacing w:val="2"/>
        </w:rPr>
        <w:t>器</w:t>
      </w:r>
      <w:r>
        <w:rPr>
          <w:rFonts w:ascii="宋体" w:hAnsi="宋体" w:cs="宋体" w:eastAsia="宋体" w:hint="ascii"/>
          <w:sz w:val="21"/>
          <w:spacing w:val="3"/>
        </w:rPr>
        <w:t>件、集成</w:t>
      </w:r>
      <w:r>
        <w:rPr>
          <w:rFonts w:ascii="宋体" w:hAnsi="宋体" w:cs="宋体" w:eastAsia="宋体" w:hint="ascii"/>
          <w:sz w:val="21"/>
          <w:spacing w:val="2"/>
        </w:rPr>
        <w:t>电</w:t>
      </w:r>
      <w:r>
        <w:rPr>
          <w:rFonts w:ascii="宋体" w:hAnsi="宋体" w:cs="宋体" w:eastAsia="宋体" w:hint="ascii"/>
          <w:sz w:val="21"/>
          <w:spacing w:val="3"/>
        </w:rPr>
        <w:t>路、红外</w:t>
      </w:r>
      <w:r>
        <w:rPr>
          <w:rFonts w:ascii="宋体" w:hAnsi="宋体" w:cs="宋体" w:eastAsia="宋体" w:hint="ascii"/>
          <w:sz w:val="21"/>
          <w:spacing w:val="2"/>
        </w:rPr>
        <w:t>与</w:t>
      </w:r>
      <w:r>
        <w:rPr>
          <w:rFonts w:ascii="宋体" w:hAnsi="宋体" w:cs="宋体" w:eastAsia="宋体" w:hint="ascii"/>
          <w:sz w:val="21"/>
          <w:spacing w:val="3"/>
        </w:rPr>
        <w:t>太赫兹</w:t>
      </w:r>
      <w:r>
        <w:rPr>
          <w:rFonts w:ascii="宋体" w:hAnsi="宋体" w:cs="宋体" w:eastAsia="宋体" w:hint="ascii"/>
          <w:sz w:val="21"/>
          <w:spacing w:val="4"/>
        </w:rPr>
        <w:t>技</w:t>
      </w:r>
      <w:r>
        <w:rPr>
          <w:rFonts w:ascii="宋体" w:hAnsi="宋体" w:cs="宋体" w:eastAsia="宋体" w:hint="ascii"/>
          <w:sz w:val="21"/>
          <w:spacing w:val="3"/>
        </w:rPr>
        <w:t>术</w:t>
      </w:r>
      <w:r>
        <w:rPr>
          <w:rFonts w:ascii="宋体" w:hAnsi="宋体" w:cs="宋体" w:eastAsia="宋体" w:hint="ascii"/>
          <w:sz w:val="21"/>
          <w:spacing w:val="-6"/>
        </w:rPr>
        <w:t>、</w:t>
      </w:r>
      <w:r>
        <w:rPr>
          <w:rFonts w:ascii="宋体" w:hAnsi="宋体" w:cs="宋体" w:eastAsia="宋体" w:hint="ascii"/>
          <w:sz w:val="21"/>
          <w:spacing w:val="4"/>
        </w:rPr>
        <w:t>量子信息</w:t>
      </w:r>
      <w:r>
        <w:rPr>
          <w:rFonts w:ascii="宋体" w:hAnsi="宋体" w:cs="宋体" w:eastAsia="宋体" w:hint="ascii"/>
          <w:sz w:val="21"/>
          <w:spacing w:val="3"/>
        </w:rPr>
        <w:t>、</w:t>
      </w:r>
      <w:r>
        <w:rPr>
          <w:rFonts w:ascii="宋体" w:hAnsi="宋体" w:cs="宋体" w:eastAsia="宋体" w:hint="ascii"/>
          <w:sz w:val="21"/>
          <w:spacing w:val="4"/>
        </w:rPr>
        <w:t>新型激光</w:t>
      </w:r>
      <w:r>
        <w:rPr>
          <w:rFonts w:ascii="宋体" w:hAnsi="宋体" w:cs="宋体" w:eastAsia="宋体" w:hint="ascii"/>
          <w:sz w:val="21"/>
          <w:spacing w:val="3"/>
        </w:rPr>
        <w:t>、认知科学</w:t>
      </w:r>
      <w:r>
        <w:rPr>
          <w:rFonts w:ascii="宋体" w:hAnsi="宋体" w:cs="宋体" w:eastAsia="宋体" w:hint="ascii"/>
          <w:sz w:val="21"/>
          <w:spacing w:val="2"/>
        </w:rPr>
        <w:t>、</w:t>
      </w:r>
      <w:r>
        <w:rPr>
          <w:rFonts w:ascii="宋体" w:hAnsi="宋体" w:cs="宋体" w:eastAsia="宋体" w:hint="ascii"/>
          <w:sz w:val="21"/>
          <w:spacing w:val="3"/>
        </w:rPr>
        <w:t>人工智能</w:t>
      </w:r>
      <w:r>
        <w:rPr>
          <w:rFonts w:ascii="宋体" w:hAnsi="宋体" w:cs="宋体" w:eastAsia="宋体" w:hint="ascii"/>
          <w:sz w:val="21"/>
          <w:spacing w:val="2"/>
        </w:rPr>
        <w:t>及</w:t>
      </w:r>
      <w:r>
        <w:rPr>
          <w:rFonts w:ascii="宋体" w:hAnsi="宋体" w:cs="宋体" w:eastAsia="宋体" w:hint="ascii"/>
          <w:sz w:val="21"/>
          <w:spacing w:val="3"/>
        </w:rPr>
        <w:t>教育信息</w:t>
      </w:r>
      <w:r>
        <w:rPr>
          <w:rFonts w:ascii="宋体" w:hAnsi="宋体" w:cs="宋体" w:eastAsia="宋体" w:hint="ascii"/>
          <w:sz w:val="21"/>
          <w:spacing w:val="2"/>
        </w:rPr>
        <w:t>科</w:t>
      </w:r>
      <w:r>
        <w:rPr>
          <w:rFonts w:ascii="宋体" w:hAnsi="宋体" w:cs="宋体" w:eastAsia="宋体" w:hint="ascii"/>
          <w:sz w:val="21"/>
          <w:spacing w:val="3"/>
        </w:rPr>
        <w:t>学与技术</w:t>
      </w:r>
      <w:r>
        <w:rPr>
          <w:rFonts w:ascii="宋体" w:hAnsi="宋体" w:cs="宋体" w:eastAsia="宋体" w:hint="ascii"/>
          <w:sz w:val="21"/>
          <w:spacing w:val="2"/>
        </w:rPr>
        <w:t>等</w:t>
      </w:r>
      <w:r>
        <w:rPr>
          <w:rFonts w:ascii="宋体" w:hAnsi="宋体" w:cs="宋体" w:eastAsia="宋体" w:hint="ascii"/>
          <w:sz w:val="21"/>
          <w:spacing w:val="3"/>
        </w:rPr>
        <w:t>作为优</w:t>
      </w:r>
      <w:r>
        <w:rPr>
          <w:rFonts w:ascii="宋体" w:hAnsi="宋体" w:cs="宋体" w:eastAsia="宋体" w:hint="ascii"/>
          <w:sz w:val="21"/>
          <w:spacing w:val="4"/>
        </w:rPr>
        <w:t>先</w:t>
      </w:r>
      <w:r>
        <w:rPr>
          <w:rFonts w:ascii="宋体" w:hAnsi="宋体" w:cs="宋体" w:eastAsia="宋体" w:hint="ascii"/>
          <w:sz w:val="21"/>
          <w:spacing w:val="3"/>
        </w:rPr>
        <w:t>支</w:t>
      </w:r>
      <w:r>
        <w:rPr>
          <w:rFonts w:ascii="宋体" w:hAnsi="宋体" w:cs="宋体" w:eastAsia="宋体" w:hint="ascii"/>
          <w:sz w:val="21"/>
          <w:spacing w:val="-6"/>
        </w:rPr>
        <w:t>持</w:t>
      </w:r>
      <w:r>
        <w:rPr>
          <w:rFonts w:ascii="宋体" w:hAnsi="宋体" w:cs="宋体" w:eastAsia="宋体" w:hint="ascii"/>
          <w:sz w:val="21"/>
          <w:spacing w:val="4"/>
        </w:rPr>
        <w:t>的研究领</w:t>
      </w:r>
      <w:r>
        <w:rPr>
          <w:rFonts w:ascii="宋体" w:hAnsi="宋体" w:cs="宋体" w:eastAsia="宋体" w:hint="ascii"/>
          <w:sz w:val="21"/>
          <w:spacing w:val="3"/>
        </w:rPr>
        <w:t>域</w:t>
      </w:r>
      <w:r>
        <w:rPr>
          <w:rFonts w:ascii="宋体" w:hAnsi="宋体" w:cs="宋体" w:eastAsia="宋体" w:hint="ascii"/>
          <w:sz w:val="21"/>
          <w:spacing w:val="4"/>
        </w:rPr>
        <w:t>；对从社</w:t>
      </w:r>
      <w:r>
        <w:rPr>
          <w:rFonts w:ascii="宋体" w:hAnsi="宋体" w:cs="宋体" w:eastAsia="宋体" w:hint="ascii"/>
          <w:sz w:val="21"/>
          <w:spacing w:val="3"/>
        </w:rPr>
        <w:t>会</w:t>
      </w:r>
      <w:r>
        <w:rPr>
          <w:rFonts w:ascii="宋体" w:hAnsi="宋体" w:cs="宋体" w:eastAsia="宋体" w:hint="ascii"/>
          <w:sz w:val="21"/>
          <w:spacing w:val="4"/>
        </w:rPr>
        <w:t>需</w:t>
      </w:r>
      <w:r>
        <w:rPr>
          <w:rFonts w:ascii="宋体" w:hAnsi="宋体" w:cs="宋体" w:eastAsia="宋体" w:hint="ascii"/>
          <w:sz w:val="21"/>
          <w:spacing w:val="3"/>
        </w:rPr>
        <w:t>求出发</w:t>
      </w:r>
      <w:r>
        <w:rPr>
          <w:rFonts w:ascii="宋体" w:hAnsi="宋体" w:cs="宋体" w:eastAsia="宋体" w:hint="ascii"/>
          <w:sz w:val="21"/>
          <w:spacing w:val="2"/>
        </w:rPr>
        <w:t>、</w:t>
      </w:r>
      <w:r>
        <w:rPr>
          <w:rFonts w:ascii="宋体" w:hAnsi="宋体" w:cs="宋体" w:eastAsia="宋体" w:hint="ascii"/>
          <w:sz w:val="21"/>
          <w:spacing w:val="3"/>
        </w:rPr>
        <w:t>推动国民</w:t>
      </w:r>
      <w:r>
        <w:rPr>
          <w:rFonts w:ascii="宋体" w:hAnsi="宋体" w:cs="宋体" w:eastAsia="宋体" w:hint="ascii"/>
          <w:sz w:val="21"/>
          <w:spacing w:val="2"/>
        </w:rPr>
        <w:t>经</w:t>
      </w:r>
      <w:r>
        <w:rPr>
          <w:rFonts w:ascii="宋体" w:hAnsi="宋体" w:cs="宋体" w:eastAsia="宋体" w:hint="ascii"/>
          <w:sz w:val="21"/>
          <w:spacing w:val="3"/>
        </w:rPr>
        <w:t>济及对学</w:t>
      </w:r>
      <w:r>
        <w:rPr>
          <w:rFonts w:ascii="宋体" w:hAnsi="宋体" w:cs="宋体" w:eastAsia="宋体" w:hint="ascii"/>
          <w:sz w:val="21"/>
          <w:spacing w:val="2"/>
        </w:rPr>
        <w:t>科</w:t>
      </w:r>
      <w:r>
        <w:rPr>
          <w:rFonts w:ascii="宋体" w:hAnsi="宋体" w:cs="宋体" w:eastAsia="宋体" w:hint="ascii"/>
          <w:sz w:val="21"/>
          <w:spacing w:val="3"/>
        </w:rPr>
        <w:t>发展具有</w:t>
      </w:r>
      <w:r>
        <w:rPr>
          <w:rFonts w:ascii="宋体" w:hAnsi="宋体" w:cs="宋体" w:eastAsia="宋体" w:hint="ascii"/>
          <w:sz w:val="21"/>
          <w:spacing w:val="2"/>
        </w:rPr>
        <w:t>重</w:t>
      </w:r>
      <w:r>
        <w:rPr>
          <w:rFonts w:ascii="宋体" w:hAnsi="宋体" w:cs="宋体" w:eastAsia="宋体" w:hint="ascii"/>
          <w:sz w:val="21"/>
          <w:spacing w:val="3"/>
        </w:rPr>
        <w:t>要意义</w:t>
      </w:r>
      <w:r>
        <w:rPr>
          <w:rFonts w:ascii="宋体" w:hAnsi="宋体" w:cs="宋体" w:eastAsia="宋体" w:hint="ascii"/>
          <w:sz w:val="21"/>
          <w:spacing w:val="4"/>
        </w:rPr>
        <w:t>的</w:t>
      </w:r>
      <w:r>
        <w:rPr>
          <w:rFonts w:ascii="宋体" w:hAnsi="宋体" w:cs="宋体" w:eastAsia="宋体" w:hint="ascii"/>
          <w:sz w:val="21"/>
          <w:spacing w:val="3"/>
        </w:rPr>
        <w:t>基</w:t>
      </w:r>
      <w:r>
        <w:rPr>
          <w:rFonts w:ascii="宋体" w:hAnsi="宋体" w:cs="宋体" w:eastAsia="宋体" w:hint="ascii"/>
          <w:sz w:val="21"/>
          <w:spacing w:val="-6"/>
        </w:rPr>
        <w:t>础</w:t>
      </w:r>
      <w:r>
        <w:rPr>
          <w:rFonts w:ascii="宋体" w:hAnsi="宋体" w:cs="宋体" w:eastAsia="宋体" w:hint="ascii"/>
          <w:sz w:val="21"/>
          <w:spacing w:val="3"/>
        </w:rPr>
        <w:t>研究将给予优先资助</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12" locked="0" layoutInCell="1" allowOverlap="1">
                <wp:simplePos x="0" y="0"/>
                <wp:positionH relativeFrom="page">
                  <wp:posOffset>3893185</wp:posOffset>
                </wp:positionH>
                <wp:positionV relativeFrom="page">
                  <wp:posOffset>2396490</wp:posOffset>
                </wp:positionV>
                <wp:extent cx="140970" cy="198755"/>
                <wp:wrapNone/>
                <wp:docPr id="1141" name="1141"/>
                <wp:cNvGraphicFramePr/>
                <a:graphic>
                  <a:graphicData uri="http://schemas.microsoft.com/office/word/2010/wordprocessingShape">
                    <wps:wsp>
                      <wps:cNvSpPr/>
                      <wps:spPr>
                        <a:xfrm>
                          <a:off x="0" y="0"/>
                          <a:ext cx="140970" cy="1987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6.55pt;mso-position-vertical:absolute;mso-position-vertical-relative:page;margin-top:188.70pt;z-index:-251543552;width:11.10pt;height:15.65pt;" id="1141" coordsize="222,313" stroked="f" fillcolor="#ffffff" opacity="0f">
                <v:stroke endcap="round"/>
                <v:fill opacity="0f"/>
                <w10:wrap anchorx="page" anchory="page" side="both"/>
              </v:rect>
            </w:pict>
          </mc:Fallback>
        </mc:AlternateConten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鉴于信息领域中的科学和技术问题具有明显跨学科的特点，信息科学部重视信息与</w:t>
      </w:r>
    </w:p>
    <w:p>
      <w:pPr>
        <w:autoSpaceDE w:val="0"/>
        <w:autoSpaceDN w:val="0"/>
        <w:jc w:val="both"/>
        <w:spacing w:before="13"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数理、化学</w:t>
      </w:r>
      <w:r>
        <w:rPr>
          <w:rFonts w:ascii="宋体" w:hAnsi="宋体" w:cs="宋体" w:eastAsia="宋体" w:hint="ascii"/>
          <w:sz w:val="21"/>
        </w:rPr>
        <w:t>、生命、医学、材料、工程、地学、管理等学科的交叉研究，鼓励具有不同</w:t>
      </w:r>
      <w:r>
        <w:rPr>
          <w:rFonts w:ascii="宋体" w:hAnsi="宋体" w:cs="宋体" w:eastAsia="宋体" w:hint="ascii"/>
          <w:sz w:val="21"/>
          <w:spacing w:val="1"/>
        </w:rPr>
        <w:t>专业知识背景的专家</w:t>
      </w:r>
      <w:r>
        <w:rPr>
          <w:rFonts w:ascii="宋体" w:hAnsi="宋体" w:cs="宋体" w:eastAsia="宋体" w:hint="ascii"/>
          <w:sz w:val="21"/>
        </w:rPr>
        <w:t>在智慧教育、服务科学等领域合作研究，提出跨学科交叉研究</w:t>
      </w:r>
      <w:r>
        <w:rPr>
          <w:rFonts w:ascii="宋体" w:hAnsi="宋体" w:cs="宋体" w:eastAsia="宋体" w:hint="ascii"/>
          <w:sz w:val="21"/>
          <w:spacing w:val="-6"/>
        </w:rPr>
        <w:t>项</w:t>
      </w:r>
      <w:r>
        <w:rPr>
          <w:rFonts w:ascii="宋体" w:hAnsi="宋体" w:cs="宋体" w:eastAsia="宋体" w:hint="ascii"/>
          <w:sz w:val="21"/>
          <w:spacing w:val="-1"/>
        </w:rPr>
        <w:t>目。鼓励专</w:t>
      </w:r>
      <w:r>
        <w:rPr>
          <w:rFonts w:ascii="宋体" w:hAnsi="宋体" w:cs="宋体" w:eastAsia="宋体" w:hint="ascii"/>
          <w:sz w:val="21"/>
        </w:rPr>
        <w:t>家理论与实际相结合，对国民经济和国家安全有重要潜在应用前景的基础理</w:t>
      </w:r>
      <w:r>
        <w:rPr>
          <w:rFonts w:ascii="宋体" w:hAnsi="宋体" w:cs="宋体" w:eastAsia="宋体" w:hint="ascii"/>
          <w:sz w:val="21"/>
          <w:spacing w:val="-1"/>
        </w:rPr>
        <w:t>论和关键技</w:t>
      </w:r>
      <w:r>
        <w:rPr>
          <w:rFonts w:ascii="宋体" w:hAnsi="宋体" w:cs="宋体" w:eastAsia="宋体" w:hint="ascii"/>
          <w:sz w:val="21"/>
        </w:rPr>
        <w:t>术进行探索研究。鼓励专家进行实质性国际合作研究，以鼓励我国科学家与国外科学家发挥各自优势，共同解决国际前沿科学技术问题。</w:t>
      </w:r>
    </w:p>
    <w:p>
      <w:pPr>
        <w:autoSpaceDE w:val="0"/>
        <w:autoSpaceDN w:val="0"/>
        <w:jc w:val="left"/>
        <w:spacing w:before="54"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由</w:t>
      </w:r>
      <w:r>
        <w:rPr>
          <w:rFonts w:ascii="宋体" w:hAnsi="宋体" w:cs="宋体" w:eastAsia="宋体" w:hint="ascii"/>
          <w:sz w:val="21"/>
          <w:spacing w:val="7"/>
        </w:rPr>
        <w:t>于</w:t>
      </w:r>
      <w:r>
        <w:rPr>
          <w:rFonts w:ascii="宋体" w:hAnsi="宋体" w:cs="宋体" w:eastAsia="宋体" w:hint="ascii"/>
          <w:sz w:val="21"/>
          <w:spacing w:val="6"/>
        </w:rPr>
        <w:t>近十几年</w:t>
      </w:r>
      <w:r>
        <w:rPr>
          <w:rFonts w:ascii="宋体" w:hAnsi="宋体" w:cs="宋体" w:eastAsia="宋体" w:hint="ascii"/>
          <w:sz w:val="21"/>
          <w:spacing w:val="7"/>
        </w:rPr>
        <w:t>来</w:t>
      </w:r>
      <w:r>
        <w:rPr>
          <w:rFonts w:ascii="宋体" w:hAnsi="宋体" w:cs="宋体" w:eastAsia="宋体" w:hint="ascii"/>
          <w:sz w:val="21"/>
          <w:spacing w:val="6"/>
        </w:rPr>
        <w:t>科学和技</w:t>
      </w:r>
      <w:r>
        <w:rPr>
          <w:rFonts w:ascii="宋体" w:hAnsi="宋体" w:cs="宋体" w:eastAsia="宋体" w:hint="ascii"/>
          <w:sz w:val="21"/>
          <w:spacing w:val="7"/>
        </w:rPr>
        <w:t>术</w:t>
      </w:r>
      <w:r>
        <w:rPr>
          <w:rFonts w:ascii="宋体" w:hAnsi="宋体" w:cs="宋体" w:eastAsia="宋体" w:hint="ascii"/>
          <w:sz w:val="21"/>
          <w:spacing w:val="6"/>
        </w:rPr>
        <w:t>的快速发</w:t>
      </w:r>
      <w:r>
        <w:rPr>
          <w:rFonts w:ascii="宋体" w:hAnsi="宋体" w:cs="宋体" w:eastAsia="宋体" w:hint="ascii"/>
          <w:sz w:val="21"/>
          <w:spacing w:val="7"/>
        </w:rPr>
        <w:t>展</w:t>
      </w:r>
      <w:r>
        <w:rPr>
          <w:rFonts w:ascii="宋体" w:hAnsi="宋体" w:cs="宋体" w:eastAsia="宋体" w:hint="ascii"/>
          <w:sz w:val="21"/>
          <w:spacing w:val="6"/>
        </w:rPr>
        <w:t>，新的研</w:t>
      </w:r>
      <w:r>
        <w:rPr>
          <w:rFonts w:ascii="宋体" w:hAnsi="宋体" w:cs="宋体" w:eastAsia="宋体" w:hint="ascii"/>
          <w:sz w:val="21"/>
          <w:spacing w:val="7"/>
        </w:rPr>
        <w:t>究</w:t>
      </w:r>
      <w:r>
        <w:rPr>
          <w:rFonts w:ascii="宋体" w:hAnsi="宋体" w:cs="宋体" w:eastAsia="宋体" w:hint="ascii"/>
          <w:sz w:val="21"/>
          <w:spacing w:val="6"/>
        </w:rPr>
        <w:t>方向时有</w:t>
      </w:r>
      <w:r>
        <w:rPr>
          <w:rFonts w:ascii="宋体" w:hAnsi="宋体" w:cs="宋体" w:eastAsia="宋体" w:hint="ascii"/>
          <w:sz w:val="21"/>
          <w:spacing w:val="7"/>
        </w:rPr>
        <w:t>出</w:t>
      </w:r>
      <w:r>
        <w:rPr>
          <w:rFonts w:ascii="宋体" w:hAnsi="宋体" w:cs="宋体" w:eastAsia="宋体" w:hint="ascii"/>
          <w:sz w:val="21"/>
          <w:spacing w:val="6"/>
        </w:rPr>
        <w:t>现，信息</w:t>
      </w:r>
      <w:r>
        <w:rPr>
          <w:rFonts w:ascii="宋体" w:hAnsi="宋体" w:cs="宋体" w:eastAsia="宋体" w:hint="ascii"/>
          <w:sz w:val="21"/>
          <w:spacing w:val="7"/>
        </w:rPr>
        <w:t>科</w:t>
      </w:r>
      <w:r>
        <w:rPr>
          <w:rFonts w:ascii="宋体" w:hAnsi="宋体" w:cs="宋体" w:eastAsia="宋体" w:hint="ascii"/>
          <w:sz w:val="21"/>
          <w:spacing w:val="6"/>
        </w:rPr>
        <w:t>学</w:t>
      </w:r>
      <w:r>
        <w:rPr>
          <w:rFonts w:ascii="宋体" w:hAnsi="宋体" w:cs="宋体" w:eastAsia="宋体" w:hint="ascii"/>
          <w:sz w:val="21"/>
        </w:rPr>
        <w:t>部</w:t>
      </w:r>
    </w:p>
    <w:p>
      <w:pPr>
        <w:autoSpaceDE w:val="0"/>
        <w:autoSpaceDN w:val="0"/>
        <w:jc w:val="both"/>
        <w:spacing w:before="13" w:after="0" w:lineRule="exact" w:line="330"/>
        <w:ind w:right="983" w:left="966" w:firstLine="0"/>
        <w:snapToGrid w:val="0"/>
        <w:textAlignment w:val="auto"/>
        <w:tabs/>
        <w:rPr>
          <w:rFonts w:ascii="宋体" w:hAnsi="宋体" w:cs="宋体" w:eastAsia="宋体" w:hint="ascii"/>
          <w:b w:val="1"/>
          <w:sz w:val="21"/>
        </w:rPr>
      </w:pPr>
      <w:r>
        <w:rPr>
          <w:rFonts w:ascii="宋体" w:hAnsi="宋体" w:cs="宋体" w:eastAsia="宋体" w:hint="ascii"/>
          <w:sz w:val="21"/>
          <w:spacing w:val="4"/>
        </w:rPr>
        <w:t>对</w:t>
      </w:r>
      <w:r>
        <w:rPr>
          <w:rFonts w:ascii="宋体" w:hAnsi="宋体" w:cs="宋体" w:eastAsia="宋体" w:hint="ascii"/>
          <w:sz w:val="21"/>
          <w:spacing w:val="3"/>
        </w:rPr>
        <w:t>原</w:t>
      </w:r>
      <w:r>
        <w:rPr>
          <w:rFonts w:ascii="宋体" w:hAnsi="宋体" w:cs="宋体" w:eastAsia="宋体" w:hint="ascii"/>
          <w:sz w:val="21"/>
          <w:spacing w:val="4"/>
        </w:rPr>
        <w:t>有</w:t>
      </w:r>
      <w:r>
        <w:rPr>
          <w:rFonts w:ascii="宋体" w:hAnsi="宋体" w:cs="宋体" w:eastAsia="宋体" w:hint="ascii"/>
          <w:sz w:val="21"/>
          <w:spacing w:val="3"/>
        </w:rPr>
        <w:t>申请</w:t>
      </w:r>
      <w:r>
        <w:rPr>
          <w:rFonts w:ascii="宋体" w:hAnsi="宋体" w:cs="宋体" w:eastAsia="宋体" w:hint="ascii"/>
          <w:sz w:val="21"/>
          <w:spacing w:val="4"/>
        </w:rPr>
        <w:t>代</w:t>
      </w:r>
      <w:r>
        <w:rPr>
          <w:rFonts w:ascii="宋体" w:hAnsi="宋体" w:cs="宋体" w:eastAsia="宋体" w:hint="ascii"/>
          <w:sz w:val="21"/>
          <w:spacing w:val="3"/>
        </w:rPr>
        <w:t>码进</w:t>
      </w:r>
      <w:r>
        <w:rPr>
          <w:rFonts w:ascii="宋体" w:hAnsi="宋体" w:cs="宋体" w:eastAsia="宋体" w:hint="ascii"/>
          <w:sz w:val="21"/>
          <w:spacing w:val="4"/>
        </w:rPr>
        <w:t>行</w:t>
      </w:r>
      <w:r>
        <w:rPr>
          <w:rFonts w:ascii="宋体" w:hAnsi="宋体" w:cs="宋体" w:eastAsia="宋体" w:hint="ascii"/>
          <w:sz w:val="21"/>
          <w:spacing w:val="3"/>
        </w:rPr>
        <w:t>了</w:t>
      </w:r>
      <w:r>
        <w:rPr>
          <w:rFonts w:ascii="宋体" w:hAnsi="宋体" w:cs="宋体" w:eastAsia="宋体" w:hint="ascii"/>
          <w:sz w:val="21"/>
          <w:spacing w:val="4"/>
        </w:rPr>
        <w:t>修</w:t>
      </w:r>
      <w:r>
        <w:rPr>
          <w:rFonts w:ascii="宋体" w:hAnsi="宋体" w:cs="宋体" w:eastAsia="宋体" w:hint="ascii"/>
          <w:sz w:val="21"/>
          <w:spacing w:val="3"/>
        </w:rPr>
        <w:t>改，</w:t>
      </w:r>
      <w:r>
        <w:rPr>
          <w:rFonts w:ascii="宋体" w:hAnsi="宋体" w:cs="宋体" w:eastAsia="宋体" w:hint="ascii"/>
          <w:sz w:val="21"/>
          <w:spacing w:val="4"/>
        </w:rPr>
        <w:t>并</w:t>
      </w:r>
      <w:r>
        <w:rPr>
          <w:rFonts w:ascii="宋体" w:hAnsi="宋体" w:cs="宋体" w:eastAsia="宋体" w:hint="ascii"/>
          <w:sz w:val="21"/>
          <w:spacing w:val="3"/>
        </w:rPr>
        <w:t>增加</w:t>
      </w:r>
      <w:r>
        <w:rPr>
          <w:rFonts w:ascii="宋体" w:hAnsi="宋体" w:cs="宋体" w:eastAsia="宋体" w:hint="ascii"/>
          <w:sz w:val="21"/>
          <w:spacing w:val="2"/>
        </w:rPr>
        <w:t>了人</w:t>
      </w:r>
      <w:r>
        <w:rPr>
          <w:rFonts w:ascii="宋体" w:hAnsi="宋体" w:cs="宋体" w:eastAsia="宋体" w:hint="ascii"/>
          <w:sz w:val="21"/>
          <w:spacing w:val="3"/>
        </w:rPr>
        <w:t>工</w:t>
      </w:r>
      <w:r>
        <w:rPr>
          <w:rFonts w:ascii="宋体" w:hAnsi="宋体" w:cs="宋体" w:eastAsia="宋体" w:hint="ascii"/>
          <w:sz w:val="21"/>
          <w:spacing w:val="2"/>
        </w:rPr>
        <w:t>智</w:t>
      </w:r>
      <w:r>
        <w:rPr>
          <w:rFonts w:ascii="宋体" w:hAnsi="宋体" w:cs="宋体" w:eastAsia="宋体" w:hint="ascii"/>
          <w:sz w:val="21"/>
          <w:spacing w:val="3"/>
        </w:rPr>
        <w:t>能</w:t>
      </w:r>
      <w:r>
        <w:rPr>
          <w:rFonts w:ascii="宋体" w:hAnsi="宋体" w:cs="宋体" w:eastAsia="宋体" w:hint="ascii"/>
          <w:sz w:val="21"/>
          <w:spacing w:val="2"/>
        </w:rPr>
        <w:t>领域</w:t>
      </w:r>
      <w:r>
        <w:rPr>
          <w:rFonts w:ascii="宋体" w:hAnsi="宋体" w:cs="宋体" w:eastAsia="宋体" w:hint="ascii"/>
          <w:sz w:val="21"/>
          <w:spacing w:val="3"/>
        </w:rPr>
        <w:t>申</w:t>
      </w:r>
      <w:r>
        <w:rPr>
          <w:rFonts w:ascii="宋体" w:hAnsi="宋体" w:cs="宋体" w:eastAsia="宋体" w:hint="ascii"/>
          <w:sz w:val="21"/>
          <w:spacing w:val="2"/>
        </w:rPr>
        <w:t>请</w:t>
      </w:r>
      <w:r>
        <w:rPr>
          <w:rFonts w:ascii="宋体" w:hAnsi="宋体" w:cs="宋体" w:eastAsia="宋体" w:hint="ascii"/>
          <w:sz w:val="21"/>
          <w:spacing w:val="3"/>
        </w:rPr>
        <w:t>代</w:t>
      </w:r>
      <w:r>
        <w:rPr>
          <w:rFonts w:ascii="宋体" w:hAnsi="宋体" w:cs="宋体" w:eastAsia="宋体" w:hint="ascii"/>
          <w:sz w:val="21"/>
          <w:spacing w:val="-3"/>
        </w:rPr>
        <w:t>码</w:t>
      </w:r>
      <w:r>
        <w:rPr>
          <w:rFonts w:ascii="宋体" w:hAnsi="宋体" w:cs="宋体" w:eastAsia="宋体" w:hint="ascii"/>
          <w:sz w:val="21"/>
          <w:spacing w:val="-22"/>
        </w:rPr>
        <w:t xml:space="preserve"> </w:t>
      </w:r>
      <w:r>
        <w:rPr>
          <w:rFonts w:ascii="Times New Roman" w:hAnsi="Times New Roman" w:cs="Times New Roman" w:eastAsia="Times New Roman" w:hint="ascii"/>
          <w:b w:val="1"/>
          <w:sz w:val="21"/>
          <w:spacing w:val="3"/>
        </w:rPr>
        <w:t>F0</w:t>
      </w:r>
      <w:r>
        <w:rPr>
          <w:rFonts w:ascii="Times New Roman" w:hAnsi="Times New Roman" w:cs="Times New Roman" w:eastAsia="Times New Roman" w:hint="ascii"/>
          <w:b w:val="1"/>
          <w:sz w:val="21"/>
        </w:rPr>
        <w:t>6</w:t>
      </w:r>
      <w:r>
        <w:rPr>
          <w:rFonts w:ascii="Times New Roman" w:hAnsi="Times New Roman" w:cs="Times New Roman" w:eastAsia="Times New Roman" w:hint="ascii"/>
          <w:b w:val="1"/>
          <w:sz w:val="21"/>
          <w:spacing w:val="-24"/>
        </w:rPr>
        <w:t xml:space="preserve"> </w:t>
      </w:r>
      <w:r>
        <w:rPr>
          <w:rFonts w:ascii="宋体" w:hAnsi="宋体" w:cs="宋体" w:eastAsia="宋体" w:hint="ascii"/>
          <w:sz w:val="21"/>
          <w:spacing w:val="2"/>
        </w:rPr>
        <w:t>和</w:t>
      </w:r>
      <w:r>
        <w:rPr>
          <w:rFonts w:ascii="宋体" w:hAnsi="宋体" w:cs="宋体" w:eastAsia="宋体" w:hint="ascii"/>
          <w:sz w:val="21"/>
          <w:spacing w:val="3"/>
        </w:rPr>
        <w:t>交</w:t>
      </w:r>
      <w:r>
        <w:rPr>
          <w:rFonts w:ascii="宋体" w:hAnsi="宋体" w:cs="宋体" w:eastAsia="宋体" w:hint="ascii"/>
          <w:sz w:val="21"/>
          <w:spacing w:val="2"/>
        </w:rPr>
        <w:t>叉学</w:t>
      </w:r>
      <w:r>
        <w:rPr>
          <w:rFonts w:ascii="宋体" w:hAnsi="宋体" w:cs="宋体" w:eastAsia="宋体" w:hint="ascii"/>
          <w:sz w:val="21"/>
          <w:spacing w:val="3"/>
        </w:rPr>
        <w:t>科</w:t>
      </w:r>
      <w:r>
        <w:rPr>
          <w:rFonts w:ascii="宋体" w:hAnsi="宋体" w:cs="宋体" w:eastAsia="宋体" w:hint="ascii"/>
          <w:sz w:val="21"/>
          <w:spacing w:val="2"/>
        </w:rPr>
        <w:t>领</w:t>
      </w:r>
      <w:r>
        <w:rPr>
          <w:rFonts w:ascii="宋体" w:hAnsi="宋体" w:cs="宋体" w:eastAsia="宋体" w:hint="ascii"/>
          <w:sz w:val="21"/>
          <w:spacing w:val="-6"/>
        </w:rPr>
        <w:t>域</w:t>
      </w:r>
      <w:r>
        <w:rPr>
          <w:rFonts w:ascii="宋体" w:hAnsi="宋体" w:cs="宋体" w:eastAsia="宋体" w:hint="ascii"/>
          <w:sz w:val="21"/>
          <w:spacing w:val="2"/>
        </w:rPr>
        <w:t>申请代</w:t>
      </w:r>
      <w:r>
        <w:rPr>
          <w:rFonts w:ascii="宋体" w:hAnsi="宋体" w:cs="宋体" w:eastAsia="宋体" w:hint="ascii"/>
          <w:sz w:val="21"/>
          <w:spacing w:val="-3"/>
        </w:rPr>
        <w:t>码</w:t>
      </w:r>
      <w:r>
        <w:rPr>
          <w:rFonts w:ascii="宋体" w:hAnsi="宋体" w:cs="宋体" w:eastAsia="宋体" w:hint="ascii"/>
          <w:sz w:val="21"/>
          <w:spacing w:val="-22"/>
        </w:rPr>
        <w:t xml:space="preserve"> </w:t>
      </w:r>
      <w:r>
        <w:rPr>
          <w:rFonts w:ascii="Times New Roman" w:hAnsi="Times New Roman" w:cs="Times New Roman" w:eastAsia="Times New Roman" w:hint="ascii"/>
          <w:b w:val="1"/>
          <w:sz w:val="21"/>
          <w:spacing w:val="3"/>
        </w:rPr>
        <w:t>F0</w:t>
      </w:r>
      <w:r>
        <w:rPr>
          <w:rFonts w:ascii="Times New Roman" w:hAnsi="Times New Roman" w:cs="Times New Roman" w:eastAsia="Times New Roman" w:hint="ascii"/>
          <w:b w:val="1"/>
          <w:sz w:val="21"/>
          <w:spacing w:val="7"/>
        </w:rPr>
        <w:t>7</w:t>
      </w:r>
      <w:r>
        <w:rPr>
          <w:rFonts w:ascii="宋体" w:hAnsi="宋体" w:cs="宋体" w:eastAsia="宋体" w:hint="ascii"/>
          <w:b w:val="1"/>
          <w:sz w:val="21"/>
          <w:spacing w:val="2"/>
        </w:rPr>
        <w:t>。</w:t>
      </w:r>
      <w:r>
        <w:rPr>
          <w:rFonts w:ascii="宋体" w:hAnsi="宋体" w:cs="宋体" w:eastAsia="宋体" w:hint="ascii"/>
          <w:sz w:val="21"/>
          <w:spacing w:val="-3"/>
        </w:rPr>
        <w:t>自</w:t>
      </w:r>
      <w:r>
        <w:rPr>
          <w:rFonts w:ascii="宋体" w:hAnsi="宋体" w:cs="宋体" w:eastAsia="宋体" w:hint="ascii"/>
          <w:sz w:val="21"/>
          <w:spacing w:val="-22"/>
        </w:rPr>
        <w:t xml:space="preserve"> </w:t>
      </w:r>
      <w:r>
        <w:rPr>
          <w:rFonts w:ascii="Times New Roman" w:hAnsi="Times New Roman" w:cs="Times New Roman" w:eastAsia="Times New Roman" w:hint="ascii"/>
          <w:b w:val="1"/>
          <w:sz w:val="21"/>
          <w:spacing w:val="3"/>
        </w:rPr>
        <w:t>201</w:t>
      </w:r>
      <w:r>
        <w:rPr>
          <w:rFonts w:ascii="Times New Roman" w:hAnsi="Times New Roman" w:cs="Times New Roman" w:eastAsia="Times New Roman" w:hint="ascii"/>
          <w:b w:val="1"/>
          <w:sz w:val="21"/>
        </w:rPr>
        <w:t>8</w:t>
      </w:r>
      <w:r>
        <w:rPr>
          <w:rFonts w:ascii="Times New Roman" w:hAnsi="Times New Roman" w:cs="Times New Roman" w:eastAsia="Times New Roman" w:hint="ascii"/>
          <w:b w:val="1"/>
          <w:sz w:val="21"/>
          <w:spacing w:val="-25"/>
        </w:rPr>
        <w:t xml:space="preserve"> </w:t>
      </w:r>
      <w:r>
        <w:rPr>
          <w:rFonts w:ascii="宋体" w:hAnsi="宋体" w:cs="宋体" w:eastAsia="宋体" w:hint="ascii"/>
          <w:sz w:val="21"/>
          <w:spacing w:val="2"/>
        </w:rPr>
        <w:t>年起，信息科学部使用新的申请代码体系，敬请项目申请</w:t>
      </w:r>
      <w:r>
        <w:rPr>
          <w:rFonts w:ascii="宋体" w:hAnsi="宋体" w:cs="宋体" w:eastAsia="宋体" w:hint="ascii"/>
          <w:sz w:val="21"/>
          <w:spacing w:val="-6"/>
        </w:rPr>
        <w:t>人</w:t>
      </w:r>
      <w:r>
        <w:rPr>
          <w:rFonts w:ascii="宋体" w:hAnsi="宋体" w:cs="宋体" w:eastAsia="宋体" w:hint="ascii"/>
          <w:sz w:val="21"/>
          <w:spacing w:val="3"/>
        </w:rPr>
        <w:t>关注</w:t>
      </w:r>
      <w:r>
        <w:rPr>
          <w:rFonts w:ascii="宋体" w:hAnsi="宋体" w:cs="宋体" w:eastAsia="宋体" w:hint="ascii"/>
          <w:b w:val="1"/>
          <w:sz w:val="21"/>
        </w:rPr>
        <w:t>。</w:t>
      </w:r>
    </w:p>
    <w:p>
      <w:pPr>
        <w:autoSpaceDE w:val="0"/>
        <w:autoSpaceDN w:val="0"/>
        <w:jc w:val="left"/>
        <w:spacing w:before="54" w:after="0" w:lineRule="auto" w:line="240"/>
        <w:ind w:right="0" w:left="968" w:firstLine="420"/>
        <w:snapToGrid w:val="0"/>
        <w:textAlignment w:val="auto"/>
        <w:tabs>
          <w:tab w:val="left" w:leader="none" w:pos="1869"/>
        </w:tabs>
        <w:numPr>
          <w:ilvl w:val="0"/>
          <w:numId w:val="84"/>
        </w:numPr>
        <w:rPr>
          <w:rFonts w:ascii="Times New Roman" w:hAnsi="Times New Roman" w:cs="Times New Roman" w:eastAsia="Times New Roman" w:hint="ascii"/>
          <w:b w:val="1"/>
          <w:sz w:val="21"/>
          <w:spacing w:val="1"/>
        </w:rPr>
      </w:pPr>
      <w:r>
        <w:rPr>
          <w:rFonts w:ascii="宋体" w:hAnsi="宋体" w:cs="宋体" w:eastAsia="宋体" w:hint="ascii"/>
          <w:sz w:val="21"/>
        </w:rPr>
        <w:t>年度信息科学部全面实行“申请代码</w:t>
      </w:r>
      <w:r>
        <w:rPr>
          <w:rFonts w:ascii="宋体" w:hAnsi="宋体" w:cs="宋体" w:eastAsia="宋体" w:hint="ascii"/>
          <w:sz w:val="21"/>
          <w:spacing w:val="-50"/>
        </w:rPr>
        <w:t>”、</w:t>
      </w:r>
      <w:r>
        <w:rPr>
          <w:rFonts w:ascii="宋体" w:hAnsi="宋体" w:cs="宋体" w:eastAsia="宋体" w:hint="ascii"/>
          <w:sz w:val="21"/>
        </w:rPr>
        <w:t>“研究方向”和“关键词”的规范化</w:t>
      </w:r>
    </w:p>
    <w:p>
      <w:pPr>
        <w:autoSpaceDE w:val="0"/>
        <w:autoSpaceDN w:val="0"/>
        <w:jc w:val="both"/>
        <w:spacing w:before="21" w:after="0" w:lineRule="exact" w:line="330"/>
        <w:ind w:right="962" w:left="966" w:firstLine="0"/>
        <w:snapToGrid w:val="0"/>
        <w:textAlignment w:val="auto"/>
        <w:tabs/>
        <w:rPr>
          <w:rFonts w:ascii="宋体" w:hAnsi="宋体" w:cs="宋体" w:eastAsia="宋体" w:hint="ascii"/>
          <w:b w:val="1"/>
          <w:sz w:val="21"/>
        </w:rPr>
      </w:pPr>
      <w:r>
        <w:rPr>
          <w:rFonts w:ascii="宋体" w:hAnsi="宋体" w:cs="宋体" w:eastAsia="宋体" w:hint="ascii"/>
          <w:sz w:val="21"/>
        </w:rPr>
        <w:t>选择</w:t>
      </w:r>
      <w:r>
        <w:rPr>
          <w:rFonts w:ascii="宋体" w:hAnsi="宋体" w:cs="宋体" w:eastAsia="宋体" w:hint="ascii"/>
          <w:b w:val="1"/>
          <w:sz w:val="21"/>
        </w:rPr>
        <w:t>。</w:t>
      </w:r>
      <w:r>
        <w:rPr>
          <w:rFonts w:ascii="宋体" w:hAnsi="宋体" w:cs="宋体" w:eastAsia="宋体" w:hint="ascii"/>
          <w:sz w:val="21"/>
        </w:rPr>
        <w:t>申请人填写申请书简表时，应参考系统提示，准确选择“申请代码</w:t>
      </w:r>
      <w:r>
        <w:rPr>
          <w:rFonts w:ascii="宋体" w:hAnsi="宋体" w:cs="宋体" w:eastAsia="宋体" w:hint="ascii"/>
          <w:sz w:val="21"/>
          <w:spacing w:val="-25"/>
        </w:rPr>
        <w:t xml:space="preserve"> </w:t>
      </w:r>
      <w:r>
        <w:rPr>
          <w:rFonts w:ascii="Times New Roman" w:hAnsi="Times New Roman" w:cs="Times New Roman" w:eastAsia="Times New Roman" w:hint="ascii"/>
          <w:b w:val="1"/>
          <w:sz w:val="21"/>
        </w:rPr>
        <w:t>1</w:t>
      </w:r>
      <w:r>
        <w:rPr>
          <w:rFonts w:ascii="宋体" w:hAnsi="宋体" w:cs="宋体" w:eastAsia="宋体" w:hint="ascii"/>
          <w:sz w:val="21"/>
        </w:rPr>
        <w:t>（</w:t>
      </w:r>
      <w:r>
        <w:rPr>
          <w:rFonts w:ascii="Times New Roman" w:hAnsi="Times New Roman" w:cs="Times New Roman" w:eastAsia="Times New Roman" w:hint="ascii"/>
          <w:b w:val="1"/>
          <w:sz w:val="21"/>
        </w:rPr>
        <w:t>F</w:t>
      </w:r>
      <w:r>
        <w:rPr>
          <w:rFonts w:ascii="Times New Roman" w:hAnsi="Times New Roman" w:cs="Times New Roman" w:eastAsia="Times New Roman" w:hint="ascii"/>
          <w:b w:val="1"/>
          <w:sz w:val="21"/>
          <w:spacing w:val="-26"/>
        </w:rPr>
        <w:t xml:space="preserve"> </w:t>
      </w:r>
      <w:r>
        <w:rPr>
          <w:rFonts w:ascii="宋体" w:hAnsi="宋体" w:cs="宋体" w:eastAsia="宋体" w:hint="ascii"/>
          <w:sz w:val="21"/>
        </w:rPr>
        <w:t>及其下属申请代码</w:t>
      </w:r>
      <w:r>
        <w:rPr>
          <w:rFonts w:ascii="宋体" w:hAnsi="宋体" w:cs="宋体" w:eastAsia="宋体" w:hint="ascii"/>
          <w:sz w:val="21"/>
          <w:spacing w:val="-53"/>
        </w:rPr>
        <w:t>）</w:t>
      </w:r>
      <w:r>
        <w:rPr>
          <w:rFonts w:ascii="宋体" w:hAnsi="宋体" w:cs="宋体" w:eastAsia="宋体" w:hint="ascii"/>
          <w:sz w:val="21"/>
        </w:rPr>
        <w:t>”及其相应的“研究方向”和“关键词”内容</w:t>
      </w:r>
      <w:r>
        <w:rPr>
          <w:rFonts w:ascii="宋体" w:hAnsi="宋体" w:cs="宋体" w:eastAsia="宋体" w:hint="ascii"/>
          <w:b w:val="1"/>
          <w:sz w:val="21"/>
        </w:rPr>
        <w:t>。</w:t>
      </w:r>
    </w:p>
    <w:p>
      <w:pPr>
        <w:autoSpaceDE w:val="0"/>
        <w:autoSpaceDN w:val="0"/>
        <w:jc w:val="left"/>
        <w:spacing w:before="54" w:after="0" w:lineRule="auto" w:line="240"/>
        <w:ind w:right="0" w:left="1860" w:hanging="474"/>
        <w:snapToGrid w:val="0"/>
        <w:textAlignment w:val="auto"/>
        <w:tabs>
          <w:tab w:val="left" w:leader="none" w:pos="1860"/>
        </w:tabs>
        <w:numPr>
          <w:ilvl w:val="0"/>
          <w:numId w:val="86"/>
        </w:numPr>
        <w:rPr>
          <w:rFonts w:ascii="Times New Roman" w:hAnsi="Times New Roman" w:cs="Times New Roman" w:eastAsia="Times New Roman" w:hint="ascii"/>
          <w:sz w:val="21"/>
          <w:spacing w:val="1"/>
        </w:rPr>
      </w:pPr>
      <w:r>
        <w:rPr>
          <w:rFonts w:ascii="宋体" w:hAnsi="宋体" w:cs="宋体" w:eastAsia="宋体" w:hint="ascii"/>
          <w:sz w:val="21"/>
        </w:rPr>
        <w:t>年度信息科学部接收面上项目申</w:t>
      </w:r>
      <w:r>
        <w:rPr>
          <w:rFonts w:ascii="宋体" w:hAnsi="宋体" w:cs="宋体" w:eastAsia="宋体" w:hint="ascii"/>
          <w:sz w:val="21"/>
          <w:spacing w:val="27"/>
        </w:rPr>
        <w:t>请</w:t>
      </w:r>
      <w:r>
        <w:rPr>
          <w:rFonts w:ascii="Times New Roman" w:hAnsi="Times New Roman" w:cs="Times New Roman" w:eastAsia="Times New Roman" w:hint="ascii"/>
          <w:sz w:val="21"/>
        </w:rPr>
        <w:t>8 86</w:t>
      </w:r>
      <w:r>
        <w:rPr>
          <w:rFonts w:ascii="Times New Roman" w:hAnsi="Times New Roman" w:cs="Times New Roman" w:eastAsia="Times New Roman" w:hint="ascii"/>
          <w:sz w:val="21"/>
          <w:spacing w:val="53"/>
        </w:rPr>
        <w:t>7</w:t>
      </w:r>
      <w:r>
        <w:rPr>
          <w:rFonts w:ascii="宋体" w:hAnsi="宋体" w:cs="宋体" w:eastAsia="宋体" w:hint="ascii"/>
          <w:sz w:val="21"/>
        </w:rPr>
        <w:t>项，</w:t>
      </w:r>
      <w:r>
        <w:rPr>
          <w:rFonts w:ascii="宋体" w:hAnsi="宋体" w:cs="宋体" w:eastAsia="宋体" w:hint="ascii"/>
          <w:sz w:val="21"/>
          <w:spacing w:val="27"/>
        </w:rPr>
        <w:t>比</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6</w:t>
      </w:r>
      <w:r>
        <w:rPr>
          <w:rFonts w:ascii="宋体" w:hAnsi="宋体" w:cs="宋体" w:eastAsia="宋体" w:hint="ascii"/>
          <w:sz w:val="21"/>
        </w:rPr>
        <w:t>年度增加了</w:t>
      </w:r>
      <w:r>
        <w:rPr>
          <w:rFonts w:ascii="宋体" w:hAnsi="宋体" w:cs="宋体" w:eastAsia="宋体" w:hint="ascii"/>
          <w:sz w:val="21"/>
          <w:spacing w:val="-25"/>
        </w:rPr>
        <w:t xml:space="preserve"> </w:t>
      </w:r>
      <w:r>
        <w:rPr>
          <w:rFonts w:ascii="Times New Roman" w:hAnsi="Times New Roman" w:cs="Times New Roman" w:eastAsia="Times New Roman" w:hint="ascii"/>
          <w:sz w:val="21"/>
        </w:rPr>
        <w:t>10.91%</w:t>
      </w:r>
      <w:r>
        <w:rPr>
          <w:rFonts w:ascii="宋体" w:hAnsi="宋体" w:cs="宋体" w:eastAsia="宋体" w:hint="ascii"/>
          <w:sz w:val="21"/>
        </w:rPr>
        <w:t>。资</w:t>
      </w:r>
    </w:p>
    <w:p>
      <w:pPr>
        <w:autoSpaceDE w:val="0"/>
        <w:autoSpaceDN w:val="0"/>
        <w:jc w:val="left"/>
        <w:spacing w:before="21" w:after="0" w:lineRule="exact" w:line="33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助</w:t>
      </w:r>
      <w:r>
        <w:rPr>
          <w:rFonts w:ascii="宋体" w:hAnsi="宋体" w:cs="宋体" w:eastAsia="宋体" w:hint="ascii"/>
          <w:sz w:val="21"/>
          <w:spacing w:val="-24"/>
        </w:rPr>
        <w:t xml:space="preserve"> </w:t>
      </w:r>
      <w:r>
        <w:rPr>
          <w:rFonts w:ascii="Times New Roman" w:hAnsi="Times New Roman" w:cs="Times New Roman" w:eastAsia="Times New Roman" w:hint="ascii"/>
          <w:sz w:val="21"/>
        </w:rPr>
        <w:t>1 912</w:t>
      </w:r>
      <w:r>
        <w:rPr>
          <w:rFonts w:ascii="Times New Roman" w:hAnsi="Times New Roman" w:cs="Times New Roman" w:eastAsia="Times New Roman" w:hint="ascii"/>
          <w:sz w:val="21"/>
          <w:spacing w:val="-25"/>
        </w:rPr>
        <w:t xml:space="preserve"> </w:t>
      </w:r>
      <w:r>
        <w:rPr>
          <w:rFonts w:ascii="宋体" w:hAnsi="宋体" w:cs="宋体" w:eastAsia="宋体" w:hint="ascii"/>
          <w:sz w:val="21"/>
        </w:rPr>
        <w:t>项，资助直接费用</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13 880</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万元，直接费用平均资助强度</w:t>
      </w:r>
      <w:r>
        <w:rPr>
          <w:rFonts w:ascii="宋体" w:hAnsi="宋体" w:cs="宋体" w:eastAsia="宋体" w:hint="ascii"/>
          <w:sz w:val="21"/>
          <w:spacing w:val="-24"/>
        </w:rPr>
        <w:t xml:space="preserve"> </w:t>
      </w:r>
      <w:r>
        <w:rPr>
          <w:rFonts w:ascii="Times New Roman" w:hAnsi="Times New Roman" w:cs="Times New Roman" w:eastAsia="Times New Roman" w:hint="ascii"/>
          <w:sz w:val="21"/>
        </w:rPr>
        <w:t>59.56</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项。部分项目研究内容涉及信息与数学、信息与健康等交叉领域研究。</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年度信息科学部共</w:t>
      </w:r>
      <w:r>
        <w:rPr>
          <w:rFonts w:ascii="宋体" w:hAnsi="宋体" w:cs="宋体" w:eastAsia="宋体" w:hint="ascii"/>
          <w:sz w:val="21"/>
          <w:spacing w:val="-2"/>
        </w:rPr>
        <w:t>收到信息与数理领域交叉类</w:t>
      </w:r>
      <w:r>
        <w:rPr>
          <w:rFonts w:ascii="宋体" w:hAnsi="宋体" w:cs="宋体" w:eastAsia="宋体" w:hint="ascii"/>
          <w:sz w:val="21"/>
          <w:spacing w:val="-1"/>
        </w:rPr>
        <w:t>项目申</w:t>
      </w:r>
      <w:r>
        <w:rPr>
          <w:rFonts w:ascii="宋体" w:hAnsi="宋体" w:cs="宋体" w:eastAsia="宋体" w:hint="ascii"/>
          <w:sz w:val="21"/>
          <w:spacing w:val="25"/>
        </w:rPr>
        <w:t>请</w:t>
      </w:r>
      <w:r>
        <w:rPr>
          <w:rFonts w:ascii="Times New Roman" w:hAnsi="Times New Roman" w:cs="Times New Roman" w:eastAsia="Times New Roman" w:hint="ascii"/>
          <w:sz w:val="21"/>
          <w:spacing w:val="-1"/>
        </w:rPr>
        <w:t>34</w:t>
      </w:r>
      <w:r>
        <w:rPr>
          <w:rFonts w:ascii="Times New Roman" w:hAnsi="Times New Roman" w:cs="Times New Roman" w:eastAsia="Times New Roman" w:hint="ascii"/>
          <w:sz w:val="21"/>
          <w:spacing w:val="51"/>
        </w:rPr>
        <w:t>7</w:t>
      </w:r>
      <w:r>
        <w:rPr>
          <w:rFonts w:ascii="宋体" w:hAnsi="宋体" w:cs="宋体" w:eastAsia="宋体" w:hint="ascii"/>
          <w:sz w:val="21"/>
          <w:spacing w:val="-1"/>
        </w:rPr>
        <w:t>项，资</w:t>
      </w:r>
      <w:r>
        <w:rPr>
          <w:rFonts w:ascii="宋体" w:hAnsi="宋体" w:cs="宋体" w:eastAsia="宋体" w:hint="ascii"/>
          <w:sz w:val="21"/>
          <w:spacing w:val="25"/>
        </w:rPr>
        <w:t>助</w:t>
      </w:r>
      <w:r>
        <w:rPr>
          <w:rFonts w:ascii="Times New Roman" w:hAnsi="Times New Roman" w:cs="Times New Roman" w:eastAsia="Times New Roman" w:hint="ascii"/>
          <w:sz w:val="21"/>
          <w:spacing w:val="-1"/>
        </w:rPr>
        <w:t>7</w:t>
      </w:r>
      <w:r>
        <w:rPr>
          <w:rFonts w:ascii="Times New Roman" w:hAnsi="Times New Roman" w:cs="Times New Roman" w:eastAsia="Times New Roman" w:hint="ascii"/>
          <w:sz w:val="21"/>
          <w:spacing w:val="51"/>
        </w:rPr>
        <w:t>6</w:t>
      </w:r>
      <w:r>
        <w:rPr>
          <w:rFonts w:ascii="宋体" w:hAnsi="宋体" w:cs="宋体" w:eastAsia="宋体" w:hint="ascii"/>
          <w:sz w:val="21"/>
          <w:spacing w:val="-1"/>
        </w:rPr>
        <w:t>项，直接费用平均资助强</w:t>
      </w:r>
      <w:r>
        <w:rPr>
          <w:rFonts w:ascii="宋体" w:hAnsi="宋体" w:cs="宋体" w:eastAsia="宋体" w:hint="ascii"/>
          <w:sz w:val="21"/>
          <w:spacing w:val="25"/>
        </w:rPr>
        <w:t>度</w:t>
      </w: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spacing w:val="51"/>
        </w:rPr>
        <w:t>0</w:t>
      </w:r>
      <w:r>
        <w:rPr>
          <w:rFonts w:ascii="宋体" w:hAnsi="宋体" w:cs="宋体" w:eastAsia="宋体" w:hint="ascii"/>
          <w:sz w:val="21"/>
          <w:spacing w:val="-1"/>
        </w:rPr>
        <w:t>万</w:t>
      </w:r>
      <w:r>
        <w:rPr>
          <w:rFonts w:ascii="宋体" w:hAnsi="宋体" w:cs="宋体" w:eastAsia="宋体" w:hint="ascii"/>
          <w:sz w:val="21"/>
        </w:rPr>
        <w:t xml:space="preserve"> 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21.90%</w:t>
      </w:r>
      <w:r>
        <w:rPr>
          <w:rFonts w:ascii="宋体" w:hAnsi="宋体" w:cs="宋体" w:eastAsia="宋体" w:hint="ascii"/>
          <w:sz w:val="21"/>
        </w:rPr>
        <w:t>。</w:t>
      </w:r>
    </w:p>
    <w:p>
      <w:pPr>
        <w:autoSpaceDE w:val="0"/>
        <w:autoSpaceDN w:val="0"/>
        <w:jc w:val="both"/>
        <w:spacing w:before="0" w:after="0" w:lineRule="exact" w:line="330"/>
        <w:ind w:right="962" w:left="966" w:firstLine="420"/>
        <w:snapToGrid w:val="0"/>
        <w:textAlignment w:val="auto"/>
        <w:tabs>
          <w:tab w:val="left" w:leader="none" w:pos="1858"/>
        </w:tabs>
        <w:numPr>
          <w:ilvl w:val="0"/>
          <w:numId w:val="87"/>
        </w:numPr>
        <w:rPr>
          <w:rFonts w:ascii="Times New Roman" w:hAnsi="Times New Roman" w:cs="Times New Roman" w:eastAsia="Times New Roman" w:hint="ascii"/>
          <w:sz w:val="21"/>
          <w:spacing w:val="1"/>
        </w:rPr>
      </w:pPr>
      <w:r>
        <w:rPr>
          <w:rFonts w:ascii="宋体" w:hAnsi="宋体" w:cs="宋体" w:eastAsia="宋体" w:hint="ascii"/>
          <w:sz w:val="21"/>
        </w:rPr>
        <w:t>年度资助面上小额项</w:t>
      </w:r>
      <w:r>
        <w:rPr>
          <w:rFonts w:ascii="宋体" w:hAnsi="宋体" w:cs="宋体" w:eastAsia="宋体" w:hint="ascii"/>
          <w:sz w:val="21"/>
          <w:spacing w:val="26"/>
        </w:rPr>
        <w:t>目</w:t>
      </w:r>
      <w:r>
        <w:rPr>
          <w:rFonts w:ascii="Times New Roman" w:hAnsi="Times New Roman" w:cs="Times New Roman" w:eastAsia="Times New Roman" w:hint="ascii"/>
          <w:sz w:val="21"/>
        </w:rPr>
        <w:t>12</w:t>
      </w:r>
      <w:r>
        <w:rPr>
          <w:rFonts w:ascii="Times New Roman" w:hAnsi="Times New Roman" w:cs="Times New Roman" w:eastAsia="Times New Roman" w:hint="ascii"/>
          <w:sz w:val="21"/>
          <w:spacing w:val="52"/>
        </w:rPr>
        <w:t>5</w:t>
      </w:r>
      <w:r>
        <w:rPr>
          <w:rFonts w:ascii="宋体" w:hAnsi="宋体" w:cs="宋体" w:eastAsia="宋体" w:hint="ascii"/>
          <w:sz w:val="21"/>
        </w:rPr>
        <w:t>项，资助直接费</w:t>
      </w:r>
      <w:r>
        <w:rPr>
          <w:rFonts w:ascii="宋体" w:hAnsi="宋体" w:cs="宋体" w:eastAsia="宋体" w:hint="ascii"/>
          <w:sz w:val="21"/>
          <w:spacing w:val="26"/>
        </w:rPr>
        <w:t>用</w:t>
      </w:r>
      <w:r>
        <w:rPr>
          <w:rFonts w:ascii="Times New Roman" w:hAnsi="Times New Roman" w:cs="Times New Roman" w:eastAsia="Times New Roman" w:hint="ascii"/>
          <w:sz w:val="21"/>
        </w:rPr>
        <w:t>2 00</w:t>
      </w:r>
      <w:r>
        <w:rPr>
          <w:rFonts w:ascii="Times New Roman" w:hAnsi="Times New Roman" w:cs="Times New Roman" w:eastAsia="Times New Roman" w:hint="ascii"/>
          <w:sz w:val="21"/>
          <w:spacing w:val="52"/>
        </w:rPr>
        <w:t>0</w:t>
      </w:r>
      <w:r>
        <w:rPr>
          <w:rFonts w:ascii="宋体" w:hAnsi="宋体" w:cs="宋体" w:eastAsia="宋体" w:hint="ascii"/>
          <w:sz w:val="21"/>
        </w:rPr>
        <w:t>万元，直接费用平均资助强度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1"/>
        </w:rPr>
        <w:t>6</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54" w:after="0" w:lineRule="auto" w:line="240"/>
        <w:ind w:right="0" w:left="966" w:firstLine="420"/>
        <w:snapToGrid w:val="0"/>
        <w:textAlignment w:val="auto"/>
        <w:tabs>
          <w:tab w:val="left" w:leader="none" w:pos="1863"/>
        </w:tabs>
        <w:numPr>
          <w:ilvl w:val="0"/>
          <w:numId w:val="87"/>
        </w:numPr>
        <w:rPr>
          <w:rFonts w:ascii="Times New Roman" w:hAnsi="Times New Roman" w:cs="Times New Roman" w:eastAsia="Times New Roman" w:hint="ascii"/>
          <w:sz w:val="21"/>
          <w:spacing w:val="1"/>
        </w:rPr>
      </w:pPr>
      <w:r>
        <w:rPr>
          <w:rFonts w:ascii="宋体" w:hAnsi="宋体" w:cs="宋体" w:eastAsia="宋体" w:hint="ascii"/>
          <w:sz w:val="21"/>
        </w:rPr>
        <w:t>年度信息科学部继续鼓励有别于传统研究思路的创新性基础研究，欢迎研究</w:t>
      </w:r>
    </w:p>
    <w:p>
      <w:pPr>
        <w:autoSpaceDE w:val="0"/>
        <w:autoSpaceDN w:val="0"/>
        <w:jc w:val="both"/>
        <w:spacing w:before="21"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人员积极开展</w:t>
      </w:r>
      <w:r>
        <w:rPr>
          <w:rFonts w:ascii="宋体" w:hAnsi="宋体" w:cs="宋体" w:eastAsia="宋体" w:hint="ascii"/>
          <w:sz w:val="21"/>
        </w:rPr>
        <w:t>基于新概念、新理论、新方法、新技术的基础科学研究。对于以往研究工作取得重要进展的项目负责人所提出的申请，继续实行资助倾斜政策。</w:t>
      </w:r>
    </w:p>
    <w:p>
      <w:pPr>
        <w:autoSpaceDE w:val="0"/>
        <w:autoSpaceDN w:val="0"/>
        <w:jc w:val="left"/>
        <w:spacing w:before="61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0" w:lineRule="exact" w:line="225"/>
        <w:ind w:right="0" w:left="3253" w:firstLine="0"/>
        <w:snapToGrid w:val="0"/>
        <w:textAlignment w:val="auto"/>
        <w:tabs/>
        <w:rPr>
          <w:rFonts w:ascii="宋体" w:hAnsi="宋体" w:cs="宋体" w:eastAsia="宋体" w:hint="ascii"/>
          <w:sz w:val="18"/>
        </w:rPr>
      </w:pPr>
      <w:r>
        <w:rPr>
          <w:rFonts w:ascii="宋体" w:hAnsi="宋体" w:cs="宋体" w:eastAsia="宋体" w:hint="ascii"/>
          <w:sz w:val="18"/>
        </w:rPr>
        <w:t>信息科学部面上项目近两年资助情况一览表</w:t>
      </w:r>
      <w:r>
        <w:rPr>
          <w:rFonts w:ascii="宋体" w:hAnsi="宋体" w:cs="宋体" w:eastAsia="宋体" w:hint="ascii"/>
          <w:sz w:val="18"/>
        </w:rPr>
        <mc:AlternateContent>
          <mc:Choice Requires="wps">
            <w:drawing>
              <wp:anchor distL="0" distR="0" distT="0" distB="0" simplePos="0" behindDoc="1" relativeHeight="113" locked="0" layoutInCell="1" allowOverlap="1">
                <wp:simplePos x="0" y="0"/>
                <wp:positionH relativeFrom="page">
                  <wp:posOffset>938530</wp:posOffset>
                </wp:positionH>
                <wp:positionV relativeFrom="page">
                  <wp:posOffset>805815</wp:posOffset>
                </wp:positionV>
                <wp:extent cx="5076190" cy="0"/>
                <wp:wrapNone/>
                <wp:docPr id="1142" name="114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42528;width:399.70pt;" id="114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566"/>
        <w:gridCol w:w="1983"/>
        <w:gridCol w:w="849"/>
        <w:gridCol w:w="851"/>
        <w:gridCol w:w="1021"/>
        <w:gridCol w:w="851"/>
        <w:gridCol w:w="852"/>
        <w:gridCol w:w="1019"/>
      </w:tblGrid>
      <w:tr>
        <w:trPr>
          <w:trHeight w:val="256" w:hRule="exact"/>
          <w:cantSplit w:val="1"/>
        </w:trPr>
        <w:tc>
          <w:tcPr>
            <w:tcW w:w="2549" w:type="dxa"/>
            <w:gridSpan w:val="2"/>
            <w:vAlign w:val="top"/>
            <w:vMerge w:val="restart"/>
            <w:tcMar/>
            <w:tcBorders/>
          </w:tcPr>
          <w:p>
            <w:pPr>
              <w:autoSpaceDE w:val="0"/>
              <w:autoSpaceDN w:val="0"/>
              <w:jc w:val="left"/>
              <w:spacing w:before="148" w:after="0" w:lineRule="exact" w:line="188"/>
              <w:ind w:right="0" w:left="104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1" w:type="dxa"/>
            <w:gridSpan w:val="3"/>
            <w:vAlign w:val="top"/>
            <w:tcMar/>
            <w:tcBorders>
              <w:left w:val="single" w:sz="4" w:space="0" w:color="000000"/>
            </w:tcBorders>
          </w:tcPr>
          <w:p>
            <w:pPr>
              <w:autoSpaceDE w:val="0"/>
              <w:autoSpaceDN w:val="0"/>
              <w:jc w:val="left"/>
              <w:spacing w:before="24" w:after="0" w:lineRule="auto" w:line="240"/>
              <w:ind w:right="0" w:left="1038" w:firstLine="0"/>
              <w:snapToGrid w:val="0"/>
              <w:textAlignment w:val="auto"/>
              <w:tabs>
                <w:tab w:val="left" w:leader="none" w:pos="1381"/>
              </w:tabs>
              <w:numPr>
                <w:ilvl w:val="0"/>
                <w:numId w:val="88"/>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24" w:after="0" w:lineRule="auto" w:line="240"/>
              <w:ind w:right="0" w:left="1037" w:firstLine="0"/>
              <w:snapToGrid w:val="0"/>
              <w:textAlignment w:val="auto"/>
              <w:tabs>
                <w:tab w:val="left" w:leader="none" w:pos="1381"/>
              </w:tabs>
              <w:numPr>
                <w:ilvl w:val="0"/>
                <w:numId w:val="88"/>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251" w:hRule="exact"/>
          <w:cantSplit w:val="1"/>
        </w:trPr>
        <w:tc>
          <w:tcPr>
            <w:tcW w:w="254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21"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68"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50" w:hRule="exact"/>
          <w:cantSplit w:val="1"/>
        </w:trPr>
        <w:tc>
          <w:tcPr>
            <w:tcW w:w="566" w:type="dxa"/>
            <w:gridSpan w:val="1"/>
            <w:vAlign w:val="top"/>
            <w:vMerge w:val="restart"/>
            <w:tcMar/>
            <w:tcBorders>
              <w:top w:val="single" w:sz="4" w:space="0" w:color="000000"/>
            </w:tcBorders>
          </w:tcPr>
          <w:p>
            <w:pPr>
              <w:autoSpaceDE w:val="0"/>
              <w:autoSpaceDN w:val="0"/>
              <w:jc w:val="left"/>
              <w:spacing w:before="27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983"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461" w:firstLine="0"/>
              <w:snapToGrid w:val="0"/>
              <w:textAlignment w:val="auto"/>
              <w:tabs/>
              <w:rPr>
                <w:rFonts w:ascii="宋体" w:hAnsi="宋体" w:cs="宋体" w:eastAsia="宋体" w:hint="ascii"/>
                <w:sz w:val="15"/>
              </w:rPr>
            </w:pPr>
            <w:r>
              <w:rPr>
                <w:rFonts w:ascii="宋体" w:hAnsi="宋体" w:cs="宋体" w:eastAsia="宋体" w:hint="ascii"/>
                <w:sz w:val="15"/>
              </w:rPr>
              <w:t>电子科学与技术</w:t>
            </w:r>
          </w:p>
        </w:tc>
        <w:tc>
          <w:tcPr>
            <w:tcW w:w="849"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165</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25" w:firstLine="0"/>
              <w:snapToGrid w:val="0"/>
              <w:textAlignment w:val="auto"/>
              <w:tabs>
                <w:tab w:val="left" w:leader="none" w:pos="443"/>
              </w:tabs>
              <w:numPr>
                <w:ilvl w:val="0"/>
                <w:numId w:val="89"/>
              </w:numPr>
              <w:rPr>
                <w:rFonts w:ascii="Times New Roman" w:hAnsi="Times New Roman" w:cs="Times New Roman" w:eastAsia="Times New Roman" w:hint="ascii"/>
                <w:sz w:val="15"/>
              </w:rPr>
            </w:pPr>
            <w:r>
              <w:rPr>
                <w:rFonts w:ascii="Times New Roman" w:hAnsi="Times New Roman" w:cs="Times New Roman" w:eastAsia="Times New Roman" w:hint="ascii"/>
                <w:sz w:val="15"/>
              </w:rPr>
              <w:t>698</w:t>
            </w:r>
          </w:p>
        </w:tc>
        <w:tc>
          <w:tcPr>
            <w:tcW w:w="102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23.61</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176</w:t>
            </w:r>
          </w:p>
        </w:tc>
        <w:tc>
          <w:tcPr>
            <w:tcW w:w="852"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223" w:firstLine="0"/>
              <w:snapToGrid w:val="0"/>
              <w:textAlignment w:val="auto"/>
              <w:tabs>
                <w:tab w:val="left" w:leader="none" w:pos="416"/>
              </w:tabs>
              <w:numPr>
                <w:ilvl w:val="0"/>
                <w:numId w:val="89"/>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656</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21.20</w:t>
            </w:r>
          </w:p>
        </w:tc>
      </w:tr>
      <w:tr>
        <w:trPr>
          <w:trHeight w:val="25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4" w:after="0" w:lineRule="exact" w:line="188"/>
              <w:ind w:right="0" w:left="461" w:firstLine="0"/>
              <w:snapToGrid w:val="0"/>
              <w:textAlignment w:val="auto"/>
              <w:tabs/>
              <w:rPr>
                <w:rFonts w:ascii="宋体" w:hAnsi="宋体" w:cs="宋体" w:eastAsia="宋体" w:hint="ascii"/>
                <w:sz w:val="15"/>
              </w:rPr>
            </w:pPr>
            <w:r>
              <w:rPr>
                <w:rFonts w:ascii="宋体" w:hAnsi="宋体" w:cs="宋体" w:eastAsia="宋体" w:hint="ascii"/>
                <w:sz w:val="15"/>
              </w:rPr>
              <w:t>信息与通信系统</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169</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25" w:firstLine="0"/>
              <w:snapToGrid w:val="0"/>
              <w:textAlignment w:val="auto"/>
              <w:tabs>
                <w:tab w:val="left" w:leader="none" w:pos="443"/>
              </w:tabs>
              <w:numPr>
                <w:ilvl w:val="0"/>
                <w:numId w:val="90"/>
              </w:numPr>
              <w:rPr>
                <w:rFonts w:ascii="Times New Roman" w:hAnsi="Times New Roman" w:cs="Times New Roman" w:eastAsia="Times New Roman" w:hint="ascii"/>
                <w:sz w:val="15"/>
              </w:rPr>
            </w:pPr>
            <w:r>
              <w:rPr>
                <w:rFonts w:ascii="Times New Roman" w:hAnsi="Times New Roman" w:cs="Times New Roman" w:eastAsia="Times New Roman" w:hint="ascii"/>
                <w:sz w:val="15"/>
              </w:rPr>
              <w:t>743</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23.94</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181</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23" w:firstLine="0"/>
              <w:snapToGrid w:val="0"/>
              <w:textAlignment w:val="auto"/>
              <w:tabs>
                <w:tab w:val="left" w:leader="none" w:pos="416"/>
              </w:tabs>
              <w:numPr>
                <w:ilvl w:val="0"/>
                <w:numId w:val="90"/>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724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21.47</w:t>
            </w:r>
          </w:p>
        </w:tc>
      </w:tr>
      <w:tr>
        <w:trPr>
          <w:trHeight w:val="25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4" w:after="0" w:lineRule="exact" w:line="188"/>
              <w:ind w:right="0" w:left="461" w:firstLine="0"/>
              <w:snapToGrid w:val="0"/>
              <w:textAlignment w:val="auto"/>
              <w:tabs/>
              <w:rPr>
                <w:rFonts w:ascii="宋体" w:hAnsi="宋体" w:cs="宋体" w:eastAsia="宋体" w:hint="ascii"/>
                <w:sz w:val="15"/>
              </w:rPr>
            </w:pPr>
            <w:r>
              <w:rPr>
                <w:rFonts w:ascii="宋体" w:hAnsi="宋体" w:cs="宋体" w:eastAsia="宋体" w:hint="ascii"/>
                <w:sz w:val="15"/>
              </w:rPr>
              <w:t>信息获取与处理</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155</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2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9 010</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23.63</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143</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97" w:firstLine="0"/>
              <w:snapToGrid w:val="0"/>
              <w:textAlignment w:val="auto"/>
              <w:tabs>
                <w:tab w:val="left" w:leader="none" w:pos="415"/>
              </w:tabs>
              <w:numPr>
                <w:ilvl w:val="0"/>
                <w:numId w:val="91"/>
              </w:numPr>
              <w:rPr>
                <w:rFonts w:ascii="Times New Roman" w:hAnsi="Times New Roman" w:cs="Times New Roman" w:eastAsia="Times New Roman" w:hint="ascii"/>
                <w:sz w:val="15"/>
              </w:rPr>
            </w:pPr>
            <w:r>
              <w:rPr>
                <w:rFonts w:ascii="Times New Roman" w:hAnsi="Times New Roman" w:cs="Times New Roman" w:eastAsia="Times New Roman" w:hint="ascii"/>
                <w:sz w:val="15"/>
              </w:rPr>
              <w:t>463</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21.34</w:t>
            </w:r>
          </w:p>
        </w:tc>
      </w:tr>
      <w:tr>
        <w:trPr>
          <w:trHeight w:val="445" w:hRule="exact"/>
          <w:cantSplit w:val="1"/>
        </w:trPr>
        <w:tc>
          <w:tcPr>
            <w:tcW w:w="566" w:type="dxa"/>
            <w:gridSpan w:val="1"/>
            <w:vAlign w:val="top"/>
            <w:vMerge w:val="restart"/>
            <w:tcMar/>
            <w:tcBorders>
              <w:top w:val="single" w:sz="4" w:space="0" w:color="000000"/>
            </w:tcBorders>
          </w:tcPr>
          <w:p>
            <w:pPr>
              <w:autoSpaceDE w:val="0"/>
              <w:autoSpaceDN w:val="0"/>
              <w:jc w:val="left"/>
              <w:spacing w:before="371"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983" w:type="dxa"/>
            <w:gridSpan w:val="1"/>
            <w:vAlign w:val="top"/>
            <w:tcMar/>
            <w:tcBorders>
              <w:left w:val="single" w:sz="4" w:space="0" w:color="000000"/>
              <w:top w:val="single" w:sz="4" w:space="0" w:color="000000"/>
            </w:tcBorders>
          </w:tcPr>
          <w:p>
            <w:pPr>
              <w:autoSpaceDE w:val="0"/>
              <w:autoSpaceDN w:val="0"/>
              <w:jc w:val="left"/>
              <w:spacing w:before="24" w:after="0" w:lineRule="exact" w:line="188"/>
              <w:ind w:right="0" w:left="385" w:firstLine="0"/>
              <w:snapToGrid w:val="0"/>
              <w:textAlignment w:val="auto"/>
              <w:tabs/>
              <w:rPr>
                <w:rFonts w:ascii="宋体" w:hAnsi="宋体" w:cs="宋体" w:eastAsia="宋体" w:hint="ascii"/>
                <w:sz w:val="15"/>
              </w:rPr>
            </w:pPr>
            <w:r>
              <w:rPr>
                <w:rFonts w:ascii="宋体" w:hAnsi="宋体" w:cs="宋体" w:eastAsia="宋体" w:hint="ascii"/>
                <w:sz w:val="15"/>
              </w:rPr>
              <w:t>理论计算机科学、</w:t>
            </w:r>
          </w:p>
          <w:p>
            <w:pPr>
              <w:autoSpaceDE w:val="0"/>
              <w:autoSpaceDN w:val="0"/>
              <w:jc w:val="left"/>
              <w:spacing w:before="7" w:after="0" w:lineRule="exact" w:line="188"/>
              <w:ind w:right="0" w:left="535" w:firstLine="0"/>
              <w:snapToGrid w:val="0"/>
              <w:textAlignment w:val="auto"/>
              <w:tabs/>
              <w:rPr>
                <w:rFonts w:ascii="宋体" w:hAnsi="宋体" w:cs="宋体" w:eastAsia="宋体" w:hint="ascii"/>
                <w:sz w:val="15"/>
              </w:rPr>
            </w:pPr>
            <w:r>
              <w:rPr>
                <w:rFonts w:ascii="宋体" w:hAnsi="宋体" w:cs="宋体" w:eastAsia="宋体" w:hint="ascii"/>
                <w:sz w:val="15"/>
              </w:rPr>
              <w:t>计算机软硬件</w:t>
            </w:r>
          </w:p>
        </w:tc>
        <w:tc>
          <w:tcPr>
            <w:tcW w:w="849" w:type="dxa"/>
            <w:gridSpan w:val="1"/>
            <w:vAlign w:val="top"/>
            <w:tcMar/>
            <w:tcBorders>
              <w:left w:val="single" w:sz="4" w:space="0" w:color="000000"/>
              <w:top w:val="single" w:sz="4" w:space="0" w:color="000000"/>
            </w:tcBorders>
          </w:tcPr>
          <w:p>
            <w:pPr>
              <w:autoSpaceDE w:val="0"/>
              <w:autoSpaceDN w:val="0"/>
              <w:jc w:val="left"/>
              <w:spacing w:before="127"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141</w:t>
            </w:r>
          </w:p>
        </w:tc>
        <w:tc>
          <w:tcPr>
            <w:tcW w:w="851" w:type="dxa"/>
            <w:gridSpan w:val="1"/>
            <w:vAlign w:val="top"/>
            <w:tcMar/>
            <w:tcBorders>
              <w:left w:val="single" w:sz="4" w:space="0" w:color="000000"/>
              <w:top w:val="single" w:sz="4" w:space="0" w:color="000000"/>
            </w:tcBorders>
          </w:tcPr>
          <w:p>
            <w:pPr>
              <w:autoSpaceDE w:val="0"/>
              <w:autoSpaceDN w:val="0"/>
              <w:jc w:val="left"/>
              <w:spacing w:before="127" w:after="0" w:lineRule="auto" w:line="240"/>
              <w:ind w:right="0" w:left="325" w:firstLine="0"/>
              <w:snapToGrid w:val="0"/>
              <w:textAlignment w:val="auto"/>
              <w:tabs>
                <w:tab w:val="left" w:leader="none" w:pos="443"/>
              </w:tabs>
              <w:numPr>
                <w:ilvl w:val="0"/>
                <w:numId w:val="92"/>
              </w:numPr>
              <w:rPr>
                <w:rFonts w:ascii="Times New Roman" w:hAnsi="Times New Roman" w:cs="Times New Roman" w:eastAsia="Times New Roman" w:hint="ascii"/>
                <w:sz w:val="15"/>
              </w:rPr>
            </w:pPr>
            <w:r>
              <w:rPr>
                <w:rFonts w:ascii="Times New Roman" w:hAnsi="Times New Roman" w:cs="Times New Roman" w:eastAsia="Times New Roman" w:hint="ascii"/>
                <w:sz w:val="15"/>
              </w:rPr>
              <w:t>310</w:t>
            </w:r>
          </w:p>
        </w:tc>
        <w:tc>
          <w:tcPr>
            <w:tcW w:w="1021" w:type="dxa"/>
            <w:gridSpan w:val="1"/>
            <w:vAlign w:val="top"/>
            <w:tcMar/>
            <w:tcBorders>
              <w:left w:val="single" w:sz="4" w:space="0" w:color="000000"/>
              <w:top w:val="single" w:sz="4" w:space="0" w:color="000000"/>
            </w:tcBorders>
          </w:tcPr>
          <w:p>
            <w:pPr>
              <w:autoSpaceDE w:val="0"/>
              <w:autoSpaceDN w:val="0"/>
              <w:jc w:val="left"/>
              <w:spacing w:before="127"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23.15</w:t>
            </w:r>
          </w:p>
        </w:tc>
        <w:tc>
          <w:tcPr>
            <w:tcW w:w="851" w:type="dxa"/>
            <w:gridSpan w:val="1"/>
            <w:vAlign w:val="top"/>
            <w:tcMar/>
            <w:tcBorders>
              <w:left w:val="single" w:sz="4" w:space="0" w:color="000000"/>
              <w:top w:val="single" w:sz="4" w:space="0" w:color="000000"/>
            </w:tcBorders>
          </w:tcPr>
          <w:p>
            <w:pPr>
              <w:autoSpaceDE w:val="0"/>
              <w:autoSpaceDN w:val="0"/>
              <w:jc w:val="left"/>
              <w:spacing w:before="127"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128</w:t>
            </w:r>
          </w:p>
        </w:tc>
        <w:tc>
          <w:tcPr>
            <w:tcW w:w="852" w:type="dxa"/>
            <w:gridSpan w:val="1"/>
            <w:vAlign w:val="top"/>
            <w:tcMar/>
            <w:tcBorders>
              <w:left w:val="single" w:sz="4" w:space="0" w:color="000000"/>
              <w:top w:val="single" w:sz="4" w:space="0" w:color="000000"/>
            </w:tcBorders>
          </w:tcPr>
          <w:p>
            <w:pPr>
              <w:autoSpaceDE w:val="0"/>
              <w:autoSpaceDN w:val="0"/>
              <w:jc w:val="left"/>
              <w:spacing w:before="127" w:after="0" w:lineRule="auto" w:line="240"/>
              <w:ind w:right="0" w:left="297" w:firstLine="0"/>
              <w:snapToGrid w:val="0"/>
              <w:textAlignment w:val="auto"/>
              <w:tabs>
                <w:tab w:val="left" w:leader="none" w:pos="415"/>
              </w:tabs>
              <w:numPr>
                <w:ilvl w:val="0"/>
                <w:numId w:val="93"/>
              </w:numPr>
              <w:rPr>
                <w:rFonts w:ascii="Times New Roman" w:hAnsi="Times New Roman" w:cs="Times New Roman" w:eastAsia="Times New Roman" w:hint="ascii"/>
                <w:sz w:val="15"/>
              </w:rPr>
            </w:pPr>
            <w:r>
              <w:rPr>
                <w:rFonts w:ascii="Times New Roman" w:hAnsi="Times New Roman" w:cs="Times New Roman" w:eastAsia="Times New Roman" w:hint="ascii"/>
                <w:sz w:val="15"/>
              </w:rPr>
              <w:t>609</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27"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21.77</w:t>
            </w:r>
          </w:p>
        </w:tc>
      </w:tr>
      <w:tr>
        <w:trPr>
          <w:trHeight w:val="25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611" w:firstLine="0"/>
              <w:snapToGrid w:val="0"/>
              <w:textAlignment w:val="auto"/>
              <w:tabs/>
              <w:rPr>
                <w:rFonts w:ascii="宋体" w:hAnsi="宋体" w:cs="宋体" w:eastAsia="宋体" w:hint="ascii"/>
                <w:sz w:val="15"/>
              </w:rPr>
            </w:pPr>
            <w:r>
              <w:rPr>
                <w:rFonts w:ascii="宋体" w:hAnsi="宋体" w:cs="宋体" w:eastAsia="宋体" w:hint="ascii"/>
                <w:sz w:val="15"/>
              </w:rPr>
              <w:t>计算机应用</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263</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15 585</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22.29</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285</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17 039</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21.74</w:t>
            </w:r>
          </w:p>
        </w:tc>
      </w:tr>
      <w:tr>
        <w:trPr>
          <w:trHeight w:val="250"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461" w:firstLine="0"/>
              <w:snapToGrid w:val="0"/>
              <w:textAlignment w:val="auto"/>
              <w:tabs/>
              <w:rPr>
                <w:rFonts w:ascii="宋体" w:hAnsi="宋体" w:cs="宋体" w:eastAsia="宋体" w:hint="ascii"/>
                <w:sz w:val="15"/>
              </w:rPr>
            </w:pPr>
            <w:r>
              <w:rPr>
                <w:rFonts w:ascii="宋体" w:hAnsi="宋体" w:cs="宋体" w:eastAsia="宋体" w:hint="ascii"/>
                <w:sz w:val="15"/>
              </w:rPr>
              <w:t>网络与信息安全</w:t>
            </w:r>
          </w:p>
        </w:tc>
        <w:tc>
          <w:tcPr>
            <w:tcW w:w="849"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151</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25" w:firstLine="0"/>
              <w:snapToGrid w:val="0"/>
              <w:textAlignment w:val="auto"/>
              <w:tabs>
                <w:tab w:val="left" w:leader="none" w:pos="443"/>
              </w:tabs>
              <w:numPr>
                <w:ilvl w:val="0"/>
                <w:numId w:val="93"/>
              </w:numPr>
              <w:rPr>
                <w:rFonts w:ascii="Times New Roman" w:hAnsi="Times New Roman" w:cs="Times New Roman" w:eastAsia="Times New Roman" w:hint="ascii"/>
                <w:sz w:val="15"/>
              </w:rPr>
            </w:pPr>
            <w:r>
              <w:rPr>
                <w:rFonts w:ascii="Times New Roman" w:hAnsi="Times New Roman" w:cs="Times New Roman" w:eastAsia="Times New Roman" w:hint="ascii"/>
                <w:sz w:val="15"/>
              </w:rPr>
              <w:t>941</w:t>
            </w:r>
          </w:p>
        </w:tc>
        <w:tc>
          <w:tcPr>
            <w:tcW w:w="102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23.30</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163</w:t>
            </w:r>
          </w:p>
        </w:tc>
        <w:tc>
          <w:tcPr>
            <w:tcW w:w="852"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297" w:firstLine="0"/>
              <w:snapToGrid w:val="0"/>
              <w:textAlignment w:val="auto"/>
              <w:tabs>
                <w:tab w:val="left" w:leader="none" w:pos="415"/>
              </w:tabs>
              <w:numPr>
                <w:ilvl w:val="0"/>
                <w:numId w:val="91"/>
              </w:numPr>
              <w:rPr>
                <w:rFonts w:ascii="Times New Roman" w:hAnsi="Times New Roman" w:cs="Times New Roman" w:eastAsia="Times New Roman" w:hint="ascii"/>
                <w:sz w:val="15"/>
              </w:rPr>
            </w:pPr>
            <w:r>
              <w:rPr>
                <w:rFonts w:ascii="Times New Roman" w:hAnsi="Times New Roman" w:cs="Times New Roman" w:eastAsia="Times New Roman" w:hint="ascii"/>
                <w:sz w:val="15"/>
              </w:rPr>
              <w:t>762</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21.91</w:t>
            </w:r>
          </w:p>
        </w:tc>
      </w:tr>
      <w:tr>
        <w:trPr>
          <w:trHeight w:val="251" w:hRule="exact"/>
          <w:cantSplit w:val="1"/>
        </w:trPr>
        <w:tc>
          <w:tcPr>
            <w:tcW w:w="566" w:type="dxa"/>
            <w:gridSpan w:val="1"/>
            <w:vAlign w:val="top"/>
            <w:vMerge w:val="restart"/>
            <w:tcMar/>
            <w:tcBorders>
              <w:top w:val="single" w:sz="4" w:space="0" w:color="000000"/>
            </w:tcBorders>
          </w:tcPr>
          <w:p>
            <w:pPr>
              <w:autoSpaceDE w:val="0"/>
              <w:autoSpaceDN w:val="0"/>
              <w:jc w:val="left"/>
              <w:spacing w:before="27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83" w:type="dxa"/>
            <w:gridSpan w:val="1"/>
            <w:vAlign w:val="top"/>
            <w:tcMar/>
            <w:tcBorders>
              <w:left w:val="single" w:sz="4" w:space="0" w:color="000000"/>
              <w:top w:val="single" w:sz="4" w:space="0" w:color="000000"/>
            </w:tcBorders>
          </w:tcPr>
          <w:p>
            <w:pPr>
              <w:autoSpaceDE w:val="0"/>
              <w:autoSpaceDN w:val="0"/>
              <w:jc w:val="left"/>
              <w:spacing w:before="24"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控制理论与控制工程</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197</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53" w:firstLine="0"/>
              <w:snapToGrid w:val="0"/>
              <w:textAlignment w:val="auto"/>
              <w:tabs>
                <w:tab w:val="left" w:leader="none" w:pos="440"/>
              </w:tabs>
              <w:numPr>
                <w:ilvl w:val="0"/>
                <w:numId w:val="90"/>
              </w:numPr>
              <w:rPr>
                <w:rFonts w:ascii="Times New Roman" w:hAnsi="Times New Roman" w:cs="Times New Roman" w:eastAsia="Times New Roman" w:hint="ascii"/>
                <w:sz w:val="15"/>
                <w:spacing w:val="-5"/>
              </w:rPr>
            </w:pPr>
            <w:r>
              <w:rPr>
                <w:rFonts w:ascii="Times New Roman" w:hAnsi="Times New Roman" w:cs="Times New Roman" w:eastAsia="Times New Roman" w:hint="ascii"/>
                <w:sz w:val="15"/>
              </w:rPr>
              <w:t>427</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25.89</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176</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23" w:firstLine="0"/>
              <w:snapToGrid w:val="0"/>
              <w:textAlignment w:val="auto"/>
              <w:tabs>
                <w:tab w:val="left" w:leader="none" w:pos="415"/>
              </w:tabs>
              <w:numPr>
                <w:ilvl w:val="0"/>
                <w:numId w:val="9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481</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20.75</w:t>
            </w:r>
          </w:p>
        </w:tc>
      </w:tr>
      <w:tr>
        <w:trPr>
          <w:trHeight w:val="25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4"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系统科学与系统工程</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43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45</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2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2 524</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16.98</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9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74</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9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4 237</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23.49</w:t>
            </w:r>
          </w:p>
        </w:tc>
      </w:tr>
      <w:tr>
        <w:trPr>
          <w:trHeight w:val="25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人工智能与智能系统</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163</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25" w:firstLine="0"/>
              <w:snapToGrid w:val="0"/>
              <w:textAlignment w:val="auto"/>
              <w:tabs>
                <w:tab w:val="left" w:leader="none" w:pos="443"/>
              </w:tabs>
              <w:numPr>
                <w:ilvl w:val="0"/>
                <w:numId w:val="93"/>
              </w:numPr>
              <w:rPr>
                <w:rFonts w:ascii="Times New Roman" w:hAnsi="Times New Roman" w:cs="Times New Roman" w:eastAsia="Times New Roman" w:hint="ascii"/>
                <w:sz w:val="15"/>
              </w:rPr>
            </w:pPr>
            <w:r>
              <w:rPr>
                <w:rFonts w:ascii="Times New Roman" w:hAnsi="Times New Roman" w:cs="Times New Roman" w:eastAsia="Times New Roman" w:hint="ascii"/>
                <w:sz w:val="15"/>
              </w:rPr>
              <w:t>390</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23.06</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166</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97" w:firstLine="0"/>
              <w:snapToGrid w:val="0"/>
              <w:textAlignment w:val="auto"/>
              <w:tabs>
                <w:tab w:val="left" w:leader="none" w:pos="415"/>
              </w:tabs>
              <w:numPr>
                <w:ilvl w:val="0"/>
                <w:numId w:val="92"/>
              </w:numPr>
              <w:rPr>
                <w:rFonts w:ascii="Times New Roman" w:hAnsi="Times New Roman" w:cs="Times New Roman" w:eastAsia="Times New Roman" w:hint="ascii"/>
                <w:sz w:val="15"/>
              </w:rPr>
            </w:pPr>
            <w:r>
              <w:rPr>
                <w:rFonts w:ascii="Times New Roman" w:hAnsi="Times New Roman" w:cs="Times New Roman" w:eastAsia="Times New Roman" w:hint="ascii"/>
                <w:sz w:val="15"/>
              </w:rPr>
              <w:t>781</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21.15</w:t>
            </w:r>
          </w:p>
        </w:tc>
      </w:tr>
      <w:tr>
        <w:trPr>
          <w:trHeight w:val="251" w:hRule="exact"/>
          <w:cantSplit w:val="1"/>
        </w:trPr>
        <w:tc>
          <w:tcPr>
            <w:tcW w:w="566" w:type="dxa"/>
            <w:gridSpan w:val="1"/>
            <w:vAlign w:val="top"/>
            <w:vMerge w:val="restart"/>
            <w:tcMar/>
            <w:tcBorders>
              <w:top w:val="single" w:sz="4" w:space="0" w:color="000000"/>
            </w:tcBorders>
          </w:tcPr>
          <w:p>
            <w:pPr>
              <w:autoSpaceDE w:val="0"/>
              <w:autoSpaceDN w:val="0"/>
              <w:jc w:val="left"/>
              <w:spacing w:before="27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983"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235" w:firstLine="0"/>
              <w:snapToGrid w:val="0"/>
              <w:textAlignment w:val="auto"/>
              <w:tabs/>
              <w:rPr>
                <w:rFonts w:ascii="宋体" w:hAnsi="宋体" w:cs="宋体" w:eastAsia="宋体" w:hint="ascii"/>
                <w:sz w:val="15"/>
              </w:rPr>
            </w:pPr>
            <w:r>
              <w:rPr>
                <w:rFonts w:ascii="宋体" w:hAnsi="宋体" w:cs="宋体" w:eastAsia="宋体" w:hint="ascii"/>
                <w:sz w:val="15"/>
              </w:rPr>
              <w:t>半导体科学与信息器件</w:t>
            </w:r>
          </w:p>
        </w:tc>
        <w:tc>
          <w:tcPr>
            <w:tcW w:w="849"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174</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251" w:firstLine="0"/>
              <w:snapToGrid w:val="0"/>
              <w:textAlignment w:val="auto"/>
              <w:tabs>
                <w:tab w:val="left" w:leader="none" w:pos="444"/>
              </w:tabs>
              <w:numPr>
                <w:ilvl w:val="0"/>
                <w:numId w:val="9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187</w:t>
            </w:r>
          </w:p>
        </w:tc>
        <w:tc>
          <w:tcPr>
            <w:tcW w:w="102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23.48</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175</w:t>
            </w:r>
          </w:p>
        </w:tc>
        <w:tc>
          <w:tcPr>
            <w:tcW w:w="852"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223" w:firstLine="0"/>
              <w:snapToGrid w:val="0"/>
              <w:textAlignment w:val="auto"/>
              <w:tabs>
                <w:tab w:val="left" w:leader="none" w:pos="416"/>
              </w:tabs>
              <w:numPr>
                <w:ilvl w:val="0"/>
                <w:numId w:val="9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482</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21.63</w:t>
            </w:r>
          </w:p>
        </w:tc>
      </w:tr>
      <w:tr>
        <w:trPr>
          <w:trHeight w:val="250"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3" w:after="0" w:lineRule="exact" w:line="188"/>
              <w:ind w:right="0" w:left="235" w:firstLine="0"/>
              <w:snapToGrid w:val="0"/>
              <w:textAlignment w:val="auto"/>
              <w:tabs/>
              <w:rPr>
                <w:rFonts w:ascii="宋体" w:hAnsi="宋体" w:cs="宋体" w:eastAsia="宋体" w:hint="ascii"/>
                <w:sz w:val="15"/>
              </w:rPr>
            </w:pPr>
            <w:r>
              <w:rPr>
                <w:rFonts w:ascii="宋体" w:hAnsi="宋体" w:cs="宋体" w:eastAsia="宋体" w:hint="ascii"/>
                <w:sz w:val="15"/>
              </w:rPr>
              <w:t>信息光学与光电子器件</w:t>
            </w:r>
          </w:p>
        </w:tc>
        <w:tc>
          <w:tcPr>
            <w:tcW w:w="849"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19</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25" w:firstLine="0"/>
              <w:snapToGrid w:val="0"/>
              <w:textAlignment w:val="auto"/>
              <w:tabs>
                <w:tab w:val="left" w:leader="none" w:pos="443"/>
              </w:tabs>
              <w:numPr>
                <w:ilvl w:val="0"/>
                <w:numId w:val="94"/>
              </w:numPr>
              <w:rPr>
                <w:rFonts w:ascii="Times New Roman" w:hAnsi="Times New Roman" w:cs="Times New Roman" w:eastAsia="Times New Roman" w:hint="ascii"/>
                <w:sz w:val="15"/>
              </w:rPr>
            </w:pPr>
            <w:r>
              <w:rPr>
                <w:rFonts w:ascii="Times New Roman" w:hAnsi="Times New Roman" w:cs="Times New Roman" w:eastAsia="Times New Roman" w:hint="ascii"/>
                <w:sz w:val="15"/>
              </w:rPr>
              <w:t>979</w:t>
            </w:r>
          </w:p>
        </w:tc>
        <w:tc>
          <w:tcPr>
            <w:tcW w:w="102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23.52</w:t>
            </w:r>
          </w:p>
        </w:tc>
        <w:tc>
          <w:tcPr>
            <w:tcW w:w="851"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120</w:t>
            </w:r>
          </w:p>
        </w:tc>
        <w:tc>
          <w:tcPr>
            <w:tcW w:w="852" w:type="dxa"/>
            <w:gridSpan w:val="1"/>
            <w:vAlign w:val="top"/>
            <w:tcMar/>
            <w:tcBorders>
              <w:left w:val="single" w:sz="4" w:space="0" w:color="000000"/>
              <w:top w:val="single" w:sz="4" w:space="0" w:color="000000"/>
            </w:tcBorders>
          </w:tcPr>
          <w:p>
            <w:pPr>
              <w:autoSpaceDE w:val="0"/>
              <w:autoSpaceDN w:val="0"/>
              <w:jc w:val="left"/>
              <w:spacing w:before="29" w:after="0" w:lineRule="auto" w:line="240"/>
              <w:ind w:right="0" w:left="297" w:firstLine="0"/>
              <w:snapToGrid w:val="0"/>
              <w:textAlignment w:val="auto"/>
              <w:tabs>
                <w:tab w:val="left" w:leader="none" w:pos="415"/>
              </w:tabs>
              <w:numPr>
                <w:ilvl w:val="0"/>
                <w:numId w:val="94"/>
              </w:numPr>
              <w:rPr>
                <w:rFonts w:ascii="Times New Roman" w:hAnsi="Times New Roman" w:cs="Times New Roman" w:eastAsia="Times New Roman" w:hint="ascii"/>
                <w:sz w:val="15"/>
              </w:rPr>
            </w:pPr>
            <w:r>
              <w:rPr>
                <w:rFonts w:ascii="Times New Roman" w:hAnsi="Times New Roman" w:cs="Times New Roman" w:eastAsia="Times New Roman" w:hint="ascii"/>
                <w:sz w:val="15"/>
              </w:rPr>
              <w:t>182</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21.78</w:t>
            </w:r>
          </w:p>
        </w:tc>
      </w:tr>
      <w:tr>
        <w:trPr>
          <w:trHeight w:val="251"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3" w:type="dxa"/>
            <w:gridSpan w:val="1"/>
            <w:vAlign w:val="top"/>
            <w:tcMar/>
            <w:tcBorders>
              <w:left w:val="single" w:sz="4" w:space="0" w:color="000000"/>
              <w:top w:val="single" w:sz="4" w:space="0" w:color="000000"/>
            </w:tcBorders>
          </w:tcPr>
          <w:p>
            <w:pPr>
              <w:autoSpaceDE w:val="0"/>
              <w:autoSpaceDN w:val="0"/>
              <w:jc w:val="left"/>
              <w:spacing w:before="24"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激光技术与技术光学</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19</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25" w:firstLine="0"/>
              <w:snapToGrid w:val="0"/>
              <w:textAlignment w:val="auto"/>
              <w:tabs>
                <w:tab w:val="left" w:leader="none" w:pos="443"/>
              </w:tabs>
              <w:numPr>
                <w:ilvl w:val="0"/>
                <w:numId w:val="95"/>
              </w:numPr>
              <w:rPr>
                <w:rFonts w:ascii="Times New Roman" w:hAnsi="Times New Roman" w:cs="Times New Roman" w:eastAsia="Times New Roman" w:hint="ascii"/>
                <w:sz w:val="15"/>
              </w:rPr>
            </w:pPr>
            <w:r>
              <w:rPr>
                <w:rFonts w:ascii="Times New Roman" w:hAnsi="Times New Roman" w:cs="Times New Roman" w:eastAsia="Times New Roman" w:hint="ascii"/>
                <w:sz w:val="15"/>
              </w:rPr>
              <w:t>806</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23.71</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6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125</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97" w:firstLine="0"/>
              <w:snapToGrid w:val="0"/>
              <w:textAlignment w:val="auto"/>
              <w:tabs>
                <w:tab w:val="left" w:leader="none" w:pos="415"/>
              </w:tabs>
              <w:numPr>
                <w:ilvl w:val="0"/>
                <w:numId w:val="95"/>
              </w:numPr>
              <w:rPr>
                <w:rFonts w:ascii="Times New Roman" w:hAnsi="Times New Roman" w:cs="Times New Roman" w:eastAsia="Times New Roman" w:hint="ascii"/>
                <w:sz w:val="15"/>
              </w:rPr>
            </w:pPr>
            <w:r>
              <w:rPr>
                <w:rFonts w:ascii="Times New Roman" w:hAnsi="Times New Roman" w:cs="Times New Roman" w:eastAsia="Times New Roman" w:hint="ascii"/>
                <w:sz w:val="15"/>
              </w:rPr>
              <w:t>464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21.82</w:t>
            </w:r>
          </w:p>
        </w:tc>
      </w:tr>
      <w:tr>
        <w:trPr>
          <w:trHeight w:val="251" w:hRule="exact"/>
          <w:cantSplit w:val="1"/>
        </w:trPr>
        <w:tc>
          <w:tcPr>
            <w:tcW w:w="2549" w:type="dxa"/>
            <w:gridSpan w:val="2"/>
            <w:vAlign w:val="top"/>
            <w:tcMar/>
            <w:tcBorders>
              <w:top w:val="single" w:sz="4" w:space="0" w:color="000000"/>
            </w:tcBorders>
          </w:tcPr>
          <w:p>
            <w:pPr>
              <w:autoSpaceDE w:val="0"/>
              <w:autoSpaceDN w:val="0"/>
              <w:jc w:val="left"/>
              <w:spacing w:before="24" w:after="0" w:lineRule="exact" w:line="188"/>
              <w:ind w:right="0" w:left="814"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49"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1 861</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1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108 600</w:t>
            </w:r>
          </w:p>
        </w:tc>
        <w:tc>
          <w:tcPr>
            <w:tcW w:w="102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23.28</w:t>
            </w:r>
          </w:p>
        </w:tc>
        <w:tc>
          <w:tcPr>
            <w:tcW w:w="851"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1 912</w:t>
            </w:r>
          </w:p>
        </w:tc>
        <w:tc>
          <w:tcPr>
            <w:tcW w:w="852" w:type="dxa"/>
            <w:gridSpan w:val="1"/>
            <w:vAlign w:val="top"/>
            <w:tcMar/>
            <w:tcBorders>
              <w:left w:val="single" w:sz="4" w:space="0" w:color="000000"/>
              <w:top w:val="single" w:sz="4" w:space="0" w:color="000000"/>
            </w:tcBorders>
          </w:tcPr>
          <w:p>
            <w:pPr>
              <w:autoSpaceDE w:val="0"/>
              <w:autoSpaceDN w:val="0"/>
              <w:jc w:val="left"/>
              <w:spacing w:before="30" w:after="0" w:lineRule="auto" w:line="240"/>
              <w:ind w:right="0" w:left="17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13 880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21.56</w:t>
            </w:r>
          </w:p>
        </w:tc>
      </w:tr>
      <w:tr>
        <w:trPr>
          <w:trHeight w:val="256" w:hRule="exact"/>
          <w:cantSplit w:val="1"/>
        </w:trPr>
        <w:tc>
          <w:tcPr>
            <w:tcW w:w="2549" w:type="dxa"/>
            <w:gridSpan w:val="2"/>
            <w:vAlign w:val="top"/>
            <w:tcMar/>
            <w:tcBorders>
              <w:top w:val="single" w:sz="4" w:space="0" w:color="000000"/>
              <w:bottom w:val="single" w:sz="8" w:space="0" w:color="000000"/>
            </w:tcBorders>
          </w:tcPr>
          <w:p>
            <w:pPr>
              <w:autoSpaceDE w:val="0"/>
              <w:autoSpaceDN w:val="0"/>
              <w:jc w:val="left"/>
              <w:spacing w:before="23" w:after="0" w:lineRule="exact" w:line="188"/>
              <w:ind w:right="0" w:left="6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直接费用平均资助强度（万元／项）</w:t>
            </w:r>
          </w:p>
        </w:tc>
        <w:tc>
          <w:tcPr>
            <w:tcW w:w="2721"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30" w:after="0" w:lineRule="auto" w:line="240"/>
              <w:ind w:right="0" w:left="1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58.36</w:t>
            </w:r>
          </w:p>
        </w:tc>
        <w:tc>
          <w:tcPr>
            <w:tcW w:w="2722"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0" w:after="0" w:lineRule="auto" w:line="240"/>
              <w:ind w:right="0" w:left="118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59.56</w:t>
            </w:r>
          </w:p>
        </w:tc>
      </w:tr>
    </w:tbl>
    <w:p>
      <w:pPr>
        <w:autoSpaceDE w:val="0"/>
        <w:autoSpaceDN w:val="0"/>
        <w:jc w:val="left"/>
        <w:spacing w:before="41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信息科学一处</w:t>
      </w:r>
    </w:p>
    <w:p>
      <w:pPr>
        <w:autoSpaceDE w:val="0"/>
        <w:autoSpaceDN w:val="0"/>
        <w:jc w:val="both"/>
        <w:spacing w:before="301" w:after="0" w:lineRule="exact" w:line="312"/>
        <w:ind w:right="967" w:left="966" w:firstLine="420"/>
        <w:snapToGrid w:val="0"/>
        <w:textAlignment w:val="auto"/>
        <w:tabs/>
        <w:rPr>
          <w:rFonts w:ascii="宋体" w:hAnsi="宋体" w:cs="宋体" w:eastAsia="宋体" w:hint="ascii"/>
          <w:sz w:val="21"/>
        </w:rPr>
      </w:pPr>
      <w:r>
        <w:rPr>
          <w:rFonts w:ascii="宋体" w:hAnsi="宋体" w:cs="宋体" w:eastAsia="宋体" w:hint="ascii"/>
          <w:sz w:val="21"/>
        </w:rPr>
        <w:t>信息科学一处主要资助电子科学与技术、信息与通信系统、信息获取与处理及其相关交叉领域的基础研究。</w:t>
      </w:r>
    </w:p>
    <w:p>
      <w:pPr>
        <w:autoSpaceDE w:val="0"/>
        <w:autoSpaceDN w:val="0"/>
        <w:jc w:val="left"/>
        <w:spacing w:before="4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电子科学与技术领域涉及电路与系统、电磁场与波、电子学及应用等相关研究。主</w:t>
      </w:r>
    </w:p>
    <w:p>
      <w:pPr>
        <w:autoSpaceDE w:val="0"/>
        <w:autoSpaceDN w:val="0"/>
        <w:jc w:val="both"/>
        <w:spacing w:before="12" w:after="0" w:lineRule="exact" w:line="324"/>
        <w:ind w:right="967" w:left="966" w:firstLine="0"/>
        <w:snapToGrid w:val="0"/>
        <w:textAlignment w:val="auto"/>
        <w:tabs/>
        <w:rPr>
          <w:rFonts w:ascii="宋体" w:hAnsi="宋体" w:cs="宋体" w:eastAsia="宋体" w:hint="ascii"/>
          <w:sz w:val="21"/>
        </w:rPr>
      </w:pPr>
      <w:r>
        <w:rPr>
          <w:rFonts w:ascii="宋体" w:hAnsi="宋体" w:cs="宋体" w:eastAsia="宋体" w:hint="ascii"/>
          <w:sz w:val="21"/>
        </w:rPr>
        <w:t>要资助范围包括：电路与系统中的设计、测试和验证、故障检测、可靠性，微纳电路与</w:t>
      </w:r>
      <w:r>
        <w:rPr>
          <w:rFonts w:ascii="宋体" w:hAnsi="宋体" w:cs="宋体" w:eastAsia="宋体" w:hint="ascii"/>
          <w:sz w:val="21"/>
          <w:spacing w:val="1"/>
        </w:rPr>
        <w:t>系统设计理论、方法与技术及低</w:t>
      </w:r>
      <w:r>
        <w:rPr>
          <w:rFonts w:ascii="宋体" w:hAnsi="宋体" w:cs="宋体" w:eastAsia="宋体" w:hint="ascii"/>
          <w:sz w:val="21"/>
        </w:rPr>
        <w:t>功耗设计方法，功率、射频电路与系统设计理论与</w:t>
      </w:r>
      <w:r>
        <w:rPr>
          <w:rFonts w:ascii="宋体" w:hAnsi="宋体" w:cs="宋体" w:eastAsia="宋体" w:hint="ascii"/>
          <w:sz w:val="21"/>
          <w:spacing w:val="-6"/>
        </w:rPr>
        <w:t>方</w:t>
      </w:r>
      <w:r>
        <w:rPr>
          <w:rFonts w:ascii="宋体" w:hAnsi="宋体" w:cs="宋体" w:eastAsia="宋体" w:hint="ascii"/>
          <w:sz w:val="21"/>
        </w:rPr>
        <w:t>法，电路与网络理论；电磁场与波中的电磁理论与计算方法、新型介质的电磁场与波的特性、散射与逆散射、电磁场与波和物体相互作用机理、电磁兼容与电磁环境、电磁频谱管理、电磁能量获取、电波传播与天线、微波光子学、太赫兹科学与技术、瞬态电磁场理论与应用；物理电子学中的真空器件、阴极电子学、表面与薄膜电子学、超导电子学、量子电子学理论与器件、等离子体电子学、分子与纳米电子学；生物电子学中的电磁生物效应、生物芯片、医学成像、医学信息检测与处理、医学影像导航及医学仪器；生物信息学中的信息处理与分析、生物大数据的信息分析方法、细胞和生物分子信息的检测与识别、生物系统信息网络与分析、生物系统功能建模与仿真、仿生信息处理方法与技术等；敏感电子学与传感器中的物理、化学、生物、生化传感器，新型敏感材料特性与传感器，传感理论与技术。</w:t>
      </w:r>
    </w:p>
    <w:p>
      <w:pPr>
        <w:autoSpaceDE w:val="0"/>
        <w:autoSpaceDN w:val="0"/>
        <w:jc w:val="left"/>
        <w:spacing w:before="49" w:after="0" w:lineRule="exact" w:line="263"/>
        <w:ind w:right="0" w:left="1370" w:firstLine="0"/>
        <w:snapToGrid w:val="0"/>
        <w:textAlignment w:val="auto"/>
        <w:tabs/>
        <w:rPr>
          <w:rFonts w:ascii="宋体" w:hAnsi="宋体" w:cs="宋体" w:eastAsia="宋体" w:hint="ascii"/>
          <w:sz w:val="21"/>
        </w:rPr>
      </w:pPr>
      <w:r>
        <w:rPr>
          <w:rFonts w:ascii="宋体" w:hAnsi="宋体" w:cs="宋体" w:eastAsia="宋体" w:hint="ascii"/>
          <w:sz w:val="21"/>
          <w:spacing w:val="-2"/>
        </w:rPr>
        <w:t>信息与通</w:t>
      </w:r>
      <w:r>
        <w:rPr>
          <w:rFonts w:ascii="宋体" w:hAnsi="宋体" w:cs="宋体" w:eastAsia="宋体" w:hint="ascii"/>
          <w:sz w:val="21"/>
          <w:spacing w:val="-3"/>
        </w:rPr>
        <w:t>信</w:t>
      </w:r>
      <w:r>
        <w:rPr>
          <w:rFonts w:ascii="宋体" w:hAnsi="宋体" w:cs="宋体" w:eastAsia="宋体" w:hint="ascii"/>
          <w:sz w:val="21"/>
          <w:spacing w:val="-2"/>
        </w:rPr>
        <w:t>系统领域</w:t>
      </w:r>
      <w:r>
        <w:rPr>
          <w:rFonts w:ascii="宋体" w:hAnsi="宋体" w:cs="宋体" w:eastAsia="宋体" w:hint="ascii"/>
          <w:sz w:val="21"/>
          <w:spacing w:val="-3"/>
        </w:rPr>
        <w:t>涉</w:t>
      </w:r>
      <w:r>
        <w:rPr>
          <w:rFonts w:ascii="宋体" w:hAnsi="宋体" w:cs="宋体" w:eastAsia="宋体" w:hint="ascii"/>
          <w:sz w:val="21"/>
          <w:spacing w:val="-2"/>
        </w:rPr>
        <w:t>及信号与</w:t>
      </w:r>
      <w:r>
        <w:rPr>
          <w:rFonts w:ascii="宋体" w:hAnsi="宋体" w:cs="宋体" w:eastAsia="宋体" w:hint="ascii"/>
          <w:sz w:val="21"/>
          <w:spacing w:val="-3"/>
        </w:rPr>
        <w:t>信</w:t>
      </w:r>
      <w:r>
        <w:rPr>
          <w:rFonts w:ascii="宋体" w:hAnsi="宋体" w:cs="宋体" w:eastAsia="宋体" w:hint="ascii"/>
          <w:sz w:val="21"/>
          <w:spacing w:val="-2"/>
        </w:rPr>
        <w:t>息的传输</w:t>
      </w:r>
      <w:r>
        <w:rPr>
          <w:rFonts w:ascii="宋体" w:hAnsi="宋体" w:cs="宋体" w:eastAsia="宋体" w:hint="ascii"/>
          <w:sz w:val="21"/>
          <w:spacing w:val="-3"/>
        </w:rPr>
        <w:t>、</w:t>
      </w:r>
      <w:r>
        <w:rPr>
          <w:rFonts w:ascii="宋体" w:hAnsi="宋体" w:cs="宋体" w:eastAsia="宋体" w:hint="ascii"/>
          <w:sz w:val="21"/>
          <w:spacing w:val="-2"/>
        </w:rPr>
        <w:t>交换及应</w:t>
      </w:r>
      <w:r>
        <w:rPr>
          <w:rFonts w:ascii="宋体" w:hAnsi="宋体" w:cs="宋体" w:eastAsia="宋体" w:hint="ascii"/>
          <w:sz w:val="21"/>
          <w:spacing w:val="-3"/>
        </w:rPr>
        <w:t>用</w:t>
      </w:r>
      <w:r>
        <w:rPr>
          <w:rFonts w:ascii="宋体" w:hAnsi="宋体" w:cs="宋体" w:eastAsia="宋体" w:hint="ascii"/>
          <w:sz w:val="21"/>
          <w:spacing w:val="-2"/>
        </w:rPr>
        <w:t>的理论和</w:t>
      </w:r>
      <w:r>
        <w:rPr>
          <w:rFonts w:ascii="宋体" w:hAnsi="宋体" w:cs="宋体" w:eastAsia="宋体" w:hint="ascii"/>
          <w:sz w:val="21"/>
          <w:spacing w:val="-3"/>
        </w:rPr>
        <w:t>关</w:t>
      </w:r>
      <w:r>
        <w:rPr>
          <w:rFonts w:ascii="宋体" w:hAnsi="宋体" w:cs="宋体" w:eastAsia="宋体" w:hint="ascii"/>
          <w:sz w:val="21"/>
          <w:spacing w:val="-2"/>
        </w:rPr>
        <w:t>键技术。</w:t>
      </w:r>
      <w:r>
        <w:rPr>
          <w:rFonts w:ascii="宋体" w:hAnsi="宋体" w:cs="宋体" w:eastAsia="宋体" w:hint="ascii"/>
          <w:sz w:val="21"/>
          <w:spacing w:val="-3"/>
        </w:rPr>
        <w:t>主要</w:t>
      </w:r>
      <w:r>
        <w:rPr>
          <w:rFonts w:ascii="宋体" w:hAnsi="宋体" w:cs="宋体" w:eastAsia="宋体" w:hint="ascii"/>
          <w:sz w:val="21"/>
        </w:rPr>
        <w:t>资</w:t>
      </w:r>
    </w:p>
    <w:p>
      <w:pPr>
        <w:autoSpaceDE w:val="0"/>
        <w:autoSpaceDN w:val="0"/>
        <w:jc w:val="left"/>
        <w:spacing w:before="62"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助范</w:t>
      </w:r>
      <w:r>
        <w:rPr>
          <w:rFonts w:ascii="宋体" w:hAnsi="宋体" w:cs="宋体" w:eastAsia="宋体" w:hint="ascii"/>
          <w:sz w:val="21"/>
          <w:spacing w:val="-3"/>
        </w:rPr>
        <w:t>围</w:t>
      </w:r>
      <w:r>
        <w:rPr>
          <w:rFonts w:ascii="宋体" w:hAnsi="宋体" w:cs="宋体" w:eastAsia="宋体" w:hint="ascii"/>
          <w:sz w:val="21"/>
          <w:spacing w:val="-2"/>
        </w:rPr>
        <w:t>包</w:t>
      </w:r>
      <w:r>
        <w:rPr>
          <w:rFonts w:ascii="宋体" w:hAnsi="宋体" w:cs="宋体" w:eastAsia="宋体" w:hint="ascii"/>
          <w:sz w:val="21"/>
          <w:spacing w:val="-3"/>
        </w:rPr>
        <w:t>括</w:t>
      </w:r>
      <w:r>
        <w:rPr>
          <w:rFonts w:ascii="宋体" w:hAnsi="宋体" w:cs="宋体" w:eastAsia="宋体" w:hint="ascii"/>
          <w:sz w:val="21"/>
          <w:spacing w:val="-2"/>
        </w:rPr>
        <w:t>：信</w:t>
      </w:r>
      <w:r>
        <w:rPr>
          <w:rFonts w:ascii="宋体" w:hAnsi="宋体" w:cs="宋体" w:eastAsia="宋体" w:hint="ascii"/>
          <w:sz w:val="21"/>
          <w:spacing w:val="-3"/>
        </w:rPr>
        <w:t>息</w:t>
      </w:r>
      <w:r>
        <w:rPr>
          <w:rFonts w:ascii="宋体" w:hAnsi="宋体" w:cs="宋体" w:eastAsia="宋体" w:hint="ascii"/>
          <w:sz w:val="21"/>
          <w:spacing w:val="-2"/>
        </w:rPr>
        <w:t>理</w:t>
      </w:r>
      <w:r>
        <w:rPr>
          <w:rFonts w:ascii="宋体" w:hAnsi="宋体" w:cs="宋体" w:eastAsia="宋体" w:hint="ascii"/>
          <w:sz w:val="21"/>
          <w:spacing w:val="-3"/>
        </w:rPr>
        <w:t>论</w:t>
      </w:r>
      <w:r>
        <w:rPr>
          <w:rFonts w:ascii="宋体" w:hAnsi="宋体" w:cs="宋体" w:eastAsia="宋体" w:hint="ascii"/>
          <w:sz w:val="21"/>
          <w:spacing w:val="-2"/>
        </w:rPr>
        <w:t>与信</w:t>
      </w:r>
      <w:r>
        <w:rPr>
          <w:rFonts w:ascii="宋体" w:hAnsi="宋体" w:cs="宋体" w:eastAsia="宋体" w:hint="ascii"/>
          <w:sz w:val="21"/>
          <w:spacing w:val="-3"/>
        </w:rPr>
        <w:t>息</w:t>
      </w:r>
      <w:r>
        <w:rPr>
          <w:rFonts w:ascii="宋体" w:hAnsi="宋体" w:cs="宋体" w:eastAsia="宋体" w:hint="ascii"/>
          <w:sz w:val="21"/>
          <w:spacing w:val="-2"/>
        </w:rPr>
        <w:t>系</w:t>
      </w:r>
      <w:r>
        <w:rPr>
          <w:rFonts w:ascii="宋体" w:hAnsi="宋体" w:cs="宋体" w:eastAsia="宋体" w:hint="ascii"/>
          <w:sz w:val="21"/>
          <w:spacing w:val="-3"/>
        </w:rPr>
        <w:t>统</w:t>
      </w:r>
      <w:r>
        <w:rPr>
          <w:rFonts w:ascii="宋体" w:hAnsi="宋体" w:cs="宋体" w:eastAsia="宋体" w:hint="ascii"/>
          <w:sz w:val="21"/>
          <w:spacing w:val="-2"/>
        </w:rPr>
        <w:t>中的</w:t>
      </w:r>
      <w:r>
        <w:rPr>
          <w:rFonts w:ascii="宋体" w:hAnsi="宋体" w:cs="宋体" w:eastAsia="宋体" w:hint="ascii"/>
          <w:sz w:val="21"/>
          <w:spacing w:val="-3"/>
        </w:rPr>
        <w:t>信</w:t>
      </w:r>
      <w:r>
        <w:rPr>
          <w:rFonts w:ascii="宋体" w:hAnsi="宋体" w:cs="宋体" w:eastAsia="宋体" w:hint="ascii"/>
          <w:sz w:val="21"/>
          <w:spacing w:val="-2"/>
        </w:rPr>
        <w:t>息</w:t>
      </w:r>
      <w:r>
        <w:rPr>
          <w:rFonts w:ascii="宋体" w:hAnsi="宋体" w:cs="宋体" w:eastAsia="宋体" w:hint="ascii"/>
          <w:sz w:val="21"/>
          <w:spacing w:val="-3"/>
        </w:rPr>
        <w:t>论</w:t>
      </w:r>
      <w:r>
        <w:rPr>
          <w:rFonts w:ascii="宋体" w:hAnsi="宋体" w:cs="宋体" w:eastAsia="宋体" w:hint="ascii"/>
          <w:sz w:val="21"/>
          <w:spacing w:val="-2"/>
        </w:rPr>
        <w:t>、信</w:t>
      </w:r>
      <w:r>
        <w:rPr>
          <w:rFonts w:ascii="宋体" w:hAnsi="宋体" w:cs="宋体" w:eastAsia="宋体" w:hint="ascii"/>
          <w:sz w:val="21"/>
          <w:spacing w:val="-3"/>
        </w:rPr>
        <w:t>源</w:t>
      </w:r>
      <w:r>
        <w:rPr>
          <w:rFonts w:ascii="宋体" w:hAnsi="宋体" w:cs="宋体" w:eastAsia="宋体" w:hint="ascii"/>
          <w:sz w:val="21"/>
          <w:spacing w:val="-2"/>
        </w:rPr>
        <w:t>编</w:t>
      </w:r>
      <w:r>
        <w:rPr>
          <w:rFonts w:ascii="宋体" w:hAnsi="宋体" w:cs="宋体" w:eastAsia="宋体" w:hint="ascii"/>
          <w:sz w:val="21"/>
          <w:spacing w:val="-3"/>
        </w:rPr>
        <w:t>码</w:t>
      </w:r>
      <w:r>
        <w:rPr>
          <w:rFonts w:ascii="宋体" w:hAnsi="宋体" w:cs="宋体" w:eastAsia="宋体" w:hint="ascii"/>
          <w:sz w:val="21"/>
          <w:spacing w:val="-2"/>
        </w:rPr>
        <w:t>、信</w:t>
      </w:r>
      <w:r>
        <w:rPr>
          <w:rFonts w:ascii="宋体" w:hAnsi="宋体" w:cs="宋体" w:eastAsia="宋体" w:hint="ascii"/>
          <w:sz w:val="21"/>
          <w:spacing w:val="-3"/>
        </w:rPr>
        <w:t>道</w:t>
      </w:r>
      <w:r>
        <w:rPr>
          <w:rFonts w:ascii="宋体" w:hAnsi="宋体" w:cs="宋体" w:eastAsia="宋体" w:hint="ascii"/>
          <w:sz w:val="21"/>
          <w:spacing w:val="-2"/>
        </w:rPr>
        <w:t>编</w:t>
      </w:r>
      <w:r>
        <w:rPr>
          <w:rFonts w:ascii="宋体" w:hAnsi="宋体" w:cs="宋体" w:eastAsia="宋体" w:hint="ascii"/>
          <w:sz w:val="21"/>
          <w:spacing w:val="-3"/>
        </w:rPr>
        <w:t>码</w:t>
      </w:r>
      <w:r>
        <w:rPr>
          <w:rFonts w:ascii="宋体" w:hAnsi="宋体" w:cs="宋体" w:eastAsia="宋体" w:hint="ascii"/>
          <w:sz w:val="21"/>
          <w:spacing w:val="-2"/>
        </w:rPr>
        <w:t>、网</w:t>
      </w:r>
      <w:r>
        <w:rPr>
          <w:rFonts w:ascii="宋体" w:hAnsi="宋体" w:cs="宋体" w:eastAsia="宋体" w:hint="ascii"/>
          <w:sz w:val="21"/>
          <w:spacing w:val="-3"/>
        </w:rPr>
        <w:t>络</w:t>
      </w:r>
      <w:r>
        <w:rPr>
          <w:rFonts w:ascii="宋体" w:hAnsi="宋体" w:cs="宋体" w:eastAsia="宋体" w:hint="ascii"/>
          <w:sz w:val="21"/>
          <w:spacing w:val="-2"/>
        </w:rPr>
        <w:t>服</w:t>
      </w:r>
      <w:r>
        <w:rPr>
          <w:rFonts w:ascii="宋体" w:hAnsi="宋体" w:cs="宋体" w:eastAsia="宋体" w:hint="ascii"/>
          <w:sz w:val="21"/>
          <w:spacing w:val="-3"/>
        </w:rPr>
        <w:t>务理</w:t>
      </w:r>
      <w:r>
        <w:rPr>
          <w:rFonts w:ascii="宋体" w:hAnsi="宋体" w:cs="宋体" w:eastAsia="宋体" w:hint="ascii"/>
          <w:sz w:val="21"/>
          <w:spacing w:val="-2"/>
        </w:rPr>
        <w:t>论</w:t>
      </w:r>
      <w:r>
        <w:rPr>
          <w:rFonts w:ascii="宋体" w:hAnsi="宋体" w:cs="宋体" w:eastAsia="宋体" w:hint="ascii"/>
          <w:sz w:val="21"/>
          <w:spacing w:val="-3"/>
        </w:rPr>
        <w:t>与</w:t>
      </w:r>
      <w:r>
        <w:rPr>
          <w:rFonts w:ascii="宋体" w:hAnsi="宋体" w:cs="宋体" w:eastAsia="宋体" w:hint="ascii"/>
          <w:sz w:val="21"/>
        </w:rPr>
        <w:t>技</w:t>
      </w:r>
    </w:p>
    <w:p>
      <w:pPr>
        <w:autoSpaceDE w:val="0"/>
        <w:autoSpaceDN w:val="0"/>
        <w:jc w:val="left"/>
        <w:spacing w:before="62"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术、</w:t>
      </w:r>
      <w:r>
        <w:rPr>
          <w:rFonts w:ascii="宋体" w:hAnsi="宋体" w:cs="宋体" w:eastAsia="宋体" w:hint="ascii"/>
          <w:sz w:val="21"/>
          <w:spacing w:val="-3"/>
        </w:rPr>
        <w:t>信</w:t>
      </w:r>
      <w:r>
        <w:rPr>
          <w:rFonts w:ascii="宋体" w:hAnsi="宋体" w:cs="宋体" w:eastAsia="宋体" w:hint="ascii"/>
          <w:sz w:val="21"/>
          <w:spacing w:val="-2"/>
        </w:rPr>
        <w:t>息</w:t>
      </w:r>
      <w:r>
        <w:rPr>
          <w:rFonts w:ascii="宋体" w:hAnsi="宋体" w:cs="宋体" w:eastAsia="宋体" w:hint="ascii"/>
          <w:sz w:val="21"/>
          <w:spacing w:val="-3"/>
        </w:rPr>
        <w:t>系</w:t>
      </w:r>
      <w:r>
        <w:rPr>
          <w:rFonts w:ascii="宋体" w:hAnsi="宋体" w:cs="宋体" w:eastAsia="宋体" w:hint="ascii"/>
          <w:sz w:val="21"/>
          <w:spacing w:val="-2"/>
        </w:rPr>
        <w:t>统建</w:t>
      </w:r>
      <w:r>
        <w:rPr>
          <w:rFonts w:ascii="宋体" w:hAnsi="宋体" w:cs="宋体" w:eastAsia="宋体" w:hint="ascii"/>
          <w:sz w:val="21"/>
          <w:spacing w:val="-3"/>
        </w:rPr>
        <w:t>模</w:t>
      </w:r>
      <w:r>
        <w:rPr>
          <w:rFonts w:ascii="宋体" w:hAnsi="宋体" w:cs="宋体" w:eastAsia="宋体" w:hint="ascii"/>
          <w:sz w:val="21"/>
          <w:spacing w:val="-2"/>
        </w:rPr>
        <w:t>与</w:t>
      </w:r>
      <w:r>
        <w:rPr>
          <w:rFonts w:ascii="宋体" w:hAnsi="宋体" w:cs="宋体" w:eastAsia="宋体" w:hint="ascii"/>
          <w:sz w:val="21"/>
          <w:spacing w:val="-3"/>
        </w:rPr>
        <w:t>仿</w:t>
      </w:r>
      <w:r>
        <w:rPr>
          <w:rFonts w:ascii="宋体" w:hAnsi="宋体" w:cs="宋体" w:eastAsia="宋体" w:hint="ascii"/>
          <w:sz w:val="21"/>
          <w:spacing w:val="-2"/>
        </w:rPr>
        <w:t>真、</w:t>
      </w:r>
      <w:r>
        <w:rPr>
          <w:rFonts w:ascii="宋体" w:hAnsi="宋体" w:cs="宋体" w:eastAsia="宋体" w:hint="ascii"/>
          <w:sz w:val="21"/>
          <w:spacing w:val="-3"/>
        </w:rPr>
        <w:t>信</w:t>
      </w:r>
      <w:r>
        <w:rPr>
          <w:rFonts w:ascii="宋体" w:hAnsi="宋体" w:cs="宋体" w:eastAsia="宋体" w:hint="ascii"/>
          <w:sz w:val="21"/>
          <w:spacing w:val="-2"/>
        </w:rPr>
        <w:t>息</w:t>
      </w:r>
      <w:r>
        <w:rPr>
          <w:rFonts w:ascii="宋体" w:hAnsi="宋体" w:cs="宋体" w:eastAsia="宋体" w:hint="ascii"/>
          <w:sz w:val="21"/>
          <w:spacing w:val="-3"/>
        </w:rPr>
        <w:t>系</w:t>
      </w:r>
      <w:r>
        <w:rPr>
          <w:rFonts w:ascii="宋体" w:hAnsi="宋体" w:cs="宋体" w:eastAsia="宋体" w:hint="ascii"/>
          <w:sz w:val="21"/>
          <w:spacing w:val="-2"/>
        </w:rPr>
        <w:t>统与</w:t>
      </w:r>
      <w:r>
        <w:rPr>
          <w:rFonts w:ascii="宋体" w:hAnsi="宋体" w:cs="宋体" w:eastAsia="宋体" w:hint="ascii"/>
          <w:sz w:val="21"/>
          <w:spacing w:val="-3"/>
        </w:rPr>
        <w:t>通</w:t>
      </w:r>
      <w:r>
        <w:rPr>
          <w:rFonts w:ascii="宋体" w:hAnsi="宋体" w:cs="宋体" w:eastAsia="宋体" w:hint="ascii"/>
          <w:sz w:val="21"/>
          <w:spacing w:val="-2"/>
        </w:rPr>
        <w:t>信</w:t>
      </w:r>
      <w:r>
        <w:rPr>
          <w:rFonts w:ascii="宋体" w:hAnsi="宋体" w:cs="宋体" w:eastAsia="宋体" w:hint="ascii"/>
          <w:sz w:val="21"/>
          <w:spacing w:val="-3"/>
        </w:rPr>
        <w:t>网</w:t>
      </w:r>
      <w:r>
        <w:rPr>
          <w:rFonts w:ascii="宋体" w:hAnsi="宋体" w:cs="宋体" w:eastAsia="宋体" w:hint="ascii"/>
          <w:sz w:val="21"/>
          <w:spacing w:val="-2"/>
        </w:rPr>
        <w:t>络的</w:t>
      </w:r>
      <w:r>
        <w:rPr>
          <w:rFonts w:ascii="宋体" w:hAnsi="宋体" w:cs="宋体" w:eastAsia="宋体" w:hint="ascii"/>
          <w:sz w:val="21"/>
          <w:spacing w:val="-3"/>
        </w:rPr>
        <w:t>安</w:t>
      </w:r>
      <w:r>
        <w:rPr>
          <w:rFonts w:ascii="宋体" w:hAnsi="宋体" w:cs="宋体" w:eastAsia="宋体" w:hint="ascii"/>
          <w:sz w:val="21"/>
          <w:spacing w:val="-2"/>
        </w:rPr>
        <w:t>全</w:t>
      </w:r>
      <w:r>
        <w:rPr>
          <w:rFonts w:ascii="宋体" w:hAnsi="宋体" w:cs="宋体" w:eastAsia="宋体" w:hint="ascii"/>
          <w:sz w:val="21"/>
          <w:spacing w:val="-3"/>
        </w:rPr>
        <w:t>、</w:t>
      </w:r>
      <w:r>
        <w:rPr>
          <w:rFonts w:ascii="宋体" w:hAnsi="宋体" w:cs="宋体" w:eastAsia="宋体" w:hint="ascii"/>
          <w:sz w:val="21"/>
          <w:spacing w:val="-2"/>
        </w:rPr>
        <w:t>认知</w:t>
      </w:r>
      <w:r>
        <w:rPr>
          <w:rFonts w:ascii="宋体" w:hAnsi="宋体" w:cs="宋体" w:eastAsia="宋体" w:hint="ascii"/>
          <w:sz w:val="21"/>
          <w:spacing w:val="-3"/>
        </w:rPr>
        <w:t>无</w:t>
      </w:r>
      <w:r>
        <w:rPr>
          <w:rFonts w:ascii="宋体" w:hAnsi="宋体" w:cs="宋体" w:eastAsia="宋体" w:hint="ascii"/>
          <w:sz w:val="21"/>
          <w:spacing w:val="-2"/>
        </w:rPr>
        <w:t>线</w:t>
      </w:r>
      <w:r>
        <w:rPr>
          <w:rFonts w:ascii="宋体" w:hAnsi="宋体" w:cs="宋体" w:eastAsia="宋体" w:hint="ascii"/>
          <w:sz w:val="21"/>
          <w:spacing w:val="-3"/>
        </w:rPr>
        <w:t>电</w:t>
      </w:r>
      <w:r>
        <w:rPr>
          <w:rFonts w:ascii="宋体" w:hAnsi="宋体" w:cs="宋体" w:eastAsia="宋体" w:hint="ascii"/>
          <w:sz w:val="21"/>
          <w:spacing w:val="-2"/>
        </w:rPr>
        <w:t>；通</w:t>
      </w:r>
      <w:r>
        <w:rPr>
          <w:rFonts w:ascii="宋体" w:hAnsi="宋体" w:cs="宋体" w:eastAsia="宋体" w:hint="ascii"/>
          <w:sz w:val="21"/>
          <w:spacing w:val="-3"/>
        </w:rPr>
        <w:t>信</w:t>
      </w:r>
      <w:r>
        <w:rPr>
          <w:rFonts w:ascii="宋体" w:hAnsi="宋体" w:cs="宋体" w:eastAsia="宋体" w:hint="ascii"/>
          <w:sz w:val="21"/>
          <w:spacing w:val="-2"/>
        </w:rPr>
        <w:t>理</w:t>
      </w:r>
      <w:r>
        <w:rPr>
          <w:rFonts w:ascii="宋体" w:hAnsi="宋体" w:cs="宋体" w:eastAsia="宋体" w:hint="ascii"/>
          <w:sz w:val="21"/>
          <w:spacing w:val="-3"/>
        </w:rPr>
        <w:t>论与</w:t>
      </w:r>
      <w:r>
        <w:rPr>
          <w:rFonts w:ascii="宋体" w:hAnsi="宋体" w:cs="宋体" w:eastAsia="宋体" w:hint="ascii"/>
          <w:sz w:val="21"/>
          <w:spacing w:val="-2"/>
        </w:rPr>
        <w:t>技</w:t>
      </w:r>
      <w:r>
        <w:rPr>
          <w:rFonts w:ascii="宋体" w:hAnsi="宋体" w:cs="宋体" w:eastAsia="宋体" w:hint="ascii"/>
          <w:sz w:val="21"/>
          <w:spacing w:val="-3"/>
        </w:rPr>
        <w:t>术</w:t>
      </w:r>
      <w:r>
        <w:rPr>
          <w:rFonts w:ascii="宋体" w:hAnsi="宋体" w:cs="宋体" w:eastAsia="宋体" w:hint="ascii"/>
          <w:sz w:val="21"/>
        </w:rPr>
        <w:t>中</w:t>
      </w:r>
    </w:p>
    <w:p>
      <w:pPr>
        <w:autoSpaceDE w:val="0"/>
        <w:autoSpaceDN w:val="0"/>
        <w:jc w:val="left"/>
        <w:spacing w:before="62"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的无线、空间、水域、多媒体、光、量子、计算机、传感器网络通信理论与技术、体域</w:t>
      </w:r>
    </w:p>
    <w:p>
      <w:pPr>
        <w:autoSpaceDE w:val="0"/>
        <w:autoSpaceDN w:val="0"/>
        <w:jc w:val="left"/>
        <w:spacing w:before="425"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46" w:after="0" w:lineRule="exact" w:line="324"/>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网、</w:t>
      </w:r>
      <w:r>
        <w:rPr>
          <w:rFonts w:ascii="宋体" w:hAnsi="宋体" w:cs="宋体" w:eastAsia="宋体" w:hint="ascii"/>
          <w:sz w:val="21"/>
          <w:spacing w:val="-5"/>
        </w:rPr>
        <w:t>新</w:t>
      </w:r>
      <w:r>
        <w:rPr>
          <w:rFonts w:ascii="宋体" w:hAnsi="宋体" w:cs="宋体" w:eastAsia="宋体" w:hint="ascii"/>
          <w:sz w:val="21"/>
          <w:spacing w:val="-4"/>
        </w:rPr>
        <w:t>型</w:t>
      </w:r>
      <w:r>
        <w:rPr>
          <w:rFonts w:ascii="宋体" w:hAnsi="宋体" w:cs="宋体" w:eastAsia="宋体" w:hint="ascii"/>
          <w:sz w:val="21"/>
          <w:spacing w:val="-5"/>
        </w:rPr>
        <w:t>接</w:t>
      </w:r>
      <w:r>
        <w:rPr>
          <w:rFonts w:ascii="宋体" w:hAnsi="宋体" w:cs="宋体" w:eastAsia="宋体" w:hint="ascii"/>
          <w:sz w:val="21"/>
          <w:spacing w:val="-4"/>
        </w:rPr>
        <w:t>入网</w:t>
      </w:r>
      <w:r>
        <w:rPr>
          <w:rFonts w:ascii="宋体" w:hAnsi="宋体" w:cs="宋体" w:eastAsia="宋体" w:hint="ascii"/>
          <w:sz w:val="21"/>
          <w:spacing w:val="-5"/>
        </w:rPr>
        <w:t>技</w:t>
      </w:r>
      <w:r>
        <w:rPr>
          <w:rFonts w:ascii="宋体" w:hAnsi="宋体" w:cs="宋体" w:eastAsia="宋体" w:hint="ascii"/>
          <w:sz w:val="21"/>
          <w:spacing w:val="-4"/>
        </w:rPr>
        <w:t>术</w:t>
      </w:r>
      <w:r>
        <w:rPr>
          <w:rFonts w:ascii="宋体" w:hAnsi="宋体" w:cs="宋体" w:eastAsia="宋体" w:hint="ascii"/>
          <w:sz w:val="21"/>
          <w:spacing w:val="-5"/>
        </w:rPr>
        <w:t>、</w:t>
      </w:r>
      <w:r>
        <w:rPr>
          <w:rFonts w:ascii="宋体" w:hAnsi="宋体" w:cs="宋体" w:eastAsia="宋体" w:hint="ascii"/>
          <w:sz w:val="21"/>
          <w:spacing w:val="-4"/>
        </w:rPr>
        <w:t>移动</w:t>
      </w:r>
      <w:r>
        <w:rPr>
          <w:rFonts w:ascii="宋体" w:hAnsi="宋体" w:cs="宋体" w:eastAsia="宋体" w:hint="ascii"/>
          <w:sz w:val="21"/>
          <w:spacing w:val="-5"/>
        </w:rPr>
        <w:t>无</w:t>
      </w:r>
      <w:r>
        <w:rPr>
          <w:rFonts w:ascii="宋体" w:hAnsi="宋体" w:cs="宋体" w:eastAsia="宋体" w:hint="ascii"/>
          <w:sz w:val="21"/>
          <w:spacing w:val="-4"/>
        </w:rPr>
        <w:t>线</w:t>
      </w:r>
      <w:r>
        <w:rPr>
          <w:rFonts w:ascii="宋体" w:hAnsi="宋体" w:cs="宋体" w:eastAsia="宋体" w:hint="ascii"/>
          <w:sz w:val="21"/>
          <w:spacing w:val="-5"/>
        </w:rPr>
        <w:t>互</w:t>
      </w:r>
      <w:r>
        <w:rPr>
          <w:rFonts w:ascii="宋体" w:hAnsi="宋体" w:cs="宋体" w:eastAsia="宋体" w:hint="ascii"/>
          <w:sz w:val="21"/>
          <w:spacing w:val="-4"/>
        </w:rPr>
        <w:t>联网</w:t>
      </w:r>
      <w:r>
        <w:rPr>
          <w:rFonts w:ascii="宋体" w:hAnsi="宋体" w:cs="宋体" w:eastAsia="宋体" w:hint="ascii"/>
          <w:sz w:val="21"/>
          <w:spacing w:val="-5"/>
        </w:rPr>
        <w:t>技</w:t>
      </w:r>
      <w:r>
        <w:rPr>
          <w:rFonts w:ascii="宋体" w:hAnsi="宋体" w:cs="宋体" w:eastAsia="宋体" w:hint="ascii"/>
          <w:sz w:val="21"/>
          <w:spacing w:val="-4"/>
        </w:rPr>
        <w:t>术</w:t>
      </w:r>
      <w:r>
        <w:rPr>
          <w:rFonts w:ascii="宋体" w:hAnsi="宋体" w:cs="宋体" w:eastAsia="宋体" w:hint="ascii"/>
          <w:sz w:val="21"/>
          <w:spacing w:val="-5"/>
        </w:rPr>
        <w:t>、</w:t>
      </w:r>
      <w:r>
        <w:rPr>
          <w:rFonts w:ascii="宋体" w:hAnsi="宋体" w:cs="宋体" w:eastAsia="宋体" w:hint="ascii"/>
          <w:sz w:val="21"/>
          <w:spacing w:val="-4"/>
        </w:rPr>
        <w:t>移动</w:t>
      </w:r>
      <w:r>
        <w:rPr>
          <w:rFonts w:ascii="宋体" w:hAnsi="宋体" w:cs="宋体" w:eastAsia="宋体" w:hint="ascii"/>
          <w:sz w:val="21"/>
          <w:spacing w:val="-5"/>
        </w:rPr>
        <w:t>通</w:t>
      </w:r>
      <w:r>
        <w:rPr>
          <w:rFonts w:ascii="宋体" w:hAnsi="宋体" w:cs="宋体" w:eastAsia="宋体" w:hint="ascii"/>
          <w:sz w:val="21"/>
          <w:spacing w:val="-4"/>
        </w:rPr>
        <w:t>信</w:t>
      </w:r>
      <w:r>
        <w:rPr>
          <w:rFonts w:ascii="宋体" w:hAnsi="宋体" w:cs="宋体" w:eastAsia="宋体" w:hint="ascii"/>
          <w:sz w:val="21"/>
          <w:spacing w:val="-5"/>
        </w:rPr>
        <w:t>新</w:t>
      </w:r>
      <w:r>
        <w:rPr>
          <w:rFonts w:ascii="宋体" w:hAnsi="宋体" w:cs="宋体" w:eastAsia="宋体" w:hint="ascii"/>
          <w:sz w:val="21"/>
          <w:spacing w:val="-3"/>
        </w:rPr>
        <w:t>理论</w:t>
      </w:r>
      <w:r>
        <w:rPr>
          <w:rFonts w:ascii="宋体" w:hAnsi="宋体" w:cs="宋体" w:eastAsia="宋体" w:hint="ascii"/>
          <w:sz w:val="21"/>
          <w:spacing w:val="-4"/>
        </w:rPr>
        <w:t>与</w:t>
      </w:r>
      <w:r>
        <w:rPr>
          <w:rFonts w:ascii="宋体" w:hAnsi="宋体" w:cs="宋体" w:eastAsia="宋体" w:hint="ascii"/>
          <w:sz w:val="21"/>
          <w:spacing w:val="-3"/>
        </w:rPr>
        <w:t>系</w:t>
      </w:r>
      <w:r>
        <w:rPr>
          <w:rFonts w:ascii="宋体" w:hAnsi="宋体" w:cs="宋体" w:eastAsia="宋体" w:hint="ascii"/>
          <w:sz w:val="21"/>
          <w:spacing w:val="-4"/>
        </w:rPr>
        <w:t>统</w:t>
      </w:r>
      <w:r>
        <w:rPr>
          <w:rFonts w:ascii="宋体" w:hAnsi="宋体" w:cs="宋体" w:eastAsia="宋体" w:hint="ascii"/>
          <w:sz w:val="21"/>
          <w:spacing w:val="-3"/>
        </w:rPr>
        <w:t>、未</w:t>
      </w:r>
      <w:r>
        <w:rPr>
          <w:rFonts w:ascii="宋体" w:hAnsi="宋体" w:cs="宋体" w:eastAsia="宋体" w:hint="ascii"/>
          <w:sz w:val="21"/>
          <w:spacing w:val="-4"/>
        </w:rPr>
        <w:t>来</w:t>
      </w:r>
      <w:r>
        <w:rPr>
          <w:rFonts w:ascii="宋体" w:hAnsi="宋体" w:cs="宋体" w:eastAsia="宋体" w:hint="ascii"/>
          <w:sz w:val="21"/>
          <w:spacing w:val="-3"/>
        </w:rPr>
        <w:t>信</w:t>
      </w:r>
      <w:r>
        <w:rPr>
          <w:rFonts w:ascii="宋体" w:hAnsi="宋体" w:cs="宋体" w:eastAsia="宋体" w:hint="ascii"/>
          <w:sz w:val="21"/>
          <w:spacing w:val="-4"/>
        </w:rPr>
        <w:t>息网</w:t>
      </w:r>
      <w:r>
        <w:rPr>
          <w:rFonts w:ascii="宋体" w:hAnsi="宋体" w:cs="宋体" w:eastAsia="宋体" w:hint="ascii"/>
          <w:sz w:val="21"/>
          <w:spacing w:val="-3"/>
        </w:rPr>
        <w:t>络</w:t>
      </w:r>
      <w:r>
        <w:rPr>
          <w:rFonts w:ascii="宋体" w:hAnsi="宋体" w:cs="宋体" w:eastAsia="宋体" w:hint="ascii"/>
          <w:sz w:val="21"/>
          <w:spacing w:val="-4"/>
        </w:rPr>
        <w:t>理</w:t>
      </w:r>
      <w:r>
        <w:rPr>
          <w:rFonts w:ascii="宋体" w:hAnsi="宋体" w:cs="宋体" w:eastAsia="宋体" w:hint="ascii"/>
          <w:sz w:val="21"/>
          <w:spacing w:val="-1"/>
        </w:rPr>
        <w:t>论</w:t>
      </w:r>
      <w:r>
        <w:rPr>
          <w:rFonts w:ascii="宋体" w:hAnsi="宋体" w:cs="宋体" w:eastAsia="宋体" w:hint="ascii"/>
          <w:sz w:val="21"/>
        </w:rPr>
        <w:t xml:space="preserve"> </w:t>
      </w:r>
      <w:r>
        <w:rPr>
          <w:rFonts w:ascii="宋体" w:hAnsi="宋体" w:cs="宋体" w:eastAsia="宋体" w:hint="ascii"/>
          <w:sz w:val="21"/>
          <w:spacing w:val="-4"/>
        </w:rPr>
        <w:t>与传输机制、网络通信理论与系统</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14" locked="0" layoutInCell="1" allowOverlap="1">
                <wp:simplePos x="0" y="0"/>
                <wp:positionH relativeFrom="page">
                  <wp:posOffset>938530</wp:posOffset>
                </wp:positionH>
                <wp:positionV relativeFrom="page">
                  <wp:posOffset>819150</wp:posOffset>
                </wp:positionV>
                <wp:extent cx="5076190" cy="0"/>
                <wp:wrapNone/>
                <wp:docPr id="1143" name="114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41504;width:399.70pt;" id="114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信息获取与处理领域涉及信号与信息的感知、获取和处理的理论、方法及应用技术</w:t>
      </w:r>
    </w:p>
    <w:p>
      <w:pPr>
        <w:autoSpaceDE w:val="0"/>
        <w:autoSpaceDN w:val="0"/>
        <w:jc w:val="both"/>
        <w:spacing w:before="12" w:after="0" w:lineRule="exact" w:line="324"/>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研究。主要资助范围</w:t>
      </w:r>
      <w:r>
        <w:rPr>
          <w:rFonts w:ascii="宋体" w:hAnsi="宋体" w:cs="宋体" w:eastAsia="宋体" w:hint="ascii"/>
          <w:sz w:val="21"/>
        </w:rPr>
        <w:t>包括：信号理论与信号处理、多维信号及阵列信号处理，以及</w:t>
      </w:r>
      <w:r>
        <w:rPr>
          <w:rFonts w:ascii="宋体" w:hAnsi="宋体" w:cs="宋体" w:eastAsia="宋体" w:hint="ascii"/>
          <w:sz w:val="21"/>
          <w:spacing w:val="-6"/>
        </w:rPr>
        <w:t>雷</w:t>
      </w:r>
      <w:r>
        <w:rPr>
          <w:rFonts w:ascii="宋体" w:hAnsi="宋体" w:cs="宋体" w:eastAsia="宋体" w:hint="ascii"/>
          <w:sz w:val="21"/>
          <w:spacing w:val="-1"/>
        </w:rPr>
        <w:t>达、声呐、</w:t>
      </w:r>
      <w:r>
        <w:rPr>
          <w:rFonts w:ascii="宋体" w:hAnsi="宋体" w:cs="宋体" w:eastAsia="宋体" w:hint="ascii"/>
          <w:sz w:val="21"/>
        </w:rPr>
        <w:t>遥感、语音等信号处理；信息获取与处理中的数学理论与方法研究；信息检</w:t>
      </w:r>
      <w:r>
        <w:rPr>
          <w:rFonts w:ascii="宋体" w:hAnsi="宋体" w:cs="宋体" w:eastAsia="宋体" w:hint="ascii"/>
          <w:sz w:val="21"/>
          <w:spacing w:val="-1"/>
        </w:rPr>
        <w:t>测与处理中</w:t>
      </w:r>
      <w:r>
        <w:rPr>
          <w:rFonts w:ascii="宋体" w:hAnsi="宋体" w:cs="宋体" w:eastAsia="宋体" w:hint="ascii"/>
          <w:sz w:val="21"/>
        </w:rPr>
        <w:t>的信息获取机理与技术、微弱信号检测与处理、探测与成像系统、图像处理</w:t>
      </w:r>
      <w:r>
        <w:rPr>
          <w:rFonts w:ascii="宋体" w:hAnsi="宋体" w:cs="宋体" w:eastAsia="宋体" w:hint="ascii"/>
          <w:sz w:val="21"/>
          <w:spacing w:val="-1"/>
        </w:rPr>
        <w:t>与理解、多</w:t>
      </w:r>
      <w:r>
        <w:rPr>
          <w:rFonts w:ascii="宋体" w:hAnsi="宋体" w:cs="宋体" w:eastAsia="宋体" w:hint="ascii"/>
          <w:sz w:val="21"/>
        </w:rPr>
        <w:t>传感器信息融合、多媒体信息处理与表示，空间与海洋信息获取与处理，移动网络大数据基础应用研究等。</w:t>
      </w:r>
    </w:p>
    <w:p>
      <w:pPr>
        <w:autoSpaceDE w:val="0"/>
        <w:autoSpaceDN w:val="0"/>
        <w:jc w:val="both"/>
        <w:spacing w:before="0" w:after="0" w:lineRule="exact" w:line="324"/>
        <w:ind w:right="962" w:left="966" w:firstLine="420"/>
        <w:snapToGrid w:val="0"/>
        <w:textAlignment w:val="auto"/>
        <w:tabs>
          <w:tab w:val="left" w:leader="none" w:pos="1863"/>
        </w:tabs>
        <w:numPr>
          <w:ilvl w:val="0"/>
          <w:numId w:val="96"/>
        </w:numPr>
        <w:rPr>
          <w:rFonts w:ascii="Times New Roman" w:hAnsi="Times New Roman" w:cs="Times New Roman" w:eastAsia="Times New Roman" w:hint="ascii"/>
          <w:sz w:val="21"/>
          <w:spacing w:val="1"/>
        </w:rPr>
      </w:pPr>
      <w:r>
        <w:rPr>
          <w:rFonts w:ascii="宋体" w:hAnsi="宋体" w:cs="宋体" w:eastAsia="宋体" w:hint="ascii"/>
          <w:sz w:val="21"/>
        </w:rPr>
        <w:t>年度本科学处接收面上项目申请</w:t>
      </w:r>
      <w:r>
        <w:rPr>
          <w:rFonts w:ascii="宋体" w:hAnsi="宋体" w:cs="宋体" w:eastAsia="宋体" w:hint="ascii"/>
          <w:sz w:val="21"/>
          <w:spacing w:val="-26"/>
        </w:rPr>
        <w:t xml:space="preserve"> </w:t>
      </w:r>
      <w:r>
        <w:rPr>
          <w:rFonts w:ascii="Times New Roman" w:hAnsi="Times New Roman" w:cs="Times New Roman" w:eastAsia="Times New Roman" w:hint="ascii"/>
          <w:sz w:val="21"/>
        </w:rPr>
        <w:t>2 343</w:t>
      </w:r>
      <w:r>
        <w:rPr>
          <w:rFonts w:ascii="Times New Roman" w:hAnsi="Times New Roman" w:cs="Times New Roman" w:eastAsia="Times New Roman" w:hint="ascii"/>
          <w:sz w:val="21"/>
          <w:spacing w:val="-26"/>
        </w:rPr>
        <w:t xml:space="preserve"> </w:t>
      </w:r>
      <w:r>
        <w:rPr>
          <w:rFonts w:ascii="宋体" w:hAnsi="宋体" w:cs="宋体" w:eastAsia="宋体" w:hint="ascii"/>
          <w:sz w:val="21"/>
        </w:rPr>
        <w:t>项，资助</w:t>
      </w:r>
      <w:r>
        <w:rPr>
          <w:rFonts w:ascii="宋体" w:hAnsi="宋体" w:cs="宋体" w:eastAsia="宋体" w:hint="ascii"/>
          <w:sz w:val="21"/>
          <w:spacing w:val="-25"/>
        </w:rPr>
        <w:t xml:space="preserve"> </w:t>
      </w:r>
      <w:r>
        <w:rPr>
          <w:rFonts w:ascii="Times New Roman" w:hAnsi="Times New Roman" w:cs="Times New Roman" w:eastAsia="Times New Roman" w:hint="ascii"/>
          <w:sz w:val="21"/>
        </w:rPr>
        <w:t>500</w:t>
      </w:r>
      <w:r>
        <w:rPr>
          <w:rFonts w:ascii="Times New Roman" w:hAnsi="Times New Roman" w:cs="Times New Roman" w:eastAsia="Times New Roman" w:hint="ascii"/>
          <w:sz w:val="21"/>
          <w:spacing w:val="-26"/>
        </w:rPr>
        <w:t xml:space="preserve"> </w:t>
      </w:r>
      <w:r>
        <w:rPr>
          <w:rFonts w:ascii="宋体" w:hAnsi="宋体" w:cs="宋体" w:eastAsia="宋体" w:hint="ascii"/>
          <w:sz w:val="21"/>
        </w:rPr>
        <w:t>项，资助率为</w:t>
      </w:r>
      <w:r>
        <w:rPr>
          <w:rFonts w:ascii="宋体" w:hAnsi="宋体" w:cs="宋体" w:eastAsia="宋体" w:hint="ascii"/>
          <w:sz w:val="21"/>
          <w:spacing w:val="-26"/>
        </w:rPr>
        <w:t xml:space="preserve"> </w:t>
      </w:r>
      <w:r>
        <w:rPr>
          <w:rFonts w:ascii="Times New Roman" w:hAnsi="Times New Roman" w:cs="Times New Roman" w:eastAsia="Times New Roman" w:hint="ascii"/>
          <w:sz w:val="21"/>
        </w:rPr>
        <w:t>21.34%</w:t>
      </w:r>
      <w:r>
        <w:rPr>
          <w:rFonts w:ascii="宋体" w:hAnsi="宋体" w:cs="宋体" w:eastAsia="宋体" w:hint="ascii"/>
          <w:sz w:val="21"/>
        </w:rPr>
        <w:t>， 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59.6</w:t>
      </w:r>
      <w:r>
        <w:rPr>
          <w:rFonts w:ascii="Times New Roman" w:hAnsi="Times New Roman" w:cs="Times New Roman" w:eastAsia="Times New Roman" w:hint="ascii"/>
          <w:sz w:val="21"/>
          <w:spacing w:val="52"/>
        </w:rPr>
        <w:t>9</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49" w:after="0" w:lineRule="auto" w:line="240"/>
        <w:ind w:right="0" w:left="966" w:firstLine="420"/>
        <w:snapToGrid w:val="0"/>
        <w:textAlignment w:val="auto"/>
        <w:tabs>
          <w:tab w:val="left" w:leader="none" w:pos="1863"/>
        </w:tabs>
        <w:numPr>
          <w:ilvl w:val="0"/>
          <w:numId w:val="96"/>
        </w:numPr>
        <w:rPr>
          <w:rFonts w:ascii="Times New Roman" w:hAnsi="Times New Roman" w:cs="Times New Roman" w:eastAsia="Times New Roman" w:hint="ascii"/>
          <w:sz w:val="21"/>
          <w:spacing w:val="1"/>
        </w:rPr>
      </w:pPr>
      <w:r>
        <w:rPr>
          <w:rFonts w:ascii="宋体" w:hAnsi="宋体" w:cs="宋体" w:eastAsia="宋体" w:hint="ascii"/>
          <w:sz w:val="21"/>
        </w:rPr>
        <w:t>年度本科学处倾斜支持电路与系统设计新方法、毫米波天线与系统集成、电</w:t>
      </w:r>
    </w:p>
    <w:p>
      <w:pPr>
        <w:autoSpaceDE w:val="0"/>
        <w:autoSpaceDN w:val="0"/>
        <w:jc w:val="both"/>
        <w:spacing w:before="19" w:after="0" w:lineRule="exact" w:line="324"/>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磁能量获取</w:t>
      </w:r>
      <w:r>
        <w:rPr>
          <w:rFonts w:ascii="宋体" w:hAnsi="宋体" w:cs="宋体" w:eastAsia="宋体" w:hint="ascii"/>
          <w:sz w:val="21"/>
        </w:rPr>
        <w:t>、微波光子雷达、新型传感器机理与设计方法、生物数据分析、医学影像处</w:t>
      </w:r>
      <w:r>
        <w:rPr>
          <w:rFonts w:ascii="宋体" w:hAnsi="宋体" w:cs="宋体" w:eastAsia="宋体" w:hint="ascii"/>
          <w:sz w:val="21"/>
          <w:spacing w:val="-1"/>
        </w:rPr>
        <w:t>理、空间信</w:t>
      </w:r>
      <w:r>
        <w:rPr>
          <w:rFonts w:ascii="宋体" w:hAnsi="宋体" w:cs="宋体" w:eastAsia="宋体" w:hint="ascii"/>
          <w:sz w:val="21"/>
        </w:rPr>
        <w:t>息网络、移动互联网、光通信、通信系统安全、水下通信与传感网、电磁涡</w:t>
      </w:r>
      <w:r>
        <w:rPr>
          <w:rFonts w:ascii="宋体" w:hAnsi="宋体" w:cs="宋体" w:eastAsia="宋体" w:hint="ascii"/>
          <w:sz w:val="21"/>
          <w:spacing w:val="-1"/>
        </w:rPr>
        <w:t>旋通信、雷</w:t>
      </w:r>
      <w:r>
        <w:rPr>
          <w:rFonts w:ascii="宋体" w:hAnsi="宋体" w:cs="宋体" w:eastAsia="宋体" w:hint="ascii"/>
          <w:sz w:val="21"/>
        </w:rPr>
        <w:t>达新原理与新方法、探测和成像、遥感图像处理、多媒体信息处理、空间信</w:t>
      </w:r>
      <w:r>
        <w:rPr>
          <w:rFonts w:ascii="宋体" w:hAnsi="宋体" w:cs="宋体" w:eastAsia="宋体" w:hint="ascii"/>
          <w:sz w:val="21"/>
          <w:spacing w:val="-1"/>
        </w:rPr>
        <w:t>息获取与处</w:t>
      </w:r>
      <w:r>
        <w:rPr>
          <w:rFonts w:ascii="宋体" w:hAnsi="宋体" w:cs="宋体" w:eastAsia="宋体" w:hint="ascii"/>
          <w:sz w:val="21"/>
        </w:rPr>
        <w:t>理、水下信息获取与处理等对经济发展与国家安全具有重要意义的基础理论</w:t>
      </w:r>
      <w:r>
        <w:rPr>
          <w:rFonts w:ascii="宋体" w:hAnsi="宋体" w:cs="宋体" w:eastAsia="宋体" w:hint="ascii"/>
          <w:sz w:val="21"/>
          <w:spacing w:val="-1"/>
        </w:rPr>
        <w:t>和关键技术</w:t>
      </w:r>
      <w:r>
        <w:rPr>
          <w:rFonts w:ascii="宋体" w:hAnsi="宋体" w:cs="宋体" w:eastAsia="宋体" w:hint="ascii"/>
          <w:sz w:val="21"/>
        </w:rPr>
        <w:t>研究；支持创新性和交叉性强但有一定风险的非共识项目，支持具有应用前</w:t>
      </w:r>
      <w:r>
        <w:rPr>
          <w:rFonts w:ascii="宋体" w:hAnsi="宋体" w:cs="宋体" w:eastAsia="宋体" w:hint="ascii"/>
          <w:sz w:val="21"/>
          <w:spacing w:val="-1"/>
        </w:rPr>
        <w:t>景的探索研</w:t>
      </w:r>
      <w:r>
        <w:rPr>
          <w:rFonts w:ascii="宋体" w:hAnsi="宋体" w:cs="宋体" w:eastAsia="宋体" w:hint="ascii"/>
          <w:sz w:val="21"/>
        </w:rPr>
        <w:t>究项目；继续对前期研究成果突出的项目给予倾斜支持。鼓励开放共享研究</w:t>
      </w:r>
      <w:r>
        <w:rPr>
          <w:rFonts w:ascii="宋体" w:hAnsi="宋体" w:cs="宋体" w:eastAsia="宋体" w:hint="ascii"/>
          <w:sz w:val="21"/>
          <w:spacing w:val="-1"/>
        </w:rPr>
        <w:t>成果，对开</w:t>
      </w:r>
      <w:r>
        <w:rPr>
          <w:rFonts w:ascii="宋体" w:hAnsi="宋体" w:cs="宋体" w:eastAsia="宋体" w:hint="ascii"/>
          <w:sz w:val="21"/>
        </w:rPr>
        <w:t>放数据集及其软硬件设计研究项目给予倾斜支持。鼓励注重理论和实际相结</w:t>
      </w:r>
      <w:r>
        <w:rPr>
          <w:rFonts w:ascii="宋体" w:hAnsi="宋体" w:cs="宋体" w:eastAsia="宋体" w:hint="ascii"/>
          <w:sz w:val="21"/>
          <w:spacing w:val="-1"/>
        </w:rPr>
        <w:t>合，突出前</w:t>
      </w:r>
      <w:r>
        <w:rPr>
          <w:rFonts w:ascii="宋体" w:hAnsi="宋体" w:cs="宋体" w:eastAsia="宋体" w:hint="ascii"/>
          <w:sz w:val="21"/>
        </w:rPr>
        <w:t>沿性和创新性，研究和解决重要应用领域中的基础性问题，以提升我国在相关领域的研究实力和整体水平。</w:t>
      </w:r>
    </w:p>
    <w:p>
      <w:pPr>
        <w:autoSpaceDE w:val="0"/>
        <w:autoSpaceDN w:val="0"/>
        <w:jc w:val="left"/>
        <w:spacing w:before="271"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信息科学二处</w:t>
      </w:r>
    </w:p>
    <w:p>
      <w:pPr>
        <w:autoSpaceDE w:val="0"/>
        <w:autoSpaceDN w:val="0"/>
        <w:jc w:val="both"/>
        <w:spacing w:before="301"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信息科学二处</w:t>
      </w:r>
      <w:r>
        <w:rPr>
          <w:rFonts w:ascii="宋体" w:hAnsi="宋体" w:cs="宋体" w:eastAsia="宋体" w:hint="ascii"/>
          <w:sz w:val="21"/>
        </w:rPr>
        <w:t>受理计算机科学与技术领域及相关交叉学科领域的基础理论、基本方法和关键技术研究项目。</w:t>
      </w:r>
    </w:p>
    <w:p>
      <w:pPr>
        <w:autoSpaceDE w:val="0"/>
        <w:autoSpaceDN w:val="0"/>
        <w:jc w:val="left"/>
        <w:spacing w:before="0" w:after="0" w:lineRule="exact" w:line="320"/>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计算</w:t>
      </w:r>
      <w:r>
        <w:rPr>
          <w:rFonts w:ascii="宋体" w:hAnsi="宋体" w:cs="宋体" w:eastAsia="宋体" w:hint="ascii"/>
          <w:sz w:val="21"/>
          <w:spacing w:val="2"/>
        </w:rPr>
        <w:t>机</w:t>
      </w:r>
      <w:r>
        <w:rPr>
          <w:rFonts w:ascii="宋体" w:hAnsi="宋体" w:cs="宋体" w:eastAsia="宋体" w:hint="ascii"/>
          <w:sz w:val="21"/>
          <w:spacing w:val="1"/>
        </w:rPr>
        <w:t>科学与技</w:t>
      </w:r>
      <w:r>
        <w:rPr>
          <w:rFonts w:ascii="宋体" w:hAnsi="宋体" w:cs="宋体" w:eastAsia="宋体" w:hint="ascii"/>
          <w:sz w:val="21"/>
          <w:spacing w:val="2"/>
        </w:rPr>
        <w:t>术</w:t>
      </w:r>
      <w:r>
        <w:rPr>
          <w:rFonts w:ascii="宋体" w:hAnsi="宋体" w:cs="宋体" w:eastAsia="宋体" w:hint="ascii"/>
          <w:sz w:val="21"/>
          <w:spacing w:val="1"/>
        </w:rPr>
        <w:t>是信息科</w:t>
      </w:r>
      <w:r>
        <w:rPr>
          <w:rFonts w:ascii="宋体" w:hAnsi="宋体" w:cs="宋体" w:eastAsia="宋体" w:hint="ascii"/>
          <w:sz w:val="21"/>
          <w:spacing w:val="2"/>
        </w:rPr>
        <w:t>学</w:t>
      </w:r>
      <w:r>
        <w:rPr>
          <w:rFonts w:ascii="宋体" w:hAnsi="宋体" w:cs="宋体" w:eastAsia="宋体" w:hint="ascii"/>
          <w:sz w:val="21"/>
          <w:spacing w:val="1"/>
        </w:rPr>
        <w:t>中研究最</w:t>
      </w:r>
      <w:r>
        <w:rPr>
          <w:rFonts w:ascii="宋体" w:hAnsi="宋体" w:cs="宋体" w:eastAsia="宋体" w:hint="ascii"/>
          <w:sz w:val="21"/>
          <w:spacing w:val="2"/>
        </w:rPr>
        <w:t>活</w:t>
      </w:r>
      <w:r>
        <w:rPr>
          <w:rFonts w:ascii="宋体" w:hAnsi="宋体" w:cs="宋体" w:eastAsia="宋体" w:hint="ascii"/>
          <w:sz w:val="21"/>
          <w:spacing w:val="1"/>
        </w:rPr>
        <w:t>跃、</w:t>
      </w:r>
      <w:r>
        <w:rPr>
          <w:rFonts w:ascii="宋体" w:hAnsi="宋体" w:cs="宋体" w:eastAsia="宋体" w:hint="ascii"/>
          <w:sz w:val="21"/>
          <w:spacing w:val="2"/>
        </w:rPr>
        <w:t>发展</w:t>
      </w:r>
      <w:r>
        <w:rPr>
          <w:rFonts w:ascii="宋体" w:hAnsi="宋体" w:cs="宋体" w:eastAsia="宋体" w:hint="ascii"/>
          <w:sz w:val="21"/>
          <w:spacing w:val="3"/>
        </w:rPr>
        <w:t>最</w:t>
      </w:r>
      <w:r>
        <w:rPr>
          <w:rFonts w:ascii="宋体" w:hAnsi="宋体" w:cs="宋体" w:eastAsia="宋体" w:hint="ascii"/>
          <w:sz w:val="21"/>
          <w:spacing w:val="2"/>
        </w:rPr>
        <w:t>迅速、影</w:t>
      </w:r>
      <w:r>
        <w:rPr>
          <w:rFonts w:ascii="宋体" w:hAnsi="宋体" w:cs="宋体" w:eastAsia="宋体" w:hint="ascii"/>
          <w:sz w:val="21"/>
          <w:spacing w:val="3"/>
        </w:rPr>
        <w:t>响</w:t>
      </w:r>
      <w:r>
        <w:rPr>
          <w:rFonts w:ascii="宋体" w:hAnsi="宋体" w:cs="宋体" w:eastAsia="宋体" w:hint="ascii"/>
          <w:sz w:val="21"/>
          <w:spacing w:val="2"/>
        </w:rPr>
        <w:t>最广泛的</w:t>
      </w:r>
      <w:r>
        <w:rPr>
          <w:rFonts w:ascii="宋体" w:hAnsi="宋体" w:cs="宋体" w:eastAsia="宋体" w:hint="ascii"/>
          <w:sz w:val="21"/>
          <w:spacing w:val="3"/>
        </w:rPr>
        <w:t>领</w:t>
      </w:r>
      <w:r>
        <w:rPr>
          <w:rFonts w:ascii="宋体" w:hAnsi="宋体" w:cs="宋体" w:eastAsia="宋体" w:hint="ascii"/>
          <w:sz w:val="21"/>
          <w:spacing w:val="2"/>
        </w:rPr>
        <w:t>域</w:t>
      </w:r>
      <w:r>
        <w:rPr>
          <w:rFonts w:ascii="宋体" w:hAnsi="宋体" w:cs="宋体" w:eastAsia="宋体" w:hint="ascii"/>
          <w:sz w:val="21"/>
          <w:spacing w:val="-1"/>
        </w:rPr>
        <w:t>之</w:t>
      </w:r>
      <w:r>
        <w:rPr>
          <w:rFonts w:ascii="宋体" w:hAnsi="宋体" w:cs="宋体" w:eastAsia="宋体" w:hint="ascii"/>
          <w:sz w:val="21"/>
        </w:rPr>
        <w:t xml:space="preserve"> 一。超高速、大容量、高效能、高可信、易交互、网络化、普适化、移动化、智能化等是计算机科学与技术发展的重要趋势。建议申请人充分关注本学科上述发展特点。</w:t>
      </w:r>
    </w:p>
    <w:p>
      <w:pPr>
        <w:autoSpaceDE w:val="0"/>
        <w:autoSpaceDN w:val="0"/>
        <w:jc w:val="left"/>
        <w:spacing w:before="44" w:after="0" w:lineRule="exact" w:line="263"/>
        <w:ind w:right="0" w:left="1374" w:firstLine="0"/>
        <w:snapToGrid w:val="0"/>
        <w:textAlignment w:val="auto"/>
        <w:tabs/>
        <w:rPr>
          <w:rFonts w:ascii="宋体" w:hAnsi="宋体" w:cs="宋体" w:eastAsia="宋体" w:hint="ascii"/>
          <w:sz w:val="21"/>
        </w:rPr>
      </w:pPr>
      <w:r>
        <w:rPr>
          <w:rFonts w:ascii="宋体" w:hAnsi="宋体" w:cs="宋体" w:eastAsia="宋体" w:hint="ascii"/>
          <w:sz w:val="21"/>
          <w:spacing w:val="-2"/>
        </w:rPr>
        <w:t>强调</w:t>
      </w:r>
      <w:r>
        <w:rPr>
          <w:rFonts w:ascii="宋体" w:hAnsi="宋体" w:cs="宋体" w:eastAsia="宋体" w:hint="ascii"/>
          <w:sz w:val="21"/>
          <w:spacing w:val="-3"/>
        </w:rPr>
        <w:t>围</w:t>
      </w:r>
      <w:r>
        <w:rPr>
          <w:rFonts w:ascii="宋体" w:hAnsi="宋体" w:cs="宋体" w:eastAsia="宋体" w:hint="ascii"/>
          <w:sz w:val="21"/>
          <w:spacing w:val="-2"/>
        </w:rPr>
        <w:t>绕</w:t>
      </w:r>
      <w:r>
        <w:rPr>
          <w:rFonts w:ascii="宋体" w:hAnsi="宋体" w:cs="宋体" w:eastAsia="宋体" w:hint="ascii"/>
          <w:sz w:val="21"/>
          <w:spacing w:val="-3"/>
        </w:rPr>
        <w:t>计算</w:t>
      </w:r>
      <w:r>
        <w:rPr>
          <w:rFonts w:ascii="宋体" w:hAnsi="宋体" w:cs="宋体" w:eastAsia="宋体" w:hint="ascii"/>
          <w:sz w:val="21"/>
          <w:spacing w:val="-2"/>
        </w:rPr>
        <w:t>机科</w:t>
      </w:r>
      <w:r>
        <w:rPr>
          <w:rFonts w:ascii="宋体" w:hAnsi="宋体" w:cs="宋体" w:eastAsia="宋体" w:hint="ascii"/>
          <w:sz w:val="21"/>
          <w:spacing w:val="-3"/>
        </w:rPr>
        <w:t>学</w:t>
      </w:r>
      <w:r>
        <w:rPr>
          <w:rFonts w:ascii="宋体" w:hAnsi="宋体" w:cs="宋体" w:eastAsia="宋体" w:hint="ascii"/>
          <w:sz w:val="21"/>
          <w:spacing w:val="-2"/>
        </w:rPr>
        <w:t>领</w:t>
      </w:r>
      <w:r>
        <w:rPr>
          <w:rFonts w:ascii="宋体" w:hAnsi="宋体" w:cs="宋体" w:eastAsia="宋体" w:hint="ascii"/>
          <w:sz w:val="21"/>
          <w:spacing w:val="-3"/>
        </w:rPr>
        <w:t>域的</w:t>
      </w:r>
      <w:r>
        <w:rPr>
          <w:rFonts w:ascii="宋体" w:hAnsi="宋体" w:cs="宋体" w:eastAsia="宋体" w:hint="ascii"/>
          <w:sz w:val="21"/>
          <w:spacing w:val="-2"/>
        </w:rPr>
        <w:t>核心</w:t>
      </w:r>
      <w:r>
        <w:rPr>
          <w:rFonts w:ascii="宋体" w:hAnsi="宋体" w:cs="宋体" w:eastAsia="宋体" w:hint="ascii"/>
          <w:sz w:val="21"/>
          <w:spacing w:val="-3"/>
        </w:rPr>
        <w:t>科</w:t>
      </w:r>
      <w:r>
        <w:rPr>
          <w:rFonts w:ascii="宋体" w:hAnsi="宋体" w:cs="宋体" w:eastAsia="宋体" w:hint="ascii"/>
          <w:sz w:val="21"/>
          <w:spacing w:val="-2"/>
        </w:rPr>
        <w:t>学</w:t>
      </w:r>
      <w:r>
        <w:rPr>
          <w:rFonts w:ascii="宋体" w:hAnsi="宋体" w:cs="宋体" w:eastAsia="宋体" w:hint="ascii"/>
          <w:sz w:val="21"/>
          <w:spacing w:val="-3"/>
        </w:rPr>
        <w:t>问题</w:t>
      </w:r>
      <w:r>
        <w:rPr>
          <w:rFonts w:ascii="宋体" w:hAnsi="宋体" w:cs="宋体" w:eastAsia="宋体" w:hint="ascii"/>
          <w:sz w:val="21"/>
          <w:spacing w:val="-2"/>
        </w:rPr>
        <w:t>与关</w:t>
      </w:r>
      <w:r>
        <w:rPr>
          <w:rFonts w:ascii="宋体" w:hAnsi="宋体" w:cs="宋体" w:eastAsia="宋体" w:hint="ascii"/>
          <w:sz w:val="21"/>
          <w:spacing w:val="-3"/>
        </w:rPr>
        <w:t>键</w:t>
      </w:r>
      <w:r>
        <w:rPr>
          <w:rFonts w:ascii="宋体" w:hAnsi="宋体" w:cs="宋体" w:eastAsia="宋体" w:hint="ascii"/>
          <w:sz w:val="21"/>
          <w:spacing w:val="-2"/>
        </w:rPr>
        <w:t>技</w:t>
      </w:r>
      <w:r>
        <w:rPr>
          <w:rFonts w:ascii="宋体" w:hAnsi="宋体" w:cs="宋体" w:eastAsia="宋体" w:hint="ascii"/>
          <w:sz w:val="21"/>
          <w:spacing w:val="-3"/>
        </w:rPr>
        <w:t>术，</w:t>
      </w:r>
      <w:r>
        <w:rPr>
          <w:rFonts w:ascii="宋体" w:hAnsi="宋体" w:cs="宋体" w:eastAsia="宋体" w:hint="ascii"/>
          <w:sz w:val="21"/>
          <w:spacing w:val="-2"/>
        </w:rPr>
        <w:t>进行</w:t>
      </w:r>
      <w:r>
        <w:rPr>
          <w:rFonts w:ascii="宋体" w:hAnsi="宋体" w:cs="宋体" w:eastAsia="宋体" w:hint="ascii"/>
          <w:sz w:val="21"/>
          <w:spacing w:val="-3"/>
        </w:rPr>
        <w:t>原</w:t>
      </w:r>
      <w:r>
        <w:rPr>
          <w:rFonts w:ascii="宋体" w:hAnsi="宋体" w:cs="宋体" w:eastAsia="宋体" w:hint="ascii"/>
          <w:sz w:val="21"/>
          <w:spacing w:val="-2"/>
        </w:rPr>
        <w:t>创</w:t>
      </w:r>
      <w:r>
        <w:rPr>
          <w:rFonts w:ascii="宋体" w:hAnsi="宋体" w:cs="宋体" w:eastAsia="宋体" w:hint="ascii"/>
          <w:sz w:val="21"/>
          <w:spacing w:val="-3"/>
        </w:rPr>
        <w:t>性、</w:t>
      </w:r>
      <w:r>
        <w:rPr>
          <w:rFonts w:ascii="宋体" w:hAnsi="宋体" w:cs="宋体" w:eastAsia="宋体" w:hint="ascii"/>
          <w:sz w:val="21"/>
          <w:spacing w:val="-2"/>
        </w:rPr>
        <w:t>基础</w:t>
      </w:r>
      <w:r>
        <w:rPr>
          <w:rFonts w:ascii="宋体" w:hAnsi="宋体" w:cs="宋体" w:eastAsia="宋体" w:hint="ascii"/>
          <w:sz w:val="21"/>
          <w:spacing w:val="-3"/>
        </w:rPr>
        <w:t>性</w:t>
      </w:r>
      <w:r>
        <w:rPr>
          <w:rFonts w:ascii="宋体" w:hAnsi="宋体" w:cs="宋体" w:eastAsia="宋体" w:hint="ascii"/>
          <w:sz w:val="21"/>
          <w:spacing w:val="-2"/>
        </w:rPr>
        <w:t>、前瞻</w:t>
      </w:r>
      <w:r>
        <w:rPr>
          <w:rFonts w:ascii="宋体" w:hAnsi="宋体" w:cs="宋体" w:eastAsia="宋体" w:hint="ascii"/>
          <w:sz w:val="21"/>
        </w:rPr>
        <w:t>性</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和交</w:t>
      </w:r>
      <w:r>
        <w:rPr>
          <w:rFonts w:ascii="宋体" w:hAnsi="宋体" w:cs="宋体" w:eastAsia="宋体" w:hint="ascii"/>
          <w:sz w:val="21"/>
          <w:spacing w:val="-3"/>
        </w:rPr>
        <w:t>叉</w:t>
      </w:r>
      <w:r>
        <w:rPr>
          <w:rFonts w:ascii="宋体" w:hAnsi="宋体" w:cs="宋体" w:eastAsia="宋体" w:hint="ascii"/>
          <w:sz w:val="21"/>
          <w:spacing w:val="-2"/>
        </w:rPr>
        <w:t>性</w:t>
      </w:r>
      <w:r>
        <w:rPr>
          <w:rFonts w:ascii="宋体" w:hAnsi="宋体" w:cs="宋体" w:eastAsia="宋体" w:hint="ascii"/>
          <w:sz w:val="21"/>
          <w:spacing w:val="-3"/>
        </w:rPr>
        <w:t>研究</w:t>
      </w:r>
      <w:r>
        <w:rPr>
          <w:rFonts w:ascii="宋体" w:hAnsi="宋体" w:cs="宋体" w:eastAsia="宋体" w:hint="ascii"/>
          <w:sz w:val="21"/>
          <w:spacing w:val="-2"/>
        </w:rPr>
        <w:t>；鼓</w:t>
      </w:r>
      <w:r>
        <w:rPr>
          <w:rFonts w:ascii="宋体" w:hAnsi="宋体" w:cs="宋体" w:eastAsia="宋体" w:hint="ascii"/>
          <w:sz w:val="21"/>
          <w:spacing w:val="-3"/>
        </w:rPr>
        <w:t>励</w:t>
      </w:r>
      <w:r>
        <w:rPr>
          <w:rFonts w:ascii="宋体" w:hAnsi="宋体" w:cs="宋体" w:eastAsia="宋体" w:hint="ascii"/>
          <w:sz w:val="21"/>
          <w:spacing w:val="-2"/>
        </w:rPr>
        <w:t>在</w:t>
      </w:r>
      <w:r>
        <w:rPr>
          <w:rFonts w:ascii="宋体" w:hAnsi="宋体" w:cs="宋体" w:eastAsia="宋体" w:hint="ascii"/>
          <w:sz w:val="21"/>
          <w:spacing w:val="-3"/>
        </w:rPr>
        <w:t>计算</w:t>
      </w:r>
      <w:r>
        <w:rPr>
          <w:rFonts w:ascii="宋体" w:hAnsi="宋体" w:cs="宋体" w:eastAsia="宋体" w:hint="ascii"/>
          <w:sz w:val="21"/>
          <w:spacing w:val="-2"/>
        </w:rPr>
        <w:t>机科</w:t>
      </w:r>
      <w:r>
        <w:rPr>
          <w:rFonts w:ascii="宋体" w:hAnsi="宋体" w:cs="宋体" w:eastAsia="宋体" w:hint="ascii"/>
          <w:sz w:val="21"/>
          <w:spacing w:val="-3"/>
        </w:rPr>
        <w:t>学</w:t>
      </w:r>
      <w:r>
        <w:rPr>
          <w:rFonts w:ascii="宋体" w:hAnsi="宋体" w:cs="宋体" w:eastAsia="宋体" w:hint="ascii"/>
          <w:sz w:val="21"/>
          <w:spacing w:val="-2"/>
        </w:rPr>
        <w:t>理</w:t>
      </w:r>
      <w:r>
        <w:rPr>
          <w:rFonts w:ascii="宋体" w:hAnsi="宋体" w:cs="宋体" w:eastAsia="宋体" w:hint="ascii"/>
          <w:sz w:val="21"/>
          <w:spacing w:val="-3"/>
        </w:rPr>
        <w:t>论、</w:t>
      </w:r>
      <w:r>
        <w:rPr>
          <w:rFonts w:ascii="宋体" w:hAnsi="宋体" w:cs="宋体" w:eastAsia="宋体" w:hint="ascii"/>
          <w:sz w:val="21"/>
          <w:spacing w:val="-2"/>
        </w:rPr>
        <w:t>软件</w:t>
      </w:r>
      <w:r>
        <w:rPr>
          <w:rFonts w:ascii="宋体" w:hAnsi="宋体" w:cs="宋体" w:eastAsia="宋体" w:hint="ascii"/>
          <w:sz w:val="21"/>
          <w:spacing w:val="-3"/>
        </w:rPr>
        <w:t>理</w:t>
      </w:r>
      <w:r>
        <w:rPr>
          <w:rFonts w:ascii="宋体" w:hAnsi="宋体" w:cs="宋体" w:eastAsia="宋体" w:hint="ascii"/>
          <w:sz w:val="21"/>
          <w:spacing w:val="-2"/>
        </w:rPr>
        <w:t>论</w:t>
      </w:r>
      <w:r>
        <w:rPr>
          <w:rFonts w:ascii="宋体" w:hAnsi="宋体" w:cs="宋体" w:eastAsia="宋体" w:hint="ascii"/>
          <w:sz w:val="21"/>
          <w:spacing w:val="-3"/>
        </w:rPr>
        <w:t>与软</w:t>
      </w:r>
      <w:r>
        <w:rPr>
          <w:rFonts w:ascii="宋体" w:hAnsi="宋体" w:cs="宋体" w:eastAsia="宋体" w:hint="ascii"/>
          <w:sz w:val="21"/>
          <w:spacing w:val="-2"/>
        </w:rPr>
        <w:t>件工</w:t>
      </w:r>
      <w:r>
        <w:rPr>
          <w:rFonts w:ascii="宋体" w:hAnsi="宋体" w:cs="宋体" w:eastAsia="宋体" w:hint="ascii"/>
          <w:sz w:val="21"/>
          <w:spacing w:val="-3"/>
        </w:rPr>
        <w:t>程</w:t>
      </w:r>
      <w:r>
        <w:rPr>
          <w:rFonts w:ascii="宋体" w:hAnsi="宋体" w:cs="宋体" w:eastAsia="宋体" w:hint="ascii"/>
          <w:sz w:val="21"/>
          <w:spacing w:val="-2"/>
        </w:rPr>
        <w:t>、</w:t>
      </w:r>
      <w:r>
        <w:rPr>
          <w:rFonts w:ascii="宋体" w:hAnsi="宋体" w:cs="宋体" w:eastAsia="宋体" w:hint="ascii"/>
          <w:sz w:val="21"/>
          <w:spacing w:val="-3"/>
        </w:rPr>
        <w:t>体系</w:t>
      </w:r>
      <w:r>
        <w:rPr>
          <w:rFonts w:ascii="宋体" w:hAnsi="宋体" w:cs="宋体" w:eastAsia="宋体" w:hint="ascii"/>
          <w:sz w:val="21"/>
          <w:spacing w:val="-2"/>
        </w:rPr>
        <w:t>结构</w:t>
      </w:r>
      <w:r>
        <w:rPr>
          <w:rFonts w:ascii="宋体" w:hAnsi="宋体" w:cs="宋体" w:eastAsia="宋体" w:hint="ascii"/>
          <w:sz w:val="21"/>
          <w:spacing w:val="-3"/>
        </w:rPr>
        <w:t>与</w:t>
      </w:r>
      <w:r>
        <w:rPr>
          <w:rFonts w:ascii="宋体" w:hAnsi="宋体" w:cs="宋体" w:eastAsia="宋体" w:hint="ascii"/>
          <w:sz w:val="21"/>
          <w:spacing w:val="-2"/>
        </w:rPr>
        <w:t>系</w:t>
      </w:r>
      <w:r>
        <w:rPr>
          <w:rFonts w:ascii="宋体" w:hAnsi="宋体" w:cs="宋体" w:eastAsia="宋体" w:hint="ascii"/>
          <w:sz w:val="21"/>
          <w:spacing w:val="-3"/>
        </w:rPr>
        <w:t>统软</w:t>
      </w:r>
      <w:r>
        <w:rPr>
          <w:rFonts w:ascii="宋体" w:hAnsi="宋体" w:cs="宋体" w:eastAsia="宋体" w:hint="ascii"/>
          <w:sz w:val="21"/>
          <w:spacing w:val="-2"/>
        </w:rPr>
        <w:t>件、</w:t>
      </w:r>
      <w:r>
        <w:rPr>
          <w:rFonts w:ascii="宋体" w:hAnsi="宋体" w:cs="宋体" w:eastAsia="宋体" w:hint="ascii"/>
          <w:sz w:val="21"/>
        </w:rPr>
        <w:t>并</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行分</w:t>
      </w:r>
      <w:r>
        <w:rPr>
          <w:rFonts w:ascii="宋体" w:hAnsi="宋体" w:cs="宋体" w:eastAsia="宋体" w:hint="ascii"/>
          <w:sz w:val="21"/>
          <w:spacing w:val="-3"/>
        </w:rPr>
        <w:t>布</w:t>
      </w:r>
      <w:r>
        <w:rPr>
          <w:rFonts w:ascii="宋体" w:hAnsi="宋体" w:cs="宋体" w:eastAsia="宋体" w:hint="ascii"/>
          <w:sz w:val="21"/>
          <w:spacing w:val="-2"/>
        </w:rPr>
        <w:t>计</w:t>
      </w:r>
      <w:r>
        <w:rPr>
          <w:rFonts w:ascii="宋体" w:hAnsi="宋体" w:cs="宋体" w:eastAsia="宋体" w:hint="ascii"/>
          <w:sz w:val="21"/>
          <w:spacing w:val="-3"/>
        </w:rPr>
        <w:t>算、</w:t>
      </w:r>
      <w:r>
        <w:rPr>
          <w:rFonts w:ascii="宋体" w:hAnsi="宋体" w:cs="宋体" w:eastAsia="宋体" w:hint="ascii"/>
          <w:sz w:val="21"/>
          <w:spacing w:val="-2"/>
        </w:rPr>
        <w:t>新型</w:t>
      </w:r>
      <w:r>
        <w:rPr>
          <w:rFonts w:ascii="宋体" w:hAnsi="宋体" w:cs="宋体" w:eastAsia="宋体" w:hint="ascii"/>
          <w:sz w:val="21"/>
          <w:spacing w:val="-3"/>
        </w:rPr>
        <w:t>存</w:t>
      </w:r>
      <w:r>
        <w:rPr>
          <w:rFonts w:ascii="宋体" w:hAnsi="宋体" w:cs="宋体" w:eastAsia="宋体" w:hint="ascii"/>
          <w:sz w:val="21"/>
          <w:spacing w:val="-2"/>
        </w:rPr>
        <w:t>储</w:t>
      </w:r>
      <w:r>
        <w:rPr>
          <w:rFonts w:ascii="宋体" w:hAnsi="宋体" w:cs="宋体" w:eastAsia="宋体" w:hint="ascii"/>
          <w:sz w:val="21"/>
          <w:spacing w:val="-3"/>
        </w:rPr>
        <w:t>、嵌</w:t>
      </w:r>
      <w:r>
        <w:rPr>
          <w:rFonts w:ascii="宋体" w:hAnsi="宋体" w:cs="宋体" w:eastAsia="宋体" w:hint="ascii"/>
          <w:sz w:val="21"/>
          <w:spacing w:val="-2"/>
        </w:rPr>
        <w:t>入式</w:t>
      </w:r>
      <w:r>
        <w:rPr>
          <w:rFonts w:ascii="宋体" w:hAnsi="宋体" w:cs="宋体" w:eastAsia="宋体" w:hint="ascii"/>
          <w:sz w:val="21"/>
          <w:spacing w:val="-3"/>
        </w:rPr>
        <w:t>系</w:t>
      </w:r>
      <w:r>
        <w:rPr>
          <w:rFonts w:ascii="宋体" w:hAnsi="宋体" w:cs="宋体" w:eastAsia="宋体" w:hint="ascii"/>
          <w:sz w:val="21"/>
          <w:spacing w:val="-2"/>
        </w:rPr>
        <w:t>统</w:t>
      </w:r>
      <w:r>
        <w:rPr>
          <w:rFonts w:ascii="宋体" w:hAnsi="宋体" w:cs="宋体" w:eastAsia="宋体" w:hint="ascii"/>
          <w:sz w:val="21"/>
          <w:spacing w:val="-3"/>
        </w:rPr>
        <w:t>、计</w:t>
      </w:r>
      <w:r>
        <w:rPr>
          <w:rFonts w:ascii="宋体" w:hAnsi="宋体" w:cs="宋体" w:eastAsia="宋体" w:hint="ascii"/>
          <w:sz w:val="21"/>
          <w:spacing w:val="-2"/>
        </w:rPr>
        <w:t>算机</w:t>
      </w:r>
      <w:r>
        <w:rPr>
          <w:rFonts w:ascii="宋体" w:hAnsi="宋体" w:cs="宋体" w:eastAsia="宋体" w:hint="ascii"/>
          <w:sz w:val="21"/>
          <w:spacing w:val="-3"/>
        </w:rPr>
        <w:t>图</w:t>
      </w:r>
      <w:r>
        <w:rPr>
          <w:rFonts w:ascii="宋体" w:hAnsi="宋体" w:cs="宋体" w:eastAsia="宋体" w:hint="ascii"/>
          <w:sz w:val="21"/>
          <w:spacing w:val="-2"/>
        </w:rPr>
        <w:t>形</w:t>
      </w:r>
      <w:r>
        <w:rPr>
          <w:rFonts w:ascii="宋体" w:hAnsi="宋体" w:cs="宋体" w:eastAsia="宋体" w:hint="ascii"/>
          <w:sz w:val="21"/>
          <w:spacing w:val="-3"/>
        </w:rPr>
        <w:t>学与</w:t>
      </w:r>
      <w:r>
        <w:rPr>
          <w:rFonts w:ascii="宋体" w:hAnsi="宋体" w:cs="宋体" w:eastAsia="宋体" w:hint="ascii"/>
          <w:sz w:val="21"/>
          <w:spacing w:val="-2"/>
        </w:rPr>
        <w:t>虚拟</w:t>
      </w:r>
      <w:r>
        <w:rPr>
          <w:rFonts w:ascii="宋体" w:hAnsi="宋体" w:cs="宋体" w:eastAsia="宋体" w:hint="ascii"/>
          <w:sz w:val="21"/>
          <w:spacing w:val="-3"/>
        </w:rPr>
        <w:t>现</w:t>
      </w:r>
      <w:r>
        <w:rPr>
          <w:rFonts w:ascii="宋体" w:hAnsi="宋体" w:cs="宋体" w:eastAsia="宋体" w:hint="ascii"/>
          <w:sz w:val="21"/>
          <w:spacing w:val="-2"/>
        </w:rPr>
        <w:t>实</w:t>
      </w:r>
      <w:r>
        <w:rPr>
          <w:rFonts w:ascii="宋体" w:hAnsi="宋体" w:cs="宋体" w:eastAsia="宋体" w:hint="ascii"/>
          <w:sz w:val="21"/>
          <w:spacing w:val="-3"/>
        </w:rPr>
        <w:t>、图</w:t>
      </w:r>
      <w:r>
        <w:rPr>
          <w:rFonts w:ascii="宋体" w:hAnsi="宋体" w:cs="宋体" w:eastAsia="宋体" w:hint="ascii"/>
          <w:sz w:val="21"/>
          <w:spacing w:val="-2"/>
        </w:rPr>
        <w:t>像与</w:t>
      </w:r>
      <w:r>
        <w:rPr>
          <w:rFonts w:ascii="宋体" w:hAnsi="宋体" w:cs="宋体" w:eastAsia="宋体" w:hint="ascii"/>
          <w:sz w:val="21"/>
          <w:spacing w:val="-3"/>
        </w:rPr>
        <w:t>音</w:t>
      </w:r>
      <w:r>
        <w:rPr>
          <w:rFonts w:ascii="宋体" w:hAnsi="宋体" w:cs="宋体" w:eastAsia="宋体" w:hint="ascii"/>
          <w:sz w:val="21"/>
          <w:spacing w:val="-2"/>
        </w:rPr>
        <w:t>视</w:t>
      </w:r>
      <w:r>
        <w:rPr>
          <w:rFonts w:ascii="宋体" w:hAnsi="宋体" w:cs="宋体" w:eastAsia="宋体" w:hint="ascii"/>
          <w:sz w:val="21"/>
          <w:spacing w:val="-3"/>
        </w:rPr>
        <w:t>频处</w:t>
      </w:r>
      <w:r>
        <w:rPr>
          <w:rFonts w:ascii="宋体" w:hAnsi="宋体" w:cs="宋体" w:eastAsia="宋体" w:hint="ascii"/>
          <w:sz w:val="21"/>
          <w:spacing w:val="-2"/>
        </w:rPr>
        <w:t>理、</w:t>
      </w:r>
      <w:r>
        <w:rPr>
          <w:rFonts w:ascii="宋体" w:hAnsi="宋体" w:cs="宋体" w:eastAsia="宋体" w:hint="ascii"/>
          <w:sz w:val="21"/>
        </w:rPr>
        <w:t>生</w:t>
      </w:r>
    </w:p>
    <w:p>
      <w:pPr>
        <w:autoSpaceDE w:val="0"/>
        <w:autoSpaceDN w:val="0"/>
        <w:jc w:val="left"/>
        <w:spacing w:before="5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物数</w:t>
      </w:r>
      <w:r>
        <w:rPr>
          <w:rFonts w:ascii="宋体" w:hAnsi="宋体" w:cs="宋体" w:eastAsia="宋体" w:hint="ascii"/>
          <w:sz w:val="21"/>
          <w:spacing w:val="-3"/>
        </w:rPr>
        <w:t>据</w:t>
      </w:r>
      <w:r>
        <w:rPr>
          <w:rFonts w:ascii="宋体" w:hAnsi="宋体" w:cs="宋体" w:eastAsia="宋体" w:hint="ascii"/>
          <w:sz w:val="21"/>
          <w:spacing w:val="-2"/>
        </w:rPr>
        <w:t>处</w:t>
      </w:r>
      <w:r>
        <w:rPr>
          <w:rFonts w:ascii="宋体" w:hAnsi="宋体" w:cs="宋体" w:eastAsia="宋体" w:hint="ascii"/>
          <w:sz w:val="21"/>
          <w:spacing w:val="-3"/>
        </w:rPr>
        <w:t>理与</w:t>
      </w:r>
      <w:r>
        <w:rPr>
          <w:rFonts w:ascii="宋体" w:hAnsi="宋体" w:cs="宋体" w:eastAsia="宋体" w:hint="ascii"/>
          <w:sz w:val="21"/>
          <w:spacing w:val="-2"/>
        </w:rPr>
        <w:t>分析</w:t>
      </w:r>
      <w:r>
        <w:rPr>
          <w:rFonts w:ascii="宋体" w:hAnsi="宋体" w:cs="宋体" w:eastAsia="宋体" w:hint="ascii"/>
          <w:sz w:val="21"/>
          <w:spacing w:val="-3"/>
        </w:rPr>
        <w:t>、</w:t>
      </w:r>
      <w:r>
        <w:rPr>
          <w:rFonts w:ascii="宋体" w:hAnsi="宋体" w:cs="宋体" w:eastAsia="宋体" w:hint="ascii"/>
          <w:sz w:val="21"/>
          <w:spacing w:val="-2"/>
        </w:rPr>
        <w:t>人</w:t>
      </w:r>
      <w:r>
        <w:rPr>
          <w:rFonts w:ascii="宋体" w:hAnsi="宋体" w:cs="宋体" w:eastAsia="宋体" w:hint="ascii"/>
          <w:sz w:val="21"/>
          <w:spacing w:val="-3"/>
        </w:rPr>
        <w:t>机环</w:t>
      </w:r>
      <w:r>
        <w:rPr>
          <w:rFonts w:ascii="宋体" w:hAnsi="宋体" w:cs="宋体" w:eastAsia="宋体" w:hint="ascii"/>
          <w:sz w:val="21"/>
          <w:spacing w:val="-2"/>
        </w:rPr>
        <w:t>境、</w:t>
      </w:r>
      <w:r>
        <w:rPr>
          <w:rFonts w:ascii="宋体" w:hAnsi="宋体" w:cs="宋体" w:eastAsia="宋体" w:hint="ascii"/>
          <w:sz w:val="21"/>
          <w:spacing w:val="-3"/>
        </w:rPr>
        <w:t>信</w:t>
      </w:r>
      <w:r>
        <w:rPr>
          <w:rFonts w:ascii="宋体" w:hAnsi="宋体" w:cs="宋体" w:eastAsia="宋体" w:hint="ascii"/>
          <w:sz w:val="21"/>
          <w:spacing w:val="-2"/>
        </w:rPr>
        <w:t>息</w:t>
      </w:r>
      <w:r>
        <w:rPr>
          <w:rFonts w:ascii="宋体" w:hAnsi="宋体" w:cs="宋体" w:eastAsia="宋体" w:hint="ascii"/>
          <w:sz w:val="21"/>
          <w:spacing w:val="-3"/>
        </w:rPr>
        <w:t>安全</w:t>
      </w:r>
      <w:r>
        <w:rPr>
          <w:rFonts w:ascii="宋体" w:hAnsi="宋体" w:cs="宋体" w:eastAsia="宋体" w:hint="ascii"/>
          <w:sz w:val="21"/>
          <w:spacing w:val="-2"/>
        </w:rPr>
        <w:t>、安</w:t>
      </w:r>
      <w:r>
        <w:rPr>
          <w:rFonts w:ascii="宋体" w:hAnsi="宋体" w:cs="宋体" w:eastAsia="宋体" w:hint="ascii"/>
          <w:sz w:val="21"/>
          <w:spacing w:val="-3"/>
        </w:rPr>
        <w:t>全</w:t>
      </w:r>
      <w:r>
        <w:rPr>
          <w:rFonts w:ascii="宋体" w:hAnsi="宋体" w:cs="宋体" w:eastAsia="宋体" w:hint="ascii"/>
          <w:sz w:val="21"/>
          <w:spacing w:val="-2"/>
        </w:rPr>
        <w:t>体</w:t>
      </w:r>
      <w:r>
        <w:rPr>
          <w:rFonts w:ascii="宋体" w:hAnsi="宋体" w:cs="宋体" w:eastAsia="宋体" w:hint="ascii"/>
          <w:sz w:val="21"/>
          <w:spacing w:val="-3"/>
        </w:rPr>
        <w:t>系结</w:t>
      </w:r>
      <w:r>
        <w:rPr>
          <w:rFonts w:ascii="宋体" w:hAnsi="宋体" w:cs="宋体" w:eastAsia="宋体" w:hint="ascii"/>
          <w:sz w:val="21"/>
          <w:spacing w:val="-2"/>
        </w:rPr>
        <w:t>构与</w:t>
      </w:r>
      <w:r>
        <w:rPr>
          <w:rFonts w:ascii="宋体" w:hAnsi="宋体" w:cs="宋体" w:eastAsia="宋体" w:hint="ascii"/>
          <w:sz w:val="21"/>
          <w:spacing w:val="-3"/>
        </w:rPr>
        <w:t>协</w:t>
      </w:r>
      <w:r>
        <w:rPr>
          <w:rFonts w:ascii="宋体" w:hAnsi="宋体" w:cs="宋体" w:eastAsia="宋体" w:hint="ascii"/>
          <w:sz w:val="21"/>
          <w:spacing w:val="-2"/>
        </w:rPr>
        <w:t>议</w:t>
      </w:r>
      <w:r>
        <w:rPr>
          <w:rFonts w:ascii="宋体" w:hAnsi="宋体" w:cs="宋体" w:eastAsia="宋体" w:hint="ascii"/>
          <w:sz w:val="21"/>
          <w:spacing w:val="-3"/>
        </w:rPr>
        <w:t>、计</w:t>
      </w:r>
      <w:r>
        <w:rPr>
          <w:rFonts w:ascii="宋体" w:hAnsi="宋体" w:cs="宋体" w:eastAsia="宋体" w:hint="ascii"/>
          <w:sz w:val="21"/>
          <w:spacing w:val="-2"/>
        </w:rPr>
        <w:t>算机</w:t>
      </w:r>
      <w:r>
        <w:rPr>
          <w:rFonts w:ascii="宋体" w:hAnsi="宋体" w:cs="宋体" w:eastAsia="宋体" w:hint="ascii"/>
          <w:sz w:val="21"/>
          <w:spacing w:val="-3"/>
        </w:rPr>
        <w:t>网</w:t>
      </w:r>
      <w:r>
        <w:rPr>
          <w:rFonts w:ascii="宋体" w:hAnsi="宋体" w:cs="宋体" w:eastAsia="宋体" w:hint="ascii"/>
          <w:sz w:val="21"/>
          <w:spacing w:val="-2"/>
        </w:rPr>
        <w:t>络</w:t>
      </w:r>
      <w:r>
        <w:rPr>
          <w:rFonts w:ascii="宋体" w:hAnsi="宋体" w:cs="宋体" w:eastAsia="宋体" w:hint="ascii"/>
          <w:sz w:val="21"/>
          <w:spacing w:val="-3"/>
        </w:rPr>
        <w:t>、移</w:t>
      </w:r>
      <w:r>
        <w:rPr>
          <w:rFonts w:ascii="宋体" w:hAnsi="宋体" w:cs="宋体" w:eastAsia="宋体" w:hint="ascii"/>
          <w:sz w:val="21"/>
          <w:spacing w:val="-2"/>
        </w:rPr>
        <w:t>动与</w:t>
      </w:r>
      <w:r>
        <w:rPr>
          <w:rFonts w:ascii="宋体" w:hAnsi="宋体" w:cs="宋体" w:eastAsia="宋体" w:hint="ascii"/>
          <w:sz w:val="21"/>
        </w:rPr>
        <w:t>普</w:t>
      </w:r>
    </w:p>
    <w:p>
      <w:pPr>
        <w:autoSpaceDE w:val="0"/>
        <w:autoSpaceDN w:val="0"/>
        <w:jc w:val="both"/>
        <w:spacing w:before="12"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适计算等方面的研究；重点支持新型计算模型与算法、大数据分析处理、信息安全新机</w:t>
      </w:r>
      <w:r>
        <w:rPr>
          <w:rFonts w:ascii="宋体" w:hAnsi="宋体" w:cs="宋体" w:eastAsia="宋体" w:hint="ascii"/>
          <w:sz w:val="21"/>
          <w:spacing w:val="-3"/>
        </w:rPr>
        <w:t>理、新型搜索、混合现实、人机协同、信息物理系统等方向的理论方法研究</w:t>
      </w:r>
      <w:r>
        <w:rPr>
          <w:rFonts w:ascii="宋体" w:hAnsi="宋体" w:cs="宋体" w:eastAsia="宋体" w:hint="ascii"/>
          <w:sz w:val="21"/>
        </w:rPr>
        <w:t>。</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spacing w:val="3"/>
        </w:rPr>
        <w:t>继续</w:t>
      </w:r>
      <w:r>
        <w:rPr>
          <w:rFonts w:ascii="宋体" w:hAnsi="宋体" w:cs="宋体" w:eastAsia="宋体" w:hint="ascii"/>
          <w:sz w:val="21"/>
          <w:spacing w:val="4"/>
        </w:rPr>
        <w:t>支</w:t>
      </w:r>
      <w:r>
        <w:rPr>
          <w:rFonts w:ascii="宋体" w:hAnsi="宋体" w:cs="宋体" w:eastAsia="宋体" w:hint="ascii"/>
          <w:sz w:val="21"/>
          <w:spacing w:val="3"/>
        </w:rPr>
        <w:t>持计算机</w:t>
      </w:r>
      <w:r>
        <w:rPr>
          <w:rFonts w:ascii="宋体" w:hAnsi="宋体" w:cs="宋体" w:eastAsia="宋体" w:hint="ascii"/>
          <w:sz w:val="21"/>
          <w:spacing w:val="4"/>
        </w:rPr>
        <w:t>科</w:t>
      </w:r>
      <w:r>
        <w:rPr>
          <w:rFonts w:ascii="宋体" w:hAnsi="宋体" w:cs="宋体" w:eastAsia="宋体" w:hint="ascii"/>
          <w:sz w:val="21"/>
          <w:spacing w:val="3"/>
        </w:rPr>
        <w:t>学领域的</w:t>
      </w:r>
      <w:r>
        <w:rPr>
          <w:rFonts w:ascii="宋体" w:hAnsi="宋体" w:cs="宋体" w:eastAsia="宋体" w:hint="ascii"/>
          <w:sz w:val="21"/>
          <w:spacing w:val="4"/>
        </w:rPr>
        <w:t>科</w:t>
      </w:r>
      <w:r>
        <w:rPr>
          <w:rFonts w:ascii="宋体" w:hAnsi="宋体" w:cs="宋体" w:eastAsia="宋体" w:hint="ascii"/>
          <w:sz w:val="21"/>
          <w:spacing w:val="3"/>
        </w:rPr>
        <w:t>研人员与</w:t>
      </w:r>
      <w:r>
        <w:rPr>
          <w:rFonts w:ascii="宋体" w:hAnsi="宋体" w:cs="宋体" w:eastAsia="宋体" w:hint="ascii"/>
          <w:sz w:val="21"/>
          <w:spacing w:val="4"/>
        </w:rPr>
        <w:t>生</w:t>
      </w:r>
      <w:r>
        <w:rPr>
          <w:rFonts w:ascii="宋体" w:hAnsi="宋体" w:cs="宋体" w:eastAsia="宋体" w:hint="ascii"/>
          <w:sz w:val="21"/>
          <w:spacing w:val="3"/>
        </w:rPr>
        <w:t>命科学、</w:t>
      </w:r>
      <w:r>
        <w:rPr>
          <w:rFonts w:ascii="宋体" w:hAnsi="宋体" w:cs="宋体" w:eastAsia="宋体" w:hint="ascii"/>
          <w:sz w:val="21"/>
          <w:spacing w:val="4"/>
        </w:rPr>
        <w:t>医</w:t>
      </w:r>
      <w:r>
        <w:rPr>
          <w:rFonts w:ascii="宋体" w:hAnsi="宋体" w:cs="宋体" w:eastAsia="宋体" w:hint="ascii"/>
          <w:sz w:val="21"/>
          <w:spacing w:val="3"/>
        </w:rPr>
        <w:t>学、数学</w:t>
      </w:r>
      <w:r>
        <w:rPr>
          <w:rFonts w:ascii="宋体" w:hAnsi="宋体" w:cs="宋体" w:eastAsia="宋体" w:hint="ascii"/>
          <w:sz w:val="21"/>
          <w:spacing w:val="4"/>
        </w:rPr>
        <w:t>、</w:t>
      </w:r>
      <w:r>
        <w:rPr>
          <w:rFonts w:ascii="宋体" w:hAnsi="宋体" w:cs="宋体" w:eastAsia="宋体" w:hint="ascii"/>
          <w:sz w:val="21"/>
          <w:spacing w:val="3"/>
        </w:rPr>
        <w:t>物理、化</w:t>
      </w:r>
      <w:r>
        <w:rPr>
          <w:rFonts w:ascii="宋体" w:hAnsi="宋体" w:cs="宋体" w:eastAsia="宋体" w:hint="ascii"/>
          <w:sz w:val="21"/>
          <w:spacing w:val="4"/>
        </w:rPr>
        <w:t>学</w:t>
      </w:r>
      <w:r>
        <w:rPr>
          <w:rFonts w:ascii="宋体" w:hAnsi="宋体" w:cs="宋体" w:eastAsia="宋体" w:hint="ascii"/>
          <w:sz w:val="21"/>
          <w:spacing w:val="3"/>
        </w:rPr>
        <w:t>、</w:t>
      </w:r>
      <w:r>
        <w:rPr>
          <w:rFonts w:ascii="宋体" w:hAnsi="宋体" w:cs="宋体" w:eastAsia="宋体" w:hint="ascii"/>
          <w:sz w:val="21"/>
        </w:rPr>
        <w:t>地</w:t>
      </w:r>
    </w:p>
    <w:p>
      <w:pPr>
        <w:autoSpaceDE w:val="0"/>
        <w:autoSpaceDN w:val="0"/>
        <w:jc w:val="both"/>
        <w:spacing w:before="12"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学、工程学、</w:t>
      </w:r>
      <w:r>
        <w:rPr>
          <w:rFonts w:ascii="宋体" w:hAnsi="宋体" w:cs="宋体" w:eastAsia="宋体" w:hint="ascii"/>
          <w:sz w:val="21"/>
        </w:rPr>
        <w:t>管理科学、经济学及社会科学等领域的研究人员密切合作，共同探索学科</w:t>
      </w:r>
      <w:r>
        <w:rPr>
          <w:rFonts w:ascii="宋体" w:hAnsi="宋体" w:cs="宋体" w:eastAsia="宋体" w:hint="ascii"/>
          <w:sz w:val="21"/>
          <w:spacing w:val="-1"/>
        </w:rPr>
        <w:t>交叉领域中的</w:t>
      </w:r>
      <w:r>
        <w:rPr>
          <w:rFonts w:ascii="宋体" w:hAnsi="宋体" w:cs="宋体" w:eastAsia="宋体" w:hint="ascii"/>
          <w:sz w:val="21"/>
        </w:rPr>
        <w:t>新概念、新理论、新方法和新技术，构建原型系统，促进计算机科学与其</w:t>
      </w:r>
      <w:r>
        <w:rPr>
          <w:rFonts w:ascii="宋体" w:hAnsi="宋体" w:cs="宋体" w:eastAsia="宋体" w:hint="ascii"/>
          <w:sz w:val="21"/>
          <w:spacing w:val="-1"/>
        </w:rPr>
        <w:t>他相关科学领</w:t>
      </w:r>
      <w:r>
        <w:rPr>
          <w:rFonts w:ascii="宋体" w:hAnsi="宋体" w:cs="宋体" w:eastAsia="宋体" w:hint="ascii"/>
          <w:sz w:val="21"/>
        </w:rPr>
        <w:t>域的共同发展。特别鼓励和支持科研人员研究解决国际公认难度大、有重</w:t>
      </w:r>
    </w:p>
    <w:p>
      <w:pPr>
        <w:autoSpaceDE w:val="0"/>
        <w:autoSpaceDN w:val="0"/>
        <w:jc w:val="left"/>
        <w:spacing w:before="253"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49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大影响、探索性强的基础性问题，以提高我国科学研究的水平和影响力。</w:t>
      </w:r>
      <w:r>
        <w:rPr>
          <w:rFonts w:ascii="宋体" w:hAnsi="宋体" w:cs="宋体" w:eastAsia="宋体" w:hint="ascii"/>
          <w:sz w:val="21"/>
        </w:rPr>
        <mc:AlternateContent>
          <mc:Choice Requires="wps">
            <w:drawing>
              <wp:anchor distL="0" distR="0" distT="0" distB="0" simplePos="0" behindDoc="1" relativeHeight="115" locked="0" layoutInCell="1" allowOverlap="1">
                <wp:simplePos x="0" y="0"/>
                <wp:positionH relativeFrom="page">
                  <wp:posOffset>938530</wp:posOffset>
                </wp:positionH>
                <wp:positionV relativeFrom="page">
                  <wp:posOffset>805815</wp:posOffset>
                </wp:positionV>
                <wp:extent cx="5076190" cy="0"/>
                <wp:wrapNone/>
                <wp:docPr id="1144" name="114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40480;width:399.70pt;" id="114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20"/>
        <w:ind w:right="975" w:left="966" w:firstLine="420"/>
        <w:snapToGrid w:val="0"/>
        <w:textAlignment w:val="auto"/>
        <w:tabs>
          <w:tab w:val="left" w:leader="none" w:pos="1862"/>
        </w:tabs>
        <w:numPr>
          <w:ilvl w:val="0"/>
          <w:numId w:val="97"/>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1"/>
        </w:rPr>
        <w:t>本</w:t>
      </w:r>
      <w:r>
        <w:rPr>
          <w:rFonts w:ascii="宋体" w:hAnsi="宋体" w:cs="宋体" w:eastAsia="宋体" w:hint="ascii"/>
          <w:sz w:val="21"/>
        </w:rPr>
        <w:t>科学处共接收面上项目申</w:t>
      </w:r>
      <w:r>
        <w:rPr>
          <w:rFonts w:ascii="宋体" w:hAnsi="宋体" w:cs="宋体" w:eastAsia="宋体" w:hint="ascii"/>
          <w:sz w:val="21"/>
          <w:spacing w:val="-2"/>
        </w:rPr>
        <w:t>请</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spacing w:val="1"/>
        </w:rPr>
        <w:t>6</w:t>
      </w:r>
      <w:r>
        <w:rPr>
          <w:rFonts w:ascii="Times New Roman" w:hAnsi="Times New Roman" w:cs="Times New Roman" w:eastAsia="Times New Roman" w:hint="ascii"/>
          <w:sz w:val="21"/>
        </w:rPr>
        <w:t>43</w:t>
      </w:r>
      <w:r>
        <w:rPr>
          <w:rFonts w:ascii="Times New Roman" w:hAnsi="Times New Roman" w:cs="Times New Roman" w:eastAsia="Times New Roman" w:hint="ascii"/>
          <w:sz w:val="21"/>
          <w:spacing w:val="-27"/>
        </w:rPr>
        <w:t xml:space="preserve"> </w:t>
      </w:r>
      <w:r>
        <w:rPr>
          <w:rFonts w:ascii="宋体" w:hAnsi="宋体" w:cs="宋体" w:eastAsia="宋体" w:hint="ascii"/>
          <w:sz w:val="21"/>
        </w:rPr>
        <w:t>项，资</w:t>
      </w:r>
      <w:r>
        <w:rPr>
          <w:rFonts w:ascii="宋体" w:hAnsi="宋体" w:cs="宋体" w:eastAsia="宋体" w:hint="ascii"/>
          <w:sz w:val="21"/>
          <w:spacing w:val="-2"/>
        </w:rPr>
        <w:t>助</w:t>
      </w:r>
      <w:r>
        <w:rPr>
          <w:rFonts w:ascii="宋体" w:hAnsi="宋体" w:cs="宋体" w:eastAsia="宋体" w:hint="ascii"/>
          <w:sz w:val="21"/>
          <w:spacing w:val="-26"/>
        </w:rPr>
        <w:t xml:space="preserve"> </w:t>
      </w:r>
      <w:r>
        <w:rPr>
          <w:rFonts w:ascii="Times New Roman" w:hAnsi="Times New Roman" w:cs="Times New Roman" w:eastAsia="Times New Roman" w:hint="ascii"/>
          <w:sz w:val="21"/>
        </w:rPr>
        <w:t>576</w:t>
      </w:r>
      <w:r>
        <w:rPr>
          <w:rFonts w:ascii="Times New Roman" w:hAnsi="Times New Roman" w:cs="Times New Roman" w:eastAsia="Times New Roman" w:hint="ascii"/>
          <w:sz w:val="21"/>
          <w:spacing w:val="-27"/>
        </w:rPr>
        <w:t xml:space="preserve"> </w:t>
      </w:r>
      <w:r>
        <w:rPr>
          <w:rFonts w:ascii="宋体" w:hAnsi="宋体" w:cs="宋体" w:eastAsia="宋体" w:hint="ascii"/>
          <w:sz w:val="21"/>
        </w:rPr>
        <w:t>项（</w:t>
      </w:r>
      <w:r>
        <w:rPr>
          <w:rFonts w:ascii="宋体" w:hAnsi="宋体" w:cs="宋体" w:eastAsia="宋体" w:hint="ascii"/>
          <w:sz w:val="21"/>
          <w:spacing w:val="-2"/>
        </w:rPr>
        <w:t>含</w:t>
      </w:r>
      <w:r>
        <w:rPr>
          <w:rFonts w:ascii="宋体" w:hAnsi="宋体" w:cs="宋体" w:eastAsia="宋体" w:hint="ascii"/>
          <w:sz w:val="21"/>
          <w:spacing w:val="-26"/>
        </w:rPr>
        <w:t xml:space="preserve"> </w:t>
      </w:r>
      <w:r>
        <w:rPr>
          <w:rFonts w:ascii="Times New Roman" w:hAnsi="Times New Roman" w:cs="Times New Roman" w:eastAsia="Times New Roman" w:hint="ascii"/>
          <w:sz w:val="21"/>
        </w:rPr>
        <w:t>31</w:t>
      </w:r>
      <w:r>
        <w:rPr>
          <w:rFonts w:ascii="Times New Roman" w:hAnsi="Times New Roman" w:cs="Times New Roman" w:eastAsia="Times New Roman" w:hint="ascii"/>
          <w:sz w:val="21"/>
          <w:spacing w:val="-27"/>
        </w:rPr>
        <w:t xml:space="preserve"> </w:t>
      </w:r>
      <w:r>
        <w:rPr>
          <w:rFonts w:ascii="宋体" w:hAnsi="宋体" w:cs="宋体" w:eastAsia="宋体" w:hint="ascii"/>
          <w:sz w:val="21"/>
        </w:rPr>
        <w:t>项信息与</w:t>
      </w:r>
      <w:r>
        <w:rPr>
          <w:rFonts w:ascii="宋体" w:hAnsi="宋体" w:cs="宋体" w:eastAsia="宋体" w:hint="ascii"/>
          <w:sz w:val="21"/>
          <w:spacing w:val="-4"/>
        </w:rPr>
        <w:t>数</w:t>
      </w:r>
      <w:r>
        <w:rPr>
          <w:rFonts w:ascii="宋体" w:hAnsi="宋体" w:cs="宋体" w:eastAsia="宋体" w:hint="ascii"/>
          <w:sz w:val="21"/>
        </w:rPr>
        <w:t>学领域交叉类项目</w:t>
      </w:r>
      <w:r>
        <w:rPr>
          <w:rFonts w:ascii="宋体" w:hAnsi="宋体" w:cs="宋体" w:eastAsia="宋体" w:hint="ascii"/>
          <w:sz w:val="21"/>
          <w:spacing w:val="-52"/>
        </w:rPr>
        <w:t>）</w:t>
      </w:r>
      <w:r>
        <w:rPr>
          <w:rFonts w:ascii="宋体" w:hAnsi="宋体" w:cs="宋体" w:eastAsia="宋体" w:hint="ascii"/>
          <w:sz w:val="21"/>
        </w:rPr>
        <w:t>，资助率</w:t>
      </w:r>
      <w:r>
        <w:rPr>
          <w:rFonts w:ascii="宋体" w:hAnsi="宋体" w:cs="宋体" w:eastAsia="宋体" w:hint="ascii"/>
          <w:sz w:val="21"/>
          <w:spacing w:val="26"/>
        </w:rPr>
        <w:t>为</w:t>
      </w:r>
      <w:r>
        <w:rPr>
          <w:rFonts w:ascii="Times New Roman" w:hAnsi="Times New Roman" w:cs="Times New Roman" w:eastAsia="Times New Roman" w:hint="ascii"/>
          <w:sz w:val="21"/>
        </w:rPr>
        <w:t>21.79%</w:t>
      </w:r>
      <w:r>
        <w:rPr>
          <w:rFonts w:ascii="宋体" w:hAnsi="宋体" w:cs="宋体" w:eastAsia="宋体" w:hint="ascii"/>
          <w:sz w:val="21"/>
        </w:rPr>
        <w:t>，直接费用平均资助强度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59.7</w:t>
      </w:r>
      <w:r>
        <w:rPr>
          <w:rFonts w:ascii="Times New Roman" w:hAnsi="Times New Roman" w:cs="Times New Roman" w:eastAsia="Times New Roman" w:hint="ascii"/>
          <w:sz w:val="21"/>
          <w:spacing w:val="52"/>
        </w:rPr>
        <w:t>4</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both"/>
        <w:spacing w:before="0" w:after="0" w:lineRule="exact" w:line="319"/>
        <w:ind w:right="975" w:left="966" w:firstLine="420"/>
        <w:snapToGrid w:val="0"/>
        <w:textAlignment w:val="auto"/>
        <w:tabs/>
        <w:rPr>
          <w:rFonts w:ascii="宋体" w:hAnsi="宋体" w:cs="宋体" w:eastAsia="宋体" w:hint="ascii"/>
          <w:sz w:val="21"/>
        </w:rPr>
      </w:pPr>
      <w:r>
        <w:rPr>
          <w:rFonts w:ascii="宋体" w:hAnsi="宋体" w:cs="宋体" w:eastAsia="宋体" w:hint="ascii"/>
          <w:sz w:val="21"/>
        </w:rPr>
        <w:t>值得注意的是，</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6"/>
        </w:rPr>
        <w:t xml:space="preserve"> </w:t>
      </w:r>
      <w:r>
        <w:rPr>
          <w:rFonts w:ascii="宋体" w:hAnsi="宋体" w:cs="宋体" w:eastAsia="宋体" w:hint="ascii"/>
          <w:sz w:val="21"/>
        </w:rPr>
        <w:t xml:space="preserve">年度受理的部分申请项目中仍然存在基础性不强、原创性不 </w:t>
      </w:r>
      <w:r>
        <w:rPr>
          <w:rFonts w:ascii="宋体" w:hAnsi="宋体" w:cs="宋体" w:eastAsia="宋体" w:hint="ascii"/>
          <w:sz w:val="21"/>
          <w:spacing w:val="-1"/>
        </w:rPr>
        <w:t>足、科学</w:t>
      </w:r>
      <w:r>
        <w:rPr>
          <w:rFonts w:ascii="宋体" w:hAnsi="宋体" w:cs="宋体" w:eastAsia="宋体" w:hint="ascii"/>
          <w:sz w:val="21"/>
        </w:rPr>
        <w:t>问题凝练不够、应用背景不够清晰、预期目标不够明确、前期准备工作不够充</w:t>
      </w:r>
      <w:r>
        <w:rPr>
          <w:rFonts w:ascii="宋体" w:hAnsi="宋体" w:cs="宋体" w:eastAsia="宋体" w:hint="ascii"/>
          <w:sz w:val="21"/>
          <w:spacing w:val="-1"/>
        </w:rPr>
        <w:t>分等问题</w:t>
      </w:r>
      <w:r>
        <w:rPr>
          <w:rFonts w:ascii="宋体" w:hAnsi="宋体" w:cs="宋体" w:eastAsia="宋体" w:hint="ascii"/>
          <w:sz w:val="21"/>
        </w:rPr>
        <w:t>。建议申请人紧密围绕国家需求、瞄准学科发展前沿，提炼基础性、探索性、关键性的科学问题，勇于创新、敢于突破，做出有重要影响的研究成果。</w:t>
      </w:r>
    </w:p>
    <w:p>
      <w:pPr>
        <w:autoSpaceDE w:val="0"/>
        <w:autoSpaceDN w:val="0"/>
        <w:jc w:val="left"/>
        <w:spacing w:before="274"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信息科学三处</w:t>
      </w:r>
    </w:p>
    <w:p>
      <w:pPr>
        <w:autoSpaceDE w:val="0"/>
        <w:autoSpaceDN w:val="0"/>
        <w:jc w:val="left"/>
        <w:spacing w:before="30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信息科学三处主要资助控制理论与控制工程、系统科学与系统工程、机器人学与机</w:t>
      </w:r>
    </w:p>
    <w:p>
      <w:pPr>
        <w:autoSpaceDE w:val="0"/>
        <w:autoSpaceDN w:val="0"/>
        <w:jc w:val="both"/>
        <w:spacing w:before="10" w:after="0" w:lineRule="exact" w:line="313"/>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器人技术</w:t>
      </w:r>
      <w:r>
        <w:rPr>
          <w:rFonts w:ascii="宋体" w:hAnsi="宋体" w:cs="宋体" w:eastAsia="宋体" w:hint="ascii"/>
          <w:sz w:val="21"/>
        </w:rPr>
        <w:t>和人工智能驱动的自动化等领域的基础研究、前瞻性探索研究以及面向国民经济和国家安全的应用基础研究。</w:t>
      </w:r>
    </w:p>
    <w:p>
      <w:pPr>
        <w:autoSpaceDE w:val="0"/>
        <w:autoSpaceDN w:val="0"/>
        <w:jc w:val="both"/>
        <w:spacing w:before="33" w:after="0" w:lineRule="exact" w:line="308"/>
        <w:ind w:right="975"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控制理论</w:t>
      </w:r>
      <w:r>
        <w:rPr>
          <w:rFonts w:ascii="宋体" w:hAnsi="宋体" w:cs="宋体" w:eastAsia="宋体" w:hint="ascii"/>
          <w:sz w:val="21"/>
        </w:rPr>
        <w:t>与控制工程领域主要资助范围包括：控制理论与技术、控制系统、导航制导与测控、传感技术与传感器网络、多源信息融合及应用等。</w:t>
      </w:r>
    </w:p>
    <w:p>
      <w:pPr>
        <w:autoSpaceDE w:val="0"/>
        <w:autoSpaceDN w:val="0"/>
        <w:jc w:val="left"/>
        <w:spacing w:before="3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系统科学与系统工程领域主要资助范围包括：建模理论与技术、系统仿真与评估、</w:t>
      </w:r>
    </w:p>
    <w:p>
      <w:pPr>
        <w:autoSpaceDE w:val="0"/>
        <w:autoSpaceDN w:val="0"/>
        <w:jc w:val="both"/>
        <w:spacing w:before="9" w:after="0" w:lineRule="exact" w:line="308"/>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智能制造</w:t>
      </w:r>
      <w:r>
        <w:rPr>
          <w:rFonts w:ascii="宋体" w:hAnsi="宋体" w:cs="宋体" w:eastAsia="宋体" w:hint="ascii"/>
          <w:sz w:val="21"/>
        </w:rPr>
        <w:t>系统理论与技术、系统可靠性、工程系统动态优化与调度、生物系统分析与调控等。</w:t>
      </w:r>
    </w:p>
    <w:p>
      <w:pPr>
        <w:autoSpaceDE w:val="0"/>
        <w:autoSpaceDN w:val="0"/>
        <w:jc w:val="left"/>
        <w:spacing w:before="3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机器人学与机器人技术领域主要资助范围包括：机器人环境感知与理解、机器人自</w:t>
      </w:r>
    </w:p>
    <w:p>
      <w:pPr>
        <w:autoSpaceDE w:val="0"/>
        <w:autoSpaceDN w:val="0"/>
        <w:jc w:val="left"/>
        <w:spacing w:before="46"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主控制技术、机器人仿生技术、多机器人协同控制技术等。</w:t>
      </w:r>
    </w:p>
    <w:p>
      <w:pPr>
        <w:autoSpaceDE w:val="0"/>
        <w:autoSpaceDN w:val="0"/>
        <w:jc w:val="left"/>
        <w:spacing w:before="46" w:after="0" w:lineRule="exact" w:line="263"/>
        <w:ind w:right="0" w:left="1401" w:firstLine="0"/>
        <w:snapToGrid w:val="0"/>
        <w:textAlignment w:val="auto"/>
        <w:tabs/>
        <w:rPr>
          <w:rFonts w:ascii="宋体" w:hAnsi="宋体" w:cs="宋体" w:eastAsia="宋体" w:hint="ascii"/>
          <w:sz w:val="21"/>
        </w:rPr>
      </w:pPr>
      <w:r>
        <w:rPr>
          <w:rFonts w:ascii="宋体" w:hAnsi="宋体" w:cs="宋体" w:eastAsia="宋体" w:hint="ascii"/>
          <w:sz w:val="21"/>
          <w:spacing w:val="5"/>
        </w:rPr>
        <w:t>人工智能驱动的自动化领域主要资助范围包括：机器视</w:t>
      </w:r>
      <w:r>
        <w:rPr>
          <w:rFonts w:ascii="Times New Roman" w:hAnsi="Times New Roman" w:cs="Times New Roman" w:eastAsia="Times New Roman" w:hint="ascii"/>
          <w:sz w:val="21"/>
          <w:spacing w:val="6"/>
        </w:rPr>
        <w:t>/</w:t>
      </w:r>
      <w:r>
        <w:rPr>
          <w:rFonts w:ascii="宋体" w:hAnsi="宋体" w:cs="宋体" w:eastAsia="宋体" w:hint="ascii"/>
          <w:sz w:val="21"/>
          <w:spacing w:val="5"/>
        </w:rPr>
        <w:t>听觉技术与系统、群</w:t>
      </w:r>
      <w:r>
        <w:rPr>
          <w:rFonts w:ascii="宋体" w:hAnsi="宋体" w:cs="宋体" w:eastAsia="宋体" w:hint="ascii"/>
          <w:sz w:val="21"/>
        </w:rPr>
        <w:t>体</w:t>
      </w:r>
    </w:p>
    <w:p>
      <w:pPr>
        <w:autoSpaceDE w:val="0"/>
        <w:autoSpaceDN w:val="0"/>
        <w:jc w:val="both"/>
        <w:spacing w:before="8" w:after="0" w:lineRule="exact" w:line="308"/>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4"/>
        </w:rPr>
        <w:t>智能自主</w:t>
      </w:r>
      <w:r>
        <w:rPr>
          <w:rFonts w:ascii="宋体" w:hAnsi="宋体" w:cs="宋体" w:eastAsia="宋体" w:hint="ascii"/>
          <w:sz w:val="21"/>
          <w:spacing w:val="3"/>
        </w:rPr>
        <w:t>运</w:t>
      </w:r>
      <w:r>
        <w:rPr>
          <w:rFonts w:ascii="宋体" w:hAnsi="宋体" w:cs="宋体" w:eastAsia="宋体" w:hint="ascii"/>
          <w:sz w:val="21"/>
          <w:spacing w:val="4"/>
        </w:rPr>
        <w:t>动体的协</w:t>
      </w:r>
      <w:r>
        <w:rPr>
          <w:rFonts w:ascii="宋体" w:hAnsi="宋体" w:cs="宋体" w:eastAsia="宋体" w:hint="ascii"/>
          <w:sz w:val="21"/>
          <w:spacing w:val="3"/>
        </w:rPr>
        <w:t>同</w:t>
      </w:r>
      <w:r>
        <w:rPr>
          <w:rFonts w:ascii="宋体" w:hAnsi="宋体" w:cs="宋体" w:eastAsia="宋体" w:hint="ascii"/>
          <w:sz w:val="21"/>
          <w:spacing w:val="4"/>
        </w:rPr>
        <w:t>理论与方</w:t>
      </w:r>
      <w:r>
        <w:rPr>
          <w:rFonts w:ascii="宋体" w:hAnsi="宋体" w:cs="宋体" w:eastAsia="宋体" w:hint="ascii"/>
          <w:sz w:val="21"/>
          <w:spacing w:val="3"/>
        </w:rPr>
        <w:t>法、复杂工</w:t>
      </w:r>
      <w:r>
        <w:rPr>
          <w:rFonts w:ascii="宋体" w:hAnsi="宋体" w:cs="宋体" w:eastAsia="宋体" w:hint="ascii"/>
          <w:sz w:val="21"/>
          <w:spacing w:val="2"/>
        </w:rPr>
        <w:t>业</w:t>
      </w:r>
      <w:r>
        <w:rPr>
          <w:rFonts w:ascii="宋体" w:hAnsi="宋体" w:cs="宋体" w:eastAsia="宋体" w:hint="ascii"/>
          <w:sz w:val="21"/>
          <w:spacing w:val="3"/>
        </w:rPr>
        <w:t>过程智能</w:t>
      </w:r>
      <w:r>
        <w:rPr>
          <w:rFonts w:ascii="宋体" w:hAnsi="宋体" w:cs="宋体" w:eastAsia="宋体" w:hint="ascii"/>
          <w:sz w:val="21"/>
          <w:spacing w:val="2"/>
        </w:rPr>
        <w:t>建</w:t>
      </w:r>
      <w:r>
        <w:rPr>
          <w:rFonts w:ascii="宋体" w:hAnsi="宋体" w:cs="宋体" w:eastAsia="宋体" w:hint="ascii"/>
          <w:sz w:val="21"/>
          <w:spacing w:val="3"/>
        </w:rPr>
        <w:t>模与智能</w:t>
      </w:r>
      <w:r>
        <w:rPr>
          <w:rFonts w:ascii="宋体" w:hAnsi="宋体" w:cs="宋体" w:eastAsia="宋体" w:hint="ascii"/>
          <w:sz w:val="21"/>
          <w:spacing w:val="2"/>
        </w:rPr>
        <w:t>控</w:t>
      </w:r>
      <w:r>
        <w:rPr>
          <w:rFonts w:ascii="宋体" w:hAnsi="宋体" w:cs="宋体" w:eastAsia="宋体" w:hint="ascii"/>
          <w:sz w:val="21"/>
          <w:spacing w:val="3"/>
        </w:rPr>
        <w:t>制、人机</w:t>
      </w:r>
      <w:r>
        <w:rPr>
          <w:rFonts w:ascii="宋体" w:hAnsi="宋体" w:cs="宋体" w:eastAsia="宋体" w:hint="ascii"/>
          <w:sz w:val="21"/>
          <w:spacing w:val="2"/>
        </w:rPr>
        <w:t>交</w:t>
      </w:r>
      <w:r>
        <w:rPr>
          <w:rFonts w:ascii="宋体" w:hAnsi="宋体" w:cs="宋体" w:eastAsia="宋体" w:hint="ascii"/>
          <w:sz w:val="21"/>
          <w:spacing w:val="-6"/>
        </w:rPr>
        <w:t>互</w:t>
      </w:r>
      <w:r>
        <w:rPr>
          <w:rFonts w:ascii="宋体" w:hAnsi="宋体" w:cs="宋体" w:eastAsia="宋体" w:hint="ascii"/>
          <w:sz w:val="21"/>
          <w:spacing w:val="4"/>
        </w:rPr>
        <w:t>与系统等</w:t>
      </w:r>
      <w:r>
        <w:rPr>
          <w:rFonts w:ascii="宋体" w:hAnsi="宋体" w:cs="宋体" w:eastAsia="宋体" w:hint="ascii"/>
          <w:sz w:val="21"/>
        </w:rPr>
        <w:t>。</w:t>
      </w:r>
    </w:p>
    <w:p>
      <w:pPr>
        <w:autoSpaceDE w:val="0"/>
        <w:autoSpaceDN w:val="0"/>
        <w:jc w:val="left"/>
        <w:spacing w:before="37" w:after="0" w:lineRule="auto" w:line="240"/>
        <w:ind w:right="0" w:left="1836" w:hanging="450"/>
        <w:snapToGrid w:val="0"/>
        <w:textAlignment w:val="auto"/>
        <w:tabs>
          <w:tab w:val="left" w:leader="none" w:pos="1836"/>
        </w:tabs>
        <w:numPr>
          <w:ilvl w:val="0"/>
          <w:numId w:val="98"/>
        </w:numPr>
        <w:rPr>
          <w:rFonts w:ascii="Times New Roman" w:hAnsi="Times New Roman" w:cs="Times New Roman" w:eastAsia="Times New Roman" w:hint="ascii"/>
          <w:sz w:val="21"/>
          <w:spacing w:val="1"/>
        </w:rPr>
      </w:pPr>
      <w:r>
        <w:rPr>
          <w:rFonts w:ascii="宋体" w:hAnsi="宋体" w:cs="宋体" w:eastAsia="宋体" w:hint="ascii"/>
          <w:sz w:val="21"/>
        </w:rPr>
        <w:t>年度本科学处共接收面上项目申</w:t>
      </w:r>
      <w:r>
        <w:rPr>
          <w:rFonts w:ascii="宋体" w:hAnsi="宋体" w:cs="宋体" w:eastAsia="宋体" w:hint="ascii"/>
          <w:sz w:val="21"/>
          <w:spacing w:val="15"/>
        </w:rPr>
        <w:t>请</w:t>
      </w:r>
      <w:r>
        <w:rPr>
          <w:rFonts w:ascii="Times New Roman" w:hAnsi="Times New Roman" w:cs="Times New Roman" w:eastAsia="Times New Roman" w:hint="ascii"/>
          <w:sz w:val="21"/>
        </w:rPr>
        <w:t>1 94</w:t>
      </w:r>
      <w:r>
        <w:rPr>
          <w:rFonts w:ascii="Times New Roman" w:hAnsi="Times New Roman" w:cs="Times New Roman" w:eastAsia="Times New Roman" w:hint="ascii"/>
          <w:sz w:val="21"/>
          <w:spacing w:val="53"/>
        </w:rPr>
        <w:t>8</w:t>
      </w:r>
      <w:r>
        <w:rPr>
          <w:rFonts w:ascii="宋体" w:hAnsi="宋体" w:cs="宋体" w:eastAsia="宋体" w:hint="ascii"/>
          <w:sz w:val="21"/>
        </w:rPr>
        <w:t>项，资</w:t>
      </w:r>
      <w:r>
        <w:rPr>
          <w:rFonts w:ascii="宋体" w:hAnsi="宋体" w:cs="宋体" w:eastAsia="宋体" w:hint="ascii"/>
          <w:sz w:val="21"/>
          <w:spacing w:val="15"/>
        </w:rPr>
        <w:t>助</w:t>
      </w:r>
      <w:r>
        <w:rPr>
          <w:rFonts w:ascii="Times New Roman" w:hAnsi="Times New Roman" w:cs="Times New Roman" w:eastAsia="Times New Roman" w:hint="ascii"/>
          <w:sz w:val="21"/>
        </w:rPr>
        <w:t>41</w:t>
      </w:r>
      <w:r>
        <w:rPr>
          <w:rFonts w:ascii="Times New Roman" w:hAnsi="Times New Roman" w:cs="Times New Roman" w:eastAsia="Times New Roman" w:hint="ascii"/>
          <w:sz w:val="21"/>
          <w:spacing w:val="29"/>
        </w:rPr>
        <w:t>6</w:t>
      </w:r>
      <w:r>
        <w:rPr>
          <w:rFonts w:ascii="宋体" w:hAnsi="宋体" w:cs="宋体" w:eastAsia="宋体" w:hint="ascii"/>
          <w:sz w:val="21"/>
        </w:rPr>
        <w:t>项，资助率</w:t>
      </w:r>
      <w:r>
        <w:rPr>
          <w:rFonts w:ascii="宋体" w:hAnsi="宋体" w:cs="宋体" w:eastAsia="宋体" w:hint="ascii"/>
          <w:sz w:val="21"/>
          <w:spacing w:val="15"/>
        </w:rPr>
        <w:t>为</w:t>
      </w:r>
      <w:r>
        <w:rPr>
          <w:rFonts w:ascii="Times New Roman" w:hAnsi="Times New Roman" w:cs="Times New Roman" w:eastAsia="Times New Roman" w:hint="ascii"/>
          <w:sz w:val="21"/>
        </w:rPr>
        <w:t>21.36%</w:t>
      </w:r>
      <w:r>
        <w:rPr>
          <w:rFonts w:ascii="宋体" w:hAnsi="宋体" w:cs="宋体" w:eastAsia="宋体" w:hint="ascii"/>
          <w:sz w:val="21"/>
        </w:rPr>
        <w:t>，</w:t>
      </w:r>
    </w:p>
    <w:p>
      <w:pPr>
        <w:autoSpaceDE w:val="0"/>
        <w:autoSpaceDN w:val="0"/>
        <w:jc w:val="both"/>
        <w:spacing w:before="15" w:after="0" w:lineRule="exact" w:line="308"/>
        <w:ind w:right="975" w:left="966" w:firstLine="0"/>
        <w:snapToGrid w:val="0"/>
        <w:textAlignment w:val="auto"/>
        <w:tabs/>
        <w:rPr>
          <w:rFonts w:ascii="宋体" w:hAnsi="宋体" w:cs="宋体" w:eastAsia="宋体" w:hint="ascii"/>
          <w:sz w:val="21"/>
        </w:rPr>
      </w:pPr>
      <w:r>
        <w:rPr>
          <w:rFonts w:ascii="宋体" w:hAnsi="宋体" w:cs="宋体" w:eastAsia="宋体" w:hint="ascii"/>
          <w:sz w:val="21"/>
        </w:rPr>
        <w:t>直接费用平均资助强度</w:t>
      </w:r>
      <w:r>
        <w:rPr>
          <w:rFonts w:ascii="宋体" w:hAnsi="宋体" w:cs="宋体" w:eastAsia="宋体" w:hint="ascii"/>
          <w:sz w:val="21"/>
          <w:spacing w:val="13"/>
        </w:rPr>
        <w:t>为</w:t>
      </w:r>
      <w:r>
        <w:rPr>
          <w:rFonts w:ascii="Times New Roman" w:hAnsi="Times New Roman" w:cs="Times New Roman" w:eastAsia="Times New Roman" w:hint="ascii"/>
          <w:sz w:val="21"/>
        </w:rPr>
        <w:t>58.8</w:t>
      </w:r>
      <w:r>
        <w:rPr>
          <w:rFonts w:ascii="Times New Roman" w:hAnsi="Times New Roman" w:cs="Times New Roman" w:eastAsia="Times New Roman" w:hint="ascii"/>
          <w:sz w:val="21"/>
          <w:spacing w:val="28"/>
        </w:rPr>
        <w:t>9</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项；部分资助项目的研究内容涉及信息与数学交叉领域。</w:t>
      </w:r>
    </w:p>
    <w:p>
      <w:pPr>
        <w:autoSpaceDE w:val="0"/>
        <w:autoSpaceDN w:val="0"/>
        <w:jc w:val="both"/>
        <w:spacing w:before="0" w:after="0" w:lineRule="exact" w:line="307"/>
        <w:ind w:right="975" w:left="966" w:firstLine="420"/>
        <w:snapToGrid w:val="0"/>
        <w:textAlignment w:val="auto"/>
        <w:tabs/>
        <w:rPr>
          <w:rFonts w:ascii="宋体" w:hAnsi="宋体" w:cs="宋体" w:eastAsia="宋体" w:hint="ascii"/>
          <w:sz w:val="21"/>
        </w:rPr>
      </w:pPr>
      <w:r>
        <w:rPr>
          <w:rFonts w:ascii="宋体" w:hAnsi="宋体" w:cs="宋体" w:eastAsia="宋体" w:hint="ascii"/>
          <w:sz w:val="21"/>
        </w:rPr>
        <w:t>近年来的统计表明，下述领域申请量较大，成为研究的热点：故障诊断与容错</w:t>
      </w:r>
      <w:r>
        <w:rPr>
          <w:rFonts w:ascii="宋体" w:hAnsi="宋体" w:cs="宋体" w:eastAsia="宋体" w:hint="ascii"/>
          <w:sz w:val="21"/>
          <w:spacing w:val="-6"/>
        </w:rPr>
        <w:t>控</w:t>
      </w:r>
      <w:r>
        <w:rPr>
          <w:rFonts w:ascii="宋体" w:hAnsi="宋体" w:cs="宋体" w:eastAsia="宋体" w:hint="ascii"/>
          <w:sz w:val="21"/>
        </w:rPr>
        <w:t xml:space="preserve"> </w:t>
      </w:r>
      <w:r>
        <w:rPr>
          <w:rFonts w:ascii="宋体" w:hAnsi="宋体" w:cs="宋体" w:eastAsia="宋体" w:hint="ascii"/>
          <w:sz w:val="21"/>
          <w:spacing w:val="-1"/>
        </w:rPr>
        <w:t>制；网络</w:t>
      </w:r>
      <w:r>
        <w:rPr>
          <w:rFonts w:ascii="宋体" w:hAnsi="宋体" w:cs="宋体" w:eastAsia="宋体" w:hint="ascii"/>
          <w:sz w:val="21"/>
        </w:rPr>
        <w:t>化系统分析与控制；多智能体系统分析与控制；复杂网络理论及应用；智能交通系统等。</w:t>
      </w:r>
    </w:p>
    <w:p>
      <w:pPr>
        <w:autoSpaceDE w:val="0"/>
        <w:autoSpaceDN w:val="0"/>
        <w:jc w:val="left"/>
        <w:spacing w:before="3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本科学处积极支持微纳尺度系统的建模、分析与操控，高超声速飞行器的建模、分</w:t>
      </w:r>
    </w:p>
    <w:p>
      <w:pPr>
        <w:autoSpaceDE w:val="0"/>
        <w:autoSpaceDN w:val="0"/>
        <w:jc w:val="both"/>
        <w:spacing w:before="8" w:after="0" w:lineRule="exact" w:line="308"/>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析与控制</w:t>
      </w:r>
      <w:r>
        <w:rPr>
          <w:rFonts w:ascii="宋体" w:hAnsi="宋体" w:cs="宋体" w:eastAsia="宋体" w:hint="ascii"/>
          <w:sz w:val="21"/>
        </w:rPr>
        <w:t>，复杂工业过程优化、决策与控制一体化，社会网络行为分析与调控，深空与</w:t>
      </w:r>
      <w:r>
        <w:rPr>
          <w:rFonts w:ascii="宋体" w:hAnsi="宋体" w:cs="宋体" w:eastAsia="宋体" w:hint="ascii"/>
          <w:sz w:val="21"/>
          <w:spacing w:val="-1"/>
        </w:rPr>
        <w:t>深海探测</w:t>
      </w:r>
      <w:r>
        <w:rPr>
          <w:rFonts w:ascii="宋体" w:hAnsi="宋体" w:cs="宋体" w:eastAsia="宋体" w:hint="ascii"/>
          <w:sz w:val="21"/>
        </w:rPr>
        <w:t>中的导航、制导与控制，新能源控制、管理与高效利用，智慧医疗、智慧城市</w:t>
      </w:r>
      <w:r>
        <w:rPr>
          <w:rFonts w:ascii="宋体" w:hAnsi="宋体" w:cs="宋体" w:eastAsia="宋体" w:hint="ascii"/>
          <w:sz w:val="21"/>
          <w:spacing w:val="-1"/>
        </w:rPr>
        <w:t>以及农业</w:t>
      </w:r>
      <w:r>
        <w:rPr>
          <w:rFonts w:ascii="宋体" w:hAnsi="宋体" w:cs="宋体" w:eastAsia="宋体" w:hint="ascii"/>
          <w:sz w:val="21"/>
        </w:rPr>
        <w:t>信息化等领域的前瞻性与跨学科研究。鼓励申请知识自动化系统理论及应用、</w:t>
      </w:r>
      <w:r>
        <w:rPr>
          <w:rFonts w:ascii="宋体" w:hAnsi="宋体" w:cs="宋体" w:eastAsia="宋体" w:hint="ascii"/>
          <w:sz w:val="21"/>
          <w:spacing w:val="-1"/>
        </w:rPr>
        <w:t>工业网络</w:t>
      </w:r>
      <w:r>
        <w:rPr>
          <w:rFonts w:ascii="宋体" w:hAnsi="宋体" w:cs="宋体" w:eastAsia="宋体" w:hint="ascii"/>
          <w:sz w:val="21"/>
        </w:rPr>
        <w:t>安全防护理论与应用、生产过程监控理论与方法、量子系统分析与调控、多目</w:t>
      </w:r>
      <w:r>
        <w:rPr>
          <w:rFonts w:ascii="宋体" w:hAnsi="宋体" w:cs="宋体" w:eastAsia="宋体" w:hint="ascii"/>
          <w:sz w:val="21"/>
          <w:spacing w:val="-1"/>
        </w:rPr>
        <w:t>标动态优</w:t>
      </w:r>
      <w:r>
        <w:rPr>
          <w:rFonts w:ascii="宋体" w:hAnsi="宋体" w:cs="宋体" w:eastAsia="宋体" w:hint="ascii"/>
          <w:sz w:val="21"/>
        </w:rPr>
        <w:t>化理论及应用、量子导航理论与技术、仿生感知方法与装置、仿生机器人、微</w:t>
      </w:r>
      <w:r>
        <w:rPr>
          <w:rFonts w:ascii="宋体" w:hAnsi="宋体" w:cs="宋体" w:eastAsia="宋体" w:hint="ascii"/>
          <w:sz w:val="21"/>
          <w:spacing w:val="-1"/>
        </w:rPr>
        <w:t>纳机器人</w:t>
      </w:r>
      <w:r>
        <w:rPr>
          <w:rFonts w:ascii="宋体" w:hAnsi="宋体" w:cs="宋体" w:eastAsia="宋体" w:hint="ascii"/>
          <w:sz w:val="21"/>
        </w:rPr>
        <w:t>、制造流程智能化理论与技术、多模态人机交互与系统等相关领域的创新性研究项目。</w:t>
      </w:r>
    </w:p>
    <w:p>
      <w:pPr>
        <w:autoSpaceDE w:val="0"/>
        <w:autoSpaceDN w:val="0"/>
        <w:jc w:val="left"/>
        <w:spacing w:before="34" w:after="0" w:lineRule="auto" w:line="240"/>
        <w:ind w:right="0" w:left="1836" w:hanging="450"/>
        <w:snapToGrid w:val="0"/>
        <w:textAlignment w:val="auto"/>
        <w:tabs>
          <w:tab w:val="left" w:leader="none" w:pos="1843"/>
        </w:tabs>
        <w:numPr>
          <w:ilvl w:val="0"/>
          <w:numId w:val="98"/>
        </w:numPr>
        <w:rPr>
          <w:rFonts w:ascii="Times New Roman" w:hAnsi="Times New Roman" w:cs="Times New Roman" w:eastAsia="Times New Roman" w:hint="ascii"/>
          <w:sz w:val="21"/>
          <w:spacing w:val="1"/>
        </w:rPr>
      </w:pPr>
      <w:r>
        <w:rPr>
          <w:rFonts w:ascii="宋体" w:hAnsi="宋体" w:cs="宋体" w:eastAsia="宋体" w:hint="ascii"/>
          <w:sz w:val="21"/>
          <w:spacing w:val="3"/>
        </w:rPr>
        <w:t>年</w:t>
      </w:r>
      <w:r>
        <w:rPr>
          <w:rFonts w:ascii="宋体" w:hAnsi="宋体" w:cs="宋体" w:eastAsia="宋体" w:hint="ascii"/>
          <w:sz w:val="21"/>
        </w:rPr>
        <w:t>度本</w:t>
      </w:r>
      <w:r>
        <w:rPr>
          <w:rFonts w:ascii="宋体" w:hAnsi="宋体" w:cs="宋体" w:eastAsia="宋体" w:hint="ascii"/>
          <w:sz w:val="21"/>
          <w:spacing w:val="3"/>
        </w:rPr>
        <w:t>科学</w:t>
      </w:r>
      <w:r>
        <w:rPr>
          <w:rFonts w:ascii="宋体" w:hAnsi="宋体" w:cs="宋体" w:eastAsia="宋体" w:hint="ascii"/>
          <w:sz w:val="21"/>
        </w:rPr>
        <w:t>处</w:t>
      </w:r>
      <w:r>
        <w:rPr>
          <w:rFonts w:ascii="宋体" w:hAnsi="宋体" w:cs="宋体" w:eastAsia="宋体" w:hint="ascii"/>
          <w:sz w:val="21"/>
          <w:spacing w:val="3"/>
        </w:rPr>
        <w:t>将</w:t>
      </w:r>
      <w:r>
        <w:rPr>
          <w:rFonts w:ascii="宋体" w:hAnsi="宋体" w:cs="宋体" w:eastAsia="宋体" w:hint="ascii"/>
          <w:sz w:val="21"/>
        </w:rPr>
        <w:t>继</w:t>
      </w:r>
      <w:r>
        <w:rPr>
          <w:rFonts w:ascii="宋体" w:hAnsi="宋体" w:cs="宋体" w:eastAsia="宋体" w:hint="ascii"/>
          <w:sz w:val="21"/>
          <w:spacing w:val="3"/>
        </w:rPr>
        <w:t>续鼓</w:t>
      </w:r>
      <w:r>
        <w:rPr>
          <w:rFonts w:ascii="宋体" w:hAnsi="宋体" w:cs="宋体" w:eastAsia="宋体" w:hint="ascii"/>
          <w:sz w:val="21"/>
        </w:rPr>
        <w:t>励</w:t>
      </w:r>
      <w:r>
        <w:rPr>
          <w:rFonts w:ascii="宋体" w:hAnsi="宋体" w:cs="宋体" w:eastAsia="宋体" w:hint="ascii"/>
          <w:sz w:val="21"/>
          <w:spacing w:val="3"/>
        </w:rPr>
        <w:t>支</w:t>
      </w:r>
      <w:r>
        <w:rPr>
          <w:rFonts w:ascii="宋体" w:hAnsi="宋体" w:cs="宋体" w:eastAsia="宋体" w:hint="ascii"/>
          <w:sz w:val="21"/>
        </w:rPr>
        <w:t>持</w:t>
      </w:r>
      <w:r>
        <w:rPr>
          <w:rFonts w:ascii="宋体" w:hAnsi="宋体" w:cs="宋体" w:eastAsia="宋体" w:hint="ascii"/>
          <w:sz w:val="21"/>
          <w:spacing w:val="3"/>
        </w:rPr>
        <w:t>与数</w:t>
      </w:r>
      <w:r>
        <w:rPr>
          <w:rFonts w:ascii="宋体" w:hAnsi="宋体" w:cs="宋体" w:eastAsia="宋体" w:hint="ascii"/>
          <w:sz w:val="21"/>
        </w:rPr>
        <w:t>学</w:t>
      </w:r>
      <w:r>
        <w:rPr>
          <w:rFonts w:ascii="宋体" w:hAnsi="宋体" w:cs="宋体" w:eastAsia="宋体" w:hint="ascii"/>
          <w:sz w:val="21"/>
          <w:spacing w:val="3"/>
        </w:rPr>
        <w:t>、</w:t>
      </w:r>
      <w:r>
        <w:rPr>
          <w:rFonts w:ascii="宋体" w:hAnsi="宋体" w:cs="宋体" w:eastAsia="宋体" w:hint="ascii"/>
          <w:sz w:val="21"/>
        </w:rPr>
        <w:t>力</w:t>
      </w:r>
      <w:r>
        <w:rPr>
          <w:rFonts w:ascii="宋体" w:hAnsi="宋体" w:cs="宋体" w:eastAsia="宋体" w:hint="ascii"/>
          <w:sz w:val="21"/>
          <w:spacing w:val="3"/>
        </w:rPr>
        <w:t>学、</w:t>
      </w:r>
      <w:r>
        <w:rPr>
          <w:rFonts w:ascii="宋体" w:hAnsi="宋体" w:cs="宋体" w:eastAsia="宋体" w:hint="ascii"/>
          <w:sz w:val="21"/>
        </w:rPr>
        <w:t>机</w:t>
      </w:r>
      <w:r>
        <w:rPr>
          <w:rFonts w:ascii="宋体" w:hAnsi="宋体" w:cs="宋体" w:eastAsia="宋体" w:hint="ascii"/>
          <w:sz w:val="21"/>
          <w:spacing w:val="3"/>
        </w:rPr>
        <w:t>械</w:t>
      </w:r>
      <w:r>
        <w:rPr>
          <w:rFonts w:ascii="宋体" w:hAnsi="宋体" w:cs="宋体" w:eastAsia="宋体" w:hint="ascii"/>
          <w:sz w:val="21"/>
        </w:rPr>
        <w:t>、</w:t>
      </w:r>
      <w:r>
        <w:rPr>
          <w:rFonts w:ascii="宋体" w:hAnsi="宋体" w:cs="宋体" w:eastAsia="宋体" w:hint="ascii"/>
          <w:sz w:val="21"/>
          <w:spacing w:val="3"/>
        </w:rPr>
        <w:t>半导</w:t>
      </w:r>
      <w:r>
        <w:rPr>
          <w:rFonts w:ascii="宋体" w:hAnsi="宋体" w:cs="宋体" w:eastAsia="宋体" w:hint="ascii"/>
          <w:sz w:val="21"/>
        </w:rPr>
        <w:t>体</w:t>
      </w:r>
      <w:r>
        <w:rPr>
          <w:rFonts w:ascii="宋体" w:hAnsi="宋体" w:cs="宋体" w:eastAsia="宋体" w:hint="ascii"/>
          <w:sz w:val="21"/>
          <w:spacing w:val="3"/>
        </w:rPr>
        <w:t>、</w:t>
      </w:r>
      <w:r>
        <w:rPr>
          <w:rFonts w:ascii="宋体" w:hAnsi="宋体" w:cs="宋体" w:eastAsia="宋体" w:hint="ascii"/>
          <w:sz w:val="21"/>
        </w:rPr>
        <w:t>光</w:t>
      </w:r>
      <w:r>
        <w:rPr>
          <w:rFonts w:ascii="宋体" w:hAnsi="宋体" w:cs="宋体" w:eastAsia="宋体" w:hint="ascii"/>
          <w:sz w:val="21"/>
          <w:spacing w:val="3"/>
        </w:rPr>
        <w:t>学、</w:t>
      </w:r>
      <w:r>
        <w:rPr>
          <w:rFonts w:ascii="宋体" w:hAnsi="宋体" w:cs="宋体" w:eastAsia="宋体" w:hint="ascii"/>
          <w:sz w:val="21"/>
        </w:rPr>
        <w:t>能</w:t>
      </w:r>
      <w:r>
        <w:rPr>
          <w:rFonts w:ascii="宋体" w:hAnsi="宋体" w:cs="宋体" w:eastAsia="宋体" w:hint="ascii"/>
          <w:sz w:val="21"/>
          <w:spacing w:val="3"/>
        </w:rPr>
        <w:t>源</w:t>
      </w:r>
      <w:r>
        <w:rPr>
          <w:rFonts w:ascii="宋体" w:hAnsi="宋体" w:cs="宋体" w:eastAsia="宋体" w:hint="ascii"/>
          <w:sz w:val="21"/>
        </w:rPr>
        <w:t>、</w:t>
      </w:r>
    </w:p>
    <w:p>
      <w:pPr>
        <w:autoSpaceDE w:val="0"/>
        <w:autoSpaceDN w:val="0"/>
        <w:jc w:val="left"/>
        <w:spacing w:before="53"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环境、管理、经济、生物、医学、神经与脑科学等学科领域的交叉研究。</w:t>
      </w:r>
    </w:p>
    <w:p>
      <w:pPr>
        <w:autoSpaceDE w:val="0"/>
        <w:autoSpaceDN w:val="0"/>
        <w:jc w:val="left"/>
        <w:spacing w:before="335"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97" w:after="0" w:lineRule="auto" w:line="240"/>
        <w:ind w:right="0" w:left="966" w:firstLine="420"/>
        <w:snapToGrid w:val="0"/>
        <w:textAlignment w:val="auto"/>
        <w:tabs>
          <w:tab w:val="left" w:leader="none" w:pos="1862"/>
        </w:tabs>
        <w:numPr>
          <w:ilvl w:val="0"/>
          <w:numId w:val="97"/>
        </w:numPr>
        <w:rPr>
          <w:rFonts w:ascii="Times New Roman" w:hAnsi="Times New Roman" w:cs="Times New Roman" w:eastAsia="Times New Roman" w:hint="ascii"/>
          <w:sz w:val="21"/>
          <w:spacing w:val="1"/>
        </w:rPr>
      </w:pPr>
      <w:r>
        <w:rPr>
          <w:rFonts w:ascii="宋体" w:hAnsi="宋体" w:cs="宋体" w:eastAsia="宋体" w:hint="ascii"/>
          <w:sz w:val="21"/>
          <w:spacing w:val="3"/>
        </w:rPr>
        <w:t>年度本科学处资</w:t>
      </w:r>
      <w:r>
        <w:rPr>
          <w:rFonts w:ascii="宋体" w:hAnsi="宋体" w:cs="宋体" w:eastAsia="宋体" w:hint="ascii"/>
          <w:sz w:val="21"/>
        </w:rPr>
        <w:t>助</w:t>
      </w:r>
      <w:r>
        <w:rPr>
          <w:rFonts w:ascii="宋体" w:hAnsi="宋体" w:cs="宋体" w:eastAsia="宋体" w:hint="ascii"/>
          <w:sz w:val="21"/>
          <w:spacing w:val="3"/>
        </w:rPr>
        <w:t>范围新增</w:t>
      </w:r>
      <w:r>
        <w:rPr>
          <w:rFonts w:ascii="宋体" w:hAnsi="宋体" w:cs="宋体" w:eastAsia="宋体" w:hint="ascii"/>
          <w:sz w:val="21"/>
        </w:rPr>
        <w:t>人</w:t>
      </w:r>
      <w:r>
        <w:rPr>
          <w:rFonts w:ascii="宋体" w:hAnsi="宋体" w:cs="宋体" w:eastAsia="宋体" w:hint="ascii"/>
          <w:sz w:val="21"/>
          <w:spacing w:val="3"/>
        </w:rPr>
        <w:t>工智能（</w:t>
      </w:r>
      <w:r>
        <w:rPr>
          <w:rFonts w:ascii="宋体" w:hAnsi="宋体" w:cs="宋体" w:eastAsia="宋体" w:hint="ascii"/>
          <w:sz w:val="21"/>
        </w:rPr>
        <w:t>申</w:t>
      </w:r>
      <w:r>
        <w:rPr>
          <w:rFonts w:ascii="宋体" w:hAnsi="宋体" w:cs="宋体" w:eastAsia="宋体" w:hint="ascii"/>
          <w:sz w:val="21"/>
          <w:spacing w:val="3"/>
        </w:rPr>
        <w:t>请代</w:t>
      </w:r>
      <w:r>
        <w:rPr>
          <w:rFonts w:ascii="宋体" w:hAnsi="宋体" w:cs="宋体" w:eastAsia="宋体" w:hint="ascii"/>
          <w:sz w:val="21"/>
        </w:rPr>
        <w:t>码</w:t>
      </w:r>
      <w:r>
        <w:rPr>
          <w:rFonts w:ascii="宋体" w:hAnsi="宋体" w:cs="宋体" w:eastAsia="宋体" w:hint="ascii"/>
          <w:sz w:val="21"/>
          <w:spacing w:val="-20"/>
        </w:rPr>
        <w:t xml:space="preserve"> </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5"/>
        </w:rPr>
        <w:t>6</w:t>
      </w:r>
      <w:r>
        <w:rPr>
          <w:rFonts w:ascii="宋体" w:hAnsi="宋体" w:cs="宋体" w:eastAsia="宋体" w:hint="ascii"/>
          <w:sz w:val="21"/>
          <w:spacing w:val="3"/>
        </w:rPr>
        <w:t>）和交叉</w:t>
      </w:r>
      <w:r>
        <w:rPr>
          <w:rFonts w:ascii="宋体" w:hAnsi="宋体" w:cs="宋体" w:eastAsia="宋体" w:hint="ascii"/>
          <w:sz w:val="21"/>
        </w:rPr>
        <w:t>学</w:t>
      </w:r>
      <w:r>
        <w:rPr>
          <w:rFonts w:ascii="宋体" w:hAnsi="宋体" w:cs="宋体" w:eastAsia="宋体" w:hint="ascii"/>
          <w:sz w:val="21"/>
          <w:spacing w:val="3"/>
        </w:rPr>
        <w:t>科中的信</w:t>
      </w:r>
      <w:r>
        <w:rPr>
          <w:rFonts w:ascii="宋体" w:hAnsi="宋体" w:cs="宋体" w:eastAsia="宋体" w:hint="ascii"/>
          <w:sz w:val="21"/>
        </w:rPr>
        <w:t>息</w:t>
      </w:r>
      <w:r>
        <w:rPr>
          <w:rFonts w:ascii="宋体" w:hAnsi="宋体" w:cs="宋体" w:eastAsia="宋体" w:hint="ascii"/>
          <w:sz w:val="21"/>
        </w:rPr>
        <mc:AlternateContent>
          <mc:Choice Requires="wps">
            <w:drawing>
              <wp:anchor distL="0" distR="0" distT="0" distB="0" simplePos="0" behindDoc="1" relativeHeight="116" locked="0" layoutInCell="1" allowOverlap="1">
                <wp:simplePos x="0" y="0"/>
                <wp:positionH relativeFrom="page">
                  <wp:posOffset>938530</wp:posOffset>
                </wp:positionH>
                <wp:positionV relativeFrom="page">
                  <wp:posOffset>819150</wp:posOffset>
                </wp:positionV>
                <wp:extent cx="5076190" cy="0"/>
                <wp:wrapNone/>
                <wp:docPr id="1145" name="114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39456;width:399.70pt;" id="114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7" w:after="0" w:lineRule="exact" w:line="320"/>
        <w:ind w:right="979" w:left="966" w:firstLine="0"/>
        <w:snapToGrid w:val="0"/>
        <w:textAlignment w:val="auto"/>
        <w:tabs/>
        <w:rPr>
          <w:rFonts w:ascii="宋体" w:hAnsi="宋体" w:cs="宋体" w:eastAsia="宋体" w:hint="ascii"/>
          <w:sz w:val="21"/>
        </w:rPr>
      </w:pPr>
      <w:r>
        <w:rPr>
          <w:rFonts w:ascii="宋体" w:hAnsi="宋体" w:cs="宋体" w:eastAsia="宋体" w:hint="ascii"/>
          <w:sz w:val="21"/>
        </w:rPr>
        <w:t>科学（申请代码</w:t>
      </w:r>
      <w:r>
        <w:rPr>
          <w:rFonts w:ascii="宋体" w:hAnsi="宋体" w:cs="宋体" w:eastAsia="宋体" w:hint="ascii"/>
          <w:sz w:val="21"/>
          <w:spacing w:val="-24"/>
        </w:rPr>
        <w:t xml:space="preserve"> </w:t>
      </w:r>
      <w:r>
        <w:rPr>
          <w:rFonts w:ascii="Times New Roman" w:hAnsi="Times New Roman" w:cs="Times New Roman" w:eastAsia="Times New Roman" w:hint="ascii"/>
          <w:b w:val="1"/>
          <w:sz w:val="21"/>
        </w:rPr>
        <w:t>F07</w:t>
      </w:r>
      <w:r>
        <w:rPr>
          <w:rFonts w:ascii="宋体" w:hAnsi="宋体" w:cs="宋体" w:eastAsia="宋体" w:hint="ascii"/>
          <w:sz w:val="21"/>
          <w:spacing w:val="-52"/>
        </w:rPr>
        <w:t>）</w:t>
      </w:r>
      <w:r>
        <w:rPr>
          <w:rFonts w:ascii="宋体" w:hAnsi="宋体" w:cs="宋体" w:eastAsia="宋体" w:hint="ascii"/>
          <w:sz w:val="21"/>
        </w:rPr>
        <w:t>。主要资助人工智能领域及交叉学科中的信息科学基础理论、基本方法和关键技术研究项目。</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人工智能（申请代</w:t>
      </w:r>
      <w:r>
        <w:rPr>
          <w:rFonts w:ascii="宋体" w:hAnsi="宋体" w:cs="宋体" w:eastAsia="宋体" w:hint="ascii"/>
          <w:spacing w:val="30"/>
        </w:rPr>
        <w:t>码</w:t>
      </w:r>
      <w:r>
        <w:rPr>
          <w:rFonts w:ascii="Times New Roman" w:hAnsi="Times New Roman" w:cs="Times New Roman" w:eastAsia="Times New Roman" w:hint="ascii"/>
          <w:b w:val="1"/>
        </w:rPr>
        <w:t>F06</w:t>
      </w:r>
      <w:r>
        <w:rPr>
          <w:rFonts w:ascii="宋体" w:hAnsi="宋体" w:cs="宋体" w:eastAsia="宋体" w:hint="ascii"/>
        </w:rPr>
        <w:t>）</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为了推动我国人工智能基础研究，促进人工智能理论及关键技术的发展，培养人工</w:t>
      </w:r>
    </w:p>
    <w:p>
      <w:pPr>
        <w:autoSpaceDE w:val="0"/>
        <w:autoSpaceDN w:val="0"/>
        <w:jc w:val="both"/>
        <w:spacing w:before="13" w:after="0" w:lineRule="exact" w:line="319"/>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智能创新研究队伍，信息科学部设立人工智能代码</w:t>
      </w:r>
      <w:r>
        <w:rPr>
          <w:rFonts w:ascii="宋体" w:hAnsi="宋体" w:cs="宋体" w:eastAsia="宋体" w:hint="ascii"/>
          <w:sz w:val="21"/>
          <w:spacing w:val="-26"/>
        </w:rPr>
        <w:t xml:space="preserve"> </w:t>
      </w:r>
      <w:r>
        <w:rPr>
          <w:rFonts w:ascii="Times New Roman" w:hAnsi="Times New Roman" w:cs="Times New Roman" w:eastAsia="Times New Roman" w:hint="ascii"/>
          <w:sz w:val="21"/>
        </w:rPr>
        <w:t>F06</w:t>
      </w:r>
      <w:r>
        <w:rPr>
          <w:rFonts w:ascii="宋体" w:hAnsi="宋体" w:cs="宋体" w:eastAsia="宋体" w:hint="ascii"/>
          <w:sz w:val="21"/>
        </w:rPr>
        <w:t>，以便集中受理人工智能领域及相关交叉学科领域的基础理论、基本方法和关键技术研究项目。</w: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本领域强调围绕人工智能领域的核心科学问题与关键技术，进行原创性、基础性、</w:t>
      </w:r>
    </w:p>
    <w:p>
      <w:pPr>
        <w:autoSpaceDE w:val="0"/>
        <w:autoSpaceDN w:val="0"/>
        <w:jc w:val="both"/>
        <w:spacing w:before="13"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前瞻性和交叉</w:t>
      </w:r>
      <w:r>
        <w:rPr>
          <w:rFonts w:ascii="宋体" w:hAnsi="宋体" w:cs="宋体" w:eastAsia="宋体" w:hint="ascii"/>
          <w:sz w:val="21"/>
        </w:rPr>
        <w:t>性研究；鼓励在人工智能基础、机器学习、机器感知与模式识别、自然语</w:t>
      </w:r>
      <w:r>
        <w:rPr>
          <w:rFonts w:ascii="宋体" w:hAnsi="宋体" w:cs="宋体" w:eastAsia="宋体" w:hint="ascii"/>
          <w:sz w:val="21"/>
          <w:spacing w:val="-1"/>
        </w:rPr>
        <w:t>言处理、知识</w:t>
      </w:r>
      <w:r>
        <w:rPr>
          <w:rFonts w:ascii="宋体" w:hAnsi="宋体" w:cs="宋体" w:eastAsia="宋体" w:hint="ascii"/>
          <w:sz w:val="21"/>
        </w:rPr>
        <w:t>表示与处理、智能系统与应用、认知与神经科学启发的人工智能等方向的理论与方法研究。</w:t>
      </w:r>
    </w:p>
    <w:p>
      <w:pPr>
        <w:autoSpaceDE w:val="0"/>
        <w:autoSpaceDN w:val="0"/>
        <w:jc w:val="left"/>
        <w:spacing w:before="4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支持人工智能领域的科研人员与其他自然科学、人文社会科学等领域的研究人员密</w:t>
      </w:r>
    </w:p>
    <w:p>
      <w:pPr>
        <w:autoSpaceDE w:val="0"/>
        <w:autoSpaceDN w:val="0"/>
        <w:jc w:val="both"/>
        <w:spacing w:before="10"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切合作，共同探索学</w:t>
      </w:r>
      <w:r>
        <w:rPr>
          <w:rFonts w:ascii="宋体" w:hAnsi="宋体" w:cs="宋体" w:eastAsia="宋体" w:hint="ascii"/>
          <w:sz w:val="21"/>
        </w:rPr>
        <w:t>科交叉领域中的新概念、新理论、新方法和新技术，构建原型</w:t>
      </w:r>
      <w:r>
        <w:rPr>
          <w:rFonts w:ascii="宋体" w:hAnsi="宋体" w:cs="宋体" w:eastAsia="宋体" w:hint="ascii"/>
          <w:sz w:val="21"/>
          <w:spacing w:val="-6"/>
        </w:rPr>
        <w:t>系</w:t>
      </w:r>
      <w:r>
        <w:rPr>
          <w:rFonts w:ascii="宋体" w:hAnsi="宋体" w:cs="宋体" w:eastAsia="宋体" w:hint="ascii"/>
          <w:sz w:val="21"/>
          <w:spacing w:val="-1"/>
        </w:rPr>
        <w:t>统，促进人</w:t>
      </w:r>
      <w:r>
        <w:rPr>
          <w:rFonts w:ascii="宋体" w:hAnsi="宋体" w:cs="宋体" w:eastAsia="宋体" w:hint="ascii"/>
          <w:sz w:val="21"/>
        </w:rPr>
        <w:t>工智能学科与其他相关科学领域的共同发展。还特别鼓励和支持科研人员研究解决国际公认难度大、有重大影响、探索性强的基础性问题。</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交叉学科中的信息科学（申请代</w:t>
      </w:r>
      <w:r>
        <w:rPr>
          <w:rFonts w:ascii="宋体" w:hAnsi="宋体" w:cs="宋体" w:eastAsia="宋体" w:hint="ascii"/>
          <w:spacing w:val="30"/>
        </w:rPr>
        <w:t>码</w:t>
      </w:r>
      <w:r>
        <w:rPr>
          <w:rFonts w:ascii="Times New Roman" w:hAnsi="Times New Roman" w:cs="Times New Roman" w:eastAsia="Times New Roman" w:hint="ascii"/>
          <w:b w:val="1"/>
        </w:rPr>
        <w:t>F07</w:t>
      </w:r>
      <w:r>
        <w:rPr>
          <w:rFonts w:ascii="宋体" w:hAnsi="宋体" w:cs="宋体" w:eastAsia="宋体" w:hint="ascii"/>
        </w:rPr>
        <w:t>）</w:t>
      </w:r>
    </w:p>
    <w:p>
      <w:pPr>
        <w:autoSpaceDE w:val="0"/>
        <w:autoSpaceDN w:val="0"/>
        <w:jc w:val="left"/>
        <w:spacing w:before="20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为推动信息科学与其他学科的交叉研究，促进信息科学与其他学科交叉与融合，培</w:t>
      </w:r>
    </w:p>
    <w:p>
      <w:pPr>
        <w:autoSpaceDE w:val="0"/>
        <w:autoSpaceDN w:val="0"/>
        <w:jc w:val="left"/>
        <w:spacing w:before="10"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养信息科学与其他学科交叉的研究队伍，信息科学部设立交叉学科中的信息科学申请代</w:t>
      </w:r>
      <w:r>
        <w:rPr>
          <w:rFonts w:ascii="宋体" w:hAnsi="宋体" w:cs="宋体" w:eastAsia="宋体" w:hint="ascii"/>
          <w:sz w:val="21"/>
          <w:spacing w:val="-2"/>
        </w:rPr>
        <w:t>码</w:t>
      </w:r>
      <w:r>
        <w:rPr>
          <w:rFonts w:ascii="宋体" w:hAnsi="宋体" w:cs="宋体" w:eastAsia="宋体" w:hint="ascii"/>
          <w:sz w:val="21"/>
          <w:spacing w:val="-7"/>
        </w:rPr>
        <w:t xml:space="preserve"> </w:t>
      </w:r>
      <w:r>
        <w:rPr>
          <w:rFonts w:ascii="Times New Roman" w:hAnsi="Times New Roman" w:cs="Times New Roman" w:eastAsia="Times New Roman" w:hint="ascii"/>
          <w:sz w:val="21"/>
          <w:spacing w:val="-2"/>
        </w:rPr>
        <w:t>F07</w:t>
      </w:r>
      <w:r>
        <w:rPr>
          <w:rFonts w:ascii="宋体" w:hAnsi="宋体" w:cs="宋体" w:eastAsia="宋体" w:hint="ascii"/>
          <w:sz w:val="21"/>
          <w:spacing w:val="-2"/>
        </w:rPr>
        <w:t>，集中受理信息科学</w:t>
      </w:r>
      <w:r>
        <w:rPr>
          <w:rFonts w:ascii="宋体" w:hAnsi="宋体" w:cs="宋体" w:eastAsia="宋体" w:hint="ascii"/>
          <w:sz w:val="21"/>
          <w:spacing w:val="-1"/>
        </w:rPr>
        <w:t>与其他相关学科交叉领域的基础理论、基本方法和关键技术</w:t>
      </w:r>
      <w:r>
        <w:rPr>
          <w:rFonts w:ascii="宋体" w:hAnsi="宋体" w:cs="宋体" w:eastAsia="宋体" w:hint="ascii"/>
          <w:sz w:val="21"/>
        </w:rPr>
        <w:t xml:space="preserve"> 研究项目。</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教育信息科学与技术（</w:t>
      </w:r>
      <w:r>
        <w:rPr>
          <w:rFonts w:ascii="Times New Roman" w:hAnsi="Times New Roman" w:cs="Times New Roman" w:eastAsia="Times New Roman" w:hint="ascii"/>
          <w:b w:val="1"/>
          <w:sz w:val="21"/>
        </w:rPr>
        <w:t>F0701</w:t>
      </w:r>
      <w:r>
        <w:rPr>
          <w:rFonts w:ascii="宋体" w:hAnsi="宋体" w:cs="宋体" w:eastAsia="宋体" w:hint="ascii"/>
          <w:sz w:val="21"/>
        </w:rPr>
        <w:t>）</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强调围绕教育信息科学中的知识生产、认知规律、学习发展等方面的核心科学问题</w:t>
      </w:r>
    </w:p>
    <w:p>
      <w:pPr>
        <w:autoSpaceDE w:val="0"/>
        <w:autoSpaceDN w:val="0"/>
        <w:jc w:val="both"/>
        <w:spacing w:before="13"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与关键技术，</w:t>
      </w:r>
      <w:r>
        <w:rPr>
          <w:rFonts w:ascii="宋体" w:hAnsi="宋体" w:cs="宋体" w:eastAsia="宋体" w:hint="ascii"/>
          <w:sz w:val="21"/>
        </w:rPr>
        <w:t>进行原创性、基础性、前瞻性和交叉性研究；鼓励在人工智能驱动教育的</w:t>
      </w:r>
      <w:r>
        <w:rPr>
          <w:rFonts w:ascii="宋体" w:hAnsi="宋体" w:cs="宋体" w:eastAsia="宋体" w:hint="ascii"/>
          <w:sz w:val="21"/>
          <w:spacing w:val="-1"/>
        </w:rPr>
        <w:t>基础理论与方</w:t>
      </w:r>
      <w:r>
        <w:rPr>
          <w:rFonts w:ascii="宋体" w:hAnsi="宋体" w:cs="宋体" w:eastAsia="宋体" w:hint="ascii"/>
          <w:sz w:val="21"/>
        </w:rPr>
        <w:t>法、在线与移动学习环境、虚拟与增强现实学习、知识可视化表征、教育</w:t>
      </w:r>
      <w:r>
        <w:rPr>
          <w:rFonts w:ascii="宋体" w:hAnsi="宋体" w:cs="宋体" w:eastAsia="宋体" w:hint="ascii"/>
          <w:sz w:val="21"/>
          <w:spacing w:val="-1"/>
        </w:rPr>
        <w:t>认知工具、教</w:t>
      </w:r>
      <w:r>
        <w:rPr>
          <w:rFonts w:ascii="宋体" w:hAnsi="宋体" w:cs="宋体" w:eastAsia="宋体" w:hint="ascii"/>
          <w:sz w:val="21"/>
        </w:rPr>
        <w:t>育机器人、教育智能体、教育大数据分析与应用、学习分析与评测和自适</w:t>
      </w:r>
      <w:r>
        <w:rPr>
          <w:rFonts w:ascii="宋体" w:hAnsi="宋体" w:cs="宋体" w:eastAsia="宋体" w:hint="ascii"/>
          <w:sz w:val="21"/>
          <w:spacing w:val="-1"/>
        </w:rPr>
        <w:t>应个性化辅助</w:t>
      </w:r>
      <w:r>
        <w:rPr>
          <w:rFonts w:ascii="宋体" w:hAnsi="宋体" w:cs="宋体" w:eastAsia="宋体" w:hint="ascii"/>
          <w:sz w:val="21"/>
        </w:rPr>
        <w:t>学习等方向的理论与方法研究。本领域支持教育信息科学与技术领域研究</w:t>
      </w:r>
      <w:r>
        <w:rPr>
          <w:rFonts w:ascii="宋体" w:hAnsi="宋体" w:cs="宋体" w:eastAsia="宋体" w:hint="ascii"/>
          <w:sz w:val="21"/>
          <w:spacing w:val="-1"/>
        </w:rPr>
        <w:t>人员与其他自</w:t>
      </w:r>
      <w:r>
        <w:rPr>
          <w:rFonts w:ascii="宋体" w:hAnsi="宋体" w:cs="宋体" w:eastAsia="宋体" w:hint="ascii"/>
          <w:sz w:val="21"/>
        </w:rPr>
        <w:t>然科学、人文社会科学等领域研究人员开展交叉融合研究，探索教育科学</w:t>
      </w:r>
      <w:r>
        <w:rPr>
          <w:rFonts w:ascii="宋体" w:hAnsi="宋体" w:cs="宋体" w:eastAsia="宋体" w:hint="ascii"/>
          <w:sz w:val="21"/>
          <w:spacing w:val="-1"/>
        </w:rPr>
        <w:t>基础研究的新</w:t>
      </w:r>
      <w:r>
        <w:rPr>
          <w:rFonts w:ascii="宋体" w:hAnsi="宋体" w:cs="宋体" w:eastAsia="宋体" w:hint="ascii"/>
          <w:sz w:val="21"/>
        </w:rPr>
        <w:t>概念、新理论、新方法和新技术，构建原型系统，破解中国教育发展中面临的难题。</w:t>
      </w:r>
    </w:p>
    <w:p>
      <w:pPr>
        <w:autoSpaceDE w:val="0"/>
        <w:autoSpaceDN w:val="0"/>
        <w:jc w:val="left"/>
        <w:spacing w:before="5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信息与数学交叉问题（</w:t>
      </w:r>
      <w:r>
        <w:rPr>
          <w:rFonts w:ascii="Times New Roman" w:hAnsi="Times New Roman" w:cs="Times New Roman" w:eastAsia="Times New Roman" w:hint="ascii"/>
          <w:b w:val="1"/>
          <w:sz w:val="21"/>
        </w:rPr>
        <w:t>F0702</w:t>
      </w:r>
      <w:r>
        <w:rPr>
          <w:rFonts w:ascii="宋体" w:hAnsi="宋体" w:cs="宋体" w:eastAsia="宋体" w:hint="ascii"/>
          <w:sz w:val="21"/>
        </w:rPr>
        <w:t>）</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资助迫切需要从信息与数学两个领域的角度进行研究的信息与数学交叉类项目。支</w:t>
      </w:r>
    </w:p>
    <w:p>
      <w:pPr>
        <w:autoSpaceDE w:val="0"/>
        <w:autoSpaceDN w:val="0"/>
        <w:jc w:val="both"/>
        <w:spacing w:before="13"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持电子通信与</w:t>
      </w:r>
      <w:r>
        <w:rPr>
          <w:rFonts w:ascii="宋体" w:hAnsi="宋体" w:cs="宋体" w:eastAsia="宋体" w:hint="ascii"/>
          <w:sz w:val="21"/>
        </w:rPr>
        <w:t>数学、计算机与数学、自动化与数学、人工智能与数学、半导体与数学以</w:t>
      </w:r>
      <w:r>
        <w:rPr>
          <w:rFonts w:ascii="宋体" w:hAnsi="宋体" w:cs="宋体" w:eastAsia="宋体" w:hint="ascii"/>
          <w:sz w:val="21"/>
          <w:spacing w:val="-1"/>
        </w:rPr>
        <w:t>及光学与数学</w:t>
      </w:r>
      <w:r>
        <w:rPr>
          <w:rFonts w:ascii="宋体" w:hAnsi="宋体" w:cs="宋体" w:eastAsia="宋体" w:hint="ascii"/>
          <w:sz w:val="21"/>
        </w:rPr>
        <w:t>等交叉方向的理论与方法研究。鼓励申请者选择基础性与挑战性强、能够</w:t>
      </w:r>
      <w:r>
        <w:rPr>
          <w:rFonts w:ascii="宋体" w:hAnsi="宋体" w:cs="宋体" w:eastAsia="宋体" w:hint="ascii"/>
          <w:sz w:val="21"/>
          <w:spacing w:val="-1"/>
        </w:rPr>
        <w:t>体现信息与数</w:t>
      </w:r>
      <w:r>
        <w:rPr>
          <w:rFonts w:ascii="宋体" w:hAnsi="宋体" w:cs="宋体" w:eastAsia="宋体" w:hint="ascii"/>
          <w:sz w:val="21"/>
        </w:rPr>
        <w:t>学优势互补的研究内容和方向。优先支持与信息领域具有实质性交叉的探索性研究，以促进信息与数学的交叉发展。</w:t>
      </w:r>
    </w:p>
    <w:p>
      <w:pPr>
        <w:autoSpaceDE w:val="0"/>
        <w:autoSpaceDN w:val="0"/>
        <w:jc w:val="left"/>
        <w:spacing w:before="647"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555"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信息科学四处</w:t>
      </w:r>
      <w:r>
        <w:rPr>
          <w:rFonts w:ascii="宋体" w:hAnsi="宋体" w:cs="宋体" w:eastAsia="宋体" w:hint="ascii"/>
          <w:sz w:val="29"/>
        </w:rPr>
        <mc:AlternateContent>
          <mc:Choice Requires="wps">
            <w:drawing>
              <wp:anchor distL="0" distR="0" distT="0" distB="0" simplePos="0" behindDoc="1" relativeHeight="117" locked="0" layoutInCell="1" allowOverlap="1">
                <wp:simplePos x="0" y="0"/>
                <wp:positionH relativeFrom="page">
                  <wp:posOffset>938530</wp:posOffset>
                </wp:positionH>
                <wp:positionV relativeFrom="page">
                  <wp:posOffset>805815</wp:posOffset>
                </wp:positionV>
                <wp:extent cx="5076190" cy="0"/>
                <wp:wrapNone/>
                <wp:docPr id="1146" name="114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38432;width:399.70pt;" id="114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信息科学四处资助范围包括半导体科学与信息器件、光学与光电子学两个学科。</w:t>
      </w:r>
    </w:p>
    <w:p>
      <w:pPr>
        <w:autoSpaceDE w:val="0"/>
        <w:autoSpaceDN w:val="0"/>
        <w:jc w:val="left"/>
        <w:spacing w:before="5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半导体科学与信息器件学科的主要资助范围是：半导体晶体与薄膜材料、集成电路</w:t>
      </w:r>
    </w:p>
    <w:p>
      <w:pPr>
        <w:autoSpaceDE w:val="0"/>
        <w:autoSpaceDN w:val="0"/>
        <w:jc w:val="both"/>
        <w:spacing w:before="13" w:after="0" w:lineRule="exact" w:line="319"/>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设计与测试、半导体光电子</w:t>
      </w:r>
      <w:r>
        <w:rPr>
          <w:rFonts w:ascii="宋体" w:hAnsi="宋体" w:cs="宋体" w:eastAsia="宋体" w:hint="ascii"/>
          <w:sz w:val="21"/>
        </w:rPr>
        <w:t>器件、半导体电子器件、半导体物理、集成电路制造与</w:t>
      </w:r>
      <w:r>
        <w:rPr>
          <w:rFonts w:ascii="宋体" w:hAnsi="宋体" w:cs="宋体" w:eastAsia="宋体" w:hint="ascii"/>
          <w:sz w:val="21"/>
          <w:spacing w:val="-6"/>
        </w:rPr>
        <w:t>封</w:t>
      </w:r>
      <w:r>
        <w:rPr>
          <w:rFonts w:ascii="宋体" w:hAnsi="宋体" w:cs="宋体" w:eastAsia="宋体" w:hint="ascii"/>
          <w:sz w:val="21"/>
          <w:spacing w:val="-1"/>
        </w:rPr>
        <w:t>装、</w:t>
      </w:r>
      <w:r>
        <w:rPr>
          <w:rFonts w:ascii="宋体" w:hAnsi="宋体" w:cs="宋体" w:eastAsia="宋体" w:hint="ascii"/>
          <w:sz w:val="21"/>
        </w:rPr>
        <w:t>半导体微纳机电器件与系统、新型信息器件（包括纳米、分子、超导、量子等各种新型信息功能器件</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2" w:after="0" w:lineRule="exact" w:line="319"/>
        <w:ind w:right="971" w:left="966" w:firstLine="420"/>
        <w:snapToGrid w:val="0"/>
        <w:textAlignment w:val="auto"/>
        <w:tabs/>
        <w:rPr>
          <w:rFonts w:ascii="宋体" w:hAnsi="宋体" w:cs="宋体" w:eastAsia="宋体" w:hint="ascii"/>
          <w:sz w:val="21"/>
        </w:rPr>
      </w:pPr>
      <w:r>
        <w:rPr>
          <w:rFonts w:ascii="宋体" w:hAnsi="宋体" w:cs="宋体" w:eastAsia="宋体" w:hint="ascii"/>
          <w:sz w:val="21"/>
        </w:rPr>
        <w:t>光学与光电子学学科的主要资助范围是：光学信息获取与处理、光子与光电子</w:t>
      </w:r>
      <w:r>
        <w:rPr>
          <w:rFonts w:ascii="宋体" w:hAnsi="宋体" w:cs="宋体" w:eastAsia="宋体" w:hint="ascii"/>
          <w:sz w:val="21"/>
          <w:spacing w:val="-6"/>
        </w:rPr>
        <w:t>器</w:t>
      </w:r>
      <w:r>
        <w:rPr>
          <w:rFonts w:ascii="宋体" w:hAnsi="宋体" w:cs="宋体" w:eastAsia="宋体" w:hint="ascii"/>
          <w:sz w:val="21"/>
        </w:rPr>
        <w:t xml:space="preserve"> 件、传输与交换光子学、红外物理与技术（包括太赫兹</w:t>
      </w:r>
      <w:r>
        <w:rPr>
          <w:rFonts w:ascii="宋体" w:hAnsi="宋体" w:cs="宋体" w:eastAsia="宋体" w:hint="ascii"/>
          <w:sz w:val="21"/>
          <w:spacing w:val="-52"/>
        </w:rPr>
        <w:t>）</w:t>
      </w:r>
      <w:r>
        <w:rPr>
          <w:rFonts w:ascii="宋体" w:hAnsi="宋体" w:cs="宋体" w:eastAsia="宋体" w:hint="ascii"/>
          <w:sz w:val="21"/>
        </w:rPr>
        <w:t>、非线性光学与量子光学、激</w:t>
      </w:r>
      <w:r>
        <w:rPr>
          <w:rFonts w:ascii="宋体" w:hAnsi="宋体" w:cs="宋体" w:eastAsia="宋体" w:hint="ascii"/>
          <w:sz w:val="21"/>
          <w:spacing w:val="-1"/>
        </w:rPr>
        <w:t>光、</w:t>
      </w:r>
      <w:r>
        <w:rPr>
          <w:rFonts w:ascii="宋体" w:hAnsi="宋体" w:cs="宋体" w:eastAsia="宋体" w:hint="ascii"/>
          <w:sz w:val="21"/>
        </w:rPr>
        <w:t>光谱技术、应用光学、光学和光电子材料、空间光学、大气与海洋光学、生物医学光子学以及交叉学科中的光学问题。</w:t>
      </w:r>
    </w:p>
    <w:p>
      <w:pPr>
        <w:autoSpaceDE w:val="0"/>
        <w:autoSpaceDN w:val="0"/>
        <w:jc w:val="both"/>
        <w:spacing w:before="1" w:after="0" w:lineRule="exact" w:line="320"/>
        <w:ind w:right="971" w:left="966" w:firstLine="408"/>
        <w:snapToGrid w:val="0"/>
        <w:textAlignment w:val="auto"/>
        <w:tabs>
          <w:tab w:val="left" w:leader="none" w:pos="1837"/>
        </w:tabs>
        <w:numPr>
          <w:ilvl w:val="0"/>
          <w:numId w:val="99"/>
        </w:numPr>
        <w:rPr>
          <w:rFonts w:ascii="Times New Roman" w:hAnsi="Times New Roman" w:cs="Times New Roman" w:eastAsia="Times New Roman" w:hint="ascii"/>
          <w:sz w:val="21"/>
          <w:spacing w:val="-3"/>
        </w:rPr>
      </w:pPr>
      <w:r>
        <w:rPr>
          <w:rFonts w:ascii="宋体" w:hAnsi="宋体" w:cs="宋体" w:eastAsia="宋体" w:hint="ascii"/>
          <w:sz w:val="21"/>
          <w:spacing w:val="-2"/>
        </w:rPr>
        <w:t>年度本科学处共</w:t>
      </w:r>
      <w:r>
        <w:rPr>
          <w:rFonts w:ascii="宋体" w:hAnsi="宋体" w:cs="宋体" w:eastAsia="宋体" w:hint="ascii"/>
          <w:sz w:val="21"/>
          <w:spacing w:val="-3"/>
        </w:rPr>
        <w:t>接</w:t>
      </w:r>
      <w:r>
        <w:rPr>
          <w:rFonts w:ascii="宋体" w:hAnsi="宋体" w:cs="宋体" w:eastAsia="宋体" w:hint="ascii"/>
          <w:sz w:val="21"/>
          <w:spacing w:val="-2"/>
        </w:rPr>
        <w:t>收面上项</w:t>
      </w:r>
      <w:r>
        <w:rPr>
          <w:rFonts w:ascii="宋体" w:hAnsi="宋体" w:cs="宋体" w:eastAsia="宋体" w:hint="ascii"/>
          <w:sz w:val="21"/>
          <w:spacing w:val="-3"/>
        </w:rPr>
        <w:t>目</w:t>
      </w:r>
      <w:r>
        <w:rPr>
          <w:rFonts w:ascii="宋体" w:hAnsi="宋体" w:cs="宋体" w:eastAsia="宋体" w:hint="ascii"/>
          <w:sz w:val="21"/>
          <w:spacing w:val="-2"/>
        </w:rPr>
        <w:t>申</w:t>
      </w:r>
      <w:r>
        <w:rPr>
          <w:rFonts w:ascii="宋体" w:hAnsi="宋体" w:cs="宋体" w:eastAsia="宋体" w:hint="ascii"/>
          <w:sz w:val="21"/>
          <w:spacing w:val="23"/>
        </w:rPr>
        <w:t>请</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spacing w:val="-5"/>
        </w:rPr>
        <w:t xml:space="preserve"> 93</w:t>
      </w:r>
      <w:r>
        <w:rPr>
          <w:rFonts w:ascii="Times New Roman" w:hAnsi="Times New Roman" w:cs="Times New Roman" w:eastAsia="Times New Roman" w:hint="ascii"/>
          <w:sz w:val="21"/>
          <w:spacing w:val="50"/>
        </w:rPr>
        <w:t>3</w:t>
      </w:r>
      <w:r>
        <w:rPr>
          <w:rFonts w:ascii="宋体" w:hAnsi="宋体" w:cs="宋体" w:eastAsia="宋体" w:hint="ascii"/>
          <w:sz w:val="21"/>
          <w:spacing w:val="-2"/>
        </w:rPr>
        <w:t>项，资</w:t>
      </w:r>
      <w:r>
        <w:rPr>
          <w:rFonts w:ascii="宋体" w:hAnsi="宋体" w:cs="宋体" w:eastAsia="宋体" w:hint="ascii"/>
          <w:sz w:val="21"/>
          <w:spacing w:val="23"/>
        </w:rPr>
        <w:t>助</w:t>
      </w:r>
      <w:r>
        <w:rPr>
          <w:rFonts w:ascii="Times New Roman" w:hAnsi="Times New Roman" w:cs="Times New Roman" w:eastAsia="Times New Roman" w:hint="ascii"/>
          <w:sz w:val="21"/>
          <w:spacing w:val="-5"/>
        </w:rPr>
        <w:t>42</w:t>
      </w:r>
      <w:r>
        <w:rPr>
          <w:rFonts w:ascii="Times New Roman" w:hAnsi="Times New Roman" w:cs="Times New Roman" w:eastAsia="Times New Roman" w:hint="ascii"/>
          <w:sz w:val="21"/>
          <w:spacing w:val="50"/>
        </w:rPr>
        <w:t>0</w:t>
      </w:r>
      <w:r>
        <w:rPr>
          <w:rFonts w:ascii="宋体" w:hAnsi="宋体" w:cs="宋体" w:eastAsia="宋体" w:hint="ascii"/>
          <w:sz w:val="21"/>
          <w:spacing w:val="-2"/>
        </w:rPr>
        <w:t>项，</w:t>
      </w:r>
      <w:r>
        <w:rPr>
          <w:rFonts w:ascii="宋体" w:hAnsi="宋体" w:cs="宋体" w:eastAsia="宋体" w:hint="ascii"/>
          <w:sz w:val="21"/>
          <w:spacing w:val="-1"/>
        </w:rPr>
        <w:t>资助</w:t>
      </w:r>
      <w:r>
        <w:rPr>
          <w:rFonts w:ascii="宋体" w:hAnsi="宋体" w:cs="宋体" w:eastAsia="宋体" w:hint="ascii"/>
          <w:sz w:val="21"/>
          <w:spacing w:val="-2"/>
        </w:rPr>
        <w:t>率</w:t>
      </w:r>
      <w:r>
        <w:rPr>
          <w:rFonts w:ascii="宋体" w:hAnsi="宋体" w:cs="宋体" w:eastAsia="宋体" w:hint="ascii"/>
          <w:sz w:val="21"/>
          <w:spacing w:val="24"/>
        </w:rPr>
        <w:t>为</w:t>
      </w:r>
      <w:r>
        <w:rPr>
          <w:rFonts w:ascii="Times New Roman" w:hAnsi="Times New Roman" w:cs="Times New Roman" w:eastAsia="Times New Roman" w:hint="ascii"/>
          <w:sz w:val="21"/>
          <w:spacing w:val="-4"/>
        </w:rPr>
        <w:t>21.7</w:t>
      </w:r>
      <w:r>
        <w:rPr>
          <w:rFonts w:ascii="Times New Roman" w:hAnsi="Times New Roman" w:cs="Times New Roman" w:eastAsia="Times New Roman" w:hint="ascii"/>
          <w:sz w:val="21"/>
          <w:spacing w:val="-1"/>
        </w:rPr>
        <w:t>3%</w:t>
      </w:r>
      <w:r>
        <w:rPr>
          <w:rFonts w:ascii="宋体" w:hAnsi="宋体" w:cs="宋体" w:eastAsia="宋体" w:hint="ascii"/>
          <w:sz w:val="21"/>
          <w:spacing w:val="-1"/>
        </w:rPr>
        <w:t>，</w:t>
      </w:r>
      <w:r>
        <w:rPr>
          <w:rFonts w:ascii="宋体" w:hAnsi="宋体" w:cs="宋体" w:eastAsia="宋体" w:hint="ascii"/>
          <w:sz w:val="21"/>
        </w:rPr>
        <w:t xml:space="preserve"> 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59.8</w:t>
      </w:r>
      <w:r>
        <w:rPr>
          <w:rFonts w:ascii="Times New Roman" w:hAnsi="Times New Roman" w:cs="Times New Roman" w:eastAsia="Times New Roman" w:hint="ascii"/>
          <w:sz w:val="21"/>
          <w:spacing w:val="52"/>
        </w:rPr>
        <w:t>3</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近年来，随着信息科学与技术的发展，上述资助范围领域与物理、化学、材料、生</w:t>
      </w:r>
    </w:p>
    <w:p>
      <w:pPr>
        <w:autoSpaceDE w:val="0"/>
        <w:autoSpaceDN w:val="0"/>
        <w:jc w:val="both"/>
        <w:spacing w:before="10" w:after="0" w:lineRule="exact" w:line="320"/>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命和</w:t>
      </w:r>
      <w:r>
        <w:rPr>
          <w:rFonts w:ascii="宋体" w:hAnsi="宋体" w:cs="宋体" w:eastAsia="宋体" w:hint="ascii"/>
          <w:sz w:val="21"/>
        </w:rPr>
        <w:t>医学科学等其他学科的交叉渗透日趋广泛深入，新的研究方向不断涌现。各主要分</w:t>
      </w:r>
      <w:r>
        <w:rPr>
          <w:rFonts w:ascii="宋体" w:hAnsi="宋体" w:cs="宋体" w:eastAsia="宋体" w:hint="ascii"/>
          <w:sz w:val="21"/>
          <w:spacing w:val="-1"/>
        </w:rPr>
        <w:t>支领</w:t>
      </w:r>
      <w:r>
        <w:rPr>
          <w:rFonts w:ascii="宋体" w:hAnsi="宋体" w:cs="宋体" w:eastAsia="宋体" w:hint="ascii"/>
          <w:sz w:val="21"/>
        </w:rPr>
        <w:t>域中，半导体光电子器件、集成电路设计与测试、半导体晶体与薄膜材料、光子与</w:t>
      </w:r>
      <w:r>
        <w:rPr>
          <w:rFonts w:ascii="宋体" w:hAnsi="宋体" w:cs="宋体" w:eastAsia="宋体" w:hint="ascii"/>
          <w:sz w:val="21"/>
          <w:spacing w:val="1"/>
        </w:rPr>
        <w:t>光电子器件、传输与交换光</w:t>
      </w:r>
      <w:r>
        <w:rPr>
          <w:rFonts w:ascii="宋体" w:hAnsi="宋体" w:cs="宋体" w:eastAsia="宋体" w:hint="ascii"/>
          <w:sz w:val="21"/>
        </w:rPr>
        <w:t>子学、光学信息获取与处理、非线性光学与量子光学、</w:t>
      </w:r>
      <w:r>
        <w:rPr>
          <w:rFonts w:ascii="宋体" w:hAnsi="宋体" w:cs="宋体" w:eastAsia="宋体" w:hint="ascii"/>
          <w:sz w:val="21"/>
          <w:spacing w:val="-6"/>
        </w:rPr>
        <w:t>激</w:t>
      </w:r>
      <w:r>
        <w:rPr>
          <w:rFonts w:ascii="宋体" w:hAnsi="宋体" w:cs="宋体" w:eastAsia="宋体" w:hint="ascii"/>
          <w:sz w:val="21"/>
          <w:spacing w:val="-1"/>
        </w:rPr>
        <w:t>光、</w:t>
      </w:r>
      <w:r>
        <w:rPr>
          <w:rFonts w:ascii="宋体" w:hAnsi="宋体" w:cs="宋体" w:eastAsia="宋体" w:hint="ascii"/>
          <w:sz w:val="21"/>
        </w:rPr>
        <w:t>应用光学等分支领域申请项目仍然较集中，优势明显。半导体电子器件、半导体微</w:t>
      </w:r>
      <w:r>
        <w:rPr>
          <w:rFonts w:ascii="宋体" w:hAnsi="宋体" w:cs="宋体" w:eastAsia="宋体" w:hint="ascii"/>
          <w:sz w:val="21"/>
          <w:spacing w:val="-1"/>
        </w:rPr>
        <w:t>纳机</w:t>
      </w:r>
      <w:r>
        <w:rPr>
          <w:rFonts w:ascii="宋体" w:hAnsi="宋体" w:cs="宋体" w:eastAsia="宋体" w:hint="ascii"/>
          <w:sz w:val="21"/>
        </w:rPr>
        <w:t>电器件与系统、集成电路制造与封装、半导体物理、红外物理与技术、生物医学光子学、光学和光电子材料、光谱技术项目申请数与往年基本持平。</w:t>
      </w:r>
    </w:p>
    <w:p>
      <w:pPr>
        <w:autoSpaceDE w:val="0"/>
        <w:autoSpaceDN w:val="0"/>
        <w:jc w:val="left"/>
        <w:spacing w:before="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本科学处优先资助高性能光源、低功耗射频芯片与电路、新型的传感材料器件与网</w:t>
      </w:r>
    </w:p>
    <w:p>
      <w:pPr>
        <w:autoSpaceDE w:val="0"/>
        <w:autoSpaceDN w:val="0"/>
        <w:jc w:val="both"/>
        <w:spacing w:before="12" w:after="0" w:lineRule="exact" w:line="324"/>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络技</w:t>
      </w:r>
      <w:r>
        <w:rPr>
          <w:rFonts w:ascii="宋体" w:hAnsi="宋体" w:cs="宋体" w:eastAsia="宋体" w:hint="ascii"/>
          <w:sz w:val="21"/>
        </w:rPr>
        <w:t>术、太赫兹器件、微纳光电器件与技术、新型光场调控技术与器件、量子光学与量</w:t>
      </w:r>
      <w:r>
        <w:rPr>
          <w:rFonts w:ascii="宋体" w:hAnsi="宋体" w:cs="宋体" w:eastAsia="宋体" w:hint="ascii"/>
          <w:sz w:val="21"/>
          <w:spacing w:val="-1"/>
        </w:rPr>
        <w:t>子器</w:t>
      </w:r>
      <w:r>
        <w:rPr>
          <w:rFonts w:ascii="宋体" w:hAnsi="宋体" w:cs="宋体" w:eastAsia="宋体" w:hint="ascii"/>
          <w:sz w:val="21"/>
        </w:rPr>
        <w:t>件、量子通信与量子计算、光信息处理与显示技术、光电子器件与光子集成、宽禁</w:t>
      </w:r>
      <w:r>
        <w:rPr>
          <w:rFonts w:ascii="宋体" w:hAnsi="宋体" w:cs="宋体" w:eastAsia="宋体" w:hint="ascii"/>
          <w:sz w:val="21"/>
          <w:spacing w:val="-1"/>
        </w:rPr>
        <w:t>带半</w:t>
      </w:r>
      <w:r>
        <w:rPr>
          <w:rFonts w:ascii="宋体" w:hAnsi="宋体" w:cs="宋体" w:eastAsia="宋体" w:hint="ascii"/>
          <w:sz w:val="21"/>
        </w:rPr>
        <w:t>导体材料与器件、半导体集成化芯片系统、能源光子学、微波光子学、新型激光技</w:t>
      </w:r>
      <w:r>
        <w:rPr>
          <w:rFonts w:ascii="宋体" w:hAnsi="宋体" w:cs="宋体" w:eastAsia="宋体" w:hint="ascii"/>
          <w:sz w:val="21"/>
          <w:spacing w:val="-1"/>
        </w:rPr>
        <w:t>术与</w:t>
      </w:r>
      <w:r>
        <w:rPr>
          <w:rFonts w:ascii="宋体" w:hAnsi="宋体" w:cs="宋体" w:eastAsia="宋体" w:hint="ascii"/>
          <w:sz w:val="21"/>
        </w:rPr>
        <w:t>器件、生物医学光学成像、空间光学等方面的研究。为解决制约我国各方面发展的</w:t>
      </w:r>
      <w:r>
        <w:rPr>
          <w:rFonts w:ascii="宋体" w:hAnsi="宋体" w:cs="宋体" w:eastAsia="宋体" w:hint="ascii"/>
          <w:sz w:val="21"/>
          <w:spacing w:val="-1"/>
        </w:rPr>
        <w:t>器件</w:t>
      </w:r>
      <w:r>
        <w:rPr>
          <w:rFonts w:ascii="宋体" w:hAnsi="宋体" w:cs="宋体" w:eastAsia="宋体" w:hint="ascii"/>
          <w:sz w:val="21"/>
        </w:rPr>
        <w:t>瓶颈，鼓励针对提高器件性能（兼顾成品率和可靠性）的研究，包括器件物理、结构和工艺实现等方面的科学问题研究。</w:t>
      </w:r>
    </w:p>
    <w:p>
      <w:pPr>
        <w:autoSpaceDE w:val="0"/>
        <w:autoSpaceDN w:val="0"/>
        <w:jc w:val="both"/>
        <w:spacing w:before="0" w:after="0" w:lineRule="exact" w:line="324"/>
        <w:ind w:right="971"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从</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17</w:t>
      </w:r>
      <w:r>
        <w:rPr>
          <w:rFonts w:ascii="Times New Roman" w:hAnsi="Times New Roman" w:cs="Times New Roman" w:eastAsia="Times New Roman" w:hint="ascii"/>
          <w:sz w:val="21"/>
          <w:spacing w:val="-27"/>
        </w:rPr>
        <w:t xml:space="preserve"> </w:t>
      </w:r>
      <w:r>
        <w:rPr>
          <w:rFonts w:ascii="宋体" w:hAnsi="宋体" w:cs="宋体" w:eastAsia="宋体" w:hint="ascii"/>
          <w:sz w:val="21"/>
        </w:rPr>
        <w:t>年</w:t>
      </w:r>
      <w:r>
        <w:rPr>
          <w:rFonts w:ascii="宋体" w:hAnsi="宋体" w:cs="宋体" w:eastAsia="宋体" w:hint="ascii"/>
          <w:sz w:val="21"/>
          <w:spacing w:val="-1"/>
        </w:rPr>
        <w:t>申</w:t>
      </w:r>
      <w:r>
        <w:rPr>
          <w:rFonts w:ascii="宋体" w:hAnsi="宋体" w:cs="宋体" w:eastAsia="宋体" w:hint="ascii"/>
          <w:sz w:val="21"/>
        </w:rPr>
        <w:t>请的项</w:t>
      </w:r>
      <w:r>
        <w:rPr>
          <w:rFonts w:ascii="宋体" w:hAnsi="宋体" w:cs="宋体" w:eastAsia="宋体" w:hint="ascii"/>
          <w:sz w:val="21"/>
          <w:spacing w:val="-1"/>
        </w:rPr>
        <w:t>目统</w:t>
      </w:r>
      <w:r>
        <w:rPr>
          <w:rFonts w:ascii="宋体" w:hAnsi="宋体" w:cs="宋体" w:eastAsia="宋体" w:hint="ascii"/>
          <w:sz w:val="21"/>
        </w:rPr>
        <w:t>计分析</w:t>
      </w:r>
      <w:r>
        <w:rPr>
          <w:rFonts w:ascii="宋体" w:hAnsi="宋体" w:cs="宋体" w:eastAsia="宋体" w:hint="ascii"/>
          <w:sz w:val="21"/>
          <w:spacing w:val="-1"/>
        </w:rPr>
        <w:t>，与</w:t>
      </w:r>
      <w:r>
        <w:rPr>
          <w:rFonts w:ascii="宋体" w:hAnsi="宋体" w:cs="宋体" w:eastAsia="宋体" w:hint="ascii"/>
          <w:sz w:val="21"/>
        </w:rPr>
        <w:t>前几年</w:t>
      </w:r>
      <w:r>
        <w:rPr>
          <w:rFonts w:ascii="宋体" w:hAnsi="宋体" w:cs="宋体" w:eastAsia="宋体" w:hint="ascii"/>
          <w:sz w:val="21"/>
          <w:spacing w:val="-1"/>
        </w:rPr>
        <w:t>相比</w:t>
      </w:r>
      <w:r>
        <w:rPr>
          <w:rFonts w:ascii="宋体" w:hAnsi="宋体" w:cs="宋体" w:eastAsia="宋体" w:hint="ascii"/>
          <w:sz w:val="21"/>
        </w:rPr>
        <w:t>，频繁</w:t>
      </w:r>
      <w:r>
        <w:rPr>
          <w:rFonts w:ascii="宋体" w:hAnsi="宋体" w:cs="宋体" w:eastAsia="宋体" w:hint="ascii"/>
          <w:sz w:val="21"/>
          <w:spacing w:val="-1"/>
        </w:rPr>
        <w:t>变换</w:t>
      </w:r>
      <w:r>
        <w:rPr>
          <w:rFonts w:ascii="宋体" w:hAnsi="宋体" w:cs="宋体" w:eastAsia="宋体" w:hint="ascii"/>
          <w:sz w:val="21"/>
        </w:rPr>
        <w:t>研究方</w:t>
      </w:r>
      <w:r>
        <w:rPr>
          <w:rFonts w:ascii="宋体" w:hAnsi="宋体" w:cs="宋体" w:eastAsia="宋体" w:hint="ascii"/>
          <w:sz w:val="21"/>
          <w:spacing w:val="-1"/>
        </w:rPr>
        <w:t>向的</w:t>
      </w:r>
      <w:r>
        <w:rPr>
          <w:rFonts w:ascii="宋体" w:hAnsi="宋体" w:cs="宋体" w:eastAsia="宋体" w:hint="ascii"/>
          <w:sz w:val="21"/>
        </w:rPr>
        <w:t>项目明显</w:t>
      </w:r>
      <w:r>
        <w:rPr>
          <w:rFonts w:ascii="宋体" w:hAnsi="宋体" w:cs="宋体" w:eastAsia="宋体" w:hint="ascii"/>
          <w:sz w:val="21"/>
          <w:spacing w:val="-4"/>
        </w:rPr>
        <w:t>减</w:t>
      </w:r>
      <w:r>
        <w:rPr>
          <w:rFonts w:ascii="宋体" w:hAnsi="宋体" w:cs="宋体" w:eastAsia="宋体" w:hint="ascii"/>
          <w:sz w:val="21"/>
          <w:spacing w:val="-1"/>
        </w:rPr>
        <w:t>少。</w:t>
      </w:r>
      <w:r>
        <w:rPr>
          <w:rFonts w:ascii="宋体" w:hAnsi="宋体" w:cs="宋体" w:eastAsia="宋体" w:hint="ascii"/>
          <w:sz w:val="21"/>
        </w:rPr>
        <w:t>希望相关领域的科研人员关注国际国内科学技术研究现状，面向国家发展需求，结合自己有积累的研究方向，提出更具创新性的项目申请，进行深入研究探索。</w:t>
      </w:r>
    </w:p>
    <w:p>
      <w:pPr>
        <w:autoSpaceDE w:val="0"/>
        <w:autoSpaceDN w:val="0"/>
        <w:jc w:val="left"/>
        <w:spacing w:before="191"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管理科学部</w:t>
      </w:r>
    </w:p>
    <w:p>
      <w:pPr>
        <w:autoSpaceDE w:val="0"/>
        <w:autoSpaceDN w:val="0"/>
        <w:jc w:val="left"/>
        <w:spacing w:before="3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管理科学部主要资助人类社会组织管理及经济活动客观规律相关方面的研究，其研</w:t>
      </w:r>
    </w:p>
    <w:p>
      <w:pPr>
        <w:autoSpaceDE w:val="0"/>
        <w:autoSpaceDN w:val="0"/>
        <w:jc w:val="both"/>
        <w:spacing w:before="11" w:after="0" w:lineRule="exact" w:line="324"/>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究成</w:t>
      </w:r>
      <w:r>
        <w:rPr>
          <w:rFonts w:ascii="宋体" w:hAnsi="宋体" w:cs="宋体" w:eastAsia="宋体" w:hint="ascii"/>
          <w:sz w:val="21"/>
        </w:rPr>
        <w:t>果可为人类高效率地使用有限资源提供理论及方法支撑。管理科学部下</w:t>
      </w:r>
      <w:r>
        <w:rPr>
          <w:rFonts w:ascii="宋体" w:hAnsi="宋体" w:cs="宋体" w:eastAsia="宋体" w:hint="ascii"/>
          <w:sz w:val="21"/>
          <w:spacing w:val="27"/>
        </w:rPr>
        <w:t>设</w:t>
      </w:r>
      <w:r>
        <w:rPr>
          <w:rFonts w:ascii="Times New Roman" w:hAnsi="Times New Roman" w:cs="Times New Roman" w:eastAsia="Times New Roman" w:hint="ascii"/>
          <w:sz w:val="21"/>
          <w:spacing w:val="52"/>
        </w:rPr>
        <w:t>3</w:t>
      </w:r>
      <w:r>
        <w:rPr>
          <w:rFonts w:ascii="宋体" w:hAnsi="宋体" w:cs="宋体" w:eastAsia="宋体" w:hint="ascii"/>
          <w:sz w:val="21"/>
        </w:rPr>
        <w:t>个科学</w:t>
      </w:r>
      <w:r>
        <w:rPr>
          <w:rFonts w:ascii="宋体" w:hAnsi="宋体" w:cs="宋体" w:eastAsia="宋体" w:hint="ascii"/>
          <w:sz w:val="21"/>
          <w:spacing w:val="-1"/>
        </w:rPr>
        <w:t>处，</w:t>
      </w:r>
      <w:r>
        <w:rPr>
          <w:rFonts w:ascii="宋体" w:hAnsi="宋体" w:cs="宋体" w:eastAsia="宋体" w:hint="ascii"/>
          <w:sz w:val="21"/>
        </w:rPr>
        <w:t>分别受理与评审管理科学与工程、工商管理、经济科学和宏观管理与政</w:t>
      </w:r>
      <w:r>
        <w:rPr>
          <w:rFonts w:ascii="宋体" w:hAnsi="宋体" w:cs="宋体" w:eastAsia="宋体" w:hint="ascii"/>
          <w:sz w:val="21"/>
          <w:spacing w:val="27"/>
        </w:rPr>
        <w:t>策</w:t>
      </w:r>
      <w:r>
        <w:rPr>
          <w:rFonts w:ascii="Times New Roman" w:hAnsi="Times New Roman" w:cs="Times New Roman" w:eastAsia="Times New Roman" w:hint="ascii"/>
          <w:sz w:val="21"/>
          <w:spacing w:val="52"/>
        </w:rPr>
        <w:t>4</w:t>
      </w:r>
      <w:r>
        <w:rPr>
          <w:rFonts w:ascii="宋体" w:hAnsi="宋体" w:cs="宋体" w:eastAsia="宋体" w:hint="ascii"/>
          <w:sz w:val="21"/>
        </w:rPr>
        <w:t>个学科的项目申请。</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46" w:after="0" w:lineRule="exact" w:line="324"/>
        <w:ind w:right="962" w:left="966" w:firstLine="316"/>
        <w:snapToGrid w:val="0"/>
        <w:textAlignment w:val="auto"/>
        <w:tabs/>
        <w:rPr>
          <w:rFonts w:ascii="宋体" w:hAnsi="宋体" w:cs="宋体" w:eastAsia="宋体" w:hint="ascii"/>
          <w:sz w:val="21"/>
        </w:rPr>
      </w:pPr>
      <w:r>
        <w:rPr>
          <w:rFonts w:ascii="宋体" w:hAnsi="宋体" w:cs="宋体" w:eastAsia="宋体" w:hint="ascii"/>
          <w:sz w:val="21"/>
        </w:rPr>
        <w:t>“十三五”期间，管理科学部将更加积极地鼓励具有原创性的研究，鼓励在中国管 理实践的基础上凝练具有一定普适意义的科学问题加以研究，以不断丰富人类管理科学的知识体系。</w:t>
      </w:r>
      <w:r>
        <w:rPr>
          <w:rFonts w:ascii="宋体" w:hAnsi="宋体" w:cs="宋体" w:eastAsia="宋体" w:hint="ascii"/>
          <w:sz w:val="21"/>
        </w:rPr>
        <mc:AlternateContent>
          <mc:Choice Requires="wps">
            <w:drawing>
              <wp:anchor distL="0" distR="0" distT="0" distB="0" simplePos="0" behindDoc="1" relativeHeight="118" locked="0" layoutInCell="1" allowOverlap="1">
                <wp:simplePos x="0" y="0"/>
                <wp:positionH relativeFrom="page">
                  <wp:posOffset>938530</wp:posOffset>
                </wp:positionH>
                <wp:positionV relativeFrom="page">
                  <wp:posOffset>819150</wp:posOffset>
                </wp:positionV>
                <wp:extent cx="5076190" cy="0"/>
                <wp:wrapNone/>
                <wp:docPr id="1147" name="114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37408;width:399.70pt;" id="114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科学基金支持的管理科学研究项目强调运用“科学方法”来探索管理与经济活动的</w:t>
      </w:r>
    </w:p>
    <w:p>
      <w:pPr>
        <w:autoSpaceDE w:val="0"/>
        <w:autoSpaceDN w:val="0"/>
        <w:jc w:val="left"/>
        <w:spacing w:before="12" w:after="0" w:lineRule="exact" w:line="324"/>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客观规律，不资助一般管理工作的研究。本科学部鼓励通过实验、观察、测量等手段获取“数据</w:t>
      </w:r>
      <w:r>
        <w:rPr>
          <w:rFonts w:ascii="宋体" w:hAnsi="宋体" w:cs="宋体" w:eastAsia="宋体" w:hint="ascii"/>
          <w:sz w:val="21"/>
          <w:spacing w:val="-51"/>
        </w:rPr>
        <w:t>”</w:t>
      </w:r>
      <w:r>
        <w:rPr>
          <w:rFonts w:ascii="宋体" w:hAnsi="宋体" w:cs="宋体" w:eastAsia="宋体" w:hint="ascii"/>
          <w:sz w:val="21"/>
        </w:rPr>
        <w:t>，从而观察和发现新的管理现象的“实验研究”项目；也鼓励通过建模、计算、归纳、演绎等手段来分析与解释管理现象，从而为管理问题的解决方案提供科学依据的“理论研究”项目。对于确实需要大量及长期的数据采集处理和实地调查、具有高性能计算</w:t>
      </w:r>
      <w:r>
        <w:rPr>
          <w:rFonts w:ascii="Times New Roman" w:hAnsi="Times New Roman" w:cs="Times New Roman" w:eastAsia="Times New Roman" w:hint="ascii"/>
          <w:sz w:val="21"/>
        </w:rPr>
        <w:t>/</w:t>
      </w:r>
      <w:r>
        <w:rPr>
          <w:rFonts w:ascii="宋体" w:hAnsi="宋体" w:cs="宋体" w:eastAsia="宋体" w:hint="ascii"/>
          <w:sz w:val="21"/>
        </w:rPr>
        <w:t>实验等特点的“实验研究”项目，本科学部将给予高于平均资助强度的资金支持。</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本科学部积极支持具有不同知识背景的科学家从事管理科学研究，共同发展管理科</w:t>
      </w:r>
    </w:p>
    <w:p>
      <w:pPr>
        <w:autoSpaceDE w:val="0"/>
        <w:autoSpaceDN w:val="0"/>
        <w:jc w:val="left"/>
        <w:spacing w:before="12" w:after="0" w:lineRule="exact" w:line="324"/>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学这门综合性交叉科学，但不受理纯人文社会科学研究领域以及在自然科学基金委其他科学部申请代码中明确标明的研究领域的项目申请。申请人应该认真从管理科学研究的角度凝练与提出相关科学问题。</w:t>
      </w:r>
    </w:p>
    <w:p>
      <w:pPr>
        <w:autoSpaceDE w:val="0"/>
        <w:autoSpaceDN w:val="0"/>
        <w:jc w:val="left"/>
        <w:spacing w:before="49" w:after="0" w:lineRule="auto" w:line="240"/>
        <w:ind w:right="0" w:left="978" w:firstLine="408"/>
        <w:snapToGrid w:val="0"/>
        <w:textAlignment w:val="auto"/>
        <w:tabs>
          <w:tab w:val="left" w:leader="none" w:pos="1858"/>
        </w:tabs>
        <w:numPr>
          <w:ilvl w:val="0"/>
          <w:numId w:val="99"/>
        </w:numPr>
        <w:rPr>
          <w:rFonts w:ascii="Times New Roman" w:hAnsi="Times New Roman" w:cs="Times New Roman" w:eastAsia="Times New Roman" w:hint="ascii"/>
          <w:sz w:val="21"/>
          <w:spacing w:val="1"/>
        </w:rPr>
      </w:pPr>
      <w:r>
        <w:rPr>
          <w:rFonts w:ascii="宋体" w:hAnsi="宋体" w:cs="宋体" w:eastAsia="宋体" w:hint="ascii"/>
          <w:sz w:val="21"/>
        </w:rPr>
        <w:t>年度本科学部项目申请有关规定如下。</w:t>
      </w:r>
    </w:p>
    <w:p>
      <w:pPr>
        <w:autoSpaceDE w:val="0"/>
        <w:autoSpaceDN w:val="0"/>
        <w:jc w:val="left"/>
        <w:spacing w:before="69"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1</w:t>
      </w:r>
      <w:r>
        <w:rPr>
          <w:rFonts w:ascii="宋体" w:hAnsi="宋体" w:cs="宋体" w:eastAsia="宋体" w:hint="ascii"/>
          <w:sz w:val="21"/>
        </w:rPr>
        <w:t>．避免与国家社会科学基金重复资助</w:t>
      </w:r>
    </w:p>
    <w:p>
      <w:pPr>
        <w:autoSpaceDE w:val="0"/>
        <w:autoSpaceDN w:val="0"/>
        <w:jc w:val="both"/>
        <w:spacing w:before="19" w:after="0" w:lineRule="exact" w:line="324"/>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为优</w:t>
      </w:r>
      <w:r>
        <w:rPr>
          <w:rFonts w:ascii="宋体" w:hAnsi="宋体" w:cs="宋体" w:eastAsia="宋体" w:hint="ascii"/>
          <w:sz w:val="21"/>
          <w:spacing w:val="2"/>
        </w:rPr>
        <w:t>化</w:t>
      </w:r>
      <w:r>
        <w:rPr>
          <w:rFonts w:ascii="宋体" w:hAnsi="宋体" w:cs="宋体" w:eastAsia="宋体" w:hint="ascii"/>
          <w:sz w:val="21"/>
          <w:spacing w:val="1"/>
        </w:rPr>
        <w:t>国家科学</w:t>
      </w:r>
      <w:r>
        <w:rPr>
          <w:rFonts w:ascii="宋体" w:hAnsi="宋体" w:cs="宋体" w:eastAsia="宋体" w:hint="ascii"/>
          <w:sz w:val="21"/>
          <w:spacing w:val="2"/>
        </w:rPr>
        <w:t>基</w:t>
      </w:r>
      <w:r>
        <w:rPr>
          <w:rFonts w:ascii="宋体" w:hAnsi="宋体" w:cs="宋体" w:eastAsia="宋体" w:hint="ascii"/>
          <w:sz w:val="21"/>
          <w:spacing w:val="1"/>
        </w:rPr>
        <w:t>金</w:t>
      </w:r>
      <w:r>
        <w:rPr>
          <w:rFonts w:ascii="宋体" w:hAnsi="宋体" w:cs="宋体" w:eastAsia="宋体" w:hint="ascii"/>
          <w:sz w:val="21"/>
        </w:rPr>
        <w:t>资源的</w:t>
      </w:r>
      <w:r>
        <w:rPr>
          <w:rFonts w:ascii="宋体" w:hAnsi="宋体" w:cs="宋体" w:eastAsia="宋体" w:hint="ascii"/>
          <w:sz w:val="21"/>
          <w:spacing w:val="1"/>
        </w:rPr>
        <w:t>配</w:t>
      </w:r>
      <w:r>
        <w:rPr>
          <w:rFonts w:ascii="宋体" w:hAnsi="宋体" w:cs="宋体" w:eastAsia="宋体" w:hint="ascii"/>
          <w:sz w:val="21"/>
        </w:rPr>
        <w:t>置，保证</w:t>
      </w:r>
      <w:r>
        <w:rPr>
          <w:rFonts w:ascii="宋体" w:hAnsi="宋体" w:cs="宋体" w:eastAsia="宋体" w:hint="ascii"/>
          <w:sz w:val="21"/>
          <w:spacing w:val="1"/>
        </w:rPr>
        <w:t>项</w:t>
      </w:r>
      <w:r>
        <w:rPr>
          <w:rFonts w:ascii="宋体" w:hAnsi="宋体" w:cs="宋体" w:eastAsia="宋体" w:hint="ascii"/>
          <w:sz w:val="21"/>
        </w:rPr>
        <w:t>目主持人</w:t>
      </w:r>
      <w:r>
        <w:rPr>
          <w:rFonts w:ascii="宋体" w:hAnsi="宋体" w:cs="宋体" w:eastAsia="宋体" w:hint="ascii"/>
          <w:sz w:val="21"/>
          <w:spacing w:val="1"/>
        </w:rPr>
        <w:t>有</w:t>
      </w:r>
      <w:r>
        <w:rPr>
          <w:rFonts w:ascii="宋体" w:hAnsi="宋体" w:cs="宋体" w:eastAsia="宋体" w:hint="ascii"/>
          <w:sz w:val="21"/>
        </w:rPr>
        <w:t>精力完成</w:t>
      </w:r>
      <w:r>
        <w:rPr>
          <w:rFonts w:ascii="宋体" w:hAnsi="宋体" w:cs="宋体" w:eastAsia="宋体" w:hint="ascii"/>
          <w:sz w:val="21"/>
          <w:spacing w:val="1"/>
        </w:rPr>
        <w:t>好</w:t>
      </w:r>
      <w:r>
        <w:rPr>
          <w:rFonts w:ascii="宋体" w:hAnsi="宋体" w:cs="宋体" w:eastAsia="宋体" w:hint="ascii"/>
          <w:sz w:val="21"/>
        </w:rPr>
        <w:t>已承担的</w:t>
      </w:r>
      <w:r>
        <w:rPr>
          <w:rFonts w:ascii="宋体" w:hAnsi="宋体" w:cs="宋体" w:eastAsia="宋体" w:hint="ascii"/>
          <w:sz w:val="21"/>
          <w:spacing w:val="1"/>
        </w:rPr>
        <w:t>国</w:t>
      </w:r>
      <w:r>
        <w:rPr>
          <w:rFonts w:ascii="宋体" w:hAnsi="宋体" w:cs="宋体" w:eastAsia="宋体" w:hint="ascii"/>
          <w:sz w:val="21"/>
        </w:rPr>
        <w:t>家</w:t>
      </w:r>
      <w:r>
        <w:rPr>
          <w:rFonts w:ascii="宋体" w:hAnsi="宋体" w:cs="宋体" w:eastAsia="宋体" w:hint="ascii"/>
          <w:sz w:val="21"/>
          <w:spacing w:val="-6"/>
        </w:rPr>
        <w:t>项</w:t>
      </w:r>
      <w:r>
        <w:rPr>
          <w:rFonts w:ascii="宋体" w:hAnsi="宋体" w:cs="宋体" w:eastAsia="宋体" w:hint="ascii"/>
          <w:sz w:val="21"/>
        </w:rPr>
        <w:t>目，</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8</w:t>
      </w:r>
      <w:r>
        <w:rPr>
          <w:rFonts w:ascii="宋体" w:hAnsi="宋体" w:cs="宋体" w:eastAsia="宋体" w:hint="ascii"/>
          <w:sz w:val="21"/>
        </w:rPr>
        <w:t>年度本科学部不受理下列申请人的项目申请：</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作为项目负责人近</w:t>
      </w:r>
      <w:r>
        <w:rPr>
          <w:rFonts w:ascii="宋体" w:hAnsi="宋体" w:cs="宋体" w:eastAsia="宋体" w:hint="ascii"/>
          <w:sz w:val="21"/>
          <w:spacing w:val="-24"/>
        </w:rPr>
        <w:t xml:space="preserve"> </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24"/>
        </w:rPr>
        <w:t xml:space="preserve"> </w:t>
      </w:r>
      <w:r>
        <w:rPr>
          <w:rFonts w:ascii="宋体" w:hAnsi="宋体" w:cs="宋体" w:eastAsia="宋体" w:hint="ascii"/>
          <w:sz w:val="21"/>
        </w:rPr>
        <w:t>年（</w:t>
      </w:r>
      <w:r>
        <w:rPr>
          <w:rFonts w:ascii="Times New Roman" w:hAnsi="Times New Roman" w:cs="Times New Roman" w:eastAsia="Times New Roman" w:hint="ascii"/>
          <w:sz w:val="21"/>
        </w:rPr>
        <w:t>2013</w:t>
      </w:r>
      <w:r>
        <w:rPr>
          <w:rFonts w:ascii="Times New Roman" w:hAnsi="Times New Roman" w:cs="Times New Roman" w:eastAsia="Times New Roman" w:hint="ascii"/>
          <w:sz w:val="21"/>
          <w:spacing w:val="-24"/>
        </w:rPr>
        <w:t xml:space="preserve"> </w:t>
      </w:r>
      <w:r>
        <w:rPr>
          <w:rFonts w:ascii="宋体" w:hAnsi="宋体" w:cs="宋体" w:eastAsia="宋体" w:hint="ascii"/>
          <w:sz w:val="21"/>
        </w:rPr>
        <w:t>年</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4"/>
        </w:rPr>
        <w:t xml:space="preserve"> </w:t>
      </w:r>
      <w:r>
        <w:rPr>
          <w:rFonts w:ascii="宋体" w:hAnsi="宋体" w:cs="宋体" w:eastAsia="宋体" w:hint="ascii"/>
          <w:sz w:val="21"/>
        </w:rPr>
        <w:t>月</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4"/>
        </w:rPr>
        <w:t xml:space="preserve"> </w:t>
      </w:r>
      <w:r>
        <w:rPr>
          <w:rFonts w:ascii="宋体" w:hAnsi="宋体" w:cs="宋体" w:eastAsia="宋体" w:hint="ascii"/>
          <w:sz w:val="21"/>
        </w:rPr>
        <w:t>日后）已经获得国家社会科学基金资助，</w:t>
      </w:r>
    </w:p>
    <w:p>
      <w:pPr>
        <w:autoSpaceDE w:val="0"/>
        <w:autoSpaceDN w:val="0"/>
        <w:jc w:val="both"/>
        <w:spacing w:before="12" w:after="0" w:lineRule="exact" w:line="324"/>
        <w:ind w:right="978" w:left="861" w:firstLine="104"/>
        <w:snapToGrid w:val="0"/>
        <w:textAlignment w:val="auto"/>
        <w:tabs/>
        <w:rPr>
          <w:rFonts w:ascii="宋体" w:hAnsi="宋体" w:cs="宋体" w:eastAsia="宋体" w:hint="ascii"/>
          <w:sz w:val="21"/>
        </w:rPr>
      </w:pPr>
      <w:r>
        <w:rPr>
          <w:rFonts w:ascii="宋体" w:hAnsi="宋体" w:cs="宋体" w:eastAsia="宋体" w:hint="ascii"/>
          <w:sz w:val="21"/>
          <w:spacing w:val="-1"/>
        </w:rPr>
        <w:t>但在当年科学</w:t>
      </w:r>
      <w:r>
        <w:rPr>
          <w:rFonts w:ascii="宋体" w:hAnsi="宋体" w:cs="宋体" w:eastAsia="宋体" w:hint="ascii"/>
          <w:sz w:val="21"/>
        </w:rPr>
        <w:t>基金项目申请截止日期前，尚未获得全国哲学社会科学规划办公室颁发的《结项证书》者。</w:t>
      </w:r>
    </w:p>
    <w:p>
      <w:pPr>
        <w:autoSpaceDE w:val="0"/>
        <w:autoSpaceDN w:val="0"/>
        <w:jc w:val="left"/>
        <w:spacing w:before="52"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注：已获得全国哲学社会科学规划办公室颁发的《结项证书》且</w:t>
      </w:r>
      <w:r>
        <w:rPr>
          <w:rFonts w:ascii="宋体" w:hAnsi="宋体" w:cs="宋体" w:eastAsia="宋体" w:hint="ascii"/>
          <w:sz w:val="21"/>
          <w:spacing w:val="-25"/>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年作为申请</w:t>
      </w:r>
    </w:p>
    <w:p>
      <w:pPr>
        <w:autoSpaceDE w:val="0"/>
        <w:autoSpaceDN w:val="0"/>
        <w:jc w:val="both"/>
        <w:spacing w:before="14" w:after="0" w:lineRule="exact" w:line="325"/>
        <w:ind w:right="962" w:left="966" w:firstLine="0"/>
        <w:snapToGrid w:val="0"/>
        <w:textAlignment w:val="auto"/>
        <w:tabs/>
        <w:rPr>
          <w:rFonts w:ascii="宋体" w:hAnsi="宋体" w:cs="宋体" w:eastAsia="宋体" w:hint="ascii"/>
          <w:sz w:val="21"/>
        </w:rPr>
      </w:pPr>
      <w:r>
        <w:rPr>
          <w:rFonts w:ascii="宋体" w:hAnsi="宋体" w:cs="宋体" w:eastAsia="宋体" w:hint="ascii"/>
          <w:sz w:val="21"/>
        </w:rPr>
        <w:t>人申报国家自然科学基金（</w:t>
      </w:r>
      <w:r>
        <w:rPr>
          <w:rFonts w:ascii="Times New Roman" w:hAnsi="Times New Roman" w:cs="Times New Roman" w:eastAsia="Times New Roman" w:hint="ascii"/>
          <w:sz w:val="21"/>
          <w:spacing w:val="52"/>
        </w:rPr>
        <w:t>G</w:t>
      </w:r>
      <w:r>
        <w:rPr>
          <w:rFonts w:ascii="宋体" w:hAnsi="宋体" w:cs="宋体" w:eastAsia="宋体" w:hint="ascii"/>
          <w:sz w:val="21"/>
        </w:rPr>
        <w:t>字头申请代码）项目者，须在提交的申请书后附《结项证书》复印件，且在《结项证书》复印件上加盖依托单位法人公章。</w:t>
      </w:r>
    </w:p>
    <w:p>
      <w:pPr>
        <w:autoSpaceDE w:val="0"/>
        <w:autoSpaceDN w:val="0"/>
        <w:jc w:val="left"/>
        <w:spacing w:before="51"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2</w:t>
      </w:r>
      <w:r>
        <w:rPr>
          <w:rFonts w:ascii="宋体" w:hAnsi="宋体" w:cs="宋体" w:eastAsia="宋体" w:hint="ascii"/>
          <w:sz w:val="21"/>
        </w:rPr>
        <w:t>．申请信息的准确和完整性</w:t>
      </w:r>
    </w:p>
    <w:p>
      <w:pPr>
        <w:autoSpaceDE w:val="0"/>
        <w:autoSpaceDN w:val="0"/>
        <w:jc w:val="both"/>
        <w:spacing w:before="21" w:after="0" w:lineRule="exact" w:line="325"/>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申请人要确保</w:t>
      </w:r>
      <w:r>
        <w:rPr>
          <w:rFonts w:ascii="宋体" w:hAnsi="宋体" w:cs="宋体" w:eastAsia="宋体" w:hint="ascii"/>
          <w:sz w:val="21"/>
        </w:rPr>
        <w:t>申请书中所有信息的准确、完整、可靠。依托单位要对相关信息进行认真的审核。除其他有关规定外，申请书填写要特别严格遵从以下要求：</w:t>
      </w:r>
    </w:p>
    <w:p>
      <w:pPr>
        <w:autoSpaceDE w:val="0"/>
        <w:autoSpaceDN w:val="0"/>
        <w:jc w:val="both"/>
        <w:spacing w:before="0" w:after="0" w:lineRule="exact" w:line="326"/>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）申请人</w:t>
      </w:r>
      <w:r>
        <w:rPr>
          <w:rFonts w:ascii="宋体" w:hAnsi="宋体" w:cs="宋体" w:eastAsia="宋体" w:hint="ascii"/>
          <w:sz w:val="21"/>
        </w:rPr>
        <w:t>应详细论述与本申请相关的前期工作基础，前期工作已发表的论文，应在申请书中详细写明，已录用待发表论文应附用稿通知复印件等证明。</w:t>
      </w:r>
    </w:p>
    <w:p>
      <w:pPr>
        <w:autoSpaceDE w:val="0"/>
        <w:autoSpaceDN w:val="0"/>
        <w:jc w:val="left"/>
        <w:spacing w:before="5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）本科学部不支持将相同或基本相同的项目申请书在不同的资助机构中以同一申</w:t>
      </w:r>
    </w:p>
    <w:p>
      <w:pPr>
        <w:autoSpaceDE w:val="0"/>
        <w:autoSpaceDN w:val="0"/>
        <w:jc w:val="right"/>
        <w:spacing w:before="13" w:after="0" w:lineRule="exact" w:line="326"/>
        <w:ind w:right="978" w:left="861" w:firstLine="0"/>
        <w:snapToGrid w:val="0"/>
        <w:textAlignment w:val="auto"/>
        <w:tabs/>
        <w:rPr>
          <w:rFonts w:ascii="宋体" w:hAnsi="宋体" w:cs="宋体" w:eastAsia="宋体" w:hint="ascii"/>
          <w:sz w:val="21"/>
        </w:rPr>
      </w:pPr>
      <w:r>
        <w:rPr>
          <w:rFonts w:ascii="宋体" w:hAnsi="宋体" w:cs="宋体" w:eastAsia="宋体" w:hint="ascii"/>
          <w:sz w:val="21"/>
        </w:rPr>
        <w:t>请人或者不同申请人的名义进行多处申请。对于申请人在以往科学基金项目基础上提出新的项目申请，应在申请书中详细阐明以往获资助项目的进展情况，以及新项目申请与</w:t>
      </w:r>
      <w:r>
        <w:rPr>
          <w:rFonts w:ascii="宋体" w:hAnsi="宋体" w:cs="宋体" w:eastAsia="宋体" w:hint="ascii"/>
          <w:sz w:val="21"/>
          <w:spacing w:val="3"/>
        </w:rPr>
        <w:t>以往获资</w:t>
      </w:r>
      <w:r>
        <w:rPr>
          <w:rFonts w:ascii="宋体" w:hAnsi="宋体" w:cs="宋体" w:eastAsia="宋体" w:hint="ascii"/>
          <w:sz w:val="21"/>
        </w:rPr>
        <w:t>助</w:t>
      </w:r>
      <w:r>
        <w:rPr>
          <w:rFonts w:ascii="宋体" w:hAnsi="宋体" w:cs="宋体" w:eastAsia="宋体" w:hint="ascii"/>
          <w:sz w:val="21"/>
          <w:spacing w:val="3"/>
        </w:rPr>
        <w:t>项目的区</w:t>
      </w:r>
      <w:r>
        <w:rPr>
          <w:rFonts w:ascii="宋体" w:hAnsi="宋体" w:cs="宋体" w:eastAsia="宋体" w:hint="ascii"/>
          <w:sz w:val="21"/>
        </w:rPr>
        <w:t>别</w:t>
      </w:r>
      <w:r>
        <w:rPr>
          <w:rFonts w:ascii="宋体" w:hAnsi="宋体" w:cs="宋体" w:eastAsia="宋体" w:hint="ascii"/>
          <w:sz w:val="21"/>
          <w:spacing w:val="3"/>
        </w:rPr>
        <w:t>、联系与</w:t>
      </w:r>
      <w:r>
        <w:rPr>
          <w:rFonts w:ascii="宋体" w:hAnsi="宋体" w:cs="宋体" w:eastAsia="宋体" w:hint="ascii"/>
          <w:sz w:val="21"/>
        </w:rPr>
        <w:t>发</w:t>
      </w:r>
      <w:r>
        <w:rPr>
          <w:rFonts w:ascii="宋体" w:hAnsi="宋体" w:cs="宋体" w:eastAsia="宋体" w:hint="ascii"/>
          <w:sz w:val="21"/>
          <w:spacing w:val="3"/>
        </w:rPr>
        <w:t>展；新项</w:t>
      </w:r>
      <w:r>
        <w:rPr>
          <w:rFonts w:ascii="宋体" w:hAnsi="宋体" w:cs="宋体" w:eastAsia="宋体" w:hint="ascii"/>
          <w:sz w:val="21"/>
        </w:rPr>
        <w:t>目</w:t>
      </w:r>
      <w:r>
        <w:rPr>
          <w:rFonts w:ascii="宋体" w:hAnsi="宋体" w:cs="宋体" w:eastAsia="宋体" w:hint="ascii"/>
          <w:sz w:val="21"/>
          <w:spacing w:val="3"/>
        </w:rPr>
        <w:t>申请与申</w:t>
      </w:r>
      <w:r>
        <w:rPr>
          <w:rFonts w:ascii="宋体" w:hAnsi="宋体" w:cs="宋体" w:eastAsia="宋体" w:hint="ascii"/>
          <w:sz w:val="21"/>
        </w:rPr>
        <w:t>请</w:t>
      </w:r>
      <w:r>
        <w:rPr>
          <w:rFonts w:ascii="宋体" w:hAnsi="宋体" w:cs="宋体" w:eastAsia="宋体" w:hint="ascii"/>
          <w:sz w:val="21"/>
          <w:spacing w:val="3"/>
        </w:rPr>
        <w:t>人已承担</w:t>
      </w:r>
      <w:r>
        <w:rPr>
          <w:rFonts w:ascii="宋体" w:hAnsi="宋体" w:cs="宋体" w:eastAsia="宋体" w:hint="ascii"/>
          <w:sz w:val="21"/>
        </w:rPr>
        <w:t>或</w:t>
      </w:r>
      <w:r>
        <w:rPr>
          <w:rFonts w:ascii="宋体" w:hAnsi="宋体" w:cs="宋体" w:eastAsia="宋体" w:hint="ascii"/>
          <w:sz w:val="21"/>
          <w:spacing w:val="3"/>
        </w:rPr>
        <w:t>参加的其他</w:t>
      </w:r>
      <w:r>
        <w:rPr>
          <w:rFonts w:ascii="宋体" w:hAnsi="宋体" w:cs="宋体" w:eastAsia="宋体" w:hint="ascii"/>
          <w:sz w:val="21"/>
          <w:spacing w:val="4"/>
        </w:rPr>
        <w:t>机</w:t>
      </w:r>
      <w:r>
        <w:rPr>
          <w:rFonts w:ascii="宋体" w:hAnsi="宋体" w:cs="宋体" w:eastAsia="宋体" w:hint="ascii"/>
          <w:sz w:val="21"/>
        </w:rPr>
        <w:t>构（如科技部、教育部、国家社会科学基金、地方基金等）资助项目研究内容相关的，应</w:t>
      </w:r>
    </w:p>
    <w:p>
      <w:pPr>
        <w:autoSpaceDE w:val="0"/>
        <w:autoSpaceDN w:val="0"/>
        <w:jc w:val="left"/>
        <w:spacing w:before="5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明确阐述二者的异同、继承与发展关系。</w:t>
      </w:r>
    </w:p>
    <w:p>
      <w:pPr>
        <w:autoSpaceDE w:val="0"/>
        <w:autoSpaceDN w:val="0"/>
        <w:jc w:val="left"/>
        <w:spacing w:before="63"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3</w:t>
      </w:r>
      <w:r>
        <w:rPr>
          <w:rFonts w:ascii="宋体" w:hAnsi="宋体" w:cs="宋体" w:eastAsia="宋体" w:hint="ascii"/>
          <w:sz w:val="21"/>
        </w:rPr>
        <w:t>．近期启动的在研项目负责人的新申请</w:t>
      </w:r>
    </w:p>
    <w:p>
      <w:pPr>
        <w:autoSpaceDE w:val="0"/>
        <w:autoSpaceDN w:val="0"/>
        <w:jc w:val="left"/>
        <w:spacing w:before="7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为敦促申请人认真做好在研项目的研究工作，本科学部对近两年，即</w:t>
      </w:r>
      <w:r>
        <w:rPr>
          <w:rFonts w:ascii="宋体" w:hAnsi="宋体" w:cs="宋体" w:eastAsia="宋体" w:hint="ascii"/>
          <w:sz w:val="21"/>
          <w:spacing w:val="-24"/>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w:t>
      </w:r>
    </w:p>
    <w:p>
      <w:pPr>
        <w:autoSpaceDE w:val="0"/>
        <w:autoSpaceDN w:val="0"/>
        <w:jc w:val="left"/>
        <w:spacing w:before="444"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1" w:after="0" w:lineRule="exact" w:line="326"/>
        <w:ind w:right="977" w:left="966" w:firstLine="0"/>
        <w:snapToGrid w:val="0"/>
        <w:textAlignment w:val="auto"/>
        <w:tabs>
          <w:tab w:val="left" w:leader="none" w:pos="1441"/>
        </w:tabs>
        <w:numPr>
          <w:ilvl w:val="0"/>
          <w:numId w:val="100"/>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1"/>
        </w:rPr>
        <w:t>获</w:t>
      </w:r>
      <w:r>
        <w:rPr>
          <w:rFonts w:ascii="宋体" w:hAnsi="宋体" w:cs="宋体" w:eastAsia="宋体" w:hint="ascii"/>
          <w:sz w:val="21"/>
        </w:rPr>
        <w:t>得自</w:t>
      </w:r>
      <w:r>
        <w:rPr>
          <w:rFonts w:ascii="宋体" w:hAnsi="宋体" w:cs="宋体" w:eastAsia="宋体" w:hint="ascii"/>
          <w:sz w:val="21"/>
          <w:spacing w:val="-1"/>
        </w:rPr>
        <w:t>然</w:t>
      </w:r>
      <w:r>
        <w:rPr>
          <w:rFonts w:ascii="宋体" w:hAnsi="宋体" w:cs="宋体" w:eastAsia="宋体" w:hint="ascii"/>
          <w:sz w:val="21"/>
        </w:rPr>
        <w:t>科</w:t>
      </w:r>
      <w:r>
        <w:rPr>
          <w:rFonts w:ascii="宋体" w:hAnsi="宋体" w:cs="宋体" w:eastAsia="宋体" w:hint="ascii"/>
          <w:sz w:val="21"/>
          <w:spacing w:val="-1"/>
        </w:rPr>
        <w:t>学</w:t>
      </w:r>
      <w:r>
        <w:rPr>
          <w:rFonts w:ascii="宋体" w:hAnsi="宋体" w:cs="宋体" w:eastAsia="宋体" w:hint="ascii"/>
          <w:sz w:val="21"/>
        </w:rPr>
        <w:t>基金</w:t>
      </w:r>
      <w:r>
        <w:rPr>
          <w:rFonts w:ascii="宋体" w:hAnsi="宋体" w:cs="宋体" w:eastAsia="宋体" w:hint="ascii"/>
          <w:sz w:val="21"/>
          <w:spacing w:val="-1"/>
        </w:rPr>
        <w:t>各</w:t>
      </w:r>
      <w:r>
        <w:rPr>
          <w:rFonts w:ascii="宋体" w:hAnsi="宋体" w:cs="宋体" w:eastAsia="宋体" w:hint="ascii"/>
          <w:sz w:val="21"/>
        </w:rPr>
        <w:t>类</w:t>
      </w:r>
      <w:r>
        <w:rPr>
          <w:rFonts w:ascii="宋体" w:hAnsi="宋体" w:cs="宋体" w:eastAsia="宋体" w:hint="ascii"/>
          <w:sz w:val="21"/>
          <w:spacing w:val="-1"/>
        </w:rPr>
        <w:t>项</w:t>
      </w:r>
      <w:r>
        <w:rPr>
          <w:rFonts w:ascii="宋体" w:hAnsi="宋体" w:cs="宋体" w:eastAsia="宋体" w:hint="ascii"/>
          <w:sz w:val="21"/>
        </w:rPr>
        <w:t>目资</w:t>
      </w:r>
      <w:r>
        <w:rPr>
          <w:rFonts w:ascii="宋体" w:hAnsi="宋体" w:cs="宋体" w:eastAsia="宋体" w:hint="ascii"/>
          <w:sz w:val="21"/>
          <w:spacing w:val="-1"/>
        </w:rPr>
        <w:t>助</w:t>
      </w:r>
      <w:r>
        <w:rPr>
          <w:rFonts w:ascii="宋体" w:hAnsi="宋体" w:cs="宋体" w:eastAsia="宋体" w:hint="ascii"/>
          <w:sz w:val="21"/>
        </w:rPr>
        <w:t>的</w:t>
      </w:r>
      <w:r>
        <w:rPr>
          <w:rFonts w:ascii="宋体" w:hAnsi="宋体" w:cs="宋体" w:eastAsia="宋体" w:hint="ascii"/>
          <w:sz w:val="21"/>
          <w:spacing w:val="-1"/>
        </w:rPr>
        <w:t>项</w:t>
      </w:r>
      <w:r>
        <w:rPr>
          <w:rFonts w:ascii="宋体" w:hAnsi="宋体" w:cs="宋体" w:eastAsia="宋体" w:hint="ascii"/>
          <w:sz w:val="21"/>
        </w:rPr>
        <w:t>目负</w:t>
      </w:r>
      <w:r>
        <w:rPr>
          <w:rFonts w:ascii="宋体" w:hAnsi="宋体" w:cs="宋体" w:eastAsia="宋体" w:hint="ascii"/>
          <w:sz w:val="21"/>
          <w:spacing w:val="-1"/>
        </w:rPr>
        <w:t>责</w:t>
      </w:r>
      <w:r>
        <w:rPr>
          <w:rFonts w:ascii="宋体" w:hAnsi="宋体" w:cs="宋体" w:eastAsia="宋体" w:hint="ascii"/>
          <w:sz w:val="21"/>
        </w:rPr>
        <w:t>人，</w:t>
      </w:r>
      <w:r>
        <w:rPr>
          <w:rFonts w:ascii="Times New Roman" w:hAnsi="Times New Roman" w:cs="Times New Roman" w:eastAsia="Times New Roman" w:hint="ascii"/>
          <w:sz w:val="21"/>
          <w:spacing w:val="-2"/>
        </w:rPr>
        <w:t>2</w:t>
      </w:r>
      <w:r>
        <w:rPr>
          <w:rFonts w:ascii="Times New Roman" w:hAnsi="Times New Roman" w:cs="Times New Roman" w:eastAsia="Times New Roman" w:hint="ascii"/>
          <w:sz w:val="21"/>
        </w:rPr>
        <w:t>018</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w:t>
      </w:r>
      <w:r>
        <w:rPr>
          <w:rFonts w:ascii="宋体" w:hAnsi="宋体" w:cs="宋体" w:eastAsia="宋体" w:hint="ascii"/>
          <w:sz w:val="21"/>
          <w:spacing w:val="-1"/>
        </w:rPr>
        <w:t>再次</w:t>
      </w:r>
      <w:r>
        <w:rPr>
          <w:rFonts w:ascii="宋体" w:hAnsi="宋体" w:cs="宋体" w:eastAsia="宋体" w:hint="ascii"/>
          <w:sz w:val="21"/>
        </w:rPr>
        <w:t>提出</w:t>
      </w:r>
      <w:r>
        <w:rPr>
          <w:rFonts w:ascii="宋体" w:hAnsi="宋体" w:cs="宋体" w:eastAsia="宋体" w:hint="ascii"/>
          <w:sz w:val="21"/>
          <w:spacing w:val="-1"/>
        </w:rPr>
        <w:t>的</w:t>
      </w:r>
      <w:r>
        <w:rPr>
          <w:rFonts w:ascii="宋体" w:hAnsi="宋体" w:cs="宋体" w:eastAsia="宋体" w:hint="ascii"/>
          <w:sz w:val="21"/>
        </w:rPr>
        <w:t>项</w:t>
      </w:r>
      <w:r>
        <w:rPr>
          <w:rFonts w:ascii="宋体" w:hAnsi="宋体" w:cs="宋体" w:eastAsia="宋体" w:hint="ascii"/>
          <w:sz w:val="21"/>
          <w:spacing w:val="-1"/>
        </w:rPr>
        <w:t>目</w:t>
      </w:r>
      <w:r>
        <w:rPr>
          <w:rFonts w:ascii="宋体" w:hAnsi="宋体" w:cs="宋体" w:eastAsia="宋体" w:hint="ascii"/>
          <w:sz w:val="21"/>
          <w:spacing w:val="-4"/>
        </w:rPr>
        <w:t>申</w:t>
      </w:r>
      <w:r>
        <w:rPr>
          <w:rFonts w:ascii="宋体" w:hAnsi="宋体" w:cs="宋体" w:eastAsia="宋体" w:hint="ascii"/>
          <w:sz w:val="21"/>
        </w:rPr>
        <w:t>请将予以从严掌握。</w:t>
      </w:r>
      <w:r>
        <w:rPr>
          <w:rFonts w:ascii="宋体" w:hAnsi="宋体" w:cs="宋体" w:eastAsia="宋体" w:hint="ascii"/>
          <w:sz w:val="21"/>
        </w:rPr>
        <mc:AlternateContent>
          <mc:Choice Requires="wps">
            <w:drawing>
              <wp:anchor distL="0" distR="0" distT="0" distB="0" simplePos="0" behindDoc="1" relativeHeight="119" locked="0" layoutInCell="1" allowOverlap="1">
                <wp:simplePos x="0" y="0"/>
                <wp:positionH relativeFrom="page">
                  <wp:posOffset>938530</wp:posOffset>
                </wp:positionH>
                <wp:positionV relativeFrom="page">
                  <wp:posOffset>805815</wp:posOffset>
                </wp:positionV>
                <wp:extent cx="5076190" cy="0"/>
                <wp:wrapNone/>
                <wp:docPr id="1148" name="114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36384;width:399.70pt;" id="114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1"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4</w:t>
      </w:r>
      <w:r>
        <w:rPr>
          <w:rFonts w:ascii="宋体" w:hAnsi="宋体" w:cs="宋体" w:eastAsia="宋体" w:hint="ascii"/>
          <w:sz w:val="21"/>
        </w:rPr>
        <w:t>．与已完成项目绩效挂钩</w:t>
      </w:r>
    </w:p>
    <w:p>
      <w:pPr>
        <w:autoSpaceDE w:val="0"/>
        <w:autoSpaceDN w:val="0"/>
        <w:jc w:val="left"/>
        <w:spacing w:before="7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本科学部坚持对面上项目、青年科学基金项目、地区科学基金项目在结题一年后进</w:t>
      </w:r>
    </w:p>
    <w:p>
      <w:pPr>
        <w:autoSpaceDE w:val="0"/>
        <w:autoSpaceDN w:val="0"/>
        <w:jc w:val="both"/>
        <w:spacing w:before="13" w:after="0" w:lineRule="exact" w:line="326"/>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行绩效评估</w:t>
      </w:r>
      <w:r>
        <w:rPr>
          <w:rFonts w:ascii="宋体" w:hAnsi="宋体" w:cs="宋体" w:eastAsia="宋体" w:hint="ascii"/>
          <w:sz w:val="21"/>
        </w:rPr>
        <w:t>，并在本科学部的网页上公布评估结果。对高质量完成项目的负责人所提出</w:t>
      </w:r>
      <w:r>
        <w:rPr>
          <w:rFonts w:ascii="宋体" w:hAnsi="宋体" w:cs="宋体" w:eastAsia="宋体" w:hint="ascii"/>
          <w:sz w:val="21"/>
          <w:spacing w:val="-1"/>
        </w:rPr>
        <w:t>的新申请，</w:t>
      </w:r>
      <w:r>
        <w:rPr>
          <w:rFonts w:ascii="宋体" w:hAnsi="宋体" w:cs="宋体" w:eastAsia="宋体" w:hint="ascii"/>
          <w:sz w:val="21"/>
        </w:rPr>
        <w:t>在同等条件下将予以优先资助；对于以往项目执行不力的负责人所提出的新申请，将从严掌握。</w:t>
      </w:r>
    </w:p>
    <w:p>
      <w:pPr>
        <w:autoSpaceDE w:val="0"/>
        <w:autoSpaceDN w:val="0"/>
        <w:jc w:val="left"/>
        <w:spacing w:before="50" w:after="0" w:lineRule="auto" w:line="240"/>
        <w:ind w:right="0" w:left="1860" w:hanging="474"/>
        <w:snapToGrid w:val="0"/>
        <w:textAlignment w:val="auto"/>
        <w:tabs>
          <w:tab w:val="left" w:leader="none" w:pos="1860"/>
        </w:tabs>
        <w:numPr>
          <w:ilvl w:val="0"/>
          <w:numId w:val="86"/>
        </w:numPr>
        <w:rPr>
          <w:rFonts w:ascii="Times New Roman" w:hAnsi="Times New Roman" w:cs="Times New Roman" w:eastAsia="Times New Roman" w:hint="ascii"/>
          <w:sz w:val="21"/>
          <w:spacing w:val="1"/>
        </w:rPr>
      </w:pPr>
      <w:r>
        <w:rPr>
          <w:rFonts w:ascii="宋体" w:hAnsi="宋体" w:cs="宋体" w:eastAsia="宋体" w:hint="ascii"/>
          <w:sz w:val="21"/>
        </w:rPr>
        <w:t>年度面上项目平均资助强度</w:t>
      </w:r>
      <w:r>
        <w:rPr>
          <w:rFonts w:ascii="宋体" w:hAnsi="宋体" w:cs="宋体" w:eastAsia="宋体" w:hint="ascii"/>
          <w:sz w:val="21"/>
          <w:spacing w:val="26"/>
        </w:rPr>
        <w:t>为</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4</w:t>
      </w:r>
      <w:r>
        <w:rPr>
          <w:rFonts w:ascii="宋体" w:hAnsi="宋体" w:cs="宋体" w:eastAsia="宋体" w:hint="ascii"/>
          <w:sz w:val="21"/>
        </w:rPr>
        <w:t>年。</w:t>
      </w:r>
    </w:p>
    <w:p>
      <w:pPr>
        <w:autoSpaceDE w:val="0"/>
        <w:autoSpaceDN w:val="0"/>
        <w:jc w:val="left"/>
        <w:spacing w:before="187" w:after="0" w:lineRule="exact" w:line="225"/>
        <w:ind w:right="0" w:left="3253" w:firstLine="0"/>
        <w:snapToGrid w:val="0"/>
        <w:textAlignment w:val="auto"/>
        <w:tabs/>
        <w:rPr>
          <w:rFonts w:ascii="宋体" w:hAnsi="宋体" w:cs="宋体" w:eastAsia="宋体" w:hint="ascii"/>
          <w:sz w:val="18"/>
        </w:rPr>
      </w:pPr>
      <w:r>
        <w:rPr>
          <w:rFonts w:ascii="宋体" w:hAnsi="宋体" w:cs="宋体" w:eastAsia="宋体" w:hint="ascii"/>
          <w:sz w:val="18"/>
        </w:rPr>
        <w:t>管理科学部面上项目近两年资助情况一览表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566"/>
        <w:gridCol w:w="1984"/>
        <w:gridCol w:w="849"/>
        <w:gridCol w:w="851"/>
        <w:gridCol w:w="1020"/>
        <w:gridCol w:w="851"/>
        <w:gridCol w:w="852"/>
        <w:gridCol w:w="1019"/>
      </w:tblGrid>
      <w:tr>
        <w:trPr>
          <w:trHeight w:val="300" w:hRule="exact"/>
          <w:cantSplit w:val="1"/>
        </w:trPr>
        <w:tc>
          <w:tcPr>
            <w:tcW w:w="2550" w:type="dxa"/>
            <w:gridSpan w:val="2"/>
            <w:vAlign w:val="top"/>
            <w:vMerge w:val="restart"/>
            <w:tcMar/>
            <w:tcBorders/>
          </w:tcPr>
          <w:p>
            <w:pPr>
              <w:autoSpaceDE w:val="0"/>
              <w:autoSpaceDN w:val="0"/>
              <w:jc w:val="left"/>
              <w:spacing w:before="193" w:after="0" w:lineRule="exact" w:line="188"/>
              <w:ind w:right="0" w:left="104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0" w:type="dxa"/>
            <w:gridSpan w:val="3"/>
            <w:vAlign w:val="top"/>
            <w:tcMar/>
            <w:tcBorders>
              <w:left w:val="single" w:sz="4" w:space="0" w:color="000000"/>
            </w:tcBorders>
          </w:tcPr>
          <w:p>
            <w:pPr>
              <w:autoSpaceDE w:val="0"/>
              <w:autoSpaceDN w:val="0"/>
              <w:jc w:val="left"/>
              <w:spacing w:before="45" w:after="0" w:lineRule="auto" w:line="240"/>
              <w:ind w:right="0" w:left="1038" w:firstLine="0"/>
              <w:snapToGrid w:val="0"/>
              <w:textAlignment w:val="auto"/>
              <w:tabs>
                <w:tab w:val="left" w:leader="none" w:pos="1381"/>
              </w:tabs>
              <w:numPr>
                <w:ilvl w:val="0"/>
                <w:numId w:val="101"/>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45" w:after="0" w:lineRule="auto" w:line="240"/>
              <w:ind w:right="0" w:left="1038" w:firstLine="0"/>
              <w:snapToGrid w:val="0"/>
              <w:textAlignment w:val="auto"/>
              <w:tabs>
                <w:tab w:val="left" w:leader="none" w:pos="1381"/>
              </w:tabs>
              <w:numPr>
                <w:ilvl w:val="0"/>
                <w:numId w:val="101"/>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294" w:hRule="exact"/>
          <w:cantSplit w:val="1"/>
        </w:trPr>
        <w:tc>
          <w:tcPr>
            <w:tcW w:w="255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1"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20"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851"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2"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4" w:after="0" w:lineRule="exact" w:line="188"/>
              <w:ind w:right="0" w:left="6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94" w:hRule="exact"/>
          <w:cantSplit w:val="1"/>
        </w:trPr>
        <w:tc>
          <w:tcPr>
            <w:tcW w:w="566" w:type="dxa"/>
            <w:gridSpan w:val="1"/>
            <w:vAlign w:val="top"/>
            <w:tcMar/>
            <w:tcBorders>
              <w:top w:val="single" w:sz="4" w:space="0" w:color="000000"/>
            </w:tcBorders>
          </w:tcPr>
          <w:p>
            <w:pPr>
              <w:autoSpaceDE w:val="0"/>
              <w:autoSpaceDN w:val="0"/>
              <w:jc w:val="left"/>
              <w:spacing w:before="4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62" w:firstLine="0"/>
              <w:snapToGrid w:val="0"/>
              <w:textAlignment w:val="auto"/>
              <w:tabs/>
              <w:rPr>
                <w:rFonts w:ascii="宋体" w:hAnsi="宋体" w:cs="宋体" w:eastAsia="宋体" w:hint="ascii"/>
                <w:sz w:val="15"/>
              </w:rPr>
            </w:pPr>
            <w:r>
              <w:rPr>
                <w:rFonts w:ascii="宋体" w:hAnsi="宋体" w:cs="宋体" w:eastAsia="宋体" w:hint="ascii"/>
                <w:sz w:val="15"/>
              </w:rPr>
              <w:t>管理科学与工程</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193</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8" w:firstLine="0"/>
              <w:snapToGrid w:val="0"/>
              <w:textAlignment w:val="auto"/>
              <w:tabs>
                <w:tab w:val="left" w:leader="none" w:pos="406"/>
              </w:tabs>
              <w:numPr>
                <w:ilvl w:val="0"/>
                <w:numId w:val="102"/>
              </w:numPr>
              <w:rPr>
                <w:rFonts w:ascii="Times New Roman" w:hAnsi="Times New Roman" w:cs="Times New Roman" w:eastAsia="Times New Roman" w:hint="ascii"/>
                <w:sz w:val="15"/>
              </w:rPr>
            </w:pPr>
            <w:r>
              <w:rPr>
                <w:rFonts w:ascii="Times New Roman" w:hAnsi="Times New Roman" w:cs="Times New Roman" w:eastAsia="Times New Roman" w:hint="ascii"/>
                <w:sz w:val="15"/>
              </w:rPr>
              <w:t>264</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21.69</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224</w:t>
            </w:r>
          </w:p>
        </w:tc>
        <w:tc>
          <w:tcPr>
            <w:tcW w:w="85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15" w:firstLine="0"/>
              <w:snapToGrid w:val="0"/>
              <w:textAlignment w:val="auto"/>
              <w:tabs>
                <w:tab w:val="left" w:leader="none" w:pos="408"/>
              </w:tabs>
              <w:numPr>
                <w:ilvl w:val="0"/>
                <w:numId w:val="10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752</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20.59</w:t>
            </w:r>
          </w:p>
        </w:tc>
      </w:tr>
      <w:tr>
        <w:trPr>
          <w:trHeight w:val="295" w:hRule="exact"/>
          <w:cantSplit w:val="1"/>
        </w:trPr>
        <w:tc>
          <w:tcPr>
            <w:tcW w:w="566" w:type="dxa"/>
            <w:gridSpan w:val="1"/>
            <w:vAlign w:val="top"/>
            <w:tcMar/>
            <w:tcBorders>
              <w:top w:val="single" w:sz="4" w:space="0" w:color="000000"/>
            </w:tcBorders>
          </w:tcPr>
          <w:p>
            <w:pPr>
              <w:autoSpaceDE w:val="0"/>
              <w:autoSpaceDN w:val="0"/>
              <w:jc w:val="left"/>
              <w:spacing w:before="4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工商管理</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1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10 032</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20.31</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196</w:t>
            </w:r>
          </w:p>
        </w:tc>
        <w:tc>
          <w:tcPr>
            <w:tcW w:w="85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9 408</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19.20</w:t>
            </w:r>
          </w:p>
        </w:tc>
      </w:tr>
      <w:tr>
        <w:trPr>
          <w:trHeight w:val="294" w:hRule="exact"/>
          <w:cantSplit w:val="1"/>
        </w:trPr>
        <w:tc>
          <w:tcPr>
            <w:tcW w:w="566" w:type="dxa"/>
            <w:gridSpan w:val="1"/>
            <w:vAlign w:val="top"/>
            <w:vMerge w:val="restart"/>
            <w:tcMar/>
            <w:tcBorders>
              <w:top w:val="single" w:sz="4" w:space="0" w:color="000000"/>
            </w:tcBorders>
          </w:tcPr>
          <w:p>
            <w:pPr>
              <w:autoSpaceDE w:val="0"/>
              <w:autoSpaceDN w:val="0"/>
              <w:jc w:val="left"/>
              <w:spacing w:before="192"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经济科学</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138</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8" w:firstLine="0"/>
              <w:snapToGrid w:val="0"/>
              <w:textAlignment w:val="auto"/>
              <w:tabs>
                <w:tab w:val="left" w:leader="none" w:pos="406"/>
              </w:tabs>
              <w:numPr>
                <w:ilvl w:val="0"/>
                <w:numId w:val="103"/>
              </w:numPr>
              <w:rPr>
                <w:rFonts w:ascii="Times New Roman" w:hAnsi="Times New Roman" w:cs="Times New Roman" w:eastAsia="Times New Roman" w:hint="ascii"/>
                <w:sz w:val="15"/>
              </w:rPr>
            </w:pPr>
            <w:r>
              <w:rPr>
                <w:rFonts w:ascii="Times New Roman" w:hAnsi="Times New Roman" w:cs="Times New Roman" w:eastAsia="Times New Roman" w:hint="ascii"/>
                <w:sz w:val="15"/>
              </w:rPr>
              <w:t>662</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18.23</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153</w:t>
            </w:r>
          </w:p>
        </w:tc>
        <w:tc>
          <w:tcPr>
            <w:tcW w:w="85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9" w:firstLine="0"/>
              <w:snapToGrid w:val="0"/>
              <w:textAlignment w:val="auto"/>
              <w:tabs>
                <w:tab w:val="left" w:leader="none" w:pos="406"/>
              </w:tabs>
              <w:numPr>
                <w:ilvl w:val="0"/>
                <w:numId w:val="103"/>
              </w:numPr>
              <w:rPr>
                <w:rFonts w:ascii="Times New Roman" w:hAnsi="Times New Roman" w:cs="Times New Roman" w:eastAsia="Times New Roman" w:hint="ascii"/>
                <w:sz w:val="15"/>
              </w:rPr>
            </w:pPr>
            <w:r>
              <w:rPr>
                <w:rFonts w:ascii="Times New Roman" w:hAnsi="Times New Roman" w:cs="Times New Roman" w:eastAsia="Times New Roman" w:hint="ascii"/>
                <w:sz w:val="15"/>
              </w:rPr>
              <w:t>344</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17.09</w:t>
            </w:r>
          </w:p>
        </w:tc>
      </w:tr>
      <w:tr>
        <w:trPr>
          <w:trHeight w:val="295" w:hRule="exact"/>
          <w:cantSplit w:val="1"/>
        </w:trPr>
        <w:tc>
          <w:tcPr>
            <w:tcW w:w="566"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62" w:firstLine="0"/>
              <w:snapToGrid w:val="0"/>
              <w:textAlignment w:val="auto"/>
              <w:tabs/>
              <w:rPr>
                <w:rFonts w:ascii="宋体" w:hAnsi="宋体" w:cs="宋体" w:eastAsia="宋体" w:hint="ascii"/>
                <w:sz w:val="15"/>
              </w:rPr>
            </w:pPr>
            <w:r>
              <w:rPr>
                <w:rFonts w:ascii="宋体" w:hAnsi="宋体" w:cs="宋体" w:eastAsia="宋体" w:hint="ascii"/>
                <w:sz w:val="15"/>
              </w:rPr>
              <w:t>宏观管理与政策</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8" w:firstLine="0"/>
              <w:snapToGrid w:val="0"/>
              <w:textAlignment w:val="auto"/>
              <w:tabs>
                <w:tab w:val="left" w:leader="none" w:pos="406"/>
              </w:tabs>
              <w:numPr>
                <w:ilvl w:val="0"/>
                <w:numId w:val="103"/>
              </w:numPr>
              <w:rPr>
                <w:rFonts w:ascii="Times New Roman" w:hAnsi="Times New Roman" w:cs="Times New Roman" w:eastAsia="Times New Roman" w:hint="ascii"/>
                <w:sz w:val="15"/>
              </w:rPr>
            </w:pPr>
            <w:r>
              <w:rPr>
                <w:rFonts w:ascii="Times New Roman" w:hAnsi="Times New Roman" w:cs="Times New Roman" w:eastAsia="Times New Roman" w:hint="ascii"/>
                <w:sz w:val="15"/>
              </w:rPr>
              <w:t>602</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18.00</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182</w:t>
            </w:r>
          </w:p>
        </w:tc>
        <w:tc>
          <w:tcPr>
            <w:tcW w:w="85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8 736</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17.04</w:t>
            </w:r>
          </w:p>
        </w:tc>
      </w:tr>
      <w:tr>
        <w:trPr>
          <w:trHeight w:val="294" w:hRule="exact"/>
          <w:cantSplit w:val="1"/>
        </w:trPr>
        <w:tc>
          <w:tcPr>
            <w:tcW w:w="2550" w:type="dxa"/>
            <w:gridSpan w:val="2"/>
            <w:vAlign w:val="top"/>
            <w:tcMar/>
            <w:tcBorders>
              <w:top w:val="single" w:sz="4" w:space="0" w:color="000000"/>
            </w:tcBorders>
          </w:tcPr>
          <w:p>
            <w:pPr>
              <w:autoSpaceDE w:val="0"/>
              <w:autoSpaceDN w:val="0"/>
              <w:jc w:val="left"/>
              <w:spacing w:before="45" w:after="0" w:lineRule="exact" w:line="188"/>
              <w:ind w:right="0" w:left="816"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720</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1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34 560</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19.59</w:t>
            </w:r>
          </w:p>
        </w:tc>
        <w:tc>
          <w:tcPr>
            <w:tcW w:w="85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755</w:t>
            </w:r>
          </w:p>
        </w:tc>
        <w:tc>
          <w:tcPr>
            <w:tcW w:w="85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36 240</w:t>
            </w:r>
          </w:p>
        </w:tc>
        <w:tc>
          <w:tcPr>
            <w:tcW w:w="101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18.54</w:t>
            </w:r>
          </w:p>
        </w:tc>
      </w:tr>
      <w:tr>
        <w:trPr>
          <w:trHeight w:val="300" w:hRule="exact"/>
          <w:cantSplit w:val="1"/>
        </w:trPr>
        <w:tc>
          <w:tcPr>
            <w:tcW w:w="2550" w:type="dxa"/>
            <w:gridSpan w:val="2"/>
            <w:vAlign w:val="top"/>
            <w:tcMar/>
            <w:tcBorders>
              <w:top w:val="single" w:sz="4" w:space="0" w:color="000000"/>
              <w:bottom w:val="single" w:sz="8" w:space="0" w:color="000000"/>
            </w:tcBorders>
          </w:tcPr>
          <w:p>
            <w:pPr>
              <w:autoSpaceDE w:val="0"/>
              <w:autoSpaceDN w:val="0"/>
              <w:jc w:val="left"/>
              <w:spacing w:before="45" w:after="0" w:lineRule="exact" w:line="188"/>
              <w:ind w:right="0" w:left="66"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直接费用平均资助强度（万元／项）</w:t>
            </w:r>
          </w:p>
        </w:tc>
        <w:tc>
          <w:tcPr>
            <w:tcW w:w="2720"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1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48.00</w:t>
            </w:r>
          </w:p>
        </w:tc>
        <w:tc>
          <w:tcPr>
            <w:tcW w:w="2722"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52" w:after="0" w:lineRule="auto" w:line="240"/>
              <w:ind w:right="0" w:left="1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48.00</w:t>
            </w:r>
          </w:p>
        </w:tc>
      </w:tr>
    </w:tbl>
    <w:p>
      <w:pPr>
        <w:autoSpaceDE w:val="0"/>
        <w:autoSpaceDN w:val="0"/>
        <w:jc w:val="left"/>
        <w:spacing w:before="41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管理科学一处</w:t>
      </w:r>
    </w:p>
    <w:p>
      <w:pPr>
        <w:autoSpaceDE w:val="0"/>
        <w:autoSpaceDN w:val="0"/>
        <w:jc w:val="left"/>
        <w:spacing w:before="340"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管理科学</w:t>
      </w:r>
      <w:r>
        <w:rPr>
          <w:rFonts w:ascii="宋体" w:hAnsi="宋体" w:cs="宋体" w:eastAsia="宋体" w:hint="ascii"/>
          <w:sz w:val="21"/>
        </w:rPr>
        <w:t>与</w:t>
      </w:r>
      <w:r>
        <w:rPr>
          <w:rFonts w:ascii="宋体" w:hAnsi="宋体" w:cs="宋体" w:eastAsia="宋体" w:hint="ascii"/>
          <w:sz w:val="21"/>
          <w:spacing w:val="3"/>
        </w:rPr>
        <w:t>工程学科</w:t>
      </w:r>
      <w:r>
        <w:rPr>
          <w:rFonts w:ascii="宋体" w:hAnsi="宋体" w:cs="宋体" w:eastAsia="宋体" w:hint="ascii"/>
          <w:sz w:val="21"/>
        </w:rPr>
        <w:t>主</w:t>
      </w:r>
      <w:r>
        <w:rPr>
          <w:rFonts w:ascii="宋体" w:hAnsi="宋体" w:cs="宋体" w:eastAsia="宋体" w:hint="ascii"/>
          <w:sz w:val="21"/>
          <w:spacing w:val="3"/>
        </w:rPr>
        <w:t>要资助管</w:t>
      </w:r>
      <w:r>
        <w:rPr>
          <w:rFonts w:ascii="宋体" w:hAnsi="宋体" w:cs="宋体" w:eastAsia="宋体" w:hint="ascii"/>
          <w:sz w:val="21"/>
        </w:rPr>
        <w:t>理</w:t>
      </w:r>
      <w:r>
        <w:rPr>
          <w:rFonts w:ascii="宋体" w:hAnsi="宋体" w:cs="宋体" w:eastAsia="宋体" w:hint="ascii"/>
          <w:sz w:val="21"/>
          <w:spacing w:val="3"/>
        </w:rPr>
        <w:t>科学的理</w:t>
      </w:r>
      <w:r>
        <w:rPr>
          <w:rFonts w:ascii="宋体" w:hAnsi="宋体" w:cs="宋体" w:eastAsia="宋体" w:hint="ascii"/>
          <w:sz w:val="21"/>
        </w:rPr>
        <w:t>论</w:t>
      </w:r>
      <w:r>
        <w:rPr>
          <w:rFonts w:ascii="宋体" w:hAnsi="宋体" w:cs="宋体" w:eastAsia="宋体" w:hint="ascii"/>
          <w:sz w:val="21"/>
          <w:spacing w:val="3"/>
        </w:rPr>
        <w:t>、方法与</w:t>
      </w:r>
      <w:r>
        <w:rPr>
          <w:rFonts w:ascii="宋体" w:hAnsi="宋体" w:cs="宋体" w:eastAsia="宋体" w:hint="ascii"/>
          <w:sz w:val="21"/>
        </w:rPr>
        <w:t>技</w:t>
      </w:r>
      <w:r>
        <w:rPr>
          <w:rFonts w:ascii="宋体" w:hAnsi="宋体" w:cs="宋体" w:eastAsia="宋体" w:hint="ascii"/>
          <w:sz w:val="21"/>
          <w:spacing w:val="3"/>
        </w:rPr>
        <w:t>术的基础</w:t>
      </w:r>
      <w:r>
        <w:rPr>
          <w:rFonts w:ascii="宋体" w:hAnsi="宋体" w:cs="宋体" w:eastAsia="宋体" w:hint="ascii"/>
          <w:sz w:val="21"/>
        </w:rPr>
        <w:t>研</w:t>
      </w:r>
      <w:r>
        <w:rPr>
          <w:rFonts w:ascii="宋体" w:hAnsi="宋体" w:cs="宋体" w:eastAsia="宋体" w:hint="ascii"/>
          <w:sz w:val="21"/>
          <w:spacing w:val="3"/>
        </w:rPr>
        <w:t>究，资</w:t>
      </w:r>
      <w:r>
        <w:rPr>
          <w:rFonts w:ascii="宋体" w:hAnsi="宋体" w:cs="宋体" w:eastAsia="宋体" w:hint="ascii"/>
          <w:sz w:val="21"/>
          <w:spacing w:val="4"/>
        </w:rPr>
        <w:t>助</w:t>
      </w:r>
      <w:r>
        <w:rPr>
          <w:rFonts w:ascii="宋体" w:hAnsi="宋体" w:cs="宋体" w:eastAsia="宋体" w:hint="ascii"/>
          <w:sz w:val="21"/>
        </w:rPr>
        <w:t>领</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域主要包括管理理论</w:t>
      </w:r>
      <w:r>
        <w:rPr>
          <w:rFonts w:ascii="宋体" w:hAnsi="宋体" w:cs="宋体" w:eastAsia="宋体" w:hint="ascii"/>
          <w:sz w:val="21"/>
          <w:spacing w:val="3"/>
        </w:rPr>
        <w:t>与研究方法论、运筹与管理、决策理论与方法、博弈理论与</w:t>
      </w:r>
      <w:r>
        <w:rPr>
          <w:rFonts w:ascii="宋体" w:hAnsi="宋体" w:cs="宋体" w:eastAsia="宋体" w:hint="ascii"/>
          <w:sz w:val="21"/>
          <w:spacing w:val="-6"/>
        </w:rPr>
        <w:t>方</w:t>
      </w:r>
      <w:r>
        <w:rPr>
          <w:rFonts w:ascii="宋体" w:hAnsi="宋体" w:cs="宋体" w:eastAsia="宋体" w:hint="ascii"/>
          <w:sz w:val="21"/>
          <w:spacing w:val="1"/>
        </w:rPr>
        <w:t>法、评价理论与方法</w:t>
      </w:r>
      <w:r>
        <w:rPr>
          <w:rFonts w:ascii="宋体" w:hAnsi="宋体" w:cs="宋体" w:eastAsia="宋体" w:hint="ascii"/>
          <w:sz w:val="21"/>
        </w:rPr>
        <w:t>、预测理论与方法、管理统计理论与方法、管理心理与行为、</w:t>
      </w:r>
      <w:r>
        <w:rPr>
          <w:rFonts w:ascii="宋体" w:hAnsi="宋体" w:cs="宋体" w:eastAsia="宋体" w:hint="ascii"/>
          <w:sz w:val="21"/>
          <w:spacing w:val="-6"/>
        </w:rPr>
        <w:t>管</w:t>
      </w:r>
      <w:r>
        <w:rPr>
          <w:rFonts w:ascii="宋体" w:hAnsi="宋体" w:cs="宋体" w:eastAsia="宋体" w:hint="ascii"/>
          <w:sz w:val="21"/>
          <w:spacing w:val="1"/>
        </w:rPr>
        <w:t>理系统工程、工业工</w:t>
      </w:r>
      <w:r>
        <w:rPr>
          <w:rFonts w:ascii="宋体" w:hAnsi="宋体" w:cs="宋体" w:eastAsia="宋体" w:hint="ascii"/>
          <w:sz w:val="21"/>
        </w:rPr>
        <w:t>程与管理、物流与供应链理论、服务科学与工程、系统可靠性</w:t>
      </w:r>
      <w:r>
        <w:rPr>
          <w:rFonts w:ascii="宋体" w:hAnsi="宋体" w:cs="宋体" w:eastAsia="宋体" w:hint="ascii"/>
          <w:sz w:val="21"/>
          <w:spacing w:val="-6"/>
        </w:rPr>
        <w:t>与</w:t>
      </w:r>
      <w:r>
        <w:rPr>
          <w:rFonts w:ascii="宋体" w:hAnsi="宋体" w:cs="宋体" w:eastAsia="宋体" w:hint="ascii"/>
          <w:sz w:val="21"/>
          <w:spacing w:val="1"/>
        </w:rPr>
        <w:t>管理、信息系统与管</w:t>
      </w:r>
      <w:r>
        <w:rPr>
          <w:rFonts w:ascii="宋体" w:hAnsi="宋体" w:cs="宋体" w:eastAsia="宋体" w:hint="ascii"/>
          <w:sz w:val="21"/>
        </w:rPr>
        <w:t>理、知识管理、风险管理、金融工程、工程管理与交通运输管</w:t>
      </w:r>
      <w:r>
        <w:rPr>
          <w:rFonts w:ascii="宋体" w:hAnsi="宋体" w:cs="宋体" w:eastAsia="宋体" w:hint="ascii"/>
          <w:sz w:val="21"/>
          <w:spacing w:val="-6"/>
        </w:rPr>
        <w:t>理</w:t>
      </w:r>
      <w:r>
        <w:rPr>
          <w:rFonts w:ascii="宋体" w:hAnsi="宋体" w:cs="宋体" w:eastAsia="宋体" w:hint="ascii"/>
          <w:sz w:val="21"/>
        </w:rPr>
        <w:t>等分支学科。</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本学科在管理科学部各学科中的基本定位更侧重基础与前沿研究，重视基于中国管</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理实践、哲</w:t>
      </w:r>
      <w:r>
        <w:rPr>
          <w:rFonts w:ascii="宋体" w:hAnsi="宋体" w:cs="宋体" w:eastAsia="宋体" w:hint="ascii"/>
          <w:sz w:val="21"/>
        </w:rPr>
        <w:t>理与文化特点的管理基础理论与方法的创新研究，鼓励开展学科交叉与国际前沿理论研究。</w:t>
      </w:r>
    </w:p>
    <w:p>
      <w:pPr>
        <w:autoSpaceDE w:val="0"/>
        <w:autoSpaceDN w:val="0"/>
        <w:jc w:val="left"/>
        <w:spacing w:before="40" w:after="0" w:lineRule="auto" w:line="240"/>
        <w:ind w:right="0" w:left="1859" w:hanging="473"/>
        <w:snapToGrid w:val="0"/>
        <w:textAlignment w:val="auto"/>
        <w:tabs>
          <w:tab w:val="left" w:leader="none" w:pos="1858"/>
        </w:tabs>
        <w:numPr>
          <w:ilvl w:val="0"/>
          <w:numId w:val="104"/>
        </w:numPr>
        <w:rPr>
          <w:rFonts w:ascii="Times New Roman" w:hAnsi="Times New Roman" w:cs="Times New Roman" w:eastAsia="Times New Roman" w:hint="ascii"/>
          <w:sz w:val="21"/>
          <w:spacing w:val="1"/>
        </w:rPr>
      </w:pPr>
      <w:r>
        <w:rPr>
          <w:rFonts w:ascii="宋体" w:hAnsi="宋体" w:cs="宋体" w:eastAsia="宋体" w:hint="ascii"/>
          <w:sz w:val="21"/>
        </w:rPr>
        <w:t>年度本学科接受面上项目申</w:t>
      </w:r>
      <w:r>
        <w:rPr>
          <w:rFonts w:ascii="宋体" w:hAnsi="宋体" w:cs="宋体" w:eastAsia="宋体" w:hint="ascii"/>
          <w:sz w:val="21"/>
          <w:spacing w:val="26"/>
        </w:rPr>
        <w:t>请</w:t>
      </w:r>
      <w:r>
        <w:rPr>
          <w:rFonts w:ascii="Times New Roman" w:hAnsi="Times New Roman" w:cs="Times New Roman" w:eastAsia="Times New Roman" w:hint="ascii"/>
          <w:sz w:val="21"/>
        </w:rPr>
        <w:t>1 08</w:t>
      </w:r>
      <w:r>
        <w:rPr>
          <w:rFonts w:ascii="Times New Roman" w:hAnsi="Times New Roman" w:cs="Times New Roman" w:eastAsia="Times New Roman" w:hint="ascii"/>
          <w:sz w:val="21"/>
          <w:spacing w:val="52"/>
        </w:rPr>
        <w:t>8</w:t>
      </w:r>
      <w:r>
        <w:rPr>
          <w:rFonts w:ascii="宋体" w:hAnsi="宋体" w:cs="宋体" w:eastAsia="宋体" w:hint="ascii"/>
          <w:sz w:val="21"/>
        </w:rPr>
        <w:t>项，资</w:t>
      </w:r>
      <w:r>
        <w:rPr>
          <w:rFonts w:ascii="宋体" w:hAnsi="宋体" w:cs="宋体" w:eastAsia="宋体" w:hint="ascii"/>
          <w:sz w:val="21"/>
          <w:spacing w:val="26"/>
        </w:rPr>
        <w:t>助</w:t>
      </w:r>
      <w:r>
        <w:rPr>
          <w:rFonts w:ascii="Times New Roman" w:hAnsi="Times New Roman" w:cs="Times New Roman" w:eastAsia="Times New Roman" w:hint="ascii"/>
          <w:sz w:val="21"/>
        </w:rPr>
        <w:t>22</w:t>
      </w:r>
      <w:r>
        <w:rPr>
          <w:rFonts w:ascii="Times New Roman" w:hAnsi="Times New Roman" w:cs="Times New Roman" w:eastAsia="Times New Roman" w:hint="ascii"/>
          <w:sz w:val="21"/>
          <w:spacing w:val="52"/>
        </w:rPr>
        <w:t>4</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20.59%</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近年来，管理科学与工程学科发展势头良好，运筹与管理、工业工程与管理、物流</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与供应链管</w:t>
      </w:r>
      <w:r>
        <w:rPr>
          <w:rFonts w:ascii="宋体" w:hAnsi="宋体" w:cs="宋体" w:eastAsia="宋体" w:hint="ascii"/>
          <w:sz w:val="21"/>
        </w:rPr>
        <w:t>理、信息系统与管理及交通运输管理等核心领域的研究论文数量显著上升，</w:t>
      </w:r>
      <w:r>
        <w:rPr>
          <w:rFonts w:ascii="宋体" w:hAnsi="宋体" w:cs="宋体" w:eastAsia="宋体" w:hint="ascii"/>
          <w:sz w:val="21"/>
          <w:spacing w:val="-1"/>
        </w:rPr>
        <w:t>其中国际顶</w:t>
      </w:r>
      <w:r>
        <w:rPr>
          <w:rFonts w:ascii="宋体" w:hAnsi="宋体" w:cs="宋体" w:eastAsia="宋体" w:hint="ascii"/>
          <w:sz w:val="21"/>
        </w:rPr>
        <w:t>级期刊论文数量也逐年增加。但与国际同行相比，各研究领域在重要国际期刊的论文数量占比仍相对较低。</w:t>
      </w:r>
    </w:p>
    <w:p>
      <w:pPr>
        <w:autoSpaceDE w:val="0"/>
        <w:autoSpaceDN w:val="0"/>
        <w:jc w:val="left"/>
        <w:spacing w:before="46" w:after="0" w:lineRule="auto" w:line="240"/>
        <w:ind w:right="0" w:left="1859" w:hanging="473"/>
        <w:snapToGrid w:val="0"/>
        <w:textAlignment w:val="auto"/>
        <w:tabs>
          <w:tab w:val="left" w:leader="none" w:pos="1863"/>
        </w:tabs>
        <w:numPr>
          <w:ilvl w:val="0"/>
          <w:numId w:val="104"/>
        </w:numPr>
        <w:rPr>
          <w:rFonts w:ascii="Times New Roman" w:hAnsi="Times New Roman" w:cs="Times New Roman" w:eastAsia="Times New Roman" w:hint="ascii"/>
          <w:sz w:val="21"/>
          <w:spacing w:val="1"/>
        </w:rPr>
      </w:pPr>
      <w:r>
        <w:rPr>
          <w:rFonts w:ascii="宋体" w:hAnsi="宋体" w:cs="宋体" w:eastAsia="宋体" w:hint="ascii"/>
          <w:sz w:val="21"/>
        </w:rPr>
        <w:t>年度本学科将继续鼓励和支持原创性的基础理论与前沿理论研究。大力支持</w:t>
      </w:r>
    </w:p>
    <w:p>
      <w:pPr>
        <w:autoSpaceDE w:val="0"/>
        <w:autoSpaceDN w:val="0"/>
        <w:jc w:val="both"/>
        <w:spacing w:before="19"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源于管理实</w:t>
      </w:r>
      <w:r>
        <w:rPr>
          <w:rFonts w:ascii="宋体" w:hAnsi="宋体" w:cs="宋体" w:eastAsia="宋体" w:hint="ascii"/>
          <w:sz w:val="21"/>
        </w:rPr>
        <w:t>践的科研项目，鼓励科研人员将理论方法研究与实际问题相结合，解决中国</w:t>
      </w:r>
      <w:r>
        <w:rPr>
          <w:rFonts w:ascii="宋体" w:hAnsi="宋体" w:cs="宋体" w:eastAsia="宋体" w:hint="ascii"/>
          <w:sz w:val="21"/>
          <w:spacing w:val="3"/>
        </w:rPr>
        <w:t>管理实践</w:t>
      </w:r>
      <w:r>
        <w:rPr>
          <w:rFonts w:ascii="宋体" w:hAnsi="宋体" w:cs="宋体" w:eastAsia="宋体" w:hint="ascii"/>
          <w:sz w:val="21"/>
        </w:rPr>
        <w:t>中</w:t>
      </w:r>
      <w:r>
        <w:rPr>
          <w:rFonts w:ascii="宋体" w:hAnsi="宋体" w:cs="宋体" w:eastAsia="宋体" w:hint="ascii"/>
          <w:sz w:val="21"/>
          <w:spacing w:val="3"/>
        </w:rPr>
        <w:t>的科学问</w:t>
      </w:r>
      <w:r>
        <w:rPr>
          <w:rFonts w:ascii="宋体" w:hAnsi="宋体" w:cs="宋体" w:eastAsia="宋体" w:hint="ascii"/>
          <w:sz w:val="21"/>
        </w:rPr>
        <w:t>题</w:t>
      </w:r>
      <w:r>
        <w:rPr>
          <w:rFonts w:ascii="宋体" w:hAnsi="宋体" w:cs="宋体" w:eastAsia="宋体" w:hint="ascii"/>
          <w:sz w:val="21"/>
          <w:spacing w:val="3"/>
        </w:rPr>
        <w:t>，形成具</w:t>
      </w:r>
      <w:r>
        <w:rPr>
          <w:rFonts w:ascii="宋体" w:hAnsi="宋体" w:cs="宋体" w:eastAsia="宋体" w:hint="ascii"/>
          <w:sz w:val="21"/>
        </w:rPr>
        <w:t>有</w:t>
      </w:r>
      <w:r>
        <w:rPr>
          <w:rFonts w:ascii="宋体" w:hAnsi="宋体" w:cs="宋体" w:eastAsia="宋体" w:hint="ascii"/>
          <w:sz w:val="21"/>
          <w:spacing w:val="3"/>
        </w:rPr>
        <w:t>中国特色</w:t>
      </w:r>
      <w:r>
        <w:rPr>
          <w:rFonts w:ascii="宋体" w:hAnsi="宋体" w:cs="宋体" w:eastAsia="宋体" w:hint="ascii"/>
          <w:sz w:val="21"/>
        </w:rPr>
        <w:t>的</w:t>
      </w:r>
      <w:r>
        <w:rPr>
          <w:rFonts w:ascii="宋体" w:hAnsi="宋体" w:cs="宋体" w:eastAsia="宋体" w:hint="ascii"/>
          <w:sz w:val="21"/>
          <w:spacing w:val="3"/>
        </w:rPr>
        <w:t>管理理论</w:t>
      </w:r>
      <w:r>
        <w:rPr>
          <w:rFonts w:ascii="宋体" w:hAnsi="宋体" w:cs="宋体" w:eastAsia="宋体" w:hint="ascii"/>
          <w:sz w:val="21"/>
        </w:rPr>
        <w:t>与</w:t>
      </w:r>
      <w:r>
        <w:rPr>
          <w:rFonts w:ascii="宋体" w:hAnsi="宋体" w:cs="宋体" w:eastAsia="宋体" w:hint="ascii"/>
          <w:sz w:val="21"/>
          <w:spacing w:val="3"/>
        </w:rPr>
        <w:t>方法。积</w:t>
      </w:r>
      <w:r>
        <w:rPr>
          <w:rFonts w:ascii="宋体" w:hAnsi="宋体" w:cs="宋体" w:eastAsia="宋体" w:hint="ascii"/>
          <w:sz w:val="21"/>
        </w:rPr>
        <w:t>极</w:t>
      </w:r>
      <w:r>
        <w:rPr>
          <w:rFonts w:ascii="宋体" w:hAnsi="宋体" w:cs="宋体" w:eastAsia="宋体" w:hint="ascii"/>
          <w:sz w:val="21"/>
          <w:spacing w:val="3"/>
        </w:rPr>
        <w:t>鼓励本学科</w:t>
      </w:r>
      <w:r>
        <w:rPr>
          <w:rFonts w:ascii="宋体" w:hAnsi="宋体" w:cs="宋体" w:eastAsia="宋体" w:hint="ascii"/>
          <w:sz w:val="21"/>
          <w:spacing w:val="4"/>
        </w:rPr>
        <w:t>与</w:t>
      </w:r>
      <w:r>
        <w:rPr>
          <w:rFonts w:ascii="宋体" w:hAnsi="宋体" w:cs="宋体" w:eastAsia="宋体" w:hint="ascii"/>
          <w:sz w:val="21"/>
        </w:rPr>
        <w:t>数</w:t>
      </w:r>
    </w:p>
    <w:p>
      <w:pPr>
        <w:autoSpaceDE w:val="0"/>
        <w:autoSpaceDN w:val="0"/>
        <w:jc w:val="left"/>
        <w:spacing w:before="36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2"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学、经济学、</w:t>
      </w:r>
      <w:r>
        <w:rPr>
          <w:rFonts w:ascii="宋体" w:hAnsi="宋体" w:cs="宋体" w:eastAsia="宋体" w:hint="ascii"/>
          <w:sz w:val="21"/>
        </w:rPr>
        <w:t>行为科学、信息科学等其他学科的交叉和融合，通过学科交叉融合研究为本学科发展寻求理论、方法与技术等方面的突破。</w:t>
      </w:r>
      <w:r>
        <w:rPr>
          <w:rFonts w:ascii="宋体" w:hAnsi="宋体" w:cs="宋体" w:eastAsia="宋体" w:hint="ascii"/>
          <w:sz w:val="21"/>
        </w:rPr>
        <mc:AlternateContent>
          <mc:Choice Requires="wps">
            <w:drawing>
              <wp:anchor distL="0" distR="0" distT="0" distB="0" simplePos="0" behindDoc="1" relativeHeight="120" locked="0" layoutInCell="1" allowOverlap="1">
                <wp:simplePos x="0" y="0"/>
                <wp:positionH relativeFrom="page">
                  <wp:posOffset>938530</wp:posOffset>
                </wp:positionH>
                <wp:positionV relativeFrom="page">
                  <wp:posOffset>819150</wp:posOffset>
                </wp:positionV>
                <wp:extent cx="5076190" cy="0"/>
                <wp:wrapNone/>
                <wp:docPr id="1149" name="114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35360;width:399.70pt;" id="114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71"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管理科学二处</w:t>
      </w:r>
    </w:p>
    <w:p>
      <w:pPr>
        <w:autoSpaceDE w:val="0"/>
        <w:autoSpaceDN w:val="0"/>
        <w:jc w:val="left"/>
        <w:spacing w:before="3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工商管理学科主要资助以微观组织（包括各行业、各类企事业单位）为研究对象的</w:t>
      </w:r>
    </w:p>
    <w:p>
      <w:pPr>
        <w:autoSpaceDE w:val="0"/>
        <w:autoSpaceDN w:val="0"/>
        <w:jc w:val="both"/>
        <w:spacing w:before="12"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管理理论和管</w:t>
      </w:r>
      <w:r>
        <w:rPr>
          <w:rFonts w:ascii="宋体" w:hAnsi="宋体" w:cs="宋体" w:eastAsia="宋体" w:hint="ascii"/>
          <w:sz w:val="21"/>
        </w:rPr>
        <w:t>理新技术与新方法的基础研究和应用基础研究。资助领域包括战略管理、</w:t>
      </w:r>
      <w:r>
        <w:rPr>
          <w:rFonts w:ascii="宋体" w:hAnsi="宋体" w:cs="宋体" w:eastAsia="宋体" w:hint="ascii"/>
          <w:sz w:val="21"/>
          <w:spacing w:val="-1"/>
        </w:rPr>
        <w:t>组织理论与组</w:t>
      </w:r>
      <w:r>
        <w:rPr>
          <w:rFonts w:ascii="宋体" w:hAnsi="宋体" w:cs="宋体" w:eastAsia="宋体" w:hint="ascii"/>
          <w:sz w:val="21"/>
        </w:rPr>
        <w:t>织行为、企业技术管理与创新管理、人力资源管理、财务管理、会计与审</w:t>
      </w:r>
      <w:r>
        <w:rPr>
          <w:rFonts w:ascii="宋体" w:hAnsi="宋体" w:cs="宋体" w:eastAsia="宋体" w:hint="ascii"/>
          <w:sz w:val="21"/>
          <w:spacing w:val="-1"/>
        </w:rPr>
        <w:t>计、市场营销</w:t>
      </w:r>
      <w:r>
        <w:rPr>
          <w:rFonts w:ascii="宋体" w:hAnsi="宋体" w:cs="宋体" w:eastAsia="宋体" w:hint="ascii"/>
          <w:sz w:val="21"/>
        </w:rPr>
        <w:t>、生产与质量管理、企业信息管理、电子商务、运营管理、项目管理、创业管理、国际商务与跨文化管理</w:t>
      </w:r>
      <w:r>
        <w:rPr>
          <w:rFonts w:ascii="宋体" w:hAnsi="宋体" w:cs="宋体" w:eastAsia="宋体" w:hint="ascii"/>
          <w:sz w:val="21"/>
          <w:spacing w:val="26"/>
        </w:rPr>
        <w:t>等</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4</w:t>
      </w:r>
      <w:r>
        <w:rPr>
          <w:rFonts w:ascii="宋体" w:hAnsi="宋体" w:cs="宋体" w:eastAsia="宋体" w:hint="ascii"/>
          <w:sz w:val="21"/>
        </w:rPr>
        <w:t>个分支学科。</w:t>
      </w:r>
    </w:p>
    <w:p>
      <w:pPr>
        <w:autoSpaceDE w:val="0"/>
        <w:autoSpaceDN w:val="0"/>
        <w:jc w:val="left"/>
        <w:spacing w:before="45" w:after="0" w:lineRule="auto" w:line="240"/>
        <w:ind w:right="0" w:left="1859" w:hanging="473"/>
        <w:snapToGrid w:val="0"/>
        <w:textAlignment w:val="auto"/>
        <w:tabs>
          <w:tab w:val="left" w:leader="none" w:pos="1858"/>
        </w:tabs>
        <w:numPr>
          <w:ilvl w:val="0"/>
          <w:numId w:val="105"/>
        </w:numPr>
        <w:rPr>
          <w:rFonts w:ascii="Times New Roman" w:hAnsi="Times New Roman" w:cs="Times New Roman" w:eastAsia="Times New Roman" w:hint="ascii"/>
          <w:sz w:val="21"/>
          <w:spacing w:val="1"/>
        </w:rPr>
      </w:pPr>
      <w:r>
        <w:rPr>
          <w:rFonts w:ascii="宋体" w:hAnsi="宋体" w:cs="宋体" w:eastAsia="宋体" w:hint="ascii"/>
          <w:sz w:val="21"/>
        </w:rPr>
        <w:t>年度本学科接收面上项目申</w:t>
      </w:r>
      <w:r>
        <w:rPr>
          <w:rFonts w:ascii="宋体" w:hAnsi="宋体" w:cs="宋体" w:eastAsia="宋体" w:hint="ascii"/>
          <w:sz w:val="21"/>
          <w:spacing w:val="26"/>
        </w:rPr>
        <w:t>请</w:t>
      </w:r>
      <w:r>
        <w:rPr>
          <w:rFonts w:ascii="Times New Roman" w:hAnsi="Times New Roman" w:cs="Times New Roman" w:eastAsia="Times New Roman" w:hint="ascii"/>
          <w:sz w:val="21"/>
        </w:rPr>
        <w:t>1 02</w:t>
      </w:r>
      <w:r>
        <w:rPr>
          <w:rFonts w:ascii="Times New Roman" w:hAnsi="Times New Roman" w:cs="Times New Roman" w:eastAsia="Times New Roman" w:hint="ascii"/>
          <w:sz w:val="21"/>
          <w:spacing w:val="52"/>
        </w:rPr>
        <w:t>1</w:t>
      </w:r>
      <w:r>
        <w:rPr>
          <w:rFonts w:ascii="宋体" w:hAnsi="宋体" w:cs="宋体" w:eastAsia="宋体" w:hint="ascii"/>
          <w:sz w:val="21"/>
        </w:rPr>
        <w:t>项，资</w:t>
      </w:r>
      <w:r>
        <w:rPr>
          <w:rFonts w:ascii="宋体" w:hAnsi="宋体" w:cs="宋体" w:eastAsia="宋体" w:hint="ascii"/>
          <w:sz w:val="21"/>
          <w:spacing w:val="26"/>
        </w:rPr>
        <w:t>助</w:t>
      </w:r>
      <w:r>
        <w:rPr>
          <w:rFonts w:ascii="Times New Roman" w:hAnsi="Times New Roman" w:cs="Times New Roman" w:eastAsia="Times New Roman" w:hint="ascii"/>
          <w:sz w:val="21"/>
        </w:rPr>
        <w:t>19</w:t>
      </w:r>
      <w:r>
        <w:rPr>
          <w:rFonts w:ascii="Times New Roman" w:hAnsi="Times New Roman" w:cs="Times New Roman" w:eastAsia="Times New Roman" w:hint="ascii"/>
          <w:sz w:val="21"/>
          <w:spacing w:val="52"/>
        </w:rPr>
        <w:t>6</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19.20%</w:t>
      </w:r>
      <w:r>
        <w:rPr>
          <w:rFonts w:ascii="宋体" w:hAnsi="宋体" w:cs="宋体" w:eastAsia="宋体" w:hint="ascii"/>
          <w:sz w:val="21"/>
        </w:rPr>
        <w:t>。</w:t>
      </w:r>
    </w:p>
    <w:p>
      <w:pPr>
        <w:autoSpaceDE w:val="0"/>
        <w:autoSpaceDN w:val="0"/>
        <w:jc w:val="left"/>
        <w:spacing w:before="72" w:after="0" w:lineRule="auto" w:line="240"/>
        <w:ind w:right="0" w:left="1864" w:hanging="478"/>
        <w:snapToGrid w:val="0"/>
        <w:textAlignment w:val="auto"/>
        <w:tabs>
          <w:tab w:val="left" w:leader="none" w:pos="1863"/>
        </w:tabs>
        <w:numPr>
          <w:ilvl w:val="0"/>
          <w:numId w:val="106"/>
        </w:numPr>
        <w:rPr>
          <w:rFonts w:ascii="Times New Roman" w:hAnsi="Times New Roman" w:cs="Times New Roman" w:eastAsia="Times New Roman" w:hint="ascii"/>
          <w:sz w:val="21"/>
          <w:spacing w:val="1"/>
        </w:rPr>
      </w:pPr>
      <w:r>
        <w:rPr>
          <w:rFonts w:ascii="宋体" w:hAnsi="宋体" w:cs="宋体" w:eastAsia="宋体" w:hint="ascii"/>
          <w:sz w:val="21"/>
        </w:rPr>
        <w:t>年度财务管理、市场营销、会计与审计、企业技术管理与创新管理、运营管</w:t>
      </w:r>
    </w:p>
    <w:p>
      <w:pPr>
        <w:autoSpaceDE w:val="0"/>
        <w:autoSpaceDN w:val="0"/>
        <w:jc w:val="both"/>
        <w:spacing w:before="21"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理等领域的申</w:t>
      </w:r>
      <w:r>
        <w:rPr>
          <w:rFonts w:ascii="宋体" w:hAnsi="宋体" w:cs="宋体" w:eastAsia="宋体" w:hint="ascii"/>
          <w:sz w:val="21"/>
        </w:rPr>
        <w:t>请较多，获得资助的项目数也相应较多；项目管理、生产与质量管理、国</w:t>
      </w:r>
      <w:r>
        <w:rPr>
          <w:rFonts w:ascii="宋体" w:hAnsi="宋体" w:cs="宋体" w:eastAsia="宋体" w:hint="ascii"/>
          <w:sz w:val="21"/>
          <w:spacing w:val="-1"/>
        </w:rPr>
        <w:t>际商务与跨文</w:t>
      </w:r>
      <w:r>
        <w:rPr>
          <w:rFonts w:ascii="宋体" w:hAnsi="宋体" w:cs="宋体" w:eastAsia="宋体" w:hint="ascii"/>
          <w:sz w:val="21"/>
        </w:rPr>
        <w:t>化管理等领域的申请数量较少，获资助项目数也相应较少。总体上，探索</w:t>
      </w:r>
      <w:r>
        <w:rPr>
          <w:rFonts w:ascii="宋体" w:hAnsi="宋体" w:cs="宋体" w:eastAsia="宋体" w:hint="ascii"/>
          <w:sz w:val="21"/>
          <w:spacing w:val="-1"/>
        </w:rPr>
        <w:t>新方法和新技</w:t>
      </w:r>
      <w:r>
        <w:rPr>
          <w:rFonts w:ascii="宋体" w:hAnsi="宋体" w:cs="宋体" w:eastAsia="宋体" w:hint="ascii"/>
          <w:sz w:val="21"/>
        </w:rPr>
        <w:t>术的研究表现了一定的创新性，关注新问题和中国实践需求的研究在稳步增加。从资助的格局看，基本形成了领域的均衡。</w:t>
      </w:r>
    </w:p>
    <w:p>
      <w:pPr>
        <w:autoSpaceDE w:val="0"/>
        <w:autoSpaceDN w:val="0"/>
        <w:jc w:val="left"/>
        <w:spacing w:before="54" w:after="0" w:lineRule="auto" w:line="240"/>
        <w:ind w:right="0" w:left="1864" w:hanging="478"/>
        <w:snapToGrid w:val="0"/>
        <w:textAlignment w:val="auto"/>
        <w:tabs>
          <w:tab w:val="left" w:leader="none" w:pos="1863"/>
        </w:tabs>
        <w:numPr>
          <w:ilvl w:val="0"/>
          <w:numId w:val="106"/>
        </w:numPr>
        <w:rPr>
          <w:rFonts w:ascii="Times New Roman" w:hAnsi="Times New Roman" w:cs="Times New Roman" w:eastAsia="Times New Roman" w:hint="ascii"/>
          <w:sz w:val="21"/>
          <w:spacing w:val="1"/>
        </w:rPr>
      </w:pPr>
      <w:r>
        <w:rPr>
          <w:rFonts w:ascii="宋体" w:hAnsi="宋体" w:cs="宋体" w:eastAsia="宋体" w:hint="ascii"/>
          <w:sz w:val="21"/>
        </w:rPr>
        <w:t>年度本学科将继续支持创新性和瞄准学科前沿科学问题的基础研究，重视理</w:t>
      </w:r>
    </w:p>
    <w:p>
      <w:pPr>
        <w:autoSpaceDE w:val="0"/>
        <w:autoSpaceDN w:val="0"/>
        <w:jc w:val="both"/>
        <w:spacing w:before="21"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论创新和新知</w:t>
      </w:r>
      <w:r>
        <w:rPr>
          <w:rFonts w:ascii="宋体" w:hAnsi="宋体" w:cs="宋体" w:eastAsia="宋体" w:hint="ascii"/>
          <w:sz w:val="21"/>
        </w:rPr>
        <w:t>识发现与创造的研究，优先支持通过实证分析、案例研究与现场观察实验</w:t>
      </w:r>
      <w:r>
        <w:rPr>
          <w:rFonts w:ascii="宋体" w:hAnsi="宋体" w:cs="宋体" w:eastAsia="宋体" w:hint="ascii"/>
          <w:sz w:val="21"/>
          <w:spacing w:val="-1"/>
        </w:rPr>
        <w:t>研究相结合的</w:t>
      </w:r>
      <w:r>
        <w:rPr>
          <w:rFonts w:ascii="宋体" w:hAnsi="宋体" w:cs="宋体" w:eastAsia="宋体" w:hint="ascii"/>
          <w:sz w:val="21"/>
        </w:rPr>
        <w:t>科学积累与发现的研究，优先支持从中国管理实践中凝练有潜在社会应用</w:t>
      </w:r>
      <w:r>
        <w:rPr>
          <w:rFonts w:ascii="宋体" w:hAnsi="宋体" w:cs="宋体" w:eastAsia="宋体" w:hint="ascii"/>
          <w:sz w:val="21"/>
          <w:spacing w:val="1"/>
        </w:rPr>
        <w:t>价值的科学问题研究</w:t>
      </w:r>
      <w:r>
        <w:rPr>
          <w:rFonts w:ascii="宋体" w:hAnsi="宋体" w:cs="宋体" w:eastAsia="宋体" w:hint="ascii"/>
          <w:sz w:val="21"/>
        </w:rPr>
        <w:t>，重视能够开展实质性国际合作的研究。提倡科学精神，鼓励</w:t>
      </w:r>
      <w:r>
        <w:rPr>
          <w:rFonts w:ascii="宋体" w:hAnsi="宋体" w:cs="宋体" w:eastAsia="宋体" w:hint="ascii"/>
          <w:sz w:val="21"/>
          <w:spacing w:val="-6"/>
        </w:rPr>
        <w:t>探</w:t>
      </w:r>
      <w:r>
        <w:rPr>
          <w:rFonts w:ascii="宋体" w:hAnsi="宋体" w:cs="宋体" w:eastAsia="宋体" w:hint="ascii"/>
          <w:sz w:val="21"/>
        </w:rPr>
        <w:t>索，优先支持具有原创性的基础研究。</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为促进学科均衡发展，本学科将继续在战略管理、组织理论与组织行为、企业技术</w:t>
      </w:r>
    </w:p>
    <w:p>
      <w:pPr>
        <w:autoSpaceDE w:val="0"/>
        <w:autoSpaceDN w:val="0"/>
        <w:jc w:val="both"/>
        <w:spacing w:before="13"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管理与创新管</w:t>
      </w:r>
      <w:r>
        <w:rPr>
          <w:rFonts w:ascii="宋体" w:hAnsi="宋体" w:cs="宋体" w:eastAsia="宋体" w:hint="ascii"/>
          <w:sz w:val="21"/>
        </w:rPr>
        <w:t>理、人力资源管理、财务管理、会计与审计、市场营销、企业信息管理、</w:t>
      </w:r>
      <w:r>
        <w:rPr>
          <w:rFonts w:ascii="宋体" w:hAnsi="宋体" w:cs="宋体" w:eastAsia="宋体" w:hint="ascii"/>
          <w:sz w:val="21"/>
          <w:spacing w:val="-1"/>
        </w:rPr>
        <w:t>电子商务、运</w:t>
      </w:r>
      <w:r>
        <w:rPr>
          <w:rFonts w:ascii="宋体" w:hAnsi="宋体" w:cs="宋体" w:eastAsia="宋体" w:hint="ascii"/>
          <w:sz w:val="21"/>
        </w:rPr>
        <w:t>营管理等领域主要资助前沿基础研究，对国际商务与跨文化管理、项目管</w:t>
      </w:r>
      <w:r>
        <w:rPr>
          <w:rFonts w:ascii="宋体" w:hAnsi="宋体" w:cs="宋体" w:eastAsia="宋体" w:hint="ascii"/>
          <w:sz w:val="21"/>
          <w:spacing w:val="-1"/>
        </w:rPr>
        <w:t>理、创业管理</w:t>
      </w:r>
      <w:r>
        <w:rPr>
          <w:rFonts w:ascii="宋体" w:hAnsi="宋体" w:cs="宋体" w:eastAsia="宋体" w:hint="ascii"/>
          <w:sz w:val="21"/>
        </w:rPr>
        <w:t>、服务管理、电子商务与商务智能等领域适当给予资助倾斜。同时，将优先支持基于中国管理实践的理论创新和原创性研究。</w:t>
      </w:r>
    </w:p>
    <w:p>
      <w:pPr>
        <w:autoSpaceDE w:val="0"/>
        <w:autoSpaceDN w:val="0"/>
        <w:jc w:val="left"/>
        <w:spacing w:before="271"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管理科学三处</w:t>
      </w:r>
    </w:p>
    <w:p>
      <w:pPr>
        <w:autoSpaceDE w:val="0"/>
        <w:autoSpaceDN w:val="0"/>
        <w:jc w:val="both"/>
        <w:spacing w:before="178" w:after="0" w:lineRule="exact" w:line="467"/>
        <w:ind w:right="978" w:left="1386" w:firstLine="0"/>
        <w:snapToGrid w:val="0"/>
        <w:textAlignment w:val="auto"/>
        <w:tabs/>
        <w:rPr>
          <w:rFonts w:ascii="宋体" w:hAnsi="宋体" w:cs="宋体" w:eastAsia="宋体" w:hint="ascii"/>
        </w:rPr>
      </w:pPr>
      <w:r>
        <w:rPr>
          <w:rFonts w:ascii="宋体" w:hAnsi="宋体" w:cs="宋体" w:eastAsia="宋体" w:hint="ascii"/>
          <w:sz w:val="21"/>
          <w:spacing w:val="-1"/>
        </w:rPr>
        <w:t>管理科学三</w:t>
      </w:r>
      <w:r>
        <w:rPr>
          <w:rFonts w:ascii="宋体" w:hAnsi="宋体" w:cs="宋体" w:eastAsia="宋体" w:hint="ascii"/>
          <w:sz w:val="21"/>
        </w:rPr>
        <w:t>处资助经济科学学科、宏观管理与政策学</w:t>
      </w:r>
      <w:r>
        <w:rPr>
          <w:rFonts w:ascii="宋体" w:hAnsi="宋体" w:cs="宋体" w:eastAsia="宋体" w:hint="ascii"/>
          <w:sz w:val="21"/>
          <w:spacing w:val="26"/>
        </w:rPr>
        <w:t>科</w:t>
      </w:r>
      <w:r>
        <w:rPr>
          <w:rFonts w:ascii="Times New Roman" w:hAnsi="Times New Roman" w:cs="Times New Roman" w:eastAsia="Times New Roman" w:hint="ascii"/>
          <w:sz w:val="21"/>
          <w:spacing w:val="52"/>
        </w:rPr>
        <w:t>2</w:t>
      </w:r>
      <w:r>
        <w:rPr>
          <w:rFonts w:ascii="宋体" w:hAnsi="宋体" w:cs="宋体" w:eastAsia="宋体" w:hint="ascii"/>
          <w:sz w:val="21"/>
        </w:rPr>
        <w:t>个学科领域的基础研究。</w:t>
      </w:r>
      <w:r>
        <w:rPr>
          <w:rFonts w:ascii="宋体" w:hAnsi="宋体" w:cs="宋体" w:eastAsia="宋体" w:hint="ascii"/>
        </w:rPr>
        <w:t>经济科学学科（</w:t>
      </w:r>
      <w:r>
        <w:rPr>
          <w:rFonts w:ascii="Times New Roman" w:hAnsi="Times New Roman" w:cs="Times New Roman" w:eastAsia="Times New Roman" w:hint="ascii"/>
          <w:b w:val="1"/>
        </w:rPr>
        <w:t>G03</w:t>
      </w:r>
      <w:r>
        <w:rPr>
          <w:rFonts w:ascii="宋体" w:hAnsi="宋体" w:cs="宋体" w:eastAsia="宋体" w:hint="ascii"/>
        </w:rPr>
        <w:t>）</w:t>
      </w:r>
    </w:p>
    <w:p>
      <w:pPr>
        <w:autoSpaceDE w:val="0"/>
        <w:autoSpaceDN w:val="0"/>
        <w:jc w:val="left"/>
        <w:spacing w:before="17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经济科学学科主要资助通过实证研究、数量研究、行为研究等科学研究方法揭示经</w:t>
      </w:r>
    </w:p>
    <w:p>
      <w:pPr>
        <w:autoSpaceDE w:val="0"/>
        <w:autoSpaceDN w:val="0"/>
        <w:jc w:val="both"/>
        <w:spacing w:before="13"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济活动发展规</w:t>
      </w:r>
      <w:r>
        <w:rPr>
          <w:rFonts w:ascii="宋体" w:hAnsi="宋体" w:cs="宋体" w:eastAsia="宋体" w:hint="ascii"/>
          <w:sz w:val="21"/>
        </w:rPr>
        <w:t>律、解释经济发展现象、提炼经济理论的基础科学理论与方法的研究。资</w:t>
      </w:r>
      <w:r>
        <w:rPr>
          <w:rFonts w:ascii="宋体" w:hAnsi="宋体" w:cs="宋体" w:eastAsia="宋体" w:hint="ascii"/>
          <w:sz w:val="21"/>
          <w:spacing w:val="-1"/>
        </w:rPr>
        <w:t>助范围主要包</w:t>
      </w:r>
      <w:r>
        <w:rPr>
          <w:rFonts w:ascii="宋体" w:hAnsi="宋体" w:cs="宋体" w:eastAsia="宋体" w:hint="ascii"/>
          <w:sz w:val="21"/>
        </w:rPr>
        <w:t>括数量经济理论与方法、实验经济与行为经济、宏观经济管理、金融管理</w:t>
      </w:r>
      <w:r>
        <w:rPr>
          <w:rFonts w:ascii="宋体" w:hAnsi="宋体" w:cs="宋体" w:eastAsia="宋体" w:hint="ascii"/>
          <w:sz w:val="21"/>
          <w:spacing w:val="-1"/>
        </w:rPr>
        <w:t>与政策、产业</w:t>
      </w:r>
      <w:r>
        <w:rPr>
          <w:rFonts w:ascii="宋体" w:hAnsi="宋体" w:cs="宋体" w:eastAsia="宋体" w:hint="ascii"/>
          <w:sz w:val="21"/>
        </w:rPr>
        <w:t>经济与政策、空间经济与政策、财税管理、博弈论、农林经济管理、国际经济与贸易理论、经济发展与增长等分支学科或领域的基础研究。</w:t>
      </w:r>
    </w:p>
    <w:p>
      <w:pPr>
        <w:autoSpaceDE w:val="0"/>
        <w:autoSpaceDN w:val="0"/>
        <w:jc w:val="left"/>
        <w:spacing w:before="48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861" w:hanging="475"/>
        <w:snapToGrid w:val="0"/>
        <w:textAlignment w:val="auto"/>
        <w:tabs>
          <w:tab w:val="left" w:leader="none" w:pos="1861"/>
        </w:tabs>
        <w:numPr>
          <w:ilvl w:val="0"/>
          <w:numId w:val="107"/>
        </w:numPr>
        <w:rPr>
          <w:rFonts w:ascii="Times New Roman" w:hAnsi="Times New Roman" w:cs="Times New Roman" w:eastAsia="Times New Roman" w:hint="ascii"/>
          <w:sz w:val="21"/>
          <w:spacing w:val="1"/>
        </w:rPr>
      </w:pPr>
      <w:r>
        <w:rPr>
          <w:rFonts w:ascii="宋体" w:hAnsi="宋体" w:cs="宋体" w:eastAsia="宋体" w:hint="ascii"/>
          <w:sz w:val="21"/>
        </w:rPr>
        <w:t>年度经济科学学科收到面上项目申请</w:t>
      </w:r>
      <w:r>
        <w:rPr>
          <w:rFonts w:ascii="宋体" w:hAnsi="宋体" w:cs="宋体" w:eastAsia="宋体" w:hint="ascii"/>
          <w:sz w:val="21"/>
          <w:spacing w:val="-25"/>
        </w:rPr>
        <w:t xml:space="preserve"> </w:t>
      </w:r>
      <w:r>
        <w:rPr>
          <w:rFonts w:ascii="Times New Roman" w:hAnsi="Times New Roman" w:cs="Times New Roman" w:eastAsia="Times New Roman" w:hint="ascii"/>
          <w:sz w:val="21"/>
        </w:rPr>
        <w:t>89</w:t>
      </w:r>
      <w:r>
        <w:rPr>
          <w:rFonts w:ascii="Times New Roman" w:hAnsi="Times New Roman" w:cs="Times New Roman" w:eastAsia="Times New Roman" w:hint="ascii"/>
          <w:sz w:val="21"/>
          <w:spacing w:val="53"/>
        </w:rPr>
        <w:t>5</w:t>
      </w:r>
      <w:r>
        <w:rPr>
          <w:rFonts w:ascii="宋体" w:hAnsi="宋体" w:cs="宋体" w:eastAsia="宋体" w:hint="ascii"/>
          <w:sz w:val="21"/>
        </w:rPr>
        <w:t>项，比</w:t>
      </w:r>
      <w:r>
        <w:rPr>
          <w:rFonts w:ascii="宋体" w:hAnsi="宋体" w:cs="宋体" w:eastAsia="宋体" w:hint="ascii"/>
          <w:sz w:val="21"/>
          <w:spacing w:val="-25"/>
        </w:rPr>
        <w:t xml:space="preserve"> </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6</w:t>
      </w:r>
      <w:r>
        <w:rPr>
          <w:rFonts w:ascii="宋体" w:hAnsi="宋体" w:cs="宋体" w:eastAsia="宋体" w:hint="ascii"/>
          <w:sz w:val="21"/>
        </w:rPr>
        <w:t>年</w:t>
      </w:r>
      <w:r>
        <w:rPr>
          <w:rFonts w:ascii="宋体" w:hAnsi="宋体" w:cs="宋体" w:eastAsia="宋体" w:hint="ascii"/>
          <w:sz w:val="21"/>
          <w:spacing w:val="27"/>
        </w:rPr>
        <w:t>的</w:t>
      </w:r>
      <w:r>
        <w:rPr>
          <w:rFonts w:ascii="Times New Roman" w:hAnsi="Times New Roman" w:cs="Times New Roman" w:eastAsia="Times New Roman" w:hint="ascii"/>
          <w:sz w:val="21"/>
        </w:rPr>
        <w:t>776</w:t>
      </w:r>
      <w:r>
        <w:rPr>
          <w:rFonts w:ascii="Times New Roman" w:hAnsi="Times New Roman" w:cs="Times New Roman" w:eastAsia="Times New Roman" w:hint="ascii"/>
          <w:sz w:val="21"/>
          <w:spacing w:val="-25"/>
        </w:rPr>
        <w:t xml:space="preserve"> </w:t>
      </w:r>
      <w:r>
        <w:rPr>
          <w:rFonts w:ascii="宋体" w:hAnsi="宋体" w:cs="宋体" w:eastAsia="宋体" w:hint="ascii"/>
          <w:sz w:val="21"/>
        </w:rPr>
        <w:t>项（原宏观管</w:t>
      </w:r>
      <w:r>
        <w:rPr>
          <w:rFonts w:ascii="宋体" w:hAnsi="宋体" w:cs="宋体" w:eastAsia="宋体" w:hint="ascii"/>
          <w:sz w:val="21"/>
        </w:rPr>
        <mc:AlternateContent>
          <mc:Choice Requires="wps">
            <w:drawing>
              <wp:anchor distL="0" distR="0" distT="0" distB="0" simplePos="0" behindDoc="1" relativeHeight="121" locked="0" layoutInCell="1" allowOverlap="1">
                <wp:simplePos x="0" y="0"/>
                <wp:positionH relativeFrom="page">
                  <wp:posOffset>938530</wp:posOffset>
                </wp:positionH>
                <wp:positionV relativeFrom="page">
                  <wp:posOffset>805815</wp:posOffset>
                </wp:positionV>
                <wp:extent cx="5076190" cy="0"/>
                <wp:wrapNone/>
                <wp:docPr id="1150" name="115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34336;width:399.70pt;" id="115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15"/>
        </w:rPr>
        <w:t>理</w:t>
      </w:r>
      <w:r>
        <w:rPr>
          <w:rFonts w:ascii="宋体" w:hAnsi="宋体" w:cs="宋体" w:eastAsia="宋体" w:hint="ascii"/>
          <w:sz w:val="21"/>
          <w:spacing w:val="14"/>
        </w:rPr>
        <w:t>与政</w:t>
      </w:r>
      <w:r>
        <w:rPr>
          <w:rFonts w:ascii="宋体" w:hAnsi="宋体" w:cs="宋体" w:eastAsia="宋体" w:hint="ascii"/>
          <w:sz w:val="21"/>
          <w:spacing w:val="15"/>
        </w:rPr>
        <w:t>策</w:t>
      </w:r>
      <w:r>
        <w:rPr>
          <w:rFonts w:ascii="宋体" w:hAnsi="宋体" w:cs="宋体" w:eastAsia="宋体" w:hint="ascii"/>
          <w:sz w:val="21"/>
          <w:spacing w:val="14"/>
        </w:rPr>
        <w:t>学</w:t>
      </w:r>
      <w:r>
        <w:rPr>
          <w:rFonts w:ascii="宋体" w:hAnsi="宋体" w:cs="宋体" w:eastAsia="宋体" w:hint="ascii"/>
          <w:sz w:val="21"/>
          <w:spacing w:val="15"/>
        </w:rPr>
        <w:t>科</w:t>
      </w:r>
      <w:r>
        <w:rPr>
          <w:rFonts w:ascii="宋体" w:hAnsi="宋体" w:cs="宋体" w:eastAsia="宋体" w:hint="ascii"/>
          <w:sz w:val="21"/>
          <w:spacing w:val="14"/>
        </w:rPr>
        <w:t>经济</w:t>
      </w:r>
      <w:r>
        <w:rPr>
          <w:rFonts w:ascii="宋体" w:hAnsi="宋体" w:cs="宋体" w:eastAsia="宋体" w:hint="ascii"/>
          <w:sz w:val="21"/>
          <w:spacing w:val="15"/>
        </w:rPr>
        <w:t>科</w:t>
      </w:r>
      <w:r>
        <w:rPr>
          <w:rFonts w:ascii="宋体" w:hAnsi="宋体" w:cs="宋体" w:eastAsia="宋体" w:hint="ascii"/>
          <w:sz w:val="21"/>
          <w:spacing w:val="14"/>
        </w:rPr>
        <w:t>学</w:t>
      </w:r>
      <w:r>
        <w:rPr>
          <w:rFonts w:ascii="宋体" w:hAnsi="宋体" w:cs="宋体" w:eastAsia="宋体" w:hint="ascii"/>
          <w:sz w:val="21"/>
          <w:spacing w:val="15"/>
        </w:rPr>
        <w:t>相</w:t>
      </w:r>
      <w:r>
        <w:rPr>
          <w:rFonts w:ascii="宋体" w:hAnsi="宋体" w:cs="宋体" w:eastAsia="宋体" w:hint="ascii"/>
          <w:sz w:val="21"/>
          <w:spacing w:val="14"/>
        </w:rPr>
        <w:t>关代</w:t>
      </w:r>
      <w:r>
        <w:rPr>
          <w:rFonts w:ascii="宋体" w:hAnsi="宋体" w:cs="宋体" w:eastAsia="宋体" w:hint="ascii"/>
          <w:sz w:val="21"/>
          <w:spacing w:val="15"/>
        </w:rPr>
        <w:t>码</w:t>
      </w:r>
      <w:r>
        <w:rPr>
          <w:rFonts w:ascii="宋体" w:hAnsi="宋体" w:cs="宋体" w:eastAsia="宋体" w:hint="ascii"/>
          <w:sz w:val="21"/>
          <w:spacing w:val="14"/>
        </w:rPr>
        <w:t>的</w:t>
      </w:r>
      <w:r>
        <w:rPr>
          <w:rFonts w:ascii="宋体" w:hAnsi="宋体" w:cs="宋体" w:eastAsia="宋体" w:hint="ascii"/>
          <w:sz w:val="21"/>
          <w:spacing w:val="15"/>
        </w:rPr>
        <w:t>项</w:t>
      </w:r>
      <w:r>
        <w:rPr>
          <w:rFonts w:ascii="宋体" w:hAnsi="宋体" w:cs="宋体" w:eastAsia="宋体" w:hint="ascii"/>
          <w:sz w:val="21"/>
          <w:spacing w:val="14"/>
        </w:rPr>
        <w:t>目）</w:t>
      </w:r>
      <w:r>
        <w:rPr>
          <w:rFonts w:ascii="宋体" w:hAnsi="宋体" w:cs="宋体" w:eastAsia="宋体" w:hint="ascii"/>
          <w:sz w:val="21"/>
          <w:spacing w:val="15"/>
        </w:rPr>
        <w:t>增</w:t>
      </w:r>
      <w:r>
        <w:rPr>
          <w:rFonts w:ascii="宋体" w:hAnsi="宋体" w:cs="宋体" w:eastAsia="宋体" w:hint="ascii"/>
          <w:sz w:val="21"/>
        </w:rPr>
        <w:t>长</w:t>
      </w:r>
      <w:r>
        <w:rPr>
          <w:rFonts w:ascii="宋体" w:hAnsi="宋体" w:cs="宋体" w:eastAsia="宋体" w:hint="ascii"/>
          <w:sz w:val="21"/>
          <w:spacing w:val="-12"/>
        </w:rPr>
        <w:t xml:space="preserve"> </w:t>
      </w:r>
      <w:r>
        <w:rPr>
          <w:rFonts w:ascii="Times New Roman" w:hAnsi="Times New Roman" w:cs="Times New Roman" w:eastAsia="Times New Roman" w:hint="ascii"/>
          <w:sz w:val="21"/>
        </w:rPr>
        <w:t>15.3</w:t>
      </w:r>
      <w:r>
        <w:rPr>
          <w:rFonts w:ascii="Times New Roman" w:hAnsi="Times New Roman" w:cs="Times New Roman" w:eastAsia="Times New Roman" w:hint="ascii"/>
          <w:sz w:val="21"/>
          <w:spacing w:val="28"/>
        </w:rPr>
        <w:t>%</w:t>
      </w:r>
      <w:r>
        <w:rPr>
          <w:rFonts w:ascii="宋体" w:hAnsi="宋体" w:cs="宋体" w:eastAsia="宋体" w:hint="ascii"/>
          <w:sz w:val="21"/>
          <w:spacing w:val="15"/>
        </w:rPr>
        <w:t>，</w:t>
      </w:r>
      <w:r>
        <w:rPr>
          <w:rFonts w:ascii="宋体" w:hAnsi="宋体" w:cs="宋体" w:eastAsia="宋体" w:hint="ascii"/>
          <w:sz w:val="21"/>
          <w:spacing w:val="14"/>
        </w:rPr>
        <w:t>资</w:t>
      </w:r>
      <w:r>
        <w:rPr>
          <w:rFonts w:ascii="宋体" w:hAnsi="宋体" w:cs="宋体" w:eastAsia="宋体" w:hint="ascii"/>
          <w:sz w:val="21"/>
        </w:rPr>
        <w:t>助</w:t>
      </w:r>
      <w:r>
        <w:rPr>
          <w:rFonts w:ascii="宋体" w:hAnsi="宋体" w:cs="宋体" w:eastAsia="宋体" w:hint="ascii"/>
          <w:sz w:val="21"/>
          <w:spacing w:val="-11"/>
        </w:rPr>
        <w:t xml:space="preserve"> </w:t>
      </w:r>
      <w:r>
        <w:rPr>
          <w:rFonts w:ascii="Times New Roman" w:hAnsi="Times New Roman" w:cs="Times New Roman" w:eastAsia="Times New Roman" w:hint="ascii"/>
          <w:sz w:val="21"/>
        </w:rPr>
        <w:t>153</w:t>
      </w:r>
      <w:r>
        <w:rPr>
          <w:rFonts w:ascii="Times New Roman" w:hAnsi="Times New Roman" w:cs="Times New Roman" w:eastAsia="Times New Roman" w:hint="ascii"/>
          <w:sz w:val="21"/>
          <w:spacing w:val="-12"/>
        </w:rPr>
        <w:t xml:space="preserve"> </w:t>
      </w:r>
      <w:r>
        <w:rPr>
          <w:rFonts w:ascii="宋体" w:hAnsi="宋体" w:cs="宋体" w:eastAsia="宋体" w:hint="ascii"/>
          <w:sz w:val="21"/>
          <w:spacing w:val="14"/>
        </w:rPr>
        <w:t>项，资助率</w:t>
      </w:r>
      <w:r>
        <w:rPr>
          <w:rFonts w:ascii="宋体" w:hAnsi="宋体" w:cs="宋体" w:eastAsia="宋体" w:hint="ascii"/>
          <w:sz w:val="21"/>
        </w:rPr>
        <w:t>为</w:t>
      </w:r>
    </w:p>
    <w:p>
      <w:pPr>
        <w:autoSpaceDE w:val="0"/>
        <w:autoSpaceDN w:val="0"/>
        <w:jc w:val="left"/>
        <w:spacing w:before="58" w:after="0" w:lineRule="auto" w:line="240"/>
        <w:ind w:right="0" w:left="420" w:firstLine="546"/>
        <w:snapToGrid w:val="0"/>
        <w:textAlignment w:val="auto"/>
        <w:tabs/>
        <w:numPr>
          <w:ilvl w:val="1"/>
          <w:numId w:val="108"/>
        </w:numPr>
        <w:rPr>
          <w:rFonts w:ascii="Times New Roman" w:hAnsi="Times New Roman" w:cs="Times New Roman" w:eastAsia="宋体" w:hint="ascii"/>
          <w:sz w:val="21"/>
          <w:spacing w:val="1"/>
        </w:rPr>
      </w:pPr>
      <w:r>
        <w:rPr>
          <w:rFonts w:ascii="Times New Roman" w:hAnsi="Times New Roman" w:cs="Times New Roman" w:eastAsia="Times New Roman" w:hint="ascii"/>
          <w:sz w:val="21"/>
        </w:rPr>
        <w:t>9%</w:t>
      </w:r>
      <w:r>
        <w:rPr>
          <w:rFonts w:ascii="宋体" w:hAnsi="宋体" w:cs="宋体" w:eastAsia="宋体" w:hint="ascii"/>
          <w:sz w:val="21"/>
        </w:rPr>
        <w:t>。</w:t>
      </w:r>
    </w:p>
    <w:p>
      <w:pPr>
        <w:autoSpaceDE w:val="0"/>
        <w:autoSpaceDN w:val="0"/>
        <w:jc w:val="both"/>
        <w:spacing w:before="20" w:after="0" w:lineRule="exact" w:line="319"/>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近年来，农林经济管理、金融管理、宏观经济管理等领域申请与资助项目数量</w:t>
      </w:r>
      <w:r>
        <w:rPr>
          <w:rFonts w:ascii="宋体" w:hAnsi="宋体" w:cs="宋体" w:eastAsia="宋体" w:hint="ascii"/>
          <w:sz w:val="21"/>
          <w:spacing w:val="-6"/>
        </w:rPr>
        <w:t>较</w:t>
      </w:r>
      <w:r>
        <w:rPr>
          <w:rFonts w:ascii="宋体" w:hAnsi="宋体" w:cs="宋体" w:eastAsia="宋体" w:hint="ascii"/>
          <w:sz w:val="21"/>
        </w:rPr>
        <w:t xml:space="preserve"> </w:t>
      </w:r>
      <w:r>
        <w:rPr>
          <w:rFonts w:ascii="宋体" w:hAnsi="宋体" w:cs="宋体" w:eastAsia="宋体" w:hint="ascii"/>
          <w:sz w:val="21"/>
          <w:spacing w:val="-1"/>
        </w:rPr>
        <w:t>多，财税</w:t>
      </w:r>
      <w:r>
        <w:rPr>
          <w:rFonts w:ascii="宋体" w:hAnsi="宋体" w:cs="宋体" w:eastAsia="宋体" w:hint="ascii"/>
          <w:sz w:val="21"/>
        </w:rPr>
        <w:t>管理等领域申请相对较少，反映出不同学科方向的研究团队和规模差异。不少</w:t>
      </w:r>
      <w:r>
        <w:rPr>
          <w:rFonts w:ascii="宋体" w:hAnsi="宋体" w:cs="宋体" w:eastAsia="宋体" w:hint="ascii"/>
          <w:sz w:val="21"/>
          <w:spacing w:val="-1"/>
        </w:rPr>
        <w:t>申请人积</w:t>
      </w:r>
      <w:r>
        <w:rPr>
          <w:rFonts w:ascii="宋体" w:hAnsi="宋体" w:cs="宋体" w:eastAsia="宋体" w:hint="ascii"/>
          <w:sz w:val="21"/>
        </w:rPr>
        <w:t>极关注和分析与中国经济发展与增长问题相关的研究热点，提出了高质量的研</w:t>
      </w:r>
      <w:r>
        <w:rPr>
          <w:rFonts w:ascii="宋体" w:hAnsi="宋体" w:cs="宋体" w:eastAsia="宋体" w:hint="ascii"/>
          <w:sz w:val="21"/>
          <w:spacing w:val="-1"/>
        </w:rPr>
        <w:t>究设计。</w:t>
      </w:r>
      <w:r>
        <w:rPr>
          <w:rFonts w:ascii="宋体" w:hAnsi="宋体" w:cs="宋体" w:eastAsia="宋体" w:hint="ascii"/>
          <w:sz w:val="21"/>
        </w:rPr>
        <w:t>博弈论与信息经济、行为经济与实验经济、计量经济与经济计算等基础理论领</w:t>
      </w:r>
      <w:r>
        <w:rPr>
          <w:rFonts w:ascii="宋体" w:hAnsi="宋体" w:cs="宋体" w:eastAsia="宋体" w:hint="ascii"/>
          <w:sz w:val="21"/>
          <w:spacing w:val="-1"/>
        </w:rPr>
        <w:t>域的申报</w:t>
      </w:r>
      <w:r>
        <w:rPr>
          <w:rFonts w:ascii="宋体" w:hAnsi="宋体" w:cs="宋体" w:eastAsia="宋体" w:hint="ascii"/>
          <w:sz w:val="21"/>
        </w:rPr>
        <w:t>项目虽然总量不多，但青年基金项目申请量明显多于面上项目申请量，表现出较大的增长潜力。</w:t>
      </w:r>
    </w:p>
    <w:p>
      <w:pPr>
        <w:autoSpaceDE w:val="0"/>
        <w:autoSpaceDN w:val="0"/>
        <w:jc w:val="left"/>
        <w:spacing w:before="50" w:after="0" w:lineRule="auto" w:line="240"/>
        <w:ind w:right="0" w:left="1861" w:hanging="475"/>
        <w:snapToGrid w:val="0"/>
        <w:textAlignment w:val="auto"/>
        <w:tabs>
          <w:tab w:val="left" w:leader="none" w:pos="1863"/>
        </w:tabs>
        <w:numPr>
          <w:ilvl w:val="0"/>
          <w:numId w:val="107"/>
        </w:numPr>
        <w:rPr>
          <w:rFonts w:ascii="Times New Roman" w:hAnsi="Times New Roman" w:cs="Times New Roman" w:eastAsia="Times New Roman" w:hint="ascii"/>
          <w:sz w:val="21"/>
          <w:spacing w:val="1"/>
        </w:rPr>
      </w:pPr>
      <w:r>
        <w:rPr>
          <w:rFonts w:ascii="宋体" w:hAnsi="宋体" w:cs="宋体" w:eastAsia="宋体" w:hint="ascii"/>
          <w:sz w:val="21"/>
        </w:rPr>
        <w:t>年度本学科将对基于中国国情的宏观经济模型、计量经济与实验经济理论与</w:t>
      </w:r>
    </w:p>
    <w:p>
      <w:pPr>
        <w:autoSpaceDE w:val="0"/>
        <w:autoSpaceDN w:val="0"/>
        <w:jc w:val="both"/>
        <w:spacing w:before="17" w:after="0" w:lineRule="exact" w:line="32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方法、互</w:t>
      </w:r>
      <w:r>
        <w:rPr>
          <w:rFonts w:ascii="宋体" w:hAnsi="宋体" w:cs="宋体" w:eastAsia="宋体" w:hint="ascii"/>
          <w:sz w:val="21"/>
        </w:rPr>
        <w:t>联网金融管理、产业转型升级、公共财政等研究领域予以重点关注；尤其是对</w:t>
      </w:r>
      <w:r>
        <w:rPr>
          <w:rFonts w:ascii="宋体" w:hAnsi="宋体" w:cs="宋体" w:eastAsia="宋体" w:hint="ascii"/>
          <w:sz w:val="21"/>
          <w:spacing w:val="-1"/>
        </w:rPr>
        <w:t>经济结构</w:t>
      </w:r>
      <w:r>
        <w:rPr>
          <w:rFonts w:ascii="宋体" w:hAnsi="宋体" w:cs="宋体" w:eastAsia="宋体" w:hint="ascii"/>
          <w:sz w:val="21"/>
        </w:rPr>
        <w:t>调整、技术创新与生产率、人口与劳动力以及资源环境与收入分配等聚焦中国经济发展与增长的研究方向予以鼓励和倾斜。</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宏观管理与政策学科（</w:t>
      </w:r>
      <w:r>
        <w:rPr>
          <w:rFonts w:ascii="Times New Roman" w:hAnsi="Times New Roman" w:cs="Times New Roman" w:eastAsia="Times New Roman" w:hint="ascii"/>
          <w:b w:val="1"/>
        </w:rPr>
        <w:t>G04</w:t>
      </w:r>
      <w:r>
        <w:rPr>
          <w:rFonts w:ascii="宋体" w:hAnsi="宋体" w:cs="宋体" w:eastAsia="宋体" w:hint="ascii"/>
        </w:rPr>
        <w:t>）</w:t>
      </w:r>
    </w:p>
    <w:p>
      <w:pPr>
        <w:autoSpaceDE w:val="0"/>
        <w:autoSpaceDN w:val="0"/>
        <w:jc w:val="left"/>
        <w:spacing w:before="212"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宏观管理与政策学科是研究政府及相关公共部门为实现经济和社会发展目标，制定</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宏观政策</w:t>
      </w:r>
      <w:r>
        <w:rPr>
          <w:rFonts w:ascii="宋体" w:hAnsi="宋体" w:cs="宋体" w:eastAsia="宋体" w:hint="ascii"/>
          <w:sz w:val="21"/>
        </w:rPr>
        <w:t>和实施综合管理行为规律的综合学科群。资助范围包括公共管理、非营利组织</w:t>
      </w:r>
      <w:r>
        <w:rPr>
          <w:rFonts w:ascii="宋体" w:hAnsi="宋体" w:cs="宋体" w:eastAsia="宋体" w:hint="ascii"/>
          <w:sz w:val="21"/>
          <w:spacing w:val="-1"/>
        </w:rPr>
        <w:t>管理、科</w:t>
      </w:r>
      <w:r>
        <w:rPr>
          <w:rFonts w:ascii="宋体" w:hAnsi="宋体" w:cs="宋体" w:eastAsia="宋体" w:hint="ascii"/>
          <w:sz w:val="21"/>
        </w:rPr>
        <w:t>技管理与政策、创新管理、卫生管理与政策、教育管理与政策、公共安全与危</w:t>
      </w:r>
      <w:r>
        <w:rPr>
          <w:rFonts w:ascii="宋体" w:hAnsi="宋体" w:cs="宋体" w:eastAsia="宋体" w:hint="ascii"/>
          <w:sz w:val="21"/>
          <w:spacing w:val="-1"/>
        </w:rPr>
        <w:t>机管理、</w:t>
      </w:r>
      <w:r>
        <w:rPr>
          <w:rFonts w:ascii="宋体" w:hAnsi="宋体" w:cs="宋体" w:eastAsia="宋体" w:hint="ascii"/>
          <w:sz w:val="21"/>
        </w:rPr>
        <w:t>文化与休闲产业管理、社会福利管理、环境与生态管理、资源管理与政策、区域发展管理、信息资源管理等分支学科和领域的基础研究。</w:t>
      </w:r>
    </w:p>
    <w:p>
      <w:pPr>
        <w:autoSpaceDE w:val="0"/>
        <w:autoSpaceDN w:val="0"/>
        <w:jc w:val="both"/>
        <w:spacing w:before="0" w:after="0" w:lineRule="exact" w:line="330"/>
        <w:ind w:right="976" w:left="966" w:firstLine="420"/>
        <w:snapToGrid w:val="0"/>
        <w:textAlignment w:val="auto"/>
        <w:tabs>
          <w:tab w:val="left" w:leader="none" w:pos="1862"/>
        </w:tabs>
        <w:numPr>
          <w:ilvl w:val="0"/>
          <w:numId w:val="109"/>
        </w:numPr>
        <w:rPr>
          <w:rFonts w:ascii="Times New Roman" w:hAnsi="Times New Roman" w:cs="Times New Roman" w:eastAsia="Times New Roman" w:hint="ascii"/>
          <w:sz w:val="21"/>
          <w:spacing w:val="1"/>
        </w:rPr>
      </w:pPr>
      <w:r>
        <w:rPr>
          <w:rFonts w:ascii="宋体" w:hAnsi="宋体" w:cs="宋体" w:eastAsia="宋体" w:hint="ascii"/>
          <w:sz w:val="21"/>
        </w:rPr>
        <w:t>年本科学收到申</w:t>
      </w:r>
      <w:r>
        <w:rPr>
          <w:rFonts w:ascii="宋体" w:hAnsi="宋体" w:cs="宋体" w:eastAsia="宋体" w:hint="ascii"/>
          <w:sz w:val="21"/>
          <w:spacing w:val="-2"/>
        </w:rPr>
        <w:t>请</w:t>
      </w:r>
      <w:r>
        <w:rPr>
          <w:rFonts w:ascii="宋体" w:hAnsi="宋体" w:cs="宋体" w:eastAsia="宋体" w:hint="ascii"/>
          <w:sz w:val="21"/>
          <w:spacing w:val="-2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rPr>
        <w:t>068</w:t>
      </w:r>
      <w:r>
        <w:rPr>
          <w:rFonts w:ascii="Times New Roman" w:hAnsi="Times New Roman" w:cs="Times New Roman" w:eastAsia="Times New Roman" w:hint="ascii"/>
          <w:sz w:val="21"/>
          <w:spacing w:val="-27"/>
        </w:rPr>
        <w:t xml:space="preserve"> </w:t>
      </w:r>
      <w:r>
        <w:rPr>
          <w:rFonts w:ascii="宋体" w:hAnsi="宋体" w:cs="宋体" w:eastAsia="宋体" w:hint="ascii"/>
          <w:sz w:val="21"/>
        </w:rPr>
        <w:t>项，</w:t>
      </w:r>
      <w:r>
        <w:rPr>
          <w:rFonts w:ascii="宋体" w:hAnsi="宋体" w:cs="宋体" w:eastAsia="宋体" w:hint="ascii"/>
          <w:sz w:val="21"/>
          <w:spacing w:val="-2"/>
        </w:rPr>
        <w:t>比</w:t>
      </w:r>
      <w:r>
        <w:rPr>
          <w:rFonts w:ascii="宋体" w:hAnsi="宋体" w:cs="宋体" w:eastAsia="宋体" w:hint="ascii"/>
          <w:sz w:val="21"/>
          <w:spacing w:val="-26"/>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7"/>
        </w:rPr>
        <w:t xml:space="preserve"> </w:t>
      </w:r>
      <w:r>
        <w:rPr>
          <w:rFonts w:ascii="宋体" w:hAnsi="宋体" w:cs="宋体" w:eastAsia="宋体" w:hint="ascii"/>
          <w:sz w:val="21"/>
        </w:rPr>
        <w:t>年</w:t>
      </w:r>
      <w:r>
        <w:rPr>
          <w:rFonts w:ascii="宋体" w:hAnsi="宋体" w:cs="宋体" w:eastAsia="宋体" w:hint="ascii"/>
          <w:sz w:val="21"/>
          <w:spacing w:val="-2"/>
        </w:rPr>
        <w:t>的</w:t>
      </w:r>
      <w:r>
        <w:rPr>
          <w:rFonts w:ascii="宋体" w:hAnsi="宋体" w:cs="宋体" w:eastAsia="宋体" w:hint="ascii"/>
          <w:sz w:val="21"/>
          <w:spacing w:val="-26"/>
        </w:rPr>
        <w:t xml:space="preserve"> </w:t>
      </w:r>
      <w:r>
        <w:rPr>
          <w:rFonts w:ascii="Times New Roman" w:hAnsi="Times New Roman" w:cs="Times New Roman" w:eastAsia="Times New Roman" w:hint="ascii"/>
          <w:sz w:val="21"/>
        </w:rPr>
        <w:t>98</w:t>
      </w:r>
      <w:r>
        <w:rPr>
          <w:rFonts w:ascii="Times New Roman" w:hAnsi="Times New Roman" w:cs="Times New Roman" w:eastAsia="Times New Roman" w:hint="ascii"/>
          <w:sz w:val="21"/>
          <w:spacing w:val="54"/>
        </w:rPr>
        <w:t>1</w:t>
      </w:r>
      <w:r>
        <w:rPr>
          <w:rFonts w:ascii="宋体" w:hAnsi="宋体" w:cs="宋体" w:eastAsia="宋体" w:hint="ascii"/>
          <w:sz w:val="21"/>
        </w:rPr>
        <w:t>项（原宏观管理与政策学科</w:t>
      </w:r>
      <w:r>
        <w:rPr>
          <w:rFonts w:ascii="宋体" w:hAnsi="宋体" w:cs="宋体" w:eastAsia="宋体" w:hint="ascii"/>
          <w:sz w:val="21"/>
          <w:spacing w:val="-4"/>
        </w:rPr>
        <w:t>中</w:t>
      </w:r>
      <w:r>
        <w:rPr>
          <w:rFonts w:ascii="宋体" w:hAnsi="宋体" w:cs="宋体" w:eastAsia="宋体" w:hint="ascii"/>
          <w:sz w:val="21"/>
        </w:rPr>
        <w:t>除去经济科学相关代码的项目）增</w:t>
      </w:r>
      <w:r>
        <w:rPr>
          <w:rFonts w:ascii="宋体" w:hAnsi="宋体" w:cs="宋体" w:eastAsia="宋体" w:hint="ascii"/>
          <w:sz w:val="21"/>
          <w:spacing w:val="26"/>
        </w:rPr>
        <w:t>长</w:t>
      </w:r>
      <w:r>
        <w:rPr>
          <w:rFonts w:ascii="Times New Roman" w:hAnsi="Times New Roman" w:cs="Times New Roman" w:eastAsia="Times New Roman" w:hint="ascii"/>
          <w:sz w:val="21"/>
        </w:rPr>
        <w:t>8.9%</w:t>
      </w:r>
      <w:r>
        <w:rPr>
          <w:rFonts w:ascii="宋体" w:hAnsi="宋体" w:cs="宋体" w:eastAsia="宋体" w:hint="ascii"/>
          <w:sz w:val="21"/>
        </w:rPr>
        <w:t>，资</w:t>
      </w:r>
      <w:r>
        <w:rPr>
          <w:rFonts w:ascii="宋体" w:hAnsi="宋体" w:cs="宋体" w:eastAsia="宋体" w:hint="ascii"/>
          <w:sz w:val="21"/>
          <w:spacing w:val="26"/>
        </w:rPr>
        <w:t>助</w:t>
      </w:r>
      <w:r>
        <w:rPr>
          <w:rFonts w:ascii="Times New Roman" w:hAnsi="Times New Roman" w:cs="Times New Roman" w:eastAsia="Times New Roman" w:hint="ascii"/>
          <w:sz w:val="21"/>
        </w:rPr>
        <w:t>18</w:t>
      </w:r>
      <w:r>
        <w:rPr>
          <w:rFonts w:ascii="Times New Roman" w:hAnsi="Times New Roman" w:cs="Times New Roman" w:eastAsia="Times New Roman" w:hint="ascii"/>
          <w:sz w:val="21"/>
          <w:spacing w:val="52"/>
        </w:rPr>
        <w:t>2</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17.04%</w:t>
      </w:r>
      <w:r>
        <w:rPr>
          <w:rFonts w:ascii="宋体" w:hAnsi="宋体" w:cs="宋体" w:eastAsia="宋体" w:hint="ascii"/>
          <w:sz w:val="21"/>
        </w:rPr>
        <w:t>。</w:t>
      </w:r>
    </w:p>
    <w:p>
      <w:pPr>
        <w:autoSpaceDE w:val="0"/>
        <w:autoSpaceDN w:val="0"/>
        <w:jc w:val="left"/>
        <w:spacing w:before="54"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近</w:t>
      </w:r>
      <w:r>
        <w:rPr>
          <w:rFonts w:ascii="宋体" w:hAnsi="宋体" w:cs="宋体" w:eastAsia="宋体" w:hint="ascii"/>
          <w:sz w:val="21"/>
          <w:spacing w:val="7"/>
        </w:rPr>
        <w:t>年</w:t>
      </w:r>
      <w:r>
        <w:rPr>
          <w:rFonts w:ascii="宋体" w:hAnsi="宋体" w:cs="宋体" w:eastAsia="宋体" w:hint="ascii"/>
          <w:sz w:val="21"/>
          <w:spacing w:val="6"/>
        </w:rPr>
        <w:t>来，在宏</w:t>
      </w:r>
      <w:r>
        <w:rPr>
          <w:rFonts w:ascii="宋体" w:hAnsi="宋体" w:cs="宋体" w:eastAsia="宋体" w:hint="ascii"/>
          <w:sz w:val="21"/>
          <w:spacing w:val="7"/>
        </w:rPr>
        <w:t>观</w:t>
      </w:r>
      <w:r>
        <w:rPr>
          <w:rFonts w:ascii="宋体" w:hAnsi="宋体" w:cs="宋体" w:eastAsia="宋体" w:hint="ascii"/>
          <w:sz w:val="21"/>
          <w:spacing w:val="6"/>
        </w:rPr>
        <w:t>管理与政</w:t>
      </w:r>
      <w:r>
        <w:rPr>
          <w:rFonts w:ascii="宋体" w:hAnsi="宋体" w:cs="宋体" w:eastAsia="宋体" w:hint="ascii"/>
          <w:sz w:val="21"/>
          <w:spacing w:val="7"/>
        </w:rPr>
        <w:t>策</w:t>
      </w:r>
      <w:r>
        <w:rPr>
          <w:rFonts w:ascii="宋体" w:hAnsi="宋体" w:cs="宋体" w:eastAsia="宋体" w:hint="ascii"/>
          <w:sz w:val="21"/>
          <w:spacing w:val="6"/>
        </w:rPr>
        <w:t>学科中，</w:t>
      </w:r>
      <w:r>
        <w:rPr>
          <w:rFonts w:ascii="宋体" w:hAnsi="宋体" w:cs="宋体" w:eastAsia="宋体" w:hint="ascii"/>
          <w:sz w:val="21"/>
          <w:spacing w:val="7"/>
        </w:rPr>
        <w:t>资</w:t>
      </w:r>
      <w:r>
        <w:rPr>
          <w:rFonts w:ascii="宋体" w:hAnsi="宋体" w:cs="宋体" w:eastAsia="宋体" w:hint="ascii"/>
          <w:sz w:val="21"/>
          <w:spacing w:val="6"/>
        </w:rPr>
        <w:t>源环境管</w:t>
      </w:r>
      <w:r>
        <w:rPr>
          <w:rFonts w:ascii="宋体" w:hAnsi="宋体" w:cs="宋体" w:eastAsia="宋体" w:hint="ascii"/>
          <w:sz w:val="21"/>
          <w:spacing w:val="7"/>
        </w:rPr>
        <w:t>理</w:t>
      </w:r>
      <w:r>
        <w:rPr>
          <w:rFonts w:ascii="宋体" w:hAnsi="宋体" w:cs="宋体" w:eastAsia="宋体" w:hint="ascii"/>
          <w:sz w:val="21"/>
          <w:spacing w:val="6"/>
        </w:rPr>
        <w:t>、卫生管</w:t>
      </w:r>
      <w:r>
        <w:rPr>
          <w:rFonts w:ascii="宋体" w:hAnsi="宋体" w:cs="宋体" w:eastAsia="宋体" w:hint="ascii"/>
          <w:sz w:val="21"/>
          <w:spacing w:val="7"/>
        </w:rPr>
        <w:t>理</w:t>
      </w:r>
      <w:r>
        <w:rPr>
          <w:rFonts w:ascii="宋体" w:hAnsi="宋体" w:cs="宋体" w:eastAsia="宋体" w:hint="ascii"/>
          <w:sz w:val="21"/>
          <w:spacing w:val="6"/>
        </w:rPr>
        <w:t>与政策等</w:t>
      </w:r>
      <w:r>
        <w:rPr>
          <w:rFonts w:ascii="宋体" w:hAnsi="宋体" w:cs="宋体" w:eastAsia="宋体" w:hint="ascii"/>
          <w:sz w:val="21"/>
          <w:spacing w:val="7"/>
        </w:rPr>
        <w:t>领</w:t>
      </w:r>
      <w:r>
        <w:rPr>
          <w:rFonts w:ascii="宋体" w:hAnsi="宋体" w:cs="宋体" w:eastAsia="宋体" w:hint="ascii"/>
          <w:sz w:val="21"/>
          <w:spacing w:val="6"/>
        </w:rPr>
        <w:t>域</w:t>
      </w:r>
      <w:r>
        <w:rPr>
          <w:rFonts w:ascii="宋体" w:hAnsi="宋体" w:cs="宋体" w:eastAsia="宋体" w:hint="ascii"/>
          <w:sz w:val="21"/>
        </w:rPr>
        <w:t>申</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4"/>
        </w:rPr>
        <w:t>请与资助</w:t>
      </w:r>
      <w:r>
        <w:rPr>
          <w:rFonts w:ascii="宋体" w:hAnsi="宋体" w:cs="宋体" w:eastAsia="宋体" w:hint="ascii"/>
          <w:sz w:val="21"/>
          <w:spacing w:val="3"/>
        </w:rPr>
        <w:t>项</w:t>
      </w:r>
      <w:r>
        <w:rPr>
          <w:rFonts w:ascii="宋体" w:hAnsi="宋体" w:cs="宋体" w:eastAsia="宋体" w:hint="ascii"/>
          <w:sz w:val="21"/>
          <w:spacing w:val="4"/>
        </w:rPr>
        <w:t>目数量较</w:t>
      </w:r>
      <w:r>
        <w:rPr>
          <w:rFonts w:ascii="宋体" w:hAnsi="宋体" w:cs="宋体" w:eastAsia="宋体" w:hint="ascii"/>
          <w:sz w:val="21"/>
          <w:spacing w:val="3"/>
        </w:rPr>
        <w:t>多</w:t>
      </w:r>
      <w:r>
        <w:rPr>
          <w:rFonts w:ascii="宋体" w:hAnsi="宋体" w:cs="宋体" w:eastAsia="宋体" w:hint="ascii"/>
          <w:sz w:val="21"/>
          <w:spacing w:val="4"/>
        </w:rPr>
        <w:t>，公共</w:t>
      </w:r>
      <w:r>
        <w:rPr>
          <w:rFonts w:ascii="宋体" w:hAnsi="宋体" w:cs="宋体" w:eastAsia="宋体" w:hint="ascii"/>
          <w:sz w:val="21"/>
          <w:spacing w:val="3"/>
        </w:rPr>
        <w:t>安</w:t>
      </w:r>
      <w:r>
        <w:rPr>
          <w:rFonts w:ascii="宋体" w:hAnsi="宋体" w:cs="宋体" w:eastAsia="宋体" w:hint="ascii"/>
          <w:sz w:val="21"/>
          <w:spacing w:val="2"/>
        </w:rPr>
        <w:t>全</w:t>
      </w:r>
      <w:r>
        <w:rPr>
          <w:rFonts w:ascii="宋体" w:hAnsi="宋体" w:cs="宋体" w:eastAsia="宋体" w:hint="ascii"/>
          <w:sz w:val="21"/>
          <w:spacing w:val="3"/>
        </w:rPr>
        <w:t>与危机管</w:t>
      </w:r>
      <w:r>
        <w:rPr>
          <w:rFonts w:ascii="宋体" w:hAnsi="宋体" w:cs="宋体" w:eastAsia="宋体" w:hint="ascii"/>
          <w:sz w:val="21"/>
          <w:spacing w:val="2"/>
        </w:rPr>
        <w:t>理</w:t>
      </w:r>
      <w:r>
        <w:rPr>
          <w:rFonts w:ascii="宋体" w:hAnsi="宋体" w:cs="宋体" w:eastAsia="宋体" w:hint="ascii"/>
          <w:sz w:val="21"/>
          <w:spacing w:val="3"/>
        </w:rPr>
        <w:t>、卫生管</w:t>
      </w:r>
      <w:r>
        <w:rPr>
          <w:rFonts w:ascii="宋体" w:hAnsi="宋体" w:cs="宋体" w:eastAsia="宋体" w:hint="ascii"/>
          <w:sz w:val="21"/>
          <w:spacing w:val="2"/>
        </w:rPr>
        <w:t>理</w:t>
      </w:r>
      <w:r>
        <w:rPr>
          <w:rFonts w:ascii="宋体" w:hAnsi="宋体" w:cs="宋体" w:eastAsia="宋体" w:hint="ascii"/>
          <w:sz w:val="21"/>
          <w:spacing w:val="3"/>
        </w:rPr>
        <w:t>与政策、</w:t>
      </w:r>
      <w:r>
        <w:rPr>
          <w:rFonts w:ascii="宋体" w:hAnsi="宋体" w:cs="宋体" w:eastAsia="宋体" w:hint="ascii"/>
          <w:sz w:val="21"/>
          <w:spacing w:val="2"/>
        </w:rPr>
        <w:t>资</w:t>
      </w:r>
      <w:r>
        <w:rPr>
          <w:rFonts w:ascii="宋体" w:hAnsi="宋体" w:cs="宋体" w:eastAsia="宋体" w:hint="ascii"/>
          <w:sz w:val="21"/>
          <w:spacing w:val="3"/>
        </w:rPr>
        <w:t>源管理</w:t>
      </w:r>
      <w:r>
        <w:rPr>
          <w:rFonts w:ascii="宋体" w:hAnsi="宋体" w:cs="宋体" w:eastAsia="宋体" w:hint="ascii"/>
          <w:sz w:val="21"/>
          <w:spacing w:val="4"/>
        </w:rPr>
        <w:t>等</w:t>
      </w:r>
      <w:r>
        <w:rPr>
          <w:rFonts w:ascii="宋体" w:hAnsi="宋体" w:cs="宋体" w:eastAsia="宋体" w:hint="ascii"/>
          <w:sz w:val="21"/>
          <w:spacing w:val="3"/>
        </w:rPr>
        <w:t>领</w:t>
      </w:r>
      <w:r>
        <w:rPr>
          <w:rFonts w:ascii="宋体" w:hAnsi="宋体" w:cs="宋体" w:eastAsia="宋体" w:hint="ascii"/>
          <w:sz w:val="21"/>
          <w:spacing w:val="-6"/>
        </w:rPr>
        <w:t>域</w:t>
      </w:r>
      <w:r>
        <w:rPr>
          <w:rFonts w:ascii="宋体" w:hAnsi="宋体" w:cs="宋体" w:eastAsia="宋体" w:hint="ascii"/>
          <w:sz w:val="21"/>
          <w:spacing w:val="4"/>
        </w:rPr>
        <w:t>的申请增</w:t>
      </w:r>
      <w:r>
        <w:rPr>
          <w:rFonts w:ascii="宋体" w:hAnsi="宋体" w:cs="宋体" w:eastAsia="宋体" w:hint="ascii"/>
          <w:sz w:val="21"/>
          <w:spacing w:val="3"/>
        </w:rPr>
        <w:t>长</w:t>
      </w:r>
      <w:r>
        <w:rPr>
          <w:rFonts w:ascii="宋体" w:hAnsi="宋体" w:cs="宋体" w:eastAsia="宋体" w:hint="ascii"/>
          <w:sz w:val="21"/>
          <w:spacing w:val="4"/>
        </w:rPr>
        <w:t>较快，与</w:t>
      </w:r>
      <w:r>
        <w:rPr>
          <w:rFonts w:ascii="宋体" w:hAnsi="宋体" w:cs="宋体" w:eastAsia="宋体" w:hint="ascii"/>
          <w:sz w:val="21"/>
          <w:spacing w:val="3"/>
        </w:rPr>
        <w:t>城</w:t>
      </w:r>
      <w:r>
        <w:rPr>
          <w:rFonts w:ascii="宋体" w:hAnsi="宋体" w:cs="宋体" w:eastAsia="宋体" w:hint="ascii"/>
          <w:sz w:val="21"/>
          <w:spacing w:val="4"/>
        </w:rPr>
        <w:t>镇化、</w:t>
      </w:r>
      <w:r>
        <w:rPr>
          <w:rFonts w:ascii="宋体" w:hAnsi="宋体" w:cs="宋体" w:eastAsia="宋体" w:hint="ascii"/>
          <w:sz w:val="21"/>
          <w:spacing w:val="3"/>
        </w:rPr>
        <w:t>老</w:t>
      </w:r>
      <w:r>
        <w:rPr>
          <w:rFonts w:ascii="宋体" w:hAnsi="宋体" w:cs="宋体" w:eastAsia="宋体" w:hint="ascii"/>
          <w:sz w:val="21"/>
          <w:spacing w:val="2"/>
        </w:rPr>
        <w:t>龄</w:t>
      </w:r>
      <w:r>
        <w:rPr>
          <w:rFonts w:ascii="宋体" w:hAnsi="宋体" w:cs="宋体" w:eastAsia="宋体" w:hint="ascii"/>
          <w:sz w:val="21"/>
          <w:spacing w:val="3"/>
        </w:rPr>
        <w:t>化问题等</w:t>
      </w:r>
      <w:r>
        <w:rPr>
          <w:rFonts w:ascii="宋体" w:hAnsi="宋体" w:cs="宋体" w:eastAsia="宋体" w:hint="ascii"/>
          <w:sz w:val="21"/>
          <w:spacing w:val="2"/>
        </w:rPr>
        <w:t>研</w:t>
      </w:r>
      <w:r>
        <w:rPr>
          <w:rFonts w:ascii="宋体" w:hAnsi="宋体" w:cs="宋体" w:eastAsia="宋体" w:hint="ascii"/>
          <w:sz w:val="21"/>
          <w:spacing w:val="3"/>
        </w:rPr>
        <w:t>究主题相</w:t>
      </w:r>
      <w:r>
        <w:rPr>
          <w:rFonts w:ascii="宋体" w:hAnsi="宋体" w:cs="宋体" w:eastAsia="宋体" w:hint="ascii"/>
          <w:sz w:val="21"/>
          <w:spacing w:val="2"/>
        </w:rPr>
        <w:t>关</w:t>
      </w:r>
      <w:r>
        <w:rPr>
          <w:rFonts w:ascii="宋体" w:hAnsi="宋体" w:cs="宋体" w:eastAsia="宋体" w:hint="ascii"/>
          <w:sz w:val="21"/>
          <w:spacing w:val="3"/>
        </w:rPr>
        <w:t>的申请增</w:t>
      </w:r>
      <w:r>
        <w:rPr>
          <w:rFonts w:ascii="宋体" w:hAnsi="宋体" w:cs="宋体" w:eastAsia="宋体" w:hint="ascii"/>
          <w:sz w:val="21"/>
          <w:spacing w:val="2"/>
        </w:rPr>
        <w:t>加</w:t>
      </w:r>
      <w:r>
        <w:rPr>
          <w:rFonts w:ascii="宋体" w:hAnsi="宋体" w:cs="宋体" w:eastAsia="宋体" w:hint="ascii"/>
          <w:sz w:val="21"/>
          <w:spacing w:val="3"/>
        </w:rPr>
        <w:t>更为迅</w:t>
      </w:r>
      <w:r>
        <w:rPr>
          <w:rFonts w:ascii="宋体" w:hAnsi="宋体" w:cs="宋体" w:eastAsia="宋体" w:hint="ascii"/>
          <w:sz w:val="21"/>
          <w:spacing w:val="4"/>
        </w:rPr>
        <w:t>速</w:t>
      </w:r>
      <w:r>
        <w:rPr>
          <w:rFonts w:ascii="宋体" w:hAnsi="宋体" w:cs="宋体" w:eastAsia="宋体" w:hint="ascii"/>
          <w:sz w:val="21"/>
          <w:spacing w:val="3"/>
        </w:rPr>
        <w:t>；</w:t>
      </w:r>
      <w:r>
        <w:rPr>
          <w:rFonts w:ascii="宋体" w:hAnsi="宋体" w:cs="宋体" w:eastAsia="宋体" w:hint="ascii"/>
          <w:sz w:val="21"/>
          <w:spacing w:val="-6"/>
        </w:rPr>
        <w:t>不</w:t>
      </w:r>
      <w:r>
        <w:rPr>
          <w:rFonts w:ascii="宋体" w:hAnsi="宋体" w:cs="宋体" w:eastAsia="宋体" w:hint="ascii"/>
          <w:sz w:val="21"/>
          <w:spacing w:val="4"/>
        </w:rPr>
        <w:t>少申请人</w:t>
      </w:r>
      <w:r>
        <w:rPr>
          <w:rFonts w:ascii="宋体" w:hAnsi="宋体" w:cs="宋体" w:eastAsia="宋体" w:hint="ascii"/>
          <w:sz w:val="21"/>
          <w:spacing w:val="3"/>
        </w:rPr>
        <w:t>积</w:t>
      </w:r>
      <w:r>
        <w:rPr>
          <w:rFonts w:ascii="宋体" w:hAnsi="宋体" w:cs="宋体" w:eastAsia="宋体" w:hint="ascii"/>
          <w:sz w:val="21"/>
          <w:spacing w:val="4"/>
        </w:rPr>
        <w:t>极关注和</w:t>
      </w:r>
      <w:r>
        <w:rPr>
          <w:rFonts w:ascii="宋体" w:hAnsi="宋体" w:cs="宋体" w:eastAsia="宋体" w:hint="ascii"/>
          <w:sz w:val="21"/>
          <w:spacing w:val="3"/>
        </w:rPr>
        <w:t>分</w:t>
      </w:r>
      <w:r>
        <w:rPr>
          <w:rFonts w:ascii="宋体" w:hAnsi="宋体" w:cs="宋体" w:eastAsia="宋体" w:hint="ascii"/>
          <w:sz w:val="21"/>
          <w:spacing w:val="4"/>
        </w:rPr>
        <w:t>析与中</w:t>
      </w:r>
      <w:r>
        <w:rPr>
          <w:rFonts w:ascii="宋体" w:hAnsi="宋体" w:cs="宋体" w:eastAsia="宋体" w:hint="ascii"/>
          <w:sz w:val="21"/>
          <w:spacing w:val="3"/>
        </w:rPr>
        <w:t>国</w:t>
      </w:r>
      <w:r>
        <w:rPr>
          <w:rFonts w:ascii="宋体" w:hAnsi="宋体" w:cs="宋体" w:eastAsia="宋体" w:hint="ascii"/>
          <w:sz w:val="21"/>
          <w:spacing w:val="2"/>
        </w:rPr>
        <w:t>宏</w:t>
      </w:r>
      <w:r>
        <w:rPr>
          <w:rFonts w:ascii="宋体" w:hAnsi="宋体" w:cs="宋体" w:eastAsia="宋体" w:hint="ascii"/>
          <w:sz w:val="21"/>
          <w:spacing w:val="3"/>
        </w:rPr>
        <w:t>观管理与</w:t>
      </w:r>
      <w:r>
        <w:rPr>
          <w:rFonts w:ascii="宋体" w:hAnsi="宋体" w:cs="宋体" w:eastAsia="宋体" w:hint="ascii"/>
          <w:sz w:val="21"/>
          <w:spacing w:val="2"/>
        </w:rPr>
        <w:t>政</w:t>
      </w:r>
      <w:r>
        <w:rPr>
          <w:rFonts w:ascii="宋体" w:hAnsi="宋体" w:cs="宋体" w:eastAsia="宋体" w:hint="ascii"/>
          <w:sz w:val="21"/>
          <w:spacing w:val="3"/>
        </w:rPr>
        <w:t>策实践相</w:t>
      </w:r>
      <w:r>
        <w:rPr>
          <w:rFonts w:ascii="宋体" w:hAnsi="宋体" w:cs="宋体" w:eastAsia="宋体" w:hint="ascii"/>
          <w:sz w:val="21"/>
          <w:spacing w:val="2"/>
        </w:rPr>
        <w:t>关</w:t>
      </w:r>
      <w:r>
        <w:rPr>
          <w:rFonts w:ascii="宋体" w:hAnsi="宋体" w:cs="宋体" w:eastAsia="宋体" w:hint="ascii"/>
          <w:sz w:val="21"/>
          <w:spacing w:val="3"/>
        </w:rPr>
        <w:t>的重大热</w:t>
      </w:r>
      <w:r>
        <w:rPr>
          <w:rFonts w:ascii="宋体" w:hAnsi="宋体" w:cs="宋体" w:eastAsia="宋体" w:hint="ascii"/>
          <w:sz w:val="21"/>
          <w:spacing w:val="2"/>
        </w:rPr>
        <w:t>点</w:t>
      </w:r>
      <w:r>
        <w:rPr>
          <w:rFonts w:ascii="宋体" w:hAnsi="宋体" w:cs="宋体" w:eastAsia="宋体" w:hint="ascii"/>
          <w:sz w:val="21"/>
          <w:spacing w:val="3"/>
        </w:rPr>
        <w:t>问题，</w:t>
      </w:r>
      <w:r>
        <w:rPr>
          <w:rFonts w:ascii="宋体" w:hAnsi="宋体" w:cs="宋体" w:eastAsia="宋体" w:hint="ascii"/>
          <w:sz w:val="21"/>
          <w:spacing w:val="4"/>
        </w:rPr>
        <w:t>提</w:t>
      </w:r>
      <w:r>
        <w:rPr>
          <w:rFonts w:ascii="宋体" w:hAnsi="宋体" w:cs="宋体" w:eastAsia="宋体" w:hint="ascii"/>
          <w:sz w:val="21"/>
          <w:spacing w:val="3"/>
        </w:rPr>
        <w:t>出</w:t>
      </w:r>
      <w:r>
        <w:rPr>
          <w:rFonts w:ascii="宋体" w:hAnsi="宋体" w:cs="宋体" w:eastAsia="宋体" w:hint="ascii"/>
          <w:sz w:val="21"/>
          <w:spacing w:val="-6"/>
        </w:rPr>
        <w:t>了</w:t>
      </w:r>
      <w:r>
        <w:rPr>
          <w:rFonts w:ascii="宋体" w:hAnsi="宋体" w:cs="宋体" w:eastAsia="宋体" w:hint="ascii"/>
          <w:sz w:val="21"/>
          <w:spacing w:val="3"/>
        </w:rPr>
        <w:t>高质量的研究设计</w:t>
      </w:r>
      <w:r>
        <w:rPr>
          <w:rFonts w:ascii="宋体" w:hAnsi="宋体" w:cs="宋体" w:eastAsia="宋体" w:hint="ascii"/>
          <w:sz w:val="21"/>
        </w:rPr>
        <w:t>。</w:t>
      </w:r>
    </w:p>
    <w:p>
      <w:pPr>
        <w:autoSpaceDE w:val="0"/>
        <w:autoSpaceDN w:val="0"/>
        <w:jc w:val="both"/>
        <w:spacing w:before="0" w:after="0" w:lineRule="exact" w:line="330"/>
        <w:ind w:right="976" w:left="966" w:firstLine="420"/>
        <w:snapToGrid w:val="0"/>
        <w:textAlignment w:val="auto"/>
        <w:tabs>
          <w:tab w:val="left" w:leader="none" w:pos="1862"/>
        </w:tabs>
        <w:numPr>
          <w:ilvl w:val="0"/>
          <w:numId w:val="109"/>
        </w:numPr>
        <w:rPr>
          <w:rFonts w:ascii="Times New Roman" w:hAnsi="Times New Roman" w:cs="Times New Roman" w:eastAsia="Times New Roman" w:hint="ascii"/>
          <w:sz w:val="21"/>
          <w:spacing w:val="1"/>
        </w:rPr>
      </w:pPr>
      <w:r>
        <w:rPr>
          <w:rFonts w:ascii="宋体" w:hAnsi="宋体" w:cs="宋体" w:eastAsia="宋体" w:hint="ascii"/>
          <w:sz w:val="21"/>
        </w:rPr>
        <w:t>年度本学科将对大数据背景下的公共政策、网络空间治理、社会治理模式、 健康服务管理、城市与空间管理、老龄社会应对等方向的研究予以重点关注。</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本科学处的研究旨在推动学科发展、促进学术创新、培养研究人才与队伍，在发展</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相关理论</w:t>
      </w:r>
      <w:r>
        <w:rPr>
          <w:rFonts w:ascii="宋体" w:hAnsi="宋体" w:cs="宋体" w:eastAsia="宋体" w:hint="ascii"/>
          <w:sz w:val="21"/>
        </w:rPr>
        <w:t>和方法的同时，鼓励为国家宏观决策提供学术支撑和参考依据。项目申请应以</w:t>
      </w:r>
      <w:r>
        <w:rPr>
          <w:rFonts w:ascii="宋体" w:hAnsi="宋体" w:cs="宋体" w:eastAsia="宋体" w:hint="ascii"/>
          <w:sz w:val="21"/>
          <w:spacing w:val="-1"/>
        </w:rPr>
        <w:t>中国的实</w:t>
      </w:r>
      <w:r>
        <w:rPr>
          <w:rFonts w:ascii="宋体" w:hAnsi="宋体" w:cs="宋体" w:eastAsia="宋体" w:hint="ascii"/>
          <w:sz w:val="21"/>
        </w:rPr>
        <w:t>际管理问题为研究对象，准确地从研究对象中提炼出科学问题，注意研究方法</w:t>
      </w:r>
      <w:r>
        <w:rPr>
          <w:rFonts w:ascii="宋体" w:hAnsi="宋体" w:cs="宋体" w:eastAsia="宋体" w:hint="ascii"/>
          <w:sz w:val="21"/>
          <w:spacing w:val="-1"/>
        </w:rPr>
        <w:t>的针对性</w:t>
      </w:r>
      <w:r>
        <w:rPr>
          <w:rFonts w:ascii="宋体" w:hAnsi="宋体" w:cs="宋体" w:eastAsia="宋体" w:hint="ascii"/>
          <w:sz w:val="21"/>
        </w:rPr>
        <w:t>、科学性、规范性。申请人应注意区分管理科学研究与实际管理工作的区别，</w:t>
      </w:r>
      <w:r>
        <w:rPr>
          <w:rFonts w:ascii="宋体" w:hAnsi="宋体" w:cs="宋体" w:eastAsia="宋体" w:hint="ascii"/>
          <w:sz w:val="21"/>
          <w:spacing w:val="-1"/>
        </w:rPr>
        <w:t>注意区分</w:t>
      </w:r>
      <w:r>
        <w:rPr>
          <w:rFonts w:ascii="宋体" w:hAnsi="宋体" w:cs="宋体" w:eastAsia="宋体" w:hint="ascii"/>
          <w:sz w:val="21"/>
        </w:rPr>
        <w:t>自然科学基金项目与人文社会科学项目在研究方法上的区别；选题的学科范围</w:t>
      </w:r>
      <w:r>
        <w:rPr>
          <w:rFonts w:ascii="宋体" w:hAnsi="宋体" w:cs="宋体" w:eastAsia="宋体" w:hint="ascii"/>
          <w:sz w:val="21"/>
          <w:spacing w:val="-1"/>
        </w:rPr>
        <w:t>要恰当，</w:t>
      </w:r>
      <w:r>
        <w:rPr>
          <w:rFonts w:ascii="宋体" w:hAnsi="宋体" w:cs="宋体" w:eastAsia="宋体" w:hint="ascii"/>
          <w:sz w:val="21"/>
        </w:rPr>
        <w:t>研究目标要集中，研究内容要具体深入，要清晰地阐明所用的研究方法与技术路线，以及拟如何解决申请书中提出的关键科学问题。</w:t>
      </w:r>
    </w:p>
    <w:p>
      <w:pPr>
        <w:autoSpaceDE w:val="0"/>
        <w:autoSpaceDN w:val="0"/>
        <w:jc w:val="left"/>
        <w:spacing w:before="73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438"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医学科学部</w:t>
      </w:r>
      <w:r>
        <w:rPr>
          <w:rFonts w:ascii="宋体" w:hAnsi="宋体" w:cs="宋体" w:eastAsia="宋体" w:hint="ascii"/>
          <w:sz w:val="38"/>
        </w:rPr>
        <mc:AlternateContent>
          <mc:Choice Requires="wps">
            <w:drawing>
              <wp:anchor distL="0" distR="0" distT="0" distB="0" simplePos="0" behindDoc="1" relativeHeight="122" locked="0" layoutInCell="1" allowOverlap="1">
                <wp:simplePos x="0" y="0"/>
                <wp:positionH relativeFrom="page">
                  <wp:posOffset>938530</wp:posOffset>
                </wp:positionH>
                <wp:positionV relativeFrom="page">
                  <wp:posOffset>819150</wp:posOffset>
                </wp:positionV>
                <wp:extent cx="5076190" cy="0"/>
                <wp:wrapNone/>
                <wp:docPr id="1151" name="115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33312;width:399.70pt;" id="115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医学科学部遵循科学研究自由探索和国家需求导向的“双力驱动”原则，重点支持</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以防病、控</w:t>
      </w:r>
      <w:r>
        <w:rPr>
          <w:rFonts w:ascii="宋体" w:hAnsi="宋体" w:cs="宋体" w:eastAsia="宋体" w:hint="ascii"/>
          <w:sz w:val="21"/>
        </w:rPr>
        <w:t>病和治病中的基础科学问题为目标，针对机体的结构、功能、发育、遗传和</w:t>
      </w:r>
      <w:r>
        <w:rPr>
          <w:rFonts w:ascii="宋体" w:hAnsi="宋体" w:cs="宋体" w:eastAsia="宋体" w:hint="ascii"/>
          <w:sz w:val="21"/>
          <w:spacing w:val="-1"/>
        </w:rPr>
        <w:t>免疫异常以</w:t>
      </w:r>
      <w:r>
        <w:rPr>
          <w:rFonts w:ascii="宋体" w:hAnsi="宋体" w:cs="宋体" w:eastAsia="宋体" w:hint="ascii"/>
          <w:sz w:val="21"/>
        </w:rPr>
        <w:t>及疾病发生、发展、转归、诊断、治疗和预防等开展的基础研究与临床基础研究，以提高我国医学科学研究水平。</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鼓励申请人从医学实践中凝练和发掘科学问题，开展</w:t>
      </w:r>
      <w:r>
        <w:rPr>
          <w:rFonts w:ascii="宋体" w:hAnsi="宋体" w:cs="宋体" w:eastAsia="宋体" w:hint="ascii"/>
          <w:sz w:val="21"/>
          <w:spacing w:val="-1"/>
        </w:rPr>
        <w:t>学术思想和研究方法的创新研</w:t>
      </w:r>
      <w:r>
        <w:rPr>
          <w:rFonts w:ascii="宋体" w:hAnsi="宋体" w:cs="宋体" w:eastAsia="宋体" w:hint="ascii"/>
          <w:sz w:val="21"/>
        </w:rPr>
        <w:t xml:space="preserve"> </w:t>
      </w:r>
      <w:r>
        <w:rPr>
          <w:rFonts w:ascii="宋体" w:hAnsi="宋体" w:cs="宋体" w:eastAsia="宋体" w:hint="ascii"/>
          <w:sz w:val="21"/>
          <w:spacing w:val="-1"/>
        </w:rPr>
        <w:t>究；鼓励科</w:t>
      </w:r>
      <w:r>
        <w:rPr>
          <w:rFonts w:ascii="宋体" w:hAnsi="宋体" w:cs="宋体" w:eastAsia="宋体" w:hint="ascii"/>
          <w:sz w:val="21"/>
        </w:rPr>
        <w:t>学家长期、深入地对重要科学问题进行系统性、原创性研究；鼓励基础医学</w:t>
      </w:r>
      <w:r>
        <w:rPr>
          <w:rFonts w:ascii="宋体" w:hAnsi="宋体" w:cs="宋体" w:eastAsia="宋体" w:hint="ascii"/>
          <w:sz w:val="21"/>
          <w:spacing w:val="-1"/>
        </w:rPr>
        <w:t>和临床医学</w:t>
      </w:r>
      <w:r>
        <w:rPr>
          <w:rFonts w:ascii="宋体" w:hAnsi="宋体" w:cs="宋体" w:eastAsia="宋体" w:hint="ascii"/>
          <w:sz w:val="21"/>
        </w:rPr>
        <w:t>相结合的转化医学研究；鼓励利用多学科、多层面、多模态的新技术、新方</w:t>
      </w:r>
      <w:r>
        <w:rPr>
          <w:rFonts w:ascii="宋体" w:hAnsi="宋体" w:cs="宋体" w:eastAsia="宋体" w:hint="ascii"/>
          <w:sz w:val="21"/>
          <w:spacing w:val="-1"/>
        </w:rPr>
        <w:t>法，从分子</w:t>
      </w:r>
      <w:r>
        <w:rPr>
          <w:rFonts w:ascii="宋体" w:hAnsi="宋体" w:cs="宋体" w:eastAsia="宋体" w:hint="ascii"/>
          <w:sz w:val="21"/>
        </w:rPr>
        <w:t>、细胞、组织、器官、整体及群体等不同层面，针对疾病的发生、发展与转</w:t>
      </w:r>
      <w:r>
        <w:rPr>
          <w:rFonts w:ascii="宋体" w:hAnsi="宋体" w:cs="宋体" w:eastAsia="宋体" w:hint="ascii"/>
          <w:sz w:val="21"/>
          <w:spacing w:val="-1"/>
        </w:rPr>
        <w:t>归机制开展</w:t>
      </w:r>
      <w:r>
        <w:rPr>
          <w:rFonts w:ascii="宋体" w:hAnsi="宋体" w:cs="宋体" w:eastAsia="宋体" w:hint="ascii"/>
          <w:sz w:val="21"/>
        </w:rPr>
        <w:t>深入、系统的整合医学研究；鼓励在已有工作基础上提出具有创新思想的深</w:t>
      </w:r>
      <w:r>
        <w:rPr>
          <w:rFonts w:ascii="宋体" w:hAnsi="宋体" w:cs="宋体" w:eastAsia="宋体" w:hint="ascii"/>
          <w:sz w:val="21"/>
          <w:spacing w:val="-1"/>
        </w:rPr>
        <w:t>入研究；鼓</w:t>
      </w:r>
      <w:r>
        <w:rPr>
          <w:rFonts w:ascii="宋体" w:hAnsi="宋体" w:cs="宋体" w:eastAsia="宋体" w:hint="ascii"/>
          <w:sz w:val="21"/>
        </w:rPr>
        <w:t>励与其他领域融合的多学科交叉研究；鼓励开展新的疾病动物模型的创建；鼓励开展实质性的国际交流与合作研究。关系国计民生的重大疾病、突发</w:t>
      </w:r>
      <w:r>
        <w:rPr>
          <w:rFonts w:ascii="Times New Roman" w:hAnsi="Times New Roman" w:cs="Times New Roman" w:eastAsia="Times New Roman" w:hint="ascii"/>
          <w:sz w:val="21"/>
        </w:rPr>
        <w:t>/</w:t>
      </w:r>
      <w:r>
        <w:rPr>
          <w:rFonts w:ascii="宋体" w:hAnsi="宋体" w:cs="宋体" w:eastAsia="宋体" w:hint="ascii"/>
          <w:sz w:val="21"/>
        </w:rPr>
        <w:t>新发预防医</w:t>
      </w:r>
      <w:r>
        <w:rPr>
          <w:rFonts w:ascii="宋体" w:hAnsi="宋体" w:cs="宋体" w:eastAsia="宋体" w:hint="ascii"/>
          <w:sz w:val="21"/>
          <w:spacing w:val="-1"/>
        </w:rPr>
        <w:t>学和公共卫</w:t>
      </w:r>
      <w:r>
        <w:rPr>
          <w:rFonts w:ascii="宋体" w:hAnsi="宋体" w:cs="宋体" w:eastAsia="宋体" w:hint="ascii"/>
          <w:sz w:val="21"/>
        </w:rPr>
        <w:t>生问题、危害人民群众健康的常见病和多发病的基础研究将是资助的重点；</w:t>
      </w:r>
      <w:r>
        <w:rPr>
          <w:rFonts w:ascii="宋体" w:hAnsi="宋体" w:cs="宋体" w:eastAsia="宋体" w:hint="ascii"/>
          <w:sz w:val="21"/>
          <w:spacing w:val="-1"/>
        </w:rPr>
        <w:t>同时重视支</w:t>
      </w:r>
      <w:r>
        <w:rPr>
          <w:rFonts w:ascii="宋体" w:hAnsi="宋体" w:cs="宋体" w:eastAsia="宋体" w:hint="ascii"/>
          <w:sz w:val="21"/>
        </w:rPr>
        <w:t>持具有研究基础的罕见病的研究，注意扶持相对薄弱的研究领域，保障各研究领域均衡、协调和可持续发展。</w:t>
      </w:r>
    </w:p>
    <w:p>
      <w:pPr>
        <w:autoSpaceDE w:val="0"/>
        <w:autoSpaceDN w:val="0"/>
        <w:jc w:val="left"/>
        <w:spacing w:before="40" w:after="0" w:lineRule="auto" w:line="240"/>
        <w:ind w:right="0" w:left="1649" w:hanging="263"/>
        <w:snapToGrid w:val="0"/>
        <w:textAlignment w:val="auto"/>
        <w:tabs>
          <w:tab w:val="left" w:leader="none" w:pos="1648"/>
        </w:tabs>
        <w:numPr>
          <w:ilvl w:val="0"/>
          <w:numId w:val="110"/>
        </w:numPr>
        <w:rPr>
          <w:rFonts w:ascii="Times New Roman" w:hAnsi="Times New Roman" w:cs="Times New Roman" w:eastAsia="Times New Roman" w:hint="ascii"/>
          <w:sz w:val="21"/>
        </w:rPr>
      </w:pPr>
      <w:r>
        <w:rPr>
          <w:rFonts w:ascii="宋体" w:hAnsi="宋体" w:cs="宋体" w:eastAsia="宋体" w:hint="ascii"/>
          <w:sz w:val="21"/>
        </w:rPr>
        <w:t>申请人需注意的问题和相关事项</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）鼓励针对科学问题开展深入的基础研究，尤其强调研究的原创性；对获得较好</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前期研究结果</w:t>
      </w:r>
      <w:r>
        <w:rPr>
          <w:rFonts w:ascii="宋体" w:hAnsi="宋体" w:cs="宋体" w:eastAsia="宋体" w:hint="ascii"/>
          <w:sz w:val="21"/>
        </w:rPr>
        <w:t>的项目，鼓励开展持续深入的系列研究工作；避免无创新性思想而盲目追</w:t>
      </w:r>
      <w:r>
        <w:rPr>
          <w:rFonts w:ascii="宋体" w:hAnsi="宋体" w:cs="宋体" w:eastAsia="宋体" w:hint="ascii"/>
          <w:sz w:val="21"/>
          <w:spacing w:val="-1"/>
        </w:rPr>
        <w:t>求使用高新技</w:t>
      </w:r>
      <w:r>
        <w:rPr>
          <w:rFonts w:ascii="宋体" w:hAnsi="宋体" w:cs="宋体" w:eastAsia="宋体" w:hint="ascii"/>
          <w:sz w:val="21"/>
        </w:rPr>
        <w:t>术和跟踪热点问题的项目申请；避免简单的观察性、描述性的项目申请。</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）重视预期成果的科学意义和潜在临床价值。在申请书立项依据中请阐释与项目</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申请有关的研</w:t>
      </w:r>
      <w:r>
        <w:rPr>
          <w:rFonts w:ascii="宋体" w:hAnsi="宋体" w:cs="宋体" w:eastAsia="宋体" w:hint="ascii"/>
          <w:sz w:val="21"/>
        </w:rPr>
        <w:t>究动态和最新研究成果，以及在此基础上有理有据地凝练出科学问题或科学假说。阐释研究的理论和应用价值。</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）重视研究内容、研究方案及所采用的技术路线是否能验证所提出的科学问题或</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假说，注重科</w:t>
      </w:r>
      <w:r>
        <w:rPr>
          <w:rFonts w:ascii="宋体" w:hAnsi="宋体" w:cs="宋体" w:eastAsia="宋体" w:hint="ascii"/>
          <w:sz w:val="21"/>
        </w:rPr>
        <w:t>学性、可行性和逻辑性；要求研究内容适当，研究方案翔实，技术路线清晰，资金预算合理。</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）详细论</w:t>
      </w:r>
      <w:r>
        <w:rPr>
          <w:rFonts w:ascii="宋体" w:hAnsi="宋体" w:cs="宋体" w:eastAsia="宋体" w:hint="ascii"/>
          <w:sz w:val="21"/>
        </w:rPr>
        <w:t>述与本项目申请直接相关的前期工作基础，如果是对前一资助项目的延</w:t>
      </w:r>
      <w:r>
        <w:rPr>
          <w:rFonts w:ascii="宋体" w:hAnsi="宋体" w:cs="宋体" w:eastAsia="宋体" w:hint="ascii"/>
          <w:sz w:val="21"/>
          <w:spacing w:val="-1"/>
        </w:rPr>
        <w:t>展，请阐释深</w:t>
      </w:r>
      <w:r>
        <w:rPr>
          <w:rFonts w:ascii="宋体" w:hAnsi="宋体" w:cs="宋体" w:eastAsia="宋体" w:hint="ascii"/>
          <w:sz w:val="21"/>
        </w:rPr>
        <w:t>入研究的科学问题和创新点；前期已经发表的工作，请列出发表论文；尚未发表的工作应提供相关实验资料，如实验数据、图表、照片等。</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）保证提供的信息和申请书内容准确可靠，本着科学、求真的态度，按照有关要</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求认真撰写。注意如实填报申请人和主要参与者的个人简历（教育简历和工作简历，写到年和月，注意时间衔接</w:t>
      </w:r>
      <w:r>
        <w:rPr>
          <w:rFonts w:ascii="宋体" w:hAnsi="宋体" w:cs="宋体" w:eastAsia="宋体" w:hint="ascii"/>
          <w:sz w:val="21"/>
          <w:spacing w:val="-50"/>
        </w:rPr>
        <w:t>）</w:t>
      </w:r>
      <w:r>
        <w:rPr>
          <w:rFonts w:ascii="宋体" w:hAnsi="宋体" w:cs="宋体" w:eastAsia="宋体" w:hint="ascii"/>
          <w:sz w:val="21"/>
        </w:rPr>
        <w:t>、各类项目资助情况以及发表学术论文情况。获得专利和奖励情况请按照申请书中所列格式要求填写。</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2"/>
        </w:rPr>
        <w:t>请申请人特别注意：发表学术论</w:t>
      </w:r>
      <w:r>
        <w:rPr>
          <w:rFonts w:ascii="宋体" w:hAnsi="宋体" w:cs="宋体" w:eastAsia="宋体" w:hint="ascii"/>
          <w:sz w:val="21"/>
          <w:spacing w:val="-1"/>
        </w:rPr>
        <w:t>文情况请按照申请书填报说明与撰写提纲的要求书</w:t>
      </w:r>
      <w:r>
        <w:rPr>
          <w:rFonts w:ascii="宋体" w:hAnsi="宋体" w:cs="宋体" w:eastAsia="宋体" w:hint="ascii"/>
          <w:sz w:val="21"/>
        </w:rPr>
        <w:t xml:space="preserve"> 写；对已被接受尚未正式发表的论文，请附相关杂志的接受函或在线出版的网页链接；投稿阶段的论文不要列出</w:t>
      </w:r>
      <w:r>
        <w:rPr>
          <w:rFonts w:ascii="宋体" w:hAnsi="宋体" w:cs="宋体" w:eastAsia="宋体" w:hint="ascii"/>
          <w:b w:val="1"/>
          <w:sz w:val="21"/>
        </w:rPr>
        <w:t>。</w:t>
      </w:r>
      <w:r>
        <w:rPr>
          <w:rFonts w:ascii="宋体" w:hAnsi="宋体" w:cs="宋体" w:eastAsia="宋体" w:hint="ascii"/>
          <w:sz w:val="21"/>
        </w:rPr>
        <w:t>对于出现作者排序和标注不实的项目申请将以学术诚信问题提交会议评审专家组</w:t>
      </w:r>
      <w:r>
        <w:rPr>
          <w:rFonts w:ascii="宋体" w:hAnsi="宋体" w:cs="宋体" w:eastAsia="宋体" w:hint="ascii"/>
          <w:b w:val="1"/>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）由于医学科学研究对象的特殊性，请申请人注意在项目申请及执行过程中严格</w:t>
      </w:r>
    </w:p>
    <w:p>
      <w:pPr>
        <w:autoSpaceDE w:val="0"/>
        <w:autoSpaceDN w:val="0"/>
        <w:jc w:val="left"/>
        <w:spacing w:before="28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遵守相关</w:t>
      </w:r>
      <w:r>
        <w:rPr>
          <w:rFonts w:ascii="宋体" w:hAnsi="宋体" w:cs="宋体" w:eastAsia="宋体" w:hint="ascii"/>
          <w:sz w:val="21"/>
        </w:rPr>
        <w:t>医学伦理和患者知情同意等问题的有关规定和要求，包括在申请书中提供所在单位或上级主管单位伦理委员会的纸质证明（电子版申请书应附扫描件</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23" locked="0" layoutInCell="1" allowOverlap="1">
                <wp:simplePos x="0" y="0"/>
                <wp:positionH relativeFrom="page">
                  <wp:posOffset>938530</wp:posOffset>
                </wp:positionH>
                <wp:positionV relativeFrom="page">
                  <wp:posOffset>805815</wp:posOffset>
                </wp:positionV>
                <wp:extent cx="5076190" cy="0"/>
                <wp:wrapNone/>
                <wp:docPr id="1152" name="115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32288;width:399.70pt;" id="115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）对于病原微生物研究的项目申请，应严格执行国务院关于《病原微生物实验室</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生物安全</w:t>
      </w:r>
      <w:r>
        <w:rPr>
          <w:rFonts w:ascii="宋体" w:hAnsi="宋体" w:cs="宋体" w:eastAsia="宋体" w:hint="ascii"/>
          <w:sz w:val="21"/>
        </w:rPr>
        <w:t>管理条例》和有关部委关于“伦理和生物安全”的相关规定；涉及高致病性病原微生物的项目申请，应随申请书提交依托单位生物安全保障承诺。</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）进一步重视对资助项目的后期管理工作，加强“绩效考核</w:t>
      </w:r>
      <w:r>
        <w:rPr>
          <w:rFonts w:ascii="宋体" w:hAnsi="宋体" w:cs="宋体" w:eastAsia="宋体" w:hint="ascii"/>
          <w:sz w:val="21"/>
          <w:spacing w:val="-51"/>
        </w:rPr>
        <w:t>”</w:t>
      </w:r>
      <w:r>
        <w:rPr>
          <w:rFonts w:ascii="宋体" w:hAnsi="宋体" w:cs="宋体" w:eastAsia="宋体" w:hint="ascii"/>
          <w:sz w:val="21"/>
        </w:rPr>
        <w:t>，加强对系统性和</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延续性研究项目的持续</w:t>
      </w:r>
      <w:r>
        <w:rPr>
          <w:rFonts w:ascii="宋体" w:hAnsi="宋体" w:cs="宋体" w:eastAsia="宋体" w:hint="ascii"/>
          <w:sz w:val="21"/>
        </w:rPr>
        <w:t>资助，对前期研究项目完成良好的负责人提出的申请给予优</w:t>
      </w:r>
      <w:r>
        <w:rPr>
          <w:rFonts w:ascii="宋体" w:hAnsi="宋体" w:cs="宋体" w:eastAsia="宋体" w:hint="ascii"/>
          <w:sz w:val="21"/>
          <w:spacing w:val="-6"/>
        </w:rPr>
        <w:t>先</w:t>
      </w:r>
      <w:r>
        <w:rPr>
          <w:rFonts w:ascii="宋体" w:hAnsi="宋体" w:cs="宋体" w:eastAsia="宋体" w:hint="ascii"/>
          <w:sz w:val="21"/>
        </w:rPr>
        <w:t>关注。</w:t>
      </w:r>
    </w:p>
    <w:p>
      <w:pPr>
        <w:autoSpaceDE w:val="0"/>
        <w:autoSpaceDN w:val="0"/>
        <w:jc w:val="both"/>
        <w:spacing w:before="0"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4"/>
        </w:rPr>
        <w:t>（</w:t>
      </w:r>
      <w:r>
        <w:rPr>
          <w:rFonts w:ascii="Times New Roman" w:hAnsi="Times New Roman" w:cs="Times New Roman" w:eastAsia="Times New Roman" w:hint="ascii"/>
          <w:sz w:val="21"/>
          <w:spacing w:val="13"/>
        </w:rPr>
        <w:t>9</w:t>
      </w:r>
      <w:r>
        <w:rPr>
          <w:rFonts w:ascii="宋体" w:hAnsi="宋体" w:cs="宋体" w:eastAsia="宋体" w:hint="ascii"/>
          <w:sz w:val="21"/>
          <w:spacing w:val="3"/>
        </w:rPr>
        <w:t>）为使科学</w:t>
      </w:r>
      <w:r>
        <w:rPr>
          <w:rFonts w:ascii="宋体" w:hAnsi="宋体" w:cs="宋体" w:eastAsia="宋体" w:hint="ascii"/>
          <w:sz w:val="21"/>
          <w:spacing w:val="4"/>
        </w:rPr>
        <w:t>家</w:t>
      </w:r>
      <w:r>
        <w:rPr>
          <w:rFonts w:ascii="宋体" w:hAnsi="宋体" w:cs="宋体" w:eastAsia="宋体" w:hint="ascii"/>
          <w:sz w:val="21"/>
          <w:spacing w:val="3"/>
        </w:rPr>
        <w:t>集中精力</w:t>
      </w:r>
      <w:r>
        <w:rPr>
          <w:rFonts w:ascii="宋体" w:hAnsi="宋体" w:cs="宋体" w:eastAsia="宋体" w:hint="ascii"/>
          <w:sz w:val="21"/>
          <w:spacing w:val="4"/>
        </w:rPr>
        <w:t>开</w:t>
      </w:r>
      <w:r>
        <w:rPr>
          <w:rFonts w:ascii="宋体" w:hAnsi="宋体" w:cs="宋体" w:eastAsia="宋体" w:hint="ascii"/>
          <w:sz w:val="21"/>
          <w:spacing w:val="3"/>
        </w:rPr>
        <w:t>展研究工</w:t>
      </w:r>
      <w:r>
        <w:rPr>
          <w:rFonts w:ascii="宋体" w:hAnsi="宋体" w:cs="宋体" w:eastAsia="宋体" w:hint="ascii"/>
          <w:sz w:val="21"/>
          <w:spacing w:val="4"/>
        </w:rPr>
        <w:t>作</w:t>
      </w:r>
      <w:r>
        <w:rPr>
          <w:rFonts w:ascii="宋体" w:hAnsi="宋体" w:cs="宋体" w:eastAsia="宋体" w:hint="ascii"/>
          <w:sz w:val="21"/>
          <w:spacing w:val="3"/>
        </w:rPr>
        <w:t>，</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年</w:t>
      </w:r>
      <w:r>
        <w:rPr>
          <w:rFonts w:ascii="宋体" w:hAnsi="宋体" w:cs="宋体" w:eastAsia="宋体" w:hint="ascii"/>
          <w:sz w:val="21"/>
          <w:spacing w:val="4"/>
        </w:rPr>
        <w:t>度</w:t>
      </w:r>
      <w:r>
        <w:rPr>
          <w:rFonts w:ascii="宋体" w:hAnsi="宋体" w:cs="宋体" w:eastAsia="宋体" w:hint="ascii"/>
          <w:sz w:val="21"/>
          <w:spacing w:val="3"/>
        </w:rPr>
        <w:t>获得高强</w:t>
      </w:r>
      <w:r>
        <w:rPr>
          <w:rFonts w:ascii="宋体" w:hAnsi="宋体" w:cs="宋体" w:eastAsia="宋体" w:hint="ascii"/>
          <w:sz w:val="21"/>
          <w:spacing w:val="4"/>
        </w:rPr>
        <w:t>度</w:t>
      </w:r>
      <w:r>
        <w:rPr>
          <w:rFonts w:ascii="宋体" w:hAnsi="宋体" w:cs="宋体" w:eastAsia="宋体" w:hint="ascii"/>
          <w:sz w:val="21"/>
          <w:spacing w:val="3"/>
        </w:rPr>
        <w:t>项</w:t>
      </w:r>
      <w:r>
        <w:rPr>
          <w:rFonts w:ascii="宋体" w:hAnsi="宋体" w:cs="宋体" w:eastAsia="宋体" w:hint="ascii"/>
          <w:sz w:val="21"/>
          <w:spacing w:val="-3"/>
        </w:rPr>
        <w:t>目</w:t>
      </w:r>
      <w:r>
        <w:rPr>
          <w:rFonts w:ascii="宋体" w:hAnsi="宋体" w:cs="宋体" w:eastAsia="宋体" w:hint="ascii"/>
          <w:sz w:val="21"/>
          <w:spacing w:val="-23"/>
        </w:rPr>
        <w:t xml:space="preserve"> </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如</w:t>
      </w:r>
      <w:r>
        <w:rPr>
          <w:rFonts w:ascii="宋体" w:hAnsi="宋体" w:cs="宋体" w:eastAsia="宋体" w:hint="ascii"/>
          <w:sz w:val="21"/>
          <w:spacing w:val="4"/>
        </w:rPr>
        <w:t>重</w:t>
      </w:r>
      <w:r>
        <w:rPr>
          <w:rFonts w:ascii="宋体" w:hAnsi="宋体" w:cs="宋体" w:eastAsia="宋体" w:hint="ascii"/>
          <w:sz w:val="21"/>
          <w:spacing w:val="3"/>
        </w:rPr>
        <w:t>点</w:t>
      </w:r>
      <w:r>
        <w:rPr>
          <w:rFonts w:ascii="宋体" w:hAnsi="宋体" w:cs="宋体" w:eastAsia="宋体" w:hint="ascii"/>
          <w:sz w:val="21"/>
          <w:spacing w:val="-6"/>
        </w:rPr>
        <w:t>项</w:t>
      </w:r>
      <w:r>
        <w:rPr>
          <w:rFonts w:ascii="宋体" w:hAnsi="宋体" w:cs="宋体" w:eastAsia="宋体" w:hint="ascii"/>
          <w:sz w:val="21"/>
          <w:spacing w:val="-1"/>
        </w:rPr>
        <w:t>目、重点</w:t>
      </w:r>
      <w:r>
        <w:rPr>
          <w:rFonts w:ascii="宋体" w:hAnsi="宋体" w:cs="宋体" w:eastAsia="宋体" w:hint="ascii"/>
          <w:sz w:val="21"/>
        </w:rPr>
        <w:t>国际（地区）合作研究项目、重大项目、重大研究计划或联合基金中的重点支持项目、</w:t>
      </w:r>
      <w:r>
        <w:rPr>
          <w:rFonts w:ascii="宋体" w:hAnsi="宋体" w:cs="宋体" w:eastAsia="宋体" w:hint="ascii"/>
          <w:sz w:val="21"/>
          <w:spacing w:val="-1"/>
        </w:rPr>
        <w:t>国</w:t>
      </w:r>
      <w:r>
        <w:rPr>
          <w:rFonts w:ascii="宋体" w:hAnsi="宋体" w:cs="宋体" w:eastAsia="宋体" w:hint="ascii"/>
          <w:sz w:val="21"/>
        </w:rPr>
        <w:t>家重大科</w:t>
      </w:r>
      <w:r>
        <w:rPr>
          <w:rFonts w:ascii="宋体" w:hAnsi="宋体" w:cs="宋体" w:eastAsia="宋体" w:hint="ascii"/>
          <w:sz w:val="21"/>
          <w:spacing w:val="-1"/>
        </w:rPr>
        <w:t>研</w:t>
      </w:r>
      <w:r>
        <w:rPr>
          <w:rFonts w:ascii="宋体" w:hAnsi="宋体" w:cs="宋体" w:eastAsia="宋体" w:hint="ascii"/>
          <w:sz w:val="21"/>
        </w:rPr>
        <w:t>仪器研制</w:t>
      </w:r>
      <w:r>
        <w:rPr>
          <w:rFonts w:ascii="宋体" w:hAnsi="宋体" w:cs="宋体" w:eastAsia="宋体" w:hint="ascii"/>
          <w:sz w:val="21"/>
          <w:spacing w:val="-1"/>
        </w:rPr>
        <w:t>项</w:t>
      </w:r>
      <w:r>
        <w:rPr>
          <w:rFonts w:ascii="宋体" w:hAnsi="宋体" w:cs="宋体" w:eastAsia="宋体" w:hint="ascii"/>
          <w:sz w:val="21"/>
        </w:rPr>
        <w:t>目</w:t>
      </w:r>
      <w:r>
        <w:rPr>
          <w:rFonts w:ascii="宋体" w:hAnsi="宋体" w:cs="宋体" w:eastAsia="宋体" w:hint="ascii"/>
          <w:sz w:val="21"/>
          <w:spacing w:val="26"/>
        </w:rPr>
        <w:t>等</w:t>
      </w:r>
      <w:r>
        <w:rPr>
          <w:rFonts w:ascii="Times New Roman" w:hAnsi="Times New Roman" w:cs="Times New Roman" w:eastAsia="Times New Roman" w:hint="ascii"/>
          <w:sz w:val="21"/>
          <w:spacing w:val="52"/>
        </w:rPr>
        <w:t>]</w:t>
      </w:r>
      <w:r>
        <w:rPr>
          <w:rFonts w:ascii="宋体" w:hAnsi="宋体" w:cs="宋体" w:eastAsia="宋体" w:hint="ascii"/>
          <w:sz w:val="21"/>
        </w:rPr>
        <w:t>的项目或课题</w:t>
      </w:r>
      <w:r>
        <w:rPr>
          <w:rFonts w:ascii="宋体" w:hAnsi="宋体" w:cs="宋体" w:eastAsia="宋体" w:hint="ascii"/>
          <w:sz w:val="21"/>
          <w:spacing w:val="-1"/>
        </w:rPr>
        <w:t>负</w:t>
      </w:r>
      <w:r>
        <w:rPr>
          <w:rFonts w:ascii="宋体" w:hAnsi="宋体" w:cs="宋体" w:eastAsia="宋体" w:hint="ascii"/>
          <w:sz w:val="21"/>
        </w:rPr>
        <w:t>责人，以</w:t>
      </w:r>
      <w:r>
        <w:rPr>
          <w:rFonts w:ascii="宋体" w:hAnsi="宋体" w:cs="宋体" w:eastAsia="宋体" w:hint="ascii"/>
          <w:sz w:val="21"/>
          <w:spacing w:val="-1"/>
        </w:rPr>
        <w:t>及</w:t>
      </w:r>
      <w:r>
        <w:rPr>
          <w:rFonts w:ascii="宋体" w:hAnsi="宋体" w:cs="宋体" w:eastAsia="宋体" w:hint="ascii"/>
          <w:sz w:val="21"/>
        </w:rPr>
        <w:t>申请项目</w:t>
      </w:r>
      <w:r>
        <w:rPr>
          <w:rFonts w:ascii="宋体" w:hAnsi="宋体" w:cs="宋体" w:eastAsia="宋体" w:hint="ascii"/>
          <w:sz w:val="21"/>
          <w:spacing w:val="-1"/>
        </w:rPr>
        <w:t>与</w:t>
      </w:r>
      <w:r>
        <w:rPr>
          <w:rFonts w:ascii="宋体" w:hAnsi="宋体" w:cs="宋体" w:eastAsia="宋体" w:hint="ascii"/>
          <w:sz w:val="21"/>
        </w:rPr>
        <w:t>申请</w:t>
      </w:r>
      <w:r>
        <w:rPr>
          <w:rFonts w:ascii="宋体" w:hAnsi="宋体" w:cs="宋体" w:eastAsia="宋体" w:hint="ascii"/>
          <w:sz w:val="21"/>
          <w:spacing w:val="-2"/>
        </w:rPr>
        <w:t>人</w:t>
      </w:r>
      <w:r>
        <w:rPr>
          <w:rFonts w:ascii="宋体" w:hAnsi="宋体" w:cs="宋体" w:eastAsia="宋体" w:hint="ascii"/>
          <w:sz w:val="21"/>
          <w:spacing w:val="3"/>
        </w:rPr>
        <w:t>承担的其他国家科技计划研究内容重复者</w:t>
      </w:r>
      <w:r>
        <w:rPr>
          <w:rFonts w:ascii="宋体" w:hAnsi="宋体" w:cs="宋体" w:eastAsia="宋体" w:hint="ascii"/>
          <w:sz w:val="21"/>
          <w:spacing w:val="4"/>
        </w:rPr>
        <w:t>，</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年度申请面上项目原则上不再给</w:t>
      </w:r>
      <w:r>
        <w:rPr>
          <w:rFonts w:ascii="宋体" w:hAnsi="宋体" w:cs="宋体" w:eastAsia="宋体" w:hint="ascii"/>
          <w:sz w:val="21"/>
          <w:spacing w:val="-6"/>
        </w:rPr>
        <w:t>予</w:t>
      </w:r>
      <w:r>
        <w:rPr>
          <w:rFonts w:ascii="宋体" w:hAnsi="宋体" w:cs="宋体" w:eastAsia="宋体" w:hint="ascii"/>
          <w:sz w:val="21"/>
        </w:rPr>
        <w:t>支持。</w:t>
      </w:r>
    </w:p>
    <w:p>
      <w:pPr>
        <w:autoSpaceDE w:val="0"/>
        <w:autoSpaceDN w:val="0"/>
        <w:jc w:val="both"/>
        <w:spacing w:before="0" w:after="0" w:lineRule="exact" w:line="312"/>
        <w:ind w:right="976" w:left="966" w:firstLine="316"/>
        <w:snapToGrid w:val="0"/>
        <w:textAlignment w:val="auto"/>
        <w:tabs/>
        <w:rPr>
          <w:rFonts w:ascii="宋体" w:hAnsi="宋体" w:cs="宋体" w:eastAsia="宋体" w:hint="ascii"/>
          <w:b w:val="1"/>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w:t>
      </w:r>
      <w:r>
        <w:rPr>
          <w:rFonts w:ascii="宋体" w:hAnsi="宋体" w:cs="宋体" w:eastAsia="宋体" w:hint="ascii"/>
          <w:sz w:val="21"/>
        </w:rPr>
        <w:t>申请人需在提交的电子版申请书附件中提供不超过</w:t>
      </w:r>
      <w:r>
        <w:rPr>
          <w:rFonts w:ascii="宋体" w:hAnsi="宋体" w:cs="宋体" w:eastAsia="宋体" w:hint="ascii"/>
          <w:sz w:val="21"/>
          <w:spacing w:val="-24"/>
        </w:rPr>
        <w:t xml:space="preserve"> </w:t>
      </w:r>
      <w:r>
        <w:rPr>
          <w:rFonts w:ascii="Times New Roman" w:hAnsi="Times New Roman" w:cs="Times New Roman" w:eastAsia="Times New Roman" w:hint="ascii"/>
          <w:b w:val="1"/>
          <w:sz w:val="21"/>
        </w:rPr>
        <w:t>5</w:t>
      </w:r>
      <w:r>
        <w:rPr>
          <w:rFonts w:ascii="Times New Roman" w:hAnsi="Times New Roman" w:cs="Times New Roman" w:eastAsia="Times New Roman" w:hint="ascii"/>
          <w:b w:val="1"/>
          <w:sz w:val="21"/>
          <w:spacing w:val="-25"/>
        </w:rPr>
        <w:t xml:space="preserve"> </w:t>
      </w:r>
      <w:r>
        <w:rPr>
          <w:rFonts w:ascii="宋体" w:hAnsi="宋体" w:cs="宋体" w:eastAsia="宋体" w:hint="ascii"/>
          <w:sz w:val="21"/>
        </w:rPr>
        <w:t>篇与申请项目相关的代表性论著</w:t>
      </w:r>
      <w:r>
        <w:rPr>
          <w:rFonts w:ascii="宋体" w:hAnsi="宋体" w:cs="宋体" w:eastAsia="宋体" w:hint="ascii"/>
          <w:sz w:val="21"/>
          <w:spacing w:val="26"/>
        </w:rPr>
        <w:t>的</w:t>
      </w:r>
      <w:r>
        <w:rPr>
          <w:rFonts w:ascii="Times New Roman" w:hAnsi="Times New Roman" w:cs="Times New Roman" w:eastAsia="Times New Roman" w:hint="ascii"/>
          <w:b w:val="1"/>
          <w:sz w:val="21"/>
        </w:rPr>
        <w:t>PD</w:t>
      </w:r>
      <w:r>
        <w:rPr>
          <w:rFonts w:ascii="Times New Roman" w:hAnsi="Times New Roman" w:cs="Times New Roman" w:eastAsia="Times New Roman" w:hint="ascii"/>
          <w:b w:val="1"/>
          <w:sz w:val="21"/>
          <w:spacing w:val="53"/>
        </w:rPr>
        <w:t>F</w:t>
      </w:r>
      <w:r>
        <w:rPr>
          <w:rFonts w:ascii="宋体" w:hAnsi="宋体" w:cs="宋体" w:eastAsia="宋体" w:hint="ascii"/>
          <w:sz w:val="21"/>
        </w:rPr>
        <w:t>文件（仅附申请人的代表作</w:t>
      </w:r>
      <w:r>
        <w:rPr>
          <w:rFonts w:ascii="宋体" w:hAnsi="宋体" w:cs="宋体" w:eastAsia="宋体" w:hint="ascii"/>
          <w:sz w:val="21"/>
          <w:spacing w:val="-52"/>
        </w:rPr>
        <w:t>）</w:t>
      </w:r>
      <w:r>
        <w:rPr>
          <w:rFonts w:ascii="宋体" w:hAnsi="宋体" w:cs="宋体" w:eastAsia="宋体" w:hint="ascii"/>
          <w:b w:val="1"/>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）各类项目申请注意事项请关注医学科学部网页（</w:t>
      </w:r>
      <w:r>
        <w:rPr>
          <w:rFonts w:ascii="Times New Roman" w:hAnsi="Times New Roman" w:cs="Times New Roman" w:eastAsia="Times New Roman" w:hint="ascii"/>
          <w:sz w:val="21"/>
        </w:rPr>
        <w:t>http://health.nsfc.go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auto" w:line="240"/>
        <w:ind w:right="0" w:left="1649" w:hanging="263"/>
        <w:snapToGrid w:val="0"/>
        <w:textAlignment w:val="auto"/>
        <w:tabs>
          <w:tab w:val="left" w:leader="none" w:pos="1648"/>
        </w:tabs>
        <w:numPr>
          <w:ilvl w:val="0"/>
          <w:numId w:val="110"/>
        </w:numPr>
        <w:rPr>
          <w:rFonts w:ascii="Times New Roman" w:hAnsi="Times New Roman" w:cs="Times New Roman" w:eastAsia="Times New Roman" w:hint="ascii"/>
          <w:sz w:val="21"/>
        </w:rPr>
      </w:pPr>
      <w:r>
        <w:rPr>
          <w:rFonts w:ascii="宋体" w:hAnsi="宋体" w:cs="宋体" w:eastAsia="宋体" w:hint="ascii"/>
          <w:sz w:val="21"/>
        </w:rPr>
        <w:t>医学科学部近几年的申请情况与依托单位需注意的问题</w:t>
      </w:r>
    </w:p>
    <w:p>
      <w:pPr>
        <w:autoSpaceDE w:val="0"/>
        <w:autoSpaceDN w:val="0"/>
        <w:jc w:val="left"/>
        <w:spacing w:before="6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医学科学部成立以来，医学领域各类项目申请数量持续增长。</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年度收到来自</w:t>
      </w:r>
    </w:p>
    <w:p>
      <w:pPr>
        <w:autoSpaceDE w:val="0"/>
        <w:autoSpaceDN w:val="0"/>
        <w:jc w:val="both"/>
        <w:spacing w:before="10" w:after="0" w:lineRule="exact" w:line="320"/>
        <w:ind w:right="976"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9</w:t>
      </w:r>
      <w:r>
        <w:rPr>
          <w:rFonts w:ascii="Times New Roman" w:hAnsi="Times New Roman" w:cs="Times New Roman" w:eastAsia="Times New Roman" w:hint="ascii"/>
          <w:sz w:val="21"/>
          <w:spacing w:val="-1"/>
        </w:rPr>
        <w:t>9</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24"/>
        </w:rPr>
        <w:t xml:space="preserve"> </w:t>
      </w:r>
      <w:r>
        <w:rPr>
          <w:rFonts w:ascii="宋体" w:hAnsi="宋体" w:cs="宋体" w:eastAsia="宋体" w:hint="ascii"/>
          <w:sz w:val="21"/>
        </w:rPr>
        <w:t>个依托单位的申</w:t>
      </w:r>
      <w:r>
        <w:rPr>
          <w:rFonts w:ascii="宋体" w:hAnsi="宋体" w:cs="宋体" w:eastAsia="宋体" w:hint="ascii"/>
          <w:sz w:val="21"/>
          <w:spacing w:val="-2"/>
        </w:rPr>
        <w:t>请</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spacing w:val="1"/>
        </w:rPr>
        <w:t>6</w:t>
      </w:r>
      <w:r>
        <w:rPr>
          <w:rFonts w:ascii="Times New Roman" w:hAnsi="Times New Roman" w:cs="Times New Roman" w:eastAsia="Times New Roman" w:hint="ascii"/>
          <w:sz w:val="21"/>
        </w:rPr>
        <w:t>46</w:t>
      </w:r>
      <w:r>
        <w:rPr>
          <w:rFonts w:ascii="Times New Roman" w:hAnsi="Times New Roman" w:cs="Times New Roman" w:eastAsia="Times New Roman" w:hint="ascii"/>
          <w:sz w:val="21"/>
          <w:spacing w:val="-26"/>
        </w:rPr>
        <w:t xml:space="preserve"> </w:t>
      </w:r>
      <w:r>
        <w:rPr>
          <w:rFonts w:ascii="宋体" w:hAnsi="宋体" w:cs="宋体" w:eastAsia="宋体" w:hint="ascii"/>
          <w:sz w:val="21"/>
        </w:rPr>
        <w:t>项，占全委申请总量</w:t>
      </w:r>
      <w:r>
        <w:rPr>
          <w:rFonts w:ascii="宋体" w:hAnsi="宋体" w:cs="宋体" w:eastAsia="宋体" w:hint="ascii"/>
          <w:sz w:val="21"/>
          <w:spacing w:val="-2"/>
        </w:rPr>
        <w:t>的</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rPr>
        <w:t>7.50</w:t>
      </w:r>
      <w:r>
        <w:rPr>
          <w:rFonts w:ascii="Times New Roman" w:hAnsi="Times New Roman" w:cs="Times New Roman" w:eastAsia="Times New Roman" w:hint="ascii"/>
          <w:sz w:val="21"/>
          <w:spacing w:val="5"/>
        </w:rPr>
        <w:t>%</w:t>
      </w:r>
      <w:r>
        <w:rPr>
          <w:rFonts w:ascii="宋体" w:hAnsi="宋体" w:cs="宋体" w:eastAsia="宋体" w:hint="ascii"/>
          <w:sz w:val="21"/>
        </w:rPr>
        <w:t>。其中，面上项</w:t>
      </w:r>
      <w:r>
        <w:rPr>
          <w:rFonts w:ascii="宋体" w:hAnsi="宋体" w:cs="宋体" w:eastAsia="宋体" w:hint="ascii"/>
          <w:sz w:val="21"/>
          <w:spacing w:val="-2"/>
        </w:rPr>
        <w:t>目</w:t>
      </w:r>
      <w:r>
        <w:rPr>
          <w:rFonts w:ascii="宋体" w:hAnsi="宋体" w:cs="宋体" w:eastAsia="宋体" w:hint="ascii"/>
          <w:sz w:val="21"/>
          <w:spacing w:val="-26"/>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rPr>
        <w:t xml:space="preserve">318 </w:t>
      </w:r>
      <w:r>
        <w:rPr>
          <w:rFonts w:ascii="宋体" w:hAnsi="宋体" w:cs="宋体" w:eastAsia="宋体" w:hint="ascii"/>
          <w:sz w:val="21"/>
          <w:spacing w:val="4"/>
        </w:rPr>
        <w:t>项</w:t>
      </w:r>
      <w:r>
        <w:rPr>
          <w:rFonts w:ascii="宋体" w:hAnsi="宋体" w:cs="宋体" w:eastAsia="宋体" w:hint="ascii"/>
          <w:sz w:val="21"/>
          <w:spacing w:val="3"/>
        </w:rPr>
        <w:t>，</w:t>
      </w:r>
      <w:r>
        <w:rPr>
          <w:rFonts w:ascii="宋体" w:hAnsi="宋体" w:cs="宋体" w:eastAsia="宋体" w:hint="ascii"/>
          <w:sz w:val="21"/>
          <w:spacing w:val="4"/>
        </w:rPr>
        <w:t>占</w:t>
      </w:r>
      <w:r>
        <w:rPr>
          <w:rFonts w:ascii="宋体" w:hAnsi="宋体" w:cs="宋体" w:eastAsia="宋体" w:hint="ascii"/>
          <w:sz w:val="21"/>
          <w:spacing w:val="3"/>
        </w:rPr>
        <w:t>全委</w:t>
      </w:r>
      <w:r>
        <w:rPr>
          <w:rFonts w:ascii="宋体" w:hAnsi="宋体" w:cs="宋体" w:eastAsia="宋体" w:hint="ascii"/>
          <w:sz w:val="21"/>
          <w:spacing w:val="4"/>
        </w:rPr>
        <w:t>申</w:t>
      </w:r>
      <w:r>
        <w:rPr>
          <w:rFonts w:ascii="宋体" w:hAnsi="宋体" w:cs="宋体" w:eastAsia="宋体" w:hint="ascii"/>
          <w:sz w:val="21"/>
          <w:spacing w:val="3"/>
        </w:rPr>
        <w:t>请</w:t>
      </w:r>
      <w:r>
        <w:rPr>
          <w:rFonts w:ascii="宋体" w:hAnsi="宋体" w:cs="宋体" w:eastAsia="宋体" w:hint="ascii"/>
          <w:sz w:val="21"/>
          <w:spacing w:val="4"/>
        </w:rPr>
        <w:t>总</w:t>
      </w:r>
      <w:r>
        <w:rPr>
          <w:rFonts w:ascii="宋体" w:hAnsi="宋体" w:cs="宋体" w:eastAsia="宋体" w:hint="ascii"/>
          <w:sz w:val="21"/>
          <w:spacing w:val="3"/>
        </w:rPr>
        <w:t>量</w:t>
      </w:r>
      <w:r>
        <w:rPr>
          <w:rFonts w:ascii="宋体" w:hAnsi="宋体" w:cs="宋体" w:eastAsia="宋体" w:hint="ascii"/>
          <w:sz w:val="21"/>
          <w:spacing w:val="-4"/>
        </w:rPr>
        <w:t>的</w:t>
      </w:r>
      <w:r>
        <w:rPr>
          <w:rFonts w:ascii="宋体" w:hAnsi="宋体" w:cs="宋体" w:eastAsia="宋体" w:hint="ascii"/>
          <w:sz w:val="21"/>
          <w:spacing w:val="-24"/>
        </w:rPr>
        <w:t xml:space="preserve"> </w:t>
      </w:r>
      <w:r>
        <w:rPr>
          <w:rFonts w:ascii="Times New Roman" w:hAnsi="Times New Roman" w:cs="Times New Roman" w:eastAsia="Times New Roman" w:hint="ascii"/>
          <w:sz w:val="21"/>
        </w:rPr>
        <w:t>27.44</w:t>
      </w:r>
      <w:r>
        <w:rPr>
          <w:rFonts w:ascii="Times New Roman" w:hAnsi="Times New Roman" w:cs="Times New Roman" w:eastAsia="Times New Roman" w:hint="ascii"/>
          <w:sz w:val="21"/>
          <w:spacing w:val="11"/>
        </w:rPr>
        <w:t>%</w:t>
      </w:r>
      <w:r>
        <w:rPr>
          <w:rFonts w:ascii="宋体" w:hAnsi="宋体" w:cs="宋体" w:eastAsia="宋体" w:hint="ascii"/>
          <w:sz w:val="21"/>
          <w:spacing w:val="4"/>
        </w:rPr>
        <w:t>。</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4"/>
        </w:rPr>
        <w:t>年</w:t>
      </w:r>
      <w:r>
        <w:rPr>
          <w:rFonts w:ascii="宋体" w:hAnsi="宋体" w:cs="宋体" w:eastAsia="宋体" w:hint="ascii"/>
          <w:sz w:val="21"/>
          <w:spacing w:val="3"/>
        </w:rPr>
        <w:t>度收到</w:t>
      </w:r>
      <w:r>
        <w:rPr>
          <w:rFonts w:ascii="宋体" w:hAnsi="宋体" w:cs="宋体" w:eastAsia="宋体" w:hint="ascii"/>
          <w:sz w:val="21"/>
          <w:spacing w:val="4"/>
        </w:rPr>
        <w:t>来</w:t>
      </w:r>
      <w:r>
        <w:rPr>
          <w:rFonts w:ascii="宋体" w:hAnsi="宋体" w:cs="宋体" w:eastAsia="宋体" w:hint="ascii"/>
          <w:sz w:val="21"/>
          <w:spacing w:val="-4"/>
        </w:rPr>
        <w:t>自</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7"/>
        </w:rPr>
        <w:t xml:space="preserve"> </w:t>
      </w:r>
      <w:r>
        <w:rPr>
          <w:rFonts w:ascii="Times New Roman" w:hAnsi="Times New Roman" w:cs="Times New Roman" w:eastAsia="Times New Roman" w:hint="ascii"/>
          <w:sz w:val="21"/>
        </w:rPr>
        <w:t>039</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4"/>
        </w:rPr>
        <w:t>个</w:t>
      </w:r>
      <w:r>
        <w:rPr>
          <w:rFonts w:ascii="宋体" w:hAnsi="宋体" w:cs="宋体" w:eastAsia="宋体" w:hint="ascii"/>
          <w:sz w:val="21"/>
          <w:spacing w:val="3"/>
        </w:rPr>
        <w:t>依</w:t>
      </w:r>
      <w:r>
        <w:rPr>
          <w:rFonts w:ascii="宋体" w:hAnsi="宋体" w:cs="宋体" w:eastAsia="宋体" w:hint="ascii"/>
          <w:sz w:val="21"/>
          <w:spacing w:val="4"/>
        </w:rPr>
        <w:t>托</w:t>
      </w:r>
      <w:r>
        <w:rPr>
          <w:rFonts w:ascii="宋体" w:hAnsi="宋体" w:cs="宋体" w:eastAsia="宋体" w:hint="ascii"/>
          <w:sz w:val="21"/>
          <w:spacing w:val="3"/>
        </w:rPr>
        <w:t>单位</w:t>
      </w:r>
      <w:r>
        <w:rPr>
          <w:rFonts w:ascii="宋体" w:hAnsi="宋体" w:cs="宋体" w:eastAsia="宋体" w:hint="ascii"/>
          <w:sz w:val="21"/>
          <w:spacing w:val="4"/>
        </w:rPr>
        <w:t>的</w:t>
      </w:r>
      <w:r>
        <w:rPr>
          <w:rFonts w:ascii="宋体" w:hAnsi="宋体" w:cs="宋体" w:eastAsia="宋体" w:hint="ascii"/>
          <w:sz w:val="21"/>
          <w:spacing w:val="3"/>
        </w:rPr>
        <w:t>申</w:t>
      </w:r>
      <w:r>
        <w:rPr>
          <w:rFonts w:ascii="宋体" w:hAnsi="宋体" w:cs="宋体" w:eastAsia="宋体" w:hint="ascii"/>
          <w:sz w:val="21"/>
          <w:spacing w:val="-4"/>
        </w:rPr>
        <w:t>请</w:t>
      </w:r>
      <w:r>
        <w:rPr>
          <w:rFonts w:ascii="宋体" w:hAnsi="宋体" w:cs="宋体" w:eastAsia="宋体" w:hint="ascii"/>
          <w:sz w:val="21"/>
          <w:spacing w:val="-23"/>
        </w:rPr>
        <w:t xml:space="preserve"> </w:t>
      </w:r>
      <w:r>
        <w:rPr>
          <w:rFonts w:ascii="Times New Roman" w:hAnsi="Times New Roman" w:cs="Times New Roman" w:eastAsia="Times New Roman" w:hint="ascii"/>
          <w:sz w:val="21"/>
        </w:rPr>
        <w:t>57</w:t>
      </w:r>
      <w:r>
        <w:rPr>
          <w:rFonts w:ascii="Times New Roman" w:hAnsi="Times New Roman" w:cs="Times New Roman" w:eastAsia="Times New Roman" w:hint="ascii"/>
          <w:sz w:val="21"/>
          <w:spacing w:val="-7"/>
        </w:rPr>
        <w:t xml:space="preserve"> </w:t>
      </w:r>
      <w:r>
        <w:rPr>
          <w:rFonts w:ascii="Times New Roman" w:hAnsi="Times New Roman" w:cs="Times New Roman" w:eastAsia="Times New Roman" w:hint="ascii"/>
          <w:sz w:val="21"/>
        </w:rPr>
        <w:t xml:space="preserve">454 </w:t>
      </w:r>
      <w:r>
        <w:rPr>
          <w:rFonts w:ascii="宋体" w:hAnsi="宋体" w:cs="宋体" w:eastAsia="宋体" w:hint="ascii"/>
          <w:sz w:val="21"/>
          <w:spacing w:val="3"/>
        </w:rPr>
        <w:t>项，占</w:t>
      </w:r>
      <w:r>
        <w:rPr>
          <w:rFonts w:ascii="宋体" w:hAnsi="宋体" w:cs="宋体" w:eastAsia="宋体" w:hint="ascii"/>
          <w:sz w:val="21"/>
          <w:spacing w:val="2"/>
        </w:rPr>
        <w:t>全委</w:t>
      </w:r>
      <w:r>
        <w:rPr>
          <w:rFonts w:ascii="宋体" w:hAnsi="宋体" w:cs="宋体" w:eastAsia="宋体" w:hint="ascii"/>
          <w:sz w:val="21"/>
          <w:spacing w:val="3"/>
        </w:rPr>
        <w:t>申请总</w:t>
      </w:r>
      <w:r>
        <w:rPr>
          <w:rFonts w:ascii="宋体" w:hAnsi="宋体" w:cs="宋体" w:eastAsia="宋体" w:hint="ascii"/>
          <w:sz w:val="21"/>
          <w:spacing w:val="2"/>
        </w:rPr>
        <w:t>量</w:t>
      </w:r>
      <w:r>
        <w:rPr>
          <w:rFonts w:ascii="宋体" w:hAnsi="宋体" w:cs="宋体" w:eastAsia="宋体" w:hint="ascii"/>
          <w:sz w:val="21"/>
          <w:spacing w:val="-10"/>
        </w:rPr>
        <w:t>的</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28</w:t>
      </w:r>
      <w:r>
        <w:rPr>
          <w:rFonts w:ascii="Times New Roman" w:hAnsi="Times New Roman" w:cs="Times New Roman" w:eastAsia="Times New Roman" w:hint="ascii"/>
          <w:sz w:val="21"/>
        </w:rPr>
        <w:t>.45</w:t>
      </w:r>
      <w:r>
        <w:rPr>
          <w:rFonts w:ascii="Times New Roman" w:hAnsi="Times New Roman" w:cs="Times New Roman" w:eastAsia="Times New Roman" w:hint="ascii"/>
          <w:sz w:val="21"/>
          <w:spacing w:val="24"/>
        </w:rPr>
        <w:t>%</w:t>
      </w:r>
      <w:r>
        <w:rPr>
          <w:rFonts w:ascii="宋体" w:hAnsi="宋体" w:cs="宋体" w:eastAsia="宋体" w:hint="ascii"/>
          <w:sz w:val="21"/>
          <w:spacing w:val="3"/>
        </w:rPr>
        <w:t>。</w:t>
      </w:r>
      <w:r>
        <w:rPr>
          <w:rFonts w:ascii="宋体" w:hAnsi="宋体" w:cs="宋体" w:eastAsia="宋体" w:hint="ascii"/>
          <w:sz w:val="21"/>
          <w:spacing w:val="2"/>
        </w:rPr>
        <w:t>其</w:t>
      </w:r>
      <w:r>
        <w:rPr>
          <w:rFonts w:ascii="宋体" w:hAnsi="宋体" w:cs="宋体" w:eastAsia="宋体" w:hint="ascii"/>
          <w:sz w:val="21"/>
          <w:spacing w:val="3"/>
        </w:rPr>
        <w:t>中，面</w:t>
      </w:r>
      <w:r>
        <w:rPr>
          <w:rFonts w:ascii="宋体" w:hAnsi="宋体" w:cs="宋体" w:eastAsia="宋体" w:hint="ascii"/>
          <w:sz w:val="21"/>
          <w:spacing w:val="2"/>
        </w:rPr>
        <w:t>上项</w:t>
      </w:r>
      <w:r>
        <w:rPr>
          <w:rFonts w:ascii="宋体" w:hAnsi="宋体" w:cs="宋体" w:eastAsia="宋体" w:hint="ascii"/>
          <w:sz w:val="21"/>
          <w:spacing w:val="-10"/>
        </w:rPr>
        <w:t>目</w:t>
      </w:r>
      <w:r>
        <w:rPr>
          <w:rFonts w:ascii="宋体" w:hAnsi="宋体" w:cs="宋体" w:eastAsia="宋体" w:hint="ascii"/>
          <w:sz w:val="21"/>
          <w:spacing w:val="-23"/>
        </w:rPr>
        <w:t xml:space="preserve"> </w:t>
      </w:r>
      <w:r>
        <w:rPr>
          <w:rFonts w:ascii="Times New Roman" w:hAnsi="Times New Roman" w:cs="Times New Roman" w:eastAsia="Times New Roman" w:hint="ascii"/>
          <w:sz w:val="21"/>
        </w:rPr>
        <w:t>22</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965</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3"/>
        </w:rPr>
        <w:t>项，占全</w:t>
      </w:r>
      <w:r>
        <w:rPr>
          <w:rFonts w:ascii="宋体" w:hAnsi="宋体" w:cs="宋体" w:eastAsia="宋体" w:hint="ascii"/>
          <w:sz w:val="21"/>
          <w:spacing w:val="2"/>
        </w:rPr>
        <w:t>委申</w:t>
      </w:r>
      <w:r>
        <w:rPr>
          <w:rFonts w:ascii="宋体" w:hAnsi="宋体" w:cs="宋体" w:eastAsia="宋体" w:hint="ascii"/>
          <w:sz w:val="21"/>
          <w:spacing w:val="3"/>
        </w:rPr>
        <w:t>请总量</w:t>
      </w:r>
      <w:r>
        <w:rPr>
          <w:rFonts w:ascii="宋体" w:hAnsi="宋体" w:cs="宋体" w:eastAsia="宋体" w:hint="ascii"/>
          <w:sz w:val="21"/>
          <w:spacing w:val="-20"/>
        </w:rPr>
        <w:t>的</w:t>
      </w:r>
      <w:r>
        <w:rPr>
          <w:rFonts w:ascii="Times New Roman" w:hAnsi="Times New Roman" w:cs="Times New Roman" w:eastAsia="Times New Roman" w:hint="ascii"/>
          <w:sz w:val="21"/>
        </w:rPr>
        <w:t>28.60</w:t>
      </w:r>
      <w:r>
        <w:rPr>
          <w:rFonts w:ascii="Times New Roman" w:hAnsi="Times New Roman" w:cs="Times New Roman" w:eastAsia="Times New Roman" w:hint="ascii"/>
          <w:sz w:val="21"/>
          <w:spacing w:val="5"/>
        </w:rPr>
        <w:t>%</w:t>
      </w:r>
      <w:r>
        <w:rPr>
          <w:rFonts w:ascii="宋体" w:hAnsi="宋体" w:cs="宋体" w:eastAsia="宋体" w:hint="ascii"/>
          <w:sz w:val="21"/>
        </w:rPr>
        <w:t>。项目申请量过大消耗了有限的评审和管理资源，增加了评审和管理的成本</w:t>
      </w:r>
      <w:r>
        <w:rPr>
          <w:rFonts w:ascii="宋体" w:hAnsi="宋体" w:cs="宋体" w:eastAsia="宋体" w:hint="ascii"/>
          <w:sz w:val="21"/>
          <w:spacing w:val="-6"/>
        </w:rPr>
        <w:t>，</w:t>
      </w:r>
      <w:r>
        <w:rPr>
          <w:rFonts w:ascii="宋体" w:hAnsi="宋体" w:cs="宋体" w:eastAsia="宋体" w:hint="ascii"/>
          <w:sz w:val="21"/>
          <w:spacing w:val="-1"/>
        </w:rPr>
        <w:t>影响了评</w:t>
      </w:r>
      <w:r>
        <w:rPr>
          <w:rFonts w:ascii="宋体" w:hAnsi="宋体" w:cs="宋体" w:eastAsia="宋体" w:hint="ascii"/>
          <w:sz w:val="21"/>
        </w:rPr>
        <w:t>审工作的质量。为了科学基金事业和医学科学的健康、稳定和可持续发展以及</w:t>
      </w:r>
      <w:r>
        <w:rPr>
          <w:rFonts w:ascii="宋体" w:hAnsi="宋体" w:cs="宋体" w:eastAsia="宋体" w:hint="ascii"/>
          <w:sz w:val="21"/>
          <w:spacing w:val="-1"/>
        </w:rPr>
        <w:t>保障科学</w:t>
      </w:r>
      <w:r>
        <w:rPr>
          <w:rFonts w:ascii="宋体" w:hAnsi="宋体" w:cs="宋体" w:eastAsia="宋体" w:hint="ascii"/>
          <w:sz w:val="21"/>
        </w:rPr>
        <w:t>基金项目评审和管理工作的质量，要求依托单位在科学基金项目申请过程中，</w:t>
      </w:r>
      <w:r>
        <w:rPr>
          <w:rFonts w:ascii="宋体" w:hAnsi="宋体" w:cs="宋体" w:eastAsia="宋体" w:hint="ascii"/>
          <w:sz w:val="21"/>
          <w:spacing w:val="-1"/>
        </w:rPr>
        <w:t>严格按照</w:t>
      </w:r>
      <w:r>
        <w:rPr>
          <w:rFonts w:ascii="宋体" w:hAnsi="宋体" w:cs="宋体" w:eastAsia="宋体" w:hint="ascii"/>
          <w:sz w:val="21"/>
        </w:rPr>
        <w:t>《国家自然科学基金依托单位基金工作管理办法》的要求，进一步加强组织管理，提高申请项目质量，减少低水平项目申请。</w:t>
      </w:r>
    </w:p>
    <w:p>
      <w:pPr>
        <w:autoSpaceDE w:val="0"/>
        <w:autoSpaceDN w:val="0"/>
        <w:jc w:val="left"/>
        <w:spacing w:before="44" w:after="0" w:lineRule="auto" w:line="240"/>
        <w:ind w:right="0" w:left="1649" w:hanging="263"/>
        <w:snapToGrid w:val="0"/>
        <w:textAlignment w:val="auto"/>
        <w:tabs>
          <w:tab w:val="left" w:leader="none" w:pos="1648"/>
        </w:tabs>
        <w:numPr>
          <w:ilvl w:val="0"/>
          <w:numId w:val="110"/>
        </w:numPr>
        <w:rPr>
          <w:rFonts w:ascii="Times New Roman" w:hAnsi="Times New Roman" w:cs="Times New Roman" w:eastAsia="Times New Roman" w:hint="ascii"/>
          <w:sz w:val="21"/>
        </w:rPr>
      </w:pPr>
      <w:r>
        <w:rPr>
          <w:rFonts w:ascii="宋体" w:hAnsi="宋体" w:cs="宋体" w:eastAsia="宋体" w:hint="ascii"/>
          <w:sz w:val="21"/>
        </w:rPr>
        <w:t>申请代码及注意事项</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医学科学部共</w:t>
      </w:r>
      <w:r>
        <w:rPr>
          <w:rFonts w:ascii="宋体" w:hAnsi="宋体" w:cs="宋体" w:eastAsia="宋体" w:hint="ascii"/>
          <w:sz w:val="21"/>
          <w:spacing w:val="26"/>
        </w:rPr>
        <w:t>设</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3"/>
        </w:rPr>
        <w:t>1</w:t>
      </w:r>
      <w:r>
        <w:rPr>
          <w:rFonts w:ascii="宋体" w:hAnsi="宋体" w:cs="宋体" w:eastAsia="宋体" w:hint="ascii"/>
          <w:sz w:val="21"/>
        </w:rPr>
        <w:t>个一级申请代码（</w:t>
      </w:r>
      <w:r>
        <w:rPr>
          <w:rFonts w:ascii="Times New Roman" w:hAnsi="Times New Roman" w:cs="Times New Roman" w:eastAsia="Times New Roman" w:hint="ascii"/>
          <w:sz w:val="21"/>
        </w:rPr>
        <w:t>H01</w:t>
      </w:r>
      <w:r>
        <w:rPr>
          <w:rFonts w:ascii="宋体" w:hAnsi="宋体" w:cs="宋体" w:eastAsia="宋体" w:hint="ascii"/>
          <w:sz w:val="21"/>
        </w:rPr>
        <w:t>～</w:t>
      </w:r>
      <w:r>
        <w:rPr>
          <w:rFonts w:ascii="Times New Roman" w:hAnsi="Times New Roman" w:cs="Times New Roman" w:eastAsia="Times New Roman" w:hint="ascii"/>
          <w:sz w:val="21"/>
        </w:rPr>
        <w:t>H31</w:t>
      </w:r>
      <w:r>
        <w:rPr>
          <w:rFonts w:ascii="宋体" w:hAnsi="宋体" w:cs="宋体" w:eastAsia="宋体" w:hint="ascii"/>
          <w:sz w:val="21"/>
        </w:rPr>
        <w:t>）及相应的二级申请代码。申请代</w:t>
      </w:r>
    </w:p>
    <w:p>
      <w:pPr>
        <w:autoSpaceDE w:val="0"/>
        <w:autoSpaceDN w:val="0"/>
        <w:jc w:val="both"/>
        <w:spacing w:before="12" w:after="0" w:lineRule="exact" w:line="32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码体系的</w:t>
      </w:r>
      <w:r>
        <w:rPr>
          <w:rFonts w:ascii="宋体" w:hAnsi="宋体" w:cs="宋体" w:eastAsia="宋体" w:hint="ascii"/>
          <w:sz w:val="21"/>
        </w:rPr>
        <w:t>基本特点是：①一级申请代码是以器官系统为主线，从科学问题出发，将基础</w:t>
      </w:r>
      <w:r>
        <w:rPr>
          <w:rFonts w:ascii="宋体" w:hAnsi="宋体" w:cs="宋体" w:eastAsia="宋体" w:hint="ascii"/>
          <w:sz w:val="21"/>
          <w:spacing w:val="-1"/>
        </w:rPr>
        <w:t>医学和临床</w:t>
      </w:r>
      <w:r>
        <w:rPr>
          <w:rFonts w:ascii="宋体" w:hAnsi="宋体" w:cs="宋体" w:eastAsia="宋体" w:hint="ascii"/>
          <w:sz w:val="21"/>
        </w:rPr>
        <w:t>医学相融合，把各“学科</w:t>
      </w:r>
      <w:r>
        <w:rPr>
          <w:rFonts w:ascii="宋体" w:hAnsi="宋体" w:cs="宋体" w:eastAsia="宋体" w:hint="ascii"/>
          <w:sz w:val="21"/>
          <w:spacing w:val="-52"/>
        </w:rPr>
        <w:t>”、</w:t>
      </w:r>
      <w:r>
        <w:rPr>
          <w:rFonts w:ascii="宋体" w:hAnsi="宋体" w:cs="宋体" w:eastAsia="宋体" w:hint="ascii"/>
          <w:sz w:val="21"/>
        </w:rPr>
        <w:t>“科室”共性的科学问题放在一个申请和评审体</w:t>
      </w:r>
    </w:p>
    <w:p>
      <w:pPr>
        <w:autoSpaceDE w:val="0"/>
        <w:autoSpaceDN w:val="0"/>
        <w:jc w:val="left"/>
        <w:spacing w:before="45"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系中；②二级申请代码按照从基础到临床，从结构、功能及发育异常到疾病状态的顺序</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进行设立，兼顾疾病相关的基础研究。</w:t>
      </w:r>
    </w:p>
    <w:p>
      <w:pPr>
        <w:autoSpaceDE w:val="0"/>
        <w:autoSpaceDN w:val="0"/>
        <w:jc w:val="left"/>
        <w:spacing w:before="12" w:after="0" w:lineRule="exact" w:line="319"/>
        <w:ind w:right="976" w:left="1398" w:hanging="12"/>
        <w:snapToGrid w:val="0"/>
        <w:textAlignment w:val="auto"/>
        <w:tabs/>
        <w:rPr>
          <w:rFonts w:ascii="宋体" w:hAnsi="宋体" w:cs="宋体" w:eastAsia="宋体" w:hint="ascii"/>
          <w:sz w:val="21"/>
        </w:rPr>
      </w:pPr>
      <w:r>
        <w:rPr>
          <w:rFonts w:ascii="宋体" w:hAnsi="宋体" w:cs="宋体" w:eastAsia="宋体" w:hint="ascii"/>
          <w:sz w:val="21"/>
          <w:spacing w:val="-4"/>
        </w:rPr>
        <w:t>请</w:t>
      </w:r>
      <w:r>
        <w:rPr>
          <w:rFonts w:ascii="宋体" w:hAnsi="宋体" w:cs="宋体" w:eastAsia="宋体" w:hint="ascii"/>
          <w:sz w:val="21"/>
          <w:spacing w:val="-3"/>
        </w:rPr>
        <w:t>申请人认真查询一级申请代码并选择相应的二级申请代码。</w:t>
      </w:r>
      <w:r>
        <w:rPr>
          <w:rFonts w:ascii="宋体" w:hAnsi="宋体" w:cs="宋体" w:eastAsia="宋体" w:hint="ascii"/>
          <w:sz w:val="21"/>
          <w:spacing w:val="-3"/>
        </w:rPr>
        <w:t>特别提醒申请人注意</w:t>
      </w:r>
      <w:r>
        <w:rPr>
          <w:rFonts w:ascii="宋体" w:hAnsi="宋体" w:cs="宋体" w:eastAsia="宋体" w:hint="ascii"/>
          <w:sz w:val="21"/>
        </w:rPr>
        <w:t>：</w:t>
      </w:r>
      <w:r>
        <w:rPr>
          <w:rFonts w:ascii="宋体" w:hAnsi="宋体" w:cs="宋体" w:eastAsia="宋体" w:hint="ascii"/>
          <w:sz w:val="21"/>
          <w:spacing w:val="3"/>
        </w:rPr>
        <w:t>血</w:t>
      </w:r>
      <w:r>
        <w:rPr>
          <w:rFonts w:ascii="宋体" w:hAnsi="宋体" w:cs="宋体" w:eastAsia="宋体" w:hint="ascii"/>
          <w:sz w:val="21"/>
        </w:rPr>
        <w:t>液</w:t>
      </w:r>
      <w:r>
        <w:rPr>
          <w:rFonts w:ascii="宋体" w:hAnsi="宋体" w:cs="宋体" w:eastAsia="宋体" w:hint="ascii"/>
          <w:sz w:val="21"/>
          <w:spacing w:val="3"/>
        </w:rPr>
        <w:t>淋</w:t>
      </w:r>
      <w:r>
        <w:rPr>
          <w:rFonts w:ascii="宋体" w:hAnsi="宋体" w:cs="宋体" w:eastAsia="宋体" w:hint="ascii"/>
          <w:sz w:val="21"/>
        </w:rPr>
        <w:t>巴肿</w:t>
      </w:r>
      <w:r>
        <w:rPr>
          <w:rFonts w:ascii="宋体" w:hAnsi="宋体" w:cs="宋体" w:eastAsia="宋体" w:hint="ascii"/>
          <w:sz w:val="21"/>
          <w:spacing w:val="3"/>
        </w:rPr>
        <w:t>瘤</w:t>
      </w:r>
      <w:r>
        <w:rPr>
          <w:rFonts w:ascii="宋体" w:hAnsi="宋体" w:cs="宋体" w:eastAsia="宋体" w:hint="ascii"/>
          <w:sz w:val="21"/>
        </w:rPr>
        <w:t>自</w:t>
      </w:r>
      <w:r>
        <w:rPr>
          <w:rFonts w:ascii="宋体" w:hAnsi="宋体" w:cs="宋体" w:eastAsia="宋体" w:hint="ascii"/>
          <w:sz w:val="21"/>
          <w:spacing w:val="-24"/>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4"/>
        </w:rPr>
        <w:t xml:space="preserve"> </w:t>
      </w:r>
      <w:r>
        <w:rPr>
          <w:rFonts w:ascii="宋体" w:hAnsi="宋体" w:cs="宋体" w:eastAsia="宋体" w:hint="ascii"/>
          <w:sz w:val="21"/>
        </w:rPr>
        <w:t>年</w:t>
      </w:r>
      <w:r>
        <w:rPr>
          <w:rFonts w:ascii="宋体" w:hAnsi="宋体" w:cs="宋体" w:eastAsia="宋体" w:hint="ascii"/>
          <w:sz w:val="21"/>
          <w:spacing w:val="3"/>
        </w:rPr>
        <w:t>度</w:t>
      </w:r>
      <w:r>
        <w:rPr>
          <w:rFonts w:ascii="宋体" w:hAnsi="宋体" w:cs="宋体" w:eastAsia="宋体" w:hint="ascii"/>
          <w:sz w:val="21"/>
        </w:rPr>
        <w:t>起</w:t>
      </w:r>
      <w:r>
        <w:rPr>
          <w:rFonts w:ascii="宋体" w:hAnsi="宋体" w:cs="宋体" w:eastAsia="宋体" w:hint="ascii"/>
          <w:sz w:val="21"/>
          <w:spacing w:val="3"/>
        </w:rPr>
        <w:t>细</w:t>
      </w:r>
      <w:r>
        <w:rPr>
          <w:rFonts w:ascii="宋体" w:hAnsi="宋体" w:cs="宋体" w:eastAsia="宋体" w:hint="ascii"/>
          <w:sz w:val="21"/>
        </w:rPr>
        <w:t>化为</w:t>
      </w:r>
      <w:r>
        <w:rPr>
          <w:rFonts w:ascii="宋体" w:hAnsi="宋体" w:cs="宋体" w:eastAsia="宋体" w:hint="ascii"/>
          <w:sz w:val="21"/>
          <w:spacing w:val="3"/>
        </w:rPr>
        <w:t>淋</w:t>
      </w:r>
      <w:r>
        <w:rPr>
          <w:rFonts w:ascii="宋体" w:hAnsi="宋体" w:cs="宋体" w:eastAsia="宋体" w:hint="ascii"/>
          <w:sz w:val="21"/>
        </w:rPr>
        <w:t>巴</w:t>
      </w:r>
      <w:r>
        <w:rPr>
          <w:rFonts w:ascii="宋体" w:hAnsi="宋体" w:cs="宋体" w:eastAsia="宋体" w:hint="ascii"/>
          <w:sz w:val="21"/>
          <w:spacing w:val="3"/>
        </w:rPr>
        <w:t>瘤</w:t>
      </w:r>
      <w:r>
        <w:rPr>
          <w:rFonts w:ascii="宋体" w:hAnsi="宋体" w:cs="宋体" w:eastAsia="宋体" w:hint="ascii"/>
          <w:sz w:val="21"/>
        </w:rPr>
        <w:t>及其</w:t>
      </w:r>
      <w:r>
        <w:rPr>
          <w:rFonts w:ascii="宋体" w:hAnsi="宋体" w:cs="宋体" w:eastAsia="宋体" w:hint="ascii"/>
          <w:sz w:val="21"/>
          <w:spacing w:val="3"/>
        </w:rPr>
        <w:t>他</w:t>
      </w:r>
      <w:r>
        <w:rPr>
          <w:rFonts w:ascii="宋体" w:hAnsi="宋体" w:cs="宋体" w:eastAsia="宋体" w:hint="ascii"/>
          <w:sz w:val="21"/>
        </w:rPr>
        <w:t>淋</w:t>
      </w:r>
      <w:r>
        <w:rPr>
          <w:rFonts w:ascii="宋体" w:hAnsi="宋体" w:cs="宋体" w:eastAsia="宋体" w:hint="ascii"/>
          <w:sz w:val="21"/>
          <w:spacing w:val="3"/>
        </w:rPr>
        <w:t>巴</w:t>
      </w:r>
      <w:r>
        <w:rPr>
          <w:rFonts w:ascii="宋体" w:hAnsi="宋体" w:cs="宋体" w:eastAsia="宋体" w:hint="ascii"/>
          <w:sz w:val="21"/>
        </w:rPr>
        <w:t>增殖</w:t>
      </w:r>
      <w:r>
        <w:rPr>
          <w:rFonts w:ascii="宋体" w:hAnsi="宋体" w:cs="宋体" w:eastAsia="宋体" w:hint="ascii"/>
          <w:sz w:val="21"/>
          <w:spacing w:val="3"/>
        </w:rPr>
        <w:t>性</w:t>
      </w:r>
      <w:r>
        <w:rPr>
          <w:rFonts w:ascii="宋体" w:hAnsi="宋体" w:cs="宋体" w:eastAsia="宋体" w:hint="ascii"/>
          <w:sz w:val="21"/>
        </w:rPr>
        <w:t>疾</w:t>
      </w:r>
      <w:r>
        <w:rPr>
          <w:rFonts w:ascii="宋体" w:hAnsi="宋体" w:cs="宋体" w:eastAsia="宋体" w:hint="ascii"/>
          <w:sz w:val="21"/>
          <w:spacing w:val="3"/>
        </w:rPr>
        <w:t>病（</w:t>
      </w:r>
      <w:r>
        <w:rPr>
          <w:rFonts w:ascii="Times New Roman" w:hAnsi="Times New Roman" w:cs="Times New Roman" w:eastAsia="Times New Roman" w:hint="ascii"/>
          <w:sz w:val="21"/>
        </w:rPr>
        <w:t>H081</w:t>
      </w:r>
      <w:r>
        <w:rPr>
          <w:rFonts w:ascii="Times New Roman" w:hAnsi="Times New Roman" w:cs="Times New Roman" w:eastAsia="Times New Roman" w:hint="ascii"/>
          <w:sz w:val="21"/>
          <w:spacing w:val="5"/>
        </w:rPr>
        <w:t>8</w:t>
      </w:r>
      <w:r>
        <w:rPr>
          <w:rFonts w:ascii="宋体" w:hAnsi="宋体" w:cs="宋体" w:eastAsia="宋体" w:hint="ascii"/>
          <w:sz w:val="21"/>
        </w:rPr>
        <w:t>）和骨</w:t>
      </w:r>
    </w:p>
    <w:p>
      <w:pPr>
        <w:autoSpaceDE w:val="0"/>
        <w:autoSpaceDN w:val="0"/>
        <w:jc w:val="left"/>
        <w:spacing w:before="4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髓瘤及其他浆细胞疾病（</w:t>
      </w:r>
      <w:r>
        <w:rPr>
          <w:rFonts w:ascii="Times New Roman" w:hAnsi="Times New Roman" w:cs="Times New Roman" w:eastAsia="Times New Roman" w:hint="ascii"/>
          <w:sz w:val="21"/>
        </w:rPr>
        <w:t>H0819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医学科学部单独设立肿瘤学学科，</w:t>
      </w:r>
      <w:r>
        <w:rPr>
          <w:rFonts w:ascii="宋体" w:hAnsi="宋体" w:cs="宋体" w:eastAsia="宋体" w:hint="ascii"/>
          <w:sz w:val="21"/>
        </w:rPr>
        <w:t>除血液肿瘤、肿瘤流行病学和肿瘤药理学外，各</w:t>
      </w:r>
    </w:p>
    <w:p>
      <w:pPr>
        <w:autoSpaceDE w:val="0"/>
        <w:autoSpaceDN w:val="0"/>
        <w:jc w:val="both"/>
        <w:spacing w:before="10" w:after="0" w:lineRule="exact" w:line="320"/>
        <w:ind w:right="976" w:left="966" w:firstLine="0"/>
        <w:snapToGrid w:val="0"/>
        <w:textAlignment w:val="auto"/>
        <w:tabs/>
        <w:rPr>
          <w:rFonts w:ascii="宋体" w:hAnsi="宋体" w:cs="宋体" w:eastAsia="宋体" w:hint="ascii"/>
          <w:sz w:val="21"/>
        </w:rPr>
      </w:pPr>
      <w:r>
        <w:rPr>
          <w:rFonts w:ascii="宋体" w:hAnsi="宋体" w:cs="宋体" w:eastAsia="宋体" w:hint="ascii"/>
          <w:sz w:val="21"/>
        </w:rPr>
        <w:t>类肿瘤相关的医学科学问题均请选择肿瘤学（</w:t>
      </w:r>
      <w:r>
        <w:rPr>
          <w:rFonts w:ascii="Times New Roman" w:hAnsi="Times New Roman" w:cs="Times New Roman" w:eastAsia="Times New Roman" w:hint="ascii"/>
          <w:b w:val="1"/>
          <w:sz w:val="21"/>
        </w:rPr>
        <w:t>H16</w:t>
      </w:r>
      <w:r>
        <w:rPr>
          <w:rFonts w:ascii="宋体" w:hAnsi="宋体" w:cs="宋体" w:eastAsia="宋体" w:hint="ascii"/>
          <w:sz w:val="21"/>
        </w:rPr>
        <w:t>）下相应的二级申请代码</w:t>
      </w:r>
      <w:r>
        <w:rPr>
          <w:rFonts w:ascii="宋体" w:hAnsi="宋体" w:cs="宋体" w:eastAsia="宋体" w:hint="ascii"/>
          <w:sz w:val="21"/>
        </w:rPr>
        <w:t>；肿瘤流行病学列入非传染病流行病学（</w:t>
      </w:r>
      <w:r>
        <w:rPr>
          <w:rFonts w:ascii="Times New Roman" w:hAnsi="Times New Roman" w:cs="Times New Roman" w:eastAsia="Times New Roman" w:hint="ascii"/>
          <w:sz w:val="21"/>
        </w:rPr>
        <w:t>H2610</w:t>
      </w:r>
      <w:r>
        <w:rPr>
          <w:rFonts w:ascii="宋体" w:hAnsi="宋体" w:cs="宋体" w:eastAsia="宋体" w:hint="ascii"/>
          <w:sz w:val="21"/>
          <w:spacing w:val="-51"/>
        </w:rPr>
        <w:t>）</w:t>
      </w:r>
      <w:r>
        <w:rPr>
          <w:rFonts w:ascii="宋体" w:hAnsi="宋体" w:cs="宋体" w:eastAsia="宋体" w:hint="ascii"/>
          <w:sz w:val="21"/>
        </w:rPr>
        <w:t>；肿瘤药理学列入抗肿瘤药物药理（</w:t>
      </w:r>
      <w:r>
        <w:rPr>
          <w:rFonts w:ascii="Times New Roman" w:hAnsi="Times New Roman" w:cs="Times New Roman" w:eastAsia="Times New Roman" w:hint="ascii"/>
          <w:sz w:val="21"/>
        </w:rPr>
        <w:t>H3105</w:t>
      </w:r>
      <w:r>
        <w:rPr>
          <w:rFonts w:ascii="宋体" w:hAnsi="宋体" w:cs="宋体" w:eastAsia="宋体" w:hint="ascii"/>
          <w:sz w:val="21"/>
          <w:spacing w:val="-51"/>
        </w:rPr>
        <w:t>）</w:t>
      </w:r>
      <w:r>
        <w:rPr>
          <w:rFonts w:ascii="宋体" w:hAnsi="宋体" w:cs="宋体" w:eastAsia="宋体" w:hint="ascii"/>
          <w:sz w:val="21"/>
        </w:rPr>
        <w:t>；肿</w:t>
      </w:r>
    </w:p>
    <w:p>
      <w:pPr>
        <w:autoSpaceDE w:val="0"/>
        <w:autoSpaceDN w:val="0"/>
        <w:jc w:val="left"/>
        <w:spacing w:before="41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2" w:after="0" w:lineRule="exact" w:line="319"/>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瘤的影像医学与生物医学工程研究可选择影像医学与生物医学工程代码（</w:t>
      </w:r>
      <w:r>
        <w:rPr>
          <w:rFonts w:ascii="Times New Roman" w:hAnsi="Times New Roman" w:cs="Times New Roman" w:eastAsia="Times New Roman" w:hint="ascii"/>
          <w:sz w:val="21"/>
        </w:rPr>
        <w:t>H18</w:t>
      </w:r>
      <w:r>
        <w:rPr>
          <w:rFonts w:ascii="宋体" w:hAnsi="宋体" w:cs="宋体" w:eastAsia="宋体" w:hint="ascii"/>
          <w:sz w:val="21"/>
        </w:rPr>
        <w:t>）下相应</w:t>
      </w:r>
      <w:r>
        <w:rPr>
          <w:rFonts w:ascii="宋体" w:hAnsi="宋体" w:cs="宋体" w:eastAsia="宋体" w:hint="ascii"/>
          <w:sz w:val="21"/>
          <w:spacing w:val="11"/>
        </w:rPr>
        <w:t>的</w:t>
      </w:r>
      <w:r>
        <w:rPr>
          <w:rFonts w:ascii="宋体" w:hAnsi="宋体" w:cs="宋体" w:eastAsia="宋体" w:hint="ascii"/>
          <w:sz w:val="21"/>
          <w:spacing w:val="10"/>
        </w:rPr>
        <w:t>二</w:t>
      </w:r>
      <w:r>
        <w:rPr>
          <w:rFonts w:ascii="宋体" w:hAnsi="宋体" w:cs="宋体" w:eastAsia="宋体" w:hint="ascii"/>
          <w:sz w:val="21"/>
          <w:spacing w:val="11"/>
        </w:rPr>
        <w:t>级</w:t>
      </w:r>
      <w:r>
        <w:rPr>
          <w:rFonts w:ascii="宋体" w:hAnsi="宋体" w:cs="宋体" w:eastAsia="宋体" w:hint="ascii"/>
          <w:sz w:val="21"/>
          <w:spacing w:val="10"/>
        </w:rPr>
        <w:t>申请</w:t>
      </w:r>
      <w:r>
        <w:rPr>
          <w:rFonts w:ascii="宋体" w:hAnsi="宋体" w:cs="宋体" w:eastAsia="宋体" w:hint="ascii"/>
          <w:sz w:val="21"/>
          <w:spacing w:val="11"/>
        </w:rPr>
        <w:t>代</w:t>
      </w:r>
      <w:r>
        <w:rPr>
          <w:rFonts w:ascii="宋体" w:hAnsi="宋体" w:cs="宋体" w:eastAsia="宋体" w:hint="ascii"/>
          <w:sz w:val="21"/>
          <w:spacing w:val="10"/>
        </w:rPr>
        <w:t>码</w:t>
      </w:r>
      <w:r>
        <w:rPr>
          <w:rFonts w:ascii="宋体" w:hAnsi="宋体" w:cs="宋体" w:eastAsia="宋体" w:hint="ascii"/>
          <w:sz w:val="21"/>
          <w:spacing w:val="11"/>
        </w:rPr>
        <w:t>；</w:t>
      </w:r>
      <w:r>
        <w:rPr>
          <w:rFonts w:ascii="宋体" w:hAnsi="宋体" w:cs="宋体" w:eastAsia="宋体" w:hint="ascii"/>
          <w:sz w:val="21"/>
          <w:spacing w:val="10"/>
        </w:rPr>
        <w:t>肿瘤</w:t>
      </w:r>
      <w:r>
        <w:rPr>
          <w:rFonts w:ascii="宋体" w:hAnsi="宋体" w:cs="宋体" w:eastAsia="宋体" w:hint="ascii"/>
          <w:sz w:val="21"/>
          <w:spacing w:val="11"/>
        </w:rPr>
        <w:t>放</w:t>
      </w:r>
      <w:r>
        <w:rPr>
          <w:rFonts w:ascii="宋体" w:hAnsi="宋体" w:cs="宋体" w:eastAsia="宋体" w:hint="ascii"/>
          <w:sz w:val="21"/>
          <w:spacing w:val="10"/>
        </w:rPr>
        <w:t>射</w:t>
      </w:r>
      <w:r>
        <w:rPr>
          <w:rFonts w:ascii="宋体" w:hAnsi="宋体" w:cs="宋体" w:eastAsia="宋体" w:hint="ascii"/>
          <w:sz w:val="21"/>
          <w:spacing w:val="11"/>
        </w:rPr>
        <w:t>治</w:t>
      </w:r>
      <w:r>
        <w:rPr>
          <w:rFonts w:ascii="宋体" w:hAnsi="宋体" w:cs="宋体" w:eastAsia="宋体" w:hint="ascii"/>
          <w:sz w:val="21"/>
          <w:spacing w:val="10"/>
        </w:rPr>
        <w:t>疗请</w:t>
      </w:r>
      <w:r>
        <w:rPr>
          <w:rFonts w:ascii="宋体" w:hAnsi="宋体" w:cs="宋体" w:eastAsia="宋体" w:hint="ascii"/>
          <w:sz w:val="21"/>
          <w:spacing w:val="11"/>
        </w:rPr>
        <w:t>选</w:t>
      </w:r>
      <w:r>
        <w:rPr>
          <w:rFonts w:ascii="宋体" w:hAnsi="宋体" w:cs="宋体" w:eastAsia="宋体" w:hint="ascii"/>
          <w:sz w:val="21"/>
          <w:spacing w:val="10"/>
        </w:rPr>
        <w:t>择</w:t>
      </w:r>
      <w:r>
        <w:rPr>
          <w:rFonts w:ascii="宋体" w:hAnsi="宋体" w:cs="宋体" w:eastAsia="宋体" w:hint="ascii"/>
          <w:sz w:val="21"/>
          <w:spacing w:val="11"/>
        </w:rPr>
        <w:t>肿</w:t>
      </w:r>
      <w:r>
        <w:rPr>
          <w:rFonts w:ascii="宋体" w:hAnsi="宋体" w:cs="宋体" w:eastAsia="宋体" w:hint="ascii"/>
          <w:sz w:val="21"/>
          <w:spacing w:val="10"/>
        </w:rPr>
        <w:t>瘤学</w:t>
      </w:r>
      <w:r>
        <w:rPr>
          <w:rFonts w:ascii="宋体" w:hAnsi="宋体" w:cs="宋体" w:eastAsia="宋体" w:hint="ascii"/>
          <w:sz w:val="21"/>
          <w:spacing w:val="11"/>
        </w:rPr>
        <w:t>（</w:t>
      </w:r>
      <w:r>
        <w:rPr>
          <w:rFonts w:ascii="Times New Roman" w:hAnsi="Times New Roman" w:cs="Times New Roman" w:eastAsia="Times New Roman" w:hint="ascii"/>
          <w:sz w:val="21"/>
        </w:rPr>
        <w:t>H1</w:t>
      </w:r>
      <w:r>
        <w:rPr>
          <w:rFonts w:ascii="Times New Roman" w:hAnsi="Times New Roman" w:cs="Times New Roman" w:eastAsia="Times New Roman" w:hint="ascii"/>
          <w:sz w:val="21"/>
          <w:spacing w:val="21"/>
        </w:rPr>
        <w:t>6</w:t>
      </w:r>
      <w:r>
        <w:rPr>
          <w:rFonts w:ascii="宋体" w:hAnsi="宋体" w:cs="宋体" w:eastAsia="宋体" w:hint="ascii"/>
          <w:sz w:val="21"/>
          <w:spacing w:val="10"/>
        </w:rPr>
        <w:t>）的</w:t>
      </w:r>
      <w:r>
        <w:rPr>
          <w:rFonts w:ascii="宋体" w:hAnsi="宋体" w:cs="宋体" w:eastAsia="宋体" w:hint="ascii"/>
          <w:sz w:val="21"/>
          <w:spacing w:val="11"/>
        </w:rPr>
        <w:t>肿</w:t>
      </w:r>
      <w:r>
        <w:rPr>
          <w:rFonts w:ascii="宋体" w:hAnsi="宋体" w:cs="宋体" w:eastAsia="宋体" w:hint="ascii"/>
          <w:sz w:val="21"/>
          <w:spacing w:val="10"/>
        </w:rPr>
        <w:t>瘤</w:t>
      </w:r>
      <w:r>
        <w:rPr>
          <w:rFonts w:ascii="宋体" w:hAnsi="宋体" w:cs="宋体" w:eastAsia="宋体" w:hint="ascii"/>
          <w:sz w:val="21"/>
          <w:spacing w:val="11"/>
        </w:rPr>
        <w:t>物</w:t>
      </w:r>
      <w:r>
        <w:rPr>
          <w:rFonts w:ascii="宋体" w:hAnsi="宋体" w:cs="宋体" w:eastAsia="宋体" w:hint="ascii"/>
          <w:sz w:val="21"/>
          <w:spacing w:val="10"/>
        </w:rPr>
        <w:t>理治</w:t>
      </w:r>
      <w:r>
        <w:rPr>
          <w:rFonts w:ascii="宋体" w:hAnsi="宋体" w:cs="宋体" w:eastAsia="宋体" w:hint="ascii"/>
          <w:sz w:val="21"/>
          <w:spacing w:val="11"/>
        </w:rPr>
        <w:t>疗</w:t>
      </w:r>
      <w:r>
        <w:rPr>
          <w:rFonts w:ascii="宋体" w:hAnsi="宋体" w:cs="宋体" w:eastAsia="宋体" w:hint="ascii"/>
          <w:sz w:val="21"/>
          <w:spacing w:val="10"/>
        </w:rPr>
        <w:t>申</w:t>
      </w:r>
      <w:r>
        <w:rPr>
          <w:rFonts w:ascii="宋体" w:hAnsi="宋体" w:cs="宋体" w:eastAsia="宋体" w:hint="ascii"/>
          <w:sz w:val="21"/>
          <w:spacing w:val="11"/>
        </w:rPr>
        <w:t>请</w:t>
      </w:r>
      <w:r>
        <w:rPr>
          <w:rFonts w:ascii="宋体" w:hAnsi="宋体" w:cs="宋体" w:eastAsia="宋体" w:hint="ascii"/>
          <w:sz w:val="21"/>
          <w:spacing w:val="10"/>
        </w:rPr>
        <w:t>代</w:t>
      </w:r>
      <w:r>
        <w:rPr>
          <w:rFonts w:ascii="宋体" w:hAnsi="宋体" w:cs="宋体" w:eastAsia="宋体" w:hint="ascii"/>
          <w:sz w:val="21"/>
        </w:rPr>
        <w:t>码</w:t>
      </w:r>
      <w:r>
        <w:rPr>
          <w:rFonts w:ascii="宋体" w:hAnsi="宋体" w:cs="宋体" w:eastAsia="宋体" w:hint="ascii"/>
          <w:sz w:val="21"/>
        </w:rPr>
        <mc:AlternateContent>
          <mc:Choice Requires="wps">
            <w:drawing>
              <wp:anchor distL="0" distR="0" distT="0" distB="0" simplePos="0" behindDoc="1" relativeHeight="124" locked="0" layoutInCell="1" allowOverlap="1">
                <wp:simplePos x="0" y="0"/>
                <wp:positionH relativeFrom="page">
                  <wp:posOffset>938530</wp:posOffset>
                </wp:positionH>
                <wp:positionV relativeFrom="page">
                  <wp:posOffset>819150</wp:posOffset>
                </wp:positionV>
                <wp:extent cx="5076190" cy="0"/>
                <wp:wrapNone/>
                <wp:docPr id="1153" name="115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31264;width:399.70pt;" id="115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7"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H1610</w:t>
      </w:r>
      <w:r>
        <w:rPr>
          <w:rFonts w:ascii="宋体" w:hAnsi="宋体" w:cs="宋体" w:eastAsia="宋体" w:hint="ascii"/>
          <w:sz w:val="21"/>
          <w:spacing w:val="-52"/>
        </w:rPr>
        <w:t>）</w:t>
      </w:r>
      <w:r>
        <w:rPr>
          <w:rFonts w:ascii="宋体" w:hAnsi="宋体" w:cs="宋体" w:eastAsia="宋体" w:hint="ascii"/>
          <w:sz w:val="21"/>
        </w:rPr>
        <w:t>；此外，肿瘤的中医药学研究请选择中医学（</w:t>
      </w:r>
      <w:r>
        <w:rPr>
          <w:rFonts w:ascii="Times New Roman" w:hAnsi="Times New Roman" w:cs="Times New Roman" w:eastAsia="Times New Roman" w:hint="ascii"/>
          <w:sz w:val="21"/>
        </w:rPr>
        <w:t>H27</w:t>
      </w:r>
      <w:r>
        <w:rPr>
          <w:rFonts w:ascii="宋体" w:hAnsi="宋体" w:cs="宋体" w:eastAsia="宋体" w:hint="ascii"/>
          <w:sz w:val="21"/>
          <w:spacing w:val="-52"/>
        </w:rPr>
        <w:t>）</w:t>
      </w:r>
      <w:r>
        <w:rPr>
          <w:rFonts w:ascii="宋体" w:hAnsi="宋体" w:cs="宋体" w:eastAsia="宋体" w:hint="ascii"/>
          <w:sz w:val="21"/>
        </w:rPr>
        <w:t>、中药学（</w:t>
      </w:r>
      <w:r>
        <w:rPr>
          <w:rFonts w:ascii="Times New Roman" w:hAnsi="Times New Roman" w:cs="Times New Roman" w:eastAsia="Times New Roman" w:hint="ascii"/>
          <w:sz w:val="21"/>
        </w:rPr>
        <w:t>H28</w:t>
      </w:r>
      <w:r>
        <w:rPr>
          <w:rFonts w:ascii="宋体" w:hAnsi="宋体" w:cs="宋体" w:eastAsia="宋体" w:hint="ascii"/>
          <w:sz w:val="21"/>
        </w:rPr>
        <w:t>）和中西医</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结合（</w:t>
      </w:r>
      <w:r>
        <w:rPr>
          <w:rFonts w:ascii="Times New Roman" w:hAnsi="Times New Roman" w:cs="Times New Roman" w:eastAsia="Times New Roman" w:hint="ascii"/>
          <w:sz w:val="21"/>
        </w:rPr>
        <w:t>H29</w:t>
      </w:r>
      <w:r>
        <w:rPr>
          <w:rFonts w:ascii="宋体" w:hAnsi="宋体" w:cs="宋体" w:eastAsia="宋体" w:hint="ascii"/>
          <w:sz w:val="21"/>
        </w:rPr>
        <w:t>）下相应的二级申请代码。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放射医学（</w:t>
      </w:r>
      <w:r>
        <w:rPr>
          <w:rFonts w:ascii="Times New Roman" w:hAnsi="Times New Roman" w:cs="Times New Roman" w:eastAsia="Times New Roman" w:hint="ascii"/>
          <w:sz w:val="21"/>
        </w:rPr>
        <w:t>H22</w:t>
      </w:r>
      <w:r>
        <w:rPr>
          <w:rFonts w:ascii="宋体" w:hAnsi="宋体" w:cs="宋体" w:eastAsia="宋体" w:hint="ascii"/>
          <w:sz w:val="21"/>
        </w:rPr>
        <w:t>）主要涉及放射病理、放射防护及非肿瘤放射治疗领域，不受理放</w:t>
      </w:r>
    </w:p>
    <w:p>
      <w:pPr>
        <w:autoSpaceDE w:val="0"/>
        <w:autoSpaceDN w:val="0"/>
        <w:jc w:val="both"/>
        <w:spacing w:before="12"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射诊断学以及肿瘤放射治疗申请；放射诊断学请选择影像医学与生物医学工程（</w:t>
      </w:r>
      <w:r>
        <w:rPr>
          <w:rFonts w:ascii="Times New Roman" w:hAnsi="Times New Roman" w:cs="Times New Roman" w:eastAsia="Times New Roman" w:hint="ascii"/>
          <w:sz w:val="21"/>
        </w:rPr>
        <w:t>H18</w:t>
      </w:r>
      <w:r>
        <w:rPr>
          <w:rFonts w:ascii="宋体" w:hAnsi="宋体" w:cs="宋体" w:eastAsia="宋体" w:hint="ascii"/>
          <w:sz w:val="21"/>
        </w:rPr>
        <w:t>）下相应的二级申请代码。</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老年医学（</w:t>
      </w:r>
      <w:r>
        <w:rPr>
          <w:rFonts w:ascii="Times New Roman" w:hAnsi="Times New Roman" w:cs="Times New Roman" w:eastAsia="Times New Roman" w:hint="ascii"/>
          <w:sz w:val="21"/>
        </w:rPr>
        <w:t>H25</w:t>
      </w:r>
      <w:r>
        <w:rPr>
          <w:rFonts w:ascii="宋体" w:hAnsi="宋体" w:cs="宋体" w:eastAsia="宋体" w:hint="ascii"/>
          <w:sz w:val="21"/>
        </w:rPr>
        <w:t>）仅受理衰老机制相关的疾病发生机制及干预研究，单一器官和系</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统与衰老机制无关的老年医学科学问题请选择其相应器官或系统的申请代码。</w:t>
      </w:r>
    </w:p>
    <w:p>
      <w:pPr>
        <w:autoSpaceDE w:val="0"/>
        <w:autoSpaceDN w:val="0"/>
        <w:jc w:val="both"/>
        <w:spacing w:before="13" w:after="0" w:lineRule="exact" w:line="319"/>
        <w:ind w:right="962" w:left="966" w:firstLine="420"/>
        <w:snapToGrid w:val="0"/>
        <w:textAlignment w:val="auto"/>
        <w:tabs/>
        <w:rPr>
          <w:rFonts w:ascii="宋体" w:hAnsi="宋体" w:cs="宋体" w:eastAsia="宋体" w:hint="ascii"/>
          <w:sz w:val="21"/>
        </w:rPr>
      </w:pPr>
      <w:r>
        <w:rPr>
          <w:rFonts w:ascii="宋体" w:hAnsi="宋体" w:cs="宋体" w:eastAsia="宋体" w:hint="ascii"/>
          <w:sz w:val="21"/>
        </w:rPr>
        <w:t>新生儿疾病列入生殖系统</w:t>
      </w:r>
      <w:r>
        <w:rPr>
          <w:rFonts w:ascii="Times New Roman" w:hAnsi="Times New Roman" w:cs="Times New Roman" w:eastAsia="Times New Roman" w:hint="ascii"/>
          <w:sz w:val="21"/>
        </w:rPr>
        <w:t>/</w:t>
      </w:r>
      <w:r>
        <w:rPr>
          <w:rFonts w:ascii="宋体" w:hAnsi="宋体" w:cs="宋体" w:eastAsia="宋体" w:hint="ascii"/>
          <w:sz w:val="21"/>
        </w:rPr>
        <w:t>围生医学</w:t>
      </w:r>
      <w:r>
        <w:rPr>
          <w:rFonts w:ascii="Times New Roman" w:hAnsi="Times New Roman" w:cs="Times New Roman" w:eastAsia="Times New Roman" w:hint="ascii"/>
          <w:sz w:val="21"/>
        </w:rPr>
        <w:t>/</w:t>
      </w:r>
      <w:r>
        <w:rPr>
          <w:rFonts w:ascii="宋体" w:hAnsi="宋体" w:cs="宋体" w:eastAsia="宋体" w:hint="ascii"/>
          <w:sz w:val="21"/>
        </w:rPr>
        <w:t>新生儿（</w:t>
      </w:r>
      <w:r>
        <w:rPr>
          <w:rFonts w:ascii="Times New Roman" w:hAnsi="Times New Roman" w:cs="Times New Roman" w:eastAsia="Times New Roman" w:hint="ascii"/>
          <w:sz w:val="21"/>
        </w:rPr>
        <w:t>H04</w:t>
      </w:r>
      <w:r>
        <w:rPr>
          <w:rFonts w:ascii="宋体" w:hAnsi="宋体" w:cs="宋体" w:eastAsia="宋体" w:hint="ascii"/>
          <w:sz w:val="21"/>
        </w:rPr>
        <w:t>）申请代码，儿科其他科学问题请选择其相应系统的申请代码。</w: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性传播性疾病请选择医学病原生物与感染（</w:t>
      </w:r>
      <w:r>
        <w:rPr>
          <w:rFonts w:ascii="Times New Roman" w:hAnsi="Times New Roman" w:cs="Times New Roman" w:eastAsia="Times New Roman" w:hint="ascii"/>
          <w:sz w:val="21"/>
        </w:rPr>
        <w:t>H19</w:t>
      </w:r>
      <w:r>
        <w:rPr>
          <w:rFonts w:ascii="宋体" w:hAnsi="宋体" w:cs="宋体" w:eastAsia="宋体" w:hint="ascii"/>
          <w:sz w:val="21"/>
        </w:rPr>
        <w:t>）相应的申请代码。</w:t>
      </w:r>
    </w:p>
    <w:p>
      <w:pPr>
        <w:autoSpaceDE w:val="0"/>
        <w:autoSpaceDN w:val="0"/>
        <w:jc w:val="left"/>
        <w:spacing w:before="52" w:after="0" w:lineRule="auto" w:line="240"/>
        <w:ind w:right="0" w:left="1649" w:hanging="263"/>
        <w:snapToGrid w:val="0"/>
        <w:textAlignment w:val="auto"/>
        <w:tabs>
          <w:tab w:val="left" w:leader="none" w:pos="1648"/>
        </w:tabs>
        <w:numPr>
          <w:ilvl w:val="0"/>
          <w:numId w:val="110"/>
        </w:numPr>
        <w:rPr>
          <w:rFonts w:ascii="Times New Roman" w:hAnsi="Times New Roman" w:cs="Times New Roman" w:eastAsia="Times New Roman" w:hint="ascii"/>
          <w:sz w:val="21"/>
        </w:rPr>
      </w:pPr>
      <w:r>
        <w:rPr>
          <w:rFonts w:ascii="宋体" w:hAnsi="宋体" w:cs="宋体" w:eastAsia="宋体" w:hint="ascii"/>
          <w:sz w:val="21"/>
        </w:rPr>
        <w:t>面上项目设立的专项类项目及申请注意事项</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）疾病动物模型建立</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在动物整体水平建立真实模拟人类疾病的模型，对探索疾病发生和发展机理、发现</w:t>
      </w:r>
    </w:p>
    <w:p>
      <w:pPr>
        <w:autoSpaceDE w:val="0"/>
        <w:autoSpaceDN w:val="0"/>
        <w:jc w:val="left"/>
        <w:spacing w:before="12"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3"/>
        </w:rPr>
        <w:t>药物新靶</w:t>
      </w:r>
      <w:r>
        <w:rPr>
          <w:rFonts w:ascii="宋体" w:hAnsi="宋体" w:cs="宋体" w:eastAsia="宋体" w:hint="ascii"/>
          <w:sz w:val="21"/>
        </w:rPr>
        <w:t>点</w:t>
      </w:r>
      <w:r>
        <w:rPr>
          <w:rFonts w:ascii="宋体" w:hAnsi="宋体" w:cs="宋体" w:eastAsia="宋体" w:hint="ascii"/>
          <w:sz w:val="21"/>
          <w:spacing w:val="3"/>
        </w:rPr>
        <w:t>以及临床</w:t>
      </w:r>
      <w:r>
        <w:rPr>
          <w:rFonts w:ascii="宋体" w:hAnsi="宋体" w:cs="宋体" w:eastAsia="宋体" w:hint="ascii"/>
          <w:sz w:val="21"/>
        </w:rPr>
        <w:t>前</w:t>
      </w:r>
      <w:r>
        <w:rPr>
          <w:rFonts w:ascii="宋体" w:hAnsi="宋体" w:cs="宋体" w:eastAsia="宋体" w:hint="ascii"/>
          <w:sz w:val="21"/>
          <w:spacing w:val="3"/>
        </w:rPr>
        <w:t>药效学评</w:t>
      </w:r>
      <w:r>
        <w:rPr>
          <w:rFonts w:ascii="宋体" w:hAnsi="宋体" w:cs="宋体" w:eastAsia="宋体" w:hint="ascii"/>
          <w:sz w:val="21"/>
        </w:rPr>
        <w:t>价</w:t>
      </w:r>
      <w:r>
        <w:rPr>
          <w:rFonts w:ascii="宋体" w:hAnsi="宋体" w:cs="宋体" w:eastAsia="宋体" w:hint="ascii"/>
          <w:sz w:val="21"/>
          <w:spacing w:val="3"/>
        </w:rPr>
        <w:t>等生物医</w:t>
      </w:r>
      <w:r>
        <w:rPr>
          <w:rFonts w:ascii="宋体" w:hAnsi="宋体" w:cs="宋体" w:eastAsia="宋体" w:hint="ascii"/>
          <w:sz w:val="21"/>
        </w:rPr>
        <w:t>学</w:t>
      </w:r>
      <w:r>
        <w:rPr>
          <w:rFonts w:ascii="宋体" w:hAnsi="宋体" w:cs="宋体" w:eastAsia="宋体" w:hint="ascii"/>
          <w:sz w:val="21"/>
          <w:spacing w:val="3"/>
        </w:rPr>
        <w:t>研究具有</w:t>
      </w:r>
      <w:r>
        <w:rPr>
          <w:rFonts w:ascii="宋体" w:hAnsi="宋体" w:cs="宋体" w:eastAsia="宋体" w:hint="ascii"/>
          <w:sz w:val="21"/>
        </w:rPr>
        <w:t>十</w:t>
      </w:r>
      <w:r>
        <w:rPr>
          <w:rFonts w:ascii="宋体" w:hAnsi="宋体" w:cs="宋体" w:eastAsia="宋体" w:hint="ascii"/>
          <w:sz w:val="21"/>
          <w:spacing w:val="3"/>
        </w:rPr>
        <w:t>分重要的</w:t>
      </w:r>
      <w:r>
        <w:rPr>
          <w:rFonts w:ascii="宋体" w:hAnsi="宋体" w:cs="宋体" w:eastAsia="宋体" w:hint="ascii"/>
          <w:sz w:val="21"/>
        </w:rPr>
        <w:t>理</w:t>
      </w:r>
      <w:r>
        <w:rPr>
          <w:rFonts w:ascii="宋体" w:hAnsi="宋体" w:cs="宋体" w:eastAsia="宋体" w:hint="ascii"/>
          <w:sz w:val="21"/>
          <w:spacing w:val="3"/>
        </w:rPr>
        <w:t>论价值和临</w:t>
      </w:r>
      <w:r>
        <w:rPr>
          <w:rFonts w:ascii="宋体" w:hAnsi="宋体" w:cs="宋体" w:eastAsia="宋体" w:hint="ascii"/>
          <w:sz w:val="21"/>
          <w:spacing w:val="4"/>
        </w:rPr>
        <w:t>床</w:t>
      </w:r>
      <w:r>
        <w:rPr>
          <w:rFonts w:ascii="宋体" w:hAnsi="宋体" w:cs="宋体" w:eastAsia="宋体" w:hint="ascii"/>
          <w:sz w:val="21"/>
        </w:rPr>
        <w:t>意义。疾病动物模型分为自发性疾病动物模型和诱发性（或实验性）动物模型，后者又包含了基因修饰模型、手术模型和物理、化学诱导模型等，其中基因修饰模型主要分为转基因模型、基因剔除</w:t>
      </w:r>
      <w:r>
        <w:rPr>
          <w:rFonts w:ascii="Times New Roman" w:hAnsi="Times New Roman" w:cs="Times New Roman" w:eastAsia="Times New Roman" w:hint="ascii"/>
          <w:sz w:val="21"/>
        </w:rPr>
        <w:t>/</w:t>
      </w:r>
      <w:r>
        <w:rPr>
          <w:rFonts w:ascii="宋体" w:hAnsi="宋体" w:cs="宋体" w:eastAsia="宋体" w:hint="ascii"/>
          <w:sz w:val="21"/>
        </w:rPr>
        <w:t>敲入模型、诱变模型、克隆动物模型等。</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医学科学部鼓励开展新的疾病动物模型的创建和分析，在面上项目中设立“疾病动</w:t>
      </w:r>
    </w:p>
    <w:p>
      <w:pPr>
        <w:autoSpaceDE w:val="0"/>
        <w:autoSpaceDN w:val="0"/>
        <w:jc w:val="left"/>
        <w:spacing w:before="10"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物模型”专项，计划直接费用平均资助强度约为</w:t>
      </w:r>
      <w:r>
        <w:rPr>
          <w:rFonts w:ascii="宋体" w:hAnsi="宋体" w:cs="宋体" w:eastAsia="宋体" w:hint="ascii"/>
          <w:sz w:val="21"/>
          <w:spacing w:val="-25"/>
        </w:rPr>
        <w:t xml:space="preserve"> </w:t>
      </w:r>
      <w:r>
        <w:rPr>
          <w:rFonts w:ascii="Times New Roman" w:hAnsi="Times New Roman" w:cs="Times New Roman" w:eastAsia="Times New Roman" w:hint="ascii"/>
          <w:b w:val="1"/>
          <w:sz w:val="21"/>
        </w:rPr>
        <w:t>8</w:t>
      </w:r>
      <w:r>
        <w:rPr>
          <w:rFonts w:ascii="Times New Roman" w:hAnsi="Times New Roman" w:cs="Times New Roman" w:eastAsia="Times New Roman" w:hint="ascii"/>
          <w:b w:val="1"/>
          <w:sz w:val="21"/>
          <w:spacing w:val="53"/>
        </w:rPr>
        <w:t>0</w:t>
      </w:r>
      <w:r>
        <w:rPr>
          <w:rFonts w:ascii="宋体" w:hAnsi="宋体" w:cs="宋体" w:eastAsia="宋体" w:hint="ascii"/>
          <w:sz w:val="21"/>
        </w:rPr>
        <w:t>万元</w:t>
      </w:r>
      <w:r>
        <w:rPr>
          <w:rFonts w:ascii="宋体" w:hAnsi="宋体" w:cs="宋体" w:eastAsia="宋体" w:hint="ascii"/>
          <w:sz w:val="21"/>
          <w:spacing w:val="-46"/>
        </w:rPr>
        <w:t>/</w:t>
      </w:r>
      <w:r>
        <w:rPr>
          <w:rFonts w:ascii="宋体" w:hAnsi="宋体" w:cs="宋体" w:eastAsia="宋体" w:hint="ascii"/>
          <w:sz w:val="21"/>
        </w:rPr>
        <w:t>项，资助期限为</w:t>
      </w:r>
      <w:r>
        <w:rPr>
          <w:rFonts w:ascii="宋体" w:hAnsi="宋体" w:cs="宋体" w:eastAsia="宋体" w:hint="ascii"/>
          <w:sz w:val="21"/>
          <w:spacing w:val="-25"/>
        </w:rPr>
        <w:t xml:space="preserve"> </w:t>
      </w:r>
      <w:r>
        <w:rPr>
          <w:rFonts w:ascii="Times New Roman" w:hAnsi="Times New Roman" w:cs="Times New Roman" w:eastAsia="Times New Roman" w:hint="ascii"/>
          <w:b w:val="1"/>
          <w:sz w:val="21"/>
        </w:rPr>
        <w:t>4</w:t>
      </w:r>
      <w:r>
        <w:rPr>
          <w:rFonts w:ascii="Times New Roman" w:hAnsi="Times New Roman" w:cs="Times New Roman" w:eastAsia="Times New Roman" w:hint="ascii"/>
          <w:b w:val="1"/>
          <w:sz w:val="21"/>
          <w:spacing w:val="-25"/>
        </w:rPr>
        <w:t xml:space="preserve"> </w:t>
      </w:r>
      <w:r>
        <w:rPr>
          <w:rFonts w:ascii="宋体" w:hAnsi="宋体" w:cs="宋体" w:eastAsia="宋体" w:hint="ascii"/>
          <w:sz w:val="21"/>
        </w:rPr>
        <w:t>年</w:t>
      </w:r>
      <w:r>
        <w:rPr>
          <w:rFonts w:ascii="宋体" w:hAnsi="宋体" w:cs="宋体" w:eastAsia="宋体" w:hint="ascii"/>
          <w:b w:val="1"/>
          <w:sz w:val="21"/>
        </w:rPr>
        <w:t>。</w:t>
      </w:r>
      <w:r>
        <w:rPr>
          <w:rFonts w:ascii="宋体" w:hAnsi="宋体" w:cs="宋体" w:eastAsia="宋体" w:hint="ascii"/>
          <w:sz w:val="21"/>
        </w:rPr>
        <w:t>支持开展如下研究：①自发性疾病动物模型的发现与鉴定；②各种新的诱发性模型的建立、鉴定及标准化；③外界环境对疾病动物模型的影响；④不同物种但同类疾病动物模型之间的比较医学研究等；⑤疾病动物模型库以及数据库的建立；⑥模型建立方法的优化与改进。创建新的疾病动物模型是实验医学研究的一项基础性工作，希望通过长期的稳定支</w:t>
      </w:r>
      <w:r>
        <w:rPr>
          <w:rFonts w:ascii="宋体" w:hAnsi="宋体" w:cs="宋体" w:eastAsia="宋体" w:hint="ascii"/>
          <w:sz w:val="21"/>
          <w:spacing w:val="6"/>
        </w:rPr>
        <w:t>持，推动我国在疾病动物模型建立方面的研究，为医学科学研究基础平台建设打</w:t>
      </w:r>
      <w:r>
        <w:rPr>
          <w:rFonts w:ascii="宋体" w:hAnsi="宋体" w:cs="宋体" w:eastAsia="宋体" w:hint="ascii"/>
          <w:sz w:val="21"/>
        </w:rPr>
        <w:t>下基础。</w:t>
      </w:r>
    </w:p>
    <w:p>
      <w:pPr>
        <w:autoSpaceDE w:val="0"/>
        <w:autoSpaceDN w:val="0"/>
        <w:jc w:val="left"/>
        <w:spacing w:before="4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申请人根据自己的研究内容选</w:t>
      </w:r>
      <w:r>
        <w:rPr>
          <w:rFonts w:ascii="宋体" w:hAnsi="宋体" w:cs="宋体" w:eastAsia="宋体" w:hint="ascii"/>
          <w:sz w:val="21"/>
          <w:spacing w:val="27"/>
        </w:rPr>
        <w:t>择</w:t>
      </w:r>
      <w:r>
        <w:rPr>
          <w:rFonts w:ascii="Times New Roman" w:hAnsi="Times New Roman" w:cs="Times New Roman" w:eastAsia="Times New Roman" w:hint="ascii"/>
          <w:sz w:val="21"/>
        </w:rPr>
        <w:t>H01</w:t>
      </w:r>
      <w:r>
        <w:rPr>
          <w:rFonts w:ascii="宋体" w:hAnsi="宋体" w:cs="宋体" w:eastAsia="宋体" w:hint="ascii"/>
          <w:sz w:val="21"/>
        </w:rPr>
        <w:t>～</w:t>
      </w:r>
      <w:r>
        <w:rPr>
          <w:rFonts w:ascii="Times New Roman" w:hAnsi="Times New Roman" w:cs="Times New Roman" w:eastAsia="Times New Roman" w:hint="ascii"/>
          <w:sz w:val="21"/>
        </w:rPr>
        <w:t>H3</w:t>
      </w:r>
      <w:r>
        <w:rPr>
          <w:rFonts w:ascii="Times New Roman" w:hAnsi="Times New Roman" w:cs="Times New Roman" w:eastAsia="Times New Roman" w:hint="ascii"/>
          <w:sz w:val="21"/>
          <w:spacing w:val="53"/>
        </w:rPr>
        <w:t>1</w:t>
      </w:r>
      <w:r>
        <w:rPr>
          <w:rFonts w:ascii="宋体" w:hAnsi="宋体" w:cs="宋体" w:eastAsia="宋体" w:hint="ascii"/>
          <w:sz w:val="21"/>
        </w:rPr>
        <w:t>各一级申请代码下的二级代码并</w:t>
      </w:r>
      <w:r>
        <w:rPr>
          <w:rFonts w:ascii="宋体" w:hAnsi="宋体" w:cs="宋体" w:eastAsia="宋体" w:hint="ascii"/>
          <w:sz w:val="21"/>
        </w:rPr>
        <w:t>在申请</w:t>
      </w:r>
    </w:p>
    <w:p>
      <w:pPr>
        <w:autoSpaceDE w:val="0"/>
        <w:autoSpaceDN w:val="0"/>
        <w:jc w:val="left"/>
        <w:spacing w:before="13" w:after="0" w:lineRule="exact" w:line="319"/>
        <w:ind w:right="962" w:left="966" w:firstLine="0"/>
        <w:snapToGrid w:val="0"/>
        <w:textAlignment w:val="auto"/>
        <w:tabs/>
        <w:rPr>
          <w:rFonts w:ascii="Times New Roman" w:hAnsi="Times New Roman" w:cs="Times New Roman" w:eastAsia="Times New Roman" w:hint="ascii"/>
          <w:b w:val="1"/>
          <w:sz w:val="21"/>
        </w:rPr>
      </w:pPr>
      <w:r>
        <w:rPr>
          <w:rFonts w:ascii="宋体" w:hAnsi="宋体" w:cs="宋体" w:eastAsia="宋体" w:hint="ascii"/>
          <w:sz w:val="21"/>
        </w:rPr>
        <w:t>书附注说明栏中注明为“疾病动物模型建立</w:t>
      </w:r>
      <w:r>
        <w:rPr>
          <w:rFonts w:ascii="宋体" w:hAnsi="宋体" w:cs="宋体" w:eastAsia="宋体" w:hint="ascii"/>
          <w:sz w:val="21"/>
          <w:spacing w:val="-51"/>
        </w:rPr>
        <w:t>”</w:t>
      </w:r>
      <w:r>
        <w:rPr>
          <w:rFonts w:ascii="宋体" w:hAnsi="宋体" w:cs="宋体" w:eastAsia="宋体" w:hint="ascii"/>
          <w:b w:val="1"/>
          <w:sz w:val="21"/>
        </w:rPr>
        <w:t>。</w:t>
      </w:r>
      <w:r>
        <w:rPr>
          <w:rFonts w:ascii="宋体" w:hAnsi="宋体" w:cs="宋体" w:eastAsia="宋体" w:hint="ascii"/>
          <w:sz w:val="21"/>
        </w:rPr>
        <w:t>疾病动物模型申请书中应明确阐述该模型动物与人在疾病易感性和临床表现等方面的异同点。为避免动物模型的重复建设，申请书中应对该疾病的现有动物模型的研究情况加以客观的</w:t>
      </w:r>
      <w:r>
        <w:rPr>
          <w:rFonts w:ascii="宋体" w:hAnsi="宋体" w:cs="宋体" w:eastAsia="宋体" w:hint="ascii"/>
          <w:sz w:val="21"/>
        </w:rPr>
        <w:t>综合分析</w:t>
      </w:r>
      <w:r>
        <w:rPr>
          <w:rFonts w:ascii="宋体" w:hAnsi="宋体" w:cs="宋体" w:eastAsia="宋体" w:hint="ascii"/>
          <w:b w:val="1"/>
          <w:sz w:val="21"/>
        </w:rPr>
        <w:t>。</w:t>
      </w:r>
      <w:r>
        <w:rPr>
          <w:rFonts w:ascii="宋体" w:hAnsi="宋体" w:cs="宋体" w:eastAsia="宋体" w:hint="ascii"/>
          <w:sz w:val="21"/>
        </w:rPr>
        <w:t>在项目实施中，要</w:t>
      </w:r>
      <w:r>
        <w:rPr>
          <w:rFonts w:ascii="宋体" w:hAnsi="宋体" w:cs="宋体" w:eastAsia="宋体" w:hint="ascii"/>
          <w:sz w:val="21"/>
          <w:spacing w:val="8"/>
        </w:rPr>
        <w:t>遵</w:t>
      </w:r>
      <w:r>
        <w:rPr>
          <w:rFonts w:ascii="宋体" w:hAnsi="宋体" w:cs="宋体" w:eastAsia="宋体" w:hint="ascii"/>
          <w:sz w:val="21"/>
          <w:spacing w:val="7"/>
        </w:rPr>
        <w:t>循我</w:t>
      </w:r>
      <w:r>
        <w:rPr>
          <w:rFonts w:ascii="宋体" w:hAnsi="宋体" w:cs="宋体" w:eastAsia="宋体" w:hint="ascii"/>
          <w:sz w:val="21"/>
          <w:spacing w:val="8"/>
        </w:rPr>
        <w:t>国</w:t>
      </w:r>
      <w:r>
        <w:rPr>
          <w:rFonts w:ascii="宋体" w:hAnsi="宋体" w:cs="宋体" w:eastAsia="宋体" w:hint="ascii"/>
          <w:sz w:val="21"/>
          <w:spacing w:val="7"/>
        </w:rPr>
        <w:t>关</w:t>
      </w:r>
      <w:r>
        <w:rPr>
          <w:rFonts w:ascii="宋体" w:hAnsi="宋体" w:cs="宋体" w:eastAsia="宋体" w:hint="ascii"/>
          <w:sz w:val="21"/>
          <w:spacing w:val="8"/>
        </w:rPr>
        <w:t>于</w:t>
      </w:r>
      <w:r>
        <w:rPr>
          <w:rFonts w:ascii="宋体" w:hAnsi="宋体" w:cs="宋体" w:eastAsia="宋体" w:hint="ascii"/>
          <w:sz w:val="21"/>
          <w:spacing w:val="7"/>
        </w:rPr>
        <w:t>实验</w:t>
      </w:r>
      <w:r>
        <w:rPr>
          <w:rFonts w:ascii="宋体" w:hAnsi="宋体" w:cs="宋体" w:eastAsia="宋体" w:hint="ascii"/>
          <w:sz w:val="21"/>
          <w:spacing w:val="8"/>
        </w:rPr>
        <w:t>动</w:t>
      </w:r>
      <w:r>
        <w:rPr>
          <w:rFonts w:ascii="宋体" w:hAnsi="宋体" w:cs="宋体" w:eastAsia="宋体" w:hint="ascii"/>
          <w:sz w:val="21"/>
          <w:spacing w:val="7"/>
        </w:rPr>
        <w:t>物</w:t>
      </w:r>
      <w:r>
        <w:rPr>
          <w:rFonts w:ascii="宋体" w:hAnsi="宋体" w:cs="宋体" w:eastAsia="宋体" w:hint="ascii"/>
          <w:sz w:val="21"/>
          <w:spacing w:val="8"/>
        </w:rPr>
        <w:t>福</w:t>
      </w:r>
      <w:r>
        <w:rPr>
          <w:rFonts w:ascii="宋体" w:hAnsi="宋体" w:cs="宋体" w:eastAsia="宋体" w:hint="ascii"/>
          <w:sz w:val="21"/>
          <w:spacing w:val="7"/>
        </w:rPr>
        <w:t>利和</w:t>
      </w:r>
      <w:r>
        <w:rPr>
          <w:rFonts w:ascii="宋体" w:hAnsi="宋体" w:cs="宋体" w:eastAsia="宋体" w:hint="ascii"/>
          <w:sz w:val="21"/>
          <w:spacing w:val="8"/>
        </w:rPr>
        <w:t>实</w:t>
      </w:r>
      <w:r>
        <w:rPr>
          <w:rFonts w:ascii="宋体" w:hAnsi="宋体" w:cs="宋体" w:eastAsia="宋体" w:hint="ascii"/>
          <w:sz w:val="21"/>
          <w:spacing w:val="7"/>
        </w:rPr>
        <w:t>验</w:t>
      </w:r>
      <w:r>
        <w:rPr>
          <w:rFonts w:ascii="宋体" w:hAnsi="宋体" w:cs="宋体" w:eastAsia="宋体" w:hint="ascii"/>
          <w:sz w:val="21"/>
          <w:spacing w:val="8"/>
        </w:rPr>
        <w:t>动</w:t>
      </w:r>
      <w:r>
        <w:rPr>
          <w:rFonts w:ascii="宋体" w:hAnsi="宋体" w:cs="宋体" w:eastAsia="宋体" w:hint="ascii"/>
          <w:sz w:val="21"/>
          <w:spacing w:val="7"/>
        </w:rPr>
        <w:t>物伦</w:t>
      </w:r>
      <w:r>
        <w:rPr>
          <w:rFonts w:ascii="宋体" w:hAnsi="宋体" w:cs="宋体" w:eastAsia="宋体" w:hint="ascii"/>
          <w:sz w:val="21"/>
          <w:spacing w:val="8"/>
        </w:rPr>
        <w:t>理</w:t>
      </w:r>
      <w:r>
        <w:rPr>
          <w:rFonts w:ascii="宋体" w:hAnsi="宋体" w:cs="宋体" w:eastAsia="宋体" w:hint="ascii"/>
          <w:sz w:val="21"/>
          <w:spacing w:val="7"/>
        </w:rPr>
        <w:t>的</w:t>
      </w:r>
      <w:r>
        <w:rPr>
          <w:rFonts w:ascii="宋体" w:hAnsi="宋体" w:cs="宋体" w:eastAsia="宋体" w:hint="ascii"/>
          <w:sz w:val="21"/>
          <w:spacing w:val="8"/>
        </w:rPr>
        <w:t>相</w:t>
      </w:r>
      <w:r>
        <w:rPr>
          <w:rFonts w:ascii="宋体" w:hAnsi="宋体" w:cs="宋体" w:eastAsia="宋体" w:hint="ascii"/>
          <w:sz w:val="21"/>
          <w:spacing w:val="7"/>
        </w:rPr>
        <w:t>关规</w:t>
      </w:r>
      <w:r>
        <w:rPr>
          <w:rFonts w:ascii="宋体" w:hAnsi="宋体" w:cs="宋体" w:eastAsia="宋体" w:hint="ascii"/>
          <w:sz w:val="21"/>
          <w:spacing w:val="8"/>
        </w:rPr>
        <w:t>定</w:t>
      </w:r>
      <w:r>
        <w:rPr>
          <w:rFonts w:ascii="宋体" w:hAnsi="宋体" w:cs="宋体" w:eastAsia="宋体" w:hint="ascii"/>
          <w:b w:val="1"/>
          <w:sz w:val="21"/>
          <w:spacing w:val="8"/>
        </w:rPr>
        <w:t>。</w:t>
      </w:r>
      <w:r>
        <w:rPr>
          <w:rFonts w:ascii="宋体" w:hAnsi="宋体" w:cs="宋体" w:eastAsia="宋体" w:hint="ascii"/>
          <w:sz w:val="21"/>
          <w:spacing w:val="8"/>
        </w:rPr>
        <w:t>医</w:t>
      </w:r>
      <w:r>
        <w:rPr>
          <w:rFonts w:ascii="宋体" w:hAnsi="宋体" w:cs="宋体" w:eastAsia="宋体" w:hint="ascii"/>
          <w:sz w:val="21"/>
          <w:spacing w:val="7"/>
        </w:rPr>
        <w:t>学科</w:t>
      </w:r>
      <w:r>
        <w:rPr>
          <w:rFonts w:ascii="宋体" w:hAnsi="宋体" w:cs="宋体" w:eastAsia="宋体" w:hint="ascii"/>
          <w:sz w:val="21"/>
          <w:spacing w:val="8"/>
        </w:rPr>
        <w:t>学</w:t>
      </w:r>
      <w:r>
        <w:rPr>
          <w:rFonts w:ascii="宋体" w:hAnsi="宋体" w:cs="宋体" w:eastAsia="宋体" w:hint="ascii"/>
          <w:sz w:val="21"/>
          <w:spacing w:val="7"/>
        </w:rPr>
        <w:t>部</w:t>
      </w:r>
      <w:r>
        <w:rPr>
          <w:rFonts w:ascii="宋体" w:hAnsi="宋体" w:cs="宋体" w:eastAsia="宋体" w:hint="ascii"/>
          <w:sz w:val="21"/>
          <w:spacing w:val="8"/>
        </w:rPr>
        <w:t>网</w:t>
      </w:r>
      <w:r>
        <w:rPr>
          <w:rFonts w:ascii="宋体" w:hAnsi="宋体" w:cs="宋体" w:eastAsia="宋体" w:hint="ascii"/>
          <w:sz w:val="21"/>
          <w:spacing w:val="7"/>
        </w:rPr>
        <w:t>页</w:t>
      </w:r>
      <w:r>
        <w:rPr>
          <w:rFonts w:ascii="宋体" w:hAnsi="宋体" w:cs="宋体" w:eastAsia="宋体" w:hint="ascii"/>
          <w:sz w:val="21"/>
          <w:spacing w:val="8"/>
        </w:rPr>
        <w:t>（</w:t>
      </w:r>
      <w:r>
        <w:rPr>
          <w:rFonts w:ascii="Times New Roman" w:hAnsi="Times New Roman" w:cs="Times New Roman" w:eastAsia="Times New Roman" w:hint="ascii"/>
          <w:b w:val="1"/>
          <w:sz w:val="21"/>
        </w:rPr>
        <w:t>http://</w:t>
      </w:r>
    </w:p>
    <w:p>
      <w:pPr>
        <w:autoSpaceDE w:val="0"/>
        <w:autoSpaceDN w:val="0"/>
        <w:jc w:val="both"/>
        <w:spacing w:before="1" w:after="0" w:lineRule="exact" w:line="320"/>
        <w:ind w:right="979" w:left="966" w:firstLine="0"/>
        <w:snapToGrid w:val="0"/>
        <w:textAlignment w:val="auto"/>
        <w:tabs/>
        <w:rPr>
          <w:rFonts w:ascii="宋体" w:hAnsi="宋体" w:cs="宋体" w:eastAsia="宋体" w:hint="ascii"/>
          <w:b w:val="1"/>
          <w:sz w:val="21"/>
        </w:rPr>
      </w:pPr>
      <w:r>
        <w:rPr>
          <w:rFonts w:ascii="Times New Roman" w:hAnsi="Times New Roman" w:cs="Times New Roman" w:eastAsia="Times New Roman" w:hint="ascii"/>
          <w:b w:val="1"/>
          <w:sz w:val="21"/>
          <w:spacing w:val="-1"/>
        </w:rPr>
        <w:t>health.nsfc.go</w:t>
      </w:r>
      <w:r>
        <w:rPr>
          <w:rFonts w:ascii="Times New Roman" w:hAnsi="Times New Roman" w:cs="Times New Roman" w:eastAsia="Times New Roman" w:hint="ascii"/>
          <w:b w:val="1"/>
          <w:sz w:val="21"/>
          <w:spacing w:val="-12"/>
        </w:rPr>
        <w:t>v</w:t>
      </w:r>
      <w:r>
        <w:rPr>
          <w:rFonts w:ascii="Times New Roman" w:hAnsi="Times New Roman" w:cs="Times New Roman" w:eastAsia="Times New Roman" w:hint="ascii"/>
          <w:b w:val="1"/>
          <w:sz w:val="21"/>
          <w:spacing w:val="-1"/>
        </w:rPr>
        <w:t>.cn</w:t>
      </w:r>
      <w:r>
        <w:rPr>
          <w:rFonts w:ascii="宋体" w:hAnsi="宋体" w:cs="宋体" w:eastAsia="宋体" w:hint="ascii"/>
          <w:sz w:val="21"/>
          <w:spacing w:val="-1"/>
        </w:rPr>
        <w:t>）已开辟了“</w:t>
      </w:r>
      <w:r>
        <w:rPr>
          <w:rFonts w:ascii="宋体" w:hAnsi="宋体" w:cs="宋体" w:eastAsia="宋体" w:hint="ascii"/>
          <w:sz w:val="21"/>
        </w:rPr>
        <w:t>动物模型”的专栏，项目负责人在项目的实施过程中与 结题后应及时提交成果进展，促进所建模型的验证、推广和使用</w:t>
      </w:r>
      <w:r>
        <w:rPr>
          <w:rFonts w:ascii="宋体" w:hAnsi="宋体" w:cs="宋体" w:eastAsia="宋体" w:hint="ascii"/>
          <w:b w:val="1"/>
          <w:sz w:val="21"/>
        </w:rPr>
        <w:t>。</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）罕见病（例）发病机制和防治研究</w:t>
      </w:r>
    </w:p>
    <w:p>
      <w:pPr>
        <w:autoSpaceDE w:val="0"/>
        <w:autoSpaceDN w:val="0"/>
        <w:jc w:val="left"/>
        <w:spacing w:before="57" w:after="0" w:lineRule="exact" w:line="263"/>
        <w:ind w:right="0" w:left="1385" w:firstLine="0"/>
        <w:snapToGrid w:val="0"/>
        <w:textAlignment w:val="auto"/>
        <w:tabs/>
        <w:rPr>
          <w:rFonts w:ascii="宋体" w:hAnsi="宋体" w:cs="宋体" w:eastAsia="宋体" w:hint="ascii"/>
          <w:b w:val="1"/>
          <w:sz w:val="21"/>
        </w:rPr>
      </w:pPr>
      <w:r>
        <w:rPr>
          <w:rFonts w:ascii="宋体" w:hAnsi="宋体" w:cs="宋体" w:eastAsia="宋体" w:hint="ascii"/>
          <w:sz w:val="21"/>
        </w:rPr>
        <w:t>医学科学部继续鼓励研究人员关注人体各系统罕见病的发病机制和防治基础研究</w:t>
      </w:r>
      <w:r>
        <w:rPr>
          <w:rFonts w:ascii="宋体" w:hAnsi="宋体" w:cs="宋体" w:eastAsia="宋体" w:hint="ascii"/>
          <w:b w:val="1"/>
          <w:sz w:val="21"/>
        </w:rPr>
        <w:t>。</w:t>
      </w:r>
    </w:p>
    <w:p>
      <w:pPr>
        <w:autoSpaceDE w:val="0"/>
        <w:autoSpaceDN w:val="0"/>
        <w:jc w:val="both"/>
        <w:spacing w:before="12"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根据</w:t>
      </w:r>
      <w:r>
        <w:rPr>
          <w:rFonts w:ascii="宋体" w:hAnsi="宋体" w:cs="宋体" w:eastAsia="宋体" w:hint="ascii"/>
          <w:sz w:val="21"/>
          <w:spacing w:val="-1"/>
        </w:rPr>
        <w:t>世</w:t>
      </w:r>
      <w:r>
        <w:rPr>
          <w:rFonts w:ascii="宋体" w:hAnsi="宋体" w:cs="宋体" w:eastAsia="宋体" w:hint="ascii"/>
          <w:sz w:val="21"/>
        </w:rPr>
        <w:t>界</w:t>
      </w:r>
      <w:r>
        <w:rPr>
          <w:rFonts w:ascii="宋体" w:hAnsi="宋体" w:cs="宋体" w:eastAsia="宋体" w:hint="ascii"/>
          <w:sz w:val="21"/>
          <w:spacing w:val="-1"/>
        </w:rPr>
        <w:t>卫</w:t>
      </w:r>
      <w:r>
        <w:rPr>
          <w:rFonts w:ascii="宋体" w:hAnsi="宋体" w:cs="宋体" w:eastAsia="宋体" w:hint="ascii"/>
          <w:sz w:val="21"/>
        </w:rPr>
        <w:t>生组</w:t>
      </w:r>
      <w:r>
        <w:rPr>
          <w:rFonts w:ascii="宋体" w:hAnsi="宋体" w:cs="宋体" w:eastAsia="宋体" w:hint="ascii"/>
          <w:sz w:val="21"/>
          <w:spacing w:val="-1"/>
        </w:rPr>
        <w:t>织</w:t>
      </w:r>
      <w:r>
        <w:rPr>
          <w:rFonts w:ascii="宋体" w:hAnsi="宋体" w:cs="宋体" w:eastAsia="宋体" w:hint="ascii"/>
          <w:sz w:val="21"/>
        </w:rPr>
        <w:t>（</w:t>
      </w:r>
      <w:r>
        <w:rPr>
          <w:rFonts w:ascii="Times New Roman" w:hAnsi="Times New Roman" w:cs="Times New Roman" w:eastAsia="Times New Roman" w:hint="ascii"/>
          <w:sz w:val="21"/>
        </w:rPr>
        <w:t>W</w:t>
      </w:r>
      <w:r>
        <w:rPr>
          <w:rFonts w:ascii="Times New Roman" w:hAnsi="Times New Roman" w:cs="Times New Roman" w:eastAsia="Times New Roman" w:hint="ascii"/>
          <w:sz w:val="21"/>
          <w:spacing w:val="-2"/>
        </w:rPr>
        <w:t>H</w:t>
      </w:r>
      <w:r>
        <w:rPr>
          <w:rFonts w:ascii="Times New Roman" w:hAnsi="Times New Roman" w:cs="Times New Roman" w:eastAsia="Times New Roman" w:hint="ascii"/>
          <w:sz w:val="21"/>
          <w:spacing w:val="1"/>
        </w:rPr>
        <w:t>O</w:t>
      </w:r>
      <w:r>
        <w:rPr>
          <w:rFonts w:ascii="宋体" w:hAnsi="宋体" w:cs="宋体" w:eastAsia="宋体" w:hint="ascii"/>
          <w:sz w:val="21"/>
        </w:rPr>
        <w:t>）的</w:t>
      </w:r>
      <w:r>
        <w:rPr>
          <w:rFonts w:ascii="宋体" w:hAnsi="宋体" w:cs="宋体" w:eastAsia="宋体" w:hint="ascii"/>
          <w:sz w:val="21"/>
          <w:spacing w:val="-1"/>
        </w:rPr>
        <w:t>定</w:t>
      </w:r>
      <w:r>
        <w:rPr>
          <w:rFonts w:ascii="宋体" w:hAnsi="宋体" w:cs="宋体" w:eastAsia="宋体" w:hint="ascii"/>
          <w:sz w:val="21"/>
        </w:rPr>
        <w:t>义</w:t>
      </w:r>
      <w:r>
        <w:rPr>
          <w:rFonts w:ascii="宋体" w:hAnsi="宋体" w:cs="宋体" w:eastAsia="宋体" w:hint="ascii"/>
          <w:sz w:val="21"/>
          <w:spacing w:val="-1"/>
        </w:rPr>
        <w:t>，</w:t>
      </w:r>
      <w:r>
        <w:rPr>
          <w:rFonts w:ascii="宋体" w:hAnsi="宋体" w:cs="宋体" w:eastAsia="宋体" w:hint="ascii"/>
          <w:sz w:val="21"/>
        </w:rPr>
        <w:t>罕见</w:t>
      </w:r>
      <w:r>
        <w:rPr>
          <w:rFonts w:ascii="宋体" w:hAnsi="宋体" w:cs="宋体" w:eastAsia="宋体" w:hint="ascii"/>
          <w:sz w:val="21"/>
          <w:spacing w:val="-1"/>
        </w:rPr>
        <w:t>病</w:t>
      </w:r>
      <w:r>
        <w:rPr>
          <w:rFonts w:ascii="宋体" w:hAnsi="宋体" w:cs="宋体" w:eastAsia="宋体" w:hint="ascii"/>
          <w:sz w:val="21"/>
        </w:rPr>
        <w:t>为</w:t>
      </w:r>
      <w:r>
        <w:rPr>
          <w:rFonts w:ascii="宋体" w:hAnsi="宋体" w:cs="宋体" w:eastAsia="宋体" w:hint="ascii"/>
          <w:sz w:val="21"/>
          <w:spacing w:val="-1"/>
        </w:rPr>
        <w:t>患</w:t>
      </w:r>
      <w:r>
        <w:rPr>
          <w:rFonts w:ascii="宋体" w:hAnsi="宋体" w:cs="宋体" w:eastAsia="宋体" w:hint="ascii"/>
          <w:sz w:val="21"/>
        </w:rPr>
        <w:t>病人</w:t>
      </w:r>
      <w:r>
        <w:rPr>
          <w:rFonts w:ascii="宋体" w:hAnsi="宋体" w:cs="宋体" w:eastAsia="宋体" w:hint="ascii"/>
          <w:sz w:val="21"/>
          <w:spacing w:val="-1"/>
        </w:rPr>
        <w:t>数</w:t>
      </w:r>
      <w:r>
        <w:rPr>
          <w:rFonts w:ascii="宋体" w:hAnsi="宋体" w:cs="宋体" w:eastAsia="宋体" w:hint="ascii"/>
          <w:sz w:val="21"/>
        </w:rPr>
        <w:t>占</w:t>
      </w:r>
      <w:r>
        <w:rPr>
          <w:rFonts w:ascii="宋体" w:hAnsi="宋体" w:cs="宋体" w:eastAsia="宋体" w:hint="ascii"/>
          <w:sz w:val="21"/>
          <w:spacing w:val="-1"/>
        </w:rPr>
        <w:t>总</w:t>
      </w:r>
      <w:r>
        <w:rPr>
          <w:rFonts w:ascii="宋体" w:hAnsi="宋体" w:cs="宋体" w:eastAsia="宋体" w:hint="ascii"/>
          <w:sz w:val="21"/>
        </w:rPr>
        <w:t>人</w:t>
      </w:r>
      <w:r>
        <w:rPr>
          <w:rFonts w:ascii="宋体" w:hAnsi="宋体" w:cs="宋体" w:eastAsia="宋体" w:hint="ascii"/>
          <w:sz w:val="21"/>
          <w:spacing w:val="25"/>
        </w:rPr>
        <w:t>口</w:t>
      </w:r>
      <w:r>
        <w:rPr>
          <w:rFonts w:ascii="Times New Roman" w:hAnsi="Times New Roman" w:cs="Times New Roman" w:eastAsia="Times New Roman" w:hint="ascii"/>
          <w:sz w:val="21"/>
        </w:rPr>
        <w:t>0.65</w:t>
      </w:r>
      <w:r>
        <w:rPr>
          <w:rFonts w:ascii="Times New Roman" w:hAnsi="Times New Roman" w:cs="Times New Roman" w:eastAsia="Times New Roman" w:hint="ascii"/>
          <w:sz w:val="21"/>
          <w:spacing w:val="-2"/>
        </w:rPr>
        <w:t>‰</w:t>
      </w:r>
      <w:r>
        <w:rPr>
          <w:rFonts w:ascii="宋体" w:hAnsi="宋体" w:cs="宋体" w:eastAsia="宋体" w:hint="ascii"/>
          <w:sz w:val="21"/>
        </w:rPr>
        <w:t>～</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
        </w:rPr>
        <w:t>‰</w:t>
      </w:r>
      <w:r>
        <w:rPr>
          <w:rFonts w:ascii="宋体" w:hAnsi="宋体" w:cs="宋体" w:eastAsia="宋体" w:hint="ascii"/>
          <w:sz w:val="21"/>
        </w:rPr>
        <w:t>的疾</w:t>
      </w:r>
      <w:r>
        <w:rPr>
          <w:rFonts w:ascii="宋体" w:hAnsi="宋体" w:cs="宋体" w:eastAsia="宋体" w:hint="ascii"/>
          <w:sz w:val="21"/>
          <w:spacing w:val="-2"/>
        </w:rPr>
        <w:t>病</w:t>
      </w:r>
      <w:r>
        <w:rPr>
          <w:rFonts w:ascii="宋体" w:hAnsi="宋体" w:cs="宋体" w:eastAsia="宋体" w:hint="ascii"/>
          <w:sz w:val="21"/>
        </w:rPr>
        <w:t>。希望发挥我国疾病谱资源丰富的优势，在罕见病资源保护、病理机制、疾病预防、诊断</w:t>
      </w:r>
    </w:p>
    <w:p>
      <w:pPr>
        <w:autoSpaceDE w:val="0"/>
        <w:autoSpaceDN w:val="0"/>
        <w:jc w:val="left"/>
        <w:spacing w:before="29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59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8" w:after="0" w:lineRule="exact" w:line="319"/>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w:t>
      </w:r>
      <w:r>
        <w:rPr>
          <w:rFonts w:ascii="宋体" w:hAnsi="宋体" w:cs="宋体" w:eastAsia="宋体" w:hint="ascii"/>
          <w:sz w:val="21"/>
        </w:rPr>
        <w:t>药物研发等领域开展深入的研究工作，获得具有自主知识产权的成果，扩大国际影响</w:t>
      </w:r>
      <w:r>
        <w:rPr>
          <w:rFonts w:ascii="宋体" w:hAnsi="宋体" w:cs="宋体" w:eastAsia="宋体" w:hint="ascii"/>
          <w:sz w:val="21"/>
          <w:spacing w:val="-1"/>
        </w:rPr>
        <w:t>力</w:t>
      </w:r>
      <w:r>
        <w:rPr>
          <w:rFonts w:ascii="宋体" w:hAnsi="宋体" w:cs="宋体" w:eastAsia="宋体" w:hint="ascii"/>
          <w:sz w:val="21"/>
        </w:rPr>
        <w:t>。同时，关注重大疾病中的罕见病例研究，旨在以罕见病例为突破口推动对重大疾病</w:t>
      </w:r>
      <w:r>
        <w:rPr>
          <w:rFonts w:ascii="宋体" w:hAnsi="宋体" w:cs="宋体" w:eastAsia="宋体" w:hint="ascii"/>
          <w:sz w:val="21"/>
          <w:spacing w:val="-1"/>
        </w:rPr>
        <w:t>发</w:t>
      </w:r>
      <w:r>
        <w:rPr>
          <w:rFonts w:ascii="宋体" w:hAnsi="宋体" w:cs="宋体" w:eastAsia="宋体" w:hint="ascii"/>
          <w:sz w:val="21"/>
        </w:rPr>
        <w:t>病机制的认识，为重大疾病的诊疗新策略提供理论基础。请申请人根据研究内容选择</w:t>
      </w:r>
      <w:r>
        <w:rPr>
          <w:rFonts w:ascii="Times New Roman" w:hAnsi="Times New Roman" w:cs="Times New Roman" w:eastAsia="Times New Roman" w:hint="ascii"/>
          <w:sz w:val="21"/>
        </w:rPr>
        <w:t>H0</w:t>
      </w:r>
      <w:r>
        <w:rPr>
          <w:rFonts w:ascii="Times New Roman" w:hAnsi="Times New Roman" w:cs="Times New Roman" w:eastAsia="Times New Roman" w:hint="ascii"/>
          <w:sz w:val="21"/>
          <w:spacing w:val="15"/>
        </w:rPr>
        <w:t>1</w:t>
      </w:r>
      <w:r>
        <w:rPr>
          <w:rFonts w:ascii="宋体" w:hAnsi="宋体" w:cs="宋体" w:eastAsia="宋体" w:hint="ascii"/>
          <w:sz w:val="21"/>
          <w:spacing w:val="7"/>
        </w:rPr>
        <w:t>～</w:t>
      </w:r>
      <w:r>
        <w:rPr>
          <w:rFonts w:ascii="Times New Roman" w:hAnsi="Times New Roman" w:cs="Times New Roman" w:eastAsia="Times New Roman" w:hint="ascii"/>
          <w:sz w:val="21"/>
        </w:rPr>
        <w:t>H31</w:t>
      </w:r>
      <w:r>
        <w:rPr>
          <w:rFonts w:ascii="Times New Roman" w:hAnsi="Times New Roman" w:cs="Times New Roman" w:eastAsia="Times New Roman" w:hint="ascii"/>
          <w:sz w:val="21"/>
          <w:spacing w:val="-19"/>
        </w:rPr>
        <w:t xml:space="preserve"> </w:t>
      </w:r>
      <w:r>
        <w:rPr>
          <w:rFonts w:ascii="宋体" w:hAnsi="宋体" w:cs="宋体" w:eastAsia="宋体" w:hint="ascii"/>
          <w:sz w:val="21"/>
          <w:spacing w:val="7"/>
        </w:rPr>
        <w:t>各</w:t>
      </w:r>
      <w:r>
        <w:rPr>
          <w:rFonts w:ascii="宋体" w:hAnsi="宋体" w:cs="宋体" w:eastAsia="宋体" w:hint="ascii"/>
          <w:sz w:val="21"/>
          <w:spacing w:val="8"/>
        </w:rPr>
        <w:t>一</w:t>
      </w:r>
      <w:r>
        <w:rPr>
          <w:rFonts w:ascii="宋体" w:hAnsi="宋体" w:cs="宋体" w:eastAsia="宋体" w:hint="ascii"/>
          <w:sz w:val="21"/>
          <w:spacing w:val="7"/>
        </w:rPr>
        <w:t>级申请代</w:t>
      </w:r>
      <w:r>
        <w:rPr>
          <w:rFonts w:ascii="宋体" w:hAnsi="宋体" w:cs="宋体" w:eastAsia="宋体" w:hint="ascii"/>
          <w:sz w:val="21"/>
          <w:spacing w:val="8"/>
        </w:rPr>
        <w:t>码</w:t>
      </w:r>
      <w:r>
        <w:rPr>
          <w:rFonts w:ascii="宋体" w:hAnsi="宋体" w:cs="宋体" w:eastAsia="宋体" w:hint="ascii"/>
          <w:sz w:val="21"/>
          <w:spacing w:val="7"/>
        </w:rPr>
        <w:t>下的二级</w:t>
      </w:r>
      <w:r>
        <w:rPr>
          <w:rFonts w:ascii="宋体" w:hAnsi="宋体" w:cs="宋体" w:eastAsia="宋体" w:hint="ascii"/>
          <w:sz w:val="21"/>
          <w:spacing w:val="8"/>
        </w:rPr>
        <w:t>代</w:t>
      </w:r>
      <w:r>
        <w:rPr>
          <w:rFonts w:ascii="宋体" w:hAnsi="宋体" w:cs="宋体" w:eastAsia="宋体" w:hint="ascii"/>
          <w:sz w:val="21"/>
          <w:spacing w:val="7"/>
        </w:rPr>
        <w:t>码并</w:t>
      </w:r>
      <w:r>
        <w:rPr>
          <w:rFonts w:ascii="宋体" w:hAnsi="宋体" w:cs="宋体" w:eastAsia="宋体" w:hint="ascii"/>
          <w:sz w:val="21"/>
          <w:spacing w:val="7"/>
        </w:rPr>
        <w:t>在申</w:t>
      </w:r>
      <w:r>
        <w:rPr>
          <w:rFonts w:ascii="宋体" w:hAnsi="宋体" w:cs="宋体" w:eastAsia="宋体" w:hint="ascii"/>
          <w:sz w:val="21"/>
          <w:spacing w:val="8"/>
        </w:rPr>
        <w:t>请</w:t>
      </w:r>
      <w:r>
        <w:rPr>
          <w:rFonts w:ascii="宋体" w:hAnsi="宋体" w:cs="宋体" w:eastAsia="宋体" w:hint="ascii"/>
          <w:sz w:val="21"/>
          <w:spacing w:val="7"/>
        </w:rPr>
        <w:t>书附注说</w:t>
      </w:r>
      <w:r>
        <w:rPr>
          <w:rFonts w:ascii="宋体" w:hAnsi="宋体" w:cs="宋体" w:eastAsia="宋体" w:hint="ascii"/>
          <w:sz w:val="21"/>
          <w:spacing w:val="8"/>
        </w:rPr>
        <w:t>明</w:t>
      </w:r>
      <w:r>
        <w:rPr>
          <w:rFonts w:ascii="宋体" w:hAnsi="宋体" w:cs="宋体" w:eastAsia="宋体" w:hint="ascii"/>
          <w:sz w:val="21"/>
          <w:spacing w:val="7"/>
        </w:rPr>
        <w:t>栏中注明</w:t>
      </w:r>
      <w:r>
        <w:rPr>
          <w:rFonts w:ascii="宋体" w:hAnsi="宋体" w:cs="宋体" w:eastAsia="宋体" w:hint="ascii"/>
          <w:sz w:val="21"/>
          <w:spacing w:val="8"/>
        </w:rPr>
        <w:t>为</w:t>
      </w:r>
      <w:r>
        <w:rPr>
          <w:rFonts w:ascii="宋体" w:hAnsi="宋体" w:cs="宋体" w:eastAsia="宋体" w:hint="ascii"/>
          <w:sz w:val="21"/>
          <w:spacing w:val="7"/>
        </w:rPr>
        <w:t>“罕</w:t>
      </w:r>
      <w:r>
        <w:rPr>
          <w:rFonts w:ascii="宋体" w:hAnsi="宋体" w:cs="宋体" w:eastAsia="宋体" w:hint="ascii"/>
          <w:sz w:val="21"/>
          <w:spacing w:val="8"/>
        </w:rPr>
        <w:t>见</w:t>
      </w:r>
      <w:r>
        <w:rPr>
          <w:rFonts w:ascii="宋体" w:hAnsi="宋体" w:cs="宋体" w:eastAsia="宋体" w:hint="ascii"/>
          <w:sz w:val="21"/>
        </w:rPr>
        <w:t>病</w:t>
      </w:r>
      <w:r>
        <w:rPr>
          <w:rFonts w:ascii="宋体" w:hAnsi="宋体" w:cs="宋体" w:eastAsia="宋体" w:hint="ascii"/>
          <w:sz w:val="21"/>
        </w:rPr>
        <mc:AlternateContent>
          <mc:Choice Requires="wps">
            <w:drawing>
              <wp:anchor distL="0" distR="0" distT="0" distB="0" simplePos="0" behindDoc="1" relativeHeight="125" locked="0" layoutInCell="1" allowOverlap="1">
                <wp:simplePos x="0" y="0"/>
                <wp:positionH relativeFrom="page">
                  <wp:posOffset>938530</wp:posOffset>
                </wp:positionH>
                <wp:positionV relativeFrom="page">
                  <wp:posOffset>805815</wp:posOffset>
                </wp:positionV>
                <wp:extent cx="5076190" cy="0"/>
                <wp:wrapNone/>
                <wp:docPr id="1154" name="115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30240;width:399.70pt;" id="115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8" w:after="0" w:lineRule="exact" w:line="263"/>
        <w:ind w:right="0" w:left="861" w:firstLine="0"/>
        <w:snapToGrid w:val="0"/>
        <w:textAlignment w:val="auto"/>
        <w:tabs/>
        <w:rPr>
          <w:rFonts w:ascii="宋体" w:hAnsi="宋体" w:cs="宋体" w:eastAsia="宋体" w:hint="ascii"/>
          <w:b w:val="1"/>
          <w:sz w:val="21"/>
        </w:rPr>
      </w:pPr>
      <w:r>
        <w:rPr>
          <w:rFonts w:ascii="宋体" w:hAnsi="宋体" w:cs="宋体" w:eastAsia="宋体" w:hint="ascii"/>
          <w:sz w:val="21"/>
        </w:rPr>
        <w:t>（例）发病机制和防治研究</w:t>
      </w:r>
      <w:r>
        <w:rPr>
          <w:rFonts w:ascii="宋体" w:hAnsi="宋体" w:cs="宋体" w:eastAsia="宋体" w:hint="ascii"/>
          <w:sz w:val="21"/>
          <w:spacing w:val="-52"/>
        </w:rPr>
        <w:t>”</w:t>
      </w:r>
      <w:r>
        <w:rPr>
          <w:rFonts w:ascii="宋体" w:hAnsi="宋体" w:cs="宋体" w:eastAsia="宋体" w:hint="ascii"/>
          <w:b w:val="1"/>
          <w:sz w:val="21"/>
        </w:rPr>
        <w:t>。</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）淋巴管系统的发育与功能研究</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医学科学部为鼓励研究人员关注淋巴管系统的发育与功能研究，在面上项目中设立</w:t>
      </w:r>
    </w:p>
    <w:p>
      <w:pPr>
        <w:autoSpaceDE w:val="0"/>
        <w:autoSpaceDN w:val="0"/>
        <w:jc w:val="both"/>
        <w:spacing w:before="10" w:after="0" w:lineRule="exact" w:line="320"/>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优</w:t>
      </w:r>
      <w:r>
        <w:rPr>
          <w:rFonts w:ascii="宋体" w:hAnsi="宋体" w:cs="宋体" w:eastAsia="宋体" w:hint="ascii"/>
          <w:sz w:val="21"/>
        </w:rPr>
        <w:t>先资助方向。鼓励在淋巴管系统生成过程的调控机制、成熟稳态维持机制、体液循环</w:t>
      </w:r>
      <w:r>
        <w:rPr>
          <w:rFonts w:ascii="宋体" w:hAnsi="宋体" w:cs="宋体" w:eastAsia="宋体" w:hint="ascii"/>
          <w:sz w:val="21"/>
          <w:spacing w:val="-1"/>
        </w:rPr>
        <w:t>中</w:t>
      </w:r>
      <w:r>
        <w:rPr>
          <w:rFonts w:ascii="宋体" w:hAnsi="宋体" w:cs="宋体" w:eastAsia="宋体" w:hint="ascii"/>
          <w:sz w:val="21"/>
        </w:rPr>
        <w:t>淋巴液与血液的关系、淋巴管系统对脂质代谢的功能作用、淋巴管系统发挥的免疫防</w:t>
      </w:r>
      <w:r>
        <w:rPr>
          <w:rFonts w:ascii="宋体" w:hAnsi="宋体" w:cs="宋体" w:eastAsia="宋体" w:hint="ascii"/>
          <w:sz w:val="21"/>
          <w:spacing w:val="-1"/>
        </w:rPr>
        <w:t>御</w:t>
      </w:r>
      <w:r>
        <w:rPr>
          <w:rFonts w:ascii="宋体" w:hAnsi="宋体" w:cs="宋体" w:eastAsia="宋体" w:hint="ascii"/>
          <w:sz w:val="21"/>
        </w:rPr>
        <w:t>作用以及淋巴管系统相关的重大疾病机理等方面开展深入的研究工作。请申请人根据研究内容选</w:t>
      </w:r>
      <w:r>
        <w:rPr>
          <w:rFonts w:ascii="宋体" w:hAnsi="宋体" w:cs="宋体" w:eastAsia="宋体" w:hint="ascii"/>
          <w:sz w:val="21"/>
          <w:spacing w:val="27"/>
        </w:rPr>
        <w:t>择</w:t>
      </w:r>
      <w:r>
        <w:rPr>
          <w:rFonts w:ascii="Times New Roman" w:hAnsi="Times New Roman" w:cs="Times New Roman" w:eastAsia="Times New Roman" w:hint="ascii"/>
          <w:sz w:val="21"/>
        </w:rPr>
        <w:t>H01</w:t>
      </w:r>
      <w:r>
        <w:rPr>
          <w:rFonts w:ascii="宋体" w:hAnsi="宋体" w:cs="宋体" w:eastAsia="宋体" w:hint="ascii"/>
          <w:sz w:val="21"/>
        </w:rPr>
        <w:t>～</w:t>
      </w:r>
      <w:r>
        <w:rPr>
          <w:rFonts w:ascii="Times New Roman" w:hAnsi="Times New Roman" w:cs="Times New Roman" w:eastAsia="Times New Roman" w:hint="ascii"/>
          <w:sz w:val="21"/>
        </w:rPr>
        <w:t>H3</w:t>
      </w:r>
      <w:r>
        <w:rPr>
          <w:rFonts w:ascii="Times New Roman" w:hAnsi="Times New Roman" w:cs="Times New Roman" w:eastAsia="Times New Roman" w:hint="ascii"/>
          <w:sz w:val="21"/>
          <w:spacing w:val="52"/>
        </w:rPr>
        <w:t>1</w:t>
      </w:r>
      <w:r>
        <w:rPr>
          <w:rFonts w:ascii="宋体" w:hAnsi="宋体" w:cs="宋体" w:eastAsia="宋体" w:hint="ascii"/>
          <w:sz w:val="21"/>
        </w:rPr>
        <w:t>各一级申请代码下的二级代码并</w:t>
      </w:r>
      <w:r>
        <w:rPr>
          <w:rFonts w:ascii="宋体" w:hAnsi="宋体" w:cs="宋体" w:eastAsia="宋体" w:hint="ascii"/>
          <w:sz w:val="21"/>
        </w:rPr>
        <w:t>在申请书附注说明栏中注明为</w:t>
      </w:r>
    </w:p>
    <w:p>
      <w:pPr>
        <w:autoSpaceDE w:val="0"/>
        <w:autoSpaceDN w:val="0"/>
        <w:jc w:val="left"/>
        <w:spacing w:before="45" w:after="0" w:lineRule="exact" w:line="263"/>
        <w:ind w:right="0" w:left="861" w:firstLine="0"/>
        <w:snapToGrid w:val="0"/>
        <w:textAlignment w:val="auto"/>
        <w:tabs/>
        <w:rPr>
          <w:rFonts w:ascii="宋体" w:hAnsi="宋体" w:cs="宋体" w:eastAsia="宋体" w:hint="ascii"/>
          <w:b w:val="1"/>
          <w:sz w:val="21"/>
        </w:rPr>
      </w:pPr>
      <w:r>
        <w:rPr>
          <w:rFonts w:ascii="宋体" w:hAnsi="宋体" w:cs="宋体" w:eastAsia="宋体" w:hint="ascii"/>
          <w:sz w:val="21"/>
        </w:rPr>
        <w:t>“淋巴管系统的发育与功能研究</w:t>
      </w:r>
      <w:r>
        <w:rPr>
          <w:rFonts w:ascii="宋体" w:hAnsi="宋体" w:cs="宋体" w:eastAsia="宋体" w:hint="ascii"/>
          <w:sz w:val="21"/>
          <w:spacing w:val="-52"/>
        </w:rPr>
        <w:t>”</w:t>
      </w:r>
      <w:r>
        <w:rPr>
          <w:rFonts w:ascii="宋体" w:hAnsi="宋体" w:cs="宋体" w:eastAsia="宋体" w:hint="ascii"/>
          <w:b w:val="1"/>
          <w:sz w:val="21"/>
        </w:rPr>
        <w:t>。</w:t>
      </w:r>
    </w:p>
    <w:p>
      <w:pPr>
        <w:autoSpaceDE w:val="0"/>
        <w:autoSpaceDN w:val="0"/>
        <w:jc w:val="both"/>
        <w:spacing w:before="13" w:after="0" w:lineRule="exact" w:line="319"/>
        <w:ind w:right="970"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以上</w:t>
      </w:r>
      <w:r>
        <w:rPr>
          <w:rFonts w:ascii="宋体" w:hAnsi="宋体" w:cs="宋体" w:eastAsia="宋体" w:hint="ascii"/>
          <w:sz w:val="21"/>
          <w:spacing w:val="2"/>
        </w:rPr>
        <w:t>三</w:t>
      </w:r>
      <w:r>
        <w:rPr>
          <w:rFonts w:ascii="宋体" w:hAnsi="宋体" w:cs="宋体" w:eastAsia="宋体" w:hint="ascii"/>
          <w:sz w:val="21"/>
          <w:spacing w:val="1"/>
        </w:rPr>
        <w:t>种专项</w:t>
      </w:r>
      <w:r>
        <w:rPr>
          <w:rFonts w:ascii="宋体" w:hAnsi="宋体" w:cs="宋体" w:eastAsia="宋体" w:hint="ascii"/>
          <w:sz w:val="21"/>
        </w:rPr>
        <w:t>类</w:t>
      </w:r>
      <w:r>
        <w:rPr>
          <w:rFonts w:ascii="宋体" w:hAnsi="宋体" w:cs="宋体" w:eastAsia="宋体" w:hint="ascii"/>
          <w:sz w:val="21"/>
          <w:spacing w:val="1"/>
        </w:rPr>
        <w:t>面</w:t>
      </w:r>
      <w:r>
        <w:rPr>
          <w:rFonts w:ascii="宋体" w:hAnsi="宋体" w:cs="宋体" w:eastAsia="宋体" w:hint="ascii"/>
          <w:sz w:val="21"/>
        </w:rPr>
        <w:t>上项目申</w:t>
      </w:r>
      <w:r>
        <w:rPr>
          <w:rFonts w:ascii="宋体" w:hAnsi="宋体" w:cs="宋体" w:eastAsia="宋体" w:hint="ascii"/>
          <w:sz w:val="21"/>
          <w:spacing w:val="1"/>
        </w:rPr>
        <w:t>请</w:t>
      </w:r>
      <w:r>
        <w:rPr>
          <w:rFonts w:ascii="宋体" w:hAnsi="宋体" w:cs="宋体" w:eastAsia="宋体" w:hint="ascii"/>
          <w:sz w:val="21"/>
        </w:rPr>
        <w:t>未按上述</w:t>
      </w:r>
      <w:r>
        <w:rPr>
          <w:rFonts w:ascii="宋体" w:hAnsi="宋体" w:cs="宋体" w:eastAsia="宋体" w:hint="ascii"/>
          <w:sz w:val="21"/>
          <w:spacing w:val="1"/>
        </w:rPr>
        <w:t>要</w:t>
      </w:r>
      <w:r>
        <w:rPr>
          <w:rFonts w:ascii="宋体" w:hAnsi="宋体" w:cs="宋体" w:eastAsia="宋体" w:hint="ascii"/>
          <w:sz w:val="21"/>
        </w:rPr>
        <w:t>求注明附</w:t>
      </w:r>
      <w:r>
        <w:rPr>
          <w:rFonts w:ascii="宋体" w:hAnsi="宋体" w:cs="宋体" w:eastAsia="宋体" w:hint="ascii"/>
          <w:sz w:val="21"/>
          <w:spacing w:val="1"/>
        </w:rPr>
        <w:t>注</w:t>
      </w:r>
      <w:r>
        <w:rPr>
          <w:rFonts w:ascii="宋体" w:hAnsi="宋体" w:cs="宋体" w:eastAsia="宋体" w:hint="ascii"/>
          <w:sz w:val="21"/>
        </w:rPr>
        <w:t>说明的，</w:t>
      </w:r>
      <w:r>
        <w:rPr>
          <w:rFonts w:ascii="宋体" w:hAnsi="宋体" w:cs="宋体" w:eastAsia="宋体" w:hint="ascii"/>
          <w:sz w:val="21"/>
          <w:spacing w:val="1"/>
        </w:rPr>
        <w:t>将</w:t>
      </w:r>
      <w:r>
        <w:rPr>
          <w:rFonts w:ascii="宋体" w:hAnsi="宋体" w:cs="宋体" w:eastAsia="宋体" w:hint="ascii"/>
          <w:sz w:val="21"/>
        </w:rPr>
        <w:t>不按此类</w:t>
      </w:r>
      <w:r>
        <w:rPr>
          <w:rFonts w:ascii="宋体" w:hAnsi="宋体" w:cs="宋体" w:eastAsia="宋体" w:hint="ascii"/>
          <w:sz w:val="21"/>
          <w:spacing w:val="1"/>
        </w:rPr>
        <w:t>申</w:t>
      </w:r>
      <w:r>
        <w:rPr>
          <w:rFonts w:ascii="宋体" w:hAnsi="宋体" w:cs="宋体" w:eastAsia="宋体" w:hint="ascii"/>
          <w:sz w:val="21"/>
        </w:rPr>
        <w:t>请</w:t>
      </w:r>
      <w:r>
        <w:rPr>
          <w:rFonts w:ascii="宋体" w:hAnsi="宋体" w:cs="宋体" w:eastAsia="宋体" w:hint="ascii"/>
          <w:sz w:val="21"/>
          <w:spacing w:val="-6"/>
        </w:rPr>
        <w:t>受</w:t>
      </w:r>
      <w:r>
        <w:rPr>
          <w:rFonts w:ascii="宋体" w:hAnsi="宋体" w:cs="宋体" w:eastAsia="宋体" w:hint="ascii"/>
          <w:sz w:val="21"/>
        </w:rPr>
        <w:t>理。上述专项类申请仅限于面上项目</w:t>
      </w:r>
      <w:r>
        <w:rPr>
          <w:rFonts w:ascii="宋体" w:hAnsi="宋体" w:cs="宋体" w:eastAsia="宋体" w:hint="ascii"/>
          <w:b w:val="1"/>
          <w:sz w:val="21"/>
        </w:rPr>
        <w:t>。</w:t>
      </w:r>
    </w:p>
    <w:p>
      <w:pPr>
        <w:autoSpaceDE w:val="0"/>
        <w:autoSpaceDN w:val="0"/>
        <w:jc w:val="left"/>
        <w:spacing w:before="47" w:after="0" w:lineRule="auto" w:line="240"/>
        <w:ind w:right="0" w:left="1649" w:hanging="263"/>
        <w:snapToGrid w:val="0"/>
        <w:textAlignment w:val="auto"/>
        <w:tabs>
          <w:tab w:val="left" w:leader="none" w:pos="1648"/>
        </w:tabs>
        <w:numPr>
          <w:ilvl w:val="0"/>
          <w:numId w:val="110"/>
        </w:numPr>
        <w:rPr>
          <w:rFonts w:ascii="Times New Roman" w:hAnsi="Times New Roman" w:cs="Times New Roman" w:eastAsia="Times New Roman" w:hint="ascii"/>
          <w:sz w:val="21"/>
        </w:rPr>
      </w:pPr>
      <w:r>
        <w:rPr>
          <w:rFonts w:ascii="宋体" w:hAnsi="宋体" w:cs="宋体" w:eastAsia="宋体" w:hint="ascii"/>
          <w:sz w:val="21"/>
        </w:rPr>
        <w:t>资助情况与预算</w:t>
      </w:r>
    </w:p>
    <w:p>
      <w:pPr>
        <w:autoSpaceDE w:val="0"/>
        <w:autoSpaceDN w:val="0"/>
        <w:jc w:val="left"/>
        <w:spacing w:before="65" w:after="0" w:lineRule="auto" w:line="240"/>
        <w:ind w:right="0" w:left="1847" w:hanging="473"/>
        <w:snapToGrid w:val="0"/>
        <w:textAlignment w:val="auto"/>
        <w:tabs>
          <w:tab w:val="left" w:leader="none" w:pos="1834"/>
        </w:tabs>
        <w:numPr>
          <w:ilvl w:val="0"/>
          <w:numId w:val="105"/>
        </w:numPr>
        <w:rPr>
          <w:rFonts w:ascii="Times New Roman" w:hAnsi="Times New Roman" w:cs="Times New Roman" w:eastAsia="Times New Roman" w:hint="ascii"/>
          <w:sz w:val="21"/>
          <w:spacing w:val="-3"/>
        </w:rPr>
      </w:pPr>
      <w:r>
        <w:rPr>
          <w:rFonts w:ascii="宋体" w:hAnsi="宋体" w:cs="宋体" w:eastAsia="宋体" w:hint="ascii"/>
          <w:sz w:val="21"/>
          <w:spacing w:val="-1"/>
        </w:rPr>
        <w:t>年度面上项目直接费用平均资助强度约</w:t>
      </w:r>
      <w:r>
        <w:rPr>
          <w:rFonts w:ascii="宋体" w:hAnsi="宋体" w:cs="宋体" w:eastAsia="宋体" w:hint="ascii"/>
          <w:sz w:val="21"/>
          <w:spacing w:val="24"/>
        </w:rPr>
        <w:t>为</w:t>
      </w:r>
      <w:r>
        <w:rPr>
          <w:rFonts w:ascii="Times New Roman" w:hAnsi="Times New Roman" w:cs="Times New Roman" w:eastAsia="Times New Roman" w:hint="ascii"/>
          <w:sz w:val="21"/>
          <w:spacing w:val="-2"/>
        </w:rPr>
        <w:t>6</w:t>
      </w:r>
      <w:r>
        <w:rPr>
          <w:rFonts w:ascii="Times New Roman" w:hAnsi="Times New Roman" w:cs="Times New Roman" w:eastAsia="Times New Roman" w:hint="ascii"/>
          <w:sz w:val="21"/>
          <w:spacing w:val="50"/>
        </w:rPr>
        <w:t>0</w:t>
      </w:r>
      <w:r>
        <w:rPr>
          <w:rFonts w:ascii="宋体" w:hAnsi="宋体" w:cs="宋体" w:eastAsia="宋体" w:hint="ascii"/>
          <w:sz w:val="21"/>
          <w:spacing w:val="-1"/>
        </w:rPr>
        <w:t>万元</w:t>
      </w:r>
      <w:r>
        <w:rPr>
          <w:rFonts w:ascii="Times New Roman" w:hAnsi="Times New Roman" w:cs="Times New Roman" w:eastAsia="Times New Roman" w:hint="ascii"/>
          <w:sz w:val="21"/>
        </w:rPr>
        <w:t>/</w:t>
      </w:r>
      <w:r>
        <w:rPr>
          <w:rFonts w:ascii="宋体" w:hAnsi="宋体" w:cs="宋体" w:eastAsia="宋体" w:hint="ascii"/>
          <w:sz w:val="21"/>
          <w:spacing w:val="-1"/>
        </w:rPr>
        <w:t>项，</w:t>
      </w:r>
      <w:r>
        <w:rPr>
          <w:rFonts w:ascii="宋体" w:hAnsi="宋体" w:cs="宋体" w:eastAsia="宋体" w:hint="ascii"/>
          <w:sz w:val="21"/>
          <w:spacing w:val="23"/>
        </w:rPr>
        <w:t>与</w:t>
      </w:r>
      <w:r>
        <w:rPr>
          <w:rFonts w:ascii="Times New Roman" w:hAnsi="Times New Roman" w:cs="Times New Roman" w:eastAsia="Times New Roman" w:hint="ascii"/>
          <w:sz w:val="21"/>
          <w:spacing w:val="-3"/>
        </w:rPr>
        <w:t>201</w:t>
      </w:r>
      <w:r>
        <w:rPr>
          <w:rFonts w:ascii="Times New Roman" w:hAnsi="Times New Roman" w:cs="Times New Roman" w:eastAsia="Times New Roman" w:hint="ascii"/>
          <w:sz w:val="21"/>
          <w:spacing w:val="50"/>
        </w:rPr>
        <w:t>7</w:t>
      </w:r>
      <w:r>
        <w:rPr>
          <w:rFonts w:ascii="宋体" w:hAnsi="宋体" w:cs="宋体" w:eastAsia="宋体" w:hint="ascii"/>
          <w:sz w:val="21"/>
          <w:spacing w:val="-1"/>
        </w:rPr>
        <w:t>年度基本持</w:t>
      </w:r>
      <w:r>
        <w:rPr>
          <w:rFonts w:ascii="宋体" w:hAnsi="宋体" w:cs="宋体" w:eastAsia="宋体" w:hint="ascii"/>
          <w:sz w:val="21"/>
        </w:rPr>
        <w:t>平，</w:t>
      </w:r>
    </w:p>
    <w:p>
      <w:pPr>
        <w:autoSpaceDE w:val="0"/>
        <w:autoSpaceDN w:val="0"/>
        <w:jc w:val="both"/>
        <w:spacing w:before="17" w:after="0" w:lineRule="exact" w:line="320"/>
        <w:ind w:right="970" w:left="966" w:firstLine="0"/>
        <w:snapToGrid w:val="0"/>
        <w:textAlignment w:val="auto"/>
        <w:tabs/>
        <w:rPr>
          <w:rFonts w:ascii="宋体" w:hAnsi="宋体" w:cs="宋体" w:eastAsia="宋体" w:hint="ascii"/>
          <w:sz w:val="21"/>
        </w:rPr>
      </w:pPr>
      <w:r>
        <w:rPr>
          <w:rFonts w:ascii="宋体" w:hAnsi="宋体" w:cs="宋体" w:eastAsia="宋体" w:hint="ascii"/>
          <w:sz w:val="21"/>
        </w:rPr>
        <w:t>资助</w:t>
      </w:r>
      <w:r>
        <w:rPr>
          <w:rFonts w:ascii="宋体" w:hAnsi="宋体" w:cs="宋体" w:eastAsia="宋体" w:hint="ascii"/>
          <w:sz w:val="21"/>
          <w:spacing w:val="-1"/>
        </w:rPr>
        <w:t>期</w:t>
      </w:r>
      <w:r>
        <w:rPr>
          <w:rFonts w:ascii="宋体" w:hAnsi="宋体" w:cs="宋体" w:eastAsia="宋体" w:hint="ascii"/>
          <w:sz w:val="21"/>
        </w:rPr>
        <w:t>限</w:t>
      </w:r>
      <w:r>
        <w:rPr>
          <w:rFonts w:ascii="宋体" w:hAnsi="宋体" w:cs="宋体" w:eastAsia="宋体" w:hint="ascii"/>
          <w:sz w:val="21"/>
          <w:spacing w:val="24"/>
        </w:rPr>
        <w:t>为</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7"/>
        </w:rPr>
        <w:t xml:space="preserve"> </w:t>
      </w:r>
      <w:r>
        <w:rPr>
          <w:rFonts w:ascii="宋体" w:hAnsi="宋体" w:cs="宋体" w:eastAsia="宋体" w:hint="ascii"/>
          <w:sz w:val="21"/>
        </w:rPr>
        <w:t>年</w:t>
      </w:r>
      <w:r>
        <w:rPr>
          <w:rFonts w:ascii="宋体" w:hAnsi="宋体" w:cs="宋体" w:eastAsia="宋体" w:hint="ascii"/>
          <w:sz w:val="21"/>
          <w:spacing w:val="-1"/>
        </w:rPr>
        <w:t>。</w:t>
      </w:r>
      <w:r>
        <w:rPr>
          <w:rFonts w:ascii="宋体" w:hAnsi="宋体" w:cs="宋体" w:eastAsia="宋体" w:hint="ascii"/>
          <w:sz w:val="21"/>
        </w:rPr>
        <w:t>在</w:t>
      </w:r>
      <w:r>
        <w:rPr>
          <w:rFonts w:ascii="宋体" w:hAnsi="宋体" w:cs="宋体" w:eastAsia="宋体" w:hint="ascii"/>
          <w:sz w:val="21"/>
          <w:spacing w:val="-1"/>
        </w:rPr>
        <w:t>一些</w:t>
      </w:r>
      <w:r>
        <w:rPr>
          <w:rFonts w:ascii="宋体" w:hAnsi="宋体" w:cs="宋体" w:eastAsia="宋体" w:hint="ascii"/>
          <w:sz w:val="21"/>
        </w:rPr>
        <w:t>特定</w:t>
      </w:r>
      <w:r>
        <w:rPr>
          <w:rFonts w:ascii="宋体" w:hAnsi="宋体" w:cs="宋体" w:eastAsia="宋体" w:hint="ascii"/>
          <w:sz w:val="21"/>
          <w:spacing w:val="-1"/>
        </w:rPr>
        <w:t>领</w:t>
      </w:r>
      <w:r>
        <w:rPr>
          <w:rFonts w:ascii="宋体" w:hAnsi="宋体" w:cs="宋体" w:eastAsia="宋体" w:hint="ascii"/>
          <w:sz w:val="21"/>
        </w:rPr>
        <w:t>域</w:t>
      </w:r>
      <w:r>
        <w:rPr>
          <w:rFonts w:ascii="宋体" w:hAnsi="宋体" w:cs="宋体" w:eastAsia="宋体" w:hint="ascii"/>
          <w:sz w:val="21"/>
          <w:spacing w:val="-1"/>
        </w:rPr>
        <w:t>（</w:t>
      </w:r>
      <w:r>
        <w:rPr>
          <w:rFonts w:ascii="宋体" w:hAnsi="宋体" w:cs="宋体" w:eastAsia="宋体" w:hint="ascii"/>
          <w:sz w:val="21"/>
        </w:rPr>
        <w:t>见《</w:t>
      </w:r>
      <w:r>
        <w:rPr>
          <w:rFonts w:ascii="宋体" w:hAnsi="宋体" w:cs="宋体" w:eastAsia="宋体" w:hint="ascii"/>
          <w:sz w:val="21"/>
          <w:spacing w:val="-1"/>
        </w:rPr>
        <w:t>指</w:t>
      </w:r>
      <w:r>
        <w:rPr>
          <w:rFonts w:ascii="宋体" w:hAnsi="宋体" w:cs="宋体" w:eastAsia="宋体" w:hint="ascii"/>
          <w:sz w:val="21"/>
        </w:rPr>
        <w:t>南</w:t>
      </w:r>
      <w:r>
        <w:rPr>
          <w:rFonts w:ascii="宋体" w:hAnsi="宋体" w:cs="宋体" w:eastAsia="宋体" w:hint="ascii"/>
          <w:sz w:val="21"/>
          <w:spacing w:val="-1"/>
        </w:rPr>
        <w:t>》</w:t>
      </w:r>
      <w:r>
        <w:rPr>
          <w:rFonts w:ascii="宋体" w:hAnsi="宋体" w:cs="宋体" w:eastAsia="宋体" w:hint="ascii"/>
          <w:sz w:val="21"/>
        </w:rPr>
        <w:t>各科</w:t>
      </w:r>
      <w:r>
        <w:rPr>
          <w:rFonts w:ascii="宋体" w:hAnsi="宋体" w:cs="宋体" w:eastAsia="宋体" w:hint="ascii"/>
          <w:sz w:val="21"/>
          <w:spacing w:val="-1"/>
        </w:rPr>
        <w:t>学</w:t>
      </w:r>
      <w:r>
        <w:rPr>
          <w:rFonts w:ascii="宋体" w:hAnsi="宋体" w:cs="宋体" w:eastAsia="宋体" w:hint="ascii"/>
          <w:sz w:val="21"/>
        </w:rPr>
        <w:t>处</w:t>
      </w:r>
      <w:r>
        <w:rPr>
          <w:rFonts w:ascii="宋体" w:hAnsi="宋体" w:cs="宋体" w:eastAsia="宋体" w:hint="ascii"/>
          <w:sz w:val="21"/>
          <w:spacing w:val="-1"/>
        </w:rPr>
        <w:t>部</w:t>
      </w:r>
      <w:r>
        <w:rPr>
          <w:rFonts w:ascii="宋体" w:hAnsi="宋体" w:cs="宋体" w:eastAsia="宋体" w:hint="ascii"/>
          <w:sz w:val="21"/>
        </w:rPr>
        <w:t>分</w:t>
      </w:r>
      <w:r>
        <w:rPr>
          <w:rFonts w:ascii="宋体" w:hAnsi="宋体" w:cs="宋体" w:eastAsia="宋体" w:hint="ascii"/>
          <w:sz w:val="21"/>
          <w:spacing w:val="-51"/>
        </w:rPr>
        <w:t>）</w:t>
      </w:r>
      <w:r>
        <w:rPr>
          <w:rFonts w:ascii="宋体" w:hAnsi="宋体" w:cs="宋体" w:eastAsia="宋体" w:hint="ascii"/>
          <w:sz w:val="21"/>
          <w:spacing w:val="-1"/>
        </w:rPr>
        <w:t>，</w:t>
      </w:r>
      <w:r>
        <w:rPr>
          <w:rFonts w:ascii="宋体" w:hAnsi="宋体" w:cs="宋体" w:eastAsia="宋体" w:hint="ascii"/>
          <w:sz w:val="21"/>
        </w:rPr>
        <w:t>对</w:t>
      </w:r>
      <w:r>
        <w:rPr>
          <w:rFonts w:ascii="宋体" w:hAnsi="宋体" w:cs="宋体" w:eastAsia="宋体" w:hint="ascii"/>
          <w:sz w:val="21"/>
          <w:spacing w:val="-1"/>
        </w:rPr>
        <w:t>于一</w:t>
      </w:r>
      <w:r>
        <w:rPr>
          <w:rFonts w:ascii="宋体" w:hAnsi="宋体" w:cs="宋体" w:eastAsia="宋体" w:hint="ascii"/>
          <w:sz w:val="21"/>
        </w:rPr>
        <w:t>些工</w:t>
      </w:r>
      <w:r>
        <w:rPr>
          <w:rFonts w:ascii="宋体" w:hAnsi="宋体" w:cs="宋体" w:eastAsia="宋体" w:hint="ascii"/>
          <w:sz w:val="21"/>
          <w:spacing w:val="-1"/>
        </w:rPr>
        <w:t>作</w:t>
      </w:r>
      <w:r>
        <w:rPr>
          <w:rFonts w:ascii="宋体" w:hAnsi="宋体" w:cs="宋体" w:eastAsia="宋体" w:hint="ascii"/>
          <w:sz w:val="21"/>
        </w:rPr>
        <w:t>基</w:t>
      </w:r>
      <w:r>
        <w:rPr>
          <w:rFonts w:ascii="宋体" w:hAnsi="宋体" w:cs="宋体" w:eastAsia="宋体" w:hint="ascii"/>
          <w:sz w:val="21"/>
          <w:spacing w:val="-1"/>
        </w:rPr>
        <w:t>础</w:t>
      </w:r>
      <w:r>
        <w:rPr>
          <w:rFonts w:ascii="宋体" w:hAnsi="宋体" w:cs="宋体" w:eastAsia="宋体" w:hint="ascii"/>
          <w:sz w:val="21"/>
          <w:spacing w:val="-4"/>
        </w:rPr>
        <w:t>雄</w:t>
      </w:r>
      <w:r>
        <w:rPr>
          <w:rFonts w:ascii="宋体" w:hAnsi="宋体" w:cs="宋体" w:eastAsia="宋体" w:hint="ascii"/>
          <w:sz w:val="21"/>
          <w:spacing w:val="-3"/>
        </w:rPr>
        <w:t>厚、</w:t>
      </w:r>
      <w:r>
        <w:rPr>
          <w:rFonts w:ascii="宋体" w:hAnsi="宋体" w:cs="宋体" w:eastAsia="宋体" w:hint="ascii"/>
          <w:sz w:val="21"/>
          <w:spacing w:val="-4"/>
        </w:rPr>
        <w:t>需</w:t>
      </w:r>
      <w:r>
        <w:rPr>
          <w:rFonts w:ascii="宋体" w:hAnsi="宋体" w:cs="宋体" w:eastAsia="宋体" w:hint="ascii"/>
          <w:sz w:val="21"/>
          <w:spacing w:val="-3"/>
        </w:rPr>
        <w:t>要</w:t>
      </w:r>
      <w:r>
        <w:rPr>
          <w:rFonts w:ascii="宋体" w:hAnsi="宋体" w:cs="宋体" w:eastAsia="宋体" w:hint="ascii"/>
          <w:sz w:val="21"/>
          <w:spacing w:val="-4"/>
        </w:rPr>
        <w:t>较高</w:t>
      </w:r>
      <w:r>
        <w:rPr>
          <w:rFonts w:ascii="宋体" w:hAnsi="宋体" w:cs="宋体" w:eastAsia="宋体" w:hint="ascii"/>
          <w:sz w:val="21"/>
          <w:spacing w:val="-3"/>
        </w:rPr>
        <w:t>强度</w:t>
      </w:r>
      <w:r>
        <w:rPr>
          <w:rFonts w:ascii="宋体" w:hAnsi="宋体" w:cs="宋体" w:eastAsia="宋体" w:hint="ascii"/>
          <w:sz w:val="21"/>
          <w:spacing w:val="-4"/>
        </w:rPr>
        <w:t>资</w:t>
      </w:r>
      <w:r>
        <w:rPr>
          <w:rFonts w:ascii="宋体" w:hAnsi="宋体" w:cs="宋体" w:eastAsia="宋体" w:hint="ascii"/>
          <w:sz w:val="21"/>
          <w:spacing w:val="-3"/>
        </w:rPr>
        <w:t>金</w:t>
      </w:r>
      <w:r>
        <w:rPr>
          <w:rFonts w:ascii="宋体" w:hAnsi="宋体" w:cs="宋体" w:eastAsia="宋体" w:hint="ascii"/>
          <w:sz w:val="21"/>
          <w:spacing w:val="-4"/>
        </w:rPr>
        <w:t>支持</w:t>
      </w:r>
      <w:r>
        <w:rPr>
          <w:rFonts w:ascii="宋体" w:hAnsi="宋体" w:cs="宋体" w:eastAsia="宋体" w:hint="ascii"/>
          <w:sz w:val="21"/>
          <w:spacing w:val="-2"/>
        </w:rPr>
        <w:t>、特</w:t>
      </w:r>
      <w:r>
        <w:rPr>
          <w:rFonts w:ascii="宋体" w:hAnsi="宋体" w:cs="宋体" w:eastAsia="宋体" w:hint="ascii"/>
          <w:sz w:val="21"/>
          <w:spacing w:val="-3"/>
        </w:rPr>
        <w:t>别</w:t>
      </w:r>
      <w:r>
        <w:rPr>
          <w:rFonts w:ascii="宋体" w:hAnsi="宋体" w:cs="宋体" w:eastAsia="宋体" w:hint="ascii"/>
          <w:sz w:val="21"/>
          <w:spacing w:val="-2"/>
        </w:rPr>
        <w:t>优</w:t>
      </w:r>
      <w:r>
        <w:rPr>
          <w:rFonts w:ascii="宋体" w:hAnsi="宋体" w:cs="宋体" w:eastAsia="宋体" w:hint="ascii"/>
          <w:sz w:val="21"/>
          <w:spacing w:val="-3"/>
        </w:rPr>
        <w:t>秀的</w:t>
      </w:r>
      <w:r>
        <w:rPr>
          <w:rFonts w:ascii="宋体" w:hAnsi="宋体" w:cs="宋体" w:eastAsia="宋体" w:hint="ascii"/>
          <w:sz w:val="21"/>
          <w:spacing w:val="-2"/>
        </w:rPr>
        <w:t>创新</w:t>
      </w:r>
      <w:r>
        <w:rPr>
          <w:rFonts w:ascii="宋体" w:hAnsi="宋体" w:cs="宋体" w:eastAsia="宋体" w:hint="ascii"/>
          <w:sz w:val="21"/>
          <w:spacing w:val="-3"/>
        </w:rPr>
        <w:t>性</w:t>
      </w:r>
      <w:r>
        <w:rPr>
          <w:rFonts w:ascii="宋体" w:hAnsi="宋体" w:cs="宋体" w:eastAsia="宋体" w:hint="ascii"/>
          <w:sz w:val="21"/>
          <w:spacing w:val="-2"/>
        </w:rPr>
        <w:t>项</w:t>
      </w:r>
      <w:r>
        <w:rPr>
          <w:rFonts w:ascii="宋体" w:hAnsi="宋体" w:cs="宋体" w:eastAsia="宋体" w:hint="ascii"/>
          <w:sz w:val="21"/>
          <w:spacing w:val="-3"/>
        </w:rPr>
        <w:t>目可</w:t>
      </w:r>
      <w:r>
        <w:rPr>
          <w:rFonts w:ascii="宋体" w:hAnsi="宋体" w:cs="宋体" w:eastAsia="宋体" w:hint="ascii"/>
          <w:sz w:val="21"/>
          <w:spacing w:val="-2"/>
        </w:rPr>
        <w:t>给予</w:t>
      </w:r>
      <w:r>
        <w:rPr>
          <w:rFonts w:ascii="宋体" w:hAnsi="宋体" w:cs="宋体" w:eastAsia="宋体" w:hint="ascii"/>
          <w:sz w:val="21"/>
          <w:spacing w:val="-3"/>
        </w:rPr>
        <w:t>面</w:t>
      </w:r>
      <w:r>
        <w:rPr>
          <w:rFonts w:ascii="宋体" w:hAnsi="宋体" w:cs="宋体" w:eastAsia="宋体" w:hint="ascii"/>
          <w:sz w:val="21"/>
          <w:spacing w:val="-2"/>
        </w:rPr>
        <w:t>上</w:t>
      </w:r>
      <w:r>
        <w:rPr>
          <w:rFonts w:ascii="宋体" w:hAnsi="宋体" w:cs="宋体" w:eastAsia="宋体" w:hint="ascii"/>
          <w:sz w:val="21"/>
          <w:spacing w:val="-3"/>
        </w:rPr>
        <w:t>项目</w:t>
      </w:r>
      <w:r>
        <w:rPr>
          <w:rFonts w:ascii="宋体" w:hAnsi="宋体" w:cs="宋体" w:eastAsia="宋体" w:hint="ascii"/>
          <w:sz w:val="21"/>
          <w:spacing w:val="-2"/>
        </w:rPr>
        <w:t>直接</w:t>
      </w:r>
      <w:r>
        <w:rPr>
          <w:rFonts w:ascii="宋体" w:hAnsi="宋体" w:cs="宋体" w:eastAsia="宋体" w:hint="ascii"/>
          <w:sz w:val="21"/>
          <w:spacing w:val="-3"/>
        </w:rPr>
        <w:t>费</w:t>
      </w:r>
      <w:r>
        <w:rPr>
          <w:rFonts w:ascii="宋体" w:hAnsi="宋体" w:cs="宋体" w:eastAsia="宋体" w:hint="ascii"/>
          <w:sz w:val="21"/>
          <w:spacing w:val="-2"/>
        </w:rPr>
        <w:t>用</w:t>
      </w:r>
      <w:r>
        <w:rPr>
          <w:rFonts w:ascii="宋体" w:hAnsi="宋体" w:cs="宋体" w:eastAsia="宋体" w:hint="ascii"/>
          <w:sz w:val="21"/>
          <w:spacing w:val="-3"/>
        </w:rPr>
        <w:t>平均</w:t>
      </w:r>
      <w:r>
        <w:rPr>
          <w:rFonts w:ascii="宋体" w:hAnsi="宋体" w:cs="宋体" w:eastAsia="宋体" w:hint="ascii"/>
          <w:sz w:val="21"/>
          <w:spacing w:val="-2"/>
        </w:rPr>
        <w:t>资助</w:t>
      </w:r>
      <w:r>
        <w:rPr>
          <w:rFonts w:ascii="宋体" w:hAnsi="宋体" w:cs="宋体" w:eastAsia="宋体" w:hint="ascii"/>
          <w:sz w:val="21"/>
        </w:rPr>
        <w:t>强</w:t>
      </w:r>
    </w:p>
    <w:p>
      <w:pPr>
        <w:autoSpaceDE w:val="0"/>
        <w:autoSpaceDN w:val="0"/>
        <w:jc w:val="both"/>
        <w:spacing w:before="0" w:after="0" w:lineRule="exact" w:line="319"/>
        <w:ind w:right="970"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度</w:t>
      </w:r>
      <w:r>
        <w:rPr>
          <w:rFonts w:ascii="宋体" w:hAnsi="宋体" w:cs="宋体" w:eastAsia="宋体" w:hint="ascii"/>
          <w:sz w:val="21"/>
          <w:spacing w:val="20"/>
        </w:rPr>
        <w:t>约</w:t>
      </w:r>
      <w:r>
        <w:rPr>
          <w:rFonts w:ascii="Times New Roman" w:hAnsi="Times New Roman" w:cs="Times New Roman" w:eastAsia="Times New Roman" w:hint="ascii"/>
          <w:sz w:val="21"/>
          <w:spacing w:val="45"/>
        </w:rPr>
        <w:t>2</w:t>
      </w:r>
      <w:r>
        <w:rPr>
          <w:rFonts w:ascii="宋体" w:hAnsi="宋体" w:cs="宋体" w:eastAsia="宋体" w:hint="ascii"/>
          <w:sz w:val="21"/>
          <w:spacing w:val="-4"/>
        </w:rPr>
        <w:t>倍</w:t>
      </w:r>
      <w:r>
        <w:rPr>
          <w:rFonts w:ascii="宋体" w:hAnsi="宋体" w:cs="宋体" w:eastAsia="宋体" w:hint="ascii"/>
          <w:sz w:val="21"/>
          <w:spacing w:val="-5"/>
        </w:rPr>
        <w:t>的资</w:t>
      </w:r>
      <w:r>
        <w:rPr>
          <w:rFonts w:ascii="宋体" w:hAnsi="宋体" w:cs="宋体" w:eastAsia="宋体" w:hint="ascii"/>
          <w:sz w:val="21"/>
          <w:spacing w:val="-4"/>
        </w:rPr>
        <w:t>金支</w:t>
      </w:r>
      <w:r>
        <w:rPr>
          <w:rFonts w:ascii="宋体" w:hAnsi="宋体" w:cs="宋体" w:eastAsia="宋体" w:hint="ascii"/>
          <w:sz w:val="21"/>
          <w:spacing w:val="-5"/>
        </w:rPr>
        <w:t>持</w:t>
      </w:r>
      <w:r>
        <w:rPr>
          <w:rFonts w:ascii="宋体" w:hAnsi="宋体" w:cs="宋体" w:eastAsia="宋体" w:hint="ascii"/>
          <w:sz w:val="21"/>
          <w:spacing w:val="-4"/>
        </w:rPr>
        <w:t>。</w:t>
      </w:r>
      <w:r>
        <w:rPr>
          <w:rFonts w:ascii="宋体" w:hAnsi="宋体" w:cs="宋体" w:eastAsia="宋体" w:hint="ascii"/>
          <w:sz w:val="21"/>
          <w:spacing w:val="-5"/>
        </w:rPr>
        <w:t>请</w:t>
      </w:r>
      <w:r>
        <w:rPr>
          <w:rFonts w:ascii="宋体" w:hAnsi="宋体" w:cs="宋体" w:eastAsia="宋体" w:hint="ascii"/>
          <w:sz w:val="21"/>
          <w:spacing w:val="-4"/>
        </w:rPr>
        <w:t>申请</w:t>
      </w:r>
      <w:r>
        <w:rPr>
          <w:rFonts w:ascii="宋体" w:hAnsi="宋体" w:cs="宋体" w:eastAsia="宋体" w:hint="ascii"/>
          <w:sz w:val="21"/>
          <w:spacing w:val="-5"/>
        </w:rPr>
        <w:t>人</w:t>
      </w:r>
      <w:r>
        <w:rPr>
          <w:rFonts w:ascii="宋体" w:hAnsi="宋体" w:cs="宋体" w:eastAsia="宋体" w:hint="ascii"/>
          <w:sz w:val="21"/>
          <w:spacing w:val="-4"/>
        </w:rPr>
        <w:t>根</w:t>
      </w:r>
      <w:r>
        <w:rPr>
          <w:rFonts w:ascii="宋体" w:hAnsi="宋体" w:cs="宋体" w:eastAsia="宋体" w:hint="ascii"/>
          <w:sz w:val="21"/>
          <w:spacing w:val="-5"/>
        </w:rPr>
        <w:t>据</w:t>
      </w:r>
      <w:r>
        <w:rPr>
          <w:rFonts w:ascii="宋体" w:hAnsi="宋体" w:cs="宋体" w:eastAsia="宋体" w:hint="ascii"/>
          <w:sz w:val="21"/>
          <w:spacing w:val="-4"/>
        </w:rPr>
        <w:t>工作</w:t>
      </w:r>
      <w:r>
        <w:rPr>
          <w:rFonts w:ascii="宋体" w:hAnsi="宋体" w:cs="宋体" w:eastAsia="宋体" w:hint="ascii"/>
          <w:sz w:val="21"/>
          <w:spacing w:val="-5"/>
        </w:rPr>
        <w:t>实</w:t>
      </w:r>
      <w:r>
        <w:rPr>
          <w:rFonts w:ascii="宋体" w:hAnsi="宋体" w:cs="宋体" w:eastAsia="宋体" w:hint="ascii"/>
          <w:sz w:val="21"/>
          <w:spacing w:val="-4"/>
        </w:rPr>
        <w:t>际</w:t>
      </w:r>
      <w:r>
        <w:rPr>
          <w:rFonts w:ascii="宋体" w:hAnsi="宋体" w:cs="宋体" w:eastAsia="宋体" w:hint="ascii"/>
          <w:sz w:val="21"/>
          <w:spacing w:val="-5"/>
        </w:rPr>
        <w:t>需</w:t>
      </w:r>
      <w:r>
        <w:rPr>
          <w:rFonts w:ascii="宋体" w:hAnsi="宋体" w:cs="宋体" w:eastAsia="宋体" w:hint="ascii"/>
          <w:sz w:val="21"/>
          <w:spacing w:val="-4"/>
        </w:rPr>
        <w:t>要，</w:t>
      </w:r>
      <w:r>
        <w:rPr>
          <w:rFonts w:ascii="宋体" w:hAnsi="宋体" w:cs="宋体" w:eastAsia="宋体" w:hint="ascii"/>
          <w:sz w:val="21"/>
          <w:spacing w:val="-5"/>
        </w:rPr>
        <w:t>合</w:t>
      </w:r>
      <w:r>
        <w:rPr>
          <w:rFonts w:ascii="宋体" w:hAnsi="宋体" w:cs="宋体" w:eastAsia="宋体" w:hint="ascii"/>
          <w:sz w:val="21"/>
          <w:spacing w:val="-4"/>
        </w:rPr>
        <w:t>理</w:t>
      </w:r>
      <w:r>
        <w:rPr>
          <w:rFonts w:ascii="宋体" w:hAnsi="宋体" w:cs="宋体" w:eastAsia="宋体" w:hint="ascii"/>
          <w:sz w:val="21"/>
          <w:spacing w:val="-5"/>
        </w:rPr>
        <w:t>申</w:t>
      </w:r>
      <w:r>
        <w:rPr>
          <w:rFonts w:ascii="宋体" w:hAnsi="宋体" w:cs="宋体" w:eastAsia="宋体" w:hint="ascii"/>
          <w:sz w:val="21"/>
          <w:spacing w:val="-4"/>
        </w:rPr>
        <w:t>请资金</w:t>
      </w:r>
      <w:r>
        <w:rPr>
          <w:rFonts w:ascii="宋体" w:hAnsi="宋体" w:cs="宋体" w:eastAsia="宋体" w:hint="ascii"/>
          <w:sz w:val="21"/>
          <w:spacing w:val="-3"/>
        </w:rPr>
        <w:t>，</w:t>
      </w:r>
      <w:r>
        <w:rPr>
          <w:rFonts w:ascii="宋体" w:hAnsi="宋体" w:cs="宋体" w:eastAsia="宋体" w:hint="ascii"/>
          <w:sz w:val="21"/>
          <w:spacing w:val="-4"/>
        </w:rPr>
        <w:t>填</w:t>
      </w:r>
      <w:r>
        <w:rPr>
          <w:rFonts w:ascii="宋体" w:hAnsi="宋体" w:cs="宋体" w:eastAsia="宋体" w:hint="ascii"/>
          <w:sz w:val="21"/>
          <w:spacing w:val="-3"/>
        </w:rPr>
        <w:t>写资</w:t>
      </w:r>
      <w:r>
        <w:rPr>
          <w:rFonts w:ascii="宋体" w:hAnsi="宋体" w:cs="宋体" w:eastAsia="宋体" w:hint="ascii"/>
          <w:sz w:val="21"/>
          <w:spacing w:val="-4"/>
        </w:rPr>
        <w:t>金</w:t>
      </w:r>
      <w:r>
        <w:rPr>
          <w:rFonts w:ascii="宋体" w:hAnsi="宋体" w:cs="宋体" w:eastAsia="宋体" w:hint="ascii"/>
          <w:sz w:val="21"/>
          <w:spacing w:val="-3"/>
        </w:rPr>
        <w:t>预</w:t>
      </w:r>
      <w:r>
        <w:rPr>
          <w:rFonts w:ascii="宋体" w:hAnsi="宋体" w:cs="宋体" w:eastAsia="宋体" w:hint="ascii"/>
          <w:sz w:val="21"/>
          <w:spacing w:val="-4"/>
        </w:rPr>
        <w:t>算</w:t>
      </w:r>
      <w:r>
        <w:rPr>
          <w:rFonts w:ascii="宋体" w:hAnsi="宋体" w:cs="宋体" w:eastAsia="宋体" w:hint="ascii"/>
          <w:sz w:val="21"/>
          <w:spacing w:val="-3"/>
        </w:rPr>
        <w:t>表。</w:t>
      </w:r>
      <w:r>
        <w:rPr>
          <w:rFonts w:ascii="宋体" w:hAnsi="宋体" w:cs="宋体" w:eastAsia="宋体" w:hint="ascii"/>
          <w:sz w:val="21"/>
          <w:spacing w:val="-1"/>
        </w:rPr>
        <w:t>各</w:t>
      </w:r>
      <w:r>
        <w:rPr>
          <w:rFonts w:ascii="宋体" w:hAnsi="宋体" w:cs="宋体" w:eastAsia="宋体" w:hint="ascii"/>
          <w:sz w:val="21"/>
        </w:rPr>
        <w:t xml:space="preserve"> </w:t>
      </w:r>
      <w:r>
        <w:rPr>
          <w:rFonts w:ascii="宋体" w:hAnsi="宋体" w:cs="宋体" w:eastAsia="宋体" w:hint="ascii"/>
          <w:sz w:val="21"/>
          <w:spacing w:val="-3"/>
        </w:rPr>
        <w:t>科学处资助范围及资助情况请参见“医学科学部面上项目近两年资助情况一览表</w:t>
      </w:r>
      <w:r>
        <w:rPr>
          <w:rFonts w:ascii="宋体" w:hAnsi="宋体" w:cs="宋体" w:eastAsia="宋体" w:hint="ascii"/>
          <w:sz w:val="21"/>
          <w:spacing w:val="-54"/>
        </w:rPr>
        <w:t>”</w:t>
      </w:r>
      <w:r>
        <w:rPr>
          <w:rFonts w:ascii="宋体" w:hAnsi="宋体" w:cs="宋体" w:eastAsia="宋体" w:hint="ascii"/>
          <w:sz w:val="21"/>
        </w:rPr>
        <w:t>。</w:t>
      </w:r>
    </w:p>
    <w:p>
      <w:pPr>
        <w:autoSpaceDE w:val="0"/>
        <w:autoSpaceDN w:val="0"/>
        <w:jc w:val="left"/>
        <w:spacing w:before="169" w:after="0" w:lineRule="exact" w:line="225"/>
        <w:ind w:right="0" w:left="3253" w:firstLine="0"/>
        <w:snapToGrid w:val="0"/>
        <w:textAlignment w:val="auto"/>
        <w:tabs/>
        <w:rPr>
          <w:rFonts w:ascii="宋体" w:hAnsi="宋体" w:cs="宋体" w:eastAsia="宋体" w:hint="ascii"/>
          <w:sz w:val="18"/>
        </w:rPr>
      </w:pPr>
      <w:r>
        <w:rPr>
          <w:rFonts w:ascii="宋体" w:hAnsi="宋体" w:cs="宋体" w:eastAsia="宋体" w:hint="ascii"/>
          <w:sz w:val="18"/>
        </w:rPr>
        <w:t>医学科学部面上项目近两年资助情况一览表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566"/>
        <w:gridCol w:w="1984"/>
        <w:gridCol w:w="794"/>
        <w:gridCol w:w="1077"/>
        <w:gridCol w:w="849"/>
        <w:gridCol w:w="795"/>
        <w:gridCol w:w="1135"/>
        <w:gridCol w:w="792"/>
      </w:tblGrid>
      <w:tr>
        <w:trPr>
          <w:trHeight w:val="300" w:hRule="exact"/>
          <w:cantSplit w:val="1"/>
        </w:trPr>
        <w:tc>
          <w:tcPr>
            <w:tcW w:w="2550" w:type="dxa"/>
            <w:gridSpan w:val="2"/>
            <w:vAlign w:val="top"/>
            <w:vMerge w:val="restart"/>
            <w:tcMar/>
            <w:tcBorders/>
          </w:tcPr>
          <w:p>
            <w:pPr>
              <w:autoSpaceDE w:val="0"/>
              <w:autoSpaceDN w:val="0"/>
              <w:jc w:val="left"/>
              <w:spacing w:before="290" w:after="0" w:lineRule="exact" w:line="188"/>
              <w:ind w:right="0" w:left="104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0" w:type="dxa"/>
            <w:gridSpan w:val="3"/>
            <w:vAlign w:val="top"/>
            <w:tcMar/>
            <w:tcBorders>
              <w:left w:val="single" w:sz="4" w:space="0" w:color="000000"/>
            </w:tcBorders>
          </w:tcPr>
          <w:p>
            <w:pPr>
              <w:autoSpaceDE w:val="0"/>
              <w:autoSpaceDN w:val="0"/>
              <w:jc w:val="left"/>
              <w:spacing w:before="45" w:after="0" w:lineRule="auto" w:line="240"/>
              <w:ind w:right="0" w:left="1038" w:firstLine="0"/>
              <w:snapToGrid w:val="0"/>
              <w:textAlignment w:val="auto"/>
              <w:tabs>
                <w:tab w:val="left" w:leader="none" w:pos="1381"/>
              </w:tabs>
              <w:numPr>
                <w:ilvl w:val="0"/>
                <w:numId w:val="111"/>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45" w:after="0" w:lineRule="auto" w:line="240"/>
              <w:ind w:right="0" w:left="1038" w:firstLine="0"/>
              <w:snapToGrid w:val="0"/>
              <w:textAlignment w:val="auto"/>
              <w:tabs>
                <w:tab w:val="left" w:leader="none" w:pos="1381"/>
              </w:tabs>
              <w:numPr>
                <w:ilvl w:val="0"/>
                <w:numId w:val="111"/>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88" w:hRule="exact"/>
          <w:cantSplit w:val="1"/>
        </w:trPr>
        <w:tc>
          <w:tcPr>
            <w:tcW w:w="255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94"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077"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233"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exact" w:line="200"/>
              <w:ind w:right="0" w:left="155"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70"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5"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135"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263"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exact" w:line="200"/>
              <w:ind w:right="0" w:left="126"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41"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490" w:hRule="exact"/>
          <w:cantSplit w:val="1"/>
        </w:trPr>
        <w:tc>
          <w:tcPr>
            <w:tcW w:w="566" w:type="dxa"/>
            <w:gridSpan w:val="1"/>
            <w:vAlign w:val="top"/>
            <w:tcMar/>
            <w:tcBorders>
              <w:top w:val="single" w:sz="4" w:space="0" w:color="000000"/>
            </w:tcBorders>
          </w:tcPr>
          <w:p>
            <w:pPr>
              <w:autoSpaceDE w:val="0"/>
              <w:autoSpaceDN w:val="0"/>
              <w:jc w:val="left"/>
              <w:spacing w:before="14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86" w:firstLine="0"/>
              <w:snapToGrid w:val="0"/>
              <w:textAlignment w:val="auto"/>
              <w:tabs/>
              <w:rPr>
                <w:rFonts w:ascii="宋体" w:hAnsi="宋体" w:cs="宋体" w:eastAsia="宋体" w:hint="ascii"/>
                <w:sz w:val="15"/>
              </w:rPr>
            </w:pPr>
            <w:r>
              <w:rPr>
                <w:rFonts w:ascii="宋体" w:hAnsi="宋体" w:cs="宋体" w:eastAsia="宋体" w:hint="ascii"/>
                <w:sz w:val="15"/>
              </w:rPr>
              <w:t>呼吸系统疾病、循环系统疾</w:t>
            </w:r>
          </w:p>
          <w:p>
            <w:pPr>
              <w:autoSpaceDE w:val="0"/>
              <w:autoSpaceDN w:val="0"/>
              <w:jc w:val="left"/>
              <w:spacing w:before="7"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病、血液系统疾病</w:t>
            </w:r>
          </w:p>
        </w:tc>
        <w:tc>
          <w:tcPr>
            <w:tcW w:w="794"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445</w:t>
            </w:r>
            <w:r>
              <w:rPr>
                <w:rFonts w:ascii="宋体" w:hAnsi="宋体" w:cs="宋体" w:eastAsia="宋体" w:hint="ascii"/>
                <w:sz w:val="15"/>
              </w:rPr>
              <w:t>＋</w:t>
            </w:r>
            <w:r>
              <w:rPr>
                <w:rFonts w:ascii="Times New Roman" w:hAnsi="Times New Roman" w:cs="Times New Roman" w:eastAsia="Times New Roman" w:hint="ascii"/>
                <w:sz w:val="15"/>
              </w:rPr>
              <w:t>22</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1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25 720</w:t>
            </w:r>
            <w:r>
              <w:rPr>
                <w:rFonts w:ascii="宋体" w:hAnsi="宋体" w:cs="宋体" w:eastAsia="宋体" w:hint="ascii"/>
                <w:sz w:val="15"/>
              </w:rPr>
              <w:t>＋</w:t>
            </w:r>
            <w:r>
              <w:rPr>
                <w:rFonts w:ascii="Times New Roman" w:hAnsi="Times New Roman" w:cs="Times New Roman" w:eastAsia="Times New Roman" w:hint="ascii"/>
                <w:sz w:val="15"/>
              </w:rPr>
              <w:t>550</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21.91</w:t>
            </w:r>
          </w:p>
        </w:tc>
        <w:tc>
          <w:tcPr>
            <w:tcW w:w="79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487</w:t>
            </w:r>
            <w:r>
              <w:rPr>
                <w:rFonts w:ascii="宋体" w:hAnsi="宋体" w:cs="宋体" w:eastAsia="宋体" w:hint="ascii"/>
                <w:sz w:val="15"/>
              </w:rPr>
              <w:t>＋</w:t>
            </w:r>
            <w:r>
              <w:rPr>
                <w:rFonts w:ascii="Times New Roman" w:hAnsi="Times New Roman" w:cs="Times New Roman" w:eastAsia="Times New Roman" w:hint="ascii"/>
                <w:sz w:val="15"/>
              </w:rPr>
              <w:t>22</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4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27 204</w:t>
            </w:r>
            <w:r>
              <w:rPr>
                <w:rFonts w:ascii="宋体" w:hAnsi="宋体" w:cs="宋体" w:eastAsia="宋体" w:hint="ascii"/>
                <w:sz w:val="15"/>
              </w:rPr>
              <w:t>＋</w:t>
            </w:r>
            <w:r>
              <w:rPr>
                <w:rFonts w:ascii="Times New Roman" w:hAnsi="Times New Roman" w:cs="Times New Roman" w:eastAsia="Times New Roman" w:hint="ascii"/>
                <w:sz w:val="15"/>
              </w:rPr>
              <w:t>550</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9"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20.54</w:t>
            </w:r>
          </w:p>
        </w:tc>
      </w:tr>
      <w:tr>
        <w:trPr>
          <w:trHeight w:val="1073" w:hRule="exact"/>
          <w:cantSplit w:val="1"/>
        </w:trPr>
        <w:tc>
          <w:tcPr>
            <w:tcW w:w="566" w:type="dxa"/>
            <w:gridSpan w:val="1"/>
            <w:vAlign w:val="top"/>
            <w:tcMar/>
            <w:tcBorders>
              <w:top w:val="single" w:sz="4" w:space="0" w:color="000000"/>
            </w:tcBorders>
          </w:tcPr>
          <w:p>
            <w:pPr>
              <w:autoSpaceDE w:val="0"/>
              <w:autoSpaceDN w:val="0"/>
              <w:jc w:val="left"/>
              <w:spacing w:before="434"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162" w:firstLine="0"/>
              <w:snapToGrid w:val="0"/>
              <w:textAlignment w:val="auto"/>
              <w:tabs/>
              <w:rPr>
                <w:rFonts w:ascii="宋体" w:hAnsi="宋体" w:cs="宋体" w:eastAsia="宋体" w:hint="ascii"/>
                <w:sz w:val="15"/>
              </w:rPr>
            </w:pPr>
            <w:r>
              <w:rPr>
                <w:rFonts w:ascii="宋体" w:hAnsi="宋体" w:cs="宋体" w:eastAsia="宋体" w:hint="ascii"/>
                <w:sz w:val="15"/>
              </w:rPr>
              <w:t>消化系统疾病、泌尿系统</w:t>
            </w:r>
          </w:p>
          <w:p>
            <w:pPr>
              <w:autoSpaceDE w:val="0"/>
              <w:autoSpaceDN w:val="0"/>
              <w:jc w:val="left"/>
              <w:spacing w:before="7" w:after="0" w:lineRule="exact" w:line="188"/>
              <w:ind w:right="0" w:left="236" w:firstLine="0"/>
              <w:snapToGrid w:val="0"/>
              <w:textAlignment w:val="auto"/>
              <w:tabs/>
              <w:rPr>
                <w:rFonts w:ascii="宋体" w:hAnsi="宋体" w:cs="宋体" w:eastAsia="宋体" w:hint="ascii"/>
                <w:sz w:val="15"/>
              </w:rPr>
            </w:pPr>
            <w:r>
              <w:rPr>
                <w:rFonts w:ascii="宋体" w:hAnsi="宋体" w:cs="宋体" w:eastAsia="宋体" w:hint="ascii"/>
                <w:sz w:val="15"/>
              </w:rPr>
              <w:t>疾病、内分泌系统疾病</w:t>
            </w:r>
          </w:p>
          <w:p>
            <w:pPr>
              <w:autoSpaceDE w:val="0"/>
              <w:autoSpaceDN w:val="0"/>
              <w:jc w:val="left"/>
              <w:spacing w:before="7" w:after="0" w:lineRule="exact" w:line="188"/>
              <w:ind w:right="0" w:left="-13" w:firstLine="0"/>
              <w:snapToGrid w:val="0"/>
              <w:textAlignment w:val="auto"/>
              <w:tabs/>
              <w:rPr>
                <w:rFonts w:ascii="宋体" w:hAnsi="宋体" w:cs="宋体" w:eastAsia="宋体" w:hint="ascii"/>
                <w:sz w:val="15"/>
              </w:rPr>
            </w:pPr>
            <w:r>
              <w:rPr>
                <w:rFonts w:ascii="宋体" w:hAnsi="宋体" w:cs="宋体" w:eastAsia="宋体" w:hint="ascii"/>
                <w:sz w:val="15"/>
              </w:rPr>
              <w:t>（含代谢和营养支持</w:t>
            </w:r>
            <w:r>
              <w:rPr>
                <w:rFonts w:ascii="宋体" w:hAnsi="宋体" w:cs="宋体" w:eastAsia="宋体" w:hint="ascii"/>
                <w:sz w:val="15"/>
                <w:spacing w:val="-36"/>
              </w:rPr>
              <w:t>）</w:t>
            </w:r>
            <w:r>
              <w:rPr>
                <w:rFonts w:ascii="宋体" w:hAnsi="宋体" w:cs="宋体" w:eastAsia="宋体" w:hint="ascii"/>
                <w:sz w:val="15"/>
              </w:rPr>
              <w:t>、眼科</w:t>
            </w:r>
          </w:p>
          <w:p>
            <w:pPr>
              <w:autoSpaceDE w:val="0"/>
              <w:autoSpaceDN w:val="0"/>
              <w:jc w:val="left"/>
              <w:spacing w:before="7" w:after="0" w:lineRule="exact" w:line="188"/>
              <w:ind w:right="0" w:left="139" w:firstLine="0"/>
              <w:snapToGrid w:val="0"/>
              <w:textAlignment w:val="auto"/>
              <w:tabs/>
              <w:rPr>
                <w:rFonts w:ascii="宋体" w:hAnsi="宋体" w:cs="宋体" w:eastAsia="宋体" w:hint="ascii"/>
                <w:sz w:val="15"/>
              </w:rPr>
            </w:pPr>
            <w:r>
              <w:rPr>
                <w:rFonts w:ascii="宋体" w:hAnsi="宋体" w:cs="宋体" w:eastAsia="宋体" w:hint="ascii"/>
                <w:sz w:val="15"/>
              </w:rPr>
              <w:t>学、耳鼻咽喉头颈科学、</w:t>
            </w:r>
          </w:p>
          <w:p>
            <w:pPr>
              <w:autoSpaceDE w:val="0"/>
              <w:autoSpaceDN w:val="0"/>
              <w:jc w:val="left"/>
              <w:spacing w:before="7" w:after="0" w:lineRule="exact" w:line="188"/>
              <w:ind w:right="0" w:left="462" w:firstLine="0"/>
              <w:snapToGrid w:val="0"/>
              <w:textAlignment w:val="auto"/>
              <w:tabs/>
              <w:rPr>
                <w:rFonts w:ascii="宋体" w:hAnsi="宋体" w:cs="宋体" w:eastAsia="宋体" w:hint="ascii"/>
                <w:sz w:val="15"/>
              </w:rPr>
            </w:pPr>
            <w:r>
              <w:rPr>
                <w:rFonts w:ascii="宋体" w:hAnsi="宋体" w:cs="宋体" w:eastAsia="宋体" w:hint="ascii"/>
                <w:sz w:val="15"/>
              </w:rPr>
              <w:t>口腔颅颌面科学</w:t>
            </w:r>
          </w:p>
        </w:tc>
        <w:tc>
          <w:tcPr>
            <w:tcW w:w="794" w:type="dxa"/>
            <w:gridSpan w:val="1"/>
            <w:vAlign w:val="top"/>
            <w:tcMar/>
            <w:tcBorders>
              <w:left w:val="single" w:sz="4" w:space="0" w:color="000000"/>
              <w:top w:val="single" w:sz="4" w:space="0" w:color="000000"/>
            </w:tcBorders>
          </w:tcPr>
          <w:p>
            <w:pPr>
              <w:autoSpaceDE w:val="0"/>
              <w:autoSpaceDN w:val="0"/>
              <w:jc w:val="left"/>
              <w:spacing w:before="421"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545</w:t>
            </w:r>
            <w:r>
              <w:rPr>
                <w:rFonts w:ascii="宋体" w:hAnsi="宋体" w:cs="宋体" w:eastAsia="宋体" w:hint="ascii"/>
                <w:sz w:val="15"/>
              </w:rPr>
              <w:t>＋</w:t>
            </w:r>
            <w:r>
              <w:rPr>
                <w:rFonts w:ascii="Times New Roman" w:hAnsi="Times New Roman" w:cs="Times New Roman" w:eastAsia="Times New Roman" w:hint="ascii"/>
                <w:sz w:val="15"/>
              </w:rPr>
              <w:t>24</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421" w:after="0" w:lineRule="auto" w:line="240"/>
              <w:ind w:right="0" w:left="11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31 432</w:t>
            </w:r>
            <w:r>
              <w:rPr>
                <w:rFonts w:ascii="宋体" w:hAnsi="宋体" w:cs="宋体" w:eastAsia="宋体" w:hint="ascii"/>
                <w:sz w:val="15"/>
              </w:rPr>
              <w:t>＋</w:t>
            </w:r>
            <w:r>
              <w:rPr>
                <w:rFonts w:ascii="Times New Roman" w:hAnsi="Times New Roman" w:cs="Times New Roman" w:eastAsia="Times New Roman" w:hint="ascii"/>
                <w:sz w:val="15"/>
              </w:rPr>
              <w:t>600</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441" w:after="0" w:lineRule="auto" w:line="240"/>
              <w:ind w:right="0" w:left="252" w:firstLine="0"/>
              <w:snapToGrid w:val="0"/>
              <w:textAlignment w:val="auto"/>
              <w:tabs>
                <w:tab w:val="left" w:leader="none" w:pos="-655355"/>
              </w:tabs>
              <w:numPr>
                <w:ilvl w:val="1"/>
                <w:numId w:val="11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0"/>
                <w:position w:val="7"/>
              </w:rPr>
              <w:t xml:space="preserve"> </w:t>
            </w:r>
          </w:p>
        </w:tc>
        <w:tc>
          <w:tcPr>
            <w:tcW w:w="795" w:type="dxa"/>
            <w:gridSpan w:val="1"/>
            <w:vAlign w:val="top"/>
            <w:tcMar/>
            <w:tcBorders>
              <w:left w:val="single" w:sz="4" w:space="0" w:color="000000"/>
              <w:top w:val="single" w:sz="4" w:space="0" w:color="000000"/>
            </w:tcBorders>
          </w:tcPr>
          <w:p>
            <w:pPr>
              <w:autoSpaceDE w:val="0"/>
              <w:autoSpaceDN w:val="0"/>
              <w:jc w:val="left"/>
              <w:spacing w:before="421"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594</w:t>
            </w:r>
            <w:r>
              <w:rPr>
                <w:rFonts w:ascii="宋体" w:hAnsi="宋体" w:cs="宋体" w:eastAsia="宋体" w:hint="ascii"/>
                <w:sz w:val="15"/>
              </w:rPr>
              <w:t>＋</w:t>
            </w:r>
            <w:r>
              <w:rPr>
                <w:rFonts w:ascii="Times New Roman" w:hAnsi="Times New Roman" w:cs="Times New Roman" w:eastAsia="Times New Roman" w:hint="ascii"/>
                <w:sz w:val="15"/>
              </w:rPr>
              <w:t>24</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421" w:after="0" w:lineRule="auto" w:line="240"/>
              <w:ind w:right="0" w:left="14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33 188</w:t>
            </w:r>
            <w:r>
              <w:rPr>
                <w:rFonts w:ascii="宋体" w:hAnsi="宋体" w:cs="宋体" w:eastAsia="宋体" w:hint="ascii"/>
                <w:sz w:val="15"/>
              </w:rPr>
              <w:t>＋</w:t>
            </w:r>
            <w:r>
              <w:rPr>
                <w:rFonts w:ascii="Times New Roman" w:hAnsi="Times New Roman" w:cs="Times New Roman" w:eastAsia="Times New Roman" w:hint="ascii"/>
                <w:sz w:val="15"/>
              </w:rPr>
              <w:t>600</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41" w:after="0" w:lineRule="auto" w:line="240"/>
              <w:ind w:right="0" w:left="223" w:firstLine="0"/>
              <w:snapToGrid w:val="0"/>
              <w:textAlignment w:val="auto"/>
              <w:tabs>
                <w:tab w:val="left" w:leader="none" w:pos="-655355"/>
              </w:tabs>
              <w:numPr>
                <w:ilvl w:val="1"/>
                <w:numId w:val="11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0"/>
                <w:position w:val="7"/>
              </w:rPr>
              <w:t xml:space="preserve"> </w:t>
            </w:r>
          </w:p>
        </w:tc>
      </w:tr>
      <w:tr>
        <w:trPr>
          <w:trHeight w:val="488" w:hRule="exact"/>
          <w:cantSplit w:val="1"/>
        </w:trPr>
        <w:tc>
          <w:tcPr>
            <w:tcW w:w="566" w:type="dxa"/>
            <w:gridSpan w:val="1"/>
            <w:vAlign w:val="top"/>
            <w:tcMar/>
            <w:tcBorders>
              <w:top w:val="single" w:sz="4" w:space="0" w:color="000000"/>
            </w:tcBorders>
          </w:tcPr>
          <w:p>
            <w:pPr>
              <w:autoSpaceDE w:val="0"/>
              <w:autoSpaceDN w:val="0"/>
              <w:jc w:val="left"/>
              <w:spacing w:before="14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86" w:firstLine="0"/>
              <w:snapToGrid w:val="0"/>
              <w:textAlignment w:val="auto"/>
              <w:tabs/>
              <w:rPr>
                <w:rFonts w:ascii="宋体" w:hAnsi="宋体" w:cs="宋体" w:eastAsia="宋体" w:hint="ascii"/>
                <w:sz w:val="15"/>
              </w:rPr>
            </w:pPr>
            <w:r>
              <w:rPr>
                <w:rFonts w:ascii="宋体" w:hAnsi="宋体" w:cs="宋体" w:eastAsia="宋体" w:hint="ascii"/>
                <w:sz w:val="15"/>
              </w:rPr>
              <w:t>神经系统疾病、精神疾病、</w:t>
            </w:r>
          </w:p>
          <w:p>
            <w:pPr>
              <w:autoSpaceDE w:val="0"/>
              <w:autoSpaceDN w:val="0"/>
              <w:jc w:val="left"/>
              <w:spacing w:before="7"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老年医学</w:t>
            </w:r>
          </w:p>
        </w:tc>
        <w:tc>
          <w:tcPr>
            <w:tcW w:w="794"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356</w:t>
            </w:r>
            <w:r>
              <w:rPr>
                <w:rFonts w:ascii="宋体" w:hAnsi="宋体" w:cs="宋体" w:eastAsia="宋体" w:hint="ascii"/>
                <w:sz w:val="15"/>
              </w:rPr>
              <w:t>＋</w:t>
            </w:r>
            <w:r>
              <w:rPr>
                <w:rFonts w:ascii="Times New Roman" w:hAnsi="Times New Roman" w:cs="Times New Roman" w:eastAsia="Times New Roman" w:hint="ascii"/>
                <w:sz w:val="15"/>
              </w:rPr>
              <w:t>13</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14" w:firstLine="0"/>
              <w:snapToGrid w:val="0"/>
              <w:textAlignment w:val="auto"/>
              <w:tabs>
                <w:tab w:val="left" w:leader="none" w:pos="307"/>
              </w:tabs>
              <w:numPr>
                <w:ilvl w:val="0"/>
                <w:numId w:val="11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688</w:t>
            </w:r>
            <w:r>
              <w:rPr>
                <w:rFonts w:ascii="宋体" w:hAnsi="宋体" w:cs="宋体" w:eastAsia="宋体" w:hint="ascii"/>
                <w:sz w:val="15"/>
              </w:rPr>
              <w:t>＋</w:t>
            </w:r>
            <w:r>
              <w:rPr>
                <w:rFonts w:ascii="Times New Roman" w:hAnsi="Times New Roman" w:cs="Times New Roman" w:eastAsia="Times New Roman" w:hint="ascii"/>
                <w:sz w:val="15"/>
              </w:rPr>
              <w:t>325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21.50</w:t>
            </w:r>
          </w:p>
        </w:tc>
        <w:tc>
          <w:tcPr>
            <w:tcW w:w="79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382</w:t>
            </w:r>
            <w:r>
              <w:rPr>
                <w:rFonts w:ascii="宋体" w:hAnsi="宋体" w:cs="宋体" w:eastAsia="宋体" w:hint="ascii"/>
                <w:sz w:val="15"/>
              </w:rPr>
              <w:t>＋</w:t>
            </w:r>
            <w:r>
              <w:rPr>
                <w:rFonts w:ascii="Times New Roman" w:hAnsi="Times New Roman" w:cs="Times New Roman" w:eastAsia="Times New Roman" w:hint="ascii"/>
                <w:sz w:val="15"/>
              </w:rPr>
              <w:t>13</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44" w:firstLine="0"/>
              <w:snapToGrid w:val="0"/>
              <w:textAlignment w:val="auto"/>
              <w:tabs>
                <w:tab w:val="left" w:leader="none" w:pos="337"/>
              </w:tabs>
              <w:numPr>
                <w:ilvl w:val="0"/>
                <w:numId w:val="11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316</w:t>
            </w:r>
            <w:r>
              <w:rPr>
                <w:rFonts w:ascii="宋体" w:hAnsi="宋体" w:cs="宋体" w:eastAsia="宋体" w:hint="ascii"/>
                <w:sz w:val="15"/>
              </w:rPr>
              <w:t>＋</w:t>
            </w:r>
            <w:r>
              <w:rPr>
                <w:rFonts w:ascii="Times New Roman" w:hAnsi="Times New Roman" w:cs="Times New Roman" w:eastAsia="Times New Roman" w:hint="ascii"/>
                <w:sz w:val="15"/>
              </w:rPr>
              <w:t>325</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9" w:after="0" w:lineRule="auto" w:line="240"/>
              <w:ind w:right="0" w:left="223" w:firstLine="0"/>
              <w:snapToGrid w:val="0"/>
              <w:textAlignment w:val="auto"/>
              <w:tabs>
                <w:tab w:val="left" w:leader="none" w:pos="-655355"/>
              </w:tabs>
              <w:numPr>
                <w:ilvl w:val="1"/>
                <w:numId w:val="11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0"/>
                <w:position w:val="7"/>
              </w:rPr>
              <w:t xml:space="preserve"> </w:t>
            </w:r>
          </w:p>
        </w:tc>
      </w:tr>
      <w:tr>
        <w:trPr>
          <w:trHeight w:val="490" w:hRule="exact"/>
          <w:cantSplit w:val="1"/>
        </w:trPr>
        <w:tc>
          <w:tcPr>
            <w:tcW w:w="566" w:type="dxa"/>
            <w:gridSpan w:val="1"/>
            <w:vAlign w:val="top"/>
            <w:tcMar/>
            <w:tcBorders>
              <w:top w:val="single" w:sz="4" w:space="0" w:color="000000"/>
            </w:tcBorders>
          </w:tcPr>
          <w:p>
            <w:pPr>
              <w:autoSpaceDE w:val="0"/>
              <w:autoSpaceDN w:val="0"/>
              <w:jc w:val="left"/>
              <w:spacing w:before="14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984" w:type="dxa"/>
            <w:gridSpan w:val="1"/>
            <w:vAlign w:val="top"/>
            <w:tcMar/>
            <w:tcBorders>
              <w:left w:val="single" w:sz="4" w:space="0" w:color="000000"/>
              <w:top w:val="single" w:sz="4" w:space="0" w:color="000000"/>
            </w:tcBorders>
          </w:tcPr>
          <w:p>
            <w:pPr>
              <w:autoSpaceDE w:val="0"/>
              <w:autoSpaceDN w:val="0"/>
              <w:jc w:val="both"/>
              <w:spacing w:before="40" w:after="0" w:lineRule="exact" w:line="194"/>
              <w:ind w:right="87" w:left="86" w:firstLine="0"/>
              <w:snapToGrid w:val="0"/>
              <w:textAlignment w:val="auto"/>
              <w:tabs/>
              <w:rPr>
                <w:rFonts w:ascii="宋体" w:hAnsi="宋体" w:cs="宋体" w:eastAsia="宋体" w:hint="ascii"/>
                <w:sz w:val="15"/>
              </w:rPr>
            </w:pPr>
            <w:r>
              <w:rPr>
                <w:rFonts w:ascii="宋体" w:hAnsi="宋体" w:cs="宋体" w:eastAsia="宋体" w:hint="ascii"/>
                <w:sz w:val="15"/>
                <w:spacing w:val="-1"/>
              </w:rPr>
              <w:t>生殖系统疾病</w:t>
            </w:r>
            <w:r>
              <w:rPr>
                <w:rFonts w:ascii="宋体" w:hAnsi="宋体" w:cs="宋体" w:eastAsia="宋体" w:hint="ascii"/>
                <w:sz w:val="15"/>
              </w:rPr>
              <w:t>、围生医学、</w:t>
            </w:r>
            <w:r>
              <w:rPr>
                <w:rFonts w:ascii="宋体" w:hAnsi="宋体" w:cs="宋体" w:eastAsia="宋体" w:hint="ascii"/>
                <w:sz w:val="15"/>
                <w:spacing w:val="-1"/>
              </w:rPr>
              <w:t>胎儿和新生儿</w:t>
            </w:r>
            <w:r>
              <w:rPr>
                <w:rFonts w:ascii="宋体" w:hAnsi="宋体" w:cs="宋体" w:eastAsia="宋体" w:hint="ascii"/>
                <w:sz w:val="15"/>
              </w:rPr>
              <w:t>、医学免疫学</w:t>
            </w:r>
          </w:p>
        </w:tc>
        <w:tc>
          <w:tcPr>
            <w:tcW w:w="794"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229</w:t>
            </w:r>
            <w:r>
              <w:rPr>
                <w:rFonts w:ascii="宋体" w:hAnsi="宋体" w:cs="宋体" w:eastAsia="宋体" w:hint="ascii"/>
                <w:sz w:val="15"/>
              </w:rPr>
              <w:t>＋</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1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13 215</w:t>
            </w:r>
            <w:r>
              <w:rPr>
                <w:rFonts w:ascii="宋体" w:hAnsi="宋体" w:cs="宋体" w:eastAsia="宋体" w:hint="ascii"/>
                <w:sz w:val="15"/>
              </w:rPr>
              <w:t>＋</w:t>
            </w:r>
            <w:r>
              <w:rPr>
                <w:rFonts w:ascii="Times New Roman" w:hAnsi="Times New Roman" w:cs="Times New Roman" w:eastAsia="Times New Roman" w:hint="ascii"/>
                <w:sz w:val="15"/>
              </w:rPr>
              <w:t>275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24.92</w:t>
            </w:r>
          </w:p>
        </w:tc>
        <w:tc>
          <w:tcPr>
            <w:tcW w:w="79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251</w:t>
            </w:r>
            <w:r>
              <w:rPr>
                <w:rFonts w:ascii="宋体" w:hAnsi="宋体" w:cs="宋体" w:eastAsia="宋体" w:hint="ascii"/>
                <w:sz w:val="15"/>
              </w:rPr>
              <w:t>＋</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4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13 980</w:t>
            </w:r>
            <w:r>
              <w:rPr>
                <w:rFonts w:ascii="宋体" w:hAnsi="宋体" w:cs="宋体" w:eastAsia="宋体" w:hint="ascii"/>
                <w:sz w:val="15"/>
              </w:rPr>
              <w:t>＋</w:t>
            </w:r>
            <w:r>
              <w:rPr>
                <w:rFonts w:ascii="Times New Roman" w:hAnsi="Times New Roman" w:cs="Times New Roman" w:eastAsia="Times New Roman" w:hint="ascii"/>
                <w:sz w:val="15"/>
              </w:rPr>
              <w:t>275</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9"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22.30</w:t>
            </w:r>
          </w:p>
        </w:tc>
      </w:tr>
      <w:tr>
        <w:trPr>
          <w:trHeight w:val="488" w:hRule="exact"/>
          <w:cantSplit w:val="1"/>
        </w:trPr>
        <w:tc>
          <w:tcPr>
            <w:tcW w:w="566" w:type="dxa"/>
            <w:gridSpan w:val="1"/>
            <w:vAlign w:val="top"/>
            <w:tcMar/>
            <w:tcBorders>
              <w:top w:val="single" w:sz="4" w:space="0" w:color="000000"/>
            </w:tcBorders>
          </w:tcPr>
          <w:p>
            <w:pPr>
              <w:autoSpaceDE w:val="0"/>
              <w:autoSpaceDN w:val="0"/>
              <w:jc w:val="left"/>
              <w:spacing w:before="14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86" w:firstLine="0"/>
              <w:snapToGrid w:val="0"/>
              <w:textAlignment w:val="auto"/>
              <w:tabs/>
              <w:rPr>
                <w:rFonts w:ascii="宋体" w:hAnsi="宋体" w:cs="宋体" w:eastAsia="宋体" w:hint="ascii"/>
                <w:sz w:val="15"/>
              </w:rPr>
            </w:pPr>
            <w:r>
              <w:rPr>
                <w:rFonts w:ascii="宋体" w:hAnsi="宋体" w:cs="宋体" w:eastAsia="宋体" w:hint="ascii"/>
                <w:sz w:val="15"/>
              </w:rPr>
              <w:t>影像医学、生物医学工程、</w:t>
            </w:r>
          </w:p>
          <w:p>
            <w:pPr>
              <w:autoSpaceDE w:val="0"/>
              <w:autoSpaceDN w:val="0"/>
              <w:jc w:val="left"/>
              <w:spacing w:before="7" w:after="0" w:lineRule="exact" w:line="188"/>
              <w:ind w:right="0" w:left="386" w:firstLine="0"/>
              <w:snapToGrid w:val="0"/>
              <w:textAlignment w:val="auto"/>
              <w:tabs/>
              <w:rPr>
                <w:rFonts w:ascii="宋体" w:hAnsi="宋体" w:cs="宋体" w:eastAsia="宋体" w:hint="ascii"/>
                <w:sz w:val="15"/>
              </w:rPr>
            </w:pPr>
            <w:r>
              <w:rPr>
                <w:rFonts w:ascii="宋体" w:hAnsi="宋体" w:cs="宋体" w:eastAsia="宋体" w:hint="ascii"/>
                <w:sz w:val="15"/>
              </w:rPr>
              <w:t>特种医学、法医学</w:t>
            </w:r>
          </w:p>
        </w:tc>
        <w:tc>
          <w:tcPr>
            <w:tcW w:w="794"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220</w:t>
            </w:r>
            <w:r>
              <w:rPr>
                <w:rFonts w:ascii="宋体" w:hAnsi="宋体" w:cs="宋体" w:eastAsia="宋体" w:hint="ascii"/>
                <w:sz w:val="15"/>
              </w:rPr>
              <w:t>＋</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14" w:firstLine="0"/>
              <w:snapToGrid w:val="0"/>
              <w:textAlignment w:val="auto"/>
              <w:tabs>
                <w:tab w:val="left" w:leader="none" w:pos="307"/>
              </w:tabs>
              <w:numPr>
                <w:ilvl w:val="0"/>
                <w:numId w:val="11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565</w:t>
            </w:r>
            <w:r>
              <w:rPr>
                <w:rFonts w:ascii="宋体" w:hAnsi="宋体" w:cs="宋体" w:eastAsia="宋体" w:hint="ascii"/>
                <w:sz w:val="15"/>
              </w:rPr>
              <w:t>＋</w:t>
            </w:r>
            <w:r>
              <w:rPr>
                <w:rFonts w:ascii="Times New Roman" w:hAnsi="Times New Roman" w:cs="Times New Roman" w:eastAsia="Times New Roman" w:hint="ascii"/>
                <w:sz w:val="15"/>
              </w:rPr>
              <w:t>275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19.43</w:t>
            </w:r>
          </w:p>
        </w:tc>
        <w:tc>
          <w:tcPr>
            <w:tcW w:w="79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239</w:t>
            </w:r>
            <w:r>
              <w:rPr>
                <w:rFonts w:ascii="宋体" w:hAnsi="宋体" w:cs="宋体" w:eastAsia="宋体" w:hint="ascii"/>
                <w:sz w:val="15"/>
              </w:rPr>
              <w:t>＋</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44" w:firstLine="0"/>
              <w:snapToGrid w:val="0"/>
              <w:textAlignment w:val="auto"/>
              <w:tabs>
                <w:tab w:val="left" w:leader="none" w:pos="337"/>
              </w:tabs>
              <w:numPr>
                <w:ilvl w:val="0"/>
                <w:numId w:val="11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234</w:t>
            </w:r>
            <w:r>
              <w:rPr>
                <w:rFonts w:ascii="宋体" w:hAnsi="宋体" w:cs="宋体" w:eastAsia="宋体" w:hint="ascii"/>
                <w:sz w:val="15"/>
              </w:rPr>
              <w:t>＋</w:t>
            </w:r>
            <w:r>
              <w:rPr>
                <w:rFonts w:ascii="Times New Roman" w:hAnsi="Times New Roman" w:cs="Times New Roman" w:eastAsia="Times New Roman" w:hint="ascii"/>
                <w:sz w:val="15"/>
              </w:rPr>
              <w:t>275</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9"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19.17</w:t>
            </w:r>
          </w:p>
        </w:tc>
      </w:tr>
      <w:tr>
        <w:trPr>
          <w:trHeight w:val="878" w:hRule="exact"/>
          <w:cantSplit w:val="1"/>
        </w:trPr>
        <w:tc>
          <w:tcPr>
            <w:tcW w:w="566" w:type="dxa"/>
            <w:gridSpan w:val="1"/>
            <w:vAlign w:val="top"/>
            <w:tcMar/>
            <w:tcBorders>
              <w:top w:val="single" w:sz="4" w:space="0" w:color="000000"/>
            </w:tcBorders>
          </w:tcPr>
          <w:p>
            <w:pPr>
              <w:autoSpaceDE w:val="0"/>
              <w:autoSpaceDN w:val="0"/>
              <w:jc w:val="left"/>
              <w:spacing w:before="337"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206" w:firstLine="0"/>
              <w:snapToGrid w:val="0"/>
              <w:textAlignment w:val="auto"/>
              <w:tabs/>
              <w:rPr>
                <w:rFonts w:ascii="宋体" w:hAnsi="宋体" w:cs="宋体" w:eastAsia="宋体" w:hint="ascii"/>
                <w:sz w:val="15"/>
              </w:rPr>
            </w:pPr>
            <w:r>
              <w:rPr>
                <w:rFonts w:ascii="宋体" w:hAnsi="宋体" w:cs="宋体" w:eastAsia="宋体" w:hint="ascii"/>
                <w:sz w:val="15"/>
                <w:spacing w:val="3"/>
              </w:rPr>
              <w:t>医学病原生物与感染</w:t>
            </w:r>
            <w:r>
              <w:rPr>
                <w:rFonts w:ascii="宋体" w:hAnsi="宋体" w:cs="宋体" w:eastAsia="宋体" w:hint="ascii"/>
                <w:sz w:val="15"/>
              </w:rPr>
              <w:t>性</w:t>
            </w:r>
          </w:p>
          <w:p>
            <w:pPr>
              <w:autoSpaceDE w:val="0"/>
              <w:autoSpaceDN w:val="0"/>
              <w:jc w:val="left"/>
              <w:spacing w:before="7" w:after="0" w:lineRule="exact" w:line="188"/>
              <w:ind w:right="0" w:left="90" w:firstLine="0"/>
              <w:snapToGrid w:val="0"/>
              <w:textAlignment w:val="auto"/>
              <w:tabs/>
              <w:rPr>
                <w:rFonts w:ascii="宋体" w:hAnsi="宋体" w:cs="宋体" w:eastAsia="宋体" w:hint="ascii"/>
                <w:sz w:val="15"/>
              </w:rPr>
            </w:pPr>
            <w:r>
              <w:rPr>
                <w:rFonts w:ascii="宋体" w:hAnsi="宋体" w:cs="宋体" w:eastAsia="宋体" w:hint="ascii"/>
                <w:sz w:val="15"/>
                <w:spacing w:val="-6"/>
              </w:rPr>
              <w:t>疾病、运动系统疾病、创伤</w:t>
            </w:r>
            <w:r>
              <w:rPr>
                <w:rFonts w:ascii="宋体" w:hAnsi="宋体" w:cs="宋体" w:eastAsia="宋体" w:hint="ascii"/>
                <w:sz w:val="15"/>
              </w:rPr>
              <w:t>、</w:t>
            </w:r>
          </w:p>
          <w:p>
            <w:pPr>
              <w:autoSpaceDE w:val="0"/>
              <w:autoSpaceDN w:val="0"/>
              <w:jc w:val="left"/>
              <w:spacing w:before="7" w:after="0" w:lineRule="exact" w:line="188"/>
              <w:ind w:right="0" w:left="86" w:firstLine="0"/>
              <w:snapToGrid w:val="0"/>
              <w:textAlignment w:val="auto"/>
              <w:tabs/>
              <w:rPr>
                <w:rFonts w:ascii="宋体" w:hAnsi="宋体" w:cs="宋体" w:eastAsia="宋体" w:hint="ascii"/>
                <w:sz w:val="15"/>
              </w:rPr>
            </w:pPr>
            <w:r>
              <w:rPr>
                <w:rFonts w:ascii="宋体" w:hAnsi="宋体" w:cs="宋体" w:eastAsia="宋体" w:hint="ascii"/>
                <w:sz w:val="15"/>
              </w:rPr>
              <w:t>烧伤、整形、急重症医学、</w:t>
            </w:r>
          </w:p>
          <w:p>
            <w:pPr>
              <w:autoSpaceDE w:val="0"/>
              <w:autoSpaceDN w:val="0"/>
              <w:jc w:val="left"/>
              <w:spacing w:before="8" w:after="0" w:lineRule="exact" w:line="188"/>
              <w:ind w:right="0" w:left="312" w:firstLine="0"/>
              <w:snapToGrid w:val="0"/>
              <w:textAlignment w:val="auto"/>
              <w:tabs/>
              <w:rPr>
                <w:rFonts w:ascii="宋体" w:hAnsi="宋体" w:cs="宋体" w:eastAsia="宋体" w:hint="ascii"/>
                <w:sz w:val="15"/>
              </w:rPr>
            </w:pPr>
            <w:r>
              <w:rPr>
                <w:rFonts w:ascii="宋体" w:hAnsi="宋体" w:cs="宋体" w:eastAsia="宋体" w:hint="ascii"/>
                <w:sz w:val="15"/>
              </w:rPr>
              <w:t>检验医学、康复医学</w:t>
            </w:r>
          </w:p>
        </w:tc>
        <w:tc>
          <w:tcPr>
            <w:tcW w:w="794" w:type="dxa"/>
            <w:gridSpan w:val="1"/>
            <w:vAlign w:val="top"/>
            <w:tcMar/>
            <w:tcBorders>
              <w:left w:val="single" w:sz="4" w:space="0" w:color="000000"/>
              <w:top w:val="single" w:sz="4" w:space="0" w:color="000000"/>
            </w:tcBorders>
          </w:tcPr>
          <w:p>
            <w:pPr>
              <w:autoSpaceDE w:val="0"/>
              <w:autoSpaceDN w:val="0"/>
              <w:jc w:val="left"/>
              <w:spacing w:before="324"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369</w:t>
            </w:r>
            <w:r>
              <w:rPr>
                <w:rFonts w:ascii="宋体" w:hAnsi="宋体" w:cs="宋体" w:eastAsia="宋体" w:hint="ascii"/>
                <w:sz w:val="15"/>
              </w:rPr>
              <w:t>＋</w:t>
            </w:r>
            <w:r>
              <w:rPr>
                <w:rFonts w:ascii="Times New Roman" w:hAnsi="Times New Roman" w:cs="Times New Roman" w:eastAsia="Times New Roman" w:hint="ascii"/>
                <w:sz w:val="15"/>
              </w:rPr>
              <w:t>21</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324" w:after="0" w:lineRule="auto" w:line="240"/>
              <w:ind w:right="0" w:left="114" w:firstLine="0"/>
              <w:snapToGrid w:val="0"/>
              <w:textAlignment w:val="auto"/>
              <w:tabs>
                <w:tab w:val="left" w:leader="none" w:pos="307"/>
              </w:tabs>
              <w:numPr>
                <w:ilvl w:val="0"/>
                <w:numId w:val="11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208</w:t>
            </w:r>
            <w:r>
              <w:rPr>
                <w:rFonts w:ascii="宋体" w:hAnsi="宋体" w:cs="宋体" w:eastAsia="宋体" w:hint="ascii"/>
                <w:sz w:val="15"/>
              </w:rPr>
              <w:t>＋</w:t>
            </w:r>
            <w:r>
              <w:rPr>
                <w:rFonts w:ascii="Times New Roman" w:hAnsi="Times New Roman" w:cs="Times New Roman" w:eastAsia="Times New Roman" w:hint="ascii"/>
                <w:sz w:val="15"/>
              </w:rPr>
              <w:t>525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345"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19.02</w:t>
            </w:r>
          </w:p>
        </w:tc>
        <w:tc>
          <w:tcPr>
            <w:tcW w:w="795" w:type="dxa"/>
            <w:gridSpan w:val="1"/>
            <w:vAlign w:val="top"/>
            <w:tcMar/>
            <w:tcBorders>
              <w:left w:val="single" w:sz="4" w:space="0" w:color="000000"/>
              <w:top w:val="single" w:sz="4" w:space="0" w:color="000000"/>
            </w:tcBorders>
          </w:tcPr>
          <w:p>
            <w:pPr>
              <w:autoSpaceDE w:val="0"/>
              <w:autoSpaceDN w:val="0"/>
              <w:jc w:val="left"/>
              <w:spacing w:before="324"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401</w:t>
            </w:r>
            <w:r>
              <w:rPr>
                <w:rFonts w:ascii="宋体" w:hAnsi="宋体" w:cs="宋体" w:eastAsia="宋体" w:hint="ascii"/>
                <w:sz w:val="15"/>
              </w:rPr>
              <w:t>＋</w:t>
            </w:r>
            <w:r>
              <w:rPr>
                <w:rFonts w:ascii="Times New Roman" w:hAnsi="Times New Roman" w:cs="Times New Roman" w:eastAsia="Times New Roman" w:hint="ascii"/>
                <w:sz w:val="15"/>
              </w:rPr>
              <w:t>21</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324" w:after="0" w:lineRule="auto" w:line="240"/>
              <w:ind w:right="0" w:left="144" w:firstLine="0"/>
              <w:snapToGrid w:val="0"/>
              <w:textAlignment w:val="auto"/>
              <w:tabs>
                <w:tab w:val="left" w:leader="none" w:pos="337"/>
              </w:tabs>
              <w:numPr>
                <w:ilvl w:val="0"/>
                <w:numId w:val="11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223</w:t>
            </w:r>
            <w:r>
              <w:rPr>
                <w:rFonts w:ascii="宋体" w:hAnsi="宋体" w:cs="宋体" w:eastAsia="宋体" w:hint="ascii"/>
                <w:sz w:val="15"/>
              </w:rPr>
              <w:t>＋</w:t>
            </w:r>
            <w:r>
              <w:rPr>
                <w:rFonts w:ascii="Times New Roman" w:hAnsi="Times New Roman" w:cs="Times New Roman" w:eastAsia="Times New Roman" w:hint="ascii"/>
                <w:sz w:val="15"/>
              </w:rPr>
              <w:t>525</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5"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18.65</w:t>
            </w:r>
          </w:p>
        </w:tc>
      </w:tr>
      <w:tr>
        <w:trPr>
          <w:trHeight w:val="300" w:hRule="exact"/>
          <w:cantSplit w:val="1"/>
        </w:trPr>
        <w:tc>
          <w:tcPr>
            <w:tcW w:w="566" w:type="dxa"/>
            <w:gridSpan w:val="1"/>
            <w:vAlign w:val="top"/>
            <w:tcMar/>
            <w:tcBorders>
              <w:top w:val="single" w:sz="4" w:space="0" w:color="000000"/>
              <w:bottom w:val="single" w:sz="8" w:space="0" w:color="000000"/>
            </w:tcBorders>
          </w:tcPr>
          <w:p>
            <w:pPr>
              <w:autoSpaceDE w:val="0"/>
              <w:autoSpaceDN w:val="0"/>
              <w:jc w:val="left"/>
              <w:spacing w:before="4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198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45" w:after="0" w:lineRule="exact" w:line="188"/>
              <w:ind w:right="0" w:left="162" w:firstLine="0"/>
              <w:snapToGrid w:val="0"/>
              <w:textAlignment w:val="auto"/>
              <w:tabs/>
              <w:rPr>
                <w:rFonts w:ascii="宋体" w:hAnsi="宋体" w:cs="宋体" w:eastAsia="宋体" w:hint="ascii"/>
                <w:sz w:val="15"/>
              </w:rPr>
            </w:pPr>
            <w:r>
              <w:rPr>
                <w:rFonts w:ascii="宋体" w:hAnsi="宋体" w:cs="宋体" w:eastAsia="宋体" w:hint="ascii"/>
                <w:sz w:val="15"/>
              </w:rPr>
              <w:t>肿瘤学（血液系统除外）</w:t>
            </w:r>
          </w:p>
        </w:tc>
        <w:tc>
          <w:tcPr>
            <w:tcW w:w="79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2"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746</w:t>
            </w:r>
            <w:r>
              <w:rPr>
                <w:rFonts w:ascii="宋体" w:hAnsi="宋体" w:cs="宋体" w:eastAsia="宋体" w:hint="ascii"/>
                <w:sz w:val="15"/>
              </w:rPr>
              <w:t>＋</w:t>
            </w:r>
            <w:r>
              <w:rPr>
                <w:rFonts w:ascii="Times New Roman" w:hAnsi="Times New Roman" w:cs="Times New Roman" w:eastAsia="Times New Roman" w:hint="ascii"/>
                <w:sz w:val="15"/>
              </w:rPr>
              <w:t>29</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2" w:after="0" w:lineRule="auto" w:line="240"/>
              <w:ind w:right="0" w:left="11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42 784</w:t>
            </w:r>
            <w:r>
              <w:rPr>
                <w:rFonts w:ascii="宋体" w:hAnsi="宋体" w:cs="宋体" w:eastAsia="宋体" w:hint="ascii"/>
                <w:sz w:val="15"/>
              </w:rPr>
              <w:t>＋</w:t>
            </w:r>
            <w:r>
              <w:rPr>
                <w:rFonts w:ascii="Times New Roman" w:hAnsi="Times New Roman" w:cs="Times New Roman" w:eastAsia="Times New Roman" w:hint="ascii"/>
                <w:sz w:val="15"/>
              </w:rPr>
              <w:t>725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18.73</w:t>
            </w:r>
          </w:p>
        </w:tc>
        <w:tc>
          <w:tcPr>
            <w:tcW w:w="79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2"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819</w:t>
            </w:r>
            <w:r>
              <w:rPr>
                <w:rFonts w:ascii="宋体" w:hAnsi="宋体" w:cs="宋体" w:eastAsia="宋体" w:hint="ascii"/>
                <w:sz w:val="15"/>
              </w:rPr>
              <w:t>＋</w:t>
            </w:r>
            <w:r>
              <w:rPr>
                <w:rFonts w:ascii="Times New Roman" w:hAnsi="Times New Roman" w:cs="Times New Roman" w:eastAsia="Times New Roman" w:hint="ascii"/>
                <w:sz w:val="15"/>
              </w:rPr>
              <w:t>29</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2" w:after="0" w:lineRule="auto" w:line="240"/>
              <w:ind w:right="0" w:left="14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45 562</w:t>
            </w:r>
            <w:r>
              <w:rPr>
                <w:rFonts w:ascii="宋体" w:hAnsi="宋体" w:cs="宋体" w:eastAsia="宋体" w:hint="ascii"/>
                <w:sz w:val="15"/>
              </w:rPr>
              <w:t>＋</w:t>
            </w:r>
            <w:r>
              <w:rPr>
                <w:rFonts w:ascii="Times New Roman" w:hAnsi="Times New Roman" w:cs="Times New Roman" w:eastAsia="Times New Roman" w:hint="ascii"/>
                <w:sz w:val="15"/>
              </w:rPr>
              <w:t>725</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52"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18.28</w:t>
            </w:r>
          </w:p>
        </w:tc>
      </w:tr>
    </w:tbl>
    <w:p>
      <w:pPr>
        <w:autoSpaceDE w:val="0"/>
        <w:autoSpaceDN w:val="0"/>
        <w:jc w:val="left"/>
        <w:spacing w:before="34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327"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126" locked="0" layoutInCell="1" allowOverlap="1">
                <wp:simplePos x="0" y="0"/>
                <wp:positionH relativeFrom="page">
                  <wp:posOffset>938530</wp:posOffset>
                </wp:positionH>
                <wp:positionV relativeFrom="page">
                  <wp:posOffset>819150</wp:posOffset>
                </wp:positionV>
                <wp:extent cx="5076190" cy="0"/>
                <wp:wrapNone/>
                <wp:docPr id="1155" name="115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29216;width:399.70pt;" id="1155"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566"/>
        <w:gridCol w:w="1984"/>
        <w:gridCol w:w="794"/>
        <w:gridCol w:w="1077"/>
        <w:gridCol w:w="849"/>
        <w:gridCol w:w="795"/>
        <w:gridCol w:w="1135"/>
        <w:gridCol w:w="792"/>
      </w:tblGrid>
      <w:tr>
        <w:trPr>
          <w:trHeight w:val="299" w:hRule="exact"/>
          <w:cantSplit w:val="1"/>
        </w:trPr>
        <w:tc>
          <w:tcPr>
            <w:tcW w:w="2550" w:type="dxa"/>
            <w:gridSpan w:val="2"/>
            <w:vAlign w:val="top"/>
            <w:vMerge w:val="restart"/>
            <w:tcMar/>
            <w:tcBorders/>
          </w:tcPr>
          <w:p>
            <w:pPr>
              <w:autoSpaceDE w:val="0"/>
              <w:autoSpaceDN w:val="0"/>
              <w:jc w:val="left"/>
              <w:spacing w:before="289" w:after="0" w:lineRule="exact" w:line="188"/>
              <w:ind w:right="0" w:left="1040"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20" w:type="dxa"/>
            <w:gridSpan w:val="3"/>
            <w:vAlign w:val="top"/>
            <w:tcMar/>
            <w:tcBorders>
              <w:left w:val="single" w:sz="4" w:space="0" w:color="000000"/>
            </w:tcBorders>
          </w:tcPr>
          <w:p>
            <w:pPr>
              <w:autoSpaceDE w:val="0"/>
              <w:autoSpaceDN w:val="0"/>
              <w:jc w:val="left"/>
              <w:spacing w:before="45" w:after="0" w:lineRule="auto" w:line="240"/>
              <w:ind w:right="0" w:left="1038" w:firstLine="0"/>
              <w:snapToGrid w:val="0"/>
              <w:textAlignment w:val="auto"/>
              <w:tabs>
                <w:tab w:val="left" w:leader="none" w:pos="1381"/>
              </w:tabs>
              <w:numPr>
                <w:ilvl w:val="0"/>
                <w:numId w:val="116"/>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22" w:type="dxa"/>
            <w:gridSpan w:val="3"/>
            <w:vAlign w:val="top"/>
            <w:tcMar/>
            <w:tcBorders>
              <w:left w:val="single" w:sz="4" w:space="0" w:color="000000"/>
              <w:right w:val="single" w:sz="8" w:space="0" w:color="000000"/>
            </w:tcBorders>
          </w:tcPr>
          <w:p>
            <w:pPr>
              <w:autoSpaceDE w:val="0"/>
              <w:autoSpaceDN w:val="0"/>
              <w:jc w:val="left"/>
              <w:spacing w:before="45" w:after="0" w:lineRule="auto" w:line="240"/>
              <w:ind w:right="0" w:left="1038" w:firstLine="0"/>
              <w:snapToGrid w:val="0"/>
              <w:textAlignment w:val="auto"/>
              <w:tabs>
                <w:tab w:val="left" w:leader="none" w:pos="1381"/>
              </w:tabs>
              <w:numPr>
                <w:ilvl w:val="0"/>
                <w:numId w:val="116"/>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90" w:hRule="exact"/>
          <w:cantSplit w:val="1"/>
        </w:trPr>
        <w:tc>
          <w:tcPr>
            <w:tcW w:w="255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94"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077"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233"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49" w:type="dxa"/>
            <w:gridSpan w:val="1"/>
            <w:vAlign w:val="top"/>
            <w:tcMar/>
            <w:tcBorders>
              <w:left w:val="single" w:sz="4" w:space="0" w:color="000000"/>
              <w:top w:val="single" w:sz="4" w:space="0" w:color="000000"/>
            </w:tcBorders>
          </w:tcPr>
          <w:p>
            <w:pPr>
              <w:autoSpaceDE w:val="0"/>
              <w:autoSpaceDN w:val="0"/>
              <w:jc w:val="left"/>
              <w:spacing w:before="35" w:after="0" w:lineRule="exact" w:line="200"/>
              <w:ind w:right="0" w:left="155"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70"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5"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135"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263"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exact" w:line="200"/>
              <w:ind w:right="0" w:left="126" w:firstLine="0"/>
              <w:snapToGrid w:val="0"/>
              <w:textAlignment w:val="auto"/>
              <w:tabs/>
              <w:rPr>
                <w:rFonts w:ascii="宋体" w:hAnsi="宋体" w:cs="宋体" w:eastAsia="宋体" w:hint="ascii"/>
                <w:sz w:val="8"/>
                <w:position w:val="8"/>
              </w:rPr>
            </w:pPr>
            <w:r>
              <w:rPr>
                <w:rFonts w:ascii="宋体" w:hAnsi="宋体" w:cs="宋体" w:eastAsia="宋体" w:hint="ascii"/>
                <w:sz w:val="15"/>
              </w:rPr>
              <w:t>资助率</w:t>
            </w:r>
            <w:r>
              <w:rPr>
                <w:rFonts w:ascii="宋体" w:hAnsi="宋体" w:cs="宋体" w:eastAsia="宋体" w:hint="ascii"/>
                <w:sz w:val="8"/>
                <w:position w:val="8"/>
              </w:rPr>
              <w:t>＋</w:t>
            </w:r>
          </w:p>
          <w:p>
            <w:pPr>
              <w:autoSpaceDE w:val="0"/>
              <w:autoSpaceDN w:val="0"/>
              <w:jc w:val="left"/>
              <w:spacing w:before="4" w:after="0" w:lineRule="exact" w:line="188"/>
              <w:ind w:right="0" w:left="141"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683" w:hRule="exact"/>
          <w:cantSplit w:val="1"/>
        </w:trPr>
        <w:tc>
          <w:tcPr>
            <w:tcW w:w="566" w:type="dxa"/>
            <w:gridSpan w:val="1"/>
            <w:vAlign w:val="top"/>
            <w:tcMar/>
            <w:tcBorders>
              <w:top w:val="single" w:sz="4" w:space="0" w:color="000000"/>
            </w:tcBorders>
          </w:tcPr>
          <w:p>
            <w:pPr>
              <w:autoSpaceDE w:val="0"/>
              <w:autoSpaceDN w:val="0"/>
              <w:jc w:val="left"/>
              <w:spacing w:before="240"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86" w:firstLine="0"/>
              <w:snapToGrid w:val="0"/>
              <w:textAlignment w:val="auto"/>
              <w:tabs/>
              <w:rPr>
                <w:rFonts w:ascii="宋体" w:hAnsi="宋体" w:cs="宋体" w:eastAsia="宋体" w:hint="ascii"/>
                <w:sz w:val="15"/>
              </w:rPr>
            </w:pPr>
            <w:r>
              <w:rPr>
                <w:rFonts w:ascii="宋体" w:hAnsi="宋体" w:cs="宋体" w:eastAsia="宋体" w:hint="ascii"/>
                <w:sz w:val="15"/>
              </w:rPr>
              <w:t>皮肤及其附属器疾病、预防</w:t>
            </w:r>
          </w:p>
          <w:p>
            <w:pPr>
              <w:autoSpaceDE w:val="0"/>
              <w:autoSpaceDN w:val="0"/>
              <w:jc w:val="left"/>
              <w:spacing w:before="7" w:after="0" w:lineRule="exact" w:line="188"/>
              <w:ind w:right="0" w:left="162" w:firstLine="0"/>
              <w:snapToGrid w:val="0"/>
              <w:textAlignment w:val="auto"/>
              <w:tabs/>
              <w:rPr>
                <w:rFonts w:ascii="宋体" w:hAnsi="宋体" w:cs="宋体" w:eastAsia="宋体" w:hint="ascii"/>
                <w:sz w:val="15"/>
              </w:rPr>
            </w:pPr>
            <w:r>
              <w:rPr>
                <w:rFonts w:ascii="宋体" w:hAnsi="宋体" w:cs="宋体" w:eastAsia="宋体" w:hint="ascii"/>
                <w:sz w:val="15"/>
              </w:rPr>
              <w:t>医学、地方病学、职业病</w:t>
            </w:r>
          </w:p>
          <w:p>
            <w:pPr>
              <w:autoSpaceDE w:val="0"/>
              <w:autoSpaceDN w:val="0"/>
              <w:jc w:val="left"/>
              <w:spacing w:before="7" w:after="0" w:lineRule="exact" w:line="188"/>
              <w:ind w:right="0" w:left="536" w:firstLine="0"/>
              <w:snapToGrid w:val="0"/>
              <w:textAlignment w:val="auto"/>
              <w:tabs/>
              <w:rPr>
                <w:rFonts w:ascii="宋体" w:hAnsi="宋体" w:cs="宋体" w:eastAsia="宋体" w:hint="ascii"/>
                <w:sz w:val="15"/>
              </w:rPr>
            </w:pPr>
            <w:r>
              <w:rPr>
                <w:rFonts w:ascii="宋体" w:hAnsi="宋体" w:cs="宋体" w:eastAsia="宋体" w:hint="ascii"/>
                <w:sz w:val="15"/>
              </w:rPr>
              <w:t>学、放射医学</w:t>
            </w:r>
          </w:p>
        </w:tc>
        <w:tc>
          <w:tcPr>
            <w:tcW w:w="794" w:type="dxa"/>
            <w:gridSpan w:val="1"/>
            <w:vAlign w:val="top"/>
            <w:tcMar/>
            <w:tcBorders>
              <w:left w:val="single" w:sz="4" w:space="0" w:color="000000"/>
              <w:top w:val="single" w:sz="4" w:space="0" w:color="000000"/>
            </w:tcBorders>
          </w:tcPr>
          <w:p>
            <w:pPr>
              <w:autoSpaceDE w:val="0"/>
              <w:autoSpaceDN w:val="0"/>
              <w:jc w:val="left"/>
              <w:spacing w:before="227" w:after="0" w:lineRule="auto" w:line="240"/>
              <w:ind w:right="0" w:left="10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225</w:t>
            </w:r>
            <w:r>
              <w:rPr>
                <w:rFonts w:ascii="宋体" w:hAnsi="宋体" w:cs="宋体" w:eastAsia="宋体" w:hint="ascii"/>
                <w:sz w:val="15"/>
              </w:rPr>
              <w:t>＋</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227" w:after="0" w:lineRule="auto" w:line="240"/>
              <w:ind w:right="0" w:left="114" w:firstLine="0"/>
              <w:snapToGrid w:val="0"/>
              <w:textAlignment w:val="auto"/>
              <w:tabs>
                <w:tab w:val="left" w:leader="none" w:pos="307"/>
              </w:tabs>
              <w:numPr>
                <w:ilvl w:val="0"/>
                <w:numId w:val="117"/>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917</w:t>
            </w:r>
            <w:r>
              <w:rPr>
                <w:rFonts w:ascii="宋体" w:hAnsi="宋体" w:cs="宋体" w:eastAsia="宋体" w:hint="ascii"/>
                <w:sz w:val="15"/>
              </w:rPr>
              <w:t>＋</w:t>
            </w:r>
            <w:r>
              <w:rPr>
                <w:rFonts w:ascii="Times New Roman" w:hAnsi="Times New Roman" w:cs="Times New Roman" w:eastAsia="Times New Roman" w:hint="ascii"/>
                <w:sz w:val="15"/>
              </w:rPr>
              <w:t>275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246" w:after="0" w:lineRule="auto" w:line="240"/>
              <w:ind w:right="0" w:left="2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795" w:type="dxa"/>
            <w:gridSpan w:val="1"/>
            <w:vAlign w:val="top"/>
            <w:tcMar/>
            <w:tcBorders>
              <w:left w:val="single" w:sz="4" w:space="0" w:color="000000"/>
              <w:top w:val="single" w:sz="4" w:space="0" w:color="000000"/>
            </w:tcBorders>
          </w:tcPr>
          <w:p>
            <w:pPr>
              <w:autoSpaceDE w:val="0"/>
              <w:autoSpaceDN w:val="0"/>
              <w:jc w:val="left"/>
              <w:spacing w:before="227"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241</w:t>
            </w:r>
            <w:r>
              <w:rPr>
                <w:rFonts w:ascii="宋体" w:hAnsi="宋体" w:cs="宋体" w:eastAsia="宋体" w:hint="ascii"/>
                <w:sz w:val="15"/>
              </w:rPr>
              <w:t>＋</w:t>
            </w:r>
            <w:r>
              <w:rPr>
                <w:rFonts w:ascii="Times New Roman" w:hAnsi="Times New Roman" w:cs="Times New Roman" w:eastAsia="Times New Roman" w:hint="ascii"/>
                <w:sz w:val="15"/>
              </w:rPr>
              <w:t>10</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227" w:after="0" w:lineRule="auto" w:line="240"/>
              <w:ind w:right="0" w:left="144" w:firstLine="0"/>
              <w:snapToGrid w:val="0"/>
              <w:textAlignment w:val="auto"/>
              <w:tabs>
                <w:tab w:val="left" w:leader="none" w:pos="337"/>
              </w:tabs>
              <w:numPr>
                <w:ilvl w:val="0"/>
                <w:numId w:val="117"/>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341</w:t>
            </w:r>
            <w:r>
              <w:rPr>
                <w:rFonts w:ascii="宋体" w:hAnsi="宋体" w:cs="宋体" w:eastAsia="宋体" w:hint="ascii"/>
                <w:sz w:val="15"/>
              </w:rPr>
              <w:t>＋</w:t>
            </w:r>
            <w:r>
              <w:rPr>
                <w:rFonts w:ascii="Times New Roman" w:hAnsi="Times New Roman" w:cs="Times New Roman" w:eastAsia="Times New Roman" w:hint="ascii"/>
                <w:sz w:val="15"/>
              </w:rPr>
              <w:t>250</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6"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24.18</w:t>
            </w:r>
          </w:p>
        </w:tc>
      </w:tr>
      <w:tr>
        <w:trPr>
          <w:trHeight w:val="295" w:hRule="exact"/>
          <w:cantSplit w:val="1"/>
        </w:trPr>
        <w:tc>
          <w:tcPr>
            <w:tcW w:w="566" w:type="dxa"/>
            <w:gridSpan w:val="1"/>
            <w:vAlign w:val="top"/>
            <w:tcMar/>
            <w:tcBorders>
              <w:top w:val="single" w:sz="4" w:space="0" w:color="000000"/>
            </w:tcBorders>
          </w:tcPr>
          <w:p>
            <w:pPr>
              <w:autoSpaceDE w:val="0"/>
              <w:autoSpaceDN w:val="0"/>
              <w:jc w:val="left"/>
              <w:spacing w:before="4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九处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62" w:firstLine="0"/>
              <w:snapToGrid w:val="0"/>
              <w:textAlignment w:val="auto"/>
              <w:tabs/>
              <w:rPr>
                <w:rFonts w:ascii="宋体" w:hAnsi="宋体" w:cs="宋体" w:eastAsia="宋体" w:hint="ascii"/>
                <w:sz w:val="15"/>
              </w:rPr>
            </w:pPr>
            <w:r>
              <w:rPr>
                <w:rFonts w:ascii="宋体" w:hAnsi="宋体" w:cs="宋体" w:eastAsia="宋体" w:hint="ascii"/>
                <w:sz w:val="15"/>
              </w:rPr>
              <w:t>药物学、药理学</w:t>
            </w:r>
          </w:p>
        </w:tc>
        <w:tc>
          <w:tcPr>
            <w:tcW w:w="794" w:type="dxa"/>
            <w:gridSpan w:val="1"/>
            <w:vAlign w:val="top"/>
            <w:tcMar/>
            <w:tcBorders>
              <w:left w:val="single" w:sz="4" w:space="0" w:color="000000"/>
              <w:top w:val="single" w:sz="4" w:space="0" w:color="000000"/>
            </w:tcBorders>
          </w:tcPr>
          <w:p>
            <w:pPr>
              <w:autoSpaceDE w:val="0"/>
              <w:autoSpaceDN w:val="0"/>
              <w:jc w:val="left"/>
              <w:spacing w:before="32" w:after="0" w:lineRule="auto" w:line="240"/>
              <w:ind w:right="0" w:left="10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237</w:t>
            </w:r>
            <w:r>
              <w:rPr>
                <w:rFonts w:ascii="宋体" w:hAnsi="宋体" w:cs="宋体" w:eastAsia="宋体" w:hint="ascii"/>
                <w:sz w:val="15"/>
              </w:rPr>
              <w:t>＋</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32" w:after="0" w:lineRule="auto" w:line="240"/>
              <w:ind w:right="0" w:left="11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13 567</w:t>
            </w:r>
            <w:r>
              <w:rPr>
                <w:rFonts w:ascii="宋体" w:hAnsi="宋体" w:cs="宋体" w:eastAsia="宋体" w:hint="ascii"/>
                <w:sz w:val="15"/>
              </w:rPr>
              <w:t>＋</w:t>
            </w:r>
            <w:r>
              <w:rPr>
                <w:rFonts w:ascii="Times New Roman" w:hAnsi="Times New Roman" w:cs="Times New Roman" w:eastAsia="Times New Roman" w:hint="ascii"/>
                <w:sz w:val="15"/>
              </w:rPr>
              <w:t>275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53"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21.74</w:t>
            </w:r>
          </w:p>
        </w:tc>
        <w:tc>
          <w:tcPr>
            <w:tcW w:w="795" w:type="dxa"/>
            <w:gridSpan w:val="1"/>
            <w:vAlign w:val="top"/>
            <w:tcMar/>
            <w:tcBorders>
              <w:left w:val="single" w:sz="4" w:space="0" w:color="000000"/>
              <w:top w:val="single" w:sz="4" w:space="0" w:color="000000"/>
            </w:tcBorders>
          </w:tcPr>
          <w:p>
            <w:pPr>
              <w:autoSpaceDE w:val="0"/>
              <w:autoSpaceDN w:val="0"/>
              <w:jc w:val="left"/>
              <w:spacing w:before="32" w:after="0" w:lineRule="auto" w:line="240"/>
              <w:ind w:right="0" w:left="108"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262</w:t>
            </w:r>
            <w:r>
              <w:rPr>
                <w:rFonts w:ascii="宋体" w:hAnsi="宋体" w:cs="宋体" w:eastAsia="宋体" w:hint="ascii"/>
                <w:sz w:val="15"/>
              </w:rPr>
              <w:t>＋</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32" w:after="0" w:lineRule="auto" w:line="240"/>
              <w:ind w:right="0" w:left="144" w:firstLine="0"/>
              <w:snapToGrid w:val="0"/>
              <w:textAlignment w:val="auto"/>
              <w:tabs>
                <w:tab w:val="left" w:leader="none" w:pos="337"/>
              </w:tabs>
              <w:numPr>
                <w:ilvl w:val="0"/>
                <w:numId w:val="117"/>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534</w:t>
            </w:r>
            <w:r>
              <w:rPr>
                <w:rFonts w:ascii="宋体" w:hAnsi="宋体" w:cs="宋体" w:eastAsia="宋体" w:hint="ascii"/>
                <w:sz w:val="15"/>
              </w:rPr>
              <w:t>＋</w:t>
            </w:r>
            <w:r>
              <w:rPr>
                <w:rFonts w:ascii="Times New Roman" w:hAnsi="Times New Roman" w:cs="Times New Roman" w:eastAsia="Times New Roman" w:hint="ascii"/>
                <w:sz w:val="15"/>
              </w:rPr>
              <w:t>275</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3"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21.28</w:t>
            </w:r>
          </w:p>
        </w:tc>
      </w:tr>
      <w:tr>
        <w:trPr>
          <w:trHeight w:val="488" w:hRule="exact"/>
          <w:cantSplit w:val="1"/>
        </w:trPr>
        <w:tc>
          <w:tcPr>
            <w:tcW w:w="566" w:type="dxa"/>
            <w:gridSpan w:val="1"/>
            <w:vAlign w:val="top"/>
            <w:tcMar/>
            <w:tcBorders>
              <w:top w:val="single" w:sz="4" w:space="0" w:color="000000"/>
            </w:tcBorders>
          </w:tcPr>
          <w:p>
            <w:pPr>
              <w:autoSpaceDE w:val="0"/>
              <w:autoSpaceDN w:val="0"/>
              <w:jc w:val="left"/>
              <w:spacing w:before="14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十处</w:t>
            </w:r>
          </w:p>
        </w:tc>
        <w:tc>
          <w:tcPr>
            <w:tcW w:w="198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162" w:firstLine="0"/>
              <w:snapToGrid w:val="0"/>
              <w:textAlignment w:val="auto"/>
              <w:tabs/>
              <w:rPr>
                <w:rFonts w:ascii="宋体" w:hAnsi="宋体" w:cs="宋体" w:eastAsia="宋体" w:hint="ascii"/>
                <w:sz w:val="15"/>
              </w:rPr>
            </w:pPr>
            <w:r>
              <w:rPr>
                <w:rFonts w:ascii="宋体" w:hAnsi="宋体" w:cs="宋体" w:eastAsia="宋体" w:hint="ascii"/>
                <w:sz w:val="15"/>
              </w:rPr>
              <w:t>中医学、中西医结合学、</w:t>
            </w:r>
          </w:p>
          <w:p>
            <w:pPr>
              <w:autoSpaceDE w:val="0"/>
              <w:autoSpaceDN w:val="0"/>
              <w:jc w:val="left"/>
              <w:spacing w:before="7" w:after="0" w:lineRule="exact" w:line="188"/>
              <w:ind w:right="0" w:left="762" w:firstLine="0"/>
              <w:snapToGrid w:val="0"/>
              <w:textAlignment w:val="auto"/>
              <w:tabs/>
              <w:rPr>
                <w:rFonts w:ascii="宋体" w:hAnsi="宋体" w:cs="宋体" w:eastAsia="宋体" w:hint="ascii"/>
                <w:sz w:val="15"/>
              </w:rPr>
            </w:pPr>
            <w:r>
              <w:rPr>
                <w:rFonts w:ascii="宋体" w:hAnsi="宋体" w:cs="宋体" w:eastAsia="宋体" w:hint="ascii"/>
                <w:sz w:val="15"/>
              </w:rPr>
              <w:t>中药学</w:t>
            </w:r>
          </w:p>
        </w:tc>
        <w:tc>
          <w:tcPr>
            <w:tcW w:w="794"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550</w:t>
            </w:r>
            <w:r>
              <w:rPr>
                <w:rFonts w:ascii="宋体" w:hAnsi="宋体" w:cs="宋体" w:eastAsia="宋体" w:hint="ascii"/>
                <w:sz w:val="15"/>
              </w:rPr>
              <w:t>＋</w:t>
            </w:r>
            <w:r>
              <w:rPr>
                <w:rFonts w:ascii="Times New Roman" w:hAnsi="Times New Roman" w:cs="Times New Roman" w:eastAsia="Times New Roman" w:hint="ascii"/>
                <w:sz w:val="15"/>
              </w:rPr>
              <w:t>27</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1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31 494</w:t>
            </w:r>
            <w:r>
              <w:rPr>
                <w:rFonts w:ascii="宋体" w:hAnsi="宋体" w:cs="宋体" w:eastAsia="宋体" w:hint="ascii"/>
                <w:sz w:val="15"/>
              </w:rPr>
              <w:t>＋</w:t>
            </w:r>
            <w:r>
              <w:rPr>
                <w:rFonts w:ascii="Times New Roman" w:hAnsi="Times New Roman" w:cs="Times New Roman" w:eastAsia="Times New Roman" w:hint="ascii"/>
                <w:sz w:val="15"/>
              </w:rPr>
              <w:t>675</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17.76</w:t>
            </w:r>
          </w:p>
        </w:tc>
        <w:tc>
          <w:tcPr>
            <w:tcW w:w="79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0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599</w:t>
            </w:r>
            <w:r>
              <w:rPr>
                <w:rFonts w:ascii="宋体" w:hAnsi="宋体" w:cs="宋体" w:eastAsia="宋体" w:hint="ascii"/>
                <w:sz w:val="15"/>
              </w:rPr>
              <w:t>＋</w:t>
            </w:r>
            <w:r>
              <w:rPr>
                <w:rFonts w:ascii="Times New Roman" w:hAnsi="Times New Roman" w:cs="Times New Roman" w:eastAsia="Times New Roman" w:hint="ascii"/>
                <w:sz w:val="15"/>
              </w:rPr>
              <w:t>28</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130" w:after="0" w:lineRule="auto" w:line="240"/>
              <w:ind w:right="0" w:left="144"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33 058</w:t>
            </w:r>
            <w:r>
              <w:rPr>
                <w:rFonts w:ascii="宋体" w:hAnsi="宋体" w:cs="宋体" w:eastAsia="宋体" w:hint="ascii"/>
                <w:sz w:val="15"/>
              </w:rPr>
              <w:t>＋</w:t>
            </w:r>
            <w:r>
              <w:rPr>
                <w:rFonts w:ascii="Times New Roman" w:hAnsi="Times New Roman" w:cs="Times New Roman" w:eastAsia="Times New Roman" w:hint="ascii"/>
                <w:sz w:val="15"/>
              </w:rPr>
              <w:t>700</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9"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16.22</w:t>
            </w:r>
          </w:p>
        </w:tc>
      </w:tr>
      <w:tr>
        <w:trPr>
          <w:trHeight w:val="468" w:hRule="exact"/>
          <w:cantSplit w:val="1"/>
        </w:trPr>
        <w:tc>
          <w:tcPr>
            <w:tcW w:w="2550" w:type="dxa"/>
            <w:gridSpan w:val="2"/>
            <w:vAlign w:val="top"/>
            <w:tcMar/>
            <w:tcBorders>
              <w:top w:val="single" w:sz="4" w:space="0" w:color="000000"/>
            </w:tcBorders>
          </w:tcPr>
          <w:p>
            <w:pPr>
              <w:autoSpaceDE w:val="0"/>
              <w:autoSpaceDN w:val="0"/>
              <w:jc w:val="left"/>
              <w:spacing w:before="132" w:after="0" w:lineRule="exact" w:line="188"/>
              <w:ind w:right="0" w:left="816"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794" w:type="dxa"/>
            <w:gridSpan w:val="1"/>
            <w:vAlign w:val="top"/>
            <w:tcMar/>
            <w:tcBorders>
              <w:left w:val="single" w:sz="4" w:space="0" w:color="000000"/>
              <w:top w:val="single" w:sz="4" w:space="0" w:color="000000"/>
            </w:tcBorders>
          </w:tcPr>
          <w:p>
            <w:pPr>
              <w:autoSpaceDE w:val="0"/>
              <w:autoSpaceDN w:val="0"/>
              <w:jc w:val="left"/>
              <w:spacing w:before="58" w:after="0" w:lineRule="auto" w:line="220"/>
              <w:ind w:right="0" w:left="149" w:firstLine="0"/>
              <w:snapToGrid w:val="0"/>
              <w:textAlignment w:val="auto"/>
              <w:tabs>
                <w:tab w:val="left" w:leader="none" w:pos="266"/>
              </w:tabs>
              <w:numPr>
                <w:ilvl w:val="0"/>
                <w:numId w:val="118"/>
              </w:numPr>
              <w:rPr>
                <w:rFonts w:ascii="Times New Roman" w:hAnsi="Times New Roman" w:cs="Times New Roman" w:eastAsia="Times New Roman" w:hint="ascii"/>
                <w:sz w:val="15"/>
              </w:rPr>
            </w:pPr>
            <w:r>
              <w:rPr>
                <w:rFonts w:ascii="Times New Roman" w:hAnsi="Times New Roman" w:cs="Times New Roman" w:eastAsia="Times New Roman" w:hint="ascii"/>
                <w:sz w:val="15"/>
              </w:rPr>
              <w:t>922</w:t>
            </w:r>
            <w:r>
              <w:rPr>
                <w:rFonts w:ascii="宋体" w:hAnsi="宋体" w:cs="宋体" w:eastAsia="宋体" w:hint="ascii"/>
                <w:sz w:val="15"/>
              </w:rPr>
              <w:t>＋</w:t>
            </w:r>
          </w:p>
          <w:p>
            <w:pPr>
              <w:autoSpaceDE w:val="0"/>
              <w:autoSpaceDN w:val="0"/>
              <w:jc w:val="left"/>
              <w:spacing w:before="0" w:after="0" w:lineRule="auto" w:line="221"/>
              <w:ind w:right="0" w:left="25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180</w:t>
            </w:r>
            <w:r>
              <w:rPr>
                <w:rFonts w:ascii="Times New Roman" w:hAnsi="Times New Roman" w:cs="Times New Roman" w:eastAsia="Times New Roman" w:hint="ascii"/>
                <w:sz w:val="10"/>
                <w:position w:val="7"/>
              </w:rPr>
              <w:t>*</w:t>
            </w:r>
          </w:p>
        </w:tc>
        <w:tc>
          <w:tcPr>
            <w:tcW w:w="1077" w:type="dxa"/>
            <w:gridSpan w:val="1"/>
            <w:vAlign w:val="top"/>
            <w:tcMar/>
            <w:tcBorders>
              <w:left w:val="single" w:sz="4" w:space="0" w:color="000000"/>
              <w:top w:val="single" w:sz="4" w:space="0" w:color="000000"/>
            </w:tcBorders>
          </w:tcPr>
          <w:p>
            <w:pPr>
              <w:autoSpaceDE w:val="0"/>
              <w:autoSpaceDN w:val="0"/>
              <w:jc w:val="left"/>
              <w:spacing w:before="58" w:after="0" w:lineRule="auto" w:line="220"/>
              <w:ind w:right="0" w:left="213"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225 590</w:t>
            </w:r>
            <w:r>
              <w:rPr>
                <w:rFonts w:ascii="宋体" w:hAnsi="宋体" w:cs="宋体" w:eastAsia="宋体" w:hint="ascii"/>
                <w:sz w:val="15"/>
              </w:rPr>
              <w:t>＋</w:t>
            </w:r>
          </w:p>
          <w:p>
            <w:pPr>
              <w:autoSpaceDE w:val="0"/>
              <w:autoSpaceDN w:val="0"/>
              <w:jc w:val="left"/>
              <w:spacing w:before="0" w:after="0" w:lineRule="auto" w:line="221"/>
              <w:ind w:right="0" w:left="338" w:firstLine="0"/>
              <w:snapToGrid w:val="0"/>
              <w:textAlignment w:val="auto"/>
              <w:tabs>
                <w:tab w:val="left" w:leader="none" w:pos="456"/>
              </w:tabs>
              <w:numPr>
                <w:ilvl w:val="0"/>
                <w:numId w:val="118"/>
              </w:numPr>
              <w:rPr>
                <w:rFonts w:ascii="Times New Roman" w:hAnsi="Times New Roman" w:cs="Times New Roman" w:eastAsia="Times New Roman" w:hint="ascii"/>
                <w:sz w:val="15"/>
              </w:rPr>
            </w:pPr>
            <w:r>
              <w:rPr>
                <w:rFonts w:ascii="Times New Roman" w:hAnsi="Times New Roman" w:cs="Times New Roman" w:eastAsia="Times New Roman" w:hint="ascii"/>
                <w:sz w:val="15"/>
              </w:rPr>
              <w:t>500</w:t>
            </w:r>
            <w:r>
              <w:rPr>
                <w:rFonts w:ascii="Times New Roman" w:hAnsi="Times New Roman" w:cs="Times New Roman" w:eastAsia="Times New Roman" w:hint="ascii"/>
                <w:sz w:val="10"/>
                <w:position w:val="7"/>
              </w:rPr>
              <w:t>*</w:t>
            </w:r>
          </w:p>
        </w:tc>
        <w:tc>
          <w:tcPr>
            <w:tcW w:w="849" w:type="dxa"/>
            <w:gridSpan w:val="1"/>
            <w:vAlign w:val="top"/>
            <w:tcMar/>
            <w:tcBorders>
              <w:left w:val="single" w:sz="4" w:space="0" w:color="000000"/>
              <w:top w:val="single" w:sz="4" w:space="0" w:color="000000"/>
            </w:tcBorders>
          </w:tcPr>
          <w:p>
            <w:pPr>
              <w:autoSpaceDE w:val="0"/>
              <w:autoSpaceDN w:val="0"/>
              <w:jc w:val="left"/>
              <w:spacing w:before="138"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20.19</w:t>
            </w:r>
          </w:p>
        </w:tc>
        <w:tc>
          <w:tcPr>
            <w:tcW w:w="795" w:type="dxa"/>
            <w:gridSpan w:val="1"/>
            <w:vAlign w:val="top"/>
            <w:tcMar/>
            <w:tcBorders>
              <w:left w:val="single" w:sz="4" w:space="0" w:color="000000"/>
              <w:top w:val="single" w:sz="4" w:space="0" w:color="000000"/>
            </w:tcBorders>
          </w:tcPr>
          <w:p>
            <w:pPr>
              <w:autoSpaceDE w:val="0"/>
              <w:autoSpaceDN w:val="0"/>
              <w:jc w:val="left"/>
              <w:spacing w:before="58" w:after="0" w:lineRule="auto" w:line="220"/>
              <w:ind w:right="0" w:left="149"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4 275</w:t>
            </w:r>
            <w:r>
              <w:rPr>
                <w:rFonts w:ascii="宋体" w:hAnsi="宋体" w:cs="宋体" w:eastAsia="宋体" w:hint="ascii"/>
                <w:sz w:val="15"/>
              </w:rPr>
              <w:t>＋</w:t>
            </w:r>
          </w:p>
          <w:p>
            <w:pPr>
              <w:autoSpaceDE w:val="0"/>
              <w:autoSpaceDN w:val="0"/>
              <w:jc w:val="left"/>
              <w:spacing w:before="0" w:after="0" w:lineRule="auto" w:line="221"/>
              <w:ind w:right="0" w:left="255"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180</w:t>
            </w:r>
            <w:r>
              <w:rPr>
                <w:rFonts w:ascii="Times New Roman" w:hAnsi="Times New Roman" w:cs="Times New Roman" w:eastAsia="Times New Roman" w:hint="ascii"/>
                <w:sz w:val="10"/>
                <w:position w:val="7"/>
              </w:rPr>
              <w:t>*</w:t>
            </w:r>
          </w:p>
        </w:tc>
        <w:tc>
          <w:tcPr>
            <w:tcW w:w="1135" w:type="dxa"/>
            <w:gridSpan w:val="1"/>
            <w:vAlign w:val="top"/>
            <w:tcMar/>
            <w:tcBorders>
              <w:left w:val="single" w:sz="4" w:space="0" w:color="000000"/>
              <w:top w:val="single" w:sz="4" w:space="0" w:color="000000"/>
            </w:tcBorders>
          </w:tcPr>
          <w:p>
            <w:pPr>
              <w:autoSpaceDE w:val="0"/>
              <w:autoSpaceDN w:val="0"/>
              <w:jc w:val="left"/>
              <w:spacing w:before="58" w:after="0" w:lineRule="auto" w:line="220"/>
              <w:ind w:right="0" w:left="245"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237 640</w:t>
            </w:r>
            <w:r>
              <w:rPr>
                <w:rFonts w:ascii="宋体" w:hAnsi="宋体" w:cs="宋体" w:eastAsia="宋体" w:hint="ascii"/>
                <w:sz w:val="15"/>
              </w:rPr>
              <w:t>＋</w:t>
            </w:r>
          </w:p>
          <w:p>
            <w:pPr>
              <w:autoSpaceDE w:val="0"/>
              <w:autoSpaceDN w:val="0"/>
              <w:jc w:val="left"/>
              <w:spacing w:before="0" w:after="0" w:lineRule="auto" w:line="221"/>
              <w:ind w:right="0" w:left="369" w:firstLine="0"/>
              <w:snapToGrid w:val="0"/>
              <w:textAlignment w:val="auto"/>
              <w:tabs/>
              <w:rPr>
                <w:rFonts w:ascii="Times New Roman" w:hAnsi="Times New Roman" w:cs="Times New Roman" w:eastAsia="Times New Roman" w:hint="ascii"/>
                <w:sz w:val="10"/>
                <w:position w:val="7"/>
              </w:rPr>
            </w:pPr>
            <w:r>
              <w:rPr>
                <w:rFonts w:ascii="Times New Roman" w:hAnsi="Times New Roman" w:cs="Times New Roman" w:eastAsia="Times New Roman" w:hint="ascii"/>
                <w:sz w:val="15"/>
              </w:rPr>
              <w:t>4 500</w:t>
            </w:r>
            <w:r>
              <w:rPr>
                <w:rFonts w:ascii="Times New Roman" w:hAnsi="Times New Roman" w:cs="Times New Roman" w:eastAsia="Times New Roman" w:hint="ascii"/>
                <w:sz w:val="10"/>
                <w:position w:val="7"/>
              </w:rPr>
              <w:t>*</w:t>
            </w:r>
          </w:p>
        </w:tc>
        <w:tc>
          <w:tcPr>
            <w:tcW w:w="7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8"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19.40</w:t>
            </w:r>
          </w:p>
        </w:tc>
      </w:tr>
      <w:tr>
        <w:trPr>
          <w:trHeight w:val="300" w:hRule="exact"/>
          <w:cantSplit w:val="1"/>
        </w:trPr>
        <w:tc>
          <w:tcPr>
            <w:tcW w:w="2550" w:type="dxa"/>
            <w:gridSpan w:val="2"/>
            <w:vAlign w:val="top"/>
            <w:tcMar/>
            <w:tcBorders>
              <w:top w:val="single" w:sz="4" w:space="0" w:color="000000"/>
              <w:bottom w:val="single" w:sz="8" w:space="0" w:color="000000"/>
            </w:tcBorders>
          </w:tcPr>
          <w:p>
            <w:pPr>
              <w:autoSpaceDE w:val="0"/>
              <w:autoSpaceDN w:val="0"/>
              <w:jc w:val="left"/>
              <w:spacing w:before="45" w:after="0" w:lineRule="exact" w:line="188"/>
              <w:ind w:right="0" w:left="66"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直接费用平均资助强度（万元／项）</w:t>
            </w:r>
          </w:p>
        </w:tc>
        <w:tc>
          <w:tcPr>
            <w:tcW w:w="2720"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45" w:after="0" w:lineRule="auto" w:line="240"/>
              <w:ind w:right="0" w:left="794" w:firstLine="0"/>
              <w:snapToGrid w:val="0"/>
              <w:textAlignment w:val="auto"/>
              <w:tabs/>
              <w:rPr>
                <w:rFonts w:ascii="宋体" w:hAnsi="宋体" w:cs="宋体" w:eastAsia="宋体" w:hint="ascii"/>
                <w:sz w:val="15"/>
              </w:rPr>
            </w:pPr>
            <w:r>
              <w:rPr>
                <w:rFonts w:ascii="Times New Roman" w:hAnsi="Times New Roman" w:cs="Times New Roman" w:eastAsia="宋体" w:hint="ascii"/>
                <w:sz w:val="15"/>
              </w:rPr>
              <w:t>56.0</w:t>
            </w:r>
            <w:r>
              <w:rPr>
                <w:rFonts w:ascii="Times New Roman" w:hAnsi="Times New Roman" w:cs="Times New Roman" w:eastAsia="Times New Roman" w:hint="ascii"/>
                <w:sz w:val="15"/>
              </w:rPr>
              <w:t>9</w:t>
            </w:r>
            <w:r>
              <w:rPr>
                <w:rFonts w:ascii="宋体" w:hAnsi="宋体" w:cs="宋体" w:eastAsia="宋体" w:hint="ascii"/>
                <w:sz w:val="15"/>
              </w:rPr>
              <w:t>（</w:t>
            </w:r>
            <w:r>
              <w:rPr>
                <w:rFonts w:ascii="Times New Roman" w:hAnsi="Times New Roman" w:cs="Times New Roman" w:eastAsia="Times New Roman" w:hint="ascii"/>
                <w:sz w:val="15"/>
              </w:rPr>
              <w:t>57.52**</w:t>
            </w:r>
            <w:r>
              <w:rPr>
                <w:rFonts w:ascii="宋体" w:hAnsi="宋体" w:cs="宋体" w:eastAsia="宋体" w:hint="ascii"/>
                <w:sz w:val="15"/>
              </w:rPr>
              <w:t>）</w:t>
            </w:r>
          </w:p>
        </w:tc>
        <w:tc>
          <w:tcPr>
            <w:tcW w:w="2722"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45" w:after="0" w:lineRule="auto" w:line="240"/>
              <w:ind w:right="0" w:left="794" w:firstLine="0"/>
              <w:snapToGrid w:val="0"/>
              <w:textAlignment w:val="auto"/>
              <w:tabs/>
              <w:rPr>
                <w:rFonts w:ascii="宋体" w:hAnsi="宋体" w:cs="宋体" w:eastAsia="宋体" w:hint="ascii"/>
                <w:sz w:val="15"/>
              </w:rPr>
            </w:pPr>
            <w:r>
              <w:rPr>
                <w:rFonts w:ascii="Times New Roman" w:hAnsi="Times New Roman" w:cs="Times New Roman" w:eastAsia="宋体" w:hint="ascii"/>
                <w:sz w:val="15"/>
              </w:rPr>
              <w:t>54.35</w:t>
            </w:r>
            <w:r>
              <w:rPr>
                <w:rFonts w:ascii="宋体" w:hAnsi="宋体" w:cs="宋体" w:eastAsia="宋体" w:hint="ascii"/>
                <w:sz w:val="15"/>
              </w:rPr>
              <w:t>（</w:t>
            </w:r>
            <w:r>
              <w:rPr>
                <w:rFonts w:ascii="Times New Roman" w:hAnsi="Times New Roman" w:cs="Times New Roman" w:eastAsia="Times New Roman" w:hint="ascii"/>
                <w:sz w:val="15"/>
              </w:rPr>
              <w:t>55.59**</w:t>
            </w:r>
            <w:r>
              <w:rPr>
                <w:rFonts w:ascii="宋体" w:hAnsi="宋体" w:cs="宋体" w:eastAsia="宋体" w:hint="ascii"/>
                <w:sz w:val="15"/>
              </w:rPr>
              <w:t>）</w:t>
            </w:r>
          </w:p>
        </w:tc>
      </w:tr>
    </w:tbl>
    <w:p>
      <w:pPr>
        <w:autoSpaceDE w:val="0"/>
        <w:autoSpaceDN w:val="0"/>
        <w:jc w:val="left"/>
        <w:spacing w:before="72" w:after="0" w:lineRule="auto" w:line="240"/>
        <w:ind w:right="0" w:left="1266" w:firstLine="0"/>
        <w:snapToGrid w:val="0"/>
        <w:textAlignment w:val="auto"/>
        <w:tabs/>
        <w:rPr>
          <w:rFonts w:ascii="宋体" w:hAnsi="宋体" w:cs="宋体" w:eastAsia="宋体" w:hint="ascii"/>
          <w:sz w:val="15"/>
          <w:position w:val="3"/>
        </w:rPr>
      </w:pPr>
      <w:r>
        <w:rPr>
          <w:rFonts w:ascii="Times New Roman" w:hAnsi="Times New Roman" w:cs="Times New Roman" w:eastAsia="Times New Roman" w:hint="ascii"/>
          <w:sz w:val="15"/>
        </w:rPr>
        <w:t>*</w:t>
      </w:r>
      <w:r>
        <w:rPr>
          <w:rFonts w:ascii="宋体" w:hAnsi="宋体" w:cs="宋体" w:eastAsia="宋体" w:hint="ascii"/>
          <w:sz w:val="15"/>
          <w:position w:val="3"/>
        </w:rPr>
        <w:t>为小额探索项目</w:t>
      </w:r>
    </w:p>
    <w:p>
      <w:pPr>
        <w:autoSpaceDE w:val="0"/>
        <w:autoSpaceDN w:val="0"/>
        <w:jc w:val="left"/>
        <w:spacing w:before="29" w:after="0" w:lineRule="auto" w:line="240"/>
        <w:ind w:right="0" w:left="1266" w:firstLine="0"/>
        <w:snapToGrid w:val="0"/>
        <w:textAlignment w:val="auto"/>
        <w:tabs/>
        <w:rPr>
          <w:rFonts w:ascii="宋体" w:hAnsi="宋体" w:cs="宋体" w:eastAsia="宋体" w:hint="ascii"/>
          <w:sz w:val="15"/>
          <w:position w:val="3"/>
        </w:rPr>
      </w:pPr>
      <w:r>
        <w:rPr>
          <w:rFonts w:ascii="Times New Roman" w:hAnsi="Times New Roman" w:cs="Times New Roman" w:eastAsia="Times New Roman" w:hint="ascii"/>
          <w:sz w:val="15"/>
        </w:rPr>
        <w:t>**</w:t>
      </w:r>
      <w:r>
        <w:rPr>
          <w:rFonts w:ascii="宋体" w:hAnsi="宋体" w:cs="宋体" w:eastAsia="宋体" w:hint="ascii"/>
          <w:sz w:val="15"/>
          <w:position w:val="3"/>
        </w:rPr>
        <w:t>为不含小额探索项目的平均强度</w:t>
      </w:r>
    </w:p>
    <w:p>
      <w:pPr>
        <w:autoSpaceDE w:val="0"/>
        <w:autoSpaceDN w:val="0"/>
        <w:jc w:val="left"/>
        <w:spacing w:before="28" w:after="0" w:lineRule="auto" w:line="240"/>
        <w:ind w:right="0" w:left="126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spacing w:val="37"/>
        </w:rPr>
        <w:t>+</w:t>
      </w:r>
      <w:r>
        <w:rPr>
          <w:rFonts w:ascii="宋体" w:hAnsi="宋体" w:cs="宋体" w:eastAsia="宋体" w:hint="ascii"/>
          <w:sz w:val="15"/>
        </w:rPr>
        <w:t>为资助率包括小额探索项目</w:t>
      </w:r>
    </w:p>
    <w:p>
      <w:pPr>
        <w:autoSpaceDE w:val="0"/>
        <w:autoSpaceDN w:val="0"/>
        <w:jc w:val="left"/>
        <w:spacing w:before="286"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医学科学一处</w:t>
      </w:r>
    </w:p>
    <w:p>
      <w:pPr>
        <w:autoSpaceDE w:val="0"/>
        <w:autoSpaceDN w:val="0"/>
        <w:jc w:val="both"/>
        <w:spacing w:before="301"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医学科学一处</w:t>
      </w:r>
      <w:r>
        <w:rPr>
          <w:rFonts w:ascii="宋体" w:hAnsi="宋体" w:cs="宋体" w:eastAsia="宋体" w:hint="ascii"/>
          <w:sz w:val="21"/>
        </w:rPr>
        <w:t>主要资助呼吸系统、循环系统、血液系统领域的基础研究和临床基础研究。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呼吸系统（</w:t>
      </w:r>
      <w:r>
        <w:rPr>
          <w:rFonts w:ascii="Times New Roman" w:hAnsi="Times New Roman" w:cs="Times New Roman" w:eastAsia="Times New Roman" w:hint="ascii"/>
          <w:b w:val="1"/>
        </w:rPr>
        <w:t>H01</w:t>
      </w:r>
      <w:r>
        <w:rPr>
          <w:rFonts w:ascii="宋体" w:hAnsi="宋体" w:cs="宋体" w:eastAsia="宋体" w:hint="ascii"/>
        </w:rPr>
        <w:t>）</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主要资助肺、气道、肺循环、纵隔、胸膜、胸廓、膈肌等疾病的相关研究。研究范</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围主要涉及肺及气道</w:t>
      </w:r>
      <w:r>
        <w:rPr>
          <w:rFonts w:ascii="宋体" w:hAnsi="宋体" w:cs="宋体" w:eastAsia="宋体" w:hint="ascii"/>
          <w:sz w:val="21"/>
        </w:rPr>
        <w:t>的结构、功能与发育异常，肺、气道免疫与移植，肺泡与气血</w:t>
      </w:r>
      <w:r>
        <w:rPr>
          <w:rFonts w:ascii="宋体" w:hAnsi="宋体" w:cs="宋体" w:eastAsia="宋体" w:hint="ascii"/>
          <w:sz w:val="21"/>
          <w:spacing w:val="-6"/>
        </w:rPr>
        <w:t>屏</w:t>
      </w:r>
      <w:r>
        <w:rPr>
          <w:rFonts w:ascii="宋体" w:hAnsi="宋体" w:cs="宋体" w:eastAsia="宋体" w:hint="ascii"/>
          <w:sz w:val="21"/>
          <w:spacing w:val="-1"/>
        </w:rPr>
        <w:t>障，肺液体</w:t>
      </w:r>
      <w:r>
        <w:rPr>
          <w:rFonts w:ascii="宋体" w:hAnsi="宋体" w:cs="宋体" w:eastAsia="宋体" w:hint="ascii"/>
          <w:sz w:val="21"/>
        </w:rPr>
        <w:t>转运与肺水肿，呼吸调控异常，呼吸系统感染及宿主与病原物相互作用，肺</w:t>
      </w:r>
      <w:r>
        <w:rPr>
          <w:rFonts w:ascii="宋体" w:hAnsi="宋体" w:cs="宋体" w:eastAsia="宋体" w:hint="ascii"/>
          <w:sz w:val="21"/>
          <w:spacing w:val="-1"/>
        </w:rPr>
        <w:t>损伤、修复</w:t>
      </w:r>
      <w:r>
        <w:rPr>
          <w:rFonts w:ascii="宋体" w:hAnsi="宋体" w:cs="宋体" w:eastAsia="宋体" w:hint="ascii"/>
          <w:sz w:val="21"/>
        </w:rPr>
        <w:t>与重构，气道炎症与哮喘，慢性阻塞性肺疾病，肺循环与肺血管疾病，间质</w:t>
      </w:r>
      <w:r>
        <w:rPr>
          <w:rFonts w:ascii="宋体" w:hAnsi="宋体" w:cs="宋体" w:eastAsia="宋体" w:hint="ascii"/>
          <w:sz w:val="21"/>
          <w:spacing w:val="-1"/>
        </w:rPr>
        <w:t>性肺疾病，</w:t>
      </w:r>
      <w:r>
        <w:rPr>
          <w:rFonts w:ascii="宋体" w:hAnsi="宋体" w:cs="宋体" w:eastAsia="宋体" w:hint="ascii"/>
          <w:sz w:val="21"/>
        </w:rPr>
        <w:t>肺结节，肉芽肿，结节病，睡眠呼吸障碍，胸膜疾病等领域的发病机制、病理变化及干预性研究，以及与呼吸系统疾病研究相关的新方法和模式动物研究。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呼吸系统新发、突发传染病和可吸入性细颗粒物（如雾霾和吸烟等）对呼吸系统的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影响越来越受</w:t>
      </w:r>
      <w:r>
        <w:rPr>
          <w:rFonts w:ascii="宋体" w:hAnsi="宋体" w:cs="宋体" w:eastAsia="宋体" w:hint="ascii"/>
          <w:sz w:val="21"/>
        </w:rPr>
        <w:t>到关注，鼓励开展环境因素和病原体所致呼吸系统损伤和免疫功能失衡的</w:t>
      </w:r>
      <w:r>
        <w:rPr>
          <w:rFonts w:ascii="宋体" w:hAnsi="宋体" w:cs="宋体" w:eastAsia="宋体" w:hint="ascii"/>
          <w:sz w:val="21"/>
          <w:spacing w:val="-1"/>
        </w:rPr>
        <w:t>基础和应用基</w:t>
      </w:r>
      <w:r>
        <w:rPr>
          <w:rFonts w:ascii="宋体" w:hAnsi="宋体" w:cs="宋体" w:eastAsia="宋体" w:hint="ascii"/>
          <w:sz w:val="21"/>
        </w:rPr>
        <w:t>础研究；鼓励开展炎症微环境调控、组织损伤修复、肺纤维化等具有共性</w:t>
      </w:r>
      <w:r>
        <w:rPr>
          <w:rFonts w:ascii="宋体" w:hAnsi="宋体" w:cs="宋体" w:eastAsia="宋体" w:hint="ascii"/>
          <w:sz w:val="21"/>
          <w:spacing w:val="1"/>
        </w:rPr>
        <w:t>的科学问题研究；鼓</w:t>
      </w:r>
      <w:r>
        <w:rPr>
          <w:rFonts w:ascii="宋体" w:hAnsi="宋体" w:cs="宋体" w:eastAsia="宋体" w:hint="ascii"/>
          <w:sz w:val="21"/>
        </w:rPr>
        <w:t>励开展关于支气管或肺泡上皮非典型增生及结节性病变的相关</w:t>
      </w:r>
      <w:r>
        <w:rPr>
          <w:rFonts w:ascii="宋体" w:hAnsi="宋体" w:cs="宋体" w:eastAsia="宋体" w:hint="ascii"/>
          <w:sz w:val="21"/>
          <w:spacing w:val="-6"/>
        </w:rPr>
        <w:t>研</w:t>
      </w:r>
      <w:r>
        <w:rPr>
          <w:rFonts w:ascii="宋体" w:hAnsi="宋体" w:cs="宋体" w:eastAsia="宋体" w:hint="ascii"/>
          <w:sz w:val="21"/>
          <w:spacing w:val="-1"/>
        </w:rPr>
        <w:t>究；鼓励开展</w:t>
      </w:r>
      <w:r>
        <w:rPr>
          <w:rFonts w:ascii="宋体" w:hAnsi="宋体" w:cs="宋体" w:eastAsia="宋体" w:hint="ascii"/>
          <w:sz w:val="21"/>
        </w:rPr>
        <w:t>肺干细胞与肺再生医学研究；鼓励建立呼吸系统研究的技术平台和疾病动物模型的相关研究。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呼吸领域目前受理和资助的项目主要集中在呼吸系统炎症与感染，哮喘，慢性阻塞</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性肺疾病，肺</w:t>
      </w:r>
      <w:r>
        <w:rPr>
          <w:rFonts w:ascii="宋体" w:hAnsi="宋体" w:cs="宋体" w:eastAsia="宋体" w:hint="ascii"/>
          <w:sz w:val="21"/>
        </w:rPr>
        <w:t>循环及肺血管疾病，间质性肺疾病，肺损伤、修复与重构，睡眠呼吸障碍</w:t>
      </w:r>
      <w:r>
        <w:rPr>
          <w:rFonts w:ascii="宋体" w:hAnsi="宋体" w:cs="宋体" w:eastAsia="宋体" w:hint="ascii"/>
          <w:sz w:val="21"/>
          <w:spacing w:val="-1"/>
        </w:rPr>
        <w:t>等领域，其他</w:t>
      </w:r>
      <w:r>
        <w:rPr>
          <w:rFonts w:ascii="宋体" w:hAnsi="宋体" w:cs="宋体" w:eastAsia="宋体" w:hint="ascii"/>
          <w:sz w:val="21"/>
        </w:rPr>
        <w:t>分支领域受理的项目不多。学科将加强在肺气血屏障、呼吸系统感染及宿</w:t>
      </w:r>
      <w:r>
        <w:rPr>
          <w:rFonts w:ascii="宋体" w:hAnsi="宋体" w:cs="宋体" w:eastAsia="宋体" w:hint="ascii"/>
          <w:sz w:val="21"/>
          <w:spacing w:val="-1"/>
        </w:rPr>
        <w:t>主与病原物相</w:t>
      </w:r>
      <w:r>
        <w:rPr>
          <w:rFonts w:ascii="宋体" w:hAnsi="宋体" w:cs="宋体" w:eastAsia="宋体" w:hint="ascii"/>
          <w:sz w:val="21"/>
        </w:rPr>
        <w:t>互作用、慢性咳嗽、肺结节和胸膜疾病等领域的支持，鼓励开展呼吸系统</w:t>
      </w:r>
      <w:r>
        <w:rPr>
          <w:rFonts w:ascii="宋体" w:hAnsi="宋体" w:cs="宋体" w:eastAsia="宋体" w:hint="ascii"/>
          <w:sz w:val="21"/>
          <w:spacing w:val="-1"/>
        </w:rPr>
        <w:t>疾病细胞治疗</w:t>
      </w:r>
      <w:r>
        <w:rPr>
          <w:rFonts w:ascii="宋体" w:hAnsi="宋体" w:cs="宋体" w:eastAsia="宋体" w:hint="ascii"/>
          <w:sz w:val="21"/>
        </w:rPr>
        <w:t>方面的探讨；鼓励结合生物医学研究的最新进展开展相关研究，寻找疾病精准诊治的新手段，以及潜在的分子标志物和干预靶点。</w:t>
      </w:r>
    </w:p>
    <w:p>
      <w:pPr>
        <w:autoSpaceDE w:val="0"/>
        <w:autoSpaceDN w:val="0"/>
        <w:jc w:val="left"/>
        <w:spacing w:before="541"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循环系统（</w:t>
      </w:r>
      <w:r>
        <w:rPr>
          <w:rFonts w:ascii="Times New Roman" w:hAnsi="Times New Roman" w:cs="Times New Roman" w:eastAsia="Times New Roman" w:hint="ascii"/>
          <w:b w:val="1"/>
        </w:rPr>
        <w:t>H02</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127" locked="0" layoutInCell="1" allowOverlap="1">
                <wp:simplePos x="0" y="0"/>
                <wp:positionH relativeFrom="page">
                  <wp:posOffset>938530</wp:posOffset>
                </wp:positionH>
                <wp:positionV relativeFrom="page">
                  <wp:posOffset>805815</wp:posOffset>
                </wp:positionV>
                <wp:extent cx="5076190" cy="0"/>
                <wp:wrapNone/>
                <wp:docPr id="1156" name="115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28192;width:399.70pt;" id="115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主要资助各种心脏和血管（含淋巴管）疾病，以及微循环与休克等方向相关科学问</w:t>
      </w:r>
    </w:p>
    <w:p>
      <w:pPr>
        <w:autoSpaceDE w:val="0"/>
        <w:autoSpaceDN w:val="0"/>
        <w:jc w:val="right"/>
        <w:spacing w:before="10" w:after="0" w:lineRule="exact" w:line="312"/>
        <w:ind w:right="977" w:left="861" w:firstLine="0"/>
        <w:snapToGrid w:val="0"/>
        <w:textAlignment w:val="auto"/>
        <w:tabs/>
        <w:rPr>
          <w:rFonts w:ascii="宋体" w:hAnsi="宋体" w:cs="宋体" w:eastAsia="宋体" w:hint="ascii"/>
          <w:sz w:val="21"/>
        </w:rPr>
      </w:pPr>
      <w:r>
        <w:rPr>
          <w:rFonts w:ascii="宋体" w:hAnsi="宋体" w:cs="宋体" w:eastAsia="宋体" w:hint="ascii"/>
          <w:sz w:val="21"/>
          <w:spacing w:val="2"/>
        </w:rPr>
        <w:t>题的研究。近年来，关于心肌</w:t>
      </w:r>
      <w:r>
        <w:rPr>
          <w:rFonts w:ascii="Times New Roman" w:hAnsi="Times New Roman" w:cs="Times New Roman" w:eastAsia="Times New Roman" w:hint="ascii"/>
          <w:sz w:val="21"/>
          <w:spacing w:val="4"/>
        </w:rPr>
        <w:t>/</w:t>
      </w:r>
      <w:r>
        <w:rPr>
          <w:rFonts w:ascii="宋体" w:hAnsi="宋体" w:cs="宋体" w:eastAsia="宋体" w:hint="ascii"/>
          <w:sz w:val="21"/>
          <w:spacing w:val="2"/>
        </w:rPr>
        <w:t>血管损伤和保护的项目申请数量最多，其次是动脉粥</w:t>
      </w:r>
      <w:r>
        <w:rPr>
          <w:rFonts w:ascii="宋体" w:hAnsi="宋体" w:cs="宋体" w:eastAsia="宋体" w:hint="ascii"/>
          <w:sz w:val="21"/>
        </w:rPr>
        <w:t>样</w:t>
      </w:r>
      <w:r>
        <w:rPr>
          <w:rFonts w:ascii="宋体" w:hAnsi="宋体" w:cs="宋体" w:eastAsia="宋体" w:hint="ascii"/>
          <w:sz w:val="21"/>
          <w:spacing w:val="6"/>
        </w:rPr>
        <w:t>硬化、冠心病、心律失常、心力衰竭和高血压等领域。此外，在非编</w:t>
      </w:r>
      <w:r>
        <w:rPr>
          <w:rFonts w:ascii="宋体" w:hAnsi="宋体" w:cs="宋体" w:eastAsia="宋体" w:hint="ascii"/>
          <w:sz w:val="21"/>
        </w:rPr>
        <w:t>码</w:t>
      </w:r>
      <w:r>
        <w:rPr>
          <w:rFonts w:ascii="宋体" w:hAnsi="宋体" w:cs="宋体" w:eastAsia="宋体" w:hint="ascii"/>
          <w:sz w:val="21"/>
          <w:spacing w:val="6"/>
        </w:rPr>
        <w:t xml:space="preserve"> </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6"/>
        </w:rPr>
        <w:t xml:space="preserve"> </w:t>
      </w:r>
      <w:r>
        <w:rPr>
          <w:rFonts w:ascii="宋体" w:hAnsi="宋体" w:cs="宋体" w:eastAsia="宋体" w:hint="ascii"/>
          <w:sz w:val="21"/>
          <w:spacing w:val="6"/>
        </w:rPr>
        <w:t>和</w:t>
      </w:r>
      <w:r>
        <w:rPr>
          <w:rFonts w:ascii="宋体" w:hAnsi="宋体" w:cs="宋体" w:eastAsia="宋体" w:hint="ascii"/>
          <w:sz w:val="21"/>
        </w:rPr>
        <w:t>干（祖）细胞等方面申请较多，但创新性和自身特色不足。鼓励开展原创性和转化性的基础研究；鼓励临床医学和生物学、遗传学、基础医学及其他相关学科进行多学科交叉，联合开展心血管疾病的发生、发展机制和干预策略的研究；鼓励在心血管前沿领域开展国际合作；鼓励在前期研究基础上提出创新性的研究设想，以获得具有独立知识产权的研究成果；鼓励研究生物活性物质对心脏和血管的调控和损伤机制及其与疾病发生发展的关系，寻找潜在的诊断标志物、干预靶点和创新治疗技术；鼓励研究代谢紊乱相关心血管疾病的分子病因学、网络调控机制及干预靶点；鼓励研究其他系统疾病对心血管系统的影响及交互作用；鼓励心血管领域新技术、新方法和新材料的研究和应用；鼓励加强心包疾病、感染性心内膜炎、循环系统免疫相关疾病和淋巴循环疾病等相对薄弱领域的基础和应用基础研究；鼓励加强儿童心血管疾病的研究；鼓励针对循环系统器械植入</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和心血管外科围术期的重要临床问题开展基础和应用基础研究。</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血液系统（</w:t>
      </w:r>
      <w:r>
        <w:rPr>
          <w:rFonts w:ascii="Times New Roman" w:hAnsi="Times New Roman" w:cs="Times New Roman" w:eastAsia="Times New Roman" w:hint="ascii"/>
          <w:b w:val="1"/>
        </w:rPr>
        <w:t>H08</w:t>
      </w:r>
      <w:r>
        <w:rPr>
          <w:rFonts w:ascii="宋体" w:hAnsi="宋体" w:cs="宋体" w:eastAsia="宋体" w:hint="ascii"/>
        </w:rPr>
        <w:t>）</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主要资助造血细胞、器官的发育与生成，造血干、祖细胞与造血调控，红细胞及其</w:t>
      </w:r>
    </w:p>
    <w:p>
      <w:pPr>
        <w:autoSpaceDE w:val="0"/>
        <w:autoSpaceDN w:val="0"/>
        <w:jc w:val="both"/>
        <w:spacing w:before="12"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相关疾病，</w:t>
      </w:r>
      <w:r>
        <w:rPr>
          <w:rFonts w:ascii="宋体" w:hAnsi="宋体" w:cs="宋体" w:eastAsia="宋体" w:hint="ascii"/>
          <w:sz w:val="21"/>
        </w:rPr>
        <w:t>白细胞及其相关疾病，血小板及其相关疾病，再生障碍性贫血与骨髓造血功</w:t>
      </w:r>
      <w:r>
        <w:rPr>
          <w:rFonts w:ascii="宋体" w:hAnsi="宋体" w:cs="宋体" w:eastAsia="宋体" w:hint="ascii"/>
          <w:sz w:val="21"/>
          <w:spacing w:val="-1"/>
        </w:rPr>
        <w:t>能衰竭，骨</w:t>
      </w:r>
      <w:r>
        <w:rPr>
          <w:rFonts w:ascii="宋体" w:hAnsi="宋体" w:cs="宋体" w:eastAsia="宋体" w:hint="ascii"/>
          <w:sz w:val="21"/>
        </w:rPr>
        <w:t>髓增生异常综合征，骨髓增殖性肿瘤，血液疾病感染与治疗，出血、凝血与</w:t>
      </w:r>
      <w:r>
        <w:rPr>
          <w:rFonts w:ascii="宋体" w:hAnsi="宋体" w:cs="宋体" w:eastAsia="宋体" w:hint="ascii"/>
          <w:sz w:val="21"/>
          <w:spacing w:val="-1"/>
        </w:rPr>
        <w:t>血栓，白血</w:t>
      </w:r>
      <w:r>
        <w:rPr>
          <w:rFonts w:ascii="宋体" w:hAnsi="宋体" w:cs="宋体" w:eastAsia="宋体" w:hint="ascii"/>
          <w:sz w:val="21"/>
        </w:rPr>
        <w:t>病，造血干细胞移植及并发症，间充质干细胞与血液疾病的相关研究，血型</w:t>
      </w:r>
      <w:r>
        <w:rPr>
          <w:rFonts w:ascii="宋体" w:hAnsi="宋体" w:cs="宋体" w:eastAsia="宋体" w:hint="ascii"/>
          <w:sz w:val="21"/>
          <w:spacing w:val="-1"/>
        </w:rPr>
        <w:t>与输血，遗</w:t>
      </w:r>
      <w:r>
        <w:rPr>
          <w:rFonts w:ascii="宋体" w:hAnsi="宋体" w:cs="宋体" w:eastAsia="宋体" w:hint="ascii"/>
          <w:sz w:val="21"/>
        </w:rPr>
        <w:t>传性血液病，淋巴瘤及淋巴系统增殖性疾病，骨髓瘤与浆细胞疾病，血液免疫治疗，以及血液系统疾病的诊断与治疗的新技术、新方法等相关研究。</w:t>
      </w:r>
    </w:p>
    <w:p>
      <w:pPr>
        <w:autoSpaceDE w:val="0"/>
        <w:autoSpaceDN w:val="0"/>
        <w:jc w:val="left"/>
        <w:spacing w:before="4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血液系统目前受理和资助的项目主要集中在白血病、淋巴瘤、骨髓瘤、造血干细胞</w:t>
      </w:r>
    </w:p>
    <w:p>
      <w:pPr>
        <w:autoSpaceDE w:val="0"/>
        <w:autoSpaceDN w:val="0"/>
        <w:jc w:val="both"/>
        <w:spacing w:before="12"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rPr>
        <w:t>移植、造血调控等相关领域。其他分支领域，如红细胞疾病、造血相关器官（肝脏</w:t>
      </w:r>
      <w:r>
        <w:rPr>
          <w:rFonts w:ascii="Times New Roman" w:hAnsi="Times New Roman" w:cs="Times New Roman" w:eastAsia="Times New Roman" w:hint="ascii"/>
          <w:sz w:val="21"/>
        </w:rPr>
        <w:t>/</w:t>
      </w:r>
      <w:r>
        <w:rPr>
          <w:rFonts w:ascii="宋体" w:hAnsi="宋体" w:cs="宋体" w:eastAsia="宋体" w:hint="ascii"/>
          <w:sz w:val="21"/>
        </w:rPr>
        <w:t>脾脏</w:t>
      </w:r>
      <w:r>
        <w:rPr>
          <w:rFonts w:ascii="Times New Roman" w:hAnsi="Times New Roman" w:cs="Times New Roman" w:eastAsia="Times New Roman" w:hint="ascii"/>
          <w:sz w:val="21"/>
        </w:rPr>
        <w:t>/</w:t>
      </w:r>
      <w:r>
        <w:rPr>
          <w:rFonts w:ascii="宋体" w:hAnsi="宋体" w:cs="宋体" w:eastAsia="宋体" w:hint="ascii"/>
          <w:sz w:val="21"/>
        </w:rPr>
        <w:t>胸腺）的结构及功能异常，血栓与止血、免疫治疗等领域受理的项目数量偏少。鼓</w:t>
      </w:r>
      <w:r>
        <w:rPr>
          <w:rFonts w:ascii="宋体" w:hAnsi="宋体" w:cs="宋体" w:eastAsia="宋体" w:hint="ascii"/>
          <w:sz w:val="21"/>
          <w:spacing w:val="-1"/>
        </w:rPr>
        <w:t>励在造血微</w:t>
      </w:r>
      <w:r>
        <w:rPr>
          <w:rFonts w:ascii="宋体" w:hAnsi="宋体" w:cs="宋体" w:eastAsia="宋体" w:hint="ascii"/>
          <w:sz w:val="21"/>
        </w:rPr>
        <w:t>环境与疾病发生、恶性血液病的克隆演变、疾病细胞异质性与精准诊治、血</w:t>
      </w:r>
      <w:r>
        <w:rPr>
          <w:rFonts w:ascii="宋体" w:hAnsi="宋体" w:cs="宋体" w:eastAsia="宋体" w:hint="ascii"/>
          <w:sz w:val="21"/>
          <w:spacing w:val="-1"/>
        </w:rPr>
        <w:t>液免疫治疗</w:t>
      </w:r>
      <w:r>
        <w:rPr>
          <w:rFonts w:ascii="宋体" w:hAnsi="宋体" w:cs="宋体" w:eastAsia="宋体" w:hint="ascii"/>
          <w:sz w:val="21"/>
        </w:rPr>
        <w:t>等领域开展研究；鼓励基础研究与临床问题相结合开展临床基础研究；鼓励</w:t>
      </w:r>
      <w:r>
        <w:rPr>
          <w:rFonts w:ascii="宋体" w:hAnsi="宋体" w:cs="宋体" w:eastAsia="宋体" w:hint="ascii"/>
          <w:sz w:val="21"/>
          <w:spacing w:val="-1"/>
        </w:rPr>
        <w:t>充分发掘临</w:t>
      </w:r>
      <w:r>
        <w:rPr>
          <w:rFonts w:ascii="宋体" w:hAnsi="宋体" w:cs="宋体" w:eastAsia="宋体" w:hint="ascii"/>
          <w:sz w:val="21"/>
        </w:rPr>
        <w:t>床资源开展相关的转化医学研究；鼓励利用先进的研究手段和方法包括利用</w:t>
      </w:r>
      <w:r>
        <w:rPr>
          <w:rFonts w:ascii="宋体" w:hAnsi="宋体" w:cs="宋体" w:eastAsia="宋体" w:hint="ascii"/>
          <w:sz w:val="21"/>
          <w:spacing w:val="-1"/>
        </w:rPr>
        <w:t>相应的血液</w:t>
      </w:r>
      <w:r>
        <w:rPr>
          <w:rFonts w:ascii="宋体" w:hAnsi="宋体" w:cs="宋体" w:eastAsia="宋体" w:hint="ascii"/>
          <w:sz w:val="21"/>
        </w:rPr>
        <w:t>学研究平台和模式动物开展相关研究。鼓励开展血液领域中的生物治疗方面</w:t>
      </w:r>
      <w:r>
        <w:rPr>
          <w:rFonts w:ascii="宋体" w:hAnsi="宋体" w:cs="宋体" w:eastAsia="宋体" w:hint="ascii"/>
          <w:sz w:val="21"/>
          <w:spacing w:val="-1"/>
        </w:rPr>
        <w:t>的相关研究</w:t>
      </w:r>
      <w:r>
        <w:rPr>
          <w:rFonts w:ascii="宋体" w:hAnsi="宋体" w:cs="宋体" w:eastAsia="宋体" w:hint="ascii"/>
          <w:sz w:val="21"/>
        </w:rPr>
        <w:t>，包括造血干细胞移植、间充质干细胞治疗、免疫治疗、基因治疗等相关基</w:t>
      </w:r>
      <w:r>
        <w:rPr>
          <w:rFonts w:ascii="宋体" w:hAnsi="宋体" w:cs="宋体" w:eastAsia="宋体" w:hint="ascii"/>
          <w:sz w:val="21"/>
          <w:spacing w:val="-1"/>
        </w:rPr>
        <w:t>础与应用基</w:t>
      </w:r>
      <w:r>
        <w:rPr>
          <w:rFonts w:ascii="宋体" w:hAnsi="宋体" w:cs="宋体" w:eastAsia="宋体" w:hint="ascii"/>
          <w:sz w:val="21"/>
        </w:rPr>
        <w:t>础研究。此外，鼓励在前期工作基础上开展如下研究：造血过程调控及造血</w:t>
      </w:r>
      <w:r>
        <w:rPr>
          <w:rFonts w:ascii="宋体" w:hAnsi="宋体" w:cs="宋体" w:eastAsia="宋体" w:hint="ascii"/>
          <w:sz w:val="21"/>
          <w:spacing w:val="-1"/>
        </w:rPr>
        <w:t>细胞重编程</w:t>
      </w:r>
      <w:r>
        <w:rPr>
          <w:rFonts w:ascii="宋体" w:hAnsi="宋体" w:cs="宋体" w:eastAsia="宋体" w:hint="ascii"/>
          <w:sz w:val="21"/>
        </w:rPr>
        <w:t>；疾病状态下造血细胞与恶性细胞和微环境的相互关系；血液恶性疾病的克</w:t>
      </w:r>
      <w:r>
        <w:rPr>
          <w:rFonts w:ascii="宋体" w:hAnsi="宋体" w:cs="宋体" w:eastAsia="宋体" w:hint="ascii"/>
          <w:sz w:val="21"/>
          <w:spacing w:val="-1"/>
        </w:rPr>
        <w:t>隆演变；血</w:t>
      </w:r>
      <w:r>
        <w:rPr>
          <w:rFonts w:ascii="宋体" w:hAnsi="宋体" w:cs="宋体" w:eastAsia="宋体" w:hint="ascii"/>
          <w:sz w:val="21"/>
        </w:rPr>
        <w:t>液肿瘤的耐药问题；造血干细胞移植及其相关生物学和免疫学问题；血液疾</w:t>
      </w:r>
      <w:r>
        <w:rPr>
          <w:rFonts w:ascii="宋体" w:hAnsi="宋体" w:cs="宋体" w:eastAsia="宋体" w:hint="ascii"/>
          <w:sz w:val="21"/>
          <w:spacing w:val="-1"/>
        </w:rPr>
        <w:t>病组学、生</w:t>
      </w:r>
      <w:r>
        <w:rPr>
          <w:rFonts w:ascii="宋体" w:hAnsi="宋体" w:cs="宋体" w:eastAsia="宋体" w:hint="ascii"/>
          <w:sz w:val="21"/>
        </w:rPr>
        <w:t>物标志物及其功能验证；血液肿瘤干细胞及其维系机制和临床相关性；血液</w:t>
      </w:r>
      <w:r>
        <w:rPr>
          <w:rFonts w:ascii="宋体" w:hAnsi="宋体" w:cs="宋体" w:eastAsia="宋体" w:hint="ascii"/>
          <w:sz w:val="21"/>
          <w:spacing w:val="-1"/>
        </w:rPr>
        <w:t>疾病的免疫</w:t>
      </w:r>
      <w:r>
        <w:rPr>
          <w:rFonts w:ascii="宋体" w:hAnsi="宋体" w:cs="宋体" w:eastAsia="宋体" w:hint="ascii"/>
          <w:sz w:val="21"/>
        </w:rPr>
        <w:t>治疗及靶向治疗；体外诱导干细胞分化成造血细胞；血小板、凝血因子与血管相互作用及机制等。</w:t>
      </w:r>
    </w:p>
    <w:p>
      <w:pPr>
        <w:autoSpaceDE w:val="0"/>
        <w:autoSpaceDN w:val="0"/>
        <w:jc w:val="left"/>
        <w:spacing w:before="42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57" w:after="0" w:lineRule="exact" w:line="312"/>
        <w:ind w:right="962"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2"/>
        </w:rPr>
        <w:t>涉及</w:t>
      </w:r>
      <w:r>
        <w:rPr>
          <w:rFonts w:ascii="宋体" w:hAnsi="宋体" w:cs="宋体" w:eastAsia="宋体" w:hint="ascii"/>
          <w:sz w:val="21"/>
          <w:spacing w:val="4"/>
        </w:rPr>
        <w:t>肺</w:t>
      </w:r>
      <w:r>
        <w:rPr>
          <w:rFonts w:ascii="宋体" w:hAnsi="宋体" w:cs="宋体" w:eastAsia="宋体" w:hint="ascii"/>
          <w:sz w:val="21"/>
          <w:spacing w:val="3"/>
        </w:rPr>
        <w:t>循环与肺</w:t>
      </w:r>
      <w:r>
        <w:rPr>
          <w:rFonts w:ascii="宋体" w:hAnsi="宋体" w:cs="宋体" w:eastAsia="宋体" w:hint="ascii"/>
          <w:sz w:val="21"/>
          <w:spacing w:val="4"/>
        </w:rPr>
        <w:t>血</w:t>
      </w:r>
      <w:r>
        <w:rPr>
          <w:rFonts w:ascii="宋体" w:hAnsi="宋体" w:cs="宋体" w:eastAsia="宋体" w:hint="ascii"/>
          <w:sz w:val="21"/>
          <w:spacing w:val="3"/>
        </w:rPr>
        <w:t>管相关疾</w:t>
      </w:r>
      <w:r>
        <w:rPr>
          <w:rFonts w:ascii="宋体" w:hAnsi="宋体" w:cs="宋体" w:eastAsia="宋体" w:hint="ascii"/>
          <w:sz w:val="21"/>
          <w:spacing w:val="4"/>
        </w:rPr>
        <w:t>病</w:t>
      </w:r>
      <w:r>
        <w:rPr>
          <w:rFonts w:ascii="宋体" w:hAnsi="宋体" w:cs="宋体" w:eastAsia="宋体" w:hint="ascii"/>
          <w:sz w:val="21"/>
          <w:spacing w:val="3"/>
        </w:rPr>
        <w:t>研究内容</w:t>
      </w:r>
      <w:r>
        <w:rPr>
          <w:rFonts w:ascii="宋体" w:hAnsi="宋体" w:cs="宋体" w:eastAsia="宋体" w:hint="ascii"/>
          <w:sz w:val="21"/>
          <w:spacing w:val="4"/>
        </w:rPr>
        <w:t>的</w:t>
      </w:r>
      <w:r>
        <w:rPr>
          <w:rFonts w:ascii="宋体" w:hAnsi="宋体" w:cs="宋体" w:eastAsia="宋体" w:hint="ascii"/>
          <w:sz w:val="21"/>
          <w:spacing w:val="3"/>
        </w:rPr>
        <w:t>项目，申</w:t>
      </w:r>
      <w:r>
        <w:rPr>
          <w:rFonts w:ascii="宋体" w:hAnsi="宋体" w:cs="宋体" w:eastAsia="宋体" w:hint="ascii"/>
          <w:sz w:val="21"/>
          <w:spacing w:val="4"/>
        </w:rPr>
        <w:t>请</w:t>
      </w:r>
      <w:r>
        <w:rPr>
          <w:rFonts w:ascii="宋体" w:hAnsi="宋体" w:cs="宋体" w:eastAsia="宋体" w:hint="ascii"/>
          <w:sz w:val="21"/>
          <w:spacing w:val="3"/>
        </w:rPr>
        <w:t>人根据所</w:t>
      </w:r>
      <w:r>
        <w:rPr>
          <w:rFonts w:ascii="宋体" w:hAnsi="宋体" w:cs="宋体" w:eastAsia="宋体" w:hint="ascii"/>
          <w:sz w:val="21"/>
          <w:spacing w:val="4"/>
        </w:rPr>
        <w:t>研</w:t>
      </w:r>
      <w:r>
        <w:rPr>
          <w:rFonts w:ascii="宋体" w:hAnsi="宋体" w:cs="宋体" w:eastAsia="宋体" w:hint="ascii"/>
          <w:sz w:val="21"/>
          <w:spacing w:val="3"/>
        </w:rPr>
        <w:t>究的具体</w:t>
      </w:r>
      <w:r>
        <w:rPr>
          <w:rFonts w:ascii="宋体" w:hAnsi="宋体" w:cs="宋体" w:eastAsia="宋体" w:hint="ascii"/>
          <w:sz w:val="21"/>
          <w:spacing w:val="4"/>
        </w:rPr>
        <w:t>科</w:t>
      </w:r>
      <w:r>
        <w:rPr>
          <w:rFonts w:ascii="宋体" w:hAnsi="宋体" w:cs="宋体" w:eastAsia="宋体" w:hint="ascii"/>
          <w:sz w:val="21"/>
          <w:spacing w:val="3"/>
        </w:rPr>
        <w:t>学</w:t>
      </w:r>
      <w:r>
        <w:rPr>
          <w:rFonts w:ascii="宋体" w:hAnsi="宋体" w:cs="宋体" w:eastAsia="宋体" w:hint="ascii"/>
          <w:sz w:val="21"/>
        </w:rPr>
        <w:t>问题，可在呼吸系统（</w:t>
      </w:r>
      <w:r>
        <w:rPr>
          <w:rFonts w:ascii="Times New Roman" w:hAnsi="Times New Roman" w:cs="Times New Roman" w:eastAsia="Times New Roman" w:hint="ascii"/>
          <w:b w:val="1"/>
          <w:sz w:val="21"/>
        </w:rPr>
        <w:t>H01</w:t>
      </w:r>
      <w:r>
        <w:rPr>
          <w:rFonts w:ascii="宋体" w:hAnsi="宋体" w:cs="宋体" w:eastAsia="宋体" w:hint="ascii"/>
          <w:sz w:val="21"/>
        </w:rPr>
        <w:t>）和循环系统（</w:t>
      </w:r>
      <w:r>
        <w:rPr>
          <w:rFonts w:ascii="Times New Roman" w:hAnsi="Times New Roman" w:cs="Times New Roman" w:eastAsia="Times New Roman" w:hint="ascii"/>
          <w:b w:val="1"/>
          <w:sz w:val="21"/>
        </w:rPr>
        <w:t>H02</w:t>
      </w:r>
      <w:r>
        <w:rPr>
          <w:rFonts w:ascii="宋体" w:hAnsi="宋体" w:cs="宋体" w:eastAsia="宋体" w:hint="ascii"/>
          <w:sz w:val="21"/>
        </w:rPr>
        <w:t>）中选择合适的申请代码</w:t>
      </w:r>
      <w:r>
        <w:rPr>
          <w:rFonts w:ascii="宋体" w:hAnsi="宋体" w:cs="宋体" w:eastAsia="宋体" w:hint="ascii"/>
          <w:b w:val="1"/>
          <w:sz w:val="21"/>
        </w:rPr>
        <w:t>。</w:t>
      </w:r>
      <w:r>
        <w:rPr>
          <w:rFonts w:ascii="宋体" w:hAnsi="宋体" w:cs="宋体" w:eastAsia="宋体" w:hint="ascii"/>
          <w:sz w:val="21"/>
        </w:rPr>
        <w:t>血液系统受理范围包括血液肿瘤（</w:t>
      </w:r>
      <w:r>
        <w:rPr>
          <w:rFonts w:ascii="Times New Roman" w:hAnsi="Times New Roman" w:cs="Times New Roman" w:eastAsia="Times New Roman" w:hint="ascii"/>
          <w:b w:val="1"/>
          <w:sz w:val="21"/>
        </w:rPr>
        <w:t>H0818</w:t>
      </w:r>
      <w:r>
        <w:rPr>
          <w:rFonts w:ascii="宋体" w:hAnsi="宋体" w:cs="宋体" w:eastAsia="宋体" w:hint="ascii"/>
          <w:sz w:val="21"/>
        </w:rPr>
        <w:t>：淋巴瘤及其他淋巴增殖性疾病；</w:t>
      </w:r>
      <w:r>
        <w:rPr>
          <w:rFonts w:ascii="Times New Roman" w:hAnsi="Times New Roman" w:cs="Times New Roman" w:eastAsia="Times New Roman" w:hint="ascii"/>
          <w:b w:val="1"/>
          <w:sz w:val="21"/>
        </w:rPr>
        <w:t>H0819</w:t>
      </w:r>
      <w:r>
        <w:rPr>
          <w:rFonts w:ascii="宋体" w:hAnsi="宋体" w:cs="宋体" w:eastAsia="宋体" w:hint="ascii"/>
          <w:sz w:val="21"/>
        </w:rPr>
        <w:t>：骨髓瘤及其他浆细胞疾病</w:t>
      </w:r>
      <w:r>
        <w:rPr>
          <w:rFonts w:ascii="宋体" w:hAnsi="宋体" w:cs="宋体" w:eastAsia="宋体" w:hint="ascii"/>
          <w:sz w:val="21"/>
          <w:spacing w:val="-51"/>
        </w:rPr>
        <w:t>）</w:t>
      </w:r>
      <w:r>
        <w:rPr>
          <w:rFonts w:ascii="宋体" w:hAnsi="宋体" w:cs="宋体" w:eastAsia="宋体" w:hint="ascii"/>
          <w:sz w:val="21"/>
        </w:rPr>
        <w:t>，医学科学七处（申请代码</w:t>
      </w:r>
      <w:r>
        <w:rPr>
          <w:rFonts w:ascii="宋体" w:hAnsi="宋体" w:cs="宋体" w:eastAsia="宋体" w:hint="ascii"/>
          <w:sz w:val="21"/>
          <w:spacing w:val="-23"/>
        </w:rPr>
        <w:t xml:space="preserve"> </w:t>
      </w:r>
      <w:r>
        <w:rPr>
          <w:rFonts w:ascii="Times New Roman" w:hAnsi="Times New Roman" w:cs="Times New Roman" w:eastAsia="Times New Roman" w:hint="ascii"/>
          <w:b w:val="1"/>
          <w:sz w:val="21"/>
        </w:rPr>
        <w:t>H16</w:t>
      </w:r>
      <w:r>
        <w:rPr>
          <w:rFonts w:ascii="宋体" w:hAnsi="宋体" w:cs="宋体" w:eastAsia="宋体" w:hint="ascii"/>
          <w:sz w:val="21"/>
        </w:rPr>
        <w:t>）不再受理血液肿瘤相关的项目申请</w:t>
      </w:r>
      <w:r>
        <w:rPr>
          <w:rFonts w:ascii="宋体" w:hAnsi="宋体" w:cs="宋体" w:eastAsia="宋体" w:hint="ascii"/>
          <w:b w:val="1"/>
          <w:sz w:val="21"/>
        </w:rPr>
        <w:t>。</w:t>
      </w:r>
      <w:r>
        <w:rPr>
          <w:rFonts w:ascii="宋体" w:hAnsi="宋体" w:cs="宋体" w:eastAsia="宋体" w:hint="ascii"/>
          <w:sz w:val="21"/>
        </w:rPr>
        <w:t>非血液系统肿瘤的研究项目申请请参见医学科学部总论部分</w:t>
      </w:r>
      <w:r>
        <w:rPr>
          <w:rFonts w:ascii="宋体" w:hAnsi="宋体" w:cs="宋体" w:eastAsia="宋体" w:hint="ascii"/>
          <w:b w:val="1"/>
          <w:sz w:val="21"/>
        </w:rPr>
        <w:t>。</w:t>
      </w:r>
      <w:r>
        <w:rPr>
          <w:rFonts w:ascii="宋体" w:hAnsi="宋体" w:cs="宋体" w:eastAsia="宋体" w:hint="ascii"/>
          <w:b w:val="1"/>
          <w:sz w:val="21"/>
        </w:rPr>
        <mc:AlternateContent>
          <mc:Choice Requires="wps">
            <w:drawing>
              <wp:anchor distL="0" distR="0" distT="0" distB="0" simplePos="0" behindDoc="1" relativeHeight="128" locked="0" layoutInCell="1" allowOverlap="1">
                <wp:simplePos x="0" y="0"/>
                <wp:positionH relativeFrom="page">
                  <wp:posOffset>938530</wp:posOffset>
                </wp:positionH>
                <wp:positionV relativeFrom="page">
                  <wp:posOffset>819150</wp:posOffset>
                </wp:positionV>
                <wp:extent cx="5076190" cy="0"/>
                <wp:wrapNone/>
                <wp:docPr id="1157" name="115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27168;width:399.70pt;" id="115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医学科学二处</w:t>
      </w:r>
    </w:p>
    <w:p>
      <w:pPr>
        <w:autoSpaceDE w:val="0"/>
        <w:autoSpaceDN w:val="0"/>
        <w:jc w:val="both"/>
        <w:spacing w:before="301"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rPr>
        <w:t>医学科学二处主要资助消化系统、泌尿系统、内分泌系统</w:t>
      </w:r>
      <w:r>
        <w:rPr>
          <w:rFonts w:ascii="Times New Roman" w:hAnsi="Times New Roman" w:cs="Times New Roman" w:eastAsia="Times New Roman" w:hint="ascii"/>
          <w:sz w:val="21"/>
        </w:rPr>
        <w:t>/</w:t>
      </w:r>
      <w:r>
        <w:rPr>
          <w:rFonts w:ascii="宋体" w:hAnsi="宋体" w:cs="宋体" w:eastAsia="宋体" w:hint="ascii"/>
          <w:sz w:val="21"/>
        </w:rPr>
        <w:t>代谢和营养支持、眼科学、耳鼻咽喉头颈科学以及口腔颅颌面科学领域的基础研究和临床基础研究。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消化系统（</w:t>
      </w:r>
      <w:r>
        <w:rPr>
          <w:rFonts w:ascii="Times New Roman" w:hAnsi="Times New Roman" w:cs="Times New Roman" w:eastAsia="Times New Roman" w:hint="ascii"/>
          <w:b w:val="1"/>
        </w:rPr>
        <w:t>H03</w:t>
      </w:r>
      <w:r>
        <w:rPr>
          <w:rFonts w:ascii="宋体" w:hAnsi="宋体" w:cs="宋体" w:eastAsia="宋体" w:hint="ascii"/>
        </w:rPr>
        <w:t>）</w:t>
      </w:r>
    </w:p>
    <w:p>
      <w:pPr>
        <w:autoSpaceDE w:val="0"/>
        <w:autoSpaceDN w:val="0"/>
        <w:jc w:val="left"/>
        <w:spacing w:before="197" w:after="0" w:lineRule="exact" w:line="263"/>
        <w:ind w:right="0" w:left="1377" w:firstLine="0"/>
        <w:snapToGrid w:val="0"/>
        <w:textAlignment w:val="auto"/>
        <w:tabs/>
        <w:rPr>
          <w:rFonts w:ascii="宋体" w:hAnsi="宋体" w:cs="宋体" w:eastAsia="宋体" w:hint="ascii"/>
          <w:sz w:val="21"/>
        </w:rPr>
      </w:pPr>
      <w:r>
        <w:rPr>
          <w:rFonts w:ascii="宋体" w:hAnsi="宋体" w:cs="宋体" w:eastAsia="宋体" w:hint="ascii"/>
          <w:sz w:val="21"/>
          <w:spacing w:val="-1"/>
        </w:rPr>
        <w:t>主要资助</w:t>
      </w:r>
      <w:r>
        <w:rPr>
          <w:rFonts w:ascii="宋体" w:hAnsi="宋体" w:cs="宋体" w:eastAsia="宋体" w:hint="ascii"/>
          <w:sz w:val="21"/>
          <w:spacing w:val="-2"/>
        </w:rPr>
        <w:t>消</w:t>
      </w:r>
      <w:r>
        <w:rPr>
          <w:rFonts w:ascii="宋体" w:hAnsi="宋体" w:cs="宋体" w:eastAsia="宋体" w:hint="ascii"/>
          <w:sz w:val="21"/>
          <w:spacing w:val="-1"/>
        </w:rPr>
        <w:t>化系统各</w:t>
      </w:r>
      <w:r>
        <w:rPr>
          <w:rFonts w:ascii="宋体" w:hAnsi="宋体" w:cs="宋体" w:eastAsia="宋体" w:hint="ascii"/>
          <w:sz w:val="21"/>
          <w:spacing w:val="-2"/>
        </w:rPr>
        <w:t>种</w:t>
      </w:r>
      <w:r>
        <w:rPr>
          <w:rFonts w:ascii="宋体" w:hAnsi="宋体" w:cs="宋体" w:eastAsia="宋体" w:hint="ascii"/>
          <w:sz w:val="21"/>
          <w:spacing w:val="-1"/>
        </w:rPr>
        <w:t>非传染性</w:t>
      </w:r>
      <w:r>
        <w:rPr>
          <w:rFonts w:ascii="宋体" w:hAnsi="宋体" w:cs="宋体" w:eastAsia="宋体" w:hint="ascii"/>
          <w:sz w:val="21"/>
          <w:spacing w:val="-2"/>
        </w:rPr>
        <w:t>、</w:t>
      </w:r>
      <w:r>
        <w:rPr>
          <w:rFonts w:ascii="宋体" w:hAnsi="宋体" w:cs="宋体" w:eastAsia="宋体" w:hint="ascii"/>
          <w:sz w:val="21"/>
          <w:spacing w:val="-1"/>
        </w:rPr>
        <w:t>非肿瘤性</w:t>
      </w:r>
      <w:r>
        <w:rPr>
          <w:rFonts w:ascii="宋体" w:hAnsi="宋体" w:cs="宋体" w:eastAsia="宋体" w:hint="ascii"/>
          <w:sz w:val="21"/>
          <w:spacing w:val="-2"/>
        </w:rPr>
        <w:t>疾</w:t>
      </w:r>
      <w:r>
        <w:rPr>
          <w:rFonts w:ascii="宋体" w:hAnsi="宋体" w:cs="宋体" w:eastAsia="宋体" w:hint="ascii"/>
          <w:sz w:val="21"/>
          <w:spacing w:val="-1"/>
        </w:rPr>
        <w:t>病相关科</w:t>
      </w:r>
      <w:r>
        <w:rPr>
          <w:rFonts w:ascii="宋体" w:hAnsi="宋体" w:cs="宋体" w:eastAsia="宋体" w:hint="ascii"/>
          <w:sz w:val="21"/>
          <w:spacing w:val="-2"/>
        </w:rPr>
        <w:t>学</w:t>
      </w:r>
      <w:r>
        <w:rPr>
          <w:rFonts w:ascii="宋体" w:hAnsi="宋体" w:cs="宋体" w:eastAsia="宋体" w:hint="ascii"/>
          <w:sz w:val="21"/>
          <w:spacing w:val="-1"/>
        </w:rPr>
        <w:t>问题的相</w:t>
      </w:r>
      <w:r>
        <w:rPr>
          <w:rFonts w:ascii="宋体" w:hAnsi="宋体" w:cs="宋体" w:eastAsia="宋体" w:hint="ascii"/>
          <w:sz w:val="21"/>
          <w:spacing w:val="-2"/>
        </w:rPr>
        <w:t>关</w:t>
      </w:r>
      <w:r>
        <w:rPr>
          <w:rFonts w:ascii="宋体" w:hAnsi="宋体" w:cs="宋体" w:eastAsia="宋体" w:hint="ascii"/>
          <w:sz w:val="21"/>
          <w:spacing w:val="-1"/>
        </w:rPr>
        <w:t>研究。</w:t>
      </w:r>
      <w:r>
        <w:rPr>
          <w:rFonts w:ascii="Times New Roman" w:hAnsi="Times New Roman" w:cs="Times New Roman" w:eastAsia="Times New Roman" w:hint="ascii"/>
          <w:sz w:val="21"/>
          <w:spacing w:val="-2"/>
        </w:rPr>
        <w:t>20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1"/>
        </w:rPr>
        <w:t xml:space="preserve"> </w:t>
      </w:r>
      <w:r>
        <w:rPr>
          <w:rFonts w:ascii="宋体" w:hAnsi="宋体" w:cs="宋体" w:eastAsia="宋体" w:hint="ascii"/>
          <w:sz w:val="21"/>
        </w:rPr>
        <w:t>年</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度消化系统研究领域项目申请量</w:t>
      </w:r>
      <w:r>
        <w:rPr>
          <w:rFonts w:ascii="宋体" w:hAnsi="宋体" w:cs="宋体" w:eastAsia="宋体" w:hint="ascii"/>
          <w:sz w:val="21"/>
          <w:spacing w:val="25"/>
        </w:rPr>
        <w:t>较</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2"/>
        </w:rPr>
        <w:t>01</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年度增</w:t>
      </w:r>
      <w:r>
        <w:rPr>
          <w:rFonts w:ascii="宋体" w:hAnsi="宋体" w:cs="宋体" w:eastAsia="宋体" w:hint="ascii"/>
          <w:sz w:val="21"/>
          <w:spacing w:val="25"/>
        </w:rPr>
        <w:t>长</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spacing w:val="-2"/>
        </w:rPr>
        <w:t>1.87</w:t>
      </w:r>
      <w:r>
        <w:rPr>
          <w:rFonts w:ascii="Times New Roman" w:hAnsi="Times New Roman" w:cs="Times New Roman" w:eastAsia="Times New Roman" w:hint="ascii"/>
          <w:sz w:val="21"/>
          <w:spacing w:val="2"/>
        </w:rPr>
        <w:t>%</w:t>
      </w:r>
      <w:r>
        <w:rPr>
          <w:rFonts w:ascii="宋体" w:hAnsi="宋体" w:cs="宋体" w:eastAsia="宋体" w:hint="ascii"/>
          <w:sz w:val="21"/>
        </w:rPr>
        <w:t>，肝脏疾病相关的项目申请仍然最为集中，其中肝纤维化、肝硬化与门脉高压症占总项目数</w:t>
      </w:r>
      <w:r>
        <w:rPr>
          <w:rFonts w:ascii="宋体" w:hAnsi="宋体" w:cs="宋体" w:eastAsia="宋体" w:hint="ascii"/>
          <w:sz w:val="21"/>
          <w:spacing w:val="-2"/>
        </w:rPr>
        <w:t>的</w:t>
      </w:r>
      <w:r>
        <w:rPr>
          <w:rFonts w:ascii="宋体" w:hAnsi="宋体" w:cs="宋体" w:eastAsia="宋体" w:hint="ascii"/>
          <w:sz w:val="21"/>
          <w:spacing w:val="-27"/>
        </w:rPr>
        <w:t xml:space="preserve"> </w:t>
      </w:r>
      <w:r>
        <w:rPr>
          <w:rFonts w:ascii="Times New Roman" w:hAnsi="Times New Roman" w:cs="Times New Roman" w:eastAsia="Times New Roman" w:hint="ascii"/>
          <w:sz w:val="21"/>
          <w:spacing w:val="-2"/>
        </w:rPr>
        <w:t>14.7</w:t>
      </w:r>
      <w:r>
        <w:rPr>
          <w:rFonts w:ascii="Times New Roman" w:hAnsi="Times New Roman" w:cs="Times New Roman" w:eastAsia="Times New Roman" w:hint="ascii"/>
          <w:sz w:val="21"/>
          <w:spacing w:val="-3"/>
        </w:rPr>
        <w:t>4</w:t>
      </w:r>
      <w:r>
        <w:rPr>
          <w:rFonts w:ascii="Times New Roman" w:hAnsi="Times New Roman" w:cs="Times New Roman" w:eastAsia="Times New Roman" w:hint="ascii"/>
          <w:sz w:val="21"/>
          <w:spacing w:val="6"/>
        </w:rPr>
        <w:t>%</w:t>
      </w:r>
      <w:r>
        <w:rPr>
          <w:rFonts w:ascii="宋体" w:hAnsi="宋体" w:cs="宋体" w:eastAsia="宋体" w:hint="ascii"/>
          <w:sz w:val="21"/>
        </w:rPr>
        <w:t>，其次为肝</w:t>
      </w:r>
      <w:r>
        <w:rPr>
          <w:rFonts w:ascii="宋体" w:hAnsi="宋体" w:cs="宋体" w:eastAsia="宋体" w:hint="ascii"/>
          <w:sz w:val="21"/>
          <w:spacing w:val="-4"/>
        </w:rPr>
        <w:t>再生、肝保护、肝</w:t>
      </w:r>
      <w:r>
        <w:rPr>
          <w:rFonts w:ascii="宋体" w:hAnsi="宋体" w:cs="宋体" w:eastAsia="宋体" w:hint="ascii"/>
          <w:sz w:val="21"/>
          <w:spacing w:val="-3"/>
        </w:rPr>
        <w:t>衰竭、人工肝（</w:t>
      </w:r>
      <w:r>
        <w:rPr>
          <w:rFonts w:ascii="Times New Roman" w:hAnsi="Times New Roman" w:cs="Times New Roman" w:eastAsia="Times New Roman" w:hint="ascii"/>
          <w:sz w:val="21"/>
          <w:spacing w:val="-3"/>
        </w:rPr>
        <w:t>10.99%</w:t>
      </w:r>
      <w:r>
        <w:rPr>
          <w:rFonts w:ascii="宋体" w:hAnsi="宋体" w:cs="宋体" w:eastAsia="宋体" w:hint="ascii"/>
          <w:sz w:val="21"/>
          <w:spacing w:val="-54"/>
        </w:rPr>
        <w:t>）</w:t>
      </w:r>
      <w:r>
        <w:rPr>
          <w:rFonts w:ascii="宋体" w:hAnsi="宋体" w:cs="宋体" w:eastAsia="宋体" w:hint="ascii"/>
          <w:sz w:val="21"/>
          <w:spacing w:val="-3"/>
        </w:rPr>
        <w:t>，肝脏代谢障碍及相关疾病（</w:t>
      </w:r>
      <w:r>
        <w:rPr>
          <w:rFonts w:ascii="Times New Roman" w:hAnsi="Times New Roman" w:cs="Times New Roman" w:eastAsia="Times New Roman" w:hint="ascii"/>
          <w:sz w:val="21"/>
          <w:spacing w:val="-3"/>
        </w:rPr>
        <w:t>8.95%</w:t>
      </w:r>
      <w:r>
        <w:rPr>
          <w:rFonts w:ascii="宋体" w:hAnsi="宋体" w:cs="宋体" w:eastAsia="宋体" w:hint="ascii"/>
          <w:sz w:val="21"/>
          <w:spacing w:val="-54"/>
        </w:rPr>
        <w:t>）</w:t>
      </w:r>
      <w:r>
        <w:rPr>
          <w:rFonts w:ascii="宋体" w:hAnsi="宋体" w:cs="宋体" w:eastAsia="宋体" w:hint="ascii"/>
          <w:sz w:val="21"/>
          <w:spacing w:val="-3"/>
        </w:rPr>
        <w:t>；胃肠道</w:t>
      </w:r>
      <w:r>
        <w:rPr>
          <w:rFonts w:ascii="宋体" w:hAnsi="宋体" w:cs="宋体" w:eastAsia="宋体" w:hint="ascii"/>
          <w:sz w:val="21"/>
          <w:spacing w:val="-1"/>
        </w:rPr>
        <w:t>疾</w:t>
      </w:r>
      <w:r>
        <w:rPr>
          <w:rFonts w:ascii="宋体" w:hAnsi="宋体" w:cs="宋体" w:eastAsia="宋体" w:hint="ascii"/>
          <w:sz w:val="21"/>
        </w:rPr>
        <w:t xml:space="preserve"> </w:t>
      </w:r>
      <w:r>
        <w:rPr>
          <w:rFonts w:ascii="宋体" w:hAnsi="宋体" w:cs="宋体" w:eastAsia="宋体" w:hint="ascii"/>
          <w:sz w:val="21"/>
          <w:spacing w:val="-4"/>
        </w:rPr>
        <w:t>病相关</w:t>
      </w:r>
      <w:r>
        <w:rPr>
          <w:rFonts w:ascii="宋体" w:hAnsi="宋体" w:cs="宋体" w:eastAsia="宋体" w:hint="ascii"/>
          <w:sz w:val="21"/>
          <w:spacing w:val="-3"/>
        </w:rPr>
        <w:t>项</w:t>
      </w:r>
      <w:r>
        <w:rPr>
          <w:rFonts w:ascii="宋体" w:hAnsi="宋体" w:cs="宋体" w:eastAsia="宋体" w:hint="ascii"/>
          <w:sz w:val="21"/>
          <w:spacing w:val="-4"/>
        </w:rPr>
        <w:t>目</w:t>
      </w:r>
      <w:r>
        <w:rPr>
          <w:rFonts w:ascii="宋体" w:hAnsi="宋体" w:cs="宋体" w:eastAsia="宋体" w:hint="ascii"/>
          <w:sz w:val="21"/>
          <w:spacing w:val="-2"/>
        </w:rPr>
        <w:t>中</w:t>
      </w:r>
      <w:r>
        <w:rPr>
          <w:rFonts w:ascii="宋体" w:hAnsi="宋体" w:cs="宋体" w:eastAsia="宋体" w:hint="ascii"/>
          <w:sz w:val="21"/>
          <w:spacing w:val="-3"/>
        </w:rPr>
        <w:t>，以消</w:t>
      </w:r>
      <w:r>
        <w:rPr>
          <w:rFonts w:ascii="宋体" w:hAnsi="宋体" w:cs="宋体" w:eastAsia="宋体" w:hint="ascii"/>
          <w:sz w:val="21"/>
          <w:spacing w:val="-2"/>
        </w:rPr>
        <w:t>化</w:t>
      </w:r>
      <w:r>
        <w:rPr>
          <w:rFonts w:ascii="宋体" w:hAnsi="宋体" w:cs="宋体" w:eastAsia="宋体" w:hint="ascii"/>
          <w:sz w:val="21"/>
          <w:spacing w:val="-3"/>
        </w:rPr>
        <w:t>道</w:t>
      </w:r>
      <w:r>
        <w:rPr>
          <w:rFonts w:ascii="宋体" w:hAnsi="宋体" w:cs="宋体" w:eastAsia="宋体" w:hint="ascii"/>
          <w:sz w:val="21"/>
          <w:spacing w:val="-2"/>
        </w:rPr>
        <w:t>内</w:t>
      </w:r>
      <w:r>
        <w:rPr>
          <w:rFonts w:ascii="宋体" w:hAnsi="宋体" w:cs="宋体" w:eastAsia="宋体" w:hint="ascii"/>
          <w:sz w:val="21"/>
          <w:spacing w:val="-3"/>
        </w:rPr>
        <w:t>环境紊</w:t>
      </w:r>
      <w:r>
        <w:rPr>
          <w:rFonts w:ascii="宋体" w:hAnsi="宋体" w:cs="宋体" w:eastAsia="宋体" w:hint="ascii"/>
          <w:sz w:val="21"/>
          <w:spacing w:val="-2"/>
        </w:rPr>
        <w:t>乱</w:t>
      </w:r>
      <w:r>
        <w:rPr>
          <w:rFonts w:ascii="宋体" w:hAnsi="宋体" w:cs="宋体" w:eastAsia="宋体" w:hint="ascii"/>
          <w:sz w:val="21"/>
          <w:spacing w:val="-3"/>
        </w:rPr>
        <w:t>、</w:t>
      </w:r>
      <w:r>
        <w:rPr>
          <w:rFonts w:ascii="宋体" w:hAnsi="宋体" w:cs="宋体" w:eastAsia="宋体" w:hint="ascii"/>
          <w:sz w:val="21"/>
          <w:spacing w:val="-2"/>
        </w:rPr>
        <w:t>黏</w:t>
      </w:r>
      <w:r>
        <w:rPr>
          <w:rFonts w:ascii="宋体" w:hAnsi="宋体" w:cs="宋体" w:eastAsia="宋体" w:hint="ascii"/>
          <w:sz w:val="21"/>
          <w:spacing w:val="-3"/>
        </w:rPr>
        <w:t>膜屏障</w:t>
      </w:r>
      <w:r>
        <w:rPr>
          <w:rFonts w:ascii="宋体" w:hAnsi="宋体" w:cs="宋体" w:eastAsia="宋体" w:hint="ascii"/>
          <w:sz w:val="21"/>
          <w:spacing w:val="-2"/>
        </w:rPr>
        <w:t>障</w:t>
      </w:r>
      <w:r>
        <w:rPr>
          <w:rFonts w:ascii="宋体" w:hAnsi="宋体" w:cs="宋体" w:eastAsia="宋体" w:hint="ascii"/>
          <w:sz w:val="21"/>
          <w:spacing w:val="-3"/>
        </w:rPr>
        <w:t>碍</w:t>
      </w:r>
      <w:r>
        <w:rPr>
          <w:rFonts w:ascii="宋体" w:hAnsi="宋体" w:cs="宋体" w:eastAsia="宋体" w:hint="ascii"/>
          <w:sz w:val="21"/>
          <w:spacing w:val="-2"/>
        </w:rPr>
        <w:t>及</w:t>
      </w:r>
      <w:r>
        <w:rPr>
          <w:rFonts w:ascii="宋体" w:hAnsi="宋体" w:cs="宋体" w:eastAsia="宋体" w:hint="ascii"/>
          <w:sz w:val="21"/>
          <w:spacing w:val="-3"/>
        </w:rPr>
        <w:t>相关疾</w:t>
      </w:r>
      <w:r>
        <w:rPr>
          <w:rFonts w:ascii="宋体" w:hAnsi="宋体" w:cs="宋体" w:eastAsia="宋体" w:hint="ascii"/>
          <w:sz w:val="21"/>
          <w:spacing w:val="-2"/>
        </w:rPr>
        <w:t>病</w:t>
      </w:r>
      <w:r>
        <w:rPr>
          <w:rFonts w:ascii="宋体" w:hAnsi="宋体" w:cs="宋体" w:eastAsia="宋体" w:hint="ascii"/>
          <w:sz w:val="21"/>
          <w:spacing w:val="-3"/>
        </w:rPr>
        <w:t>（</w:t>
      </w:r>
      <w:r>
        <w:rPr>
          <w:rFonts w:ascii="Times New Roman" w:hAnsi="Times New Roman" w:cs="Times New Roman" w:eastAsia="Times New Roman" w:hint="ascii"/>
          <w:sz w:val="21"/>
          <w:spacing w:val="-10"/>
        </w:rPr>
        <w:t>1</w:t>
      </w:r>
      <w:r>
        <w:rPr>
          <w:rFonts w:ascii="Times New Roman" w:hAnsi="Times New Roman" w:cs="Times New Roman" w:eastAsia="Times New Roman" w:hint="ascii"/>
          <w:sz w:val="21"/>
          <w:spacing w:val="-3"/>
        </w:rPr>
        <w:t>1.5%</w:t>
      </w:r>
      <w:r>
        <w:rPr>
          <w:rFonts w:ascii="宋体" w:hAnsi="宋体" w:cs="宋体" w:eastAsia="宋体" w:hint="ascii"/>
          <w:sz w:val="21"/>
          <w:spacing w:val="-53"/>
        </w:rPr>
        <w:t>）</w:t>
      </w:r>
      <w:r>
        <w:rPr>
          <w:rFonts w:ascii="宋体" w:hAnsi="宋体" w:cs="宋体" w:eastAsia="宋体" w:hint="ascii"/>
          <w:sz w:val="21"/>
          <w:spacing w:val="-3"/>
        </w:rPr>
        <w:t>、胃</w:t>
      </w:r>
      <w:r>
        <w:rPr>
          <w:rFonts w:ascii="宋体" w:hAnsi="宋体" w:cs="宋体" w:eastAsia="宋体" w:hint="ascii"/>
          <w:sz w:val="21"/>
          <w:spacing w:val="-2"/>
        </w:rPr>
        <w:t>肠</w:t>
      </w:r>
      <w:r>
        <w:rPr>
          <w:rFonts w:ascii="宋体" w:hAnsi="宋体" w:cs="宋体" w:eastAsia="宋体" w:hint="ascii"/>
          <w:sz w:val="21"/>
          <w:spacing w:val="-3"/>
        </w:rPr>
        <w:t>道免疫</w:t>
      </w:r>
      <w:r>
        <w:rPr>
          <w:rFonts w:ascii="宋体" w:hAnsi="宋体" w:cs="宋体" w:eastAsia="宋体" w:hint="ascii"/>
          <w:sz w:val="21"/>
        </w:rPr>
        <w:t>相</w:t>
      </w:r>
    </w:p>
    <w:p>
      <w:pPr>
        <w:autoSpaceDE w:val="0"/>
        <w:autoSpaceDN w:val="0"/>
        <w:jc w:val="both"/>
        <w:spacing w:before="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关疾病（</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4"/>
        </w:rPr>
        <w:t>4</w:t>
      </w:r>
      <w:r>
        <w:rPr>
          <w:rFonts w:ascii="Times New Roman" w:hAnsi="Times New Roman" w:cs="Times New Roman" w:eastAsia="Times New Roman" w:hint="ascii"/>
          <w:sz w:val="21"/>
          <w:spacing w:val="-3"/>
        </w:rPr>
        <w:t>%</w:t>
      </w:r>
      <w:r>
        <w:rPr>
          <w:rFonts w:ascii="宋体" w:hAnsi="宋体" w:cs="宋体" w:eastAsia="宋体" w:hint="ascii"/>
          <w:sz w:val="21"/>
          <w:spacing w:val="-55"/>
        </w:rPr>
        <w:t>）</w:t>
      </w:r>
      <w:r>
        <w:rPr>
          <w:rFonts w:ascii="宋体" w:hAnsi="宋体" w:cs="宋体" w:eastAsia="宋体" w:hint="ascii"/>
          <w:sz w:val="21"/>
          <w:spacing w:val="-4"/>
        </w:rPr>
        <w:t>、消化</w:t>
      </w:r>
      <w:r>
        <w:rPr>
          <w:rFonts w:ascii="宋体" w:hAnsi="宋体" w:cs="宋体" w:eastAsia="宋体" w:hint="ascii"/>
          <w:sz w:val="21"/>
          <w:spacing w:val="-3"/>
        </w:rPr>
        <w:t>道动力异常</w:t>
      </w:r>
      <w:r>
        <w:rPr>
          <w:rFonts w:ascii="宋体" w:hAnsi="宋体" w:cs="宋体" w:eastAsia="宋体" w:hint="ascii"/>
          <w:sz w:val="21"/>
          <w:spacing w:val="-2"/>
        </w:rPr>
        <w:t>及</w:t>
      </w:r>
      <w:r>
        <w:rPr>
          <w:rFonts w:ascii="宋体" w:hAnsi="宋体" w:cs="宋体" w:eastAsia="宋体" w:hint="ascii"/>
          <w:sz w:val="21"/>
          <w:spacing w:val="-3"/>
        </w:rPr>
        <w:t>功能性胃</w:t>
      </w:r>
      <w:r>
        <w:rPr>
          <w:rFonts w:ascii="宋体" w:hAnsi="宋体" w:cs="宋体" w:eastAsia="宋体" w:hint="ascii"/>
          <w:sz w:val="21"/>
          <w:spacing w:val="-2"/>
        </w:rPr>
        <w:t>肠</w:t>
      </w:r>
      <w:r>
        <w:rPr>
          <w:rFonts w:ascii="宋体" w:hAnsi="宋体" w:cs="宋体" w:eastAsia="宋体" w:hint="ascii"/>
          <w:sz w:val="21"/>
          <w:spacing w:val="-3"/>
        </w:rPr>
        <w:t>病（</w:t>
      </w:r>
      <w:r>
        <w:rPr>
          <w:rFonts w:ascii="Times New Roman" w:hAnsi="Times New Roman" w:cs="Times New Roman" w:eastAsia="Times New Roman" w:hint="ascii"/>
          <w:sz w:val="21"/>
          <w:spacing w:val="-4"/>
        </w:rPr>
        <w:t>4.6</w:t>
      </w:r>
      <w:r>
        <w:rPr>
          <w:rFonts w:ascii="Times New Roman" w:hAnsi="Times New Roman" w:cs="Times New Roman" w:eastAsia="Times New Roman" w:hint="ascii"/>
          <w:sz w:val="21"/>
          <w:spacing w:val="-2"/>
        </w:rPr>
        <w:t>%</w:t>
      </w:r>
      <w:r>
        <w:rPr>
          <w:rFonts w:ascii="宋体" w:hAnsi="宋体" w:cs="宋体" w:eastAsia="宋体" w:hint="ascii"/>
          <w:sz w:val="21"/>
          <w:spacing w:val="-2"/>
        </w:rPr>
        <w:t>）</w:t>
      </w:r>
      <w:r>
        <w:rPr>
          <w:rFonts w:ascii="宋体" w:hAnsi="宋体" w:cs="宋体" w:eastAsia="宋体" w:hint="ascii"/>
          <w:sz w:val="21"/>
          <w:spacing w:val="-3"/>
        </w:rPr>
        <w:t>为主；胰</w:t>
      </w:r>
      <w:r>
        <w:rPr>
          <w:rFonts w:ascii="宋体" w:hAnsi="宋体" w:cs="宋体" w:eastAsia="宋体" w:hint="ascii"/>
          <w:sz w:val="21"/>
          <w:spacing w:val="-2"/>
        </w:rPr>
        <w:t>腺</w:t>
      </w:r>
      <w:r>
        <w:rPr>
          <w:rFonts w:ascii="宋体" w:hAnsi="宋体" w:cs="宋体" w:eastAsia="宋体" w:hint="ascii"/>
          <w:sz w:val="21"/>
          <w:spacing w:val="-3"/>
        </w:rPr>
        <w:t>外分泌功</w:t>
      </w:r>
      <w:r>
        <w:rPr>
          <w:rFonts w:ascii="宋体" w:hAnsi="宋体" w:cs="宋体" w:eastAsia="宋体" w:hint="ascii"/>
          <w:sz w:val="21"/>
          <w:spacing w:val="-2"/>
        </w:rPr>
        <w:t>能</w:t>
      </w:r>
      <w:r>
        <w:rPr>
          <w:rFonts w:ascii="宋体" w:hAnsi="宋体" w:cs="宋体" w:eastAsia="宋体" w:hint="ascii"/>
          <w:sz w:val="21"/>
          <w:spacing w:val="-3"/>
        </w:rPr>
        <w:t>异常</w:t>
      </w:r>
      <w:r>
        <w:rPr>
          <w:rFonts w:ascii="宋体" w:hAnsi="宋体" w:cs="宋体" w:eastAsia="宋体" w:hint="ascii"/>
          <w:sz w:val="21"/>
          <w:spacing w:val="-1"/>
        </w:rPr>
        <w:t>与</w:t>
      </w:r>
      <w:r>
        <w:rPr>
          <w:rFonts w:ascii="宋体" w:hAnsi="宋体" w:cs="宋体" w:eastAsia="宋体" w:hint="ascii"/>
          <w:sz w:val="21"/>
        </w:rPr>
        <w:t xml:space="preserve"> </w:t>
      </w:r>
      <w:r>
        <w:rPr>
          <w:rFonts w:ascii="宋体" w:hAnsi="宋体" w:cs="宋体" w:eastAsia="宋体" w:hint="ascii"/>
          <w:sz w:val="21"/>
          <w:spacing w:val="-4"/>
        </w:rPr>
        <w:t>胰腺炎</w:t>
      </w:r>
      <w:r>
        <w:rPr>
          <w:rFonts w:ascii="宋体" w:hAnsi="宋体" w:cs="宋体" w:eastAsia="宋体" w:hint="ascii"/>
          <w:sz w:val="21"/>
        </w:rPr>
        <w:t>占</w:t>
      </w:r>
      <w:r>
        <w:rPr>
          <w:rFonts w:ascii="宋体" w:hAnsi="宋体" w:cs="宋体" w:eastAsia="宋体" w:hint="ascii"/>
          <w:sz w:val="21"/>
          <w:spacing w:val="-9"/>
        </w:rPr>
        <w:t xml:space="preserve"> </w:t>
      </w:r>
      <w:r>
        <w:rPr>
          <w:rFonts w:ascii="Times New Roman" w:hAnsi="Times New Roman" w:cs="Times New Roman" w:eastAsia="Times New Roman" w:hint="ascii"/>
          <w:sz w:val="21"/>
          <w:spacing w:val="-3"/>
        </w:rPr>
        <w:t>6.67%</w:t>
      </w:r>
      <w:r>
        <w:rPr>
          <w:rFonts w:ascii="宋体" w:hAnsi="宋体" w:cs="宋体" w:eastAsia="宋体" w:hint="ascii"/>
          <w:sz w:val="21"/>
          <w:spacing w:val="-3"/>
        </w:rPr>
        <w:t>（</w:t>
      </w:r>
      <w:r>
        <w:rPr>
          <w:rFonts w:ascii="宋体" w:hAnsi="宋体" w:cs="宋体" w:eastAsia="宋体" w:hint="ascii"/>
          <w:sz w:val="21"/>
          <w:spacing w:val="22"/>
        </w:rPr>
        <w:t>与</w:t>
      </w:r>
      <w:r>
        <w:rPr>
          <w:rFonts w:ascii="Times New Roman" w:hAnsi="Times New Roman" w:cs="Times New Roman" w:eastAsia="Times New Roman" w:hint="ascii"/>
          <w:sz w:val="21"/>
          <w:spacing w:val="-3"/>
        </w:rPr>
        <w:t>201</w:t>
      </w:r>
      <w:r>
        <w:rPr>
          <w:rFonts w:ascii="Times New Roman" w:hAnsi="Times New Roman" w:cs="Times New Roman" w:eastAsia="Times New Roman" w:hint="ascii"/>
          <w:sz w:val="21"/>
          <w:spacing w:val="48"/>
        </w:rPr>
        <w:t>6</w:t>
      </w:r>
      <w:r>
        <w:rPr>
          <w:rFonts w:ascii="宋体" w:hAnsi="宋体" w:cs="宋体" w:eastAsia="宋体" w:hint="ascii"/>
          <w:sz w:val="21"/>
          <w:spacing w:val="-3"/>
        </w:rPr>
        <w:t>年度基本持平</w:t>
      </w:r>
      <w:r>
        <w:rPr>
          <w:rFonts w:ascii="宋体" w:hAnsi="宋体" w:cs="宋体" w:eastAsia="宋体" w:hint="ascii"/>
          <w:sz w:val="21"/>
          <w:spacing w:val="-54"/>
        </w:rPr>
        <w:t>）</w:t>
      </w:r>
      <w:r>
        <w:rPr>
          <w:rFonts w:ascii="宋体" w:hAnsi="宋体" w:cs="宋体" w:eastAsia="宋体" w:hint="ascii"/>
          <w:sz w:val="21"/>
          <w:spacing w:val="-3"/>
        </w:rPr>
        <w:t>，消化系统器官移植</w:t>
      </w:r>
      <w:r>
        <w:rPr>
          <w:rFonts w:ascii="宋体" w:hAnsi="宋体" w:cs="宋体" w:eastAsia="宋体" w:hint="ascii"/>
          <w:sz w:val="21"/>
          <w:spacing w:val="22"/>
        </w:rPr>
        <w:t>占</w:t>
      </w:r>
      <w:r>
        <w:rPr>
          <w:rFonts w:ascii="Times New Roman" w:hAnsi="Times New Roman" w:cs="Times New Roman" w:eastAsia="Times New Roman" w:hint="ascii"/>
          <w:sz w:val="21"/>
          <w:spacing w:val="-3"/>
        </w:rPr>
        <w:t>5.09%</w:t>
      </w:r>
      <w:r>
        <w:rPr>
          <w:rFonts w:ascii="宋体" w:hAnsi="宋体" w:cs="宋体" w:eastAsia="宋体" w:hint="ascii"/>
          <w:sz w:val="21"/>
          <w:spacing w:val="-3"/>
        </w:rPr>
        <w:t>；腹壁</w:t>
      </w:r>
      <w:r>
        <w:rPr>
          <w:rFonts w:ascii="Times New Roman" w:hAnsi="Times New Roman" w:cs="Times New Roman" w:eastAsia="Times New Roman" w:hint="ascii"/>
          <w:sz w:val="21"/>
          <w:spacing w:val="-3"/>
        </w:rPr>
        <w:t>/</w:t>
      </w:r>
      <w:r>
        <w:rPr>
          <w:rFonts w:ascii="宋体" w:hAnsi="宋体" w:cs="宋体" w:eastAsia="宋体" w:hint="ascii"/>
          <w:sz w:val="21"/>
          <w:spacing w:val="-3"/>
        </w:rPr>
        <w:t>腹膜结构</w:t>
      </w:r>
      <w:r>
        <w:rPr>
          <w:rFonts w:ascii="宋体" w:hAnsi="宋体" w:cs="宋体" w:eastAsia="宋体" w:hint="ascii"/>
          <w:sz w:val="21"/>
        </w:rPr>
        <w:t>及</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功能</w:t>
      </w:r>
      <w:r>
        <w:rPr>
          <w:rFonts w:ascii="宋体" w:hAnsi="宋体" w:cs="宋体" w:eastAsia="宋体" w:hint="ascii"/>
          <w:sz w:val="21"/>
          <w:spacing w:val="-3"/>
        </w:rPr>
        <w:t>异</w:t>
      </w:r>
      <w:r>
        <w:rPr>
          <w:rFonts w:ascii="宋体" w:hAnsi="宋体" w:cs="宋体" w:eastAsia="宋体" w:hint="ascii"/>
          <w:sz w:val="21"/>
          <w:spacing w:val="-2"/>
        </w:rPr>
        <w:t>常</w:t>
      </w:r>
      <w:r>
        <w:rPr>
          <w:rFonts w:ascii="宋体" w:hAnsi="宋体" w:cs="宋体" w:eastAsia="宋体" w:hint="ascii"/>
          <w:sz w:val="21"/>
          <w:spacing w:val="-3"/>
        </w:rPr>
        <w:t>、消</w:t>
      </w:r>
      <w:r>
        <w:rPr>
          <w:rFonts w:ascii="宋体" w:hAnsi="宋体" w:cs="宋体" w:eastAsia="宋体" w:hint="ascii"/>
          <w:sz w:val="21"/>
          <w:spacing w:val="-2"/>
        </w:rPr>
        <w:t>化系</w:t>
      </w:r>
      <w:r>
        <w:rPr>
          <w:rFonts w:ascii="宋体" w:hAnsi="宋体" w:cs="宋体" w:eastAsia="宋体" w:hint="ascii"/>
          <w:sz w:val="21"/>
          <w:spacing w:val="-3"/>
        </w:rPr>
        <w:t>统</w:t>
      </w:r>
      <w:r>
        <w:rPr>
          <w:rFonts w:ascii="宋体" w:hAnsi="宋体" w:cs="宋体" w:eastAsia="宋体" w:hint="ascii"/>
          <w:sz w:val="21"/>
          <w:spacing w:val="-2"/>
        </w:rPr>
        <w:t>内</w:t>
      </w:r>
      <w:r>
        <w:rPr>
          <w:rFonts w:ascii="宋体" w:hAnsi="宋体" w:cs="宋体" w:eastAsia="宋体" w:hint="ascii"/>
          <w:sz w:val="21"/>
          <w:spacing w:val="-3"/>
        </w:rPr>
        <w:t>分泌</w:t>
      </w:r>
      <w:r>
        <w:rPr>
          <w:rFonts w:ascii="宋体" w:hAnsi="宋体" w:cs="宋体" w:eastAsia="宋体" w:hint="ascii"/>
          <w:sz w:val="21"/>
          <w:spacing w:val="-2"/>
        </w:rPr>
        <w:t>及神</w:t>
      </w:r>
      <w:r>
        <w:rPr>
          <w:rFonts w:ascii="宋体" w:hAnsi="宋体" w:cs="宋体" w:eastAsia="宋体" w:hint="ascii"/>
          <w:sz w:val="21"/>
          <w:spacing w:val="-3"/>
        </w:rPr>
        <w:t>经</w:t>
      </w:r>
      <w:r>
        <w:rPr>
          <w:rFonts w:ascii="宋体" w:hAnsi="宋体" w:cs="宋体" w:eastAsia="宋体" w:hint="ascii"/>
          <w:sz w:val="21"/>
          <w:spacing w:val="-2"/>
        </w:rPr>
        <w:t>体</w:t>
      </w:r>
      <w:r>
        <w:rPr>
          <w:rFonts w:ascii="宋体" w:hAnsi="宋体" w:cs="宋体" w:eastAsia="宋体" w:hint="ascii"/>
          <w:sz w:val="21"/>
          <w:spacing w:val="-3"/>
        </w:rPr>
        <w:t>液调</w:t>
      </w:r>
      <w:r>
        <w:rPr>
          <w:rFonts w:ascii="宋体" w:hAnsi="宋体" w:cs="宋体" w:eastAsia="宋体" w:hint="ascii"/>
          <w:sz w:val="21"/>
          <w:spacing w:val="-2"/>
        </w:rPr>
        <w:t>节异</w:t>
      </w:r>
      <w:r>
        <w:rPr>
          <w:rFonts w:ascii="宋体" w:hAnsi="宋体" w:cs="宋体" w:eastAsia="宋体" w:hint="ascii"/>
          <w:sz w:val="21"/>
          <w:spacing w:val="-3"/>
        </w:rPr>
        <w:t>常</w:t>
      </w:r>
      <w:r>
        <w:rPr>
          <w:rFonts w:ascii="宋体" w:hAnsi="宋体" w:cs="宋体" w:eastAsia="宋体" w:hint="ascii"/>
          <w:sz w:val="21"/>
          <w:spacing w:val="-2"/>
        </w:rPr>
        <w:t>、</w:t>
      </w:r>
      <w:r>
        <w:rPr>
          <w:rFonts w:ascii="宋体" w:hAnsi="宋体" w:cs="宋体" w:eastAsia="宋体" w:hint="ascii"/>
          <w:sz w:val="21"/>
          <w:spacing w:val="-3"/>
        </w:rPr>
        <w:t>胃酸</w:t>
      </w:r>
      <w:r>
        <w:rPr>
          <w:rFonts w:ascii="宋体" w:hAnsi="宋体" w:cs="宋体" w:eastAsia="宋体" w:hint="ascii"/>
          <w:sz w:val="21"/>
          <w:spacing w:val="-2"/>
        </w:rPr>
        <w:t>分泌</w:t>
      </w:r>
      <w:r>
        <w:rPr>
          <w:rFonts w:ascii="宋体" w:hAnsi="宋体" w:cs="宋体" w:eastAsia="宋体" w:hint="ascii"/>
          <w:sz w:val="21"/>
          <w:spacing w:val="-3"/>
        </w:rPr>
        <w:t>异</w:t>
      </w:r>
      <w:r>
        <w:rPr>
          <w:rFonts w:ascii="宋体" w:hAnsi="宋体" w:cs="宋体" w:eastAsia="宋体" w:hint="ascii"/>
          <w:sz w:val="21"/>
          <w:spacing w:val="-2"/>
        </w:rPr>
        <w:t>常</w:t>
      </w:r>
      <w:r>
        <w:rPr>
          <w:rFonts w:ascii="宋体" w:hAnsi="宋体" w:cs="宋体" w:eastAsia="宋体" w:hint="ascii"/>
          <w:sz w:val="21"/>
          <w:spacing w:val="-3"/>
        </w:rPr>
        <w:t>及酸</w:t>
      </w:r>
      <w:r>
        <w:rPr>
          <w:rFonts w:ascii="宋体" w:hAnsi="宋体" w:cs="宋体" w:eastAsia="宋体" w:hint="ascii"/>
          <w:sz w:val="21"/>
          <w:spacing w:val="-2"/>
        </w:rPr>
        <w:t>相关</w:t>
      </w:r>
      <w:r>
        <w:rPr>
          <w:rFonts w:ascii="宋体" w:hAnsi="宋体" w:cs="宋体" w:eastAsia="宋体" w:hint="ascii"/>
          <w:sz w:val="21"/>
          <w:spacing w:val="-3"/>
        </w:rPr>
        <w:t>性</w:t>
      </w:r>
      <w:r>
        <w:rPr>
          <w:rFonts w:ascii="宋体" w:hAnsi="宋体" w:cs="宋体" w:eastAsia="宋体" w:hint="ascii"/>
          <w:sz w:val="21"/>
          <w:spacing w:val="-2"/>
        </w:rPr>
        <w:t>疾</w:t>
      </w:r>
      <w:r>
        <w:rPr>
          <w:rFonts w:ascii="宋体" w:hAnsi="宋体" w:cs="宋体" w:eastAsia="宋体" w:hint="ascii"/>
          <w:sz w:val="21"/>
          <w:spacing w:val="-3"/>
        </w:rPr>
        <w:t>病及</w:t>
      </w:r>
      <w:r>
        <w:rPr>
          <w:rFonts w:ascii="宋体" w:hAnsi="宋体" w:cs="宋体" w:eastAsia="宋体" w:hint="ascii"/>
          <w:sz w:val="21"/>
          <w:spacing w:val="-2"/>
        </w:rPr>
        <w:t>消化</w:t>
      </w:r>
      <w:r>
        <w:rPr>
          <w:rFonts w:ascii="宋体" w:hAnsi="宋体" w:cs="宋体" w:eastAsia="宋体" w:hint="ascii"/>
          <w:sz w:val="21"/>
        </w:rPr>
        <w:t>系</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统血</w:t>
      </w:r>
      <w:r>
        <w:rPr>
          <w:rFonts w:ascii="宋体" w:hAnsi="宋体" w:cs="宋体" w:eastAsia="宋体" w:hint="ascii"/>
          <w:sz w:val="21"/>
          <w:spacing w:val="-3"/>
        </w:rPr>
        <w:t>管</w:t>
      </w:r>
      <w:r>
        <w:rPr>
          <w:rFonts w:ascii="宋体" w:hAnsi="宋体" w:cs="宋体" w:eastAsia="宋体" w:hint="ascii"/>
          <w:sz w:val="21"/>
          <w:spacing w:val="-2"/>
        </w:rPr>
        <w:t>循</w:t>
      </w:r>
      <w:r>
        <w:rPr>
          <w:rFonts w:ascii="宋体" w:hAnsi="宋体" w:cs="宋体" w:eastAsia="宋体" w:hint="ascii"/>
          <w:sz w:val="21"/>
          <w:spacing w:val="-3"/>
        </w:rPr>
        <w:t>环障</w:t>
      </w:r>
      <w:r>
        <w:rPr>
          <w:rFonts w:ascii="宋体" w:hAnsi="宋体" w:cs="宋体" w:eastAsia="宋体" w:hint="ascii"/>
          <w:sz w:val="21"/>
          <w:spacing w:val="-2"/>
        </w:rPr>
        <w:t>碍性</w:t>
      </w:r>
      <w:r>
        <w:rPr>
          <w:rFonts w:ascii="宋体" w:hAnsi="宋体" w:cs="宋体" w:eastAsia="宋体" w:hint="ascii"/>
          <w:sz w:val="21"/>
          <w:spacing w:val="-3"/>
        </w:rPr>
        <w:t>疾</w:t>
      </w:r>
      <w:r>
        <w:rPr>
          <w:rFonts w:ascii="宋体" w:hAnsi="宋体" w:cs="宋体" w:eastAsia="宋体" w:hint="ascii"/>
          <w:sz w:val="21"/>
          <w:spacing w:val="-2"/>
        </w:rPr>
        <w:t>病</w:t>
      </w:r>
      <w:r>
        <w:rPr>
          <w:rFonts w:ascii="宋体" w:hAnsi="宋体" w:cs="宋体" w:eastAsia="宋体" w:hint="ascii"/>
          <w:sz w:val="21"/>
          <w:spacing w:val="-3"/>
        </w:rPr>
        <w:t>等方</w:t>
      </w:r>
      <w:r>
        <w:rPr>
          <w:rFonts w:ascii="宋体" w:hAnsi="宋体" w:cs="宋体" w:eastAsia="宋体" w:hint="ascii"/>
          <w:sz w:val="21"/>
          <w:spacing w:val="-2"/>
        </w:rPr>
        <w:t>面的</w:t>
      </w:r>
      <w:r>
        <w:rPr>
          <w:rFonts w:ascii="宋体" w:hAnsi="宋体" w:cs="宋体" w:eastAsia="宋体" w:hint="ascii"/>
          <w:sz w:val="21"/>
          <w:spacing w:val="-3"/>
        </w:rPr>
        <w:t>项</w:t>
      </w:r>
      <w:r>
        <w:rPr>
          <w:rFonts w:ascii="宋体" w:hAnsi="宋体" w:cs="宋体" w:eastAsia="宋体" w:hint="ascii"/>
          <w:sz w:val="21"/>
          <w:spacing w:val="-2"/>
        </w:rPr>
        <w:t>目</w:t>
      </w:r>
      <w:r>
        <w:rPr>
          <w:rFonts w:ascii="宋体" w:hAnsi="宋体" w:cs="宋体" w:eastAsia="宋体" w:hint="ascii"/>
          <w:sz w:val="21"/>
          <w:spacing w:val="-3"/>
        </w:rPr>
        <w:t>申请</w:t>
      </w:r>
      <w:r>
        <w:rPr>
          <w:rFonts w:ascii="宋体" w:hAnsi="宋体" w:cs="宋体" w:eastAsia="宋体" w:hint="ascii"/>
          <w:sz w:val="21"/>
          <w:spacing w:val="-2"/>
        </w:rPr>
        <w:t>仍然</w:t>
      </w:r>
      <w:r>
        <w:rPr>
          <w:rFonts w:ascii="宋体" w:hAnsi="宋体" w:cs="宋体" w:eastAsia="宋体" w:hint="ascii"/>
          <w:sz w:val="21"/>
          <w:spacing w:val="-3"/>
        </w:rPr>
        <w:t>很</w:t>
      </w:r>
      <w:r>
        <w:rPr>
          <w:rFonts w:ascii="宋体" w:hAnsi="宋体" w:cs="宋体" w:eastAsia="宋体" w:hint="ascii"/>
          <w:sz w:val="21"/>
          <w:spacing w:val="-2"/>
        </w:rPr>
        <w:t>少</w:t>
      </w:r>
      <w:r>
        <w:rPr>
          <w:rFonts w:ascii="宋体" w:hAnsi="宋体" w:cs="宋体" w:eastAsia="宋体" w:hint="ascii"/>
          <w:sz w:val="21"/>
          <w:spacing w:val="-3"/>
        </w:rPr>
        <w:t>，为</w:t>
      </w:r>
      <w:r>
        <w:rPr>
          <w:rFonts w:ascii="宋体" w:hAnsi="宋体" w:cs="宋体" w:eastAsia="宋体" w:hint="ascii"/>
          <w:sz w:val="21"/>
          <w:spacing w:val="-2"/>
        </w:rPr>
        <w:t>消化</w:t>
      </w:r>
      <w:r>
        <w:rPr>
          <w:rFonts w:ascii="宋体" w:hAnsi="宋体" w:cs="宋体" w:eastAsia="宋体" w:hint="ascii"/>
          <w:sz w:val="21"/>
          <w:spacing w:val="-3"/>
        </w:rPr>
        <w:t>系</w:t>
      </w:r>
      <w:r>
        <w:rPr>
          <w:rFonts w:ascii="宋体" w:hAnsi="宋体" w:cs="宋体" w:eastAsia="宋体" w:hint="ascii"/>
          <w:sz w:val="21"/>
          <w:spacing w:val="-2"/>
        </w:rPr>
        <w:t>统</w:t>
      </w:r>
      <w:r>
        <w:rPr>
          <w:rFonts w:ascii="宋体" w:hAnsi="宋体" w:cs="宋体" w:eastAsia="宋体" w:hint="ascii"/>
          <w:sz w:val="21"/>
          <w:spacing w:val="-3"/>
        </w:rPr>
        <w:t>研究</w:t>
      </w:r>
      <w:r>
        <w:rPr>
          <w:rFonts w:ascii="宋体" w:hAnsi="宋体" w:cs="宋体" w:eastAsia="宋体" w:hint="ascii"/>
          <w:sz w:val="21"/>
          <w:spacing w:val="-2"/>
        </w:rPr>
        <w:t>冷点</w:t>
      </w:r>
      <w:r>
        <w:rPr>
          <w:rFonts w:ascii="宋体" w:hAnsi="宋体" w:cs="宋体" w:eastAsia="宋体" w:hint="ascii"/>
          <w:sz w:val="21"/>
          <w:spacing w:val="-3"/>
        </w:rPr>
        <w:t>领</w:t>
      </w:r>
      <w:r>
        <w:rPr>
          <w:rFonts w:ascii="宋体" w:hAnsi="宋体" w:cs="宋体" w:eastAsia="宋体" w:hint="ascii"/>
          <w:sz w:val="21"/>
          <w:spacing w:val="-2"/>
        </w:rPr>
        <w:t>域</w:t>
      </w:r>
      <w:r>
        <w:rPr>
          <w:rFonts w:ascii="宋体" w:hAnsi="宋体" w:cs="宋体" w:eastAsia="宋体" w:hint="ascii"/>
          <w:sz w:val="21"/>
          <w:spacing w:val="-3"/>
        </w:rPr>
        <w:t>，应</w:t>
      </w:r>
      <w:r>
        <w:rPr>
          <w:rFonts w:ascii="宋体" w:hAnsi="宋体" w:cs="宋体" w:eastAsia="宋体" w:hint="ascii"/>
          <w:sz w:val="21"/>
          <w:spacing w:val="-2"/>
        </w:rPr>
        <w:t>予以</w:t>
      </w:r>
      <w:r>
        <w:rPr>
          <w:rFonts w:ascii="宋体" w:hAnsi="宋体" w:cs="宋体" w:eastAsia="宋体" w:hint="ascii"/>
          <w:sz w:val="21"/>
        </w:rPr>
        <w:t>关</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注。</w:t>
      </w:r>
      <w:r>
        <w:rPr>
          <w:rFonts w:ascii="宋体" w:hAnsi="宋体" w:cs="宋体" w:eastAsia="宋体" w:hint="ascii"/>
          <w:sz w:val="21"/>
          <w:spacing w:val="-3"/>
        </w:rPr>
        <w:t>各</w:t>
      </w:r>
      <w:r>
        <w:rPr>
          <w:rFonts w:ascii="宋体" w:hAnsi="宋体" w:cs="宋体" w:eastAsia="宋体" w:hint="ascii"/>
          <w:sz w:val="21"/>
          <w:spacing w:val="-2"/>
        </w:rPr>
        <w:t>种</w:t>
      </w:r>
      <w:r>
        <w:rPr>
          <w:rFonts w:ascii="宋体" w:hAnsi="宋体" w:cs="宋体" w:eastAsia="宋体" w:hint="ascii"/>
          <w:sz w:val="21"/>
          <w:spacing w:val="-3"/>
        </w:rPr>
        <w:t>肝脏</w:t>
      </w:r>
      <w:r>
        <w:rPr>
          <w:rFonts w:ascii="宋体" w:hAnsi="宋体" w:cs="宋体" w:eastAsia="宋体" w:hint="ascii"/>
          <w:sz w:val="21"/>
          <w:spacing w:val="-2"/>
        </w:rPr>
        <w:t>疾病</w:t>
      </w:r>
      <w:r>
        <w:rPr>
          <w:rFonts w:ascii="宋体" w:hAnsi="宋体" w:cs="宋体" w:eastAsia="宋体" w:hint="ascii"/>
          <w:sz w:val="21"/>
          <w:spacing w:val="-3"/>
        </w:rPr>
        <w:t>，</w:t>
      </w:r>
      <w:r>
        <w:rPr>
          <w:rFonts w:ascii="宋体" w:hAnsi="宋体" w:cs="宋体" w:eastAsia="宋体" w:hint="ascii"/>
          <w:sz w:val="21"/>
          <w:spacing w:val="-2"/>
        </w:rPr>
        <w:t>尤</w:t>
      </w:r>
      <w:r>
        <w:rPr>
          <w:rFonts w:ascii="宋体" w:hAnsi="宋体" w:cs="宋体" w:eastAsia="宋体" w:hint="ascii"/>
          <w:sz w:val="21"/>
          <w:spacing w:val="-3"/>
        </w:rPr>
        <w:t>其是</w:t>
      </w:r>
      <w:r>
        <w:rPr>
          <w:rFonts w:ascii="宋体" w:hAnsi="宋体" w:cs="宋体" w:eastAsia="宋体" w:hint="ascii"/>
          <w:sz w:val="21"/>
          <w:spacing w:val="-2"/>
        </w:rPr>
        <w:t>脂肪</w:t>
      </w:r>
      <w:r>
        <w:rPr>
          <w:rFonts w:ascii="宋体" w:hAnsi="宋体" w:cs="宋体" w:eastAsia="宋体" w:hint="ascii"/>
          <w:sz w:val="21"/>
          <w:spacing w:val="-3"/>
        </w:rPr>
        <w:t>性</w:t>
      </w:r>
      <w:r>
        <w:rPr>
          <w:rFonts w:ascii="宋体" w:hAnsi="宋体" w:cs="宋体" w:eastAsia="宋体" w:hint="ascii"/>
          <w:sz w:val="21"/>
          <w:spacing w:val="-2"/>
        </w:rPr>
        <w:t>肝</w:t>
      </w:r>
      <w:r>
        <w:rPr>
          <w:rFonts w:ascii="宋体" w:hAnsi="宋体" w:cs="宋体" w:eastAsia="宋体" w:hint="ascii"/>
          <w:sz w:val="21"/>
          <w:spacing w:val="-3"/>
        </w:rPr>
        <w:t>病、</w:t>
      </w:r>
      <w:r>
        <w:rPr>
          <w:rFonts w:ascii="宋体" w:hAnsi="宋体" w:cs="宋体" w:eastAsia="宋体" w:hint="ascii"/>
          <w:sz w:val="21"/>
          <w:spacing w:val="-2"/>
        </w:rPr>
        <w:t>肝纤</w:t>
      </w:r>
      <w:r>
        <w:rPr>
          <w:rFonts w:ascii="宋体" w:hAnsi="宋体" w:cs="宋体" w:eastAsia="宋体" w:hint="ascii"/>
          <w:sz w:val="21"/>
          <w:spacing w:val="-3"/>
        </w:rPr>
        <w:t>维</w:t>
      </w:r>
      <w:r>
        <w:rPr>
          <w:rFonts w:ascii="宋体" w:hAnsi="宋体" w:cs="宋体" w:eastAsia="宋体" w:hint="ascii"/>
          <w:sz w:val="21"/>
          <w:spacing w:val="-2"/>
        </w:rPr>
        <w:t>化</w:t>
      </w:r>
      <w:r>
        <w:rPr>
          <w:rFonts w:ascii="宋体" w:hAnsi="宋体" w:cs="宋体" w:eastAsia="宋体" w:hint="ascii"/>
          <w:sz w:val="21"/>
          <w:spacing w:val="-3"/>
        </w:rPr>
        <w:t>、肝</w:t>
      </w:r>
      <w:r>
        <w:rPr>
          <w:rFonts w:ascii="宋体" w:hAnsi="宋体" w:cs="宋体" w:eastAsia="宋体" w:hint="ascii"/>
          <w:sz w:val="21"/>
          <w:spacing w:val="-2"/>
        </w:rPr>
        <w:t>硬化</w:t>
      </w:r>
      <w:r>
        <w:rPr>
          <w:rFonts w:ascii="宋体" w:hAnsi="宋体" w:cs="宋体" w:eastAsia="宋体" w:hint="ascii"/>
          <w:sz w:val="21"/>
          <w:spacing w:val="-3"/>
        </w:rPr>
        <w:t>，</w:t>
      </w:r>
      <w:r>
        <w:rPr>
          <w:rFonts w:ascii="宋体" w:hAnsi="宋体" w:cs="宋体" w:eastAsia="宋体" w:hint="ascii"/>
          <w:sz w:val="21"/>
          <w:spacing w:val="-2"/>
        </w:rPr>
        <w:t>以</w:t>
      </w:r>
      <w:r>
        <w:rPr>
          <w:rFonts w:ascii="宋体" w:hAnsi="宋体" w:cs="宋体" w:eastAsia="宋体" w:hint="ascii"/>
          <w:sz w:val="21"/>
          <w:spacing w:val="-3"/>
        </w:rPr>
        <w:t>及肝</w:t>
      </w:r>
      <w:r>
        <w:rPr>
          <w:rFonts w:ascii="宋体" w:hAnsi="宋体" w:cs="宋体" w:eastAsia="宋体" w:hint="ascii"/>
          <w:sz w:val="21"/>
          <w:spacing w:val="-2"/>
        </w:rPr>
        <w:t>损伤</w:t>
      </w:r>
      <w:r>
        <w:rPr>
          <w:rFonts w:ascii="宋体" w:hAnsi="宋体" w:cs="宋体" w:eastAsia="宋体" w:hint="ascii"/>
          <w:sz w:val="21"/>
          <w:spacing w:val="-3"/>
        </w:rPr>
        <w:t>、</w:t>
      </w:r>
      <w:r>
        <w:rPr>
          <w:rFonts w:ascii="宋体" w:hAnsi="宋体" w:cs="宋体" w:eastAsia="宋体" w:hint="ascii"/>
          <w:sz w:val="21"/>
          <w:spacing w:val="-2"/>
        </w:rPr>
        <w:t>再</w:t>
      </w:r>
      <w:r>
        <w:rPr>
          <w:rFonts w:ascii="宋体" w:hAnsi="宋体" w:cs="宋体" w:eastAsia="宋体" w:hint="ascii"/>
          <w:sz w:val="21"/>
          <w:spacing w:val="-3"/>
        </w:rPr>
        <w:t>生、</w:t>
      </w:r>
      <w:r>
        <w:rPr>
          <w:rFonts w:ascii="宋体" w:hAnsi="宋体" w:cs="宋体" w:eastAsia="宋体" w:hint="ascii"/>
          <w:sz w:val="21"/>
          <w:spacing w:val="-2"/>
        </w:rPr>
        <w:t>修复</w:t>
      </w:r>
      <w:r>
        <w:rPr>
          <w:rFonts w:ascii="宋体" w:hAnsi="宋体" w:cs="宋体" w:eastAsia="宋体" w:hint="ascii"/>
          <w:sz w:val="21"/>
        </w:rPr>
        <w:t>和</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移植</w:t>
      </w:r>
      <w:r>
        <w:rPr>
          <w:rFonts w:ascii="宋体" w:hAnsi="宋体" w:cs="宋体" w:eastAsia="宋体" w:hint="ascii"/>
          <w:sz w:val="21"/>
          <w:spacing w:val="-3"/>
        </w:rPr>
        <w:t>等</w:t>
      </w:r>
      <w:r>
        <w:rPr>
          <w:rFonts w:ascii="宋体" w:hAnsi="宋体" w:cs="宋体" w:eastAsia="宋体" w:hint="ascii"/>
          <w:sz w:val="21"/>
          <w:spacing w:val="-2"/>
        </w:rPr>
        <w:t>方</w:t>
      </w:r>
      <w:r>
        <w:rPr>
          <w:rFonts w:ascii="宋体" w:hAnsi="宋体" w:cs="宋体" w:eastAsia="宋体" w:hint="ascii"/>
          <w:sz w:val="21"/>
          <w:spacing w:val="-3"/>
        </w:rPr>
        <w:t>面的</w:t>
      </w:r>
      <w:r>
        <w:rPr>
          <w:rFonts w:ascii="宋体" w:hAnsi="宋体" w:cs="宋体" w:eastAsia="宋体" w:hint="ascii"/>
          <w:sz w:val="21"/>
          <w:spacing w:val="-2"/>
        </w:rPr>
        <w:t>研究</w:t>
      </w:r>
      <w:r>
        <w:rPr>
          <w:rFonts w:ascii="宋体" w:hAnsi="宋体" w:cs="宋体" w:eastAsia="宋体" w:hint="ascii"/>
          <w:sz w:val="21"/>
          <w:spacing w:val="-3"/>
        </w:rPr>
        <w:t>依</w:t>
      </w:r>
      <w:r>
        <w:rPr>
          <w:rFonts w:ascii="宋体" w:hAnsi="宋体" w:cs="宋体" w:eastAsia="宋体" w:hint="ascii"/>
          <w:sz w:val="21"/>
          <w:spacing w:val="-2"/>
        </w:rPr>
        <w:t>然</w:t>
      </w:r>
      <w:r>
        <w:rPr>
          <w:rFonts w:ascii="宋体" w:hAnsi="宋体" w:cs="宋体" w:eastAsia="宋体" w:hint="ascii"/>
          <w:sz w:val="21"/>
          <w:spacing w:val="-3"/>
        </w:rPr>
        <w:t>是该</w:t>
      </w:r>
      <w:r>
        <w:rPr>
          <w:rFonts w:ascii="宋体" w:hAnsi="宋体" w:cs="宋体" w:eastAsia="宋体" w:hint="ascii"/>
          <w:sz w:val="21"/>
          <w:spacing w:val="-2"/>
        </w:rPr>
        <w:t>领域</w:t>
      </w:r>
      <w:r>
        <w:rPr>
          <w:rFonts w:ascii="宋体" w:hAnsi="宋体" w:cs="宋体" w:eastAsia="宋体" w:hint="ascii"/>
          <w:sz w:val="21"/>
          <w:spacing w:val="-3"/>
        </w:rPr>
        <w:t>的</w:t>
      </w:r>
      <w:r>
        <w:rPr>
          <w:rFonts w:ascii="宋体" w:hAnsi="宋体" w:cs="宋体" w:eastAsia="宋体" w:hint="ascii"/>
          <w:sz w:val="21"/>
          <w:spacing w:val="-2"/>
        </w:rPr>
        <w:t>重</w:t>
      </w:r>
      <w:r>
        <w:rPr>
          <w:rFonts w:ascii="宋体" w:hAnsi="宋体" w:cs="宋体" w:eastAsia="宋体" w:hint="ascii"/>
          <w:sz w:val="21"/>
          <w:spacing w:val="-3"/>
        </w:rPr>
        <w:t>要热</w:t>
      </w:r>
      <w:r>
        <w:rPr>
          <w:rFonts w:ascii="宋体" w:hAnsi="宋体" w:cs="宋体" w:eastAsia="宋体" w:hint="ascii"/>
          <w:sz w:val="21"/>
          <w:spacing w:val="-2"/>
        </w:rPr>
        <w:t>点问</w:t>
      </w:r>
      <w:r>
        <w:rPr>
          <w:rFonts w:ascii="宋体" w:hAnsi="宋体" w:cs="宋体" w:eastAsia="宋体" w:hint="ascii"/>
          <w:sz w:val="21"/>
          <w:spacing w:val="-3"/>
        </w:rPr>
        <w:t>题</w:t>
      </w:r>
      <w:r>
        <w:rPr>
          <w:rFonts w:ascii="宋体" w:hAnsi="宋体" w:cs="宋体" w:eastAsia="宋体" w:hint="ascii"/>
          <w:sz w:val="21"/>
          <w:spacing w:val="-2"/>
        </w:rPr>
        <w:t>；</w:t>
      </w:r>
      <w:r>
        <w:rPr>
          <w:rFonts w:ascii="宋体" w:hAnsi="宋体" w:cs="宋体" w:eastAsia="宋体" w:hint="ascii"/>
          <w:sz w:val="21"/>
          <w:spacing w:val="-3"/>
        </w:rPr>
        <w:t>而药</w:t>
      </w:r>
      <w:r>
        <w:rPr>
          <w:rFonts w:ascii="宋体" w:hAnsi="宋体" w:cs="宋体" w:eastAsia="宋体" w:hint="ascii"/>
          <w:sz w:val="21"/>
          <w:spacing w:val="-2"/>
        </w:rPr>
        <w:t>物、</w:t>
      </w:r>
      <w:r>
        <w:rPr>
          <w:rFonts w:ascii="宋体" w:hAnsi="宋体" w:cs="宋体" w:eastAsia="宋体" w:hint="ascii"/>
          <w:sz w:val="21"/>
          <w:spacing w:val="-3"/>
        </w:rPr>
        <w:t>毒</w:t>
      </w:r>
      <w:r>
        <w:rPr>
          <w:rFonts w:ascii="宋体" w:hAnsi="宋体" w:cs="宋体" w:eastAsia="宋体" w:hint="ascii"/>
          <w:sz w:val="21"/>
          <w:spacing w:val="-2"/>
        </w:rPr>
        <w:t>物</w:t>
      </w:r>
      <w:r>
        <w:rPr>
          <w:rFonts w:ascii="宋体" w:hAnsi="宋体" w:cs="宋体" w:eastAsia="宋体" w:hint="ascii"/>
          <w:sz w:val="21"/>
          <w:spacing w:val="-3"/>
        </w:rPr>
        <w:t>、酒</w:t>
      </w:r>
      <w:r>
        <w:rPr>
          <w:rFonts w:ascii="宋体" w:hAnsi="宋体" w:cs="宋体" w:eastAsia="宋体" w:hint="ascii"/>
          <w:sz w:val="21"/>
          <w:spacing w:val="-2"/>
        </w:rPr>
        <w:t>精所</w:t>
      </w:r>
      <w:r>
        <w:rPr>
          <w:rFonts w:ascii="宋体" w:hAnsi="宋体" w:cs="宋体" w:eastAsia="宋体" w:hint="ascii"/>
          <w:sz w:val="21"/>
          <w:spacing w:val="-3"/>
        </w:rPr>
        <w:t>致</w:t>
      </w:r>
      <w:r>
        <w:rPr>
          <w:rFonts w:ascii="宋体" w:hAnsi="宋体" w:cs="宋体" w:eastAsia="宋体" w:hint="ascii"/>
          <w:sz w:val="21"/>
          <w:spacing w:val="-2"/>
        </w:rPr>
        <w:t>消</w:t>
      </w:r>
      <w:r>
        <w:rPr>
          <w:rFonts w:ascii="宋体" w:hAnsi="宋体" w:cs="宋体" w:eastAsia="宋体" w:hint="ascii"/>
          <w:sz w:val="21"/>
          <w:spacing w:val="-3"/>
        </w:rPr>
        <w:t>化系</w:t>
      </w:r>
      <w:r>
        <w:rPr>
          <w:rFonts w:ascii="宋体" w:hAnsi="宋体" w:cs="宋体" w:eastAsia="宋体" w:hint="ascii"/>
          <w:sz w:val="21"/>
          <w:spacing w:val="-2"/>
        </w:rPr>
        <w:t>统疾</w:t>
      </w:r>
      <w:r>
        <w:rPr>
          <w:rFonts w:ascii="宋体" w:hAnsi="宋体" w:cs="宋体" w:eastAsia="宋体" w:hint="ascii"/>
          <w:sz w:val="21"/>
        </w:rPr>
        <w:t>病</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研究</w:t>
      </w:r>
      <w:r>
        <w:rPr>
          <w:rFonts w:ascii="宋体" w:hAnsi="宋体" w:cs="宋体" w:eastAsia="宋体" w:hint="ascii"/>
          <w:sz w:val="21"/>
          <w:spacing w:val="-5"/>
        </w:rPr>
        <w:t>的</w:t>
      </w:r>
      <w:r>
        <w:rPr>
          <w:rFonts w:ascii="宋体" w:hAnsi="宋体" w:cs="宋体" w:eastAsia="宋体" w:hint="ascii"/>
          <w:sz w:val="21"/>
          <w:spacing w:val="-4"/>
        </w:rPr>
        <w:t>申</w:t>
      </w:r>
      <w:r>
        <w:rPr>
          <w:rFonts w:ascii="宋体" w:hAnsi="宋体" w:cs="宋体" w:eastAsia="宋体" w:hint="ascii"/>
          <w:sz w:val="21"/>
          <w:spacing w:val="-5"/>
        </w:rPr>
        <w:t>报量</w:t>
      </w:r>
      <w:r>
        <w:rPr>
          <w:rFonts w:ascii="宋体" w:hAnsi="宋体" w:cs="宋体" w:eastAsia="宋体" w:hint="ascii"/>
          <w:sz w:val="21"/>
          <w:spacing w:val="-4"/>
        </w:rPr>
        <w:t>则相</w:t>
      </w:r>
      <w:r>
        <w:rPr>
          <w:rFonts w:ascii="宋体" w:hAnsi="宋体" w:cs="宋体" w:eastAsia="宋体" w:hint="ascii"/>
          <w:sz w:val="21"/>
          <w:spacing w:val="-5"/>
        </w:rPr>
        <w:t>对</w:t>
      </w:r>
      <w:r>
        <w:rPr>
          <w:rFonts w:ascii="宋体" w:hAnsi="宋体" w:cs="宋体" w:eastAsia="宋体" w:hint="ascii"/>
          <w:sz w:val="21"/>
          <w:spacing w:val="-4"/>
        </w:rPr>
        <w:t>较</w:t>
      </w:r>
      <w:r>
        <w:rPr>
          <w:rFonts w:ascii="宋体" w:hAnsi="宋体" w:cs="宋体" w:eastAsia="宋体" w:hint="ascii"/>
          <w:sz w:val="21"/>
          <w:spacing w:val="-5"/>
        </w:rPr>
        <w:t>少。</w:t>
      </w:r>
      <w:r>
        <w:rPr>
          <w:rFonts w:ascii="宋体" w:hAnsi="宋体" w:cs="宋体" w:eastAsia="宋体" w:hint="ascii"/>
          <w:sz w:val="21"/>
          <w:spacing w:val="-4"/>
        </w:rPr>
        <w:t>在胃</w:t>
      </w:r>
      <w:r>
        <w:rPr>
          <w:rFonts w:ascii="宋体" w:hAnsi="宋体" w:cs="宋体" w:eastAsia="宋体" w:hint="ascii"/>
          <w:sz w:val="21"/>
          <w:spacing w:val="-5"/>
        </w:rPr>
        <w:t>肠</w:t>
      </w:r>
      <w:r>
        <w:rPr>
          <w:rFonts w:ascii="宋体" w:hAnsi="宋体" w:cs="宋体" w:eastAsia="宋体" w:hint="ascii"/>
          <w:sz w:val="21"/>
          <w:spacing w:val="-4"/>
        </w:rPr>
        <w:t>道</w:t>
      </w:r>
      <w:r>
        <w:rPr>
          <w:rFonts w:ascii="宋体" w:hAnsi="宋体" w:cs="宋体" w:eastAsia="宋体" w:hint="ascii"/>
          <w:sz w:val="21"/>
          <w:spacing w:val="-5"/>
        </w:rPr>
        <w:t>疾病</w:t>
      </w:r>
      <w:r>
        <w:rPr>
          <w:rFonts w:ascii="宋体" w:hAnsi="宋体" w:cs="宋体" w:eastAsia="宋体" w:hint="ascii"/>
          <w:sz w:val="21"/>
          <w:spacing w:val="-4"/>
        </w:rPr>
        <w:t>的研</w:t>
      </w:r>
      <w:r>
        <w:rPr>
          <w:rFonts w:ascii="宋体" w:hAnsi="宋体" w:cs="宋体" w:eastAsia="宋体" w:hint="ascii"/>
          <w:sz w:val="21"/>
          <w:spacing w:val="-5"/>
        </w:rPr>
        <w:t>究</w:t>
      </w:r>
      <w:r>
        <w:rPr>
          <w:rFonts w:ascii="宋体" w:hAnsi="宋体" w:cs="宋体" w:eastAsia="宋体" w:hint="ascii"/>
          <w:sz w:val="21"/>
          <w:spacing w:val="-4"/>
        </w:rPr>
        <w:t>中</w:t>
      </w:r>
      <w:r>
        <w:rPr>
          <w:rFonts w:ascii="宋体" w:hAnsi="宋体" w:cs="宋体" w:eastAsia="宋体" w:hint="ascii"/>
          <w:sz w:val="21"/>
          <w:spacing w:val="-5"/>
        </w:rPr>
        <w:t>，</w:t>
      </w:r>
      <w:r>
        <w:rPr>
          <w:rFonts w:ascii="宋体" w:hAnsi="宋体" w:cs="宋体" w:eastAsia="宋体" w:hint="ascii"/>
          <w:sz w:val="21"/>
          <w:spacing w:val="-4"/>
        </w:rPr>
        <w:t>消</w:t>
      </w:r>
      <w:r>
        <w:rPr>
          <w:rFonts w:ascii="宋体" w:hAnsi="宋体" w:cs="宋体" w:eastAsia="宋体" w:hint="ascii"/>
          <w:sz w:val="21"/>
          <w:spacing w:val="-3"/>
        </w:rPr>
        <w:t>化道</w:t>
      </w:r>
      <w:r>
        <w:rPr>
          <w:rFonts w:ascii="宋体" w:hAnsi="宋体" w:cs="宋体" w:eastAsia="宋体" w:hint="ascii"/>
          <w:sz w:val="21"/>
          <w:spacing w:val="-4"/>
        </w:rPr>
        <w:t>黏</w:t>
      </w:r>
      <w:r>
        <w:rPr>
          <w:rFonts w:ascii="宋体" w:hAnsi="宋体" w:cs="宋体" w:eastAsia="宋体" w:hint="ascii"/>
          <w:sz w:val="21"/>
          <w:spacing w:val="-3"/>
        </w:rPr>
        <w:t>膜</w:t>
      </w:r>
      <w:r>
        <w:rPr>
          <w:rFonts w:ascii="宋体" w:hAnsi="宋体" w:cs="宋体" w:eastAsia="宋体" w:hint="ascii"/>
          <w:sz w:val="21"/>
          <w:spacing w:val="-4"/>
        </w:rPr>
        <w:t>屏障</w:t>
      </w:r>
      <w:r>
        <w:rPr>
          <w:rFonts w:ascii="宋体" w:hAnsi="宋体" w:cs="宋体" w:eastAsia="宋体" w:hint="ascii"/>
          <w:sz w:val="21"/>
          <w:spacing w:val="-3"/>
        </w:rPr>
        <w:t>障碍</w:t>
      </w:r>
      <w:r>
        <w:rPr>
          <w:rFonts w:ascii="宋体" w:hAnsi="宋体" w:cs="宋体" w:eastAsia="宋体" w:hint="ascii"/>
          <w:sz w:val="21"/>
          <w:spacing w:val="-4"/>
        </w:rPr>
        <w:t>及</w:t>
      </w:r>
      <w:r>
        <w:rPr>
          <w:rFonts w:ascii="宋体" w:hAnsi="宋体" w:cs="宋体" w:eastAsia="宋体" w:hint="ascii"/>
          <w:sz w:val="21"/>
          <w:spacing w:val="-3"/>
        </w:rPr>
        <w:t>相</w:t>
      </w:r>
      <w:r>
        <w:rPr>
          <w:rFonts w:ascii="宋体" w:hAnsi="宋体" w:cs="宋体" w:eastAsia="宋体" w:hint="ascii"/>
          <w:sz w:val="21"/>
          <w:spacing w:val="-4"/>
        </w:rPr>
        <w:t>关疾</w:t>
      </w:r>
      <w:r>
        <w:rPr>
          <w:rFonts w:ascii="宋体" w:hAnsi="宋体" w:cs="宋体" w:eastAsia="宋体" w:hint="ascii"/>
          <w:sz w:val="21"/>
          <w:spacing w:val="-3"/>
        </w:rPr>
        <w:t>病的</w:t>
      </w:r>
      <w:r>
        <w:rPr>
          <w:rFonts w:ascii="宋体" w:hAnsi="宋体" w:cs="宋体" w:eastAsia="宋体" w:hint="ascii"/>
          <w:sz w:val="21"/>
          <w:spacing w:val="-1"/>
        </w:rPr>
        <w:t>申</w:t>
      </w:r>
      <w:r>
        <w:rPr>
          <w:rFonts w:ascii="宋体" w:hAnsi="宋体" w:cs="宋体" w:eastAsia="宋体" w:hint="ascii"/>
          <w:sz w:val="21"/>
        </w:rPr>
        <w:t xml:space="preserve"> </w:t>
      </w:r>
      <w:r>
        <w:rPr>
          <w:rFonts w:ascii="宋体" w:hAnsi="宋体" w:cs="宋体" w:eastAsia="宋体" w:hint="ascii"/>
          <w:sz w:val="21"/>
          <w:spacing w:val="-2"/>
        </w:rPr>
        <w:t>请量</w:t>
      </w:r>
      <w:r>
        <w:rPr>
          <w:rFonts w:ascii="宋体" w:hAnsi="宋体" w:cs="宋体" w:eastAsia="宋体" w:hint="ascii"/>
          <w:sz w:val="21"/>
          <w:spacing w:val="22"/>
        </w:rPr>
        <w:t>较</w:t>
      </w:r>
      <w:r>
        <w:rPr>
          <w:rFonts w:ascii="Times New Roman" w:hAnsi="Times New Roman" w:cs="Times New Roman" w:eastAsia="Times New Roman" w:hint="ascii"/>
          <w:sz w:val="21"/>
          <w:spacing w:val="-4"/>
        </w:rPr>
        <w:t>201</w:t>
      </w:r>
      <w:r>
        <w:rPr>
          <w:rFonts w:ascii="Times New Roman" w:hAnsi="Times New Roman" w:cs="Times New Roman" w:eastAsia="Times New Roman" w:hint="ascii"/>
          <w:sz w:val="21"/>
          <w:spacing w:val="50"/>
        </w:rPr>
        <w:t>6</w:t>
      </w:r>
      <w:r>
        <w:rPr>
          <w:rFonts w:ascii="宋体" w:hAnsi="宋体" w:cs="宋体" w:eastAsia="宋体" w:hint="ascii"/>
          <w:sz w:val="21"/>
          <w:spacing w:val="-1"/>
        </w:rPr>
        <w:t>年度明显增加，申请数量和所占比例已经进入总申请量的</w:t>
      </w:r>
      <w:r>
        <w:rPr>
          <w:rFonts w:ascii="宋体" w:hAnsi="宋体" w:cs="宋体" w:eastAsia="宋体" w:hint="ascii"/>
          <w:sz w:val="21"/>
          <w:spacing w:val="23"/>
        </w:rPr>
        <w:t>第</w:t>
      </w:r>
      <w:r>
        <w:rPr>
          <w:rFonts w:ascii="Times New Roman" w:hAnsi="Times New Roman" w:cs="Times New Roman" w:eastAsia="Times New Roman" w:hint="ascii"/>
          <w:sz w:val="21"/>
          <w:spacing w:val="50"/>
        </w:rPr>
        <w:t>2</w:t>
      </w:r>
      <w:r>
        <w:rPr>
          <w:rFonts w:ascii="宋体" w:hAnsi="宋体" w:cs="宋体" w:eastAsia="宋体" w:hint="ascii"/>
          <w:sz w:val="21"/>
          <w:spacing w:val="-1"/>
        </w:rPr>
        <w:t>位。消化系</w:t>
      </w:r>
      <w:r>
        <w:rPr>
          <w:rFonts w:ascii="宋体" w:hAnsi="宋体" w:cs="宋体" w:eastAsia="宋体" w:hint="ascii"/>
          <w:sz w:val="21"/>
        </w:rPr>
        <w:t>统</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免疫</w:t>
      </w:r>
      <w:r>
        <w:rPr>
          <w:rFonts w:ascii="宋体" w:hAnsi="宋体" w:cs="宋体" w:eastAsia="宋体" w:hint="ascii"/>
          <w:sz w:val="21"/>
          <w:spacing w:val="-3"/>
        </w:rPr>
        <w:t>性</w:t>
      </w:r>
      <w:r>
        <w:rPr>
          <w:rFonts w:ascii="宋体" w:hAnsi="宋体" w:cs="宋体" w:eastAsia="宋体" w:hint="ascii"/>
          <w:sz w:val="21"/>
          <w:spacing w:val="-2"/>
        </w:rPr>
        <w:t>疾</w:t>
      </w:r>
      <w:r>
        <w:rPr>
          <w:rFonts w:ascii="宋体" w:hAnsi="宋体" w:cs="宋体" w:eastAsia="宋体" w:hint="ascii"/>
          <w:sz w:val="21"/>
          <w:spacing w:val="-3"/>
        </w:rPr>
        <w:t>病、</w:t>
      </w:r>
      <w:r>
        <w:rPr>
          <w:rFonts w:ascii="宋体" w:hAnsi="宋体" w:cs="宋体" w:eastAsia="宋体" w:hint="ascii"/>
          <w:sz w:val="21"/>
          <w:spacing w:val="-2"/>
        </w:rPr>
        <w:t>胃肠</w:t>
      </w:r>
      <w:r>
        <w:rPr>
          <w:rFonts w:ascii="宋体" w:hAnsi="宋体" w:cs="宋体" w:eastAsia="宋体" w:hint="ascii"/>
          <w:sz w:val="21"/>
          <w:spacing w:val="-3"/>
        </w:rPr>
        <w:t>动</w:t>
      </w:r>
      <w:r>
        <w:rPr>
          <w:rFonts w:ascii="宋体" w:hAnsi="宋体" w:cs="宋体" w:eastAsia="宋体" w:hint="ascii"/>
          <w:sz w:val="21"/>
          <w:spacing w:val="-2"/>
        </w:rPr>
        <w:t>力</w:t>
      </w:r>
      <w:r>
        <w:rPr>
          <w:rFonts w:ascii="宋体" w:hAnsi="宋体" w:cs="宋体" w:eastAsia="宋体" w:hint="ascii"/>
          <w:sz w:val="21"/>
          <w:spacing w:val="-3"/>
        </w:rPr>
        <w:t>学及</w:t>
      </w:r>
      <w:r>
        <w:rPr>
          <w:rFonts w:ascii="宋体" w:hAnsi="宋体" w:cs="宋体" w:eastAsia="宋体" w:hint="ascii"/>
          <w:sz w:val="21"/>
          <w:spacing w:val="-2"/>
        </w:rPr>
        <w:t>功能</w:t>
      </w:r>
      <w:r>
        <w:rPr>
          <w:rFonts w:ascii="宋体" w:hAnsi="宋体" w:cs="宋体" w:eastAsia="宋体" w:hint="ascii"/>
          <w:sz w:val="21"/>
          <w:spacing w:val="-3"/>
        </w:rPr>
        <w:t>性</w:t>
      </w:r>
      <w:r>
        <w:rPr>
          <w:rFonts w:ascii="宋体" w:hAnsi="宋体" w:cs="宋体" w:eastAsia="宋体" w:hint="ascii"/>
          <w:sz w:val="21"/>
          <w:spacing w:val="-2"/>
        </w:rPr>
        <w:t>疾</w:t>
      </w:r>
      <w:r>
        <w:rPr>
          <w:rFonts w:ascii="宋体" w:hAnsi="宋体" w:cs="宋体" w:eastAsia="宋体" w:hint="ascii"/>
          <w:sz w:val="21"/>
          <w:spacing w:val="-3"/>
        </w:rPr>
        <w:t>病的</w:t>
      </w:r>
      <w:r>
        <w:rPr>
          <w:rFonts w:ascii="宋体" w:hAnsi="宋体" w:cs="宋体" w:eastAsia="宋体" w:hint="ascii"/>
          <w:sz w:val="21"/>
          <w:spacing w:val="-2"/>
        </w:rPr>
        <w:t>机制</w:t>
      </w:r>
      <w:r>
        <w:rPr>
          <w:rFonts w:ascii="宋体" w:hAnsi="宋体" w:cs="宋体" w:eastAsia="宋体" w:hint="ascii"/>
          <w:sz w:val="21"/>
          <w:spacing w:val="-3"/>
        </w:rPr>
        <w:t>研</w:t>
      </w:r>
      <w:r>
        <w:rPr>
          <w:rFonts w:ascii="宋体" w:hAnsi="宋体" w:cs="宋体" w:eastAsia="宋体" w:hint="ascii"/>
          <w:sz w:val="21"/>
          <w:spacing w:val="-2"/>
        </w:rPr>
        <w:t>究</w:t>
      </w:r>
      <w:r>
        <w:rPr>
          <w:rFonts w:ascii="宋体" w:hAnsi="宋体" w:cs="宋体" w:eastAsia="宋体" w:hint="ascii"/>
          <w:sz w:val="21"/>
          <w:spacing w:val="-3"/>
        </w:rPr>
        <w:t>的关</w:t>
      </w:r>
      <w:r>
        <w:rPr>
          <w:rFonts w:ascii="宋体" w:hAnsi="宋体" w:cs="宋体" w:eastAsia="宋体" w:hint="ascii"/>
          <w:sz w:val="21"/>
          <w:spacing w:val="-2"/>
        </w:rPr>
        <w:t>注度</w:t>
      </w:r>
      <w:r>
        <w:rPr>
          <w:rFonts w:ascii="宋体" w:hAnsi="宋体" w:cs="宋体" w:eastAsia="宋体" w:hint="ascii"/>
          <w:sz w:val="21"/>
          <w:spacing w:val="-3"/>
        </w:rPr>
        <w:t>保</w:t>
      </w:r>
      <w:r>
        <w:rPr>
          <w:rFonts w:ascii="宋体" w:hAnsi="宋体" w:cs="宋体" w:eastAsia="宋体" w:hint="ascii"/>
          <w:sz w:val="21"/>
          <w:spacing w:val="-2"/>
        </w:rPr>
        <w:t>持</w:t>
      </w:r>
      <w:r>
        <w:rPr>
          <w:rFonts w:ascii="宋体" w:hAnsi="宋体" w:cs="宋体" w:eastAsia="宋体" w:hint="ascii"/>
          <w:sz w:val="21"/>
          <w:spacing w:val="-3"/>
        </w:rPr>
        <w:t>稳定</w:t>
      </w:r>
      <w:r>
        <w:rPr>
          <w:rFonts w:ascii="宋体" w:hAnsi="宋体" w:cs="宋体" w:eastAsia="宋体" w:hint="ascii"/>
          <w:sz w:val="21"/>
          <w:spacing w:val="-2"/>
        </w:rPr>
        <w:t>，肠</w:t>
      </w:r>
      <w:r>
        <w:rPr>
          <w:rFonts w:ascii="宋体" w:hAnsi="宋体" w:cs="宋体" w:eastAsia="宋体" w:hint="ascii"/>
          <w:sz w:val="21"/>
          <w:spacing w:val="-3"/>
        </w:rPr>
        <w:t>稳</w:t>
      </w:r>
      <w:r>
        <w:rPr>
          <w:rFonts w:ascii="宋体" w:hAnsi="宋体" w:cs="宋体" w:eastAsia="宋体" w:hint="ascii"/>
          <w:sz w:val="21"/>
          <w:spacing w:val="-2"/>
        </w:rPr>
        <w:t>态</w:t>
      </w:r>
      <w:r>
        <w:rPr>
          <w:rFonts w:ascii="宋体" w:hAnsi="宋体" w:cs="宋体" w:eastAsia="宋体" w:hint="ascii"/>
          <w:sz w:val="21"/>
          <w:spacing w:val="-3"/>
        </w:rPr>
        <w:t>与消</w:t>
      </w:r>
      <w:r>
        <w:rPr>
          <w:rFonts w:ascii="宋体" w:hAnsi="宋体" w:cs="宋体" w:eastAsia="宋体" w:hint="ascii"/>
          <w:sz w:val="21"/>
          <w:spacing w:val="-2"/>
        </w:rPr>
        <w:t>化系</w:t>
      </w:r>
      <w:r>
        <w:rPr>
          <w:rFonts w:ascii="宋体" w:hAnsi="宋体" w:cs="宋体" w:eastAsia="宋体" w:hint="ascii"/>
          <w:sz w:val="21"/>
        </w:rPr>
        <w:t>统</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疾病</w:t>
      </w:r>
      <w:r>
        <w:rPr>
          <w:rFonts w:ascii="宋体" w:hAnsi="宋体" w:cs="宋体" w:eastAsia="宋体" w:hint="ascii"/>
          <w:sz w:val="21"/>
          <w:spacing w:val="-3"/>
        </w:rPr>
        <w:t>之</w:t>
      </w:r>
      <w:r>
        <w:rPr>
          <w:rFonts w:ascii="宋体" w:hAnsi="宋体" w:cs="宋体" w:eastAsia="宋体" w:hint="ascii"/>
          <w:sz w:val="21"/>
          <w:spacing w:val="-2"/>
        </w:rPr>
        <w:t>间</w:t>
      </w:r>
      <w:r>
        <w:rPr>
          <w:rFonts w:ascii="宋体" w:hAnsi="宋体" w:cs="宋体" w:eastAsia="宋体" w:hint="ascii"/>
          <w:sz w:val="21"/>
          <w:spacing w:val="-3"/>
        </w:rPr>
        <w:t>的关</w:t>
      </w:r>
      <w:r>
        <w:rPr>
          <w:rFonts w:ascii="宋体" w:hAnsi="宋体" w:cs="宋体" w:eastAsia="宋体" w:hint="ascii"/>
          <w:sz w:val="21"/>
          <w:spacing w:val="-2"/>
        </w:rPr>
        <w:t>系以</w:t>
      </w:r>
      <w:r>
        <w:rPr>
          <w:rFonts w:ascii="宋体" w:hAnsi="宋体" w:cs="宋体" w:eastAsia="宋体" w:hint="ascii"/>
          <w:sz w:val="21"/>
          <w:spacing w:val="-3"/>
        </w:rPr>
        <w:t>及</w:t>
      </w:r>
      <w:r>
        <w:rPr>
          <w:rFonts w:ascii="宋体" w:hAnsi="宋体" w:cs="宋体" w:eastAsia="宋体" w:hint="ascii"/>
          <w:sz w:val="21"/>
          <w:spacing w:val="-2"/>
        </w:rPr>
        <w:t>外</w:t>
      </w:r>
      <w:r>
        <w:rPr>
          <w:rFonts w:ascii="宋体" w:hAnsi="宋体" w:cs="宋体" w:eastAsia="宋体" w:hint="ascii"/>
          <w:sz w:val="21"/>
          <w:spacing w:val="-3"/>
        </w:rPr>
        <w:t>泌体</w:t>
      </w:r>
      <w:r>
        <w:rPr>
          <w:rFonts w:ascii="宋体" w:hAnsi="宋体" w:cs="宋体" w:eastAsia="宋体" w:hint="ascii"/>
          <w:sz w:val="21"/>
          <w:spacing w:val="-2"/>
        </w:rPr>
        <w:t>在疾</w:t>
      </w:r>
      <w:r>
        <w:rPr>
          <w:rFonts w:ascii="宋体" w:hAnsi="宋体" w:cs="宋体" w:eastAsia="宋体" w:hint="ascii"/>
          <w:sz w:val="21"/>
          <w:spacing w:val="-3"/>
        </w:rPr>
        <w:t>病</w:t>
      </w:r>
      <w:r>
        <w:rPr>
          <w:rFonts w:ascii="宋体" w:hAnsi="宋体" w:cs="宋体" w:eastAsia="宋体" w:hint="ascii"/>
          <w:sz w:val="21"/>
          <w:spacing w:val="-2"/>
        </w:rPr>
        <w:t>发</w:t>
      </w:r>
      <w:r>
        <w:rPr>
          <w:rFonts w:ascii="宋体" w:hAnsi="宋体" w:cs="宋体" w:eastAsia="宋体" w:hint="ascii"/>
          <w:sz w:val="21"/>
          <w:spacing w:val="-3"/>
        </w:rPr>
        <w:t>生、</w:t>
      </w:r>
      <w:r>
        <w:rPr>
          <w:rFonts w:ascii="宋体" w:hAnsi="宋体" w:cs="宋体" w:eastAsia="宋体" w:hint="ascii"/>
          <w:sz w:val="21"/>
          <w:spacing w:val="-2"/>
        </w:rPr>
        <w:t>发展</w:t>
      </w:r>
      <w:r>
        <w:rPr>
          <w:rFonts w:ascii="宋体" w:hAnsi="宋体" w:cs="宋体" w:eastAsia="宋体" w:hint="ascii"/>
          <w:sz w:val="21"/>
          <w:spacing w:val="-3"/>
        </w:rPr>
        <w:t>和</w:t>
      </w:r>
      <w:r>
        <w:rPr>
          <w:rFonts w:ascii="宋体" w:hAnsi="宋体" w:cs="宋体" w:eastAsia="宋体" w:hint="ascii"/>
          <w:sz w:val="21"/>
          <w:spacing w:val="-2"/>
        </w:rPr>
        <w:t>治</w:t>
      </w:r>
      <w:r>
        <w:rPr>
          <w:rFonts w:ascii="宋体" w:hAnsi="宋体" w:cs="宋体" w:eastAsia="宋体" w:hint="ascii"/>
          <w:sz w:val="21"/>
          <w:spacing w:val="-3"/>
        </w:rPr>
        <w:t>疗中</w:t>
      </w:r>
      <w:r>
        <w:rPr>
          <w:rFonts w:ascii="宋体" w:hAnsi="宋体" w:cs="宋体" w:eastAsia="宋体" w:hint="ascii"/>
          <w:sz w:val="21"/>
          <w:spacing w:val="-2"/>
        </w:rPr>
        <w:t>的作</w:t>
      </w:r>
      <w:r>
        <w:rPr>
          <w:rFonts w:ascii="宋体" w:hAnsi="宋体" w:cs="宋体" w:eastAsia="宋体" w:hint="ascii"/>
          <w:sz w:val="21"/>
          <w:spacing w:val="-3"/>
        </w:rPr>
        <w:t>用</w:t>
      </w:r>
      <w:r>
        <w:rPr>
          <w:rFonts w:ascii="宋体" w:hAnsi="宋体" w:cs="宋体" w:eastAsia="宋体" w:hint="ascii"/>
          <w:sz w:val="21"/>
          <w:spacing w:val="-2"/>
        </w:rPr>
        <w:t>也</w:t>
      </w:r>
      <w:r>
        <w:rPr>
          <w:rFonts w:ascii="宋体" w:hAnsi="宋体" w:cs="宋体" w:eastAsia="宋体" w:hint="ascii"/>
          <w:sz w:val="21"/>
          <w:spacing w:val="-3"/>
        </w:rPr>
        <w:t>是近</w:t>
      </w:r>
      <w:r>
        <w:rPr>
          <w:rFonts w:ascii="宋体" w:hAnsi="宋体" w:cs="宋体" w:eastAsia="宋体" w:hint="ascii"/>
          <w:sz w:val="21"/>
          <w:spacing w:val="-2"/>
        </w:rPr>
        <w:t>年来</w:t>
      </w:r>
      <w:r>
        <w:rPr>
          <w:rFonts w:ascii="宋体" w:hAnsi="宋体" w:cs="宋体" w:eastAsia="宋体" w:hint="ascii"/>
          <w:sz w:val="21"/>
          <w:spacing w:val="-3"/>
        </w:rPr>
        <w:t>受</w:t>
      </w:r>
      <w:r>
        <w:rPr>
          <w:rFonts w:ascii="宋体" w:hAnsi="宋体" w:cs="宋体" w:eastAsia="宋体" w:hint="ascii"/>
          <w:sz w:val="21"/>
          <w:spacing w:val="-2"/>
        </w:rPr>
        <w:t>到</w:t>
      </w:r>
      <w:r>
        <w:rPr>
          <w:rFonts w:ascii="宋体" w:hAnsi="宋体" w:cs="宋体" w:eastAsia="宋体" w:hint="ascii"/>
          <w:sz w:val="21"/>
          <w:spacing w:val="-3"/>
        </w:rPr>
        <w:t>关注</w:t>
      </w:r>
      <w:r>
        <w:rPr>
          <w:rFonts w:ascii="宋体" w:hAnsi="宋体" w:cs="宋体" w:eastAsia="宋体" w:hint="ascii"/>
          <w:sz w:val="21"/>
          <w:spacing w:val="-2"/>
        </w:rPr>
        <w:t>的重</w:t>
      </w:r>
      <w:r>
        <w:rPr>
          <w:rFonts w:ascii="宋体" w:hAnsi="宋体" w:cs="宋体" w:eastAsia="宋体" w:hint="ascii"/>
          <w:sz w:val="21"/>
        </w:rPr>
        <w:t>要</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领域</w:t>
      </w:r>
      <w:r>
        <w:rPr>
          <w:rFonts w:ascii="宋体" w:hAnsi="宋体" w:cs="宋体" w:eastAsia="宋体" w:hint="ascii"/>
          <w:sz w:val="21"/>
          <w:spacing w:val="-3"/>
        </w:rPr>
        <w:t>。</w:t>
      </w:r>
      <w:r>
        <w:rPr>
          <w:rFonts w:ascii="宋体" w:hAnsi="宋体" w:cs="宋体" w:eastAsia="宋体" w:hint="ascii"/>
          <w:sz w:val="21"/>
          <w:spacing w:val="-2"/>
        </w:rPr>
        <w:t>鼓</w:t>
      </w:r>
      <w:r>
        <w:rPr>
          <w:rFonts w:ascii="宋体" w:hAnsi="宋体" w:cs="宋体" w:eastAsia="宋体" w:hint="ascii"/>
          <w:sz w:val="21"/>
          <w:spacing w:val="-3"/>
        </w:rPr>
        <w:t>励针</w:t>
      </w:r>
      <w:r>
        <w:rPr>
          <w:rFonts w:ascii="宋体" w:hAnsi="宋体" w:cs="宋体" w:eastAsia="宋体" w:hint="ascii"/>
          <w:sz w:val="21"/>
          <w:spacing w:val="-2"/>
        </w:rPr>
        <w:t>对上</w:t>
      </w:r>
      <w:r>
        <w:rPr>
          <w:rFonts w:ascii="宋体" w:hAnsi="宋体" w:cs="宋体" w:eastAsia="宋体" w:hint="ascii"/>
          <w:sz w:val="21"/>
          <w:spacing w:val="-3"/>
        </w:rPr>
        <w:t>述</w:t>
      </w:r>
      <w:r>
        <w:rPr>
          <w:rFonts w:ascii="宋体" w:hAnsi="宋体" w:cs="宋体" w:eastAsia="宋体" w:hint="ascii"/>
          <w:sz w:val="21"/>
          <w:spacing w:val="-2"/>
        </w:rPr>
        <w:t>领</w:t>
      </w:r>
      <w:r>
        <w:rPr>
          <w:rFonts w:ascii="宋体" w:hAnsi="宋体" w:cs="宋体" w:eastAsia="宋体" w:hint="ascii"/>
          <w:sz w:val="21"/>
          <w:spacing w:val="-3"/>
        </w:rPr>
        <w:t>域的</w:t>
      </w:r>
      <w:r>
        <w:rPr>
          <w:rFonts w:ascii="宋体" w:hAnsi="宋体" w:cs="宋体" w:eastAsia="宋体" w:hint="ascii"/>
          <w:sz w:val="21"/>
          <w:spacing w:val="-2"/>
        </w:rPr>
        <w:t>重要</w:t>
      </w:r>
      <w:r>
        <w:rPr>
          <w:rFonts w:ascii="宋体" w:hAnsi="宋体" w:cs="宋体" w:eastAsia="宋体" w:hint="ascii"/>
          <w:sz w:val="21"/>
          <w:spacing w:val="-3"/>
        </w:rPr>
        <w:t>前</w:t>
      </w:r>
      <w:r>
        <w:rPr>
          <w:rFonts w:ascii="宋体" w:hAnsi="宋体" w:cs="宋体" w:eastAsia="宋体" w:hint="ascii"/>
          <w:sz w:val="21"/>
          <w:spacing w:val="-2"/>
        </w:rPr>
        <w:t>沿</w:t>
      </w:r>
      <w:r>
        <w:rPr>
          <w:rFonts w:ascii="宋体" w:hAnsi="宋体" w:cs="宋体" w:eastAsia="宋体" w:hint="ascii"/>
          <w:sz w:val="21"/>
          <w:spacing w:val="-3"/>
        </w:rPr>
        <w:t>问题</w:t>
      </w:r>
      <w:r>
        <w:rPr>
          <w:rFonts w:ascii="宋体" w:hAnsi="宋体" w:cs="宋体" w:eastAsia="宋体" w:hint="ascii"/>
          <w:sz w:val="21"/>
          <w:spacing w:val="-2"/>
        </w:rPr>
        <w:t>开展</w:t>
      </w:r>
      <w:r>
        <w:rPr>
          <w:rFonts w:ascii="宋体" w:hAnsi="宋体" w:cs="宋体" w:eastAsia="宋体" w:hint="ascii"/>
          <w:sz w:val="21"/>
          <w:spacing w:val="-3"/>
        </w:rPr>
        <w:t>的</w:t>
      </w:r>
      <w:r>
        <w:rPr>
          <w:rFonts w:ascii="宋体" w:hAnsi="宋体" w:cs="宋体" w:eastAsia="宋体" w:hint="ascii"/>
          <w:sz w:val="21"/>
          <w:spacing w:val="-2"/>
        </w:rPr>
        <w:t>基</w:t>
      </w:r>
      <w:r>
        <w:rPr>
          <w:rFonts w:ascii="宋体" w:hAnsi="宋体" w:cs="宋体" w:eastAsia="宋体" w:hint="ascii"/>
          <w:sz w:val="21"/>
          <w:spacing w:val="-3"/>
        </w:rPr>
        <w:t>础和</w:t>
      </w:r>
      <w:r>
        <w:rPr>
          <w:rFonts w:ascii="宋体" w:hAnsi="宋体" w:cs="宋体" w:eastAsia="宋体" w:hint="ascii"/>
          <w:sz w:val="21"/>
          <w:spacing w:val="-2"/>
        </w:rPr>
        <w:t>临床</w:t>
      </w:r>
      <w:r>
        <w:rPr>
          <w:rFonts w:ascii="宋体" w:hAnsi="宋体" w:cs="宋体" w:eastAsia="宋体" w:hint="ascii"/>
          <w:sz w:val="21"/>
          <w:spacing w:val="-3"/>
        </w:rPr>
        <w:t>基</w:t>
      </w:r>
      <w:r>
        <w:rPr>
          <w:rFonts w:ascii="宋体" w:hAnsi="宋体" w:cs="宋体" w:eastAsia="宋体" w:hint="ascii"/>
          <w:sz w:val="21"/>
          <w:spacing w:val="-2"/>
        </w:rPr>
        <w:t>础</w:t>
      </w:r>
      <w:r>
        <w:rPr>
          <w:rFonts w:ascii="宋体" w:hAnsi="宋体" w:cs="宋体" w:eastAsia="宋体" w:hint="ascii"/>
          <w:sz w:val="21"/>
          <w:spacing w:val="-3"/>
        </w:rPr>
        <w:t>研究</w:t>
      </w:r>
      <w:r>
        <w:rPr>
          <w:rFonts w:ascii="宋体" w:hAnsi="宋体" w:cs="宋体" w:eastAsia="宋体" w:hint="ascii"/>
          <w:sz w:val="21"/>
          <w:spacing w:val="-2"/>
        </w:rPr>
        <w:t>，鼓</w:t>
      </w:r>
      <w:r>
        <w:rPr>
          <w:rFonts w:ascii="宋体" w:hAnsi="宋体" w:cs="宋体" w:eastAsia="宋体" w:hint="ascii"/>
          <w:sz w:val="21"/>
          <w:spacing w:val="-3"/>
        </w:rPr>
        <w:t>励</w:t>
      </w:r>
      <w:r>
        <w:rPr>
          <w:rFonts w:ascii="宋体" w:hAnsi="宋体" w:cs="宋体" w:eastAsia="宋体" w:hint="ascii"/>
          <w:sz w:val="21"/>
          <w:spacing w:val="-2"/>
        </w:rPr>
        <w:t>消</w:t>
      </w:r>
      <w:r>
        <w:rPr>
          <w:rFonts w:ascii="宋体" w:hAnsi="宋体" w:cs="宋体" w:eastAsia="宋体" w:hint="ascii"/>
          <w:sz w:val="21"/>
          <w:spacing w:val="-3"/>
        </w:rPr>
        <w:t>化系</w:t>
      </w:r>
      <w:r>
        <w:rPr>
          <w:rFonts w:ascii="宋体" w:hAnsi="宋体" w:cs="宋体" w:eastAsia="宋体" w:hint="ascii"/>
          <w:sz w:val="21"/>
          <w:spacing w:val="-2"/>
        </w:rPr>
        <w:t>统非</w:t>
      </w:r>
      <w:r>
        <w:rPr>
          <w:rFonts w:ascii="宋体" w:hAnsi="宋体" w:cs="宋体" w:eastAsia="宋体" w:hint="ascii"/>
          <w:sz w:val="21"/>
        </w:rPr>
        <w:t>肿</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瘤疾</w:t>
      </w:r>
      <w:r>
        <w:rPr>
          <w:rFonts w:ascii="宋体" w:hAnsi="宋体" w:cs="宋体" w:eastAsia="宋体" w:hint="ascii"/>
          <w:sz w:val="21"/>
          <w:spacing w:val="-5"/>
        </w:rPr>
        <w:t>病</w:t>
      </w:r>
      <w:r>
        <w:rPr>
          <w:rFonts w:ascii="宋体" w:hAnsi="宋体" w:cs="宋体" w:eastAsia="宋体" w:hint="ascii"/>
          <w:sz w:val="21"/>
          <w:spacing w:val="-4"/>
        </w:rPr>
        <w:t>临</w:t>
      </w:r>
      <w:r>
        <w:rPr>
          <w:rFonts w:ascii="宋体" w:hAnsi="宋体" w:cs="宋体" w:eastAsia="宋体" w:hint="ascii"/>
          <w:sz w:val="21"/>
          <w:spacing w:val="-5"/>
        </w:rPr>
        <w:t>床前</w:t>
      </w:r>
      <w:r>
        <w:rPr>
          <w:rFonts w:ascii="宋体" w:hAnsi="宋体" w:cs="宋体" w:eastAsia="宋体" w:hint="ascii"/>
          <w:sz w:val="21"/>
          <w:spacing w:val="-4"/>
        </w:rPr>
        <w:t>阶段</w:t>
      </w:r>
      <w:r>
        <w:rPr>
          <w:rFonts w:ascii="宋体" w:hAnsi="宋体" w:cs="宋体" w:eastAsia="宋体" w:hint="ascii"/>
          <w:sz w:val="21"/>
          <w:spacing w:val="-5"/>
        </w:rPr>
        <w:t>的</w:t>
      </w:r>
      <w:r>
        <w:rPr>
          <w:rFonts w:ascii="宋体" w:hAnsi="宋体" w:cs="宋体" w:eastAsia="宋体" w:hint="ascii"/>
          <w:sz w:val="21"/>
          <w:spacing w:val="-4"/>
        </w:rPr>
        <w:t>病</w:t>
      </w:r>
      <w:r>
        <w:rPr>
          <w:rFonts w:ascii="宋体" w:hAnsi="宋体" w:cs="宋体" w:eastAsia="宋体" w:hint="ascii"/>
          <w:sz w:val="21"/>
          <w:spacing w:val="-5"/>
        </w:rPr>
        <w:t>理及</w:t>
      </w:r>
      <w:r>
        <w:rPr>
          <w:rFonts w:ascii="宋体" w:hAnsi="宋体" w:cs="宋体" w:eastAsia="宋体" w:hint="ascii"/>
          <w:sz w:val="21"/>
          <w:spacing w:val="-4"/>
        </w:rPr>
        <w:t>病理</w:t>
      </w:r>
      <w:r>
        <w:rPr>
          <w:rFonts w:ascii="宋体" w:hAnsi="宋体" w:cs="宋体" w:eastAsia="宋体" w:hint="ascii"/>
          <w:sz w:val="21"/>
          <w:spacing w:val="-5"/>
        </w:rPr>
        <w:t>生</w:t>
      </w:r>
      <w:r>
        <w:rPr>
          <w:rFonts w:ascii="宋体" w:hAnsi="宋体" w:cs="宋体" w:eastAsia="宋体" w:hint="ascii"/>
          <w:sz w:val="21"/>
          <w:spacing w:val="-4"/>
        </w:rPr>
        <w:t>理</w:t>
      </w:r>
      <w:r>
        <w:rPr>
          <w:rFonts w:ascii="宋体" w:hAnsi="宋体" w:cs="宋体" w:eastAsia="宋体" w:hint="ascii"/>
          <w:sz w:val="21"/>
          <w:spacing w:val="-5"/>
        </w:rPr>
        <w:t>学研</w:t>
      </w:r>
      <w:r>
        <w:rPr>
          <w:rFonts w:ascii="宋体" w:hAnsi="宋体" w:cs="宋体" w:eastAsia="宋体" w:hint="ascii"/>
          <w:sz w:val="21"/>
          <w:spacing w:val="-4"/>
        </w:rPr>
        <w:t>究和</w:t>
      </w:r>
      <w:r>
        <w:rPr>
          <w:rFonts w:ascii="宋体" w:hAnsi="宋体" w:cs="宋体" w:eastAsia="宋体" w:hint="ascii"/>
          <w:sz w:val="21"/>
          <w:spacing w:val="-5"/>
        </w:rPr>
        <w:t>以</w:t>
      </w:r>
      <w:r>
        <w:rPr>
          <w:rFonts w:ascii="宋体" w:hAnsi="宋体" w:cs="宋体" w:eastAsia="宋体" w:hint="ascii"/>
          <w:sz w:val="21"/>
          <w:spacing w:val="-4"/>
        </w:rPr>
        <w:t>功</w:t>
      </w:r>
      <w:r>
        <w:rPr>
          <w:rFonts w:ascii="宋体" w:hAnsi="宋体" w:cs="宋体" w:eastAsia="宋体" w:hint="ascii"/>
          <w:sz w:val="21"/>
          <w:spacing w:val="-5"/>
        </w:rPr>
        <w:t>能</w:t>
      </w:r>
      <w:r>
        <w:rPr>
          <w:rFonts w:ascii="宋体" w:hAnsi="宋体" w:cs="宋体" w:eastAsia="宋体" w:hint="ascii"/>
          <w:sz w:val="21"/>
          <w:spacing w:val="-4"/>
        </w:rPr>
        <w:t>紊</w:t>
      </w:r>
      <w:r>
        <w:rPr>
          <w:rFonts w:ascii="宋体" w:hAnsi="宋体" w:cs="宋体" w:eastAsia="宋体" w:hint="ascii"/>
          <w:sz w:val="21"/>
          <w:spacing w:val="-3"/>
        </w:rPr>
        <w:t>乱为</w:t>
      </w:r>
      <w:r>
        <w:rPr>
          <w:rFonts w:ascii="宋体" w:hAnsi="宋体" w:cs="宋体" w:eastAsia="宋体" w:hint="ascii"/>
          <w:sz w:val="21"/>
          <w:spacing w:val="-4"/>
        </w:rPr>
        <w:t>主</w:t>
      </w:r>
      <w:r>
        <w:rPr>
          <w:rFonts w:ascii="宋体" w:hAnsi="宋体" w:cs="宋体" w:eastAsia="宋体" w:hint="ascii"/>
          <w:sz w:val="21"/>
          <w:spacing w:val="-3"/>
        </w:rPr>
        <w:t>要</w:t>
      </w:r>
      <w:r>
        <w:rPr>
          <w:rFonts w:ascii="宋体" w:hAnsi="宋体" w:cs="宋体" w:eastAsia="宋体" w:hint="ascii"/>
          <w:sz w:val="21"/>
          <w:spacing w:val="-4"/>
        </w:rPr>
        <w:t>表现</w:t>
      </w:r>
      <w:r>
        <w:rPr>
          <w:rFonts w:ascii="宋体" w:hAnsi="宋体" w:cs="宋体" w:eastAsia="宋体" w:hint="ascii"/>
          <w:sz w:val="21"/>
          <w:spacing w:val="-3"/>
        </w:rPr>
        <w:t>的疾</w:t>
      </w:r>
      <w:r>
        <w:rPr>
          <w:rFonts w:ascii="宋体" w:hAnsi="宋体" w:cs="宋体" w:eastAsia="宋体" w:hint="ascii"/>
          <w:sz w:val="21"/>
          <w:spacing w:val="-4"/>
        </w:rPr>
        <w:t>病</w:t>
      </w:r>
      <w:r>
        <w:rPr>
          <w:rFonts w:ascii="宋体" w:hAnsi="宋体" w:cs="宋体" w:eastAsia="宋体" w:hint="ascii"/>
          <w:sz w:val="21"/>
          <w:spacing w:val="-3"/>
        </w:rPr>
        <w:t>发</w:t>
      </w:r>
      <w:r>
        <w:rPr>
          <w:rFonts w:ascii="宋体" w:hAnsi="宋体" w:cs="宋体" w:eastAsia="宋体" w:hint="ascii"/>
          <w:sz w:val="21"/>
          <w:spacing w:val="-4"/>
        </w:rPr>
        <w:t>病机</w:t>
      </w:r>
      <w:r>
        <w:rPr>
          <w:rFonts w:ascii="宋体" w:hAnsi="宋体" w:cs="宋体" w:eastAsia="宋体" w:hint="ascii"/>
          <w:sz w:val="21"/>
          <w:spacing w:val="-3"/>
        </w:rPr>
        <w:t>制的</w:t>
      </w:r>
      <w:r>
        <w:rPr>
          <w:rFonts w:ascii="宋体" w:hAnsi="宋体" w:cs="宋体" w:eastAsia="宋体" w:hint="ascii"/>
          <w:sz w:val="21"/>
          <w:spacing w:val="-1"/>
        </w:rPr>
        <w:t>研</w:t>
      </w:r>
      <w:r>
        <w:rPr>
          <w:rFonts w:ascii="宋体" w:hAnsi="宋体" w:cs="宋体" w:eastAsia="宋体" w:hint="ascii"/>
          <w:sz w:val="21"/>
        </w:rPr>
        <w:t xml:space="preserve"> </w:t>
      </w:r>
      <w:r>
        <w:rPr>
          <w:rFonts w:ascii="宋体" w:hAnsi="宋体" w:cs="宋体" w:eastAsia="宋体" w:hint="ascii"/>
          <w:sz w:val="21"/>
          <w:spacing w:val="-3"/>
        </w:rPr>
        <w:t>究；鼓励消化系统各器官之间的相互联系在消化系统疾病发病中的作用研究</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泌尿系统（</w:t>
      </w:r>
      <w:r>
        <w:rPr>
          <w:rFonts w:ascii="Times New Roman" w:hAnsi="Times New Roman" w:cs="Times New Roman" w:eastAsia="Times New Roman" w:hint="ascii"/>
          <w:b w:val="1"/>
        </w:rPr>
        <w:t>H05</w:t>
      </w:r>
      <w:r>
        <w:rPr>
          <w:rFonts w:ascii="宋体" w:hAnsi="宋体" w:cs="宋体" w:eastAsia="宋体" w:hint="ascii"/>
        </w:rPr>
        <w:t>）</w:t>
      </w:r>
    </w:p>
    <w:p>
      <w:pPr>
        <w:autoSpaceDE w:val="0"/>
        <w:autoSpaceDN w:val="0"/>
        <w:jc w:val="left"/>
        <w:spacing w:before="198" w:after="0" w:lineRule="exact" w:line="263"/>
        <w:ind w:right="0" w:left="1370" w:firstLine="0"/>
        <w:snapToGrid w:val="0"/>
        <w:textAlignment w:val="auto"/>
        <w:tabs/>
        <w:rPr>
          <w:rFonts w:ascii="宋体" w:hAnsi="宋体" w:cs="宋体" w:eastAsia="宋体" w:hint="ascii"/>
          <w:sz w:val="21"/>
        </w:rPr>
      </w:pPr>
      <w:r>
        <w:rPr>
          <w:rFonts w:ascii="宋体" w:hAnsi="宋体" w:cs="宋体" w:eastAsia="宋体" w:hint="ascii"/>
          <w:sz w:val="21"/>
          <w:spacing w:val="-2"/>
        </w:rPr>
        <w:t>主要资助</w:t>
      </w:r>
      <w:r>
        <w:rPr>
          <w:rFonts w:ascii="宋体" w:hAnsi="宋体" w:cs="宋体" w:eastAsia="宋体" w:hint="ascii"/>
          <w:sz w:val="21"/>
          <w:spacing w:val="-3"/>
        </w:rPr>
        <w:t>有</w:t>
      </w:r>
      <w:r>
        <w:rPr>
          <w:rFonts w:ascii="宋体" w:hAnsi="宋体" w:cs="宋体" w:eastAsia="宋体" w:hint="ascii"/>
          <w:sz w:val="21"/>
          <w:spacing w:val="-2"/>
        </w:rPr>
        <w:t>关肾、输</w:t>
      </w:r>
      <w:r>
        <w:rPr>
          <w:rFonts w:ascii="宋体" w:hAnsi="宋体" w:cs="宋体" w:eastAsia="宋体" w:hint="ascii"/>
          <w:sz w:val="21"/>
          <w:spacing w:val="-3"/>
        </w:rPr>
        <w:t>尿</w:t>
      </w:r>
      <w:r>
        <w:rPr>
          <w:rFonts w:ascii="宋体" w:hAnsi="宋体" w:cs="宋体" w:eastAsia="宋体" w:hint="ascii"/>
          <w:sz w:val="21"/>
          <w:spacing w:val="-2"/>
        </w:rPr>
        <w:t>管、膀胱</w:t>
      </w:r>
      <w:r>
        <w:rPr>
          <w:rFonts w:ascii="宋体" w:hAnsi="宋体" w:cs="宋体" w:eastAsia="宋体" w:hint="ascii"/>
          <w:sz w:val="21"/>
          <w:spacing w:val="-3"/>
        </w:rPr>
        <w:t>、</w:t>
      </w:r>
      <w:r>
        <w:rPr>
          <w:rFonts w:ascii="宋体" w:hAnsi="宋体" w:cs="宋体" w:eastAsia="宋体" w:hint="ascii"/>
          <w:sz w:val="21"/>
          <w:spacing w:val="-2"/>
        </w:rPr>
        <w:t>前列腺和</w:t>
      </w:r>
      <w:r>
        <w:rPr>
          <w:rFonts w:ascii="宋体" w:hAnsi="宋体" w:cs="宋体" w:eastAsia="宋体" w:hint="ascii"/>
          <w:sz w:val="21"/>
          <w:spacing w:val="-3"/>
        </w:rPr>
        <w:t>尿</w:t>
      </w:r>
      <w:r>
        <w:rPr>
          <w:rFonts w:ascii="宋体" w:hAnsi="宋体" w:cs="宋体" w:eastAsia="宋体" w:hint="ascii"/>
          <w:sz w:val="21"/>
          <w:spacing w:val="-2"/>
        </w:rPr>
        <w:t>道等组织</w:t>
      </w:r>
      <w:r>
        <w:rPr>
          <w:rFonts w:ascii="宋体" w:hAnsi="宋体" w:cs="宋体" w:eastAsia="宋体" w:hint="ascii"/>
          <w:sz w:val="21"/>
          <w:spacing w:val="-3"/>
        </w:rPr>
        <w:t>器</w:t>
      </w:r>
      <w:r>
        <w:rPr>
          <w:rFonts w:ascii="宋体" w:hAnsi="宋体" w:cs="宋体" w:eastAsia="宋体" w:hint="ascii"/>
          <w:sz w:val="21"/>
          <w:spacing w:val="-2"/>
        </w:rPr>
        <w:t>官结构和</w:t>
      </w:r>
      <w:r>
        <w:rPr>
          <w:rFonts w:ascii="宋体" w:hAnsi="宋体" w:cs="宋体" w:eastAsia="宋体" w:hint="ascii"/>
          <w:sz w:val="21"/>
          <w:spacing w:val="-3"/>
        </w:rPr>
        <w:t>功</w:t>
      </w:r>
      <w:r>
        <w:rPr>
          <w:rFonts w:ascii="宋体" w:hAnsi="宋体" w:cs="宋体" w:eastAsia="宋体" w:hint="ascii"/>
          <w:sz w:val="21"/>
          <w:spacing w:val="-2"/>
        </w:rPr>
        <w:t>能异常及</w:t>
      </w:r>
      <w:r>
        <w:rPr>
          <w:rFonts w:ascii="宋体" w:hAnsi="宋体" w:cs="宋体" w:eastAsia="宋体" w:hint="ascii"/>
          <w:sz w:val="21"/>
          <w:spacing w:val="-3"/>
        </w:rPr>
        <w:t>相关</w:t>
      </w:r>
      <w:r>
        <w:rPr>
          <w:rFonts w:ascii="宋体" w:hAnsi="宋体" w:cs="宋体" w:eastAsia="宋体" w:hint="ascii"/>
          <w:sz w:val="21"/>
        </w:rPr>
        <w:t>非</w:t>
      </w:r>
    </w:p>
    <w:p>
      <w:pPr>
        <w:autoSpaceDE w:val="0"/>
        <w:autoSpaceDN w:val="0"/>
        <w:jc w:val="right"/>
        <w:spacing w:before="10" w:after="0" w:lineRule="exact" w:line="312"/>
        <w:ind w:right="962" w:left="865" w:firstLine="0"/>
        <w:snapToGrid w:val="0"/>
        <w:textAlignment w:val="auto"/>
        <w:tabs/>
        <w:rPr>
          <w:rFonts w:ascii="宋体" w:hAnsi="宋体" w:cs="宋体" w:eastAsia="宋体" w:hint="ascii"/>
          <w:sz w:val="21"/>
        </w:rPr>
      </w:pPr>
      <w:r>
        <w:rPr>
          <w:rFonts w:ascii="宋体" w:hAnsi="宋体" w:cs="宋体" w:eastAsia="宋体" w:hint="ascii"/>
          <w:sz w:val="21"/>
          <w:spacing w:val="-3"/>
        </w:rPr>
        <w:t>肿瘤</w:t>
      </w:r>
      <w:r>
        <w:rPr>
          <w:rFonts w:ascii="宋体" w:hAnsi="宋体" w:cs="宋体" w:eastAsia="宋体" w:hint="ascii"/>
          <w:sz w:val="21"/>
          <w:spacing w:val="-2"/>
        </w:rPr>
        <w:t>性疾病的研究。</w:t>
      </w:r>
      <w:r>
        <w:rPr>
          <w:rFonts w:ascii="Times New Roman" w:hAnsi="Times New Roman" w:cs="Times New Roman" w:eastAsia="Times New Roman" w:hint="ascii"/>
          <w:sz w:val="21"/>
          <w:spacing w:val="-4"/>
        </w:rPr>
        <w:t>201</w:t>
      </w:r>
      <w:r>
        <w:rPr>
          <w:rFonts w:ascii="Times New Roman" w:hAnsi="Times New Roman" w:cs="Times New Roman" w:eastAsia="Times New Roman" w:hint="ascii"/>
          <w:sz w:val="21"/>
          <w:spacing w:val="49"/>
        </w:rPr>
        <w:t>7</w:t>
      </w:r>
      <w:r>
        <w:rPr>
          <w:rFonts w:ascii="宋体" w:hAnsi="宋体" w:cs="宋体" w:eastAsia="宋体" w:hint="ascii"/>
          <w:sz w:val="21"/>
          <w:spacing w:val="-2"/>
        </w:rPr>
        <w:t>年度项目申请量</w:t>
      </w:r>
      <w:r>
        <w:rPr>
          <w:rFonts w:ascii="宋体" w:hAnsi="宋体" w:cs="宋体" w:eastAsia="宋体" w:hint="ascii"/>
          <w:sz w:val="21"/>
          <w:spacing w:val="11"/>
        </w:rPr>
        <w:t>比</w:t>
      </w:r>
      <w:r>
        <w:rPr>
          <w:rFonts w:ascii="Times New Roman" w:hAnsi="Times New Roman" w:cs="Times New Roman" w:eastAsia="Times New Roman" w:hint="ascii"/>
          <w:sz w:val="21"/>
          <w:spacing w:val="-4"/>
        </w:rPr>
        <w:t>201</w:t>
      </w:r>
      <w:r>
        <w:rPr>
          <w:rFonts w:ascii="Times New Roman" w:hAnsi="Times New Roman" w:cs="Times New Roman" w:eastAsia="Times New Roman" w:hint="ascii"/>
          <w:sz w:val="21"/>
          <w:spacing w:val="49"/>
        </w:rPr>
        <w:t>6</w:t>
      </w:r>
      <w:r>
        <w:rPr>
          <w:rFonts w:ascii="宋体" w:hAnsi="宋体" w:cs="宋体" w:eastAsia="宋体" w:hint="ascii"/>
          <w:sz w:val="21"/>
          <w:spacing w:val="-2"/>
        </w:rPr>
        <w:t>年度增</w:t>
      </w:r>
      <w:r>
        <w:rPr>
          <w:rFonts w:ascii="宋体" w:hAnsi="宋体" w:cs="宋体" w:eastAsia="宋体" w:hint="ascii"/>
          <w:sz w:val="21"/>
          <w:spacing w:val="11"/>
        </w:rPr>
        <w:t>长</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4"/>
        </w:rPr>
        <w:t>4.1</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1"/>
        </w:rPr>
        <w:t>%</w:t>
      </w:r>
      <w:r>
        <w:rPr>
          <w:rFonts w:ascii="宋体" w:hAnsi="宋体" w:cs="宋体" w:eastAsia="宋体" w:hint="ascii"/>
          <w:sz w:val="21"/>
          <w:spacing w:val="-2"/>
        </w:rPr>
        <w:t>，研究热点领域仍然</w:t>
      </w:r>
      <w:r>
        <w:rPr>
          <w:rFonts w:ascii="宋体" w:hAnsi="宋体" w:cs="宋体" w:eastAsia="宋体" w:hint="ascii"/>
          <w:sz w:val="21"/>
        </w:rPr>
        <w:t xml:space="preserve">为 </w:t>
      </w:r>
      <w:r>
        <w:rPr>
          <w:rFonts w:ascii="宋体" w:hAnsi="宋体" w:cs="宋体" w:eastAsia="宋体" w:hint="ascii"/>
          <w:sz w:val="21"/>
          <w:spacing w:val="10"/>
        </w:rPr>
        <w:t>急性肾</w:t>
      </w:r>
      <w:r>
        <w:rPr>
          <w:rFonts w:ascii="宋体" w:hAnsi="宋体" w:cs="宋体" w:eastAsia="宋体" w:hint="ascii"/>
          <w:sz w:val="21"/>
          <w:spacing w:val="9"/>
        </w:rPr>
        <w:t>损伤</w:t>
      </w:r>
      <w:r>
        <w:rPr>
          <w:rFonts w:ascii="宋体" w:hAnsi="宋体" w:cs="宋体" w:eastAsia="宋体" w:hint="ascii"/>
          <w:sz w:val="21"/>
          <w:spacing w:val="10"/>
        </w:rPr>
        <w:t>、慢性</w:t>
      </w:r>
      <w:r>
        <w:rPr>
          <w:rFonts w:ascii="宋体" w:hAnsi="宋体" w:cs="宋体" w:eastAsia="宋体" w:hint="ascii"/>
          <w:sz w:val="21"/>
          <w:spacing w:val="9"/>
        </w:rPr>
        <w:t>肾脏</w:t>
      </w:r>
      <w:r>
        <w:rPr>
          <w:rFonts w:ascii="宋体" w:hAnsi="宋体" w:cs="宋体" w:eastAsia="宋体" w:hint="ascii"/>
          <w:sz w:val="21"/>
          <w:spacing w:val="10"/>
        </w:rPr>
        <w:t>病防治</w:t>
      </w:r>
      <w:r>
        <w:rPr>
          <w:rFonts w:ascii="宋体" w:hAnsi="宋体" w:cs="宋体" w:eastAsia="宋体" w:hint="ascii"/>
          <w:sz w:val="21"/>
          <w:spacing w:val="9"/>
        </w:rPr>
        <w:t>的相</w:t>
      </w:r>
      <w:r>
        <w:rPr>
          <w:rFonts w:ascii="宋体" w:hAnsi="宋体" w:cs="宋体" w:eastAsia="宋体" w:hint="ascii"/>
          <w:sz w:val="21"/>
          <w:spacing w:val="10"/>
        </w:rPr>
        <w:t>关科学</w:t>
      </w:r>
      <w:r>
        <w:rPr>
          <w:rFonts w:ascii="宋体" w:hAnsi="宋体" w:cs="宋体" w:eastAsia="宋体" w:hint="ascii"/>
          <w:sz w:val="21"/>
          <w:spacing w:val="9"/>
        </w:rPr>
        <w:t>问题</w:t>
      </w:r>
      <w:r>
        <w:rPr>
          <w:rFonts w:ascii="宋体" w:hAnsi="宋体" w:cs="宋体" w:eastAsia="宋体" w:hint="ascii"/>
          <w:sz w:val="21"/>
          <w:spacing w:val="10"/>
        </w:rPr>
        <w:t>，主要</w:t>
      </w:r>
      <w:r>
        <w:rPr>
          <w:rFonts w:ascii="宋体" w:hAnsi="宋体" w:cs="宋体" w:eastAsia="宋体" w:hint="ascii"/>
          <w:sz w:val="21"/>
          <w:spacing w:val="9"/>
        </w:rPr>
        <w:t>分布</w:t>
      </w:r>
      <w:r>
        <w:rPr>
          <w:rFonts w:ascii="宋体" w:hAnsi="宋体" w:cs="宋体" w:eastAsia="宋体" w:hint="ascii"/>
          <w:sz w:val="21"/>
          <w:spacing w:val="10"/>
        </w:rPr>
        <w:t>于泌尿</w:t>
      </w:r>
      <w:r>
        <w:rPr>
          <w:rFonts w:ascii="宋体" w:hAnsi="宋体" w:cs="宋体" w:eastAsia="宋体" w:hint="ascii"/>
          <w:sz w:val="21"/>
          <w:spacing w:val="9"/>
        </w:rPr>
        <w:t>系统</w:t>
      </w:r>
      <w:r>
        <w:rPr>
          <w:rFonts w:ascii="宋体" w:hAnsi="宋体" w:cs="宋体" w:eastAsia="宋体" w:hint="ascii"/>
          <w:sz w:val="21"/>
          <w:spacing w:val="10"/>
        </w:rPr>
        <w:t>损伤与修</w:t>
      </w:r>
      <w:r>
        <w:rPr>
          <w:rFonts w:ascii="宋体" w:hAnsi="宋体" w:cs="宋体" w:eastAsia="宋体" w:hint="ascii"/>
          <w:sz w:val="21"/>
        </w:rPr>
        <w:t>复</w:t>
      </w:r>
      <w:r>
        <w:rPr>
          <w:rFonts w:ascii="宋体" w:hAnsi="宋体" w:cs="宋体" w:eastAsia="宋体" w:hint="ascii"/>
          <w:sz w:val="21"/>
          <w:spacing w:val="4"/>
        </w:rPr>
        <w:t>（</w:t>
      </w:r>
      <w:r>
        <w:rPr>
          <w:rFonts w:ascii="Times New Roman" w:hAnsi="Times New Roman" w:cs="Times New Roman" w:eastAsia="Times New Roman" w:hint="ascii"/>
          <w:sz w:val="21"/>
          <w:spacing w:val="-5"/>
        </w:rPr>
        <w:t>23</w:t>
      </w:r>
      <w:r>
        <w:rPr>
          <w:rFonts w:ascii="Times New Roman" w:hAnsi="Times New Roman" w:cs="Times New Roman" w:eastAsia="Times New Roman" w:hint="ascii"/>
          <w:sz w:val="21"/>
          <w:spacing w:val="-4"/>
        </w:rPr>
        <w:t>.0</w:t>
      </w:r>
      <w:r>
        <w:rPr>
          <w:rFonts w:ascii="Times New Roman" w:hAnsi="Times New Roman" w:cs="Times New Roman" w:eastAsia="Times New Roman" w:hint="ascii"/>
          <w:sz w:val="21"/>
          <w:spacing w:val="-3"/>
        </w:rPr>
        <w:t>9</w:t>
      </w:r>
      <w:r>
        <w:rPr>
          <w:rFonts w:ascii="Times New Roman" w:hAnsi="Times New Roman" w:cs="Times New Roman" w:eastAsia="Times New Roman" w:hint="ascii"/>
          <w:sz w:val="21"/>
          <w:spacing w:val="13"/>
        </w:rPr>
        <w:t>%</w:t>
      </w:r>
      <w:r>
        <w:rPr>
          <w:rFonts w:ascii="宋体" w:hAnsi="宋体" w:cs="宋体" w:eastAsia="宋体" w:hint="ascii"/>
          <w:sz w:val="21"/>
          <w:spacing w:val="-46"/>
        </w:rPr>
        <w:t>）</w:t>
      </w:r>
      <w:r>
        <w:rPr>
          <w:rFonts w:ascii="宋体" w:hAnsi="宋体" w:cs="宋体" w:eastAsia="宋体" w:hint="ascii"/>
          <w:sz w:val="21"/>
          <w:spacing w:val="5"/>
        </w:rPr>
        <w:t>，其次为继发性肾脏疾病（</w:t>
      </w:r>
      <w:r>
        <w:rPr>
          <w:rFonts w:ascii="Times New Roman" w:hAnsi="Times New Roman" w:cs="Times New Roman" w:eastAsia="Times New Roman" w:hint="ascii"/>
          <w:sz w:val="21"/>
          <w:spacing w:val="-4"/>
        </w:rPr>
        <w:t>16.0</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13"/>
        </w:rPr>
        <w:t>%</w:t>
      </w:r>
      <w:r>
        <w:rPr>
          <w:rFonts w:ascii="宋体" w:hAnsi="宋体" w:cs="宋体" w:eastAsia="宋体" w:hint="ascii"/>
          <w:sz w:val="21"/>
          <w:spacing w:val="-46"/>
        </w:rPr>
        <w:t>）</w:t>
      </w:r>
      <w:r>
        <w:rPr>
          <w:rFonts w:ascii="宋体" w:hAnsi="宋体" w:cs="宋体" w:eastAsia="宋体" w:hint="ascii"/>
          <w:sz w:val="21"/>
          <w:spacing w:val="5"/>
        </w:rPr>
        <w:t>、肾衰竭（</w:t>
      </w:r>
      <w:r>
        <w:rPr>
          <w:rFonts w:ascii="Times New Roman" w:hAnsi="Times New Roman" w:cs="Times New Roman" w:eastAsia="Times New Roman" w:hint="ascii"/>
          <w:sz w:val="21"/>
          <w:spacing w:val="-4"/>
        </w:rPr>
        <w:t>10.4</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spacing w:val="13"/>
        </w:rPr>
        <w:t>%</w:t>
      </w:r>
      <w:r>
        <w:rPr>
          <w:rFonts w:ascii="宋体" w:hAnsi="宋体" w:cs="宋体" w:eastAsia="宋体" w:hint="ascii"/>
          <w:sz w:val="21"/>
          <w:spacing w:val="5"/>
        </w:rPr>
        <w:t>）和原发性肾脏疾</w:t>
      </w:r>
      <w:r>
        <w:rPr>
          <w:rFonts w:ascii="宋体" w:hAnsi="宋体" w:cs="宋体" w:eastAsia="宋体" w:hint="ascii"/>
          <w:sz w:val="21"/>
        </w:rPr>
        <w:t>病</w:t>
      </w:r>
      <w:r>
        <w:rPr>
          <w:rFonts w:ascii="宋体" w:hAnsi="宋体" w:cs="宋体" w:eastAsia="宋体" w:hint="ascii"/>
          <w:sz w:val="21"/>
          <w:spacing w:val="-4"/>
        </w:rPr>
        <w:t>（</w:t>
      </w:r>
      <w:r>
        <w:rPr>
          <w:rFonts w:ascii="Times New Roman" w:hAnsi="Times New Roman" w:cs="Times New Roman" w:eastAsia="Times New Roman" w:hint="ascii"/>
          <w:sz w:val="21"/>
          <w:spacing w:val="-6"/>
        </w:rPr>
        <w:t>8.78</w:t>
      </w:r>
      <w:r>
        <w:rPr>
          <w:rFonts w:ascii="Times New Roman" w:hAnsi="Times New Roman" w:cs="Times New Roman" w:eastAsia="Times New Roman" w:hint="ascii"/>
          <w:sz w:val="21"/>
          <w:spacing w:val="-3"/>
        </w:rPr>
        <w:t>%</w:t>
      </w:r>
      <w:r>
        <w:rPr>
          <w:rFonts w:ascii="宋体" w:hAnsi="宋体" w:cs="宋体" w:eastAsia="宋体" w:hint="ascii"/>
          <w:sz w:val="21"/>
          <w:spacing w:val="-55"/>
        </w:rPr>
        <w:t>）</w:t>
      </w:r>
      <w:r>
        <w:rPr>
          <w:rFonts w:ascii="宋体" w:hAnsi="宋体" w:cs="宋体" w:eastAsia="宋体" w:hint="ascii"/>
          <w:sz w:val="21"/>
          <w:spacing w:val="-4"/>
        </w:rPr>
        <w:t>。肾移植、泌尿系统结石、尿动力学的申请量</w:t>
      </w:r>
      <w:r>
        <w:rPr>
          <w:rFonts w:ascii="宋体" w:hAnsi="宋体" w:cs="宋体" w:eastAsia="宋体" w:hint="ascii"/>
          <w:sz w:val="21"/>
          <w:spacing w:val="9"/>
        </w:rPr>
        <w:t>与</w:t>
      </w:r>
      <w:r>
        <w:rPr>
          <w:rFonts w:ascii="Times New Roman" w:hAnsi="Times New Roman" w:cs="Times New Roman" w:eastAsia="Times New Roman" w:hint="ascii"/>
          <w:sz w:val="21"/>
          <w:spacing w:val="-6"/>
        </w:rPr>
        <w:t>20</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45"/>
        </w:rPr>
        <w:t>6</w:t>
      </w:r>
      <w:r>
        <w:rPr>
          <w:rFonts w:ascii="宋体" w:hAnsi="宋体" w:cs="宋体" w:eastAsia="宋体" w:hint="ascii"/>
          <w:sz w:val="21"/>
          <w:spacing w:val="-4"/>
        </w:rPr>
        <w:t>年度</w:t>
      </w:r>
      <w:r>
        <w:rPr>
          <w:rFonts w:ascii="宋体" w:hAnsi="宋体" w:cs="宋体" w:eastAsia="宋体" w:hint="ascii"/>
          <w:sz w:val="21"/>
          <w:spacing w:val="-3"/>
        </w:rPr>
        <w:t>基本持平。泌尿系统</w:t>
      </w:r>
      <w:r>
        <w:rPr>
          <w:rFonts w:ascii="宋体" w:hAnsi="宋体" w:cs="宋体" w:eastAsia="宋体" w:hint="ascii"/>
          <w:sz w:val="21"/>
          <w:spacing w:val="-1"/>
        </w:rPr>
        <w:t>感</w:t>
      </w:r>
      <w:r>
        <w:rPr>
          <w:rFonts w:ascii="宋体" w:hAnsi="宋体" w:cs="宋体" w:eastAsia="宋体" w:hint="ascii"/>
          <w:sz w:val="21"/>
        </w:rPr>
        <w:t xml:space="preserve"> </w:t>
      </w:r>
      <w:r>
        <w:rPr>
          <w:rFonts w:ascii="宋体" w:hAnsi="宋体" w:cs="宋体" w:eastAsia="宋体" w:hint="ascii"/>
          <w:sz w:val="21"/>
          <w:spacing w:val="-2"/>
        </w:rPr>
        <w:t>染、</w:t>
      </w:r>
      <w:r>
        <w:rPr>
          <w:rFonts w:ascii="宋体" w:hAnsi="宋体" w:cs="宋体" w:eastAsia="宋体" w:hint="ascii"/>
          <w:sz w:val="21"/>
          <w:spacing w:val="-3"/>
        </w:rPr>
        <w:t>肾</w:t>
      </w:r>
      <w:r>
        <w:rPr>
          <w:rFonts w:ascii="宋体" w:hAnsi="宋体" w:cs="宋体" w:eastAsia="宋体" w:hint="ascii"/>
          <w:sz w:val="21"/>
          <w:spacing w:val="-2"/>
        </w:rPr>
        <w:t>脏</w:t>
      </w:r>
      <w:r>
        <w:rPr>
          <w:rFonts w:ascii="宋体" w:hAnsi="宋体" w:cs="宋体" w:eastAsia="宋体" w:hint="ascii"/>
          <w:sz w:val="21"/>
          <w:spacing w:val="-3"/>
        </w:rPr>
        <w:t>物</w:t>
      </w:r>
      <w:r>
        <w:rPr>
          <w:rFonts w:ascii="宋体" w:hAnsi="宋体" w:cs="宋体" w:eastAsia="宋体" w:hint="ascii"/>
          <w:sz w:val="21"/>
          <w:spacing w:val="-2"/>
        </w:rPr>
        <w:t>质转</w:t>
      </w:r>
      <w:r>
        <w:rPr>
          <w:rFonts w:ascii="宋体" w:hAnsi="宋体" w:cs="宋体" w:eastAsia="宋体" w:hint="ascii"/>
          <w:sz w:val="21"/>
          <w:spacing w:val="-3"/>
        </w:rPr>
        <w:t>运</w:t>
      </w:r>
      <w:r>
        <w:rPr>
          <w:rFonts w:ascii="宋体" w:hAnsi="宋体" w:cs="宋体" w:eastAsia="宋体" w:hint="ascii"/>
          <w:sz w:val="21"/>
          <w:spacing w:val="-2"/>
        </w:rPr>
        <w:t>异</w:t>
      </w:r>
      <w:r>
        <w:rPr>
          <w:rFonts w:ascii="宋体" w:hAnsi="宋体" w:cs="宋体" w:eastAsia="宋体" w:hint="ascii"/>
          <w:sz w:val="21"/>
          <w:spacing w:val="-3"/>
        </w:rPr>
        <w:t>常</w:t>
      </w:r>
      <w:r>
        <w:rPr>
          <w:rFonts w:ascii="宋体" w:hAnsi="宋体" w:cs="宋体" w:eastAsia="宋体" w:hint="ascii"/>
          <w:sz w:val="21"/>
          <w:spacing w:val="-2"/>
        </w:rPr>
        <w:t>和肾</w:t>
      </w:r>
      <w:r>
        <w:rPr>
          <w:rFonts w:ascii="宋体" w:hAnsi="宋体" w:cs="宋体" w:eastAsia="宋体" w:hint="ascii"/>
          <w:sz w:val="21"/>
          <w:spacing w:val="-3"/>
        </w:rPr>
        <w:t>脏</w:t>
      </w:r>
      <w:r>
        <w:rPr>
          <w:rFonts w:ascii="宋体" w:hAnsi="宋体" w:cs="宋体" w:eastAsia="宋体" w:hint="ascii"/>
          <w:sz w:val="21"/>
          <w:spacing w:val="-2"/>
        </w:rPr>
        <w:t>内</w:t>
      </w:r>
      <w:r>
        <w:rPr>
          <w:rFonts w:ascii="宋体" w:hAnsi="宋体" w:cs="宋体" w:eastAsia="宋体" w:hint="ascii"/>
          <w:sz w:val="21"/>
          <w:spacing w:val="-3"/>
        </w:rPr>
        <w:t>分</w:t>
      </w:r>
      <w:r>
        <w:rPr>
          <w:rFonts w:ascii="宋体" w:hAnsi="宋体" w:cs="宋体" w:eastAsia="宋体" w:hint="ascii"/>
          <w:sz w:val="21"/>
          <w:spacing w:val="-2"/>
        </w:rPr>
        <w:t>泌功</w:t>
      </w:r>
      <w:r>
        <w:rPr>
          <w:rFonts w:ascii="宋体" w:hAnsi="宋体" w:cs="宋体" w:eastAsia="宋体" w:hint="ascii"/>
          <w:sz w:val="21"/>
          <w:spacing w:val="-3"/>
        </w:rPr>
        <w:t>能</w:t>
      </w:r>
      <w:r>
        <w:rPr>
          <w:rFonts w:ascii="宋体" w:hAnsi="宋体" w:cs="宋体" w:eastAsia="宋体" w:hint="ascii"/>
          <w:sz w:val="21"/>
          <w:spacing w:val="-2"/>
        </w:rPr>
        <w:t>异</w:t>
      </w:r>
      <w:r>
        <w:rPr>
          <w:rFonts w:ascii="宋体" w:hAnsi="宋体" w:cs="宋体" w:eastAsia="宋体" w:hint="ascii"/>
          <w:sz w:val="21"/>
          <w:spacing w:val="-3"/>
        </w:rPr>
        <w:t>常</w:t>
      </w:r>
      <w:r>
        <w:rPr>
          <w:rFonts w:ascii="宋体" w:hAnsi="宋体" w:cs="宋体" w:eastAsia="宋体" w:hint="ascii"/>
          <w:sz w:val="21"/>
          <w:spacing w:val="-2"/>
        </w:rPr>
        <w:t>研究</w:t>
      </w:r>
      <w:r>
        <w:rPr>
          <w:rFonts w:ascii="宋体" w:hAnsi="宋体" w:cs="宋体" w:eastAsia="宋体" w:hint="ascii"/>
          <w:sz w:val="21"/>
          <w:spacing w:val="-3"/>
        </w:rPr>
        <w:t>仍</w:t>
      </w:r>
      <w:r>
        <w:rPr>
          <w:rFonts w:ascii="宋体" w:hAnsi="宋体" w:cs="宋体" w:eastAsia="宋体" w:hint="ascii"/>
          <w:sz w:val="21"/>
          <w:spacing w:val="-2"/>
        </w:rPr>
        <w:t>较</w:t>
      </w:r>
      <w:r>
        <w:rPr>
          <w:rFonts w:ascii="宋体" w:hAnsi="宋体" w:cs="宋体" w:eastAsia="宋体" w:hint="ascii"/>
          <w:sz w:val="21"/>
          <w:spacing w:val="-3"/>
        </w:rPr>
        <w:t>少</w:t>
      </w:r>
      <w:r>
        <w:rPr>
          <w:rFonts w:ascii="宋体" w:hAnsi="宋体" w:cs="宋体" w:eastAsia="宋体" w:hint="ascii"/>
          <w:sz w:val="21"/>
          <w:spacing w:val="-2"/>
        </w:rPr>
        <w:t>，为</w:t>
      </w:r>
      <w:r>
        <w:rPr>
          <w:rFonts w:ascii="宋体" w:hAnsi="宋体" w:cs="宋体" w:eastAsia="宋体" w:hint="ascii"/>
          <w:sz w:val="21"/>
          <w:spacing w:val="-3"/>
        </w:rPr>
        <w:t>泌</w:t>
      </w:r>
      <w:r>
        <w:rPr>
          <w:rFonts w:ascii="宋体" w:hAnsi="宋体" w:cs="宋体" w:eastAsia="宋体" w:hint="ascii"/>
          <w:sz w:val="21"/>
          <w:spacing w:val="-2"/>
        </w:rPr>
        <w:t>尿</w:t>
      </w:r>
      <w:r>
        <w:rPr>
          <w:rFonts w:ascii="宋体" w:hAnsi="宋体" w:cs="宋体" w:eastAsia="宋体" w:hint="ascii"/>
          <w:sz w:val="21"/>
          <w:spacing w:val="-3"/>
        </w:rPr>
        <w:t>系</w:t>
      </w:r>
      <w:r>
        <w:rPr>
          <w:rFonts w:ascii="宋体" w:hAnsi="宋体" w:cs="宋体" w:eastAsia="宋体" w:hint="ascii"/>
          <w:sz w:val="21"/>
          <w:spacing w:val="-2"/>
        </w:rPr>
        <w:t>统研</w:t>
      </w:r>
      <w:r>
        <w:rPr>
          <w:rFonts w:ascii="宋体" w:hAnsi="宋体" w:cs="宋体" w:eastAsia="宋体" w:hint="ascii"/>
          <w:sz w:val="21"/>
          <w:spacing w:val="-3"/>
        </w:rPr>
        <w:t>究</w:t>
      </w:r>
      <w:r>
        <w:rPr>
          <w:rFonts w:ascii="宋体" w:hAnsi="宋体" w:cs="宋体" w:eastAsia="宋体" w:hint="ascii"/>
          <w:sz w:val="21"/>
          <w:spacing w:val="-2"/>
        </w:rPr>
        <w:t>冷</w:t>
      </w:r>
      <w:r>
        <w:rPr>
          <w:rFonts w:ascii="宋体" w:hAnsi="宋体" w:cs="宋体" w:eastAsia="宋体" w:hint="ascii"/>
          <w:sz w:val="21"/>
          <w:spacing w:val="-3"/>
        </w:rPr>
        <w:t>点领</w:t>
      </w:r>
      <w:r>
        <w:rPr>
          <w:rFonts w:ascii="宋体" w:hAnsi="宋体" w:cs="宋体" w:eastAsia="宋体" w:hint="ascii"/>
          <w:sz w:val="21"/>
          <w:spacing w:val="-2"/>
        </w:rPr>
        <w:t>域</w:t>
      </w:r>
      <w:r>
        <w:rPr>
          <w:rFonts w:ascii="宋体" w:hAnsi="宋体" w:cs="宋体" w:eastAsia="宋体" w:hint="ascii"/>
          <w:sz w:val="21"/>
          <w:spacing w:val="-3"/>
        </w:rPr>
        <w:t>，</w:t>
      </w:r>
      <w:r>
        <w:rPr>
          <w:rFonts w:ascii="宋体" w:hAnsi="宋体" w:cs="宋体" w:eastAsia="宋体" w:hint="ascii"/>
          <w:sz w:val="21"/>
        </w:rPr>
        <w:t>应</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4"/>
        </w:rPr>
        <w:t>予以关注</w:t>
      </w:r>
      <w:r>
        <w:rPr>
          <w:rFonts w:ascii="宋体" w:hAnsi="宋体" w:cs="宋体" w:eastAsia="宋体" w:hint="ascii"/>
          <w:sz w:val="21"/>
        </w:rPr>
        <w:t>。</w:t>
      </w:r>
    </w:p>
    <w:p>
      <w:pPr>
        <w:autoSpaceDE w:val="0"/>
        <w:autoSpaceDN w:val="0"/>
        <w:jc w:val="left"/>
        <w:spacing w:before="290"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104"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524" w:firstLine="0"/>
        <w:snapToGrid w:val="0"/>
        <w:textAlignment w:val="auto"/>
        <w:tabs/>
        <w:rPr>
          <w:rFonts w:ascii="宋体" w:hAnsi="宋体" w:cs="宋体" w:eastAsia="宋体" w:hint="ascii"/>
        </w:rPr>
      </w:pPr>
      <w:r>
        <w:rPr>
          <w:rFonts w:ascii="宋体" w:hAnsi="宋体" w:cs="宋体" w:eastAsia="宋体" w:hint="ascii"/>
        </w:rPr>
        <w:t>内分泌系统</w:t>
      </w:r>
      <w:r>
        <w:rPr>
          <w:rFonts w:ascii="宋体" w:hAnsi="宋体" w:cs="宋体" w:eastAsia="宋体" w:hint="ascii"/>
          <w:spacing w:val="-54"/>
        </w:rPr>
        <w:t>/</w:t>
      </w:r>
      <w:r>
        <w:rPr>
          <w:rFonts w:ascii="宋体" w:hAnsi="宋体" w:cs="宋体" w:eastAsia="宋体" w:hint="ascii"/>
        </w:rPr>
        <w:t>代谢和营养支持（</w:t>
      </w:r>
      <w:r>
        <w:rPr>
          <w:rFonts w:ascii="Times New Roman" w:hAnsi="Times New Roman" w:cs="Times New Roman" w:eastAsia="Times New Roman" w:hint="ascii"/>
          <w:b w:val="1"/>
        </w:rPr>
        <w:t>H07</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129" locked="0" layoutInCell="1" allowOverlap="1">
                <wp:simplePos x="0" y="0"/>
                <wp:positionH relativeFrom="page">
                  <wp:posOffset>938530</wp:posOffset>
                </wp:positionH>
                <wp:positionV relativeFrom="page">
                  <wp:posOffset>805815</wp:posOffset>
                </wp:positionV>
                <wp:extent cx="5076190" cy="0"/>
                <wp:wrapNone/>
                <wp:docPr id="1158" name="115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26144;width:399.70pt;" id="115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主要资助内分泌器官结构及功能异常和相关非肿瘤性慢性疾病的研究，包括内分泌</w:t>
      </w:r>
    </w:p>
    <w:p>
      <w:pPr>
        <w:autoSpaceDE w:val="0"/>
        <w:autoSpaceDN w:val="0"/>
        <w:jc w:val="both"/>
        <w:spacing w:before="10" w:after="0" w:lineRule="exact" w:line="312"/>
        <w:ind w:right="975" w:left="104" w:firstLine="0"/>
        <w:snapToGrid w:val="0"/>
        <w:textAlignment w:val="auto"/>
        <w:tabs/>
        <w:rPr>
          <w:rFonts w:ascii="宋体" w:hAnsi="宋体" w:cs="宋体" w:eastAsia="宋体" w:hint="ascii"/>
          <w:sz w:val="21"/>
        </w:rPr>
      </w:pPr>
      <w:r>
        <w:rPr>
          <w:rFonts w:ascii="宋体" w:hAnsi="宋体" w:cs="宋体" w:eastAsia="宋体" w:hint="ascii"/>
          <w:sz w:val="21"/>
          <w:spacing w:val="-1"/>
        </w:rPr>
        <w:t>系统各种</w:t>
      </w:r>
      <w:r>
        <w:rPr>
          <w:rFonts w:ascii="宋体" w:hAnsi="宋体" w:cs="宋体" w:eastAsia="宋体" w:hint="ascii"/>
          <w:sz w:val="21"/>
        </w:rPr>
        <w:t>疾病，以及经典与非经典内分泌组织的功能及异常等；资助人体各种代谢异常</w:t>
      </w:r>
      <w:r>
        <w:rPr>
          <w:rFonts w:ascii="宋体" w:hAnsi="宋体" w:cs="宋体" w:eastAsia="宋体" w:hint="ascii"/>
          <w:sz w:val="21"/>
          <w:spacing w:val="10"/>
        </w:rPr>
        <w:t>和与</w:t>
      </w:r>
      <w:r>
        <w:rPr>
          <w:rFonts w:ascii="宋体" w:hAnsi="宋体" w:cs="宋体" w:eastAsia="宋体" w:hint="ascii"/>
          <w:sz w:val="21"/>
          <w:spacing w:val="11"/>
        </w:rPr>
        <w:t>临床营养失衡及其治疗相关的研究。</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1"/>
        </w:rPr>
        <w:t>年度项目申请数</w:t>
      </w:r>
      <w:r>
        <w:rPr>
          <w:rFonts w:ascii="宋体" w:hAnsi="宋体" w:cs="宋体" w:eastAsia="宋体" w:hint="ascii"/>
          <w:sz w:val="21"/>
        </w:rPr>
        <w:t>较</w:t>
      </w:r>
      <w:r>
        <w:rPr>
          <w:rFonts w:ascii="宋体" w:hAnsi="宋体" w:cs="宋体" w:eastAsia="宋体" w:hint="ascii"/>
          <w:sz w:val="21"/>
          <w:spacing w:val="-15"/>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1"/>
        </w:rPr>
        <w:t>年度增</w:t>
      </w:r>
      <w:r>
        <w:rPr>
          <w:rFonts w:ascii="宋体" w:hAnsi="宋体" w:cs="宋体" w:eastAsia="宋体" w:hint="ascii"/>
          <w:sz w:val="21"/>
        </w:rPr>
        <w:t>长</w:t>
      </w:r>
    </w:p>
    <w:p>
      <w:pPr>
        <w:autoSpaceDE w:val="0"/>
        <w:autoSpaceDN w:val="0"/>
        <w:jc w:val="right"/>
        <w:spacing w:before="0" w:after="0" w:lineRule="exact" w:line="312"/>
        <w:ind w:right="975" w:left="104" w:firstLine="0"/>
        <w:snapToGrid w:val="0"/>
        <w:textAlignment w:val="auto"/>
        <w:tabs/>
        <w:numPr>
          <w:ilvl w:val="1"/>
          <w:numId w:val="9"/>
        </w:numPr>
        <w:rPr>
          <w:rFonts w:ascii="Times New Roman" w:hAnsi="Times New Roman" w:cs="Times New Roman" w:eastAsia="宋体" w:hint="ascii"/>
          <w:sz w:val="21"/>
        </w:rPr>
      </w:pPr>
      <w:r>
        <w:rPr>
          <w:rFonts w:ascii="Times New Roman" w:hAnsi="Times New Roman" w:cs="Times New Roman" w:eastAsia="Times New Roman" w:hint="ascii"/>
          <w:sz w:val="21"/>
        </w:rPr>
        <w:t>8%</w:t>
      </w:r>
      <w:r>
        <w:rPr>
          <w:rFonts w:ascii="宋体" w:hAnsi="宋体" w:cs="宋体" w:eastAsia="宋体" w:hint="ascii"/>
          <w:sz w:val="21"/>
        </w:rPr>
        <w:t>。糖尿病相关各方向的研究依然是最为集中的研究领域，占申请总数</w:t>
      </w:r>
      <w:r>
        <w:rPr>
          <w:rFonts w:ascii="宋体" w:hAnsi="宋体" w:cs="宋体" w:eastAsia="宋体" w:hint="ascii"/>
          <w:sz w:val="21"/>
          <w:spacing w:val="27"/>
        </w:rPr>
        <w:t>的</w:t>
      </w:r>
      <w:r>
        <w:rPr>
          <w:rFonts w:ascii="Times New Roman" w:hAnsi="Times New Roman" w:cs="Times New Roman" w:eastAsia="Times New Roman" w:hint="ascii"/>
          <w:sz w:val="21"/>
        </w:rPr>
        <w:t>50.25%</w:t>
      </w:r>
      <w:r>
        <w:rPr>
          <w:rFonts w:ascii="宋体" w:hAnsi="宋体" w:cs="宋体" w:eastAsia="宋体" w:hint="ascii"/>
          <w:sz w:val="21"/>
        </w:rPr>
        <w:t>，</w:t>
      </w:r>
      <w:r>
        <w:rPr>
          <w:rFonts w:ascii="宋体" w:hAnsi="宋体" w:cs="宋体" w:eastAsia="宋体" w:hint="ascii"/>
          <w:sz w:val="21"/>
          <w:spacing w:val="5"/>
        </w:rPr>
        <w:t>其</w:t>
      </w:r>
      <w:r>
        <w:rPr>
          <w:rFonts w:ascii="宋体" w:hAnsi="宋体" w:cs="宋体" w:eastAsia="宋体" w:hint="ascii"/>
          <w:sz w:val="21"/>
          <w:spacing w:val="4"/>
        </w:rPr>
        <w:t>后依</w:t>
      </w:r>
      <w:r>
        <w:rPr>
          <w:rFonts w:ascii="宋体" w:hAnsi="宋体" w:cs="宋体" w:eastAsia="宋体" w:hint="ascii"/>
          <w:sz w:val="21"/>
          <w:spacing w:val="5"/>
        </w:rPr>
        <w:t>次</w:t>
      </w:r>
      <w:r>
        <w:rPr>
          <w:rFonts w:ascii="宋体" w:hAnsi="宋体" w:cs="宋体" w:eastAsia="宋体" w:hint="ascii"/>
          <w:sz w:val="21"/>
          <w:spacing w:val="4"/>
        </w:rPr>
        <w:t>为</w:t>
      </w:r>
      <w:r>
        <w:rPr>
          <w:rFonts w:ascii="宋体" w:hAnsi="宋体" w:cs="宋体" w:eastAsia="宋体" w:hint="ascii"/>
          <w:sz w:val="21"/>
          <w:spacing w:val="5"/>
        </w:rPr>
        <w:t>能</w:t>
      </w:r>
      <w:r>
        <w:rPr>
          <w:rFonts w:ascii="宋体" w:hAnsi="宋体" w:cs="宋体" w:eastAsia="宋体" w:hint="ascii"/>
          <w:sz w:val="21"/>
          <w:spacing w:val="4"/>
        </w:rPr>
        <w:t>量代</w:t>
      </w:r>
      <w:r>
        <w:rPr>
          <w:rFonts w:ascii="宋体" w:hAnsi="宋体" w:cs="宋体" w:eastAsia="宋体" w:hint="ascii"/>
          <w:sz w:val="21"/>
          <w:spacing w:val="5"/>
        </w:rPr>
        <w:t>谢</w:t>
      </w:r>
      <w:r>
        <w:rPr>
          <w:rFonts w:ascii="宋体" w:hAnsi="宋体" w:cs="宋体" w:eastAsia="宋体" w:hint="ascii"/>
          <w:sz w:val="21"/>
          <w:spacing w:val="4"/>
        </w:rPr>
        <w:t>、</w:t>
      </w:r>
      <w:r>
        <w:rPr>
          <w:rFonts w:ascii="宋体" w:hAnsi="宋体" w:cs="宋体" w:eastAsia="宋体" w:hint="ascii"/>
          <w:sz w:val="21"/>
          <w:spacing w:val="5"/>
        </w:rPr>
        <w:t>肥</w:t>
      </w:r>
      <w:r>
        <w:rPr>
          <w:rFonts w:ascii="宋体" w:hAnsi="宋体" w:cs="宋体" w:eastAsia="宋体" w:hint="ascii"/>
          <w:sz w:val="21"/>
          <w:spacing w:val="4"/>
        </w:rPr>
        <w:t>胖方</w:t>
      </w:r>
      <w:r>
        <w:rPr>
          <w:rFonts w:ascii="宋体" w:hAnsi="宋体" w:cs="宋体" w:eastAsia="宋体" w:hint="ascii"/>
          <w:sz w:val="21"/>
          <w:spacing w:val="5"/>
        </w:rPr>
        <w:t>面</w:t>
      </w:r>
      <w:r>
        <w:rPr>
          <w:rFonts w:ascii="宋体" w:hAnsi="宋体" w:cs="宋体" w:eastAsia="宋体" w:hint="ascii"/>
          <w:sz w:val="21"/>
          <w:spacing w:val="4"/>
        </w:rPr>
        <w:t>的</w:t>
      </w:r>
      <w:r>
        <w:rPr>
          <w:rFonts w:ascii="宋体" w:hAnsi="宋体" w:cs="宋体" w:eastAsia="宋体" w:hint="ascii"/>
          <w:sz w:val="21"/>
          <w:spacing w:val="5"/>
        </w:rPr>
        <w:t>研</w:t>
      </w:r>
      <w:r>
        <w:rPr>
          <w:rFonts w:ascii="宋体" w:hAnsi="宋体" w:cs="宋体" w:eastAsia="宋体" w:hint="ascii"/>
          <w:sz w:val="21"/>
          <w:spacing w:val="4"/>
        </w:rPr>
        <w:t>究（</w:t>
      </w:r>
      <w:r>
        <w:rPr>
          <w:rFonts w:ascii="Times New Roman" w:hAnsi="Times New Roman" w:cs="Times New Roman" w:eastAsia="Times New Roman" w:hint="ascii"/>
          <w:sz w:val="21"/>
        </w:rPr>
        <w:t>19.53</w:t>
      </w:r>
      <w:r>
        <w:rPr>
          <w:rFonts w:ascii="Times New Roman" w:hAnsi="Times New Roman" w:cs="Times New Roman" w:eastAsia="Times New Roman" w:hint="ascii"/>
          <w:sz w:val="21"/>
          <w:spacing w:val="9"/>
        </w:rPr>
        <w:t>%</w:t>
      </w:r>
      <w:r>
        <w:rPr>
          <w:rFonts w:ascii="宋体" w:hAnsi="宋体" w:cs="宋体" w:eastAsia="宋体" w:hint="ascii"/>
          <w:sz w:val="21"/>
          <w:spacing w:val="-48"/>
        </w:rPr>
        <w:t>）</w:t>
      </w:r>
      <w:r>
        <w:rPr>
          <w:rFonts w:ascii="宋体" w:hAnsi="宋体" w:cs="宋体" w:eastAsia="宋体" w:hint="ascii"/>
          <w:sz w:val="21"/>
          <w:spacing w:val="5"/>
        </w:rPr>
        <w:t>，</w:t>
      </w:r>
      <w:r>
        <w:rPr>
          <w:rFonts w:ascii="宋体" w:hAnsi="宋体" w:cs="宋体" w:eastAsia="宋体" w:hint="ascii"/>
          <w:sz w:val="21"/>
          <w:spacing w:val="4"/>
        </w:rPr>
        <w:t>骨转换</w:t>
      </w:r>
      <w:r>
        <w:rPr>
          <w:rFonts w:ascii="宋体" w:hAnsi="宋体" w:cs="宋体" w:eastAsia="宋体" w:hint="ascii"/>
          <w:sz w:val="21"/>
          <w:spacing w:val="5"/>
        </w:rPr>
        <w:t>、</w:t>
      </w:r>
      <w:r>
        <w:rPr>
          <w:rFonts w:ascii="宋体" w:hAnsi="宋体" w:cs="宋体" w:eastAsia="宋体" w:hint="ascii"/>
          <w:sz w:val="21"/>
          <w:spacing w:val="4"/>
        </w:rPr>
        <w:t>骨代</w:t>
      </w:r>
      <w:r>
        <w:rPr>
          <w:rFonts w:ascii="宋体" w:hAnsi="宋体" w:cs="宋体" w:eastAsia="宋体" w:hint="ascii"/>
          <w:sz w:val="21"/>
          <w:spacing w:val="5"/>
        </w:rPr>
        <w:t>谢</w:t>
      </w:r>
      <w:r>
        <w:rPr>
          <w:rFonts w:ascii="宋体" w:hAnsi="宋体" w:cs="宋体" w:eastAsia="宋体" w:hint="ascii"/>
          <w:sz w:val="21"/>
          <w:spacing w:val="4"/>
        </w:rPr>
        <w:t>异</w:t>
      </w:r>
      <w:r>
        <w:rPr>
          <w:rFonts w:ascii="宋体" w:hAnsi="宋体" w:cs="宋体" w:eastAsia="宋体" w:hint="ascii"/>
          <w:sz w:val="21"/>
          <w:spacing w:val="5"/>
        </w:rPr>
        <w:t>常</w:t>
      </w:r>
      <w:r>
        <w:rPr>
          <w:rFonts w:ascii="宋体" w:hAnsi="宋体" w:cs="宋体" w:eastAsia="宋体" w:hint="ascii"/>
          <w:sz w:val="21"/>
          <w:spacing w:val="4"/>
        </w:rPr>
        <w:t>和骨质疏</w:t>
      </w:r>
      <w:r>
        <w:rPr>
          <w:rFonts w:ascii="宋体" w:hAnsi="宋体" w:cs="宋体" w:eastAsia="宋体" w:hint="ascii"/>
          <w:sz w:val="21"/>
        </w:rPr>
        <w:t>松（</w:t>
      </w:r>
      <w:r>
        <w:rPr>
          <w:rFonts w:ascii="Times New Roman" w:hAnsi="Times New Roman" w:cs="Times New Roman" w:eastAsia="Times New Roman" w:hint="ascii"/>
          <w:sz w:val="21"/>
        </w:rPr>
        <w:t>10.01%</w:t>
      </w:r>
      <w:r>
        <w:rPr>
          <w:rFonts w:ascii="宋体" w:hAnsi="宋体" w:cs="宋体" w:eastAsia="宋体" w:hint="ascii"/>
          <w:sz w:val="21"/>
          <w:spacing w:val="-52"/>
        </w:rPr>
        <w:t>）</w:t>
      </w:r>
      <w:r>
        <w:rPr>
          <w:rFonts w:ascii="宋体" w:hAnsi="宋体" w:cs="宋体" w:eastAsia="宋体" w:hint="ascii"/>
          <w:sz w:val="21"/>
        </w:rPr>
        <w:t>，甲状腺疾病（</w:t>
      </w:r>
      <w:r>
        <w:rPr>
          <w:rFonts w:ascii="Times New Roman" w:hAnsi="Times New Roman" w:cs="Times New Roman" w:eastAsia="Times New Roman" w:hint="ascii"/>
          <w:sz w:val="21"/>
        </w:rPr>
        <w:t>6.26%</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spacing w:val="27"/>
        </w:rPr>
        <w:t>与</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6</w:t>
      </w:r>
      <w:r>
        <w:rPr>
          <w:rFonts w:ascii="宋体" w:hAnsi="宋体" w:cs="宋体" w:eastAsia="宋体" w:hint="ascii"/>
          <w:sz w:val="21"/>
        </w:rPr>
        <w:t>年度基本持平。</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7</w:t>
      </w:r>
      <w:r>
        <w:rPr>
          <w:rFonts w:ascii="宋体" w:hAnsi="宋体" w:cs="宋体" w:eastAsia="宋体" w:hint="ascii"/>
          <w:sz w:val="21"/>
        </w:rPr>
        <w:t>年申报数量较少的研究领域仍旧集中在水、电解质代谢障碍及酸碱平衡异常，氨基酸代谢异常，肾上腺发育及结构异常，甲状腺和甲状旁腺移植及钙磷代谢异常等方面。针对上述研究领域将继续予</w:t>
      </w:r>
    </w:p>
    <w:p>
      <w:pPr>
        <w:autoSpaceDE w:val="0"/>
        <w:autoSpaceDN w:val="0"/>
        <w:jc w:val="left"/>
        <w:spacing w:before="40" w:after="0" w:lineRule="exact" w:line="263"/>
        <w:ind w:right="0" w:left="104" w:firstLine="0"/>
        <w:snapToGrid w:val="0"/>
        <w:textAlignment w:val="auto"/>
        <w:tabs/>
        <w:rPr>
          <w:rFonts w:ascii="宋体" w:hAnsi="宋体" w:cs="宋体" w:eastAsia="宋体" w:hint="ascii"/>
          <w:sz w:val="21"/>
        </w:rPr>
      </w:pPr>
      <w:r>
        <w:rPr>
          <w:rFonts w:ascii="宋体" w:hAnsi="宋体" w:cs="宋体" w:eastAsia="宋体" w:hint="ascii"/>
          <w:sz w:val="21"/>
        </w:rPr>
        <w:t>以关注和重点支持。</w:t>
      </w:r>
    </w:p>
    <w:p>
      <w:pPr>
        <w:autoSpaceDE w:val="0"/>
        <w:autoSpaceDN w:val="0"/>
        <w:jc w:val="left"/>
        <w:spacing w:before="41" w:after="0" w:lineRule="exact" w:line="467"/>
        <w:ind w:right="975" w:left="524" w:firstLine="0"/>
        <w:snapToGrid w:val="0"/>
        <w:textAlignment w:val="auto"/>
        <w:tabs/>
        <w:rPr>
          <w:rFonts w:ascii="宋体" w:hAnsi="宋体" w:cs="宋体" w:eastAsia="宋体" w:hint="ascii"/>
          <w:sz w:val="21"/>
        </w:rPr>
      </w:pPr>
      <w:r>
        <w:rPr>
          <w:rFonts w:ascii="宋体" w:hAnsi="宋体" w:cs="宋体" w:eastAsia="宋体" w:hint="ascii"/>
        </w:rPr>
        <w:t>眼科学（</w:t>
      </w:r>
      <w:r>
        <w:rPr>
          <w:rFonts w:ascii="Times New Roman" w:hAnsi="Times New Roman" w:cs="Times New Roman" w:eastAsia="Times New Roman" w:hint="ascii"/>
          <w:b w:val="1"/>
        </w:rPr>
        <w:t>H12</w:t>
      </w:r>
      <w:r>
        <w:rPr>
          <w:rFonts w:ascii="宋体" w:hAnsi="宋体" w:cs="宋体" w:eastAsia="宋体" w:hint="ascii"/>
          <w:spacing w:val="-60"/>
        </w:rPr>
        <w:t>）</w:t>
      </w:r>
      <w:r>
        <w:rPr>
          <w:rFonts w:ascii="宋体" w:hAnsi="宋体" w:cs="宋体" w:eastAsia="宋体" w:hint="ascii"/>
        </w:rPr>
        <w:t>、耳鼻咽喉头颈科学（</w:t>
      </w:r>
      <w:r>
        <w:rPr>
          <w:rFonts w:ascii="Times New Roman" w:hAnsi="Times New Roman" w:cs="Times New Roman" w:eastAsia="Times New Roman" w:hint="ascii"/>
          <w:b w:val="1"/>
        </w:rPr>
        <w:t>H13</w:t>
      </w:r>
      <w:r>
        <w:rPr>
          <w:rFonts w:ascii="宋体" w:hAnsi="宋体" w:cs="宋体" w:eastAsia="宋体" w:hint="ascii"/>
        </w:rPr>
        <w:t>）及口腔颅颌面科学（</w:t>
      </w:r>
      <w:r>
        <w:rPr>
          <w:rFonts w:ascii="Times New Roman" w:hAnsi="Times New Roman" w:cs="Times New Roman" w:eastAsia="Times New Roman" w:hint="ascii"/>
          <w:b w:val="1"/>
        </w:rPr>
        <w:t>H14</w:t>
      </w:r>
      <w:r>
        <w:rPr>
          <w:rFonts w:ascii="宋体" w:hAnsi="宋体" w:cs="宋体" w:eastAsia="宋体" w:hint="ascii"/>
        </w:rPr>
        <w:t>）</w:t>
      </w:r>
      <w:r>
        <w:rPr>
          <w:rFonts w:ascii="宋体" w:hAnsi="宋体" w:cs="宋体" w:eastAsia="宋体" w:hint="ascii"/>
          <w:sz w:val="21"/>
          <w:spacing w:val="-1"/>
        </w:rPr>
        <w:t>主要资助</w:t>
      </w:r>
      <w:r>
        <w:rPr>
          <w:rFonts w:ascii="宋体" w:hAnsi="宋体" w:cs="宋体" w:eastAsia="宋体" w:hint="ascii"/>
          <w:sz w:val="21"/>
        </w:rPr>
        <w:t>相关领域非肿瘤性疾病的相关研究。眼科学主要资助包括眼科炎症性、免</w:t>
      </w:r>
    </w:p>
    <w:p>
      <w:pPr>
        <w:autoSpaceDE w:val="0"/>
        <w:autoSpaceDN w:val="0"/>
        <w:jc w:val="left"/>
        <w:spacing w:before="9" w:after="0" w:lineRule="exact" w:line="263"/>
        <w:ind w:right="0" w:left="104" w:firstLine="0"/>
        <w:snapToGrid w:val="0"/>
        <w:textAlignment w:val="auto"/>
        <w:tabs/>
        <w:rPr>
          <w:rFonts w:ascii="宋体" w:hAnsi="宋体" w:cs="宋体" w:eastAsia="宋体" w:hint="ascii"/>
          <w:sz w:val="21"/>
        </w:rPr>
      </w:pPr>
      <w:r>
        <w:rPr>
          <w:rFonts w:ascii="宋体" w:hAnsi="宋体" w:cs="宋体" w:eastAsia="宋体" w:hint="ascii"/>
          <w:sz w:val="21"/>
        </w:rPr>
        <w:t>疫性、遗传性、变性及新生血管性疾病等领域的相关研究。</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年度眼科学研究领域</w:t>
      </w:r>
    </w:p>
    <w:p>
      <w:pPr>
        <w:autoSpaceDE w:val="0"/>
        <w:autoSpaceDN w:val="0"/>
        <w:jc w:val="both"/>
        <w:spacing w:before="10" w:after="0" w:lineRule="exact" w:line="312"/>
        <w:ind w:right="975" w:left="104" w:firstLine="0"/>
        <w:snapToGrid w:val="0"/>
        <w:textAlignment w:val="auto"/>
        <w:tabs/>
        <w:rPr>
          <w:rFonts w:ascii="宋体" w:hAnsi="宋体" w:cs="宋体" w:eastAsia="宋体" w:hint="ascii"/>
          <w:sz w:val="21"/>
        </w:rPr>
      </w:pPr>
      <w:r>
        <w:rPr>
          <w:rFonts w:ascii="宋体" w:hAnsi="宋体" w:cs="宋体" w:eastAsia="宋体" w:hint="ascii"/>
          <w:sz w:val="21"/>
        </w:rPr>
        <w:t>项目申请量较</w:t>
      </w:r>
      <w:r>
        <w:rPr>
          <w:rFonts w:ascii="宋体" w:hAnsi="宋体" w:cs="宋体" w:eastAsia="宋体" w:hint="ascii"/>
          <w:sz w:val="21"/>
          <w:spacing w:val="-26"/>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年度增长</w:t>
      </w:r>
      <w:r>
        <w:rPr>
          <w:rFonts w:ascii="宋体" w:hAnsi="宋体" w:cs="宋体" w:eastAsia="宋体" w:hint="ascii"/>
          <w:sz w:val="21"/>
          <w:spacing w:val="-26"/>
        </w:rPr>
        <w:t xml:space="preserve"> </w:t>
      </w:r>
      <w:r>
        <w:rPr>
          <w:rFonts w:ascii="Times New Roman" w:hAnsi="Times New Roman" w:cs="Times New Roman" w:eastAsia="Times New Roman" w:hint="ascii"/>
          <w:sz w:val="21"/>
        </w:rPr>
        <w:t>14.8%</w:t>
      </w:r>
      <w:r>
        <w:rPr>
          <w:rFonts w:ascii="宋体" w:hAnsi="宋体" w:cs="宋体" w:eastAsia="宋体" w:hint="ascii"/>
          <w:sz w:val="21"/>
        </w:rPr>
        <w:t>，申报项目中眼底病仍然是眼科学研究最集中的领域（</w:t>
      </w:r>
      <w:r>
        <w:rPr>
          <w:rFonts w:ascii="Times New Roman" w:hAnsi="Times New Roman" w:cs="Times New Roman" w:eastAsia="Times New Roman" w:hint="ascii"/>
          <w:sz w:val="21"/>
        </w:rPr>
        <w:t>32.3%</w:t>
      </w:r>
      <w:r>
        <w:rPr>
          <w:rFonts w:ascii="宋体" w:hAnsi="宋体" w:cs="宋体" w:eastAsia="宋体" w:hint="ascii"/>
          <w:sz w:val="21"/>
          <w:spacing w:val="-53"/>
        </w:rPr>
        <w:t>）</w:t>
      </w:r>
      <w:r>
        <w:rPr>
          <w:rFonts w:ascii="宋体" w:hAnsi="宋体" w:cs="宋体" w:eastAsia="宋体" w:hint="ascii"/>
          <w:sz w:val="21"/>
        </w:rPr>
        <w:t>，其次为角膜疾病（</w:t>
      </w:r>
      <w:r>
        <w:rPr>
          <w:rFonts w:ascii="Times New Roman" w:hAnsi="Times New Roman" w:cs="Times New Roman" w:eastAsia="Times New Roman" w:hint="ascii"/>
          <w:sz w:val="21"/>
        </w:rPr>
        <w:t>16.0%</w:t>
      </w:r>
      <w:r>
        <w:rPr>
          <w:rFonts w:ascii="宋体" w:hAnsi="宋体" w:cs="宋体" w:eastAsia="宋体" w:hint="ascii"/>
          <w:sz w:val="21"/>
          <w:spacing w:val="-53"/>
        </w:rPr>
        <w:t>）</w:t>
      </w:r>
      <w:r>
        <w:rPr>
          <w:rFonts w:ascii="宋体" w:hAnsi="宋体" w:cs="宋体" w:eastAsia="宋体" w:hint="ascii"/>
          <w:sz w:val="21"/>
        </w:rPr>
        <w:t>，青光眼、视神经及视路疾病（</w:t>
      </w:r>
      <w:r>
        <w:rPr>
          <w:rFonts w:ascii="Times New Roman" w:hAnsi="Times New Roman" w:cs="Times New Roman" w:eastAsia="Times New Roman" w:hint="ascii"/>
          <w:sz w:val="21"/>
        </w:rPr>
        <w:t>15.5%</w:t>
      </w:r>
      <w:r>
        <w:rPr>
          <w:rFonts w:ascii="宋体" w:hAnsi="宋体" w:cs="宋体" w:eastAsia="宋体" w:hint="ascii"/>
          <w:sz w:val="21"/>
        </w:rPr>
        <w:t>）和视光疾病（</w:t>
      </w:r>
      <w:r>
        <w:rPr>
          <w:rFonts w:ascii="Times New Roman" w:hAnsi="Times New Roman" w:cs="Times New Roman" w:eastAsia="Times New Roman" w:hint="ascii"/>
          <w:sz w:val="21"/>
        </w:rPr>
        <w:t>9.6%</w:t>
      </w:r>
      <w:r>
        <w:rPr>
          <w:rFonts w:ascii="宋体" w:hAnsi="宋体" w:cs="宋体" w:eastAsia="宋体" w:hint="ascii"/>
          <w:sz w:val="21"/>
          <w:spacing w:val="-53"/>
        </w:rPr>
        <w:t>）</w:t>
      </w:r>
      <w:r>
        <w:rPr>
          <w:rFonts w:ascii="宋体" w:hAnsi="宋体" w:cs="宋体" w:eastAsia="宋体" w:hint="ascii"/>
          <w:sz w:val="21"/>
        </w:rPr>
        <w:t>。糖尿</w:t>
      </w:r>
      <w:r>
        <w:rPr>
          <w:rFonts w:ascii="宋体" w:hAnsi="宋体" w:cs="宋体" w:eastAsia="宋体" w:hint="ascii"/>
          <w:sz w:val="21"/>
          <w:spacing w:val="-12"/>
        </w:rPr>
        <w:t>病</w:t>
      </w:r>
      <w:r>
        <w:rPr>
          <w:rFonts w:ascii="宋体" w:hAnsi="宋体" w:cs="宋体" w:eastAsia="宋体" w:hint="ascii"/>
          <w:sz w:val="21"/>
        </w:rPr>
        <w:t>视网膜病变、视网膜</w:t>
      </w:r>
      <w:r>
        <w:rPr>
          <w:rFonts w:ascii="Times New Roman" w:hAnsi="Times New Roman" w:cs="Times New Roman" w:eastAsia="Times New Roman" w:hint="ascii"/>
          <w:sz w:val="21"/>
        </w:rPr>
        <w:t>/</w:t>
      </w:r>
      <w:r>
        <w:rPr>
          <w:rFonts w:ascii="宋体" w:hAnsi="宋体" w:cs="宋体" w:eastAsia="宋体" w:hint="ascii"/>
          <w:sz w:val="21"/>
        </w:rPr>
        <w:t>脉络膜新生血管、屈光不正和年龄相关性黄</w:t>
      </w:r>
      <w:r>
        <w:rPr>
          <w:rFonts w:ascii="宋体" w:hAnsi="宋体" w:cs="宋体" w:eastAsia="宋体" w:hint="ascii"/>
          <w:sz w:val="21"/>
          <w:spacing w:val="1"/>
        </w:rPr>
        <w:t>斑变性仍然是眼科学研</w:t>
      </w:r>
      <w:r>
        <w:rPr>
          <w:rFonts w:ascii="宋体" w:hAnsi="宋体" w:cs="宋体" w:eastAsia="宋体" w:hint="ascii"/>
          <w:sz w:val="21"/>
        </w:rPr>
        <w:t>究关注的热点问题。耳鼻咽喉头颈科学主要资助嗅觉、听觉</w:t>
      </w:r>
      <w:r>
        <w:rPr>
          <w:rFonts w:ascii="宋体" w:hAnsi="宋体" w:cs="宋体" w:eastAsia="宋体" w:hint="ascii"/>
          <w:sz w:val="21"/>
          <w:spacing w:val="-6"/>
        </w:rPr>
        <w:t>及</w:t>
      </w:r>
      <w:r>
        <w:rPr>
          <w:rFonts w:ascii="宋体" w:hAnsi="宋体" w:cs="宋体" w:eastAsia="宋体" w:hint="ascii"/>
          <w:sz w:val="21"/>
        </w:rPr>
        <w:t>鼻、</w:t>
      </w:r>
      <w:r>
        <w:rPr>
          <w:rFonts w:ascii="宋体" w:hAnsi="宋体" w:cs="宋体" w:eastAsia="宋体" w:hint="ascii"/>
          <w:sz w:val="21"/>
          <w:spacing w:val="-1"/>
        </w:rPr>
        <w:t>耳</w:t>
      </w:r>
      <w:r>
        <w:rPr>
          <w:rFonts w:ascii="宋体" w:hAnsi="宋体" w:cs="宋体" w:eastAsia="宋体" w:hint="ascii"/>
          <w:sz w:val="21"/>
        </w:rPr>
        <w:t>、</w:t>
      </w:r>
      <w:r>
        <w:rPr>
          <w:rFonts w:ascii="宋体" w:hAnsi="宋体" w:cs="宋体" w:eastAsia="宋体" w:hint="ascii"/>
          <w:sz w:val="21"/>
          <w:spacing w:val="-1"/>
        </w:rPr>
        <w:t>咽</w:t>
      </w:r>
      <w:r>
        <w:rPr>
          <w:rFonts w:ascii="宋体" w:hAnsi="宋体" w:cs="宋体" w:eastAsia="宋体" w:hint="ascii"/>
          <w:sz w:val="21"/>
        </w:rPr>
        <w:t>喉头</w:t>
      </w:r>
      <w:r>
        <w:rPr>
          <w:rFonts w:ascii="宋体" w:hAnsi="宋体" w:cs="宋体" w:eastAsia="宋体" w:hint="ascii"/>
          <w:sz w:val="21"/>
          <w:spacing w:val="-1"/>
        </w:rPr>
        <w:t>颈</w:t>
      </w:r>
      <w:r>
        <w:rPr>
          <w:rFonts w:ascii="宋体" w:hAnsi="宋体" w:cs="宋体" w:eastAsia="宋体" w:hint="ascii"/>
          <w:sz w:val="21"/>
        </w:rPr>
        <w:t>等</w:t>
      </w:r>
      <w:r>
        <w:rPr>
          <w:rFonts w:ascii="宋体" w:hAnsi="宋体" w:cs="宋体" w:eastAsia="宋体" w:hint="ascii"/>
          <w:sz w:val="21"/>
          <w:spacing w:val="-1"/>
        </w:rPr>
        <w:t>部</w:t>
      </w:r>
      <w:r>
        <w:rPr>
          <w:rFonts w:ascii="宋体" w:hAnsi="宋体" w:cs="宋体" w:eastAsia="宋体" w:hint="ascii"/>
          <w:sz w:val="21"/>
        </w:rPr>
        <w:t>位器</w:t>
      </w:r>
      <w:r>
        <w:rPr>
          <w:rFonts w:ascii="宋体" w:hAnsi="宋体" w:cs="宋体" w:eastAsia="宋体" w:hint="ascii"/>
          <w:sz w:val="21"/>
          <w:spacing w:val="-1"/>
        </w:rPr>
        <w:t>官</w:t>
      </w:r>
      <w:r>
        <w:rPr>
          <w:rFonts w:ascii="宋体" w:hAnsi="宋体" w:cs="宋体" w:eastAsia="宋体" w:hint="ascii"/>
          <w:sz w:val="21"/>
        </w:rPr>
        <w:t>结</w:t>
      </w:r>
      <w:r>
        <w:rPr>
          <w:rFonts w:ascii="宋体" w:hAnsi="宋体" w:cs="宋体" w:eastAsia="宋体" w:hint="ascii"/>
          <w:sz w:val="21"/>
          <w:spacing w:val="-1"/>
        </w:rPr>
        <w:t>构</w:t>
      </w:r>
      <w:r>
        <w:rPr>
          <w:rFonts w:ascii="宋体" w:hAnsi="宋体" w:cs="宋体" w:eastAsia="宋体" w:hint="ascii"/>
          <w:sz w:val="21"/>
        </w:rPr>
        <w:t>及功</w:t>
      </w:r>
      <w:r>
        <w:rPr>
          <w:rFonts w:ascii="宋体" w:hAnsi="宋体" w:cs="宋体" w:eastAsia="宋体" w:hint="ascii"/>
          <w:sz w:val="21"/>
          <w:spacing w:val="-1"/>
        </w:rPr>
        <w:t>能</w:t>
      </w:r>
      <w:r>
        <w:rPr>
          <w:rFonts w:ascii="宋体" w:hAnsi="宋体" w:cs="宋体" w:eastAsia="宋体" w:hint="ascii"/>
          <w:sz w:val="21"/>
        </w:rPr>
        <w:t>异</w:t>
      </w:r>
      <w:r>
        <w:rPr>
          <w:rFonts w:ascii="宋体" w:hAnsi="宋体" w:cs="宋体" w:eastAsia="宋体" w:hint="ascii"/>
          <w:sz w:val="21"/>
          <w:spacing w:val="-1"/>
        </w:rPr>
        <w:t>常</w:t>
      </w:r>
      <w:r>
        <w:rPr>
          <w:rFonts w:ascii="宋体" w:hAnsi="宋体" w:cs="宋体" w:eastAsia="宋体" w:hint="ascii"/>
          <w:sz w:val="21"/>
        </w:rPr>
        <w:t>和相</w:t>
      </w:r>
      <w:r>
        <w:rPr>
          <w:rFonts w:ascii="宋体" w:hAnsi="宋体" w:cs="宋体" w:eastAsia="宋体" w:hint="ascii"/>
          <w:sz w:val="21"/>
          <w:spacing w:val="-1"/>
        </w:rPr>
        <w:t>关</w:t>
      </w:r>
      <w:r>
        <w:rPr>
          <w:rFonts w:ascii="宋体" w:hAnsi="宋体" w:cs="宋体" w:eastAsia="宋体" w:hint="ascii"/>
          <w:sz w:val="21"/>
        </w:rPr>
        <w:t>非</w:t>
      </w:r>
      <w:r>
        <w:rPr>
          <w:rFonts w:ascii="宋体" w:hAnsi="宋体" w:cs="宋体" w:eastAsia="宋体" w:hint="ascii"/>
          <w:sz w:val="21"/>
          <w:spacing w:val="-1"/>
        </w:rPr>
        <w:t>肿</w:t>
      </w:r>
      <w:r>
        <w:rPr>
          <w:rFonts w:ascii="宋体" w:hAnsi="宋体" w:cs="宋体" w:eastAsia="宋体" w:hint="ascii"/>
          <w:sz w:val="21"/>
        </w:rPr>
        <w:t>瘤性</w:t>
      </w:r>
      <w:r>
        <w:rPr>
          <w:rFonts w:ascii="宋体" w:hAnsi="宋体" w:cs="宋体" w:eastAsia="宋体" w:hint="ascii"/>
          <w:sz w:val="21"/>
          <w:spacing w:val="-1"/>
        </w:rPr>
        <w:t>疾</w:t>
      </w:r>
      <w:r>
        <w:rPr>
          <w:rFonts w:ascii="宋体" w:hAnsi="宋体" w:cs="宋体" w:eastAsia="宋体" w:hint="ascii"/>
          <w:sz w:val="21"/>
        </w:rPr>
        <w:t>病</w:t>
      </w:r>
      <w:r>
        <w:rPr>
          <w:rFonts w:ascii="宋体" w:hAnsi="宋体" w:cs="宋体" w:eastAsia="宋体" w:hint="ascii"/>
          <w:sz w:val="21"/>
          <w:spacing w:val="-1"/>
        </w:rPr>
        <w:t>的</w:t>
      </w:r>
      <w:r>
        <w:rPr>
          <w:rFonts w:ascii="宋体" w:hAnsi="宋体" w:cs="宋体" w:eastAsia="宋体" w:hint="ascii"/>
          <w:sz w:val="21"/>
        </w:rPr>
        <w:t>研究，</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1"/>
        </w:rPr>
        <w:t xml:space="preserve"> </w:t>
      </w:r>
      <w:r>
        <w:rPr>
          <w:rFonts w:ascii="宋体" w:hAnsi="宋体" w:cs="宋体" w:eastAsia="宋体" w:hint="ascii"/>
          <w:sz w:val="21"/>
        </w:rPr>
        <w:t>年</w:t>
      </w:r>
      <w:r>
        <w:rPr>
          <w:rFonts w:ascii="宋体" w:hAnsi="宋体" w:cs="宋体" w:eastAsia="宋体" w:hint="ascii"/>
          <w:sz w:val="21"/>
          <w:spacing w:val="-4"/>
        </w:rPr>
        <w:t>度</w:t>
      </w:r>
      <w:r>
        <w:rPr>
          <w:rFonts w:ascii="宋体" w:hAnsi="宋体" w:cs="宋体" w:eastAsia="宋体" w:hint="ascii"/>
          <w:sz w:val="21"/>
        </w:rPr>
        <w:t>申请量</w:t>
      </w:r>
      <w:r>
        <w:rPr>
          <w:rFonts w:ascii="宋体" w:hAnsi="宋体" w:cs="宋体" w:eastAsia="宋体" w:hint="ascii"/>
          <w:sz w:val="21"/>
          <w:spacing w:val="25"/>
        </w:rPr>
        <w:t>较</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4"/>
        </w:rPr>
        <w:t>6</w:t>
      </w:r>
      <w:r>
        <w:rPr>
          <w:rFonts w:ascii="宋体" w:hAnsi="宋体" w:cs="宋体" w:eastAsia="宋体" w:hint="ascii"/>
          <w:sz w:val="21"/>
        </w:rPr>
        <w:t>年度增</w:t>
      </w:r>
      <w:r>
        <w:rPr>
          <w:rFonts w:ascii="宋体" w:hAnsi="宋体" w:cs="宋体" w:eastAsia="宋体" w:hint="ascii"/>
          <w:sz w:val="21"/>
          <w:spacing w:val="25"/>
        </w:rPr>
        <w:t>长</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rPr>
        <w:t>1.9%</w:t>
      </w:r>
      <w:r>
        <w:rPr>
          <w:rFonts w:ascii="宋体" w:hAnsi="宋体" w:cs="宋体" w:eastAsia="宋体" w:hint="ascii"/>
          <w:sz w:val="21"/>
        </w:rPr>
        <w:t>，目</w:t>
      </w:r>
      <w:r>
        <w:rPr>
          <w:rFonts w:ascii="宋体" w:hAnsi="宋体" w:cs="宋体" w:eastAsia="宋体" w:hint="ascii"/>
          <w:sz w:val="21"/>
          <w:spacing w:val="-1"/>
        </w:rPr>
        <w:t>前</w:t>
      </w:r>
      <w:r>
        <w:rPr>
          <w:rFonts w:ascii="宋体" w:hAnsi="宋体" w:cs="宋体" w:eastAsia="宋体" w:hint="ascii"/>
          <w:sz w:val="21"/>
        </w:rPr>
        <w:t>申请仍</w:t>
      </w:r>
      <w:r>
        <w:rPr>
          <w:rFonts w:ascii="宋体" w:hAnsi="宋体" w:cs="宋体" w:eastAsia="宋体" w:hint="ascii"/>
          <w:sz w:val="21"/>
          <w:spacing w:val="-1"/>
        </w:rPr>
        <w:t>集中</w:t>
      </w:r>
      <w:r>
        <w:rPr>
          <w:rFonts w:ascii="宋体" w:hAnsi="宋体" w:cs="宋体" w:eastAsia="宋体" w:hint="ascii"/>
          <w:sz w:val="21"/>
        </w:rPr>
        <w:t>于听觉</w:t>
      </w:r>
      <w:r>
        <w:rPr>
          <w:rFonts w:ascii="宋体" w:hAnsi="宋体" w:cs="宋体" w:eastAsia="宋体" w:hint="ascii"/>
          <w:sz w:val="21"/>
          <w:spacing w:val="-1"/>
        </w:rPr>
        <w:t>异常</w:t>
      </w:r>
      <w:r>
        <w:rPr>
          <w:rFonts w:ascii="宋体" w:hAnsi="宋体" w:cs="宋体" w:eastAsia="宋体" w:hint="ascii"/>
          <w:sz w:val="21"/>
        </w:rPr>
        <w:t>与平衡</w:t>
      </w:r>
      <w:r>
        <w:rPr>
          <w:rFonts w:ascii="宋体" w:hAnsi="宋体" w:cs="宋体" w:eastAsia="宋体" w:hint="ascii"/>
          <w:sz w:val="21"/>
          <w:spacing w:val="-1"/>
        </w:rPr>
        <w:t>障碍</w:t>
      </w:r>
      <w:r>
        <w:rPr>
          <w:rFonts w:ascii="宋体" w:hAnsi="宋体" w:cs="宋体" w:eastAsia="宋体" w:hint="ascii"/>
          <w:sz w:val="21"/>
        </w:rPr>
        <w:t>（</w:t>
      </w:r>
      <w:r>
        <w:rPr>
          <w:rFonts w:ascii="Times New Roman" w:hAnsi="Times New Roman" w:cs="Times New Roman" w:eastAsia="Times New Roman" w:hint="ascii"/>
          <w:sz w:val="21"/>
        </w:rPr>
        <w:t>41.18%</w:t>
      </w:r>
      <w:r>
        <w:rPr>
          <w:rFonts w:ascii="宋体" w:hAnsi="宋体" w:cs="宋体" w:eastAsia="宋体" w:hint="ascii"/>
          <w:sz w:val="21"/>
          <w:spacing w:val="-53"/>
        </w:rPr>
        <w:t>）</w:t>
      </w:r>
      <w:r>
        <w:rPr>
          <w:rFonts w:ascii="宋体" w:hAnsi="宋体" w:cs="宋体" w:eastAsia="宋体" w:hint="ascii"/>
          <w:sz w:val="21"/>
        </w:rPr>
        <w:t>，</w:t>
      </w:r>
      <w:r>
        <w:rPr>
          <w:rFonts w:ascii="宋体" w:hAnsi="宋体" w:cs="宋体" w:eastAsia="宋体" w:hint="ascii"/>
          <w:sz w:val="21"/>
          <w:spacing w:val="-2"/>
        </w:rPr>
        <w:t>嗅</w:t>
      </w:r>
      <w:r>
        <w:rPr>
          <w:rFonts w:ascii="宋体" w:hAnsi="宋体" w:cs="宋体" w:eastAsia="宋体" w:hint="ascii"/>
          <w:sz w:val="21"/>
        </w:rPr>
        <w:t>觉、鼻及前颅底疾病（</w:t>
      </w:r>
      <w:r>
        <w:rPr>
          <w:rFonts w:ascii="Times New Roman" w:hAnsi="Times New Roman" w:cs="Times New Roman" w:eastAsia="Times New Roman" w:hint="ascii"/>
          <w:sz w:val="21"/>
        </w:rPr>
        <w:t>27.17%</w:t>
      </w:r>
      <w:r>
        <w:rPr>
          <w:rFonts w:ascii="宋体" w:hAnsi="宋体" w:cs="宋体" w:eastAsia="宋体" w:hint="ascii"/>
          <w:sz w:val="21"/>
        </w:rPr>
        <w:t>）和咽喉及颈部疾病（</w:t>
      </w:r>
      <w:r>
        <w:rPr>
          <w:rFonts w:ascii="Times New Roman" w:hAnsi="Times New Roman" w:cs="Times New Roman" w:eastAsia="Times New Roman" w:hint="ascii"/>
          <w:sz w:val="21"/>
        </w:rPr>
        <w:t>9.77%</w:t>
      </w:r>
      <w:r>
        <w:rPr>
          <w:rFonts w:ascii="宋体" w:hAnsi="宋体" w:cs="宋体" w:eastAsia="宋体" w:hint="ascii"/>
          <w:sz w:val="21"/>
        </w:rPr>
        <w:t>）三个领域。听觉障碍机制</w:t>
      </w:r>
      <w:r>
        <w:rPr>
          <w:rFonts w:ascii="宋体" w:hAnsi="宋体" w:cs="宋体" w:eastAsia="宋体" w:hint="ascii"/>
          <w:sz w:val="21"/>
          <w:spacing w:val="-1"/>
        </w:rPr>
        <w:t>及听力修</w:t>
      </w:r>
      <w:r>
        <w:rPr>
          <w:rFonts w:ascii="宋体" w:hAnsi="宋体" w:cs="宋体" w:eastAsia="宋体" w:hint="ascii"/>
          <w:sz w:val="21"/>
        </w:rPr>
        <w:t>复相关研究是耳科学关注的重点问题，包括各种类型耳聋的遗传学及分子发病</w:t>
      </w:r>
      <w:r>
        <w:rPr>
          <w:rFonts w:ascii="宋体" w:hAnsi="宋体" w:cs="宋体" w:eastAsia="宋体" w:hint="ascii"/>
          <w:sz w:val="21"/>
          <w:spacing w:val="-1"/>
        </w:rPr>
        <w:t>机制研究</w:t>
      </w:r>
      <w:r>
        <w:rPr>
          <w:rFonts w:ascii="宋体" w:hAnsi="宋体" w:cs="宋体" w:eastAsia="宋体" w:hint="ascii"/>
          <w:sz w:val="21"/>
        </w:rPr>
        <w:t>，以及听觉损伤信号通路的相关研究等。鼻科学研究主要集中在针对影响鼻炎</w:t>
      </w:r>
      <w:r>
        <w:rPr>
          <w:rFonts w:ascii="宋体" w:hAnsi="宋体" w:cs="宋体" w:eastAsia="宋体" w:hint="ascii"/>
          <w:sz w:val="21"/>
          <w:spacing w:val="-1"/>
        </w:rPr>
        <w:t>鼻窦炎发</w:t>
      </w:r>
      <w:r>
        <w:rPr>
          <w:rFonts w:ascii="宋体" w:hAnsi="宋体" w:cs="宋体" w:eastAsia="宋体" w:hint="ascii"/>
          <w:sz w:val="21"/>
        </w:rPr>
        <w:t>生发展机制及过敏性鼻炎的发病机制和免疫治疗探讨。咽喉疾病集中在发音障</w:t>
      </w:r>
      <w:r>
        <w:rPr>
          <w:rFonts w:ascii="宋体" w:hAnsi="宋体" w:cs="宋体" w:eastAsia="宋体" w:hint="ascii"/>
          <w:sz w:val="21"/>
          <w:spacing w:val="-1"/>
        </w:rPr>
        <w:t>碍及功能</w:t>
      </w:r>
      <w:r>
        <w:rPr>
          <w:rFonts w:ascii="宋体" w:hAnsi="宋体" w:cs="宋体" w:eastAsia="宋体" w:hint="ascii"/>
          <w:sz w:val="21"/>
        </w:rPr>
        <w:t>重建等方面，阻塞性呼吸睡眠暂停综合征也是一个受关注的研究领域。听觉发</w:t>
      </w:r>
      <w:r>
        <w:rPr>
          <w:rFonts w:ascii="宋体" w:hAnsi="宋体" w:cs="宋体" w:eastAsia="宋体" w:hint="ascii"/>
          <w:sz w:val="21"/>
          <w:spacing w:val="-1"/>
        </w:rPr>
        <w:t>育与退变</w:t>
      </w:r>
      <w:r>
        <w:rPr>
          <w:rFonts w:ascii="宋体" w:hAnsi="宋体" w:cs="宋体" w:eastAsia="宋体" w:hint="ascii"/>
          <w:sz w:val="21"/>
        </w:rPr>
        <w:t>、耳鸣、声敏感、眩晕及嗅觉障碍的发生机制及干预研究是重要的研究方向，</w:t>
      </w:r>
      <w:r>
        <w:rPr>
          <w:rFonts w:ascii="宋体" w:hAnsi="宋体" w:cs="宋体" w:eastAsia="宋体" w:hint="ascii"/>
          <w:sz w:val="21"/>
          <w:spacing w:val="-1"/>
        </w:rPr>
        <w:t>将予以高</w:t>
      </w:r>
      <w:r>
        <w:rPr>
          <w:rFonts w:ascii="宋体" w:hAnsi="宋体" w:cs="宋体" w:eastAsia="宋体" w:hint="ascii"/>
          <w:sz w:val="21"/>
        </w:rPr>
        <w:t>强度面上项目支持。口腔颅颌面科学主要资助颅颌面组织器官结构和功能异常及相关非肿瘤性疾病的研究。</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年度项目申请量</w:t>
      </w:r>
      <w:r>
        <w:rPr>
          <w:rFonts w:ascii="宋体" w:hAnsi="宋体" w:cs="宋体" w:eastAsia="宋体" w:hint="ascii"/>
          <w:sz w:val="21"/>
          <w:spacing w:val="15"/>
        </w:rPr>
        <w:t>比</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年度增</w:t>
      </w:r>
      <w:r>
        <w:rPr>
          <w:rFonts w:ascii="宋体" w:hAnsi="宋体" w:cs="宋体" w:eastAsia="宋体" w:hint="ascii"/>
          <w:sz w:val="21"/>
          <w:spacing w:val="15"/>
        </w:rPr>
        <w:t>长</w:t>
      </w:r>
      <w:r>
        <w:rPr>
          <w:rFonts w:ascii="Times New Roman" w:hAnsi="Times New Roman" w:cs="Times New Roman" w:eastAsia="Times New Roman" w:hint="ascii"/>
          <w:sz w:val="21"/>
        </w:rPr>
        <w:t>19.7%</w:t>
      </w:r>
      <w:r>
        <w:rPr>
          <w:rFonts w:ascii="宋体" w:hAnsi="宋体" w:cs="宋体" w:eastAsia="宋体" w:hint="ascii"/>
          <w:sz w:val="21"/>
        </w:rPr>
        <w:t>，本年度口腔颅颌面科学项目申请仍集中于牙周及口腔黏膜疾病（</w:t>
      </w:r>
      <w:r>
        <w:rPr>
          <w:rFonts w:ascii="Times New Roman" w:hAnsi="Times New Roman" w:cs="Times New Roman" w:eastAsia="Times New Roman" w:hint="ascii"/>
          <w:sz w:val="21"/>
        </w:rPr>
        <w:t>18.6</w:t>
      </w:r>
      <w:r>
        <w:rPr>
          <w:rFonts w:ascii="Times New Roman" w:hAnsi="Times New Roman" w:cs="Times New Roman" w:eastAsia="Times New Roman" w:hint="ascii"/>
          <w:sz w:val="21"/>
          <w:spacing w:val="5"/>
        </w:rPr>
        <w:t>%</w:t>
      </w:r>
      <w:r>
        <w:rPr>
          <w:rFonts w:ascii="宋体" w:hAnsi="宋体" w:cs="宋体" w:eastAsia="宋体" w:hint="ascii"/>
          <w:sz w:val="21"/>
          <w:spacing w:val="-53"/>
        </w:rPr>
        <w:t>）</w:t>
      </w:r>
      <w:r>
        <w:rPr>
          <w:rFonts w:ascii="宋体" w:hAnsi="宋体" w:cs="宋体" w:eastAsia="宋体" w:hint="ascii"/>
          <w:sz w:val="21"/>
        </w:rPr>
        <w:t>，其次为牙体牙髓及</w:t>
      </w:r>
      <w:r>
        <w:rPr>
          <w:rFonts w:ascii="宋体" w:hAnsi="宋体" w:cs="宋体" w:eastAsia="宋体" w:hint="ascii"/>
          <w:sz w:val="21"/>
          <w:spacing w:val="-6"/>
        </w:rPr>
        <w:t>根</w:t>
      </w:r>
      <w:r>
        <w:rPr>
          <w:rFonts w:ascii="宋体" w:hAnsi="宋体" w:cs="宋体" w:eastAsia="宋体" w:hint="ascii"/>
          <w:sz w:val="21"/>
        </w:rPr>
        <w:t>尖周组织疾病（</w:t>
      </w:r>
      <w:r>
        <w:rPr>
          <w:rFonts w:ascii="Times New Roman" w:hAnsi="Times New Roman" w:cs="Times New Roman" w:eastAsia="Times New Roman" w:hint="ascii"/>
          <w:sz w:val="21"/>
        </w:rPr>
        <w:t>13.8%</w:t>
      </w:r>
      <w:r>
        <w:rPr>
          <w:rFonts w:ascii="宋体" w:hAnsi="宋体" w:cs="宋体" w:eastAsia="宋体" w:hint="ascii"/>
          <w:sz w:val="21"/>
        </w:rPr>
        <w:t>）和牙缺损、缺失及牙颌畸形的修复与矫治（</w:t>
      </w:r>
      <w:r>
        <w:rPr>
          <w:rFonts w:ascii="Times New Roman" w:hAnsi="Times New Roman" w:cs="Times New Roman" w:eastAsia="Times New Roman" w:hint="ascii"/>
          <w:sz w:val="21"/>
        </w:rPr>
        <w:t>13.2%</w:t>
      </w:r>
      <w:r>
        <w:rPr>
          <w:rFonts w:ascii="宋体" w:hAnsi="宋体" w:cs="宋体" w:eastAsia="宋体" w:hint="ascii"/>
          <w:sz w:val="21"/>
          <w:spacing w:val="-53"/>
        </w:rPr>
        <w:t>）</w:t>
      </w:r>
      <w:r>
        <w:rPr>
          <w:rFonts w:ascii="宋体" w:hAnsi="宋体" w:cs="宋体" w:eastAsia="宋体" w:hint="ascii"/>
          <w:sz w:val="21"/>
        </w:rPr>
        <w:t>，申报项目</w:t>
      </w:r>
      <w:r>
        <w:rPr>
          <w:rFonts w:ascii="宋体" w:hAnsi="宋体" w:cs="宋体" w:eastAsia="宋体" w:hint="ascii"/>
          <w:sz w:val="21"/>
          <w:spacing w:val="-1"/>
        </w:rPr>
        <w:t>中骨形成</w:t>
      </w:r>
      <w:r>
        <w:rPr>
          <w:rFonts w:ascii="宋体" w:hAnsi="宋体" w:cs="宋体" w:eastAsia="宋体" w:hint="ascii"/>
          <w:sz w:val="21"/>
        </w:rPr>
        <w:t>与再生相关研究、干细胞及外泌体的应用与机制研究、口腔颌面组织生物力学</w:t>
      </w:r>
      <w:r>
        <w:rPr>
          <w:rFonts w:ascii="宋体" w:hAnsi="宋体" w:cs="宋体" w:eastAsia="宋体" w:hint="ascii"/>
          <w:sz w:val="21"/>
          <w:spacing w:val="-1"/>
        </w:rPr>
        <w:t>和生物材</w:t>
      </w:r>
      <w:r>
        <w:rPr>
          <w:rFonts w:ascii="宋体" w:hAnsi="宋体" w:cs="宋体" w:eastAsia="宋体" w:hint="ascii"/>
          <w:sz w:val="21"/>
        </w:rPr>
        <w:t>料的研究是目前关注的热点问题。继续鼓励针对上述学科领域严重影响人类健</w:t>
      </w:r>
      <w:r>
        <w:rPr>
          <w:rFonts w:ascii="宋体" w:hAnsi="宋体" w:cs="宋体" w:eastAsia="宋体" w:hint="ascii"/>
          <w:sz w:val="21"/>
          <w:spacing w:val="-1"/>
        </w:rPr>
        <w:t>康的重要</w:t>
      </w:r>
      <w:r>
        <w:rPr>
          <w:rFonts w:ascii="宋体" w:hAnsi="宋体" w:cs="宋体" w:eastAsia="宋体" w:hint="ascii"/>
          <w:sz w:val="21"/>
        </w:rPr>
        <w:t>疾病及功能障碍的发病机制、诊断及创新治疗手段和功能重建研究，重视与全身健康相关的眼、耳、颅颌面组织器官疾病和功能障碍的研究。</w:t>
      </w:r>
    </w:p>
    <w:p>
      <w:pPr>
        <w:autoSpaceDE w:val="0"/>
        <w:autoSpaceDN w:val="0"/>
        <w:jc w:val="left"/>
        <w:spacing w:before="40"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本科学处不受理有关治疗药物合成设计及药物药理方面的研究，此类项目请选择医</w:t>
      </w:r>
    </w:p>
    <w:p>
      <w:pPr>
        <w:autoSpaceDE w:val="0"/>
        <w:autoSpaceDN w:val="0"/>
        <w:jc w:val="both"/>
        <w:spacing w:before="10" w:after="0" w:lineRule="exact" w:line="312"/>
        <w:ind w:right="975" w:left="105" w:firstLine="0"/>
        <w:snapToGrid w:val="0"/>
        <w:textAlignment w:val="auto"/>
        <w:tabs/>
        <w:rPr>
          <w:rFonts w:ascii="宋体" w:hAnsi="宋体" w:cs="宋体" w:eastAsia="宋体" w:hint="ascii"/>
          <w:sz w:val="21"/>
        </w:rPr>
      </w:pPr>
      <w:r>
        <w:rPr>
          <w:rFonts w:ascii="宋体" w:hAnsi="宋体" w:cs="宋体" w:eastAsia="宋体" w:hint="ascii"/>
          <w:sz w:val="21"/>
        </w:rPr>
        <w:t>学九处（</w:t>
      </w:r>
      <w:r>
        <w:rPr>
          <w:rFonts w:ascii="Times New Roman" w:hAnsi="Times New Roman" w:cs="Times New Roman" w:eastAsia="Times New Roman" w:hint="ascii"/>
          <w:b w:val="1"/>
          <w:sz w:val="21"/>
        </w:rPr>
        <w:t>H30</w:t>
      </w:r>
      <w:r>
        <w:rPr>
          <w:rFonts w:ascii="宋体" w:hAnsi="宋体" w:cs="宋体" w:eastAsia="宋体" w:hint="ascii"/>
          <w:b w:val="1"/>
          <w:sz w:val="21"/>
        </w:rPr>
        <w:t>、</w:t>
      </w:r>
      <w:r>
        <w:rPr>
          <w:rFonts w:ascii="Times New Roman" w:hAnsi="Times New Roman" w:cs="Times New Roman" w:eastAsia="Times New Roman" w:hint="ascii"/>
          <w:b w:val="1"/>
          <w:sz w:val="21"/>
        </w:rPr>
        <w:t>H31</w:t>
      </w:r>
      <w:r>
        <w:rPr>
          <w:rFonts w:ascii="宋体" w:hAnsi="宋体" w:cs="宋体" w:eastAsia="宋体" w:hint="ascii"/>
          <w:sz w:val="21"/>
        </w:rPr>
        <w:t>）相应的申请代码</w:t>
      </w:r>
      <w:r>
        <w:rPr>
          <w:rFonts w:ascii="宋体" w:hAnsi="宋体" w:cs="宋体" w:eastAsia="宋体" w:hint="ascii"/>
          <w:b w:val="1"/>
          <w:sz w:val="21"/>
        </w:rPr>
        <w:t>。</w:t>
      </w:r>
      <w:r>
        <w:rPr>
          <w:rFonts w:ascii="宋体" w:hAnsi="宋体" w:cs="宋体" w:eastAsia="宋体" w:hint="ascii"/>
          <w:sz w:val="21"/>
        </w:rPr>
        <w:t>泌尿系统（</w:t>
      </w:r>
      <w:r>
        <w:rPr>
          <w:rFonts w:ascii="Times New Roman" w:hAnsi="Times New Roman" w:cs="Times New Roman" w:eastAsia="Times New Roman" w:hint="ascii"/>
          <w:b w:val="1"/>
          <w:sz w:val="21"/>
        </w:rPr>
        <w:t>H05</w:t>
      </w:r>
      <w:r>
        <w:rPr>
          <w:rFonts w:ascii="宋体" w:hAnsi="宋体" w:cs="宋体" w:eastAsia="宋体" w:hint="ascii"/>
          <w:sz w:val="21"/>
        </w:rPr>
        <w:t>）不受理男性生殖及男性性功能障碍方面的研究，此类项目请选择医学四处（</w:t>
      </w:r>
      <w:r>
        <w:rPr>
          <w:rFonts w:ascii="Times New Roman" w:hAnsi="Times New Roman" w:cs="Times New Roman" w:eastAsia="Times New Roman" w:hint="ascii"/>
          <w:b w:val="1"/>
          <w:sz w:val="21"/>
        </w:rPr>
        <w:t>H04</w:t>
      </w:r>
      <w:r>
        <w:rPr>
          <w:rFonts w:ascii="宋体" w:hAnsi="宋体" w:cs="宋体" w:eastAsia="宋体" w:hint="ascii"/>
          <w:sz w:val="21"/>
        </w:rPr>
        <w:t>）相应的申请代码</w:t>
      </w:r>
      <w:r>
        <w:rPr>
          <w:rFonts w:ascii="宋体" w:hAnsi="宋体" w:cs="宋体" w:eastAsia="宋体" w:hint="ascii"/>
          <w:b w:val="1"/>
          <w:sz w:val="21"/>
        </w:rPr>
        <w:t>。</w:t>
      </w:r>
      <w:r>
        <w:rPr>
          <w:rFonts w:ascii="宋体" w:hAnsi="宋体" w:cs="宋体" w:eastAsia="宋体" w:hint="ascii"/>
          <w:sz w:val="21"/>
        </w:rPr>
        <w:t>有关牙体、修</w:t>
      </w:r>
      <w:r>
        <w:rPr>
          <w:rFonts w:ascii="宋体" w:hAnsi="宋体" w:cs="宋体" w:eastAsia="宋体" w:hint="ascii"/>
          <w:sz w:val="21"/>
          <w:spacing w:val="3"/>
        </w:rPr>
        <w:t>复、种植</w:t>
      </w:r>
      <w:r>
        <w:rPr>
          <w:rFonts w:ascii="宋体" w:hAnsi="宋体" w:cs="宋体" w:eastAsia="宋体" w:hint="ascii"/>
          <w:sz w:val="21"/>
        </w:rPr>
        <w:t>材</w:t>
      </w:r>
      <w:r>
        <w:rPr>
          <w:rFonts w:ascii="宋体" w:hAnsi="宋体" w:cs="宋体" w:eastAsia="宋体" w:hint="ascii"/>
          <w:sz w:val="21"/>
          <w:spacing w:val="3"/>
        </w:rPr>
        <w:t>料方面的</w:t>
      </w:r>
      <w:r>
        <w:rPr>
          <w:rFonts w:ascii="宋体" w:hAnsi="宋体" w:cs="宋体" w:eastAsia="宋体" w:hint="ascii"/>
          <w:sz w:val="21"/>
        </w:rPr>
        <w:t>研</w:t>
      </w:r>
      <w:r>
        <w:rPr>
          <w:rFonts w:ascii="宋体" w:hAnsi="宋体" w:cs="宋体" w:eastAsia="宋体" w:hint="ascii"/>
          <w:sz w:val="21"/>
          <w:spacing w:val="3"/>
        </w:rPr>
        <w:t>究请选</w:t>
      </w:r>
      <w:r>
        <w:rPr>
          <w:rFonts w:ascii="宋体" w:hAnsi="宋体" w:cs="宋体" w:eastAsia="宋体" w:hint="ascii"/>
          <w:sz w:val="21"/>
        </w:rPr>
        <w:t>择</w:t>
      </w:r>
      <w:r>
        <w:rPr>
          <w:rFonts w:ascii="宋体" w:hAnsi="宋体" w:cs="宋体" w:eastAsia="宋体" w:hint="ascii"/>
          <w:sz w:val="21"/>
          <w:spacing w:val="-20"/>
        </w:rPr>
        <w:t xml:space="preserve"> </w:t>
      </w:r>
      <w:r>
        <w:rPr>
          <w:rFonts w:ascii="Times New Roman" w:hAnsi="Times New Roman" w:cs="Times New Roman" w:eastAsia="Times New Roman" w:hint="ascii"/>
          <w:b w:val="1"/>
          <w:sz w:val="21"/>
        </w:rPr>
        <w:t>H140</w:t>
      </w:r>
      <w:r>
        <w:rPr>
          <w:rFonts w:ascii="Times New Roman" w:hAnsi="Times New Roman" w:cs="Times New Roman" w:eastAsia="Times New Roman" w:hint="ascii"/>
          <w:b w:val="1"/>
          <w:sz w:val="21"/>
          <w:spacing w:val="5"/>
        </w:rPr>
        <w:t>9</w:t>
      </w:r>
      <w:r>
        <w:rPr>
          <w:rFonts w:ascii="宋体" w:hAnsi="宋体" w:cs="宋体" w:eastAsia="宋体" w:hint="ascii"/>
          <w:sz w:val="21"/>
          <w:spacing w:val="3"/>
        </w:rPr>
        <w:t>；口腔医学范围内</w:t>
      </w:r>
      <w:r>
        <w:rPr>
          <w:rFonts w:ascii="宋体" w:hAnsi="宋体" w:cs="宋体" w:eastAsia="宋体" w:hint="ascii"/>
          <w:sz w:val="21"/>
        </w:rPr>
        <w:t>颅</w:t>
      </w:r>
      <w:r>
        <w:rPr>
          <w:rFonts w:ascii="宋体" w:hAnsi="宋体" w:cs="宋体" w:eastAsia="宋体" w:hint="ascii"/>
          <w:sz w:val="21"/>
          <w:spacing w:val="3"/>
        </w:rPr>
        <w:t>颌面骨、</w:t>
      </w:r>
      <w:r>
        <w:rPr>
          <w:rFonts w:ascii="宋体" w:hAnsi="宋体" w:cs="宋体" w:eastAsia="宋体" w:hint="ascii"/>
          <w:sz w:val="21"/>
        </w:rPr>
        <w:t>软</w:t>
      </w:r>
      <w:r>
        <w:rPr>
          <w:rFonts w:ascii="宋体" w:hAnsi="宋体" w:cs="宋体" w:eastAsia="宋体" w:hint="ascii"/>
          <w:sz w:val="21"/>
          <w:spacing w:val="3"/>
        </w:rPr>
        <w:t>骨组织的研</w:t>
      </w:r>
      <w:r>
        <w:rPr>
          <w:rFonts w:ascii="宋体" w:hAnsi="宋体" w:cs="宋体" w:eastAsia="宋体" w:hint="ascii"/>
          <w:sz w:val="21"/>
        </w:rPr>
        <w:t>究</w:t>
      </w:r>
    </w:p>
    <w:p>
      <w:pPr>
        <w:autoSpaceDE w:val="0"/>
        <w:autoSpaceDN w:val="0"/>
        <w:jc w:val="left"/>
        <w:spacing w:before="278" w:after="0" w:lineRule="exact" w:line="225"/>
        <w:ind w:right="0" w:left="104" w:firstLine="0"/>
        <w:snapToGrid w:val="0"/>
        <w:textAlignment w:val="auto"/>
        <w:tabs/>
        <w:sectPr>
          <w:pgSz w:w="10940" w:h="15080" w:orient="portrait"/>
          <w:pgMar w:top="508" w:right="508" w:bottom="508" w:left="1369"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62" w:left="966" w:firstLine="0"/>
        <w:snapToGrid w:val="0"/>
        <w:textAlignment w:val="auto"/>
        <w:tabs/>
        <w:rPr>
          <w:rFonts w:ascii="宋体" w:hAnsi="宋体" w:cs="宋体" w:eastAsia="宋体" w:hint="ascii"/>
          <w:b w:val="1"/>
          <w:sz w:val="21"/>
        </w:rPr>
      </w:pPr>
      <w:r>
        <w:rPr>
          <w:rFonts w:ascii="宋体" w:hAnsi="宋体" w:cs="宋体" w:eastAsia="宋体" w:hint="ascii"/>
          <w:sz w:val="21"/>
          <w:spacing w:val="1"/>
        </w:rPr>
        <w:t>请选</w:t>
      </w:r>
      <w:r>
        <w:rPr>
          <w:rFonts w:ascii="宋体" w:hAnsi="宋体" w:cs="宋体" w:eastAsia="宋体" w:hint="ascii"/>
          <w:sz w:val="21"/>
          <w:spacing w:val="-2"/>
        </w:rPr>
        <w:t>择</w:t>
      </w:r>
      <w:r>
        <w:rPr>
          <w:rFonts w:ascii="宋体" w:hAnsi="宋体" w:cs="宋体" w:eastAsia="宋体" w:hint="ascii"/>
          <w:sz w:val="21"/>
          <w:spacing w:val="-22"/>
        </w:rPr>
        <w:t xml:space="preserve"> </w:t>
      </w:r>
      <w:r>
        <w:rPr>
          <w:rFonts w:ascii="Times New Roman" w:hAnsi="Times New Roman" w:cs="Times New Roman" w:eastAsia="Times New Roman" w:hint="ascii"/>
          <w:b w:val="1"/>
          <w:sz w:val="21"/>
          <w:spacing w:val="1"/>
        </w:rPr>
        <w:t>H1</w:t>
      </w:r>
      <w:r>
        <w:rPr>
          <w:rFonts w:ascii="Times New Roman" w:hAnsi="Times New Roman" w:cs="Times New Roman" w:eastAsia="Times New Roman" w:hint="ascii"/>
          <w:b w:val="1"/>
          <w:sz w:val="21"/>
        </w:rPr>
        <w:t>40</w:t>
      </w:r>
      <w:r>
        <w:rPr>
          <w:rFonts w:ascii="Times New Roman" w:hAnsi="Times New Roman" w:cs="Times New Roman" w:eastAsia="Times New Roman" w:hint="ascii"/>
          <w:b w:val="1"/>
          <w:sz w:val="21"/>
          <w:spacing w:val="5"/>
        </w:rPr>
        <w:t>2</w:t>
      </w:r>
      <w:r>
        <w:rPr>
          <w:rFonts w:ascii="宋体" w:hAnsi="宋体" w:cs="宋体" w:eastAsia="宋体" w:hint="ascii"/>
          <w:sz w:val="21"/>
        </w:rPr>
        <w:t>；其他有关口腔正畸、修复本身特点的研究申请可</w:t>
      </w:r>
      <w:r>
        <w:rPr>
          <w:rFonts w:ascii="宋体" w:hAnsi="宋体" w:cs="宋体" w:eastAsia="宋体" w:hint="ascii"/>
          <w:sz w:val="21"/>
          <w:spacing w:val="-3"/>
        </w:rPr>
        <w:t>选</w:t>
      </w:r>
      <w:r>
        <w:rPr>
          <w:rFonts w:ascii="宋体" w:hAnsi="宋体" w:cs="宋体" w:eastAsia="宋体" w:hint="ascii"/>
          <w:sz w:val="21"/>
          <w:spacing w:val="-23"/>
        </w:rPr>
        <w:t xml:space="preserve"> </w:t>
      </w:r>
      <w:r>
        <w:rPr>
          <w:rFonts w:ascii="Times New Roman" w:hAnsi="Times New Roman" w:cs="Times New Roman" w:eastAsia="Times New Roman" w:hint="ascii"/>
          <w:b w:val="1"/>
          <w:sz w:val="21"/>
        </w:rPr>
        <w:t>H140</w:t>
      </w:r>
      <w:r>
        <w:rPr>
          <w:rFonts w:ascii="Times New Roman" w:hAnsi="Times New Roman" w:cs="Times New Roman" w:eastAsia="Times New Roman" w:hint="ascii"/>
          <w:b w:val="1"/>
          <w:sz w:val="21"/>
          <w:spacing w:val="5"/>
        </w:rPr>
        <w:t>8</w:t>
      </w:r>
      <w:r>
        <w:rPr>
          <w:rFonts w:ascii="宋体" w:hAnsi="宋体" w:cs="宋体" w:eastAsia="宋体" w:hint="ascii"/>
          <w:b w:val="1"/>
          <w:sz w:val="21"/>
        </w:rPr>
        <w:t>。</w:t>
      </w:r>
      <w:r>
        <w:rPr>
          <w:rFonts w:ascii="宋体" w:hAnsi="宋体" w:cs="宋体" w:eastAsia="宋体" w:hint="ascii"/>
          <w:sz w:val="21"/>
        </w:rPr>
        <w:t>肿瘤研</w:t>
      </w:r>
      <w:r>
        <w:rPr>
          <w:rFonts w:ascii="宋体" w:hAnsi="宋体" w:cs="宋体" w:eastAsia="宋体" w:hint="ascii"/>
          <w:sz w:val="21"/>
          <w:spacing w:val="-6"/>
        </w:rPr>
        <w:t>究</w:t>
      </w:r>
      <w:r>
        <w:rPr>
          <w:rFonts w:ascii="宋体" w:hAnsi="宋体" w:cs="宋体" w:eastAsia="宋体" w:hint="ascii"/>
          <w:sz w:val="21"/>
        </w:rPr>
        <w:t>的项目申请请参见医学科学部总论部分</w:t>
      </w:r>
      <w:r>
        <w:rPr>
          <w:rFonts w:ascii="宋体" w:hAnsi="宋体" w:cs="宋体" w:eastAsia="宋体" w:hint="ascii"/>
          <w:b w:val="1"/>
          <w:sz w:val="21"/>
        </w:rPr>
        <w:t>。</w:t>
      </w:r>
      <w:r>
        <w:rPr>
          <w:rFonts w:ascii="宋体" w:hAnsi="宋体" w:cs="宋体" w:eastAsia="宋体" w:hint="ascii"/>
          <w:b w:val="1"/>
          <w:sz w:val="21"/>
        </w:rPr>
        <mc:AlternateContent>
          <mc:Choice Requires="wps">
            <w:drawing>
              <wp:anchor distL="0" distR="0" distT="0" distB="0" simplePos="0" behindDoc="1" relativeHeight="130" locked="0" layoutInCell="1" allowOverlap="1">
                <wp:simplePos x="0" y="0"/>
                <wp:positionH relativeFrom="page">
                  <wp:posOffset>938530</wp:posOffset>
                </wp:positionH>
                <wp:positionV relativeFrom="page">
                  <wp:posOffset>819150</wp:posOffset>
                </wp:positionV>
                <wp:extent cx="5076190" cy="0"/>
                <wp:wrapNone/>
                <wp:docPr id="1159" name="115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25120;width:399.70pt;" id="115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医学科学三处</w:t>
      </w:r>
    </w:p>
    <w:p>
      <w:pPr>
        <w:autoSpaceDE w:val="0"/>
        <w:autoSpaceDN w:val="0"/>
        <w:jc w:val="both"/>
        <w:spacing w:before="301"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医学科学三处</w:t>
      </w:r>
      <w:r>
        <w:rPr>
          <w:rFonts w:ascii="宋体" w:hAnsi="宋体" w:cs="宋体" w:eastAsia="宋体" w:hint="ascii"/>
          <w:sz w:val="21"/>
        </w:rPr>
        <w:t>主要资助神经系统疾病、精神疾病和老年医学领域的基础研究和应用基础研究。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神经系统和精神疾病（</w:t>
      </w:r>
      <w:r>
        <w:rPr>
          <w:rFonts w:ascii="Times New Roman" w:hAnsi="Times New Roman" w:cs="Times New Roman" w:eastAsia="Times New Roman" w:hint="ascii"/>
          <w:b w:val="1"/>
        </w:rPr>
        <w:t>H09</w:t>
      </w:r>
      <w:r>
        <w:rPr>
          <w:rFonts w:ascii="宋体" w:hAnsi="宋体" w:cs="宋体" w:eastAsia="宋体" w:hint="ascii"/>
        </w:rPr>
        <w:t>）</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主要资助神经系统各类非肿瘤性疾病的病因、发病机制、诊断、治疗和预防的相关</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研究。本科学处关注神经系统常见病，如脑血管病、癫痫、脑和脊髓的损伤与修复、疼痛和神经退行性疾病的研究，也重视罕见神经系统疾病的研究。中枢神经系统遗传代谢病的诊断和发病机制研究、神经系统免疫和炎性疾病的发病机制和治疗研究是资助的重要方向，同时关注神经系统疾病和精神疾病共病（</w:t>
      </w:r>
      <w:r>
        <w:rPr>
          <w:rFonts w:ascii="Times New Roman" w:hAnsi="Times New Roman" w:cs="Times New Roman" w:eastAsia="Times New Roman" w:hint="ascii"/>
          <w:sz w:val="21"/>
        </w:rPr>
        <w:t>comorbidity</w:t>
      </w:r>
      <w:r>
        <w:rPr>
          <w:rFonts w:ascii="宋体" w:hAnsi="宋体" w:cs="宋体" w:eastAsia="宋体" w:hint="ascii"/>
          <w:sz w:val="21"/>
        </w:rPr>
        <w:t>）的病因学和临床相关的研究。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现代人类疾病谱的一个重要特征是心理障碍和精神疾病的发生率迅速上升，研究精</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神疾病的核心问题是发现与疾病相关的生物学基础，阐明病因和发病机制，以期实现疾病的早期发现、客观诊断和对因治疗。</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项目申请中，仍以抑郁症、精神分裂症为主，儿童和青少年精神障碍、睡眠障碍、心理咨询和危机干预等的申请比以前有所增加，但是有关人格障碍和心理测量的项目申请较少。今后应加强研究遗传与环境因素相互作用在心理障碍和精神疾病发生发展中的作用研究，发现潜在的病因和干预靶标，建立可监测心理障碍和精神疾病发生、发展及预后的在体生物学标记，优化心理、行为学检查技术，实现心理障碍和精神疾病的早期发现和诊断；通过药物或非药物手段实行早期干预和治疗，从而降低我国人群的心理障碍和精神疾病的发病率。</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近年来，神经病学领域获资助项目选题趋同化比较明显，脑血管病、脑和脊髓损伤</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2"/>
        </w:rPr>
        <w:t>与修复、疼痛与镇痛、认知功</w:t>
      </w:r>
      <w:r>
        <w:rPr>
          <w:rFonts w:ascii="宋体" w:hAnsi="宋体" w:cs="宋体" w:eastAsia="宋体" w:hint="ascii"/>
          <w:sz w:val="21"/>
          <w:spacing w:val="-1"/>
        </w:rPr>
        <w:t>能障碍等领域的项目比较集中。</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spacing w:val="51"/>
        </w:rPr>
        <w:t>7</w:t>
      </w:r>
      <w:r>
        <w:rPr>
          <w:rFonts w:ascii="宋体" w:hAnsi="宋体" w:cs="宋体" w:eastAsia="宋体" w:hint="ascii"/>
          <w:sz w:val="21"/>
          <w:spacing w:val="-1"/>
        </w:rPr>
        <w:t>年度从</w:t>
      </w:r>
      <w:r>
        <w:rPr>
          <w:rFonts w:ascii="宋体" w:hAnsi="宋体" w:cs="宋体" w:eastAsia="宋体" w:hint="ascii"/>
          <w:sz w:val="21"/>
          <w:spacing w:val="-9"/>
        </w:rPr>
        <w:t xml:space="preserve"> </w:t>
      </w:r>
      <w:r>
        <w:rPr>
          <w:rFonts w:ascii="Times New Roman" w:hAnsi="Times New Roman" w:cs="Times New Roman" w:eastAsia="Times New Roman" w:hint="ascii"/>
          <w:sz w:val="21"/>
          <w:spacing w:val="-1"/>
        </w:rPr>
        <w:t>lncRNA</w:t>
      </w:r>
      <w:r>
        <w:rPr>
          <w:rFonts w:ascii="宋体" w:hAnsi="宋体" w:cs="宋体" w:eastAsia="宋体" w:hint="ascii"/>
          <w:sz w:val="21"/>
          <w:spacing w:val="-1"/>
        </w:rPr>
        <w:t>、多</w:t>
      </w:r>
      <w:r>
        <w:rPr>
          <w:rFonts w:ascii="宋体" w:hAnsi="宋体" w:cs="宋体" w:eastAsia="宋体" w:hint="ascii"/>
          <w:sz w:val="21"/>
        </w:rPr>
        <w:t xml:space="preserve"> 模态神经影像、外泌体等角度来研究神经系统疾病问题的项目有明显的增加，但多数为跟踪性研究，原创性的工作较少。今后将继续关注通过遗传学技术开展罕见神经系统遗传性疾病的相关研究，尤其是基于分子分型的个体化诊疗及其机制研究；同时鼓励利用非人灵长类动物、果蝇、斑马鱼等模式动物开展研究。脑血管病研究需要使用标准的临床研究设计方案，加强围绕脑血管病临床关注的问题开展基础研究，尤其是神经血管损伤后的早期干预、血管再通、功能恢复和精准诊疗方法在急性卒中和神经创伤性疾病中</w:t>
      </w:r>
      <w:r>
        <w:rPr>
          <w:rFonts w:ascii="宋体" w:hAnsi="宋体" w:cs="宋体" w:eastAsia="宋体" w:hint="ascii"/>
          <w:sz w:val="21"/>
          <w:spacing w:val="3"/>
        </w:rPr>
        <w:t>的作用等</w:t>
      </w:r>
      <w:r>
        <w:rPr>
          <w:rFonts w:ascii="宋体" w:hAnsi="宋体" w:cs="宋体" w:eastAsia="宋体" w:hint="ascii"/>
          <w:sz w:val="21"/>
        </w:rPr>
        <w:t>。</w:t>
      </w:r>
      <w:r>
        <w:rPr>
          <w:rFonts w:ascii="宋体" w:hAnsi="宋体" w:cs="宋体" w:eastAsia="宋体" w:hint="ascii"/>
          <w:sz w:val="21"/>
          <w:spacing w:val="3"/>
        </w:rPr>
        <w:t>疼痛研究</w:t>
      </w:r>
      <w:r>
        <w:rPr>
          <w:rFonts w:ascii="宋体" w:hAnsi="宋体" w:cs="宋体" w:eastAsia="宋体" w:hint="ascii"/>
          <w:sz w:val="21"/>
        </w:rPr>
        <w:t>还</w:t>
      </w:r>
      <w:r>
        <w:rPr>
          <w:rFonts w:ascii="宋体" w:hAnsi="宋体" w:cs="宋体" w:eastAsia="宋体" w:hint="ascii"/>
          <w:sz w:val="21"/>
          <w:spacing w:val="3"/>
        </w:rPr>
        <w:t>需要加强</w:t>
      </w:r>
      <w:r>
        <w:rPr>
          <w:rFonts w:ascii="宋体" w:hAnsi="宋体" w:cs="宋体" w:eastAsia="宋体" w:hint="ascii"/>
          <w:sz w:val="21"/>
        </w:rPr>
        <w:t>基</w:t>
      </w:r>
      <w:r>
        <w:rPr>
          <w:rFonts w:ascii="宋体" w:hAnsi="宋体" w:cs="宋体" w:eastAsia="宋体" w:hint="ascii"/>
          <w:sz w:val="21"/>
          <w:spacing w:val="3"/>
        </w:rPr>
        <w:t>础与临床</w:t>
      </w:r>
      <w:r>
        <w:rPr>
          <w:rFonts w:ascii="宋体" w:hAnsi="宋体" w:cs="宋体" w:eastAsia="宋体" w:hint="ascii"/>
          <w:sz w:val="21"/>
        </w:rPr>
        <w:t>的</w:t>
      </w:r>
      <w:r>
        <w:rPr>
          <w:rFonts w:ascii="宋体" w:hAnsi="宋体" w:cs="宋体" w:eastAsia="宋体" w:hint="ascii"/>
          <w:sz w:val="21"/>
          <w:spacing w:val="3"/>
        </w:rPr>
        <w:t>结合，开</w:t>
      </w:r>
      <w:r>
        <w:rPr>
          <w:rFonts w:ascii="宋体" w:hAnsi="宋体" w:cs="宋体" w:eastAsia="宋体" w:hint="ascii"/>
          <w:sz w:val="21"/>
        </w:rPr>
        <w:t>展</w:t>
      </w:r>
      <w:r>
        <w:rPr>
          <w:rFonts w:ascii="宋体" w:hAnsi="宋体" w:cs="宋体" w:eastAsia="宋体" w:hint="ascii"/>
          <w:sz w:val="21"/>
          <w:spacing w:val="3"/>
        </w:rPr>
        <w:t>疼痛尤其</w:t>
      </w:r>
      <w:r>
        <w:rPr>
          <w:rFonts w:ascii="宋体" w:hAnsi="宋体" w:cs="宋体" w:eastAsia="宋体" w:hint="ascii"/>
          <w:sz w:val="21"/>
        </w:rPr>
        <w:t>是</w:t>
      </w:r>
      <w:r>
        <w:rPr>
          <w:rFonts w:ascii="宋体" w:hAnsi="宋体" w:cs="宋体" w:eastAsia="宋体" w:hint="ascii"/>
          <w:sz w:val="21"/>
          <w:spacing w:val="3"/>
        </w:rPr>
        <w:t>慢性痛机理</w:t>
      </w:r>
      <w:r>
        <w:rPr>
          <w:rFonts w:ascii="宋体" w:hAnsi="宋体" w:cs="宋体" w:eastAsia="宋体" w:hint="ascii"/>
          <w:sz w:val="21"/>
          <w:spacing w:val="4"/>
        </w:rPr>
        <w:t>的</w:t>
      </w:r>
      <w:r>
        <w:rPr>
          <w:rFonts w:ascii="宋体" w:hAnsi="宋体" w:cs="宋体" w:eastAsia="宋体" w:hint="ascii"/>
          <w:sz w:val="21"/>
        </w:rPr>
        <w:t>研究。由于我国在儿童神经和精神疾病领域研究基础较弱，相关研究一直是关注和重视的</w:t>
      </w:r>
      <w:r>
        <w:rPr>
          <w:rFonts w:ascii="宋体" w:hAnsi="宋体" w:cs="宋体" w:eastAsia="宋体" w:hint="ascii"/>
          <w:sz w:val="21"/>
          <w:spacing w:val="-1"/>
        </w:rPr>
        <w:t>方向，</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spacing w:val="51"/>
        </w:rPr>
        <w:t>8</w:t>
      </w:r>
      <w:r>
        <w:rPr>
          <w:rFonts w:ascii="宋体" w:hAnsi="宋体" w:cs="宋体" w:eastAsia="宋体" w:hint="ascii"/>
          <w:sz w:val="21"/>
          <w:spacing w:val="-1"/>
        </w:rPr>
        <w:t>年度将在结合儿童神经系统特点的儿童癫</w:t>
      </w:r>
      <w:r>
        <w:rPr>
          <w:rFonts w:ascii="宋体" w:hAnsi="宋体" w:cs="宋体" w:eastAsia="宋体" w:hint="ascii"/>
          <w:sz w:val="21"/>
        </w:rPr>
        <w:t>痫和发育障碍相关研究方面给</w:t>
      </w:r>
      <w:r>
        <w:rPr>
          <w:rFonts w:ascii="宋体" w:hAnsi="宋体" w:cs="宋体" w:eastAsia="宋体" w:hint="ascii"/>
          <w:sz w:val="21"/>
          <w:spacing w:val="26"/>
        </w:rPr>
        <w:t>予</w:t>
      </w:r>
      <w:r>
        <w:rPr>
          <w:rFonts w:ascii="Times New Roman" w:hAnsi="Times New Roman" w:cs="Times New Roman" w:eastAsia="Times New Roman" w:hint="ascii"/>
          <w:sz w:val="21"/>
        </w:rPr>
        <w:t xml:space="preserve">2 </w:t>
      </w:r>
      <w:r>
        <w:rPr>
          <w:rFonts w:ascii="宋体" w:hAnsi="宋体" w:cs="宋体" w:eastAsia="宋体" w:hint="ascii"/>
          <w:sz w:val="21"/>
        </w:rPr>
        <w:t>项</w:t>
      </w:r>
      <w:r>
        <w:rPr>
          <w:rFonts w:ascii="宋体" w:hAnsi="宋体" w:cs="宋体" w:eastAsia="宋体" w:hint="ascii"/>
          <w:sz w:val="21"/>
          <w:spacing w:val="26"/>
        </w:rPr>
        <w:t>或</w:t>
      </w:r>
      <w:r>
        <w:rPr>
          <w:rFonts w:ascii="Times New Roman" w:hAnsi="Times New Roman" w:cs="Times New Roman" w:eastAsia="Times New Roman" w:hint="ascii"/>
          <w:sz w:val="21"/>
          <w:spacing w:val="52"/>
        </w:rPr>
        <w:t>3</w:t>
      </w:r>
      <w:r>
        <w:rPr>
          <w:rFonts w:ascii="宋体" w:hAnsi="宋体" w:cs="宋体" w:eastAsia="宋体" w:hint="ascii"/>
          <w:sz w:val="21"/>
        </w:rPr>
        <w:t>项高强度的面上项目资助，以鼓励该领域的研究者开展相关研究。同时，希望进一步均衡资助来自神经病学、神经外科学、精神病学以及与神经精神相关的如儿科学、麻醉学等不同学科分支的项目申请，鼓励临床医生与从事神经科学基础研究的学者开展实质性的合作研究。</w:t>
      </w:r>
    </w:p>
    <w:p>
      <w:pPr>
        <w:autoSpaceDE w:val="0"/>
        <w:autoSpaceDN w:val="0"/>
        <w:jc w:val="left"/>
        <w:spacing w:before="27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老年医学（</w:t>
      </w:r>
      <w:r>
        <w:rPr>
          <w:rFonts w:ascii="Times New Roman" w:hAnsi="Times New Roman" w:cs="Times New Roman" w:eastAsia="Times New Roman" w:hint="ascii"/>
          <w:b w:val="1"/>
        </w:rPr>
        <w:t>H25</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131" locked="0" layoutInCell="1" allowOverlap="1">
                <wp:simplePos x="0" y="0"/>
                <wp:positionH relativeFrom="page">
                  <wp:posOffset>938530</wp:posOffset>
                </wp:positionH>
                <wp:positionV relativeFrom="page">
                  <wp:posOffset>805815</wp:posOffset>
                </wp:positionV>
                <wp:extent cx="5076190" cy="0"/>
                <wp:wrapNone/>
                <wp:docPr id="1160" name="116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24096;width:399.70pt;" id="116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5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主要资助衰老的病理生理机制及衰老所致相关疾</w:t>
      </w:r>
      <w:r>
        <w:rPr>
          <w:rFonts w:ascii="宋体" w:hAnsi="宋体" w:cs="宋体" w:eastAsia="宋体" w:hint="ascii"/>
          <w:sz w:val="21"/>
          <w:spacing w:val="-1"/>
        </w:rPr>
        <w:t>病的研究。鼓励在器官、组织、细</w:t>
      </w:r>
      <w:r>
        <w:rPr>
          <w:rFonts w:ascii="宋体" w:hAnsi="宋体" w:cs="宋体" w:eastAsia="宋体" w:hint="ascii"/>
          <w:sz w:val="21"/>
        </w:rPr>
        <w:t xml:space="preserve"> </w:t>
      </w:r>
      <w:r>
        <w:rPr>
          <w:rFonts w:ascii="宋体" w:hAnsi="宋体" w:cs="宋体" w:eastAsia="宋体" w:hint="ascii"/>
          <w:sz w:val="21"/>
          <w:spacing w:val="-1"/>
        </w:rPr>
        <w:t>胞、亚细</w:t>
      </w:r>
      <w:r>
        <w:rPr>
          <w:rFonts w:ascii="宋体" w:hAnsi="宋体" w:cs="宋体" w:eastAsia="宋体" w:hint="ascii"/>
          <w:sz w:val="21"/>
        </w:rPr>
        <w:t>胞和分子基因水平开展衰老或老龄化过程中机体病理生理学变化及其所致各类</w:t>
      </w:r>
      <w:r>
        <w:rPr>
          <w:rFonts w:ascii="宋体" w:hAnsi="宋体" w:cs="宋体" w:eastAsia="宋体" w:hint="ascii"/>
          <w:sz w:val="21"/>
          <w:spacing w:val="-1"/>
        </w:rPr>
        <w:t>疾病的衰</w:t>
      </w:r>
      <w:r>
        <w:rPr>
          <w:rFonts w:ascii="宋体" w:hAnsi="宋体" w:cs="宋体" w:eastAsia="宋体" w:hint="ascii"/>
          <w:sz w:val="21"/>
        </w:rPr>
        <w:t>老共性机制研究，如器官、组织或细胞衰老的病理生理机制，遗传、代谢、损</w:t>
      </w:r>
      <w:r>
        <w:rPr>
          <w:rFonts w:ascii="宋体" w:hAnsi="宋体" w:cs="宋体" w:eastAsia="宋体" w:hint="ascii"/>
          <w:sz w:val="21"/>
          <w:spacing w:val="-1"/>
        </w:rPr>
        <w:t>伤、应激</w:t>
      </w:r>
      <w:r>
        <w:rPr>
          <w:rFonts w:ascii="宋体" w:hAnsi="宋体" w:cs="宋体" w:eastAsia="宋体" w:hint="ascii"/>
          <w:sz w:val="21"/>
        </w:rPr>
        <w:t>和炎症等因素与器官组织衰老以及与衰老相关疾病发生的关系，干细胞衰老与</w:t>
      </w:r>
      <w:r>
        <w:rPr>
          <w:rFonts w:ascii="宋体" w:hAnsi="宋体" w:cs="宋体" w:eastAsia="宋体" w:hint="ascii"/>
          <w:sz w:val="21"/>
          <w:spacing w:val="-1"/>
        </w:rPr>
        <w:t>相关疾病</w:t>
      </w:r>
      <w:r>
        <w:rPr>
          <w:rFonts w:ascii="宋体" w:hAnsi="宋体" w:cs="宋体" w:eastAsia="宋体" w:hint="ascii"/>
          <w:sz w:val="21"/>
        </w:rPr>
        <w:t>等；鼓励衰老及相关疾病的新技术、新方法研究，以及限食、运动和小分子药</w:t>
      </w:r>
      <w:r>
        <w:rPr>
          <w:rFonts w:ascii="宋体" w:hAnsi="宋体" w:cs="宋体" w:eastAsia="宋体" w:hint="ascii"/>
          <w:sz w:val="21"/>
          <w:spacing w:val="-1"/>
        </w:rPr>
        <w:t>物等延缓</w:t>
      </w:r>
      <w:r>
        <w:rPr>
          <w:rFonts w:ascii="宋体" w:hAnsi="宋体" w:cs="宋体" w:eastAsia="宋体" w:hint="ascii"/>
          <w:sz w:val="21"/>
        </w:rPr>
        <w:t>组织器官衰老的分子机制研究，为老龄化疾病的预防、早期预警、诊疗及预后提供理论基础。</w:t>
      </w:r>
    </w:p>
    <w:p>
      <w:pPr>
        <w:autoSpaceDE w:val="0"/>
        <w:autoSpaceDN w:val="0"/>
        <w:jc w:val="both"/>
        <w:spacing w:before="0" w:after="0" w:lineRule="exact" w:line="312"/>
        <w:ind w:right="976" w:left="966" w:firstLine="420"/>
        <w:snapToGrid w:val="0"/>
        <w:textAlignment w:val="auto"/>
        <w:tabs/>
        <w:rPr>
          <w:rFonts w:ascii="宋体" w:hAnsi="宋体" w:cs="宋体" w:eastAsia="宋体" w:hint="ascii"/>
          <w:b w:val="1"/>
          <w:sz w:val="21"/>
        </w:rPr>
      </w:pPr>
      <w:r>
        <w:rPr>
          <w:rFonts w:ascii="宋体" w:hAnsi="宋体" w:cs="宋体" w:eastAsia="宋体" w:hint="ascii"/>
          <w:sz w:val="21"/>
        </w:rPr>
        <w:t>本科学处老年医学领域不受理与衰老机制无关的各器官或系统老年疾病的项目</w:t>
      </w:r>
      <w:r>
        <w:rPr>
          <w:rFonts w:ascii="宋体" w:hAnsi="宋体" w:cs="宋体" w:eastAsia="宋体" w:hint="ascii"/>
          <w:sz w:val="21"/>
          <w:spacing w:val="-6"/>
        </w:rPr>
        <w:t>申</w:t>
      </w:r>
      <w:r>
        <w:rPr>
          <w:rFonts w:ascii="宋体" w:hAnsi="宋体" w:cs="宋体" w:eastAsia="宋体" w:hint="ascii"/>
          <w:sz w:val="21"/>
        </w:rPr>
        <w:t xml:space="preserve"> </w:t>
      </w:r>
      <w:r>
        <w:rPr>
          <w:rFonts w:ascii="宋体" w:hAnsi="宋体" w:cs="宋体" w:eastAsia="宋体" w:hint="ascii"/>
          <w:sz w:val="21"/>
          <w:spacing w:val="-1"/>
        </w:rPr>
        <w:t>请，此类</w:t>
      </w:r>
      <w:r>
        <w:rPr>
          <w:rFonts w:ascii="宋体" w:hAnsi="宋体" w:cs="宋体" w:eastAsia="宋体" w:hint="ascii"/>
          <w:sz w:val="21"/>
        </w:rPr>
        <w:t>项目请选择相应系统的申请代码</w:t>
      </w:r>
      <w:r>
        <w:rPr>
          <w:rFonts w:ascii="宋体" w:hAnsi="宋体" w:cs="宋体" w:eastAsia="宋体" w:hint="ascii"/>
          <w:b w:val="1"/>
          <w:sz w:val="21"/>
        </w:rPr>
        <w:t>。</w:t>
      </w:r>
      <w:r>
        <w:rPr>
          <w:rFonts w:ascii="宋体" w:hAnsi="宋体" w:cs="宋体" w:eastAsia="宋体" w:hint="ascii"/>
          <w:sz w:val="21"/>
        </w:rPr>
        <w:t>肿瘤研究的项目申请请参见医学科学部总论部分</w:t>
      </w:r>
      <w:r>
        <w:rPr>
          <w:rFonts w:ascii="宋体" w:hAnsi="宋体" w:cs="宋体" w:eastAsia="宋体" w:hint="ascii"/>
          <w:b w:val="1"/>
          <w:sz w:val="21"/>
        </w:rPr>
        <w:t>。</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医学科学四处</w:t>
      </w:r>
    </w:p>
    <w:p>
      <w:pPr>
        <w:autoSpaceDE w:val="0"/>
        <w:autoSpaceDN w:val="0"/>
        <w:jc w:val="both"/>
        <w:spacing w:before="301"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医学科学</w:t>
      </w:r>
      <w:r>
        <w:rPr>
          <w:rFonts w:ascii="宋体" w:hAnsi="宋体" w:cs="宋体" w:eastAsia="宋体" w:hint="ascii"/>
          <w:sz w:val="21"/>
        </w:rPr>
        <w:t>四处主要资助生殖系统、围生医学和新生儿，以及医学免疫学领域的基础研究和临床基础研究。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生殖系统</w:t>
      </w:r>
      <w:r>
        <w:rPr>
          <w:rFonts w:ascii="宋体" w:hAnsi="宋体" w:cs="宋体" w:eastAsia="宋体" w:hint="ascii"/>
          <w:spacing w:val="-54"/>
        </w:rPr>
        <w:t>/</w:t>
      </w:r>
      <w:r>
        <w:rPr>
          <w:rFonts w:ascii="宋体" w:hAnsi="宋体" w:cs="宋体" w:eastAsia="宋体" w:hint="ascii"/>
        </w:rPr>
        <w:t>围生医学</w:t>
      </w:r>
      <w:r>
        <w:rPr>
          <w:rFonts w:ascii="宋体" w:hAnsi="宋体" w:cs="宋体" w:eastAsia="宋体" w:hint="ascii"/>
          <w:spacing w:val="-54"/>
        </w:rPr>
        <w:t>/</w:t>
      </w:r>
      <w:r>
        <w:rPr>
          <w:rFonts w:ascii="宋体" w:hAnsi="宋体" w:cs="宋体" w:eastAsia="宋体" w:hint="ascii"/>
        </w:rPr>
        <w:t>新生儿（</w:t>
      </w:r>
      <w:r>
        <w:rPr>
          <w:rFonts w:ascii="Times New Roman" w:hAnsi="Times New Roman" w:cs="Times New Roman" w:eastAsia="Times New Roman" w:hint="ascii"/>
          <w:b w:val="1"/>
        </w:rPr>
        <w:t>H04</w:t>
      </w:r>
      <w:r>
        <w:rPr>
          <w:rFonts w:ascii="宋体" w:hAnsi="宋体" w:cs="宋体" w:eastAsia="宋体" w:hint="ascii"/>
        </w:rPr>
        <w:t>）</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主要资助围绕生殖系统结构功能与发育异常、损伤与修复、炎症与感染、生殖内分</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泌异常及</w:t>
      </w:r>
      <w:r>
        <w:rPr>
          <w:rFonts w:ascii="宋体" w:hAnsi="宋体" w:cs="宋体" w:eastAsia="宋体" w:hint="ascii"/>
          <w:sz w:val="21"/>
        </w:rPr>
        <w:t>相关疾病、生殖系统遗传性疾病、各种生殖系统相关的非肿瘤性疾病，生殖细胞发生与受精、胚胎着床及胎儿发育、产前诊断，胎盘结构</w:t>
      </w:r>
      <w:r>
        <w:rPr>
          <w:rFonts w:ascii="Times New Roman" w:hAnsi="Times New Roman" w:cs="Times New Roman" w:eastAsia="Times New Roman" w:hint="ascii"/>
          <w:sz w:val="21"/>
        </w:rPr>
        <w:t>/</w:t>
      </w:r>
      <w:r>
        <w:rPr>
          <w:rFonts w:ascii="宋体" w:hAnsi="宋体" w:cs="宋体" w:eastAsia="宋体" w:hint="ascii"/>
          <w:sz w:val="21"/>
        </w:rPr>
        <w:t>功能及发育异常，妊娠及</w:t>
      </w:r>
      <w:r>
        <w:rPr>
          <w:rFonts w:ascii="宋体" w:hAnsi="宋体" w:cs="宋体" w:eastAsia="宋体" w:hint="ascii"/>
          <w:sz w:val="21"/>
          <w:spacing w:val="2"/>
        </w:rPr>
        <w:t>妊娠相关性疾病，新生儿相关</w:t>
      </w:r>
      <w:r>
        <w:rPr>
          <w:rFonts w:ascii="宋体" w:hAnsi="宋体" w:cs="宋体" w:eastAsia="宋体" w:hint="ascii"/>
          <w:sz w:val="21"/>
          <w:spacing w:val="1"/>
        </w:rPr>
        <w:t>疾病，乳腺结构</w:t>
      </w:r>
      <w:r>
        <w:rPr>
          <w:rFonts w:ascii="Times New Roman" w:hAnsi="Times New Roman" w:cs="Times New Roman" w:eastAsia="Times New Roman" w:hint="ascii"/>
          <w:sz w:val="21"/>
          <w:spacing w:val="8"/>
        </w:rPr>
        <w:t>/</w:t>
      </w:r>
      <w:r>
        <w:rPr>
          <w:rFonts w:ascii="宋体" w:hAnsi="宋体" w:cs="宋体" w:eastAsia="宋体" w:hint="ascii"/>
          <w:sz w:val="21"/>
          <w:spacing w:val="1"/>
        </w:rPr>
        <w:t>功能及发育异常，避孕</w:t>
      </w:r>
      <w:r>
        <w:rPr>
          <w:rFonts w:ascii="Times New Roman" w:hAnsi="Times New Roman" w:cs="Times New Roman" w:eastAsia="Times New Roman" w:hint="ascii"/>
          <w:sz w:val="21"/>
          <w:spacing w:val="8"/>
        </w:rPr>
        <w:t>/</w:t>
      </w:r>
      <w:r>
        <w:rPr>
          <w:rFonts w:ascii="宋体" w:hAnsi="宋体" w:cs="宋体" w:eastAsia="宋体" w:hint="ascii"/>
          <w:sz w:val="21"/>
          <w:spacing w:val="1"/>
        </w:rPr>
        <w:t>节育与妊娠</w:t>
      </w:r>
      <w:r>
        <w:rPr>
          <w:rFonts w:ascii="宋体" w:hAnsi="宋体" w:cs="宋体" w:eastAsia="宋体" w:hint="ascii"/>
          <w:sz w:val="21"/>
          <w:spacing w:val="-6"/>
        </w:rPr>
        <w:t>终</w:t>
      </w:r>
      <w:r>
        <w:rPr>
          <w:rFonts w:ascii="宋体" w:hAnsi="宋体" w:cs="宋体" w:eastAsia="宋体" w:hint="ascii"/>
          <w:sz w:val="21"/>
        </w:rPr>
        <w:t>止，女性不孕不育与辅助生殖，生殖医学工程，以及生殖系统</w:t>
      </w:r>
      <w:r>
        <w:rPr>
          <w:rFonts w:ascii="Times New Roman" w:hAnsi="Times New Roman" w:cs="Times New Roman" w:eastAsia="Times New Roman" w:hint="ascii"/>
          <w:sz w:val="21"/>
        </w:rPr>
        <w:t>/</w:t>
      </w:r>
      <w:r>
        <w:rPr>
          <w:rFonts w:ascii="宋体" w:hAnsi="宋体" w:cs="宋体" w:eastAsia="宋体" w:hint="ascii"/>
          <w:sz w:val="21"/>
        </w:rPr>
        <w:t>围生医学</w:t>
      </w:r>
      <w:r>
        <w:rPr>
          <w:rFonts w:ascii="Times New Roman" w:hAnsi="Times New Roman" w:cs="Times New Roman" w:eastAsia="Times New Roman" w:hint="ascii"/>
          <w:sz w:val="21"/>
        </w:rPr>
        <w:t>/</w:t>
      </w:r>
      <w:r>
        <w:rPr>
          <w:rFonts w:ascii="宋体" w:hAnsi="宋体" w:cs="宋体" w:eastAsia="宋体" w:hint="ascii"/>
          <w:sz w:val="21"/>
        </w:rPr>
        <w:t>新生儿疾病相关诊疗新技术等开展的相关研究。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重点关注的研究方向和领域包括生殖细胞发生与受精、胚胎着床、胚胎胎儿发育及</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异常的研</w:t>
      </w:r>
      <w:r>
        <w:rPr>
          <w:rFonts w:ascii="宋体" w:hAnsi="宋体" w:cs="宋体" w:eastAsia="宋体" w:hint="ascii"/>
          <w:sz w:val="21"/>
        </w:rPr>
        <w:t>究，胎盘发育调控的研究，妊娠适应代偿机制及其调控异常所致的妊娠相关疾</w:t>
      </w:r>
      <w:r>
        <w:rPr>
          <w:rFonts w:ascii="宋体" w:hAnsi="宋体" w:cs="宋体" w:eastAsia="宋体" w:hint="ascii"/>
          <w:sz w:val="21"/>
          <w:spacing w:val="-1"/>
        </w:rPr>
        <w:t>病的研究</w:t>
      </w:r>
      <w:r>
        <w:rPr>
          <w:rFonts w:ascii="宋体" w:hAnsi="宋体" w:cs="宋体" w:eastAsia="宋体" w:hint="ascii"/>
          <w:sz w:val="21"/>
        </w:rPr>
        <w:t>；子宫内外环境影响妊娠结局及子代健康的研究；新生儿各器官系统发育调控</w:t>
      </w:r>
      <w:r>
        <w:rPr>
          <w:rFonts w:ascii="宋体" w:hAnsi="宋体" w:cs="宋体" w:eastAsia="宋体" w:hint="ascii"/>
          <w:sz w:val="21"/>
          <w:spacing w:val="-1"/>
        </w:rPr>
        <w:t>及相关疾</w:t>
      </w:r>
      <w:r>
        <w:rPr>
          <w:rFonts w:ascii="宋体" w:hAnsi="宋体" w:cs="宋体" w:eastAsia="宋体" w:hint="ascii"/>
          <w:sz w:val="21"/>
        </w:rPr>
        <w:t>病的研究；环境、遗传和营养等因素对生殖内分泌的调控及相关疾病的研究；</w:t>
      </w:r>
      <w:r>
        <w:rPr>
          <w:rFonts w:ascii="宋体" w:hAnsi="宋体" w:cs="宋体" w:eastAsia="宋体" w:hint="ascii"/>
          <w:sz w:val="21"/>
          <w:spacing w:val="-1"/>
        </w:rPr>
        <w:t>子宫内膜</w:t>
      </w:r>
      <w:r>
        <w:rPr>
          <w:rFonts w:ascii="宋体" w:hAnsi="宋体" w:cs="宋体" w:eastAsia="宋体" w:hint="ascii"/>
          <w:sz w:val="21"/>
        </w:rPr>
        <w:t>异位症和子宫腺肌症的发病机制、组织病理改变、类肿瘤细胞的增殖侵袭生物</w:t>
      </w:r>
      <w:r>
        <w:rPr>
          <w:rFonts w:ascii="宋体" w:hAnsi="宋体" w:cs="宋体" w:eastAsia="宋体" w:hint="ascii"/>
          <w:sz w:val="21"/>
          <w:spacing w:val="-1"/>
        </w:rPr>
        <w:t>学行为的</w:t>
      </w:r>
      <w:r>
        <w:rPr>
          <w:rFonts w:ascii="宋体" w:hAnsi="宋体" w:cs="宋体" w:eastAsia="宋体" w:hint="ascii"/>
          <w:sz w:val="21"/>
        </w:rPr>
        <w:t>研究；生育力保存与重塑、不孕不育、辅助生殖技术及其安全性的研究；男性</w:t>
      </w:r>
      <w:r>
        <w:rPr>
          <w:rFonts w:ascii="宋体" w:hAnsi="宋体" w:cs="宋体" w:eastAsia="宋体" w:hint="ascii"/>
          <w:sz w:val="21"/>
          <w:spacing w:val="-1"/>
        </w:rPr>
        <w:t>不育和男</w:t>
      </w:r>
      <w:r>
        <w:rPr>
          <w:rFonts w:ascii="宋体" w:hAnsi="宋体" w:cs="宋体" w:eastAsia="宋体" w:hint="ascii"/>
          <w:sz w:val="21"/>
        </w:rPr>
        <w:t>性性功能障碍的研究等。在妇科学相关研究领域中，建议今后更加关注青春期</w:t>
      </w:r>
      <w:r>
        <w:rPr>
          <w:rFonts w:ascii="宋体" w:hAnsi="宋体" w:cs="宋体" w:eastAsia="宋体" w:hint="ascii"/>
          <w:sz w:val="21"/>
          <w:spacing w:val="-1"/>
        </w:rPr>
        <w:t>启动、围</w:t>
      </w:r>
      <w:r>
        <w:rPr>
          <w:rFonts w:ascii="宋体" w:hAnsi="宋体" w:cs="宋体" w:eastAsia="宋体" w:hint="ascii"/>
          <w:sz w:val="21"/>
        </w:rPr>
        <w:t>绝经期生理和病理变化及其相关疾病的发病机制及预防，关注子宫内膜异位症</w:t>
      </w:r>
      <w:r>
        <w:rPr>
          <w:rFonts w:ascii="宋体" w:hAnsi="宋体" w:cs="宋体" w:eastAsia="宋体" w:hint="ascii"/>
          <w:sz w:val="21"/>
          <w:spacing w:val="-1"/>
        </w:rPr>
        <w:t>与子宫腺</w:t>
      </w:r>
      <w:r>
        <w:rPr>
          <w:rFonts w:ascii="宋体" w:hAnsi="宋体" w:cs="宋体" w:eastAsia="宋体" w:hint="ascii"/>
          <w:sz w:val="21"/>
        </w:rPr>
        <w:t>肌症诊断和治疗的基础研究，关注剖宫产术后相关后续病变、子宫切口瘢痕妊</w:t>
      </w:r>
      <w:r>
        <w:rPr>
          <w:rFonts w:ascii="宋体" w:hAnsi="宋体" w:cs="宋体" w:eastAsia="宋体" w:hint="ascii"/>
          <w:sz w:val="21"/>
          <w:spacing w:val="-1"/>
        </w:rPr>
        <w:t>娠、子宫</w:t>
      </w:r>
      <w:r>
        <w:rPr>
          <w:rFonts w:ascii="宋体" w:hAnsi="宋体" w:cs="宋体" w:eastAsia="宋体" w:hint="ascii"/>
          <w:sz w:val="21"/>
        </w:rPr>
        <w:t>切口憩室等的发病机制及干预研究，关注妇科常见和多发病的研究；在男科相</w:t>
      </w:r>
      <w:r>
        <w:rPr>
          <w:rFonts w:ascii="宋体" w:hAnsi="宋体" w:cs="宋体" w:eastAsia="宋体" w:hint="ascii"/>
          <w:sz w:val="21"/>
          <w:spacing w:val="1"/>
        </w:rPr>
        <w:t>关研究领域，建议今后</w:t>
      </w:r>
      <w:r>
        <w:rPr>
          <w:rFonts w:ascii="宋体" w:hAnsi="宋体" w:cs="宋体" w:eastAsia="宋体" w:hint="ascii"/>
          <w:sz w:val="21"/>
        </w:rPr>
        <w:t>更加关注性欲低下和射精功能障碍（如早泄、不射精等）的</w:t>
      </w:r>
      <w:r>
        <w:rPr>
          <w:rFonts w:ascii="宋体" w:hAnsi="宋体" w:cs="宋体" w:eastAsia="宋体" w:hint="ascii"/>
          <w:sz w:val="21"/>
          <w:spacing w:val="-6"/>
        </w:rPr>
        <w:t>研</w:t>
      </w:r>
      <w:r>
        <w:rPr>
          <w:rFonts w:ascii="宋体" w:hAnsi="宋体" w:cs="宋体" w:eastAsia="宋体" w:hint="ascii"/>
          <w:sz w:val="21"/>
          <w:spacing w:val="-1"/>
        </w:rPr>
        <w:t>究，关注</w:t>
      </w:r>
      <w:r>
        <w:rPr>
          <w:rFonts w:ascii="宋体" w:hAnsi="宋体" w:cs="宋体" w:eastAsia="宋体" w:hint="ascii"/>
          <w:sz w:val="21"/>
        </w:rPr>
        <w:t>男性生殖系统结构、功能与发育异常（如睾丸附睾炎等）和男性生殖系统遗传</w:t>
      </w:r>
      <w:r>
        <w:rPr>
          <w:rFonts w:ascii="宋体" w:hAnsi="宋体" w:cs="宋体" w:eastAsia="宋体" w:hint="ascii"/>
          <w:sz w:val="21"/>
          <w:spacing w:val="-1"/>
        </w:rPr>
        <w:t>性疾病（</w:t>
      </w:r>
      <w:r>
        <w:rPr>
          <w:rFonts w:ascii="宋体" w:hAnsi="宋体" w:cs="宋体" w:eastAsia="宋体" w:hint="ascii"/>
          <w:sz w:val="21"/>
        </w:rPr>
        <w:t>如特发性非梗阻性无精症、先天性输精管缺如等）等的研究；在生殖和围生医</w:t>
      </w:r>
      <w:r>
        <w:rPr>
          <w:rFonts w:ascii="宋体" w:hAnsi="宋体" w:cs="宋体" w:eastAsia="宋体" w:hint="ascii"/>
          <w:sz w:val="21"/>
          <w:spacing w:val="-1"/>
        </w:rPr>
        <w:t>学相关研</w:t>
      </w:r>
      <w:r>
        <w:rPr>
          <w:rFonts w:ascii="宋体" w:hAnsi="宋体" w:cs="宋体" w:eastAsia="宋体" w:hint="ascii"/>
          <w:sz w:val="21"/>
        </w:rPr>
        <w:t>究领域中，建议关注着床前胚胎发育、胚胎干细胞调控方面的研究，关注子痫</w:t>
      </w:r>
    </w:p>
    <w:p>
      <w:pPr>
        <w:autoSpaceDE w:val="0"/>
        <w:autoSpaceDN w:val="0"/>
        <w:jc w:val="left"/>
        <w:spacing w:before="28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前期多因素</w:t>
      </w:r>
      <w:r>
        <w:rPr>
          <w:rFonts w:ascii="宋体" w:hAnsi="宋体" w:cs="宋体" w:eastAsia="宋体" w:hint="ascii"/>
          <w:sz w:val="21"/>
        </w:rPr>
        <w:t>发病及干预研究，关注孕期营养环境及遗传因素互作对妊娠结局和子代健康</w:t>
      </w:r>
      <w:r>
        <w:rPr>
          <w:rFonts w:ascii="宋体" w:hAnsi="宋体" w:cs="宋体" w:eastAsia="宋体" w:hint="ascii"/>
          <w:sz w:val="21"/>
          <w:spacing w:val="-1"/>
        </w:rPr>
        <w:t>的影响以及</w:t>
      </w:r>
      <w:r>
        <w:rPr>
          <w:rFonts w:ascii="宋体" w:hAnsi="宋体" w:cs="宋体" w:eastAsia="宋体" w:hint="ascii"/>
          <w:sz w:val="21"/>
        </w:rPr>
        <w:t>母体疾病对母胎影响机制研究，关注胎盘发育与母胎疾病的研究，关注分娩</w:t>
      </w:r>
      <w:r>
        <w:rPr>
          <w:rFonts w:ascii="宋体" w:hAnsi="宋体" w:cs="宋体" w:eastAsia="宋体" w:hint="ascii"/>
          <w:sz w:val="21"/>
          <w:spacing w:val="-1"/>
        </w:rPr>
        <w:t>启动机制、</w:t>
      </w:r>
      <w:r>
        <w:rPr>
          <w:rFonts w:ascii="宋体" w:hAnsi="宋体" w:cs="宋体" w:eastAsia="宋体" w:hint="ascii"/>
          <w:sz w:val="21"/>
        </w:rPr>
        <w:t>分娩期胎盘与子宫缩变相关的产后出血发生机制研究，关注各种自身免疫性</w:t>
      </w:r>
      <w:r>
        <w:rPr>
          <w:rFonts w:ascii="宋体" w:hAnsi="宋体" w:cs="宋体" w:eastAsia="宋体" w:hint="ascii"/>
          <w:sz w:val="21"/>
          <w:spacing w:val="-1"/>
        </w:rPr>
        <w:t>疾病对妊娠</w:t>
      </w:r>
      <w:r>
        <w:rPr>
          <w:rFonts w:ascii="宋体" w:hAnsi="宋体" w:cs="宋体" w:eastAsia="宋体" w:hint="ascii"/>
          <w:sz w:val="21"/>
        </w:rPr>
        <w:t>结局的影响以及相关疾病的免疫治疗研究，关注胎儿各个器官系统的正常发</w:t>
      </w:r>
      <w:r>
        <w:rPr>
          <w:rFonts w:ascii="宋体" w:hAnsi="宋体" w:cs="宋体" w:eastAsia="宋体" w:hint="ascii"/>
          <w:sz w:val="21"/>
          <w:spacing w:val="-1"/>
        </w:rPr>
        <w:t>生发育及异</w:t>
      </w:r>
      <w:r>
        <w:rPr>
          <w:rFonts w:ascii="宋体" w:hAnsi="宋体" w:cs="宋体" w:eastAsia="宋体" w:hint="ascii"/>
          <w:sz w:val="21"/>
        </w:rPr>
        <w:t>常改变的机制研究以及各种先天性缺陷的早期诊断与治疗研究；在新生儿相</w:t>
      </w:r>
      <w:r>
        <w:rPr>
          <w:rFonts w:ascii="宋体" w:hAnsi="宋体" w:cs="宋体" w:eastAsia="宋体" w:hint="ascii"/>
          <w:sz w:val="21"/>
          <w:spacing w:val="-1"/>
        </w:rPr>
        <w:t>关研究领域</w:t>
      </w:r>
      <w:r>
        <w:rPr>
          <w:rFonts w:ascii="宋体" w:hAnsi="宋体" w:cs="宋体" w:eastAsia="宋体" w:hint="ascii"/>
          <w:sz w:val="21"/>
        </w:rPr>
        <w:t>，建议今后更加关注新生儿循环系统疾病、遗传性代谢病、感染性疾病和新</w:t>
      </w:r>
      <w:r>
        <w:rPr>
          <w:rFonts w:ascii="宋体" w:hAnsi="宋体" w:cs="宋体" w:eastAsia="宋体" w:hint="ascii"/>
          <w:sz w:val="21"/>
          <w:spacing w:val="-1"/>
        </w:rPr>
        <w:t>生儿营养，</w:t>
      </w:r>
      <w:r>
        <w:rPr>
          <w:rFonts w:ascii="宋体" w:hAnsi="宋体" w:cs="宋体" w:eastAsia="宋体" w:hint="ascii"/>
          <w:sz w:val="21"/>
        </w:rPr>
        <w:t>以及新生儿危重症救治、新生儿慢性脏器损伤性疾病等研究；在辅助生殖和</w:t>
      </w:r>
      <w:r>
        <w:rPr>
          <w:rFonts w:ascii="宋体" w:hAnsi="宋体" w:cs="宋体" w:eastAsia="宋体" w:hint="ascii"/>
          <w:sz w:val="21"/>
          <w:spacing w:val="-1"/>
        </w:rPr>
        <w:t>生殖医学工</w:t>
      </w:r>
      <w:r>
        <w:rPr>
          <w:rFonts w:ascii="宋体" w:hAnsi="宋体" w:cs="宋体" w:eastAsia="宋体" w:hint="ascii"/>
          <w:sz w:val="21"/>
        </w:rPr>
        <w:t>程相关研究领域中，建议今后更加关注精子体外诱导分化技术、睾丸取精技</w:t>
      </w:r>
      <w:r>
        <w:rPr>
          <w:rFonts w:ascii="宋体" w:hAnsi="宋体" w:cs="宋体" w:eastAsia="宋体" w:hint="ascii"/>
          <w:sz w:val="21"/>
          <w:spacing w:val="-1"/>
        </w:rPr>
        <w:t>术和促生精</w:t>
      </w:r>
      <w:r>
        <w:rPr>
          <w:rFonts w:ascii="宋体" w:hAnsi="宋体" w:cs="宋体" w:eastAsia="宋体" w:hint="ascii"/>
          <w:sz w:val="21"/>
        </w:rPr>
        <w:t>技术等相关基础研究，关注卵子体外诱导分化技术、卵子体外成熟技术，关注干细胞诱导分化、干细胞移植，关注新的疾病动物模型建立等研究。</w:t>
      </w:r>
      <w:r>
        <w:rPr>
          <w:rFonts w:ascii="宋体" w:hAnsi="宋体" w:cs="宋体" w:eastAsia="宋体" w:hint="ascii"/>
          <w:sz w:val="21"/>
        </w:rPr>
        <mc:AlternateContent>
          <mc:Choice Requires="wps">
            <w:drawing>
              <wp:anchor distL="0" distR="0" distT="0" distB="0" simplePos="0" behindDoc="1" relativeHeight="132" locked="0" layoutInCell="1" allowOverlap="1">
                <wp:simplePos x="0" y="0"/>
                <wp:positionH relativeFrom="page">
                  <wp:posOffset>938530</wp:posOffset>
                </wp:positionH>
                <wp:positionV relativeFrom="page">
                  <wp:posOffset>819150</wp:posOffset>
                </wp:positionV>
                <wp:extent cx="5076190" cy="0"/>
                <wp:wrapNone/>
                <wp:docPr id="1161" name="116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23072;width:399.70pt;" id="116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重点支持的研究包括：通过建立有特色的研究体系和多学科交叉的技术平台（如靶</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向分子技术、在体示踪技术和灵长类等大动物模型等）研究人类遗传和发育的分子和细胞基础、人类配子发生与减数分裂调控、人类精卵识别与受精的规律及异常、人类胚胎干细胞和早期胚胎发育规律及异常、人类妊娠建立和维持的生理调控规律及相关疾病的病理机制、人类器官系统的发生与早期发育规律及异常、人类生殖系统结构功能的发育基础及异常、分娩产褥及相关疾病、人类新生儿的发育规律及异常等；获得性性状的跨代遗传；生殖细胞、组织、器官的重塑（包括人造配子、子宫甚至胎盘</w:t>
      </w:r>
      <w:r>
        <w:rPr>
          <w:rFonts w:ascii="宋体" w:hAnsi="宋体" w:cs="宋体" w:eastAsia="宋体" w:hint="ascii"/>
          <w:sz w:val="21"/>
          <w:spacing w:val="-50"/>
        </w:rPr>
        <w:t>）</w:t>
      </w:r>
      <w:r>
        <w:rPr>
          <w:rFonts w:ascii="宋体" w:hAnsi="宋体" w:cs="宋体" w:eastAsia="宋体" w:hint="ascii"/>
          <w:sz w:val="21"/>
        </w:rPr>
        <w:t>；生殖障碍性疾病的新机制；利用我国疾病资源和遗传资源优势开展的先天畸形、先天性代谢病、单基因</w:t>
      </w:r>
      <w:r>
        <w:rPr>
          <w:rFonts w:ascii="Times New Roman" w:hAnsi="Times New Roman" w:cs="Times New Roman" w:eastAsia="Times New Roman" w:hint="ascii"/>
          <w:sz w:val="21"/>
        </w:rPr>
        <w:t>/</w:t>
      </w:r>
      <w:r>
        <w:rPr>
          <w:rFonts w:ascii="宋体" w:hAnsi="宋体" w:cs="宋体" w:eastAsia="宋体" w:hint="ascii"/>
          <w:sz w:val="21"/>
        </w:rPr>
        <w:t>多基因遗传病、染色体病的发病机制与早期诊断治疗研究；应用生物医学的</w:t>
      </w:r>
      <w:r>
        <w:rPr>
          <w:rFonts w:ascii="宋体" w:hAnsi="宋体" w:cs="宋体" w:eastAsia="宋体" w:hint="ascii"/>
          <w:sz w:val="21"/>
          <w:spacing w:val="3"/>
        </w:rPr>
        <w:t>最</w:t>
      </w:r>
      <w:r>
        <w:rPr>
          <w:rFonts w:ascii="宋体" w:hAnsi="宋体" w:cs="宋体" w:eastAsia="宋体" w:hint="ascii"/>
          <w:sz w:val="21"/>
        </w:rPr>
        <w:t>新进展和成果开展的避孕、节育、辅助生殖及其安全性的相关基础研究；应用基因编辑技术、干细胞培养和定向分化技术，结合组织工程新材料等治疗生殖系统相关疾病的基础</w:t>
      </w:r>
      <w:r>
        <w:rPr>
          <w:rFonts w:ascii="宋体" w:hAnsi="宋体" w:cs="宋体" w:eastAsia="宋体" w:hint="ascii"/>
          <w:sz w:val="21"/>
          <w:spacing w:val="3"/>
        </w:rPr>
        <w:t>与应用基</w:t>
      </w:r>
      <w:r>
        <w:rPr>
          <w:rFonts w:ascii="宋体" w:hAnsi="宋体" w:cs="宋体" w:eastAsia="宋体" w:hint="ascii"/>
          <w:sz w:val="21"/>
        </w:rPr>
        <w:t>础</w:t>
      </w:r>
      <w:r>
        <w:rPr>
          <w:rFonts w:ascii="宋体" w:hAnsi="宋体" w:cs="宋体" w:eastAsia="宋体" w:hint="ascii"/>
          <w:sz w:val="21"/>
          <w:spacing w:val="3"/>
        </w:rPr>
        <w:t>研究；利</w:t>
      </w:r>
      <w:r>
        <w:rPr>
          <w:rFonts w:ascii="宋体" w:hAnsi="宋体" w:cs="宋体" w:eastAsia="宋体" w:hint="ascii"/>
          <w:sz w:val="21"/>
        </w:rPr>
        <w:t>用</w:t>
      </w:r>
      <w:r>
        <w:rPr>
          <w:rFonts w:ascii="宋体" w:hAnsi="宋体" w:cs="宋体" w:eastAsia="宋体" w:hint="ascii"/>
          <w:sz w:val="21"/>
          <w:spacing w:val="3"/>
        </w:rPr>
        <w:t>我国的人</w:t>
      </w:r>
      <w:r>
        <w:rPr>
          <w:rFonts w:ascii="宋体" w:hAnsi="宋体" w:cs="宋体" w:eastAsia="宋体" w:hint="ascii"/>
          <w:sz w:val="21"/>
        </w:rPr>
        <w:t>口</w:t>
      </w:r>
      <w:r>
        <w:rPr>
          <w:rFonts w:ascii="宋体" w:hAnsi="宋体" w:cs="宋体" w:eastAsia="宋体" w:hint="ascii"/>
          <w:sz w:val="21"/>
          <w:spacing w:val="3"/>
        </w:rPr>
        <w:t>资源优势</w:t>
      </w:r>
      <w:r>
        <w:rPr>
          <w:rFonts w:ascii="宋体" w:hAnsi="宋体" w:cs="宋体" w:eastAsia="宋体" w:hint="ascii"/>
          <w:sz w:val="21"/>
        </w:rPr>
        <w:t>开</w:t>
      </w:r>
      <w:r>
        <w:rPr>
          <w:rFonts w:ascii="宋体" w:hAnsi="宋体" w:cs="宋体" w:eastAsia="宋体" w:hint="ascii"/>
          <w:sz w:val="21"/>
          <w:spacing w:val="3"/>
        </w:rPr>
        <w:t>展的性别</w:t>
      </w:r>
      <w:r>
        <w:rPr>
          <w:rFonts w:ascii="宋体" w:hAnsi="宋体" w:cs="宋体" w:eastAsia="宋体" w:hint="ascii"/>
          <w:sz w:val="21"/>
        </w:rPr>
        <w:t>差</w:t>
      </w:r>
      <w:r>
        <w:rPr>
          <w:rFonts w:ascii="宋体" w:hAnsi="宋体" w:cs="宋体" w:eastAsia="宋体" w:hint="ascii"/>
          <w:sz w:val="21"/>
          <w:spacing w:val="3"/>
        </w:rPr>
        <w:t>异影响人</w:t>
      </w:r>
      <w:r>
        <w:rPr>
          <w:rFonts w:ascii="宋体" w:hAnsi="宋体" w:cs="宋体" w:eastAsia="宋体" w:hint="ascii"/>
          <w:sz w:val="21"/>
        </w:rPr>
        <w:t>类</w:t>
      </w:r>
      <w:r>
        <w:rPr>
          <w:rFonts w:ascii="宋体" w:hAnsi="宋体" w:cs="宋体" w:eastAsia="宋体" w:hint="ascii"/>
          <w:sz w:val="21"/>
          <w:spacing w:val="3"/>
        </w:rPr>
        <w:t>健康和疾病</w:t>
      </w:r>
      <w:r>
        <w:rPr>
          <w:rFonts w:ascii="宋体" w:hAnsi="宋体" w:cs="宋体" w:eastAsia="宋体" w:hint="ascii"/>
          <w:sz w:val="21"/>
          <w:spacing w:val="4"/>
        </w:rPr>
        <w:t>的</w:t>
      </w:r>
      <w:r>
        <w:rPr>
          <w:rFonts w:ascii="宋体" w:hAnsi="宋体" w:cs="宋体" w:eastAsia="宋体" w:hint="ascii"/>
          <w:sz w:val="21"/>
        </w:rPr>
        <w:t>研究；利用近年发展的实时动态成像技术、新一代测序技术、组学新技术等开展的生殖系统</w:t>
      </w:r>
      <w:r>
        <w:rPr>
          <w:rFonts w:ascii="Times New Roman" w:hAnsi="Times New Roman" w:cs="Times New Roman" w:eastAsia="Times New Roman" w:hint="ascii"/>
          <w:sz w:val="21"/>
        </w:rPr>
        <w:t>/</w:t>
      </w:r>
      <w:r>
        <w:rPr>
          <w:rFonts w:ascii="宋体" w:hAnsi="宋体" w:cs="宋体" w:eastAsia="宋体" w:hint="ascii"/>
          <w:sz w:val="21"/>
        </w:rPr>
        <w:t>围生医学</w:t>
      </w:r>
      <w:r>
        <w:rPr>
          <w:rFonts w:ascii="Times New Roman" w:hAnsi="Times New Roman" w:cs="Times New Roman" w:eastAsia="Times New Roman" w:hint="ascii"/>
          <w:sz w:val="21"/>
        </w:rPr>
        <w:t>/</w:t>
      </w:r>
      <w:r>
        <w:rPr>
          <w:rFonts w:ascii="宋体" w:hAnsi="宋体" w:cs="宋体" w:eastAsia="宋体" w:hint="ascii"/>
          <w:sz w:val="21"/>
        </w:rPr>
        <w:t>新生儿相关的基础与应用基础研究；临床与基础人员密切合作开展的基于临床实践的生殖系统</w:t>
      </w:r>
      <w:r>
        <w:rPr>
          <w:rFonts w:ascii="Times New Roman" w:hAnsi="Times New Roman" w:cs="Times New Roman" w:eastAsia="Times New Roman" w:hint="ascii"/>
          <w:sz w:val="21"/>
        </w:rPr>
        <w:t>/</w:t>
      </w:r>
      <w:r>
        <w:rPr>
          <w:rFonts w:ascii="宋体" w:hAnsi="宋体" w:cs="宋体" w:eastAsia="宋体" w:hint="ascii"/>
          <w:sz w:val="21"/>
        </w:rPr>
        <w:t>围生医学</w:t>
      </w:r>
      <w:r>
        <w:rPr>
          <w:rFonts w:ascii="Times New Roman" w:hAnsi="Times New Roman" w:cs="Times New Roman" w:eastAsia="Times New Roman" w:hint="ascii"/>
          <w:sz w:val="21"/>
        </w:rPr>
        <w:t>/</w:t>
      </w:r>
      <w:r>
        <w:rPr>
          <w:rFonts w:ascii="宋体" w:hAnsi="宋体" w:cs="宋体" w:eastAsia="宋体" w:hint="ascii"/>
          <w:sz w:val="21"/>
        </w:rPr>
        <w:t>新生儿相关的创新性及转化性研究。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生殖系统</w:t>
      </w:r>
      <w:r>
        <w:rPr>
          <w:rFonts w:ascii="宋体" w:hAnsi="宋体" w:cs="宋体" w:eastAsia="宋体" w:hint="ascii"/>
          <w:sz w:val="21"/>
          <w:spacing w:val="-47"/>
        </w:rPr>
        <w:t>/</w:t>
      </w:r>
      <w:r>
        <w:rPr>
          <w:rFonts w:ascii="宋体" w:hAnsi="宋体" w:cs="宋体" w:eastAsia="宋体" w:hint="ascii"/>
          <w:sz w:val="21"/>
        </w:rPr>
        <w:t>围生医学</w:t>
      </w:r>
      <w:r>
        <w:rPr>
          <w:rFonts w:ascii="宋体" w:hAnsi="宋体" w:cs="宋体" w:eastAsia="宋体" w:hint="ascii"/>
          <w:sz w:val="21"/>
          <w:spacing w:val="-47"/>
        </w:rPr>
        <w:t>/</w:t>
      </w:r>
      <w:r>
        <w:rPr>
          <w:rFonts w:ascii="宋体" w:hAnsi="宋体" w:cs="宋体" w:eastAsia="宋体" w:hint="ascii"/>
          <w:sz w:val="21"/>
        </w:rPr>
        <w:t>新生儿（</w:t>
      </w:r>
      <w:r>
        <w:rPr>
          <w:rFonts w:ascii="Times New Roman" w:hAnsi="Times New Roman" w:cs="Times New Roman" w:eastAsia="Times New Roman" w:hint="ascii"/>
          <w:b w:val="1"/>
          <w:sz w:val="21"/>
        </w:rPr>
        <w:t>H04</w:t>
      </w:r>
      <w:r>
        <w:rPr>
          <w:rFonts w:ascii="宋体" w:hAnsi="宋体" w:cs="宋体" w:eastAsia="宋体" w:hint="ascii"/>
          <w:sz w:val="21"/>
        </w:rPr>
        <w:t>）不受理肿瘤相关的研究项目</w:t>
      </w:r>
      <w:r>
        <w:rPr>
          <w:rFonts w:ascii="宋体" w:hAnsi="宋体" w:cs="宋体" w:eastAsia="宋体" w:hint="ascii"/>
          <w:b w:val="1"/>
          <w:sz w:val="21"/>
        </w:rPr>
        <w:t>。</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医学免疫学（</w:t>
      </w:r>
      <w:r>
        <w:rPr>
          <w:rFonts w:ascii="Times New Roman" w:hAnsi="Times New Roman" w:cs="Times New Roman" w:eastAsia="Times New Roman" w:hint="ascii"/>
          <w:b w:val="1"/>
        </w:rPr>
        <w:t>H10</w:t>
      </w:r>
      <w:r>
        <w:rPr>
          <w:rFonts w:ascii="宋体" w:hAnsi="宋体" w:cs="宋体" w:eastAsia="宋体" w:hint="ascii"/>
        </w:rPr>
        <w:t>）</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主要资助围绕免疫分子、细胞、组织、器官等的形态、结构、功能及发育异常，各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种疾病的免</w:t>
      </w:r>
      <w:r>
        <w:rPr>
          <w:rFonts w:ascii="宋体" w:hAnsi="宋体" w:cs="宋体" w:eastAsia="宋体" w:hint="ascii"/>
          <w:sz w:val="21"/>
        </w:rPr>
        <w:t>疫病理机制、免疫调节机制、免疫耐受机制，免疫预防、免疫诊断、免疫治疗等开展的相关研究。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重点关注的方向和领域包括新的免疫细胞及其亚群，新的免疫分子及其信号转导途</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径与疾病，</w:t>
      </w:r>
      <w:r>
        <w:rPr>
          <w:rFonts w:ascii="宋体" w:hAnsi="宋体" w:cs="宋体" w:eastAsia="宋体" w:hint="ascii"/>
          <w:sz w:val="21"/>
        </w:rPr>
        <w:t>干细胞与免疫，免疫细胞的体外分化与制备，表观遗传修饰对免疫细胞分化</w:t>
      </w:r>
      <w:r>
        <w:rPr>
          <w:rFonts w:ascii="宋体" w:hAnsi="宋体" w:cs="宋体" w:eastAsia="宋体" w:hint="ascii"/>
          <w:sz w:val="21"/>
          <w:spacing w:val="1"/>
        </w:rPr>
        <w:t>和功能的影响，代谢</w:t>
      </w:r>
      <w:r>
        <w:rPr>
          <w:rFonts w:ascii="宋体" w:hAnsi="宋体" w:cs="宋体" w:eastAsia="宋体" w:hint="ascii"/>
          <w:sz w:val="21"/>
        </w:rPr>
        <w:t>与免疫的相互调节，肠道、生殖道等微生态与免疫系统的相互</w:t>
      </w:r>
      <w:r>
        <w:rPr>
          <w:rFonts w:ascii="宋体" w:hAnsi="宋体" w:cs="宋体" w:eastAsia="宋体" w:hint="ascii"/>
          <w:sz w:val="21"/>
          <w:spacing w:val="-6"/>
        </w:rPr>
        <w:t>调</w:t>
      </w:r>
      <w:r>
        <w:rPr>
          <w:rFonts w:ascii="宋体" w:hAnsi="宋体" w:cs="宋体" w:eastAsia="宋体" w:hint="ascii"/>
          <w:sz w:val="21"/>
          <w:spacing w:val="-1"/>
        </w:rPr>
        <w:t>节；区域免</w:t>
      </w:r>
      <w:r>
        <w:rPr>
          <w:rFonts w:ascii="宋体" w:hAnsi="宋体" w:cs="宋体" w:eastAsia="宋体" w:hint="ascii"/>
          <w:sz w:val="21"/>
        </w:rPr>
        <w:t>疫与疾病，胞外体与免疫相关疾病，免疫细胞分化和功能异常与疾病，免疫</w:t>
      </w:r>
      <w:r>
        <w:rPr>
          <w:rFonts w:ascii="宋体" w:hAnsi="宋体" w:cs="宋体" w:eastAsia="宋体" w:hint="ascii"/>
          <w:sz w:val="21"/>
          <w:spacing w:val="-1"/>
        </w:rPr>
        <w:t>识别</w:t>
      </w:r>
      <w:r>
        <w:rPr>
          <w:rFonts w:ascii="宋体" w:hAnsi="宋体" w:cs="宋体" w:eastAsia="宋体" w:hint="ascii"/>
          <w:sz w:val="21"/>
          <w:spacing w:val="-1"/>
        </w:rPr>
        <w:t>-</w:t>
      </w:r>
      <w:r>
        <w:rPr>
          <w:rFonts w:ascii="宋体" w:hAnsi="宋体" w:cs="宋体" w:eastAsia="宋体" w:hint="ascii"/>
          <w:sz w:val="21"/>
          <w:spacing w:val="-1"/>
        </w:rPr>
        <w:t>应答</w:t>
      </w:r>
      <w:r>
        <w:rPr>
          <w:rFonts w:ascii="宋体" w:hAnsi="宋体" w:cs="宋体" w:eastAsia="宋体" w:hint="ascii"/>
          <w:sz w:val="21"/>
          <w:spacing w:val="-1"/>
        </w:rPr>
        <w:t>-</w:t>
      </w:r>
      <w:r>
        <w:rPr>
          <w:rFonts w:ascii="宋体" w:hAnsi="宋体" w:cs="宋体" w:eastAsia="宋体" w:hint="ascii"/>
          <w:sz w:val="21"/>
        </w:rPr>
        <w:t>效应机制与疾病；感染性疾病、炎症性疾病、超敏反应性疾病、自身免疫性</w:t>
      </w:r>
      <w:r>
        <w:rPr>
          <w:rFonts w:ascii="宋体" w:hAnsi="宋体" w:cs="宋体" w:eastAsia="宋体" w:hint="ascii"/>
          <w:sz w:val="21"/>
          <w:spacing w:val="-1"/>
        </w:rPr>
        <w:t>疾病、组织</w:t>
      </w:r>
      <w:r>
        <w:rPr>
          <w:rFonts w:ascii="宋体" w:hAnsi="宋体" w:cs="宋体" w:eastAsia="宋体" w:hint="ascii"/>
          <w:sz w:val="21"/>
        </w:rPr>
        <w:t>损伤与修复、原发和继发性免疫缺陷病、移植免疫和器官移植（如长期存活</w:t>
      </w:r>
      <w:r>
        <w:rPr>
          <w:rFonts w:ascii="宋体" w:hAnsi="宋体" w:cs="宋体" w:eastAsia="宋体" w:hint="ascii"/>
          <w:sz w:val="21"/>
          <w:spacing w:val="-1"/>
        </w:rPr>
        <w:t>的器官移植</w:t>
      </w:r>
      <w:r>
        <w:rPr>
          <w:rFonts w:ascii="宋体" w:hAnsi="宋体" w:cs="宋体" w:eastAsia="宋体" w:hint="ascii"/>
          <w:sz w:val="21"/>
        </w:rPr>
        <w:t>患者的免疫学状态及免疫抑制剂所致疾病）等相关的基础和临床基础研究；</w:t>
      </w:r>
      <w:r>
        <w:rPr>
          <w:rFonts w:ascii="宋体" w:hAnsi="宋体" w:cs="宋体" w:eastAsia="宋体" w:hint="ascii"/>
          <w:sz w:val="21"/>
          <w:spacing w:val="-1"/>
        </w:rPr>
        <w:t>用于免疫治</w:t>
      </w:r>
      <w:r>
        <w:rPr>
          <w:rFonts w:ascii="宋体" w:hAnsi="宋体" w:cs="宋体" w:eastAsia="宋体" w:hint="ascii"/>
          <w:sz w:val="21"/>
        </w:rPr>
        <w:t>疗的新的生物制剂与载体以及疫苗与佐剂的作用与机制等。在基础免疫学领</w:t>
      </w:r>
    </w:p>
    <w:p>
      <w:pPr>
        <w:autoSpaceDE w:val="0"/>
        <w:autoSpaceDN w:val="0"/>
        <w:jc w:val="left"/>
        <w:spacing w:before="276"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3"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域，建</w:t>
      </w:r>
      <w:r>
        <w:rPr>
          <w:rFonts w:ascii="宋体" w:hAnsi="宋体" w:cs="宋体" w:eastAsia="宋体" w:hint="ascii"/>
          <w:sz w:val="21"/>
        </w:rPr>
        <w:t>议关注新的免疫分子和免疫细胞亚群的研究，关注淋巴系统的发育、分化、功能及其在免疫相关疾病中的作用机理研究，关注糖</w:t>
      </w:r>
      <w:r>
        <w:rPr>
          <w:rFonts w:ascii="Times New Roman" w:hAnsi="Times New Roman" w:cs="Times New Roman" w:eastAsia="Times New Roman" w:hint="ascii"/>
          <w:sz w:val="21"/>
        </w:rPr>
        <w:t>/</w:t>
      </w:r>
      <w:r>
        <w:rPr>
          <w:rFonts w:ascii="宋体" w:hAnsi="宋体" w:cs="宋体" w:eastAsia="宋体" w:hint="ascii"/>
          <w:sz w:val="21"/>
        </w:rPr>
        <w:t>脂代谢在免疫相关疾病发生发展中的作用；在炎症</w:t>
      </w:r>
      <w:r>
        <w:rPr>
          <w:rFonts w:ascii="Times New Roman" w:hAnsi="Times New Roman" w:cs="Times New Roman" w:eastAsia="Times New Roman" w:hint="ascii"/>
          <w:sz w:val="21"/>
        </w:rPr>
        <w:t>/</w:t>
      </w:r>
      <w:r>
        <w:rPr>
          <w:rFonts w:ascii="宋体" w:hAnsi="宋体" w:cs="宋体" w:eastAsia="宋体" w:hint="ascii"/>
          <w:sz w:val="21"/>
        </w:rPr>
        <w:t xml:space="preserve">感染与免疫领域，建议关注 </w:t>
      </w:r>
      <w:r>
        <w:rPr>
          <w:rFonts w:ascii="Times New Roman" w:hAnsi="Times New Roman" w:cs="Times New Roman" w:eastAsia="Times New Roman" w:hint="ascii"/>
          <w:sz w:val="21"/>
        </w:rPr>
        <w:t xml:space="preserve">Hippo </w:t>
      </w:r>
      <w:r>
        <w:rPr>
          <w:rFonts w:ascii="宋体" w:hAnsi="宋体" w:cs="宋体" w:eastAsia="宋体" w:hint="ascii"/>
          <w:sz w:val="21"/>
        </w:rPr>
        <w:t>通路、代谢通路、神经内分泌调节等</w:t>
      </w:r>
      <w:r>
        <w:rPr>
          <w:rFonts w:ascii="宋体" w:hAnsi="宋体" w:cs="宋体" w:eastAsia="宋体" w:hint="ascii"/>
          <w:sz w:val="21"/>
          <w:spacing w:val="1"/>
        </w:rPr>
        <w:t>的研究，关注炎症在组织</w:t>
      </w:r>
      <w:r>
        <w:rPr>
          <w:rFonts w:ascii="宋体" w:hAnsi="宋体" w:cs="宋体" w:eastAsia="宋体" w:hint="ascii"/>
          <w:sz w:val="21"/>
        </w:rPr>
        <w:t>损伤与修复方面的研究（包括炎症反应及炎症因子在免疫</w:t>
      </w:r>
      <w:r>
        <w:rPr>
          <w:rFonts w:ascii="宋体" w:hAnsi="宋体" w:cs="宋体" w:eastAsia="宋体" w:hint="ascii"/>
          <w:sz w:val="21"/>
          <w:spacing w:val="-6"/>
        </w:rPr>
        <w:t>干</w:t>
      </w:r>
      <w:r>
        <w:rPr>
          <w:rFonts w:ascii="宋体" w:hAnsi="宋体" w:cs="宋体" w:eastAsia="宋体" w:hint="ascii"/>
          <w:sz w:val="21"/>
        </w:rPr>
        <w:t>预、促进组织修复、保护组织功能方面的作用研究</w:t>
      </w:r>
      <w:r>
        <w:rPr>
          <w:rFonts w:ascii="宋体" w:hAnsi="宋体" w:cs="宋体" w:eastAsia="宋体" w:hint="ascii"/>
          <w:sz w:val="21"/>
          <w:spacing w:val="-52"/>
        </w:rPr>
        <w:t>）</w:t>
      </w:r>
      <w:r>
        <w:rPr>
          <w:rFonts w:ascii="宋体" w:hAnsi="宋体" w:cs="宋体" w:eastAsia="宋体" w:hint="ascii"/>
          <w:sz w:val="21"/>
        </w:rPr>
        <w:t>；在器官移植与移植免疫学领域，</w:t>
      </w:r>
      <w:r>
        <w:rPr>
          <w:rFonts w:ascii="宋体" w:hAnsi="宋体" w:cs="宋体" w:eastAsia="宋体" w:hint="ascii"/>
          <w:sz w:val="21"/>
          <w:spacing w:val="-1"/>
        </w:rPr>
        <w:t>建议关</w:t>
      </w:r>
      <w:r>
        <w:rPr>
          <w:rFonts w:ascii="宋体" w:hAnsi="宋体" w:cs="宋体" w:eastAsia="宋体" w:hint="ascii"/>
          <w:sz w:val="21"/>
        </w:rPr>
        <w:t>注天然免疫细胞及新型免疫细胞亚群以及抗体、补体等在移植免疫中的作用，关</w:t>
      </w:r>
      <w:r>
        <w:rPr>
          <w:rFonts w:ascii="宋体" w:hAnsi="宋体" w:cs="宋体" w:eastAsia="宋体" w:hint="ascii"/>
          <w:sz w:val="21"/>
          <w:spacing w:val="-2"/>
        </w:rPr>
        <w:t>注慢性排斥反应的机制与防治的研究；</w:t>
      </w:r>
      <w:r>
        <w:rPr>
          <w:rFonts w:ascii="宋体" w:hAnsi="宋体" w:cs="宋体" w:eastAsia="宋体" w:hint="ascii"/>
          <w:sz w:val="21"/>
          <w:spacing w:val="-1"/>
        </w:rPr>
        <w:t>在超敏反应领域，建议关注</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IgE</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1"/>
        </w:rPr>
        <w:t>的新作用、超敏</w:t>
      </w:r>
      <w:r>
        <w:rPr>
          <w:rFonts w:ascii="宋体" w:hAnsi="宋体" w:cs="宋体" w:eastAsia="宋体" w:hint="ascii"/>
          <w:sz w:val="21"/>
        </w:rPr>
        <w:t xml:space="preserve"> </w:t>
      </w:r>
      <w:r>
        <w:rPr>
          <w:rFonts w:ascii="宋体" w:hAnsi="宋体" w:cs="宋体" w:eastAsia="宋体" w:hint="ascii"/>
          <w:sz w:val="21"/>
          <w:spacing w:val="-1"/>
        </w:rPr>
        <w:t>反应的</w:t>
      </w:r>
      <w:r>
        <w:rPr>
          <w:rFonts w:ascii="宋体" w:hAnsi="宋体" w:cs="宋体" w:eastAsia="宋体" w:hint="ascii"/>
          <w:sz w:val="21"/>
        </w:rPr>
        <w:t>新分子及新过敏原的筛选、组分解析、标准化和诊断方法研究，关注Ⅱ、Ⅲ、Ⅳ</w:t>
      </w:r>
      <w:r>
        <w:rPr>
          <w:rFonts w:ascii="宋体" w:hAnsi="宋体" w:cs="宋体" w:eastAsia="宋体" w:hint="ascii"/>
          <w:sz w:val="21"/>
          <w:spacing w:val="-1"/>
        </w:rPr>
        <w:t>型超敏</w:t>
      </w:r>
      <w:r>
        <w:rPr>
          <w:rFonts w:ascii="宋体" w:hAnsi="宋体" w:cs="宋体" w:eastAsia="宋体" w:hint="ascii"/>
          <w:sz w:val="21"/>
        </w:rPr>
        <w:t>反应的免疫学研究；在自身免疫性疾病领域，建议关注基于自身免疫性疾病动物</w:t>
      </w:r>
      <w:r>
        <w:rPr>
          <w:rFonts w:ascii="宋体" w:hAnsi="宋体" w:cs="宋体" w:eastAsia="宋体" w:hint="ascii"/>
          <w:sz w:val="21"/>
          <w:spacing w:val="-1"/>
        </w:rPr>
        <w:t>模型的</w:t>
      </w:r>
      <w:r>
        <w:rPr>
          <w:rFonts w:ascii="宋体" w:hAnsi="宋体" w:cs="宋体" w:eastAsia="宋体" w:hint="ascii"/>
          <w:sz w:val="21"/>
        </w:rPr>
        <w:t>整体研究，关注免疫信息学、细胞组学及基因组编辑技术在自身免疫性疾病中的</w:t>
      </w:r>
      <w:r>
        <w:rPr>
          <w:rFonts w:ascii="宋体" w:hAnsi="宋体" w:cs="宋体" w:eastAsia="宋体" w:hint="ascii"/>
          <w:sz w:val="21"/>
          <w:spacing w:val="-1"/>
        </w:rPr>
        <w:t>应用，</w:t>
      </w:r>
      <w:r>
        <w:rPr>
          <w:rFonts w:ascii="宋体" w:hAnsi="宋体" w:cs="宋体" w:eastAsia="宋体" w:hint="ascii"/>
          <w:sz w:val="21"/>
        </w:rPr>
        <w:t>关注少见病、罕见病的研究；在疫苗研究领域，建议关注个体化疫苗与生物信息</w:t>
      </w:r>
      <w:r>
        <w:rPr>
          <w:rFonts w:ascii="宋体" w:hAnsi="宋体" w:cs="宋体" w:eastAsia="宋体" w:hint="ascii"/>
          <w:sz w:val="21"/>
          <w:spacing w:val="-1"/>
        </w:rPr>
        <w:t>技术的</w:t>
      </w:r>
      <w:r>
        <w:rPr>
          <w:rFonts w:ascii="宋体" w:hAnsi="宋体" w:cs="宋体" w:eastAsia="宋体" w:hint="ascii"/>
          <w:sz w:val="21"/>
        </w:rPr>
        <w:t>交叉研究、新型病原体的疫苗发现和合理设计、仿生纳米佐剂和递送系统的设计</w:t>
      </w:r>
      <w:r>
        <w:rPr>
          <w:rFonts w:ascii="宋体" w:hAnsi="宋体" w:cs="宋体" w:eastAsia="宋体" w:hint="ascii"/>
          <w:sz w:val="21"/>
          <w:spacing w:val="-1"/>
        </w:rPr>
        <w:t>以及利</w:t>
      </w:r>
      <w:r>
        <w:rPr>
          <w:rFonts w:ascii="宋体" w:hAnsi="宋体" w:cs="宋体" w:eastAsia="宋体" w:hint="ascii"/>
          <w:sz w:val="21"/>
        </w:rPr>
        <w:t>用免疫组库技术开展疫苗的发现和研究，关注重要疾病治疗性疫苗的研究；在免</w:t>
      </w:r>
      <w:r>
        <w:rPr>
          <w:rFonts w:ascii="宋体" w:hAnsi="宋体" w:cs="宋体" w:eastAsia="宋体" w:hint="ascii"/>
          <w:sz w:val="21"/>
          <w:spacing w:val="-1"/>
        </w:rPr>
        <w:t>疫相关</w:t>
      </w:r>
      <w:r>
        <w:rPr>
          <w:rFonts w:ascii="宋体" w:hAnsi="宋体" w:cs="宋体" w:eastAsia="宋体" w:hint="ascii"/>
          <w:sz w:val="21"/>
        </w:rPr>
        <w:t>疾病诊疗新技术等领域，建议关注可视化技术、高通量技术等在免疫学研究中的</w:t>
      </w:r>
      <w:r>
        <w:rPr>
          <w:rFonts w:ascii="宋体" w:hAnsi="宋体" w:cs="宋体" w:eastAsia="宋体" w:hint="ascii"/>
          <w:sz w:val="21"/>
          <w:spacing w:val="-1"/>
        </w:rPr>
        <w:t>应用，</w:t>
      </w:r>
      <w:r>
        <w:rPr>
          <w:rFonts w:ascii="宋体" w:hAnsi="宋体" w:cs="宋体" w:eastAsia="宋体" w:hint="ascii"/>
          <w:sz w:val="21"/>
        </w:rPr>
        <w:t>关注免疫组学与大数据、免疫相关疾病的动物模型、组织工程材料与免疫微环境的相互作用、微生态与免疫系统的相互作用等前沿交叉领域的研究。</w:t>
      </w:r>
      <w:r>
        <w:rPr>
          <w:rFonts w:ascii="宋体" w:hAnsi="宋体" w:cs="宋体" w:eastAsia="宋体" w:hint="ascii"/>
          <w:sz w:val="21"/>
        </w:rPr>
        <mc:AlternateContent>
          <mc:Choice Requires="wps">
            <w:drawing>
              <wp:anchor distL="0" distR="0" distT="0" distB="0" simplePos="0" behindDoc="1" relativeHeight="133" locked="0" layoutInCell="1" allowOverlap="1">
                <wp:simplePos x="0" y="0"/>
                <wp:positionH relativeFrom="page">
                  <wp:posOffset>938530</wp:posOffset>
                </wp:positionH>
                <wp:positionV relativeFrom="page">
                  <wp:posOffset>805815</wp:posOffset>
                </wp:positionV>
                <wp:extent cx="5076190" cy="0"/>
                <wp:wrapNone/>
                <wp:docPr id="1162" name="116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22048;width:399.70pt;" id="116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重点支持的研究包括：通过建立有特色的研究体系和针对性的技术平台（如寻找靶</w:t>
      </w:r>
    </w:p>
    <w:p>
      <w:pPr>
        <w:autoSpaceDE w:val="0"/>
        <w:autoSpaceDN w:val="0"/>
        <w:jc w:val="both"/>
        <w:spacing w:before="10" w:after="0" w:lineRule="exact" w:line="312"/>
        <w:ind w:right="973"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向分子</w:t>
      </w:r>
      <w:r>
        <w:rPr>
          <w:rFonts w:ascii="宋体" w:hAnsi="宋体" w:cs="宋体" w:eastAsia="宋体" w:hint="ascii"/>
          <w:sz w:val="21"/>
        </w:rPr>
        <w:t>技术、建立独特的细胞模型和动物模型等）研究人类免疫相关疾病的共同规律；</w:t>
      </w:r>
      <w:r>
        <w:rPr>
          <w:rFonts w:ascii="宋体" w:hAnsi="宋体" w:cs="宋体" w:eastAsia="宋体" w:hint="ascii"/>
          <w:sz w:val="21"/>
          <w:spacing w:val="-1"/>
        </w:rPr>
        <w:t>充分利</w:t>
      </w:r>
      <w:r>
        <w:rPr>
          <w:rFonts w:ascii="宋体" w:hAnsi="宋体" w:cs="宋体" w:eastAsia="宋体" w:hint="ascii"/>
          <w:sz w:val="21"/>
        </w:rPr>
        <w:t>用我国疾病资源优势和遗传资源优势开展的免疫学研究；通过系统免疫学研究，</w:t>
      </w:r>
      <w:r>
        <w:rPr>
          <w:rFonts w:ascii="宋体" w:hAnsi="宋体" w:cs="宋体" w:eastAsia="宋体" w:hint="ascii"/>
          <w:sz w:val="21"/>
          <w:spacing w:val="-1"/>
        </w:rPr>
        <w:t>深入开</w:t>
      </w:r>
      <w:r>
        <w:rPr>
          <w:rFonts w:ascii="宋体" w:hAnsi="宋体" w:cs="宋体" w:eastAsia="宋体" w:hint="ascii"/>
          <w:sz w:val="21"/>
        </w:rPr>
        <w:t>展疾病的免疫信息学、免疫组学、免疫细胞组库和计算免疫学的研究；基础与临</w:t>
      </w:r>
      <w:r>
        <w:rPr>
          <w:rFonts w:ascii="宋体" w:hAnsi="宋体" w:cs="宋体" w:eastAsia="宋体" w:hint="ascii"/>
          <w:sz w:val="21"/>
          <w:spacing w:val="-1"/>
        </w:rPr>
        <w:t>床免疫</w:t>
      </w:r>
      <w:r>
        <w:rPr>
          <w:rFonts w:ascii="宋体" w:hAnsi="宋体" w:cs="宋体" w:eastAsia="宋体" w:hint="ascii"/>
          <w:sz w:val="21"/>
        </w:rPr>
        <w:t>学人员密切合作，开展基于临床实践的医学免疫学研究；利用近年来发展的新技</w:t>
      </w:r>
      <w:r>
        <w:rPr>
          <w:rFonts w:ascii="宋体" w:hAnsi="宋体" w:cs="宋体" w:eastAsia="宋体" w:hint="ascii"/>
          <w:sz w:val="21"/>
          <w:spacing w:val="-1"/>
        </w:rPr>
        <w:t>术，如</w:t>
      </w:r>
      <w:r>
        <w:rPr>
          <w:rFonts w:ascii="宋体" w:hAnsi="宋体" w:cs="宋体" w:eastAsia="宋体" w:hint="ascii"/>
          <w:sz w:val="21"/>
        </w:rPr>
        <w:t>高分辨率磁共振成像技术、实时动态成像技术、质谱流式细胞技术以及单细胞测序等开展的疾病相关的免疫系统与免疫应答过程的交叉研究等。</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医学科学五处</w:t>
      </w:r>
    </w:p>
    <w:p>
      <w:pPr>
        <w:autoSpaceDE w:val="0"/>
        <w:autoSpaceDN w:val="0"/>
        <w:jc w:val="both"/>
        <w:spacing w:before="301" w:after="0" w:lineRule="exact" w:line="312"/>
        <w:ind w:right="973"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医学科</w:t>
      </w:r>
      <w:r>
        <w:rPr>
          <w:rFonts w:ascii="宋体" w:hAnsi="宋体" w:cs="宋体" w:eastAsia="宋体" w:hint="ascii"/>
          <w:sz w:val="21"/>
        </w:rPr>
        <w:t>学五处主要资助影像医学与生物医学工程、特种医学和法医学领域的基础研究和临床基础研究。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影像医学与生物医学工程（</w:t>
      </w:r>
      <w:r>
        <w:rPr>
          <w:rFonts w:ascii="Times New Roman" w:hAnsi="Times New Roman" w:cs="Times New Roman" w:eastAsia="Times New Roman" w:hint="ascii"/>
          <w:b w:val="1"/>
        </w:rPr>
        <w:t>H18</w:t>
      </w:r>
      <w:r>
        <w:rPr>
          <w:rFonts w:ascii="宋体" w:hAnsi="宋体" w:cs="宋体" w:eastAsia="宋体" w:hint="ascii"/>
        </w:rPr>
        <w:t>）</w:t>
      </w:r>
    </w:p>
    <w:p>
      <w:pPr>
        <w:autoSpaceDE w:val="0"/>
        <w:autoSpaceDN w:val="0"/>
        <w:jc w:val="both"/>
        <w:spacing w:before="157" w:after="0" w:lineRule="exact" w:line="300"/>
        <w:ind w:right="973" w:left="966" w:firstLine="408"/>
        <w:snapToGrid w:val="0"/>
        <w:textAlignment w:val="auto"/>
        <w:tabs/>
        <w:rPr>
          <w:rFonts w:ascii="宋体" w:hAnsi="宋体" w:cs="宋体" w:eastAsia="宋体" w:hint="ascii"/>
          <w:sz w:val="21"/>
        </w:rPr>
      </w:pPr>
      <w:r>
        <w:rPr>
          <w:rFonts w:ascii="宋体" w:hAnsi="宋体" w:cs="宋体" w:eastAsia="宋体" w:hint="ascii"/>
          <w:sz w:val="21"/>
          <w:spacing w:val="-3"/>
        </w:rPr>
        <w:t>影像</w:t>
      </w:r>
      <w:r>
        <w:rPr>
          <w:rFonts w:ascii="宋体" w:hAnsi="宋体" w:cs="宋体" w:eastAsia="宋体" w:hint="ascii"/>
          <w:sz w:val="21"/>
          <w:spacing w:val="-4"/>
        </w:rPr>
        <w:t>医</w:t>
      </w:r>
      <w:r>
        <w:rPr>
          <w:rFonts w:ascii="宋体" w:hAnsi="宋体" w:cs="宋体" w:eastAsia="宋体" w:hint="ascii"/>
          <w:sz w:val="21"/>
          <w:spacing w:val="-3"/>
        </w:rPr>
        <w:t>学</w:t>
      </w:r>
      <w:r>
        <w:rPr>
          <w:rFonts w:ascii="宋体" w:hAnsi="宋体" w:cs="宋体" w:eastAsia="宋体" w:hint="ascii"/>
          <w:sz w:val="21"/>
          <w:spacing w:val="-4"/>
        </w:rPr>
        <w:t>与生</w:t>
      </w:r>
      <w:r>
        <w:rPr>
          <w:rFonts w:ascii="宋体" w:hAnsi="宋体" w:cs="宋体" w:eastAsia="宋体" w:hint="ascii"/>
          <w:sz w:val="21"/>
          <w:spacing w:val="-3"/>
        </w:rPr>
        <w:t>物医</w:t>
      </w:r>
      <w:r>
        <w:rPr>
          <w:rFonts w:ascii="宋体" w:hAnsi="宋体" w:cs="宋体" w:eastAsia="宋体" w:hint="ascii"/>
          <w:sz w:val="21"/>
          <w:spacing w:val="-4"/>
        </w:rPr>
        <w:t>学</w:t>
      </w:r>
      <w:r>
        <w:rPr>
          <w:rFonts w:ascii="宋体" w:hAnsi="宋体" w:cs="宋体" w:eastAsia="宋体" w:hint="ascii"/>
          <w:sz w:val="21"/>
          <w:spacing w:val="-3"/>
        </w:rPr>
        <w:t>工</w:t>
      </w:r>
      <w:r>
        <w:rPr>
          <w:rFonts w:ascii="宋体" w:hAnsi="宋体" w:cs="宋体" w:eastAsia="宋体" w:hint="ascii"/>
          <w:sz w:val="21"/>
          <w:spacing w:val="-4"/>
        </w:rPr>
        <w:t>程领</w:t>
      </w:r>
      <w:r>
        <w:rPr>
          <w:rFonts w:ascii="宋体" w:hAnsi="宋体" w:cs="宋体" w:eastAsia="宋体" w:hint="ascii"/>
          <w:sz w:val="21"/>
          <w:spacing w:val="-3"/>
        </w:rPr>
        <w:t>域是以</w:t>
      </w:r>
      <w:r>
        <w:rPr>
          <w:rFonts w:ascii="宋体" w:hAnsi="宋体" w:cs="宋体" w:eastAsia="宋体" w:hint="ascii"/>
          <w:sz w:val="21"/>
          <w:spacing w:val="-2"/>
        </w:rPr>
        <w:t>医</w:t>
      </w:r>
      <w:r>
        <w:rPr>
          <w:rFonts w:ascii="宋体" w:hAnsi="宋体" w:cs="宋体" w:eastAsia="宋体" w:hint="ascii"/>
          <w:sz w:val="21"/>
          <w:spacing w:val="-3"/>
        </w:rPr>
        <w:t>学与</w:t>
      </w:r>
      <w:r>
        <w:rPr>
          <w:rFonts w:ascii="宋体" w:hAnsi="宋体" w:cs="宋体" w:eastAsia="宋体" w:hint="ascii"/>
          <w:sz w:val="21"/>
          <w:spacing w:val="-2"/>
        </w:rPr>
        <w:t>数学</w:t>
      </w:r>
      <w:r>
        <w:rPr>
          <w:rFonts w:ascii="宋体" w:hAnsi="宋体" w:cs="宋体" w:eastAsia="宋体" w:hint="ascii"/>
          <w:sz w:val="21"/>
          <w:spacing w:val="-3"/>
        </w:rPr>
        <w:t>、</w:t>
      </w:r>
      <w:r>
        <w:rPr>
          <w:rFonts w:ascii="宋体" w:hAnsi="宋体" w:cs="宋体" w:eastAsia="宋体" w:hint="ascii"/>
          <w:sz w:val="21"/>
          <w:spacing w:val="-2"/>
        </w:rPr>
        <w:t>物</w:t>
      </w:r>
      <w:r>
        <w:rPr>
          <w:rFonts w:ascii="宋体" w:hAnsi="宋体" w:cs="宋体" w:eastAsia="宋体" w:hint="ascii"/>
          <w:sz w:val="21"/>
          <w:spacing w:val="-3"/>
        </w:rPr>
        <w:t>理学</w:t>
      </w:r>
      <w:r>
        <w:rPr>
          <w:rFonts w:ascii="宋体" w:hAnsi="宋体" w:cs="宋体" w:eastAsia="宋体" w:hint="ascii"/>
          <w:sz w:val="21"/>
          <w:spacing w:val="-2"/>
        </w:rPr>
        <w:t>、化</w:t>
      </w:r>
      <w:r>
        <w:rPr>
          <w:rFonts w:ascii="宋体" w:hAnsi="宋体" w:cs="宋体" w:eastAsia="宋体" w:hint="ascii"/>
          <w:sz w:val="21"/>
          <w:spacing w:val="-3"/>
        </w:rPr>
        <w:t>学</w:t>
      </w:r>
      <w:r>
        <w:rPr>
          <w:rFonts w:ascii="宋体" w:hAnsi="宋体" w:cs="宋体" w:eastAsia="宋体" w:hint="ascii"/>
          <w:sz w:val="21"/>
          <w:spacing w:val="-2"/>
        </w:rPr>
        <w:t>、</w:t>
      </w:r>
      <w:r>
        <w:rPr>
          <w:rFonts w:ascii="宋体" w:hAnsi="宋体" w:cs="宋体" w:eastAsia="宋体" w:hint="ascii"/>
          <w:sz w:val="21"/>
          <w:spacing w:val="-3"/>
        </w:rPr>
        <w:t>信息</w:t>
      </w:r>
      <w:r>
        <w:rPr>
          <w:rFonts w:ascii="宋体" w:hAnsi="宋体" w:cs="宋体" w:eastAsia="宋体" w:hint="ascii"/>
          <w:sz w:val="21"/>
          <w:spacing w:val="-2"/>
        </w:rPr>
        <w:t>科学</w:t>
      </w:r>
      <w:r>
        <w:rPr>
          <w:rFonts w:ascii="宋体" w:hAnsi="宋体" w:cs="宋体" w:eastAsia="宋体" w:hint="ascii"/>
          <w:sz w:val="21"/>
          <w:spacing w:val="-3"/>
        </w:rPr>
        <w:t>、</w:t>
      </w:r>
      <w:r>
        <w:rPr>
          <w:rFonts w:ascii="宋体" w:hAnsi="宋体" w:cs="宋体" w:eastAsia="宋体" w:hint="ascii"/>
          <w:sz w:val="21"/>
          <w:spacing w:val="-2"/>
        </w:rPr>
        <w:t>工程与</w:t>
      </w:r>
      <w:r>
        <w:rPr>
          <w:rFonts w:ascii="宋体" w:hAnsi="宋体" w:cs="宋体" w:eastAsia="宋体" w:hint="ascii"/>
          <w:sz w:val="21"/>
        </w:rPr>
        <w:t>材</w:t>
      </w:r>
      <w:r>
        <w:rPr>
          <w:rFonts w:ascii="宋体" w:hAnsi="宋体" w:cs="宋体" w:eastAsia="宋体" w:hint="ascii"/>
          <w:sz w:val="21"/>
          <w:spacing w:val="-3"/>
        </w:rPr>
        <w:t>料、生命科学等多学科交叉为特点，主要包括医学影像和医学工程所涉及的相关研究</w:t>
      </w:r>
      <w:r>
        <w:rPr>
          <w:rFonts w:ascii="宋体" w:hAnsi="宋体" w:cs="宋体" w:eastAsia="宋体" w:hint="ascii"/>
          <w:sz w:val="21"/>
        </w:rPr>
        <w:t>。</w: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影像医学主要资助医学影像学和应用影像学方法解决医学相关科学问题的研究，资</w:t>
      </w:r>
    </w:p>
    <w:p>
      <w:pPr>
        <w:autoSpaceDE w:val="0"/>
        <w:autoSpaceDN w:val="0"/>
        <w:jc w:val="both"/>
        <w:spacing w:before="8" w:after="0" w:lineRule="exact" w:line="300"/>
        <w:ind w:right="973" w:left="966" w:firstLine="0"/>
        <w:snapToGrid w:val="0"/>
        <w:textAlignment w:val="auto"/>
        <w:tabs/>
        <w:rPr>
          <w:rFonts w:ascii="宋体" w:hAnsi="宋体" w:cs="宋体" w:eastAsia="宋体" w:hint="ascii"/>
          <w:sz w:val="21"/>
        </w:rPr>
      </w:pPr>
      <w:r>
        <w:rPr>
          <w:rFonts w:ascii="宋体" w:hAnsi="宋体" w:cs="宋体" w:eastAsia="宋体" w:hint="ascii"/>
          <w:sz w:val="21"/>
        </w:rPr>
        <w:t>助范</w:t>
      </w:r>
      <w:r>
        <w:rPr>
          <w:rFonts w:ascii="宋体" w:hAnsi="宋体" w:cs="宋体" w:eastAsia="宋体" w:hint="ascii"/>
          <w:sz w:val="21"/>
          <w:spacing w:val="-1"/>
        </w:rPr>
        <w:t>围</w:t>
      </w:r>
      <w:r>
        <w:rPr>
          <w:rFonts w:ascii="宋体" w:hAnsi="宋体" w:cs="宋体" w:eastAsia="宋体" w:hint="ascii"/>
          <w:sz w:val="21"/>
        </w:rPr>
        <w:t>包</w:t>
      </w:r>
      <w:r>
        <w:rPr>
          <w:rFonts w:ascii="宋体" w:hAnsi="宋体" w:cs="宋体" w:eastAsia="宋体" w:hint="ascii"/>
          <w:sz w:val="21"/>
          <w:spacing w:val="-1"/>
        </w:rPr>
        <w:t>括</w:t>
      </w:r>
      <w:r>
        <w:rPr>
          <w:rFonts w:ascii="宋体" w:hAnsi="宋体" w:cs="宋体" w:eastAsia="宋体" w:hint="ascii"/>
          <w:sz w:val="21"/>
        </w:rPr>
        <w:t>放射</w:t>
      </w:r>
      <w:r>
        <w:rPr>
          <w:rFonts w:ascii="宋体" w:hAnsi="宋体" w:cs="宋体" w:eastAsia="宋体" w:hint="ascii"/>
          <w:sz w:val="21"/>
          <w:spacing w:val="-1"/>
        </w:rPr>
        <w:t>诊</w:t>
      </w:r>
      <w:r>
        <w:rPr>
          <w:rFonts w:ascii="宋体" w:hAnsi="宋体" w:cs="宋体" w:eastAsia="宋体" w:hint="ascii"/>
          <w:sz w:val="21"/>
        </w:rPr>
        <w:t>断</w:t>
      </w:r>
      <w:r>
        <w:rPr>
          <w:rFonts w:ascii="宋体" w:hAnsi="宋体" w:cs="宋体" w:eastAsia="宋体" w:hint="ascii"/>
          <w:sz w:val="21"/>
          <w:spacing w:val="-1"/>
        </w:rPr>
        <w:t>学</w:t>
      </w:r>
      <w:r>
        <w:rPr>
          <w:rFonts w:ascii="宋体" w:hAnsi="宋体" w:cs="宋体" w:eastAsia="宋体" w:hint="ascii"/>
          <w:sz w:val="21"/>
        </w:rPr>
        <w:t>（磁</w:t>
      </w:r>
      <w:r>
        <w:rPr>
          <w:rFonts w:ascii="宋体" w:hAnsi="宋体" w:cs="宋体" w:eastAsia="宋体" w:hint="ascii"/>
          <w:sz w:val="21"/>
          <w:spacing w:val="-1"/>
        </w:rPr>
        <w:t>共</w:t>
      </w:r>
      <w:r>
        <w:rPr>
          <w:rFonts w:ascii="宋体" w:hAnsi="宋体" w:cs="宋体" w:eastAsia="宋体" w:hint="ascii"/>
          <w:sz w:val="21"/>
        </w:rPr>
        <w:t>振</w:t>
      </w:r>
      <w:r>
        <w:rPr>
          <w:rFonts w:ascii="宋体" w:hAnsi="宋体" w:cs="宋体" w:eastAsia="宋体" w:hint="ascii"/>
          <w:sz w:val="21"/>
          <w:spacing w:val="-1"/>
        </w:rPr>
        <w:t>成</w:t>
      </w:r>
      <w:r>
        <w:rPr>
          <w:rFonts w:ascii="宋体" w:hAnsi="宋体" w:cs="宋体" w:eastAsia="宋体" w:hint="ascii"/>
          <w:sz w:val="21"/>
        </w:rPr>
        <w:t>像、</w:t>
      </w:r>
      <w:r>
        <w:rPr>
          <w:rFonts w:ascii="Times New Roman" w:hAnsi="Times New Roman" w:cs="Times New Roman" w:eastAsia="Times New Roman" w:hint="ascii"/>
          <w:sz w:val="21"/>
          <w:spacing w:val="54"/>
        </w:rPr>
        <w:t>X</w:t>
      </w:r>
      <w:r>
        <w:rPr>
          <w:rFonts w:ascii="宋体" w:hAnsi="宋体" w:cs="宋体" w:eastAsia="宋体" w:hint="ascii"/>
          <w:sz w:val="21"/>
        </w:rPr>
        <w:t>射</w:t>
      </w:r>
      <w:r>
        <w:rPr>
          <w:rFonts w:ascii="宋体" w:hAnsi="宋体" w:cs="宋体" w:eastAsia="宋体" w:hint="ascii"/>
          <w:sz w:val="21"/>
          <w:spacing w:val="-1"/>
        </w:rPr>
        <w:t>线</w:t>
      </w:r>
      <w:r>
        <w:rPr>
          <w:rFonts w:ascii="宋体" w:hAnsi="宋体" w:cs="宋体" w:eastAsia="宋体" w:hint="ascii"/>
          <w:sz w:val="21"/>
        </w:rPr>
        <w:t>成像</w:t>
      </w:r>
      <w:r>
        <w:rPr>
          <w:rFonts w:ascii="宋体" w:hAnsi="宋体" w:cs="宋体" w:eastAsia="宋体" w:hint="ascii"/>
          <w:sz w:val="21"/>
          <w:spacing w:val="-1"/>
        </w:rPr>
        <w:t>和</w:t>
      </w:r>
      <w:r>
        <w:rPr>
          <w:rFonts w:ascii="宋体" w:hAnsi="宋体" w:cs="宋体" w:eastAsia="宋体" w:hint="ascii"/>
          <w:sz w:val="21"/>
        </w:rPr>
        <w:t>计</w:t>
      </w:r>
      <w:r>
        <w:rPr>
          <w:rFonts w:ascii="宋体" w:hAnsi="宋体" w:cs="宋体" w:eastAsia="宋体" w:hint="ascii"/>
          <w:sz w:val="21"/>
          <w:spacing w:val="-1"/>
        </w:rPr>
        <w:t>算</w:t>
      </w:r>
      <w:r>
        <w:rPr>
          <w:rFonts w:ascii="宋体" w:hAnsi="宋体" w:cs="宋体" w:eastAsia="宋体" w:hint="ascii"/>
          <w:sz w:val="21"/>
        </w:rPr>
        <w:t>机断</w:t>
      </w:r>
      <w:r>
        <w:rPr>
          <w:rFonts w:ascii="宋体" w:hAnsi="宋体" w:cs="宋体" w:eastAsia="宋体" w:hint="ascii"/>
          <w:sz w:val="21"/>
          <w:spacing w:val="-1"/>
        </w:rPr>
        <w:t>层</w:t>
      </w:r>
      <w:r>
        <w:rPr>
          <w:rFonts w:ascii="宋体" w:hAnsi="宋体" w:cs="宋体" w:eastAsia="宋体" w:hint="ascii"/>
          <w:sz w:val="21"/>
        </w:rPr>
        <w:t>成像</w:t>
      </w:r>
      <w:r>
        <w:rPr>
          <w:rFonts w:ascii="宋体" w:hAnsi="宋体" w:cs="宋体" w:eastAsia="宋体" w:hint="ascii"/>
          <w:sz w:val="21"/>
          <w:spacing w:val="-54"/>
        </w:rPr>
        <w:t>）</w:t>
      </w:r>
      <w:r>
        <w:rPr>
          <w:rFonts w:ascii="宋体" w:hAnsi="宋体" w:cs="宋体" w:eastAsia="宋体" w:hint="ascii"/>
          <w:sz w:val="21"/>
        </w:rPr>
        <w:t>、超</w:t>
      </w:r>
      <w:r>
        <w:rPr>
          <w:rFonts w:ascii="宋体" w:hAnsi="宋体" w:cs="宋体" w:eastAsia="宋体" w:hint="ascii"/>
          <w:sz w:val="21"/>
          <w:spacing w:val="-1"/>
        </w:rPr>
        <w:t>声</w:t>
      </w:r>
      <w:r>
        <w:rPr>
          <w:rFonts w:ascii="宋体" w:hAnsi="宋体" w:cs="宋体" w:eastAsia="宋体" w:hint="ascii"/>
          <w:sz w:val="21"/>
        </w:rPr>
        <w:t>医</w:t>
      </w:r>
      <w:r>
        <w:rPr>
          <w:rFonts w:ascii="宋体" w:hAnsi="宋体" w:cs="宋体" w:eastAsia="宋体" w:hint="ascii"/>
          <w:sz w:val="21"/>
          <w:spacing w:val="-1"/>
        </w:rPr>
        <w:t>学</w:t>
      </w:r>
      <w:r>
        <w:rPr>
          <w:rFonts w:ascii="宋体" w:hAnsi="宋体" w:cs="宋体" w:eastAsia="宋体" w:hint="ascii"/>
          <w:sz w:val="21"/>
        </w:rPr>
        <w:t>、</w:t>
      </w:r>
      <w:r>
        <w:rPr>
          <w:rFonts w:ascii="宋体" w:hAnsi="宋体" w:cs="宋体" w:eastAsia="宋体" w:hint="ascii"/>
          <w:sz w:val="21"/>
          <w:spacing w:val="-4"/>
        </w:rPr>
        <w:t>核</w:t>
      </w:r>
      <w:r>
        <w:rPr>
          <w:rFonts w:ascii="宋体" w:hAnsi="宋体" w:cs="宋体" w:eastAsia="宋体" w:hint="ascii"/>
          <w:sz w:val="21"/>
          <w:spacing w:val="-1"/>
        </w:rPr>
        <w:t>医学、</w:t>
      </w:r>
      <w:r>
        <w:rPr>
          <w:rFonts w:ascii="宋体" w:hAnsi="宋体" w:cs="宋体" w:eastAsia="宋体" w:hint="ascii"/>
          <w:sz w:val="21"/>
        </w:rPr>
        <w:t>介入医学等学科领域。鼓励多模态成像、分子影像、功能影像、计算机辅助诊断</w:t>
      </w:r>
      <w:r>
        <w:rPr>
          <w:rFonts w:ascii="宋体" w:hAnsi="宋体" w:cs="宋体" w:eastAsia="宋体" w:hint="ascii"/>
          <w:sz w:val="21"/>
          <w:spacing w:val="-1"/>
        </w:rPr>
        <w:t>与人工</w:t>
      </w:r>
      <w:r>
        <w:rPr>
          <w:rFonts w:ascii="宋体" w:hAnsi="宋体" w:cs="宋体" w:eastAsia="宋体" w:hint="ascii"/>
          <w:sz w:val="21"/>
        </w:rPr>
        <w:t>智能化影像、精准介入、诊疗一体化、影像组学及转化医学等前沿科学领域进行</w:t>
      </w:r>
      <w:r>
        <w:rPr>
          <w:rFonts w:ascii="宋体" w:hAnsi="宋体" w:cs="宋体" w:eastAsia="宋体" w:hint="ascii"/>
          <w:sz w:val="21"/>
          <w:spacing w:val="-1"/>
        </w:rPr>
        <w:t>多学科</w:t>
      </w:r>
      <w:r>
        <w:rPr>
          <w:rFonts w:ascii="宋体" w:hAnsi="宋体" w:cs="宋体" w:eastAsia="宋体" w:hint="ascii"/>
          <w:sz w:val="21"/>
        </w:rPr>
        <w:t>交叉的探索性研究。支持应用影像新技术对各类疾病早期诊断与治疗、预后与疗效评估的研究。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生物医学工程主要资助疾病预防与预警、检测与诊断、治疗与康复相关的医学工程</w:t>
      </w:r>
    </w:p>
    <w:p>
      <w:pPr>
        <w:autoSpaceDE w:val="0"/>
        <w:autoSpaceDN w:val="0"/>
        <w:jc w:val="left"/>
        <w:spacing w:before="38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25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以及再生医学、纳米医学的基础研究，包括生物医学信号与图像、生物医学传感、生物医学光子学、芯片与微纳系统、生物医学系统建模与仿真、医学信息系统、物理治疗、康复工程、神经工程与脑机交互、治疗计划与导航、医疗机器人、生物医学仪器与医疗</w:t>
      </w:r>
      <w:r>
        <w:rPr>
          <w:rFonts w:ascii="宋体" w:hAnsi="宋体" w:cs="宋体" w:eastAsia="宋体" w:hint="ascii"/>
          <w:sz w:val="21"/>
          <w:spacing w:val="3"/>
        </w:rPr>
        <w:t>器械、基</w:t>
      </w:r>
      <w:r>
        <w:rPr>
          <w:rFonts w:ascii="宋体" w:hAnsi="宋体" w:cs="宋体" w:eastAsia="宋体" w:hint="ascii"/>
          <w:sz w:val="21"/>
        </w:rPr>
        <w:t>因</w:t>
      </w:r>
      <w:r>
        <w:rPr>
          <w:rFonts w:ascii="宋体" w:hAnsi="宋体" w:cs="宋体" w:eastAsia="宋体" w:hint="ascii"/>
          <w:sz w:val="21"/>
          <w:spacing w:val="3"/>
        </w:rPr>
        <w:t>和药物载</w:t>
      </w:r>
      <w:r>
        <w:rPr>
          <w:rFonts w:ascii="宋体" w:hAnsi="宋体" w:cs="宋体" w:eastAsia="宋体" w:hint="ascii"/>
          <w:sz w:val="21"/>
        </w:rPr>
        <w:t>体</w:t>
      </w:r>
      <w:r>
        <w:rPr>
          <w:rFonts w:ascii="宋体" w:hAnsi="宋体" w:cs="宋体" w:eastAsia="宋体" w:hint="ascii"/>
          <w:sz w:val="21"/>
          <w:spacing w:val="3"/>
        </w:rPr>
        <w:t>及输运系</w:t>
      </w:r>
      <w:r>
        <w:rPr>
          <w:rFonts w:ascii="宋体" w:hAnsi="宋体" w:cs="宋体" w:eastAsia="宋体" w:hint="ascii"/>
          <w:sz w:val="21"/>
        </w:rPr>
        <w:t>统</w:t>
      </w:r>
      <w:r>
        <w:rPr>
          <w:rFonts w:ascii="宋体" w:hAnsi="宋体" w:cs="宋体" w:eastAsia="宋体" w:hint="ascii"/>
          <w:sz w:val="21"/>
          <w:spacing w:val="3"/>
        </w:rPr>
        <w:t>、医用生</w:t>
      </w:r>
      <w:r>
        <w:rPr>
          <w:rFonts w:ascii="宋体" w:hAnsi="宋体" w:cs="宋体" w:eastAsia="宋体" w:hint="ascii"/>
          <w:sz w:val="21"/>
        </w:rPr>
        <w:t>物</w:t>
      </w:r>
      <w:r>
        <w:rPr>
          <w:rFonts w:ascii="宋体" w:hAnsi="宋体" w:cs="宋体" w:eastAsia="宋体" w:hint="ascii"/>
          <w:sz w:val="21"/>
          <w:spacing w:val="3"/>
        </w:rPr>
        <w:t>材料、组</w:t>
      </w:r>
      <w:r>
        <w:rPr>
          <w:rFonts w:ascii="宋体" w:hAnsi="宋体" w:cs="宋体" w:eastAsia="宋体" w:hint="ascii"/>
          <w:sz w:val="21"/>
        </w:rPr>
        <w:t>织</w:t>
      </w:r>
      <w:r>
        <w:rPr>
          <w:rFonts w:ascii="宋体" w:hAnsi="宋体" w:cs="宋体" w:eastAsia="宋体" w:hint="ascii"/>
          <w:sz w:val="21"/>
          <w:spacing w:val="3"/>
        </w:rPr>
        <w:t>工程与再</w:t>
      </w:r>
      <w:r>
        <w:rPr>
          <w:rFonts w:ascii="宋体" w:hAnsi="宋体" w:cs="宋体" w:eastAsia="宋体" w:hint="ascii"/>
          <w:sz w:val="21"/>
        </w:rPr>
        <w:t>生</w:t>
      </w:r>
      <w:r>
        <w:rPr>
          <w:rFonts w:ascii="宋体" w:hAnsi="宋体" w:cs="宋体" w:eastAsia="宋体" w:hint="ascii"/>
          <w:sz w:val="21"/>
          <w:spacing w:val="3"/>
        </w:rPr>
        <w:t>医学、人工</w:t>
      </w:r>
      <w:r>
        <w:rPr>
          <w:rFonts w:ascii="宋体" w:hAnsi="宋体" w:cs="宋体" w:eastAsia="宋体" w:hint="ascii"/>
          <w:sz w:val="21"/>
          <w:spacing w:val="4"/>
        </w:rPr>
        <w:t>器</w:t>
      </w:r>
      <w:r>
        <w:rPr>
          <w:rFonts w:ascii="宋体" w:hAnsi="宋体" w:cs="宋体" w:eastAsia="宋体" w:hint="ascii"/>
          <w:sz w:val="21"/>
        </w:rPr>
        <w:t>官等。鼓励神经接口与调控技术、生物微机电系统、</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4"/>
        </w:rPr>
        <w:t>D</w:t>
      </w:r>
      <w:r>
        <w:rPr>
          <w:rFonts w:ascii="宋体" w:hAnsi="宋体" w:cs="宋体" w:eastAsia="宋体" w:hint="ascii"/>
          <w:sz w:val="21"/>
        </w:rPr>
        <w:t>打印与组织器官构建、医用虚拟现实与增强现实、细胞治疗、生物反应器、微组织</w:t>
      </w:r>
      <w:r>
        <w:rPr>
          <w:rFonts w:ascii="Times New Roman" w:hAnsi="Times New Roman" w:cs="Times New Roman" w:eastAsia="Times New Roman" w:hint="ascii"/>
          <w:sz w:val="21"/>
        </w:rPr>
        <w:t>/</w:t>
      </w:r>
      <w:r>
        <w:rPr>
          <w:rFonts w:ascii="宋体" w:hAnsi="宋体" w:cs="宋体" w:eastAsia="宋体" w:hint="ascii"/>
          <w:sz w:val="21"/>
        </w:rPr>
        <w:t>器官构建与应用、医学人工智能与健康大数据挖掘等。</w:t>
      </w:r>
      <w:r>
        <w:rPr>
          <w:rFonts w:ascii="宋体" w:hAnsi="宋体" w:cs="宋体" w:eastAsia="宋体" w:hint="ascii"/>
          <w:sz w:val="21"/>
        </w:rPr>
        <mc:AlternateContent>
          <mc:Choice Requires="wps">
            <w:drawing>
              <wp:anchor distL="0" distR="0" distT="0" distB="0" simplePos="0" behindDoc="1" relativeHeight="134" locked="0" layoutInCell="1" allowOverlap="1">
                <wp:simplePos x="0" y="0"/>
                <wp:positionH relativeFrom="page">
                  <wp:posOffset>938530</wp:posOffset>
                </wp:positionH>
                <wp:positionV relativeFrom="page">
                  <wp:posOffset>819150</wp:posOffset>
                </wp:positionV>
                <wp:extent cx="5076190" cy="0"/>
                <wp:wrapNone/>
                <wp:docPr id="1163" name="116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21024;width:399.70pt;" id="116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特种医学（</w:t>
      </w:r>
      <w:r>
        <w:rPr>
          <w:rFonts w:ascii="Times New Roman" w:hAnsi="Times New Roman" w:cs="Times New Roman" w:eastAsia="Times New Roman" w:hint="ascii"/>
          <w:b w:val="1"/>
        </w:rPr>
        <w:t>H21</w:t>
      </w:r>
      <w:r>
        <w:rPr>
          <w:rFonts w:ascii="宋体" w:hAnsi="宋体" w:cs="宋体" w:eastAsia="宋体" w:hint="ascii"/>
        </w:rPr>
        <w:t>）</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特种医学是针对特殊环境条件下人群特有的医学保障需求，解决在实践中涉及的各</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种特殊医学问题，为国家重大战略需求提供理论与技术支撑，目的是从分子、细胞、组</w:t>
      </w:r>
      <w:r>
        <w:rPr>
          <w:rFonts w:ascii="宋体" w:hAnsi="宋体" w:cs="宋体" w:eastAsia="宋体" w:hint="ascii"/>
          <w:sz w:val="21"/>
          <w:spacing w:val="-3"/>
        </w:rPr>
        <w:t>织、</w:t>
      </w:r>
      <w:r>
        <w:rPr>
          <w:rFonts w:ascii="宋体" w:hAnsi="宋体" w:cs="宋体" w:eastAsia="宋体" w:hint="ascii"/>
          <w:sz w:val="21"/>
          <w:spacing w:val="-4"/>
        </w:rPr>
        <w:t>器</w:t>
      </w:r>
      <w:r>
        <w:rPr>
          <w:rFonts w:ascii="宋体" w:hAnsi="宋体" w:cs="宋体" w:eastAsia="宋体" w:hint="ascii"/>
          <w:sz w:val="21"/>
          <w:spacing w:val="-3"/>
        </w:rPr>
        <w:t>官</w:t>
      </w:r>
      <w:r>
        <w:rPr>
          <w:rFonts w:ascii="宋体" w:hAnsi="宋体" w:cs="宋体" w:eastAsia="宋体" w:hint="ascii"/>
          <w:sz w:val="21"/>
          <w:spacing w:val="-4"/>
        </w:rPr>
        <w:t>与整</w:t>
      </w:r>
      <w:r>
        <w:rPr>
          <w:rFonts w:ascii="宋体" w:hAnsi="宋体" w:cs="宋体" w:eastAsia="宋体" w:hint="ascii"/>
          <w:sz w:val="21"/>
          <w:spacing w:val="-3"/>
        </w:rPr>
        <w:t>体水</w:t>
      </w:r>
      <w:r>
        <w:rPr>
          <w:rFonts w:ascii="宋体" w:hAnsi="宋体" w:cs="宋体" w:eastAsia="宋体" w:hint="ascii"/>
          <w:sz w:val="21"/>
          <w:spacing w:val="-4"/>
        </w:rPr>
        <w:t>平</w:t>
      </w:r>
      <w:r>
        <w:rPr>
          <w:rFonts w:ascii="宋体" w:hAnsi="宋体" w:cs="宋体" w:eastAsia="宋体" w:hint="ascii"/>
          <w:sz w:val="21"/>
          <w:spacing w:val="-2"/>
        </w:rPr>
        <w:t>认</w:t>
      </w:r>
      <w:r>
        <w:rPr>
          <w:rFonts w:ascii="宋体" w:hAnsi="宋体" w:cs="宋体" w:eastAsia="宋体" w:hint="ascii"/>
          <w:sz w:val="21"/>
          <w:spacing w:val="-3"/>
        </w:rPr>
        <w:t>识特</w:t>
      </w:r>
      <w:r>
        <w:rPr>
          <w:rFonts w:ascii="宋体" w:hAnsi="宋体" w:cs="宋体" w:eastAsia="宋体" w:hint="ascii"/>
          <w:sz w:val="21"/>
          <w:spacing w:val="-2"/>
        </w:rPr>
        <w:t>殊环</w:t>
      </w:r>
      <w:r>
        <w:rPr>
          <w:rFonts w:ascii="宋体" w:hAnsi="宋体" w:cs="宋体" w:eastAsia="宋体" w:hint="ascii"/>
          <w:sz w:val="21"/>
          <w:spacing w:val="-3"/>
        </w:rPr>
        <w:t>境</w:t>
      </w:r>
      <w:r>
        <w:rPr>
          <w:rFonts w:ascii="宋体" w:hAnsi="宋体" w:cs="宋体" w:eastAsia="宋体" w:hint="ascii"/>
          <w:sz w:val="21"/>
          <w:spacing w:val="-2"/>
        </w:rPr>
        <w:t>条</w:t>
      </w:r>
      <w:r>
        <w:rPr>
          <w:rFonts w:ascii="宋体" w:hAnsi="宋体" w:cs="宋体" w:eastAsia="宋体" w:hint="ascii"/>
          <w:sz w:val="21"/>
          <w:spacing w:val="-3"/>
        </w:rPr>
        <w:t>件作</w:t>
      </w:r>
      <w:r>
        <w:rPr>
          <w:rFonts w:ascii="宋体" w:hAnsi="宋体" w:cs="宋体" w:eastAsia="宋体" w:hint="ascii"/>
          <w:sz w:val="21"/>
          <w:spacing w:val="-2"/>
        </w:rPr>
        <w:t>用于</w:t>
      </w:r>
      <w:r>
        <w:rPr>
          <w:rFonts w:ascii="宋体" w:hAnsi="宋体" w:cs="宋体" w:eastAsia="宋体" w:hint="ascii"/>
          <w:sz w:val="21"/>
          <w:spacing w:val="-3"/>
        </w:rPr>
        <w:t>机</w:t>
      </w:r>
      <w:r>
        <w:rPr>
          <w:rFonts w:ascii="宋体" w:hAnsi="宋体" w:cs="宋体" w:eastAsia="宋体" w:hint="ascii"/>
          <w:sz w:val="21"/>
          <w:spacing w:val="-2"/>
        </w:rPr>
        <w:t>体</w:t>
      </w:r>
      <w:r>
        <w:rPr>
          <w:rFonts w:ascii="宋体" w:hAnsi="宋体" w:cs="宋体" w:eastAsia="宋体" w:hint="ascii"/>
          <w:sz w:val="21"/>
          <w:spacing w:val="-3"/>
        </w:rPr>
        <w:t>所引</w:t>
      </w:r>
      <w:r>
        <w:rPr>
          <w:rFonts w:ascii="宋体" w:hAnsi="宋体" w:cs="宋体" w:eastAsia="宋体" w:hint="ascii"/>
          <w:sz w:val="21"/>
          <w:spacing w:val="-2"/>
        </w:rPr>
        <w:t>起的</w:t>
      </w:r>
      <w:r>
        <w:rPr>
          <w:rFonts w:ascii="宋体" w:hAnsi="宋体" w:cs="宋体" w:eastAsia="宋体" w:hint="ascii"/>
          <w:sz w:val="21"/>
          <w:spacing w:val="-3"/>
        </w:rPr>
        <w:t>生</w:t>
      </w:r>
      <w:r>
        <w:rPr>
          <w:rFonts w:ascii="宋体" w:hAnsi="宋体" w:cs="宋体" w:eastAsia="宋体" w:hint="ascii"/>
          <w:sz w:val="21"/>
          <w:spacing w:val="-2"/>
        </w:rPr>
        <w:t>理</w:t>
      </w:r>
      <w:r>
        <w:rPr>
          <w:rFonts w:ascii="宋体" w:hAnsi="宋体" w:cs="宋体" w:eastAsia="宋体" w:hint="ascii"/>
          <w:sz w:val="21"/>
          <w:spacing w:val="-3"/>
        </w:rPr>
        <w:t>及病</w:t>
      </w:r>
      <w:r>
        <w:rPr>
          <w:rFonts w:ascii="宋体" w:hAnsi="宋体" w:cs="宋体" w:eastAsia="宋体" w:hint="ascii"/>
          <w:sz w:val="21"/>
          <w:spacing w:val="-2"/>
        </w:rPr>
        <w:t>理的</w:t>
      </w:r>
      <w:r>
        <w:rPr>
          <w:rFonts w:ascii="宋体" w:hAnsi="宋体" w:cs="宋体" w:eastAsia="宋体" w:hint="ascii"/>
          <w:sz w:val="21"/>
          <w:spacing w:val="-3"/>
        </w:rPr>
        <w:t>变</w:t>
      </w:r>
      <w:r>
        <w:rPr>
          <w:rFonts w:ascii="宋体" w:hAnsi="宋体" w:cs="宋体" w:eastAsia="宋体" w:hint="ascii"/>
          <w:sz w:val="21"/>
          <w:spacing w:val="-2"/>
        </w:rPr>
        <w:t>化</w:t>
      </w:r>
      <w:r>
        <w:rPr>
          <w:rFonts w:ascii="宋体" w:hAnsi="宋体" w:cs="宋体" w:eastAsia="宋体" w:hint="ascii"/>
          <w:sz w:val="21"/>
          <w:spacing w:val="-3"/>
        </w:rPr>
        <w:t>及其</w:t>
      </w:r>
      <w:r>
        <w:rPr>
          <w:rFonts w:ascii="宋体" w:hAnsi="宋体" w:cs="宋体" w:eastAsia="宋体" w:hint="ascii"/>
          <w:sz w:val="21"/>
          <w:spacing w:val="-2"/>
        </w:rPr>
        <w:t>规律</w:t>
      </w:r>
      <w:r>
        <w:rPr>
          <w:rFonts w:ascii="宋体" w:hAnsi="宋体" w:cs="宋体" w:eastAsia="宋体" w:hint="ascii"/>
          <w:sz w:val="21"/>
        </w:rPr>
        <w:t>。</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特种</w:t>
      </w:r>
      <w:r>
        <w:rPr>
          <w:rFonts w:ascii="宋体" w:hAnsi="宋体" w:cs="宋体" w:eastAsia="宋体" w:hint="ascii"/>
          <w:sz w:val="21"/>
          <w:spacing w:val="-3"/>
        </w:rPr>
        <w:t>医</w:t>
      </w:r>
      <w:r>
        <w:rPr>
          <w:rFonts w:ascii="宋体" w:hAnsi="宋体" w:cs="宋体" w:eastAsia="宋体" w:hint="ascii"/>
          <w:sz w:val="21"/>
          <w:spacing w:val="-2"/>
        </w:rPr>
        <w:t>学</w:t>
      </w:r>
      <w:r>
        <w:rPr>
          <w:rFonts w:ascii="宋体" w:hAnsi="宋体" w:cs="宋体" w:eastAsia="宋体" w:hint="ascii"/>
          <w:sz w:val="21"/>
          <w:spacing w:val="-3"/>
        </w:rPr>
        <w:t>主要</w:t>
      </w:r>
      <w:r>
        <w:rPr>
          <w:rFonts w:ascii="宋体" w:hAnsi="宋体" w:cs="宋体" w:eastAsia="宋体" w:hint="ascii"/>
          <w:sz w:val="21"/>
          <w:spacing w:val="-2"/>
        </w:rPr>
        <w:t>资助</w:t>
      </w:r>
      <w:r>
        <w:rPr>
          <w:rFonts w:ascii="宋体" w:hAnsi="宋体" w:cs="宋体" w:eastAsia="宋体" w:hint="ascii"/>
          <w:sz w:val="21"/>
          <w:spacing w:val="-3"/>
        </w:rPr>
        <w:t>包</w:t>
      </w:r>
      <w:r>
        <w:rPr>
          <w:rFonts w:ascii="宋体" w:hAnsi="宋体" w:cs="宋体" w:eastAsia="宋体" w:hint="ascii"/>
          <w:sz w:val="21"/>
          <w:spacing w:val="-2"/>
        </w:rPr>
        <w:t>括</w:t>
      </w:r>
      <w:r>
        <w:rPr>
          <w:rFonts w:ascii="宋体" w:hAnsi="宋体" w:cs="宋体" w:eastAsia="宋体" w:hint="ascii"/>
          <w:sz w:val="21"/>
          <w:spacing w:val="-3"/>
        </w:rPr>
        <w:t>航空</w:t>
      </w:r>
      <w:r>
        <w:rPr>
          <w:rFonts w:ascii="宋体" w:hAnsi="宋体" w:cs="宋体" w:eastAsia="宋体" w:hint="ascii"/>
          <w:sz w:val="21"/>
          <w:spacing w:val="-2"/>
        </w:rPr>
        <w:t>、航</w:t>
      </w:r>
      <w:r>
        <w:rPr>
          <w:rFonts w:ascii="宋体" w:hAnsi="宋体" w:cs="宋体" w:eastAsia="宋体" w:hint="ascii"/>
          <w:sz w:val="21"/>
          <w:spacing w:val="-3"/>
        </w:rPr>
        <w:t>天</w:t>
      </w:r>
      <w:r>
        <w:rPr>
          <w:rFonts w:ascii="宋体" w:hAnsi="宋体" w:cs="宋体" w:eastAsia="宋体" w:hint="ascii"/>
          <w:sz w:val="21"/>
          <w:spacing w:val="-2"/>
        </w:rPr>
        <w:t>、</w:t>
      </w:r>
      <w:r>
        <w:rPr>
          <w:rFonts w:ascii="宋体" w:hAnsi="宋体" w:cs="宋体" w:eastAsia="宋体" w:hint="ascii"/>
          <w:sz w:val="21"/>
          <w:spacing w:val="-3"/>
        </w:rPr>
        <w:t>航海</w:t>
      </w:r>
      <w:r>
        <w:rPr>
          <w:rFonts w:ascii="宋体" w:hAnsi="宋体" w:cs="宋体" w:eastAsia="宋体" w:hint="ascii"/>
          <w:sz w:val="21"/>
          <w:spacing w:val="-2"/>
        </w:rPr>
        <w:t>、潜</w:t>
      </w:r>
      <w:r>
        <w:rPr>
          <w:rFonts w:ascii="宋体" w:hAnsi="宋体" w:cs="宋体" w:eastAsia="宋体" w:hint="ascii"/>
          <w:sz w:val="21"/>
          <w:spacing w:val="-3"/>
        </w:rPr>
        <w:t>水</w:t>
      </w:r>
      <w:r>
        <w:rPr>
          <w:rFonts w:ascii="宋体" w:hAnsi="宋体" w:cs="宋体" w:eastAsia="宋体" w:hint="ascii"/>
          <w:sz w:val="21"/>
          <w:spacing w:val="-2"/>
        </w:rPr>
        <w:t>、</w:t>
      </w:r>
      <w:r>
        <w:rPr>
          <w:rFonts w:ascii="宋体" w:hAnsi="宋体" w:cs="宋体" w:eastAsia="宋体" w:hint="ascii"/>
          <w:sz w:val="21"/>
          <w:spacing w:val="-3"/>
        </w:rPr>
        <w:t>高原</w:t>
      </w:r>
      <w:r>
        <w:rPr>
          <w:rFonts w:ascii="宋体" w:hAnsi="宋体" w:cs="宋体" w:eastAsia="宋体" w:hint="ascii"/>
          <w:sz w:val="21"/>
          <w:spacing w:val="-2"/>
        </w:rPr>
        <w:t>、极</w:t>
      </w:r>
      <w:r>
        <w:rPr>
          <w:rFonts w:ascii="宋体" w:hAnsi="宋体" w:cs="宋体" w:eastAsia="宋体" w:hint="ascii"/>
          <w:sz w:val="21"/>
          <w:spacing w:val="-3"/>
        </w:rPr>
        <w:t>地</w:t>
      </w:r>
      <w:r>
        <w:rPr>
          <w:rFonts w:ascii="宋体" w:hAnsi="宋体" w:cs="宋体" w:eastAsia="宋体" w:hint="ascii"/>
          <w:sz w:val="21"/>
          <w:spacing w:val="-2"/>
        </w:rPr>
        <w:t>等</w:t>
      </w:r>
      <w:r>
        <w:rPr>
          <w:rFonts w:ascii="宋体" w:hAnsi="宋体" w:cs="宋体" w:eastAsia="宋体" w:hint="ascii"/>
          <w:sz w:val="21"/>
          <w:spacing w:val="-3"/>
        </w:rPr>
        <w:t>特殊</w:t>
      </w:r>
      <w:r>
        <w:rPr>
          <w:rFonts w:ascii="宋体" w:hAnsi="宋体" w:cs="宋体" w:eastAsia="宋体" w:hint="ascii"/>
          <w:sz w:val="21"/>
          <w:spacing w:val="-2"/>
        </w:rPr>
        <w:t>环境</w:t>
      </w:r>
      <w:r>
        <w:rPr>
          <w:rFonts w:ascii="宋体" w:hAnsi="宋体" w:cs="宋体" w:eastAsia="宋体" w:hint="ascii"/>
          <w:sz w:val="21"/>
          <w:spacing w:val="-3"/>
        </w:rPr>
        <w:t>或</w:t>
      </w:r>
      <w:r>
        <w:rPr>
          <w:rFonts w:ascii="宋体" w:hAnsi="宋体" w:cs="宋体" w:eastAsia="宋体" w:hint="ascii"/>
          <w:sz w:val="21"/>
          <w:spacing w:val="-2"/>
        </w:rPr>
        <w:t>极</w:t>
      </w:r>
      <w:r>
        <w:rPr>
          <w:rFonts w:ascii="宋体" w:hAnsi="宋体" w:cs="宋体" w:eastAsia="宋体" w:hint="ascii"/>
          <w:sz w:val="21"/>
          <w:spacing w:val="-3"/>
        </w:rPr>
        <w:t>端环</w:t>
      </w:r>
      <w:r>
        <w:rPr>
          <w:rFonts w:ascii="宋体" w:hAnsi="宋体" w:cs="宋体" w:eastAsia="宋体" w:hint="ascii"/>
          <w:sz w:val="21"/>
          <w:spacing w:val="-2"/>
        </w:rPr>
        <w:t>境中</w:t>
      </w:r>
      <w:r>
        <w:rPr>
          <w:rFonts w:ascii="宋体" w:hAnsi="宋体" w:cs="宋体" w:eastAsia="宋体" w:hint="ascii"/>
          <w:sz w:val="21"/>
        </w:rPr>
        <w:t>病</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理生理现象的解析及所致疾病防治的相关研究。鼓励在上述领域应用医学、物理学、化</w:t>
      </w:r>
      <w:r>
        <w:rPr>
          <w:rFonts w:ascii="宋体" w:hAnsi="宋体" w:cs="宋体" w:eastAsia="宋体" w:hint="ascii"/>
          <w:sz w:val="21"/>
          <w:spacing w:val="-3"/>
        </w:rPr>
        <w:t>学、</w:t>
      </w:r>
      <w:r>
        <w:rPr>
          <w:rFonts w:ascii="宋体" w:hAnsi="宋体" w:cs="宋体" w:eastAsia="宋体" w:hint="ascii"/>
          <w:sz w:val="21"/>
          <w:spacing w:val="-4"/>
        </w:rPr>
        <w:t>生</w:t>
      </w:r>
      <w:r>
        <w:rPr>
          <w:rFonts w:ascii="宋体" w:hAnsi="宋体" w:cs="宋体" w:eastAsia="宋体" w:hint="ascii"/>
          <w:sz w:val="21"/>
          <w:spacing w:val="-3"/>
        </w:rPr>
        <w:t>物</w:t>
      </w:r>
      <w:r>
        <w:rPr>
          <w:rFonts w:ascii="宋体" w:hAnsi="宋体" w:cs="宋体" w:eastAsia="宋体" w:hint="ascii"/>
          <w:sz w:val="21"/>
          <w:spacing w:val="-4"/>
        </w:rPr>
        <w:t>学及</w:t>
      </w:r>
      <w:r>
        <w:rPr>
          <w:rFonts w:ascii="宋体" w:hAnsi="宋体" w:cs="宋体" w:eastAsia="宋体" w:hint="ascii"/>
          <w:sz w:val="21"/>
          <w:spacing w:val="-3"/>
        </w:rPr>
        <w:t>现代</w:t>
      </w:r>
      <w:r>
        <w:rPr>
          <w:rFonts w:ascii="宋体" w:hAnsi="宋体" w:cs="宋体" w:eastAsia="宋体" w:hint="ascii"/>
          <w:sz w:val="21"/>
          <w:spacing w:val="-4"/>
        </w:rPr>
        <w:t>工</w:t>
      </w:r>
      <w:r>
        <w:rPr>
          <w:rFonts w:ascii="宋体" w:hAnsi="宋体" w:cs="宋体" w:eastAsia="宋体" w:hint="ascii"/>
          <w:sz w:val="21"/>
          <w:spacing w:val="-2"/>
        </w:rPr>
        <w:t>程</w:t>
      </w:r>
      <w:r>
        <w:rPr>
          <w:rFonts w:ascii="宋体" w:hAnsi="宋体" w:cs="宋体" w:eastAsia="宋体" w:hint="ascii"/>
          <w:sz w:val="21"/>
          <w:spacing w:val="-3"/>
        </w:rPr>
        <w:t>技术</w:t>
      </w:r>
      <w:r>
        <w:rPr>
          <w:rFonts w:ascii="宋体" w:hAnsi="宋体" w:cs="宋体" w:eastAsia="宋体" w:hint="ascii"/>
          <w:sz w:val="21"/>
          <w:spacing w:val="-2"/>
        </w:rPr>
        <w:t>等，</w:t>
      </w:r>
      <w:r>
        <w:rPr>
          <w:rFonts w:ascii="宋体" w:hAnsi="宋体" w:cs="宋体" w:eastAsia="宋体" w:hint="ascii"/>
          <w:sz w:val="21"/>
          <w:spacing w:val="-3"/>
        </w:rPr>
        <w:t>对</w:t>
      </w:r>
      <w:r>
        <w:rPr>
          <w:rFonts w:ascii="宋体" w:hAnsi="宋体" w:cs="宋体" w:eastAsia="宋体" w:hint="ascii"/>
          <w:sz w:val="21"/>
          <w:spacing w:val="-2"/>
        </w:rPr>
        <w:t>极</w:t>
      </w:r>
      <w:r>
        <w:rPr>
          <w:rFonts w:ascii="宋体" w:hAnsi="宋体" w:cs="宋体" w:eastAsia="宋体" w:hint="ascii"/>
          <w:sz w:val="21"/>
          <w:spacing w:val="-3"/>
        </w:rPr>
        <w:t>端环</w:t>
      </w:r>
      <w:r>
        <w:rPr>
          <w:rFonts w:ascii="宋体" w:hAnsi="宋体" w:cs="宋体" w:eastAsia="宋体" w:hint="ascii"/>
          <w:sz w:val="21"/>
          <w:spacing w:val="-2"/>
        </w:rPr>
        <w:t>境下</w:t>
      </w:r>
      <w:r>
        <w:rPr>
          <w:rFonts w:ascii="宋体" w:hAnsi="宋体" w:cs="宋体" w:eastAsia="宋体" w:hint="ascii"/>
          <w:sz w:val="21"/>
          <w:spacing w:val="-3"/>
        </w:rPr>
        <w:t>的</w:t>
      </w:r>
      <w:r>
        <w:rPr>
          <w:rFonts w:ascii="宋体" w:hAnsi="宋体" w:cs="宋体" w:eastAsia="宋体" w:hint="ascii"/>
          <w:sz w:val="21"/>
          <w:spacing w:val="-2"/>
        </w:rPr>
        <w:t>特</w:t>
      </w:r>
      <w:r>
        <w:rPr>
          <w:rFonts w:ascii="宋体" w:hAnsi="宋体" w:cs="宋体" w:eastAsia="宋体" w:hint="ascii"/>
          <w:sz w:val="21"/>
          <w:spacing w:val="-3"/>
        </w:rPr>
        <w:t>种医</w:t>
      </w:r>
      <w:r>
        <w:rPr>
          <w:rFonts w:ascii="宋体" w:hAnsi="宋体" w:cs="宋体" w:eastAsia="宋体" w:hint="ascii"/>
          <w:sz w:val="21"/>
          <w:spacing w:val="-2"/>
        </w:rPr>
        <w:t>学问</w:t>
      </w:r>
      <w:r>
        <w:rPr>
          <w:rFonts w:ascii="宋体" w:hAnsi="宋体" w:cs="宋体" w:eastAsia="宋体" w:hint="ascii"/>
          <w:sz w:val="21"/>
          <w:spacing w:val="-3"/>
        </w:rPr>
        <w:t>题</w:t>
      </w:r>
      <w:r>
        <w:rPr>
          <w:rFonts w:ascii="宋体" w:hAnsi="宋体" w:cs="宋体" w:eastAsia="宋体" w:hint="ascii"/>
          <w:sz w:val="21"/>
          <w:spacing w:val="-2"/>
        </w:rPr>
        <w:t>开</w:t>
      </w:r>
      <w:r>
        <w:rPr>
          <w:rFonts w:ascii="宋体" w:hAnsi="宋体" w:cs="宋体" w:eastAsia="宋体" w:hint="ascii"/>
          <w:sz w:val="21"/>
          <w:spacing w:val="-3"/>
        </w:rPr>
        <w:t>展深</w:t>
      </w:r>
      <w:r>
        <w:rPr>
          <w:rFonts w:ascii="宋体" w:hAnsi="宋体" w:cs="宋体" w:eastAsia="宋体" w:hint="ascii"/>
          <w:sz w:val="21"/>
          <w:spacing w:val="-2"/>
        </w:rPr>
        <w:t>入系</w:t>
      </w:r>
      <w:r>
        <w:rPr>
          <w:rFonts w:ascii="宋体" w:hAnsi="宋体" w:cs="宋体" w:eastAsia="宋体" w:hint="ascii"/>
          <w:sz w:val="21"/>
          <w:spacing w:val="-3"/>
        </w:rPr>
        <w:t>统</w:t>
      </w:r>
      <w:r>
        <w:rPr>
          <w:rFonts w:ascii="宋体" w:hAnsi="宋体" w:cs="宋体" w:eastAsia="宋体" w:hint="ascii"/>
          <w:sz w:val="21"/>
          <w:spacing w:val="-2"/>
        </w:rPr>
        <w:t>的</w:t>
      </w:r>
      <w:r>
        <w:rPr>
          <w:rFonts w:ascii="宋体" w:hAnsi="宋体" w:cs="宋体" w:eastAsia="宋体" w:hint="ascii"/>
          <w:sz w:val="21"/>
          <w:spacing w:val="-3"/>
        </w:rPr>
        <w:t>研究</w:t>
      </w:r>
      <w:r>
        <w:rPr>
          <w:rFonts w:ascii="宋体" w:hAnsi="宋体" w:cs="宋体" w:eastAsia="宋体" w:hint="ascii"/>
          <w:sz w:val="21"/>
          <w:spacing w:val="-2"/>
        </w:rPr>
        <w:t>，探</w:t>
      </w:r>
      <w:r>
        <w:rPr>
          <w:rFonts w:ascii="宋体" w:hAnsi="宋体" w:cs="宋体" w:eastAsia="宋体" w:hint="ascii"/>
          <w:sz w:val="21"/>
        </w:rPr>
        <w:t>索</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特殊</w:t>
      </w:r>
      <w:r>
        <w:rPr>
          <w:rFonts w:ascii="宋体" w:hAnsi="宋体" w:cs="宋体" w:eastAsia="宋体" w:hint="ascii"/>
          <w:sz w:val="21"/>
          <w:spacing w:val="-3"/>
        </w:rPr>
        <w:t>环</w:t>
      </w:r>
      <w:r>
        <w:rPr>
          <w:rFonts w:ascii="宋体" w:hAnsi="宋体" w:cs="宋体" w:eastAsia="宋体" w:hint="ascii"/>
          <w:sz w:val="21"/>
          <w:spacing w:val="-2"/>
        </w:rPr>
        <w:t>境</w:t>
      </w:r>
      <w:r>
        <w:rPr>
          <w:rFonts w:ascii="宋体" w:hAnsi="宋体" w:cs="宋体" w:eastAsia="宋体" w:hint="ascii"/>
          <w:sz w:val="21"/>
          <w:spacing w:val="-3"/>
        </w:rPr>
        <w:t>条件</w:t>
      </w:r>
      <w:r>
        <w:rPr>
          <w:rFonts w:ascii="宋体" w:hAnsi="宋体" w:cs="宋体" w:eastAsia="宋体" w:hint="ascii"/>
          <w:sz w:val="21"/>
          <w:spacing w:val="-2"/>
        </w:rPr>
        <w:t>下维</w:t>
      </w:r>
      <w:r>
        <w:rPr>
          <w:rFonts w:ascii="宋体" w:hAnsi="宋体" w:cs="宋体" w:eastAsia="宋体" w:hint="ascii"/>
          <w:sz w:val="21"/>
          <w:spacing w:val="-3"/>
        </w:rPr>
        <w:t>持</w:t>
      </w:r>
      <w:r>
        <w:rPr>
          <w:rFonts w:ascii="宋体" w:hAnsi="宋体" w:cs="宋体" w:eastAsia="宋体" w:hint="ascii"/>
          <w:sz w:val="21"/>
          <w:spacing w:val="-2"/>
        </w:rPr>
        <w:t>和</w:t>
      </w:r>
      <w:r>
        <w:rPr>
          <w:rFonts w:ascii="宋体" w:hAnsi="宋体" w:cs="宋体" w:eastAsia="宋体" w:hint="ascii"/>
          <w:sz w:val="21"/>
          <w:spacing w:val="-3"/>
        </w:rPr>
        <w:t>增强</w:t>
      </w:r>
      <w:r>
        <w:rPr>
          <w:rFonts w:ascii="宋体" w:hAnsi="宋体" w:cs="宋体" w:eastAsia="宋体" w:hint="ascii"/>
          <w:sz w:val="21"/>
          <w:spacing w:val="-2"/>
        </w:rPr>
        <w:t>机体</w:t>
      </w:r>
      <w:r>
        <w:rPr>
          <w:rFonts w:ascii="宋体" w:hAnsi="宋体" w:cs="宋体" w:eastAsia="宋体" w:hint="ascii"/>
          <w:sz w:val="21"/>
          <w:spacing w:val="-3"/>
        </w:rPr>
        <w:t>脑</w:t>
      </w:r>
      <w:r>
        <w:rPr>
          <w:rFonts w:ascii="宋体" w:hAnsi="宋体" w:cs="宋体" w:eastAsia="宋体" w:hint="ascii"/>
          <w:sz w:val="21"/>
          <w:spacing w:val="-2"/>
        </w:rPr>
        <w:t>能</w:t>
      </w:r>
      <w:r>
        <w:rPr>
          <w:rFonts w:ascii="宋体" w:hAnsi="宋体" w:cs="宋体" w:eastAsia="宋体" w:hint="ascii"/>
          <w:sz w:val="21"/>
          <w:spacing w:val="-3"/>
        </w:rPr>
        <w:t>与体</w:t>
      </w:r>
      <w:r>
        <w:rPr>
          <w:rFonts w:ascii="宋体" w:hAnsi="宋体" w:cs="宋体" w:eastAsia="宋体" w:hint="ascii"/>
          <w:sz w:val="21"/>
          <w:spacing w:val="-2"/>
        </w:rPr>
        <w:t>能的</w:t>
      </w:r>
      <w:r>
        <w:rPr>
          <w:rFonts w:ascii="宋体" w:hAnsi="宋体" w:cs="宋体" w:eastAsia="宋体" w:hint="ascii"/>
          <w:sz w:val="21"/>
          <w:spacing w:val="-3"/>
        </w:rPr>
        <w:t>新</w:t>
      </w:r>
      <w:r>
        <w:rPr>
          <w:rFonts w:ascii="宋体" w:hAnsi="宋体" w:cs="宋体" w:eastAsia="宋体" w:hint="ascii"/>
          <w:sz w:val="21"/>
          <w:spacing w:val="-2"/>
        </w:rPr>
        <w:t>技</w:t>
      </w:r>
      <w:r>
        <w:rPr>
          <w:rFonts w:ascii="宋体" w:hAnsi="宋体" w:cs="宋体" w:eastAsia="宋体" w:hint="ascii"/>
          <w:sz w:val="21"/>
          <w:spacing w:val="-3"/>
        </w:rPr>
        <w:t>术和</w:t>
      </w:r>
      <w:r>
        <w:rPr>
          <w:rFonts w:ascii="宋体" w:hAnsi="宋体" w:cs="宋体" w:eastAsia="宋体" w:hint="ascii"/>
          <w:sz w:val="21"/>
          <w:spacing w:val="-2"/>
        </w:rPr>
        <w:t>新方</w:t>
      </w:r>
      <w:r>
        <w:rPr>
          <w:rFonts w:ascii="宋体" w:hAnsi="宋体" w:cs="宋体" w:eastAsia="宋体" w:hint="ascii"/>
          <w:sz w:val="21"/>
          <w:spacing w:val="-3"/>
        </w:rPr>
        <w:t>法</w:t>
      </w:r>
      <w:r>
        <w:rPr>
          <w:rFonts w:ascii="宋体" w:hAnsi="宋体" w:cs="宋体" w:eastAsia="宋体" w:hint="ascii"/>
          <w:sz w:val="21"/>
          <w:spacing w:val="-2"/>
        </w:rPr>
        <w:t>。</w:t>
      </w:r>
      <w:r>
        <w:rPr>
          <w:rFonts w:ascii="宋体" w:hAnsi="宋体" w:cs="宋体" w:eastAsia="宋体" w:hint="ascii"/>
          <w:sz w:val="21"/>
          <w:spacing w:val="-3"/>
        </w:rPr>
        <w:t>支持</w:t>
      </w:r>
      <w:r>
        <w:rPr>
          <w:rFonts w:ascii="宋体" w:hAnsi="宋体" w:cs="宋体" w:eastAsia="宋体" w:hint="ascii"/>
          <w:sz w:val="21"/>
          <w:spacing w:val="-2"/>
        </w:rPr>
        <w:t>特种</w:t>
      </w:r>
      <w:r>
        <w:rPr>
          <w:rFonts w:ascii="宋体" w:hAnsi="宋体" w:cs="宋体" w:eastAsia="宋体" w:hint="ascii"/>
          <w:sz w:val="21"/>
          <w:spacing w:val="-3"/>
        </w:rPr>
        <w:t>医</w:t>
      </w:r>
      <w:r>
        <w:rPr>
          <w:rFonts w:ascii="宋体" w:hAnsi="宋体" w:cs="宋体" w:eastAsia="宋体" w:hint="ascii"/>
          <w:sz w:val="21"/>
          <w:spacing w:val="-2"/>
        </w:rPr>
        <w:t>学</w:t>
      </w:r>
      <w:r>
        <w:rPr>
          <w:rFonts w:ascii="宋体" w:hAnsi="宋体" w:cs="宋体" w:eastAsia="宋体" w:hint="ascii"/>
          <w:sz w:val="21"/>
          <w:spacing w:val="-3"/>
        </w:rPr>
        <w:t>自身</w:t>
      </w:r>
      <w:r>
        <w:rPr>
          <w:rFonts w:ascii="宋体" w:hAnsi="宋体" w:cs="宋体" w:eastAsia="宋体" w:hint="ascii"/>
          <w:sz w:val="21"/>
          <w:spacing w:val="-2"/>
        </w:rPr>
        <w:t>的学</w:t>
      </w:r>
      <w:r>
        <w:rPr>
          <w:rFonts w:ascii="宋体" w:hAnsi="宋体" w:cs="宋体" w:eastAsia="宋体" w:hint="ascii"/>
          <w:sz w:val="21"/>
        </w:rPr>
        <w:t>科</w:t>
      </w:r>
    </w:p>
    <w:p>
      <w:pPr>
        <w:autoSpaceDE w:val="0"/>
        <w:autoSpaceDN w:val="0"/>
        <w:jc w:val="both"/>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3"/>
        </w:rPr>
        <w:t>交叉、特</w:t>
      </w:r>
      <w:r>
        <w:rPr>
          <w:rFonts w:ascii="宋体" w:hAnsi="宋体" w:cs="宋体" w:eastAsia="宋体" w:hint="ascii"/>
          <w:sz w:val="21"/>
          <w:spacing w:val="-2"/>
        </w:rPr>
        <w:t>种医学与生</w:t>
      </w:r>
      <w:r>
        <w:rPr>
          <w:rFonts w:ascii="宋体" w:hAnsi="宋体" w:cs="宋体" w:eastAsia="宋体" w:hint="ascii"/>
          <w:sz w:val="21"/>
          <w:spacing w:val="-1"/>
        </w:rPr>
        <w:t>物</w:t>
      </w:r>
      <w:r>
        <w:rPr>
          <w:rFonts w:ascii="宋体" w:hAnsi="宋体" w:cs="宋体" w:eastAsia="宋体" w:hint="ascii"/>
          <w:sz w:val="21"/>
          <w:spacing w:val="-2"/>
        </w:rPr>
        <w:t>医学工程</w:t>
      </w:r>
      <w:r>
        <w:rPr>
          <w:rFonts w:ascii="宋体" w:hAnsi="宋体" w:cs="宋体" w:eastAsia="宋体" w:hint="ascii"/>
          <w:sz w:val="21"/>
          <w:spacing w:val="-1"/>
        </w:rPr>
        <w:t>及</w:t>
      </w:r>
      <w:r>
        <w:rPr>
          <w:rFonts w:ascii="宋体" w:hAnsi="宋体" w:cs="宋体" w:eastAsia="宋体" w:hint="ascii"/>
          <w:sz w:val="21"/>
          <w:spacing w:val="-2"/>
        </w:rPr>
        <w:t>其他自然</w:t>
      </w:r>
      <w:r>
        <w:rPr>
          <w:rFonts w:ascii="宋体" w:hAnsi="宋体" w:cs="宋体" w:eastAsia="宋体" w:hint="ascii"/>
          <w:sz w:val="21"/>
          <w:spacing w:val="-1"/>
        </w:rPr>
        <w:t>科</w:t>
      </w:r>
      <w:r>
        <w:rPr>
          <w:rFonts w:ascii="宋体" w:hAnsi="宋体" w:cs="宋体" w:eastAsia="宋体" w:hint="ascii"/>
          <w:sz w:val="21"/>
          <w:spacing w:val="-2"/>
        </w:rPr>
        <w:t>学的多学</w:t>
      </w:r>
      <w:r>
        <w:rPr>
          <w:rFonts w:ascii="宋体" w:hAnsi="宋体" w:cs="宋体" w:eastAsia="宋体" w:hint="ascii"/>
          <w:sz w:val="21"/>
          <w:spacing w:val="-1"/>
        </w:rPr>
        <w:t>科</w:t>
      </w:r>
      <w:r>
        <w:rPr>
          <w:rFonts w:ascii="宋体" w:hAnsi="宋体" w:cs="宋体" w:eastAsia="宋体" w:hint="ascii"/>
          <w:sz w:val="21"/>
          <w:spacing w:val="-2"/>
        </w:rPr>
        <w:t>交叉研究。</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4"/>
        </w:rPr>
        <w:t>01</w:t>
      </w:r>
      <w:r>
        <w:rPr>
          <w:rFonts w:ascii="Times New Roman" w:hAnsi="Times New Roman" w:cs="Times New Roman" w:eastAsia="Times New Roman" w:hint="ascii"/>
          <w:sz w:val="21"/>
          <w:spacing w:val="50"/>
        </w:rPr>
        <w:t>7</w:t>
      </w:r>
      <w:r>
        <w:rPr>
          <w:rFonts w:ascii="宋体" w:hAnsi="宋体" w:cs="宋体" w:eastAsia="宋体" w:hint="ascii"/>
          <w:sz w:val="21"/>
          <w:spacing w:val="-2"/>
        </w:rPr>
        <w:t>年度已</w:t>
      </w:r>
      <w:r>
        <w:rPr>
          <w:rFonts w:ascii="宋体" w:hAnsi="宋体" w:cs="宋体" w:eastAsia="宋体" w:hint="ascii"/>
          <w:sz w:val="21"/>
          <w:spacing w:val="-1"/>
        </w:rPr>
        <w:t>给</w:t>
      </w:r>
      <w:r>
        <w:rPr>
          <w:rFonts w:ascii="宋体" w:hAnsi="宋体" w:cs="宋体" w:eastAsia="宋体" w:hint="ascii"/>
          <w:sz w:val="21"/>
          <w:spacing w:val="-2"/>
        </w:rPr>
        <w:t>予</w:t>
      </w:r>
      <w:r>
        <w:rPr>
          <w:rFonts w:ascii="宋体" w:hAnsi="宋体" w:cs="宋体" w:eastAsia="宋体" w:hint="ascii"/>
          <w:sz w:val="21"/>
          <w:spacing w:val="-1"/>
        </w:rPr>
        <w:t>特</w:t>
      </w:r>
      <w:r>
        <w:rPr>
          <w:rFonts w:ascii="宋体" w:hAnsi="宋体" w:cs="宋体" w:eastAsia="宋体" w:hint="ascii"/>
          <w:sz w:val="21"/>
        </w:rPr>
        <w:t xml:space="preserve"> </w:t>
      </w:r>
      <w:r>
        <w:rPr>
          <w:rFonts w:ascii="宋体" w:hAnsi="宋体" w:cs="宋体" w:eastAsia="宋体" w:hint="ascii"/>
          <w:sz w:val="21"/>
          <w:spacing w:val="-3"/>
        </w:rPr>
        <w:t>种医</w:t>
      </w:r>
      <w:r>
        <w:rPr>
          <w:rFonts w:ascii="宋体" w:hAnsi="宋体" w:cs="宋体" w:eastAsia="宋体" w:hint="ascii"/>
          <w:sz w:val="21"/>
          <w:spacing w:val="22"/>
        </w:rPr>
        <w:t>学</w:t>
      </w:r>
      <w:r>
        <w:rPr>
          <w:rFonts w:ascii="Times New Roman" w:hAnsi="Times New Roman" w:cs="Times New Roman" w:eastAsia="Times New Roman" w:hint="ascii"/>
          <w:sz w:val="21"/>
          <w:spacing w:val="46"/>
        </w:rPr>
        <w:t>1</w:t>
      </w:r>
      <w:r>
        <w:rPr>
          <w:rFonts w:ascii="宋体" w:hAnsi="宋体" w:cs="宋体" w:eastAsia="宋体" w:hint="ascii"/>
          <w:sz w:val="21"/>
          <w:spacing w:val="-3"/>
        </w:rPr>
        <w:t>项高强度支持，</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46"/>
        </w:rPr>
        <w:t>8</w:t>
      </w:r>
      <w:r>
        <w:rPr>
          <w:rFonts w:ascii="宋体" w:hAnsi="宋体" w:cs="宋体" w:eastAsia="宋体" w:hint="ascii"/>
          <w:sz w:val="21"/>
          <w:spacing w:val="-3"/>
        </w:rPr>
        <w:t>年度将继续予以至</w:t>
      </w:r>
      <w:r>
        <w:rPr>
          <w:rFonts w:ascii="宋体" w:hAnsi="宋体" w:cs="宋体" w:eastAsia="宋体" w:hint="ascii"/>
          <w:sz w:val="21"/>
          <w:spacing w:val="22"/>
        </w:rPr>
        <w:t>少</w:t>
      </w:r>
      <w:r>
        <w:rPr>
          <w:rFonts w:ascii="Times New Roman" w:hAnsi="Times New Roman" w:cs="Times New Roman" w:eastAsia="Times New Roman" w:hint="ascii"/>
          <w:sz w:val="21"/>
          <w:spacing w:val="46"/>
        </w:rPr>
        <w:t>1</w:t>
      </w:r>
      <w:r>
        <w:rPr>
          <w:rFonts w:ascii="宋体" w:hAnsi="宋体" w:cs="宋体" w:eastAsia="宋体" w:hint="ascii"/>
          <w:sz w:val="21"/>
          <w:spacing w:val="-3"/>
        </w:rPr>
        <w:t>项高强度面上项目支持</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法医学（</w:t>
      </w:r>
      <w:r>
        <w:rPr>
          <w:rFonts w:ascii="Times New Roman" w:hAnsi="Times New Roman" w:cs="Times New Roman" w:eastAsia="Times New Roman" w:hint="ascii"/>
          <w:b w:val="1"/>
        </w:rPr>
        <w:t>H23</w:t>
      </w:r>
      <w:r>
        <w:rPr>
          <w:rFonts w:ascii="宋体" w:hAnsi="宋体" w:cs="宋体" w:eastAsia="宋体" w:hint="ascii"/>
        </w:rPr>
        <w:t>）</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主要资助以人体及其他法医生物检材为研究对象，旨在解决司法实践中的医学问题</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而开展的相关研究。资助的领域包括：死亡原因鉴定、死亡时间推断，药（毒）物滥用</w:t>
      </w:r>
      <w:r>
        <w:rPr>
          <w:rFonts w:ascii="宋体" w:hAnsi="宋体" w:cs="宋体" w:eastAsia="宋体" w:hint="ascii"/>
          <w:sz w:val="21"/>
          <w:spacing w:val="3"/>
        </w:rPr>
        <w:t>与依赖引</w:t>
      </w:r>
      <w:r>
        <w:rPr>
          <w:rFonts w:ascii="宋体" w:hAnsi="宋体" w:cs="宋体" w:eastAsia="宋体" w:hint="ascii"/>
          <w:sz w:val="21"/>
        </w:rPr>
        <w:t>起</w:t>
      </w:r>
      <w:r>
        <w:rPr>
          <w:rFonts w:ascii="宋体" w:hAnsi="宋体" w:cs="宋体" w:eastAsia="宋体" w:hint="ascii"/>
          <w:sz w:val="21"/>
          <w:spacing w:val="3"/>
        </w:rPr>
        <w:t>的病理生</w:t>
      </w:r>
      <w:r>
        <w:rPr>
          <w:rFonts w:ascii="宋体" w:hAnsi="宋体" w:cs="宋体" w:eastAsia="宋体" w:hint="ascii"/>
          <w:sz w:val="21"/>
        </w:rPr>
        <w:t>理</w:t>
      </w:r>
      <w:r>
        <w:rPr>
          <w:rFonts w:ascii="宋体" w:hAnsi="宋体" w:cs="宋体" w:eastAsia="宋体" w:hint="ascii"/>
          <w:sz w:val="21"/>
          <w:spacing w:val="3"/>
        </w:rPr>
        <w:t>变化、毒</w:t>
      </w:r>
      <w:r>
        <w:rPr>
          <w:rFonts w:ascii="宋体" w:hAnsi="宋体" w:cs="宋体" w:eastAsia="宋体" w:hint="ascii"/>
          <w:sz w:val="21"/>
        </w:rPr>
        <w:t>物</w:t>
      </w:r>
      <w:r>
        <w:rPr>
          <w:rFonts w:ascii="宋体" w:hAnsi="宋体" w:cs="宋体" w:eastAsia="宋体" w:hint="ascii"/>
          <w:sz w:val="21"/>
          <w:spacing w:val="3"/>
        </w:rPr>
        <w:t>在体内的</w:t>
      </w:r>
      <w:r>
        <w:rPr>
          <w:rFonts w:ascii="宋体" w:hAnsi="宋体" w:cs="宋体" w:eastAsia="宋体" w:hint="ascii"/>
          <w:sz w:val="21"/>
        </w:rPr>
        <w:t>代</w:t>
      </w:r>
      <w:r>
        <w:rPr>
          <w:rFonts w:ascii="宋体" w:hAnsi="宋体" w:cs="宋体" w:eastAsia="宋体" w:hint="ascii"/>
          <w:sz w:val="21"/>
          <w:spacing w:val="3"/>
        </w:rPr>
        <w:t>谢过程，</w:t>
      </w:r>
      <w:r>
        <w:rPr>
          <w:rFonts w:ascii="宋体" w:hAnsi="宋体" w:cs="宋体" w:eastAsia="宋体" w:hint="ascii"/>
          <w:sz w:val="21"/>
        </w:rPr>
        <w:t>毒</w:t>
      </w:r>
      <w:r>
        <w:rPr>
          <w:rFonts w:ascii="宋体" w:hAnsi="宋体" w:cs="宋体" w:eastAsia="宋体" w:hint="ascii"/>
          <w:sz w:val="21"/>
          <w:spacing w:val="3"/>
        </w:rPr>
        <w:t>物及代谢</w:t>
      </w:r>
      <w:r>
        <w:rPr>
          <w:rFonts w:ascii="宋体" w:hAnsi="宋体" w:cs="宋体" w:eastAsia="宋体" w:hint="ascii"/>
          <w:sz w:val="21"/>
        </w:rPr>
        <w:t>中</w:t>
      </w:r>
      <w:r>
        <w:rPr>
          <w:rFonts w:ascii="宋体" w:hAnsi="宋体" w:cs="宋体" w:eastAsia="宋体" w:hint="ascii"/>
          <w:sz w:val="21"/>
          <w:spacing w:val="3"/>
        </w:rPr>
        <w:t>间产物的检</w:t>
      </w:r>
      <w:r>
        <w:rPr>
          <w:rFonts w:ascii="宋体" w:hAnsi="宋体" w:cs="宋体" w:eastAsia="宋体" w:hint="ascii"/>
          <w:sz w:val="21"/>
          <w:spacing w:val="4"/>
        </w:rPr>
        <w:t>测</w:t>
      </w:r>
      <w:r>
        <w:rPr>
          <w:rFonts w:ascii="宋体" w:hAnsi="宋体" w:cs="宋体" w:eastAsia="宋体" w:hint="ascii"/>
          <w:sz w:val="21"/>
        </w:rPr>
        <w:t>技术，损伤机制、损伤程度、损伤时间推断、伤残等级及劳动能力丧失程度鉴定的医学依</w:t>
      </w:r>
      <w:r>
        <w:rPr>
          <w:rFonts w:ascii="宋体" w:hAnsi="宋体" w:cs="宋体" w:eastAsia="宋体" w:hint="ascii"/>
          <w:sz w:val="21"/>
          <w:spacing w:val="3"/>
        </w:rPr>
        <w:t>据，精神</w:t>
      </w:r>
      <w:r>
        <w:rPr>
          <w:rFonts w:ascii="宋体" w:hAnsi="宋体" w:cs="宋体" w:eastAsia="宋体" w:hint="ascii"/>
          <w:sz w:val="21"/>
        </w:rPr>
        <w:t>障</w:t>
      </w:r>
      <w:r>
        <w:rPr>
          <w:rFonts w:ascii="宋体" w:hAnsi="宋体" w:cs="宋体" w:eastAsia="宋体" w:hint="ascii"/>
          <w:sz w:val="21"/>
          <w:spacing w:val="3"/>
        </w:rPr>
        <w:t>碍者行为</w:t>
      </w:r>
      <w:r>
        <w:rPr>
          <w:rFonts w:ascii="宋体" w:hAnsi="宋体" w:cs="宋体" w:eastAsia="宋体" w:hint="ascii"/>
          <w:sz w:val="21"/>
        </w:rPr>
        <w:t>能</w:t>
      </w:r>
      <w:r>
        <w:rPr>
          <w:rFonts w:ascii="宋体" w:hAnsi="宋体" w:cs="宋体" w:eastAsia="宋体" w:hint="ascii"/>
          <w:sz w:val="21"/>
          <w:spacing w:val="3"/>
        </w:rPr>
        <w:t>力与责任</w:t>
      </w:r>
      <w:r>
        <w:rPr>
          <w:rFonts w:ascii="宋体" w:hAnsi="宋体" w:cs="宋体" w:eastAsia="宋体" w:hint="ascii"/>
          <w:sz w:val="21"/>
        </w:rPr>
        <w:t>能</w:t>
      </w:r>
      <w:r>
        <w:rPr>
          <w:rFonts w:ascii="宋体" w:hAnsi="宋体" w:cs="宋体" w:eastAsia="宋体" w:hint="ascii"/>
          <w:sz w:val="21"/>
          <w:spacing w:val="3"/>
        </w:rPr>
        <w:t>力的客观</w:t>
      </w:r>
      <w:r>
        <w:rPr>
          <w:rFonts w:ascii="宋体" w:hAnsi="宋体" w:cs="宋体" w:eastAsia="宋体" w:hint="ascii"/>
          <w:sz w:val="21"/>
        </w:rPr>
        <w:t>评</w:t>
      </w:r>
      <w:r>
        <w:rPr>
          <w:rFonts w:ascii="宋体" w:hAnsi="宋体" w:cs="宋体" w:eastAsia="宋体" w:hint="ascii"/>
          <w:sz w:val="21"/>
          <w:spacing w:val="3"/>
        </w:rPr>
        <w:t>定，个体</w:t>
      </w:r>
      <w:r>
        <w:rPr>
          <w:rFonts w:ascii="宋体" w:hAnsi="宋体" w:cs="宋体" w:eastAsia="宋体" w:hint="ascii"/>
          <w:sz w:val="21"/>
        </w:rPr>
        <w:t>特</w:t>
      </w:r>
      <w:r>
        <w:rPr>
          <w:rFonts w:ascii="宋体" w:hAnsi="宋体" w:cs="宋体" w:eastAsia="宋体" w:hint="ascii"/>
          <w:sz w:val="21"/>
          <w:spacing w:val="3"/>
        </w:rPr>
        <w:t>征推断（</w:t>
      </w:r>
      <w:r>
        <w:rPr>
          <w:rFonts w:ascii="宋体" w:hAnsi="宋体" w:cs="宋体" w:eastAsia="宋体" w:hint="ascii"/>
          <w:sz w:val="21"/>
        </w:rPr>
        <w:t>年</w:t>
      </w:r>
      <w:r>
        <w:rPr>
          <w:rFonts w:ascii="宋体" w:hAnsi="宋体" w:cs="宋体" w:eastAsia="宋体" w:hint="ascii"/>
          <w:sz w:val="21"/>
          <w:spacing w:val="3"/>
        </w:rPr>
        <w:t>龄、身高、</w:t>
      </w:r>
      <w:r>
        <w:rPr>
          <w:rFonts w:ascii="宋体" w:hAnsi="宋体" w:cs="宋体" w:eastAsia="宋体" w:hint="ascii"/>
          <w:sz w:val="21"/>
          <w:spacing w:val="4"/>
        </w:rPr>
        <w:t>容</w:t>
      </w:r>
      <w:r>
        <w:rPr>
          <w:rFonts w:ascii="宋体" w:hAnsi="宋体" w:cs="宋体" w:eastAsia="宋体" w:hint="ascii"/>
          <w:sz w:val="21"/>
        </w:rPr>
        <w:t>貌等</w:t>
      </w:r>
      <w:r>
        <w:rPr>
          <w:rFonts w:ascii="宋体" w:hAnsi="宋体" w:cs="宋体" w:eastAsia="宋体" w:hint="ascii"/>
          <w:sz w:val="21"/>
          <w:spacing w:val="-50"/>
        </w:rPr>
        <w:t>）</w:t>
      </w:r>
      <w:r>
        <w:rPr>
          <w:rFonts w:ascii="宋体" w:hAnsi="宋体" w:cs="宋体" w:eastAsia="宋体" w:hint="ascii"/>
          <w:sz w:val="21"/>
        </w:rPr>
        <w:t>、疑难检材的个体识别、复杂亲缘关系鉴定、组织来源推断、族源推断的基础与应用研究，生物学及医学新技术与新方法的法医学转化等。鼓励在上述领域应用物理学、化学、生物学、医学、法学以及信息学等其他学科的理论和技术对法医学问题开展深入系统的研究。支持法医学与影像医学、生物医学工程等其他学科的交叉研究。</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年度将予以至</w:t>
      </w:r>
      <w:r>
        <w:rPr>
          <w:rFonts w:ascii="宋体" w:hAnsi="宋体" w:cs="宋体" w:eastAsia="宋体" w:hint="ascii"/>
          <w:sz w:val="21"/>
          <w:spacing w:val="26"/>
        </w:rPr>
        <w:t>少</w:t>
      </w:r>
      <w:r>
        <w:rPr>
          <w:rFonts w:ascii="Times New Roman" w:hAnsi="Times New Roman" w:cs="Times New Roman" w:eastAsia="Times New Roman" w:hint="ascii"/>
          <w:sz w:val="21"/>
          <w:spacing w:val="52"/>
        </w:rPr>
        <w:t>1</w:t>
      </w:r>
      <w:r>
        <w:rPr>
          <w:rFonts w:ascii="宋体" w:hAnsi="宋体" w:cs="宋体" w:eastAsia="宋体" w:hint="ascii"/>
          <w:sz w:val="21"/>
        </w:rPr>
        <w:t>项高强度面上项目支持。</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spacing w:val="3"/>
        </w:rPr>
        <w:t>多学</w:t>
      </w:r>
      <w:r>
        <w:rPr>
          <w:rFonts w:ascii="宋体" w:hAnsi="宋体" w:cs="宋体" w:eastAsia="宋体" w:hint="ascii"/>
          <w:sz w:val="21"/>
          <w:spacing w:val="4"/>
        </w:rPr>
        <w:t>科</w:t>
      </w:r>
      <w:r>
        <w:rPr>
          <w:rFonts w:ascii="宋体" w:hAnsi="宋体" w:cs="宋体" w:eastAsia="宋体" w:hint="ascii"/>
          <w:sz w:val="21"/>
          <w:spacing w:val="3"/>
        </w:rPr>
        <w:t>交叉促进</w:t>
      </w:r>
      <w:r>
        <w:rPr>
          <w:rFonts w:ascii="宋体" w:hAnsi="宋体" w:cs="宋体" w:eastAsia="宋体" w:hint="ascii"/>
          <w:sz w:val="21"/>
          <w:spacing w:val="4"/>
        </w:rPr>
        <w:t>了</w:t>
      </w:r>
      <w:r>
        <w:rPr>
          <w:rFonts w:ascii="宋体" w:hAnsi="宋体" w:cs="宋体" w:eastAsia="宋体" w:hint="ascii"/>
          <w:sz w:val="21"/>
          <w:spacing w:val="3"/>
        </w:rPr>
        <w:t>影像医学</w:t>
      </w:r>
      <w:r>
        <w:rPr>
          <w:rFonts w:ascii="宋体" w:hAnsi="宋体" w:cs="宋体" w:eastAsia="宋体" w:hint="ascii"/>
          <w:sz w:val="21"/>
          <w:spacing w:val="4"/>
        </w:rPr>
        <w:t>、</w:t>
      </w:r>
      <w:r>
        <w:rPr>
          <w:rFonts w:ascii="宋体" w:hAnsi="宋体" w:cs="宋体" w:eastAsia="宋体" w:hint="ascii"/>
          <w:sz w:val="21"/>
          <w:spacing w:val="3"/>
        </w:rPr>
        <w:t>生物医学</w:t>
      </w:r>
      <w:r>
        <w:rPr>
          <w:rFonts w:ascii="宋体" w:hAnsi="宋体" w:cs="宋体" w:eastAsia="宋体" w:hint="ascii"/>
          <w:sz w:val="21"/>
          <w:spacing w:val="4"/>
        </w:rPr>
        <w:t>工</w:t>
      </w:r>
      <w:r>
        <w:rPr>
          <w:rFonts w:ascii="宋体" w:hAnsi="宋体" w:cs="宋体" w:eastAsia="宋体" w:hint="ascii"/>
          <w:sz w:val="21"/>
          <w:spacing w:val="3"/>
        </w:rPr>
        <w:t>程学、特</w:t>
      </w:r>
      <w:r>
        <w:rPr>
          <w:rFonts w:ascii="宋体" w:hAnsi="宋体" w:cs="宋体" w:eastAsia="宋体" w:hint="ascii"/>
          <w:sz w:val="21"/>
          <w:spacing w:val="4"/>
        </w:rPr>
        <w:t>种</w:t>
      </w:r>
      <w:r>
        <w:rPr>
          <w:rFonts w:ascii="宋体" w:hAnsi="宋体" w:cs="宋体" w:eastAsia="宋体" w:hint="ascii"/>
          <w:sz w:val="21"/>
          <w:spacing w:val="3"/>
        </w:rPr>
        <w:t>医学和法</w:t>
      </w:r>
      <w:r>
        <w:rPr>
          <w:rFonts w:ascii="宋体" w:hAnsi="宋体" w:cs="宋体" w:eastAsia="宋体" w:hint="ascii"/>
          <w:sz w:val="21"/>
          <w:spacing w:val="4"/>
        </w:rPr>
        <w:t>医</w:t>
      </w:r>
      <w:r>
        <w:rPr>
          <w:rFonts w:ascii="宋体" w:hAnsi="宋体" w:cs="宋体" w:eastAsia="宋体" w:hint="ascii"/>
          <w:sz w:val="21"/>
          <w:spacing w:val="3"/>
        </w:rPr>
        <w:t>学的快速</w:t>
      </w:r>
      <w:r>
        <w:rPr>
          <w:rFonts w:ascii="宋体" w:hAnsi="宋体" w:cs="宋体" w:eastAsia="宋体" w:hint="ascii"/>
          <w:sz w:val="21"/>
          <w:spacing w:val="4"/>
        </w:rPr>
        <w:t>发</w:t>
      </w:r>
      <w:r>
        <w:rPr>
          <w:rFonts w:ascii="宋体" w:hAnsi="宋体" w:cs="宋体" w:eastAsia="宋体" w:hint="ascii"/>
          <w:sz w:val="21"/>
          <w:spacing w:val="3"/>
        </w:rPr>
        <w:t>展</w:t>
      </w:r>
      <w:r>
        <w:rPr>
          <w:rFonts w:ascii="宋体" w:hAnsi="宋体" w:cs="宋体" w:eastAsia="宋体" w:hint="ascii"/>
          <w:sz w:val="21"/>
        </w:rPr>
        <w:t>。</w:t>
      </w:r>
    </w:p>
    <w:p>
      <w:pPr>
        <w:autoSpaceDE w:val="0"/>
        <w:autoSpaceDN w:val="0"/>
        <w:jc w:val="left"/>
        <w:spacing w:before="10" w:after="0" w:lineRule="exact" w:line="312"/>
        <w:ind w:right="962" w:left="966" w:firstLine="0"/>
        <w:snapToGrid w:val="0"/>
        <w:textAlignment w:val="auto"/>
        <w:tabs>
          <w:tab w:val="left" w:leader="none" w:pos="1441"/>
        </w:tabs>
        <w:numPr>
          <w:ilvl w:val="0"/>
          <w:numId w:val="119"/>
        </w:numPr>
        <w:rPr>
          <w:rFonts w:ascii="Times New Roman" w:hAnsi="Times New Roman" w:cs="Times New Roman" w:eastAsia="Times New Roman" w:hint="ascii"/>
          <w:sz w:val="21"/>
          <w:spacing w:val="1"/>
        </w:rPr>
      </w:pPr>
      <w:r>
        <w:rPr>
          <w:rFonts w:ascii="宋体" w:hAnsi="宋体" w:cs="宋体" w:eastAsia="宋体" w:hint="ascii"/>
          <w:sz w:val="21"/>
        </w:rPr>
        <w:t>年度影像医学</w:t>
      </w:r>
      <w:r>
        <w:rPr>
          <w:rFonts w:ascii="Times New Roman" w:hAnsi="Times New Roman" w:cs="Times New Roman" w:eastAsia="Times New Roman" w:hint="ascii"/>
          <w:sz w:val="21"/>
        </w:rPr>
        <w:t>/</w:t>
      </w:r>
      <w:r>
        <w:rPr>
          <w:rFonts w:ascii="宋体" w:hAnsi="宋体" w:cs="宋体" w:eastAsia="宋体" w:hint="ascii"/>
          <w:sz w:val="21"/>
        </w:rPr>
        <w:t>生物医学工程学</w:t>
      </w:r>
      <w:r>
        <w:rPr>
          <w:rFonts w:ascii="Times New Roman" w:hAnsi="Times New Roman" w:cs="Times New Roman" w:eastAsia="Times New Roman" w:hint="ascii"/>
          <w:sz w:val="21"/>
        </w:rPr>
        <w:t>/</w:t>
      </w:r>
      <w:r>
        <w:rPr>
          <w:rFonts w:ascii="宋体" w:hAnsi="宋体" w:cs="宋体" w:eastAsia="宋体" w:hint="ascii"/>
          <w:sz w:val="21"/>
        </w:rPr>
        <w:t>特种医学</w:t>
      </w:r>
      <w:r>
        <w:rPr>
          <w:rFonts w:ascii="Times New Roman" w:hAnsi="Times New Roman" w:cs="Times New Roman" w:eastAsia="Times New Roman" w:hint="ascii"/>
          <w:sz w:val="21"/>
        </w:rPr>
        <w:t>/</w:t>
      </w:r>
      <w:r>
        <w:rPr>
          <w:rFonts w:ascii="宋体" w:hAnsi="宋体" w:cs="宋体" w:eastAsia="宋体" w:hint="ascii"/>
          <w:sz w:val="21"/>
        </w:rPr>
        <w:t>法医学领域项目申请</w:t>
      </w:r>
      <w:r>
        <w:rPr>
          <w:rFonts w:ascii="宋体" w:hAnsi="宋体" w:cs="宋体" w:eastAsia="宋体" w:hint="ascii"/>
          <w:sz w:val="21"/>
          <w:spacing w:val="-24"/>
        </w:rPr>
        <w:t xml:space="preserve"> </w:t>
      </w:r>
      <w:r>
        <w:rPr>
          <w:rFonts w:ascii="Times New Roman" w:hAnsi="Times New Roman" w:cs="Times New Roman" w:eastAsia="Times New Roman" w:hint="ascii"/>
          <w:sz w:val="21"/>
        </w:rPr>
        <w:t>1 30</w:t>
      </w:r>
      <w:r>
        <w:rPr>
          <w:rFonts w:ascii="Times New Roman" w:hAnsi="Times New Roman" w:cs="Times New Roman" w:eastAsia="Times New Roman" w:hint="ascii"/>
          <w:sz w:val="21"/>
          <w:spacing w:val="54"/>
        </w:rPr>
        <w:t>4</w:t>
      </w:r>
      <w:r>
        <w:rPr>
          <w:rFonts w:ascii="宋体" w:hAnsi="宋体" w:cs="宋体" w:eastAsia="宋体" w:hint="ascii"/>
          <w:sz w:val="21"/>
        </w:rPr>
        <w:t>项，资助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250 </w:t>
      </w:r>
      <w:r>
        <w:rPr>
          <w:rFonts w:ascii="宋体" w:hAnsi="宋体" w:cs="宋体" w:eastAsia="宋体" w:hint="ascii"/>
          <w:sz w:val="21"/>
        </w:rPr>
        <w:t>项（含小额</w:t>
      </w:r>
      <w:r>
        <w:rPr>
          <w:rFonts w:ascii="宋体" w:hAnsi="宋体" w:cs="宋体" w:eastAsia="宋体" w:hint="ascii"/>
          <w:sz w:val="21"/>
          <w:spacing w:val="-52"/>
        </w:rPr>
        <w:t>）</w:t>
      </w:r>
      <w:r>
        <w:rPr>
          <w:rFonts w:ascii="宋体" w:hAnsi="宋体" w:cs="宋体" w:eastAsia="宋体" w:hint="ascii"/>
          <w:sz w:val="21"/>
        </w:rPr>
        <w:t>，资助率</w:t>
      </w:r>
      <w:r>
        <w:rPr>
          <w:rFonts w:ascii="宋体" w:hAnsi="宋体" w:cs="宋体" w:eastAsia="宋体" w:hint="ascii"/>
          <w:sz w:val="21"/>
          <w:spacing w:val="27"/>
        </w:rPr>
        <w:t>为</w:t>
      </w:r>
      <w:r>
        <w:rPr>
          <w:rFonts w:ascii="Times New Roman" w:hAnsi="Times New Roman" w:cs="Times New Roman" w:eastAsia="Times New Roman" w:hint="ascii"/>
          <w:sz w:val="21"/>
        </w:rPr>
        <w:t>19.17%</w:t>
      </w:r>
      <w:r>
        <w:rPr>
          <w:rFonts w:ascii="宋体" w:hAnsi="宋体" w:cs="宋体" w:eastAsia="宋体" w:hint="ascii"/>
          <w:sz w:val="21"/>
        </w:rPr>
        <w:t>。从项目申请数量来看，影像医学大幅增加，生物医学工程、法医学略有增加，特种医学出现负增长。为促进影像医学</w:t>
      </w:r>
      <w:r>
        <w:rPr>
          <w:rFonts w:ascii="Times New Roman" w:hAnsi="Times New Roman" w:cs="Times New Roman" w:eastAsia="Times New Roman" w:hint="ascii"/>
          <w:sz w:val="21"/>
        </w:rPr>
        <w:t>/</w:t>
      </w:r>
      <w:r>
        <w:rPr>
          <w:rFonts w:ascii="宋体" w:hAnsi="宋体" w:cs="宋体" w:eastAsia="宋体" w:hint="ascii"/>
          <w:sz w:val="21"/>
        </w:rPr>
        <w:t>生物医学工程学</w:t>
      </w:r>
      <w:r>
        <w:rPr>
          <w:rFonts w:ascii="Times New Roman" w:hAnsi="Times New Roman" w:cs="Times New Roman" w:eastAsia="Times New Roman" w:hint="ascii"/>
          <w:sz w:val="21"/>
        </w:rPr>
        <w:t>/</w:t>
      </w:r>
      <w:r>
        <w:rPr>
          <w:rFonts w:ascii="宋体" w:hAnsi="宋体" w:cs="宋体" w:eastAsia="宋体" w:hint="ascii"/>
          <w:sz w:val="21"/>
        </w:rPr>
        <w:t>特种医学</w:t>
      </w:r>
      <w:r>
        <w:rPr>
          <w:rFonts w:ascii="Times New Roman" w:hAnsi="Times New Roman" w:cs="Times New Roman" w:eastAsia="Times New Roman" w:hint="ascii"/>
          <w:sz w:val="21"/>
        </w:rPr>
        <w:t>/</w:t>
      </w:r>
      <w:r>
        <w:rPr>
          <w:rFonts w:ascii="宋体" w:hAnsi="宋体" w:cs="宋体" w:eastAsia="宋体" w:hint="ascii"/>
          <w:sz w:val="21"/>
        </w:rPr>
        <w:t>法医学的进一步快速发展，鼓励不同学术背景的科研人员合作开展多学科交叉性的研究工作，针对上述领域的科学问题进行探索，并对青年学者予以适当倾斜支持。</w:t>
      </w:r>
    </w:p>
    <w:p>
      <w:pPr>
        <w:autoSpaceDE w:val="0"/>
        <w:autoSpaceDN w:val="0"/>
        <w:jc w:val="both"/>
        <w:spacing w:before="0" w:after="0" w:lineRule="exact" w:line="312"/>
        <w:ind w:right="962" w:left="861" w:firstLine="524"/>
        <w:snapToGrid w:val="0"/>
        <w:textAlignment w:val="auto"/>
        <w:tabs/>
        <w:rPr>
          <w:rFonts w:ascii="宋体" w:hAnsi="宋体" w:cs="宋体" w:eastAsia="宋体" w:hint="ascii"/>
          <w:sz w:val="21"/>
        </w:rPr>
      </w:pPr>
      <w:r>
        <w:rPr>
          <w:rFonts w:ascii="宋体" w:hAnsi="宋体" w:cs="宋体" w:eastAsia="宋体" w:hint="ascii"/>
          <w:sz w:val="21"/>
        </w:rPr>
        <w:t>本科学处不受理肿瘤放射治疗与放射防护的申请，相关项目请选择医学科学七</w:t>
      </w:r>
      <w:r>
        <w:rPr>
          <w:rFonts w:ascii="宋体" w:hAnsi="宋体" w:cs="宋体" w:eastAsia="宋体" w:hint="ascii"/>
          <w:sz w:val="21"/>
          <w:spacing w:val="-6"/>
        </w:rPr>
        <w:t>处</w:t>
      </w:r>
      <w:r>
        <w:rPr>
          <w:rFonts w:ascii="宋体" w:hAnsi="宋体" w:cs="宋体" w:eastAsia="宋体" w:hint="ascii"/>
          <w:sz w:val="21"/>
          <w:spacing w:val="7"/>
        </w:rPr>
        <w:t>（</w:t>
      </w:r>
      <w:r>
        <w:rPr>
          <w:rFonts w:ascii="Times New Roman" w:hAnsi="Times New Roman" w:cs="Times New Roman" w:eastAsia="Times New Roman" w:hint="ascii"/>
          <w:b w:val="1"/>
          <w:sz w:val="21"/>
        </w:rPr>
        <w:t>H1</w:t>
      </w:r>
      <w:r>
        <w:rPr>
          <w:rFonts w:ascii="Times New Roman" w:hAnsi="Times New Roman" w:cs="Times New Roman" w:eastAsia="Times New Roman" w:hint="ascii"/>
          <w:b w:val="1"/>
          <w:sz w:val="21"/>
          <w:spacing w:val="11"/>
        </w:rPr>
        <w:t>6</w:t>
      </w:r>
      <w:r>
        <w:rPr>
          <w:rFonts w:ascii="宋体" w:hAnsi="宋体" w:cs="宋体" w:eastAsia="宋体" w:hint="ascii"/>
          <w:sz w:val="21"/>
          <w:spacing w:val="6"/>
        </w:rPr>
        <w:t>）以及医学科学八处</w:t>
      </w:r>
      <w:r>
        <w:rPr>
          <w:rFonts w:ascii="宋体" w:hAnsi="宋体" w:cs="宋体" w:eastAsia="宋体" w:hint="ascii"/>
          <w:sz w:val="21"/>
          <w:spacing w:val="7"/>
        </w:rPr>
        <w:t>（</w:t>
      </w:r>
      <w:r>
        <w:rPr>
          <w:rFonts w:ascii="Times New Roman" w:hAnsi="Times New Roman" w:cs="Times New Roman" w:eastAsia="Times New Roman" w:hint="ascii"/>
          <w:b w:val="1"/>
          <w:sz w:val="21"/>
        </w:rPr>
        <w:t>H2</w:t>
      </w:r>
      <w:r>
        <w:rPr>
          <w:rFonts w:ascii="Times New Roman" w:hAnsi="Times New Roman" w:cs="Times New Roman" w:eastAsia="Times New Roman" w:hint="ascii"/>
          <w:b w:val="1"/>
          <w:sz w:val="21"/>
          <w:spacing w:val="11"/>
        </w:rPr>
        <w:t>2</w:t>
      </w:r>
      <w:r>
        <w:rPr>
          <w:rFonts w:ascii="宋体" w:hAnsi="宋体" w:cs="宋体" w:eastAsia="宋体" w:hint="ascii"/>
          <w:sz w:val="21"/>
          <w:spacing w:val="6"/>
        </w:rPr>
        <w:t>）相应的申请代码；不受理药物学与给药方式的</w:t>
      </w:r>
      <w:r>
        <w:rPr>
          <w:rFonts w:ascii="宋体" w:hAnsi="宋体" w:cs="宋体" w:eastAsia="宋体" w:hint="ascii"/>
          <w:sz w:val="21"/>
        </w:rPr>
        <w:t>申</w:t>
      </w:r>
    </w:p>
    <w:p>
      <w:pPr>
        <w:autoSpaceDE w:val="0"/>
        <w:autoSpaceDN w:val="0"/>
        <w:jc w:val="left"/>
        <w:spacing w:before="40" w:after="0" w:lineRule="exact" w:line="263"/>
        <w:ind w:right="0" w:left="966" w:firstLine="0"/>
        <w:snapToGrid w:val="0"/>
        <w:textAlignment w:val="auto"/>
        <w:tabs/>
        <w:rPr>
          <w:rFonts w:ascii="宋体" w:hAnsi="宋体" w:cs="宋体" w:eastAsia="宋体" w:hint="ascii"/>
          <w:b w:val="1"/>
          <w:sz w:val="21"/>
        </w:rPr>
      </w:pPr>
      <w:r>
        <w:rPr>
          <w:rFonts w:ascii="宋体" w:hAnsi="宋体" w:cs="宋体" w:eastAsia="宋体" w:hint="ascii"/>
          <w:sz w:val="21"/>
        </w:rPr>
        <w:t>请，相关项目请选择医学科学九处（</w:t>
      </w:r>
      <w:r>
        <w:rPr>
          <w:rFonts w:ascii="Times New Roman" w:hAnsi="Times New Roman" w:cs="Times New Roman" w:eastAsia="Times New Roman" w:hint="ascii"/>
          <w:b w:val="1"/>
          <w:sz w:val="21"/>
        </w:rPr>
        <w:t>H30</w:t>
      </w:r>
      <w:r>
        <w:rPr>
          <w:rFonts w:ascii="宋体" w:hAnsi="宋体" w:cs="宋体" w:eastAsia="宋体" w:hint="ascii"/>
          <w:b w:val="1"/>
          <w:sz w:val="21"/>
        </w:rPr>
        <w:t>、</w:t>
      </w:r>
      <w:r>
        <w:rPr>
          <w:rFonts w:ascii="Times New Roman" w:hAnsi="Times New Roman" w:cs="Times New Roman" w:eastAsia="Times New Roman" w:hint="ascii"/>
          <w:b w:val="1"/>
          <w:sz w:val="21"/>
        </w:rPr>
        <w:t>H31</w:t>
      </w:r>
      <w:r>
        <w:rPr>
          <w:rFonts w:ascii="宋体" w:hAnsi="宋体" w:cs="宋体" w:eastAsia="宋体" w:hint="ascii"/>
          <w:sz w:val="21"/>
        </w:rPr>
        <w:t>）相应的申请代码</w:t>
      </w:r>
      <w:r>
        <w:rPr>
          <w:rFonts w:ascii="宋体" w:hAnsi="宋体" w:cs="宋体" w:eastAsia="宋体" w:hint="ascii"/>
          <w:b w:val="1"/>
          <w:sz w:val="21"/>
        </w:rPr>
        <w:t>。</w:t>
      </w:r>
    </w:p>
    <w:p>
      <w:pPr>
        <w:autoSpaceDE w:val="0"/>
        <w:autoSpaceDN w:val="0"/>
        <w:jc w:val="left"/>
        <w:spacing w:before="28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69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555"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医学科学六处</w:t>
      </w:r>
      <w:r>
        <w:rPr>
          <w:rFonts w:ascii="宋体" w:hAnsi="宋体" w:cs="宋体" w:eastAsia="宋体" w:hint="ascii"/>
          <w:sz w:val="29"/>
        </w:rPr>
        <mc:AlternateContent>
          <mc:Choice Requires="wps">
            <w:drawing>
              <wp:anchor distL="0" distR="0" distT="0" distB="0" simplePos="0" behindDoc="1" relativeHeight="135" locked="0" layoutInCell="1" allowOverlap="1">
                <wp:simplePos x="0" y="0"/>
                <wp:positionH relativeFrom="page">
                  <wp:posOffset>938530</wp:posOffset>
                </wp:positionH>
                <wp:positionV relativeFrom="page">
                  <wp:posOffset>805815</wp:posOffset>
                </wp:positionV>
                <wp:extent cx="5076190" cy="0"/>
                <wp:wrapNone/>
                <wp:docPr id="1164" name="116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20000;width:399.70pt;" id="116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w:t>
      </w:r>
      <w:r>
        <w:rPr>
          <w:rFonts w:ascii="宋体" w:hAnsi="宋体" w:cs="宋体" w:eastAsia="宋体" w:hint="ascii"/>
          <w:sz w:val="21"/>
          <w:spacing w:val="3"/>
        </w:rPr>
        <w:t>学</w:t>
      </w:r>
      <w:r>
        <w:rPr>
          <w:rFonts w:ascii="宋体" w:hAnsi="宋体" w:cs="宋体" w:eastAsia="宋体" w:hint="ascii"/>
          <w:sz w:val="21"/>
        </w:rPr>
        <w:t>科学六处</w:t>
      </w:r>
      <w:r>
        <w:rPr>
          <w:rFonts w:ascii="宋体" w:hAnsi="宋体" w:cs="宋体" w:eastAsia="宋体" w:hint="ascii"/>
          <w:sz w:val="21"/>
          <w:spacing w:val="3"/>
        </w:rPr>
        <w:t>主</w:t>
      </w:r>
      <w:r>
        <w:rPr>
          <w:rFonts w:ascii="宋体" w:hAnsi="宋体" w:cs="宋体" w:eastAsia="宋体" w:hint="ascii"/>
          <w:sz w:val="21"/>
        </w:rPr>
        <w:t>要资助运</w:t>
      </w:r>
      <w:r>
        <w:rPr>
          <w:rFonts w:ascii="宋体" w:hAnsi="宋体" w:cs="宋体" w:eastAsia="宋体" w:hint="ascii"/>
          <w:sz w:val="21"/>
          <w:spacing w:val="3"/>
        </w:rPr>
        <w:t>动</w:t>
      </w:r>
      <w:r>
        <w:rPr>
          <w:rFonts w:ascii="宋体" w:hAnsi="宋体" w:cs="宋体" w:eastAsia="宋体" w:hint="ascii"/>
          <w:sz w:val="21"/>
        </w:rPr>
        <w:t>系统异常</w:t>
      </w:r>
      <w:r>
        <w:rPr>
          <w:rFonts w:ascii="宋体" w:hAnsi="宋体" w:cs="宋体" w:eastAsia="宋体" w:hint="ascii"/>
          <w:sz w:val="21"/>
          <w:spacing w:val="3"/>
        </w:rPr>
        <w:t>与</w:t>
      </w:r>
      <w:r>
        <w:rPr>
          <w:rFonts w:ascii="宋体" w:hAnsi="宋体" w:cs="宋体" w:eastAsia="宋体" w:hint="ascii"/>
          <w:sz w:val="21"/>
        </w:rPr>
        <w:t>疾病、急</w:t>
      </w:r>
      <w:r>
        <w:rPr>
          <w:rFonts w:ascii="宋体" w:hAnsi="宋体" w:cs="宋体" w:eastAsia="宋体" w:hint="ascii"/>
          <w:sz w:val="21"/>
          <w:spacing w:val="3"/>
        </w:rPr>
        <w:t>危</w:t>
      </w:r>
      <w:r>
        <w:rPr>
          <w:rFonts w:ascii="宋体" w:hAnsi="宋体" w:cs="宋体" w:eastAsia="宋体" w:hint="ascii"/>
          <w:sz w:val="21"/>
        </w:rPr>
        <w:t>重</w:t>
      </w:r>
      <w:r>
        <w:rPr>
          <w:rFonts w:ascii="宋体" w:hAnsi="宋体" w:cs="宋体" w:eastAsia="宋体" w:hint="ascii"/>
          <w:sz w:val="21"/>
          <w:spacing w:val="3"/>
        </w:rPr>
        <w:t>症</w:t>
      </w:r>
      <w:r>
        <w:rPr>
          <w:rFonts w:ascii="Times New Roman" w:hAnsi="Times New Roman" w:cs="Times New Roman" w:eastAsia="Times New Roman" w:hint="ascii"/>
          <w:sz w:val="21"/>
        </w:rPr>
        <w:t>/</w:t>
      </w:r>
      <w:r>
        <w:rPr>
          <w:rFonts w:ascii="宋体" w:hAnsi="宋体" w:cs="宋体" w:eastAsia="宋体" w:hint="ascii"/>
          <w:sz w:val="21"/>
        </w:rPr>
        <w:t>创</w:t>
      </w:r>
      <w:r>
        <w:rPr>
          <w:rFonts w:ascii="宋体" w:hAnsi="宋体" w:cs="宋体" w:eastAsia="宋体" w:hint="ascii"/>
          <w:sz w:val="21"/>
          <w:spacing w:val="3"/>
        </w:rPr>
        <w:t>伤</w:t>
      </w:r>
      <w:r>
        <w:rPr>
          <w:rFonts w:ascii="Times New Roman" w:hAnsi="Times New Roman" w:cs="Times New Roman" w:eastAsia="Times New Roman" w:hint="ascii"/>
          <w:sz w:val="21"/>
        </w:rPr>
        <w:t>/</w:t>
      </w:r>
      <w:r>
        <w:rPr>
          <w:rFonts w:ascii="宋体" w:hAnsi="宋体" w:cs="宋体" w:eastAsia="宋体" w:hint="ascii"/>
          <w:sz w:val="21"/>
        </w:rPr>
        <w:t>烧</w:t>
      </w:r>
      <w:r>
        <w:rPr>
          <w:rFonts w:ascii="宋体" w:hAnsi="宋体" w:cs="宋体" w:eastAsia="宋体" w:hint="ascii"/>
          <w:sz w:val="21"/>
          <w:spacing w:val="3"/>
        </w:rPr>
        <w:t>伤</w:t>
      </w:r>
      <w:r>
        <w:rPr>
          <w:rFonts w:ascii="Times New Roman" w:hAnsi="Times New Roman" w:cs="Times New Roman" w:eastAsia="Times New Roman" w:hint="ascii"/>
          <w:sz w:val="21"/>
          <w:spacing w:val="5"/>
        </w:rPr>
        <w:t>/</w:t>
      </w:r>
      <w:r>
        <w:rPr>
          <w:rFonts w:ascii="宋体" w:hAnsi="宋体" w:cs="宋体" w:eastAsia="宋体" w:hint="ascii"/>
          <w:sz w:val="21"/>
        </w:rPr>
        <w:t>冻伤</w:t>
      </w:r>
      <w:r>
        <w:rPr>
          <w:rFonts w:ascii="Times New Roman" w:hAnsi="Times New Roman" w:cs="Times New Roman" w:eastAsia="Times New Roman" w:hint="ascii"/>
          <w:sz w:val="21"/>
          <w:spacing w:val="5"/>
        </w:rPr>
        <w:t>/</w:t>
      </w:r>
      <w:r>
        <w:rPr>
          <w:rFonts w:ascii="宋体" w:hAnsi="宋体" w:cs="宋体" w:eastAsia="宋体" w:hint="ascii"/>
          <w:sz w:val="21"/>
        </w:rPr>
        <w:t>整形、康</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复医学、</w:t>
      </w:r>
      <w:r>
        <w:rPr>
          <w:rFonts w:ascii="宋体" w:hAnsi="宋体" w:cs="宋体" w:eastAsia="宋体" w:hint="ascii"/>
          <w:sz w:val="21"/>
        </w:rPr>
        <w:t>检验医学等领域，以及以细菌、真菌、病毒为主的病原微生物和寄生虫等病原体的生物学特性及其感染机理的基础研究和临床基础研究。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运动系统（</w:t>
      </w:r>
      <w:r>
        <w:rPr>
          <w:rFonts w:ascii="Times New Roman" w:hAnsi="Times New Roman" w:cs="Times New Roman" w:eastAsia="Times New Roman" w:hint="ascii"/>
          <w:b w:val="1"/>
        </w:rPr>
        <w:t>H06</w:t>
      </w:r>
      <w:r>
        <w:rPr>
          <w:rFonts w:ascii="宋体" w:hAnsi="宋体" w:cs="宋体" w:eastAsia="宋体" w:hint="ascii"/>
        </w:rPr>
        <w:t>）</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主要资助骨、关节、肌肉、韧带及相关神经、血管等组织的结构、功能及发育异常</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以及遗传性疾病、免疫</w:t>
      </w:r>
      <w:r>
        <w:rPr>
          <w:rFonts w:ascii="宋体" w:hAnsi="宋体" w:cs="宋体" w:eastAsia="宋体" w:hint="ascii"/>
          <w:sz w:val="21"/>
        </w:rPr>
        <w:t>相关疾病、炎症与感染、损伤与修复、移植与重建、疲劳与</w:t>
      </w:r>
      <w:r>
        <w:rPr>
          <w:rFonts w:ascii="宋体" w:hAnsi="宋体" w:cs="宋体" w:eastAsia="宋体" w:hint="ascii"/>
          <w:sz w:val="21"/>
          <w:spacing w:val="-6"/>
        </w:rPr>
        <w:t>恢</w:t>
      </w:r>
      <w:r>
        <w:rPr>
          <w:rFonts w:ascii="宋体" w:hAnsi="宋体" w:cs="宋体" w:eastAsia="宋体" w:hint="ascii"/>
          <w:sz w:val="21"/>
          <w:spacing w:val="-1"/>
        </w:rPr>
        <w:t>复、退行</w:t>
      </w:r>
      <w:r>
        <w:rPr>
          <w:rFonts w:ascii="宋体" w:hAnsi="宋体" w:cs="宋体" w:eastAsia="宋体" w:hint="ascii"/>
          <w:sz w:val="21"/>
        </w:rPr>
        <w:t>性病变、运动损伤、畸形与矫正等运动系统疾病的发病机理及诊断与治疗等基础科学问题，同时关注精准医学与医用材料研制在运动系统疾病中的科学问题。</w:t>
      </w:r>
      <w:r>
        <w:rPr>
          <w:rFonts w:ascii="Times New Roman" w:hAnsi="Times New Roman" w:cs="Times New Roman" w:eastAsia="Times New Roman" w:hint="ascii"/>
          <w:sz w:val="21"/>
        </w:rPr>
        <w:t xml:space="preserve">2017 </w:t>
      </w:r>
      <w:r>
        <w:rPr>
          <w:rFonts w:ascii="宋体" w:hAnsi="宋体" w:cs="宋体" w:eastAsia="宋体" w:hint="ascii"/>
          <w:sz w:val="21"/>
        </w:rPr>
        <w:t>年度项目申请主要集中在骨、关节、软组织损伤与修复（</w:t>
      </w:r>
      <w:r>
        <w:rPr>
          <w:rFonts w:ascii="Times New Roman" w:hAnsi="Times New Roman" w:cs="Times New Roman" w:eastAsia="Times New Roman" w:hint="ascii"/>
          <w:sz w:val="21"/>
        </w:rPr>
        <w:t>H0605</w:t>
      </w:r>
      <w:r>
        <w:rPr>
          <w:rFonts w:ascii="宋体" w:hAnsi="宋体" w:cs="宋体" w:eastAsia="宋体" w:hint="ascii"/>
          <w:sz w:val="21"/>
        </w:rPr>
        <w:t>）和骨、关节、软组织退行性病变（</w:t>
      </w:r>
      <w:r>
        <w:rPr>
          <w:rFonts w:ascii="Times New Roman" w:hAnsi="Times New Roman" w:cs="Times New Roman" w:eastAsia="Times New Roman" w:hint="ascii"/>
          <w:sz w:val="21"/>
        </w:rPr>
        <w:t>H0609</w:t>
      </w:r>
      <w:r>
        <w:rPr>
          <w:rFonts w:ascii="宋体" w:hAnsi="宋体" w:cs="宋体" w:eastAsia="宋体" w:hint="ascii"/>
          <w:sz w:val="21"/>
        </w:rPr>
        <w:t>）两个方面；其中，椎间盘退行性病变的相关机制及干预、骨关节</w:t>
      </w:r>
      <w:r>
        <w:rPr>
          <w:rFonts w:ascii="宋体" w:hAnsi="宋体" w:cs="宋体" w:eastAsia="宋体" w:hint="ascii"/>
          <w:sz w:val="21"/>
          <w:spacing w:val="-1"/>
        </w:rPr>
        <w:t>炎的发病</w:t>
      </w:r>
      <w:r>
        <w:rPr>
          <w:rFonts w:ascii="宋体" w:hAnsi="宋体" w:cs="宋体" w:eastAsia="宋体" w:hint="ascii"/>
          <w:sz w:val="21"/>
        </w:rPr>
        <w:t>机制及干预、骨科医用材料的研发等是本领域的研究热点。而骨、关节、软组织疲劳与恢复（</w:t>
      </w:r>
      <w:r>
        <w:rPr>
          <w:rFonts w:ascii="Times New Roman" w:hAnsi="Times New Roman" w:cs="Times New Roman" w:eastAsia="Times New Roman" w:hint="ascii"/>
          <w:sz w:val="21"/>
        </w:rPr>
        <w:t>H0608</w:t>
      </w:r>
      <w:r>
        <w:rPr>
          <w:rFonts w:ascii="宋体" w:hAnsi="宋体" w:cs="宋体" w:eastAsia="宋体" w:hint="ascii"/>
          <w:sz w:val="21"/>
        </w:rPr>
        <w:t>）申请数量偏低，肌肉、肌腱、韧带等软组织疾病相关研究开展</w:t>
      </w:r>
      <w:r>
        <w:rPr>
          <w:rFonts w:ascii="宋体" w:hAnsi="宋体" w:cs="宋体" w:eastAsia="宋体" w:hint="ascii"/>
          <w:sz w:val="21"/>
          <w:spacing w:val="-1"/>
        </w:rPr>
        <w:t>较少。鼓</w:t>
      </w:r>
      <w:r>
        <w:rPr>
          <w:rFonts w:ascii="宋体" w:hAnsi="宋体" w:cs="宋体" w:eastAsia="宋体" w:hint="ascii"/>
          <w:sz w:val="21"/>
        </w:rPr>
        <w:t>励在临床中发现新现象和新问题，并据此进行机制探索的项目申请；鼓励以运</w:t>
      </w:r>
      <w:r>
        <w:rPr>
          <w:rFonts w:ascii="宋体" w:hAnsi="宋体" w:cs="宋体" w:eastAsia="宋体" w:hint="ascii"/>
          <w:sz w:val="21"/>
          <w:spacing w:val="-1"/>
        </w:rPr>
        <w:t>动系统为</w:t>
      </w:r>
      <w:r>
        <w:rPr>
          <w:rFonts w:ascii="宋体" w:hAnsi="宋体" w:cs="宋体" w:eastAsia="宋体" w:hint="ascii"/>
          <w:sz w:val="21"/>
        </w:rPr>
        <w:t>核心，开展其他系统组织器官与之交互作用、多学科交叉的研究；继续鼓励连续性、创新性的基础研究。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急危重症</w:t>
      </w:r>
      <w:r>
        <w:rPr>
          <w:rFonts w:ascii="宋体" w:hAnsi="宋体" w:cs="宋体" w:eastAsia="宋体" w:hint="ascii"/>
          <w:spacing w:val="-54"/>
        </w:rPr>
        <w:t>/</w:t>
      </w:r>
      <w:r>
        <w:rPr>
          <w:rFonts w:ascii="宋体" w:hAnsi="宋体" w:cs="宋体" w:eastAsia="宋体" w:hint="ascii"/>
        </w:rPr>
        <w:t>创伤</w:t>
      </w:r>
      <w:r>
        <w:rPr>
          <w:rFonts w:ascii="宋体" w:hAnsi="宋体" w:cs="宋体" w:eastAsia="宋体" w:hint="ascii"/>
          <w:spacing w:val="-54"/>
        </w:rPr>
        <w:t>/</w:t>
      </w:r>
      <w:r>
        <w:rPr>
          <w:rFonts w:ascii="宋体" w:hAnsi="宋体" w:cs="宋体" w:eastAsia="宋体" w:hint="ascii"/>
        </w:rPr>
        <w:t>烧伤</w:t>
      </w:r>
      <w:r>
        <w:rPr>
          <w:rFonts w:ascii="宋体" w:hAnsi="宋体" w:cs="宋体" w:eastAsia="宋体" w:hint="ascii"/>
          <w:spacing w:val="-54"/>
        </w:rPr>
        <w:t>/</w:t>
      </w:r>
      <w:r>
        <w:rPr>
          <w:rFonts w:ascii="宋体" w:hAnsi="宋体" w:cs="宋体" w:eastAsia="宋体" w:hint="ascii"/>
        </w:rPr>
        <w:t>冻伤</w:t>
      </w:r>
      <w:r>
        <w:rPr>
          <w:rFonts w:ascii="宋体" w:hAnsi="宋体" w:cs="宋体" w:eastAsia="宋体" w:hint="ascii"/>
          <w:spacing w:val="-54"/>
        </w:rPr>
        <w:t>/</w:t>
      </w:r>
      <w:r>
        <w:rPr>
          <w:rFonts w:ascii="宋体" w:hAnsi="宋体" w:cs="宋体" w:eastAsia="宋体" w:hint="ascii"/>
        </w:rPr>
        <w:t>整形（</w:t>
      </w:r>
      <w:r>
        <w:rPr>
          <w:rFonts w:ascii="Times New Roman" w:hAnsi="Times New Roman" w:cs="Times New Roman" w:eastAsia="Times New Roman" w:hint="ascii"/>
          <w:b w:val="1"/>
        </w:rPr>
        <w:t>H15</w:t>
      </w:r>
      <w:r>
        <w:rPr>
          <w:rFonts w:ascii="宋体" w:hAnsi="宋体" w:cs="宋体" w:eastAsia="宋体" w:hint="ascii"/>
        </w:rPr>
        <w:t>）</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w:t>
      </w:r>
      <w:r>
        <w:rPr>
          <w:rFonts w:ascii="宋体" w:hAnsi="宋体" w:cs="宋体" w:eastAsia="宋体" w:hint="ascii"/>
          <w:sz w:val="21"/>
          <w:spacing w:val="3"/>
        </w:rPr>
        <w:t>要</w:t>
      </w:r>
      <w:r>
        <w:rPr>
          <w:rFonts w:ascii="宋体" w:hAnsi="宋体" w:cs="宋体" w:eastAsia="宋体" w:hint="ascii"/>
          <w:sz w:val="21"/>
        </w:rPr>
        <w:t>关注急危</w:t>
      </w:r>
      <w:r>
        <w:rPr>
          <w:rFonts w:ascii="宋体" w:hAnsi="宋体" w:cs="宋体" w:eastAsia="宋体" w:hint="ascii"/>
          <w:sz w:val="21"/>
          <w:spacing w:val="3"/>
        </w:rPr>
        <w:t>重症</w:t>
      </w:r>
      <w:r>
        <w:rPr>
          <w:rFonts w:ascii="Times New Roman" w:hAnsi="Times New Roman" w:cs="Times New Roman" w:eastAsia="Times New Roman" w:hint="ascii"/>
          <w:sz w:val="21"/>
        </w:rPr>
        <w:t>/</w:t>
      </w:r>
      <w:r>
        <w:rPr>
          <w:rFonts w:ascii="宋体" w:hAnsi="宋体" w:cs="宋体" w:eastAsia="宋体" w:hint="ascii"/>
          <w:sz w:val="21"/>
        </w:rPr>
        <w:t>创</w:t>
      </w:r>
      <w:r>
        <w:rPr>
          <w:rFonts w:ascii="宋体" w:hAnsi="宋体" w:cs="宋体" w:eastAsia="宋体" w:hint="ascii"/>
          <w:sz w:val="21"/>
          <w:spacing w:val="3"/>
        </w:rPr>
        <w:t>伤</w:t>
      </w:r>
      <w:r>
        <w:rPr>
          <w:rFonts w:ascii="Times New Roman" w:hAnsi="Times New Roman" w:cs="Times New Roman" w:eastAsia="Times New Roman" w:hint="ascii"/>
          <w:sz w:val="21"/>
        </w:rPr>
        <w:t>/</w:t>
      </w:r>
      <w:r>
        <w:rPr>
          <w:rFonts w:ascii="宋体" w:hAnsi="宋体" w:cs="宋体" w:eastAsia="宋体" w:hint="ascii"/>
          <w:sz w:val="21"/>
        </w:rPr>
        <w:t>烧</w:t>
      </w:r>
      <w:r>
        <w:rPr>
          <w:rFonts w:ascii="宋体" w:hAnsi="宋体" w:cs="宋体" w:eastAsia="宋体" w:hint="ascii"/>
          <w:sz w:val="21"/>
          <w:spacing w:val="3"/>
        </w:rPr>
        <w:t>伤</w:t>
      </w:r>
      <w:r>
        <w:rPr>
          <w:rFonts w:ascii="Times New Roman" w:hAnsi="Times New Roman" w:cs="Times New Roman" w:eastAsia="Times New Roman" w:hint="ascii"/>
          <w:sz w:val="21"/>
          <w:spacing w:val="5"/>
        </w:rPr>
        <w:t>/</w:t>
      </w:r>
      <w:r>
        <w:rPr>
          <w:rFonts w:ascii="宋体" w:hAnsi="宋体" w:cs="宋体" w:eastAsia="宋体" w:hint="ascii"/>
          <w:sz w:val="21"/>
        </w:rPr>
        <w:t>冻</w:t>
      </w:r>
      <w:r>
        <w:rPr>
          <w:rFonts w:ascii="宋体" w:hAnsi="宋体" w:cs="宋体" w:eastAsia="宋体" w:hint="ascii"/>
          <w:sz w:val="21"/>
          <w:spacing w:val="3"/>
        </w:rPr>
        <w:t>伤</w:t>
      </w:r>
      <w:r>
        <w:rPr>
          <w:rFonts w:ascii="Times New Roman" w:hAnsi="Times New Roman" w:cs="Times New Roman" w:eastAsia="Times New Roman" w:hint="ascii"/>
          <w:sz w:val="21"/>
        </w:rPr>
        <w:t>/</w:t>
      </w:r>
      <w:r>
        <w:rPr>
          <w:rFonts w:ascii="宋体" w:hAnsi="宋体" w:cs="宋体" w:eastAsia="宋体" w:hint="ascii"/>
          <w:sz w:val="21"/>
        </w:rPr>
        <w:t>整形</w:t>
      </w:r>
      <w:r>
        <w:rPr>
          <w:rFonts w:ascii="宋体" w:hAnsi="宋体" w:cs="宋体" w:eastAsia="宋体" w:hint="ascii"/>
          <w:sz w:val="21"/>
          <w:spacing w:val="3"/>
        </w:rPr>
        <w:t>等</w:t>
      </w:r>
      <w:r>
        <w:rPr>
          <w:rFonts w:ascii="宋体" w:hAnsi="宋体" w:cs="宋体" w:eastAsia="宋体" w:hint="ascii"/>
          <w:sz w:val="21"/>
        </w:rPr>
        <w:t>的病理生</w:t>
      </w:r>
      <w:r>
        <w:rPr>
          <w:rFonts w:ascii="宋体" w:hAnsi="宋体" w:cs="宋体" w:eastAsia="宋体" w:hint="ascii"/>
          <w:sz w:val="21"/>
          <w:spacing w:val="3"/>
        </w:rPr>
        <w:t>理</w:t>
      </w:r>
      <w:r>
        <w:rPr>
          <w:rFonts w:ascii="宋体" w:hAnsi="宋体" w:cs="宋体" w:eastAsia="宋体" w:hint="ascii"/>
          <w:sz w:val="21"/>
        </w:rPr>
        <w:t>改变、发</w:t>
      </w:r>
      <w:r>
        <w:rPr>
          <w:rFonts w:ascii="宋体" w:hAnsi="宋体" w:cs="宋体" w:eastAsia="宋体" w:hint="ascii"/>
          <w:sz w:val="21"/>
          <w:spacing w:val="3"/>
        </w:rPr>
        <w:t>病</w:t>
      </w:r>
      <w:r>
        <w:rPr>
          <w:rFonts w:ascii="宋体" w:hAnsi="宋体" w:cs="宋体" w:eastAsia="宋体" w:hint="ascii"/>
          <w:sz w:val="21"/>
        </w:rPr>
        <w:t>机理、诊</w:t>
      </w:r>
      <w:r>
        <w:rPr>
          <w:rFonts w:ascii="宋体" w:hAnsi="宋体" w:cs="宋体" w:eastAsia="宋体" w:hint="ascii"/>
          <w:sz w:val="21"/>
          <w:spacing w:val="3"/>
        </w:rPr>
        <w:t>疗</w:t>
      </w:r>
      <w:r>
        <w:rPr>
          <w:rFonts w:ascii="宋体" w:hAnsi="宋体" w:cs="宋体" w:eastAsia="宋体" w:hint="ascii"/>
          <w:sz w:val="21"/>
        </w:rPr>
        <w:t>及预</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防等科学</w:t>
      </w:r>
      <w:r>
        <w:rPr>
          <w:rFonts w:ascii="宋体" w:hAnsi="宋体" w:cs="宋体" w:eastAsia="宋体" w:hint="ascii"/>
          <w:sz w:val="21"/>
        </w:rPr>
        <w:t>问题。急危重症重点资助领域包括早期识别与诊断治疗、器官功能的保护、支持与重建等。创伤</w:t>
      </w:r>
      <w:r>
        <w:rPr>
          <w:rFonts w:ascii="Times New Roman" w:hAnsi="Times New Roman" w:cs="Times New Roman" w:eastAsia="Times New Roman" w:hint="ascii"/>
          <w:sz w:val="21"/>
        </w:rPr>
        <w:t>/</w:t>
      </w:r>
      <w:r>
        <w:rPr>
          <w:rFonts w:ascii="宋体" w:hAnsi="宋体" w:cs="宋体" w:eastAsia="宋体" w:hint="ascii"/>
          <w:sz w:val="21"/>
        </w:rPr>
        <w:t>烧伤</w:t>
      </w:r>
      <w:r>
        <w:rPr>
          <w:rFonts w:ascii="Times New Roman" w:hAnsi="Times New Roman" w:cs="Times New Roman" w:eastAsia="Times New Roman" w:hint="ascii"/>
          <w:sz w:val="21"/>
        </w:rPr>
        <w:t>/</w:t>
      </w:r>
      <w:r>
        <w:rPr>
          <w:rFonts w:ascii="宋体" w:hAnsi="宋体" w:cs="宋体" w:eastAsia="宋体" w:hint="ascii"/>
          <w:sz w:val="21"/>
        </w:rPr>
        <w:t>冻伤等重点资助领域包括损伤机制、并发症防治、组织修复与</w:t>
      </w:r>
      <w:r>
        <w:rPr>
          <w:rFonts w:ascii="宋体" w:hAnsi="宋体" w:cs="宋体" w:eastAsia="宋体" w:hint="ascii"/>
          <w:sz w:val="21"/>
          <w:spacing w:val="-1"/>
        </w:rPr>
        <w:t>功能重建</w:t>
      </w:r>
      <w:r>
        <w:rPr>
          <w:rFonts w:ascii="宋体" w:hAnsi="宋体" w:cs="宋体" w:eastAsia="宋体" w:hint="ascii"/>
          <w:sz w:val="21"/>
        </w:rPr>
        <w:t>等。整形重点资助领域包括创面愈合与瘢痕防治、体表组织和器官畸形与缺损的修复、再生与再造等。</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康复医学（</w:t>
      </w:r>
      <w:r>
        <w:rPr>
          <w:rFonts w:ascii="Times New Roman" w:hAnsi="Times New Roman" w:cs="Times New Roman" w:eastAsia="Times New Roman" w:hint="ascii"/>
          <w:b w:val="1"/>
        </w:rPr>
        <w:t>H17</w:t>
      </w:r>
      <w:r>
        <w:rPr>
          <w:rFonts w:ascii="宋体" w:hAnsi="宋体" w:cs="宋体" w:eastAsia="宋体" w:hint="ascii"/>
        </w:rPr>
        <w:t>）</w:t>
      </w:r>
    </w:p>
    <w:p>
      <w:pPr>
        <w:autoSpaceDE w:val="0"/>
        <w:autoSpaceDN w:val="0"/>
        <w:jc w:val="both"/>
        <w:spacing w:before="15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主要资助运动系统、神经系统及其他系统疾病或</w:t>
      </w:r>
      <w:r>
        <w:rPr>
          <w:rFonts w:ascii="宋体" w:hAnsi="宋体" w:cs="宋体" w:eastAsia="宋体" w:hint="ascii"/>
          <w:sz w:val="21"/>
          <w:spacing w:val="-1"/>
        </w:rPr>
        <w:t>损伤所致功能障碍的机制、康复机</w:t>
      </w:r>
      <w:r>
        <w:rPr>
          <w:rFonts w:ascii="宋体" w:hAnsi="宋体" w:cs="宋体" w:eastAsia="宋体" w:hint="ascii"/>
          <w:sz w:val="21"/>
        </w:rPr>
        <w:t xml:space="preserve"> </w:t>
      </w:r>
      <w:r>
        <w:rPr>
          <w:rFonts w:ascii="宋体" w:hAnsi="宋体" w:cs="宋体" w:eastAsia="宋体" w:hint="ascii"/>
          <w:sz w:val="21"/>
          <w:spacing w:val="-1"/>
        </w:rPr>
        <w:t>理、康复</w:t>
      </w:r>
      <w:r>
        <w:rPr>
          <w:rFonts w:ascii="宋体" w:hAnsi="宋体" w:cs="宋体" w:eastAsia="宋体" w:hint="ascii"/>
          <w:sz w:val="21"/>
        </w:rPr>
        <w:t>评定、康复治疗及康复预防的科学问题研究。鼓励多学科交叉、原始创新、有利于康复技术突破的基础或应用基础研究。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医学病原生物与感染（</w:t>
      </w:r>
      <w:r>
        <w:rPr>
          <w:rFonts w:ascii="Times New Roman" w:hAnsi="Times New Roman" w:cs="Times New Roman" w:eastAsia="Times New Roman" w:hint="ascii"/>
          <w:b w:val="1"/>
        </w:rPr>
        <w:t>H19</w:t>
      </w:r>
      <w:r>
        <w:rPr>
          <w:rFonts w:ascii="宋体" w:hAnsi="宋体" w:cs="宋体" w:eastAsia="宋体" w:hint="ascii"/>
        </w:rPr>
        <w:t>）</w:t>
      </w:r>
    </w:p>
    <w:p>
      <w:pPr>
        <w:autoSpaceDE w:val="0"/>
        <w:autoSpaceDN w:val="0"/>
        <w:jc w:val="both"/>
        <w:spacing w:before="15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主要资助以医学微生物和寄生虫及其感染为主体的研究，包括病原学、病原生</w:t>
      </w:r>
      <w:r>
        <w:rPr>
          <w:rFonts w:ascii="宋体" w:hAnsi="宋体" w:cs="宋体" w:eastAsia="宋体" w:hint="ascii"/>
          <w:sz w:val="21"/>
          <w:spacing w:val="-6"/>
        </w:rPr>
        <w:t>物</w:t>
      </w:r>
      <w:r>
        <w:rPr>
          <w:rFonts w:ascii="宋体" w:hAnsi="宋体" w:cs="宋体" w:eastAsia="宋体" w:hint="ascii"/>
          <w:sz w:val="21"/>
        </w:rPr>
        <w:t xml:space="preserve"> </w:t>
      </w:r>
      <w:r>
        <w:rPr>
          <w:rFonts w:ascii="宋体" w:hAnsi="宋体" w:cs="宋体" w:eastAsia="宋体" w:hint="ascii"/>
          <w:sz w:val="21"/>
          <w:spacing w:val="-1"/>
        </w:rPr>
        <w:t>学、病原</w:t>
      </w:r>
      <w:r>
        <w:rPr>
          <w:rFonts w:ascii="宋体" w:hAnsi="宋体" w:cs="宋体" w:eastAsia="宋体" w:hint="ascii"/>
          <w:sz w:val="21"/>
        </w:rPr>
        <w:t>生物的致病机理、耐药机制及宿主的免疫反应、医院感染流行趋势、病原媒介</w:t>
      </w:r>
      <w:r>
        <w:rPr>
          <w:rFonts w:ascii="宋体" w:hAnsi="宋体" w:cs="宋体" w:eastAsia="宋体" w:hint="ascii"/>
          <w:sz w:val="21"/>
          <w:spacing w:val="-1"/>
        </w:rPr>
        <w:t>生物的发</w:t>
      </w:r>
      <w:r>
        <w:rPr>
          <w:rFonts w:ascii="宋体" w:hAnsi="宋体" w:cs="宋体" w:eastAsia="宋体" w:hint="ascii"/>
          <w:sz w:val="21"/>
        </w:rPr>
        <w:t>现及生理生态习性的研究等。其中，病原生物的遗传变异及进化规律、耐药性</w:t>
      </w:r>
      <w:r>
        <w:rPr>
          <w:rFonts w:ascii="宋体" w:hAnsi="宋体" w:cs="宋体" w:eastAsia="宋体" w:hint="ascii"/>
          <w:sz w:val="21"/>
          <w:spacing w:val="-1"/>
        </w:rPr>
        <w:t>及其与宿</w:t>
      </w:r>
      <w:r>
        <w:rPr>
          <w:rFonts w:ascii="宋体" w:hAnsi="宋体" w:cs="宋体" w:eastAsia="宋体" w:hint="ascii"/>
          <w:sz w:val="21"/>
        </w:rPr>
        <w:t>主的相互作用是病原生物学和感染病学研究的重要科学问题和研究热点。鼓励</w:t>
      </w:r>
      <w:r>
        <w:rPr>
          <w:rFonts w:ascii="宋体" w:hAnsi="宋体" w:cs="宋体" w:eastAsia="宋体" w:hint="ascii"/>
          <w:sz w:val="21"/>
          <w:spacing w:val="-1"/>
        </w:rPr>
        <w:t>就上述领</w:t>
      </w:r>
      <w:r>
        <w:rPr>
          <w:rFonts w:ascii="宋体" w:hAnsi="宋体" w:cs="宋体" w:eastAsia="宋体" w:hint="ascii"/>
          <w:sz w:val="21"/>
        </w:rPr>
        <w:t>域开展具有创新思想的基础研究，鼓励对各类病原生物类群，尤其是新发和被忽视的病原开展相关生物医学研究。</w:t>
      </w:r>
    </w:p>
    <w:p>
      <w:pPr>
        <w:autoSpaceDE w:val="0"/>
        <w:autoSpaceDN w:val="0"/>
        <w:jc w:val="left"/>
        <w:spacing w:before="28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检验医学（</w:t>
      </w:r>
      <w:r>
        <w:rPr>
          <w:rFonts w:ascii="Times New Roman" w:hAnsi="Times New Roman" w:cs="Times New Roman" w:eastAsia="Times New Roman" w:hint="ascii"/>
          <w:b w:val="1"/>
        </w:rPr>
        <w:t>H20</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136" locked="0" layoutInCell="1" allowOverlap="1">
                <wp:simplePos x="0" y="0"/>
                <wp:positionH relativeFrom="page">
                  <wp:posOffset>938530</wp:posOffset>
                </wp:positionH>
                <wp:positionV relativeFrom="page">
                  <wp:posOffset>819150</wp:posOffset>
                </wp:positionV>
                <wp:extent cx="5076190" cy="0"/>
                <wp:wrapNone/>
                <wp:docPr id="1165" name="116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18976;width:399.70pt;" id="116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主要资助旨在探索疾病预测、诊断、治疗监测和预后的检验医学新理论、新技术、</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新方法和新指</w:t>
      </w:r>
      <w:r>
        <w:rPr>
          <w:rFonts w:ascii="宋体" w:hAnsi="宋体" w:cs="宋体" w:eastAsia="宋体" w:hint="ascii"/>
          <w:sz w:val="21"/>
        </w:rPr>
        <w:t>标的研究。重点资助领域包括早期、快速、精准检测技术的研发，新型生物标志物的发现与鉴定，罕见病、遗传病的检验诊断等。鼓励开展多学科交叉研究。</w:t>
      </w:r>
    </w:p>
    <w:p>
      <w:pPr>
        <w:autoSpaceDE w:val="0"/>
        <w:autoSpaceDN w:val="0"/>
        <w:jc w:val="both"/>
        <w:spacing w:before="0" w:after="0" w:lineRule="exact" w:line="312"/>
        <w:ind w:right="962" w:left="861" w:firstLine="524"/>
        <w:snapToGrid w:val="0"/>
        <w:textAlignment w:val="auto"/>
        <w:tabs/>
        <w:rPr>
          <w:rFonts w:ascii="宋体" w:hAnsi="宋体" w:cs="宋体" w:eastAsia="宋体" w:hint="ascii"/>
          <w:sz w:val="21"/>
        </w:rPr>
      </w:pPr>
      <w:r>
        <w:rPr>
          <w:rFonts w:ascii="宋体" w:hAnsi="宋体" w:cs="宋体" w:eastAsia="宋体" w:hint="ascii"/>
          <w:sz w:val="21"/>
        </w:rPr>
        <w:t>本科学处不受理有关治疗药物与药理学研究项目，相关研究请选择医学科学九</w:t>
      </w:r>
      <w:r>
        <w:rPr>
          <w:rFonts w:ascii="宋体" w:hAnsi="宋体" w:cs="宋体" w:eastAsia="宋体" w:hint="ascii"/>
          <w:sz w:val="21"/>
          <w:spacing w:val="-6"/>
        </w:rPr>
        <w:t>处</w:t>
      </w:r>
      <w:r>
        <w:rPr>
          <w:rFonts w:ascii="宋体" w:hAnsi="宋体" w:cs="宋体" w:eastAsia="宋体" w:hint="ascii"/>
          <w:sz w:val="21"/>
        </w:rPr>
        <w:t>（</w:t>
      </w:r>
      <w:r>
        <w:rPr>
          <w:rFonts w:ascii="Times New Roman" w:hAnsi="Times New Roman" w:cs="Times New Roman" w:eastAsia="Times New Roman" w:hint="ascii"/>
          <w:b w:val="1"/>
          <w:sz w:val="21"/>
        </w:rPr>
        <w:t>H30</w:t>
      </w:r>
      <w:r>
        <w:rPr>
          <w:rFonts w:ascii="宋体" w:hAnsi="宋体" w:cs="宋体" w:eastAsia="宋体" w:hint="ascii"/>
          <w:b w:val="1"/>
          <w:sz w:val="21"/>
        </w:rPr>
        <w:t>、</w:t>
      </w:r>
      <w:r>
        <w:rPr>
          <w:rFonts w:ascii="Times New Roman" w:hAnsi="Times New Roman" w:cs="Times New Roman" w:eastAsia="Times New Roman" w:hint="ascii"/>
          <w:b w:val="1"/>
          <w:sz w:val="21"/>
        </w:rPr>
        <w:t>H31</w:t>
      </w:r>
      <w:r>
        <w:rPr>
          <w:rFonts w:ascii="宋体" w:hAnsi="宋体" w:cs="宋体" w:eastAsia="宋体" w:hint="ascii"/>
          <w:sz w:val="21"/>
        </w:rPr>
        <w:t>）和十处（</w:t>
      </w:r>
      <w:r>
        <w:rPr>
          <w:rFonts w:ascii="Times New Roman" w:hAnsi="Times New Roman" w:cs="Times New Roman" w:eastAsia="Times New Roman" w:hint="ascii"/>
          <w:b w:val="1"/>
          <w:sz w:val="21"/>
        </w:rPr>
        <w:t>H28</w:t>
      </w:r>
      <w:r>
        <w:rPr>
          <w:rFonts w:ascii="宋体" w:hAnsi="宋体" w:cs="宋体" w:eastAsia="宋体" w:hint="ascii"/>
          <w:sz w:val="21"/>
        </w:rPr>
        <w:t>）相应的申请代码；检验医学不受理致病相关分子的作用机</w:t>
      </w:r>
    </w:p>
    <w:p>
      <w:pPr>
        <w:autoSpaceDE w:val="0"/>
        <w:autoSpaceDN w:val="0"/>
        <w:jc w:val="left"/>
        <w:spacing w:before="0" w:after="0" w:lineRule="exact" w:line="312"/>
        <w:ind w:right="962" w:left="966" w:firstLine="0"/>
        <w:snapToGrid w:val="0"/>
        <w:textAlignment w:val="auto"/>
        <w:tabs/>
        <w:rPr>
          <w:rFonts w:ascii="宋体" w:hAnsi="宋体" w:cs="宋体" w:eastAsia="宋体" w:hint="ascii"/>
          <w:b w:val="1"/>
          <w:sz w:val="21"/>
        </w:rPr>
      </w:pPr>
      <w:r>
        <w:rPr>
          <w:rFonts w:ascii="宋体" w:hAnsi="宋体" w:cs="宋体" w:eastAsia="宋体" w:hint="ascii"/>
          <w:sz w:val="21"/>
          <w:spacing w:val="3"/>
        </w:rPr>
        <w:t>理及基因</w:t>
      </w:r>
      <w:r>
        <w:rPr>
          <w:rFonts w:ascii="宋体" w:hAnsi="宋体" w:cs="宋体" w:eastAsia="宋体" w:hint="ascii"/>
          <w:sz w:val="21"/>
        </w:rPr>
        <w:t>的</w:t>
      </w:r>
      <w:r>
        <w:rPr>
          <w:rFonts w:ascii="宋体" w:hAnsi="宋体" w:cs="宋体" w:eastAsia="宋体" w:hint="ascii"/>
          <w:sz w:val="21"/>
          <w:spacing w:val="3"/>
        </w:rPr>
        <w:t>时空表达</w:t>
      </w:r>
      <w:r>
        <w:rPr>
          <w:rFonts w:ascii="宋体" w:hAnsi="宋体" w:cs="宋体" w:eastAsia="宋体" w:hint="ascii"/>
          <w:sz w:val="21"/>
        </w:rPr>
        <w:t>与</w:t>
      </w:r>
      <w:r>
        <w:rPr>
          <w:rFonts w:ascii="宋体" w:hAnsi="宋体" w:cs="宋体" w:eastAsia="宋体" w:hint="ascii"/>
          <w:sz w:val="21"/>
          <w:spacing w:val="3"/>
        </w:rPr>
        <w:t>调控等研</w:t>
      </w:r>
      <w:r>
        <w:rPr>
          <w:rFonts w:ascii="宋体" w:hAnsi="宋体" w:cs="宋体" w:eastAsia="宋体" w:hint="ascii"/>
          <w:sz w:val="21"/>
        </w:rPr>
        <w:t>究</w:t>
      </w:r>
      <w:r>
        <w:rPr>
          <w:rFonts w:ascii="宋体" w:hAnsi="宋体" w:cs="宋体" w:eastAsia="宋体" w:hint="ascii"/>
          <w:sz w:val="21"/>
          <w:spacing w:val="3"/>
        </w:rPr>
        <w:t>项目，相</w:t>
      </w:r>
      <w:r>
        <w:rPr>
          <w:rFonts w:ascii="宋体" w:hAnsi="宋体" w:cs="宋体" w:eastAsia="宋体" w:hint="ascii"/>
          <w:sz w:val="21"/>
        </w:rPr>
        <w:t>关</w:t>
      </w:r>
      <w:r>
        <w:rPr>
          <w:rFonts w:ascii="宋体" w:hAnsi="宋体" w:cs="宋体" w:eastAsia="宋体" w:hint="ascii"/>
          <w:sz w:val="21"/>
          <w:spacing w:val="3"/>
        </w:rPr>
        <w:t>研究请到</w:t>
      </w:r>
      <w:r>
        <w:rPr>
          <w:rFonts w:ascii="宋体" w:hAnsi="宋体" w:cs="宋体" w:eastAsia="宋体" w:hint="ascii"/>
          <w:sz w:val="21"/>
        </w:rPr>
        <w:t>医</w:t>
      </w:r>
      <w:r>
        <w:rPr>
          <w:rFonts w:ascii="宋体" w:hAnsi="宋体" w:cs="宋体" w:eastAsia="宋体" w:hint="ascii"/>
          <w:sz w:val="21"/>
          <w:spacing w:val="3"/>
        </w:rPr>
        <w:t>学科学部</w:t>
      </w:r>
      <w:r>
        <w:rPr>
          <w:rFonts w:ascii="宋体" w:hAnsi="宋体" w:cs="宋体" w:eastAsia="宋体" w:hint="ascii"/>
          <w:sz w:val="21"/>
        </w:rPr>
        <w:t>相</w:t>
      </w:r>
      <w:r>
        <w:rPr>
          <w:rFonts w:ascii="宋体" w:hAnsi="宋体" w:cs="宋体" w:eastAsia="宋体" w:hint="ascii"/>
          <w:sz w:val="21"/>
          <w:spacing w:val="3"/>
        </w:rPr>
        <w:t>关疾病系统</w:t>
      </w:r>
      <w:r>
        <w:rPr>
          <w:rFonts w:ascii="宋体" w:hAnsi="宋体" w:cs="宋体" w:eastAsia="宋体" w:hint="ascii"/>
          <w:sz w:val="21"/>
          <w:spacing w:val="4"/>
        </w:rPr>
        <w:t>内</w:t>
      </w:r>
      <w:r>
        <w:rPr>
          <w:rFonts w:ascii="宋体" w:hAnsi="宋体" w:cs="宋体" w:eastAsia="宋体" w:hint="ascii"/>
          <w:sz w:val="21"/>
        </w:rPr>
        <w:t>申请；病原体的耐药性研究请选择医学病原与感染领域申请代码（</w:t>
      </w:r>
      <w:r>
        <w:rPr>
          <w:rFonts w:ascii="Times New Roman" w:hAnsi="Times New Roman" w:cs="Times New Roman" w:eastAsia="Times New Roman" w:hint="ascii"/>
          <w:b w:val="1"/>
          <w:sz w:val="21"/>
        </w:rPr>
        <w:t>H1908</w:t>
      </w:r>
      <w:r>
        <w:rPr>
          <w:rFonts w:ascii="宋体" w:hAnsi="宋体" w:cs="宋体" w:eastAsia="宋体" w:hint="ascii"/>
          <w:sz w:val="21"/>
          <w:spacing w:val="-50"/>
        </w:rPr>
        <w:t>）</w:t>
      </w:r>
      <w:r>
        <w:rPr>
          <w:rFonts w:ascii="宋体" w:hAnsi="宋体" w:cs="宋体" w:eastAsia="宋体" w:hint="ascii"/>
          <w:sz w:val="21"/>
        </w:rPr>
        <w:t>；康复医学不受理与康复机理、评价和治疗手段无直接相关性，仅是单纯疾病的发生、发展等病理机制方面的项目，相关研究请选择其他系统相应申请代码</w:t>
      </w:r>
      <w:r>
        <w:rPr>
          <w:rFonts w:ascii="宋体" w:hAnsi="宋体" w:cs="宋体" w:eastAsia="宋体" w:hint="ascii"/>
          <w:b w:val="1"/>
          <w:sz w:val="21"/>
        </w:rPr>
        <w:t>。</w:t>
      </w:r>
      <w:r>
        <w:rPr>
          <w:rFonts w:ascii="宋体" w:hAnsi="宋体" w:cs="宋体" w:eastAsia="宋体" w:hint="ascii"/>
          <w:sz w:val="21"/>
        </w:rPr>
        <w:t>涉及病原微生物尤其是高致病性病原微生物以及肿瘤研究项目申请请参见医学科学部总论部分</w:t>
      </w:r>
      <w:r>
        <w:rPr>
          <w:rFonts w:ascii="宋体" w:hAnsi="宋体" w:cs="宋体" w:eastAsia="宋体" w:hint="ascii"/>
          <w:b w:val="1"/>
          <w:sz w:val="21"/>
        </w:rPr>
        <w:t>。</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医学科学七处</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医学科学七处主要资助肿瘤学基础研究和临床基础研究。</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肿瘤学（</w:t>
      </w:r>
      <w:r>
        <w:rPr>
          <w:rFonts w:ascii="Times New Roman" w:hAnsi="Times New Roman" w:cs="Times New Roman" w:eastAsia="Times New Roman" w:hint="ascii"/>
          <w:b w:val="1"/>
        </w:rPr>
        <w:t>H16</w:t>
      </w:r>
      <w:r>
        <w:rPr>
          <w:rFonts w:ascii="宋体" w:hAnsi="宋体" w:cs="宋体" w:eastAsia="宋体" w:hint="ascii"/>
        </w:rPr>
        <w:t>）</w:t>
      </w:r>
    </w:p>
    <w:p>
      <w:pPr>
        <w:autoSpaceDE w:val="0"/>
        <w:autoSpaceDN w:val="0"/>
        <w:jc w:val="left"/>
        <w:spacing w:before="158"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主要</w:t>
      </w:r>
      <w:r>
        <w:rPr>
          <w:rFonts w:ascii="宋体" w:hAnsi="宋体" w:cs="宋体" w:eastAsia="宋体" w:hint="ascii"/>
          <w:sz w:val="21"/>
          <w:spacing w:val="2"/>
        </w:rPr>
        <w:t>资</w:t>
      </w:r>
      <w:r>
        <w:rPr>
          <w:rFonts w:ascii="宋体" w:hAnsi="宋体" w:cs="宋体" w:eastAsia="宋体" w:hint="ascii"/>
          <w:sz w:val="21"/>
          <w:spacing w:val="1"/>
        </w:rPr>
        <w:t>助有关肿</w:t>
      </w:r>
      <w:r>
        <w:rPr>
          <w:rFonts w:ascii="宋体" w:hAnsi="宋体" w:cs="宋体" w:eastAsia="宋体" w:hint="ascii"/>
          <w:sz w:val="21"/>
          <w:spacing w:val="2"/>
        </w:rPr>
        <w:t>瘤</w:t>
      </w:r>
      <w:r>
        <w:rPr>
          <w:rFonts w:ascii="宋体" w:hAnsi="宋体" w:cs="宋体" w:eastAsia="宋体" w:hint="ascii"/>
          <w:sz w:val="21"/>
          <w:spacing w:val="1"/>
        </w:rPr>
        <w:t>发生、发</w:t>
      </w:r>
      <w:r>
        <w:rPr>
          <w:rFonts w:ascii="宋体" w:hAnsi="宋体" w:cs="宋体" w:eastAsia="宋体" w:hint="ascii"/>
          <w:sz w:val="21"/>
          <w:spacing w:val="2"/>
        </w:rPr>
        <w:t>展</w:t>
      </w:r>
      <w:r>
        <w:rPr>
          <w:rFonts w:ascii="宋体" w:hAnsi="宋体" w:cs="宋体" w:eastAsia="宋体" w:hint="ascii"/>
          <w:sz w:val="21"/>
          <w:spacing w:val="1"/>
        </w:rPr>
        <w:t>和转归的</w:t>
      </w:r>
      <w:r>
        <w:rPr>
          <w:rFonts w:ascii="宋体" w:hAnsi="宋体" w:cs="宋体" w:eastAsia="宋体" w:hint="ascii"/>
          <w:sz w:val="21"/>
          <w:spacing w:val="2"/>
        </w:rPr>
        <w:t>基</w:t>
      </w:r>
      <w:r>
        <w:rPr>
          <w:rFonts w:ascii="宋体" w:hAnsi="宋体" w:cs="宋体" w:eastAsia="宋体" w:hint="ascii"/>
          <w:sz w:val="21"/>
          <w:spacing w:val="1"/>
        </w:rPr>
        <w:t>础研</w:t>
      </w:r>
      <w:r>
        <w:rPr>
          <w:rFonts w:ascii="宋体" w:hAnsi="宋体" w:cs="宋体" w:eastAsia="宋体" w:hint="ascii"/>
          <w:sz w:val="21"/>
          <w:spacing w:val="2"/>
        </w:rPr>
        <w:t>究，</w:t>
      </w:r>
      <w:r>
        <w:rPr>
          <w:rFonts w:ascii="宋体" w:hAnsi="宋体" w:cs="宋体" w:eastAsia="宋体" w:hint="ascii"/>
          <w:sz w:val="21"/>
          <w:spacing w:val="3"/>
        </w:rPr>
        <w:t>包</w:t>
      </w:r>
      <w:r>
        <w:rPr>
          <w:rFonts w:ascii="宋体" w:hAnsi="宋体" w:cs="宋体" w:eastAsia="宋体" w:hint="ascii"/>
          <w:sz w:val="21"/>
          <w:spacing w:val="2"/>
        </w:rPr>
        <w:t>括各类肿</w:t>
      </w:r>
      <w:r>
        <w:rPr>
          <w:rFonts w:ascii="宋体" w:hAnsi="宋体" w:cs="宋体" w:eastAsia="宋体" w:hint="ascii"/>
          <w:sz w:val="21"/>
          <w:spacing w:val="3"/>
        </w:rPr>
        <w:t>瘤</w:t>
      </w:r>
      <w:r>
        <w:rPr>
          <w:rFonts w:ascii="宋体" w:hAnsi="宋体" w:cs="宋体" w:eastAsia="宋体" w:hint="ascii"/>
          <w:sz w:val="21"/>
          <w:spacing w:val="2"/>
        </w:rPr>
        <w:t>的病因、</w:t>
      </w:r>
      <w:r>
        <w:rPr>
          <w:rFonts w:ascii="宋体" w:hAnsi="宋体" w:cs="宋体" w:eastAsia="宋体" w:hint="ascii"/>
          <w:sz w:val="21"/>
          <w:spacing w:val="3"/>
        </w:rPr>
        <w:t>发</w:t>
      </w:r>
      <w:r>
        <w:rPr>
          <w:rFonts w:ascii="宋体" w:hAnsi="宋体" w:cs="宋体" w:eastAsia="宋体" w:hint="ascii"/>
          <w:sz w:val="21"/>
          <w:spacing w:val="2"/>
        </w:rPr>
        <w:t>病</w:t>
      </w:r>
      <w:r>
        <w:rPr>
          <w:rFonts w:ascii="宋体" w:hAnsi="宋体" w:cs="宋体" w:eastAsia="宋体" w:hint="ascii"/>
          <w:sz w:val="21"/>
          <w:spacing w:val="-1"/>
        </w:rPr>
        <w:t>机</w:t>
      </w:r>
      <w:r>
        <w:rPr>
          <w:rFonts w:ascii="宋体" w:hAnsi="宋体" w:cs="宋体" w:eastAsia="宋体" w:hint="ascii"/>
          <w:sz w:val="21"/>
        </w:rPr>
        <w:t xml:space="preserve"> 理、诊断、治疗和预防等。覆盖以下研究领域：肿瘤病因、肿瘤发生、肿瘤遗传与表观遗传、肿瘤免疫、肿瘤预防、肿瘤复发与转移、肿瘤干细胞、肿瘤诊断、肿瘤化学药物</w:t>
      </w:r>
      <w:r>
        <w:rPr>
          <w:rFonts w:ascii="宋体" w:hAnsi="宋体" w:cs="宋体" w:eastAsia="宋体" w:hint="ascii"/>
          <w:sz w:val="21"/>
          <w:spacing w:val="6"/>
        </w:rPr>
        <w:t>治疗、肿瘤物理治疗、肿瘤生物治疗、肿瘤综合治疗、肿瘤康复（包括社会心理</w:t>
      </w:r>
      <w:r>
        <w:rPr>
          <w:rFonts w:ascii="宋体" w:hAnsi="宋体" w:cs="宋体" w:eastAsia="宋体" w:hint="ascii"/>
          <w:sz w:val="21"/>
        </w:rPr>
        <w:t>康复</w:t>
      </w:r>
      <w:r>
        <w:rPr>
          <w:rFonts w:ascii="宋体" w:hAnsi="宋体" w:cs="宋体" w:eastAsia="宋体" w:hint="ascii"/>
          <w:sz w:val="21"/>
          <w:spacing w:val="-52"/>
        </w:rPr>
        <w:t>）</w:t>
      </w:r>
      <w:r>
        <w:rPr>
          <w:rFonts w:ascii="宋体" w:hAnsi="宋体" w:cs="宋体" w:eastAsia="宋体" w:hint="ascii"/>
          <w:sz w:val="21"/>
        </w:rPr>
        <w:t>、肿瘤研究体系新技术，以及各系统器官肿瘤（血液淋巴系统肿瘤除外</w:t>
      </w:r>
      <w:r>
        <w:rPr>
          <w:rFonts w:ascii="宋体" w:hAnsi="宋体" w:cs="宋体" w:eastAsia="宋体" w:hint="ascii"/>
          <w:sz w:val="21"/>
          <w:spacing w:val="-52"/>
        </w:rPr>
        <w:t>）</w:t>
      </w:r>
      <w:r>
        <w:rPr>
          <w:rFonts w:ascii="宋体" w:hAnsi="宋体" w:cs="宋体" w:eastAsia="宋体" w:hint="ascii"/>
          <w:sz w:val="21"/>
        </w:rPr>
        <w:t>，包括呼吸系统肿瘤、消化系统肿瘤、神经系统肿瘤（含特殊感受器肿瘤</w:t>
      </w:r>
      <w:r>
        <w:rPr>
          <w:rFonts w:ascii="宋体" w:hAnsi="宋体" w:cs="宋体" w:eastAsia="宋体" w:hint="ascii"/>
          <w:sz w:val="21"/>
          <w:spacing w:val="-51"/>
        </w:rPr>
        <w:t>）</w:t>
      </w:r>
      <w:r>
        <w:rPr>
          <w:rFonts w:ascii="宋体" w:hAnsi="宋体" w:cs="宋体" w:eastAsia="宋体" w:hint="ascii"/>
          <w:sz w:val="21"/>
        </w:rPr>
        <w:t>、泌尿系统肿瘤、男性生殖系统肿瘤、女性生殖系统肿瘤、乳腺肿瘤、内分泌系统肿瘤、骨与软组织肿瘤、头颈部及颌面肿瘤以及皮肤、体表及其他部位肿瘤。</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肿瘤研究涉及不同的组织和器官，</w:t>
      </w:r>
      <w:r>
        <w:rPr>
          <w:rFonts w:ascii="宋体" w:hAnsi="宋体" w:cs="宋体" w:eastAsia="宋体" w:hint="ascii"/>
          <w:sz w:val="21"/>
          <w:spacing w:val="-1"/>
        </w:rPr>
        <w:t>一方面强调对肿瘤所具有的共性问题开展基础研</w:t>
      </w:r>
      <w:r>
        <w:rPr>
          <w:rFonts w:ascii="宋体" w:hAnsi="宋体" w:cs="宋体" w:eastAsia="宋体" w:hint="ascii"/>
          <w:sz w:val="21"/>
        </w:rPr>
        <w:t xml:space="preserve"> 究，即研究肿瘤细胞的增殖、分化、转移、自噬、凋亡等各种生物学行为的分子基础，探讨肿瘤发生、发展、转移与复发的机制和规律，为肿瘤诊断、治疗及预防打下基础；另一方面强调不同组织、器官肿瘤的特性，基于对临床现象的观察和分析，以及临床实践中的问题，开展相关的基础研究，达到指导临床实践的目的。</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有关肿瘤相关共性科学问题的研究项目请在肿瘤病因、肿瘤发生、肿瘤遗传、肿瘤</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免疫、肿瘤预防、肿瘤复发与转移、肿瘤干细胞、肿瘤诊断、肿瘤化学药物治疗、肿瘤物理治疗、肿瘤生物治疗、肿瘤综合治疗、肿瘤康复（包括社会心理康复</w:t>
      </w:r>
      <w:r>
        <w:rPr>
          <w:rFonts w:ascii="宋体" w:hAnsi="宋体" w:cs="宋体" w:eastAsia="宋体" w:hint="ascii"/>
          <w:sz w:val="21"/>
          <w:spacing w:val="-51"/>
        </w:rPr>
        <w:t>）</w:t>
      </w:r>
      <w:r>
        <w:rPr>
          <w:rFonts w:ascii="宋体" w:hAnsi="宋体" w:cs="宋体" w:eastAsia="宋体" w:hint="ascii"/>
          <w:sz w:val="21"/>
        </w:rPr>
        <w:t>、肿瘤研究体系新技术代码下申请（</w:t>
      </w:r>
      <w:r>
        <w:rPr>
          <w:rFonts w:ascii="Times New Roman" w:hAnsi="Times New Roman" w:cs="Times New Roman" w:eastAsia="Times New Roman" w:hint="ascii"/>
          <w:sz w:val="21"/>
        </w:rPr>
        <w:t>H1601</w:t>
      </w:r>
      <w:r>
        <w:rPr>
          <w:rFonts w:ascii="宋体" w:hAnsi="宋体" w:cs="宋体" w:eastAsia="宋体" w:hint="ascii"/>
          <w:sz w:val="21"/>
        </w:rPr>
        <w:t>～</w:t>
      </w:r>
      <w:r>
        <w:rPr>
          <w:rFonts w:ascii="Times New Roman" w:hAnsi="Times New Roman" w:cs="Times New Roman" w:eastAsia="Times New Roman" w:hint="ascii"/>
          <w:sz w:val="21"/>
        </w:rPr>
        <w:t>H1614</w:t>
      </w:r>
      <w:r>
        <w:rPr>
          <w:rFonts w:ascii="宋体" w:hAnsi="宋体" w:cs="宋体" w:eastAsia="宋体" w:hint="ascii"/>
          <w:sz w:val="21"/>
          <w:spacing w:val="-52"/>
        </w:rPr>
        <w:t>）</w:t>
      </w:r>
      <w:r>
        <w:rPr>
          <w:rFonts w:ascii="宋体" w:hAnsi="宋体" w:cs="宋体" w:eastAsia="宋体" w:hint="ascii"/>
          <w:sz w:val="21"/>
        </w:rPr>
        <w:t>；有关不同组织、器官肿瘤各自特性研究的项目，在相应系统器官肿瘤代码下申请（</w:t>
      </w:r>
      <w:r>
        <w:rPr>
          <w:rFonts w:ascii="Times New Roman" w:hAnsi="Times New Roman" w:cs="Times New Roman" w:eastAsia="Times New Roman" w:hint="ascii"/>
          <w:sz w:val="21"/>
        </w:rPr>
        <w:t>H1615</w:t>
      </w:r>
      <w:r>
        <w:rPr>
          <w:rFonts w:ascii="宋体" w:hAnsi="宋体" w:cs="宋体" w:eastAsia="宋体" w:hint="ascii"/>
          <w:sz w:val="21"/>
        </w:rPr>
        <w:t>～</w:t>
      </w:r>
      <w:r>
        <w:rPr>
          <w:rFonts w:ascii="Times New Roman" w:hAnsi="Times New Roman" w:cs="Times New Roman" w:eastAsia="Times New Roman" w:hint="ascii"/>
          <w:sz w:val="21"/>
        </w:rPr>
        <w:t>H1626</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肿瘤</w:t>
      </w:r>
      <w:r>
        <w:rPr>
          <w:rFonts w:ascii="宋体" w:hAnsi="宋体" w:cs="宋体" w:eastAsia="宋体" w:hint="ascii"/>
          <w:sz w:val="21"/>
          <w:spacing w:val="2"/>
        </w:rPr>
        <w:t>学</w:t>
      </w:r>
      <w:r>
        <w:rPr>
          <w:rFonts w:ascii="宋体" w:hAnsi="宋体" w:cs="宋体" w:eastAsia="宋体" w:hint="ascii"/>
          <w:sz w:val="21"/>
          <w:spacing w:val="1"/>
        </w:rPr>
        <w:t>研究是医</w:t>
      </w:r>
      <w:r>
        <w:rPr>
          <w:rFonts w:ascii="宋体" w:hAnsi="宋体" w:cs="宋体" w:eastAsia="宋体" w:hint="ascii"/>
          <w:sz w:val="21"/>
          <w:spacing w:val="2"/>
        </w:rPr>
        <w:t>学</w:t>
      </w:r>
      <w:r>
        <w:rPr>
          <w:rFonts w:ascii="宋体" w:hAnsi="宋体" w:cs="宋体" w:eastAsia="宋体" w:hint="ascii"/>
          <w:sz w:val="21"/>
          <w:spacing w:val="1"/>
        </w:rPr>
        <w:t>科学研究</w:t>
      </w:r>
      <w:r>
        <w:rPr>
          <w:rFonts w:ascii="宋体" w:hAnsi="宋体" w:cs="宋体" w:eastAsia="宋体" w:hint="ascii"/>
          <w:sz w:val="21"/>
          <w:spacing w:val="2"/>
        </w:rPr>
        <w:t>中</w:t>
      </w:r>
      <w:r>
        <w:rPr>
          <w:rFonts w:ascii="宋体" w:hAnsi="宋体" w:cs="宋体" w:eastAsia="宋体" w:hint="ascii"/>
          <w:sz w:val="21"/>
          <w:spacing w:val="1"/>
        </w:rPr>
        <w:t>最为活跃</w:t>
      </w:r>
      <w:r>
        <w:rPr>
          <w:rFonts w:ascii="宋体" w:hAnsi="宋体" w:cs="宋体" w:eastAsia="宋体" w:hint="ascii"/>
          <w:sz w:val="21"/>
          <w:spacing w:val="2"/>
        </w:rPr>
        <w:t>的</w:t>
      </w:r>
      <w:r>
        <w:rPr>
          <w:rFonts w:ascii="宋体" w:hAnsi="宋体" w:cs="宋体" w:eastAsia="宋体" w:hint="ascii"/>
          <w:sz w:val="21"/>
          <w:spacing w:val="1"/>
        </w:rPr>
        <w:t>领域</w:t>
      </w:r>
      <w:r>
        <w:rPr>
          <w:rFonts w:ascii="宋体" w:hAnsi="宋体" w:cs="宋体" w:eastAsia="宋体" w:hint="ascii"/>
          <w:sz w:val="21"/>
          <w:spacing w:val="2"/>
        </w:rPr>
        <w:t>之一</w:t>
      </w:r>
      <w:r>
        <w:rPr>
          <w:rFonts w:ascii="宋体" w:hAnsi="宋体" w:cs="宋体" w:eastAsia="宋体" w:hint="ascii"/>
          <w:sz w:val="21"/>
          <w:spacing w:val="3"/>
        </w:rPr>
        <w:t>，</w:t>
      </w:r>
      <w:r>
        <w:rPr>
          <w:rFonts w:ascii="宋体" w:hAnsi="宋体" w:cs="宋体" w:eastAsia="宋体" w:hint="ascii"/>
          <w:sz w:val="21"/>
          <w:spacing w:val="2"/>
        </w:rPr>
        <w:t>随着细胞</w:t>
      </w:r>
      <w:r>
        <w:rPr>
          <w:rFonts w:ascii="宋体" w:hAnsi="宋体" w:cs="宋体" w:eastAsia="宋体" w:hint="ascii"/>
          <w:sz w:val="21"/>
          <w:spacing w:val="3"/>
        </w:rPr>
        <w:t>生</w:t>
      </w:r>
      <w:r>
        <w:rPr>
          <w:rFonts w:ascii="宋体" w:hAnsi="宋体" w:cs="宋体" w:eastAsia="宋体" w:hint="ascii"/>
          <w:sz w:val="21"/>
          <w:spacing w:val="2"/>
        </w:rPr>
        <w:t>物学、发</w:t>
      </w:r>
      <w:r>
        <w:rPr>
          <w:rFonts w:ascii="宋体" w:hAnsi="宋体" w:cs="宋体" w:eastAsia="宋体" w:hint="ascii"/>
          <w:sz w:val="21"/>
          <w:spacing w:val="3"/>
        </w:rPr>
        <w:t>育</w:t>
      </w:r>
      <w:r>
        <w:rPr>
          <w:rFonts w:ascii="宋体" w:hAnsi="宋体" w:cs="宋体" w:eastAsia="宋体" w:hint="ascii"/>
          <w:sz w:val="21"/>
          <w:spacing w:val="2"/>
        </w:rPr>
        <w:t>生</w:t>
      </w:r>
      <w:r>
        <w:rPr>
          <w:rFonts w:ascii="宋体" w:hAnsi="宋体" w:cs="宋体" w:eastAsia="宋体" w:hint="ascii"/>
          <w:sz w:val="21"/>
          <w:spacing w:val="-1"/>
        </w:rPr>
        <w:t>物</w:t>
      </w:r>
      <w:r>
        <w:rPr>
          <w:rFonts w:ascii="宋体" w:hAnsi="宋体" w:cs="宋体" w:eastAsia="宋体" w:hint="ascii"/>
          <w:sz w:val="21"/>
        </w:rPr>
        <w:t xml:space="preserve"> 学、遗传学、免疫学等学科的迅速发展、交叉和渗透，肿瘤表观遗传学、肿瘤干细胞、肿瘤免疫学、肿瘤系统生物学等成为重要的研究方向。近年来项目申请中有关肿瘤发生</w:t>
      </w:r>
    </w:p>
    <w:p>
      <w:pPr>
        <w:autoSpaceDE w:val="0"/>
        <w:autoSpaceDN w:val="0"/>
        <w:jc w:val="left"/>
        <w:spacing w:before="280"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发展的表观遗传学机制研究每年均保持着较大的申请量，其中，</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26"/>
        </w:rPr>
        <w:t xml:space="preserve"> </w:t>
      </w:r>
      <w:r>
        <w:rPr>
          <w:rFonts w:ascii="宋体" w:hAnsi="宋体" w:cs="宋体" w:eastAsia="宋体" w:hint="ascii"/>
          <w:sz w:val="21"/>
        </w:rPr>
        <w:t>表观遗传调控与</w:t>
      </w:r>
      <w:r>
        <w:rPr>
          <w:rFonts w:ascii="宋体" w:hAnsi="宋体" w:cs="宋体" w:eastAsia="宋体" w:hint="ascii"/>
          <w:sz w:val="21"/>
          <w:spacing w:val="-1"/>
        </w:rPr>
        <w:t>肿瘤发生</w:t>
      </w:r>
      <w:r>
        <w:rPr>
          <w:rFonts w:ascii="宋体" w:hAnsi="宋体" w:cs="宋体" w:eastAsia="宋体" w:hint="ascii"/>
          <w:sz w:val="21"/>
        </w:rPr>
        <w:t>发展是该领域研究的前沿。在肿瘤微环境研究领域，关注肿瘤细胞与微环境之</w:t>
      </w:r>
      <w:r>
        <w:rPr>
          <w:rFonts w:ascii="宋体" w:hAnsi="宋体" w:cs="宋体" w:eastAsia="宋体" w:hint="ascii"/>
          <w:sz w:val="21"/>
          <w:spacing w:val="-1"/>
        </w:rPr>
        <w:t>间的相互</w:t>
      </w:r>
      <w:r>
        <w:rPr>
          <w:rFonts w:ascii="宋体" w:hAnsi="宋体" w:cs="宋体" w:eastAsia="宋体" w:hint="ascii"/>
          <w:sz w:val="21"/>
        </w:rPr>
        <w:t>作用，不仅研究微环境对肿瘤细胞生物学特性的调控，也重视研究肿瘤细胞对</w:t>
      </w:r>
      <w:r>
        <w:rPr>
          <w:rFonts w:ascii="宋体" w:hAnsi="宋体" w:cs="宋体" w:eastAsia="宋体" w:hint="ascii"/>
          <w:sz w:val="21"/>
          <w:spacing w:val="-1"/>
        </w:rPr>
        <w:t>微环境的</w:t>
      </w:r>
      <w:r>
        <w:rPr>
          <w:rFonts w:ascii="宋体" w:hAnsi="宋体" w:cs="宋体" w:eastAsia="宋体" w:hint="ascii"/>
          <w:sz w:val="21"/>
        </w:rPr>
        <w:t>改造，以及肿瘤干预过程中微环境的变化及其生物学意义。肿瘤代谢研究，关</w:t>
      </w:r>
      <w:r>
        <w:rPr>
          <w:rFonts w:ascii="宋体" w:hAnsi="宋体" w:cs="宋体" w:eastAsia="宋体" w:hint="ascii"/>
          <w:sz w:val="21"/>
          <w:spacing w:val="-1"/>
        </w:rPr>
        <w:t>注肿瘤细</w:t>
      </w:r>
      <w:r>
        <w:rPr>
          <w:rFonts w:ascii="宋体" w:hAnsi="宋体" w:cs="宋体" w:eastAsia="宋体" w:hint="ascii"/>
          <w:sz w:val="21"/>
        </w:rPr>
        <w:t>胞、肿瘤微环境代谢重编程的机制、肿瘤细胞特有的代谢模式与其生物学行为</w:t>
      </w:r>
      <w:r>
        <w:rPr>
          <w:rFonts w:ascii="宋体" w:hAnsi="宋体" w:cs="宋体" w:eastAsia="宋体" w:hint="ascii"/>
          <w:sz w:val="21"/>
          <w:spacing w:val="-1"/>
        </w:rPr>
        <w:t>之间的关</w:t>
      </w:r>
      <w:r>
        <w:rPr>
          <w:rFonts w:ascii="宋体" w:hAnsi="宋体" w:cs="宋体" w:eastAsia="宋体" w:hint="ascii"/>
          <w:sz w:val="21"/>
        </w:rPr>
        <w:t>系；关注代谢物、代谢酶、代谢相关分子在肿瘤发生、发展中的作用，信号分</w:t>
      </w:r>
      <w:r>
        <w:rPr>
          <w:rFonts w:ascii="宋体" w:hAnsi="宋体" w:cs="宋体" w:eastAsia="宋体" w:hint="ascii"/>
          <w:sz w:val="21"/>
          <w:spacing w:val="-1"/>
        </w:rPr>
        <w:t>子之间的</w:t>
      </w:r>
      <w:r>
        <w:rPr>
          <w:rFonts w:ascii="宋体" w:hAnsi="宋体" w:cs="宋体" w:eastAsia="宋体" w:hint="ascii"/>
          <w:sz w:val="21"/>
        </w:rPr>
        <w:t>交互作用、对肿瘤微环境和肿瘤免疫的影响；关注代谢因素对肿瘤生物学特性</w:t>
      </w:r>
      <w:r>
        <w:rPr>
          <w:rFonts w:ascii="宋体" w:hAnsi="宋体" w:cs="宋体" w:eastAsia="宋体" w:hint="ascii"/>
          <w:sz w:val="21"/>
          <w:spacing w:val="-1"/>
        </w:rPr>
        <w:t>调控的转</w:t>
      </w:r>
      <w:r>
        <w:rPr>
          <w:rFonts w:ascii="宋体" w:hAnsi="宋体" w:cs="宋体" w:eastAsia="宋体" w:hint="ascii"/>
          <w:sz w:val="21"/>
        </w:rPr>
        <w:t>化医学意义，如一些糖、脂、核酸代谢调控药物对肿瘤细胞的作用及其机制的</w:t>
      </w:r>
      <w:r>
        <w:rPr>
          <w:rFonts w:ascii="宋体" w:hAnsi="宋体" w:cs="宋体" w:eastAsia="宋体" w:hint="ascii"/>
          <w:sz w:val="21"/>
          <w:spacing w:val="-1"/>
        </w:rPr>
        <w:t>研究，将</w:t>
      </w:r>
      <w:r>
        <w:rPr>
          <w:rFonts w:ascii="宋体" w:hAnsi="宋体" w:cs="宋体" w:eastAsia="宋体" w:hint="ascii"/>
          <w:sz w:val="21"/>
        </w:rPr>
        <w:t>为传统药物在肿瘤治疗中的新用途提供实验依据。对肿瘤干细胞的探索不断深</w:t>
      </w:r>
      <w:r>
        <w:rPr>
          <w:rFonts w:ascii="宋体" w:hAnsi="宋体" w:cs="宋体" w:eastAsia="宋体" w:hint="ascii"/>
          <w:sz w:val="21"/>
          <w:spacing w:val="-1"/>
        </w:rPr>
        <w:t>入，并与</w:t>
      </w:r>
      <w:r>
        <w:rPr>
          <w:rFonts w:ascii="宋体" w:hAnsi="宋体" w:cs="宋体" w:eastAsia="宋体" w:hint="ascii"/>
          <w:sz w:val="21"/>
        </w:rPr>
        <w:t>其他前沿领域相互渗透，如肿瘤干细胞干性维持的分子机制、肿瘤干细胞的代</w:t>
      </w:r>
      <w:r>
        <w:rPr>
          <w:rFonts w:ascii="宋体" w:hAnsi="宋体" w:cs="宋体" w:eastAsia="宋体" w:hint="ascii"/>
          <w:sz w:val="21"/>
          <w:spacing w:val="-1"/>
        </w:rPr>
        <w:t>谢异常、</w:t>
      </w:r>
      <w:r>
        <w:rPr>
          <w:rFonts w:ascii="宋体" w:hAnsi="宋体" w:cs="宋体" w:eastAsia="宋体" w:hint="ascii"/>
          <w:sz w:val="21"/>
        </w:rPr>
        <w:t>上皮间质转化与肿瘤干细胞的关系、血管拟态的形成及其机制、微环境与肿瘤</w:t>
      </w:r>
      <w:r>
        <w:rPr>
          <w:rFonts w:ascii="宋体" w:hAnsi="宋体" w:cs="宋体" w:eastAsia="宋体" w:hint="ascii"/>
          <w:sz w:val="21"/>
          <w:spacing w:val="-1"/>
        </w:rPr>
        <w:t>干细胞的</w:t>
      </w:r>
      <w:r>
        <w:rPr>
          <w:rFonts w:ascii="宋体" w:hAnsi="宋体" w:cs="宋体" w:eastAsia="宋体" w:hint="ascii"/>
          <w:sz w:val="21"/>
        </w:rPr>
        <w:t>相互作用、肿瘤休眠、肿瘤异质性与治疗抵抗等。肿瘤的化学预防越来越引起</w:t>
      </w:r>
      <w:r>
        <w:rPr>
          <w:rFonts w:ascii="宋体" w:hAnsi="宋体" w:cs="宋体" w:eastAsia="宋体" w:hint="ascii"/>
          <w:sz w:val="21"/>
          <w:spacing w:val="-1"/>
        </w:rPr>
        <w:t>重视，运</w:t>
      </w:r>
      <w:r>
        <w:rPr>
          <w:rFonts w:ascii="宋体" w:hAnsi="宋体" w:cs="宋体" w:eastAsia="宋体" w:hint="ascii"/>
          <w:sz w:val="21"/>
        </w:rPr>
        <w:t>用天然或合成的化合物、不断发现新的靶点进行肿瘤预防，对降低肿瘤的发病</w:t>
      </w:r>
      <w:r>
        <w:rPr>
          <w:rFonts w:ascii="宋体" w:hAnsi="宋体" w:cs="宋体" w:eastAsia="宋体" w:hint="ascii"/>
          <w:sz w:val="21"/>
          <w:spacing w:val="-1"/>
        </w:rPr>
        <w:t>率，提高</w:t>
      </w:r>
      <w:r>
        <w:rPr>
          <w:rFonts w:ascii="宋体" w:hAnsi="宋体" w:cs="宋体" w:eastAsia="宋体" w:hint="ascii"/>
          <w:sz w:val="21"/>
        </w:rPr>
        <w:t>生存率具有重要意义。精神因素与肿瘤进程的关系日益引起关注，精神心理压</w:t>
      </w:r>
      <w:r>
        <w:rPr>
          <w:rFonts w:ascii="宋体" w:hAnsi="宋体" w:cs="宋体" w:eastAsia="宋体" w:hint="ascii"/>
          <w:sz w:val="21"/>
          <w:spacing w:val="-1"/>
        </w:rPr>
        <w:t>力所引起</w:t>
      </w:r>
      <w:r>
        <w:rPr>
          <w:rFonts w:ascii="宋体" w:hAnsi="宋体" w:cs="宋体" w:eastAsia="宋体" w:hint="ascii"/>
          <w:sz w:val="21"/>
        </w:rPr>
        <w:t>的机体免疫、神经内分泌改变，参与了肿瘤转移、治疗耐受等过程，并可能是肿瘤发生的重要因素。支持肿瘤研究新技术新方法，包括类器官（</w:t>
      </w:r>
      <w:r>
        <w:rPr>
          <w:rFonts w:ascii="Times New Roman" w:hAnsi="Times New Roman" w:cs="Times New Roman" w:eastAsia="Times New Roman" w:hint="ascii"/>
          <w:sz w:val="21"/>
        </w:rPr>
        <w:t>organoids</w:t>
      </w:r>
      <w:r>
        <w:rPr>
          <w:rFonts w:ascii="宋体" w:hAnsi="宋体" w:cs="宋体" w:eastAsia="宋体" w:hint="ascii"/>
          <w:sz w:val="21"/>
        </w:rPr>
        <w:t>）模型的建立及其相关新型光子成像技术的研究。</w:t>
      </w:r>
      <w:r>
        <w:rPr>
          <w:rFonts w:ascii="宋体" w:hAnsi="宋体" w:cs="宋体" w:eastAsia="宋体" w:hint="ascii"/>
          <w:sz w:val="21"/>
        </w:rPr>
        <mc:AlternateContent>
          <mc:Choice Requires="wps">
            <w:drawing>
              <wp:anchor distL="0" distR="0" distT="0" distB="0" simplePos="0" behindDoc="1" relativeHeight="137" locked="0" layoutInCell="1" allowOverlap="1">
                <wp:simplePos x="0" y="0"/>
                <wp:positionH relativeFrom="page">
                  <wp:posOffset>938530</wp:posOffset>
                </wp:positionH>
                <wp:positionV relativeFrom="page">
                  <wp:posOffset>805815</wp:posOffset>
                </wp:positionV>
                <wp:extent cx="5076190" cy="0"/>
                <wp:wrapNone/>
                <wp:docPr id="1166" name="116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17952;width:399.70pt;" id="116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近年来，肿瘤学研究项目申请质量逐年提高，体现在前期预实验扎实、科学假说推</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理有据，</w:t>
      </w:r>
      <w:r>
        <w:rPr>
          <w:rFonts w:ascii="宋体" w:hAnsi="宋体" w:cs="宋体" w:eastAsia="宋体" w:hint="ascii"/>
          <w:sz w:val="21"/>
        </w:rPr>
        <w:t>研究内容完整、深入。缺乏前期预实验依据，仅通过文献复习来推导科学问题</w:t>
      </w:r>
      <w:r>
        <w:rPr>
          <w:rFonts w:ascii="宋体" w:hAnsi="宋体" w:cs="宋体" w:eastAsia="宋体" w:hint="ascii"/>
          <w:sz w:val="21"/>
          <w:spacing w:val="-1"/>
        </w:rPr>
        <w:t>的项目申</w:t>
      </w:r>
      <w:r>
        <w:rPr>
          <w:rFonts w:ascii="宋体" w:hAnsi="宋体" w:cs="宋体" w:eastAsia="宋体" w:hint="ascii"/>
          <w:sz w:val="21"/>
        </w:rPr>
        <w:t>请逐年减少；缺乏深入的机制探索的描述性、相关性研究也不断减少，上述项目在评审中也很难得到评审专家的认同。</w:t>
      </w:r>
    </w:p>
    <w:p>
      <w:pPr>
        <w:autoSpaceDE w:val="0"/>
        <w:autoSpaceDN w:val="0"/>
        <w:jc w:val="both"/>
        <w:spacing w:before="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鼓励申请人从前期研究和临床实践中发现并凝练</w:t>
      </w:r>
      <w:r>
        <w:rPr>
          <w:rFonts w:ascii="宋体" w:hAnsi="宋体" w:cs="宋体" w:eastAsia="宋体" w:hint="ascii"/>
          <w:sz w:val="21"/>
          <w:spacing w:val="-1"/>
        </w:rPr>
        <w:t>科学问题，进行深入系统的机制探</w:t>
      </w:r>
      <w:r>
        <w:rPr>
          <w:rFonts w:ascii="宋体" w:hAnsi="宋体" w:cs="宋体" w:eastAsia="宋体" w:hint="ascii"/>
          <w:sz w:val="21"/>
        </w:rPr>
        <w:t xml:space="preserve"> </w:t>
      </w:r>
      <w:r>
        <w:rPr>
          <w:rFonts w:ascii="宋体" w:hAnsi="宋体" w:cs="宋体" w:eastAsia="宋体" w:hint="ascii"/>
          <w:sz w:val="21"/>
          <w:spacing w:val="-1"/>
        </w:rPr>
        <w:t>讨，开展</w:t>
      </w:r>
      <w:r>
        <w:rPr>
          <w:rFonts w:ascii="宋体" w:hAnsi="宋体" w:cs="宋体" w:eastAsia="宋体" w:hint="ascii"/>
          <w:sz w:val="21"/>
        </w:rPr>
        <w:t>旨在提高临床诊疗水平及向临床实践转化的基础研究；鼓励对肿瘤学研究领域</w:t>
      </w:r>
      <w:r>
        <w:rPr>
          <w:rFonts w:ascii="宋体" w:hAnsi="宋体" w:cs="宋体" w:eastAsia="宋体" w:hint="ascii"/>
          <w:sz w:val="21"/>
          <w:spacing w:val="-1"/>
        </w:rPr>
        <w:t>新技术和</w:t>
      </w:r>
      <w:r>
        <w:rPr>
          <w:rFonts w:ascii="宋体" w:hAnsi="宋体" w:cs="宋体" w:eastAsia="宋体" w:hint="ascii"/>
          <w:sz w:val="21"/>
        </w:rPr>
        <w:t>新方法的探讨；鼓励利用我国临床资源的优势开展与临床有机结合的基础研究以及中国多发、常见肿瘤的研究。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本科学处不受理肿瘤流行病学的项目，该方面研究请选择医学科学八处（</w:t>
      </w:r>
      <w:r>
        <w:rPr>
          <w:rFonts w:ascii="Times New Roman" w:hAnsi="Times New Roman" w:cs="Times New Roman" w:eastAsia="Times New Roman" w:hint="ascii"/>
          <w:b w:val="1"/>
          <w:sz w:val="21"/>
        </w:rPr>
        <w:t>H26</w:t>
      </w:r>
      <w:r>
        <w:rPr>
          <w:rFonts w:ascii="宋体" w:hAnsi="宋体" w:cs="宋体" w:eastAsia="宋体" w:hint="ascii"/>
          <w:sz w:val="21"/>
        </w:rPr>
        <w:t>）相</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b w:val="1"/>
          <w:sz w:val="21"/>
        </w:rPr>
      </w:pPr>
      <w:r>
        <w:rPr>
          <w:rFonts w:ascii="宋体" w:hAnsi="宋体" w:cs="宋体" w:eastAsia="宋体" w:hint="ascii"/>
          <w:sz w:val="21"/>
          <w:spacing w:val="-1"/>
        </w:rPr>
        <w:t>应的申请</w:t>
      </w:r>
      <w:r>
        <w:rPr>
          <w:rFonts w:ascii="宋体" w:hAnsi="宋体" w:cs="宋体" w:eastAsia="宋体" w:hint="ascii"/>
          <w:sz w:val="21"/>
        </w:rPr>
        <w:t>代码；不受理有关血液淋巴系统肿瘤的研究项目，该方面研究请选择医学科学一处相应的申请代码（</w:t>
      </w:r>
      <w:r>
        <w:rPr>
          <w:rFonts w:ascii="Times New Roman" w:hAnsi="Times New Roman" w:cs="Times New Roman" w:eastAsia="Times New Roman" w:hint="ascii"/>
          <w:b w:val="1"/>
          <w:sz w:val="21"/>
        </w:rPr>
        <w:t>H081</w:t>
      </w:r>
      <w:r>
        <w:rPr>
          <w:rFonts w:ascii="Times New Roman" w:hAnsi="Times New Roman" w:cs="Times New Roman" w:eastAsia="Times New Roman" w:hint="ascii"/>
          <w:b w:val="1"/>
          <w:sz w:val="21"/>
          <w:spacing w:val="5"/>
        </w:rPr>
        <w:t>8</w:t>
      </w:r>
      <w:r>
        <w:rPr>
          <w:rFonts w:ascii="宋体" w:hAnsi="宋体" w:cs="宋体" w:eastAsia="宋体" w:hint="ascii"/>
          <w:b w:val="1"/>
          <w:sz w:val="21"/>
        </w:rPr>
        <w:t>、</w:t>
      </w:r>
      <w:r>
        <w:rPr>
          <w:rFonts w:ascii="Times New Roman" w:hAnsi="Times New Roman" w:cs="Times New Roman" w:eastAsia="Times New Roman" w:hint="ascii"/>
          <w:b w:val="1"/>
          <w:sz w:val="21"/>
        </w:rPr>
        <w:t>H081</w:t>
      </w:r>
      <w:r>
        <w:rPr>
          <w:rFonts w:ascii="Times New Roman" w:hAnsi="Times New Roman" w:cs="Times New Roman" w:eastAsia="Times New Roman" w:hint="ascii"/>
          <w:b w:val="1"/>
          <w:sz w:val="21"/>
          <w:spacing w:val="5"/>
        </w:rPr>
        <w:t>9</w:t>
      </w:r>
      <w:r>
        <w:rPr>
          <w:rFonts w:ascii="宋体" w:hAnsi="宋体" w:cs="宋体" w:eastAsia="宋体" w:hint="ascii"/>
          <w:sz w:val="21"/>
          <w:spacing w:val="-53"/>
        </w:rPr>
        <w:t>）</w:t>
      </w:r>
      <w:r>
        <w:rPr>
          <w:rFonts w:ascii="宋体" w:hAnsi="宋体" w:cs="宋体" w:eastAsia="宋体" w:hint="ascii"/>
          <w:b w:val="1"/>
          <w:sz w:val="21"/>
        </w:rPr>
        <w:t>。</w:t>
      </w:r>
      <w:r>
        <w:rPr>
          <w:rFonts w:ascii="宋体" w:hAnsi="宋体" w:cs="宋体" w:eastAsia="宋体" w:hint="ascii"/>
          <w:sz w:val="21"/>
        </w:rPr>
        <w:t>请申请人注意，当选择对应的组织器官肿</w:t>
      </w:r>
      <w:r>
        <w:rPr>
          <w:rFonts w:ascii="宋体" w:hAnsi="宋体" w:cs="宋体" w:eastAsia="宋体" w:hint="ascii"/>
          <w:sz w:val="21"/>
          <w:spacing w:val="-6"/>
        </w:rPr>
        <w:t>瘤</w:t>
      </w:r>
      <w:r>
        <w:rPr>
          <w:rFonts w:ascii="宋体" w:hAnsi="宋体" w:cs="宋体" w:eastAsia="宋体" w:hint="ascii"/>
          <w:sz w:val="21"/>
        </w:rPr>
        <w:t>代码时，请准确填写申请代码</w:t>
      </w:r>
      <w:r>
        <w:rPr>
          <w:rFonts w:ascii="宋体" w:hAnsi="宋体" w:cs="宋体" w:eastAsia="宋体" w:hint="ascii"/>
          <w:b w:val="1"/>
          <w:sz w:val="21"/>
        </w:rPr>
        <w:t>。</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医学科学八处</w:t>
      </w:r>
    </w:p>
    <w:p>
      <w:pPr>
        <w:autoSpaceDE w:val="0"/>
        <w:autoSpaceDN w:val="0"/>
        <w:jc w:val="both"/>
        <w:spacing w:before="301"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医学科学八处主要资助皮肤及其附属器、放射医学、地方病学</w:t>
      </w:r>
      <w:r>
        <w:rPr>
          <w:rFonts w:ascii="Times New Roman" w:hAnsi="Times New Roman" w:cs="Times New Roman" w:eastAsia="Times New Roman" w:hint="ascii"/>
          <w:sz w:val="21"/>
        </w:rPr>
        <w:t>/</w:t>
      </w:r>
      <w:r>
        <w:rPr>
          <w:rFonts w:ascii="宋体" w:hAnsi="宋体" w:cs="宋体" w:eastAsia="宋体" w:hint="ascii"/>
          <w:sz w:val="21"/>
        </w:rPr>
        <w:t>职业病学、预防医学领域的基础研究和临床基础研究。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皮肤及其附属器（</w:t>
      </w:r>
      <w:r>
        <w:rPr>
          <w:rFonts w:ascii="Times New Roman" w:hAnsi="Times New Roman" w:cs="Times New Roman" w:eastAsia="Times New Roman" w:hint="ascii"/>
          <w:b w:val="1"/>
        </w:rPr>
        <w:t>H</w:t>
      </w:r>
      <w:r>
        <w:rPr>
          <w:rFonts w:ascii="Times New Roman" w:hAnsi="Times New Roman" w:cs="Times New Roman" w:eastAsia="Times New Roman" w:hint="ascii"/>
          <w:b w:val="1"/>
          <w:spacing w:val="-13"/>
        </w:rPr>
        <w:t>1</w:t>
      </w:r>
      <w:r>
        <w:rPr>
          <w:rFonts w:ascii="Times New Roman" w:hAnsi="Times New Roman" w:cs="Times New Roman" w:eastAsia="Times New Roman" w:hint="ascii"/>
          <w:b w:val="1"/>
        </w:rPr>
        <w:t>1</w:t>
      </w:r>
      <w:r>
        <w:rPr>
          <w:rFonts w:ascii="宋体" w:hAnsi="宋体" w:cs="宋体" w:eastAsia="宋体" w:hint="ascii"/>
        </w:rPr>
        <w:t>）</w:t>
      </w:r>
    </w:p>
    <w:p>
      <w:pPr>
        <w:autoSpaceDE w:val="0"/>
        <w:autoSpaceDN w:val="0"/>
        <w:jc w:val="both"/>
        <w:spacing w:before="15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主要资助</w:t>
      </w:r>
      <w:r>
        <w:rPr>
          <w:rFonts w:ascii="宋体" w:hAnsi="宋体" w:cs="宋体" w:eastAsia="宋体" w:hint="ascii"/>
          <w:sz w:val="21"/>
        </w:rPr>
        <w:t>皮肤及其附属器的结构、功能及发育异常以及遗传性、免疫性和感染性等皮肤疾病的基础研究。</w:t>
      </w:r>
    </w:p>
    <w:p>
      <w:pPr>
        <w:autoSpaceDE w:val="0"/>
        <w:autoSpaceDN w:val="0"/>
        <w:jc w:val="left"/>
        <w:spacing w:before="59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放射医学（</w:t>
      </w:r>
      <w:r>
        <w:rPr>
          <w:rFonts w:ascii="Times New Roman" w:hAnsi="Times New Roman" w:cs="Times New Roman" w:eastAsia="Times New Roman" w:hint="ascii"/>
          <w:b w:val="1"/>
        </w:rPr>
        <w:t>H22</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138" locked="0" layoutInCell="1" allowOverlap="1">
                <wp:simplePos x="0" y="0"/>
                <wp:positionH relativeFrom="page">
                  <wp:posOffset>938530</wp:posOffset>
                </wp:positionH>
                <wp:positionV relativeFrom="page">
                  <wp:posOffset>819150</wp:posOffset>
                </wp:positionV>
                <wp:extent cx="5076190" cy="0"/>
                <wp:wrapNone/>
                <wp:docPr id="1167" name="116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16928;width:399.70pt;" id="116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主要资助放射</w:t>
      </w:r>
      <w:r>
        <w:rPr>
          <w:rFonts w:ascii="宋体" w:hAnsi="宋体" w:cs="宋体" w:eastAsia="宋体" w:hint="ascii"/>
          <w:sz w:val="21"/>
        </w:rPr>
        <w:t>损伤、放射毒理与放射病理、放射卫生与放射防护、非肿瘤放射治疗的基础研究。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地方病学（</w:t>
      </w:r>
      <w:r>
        <w:rPr>
          <w:rFonts w:ascii="Times New Roman" w:hAnsi="Times New Roman" w:cs="Times New Roman" w:eastAsia="Times New Roman" w:hint="ascii"/>
          <w:b w:val="1"/>
        </w:rPr>
        <w:t>H2401</w:t>
      </w:r>
      <w:r>
        <w:rPr>
          <w:rFonts w:ascii="宋体" w:hAnsi="宋体" w:cs="宋体" w:eastAsia="宋体" w:hint="ascii"/>
        </w:rPr>
        <w:t>）</w: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主要资助具有</w:t>
      </w:r>
      <w:r>
        <w:rPr>
          <w:rFonts w:ascii="宋体" w:hAnsi="宋体" w:cs="宋体" w:eastAsia="宋体" w:hint="ascii"/>
          <w:sz w:val="21"/>
        </w:rPr>
        <w:t>地域特征的自然疫源性疾病、生物地球化学性疾病和与特定生产生活方式相关的疾病的基础研究。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职业病学（</w:t>
      </w:r>
      <w:r>
        <w:rPr>
          <w:rFonts w:ascii="Times New Roman" w:hAnsi="Times New Roman" w:cs="Times New Roman" w:eastAsia="Times New Roman" w:hint="ascii"/>
          <w:b w:val="1"/>
        </w:rPr>
        <w:t>H2402</w:t>
      </w:r>
      <w:r>
        <w:rPr>
          <w:rFonts w:ascii="宋体" w:hAnsi="宋体" w:cs="宋体" w:eastAsia="宋体" w:hint="ascii"/>
        </w:rPr>
        <w:t>）</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主要资助职业有害因素所致疾病的基础研究。</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预防医学（</w:t>
      </w:r>
      <w:r>
        <w:rPr>
          <w:rFonts w:ascii="Times New Roman" w:hAnsi="Times New Roman" w:cs="Times New Roman" w:eastAsia="Times New Roman" w:hint="ascii"/>
          <w:b w:val="1"/>
        </w:rPr>
        <w:t>H26</w:t>
      </w:r>
      <w:r>
        <w:rPr>
          <w:rFonts w:ascii="宋体" w:hAnsi="宋体" w:cs="宋体" w:eastAsia="宋体" w:hint="ascii"/>
        </w:rPr>
        <w:t>）</w:t>
      </w:r>
    </w:p>
    <w:p>
      <w:pPr>
        <w:autoSpaceDE w:val="0"/>
        <w:autoSpaceDN w:val="0"/>
        <w:jc w:val="left"/>
        <w:spacing w:before="157" w:after="0" w:lineRule="exact" w:line="312"/>
        <w:ind w:right="962"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资助范围包括环境卫生、职业卫生</w:t>
      </w:r>
      <w:r>
        <w:rPr>
          <w:rFonts w:ascii="宋体" w:hAnsi="宋体" w:cs="宋体" w:eastAsia="宋体" w:hint="ascii"/>
          <w:sz w:val="21"/>
          <w:spacing w:val="-1"/>
        </w:rPr>
        <w:t>、人类营养、食品卫生、妇幼保健、儿童少年卫</w:t>
      </w:r>
      <w:r>
        <w:rPr>
          <w:rFonts w:ascii="宋体" w:hAnsi="宋体" w:cs="宋体" w:eastAsia="宋体" w:hint="ascii"/>
          <w:sz w:val="21"/>
        </w:rPr>
        <w:t xml:space="preserve"> 生、卫生毒理、卫生分析化学、传染病流行病学、非传染病流行病学、流行病学方法与卫生统计等领域的基础研究。</w:t>
      </w:r>
    </w:p>
    <w:p>
      <w:pPr>
        <w:autoSpaceDE w:val="0"/>
        <w:autoSpaceDN w:val="0"/>
        <w:jc w:val="left"/>
        <w:spacing w:before="40"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放射医学</w:t>
      </w:r>
      <w:r>
        <w:rPr>
          <w:rFonts w:ascii="宋体" w:hAnsi="宋体" w:cs="宋体" w:eastAsia="宋体" w:hint="ascii"/>
          <w:sz w:val="21"/>
        </w:rPr>
        <w:t>、</w:t>
      </w:r>
      <w:r>
        <w:rPr>
          <w:rFonts w:ascii="宋体" w:hAnsi="宋体" w:cs="宋体" w:eastAsia="宋体" w:hint="ascii"/>
          <w:sz w:val="21"/>
          <w:spacing w:val="3"/>
        </w:rPr>
        <w:t>地方病学</w:t>
      </w:r>
      <w:r>
        <w:rPr>
          <w:rFonts w:ascii="宋体" w:hAnsi="宋体" w:cs="宋体" w:eastAsia="宋体" w:hint="ascii"/>
          <w:sz w:val="21"/>
        </w:rPr>
        <w:t>、</w:t>
      </w:r>
      <w:r>
        <w:rPr>
          <w:rFonts w:ascii="宋体" w:hAnsi="宋体" w:cs="宋体" w:eastAsia="宋体" w:hint="ascii"/>
          <w:sz w:val="21"/>
          <w:spacing w:val="3"/>
        </w:rPr>
        <w:t>职业病学</w:t>
      </w:r>
      <w:r>
        <w:rPr>
          <w:rFonts w:ascii="宋体" w:hAnsi="宋体" w:cs="宋体" w:eastAsia="宋体" w:hint="ascii"/>
          <w:sz w:val="21"/>
        </w:rPr>
        <w:t>、</w:t>
      </w:r>
      <w:r>
        <w:rPr>
          <w:rFonts w:ascii="宋体" w:hAnsi="宋体" w:cs="宋体" w:eastAsia="宋体" w:hint="ascii"/>
          <w:sz w:val="21"/>
          <w:spacing w:val="3"/>
        </w:rPr>
        <w:t>预防医学</w:t>
      </w:r>
      <w:r>
        <w:rPr>
          <w:rFonts w:ascii="宋体" w:hAnsi="宋体" w:cs="宋体" w:eastAsia="宋体" w:hint="ascii"/>
          <w:sz w:val="21"/>
        </w:rPr>
        <w:t>主</w:t>
      </w:r>
      <w:r>
        <w:rPr>
          <w:rFonts w:ascii="宋体" w:hAnsi="宋体" w:cs="宋体" w:eastAsia="宋体" w:hint="ascii"/>
          <w:sz w:val="21"/>
          <w:spacing w:val="3"/>
        </w:rPr>
        <w:t>要支持以</w:t>
      </w:r>
      <w:r>
        <w:rPr>
          <w:rFonts w:ascii="宋体" w:hAnsi="宋体" w:cs="宋体" w:eastAsia="宋体" w:hint="ascii"/>
          <w:sz w:val="21"/>
        </w:rPr>
        <w:t>探</w:t>
      </w:r>
      <w:r>
        <w:rPr>
          <w:rFonts w:ascii="宋体" w:hAnsi="宋体" w:cs="宋体" w:eastAsia="宋体" w:hint="ascii"/>
          <w:sz w:val="21"/>
          <w:spacing w:val="3"/>
        </w:rPr>
        <w:t>索疾病预</w:t>
      </w:r>
      <w:r>
        <w:rPr>
          <w:rFonts w:ascii="宋体" w:hAnsi="宋体" w:cs="宋体" w:eastAsia="宋体" w:hint="ascii"/>
          <w:sz w:val="21"/>
        </w:rPr>
        <w:t>防</w:t>
      </w:r>
      <w:r>
        <w:rPr>
          <w:rFonts w:ascii="宋体" w:hAnsi="宋体" w:cs="宋体" w:eastAsia="宋体" w:hint="ascii"/>
          <w:sz w:val="21"/>
          <w:spacing w:val="3"/>
        </w:rPr>
        <w:t>控制相</w:t>
      </w:r>
      <w:r>
        <w:rPr>
          <w:rFonts w:ascii="宋体" w:hAnsi="宋体" w:cs="宋体" w:eastAsia="宋体" w:hint="ascii"/>
          <w:sz w:val="21"/>
          <w:spacing w:val="4"/>
        </w:rPr>
        <w:t>关</w:t>
      </w:r>
      <w:r>
        <w:rPr>
          <w:rFonts w:ascii="宋体" w:hAnsi="宋体" w:cs="宋体" w:eastAsia="宋体" w:hint="ascii"/>
          <w:sz w:val="21"/>
        </w:rPr>
        <w:t>的</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3"/>
        </w:rPr>
        <w:t>新理论、</w:t>
      </w:r>
      <w:r>
        <w:rPr>
          <w:rFonts w:ascii="宋体" w:hAnsi="宋体" w:cs="宋体" w:eastAsia="宋体" w:hint="ascii"/>
          <w:sz w:val="21"/>
        </w:rPr>
        <w:t>新</w:t>
      </w:r>
      <w:r>
        <w:rPr>
          <w:rFonts w:ascii="宋体" w:hAnsi="宋体" w:cs="宋体" w:eastAsia="宋体" w:hint="ascii"/>
          <w:sz w:val="21"/>
          <w:spacing w:val="3"/>
        </w:rPr>
        <w:t>途径和新</w:t>
      </w:r>
      <w:r>
        <w:rPr>
          <w:rFonts w:ascii="宋体" w:hAnsi="宋体" w:cs="宋体" w:eastAsia="宋体" w:hint="ascii"/>
          <w:sz w:val="21"/>
        </w:rPr>
        <w:t>方</w:t>
      </w:r>
      <w:r>
        <w:rPr>
          <w:rFonts w:ascii="宋体" w:hAnsi="宋体" w:cs="宋体" w:eastAsia="宋体" w:hint="ascii"/>
          <w:sz w:val="21"/>
          <w:spacing w:val="3"/>
        </w:rPr>
        <w:t>法为目标</w:t>
      </w:r>
      <w:r>
        <w:rPr>
          <w:rFonts w:ascii="宋体" w:hAnsi="宋体" w:cs="宋体" w:eastAsia="宋体" w:hint="ascii"/>
          <w:sz w:val="21"/>
        </w:rPr>
        <w:t>，</w:t>
      </w:r>
      <w:r>
        <w:rPr>
          <w:rFonts w:ascii="宋体" w:hAnsi="宋体" w:cs="宋体" w:eastAsia="宋体" w:hint="ascii"/>
          <w:sz w:val="21"/>
          <w:spacing w:val="3"/>
        </w:rPr>
        <w:t>具有重要</w:t>
      </w:r>
      <w:r>
        <w:rPr>
          <w:rFonts w:ascii="宋体" w:hAnsi="宋体" w:cs="宋体" w:eastAsia="宋体" w:hint="ascii"/>
          <w:sz w:val="21"/>
        </w:rPr>
        <w:t>科</w:t>
      </w:r>
      <w:r>
        <w:rPr>
          <w:rFonts w:ascii="宋体" w:hAnsi="宋体" w:cs="宋体" w:eastAsia="宋体" w:hint="ascii"/>
          <w:sz w:val="21"/>
          <w:spacing w:val="3"/>
        </w:rPr>
        <w:t>学价值和</w:t>
      </w:r>
      <w:r>
        <w:rPr>
          <w:rFonts w:ascii="宋体" w:hAnsi="宋体" w:cs="宋体" w:eastAsia="宋体" w:hint="ascii"/>
          <w:sz w:val="21"/>
        </w:rPr>
        <w:t>源</w:t>
      </w:r>
      <w:r>
        <w:rPr>
          <w:rFonts w:ascii="宋体" w:hAnsi="宋体" w:cs="宋体" w:eastAsia="宋体" w:hint="ascii"/>
          <w:sz w:val="21"/>
          <w:spacing w:val="3"/>
        </w:rPr>
        <w:t>头创新意</w:t>
      </w:r>
      <w:r>
        <w:rPr>
          <w:rFonts w:ascii="宋体" w:hAnsi="宋体" w:cs="宋体" w:eastAsia="宋体" w:hint="ascii"/>
          <w:sz w:val="21"/>
        </w:rPr>
        <w:t>义</w:t>
      </w:r>
      <w:r>
        <w:rPr>
          <w:rFonts w:ascii="宋体" w:hAnsi="宋体" w:cs="宋体" w:eastAsia="宋体" w:hint="ascii"/>
          <w:sz w:val="21"/>
          <w:spacing w:val="3"/>
        </w:rPr>
        <w:t>的项目；</w:t>
      </w:r>
      <w:r>
        <w:rPr>
          <w:rFonts w:ascii="宋体" w:hAnsi="宋体" w:cs="宋体" w:eastAsia="宋体" w:hint="ascii"/>
          <w:sz w:val="21"/>
        </w:rPr>
        <w:t>根</w:t>
      </w:r>
      <w:r>
        <w:rPr>
          <w:rFonts w:ascii="宋体" w:hAnsi="宋体" w:cs="宋体" w:eastAsia="宋体" w:hint="ascii"/>
          <w:sz w:val="21"/>
          <w:spacing w:val="3"/>
        </w:rPr>
        <w:t>据</w:t>
      </w:r>
      <w:r>
        <w:rPr>
          <w:rFonts w:ascii="宋体" w:hAnsi="宋体" w:cs="宋体" w:eastAsia="宋体" w:hint="ascii"/>
          <w:sz w:val="21"/>
        </w:rPr>
        <w:t>我</w:t>
      </w:r>
      <w:r>
        <w:rPr>
          <w:rFonts w:ascii="宋体" w:hAnsi="宋体" w:cs="宋体" w:eastAsia="宋体" w:hint="ascii"/>
          <w:sz w:val="21"/>
          <w:spacing w:val="3"/>
        </w:rPr>
        <w:t>国人群健</w:t>
      </w:r>
      <w:r>
        <w:rPr>
          <w:rFonts w:ascii="宋体" w:hAnsi="宋体" w:cs="宋体" w:eastAsia="宋体" w:hint="ascii"/>
          <w:sz w:val="21"/>
        </w:rPr>
        <w:t>康</w:t>
      </w:r>
      <w:r>
        <w:rPr>
          <w:rFonts w:ascii="宋体" w:hAnsi="宋体" w:cs="宋体" w:eastAsia="宋体" w:hint="ascii"/>
          <w:sz w:val="21"/>
          <w:spacing w:val="3"/>
        </w:rPr>
        <w:t>与疾病预</w:t>
      </w:r>
      <w:r>
        <w:rPr>
          <w:rFonts w:ascii="宋体" w:hAnsi="宋体" w:cs="宋体" w:eastAsia="宋体" w:hint="ascii"/>
          <w:sz w:val="21"/>
        </w:rPr>
        <w:t>防</w:t>
      </w:r>
      <w:r>
        <w:rPr>
          <w:rFonts w:ascii="宋体" w:hAnsi="宋体" w:cs="宋体" w:eastAsia="宋体" w:hint="ascii"/>
          <w:sz w:val="21"/>
          <w:spacing w:val="3"/>
        </w:rPr>
        <w:t>工作的实</w:t>
      </w:r>
      <w:r>
        <w:rPr>
          <w:rFonts w:ascii="宋体" w:hAnsi="宋体" w:cs="宋体" w:eastAsia="宋体" w:hint="ascii"/>
          <w:sz w:val="21"/>
        </w:rPr>
        <w:t>际</w:t>
      </w:r>
      <w:r>
        <w:rPr>
          <w:rFonts w:ascii="宋体" w:hAnsi="宋体" w:cs="宋体" w:eastAsia="宋体" w:hint="ascii"/>
          <w:sz w:val="21"/>
          <w:spacing w:val="3"/>
        </w:rPr>
        <w:t>需要，开</w:t>
      </w:r>
      <w:r>
        <w:rPr>
          <w:rFonts w:ascii="宋体" w:hAnsi="宋体" w:cs="宋体" w:eastAsia="宋体" w:hint="ascii"/>
          <w:sz w:val="21"/>
        </w:rPr>
        <w:t>展</w:t>
      </w:r>
      <w:r>
        <w:rPr>
          <w:rFonts w:ascii="宋体" w:hAnsi="宋体" w:cs="宋体" w:eastAsia="宋体" w:hint="ascii"/>
          <w:sz w:val="21"/>
          <w:spacing w:val="3"/>
        </w:rPr>
        <w:t>以人群为</w:t>
      </w:r>
      <w:r>
        <w:rPr>
          <w:rFonts w:ascii="宋体" w:hAnsi="宋体" w:cs="宋体" w:eastAsia="宋体" w:hint="ascii"/>
          <w:sz w:val="21"/>
        </w:rPr>
        <w:t>基</w:t>
      </w:r>
      <w:r>
        <w:rPr>
          <w:rFonts w:ascii="宋体" w:hAnsi="宋体" w:cs="宋体" w:eastAsia="宋体" w:hint="ascii"/>
          <w:sz w:val="21"/>
          <w:spacing w:val="3"/>
        </w:rPr>
        <w:t>础的研究</w:t>
      </w:r>
      <w:r>
        <w:rPr>
          <w:rFonts w:ascii="宋体" w:hAnsi="宋体" w:cs="宋体" w:eastAsia="宋体" w:hint="ascii"/>
          <w:sz w:val="21"/>
        </w:rPr>
        <w:t>，</w:t>
      </w:r>
      <w:r>
        <w:rPr>
          <w:rFonts w:ascii="宋体" w:hAnsi="宋体" w:cs="宋体" w:eastAsia="宋体" w:hint="ascii"/>
          <w:sz w:val="21"/>
          <w:spacing w:val="3"/>
        </w:rPr>
        <w:t>在研究中</w:t>
      </w:r>
      <w:r>
        <w:rPr>
          <w:rFonts w:ascii="宋体" w:hAnsi="宋体" w:cs="宋体" w:eastAsia="宋体" w:hint="ascii"/>
          <w:sz w:val="21"/>
        </w:rPr>
        <w:t>合</w:t>
      </w:r>
      <w:r>
        <w:rPr>
          <w:rFonts w:ascii="宋体" w:hAnsi="宋体" w:cs="宋体" w:eastAsia="宋体" w:hint="ascii"/>
          <w:sz w:val="21"/>
          <w:spacing w:val="3"/>
        </w:rPr>
        <w:t>理</w:t>
      </w:r>
      <w:r>
        <w:rPr>
          <w:rFonts w:ascii="宋体" w:hAnsi="宋体" w:cs="宋体" w:eastAsia="宋体" w:hint="ascii"/>
          <w:sz w:val="21"/>
        </w:rPr>
        <w:t>选</w:t>
      </w:r>
      <w:r>
        <w:rPr>
          <w:rFonts w:ascii="宋体" w:hAnsi="宋体" w:cs="宋体" w:eastAsia="宋体" w:hint="ascii"/>
          <w:sz w:val="21"/>
          <w:spacing w:val="3"/>
        </w:rPr>
        <w:t>用现代新</w:t>
      </w:r>
      <w:r>
        <w:rPr>
          <w:rFonts w:ascii="宋体" w:hAnsi="宋体" w:cs="宋体" w:eastAsia="宋体" w:hint="ascii"/>
          <w:sz w:val="21"/>
        </w:rPr>
        <w:t>技</w:t>
      </w:r>
      <w:r>
        <w:rPr>
          <w:rFonts w:ascii="宋体" w:hAnsi="宋体" w:cs="宋体" w:eastAsia="宋体" w:hint="ascii"/>
          <w:sz w:val="21"/>
          <w:spacing w:val="3"/>
        </w:rPr>
        <w:t>术与方法</w:t>
      </w:r>
      <w:r>
        <w:rPr>
          <w:rFonts w:ascii="宋体" w:hAnsi="宋体" w:cs="宋体" w:eastAsia="宋体" w:hint="ascii"/>
          <w:sz w:val="21"/>
        </w:rPr>
        <w:t>的</w:t>
      </w:r>
      <w:r>
        <w:rPr>
          <w:rFonts w:ascii="宋体" w:hAnsi="宋体" w:cs="宋体" w:eastAsia="宋体" w:hint="ascii"/>
          <w:sz w:val="21"/>
          <w:spacing w:val="3"/>
        </w:rPr>
        <w:t>项目；重</w:t>
      </w:r>
      <w:r>
        <w:rPr>
          <w:rFonts w:ascii="宋体" w:hAnsi="宋体" w:cs="宋体" w:eastAsia="宋体" w:hint="ascii"/>
          <w:sz w:val="21"/>
        </w:rPr>
        <w:t>视</w:t>
      </w:r>
      <w:r>
        <w:rPr>
          <w:rFonts w:ascii="宋体" w:hAnsi="宋体" w:cs="宋体" w:eastAsia="宋体" w:hint="ascii"/>
          <w:sz w:val="21"/>
          <w:spacing w:val="3"/>
        </w:rPr>
        <w:t>现场人群</w:t>
      </w:r>
      <w:r>
        <w:rPr>
          <w:rFonts w:ascii="宋体" w:hAnsi="宋体" w:cs="宋体" w:eastAsia="宋体" w:hint="ascii"/>
          <w:sz w:val="21"/>
        </w:rPr>
        <w:t>研</w:t>
      </w:r>
      <w:r>
        <w:rPr>
          <w:rFonts w:ascii="宋体" w:hAnsi="宋体" w:cs="宋体" w:eastAsia="宋体" w:hint="ascii"/>
          <w:sz w:val="21"/>
          <w:spacing w:val="3"/>
        </w:rPr>
        <w:t>究与实验</w:t>
      </w:r>
      <w:r>
        <w:rPr>
          <w:rFonts w:ascii="宋体" w:hAnsi="宋体" w:cs="宋体" w:eastAsia="宋体" w:hint="ascii"/>
          <w:sz w:val="21"/>
        </w:rPr>
        <w:t>室</w:t>
      </w:r>
      <w:r>
        <w:rPr>
          <w:rFonts w:ascii="宋体" w:hAnsi="宋体" w:cs="宋体" w:eastAsia="宋体" w:hint="ascii"/>
          <w:sz w:val="21"/>
          <w:spacing w:val="3"/>
        </w:rPr>
        <w:t>研究相结</w:t>
      </w:r>
      <w:r>
        <w:rPr>
          <w:rFonts w:ascii="宋体" w:hAnsi="宋体" w:cs="宋体" w:eastAsia="宋体" w:hint="ascii"/>
          <w:sz w:val="21"/>
        </w:rPr>
        <w:t>合</w:t>
      </w:r>
      <w:r>
        <w:rPr>
          <w:rFonts w:ascii="宋体" w:hAnsi="宋体" w:cs="宋体" w:eastAsia="宋体" w:hint="ascii"/>
          <w:sz w:val="21"/>
          <w:spacing w:val="3"/>
        </w:rPr>
        <w:t>，注意寻</w:t>
      </w:r>
      <w:r>
        <w:rPr>
          <w:rFonts w:ascii="宋体" w:hAnsi="宋体" w:cs="宋体" w:eastAsia="宋体" w:hint="ascii"/>
          <w:sz w:val="21"/>
        </w:rPr>
        <w:t>找</w:t>
      </w:r>
      <w:r>
        <w:rPr>
          <w:rFonts w:ascii="宋体" w:hAnsi="宋体" w:cs="宋体" w:eastAsia="宋体" w:hint="ascii"/>
          <w:sz w:val="21"/>
          <w:spacing w:val="3"/>
        </w:rPr>
        <w:t>学</w:t>
      </w:r>
      <w:r>
        <w:rPr>
          <w:rFonts w:ascii="宋体" w:hAnsi="宋体" w:cs="宋体" w:eastAsia="宋体" w:hint="ascii"/>
          <w:sz w:val="21"/>
        </w:rPr>
        <w:t>科</w:t>
      </w:r>
      <w:r>
        <w:rPr>
          <w:rFonts w:ascii="宋体" w:hAnsi="宋体" w:cs="宋体" w:eastAsia="宋体" w:hint="ascii"/>
          <w:sz w:val="21"/>
          <w:spacing w:val="3"/>
        </w:rPr>
        <w:t>新的生长</w:t>
      </w:r>
      <w:r>
        <w:rPr>
          <w:rFonts w:ascii="宋体" w:hAnsi="宋体" w:cs="宋体" w:eastAsia="宋体" w:hint="ascii"/>
          <w:sz w:val="21"/>
        </w:rPr>
        <w:t>点</w:t>
      </w:r>
      <w:r>
        <w:rPr>
          <w:rFonts w:ascii="宋体" w:hAnsi="宋体" w:cs="宋体" w:eastAsia="宋体" w:hint="ascii"/>
          <w:sz w:val="21"/>
          <w:spacing w:val="3"/>
        </w:rPr>
        <w:t>，开展具</w:t>
      </w:r>
      <w:r>
        <w:rPr>
          <w:rFonts w:ascii="宋体" w:hAnsi="宋体" w:cs="宋体" w:eastAsia="宋体" w:hint="ascii"/>
          <w:sz w:val="21"/>
        </w:rPr>
        <w:t>有</w:t>
      </w:r>
      <w:r>
        <w:rPr>
          <w:rFonts w:ascii="宋体" w:hAnsi="宋体" w:cs="宋体" w:eastAsia="宋体" w:hint="ascii"/>
          <w:sz w:val="21"/>
          <w:spacing w:val="3"/>
        </w:rPr>
        <w:t>我国特色</w:t>
      </w:r>
      <w:r>
        <w:rPr>
          <w:rFonts w:ascii="宋体" w:hAnsi="宋体" w:cs="宋体" w:eastAsia="宋体" w:hint="ascii"/>
          <w:sz w:val="21"/>
        </w:rPr>
        <w:t>并</w:t>
      </w:r>
      <w:r>
        <w:rPr>
          <w:rFonts w:ascii="宋体" w:hAnsi="宋体" w:cs="宋体" w:eastAsia="宋体" w:hint="ascii"/>
          <w:sz w:val="21"/>
          <w:spacing w:val="3"/>
        </w:rPr>
        <w:t>能在国际</w:t>
      </w:r>
      <w:r>
        <w:rPr>
          <w:rFonts w:ascii="宋体" w:hAnsi="宋体" w:cs="宋体" w:eastAsia="宋体" w:hint="ascii"/>
          <w:sz w:val="21"/>
        </w:rPr>
        <w:t>上</w:t>
      </w:r>
      <w:r>
        <w:rPr>
          <w:rFonts w:ascii="宋体" w:hAnsi="宋体" w:cs="宋体" w:eastAsia="宋体" w:hint="ascii"/>
          <w:sz w:val="21"/>
          <w:spacing w:val="3"/>
        </w:rPr>
        <w:t>占有一席</w:t>
      </w:r>
      <w:r>
        <w:rPr>
          <w:rFonts w:ascii="宋体" w:hAnsi="宋体" w:cs="宋体" w:eastAsia="宋体" w:hint="ascii"/>
          <w:sz w:val="21"/>
        </w:rPr>
        <w:t>之</w:t>
      </w:r>
      <w:r>
        <w:rPr>
          <w:rFonts w:ascii="宋体" w:hAnsi="宋体" w:cs="宋体" w:eastAsia="宋体" w:hint="ascii"/>
          <w:sz w:val="21"/>
          <w:spacing w:val="3"/>
        </w:rPr>
        <w:t>地的前瞻</w:t>
      </w:r>
      <w:r>
        <w:rPr>
          <w:rFonts w:ascii="宋体" w:hAnsi="宋体" w:cs="宋体" w:eastAsia="宋体" w:hint="ascii"/>
          <w:sz w:val="21"/>
        </w:rPr>
        <w:t>性</w:t>
      </w:r>
      <w:r>
        <w:rPr>
          <w:rFonts w:ascii="宋体" w:hAnsi="宋体" w:cs="宋体" w:eastAsia="宋体" w:hint="ascii"/>
          <w:sz w:val="21"/>
          <w:spacing w:val="3"/>
        </w:rPr>
        <w:t>研究；鼓</w:t>
      </w:r>
      <w:r>
        <w:rPr>
          <w:rFonts w:ascii="宋体" w:hAnsi="宋体" w:cs="宋体" w:eastAsia="宋体" w:hint="ascii"/>
          <w:sz w:val="21"/>
        </w:rPr>
        <w:t>励</w:t>
      </w:r>
      <w:r>
        <w:rPr>
          <w:rFonts w:ascii="宋体" w:hAnsi="宋体" w:cs="宋体" w:eastAsia="宋体" w:hint="ascii"/>
          <w:sz w:val="21"/>
          <w:spacing w:val="3"/>
        </w:rPr>
        <w:t>开</w:t>
      </w:r>
      <w:r>
        <w:rPr>
          <w:rFonts w:ascii="宋体" w:hAnsi="宋体" w:cs="宋体" w:eastAsia="宋体" w:hint="ascii"/>
          <w:sz w:val="21"/>
        </w:rPr>
        <w:t>展</w:t>
      </w:r>
      <w:r>
        <w:rPr>
          <w:rFonts w:ascii="宋体" w:hAnsi="宋体" w:cs="宋体" w:eastAsia="宋体" w:hint="ascii"/>
          <w:sz w:val="21"/>
          <w:spacing w:val="3"/>
        </w:rPr>
        <w:t>医学基础</w:t>
      </w:r>
      <w:r>
        <w:rPr>
          <w:rFonts w:ascii="宋体" w:hAnsi="宋体" w:cs="宋体" w:eastAsia="宋体" w:hint="ascii"/>
          <w:sz w:val="21"/>
        </w:rPr>
        <w:t>研</w:t>
      </w:r>
      <w:r>
        <w:rPr>
          <w:rFonts w:ascii="宋体" w:hAnsi="宋体" w:cs="宋体" w:eastAsia="宋体" w:hint="ascii"/>
          <w:sz w:val="21"/>
          <w:spacing w:val="3"/>
        </w:rPr>
        <w:t>究数据积</w:t>
      </w:r>
      <w:r>
        <w:rPr>
          <w:rFonts w:ascii="宋体" w:hAnsi="宋体" w:cs="宋体" w:eastAsia="宋体" w:hint="ascii"/>
          <w:sz w:val="21"/>
        </w:rPr>
        <w:t>累</w:t>
      </w:r>
      <w:r>
        <w:rPr>
          <w:rFonts w:ascii="宋体" w:hAnsi="宋体" w:cs="宋体" w:eastAsia="宋体" w:hint="ascii"/>
          <w:sz w:val="21"/>
          <w:spacing w:val="3"/>
        </w:rPr>
        <w:t>和医学标</w:t>
      </w:r>
      <w:r>
        <w:rPr>
          <w:rFonts w:ascii="宋体" w:hAnsi="宋体" w:cs="宋体" w:eastAsia="宋体" w:hint="ascii"/>
          <w:sz w:val="21"/>
        </w:rPr>
        <w:t>本</w:t>
      </w:r>
      <w:r>
        <w:rPr>
          <w:rFonts w:ascii="宋体" w:hAnsi="宋体" w:cs="宋体" w:eastAsia="宋体" w:hint="ascii"/>
          <w:sz w:val="21"/>
          <w:spacing w:val="3"/>
        </w:rPr>
        <w:t>的收集与</w:t>
      </w:r>
      <w:r>
        <w:rPr>
          <w:rFonts w:ascii="宋体" w:hAnsi="宋体" w:cs="宋体" w:eastAsia="宋体" w:hint="ascii"/>
          <w:sz w:val="21"/>
        </w:rPr>
        <w:t>保</w:t>
      </w:r>
      <w:r>
        <w:rPr>
          <w:rFonts w:ascii="宋体" w:hAnsi="宋体" w:cs="宋体" w:eastAsia="宋体" w:hint="ascii"/>
          <w:sz w:val="21"/>
          <w:spacing w:val="3"/>
        </w:rPr>
        <w:t>存，并在</w:t>
      </w:r>
      <w:r>
        <w:rPr>
          <w:rFonts w:ascii="宋体" w:hAnsi="宋体" w:cs="宋体" w:eastAsia="宋体" w:hint="ascii"/>
          <w:sz w:val="21"/>
        </w:rPr>
        <w:t>已</w:t>
      </w:r>
      <w:r>
        <w:rPr>
          <w:rFonts w:ascii="宋体" w:hAnsi="宋体" w:cs="宋体" w:eastAsia="宋体" w:hint="ascii"/>
          <w:sz w:val="21"/>
          <w:spacing w:val="3"/>
        </w:rPr>
        <w:t>有数据和</w:t>
      </w:r>
      <w:r>
        <w:rPr>
          <w:rFonts w:ascii="宋体" w:hAnsi="宋体" w:cs="宋体" w:eastAsia="宋体" w:hint="ascii"/>
          <w:sz w:val="21"/>
        </w:rPr>
        <w:t>标</w:t>
      </w:r>
      <w:r>
        <w:rPr>
          <w:rFonts w:ascii="宋体" w:hAnsi="宋体" w:cs="宋体" w:eastAsia="宋体" w:hint="ascii"/>
          <w:sz w:val="21"/>
          <w:spacing w:val="3"/>
        </w:rPr>
        <w:t>本基础上</w:t>
      </w:r>
      <w:r>
        <w:rPr>
          <w:rFonts w:ascii="宋体" w:hAnsi="宋体" w:cs="宋体" w:eastAsia="宋体" w:hint="ascii"/>
          <w:sz w:val="21"/>
        </w:rPr>
        <w:t>开</w:t>
      </w:r>
      <w:r>
        <w:rPr>
          <w:rFonts w:ascii="宋体" w:hAnsi="宋体" w:cs="宋体" w:eastAsia="宋体" w:hint="ascii"/>
          <w:sz w:val="21"/>
          <w:spacing w:val="3"/>
        </w:rPr>
        <w:t>展</w:t>
      </w:r>
      <w:r>
        <w:rPr>
          <w:rFonts w:ascii="宋体" w:hAnsi="宋体" w:cs="宋体" w:eastAsia="宋体" w:hint="ascii"/>
          <w:sz w:val="21"/>
        </w:rPr>
        <w:t>深</w:t>
      </w:r>
      <w:r>
        <w:rPr>
          <w:rFonts w:ascii="宋体" w:hAnsi="宋体" w:cs="宋体" w:eastAsia="宋体" w:hint="ascii"/>
          <w:sz w:val="21"/>
          <w:spacing w:val="3"/>
        </w:rPr>
        <w:t>入、系统</w:t>
      </w:r>
      <w:r>
        <w:rPr>
          <w:rFonts w:ascii="宋体" w:hAnsi="宋体" w:cs="宋体" w:eastAsia="宋体" w:hint="ascii"/>
          <w:sz w:val="21"/>
        </w:rPr>
        <w:t>的</w:t>
      </w:r>
      <w:r>
        <w:rPr>
          <w:rFonts w:ascii="宋体" w:hAnsi="宋体" w:cs="宋体" w:eastAsia="宋体" w:hint="ascii"/>
          <w:sz w:val="21"/>
          <w:spacing w:val="3"/>
        </w:rPr>
        <w:t>研究；鼓</w:t>
      </w:r>
      <w:r>
        <w:rPr>
          <w:rFonts w:ascii="宋体" w:hAnsi="宋体" w:cs="宋体" w:eastAsia="宋体" w:hint="ascii"/>
          <w:sz w:val="21"/>
        </w:rPr>
        <w:t>励</w:t>
      </w:r>
      <w:r>
        <w:rPr>
          <w:rFonts w:ascii="宋体" w:hAnsi="宋体" w:cs="宋体" w:eastAsia="宋体" w:hint="ascii"/>
          <w:sz w:val="21"/>
          <w:spacing w:val="3"/>
        </w:rPr>
        <w:t>开展流行</w:t>
      </w:r>
      <w:r>
        <w:rPr>
          <w:rFonts w:ascii="宋体" w:hAnsi="宋体" w:cs="宋体" w:eastAsia="宋体" w:hint="ascii"/>
          <w:sz w:val="21"/>
        </w:rPr>
        <w:t>病</w:t>
      </w:r>
      <w:r>
        <w:rPr>
          <w:rFonts w:ascii="宋体" w:hAnsi="宋体" w:cs="宋体" w:eastAsia="宋体" w:hint="ascii"/>
          <w:sz w:val="21"/>
          <w:spacing w:val="3"/>
        </w:rPr>
        <w:t>学的队列</w:t>
      </w:r>
      <w:r>
        <w:rPr>
          <w:rFonts w:ascii="宋体" w:hAnsi="宋体" w:cs="宋体" w:eastAsia="宋体" w:hint="ascii"/>
          <w:sz w:val="21"/>
        </w:rPr>
        <w:t>研</w:t>
      </w:r>
      <w:r>
        <w:rPr>
          <w:rFonts w:ascii="宋体" w:hAnsi="宋体" w:cs="宋体" w:eastAsia="宋体" w:hint="ascii"/>
          <w:sz w:val="21"/>
          <w:spacing w:val="3"/>
        </w:rPr>
        <w:t>究；加大</w:t>
      </w:r>
      <w:r>
        <w:rPr>
          <w:rFonts w:ascii="宋体" w:hAnsi="宋体" w:cs="宋体" w:eastAsia="宋体" w:hint="ascii"/>
          <w:sz w:val="21"/>
        </w:rPr>
        <w:t>环</w:t>
      </w:r>
      <w:r>
        <w:rPr>
          <w:rFonts w:ascii="宋体" w:hAnsi="宋体" w:cs="宋体" w:eastAsia="宋体" w:hint="ascii"/>
          <w:sz w:val="21"/>
          <w:spacing w:val="3"/>
        </w:rPr>
        <w:t>境污染与</w:t>
      </w:r>
      <w:r>
        <w:rPr>
          <w:rFonts w:ascii="宋体" w:hAnsi="宋体" w:cs="宋体" w:eastAsia="宋体" w:hint="ascii"/>
          <w:sz w:val="21"/>
        </w:rPr>
        <w:t>健</w:t>
      </w:r>
      <w:r>
        <w:rPr>
          <w:rFonts w:ascii="宋体" w:hAnsi="宋体" w:cs="宋体" w:eastAsia="宋体" w:hint="ascii"/>
          <w:sz w:val="21"/>
          <w:spacing w:val="3"/>
        </w:rPr>
        <w:t>康领域的</w:t>
      </w:r>
      <w:r>
        <w:rPr>
          <w:rFonts w:ascii="宋体" w:hAnsi="宋体" w:cs="宋体" w:eastAsia="宋体" w:hint="ascii"/>
          <w:sz w:val="21"/>
        </w:rPr>
        <w:t>研</w:t>
      </w:r>
      <w:r>
        <w:rPr>
          <w:rFonts w:ascii="宋体" w:hAnsi="宋体" w:cs="宋体" w:eastAsia="宋体" w:hint="ascii"/>
          <w:sz w:val="21"/>
          <w:spacing w:val="3"/>
        </w:rPr>
        <w:t>究</w:t>
      </w:r>
      <w:r>
        <w:rPr>
          <w:rFonts w:ascii="宋体" w:hAnsi="宋体" w:cs="宋体" w:eastAsia="宋体" w:hint="ascii"/>
          <w:sz w:val="21"/>
        </w:rPr>
        <w:t>的支持力度。</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本科学处皮肤及其附属器领域（</w:t>
      </w:r>
      <w:r>
        <w:rPr>
          <w:rFonts w:ascii="Times New Roman" w:hAnsi="Times New Roman" w:cs="Times New Roman" w:eastAsia="Times New Roman" w:hint="ascii"/>
          <w:b w:val="1"/>
          <w:sz w:val="21"/>
        </w:rPr>
        <w:t>H</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w:t>
      </w:r>
      <w:r>
        <w:rPr>
          <w:rFonts w:ascii="宋体" w:hAnsi="宋体" w:cs="宋体" w:eastAsia="宋体" w:hint="ascii"/>
          <w:sz w:val="21"/>
        </w:rPr>
        <w:t>）不受理肿瘤项目，相关研究请选择医学科学</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七处（</w:t>
      </w:r>
      <w:r>
        <w:rPr>
          <w:rFonts w:ascii="Times New Roman" w:hAnsi="Times New Roman" w:cs="Times New Roman" w:eastAsia="Times New Roman" w:hint="ascii"/>
          <w:b w:val="1"/>
          <w:sz w:val="21"/>
        </w:rPr>
        <w:t>H16</w:t>
      </w:r>
      <w:r>
        <w:rPr>
          <w:rFonts w:ascii="宋体" w:hAnsi="宋体" w:cs="宋体" w:eastAsia="宋体" w:hint="ascii"/>
          <w:sz w:val="21"/>
        </w:rPr>
        <w:t>）相应申请代码；不受理性病项目，相关研究请选择医学科学六处（</w:t>
      </w:r>
      <w:r>
        <w:rPr>
          <w:rFonts w:ascii="Times New Roman" w:hAnsi="Times New Roman" w:cs="Times New Roman" w:eastAsia="Times New Roman" w:hint="ascii"/>
          <w:b w:val="1"/>
          <w:sz w:val="21"/>
        </w:rPr>
        <w:t>H19</w:t>
      </w:r>
      <w:r>
        <w:rPr>
          <w:rFonts w:ascii="宋体" w:hAnsi="宋体" w:cs="宋体" w:eastAsia="宋体" w:hint="ascii"/>
          <w:sz w:val="21"/>
        </w:rPr>
        <w:t>）</w:t>
      </w:r>
      <w:r>
        <w:rPr>
          <w:rFonts w:ascii="宋体" w:hAnsi="宋体" w:cs="宋体" w:eastAsia="宋体" w:hint="ascii"/>
          <w:sz w:val="21"/>
          <w:spacing w:val="9"/>
        </w:rPr>
        <w:t>相</w:t>
      </w:r>
      <w:r>
        <w:rPr>
          <w:rFonts w:ascii="宋体" w:hAnsi="宋体" w:cs="宋体" w:eastAsia="宋体" w:hint="ascii"/>
          <w:sz w:val="21"/>
          <w:spacing w:val="10"/>
        </w:rPr>
        <w:t>应申请代码</w:t>
      </w:r>
      <w:r>
        <w:rPr>
          <w:rFonts w:ascii="宋体" w:hAnsi="宋体" w:cs="宋体" w:eastAsia="宋体" w:hint="ascii"/>
          <w:b w:val="1"/>
          <w:sz w:val="21"/>
          <w:spacing w:val="11"/>
        </w:rPr>
        <w:t>。</w:t>
      </w:r>
      <w:r>
        <w:rPr>
          <w:rFonts w:ascii="宋体" w:hAnsi="宋体" w:cs="宋体" w:eastAsia="宋体" w:hint="ascii"/>
          <w:sz w:val="21"/>
          <w:spacing w:val="10"/>
        </w:rPr>
        <w:t>放射医学</w:t>
      </w:r>
      <w:r>
        <w:rPr>
          <w:rFonts w:ascii="宋体" w:hAnsi="宋体" w:cs="宋体" w:eastAsia="宋体" w:hint="ascii"/>
          <w:sz w:val="21"/>
          <w:spacing w:val="11"/>
        </w:rPr>
        <w:t>（</w:t>
      </w:r>
      <w:r>
        <w:rPr>
          <w:rFonts w:ascii="Times New Roman" w:hAnsi="Times New Roman" w:cs="Times New Roman" w:eastAsia="Times New Roman" w:hint="ascii"/>
          <w:b w:val="1"/>
          <w:sz w:val="21"/>
        </w:rPr>
        <w:t>H2</w:t>
      </w:r>
      <w:r>
        <w:rPr>
          <w:rFonts w:ascii="Times New Roman" w:hAnsi="Times New Roman" w:cs="Times New Roman" w:eastAsia="Times New Roman" w:hint="ascii"/>
          <w:b w:val="1"/>
          <w:sz w:val="21"/>
          <w:spacing w:val="20"/>
        </w:rPr>
        <w:t>2</w:t>
      </w:r>
      <w:r>
        <w:rPr>
          <w:rFonts w:ascii="宋体" w:hAnsi="宋体" w:cs="宋体" w:eastAsia="宋体" w:hint="ascii"/>
          <w:sz w:val="21"/>
          <w:spacing w:val="10"/>
        </w:rPr>
        <w:t>）不受理肿瘤项目，相关项目请在医学科</w:t>
      </w:r>
      <w:r>
        <w:rPr>
          <w:rFonts w:ascii="宋体" w:hAnsi="宋体" w:cs="宋体" w:eastAsia="宋体" w:hint="ascii"/>
          <w:sz w:val="21"/>
          <w:spacing w:val="11"/>
        </w:rPr>
        <w:t>学七</w:t>
      </w:r>
      <w:r>
        <w:rPr>
          <w:rFonts w:ascii="宋体" w:hAnsi="宋体" w:cs="宋体" w:eastAsia="宋体" w:hint="ascii"/>
          <w:sz w:val="21"/>
        </w:rPr>
        <w:t>处</w:t>
      </w:r>
    </w:p>
    <w:p>
      <w:pPr>
        <w:autoSpaceDE w:val="0"/>
        <w:autoSpaceDN w:val="0"/>
        <w:jc w:val="right"/>
        <w:spacing w:before="0" w:after="0" w:lineRule="exact" w:line="312"/>
        <w:ind w:right="962" w:left="861" w:firstLine="0"/>
        <w:snapToGrid w:val="0"/>
        <w:textAlignment w:val="auto"/>
        <w:tabs/>
        <w:rPr>
          <w:rFonts w:ascii="宋体" w:hAnsi="宋体" w:cs="宋体" w:eastAsia="宋体" w:hint="ascii"/>
          <w:sz w:val="21"/>
        </w:rPr>
      </w:pPr>
      <w:r>
        <w:rPr>
          <w:rFonts w:ascii="宋体" w:hAnsi="宋体" w:cs="宋体" w:eastAsia="宋体" w:hint="ascii"/>
          <w:sz w:val="21"/>
          <w:spacing w:val="3"/>
        </w:rPr>
        <w:t>（</w:t>
      </w:r>
      <w:r>
        <w:rPr>
          <w:rFonts w:ascii="Times New Roman" w:hAnsi="Times New Roman" w:cs="Times New Roman" w:eastAsia="Times New Roman" w:hint="ascii"/>
          <w:b w:val="1"/>
          <w:sz w:val="21"/>
        </w:rPr>
        <w:t>H1</w:t>
      </w:r>
      <w:r>
        <w:rPr>
          <w:rFonts w:ascii="Times New Roman" w:hAnsi="Times New Roman" w:cs="Times New Roman" w:eastAsia="Times New Roman" w:hint="ascii"/>
          <w:b w:val="1"/>
          <w:sz w:val="21"/>
          <w:spacing w:val="5"/>
        </w:rPr>
        <w:t>6</w:t>
      </w:r>
      <w:r>
        <w:rPr>
          <w:rFonts w:ascii="宋体" w:hAnsi="宋体" w:cs="宋体" w:eastAsia="宋体" w:hint="ascii"/>
          <w:sz w:val="21"/>
          <w:spacing w:val="3"/>
        </w:rPr>
        <w:t>）申</w:t>
      </w:r>
      <w:r>
        <w:rPr>
          <w:rFonts w:ascii="宋体" w:hAnsi="宋体" w:cs="宋体" w:eastAsia="宋体" w:hint="ascii"/>
          <w:sz w:val="21"/>
        </w:rPr>
        <w:t>请</w:t>
      </w:r>
      <w:r>
        <w:rPr>
          <w:rFonts w:ascii="宋体" w:hAnsi="宋体" w:cs="宋体" w:eastAsia="宋体" w:hint="ascii"/>
          <w:sz w:val="21"/>
          <w:spacing w:val="3"/>
        </w:rPr>
        <w:t>；不受理</w:t>
      </w:r>
      <w:r>
        <w:rPr>
          <w:rFonts w:ascii="宋体" w:hAnsi="宋体" w:cs="宋体" w:eastAsia="宋体" w:hint="ascii"/>
          <w:sz w:val="21"/>
        </w:rPr>
        <w:t>放</w:t>
      </w:r>
      <w:r>
        <w:rPr>
          <w:rFonts w:ascii="宋体" w:hAnsi="宋体" w:cs="宋体" w:eastAsia="宋体" w:hint="ascii"/>
          <w:sz w:val="21"/>
          <w:spacing w:val="3"/>
        </w:rPr>
        <w:t>射诊断和</w:t>
      </w:r>
      <w:r>
        <w:rPr>
          <w:rFonts w:ascii="宋体" w:hAnsi="宋体" w:cs="宋体" w:eastAsia="宋体" w:hint="ascii"/>
          <w:sz w:val="21"/>
        </w:rPr>
        <w:t>影</w:t>
      </w:r>
      <w:r>
        <w:rPr>
          <w:rFonts w:ascii="宋体" w:hAnsi="宋体" w:cs="宋体" w:eastAsia="宋体" w:hint="ascii"/>
          <w:sz w:val="21"/>
          <w:spacing w:val="3"/>
        </w:rPr>
        <w:t>像学项目</w:t>
      </w:r>
      <w:r>
        <w:rPr>
          <w:rFonts w:ascii="宋体" w:hAnsi="宋体" w:cs="宋体" w:eastAsia="宋体" w:hint="ascii"/>
          <w:sz w:val="21"/>
        </w:rPr>
        <w:t>，</w:t>
      </w:r>
      <w:r>
        <w:rPr>
          <w:rFonts w:ascii="宋体" w:hAnsi="宋体" w:cs="宋体" w:eastAsia="宋体" w:hint="ascii"/>
          <w:sz w:val="21"/>
          <w:spacing w:val="3"/>
        </w:rPr>
        <w:t>相关项目</w:t>
      </w:r>
      <w:r>
        <w:rPr>
          <w:rFonts w:ascii="宋体" w:hAnsi="宋体" w:cs="宋体" w:eastAsia="宋体" w:hint="ascii"/>
          <w:sz w:val="21"/>
        </w:rPr>
        <w:t>请</w:t>
      </w:r>
      <w:r>
        <w:rPr>
          <w:rFonts w:ascii="宋体" w:hAnsi="宋体" w:cs="宋体" w:eastAsia="宋体" w:hint="ascii"/>
          <w:sz w:val="21"/>
          <w:spacing w:val="3"/>
        </w:rPr>
        <w:t>在医学科</w:t>
      </w:r>
      <w:r>
        <w:rPr>
          <w:rFonts w:ascii="宋体" w:hAnsi="宋体" w:cs="宋体" w:eastAsia="宋体" w:hint="ascii"/>
          <w:sz w:val="21"/>
        </w:rPr>
        <w:t>学</w:t>
      </w:r>
      <w:r>
        <w:rPr>
          <w:rFonts w:ascii="宋体" w:hAnsi="宋体" w:cs="宋体" w:eastAsia="宋体" w:hint="ascii"/>
          <w:sz w:val="21"/>
          <w:spacing w:val="3"/>
        </w:rPr>
        <w:t>五处（</w:t>
      </w:r>
      <w:r>
        <w:rPr>
          <w:rFonts w:ascii="Times New Roman" w:hAnsi="Times New Roman" w:cs="Times New Roman" w:eastAsia="Times New Roman" w:hint="ascii"/>
          <w:b w:val="1"/>
          <w:sz w:val="21"/>
        </w:rPr>
        <w:t>H1</w:t>
      </w:r>
      <w:r>
        <w:rPr>
          <w:rFonts w:ascii="Times New Roman" w:hAnsi="Times New Roman" w:cs="Times New Roman" w:eastAsia="Times New Roman" w:hint="ascii"/>
          <w:b w:val="1"/>
          <w:sz w:val="21"/>
          <w:spacing w:val="5"/>
        </w:rPr>
        <w:t>8</w:t>
      </w:r>
      <w:r>
        <w:rPr>
          <w:rFonts w:ascii="宋体" w:hAnsi="宋体" w:cs="宋体" w:eastAsia="宋体" w:hint="ascii"/>
          <w:sz w:val="21"/>
          <w:spacing w:val="3"/>
        </w:rPr>
        <w:t>）</w:t>
      </w:r>
      <w:r>
        <w:rPr>
          <w:rFonts w:ascii="宋体" w:hAnsi="宋体" w:cs="宋体" w:eastAsia="宋体" w:hint="ascii"/>
          <w:sz w:val="21"/>
        </w:rPr>
        <w:t>申请</w:t>
      </w:r>
      <w:r>
        <w:rPr>
          <w:rFonts w:ascii="宋体" w:hAnsi="宋体" w:cs="宋体" w:eastAsia="宋体" w:hint="ascii"/>
          <w:b w:val="1"/>
          <w:sz w:val="21"/>
        </w:rPr>
        <w:t>。</w:t>
      </w:r>
      <w:r>
        <w:rPr>
          <w:rFonts w:ascii="宋体" w:hAnsi="宋体" w:cs="宋体" w:eastAsia="宋体" w:hint="ascii"/>
          <w:sz w:val="21"/>
        </w:rPr>
        <w:t>地方病学（</w:t>
      </w:r>
      <w:r>
        <w:rPr>
          <w:rFonts w:ascii="Times New Roman" w:hAnsi="Times New Roman" w:cs="Times New Roman" w:eastAsia="Times New Roman" w:hint="ascii"/>
          <w:b w:val="1"/>
          <w:sz w:val="21"/>
        </w:rPr>
        <w:t>H2401</w:t>
      </w:r>
      <w:r>
        <w:rPr>
          <w:rFonts w:ascii="宋体" w:hAnsi="宋体" w:cs="宋体" w:eastAsia="宋体" w:hint="ascii"/>
          <w:sz w:val="21"/>
        </w:rPr>
        <w:t>）不受理不具地域特征的遗传性疾病项目，相关项目请根据其系统选择相关系统申请代码</w:t>
      </w:r>
      <w:r>
        <w:rPr>
          <w:rFonts w:ascii="宋体" w:hAnsi="宋体" w:cs="宋体" w:eastAsia="宋体" w:hint="ascii"/>
          <w:b w:val="1"/>
          <w:sz w:val="21"/>
        </w:rPr>
        <w:t>。</w:t>
      </w:r>
      <w:r>
        <w:rPr>
          <w:rFonts w:ascii="宋体" w:hAnsi="宋体" w:cs="宋体" w:eastAsia="宋体" w:hint="ascii"/>
          <w:sz w:val="21"/>
        </w:rPr>
        <w:t>食品卫生（</w:t>
      </w:r>
      <w:r>
        <w:rPr>
          <w:rFonts w:ascii="Times New Roman" w:hAnsi="Times New Roman" w:cs="Times New Roman" w:eastAsia="Times New Roman" w:hint="ascii"/>
          <w:b w:val="1"/>
          <w:sz w:val="21"/>
        </w:rPr>
        <w:t>H2604</w:t>
      </w:r>
      <w:r>
        <w:rPr>
          <w:rFonts w:ascii="宋体" w:hAnsi="宋体" w:cs="宋体" w:eastAsia="宋体" w:hint="ascii"/>
          <w:sz w:val="21"/>
        </w:rPr>
        <w:t>）不受理单纯的食品加工申请，相关项目请选择生命科学部申请代码</w:t>
      </w:r>
      <w:r>
        <w:rPr>
          <w:rFonts w:ascii="宋体" w:hAnsi="宋体" w:cs="宋体" w:eastAsia="宋体" w:hint="ascii"/>
          <w:b w:val="1"/>
          <w:sz w:val="21"/>
        </w:rPr>
        <w:t>。</w:t>
      </w:r>
      <w:r>
        <w:rPr>
          <w:rFonts w:ascii="宋体" w:hAnsi="宋体" w:cs="宋体" w:eastAsia="宋体" w:hint="ascii"/>
          <w:sz w:val="21"/>
        </w:rPr>
        <w:t>妇幼保健（</w:t>
      </w:r>
      <w:r>
        <w:rPr>
          <w:rFonts w:ascii="Times New Roman" w:hAnsi="Times New Roman" w:cs="Times New Roman" w:eastAsia="Times New Roman" w:hint="ascii"/>
          <w:b w:val="1"/>
          <w:sz w:val="21"/>
        </w:rPr>
        <w:t>H2605</w:t>
      </w:r>
      <w:r>
        <w:rPr>
          <w:rFonts w:ascii="宋体" w:hAnsi="宋体" w:cs="宋体" w:eastAsia="宋体" w:hint="ascii"/>
          <w:sz w:val="21"/>
        </w:rPr>
        <w:t>）和儿童少年卫生（</w:t>
      </w:r>
      <w:r>
        <w:rPr>
          <w:rFonts w:ascii="Times New Roman" w:hAnsi="Times New Roman" w:cs="Times New Roman" w:eastAsia="Times New Roman" w:hint="ascii"/>
          <w:b w:val="1"/>
          <w:sz w:val="21"/>
        </w:rPr>
        <w:t>H2606</w:t>
      </w:r>
      <w:r>
        <w:rPr>
          <w:rFonts w:ascii="宋体" w:hAnsi="宋体" w:cs="宋体" w:eastAsia="宋体" w:hint="ascii"/>
          <w:sz w:val="21"/>
        </w:rPr>
        <w:t>）不受理妇</w:t>
      </w:r>
    </w:p>
    <w:p>
      <w:pPr>
        <w:autoSpaceDE w:val="0"/>
        <w:autoSpaceDN w:val="0"/>
        <w:jc w:val="left"/>
        <w:spacing w:before="0" w:after="0" w:lineRule="exact" w:line="312"/>
        <w:ind w:right="962" w:left="861" w:firstLine="104"/>
        <w:snapToGrid w:val="0"/>
        <w:textAlignment w:val="auto"/>
        <w:tabs/>
        <w:rPr>
          <w:rFonts w:ascii="宋体" w:hAnsi="宋体" w:cs="宋体" w:eastAsia="宋体" w:hint="ascii"/>
          <w:sz w:val="21"/>
        </w:rPr>
      </w:pPr>
      <w:r>
        <w:rPr>
          <w:rFonts w:ascii="宋体" w:hAnsi="宋体" w:cs="宋体" w:eastAsia="宋体" w:hint="ascii"/>
          <w:sz w:val="21"/>
          <w:spacing w:val="9"/>
        </w:rPr>
        <w:t>产</w:t>
      </w:r>
      <w:r>
        <w:rPr>
          <w:rFonts w:ascii="宋体" w:hAnsi="宋体" w:cs="宋体" w:eastAsia="宋体" w:hint="ascii"/>
          <w:sz w:val="21"/>
          <w:spacing w:val="8"/>
        </w:rPr>
        <w:t>科</w:t>
      </w:r>
      <w:r>
        <w:rPr>
          <w:rFonts w:ascii="宋体" w:hAnsi="宋体" w:cs="宋体" w:eastAsia="宋体" w:hint="ascii"/>
          <w:sz w:val="21"/>
          <w:spacing w:val="9"/>
        </w:rPr>
        <w:t>疾</w:t>
      </w:r>
      <w:r>
        <w:rPr>
          <w:rFonts w:ascii="宋体" w:hAnsi="宋体" w:cs="宋体" w:eastAsia="宋体" w:hint="ascii"/>
          <w:sz w:val="21"/>
          <w:spacing w:val="8"/>
        </w:rPr>
        <w:t>病</w:t>
      </w:r>
      <w:r>
        <w:rPr>
          <w:rFonts w:ascii="宋体" w:hAnsi="宋体" w:cs="宋体" w:eastAsia="宋体" w:hint="ascii"/>
          <w:sz w:val="21"/>
          <w:spacing w:val="9"/>
        </w:rPr>
        <w:t>及</w:t>
      </w:r>
      <w:r>
        <w:rPr>
          <w:rFonts w:ascii="宋体" w:hAnsi="宋体" w:cs="宋体" w:eastAsia="宋体" w:hint="ascii"/>
          <w:sz w:val="21"/>
          <w:spacing w:val="10"/>
        </w:rPr>
        <w:t>儿</w:t>
      </w:r>
      <w:r>
        <w:rPr>
          <w:rFonts w:ascii="宋体" w:hAnsi="宋体" w:cs="宋体" w:eastAsia="宋体" w:hint="ascii"/>
          <w:sz w:val="21"/>
          <w:spacing w:val="9"/>
        </w:rPr>
        <w:t>科</w:t>
      </w:r>
      <w:r>
        <w:rPr>
          <w:rFonts w:ascii="宋体" w:hAnsi="宋体" w:cs="宋体" w:eastAsia="宋体" w:hint="ascii"/>
          <w:sz w:val="21"/>
          <w:spacing w:val="10"/>
        </w:rPr>
        <w:t>系</w:t>
      </w:r>
      <w:r>
        <w:rPr>
          <w:rFonts w:ascii="宋体" w:hAnsi="宋体" w:cs="宋体" w:eastAsia="宋体" w:hint="ascii"/>
          <w:sz w:val="21"/>
          <w:spacing w:val="9"/>
        </w:rPr>
        <w:t>统疾</w:t>
      </w:r>
      <w:r>
        <w:rPr>
          <w:rFonts w:ascii="宋体" w:hAnsi="宋体" w:cs="宋体" w:eastAsia="宋体" w:hint="ascii"/>
          <w:sz w:val="21"/>
          <w:spacing w:val="10"/>
        </w:rPr>
        <w:t>病</w:t>
      </w:r>
      <w:r>
        <w:rPr>
          <w:rFonts w:ascii="宋体" w:hAnsi="宋体" w:cs="宋体" w:eastAsia="宋体" w:hint="ascii"/>
          <w:sz w:val="21"/>
          <w:spacing w:val="9"/>
        </w:rPr>
        <w:t>相</w:t>
      </w:r>
      <w:r>
        <w:rPr>
          <w:rFonts w:ascii="宋体" w:hAnsi="宋体" w:cs="宋体" w:eastAsia="宋体" w:hint="ascii"/>
          <w:sz w:val="21"/>
          <w:spacing w:val="10"/>
        </w:rPr>
        <w:t>关</w:t>
      </w:r>
      <w:r>
        <w:rPr>
          <w:rFonts w:ascii="宋体" w:hAnsi="宋体" w:cs="宋体" w:eastAsia="宋体" w:hint="ascii"/>
          <w:sz w:val="21"/>
          <w:spacing w:val="9"/>
        </w:rPr>
        <w:t>项目</w:t>
      </w:r>
      <w:r>
        <w:rPr>
          <w:rFonts w:ascii="宋体" w:hAnsi="宋体" w:cs="宋体" w:eastAsia="宋体" w:hint="ascii"/>
          <w:sz w:val="21"/>
          <w:spacing w:val="10"/>
        </w:rPr>
        <w:t>申</w:t>
      </w:r>
      <w:r>
        <w:rPr>
          <w:rFonts w:ascii="宋体" w:hAnsi="宋体" w:cs="宋体" w:eastAsia="宋体" w:hint="ascii"/>
          <w:sz w:val="21"/>
          <w:spacing w:val="9"/>
        </w:rPr>
        <w:t>请</w:t>
      </w:r>
      <w:r>
        <w:rPr>
          <w:rFonts w:ascii="宋体" w:hAnsi="宋体" w:cs="宋体" w:eastAsia="宋体" w:hint="ascii"/>
          <w:sz w:val="21"/>
          <w:spacing w:val="10"/>
        </w:rPr>
        <w:t>，</w:t>
      </w:r>
      <w:r>
        <w:rPr>
          <w:rFonts w:ascii="宋体" w:hAnsi="宋体" w:cs="宋体" w:eastAsia="宋体" w:hint="ascii"/>
          <w:sz w:val="21"/>
          <w:spacing w:val="9"/>
        </w:rPr>
        <w:t>其中</w:t>
      </w:r>
      <w:r>
        <w:rPr>
          <w:rFonts w:ascii="宋体" w:hAnsi="宋体" w:cs="宋体" w:eastAsia="宋体" w:hint="ascii"/>
          <w:sz w:val="21"/>
          <w:spacing w:val="10"/>
        </w:rPr>
        <w:t>妇</w:t>
      </w:r>
      <w:r>
        <w:rPr>
          <w:rFonts w:ascii="宋体" w:hAnsi="宋体" w:cs="宋体" w:eastAsia="宋体" w:hint="ascii"/>
          <w:sz w:val="21"/>
          <w:spacing w:val="9"/>
        </w:rPr>
        <w:t>产</w:t>
      </w:r>
      <w:r>
        <w:rPr>
          <w:rFonts w:ascii="宋体" w:hAnsi="宋体" w:cs="宋体" w:eastAsia="宋体" w:hint="ascii"/>
          <w:sz w:val="21"/>
          <w:spacing w:val="10"/>
        </w:rPr>
        <w:t>科</w:t>
      </w:r>
      <w:r>
        <w:rPr>
          <w:rFonts w:ascii="宋体" w:hAnsi="宋体" w:cs="宋体" w:eastAsia="宋体" w:hint="ascii"/>
          <w:sz w:val="21"/>
          <w:spacing w:val="9"/>
        </w:rPr>
        <w:t>疾病</w:t>
      </w:r>
      <w:r>
        <w:rPr>
          <w:rFonts w:ascii="宋体" w:hAnsi="宋体" w:cs="宋体" w:eastAsia="宋体" w:hint="ascii"/>
          <w:sz w:val="21"/>
          <w:spacing w:val="10"/>
        </w:rPr>
        <w:t>项</w:t>
      </w:r>
      <w:r>
        <w:rPr>
          <w:rFonts w:ascii="宋体" w:hAnsi="宋体" w:cs="宋体" w:eastAsia="宋体" w:hint="ascii"/>
          <w:sz w:val="21"/>
          <w:spacing w:val="9"/>
        </w:rPr>
        <w:t>目</w:t>
      </w:r>
      <w:r>
        <w:rPr>
          <w:rFonts w:ascii="宋体" w:hAnsi="宋体" w:cs="宋体" w:eastAsia="宋体" w:hint="ascii"/>
          <w:sz w:val="21"/>
          <w:spacing w:val="10"/>
        </w:rPr>
        <w:t>请</w:t>
      </w:r>
      <w:r>
        <w:rPr>
          <w:rFonts w:ascii="宋体" w:hAnsi="宋体" w:cs="宋体" w:eastAsia="宋体" w:hint="ascii"/>
          <w:sz w:val="21"/>
          <w:spacing w:val="9"/>
        </w:rPr>
        <w:t>在医</w:t>
      </w:r>
      <w:r>
        <w:rPr>
          <w:rFonts w:ascii="宋体" w:hAnsi="宋体" w:cs="宋体" w:eastAsia="宋体" w:hint="ascii"/>
          <w:sz w:val="21"/>
          <w:spacing w:val="10"/>
        </w:rPr>
        <w:t>学</w:t>
      </w:r>
      <w:r>
        <w:rPr>
          <w:rFonts w:ascii="宋体" w:hAnsi="宋体" w:cs="宋体" w:eastAsia="宋体" w:hint="ascii"/>
          <w:sz w:val="21"/>
          <w:spacing w:val="9"/>
        </w:rPr>
        <w:t>科</w:t>
      </w:r>
      <w:r>
        <w:rPr>
          <w:rFonts w:ascii="宋体" w:hAnsi="宋体" w:cs="宋体" w:eastAsia="宋体" w:hint="ascii"/>
          <w:sz w:val="21"/>
          <w:spacing w:val="10"/>
        </w:rPr>
        <w:t>学四</w:t>
      </w:r>
      <w:r>
        <w:rPr>
          <w:rFonts w:ascii="宋体" w:hAnsi="宋体" w:cs="宋体" w:eastAsia="宋体" w:hint="ascii"/>
          <w:sz w:val="21"/>
        </w:rPr>
        <w:t>处</w:t>
      </w:r>
      <w:r>
        <w:rPr>
          <w:rFonts w:ascii="宋体" w:hAnsi="宋体" w:cs="宋体" w:eastAsia="宋体" w:hint="ascii"/>
          <w:sz w:val="21"/>
          <w:spacing w:val="15"/>
        </w:rPr>
        <w:t>（</w:t>
      </w:r>
      <w:r>
        <w:rPr>
          <w:rFonts w:ascii="Times New Roman" w:hAnsi="Times New Roman" w:cs="Times New Roman" w:eastAsia="Times New Roman" w:hint="ascii"/>
          <w:b w:val="1"/>
          <w:sz w:val="21"/>
          <w:spacing w:val="-1"/>
        </w:rPr>
        <w:t>H0</w:t>
      </w:r>
      <w:r>
        <w:rPr>
          <w:rFonts w:ascii="Times New Roman" w:hAnsi="Times New Roman" w:cs="Times New Roman" w:eastAsia="Times New Roman" w:hint="ascii"/>
          <w:b w:val="1"/>
          <w:sz w:val="21"/>
          <w:spacing w:val="30"/>
        </w:rPr>
        <w:t>4</w:t>
      </w:r>
      <w:r>
        <w:rPr>
          <w:rFonts w:ascii="宋体" w:hAnsi="宋体" w:cs="宋体" w:eastAsia="宋体" w:hint="ascii"/>
          <w:sz w:val="21"/>
          <w:spacing w:val="15"/>
        </w:rPr>
        <w:t>）申请，儿科疾</w:t>
      </w:r>
      <w:r>
        <w:rPr>
          <w:rFonts w:ascii="宋体" w:hAnsi="宋体" w:cs="宋体" w:eastAsia="宋体" w:hint="ascii"/>
          <w:sz w:val="21"/>
          <w:spacing w:val="16"/>
        </w:rPr>
        <w:t>病项目请</w:t>
      </w:r>
      <w:r>
        <w:rPr>
          <w:rFonts w:ascii="宋体" w:hAnsi="宋体" w:cs="宋体" w:eastAsia="宋体" w:hint="ascii"/>
          <w:sz w:val="21"/>
          <w:spacing w:val="15"/>
        </w:rPr>
        <w:t>根</w:t>
      </w:r>
      <w:r>
        <w:rPr>
          <w:rFonts w:ascii="宋体" w:hAnsi="宋体" w:cs="宋体" w:eastAsia="宋体" w:hint="ascii"/>
          <w:sz w:val="21"/>
          <w:spacing w:val="16"/>
        </w:rPr>
        <w:t>据其系统</w:t>
      </w:r>
      <w:r>
        <w:rPr>
          <w:rFonts w:ascii="宋体" w:hAnsi="宋体" w:cs="宋体" w:eastAsia="宋体" w:hint="ascii"/>
          <w:sz w:val="21"/>
          <w:spacing w:val="15"/>
        </w:rPr>
        <w:t>选</w:t>
      </w:r>
      <w:r>
        <w:rPr>
          <w:rFonts w:ascii="宋体" w:hAnsi="宋体" w:cs="宋体" w:eastAsia="宋体" w:hint="ascii"/>
          <w:sz w:val="21"/>
          <w:spacing w:val="16"/>
        </w:rPr>
        <w:t>择相应的</w:t>
      </w:r>
      <w:r>
        <w:rPr>
          <w:rFonts w:ascii="宋体" w:hAnsi="宋体" w:cs="宋体" w:eastAsia="宋体" w:hint="ascii"/>
          <w:sz w:val="21"/>
          <w:spacing w:val="15"/>
        </w:rPr>
        <w:t>申</w:t>
      </w:r>
      <w:r>
        <w:rPr>
          <w:rFonts w:ascii="宋体" w:hAnsi="宋体" w:cs="宋体" w:eastAsia="宋体" w:hint="ascii"/>
          <w:sz w:val="21"/>
          <w:spacing w:val="16"/>
        </w:rPr>
        <w:t>请代码</w:t>
      </w:r>
      <w:r>
        <w:rPr>
          <w:rFonts w:ascii="宋体" w:hAnsi="宋体" w:cs="宋体" w:eastAsia="宋体" w:hint="ascii"/>
          <w:b w:val="1"/>
          <w:sz w:val="21"/>
          <w:spacing w:val="16"/>
        </w:rPr>
        <w:t>。</w:t>
      </w:r>
      <w:r>
        <w:rPr>
          <w:rFonts w:ascii="宋体" w:hAnsi="宋体" w:cs="宋体" w:eastAsia="宋体" w:hint="ascii"/>
          <w:sz w:val="21"/>
          <w:spacing w:val="15"/>
        </w:rPr>
        <w:t>卫</w:t>
      </w:r>
      <w:r>
        <w:rPr>
          <w:rFonts w:ascii="宋体" w:hAnsi="宋体" w:cs="宋体" w:eastAsia="宋体" w:hint="ascii"/>
          <w:sz w:val="21"/>
          <w:spacing w:val="16"/>
        </w:rPr>
        <w:t>生毒理</w:t>
      </w:r>
      <w:r>
        <w:rPr>
          <w:rFonts w:ascii="宋体" w:hAnsi="宋体" w:cs="宋体" w:eastAsia="宋体" w:hint="ascii"/>
          <w:sz w:val="21"/>
        </w:rPr>
        <w:t>学</w:t>
      </w:r>
      <w:r>
        <w:rPr>
          <w:rFonts w:ascii="宋体" w:hAnsi="宋体" w:cs="宋体" w:eastAsia="宋体" w:hint="ascii"/>
          <w:sz w:val="21"/>
          <w:spacing w:val="3"/>
        </w:rPr>
        <w:t>（</w:t>
      </w:r>
      <w:r>
        <w:rPr>
          <w:rFonts w:ascii="Times New Roman" w:hAnsi="Times New Roman" w:cs="Times New Roman" w:eastAsia="Times New Roman" w:hint="ascii"/>
          <w:b w:val="1"/>
          <w:sz w:val="21"/>
        </w:rPr>
        <w:t>H260</w:t>
      </w:r>
      <w:r>
        <w:rPr>
          <w:rFonts w:ascii="Times New Roman" w:hAnsi="Times New Roman" w:cs="Times New Roman" w:eastAsia="Times New Roman" w:hint="ascii"/>
          <w:b w:val="1"/>
          <w:sz w:val="21"/>
          <w:spacing w:val="5"/>
        </w:rPr>
        <w:t>7</w:t>
      </w:r>
      <w:r>
        <w:rPr>
          <w:rFonts w:ascii="宋体" w:hAnsi="宋体" w:cs="宋体" w:eastAsia="宋体" w:hint="ascii"/>
          <w:sz w:val="21"/>
          <w:spacing w:val="3"/>
        </w:rPr>
        <w:t>）不受理药物</w:t>
      </w:r>
      <w:r>
        <w:rPr>
          <w:rFonts w:ascii="宋体" w:hAnsi="宋体" w:cs="宋体" w:eastAsia="宋体" w:hint="ascii"/>
          <w:sz w:val="21"/>
        </w:rPr>
        <w:t>毒</w:t>
      </w:r>
      <w:r>
        <w:rPr>
          <w:rFonts w:ascii="宋体" w:hAnsi="宋体" w:cs="宋体" w:eastAsia="宋体" w:hint="ascii"/>
          <w:sz w:val="21"/>
          <w:spacing w:val="3"/>
        </w:rPr>
        <w:t>理项目，</w:t>
      </w:r>
      <w:r>
        <w:rPr>
          <w:rFonts w:ascii="宋体" w:hAnsi="宋体" w:cs="宋体" w:eastAsia="宋体" w:hint="ascii"/>
          <w:sz w:val="21"/>
        </w:rPr>
        <w:t>相</w:t>
      </w:r>
      <w:r>
        <w:rPr>
          <w:rFonts w:ascii="宋体" w:hAnsi="宋体" w:cs="宋体" w:eastAsia="宋体" w:hint="ascii"/>
          <w:sz w:val="21"/>
          <w:spacing w:val="3"/>
        </w:rPr>
        <w:t>关项目请</w:t>
      </w:r>
      <w:r>
        <w:rPr>
          <w:rFonts w:ascii="宋体" w:hAnsi="宋体" w:cs="宋体" w:eastAsia="宋体" w:hint="ascii"/>
          <w:sz w:val="21"/>
        </w:rPr>
        <w:t>在</w:t>
      </w:r>
      <w:r>
        <w:rPr>
          <w:rFonts w:ascii="宋体" w:hAnsi="宋体" w:cs="宋体" w:eastAsia="宋体" w:hint="ascii"/>
          <w:sz w:val="21"/>
          <w:spacing w:val="3"/>
        </w:rPr>
        <w:t>医学科学</w:t>
      </w:r>
      <w:r>
        <w:rPr>
          <w:rFonts w:ascii="宋体" w:hAnsi="宋体" w:cs="宋体" w:eastAsia="宋体" w:hint="ascii"/>
          <w:sz w:val="21"/>
        </w:rPr>
        <w:t>九</w:t>
      </w:r>
      <w:r>
        <w:rPr>
          <w:rFonts w:ascii="宋体" w:hAnsi="宋体" w:cs="宋体" w:eastAsia="宋体" w:hint="ascii"/>
          <w:sz w:val="21"/>
          <w:spacing w:val="3"/>
        </w:rPr>
        <w:t>处</w:t>
      </w:r>
      <w:r>
        <w:rPr>
          <w:rFonts w:ascii="宋体" w:hAnsi="宋体" w:cs="宋体" w:eastAsia="宋体" w:hint="ascii"/>
          <w:sz w:val="21"/>
          <w:spacing w:val="4"/>
        </w:rPr>
        <w:t>（</w:t>
      </w:r>
      <w:r>
        <w:rPr>
          <w:rFonts w:ascii="Times New Roman" w:hAnsi="Times New Roman" w:cs="Times New Roman" w:eastAsia="Times New Roman" w:hint="ascii"/>
          <w:b w:val="1"/>
          <w:sz w:val="21"/>
        </w:rPr>
        <w:t>H3</w:t>
      </w:r>
      <w:r>
        <w:rPr>
          <w:rFonts w:ascii="Times New Roman" w:hAnsi="Times New Roman" w:cs="Times New Roman" w:eastAsia="Times New Roman" w:hint="ascii"/>
          <w:b w:val="1"/>
          <w:sz w:val="21"/>
          <w:spacing w:val="5"/>
        </w:rPr>
        <w:t>1</w:t>
      </w:r>
      <w:r>
        <w:rPr>
          <w:rFonts w:ascii="宋体" w:hAnsi="宋体" w:cs="宋体" w:eastAsia="宋体" w:hint="ascii"/>
          <w:sz w:val="21"/>
          <w:spacing w:val="3"/>
        </w:rPr>
        <w:t>）申请</w:t>
      </w:r>
      <w:r>
        <w:rPr>
          <w:rFonts w:ascii="宋体" w:hAnsi="宋体" w:cs="宋体" w:eastAsia="宋体" w:hint="ascii"/>
          <w:b w:val="1"/>
          <w:sz w:val="21"/>
          <w:spacing w:val="4"/>
        </w:rPr>
        <w:t>。</w:t>
      </w:r>
      <w:r>
        <w:rPr>
          <w:rFonts w:ascii="宋体" w:hAnsi="宋体" w:cs="宋体" w:eastAsia="宋体" w:hint="ascii"/>
          <w:sz w:val="21"/>
          <w:spacing w:val="3"/>
        </w:rPr>
        <w:t>卫</w:t>
      </w:r>
      <w:r>
        <w:rPr>
          <w:rFonts w:ascii="宋体" w:hAnsi="宋体" w:cs="宋体" w:eastAsia="宋体" w:hint="ascii"/>
          <w:sz w:val="21"/>
        </w:rPr>
        <w:t>生</w:t>
      </w:r>
      <w:r>
        <w:rPr>
          <w:rFonts w:ascii="宋体" w:hAnsi="宋体" w:cs="宋体" w:eastAsia="宋体" w:hint="ascii"/>
          <w:sz w:val="21"/>
          <w:spacing w:val="3"/>
        </w:rPr>
        <w:t>分</w:t>
      </w:r>
      <w:r>
        <w:rPr>
          <w:rFonts w:ascii="宋体" w:hAnsi="宋体" w:cs="宋体" w:eastAsia="宋体" w:hint="ascii"/>
          <w:sz w:val="21"/>
        </w:rPr>
        <w:t>析</w:t>
      </w:r>
    </w:p>
    <w:p>
      <w:pPr>
        <w:autoSpaceDE w:val="0"/>
        <w:autoSpaceDN w:val="0"/>
        <w:jc w:val="both"/>
        <w:spacing w:before="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化学（</w:t>
      </w:r>
      <w:r>
        <w:rPr>
          <w:rFonts w:ascii="Times New Roman" w:hAnsi="Times New Roman" w:cs="Times New Roman" w:eastAsia="Times New Roman" w:hint="ascii"/>
          <w:b w:val="1"/>
          <w:sz w:val="21"/>
        </w:rPr>
        <w:t>H2608</w:t>
      </w:r>
      <w:r>
        <w:rPr>
          <w:rFonts w:ascii="宋体" w:hAnsi="宋体" w:cs="宋体" w:eastAsia="宋体" w:hint="ascii"/>
          <w:sz w:val="21"/>
        </w:rPr>
        <w:t>）不受理临床检验项目，相关项目请在医学科学六处（</w:t>
      </w:r>
      <w:r>
        <w:rPr>
          <w:rFonts w:ascii="Times New Roman" w:hAnsi="Times New Roman" w:cs="Times New Roman" w:eastAsia="Times New Roman" w:hint="ascii"/>
          <w:b w:val="1"/>
          <w:sz w:val="21"/>
        </w:rPr>
        <w:t>H20</w:t>
      </w:r>
      <w:r>
        <w:rPr>
          <w:rFonts w:ascii="宋体" w:hAnsi="宋体" w:cs="宋体" w:eastAsia="宋体" w:hint="ascii"/>
          <w:sz w:val="21"/>
        </w:rPr>
        <w:t>）申请；不受</w:t>
      </w:r>
      <w:r>
        <w:rPr>
          <w:rFonts w:ascii="宋体" w:hAnsi="宋体" w:cs="宋体" w:eastAsia="宋体" w:hint="ascii"/>
          <w:sz w:val="21"/>
          <w:spacing w:val="18"/>
        </w:rPr>
        <w:t>理</w:t>
      </w:r>
      <w:r>
        <w:rPr>
          <w:rFonts w:ascii="宋体" w:hAnsi="宋体" w:cs="宋体" w:eastAsia="宋体" w:hint="ascii"/>
          <w:sz w:val="21"/>
          <w:spacing w:val="17"/>
        </w:rPr>
        <w:t>药</w:t>
      </w:r>
      <w:r>
        <w:rPr>
          <w:rFonts w:ascii="宋体" w:hAnsi="宋体" w:cs="宋体" w:eastAsia="宋体" w:hint="ascii"/>
          <w:sz w:val="21"/>
          <w:spacing w:val="18"/>
        </w:rPr>
        <w:t>物</w:t>
      </w:r>
      <w:r>
        <w:rPr>
          <w:rFonts w:ascii="宋体" w:hAnsi="宋体" w:cs="宋体" w:eastAsia="宋体" w:hint="ascii"/>
          <w:sz w:val="21"/>
          <w:spacing w:val="17"/>
        </w:rPr>
        <w:t>分析</w:t>
      </w:r>
      <w:r>
        <w:rPr>
          <w:rFonts w:ascii="宋体" w:hAnsi="宋体" w:cs="宋体" w:eastAsia="宋体" w:hint="ascii"/>
          <w:sz w:val="21"/>
          <w:spacing w:val="18"/>
        </w:rPr>
        <w:t>检</w:t>
      </w:r>
      <w:r>
        <w:rPr>
          <w:rFonts w:ascii="宋体" w:hAnsi="宋体" w:cs="宋体" w:eastAsia="宋体" w:hint="ascii"/>
          <w:sz w:val="21"/>
          <w:spacing w:val="17"/>
        </w:rPr>
        <w:t>测</w:t>
      </w:r>
      <w:r>
        <w:rPr>
          <w:rFonts w:ascii="宋体" w:hAnsi="宋体" w:cs="宋体" w:eastAsia="宋体" w:hint="ascii"/>
          <w:sz w:val="21"/>
          <w:spacing w:val="18"/>
        </w:rPr>
        <w:t>项</w:t>
      </w:r>
      <w:r>
        <w:rPr>
          <w:rFonts w:ascii="宋体" w:hAnsi="宋体" w:cs="宋体" w:eastAsia="宋体" w:hint="ascii"/>
          <w:sz w:val="21"/>
          <w:spacing w:val="17"/>
        </w:rPr>
        <w:t>目，</w:t>
      </w:r>
      <w:r>
        <w:rPr>
          <w:rFonts w:ascii="宋体" w:hAnsi="宋体" w:cs="宋体" w:eastAsia="宋体" w:hint="ascii"/>
          <w:sz w:val="21"/>
          <w:spacing w:val="18"/>
        </w:rPr>
        <w:t>相</w:t>
      </w:r>
      <w:r>
        <w:rPr>
          <w:rFonts w:ascii="宋体" w:hAnsi="宋体" w:cs="宋体" w:eastAsia="宋体" w:hint="ascii"/>
          <w:sz w:val="21"/>
          <w:spacing w:val="17"/>
        </w:rPr>
        <w:t>关</w:t>
      </w:r>
      <w:r>
        <w:rPr>
          <w:rFonts w:ascii="宋体" w:hAnsi="宋体" w:cs="宋体" w:eastAsia="宋体" w:hint="ascii"/>
          <w:sz w:val="21"/>
          <w:spacing w:val="18"/>
        </w:rPr>
        <w:t>项</w:t>
      </w:r>
      <w:r>
        <w:rPr>
          <w:rFonts w:ascii="宋体" w:hAnsi="宋体" w:cs="宋体" w:eastAsia="宋体" w:hint="ascii"/>
          <w:sz w:val="21"/>
          <w:spacing w:val="17"/>
        </w:rPr>
        <w:t>目请</w:t>
      </w:r>
      <w:r>
        <w:rPr>
          <w:rFonts w:ascii="宋体" w:hAnsi="宋体" w:cs="宋体" w:eastAsia="宋体" w:hint="ascii"/>
          <w:sz w:val="21"/>
          <w:spacing w:val="18"/>
        </w:rPr>
        <w:t>在</w:t>
      </w:r>
      <w:r>
        <w:rPr>
          <w:rFonts w:ascii="宋体" w:hAnsi="宋体" w:cs="宋体" w:eastAsia="宋体" w:hint="ascii"/>
          <w:sz w:val="21"/>
          <w:spacing w:val="17"/>
        </w:rPr>
        <w:t>医</w:t>
      </w:r>
      <w:r>
        <w:rPr>
          <w:rFonts w:ascii="宋体" w:hAnsi="宋体" w:cs="宋体" w:eastAsia="宋体" w:hint="ascii"/>
          <w:sz w:val="21"/>
          <w:spacing w:val="18"/>
        </w:rPr>
        <w:t>学</w:t>
      </w:r>
      <w:r>
        <w:rPr>
          <w:rFonts w:ascii="宋体" w:hAnsi="宋体" w:cs="宋体" w:eastAsia="宋体" w:hint="ascii"/>
          <w:sz w:val="21"/>
          <w:spacing w:val="17"/>
        </w:rPr>
        <w:t>科学</w:t>
      </w:r>
      <w:r>
        <w:rPr>
          <w:rFonts w:ascii="宋体" w:hAnsi="宋体" w:cs="宋体" w:eastAsia="宋体" w:hint="ascii"/>
          <w:sz w:val="21"/>
          <w:spacing w:val="18"/>
        </w:rPr>
        <w:t>九</w:t>
      </w:r>
      <w:r>
        <w:rPr>
          <w:rFonts w:ascii="宋体" w:hAnsi="宋体" w:cs="宋体" w:eastAsia="宋体" w:hint="ascii"/>
          <w:sz w:val="21"/>
          <w:spacing w:val="17"/>
        </w:rPr>
        <w:t>处</w:t>
      </w:r>
      <w:r>
        <w:rPr>
          <w:rFonts w:ascii="宋体" w:hAnsi="宋体" w:cs="宋体" w:eastAsia="宋体" w:hint="ascii"/>
          <w:sz w:val="21"/>
          <w:spacing w:val="18"/>
        </w:rPr>
        <w:t>（</w:t>
      </w:r>
      <w:r>
        <w:rPr>
          <w:rFonts w:ascii="Times New Roman" w:hAnsi="Times New Roman" w:cs="Times New Roman" w:eastAsia="Times New Roman" w:hint="ascii"/>
          <w:b w:val="1"/>
          <w:sz w:val="21"/>
        </w:rPr>
        <w:t>H3</w:t>
      </w:r>
      <w:r>
        <w:rPr>
          <w:rFonts w:ascii="Times New Roman" w:hAnsi="Times New Roman" w:cs="Times New Roman" w:eastAsia="Times New Roman" w:hint="ascii"/>
          <w:b w:val="1"/>
          <w:sz w:val="21"/>
          <w:spacing w:val="34"/>
        </w:rPr>
        <w:t>0</w:t>
      </w:r>
      <w:r>
        <w:rPr>
          <w:rFonts w:ascii="宋体" w:hAnsi="宋体" w:cs="宋体" w:eastAsia="宋体" w:hint="ascii"/>
          <w:sz w:val="21"/>
          <w:spacing w:val="18"/>
        </w:rPr>
        <w:t>）</w:t>
      </w:r>
      <w:r>
        <w:rPr>
          <w:rFonts w:ascii="宋体" w:hAnsi="宋体" w:cs="宋体" w:eastAsia="宋体" w:hint="ascii"/>
          <w:sz w:val="21"/>
          <w:spacing w:val="17"/>
        </w:rPr>
        <w:t>申</w:t>
      </w:r>
      <w:r>
        <w:rPr>
          <w:rFonts w:ascii="宋体" w:hAnsi="宋体" w:cs="宋体" w:eastAsia="宋体" w:hint="ascii"/>
          <w:sz w:val="21"/>
          <w:spacing w:val="18"/>
        </w:rPr>
        <w:t>请</w:t>
      </w:r>
      <w:r>
        <w:rPr>
          <w:rFonts w:ascii="宋体" w:hAnsi="宋体" w:cs="宋体" w:eastAsia="宋体" w:hint="ascii"/>
          <w:b w:val="1"/>
          <w:sz w:val="21"/>
          <w:spacing w:val="18"/>
        </w:rPr>
        <w:t>。</w:t>
      </w:r>
      <w:r>
        <w:rPr>
          <w:rFonts w:ascii="宋体" w:hAnsi="宋体" w:cs="宋体" w:eastAsia="宋体" w:hint="ascii"/>
          <w:sz w:val="21"/>
          <w:spacing w:val="17"/>
        </w:rPr>
        <w:t>流</w:t>
      </w:r>
      <w:r>
        <w:rPr>
          <w:rFonts w:ascii="宋体" w:hAnsi="宋体" w:cs="宋体" w:eastAsia="宋体" w:hint="ascii"/>
          <w:sz w:val="21"/>
          <w:spacing w:val="18"/>
        </w:rPr>
        <w:t>行病</w:t>
      </w:r>
      <w:r>
        <w:rPr>
          <w:rFonts w:ascii="宋体" w:hAnsi="宋体" w:cs="宋体" w:eastAsia="宋体" w:hint="ascii"/>
          <w:sz w:val="21"/>
        </w:rPr>
        <w:t>学</w:t>
      </w:r>
    </w:p>
    <w:p>
      <w:pPr>
        <w:autoSpaceDE w:val="0"/>
        <w:autoSpaceDN w:val="0"/>
        <w:jc w:val="right"/>
        <w:spacing w:before="0" w:after="0" w:lineRule="exact" w:line="312"/>
        <w:ind w:right="962" w:left="861" w:firstLine="0"/>
        <w:snapToGrid w:val="0"/>
        <w:textAlignment w:val="auto"/>
        <w:tabs/>
        <w:rPr>
          <w:rFonts w:ascii="宋体" w:hAnsi="宋体" w:cs="宋体" w:eastAsia="宋体" w:hint="ascii"/>
          <w:sz w:val="21"/>
        </w:rPr>
      </w:pPr>
      <w:r>
        <w:rPr>
          <w:rFonts w:ascii="宋体" w:hAnsi="宋体" w:cs="宋体" w:eastAsia="宋体" w:hint="ascii"/>
          <w:sz w:val="21"/>
          <w:spacing w:val="3"/>
        </w:rPr>
        <w:t>（</w:t>
      </w:r>
      <w:r>
        <w:rPr>
          <w:rFonts w:ascii="Times New Roman" w:hAnsi="Times New Roman" w:cs="Times New Roman" w:eastAsia="Times New Roman" w:hint="ascii"/>
          <w:b w:val="1"/>
          <w:sz w:val="21"/>
          <w:spacing w:val="-1"/>
        </w:rPr>
        <w:t>H</w:t>
      </w:r>
      <w:r>
        <w:rPr>
          <w:rFonts w:ascii="Times New Roman" w:hAnsi="Times New Roman" w:cs="Times New Roman" w:eastAsia="Times New Roman" w:hint="ascii"/>
          <w:b w:val="1"/>
          <w:sz w:val="21"/>
        </w:rPr>
        <w:t>2609/H261</w:t>
      </w:r>
      <w:r>
        <w:rPr>
          <w:rFonts w:ascii="Times New Roman" w:hAnsi="Times New Roman" w:cs="Times New Roman" w:eastAsia="Times New Roman" w:hint="ascii"/>
          <w:b w:val="1"/>
          <w:sz w:val="21"/>
          <w:spacing w:val="5"/>
        </w:rPr>
        <w:t>0</w:t>
      </w:r>
      <w:r>
        <w:rPr>
          <w:rFonts w:ascii="宋体" w:hAnsi="宋体" w:cs="宋体" w:eastAsia="宋体" w:hint="ascii"/>
          <w:sz w:val="21"/>
          <w:spacing w:val="4"/>
        </w:rPr>
        <w:t>）</w:t>
      </w:r>
      <w:r>
        <w:rPr>
          <w:rFonts w:ascii="宋体" w:hAnsi="宋体" w:cs="宋体" w:eastAsia="宋体" w:hint="ascii"/>
          <w:sz w:val="21"/>
          <w:spacing w:val="3"/>
        </w:rPr>
        <w:t>不受理单</w:t>
      </w:r>
      <w:r>
        <w:rPr>
          <w:rFonts w:ascii="宋体" w:hAnsi="宋体" w:cs="宋体" w:eastAsia="宋体" w:hint="ascii"/>
          <w:sz w:val="21"/>
          <w:spacing w:val="4"/>
        </w:rPr>
        <w:t>纯</w:t>
      </w:r>
      <w:r>
        <w:rPr>
          <w:rFonts w:ascii="宋体" w:hAnsi="宋体" w:cs="宋体" w:eastAsia="宋体" w:hint="ascii"/>
          <w:sz w:val="21"/>
          <w:spacing w:val="3"/>
        </w:rPr>
        <w:t>的实验室</w:t>
      </w:r>
      <w:r>
        <w:rPr>
          <w:rFonts w:ascii="宋体" w:hAnsi="宋体" w:cs="宋体" w:eastAsia="宋体" w:hint="ascii"/>
          <w:sz w:val="21"/>
          <w:spacing w:val="4"/>
        </w:rPr>
        <w:t>研</w:t>
      </w:r>
      <w:r>
        <w:rPr>
          <w:rFonts w:ascii="宋体" w:hAnsi="宋体" w:cs="宋体" w:eastAsia="宋体" w:hint="ascii"/>
          <w:sz w:val="21"/>
          <w:spacing w:val="3"/>
        </w:rPr>
        <w:t>究项目</w:t>
      </w:r>
      <w:r>
        <w:rPr>
          <w:rFonts w:ascii="宋体" w:hAnsi="宋体" w:cs="宋体" w:eastAsia="宋体" w:hint="ascii"/>
          <w:b w:val="1"/>
          <w:sz w:val="21"/>
          <w:spacing w:val="4"/>
        </w:rPr>
        <w:t>。</w:t>
      </w:r>
      <w:r>
        <w:rPr>
          <w:rFonts w:ascii="宋体" w:hAnsi="宋体" w:cs="宋体" w:eastAsia="宋体" w:hint="ascii"/>
          <w:sz w:val="21"/>
          <w:spacing w:val="3"/>
        </w:rPr>
        <w:t>非传</w:t>
      </w:r>
      <w:r>
        <w:rPr>
          <w:rFonts w:ascii="宋体" w:hAnsi="宋体" w:cs="宋体" w:eastAsia="宋体" w:hint="ascii"/>
          <w:sz w:val="21"/>
          <w:spacing w:val="4"/>
        </w:rPr>
        <w:t>染</w:t>
      </w:r>
      <w:r>
        <w:rPr>
          <w:rFonts w:ascii="宋体" w:hAnsi="宋体" w:cs="宋体" w:eastAsia="宋体" w:hint="ascii"/>
          <w:sz w:val="21"/>
          <w:spacing w:val="3"/>
        </w:rPr>
        <w:t>病流</w:t>
      </w:r>
      <w:r>
        <w:rPr>
          <w:rFonts w:ascii="宋体" w:hAnsi="宋体" w:cs="宋体" w:eastAsia="宋体" w:hint="ascii"/>
          <w:sz w:val="21"/>
          <w:spacing w:val="4"/>
        </w:rPr>
        <w:t>行</w:t>
      </w:r>
      <w:r>
        <w:rPr>
          <w:rFonts w:ascii="宋体" w:hAnsi="宋体" w:cs="宋体" w:eastAsia="宋体" w:hint="ascii"/>
          <w:sz w:val="21"/>
          <w:spacing w:val="3"/>
        </w:rPr>
        <w:t>病学（</w:t>
      </w:r>
      <w:r>
        <w:rPr>
          <w:rFonts w:ascii="Times New Roman" w:hAnsi="Times New Roman" w:cs="Times New Roman" w:eastAsia="Times New Roman" w:hint="ascii"/>
          <w:b w:val="1"/>
          <w:sz w:val="21"/>
        </w:rPr>
        <w:t>H261</w:t>
      </w:r>
      <w:r>
        <w:rPr>
          <w:rFonts w:ascii="Times New Roman" w:hAnsi="Times New Roman" w:cs="Times New Roman" w:eastAsia="Times New Roman" w:hint="ascii"/>
          <w:b w:val="1"/>
          <w:sz w:val="21"/>
          <w:spacing w:val="5"/>
        </w:rPr>
        <w:t>0</w:t>
      </w:r>
      <w:r>
        <w:rPr>
          <w:rFonts w:ascii="宋体" w:hAnsi="宋体" w:cs="宋体" w:eastAsia="宋体" w:hint="ascii"/>
          <w:sz w:val="21"/>
          <w:spacing w:val="4"/>
        </w:rPr>
        <w:t>）</w:t>
      </w:r>
      <w:r>
        <w:rPr>
          <w:rFonts w:ascii="宋体" w:hAnsi="宋体" w:cs="宋体" w:eastAsia="宋体" w:hint="ascii"/>
          <w:sz w:val="21"/>
          <w:spacing w:val="3"/>
        </w:rPr>
        <w:t>和预</w:t>
      </w:r>
      <w:r>
        <w:rPr>
          <w:rFonts w:ascii="宋体" w:hAnsi="宋体" w:cs="宋体" w:eastAsia="宋体" w:hint="ascii"/>
          <w:sz w:val="21"/>
        </w:rPr>
        <w:t>防医学其他科学问题（</w:t>
      </w:r>
      <w:r>
        <w:rPr>
          <w:rFonts w:ascii="Times New Roman" w:hAnsi="Times New Roman" w:cs="Times New Roman" w:eastAsia="Times New Roman" w:hint="ascii"/>
          <w:b w:val="1"/>
          <w:sz w:val="21"/>
        </w:rPr>
        <w:t>H2612</w:t>
      </w:r>
      <w:r>
        <w:rPr>
          <w:rFonts w:ascii="宋体" w:hAnsi="宋体" w:cs="宋体" w:eastAsia="宋体" w:hint="ascii"/>
          <w:sz w:val="21"/>
        </w:rPr>
        <w:t>）不受理卫生经济、医院管理、卫生事业管理项目申请，相关项目请选择管理科学部申请代码；传染病流行病学（</w:t>
      </w:r>
      <w:r>
        <w:rPr>
          <w:rFonts w:ascii="Times New Roman" w:hAnsi="Times New Roman" w:cs="Times New Roman" w:eastAsia="Times New Roman" w:hint="ascii"/>
          <w:b w:val="1"/>
          <w:sz w:val="21"/>
        </w:rPr>
        <w:t>H2609</w:t>
      </w:r>
      <w:r>
        <w:rPr>
          <w:rFonts w:ascii="宋体" w:hAnsi="宋体" w:cs="宋体" w:eastAsia="宋体" w:hint="ascii"/>
          <w:sz w:val="21"/>
        </w:rPr>
        <w:t>）和预防医学其他科学问</w:t>
      </w:r>
    </w:p>
    <w:p>
      <w:pPr>
        <w:autoSpaceDE w:val="0"/>
        <w:autoSpaceDN w:val="0"/>
        <w:jc w:val="left"/>
        <w:spacing w:before="282"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b w:val="1"/>
          <w:sz w:val="21"/>
        </w:rPr>
      </w:pPr>
      <w:r>
        <w:rPr>
          <w:rFonts w:ascii="宋体" w:hAnsi="宋体" w:cs="宋体" w:eastAsia="宋体" w:hint="ascii"/>
          <w:sz w:val="21"/>
        </w:rPr>
        <w:t>题（</w:t>
      </w:r>
      <w:r>
        <w:rPr>
          <w:rFonts w:ascii="Times New Roman" w:hAnsi="Times New Roman" w:cs="Times New Roman" w:eastAsia="Times New Roman" w:hint="ascii"/>
          <w:b w:val="1"/>
          <w:sz w:val="21"/>
        </w:rPr>
        <w:t>H2612</w:t>
      </w:r>
      <w:r>
        <w:rPr>
          <w:rFonts w:ascii="宋体" w:hAnsi="宋体" w:cs="宋体" w:eastAsia="宋体" w:hint="ascii"/>
          <w:sz w:val="21"/>
        </w:rPr>
        <w:t>）不受理病原生物学及其发病机理、诊断、治疗和预后的项目申请，相关项目请在医学科学六处（</w:t>
      </w:r>
      <w:r>
        <w:rPr>
          <w:rFonts w:ascii="Times New Roman" w:hAnsi="Times New Roman" w:cs="Times New Roman" w:eastAsia="Times New Roman" w:hint="ascii"/>
          <w:b w:val="1"/>
          <w:sz w:val="21"/>
        </w:rPr>
        <w:t>H19</w:t>
      </w:r>
      <w:r>
        <w:rPr>
          <w:rFonts w:ascii="宋体" w:hAnsi="宋体" w:cs="宋体" w:eastAsia="宋体" w:hint="ascii"/>
          <w:sz w:val="21"/>
        </w:rPr>
        <w:t>）申请</w:t>
      </w:r>
      <w:r>
        <w:rPr>
          <w:rFonts w:ascii="宋体" w:hAnsi="宋体" w:cs="宋体" w:eastAsia="宋体" w:hint="ascii"/>
          <w:b w:val="1"/>
          <w:sz w:val="21"/>
        </w:rPr>
        <w:t>。</w:t>
      </w:r>
      <w:r>
        <w:rPr>
          <w:rFonts w:ascii="宋体" w:hAnsi="宋体" w:cs="宋体" w:eastAsia="宋体" w:hint="ascii"/>
          <w:b w:val="1"/>
          <w:sz w:val="21"/>
        </w:rPr>
        <mc:AlternateContent>
          <mc:Choice Requires="wps">
            <w:drawing>
              <wp:anchor distL="0" distR="0" distT="0" distB="0" simplePos="0" behindDoc="1" relativeHeight="139" locked="0" layoutInCell="1" allowOverlap="1">
                <wp:simplePos x="0" y="0"/>
                <wp:positionH relativeFrom="page">
                  <wp:posOffset>938530</wp:posOffset>
                </wp:positionH>
                <wp:positionV relativeFrom="page">
                  <wp:posOffset>805815</wp:posOffset>
                </wp:positionV>
                <wp:extent cx="5076190" cy="0"/>
                <wp:wrapNone/>
                <wp:docPr id="1168" name="116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15904;width:399.70pt;" id="116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医学科学九处</w:t>
      </w:r>
    </w:p>
    <w:p>
      <w:pPr>
        <w:autoSpaceDE w:val="0"/>
        <w:autoSpaceDN w:val="0"/>
        <w:jc w:val="both"/>
        <w:spacing w:before="177" w:after="0" w:lineRule="exact" w:line="467"/>
        <w:ind w:right="1818" w:left="1386" w:firstLine="0"/>
        <w:snapToGrid w:val="0"/>
        <w:textAlignment w:val="auto"/>
        <w:tabs/>
        <w:rPr>
          <w:rFonts w:ascii="宋体" w:hAnsi="宋体" w:cs="宋体" w:eastAsia="宋体" w:hint="ascii"/>
        </w:rPr>
      </w:pPr>
      <w:r>
        <w:rPr>
          <w:rFonts w:ascii="宋体" w:hAnsi="宋体" w:cs="宋体" w:eastAsia="宋体" w:hint="ascii"/>
          <w:sz w:val="21"/>
          <w:spacing w:val="-1"/>
        </w:rPr>
        <w:t>医学科学九处</w:t>
      </w:r>
      <w:r>
        <w:rPr>
          <w:rFonts w:ascii="宋体" w:hAnsi="宋体" w:cs="宋体" w:eastAsia="宋体" w:hint="ascii"/>
          <w:sz w:val="21"/>
        </w:rPr>
        <w:t>主要资助药物学和药理学领域的基础研究和临床基础研究。</w:t>
      </w:r>
      <w:r>
        <w:rPr>
          <w:rFonts w:ascii="宋体" w:hAnsi="宋体" w:cs="宋体" w:eastAsia="宋体" w:hint="ascii"/>
        </w:rPr>
        <w:t>药物学（</w:t>
      </w:r>
      <w:r>
        <w:rPr>
          <w:rFonts w:ascii="Times New Roman" w:hAnsi="Times New Roman" w:cs="Times New Roman" w:eastAsia="Times New Roman" w:hint="ascii"/>
          <w:b w:val="1"/>
        </w:rPr>
        <w:t>H30</w:t>
      </w:r>
      <w:r>
        <w:rPr>
          <w:rFonts w:ascii="宋体" w:hAnsi="宋体" w:cs="宋体" w:eastAsia="宋体" w:hint="ascii"/>
        </w:rPr>
        <w:t>）</w:t>
      </w:r>
    </w:p>
    <w:p>
      <w:pPr>
        <w:autoSpaceDE w:val="0"/>
        <w:autoSpaceDN w:val="0"/>
        <w:jc w:val="both"/>
        <w:spacing w:before="124"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主要资助合成药物化学、天然药物化学、微生物</w:t>
      </w:r>
      <w:r>
        <w:rPr>
          <w:rFonts w:ascii="宋体" w:hAnsi="宋体" w:cs="宋体" w:eastAsia="宋体" w:hint="ascii"/>
          <w:sz w:val="21"/>
          <w:spacing w:val="-1"/>
        </w:rPr>
        <w:t>药物、生物技术药物、海洋药物、</w:t>
      </w:r>
      <w:r>
        <w:rPr>
          <w:rFonts w:ascii="宋体" w:hAnsi="宋体" w:cs="宋体" w:eastAsia="宋体" w:hint="ascii"/>
          <w:sz w:val="21"/>
        </w:rPr>
        <w:t xml:space="preserve"> 特种药物、药物设计与药物信息、药剂学、药物材料、药物分析、药物资源等研究。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药物学强调多学科交叉和创新药物基础研究。其中，合成药物化学注重基于新机制</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和新结构</w:t>
      </w:r>
      <w:r>
        <w:rPr>
          <w:rFonts w:ascii="宋体" w:hAnsi="宋体" w:cs="宋体" w:eastAsia="宋体" w:hint="ascii"/>
          <w:sz w:val="21"/>
        </w:rPr>
        <w:t>的活性分子研究，一般不资助针对已知靶点的活性化合物的简单优化研究；天</w:t>
      </w:r>
      <w:r>
        <w:rPr>
          <w:rFonts w:ascii="宋体" w:hAnsi="宋体" w:cs="宋体" w:eastAsia="宋体" w:hint="ascii"/>
          <w:sz w:val="21"/>
          <w:spacing w:val="-1"/>
        </w:rPr>
        <w:t>然药物化</w:t>
      </w:r>
      <w:r>
        <w:rPr>
          <w:rFonts w:ascii="宋体" w:hAnsi="宋体" w:cs="宋体" w:eastAsia="宋体" w:hint="ascii"/>
          <w:sz w:val="21"/>
        </w:rPr>
        <w:t>学、微生物药物主要资助有药用前景的动植物与微生物来源的具有潜在药用活</w:t>
      </w:r>
      <w:r>
        <w:rPr>
          <w:rFonts w:ascii="宋体" w:hAnsi="宋体" w:cs="宋体" w:eastAsia="宋体" w:hint="ascii"/>
          <w:sz w:val="21"/>
          <w:spacing w:val="-1"/>
        </w:rPr>
        <w:t>性物质的</w:t>
      </w:r>
      <w:r>
        <w:rPr>
          <w:rFonts w:ascii="宋体" w:hAnsi="宋体" w:cs="宋体" w:eastAsia="宋体" w:hint="ascii"/>
          <w:sz w:val="21"/>
        </w:rPr>
        <w:t>发现、确证、制备、构效关系、结构优化等新理论、新技术及新方法研究；生</w:t>
      </w:r>
      <w:r>
        <w:rPr>
          <w:rFonts w:ascii="宋体" w:hAnsi="宋体" w:cs="宋体" w:eastAsia="宋体" w:hint="ascii"/>
          <w:sz w:val="21"/>
          <w:spacing w:val="-1"/>
        </w:rPr>
        <w:t>物技术药</w:t>
      </w:r>
      <w:r>
        <w:rPr>
          <w:rFonts w:ascii="宋体" w:hAnsi="宋体" w:cs="宋体" w:eastAsia="宋体" w:hint="ascii"/>
          <w:sz w:val="21"/>
        </w:rPr>
        <w:t>物主要资助应用新颖的生物技术和方法获得治疗性抗体、疫苗、蛋白质、核酸</w:t>
      </w:r>
      <w:r>
        <w:rPr>
          <w:rFonts w:ascii="宋体" w:hAnsi="宋体" w:cs="宋体" w:eastAsia="宋体" w:hint="ascii"/>
          <w:sz w:val="21"/>
          <w:spacing w:val="-1"/>
        </w:rPr>
        <w:t>及细胞等</w:t>
      </w:r>
      <w:r>
        <w:rPr>
          <w:rFonts w:ascii="宋体" w:hAnsi="宋体" w:cs="宋体" w:eastAsia="宋体" w:hint="ascii"/>
          <w:sz w:val="21"/>
        </w:rPr>
        <w:t>生物技术药物的基础研究，适当资助新型表达系统和大规模培养技术中的探索</w:t>
      </w:r>
      <w:r>
        <w:rPr>
          <w:rFonts w:ascii="宋体" w:hAnsi="宋体" w:cs="宋体" w:eastAsia="宋体" w:hint="ascii"/>
          <w:sz w:val="21"/>
          <w:spacing w:val="-1"/>
        </w:rPr>
        <w:t>性研究；</w:t>
      </w:r>
      <w:r>
        <w:rPr>
          <w:rFonts w:ascii="宋体" w:hAnsi="宋体" w:cs="宋体" w:eastAsia="宋体" w:hint="ascii"/>
          <w:sz w:val="21"/>
        </w:rPr>
        <w:t>海洋药物中鼓励对稀有海洋生物和深海微生物进行化学、药学和生态学探索研</w:t>
      </w:r>
      <w:r>
        <w:rPr>
          <w:rFonts w:ascii="宋体" w:hAnsi="宋体" w:cs="宋体" w:eastAsia="宋体" w:hint="ascii"/>
          <w:sz w:val="21"/>
          <w:spacing w:val="-1"/>
        </w:rPr>
        <w:t>究；特种</w:t>
      </w:r>
      <w:r>
        <w:rPr>
          <w:rFonts w:ascii="宋体" w:hAnsi="宋体" w:cs="宋体" w:eastAsia="宋体" w:hint="ascii"/>
          <w:sz w:val="21"/>
        </w:rPr>
        <w:t>药物主要资助航空航天、深海、放射、军事和特殊环境等方面的药物研究；药</w:t>
      </w:r>
      <w:r>
        <w:rPr>
          <w:rFonts w:ascii="宋体" w:hAnsi="宋体" w:cs="宋体" w:eastAsia="宋体" w:hint="ascii"/>
          <w:sz w:val="21"/>
          <w:spacing w:val="-1"/>
        </w:rPr>
        <w:t>物设计与</w:t>
      </w:r>
      <w:r>
        <w:rPr>
          <w:rFonts w:ascii="宋体" w:hAnsi="宋体" w:cs="宋体" w:eastAsia="宋体" w:hint="ascii"/>
          <w:sz w:val="21"/>
        </w:rPr>
        <w:t>药物信息学主要资助创建药物设计原理、生物信息学和计算机辅助等新技术，</w:t>
      </w:r>
      <w:r>
        <w:rPr>
          <w:rFonts w:ascii="宋体" w:hAnsi="宋体" w:cs="宋体" w:eastAsia="宋体" w:hint="ascii"/>
          <w:sz w:val="21"/>
          <w:spacing w:val="-1"/>
        </w:rPr>
        <w:t>进行药物</w:t>
      </w:r>
      <w:r>
        <w:rPr>
          <w:rFonts w:ascii="宋体" w:hAnsi="宋体" w:cs="宋体" w:eastAsia="宋体" w:hint="ascii"/>
          <w:sz w:val="21"/>
        </w:rPr>
        <w:t>设计、安全性预测新理论和新方法的研究，并用于发现全新结构的苗头化合物</w:t>
      </w:r>
      <w:r>
        <w:rPr>
          <w:rFonts w:ascii="宋体" w:hAnsi="宋体" w:cs="宋体" w:eastAsia="宋体" w:hint="ascii"/>
          <w:sz w:val="21"/>
          <w:spacing w:val="-1"/>
        </w:rPr>
        <w:t>并进行结</w:t>
      </w:r>
      <w:r>
        <w:rPr>
          <w:rFonts w:ascii="宋体" w:hAnsi="宋体" w:cs="宋体" w:eastAsia="宋体" w:hint="ascii"/>
          <w:sz w:val="21"/>
        </w:rPr>
        <w:t>构优化设计；药剂学主要资助物理药剂学、生物药剂学、分子药剂学、工业药</w:t>
      </w:r>
      <w:r>
        <w:rPr>
          <w:rFonts w:ascii="宋体" w:hAnsi="宋体" w:cs="宋体" w:eastAsia="宋体" w:hint="ascii"/>
          <w:sz w:val="21"/>
          <w:spacing w:val="-1"/>
        </w:rPr>
        <w:t>剂学，包</w:t>
      </w:r>
      <w:r>
        <w:rPr>
          <w:rFonts w:ascii="宋体" w:hAnsi="宋体" w:cs="宋体" w:eastAsia="宋体" w:hint="ascii"/>
          <w:sz w:val="21"/>
        </w:rPr>
        <w:t>括新型药物递释系统和制剂成型的新理论、新技术和新方法研究；药物材料主</w:t>
      </w:r>
      <w:r>
        <w:rPr>
          <w:rFonts w:ascii="宋体" w:hAnsi="宋体" w:cs="宋体" w:eastAsia="宋体" w:hint="ascii"/>
          <w:sz w:val="21"/>
          <w:spacing w:val="-1"/>
        </w:rPr>
        <w:t>要资助新</w:t>
      </w:r>
      <w:r>
        <w:rPr>
          <w:rFonts w:ascii="宋体" w:hAnsi="宋体" w:cs="宋体" w:eastAsia="宋体" w:hint="ascii"/>
          <w:sz w:val="21"/>
        </w:rPr>
        <w:t>型药用辅料和药用载体材料的设计与构建、体内过程和安全性评价等的基础研</w:t>
      </w:r>
      <w:r>
        <w:rPr>
          <w:rFonts w:ascii="宋体" w:hAnsi="宋体" w:cs="宋体" w:eastAsia="宋体" w:hint="ascii"/>
          <w:sz w:val="21"/>
          <w:spacing w:val="-1"/>
        </w:rPr>
        <w:t>究，注意</w:t>
      </w:r>
      <w:r>
        <w:rPr>
          <w:rFonts w:ascii="宋体" w:hAnsi="宋体" w:cs="宋体" w:eastAsia="宋体" w:hint="ascii"/>
          <w:sz w:val="21"/>
        </w:rPr>
        <w:t>区别于药剂学研究，突出新材料结构与药用功能特色；药物分析主要资助针对</w:t>
      </w:r>
      <w:r>
        <w:rPr>
          <w:rFonts w:ascii="宋体" w:hAnsi="宋体" w:cs="宋体" w:eastAsia="宋体" w:hint="ascii"/>
          <w:sz w:val="21"/>
          <w:spacing w:val="-1"/>
        </w:rPr>
        <w:t>药物成分</w:t>
      </w:r>
      <w:r>
        <w:rPr>
          <w:rFonts w:ascii="宋体" w:hAnsi="宋体" w:cs="宋体" w:eastAsia="宋体" w:hint="ascii"/>
          <w:sz w:val="21"/>
        </w:rPr>
        <w:t>和药物效应分子的分析新技术、新方法的发展和建立，用于解决药物学和药理</w:t>
      </w:r>
      <w:r>
        <w:rPr>
          <w:rFonts w:ascii="宋体" w:hAnsi="宋体" w:cs="宋体" w:eastAsia="宋体" w:hint="ascii"/>
          <w:sz w:val="21"/>
          <w:spacing w:val="-1"/>
        </w:rPr>
        <w:t>学研究中</w:t>
      </w:r>
      <w:r>
        <w:rPr>
          <w:rFonts w:ascii="宋体" w:hAnsi="宋体" w:cs="宋体" w:eastAsia="宋体" w:hint="ascii"/>
          <w:sz w:val="21"/>
        </w:rPr>
        <w:t>的重要科学问题，尤其应重视针对药物体内效应分子和大分子药物的创新检测</w:t>
      </w:r>
      <w:r>
        <w:rPr>
          <w:rFonts w:ascii="宋体" w:hAnsi="宋体" w:cs="宋体" w:eastAsia="宋体" w:hint="ascii"/>
          <w:sz w:val="21"/>
          <w:spacing w:val="-1"/>
        </w:rPr>
        <w:t>方法的建</w:t>
      </w:r>
      <w:r>
        <w:rPr>
          <w:rFonts w:ascii="宋体" w:hAnsi="宋体" w:cs="宋体" w:eastAsia="宋体" w:hint="ascii"/>
          <w:sz w:val="21"/>
        </w:rPr>
        <w:t>立和发展；药物资源主要资助药用新资源的发现和挖掘、资源可持续利用、资源保护等重要科学问题研究。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药理学（</w:t>
      </w:r>
      <w:r>
        <w:rPr>
          <w:rFonts w:ascii="Times New Roman" w:hAnsi="Times New Roman" w:cs="Times New Roman" w:eastAsia="Times New Roman" w:hint="ascii"/>
          <w:b w:val="1"/>
        </w:rPr>
        <w:t>H31</w:t>
      </w:r>
      <w:r>
        <w:rPr>
          <w:rFonts w:ascii="宋体" w:hAnsi="宋体" w:cs="宋体" w:eastAsia="宋体" w:hint="ascii"/>
        </w:rPr>
        <w:t>）</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主要资助针对某种疾病具有一定特点的治疗药物、候选药物和生物活性物质的作用</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机制、靶标确认及</w:t>
      </w:r>
      <w:r>
        <w:rPr>
          <w:rFonts w:ascii="Times New Roman" w:hAnsi="Times New Roman" w:cs="Times New Roman" w:eastAsia="Times New Roman" w:hint="ascii"/>
          <w:sz w:val="21"/>
        </w:rPr>
        <w:t>/</w:t>
      </w:r>
      <w:r>
        <w:rPr>
          <w:rFonts w:ascii="宋体" w:hAnsi="宋体" w:cs="宋体" w:eastAsia="宋体" w:hint="ascii"/>
          <w:sz w:val="21"/>
        </w:rPr>
        <w:t>或耐药机制研究，药物代谢与药物动力学研究，药物毒理与临床药理研究等。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药理学着重于药物和生物活性物质作用新机制与新靶标的深入研究，包括应用探针</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分子研究</w:t>
      </w:r>
      <w:r>
        <w:rPr>
          <w:rFonts w:ascii="宋体" w:hAnsi="宋体" w:cs="宋体" w:eastAsia="宋体" w:hint="ascii"/>
          <w:sz w:val="21"/>
        </w:rPr>
        <w:t>生命活动的基本规律和疾病的病理机制及其药物作用的分子机制与靶标等。药</w:t>
      </w:r>
      <w:r>
        <w:rPr>
          <w:rFonts w:ascii="宋体" w:hAnsi="宋体" w:cs="宋体" w:eastAsia="宋体" w:hint="ascii"/>
          <w:sz w:val="21"/>
          <w:spacing w:val="-1"/>
        </w:rPr>
        <w:t>理学项目</w:t>
      </w:r>
      <w:r>
        <w:rPr>
          <w:rFonts w:ascii="宋体" w:hAnsi="宋体" w:cs="宋体" w:eastAsia="宋体" w:hint="ascii"/>
          <w:sz w:val="21"/>
        </w:rPr>
        <w:t>申请应加强新药物靶标和疾病特异性、敏感性分子标志物的发现与确证，药物</w:t>
      </w:r>
    </w:p>
    <w:p>
      <w:pPr>
        <w:autoSpaceDE w:val="0"/>
        <w:autoSpaceDN w:val="0"/>
        <w:jc w:val="both"/>
        <w:spacing w:before="0" w:after="0" w:lineRule="exact" w:line="312"/>
        <w:ind w:right="976"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w:t>
      </w:r>
      <w:r>
        <w:rPr>
          <w:rFonts w:ascii="宋体" w:hAnsi="宋体" w:cs="宋体" w:eastAsia="宋体" w:hint="ascii"/>
          <w:sz w:val="21"/>
        </w:rPr>
        <w:t>生物活性物质新作用特点的发现及其机制阐明，克服耐药的策略与手段，基于药物基</w:t>
      </w:r>
      <w:r>
        <w:rPr>
          <w:rFonts w:ascii="宋体" w:hAnsi="宋体" w:cs="宋体" w:eastAsia="宋体" w:hint="ascii"/>
          <w:sz w:val="21"/>
          <w:spacing w:val="-1"/>
        </w:rPr>
        <w:t>因组学、</w:t>
      </w:r>
      <w:r>
        <w:rPr>
          <w:rFonts w:ascii="宋体" w:hAnsi="宋体" w:cs="宋体" w:eastAsia="宋体" w:hint="ascii"/>
          <w:sz w:val="21"/>
        </w:rPr>
        <w:t>药物表观遗传学和系统生物学的组合用药新策略等的深入系统研究；加强对复</w:t>
      </w:r>
      <w:r>
        <w:rPr>
          <w:rFonts w:ascii="宋体" w:hAnsi="宋体" w:cs="宋体" w:eastAsia="宋体" w:hint="ascii"/>
          <w:sz w:val="21"/>
          <w:spacing w:val="-1"/>
        </w:rPr>
        <w:t>杂疾病的</w:t>
      </w:r>
      <w:r>
        <w:rPr>
          <w:rFonts w:ascii="宋体" w:hAnsi="宋体" w:cs="宋体" w:eastAsia="宋体" w:hint="ascii"/>
          <w:sz w:val="21"/>
        </w:rPr>
        <w:t>网络调控及其药物干预机制、个体化治疗、新治疗方案和转化医学等的基础研</w:t>
      </w:r>
    </w:p>
    <w:p>
      <w:pPr>
        <w:autoSpaceDE w:val="0"/>
        <w:autoSpaceDN w:val="0"/>
        <w:jc w:val="left"/>
        <w:spacing w:before="28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面 上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究，以及药理</w:t>
      </w:r>
      <w:r>
        <w:rPr>
          <w:rFonts w:ascii="宋体" w:hAnsi="宋体" w:cs="宋体" w:eastAsia="宋体" w:hint="ascii"/>
          <w:sz w:val="21"/>
        </w:rPr>
        <w:t>学新模型、新方法和新技术研究；药物代谢与药物动力学研究应创建新方</w:t>
      </w:r>
      <w:r>
        <w:rPr>
          <w:rFonts w:ascii="宋体" w:hAnsi="宋体" w:cs="宋体" w:eastAsia="宋体" w:hint="ascii"/>
          <w:sz w:val="21"/>
          <w:spacing w:val="-1"/>
        </w:rPr>
        <w:t>法和新模型，</w:t>
      </w:r>
      <w:r>
        <w:rPr>
          <w:rFonts w:ascii="宋体" w:hAnsi="宋体" w:cs="宋体" w:eastAsia="宋体" w:hint="ascii"/>
          <w:sz w:val="21"/>
        </w:rPr>
        <w:t>加强与药效、毒性、临床用药和药物干预疾病相关药物代谢酶和转运体的</w:t>
      </w:r>
      <w:r>
        <w:rPr>
          <w:rFonts w:ascii="宋体" w:hAnsi="宋体" w:cs="宋体" w:eastAsia="宋体" w:hint="ascii"/>
          <w:sz w:val="21"/>
          <w:spacing w:val="-1"/>
        </w:rPr>
        <w:t>分子机制研究</w:t>
      </w:r>
      <w:r>
        <w:rPr>
          <w:rFonts w:ascii="宋体" w:hAnsi="宋体" w:cs="宋体" w:eastAsia="宋体" w:hint="ascii"/>
          <w:sz w:val="21"/>
        </w:rPr>
        <w:t>；临床药理研究应侧重于药物与人体相互作用规律、个体化用药的探索，</w:t>
      </w:r>
      <w:r>
        <w:rPr>
          <w:rFonts w:ascii="宋体" w:hAnsi="宋体" w:cs="宋体" w:eastAsia="宋体" w:hint="ascii"/>
          <w:sz w:val="21"/>
          <w:spacing w:val="-1"/>
        </w:rPr>
        <w:t>关注临床用药</w:t>
      </w:r>
      <w:r>
        <w:rPr>
          <w:rFonts w:ascii="宋体" w:hAnsi="宋体" w:cs="宋体" w:eastAsia="宋体" w:hint="ascii"/>
          <w:sz w:val="21"/>
        </w:rPr>
        <w:t>面临的问题和特殊人群（如儿童、孕妇、高危人群等）的合理用药研究，</w:t>
      </w:r>
      <w:r>
        <w:rPr>
          <w:rFonts w:ascii="宋体" w:hAnsi="宋体" w:cs="宋体" w:eastAsia="宋体" w:hint="ascii"/>
          <w:sz w:val="21"/>
          <w:spacing w:val="-1"/>
        </w:rPr>
        <w:t>突出特色；药</w:t>
      </w:r>
      <w:r>
        <w:rPr>
          <w:rFonts w:ascii="宋体" w:hAnsi="宋体" w:cs="宋体" w:eastAsia="宋体" w:hint="ascii"/>
          <w:sz w:val="21"/>
        </w:rPr>
        <w:t>物毒理研究应加强分子机制、药物毒性的干预策略、代谢物毒性机制和药物安全性评价新模型、新方法等的探索。</w:t>
      </w:r>
      <w:r>
        <w:rPr>
          <w:rFonts w:ascii="宋体" w:hAnsi="宋体" w:cs="宋体" w:eastAsia="宋体" w:hint="ascii"/>
          <w:sz w:val="21"/>
        </w:rPr>
        <mc:AlternateContent>
          <mc:Choice Requires="wps">
            <w:drawing>
              <wp:anchor distL="0" distR="0" distT="0" distB="0" simplePos="0" behindDoc="1" relativeHeight="140" locked="0" layoutInCell="1" allowOverlap="1">
                <wp:simplePos x="0" y="0"/>
                <wp:positionH relativeFrom="page">
                  <wp:posOffset>938530</wp:posOffset>
                </wp:positionH>
                <wp:positionV relativeFrom="page">
                  <wp:posOffset>819150</wp:posOffset>
                </wp:positionV>
                <wp:extent cx="5076190" cy="0"/>
                <wp:wrapNone/>
                <wp:docPr id="1169" name="116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14880;width:399.70pt;" id="116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近年来在药物学项目的申请中，药剂学、合成药物化学与天然药物化学项目占很大</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比例，其中药剂学、合成药物化学涉及抗肿瘤药物研究的项目比例在 </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7</w:t>
      </w:r>
      <w:r>
        <w:rPr>
          <w:rFonts w:ascii="宋体" w:hAnsi="宋体" w:cs="宋体" w:eastAsia="宋体" w:hint="ascii"/>
          <w:sz w:val="21"/>
        </w:rPr>
        <w:t>年面上项目</w:t>
      </w:r>
      <w:r>
        <w:rPr>
          <w:rFonts w:ascii="宋体" w:hAnsi="宋体" w:cs="宋体" w:eastAsia="宋体" w:hint="ascii"/>
          <w:sz w:val="21"/>
          <w:spacing w:val="-1"/>
        </w:rPr>
        <w:t>中趋于正常，</w:t>
      </w:r>
      <w:r>
        <w:rPr>
          <w:rFonts w:ascii="宋体" w:hAnsi="宋体" w:cs="宋体" w:eastAsia="宋体" w:hint="ascii"/>
          <w:sz w:val="21"/>
        </w:rPr>
        <w:t>在青年科学基金中仍然偏高。今后应拓展疾病类型，拓宽研究思路，进一</w:t>
      </w:r>
      <w:r>
        <w:rPr>
          <w:rFonts w:ascii="宋体" w:hAnsi="宋体" w:cs="宋体" w:eastAsia="宋体" w:hint="ascii"/>
          <w:sz w:val="21"/>
          <w:spacing w:val="1"/>
        </w:rPr>
        <w:t>步强化化学与生物</w:t>
      </w:r>
      <w:r>
        <w:rPr>
          <w:rFonts w:ascii="宋体" w:hAnsi="宋体" w:cs="宋体" w:eastAsia="宋体" w:hint="ascii"/>
          <w:sz w:val="21"/>
        </w:rPr>
        <w:t>学的交叉研究，并重视化合物或递释系统成药性关键科学问题的</w:t>
      </w:r>
      <w:r>
        <w:rPr>
          <w:rFonts w:ascii="宋体" w:hAnsi="宋体" w:cs="宋体" w:eastAsia="宋体" w:hint="ascii"/>
          <w:sz w:val="21"/>
          <w:spacing w:val="-6"/>
        </w:rPr>
        <w:t>研</w:t>
      </w:r>
      <w:r>
        <w:rPr>
          <w:rFonts w:ascii="宋体" w:hAnsi="宋体" w:cs="宋体" w:eastAsia="宋体" w:hint="ascii"/>
          <w:sz w:val="21"/>
          <w:spacing w:val="-1"/>
        </w:rPr>
        <w:t>究。药剂学项</w:t>
      </w:r>
      <w:r>
        <w:rPr>
          <w:rFonts w:ascii="宋体" w:hAnsi="宋体" w:cs="宋体" w:eastAsia="宋体" w:hint="ascii"/>
          <w:sz w:val="21"/>
        </w:rPr>
        <w:t>目中多功能递释系统研究应关注组合设计的合理性和成药性研究。药理学</w:t>
      </w:r>
      <w:r>
        <w:rPr>
          <w:rFonts w:ascii="宋体" w:hAnsi="宋体" w:cs="宋体" w:eastAsia="宋体" w:hint="ascii"/>
          <w:sz w:val="21"/>
          <w:spacing w:val="-1"/>
        </w:rPr>
        <w:t>项目多数围绕</w:t>
      </w:r>
      <w:r>
        <w:rPr>
          <w:rFonts w:ascii="宋体" w:hAnsi="宋体" w:cs="宋体" w:eastAsia="宋体" w:hint="ascii"/>
          <w:sz w:val="21"/>
        </w:rPr>
        <w:t>某类药物的作用机制或耐药机制展开研究，也有部分在长期工作积累基础</w:t>
      </w:r>
      <w:r>
        <w:rPr>
          <w:rFonts w:ascii="宋体" w:hAnsi="宋体" w:cs="宋体" w:eastAsia="宋体" w:hint="ascii"/>
          <w:sz w:val="21"/>
          <w:spacing w:val="-1"/>
        </w:rPr>
        <w:t>上形成特色的</w:t>
      </w:r>
      <w:r>
        <w:rPr>
          <w:rFonts w:ascii="宋体" w:hAnsi="宋体" w:cs="宋体" w:eastAsia="宋体" w:hint="ascii"/>
          <w:sz w:val="21"/>
        </w:rPr>
        <w:t>项目申请，针对新靶标发现和新分子机制深入研究的项目有所增长。部分</w:t>
      </w:r>
      <w:r>
        <w:rPr>
          <w:rFonts w:ascii="宋体" w:hAnsi="宋体" w:cs="宋体" w:eastAsia="宋体" w:hint="ascii"/>
          <w:sz w:val="21"/>
          <w:spacing w:val="-1"/>
        </w:rPr>
        <w:t>选题较好的项</w:t>
      </w:r>
      <w:r>
        <w:rPr>
          <w:rFonts w:ascii="宋体" w:hAnsi="宋体" w:cs="宋体" w:eastAsia="宋体" w:hint="ascii"/>
          <w:sz w:val="21"/>
        </w:rPr>
        <w:t>目由于申请书提供的前期研究结果薄弱、立项依据不充分、研究方案不够</w:t>
      </w:r>
      <w:r>
        <w:rPr>
          <w:rFonts w:ascii="宋体" w:hAnsi="宋体" w:cs="宋体" w:eastAsia="宋体" w:hint="ascii"/>
          <w:sz w:val="21"/>
          <w:spacing w:val="-1"/>
        </w:rPr>
        <w:t>详细，或提出</w:t>
      </w:r>
      <w:r>
        <w:rPr>
          <w:rFonts w:ascii="宋体" w:hAnsi="宋体" w:cs="宋体" w:eastAsia="宋体" w:hint="ascii"/>
          <w:sz w:val="21"/>
        </w:rPr>
        <w:t>的研究计划过于庞大、研究深度不够、目标不明确而未获资助；不少项目</w:t>
      </w:r>
      <w:r>
        <w:rPr>
          <w:rFonts w:ascii="宋体" w:hAnsi="宋体" w:cs="宋体" w:eastAsia="宋体" w:hint="ascii"/>
          <w:sz w:val="21"/>
          <w:spacing w:val="-1"/>
        </w:rPr>
        <w:t>因选题没有明</w:t>
      </w:r>
      <w:r>
        <w:rPr>
          <w:rFonts w:ascii="宋体" w:hAnsi="宋体" w:cs="宋体" w:eastAsia="宋体" w:hint="ascii"/>
          <w:sz w:val="21"/>
        </w:rPr>
        <w:t>显新颖性，或因申请书过于简单、研究内容缺乏深度、前期研究不够等而未获资助。</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有创新性的基础研究和连续深入研究的项目申请将获得优先资助。鉴于转化医学在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提高基础研究</w:t>
      </w:r>
      <w:r>
        <w:rPr>
          <w:rFonts w:ascii="宋体" w:hAnsi="宋体" w:cs="宋体" w:eastAsia="宋体" w:hint="ascii"/>
          <w:sz w:val="21"/>
        </w:rPr>
        <w:t>的临床应用价值方面具有重要意义，需要加强创新药物、临床治疗学和诊</w:t>
      </w:r>
      <w:r>
        <w:rPr>
          <w:rFonts w:ascii="宋体" w:hAnsi="宋体" w:cs="宋体" w:eastAsia="宋体" w:hint="ascii"/>
          <w:sz w:val="21"/>
          <w:spacing w:val="-1"/>
        </w:rPr>
        <w:t>断学导向的基</w:t>
      </w:r>
      <w:r>
        <w:rPr>
          <w:rFonts w:ascii="宋体" w:hAnsi="宋体" w:cs="宋体" w:eastAsia="宋体" w:hint="ascii"/>
          <w:sz w:val="21"/>
        </w:rPr>
        <w:t>础研究，以期在探索疾病发生发展机制的过程中，发现新的药物治疗靶点</w:t>
      </w:r>
      <w:r>
        <w:rPr>
          <w:rFonts w:ascii="宋体" w:hAnsi="宋体" w:cs="宋体" w:eastAsia="宋体" w:hint="ascii"/>
          <w:sz w:val="21"/>
          <w:spacing w:val="-1"/>
        </w:rPr>
        <w:t>和疾病诊断标</w:t>
      </w:r>
      <w:r>
        <w:rPr>
          <w:rFonts w:ascii="宋体" w:hAnsi="宋体" w:cs="宋体" w:eastAsia="宋体" w:hint="ascii"/>
          <w:sz w:val="21"/>
        </w:rPr>
        <w:t>志物，为发展具有自主知识产权的创新药物、新治疗方案和诊断试剂奠定理论和实验基础。</w:t>
      </w:r>
    </w:p>
    <w:p>
      <w:pPr>
        <w:autoSpaceDE w:val="0"/>
        <w:autoSpaceDN w:val="0"/>
        <w:jc w:val="left"/>
        <w:spacing w:before="0" w:after="0" w:lineRule="exact" w:line="312"/>
        <w:ind w:right="962"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本科</w:t>
      </w:r>
      <w:r>
        <w:rPr>
          <w:rFonts w:ascii="宋体" w:hAnsi="宋体" w:cs="宋体" w:eastAsia="宋体" w:hint="ascii"/>
          <w:sz w:val="21"/>
          <w:spacing w:val="2"/>
        </w:rPr>
        <w:t>学</w:t>
      </w:r>
      <w:r>
        <w:rPr>
          <w:rFonts w:ascii="宋体" w:hAnsi="宋体" w:cs="宋体" w:eastAsia="宋体" w:hint="ascii"/>
          <w:sz w:val="21"/>
          <w:spacing w:val="1"/>
        </w:rPr>
        <w:t>处不受理</w:t>
      </w:r>
      <w:r>
        <w:rPr>
          <w:rFonts w:ascii="宋体" w:hAnsi="宋体" w:cs="宋体" w:eastAsia="宋体" w:hint="ascii"/>
          <w:sz w:val="21"/>
          <w:spacing w:val="2"/>
        </w:rPr>
        <w:t>为</w:t>
      </w:r>
      <w:r>
        <w:rPr>
          <w:rFonts w:ascii="宋体" w:hAnsi="宋体" w:cs="宋体" w:eastAsia="宋体" w:hint="ascii"/>
          <w:sz w:val="21"/>
          <w:spacing w:val="1"/>
        </w:rPr>
        <w:t>报批新药</w:t>
      </w:r>
      <w:r>
        <w:rPr>
          <w:rFonts w:ascii="宋体" w:hAnsi="宋体" w:cs="宋体" w:eastAsia="宋体" w:hint="ascii"/>
          <w:sz w:val="21"/>
          <w:spacing w:val="2"/>
        </w:rPr>
        <w:t>而</w:t>
      </w:r>
      <w:r>
        <w:rPr>
          <w:rFonts w:ascii="宋体" w:hAnsi="宋体" w:cs="宋体" w:eastAsia="宋体" w:hint="ascii"/>
          <w:sz w:val="21"/>
          <w:spacing w:val="1"/>
        </w:rPr>
        <w:t>开展的常</w:t>
      </w:r>
      <w:r>
        <w:rPr>
          <w:rFonts w:ascii="宋体" w:hAnsi="宋体" w:cs="宋体" w:eastAsia="宋体" w:hint="ascii"/>
          <w:sz w:val="21"/>
          <w:spacing w:val="2"/>
        </w:rPr>
        <w:t>规</w:t>
      </w:r>
      <w:r>
        <w:rPr>
          <w:rFonts w:ascii="宋体" w:hAnsi="宋体" w:cs="宋体" w:eastAsia="宋体" w:hint="ascii"/>
          <w:sz w:val="21"/>
          <w:spacing w:val="1"/>
        </w:rPr>
        <w:t>研究</w:t>
      </w:r>
      <w:r>
        <w:rPr>
          <w:rFonts w:ascii="宋体" w:hAnsi="宋体" w:cs="宋体" w:eastAsia="宋体" w:hint="ascii"/>
          <w:sz w:val="21"/>
          <w:spacing w:val="2"/>
        </w:rPr>
        <w:t>（包</w:t>
      </w:r>
      <w:r>
        <w:rPr>
          <w:rFonts w:ascii="宋体" w:hAnsi="宋体" w:cs="宋体" w:eastAsia="宋体" w:hint="ascii"/>
          <w:sz w:val="21"/>
          <w:spacing w:val="3"/>
        </w:rPr>
        <w:t>括</w:t>
      </w:r>
      <w:r>
        <w:rPr>
          <w:rFonts w:ascii="宋体" w:hAnsi="宋体" w:cs="宋体" w:eastAsia="宋体" w:hint="ascii"/>
          <w:sz w:val="21"/>
          <w:spacing w:val="2"/>
        </w:rPr>
        <w:t>制药工艺</w:t>
      </w:r>
      <w:r>
        <w:rPr>
          <w:rFonts w:ascii="宋体" w:hAnsi="宋体" w:cs="宋体" w:eastAsia="宋体" w:hint="ascii"/>
          <w:sz w:val="21"/>
          <w:spacing w:val="3"/>
        </w:rPr>
        <w:t>研</w:t>
      </w:r>
      <w:r>
        <w:rPr>
          <w:rFonts w:ascii="宋体" w:hAnsi="宋体" w:cs="宋体" w:eastAsia="宋体" w:hint="ascii"/>
          <w:sz w:val="21"/>
          <w:spacing w:val="2"/>
        </w:rPr>
        <w:t>究和药效</w:t>
      </w:r>
      <w:r>
        <w:rPr>
          <w:rFonts w:ascii="宋体" w:hAnsi="宋体" w:cs="宋体" w:eastAsia="宋体" w:hint="ascii"/>
          <w:sz w:val="21"/>
          <w:spacing w:val="3"/>
        </w:rPr>
        <w:t>学</w:t>
      </w:r>
      <w:r>
        <w:rPr>
          <w:rFonts w:ascii="宋体" w:hAnsi="宋体" w:cs="宋体" w:eastAsia="宋体" w:hint="ascii"/>
          <w:sz w:val="21"/>
          <w:spacing w:val="2"/>
        </w:rPr>
        <w:t>评</w:t>
      </w:r>
      <w:r>
        <w:rPr>
          <w:rFonts w:ascii="宋体" w:hAnsi="宋体" w:cs="宋体" w:eastAsia="宋体" w:hint="ascii"/>
          <w:sz w:val="21"/>
          <w:spacing w:val="-1"/>
        </w:rPr>
        <w:t>价</w:t>
      </w:r>
      <w:r>
        <w:rPr>
          <w:rFonts w:ascii="宋体" w:hAnsi="宋体" w:cs="宋体" w:eastAsia="宋体" w:hint="ascii"/>
          <w:sz w:val="21"/>
        </w:rPr>
        <w:t xml:space="preserve"> 等）项目</w:t>
      </w:r>
      <w:r>
        <w:rPr>
          <w:rFonts w:ascii="宋体" w:hAnsi="宋体" w:cs="宋体" w:eastAsia="宋体" w:hint="ascii"/>
          <w:b w:val="1"/>
          <w:sz w:val="21"/>
        </w:rPr>
        <w:t>。</w:t>
      </w:r>
      <w:r>
        <w:rPr>
          <w:rFonts w:ascii="宋体" w:hAnsi="宋体" w:cs="宋体" w:eastAsia="宋体" w:hint="ascii"/>
          <w:sz w:val="21"/>
        </w:rPr>
        <w:t>对于具有新药研发前景的创新性基础研究，申请人一般应提供所研究化合物的化学结构或母核结构，但是应加强知识产权保护，处理好项目申请和保密的关系</w:t>
      </w:r>
      <w:r>
        <w:rPr>
          <w:rFonts w:ascii="宋体" w:hAnsi="宋体" w:cs="宋体" w:eastAsia="宋体" w:hint="ascii"/>
          <w:b w:val="1"/>
          <w:sz w:val="21"/>
        </w:rPr>
        <w:t>。</w:t>
      </w:r>
      <w:r>
        <w:rPr>
          <w:rFonts w:ascii="宋体" w:hAnsi="宋体" w:cs="宋体" w:eastAsia="宋体" w:hint="ascii"/>
          <w:sz w:val="21"/>
        </w:rPr>
        <w:t>一些关键内容或技术如化合物的结构等，如不便在申请书中介绍，申请人应将其通过保密</w:t>
      </w:r>
      <w:r>
        <w:rPr>
          <w:rFonts w:ascii="宋体" w:hAnsi="宋体" w:cs="宋体" w:eastAsia="宋体" w:hint="ascii"/>
          <w:sz w:val="21"/>
          <w:spacing w:val="3"/>
        </w:rPr>
        <w:t>信函直接</w:t>
      </w:r>
      <w:r>
        <w:rPr>
          <w:rFonts w:ascii="宋体" w:hAnsi="宋体" w:cs="宋体" w:eastAsia="宋体" w:hint="ascii"/>
          <w:sz w:val="21"/>
        </w:rPr>
        <w:t>寄</w:t>
      </w:r>
      <w:r>
        <w:rPr>
          <w:rFonts w:ascii="宋体" w:hAnsi="宋体" w:cs="宋体" w:eastAsia="宋体" w:hint="ascii"/>
          <w:sz w:val="21"/>
          <w:spacing w:val="3"/>
        </w:rPr>
        <w:t>给本科学</w:t>
      </w:r>
      <w:r>
        <w:rPr>
          <w:rFonts w:ascii="宋体" w:hAnsi="宋体" w:cs="宋体" w:eastAsia="宋体" w:hint="ascii"/>
          <w:sz w:val="21"/>
        </w:rPr>
        <w:t>处</w:t>
      </w:r>
      <w:r>
        <w:rPr>
          <w:rFonts w:ascii="宋体" w:hAnsi="宋体" w:cs="宋体" w:eastAsia="宋体" w:hint="ascii"/>
          <w:sz w:val="21"/>
          <w:spacing w:val="3"/>
        </w:rPr>
        <w:t>，并在申</w:t>
      </w:r>
      <w:r>
        <w:rPr>
          <w:rFonts w:ascii="宋体" w:hAnsi="宋体" w:cs="宋体" w:eastAsia="宋体" w:hint="ascii"/>
          <w:sz w:val="21"/>
        </w:rPr>
        <w:t>请</w:t>
      </w:r>
      <w:r>
        <w:rPr>
          <w:rFonts w:ascii="宋体" w:hAnsi="宋体" w:cs="宋体" w:eastAsia="宋体" w:hint="ascii"/>
          <w:sz w:val="21"/>
          <w:spacing w:val="3"/>
        </w:rPr>
        <w:t>书中予以</w:t>
      </w:r>
      <w:r>
        <w:rPr>
          <w:rFonts w:ascii="宋体" w:hAnsi="宋体" w:cs="宋体" w:eastAsia="宋体" w:hint="ascii"/>
          <w:sz w:val="21"/>
        </w:rPr>
        <w:t>说</w:t>
      </w:r>
      <w:r>
        <w:rPr>
          <w:rFonts w:ascii="宋体" w:hAnsi="宋体" w:cs="宋体" w:eastAsia="宋体" w:hint="ascii"/>
          <w:sz w:val="21"/>
          <w:spacing w:val="3"/>
        </w:rPr>
        <w:t>明</w:t>
      </w:r>
      <w:r>
        <w:rPr>
          <w:rFonts w:ascii="宋体" w:hAnsi="宋体" w:cs="宋体" w:eastAsia="宋体" w:hint="ascii"/>
          <w:b w:val="1"/>
          <w:sz w:val="21"/>
          <w:spacing w:val="4"/>
        </w:rPr>
        <w:t>。</w:t>
      </w:r>
      <w:r>
        <w:rPr>
          <w:rFonts w:ascii="宋体" w:hAnsi="宋体" w:cs="宋体" w:eastAsia="宋体" w:hint="ascii"/>
          <w:sz w:val="21"/>
          <w:spacing w:val="3"/>
        </w:rPr>
        <w:t>如果</w:t>
      </w:r>
      <w:r>
        <w:rPr>
          <w:rFonts w:ascii="宋体" w:hAnsi="宋体" w:cs="宋体" w:eastAsia="宋体" w:hint="ascii"/>
          <w:sz w:val="21"/>
        </w:rPr>
        <w:t>研</w:t>
      </w:r>
      <w:r>
        <w:rPr>
          <w:rFonts w:ascii="宋体" w:hAnsi="宋体" w:cs="宋体" w:eastAsia="宋体" w:hint="ascii"/>
          <w:sz w:val="21"/>
          <w:spacing w:val="3"/>
        </w:rPr>
        <w:t>究内容与</w:t>
      </w:r>
      <w:r>
        <w:rPr>
          <w:rFonts w:ascii="宋体" w:hAnsi="宋体" w:cs="宋体" w:eastAsia="宋体" w:hint="ascii"/>
          <w:sz w:val="21"/>
        </w:rPr>
        <w:t>原</w:t>
      </w:r>
      <w:r>
        <w:rPr>
          <w:rFonts w:ascii="宋体" w:hAnsi="宋体" w:cs="宋体" w:eastAsia="宋体" w:hint="ascii"/>
          <w:sz w:val="21"/>
          <w:spacing w:val="3"/>
        </w:rPr>
        <w:t>导师工作</w:t>
      </w:r>
      <w:r>
        <w:rPr>
          <w:rFonts w:ascii="宋体" w:hAnsi="宋体" w:cs="宋体" w:eastAsia="宋体" w:hint="ascii"/>
          <w:sz w:val="21"/>
        </w:rPr>
        <w:t>相</w:t>
      </w:r>
      <w:r>
        <w:rPr>
          <w:rFonts w:ascii="宋体" w:hAnsi="宋体" w:cs="宋体" w:eastAsia="宋体" w:hint="ascii"/>
          <w:sz w:val="21"/>
          <w:spacing w:val="3"/>
        </w:rPr>
        <w:t>似</w:t>
      </w:r>
      <w:r>
        <w:rPr>
          <w:rFonts w:ascii="宋体" w:hAnsi="宋体" w:cs="宋体" w:eastAsia="宋体" w:hint="ascii"/>
          <w:sz w:val="21"/>
        </w:rPr>
        <w:t>或</w:t>
      </w:r>
      <w:r>
        <w:rPr>
          <w:rFonts w:ascii="宋体" w:hAnsi="宋体" w:cs="宋体" w:eastAsia="宋体" w:hint="ascii"/>
          <w:sz w:val="21"/>
          <w:spacing w:val="3"/>
        </w:rPr>
        <w:t>是原研究</w:t>
      </w:r>
      <w:r>
        <w:rPr>
          <w:rFonts w:ascii="宋体" w:hAnsi="宋体" w:cs="宋体" w:eastAsia="宋体" w:hint="ascii"/>
          <w:sz w:val="21"/>
        </w:rPr>
        <w:t>生</w:t>
      </w:r>
      <w:r>
        <w:rPr>
          <w:rFonts w:ascii="宋体" w:hAnsi="宋体" w:cs="宋体" w:eastAsia="宋体" w:hint="ascii"/>
          <w:sz w:val="21"/>
          <w:spacing w:val="3"/>
        </w:rPr>
        <w:t>课题的后</w:t>
      </w:r>
      <w:r>
        <w:rPr>
          <w:rFonts w:ascii="宋体" w:hAnsi="宋体" w:cs="宋体" w:eastAsia="宋体" w:hint="ascii"/>
          <w:sz w:val="21"/>
        </w:rPr>
        <w:t>续</w:t>
      </w:r>
      <w:r>
        <w:rPr>
          <w:rFonts w:ascii="宋体" w:hAnsi="宋体" w:cs="宋体" w:eastAsia="宋体" w:hint="ascii"/>
          <w:sz w:val="21"/>
          <w:spacing w:val="3"/>
        </w:rPr>
        <w:t>研究，申</w:t>
      </w:r>
      <w:r>
        <w:rPr>
          <w:rFonts w:ascii="宋体" w:hAnsi="宋体" w:cs="宋体" w:eastAsia="宋体" w:hint="ascii"/>
          <w:sz w:val="21"/>
        </w:rPr>
        <w:t>请</w:t>
      </w:r>
      <w:r>
        <w:rPr>
          <w:rFonts w:ascii="宋体" w:hAnsi="宋体" w:cs="宋体" w:eastAsia="宋体" w:hint="ascii"/>
          <w:sz w:val="21"/>
          <w:spacing w:val="3"/>
        </w:rPr>
        <w:t>人应征得</w:t>
      </w:r>
      <w:r>
        <w:rPr>
          <w:rFonts w:ascii="宋体" w:hAnsi="宋体" w:cs="宋体" w:eastAsia="宋体" w:hint="ascii"/>
          <w:sz w:val="21"/>
        </w:rPr>
        <w:t>原</w:t>
      </w:r>
      <w:r>
        <w:rPr>
          <w:rFonts w:ascii="宋体" w:hAnsi="宋体" w:cs="宋体" w:eastAsia="宋体" w:hint="ascii"/>
          <w:sz w:val="21"/>
          <w:spacing w:val="3"/>
        </w:rPr>
        <w:t>导师的同</w:t>
      </w:r>
      <w:r>
        <w:rPr>
          <w:rFonts w:ascii="宋体" w:hAnsi="宋体" w:cs="宋体" w:eastAsia="宋体" w:hint="ascii"/>
          <w:sz w:val="21"/>
        </w:rPr>
        <w:t>意</w:t>
      </w:r>
      <w:r>
        <w:rPr>
          <w:rFonts w:ascii="宋体" w:hAnsi="宋体" w:cs="宋体" w:eastAsia="宋体" w:hint="ascii"/>
          <w:sz w:val="21"/>
          <w:spacing w:val="3"/>
        </w:rPr>
        <w:t>，并在申</w:t>
      </w:r>
      <w:r>
        <w:rPr>
          <w:rFonts w:ascii="宋体" w:hAnsi="宋体" w:cs="宋体" w:eastAsia="宋体" w:hint="ascii"/>
          <w:sz w:val="21"/>
        </w:rPr>
        <w:t>请</w:t>
      </w:r>
      <w:r>
        <w:rPr>
          <w:rFonts w:ascii="宋体" w:hAnsi="宋体" w:cs="宋体" w:eastAsia="宋体" w:hint="ascii"/>
          <w:sz w:val="21"/>
          <w:spacing w:val="3"/>
        </w:rPr>
        <w:t>书中附上</w:t>
      </w:r>
      <w:r>
        <w:rPr>
          <w:rFonts w:ascii="宋体" w:hAnsi="宋体" w:cs="宋体" w:eastAsia="宋体" w:hint="ascii"/>
          <w:sz w:val="21"/>
        </w:rPr>
        <w:t>原</w:t>
      </w:r>
      <w:r>
        <w:rPr>
          <w:rFonts w:ascii="宋体" w:hAnsi="宋体" w:cs="宋体" w:eastAsia="宋体" w:hint="ascii"/>
          <w:sz w:val="21"/>
          <w:spacing w:val="3"/>
        </w:rPr>
        <w:t>导</w:t>
      </w:r>
      <w:r>
        <w:rPr>
          <w:rFonts w:ascii="宋体" w:hAnsi="宋体" w:cs="宋体" w:eastAsia="宋体" w:hint="ascii"/>
          <w:sz w:val="21"/>
        </w:rPr>
        <w:t>师同意函</w:t>
      </w:r>
      <w:r>
        <w:rPr>
          <w:rFonts w:ascii="宋体" w:hAnsi="宋体" w:cs="宋体" w:eastAsia="宋体" w:hint="ascii"/>
          <w:b w:val="1"/>
          <w:sz w:val="21"/>
        </w:rPr>
        <w:t>。</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医学科学十处</w:t>
      </w:r>
    </w:p>
    <w:p>
      <w:pPr>
        <w:autoSpaceDE w:val="0"/>
        <w:autoSpaceDN w:val="0"/>
        <w:jc w:val="both"/>
        <w:spacing w:before="301"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医学科学十处</w:t>
      </w:r>
      <w:r>
        <w:rPr>
          <w:rFonts w:ascii="宋体" w:hAnsi="宋体" w:cs="宋体" w:eastAsia="宋体" w:hint="ascii"/>
          <w:sz w:val="21"/>
        </w:rPr>
        <w:t>以突出中医药优势、发展中医药学理论为宗旨，主要资助中医学、中药学和中西医结合领域的基础研究和临床基础研究。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中医学（</w:t>
      </w:r>
      <w:r>
        <w:rPr>
          <w:rFonts w:ascii="Times New Roman" w:hAnsi="Times New Roman" w:cs="Times New Roman" w:eastAsia="Times New Roman" w:hint="ascii"/>
          <w:b w:val="1"/>
        </w:rPr>
        <w:t>H27</w:t>
      </w:r>
      <w:r>
        <w:rPr>
          <w:rFonts w:ascii="宋体" w:hAnsi="宋体" w:cs="宋体" w:eastAsia="宋体" w:hint="ascii"/>
        </w:rPr>
        <w:t>）</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主要资助：①中医基础理论：脏腑、气血津液、体质、病因病机、证候基础、治则</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治法、中医方</w:t>
      </w:r>
      <w:r>
        <w:rPr>
          <w:rFonts w:ascii="宋体" w:hAnsi="宋体" w:cs="宋体" w:eastAsia="宋体" w:hint="ascii"/>
          <w:sz w:val="21"/>
        </w:rPr>
        <w:t>剂学、中医诊断学；②中医临床基础：中医内科学、中医外科学、中医骨</w:t>
      </w:r>
      <w:r>
        <w:rPr>
          <w:rFonts w:ascii="宋体" w:hAnsi="宋体" w:cs="宋体" w:eastAsia="宋体" w:hint="ascii"/>
          <w:sz w:val="21"/>
          <w:spacing w:val="-1"/>
        </w:rPr>
        <w:t>伤科学、中医</w:t>
      </w:r>
      <w:r>
        <w:rPr>
          <w:rFonts w:ascii="宋体" w:hAnsi="宋体" w:cs="宋体" w:eastAsia="宋体" w:hint="ascii"/>
          <w:sz w:val="21"/>
        </w:rPr>
        <w:t>妇科学、中医儿科学、中医眼科学、中医耳鼻喉科学、中医口腔科学、中</w:t>
      </w:r>
    </w:p>
    <w:p>
      <w:pPr>
        <w:autoSpaceDE w:val="0"/>
        <w:autoSpaceDN w:val="0"/>
        <w:jc w:val="left"/>
        <w:spacing w:before="27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医老年病学</w:t>
      </w:r>
      <w:r>
        <w:rPr>
          <w:rFonts w:ascii="宋体" w:hAnsi="宋体" w:cs="宋体" w:eastAsia="宋体" w:hint="ascii"/>
          <w:sz w:val="21"/>
        </w:rPr>
        <w:t>、中医养生与康复学；③针灸推拿：经络与腧穴学、针灸学、推拿按摩学；④民族医学。</w:t>
      </w:r>
      <w:r>
        <w:rPr>
          <w:rFonts w:ascii="宋体" w:hAnsi="宋体" w:cs="宋体" w:eastAsia="宋体" w:hint="ascii"/>
          <w:sz w:val="21"/>
        </w:rPr>
        <mc:AlternateContent>
          <mc:Choice Requires="wps">
            <w:drawing>
              <wp:anchor distL="0" distR="0" distT="0" distB="0" simplePos="0" behindDoc="1" relativeHeight="141" locked="0" layoutInCell="1" allowOverlap="1">
                <wp:simplePos x="0" y="0"/>
                <wp:positionH relativeFrom="page">
                  <wp:posOffset>938530</wp:posOffset>
                </wp:positionH>
                <wp:positionV relativeFrom="page">
                  <wp:posOffset>805815</wp:posOffset>
                </wp:positionV>
                <wp:extent cx="5076190" cy="0"/>
                <wp:wrapNone/>
                <wp:docPr id="1170" name="117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13856;width:399.70pt;" id="117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中药学（</w:t>
      </w:r>
      <w:r>
        <w:rPr>
          <w:rFonts w:ascii="Times New Roman" w:hAnsi="Times New Roman" w:cs="Times New Roman" w:eastAsia="Times New Roman" w:hint="ascii"/>
          <w:b w:val="1"/>
        </w:rPr>
        <w:t>H28</w:t>
      </w:r>
      <w:r>
        <w:rPr>
          <w:rFonts w:ascii="宋体" w:hAnsi="宋体" w:cs="宋体" w:eastAsia="宋体" w:hint="ascii"/>
        </w:rPr>
        <w:t>）</w:t>
      </w:r>
    </w:p>
    <w:p>
      <w:pPr>
        <w:autoSpaceDE w:val="0"/>
        <w:autoSpaceDN w:val="0"/>
        <w:jc w:val="both"/>
        <w:spacing w:before="157"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主要资助：①中药药物学：中药资源学、中药鉴定</w:t>
      </w:r>
      <w:r>
        <w:rPr>
          <w:rFonts w:ascii="宋体" w:hAnsi="宋体" w:cs="宋体" w:eastAsia="宋体" w:hint="ascii"/>
          <w:sz w:val="21"/>
          <w:spacing w:val="-1"/>
        </w:rPr>
        <w:t>学、中药药效物质、中药质量评</w:t>
      </w:r>
      <w:r>
        <w:rPr>
          <w:rFonts w:ascii="宋体" w:hAnsi="宋体" w:cs="宋体" w:eastAsia="宋体" w:hint="ascii"/>
          <w:sz w:val="21"/>
        </w:rPr>
        <w:t xml:space="preserve"> </w:t>
      </w:r>
      <w:r>
        <w:rPr>
          <w:rFonts w:ascii="宋体" w:hAnsi="宋体" w:cs="宋体" w:eastAsia="宋体" w:hint="ascii"/>
          <w:sz w:val="21"/>
          <w:spacing w:val="-1"/>
        </w:rPr>
        <w:t>价、中药炮</w:t>
      </w:r>
      <w:r>
        <w:rPr>
          <w:rFonts w:ascii="宋体" w:hAnsi="宋体" w:cs="宋体" w:eastAsia="宋体" w:hint="ascii"/>
          <w:sz w:val="21"/>
        </w:rPr>
        <w:t>制学、中药制剂学、中药药性理论；②中药药理学：中药神经精神药理、中</w:t>
      </w:r>
      <w:r>
        <w:rPr>
          <w:rFonts w:ascii="宋体" w:hAnsi="宋体" w:cs="宋体" w:eastAsia="宋体" w:hint="ascii"/>
          <w:sz w:val="21"/>
          <w:spacing w:val="-1"/>
        </w:rPr>
        <w:t>药心脑血管</w:t>
      </w:r>
      <w:r>
        <w:rPr>
          <w:rFonts w:ascii="宋体" w:hAnsi="宋体" w:cs="宋体" w:eastAsia="宋体" w:hint="ascii"/>
          <w:sz w:val="21"/>
        </w:rPr>
        <w:t>药理、中药抗肿瘤药理、中药内分泌及代谢药理、中药抗炎与免疫药理、中</w:t>
      </w:r>
      <w:r>
        <w:rPr>
          <w:rFonts w:ascii="宋体" w:hAnsi="宋体" w:cs="宋体" w:eastAsia="宋体" w:hint="ascii"/>
          <w:sz w:val="21"/>
          <w:spacing w:val="-1"/>
        </w:rPr>
        <w:t>药抗病毒与</w:t>
      </w:r>
      <w:r>
        <w:rPr>
          <w:rFonts w:ascii="宋体" w:hAnsi="宋体" w:cs="宋体" w:eastAsia="宋体" w:hint="ascii"/>
          <w:sz w:val="21"/>
        </w:rPr>
        <w:t>感染药理、中药呼吸药理、中药消化药理、中药泌尿与生殖药理、中药药代动力学、中药毒理学；③民族药学。</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中西医结合（</w:t>
      </w:r>
      <w:r>
        <w:rPr>
          <w:rFonts w:ascii="Times New Roman" w:hAnsi="Times New Roman" w:cs="Times New Roman" w:eastAsia="Times New Roman" w:hint="ascii"/>
          <w:b w:val="1"/>
        </w:rPr>
        <w:t>H29</w:t>
      </w:r>
      <w:r>
        <w:rPr>
          <w:rFonts w:ascii="宋体" w:hAnsi="宋体" w:cs="宋体" w:eastAsia="宋体" w:hint="ascii"/>
        </w:rPr>
        <w:t>）</w:t>
      </w:r>
    </w:p>
    <w:p>
      <w:pPr>
        <w:autoSpaceDE w:val="0"/>
        <w:autoSpaceDN w:val="0"/>
        <w:jc w:val="both"/>
        <w:spacing w:before="157"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主要资助：</w:t>
      </w:r>
      <w:r>
        <w:rPr>
          <w:rFonts w:ascii="宋体" w:hAnsi="宋体" w:cs="宋体" w:eastAsia="宋体" w:hint="ascii"/>
          <w:sz w:val="21"/>
        </w:rPr>
        <w:t>①中西医结合基础理论；②中西医结合临床基础；③中医药学研究的新技术和新方法。</w:t>
      </w:r>
    </w:p>
    <w:p>
      <w:pPr>
        <w:autoSpaceDE w:val="0"/>
        <w:autoSpaceDN w:val="0"/>
        <w:jc w:val="right"/>
        <w:spacing w:before="0"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近年来中医学、中药学和中西医结合领域资助项目</w:t>
      </w:r>
      <w:r>
        <w:rPr>
          <w:rFonts w:ascii="宋体" w:hAnsi="宋体" w:cs="宋体" w:eastAsia="宋体" w:hint="ascii"/>
          <w:sz w:val="21"/>
          <w:spacing w:val="-1"/>
        </w:rPr>
        <w:t>的特点是：①以中医药理论为指</w:t>
      </w:r>
      <w:r>
        <w:rPr>
          <w:rFonts w:ascii="宋体" w:hAnsi="宋体" w:cs="宋体" w:eastAsia="宋体" w:hint="ascii"/>
          <w:sz w:val="21"/>
        </w:rPr>
        <w:t xml:space="preserve"> </w:t>
      </w:r>
      <w:r>
        <w:rPr>
          <w:rFonts w:ascii="宋体" w:hAnsi="宋体" w:cs="宋体" w:eastAsia="宋体" w:hint="ascii"/>
          <w:sz w:val="21"/>
          <w:spacing w:val="-1"/>
        </w:rPr>
        <w:t>导，以临床</w:t>
      </w:r>
      <w:r>
        <w:rPr>
          <w:rFonts w:ascii="宋体" w:hAnsi="宋体" w:cs="宋体" w:eastAsia="宋体" w:hint="ascii"/>
          <w:sz w:val="21"/>
        </w:rPr>
        <w:t>疗效为基础，宏观与微观相结合，探讨人体生命活动的整体规律和中医药的</w:t>
      </w:r>
      <w:r>
        <w:rPr>
          <w:rFonts w:ascii="宋体" w:hAnsi="宋体" w:cs="宋体" w:eastAsia="宋体" w:hint="ascii"/>
          <w:sz w:val="21"/>
          <w:spacing w:val="-1"/>
        </w:rPr>
        <w:t>整合调节作</w:t>
      </w:r>
      <w:r>
        <w:rPr>
          <w:rFonts w:ascii="宋体" w:hAnsi="宋体" w:cs="宋体" w:eastAsia="宋体" w:hint="ascii"/>
          <w:sz w:val="21"/>
        </w:rPr>
        <w:t>用；②引进医学科学及其他科学前沿领域的理论、方法与技术，不断创新研</w:t>
      </w:r>
      <w:r>
        <w:rPr>
          <w:rFonts w:ascii="宋体" w:hAnsi="宋体" w:cs="宋体" w:eastAsia="宋体" w:hint="ascii"/>
          <w:sz w:val="21"/>
          <w:spacing w:val="-1"/>
        </w:rPr>
        <w:t>究思路和研</w:t>
      </w:r>
      <w:r>
        <w:rPr>
          <w:rFonts w:ascii="宋体" w:hAnsi="宋体" w:cs="宋体" w:eastAsia="宋体" w:hint="ascii"/>
          <w:sz w:val="21"/>
        </w:rPr>
        <w:t>究方法，把中医药的基础研究与相关新兴学科的理论及研究思路有机结合，</w:t>
      </w:r>
      <w:r>
        <w:rPr>
          <w:rFonts w:ascii="宋体" w:hAnsi="宋体" w:cs="宋体" w:eastAsia="宋体" w:hint="ascii"/>
          <w:sz w:val="21"/>
          <w:spacing w:val="-1"/>
        </w:rPr>
        <w:t>推动了中医</w:t>
      </w:r>
      <w:r>
        <w:rPr>
          <w:rFonts w:ascii="宋体" w:hAnsi="宋体" w:cs="宋体" w:eastAsia="宋体" w:hint="ascii"/>
          <w:sz w:val="21"/>
        </w:rPr>
        <w:t>药学科的发展；③重视中医及民族医学治疗某些功能性疾病、代谢性疾病、</w:t>
      </w:r>
      <w:r>
        <w:rPr>
          <w:rFonts w:ascii="宋体" w:hAnsi="宋体" w:cs="宋体" w:eastAsia="宋体" w:hint="ascii"/>
          <w:sz w:val="21"/>
          <w:spacing w:val="-1"/>
        </w:rPr>
        <w:t>老年性疾病</w:t>
      </w:r>
      <w:r>
        <w:rPr>
          <w:rFonts w:ascii="宋体" w:hAnsi="宋体" w:cs="宋体" w:eastAsia="宋体" w:hint="ascii"/>
          <w:sz w:val="21"/>
        </w:rPr>
        <w:t>、免疫性疾病、病毒感染性疾病等的临床基础研究，以探明临床疗效机制。本科学处优先支持基础研究和连续深入研究的项目申请，重点关注以中医药或民族</w:t>
      </w:r>
    </w:p>
    <w:p>
      <w:pPr>
        <w:autoSpaceDE w:val="0"/>
        <w:autoSpaceDN w:val="0"/>
        <w:jc w:val="both"/>
        <w:spacing w:before="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医药基础理</w:t>
      </w:r>
      <w:r>
        <w:rPr>
          <w:rFonts w:ascii="宋体" w:hAnsi="宋体" w:cs="宋体" w:eastAsia="宋体" w:hint="ascii"/>
          <w:sz w:val="21"/>
        </w:rPr>
        <w:t>论为切入点，深入挖掘其现代科学内涵的研究。继续鼓励多学科交叉，特别</w:t>
      </w:r>
      <w:r>
        <w:rPr>
          <w:rFonts w:ascii="宋体" w:hAnsi="宋体" w:cs="宋体" w:eastAsia="宋体" w:hint="ascii"/>
          <w:sz w:val="21"/>
          <w:spacing w:val="-1"/>
        </w:rPr>
        <w:t>是在中医药</w:t>
      </w:r>
      <w:r>
        <w:rPr>
          <w:rFonts w:ascii="宋体" w:hAnsi="宋体" w:cs="宋体" w:eastAsia="宋体" w:hint="ascii"/>
          <w:sz w:val="21"/>
        </w:rPr>
        <w:t>或民族医药理论指导下，以科学问题为导向，运用多学科理念、方法、技术</w:t>
      </w:r>
      <w:r>
        <w:rPr>
          <w:rFonts w:ascii="宋体" w:hAnsi="宋体" w:cs="宋体" w:eastAsia="宋体" w:hint="ascii"/>
          <w:sz w:val="21"/>
          <w:spacing w:val="-1"/>
        </w:rPr>
        <w:t>与手段进行</w:t>
      </w:r>
      <w:r>
        <w:rPr>
          <w:rFonts w:ascii="宋体" w:hAnsi="宋体" w:cs="宋体" w:eastAsia="宋体" w:hint="ascii"/>
          <w:sz w:val="21"/>
        </w:rPr>
        <w:t>跨学科协作研究，促进中医药基础理论的继承、发展与创新。根据中医药现</w:t>
      </w:r>
      <w:r>
        <w:rPr>
          <w:rFonts w:ascii="宋体" w:hAnsi="宋体" w:cs="宋体" w:eastAsia="宋体" w:hint="ascii"/>
          <w:sz w:val="21"/>
          <w:spacing w:val="-1"/>
        </w:rPr>
        <w:t>代研究的发</w:t>
      </w:r>
      <w:r>
        <w:rPr>
          <w:rFonts w:ascii="宋体" w:hAnsi="宋体" w:cs="宋体" w:eastAsia="宋体" w:hint="ascii"/>
          <w:sz w:val="21"/>
        </w:rPr>
        <w:t>展情况，本科学处继续重视支持以下方面的研究：藏象理论，病因病机，中</w:t>
      </w:r>
      <w:r>
        <w:rPr>
          <w:rFonts w:ascii="宋体" w:hAnsi="宋体" w:cs="宋体" w:eastAsia="宋体" w:hint="ascii"/>
          <w:sz w:val="21"/>
          <w:spacing w:val="-1"/>
        </w:rPr>
        <w:t>医证候，治</w:t>
      </w:r>
      <w:r>
        <w:rPr>
          <w:rFonts w:ascii="宋体" w:hAnsi="宋体" w:cs="宋体" w:eastAsia="宋体" w:hint="ascii"/>
          <w:sz w:val="21"/>
        </w:rPr>
        <w:t>则治法，经典方剂的减毒配伍、方证相关，中医药治疗优势病种及其关键环</w:t>
      </w:r>
      <w:r>
        <w:rPr>
          <w:rFonts w:ascii="宋体" w:hAnsi="宋体" w:cs="宋体" w:eastAsia="宋体" w:hint="ascii"/>
          <w:sz w:val="21"/>
          <w:spacing w:val="-1"/>
        </w:rPr>
        <w:t>节的基础，</w:t>
      </w:r>
      <w:r>
        <w:rPr>
          <w:rFonts w:ascii="宋体" w:hAnsi="宋体" w:cs="宋体" w:eastAsia="宋体" w:hint="ascii"/>
          <w:sz w:val="21"/>
        </w:rPr>
        <w:t>中医临床疗效评价方法学，经络腧穴理论与针灸推拿防治疾病的基础，中西</w:t>
      </w:r>
      <w:r>
        <w:rPr>
          <w:rFonts w:ascii="宋体" w:hAnsi="宋体" w:cs="宋体" w:eastAsia="宋体" w:hint="ascii"/>
          <w:sz w:val="21"/>
          <w:spacing w:val="-1"/>
        </w:rPr>
        <w:t>医结合基础</w:t>
      </w:r>
      <w:r>
        <w:rPr>
          <w:rFonts w:ascii="宋体" w:hAnsi="宋体" w:cs="宋体" w:eastAsia="宋体" w:hint="ascii"/>
          <w:sz w:val="21"/>
        </w:rPr>
        <w:t>理论与临床基础，中医药研究的创新性技术与方法，中药资源，中药鉴定，</w:t>
      </w:r>
      <w:r>
        <w:rPr>
          <w:rFonts w:ascii="宋体" w:hAnsi="宋体" w:cs="宋体" w:eastAsia="宋体" w:hint="ascii"/>
          <w:sz w:val="21"/>
          <w:spacing w:val="-1"/>
        </w:rPr>
        <w:t>中药炮制与</w:t>
      </w:r>
      <w:r>
        <w:rPr>
          <w:rFonts w:ascii="宋体" w:hAnsi="宋体" w:cs="宋体" w:eastAsia="宋体" w:hint="ascii"/>
          <w:sz w:val="21"/>
        </w:rPr>
        <w:t>制剂，中药药性，中药药效物质、体内过程及调控机制、中药药理作用及机制，中药毒性、毒理与毒</w:t>
      </w:r>
      <w:r>
        <w:rPr>
          <w:rFonts w:ascii="宋体" w:hAnsi="宋体" w:cs="宋体" w:eastAsia="宋体" w:hint="ascii"/>
          <w:sz w:val="21"/>
        </w:rPr>
        <w:t>-</w:t>
      </w:r>
      <w:r>
        <w:rPr>
          <w:rFonts w:ascii="宋体" w:hAnsi="宋体" w:cs="宋体" w:eastAsia="宋体" w:hint="ascii"/>
          <w:sz w:val="21"/>
        </w:rPr>
        <w:t>效相关性，民族医药等。</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本科学处不受理与中医药或民族医药理论无关的项目申请</w:t>
      </w:r>
      <w:r>
        <w:rPr>
          <w:rFonts w:ascii="宋体" w:hAnsi="宋体" w:cs="宋体" w:eastAsia="宋体" w:hint="ascii"/>
          <w:b w:val="1"/>
          <w:sz w:val="21"/>
        </w:rPr>
        <w:t>。</w:t>
      </w:r>
      <w:r>
        <w:rPr>
          <w:rFonts w:ascii="宋体" w:hAnsi="宋体" w:cs="宋体" w:eastAsia="宋体" w:hint="ascii"/>
          <w:sz w:val="21"/>
        </w:rPr>
        <w:t>与中医药或民族医药理</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b w:val="1"/>
          <w:sz w:val="21"/>
        </w:rPr>
      </w:pPr>
      <w:r>
        <w:rPr>
          <w:rFonts w:ascii="宋体" w:hAnsi="宋体" w:cs="宋体" w:eastAsia="宋体" w:hint="ascii"/>
          <w:sz w:val="21"/>
        </w:rPr>
        <w:t>论无关的药学研究项目，请在药物学（</w:t>
      </w:r>
      <w:r>
        <w:rPr>
          <w:rFonts w:ascii="Times New Roman" w:hAnsi="Times New Roman" w:cs="Times New Roman" w:eastAsia="Times New Roman" w:hint="ascii"/>
          <w:b w:val="1"/>
          <w:sz w:val="21"/>
        </w:rPr>
        <w:t>H30</w:t>
      </w:r>
      <w:r>
        <w:rPr>
          <w:rFonts w:ascii="宋体" w:hAnsi="宋体" w:cs="宋体" w:eastAsia="宋体" w:hint="ascii"/>
          <w:sz w:val="21"/>
        </w:rPr>
        <w:t>）或药理学（</w:t>
      </w:r>
      <w:r>
        <w:rPr>
          <w:rFonts w:ascii="Times New Roman" w:hAnsi="Times New Roman" w:cs="Times New Roman" w:eastAsia="Times New Roman" w:hint="ascii"/>
          <w:b w:val="1"/>
          <w:sz w:val="21"/>
        </w:rPr>
        <w:t>H31</w:t>
      </w:r>
      <w:r>
        <w:rPr>
          <w:rFonts w:ascii="宋体" w:hAnsi="宋体" w:cs="宋体" w:eastAsia="宋体" w:hint="ascii"/>
          <w:sz w:val="21"/>
        </w:rPr>
        <w:t>）申请；与中医药或民族医药理论无关的医学研究项目，请在医学相关学科（</w:t>
      </w:r>
      <w:r>
        <w:rPr>
          <w:rFonts w:ascii="Times New Roman" w:hAnsi="Times New Roman" w:cs="Times New Roman" w:eastAsia="Times New Roman" w:hint="ascii"/>
          <w:b w:val="1"/>
          <w:sz w:val="21"/>
        </w:rPr>
        <w:t>H01</w:t>
      </w:r>
      <w:r>
        <w:rPr>
          <w:rFonts w:ascii="宋体" w:hAnsi="宋体" w:cs="宋体" w:eastAsia="宋体" w:hint="ascii"/>
          <w:b w:val="1"/>
          <w:sz w:val="21"/>
        </w:rPr>
        <w:t>～</w:t>
      </w:r>
      <w:r>
        <w:rPr>
          <w:rFonts w:ascii="Times New Roman" w:hAnsi="Times New Roman" w:cs="Times New Roman" w:eastAsia="Times New Roman" w:hint="ascii"/>
          <w:b w:val="1"/>
          <w:sz w:val="21"/>
        </w:rPr>
        <w:t>H26</w:t>
      </w:r>
      <w:r>
        <w:rPr>
          <w:rFonts w:ascii="宋体" w:hAnsi="宋体" w:cs="宋体" w:eastAsia="宋体" w:hint="ascii"/>
          <w:sz w:val="21"/>
        </w:rPr>
        <w:t>）申请</w:t>
      </w:r>
      <w:r>
        <w:rPr>
          <w:rFonts w:ascii="宋体" w:hAnsi="宋体" w:cs="宋体" w:eastAsia="宋体" w:hint="ascii"/>
          <w:b w:val="1"/>
          <w:sz w:val="21"/>
        </w:rPr>
        <w:t>。</w:t>
      </w:r>
      <w:r>
        <w:rPr>
          <w:rFonts w:ascii="宋体" w:hAnsi="宋体" w:cs="宋体" w:eastAsia="宋体" w:hint="ascii"/>
          <w:sz w:val="21"/>
        </w:rPr>
        <w:t>研究中药复方</w:t>
      </w:r>
      <w:r>
        <w:rPr>
          <w:rFonts w:ascii="宋体" w:hAnsi="宋体" w:cs="宋体" w:eastAsia="宋体" w:hint="ascii"/>
          <w:sz w:val="21"/>
          <w:spacing w:val="-1"/>
        </w:rPr>
        <w:t>或针灸穴位</w:t>
      </w:r>
      <w:r>
        <w:rPr>
          <w:rFonts w:ascii="宋体" w:hAnsi="宋体" w:cs="宋体" w:eastAsia="宋体" w:hint="ascii"/>
          <w:sz w:val="21"/>
        </w:rPr>
        <w:t>的项目，应在申请书中介绍处方组成或相关穴位，如不便在申请书中介绍，应通过保密信函直接寄给本科学处，并在申请书中予以说明，否则不予受理</w:t>
      </w:r>
      <w:r>
        <w:rPr>
          <w:rFonts w:ascii="宋体" w:hAnsi="宋体" w:cs="宋体" w:eastAsia="宋体" w:hint="ascii"/>
          <w:b w:val="1"/>
          <w:sz w:val="21"/>
        </w:rPr>
        <w:t>。</w:t>
      </w:r>
    </w:p>
    <w:p>
      <w:pPr>
        <w:autoSpaceDE w:val="0"/>
        <w:autoSpaceDN w:val="0"/>
        <w:jc w:val="left"/>
        <w:spacing w:before="183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823" w:after="0" w:lineRule="exact" w:line="650"/>
        <w:ind w:right="0" w:left="3721" w:firstLine="0"/>
        <w:snapToGrid w:val="0"/>
        <w:textAlignment w:val="auto"/>
        <w:tabs/>
        <w:rPr>
          <w:rFonts w:ascii="宋体" w:hAnsi="宋体" w:cs="宋体" w:eastAsia="宋体" w:hint="ascii"/>
          <w:sz w:val="52"/>
        </w:rPr>
      </w:pPr>
      <w:r>
        <w:rPr>
          <w:rFonts w:ascii="宋体" w:hAnsi="宋体" w:cs="宋体" w:eastAsia="宋体" w:hint="ascii"/>
          <w:sz w:val="52"/>
          <w:spacing w:val="65"/>
        </w:rPr>
        <w:t>重点项</w:t>
      </w:r>
      <w:r>
        <w:rPr>
          <w:rFonts w:ascii="宋体" w:hAnsi="宋体" w:cs="宋体" w:eastAsia="宋体" w:hint="ascii"/>
          <w:sz w:val="52"/>
        </w:rPr>
        <w:t>目</w:t>
      </w:r>
      <w:r>
        <w:rPr>
          <w:rFonts w:ascii="宋体" w:hAnsi="宋体" w:cs="宋体" w:eastAsia="宋体" w:hint="ascii"/>
          <w:sz w:val="52"/>
        </w:rPr>
        <mc:AlternateContent>
          <mc:Choice Requires="wps">
            <w:drawing>
              <wp:anchor distL="0" distR="0" distT="0" distB="0" simplePos="0" behindDoc="1" relativeHeight="142" locked="0" layoutInCell="1" allowOverlap="1">
                <wp:simplePos x="0" y="0"/>
                <wp:positionH relativeFrom="page">
                  <wp:posOffset>938530</wp:posOffset>
                </wp:positionH>
                <wp:positionV relativeFrom="page">
                  <wp:posOffset>819150</wp:posOffset>
                </wp:positionV>
                <wp:extent cx="5076190" cy="0"/>
                <wp:wrapNone/>
                <wp:docPr id="1171" name="117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12832;width:399.70pt;" id="1171"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143" locked="0" layoutInCell="1" allowOverlap="1">
                <wp:simplePos x="0" y="0"/>
                <wp:positionH relativeFrom="page">
                  <wp:posOffset>548640</wp:posOffset>
                </wp:positionH>
                <wp:positionV relativeFrom="page">
                  <wp:posOffset>534670</wp:posOffset>
                </wp:positionV>
                <wp:extent cx="5669280" cy="499745"/>
                <wp:wrapNone/>
                <wp:docPr id="1172" name="1172"/>
                <wp:cNvGraphicFramePr/>
                <a:graphic>
                  <a:graphicData uri="http://schemas.microsoft.com/office/word/2010/wordprocessingShape">
                    <wps:wsp>
                      <wps:cNvSpPr/>
                      <wps:spPr>
                        <a:xfrm>
                          <a:off x="0" y="0"/>
                          <a:ext cx="5669280" cy="49974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3.20pt;mso-position-vertical:absolute;mso-position-vertical-relative:page;margin-top:42.10pt;z-index:-251511808;width:446.40pt;height:39.35pt;" id="1172" coordsize="8928,787" stroked="f" fillcolor="#ffffff" opacity="0f">
                <v:stroke endcap="round"/>
                <v:fill opacity="0f"/>
                <w10:wrap anchorx="page" anchory="page" side="both"/>
              </v:rect>
            </w:pict>
          </mc:Fallback>
        </mc:AlternateContent>
      </w:r>
    </w:p>
    <w:p>
      <w:pPr>
        <w:autoSpaceDE w:val="0"/>
        <w:autoSpaceDN w:val="0"/>
        <w:jc w:val="left"/>
        <w:spacing w:before="518"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重点项目支持从事基础研究的科学技术人员针对已有较好基础的研究方</w:t>
      </w:r>
    </w:p>
    <w:p>
      <w:pPr>
        <w:autoSpaceDE w:val="0"/>
        <w:autoSpaceDN w:val="0"/>
        <w:jc w:val="both"/>
        <w:spacing w:before="12" w:after="0" w:lineRule="exact" w:line="360"/>
        <w:ind w:right="963" w:left="966" w:firstLine="0"/>
        <w:snapToGrid w:val="0"/>
        <w:textAlignment w:val="auto"/>
        <w:tabs/>
        <w:rPr>
          <w:rFonts w:ascii="宋体" w:hAnsi="宋体" w:cs="宋体" w:eastAsia="宋体" w:hint="ascii"/>
        </w:rPr>
      </w:pPr>
      <w:r>
        <w:rPr>
          <w:rFonts w:ascii="宋体" w:hAnsi="宋体" w:cs="宋体" w:eastAsia="宋体" w:hint="ascii"/>
        </w:rPr>
        <w:t>向或学科生长点开展深入、系统的创新性研究，促进学科发展，推动若干重要领域或科学前沿取得突破。</w:t>
      </w:r>
    </w:p>
    <w:p>
      <w:pPr>
        <w:autoSpaceDE w:val="0"/>
        <w:autoSpaceDN w:val="0"/>
        <w:jc w:val="left"/>
        <w:spacing w:before="48"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重点项目应当体现有限目标、有限规模、重点突出的原则，重视学科交</w:t>
      </w:r>
    </w:p>
    <w:p>
      <w:pPr>
        <w:autoSpaceDE w:val="0"/>
        <w:autoSpaceDN w:val="0"/>
        <w:jc w:val="both"/>
        <w:spacing w:before="12" w:after="0" w:lineRule="exact" w:line="360"/>
        <w:ind w:right="963" w:left="966" w:firstLine="0"/>
        <w:snapToGrid w:val="0"/>
        <w:textAlignment w:val="auto"/>
        <w:tabs/>
        <w:rPr>
          <w:rFonts w:ascii="宋体" w:hAnsi="宋体" w:cs="宋体" w:eastAsia="宋体" w:hint="ascii"/>
        </w:rPr>
      </w:pPr>
      <w:r>
        <w:rPr>
          <w:rFonts w:ascii="宋体" w:hAnsi="宋体" w:cs="宋体" w:eastAsia="宋体" w:hint="ascii"/>
        </w:rPr>
        <w:t>叉与渗透，有效利用国家和部门现有重要科学研究基地的条件，积极开展实质性的国际合作与交流。</w:t>
      </w:r>
    </w:p>
    <w:p>
      <w:pPr>
        <w:autoSpaceDE w:val="0"/>
        <w:autoSpaceDN w:val="0"/>
        <w:jc w:val="left"/>
        <w:spacing w:before="48"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重点项目申请人应当具备以下条件：</w:t>
      </w:r>
    </w:p>
    <w:p>
      <w:pPr>
        <w:autoSpaceDE w:val="0"/>
        <w:autoSpaceDN w:val="0"/>
        <w:jc w:val="left"/>
        <w:spacing w:before="60"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）具有承担基础研究课题的经历；</w:t>
      </w:r>
    </w:p>
    <w:p>
      <w:pPr>
        <w:autoSpaceDE w:val="0"/>
        <w:autoSpaceDN w:val="0"/>
        <w:jc w:val="left"/>
        <w:spacing w:before="60"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w:t>
      </w:r>
      <w:r>
        <w:rPr>
          <w:rFonts w:ascii="宋体" w:hAnsi="宋体" w:cs="宋体" w:eastAsia="宋体" w:hint="ascii"/>
          <w:spacing w:val="-60"/>
        </w:rPr>
        <w:t>）</w:t>
      </w:r>
      <w:r>
        <w:rPr>
          <w:rFonts w:ascii="宋体" w:hAnsi="宋体" w:cs="宋体" w:eastAsia="宋体" w:hint="ascii"/>
        </w:rPr>
        <w:t>。</w:t>
      </w:r>
    </w:p>
    <w:p>
      <w:pPr>
        <w:autoSpaceDE w:val="0"/>
        <w:autoSpaceDN w:val="0"/>
        <w:jc w:val="both"/>
        <w:spacing w:before="12" w:after="0" w:lineRule="exact" w:line="360"/>
        <w:ind w:right="978" w:left="966" w:firstLine="480"/>
        <w:snapToGrid w:val="0"/>
        <w:textAlignment w:val="auto"/>
        <w:tabs/>
        <w:rPr>
          <w:rFonts w:ascii="宋体" w:hAnsi="宋体" w:cs="宋体" w:eastAsia="宋体" w:hint="ascii"/>
        </w:rPr>
      </w:pPr>
      <w:r>
        <w:rPr>
          <w:rFonts w:ascii="宋体" w:hAnsi="宋体" w:cs="宋体" w:eastAsia="宋体" w:hint="ascii"/>
        </w:rPr>
        <w:t>在站博士后研究人员、正在攻读研究生学位人员以及无工作单位或者所在单位不是依托单位的人员不得作为申请人进行申请。</w:t>
      </w:r>
    </w:p>
    <w:p>
      <w:pPr>
        <w:autoSpaceDE w:val="0"/>
        <w:autoSpaceDN w:val="0"/>
        <w:jc w:val="both"/>
        <w:spacing w:before="0" w:after="0" w:lineRule="exact" w:line="360"/>
        <w:ind w:right="963" w:left="966" w:firstLine="480"/>
        <w:snapToGrid w:val="0"/>
        <w:textAlignment w:val="auto"/>
        <w:tabs/>
        <w:rPr>
          <w:rFonts w:ascii="宋体" w:hAnsi="宋体" w:cs="宋体" w:eastAsia="宋体" w:hint="ascii"/>
        </w:rPr>
      </w:pPr>
      <w:r>
        <w:rPr>
          <w:rFonts w:ascii="宋体" w:hAnsi="宋体" w:cs="宋体" w:eastAsia="宋体" w:hint="ascii"/>
        </w:rPr>
        <w:t>重点项目每年确定受理申请的研究领域或研究方向，发布指南引导</w:t>
      </w:r>
      <w:r>
        <w:rPr>
          <w:rFonts w:ascii="宋体" w:hAnsi="宋体" w:cs="宋体" w:eastAsia="宋体" w:hint="ascii"/>
          <w:spacing w:val="-8"/>
        </w:rPr>
        <w:t>申</w:t>
      </w:r>
      <w:r>
        <w:rPr>
          <w:rFonts w:ascii="宋体" w:hAnsi="宋体" w:cs="宋体" w:eastAsia="宋体" w:hint="ascii"/>
        </w:rPr>
        <w:t xml:space="preserve"> 请。申请人应当按照本《指南》的要求和重点项目申请书撰写提纲撰写申请书，在研究领域或研究方向范围内，凝练科学问题，根据研究内容确定项目名称，注意避免项目名称覆盖整个领域或方向。</w:t>
      </w:r>
    </w:p>
    <w:p>
      <w:pPr>
        <w:autoSpaceDE w:val="0"/>
        <w:autoSpaceDN w:val="0"/>
        <w:jc w:val="both"/>
        <w:spacing w:before="0" w:after="0" w:lineRule="exact" w:line="360"/>
        <w:ind w:right="963" w:left="966" w:firstLine="480"/>
        <w:snapToGrid w:val="0"/>
        <w:textAlignment w:val="auto"/>
        <w:tabs/>
        <w:rPr>
          <w:rFonts w:ascii="宋体" w:hAnsi="宋体" w:cs="宋体" w:eastAsia="宋体" w:hint="ascii"/>
        </w:rPr>
      </w:pPr>
      <w:r>
        <w:rPr>
          <w:rFonts w:ascii="宋体" w:hAnsi="宋体" w:cs="宋体" w:eastAsia="宋体" w:hint="ascii"/>
        </w:rPr>
        <w:t>重点项目一般由</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rPr>
        <w:t>个单位承担，确有必要时，合作研究单位不得超过</w:t>
      </w:r>
      <w:r>
        <w:rPr>
          <w:rFonts w:ascii="宋体" w:hAnsi="宋体" w:cs="宋体" w:eastAsia="宋体" w:hint="ascii"/>
          <w:spacing w:val="-30"/>
        </w:rPr>
        <w:t xml:space="preserve"> </w:t>
      </w:r>
      <w:r>
        <w:rPr>
          <w:rFonts w:ascii="Times New Roman" w:hAnsi="Times New Roman" w:cs="Times New Roman" w:eastAsia="Times New Roman" w:hint="ascii"/>
        </w:rPr>
        <w:t xml:space="preserve">2 </w:t>
      </w:r>
      <w:r>
        <w:rPr>
          <w:rFonts w:ascii="宋体" w:hAnsi="宋体" w:cs="宋体" w:eastAsia="宋体" w:hint="ascii"/>
        </w:rPr>
        <w:t>个，资助期限</w:t>
      </w:r>
      <w:r>
        <w:rPr>
          <w:rFonts w:ascii="宋体" w:hAnsi="宋体" w:cs="宋体" w:eastAsia="宋体" w:hint="ascii"/>
          <w:spacing w:val="30"/>
        </w:rPr>
        <w:t>为</w:t>
      </w:r>
      <w:r>
        <w:rPr>
          <w:rFonts w:ascii="Times New Roman" w:hAnsi="Times New Roman" w:cs="Times New Roman" w:eastAsia="Times New Roman" w:hint="ascii"/>
          <w:spacing w:val="60"/>
        </w:rPr>
        <w:t>5</w:t>
      </w:r>
      <w:r>
        <w:rPr>
          <w:rFonts w:ascii="宋体" w:hAnsi="宋体" w:cs="宋体" w:eastAsia="宋体" w:hint="ascii"/>
        </w:rPr>
        <w:t>年。</w:t>
      </w:r>
    </w:p>
    <w:p>
      <w:pPr>
        <w:autoSpaceDE w:val="0"/>
        <w:autoSpaceDN w:val="0"/>
        <w:jc w:val="left"/>
        <w:spacing w:before="48"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特别提醒申请人注意：</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1"/>
        </w:rPr>
        <w:t>8</w:t>
      </w:r>
      <w:r>
        <w:rPr>
          <w:rFonts w:ascii="宋体" w:hAnsi="宋体" w:cs="宋体" w:eastAsia="宋体" w:hint="ascii"/>
        </w:rPr>
        <w:t>年，对重点项目开展无纸化申请试点，申请</w:t>
      </w:r>
    </w:p>
    <w:p>
      <w:pPr>
        <w:autoSpaceDE w:val="0"/>
        <w:autoSpaceDN w:val="0"/>
        <w:jc w:val="both"/>
        <w:spacing w:before="12" w:after="0" w:lineRule="exact" w:line="360"/>
        <w:ind w:right="963" w:left="966" w:firstLine="0"/>
        <w:snapToGrid w:val="0"/>
        <w:textAlignment w:val="auto"/>
        <w:tabs/>
        <w:rPr>
          <w:rFonts w:ascii="宋体" w:hAnsi="宋体" w:cs="宋体" w:eastAsia="宋体" w:hint="ascii"/>
        </w:rPr>
      </w:pPr>
      <w:r>
        <w:rPr>
          <w:rFonts w:ascii="宋体" w:hAnsi="宋体" w:cs="宋体" w:eastAsia="宋体" w:hint="ascii"/>
        </w:rPr>
        <w:t>时依托单位只需在线确认电子申请书及附件材料，无需报送纸质申请书</w:t>
      </w:r>
      <w:r>
        <w:rPr>
          <w:rFonts w:ascii="宋体" w:hAnsi="宋体" w:cs="宋体" w:eastAsia="宋体" w:hint="ascii"/>
          <w:b w:val="1"/>
        </w:rPr>
        <w:t>。</w:t>
      </w:r>
      <w:r>
        <w:rPr>
          <w:rFonts w:ascii="宋体" w:hAnsi="宋体" w:cs="宋体" w:eastAsia="宋体" w:hint="ascii"/>
        </w:rPr>
        <w:t>项目获批准后，在提交《资助项目计划书》时再补交申请书的纸质签字盖章页</w:t>
      </w:r>
    </w:p>
    <w:p>
      <w:pPr>
        <w:autoSpaceDE w:val="0"/>
        <w:autoSpaceDN w:val="0"/>
        <w:jc w:val="left"/>
        <w:spacing w:before="48" w:after="0" w:lineRule="exact" w:line="300"/>
        <w:ind w:right="0" w:left="846" w:firstLine="0"/>
        <w:snapToGrid w:val="0"/>
        <w:textAlignment w:val="auto"/>
        <w:tabs/>
        <w:rPr>
          <w:rFonts w:ascii="宋体" w:hAnsi="宋体" w:cs="宋体" w:eastAsia="宋体" w:hint="ascii"/>
          <w:b w:val="1"/>
        </w:rPr>
      </w:pPr>
      <w:r>
        <w:rPr>
          <w:rFonts w:ascii="宋体" w:hAnsi="宋体" w:cs="宋体" w:eastAsia="宋体" w:hint="ascii"/>
        </w:rPr>
        <w:t>（</w:t>
      </w:r>
      <w:r>
        <w:rPr>
          <w:rFonts w:ascii="Times New Roman" w:hAnsi="Times New Roman" w:cs="Times New Roman" w:eastAsia="Times New Roman" w:hint="ascii"/>
          <w:b w:val="1"/>
        </w:rPr>
        <w:t>A</w:t>
      </w:r>
      <w:r>
        <w:rPr>
          <w:rFonts w:ascii="Times New Roman" w:hAnsi="Times New Roman" w:cs="Times New Roman" w:eastAsia="Times New Roman" w:hint="ascii"/>
          <w:b w:val="1"/>
          <w:spacing w:val="60"/>
        </w:rPr>
        <w:t>4</w:t>
      </w:r>
      <w:r>
        <w:rPr>
          <w:rFonts w:ascii="宋体" w:hAnsi="宋体" w:cs="宋体" w:eastAsia="宋体" w:hint="ascii"/>
        </w:rPr>
        <w:t>纸</w:t>
      </w:r>
      <w:r>
        <w:rPr>
          <w:rFonts w:ascii="宋体" w:hAnsi="宋体" w:cs="宋体" w:eastAsia="宋体" w:hint="ascii"/>
          <w:spacing w:val="-60"/>
        </w:rPr>
        <w:t>）</w:t>
      </w:r>
      <w:r>
        <w:rPr>
          <w:rFonts w:ascii="宋体" w:hAnsi="宋体" w:cs="宋体" w:eastAsia="宋体" w:hint="ascii"/>
        </w:rPr>
        <w:t>，其签字盖章的信息应与电子申请书保持一致</w:t>
      </w:r>
      <w:r>
        <w:rPr>
          <w:rFonts w:ascii="宋体" w:hAnsi="宋体" w:cs="宋体" w:eastAsia="宋体" w:hint="ascii"/>
          <w:b w:val="1"/>
        </w:rPr>
        <w:t>。</w:t>
      </w:r>
    </w:p>
    <w:p>
      <w:pPr>
        <w:autoSpaceDE w:val="0"/>
        <w:autoSpaceDN w:val="0"/>
        <w:jc w:val="both"/>
        <w:spacing w:before="12" w:after="0" w:lineRule="exact" w:line="360"/>
        <w:ind w:right="978" w:left="966" w:firstLine="480"/>
        <w:snapToGrid w:val="0"/>
        <w:textAlignment w:val="auto"/>
        <w:tabs>
          <w:tab w:val="left" w:leader="none" w:pos="1988"/>
        </w:tabs>
        <w:numPr>
          <w:ilvl w:val="0"/>
          <w:numId w:val="120"/>
        </w:numPr>
        <w:rPr>
          <w:rFonts w:ascii="Times New Roman" w:hAnsi="Times New Roman" w:cs="Times New Roman" w:eastAsia="Times New Roman" w:hint="ascii"/>
        </w:rPr>
      </w:pPr>
      <w:r>
        <w:rPr>
          <w:rFonts w:ascii="宋体" w:hAnsi="宋体" w:cs="宋体" w:eastAsia="宋体" w:hint="ascii"/>
          <w:spacing w:val="-2"/>
        </w:rPr>
        <w:t>年度重点项</w:t>
      </w:r>
      <w:r>
        <w:rPr>
          <w:rFonts w:ascii="宋体" w:hAnsi="宋体" w:cs="宋体" w:eastAsia="宋体" w:hint="ascii"/>
          <w:spacing w:val="-1"/>
        </w:rPr>
        <w:t>目共资助</w:t>
      </w:r>
      <w:r>
        <w:rPr>
          <w:rFonts w:ascii="宋体" w:hAnsi="宋体" w:cs="宋体" w:eastAsia="宋体" w:hint="ascii"/>
          <w:spacing w:val="-31"/>
        </w:rPr>
        <w:t xml:space="preserve"> </w:t>
      </w:r>
      <w:r>
        <w:rPr>
          <w:rFonts w:ascii="Times New Roman" w:hAnsi="Times New Roman" w:cs="Times New Roman" w:eastAsia="Times New Roman" w:hint="ascii"/>
          <w:spacing w:val="-1"/>
        </w:rPr>
        <w:t>667</w:t>
      </w:r>
      <w:r>
        <w:rPr>
          <w:rFonts w:ascii="Times New Roman" w:hAnsi="Times New Roman" w:cs="Times New Roman" w:eastAsia="Times New Roman" w:hint="ascii"/>
          <w:spacing w:val="-31"/>
        </w:rPr>
        <w:t xml:space="preserve"> </w:t>
      </w:r>
      <w:r>
        <w:rPr>
          <w:rFonts w:ascii="宋体" w:hAnsi="宋体" w:cs="宋体" w:eastAsia="宋体" w:hint="ascii"/>
          <w:spacing w:val="-1"/>
        </w:rPr>
        <w:t>项，资助直接费用</w:t>
      </w:r>
      <w:r>
        <w:rPr>
          <w:rFonts w:ascii="宋体" w:hAnsi="宋体" w:cs="宋体" w:eastAsia="宋体" w:hint="ascii"/>
          <w:spacing w:val="-31"/>
        </w:rPr>
        <w:t xml:space="preserve"> </w:t>
      </w:r>
      <w:r>
        <w:rPr>
          <w:rFonts w:ascii="Times New Roman" w:hAnsi="Times New Roman" w:cs="Times New Roman" w:eastAsia="Times New Roman" w:hint="ascii"/>
          <w:spacing w:val="-1"/>
        </w:rPr>
        <w:t>198 700</w:t>
      </w:r>
      <w:r>
        <w:rPr>
          <w:rFonts w:ascii="Times New Roman" w:hAnsi="Times New Roman" w:cs="Times New Roman" w:eastAsia="Times New Roman" w:hint="ascii"/>
          <w:spacing w:val="-31"/>
        </w:rPr>
        <w:t xml:space="preserve"> </w:t>
      </w:r>
      <w:r>
        <w:rPr>
          <w:rFonts w:ascii="宋体" w:hAnsi="宋体" w:cs="宋体" w:eastAsia="宋体" w:hint="ascii"/>
          <w:spacing w:val="-1"/>
        </w:rPr>
        <w:t>万元，平均资</w:t>
      </w:r>
      <w:r>
        <w:rPr>
          <w:rFonts w:ascii="宋体" w:hAnsi="宋体" w:cs="宋体" w:eastAsia="宋体" w:hint="ascii"/>
        </w:rPr>
        <w:t xml:space="preserve"> 助强</w:t>
      </w:r>
      <w:r>
        <w:rPr>
          <w:rFonts w:ascii="宋体" w:hAnsi="宋体" w:cs="宋体" w:eastAsia="宋体" w:hint="ascii"/>
          <w:spacing w:val="30"/>
        </w:rPr>
        <w:t>度</w:t>
      </w:r>
      <w:r>
        <w:rPr>
          <w:rFonts w:ascii="Times New Roman" w:hAnsi="Times New Roman" w:cs="Times New Roman" w:eastAsia="Times New Roman" w:hint="ascii"/>
        </w:rPr>
        <w:t>297.9</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项（资助情况见下表</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2184"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0" w:lineRule="auto" w:line="240"/>
        <w:ind w:right="0" w:left="3861"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4"/>
        </w:rPr>
        <w:t>7</w:t>
      </w:r>
      <w:r>
        <w:rPr>
          <w:rFonts w:ascii="宋体" w:hAnsi="宋体" w:cs="宋体" w:eastAsia="宋体" w:hint="ascii"/>
          <w:sz w:val="18"/>
        </w:rPr>
        <w:t>年度重点项目资助情况</w:t>
      </w:r>
      <w:r>
        <w:rPr>
          <w:rFonts w:ascii="宋体" w:hAnsi="宋体" w:cs="宋体" w:eastAsia="宋体" w:hint="ascii"/>
          <w:sz w:val="18"/>
        </w:rPr>
        <mc:AlternateContent>
          <mc:Choice Requires="wps">
            <w:drawing>
              <wp:anchor distL="0" distR="0" distT="0" distB="0" simplePos="0" behindDoc="1" relativeHeight="144" locked="0" layoutInCell="1" allowOverlap="1">
                <wp:simplePos x="0" y="0"/>
                <wp:positionH relativeFrom="page">
                  <wp:posOffset>938530</wp:posOffset>
                </wp:positionH>
                <wp:positionV relativeFrom="page">
                  <wp:posOffset>805815</wp:posOffset>
                </wp:positionV>
                <wp:extent cx="5076190" cy="0"/>
                <wp:wrapNone/>
                <wp:docPr id="1173" name="117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10784;width:399.70pt;" id="117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3"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417"/>
        <w:gridCol w:w="850"/>
        <w:gridCol w:w="849"/>
        <w:gridCol w:w="1134"/>
        <w:gridCol w:w="1236"/>
        <w:gridCol w:w="1600"/>
        <w:gridCol w:w="906"/>
      </w:tblGrid>
      <w:tr>
        <w:trPr>
          <w:trHeight w:val="346" w:hRule="exact"/>
          <w:cantSplit w:val="1"/>
        </w:trPr>
        <w:tc>
          <w:tcPr>
            <w:tcW w:w="1417" w:type="dxa"/>
            <w:gridSpan w:val="1"/>
            <w:vAlign w:val="top"/>
            <w:vMerge w:val="restart"/>
            <w:tcMar/>
            <w:tcBorders/>
          </w:tcPr>
          <w:p>
            <w:pPr>
              <w:autoSpaceDE w:val="0"/>
              <w:autoSpaceDN w:val="0"/>
              <w:jc w:val="left"/>
              <w:spacing w:before="238" w:after="0" w:lineRule="exact" w:line="188"/>
              <w:ind w:right="0" w:left="474"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850" w:type="dxa"/>
            <w:gridSpan w:val="1"/>
            <w:vAlign w:val="top"/>
            <w:vMerge w:val="restart"/>
            <w:tcMar/>
            <w:tcBorders>
              <w:left w:val="single" w:sz="4" w:space="0" w:color="000000"/>
            </w:tcBorders>
          </w:tcPr>
          <w:p>
            <w:pPr>
              <w:autoSpaceDE w:val="0"/>
              <w:autoSpaceDN w:val="0"/>
              <w:jc w:val="left"/>
              <w:spacing w:before="238" w:after="0" w:lineRule="exact" w:line="188"/>
              <w:ind w:right="0" w:left="119" w:firstLine="0"/>
              <w:snapToGrid w:val="0"/>
              <w:textAlignment w:val="auto"/>
              <w:tabs/>
              <w:rPr>
                <w:rFonts w:ascii="宋体" w:hAnsi="宋体" w:cs="宋体" w:eastAsia="宋体" w:hint="ascii"/>
                <w:sz w:val="15"/>
              </w:rPr>
            </w:pPr>
            <w:r>
              <w:rPr>
                <w:rFonts w:ascii="宋体" w:hAnsi="宋体" w:cs="宋体" w:eastAsia="宋体" w:hint="ascii"/>
                <w:sz w:val="15"/>
              </w:rPr>
              <w:t>申请项数</w:t>
            </w:r>
          </w:p>
        </w:tc>
        <w:tc>
          <w:tcPr>
            <w:tcW w:w="4819" w:type="dxa"/>
            <w:gridSpan w:val="4"/>
            <w:vAlign w:val="top"/>
            <w:tcMar/>
            <w:tcBorders>
              <w:left w:val="single" w:sz="4" w:space="0" w:color="000000"/>
            </w:tcBorders>
          </w:tcPr>
          <w:p>
            <w:pPr>
              <w:autoSpaceDE w:val="0"/>
              <w:autoSpaceDN w:val="0"/>
              <w:jc w:val="left"/>
              <w:spacing w:before="68" w:after="0" w:lineRule="exact" w:line="188"/>
              <w:ind w:right="0" w:left="2105" w:firstLine="0"/>
              <w:snapToGrid w:val="0"/>
              <w:textAlignment w:val="auto"/>
              <w:tabs/>
              <w:rPr>
                <w:rFonts w:ascii="宋体" w:hAnsi="宋体" w:cs="宋体" w:eastAsia="宋体" w:hint="ascii"/>
                <w:sz w:val="15"/>
              </w:rPr>
            </w:pPr>
            <w:r>
              <w:rPr>
                <w:rFonts w:ascii="宋体" w:hAnsi="宋体" w:cs="宋体" w:eastAsia="宋体" w:hint="ascii"/>
                <w:sz w:val="15"/>
              </w:rPr>
              <w:t>批准资助</w:t>
            </w:r>
          </w:p>
        </w:tc>
        <w:tc>
          <w:tcPr>
            <w:tcW w:w="906" w:type="dxa"/>
            <w:gridSpan w:val="1"/>
            <w:vAlign w:val="top"/>
            <w:vMerge w:val="restart"/>
            <w:tcMar/>
            <w:tcBorders>
              <w:left w:val="single" w:sz="4" w:space="0" w:color="000000"/>
              <w:right w:val="single" w:sz="8" w:space="0" w:color="000000"/>
            </w:tcBorders>
          </w:tcPr>
          <w:p>
            <w:pPr>
              <w:autoSpaceDE w:val="0"/>
              <w:autoSpaceDN w:val="0"/>
              <w:jc w:val="left"/>
              <w:spacing w:before="141" w:after="0" w:lineRule="exact" w:line="188"/>
              <w:ind w:right="0" w:left="223"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99"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341" w:hRule="exact"/>
          <w:cantSplit w:val="1"/>
        </w:trPr>
        <w:tc>
          <w:tcPr>
            <w:tcW w:w="1417"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50" w:type="dxa"/>
            <w:gridSpan w:val="1"/>
            <w:vAlign w:val="top"/>
            <w:vMerge w:val="continue"/>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9" w:type="dxa"/>
            <w:gridSpan w:val="1"/>
            <w:vAlign w:val="top"/>
            <w:tcMar/>
            <w:tcBorders>
              <w:left w:val="single" w:sz="4" w:space="0" w:color="000000"/>
              <w:top w:val="single" w:sz="4" w:space="0" w:color="000000"/>
            </w:tcBorders>
          </w:tcPr>
          <w:p>
            <w:pPr>
              <w:autoSpaceDE w:val="0"/>
              <w:autoSpaceDN w:val="0"/>
              <w:jc w:val="left"/>
              <w:spacing w:before="68" w:after="0" w:lineRule="exact" w:line="188"/>
              <w:ind w:right="0" w:left="270" w:firstLine="0"/>
              <w:snapToGrid w:val="0"/>
              <w:textAlignment w:val="auto"/>
              <w:tabs/>
              <w:rPr>
                <w:rFonts w:ascii="宋体" w:hAnsi="宋体" w:cs="宋体" w:eastAsia="宋体" w:hint="ascii"/>
                <w:sz w:val="15"/>
              </w:rPr>
            </w:pPr>
            <w:r>
              <w:rPr>
                <w:rFonts w:ascii="宋体" w:hAnsi="宋体" w:cs="宋体" w:eastAsia="宋体" w:hint="ascii"/>
                <w:sz w:val="15"/>
              </w:rPr>
              <w:t>项数</w:t>
            </w:r>
          </w:p>
        </w:tc>
        <w:tc>
          <w:tcPr>
            <w:tcW w:w="1134" w:type="dxa"/>
            <w:gridSpan w:val="1"/>
            <w:vAlign w:val="top"/>
            <w:tcMar/>
            <w:tcBorders>
              <w:left w:val="single" w:sz="4" w:space="0" w:color="000000"/>
              <w:top w:val="single" w:sz="4" w:space="0" w:color="000000"/>
            </w:tcBorders>
          </w:tcPr>
          <w:p>
            <w:pPr>
              <w:autoSpaceDE w:val="0"/>
              <w:autoSpaceDN w:val="0"/>
              <w:jc w:val="left"/>
              <w:spacing w:before="68" w:after="0" w:lineRule="exact" w:line="188"/>
              <w:ind w:right="0" w:left="261"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236" w:type="dxa"/>
            <w:gridSpan w:val="1"/>
            <w:vAlign w:val="top"/>
            <w:tcMar/>
            <w:tcBorders>
              <w:left w:val="single" w:sz="4" w:space="0" w:color="000000"/>
              <w:top w:val="single" w:sz="4" w:space="0" w:color="000000"/>
            </w:tcBorders>
          </w:tcPr>
          <w:p>
            <w:pPr>
              <w:autoSpaceDE w:val="0"/>
              <w:autoSpaceDN w:val="0"/>
              <w:jc w:val="left"/>
              <w:spacing w:before="68" w:after="0" w:lineRule="exact" w:line="188"/>
              <w:ind w:right="0" w:left="163" w:firstLine="0"/>
              <w:snapToGrid w:val="0"/>
              <w:textAlignment w:val="auto"/>
              <w:tabs/>
              <w:rPr>
                <w:rFonts w:ascii="宋体" w:hAnsi="宋体" w:cs="宋体" w:eastAsia="宋体" w:hint="ascii"/>
                <w:sz w:val="15"/>
              </w:rPr>
            </w:pPr>
            <w:r>
              <w:rPr>
                <w:rFonts w:ascii="宋体" w:hAnsi="宋体" w:cs="宋体" w:eastAsia="宋体" w:hint="ascii"/>
                <w:sz w:val="15"/>
              </w:rPr>
              <w:t>平均资助强度</w:t>
            </w:r>
          </w:p>
        </w:tc>
        <w:tc>
          <w:tcPr>
            <w:tcW w:w="1600" w:type="dxa"/>
            <w:gridSpan w:val="1"/>
            <w:vAlign w:val="top"/>
            <w:tcMar/>
            <w:tcBorders>
              <w:left w:val="single" w:sz="4" w:space="0" w:color="000000"/>
              <w:top w:val="single" w:sz="4" w:space="0" w:color="000000"/>
            </w:tcBorders>
          </w:tcPr>
          <w:p>
            <w:pPr>
              <w:autoSpaceDE w:val="0"/>
              <w:autoSpaceDN w:val="0"/>
              <w:jc w:val="left"/>
              <w:spacing w:before="68" w:after="0" w:lineRule="exact" w:line="188"/>
              <w:ind w:right="0" w:left="133" w:firstLine="0"/>
              <w:snapToGrid w:val="0"/>
              <w:textAlignment w:val="auto"/>
              <w:tabs/>
              <w:rPr>
                <w:rFonts w:ascii="宋体" w:hAnsi="宋体" w:cs="宋体" w:eastAsia="宋体" w:hint="ascii"/>
                <w:sz w:val="15"/>
              </w:rPr>
            </w:pPr>
            <w:r>
              <w:rPr>
                <w:rFonts w:ascii="宋体" w:hAnsi="宋体" w:cs="宋体" w:eastAsia="宋体" w:hint="ascii"/>
                <w:sz w:val="15"/>
              </w:rPr>
              <w:t>直接费用占比（</w:t>
            </w:r>
            <w:r>
              <w:rPr>
                <w:rFonts w:ascii="Times New Roman" w:hAnsi="Times New Roman" w:cs="Times New Roman" w:eastAsia="Times New Roman" w:hint="ascii"/>
                <w:sz w:val="15"/>
              </w:rPr>
              <w:t>%</w:t>
            </w:r>
            <w:r>
              <w:rPr>
                <w:rFonts w:ascii="宋体" w:hAnsi="宋体" w:cs="宋体" w:eastAsia="宋体" w:hint="ascii"/>
                <w:sz w:val="15"/>
              </w:rPr>
              <w:t>）</w:t>
            </w:r>
          </w:p>
        </w:tc>
        <w:tc>
          <w:tcPr>
            <w:tcW w:w="906" w:type="dxa"/>
            <w:gridSpan w:val="1"/>
            <w:vAlign w:val="top"/>
            <w:vMerge w:val="continue"/>
            <w:tcMar/>
            <w:tcBorders>
              <w:left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r>
      <w:tr>
        <w:trPr>
          <w:trHeight w:val="340"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281</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1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w:t>
            </w:r>
          </w:p>
        </w:tc>
        <w:tc>
          <w:tcPr>
            <w:tcW w:w="1134"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9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23 850</w:t>
            </w:r>
          </w:p>
        </w:tc>
        <w:tc>
          <w:tcPr>
            <w:tcW w:w="1236"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313.82</w:t>
            </w:r>
          </w:p>
        </w:tc>
        <w:tc>
          <w:tcPr>
            <w:tcW w:w="160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6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12.00</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279" w:firstLine="0"/>
              <w:snapToGrid w:val="0"/>
              <w:textAlignment w:val="auto"/>
              <w:tabs/>
              <w:numPr>
                <w:ilvl w:val="1"/>
                <w:numId w:val="12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w:t>
            </w:r>
          </w:p>
        </w:tc>
      </w:tr>
      <w:tr>
        <w:trPr>
          <w:trHeight w:val="341"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239</w:t>
            </w:r>
          </w:p>
        </w:tc>
        <w:tc>
          <w:tcPr>
            <w:tcW w:w="84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41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w:t>
            </w:r>
          </w:p>
        </w:tc>
        <w:tc>
          <w:tcPr>
            <w:tcW w:w="1134"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92" w:firstLine="0"/>
              <w:snapToGrid w:val="0"/>
              <w:textAlignment w:val="auto"/>
              <w:tabs>
                <w:tab w:val="left" w:leader="none" w:pos="586"/>
              </w:tabs>
              <w:numPr>
                <w:ilvl w:val="0"/>
                <w:numId w:val="12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600</w:t>
            </w:r>
          </w:p>
        </w:tc>
        <w:tc>
          <w:tcPr>
            <w:tcW w:w="1236"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300.00</w:t>
            </w:r>
          </w:p>
        </w:tc>
        <w:tc>
          <w:tcPr>
            <w:tcW w:w="160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73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9.36</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6"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25.94</w:t>
            </w:r>
          </w:p>
        </w:tc>
      </w:tr>
      <w:tr>
        <w:trPr>
          <w:trHeight w:val="341"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537</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12</w:t>
            </w:r>
          </w:p>
        </w:tc>
        <w:tc>
          <w:tcPr>
            <w:tcW w:w="1134"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92" w:firstLine="0"/>
              <w:snapToGrid w:val="0"/>
              <w:textAlignment w:val="auto"/>
              <w:tabs>
                <w:tab w:val="left" w:leader="none" w:pos="586"/>
              </w:tabs>
              <w:numPr>
                <w:ilvl w:val="0"/>
                <w:numId w:val="12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500</w:t>
            </w:r>
          </w:p>
        </w:tc>
        <w:tc>
          <w:tcPr>
            <w:tcW w:w="1236"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299.</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60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6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16.86</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20.86</w:t>
            </w:r>
          </w:p>
        </w:tc>
      </w:tr>
      <w:tr>
        <w:trPr>
          <w:trHeight w:val="341"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481</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1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89</w:t>
            </w:r>
          </w:p>
        </w:tc>
        <w:tc>
          <w:tcPr>
            <w:tcW w:w="1134"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92" w:firstLine="0"/>
              <w:snapToGrid w:val="0"/>
              <w:textAlignment w:val="auto"/>
              <w:tabs>
                <w:tab w:val="left" w:leader="none" w:pos="586"/>
              </w:tabs>
              <w:numPr>
                <w:ilvl w:val="0"/>
                <w:numId w:val="12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080</w:t>
            </w:r>
          </w:p>
        </w:tc>
        <w:tc>
          <w:tcPr>
            <w:tcW w:w="1236"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315.51</w:t>
            </w:r>
          </w:p>
        </w:tc>
        <w:tc>
          <w:tcPr>
            <w:tcW w:w="160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6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14.13</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279" w:firstLine="0"/>
              <w:snapToGrid w:val="0"/>
              <w:textAlignment w:val="auto"/>
              <w:tabs>
                <w:tab w:val="left" w:leader="none" w:pos="-655355"/>
              </w:tabs>
              <w:numPr>
                <w:ilvl w:val="1"/>
                <w:numId w:val="12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r>
      <w:tr>
        <w:trPr>
          <w:trHeight w:val="341"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99"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457</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1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99</w:t>
            </w:r>
          </w:p>
        </w:tc>
        <w:tc>
          <w:tcPr>
            <w:tcW w:w="1134"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92" w:firstLine="0"/>
              <w:snapToGrid w:val="0"/>
              <w:textAlignment w:val="auto"/>
              <w:tabs>
                <w:tab w:val="left" w:leader="none" w:pos="586"/>
              </w:tabs>
              <w:numPr>
                <w:ilvl w:val="0"/>
                <w:numId w:val="12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700</w:t>
            </w:r>
          </w:p>
        </w:tc>
        <w:tc>
          <w:tcPr>
            <w:tcW w:w="1236"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300.00</w:t>
            </w:r>
          </w:p>
        </w:tc>
        <w:tc>
          <w:tcPr>
            <w:tcW w:w="160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6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14.95</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21.66</w:t>
            </w:r>
          </w:p>
        </w:tc>
      </w:tr>
      <w:tr>
        <w:trPr>
          <w:trHeight w:val="340"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267</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1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89</w:t>
            </w:r>
          </w:p>
        </w:tc>
        <w:tc>
          <w:tcPr>
            <w:tcW w:w="1134"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92" w:firstLine="0"/>
              <w:snapToGrid w:val="0"/>
              <w:textAlignment w:val="auto"/>
              <w:tabs>
                <w:tab w:val="left" w:leader="none" w:pos="586"/>
              </w:tabs>
              <w:numPr>
                <w:ilvl w:val="0"/>
                <w:numId w:val="12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500</w:t>
            </w:r>
          </w:p>
        </w:tc>
        <w:tc>
          <w:tcPr>
            <w:tcW w:w="1236"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286.52</w:t>
            </w:r>
          </w:p>
        </w:tc>
        <w:tc>
          <w:tcPr>
            <w:tcW w:w="160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6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12.83</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279" w:firstLine="0"/>
              <w:snapToGrid w:val="0"/>
              <w:textAlignment w:val="auto"/>
              <w:tabs>
                <w:tab w:val="left" w:leader="none" w:pos="-655355"/>
              </w:tabs>
              <w:numPr>
                <w:ilvl w:val="1"/>
                <w:numId w:val="12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r>
      <w:tr>
        <w:trPr>
          <w:trHeight w:val="341"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108</w:t>
            </w:r>
          </w:p>
        </w:tc>
        <w:tc>
          <w:tcPr>
            <w:tcW w:w="84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w:t>
            </w:r>
          </w:p>
        </w:tc>
        <w:tc>
          <w:tcPr>
            <w:tcW w:w="1134"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46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6 720</w:t>
            </w:r>
          </w:p>
        </w:tc>
        <w:tc>
          <w:tcPr>
            <w:tcW w:w="1236"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240.00</w:t>
            </w:r>
          </w:p>
        </w:tc>
        <w:tc>
          <w:tcPr>
            <w:tcW w:w="160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73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3.38</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6" w:after="0" w:lineRule="auto" w:line="240"/>
              <w:ind w:right="0" w:left="279" w:firstLine="0"/>
              <w:snapToGrid w:val="0"/>
              <w:textAlignment w:val="auto"/>
              <w:tabs>
                <w:tab w:val="left" w:leader="none" w:pos="-655355"/>
              </w:tabs>
              <w:numPr>
                <w:ilvl w:val="1"/>
                <w:numId w:val="12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r>
      <w:tr>
        <w:trPr>
          <w:trHeight w:val="341" w:hRule="exact"/>
          <w:cantSplit w:val="1"/>
        </w:trPr>
        <w:tc>
          <w:tcPr>
            <w:tcW w:w="1417" w:type="dxa"/>
            <w:gridSpan w:val="1"/>
            <w:vAlign w:val="top"/>
            <w:tcMar/>
            <w:tcBorders>
              <w:top w:val="single" w:sz="4" w:space="0" w:color="000000"/>
            </w:tcBorders>
          </w:tcPr>
          <w:p>
            <w:pPr>
              <w:autoSpaceDE w:val="0"/>
              <w:autoSpaceDN w:val="0"/>
              <w:jc w:val="left"/>
              <w:spacing w:before="68"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642</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12</w:t>
            </w:r>
          </w:p>
        </w:tc>
        <w:tc>
          <w:tcPr>
            <w:tcW w:w="1134"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9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32 750</w:t>
            </w:r>
          </w:p>
        </w:tc>
        <w:tc>
          <w:tcPr>
            <w:tcW w:w="1236"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292.41</w:t>
            </w:r>
          </w:p>
        </w:tc>
        <w:tc>
          <w:tcPr>
            <w:tcW w:w="160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66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16.48</w:t>
            </w:r>
          </w:p>
        </w:tc>
        <w:tc>
          <w:tcPr>
            <w:tcW w:w="90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17.45</w:t>
            </w:r>
          </w:p>
        </w:tc>
      </w:tr>
      <w:tr>
        <w:trPr>
          <w:trHeight w:val="346" w:hRule="exact"/>
          <w:cantSplit w:val="1"/>
        </w:trPr>
        <w:tc>
          <w:tcPr>
            <w:tcW w:w="1417" w:type="dxa"/>
            <w:gridSpan w:val="1"/>
            <w:vAlign w:val="top"/>
            <w:tcMar/>
            <w:tcBorders>
              <w:top w:val="single" w:sz="4" w:space="0" w:color="000000"/>
              <w:bottom w:val="single" w:sz="8" w:space="0" w:color="000000"/>
            </w:tcBorders>
          </w:tcPr>
          <w:p>
            <w:pPr>
              <w:autoSpaceDE w:val="0"/>
              <w:autoSpaceDN w:val="0"/>
              <w:jc w:val="left"/>
              <w:spacing w:before="68" w:after="0" w:lineRule="exact" w:line="188"/>
              <w:ind w:right="0" w:left="249"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50"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75" w:after="0" w:lineRule="auto" w:line="240"/>
              <w:ind w:right="0" w:left="25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3 012</w:t>
            </w:r>
          </w:p>
        </w:tc>
        <w:tc>
          <w:tcPr>
            <w:tcW w:w="849"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75"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667</w:t>
            </w:r>
          </w:p>
        </w:tc>
        <w:tc>
          <w:tcPr>
            <w:tcW w:w="113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75" w:after="0" w:lineRule="auto" w:line="240"/>
              <w:ind w:right="0" w:left="31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198 700</w:t>
            </w:r>
          </w:p>
        </w:tc>
        <w:tc>
          <w:tcPr>
            <w:tcW w:w="1236"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75" w:after="0" w:lineRule="auto" w:line="240"/>
              <w:ind w:right="0" w:left="40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297.90</w:t>
            </w:r>
          </w:p>
        </w:tc>
        <w:tc>
          <w:tcPr>
            <w:tcW w:w="1600"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75" w:after="0" w:lineRule="auto" w:line="240"/>
              <w:ind w:right="0" w:left="5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100.00</w:t>
            </w:r>
          </w:p>
        </w:tc>
        <w:tc>
          <w:tcPr>
            <w:tcW w:w="906"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7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22.14</w:t>
            </w:r>
          </w:p>
        </w:tc>
      </w:tr>
    </w:tbl>
    <w:p>
      <w:pPr>
        <w:autoSpaceDE w:val="0"/>
        <w:autoSpaceDN w:val="0"/>
        <w:jc w:val="both"/>
        <w:spacing w:before="139" w:after="0" w:lineRule="exact" w:line="356"/>
        <w:ind w:right="978" w:left="966" w:firstLine="480"/>
        <w:snapToGrid w:val="0"/>
        <w:textAlignment w:val="auto"/>
        <w:tabs/>
        <w:rPr>
          <w:rFonts w:ascii="宋体" w:hAnsi="宋体" w:cs="宋体" w:eastAsia="宋体" w:hint="ascii"/>
        </w:rPr>
      </w:pPr>
      <w:r>
        <w:rPr>
          <w:rFonts w:ascii="宋体" w:hAnsi="宋体" w:cs="宋体" w:eastAsia="宋体" w:hint="ascii"/>
        </w:rPr>
        <w:t>关于重点项目资助的研究领域或研究方向及有关要求见本部分各科学部介绍。</w:t>
      </w:r>
    </w:p>
    <w:p>
      <w:pPr>
        <w:autoSpaceDE w:val="0"/>
        <w:autoSpaceDN w:val="0"/>
        <w:jc w:val="left"/>
        <w:spacing w:before="722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438" w:after="0" w:lineRule="exact" w:line="475"/>
        <w:ind w:right="0" w:left="3041" w:firstLine="0"/>
        <w:snapToGrid w:val="0"/>
        <w:textAlignment w:val="auto"/>
        <w:tabs/>
        <w:rPr>
          <w:rFonts w:ascii="宋体" w:hAnsi="宋体" w:cs="宋体" w:eastAsia="宋体" w:hint="ascii"/>
          <w:sz w:val="38"/>
        </w:rPr>
      </w:pPr>
      <w:r>
        <w:rPr>
          <w:rFonts w:ascii="宋体" w:hAnsi="宋体" w:cs="宋体" w:eastAsia="宋体" w:hint="ascii"/>
          <w:sz w:val="38"/>
        </w:rPr>
        <w:t>数理科学部</w:t>
      </w:r>
      <w:r>
        <w:rPr>
          <w:rFonts w:ascii="宋体" w:hAnsi="宋体" w:cs="宋体" w:eastAsia="宋体" w:hint="ascii"/>
          <w:sz w:val="38"/>
        </w:rPr>
        <mc:AlternateContent>
          <mc:Choice Requires="wps">
            <w:drawing>
              <wp:anchor distL="0" distR="0" distT="0" distB="0" simplePos="0" behindDoc="1" relativeHeight="145" locked="0" layoutInCell="1" allowOverlap="1">
                <wp:simplePos x="0" y="0"/>
                <wp:positionH relativeFrom="page">
                  <wp:posOffset>938530</wp:posOffset>
                </wp:positionH>
                <wp:positionV relativeFrom="page">
                  <wp:posOffset>819150</wp:posOffset>
                </wp:positionV>
                <wp:extent cx="5076190" cy="0"/>
                <wp:wrapNone/>
                <wp:docPr id="1174" name="117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09760;width:399.70pt;" id="117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277" w:after="0" w:lineRule="exact" w:line="320"/>
        <w:ind w:right="962" w:left="0" w:firstLine="412"/>
        <w:snapToGrid w:val="0"/>
        <w:textAlignment w:val="auto"/>
        <w:tabs>
          <w:tab w:val="left" w:leader="none" w:pos="853"/>
        </w:tabs>
        <w:numPr>
          <w:ilvl w:val="0"/>
          <w:numId w:val="125"/>
        </w:numPr>
        <w:rPr>
          <w:rFonts w:ascii="Times New Roman" w:hAnsi="Times New Roman" w:cs="Times New Roman" w:eastAsia="Times New Roman" w:hint="ascii"/>
          <w:sz w:val="21"/>
          <w:spacing w:val="-2"/>
        </w:rPr>
      </w:pPr>
      <w:r>
        <w:rPr>
          <w:rFonts w:ascii="宋体" w:hAnsi="宋体" w:cs="宋体" w:eastAsia="宋体" w:hint="ascii"/>
          <w:sz w:val="21"/>
          <w:spacing w:val="-3"/>
        </w:rPr>
        <w:t>年度数理科学部发</w:t>
      </w:r>
      <w:r>
        <w:rPr>
          <w:rFonts w:ascii="宋体" w:hAnsi="宋体" w:cs="宋体" w:eastAsia="宋体" w:hint="ascii"/>
          <w:sz w:val="21"/>
          <w:spacing w:val="11"/>
        </w:rPr>
        <w:t>布</w:t>
      </w:r>
      <w:r>
        <w:rPr>
          <w:rFonts w:ascii="Times New Roman" w:hAnsi="Times New Roman" w:cs="Times New Roman" w:eastAsia="Times New Roman" w:hint="ascii"/>
          <w:sz w:val="21"/>
          <w:spacing w:val="-4"/>
        </w:rPr>
        <w:t>9</w:t>
      </w:r>
      <w:r>
        <w:rPr>
          <w:rFonts w:ascii="Times New Roman" w:hAnsi="Times New Roman" w:cs="Times New Roman" w:eastAsia="Times New Roman" w:hint="ascii"/>
          <w:sz w:val="21"/>
          <w:spacing w:val="24"/>
        </w:rPr>
        <w:t>7</w:t>
      </w:r>
      <w:r>
        <w:rPr>
          <w:rFonts w:ascii="宋体" w:hAnsi="宋体" w:cs="宋体" w:eastAsia="宋体" w:hint="ascii"/>
          <w:sz w:val="21"/>
          <w:spacing w:val="-3"/>
        </w:rPr>
        <w:t>个重点项目领域，共</w:t>
      </w:r>
      <w:r>
        <w:rPr>
          <w:rFonts w:ascii="宋体" w:hAnsi="宋体" w:cs="宋体" w:eastAsia="宋体" w:hint="ascii"/>
          <w:sz w:val="21"/>
          <w:spacing w:val="-2"/>
        </w:rPr>
        <w:t>接收申</w:t>
      </w:r>
      <w:r>
        <w:rPr>
          <w:rFonts w:ascii="宋体" w:hAnsi="宋体" w:cs="宋体" w:eastAsia="宋体" w:hint="ascii"/>
          <w:sz w:val="21"/>
          <w:spacing w:val="12"/>
        </w:rPr>
        <w:t>请</w:t>
      </w:r>
      <w:r>
        <w:rPr>
          <w:rFonts w:ascii="Times New Roman" w:hAnsi="Times New Roman" w:cs="Times New Roman" w:eastAsia="Times New Roman" w:hint="ascii"/>
          <w:sz w:val="21"/>
          <w:spacing w:val="-4"/>
        </w:rPr>
        <w:t>2</w:t>
      </w:r>
      <w:r>
        <w:rPr>
          <w:rFonts w:ascii="Times New Roman" w:hAnsi="Times New Roman" w:cs="Times New Roman" w:eastAsia="Times New Roman" w:hint="ascii"/>
          <w:sz w:val="21"/>
          <w:spacing w:val="-3"/>
        </w:rPr>
        <w:t>8</w:t>
      </w:r>
      <w:r>
        <w:rPr>
          <w:rFonts w:ascii="Times New Roman" w:hAnsi="Times New Roman" w:cs="Times New Roman" w:eastAsia="Times New Roman" w:hint="ascii"/>
          <w:sz w:val="21"/>
          <w:spacing w:val="26"/>
        </w:rPr>
        <w:t>1</w:t>
      </w:r>
      <w:r>
        <w:rPr>
          <w:rFonts w:ascii="宋体" w:hAnsi="宋体" w:cs="宋体" w:eastAsia="宋体" w:hint="ascii"/>
          <w:sz w:val="21"/>
          <w:spacing w:val="-2"/>
        </w:rPr>
        <w:t>项，资</w:t>
      </w:r>
      <w:r>
        <w:rPr>
          <w:rFonts w:ascii="宋体" w:hAnsi="宋体" w:cs="宋体" w:eastAsia="宋体" w:hint="ascii"/>
          <w:sz w:val="21"/>
          <w:spacing w:val="12"/>
        </w:rPr>
        <w:t>助</w:t>
      </w:r>
      <w:r>
        <w:rPr>
          <w:rFonts w:ascii="Times New Roman" w:hAnsi="Times New Roman" w:cs="Times New Roman" w:eastAsia="Times New Roman" w:hint="ascii"/>
          <w:sz w:val="21"/>
          <w:spacing w:val="-4"/>
        </w:rPr>
        <w:t>7</w:t>
      </w:r>
      <w:r>
        <w:rPr>
          <w:rFonts w:ascii="Times New Roman" w:hAnsi="Times New Roman" w:cs="Times New Roman" w:eastAsia="Times New Roman" w:hint="ascii"/>
          <w:sz w:val="21"/>
          <w:spacing w:val="26"/>
        </w:rPr>
        <w:t>6</w:t>
      </w:r>
      <w:r>
        <w:rPr>
          <w:rFonts w:ascii="宋体" w:hAnsi="宋体" w:cs="宋体" w:eastAsia="宋体" w:hint="ascii"/>
          <w:sz w:val="21"/>
          <w:spacing w:val="-2"/>
        </w:rPr>
        <w:t>项，资</w:t>
      </w:r>
      <w:r>
        <w:rPr>
          <w:rFonts w:ascii="宋体" w:hAnsi="宋体" w:cs="宋体" w:eastAsia="宋体" w:hint="ascii"/>
          <w:sz w:val="21"/>
          <w:spacing w:val="-1"/>
        </w:rPr>
        <w:t>助</w:t>
      </w:r>
      <w:r>
        <w:rPr>
          <w:rFonts w:ascii="宋体" w:hAnsi="宋体" w:cs="宋体" w:eastAsia="宋体" w:hint="ascii"/>
          <w:sz w:val="21"/>
        </w:rPr>
        <w:t xml:space="preserve"> </w:t>
      </w:r>
      <w:r>
        <w:rPr>
          <w:rFonts w:ascii="宋体" w:hAnsi="宋体" w:cs="宋体" w:eastAsia="宋体" w:hint="ascii"/>
          <w:sz w:val="21"/>
          <w:spacing w:val="-2"/>
        </w:rPr>
        <w:t>直接费</w:t>
      </w:r>
      <w:r>
        <w:rPr>
          <w:rFonts w:ascii="宋体" w:hAnsi="宋体" w:cs="宋体" w:eastAsia="宋体" w:hint="ascii"/>
          <w:sz w:val="21"/>
          <w:spacing w:val="10"/>
        </w:rPr>
        <w:t>用</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spacing w:val="-3"/>
        </w:rPr>
        <w:t>8</w:t>
      </w:r>
      <w:r>
        <w:rPr>
          <w:rFonts w:ascii="Times New Roman" w:hAnsi="Times New Roman" w:cs="Times New Roman" w:eastAsia="Times New Roman" w:hint="ascii"/>
          <w:sz w:val="21"/>
          <w:spacing w:val="-2"/>
        </w:rPr>
        <w:t>5</w:t>
      </w:r>
      <w:r>
        <w:rPr>
          <w:rFonts w:ascii="Times New Roman" w:hAnsi="Times New Roman" w:cs="Times New Roman" w:eastAsia="Times New Roman" w:hint="ascii"/>
          <w:sz w:val="21"/>
          <w:spacing w:val="22"/>
        </w:rPr>
        <w:t>0</w:t>
      </w:r>
      <w:r>
        <w:rPr>
          <w:rFonts w:ascii="宋体" w:hAnsi="宋体" w:cs="宋体" w:eastAsia="宋体" w:hint="ascii"/>
          <w:sz w:val="21"/>
          <w:spacing w:val="-2"/>
        </w:rPr>
        <w:t>万元，直接费用平均资助强</w:t>
      </w:r>
      <w:r>
        <w:rPr>
          <w:rFonts w:ascii="宋体" w:hAnsi="宋体" w:cs="宋体" w:eastAsia="宋体" w:hint="ascii"/>
          <w:sz w:val="21"/>
          <w:spacing w:val="10"/>
        </w:rPr>
        <w:t>度</w:t>
      </w:r>
      <w:r>
        <w:rPr>
          <w:rFonts w:ascii="Times New Roman" w:hAnsi="Times New Roman" w:cs="Times New Roman" w:eastAsia="Times New Roman" w:hint="ascii"/>
          <w:sz w:val="21"/>
          <w:spacing w:val="-3"/>
        </w:rPr>
        <w:t>3</w:t>
      </w:r>
      <w:r>
        <w:rPr>
          <w:rFonts w:ascii="Times New Roman" w:hAnsi="Times New Roman" w:cs="Times New Roman" w:eastAsia="Times New Roman" w:hint="ascii"/>
          <w:sz w:val="21"/>
          <w:spacing w:val="-2"/>
        </w:rPr>
        <w:t>13</w:t>
      </w:r>
      <w:r>
        <w:rPr>
          <w:rFonts w:ascii="Times New Roman" w:hAnsi="Times New Roman" w:cs="Times New Roman" w:eastAsia="Times New Roman" w:hint="ascii"/>
          <w:sz w:val="21"/>
          <w:spacing w:val="-3"/>
        </w:rPr>
        <w:t>.</w:t>
      </w:r>
      <w:r>
        <w:rPr>
          <w:rFonts w:ascii="Times New Roman" w:hAnsi="Times New Roman" w:cs="Times New Roman" w:eastAsia="Times New Roman" w:hint="ascii"/>
          <w:sz w:val="21"/>
          <w:spacing w:val="-2"/>
        </w:rPr>
        <w:t>8</w:t>
      </w:r>
      <w:r>
        <w:rPr>
          <w:rFonts w:ascii="Times New Roman" w:hAnsi="Times New Roman" w:cs="Times New Roman" w:eastAsia="Times New Roman" w:hint="ascii"/>
          <w:sz w:val="21"/>
          <w:spacing w:val="22"/>
        </w:rPr>
        <w:t>2</w:t>
      </w:r>
      <w:r>
        <w:rPr>
          <w:rFonts w:ascii="宋体" w:hAnsi="宋体" w:cs="宋体" w:eastAsia="宋体" w:hint="ascii"/>
          <w:sz w:val="21"/>
          <w:spacing w:val="-2"/>
        </w:rPr>
        <w:t>万元</w:t>
      </w:r>
      <w:r>
        <w:rPr>
          <w:rFonts w:ascii="Times New Roman" w:hAnsi="Times New Roman" w:cs="Times New Roman" w:eastAsia="Times New Roman" w:hint="ascii"/>
          <w:sz w:val="21"/>
          <w:spacing w:val="-2"/>
        </w:rPr>
        <w:t>/</w:t>
      </w:r>
      <w:r>
        <w:rPr>
          <w:rFonts w:ascii="宋体" w:hAnsi="宋体" w:cs="宋体" w:eastAsia="宋体" w:hint="ascii"/>
          <w:sz w:val="21"/>
          <w:spacing w:val="-2"/>
        </w:rPr>
        <w:t>项，资助率</w:t>
      </w:r>
      <w:r>
        <w:rPr>
          <w:rFonts w:ascii="宋体" w:hAnsi="宋体" w:cs="宋体" w:eastAsia="宋体" w:hint="ascii"/>
          <w:sz w:val="21"/>
          <w:spacing w:val="10"/>
        </w:rPr>
        <w:t>为</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2"/>
        </w:rPr>
        <w:t>7</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2"/>
        </w:rPr>
        <w:t>5%</w:t>
      </w:r>
      <w:r>
        <w:rPr>
          <w:rFonts w:ascii="宋体" w:hAnsi="宋体" w:cs="宋体" w:eastAsia="宋体" w:hint="ascii"/>
          <w:sz w:val="21"/>
        </w:rPr>
        <w:t>。</w:t>
      </w:r>
    </w:p>
    <w:p>
      <w:pPr>
        <w:autoSpaceDE w:val="0"/>
        <w:autoSpaceDN w:val="0"/>
        <w:jc w:val="left"/>
        <w:spacing w:before="45" w:after="0" w:lineRule="auto" w:line="240"/>
        <w:ind w:right="0" w:left="-7" w:firstLine="412"/>
        <w:snapToGrid w:val="0"/>
        <w:textAlignment w:val="auto"/>
        <w:tabs>
          <w:tab w:val="left" w:leader="none" w:pos="832"/>
        </w:tabs>
        <w:numPr>
          <w:ilvl w:val="0"/>
          <w:numId w:val="125"/>
        </w:numPr>
        <w:rPr>
          <w:rFonts w:ascii="Times New Roman" w:hAnsi="Times New Roman" w:cs="Times New Roman" w:eastAsia="Times New Roman" w:hint="ascii"/>
          <w:sz w:val="21"/>
          <w:spacing w:val="-4"/>
        </w:rPr>
      </w:pPr>
      <w:r>
        <w:rPr>
          <w:rFonts w:ascii="宋体" w:hAnsi="宋体" w:cs="宋体" w:eastAsia="宋体" w:hint="ascii"/>
          <w:sz w:val="21"/>
          <w:spacing w:val="-4"/>
        </w:rPr>
        <w:t>年度数理科学</w:t>
      </w:r>
      <w:r>
        <w:rPr>
          <w:rFonts w:ascii="宋体" w:hAnsi="宋体" w:cs="宋体" w:eastAsia="宋体" w:hint="ascii"/>
          <w:sz w:val="21"/>
          <w:spacing w:val="-3"/>
        </w:rPr>
        <w:t>部</w:t>
      </w:r>
      <w:r>
        <w:rPr>
          <w:rFonts w:ascii="宋体" w:hAnsi="宋体" w:cs="宋体" w:eastAsia="宋体" w:hint="ascii"/>
          <w:sz w:val="21"/>
          <w:spacing w:val="-4"/>
        </w:rPr>
        <w:t>拟资助重点</w:t>
      </w:r>
      <w:r>
        <w:rPr>
          <w:rFonts w:ascii="宋体" w:hAnsi="宋体" w:cs="宋体" w:eastAsia="宋体" w:hint="ascii"/>
          <w:sz w:val="21"/>
          <w:spacing w:val="-3"/>
        </w:rPr>
        <w:t>项</w:t>
      </w:r>
      <w:r>
        <w:rPr>
          <w:rFonts w:ascii="宋体" w:hAnsi="宋体" w:cs="宋体" w:eastAsia="宋体" w:hint="ascii"/>
          <w:sz w:val="21"/>
          <w:spacing w:val="8"/>
        </w:rPr>
        <w:t>目</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20"/>
        </w:rPr>
        <w:t>2</w:t>
      </w:r>
      <w:r>
        <w:rPr>
          <w:rFonts w:ascii="宋体" w:hAnsi="宋体" w:cs="宋体" w:eastAsia="宋体" w:hint="ascii"/>
          <w:sz w:val="21"/>
          <w:spacing w:val="-3"/>
        </w:rPr>
        <w:t>项</w:t>
      </w:r>
      <w:r>
        <w:rPr>
          <w:rFonts w:ascii="宋体" w:hAnsi="宋体" w:cs="宋体" w:eastAsia="宋体" w:hint="ascii"/>
          <w:sz w:val="21"/>
          <w:spacing w:val="-4"/>
        </w:rPr>
        <w:t>左右。数学学科</w:t>
      </w:r>
      <w:r>
        <w:rPr>
          <w:rFonts w:ascii="宋体" w:hAnsi="宋体" w:cs="宋体" w:eastAsia="宋体" w:hint="ascii"/>
          <w:sz w:val="21"/>
          <w:spacing w:val="-3"/>
        </w:rPr>
        <w:t>的</w:t>
      </w:r>
      <w:r>
        <w:rPr>
          <w:rFonts w:ascii="宋体" w:hAnsi="宋体" w:cs="宋体" w:eastAsia="宋体" w:hint="ascii"/>
          <w:sz w:val="21"/>
          <w:spacing w:val="-4"/>
        </w:rPr>
        <w:t>直接费用平</w:t>
      </w:r>
      <w:r>
        <w:rPr>
          <w:rFonts w:ascii="宋体" w:hAnsi="宋体" w:cs="宋体" w:eastAsia="宋体" w:hint="ascii"/>
          <w:sz w:val="21"/>
          <w:spacing w:val="-3"/>
        </w:rPr>
        <w:t>均</w:t>
      </w:r>
      <w:r>
        <w:rPr>
          <w:rFonts w:ascii="宋体" w:hAnsi="宋体" w:cs="宋体" w:eastAsia="宋体" w:hint="ascii"/>
          <w:sz w:val="21"/>
          <w:spacing w:val="-4"/>
        </w:rPr>
        <w:t>资助强</w:t>
      </w:r>
      <w:r>
        <w:rPr>
          <w:rFonts w:ascii="宋体" w:hAnsi="宋体" w:cs="宋体" w:eastAsia="宋体" w:hint="ascii"/>
          <w:sz w:val="21"/>
          <w:spacing w:val="-3"/>
        </w:rPr>
        <w:t>度</w:t>
      </w:r>
      <w:r>
        <w:rPr>
          <w:rFonts w:ascii="宋体" w:hAnsi="宋体" w:cs="宋体" w:eastAsia="宋体" w:hint="ascii"/>
          <w:sz w:val="21"/>
        </w:rPr>
        <w:t>约</w:t>
      </w:r>
    </w:p>
    <w:p>
      <w:pPr>
        <w:autoSpaceDE w:val="0"/>
        <w:autoSpaceDN w:val="0"/>
        <w:jc w:val="both"/>
        <w:spacing w:before="19" w:after="0" w:lineRule="exact" w:line="320"/>
        <w:ind w:right="962"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4"/>
        </w:rPr>
        <w:t>26</w:t>
      </w:r>
      <w:r>
        <w:rPr>
          <w:rFonts w:ascii="Times New Roman" w:hAnsi="Times New Roman" w:cs="Times New Roman" w:eastAsia="Times New Roman" w:hint="ascii"/>
          <w:sz w:val="21"/>
          <w:spacing w:val="25"/>
        </w:rPr>
        <w:t>0</w:t>
      </w:r>
      <w:r>
        <w:rPr>
          <w:rFonts w:ascii="宋体" w:hAnsi="宋体" w:cs="宋体" w:eastAsia="宋体" w:hint="ascii"/>
          <w:sz w:val="21"/>
          <w:spacing w:val="-4"/>
        </w:rPr>
        <w:t>万元</w:t>
      </w:r>
      <w:r>
        <w:rPr>
          <w:rFonts w:ascii="Times New Roman" w:hAnsi="Times New Roman" w:cs="Times New Roman" w:eastAsia="Times New Roman" w:hint="ascii"/>
          <w:sz w:val="21"/>
          <w:spacing w:val="-4"/>
        </w:rPr>
        <w:t>/</w:t>
      </w:r>
      <w:r>
        <w:rPr>
          <w:rFonts w:ascii="宋体" w:hAnsi="宋体" w:cs="宋体" w:eastAsia="宋体" w:hint="ascii"/>
          <w:sz w:val="21"/>
          <w:spacing w:val="-4"/>
        </w:rPr>
        <w:t>项</w:t>
      </w:r>
      <w:r>
        <w:rPr>
          <w:rFonts w:ascii="宋体" w:hAnsi="宋体" w:cs="宋体" w:eastAsia="宋体" w:hint="ascii"/>
          <w:sz w:val="21"/>
          <w:spacing w:val="-5"/>
        </w:rPr>
        <w:t>，</w:t>
      </w:r>
      <w:r>
        <w:rPr>
          <w:rFonts w:ascii="宋体" w:hAnsi="宋体" w:cs="宋体" w:eastAsia="宋体" w:hint="ascii"/>
          <w:sz w:val="21"/>
          <w:spacing w:val="-4"/>
        </w:rPr>
        <w:t>力学、天</w:t>
      </w:r>
      <w:r>
        <w:rPr>
          <w:rFonts w:ascii="宋体" w:hAnsi="宋体" w:cs="宋体" w:eastAsia="宋体" w:hint="ascii"/>
          <w:sz w:val="21"/>
          <w:spacing w:val="-5"/>
        </w:rPr>
        <w:t>文</w:t>
      </w:r>
      <w:r>
        <w:rPr>
          <w:rFonts w:ascii="宋体" w:hAnsi="宋体" w:cs="宋体" w:eastAsia="宋体" w:hint="ascii"/>
          <w:sz w:val="21"/>
          <w:spacing w:val="-4"/>
        </w:rPr>
        <w:t>、物理Ⅰ</w:t>
      </w:r>
      <w:r>
        <w:rPr>
          <w:rFonts w:ascii="宋体" w:hAnsi="宋体" w:cs="宋体" w:eastAsia="宋体" w:hint="ascii"/>
          <w:sz w:val="21"/>
          <w:spacing w:val="-5"/>
        </w:rPr>
        <w:t>、</w:t>
      </w:r>
      <w:r>
        <w:rPr>
          <w:rFonts w:ascii="宋体" w:hAnsi="宋体" w:cs="宋体" w:eastAsia="宋体" w:hint="ascii"/>
          <w:sz w:val="21"/>
          <w:spacing w:val="-4"/>
        </w:rPr>
        <w:t>物理Ⅱ学</w:t>
      </w:r>
      <w:r>
        <w:rPr>
          <w:rFonts w:ascii="宋体" w:hAnsi="宋体" w:cs="宋体" w:eastAsia="宋体" w:hint="ascii"/>
          <w:sz w:val="21"/>
          <w:spacing w:val="-5"/>
        </w:rPr>
        <w:t>科</w:t>
      </w:r>
      <w:r>
        <w:rPr>
          <w:rFonts w:ascii="宋体" w:hAnsi="宋体" w:cs="宋体" w:eastAsia="宋体" w:hint="ascii"/>
          <w:sz w:val="21"/>
          <w:spacing w:val="-4"/>
        </w:rPr>
        <w:t>的直接费</w:t>
      </w:r>
      <w:r>
        <w:rPr>
          <w:rFonts w:ascii="宋体" w:hAnsi="宋体" w:cs="宋体" w:eastAsia="宋体" w:hint="ascii"/>
          <w:sz w:val="21"/>
          <w:spacing w:val="-5"/>
        </w:rPr>
        <w:t>用</w:t>
      </w:r>
      <w:r>
        <w:rPr>
          <w:rFonts w:ascii="宋体" w:hAnsi="宋体" w:cs="宋体" w:eastAsia="宋体" w:hint="ascii"/>
          <w:sz w:val="21"/>
          <w:spacing w:val="-4"/>
        </w:rPr>
        <w:t>平</w:t>
      </w:r>
      <w:r>
        <w:rPr>
          <w:rFonts w:ascii="宋体" w:hAnsi="宋体" w:cs="宋体" w:eastAsia="宋体" w:hint="ascii"/>
          <w:sz w:val="21"/>
          <w:spacing w:val="-3"/>
        </w:rPr>
        <w:t>均资助</w:t>
      </w:r>
      <w:r>
        <w:rPr>
          <w:rFonts w:ascii="宋体" w:hAnsi="宋体" w:cs="宋体" w:eastAsia="宋体" w:hint="ascii"/>
          <w:sz w:val="21"/>
          <w:spacing w:val="-4"/>
        </w:rPr>
        <w:t>强</w:t>
      </w:r>
      <w:r>
        <w:rPr>
          <w:rFonts w:ascii="宋体" w:hAnsi="宋体" w:cs="宋体" w:eastAsia="宋体" w:hint="ascii"/>
          <w:sz w:val="21"/>
          <w:spacing w:val="-3"/>
        </w:rPr>
        <w:t>度</w:t>
      </w:r>
      <w:r>
        <w:rPr>
          <w:rFonts w:ascii="宋体" w:hAnsi="宋体" w:cs="宋体" w:eastAsia="宋体" w:hint="ascii"/>
          <w:sz w:val="21"/>
          <w:spacing w:val="10"/>
        </w:rPr>
        <w:t>约</w:t>
      </w:r>
      <w:r>
        <w:rPr>
          <w:rFonts w:ascii="Times New Roman" w:hAnsi="Times New Roman" w:cs="Times New Roman" w:eastAsia="Times New Roman" w:hint="ascii"/>
          <w:sz w:val="21"/>
          <w:spacing w:val="-5"/>
        </w:rPr>
        <w:t>34</w:t>
      </w:r>
      <w:r>
        <w:rPr>
          <w:rFonts w:ascii="Times New Roman" w:hAnsi="Times New Roman" w:cs="Times New Roman" w:eastAsia="Times New Roman" w:hint="ascii"/>
          <w:sz w:val="21"/>
          <w:spacing w:val="22"/>
        </w:rPr>
        <w:t>0</w:t>
      </w:r>
      <w:r>
        <w:rPr>
          <w:rFonts w:ascii="宋体" w:hAnsi="宋体" w:cs="宋体" w:eastAsia="宋体" w:hint="ascii"/>
          <w:sz w:val="21"/>
          <w:spacing w:val="-3"/>
        </w:rPr>
        <w:t>万元</w:t>
      </w:r>
      <w:r>
        <w:rPr>
          <w:rFonts w:ascii="Times New Roman" w:hAnsi="Times New Roman" w:cs="Times New Roman" w:eastAsia="Times New Roman" w:hint="ascii"/>
          <w:sz w:val="21"/>
          <w:spacing w:val="-1"/>
        </w:rPr>
        <w:t>/</w:t>
      </w:r>
      <w:r>
        <w:rPr>
          <w:rFonts w:ascii="宋体" w:hAnsi="宋体" w:cs="宋体" w:eastAsia="宋体" w:hint="ascii"/>
          <w:sz w:val="21"/>
          <w:spacing w:val="-2"/>
        </w:rPr>
        <w:t>项</w:t>
      </w:r>
      <w:r>
        <w:rPr>
          <w:rFonts w:ascii="宋体" w:hAnsi="宋体" w:cs="宋体" w:eastAsia="宋体" w:hint="ascii"/>
          <w:sz w:val="21"/>
          <w:spacing w:val="-1"/>
        </w:rPr>
        <w:t>，</w:t>
      </w:r>
      <w:r>
        <w:rPr>
          <w:rFonts w:ascii="宋体" w:hAnsi="宋体" w:cs="宋体" w:eastAsia="宋体" w:hint="ascii"/>
          <w:sz w:val="21"/>
        </w:rPr>
        <w:t xml:space="preserve"> </w:t>
      </w:r>
      <w:r>
        <w:rPr>
          <w:rFonts w:ascii="宋体" w:hAnsi="宋体" w:cs="宋体" w:eastAsia="宋体" w:hint="ascii"/>
          <w:sz w:val="21"/>
          <w:spacing w:val="1"/>
        </w:rPr>
        <w:t>资助期限均</w:t>
      </w:r>
      <w:r>
        <w:rPr>
          <w:rFonts w:ascii="宋体" w:hAnsi="宋体" w:cs="宋体" w:eastAsia="宋体" w:hint="ascii"/>
          <w:sz w:val="21"/>
          <w:spacing w:val="18"/>
        </w:rPr>
        <w:t>为</w:t>
      </w:r>
      <w:r>
        <w:rPr>
          <w:rFonts w:ascii="Times New Roman" w:hAnsi="Times New Roman" w:cs="Times New Roman" w:eastAsia="Times New Roman" w:hint="ascii"/>
          <w:sz w:val="21"/>
          <w:spacing w:val="46"/>
        </w:rPr>
        <w:t>5</w:t>
      </w:r>
      <w:r>
        <w:rPr>
          <w:rFonts w:ascii="宋体" w:hAnsi="宋体" w:cs="宋体" w:eastAsia="宋体" w:hint="ascii"/>
          <w:sz w:val="21"/>
        </w:rPr>
        <w:t>年，</w:t>
      </w:r>
      <w:r>
        <w:rPr>
          <w:rFonts w:ascii="宋体" w:hAnsi="宋体" w:cs="宋体" w:eastAsia="宋体" w:hint="ascii"/>
          <w:sz w:val="21"/>
          <w:spacing w:val="17"/>
        </w:rPr>
        <w:t>即</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44"/>
        </w:rPr>
        <w:t>9</w:t>
      </w:r>
      <w:r>
        <w:rPr>
          <w:rFonts w:ascii="宋体" w:hAnsi="宋体" w:cs="宋体" w:eastAsia="宋体" w:hint="ascii"/>
          <w:sz w:val="21"/>
          <w:spacing w:val="18"/>
        </w:rPr>
        <w:t>年</w:t>
      </w:r>
      <w:r>
        <w:rPr>
          <w:rFonts w:ascii="Times New Roman" w:hAnsi="Times New Roman" w:cs="Times New Roman" w:eastAsia="Times New Roman" w:hint="ascii"/>
          <w:sz w:val="21"/>
          <w:spacing w:val="44"/>
        </w:rPr>
        <w:t>1</w:t>
      </w:r>
      <w:r>
        <w:rPr>
          <w:rFonts w:ascii="宋体" w:hAnsi="宋体" w:cs="宋体" w:eastAsia="宋体" w:hint="ascii"/>
          <w:sz w:val="21"/>
          <w:spacing w:val="17"/>
        </w:rPr>
        <w:t>月</w:t>
      </w:r>
      <w:r>
        <w:rPr>
          <w:rFonts w:ascii="Times New Roman" w:hAnsi="Times New Roman" w:cs="Times New Roman" w:eastAsia="Times New Roman" w:hint="ascii"/>
          <w:sz w:val="21"/>
          <w:spacing w:val="43"/>
        </w:rPr>
        <w:t>1</w:t>
      </w:r>
      <w:r>
        <w:rPr>
          <w:rFonts w:ascii="宋体" w:hAnsi="宋体" w:cs="宋体" w:eastAsia="宋体" w:hint="ascii"/>
          <w:sz w:val="21"/>
        </w:rPr>
        <w:t>日</w:t>
      </w:r>
      <w:r>
        <w:rPr>
          <w:rFonts w:ascii="宋体" w:hAnsi="宋体" w:cs="宋体" w:eastAsia="宋体" w:hint="ascii"/>
          <w:sz w:val="21"/>
          <w:spacing w:val="17"/>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44"/>
        </w:rPr>
        <w:t>3</w:t>
      </w:r>
      <w:r>
        <w:rPr>
          <w:rFonts w:ascii="宋体" w:hAnsi="宋体" w:cs="宋体" w:eastAsia="宋体" w:hint="ascii"/>
          <w:sz w:val="21"/>
          <w:spacing w:val="16"/>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45"/>
        </w:rPr>
        <w:t>2</w:t>
      </w:r>
      <w:r>
        <w:rPr>
          <w:rFonts w:ascii="宋体" w:hAnsi="宋体" w:cs="宋体" w:eastAsia="宋体" w:hint="ascii"/>
          <w:sz w:val="21"/>
          <w:spacing w:val="17"/>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44"/>
        </w:rPr>
        <w:t>1</w:t>
      </w:r>
      <w:r>
        <w:rPr>
          <w:rFonts w:ascii="宋体" w:hAnsi="宋体" w:cs="宋体" w:eastAsia="宋体" w:hint="ascii"/>
          <w:sz w:val="21"/>
        </w:rPr>
        <w:t>日。上述各领域以申请代</w:t>
      </w:r>
      <w:r>
        <w:rPr>
          <w:rFonts w:ascii="宋体" w:hAnsi="宋体" w:cs="宋体" w:eastAsia="宋体" w:hint="ascii"/>
          <w:sz w:val="21"/>
          <w:spacing w:val="-8"/>
        </w:rPr>
        <w:t>码</w:t>
      </w:r>
      <w:r>
        <w:rPr>
          <w:rFonts w:ascii="宋体" w:hAnsi="宋体" w:cs="宋体" w:eastAsia="宋体" w:hint="ascii"/>
          <w:sz w:val="21"/>
        </w:rPr>
        <w:t>区分。</w:t>
      </w:r>
    </w:p>
    <w:p>
      <w:pPr>
        <w:autoSpaceDE w:val="0"/>
        <w:autoSpaceDN w:val="0"/>
        <w:jc w:val="left"/>
        <w:spacing w:before="45" w:after="0" w:lineRule="exact" w:line="263"/>
        <w:ind w:right="0" w:left="412" w:firstLine="0"/>
        <w:snapToGrid w:val="0"/>
        <w:textAlignment w:val="auto"/>
        <w:tabs/>
        <w:rPr>
          <w:rFonts w:ascii="宋体" w:hAnsi="宋体" w:cs="宋体" w:eastAsia="宋体" w:hint="ascii"/>
          <w:sz w:val="21"/>
        </w:rPr>
      </w:pPr>
      <w:r>
        <w:rPr>
          <w:rFonts w:ascii="宋体" w:hAnsi="宋体" w:cs="宋体" w:eastAsia="宋体" w:hint="ascii"/>
          <w:sz w:val="21"/>
        </w:rPr>
        <w:t>为了进一步提高重点项目的水平和质量，要求申请人主持过国家级项目，研究队伍</w:t>
      </w:r>
    </w:p>
    <w:p>
      <w:pPr>
        <w:autoSpaceDE w:val="0"/>
        <w:autoSpaceDN w:val="0"/>
        <w:jc w:val="left"/>
        <w:spacing w:before="58"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spacing w:val="-2"/>
        </w:rPr>
        <w:t>具有一定规模</w:t>
      </w:r>
      <w:r>
        <w:rPr>
          <w:rFonts w:ascii="宋体" w:hAnsi="宋体" w:cs="宋体" w:eastAsia="宋体" w:hint="ascii"/>
          <w:sz w:val="21"/>
        </w:rPr>
        <w:t>。</w:t>
      </w:r>
    </w:p>
    <w:p>
      <w:pPr>
        <w:autoSpaceDE w:val="0"/>
        <w:autoSpaceDN w:val="0"/>
        <w:jc w:val="both"/>
        <w:spacing w:before="10" w:after="0" w:lineRule="exact" w:line="320"/>
        <w:ind w:right="962" w:left="0" w:firstLine="412"/>
        <w:snapToGrid w:val="0"/>
        <w:textAlignment w:val="auto"/>
        <w:tabs/>
        <w:rPr>
          <w:rFonts w:ascii="宋体" w:hAnsi="宋体" w:cs="宋体" w:eastAsia="宋体" w:hint="ascii"/>
          <w:sz w:val="21"/>
        </w:rPr>
      </w:pPr>
      <w:r>
        <w:rPr>
          <w:rFonts w:ascii="宋体" w:hAnsi="宋体" w:cs="宋体" w:eastAsia="宋体" w:hint="ascii"/>
          <w:sz w:val="21"/>
        </w:rPr>
        <w:t>申请人须在申请书的附注说明栏中填写所申请领域的名称，否则不予受理；填报申</w:t>
      </w:r>
      <w:r>
        <w:rPr>
          <w:rFonts w:ascii="宋体" w:hAnsi="宋体" w:cs="宋体" w:eastAsia="宋体" w:hint="ascii"/>
          <w:sz w:val="21"/>
          <w:spacing w:val="-2"/>
        </w:rPr>
        <w:t>请书时一定要填写到细分的申请代码</w:t>
      </w:r>
      <w:r>
        <w:rPr>
          <w:rFonts w:ascii="宋体" w:hAnsi="宋体" w:cs="宋体" w:eastAsia="宋体" w:hint="ascii"/>
          <w:sz w:val="21"/>
        </w:rPr>
        <w:t>。</w:t>
      </w:r>
    </w:p>
    <w:p>
      <w:pPr>
        <w:autoSpaceDE w:val="0"/>
        <w:autoSpaceDN w:val="0"/>
        <w:jc w:val="left"/>
        <w:spacing w:before="46" w:after="0" w:lineRule="auto" w:line="240"/>
        <w:ind w:right="0" w:left="0" w:firstLine="420"/>
        <w:snapToGrid w:val="0"/>
        <w:textAlignment w:val="auto"/>
        <w:tabs>
          <w:tab w:val="left" w:leader="none" w:pos="864"/>
        </w:tabs>
        <w:numPr>
          <w:ilvl w:val="0"/>
          <w:numId w:val="83"/>
        </w:numPr>
        <w:rPr>
          <w:rFonts w:ascii="Times New Roman" w:hAnsi="Times New Roman" w:cs="Times New Roman" w:eastAsia="Times New Roman" w:hint="ascii"/>
          <w:sz w:val="21"/>
          <w:spacing w:val="1"/>
        </w:rPr>
      </w:pPr>
      <w:r>
        <w:rPr>
          <w:rFonts w:ascii="宋体" w:hAnsi="宋体" w:cs="宋体" w:eastAsia="宋体" w:hint="ascii"/>
          <w:sz w:val="21"/>
        </w:rPr>
        <w:t>年度受理的重点项目领域如下：</w:t>
      </w:r>
    </w:p>
    <w:p>
      <w:pPr>
        <w:autoSpaceDE w:val="0"/>
        <w:autoSpaceDN w:val="0"/>
        <w:jc w:val="left"/>
        <w:spacing w:before="64"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有限群理论及其应用（</w:t>
      </w:r>
      <w:r>
        <w:rPr>
          <w:rFonts w:ascii="Times New Roman" w:hAnsi="Times New Roman" w:cs="Times New Roman" w:eastAsia="Times New Roman" w:hint="ascii"/>
          <w:b w:val="1"/>
          <w:sz w:val="21"/>
        </w:rPr>
        <w:t>A0102</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表示论与范畴化方法（</w:t>
      </w:r>
      <w:r>
        <w:rPr>
          <w:rFonts w:ascii="Times New Roman" w:hAnsi="Times New Roman" w:cs="Times New Roman" w:eastAsia="Times New Roman" w:hint="ascii"/>
          <w:b w:val="1"/>
          <w:sz w:val="21"/>
        </w:rPr>
        <w:t>A0102</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模空间理论及其应用（</w:t>
      </w:r>
      <w:r>
        <w:rPr>
          <w:rFonts w:ascii="Times New Roman" w:hAnsi="Times New Roman" w:cs="Times New Roman" w:eastAsia="Times New Roman" w:hint="ascii"/>
          <w:b w:val="1"/>
          <w:sz w:val="21"/>
        </w:rPr>
        <w:t>A010207</w:t>
      </w:r>
      <w:r>
        <w:rPr>
          <w:rFonts w:ascii="宋体" w:hAnsi="宋体" w:cs="宋体" w:eastAsia="宋体" w:hint="ascii"/>
          <w:sz w:val="21"/>
        </w:rPr>
        <w:t>）</w:t>
      </w:r>
    </w:p>
    <w:p>
      <w:pPr>
        <w:autoSpaceDE w:val="0"/>
        <w:autoSpaceDN w:val="0"/>
        <w:jc w:val="left"/>
        <w:spacing w:before="64" w:after="0" w:lineRule="auto" w:line="240"/>
        <w:ind w:right="0" w:left="683" w:hanging="105"/>
        <w:snapToGrid w:val="0"/>
        <w:textAlignment w:val="auto"/>
        <w:tabs>
          <w:tab w:val="left" w:leader="none" w:pos="691"/>
        </w:tabs>
        <w:numPr>
          <w:ilvl w:val="0"/>
          <w:numId w:val="126"/>
        </w:numPr>
        <w:rPr>
          <w:rFonts w:ascii="Times New Roman" w:hAnsi="Times New Roman" w:cs="Times New Roman" w:eastAsia="Times New Roman" w:hint="ascii"/>
          <w:sz w:val="21"/>
          <w:spacing w:val="1"/>
        </w:rPr>
      </w:pPr>
      <w:r>
        <w:rPr>
          <w:rFonts w:ascii="Times New Roman" w:hAnsi="Times New Roman" w:cs="Times New Roman" w:eastAsia="Times New Roman" w:hint="ascii"/>
          <w:b w:val="1"/>
          <w:sz w:val="21"/>
        </w:rPr>
        <w:t>Finsle</w:t>
      </w:r>
      <w:r>
        <w:rPr>
          <w:rFonts w:ascii="Times New Roman" w:hAnsi="Times New Roman" w:cs="Times New Roman" w:eastAsia="Times New Roman" w:hint="ascii"/>
          <w:b w:val="1"/>
          <w:sz w:val="21"/>
          <w:spacing w:val="52"/>
        </w:rPr>
        <w:t>r</w:t>
      </w:r>
      <w:r>
        <w:rPr>
          <w:rFonts w:ascii="宋体" w:hAnsi="宋体" w:cs="宋体" w:eastAsia="宋体" w:hint="ascii"/>
          <w:sz w:val="21"/>
        </w:rPr>
        <w:t>几何（</w:t>
      </w:r>
      <w:r>
        <w:rPr>
          <w:rFonts w:ascii="Times New Roman" w:hAnsi="Times New Roman" w:cs="Times New Roman" w:eastAsia="Times New Roman" w:hint="ascii"/>
          <w:b w:val="1"/>
          <w:sz w:val="21"/>
        </w:rPr>
        <w:t>A0103</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凸几何与积分几何（</w:t>
      </w:r>
      <w:r>
        <w:rPr>
          <w:rFonts w:ascii="Times New Roman" w:hAnsi="Times New Roman" w:cs="Times New Roman" w:eastAsia="Times New Roman" w:hint="ascii"/>
          <w:b w:val="1"/>
          <w:sz w:val="21"/>
        </w:rPr>
        <w:t>A0103</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共形几何与不变量理论（</w:t>
      </w:r>
      <w:r>
        <w:rPr>
          <w:rFonts w:ascii="Times New Roman" w:hAnsi="Times New Roman" w:cs="Times New Roman" w:eastAsia="Times New Roman" w:hint="ascii"/>
          <w:b w:val="1"/>
          <w:sz w:val="21"/>
        </w:rPr>
        <w:t>A0103</w:t>
      </w:r>
      <w:r>
        <w:rPr>
          <w:rFonts w:ascii="宋体" w:hAnsi="宋体" w:cs="宋体" w:eastAsia="宋体" w:hint="ascii"/>
          <w:sz w:val="21"/>
        </w:rPr>
        <w:t>）</w:t>
      </w:r>
    </w:p>
    <w:p>
      <w:pPr>
        <w:autoSpaceDE w:val="0"/>
        <w:autoSpaceDN w:val="0"/>
        <w:jc w:val="left"/>
        <w:spacing w:before="64"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三维流形上的几何与拓扑（</w:t>
      </w:r>
      <w:r>
        <w:rPr>
          <w:rFonts w:ascii="Times New Roman" w:hAnsi="Times New Roman" w:cs="Times New Roman" w:eastAsia="Times New Roman" w:hint="ascii"/>
          <w:b w:val="1"/>
          <w:sz w:val="21"/>
        </w:rPr>
        <w:t>A0104</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非阿基米德动力系统（</w:t>
      </w:r>
      <w:r>
        <w:rPr>
          <w:rFonts w:ascii="Times New Roman" w:hAnsi="Times New Roman" w:cs="Times New Roman" w:eastAsia="Times New Roman" w:hint="ascii"/>
          <w:b w:val="1"/>
          <w:sz w:val="21"/>
        </w:rPr>
        <w:t>A0105</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26"/>
        </w:numPr>
        <w:rPr>
          <w:rFonts w:ascii="Times New Roman" w:hAnsi="Times New Roman" w:cs="Times New Roman" w:eastAsia="Times New Roman" w:hint="ascii"/>
          <w:sz w:val="21"/>
        </w:rPr>
      </w:pPr>
      <w:r>
        <w:rPr>
          <w:rFonts w:ascii="宋体" w:hAnsi="宋体" w:cs="宋体" w:eastAsia="宋体" w:hint="ascii"/>
          <w:sz w:val="21"/>
        </w:rPr>
        <w:t>函数空间的调和分析刻画及微分算子（</w:t>
      </w:r>
      <w:r>
        <w:rPr>
          <w:rFonts w:ascii="Times New Roman" w:hAnsi="Times New Roman" w:cs="Times New Roman" w:eastAsia="Times New Roman" w:hint="ascii"/>
          <w:b w:val="1"/>
          <w:sz w:val="21"/>
        </w:rPr>
        <w:t>A0105</w:t>
      </w:r>
      <w:r>
        <w:rPr>
          <w:rFonts w:ascii="宋体" w:hAnsi="宋体" w:cs="宋体" w:eastAsia="宋体" w:hint="ascii"/>
          <w:sz w:val="21"/>
        </w:rPr>
        <w:t>）</w:t>
      </w:r>
    </w:p>
    <w:p>
      <w:pPr>
        <w:autoSpaceDE w:val="0"/>
        <w:autoSpaceDN w:val="0"/>
        <w:jc w:val="left"/>
        <w:spacing w:before="64" w:after="0" w:lineRule="auto" w:line="240"/>
        <w:ind w:right="0" w:left="106" w:firstLine="578"/>
        <w:snapToGrid w:val="0"/>
        <w:textAlignment w:val="auto"/>
        <w:tabs>
          <w:tab w:val="left" w:leader="none" w:pos="787"/>
        </w:tabs>
        <w:numPr>
          <w:ilvl w:val="0"/>
          <w:numId w:val="9"/>
        </w:numPr>
        <w:rPr>
          <w:rFonts w:ascii="Times New Roman" w:hAnsi="Times New Roman" w:cs="Times New Roman" w:eastAsia="Times New Roman" w:hint="ascii"/>
          <w:b w:val="1"/>
          <w:sz w:val="21"/>
          <w:spacing w:val="1"/>
        </w:rPr>
      </w:pPr>
      <w:r>
        <w:rPr>
          <w:rFonts w:ascii="宋体" w:hAnsi="宋体" w:cs="宋体" w:eastAsia="宋体" w:hint="ascii"/>
          <w:sz w:val="21"/>
        </w:rPr>
        <w:t>限制性猜想及其</w:t>
      </w:r>
      <w:r>
        <w:rPr>
          <w:rFonts w:ascii="宋体" w:hAnsi="宋体" w:cs="宋体" w:eastAsia="宋体" w:hint="ascii"/>
          <w:sz w:val="21"/>
          <w:spacing w:val="27"/>
        </w:rPr>
        <w:t>在</w:t>
      </w:r>
      <w:r>
        <w:rPr>
          <w:rFonts w:ascii="Times New Roman" w:hAnsi="Times New Roman" w:cs="Times New Roman" w:eastAsia="Times New Roman" w:hint="ascii"/>
          <w:b w:val="1"/>
          <w:sz w:val="21"/>
        </w:rPr>
        <w:t>PD</w:t>
      </w:r>
      <w:r>
        <w:rPr>
          <w:rFonts w:ascii="Times New Roman" w:hAnsi="Times New Roman" w:cs="Times New Roman" w:eastAsia="Times New Roman" w:hint="ascii"/>
          <w:b w:val="1"/>
          <w:sz w:val="21"/>
          <w:spacing w:val="52"/>
        </w:rPr>
        <w:t>E</w:t>
      </w:r>
      <w:r>
        <w:rPr>
          <w:rFonts w:ascii="宋体" w:hAnsi="宋体" w:cs="宋体" w:eastAsia="宋体" w:hint="ascii"/>
          <w:sz w:val="21"/>
        </w:rPr>
        <w:t>中的应用（</w:t>
      </w:r>
      <w:r>
        <w:rPr>
          <w:rFonts w:ascii="Times New Roman" w:hAnsi="Times New Roman" w:cs="Times New Roman" w:eastAsia="Times New Roman" w:hint="ascii"/>
          <w:b w:val="1"/>
          <w:sz w:val="21"/>
        </w:rPr>
        <w:t>A0105</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无限维动力系统的吸引子（</w:t>
      </w:r>
      <w:r>
        <w:rPr>
          <w:rFonts w:ascii="Times New Roman" w:hAnsi="Times New Roman" w:cs="Times New Roman" w:eastAsia="Times New Roman" w:hint="ascii"/>
          <w:b w:val="1"/>
          <w:sz w:val="21"/>
        </w:rPr>
        <w:t>A0106</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非光滑变分理论及其应用（</w:t>
      </w:r>
      <w:r>
        <w:rPr>
          <w:rFonts w:ascii="Times New Roman" w:hAnsi="Times New Roman" w:cs="Times New Roman" w:eastAsia="Times New Roman" w:hint="ascii"/>
          <w:b w:val="1"/>
          <w:sz w:val="21"/>
        </w:rPr>
        <w:t>A010601</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算子代数中的几何与分类理论（</w:t>
      </w:r>
      <w:r>
        <w:rPr>
          <w:rFonts w:ascii="Times New Roman" w:hAnsi="Times New Roman" w:cs="Times New Roman" w:eastAsia="Times New Roman" w:hint="ascii"/>
          <w:b w:val="1"/>
          <w:sz w:val="21"/>
        </w:rPr>
        <w:t>A010602</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非一致双曲动力系统（</w:t>
      </w:r>
      <w:r>
        <w:rPr>
          <w:rFonts w:ascii="Times New Roman" w:hAnsi="Times New Roman" w:cs="Times New Roman" w:eastAsia="Times New Roman" w:hint="ascii"/>
          <w:b w:val="1"/>
          <w:sz w:val="21"/>
        </w:rPr>
        <w:t>A010704</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动力系统的复杂性与遍历性（</w:t>
      </w:r>
      <w:r>
        <w:rPr>
          <w:rFonts w:ascii="Times New Roman" w:hAnsi="Times New Roman" w:cs="Times New Roman" w:eastAsia="Times New Roman" w:hint="ascii"/>
          <w:b w:val="1"/>
          <w:sz w:val="21"/>
        </w:rPr>
        <w:t>A0107</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流体力学方程的数学理论（</w:t>
      </w:r>
      <w:r>
        <w:rPr>
          <w:rFonts w:ascii="Times New Roman" w:hAnsi="Times New Roman" w:cs="Times New Roman" w:eastAsia="Times New Roman" w:hint="ascii"/>
          <w:b w:val="1"/>
          <w:sz w:val="21"/>
        </w:rPr>
        <w:t>A010801</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非线性波动方程（</w:t>
      </w:r>
      <w:r>
        <w:rPr>
          <w:rFonts w:ascii="Times New Roman" w:hAnsi="Times New Roman" w:cs="Times New Roman" w:eastAsia="Times New Roman" w:hint="ascii"/>
          <w:b w:val="1"/>
          <w:sz w:val="21"/>
        </w:rPr>
        <w:t>A0108</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非线性椭圆型方程（</w:t>
      </w:r>
      <w:r>
        <w:rPr>
          <w:rFonts w:ascii="Times New Roman" w:hAnsi="Times New Roman" w:cs="Times New Roman" w:eastAsia="Times New Roman" w:hint="ascii"/>
          <w:b w:val="1"/>
          <w:sz w:val="21"/>
        </w:rPr>
        <w:t>A010802</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96"/>
        </w:tabs>
        <w:numPr>
          <w:ilvl w:val="0"/>
          <w:numId w:val="127"/>
        </w:numPr>
        <w:rPr>
          <w:rFonts w:ascii="Times New Roman" w:hAnsi="Times New Roman" w:cs="Times New Roman" w:eastAsia="Times New Roman" w:hint="ascii"/>
          <w:sz w:val="21"/>
          <w:spacing w:val="1"/>
        </w:rPr>
      </w:pPr>
      <w:r>
        <w:rPr>
          <w:rFonts w:ascii="Times New Roman" w:hAnsi="Times New Roman" w:cs="Times New Roman" w:eastAsia="Times New Roman" w:hint="ascii"/>
          <w:b w:val="1"/>
          <w:sz w:val="21"/>
        </w:rPr>
        <w:t>Gromov-Witte</w:t>
      </w:r>
      <w:r>
        <w:rPr>
          <w:rFonts w:ascii="Times New Roman" w:hAnsi="Times New Roman" w:cs="Times New Roman" w:eastAsia="Times New Roman" w:hint="ascii"/>
          <w:b w:val="1"/>
          <w:sz w:val="21"/>
          <w:spacing w:val="52"/>
        </w:rPr>
        <w:t>n</w:t>
      </w:r>
      <w:r>
        <w:rPr>
          <w:rFonts w:ascii="宋体" w:hAnsi="宋体" w:cs="宋体" w:eastAsia="宋体" w:hint="ascii"/>
          <w:sz w:val="21"/>
        </w:rPr>
        <w:t>不变量理论（</w:t>
      </w:r>
      <w:r>
        <w:rPr>
          <w:rFonts w:ascii="Times New Roman" w:hAnsi="Times New Roman" w:cs="Times New Roman" w:eastAsia="Times New Roman" w:hint="ascii"/>
          <w:b w:val="1"/>
          <w:sz w:val="21"/>
        </w:rPr>
        <w:t>A010901</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量子场方程的数学理论（</w:t>
      </w:r>
      <w:r>
        <w:rPr>
          <w:rFonts w:ascii="Times New Roman" w:hAnsi="Times New Roman" w:cs="Times New Roman" w:eastAsia="Times New Roman" w:hint="ascii"/>
          <w:b w:val="1"/>
          <w:sz w:val="21"/>
        </w:rPr>
        <w:t>A010902</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随机偏微分方程与遍历理论（</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10</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多源异构数据的融合、特征提取与分析方法（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超高维数据的统计推断（</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函数型数据的统计理论与方法（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1"/>
        </w:rPr>
        <w:t>11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327" w:after="0" w:lineRule="exact" w:line="225"/>
        <w:ind w:right="0" w:left="745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79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非线性组合优化的分析方法（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12</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46" locked="0" layoutInCell="1" allowOverlap="1">
                <wp:simplePos x="0" y="0"/>
                <wp:positionH relativeFrom="page">
                  <wp:posOffset>938530</wp:posOffset>
                </wp:positionH>
                <wp:positionV relativeFrom="page">
                  <wp:posOffset>805815</wp:posOffset>
                </wp:positionV>
                <wp:extent cx="5076190" cy="0"/>
                <wp:wrapNone/>
                <wp:docPr id="1175" name="117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08736;width:399.70pt;" id="117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多阶段随机优化的理论方法与应用（</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大数据驱动的优化建模与高效算法（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随机系统的控制理论与数值算法（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13</w:t>
      </w:r>
      <w:r>
        <w:rPr>
          <w:rFonts w:ascii="宋体" w:hAnsi="宋体" w:cs="宋体" w:eastAsia="宋体" w:hint="ascii"/>
          <w:sz w:val="21"/>
        </w:rPr>
        <w:t>、</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17</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流固耦合、多相流相互作用的建模与理论分析（</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深度学习中的数学基础、方法及应用（</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1401</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金融学中的随机分析方法及理论（</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1402</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复杂环境下生物动态行为的数学建模和分析（</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1403</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生物组学数据中的随机动力学方法（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1403</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分形集上的分析理论与方法（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14</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图的覆盖与划分及其应用（</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16</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极值组合理论及应用（</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16</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网络理论中的随机方法（</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16</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分数阶微分方程的高阶算法及应用（</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17</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电磁计算的新型算法及理论分析（</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17</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基于扩散过程的目标检测的建模和计算（</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17</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物理力学理论与方法（</w:t>
      </w:r>
      <w:r>
        <w:rPr>
          <w:rFonts w:ascii="Times New Roman" w:hAnsi="Times New Roman" w:cs="Times New Roman" w:eastAsia="Times New Roman" w:hint="ascii"/>
          <w:b w:val="1"/>
          <w:sz w:val="21"/>
        </w:rPr>
        <w:t>A0201</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高维</w:t>
      </w:r>
      <w:r>
        <w:rPr>
          <w:rFonts w:ascii="Times New Roman" w:hAnsi="Times New Roman" w:cs="Times New Roman" w:eastAsia="Times New Roman" w:hint="ascii"/>
          <w:b w:val="1"/>
          <w:sz w:val="21"/>
        </w:rPr>
        <w:t>/</w:t>
      </w:r>
      <w:r>
        <w:rPr>
          <w:rFonts w:ascii="宋体" w:hAnsi="宋体" w:cs="宋体" w:eastAsia="宋体" w:hint="ascii"/>
          <w:sz w:val="21"/>
        </w:rPr>
        <w:t>非光滑系统非线性动力学理论与实验（</w:t>
      </w:r>
      <w:r>
        <w:rPr>
          <w:rFonts w:ascii="Times New Roman" w:hAnsi="Times New Roman" w:cs="Times New Roman" w:eastAsia="Times New Roman" w:hint="ascii"/>
          <w:b w:val="1"/>
          <w:sz w:val="21"/>
        </w:rPr>
        <w:t>A0202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复杂系统动力学建模、分析与控制（</w:t>
      </w:r>
      <w:r>
        <w:rPr>
          <w:rFonts w:ascii="Times New Roman" w:hAnsi="Times New Roman" w:cs="Times New Roman" w:eastAsia="Times New Roman" w:hint="ascii"/>
          <w:b w:val="1"/>
          <w:sz w:val="21"/>
        </w:rPr>
        <w:t>A0202</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复杂结构的非线性动态响应与设计（</w:t>
      </w:r>
      <w:r>
        <w:rPr>
          <w:rFonts w:ascii="Times New Roman" w:hAnsi="Times New Roman" w:cs="Times New Roman" w:eastAsia="Times New Roman" w:hint="ascii"/>
          <w:b w:val="1"/>
          <w:sz w:val="21"/>
        </w:rPr>
        <w:t>A0202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材料和结构的变形与失效机理（</w:t>
      </w:r>
      <w:r>
        <w:rPr>
          <w:rFonts w:ascii="Times New Roman" w:hAnsi="Times New Roman" w:cs="Times New Roman" w:eastAsia="Times New Roman" w:hint="ascii"/>
          <w:b w:val="1"/>
          <w:sz w:val="21"/>
        </w:rPr>
        <w:t>A0203</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强度理论与结构可靠性（</w:t>
      </w:r>
      <w:r>
        <w:rPr>
          <w:rFonts w:ascii="Times New Roman" w:hAnsi="Times New Roman" w:cs="Times New Roman" w:eastAsia="Times New Roman" w:hint="ascii"/>
          <w:b w:val="1"/>
          <w:sz w:val="21"/>
        </w:rPr>
        <w:t>A0203</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新型材料和结构的力学响应与多功能优化设计（</w:t>
      </w:r>
      <w:r>
        <w:rPr>
          <w:rFonts w:ascii="Times New Roman" w:hAnsi="Times New Roman" w:cs="Times New Roman" w:eastAsia="Times New Roman" w:hint="ascii"/>
          <w:b w:val="1"/>
          <w:sz w:val="21"/>
        </w:rPr>
        <w:t>A0203</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多场条件下材料与结构的力学行为（</w:t>
      </w:r>
      <w:r>
        <w:rPr>
          <w:rFonts w:ascii="Times New Roman" w:hAnsi="Times New Roman" w:cs="Times New Roman" w:eastAsia="Times New Roman" w:hint="ascii"/>
          <w:b w:val="1"/>
          <w:sz w:val="21"/>
        </w:rPr>
        <w:t>A0203</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非定常复杂流动机理与控制（</w:t>
      </w:r>
      <w:r>
        <w:rPr>
          <w:rFonts w:ascii="Times New Roman" w:hAnsi="Times New Roman" w:cs="Times New Roman" w:eastAsia="Times New Roman" w:hint="ascii"/>
          <w:b w:val="1"/>
          <w:sz w:val="21"/>
        </w:rPr>
        <w:t>A0204</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海洋航行器及海洋结构物的水动力学（</w:t>
      </w:r>
      <w:r>
        <w:rPr>
          <w:rFonts w:ascii="Times New Roman" w:hAnsi="Times New Roman" w:cs="Times New Roman" w:eastAsia="Times New Roman" w:hint="ascii"/>
          <w:b w:val="1"/>
          <w:sz w:val="21"/>
        </w:rPr>
        <w:t>A0204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飞行器空气动力学问题（</w:t>
      </w:r>
      <w:r>
        <w:rPr>
          <w:rFonts w:ascii="Times New Roman" w:hAnsi="Times New Roman" w:cs="Times New Roman" w:eastAsia="Times New Roman" w:hint="ascii"/>
          <w:b w:val="1"/>
          <w:sz w:val="21"/>
        </w:rPr>
        <w:t>A0204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仿生流体力学和仿生推进（</w:t>
      </w:r>
      <w:r>
        <w:rPr>
          <w:rFonts w:ascii="Times New Roman" w:hAnsi="Times New Roman" w:cs="Times New Roman" w:eastAsia="Times New Roman" w:hint="ascii"/>
          <w:b w:val="1"/>
          <w:sz w:val="21"/>
        </w:rPr>
        <w:t>A0204</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人类健康、体育竞技与医学中的生物力学问题（</w:t>
      </w:r>
      <w:r>
        <w:rPr>
          <w:rFonts w:ascii="Times New Roman" w:hAnsi="Times New Roman" w:cs="Times New Roman" w:eastAsia="Times New Roman" w:hint="ascii"/>
          <w:b w:val="1"/>
          <w:sz w:val="21"/>
        </w:rPr>
        <w:t>A0205</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多尺度、多场耦合的力学生物学问题（</w:t>
      </w:r>
      <w:r>
        <w:rPr>
          <w:rFonts w:ascii="Times New Roman" w:hAnsi="Times New Roman" w:cs="Times New Roman" w:eastAsia="Times New Roman" w:hint="ascii"/>
          <w:b w:val="1"/>
          <w:sz w:val="21"/>
        </w:rPr>
        <w:t>A0205</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强动载作用下材料和结构的力学行为（</w:t>
      </w:r>
      <w:r>
        <w:rPr>
          <w:rFonts w:ascii="Times New Roman" w:hAnsi="Times New Roman" w:cs="Times New Roman" w:eastAsia="Times New Roman" w:hint="ascii"/>
          <w:b w:val="1"/>
          <w:sz w:val="21"/>
        </w:rPr>
        <w:t>A0206</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含能材料爆炸的能量释放与损毁机理（</w:t>
      </w:r>
      <w:r>
        <w:rPr>
          <w:rFonts w:ascii="Times New Roman" w:hAnsi="Times New Roman" w:cs="Times New Roman" w:eastAsia="Times New Roman" w:hint="ascii"/>
          <w:b w:val="1"/>
          <w:sz w:val="21"/>
        </w:rPr>
        <w:t>A0206</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计算力学新方法和软件（</w:t>
      </w:r>
      <w:r>
        <w:rPr>
          <w:rFonts w:ascii="Times New Roman" w:hAnsi="Times New Roman" w:cs="Times New Roman" w:eastAsia="Times New Roman" w:hint="ascii"/>
          <w:b w:val="1"/>
          <w:sz w:val="21"/>
        </w:rPr>
        <w:t>A02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实验力学新方法与新技术（</w:t>
      </w:r>
      <w:r>
        <w:rPr>
          <w:rFonts w:ascii="Times New Roman" w:hAnsi="Times New Roman" w:cs="Times New Roman" w:eastAsia="Times New Roman" w:hint="ascii"/>
          <w:b w:val="1"/>
          <w:sz w:val="21"/>
        </w:rPr>
        <w:t>A02</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环境演化与灾变中的关键力学问题（</w:t>
      </w:r>
      <w:r>
        <w:rPr>
          <w:rFonts w:ascii="Times New Roman" w:hAnsi="Times New Roman" w:cs="Times New Roman" w:eastAsia="Times New Roman" w:hint="ascii"/>
          <w:b w:val="1"/>
          <w:sz w:val="21"/>
        </w:rPr>
        <w:t>A02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高端装备和先进制造中的关键力学问题（</w:t>
      </w:r>
      <w:r>
        <w:rPr>
          <w:rFonts w:ascii="Times New Roman" w:hAnsi="Times New Roman" w:cs="Times New Roman" w:eastAsia="Times New Roman" w:hint="ascii"/>
          <w:b w:val="1"/>
          <w:sz w:val="21"/>
        </w:rPr>
        <w:t>A02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超常条件下的关键力学问题（</w:t>
      </w:r>
      <w:r>
        <w:rPr>
          <w:rFonts w:ascii="Times New Roman" w:hAnsi="Times New Roman" w:cs="Times New Roman" w:eastAsia="Times New Roman" w:hint="ascii"/>
          <w:b w:val="1"/>
          <w:sz w:val="21"/>
        </w:rPr>
        <w:t>A02</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能源与资源领域的关键力学问题（</w:t>
      </w:r>
      <w:r>
        <w:rPr>
          <w:rFonts w:ascii="Times New Roman" w:hAnsi="Times New Roman" w:cs="Times New Roman" w:eastAsia="Times New Roman" w:hint="ascii"/>
          <w:b w:val="1"/>
          <w:sz w:val="21"/>
        </w:rPr>
        <w:t>A02</w:t>
      </w:r>
      <w:r>
        <w:rPr>
          <w:rFonts w:ascii="宋体" w:hAnsi="宋体" w:cs="宋体" w:eastAsia="宋体" w:hint="ascii"/>
          <w:sz w:val="21"/>
        </w:rPr>
        <w:t>）</w:t>
      </w:r>
    </w:p>
    <w:p>
      <w:pPr>
        <w:autoSpaceDE w:val="0"/>
        <w:autoSpaceDN w:val="0"/>
        <w:jc w:val="left"/>
        <w:spacing w:before="307"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流固耦合力学理论与方法（</w:t>
      </w:r>
      <w:r>
        <w:rPr>
          <w:rFonts w:ascii="Times New Roman" w:hAnsi="Times New Roman" w:cs="Times New Roman" w:eastAsia="Times New Roman" w:hint="ascii"/>
          <w:b w:val="1"/>
          <w:sz w:val="21"/>
        </w:rPr>
        <w:t>A02</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47" locked="0" layoutInCell="1" allowOverlap="1">
                <wp:simplePos x="0" y="0"/>
                <wp:positionH relativeFrom="page">
                  <wp:posOffset>938530</wp:posOffset>
                </wp:positionH>
                <wp:positionV relativeFrom="page">
                  <wp:posOffset>819150</wp:posOffset>
                </wp:positionV>
                <wp:extent cx="5076190" cy="0"/>
                <wp:wrapNone/>
                <wp:docPr id="1176" name="117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07712;width:399.70pt;" id="117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暗物质与暗能量的本质以及宇宙早期的物理过程（</w:t>
      </w:r>
      <w:r>
        <w:rPr>
          <w:rFonts w:ascii="Times New Roman" w:hAnsi="Times New Roman" w:cs="Times New Roman" w:eastAsia="Times New Roman" w:hint="ascii"/>
          <w:b w:val="1"/>
          <w:sz w:val="21"/>
        </w:rPr>
        <w:t>A0301</w:t>
      </w:r>
      <w:r>
        <w:rPr>
          <w:rFonts w:ascii="宋体" w:hAnsi="宋体" w:cs="宋体" w:eastAsia="宋体" w:hint="ascii"/>
          <w:sz w:val="21"/>
        </w:rPr>
        <w:t>）</w:t>
      </w:r>
    </w:p>
    <w:p>
      <w:pPr>
        <w:autoSpaceDE w:val="0"/>
        <w:autoSpaceDN w:val="0"/>
        <w:jc w:val="left"/>
        <w:spacing w:before="6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）暗物质、暗能量和宇宙早期物理过程；</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）宇宙大尺度结构。</w: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星系的演化以及周围环境的影响（</w:t>
      </w:r>
      <w:r>
        <w:rPr>
          <w:rFonts w:ascii="Times New Roman" w:hAnsi="Times New Roman" w:cs="Times New Roman" w:eastAsia="Times New Roman" w:hint="ascii"/>
          <w:b w:val="1"/>
          <w:sz w:val="21"/>
        </w:rPr>
        <w:t>A0302</w:t>
      </w:r>
      <w:r>
        <w:rPr>
          <w:rFonts w:ascii="宋体" w:hAnsi="宋体" w:cs="宋体" w:eastAsia="宋体" w:hint="ascii"/>
          <w:sz w:val="21"/>
        </w:rPr>
        <w:t>）</w:t>
      </w:r>
    </w:p>
    <w:p>
      <w:pPr>
        <w:autoSpaceDE w:val="0"/>
        <w:autoSpaceDN w:val="0"/>
        <w:jc w:val="left"/>
        <w:spacing w:before="6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）中、高红移天体的探测以及星系的形成和演化；</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）星系以及与周围暗物质、星系际介质的关系。</w: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大质量黑洞和活动星系核的结构、形成与演化（</w:t>
      </w:r>
      <w:r>
        <w:rPr>
          <w:rFonts w:ascii="Times New Roman" w:hAnsi="Times New Roman" w:cs="Times New Roman" w:eastAsia="Times New Roman" w:hint="ascii"/>
          <w:b w:val="1"/>
          <w:sz w:val="21"/>
        </w:rPr>
        <w:t>A0302</w:t>
      </w:r>
      <w:r>
        <w:rPr>
          <w:rFonts w:ascii="宋体" w:hAnsi="宋体" w:cs="宋体" w:eastAsia="宋体" w:hint="ascii"/>
          <w:sz w:val="21"/>
        </w:rPr>
        <w:t>）</w:t>
      </w:r>
    </w:p>
    <w:p>
      <w:pPr>
        <w:autoSpaceDE w:val="0"/>
        <w:autoSpaceDN w:val="0"/>
        <w:jc w:val="left"/>
        <w:spacing w:before="6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）活动星系核的结构与辐射；</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）大质量黑洞的形成和演化以及与星系的共同演化。</w: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银河系结构、成分、集成和演化（</w:t>
      </w:r>
      <w:r>
        <w:rPr>
          <w:rFonts w:ascii="Times New Roman" w:hAnsi="Times New Roman" w:cs="Times New Roman" w:eastAsia="Times New Roman" w:hint="ascii"/>
          <w:b w:val="1"/>
          <w:sz w:val="21"/>
        </w:rPr>
        <w:t>A0302</w:t>
      </w:r>
      <w:r>
        <w:rPr>
          <w:rFonts w:ascii="宋体" w:hAnsi="宋体" w:cs="宋体" w:eastAsia="宋体" w:hint="ascii"/>
          <w:sz w:val="21"/>
        </w:rPr>
        <w:t>、</w:t>
      </w:r>
      <w:r>
        <w:rPr>
          <w:rFonts w:ascii="Times New Roman" w:hAnsi="Times New Roman" w:cs="Times New Roman" w:eastAsia="Times New Roman" w:hint="ascii"/>
          <w:b w:val="1"/>
          <w:sz w:val="21"/>
        </w:rPr>
        <w:t>A0303</w:t>
      </w:r>
      <w:r>
        <w:rPr>
          <w:rFonts w:ascii="宋体" w:hAnsi="宋体" w:cs="宋体" w:eastAsia="宋体" w:hint="ascii"/>
          <w:sz w:val="21"/>
        </w:rPr>
        <w:t>）</w:t>
      </w:r>
    </w:p>
    <w:p>
      <w:pPr>
        <w:autoSpaceDE w:val="0"/>
        <w:autoSpaceDN w:val="0"/>
        <w:jc w:val="left"/>
        <w:spacing w:before="6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）银河系结构，星族分布、动力学及长期演化；</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）银河系基本参数及物质（包括暗物质）分布。</w: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分子云与恒星形成、恒星内部结构与演化及致密天体高能过程（</w:t>
      </w:r>
      <w:r>
        <w:rPr>
          <w:rFonts w:ascii="Times New Roman" w:hAnsi="Times New Roman" w:cs="Times New Roman" w:eastAsia="Times New Roman" w:hint="ascii"/>
          <w:b w:val="1"/>
          <w:sz w:val="21"/>
        </w:rPr>
        <w:t>A0303</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）恒星形成，分子云，星际物质</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）恒星和恒星系统的成分及内部结构和演化</w:t>
      </w:r>
      <w:r>
        <w:rPr>
          <w:rFonts w:ascii="宋体" w:hAnsi="宋体" w:cs="宋体" w:eastAsia="宋体" w:hint="ascii"/>
          <w:sz w:val="21"/>
        </w:rPr>
        <w:t>；</w:t>
      </w:r>
    </w:p>
    <w:p>
      <w:pPr>
        <w:autoSpaceDE w:val="0"/>
        <w:autoSpaceDN w:val="0"/>
        <w:jc w:val="left"/>
        <w:spacing w:before="57"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）致密天体的诞生、爆发及其高能物理过程</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4</w:t>
      </w:r>
      <w:r>
        <w:rPr>
          <w:rFonts w:ascii="宋体" w:hAnsi="宋体" w:cs="宋体" w:eastAsia="宋体" w:hint="ascii"/>
          <w:sz w:val="21"/>
          <w:spacing w:val="-2"/>
        </w:rPr>
        <w:t>）脉冲星发现、测时和辐射机制</w:t>
      </w:r>
      <w:r>
        <w:rPr>
          <w:rFonts w:ascii="宋体" w:hAnsi="宋体" w:cs="宋体" w:eastAsia="宋体" w:hint="ascii"/>
          <w:sz w:val="21"/>
        </w:rPr>
        <w:t>。</w:t>
      </w:r>
    </w:p>
    <w:p>
      <w:pPr>
        <w:autoSpaceDE w:val="0"/>
        <w:autoSpaceDN w:val="0"/>
        <w:jc w:val="left"/>
        <w:spacing w:before="58"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行星系统探测与动力学（</w:t>
      </w:r>
      <w:r>
        <w:rPr>
          <w:rFonts w:ascii="Times New Roman" w:hAnsi="Times New Roman" w:cs="Times New Roman" w:eastAsia="Times New Roman" w:hint="ascii"/>
          <w:b w:val="1"/>
          <w:sz w:val="21"/>
        </w:rPr>
        <w:t>A0303</w:t>
      </w:r>
      <w:r>
        <w:rPr>
          <w:rFonts w:ascii="宋体" w:hAnsi="宋体" w:cs="宋体" w:eastAsia="宋体" w:hint="ascii"/>
          <w:sz w:val="21"/>
        </w:rPr>
        <w:t>、</w:t>
      </w:r>
      <w:r>
        <w:rPr>
          <w:rFonts w:ascii="Times New Roman" w:hAnsi="Times New Roman" w:cs="Times New Roman" w:eastAsia="Times New Roman" w:hint="ascii"/>
          <w:b w:val="1"/>
          <w:sz w:val="21"/>
        </w:rPr>
        <w:t>A0304</w:t>
      </w:r>
      <w:r>
        <w:rPr>
          <w:rFonts w:ascii="宋体" w:hAnsi="宋体" w:cs="宋体" w:eastAsia="宋体" w:hint="ascii"/>
          <w:sz w:val="21"/>
        </w:rPr>
        <w:t>、</w:t>
      </w:r>
      <w:r>
        <w:rPr>
          <w:rFonts w:ascii="Times New Roman" w:hAnsi="Times New Roman" w:cs="Times New Roman" w:eastAsia="Times New Roman" w:hint="ascii"/>
          <w:b w:val="1"/>
          <w:sz w:val="21"/>
        </w:rPr>
        <w:t>A0306</w:t>
      </w:r>
      <w:r>
        <w:rPr>
          <w:rFonts w:ascii="宋体" w:hAnsi="宋体" w:cs="宋体" w:eastAsia="宋体" w:hint="ascii"/>
          <w:sz w:val="21"/>
        </w:rPr>
        <w:t>、</w:t>
      </w:r>
      <w:r>
        <w:rPr>
          <w:rFonts w:ascii="Times New Roman" w:hAnsi="Times New Roman" w:cs="Times New Roman" w:eastAsia="Times New Roman" w:hint="ascii"/>
          <w:b w:val="1"/>
          <w:sz w:val="21"/>
        </w:rPr>
        <w:t>A0307</w:t>
      </w:r>
      <w:r>
        <w:rPr>
          <w:rFonts w:ascii="宋体" w:hAnsi="宋体" w:cs="宋体" w:eastAsia="宋体" w:hint="ascii"/>
          <w:sz w:val="21"/>
        </w:rPr>
        <w:t>）</w:t>
      </w:r>
    </w:p>
    <w:p>
      <w:pPr>
        <w:autoSpaceDE w:val="0"/>
        <w:autoSpaceDN w:val="0"/>
        <w:jc w:val="left"/>
        <w:spacing w:before="64"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）太阳系与太阳系外行星探测以及行星系统动力学</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）行星大气特性及内部结构和动力学</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）原恒星盘与行星系统的形成</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太阳大气、磁场及其活动（</w:t>
      </w:r>
      <w:r>
        <w:rPr>
          <w:rFonts w:ascii="Times New Roman" w:hAnsi="Times New Roman" w:cs="Times New Roman" w:eastAsia="Times New Roman" w:hint="ascii"/>
          <w:b w:val="1"/>
          <w:sz w:val="21"/>
        </w:rPr>
        <w:t>A0304</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）太阳大气结构和动力学，太阳磁场精细结构，太阳磁场的起源和演化</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）太阳爆发活动及其起源和演化，太阳活动预报</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高精度天文参考架和时间频率（</w:t>
      </w:r>
      <w:r>
        <w:rPr>
          <w:rFonts w:ascii="Times New Roman" w:hAnsi="Times New Roman" w:cs="Times New Roman" w:eastAsia="Times New Roman" w:hint="ascii"/>
          <w:b w:val="1"/>
          <w:sz w:val="21"/>
        </w:rPr>
        <w:t>A0306</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）微角秒天球参考架、高精度地球参考系与天文地球动力学</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）精密时间产生与传递</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太阳系动力学与太阳系稳定性（</w:t>
      </w:r>
      <w:r>
        <w:rPr>
          <w:rFonts w:ascii="Times New Roman" w:hAnsi="Times New Roman" w:cs="Times New Roman" w:eastAsia="Times New Roman" w:hint="ascii"/>
          <w:b w:val="1"/>
          <w:sz w:val="21"/>
        </w:rPr>
        <w:t>A0307</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）太阳系稳定性与轨道扩散</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）太阳系小天体发现及其起源动力学</w:t>
      </w:r>
      <w:r>
        <w:rPr>
          <w:rFonts w:ascii="宋体" w:hAnsi="宋体" w:cs="宋体" w:eastAsia="宋体" w:hint="ascii"/>
          <w:sz w:val="21"/>
        </w:rPr>
        <w:t>；</w:t>
      </w:r>
    </w:p>
    <w:p>
      <w:pPr>
        <w:autoSpaceDE w:val="0"/>
        <w:autoSpaceDN w:val="0"/>
        <w:jc w:val="left"/>
        <w:spacing w:before="57"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）太阳系小天体的物理与化学性质</w:t>
      </w:r>
      <w:r>
        <w:rPr>
          <w:rFonts w:ascii="宋体" w:hAnsi="宋体" w:cs="宋体" w:eastAsia="宋体" w:hint="ascii"/>
          <w:sz w:val="21"/>
        </w:rPr>
        <w:t>。</w:t>
      </w:r>
    </w:p>
    <w:p>
      <w:pPr>
        <w:autoSpaceDE w:val="0"/>
        <w:autoSpaceDN w:val="0"/>
        <w:jc w:val="left"/>
        <w:spacing w:before="58"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快速移动天体的测量、精密轨道确定与动力学（</w:t>
      </w:r>
      <w:r>
        <w:rPr>
          <w:rFonts w:ascii="Times New Roman" w:hAnsi="Times New Roman" w:cs="Times New Roman" w:eastAsia="Times New Roman" w:hint="ascii"/>
          <w:b w:val="1"/>
          <w:sz w:val="21"/>
        </w:rPr>
        <w:t>A0306</w:t>
      </w:r>
      <w:r>
        <w:rPr>
          <w:rFonts w:ascii="宋体" w:hAnsi="宋体" w:cs="宋体" w:eastAsia="宋体" w:hint="ascii"/>
          <w:sz w:val="21"/>
        </w:rPr>
        <w:t>、</w:t>
      </w:r>
      <w:r>
        <w:rPr>
          <w:rFonts w:ascii="Times New Roman" w:hAnsi="Times New Roman" w:cs="Times New Roman" w:eastAsia="Times New Roman" w:hint="ascii"/>
          <w:b w:val="1"/>
          <w:sz w:val="21"/>
        </w:rPr>
        <w:t>A0307</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）深空探测器轨道设计与测定以及精密卫星导航定位</w:t>
      </w:r>
      <w:r>
        <w:rPr>
          <w:rFonts w:ascii="宋体" w:hAnsi="宋体" w:cs="宋体" w:eastAsia="宋体" w:hint="ascii"/>
          <w:sz w:val="21"/>
        </w:rPr>
        <w:t>；</w:t>
      </w:r>
    </w:p>
    <w:p>
      <w:pPr>
        <w:autoSpaceDE w:val="0"/>
        <w:autoSpaceDN w:val="0"/>
        <w:jc w:val="left"/>
        <w:spacing w:before="57"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）快速移动天体的监测与动力学</w:t>
      </w:r>
      <w:r>
        <w:rPr>
          <w:rFonts w:ascii="宋体" w:hAnsi="宋体" w:cs="宋体" w:eastAsia="宋体" w:hint="ascii"/>
          <w:sz w:val="21"/>
        </w:rPr>
        <w:t>。</w:t>
      </w:r>
    </w:p>
    <w:p>
      <w:pPr>
        <w:autoSpaceDE w:val="0"/>
        <w:autoSpaceDN w:val="0"/>
        <w:jc w:val="left"/>
        <w:spacing w:before="58"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光学</w:t>
      </w:r>
      <w:r>
        <w:rPr>
          <w:rFonts w:ascii="Times New Roman" w:hAnsi="Times New Roman" w:cs="Times New Roman" w:eastAsia="Times New Roman" w:hint="ascii"/>
          <w:b w:val="1"/>
          <w:sz w:val="21"/>
        </w:rPr>
        <w:t>/</w:t>
      </w:r>
      <w:r>
        <w:rPr>
          <w:rFonts w:ascii="宋体" w:hAnsi="宋体" w:cs="宋体" w:eastAsia="宋体" w:hint="ascii"/>
          <w:sz w:val="21"/>
        </w:rPr>
        <w:t>红外天文关键技术（</w:t>
      </w:r>
      <w:r>
        <w:rPr>
          <w:rFonts w:ascii="Times New Roman" w:hAnsi="Times New Roman" w:cs="Times New Roman" w:eastAsia="Times New Roman" w:hint="ascii"/>
          <w:b w:val="1"/>
          <w:sz w:val="21"/>
        </w:rPr>
        <w:t>A0308</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）大口径光学</w:t>
      </w:r>
      <w:r>
        <w:rPr>
          <w:rFonts w:ascii="Times New Roman" w:hAnsi="Times New Roman" w:cs="Times New Roman" w:eastAsia="Times New Roman" w:hint="ascii"/>
          <w:sz w:val="21"/>
          <w:spacing w:val="-2"/>
        </w:rPr>
        <w:t>/</w:t>
      </w:r>
      <w:r>
        <w:rPr>
          <w:rFonts w:ascii="宋体" w:hAnsi="宋体" w:cs="宋体" w:eastAsia="宋体" w:hint="ascii"/>
          <w:sz w:val="21"/>
          <w:spacing w:val="-2"/>
        </w:rPr>
        <w:t>红外望远镜关键技术</w:t>
      </w:r>
      <w:r>
        <w:rPr>
          <w:rFonts w:ascii="宋体" w:hAnsi="宋体" w:cs="宋体" w:eastAsia="宋体" w:hint="ascii"/>
          <w:sz w:val="21"/>
        </w:rPr>
        <w:t>；</w:t>
      </w:r>
    </w:p>
    <w:p>
      <w:pPr>
        <w:autoSpaceDE w:val="0"/>
        <w:autoSpaceDN w:val="0"/>
        <w:jc w:val="left"/>
        <w:spacing w:before="57"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）高分辨率、高对比度成像技术</w:t>
      </w:r>
      <w:r>
        <w:rPr>
          <w:rFonts w:ascii="宋体" w:hAnsi="宋体" w:cs="宋体" w:eastAsia="宋体" w:hint="ascii"/>
          <w:sz w:val="21"/>
        </w:rPr>
        <w:t>；</w:t>
      </w:r>
    </w:p>
    <w:p>
      <w:pPr>
        <w:autoSpaceDE w:val="0"/>
        <w:autoSpaceDN w:val="0"/>
        <w:jc w:val="left"/>
        <w:spacing w:before="300"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）大视场和光谱成像</w:t>
      </w:r>
      <w:r>
        <w:rPr>
          <w:rFonts w:ascii="Times New Roman" w:hAnsi="Times New Roman" w:cs="Times New Roman" w:eastAsia="Times New Roman" w:hint="ascii"/>
          <w:sz w:val="21"/>
          <w:spacing w:val="-3"/>
        </w:rPr>
        <w:t>/</w:t>
      </w:r>
      <w:r>
        <w:rPr>
          <w:rFonts w:ascii="宋体" w:hAnsi="宋体" w:cs="宋体" w:eastAsia="宋体" w:hint="ascii"/>
          <w:sz w:val="21"/>
          <w:spacing w:val="-2"/>
        </w:rPr>
        <w:t>探测关键技术</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48" locked="0" layoutInCell="1" allowOverlap="1">
                <wp:simplePos x="0" y="0"/>
                <wp:positionH relativeFrom="page">
                  <wp:posOffset>938530</wp:posOffset>
                </wp:positionH>
                <wp:positionV relativeFrom="page">
                  <wp:posOffset>805815</wp:posOffset>
                </wp:positionV>
                <wp:extent cx="5076190" cy="0"/>
                <wp:wrapNone/>
                <wp:docPr id="1177" name="117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06688;width:399.70pt;" id="117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射电天文关键技术（</w:t>
      </w:r>
      <w:r>
        <w:rPr>
          <w:rFonts w:ascii="Times New Roman" w:hAnsi="Times New Roman" w:cs="Times New Roman" w:eastAsia="Times New Roman" w:hint="ascii"/>
          <w:b w:val="1"/>
          <w:sz w:val="21"/>
        </w:rPr>
        <w:t>A0308</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）低噪声、超宽带、阵列接收关键技术</w:t>
      </w:r>
      <w:r>
        <w:rPr>
          <w:rFonts w:ascii="宋体" w:hAnsi="宋体" w:cs="宋体" w:eastAsia="宋体" w:hint="ascii"/>
          <w:sz w:val="21"/>
        </w:rPr>
        <w:t>；</w:t>
      </w:r>
    </w:p>
    <w:p>
      <w:pPr>
        <w:autoSpaceDE w:val="0"/>
        <w:autoSpaceDN w:val="0"/>
        <w:jc w:val="left"/>
        <w:spacing w:before="58"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）数字信号处理关键技术</w:t>
      </w:r>
      <w:r>
        <w:rPr>
          <w:rFonts w:ascii="宋体" w:hAnsi="宋体" w:cs="宋体" w:eastAsia="宋体" w:hint="ascii"/>
          <w:sz w:val="21"/>
        </w:rPr>
        <w:t>；</w:t>
      </w:r>
    </w:p>
    <w:p>
      <w:pPr>
        <w:autoSpaceDE w:val="0"/>
        <w:autoSpaceDN w:val="0"/>
        <w:jc w:val="left"/>
        <w:spacing w:before="57"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）单口径、阵列干涉成像</w:t>
      </w:r>
      <w:r>
        <w:rPr>
          <w:rFonts w:ascii="宋体" w:hAnsi="宋体" w:cs="宋体" w:eastAsia="宋体" w:hint="ascii"/>
          <w:sz w:val="21"/>
          <w:spacing w:val="24"/>
        </w:rPr>
        <w:t>及</w:t>
      </w:r>
      <w:r>
        <w:rPr>
          <w:rFonts w:ascii="Times New Roman" w:hAnsi="Times New Roman" w:cs="Times New Roman" w:eastAsia="Times New Roman" w:hint="ascii"/>
          <w:sz w:val="21"/>
          <w:spacing w:val="-2"/>
        </w:rPr>
        <w:t>VLB</w:t>
      </w:r>
      <w:r>
        <w:rPr>
          <w:rFonts w:ascii="Times New Roman" w:hAnsi="Times New Roman" w:cs="Times New Roman" w:eastAsia="Times New Roman" w:hint="ascii"/>
          <w:sz w:val="21"/>
          <w:spacing w:val="49"/>
        </w:rPr>
        <w:t>I</w:t>
      </w:r>
      <w:r>
        <w:rPr>
          <w:rFonts w:ascii="宋体" w:hAnsi="宋体" w:cs="宋体" w:eastAsia="宋体" w:hint="ascii"/>
          <w:sz w:val="21"/>
          <w:spacing w:val="-2"/>
        </w:rPr>
        <w:t>关键技术</w:t>
      </w:r>
      <w:r>
        <w:rPr>
          <w:rFonts w:ascii="宋体" w:hAnsi="宋体" w:cs="宋体" w:eastAsia="宋体" w:hint="ascii"/>
          <w:sz w:val="21"/>
        </w:rPr>
        <w:t>。</w:t>
      </w:r>
    </w:p>
    <w:p>
      <w:pPr>
        <w:autoSpaceDE w:val="0"/>
        <w:autoSpaceDN w:val="0"/>
        <w:jc w:val="left"/>
        <w:spacing w:before="58"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空间天文关键技术（</w:t>
      </w:r>
      <w:r>
        <w:rPr>
          <w:rFonts w:ascii="Times New Roman" w:hAnsi="Times New Roman" w:cs="Times New Roman" w:eastAsia="Times New Roman" w:hint="ascii"/>
          <w:b w:val="1"/>
          <w:sz w:val="21"/>
        </w:rPr>
        <w:t>A0308</w:t>
      </w:r>
      <w:r>
        <w:rPr>
          <w:rFonts w:ascii="宋体" w:hAnsi="宋体" w:cs="宋体" w:eastAsia="宋体" w:hint="ascii"/>
          <w:sz w:val="21"/>
        </w:rPr>
        <w:t>）</w:t>
      </w:r>
    </w:p>
    <w:p>
      <w:pPr>
        <w:autoSpaceDE w:val="0"/>
        <w:autoSpaceDN w:val="0"/>
        <w:jc w:val="left"/>
        <w:spacing w:before="65"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1</w:t>
      </w:r>
      <w:r>
        <w:rPr>
          <w:rFonts w:ascii="宋体" w:hAnsi="宋体" w:cs="宋体" w:eastAsia="宋体" w:hint="ascii"/>
          <w:sz w:val="21"/>
          <w:spacing w:val="-2"/>
        </w:rPr>
        <w:t>）</w:t>
      </w:r>
      <w:r>
        <w:rPr>
          <w:rFonts w:ascii="Times New Roman" w:hAnsi="Times New Roman" w:cs="Times New Roman" w:eastAsia="Times New Roman" w:hint="ascii"/>
          <w:sz w:val="21"/>
          <w:spacing w:val="49"/>
        </w:rPr>
        <w:t>X</w:t>
      </w:r>
      <w:r>
        <w:rPr>
          <w:rFonts w:ascii="宋体" w:hAnsi="宋体" w:cs="宋体" w:eastAsia="宋体" w:hint="ascii"/>
          <w:sz w:val="21"/>
          <w:spacing w:val="-2"/>
        </w:rPr>
        <w:t>射线、紫外、光学和红外空间望远镜关键技术</w:t>
      </w:r>
      <w:r>
        <w:rPr>
          <w:rFonts w:ascii="宋体" w:hAnsi="宋体" w:cs="宋体" w:eastAsia="宋体" w:hint="ascii"/>
          <w:sz w:val="21"/>
        </w:rPr>
        <w:t>；</w:t>
      </w:r>
    </w:p>
    <w:p>
      <w:pPr>
        <w:autoSpaceDE w:val="0"/>
        <w:autoSpaceDN w:val="0"/>
        <w:jc w:val="left"/>
        <w:spacing w:before="57" w:after="0" w:lineRule="exact" w:line="263"/>
        <w:ind w:right="0" w:left="1274"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）空间高分辨宇宙线、</w:t>
      </w:r>
      <w:r>
        <w:rPr>
          <w:rFonts w:ascii="Times New Roman" w:hAnsi="Times New Roman" w:cs="Times New Roman" w:eastAsia="Times New Roman" w:hint="ascii"/>
          <w:sz w:val="21"/>
          <w:spacing w:val="49"/>
        </w:rPr>
        <w:t>X</w:t>
      </w:r>
      <w:r>
        <w:rPr>
          <w:rFonts w:ascii="宋体" w:hAnsi="宋体" w:cs="宋体" w:eastAsia="宋体" w:hint="ascii"/>
          <w:sz w:val="21"/>
          <w:spacing w:val="-2"/>
        </w:rPr>
        <w:t>射线、红外以及紫外探测器关键技术</w:t>
      </w:r>
      <w:r>
        <w:rPr>
          <w:rFonts w:ascii="宋体" w:hAnsi="宋体" w:cs="宋体" w:eastAsia="宋体" w:hint="ascii"/>
          <w:sz w:val="21"/>
        </w:rPr>
        <w:t>。</w:t>
      </w:r>
    </w:p>
    <w:p>
      <w:pPr>
        <w:autoSpaceDE w:val="0"/>
        <w:autoSpaceDN w:val="0"/>
        <w:jc w:val="left"/>
        <w:spacing w:before="58"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新能源中的物理（</w:t>
      </w:r>
      <w:r>
        <w:rPr>
          <w:rFonts w:ascii="Times New Roman" w:hAnsi="Times New Roman" w:cs="Times New Roman" w:eastAsia="Times New Roman" w:hint="ascii"/>
          <w:b w:val="1"/>
          <w:sz w:val="21"/>
        </w:rPr>
        <w:t>A0402</w:t>
      </w:r>
      <w:r>
        <w:rPr>
          <w:rFonts w:ascii="宋体" w:hAnsi="宋体" w:cs="宋体" w:eastAsia="宋体" w:hint="ascii"/>
          <w:sz w:val="21"/>
        </w:rPr>
        <w:t>、</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固态量子信息与量子计算（</w:t>
      </w:r>
      <w:r>
        <w:rPr>
          <w:rFonts w:ascii="Times New Roman" w:hAnsi="Times New Roman" w:cs="Times New Roman" w:eastAsia="Times New Roman" w:hint="ascii"/>
          <w:b w:val="1"/>
          <w:sz w:val="21"/>
        </w:rPr>
        <w:t>A0402</w:t>
      </w:r>
      <w:r>
        <w:rPr>
          <w:rFonts w:ascii="宋体" w:hAnsi="宋体" w:cs="宋体" w:eastAsia="宋体" w:hint="ascii"/>
          <w:sz w:val="21"/>
        </w:rPr>
        <w:t>、</w:t>
      </w:r>
      <w:r>
        <w:rPr>
          <w:rFonts w:ascii="Times New Roman" w:hAnsi="Times New Roman" w:cs="Times New Roman" w:eastAsia="Times New Roman" w:hint="ascii"/>
          <w:b w:val="1"/>
          <w:sz w:val="21"/>
        </w:rPr>
        <w:t>A0403</w:t>
      </w:r>
      <w:r>
        <w:rPr>
          <w:rFonts w:ascii="宋体" w:hAnsi="宋体" w:cs="宋体" w:eastAsia="宋体" w:hint="ascii"/>
          <w:sz w:val="21"/>
        </w:rPr>
        <w:t>、</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先进功能材料与器件物理（</w:t>
      </w:r>
      <w:r>
        <w:rPr>
          <w:rFonts w:ascii="Times New Roman" w:hAnsi="Times New Roman" w:cs="Times New Roman" w:eastAsia="Times New Roman" w:hint="ascii"/>
          <w:b w:val="1"/>
          <w:sz w:val="21"/>
        </w:rPr>
        <w:t>A0402</w:t>
      </w:r>
      <w:r>
        <w:rPr>
          <w:rFonts w:ascii="宋体" w:hAnsi="宋体" w:cs="宋体" w:eastAsia="宋体" w:hint="ascii"/>
          <w:sz w:val="21"/>
        </w:rPr>
        <w:t>、</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表面界面物理（</w:t>
      </w:r>
      <w:r>
        <w:rPr>
          <w:rFonts w:ascii="Times New Roman" w:hAnsi="Times New Roman" w:cs="Times New Roman" w:eastAsia="Times New Roman" w:hint="ascii"/>
          <w:b w:val="1"/>
          <w:sz w:val="21"/>
        </w:rPr>
        <w:t>A0402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受限小量子体系物理（</w:t>
      </w:r>
      <w:r>
        <w:rPr>
          <w:rFonts w:ascii="Times New Roman" w:hAnsi="Times New Roman" w:cs="Times New Roman" w:eastAsia="Times New Roman" w:hint="ascii"/>
          <w:b w:val="1"/>
          <w:sz w:val="21"/>
        </w:rPr>
        <w:t>A0402</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强关联量子体系与超导电性（</w:t>
      </w:r>
      <w:r>
        <w:rPr>
          <w:rFonts w:ascii="Times New Roman" w:hAnsi="Times New Roman" w:cs="Times New Roman" w:eastAsia="Times New Roman" w:hint="ascii"/>
          <w:b w:val="1"/>
          <w:sz w:val="21"/>
        </w:rPr>
        <w:t>A0402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软物质及与生命现象相关的物理（</w:t>
      </w:r>
      <w:r>
        <w:rPr>
          <w:rFonts w:ascii="Times New Roman" w:hAnsi="Times New Roman" w:cs="Times New Roman" w:eastAsia="Times New Roman" w:hint="ascii"/>
          <w:b w:val="1"/>
          <w:sz w:val="21"/>
        </w:rPr>
        <w:t>A0401</w:t>
      </w:r>
      <w:r>
        <w:rPr>
          <w:rFonts w:ascii="宋体" w:hAnsi="宋体" w:cs="宋体" w:eastAsia="宋体" w:hint="ascii"/>
          <w:sz w:val="21"/>
        </w:rPr>
        <w:t>、</w:t>
      </w:r>
      <w:r>
        <w:rPr>
          <w:rFonts w:ascii="Times New Roman" w:hAnsi="Times New Roman" w:cs="Times New Roman" w:eastAsia="Times New Roman" w:hint="ascii"/>
          <w:b w:val="1"/>
          <w:sz w:val="21"/>
        </w:rPr>
        <w:t>A0402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物质结构和性质的计算与模拟（</w:t>
      </w:r>
      <w:r>
        <w:rPr>
          <w:rFonts w:ascii="Times New Roman" w:hAnsi="Times New Roman" w:cs="Times New Roman" w:eastAsia="Times New Roman" w:hint="ascii"/>
          <w:b w:val="1"/>
          <w:sz w:val="21"/>
        </w:rPr>
        <w:t>A0402</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拓扑量子物态及其相关物理（</w:t>
      </w:r>
      <w:r>
        <w:rPr>
          <w:rFonts w:ascii="Times New Roman" w:hAnsi="Times New Roman" w:cs="Times New Roman" w:eastAsia="Times New Roman" w:hint="ascii"/>
          <w:b w:val="1"/>
          <w:sz w:val="21"/>
        </w:rPr>
        <w:t>A0402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凝聚态物质磁性与多场调控（</w:t>
      </w:r>
      <w:r>
        <w:rPr>
          <w:rFonts w:ascii="Times New Roman" w:hAnsi="Times New Roman" w:cs="Times New Roman" w:eastAsia="Times New Roman" w:hint="ascii"/>
          <w:b w:val="1"/>
          <w:sz w:val="21"/>
        </w:rPr>
        <w:t>A0402</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原子分子结构及精密谱学（</w:t>
      </w:r>
      <w:r>
        <w:rPr>
          <w:rFonts w:ascii="Times New Roman" w:hAnsi="Times New Roman" w:cs="Times New Roman" w:eastAsia="Times New Roman" w:hint="ascii"/>
          <w:b w:val="1"/>
          <w:sz w:val="21"/>
        </w:rPr>
        <w:t>A0403</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原子分子碰撞动力学（</w:t>
      </w:r>
      <w:r>
        <w:rPr>
          <w:rFonts w:ascii="Times New Roman" w:hAnsi="Times New Roman" w:cs="Times New Roman" w:eastAsia="Times New Roman" w:hint="ascii"/>
          <w:b w:val="1"/>
          <w:sz w:val="21"/>
        </w:rPr>
        <w:t>A0403</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冷原子分子物理（</w:t>
      </w:r>
      <w:r>
        <w:rPr>
          <w:rFonts w:ascii="Times New Roman" w:hAnsi="Times New Roman" w:cs="Times New Roman" w:eastAsia="Times New Roman" w:hint="ascii"/>
          <w:b w:val="1"/>
          <w:sz w:val="21"/>
        </w:rPr>
        <w:t>A0403</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超快和超强激光物理（</w:t>
      </w:r>
      <w:r>
        <w:rPr>
          <w:rFonts w:ascii="Times New Roman" w:hAnsi="Times New Roman" w:cs="Times New Roman" w:eastAsia="Times New Roman" w:hint="ascii"/>
          <w:b w:val="1"/>
          <w:sz w:val="21"/>
        </w:rPr>
        <w:t>A0403</w:t>
      </w:r>
      <w:r>
        <w:rPr>
          <w:rFonts w:ascii="宋体" w:hAnsi="宋体" w:cs="宋体" w:eastAsia="宋体" w:hint="ascii"/>
          <w:sz w:val="21"/>
        </w:rPr>
        <w:t>、</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量子光学和光量子信息物理（</w:t>
      </w:r>
      <w:r>
        <w:rPr>
          <w:rFonts w:ascii="Times New Roman" w:hAnsi="Times New Roman" w:cs="Times New Roman" w:eastAsia="Times New Roman" w:hint="ascii"/>
          <w:b w:val="1"/>
          <w:sz w:val="21"/>
        </w:rPr>
        <w:t>A0403</w:t>
      </w:r>
      <w:r>
        <w:rPr>
          <w:rFonts w:ascii="宋体" w:hAnsi="宋体" w:cs="宋体" w:eastAsia="宋体" w:hint="ascii"/>
          <w:sz w:val="21"/>
        </w:rPr>
        <w:t>、</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光场调控及其相干控制（</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光电</w:t>
      </w:r>
      <w:r>
        <w:rPr>
          <w:rFonts w:ascii="Times New Roman" w:hAnsi="Times New Roman" w:cs="Times New Roman" w:eastAsia="Times New Roman" w:hint="ascii"/>
          <w:b w:val="1"/>
          <w:sz w:val="21"/>
        </w:rPr>
        <w:t>/</w:t>
      </w:r>
      <w:r>
        <w:rPr>
          <w:rFonts w:ascii="宋体" w:hAnsi="宋体" w:cs="宋体" w:eastAsia="宋体" w:hint="ascii"/>
          <w:sz w:val="21"/>
        </w:rPr>
        <w:t>光热转换过程中的新物理与新机制（</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介观尺度光子学（</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复杂介质中的光物理（</w:t>
      </w:r>
      <w:r>
        <w:rPr>
          <w:rFonts w:ascii="Times New Roman" w:hAnsi="Times New Roman" w:cs="Times New Roman" w:eastAsia="Times New Roman" w:hint="ascii"/>
          <w:b w:val="1"/>
          <w:sz w:val="21"/>
        </w:rPr>
        <w:t>A0404</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声学换能器及其阵列的新物理与新机制（</w:t>
      </w:r>
      <w:r>
        <w:rPr>
          <w:rFonts w:ascii="Times New Roman" w:hAnsi="Times New Roman" w:cs="Times New Roman" w:eastAsia="Times New Roman" w:hint="ascii"/>
          <w:b w:val="1"/>
          <w:sz w:val="21"/>
        </w:rPr>
        <w:t>A0405</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复杂介质中的声物理（</w:t>
      </w:r>
      <w:r>
        <w:rPr>
          <w:rFonts w:ascii="Times New Roman" w:hAnsi="Times New Roman" w:cs="Times New Roman" w:eastAsia="Times New Roman" w:hint="ascii"/>
          <w:b w:val="1"/>
          <w:sz w:val="21"/>
        </w:rPr>
        <w:t>A0405</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声学与生物医学、信息交叉领域的关键问题（</w:t>
      </w:r>
      <w:r>
        <w:rPr>
          <w:rFonts w:ascii="Times New Roman" w:hAnsi="Times New Roman" w:cs="Times New Roman" w:eastAsia="Times New Roman" w:hint="ascii"/>
          <w:b w:val="1"/>
          <w:sz w:val="21"/>
        </w:rPr>
        <w:t>A0405</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27"/>
        </w:numPr>
        <w:rPr>
          <w:rFonts w:ascii="Times New Roman" w:hAnsi="Times New Roman" w:cs="Times New Roman" w:eastAsia="Times New Roman" w:hint="ascii"/>
          <w:sz w:val="21"/>
          <w:spacing w:val="1"/>
        </w:rPr>
      </w:pPr>
      <w:r>
        <w:rPr>
          <w:rFonts w:ascii="宋体" w:hAnsi="宋体" w:cs="宋体" w:eastAsia="宋体" w:hint="ascii"/>
          <w:sz w:val="21"/>
        </w:rPr>
        <w:t>量子物理前沿基础理论研究（</w:t>
      </w:r>
      <w:r>
        <w:rPr>
          <w:rFonts w:ascii="Times New Roman" w:hAnsi="Times New Roman" w:cs="Times New Roman" w:eastAsia="Times New Roman" w:hint="ascii"/>
          <w:b w:val="1"/>
          <w:sz w:val="21"/>
        </w:rPr>
        <w:t>A0501</w:t>
      </w:r>
      <w:r>
        <w:rPr>
          <w:rFonts w:ascii="宋体" w:hAnsi="宋体" w:cs="宋体" w:eastAsia="宋体" w:hint="ascii"/>
          <w:sz w:val="21"/>
        </w:rPr>
        <w:t>）</w:t>
      </w:r>
    </w:p>
    <w:p>
      <w:pPr>
        <w:autoSpaceDE w:val="0"/>
        <w:autoSpaceDN w:val="0"/>
        <w:jc w:val="left"/>
        <w:spacing w:before="64" w:after="0" w:lineRule="auto" w:line="240"/>
        <w:ind w:right="0" w:left="1859" w:hanging="473"/>
        <w:snapToGrid w:val="0"/>
        <w:textAlignment w:val="auto"/>
        <w:tabs>
          <w:tab w:val="left" w:leader="none" w:pos="1858"/>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统计物理与复杂系统前沿理论和方法（</w:t>
      </w:r>
      <w:r>
        <w:rPr>
          <w:rFonts w:ascii="Times New Roman" w:hAnsi="Times New Roman" w:cs="Times New Roman" w:eastAsia="Times New Roman" w:hint="ascii"/>
          <w:b w:val="1"/>
          <w:sz w:val="21"/>
        </w:rPr>
        <w:t>A0501</w:t>
      </w:r>
      <w:r>
        <w:rPr>
          <w:rFonts w:ascii="宋体" w:hAnsi="宋体" w:cs="宋体" w:eastAsia="宋体" w:hint="ascii"/>
          <w:sz w:val="21"/>
        </w:rPr>
        <w:t>）</w:t>
      </w:r>
    </w:p>
    <w:p>
      <w:pPr>
        <w:autoSpaceDE w:val="0"/>
        <w:autoSpaceDN w:val="0"/>
        <w:jc w:val="left"/>
        <w:spacing w:before="65" w:after="0" w:lineRule="auto" w:line="240"/>
        <w:ind w:right="0" w:left="1859" w:hanging="473"/>
        <w:snapToGrid w:val="0"/>
        <w:textAlignment w:val="auto"/>
        <w:tabs>
          <w:tab w:val="left" w:leader="none" w:pos="1858"/>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引力、宇宙学和暗物质前沿问题（</w:t>
      </w:r>
      <w:r>
        <w:rPr>
          <w:rFonts w:ascii="Times New Roman" w:hAnsi="Times New Roman" w:cs="Times New Roman" w:eastAsia="Times New Roman" w:hint="ascii"/>
          <w:b w:val="1"/>
          <w:sz w:val="21"/>
        </w:rPr>
        <w:t>A0501</w:t>
      </w:r>
      <w:r>
        <w:rPr>
          <w:rFonts w:ascii="宋体" w:hAnsi="宋体" w:cs="宋体" w:eastAsia="宋体" w:hint="ascii"/>
          <w:sz w:val="21"/>
        </w:rPr>
        <w:t>、</w:t>
      </w:r>
      <w:r>
        <w:rPr>
          <w:rFonts w:ascii="Times New Roman" w:hAnsi="Times New Roman" w:cs="Times New Roman" w:eastAsia="Times New Roman" w:hint="ascii"/>
          <w:b w:val="1"/>
          <w:sz w:val="21"/>
        </w:rPr>
        <w:t>A0502</w:t>
      </w:r>
      <w:r>
        <w:rPr>
          <w:rFonts w:ascii="宋体" w:hAnsi="宋体" w:cs="宋体" w:eastAsia="宋体" w:hint="ascii"/>
          <w:sz w:val="21"/>
        </w:rPr>
        <w:t>）</w:t>
      </w:r>
    </w:p>
    <w:p>
      <w:pPr>
        <w:autoSpaceDE w:val="0"/>
        <w:autoSpaceDN w:val="0"/>
        <w:jc w:val="left"/>
        <w:spacing w:before="65" w:after="0" w:lineRule="auto" w:line="240"/>
        <w:ind w:right="0" w:left="1859" w:hanging="473"/>
        <w:snapToGrid w:val="0"/>
        <w:textAlignment w:val="auto"/>
        <w:tabs>
          <w:tab w:val="left" w:leader="none" w:pos="1858"/>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标准模型物理与新物理（</w:t>
      </w:r>
      <w:r>
        <w:rPr>
          <w:rFonts w:ascii="Times New Roman" w:hAnsi="Times New Roman" w:cs="Times New Roman" w:eastAsia="Times New Roman" w:hint="ascii"/>
          <w:b w:val="1"/>
          <w:sz w:val="21"/>
        </w:rPr>
        <w:t>A0502</w:t>
      </w:r>
      <w:r>
        <w:rPr>
          <w:rFonts w:ascii="宋体" w:hAnsi="宋体" w:cs="宋体" w:eastAsia="宋体" w:hint="ascii"/>
          <w:sz w:val="21"/>
        </w:rPr>
        <w:t>）</w:t>
      </w:r>
    </w:p>
    <w:p>
      <w:pPr>
        <w:autoSpaceDE w:val="0"/>
        <w:autoSpaceDN w:val="0"/>
        <w:jc w:val="left"/>
        <w:spacing w:before="64" w:after="0" w:lineRule="auto" w:line="240"/>
        <w:ind w:right="0" w:left="1859" w:hanging="473"/>
        <w:snapToGrid w:val="0"/>
        <w:textAlignment w:val="auto"/>
        <w:tabs>
          <w:tab w:val="left" w:leader="none" w:pos="1858"/>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粒子物理高精度计算与精确测量（</w:t>
      </w:r>
      <w:r>
        <w:rPr>
          <w:rFonts w:ascii="Times New Roman" w:hAnsi="Times New Roman" w:cs="Times New Roman" w:eastAsia="Times New Roman" w:hint="ascii"/>
          <w:b w:val="1"/>
          <w:sz w:val="21"/>
        </w:rPr>
        <w:t>A0502</w:t>
      </w:r>
      <w:r>
        <w:rPr>
          <w:rFonts w:ascii="宋体" w:hAnsi="宋体" w:cs="宋体" w:eastAsia="宋体" w:hint="ascii"/>
          <w:sz w:val="21"/>
        </w:rPr>
        <w:t>）</w:t>
      </w:r>
    </w:p>
    <w:p>
      <w:pPr>
        <w:autoSpaceDE w:val="0"/>
        <w:autoSpaceDN w:val="0"/>
        <w:jc w:val="left"/>
        <w:spacing w:before="65" w:after="0" w:lineRule="auto" w:line="240"/>
        <w:ind w:right="0" w:left="1859" w:hanging="473"/>
        <w:snapToGrid w:val="0"/>
        <w:textAlignment w:val="auto"/>
        <w:tabs>
          <w:tab w:val="left" w:leader="none" w:pos="1858"/>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强子内部结构及强相互作用性质研究（</w:t>
      </w:r>
      <w:r>
        <w:rPr>
          <w:rFonts w:ascii="Times New Roman" w:hAnsi="Times New Roman" w:cs="Times New Roman" w:eastAsia="Times New Roman" w:hint="ascii"/>
          <w:b w:val="1"/>
          <w:sz w:val="21"/>
        </w:rPr>
        <w:t>A0502</w:t>
      </w:r>
      <w:r>
        <w:rPr>
          <w:rFonts w:ascii="宋体" w:hAnsi="宋体" w:cs="宋体" w:eastAsia="宋体" w:hint="ascii"/>
          <w:sz w:val="21"/>
        </w:rPr>
        <w:t>、</w:t>
      </w:r>
      <w:r>
        <w:rPr>
          <w:rFonts w:ascii="Times New Roman" w:hAnsi="Times New Roman" w:cs="Times New Roman" w:eastAsia="Times New Roman" w:hint="ascii"/>
          <w:b w:val="1"/>
          <w:sz w:val="21"/>
        </w:rPr>
        <w:t>A0503</w:t>
      </w:r>
      <w:r>
        <w:rPr>
          <w:rFonts w:ascii="宋体" w:hAnsi="宋体" w:cs="宋体" w:eastAsia="宋体" w:hint="ascii"/>
          <w:sz w:val="21"/>
        </w:rPr>
        <w:t>）</w:t>
      </w:r>
    </w:p>
    <w:p>
      <w:pPr>
        <w:autoSpaceDE w:val="0"/>
        <w:autoSpaceDN w:val="0"/>
        <w:jc w:val="left"/>
        <w:spacing w:before="65" w:after="0" w:lineRule="auto" w:line="240"/>
        <w:ind w:right="0" w:left="1859" w:hanging="473"/>
        <w:snapToGrid w:val="0"/>
        <w:textAlignment w:val="auto"/>
        <w:tabs>
          <w:tab w:val="left" w:leader="none" w:pos="1858"/>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量子色动力学相结构与夸克胶子等离子体新物质特性（</w:t>
      </w:r>
      <w:r>
        <w:rPr>
          <w:rFonts w:ascii="Times New Roman" w:hAnsi="Times New Roman" w:cs="Times New Roman" w:eastAsia="Times New Roman" w:hint="ascii"/>
          <w:b w:val="1"/>
          <w:sz w:val="21"/>
        </w:rPr>
        <w:t>A0503</w:t>
      </w:r>
      <w:r>
        <w:rPr>
          <w:rFonts w:ascii="宋体" w:hAnsi="宋体" w:cs="宋体" w:eastAsia="宋体" w:hint="ascii"/>
          <w:sz w:val="21"/>
        </w:rPr>
        <w:t>）</w:t>
      </w:r>
    </w:p>
    <w:p>
      <w:pPr>
        <w:autoSpaceDE w:val="0"/>
        <w:autoSpaceDN w:val="0"/>
        <w:jc w:val="left"/>
        <w:spacing w:before="64" w:after="0" w:lineRule="auto" w:line="240"/>
        <w:ind w:right="0" w:left="1859" w:hanging="473"/>
        <w:snapToGrid w:val="0"/>
        <w:textAlignment w:val="auto"/>
        <w:tabs>
          <w:tab w:val="left" w:leader="none" w:pos="1858"/>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滴线区原子核的奇异结构、同位旋相关衰变谱学（</w:t>
      </w:r>
      <w:r>
        <w:rPr>
          <w:rFonts w:ascii="Times New Roman" w:hAnsi="Times New Roman" w:cs="Times New Roman" w:eastAsia="Times New Roman" w:hint="ascii"/>
          <w:b w:val="1"/>
          <w:sz w:val="21"/>
        </w:rPr>
        <w:t>A0503</w:t>
      </w:r>
      <w:r>
        <w:rPr>
          <w:rFonts w:ascii="宋体" w:hAnsi="宋体" w:cs="宋体" w:eastAsia="宋体" w:hint="ascii"/>
          <w:sz w:val="21"/>
        </w:rPr>
        <w:t>）</w:t>
      </w:r>
    </w:p>
    <w:p>
      <w:pPr>
        <w:autoSpaceDE w:val="0"/>
        <w:autoSpaceDN w:val="0"/>
        <w:jc w:val="left"/>
        <w:spacing w:before="307"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auto" w:line="240"/>
        <w:ind w:right="0" w:left="893" w:hanging="473"/>
        <w:snapToGrid w:val="0"/>
        <w:textAlignment w:val="auto"/>
        <w:tabs>
          <w:tab w:val="left" w:leader="none" w:pos="893"/>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不稳定核的反应、核天体物理、激光核物理研究（</w:t>
      </w:r>
      <w:r>
        <w:rPr>
          <w:rFonts w:ascii="Times New Roman" w:hAnsi="Times New Roman" w:cs="Times New Roman" w:eastAsia="Times New Roman" w:hint="ascii"/>
          <w:b w:val="1"/>
          <w:sz w:val="21"/>
        </w:rPr>
        <w:t>A0503</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49" locked="0" layoutInCell="1" allowOverlap="1">
                <wp:simplePos x="0" y="0"/>
                <wp:positionH relativeFrom="page">
                  <wp:posOffset>938530</wp:posOffset>
                </wp:positionH>
                <wp:positionV relativeFrom="page">
                  <wp:posOffset>819150</wp:posOffset>
                </wp:positionV>
                <wp:extent cx="5076190" cy="0"/>
                <wp:wrapNone/>
                <wp:docPr id="1178" name="117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05664;width:399.70pt;" id="117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auto" w:line="240"/>
        <w:ind w:right="0" w:left="893" w:hanging="473"/>
        <w:snapToGrid w:val="0"/>
        <w:textAlignment w:val="auto"/>
        <w:tabs>
          <w:tab w:val="left" w:leader="none" w:pos="893"/>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中子物理、反应堆物理、中子散射新技术（</w:t>
      </w:r>
      <w:r>
        <w:rPr>
          <w:rFonts w:ascii="Times New Roman" w:hAnsi="Times New Roman" w:cs="Times New Roman" w:eastAsia="Times New Roman" w:hint="ascii"/>
          <w:b w:val="1"/>
          <w:sz w:val="21"/>
        </w:rPr>
        <w:t>A0504</w:t>
      </w:r>
      <w:r>
        <w:rPr>
          <w:rFonts w:ascii="宋体" w:hAnsi="宋体" w:cs="宋体" w:eastAsia="宋体" w:hint="ascii"/>
          <w:sz w:val="21"/>
        </w:rPr>
        <w:t>）</w:t>
      </w:r>
    </w:p>
    <w:p>
      <w:pPr>
        <w:autoSpaceDE w:val="0"/>
        <w:autoSpaceDN w:val="0"/>
        <w:jc w:val="left"/>
        <w:spacing w:before="65" w:after="0" w:lineRule="auto" w:line="240"/>
        <w:ind w:right="0" w:left="893" w:hanging="473"/>
        <w:snapToGrid w:val="0"/>
        <w:textAlignment w:val="auto"/>
        <w:tabs>
          <w:tab w:val="left" w:leader="none" w:pos="893"/>
        </w:tabs>
        <w:numPr>
          <w:ilvl w:val="0"/>
          <w:numId w:val="128"/>
        </w:numPr>
        <w:rPr>
          <w:rFonts w:ascii="Times New Roman" w:hAnsi="Times New Roman" w:cs="Times New Roman" w:eastAsia="Times New Roman" w:hint="ascii"/>
          <w:sz w:val="21"/>
          <w:spacing w:val="1"/>
        </w:rPr>
      </w:pPr>
      <w:r>
        <w:rPr>
          <w:rFonts w:ascii="宋体" w:hAnsi="宋体" w:cs="宋体" w:eastAsia="宋体" w:hint="ascii"/>
          <w:sz w:val="21"/>
        </w:rPr>
        <w:t>核技术在新材料及能源中的应用基础研究（</w:t>
      </w:r>
      <w:r>
        <w:rPr>
          <w:rFonts w:ascii="Times New Roman" w:hAnsi="Times New Roman" w:cs="Times New Roman" w:eastAsia="Times New Roman" w:hint="ascii"/>
          <w:b w:val="1"/>
          <w:sz w:val="21"/>
        </w:rPr>
        <w:t>A0504</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10. </w:t>
      </w:r>
      <w:r>
        <w:rPr>
          <w:rFonts w:ascii="宋体" w:hAnsi="宋体" w:cs="宋体" w:eastAsia="宋体" w:hint="ascii"/>
          <w:sz w:val="21"/>
        </w:rPr>
        <w:t>核技术应用于生命、环境科学的基础研究（</w:t>
      </w:r>
      <w:r>
        <w:rPr>
          <w:rFonts w:ascii="Times New Roman" w:hAnsi="Times New Roman" w:cs="Times New Roman" w:eastAsia="Times New Roman" w:hint="ascii"/>
          <w:b w:val="1"/>
          <w:sz w:val="21"/>
        </w:rPr>
        <w:t>A0504</w:t>
      </w:r>
      <w:r>
        <w:rPr>
          <w:rFonts w:ascii="宋体" w:hAnsi="宋体" w:cs="宋体" w:eastAsia="宋体" w:hint="ascii"/>
          <w:sz w:val="21"/>
        </w:rPr>
        <w:t>）</w:t>
      </w:r>
    </w:p>
    <w:p>
      <w:pPr>
        <w:autoSpaceDE w:val="0"/>
        <w:autoSpaceDN w:val="0"/>
        <w:jc w:val="left"/>
        <w:spacing w:before="64"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11</w:t>
      </w:r>
      <w:r>
        <w:rPr>
          <w:rFonts w:ascii="Times New Roman" w:hAnsi="Times New Roman" w:cs="Times New Roman" w:eastAsia="Times New Roman" w:hint="ascii"/>
          <w:b w:val="1"/>
          <w:sz w:val="21"/>
        </w:rPr>
        <w:t xml:space="preserve">1. </w:t>
      </w:r>
      <w:r>
        <w:rPr>
          <w:rFonts w:ascii="宋体" w:hAnsi="宋体" w:cs="宋体" w:eastAsia="宋体" w:hint="ascii"/>
          <w:sz w:val="21"/>
        </w:rPr>
        <w:t>辐射物理及辐射防护的关键问题研究（</w:t>
      </w:r>
      <w:r>
        <w:rPr>
          <w:rFonts w:ascii="Times New Roman" w:hAnsi="Times New Roman" w:cs="Times New Roman" w:eastAsia="Times New Roman" w:hint="ascii"/>
          <w:b w:val="1"/>
          <w:sz w:val="21"/>
        </w:rPr>
        <w:t>A0504</w:t>
      </w:r>
      <w:r>
        <w:rPr>
          <w:rFonts w:ascii="宋体" w:hAnsi="宋体" w:cs="宋体" w:eastAsia="宋体" w:hint="ascii"/>
          <w:sz w:val="21"/>
        </w:rPr>
        <w:t>、</w:t>
      </w:r>
      <w:r>
        <w:rPr>
          <w:rFonts w:ascii="Times New Roman" w:hAnsi="Times New Roman" w:cs="Times New Roman" w:eastAsia="Times New Roman" w:hint="ascii"/>
          <w:b w:val="1"/>
          <w:sz w:val="21"/>
        </w:rPr>
        <w:t>A0505</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12. </w:t>
      </w:r>
      <w:r>
        <w:rPr>
          <w:rFonts w:ascii="宋体" w:hAnsi="宋体" w:cs="宋体" w:eastAsia="宋体" w:hint="ascii"/>
          <w:sz w:val="21"/>
        </w:rPr>
        <w:t>加速器物理及其先进技术研究（</w:t>
      </w:r>
      <w:r>
        <w:rPr>
          <w:rFonts w:ascii="Times New Roman" w:hAnsi="Times New Roman" w:cs="Times New Roman" w:eastAsia="Times New Roman" w:hint="ascii"/>
          <w:b w:val="1"/>
          <w:sz w:val="21"/>
        </w:rPr>
        <w:t>A0505</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13. </w:t>
      </w:r>
      <w:r>
        <w:rPr>
          <w:rFonts w:ascii="宋体" w:hAnsi="宋体" w:cs="宋体" w:eastAsia="宋体" w:hint="ascii"/>
          <w:sz w:val="21"/>
        </w:rPr>
        <w:t>核辐射探测（含脉冲射线能谱）机理、方法与技术（</w:t>
      </w:r>
      <w:r>
        <w:rPr>
          <w:rFonts w:ascii="Times New Roman" w:hAnsi="Times New Roman" w:cs="Times New Roman" w:eastAsia="Times New Roman" w:hint="ascii"/>
          <w:b w:val="1"/>
          <w:sz w:val="21"/>
        </w:rPr>
        <w:t>A0505</w:t>
      </w:r>
      <w:r>
        <w:rPr>
          <w:rFonts w:ascii="宋体" w:hAnsi="宋体" w:cs="宋体" w:eastAsia="宋体" w:hint="ascii"/>
          <w:sz w:val="21"/>
        </w:rPr>
        <w:t>）</w:t>
      </w:r>
    </w:p>
    <w:p>
      <w:pPr>
        <w:autoSpaceDE w:val="0"/>
        <w:autoSpaceDN w:val="0"/>
        <w:jc w:val="left"/>
        <w:spacing w:before="64"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14. </w:t>
      </w:r>
      <w:r>
        <w:rPr>
          <w:rFonts w:ascii="宋体" w:hAnsi="宋体" w:cs="宋体" w:eastAsia="宋体" w:hint="ascii"/>
          <w:sz w:val="21"/>
        </w:rPr>
        <w:t>基于大科学装置的粒子探测机理、方法与技术（</w:t>
      </w:r>
      <w:r>
        <w:rPr>
          <w:rFonts w:ascii="Times New Roman" w:hAnsi="Times New Roman" w:cs="Times New Roman" w:eastAsia="Times New Roman" w:hint="ascii"/>
          <w:b w:val="1"/>
          <w:sz w:val="21"/>
        </w:rPr>
        <w:t>A0505</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15. </w:t>
      </w:r>
      <w:r>
        <w:rPr>
          <w:rFonts w:ascii="宋体" w:hAnsi="宋体" w:cs="宋体" w:eastAsia="宋体" w:hint="ascii"/>
          <w:sz w:val="21"/>
        </w:rPr>
        <w:t>核电子学技术及方法（</w:t>
      </w:r>
      <w:r>
        <w:rPr>
          <w:rFonts w:ascii="Times New Roman" w:hAnsi="Times New Roman" w:cs="Times New Roman" w:eastAsia="Times New Roman" w:hint="ascii"/>
          <w:b w:val="1"/>
          <w:sz w:val="21"/>
        </w:rPr>
        <w:t>A0505</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16. </w:t>
      </w:r>
      <w:r>
        <w:rPr>
          <w:rFonts w:ascii="宋体" w:hAnsi="宋体" w:cs="宋体" w:eastAsia="宋体" w:hint="ascii"/>
          <w:sz w:val="21"/>
        </w:rPr>
        <w:t>惯性约束聚变及激光等离子体物理前沿问题研究（</w:t>
      </w:r>
      <w:r>
        <w:rPr>
          <w:rFonts w:ascii="Times New Roman" w:hAnsi="Times New Roman" w:cs="Times New Roman" w:eastAsia="Times New Roman" w:hint="ascii"/>
          <w:b w:val="1"/>
          <w:sz w:val="21"/>
        </w:rPr>
        <w:t>A0506</w:t>
      </w:r>
      <w:r>
        <w:rPr>
          <w:rFonts w:ascii="宋体" w:hAnsi="宋体" w:cs="宋体" w:eastAsia="宋体" w:hint="ascii"/>
          <w:sz w:val="21"/>
        </w:rPr>
        <w:t>）</w:t>
      </w:r>
    </w:p>
    <w:p>
      <w:pPr>
        <w:autoSpaceDE w:val="0"/>
        <w:autoSpaceDN w:val="0"/>
        <w:jc w:val="left"/>
        <w:spacing w:before="64"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17. </w:t>
      </w:r>
      <w:r>
        <w:rPr>
          <w:rFonts w:ascii="宋体" w:hAnsi="宋体" w:cs="宋体" w:eastAsia="宋体" w:hint="ascii"/>
          <w:sz w:val="21"/>
        </w:rPr>
        <w:t>磁约束聚变等离子体物理及先进实验和诊断技术研究（</w:t>
      </w:r>
      <w:r>
        <w:rPr>
          <w:rFonts w:ascii="Times New Roman" w:hAnsi="Times New Roman" w:cs="Times New Roman" w:eastAsia="Times New Roman" w:hint="ascii"/>
          <w:b w:val="1"/>
          <w:sz w:val="21"/>
        </w:rPr>
        <w:t>A0506</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18. </w:t>
      </w:r>
      <w:r>
        <w:rPr>
          <w:rFonts w:ascii="宋体" w:hAnsi="宋体" w:cs="宋体" w:eastAsia="宋体" w:hint="ascii"/>
          <w:sz w:val="21"/>
        </w:rPr>
        <w:t>低温等离子体物理及先进技术和新方法研究（</w:t>
      </w:r>
      <w:r>
        <w:rPr>
          <w:rFonts w:ascii="Times New Roman" w:hAnsi="Times New Roman" w:cs="Times New Roman" w:eastAsia="Times New Roman" w:hint="ascii"/>
          <w:b w:val="1"/>
          <w:sz w:val="21"/>
        </w:rPr>
        <w:t>A0506</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19. </w:t>
      </w:r>
      <w:r>
        <w:rPr>
          <w:rFonts w:ascii="宋体" w:hAnsi="宋体" w:cs="宋体" w:eastAsia="宋体" w:hint="ascii"/>
          <w:sz w:val="21"/>
        </w:rPr>
        <w:t>同步辐射及自由电子激光的先进技术和实验方法研究（</w:t>
      </w:r>
      <w:r>
        <w:rPr>
          <w:rFonts w:ascii="Times New Roman" w:hAnsi="Times New Roman" w:cs="Times New Roman" w:eastAsia="Times New Roman" w:hint="ascii"/>
          <w:b w:val="1"/>
          <w:sz w:val="21"/>
        </w:rPr>
        <w:t>A0507</w:t>
      </w:r>
      <w:r>
        <w:rPr>
          <w:rFonts w:ascii="宋体" w:hAnsi="宋体" w:cs="宋体" w:eastAsia="宋体" w:hint="ascii"/>
          <w:sz w:val="21"/>
        </w:rPr>
        <w:t>）</w:t>
      </w:r>
    </w:p>
    <w:p>
      <w:pPr>
        <w:autoSpaceDE w:val="0"/>
        <w:autoSpaceDN w:val="0"/>
        <w:jc w:val="left"/>
        <w:spacing w:before="199" w:after="0" w:lineRule="exact" w:line="475"/>
        <w:ind w:right="0" w:left="3041" w:firstLine="0"/>
        <w:snapToGrid w:val="0"/>
        <w:textAlignment w:val="auto"/>
        <w:tabs/>
        <w:rPr>
          <w:rFonts w:ascii="宋体" w:hAnsi="宋体" w:cs="宋体" w:eastAsia="宋体" w:hint="ascii"/>
          <w:sz w:val="38"/>
        </w:rPr>
      </w:pPr>
      <w:r>
        <w:rPr>
          <w:rFonts w:ascii="宋体" w:hAnsi="宋体" w:cs="宋体" w:eastAsia="宋体" w:hint="ascii"/>
          <w:sz w:val="38"/>
        </w:rPr>
        <w:t>化学科学部</w:t>
      </w:r>
    </w:p>
    <w:p>
      <w:pPr>
        <w:autoSpaceDE w:val="0"/>
        <w:autoSpaceDN w:val="0"/>
        <w:jc w:val="left"/>
        <w:spacing w:before="330" w:after="0" w:lineRule="auto" w:line="240"/>
        <w:ind w:right="0" w:left="893" w:hanging="473"/>
        <w:snapToGrid w:val="0"/>
        <w:textAlignment w:val="auto"/>
        <w:tabs>
          <w:tab w:val="left" w:leader="none" w:pos="893"/>
        </w:tabs>
        <w:numPr>
          <w:ilvl w:val="0"/>
          <w:numId w:val="129"/>
        </w:numPr>
        <w:rPr>
          <w:rFonts w:ascii="Times New Roman" w:hAnsi="Times New Roman" w:cs="Times New Roman" w:eastAsia="Times New Roman" w:hint="ascii"/>
          <w:sz w:val="21"/>
          <w:spacing w:val="1"/>
        </w:rPr>
      </w:pPr>
      <w:r>
        <w:rPr>
          <w:rFonts w:ascii="宋体" w:hAnsi="宋体" w:cs="宋体" w:eastAsia="宋体" w:hint="ascii"/>
          <w:sz w:val="21"/>
        </w:rPr>
        <w:t>年度资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52"/>
        </w:rPr>
        <w:t>2</w:t>
      </w:r>
      <w:r>
        <w:rPr>
          <w:rFonts w:ascii="宋体" w:hAnsi="宋体" w:cs="宋体" w:eastAsia="宋体" w:hint="ascii"/>
          <w:sz w:val="21"/>
        </w:rPr>
        <w:t>个重点项目，资助直接费</w:t>
      </w:r>
      <w:r>
        <w:rPr>
          <w:rFonts w:ascii="宋体" w:hAnsi="宋体" w:cs="宋体" w:eastAsia="宋体" w:hint="ascii"/>
          <w:sz w:val="21"/>
          <w:spacing w:val="26"/>
        </w:rPr>
        <w:t>用</w:t>
      </w:r>
      <w:r>
        <w:rPr>
          <w:rFonts w:ascii="Times New Roman" w:hAnsi="Times New Roman" w:cs="Times New Roman" w:eastAsia="Times New Roman" w:hint="ascii"/>
          <w:sz w:val="21"/>
        </w:rPr>
        <w:t>18 60</w:t>
      </w:r>
      <w:r>
        <w:rPr>
          <w:rFonts w:ascii="Times New Roman" w:hAnsi="Times New Roman" w:cs="Times New Roman" w:eastAsia="Times New Roman" w:hint="ascii"/>
          <w:sz w:val="21"/>
          <w:spacing w:val="52"/>
        </w:rPr>
        <w:t>0</w:t>
      </w:r>
      <w:r>
        <w:rPr>
          <w:rFonts w:ascii="宋体" w:hAnsi="宋体" w:cs="宋体" w:eastAsia="宋体" w:hint="ascii"/>
          <w:sz w:val="21"/>
        </w:rPr>
        <w:t>万元，直接费用平均资助强度</w:t>
      </w:r>
    </w:p>
    <w:p>
      <w:pPr>
        <w:autoSpaceDE w:val="0"/>
        <w:autoSpaceDN w:val="0"/>
        <w:jc w:val="left"/>
        <w:spacing w:before="19" w:after="0" w:lineRule="exact" w:line="326"/>
        <w:ind w:right="962" w:left="0" w:firstLine="0"/>
        <w:snapToGrid w:val="0"/>
        <w:textAlignment w:val="auto"/>
        <w:tabs/>
        <w:rPr>
          <w:rFonts w:ascii="宋体" w:hAnsi="宋体" w:cs="宋体" w:eastAsia="宋体" w:hint="ascii"/>
          <w:sz w:val="21"/>
        </w:rPr>
      </w:pPr>
      <w:r>
        <w:rPr>
          <w:rFonts w:ascii="宋体" w:hAnsi="宋体" w:cs="宋体" w:eastAsia="宋体" w:hint="ascii"/>
          <w:sz w:val="21"/>
          <w:spacing w:val="-2"/>
        </w:rPr>
        <w:t>为</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2"/>
        </w:rPr>
        <w:t>300</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1"/>
        </w:rPr>
        <w:t>万</w:t>
      </w:r>
      <w:r>
        <w:rPr>
          <w:rFonts w:ascii="宋体" w:hAnsi="宋体" w:cs="宋体" w:eastAsia="宋体" w:hint="ascii"/>
          <w:sz w:val="21"/>
          <w:spacing w:val="2"/>
        </w:rPr>
        <w:t>元</w:t>
      </w:r>
      <w:r>
        <w:rPr>
          <w:rFonts w:ascii="Times New Roman" w:hAnsi="Times New Roman" w:cs="Times New Roman" w:eastAsia="Times New Roman" w:hint="ascii"/>
          <w:sz w:val="21"/>
          <w:spacing w:val="3"/>
        </w:rPr>
        <w:t>/</w:t>
      </w:r>
      <w:r>
        <w:rPr>
          <w:rFonts w:ascii="宋体" w:hAnsi="宋体" w:cs="宋体" w:eastAsia="宋体" w:hint="ascii"/>
          <w:sz w:val="21"/>
          <w:spacing w:val="1"/>
        </w:rPr>
        <w:t>项，资助</w:t>
      </w:r>
      <w:r>
        <w:rPr>
          <w:rFonts w:ascii="宋体" w:hAnsi="宋体" w:cs="宋体" w:eastAsia="宋体" w:hint="ascii"/>
          <w:sz w:val="21"/>
          <w:spacing w:val="2"/>
        </w:rPr>
        <w:t>期限</w:t>
      </w:r>
      <w:r>
        <w:rPr>
          <w:rFonts w:ascii="宋体" w:hAnsi="宋体" w:cs="宋体" w:eastAsia="宋体" w:hint="ascii"/>
          <w:sz w:val="21"/>
          <w:spacing w:val="-1"/>
        </w:rPr>
        <w:t>为</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年</w:t>
      </w:r>
      <w:r>
        <w:rPr>
          <w:rFonts w:ascii="宋体" w:hAnsi="宋体" w:cs="宋体" w:eastAsia="宋体" w:hint="ascii"/>
          <w:sz w:val="21"/>
          <w:spacing w:val="3"/>
        </w:rPr>
        <w:t>。</w:t>
      </w:r>
      <w:r>
        <w:rPr>
          <w:rFonts w:ascii="Times New Roman" w:hAnsi="Times New Roman" w:cs="Times New Roman" w:eastAsia="Times New Roman" w:hint="ascii"/>
          <w:sz w:val="21"/>
          <w:spacing w:val="-1"/>
        </w:rPr>
        <w:t>2018</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年度化学科学部</w:t>
      </w:r>
      <w:r>
        <w:rPr>
          <w:rFonts w:ascii="宋体" w:hAnsi="宋体" w:cs="宋体" w:eastAsia="宋体" w:hint="ascii"/>
          <w:sz w:val="21"/>
          <w:spacing w:val="-1"/>
        </w:rPr>
        <w:t>在</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73</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个研究领域公布重点</w:t>
      </w:r>
      <w:r>
        <w:rPr>
          <w:rFonts w:ascii="宋体" w:hAnsi="宋体" w:cs="宋体" w:eastAsia="宋体" w:hint="ascii"/>
          <w:sz w:val="21"/>
          <w:spacing w:val="-1"/>
        </w:rPr>
        <w:t>项</w:t>
      </w:r>
      <w:r>
        <w:rPr>
          <w:rFonts w:ascii="宋体" w:hAnsi="宋体" w:cs="宋体" w:eastAsia="宋体" w:hint="ascii"/>
          <w:sz w:val="21"/>
        </w:rPr>
        <w:t xml:space="preserve"> </w:t>
      </w:r>
      <w:r>
        <w:rPr>
          <w:rFonts w:ascii="宋体" w:hAnsi="宋体" w:cs="宋体" w:eastAsia="宋体" w:hint="ascii"/>
          <w:sz w:val="21"/>
          <w:spacing w:val="3"/>
        </w:rPr>
        <w:t>目指南、</w:t>
      </w:r>
      <w:r>
        <w:rPr>
          <w:rFonts w:ascii="宋体" w:hAnsi="宋体" w:cs="宋体" w:eastAsia="宋体" w:hint="ascii"/>
          <w:sz w:val="21"/>
        </w:rPr>
        <w:t>受</w:t>
      </w:r>
      <w:r>
        <w:rPr>
          <w:rFonts w:ascii="宋体" w:hAnsi="宋体" w:cs="宋体" w:eastAsia="宋体" w:hint="ascii"/>
          <w:sz w:val="21"/>
          <w:spacing w:val="3"/>
        </w:rPr>
        <w:t>理申请，</w:t>
      </w:r>
      <w:r>
        <w:rPr>
          <w:rFonts w:ascii="宋体" w:hAnsi="宋体" w:cs="宋体" w:eastAsia="宋体" w:hint="ascii"/>
          <w:sz w:val="21"/>
        </w:rPr>
        <w:t>资</w:t>
      </w:r>
      <w:r>
        <w:rPr>
          <w:rFonts w:ascii="宋体" w:hAnsi="宋体" w:cs="宋体" w:eastAsia="宋体" w:hint="ascii"/>
          <w:sz w:val="21"/>
          <w:spacing w:val="3"/>
        </w:rPr>
        <w:t>助强度范</w:t>
      </w:r>
      <w:r>
        <w:rPr>
          <w:rFonts w:ascii="宋体" w:hAnsi="宋体" w:cs="宋体" w:eastAsia="宋体" w:hint="ascii"/>
          <w:sz w:val="21"/>
        </w:rPr>
        <w:t>围为</w:t>
      </w:r>
      <w:r>
        <w:rPr>
          <w:rFonts w:ascii="宋体" w:hAnsi="宋体" w:cs="宋体" w:eastAsia="宋体" w:hint="ascii"/>
          <w:sz w:val="21"/>
          <w:spacing w:val="-23"/>
        </w:rPr>
        <w:t xml:space="preserve"> </w:t>
      </w:r>
      <w:r>
        <w:rPr>
          <w:rFonts w:ascii="Times New Roman" w:hAnsi="Times New Roman" w:cs="Times New Roman" w:eastAsia="Times New Roman" w:hint="ascii"/>
          <w:sz w:val="21"/>
        </w:rPr>
        <w:t>250</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万</w:t>
      </w:r>
      <w:r>
        <w:rPr>
          <w:rFonts w:ascii="宋体" w:hAnsi="宋体" w:cs="宋体" w:eastAsia="宋体" w:hint="ascii"/>
          <w:sz w:val="21"/>
        </w:rPr>
        <w:t>～</w:t>
      </w:r>
      <w:r>
        <w:rPr>
          <w:rFonts w:ascii="Times New Roman" w:hAnsi="Times New Roman" w:cs="Times New Roman" w:eastAsia="Times New Roman" w:hint="ascii"/>
          <w:sz w:val="21"/>
        </w:rPr>
        <w:t>350</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万元</w:t>
      </w:r>
      <w:r>
        <w:rPr>
          <w:rFonts w:ascii="Times New Roman" w:hAnsi="Times New Roman" w:cs="Times New Roman" w:eastAsia="Times New Roman" w:hint="ascii"/>
          <w:sz w:val="21"/>
          <w:spacing w:val="5"/>
        </w:rPr>
        <w:t>/</w:t>
      </w:r>
      <w:r>
        <w:rPr>
          <w:rFonts w:ascii="宋体" w:hAnsi="宋体" w:cs="宋体" w:eastAsia="宋体" w:hint="ascii"/>
          <w:sz w:val="21"/>
          <w:spacing w:val="3"/>
        </w:rPr>
        <w:t>项，为进一步</w:t>
      </w:r>
      <w:r>
        <w:rPr>
          <w:rFonts w:ascii="宋体" w:hAnsi="宋体" w:cs="宋体" w:eastAsia="宋体" w:hint="ascii"/>
          <w:sz w:val="21"/>
        </w:rPr>
        <w:t>提</w:t>
      </w:r>
      <w:r>
        <w:rPr>
          <w:rFonts w:ascii="宋体" w:hAnsi="宋体" w:cs="宋体" w:eastAsia="宋体" w:hint="ascii"/>
          <w:sz w:val="21"/>
          <w:spacing w:val="3"/>
        </w:rPr>
        <w:t>高重点项目</w:t>
      </w:r>
      <w:r>
        <w:rPr>
          <w:rFonts w:ascii="宋体" w:hAnsi="宋体" w:cs="宋体" w:eastAsia="宋体" w:hint="ascii"/>
          <w:sz w:val="21"/>
        </w:rPr>
        <w:t>的水平和质量，鼓励研究基础好、有一定规模的研究小组或团队参与竞争，鼓励强强合作申请交叉领域重点项目。</w:t>
      </w:r>
    </w:p>
    <w:p>
      <w:pPr>
        <w:autoSpaceDE w:val="0"/>
        <w:autoSpaceDN w:val="0"/>
        <w:jc w:val="left"/>
        <w:spacing w:before="50" w:after="0" w:lineRule="auto" w:line="240"/>
        <w:ind w:right="0" w:left="893" w:hanging="473"/>
        <w:snapToGrid w:val="0"/>
        <w:textAlignment w:val="auto"/>
        <w:tabs>
          <w:tab w:val="left" w:leader="none" w:pos="898"/>
        </w:tabs>
        <w:numPr>
          <w:ilvl w:val="0"/>
          <w:numId w:val="129"/>
        </w:numPr>
        <w:rPr>
          <w:rFonts w:ascii="Times New Roman" w:hAnsi="Times New Roman" w:cs="Times New Roman" w:eastAsia="Times New Roman" w:hint="ascii"/>
          <w:sz w:val="21"/>
          <w:spacing w:val="1"/>
        </w:rPr>
      </w:pPr>
      <w:r>
        <w:rPr>
          <w:rFonts w:ascii="宋体" w:hAnsi="宋体" w:cs="宋体" w:eastAsia="宋体" w:hint="ascii"/>
          <w:sz w:val="21"/>
        </w:rPr>
        <w:t>年度化学科学部将进行全面的学科重新调整，以化学化工的主要研究方向进</w:t>
      </w:r>
    </w:p>
    <w:p>
      <w:pPr>
        <w:autoSpaceDE w:val="0"/>
        <w:autoSpaceDN w:val="0"/>
        <w:jc w:val="both"/>
        <w:spacing w:before="21" w:after="0" w:lineRule="exact" w:line="325"/>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行分类资助和管理，</w:t>
      </w:r>
      <w:r>
        <w:rPr>
          <w:rFonts w:ascii="宋体" w:hAnsi="宋体" w:cs="宋体" w:eastAsia="宋体" w:hint="ascii"/>
          <w:sz w:val="21"/>
        </w:rPr>
        <w:t>更好适应国际化学发展的趋势和促进中国化学化工研究的转型</w:t>
      </w:r>
      <w:r>
        <w:rPr>
          <w:rFonts w:ascii="宋体" w:hAnsi="宋体" w:cs="宋体" w:eastAsia="宋体" w:hint="ascii"/>
          <w:sz w:val="21"/>
          <w:spacing w:val="-6"/>
        </w:rPr>
        <w:t>发</w:t>
      </w:r>
      <w:r>
        <w:rPr>
          <w:rFonts w:ascii="宋体" w:hAnsi="宋体" w:cs="宋体" w:eastAsia="宋体" w:hint="ascii"/>
          <w:sz w:val="21"/>
        </w:rPr>
        <w:t>展。申请人需仔细阅读各研究方向的说明（见面上项目</w:t>
      </w:r>
      <w:r>
        <w:rPr>
          <w:rFonts w:ascii="宋体" w:hAnsi="宋体" w:cs="宋体" w:eastAsia="宋体" w:hint="ascii"/>
          <w:sz w:val="21"/>
          <w:spacing w:val="-52"/>
        </w:rPr>
        <w:t>）</w:t>
      </w:r>
      <w:r>
        <w:rPr>
          <w:rFonts w:ascii="宋体" w:hAnsi="宋体" w:cs="宋体" w:eastAsia="宋体" w:hint="ascii"/>
          <w:sz w:val="21"/>
        </w:rPr>
        <w:t>，准确选择申请代码。</w:t>
      </w:r>
    </w:p>
    <w:p>
      <w:pPr>
        <w:autoSpaceDE w:val="0"/>
        <w:autoSpaceDN w:val="0"/>
        <w:jc w:val="left"/>
        <w:spacing w:before="51"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化学科学部新的项目资助方向为：①合成化学；②催化与表界面化学；③化学理论</w:t>
      </w:r>
    </w:p>
    <w:p>
      <w:pPr>
        <w:autoSpaceDE w:val="0"/>
        <w:autoSpaceDN w:val="0"/>
        <w:jc w:val="both"/>
        <w:spacing w:before="14" w:after="0" w:lineRule="exact" w:line="325"/>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与机制；④</w:t>
      </w:r>
      <w:r>
        <w:rPr>
          <w:rFonts w:ascii="宋体" w:hAnsi="宋体" w:cs="宋体" w:eastAsia="宋体" w:hint="ascii"/>
          <w:sz w:val="21"/>
        </w:rPr>
        <w:t>化学测量学；⑤材料化学与能源化学；⑥环境化学；⑦化学生物学；⑧化学工程与工业化学。</w:t>
      </w:r>
    </w:p>
    <w:p>
      <w:pPr>
        <w:autoSpaceDE w:val="0"/>
        <w:autoSpaceDN w:val="0"/>
        <w:jc w:val="both"/>
        <w:spacing w:before="0" w:after="0" w:lineRule="exact" w:line="326"/>
        <w:ind w:right="978" w:left="0"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申请人必须在</w:t>
      </w:r>
      <w:r>
        <w:rPr>
          <w:rFonts w:ascii="宋体" w:hAnsi="宋体" w:cs="宋体" w:eastAsia="宋体" w:hint="ascii"/>
          <w:sz w:val="21"/>
        </w:rPr>
        <w:t>申请书“附注说明”栏中写明所申请的领域名称，并准确选择立项领域后面所标出的对应申请代码，否则不予受理</w:t>
      </w:r>
      <w:r>
        <w:rPr>
          <w:rFonts w:ascii="宋体" w:hAnsi="宋体" w:cs="宋体" w:eastAsia="宋体" w:hint="ascii"/>
          <w:b w:val="1"/>
          <w:sz w:val="21"/>
        </w:rPr>
        <w:t>。</w:t>
      </w:r>
    </w:p>
    <w:p>
      <w:pPr>
        <w:autoSpaceDE w:val="0"/>
        <w:autoSpaceDN w:val="0"/>
        <w:jc w:val="left"/>
        <w:spacing w:before="45" w:after="0" w:lineRule="auto" w:line="240"/>
        <w:ind w:right="0" w:left="420" w:firstLine="0"/>
        <w:snapToGrid w:val="0"/>
        <w:textAlignment w:val="auto"/>
        <w:tabs>
          <w:tab w:val="left" w:leader="none" w:pos="893"/>
        </w:tabs>
        <w:numPr>
          <w:ilvl w:val="0"/>
          <w:numId w:val="119"/>
        </w:numPr>
        <w:rPr>
          <w:rFonts w:ascii="Times New Roman" w:hAnsi="Times New Roman" w:cs="Times New Roman" w:eastAsia="Times New Roman" w:hint="ascii"/>
          <w:sz w:val="21"/>
          <w:spacing w:val="1"/>
        </w:rPr>
      </w:pPr>
      <w:r>
        <w:rPr>
          <w:rFonts w:ascii="宋体" w:hAnsi="宋体" w:cs="宋体" w:eastAsia="宋体" w:hint="ascii"/>
          <w:sz w:val="21"/>
        </w:rPr>
        <w:t>年度化学科学部拟资助重点项目领域如下：</w:t>
      </w:r>
    </w:p>
    <w:p>
      <w:pPr>
        <w:autoSpaceDE w:val="0"/>
        <w:autoSpaceDN w:val="0"/>
        <w:jc w:val="left"/>
        <w:spacing w:before="65"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无机固体合成化学（</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簇合物制备及结构化学（</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4"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金属配合物与配位聚合物（</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金属</w:t>
      </w:r>
      <w:r>
        <w:rPr>
          <w:rFonts w:ascii="Times New Roman" w:hAnsi="Times New Roman" w:cs="Times New Roman" w:eastAsia="Times New Roman" w:hint="ascii"/>
          <w:b w:val="1"/>
          <w:sz w:val="21"/>
        </w:rPr>
        <w:t>/</w:t>
      </w:r>
      <w:r>
        <w:rPr>
          <w:rFonts w:ascii="宋体" w:hAnsi="宋体" w:cs="宋体" w:eastAsia="宋体" w:hint="ascii"/>
          <w:sz w:val="21"/>
        </w:rPr>
        <w:t>元素有机化合物的合成与性能（</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合成中的新反应与新试剂（</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4"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光化学反应</w:t>
      </w:r>
      <w:r>
        <w:rPr>
          <w:rFonts w:ascii="Times New Roman" w:hAnsi="Times New Roman" w:cs="Times New Roman" w:eastAsia="Times New Roman" w:hint="ascii"/>
          <w:b w:val="1"/>
          <w:sz w:val="21"/>
        </w:rPr>
        <w:t>/</w:t>
      </w:r>
      <w:r>
        <w:rPr>
          <w:rFonts w:ascii="宋体" w:hAnsi="宋体" w:cs="宋体" w:eastAsia="宋体" w:hint="ascii"/>
          <w:sz w:val="21"/>
        </w:rPr>
        <w:t>自由基化学反应（</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不对称催化反应（</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575" w:after="0" w:lineRule="exact" w:line="225"/>
        <w:ind w:right="0" w:left="745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天然产物合成（</w:t>
      </w:r>
      <w:r>
        <w:rPr>
          <w:rFonts w:ascii="Times New Roman" w:hAnsi="Times New Roman" w:cs="Times New Roman" w:eastAsia="Times New Roman" w:hint="ascii"/>
          <w:b w:val="1"/>
          <w:sz w:val="21"/>
        </w:rPr>
        <w:t>B01</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50" locked="0" layoutInCell="1" allowOverlap="1">
                <wp:simplePos x="0" y="0"/>
                <wp:positionH relativeFrom="page">
                  <wp:posOffset>938530</wp:posOffset>
                </wp:positionH>
                <wp:positionV relativeFrom="page">
                  <wp:posOffset>805815</wp:posOffset>
                </wp:positionV>
                <wp:extent cx="5076190" cy="0"/>
                <wp:wrapNone/>
                <wp:docPr id="1179" name="117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04640;width:399.70pt;" id="117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auto" w:line="240"/>
        <w:ind w:right="0" w:left="683" w:hanging="105"/>
        <w:snapToGrid w:val="0"/>
        <w:textAlignment w:val="auto"/>
        <w:tabs>
          <w:tab w:val="left" w:leader="none" w:pos="683"/>
        </w:tabs>
        <w:numPr>
          <w:ilvl w:val="0"/>
          <w:numId w:val="130"/>
        </w:numPr>
        <w:rPr>
          <w:rFonts w:ascii="Times New Roman" w:hAnsi="Times New Roman" w:cs="Times New Roman" w:eastAsia="Times New Roman" w:hint="ascii"/>
          <w:sz w:val="21"/>
        </w:rPr>
      </w:pPr>
      <w:r>
        <w:rPr>
          <w:rFonts w:ascii="宋体" w:hAnsi="宋体" w:cs="宋体" w:eastAsia="宋体" w:hint="ascii"/>
          <w:sz w:val="21"/>
        </w:rPr>
        <w:t>自组装与超分子催化（</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789" w:hanging="105"/>
        <w:snapToGrid w:val="0"/>
        <w:textAlignment w:val="auto"/>
        <w:tabs>
          <w:tab w:val="left" w:leader="none" w:pos="787"/>
        </w:tabs>
        <w:numPr>
          <w:ilvl w:val="0"/>
          <w:numId w:val="126"/>
        </w:numPr>
        <w:rPr>
          <w:rFonts w:ascii="Times New Roman" w:hAnsi="Times New Roman" w:cs="Times New Roman" w:eastAsia="Times New Roman" w:hint="ascii"/>
          <w:sz w:val="21"/>
          <w:spacing w:val="1"/>
        </w:rPr>
      </w:pPr>
      <w:r>
        <w:rPr>
          <w:rFonts w:ascii="宋体" w:hAnsi="宋体" w:cs="宋体" w:eastAsia="宋体" w:hint="ascii"/>
          <w:sz w:val="21"/>
        </w:rPr>
        <w:t>光电功能分子合成方法学（</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仿生高分子可控合成（</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高性能聚合物绿色合成方法（</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基于多组分反应的生物大分子精确合成与功能化（</w:t>
      </w:r>
      <w:r>
        <w:rPr>
          <w:rFonts w:ascii="Times New Roman" w:hAnsi="Times New Roman" w:cs="Times New Roman" w:eastAsia="Times New Roman" w:hint="ascii"/>
          <w:b w:val="1"/>
          <w:sz w:val="21"/>
        </w:rPr>
        <w:t>B01</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构筑特定结构和功能催化材料的新方法与新概念（</w:t>
      </w:r>
      <w:r>
        <w:rPr>
          <w:rFonts w:ascii="Times New Roman" w:hAnsi="Times New Roman" w:cs="Times New Roman" w:eastAsia="Times New Roman" w:hint="ascii"/>
          <w:b w:val="1"/>
          <w:sz w:val="21"/>
        </w:rPr>
        <w:t>B02</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高效催化过程及其动态表征（</w:t>
      </w:r>
      <w:r>
        <w:rPr>
          <w:rFonts w:ascii="Times New Roman" w:hAnsi="Times New Roman" w:cs="Times New Roman" w:eastAsia="Times New Roman" w:hint="ascii"/>
          <w:b w:val="1"/>
          <w:sz w:val="21"/>
        </w:rPr>
        <w:t>B02</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胶体与界面化学的新理论、新方法及其应用（</w:t>
      </w:r>
      <w:r>
        <w:rPr>
          <w:rFonts w:ascii="Times New Roman" w:hAnsi="Times New Roman" w:cs="Times New Roman" w:eastAsia="Times New Roman" w:hint="ascii"/>
          <w:b w:val="1"/>
          <w:sz w:val="21"/>
        </w:rPr>
        <w:t>B02</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电催化体系的可控构筑与功能调控（</w:t>
      </w:r>
      <w:r>
        <w:rPr>
          <w:rFonts w:ascii="Times New Roman" w:hAnsi="Times New Roman" w:cs="Times New Roman" w:eastAsia="Times New Roman" w:hint="ascii"/>
          <w:b w:val="1"/>
          <w:sz w:val="21"/>
        </w:rPr>
        <w:t>B02</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复杂界面电化学体系的原位动态方法与过程研究（</w:t>
      </w:r>
      <w:r>
        <w:rPr>
          <w:rFonts w:ascii="Times New Roman" w:hAnsi="Times New Roman" w:cs="Times New Roman" w:eastAsia="Times New Roman" w:hint="ascii"/>
          <w:b w:val="1"/>
          <w:sz w:val="21"/>
        </w:rPr>
        <w:t>B02</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光电化学过程的本质和机理研究（</w:t>
      </w:r>
      <w:r>
        <w:rPr>
          <w:rFonts w:ascii="Times New Roman" w:hAnsi="Times New Roman" w:cs="Times New Roman" w:eastAsia="Times New Roman" w:hint="ascii"/>
          <w:b w:val="1"/>
          <w:sz w:val="21"/>
        </w:rPr>
        <w:t>B02</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反应机理及计算化学（</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功能导向的结构化学实验研究（</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化学谱学新方法（</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复杂体系的理论与计算化学新方法（</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理论与计算化学应用研究（</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激发态分子反应动力学（</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复杂体系化学热力学理论和方法（</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功能材料的光化学与光物理过程（</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微纳尺度的物理与化学机制（</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非平衡态高分子体系理论计算与模拟（</w:t>
      </w:r>
      <w:r>
        <w:rPr>
          <w:rFonts w:ascii="Times New Roman" w:hAnsi="Times New Roman" w:cs="Times New Roman" w:eastAsia="Times New Roman" w:hint="ascii"/>
          <w:b w:val="1"/>
          <w:sz w:val="21"/>
        </w:rPr>
        <w:t>B03</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复杂体系分离分析（</w:t>
      </w:r>
      <w:r>
        <w:rPr>
          <w:rFonts w:ascii="Times New Roman" w:hAnsi="Times New Roman" w:cs="Times New Roman" w:eastAsia="Times New Roman" w:hint="ascii"/>
          <w:b w:val="1"/>
          <w:sz w:val="21"/>
        </w:rPr>
        <w:t>B04</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电化学测量与分析新方法（</w:t>
      </w:r>
      <w:r>
        <w:rPr>
          <w:rFonts w:ascii="Times New Roman" w:hAnsi="Times New Roman" w:cs="Times New Roman" w:eastAsia="Times New Roman" w:hint="ascii"/>
          <w:b w:val="1"/>
          <w:sz w:val="21"/>
        </w:rPr>
        <w:t>B04</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光谱测量与分析新方法（</w:t>
      </w:r>
      <w:r>
        <w:rPr>
          <w:rFonts w:ascii="Times New Roman" w:hAnsi="Times New Roman" w:cs="Times New Roman" w:eastAsia="Times New Roman" w:hint="ascii"/>
          <w:b w:val="1"/>
          <w:sz w:val="21"/>
        </w:rPr>
        <w:t>B04</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质谱波谱学测量与分析新方法（</w:t>
      </w:r>
      <w:r>
        <w:rPr>
          <w:rFonts w:ascii="Times New Roman" w:hAnsi="Times New Roman" w:cs="Times New Roman" w:eastAsia="Times New Roman" w:hint="ascii"/>
          <w:b w:val="1"/>
          <w:sz w:val="21"/>
        </w:rPr>
        <w:t>B04</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化学成像新方法（</w:t>
      </w:r>
      <w:r>
        <w:rPr>
          <w:rFonts w:ascii="Times New Roman" w:hAnsi="Times New Roman" w:cs="Times New Roman" w:eastAsia="Times New Roman" w:hint="ascii"/>
          <w:b w:val="1"/>
          <w:sz w:val="21"/>
        </w:rPr>
        <w:t>B04</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单分子单颗粒单细胞测量与分析（</w:t>
      </w:r>
      <w:r>
        <w:rPr>
          <w:rFonts w:ascii="Times New Roman" w:hAnsi="Times New Roman" w:cs="Times New Roman" w:eastAsia="Times New Roman" w:hint="ascii"/>
          <w:b w:val="1"/>
          <w:sz w:val="21"/>
        </w:rPr>
        <w:t>B04</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原位在线活体分析（</w:t>
      </w:r>
      <w:r>
        <w:rPr>
          <w:rFonts w:ascii="Times New Roman" w:hAnsi="Times New Roman" w:cs="Times New Roman" w:eastAsia="Times New Roman" w:hint="ascii"/>
          <w:b w:val="1"/>
          <w:sz w:val="21"/>
        </w:rPr>
        <w:t>B04</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分子功能材料（</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多尺度及孔结构材料的化学（</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纳米材料化学（</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仿生材料化学（</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光电功能高分子（</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刺激响应高分子水凝胶及其仿生功能（</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高分子液晶光电材料的理性设计与精准合成（</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5"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生物医用高分子与生物膜相互作用（</w:t>
      </w:r>
      <w:r>
        <w:rPr>
          <w:rFonts w:ascii="Times New Roman" w:hAnsi="Times New Roman" w:cs="Times New Roman" w:eastAsia="Times New Roman" w:hint="ascii"/>
          <w:b w:val="1"/>
          <w:sz w:val="21"/>
        </w:rPr>
        <w:t>B05</w:t>
      </w:r>
      <w:r>
        <w:rPr>
          <w:rFonts w:ascii="宋体" w:hAnsi="宋体" w:cs="宋体" w:eastAsia="宋体" w:hint="ascii"/>
          <w:sz w:val="21"/>
        </w:rPr>
        <w:t>）</w:t>
      </w:r>
    </w:p>
    <w:p>
      <w:pPr>
        <w:autoSpaceDE w:val="0"/>
        <w:autoSpaceDN w:val="0"/>
        <w:jc w:val="left"/>
        <w:spacing w:before="64" w:after="0" w:lineRule="auto" w:line="240"/>
        <w:ind w:right="0" w:left="787" w:hanging="367"/>
        <w:snapToGrid w:val="0"/>
        <w:textAlignment w:val="auto"/>
        <w:tabs>
          <w:tab w:val="left" w:leader="none" w:pos="787"/>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放射性物质或典型污染物的微界面过程与转化机制（</w:t>
      </w:r>
      <w:r>
        <w:rPr>
          <w:rFonts w:ascii="Times New Roman" w:hAnsi="Times New Roman" w:cs="Times New Roman" w:eastAsia="Times New Roman" w:hint="ascii"/>
          <w:b w:val="1"/>
          <w:sz w:val="21"/>
        </w:rPr>
        <w:t>B06</w:t>
      </w:r>
      <w:r>
        <w:rPr>
          <w:rFonts w:ascii="宋体" w:hAnsi="宋体" w:cs="宋体" w:eastAsia="宋体" w:hint="ascii"/>
          <w:sz w:val="21"/>
        </w:rPr>
        <w:t>）</w:t>
      </w:r>
    </w:p>
    <w:p>
      <w:pPr>
        <w:autoSpaceDE w:val="0"/>
        <w:autoSpaceDN w:val="0"/>
        <w:jc w:val="left"/>
        <w:spacing w:before="307"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抗生素和抗性基因的环境传播机制与健康效应（</w:t>
      </w:r>
      <w:r>
        <w:rPr>
          <w:rFonts w:ascii="Times New Roman" w:hAnsi="Times New Roman" w:cs="Times New Roman" w:eastAsia="Times New Roman" w:hint="ascii"/>
          <w:b w:val="1"/>
          <w:sz w:val="21"/>
        </w:rPr>
        <w:t>B06</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51" locked="0" layoutInCell="1" allowOverlap="1">
                <wp:simplePos x="0" y="0"/>
                <wp:positionH relativeFrom="page">
                  <wp:posOffset>938530</wp:posOffset>
                </wp:positionH>
                <wp:positionV relativeFrom="page">
                  <wp:posOffset>819150</wp:posOffset>
                </wp:positionV>
                <wp:extent cx="5076190" cy="0"/>
                <wp:wrapNone/>
                <wp:docPr id="1180" name="118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03616;width:399.70pt;" id="118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新型功能材料在环境治理中的基础化学问题（</w:t>
      </w:r>
      <w:r>
        <w:rPr>
          <w:rFonts w:ascii="Times New Roman" w:hAnsi="Times New Roman" w:cs="Times New Roman" w:eastAsia="Times New Roman" w:hint="ascii"/>
          <w:b w:val="1"/>
          <w:sz w:val="21"/>
        </w:rPr>
        <w:t>B06</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土壤污染控制或固体废物处理中的化学原理（</w:t>
      </w:r>
      <w:r>
        <w:rPr>
          <w:rFonts w:ascii="Times New Roman" w:hAnsi="Times New Roman" w:cs="Times New Roman" w:eastAsia="Times New Roman" w:hint="ascii"/>
          <w:b w:val="1"/>
          <w:sz w:val="21"/>
        </w:rPr>
        <w:t>B06</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水污染控制过程中的新化学原理和方法（</w:t>
      </w:r>
      <w:r>
        <w:rPr>
          <w:rFonts w:ascii="Times New Roman" w:hAnsi="Times New Roman" w:cs="Times New Roman" w:eastAsia="Times New Roman" w:hint="ascii"/>
          <w:b w:val="1"/>
          <w:sz w:val="21"/>
        </w:rPr>
        <w:t>B06</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污染物的环境暴露、毒性机制和复合效应研究方法学（</w:t>
      </w:r>
      <w:r>
        <w:rPr>
          <w:rFonts w:ascii="Times New Roman" w:hAnsi="Times New Roman" w:cs="Times New Roman" w:eastAsia="Times New Roman" w:hint="ascii"/>
          <w:b w:val="1"/>
          <w:sz w:val="21"/>
        </w:rPr>
        <w:t>B06</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微量元素与金属的化学生物学（</w:t>
      </w:r>
      <w:r>
        <w:rPr>
          <w:rFonts w:ascii="Times New Roman" w:hAnsi="Times New Roman" w:cs="Times New Roman" w:eastAsia="Times New Roman" w:hint="ascii"/>
          <w:b w:val="1"/>
          <w:sz w:val="21"/>
        </w:rPr>
        <w:t>B07</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天然产物的发现及活性研究（</w:t>
      </w:r>
      <w:r>
        <w:rPr>
          <w:rFonts w:ascii="Times New Roman" w:hAnsi="Times New Roman" w:cs="Times New Roman" w:eastAsia="Times New Roman" w:hint="ascii"/>
          <w:b w:val="1"/>
          <w:sz w:val="21"/>
        </w:rPr>
        <w:t>B07</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生态农药的分子设计与作用机制（</w:t>
      </w:r>
      <w:r>
        <w:rPr>
          <w:rFonts w:ascii="Times New Roman" w:hAnsi="Times New Roman" w:cs="Times New Roman" w:eastAsia="Times New Roman" w:hint="ascii"/>
          <w:b w:val="1"/>
          <w:sz w:val="21"/>
        </w:rPr>
        <w:t>B07</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生物大分子功能的小分子调控（</w:t>
      </w:r>
      <w:r>
        <w:rPr>
          <w:rFonts w:ascii="Times New Roman" w:hAnsi="Times New Roman" w:cs="Times New Roman" w:eastAsia="Times New Roman" w:hint="ascii"/>
          <w:b w:val="1"/>
          <w:sz w:val="21"/>
        </w:rPr>
        <w:t>B07</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基于在体活性探针的新靶标发现和功能（</w:t>
      </w:r>
      <w:r>
        <w:rPr>
          <w:rFonts w:ascii="Times New Roman" w:hAnsi="Times New Roman" w:cs="Times New Roman" w:eastAsia="Times New Roman" w:hint="ascii"/>
          <w:b w:val="1"/>
          <w:sz w:val="21"/>
        </w:rPr>
        <w:t>B07</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生物活性分子的组装、功能与调控（</w:t>
      </w:r>
      <w:r>
        <w:rPr>
          <w:rFonts w:ascii="Times New Roman" w:hAnsi="Times New Roman" w:cs="Times New Roman" w:eastAsia="Times New Roman" w:hint="ascii"/>
          <w:b w:val="1"/>
          <w:sz w:val="21"/>
        </w:rPr>
        <w:t>B07</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重要生物活性分子的在体识别、定位及相互作用（</w:t>
      </w:r>
      <w:r>
        <w:rPr>
          <w:rFonts w:ascii="Times New Roman" w:hAnsi="Times New Roman" w:cs="Times New Roman" w:eastAsia="Times New Roman" w:hint="ascii"/>
          <w:b w:val="1"/>
          <w:sz w:val="21"/>
        </w:rPr>
        <w:t>B07</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合成生物学技术与生物转化过程的化学工程基础（</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生物炼制过程的化学工程基础（</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化石能源高效洁净利用的化学工程基础（</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新能源体系的化工基础与关键技术（</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化工新材料制备与性能调控的科学基础（</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矿产资源高效利用的化学工程基础（</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生物质高效利用的化工基础与关键技术（</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化学反应及反应器的科学与工程基础（</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化工系统工程与化工安全的科学基础（</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化工分离的新方法及新技术（</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非常规条件下的化工传递新理论（</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绿色化工过程和化工环保关键技术（</w:t>
      </w:r>
      <w:r>
        <w:rPr>
          <w:rFonts w:ascii="Times New Roman" w:hAnsi="Times New Roman" w:cs="Times New Roman" w:eastAsia="Times New Roman" w:hint="ascii"/>
          <w:b w:val="1"/>
          <w:sz w:val="21"/>
        </w:rPr>
        <w:t>B08</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钠（钾）碱金属离子快速传输的关键电极材料设计及性能研究（</w:t>
      </w:r>
      <w:r>
        <w:rPr>
          <w:rFonts w:ascii="Times New Roman" w:hAnsi="Times New Roman" w:cs="Times New Roman" w:eastAsia="Times New Roman" w:hint="ascii"/>
          <w:b w:val="1"/>
          <w:sz w:val="21"/>
        </w:rPr>
        <w:t>B0X</w:t>
      </w:r>
      <w:r>
        <w:rPr>
          <w:rFonts w:ascii="宋体" w:hAnsi="宋体" w:cs="宋体" w:eastAsia="宋体" w:hint="ascii"/>
          <w:sz w:val="21"/>
        </w:rPr>
        <w:t>）</w:t>
      </w:r>
    </w:p>
    <w:p>
      <w:pPr>
        <w:autoSpaceDE w:val="0"/>
        <w:autoSpaceDN w:val="0"/>
        <w:jc w:val="left"/>
        <w:spacing w:before="64"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非铅钙钛矿材料光电动力学（</w:t>
      </w:r>
      <w:r>
        <w:rPr>
          <w:rFonts w:ascii="Times New Roman" w:hAnsi="Times New Roman" w:cs="Times New Roman" w:eastAsia="Times New Roman" w:hint="ascii"/>
          <w:b w:val="1"/>
          <w:sz w:val="21"/>
        </w:rPr>
        <w:t>B0X</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离子液体在质膜蛋白质规模化分离与分析中的作用机制（</w:t>
      </w:r>
      <w:r>
        <w:rPr>
          <w:rFonts w:ascii="Times New Roman" w:hAnsi="Times New Roman" w:cs="Times New Roman" w:eastAsia="Times New Roman" w:hint="ascii"/>
          <w:b w:val="1"/>
          <w:sz w:val="21"/>
        </w:rPr>
        <w:t>B0X</w:t>
      </w:r>
      <w:r>
        <w:rPr>
          <w:rFonts w:ascii="宋体" w:hAnsi="宋体" w:cs="宋体" w:eastAsia="宋体" w:hint="ascii"/>
          <w:sz w:val="21"/>
        </w:rPr>
        <w:t>）</w:t>
      </w:r>
    </w:p>
    <w:p>
      <w:pPr>
        <w:autoSpaceDE w:val="0"/>
        <w:autoSpaceDN w:val="0"/>
        <w:jc w:val="left"/>
        <w:spacing w:before="65" w:after="0" w:lineRule="auto" w:line="240"/>
        <w:ind w:right="0" w:left="1753" w:hanging="367"/>
        <w:snapToGrid w:val="0"/>
        <w:textAlignment w:val="auto"/>
        <w:tabs>
          <w:tab w:val="left" w:leader="none" w:pos="1753"/>
        </w:tabs>
        <w:numPr>
          <w:ilvl w:val="0"/>
          <w:numId w:val="131"/>
        </w:numPr>
        <w:rPr>
          <w:rFonts w:ascii="Times New Roman" w:hAnsi="Times New Roman" w:cs="Times New Roman" w:eastAsia="Times New Roman" w:hint="ascii"/>
          <w:sz w:val="21"/>
          <w:spacing w:val="1"/>
        </w:rPr>
      </w:pPr>
      <w:r>
        <w:rPr>
          <w:rFonts w:ascii="宋体" w:hAnsi="宋体" w:cs="宋体" w:eastAsia="宋体" w:hint="ascii"/>
          <w:sz w:val="21"/>
        </w:rPr>
        <w:t>理论与计算化学前沿（</w:t>
      </w:r>
      <w:r>
        <w:rPr>
          <w:rFonts w:ascii="Times New Roman" w:hAnsi="Times New Roman" w:cs="Times New Roman" w:eastAsia="Times New Roman" w:hint="ascii"/>
          <w:b w:val="1"/>
          <w:sz w:val="21"/>
        </w:rPr>
        <w:t>B0X</w:t>
      </w:r>
      <w:r>
        <w:rPr>
          <w:rFonts w:ascii="宋体" w:hAnsi="宋体" w:cs="宋体" w:eastAsia="宋体" w:hint="ascii"/>
          <w:sz w:val="21"/>
        </w:rPr>
        <w:t>）</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该重点项目群主要研究内容包括：</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）强关联电子体系的新方法；</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）电子激发态的理论方法；</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）生物大分子动态结构及相互作用的低标度高效算法；</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）基于超级计算机集群的材料模拟人工智能算法及软件研究。</w:t>
      </w:r>
    </w:p>
    <w:p>
      <w:pPr>
        <w:autoSpaceDE w:val="0"/>
        <w:autoSpaceDN w:val="0"/>
        <w:jc w:val="left"/>
        <w:spacing w:before="58"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70</w:t>
      </w:r>
      <w:r>
        <w:rPr>
          <w:rFonts w:ascii="宋体" w:hAnsi="宋体" w:cs="宋体" w:eastAsia="宋体" w:hint="ascii"/>
          <w:sz w:val="21"/>
        </w:rPr>
        <w:t>～</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29"/>
        </w:rPr>
        <w:t>3</w:t>
      </w:r>
      <w:r>
        <w:rPr>
          <w:rFonts w:ascii="宋体" w:hAnsi="宋体" w:cs="宋体" w:eastAsia="宋体" w:hint="ascii"/>
          <w:sz w:val="21"/>
        </w:rPr>
        <w:t>项为科学部前沿导向重点项目</w:t>
      </w:r>
      <w:r>
        <w:rPr>
          <w:rFonts w:ascii="Times New Roman" w:hAnsi="Times New Roman" w:cs="Times New Roman" w:eastAsia="Times New Roman" w:hint="ascii"/>
          <w:sz w:val="21"/>
        </w:rPr>
        <w:t>/</w:t>
      </w:r>
      <w:r>
        <w:rPr>
          <w:rFonts w:ascii="宋体" w:hAnsi="宋体" w:cs="宋体" w:eastAsia="宋体" w:hint="ascii"/>
          <w:sz w:val="21"/>
        </w:rPr>
        <w:t>重点项目群，申请人可根据国际上该领域的</w:t>
      </w:r>
    </w:p>
    <w:p>
      <w:pPr>
        <w:autoSpaceDE w:val="0"/>
        <w:autoSpaceDN w:val="0"/>
        <w:jc w:val="both"/>
        <w:spacing w:before="17"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发展趋势，结</w:t>
      </w:r>
      <w:r>
        <w:rPr>
          <w:rFonts w:ascii="宋体" w:hAnsi="宋体" w:cs="宋体" w:eastAsia="宋体" w:hint="ascii"/>
          <w:sz w:val="21"/>
        </w:rPr>
        <w:t>合自己的研究基础和兴趣，组织队伍进行申请。化学科学部综合与战略规</w:t>
      </w:r>
      <w:r>
        <w:rPr>
          <w:rFonts w:ascii="宋体" w:hAnsi="宋体" w:cs="宋体" w:eastAsia="宋体" w:hint="ascii"/>
          <w:sz w:val="21"/>
          <w:spacing w:val="1"/>
        </w:rPr>
        <w:t>划处统一受理并组织相关评审。根据主要研究内容填写对应的申请代码</w:t>
      </w:r>
      <w:r>
        <w:rPr>
          <w:rFonts w:ascii="宋体" w:hAnsi="宋体" w:cs="宋体" w:eastAsia="宋体" w:hint="ascii"/>
          <w:sz w:val="21"/>
          <w:spacing w:val="2"/>
        </w:rPr>
        <w:t>（</w:t>
      </w:r>
      <w:r>
        <w:rPr>
          <w:rFonts w:ascii="Times New Roman" w:hAnsi="Times New Roman" w:cs="Times New Roman" w:eastAsia="Times New Roman" w:hint="ascii"/>
          <w:sz w:val="21"/>
        </w:rPr>
        <w:t>B0</w:t>
      </w:r>
      <w:r>
        <w:rPr>
          <w:rFonts w:ascii="Times New Roman" w:hAnsi="Times New Roman" w:cs="Times New Roman" w:eastAsia="Times New Roman" w:hint="ascii"/>
          <w:sz w:val="21"/>
          <w:spacing w:val="45"/>
        </w:rPr>
        <w:t>X</w:t>
      </w:r>
      <w:r>
        <w:rPr>
          <w:rFonts w:ascii="宋体" w:hAnsi="宋体" w:cs="宋体" w:eastAsia="宋体" w:hint="ascii"/>
          <w:sz w:val="21"/>
          <w:spacing w:val="2"/>
        </w:rPr>
        <w:t>可</w:t>
      </w:r>
      <w:r>
        <w:rPr>
          <w:rFonts w:ascii="宋体" w:hAnsi="宋体" w:cs="宋体" w:eastAsia="宋体" w:hint="ascii"/>
          <w:sz w:val="21"/>
          <w:spacing w:val="-10"/>
        </w:rPr>
        <w:t>在</w:t>
      </w:r>
      <w:r>
        <w:rPr>
          <w:rFonts w:ascii="Times New Roman" w:hAnsi="Times New Roman" w:cs="Times New Roman" w:eastAsia="Times New Roman" w:hint="ascii"/>
          <w:sz w:val="21"/>
        </w:rPr>
        <w:t>B01</w:t>
      </w:r>
      <w:r>
        <w:rPr>
          <w:rFonts w:ascii="宋体" w:hAnsi="宋体" w:cs="宋体" w:eastAsia="宋体" w:hint="ascii"/>
          <w:sz w:val="21"/>
        </w:rPr>
        <w:t>～</w:t>
      </w:r>
      <w:r>
        <w:rPr>
          <w:rFonts w:ascii="Times New Roman" w:hAnsi="Times New Roman" w:cs="Times New Roman" w:eastAsia="Times New Roman" w:hint="ascii"/>
          <w:sz w:val="21"/>
        </w:rPr>
        <w:t>B0</w:t>
      </w:r>
      <w:r>
        <w:rPr>
          <w:rFonts w:ascii="Times New Roman" w:hAnsi="Times New Roman" w:cs="Times New Roman" w:eastAsia="Times New Roman" w:hint="ascii"/>
          <w:sz w:val="21"/>
          <w:spacing w:val="22"/>
        </w:rPr>
        <w:t>8</w:t>
      </w:r>
      <w:r>
        <w:rPr>
          <w:rFonts w:ascii="宋体" w:hAnsi="宋体" w:cs="宋体" w:eastAsia="宋体" w:hint="ascii"/>
          <w:sz w:val="21"/>
        </w:rPr>
        <w:t>选择</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60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104"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65" w:after="0" w:lineRule="exact" w:line="475"/>
        <w:ind w:right="0" w:left="3145" w:firstLine="0"/>
        <w:snapToGrid w:val="0"/>
        <w:textAlignment w:val="auto"/>
        <w:tabs/>
        <w:rPr>
          <w:rFonts w:ascii="宋体" w:hAnsi="宋体" w:cs="宋体" w:eastAsia="宋体" w:hint="ascii"/>
          <w:sz w:val="38"/>
        </w:rPr>
      </w:pPr>
      <w:r>
        <w:rPr>
          <w:rFonts w:ascii="宋体" w:hAnsi="宋体" w:cs="宋体" w:eastAsia="宋体" w:hint="ascii"/>
          <w:sz w:val="38"/>
        </w:rPr>
        <w:t>生命科学部</w:t>
      </w:r>
      <w:r>
        <w:rPr>
          <w:rFonts w:ascii="宋体" w:hAnsi="宋体" w:cs="宋体" w:eastAsia="宋体" w:hint="ascii"/>
          <w:sz w:val="38"/>
        </w:rPr>
        <mc:AlternateContent>
          <mc:Choice Requires="wps">
            <w:drawing>
              <wp:anchor distL="0" distR="0" distT="0" distB="0" simplePos="0" behindDoc="1" relativeHeight="152" locked="0" layoutInCell="1" allowOverlap="1">
                <wp:simplePos x="0" y="0"/>
                <wp:positionH relativeFrom="page">
                  <wp:posOffset>938530</wp:posOffset>
                </wp:positionH>
                <wp:positionV relativeFrom="page">
                  <wp:posOffset>805815</wp:posOffset>
                </wp:positionV>
                <wp:extent cx="5076190" cy="0"/>
                <wp:wrapNone/>
                <wp:docPr id="1181" name="118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02592;width:399.70pt;" id="118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生命科学部重点项目一直采取以立项领域宏观指导申请为主和立项领域之外的非立</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spacing w:val="-1"/>
        </w:rPr>
        <w:t>项领</w:t>
      </w:r>
      <w:r>
        <w:rPr>
          <w:rFonts w:ascii="宋体" w:hAnsi="宋体" w:cs="宋体" w:eastAsia="宋体" w:hint="ascii"/>
          <w:sz w:val="21"/>
        </w:rPr>
        <w:t>域申请为辅相结合的两种申请模式。</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5"/>
        </w:rPr>
        <w:t>7</w:t>
      </w:r>
      <w:r>
        <w:rPr>
          <w:rFonts w:ascii="宋体" w:hAnsi="宋体" w:cs="宋体" w:eastAsia="宋体" w:hint="ascii"/>
          <w:sz w:val="21"/>
        </w:rPr>
        <w:t>年度生命科学部共接收重点项目申</w:t>
      </w:r>
      <w:r>
        <w:rPr>
          <w:rFonts w:ascii="宋体" w:hAnsi="宋体" w:cs="宋体" w:eastAsia="宋体" w:hint="ascii"/>
          <w:sz w:val="21"/>
          <w:spacing w:val="12"/>
        </w:rPr>
        <w:t>请</w:t>
      </w:r>
      <w:r>
        <w:rPr>
          <w:rFonts w:ascii="Times New Roman" w:hAnsi="Times New Roman" w:cs="Times New Roman" w:eastAsia="Times New Roman" w:hint="ascii"/>
          <w:sz w:val="21"/>
        </w:rPr>
        <w:t xml:space="preserve">537 </w:t>
      </w:r>
      <w:r>
        <w:rPr>
          <w:rFonts w:ascii="宋体" w:hAnsi="宋体" w:cs="宋体" w:eastAsia="宋体" w:hint="ascii"/>
          <w:sz w:val="21"/>
          <w:spacing w:val="4"/>
        </w:rPr>
        <w:t>项，其</w:t>
      </w:r>
      <w:r>
        <w:rPr>
          <w:rFonts w:ascii="宋体" w:hAnsi="宋体" w:cs="宋体" w:eastAsia="宋体" w:hint="ascii"/>
          <w:sz w:val="21"/>
          <w:spacing w:val="5"/>
        </w:rPr>
        <w:t>中，按立项领域申请的重点项</w:t>
      </w:r>
      <w:r>
        <w:rPr>
          <w:rFonts w:ascii="宋体" w:hAnsi="宋体" w:cs="宋体" w:eastAsia="宋体" w:hint="ascii"/>
          <w:sz w:val="21"/>
          <w:spacing w:val="21"/>
        </w:rPr>
        <w:t>目</w:t>
      </w:r>
      <w:r>
        <w:rPr>
          <w:rFonts w:ascii="Times New Roman" w:hAnsi="Times New Roman" w:cs="Times New Roman" w:eastAsia="Times New Roman" w:hint="ascii"/>
          <w:sz w:val="21"/>
        </w:rPr>
        <w:t>47</w:t>
      </w:r>
      <w:r>
        <w:rPr>
          <w:rFonts w:ascii="Times New Roman" w:hAnsi="Times New Roman" w:cs="Times New Roman" w:eastAsia="Times New Roman" w:hint="ascii"/>
          <w:sz w:val="21"/>
          <w:spacing w:val="41"/>
        </w:rPr>
        <w:t>9</w:t>
      </w:r>
      <w:r>
        <w:rPr>
          <w:rFonts w:ascii="宋体" w:hAnsi="宋体" w:cs="宋体" w:eastAsia="宋体" w:hint="ascii"/>
          <w:sz w:val="21"/>
          <w:spacing w:val="5"/>
        </w:rPr>
        <w:t>项，受</w:t>
      </w:r>
      <w:r>
        <w:rPr>
          <w:rFonts w:ascii="宋体" w:hAnsi="宋体" w:cs="宋体" w:eastAsia="宋体" w:hint="ascii"/>
          <w:sz w:val="21"/>
          <w:spacing w:val="22"/>
        </w:rPr>
        <w:t>理</w:t>
      </w:r>
      <w:r>
        <w:rPr>
          <w:rFonts w:ascii="Times New Roman" w:hAnsi="Times New Roman" w:cs="Times New Roman" w:eastAsia="Times New Roman" w:hint="ascii"/>
          <w:sz w:val="21"/>
        </w:rPr>
        <w:t>44</w:t>
      </w:r>
      <w:r>
        <w:rPr>
          <w:rFonts w:ascii="Times New Roman" w:hAnsi="Times New Roman" w:cs="Times New Roman" w:eastAsia="Times New Roman" w:hint="ascii"/>
          <w:sz w:val="21"/>
          <w:spacing w:val="41"/>
        </w:rPr>
        <w:t>9</w:t>
      </w:r>
      <w:r>
        <w:rPr>
          <w:rFonts w:ascii="宋体" w:hAnsi="宋体" w:cs="宋体" w:eastAsia="宋体" w:hint="ascii"/>
          <w:sz w:val="21"/>
          <w:spacing w:val="5"/>
        </w:rPr>
        <w:t>项，资</w:t>
      </w:r>
      <w:r>
        <w:rPr>
          <w:rFonts w:ascii="宋体" w:hAnsi="宋体" w:cs="宋体" w:eastAsia="宋体" w:hint="ascii"/>
          <w:sz w:val="21"/>
          <w:spacing w:val="21"/>
        </w:rPr>
        <w:t>助</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43"/>
        </w:rPr>
        <w:t>1</w:t>
      </w:r>
      <w:r>
        <w:rPr>
          <w:rFonts w:ascii="宋体" w:hAnsi="宋体" w:cs="宋体" w:eastAsia="宋体" w:hint="ascii"/>
          <w:sz w:val="21"/>
          <w:spacing w:val="5"/>
        </w:rPr>
        <w:t>项，资助率</w:t>
      </w:r>
      <w:r>
        <w:rPr>
          <w:rFonts w:ascii="宋体" w:hAnsi="宋体" w:cs="宋体" w:eastAsia="宋体" w:hint="ascii"/>
          <w:sz w:val="21"/>
        </w:rPr>
        <w:t>为</w:t>
      </w:r>
    </w:p>
    <w:p>
      <w:pPr>
        <w:autoSpaceDE w:val="0"/>
        <w:autoSpaceDN w:val="0"/>
        <w:jc w:val="left"/>
        <w:spacing w:before="40" w:after="0" w:lineRule="auto" w:line="240"/>
        <w:ind w:right="0" w:left="104" w:firstLine="0"/>
        <w:snapToGrid w:val="0"/>
        <w:textAlignment w:val="auto"/>
        <w:tabs/>
        <w:rPr>
          <w:rFonts w:ascii="宋体" w:hAnsi="宋体" w:cs="宋体" w:eastAsia="宋体" w:hint="ascii"/>
          <w:sz w:val="21"/>
        </w:rPr>
      </w:pPr>
      <w:r>
        <w:rPr>
          <w:rFonts w:ascii="Times New Roman" w:hAnsi="Times New Roman" w:cs="Times New Roman" w:eastAsia="宋体" w:hint="ascii"/>
          <w:sz w:val="21"/>
          <w:spacing w:val="1"/>
        </w:rPr>
        <w:t>21</w:t>
      </w:r>
      <w:r>
        <w:rPr>
          <w:rFonts w:ascii="Times New Roman" w:hAnsi="Times New Roman" w:cs="Times New Roman" w:eastAsia="宋体" w:hint="ascii"/>
          <w:sz w:val="21"/>
          <w:spacing w:val="-1"/>
        </w:rPr>
        <w:t>.</w:t>
      </w:r>
      <w:r>
        <w:rPr>
          <w:rFonts w:ascii="Times New Roman" w:hAnsi="Times New Roman" w:cs="Times New Roman" w:eastAsia="宋体" w:hint="ascii"/>
          <w:sz w:val="21"/>
          <w:spacing w:val="1"/>
        </w:rPr>
        <w:t>0</w:t>
      </w:r>
      <w:r>
        <w:rPr>
          <w:rFonts w:ascii="Times New Roman" w:hAnsi="Times New Roman" w:cs="Times New Roman" w:eastAsia="Times New Roman" w:hint="ascii"/>
          <w:sz w:val="21"/>
        </w:rPr>
        <w:t>9%</w:t>
      </w:r>
      <w:r>
        <w:rPr>
          <w:rFonts w:ascii="宋体" w:hAnsi="宋体" w:cs="宋体" w:eastAsia="宋体" w:hint="ascii"/>
          <w:sz w:val="21"/>
        </w:rPr>
        <w:t>；非立项领域的重点项目申</w:t>
      </w:r>
      <w:r>
        <w:rPr>
          <w:rFonts w:ascii="宋体" w:hAnsi="宋体" w:cs="宋体" w:eastAsia="宋体" w:hint="ascii"/>
          <w:sz w:val="21"/>
          <w:spacing w:val="11"/>
        </w:rPr>
        <w:t>请</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21"/>
        </w:rPr>
        <w:t>8</w:t>
      </w:r>
      <w:r>
        <w:rPr>
          <w:rFonts w:ascii="宋体" w:hAnsi="宋体" w:cs="宋体" w:eastAsia="宋体" w:hint="ascii"/>
          <w:sz w:val="21"/>
        </w:rPr>
        <w:t>项，受</w:t>
      </w:r>
      <w:r>
        <w:rPr>
          <w:rFonts w:ascii="宋体" w:hAnsi="宋体" w:cs="宋体" w:eastAsia="宋体" w:hint="ascii"/>
          <w:sz w:val="21"/>
          <w:spacing w:val="11"/>
        </w:rPr>
        <w:t>理</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21"/>
        </w:rPr>
        <w:t>0</w:t>
      </w:r>
      <w:r>
        <w:rPr>
          <w:rFonts w:ascii="宋体" w:hAnsi="宋体" w:cs="宋体" w:eastAsia="宋体" w:hint="ascii"/>
          <w:sz w:val="21"/>
        </w:rPr>
        <w:t>项，资</w:t>
      </w:r>
      <w:r>
        <w:rPr>
          <w:rFonts w:ascii="宋体" w:hAnsi="宋体" w:cs="宋体" w:eastAsia="宋体" w:hint="ascii"/>
          <w:sz w:val="21"/>
          <w:spacing w:val="11"/>
        </w:rPr>
        <w:t>助</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spacing w:val="22"/>
        </w:rPr>
        <w:t>1</w:t>
      </w:r>
      <w:r>
        <w:rPr>
          <w:rFonts w:ascii="宋体" w:hAnsi="宋体" w:cs="宋体" w:eastAsia="宋体" w:hint="ascii"/>
          <w:sz w:val="21"/>
        </w:rPr>
        <w:t>项，资助率</w:t>
      </w:r>
      <w:r>
        <w:rPr>
          <w:rFonts w:ascii="宋体" w:hAnsi="宋体" w:cs="宋体" w:eastAsia="宋体" w:hint="ascii"/>
          <w:sz w:val="21"/>
          <w:spacing w:val="11"/>
        </w:rPr>
        <w:t>为</w:t>
      </w:r>
      <w:r>
        <w:rPr>
          <w:rFonts w:ascii="Times New Roman" w:hAnsi="Times New Roman" w:cs="Times New Roman" w:eastAsia="Times New Roman" w:hint="ascii"/>
          <w:sz w:val="21"/>
        </w:rPr>
        <w:t>18.97%</w:t>
      </w:r>
      <w:r>
        <w:rPr>
          <w:rFonts w:ascii="宋体" w:hAnsi="宋体" w:cs="宋体" w:eastAsia="宋体" w:hint="ascii"/>
          <w:sz w:val="21"/>
        </w:rPr>
        <w:t>。</w:t>
      </w:r>
    </w:p>
    <w:p>
      <w:pPr>
        <w:autoSpaceDE w:val="0"/>
        <w:autoSpaceDN w:val="0"/>
        <w:jc w:val="left"/>
        <w:spacing w:before="57" w:after="0" w:lineRule="auto" w:line="240"/>
        <w:ind w:right="0" w:left="988" w:hanging="237"/>
        <w:snapToGrid w:val="0"/>
        <w:textAlignment w:val="auto"/>
        <w:tabs>
          <w:tab w:val="left" w:leader="none" w:pos="978"/>
        </w:tabs>
        <w:numPr>
          <w:ilvl w:val="0"/>
          <w:numId w:val="82"/>
        </w:numPr>
        <w:rPr>
          <w:rFonts w:ascii="Times New Roman" w:hAnsi="Times New Roman" w:cs="Times New Roman" w:eastAsia="Times New Roman" w:hint="ascii"/>
          <w:sz w:val="21"/>
          <w:spacing w:val="1"/>
        </w:rPr>
      </w:pPr>
      <w:r>
        <w:rPr>
          <w:rFonts w:ascii="宋体" w:hAnsi="宋体" w:cs="宋体" w:eastAsia="宋体" w:hint="ascii"/>
          <w:sz w:val="21"/>
          <w:spacing w:val="3"/>
        </w:rPr>
        <w:t>年度</w:t>
      </w:r>
      <w:r>
        <w:rPr>
          <w:rFonts w:ascii="宋体" w:hAnsi="宋体" w:cs="宋体" w:eastAsia="宋体" w:hint="ascii"/>
          <w:sz w:val="21"/>
        </w:rPr>
        <w:t>生</w:t>
      </w:r>
      <w:r>
        <w:rPr>
          <w:rFonts w:ascii="宋体" w:hAnsi="宋体" w:cs="宋体" w:eastAsia="宋体" w:hint="ascii"/>
          <w:sz w:val="21"/>
          <w:spacing w:val="3"/>
        </w:rPr>
        <w:t>命科</w:t>
      </w:r>
      <w:r>
        <w:rPr>
          <w:rFonts w:ascii="宋体" w:hAnsi="宋体" w:cs="宋体" w:eastAsia="宋体" w:hint="ascii"/>
          <w:sz w:val="21"/>
        </w:rPr>
        <w:t>学</w:t>
      </w:r>
      <w:r>
        <w:rPr>
          <w:rFonts w:ascii="宋体" w:hAnsi="宋体" w:cs="宋体" w:eastAsia="宋体" w:hint="ascii"/>
          <w:sz w:val="21"/>
          <w:spacing w:val="3"/>
        </w:rPr>
        <w:t>部</w:t>
      </w:r>
      <w:r>
        <w:rPr>
          <w:rFonts w:ascii="宋体" w:hAnsi="宋体" w:cs="宋体" w:eastAsia="宋体" w:hint="ascii"/>
          <w:sz w:val="21"/>
        </w:rPr>
        <w:t>部</w:t>
      </w:r>
      <w:r>
        <w:rPr>
          <w:rFonts w:ascii="宋体" w:hAnsi="宋体" w:cs="宋体" w:eastAsia="宋体" w:hint="ascii"/>
          <w:sz w:val="21"/>
          <w:spacing w:val="3"/>
        </w:rPr>
        <w:t>分学</w:t>
      </w:r>
      <w:r>
        <w:rPr>
          <w:rFonts w:ascii="宋体" w:hAnsi="宋体" w:cs="宋体" w:eastAsia="宋体" w:hint="ascii"/>
          <w:sz w:val="21"/>
        </w:rPr>
        <w:t>科</w:t>
      </w:r>
      <w:r>
        <w:rPr>
          <w:rFonts w:ascii="宋体" w:hAnsi="宋体" w:cs="宋体" w:eastAsia="宋体" w:hint="ascii"/>
          <w:sz w:val="21"/>
          <w:spacing w:val="3"/>
        </w:rPr>
        <w:t>仍</w:t>
      </w:r>
      <w:r>
        <w:rPr>
          <w:rFonts w:ascii="宋体" w:hAnsi="宋体" w:cs="宋体" w:eastAsia="宋体" w:hint="ascii"/>
          <w:sz w:val="21"/>
        </w:rPr>
        <w:t>将</w:t>
      </w:r>
      <w:r>
        <w:rPr>
          <w:rFonts w:ascii="宋体" w:hAnsi="宋体" w:cs="宋体" w:eastAsia="宋体" w:hint="ascii"/>
          <w:sz w:val="21"/>
          <w:spacing w:val="3"/>
        </w:rPr>
        <w:t>接收</w:t>
      </w:r>
      <w:r>
        <w:rPr>
          <w:rFonts w:ascii="宋体" w:hAnsi="宋体" w:cs="宋体" w:eastAsia="宋体" w:hint="ascii"/>
          <w:sz w:val="21"/>
        </w:rPr>
        <w:t>非</w:t>
      </w:r>
      <w:r>
        <w:rPr>
          <w:rFonts w:ascii="宋体" w:hAnsi="宋体" w:cs="宋体" w:eastAsia="宋体" w:hint="ascii"/>
          <w:sz w:val="21"/>
          <w:spacing w:val="3"/>
        </w:rPr>
        <w:t>立</w:t>
      </w:r>
      <w:r>
        <w:rPr>
          <w:rFonts w:ascii="宋体" w:hAnsi="宋体" w:cs="宋体" w:eastAsia="宋体" w:hint="ascii"/>
          <w:sz w:val="21"/>
        </w:rPr>
        <w:t>项</w:t>
      </w:r>
      <w:r>
        <w:rPr>
          <w:rFonts w:ascii="宋体" w:hAnsi="宋体" w:cs="宋体" w:eastAsia="宋体" w:hint="ascii"/>
          <w:sz w:val="21"/>
          <w:spacing w:val="3"/>
        </w:rPr>
        <w:t>领域</w:t>
      </w:r>
      <w:r>
        <w:rPr>
          <w:rFonts w:ascii="宋体" w:hAnsi="宋体" w:cs="宋体" w:eastAsia="宋体" w:hint="ascii"/>
          <w:sz w:val="21"/>
        </w:rPr>
        <w:t>申</w:t>
      </w:r>
      <w:r>
        <w:rPr>
          <w:rFonts w:ascii="宋体" w:hAnsi="宋体" w:cs="宋体" w:eastAsia="宋体" w:hint="ascii"/>
          <w:sz w:val="21"/>
          <w:spacing w:val="3"/>
        </w:rPr>
        <w:t>请</w:t>
      </w:r>
      <w:r>
        <w:rPr>
          <w:rFonts w:ascii="宋体" w:hAnsi="宋体" w:cs="宋体" w:eastAsia="宋体" w:hint="ascii"/>
          <w:sz w:val="21"/>
        </w:rPr>
        <w:t>的</w:t>
      </w:r>
      <w:r>
        <w:rPr>
          <w:rFonts w:ascii="宋体" w:hAnsi="宋体" w:cs="宋体" w:eastAsia="宋体" w:hint="ascii"/>
          <w:sz w:val="21"/>
          <w:spacing w:val="3"/>
        </w:rPr>
        <w:t>重点</w:t>
      </w:r>
      <w:r>
        <w:rPr>
          <w:rFonts w:ascii="宋体" w:hAnsi="宋体" w:cs="宋体" w:eastAsia="宋体" w:hint="ascii"/>
          <w:sz w:val="21"/>
        </w:rPr>
        <w:t>项</w:t>
      </w:r>
      <w:r>
        <w:rPr>
          <w:rFonts w:ascii="宋体" w:hAnsi="宋体" w:cs="宋体" w:eastAsia="宋体" w:hint="ascii"/>
          <w:sz w:val="21"/>
          <w:spacing w:val="3"/>
        </w:rPr>
        <w:t>目</w:t>
      </w:r>
      <w:r>
        <w:rPr>
          <w:rFonts w:ascii="宋体" w:hAnsi="宋体" w:cs="宋体" w:eastAsia="宋体" w:hint="ascii"/>
          <w:sz w:val="21"/>
        </w:rPr>
        <w:t>，</w:t>
      </w:r>
      <w:r>
        <w:rPr>
          <w:rFonts w:ascii="宋体" w:hAnsi="宋体" w:cs="宋体" w:eastAsia="宋体" w:hint="ascii"/>
          <w:sz w:val="21"/>
          <w:spacing w:val="3"/>
        </w:rPr>
        <w:t>请申</w:t>
      </w:r>
      <w:r>
        <w:rPr>
          <w:rFonts w:ascii="宋体" w:hAnsi="宋体" w:cs="宋体" w:eastAsia="宋体" w:hint="ascii"/>
          <w:sz w:val="21"/>
        </w:rPr>
        <w:t>请</w:t>
      </w:r>
      <w:r>
        <w:rPr>
          <w:rFonts w:ascii="宋体" w:hAnsi="宋体" w:cs="宋体" w:eastAsia="宋体" w:hint="ascii"/>
          <w:sz w:val="21"/>
          <w:spacing w:val="3"/>
        </w:rPr>
        <w:t>人</w:t>
      </w:r>
      <w:r>
        <w:rPr>
          <w:rFonts w:ascii="宋体" w:hAnsi="宋体" w:cs="宋体" w:eastAsia="宋体" w:hint="ascii"/>
          <w:sz w:val="21"/>
        </w:rPr>
        <w:t>详</w:t>
      </w:r>
    </w:p>
    <w:p>
      <w:pPr>
        <w:autoSpaceDE w:val="0"/>
        <w:autoSpaceDN w:val="0"/>
        <w:jc w:val="both"/>
        <w:spacing w:before="17" w:after="0" w:lineRule="exact" w:line="312"/>
        <w:ind w:right="976" w:left="104" w:firstLine="0"/>
        <w:snapToGrid w:val="0"/>
        <w:textAlignment w:val="auto"/>
        <w:tabs/>
        <w:rPr>
          <w:rFonts w:ascii="宋体" w:hAnsi="宋体" w:cs="宋体" w:eastAsia="宋体" w:hint="ascii"/>
          <w:b w:val="1"/>
          <w:sz w:val="21"/>
        </w:rPr>
      </w:pPr>
      <w:r>
        <w:rPr>
          <w:rFonts w:ascii="宋体" w:hAnsi="宋体" w:cs="宋体" w:eastAsia="宋体" w:hint="ascii"/>
          <w:sz w:val="21"/>
          <w:spacing w:val="-1"/>
        </w:rPr>
        <w:t>细阅读本</w:t>
      </w:r>
      <w:r>
        <w:rPr>
          <w:rFonts w:ascii="宋体" w:hAnsi="宋体" w:cs="宋体" w:eastAsia="宋体" w:hint="ascii"/>
          <w:sz w:val="21"/>
        </w:rPr>
        <w:t>《指南》公布的各学科接收重点项目的类型。同时接收两种模式的重点项目申</w:t>
      </w:r>
      <w:r>
        <w:rPr>
          <w:rFonts w:ascii="宋体" w:hAnsi="宋体" w:cs="宋体" w:eastAsia="宋体" w:hint="ascii"/>
          <w:sz w:val="21"/>
          <w:spacing w:val="2"/>
        </w:rPr>
        <w:t>请（立项领</w:t>
      </w:r>
      <w:r>
        <w:rPr>
          <w:rFonts w:ascii="宋体" w:hAnsi="宋体" w:cs="宋体" w:eastAsia="宋体" w:hint="ascii"/>
          <w:sz w:val="21"/>
          <w:spacing w:val="3"/>
        </w:rPr>
        <w:t>域</w:t>
      </w:r>
      <w:r>
        <w:rPr>
          <w:rFonts w:ascii="Times New Roman" w:hAnsi="Times New Roman" w:cs="Times New Roman" w:eastAsia="Times New Roman" w:hint="ascii"/>
          <w:sz w:val="21"/>
          <w:spacing w:val="9"/>
        </w:rPr>
        <w:t>+</w:t>
      </w:r>
      <w:r>
        <w:rPr>
          <w:rFonts w:ascii="宋体" w:hAnsi="宋体" w:cs="宋体" w:eastAsia="宋体" w:hint="ascii"/>
          <w:sz w:val="21"/>
          <w:spacing w:val="2"/>
        </w:rPr>
        <w:t>非立项领域）的学科</w:t>
      </w:r>
      <w:r>
        <w:rPr>
          <w:rFonts w:ascii="宋体" w:hAnsi="宋体" w:cs="宋体" w:eastAsia="宋体" w:hint="ascii"/>
          <w:sz w:val="21"/>
          <w:spacing w:val="1"/>
        </w:rPr>
        <w:t>有：</w:t>
      </w:r>
      <w:r>
        <w:rPr>
          <w:rFonts w:ascii="宋体" w:hAnsi="宋体" w:cs="宋体" w:eastAsia="宋体" w:hint="ascii"/>
          <w:sz w:val="21"/>
          <w:spacing w:val="1"/>
        </w:rPr>
        <w:t>微生物学，生物物理、生物化学与分子生</w:t>
      </w:r>
      <w:r>
        <w:rPr>
          <w:rFonts w:ascii="宋体" w:hAnsi="宋体" w:cs="宋体" w:eastAsia="宋体" w:hint="ascii"/>
          <w:sz w:val="21"/>
          <w:spacing w:val="-6"/>
        </w:rPr>
        <w:t>物</w:t>
      </w:r>
      <w:r>
        <w:rPr>
          <w:rFonts w:ascii="宋体" w:hAnsi="宋体" w:cs="宋体" w:eastAsia="宋体" w:hint="ascii"/>
          <w:sz w:val="21"/>
        </w:rPr>
        <w:t>学，生物力学与组织工程学，生理学与整合生物学，细胞生物学，</w:t>
      </w:r>
      <w:r>
        <w:rPr>
          <w:rFonts w:ascii="宋体" w:hAnsi="宋体" w:cs="宋体" w:eastAsia="宋体" w:hint="ascii"/>
          <w:sz w:val="21"/>
        </w:rPr>
        <w:t>共</w:t>
      </w:r>
      <w:r>
        <w:rPr>
          <w:rFonts w:ascii="宋体" w:hAnsi="宋体" w:cs="宋体" w:eastAsia="宋体" w:hint="ascii"/>
          <w:sz w:val="21"/>
          <w:spacing w:val="12"/>
        </w:rPr>
        <w:t>计</w:t>
      </w:r>
      <w:r>
        <w:rPr>
          <w:rFonts w:ascii="Times New Roman" w:hAnsi="Times New Roman" w:cs="Times New Roman" w:eastAsia="Times New Roman" w:hint="ascii"/>
          <w:sz w:val="21"/>
          <w:spacing w:val="25"/>
        </w:rPr>
        <w:t>5</w:t>
      </w:r>
      <w:r>
        <w:rPr>
          <w:rFonts w:ascii="宋体" w:hAnsi="宋体" w:cs="宋体" w:eastAsia="宋体" w:hint="ascii"/>
          <w:sz w:val="21"/>
        </w:rPr>
        <w:t>个学科。仅接</w:t>
      </w:r>
      <w:r>
        <w:rPr>
          <w:rFonts w:ascii="宋体" w:hAnsi="宋体" w:cs="宋体" w:eastAsia="宋体" w:hint="ascii"/>
          <w:sz w:val="21"/>
          <w:spacing w:val="-1"/>
        </w:rPr>
        <w:t>收按立项</w:t>
      </w:r>
      <w:r>
        <w:rPr>
          <w:rFonts w:ascii="宋体" w:hAnsi="宋体" w:cs="宋体" w:eastAsia="宋体" w:hint="ascii"/>
          <w:sz w:val="21"/>
        </w:rPr>
        <w:t>领域申请的重点项目，不接收非立项领域申请重点项目的学科有：</w:t>
      </w:r>
      <w:r>
        <w:rPr>
          <w:rFonts w:ascii="宋体" w:hAnsi="宋体" w:cs="宋体" w:eastAsia="宋体" w:hint="ascii"/>
          <w:sz w:val="21"/>
        </w:rPr>
        <w:t>植物学、生</w:t>
      </w:r>
      <w:r>
        <w:rPr>
          <w:rFonts w:ascii="宋体" w:hAnsi="宋体" w:cs="宋体" w:eastAsia="宋体" w:hint="ascii"/>
          <w:sz w:val="21"/>
          <w:spacing w:val="-1"/>
        </w:rPr>
        <w:t>态学、林</w:t>
      </w:r>
      <w:r>
        <w:rPr>
          <w:rFonts w:ascii="宋体" w:hAnsi="宋体" w:cs="宋体" w:eastAsia="宋体" w:hint="ascii"/>
          <w:sz w:val="21"/>
        </w:rPr>
        <w:t>学、免疫学、神经科学、心理学与认知科学、遗传学与生物信息学、发育生物</w:t>
      </w:r>
      <w:r>
        <w:rPr>
          <w:rFonts w:ascii="宋体" w:hAnsi="宋体" w:cs="宋体" w:eastAsia="宋体" w:hint="ascii"/>
          <w:sz w:val="21"/>
          <w:spacing w:val="-1"/>
        </w:rPr>
        <w:t>学与生殖</w:t>
      </w:r>
      <w:r>
        <w:rPr>
          <w:rFonts w:ascii="宋体" w:hAnsi="宋体" w:cs="宋体" w:eastAsia="宋体" w:hint="ascii"/>
          <w:sz w:val="21"/>
        </w:rPr>
        <w:t>生物学、作物学、食品科学、植物保护学、园艺学与植物营养学、动物学、畜牧学与草地科学、兽医学及水产学，</w:t>
      </w:r>
      <w:r>
        <w:rPr>
          <w:rFonts w:ascii="宋体" w:hAnsi="宋体" w:cs="宋体" w:eastAsia="宋体" w:hint="ascii"/>
          <w:sz w:val="21"/>
        </w:rPr>
        <w:t>共</w:t>
      </w:r>
      <w:r>
        <w:rPr>
          <w:rFonts w:ascii="宋体" w:hAnsi="宋体" w:cs="宋体" w:eastAsia="宋体" w:hint="ascii"/>
          <w:sz w:val="21"/>
          <w:spacing w:val="14"/>
        </w:rPr>
        <w:t>计</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1"/>
        </w:rPr>
        <w:t>6</w:t>
      </w:r>
      <w:r>
        <w:rPr>
          <w:rFonts w:ascii="宋体" w:hAnsi="宋体" w:cs="宋体" w:eastAsia="宋体" w:hint="ascii"/>
          <w:sz w:val="21"/>
        </w:rPr>
        <w:t>个学科。请申请人详细阅读本《指南》列出的科学</w:t>
      </w:r>
      <w:r>
        <w:rPr>
          <w:rFonts w:ascii="宋体" w:hAnsi="宋体" w:cs="宋体" w:eastAsia="宋体" w:hint="ascii"/>
          <w:sz w:val="21"/>
          <w:spacing w:val="14"/>
        </w:rPr>
        <w:t>部</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31"/>
        </w:rPr>
        <w:t>8</w:t>
      </w:r>
      <w:r>
        <w:rPr>
          <w:rFonts w:ascii="宋体" w:hAnsi="宋体" w:cs="宋体" w:eastAsia="宋体" w:hint="ascii"/>
          <w:sz w:val="21"/>
        </w:rPr>
        <w:t>年度重点项目申请要求、注意事项及资助计划，按《指南》要求申请</w:t>
      </w:r>
      <w:r>
        <w:rPr>
          <w:rFonts w:ascii="宋体" w:hAnsi="宋体" w:cs="宋体" w:eastAsia="宋体" w:hint="ascii"/>
          <w:sz w:val="21"/>
          <w:spacing w:val="-1"/>
        </w:rPr>
        <w:t>重点项目</w:t>
      </w:r>
      <w:r>
        <w:rPr>
          <w:rFonts w:ascii="宋体" w:hAnsi="宋体" w:cs="宋体" w:eastAsia="宋体" w:hint="ascii"/>
          <w:sz w:val="21"/>
        </w:rPr>
        <w:t>。此外，由于生命科学部研究领域涉及生物学、基础医学和农业科学，不同学</w:t>
      </w:r>
      <w:r>
        <w:rPr>
          <w:rFonts w:ascii="宋体" w:hAnsi="宋体" w:cs="宋体" w:eastAsia="宋体" w:hint="ascii"/>
          <w:sz w:val="21"/>
          <w:spacing w:val="-1"/>
        </w:rPr>
        <w:t>科的重点</w:t>
      </w:r>
      <w:r>
        <w:rPr>
          <w:rFonts w:ascii="宋体" w:hAnsi="宋体" w:cs="宋体" w:eastAsia="宋体" w:hint="ascii"/>
          <w:sz w:val="21"/>
        </w:rPr>
        <w:t>项目立项领域与该学科的资助范围密切相关，</w:t>
      </w:r>
      <w:r>
        <w:rPr>
          <w:rFonts w:ascii="宋体" w:hAnsi="宋体" w:cs="宋体" w:eastAsia="宋体" w:hint="ascii"/>
          <w:sz w:val="21"/>
        </w:rPr>
        <w:t>因此特别提醒申请人注意：请参</w:t>
      </w:r>
      <w:r>
        <w:rPr>
          <w:rFonts w:ascii="宋体" w:hAnsi="宋体" w:cs="宋体" w:eastAsia="宋体" w:hint="ascii"/>
          <w:sz w:val="21"/>
          <w:spacing w:val="1"/>
        </w:rPr>
        <w:t>照学科面上项目指南提</w:t>
      </w:r>
      <w:r>
        <w:rPr>
          <w:rFonts w:ascii="宋体" w:hAnsi="宋体" w:cs="宋体" w:eastAsia="宋体" w:hint="ascii"/>
          <w:sz w:val="21"/>
        </w:rPr>
        <w:t>出的有关学科的资助范围和不予受理范畴，正确地申请重点</w:t>
      </w:r>
      <w:r>
        <w:rPr>
          <w:rFonts w:ascii="宋体" w:hAnsi="宋体" w:cs="宋体" w:eastAsia="宋体" w:hint="ascii"/>
          <w:sz w:val="21"/>
          <w:spacing w:val="-6"/>
        </w:rPr>
        <w:t>项</w:t>
      </w:r>
      <w:r>
        <w:rPr>
          <w:rFonts w:ascii="宋体" w:hAnsi="宋体" w:cs="宋体" w:eastAsia="宋体" w:hint="ascii"/>
          <w:sz w:val="21"/>
        </w:rPr>
        <w:t>目</w:t>
      </w:r>
      <w:r>
        <w:rPr>
          <w:rFonts w:ascii="宋体" w:hAnsi="宋体" w:cs="宋体" w:eastAsia="宋体" w:hint="ascii"/>
          <w:b w:val="1"/>
          <w:sz w:val="21"/>
        </w:rPr>
        <w:t>。</w:t>
      </w:r>
      <w:r>
        <w:rPr>
          <w:rFonts w:ascii="宋体" w:hAnsi="宋体" w:cs="宋体" w:eastAsia="宋体" w:hint="ascii"/>
          <w:sz w:val="21"/>
        </w:rPr>
        <w:t>各学科在面上项目指南说明中提出的不予受理项目的范畴同样适用于重点项目</w:t>
      </w:r>
      <w:r>
        <w:rPr>
          <w:rFonts w:ascii="宋体" w:hAnsi="宋体" w:cs="宋体" w:eastAsia="宋体" w:hint="ascii"/>
          <w:b w:val="1"/>
          <w:sz w:val="21"/>
        </w:rPr>
        <w:t>。</w:t>
      </w:r>
    </w:p>
    <w:p>
      <w:pPr>
        <w:autoSpaceDE w:val="0"/>
        <w:autoSpaceDN w:val="0"/>
        <w:jc w:val="left"/>
        <w:spacing w:before="40"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生命科学部重点项目申请的具体要求如下。</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）按立项领域申请的重点项目：请参照生命科学部公布</w:t>
      </w:r>
      <w:r>
        <w:rPr>
          <w:rFonts w:ascii="宋体" w:hAnsi="宋体" w:cs="宋体" w:eastAsia="宋体" w:hint="ascii"/>
          <w:sz w:val="21"/>
          <w:spacing w:val="16"/>
        </w:rPr>
        <w:t>的</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31"/>
        </w:rPr>
        <w:t>8</w:t>
      </w:r>
      <w:r>
        <w:rPr>
          <w:rFonts w:ascii="宋体" w:hAnsi="宋体" w:cs="宋体" w:eastAsia="宋体" w:hint="ascii"/>
          <w:sz w:val="21"/>
        </w:rPr>
        <w:t>年度重点项</w:t>
      </w:r>
      <w:r>
        <w:rPr>
          <w:rFonts w:ascii="宋体" w:hAnsi="宋体" w:cs="宋体" w:eastAsia="宋体" w:hint="ascii"/>
          <w:sz w:val="21"/>
          <w:spacing w:val="3"/>
        </w:rPr>
        <w:t>目</w:t>
      </w:r>
      <w:r>
        <w:rPr>
          <w:rFonts w:ascii="宋体" w:hAnsi="宋体" w:cs="宋体" w:eastAsia="宋体" w:hint="ascii"/>
          <w:sz w:val="21"/>
        </w:rPr>
        <w:t>立</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spacing w:val="-1"/>
        </w:rPr>
        <w:t>项领域，</w:t>
      </w:r>
      <w:r>
        <w:rPr>
          <w:rFonts w:ascii="宋体" w:hAnsi="宋体" w:cs="宋体" w:eastAsia="宋体" w:hint="ascii"/>
          <w:sz w:val="21"/>
        </w:rPr>
        <w:t>确定研究题目，撰写申请书。在申请书的基本信息表中的“附注说明”一栏中</w:t>
      </w:r>
      <w:r>
        <w:rPr>
          <w:rFonts w:ascii="宋体" w:hAnsi="宋体" w:cs="宋体" w:eastAsia="宋体" w:hint="ascii"/>
          <w:sz w:val="21"/>
          <w:spacing w:val="-1"/>
        </w:rPr>
        <w:t>必须要写</w:t>
      </w:r>
      <w:r>
        <w:rPr>
          <w:rFonts w:ascii="宋体" w:hAnsi="宋体" w:cs="宋体" w:eastAsia="宋体" w:hint="ascii"/>
          <w:sz w:val="21"/>
        </w:rPr>
        <w:t>明所申请的领域名称，并要求准确填写立项领域所标出的对应的申请代码。</w:t>
      </w:r>
      <w:r>
        <w:rPr>
          <w:rFonts w:ascii="宋体" w:hAnsi="宋体" w:cs="宋体" w:eastAsia="宋体" w:hint="ascii"/>
          <w:sz w:val="21"/>
        </w:rPr>
        <w:t>需</w:t>
      </w:r>
      <w:r>
        <w:rPr>
          <w:rFonts w:ascii="宋体" w:hAnsi="宋体" w:cs="宋体" w:eastAsia="宋体" w:hint="ascii"/>
          <w:sz w:val="21"/>
          <w:spacing w:val="-1"/>
        </w:rPr>
        <w:t>要说明的</w:t>
      </w:r>
      <w:r>
        <w:rPr>
          <w:rFonts w:ascii="宋体" w:hAnsi="宋体" w:cs="宋体" w:eastAsia="宋体" w:hint="ascii"/>
          <w:sz w:val="21"/>
        </w:rPr>
        <w:t>是</w:t>
      </w:r>
      <w:r>
        <w:rPr>
          <w:rFonts w:ascii="宋体" w:hAnsi="宋体" w:cs="宋体" w:eastAsia="宋体" w:hint="ascii"/>
          <w:b w:val="1"/>
          <w:sz w:val="21"/>
        </w:rPr>
        <w:t>：</w:t>
      </w:r>
      <w:r>
        <w:rPr>
          <w:rFonts w:ascii="宋体" w:hAnsi="宋体" w:cs="宋体" w:eastAsia="宋体" w:hint="ascii"/>
          <w:sz w:val="21"/>
        </w:rPr>
        <w:t>指定重点项目申请代码只是为了便于管理，被指定的申请代码可能并不包</w:t>
      </w:r>
      <w:r>
        <w:rPr>
          <w:rFonts w:ascii="宋体" w:hAnsi="宋体" w:cs="宋体" w:eastAsia="宋体" w:hint="ascii"/>
          <w:sz w:val="21"/>
          <w:spacing w:val="-1"/>
        </w:rPr>
        <w:t>含所招标</w:t>
      </w:r>
      <w:r>
        <w:rPr>
          <w:rFonts w:ascii="宋体" w:hAnsi="宋体" w:cs="宋体" w:eastAsia="宋体" w:hint="ascii"/>
          <w:sz w:val="21"/>
        </w:rPr>
        <w:t>的立项领域的全部内容，请申请人不要受指定申请代码的名称限定，在申请时根据立项领域的相关内容确定自己的研究题目。</w:t>
      </w:r>
    </w:p>
    <w:p>
      <w:pPr>
        <w:autoSpaceDE w:val="0"/>
        <w:autoSpaceDN w:val="0"/>
        <w:jc w:val="both"/>
        <w:spacing w:before="0" w:after="0" w:lineRule="exact" w:line="312"/>
        <w:ind w:right="976" w:left="104"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6"/>
        </w:rPr>
        <w:t>2</w:t>
      </w:r>
      <w:r>
        <w:rPr>
          <w:rFonts w:ascii="宋体" w:hAnsi="宋体" w:cs="宋体" w:eastAsia="宋体" w:hint="ascii"/>
          <w:sz w:val="21"/>
          <w:spacing w:val="1"/>
        </w:rPr>
        <w:t>）按非立项</w:t>
      </w:r>
      <w:r>
        <w:rPr>
          <w:rFonts w:ascii="宋体" w:hAnsi="宋体" w:cs="宋体" w:eastAsia="宋体" w:hint="ascii"/>
          <w:sz w:val="21"/>
        </w:rPr>
        <w:t>领域申请的重点项目的条件：①申请人在既往的研究中取得重要</w:t>
      </w:r>
      <w:r>
        <w:rPr>
          <w:rFonts w:ascii="宋体" w:hAnsi="宋体" w:cs="宋体" w:eastAsia="宋体" w:hint="ascii"/>
          <w:sz w:val="21"/>
          <w:spacing w:val="-6"/>
        </w:rPr>
        <w:t>进</w:t>
      </w:r>
      <w:r>
        <w:rPr>
          <w:rFonts w:ascii="宋体" w:hAnsi="宋体" w:cs="宋体" w:eastAsia="宋体" w:hint="ascii"/>
          <w:sz w:val="21"/>
          <w:spacing w:val="-1"/>
        </w:rPr>
        <w:t>展，急需</w:t>
      </w:r>
      <w:r>
        <w:rPr>
          <w:rFonts w:ascii="宋体" w:hAnsi="宋体" w:cs="宋体" w:eastAsia="宋体" w:hint="ascii"/>
          <w:sz w:val="21"/>
        </w:rPr>
        <w:t>重点项目资助，但研究内容又不在本年度科学部公布的重点项目立项领域范围</w:t>
      </w:r>
      <w:r>
        <w:rPr>
          <w:rFonts w:ascii="宋体" w:hAnsi="宋体" w:cs="宋体" w:eastAsia="宋体" w:hint="ascii"/>
          <w:sz w:val="21"/>
          <w:spacing w:val="-1"/>
        </w:rPr>
        <w:t>之内的；</w:t>
      </w:r>
      <w:r>
        <w:rPr>
          <w:rFonts w:ascii="宋体" w:hAnsi="宋体" w:cs="宋体" w:eastAsia="宋体" w:hint="ascii"/>
          <w:sz w:val="21"/>
        </w:rPr>
        <w:t>②属于新的科学前沿或新的学科生长点，而当年科学部公布的重点项目立项领</w:t>
      </w:r>
      <w:r>
        <w:rPr>
          <w:rFonts w:ascii="宋体" w:hAnsi="宋体" w:cs="宋体" w:eastAsia="宋体" w:hint="ascii"/>
          <w:sz w:val="21"/>
          <w:spacing w:val="-1"/>
        </w:rPr>
        <w:t>域未覆盖</w:t>
      </w:r>
      <w:r>
        <w:rPr>
          <w:rFonts w:ascii="宋体" w:hAnsi="宋体" w:cs="宋体" w:eastAsia="宋体" w:hint="ascii"/>
          <w:sz w:val="21"/>
        </w:rPr>
        <w:t>到，且申请人在此领域有很好的工作基础，急需进一步较高强度资助开展深入</w:t>
      </w:r>
      <w:r>
        <w:rPr>
          <w:rFonts w:ascii="宋体" w:hAnsi="宋体" w:cs="宋体" w:eastAsia="宋体" w:hint="ascii"/>
          <w:sz w:val="21"/>
          <w:spacing w:val="-1"/>
        </w:rPr>
        <w:t>研究的。</w:t>
      </w:r>
      <w:r>
        <w:rPr>
          <w:rFonts w:ascii="宋体" w:hAnsi="宋体" w:cs="宋体" w:eastAsia="宋体" w:hint="ascii"/>
          <w:sz w:val="21"/>
        </w:rPr>
        <w:t>申请此类重点项目者，要在申请书的基本信息表中的“附注说明”一栏中注明</w:t>
      </w:r>
    </w:p>
    <w:p>
      <w:pPr>
        <w:autoSpaceDE w:val="0"/>
        <w:autoSpaceDN w:val="0"/>
        <w:jc w:val="right"/>
        <w:spacing w:before="0" w:after="0" w:lineRule="exact" w:line="312"/>
        <w:ind w:right="976" w:left="0" w:firstLine="0"/>
        <w:snapToGrid w:val="0"/>
        <w:textAlignment w:val="auto"/>
        <w:tabs/>
        <w:rPr>
          <w:rFonts w:ascii="宋体" w:hAnsi="宋体" w:cs="宋体" w:eastAsia="宋体" w:hint="ascii"/>
          <w:sz w:val="21"/>
        </w:rPr>
      </w:pPr>
      <w:r>
        <w:rPr>
          <w:rFonts w:ascii="宋体" w:hAnsi="宋体" w:cs="宋体" w:eastAsia="宋体" w:hint="ascii"/>
          <w:sz w:val="21"/>
          <w:spacing w:val="4"/>
        </w:rPr>
        <w:t>“非</w:t>
      </w:r>
      <w:r>
        <w:rPr>
          <w:rFonts w:ascii="宋体" w:hAnsi="宋体" w:cs="宋体" w:eastAsia="宋体" w:hint="ascii"/>
          <w:sz w:val="21"/>
          <w:spacing w:val="5"/>
        </w:rPr>
        <w:t>领</w:t>
      </w:r>
      <w:r>
        <w:rPr>
          <w:rFonts w:ascii="宋体" w:hAnsi="宋体" w:cs="宋体" w:eastAsia="宋体" w:hint="ascii"/>
          <w:sz w:val="21"/>
          <w:spacing w:val="4"/>
        </w:rPr>
        <w:t>域申请</w:t>
      </w:r>
      <w:r>
        <w:rPr>
          <w:rFonts w:ascii="宋体" w:hAnsi="宋体" w:cs="宋体" w:eastAsia="宋体" w:hint="ascii"/>
          <w:sz w:val="21"/>
          <w:spacing w:val="5"/>
        </w:rPr>
        <w:t>”</w:t>
      </w:r>
      <w:r>
        <w:rPr>
          <w:rFonts w:ascii="宋体" w:hAnsi="宋体" w:cs="宋体" w:eastAsia="宋体" w:hint="ascii"/>
          <w:sz w:val="21"/>
          <w:spacing w:val="4"/>
        </w:rPr>
        <w:t>字样，申</w:t>
      </w:r>
      <w:r>
        <w:rPr>
          <w:rFonts w:ascii="宋体" w:hAnsi="宋体" w:cs="宋体" w:eastAsia="宋体" w:hint="ascii"/>
          <w:sz w:val="21"/>
          <w:spacing w:val="5"/>
        </w:rPr>
        <w:t>请</w:t>
      </w:r>
      <w:r>
        <w:rPr>
          <w:rFonts w:ascii="宋体" w:hAnsi="宋体" w:cs="宋体" w:eastAsia="宋体" w:hint="ascii"/>
          <w:sz w:val="21"/>
          <w:spacing w:val="4"/>
        </w:rPr>
        <w:t>代码可根</w:t>
      </w:r>
      <w:r>
        <w:rPr>
          <w:rFonts w:ascii="宋体" w:hAnsi="宋体" w:cs="宋体" w:eastAsia="宋体" w:hint="ascii"/>
          <w:sz w:val="21"/>
          <w:spacing w:val="5"/>
        </w:rPr>
        <w:t>据</w:t>
      </w:r>
      <w:r>
        <w:rPr>
          <w:rFonts w:ascii="宋体" w:hAnsi="宋体" w:cs="宋体" w:eastAsia="宋体" w:hint="ascii"/>
          <w:sz w:val="21"/>
          <w:spacing w:val="4"/>
        </w:rPr>
        <w:t>研究内容</w:t>
      </w:r>
      <w:r>
        <w:rPr>
          <w:rFonts w:ascii="宋体" w:hAnsi="宋体" w:cs="宋体" w:eastAsia="宋体" w:hint="ascii"/>
          <w:sz w:val="21"/>
          <w:spacing w:val="5"/>
        </w:rPr>
        <w:t>自</w:t>
      </w:r>
      <w:r>
        <w:rPr>
          <w:rFonts w:ascii="宋体" w:hAnsi="宋体" w:cs="宋体" w:eastAsia="宋体" w:hint="ascii"/>
          <w:sz w:val="21"/>
          <w:spacing w:val="4"/>
        </w:rPr>
        <w:t>主选择填</w:t>
      </w:r>
      <w:r>
        <w:rPr>
          <w:rFonts w:ascii="宋体" w:hAnsi="宋体" w:cs="宋体" w:eastAsia="宋体" w:hint="ascii"/>
          <w:sz w:val="21"/>
          <w:spacing w:val="5"/>
        </w:rPr>
        <w:t>写</w:t>
      </w:r>
      <w:r>
        <w:rPr>
          <w:rFonts w:ascii="宋体" w:hAnsi="宋体" w:cs="宋体" w:eastAsia="宋体" w:hint="ascii"/>
          <w:sz w:val="21"/>
          <w:spacing w:val="4"/>
        </w:rPr>
        <w:t>与之相对</w:t>
      </w:r>
      <w:r>
        <w:rPr>
          <w:rFonts w:ascii="宋体" w:hAnsi="宋体" w:cs="宋体" w:eastAsia="宋体" w:hint="ascii"/>
          <w:sz w:val="21"/>
          <w:spacing w:val="5"/>
        </w:rPr>
        <w:t>应</w:t>
      </w:r>
      <w:r>
        <w:rPr>
          <w:rFonts w:ascii="宋体" w:hAnsi="宋体" w:cs="宋体" w:eastAsia="宋体" w:hint="ascii"/>
          <w:sz w:val="21"/>
          <w:spacing w:val="4"/>
        </w:rPr>
        <w:t>的代</w:t>
      </w:r>
      <w:r>
        <w:rPr>
          <w:rFonts w:ascii="宋体" w:hAnsi="宋体" w:cs="宋体" w:eastAsia="宋体" w:hint="ascii"/>
          <w:sz w:val="21"/>
          <w:spacing w:val="5"/>
        </w:rPr>
        <w:t>码</w:t>
      </w:r>
      <w:r>
        <w:rPr>
          <w:rFonts w:ascii="宋体" w:hAnsi="宋体" w:cs="宋体" w:eastAsia="宋体" w:hint="ascii"/>
          <w:b w:val="1"/>
          <w:sz w:val="21"/>
          <w:spacing w:val="5"/>
        </w:rPr>
        <w:t>。</w:t>
      </w:r>
      <w:r>
        <w:rPr>
          <w:rFonts w:ascii="宋体" w:hAnsi="宋体" w:cs="宋体" w:eastAsia="宋体" w:hint="ascii"/>
          <w:sz w:val="21"/>
        </w:rPr>
        <w:t>此外，非立项领域申请的重点项目除了按常规要求撰写申请书外，</w:t>
      </w:r>
      <w:r>
        <w:rPr>
          <w:rFonts w:ascii="宋体" w:hAnsi="宋体" w:cs="宋体" w:eastAsia="宋体" w:hint="ascii"/>
          <w:sz w:val="21"/>
        </w:rPr>
        <w:t>还需要在申请书正文部</w:t>
      </w:r>
      <w:r>
        <w:rPr>
          <w:rFonts w:ascii="宋体" w:hAnsi="宋体" w:cs="宋体" w:eastAsia="宋体" w:hint="ascii"/>
          <w:sz w:val="21"/>
          <w:spacing w:val="2"/>
        </w:rPr>
        <w:t>分的最后增加一</w:t>
      </w:r>
      <w:r>
        <w:rPr>
          <w:rFonts w:ascii="宋体" w:hAnsi="宋体" w:cs="宋体" w:eastAsia="宋体" w:hint="ascii"/>
          <w:sz w:val="21"/>
          <w:spacing w:val="16"/>
        </w:rPr>
        <w:t>项</w:t>
      </w:r>
      <w:r>
        <w:rPr>
          <w:rFonts w:ascii="Times New Roman" w:hAnsi="Times New Roman" w:cs="Times New Roman" w:eastAsia="Times New Roman" w:hint="ascii"/>
          <w:b w:val="1"/>
          <w:sz w:val="21"/>
          <w:spacing w:val="-1"/>
        </w:rPr>
        <w:t>80</w:t>
      </w:r>
      <w:r>
        <w:rPr>
          <w:rFonts w:ascii="Times New Roman" w:hAnsi="Times New Roman" w:cs="Times New Roman" w:eastAsia="Times New Roman" w:hint="ascii"/>
          <w:b w:val="1"/>
          <w:sz w:val="21"/>
          <w:spacing w:val="31"/>
        </w:rPr>
        <w:t>0</w:t>
      </w:r>
      <w:r>
        <w:rPr>
          <w:rFonts w:ascii="宋体" w:hAnsi="宋体" w:cs="宋体" w:eastAsia="宋体" w:hint="ascii"/>
          <w:sz w:val="21"/>
          <w:spacing w:val="2"/>
        </w:rPr>
        <w:t>字左右的“关于已取得重要创新性进展的情况说明</w:t>
      </w:r>
      <w:r>
        <w:rPr>
          <w:rFonts w:ascii="宋体" w:hAnsi="宋体" w:cs="宋体" w:eastAsia="宋体" w:hint="ascii"/>
          <w:sz w:val="21"/>
          <w:spacing w:val="-50"/>
        </w:rPr>
        <w:t>”</w:t>
      </w:r>
      <w:r>
        <w:rPr>
          <w:rFonts w:ascii="宋体" w:hAnsi="宋体" w:cs="宋体" w:eastAsia="宋体" w:hint="ascii"/>
          <w:sz w:val="21"/>
          <w:spacing w:val="2"/>
        </w:rPr>
        <w:t>，</w:t>
      </w:r>
      <w:r>
        <w:rPr>
          <w:rFonts w:ascii="宋体" w:hAnsi="宋体" w:cs="宋体" w:eastAsia="宋体" w:hint="ascii"/>
          <w:sz w:val="21"/>
          <w:spacing w:val="2"/>
        </w:rPr>
        <w:t>在此</w:t>
      </w:r>
      <w:r>
        <w:rPr>
          <w:rFonts w:ascii="宋体" w:hAnsi="宋体" w:cs="宋体" w:eastAsia="宋体" w:hint="ascii"/>
          <w:sz w:val="21"/>
          <w:spacing w:val="3"/>
        </w:rPr>
        <w:t>说</w:t>
      </w:r>
      <w:r>
        <w:rPr>
          <w:rFonts w:ascii="宋体" w:hAnsi="宋体" w:cs="宋体" w:eastAsia="宋体" w:hint="ascii"/>
          <w:sz w:val="21"/>
        </w:rPr>
        <w:t>明中着重阐述重点项目申请的理由，与本次申请密切相关的重要创新性进展、相关的工作基础以及在国际重要学术期刊发表的论文及其影响情况等。对于本次申请所依据的“已取得重要进展”的代表性论文，要求必须是申请人本人</w:t>
      </w:r>
      <w:r>
        <w:rPr>
          <w:rFonts w:ascii="宋体" w:hAnsi="宋体" w:cs="宋体" w:eastAsia="宋体" w:hint="ascii"/>
          <w:sz w:val="21"/>
          <w:spacing w:val="12"/>
        </w:rPr>
        <w:t>近</w:t>
      </w:r>
      <w:r>
        <w:rPr>
          <w:rFonts w:ascii="Times New Roman" w:hAnsi="Times New Roman" w:cs="Times New Roman" w:eastAsia="Times New Roman" w:hint="ascii"/>
          <w:sz w:val="21"/>
          <w:spacing w:val="23"/>
        </w:rPr>
        <w:t>3</w:t>
      </w:r>
      <w:r>
        <w:rPr>
          <w:rFonts w:ascii="宋体" w:hAnsi="宋体" w:cs="宋体" w:eastAsia="宋体" w:hint="ascii"/>
          <w:sz w:val="21"/>
        </w:rPr>
        <w:t>年（</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5"/>
        </w:rPr>
        <w:t>5</w:t>
      </w:r>
      <w:r>
        <w:rPr>
          <w:rFonts w:ascii="宋体" w:hAnsi="宋体" w:cs="宋体" w:eastAsia="宋体" w:hint="ascii"/>
          <w:sz w:val="21"/>
        </w:rPr>
        <w:t>年以来）发表的第</w:t>
      </w:r>
    </w:p>
    <w:p>
      <w:pPr>
        <w:autoSpaceDE w:val="0"/>
        <w:autoSpaceDN w:val="0"/>
        <w:jc w:val="left"/>
        <w:spacing w:before="40" w:after="0" w:lineRule="exact" w:line="263"/>
        <w:ind w:right="0" w:left="104" w:firstLine="0"/>
        <w:snapToGrid w:val="0"/>
        <w:textAlignment w:val="auto"/>
        <w:tabs/>
        <w:rPr>
          <w:rFonts w:ascii="宋体" w:hAnsi="宋体" w:cs="宋体" w:eastAsia="宋体" w:hint="ascii"/>
          <w:sz w:val="21"/>
        </w:rPr>
      </w:pPr>
      <w:r>
        <w:rPr>
          <w:rFonts w:ascii="宋体" w:hAnsi="宋体" w:cs="宋体" w:eastAsia="宋体" w:hint="ascii"/>
          <w:sz w:val="21"/>
        </w:rPr>
        <w:t>一作者或通讯作者论文。</w:t>
      </w:r>
    </w:p>
    <w:p>
      <w:pPr>
        <w:autoSpaceDE w:val="0"/>
        <w:autoSpaceDN w:val="0"/>
        <w:jc w:val="left"/>
        <w:spacing w:before="286" w:after="0" w:lineRule="exact" w:line="225"/>
        <w:ind w:right="0" w:left="104" w:firstLine="0"/>
        <w:snapToGrid w:val="0"/>
        <w:textAlignment w:val="auto"/>
        <w:tabs/>
        <w:sectPr>
          <w:pgSz w:w="10940" w:h="15080" w:orient="portrait"/>
          <w:pgMar w:top="508" w:right="508" w:bottom="508" w:left="1369"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）凡在生命科学部申请重点项目者（包括按立项领域申请和非立项领域申请</w:t>
      </w:r>
      <w:r>
        <w:rPr>
          <w:rFonts w:ascii="宋体" w:hAnsi="宋体" w:cs="宋体" w:eastAsia="宋体" w:hint="ascii"/>
          <w:sz w:val="21"/>
          <w:spacing w:val="-51"/>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53" locked="0" layoutInCell="1" allowOverlap="1">
                <wp:simplePos x="0" y="0"/>
                <wp:positionH relativeFrom="page">
                  <wp:posOffset>938530</wp:posOffset>
                </wp:positionH>
                <wp:positionV relativeFrom="page">
                  <wp:posOffset>819150</wp:posOffset>
                </wp:positionV>
                <wp:extent cx="5076190" cy="0"/>
                <wp:wrapNone/>
                <wp:docPr id="1182" name="118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501568;width:399.70pt;" id="118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12"/>
        <w:ind w:right="962" w:left="0" w:firstLine="0"/>
        <w:snapToGrid w:val="0"/>
        <w:textAlignment w:val="auto"/>
        <w:tabs/>
        <w:rPr>
          <w:rFonts w:ascii="宋体" w:hAnsi="宋体" w:cs="宋体" w:eastAsia="宋体" w:hint="ascii"/>
          <w:sz w:val="21"/>
        </w:rPr>
      </w:pPr>
      <w:r>
        <w:rPr>
          <w:rFonts w:ascii="宋体" w:hAnsi="宋体" w:cs="宋体" w:eastAsia="宋体" w:hint="ascii"/>
          <w:sz w:val="21"/>
        </w:rPr>
        <w:t>要求提</w:t>
      </w:r>
      <w:r>
        <w:rPr>
          <w:rFonts w:ascii="宋体" w:hAnsi="宋体" w:cs="宋体" w:eastAsia="宋体" w:hint="ascii"/>
          <w:sz w:val="21"/>
          <w:spacing w:val="13"/>
        </w:rPr>
        <w:t>交</w:t>
      </w:r>
      <w:r>
        <w:rPr>
          <w:rFonts w:ascii="Times New Roman" w:hAnsi="Times New Roman" w:cs="Times New Roman" w:eastAsia="Times New Roman" w:hint="ascii"/>
          <w:sz w:val="21"/>
          <w:spacing w:val="27"/>
        </w:rPr>
        <w:t>5</w:t>
      </w:r>
      <w:r>
        <w:rPr>
          <w:rFonts w:ascii="宋体" w:hAnsi="宋体" w:cs="宋体" w:eastAsia="宋体" w:hint="ascii"/>
          <w:sz w:val="21"/>
        </w:rPr>
        <w:t>篇申请人本人</w:t>
      </w:r>
      <w:r>
        <w:rPr>
          <w:rFonts w:ascii="宋体" w:hAnsi="宋体" w:cs="宋体" w:eastAsia="宋体" w:hint="ascii"/>
          <w:sz w:val="21"/>
          <w:spacing w:val="13"/>
        </w:rPr>
        <w:t>近</w:t>
      </w:r>
      <w:r>
        <w:rPr>
          <w:rFonts w:ascii="Times New Roman" w:hAnsi="Times New Roman" w:cs="Times New Roman" w:eastAsia="Times New Roman" w:hint="ascii"/>
          <w:sz w:val="21"/>
          <w:spacing w:val="27"/>
        </w:rPr>
        <w:t>5</w:t>
      </w:r>
      <w:r>
        <w:rPr>
          <w:rFonts w:ascii="宋体" w:hAnsi="宋体" w:cs="宋体" w:eastAsia="宋体" w:hint="ascii"/>
          <w:sz w:val="21"/>
        </w:rPr>
        <w:t>年（</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7"/>
        </w:rPr>
        <w:t>3</w:t>
      </w:r>
      <w:r>
        <w:rPr>
          <w:rFonts w:ascii="宋体" w:hAnsi="宋体" w:cs="宋体" w:eastAsia="宋体" w:hint="ascii"/>
          <w:sz w:val="21"/>
        </w:rPr>
        <w:t>年以来）发表的与本次申请内容相关的第一作者或通讯作者的代表性论文首页（以附件的形式上传</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auto" w:line="240"/>
        <w:ind w:right="0" w:left="-10" w:firstLine="657"/>
        <w:snapToGrid w:val="0"/>
        <w:textAlignment w:val="auto"/>
        <w:tabs>
          <w:tab w:val="left" w:leader="none" w:pos="874"/>
        </w:tabs>
        <w:numPr>
          <w:ilvl w:val="0"/>
          <w:numId w:val="81"/>
        </w:numPr>
        <w:rPr>
          <w:rFonts w:ascii="Times New Roman" w:hAnsi="Times New Roman" w:cs="Times New Roman" w:eastAsia="Times New Roman" w:hint="ascii"/>
          <w:sz w:val="21"/>
          <w:spacing w:val="1"/>
        </w:rPr>
      </w:pPr>
      <w:r>
        <w:rPr>
          <w:rFonts w:ascii="宋体" w:hAnsi="宋体" w:cs="宋体" w:eastAsia="宋体" w:hint="ascii"/>
          <w:sz w:val="21"/>
          <w:spacing w:val="3"/>
        </w:rPr>
        <w:t>年度</w:t>
      </w:r>
      <w:r>
        <w:rPr>
          <w:rFonts w:ascii="宋体" w:hAnsi="宋体" w:cs="宋体" w:eastAsia="宋体" w:hint="ascii"/>
          <w:sz w:val="21"/>
        </w:rPr>
        <w:t>按</w:t>
      </w:r>
      <w:r>
        <w:rPr>
          <w:rFonts w:ascii="宋体" w:hAnsi="宋体" w:cs="宋体" w:eastAsia="宋体" w:hint="ascii"/>
          <w:sz w:val="21"/>
          <w:spacing w:val="3"/>
        </w:rPr>
        <w:t>照自</w:t>
      </w:r>
      <w:r>
        <w:rPr>
          <w:rFonts w:ascii="宋体" w:hAnsi="宋体" w:cs="宋体" w:eastAsia="宋体" w:hint="ascii"/>
          <w:sz w:val="21"/>
        </w:rPr>
        <w:t>然</w:t>
      </w:r>
      <w:r>
        <w:rPr>
          <w:rFonts w:ascii="宋体" w:hAnsi="宋体" w:cs="宋体" w:eastAsia="宋体" w:hint="ascii"/>
          <w:sz w:val="21"/>
          <w:spacing w:val="3"/>
        </w:rPr>
        <w:t>科</w:t>
      </w:r>
      <w:r>
        <w:rPr>
          <w:rFonts w:ascii="宋体" w:hAnsi="宋体" w:cs="宋体" w:eastAsia="宋体" w:hint="ascii"/>
          <w:sz w:val="21"/>
        </w:rPr>
        <w:t>学</w:t>
      </w:r>
      <w:r>
        <w:rPr>
          <w:rFonts w:ascii="宋体" w:hAnsi="宋体" w:cs="宋体" w:eastAsia="宋体" w:hint="ascii"/>
          <w:sz w:val="21"/>
          <w:spacing w:val="3"/>
        </w:rPr>
        <w:t>基金</w:t>
      </w:r>
      <w:r>
        <w:rPr>
          <w:rFonts w:ascii="宋体" w:hAnsi="宋体" w:cs="宋体" w:eastAsia="宋体" w:hint="ascii"/>
          <w:sz w:val="21"/>
        </w:rPr>
        <w:t>委</w:t>
      </w:r>
      <w:r>
        <w:rPr>
          <w:rFonts w:ascii="宋体" w:hAnsi="宋体" w:cs="宋体" w:eastAsia="宋体" w:hint="ascii"/>
          <w:sz w:val="21"/>
          <w:spacing w:val="3"/>
        </w:rPr>
        <w:t>重</w:t>
      </w:r>
      <w:r>
        <w:rPr>
          <w:rFonts w:ascii="宋体" w:hAnsi="宋体" w:cs="宋体" w:eastAsia="宋体" w:hint="ascii"/>
          <w:sz w:val="21"/>
        </w:rPr>
        <w:t>点</w:t>
      </w:r>
      <w:r>
        <w:rPr>
          <w:rFonts w:ascii="宋体" w:hAnsi="宋体" w:cs="宋体" w:eastAsia="宋体" w:hint="ascii"/>
          <w:sz w:val="21"/>
          <w:spacing w:val="3"/>
        </w:rPr>
        <w:t>项目</w:t>
      </w:r>
      <w:r>
        <w:rPr>
          <w:rFonts w:ascii="宋体" w:hAnsi="宋体" w:cs="宋体" w:eastAsia="宋体" w:hint="ascii"/>
          <w:sz w:val="21"/>
        </w:rPr>
        <w:t>的</w:t>
      </w:r>
      <w:r>
        <w:rPr>
          <w:rFonts w:ascii="宋体" w:hAnsi="宋体" w:cs="宋体" w:eastAsia="宋体" w:hint="ascii"/>
          <w:sz w:val="21"/>
          <w:spacing w:val="3"/>
        </w:rPr>
        <w:t>总</w:t>
      </w:r>
      <w:r>
        <w:rPr>
          <w:rFonts w:ascii="宋体" w:hAnsi="宋体" w:cs="宋体" w:eastAsia="宋体" w:hint="ascii"/>
          <w:sz w:val="21"/>
        </w:rPr>
        <w:t>体</w:t>
      </w:r>
      <w:r>
        <w:rPr>
          <w:rFonts w:ascii="宋体" w:hAnsi="宋体" w:cs="宋体" w:eastAsia="宋体" w:hint="ascii"/>
          <w:sz w:val="21"/>
          <w:spacing w:val="3"/>
        </w:rPr>
        <w:t>布局</w:t>
      </w:r>
      <w:r>
        <w:rPr>
          <w:rFonts w:ascii="宋体" w:hAnsi="宋体" w:cs="宋体" w:eastAsia="宋体" w:hint="ascii"/>
          <w:sz w:val="21"/>
        </w:rPr>
        <w:t>，</w:t>
      </w:r>
      <w:r>
        <w:rPr>
          <w:rFonts w:ascii="宋体" w:hAnsi="宋体" w:cs="宋体" w:eastAsia="宋体" w:hint="ascii"/>
          <w:sz w:val="21"/>
          <w:spacing w:val="3"/>
        </w:rPr>
        <w:t>生</w:t>
      </w:r>
      <w:r>
        <w:rPr>
          <w:rFonts w:ascii="宋体" w:hAnsi="宋体" w:cs="宋体" w:eastAsia="宋体" w:hint="ascii"/>
          <w:sz w:val="21"/>
        </w:rPr>
        <w:t>命</w:t>
      </w:r>
      <w:r>
        <w:rPr>
          <w:rFonts w:ascii="宋体" w:hAnsi="宋体" w:cs="宋体" w:eastAsia="宋体" w:hint="ascii"/>
          <w:sz w:val="21"/>
          <w:spacing w:val="3"/>
        </w:rPr>
        <w:t>科学</w:t>
      </w:r>
      <w:r>
        <w:rPr>
          <w:rFonts w:ascii="宋体" w:hAnsi="宋体" w:cs="宋体" w:eastAsia="宋体" w:hint="ascii"/>
          <w:sz w:val="21"/>
        </w:rPr>
        <w:t>部</w:t>
      </w:r>
      <w:r>
        <w:rPr>
          <w:rFonts w:ascii="宋体" w:hAnsi="宋体" w:cs="宋体" w:eastAsia="宋体" w:hint="ascii"/>
          <w:sz w:val="21"/>
          <w:spacing w:val="3"/>
        </w:rPr>
        <w:t>计</w:t>
      </w:r>
      <w:r>
        <w:rPr>
          <w:rFonts w:ascii="宋体" w:hAnsi="宋体" w:cs="宋体" w:eastAsia="宋体" w:hint="ascii"/>
          <w:sz w:val="21"/>
        </w:rPr>
        <w:t>划</w:t>
      </w:r>
      <w:r>
        <w:rPr>
          <w:rFonts w:ascii="宋体" w:hAnsi="宋体" w:cs="宋体" w:eastAsia="宋体" w:hint="ascii"/>
          <w:sz w:val="21"/>
          <w:spacing w:val="3"/>
        </w:rPr>
        <w:t>安排</w:t>
      </w:r>
      <w:r>
        <w:rPr>
          <w:rFonts w:ascii="宋体" w:hAnsi="宋体" w:cs="宋体" w:eastAsia="宋体" w:hint="ascii"/>
          <w:sz w:val="21"/>
        </w:rPr>
        <w:t>重</w:t>
      </w:r>
      <w:r>
        <w:rPr>
          <w:rFonts w:ascii="宋体" w:hAnsi="宋体" w:cs="宋体" w:eastAsia="宋体" w:hint="ascii"/>
          <w:sz w:val="21"/>
          <w:spacing w:val="3"/>
        </w:rPr>
        <w:t>点</w:t>
      </w:r>
      <w:r>
        <w:rPr>
          <w:rFonts w:ascii="宋体" w:hAnsi="宋体" w:cs="宋体" w:eastAsia="宋体" w:hint="ascii"/>
          <w:sz w:val="21"/>
        </w:rPr>
        <w:t>项</w:t>
      </w:r>
    </w:p>
    <w:p>
      <w:pPr>
        <w:autoSpaceDE w:val="0"/>
        <w:autoSpaceDN w:val="0"/>
        <w:jc w:val="both"/>
        <w:spacing w:before="17" w:after="0" w:lineRule="exact" w:line="312"/>
        <w:ind w:right="982" w:left="0" w:firstLine="0"/>
        <w:snapToGrid w:val="0"/>
        <w:textAlignment w:val="auto"/>
        <w:tabs/>
        <w:rPr>
          <w:rFonts w:ascii="宋体" w:hAnsi="宋体" w:cs="宋体" w:eastAsia="宋体" w:hint="ascii"/>
          <w:sz w:val="21"/>
        </w:rPr>
      </w:pPr>
      <w:r>
        <w:rPr>
          <w:rFonts w:ascii="宋体" w:hAnsi="宋体" w:cs="宋体" w:eastAsia="宋体" w:hint="ascii"/>
          <w:sz w:val="21"/>
        </w:rPr>
        <w:t>目直接费用</w:t>
      </w:r>
      <w:r>
        <w:rPr>
          <w:rFonts w:ascii="宋体" w:hAnsi="宋体" w:cs="宋体" w:eastAsia="宋体" w:hint="ascii"/>
          <w:sz w:val="21"/>
          <w:spacing w:val="15"/>
        </w:rPr>
        <w:t>约</w:t>
      </w:r>
      <w:r>
        <w:rPr>
          <w:rFonts w:ascii="Times New Roman" w:hAnsi="Times New Roman" w:cs="Times New Roman" w:eastAsia="Times New Roman" w:hint="ascii"/>
          <w:sz w:val="21"/>
        </w:rPr>
        <w:t>3.3</w:t>
      </w:r>
      <w:r>
        <w:rPr>
          <w:rFonts w:ascii="Times New Roman" w:hAnsi="Times New Roman" w:cs="Times New Roman" w:eastAsia="Times New Roman" w:hint="ascii"/>
          <w:sz w:val="21"/>
          <w:spacing w:val="33"/>
        </w:rPr>
        <w:t>5</w:t>
      </w:r>
      <w:r>
        <w:rPr>
          <w:rFonts w:ascii="宋体" w:hAnsi="宋体" w:cs="宋体" w:eastAsia="宋体" w:hint="ascii"/>
          <w:sz w:val="21"/>
        </w:rPr>
        <w:t>亿元，资</w:t>
      </w:r>
      <w:r>
        <w:rPr>
          <w:rFonts w:ascii="宋体" w:hAnsi="宋体" w:cs="宋体" w:eastAsia="宋体" w:hint="ascii"/>
          <w:sz w:val="21"/>
          <w:spacing w:val="14"/>
        </w:rPr>
        <w:t>助</w:t>
      </w:r>
      <w:r>
        <w:rPr>
          <w:rFonts w:ascii="Times New Roman" w:hAnsi="Times New Roman" w:cs="Times New Roman" w:eastAsia="Times New Roman" w:hint="ascii"/>
          <w:sz w:val="21"/>
          <w:spacing w:val="-5"/>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3"/>
        </w:rPr>
        <w:t>2</w:t>
      </w:r>
      <w:r>
        <w:rPr>
          <w:rFonts w:ascii="宋体" w:hAnsi="宋体" w:cs="宋体" w:eastAsia="宋体" w:hint="ascii"/>
          <w:sz w:val="21"/>
        </w:rPr>
        <w:t>项左右，直接费用平均资助强度</w:t>
      </w:r>
      <w:r>
        <w:rPr>
          <w:rFonts w:ascii="宋体" w:hAnsi="宋体" w:cs="宋体" w:eastAsia="宋体" w:hint="ascii"/>
          <w:sz w:val="21"/>
          <w:spacing w:val="14"/>
        </w:rPr>
        <w:t>与</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33"/>
        </w:rPr>
        <w:t>7</w:t>
      </w:r>
      <w:r>
        <w:rPr>
          <w:rFonts w:ascii="宋体" w:hAnsi="宋体" w:cs="宋体" w:eastAsia="宋体" w:hint="ascii"/>
          <w:sz w:val="21"/>
        </w:rPr>
        <w:t>年度持平</w:t>
      </w:r>
      <w:r>
        <w:rPr>
          <w:rFonts w:ascii="宋体" w:hAnsi="宋体" w:cs="宋体" w:eastAsia="宋体" w:hint="ascii"/>
          <w:sz w:val="21"/>
          <w:spacing w:val="-6"/>
        </w:rPr>
        <w:t>。</w:t>
      </w:r>
      <w:r>
        <w:rPr>
          <w:rFonts w:ascii="宋体" w:hAnsi="宋体" w:cs="宋体" w:eastAsia="宋体" w:hint="ascii"/>
          <w:sz w:val="21"/>
        </w:rPr>
        <w:t>请申请人</w:t>
      </w:r>
      <w:r>
        <w:rPr>
          <w:rFonts w:ascii="宋体" w:hAnsi="宋体" w:cs="宋体" w:eastAsia="宋体" w:hint="ascii"/>
          <w:sz w:val="21"/>
          <w:spacing w:val="-1"/>
        </w:rPr>
        <w:t>根</w:t>
      </w:r>
      <w:r>
        <w:rPr>
          <w:rFonts w:ascii="宋体" w:hAnsi="宋体" w:cs="宋体" w:eastAsia="宋体" w:hint="ascii"/>
          <w:sz w:val="21"/>
        </w:rPr>
        <w:t>据自己的</w:t>
      </w:r>
      <w:r>
        <w:rPr>
          <w:rFonts w:ascii="宋体" w:hAnsi="宋体" w:cs="宋体" w:eastAsia="宋体" w:hint="ascii"/>
          <w:sz w:val="21"/>
          <w:spacing w:val="-1"/>
        </w:rPr>
        <w:t>研</w:t>
      </w:r>
      <w:r>
        <w:rPr>
          <w:rFonts w:ascii="宋体" w:hAnsi="宋体" w:cs="宋体" w:eastAsia="宋体" w:hint="ascii"/>
          <w:sz w:val="21"/>
        </w:rPr>
        <w:t>究需要实</w:t>
      </w:r>
      <w:r>
        <w:rPr>
          <w:rFonts w:ascii="宋体" w:hAnsi="宋体" w:cs="宋体" w:eastAsia="宋体" w:hint="ascii"/>
          <w:sz w:val="21"/>
          <w:spacing w:val="-1"/>
        </w:rPr>
        <w:t>事</w:t>
      </w:r>
      <w:r>
        <w:rPr>
          <w:rFonts w:ascii="宋体" w:hAnsi="宋体" w:cs="宋体" w:eastAsia="宋体" w:hint="ascii"/>
          <w:sz w:val="21"/>
        </w:rPr>
        <w:t>求是地提</w:t>
      </w:r>
      <w:r>
        <w:rPr>
          <w:rFonts w:ascii="宋体" w:hAnsi="宋体" w:cs="宋体" w:eastAsia="宋体" w:hint="ascii"/>
          <w:sz w:val="21"/>
          <w:spacing w:val="-1"/>
        </w:rPr>
        <w:t>出</w:t>
      </w:r>
      <w:r>
        <w:rPr>
          <w:rFonts w:ascii="宋体" w:hAnsi="宋体" w:cs="宋体" w:eastAsia="宋体" w:hint="ascii"/>
          <w:sz w:val="21"/>
        </w:rPr>
        <w:t>合理的资</w:t>
      </w:r>
      <w:r>
        <w:rPr>
          <w:rFonts w:ascii="宋体" w:hAnsi="宋体" w:cs="宋体" w:eastAsia="宋体" w:hint="ascii"/>
          <w:sz w:val="21"/>
          <w:spacing w:val="-1"/>
        </w:rPr>
        <w:t>金</w:t>
      </w:r>
      <w:r>
        <w:rPr>
          <w:rFonts w:ascii="宋体" w:hAnsi="宋体" w:cs="宋体" w:eastAsia="宋体" w:hint="ascii"/>
          <w:sz w:val="21"/>
        </w:rPr>
        <w:t>预算。重</w:t>
      </w:r>
      <w:r>
        <w:rPr>
          <w:rFonts w:ascii="宋体" w:hAnsi="宋体" w:cs="宋体" w:eastAsia="宋体" w:hint="ascii"/>
          <w:sz w:val="21"/>
          <w:spacing w:val="-1"/>
        </w:rPr>
        <w:t>点</w:t>
      </w:r>
      <w:r>
        <w:rPr>
          <w:rFonts w:ascii="宋体" w:hAnsi="宋体" w:cs="宋体" w:eastAsia="宋体" w:hint="ascii"/>
          <w:sz w:val="21"/>
        </w:rPr>
        <w:t>项目的资</w:t>
      </w:r>
      <w:r>
        <w:rPr>
          <w:rFonts w:ascii="宋体" w:hAnsi="宋体" w:cs="宋体" w:eastAsia="宋体" w:hint="ascii"/>
          <w:sz w:val="21"/>
          <w:spacing w:val="-1"/>
        </w:rPr>
        <w:t>助</w:t>
      </w:r>
      <w:r>
        <w:rPr>
          <w:rFonts w:ascii="宋体" w:hAnsi="宋体" w:cs="宋体" w:eastAsia="宋体" w:hint="ascii"/>
          <w:sz w:val="21"/>
        </w:rPr>
        <w:t>期</w:t>
      </w:r>
      <w:r>
        <w:rPr>
          <w:rFonts w:ascii="宋体" w:hAnsi="宋体" w:cs="宋体" w:eastAsia="宋体" w:hint="ascii"/>
          <w:sz w:val="21"/>
          <w:spacing w:val="-6"/>
        </w:rPr>
        <w:t>限</w:t>
      </w:r>
      <w:r>
        <w:rPr>
          <w:rFonts w:ascii="宋体" w:hAnsi="宋体" w:cs="宋体" w:eastAsia="宋体" w:hint="ascii"/>
          <w:sz w:val="21"/>
          <w:spacing w:val="16"/>
        </w:rPr>
        <w:t>为</w:t>
      </w:r>
      <w:r>
        <w:rPr>
          <w:rFonts w:ascii="Times New Roman" w:hAnsi="Times New Roman" w:cs="Times New Roman" w:eastAsia="Times New Roman" w:hint="ascii"/>
          <w:sz w:val="21"/>
          <w:spacing w:val="31"/>
        </w:rPr>
        <w:t>5</w:t>
      </w:r>
      <w:r>
        <w:rPr>
          <w:rFonts w:ascii="宋体" w:hAnsi="宋体" w:cs="宋体" w:eastAsia="宋体" w:hint="ascii"/>
          <w:sz w:val="21"/>
        </w:rPr>
        <w:t>年。</w:t>
      </w:r>
    </w:p>
    <w:p>
      <w:pPr>
        <w:autoSpaceDE w:val="0"/>
        <w:autoSpaceDN w:val="0"/>
        <w:jc w:val="left"/>
        <w:spacing w:before="40" w:after="0" w:lineRule="auto" w:line="240"/>
        <w:ind w:right="0" w:left="0" w:firstLine="420"/>
        <w:snapToGrid w:val="0"/>
        <w:textAlignment w:val="auto"/>
        <w:tabs>
          <w:tab w:val="left" w:leader="none" w:pos="863"/>
        </w:tabs>
        <w:numPr>
          <w:ilvl w:val="0"/>
          <w:numId w:val="79"/>
        </w:numPr>
        <w:rPr>
          <w:rFonts w:ascii="Times New Roman" w:hAnsi="Times New Roman" w:cs="Times New Roman" w:eastAsia="Times New Roman" w:hint="ascii"/>
          <w:sz w:val="21"/>
          <w:spacing w:val="1"/>
        </w:rPr>
      </w:pPr>
      <w:r>
        <w:rPr>
          <w:rFonts w:ascii="宋体" w:hAnsi="宋体" w:cs="宋体" w:eastAsia="宋体" w:hint="ascii"/>
          <w:sz w:val="21"/>
        </w:rPr>
        <w:t>年度重点项目立项领域：</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陆地微生物与环境的关系（</w:t>
      </w:r>
      <w:r>
        <w:rPr>
          <w:rFonts w:ascii="Times New Roman" w:hAnsi="Times New Roman" w:cs="Times New Roman" w:eastAsia="Times New Roman" w:hint="ascii"/>
          <w:b w:val="1"/>
          <w:sz w:val="21"/>
        </w:rPr>
        <w:t>C0105</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微生物致病机理与耐药机制（</w:t>
      </w:r>
      <w:r>
        <w:rPr>
          <w:rFonts w:ascii="Times New Roman" w:hAnsi="Times New Roman" w:cs="Times New Roman" w:eastAsia="Times New Roman" w:hint="ascii"/>
          <w:b w:val="1"/>
          <w:sz w:val="21"/>
        </w:rPr>
        <w:t>C0106</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植物适应性进化的分子机制（</w:t>
      </w:r>
      <w:r>
        <w:rPr>
          <w:rFonts w:ascii="Times New Roman" w:hAnsi="Times New Roman" w:cs="Times New Roman" w:eastAsia="Times New Roman" w:hint="ascii"/>
          <w:b w:val="1"/>
          <w:sz w:val="21"/>
        </w:rPr>
        <w:t>C0203</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植物细胞结构与功能（</w:t>
      </w:r>
      <w:r>
        <w:rPr>
          <w:rFonts w:ascii="Times New Roman" w:hAnsi="Times New Roman" w:cs="Times New Roman" w:eastAsia="Times New Roman" w:hint="ascii"/>
          <w:b w:val="1"/>
          <w:sz w:val="21"/>
        </w:rPr>
        <w:t>C0201</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植物代谢途径与调控的分子机制（</w:t>
      </w:r>
      <w:r>
        <w:rPr>
          <w:rFonts w:ascii="Times New Roman" w:hAnsi="Times New Roman" w:cs="Times New Roman" w:eastAsia="Times New Roman" w:hint="ascii"/>
          <w:b w:val="1"/>
          <w:sz w:val="21"/>
        </w:rPr>
        <w:t>C0204</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退化或污染生态系统恢复与重建机制（</w:t>
      </w:r>
      <w:r>
        <w:rPr>
          <w:rFonts w:ascii="Times New Roman" w:hAnsi="Times New Roman" w:cs="Times New Roman" w:eastAsia="Times New Roman" w:hint="ascii"/>
          <w:b w:val="1"/>
          <w:sz w:val="21"/>
        </w:rPr>
        <w:t>C0312</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全球变化对生物多样性和生态系统的影响（</w:t>
      </w:r>
      <w:r>
        <w:rPr>
          <w:rFonts w:ascii="Times New Roman" w:hAnsi="Times New Roman" w:cs="Times New Roman" w:eastAsia="Times New Roman" w:hint="ascii"/>
          <w:b w:val="1"/>
          <w:sz w:val="21"/>
        </w:rPr>
        <w:t>C0308</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物种协同进化与群落构建（</w:t>
      </w:r>
      <w:r>
        <w:rPr>
          <w:rFonts w:ascii="Times New Roman" w:hAnsi="Times New Roman" w:cs="Times New Roman" w:eastAsia="Times New Roman" w:hint="ascii"/>
          <w:b w:val="1"/>
          <w:sz w:val="21"/>
        </w:rPr>
        <w:t>C0305</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32"/>
        </w:numPr>
        <w:rPr>
          <w:rFonts w:ascii="Times New Roman" w:hAnsi="Times New Roman" w:cs="Times New Roman" w:eastAsia="Times New Roman" w:hint="ascii"/>
          <w:sz w:val="21"/>
        </w:rPr>
      </w:pPr>
      <w:r>
        <w:rPr>
          <w:rFonts w:ascii="宋体" w:hAnsi="宋体" w:cs="宋体" w:eastAsia="宋体" w:hint="ascii"/>
          <w:sz w:val="21"/>
        </w:rPr>
        <w:t>森林资源高精度监测与评估的理论与方法（</w:t>
      </w:r>
      <w:r>
        <w:rPr>
          <w:rFonts w:ascii="Times New Roman" w:hAnsi="Times New Roman" w:cs="Times New Roman" w:eastAsia="Times New Roman" w:hint="ascii"/>
          <w:b w:val="1"/>
          <w:sz w:val="21"/>
        </w:rPr>
        <w:t>C1602</w:t>
      </w:r>
      <w:r>
        <w:rPr>
          <w:rFonts w:ascii="宋体" w:hAnsi="宋体" w:cs="宋体" w:eastAsia="宋体" w:hint="ascii"/>
          <w:sz w:val="21"/>
        </w:rPr>
        <w:t>）</w:t>
      </w:r>
    </w:p>
    <w:p>
      <w:pPr>
        <w:autoSpaceDE w:val="0"/>
        <w:autoSpaceDN w:val="0"/>
        <w:jc w:val="left"/>
        <w:spacing w:before="57" w:after="0" w:lineRule="auto" w:line="240"/>
        <w:ind w:right="0" w:left="789" w:hanging="105"/>
        <w:snapToGrid w:val="0"/>
        <w:textAlignment w:val="auto"/>
        <w:tabs>
          <w:tab w:val="left" w:leader="none" w:pos="787"/>
        </w:tabs>
        <w:numPr>
          <w:ilvl w:val="0"/>
          <w:numId w:val="130"/>
        </w:numPr>
        <w:rPr>
          <w:rFonts w:ascii="Times New Roman" w:hAnsi="Times New Roman" w:cs="Times New Roman" w:eastAsia="Times New Roman" w:hint="ascii"/>
          <w:sz w:val="21"/>
          <w:spacing w:val="1"/>
        </w:rPr>
      </w:pPr>
      <w:r>
        <w:rPr>
          <w:rFonts w:ascii="宋体" w:hAnsi="宋体" w:cs="宋体" w:eastAsia="宋体" w:hint="ascii"/>
          <w:sz w:val="21"/>
        </w:rPr>
        <w:t>森林退化与恢复机制（</w:t>
      </w:r>
      <w:r>
        <w:rPr>
          <w:rFonts w:ascii="Times New Roman" w:hAnsi="Times New Roman" w:cs="Times New Roman" w:eastAsia="Times New Roman" w:hint="ascii"/>
          <w:b w:val="1"/>
          <w:sz w:val="21"/>
        </w:rPr>
        <w:t>C1607</w:t>
      </w:r>
      <w:r>
        <w:rPr>
          <w:rFonts w:ascii="宋体" w:hAnsi="宋体" w:cs="宋体" w:eastAsia="宋体" w:hint="ascii"/>
          <w:sz w:val="21"/>
        </w:rPr>
        <w:t>）</w:t>
      </w:r>
    </w:p>
    <w:p>
      <w:pPr>
        <w:autoSpaceDE w:val="0"/>
        <w:autoSpaceDN w:val="0"/>
        <w:jc w:val="left"/>
        <w:spacing w:before="57"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人工林培育的基础研究（</w:t>
      </w:r>
      <w:r>
        <w:rPr>
          <w:rFonts w:ascii="Times New Roman" w:hAnsi="Times New Roman" w:cs="Times New Roman" w:eastAsia="Times New Roman" w:hint="ascii"/>
          <w:b w:val="1"/>
          <w:sz w:val="21"/>
        </w:rPr>
        <w:t>C1607</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蛋白质和核酸修饰的功能和作用机制（</w:t>
      </w:r>
      <w:r>
        <w:rPr>
          <w:rFonts w:ascii="Times New Roman" w:hAnsi="Times New Roman" w:cs="Times New Roman" w:eastAsia="Times New Roman" w:hint="ascii"/>
          <w:b w:val="1"/>
          <w:sz w:val="21"/>
        </w:rPr>
        <w:t>C0502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生物大分子研究的新技术和新方法（</w:t>
      </w:r>
      <w:r>
        <w:rPr>
          <w:rFonts w:ascii="Times New Roman" w:hAnsi="Times New Roman" w:cs="Times New Roman" w:eastAsia="Times New Roman" w:hint="ascii"/>
          <w:b w:val="1"/>
          <w:sz w:val="21"/>
        </w:rPr>
        <w:t>C0508</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免疫排斥及耐受机制（</w:t>
      </w:r>
      <w:r>
        <w:rPr>
          <w:rFonts w:ascii="Times New Roman" w:hAnsi="Times New Roman" w:cs="Times New Roman" w:eastAsia="Times New Roman" w:hint="ascii"/>
          <w:b w:val="1"/>
          <w:sz w:val="21"/>
        </w:rPr>
        <w:t>C0804</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组织微环境免疫学特性（</w:t>
      </w:r>
      <w:r>
        <w:rPr>
          <w:rFonts w:ascii="Times New Roman" w:hAnsi="Times New Roman" w:cs="Times New Roman" w:eastAsia="Times New Roman" w:hint="ascii"/>
          <w:b w:val="1"/>
          <w:sz w:val="21"/>
        </w:rPr>
        <w:t>C0803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免疫细胞识别、活化及记忆形成（</w:t>
      </w:r>
      <w:r>
        <w:rPr>
          <w:rFonts w:ascii="Times New Roman" w:hAnsi="Times New Roman" w:cs="Times New Roman" w:eastAsia="Times New Roman" w:hint="ascii"/>
          <w:b w:val="1"/>
          <w:sz w:val="21"/>
        </w:rPr>
        <w:t>C0802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重要组织仿生制造的基础研究（</w:t>
      </w:r>
      <w:r>
        <w:rPr>
          <w:rFonts w:ascii="Times New Roman" w:hAnsi="Times New Roman" w:cs="Times New Roman" w:eastAsia="Times New Roman" w:hint="ascii"/>
          <w:b w:val="1"/>
          <w:sz w:val="21"/>
        </w:rPr>
        <w:t>C1003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植入材料表界面构建与机体相互作用（</w:t>
      </w:r>
      <w:r>
        <w:rPr>
          <w:rFonts w:ascii="Times New Roman" w:hAnsi="Times New Roman" w:cs="Times New Roman" w:eastAsia="Times New Roman" w:hint="ascii"/>
          <w:b w:val="1"/>
          <w:sz w:val="21"/>
        </w:rPr>
        <w:t>C1002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脑功能连接组学研究的新技术新方法（</w:t>
      </w:r>
      <w:r>
        <w:rPr>
          <w:rFonts w:ascii="Times New Roman" w:hAnsi="Times New Roman" w:cs="Times New Roman" w:eastAsia="Times New Roman" w:hint="ascii"/>
          <w:b w:val="1"/>
          <w:sz w:val="21"/>
        </w:rPr>
        <w:t>C0916</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神经胶质细胞的功能与可塑性（</w:t>
      </w:r>
      <w:r>
        <w:rPr>
          <w:rFonts w:ascii="Times New Roman" w:hAnsi="Times New Roman" w:cs="Times New Roman" w:eastAsia="Times New Roman" w:hint="ascii"/>
          <w:b w:val="1"/>
          <w:sz w:val="21"/>
        </w:rPr>
        <w:t>C0902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神经系统中离子通道功能调控及其机理（</w:t>
      </w:r>
      <w:r>
        <w:rPr>
          <w:rFonts w:ascii="Times New Roman" w:hAnsi="Times New Roman" w:cs="Times New Roman" w:eastAsia="Times New Roman" w:hint="ascii"/>
          <w:b w:val="1"/>
          <w:sz w:val="21"/>
        </w:rPr>
        <w:t>C0901</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机体（细胞、组织、器官等）代谢重塑与功能的分子机制（</w:t>
      </w:r>
      <w:r>
        <w:rPr>
          <w:rFonts w:ascii="Times New Roman" w:hAnsi="Times New Roman" w:cs="Times New Roman" w:eastAsia="Times New Roman" w:hint="ascii"/>
          <w:b w:val="1"/>
          <w:sz w:val="21"/>
        </w:rPr>
        <w:t>C</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105</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物质转运调控与机体稳态（</w:t>
      </w:r>
      <w:r>
        <w:rPr>
          <w:rFonts w:ascii="Times New Roman" w:hAnsi="Times New Roman" w:cs="Times New Roman" w:eastAsia="Times New Roman" w:hint="ascii"/>
          <w:b w:val="1"/>
          <w:sz w:val="21"/>
        </w:rPr>
        <w:t>C</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人类认知加工的心理与脑机制（</w:t>
      </w:r>
      <w:r>
        <w:rPr>
          <w:rFonts w:ascii="Times New Roman" w:hAnsi="Times New Roman" w:cs="Times New Roman" w:eastAsia="Times New Roman" w:hint="ascii"/>
          <w:b w:val="1"/>
          <w:sz w:val="21"/>
        </w:rPr>
        <w:t>C2101</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人类情绪与社会认知的心理与脑机制（</w:t>
      </w:r>
      <w:r>
        <w:rPr>
          <w:rFonts w:ascii="Times New Roman" w:hAnsi="Times New Roman" w:cs="Times New Roman" w:eastAsia="Times New Roman" w:hint="ascii"/>
          <w:b w:val="1"/>
          <w:sz w:val="21"/>
        </w:rPr>
        <w:t>C2</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17</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心理疾患的发生机制（</w:t>
      </w:r>
      <w:r>
        <w:rPr>
          <w:rFonts w:ascii="Times New Roman" w:hAnsi="Times New Roman" w:cs="Times New Roman" w:eastAsia="Times New Roman" w:hint="ascii"/>
          <w:b w:val="1"/>
          <w:sz w:val="21"/>
        </w:rPr>
        <w:t>C2103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染色质动态调控与生物学功能（</w:t>
      </w:r>
      <w:r>
        <w:rPr>
          <w:rFonts w:ascii="Times New Roman" w:hAnsi="Times New Roman" w:cs="Times New Roman" w:eastAsia="Times New Roman" w:hint="ascii"/>
          <w:b w:val="1"/>
          <w:sz w:val="21"/>
        </w:rPr>
        <w:t>C0606</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基因组稳定性与遗传变异的分子机制与规律（</w:t>
      </w:r>
      <w:r>
        <w:rPr>
          <w:rFonts w:ascii="Times New Roman" w:hAnsi="Times New Roman" w:cs="Times New Roman" w:eastAsia="Times New Roman" w:hint="ascii"/>
          <w:b w:val="1"/>
          <w:sz w:val="21"/>
        </w:rPr>
        <w:t>C0605</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复杂性状表观遗传调控网络（</w:t>
      </w:r>
      <w:r>
        <w:rPr>
          <w:rFonts w:ascii="Times New Roman" w:hAnsi="Times New Roman" w:cs="Times New Roman" w:eastAsia="Times New Roman" w:hint="ascii"/>
          <w:b w:val="1"/>
          <w:sz w:val="21"/>
        </w:rPr>
        <w:t>C0607</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细胞代谢的调控机制（</w:t>
      </w:r>
      <w:r>
        <w:rPr>
          <w:rFonts w:ascii="Times New Roman" w:hAnsi="Times New Roman" w:cs="Times New Roman" w:eastAsia="Times New Roman" w:hint="ascii"/>
          <w:b w:val="1"/>
          <w:sz w:val="21"/>
        </w:rPr>
        <w:t>C07</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细胞衰老、死亡的分子机制（</w:t>
      </w:r>
      <w:r>
        <w:rPr>
          <w:rFonts w:ascii="Times New Roman" w:hAnsi="Times New Roman" w:cs="Times New Roman" w:eastAsia="Times New Roman" w:hint="ascii"/>
          <w:b w:val="1"/>
          <w:sz w:val="21"/>
        </w:rPr>
        <w:t>C0706</w:t>
      </w:r>
      <w:r>
        <w:rPr>
          <w:rFonts w:ascii="宋体" w:hAnsi="宋体" w:cs="宋体" w:eastAsia="宋体" w:hint="ascii"/>
          <w:sz w:val="21"/>
        </w:rPr>
        <w:t>）</w:t>
      </w:r>
    </w:p>
    <w:p>
      <w:pPr>
        <w:autoSpaceDE w:val="0"/>
        <w:autoSpaceDN w:val="0"/>
        <w:jc w:val="left"/>
        <w:spacing w:before="291" w:after="0" w:lineRule="exact" w:line="225"/>
        <w:ind w:right="0" w:left="745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配子、胚胎发育的调控机制（</w:t>
      </w:r>
      <w:r>
        <w:rPr>
          <w:rFonts w:ascii="Times New Roman" w:hAnsi="Times New Roman" w:cs="Times New Roman" w:eastAsia="Times New Roman" w:hint="ascii"/>
          <w:b w:val="1"/>
          <w:sz w:val="21"/>
        </w:rPr>
        <w:t>C1202</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54" locked="0" layoutInCell="1" allowOverlap="1">
                <wp:simplePos x="0" y="0"/>
                <wp:positionH relativeFrom="page">
                  <wp:posOffset>938530</wp:posOffset>
                </wp:positionH>
                <wp:positionV relativeFrom="page">
                  <wp:posOffset>805815</wp:posOffset>
                </wp:positionV>
                <wp:extent cx="5076190" cy="0"/>
                <wp:wrapNone/>
                <wp:docPr id="1183" name="118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500544;width:399.70pt;" id="118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组织器官发育、稳态维持的调控机制（</w:t>
      </w:r>
      <w:r>
        <w:rPr>
          <w:rFonts w:ascii="Times New Roman" w:hAnsi="Times New Roman" w:cs="Times New Roman" w:eastAsia="Times New Roman" w:hint="ascii"/>
          <w:b w:val="1"/>
          <w:sz w:val="21"/>
        </w:rPr>
        <w:t>C1201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干细胞命运决定与细胞转分化的调控机制（</w:t>
      </w:r>
      <w:r>
        <w:rPr>
          <w:rFonts w:ascii="Times New Roman" w:hAnsi="Times New Roman" w:cs="Times New Roman" w:eastAsia="Times New Roman" w:hint="ascii"/>
          <w:b w:val="1"/>
          <w:sz w:val="21"/>
        </w:rPr>
        <w:t>C1201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作物种质资源和重要基因的挖掘利用（</w:t>
      </w:r>
      <w:r>
        <w:rPr>
          <w:rFonts w:ascii="Times New Roman" w:hAnsi="Times New Roman" w:cs="Times New Roman" w:eastAsia="Times New Roman" w:hint="ascii"/>
          <w:b w:val="1"/>
          <w:sz w:val="21"/>
        </w:rPr>
        <w:t>C1304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栽培措施对作物产量或品质的调控机制研究（</w:t>
      </w:r>
      <w:r>
        <w:rPr>
          <w:rFonts w:ascii="Times New Roman" w:hAnsi="Times New Roman" w:cs="Times New Roman" w:eastAsia="Times New Roman" w:hint="ascii"/>
          <w:b w:val="1"/>
          <w:sz w:val="21"/>
        </w:rPr>
        <w:t>C1303</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作物分子设计育种的基础研究（</w:t>
      </w:r>
      <w:r>
        <w:rPr>
          <w:rFonts w:ascii="Times New Roman" w:hAnsi="Times New Roman" w:cs="Times New Roman" w:eastAsia="Times New Roman" w:hint="ascii"/>
          <w:b w:val="1"/>
          <w:sz w:val="21"/>
        </w:rPr>
        <w:t>C1306</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食品有害物质痕量、准确和快速检测的新技术研究（</w:t>
      </w:r>
      <w:r>
        <w:rPr>
          <w:rFonts w:ascii="Times New Roman" w:hAnsi="Times New Roman" w:cs="Times New Roman" w:eastAsia="Times New Roman" w:hint="ascii"/>
          <w:b w:val="1"/>
          <w:sz w:val="21"/>
        </w:rPr>
        <w:t>C2007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食品贮藏与保鲜的生物学基础研究（</w:t>
      </w:r>
      <w:r>
        <w:rPr>
          <w:rFonts w:ascii="Times New Roman" w:hAnsi="Times New Roman" w:cs="Times New Roman" w:eastAsia="Times New Roman" w:hint="ascii"/>
          <w:b w:val="1"/>
          <w:sz w:val="21"/>
        </w:rPr>
        <w:t>C2006</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食品发酵与酿造过程中的基础研究（</w:t>
      </w:r>
      <w:r>
        <w:rPr>
          <w:rFonts w:ascii="Times New Roman" w:hAnsi="Times New Roman" w:cs="Times New Roman" w:eastAsia="Times New Roman" w:hint="ascii"/>
          <w:b w:val="1"/>
          <w:sz w:val="21"/>
        </w:rPr>
        <w:t>C2003</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农作物对病原物的免疫调控机理（</w:t>
      </w:r>
      <w:r>
        <w:rPr>
          <w:rFonts w:ascii="Times New Roman" w:hAnsi="Times New Roman" w:cs="Times New Roman" w:eastAsia="Times New Roman" w:hint="ascii"/>
          <w:b w:val="1"/>
          <w:sz w:val="21"/>
        </w:rPr>
        <w:t>C1401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寄生性天敌与害虫互作的机理（</w:t>
      </w:r>
      <w:r>
        <w:rPr>
          <w:rFonts w:ascii="Times New Roman" w:hAnsi="Times New Roman" w:cs="Times New Roman" w:eastAsia="Times New Roman" w:hint="ascii"/>
          <w:b w:val="1"/>
          <w:sz w:val="21"/>
        </w:rPr>
        <w:t>C1402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农作物病虫抗药性分子机理（</w:t>
      </w:r>
      <w:r>
        <w:rPr>
          <w:rFonts w:ascii="Times New Roman" w:hAnsi="Times New Roman" w:cs="Times New Roman" w:eastAsia="Times New Roman" w:hint="ascii"/>
          <w:b w:val="1"/>
          <w:sz w:val="21"/>
        </w:rPr>
        <w:t>C1405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园艺作物产品器官发育或品质形成机理及调控（</w:t>
      </w:r>
      <w:r>
        <w:rPr>
          <w:rFonts w:ascii="Times New Roman" w:hAnsi="Times New Roman" w:cs="Times New Roman" w:eastAsia="Times New Roman" w:hint="ascii"/>
          <w:b w:val="1"/>
          <w:sz w:val="21"/>
        </w:rPr>
        <w:t>C1501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园艺作物对非生物逆境的应答机制与调控（</w:t>
      </w:r>
      <w:r>
        <w:rPr>
          <w:rFonts w:ascii="Times New Roman" w:hAnsi="Times New Roman" w:cs="Times New Roman" w:eastAsia="Times New Roman" w:hint="ascii"/>
          <w:b w:val="1"/>
          <w:sz w:val="21"/>
        </w:rPr>
        <w:t>C1502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植物营养元素高效利用与作物高产优质的机制（</w:t>
      </w:r>
      <w:r>
        <w:rPr>
          <w:rFonts w:ascii="Times New Roman" w:hAnsi="Times New Roman" w:cs="Times New Roman" w:eastAsia="Times New Roman" w:hint="ascii"/>
          <w:b w:val="1"/>
          <w:sz w:val="21"/>
        </w:rPr>
        <w:t>C1507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动物演化及适应机制（</w:t>
      </w:r>
      <w:r>
        <w:rPr>
          <w:rFonts w:ascii="Times New Roman" w:hAnsi="Times New Roman" w:cs="Times New Roman" w:eastAsia="Times New Roman" w:hint="ascii"/>
          <w:b w:val="1"/>
          <w:sz w:val="21"/>
        </w:rPr>
        <w:t>C0402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动物种群扩散与迁徙规律（</w:t>
      </w:r>
      <w:r>
        <w:rPr>
          <w:rFonts w:ascii="Times New Roman" w:hAnsi="Times New Roman" w:cs="Times New Roman" w:eastAsia="Times New Roman" w:hint="ascii"/>
          <w:b w:val="1"/>
          <w:sz w:val="21"/>
        </w:rPr>
        <w:t>C0404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动物行为及其生物学基础（</w:t>
      </w:r>
      <w:r>
        <w:rPr>
          <w:rFonts w:ascii="Times New Roman" w:hAnsi="Times New Roman" w:cs="Times New Roman" w:eastAsia="Times New Roman" w:hint="ascii"/>
          <w:b w:val="1"/>
          <w:sz w:val="21"/>
        </w:rPr>
        <w:t>C0403</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畜禽优异种质资源的遗传机制及其高效繁殖的基础理论（</w:t>
      </w:r>
      <w:r>
        <w:rPr>
          <w:rFonts w:ascii="Times New Roman" w:hAnsi="Times New Roman" w:cs="Times New Roman" w:eastAsia="Times New Roman" w:hint="ascii"/>
          <w:b w:val="1"/>
          <w:sz w:val="21"/>
        </w:rPr>
        <w:t>C1701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牧草与草地综合利用及保护的基础研究（</w:t>
      </w:r>
      <w:r>
        <w:rPr>
          <w:rFonts w:ascii="Times New Roman" w:hAnsi="Times New Roman" w:cs="Times New Roman" w:eastAsia="Times New Roman" w:hint="ascii"/>
          <w:b w:val="1"/>
          <w:sz w:val="21"/>
        </w:rPr>
        <w:t>C1702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蜂、蚕等特种经济动物优良性状的生理与遗传基础（</w:t>
      </w:r>
      <w:r>
        <w:rPr>
          <w:rFonts w:ascii="Times New Roman" w:hAnsi="Times New Roman" w:cs="Times New Roman" w:eastAsia="Times New Roman" w:hint="ascii"/>
          <w:b w:val="1"/>
          <w:sz w:val="21"/>
        </w:rPr>
        <w:t>C170</w:t>
      </w:r>
      <w:r>
        <w:rPr>
          <w:rFonts w:ascii="Times New Roman" w:hAnsi="Times New Roman" w:cs="Times New Roman" w:eastAsia="Times New Roman" w:hint="ascii"/>
          <w:b w:val="1"/>
          <w:sz w:val="21"/>
          <w:spacing w:val="52"/>
        </w:rPr>
        <w:t>3</w:t>
      </w:r>
      <w:r>
        <w:rPr>
          <w:rFonts w:ascii="宋体" w:hAnsi="宋体" w:cs="宋体" w:eastAsia="宋体" w:hint="ascii"/>
          <w:sz w:val="21"/>
          <w:spacing w:val="27"/>
        </w:rPr>
        <w:t>或</w:t>
      </w:r>
      <w:r>
        <w:rPr>
          <w:rFonts w:ascii="Times New Roman" w:hAnsi="Times New Roman" w:cs="Times New Roman" w:eastAsia="Times New Roman" w:hint="ascii"/>
          <w:b w:val="1"/>
          <w:sz w:val="21"/>
        </w:rPr>
        <w:t>C1704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畜禽重要病原的入侵、复制及其与宿主相互作用（</w:t>
      </w:r>
      <w:r>
        <w:rPr>
          <w:rFonts w:ascii="Times New Roman" w:hAnsi="Times New Roman" w:cs="Times New Roman" w:eastAsia="Times New Roman" w:hint="ascii"/>
          <w:b w:val="1"/>
          <w:sz w:val="21"/>
        </w:rPr>
        <w:t>C1805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畜禽重要病原耐药性产生的机制（</w:t>
      </w:r>
      <w:r>
        <w:rPr>
          <w:rFonts w:ascii="Times New Roman" w:hAnsi="Times New Roman" w:cs="Times New Roman" w:eastAsia="Times New Roman" w:hint="ascii"/>
          <w:b w:val="1"/>
          <w:sz w:val="21"/>
        </w:rPr>
        <w:t>C1807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新发</w:t>
      </w:r>
      <w:r>
        <w:rPr>
          <w:rFonts w:ascii="Times New Roman" w:hAnsi="Times New Roman" w:cs="Times New Roman" w:eastAsia="Times New Roman" w:hint="ascii"/>
          <w:b w:val="1"/>
          <w:sz w:val="21"/>
        </w:rPr>
        <w:t>/</w:t>
      </w:r>
      <w:r>
        <w:rPr>
          <w:rFonts w:ascii="宋体" w:hAnsi="宋体" w:cs="宋体" w:eastAsia="宋体" w:hint="ascii"/>
          <w:sz w:val="21"/>
        </w:rPr>
        <w:t>再现畜禽重要疫病病原生物学研究（</w:t>
      </w:r>
      <w:r>
        <w:rPr>
          <w:rFonts w:ascii="Times New Roman" w:hAnsi="Times New Roman" w:cs="Times New Roman" w:eastAsia="Times New Roman" w:hint="ascii"/>
          <w:b w:val="1"/>
          <w:sz w:val="21"/>
        </w:rPr>
        <w:t>C1805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重要水产动物优良性状的遗传基础（</w:t>
      </w:r>
      <w:r>
        <w:rPr>
          <w:rFonts w:ascii="Times New Roman" w:hAnsi="Times New Roman" w:cs="Times New Roman" w:eastAsia="Times New Roman" w:hint="ascii"/>
          <w:b w:val="1"/>
          <w:sz w:val="21"/>
        </w:rPr>
        <w:t>C1902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重要水产动物病原与宿主互作机制（</w:t>
      </w:r>
      <w:r>
        <w:rPr>
          <w:rFonts w:ascii="Times New Roman" w:hAnsi="Times New Roman" w:cs="Times New Roman" w:eastAsia="Times New Roman" w:hint="ascii"/>
          <w:b w:val="1"/>
          <w:sz w:val="21"/>
        </w:rPr>
        <w:t>C1906</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33"/>
        </w:numPr>
        <w:rPr>
          <w:rFonts w:ascii="Times New Roman" w:hAnsi="Times New Roman" w:cs="Times New Roman" w:eastAsia="Times New Roman" w:hint="ascii"/>
          <w:sz w:val="21"/>
          <w:spacing w:val="1"/>
        </w:rPr>
      </w:pPr>
      <w:r>
        <w:rPr>
          <w:rFonts w:ascii="宋体" w:hAnsi="宋体" w:cs="宋体" w:eastAsia="宋体" w:hint="ascii"/>
          <w:sz w:val="21"/>
        </w:rPr>
        <w:t>重要水产动物营养代谢机制（</w:t>
      </w:r>
      <w:r>
        <w:rPr>
          <w:rFonts w:ascii="Times New Roman" w:hAnsi="Times New Roman" w:cs="Times New Roman" w:eastAsia="Times New Roman" w:hint="ascii"/>
          <w:b w:val="1"/>
          <w:sz w:val="21"/>
        </w:rPr>
        <w:t>C1904</w:t>
      </w:r>
      <w:r>
        <w:rPr>
          <w:rFonts w:ascii="宋体" w:hAnsi="宋体" w:cs="宋体" w:eastAsia="宋体" w:hint="ascii"/>
          <w:sz w:val="21"/>
        </w:rPr>
        <w:t>）</w:t>
      </w:r>
    </w:p>
    <w:p>
      <w:pPr>
        <w:autoSpaceDE w:val="0"/>
        <w:autoSpaceDN w:val="0"/>
        <w:jc w:val="both"/>
        <w:spacing w:before="17"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rPr>
        <w:t>此外，鉴于以往在重点项目申请</w:t>
      </w:r>
      <w:r>
        <w:rPr>
          <w:rFonts w:ascii="宋体" w:hAnsi="宋体" w:cs="宋体" w:eastAsia="宋体" w:hint="ascii"/>
          <w:sz w:val="21"/>
          <w:spacing w:val="-1"/>
        </w:rPr>
        <w:t>中</w:t>
      </w:r>
      <w:r>
        <w:rPr>
          <w:rFonts w:ascii="宋体" w:hAnsi="宋体" w:cs="宋体" w:eastAsia="宋体" w:hint="ascii"/>
          <w:sz w:val="21"/>
        </w:rPr>
        <w:t>出现</w:t>
      </w:r>
      <w:r>
        <w:rPr>
          <w:rFonts w:ascii="宋体" w:hAnsi="宋体" w:cs="宋体" w:eastAsia="宋体" w:hint="ascii"/>
          <w:sz w:val="21"/>
          <w:spacing w:val="-1"/>
        </w:rPr>
        <w:t>的</w:t>
      </w:r>
      <w:r>
        <w:rPr>
          <w:rFonts w:ascii="宋体" w:hAnsi="宋体" w:cs="宋体" w:eastAsia="宋体" w:hint="ascii"/>
          <w:sz w:val="21"/>
        </w:rPr>
        <w:t>问</w:t>
      </w:r>
      <w:r>
        <w:rPr>
          <w:rFonts w:ascii="宋体" w:hAnsi="宋体" w:cs="宋体" w:eastAsia="宋体" w:hint="ascii"/>
          <w:sz w:val="21"/>
          <w:spacing w:val="-1"/>
        </w:rPr>
        <w:t>题</w:t>
      </w:r>
      <w:r>
        <w:rPr>
          <w:rFonts w:ascii="宋体" w:hAnsi="宋体" w:cs="宋体" w:eastAsia="宋体" w:hint="ascii"/>
          <w:sz w:val="21"/>
        </w:rPr>
        <w:t>，</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3"/>
        </w:rPr>
        <w:t>8</w:t>
      </w:r>
      <w:r>
        <w:rPr>
          <w:rFonts w:ascii="宋体" w:hAnsi="宋体" w:cs="宋体" w:eastAsia="宋体" w:hint="ascii"/>
          <w:sz w:val="21"/>
        </w:rPr>
        <w:t>年度生命</w:t>
      </w:r>
      <w:r>
        <w:rPr>
          <w:rFonts w:ascii="宋体" w:hAnsi="宋体" w:cs="宋体" w:eastAsia="宋体" w:hint="ascii"/>
          <w:sz w:val="21"/>
          <w:spacing w:val="-1"/>
        </w:rPr>
        <w:t>科</w:t>
      </w:r>
      <w:r>
        <w:rPr>
          <w:rFonts w:ascii="宋体" w:hAnsi="宋体" w:cs="宋体" w:eastAsia="宋体" w:hint="ascii"/>
          <w:sz w:val="21"/>
        </w:rPr>
        <w:t>学</w:t>
      </w:r>
      <w:r>
        <w:rPr>
          <w:rFonts w:ascii="宋体" w:hAnsi="宋体" w:cs="宋体" w:eastAsia="宋体" w:hint="ascii"/>
          <w:sz w:val="21"/>
          <w:spacing w:val="-1"/>
        </w:rPr>
        <w:t>部</w:t>
      </w:r>
      <w:r>
        <w:rPr>
          <w:rFonts w:ascii="宋体" w:hAnsi="宋体" w:cs="宋体" w:eastAsia="宋体" w:hint="ascii"/>
          <w:sz w:val="21"/>
        </w:rPr>
        <w:t>特别</w:t>
      </w:r>
      <w:r>
        <w:rPr>
          <w:rFonts w:ascii="宋体" w:hAnsi="宋体" w:cs="宋体" w:eastAsia="宋体" w:hint="ascii"/>
          <w:sz w:val="21"/>
          <w:spacing w:val="-1"/>
        </w:rPr>
        <w:t>提</w:t>
      </w:r>
      <w:r>
        <w:rPr>
          <w:rFonts w:ascii="宋体" w:hAnsi="宋体" w:cs="宋体" w:eastAsia="宋体" w:hint="ascii"/>
          <w:sz w:val="21"/>
        </w:rPr>
        <w:t>醒</w:t>
      </w:r>
      <w:r>
        <w:rPr>
          <w:rFonts w:ascii="宋体" w:hAnsi="宋体" w:cs="宋体" w:eastAsia="宋体" w:hint="ascii"/>
          <w:sz w:val="21"/>
          <w:spacing w:val="-6"/>
        </w:rPr>
        <w:t>申</w:t>
      </w:r>
      <w:r>
        <w:rPr>
          <w:rFonts w:ascii="宋体" w:hAnsi="宋体" w:cs="宋体" w:eastAsia="宋体" w:hint="ascii"/>
          <w:sz w:val="21"/>
        </w:rPr>
        <w:t>请人注意，凡是具有下列情况之一者，将不受理其所申请的项目。</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）按立项</w:t>
      </w:r>
      <w:r>
        <w:rPr>
          <w:rFonts w:ascii="宋体" w:hAnsi="宋体" w:cs="宋体" w:eastAsia="宋体" w:hint="ascii"/>
          <w:sz w:val="21"/>
        </w:rPr>
        <w:t>领域申请的重点项目，未在申请书的基本信息表中的“附注说明”一栏中注明重点项目领域名称或者重点项目领域名称填写错误；</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）按立项领域申请的重点项目，未按要求填写指定的申请代码；</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）在不受理非立项领域申请重点项目的学科申请非立项领域重点项目；</w:t>
      </w:r>
    </w:p>
    <w:p>
      <w:pPr>
        <w:autoSpaceDE w:val="0"/>
        <w:autoSpaceDN w:val="0"/>
        <w:jc w:val="both"/>
        <w:spacing w:before="1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3"/>
        </w:rPr>
        <w:t>（</w:t>
      </w:r>
      <w:r>
        <w:rPr>
          <w:rFonts w:ascii="Times New Roman" w:hAnsi="Times New Roman" w:cs="Times New Roman" w:eastAsia="Times New Roman" w:hint="ascii"/>
          <w:sz w:val="21"/>
        </w:rPr>
        <w:t>4</w:t>
      </w:r>
      <w:r>
        <w:rPr>
          <w:rFonts w:ascii="宋体" w:hAnsi="宋体" w:cs="宋体" w:eastAsia="宋体" w:hint="ascii"/>
          <w:sz w:val="21"/>
          <w:spacing w:val="-3"/>
        </w:rPr>
        <w:t>）</w:t>
      </w:r>
      <w:r>
        <w:rPr>
          <w:rFonts w:ascii="宋体" w:hAnsi="宋体" w:cs="宋体" w:eastAsia="宋体" w:hint="ascii"/>
          <w:sz w:val="21"/>
        </w:rPr>
        <w:t>非立项领域申请的重点项目，未在“附注说明”一栏中标注“非领域申请</w:t>
      </w:r>
      <w:r>
        <w:rPr>
          <w:rFonts w:ascii="宋体" w:hAnsi="宋体" w:cs="宋体" w:eastAsia="宋体" w:hint="ascii"/>
          <w:sz w:val="21"/>
          <w:spacing w:val="-6"/>
        </w:rPr>
        <w:t>”</w:t>
      </w:r>
      <w:r>
        <w:rPr>
          <w:rFonts w:ascii="宋体" w:hAnsi="宋体" w:cs="宋体" w:eastAsia="宋体" w:hint="ascii"/>
          <w:sz w:val="21"/>
        </w:rPr>
        <w:t xml:space="preserve"> </w:t>
      </w:r>
      <w:r>
        <w:rPr>
          <w:rFonts w:ascii="宋体" w:hAnsi="宋体" w:cs="宋体" w:eastAsia="宋体" w:hint="ascii"/>
          <w:sz w:val="21"/>
          <w:spacing w:val="3"/>
        </w:rPr>
        <w:t>字样</w:t>
      </w:r>
      <w:r>
        <w:rPr>
          <w:rFonts w:ascii="宋体" w:hAnsi="宋体" w:cs="宋体" w:eastAsia="宋体" w:hint="ascii"/>
          <w:sz w:val="21"/>
        </w:rPr>
        <w:t>；</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）非立项领域申请的重点项目，未按要求提</w:t>
      </w:r>
      <w:r>
        <w:rPr>
          <w:rFonts w:ascii="宋体" w:hAnsi="宋体" w:cs="宋体" w:eastAsia="宋体" w:hint="ascii"/>
          <w:sz w:val="21"/>
          <w:spacing w:val="12"/>
        </w:rPr>
        <w:t>供</w:t>
      </w:r>
      <w:r>
        <w:rPr>
          <w:rFonts w:ascii="Times New Roman" w:hAnsi="Times New Roman" w:cs="Times New Roman" w:eastAsia="Times New Roman" w:hint="ascii"/>
          <w:sz w:val="21"/>
        </w:rPr>
        <w:t>80</w:t>
      </w:r>
      <w:r>
        <w:rPr>
          <w:rFonts w:ascii="Times New Roman" w:hAnsi="Times New Roman" w:cs="Times New Roman" w:eastAsia="Times New Roman" w:hint="ascii"/>
          <w:sz w:val="21"/>
          <w:spacing w:val="25"/>
        </w:rPr>
        <w:t>0</w:t>
      </w:r>
      <w:r>
        <w:rPr>
          <w:rFonts w:ascii="宋体" w:hAnsi="宋体" w:cs="宋体" w:eastAsia="宋体" w:hint="ascii"/>
          <w:sz w:val="21"/>
        </w:rPr>
        <w:t>字左右的“关于已取得重要创新性进展的情况说明</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）申请重点项目，未按要求提交申请人本人</w:t>
      </w:r>
      <w:r>
        <w:rPr>
          <w:rFonts w:ascii="宋体" w:hAnsi="宋体" w:cs="宋体" w:eastAsia="宋体" w:hint="ascii"/>
          <w:sz w:val="21"/>
          <w:spacing w:val="12"/>
        </w:rPr>
        <w:t>近</w:t>
      </w:r>
      <w:r>
        <w:rPr>
          <w:rFonts w:ascii="Times New Roman" w:hAnsi="Times New Roman" w:cs="Times New Roman" w:eastAsia="Times New Roman" w:hint="ascii"/>
          <w:sz w:val="21"/>
          <w:spacing w:val="23"/>
        </w:rPr>
        <w:t>5</w:t>
      </w:r>
      <w:r>
        <w:rPr>
          <w:rFonts w:ascii="宋体" w:hAnsi="宋体" w:cs="宋体" w:eastAsia="宋体" w:hint="ascii"/>
          <w:sz w:val="21"/>
        </w:rPr>
        <w:t>年（</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3"/>
        </w:rPr>
        <w:t>3</w:t>
      </w:r>
      <w:r>
        <w:rPr>
          <w:rFonts w:ascii="宋体" w:hAnsi="宋体" w:cs="宋体" w:eastAsia="宋体" w:hint="ascii"/>
          <w:sz w:val="21"/>
        </w:rPr>
        <w:t>年以来）作为第一作者或通讯作者发表</w:t>
      </w:r>
      <w:r>
        <w:rPr>
          <w:rFonts w:ascii="宋体" w:hAnsi="宋体" w:cs="宋体" w:eastAsia="宋体" w:hint="ascii"/>
          <w:sz w:val="21"/>
          <w:spacing w:val="11"/>
        </w:rPr>
        <w:t>的</w:t>
      </w:r>
      <w:r>
        <w:rPr>
          <w:rFonts w:ascii="Times New Roman" w:hAnsi="Times New Roman" w:cs="Times New Roman" w:eastAsia="Times New Roman" w:hint="ascii"/>
          <w:sz w:val="21"/>
          <w:spacing w:val="22"/>
        </w:rPr>
        <w:t>5</w:t>
      </w:r>
      <w:r>
        <w:rPr>
          <w:rFonts w:ascii="宋体" w:hAnsi="宋体" w:cs="宋体" w:eastAsia="宋体" w:hint="ascii"/>
          <w:sz w:val="21"/>
        </w:rPr>
        <w:t>篇代表性论文的论文首页电子版；</w:t>
      </w:r>
    </w:p>
    <w:p>
      <w:pPr>
        <w:autoSpaceDE w:val="0"/>
        <w:autoSpaceDN w:val="0"/>
        <w:jc w:val="left"/>
        <w:spacing w:before="27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both"/>
        <w:spacing w:before="252" w:after="0" w:lineRule="exact" w:line="319"/>
        <w:ind w:right="976" w:left="861" w:firstLine="42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7"/>
        </w:rPr>
        <w:t>7</w:t>
      </w:r>
      <w:r>
        <w:rPr>
          <w:rFonts w:ascii="宋体" w:hAnsi="宋体" w:cs="宋体" w:eastAsia="宋体" w:hint="ascii"/>
          <w:sz w:val="21"/>
        </w:rPr>
        <w:t>）非立项领域申请的重点项目，申请人所提交的代表性论文并非申请人</w:t>
      </w:r>
      <w:r>
        <w:rPr>
          <w:rFonts w:ascii="宋体" w:hAnsi="宋体" w:cs="宋体" w:eastAsia="宋体" w:hint="ascii"/>
          <w:sz w:val="21"/>
          <w:spacing w:val="15"/>
        </w:rPr>
        <w:t>近</w:t>
      </w:r>
      <w:r>
        <w:rPr>
          <w:rFonts w:ascii="Times New Roman" w:hAnsi="Times New Roman" w:cs="Times New Roman" w:eastAsia="Times New Roman" w:hint="ascii"/>
          <w:sz w:val="21"/>
          <w:spacing w:val="35"/>
        </w:rPr>
        <w:t>3</w:t>
      </w:r>
      <w:r>
        <w:rPr>
          <w:rFonts w:ascii="宋体" w:hAnsi="宋体" w:cs="宋体" w:eastAsia="宋体" w:hint="ascii"/>
          <w:sz w:val="21"/>
          <w:spacing w:val="-8"/>
        </w:rPr>
        <w:t>年</w:t>
      </w:r>
      <w:r>
        <w:rPr>
          <w:rFonts w:ascii="宋体" w:hAnsi="宋体" w:cs="宋体" w:eastAsia="宋体" w:hint="ascii"/>
          <w:sz w:val="21"/>
        </w:rPr>
        <w:t>（</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5</w:t>
      </w:r>
      <w:r>
        <w:rPr>
          <w:rFonts w:ascii="宋体" w:hAnsi="宋体" w:cs="宋体" w:eastAsia="宋体" w:hint="ascii"/>
          <w:sz w:val="21"/>
        </w:rPr>
        <w:t>年以来）作为第一作者或者通讯作者发表的与本项目申请相关的论文；</w:t>
      </w:r>
      <w:r>
        <w:rPr>
          <w:rFonts w:ascii="宋体" w:hAnsi="宋体" w:cs="宋体" w:eastAsia="宋体" w:hint="ascii"/>
          <w:sz w:val="21"/>
        </w:rPr>
        <mc:AlternateContent>
          <mc:Choice Requires="wps">
            <w:drawing>
              <wp:anchor distL="0" distR="0" distT="0" distB="0" simplePos="0" behindDoc="1" relativeHeight="155" locked="0" layoutInCell="1" allowOverlap="1">
                <wp:simplePos x="0" y="0"/>
                <wp:positionH relativeFrom="page">
                  <wp:posOffset>938530</wp:posOffset>
                </wp:positionH>
                <wp:positionV relativeFrom="page">
                  <wp:posOffset>819150</wp:posOffset>
                </wp:positionV>
                <wp:extent cx="5076190" cy="0"/>
                <wp:wrapNone/>
                <wp:docPr id="1184" name="118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99520;width:399.70pt;" id="118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2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8</w:t>
      </w:r>
      <w:r>
        <w:rPr>
          <w:rFonts w:ascii="宋体" w:hAnsi="宋体" w:cs="宋体" w:eastAsia="宋体" w:hint="ascii"/>
          <w:sz w:val="21"/>
          <w:spacing w:val="-1"/>
        </w:rPr>
        <w:t>）与申请</w:t>
      </w:r>
      <w:r>
        <w:rPr>
          <w:rFonts w:ascii="宋体" w:hAnsi="宋体" w:cs="宋体" w:eastAsia="宋体" w:hint="ascii"/>
          <w:sz w:val="21"/>
        </w:rPr>
        <w:t>人承担的国家其他科技计划或国家杰出青年科学基金项目已资助的研究内容重复；</w:t>
      </w:r>
    </w:p>
    <w:p>
      <w:pPr>
        <w:autoSpaceDE w:val="0"/>
        <w:autoSpaceDN w:val="0"/>
        <w:jc w:val="both"/>
        <w:spacing w:before="0" w:after="0" w:lineRule="exact" w:line="320"/>
        <w:ind w:right="982" w:left="966" w:firstLine="316"/>
        <w:snapToGrid w:val="0"/>
        <w:textAlignment w:val="auto"/>
        <w:tabs/>
        <w:rPr>
          <w:rFonts w:ascii="宋体" w:hAnsi="宋体" w:cs="宋体" w:eastAsia="宋体" w:hint="ascii"/>
          <w:sz w:val="21"/>
        </w:rPr>
      </w:pPr>
      <w:r>
        <w:rPr>
          <w:rFonts w:ascii="宋体" w:hAnsi="宋体" w:cs="宋体" w:eastAsia="宋体" w:hint="ascii"/>
          <w:sz w:val="21"/>
          <w:spacing w:val="-3"/>
        </w:rPr>
        <w:t>（</w:t>
      </w:r>
      <w:r>
        <w:rPr>
          <w:rFonts w:ascii="Times New Roman" w:hAnsi="Times New Roman" w:cs="Times New Roman" w:eastAsia="Times New Roman" w:hint="ascii"/>
          <w:sz w:val="21"/>
          <w:spacing w:val="-1"/>
        </w:rPr>
        <w:t>9</w:t>
      </w:r>
      <w:r>
        <w:rPr>
          <w:rFonts w:ascii="宋体" w:hAnsi="宋体" w:cs="宋体" w:eastAsia="宋体" w:hint="ascii"/>
          <w:sz w:val="21"/>
          <w:spacing w:val="-3"/>
        </w:rPr>
        <w:t>）</w:t>
      </w:r>
      <w:r>
        <w:rPr>
          <w:rFonts w:ascii="宋体" w:hAnsi="宋体" w:cs="宋体" w:eastAsia="宋体" w:hint="ascii"/>
          <w:sz w:val="21"/>
          <w:spacing w:val="1"/>
        </w:rPr>
        <w:t>在</w:t>
      </w:r>
      <w:r>
        <w:rPr>
          <w:rFonts w:ascii="宋体" w:hAnsi="宋体" w:cs="宋体" w:eastAsia="宋体" w:hint="ascii"/>
          <w:sz w:val="21"/>
        </w:rPr>
        <w:t>“附</w:t>
      </w:r>
      <w:r>
        <w:rPr>
          <w:rFonts w:ascii="宋体" w:hAnsi="宋体" w:cs="宋体" w:eastAsia="宋体" w:hint="ascii"/>
          <w:sz w:val="21"/>
          <w:spacing w:val="1"/>
        </w:rPr>
        <w:t>注</w:t>
      </w:r>
      <w:r>
        <w:rPr>
          <w:rFonts w:ascii="宋体" w:hAnsi="宋体" w:cs="宋体" w:eastAsia="宋体" w:hint="ascii"/>
          <w:sz w:val="21"/>
        </w:rPr>
        <w:t>说明</w:t>
      </w:r>
      <w:r>
        <w:rPr>
          <w:rFonts w:ascii="宋体" w:hAnsi="宋体" w:cs="宋体" w:eastAsia="宋体" w:hint="ascii"/>
          <w:sz w:val="21"/>
          <w:spacing w:val="1"/>
        </w:rPr>
        <w:t>”</w:t>
      </w:r>
      <w:r>
        <w:rPr>
          <w:rFonts w:ascii="宋体" w:hAnsi="宋体" w:cs="宋体" w:eastAsia="宋体" w:hint="ascii"/>
          <w:sz w:val="21"/>
        </w:rPr>
        <w:t>一</w:t>
      </w:r>
      <w:r>
        <w:rPr>
          <w:rFonts w:ascii="宋体" w:hAnsi="宋体" w:cs="宋体" w:eastAsia="宋体" w:hint="ascii"/>
          <w:sz w:val="21"/>
          <w:spacing w:val="1"/>
        </w:rPr>
        <w:t>栏</w:t>
      </w:r>
      <w:r>
        <w:rPr>
          <w:rFonts w:ascii="宋体" w:hAnsi="宋体" w:cs="宋体" w:eastAsia="宋体" w:hint="ascii"/>
          <w:sz w:val="21"/>
        </w:rPr>
        <w:t>中虽</w:t>
      </w:r>
      <w:r>
        <w:rPr>
          <w:rFonts w:ascii="宋体" w:hAnsi="宋体" w:cs="宋体" w:eastAsia="宋体" w:hint="ascii"/>
          <w:sz w:val="21"/>
          <w:spacing w:val="1"/>
        </w:rPr>
        <w:t>注</w:t>
      </w:r>
      <w:r>
        <w:rPr>
          <w:rFonts w:ascii="宋体" w:hAnsi="宋体" w:cs="宋体" w:eastAsia="宋体" w:hint="ascii"/>
          <w:sz w:val="21"/>
        </w:rPr>
        <w:t>明</w:t>
      </w:r>
      <w:r>
        <w:rPr>
          <w:rFonts w:ascii="宋体" w:hAnsi="宋体" w:cs="宋体" w:eastAsia="宋体" w:hint="ascii"/>
          <w:sz w:val="21"/>
          <w:spacing w:val="1"/>
        </w:rPr>
        <w:t>重</w:t>
      </w:r>
      <w:r>
        <w:rPr>
          <w:rFonts w:ascii="宋体" w:hAnsi="宋体" w:cs="宋体" w:eastAsia="宋体" w:hint="ascii"/>
          <w:sz w:val="21"/>
        </w:rPr>
        <w:t>点项</w:t>
      </w:r>
      <w:r>
        <w:rPr>
          <w:rFonts w:ascii="宋体" w:hAnsi="宋体" w:cs="宋体" w:eastAsia="宋体" w:hint="ascii"/>
          <w:sz w:val="21"/>
          <w:spacing w:val="1"/>
        </w:rPr>
        <w:t>目</w:t>
      </w:r>
      <w:r>
        <w:rPr>
          <w:rFonts w:ascii="宋体" w:hAnsi="宋体" w:cs="宋体" w:eastAsia="宋体" w:hint="ascii"/>
          <w:sz w:val="21"/>
        </w:rPr>
        <w:t>领</w:t>
      </w:r>
      <w:r>
        <w:rPr>
          <w:rFonts w:ascii="宋体" w:hAnsi="宋体" w:cs="宋体" w:eastAsia="宋体" w:hint="ascii"/>
          <w:sz w:val="21"/>
          <w:spacing w:val="1"/>
        </w:rPr>
        <w:t>域</w:t>
      </w:r>
      <w:r>
        <w:rPr>
          <w:rFonts w:ascii="宋体" w:hAnsi="宋体" w:cs="宋体" w:eastAsia="宋体" w:hint="ascii"/>
          <w:sz w:val="21"/>
        </w:rPr>
        <w:t>名称</w:t>
      </w:r>
      <w:r>
        <w:rPr>
          <w:rFonts w:ascii="宋体" w:hAnsi="宋体" w:cs="宋体" w:eastAsia="宋体" w:hint="ascii"/>
          <w:sz w:val="21"/>
          <w:spacing w:val="1"/>
        </w:rPr>
        <w:t>，</w:t>
      </w:r>
      <w:r>
        <w:rPr>
          <w:rFonts w:ascii="宋体" w:hAnsi="宋体" w:cs="宋体" w:eastAsia="宋体" w:hint="ascii"/>
          <w:sz w:val="21"/>
        </w:rPr>
        <w:t>但</w:t>
      </w:r>
      <w:r>
        <w:rPr>
          <w:rFonts w:ascii="宋体" w:hAnsi="宋体" w:cs="宋体" w:eastAsia="宋体" w:hint="ascii"/>
          <w:sz w:val="21"/>
          <w:spacing w:val="1"/>
        </w:rPr>
        <w:t>研</w:t>
      </w:r>
      <w:r>
        <w:rPr>
          <w:rFonts w:ascii="宋体" w:hAnsi="宋体" w:cs="宋体" w:eastAsia="宋体" w:hint="ascii"/>
          <w:sz w:val="21"/>
        </w:rPr>
        <w:t>究内</w:t>
      </w:r>
      <w:r>
        <w:rPr>
          <w:rFonts w:ascii="宋体" w:hAnsi="宋体" w:cs="宋体" w:eastAsia="宋体" w:hint="ascii"/>
          <w:sz w:val="21"/>
          <w:spacing w:val="1"/>
        </w:rPr>
        <w:t>容</w:t>
      </w:r>
      <w:r>
        <w:rPr>
          <w:rFonts w:ascii="宋体" w:hAnsi="宋体" w:cs="宋体" w:eastAsia="宋体" w:hint="ascii"/>
          <w:sz w:val="21"/>
        </w:rPr>
        <w:t>不</w:t>
      </w:r>
      <w:r>
        <w:rPr>
          <w:rFonts w:ascii="宋体" w:hAnsi="宋体" w:cs="宋体" w:eastAsia="宋体" w:hint="ascii"/>
          <w:sz w:val="21"/>
          <w:spacing w:val="1"/>
        </w:rPr>
        <w:t>属</w:t>
      </w:r>
      <w:r>
        <w:rPr>
          <w:rFonts w:ascii="宋体" w:hAnsi="宋体" w:cs="宋体" w:eastAsia="宋体" w:hint="ascii"/>
          <w:sz w:val="21"/>
        </w:rPr>
        <w:t>于该领</w:t>
      </w:r>
      <w:r>
        <w:rPr>
          <w:rFonts w:ascii="宋体" w:hAnsi="宋体" w:cs="宋体" w:eastAsia="宋体" w:hint="ascii"/>
          <w:sz w:val="21"/>
          <w:spacing w:val="-6"/>
        </w:rPr>
        <w:t>域</w:t>
      </w:r>
      <w:r>
        <w:rPr>
          <w:rFonts w:ascii="宋体" w:hAnsi="宋体" w:cs="宋体" w:eastAsia="宋体" w:hint="ascii"/>
          <w:sz w:val="21"/>
          <w:spacing w:val="3"/>
        </w:rPr>
        <w:t>范围</w:t>
      </w:r>
      <w:r>
        <w:rPr>
          <w:rFonts w:ascii="宋体" w:hAnsi="宋体" w:cs="宋体" w:eastAsia="宋体" w:hint="ascii"/>
          <w:sz w:val="21"/>
        </w:rPr>
        <w:t>；</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）申请人尚在国外工作、无法保证大部分时间和精力在国内从事研究工作。</w:t>
      </w:r>
    </w:p>
    <w:p>
      <w:pPr>
        <w:autoSpaceDE w:val="0"/>
        <w:autoSpaceDN w:val="0"/>
        <w:jc w:val="left"/>
        <w:spacing w:before="51"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有关申请书撰写的其他注意事项请参照生命科学部面上项目指南</w:t>
      </w:r>
      <w:r>
        <w:rPr>
          <w:rFonts w:ascii="宋体" w:hAnsi="宋体" w:cs="宋体" w:eastAsia="宋体" w:hint="ascii"/>
          <w:b w:val="1"/>
          <w:sz w:val="21"/>
        </w:rPr>
        <w:t>。</w:t>
      </w:r>
    </w:p>
    <w:p>
      <w:pPr>
        <w:autoSpaceDE w:val="0"/>
        <w:autoSpaceDN w:val="0"/>
        <w:jc w:val="left"/>
        <w:spacing w:before="190"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地球科学部</w:t>
      </w:r>
    </w:p>
    <w:p>
      <w:pPr>
        <w:autoSpaceDE w:val="0"/>
        <w:autoSpaceDN w:val="0"/>
        <w:jc w:val="left"/>
        <w:spacing w:before="319"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地球科学</w:t>
      </w:r>
      <w:r>
        <w:rPr>
          <w:rFonts w:ascii="宋体" w:hAnsi="宋体" w:cs="宋体" w:eastAsia="宋体" w:hint="ascii"/>
          <w:sz w:val="21"/>
        </w:rPr>
        <w:t>作</w:t>
      </w:r>
      <w:r>
        <w:rPr>
          <w:rFonts w:ascii="宋体" w:hAnsi="宋体" w:cs="宋体" w:eastAsia="宋体" w:hint="ascii"/>
          <w:sz w:val="21"/>
          <w:spacing w:val="3"/>
        </w:rPr>
        <w:t>为基础科</w:t>
      </w:r>
      <w:r>
        <w:rPr>
          <w:rFonts w:ascii="宋体" w:hAnsi="宋体" w:cs="宋体" w:eastAsia="宋体" w:hint="ascii"/>
          <w:sz w:val="21"/>
        </w:rPr>
        <w:t>学</w:t>
      </w:r>
      <w:r>
        <w:rPr>
          <w:rFonts w:ascii="宋体" w:hAnsi="宋体" w:cs="宋体" w:eastAsia="宋体" w:hint="ascii"/>
          <w:sz w:val="21"/>
          <w:spacing w:val="3"/>
        </w:rPr>
        <w:t>，其研究</w:t>
      </w:r>
      <w:r>
        <w:rPr>
          <w:rFonts w:ascii="宋体" w:hAnsi="宋体" w:cs="宋体" w:eastAsia="宋体" w:hint="ascii"/>
          <w:sz w:val="21"/>
        </w:rPr>
        <w:t>对</w:t>
      </w:r>
      <w:r>
        <w:rPr>
          <w:rFonts w:ascii="宋体" w:hAnsi="宋体" w:cs="宋体" w:eastAsia="宋体" w:hint="ascii"/>
          <w:sz w:val="21"/>
          <w:spacing w:val="3"/>
        </w:rPr>
        <w:t>象是极其</w:t>
      </w:r>
      <w:r>
        <w:rPr>
          <w:rFonts w:ascii="宋体" w:hAnsi="宋体" w:cs="宋体" w:eastAsia="宋体" w:hint="ascii"/>
          <w:sz w:val="21"/>
        </w:rPr>
        <w:t>复</w:t>
      </w:r>
      <w:r>
        <w:rPr>
          <w:rFonts w:ascii="宋体" w:hAnsi="宋体" w:cs="宋体" w:eastAsia="宋体" w:hint="ascii"/>
          <w:sz w:val="21"/>
          <w:spacing w:val="3"/>
        </w:rPr>
        <w:t>杂的行星</w:t>
      </w:r>
      <w:r>
        <w:rPr>
          <w:rFonts w:ascii="宋体" w:hAnsi="宋体" w:cs="宋体" w:eastAsia="宋体" w:hint="ascii"/>
          <w:sz w:val="21"/>
        </w:rPr>
        <w:t>地</w:t>
      </w:r>
      <w:r>
        <w:rPr>
          <w:rFonts w:ascii="宋体" w:hAnsi="宋体" w:cs="宋体" w:eastAsia="宋体" w:hint="ascii"/>
          <w:sz w:val="21"/>
          <w:spacing w:val="3"/>
        </w:rPr>
        <w:t>球。基于</w:t>
      </w:r>
      <w:r>
        <w:rPr>
          <w:rFonts w:ascii="宋体" w:hAnsi="宋体" w:cs="宋体" w:eastAsia="宋体" w:hint="ascii"/>
          <w:sz w:val="21"/>
        </w:rPr>
        <w:t>理</w:t>
      </w:r>
      <w:r>
        <w:rPr>
          <w:rFonts w:ascii="宋体" w:hAnsi="宋体" w:cs="宋体" w:eastAsia="宋体" w:hint="ascii"/>
          <w:sz w:val="21"/>
          <w:spacing w:val="3"/>
        </w:rPr>
        <w:t>解地球</w:t>
      </w:r>
      <w:r>
        <w:rPr>
          <w:rFonts w:ascii="宋体" w:hAnsi="宋体" w:cs="宋体" w:eastAsia="宋体" w:hint="ascii"/>
          <w:sz w:val="21"/>
          <w:spacing w:val="4"/>
        </w:rPr>
        <w:t>系</w:t>
      </w:r>
      <w:r>
        <w:rPr>
          <w:rFonts w:ascii="宋体" w:hAnsi="宋体" w:cs="宋体" w:eastAsia="宋体" w:hint="ascii"/>
          <w:sz w:val="21"/>
        </w:rPr>
        <w:t>统</w:t>
      </w:r>
    </w:p>
    <w:p>
      <w:pPr>
        <w:autoSpaceDE w:val="0"/>
        <w:autoSpaceDN w:val="0"/>
        <w:jc w:val="left"/>
        <w:spacing w:before="10" w:after="0" w:lineRule="exact" w:line="312"/>
        <w:ind w:right="869" w:left="966" w:firstLine="0"/>
        <w:snapToGrid w:val="0"/>
        <w:textAlignment w:val="auto"/>
        <w:tabs/>
        <w:rPr>
          <w:rFonts w:ascii="宋体" w:hAnsi="宋体" w:cs="宋体" w:eastAsia="宋体" w:hint="ascii"/>
          <w:sz w:val="21"/>
        </w:rPr>
      </w:pPr>
      <w:r>
        <w:rPr>
          <w:rFonts w:ascii="宋体" w:hAnsi="宋体" w:cs="宋体" w:eastAsia="宋体" w:hint="ascii"/>
          <w:sz w:val="21"/>
          <w:spacing w:val="3"/>
        </w:rPr>
        <w:t>的过去、</w:t>
      </w:r>
      <w:r>
        <w:rPr>
          <w:rFonts w:ascii="宋体" w:hAnsi="宋体" w:cs="宋体" w:eastAsia="宋体" w:hint="ascii"/>
          <w:sz w:val="21"/>
        </w:rPr>
        <w:t>现</w:t>
      </w:r>
      <w:r>
        <w:rPr>
          <w:rFonts w:ascii="宋体" w:hAnsi="宋体" w:cs="宋体" w:eastAsia="宋体" w:hint="ascii"/>
          <w:sz w:val="21"/>
          <w:spacing w:val="3"/>
        </w:rPr>
        <w:t>今和未来</w:t>
      </w:r>
      <w:r>
        <w:rPr>
          <w:rFonts w:ascii="宋体" w:hAnsi="宋体" w:cs="宋体" w:eastAsia="宋体" w:hint="ascii"/>
          <w:sz w:val="21"/>
        </w:rPr>
        <w:t>及</w:t>
      </w:r>
      <w:r>
        <w:rPr>
          <w:rFonts w:ascii="宋体" w:hAnsi="宋体" w:cs="宋体" w:eastAsia="宋体" w:hint="ascii"/>
          <w:sz w:val="21"/>
          <w:spacing w:val="3"/>
        </w:rPr>
        <w:t>其可居住</w:t>
      </w:r>
      <w:r>
        <w:rPr>
          <w:rFonts w:ascii="宋体" w:hAnsi="宋体" w:cs="宋体" w:eastAsia="宋体" w:hint="ascii"/>
          <w:sz w:val="21"/>
        </w:rPr>
        <w:t>性</w:t>
      </w:r>
      <w:r>
        <w:rPr>
          <w:rFonts w:ascii="宋体" w:hAnsi="宋体" w:cs="宋体" w:eastAsia="宋体" w:hint="ascii"/>
          <w:sz w:val="21"/>
          <w:spacing w:val="3"/>
        </w:rPr>
        <w:t>的研究带</w:t>
      </w:r>
      <w:r>
        <w:rPr>
          <w:rFonts w:ascii="宋体" w:hAnsi="宋体" w:cs="宋体" w:eastAsia="宋体" w:hint="ascii"/>
          <w:sz w:val="21"/>
        </w:rPr>
        <w:t>来</w:t>
      </w:r>
      <w:r>
        <w:rPr>
          <w:rFonts w:ascii="宋体" w:hAnsi="宋体" w:cs="宋体" w:eastAsia="宋体" w:hint="ascii"/>
          <w:sz w:val="21"/>
          <w:spacing w:val="3"/>
        </w:rPr>
        <w:t>的挑战超</w:t>
      </w:r>
      <w:r>
        <w:rPr>
          <w:rFonts w:ascii="宋体" w:hAnsi="宋体" w:cs="宋体" w:eastAsia="宋体" w:hint="ascii"/>
          <w:sz w:val="21"/>
        </w:rPr>
        <w:t>出</w:t>
      </w:r>
      <w:r>
        <w:rPr>
          <w:rFonts w:ascii="宋体" w:hAnsi="宋体" w:cs="宋体" w:eastAsia="宋体" w:hint="ascii"/>
          <w:sz w:val="21"/>
          <w:spacing w:val="3"/>
        </w:rPr>
        <w:t>了单一和</w:t>
      </w:r>
      <w:r>
        <w:rPr>
          <w:rFonts w:ascii="宋体" w:hAnsi="宋体" w:cs="宋体" w:eastAsia="宋体" w:hint="ascii"/>
          <w:sz w:val="21"/>
        </w:rPr>
        <w:t>传</w:t>
      </w:r>
      <w:r>
        <w:rPr>
          <w:rFonts w:ascii="宋体" w:hAnsi="宋体" w:cs="宋体" w:eastAsia="宋体" w:hint="ascii"/>
          <w:sz w:val="21"/>
          <w:spacing w:val="3"/>
        </w:rPr>
        <w:t>统学科的</w:t>
      </w:r>
      <w:r>
        <w:rPr>
          <w:rFonts w:ascii="宋体" w:hAnsi="宋体" w:cs="宋体" w:eastAsia="宋体" w:hint="ascii"/>
          <w:sz w:val="21"/>
        </w:rPr>
        <w:t>能</w:t>
      </w:r>
      <w:r>
        <w:rPr>
          <w:rFonts w:ascii="宋体" w:hAnsi="宋体" w:cs="宋体" w:eastAsia="宋体" w:hint="ascii"/>
          <w:sz w:val="21"/>
          <w:spacing w:val="3"/>
        </w:rPr>
        <w:t>力</w:t>
      </w:r>
      <w:r>
        <w:rPr>
          <w:rFonts w:ascii="宋体" w:hAnsi="宋体" w:cs="宋体" w:eastAsia="宋体" w:hint="ascii"/>
          <w:sz w:val="21"/>
        </w:rPr>
        <w:t>范</w:t>
      </w:r>
      <w:r>
        <w:rPr>
          <w:rFonts w:ascii="宋体" w:hAnsi="宋体" w:cs="宋体" w:eastAsia="宋体" w:hint="ascii"/>
          <w:sz w:val="21"/>
          <w:spacing w:val="3"/>
        </w:rPr>
        <w:t>围，学科</w:t>
      </w:r>
      <w:r>
        <w:rPr>
          <w:rFonts w:ascii="宋体" w:hAnsi="宋体" w:cs="宋体" w:eastAsia="宋体" w:hint="ascii"/>
          <w:sz w:val="21"/>
        </w:rPr>
        <w:t>交</w:t>
      </w:r>
      <w:r>
        <w:rPr>
          <w:rFonts w:ascii="宋体" w:hAnsi="宋体" w:cs="宋体" w:eastAsia="宋体" w:hint="ascii"/>
          <w:sz w:val="21"/>
          <w:spacing w:val="3"/>
        </w:rPr>
        <w:t>叉研究已</w:t>
      </w:r>
      <w:r>
        <w:rPr>
          <w:rFonts w:ascii="宋体" w:hAnsi="宋体" w:cs="宋体" w:eastAsia="宋体" w:hint="ascii"/>
          <w:sz w:val="21"/>
        </w:rPr>
        <w:t>成</w:t>
      </w:r>
      <w:r>
        <w:rPr>
          <w:rFonts w:ascii="宋体" w:hAnsi="宋体" w:cs="宋体" w:eastAsia="宋体" w:hint="ascii"/>
          <w:sz w:val="21"/>
          <w:spacing w:val="3"/>
        </w:rPr>
        <w:t>为创新思</w:t>
      </w:r>
      <w:r>
        <w:rPr>
          <w:rFonts w:ascii="宋体" w:hAnsi="宋体" w:cs="宋体" w:eastAsia="宋体" w:hint="ascii"/>
          <w:sz w:val="21"/>
        </w:rPr>
        <w:t>想</w:t>
      </w:r>
      <w:r>
        <w:rPr>
          <w:rFonts w:ascii="宋体" w:hAnsi="宋体" w:cs="宋体" w:eastAsia="宋体" w:hint="ascii"/>
          <w:sz w:val="21"/>
          <w:spacing w:val="3"/>
        </w:rPr>
        <w:t>及源头创</w:t>
      </w:r>
      <w:r>
        <w:rPr>
          <w:rFonts w:ascii="宋体" w:hAnsi="宋体" w:cs="宋体" w:eastAsia="宋体" w:hint="ascii"/>
          <w:sz w:val="21"/>
        </w:rPr>
        <w:t>新</w:t>
      </w:r>
      <w:r>
        <w:rPr>
          <w:rFonts w:ascii="宋体" w:hAnsi="宋体" w:cs="宋体" w:eastAsia="宋体" w:hint="ascii"/>
          <w:sz w:val="21"/>
          <w:spacing w:val="3"/>
        </w:rPr>
        <w:t>的沃土。</w:t>
      </w:r>
      <w:r>
        <w:rPr>
          <w:rFonts w:ascii="宋体" w:hAnsi="宋体" w:cs="宋体" w:eastAsia="宋体" w:hint="ascii"/>
          <w:sz w:val="21"/>
        </w:rPr>
        <w:t>我</w:t>
      </w:r>
      <w:r>
        <w:rPr>
          <w:rFonts w:ascii="宋体" w:hAnsi="宋体" w:cs="宋体" w:eastAsia="宋体" w:hint="ascii"/>
          <w:sz w:val="21"/>
          <w:spacing w:val="3"/>
        </w:rPr>
        <w:t>们不仅希</w:t>
      </w:r>
      <w:r>
        <w:rPr>
          <w:rFonts w:ascii="宋体" w:hAnsi="宋体" w:cs="宋体" w:eastAsia="宋体" w:hint="ascii"/>
          <w:sz w:val="21"/>
        </w:rPr>
        <w:t>望</w:t>
      </w:r>
      <w:r>
        <w:rPr>
          <w:rFonts w:ascii="宋体" w:hAnsi="宋体" w:cs="宋体" w:eastAsia="宋体" w:hint="ascii"/>
          <w:sz w:val="21"/>
          <w:spacing w:val="3"/>
        </w:rPr>
        <w:t>地球科学</w:t>
      </w:r>
      <w:r>
        <w:rPr>
          <w:rFonts w:ascii="宋体" w:hAnsi="宋体" w:cs="宋体" w:eastAsia="宋体" w:hint="ascii"/>
          <w:sz w:val="21"/>
        </w:rPr>
        <w:t>不</w:t>
      </w:r>
      <w:r>
        <w:rPr>
          <w:rFonts w:ascii="宋体" w:hAnsi="宋体" w:cs="宋体" w:eastAsia="宋体" w:hint="ascii"/>
          <w:sz w:val="21"/>
          <w:spacing w:val="3"/>
        </w:rPr>
        <w:t>同</w:t>
      </w:r>
      <w:r>
        <w:rPr>
          <w:rFonts w:ascii="宋体" w:hAnsi="宋体" w:cs="宋体" w:eastAsia="宋体" w:hint="ascii"/>
          <w:sz w:val="21"/>
        </w:rPr>
        <w:t>学</w:t>
      </w:r>
      <w:r>
        <w:rPr>
          <w:rFonts w:ascii="宋体" w:hAnsi="宋体" w:cs="宋体" w:eastAsia="宋体" w:hint="ascii"/>
          <w:sz w:val="21"/>
          <w:spacing w:val="3"/>
        </w:rPr>
        <w:t>科的科学</w:t>
      </w:r>
      <w:r>
        <w:rPr>
          <w:rFonts w:ascii="宋体" w:hAnsi="宋体" w:cs="宋体" w:eastAsia="宋体" w:hint="ascii"/>
          <w:sz w:val="21"/>
        </w:rPr>
        <w:t>家</w:t>
      </w:r>
      <w:r>
        <w:rPr>
          <w:rFonts w:ascii="宋体" w:hAnsi="宋体" w:cs="宋体" w:eastAsia="宋体" w:hint="ascii"/>
          <w:sz w:val="21"/>
          <w:spacing w:val="3"/>
        </w:rPr>
        <w:t>，更希望</w:t>
      </w:r>
      <w:r>
        <w:rPr>
          <w:rFonts w:ascii="宋体" w:hAnsi="宋体" w:cs="宋体" w:eastAsia="宋体" w:hint="ascii"/>
          <w:sz w:val="21"/>
        </w:rPr>
        <w:t>数</w:t>
      </w:r>
      <w:r>
        <w:rPr>
          <w:rFonts w:ascii="宋体" w:hAnsi="宋体" w:cs="宋体" w:eastAsia="宋体" w:hint="ascii"/>
          <w:sz w:val="21"/>
          <w:spacing w:val="3"/>
        </w:rPr>
        <w:t>理、化学</w:t>
      </w:r>
      <w:r>
        <w:rPr>
          <w:rFonts w:ascii="宋体" w:hAnsi="宋体" w:cs="宋体" w:eastAsia="宋体" w:hint="ascii"/>
          <w:sz w:val="21"/>
        </w:rPr>
        <w:t>、</w:t>
      </w:r>
      <w:r>
        <w:rPr>
          <w:rFonts w:ascii="宋体" w:hAnsi="宋体" w:cs="宋体" w:eastAsia="宋体" w:hint="ascii"/>
          <w:sz w:val="21"/>
          <w:spacing w:val="3"/>
        </w:rPr>
        <w:t>生命、材</w:t>
      </w:r>
      <w:r>
        <w:rPr>
          <w:rFonts w:ascii="宋体" w:hAnsi="宋体" w:cs="宋体" w:eastAsia="宋体" w:hint="ascii"/>
          <w:sz w:val="21"/>
        </w:rPr>
        <w:t>料</w:t>
      </w:r>
      <w:r>
        <w:rPr>
          <w:rFonts w:ascii="宋体" w:hAnsi="宋体" w:cs="宋体" w:eastAsia="宋体" w:hint="ascii"/>
          <w:sz w:val="21"/>
          <w:spacing w:val="3"/>
        </w:rPr>
        <w:t>与工程、</w:t>
      </w:r>
      <w:r>
        <w:rPr>
          <w:rFonts w:ascii="宋体" w:hAnsi="宋体" w:cs="宋体" w:eastAsia="宋体" w:hint="ascii"/>
          <w:sz w:val="21"/>
        </w:rPr>
        <w:t>信</w:t>
      </w:r>
      <w:r>
        <w:rPr>
          <w:rFonts w:ascii="宋体" w:hAnsi="宋体" w:cs="宋体" w:eastAsia="宋体" w:hint="ascii"/>
          <w:sz w:val="21"/>
          <w:spacing w:val="3"/>
        </w:rPr>
        <w:t>息及管理</w:t>
      </w:r>
      <w:r>
        <w:rPr>
          <w:rFonts w:ascii="宋体" w:hAnsi="宋体" w:cs="宋体" w:eastAsia="宋体" w:hint="ascii"/>
          <w:sz w:val="21"/>
        </w:rPr>
        <w:t>的</w:t>
      </w:r>
      <w:r>
        <w:rPr>
          <w:rFonts w:ascii="宋体" w:hAnsi="宋体" w:cs="宋体" w:eastAsia="宋体" w:hint="ascii"/>
          <w:sz w:val="21"/>
          <w:spacing w:val="3"/>
        </w:rPr>
        <w:t>科学家与</w:t>
      </w:r>
      <w:r>
        <w:rPr>
          <w:rFonts w:ascii="宋体" w:hAnsi="宋体" w:cs="宋体" w:eastAsia="宋体" w:hint="ascii"/>
          <w:sz w:val="21"/>
        </w:rPr>
        <w:t>相</w:t>
      </w:r>
      <w:r>
        <w:rPr>
          <w:rFonts w:ascii="宋体" w:hAnsi="宋体" w:cs="宋体" w:eastAsia="宋体" w:hint="ascii"/>
          <w:sz w:val="21"/>
          <w:spacing w:val="3"/>
        </w:rPr>
        <w:t>关</w:t>
      </w:r>
      <w:r>
        <w:rPr>
          <w:rFonts w:ascii="宋体" w:hAnsi="宋体" w:cs="宋体" w:eastAsia="宋体" w:hint="ascii"/>
          <w:sz w:val="21"/>
        </w:rPr>
        <w:t>领</w:t>
      </w:r>
      <w:r>
        <w:rPr>
          <w:rFonts w:ascii="宋体" w:hAnsi="宋体" w:cs="宋体" w:eastAsia="宋体" w:hint="ascii"/>
          <w:sz w:val="21"/>
          <w:spacing w:val="6"/>
        </w:rPr>
        <w:t>域地球科学家联合申请地球科学部的重点项目，并在申请书中注明交叉学科的申</w:t>
      </w:r>
      <w:r>
        <w:rPr>
          <w:rFonts w:ascii="宋体" w:hAnsi="宋体" w:cs="宋体" w:eastAsia="宋体" w:hint="ascii"/>
          <w:sz w:val="21"/>
        </w:rPr>
        <w:t>请代码。</w:t>
      </w:r>
    </w:p>
    <w:p>
      <w:pPr>
        <w:autoSpaceDE w:val="0"/>
        <w:autoSpaceDN w:val="0"/>
        <w:jc w:val="both"/>
        <w:spacing w:before="0" w:after="0" w:lineRule="exact" w:line="312"/>
        <w:ind w:right="869" w:left="861" w:firstLine="524"/>
        <w:snapToGrid w:val="0"/>
        <w:textAlignment w:val="auto"/>
        <w:tabs/>
        <w:rPr>
          <w:rFonts w:ascii="宋体" w:hAnsi="宋体" w:cs="宋体" w:eastAsia="宋体" w:hint="ascii"/>
          <w:sz w:val="21"/>
        </w:rPr>
      </w:pPr>
      <w:r>
        <w:rPr>
          <w:rFonts w:ascii="宋体" w:hAnsi="宋体" w:cs="宋体" w:eastAsia="宋体" w:hint="ascii"/>
          <w:sz w:val="21"/>
        </w:rPr>
        <w:t>申请</w:t>
      </w:r>
      <w:r>
        <w:rPr>
          <w:rFonts w:ascii="宋体" w:hAnsi="宋体" w:cs="宋体" w:eastAsia="宋体" w:hint="ascii"/>
          <w:sz w:val="21"/>
          <w:spacing w:val="-1"/>
        </w:rPr>
        <w:t>人</w:t>
      </w:r>
      <w:r>
        <w:rPr>
          <w:rFonts w:ascii="宋体" w:hAnsi="宋体" w:cs="宋体" w:eastAsia="宋体" w:hint="ascii"/>
          <w:sz w:val="21"/>
        </w:rPr>
        <w:t>在</w:t>
      </w:r>
      <w:r>
        <w:rPr>
          <w:rFonts w:ascii="宋体" w:hAnsi="宋体" w:cs="宋体" w:eastAsia="宋体" w:hint="ascii"/>
          <w:sz w:val="21"/>
          <w:spacing w:val="-1"/>
        </w:rPr>
        <w:t>撰</w:t>
      </w:r>
      <w:r>
        <w:rPr>
          <w:rFonts w:ascii="宋体" w:hAnsi="宋体" w:cs="宋体" w:eastAsia="宋体" w:hint="ascii"/>
          <w:sz w:val="21"/>
        </w:rPr>
        <w:t>写重</w:t>
      </w:r>
      <w:r>
        <w:rPr>
          <w:rFonts w:ascii="宋体" w:hAnsi="宋体" w:cs="宋体" w:eastAsia="宋体" w:hint="ascii"/>
          <w:sz w:val="21"/>
          <w:spacing w:val="-1"/>
        </w:rPr>
        <w:t>点</w:t>
      </w:r>
      <w:r>
        <w:rPr>
          <w:rFonts w:ascii="宋体" w:hAnsi="宋体" w:cs="宋体" w:eastAsia="宋体" w:hint="ascii"/>
          <w:sz w:val="21"/>
        </w:rPr>
        <w:t>项</w:t>
      </w:r>
      <w:r>
        <w:rPr>
          <w:rFonts w:ascii="宋体" w:hAnsi="宋体" w:cs="宋体" w:eastAsia="宋体" w:hint="ascii"/>
          <w:sz w:val="21"/>
          <w:spacing w:val="-1"/>
        </w:rPr>
        <w:t>目</w:t>
      </w:r>
      <w:r>
        <w:rPr>
          <w:rFonts w:ascii="宋体" w:hAnsi="宋体" w:cs="宋体" w:eastAsia="宋体" w:hint="ascii"/>
          <w:sz w:val="21"/>
        </w:rPr>
        <w:t>申请</w:t>
      </w:r>
      <w:r>
        <w:rPr>
          <w:rFonts w:ascii="宋体" w:hAnsi="宋体" w:cs="宋体" w:eastAsia="宋体" w:hint="ascii"/>
          <w:sz w:val="21"/>
          <w:spacing w:val="-1"/>
        </w:rPr>
        <w:t>书</w:t>
      </w:r>
      <w:r>
        <w:rPr>
          <w:rFonts w:ascii="宋体" w:hAnsi="宋体" w:cs="宋体" w:eastAsia="宋体" w:hint="ascii"/>
          <w:sz w:val="21"/>
        </w:rPr>
        <w:t>时</w:t>
      </w:r>
      <w:r>
        <w:rPr>
          <w:rFonts w:ascii="宋体" w:hAnsi="宋体" w:cs="宋体" w:eastAsia="宋体" w:hint="ascii"/>
          <w:sz w:val="21"/>
          <w:spacing w:val="-1"/>
        </w:rPr>
        <w:t>，</w:t>
      </w:r>
      <w:r>
        <w:rPr>
          <w:rFonts w:ascii="宋体" w:hAnsi="宋体" w:cs="宋体" w:eastAsia="宋体" w:hint="ascii"/>
          <w:sz w:val="21"/>
        </w:rPr>
        <w:t>应当</w:t>
      </w:r>
      <w:r>
        <w:rPr>
          <w:rFonts w:ascii="宋体" w:hAnsi="宋体" w:cs="宋体" w:eastAsia="宋体" w:hint="ascii"/>
          <w:sz w:val="21"/>
          <w:spacing w:val="-1"/>
        </w:rPr>
        <w:t>详</w:t>
      </w:r>
      <w:r>
        <w:rPr>
          <w:rFonts w:ascii="宋体" w:hAnsi="宋体" w:cs="宋体" w:eastAsia="宋体" w:hint="ascii"/>
          <w:sz w:val="21"/>
        </w:rPr>
        <w:t>细</w:t>
      </w:r>
      <w:r>
        <w:rPr>
          <w:rFonts w:ascii="宋体" w:hAnsi="宋体" w:cs="宋体" w:eastAsia="宋体" w:hint="ascii"/>
          <w:sz w:val="21"/>
          <w:spacing w:val="-1"/>
        </w:rPr>
        <w:t>论</w:t>
      </w:r>
      <w:r>
        <w:rPr>
          <w:rFonts w:ascii="宋体" w:hAnsi="宋体" w:cs="宋体" w:eastAsia="宋体" w:hint="ascii"/>
          <w:sz w:val="21"/>
        </w:rPr>
        <w:t>述与</w:t>
      </w:r>
      <w:r>
        <w:rPr>
          <w:rFonts w:ascii="宋体" w:hAnsi="宋体" w:cs="宋体" w:eastAsia="宋体" w:hint="ascii"/>
          <w:sz w:val="21"/>
          <w:spacing w:val="-1"/>
        </w:rPr>
        <w:t>本</w:t>
      </w:r>
      <w:r>
        <w:rPr>
          <w:rFonts w:ascii="宋体" w:hAnsi="宋体" w:cs="宋体" w:eastAsia="宋体" w:hint="ascii"/>
          <w:sz w:val="21"/>
        </w:rPr>
        <w:t>次</w:t>
      </w:r>
      <w:r>
        <w:rPr>
          <w:rFonts w:ascii="宋体" w:hAnsi="宋体" w:cs="宋体" w:eastAsia="宋体" w:hint="ascii"/>
          <w:sz w:val="21"/>
          <w:spacing w:val="-1"/>
        </w:rPr>
        <w:t>申</w:t>
      </w:r>
      <w:r>
        <w:rPr>
          <w:rFonts w:ascii="宋体" w:hAnsi="宋体" w:cs="宋体" w:eastAsia="宋体" w:hint="ascii"/>
          <w:sz w:val="21"/>
        </w:rPr>
        <w:t>请相</w:t>
      </w:r>
      <w:r>
        <w:rPr>
          <w:rFonts w:ascii="宋体" w:hAnsi="宋体" w:cs="宋体" w:eastAsia="宋体" w:hint="ascii"/>
          <w:sz w:val="21"/>
          <w:spacing w:val="-1"/>
        </w:rPr>
        <w:t>关</w:t>
      </w:r>
      <w:r>
        <w:rPr>
          <w:rFonts w:ascii="宋体" w:hAnsi="宋体" w:cs="宋体" w:eastAsia="宋体" w:hint="ascii"/>
          <w:sz w:val="21"/>
        </w:rPr>
        <w:t>的</w:t>
      </w:r>
      <w:r>
        <w:rPr>
          <w:rFonts w:ascii="宋体" w:hAnsi="宋体" w:cs="宋体" w:eastAsia="宋体" w:hint="ascii"/>
          <w:sz w:val="21"/>
          <w:spacing w:val="-1"/>
        </w:rPr>
        <w:t>前</w:t>
      </w:r>
      <w:r>
        <w:rPr>
          <w:rFonts w:ascii="宋体" w:hAnsi="宋体" w:cs="宋体" w:eastAsia="宋体" w:hint="ascii"/>
          <w:sz w:val="21"/>
        </w:rPr>
        <w:t>期工</w:t>
      </w:r>
      <w:r>
        <w:rPr>
          <w:rFonts w:ascii="宋体" w:hAnsi="宋体" w:cs="宋体" w:eastAsia="宋体" w:hint="ascii"/>
          <w:sz w:val="21"/>
          <w:spacing w:val="-1"/>
        </w:rPr>
        <w:t>作</w:t>
      </w:r>
      <w:r>
        <w:rPr>
          <w:rFonts w:ascii="宋体" w:hAnsi="宋体" w:cs="宋体" w:eastAsia="宋体" w:hint="ascii"/>
          <w:sz w:val="21"/>
        </w:rPr>
        <w:t>基</w:t>
      </w:r>
      <w:r>
        <w:rPr>
          <w:rFonts w:ascii="宋体" w:hAnsi="宋体" w:cs="宋体" w:eastAsia="宋体" w:hint="ascii"/>
          <w:sz w:val="21"/>
          <w:spacing w:val="-1"/>
        </w:rPr>
        <w:t>础</w:t>
      </w:r>
      <w:r>
        <w:rPr>
          <w:rFonts w:ascii="宋体" w:hAnsi="宋体" w:cs="宋体" w:eastAsia="宋体" w:hint="ascii"/>
          <w:sz w:val="21"/>
          <w:spacing w:val="-4"/>
        </w:rPr>
        <w:t>。</w:t>
      </w:r>
      <w:r>
        <w:rPr>
          <w:rFonts w:ascii="宋体" w:hAnsi="宋体" w:cs="宋体" w:eastAsia="宋体" w:hint="ascii"/>
          <w:sz w:val="21"/>
        </w:rPr>
        <w:t xml:space="preserve"> “个人简历”一栏中要详细提供申请人及主要参与者的工作简历和教育背景、以往获科</w:t>
      </w:r>
    </w:p>
    <w:p>
      <w:pPr>
        <w:autoSpaceDE w:val="0"/>
        <w:autoSpaceDN w:val="0"/>
        <w:jc w:val="left"/>
        <w:spacing w:before="0" w:after="0" w:lineRule="exact" w:line="312"/>
        <w:ind w:right="869" w:left="966" w:firstLine="0"/>
        <w:snapToGrid w:val="0"/>
        <w:textAlignment w:val="auto"/>
        <w:tabs/>
        <w:rPr>
          <w:rFonts w:ascii="宋体" w:hAnsi="宋体" w:cs="宋体" w:eastAsia="宋体" w:hint="ascii"/>
          <w:sz w:val="21"/>
        </w:rPr>
      </w:pPr>
      <w:r>
        <w:rPr>
          <w:rFonts w:ascii="宋体" w:hAnsi="宋体" w:cs="宋体" w:eastAsia="宋体" w:hint="ascii"/>
          <w:sz w:val="21"/>
        </w:rPr>
        <w:t>学基金资助情况、结题情况、发表相关论文情况。所列论文应当将已发表论文和待发表论文分别列出，对已发表论文，应当列出全部作者姓名、论文题目、发表的期刊号、页码等，并按论著、论文摘要、会议论文等类别分别列出。</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申请书的研究内容应当阐明与重点资助的研究方向的关系及相应的学术贡献。为避</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免重复资助，</w:t>
      </w:r>
      <w:r>
        <w:rPr>
          <w:rFonts w:ascii="宋体" w:hAnsi="宋体" w:cs="宋体" w:eastAsia="宋体" w:hint="ascii"/>
          <w:sz w:val="21"/>
        </w:rPr>
        <w:t>应明确论述该项申请与已获国家其他科技计划资助的相关研究项目的联系与区别。</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重点项目申请代码由申请人自主选择填写。</w:t>
      </w:r>
    </w:p>
    <w:p>
      <w:pPr>
        <w:autoSpaceDE w:val="0"/>
        <w:autoSpaceDN w:val="0"/>
        <w:jc w:val="left"/>
        <w:spacing w:before="49" w:after="0" w:lineRule="auto" w:line="240"/>
        <w:ind w:right="0" w:left="1861" w:hanging="475"/>
        <w:snapToGrid w:val="0"/>
        <w:textAlignment w:val="auto"/>
        <w:tabs>
          <w:tab w:val="left" w:leader="none" w:pos="1861"/>
        </w:tabs>
        <w:numPr>
          <w:ilvl w:val="0"/>
          <w:numId w:val="134"/>
        </w:numPr>
        <w:rPr>
          <w:rFonts w:ascii="Times New Roman" w:hAnsi="Times New Roman" w:cs="Times New Roman" w:eastAsia="Times New Roman" w:hint="ascii"/>
          <w:sz w:val="21"/>
          <w:spacing w:val="1"/>
        </w:rPr>
      </w:pPr>
      <w:r>
        <w:rPr>
          <w:rFonts w:ascii="宋体" w:hAnsi="宋体" w:cs="宋体" w:eastAsia="宋体" w:hint="ascii"/>
          <w:sz w:val="21"/>
        </w:rPr>
        <w:t>年度地球科学部接收重点项目申</w:t>
      </w:r>
      <w:r>
        <w:rPr>
          <w:rFonts w:ascii="宋体" w:hAnsi="宋体" w:cs="宋体" w:eastAsia="宋体" w:hint="ascii"/>
          <w:sz w:val="21"/>
          <w:spacing w:val="27"/>
        </w:rPr>
        <w:t>请</w:t>
      </w:r>
      <w:r>
        <w:rPr>
          <w:rFonts w:ascii="Times New Roman" w:hAnsi="Times New Roman" w:cs="Times New Roman" w:eastAsia="Times New Roman" w:hint="ascii"/>
          <w:sz w:val="21"/>
        </w:rPr>
        <w:t>481</w:t>
      </w:r>
      <w:r>
        <w:rPr>
          <w:rFonts w:ascii="Times New Roman" w:hAnsi="Times New Roman" w:cs="Times New Roman" w:eastAsia="Times New Roman" w:hint="ascii"/>
          <w:sz w:val="21"/>
          <w:spacing w:val="-25"/>
        </w:rPr>
        <w:t xml:space="preserve"> </w:t>
      </w:r>
      <w:r>
        <w:rPr>
          <w:rFonts w:ascii="宋体" w:hAnsi="宋体" w:cs="宋体" w:eastAsia="宋体" w:hint="ascii"/>
          <w:sz w:val="21"/>
        </w:rPr>
        <w:t>项，资助</w:t>
      </w:r>
      <w:r>
        <w:rPr>
          <w:rFonts w:ascii="宋体" w:hAnsi="宋体" w:cs="宋体" w:eastAsia="宋体" w:hint="ascii"/>
          <w:sz w:val="21"/>
          <w:spacing w:val="-25"/>
        </w:rPr>
        <w:t xml:space="preserve"> </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4"/>
        </w:rPr>
        <w:t>9</w:t>
      </w:r>
      <w:r>
        <w:rPr>
          <w:rFonts w:ascii="宋体" w:hAnsi="宋体" w:cs="宋体" w:eastAsia="宋体" w:hint="ascii"/>
          <w:sz w:val="21"/>
        </w:rPr>
        <w:t>项，资助直接费</w:t>
      </w:r>
      <w:r>
        <w:rPr>
          <w:rFonts w:ascii="宋体" w:hAnsi="宋体" w:cs="宋体" w:eastAsia="宋体" w:hint="ascii"/>
          <w:sz w:val="21"/>
          <w:spacing w:val="27"/>
        </w:rPr>
        <w:t>用</w:t>
      </w:r>
      <w:r>
        <w:rPr>
          <w:rFonts w:ascii="Times New Roman" w:hAnsi="Times New Roman" w:cs="Times New Roman" w:eastAsia="Times New Roman" w:hint="ascii"/>
          <w:sz w:val="21"/>
        </w:rPr>
        <w:t>28 080</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万元，资助</w:t>
      </w:r>
      <w:r>
        <w:rPr>
          <w:rFonts w:ascii="宋体" w:hAnsi="宋体" w:cs="宋体" w:eastAsia="宋体" w:hint="ascii"/>
          <w:sz w:val="21"/>
          <w:spacing w:val="-3"/>
        </w:rPr>
        <w:t>率</w:t>
      </w:r>
      <w:r>
        <w:rPr>
          <w:rFonts w:ascii="宋体" w:hAnsi="宋体" w:cs="宋体" w:eastAsia="宋体" w:hint="ascii"/>
          <w:sz w:val="21"/>
          <w:spacing w:val="-26"/>
        </w:rPr>
        <w:t xml:space="preserve"> </w:t>
      </w:r>
      <w:r>
        <w:rPr>
          <w:rFonts w:ascii="Times New Roman" w:hAnsi="Times New Roman" w:cs="Times New Roman" w:eastAsia="Times New Roman" w:hint="ascii"/>
          <w:sz w:val="21"/>
        </w:rPr>
        <w:t>18.50</w:t>
      </w:r>
      <w:r>
        <w:rPr>
          <w:rFonts w:ascii="Times New Roman" w:hAnsi="Times New Roman" w:cs="Times New Roman" w:eastAsia="Times New Roman" w:hint="ascii"/>
          <w:sz w:val="21"/>
          <w:spacing w:val="5"/>
        </w:rPr>
        <w:t>%</w:t>
      </w:r>
      <w:r>
        <w:rPr>
          <w:rFonts w:ascii="宋体" w:hAnsi="宋体" w:cs="宋体" w:eastAsia="宋体" w:hint="ascii"/>
          <w:sz w:val="21"/>
        </w:rPr>
        <w:t>，直接费用平均资助强</w:t>
      </w:r>
      <w:r>
        <w:rPr>
          <w:rFonts w:ascii="宋体" w:hAnsi="宋体" w:cs="宋体" w:eastAsia="宋体" w:hint="ascii"/>
          <w:sz w:val="21"/>
          <w:spacing w:val="-3"/>
        </w:rPr>
        <w:t>度</w:t>
      </w:r>
      <w:r>
        <w:rPr>
          <w:rFonts w:ascii="宋体" w:hAnsi="宋体" w:cs="宋体" w:eastAsia="宋体" w:hint="ascii"/>
          <w:sz w:val="21"/>
          <w:spacing w:val="-26"/>
        </w:rPr>
        <w:t xml:space="preserve"> </w:t>
      </w:r>
      <w:r>
        <w:rPr>
          <w:rFonts w:ascii="Times New Roman" w:hAnsi="Times New Roman" w:cs="Times New Roman" w:eastAsia="Times New Roman" w:hint="ascii"/>
          <w:sz w:val="21"/>
        </w:rPr>
        <w:t>315.51</w:t>
      </w:r>
      <w:r>
        <w:rPr>
          <w:rFonts w:ascii="Times New Roman" w:hAnsi="Times New Roman" w:cs="Times New Roman" w:eastAsia="Times New Roman" w:hint="ascii"/>
          <w:sz w:val="21"/>
          <w:spacing w:val="-26"/>
        </w:rPr>
        <w:t xml:space="preserve"> </w:t>
      </w:r>
      <w:r>
        <w:rPr>
          <w:rFonts w:ascii="宋体" w:hAnsi="宋体" w:cs="宋体" w:eastAsia="宋体" w:hint="ascii"/>
          <w:sz w:val="21"/>
        </w:rPr>
        <w:t>万元</w:t>
      </w:r>
      <w:r>
        <w:rPr>
          <w:rFonts w:ascii="Times New Roman" w:hAnsi="Times New Roman" w:cs="Times New Roman" w:eastAsia="Times New Roman" w:hint="ascii"/>
          <w:sz w:val="21"/>
          <w:spacing w:val="5"/>
        </w:rPr>
        <w:t>/</w:t>
      </w:r>
      <w:r>
        <w:rPr>
          <w:rFonts w:ascii="宋体" w:hAnsi="宋体" w:cs="宋体" w:eastAsia="宋体" w:hint="ascii"/>
          <w:sz w:val="21"/>
        </w:rPr>
        <w:t>项。</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年度拟资助重</w:t>
      </w:r>
      <w:r>
        <w:rPr>
          <w:rFonts w:ascii="宋体" w:hAnsi="宋体" w:cs="宋体" w:eastAsia="宋体" w:hint="ascii"/>
          <w:sz w:val="21"/>
          <w:spacing w:val="-6"/>
        </w:rPr>
        <w:t>点</w:t>
      </w:r>
      <w:r>
        <w:rPr>
          <w:rFonts w:ascii="宋体" w:hAnsi="宋体" w:cs="宋体" w:eastAsia="宋体" w:hint="ascii"/>
          <w:sz w:val="21"/>
        </w:rPr>
        <w:t>项</w:t>
      </w:r>
      <w:r>
        <w:rPr>
          <w:rFonts w:ascii="宋体" w:hAnsi="宋体" w:cs="宋体" w:eastAsia="宋体" w:hint="ascii"/>
          <w:sz w:val="21"/>
          <w:spacing w:val="26"/>
        </w:rPr>
        <w:t>目</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1"/>
        </w:rPr>
        <w:t>9</w:t>
      </w:r>
      <w:r>
        <w:rPr>
          <w:rFonts w:ascii="宋体" w:hAnsi="宋体" w:cs="宋体" w:eastAsia="宋体" w:hint="ascii"/>
          <w:sz w:val="21"/>
        </w:rPr>
        <w:t>项，直接费用资助强度</w:t>
      </w:r>
      <w:r>
        <w:rPr>
          <w:rFonts w:ascii="宋体" w:hAnsi="宋体" w:cs="宋体" w:eastAsia="宋体" w:hint="ascii"/>
          <w:sz w:val="21"/>
          <w:spacing w:val="26"/>
        </w:rPr>
        <w:t>为</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52"/>
        </w:rPr>
        <w:t>0</w:t>
      </w:r>
      <w:r>
        <w:rPr>
          <w:rFonts w:ascii="宋体" w:hAnsi="宋体" w:cs="宋体" w:eastAsia="宋体" w:hint="ascii"/>
          <w:sz w:val="21"/>
        </w:rPr>
        <w:t>万</w:t>
      </w:r>
      <w:r>
        <w:rPr>
          <w:rFonts w:ascii="宋体" w:hAnsi="宋体" w:cs="宋体" w:eastAsia="宋体" w:hint="ascii"/>
          <w:sz w:val="21"/>
        </w:rPr>
        <w:t>～</w:t>
      </w:r>
      <w:r>
        <w:rPr>
          <w:rFonts w:ascii="Times New Roman" w:hAnsi="Times New Roman" w:cs="Times New Roman" w:eastAsia="Times New Roman" w:hint="ascii"/>
          <w:sz w:val="21"/>
        </w:rPr>
        <w:t>35</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5</w:t>
      </w:r>
      <w:r>
        <w:rPr>
          <w:rFonts w:ascii="宋体" w:hAnsi="宋体" w:cs="宋体" w:eastAsia="宋体" w:hint="ascii"/>
          <w:sz w:val="21"/>
        </w:rPr>
        <w:t>年。</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特别提醒申请人：</w:t>
      </w:r>
    </w:p>
    <w:p>
      <w:pPr>
        <w:autoSpaceDE w:val="0"/>
        <w:autoSpaceDN w:val="0"/>
        <w:jc w:val="left"/>
        <w:spacing w:before="49" w:after="0" w:lineRule="auto" w:line="240"/>
        <w:ind w:right="0" w:left="1861" w:hanging="475"/>
        <w:snapToGrid w:val="0"/>
        <w:textAlignment w:val="auto"/>
        <w:tabs>
          <w:tab w:val="left" w:leader="none" w:pos="1858"/>
        </w:tabs>
        <w:numPr>
          <w:ilvl w:val="0"/>
          <w:numId w:val="134"/>
        </w:numPr>
        <w:rPr>
          <w:rFonts w:ascii="Times New Roman" w:hAnsi="Times New Roman" w:cs="Times New Roman" w:eastAsia="Times New Roman" w:hint="ascii"/>
          <w:sz w:val="21"/>
          <w:spacing w:val="1"/>
        </w:rPr>
      </w:pPr>
      <w:r>
        <w:rPr>
          <w:rFonts w:ascii="宋体" w:hAnsi="宋体" w:cs="宋体" w:eastAsia="宋体" w:hint="ascii"/>
          <w:sz w:val="21"/>
        </w:rPr>
        <w:t>年度，地球科学部受理的重点项目领域</w:t>
      </w:r>
      <w:r>
        <w:rPr>
          <w:rFonts w:ascii="宋体" w:hAnsi="宋体" w:cs="宋体" w:eastAsia="宋体" w:hint="ascii"/>
          <w:sz w:val="21"/>
          <w:spacing w:val="26"/>
        </w:rPr>
        <w:t>共</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rPr>
        <w:t>个，</w:t>
      </w:r>
      <w:r>
        <w:rPr>
          <w:rFonts w:ascii="宋体" w:hAnsi="宋体" w:cs="宋体" w:eastAsia="宋体" w:hint="ascii"/>
          <w:sz w:val="21"/>
        </w:rPr>
        <w:t>领域名称分别为：</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）地球观测与信息提取的新理论、技术和方法；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）地球深部过程与动力学；</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）地球环境演化与生命过程；</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）矿产资源和化石能源形成机理；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）海洋过程及其资源、环境和气候效应；</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）地表环境变化过程及其效应；</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）土、水资源演变与可持续利用；</w:t>
      </w:r>
    </w:p>
    <w:p>
      <w:pPr>
        <w:autoSpaceDE w:val="0"/>
        <w:autoSpaceDN w:val="0"/>
        <w:jc w:val="left"/>
        <w:spacing w:before="548"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89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）地球关键带过程与功能；</w:t>
      </w:r>
      <w:r>
        <w:rPr>
          <w:rFonts w:ascii="宋体" w:hAnsi="宋体" w:cs="宋体" w:eastAsia="宋体" w:hint="ascii"/>
          <w:sz w:val="21"/>
        </w:rPr>
        <mc:AlternateContent>
          <mc:Choice Requires="wps">
            <w:drawing>
              <wp:anchor distL="0" distR="0" distT="0" distB="0" simplePos="0" behindDoc="1" relativeHeight="156" locked="0" layoutInCell="1" allowOverlap="1">
                <wp:simplePos x="0" y="0"/>
                <wp:positionH relativeFrom="page">
                  <wp:posOffset>938530</wp:posOffset>
                </wp:positionH>
                <wp:positionV relativeFrom="page">
                  <wp:posOffset>805815</wp:posOffset>
                </wp:positionV>
                <wp:extent cx="5076190" cy="0"/>
                <wp:wrapNone/>
                <wp:docPr id="1185" name="118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98496;width:399.70pt;" id="118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）天气、气候与大气环境过程、变化及其机制；</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）日地空间环境和空间天气；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）全球环境变化与地球圈层相互作用；</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）人类活动对环境和灾害的影响。</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鉴于以往在重点项目申请中出现的问题，申请书的“附注说明”栏，请务必填写以</w:t>
      </w:r>
    </w:p>
    <w:p>
      <w:pPr>
        <w:autoSpaceDE w:val="0"/>
        <w:autoSpaceDN w:val="0"/>
        <w:jc w:val="both"/>
        <w:spacing w:before="10" w:after="0" w:lineRule="exact" w:line="312"/>
        <w:ind w:right="976" w:left="0" w:firstLine="0"/>
        <w:snapToGrid w:val="0"/>
        <w:textAlignment w:val="auto"/>
        <w:tabs/>
        <w:rPr>
          <w:rFonts w:ascii="宋体" w:hAnsi="宋体" w:cs="宋体" w:eastAsia="宋体" w:hint="ascii"/>
          <w:b w:val="1"/>
          <w:sz w:val="21"/>
        </w:rPr>
      </w:pPr>
      <w:r>
        <w:rPr>
          <w:rFonts w:ascii="宋体" w:hAnsi="宋体" w:cs="宋体" w:eastAsia="宋体" w:hint="ascii"/>
          <w:sz w:val="21"/>
          <w:spacing w:val="25"/>
        </w:rPr>
        <w:t>上</w:t>
      </w:r>
      <w:r>
        <w:rPr>
          <w:rFonts w:ascii="Times New Roman" w:hAnsi="Times New Roman" w:cs="Times New Roman" w:eastAsia="Times New Roman" w:hint="ascii"/>
          <w:b w:val="1"/>
          <w:sz w:val="21"/>
          <w:spacing w:val="-1"/>
        </w:rPr>
        <w:t>1</w:t>
      </w:r>
      <w:r>
        <w:rPr>
          <w:rFonts w:ascii="Times New Roman" w:hAnsi="Times New Roman" w:cs="Times New Roman" w:eastAsia="Times New Roman" w:hint="ascii"/>
          <w:b w:val="1"/>
          <w:sz w:val="21"/>
          <w:spacing w:val="51"/>
        </w:rPr>
        <w:t>2</w:t>
      </w:r>
      <w:r>
        <w:rPr>
          <w:rFonts w:ascii="宋体" w:hAnsi="宋体" w:cs="宋体" w:eastAsia="宋体" w:hint="ascii"/>
          <w:sz w:val="21"/>
          <w:spacing w:val="-1"/>
        </w:rPr>
        <w:t>个“</w:t>
      </w:r>
      <w:r>
        <w:rPr>
          <w:rFonts w:ascii="宋体" w:hAnsi="宋体" w:cs="宋体" w:eastAsia="宋体" w:hint="ascii"/>
          <w:sz w:val="21"/>
        </w:rPr>
        <w:t>领域名称”之一</w:t>
      </w:r>
      <w:r>
        <w:rPr>
          <w:rFonts w:ascii="宋体" w:hAnsi="宋体" w:cs="宋体" w:eastAsia="宋体" w:hint="ascii"/>
          <w:sz w:val="21"/>
          <w:spacing w:val="-52"/>
        </w:rPr>
        <w:t>；</w:t>
      </w:r>
      <w:r>
        <w:rPr>
          <w:rFonts w:ascii="宋体" w:hAnsi="宋体" w:cs="宋体" w:eastAsia="宋体" w:hint="ascii"/>
          <w:sz w:val="21"/>
        </w:rPr>
        <w:t>“附注说明”栏未填写或填写错误领域名称的申请书，将不予受理</w:t>
      </w:r>
      <w:r>
        <w:rPr>
          <w:rFonts w:ascii="宋体" w:hAnsi="宋体" w:cs="宋体" w:eastAsia="宋体" w:hint="ascii"/>
          <w:b w:val="1"/>
          <w:sz w:val="21"/>
        </w:rPr>
        <w:t>。</w:t>
      </w:r>
    </w:p>
    <w:p>
      <w:pPr>
        <w:autoSpaceDE w:val="0"/>
        <w:autoSpaceDN w:val="0"/>
        <w:jc w:val="both"/>
        <w:spacing w:before="0" w:after="0" w:lineRule="exact" w:line="312"/>
        <w:ind w:right="976" w:left="0" w:firstLine="420"/>
        <w:snapToGrid w:val="0"/>
        <w:textAlignment w:val="auto"/>
        <w:tabs/>
        <w:rPr>
          <w:rFonts w:ascii="宋体" w:hAnsi="宋体" w:cs="宋体" w:eastAsia="宋体" w:hint="ascii"/>
          <w:b w:val="1"/>
          <w:sz w:val="21"/>
        </w:rPr>
      </w:pPr>
      <w:r>
        <w:rPr>
          <w:rFonts w:ascii="宋体" w:hAnsi="宋体" w:cs="宋体" w:eastAsia="宋体" w:hint="ascii"/>
          <w:sz w:val="21"/>
          <w:spacing w:val="1"/>
        </w:rPr>
        <w:t>申请</w:t>
      </w:r>
      <w:r>
        <w:rPr>
          <w:rFonts w:ascii="宋体" w:hAnsi="宋体" w:cs="宋体" w:eastAsia="宋体" w:hint="ascii"/>
          <w:sz w:val="21"/>
          <w:spacing w:val="2"/>
        </w:rPr>
        <w:t>人</w:t>
      </w:r>
      <w:r>
        <w:rPr>
          <w:rFonts w:ascii="宋体" w:hAnsi="宋体" w:cs="宋体" w:eastAsia="宋体" w:hint="ascii"/>
          <w:sz w:val="21"/>
        </w:rPr>
        <w:t>可根据领</w:t>
      </w:r>
      <w:r>
        <w:rPr>
          <w:rFonts w:ascii="宋体" w:hAnsi="宋体" w:cs="宋体" w:eastAsia="宋体" w:hint="ascii"/>
          <w:sz w:val="21"/>
          <w:spacing w:val="1"/>
        </w:rPr>
        <w:t>域</w:t>
      </w:r>
      <w:r>
        <w:rPr>
          <w:rFonts w:ascii="宋体" w:hAnsi="宋体" w:cs="宋体" w:eastAsia="宋体" w:hint="ascii"/>
          <w:sz w:val="21"/>
        </w:rPr>
        <w:t>中的研究</w:t>
      </w:r>
      <w:r>
        <w:rPr>
          <w:rFonts w:ascii="宋体" w:hAnsi="宋体" w:cs="宋体" w:eastAsia="宋体" w:hint="ascii"/>
          <w:sz w:val="21"/>
          <w:spacing w:val="1"/>
        </w:rPr>
        <w:t>方</w:t>
      </w:r>
      <w:r>
        <w:rPr>
          <w:rFonts w:ascii="宋体" w:hAnsi="宋体" w:cs="宋体" w:eastAsia="宋体" w:hint="ascii"/>
          <w:sz w:val="21"/>
        </w:rPr>
        <w:t>向，在认</w:t>
      </w:r>
      <w:r>
        <w:rPr>
          <w:rFonts w:ascii="宋体" w:hAnsi="宋体" w:cs="宋体" w:eastAsia="宋体" w:hint="ascii"/>
          <w:sz w:val="21"/>
          <w:spacing w:val="1"/>
        </w:rPr>
        <w:t>真</w:t>
      </w:r>
      <w:r>
        <w:rPr>
          <w:rFonts w:ascii="宋体" w:hAnsi="宋体" w:cs="宋体" w:eastAsia="宋体" w:hint="ascii"/>
          <w:sz w:val="21"/>
        </w:rPr>
        <w:t>总结国内</w:t>
      </w:r>
      <w:r>
        <w:rPr>
          <w:rFonts w:ascii="宋体" w:hAnsi="宋体" w:cs="宋体" w:eastAsia="宋体" w:hint="ascii"/>
          <w:sz w:val="21"/>
          <w:spacing w:val="1"/>
        </w:rPr>
        <w:t>外</w:t>
      </w:r>
      <w:r>
        <w:rPr>
          <w:rFonts w:ascii="宋体" w:hAnsi="宋体" w:cs="宋体" w:eastAsia="宋体" w:hint="ascii"/>
          <w:sz w:val="21"/>
        </w:rPr>
        <w:t>过去的工</w:t>
      </w:r>
      <w:r>
        <w:rPr>
          <w:rFonts w:ascii="宋体" w:hAnsi="宋体" w:cs="宋体" w:eastAsia="宋体" w:hint="ascii"/>
          <w:sz w:val="21"/>
          <w:spacing w:val="1"/>
        </w:rPr>
        <w:t>作</w:t>
      </w:r>
      <w:r>
        <w:rPr>
          <w:rFonts w:ascii="宋体" w:hAnsi="宋体" w:cs="宋体" w:eastAsia="宋体" w:hint="ascii"/>
          <w:sz w:val="21"/>
        </w:rPr>
        <w:t>、明确新</w:t>
      </w:r>
      <w:r>
        <w:rPr>
          <w:rFonts w:ascii="宋体" w:hAnsi="宋体" w:cs="宋体" w:eastAsia="宋体" w:hint="ascii"/>
          <w:sz w:val="21"/>
          <w:spacing w:val="1"/>
        </w:rPr>
        <w:t>的</w:t>
      </w:r>
      <w:r>
        <w:rPr>
          <w:rFonts w:ascii="宋体" w:hAnsi="宋体" w:cs="宋体" w:eastAsia="宋体" w:hint="ascii"/>
          <w:sz w:val="21"/>
        </w:rPr>
        <w:t>突</w:t>
      </w:r>
      <w:r>
        <w:rPr>
          <w:rFonts w:ascii="宋体" w:hAnsi="宋体" w:cs="宋体" w:eastAsia="宋体" w:hint="ascii"/>
          <w:sz w:val="21"/>
          <w:spacing w:val="-6"/>
        </w:rPr>
        <w:t>破</w:t>
      </w:r>
      <w:r>
        <w:rPr>
          <w:rFonts w:ascii="宋体" w:hAnsi="宋体" w:cs="宋体" w:eastAsia="宋体" w:hint="ascii"/>
          <w:sz w:val="21"/>
        </w:rPr>
        <w:t>点，以及如何突破的基础上，自主确定项目名称、研究内容和研究方案</w:t>
      </w:r>
      <w:r>
        <w:rPr>
          <w:rFonts w:ascii="宋体" w:hAnsi="宋体" w:cs="宋体" w:eastAsia="宋体" w:hint="ascii"/>
          <w:b w:val="1"/>
          <w:sz w:val="21"/>
        </w:rPr>
        <w:t>。</w:t>
      </w:r>
    </w:p>
    <w:p>
      <w:pPr>
        <w:autoSpaceDE w:val="0"/>
        <w:autoSpaceDN w:val="0"/>
        <w:jc w:val="left"/>
        <w:spacing w:before="40"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地球观测与信息提取的新理论、技术和方法</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本领域的科学目标：地球科学是以数学、物理、化学理论及其观测、探测方法和实</w:t>
      </w:r>
    </w:p>
    <w:p>
      <w:pPr>
        <w:autoSpaceDE w:val="0"/>
        <w:autoSpaceDN w:val="0"/>
        <w:jc w:val="both"/>
        <w:spacing w:before="10" w:after="0" w:lineRule="exact" w:line="312"/>
        <w:ind w:right="976" w:left="0" w:firstLine="0"/>
        <w:snapToGrid w:val="0"/>
        <w:textAlignment w:val="auto"/>
        <w:tabs/>
        <w:rPr>
          <w:rFonts w:ascii="宋体" w:hAnsi="宋体" w:cs="宋体" w:eastAsia="宋体" w:hint="ascii"/>
          <w:sz w:val="21"/>
        </w:rPr>
      </w:pPr>
      <w:r>
        <w:rPr>
          <w:rFonts w:ascii="宋体" w:hAnsi="宋体" w:cs="宋体" w:eastAsia="宋体" w:hint="ascii"/>
          <w:sz w:val="21"/>
          <w:spacing w:val="-1"/>
        </w:rPr>
        <w:t>验研究为</w:t>
      </w:r>
      <w:r>
        <w:rPr>
          <w:rFonts w:ascii="宋体" w:hAnsi="宋体" w:cs="宋体" w:eastAsia="宋体" w:hint="ascii"/>
          <w:sz w:val="21"/>
        </w:rPr>
        <w:t>基础的科学。新理论、新技术和新方法的应用引起了地球科学研究方式和思维</w:t>
      </w:r>
      <w:r>
        <w:rPr>
          <w:rFonts w:ascii="宋体" w:hAnsi="宋体" w:cs="宋体" w:eastAsia="宋体" w:hint="ascii"/>
          <w:sz w:val="21"/>
          <w:spacing w:val="-1"/>
        </w:rPr>
        <w:t>方式的巨</w:t>
      </w:r>
      <w:r>
        <w:rPr>
          <w:rFonts w:ascii="宋体" w:hAnsi="宋体" w:cs="宋体" w:eastAsia="宋体" w:hint="ascii"/>
          <w:sz w:val="21"/>
        </w:rPr>
        <w:t>大变革，推动了地球科学的进步，是未来地球科学的核心。本领域的科学目标</w:t>
      </w:r>
      <w:r>
        <w:rPr>
          <w:rFonts w:ascii="宋体" w:hAnsi="宋体" w:cs="宋体" w:eastAsia="宋体" w:hint="ascii"/>
          <w:sz w:val="21"/>
          <w:spacing w:val="-1"/>
        </w:rPr>
        <w:t>是面向地</w:t>
      </w:r>
      <w:r>
        <w:rPr>
          <w:rFonts w:ascii="宋体" w:hAnsi="宋体" w:cs="宋体" w:eastAsia="宋体" w:hint="ascii"/>
          <w:sz w:val="21"/>
        </w:rPr>
        <w:t>球科学前沿，发展地球科学研究的基础理论、实验模拟、观测及相关信息提取</w:t>
      </w:r>
      <w:r>
        <w:rPr>
          <w:rFonts w:ascii="宋体" w:hAnsi="宋体" w:cs="宋体" w:eastAsia="宋体" w:hint="ascii"/>
          <w:sz w:val="21"/>
          <w:spacing w:val="-1"/>
        </w:rPr>
        <w:t>的新理论</w:t>
      </w:r>
      <w:r>
        <w:rPr>
          <w:rFonts w:ascii="宋体" w:hAnsi="宋体" w:cs="宋体" w:eastAsia="宋体" w:hint="ascii"/>
          <w:sz w:val="21"/>
        </w:rPr>
        <w:t>、新技术和新方法，为我国地球科学重大突破和纵深发展，解决国家经济建设</w:t>
      </w:r>
      <w:r>
        <w:rPr>
          <w:rFonts w:ascii="宋体" w:hAnsi="宋体" w:cs="宋体" w:eastAsia="宋体" w:hint="ascii"/>
          <w:sz w:val="21"/>
          <w:spacing w:val="1"/>
        </w:rPr>
        <w:t>和可持续发展所面临的</w:t>
      </w:r>
      <w:r>
        <w:rPr>
          <w:rFonts w:ascii="宋体" w:hAnsi="宋体" w:cs="宋体" w:eastAsia="宋体" w:hint="ascii"/>
          <w:sz w:val="21"/>
        </w:rPr>
        <w:t>资源、能源、防灾减灾和环境保护等重大问题提供研究理论</w:t>
      </w:r>
      <w:r>
        <w:rPr>
          <w:rFonts w:ascii="宋体" w:hAnsi="宋体" w:cs="宋体" w:eastAsia="宋体" w:hint="ascii"/>
          <w:sz w:val="21"/>
          <w:spacing w:val="-6"/>
        </w:rPr>
        <w:t>和</w:t>
      </w:r>
      <w:r>
        <w:rPr>
          <w:rFonts w:ascii="宋体" w:hAnsi="宋体" w:cs="宋体" w:eastAsia="宋体" w:hint="ascii"/>
          <w:sz w:val="21"/>
        </w:rPr>
        <w:t>手段。</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本领域的主要研究方向：地球物质物理化学性质和过程的实验技术；地球深部探测</w:t>
      </w:r>
    </w:p>
    <w:p>
      <w:pPr>
        <w:autoSpaceDE w:val="0"/>
        <w:autoSpaceDN w:val="0"/>
        <w:jc w:val="both"/>
        <w:spacing w:before="10" w:after="0" w:lineRule="exact" w:line="312"/>
        <w:ind w:right="976" w:left="0" w:firstLine="0"/>
        <w:snapToGrid w:val="0"/>
        <w:textAlignment w:val="auto"/>
        <w:tabs/>
        <w:rPr>
          <w:rFonts w:ascii="宋体" w:hAnsi="宋体" w:cs="宋体" w:eastAsia="宋体" w:hint="ascii"/>
          <w:sz w:val="21"/>
        </w:rPr>
      </w:pPr>
      <w:r>
        <w:rPr>
          <w:rFonts w:ascii="宋体" w:hAnsi="宋体" w:cs="宋体" w:eastAsia="宋体" w:hint="ascii"/>
          <w:sz w:val="21"/>
          <w:spacing w:val="-1"/>
        </w:rPr>
        <w:t>和地表观</w:t>
      </w:r>
      <w:r>
        <w:rPr>
          <w:rFonts w:ascii="宋体" w:hAnsi="宋体" w:cs="宋体" w:eastAsia="宋体" w:hint="ascii"/>
          <w:sz w:val="21"/>
        </w:rPr>
        <w:t>测的理论和技术；微量、微区与高精度和高灵敏度实验分析技术；地球系统基</w:t>
      </w:r>
      <w:r>
        <w:rPr>
          <w:rFonts w:ascii="宋体" w:hAnsi="宋体" w:cs="宋体" w:eastAsia="宋体" w:hint="ascii"/>
          <w:sz w:val="21"/>
          <w:spacing w:val="-1"/>
        </w:rPr>
        <w:t>础信息采</w:t>
      </w:r>
      <w:r>
        <w:rPr>
          <w:rFonts w:ascii="宋体" w:hAnsi="宋体" w:cs="宋体" w:eastAsia="宋体" w:hint="ascii"/>
          <w:sz w:val="21"/>
        </w:rPr>
        <w:t>集和应用的理论与技术；深空、深地、深时、深海的探测理论与方法；地学大</w:t>
      </w:r>
      <w:r>
        <w:rPr>
          <w:rFonts w:ascii="宋体" w:hAnsi="宋体" w:cs="宋体" w:eastAsia="宋体" w:hint="ascii"/>
          <w:sz w:val="21"/>
          <w:spacing w:val="-1"/>
        </w:rPr>
        <w:t>数据的同</w:t>
      </w:r>
      <w:r>
        <w:rPr>
          <w:rFonts w:ascii="宋体" w:hAnsi="宋体" w:cs="宋体" w:eastAsia="宋体" w:hint="ascii"/>
          <w:sz w:val="21"/>
        </w:rPr>
        <w:t>化、融合、共享和分析技术；地球系统科学体系下的遥感定量化研究；观测系统和多源数据融合；地球系统科学数值计算与模拟技术。</w:t>
      </w:r>
    </w:p>
    <w:p>
      <w:pPr>
        <w:autoSpaceDE w:val="0"/>
        <w:autoSpaceDN w:val="0"/>
        <w:jc w:val="left"/>
        <w:spacing w:before="40" w:after="0" w:lineRule="auto" w:line="240"/>
        <w:ind w:right="0" w:left="420" w:firstLine="0"/>
        <w:snapToGrid w:val="0"/>
        <w:textAlignment w:val="auto"/>
        <w:tabs>
          <w:tab w:val="left" w:leader="none" w:pos="893"/>
        </w:tabs>
        <w:numPr>
          <w:ilvl w:val="0"/>
          <w:numId w:val="100"/>
        </w:numPr>
        <w:rPr>
          <w:rFonts w:ascii="Times New Roman" w:hAnsi="Times New Roman" w:cs="Times New Roman" w:eastAsia="Times New Roman" w:hint="ascii"/>
          <w:sz w:val="21"/>
          <w:spacing w:val="1"/>
        </w:rPr>
      </w:pPr>
      <w:r>
        <w:rPr>
          <w:rFonts w:ascii="宋体" w:hAnsi="宋体" w:cs="宋体" w:eastAsia="宋体" w:hint="ascii"/>
          <w:sz w:val="21"/>
        </w:rPr>
        <w:t>年度拟重点资助的研究方向：</w: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）地球物质和动力学过程的理论和实验研究；</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）高温高压实验理论和技术；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）同位素测年和示踪的新方法与新技术；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）微区、微量高分辨率成分分析技术；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）高精度、高灵敏度和新型实验分析技术；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）地球深部结构的地球物理探测方法；</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）高分辨率地层剖面探测技术；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）重、磁、电、地震联合反演技术；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）对地观测的新原理和新方法；</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）不同圈层高精度、高分辨率的综合探测与解析；</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）陆</w:t>
      </w:r>
      <w:r>
        <w:rPr>
          <w:rFonts w:ascii="MS Mincho" w:hAnsi="MS Mincho" w:cs="MS Mincho" w:eastAsia="MS Mincho" w:hint="ascii"/>
          <w:sz w:val="21"/>
        </w:rPr>
        <w:t>−</w:t>
      </w:r>
      <w:r>
        <w:rPr>
          <w:rFonts w:ascii="宋体" w:hAnsi="宋体" w:cs="宋体" w:eastAsia="宋体" w:hint="ascii"/>
          <w:sz w:val="21"/>
        </w:rPr>
        <w:t>气、陆</w:t>
      </w:r>
      <w:r>
        <w:rPr>
          <w:rFonts w:ascii="MS Mincho" w:hAnsi="MS Mincho" w:cs="MS Mincho" w:eastAsia="MS Mincho" w:hint="ascii"/>
          <w:sz w:val="21"/>
        </w:rPr>
        <w:t>−</w:t>
      </w:r>
      <w:r>
        <w:rPr>
          <w:rFonts w:ascii="宋体" w:hAnsi="宋体" w:cs="宋体" w:eastAsia="宋体" w:hint="ascii"/>
          <w:sz w:val="21"/>
        </w:rPr>
        <w:t>海和海</w:t>
      </w:r>
      <w:r>
        <w:rPr>
          <w:rFonts w:ascii="MS Mincho" w:hAnsi="MS Mincho" w:cs="MS Mincho" w:eastAsia="MS Mincho" w:hint="ascii"/>
          <w:sz w:val="21"/>
        </w:rPr>
        <w:t>−</w:t>
      </w:r>
      <w:r>
        <w:rPr>
          <w:rFonts w:ascii="宋体" w:hAnsi="宋体" w:cs="宋体" w:eastAsia="宋体" w:hint="ascii"/>
          <w:sz w:val="21"/>
        </w:rPr>
        <w:t>气界面通量（能量、动量、成分）探测新技术；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）定量遥感建模和参数反演新理论和新方法；</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）多源数据的融合与数据同化理论与方法；</w:t>
      </w:r>
    </w:p>
    <w:p>
      <w:pPr>
        <w:autoSpaceDE w:val="0"/>
        <w:autoSpaceDN w:val="0"/>
        <w:jc w:val="left"/>
        <w:spacing w:before="50"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）地球系统数值计算方法与模拟技术；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）全球观测信息矢量化理论与时空智能化方法。</w:t>
      </w:r>
    </w:p>
    <w:p>
      <w:pPr>
        <w:autoSpaceDE w:val="0"/>
        <w:autoSpaceDN w:val="0"/>
        <w:jc w:val="left"/>
        <w:spacing w:before="284"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r>
        <w:rPr>
          <w:rFonts w:ascii="宋体" w:hAnsi="宋体" w:cs="宋体" w:eastAsia="宋体" w:hint="ascii"/>
          <w:sz w:val="21"/>
        </w:rPr>
        <mc:AlternateContent>
          <mc:Choice Requires="wps">
            <w:drawing>
              <wp:anchor distL="0" distR="0" distT="0" distB="0" simplePos="0" behindDoc="1" relativeHeight="157" locked="0" layoutInCell="1" allowOverlap="1">
                <wp:simplePos x="0" y="0"/>
                <wp:positionH relativeFrom="page">
                  <wp:posOffset>938530</wp:posOffset>
                </wp:positionH>
                <wp:positionV relativeFrom="page">
                  <wp:posOffset>819150</wp:posOffset>
                </wp:positionV>
                <wp:extent cx="5076190" cy="0"/>
                <wp:wrapNone/>
                <wp:docPr id="1186" name="118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97472;width:399.70pt;" id="118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地球深部过程与动力学</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本领域的科学目标：研究固体地球运行规律，理解地球内部圈层之间的相互作用，</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探索地球深部</w:t>
      </w:r>
      <w:r>
        <w:rPr>
          <w:rFonts w:ascii="宋体" w:hAnsi="宋体" w:cs="宋体" w:eastAsia="宋体" w:hint="ascii"/>
          <w:sz w:val="21"/>
        </w:rPr>
        <w:t>与表层过程的耦合关系，为减轻自然灾害、提高矿产资源保障能力提供理</w:t>
      </w:r>
      <w:r>
        <w:rPr>
          <w:rFonts w:ascii="宋体" w:hAnsi="宋体" w:cs="宋体" w:eastAsia="宋体" w:hint="ascii"/>
          <w:sz w:val="21"/>
          <w:spacing w:val="-1"/>
        </w:rPr>
        <w:t>论支撑。本领</w:t>
      </w:r>
      <w:r>
        <w:rPr>
          <w:rFonts w:ascii="宋体" w:hAnsi="宋体" w:cs="宋体" w:eastAsia="宋体" w:hint="ascii"/>
          <w:sz w:val="21"/>
        </w:rPr>
        <w:t>域致力于精确描述大陆物质运动的时间与空间轨迹，开展国内外典型地区</w:t>
      </w:r>
      <w:r>
        <w:rPr>
          <w:rFonts w:ascii="宋体" w:hAnsi="宋体" w:cs="宋体" w:eastAsia="宋体" w:hint="ascii"/>
          <w:sz w:val="21"/>
          <w:spacing w:val="-1"/>
        </w:rPr>
        <w:t>岩石圈结构、</w:t>
      </w:r>
      <w:r>
        <w:rPr>
          <w:rFonts w:ascii="宋体" w:hAnsi="宋体" w:cs="宋体" w:eastAsia="宋体" w:hint="ascii"/>
          <w:sz w:val="21"/>
        </w:rPr>
        <w:t>构造及动力学机制的对比研究，包括在境外重点地区开展探索研究，从全</w:t>
      </w:r>
      <w:r>
        <w:rPr>
          <w:rFonts w:ascii="宋体" w:hAnsi="宋体" w:cs="宋体" w:eastAsia="宋体" w:hint="ascii"/>
          <w:sz w:val="21"/>
          <w:spacing w:val="-1"/>
        </w:rPr>
        <w:t>球尺度构建大</w:t>
      </w:r>
      <w:r>
        <w:rPr>
          <w:rFonts w:ascii="宋体" w:hAnsi="宋体" w:cs="宋体" w:eastAsia="宋体" w:hint="ascii"/>
          <w:sz w:val="21"/>
        </w:rPr>
        <w:t>陆结构和演化的基本框架，探讨地球形成和演化历史及其对自然资源、灾害和环境的影响，促进固体地球科学领域的发展与创新。</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本领域的主要研究方向：地壳和地幔的结构、组成和状态；大陆岩石圈的形成、改</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造与演化；板</w:t>
      </w:r>
      <w:r>
        <w:rPr>
          <w:rFonts w:ascii="宋体" w:hAnsi="宋体" w:cs="宋体" w:eastAsia="宋体" w:hint="ascii"/>
          <w:sz w:val="21"/>
        </w:rPr>
        <w:t>块汇聚过程与造山带动力学；地球深部流体和挥发份；板块界面相互作用</w:t>
      </w:r>
      <w:r>
        <w:rPr>
          <w:rFonts w:ascii="宋体" w:hAnsi="宋体" w:cs="宋体" w:eastAsia="宋体" w:hint="ascii"/>
          <w:sz w:val="21"/>
          <w:spacing w:val="-1"/>
        </w:rPr>
        <w:t>与俯冲带过程</w:t>
      </w:r>
      <w:r>
        <w:rPr>
          <w:rFonts w:ascii="宋体" w:hAnsi="宋体" w:cs="宋体" w:eastAsia="宋体" w:hint="ascii"/>
          <w:sz w:val="21"/>
        </w:rPr>
        <w:t>；地球深部过程与表层过程的耦合关系；早期地球的构造体制和组成；地震灾害孕育发生和成灾机理；大陆活动火山成因机理与灾害和环境效应。</w:t>
      </w:r>
    </w:p>
    <w:p>
      <w:pPr>
        <w:autoSpaceDE w:val="0"/>
        <w:autoSpaceDN w:val="0"/>
        <w:jc w:val="left"/>
        <w:spacing w:before="40" w:after="0" w:lineRule="auto" w:line="240"/>
        <w:ind w:right="0" w:left="0" w:firstLine="420"/>
        <w:snapToGrid w:val="0"/>
        <w:textAlignment w:val="auto"/>
        <w:tabs>
          <w:tab w:val="left" w:leader="none" w:pos="893"/>
        </w:tabs>
        <w:numPr>
          <w:ilvl w:val="0"/>
          <w:numId w:val="80"/>
        </w:numPr>
        <w:rPr>
          <w:rFonts w:ascii="Times New Roman" w:hAnsi="Times New Roman" w:cs="Times New Roman" w:eastAsia="Times New Roman" w:hint="ascii"/>
          <w:sz w:val="21"/>
          <w:spacing w:val="1"/>
        </w:rPr>
      </w:pPr>
      <w:r>
        <w:rPr>
          <w:rFonts w:ascii="宋体" w:hAnsi="宋体" w:cs="宋体" w:eastAsia="宋体" w:hint="ascii"/>
          <w:sz w:val="21"/>
        </w:rPr>
        <w:t>年度拟重点资助的研究方向：</w: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）早期地球演化及大陆的形成、生长与再造；</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）全球大陆的分布格局及裂解与聚合过程；</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）地幔柱结构及其与岩石圈相互作用；</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）间断面三维结构、地球深部主要圈层之间相互作用；</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）地壳、上地幔各向异性及深部动力学；</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）板块汇聚、大陆复合造山过程与造山带动力学；</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）盆、山体系演化与盆地动力学；</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）大洋板块与大陆边缘（海）相互作用及洋陆转换带；</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）地球深部过程与表层过程的耦合；</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）岩浆活动、变质作用及机理；</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）火山和地热活动及其深部过程；</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）深部流体与水</w:t>
      </w:r>
      <w:r>
        <w:rPr>
          <w:rFonts w:ascii="Times New Roman" w:hAnsi="Times New Roman" w:cs="Times New Roman" w:eastAsia="Times New Roman" w:hint="ascii"/>
          <w:sz w:val="21"/>
        </w:rPr>
        <w:t>−</w:t>
      </w:r>
      <w:r>
        <w:rPr>
          <w:rFonts w:ascii="宋体" w:hAnsi="宋体" w:cs="宋体" w:eastAsia="宋体" w:hint="ascii"/>
          <w:sz w:val="21"/>
        </w:rPr>
        <w:t>岩相互作用；</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）大陆流变学性质对大陆变形的影响；</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）新生代构造变形、孕震和地质灾害机理；</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）地球与类地星体的对比与相互作用；</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16</w:t>
      </w:r>
      <w:r>
        <w:rPr>
          <w:rFonts w:ascii="宋体" w:hAnsi="宋体" w:cs="宋体" w:eastAsia="宋体" w:hint="ascii"/>
          <w:sz w:val="21"/>
        </w:rPr>
        <w:t>）其他与本领域有关的重要基础创新研究。</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49"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地球环境演化与生命过程</w:t>
      </w:r>
    </w:p>
    <w:p>
      <w:pPr>
        <w:autoSpaceDE w:val="0"/>
        <w:autoSpaceDN w:val="0"/>
        <w:jc w:val="both"/>
        <w:spacing w:before="17" w:after="0" w:lineRule="exact" w:line="312"/>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2"/>
        </w:rPr>
        <w:t>本领域的科学目标：地球作为目前已知唯一存在生命</w:t>
      </w:r>
      <w:r>
        <w:rPr>
          <w:rFonts w:ascii="宋体" w:hAnsi="宋体" w:cs="宋体" w:eastAsia="宋体" w:hint="ascii"/>
          <w:sz w:val="21"/>
          <w:spacing w:val="-1"/>
        </w:rPr>
        <w:t>活动的星球，其表层是由岩石</w:t>
      </w:r>
      <w:r>
        <w:rPr>
          <w:rFonts w:ascii="宋体" w:hAnsi="宋体" w:cs="宋体" w:eastAsia="宋体" w:hint="ascii"/>
          <w:sz w:val="21"/>
        </w:rPr>
        <w:t xml:space="preserve"> </w:t>
      </w:r>
      <w:r>
        <w:rPr>
          <w:rFonts w:ascii="宋体" w:hAnsi="宋体" w:cs="宋体" w:eastAsia="宋体" w:hint="ascii"/>
          <w:sz w:val="21"/>
          <w:spacing w:val="-1"/>
        </w:rPr>
        <w:t>圈、水圈、</w:t>
      </w:r>
      <w:r>
        <w:rPr>
          <w:rFonts w:ascii="宋体" w:hAnsi="宋体" w:cs="宋体" w:eastAsia="宋体" w:hint="ascii"/>
          <w:sz w:val="21"/>
        </w:rPr>
        <w:t>大气圈和生物圈构成复杂相互作用的统一系统。本领域计划充分发挥我国地</w:t>
      </w:r>
      <w:r>
        <w:rPr>
          <w:rFonts w:ascii="宋体" w:hAnsi="宋体" w:cs="宋体" w:eastAsia="宋体" w:hint="ascii"/>
          <w:sz w:val="21"/>
          <w:spacing w:val="-1"/>
        </w:rPr>
        <w:t>质记录完整</w:t>
      </w:r>
      <w:r>
        <w:rPr>
          <w:rFonts w:ascii="宋体" w:hAnsi="宋体" w:cs="宋体" w:eastAsia="宋体" w:hint="ascii"/>
          <w:sz w:val="21"/>
        </w:rPr>
        <w:t>、古生物化石资源丰富等优势，通过建立高精度时间框架，开展古生物学、</w:t>
      </w:r>
      <w:r>
        <w:rPr>
          <w:rFonts w:ascii="宋体" w:hAnsi="宋体" w:cs="宋体" w:eastAsia="宋体" w:hint="ascii"/>
          <w:sz w:val="21"/>
          <w:spacing w:val="-1"/>
        </w:rPr>
        <w:t>古人类学、</w:t>
      </w:r>
      <w:r>
        <w:rPr>
          <w:rFonts w:ascii="宋体" w:hAnsi="宋体" w:cs="宋体" w:eastAsia="宋体" w:hint="ascii"/>
          <w:sz w:val="21"/>
        </w:rPr>
        <w:t>考古学、地层学、沉积学、矿物学、构造地质学、地球化学、生物地质学和</w:t>
      </w:r>
      <w:r>
        <w:rPr>
          <w:rFonts w:ascii="宋体" w:hAnsi="宋体" w:cs="宋体" w:eastAsia="宋体" w:hint="ascii"/>
          <w:sz w:val="21"/>
          <w:spacing w:val="-1"/>
        </w:rPr>
        <w:t>演化发育生</w:t>
      </w:r>
      <w:r>
        <w:rPr>
          <w:rFonts w:ascii="宋体" w:hAnsi="宋体" w:cs="宋体" w:eastAsia="宋体" w:hint="ascii"/>
          <w:sz w:val="21"/>
        </w:rPr>
        <w:t>物学等学科之间的综合交叉研究，揭示地球环境演化与生命过程。力争获得</w:t>
      </w:r>
      <w:r>
        <w:rPr>
          <w:rFonts w:ascii="宋体" w:hAnsi="宋体" w:cs="宋体" w:eastAsia="宋体" w:hint="ascii"/>
          <w:sz w:val="21"/>
          <w:spacing w:val="-1"/>
        </w:rPr>
        <w:t>一批重大科</w:t>
      </w:r>
      <w:r>
        <w:rPr>
          <w:rFonts w:ascii="宋体" w:hAnsi="宋体" w:cs="宋体" w:eastAsia="宋体" w:hint="ascii"/>
          <w:sz w:val="21"/>
        </w:rPr>
        <w:t>学发现，在巩固和加强我国已有研究方向优势地位的同时，逐步在部分优势研究方向引领全球，并实现理论性突破。</w:t>
      </w:r>
    </w:p>
    <w:p>
      <w:pPr>
        <w:autoSpaceDE w:val="0"/>
        <w:autoSpaceDN w:val="0"/>
        <w:jc w:val="left"/>
        <w:spacing w:before="40" w:after="0" w:lineRule="exact" w:line="263"/>
        <w:ind w:right="0" w:left="428" w:firstLine="0"/>
        <w:snapToGrid w:val="0"/>
        <w:textAlignment w:val="auto"/>
        <w:tabs/>
        <w:rPr>
          <w:rFonts w:ascii="宋体" w:hAnsi="宋体" w:cs="宋体" w:eastAsia="宋体" w:hint="ascii"/>
          <w:sz w:val="21"/>
        </w:rPr>
      </w:pPr>
      <w:r>
        <w:rPr>
          <w:rFonts w:ascii="宋体" w:hAnsi="宋体" w:cs="宋体" w:eastAsia="宋体" w:hint="ascii"/>
          <w:sz w:val="21"/>
          <w:spacing w:val="3"/>
        </w:rPr>
        <w:t>本领域的</w:t>
      </w:r>
      <w:r>
        <w:rPr>
          <w:rFonts w:ascii="宋体" w:hAnsi="宋体" w:cs="宋体" w:eastAsia="宋体" w:hint="ascii"/>
          <w:sz w:val="21"/>
        </w:rPr>
        <w:t>主</w:t>
      </w:r>
      <w:r>
        <w:rPr>
          <w:rFonts w:ascii="宋体" w:hAnsi="宋体" w:cs="宋体" w:eastAsia="宋体" w:hint="ascii"/>
          <w:sz w:val="21"/>
          <w:spacing w:val="3"/>
        </w:rPr>
        <w:t>要研究方</w:t>
      </w:r>
      <w:r>
        <w:rPr>
          <w:rFonts w:ascii="宋体" w:hAnsi="宋体" w:cs="宋体" w:eastAsia="宋体" w:hint="ascii"/>
          <w:sz w:val="21"/>
        </w:rPr>
        <w:t>向</w:t>
      </w:r>
      <w:r>
        <w:rPr>
          <w:rFonts w:ascii="宋体" w:hAnsi="宋体" w:cs="宋体" w:eastAsia="宋体" w:hint="ascii"/>
          <w:sz w:val="21"/>
          <w:spacing w:val="3"/>
        </w:rPr>
        <w:t>：重要化</w:t>
      </w:r>
      <w:r>
        <w:rPr>
          <w:rFonts w:ascii="宋体" w:hAnsi="宋体" w:cs="宋体" w:eastAsia="宋体" w:hint="ascii"/>
          <w:sz w:val="21"/>
        </w:rPr>
        <w:t>石</w:t>
      </w:r>
      <w:r>
        <w:rPr>
          <w:rFonts w:ascii="宋体" w:hAnsi="宋体" w:cs="宋体" w:eastAsia="宋体" w:hint="ascii"/>
          <w:sz w:val="21"/>
          <w:spacing w:val="3"/>
        </w:rPr>
        <w:t>门类系统</w:t>
      </w:r>
      <w:r>
        <w:rPr>
          <w:rFonts w:ascii="宋体" w:hAnsi="宋体" w:cs="宋体" w:eastAsia="宋体" w:hint="ascii"/>
          <w:sz w:val="21"/>
        </w:rPr>
        <w:t>古</w:t>
      </w:r>
      <w:r>
        <w:rPr>
          <w:rFonts w:ascii="宋体" w:hAnsi="宋体" w:cs="宋体" w:eastAsia="宋体" w:hint="ascii"/>
          <w:sz w:val="21"/>
          <w:spacing w:val="3"/>
        </w:rPr>
        <w:t>生物学与</w:t>
      </w:r>
      <w:r>
        <w:rPr>
          <w:rFonts w:ascii="宋体" w:hAnsi="宋体" w:cs="宋体" w:eastAsia="宋体" w:hint="ascii"/>
          <w:sz w:val="21"/>
        </w:rPr>
        <w:t>生</w:t>
      </w:r>
      <w:r>
        <w:rPr>
          <w:rFonts w:ascii="宋体" w:hAnsi="宋体" w:cs="宋体" w:eastAsia="宋体" w:hint="ascii"/>
          <w:sz w:val="21"/>
          <w:spacing w:val="3"/>
        </w:rPr>
        <w:t>命之树；</w:t>
      </w:r>
      <w:r>
        <w:rPr>
          <w:rFonts w:ascii="宋体" w:hAnsi="宋体" w:cs="宋体" w:eastAsia="宋体" w:hint="ascii"/>
          <w:sz w:val="21"/>
        </w:rPr>
        <w:t>深</w:t>
      </w:r>
      <w:r>
        <w:rPr>
          <w:rFonts w:ascii="宋体" w:hAnsi="宋体" w:cs="宋体" w:eastAsia="宋体" w:hint="ascii"/>
          <w:sz w:val="21"/>
          <w:spacing w:val="3"/>
        </w:rPr>
        <w:t>时生物</w:t>
      </w:r>
      <w:r>
        <w:rPr>
          <w:rFonts w:ascii="宋体" w:hAnsi="宋体" w:cs="宋体" w:eastAsia="宋体" w:hint="ascii"/>
          <w:sz w:val="21"/>
          <w:spacing w:val="4"/>
        </w:rPr>
        <w:t>多</w:t>
      </w:r>
      <w:r>
        <w:rPr>
          <w:rFonts w:ascii="宋体" w:hAnsi="宋体" w:cs="宋体" w:eastAsia="宋体" w:hint="ascii"/>
          <w:sz w:val="21"/>
        </w:rPr>
        <w:t>样</w:t>
      </w:r>
    </w:p>
    <w:p>
      <w:pPr>
        <w:autoSpaceDE w:val="0"/>
        <w:autoSpaceDN w:val="0"/>
        <w:jc w:val="left"/>
        <w:spacing w:before="284" w:after="0" w:lineRule="exact" w:line="225"/>
        <w:ind w:right="0" w:left="745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104"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7" w:left="104" w:firstLine="0"/>
        <w:snapToGrid w:val="0"/>
        <w:textAlignment w:val="auto"/>
        <w:tabs/>
        <w:rPr>
          <w:rFonts w:ascii="宋体" w:hAnsi="宋体" w:cs="宋体" w:eastAsia="宋体" w:hint="ascii"/>
          <w:sz w:val="21"/>
        </w:rPr>
      </w:pPr>
      <w:r>
        <w:rPr>
          <w:rFonts w:ascii="宋体" w:hAnsi="宋体" w:cs="宋体" w:eastAsia="宋体" w:hint="ascii"/>
          <w:sz w:val="21"/>
          <w:spacing w:val="1"/>
        </w:rPr>
        <w:t>性演变与规律；生</w:t>
      </w:r>
      <w:r>
        <w:rPr>
          <w:rFonts w:ascii="宋体" w:hAnsi="宋体" w:cs="宋体" w:eastAsia="宋体" w:hint="ascii"/>
          <w:sz w:val="21"/>
        </w:rPr>
        <w:t>命起源与地球物质演化；高分辨率综合地层学与地时研究；地球</w:t>
      </w:r>
      <w:r>
        <w:rPr>
          <w:rFonts w:ascii="宋体" w:hAnsi="宋体" w:cs="宋体" w:eastAsia="宋体" w:hint="ascii"/>
          <w:sz w:val="21"/>
          <w:spacing w:val="-6"/>
        </w:rPr>
        <w:t>微</w:t>
      </w:r>
      <w:r>
        <w:rPr>
          <w:rFonts w:ascii="宋体" w:hAnsi="宋体" w:cs="宋体" w:eastAsia="宋体" w:hint="ascii"/>
          <w:sz w:val="21"/>
          <w:spacing w:val="2"/>
        </w:rPr>
        <w:t>生物学</w:t>
      </w:r>
      <w:r>
        <w:rPr>
          <w:rFonts w:ascii="宋体" w:hAnsi="宋体" w:cs="宋体" w:eastAsia="宋体" w:hint="ascii"/>
          <w:sz w:val="21"/>
          <w:spacing w:val="3"/>
        </w:rPr>
        <w:t>及化</w:t>
      </w:r>
      <w:r>
        <w:rPr>
          <w:rFonts w:ascii="宋体" w:hAnsi="宋体" w:cs="宋体" w:eastAsia="宋体" w:hint="ascii"/>
          <w:sz w:val="21"/>
          <w:spacing w:val="4"/>
        </w:rPr>
        <w:t>学</w:t>
      </w:r>
      <w:r>
        <w:rPr>
          <w:rFonts w:ascii="宋体" w:hAnsi="宋体" w:cs="宋体" w:eastAsia="宋体" w:hint="ascii"/>
          <w:sz w:val="21"/>
          <w:spacing w:val="5"/>
        </w:rPr>
        <w:t>过</w:t>
      </w:r>
      <w:r>
        <w:rPr>
          <w:rFonts w:ascii="宋体" w:hAnsi="宋体" w:cs="宋体" w:eastAsia="宋体" w:hint="ascii"/>
          <w:sz w:val="21"/>
          <w:spacing w:val="3"/>
        </w:rPr>
        <w:t>程与环境</w:t>
      </w:r>
      <w:r>
        <w:rPr>
          <w:rFonts w:ascii="宋体" w:hAnsi="宋体" w:cs="宋体" w:eastAsia="宋体" w:hint="ascii"/>
          <w:sz w:val="21"/>
          <w:spacing w:val="4"/>
        </w:rPr>
        <w:t>演</w:t>
      </w:r>
      <w:r>
        <w:rPr>
          <w:rFonts w:ascii="宋体" w:hAnsi="宋体" w:cs="宋体" w:eastAsia="宋体" w:hint="ascii"/>
          <w:sz w:val="21"/>
          <w:spacing w:val="3"/>
        </w:rPr>
        <w:t>化；极端</w:t>
      </w:r>
      <w:r>
        <w:rPr>
          <w:rFonts w:ascii="宋体" w:hAnsi="宋体" w:cs="宋体" w:eastAsia="宋体" w:hint="ascii"/>
          <w:sz w:val="21"/>
          <w:spacing w:val="4"/>
        </w:rPr>
        <w:t>条</w:t>
      </w:r>
      <w:r>
        <w:rPr>
          <w:rFonts w:ascii="宋体" w:hAnsi="宋体" w:cs="宋体" w:eastAsia="宋体" w:hint="ascii"/>
          <w:sz w:val="21"/>
          <w:spacing w:val="3"/>
        </w:rPr>
        <w:t>件下的生</w:t>
      </w:r>
      <w:r>
        <w:rPr>
          <w:rFonts w:ascii="宋体" w:hAnsi="宋体" w:cs="宋体" w:eastAsia="宋体" w:hint="ascii"/>
          <w:sz w:val="21"/>
          <w:spacing w:val="4"/>
        </w:rPr>
        <w:t>命</w:t>
      </w:r>
      <w:r>
        <w:rPr>
          <w:rFonts w:ascii="宋体" w:hAnsi="宋体" w:cs="宋体" w:eastAsia="宋体" w:hint="ascii"/>
          <w:sz w:val="21"/>
          <w:spacing w:val="3"/>
        </w:rPr>
        <w:t>过程与地</w:t>
      </w:r>
      <w:r>
        <w:rPr>
          <w:rFonts w:ascii="宋体" w:hAnsi="宋体" w:cs="宋体" w:eastAsia="宋体" w:hint="ascii"/>
          <w:sz w:val="21"/>
          <w:spacing w:val="4"/>
        </w:rPr>
        <w:t>质</w:t>
      </w:r>
      <w:r>
        <w:rPr>
          <w:rFonts w:ascii="宋体" w:hAnsi="宋体" w:cs="宋体" w:eastAsia="宋体" w:hint="ascii"/>
          <w:sz w:val="21"/>
          <w:spacing w:val="3"/>
        </w:rPr>
        <w:t>环境；地</w:t>
      </w:r>
      <w:r>
        <w:rPr>
          <w:rFonts w:ascii="宋体" w:hAnsi="宋体" w:cs="宋体" w:eastAsia="宋体" w:hint="ascii"/>
          <w:sz w:val="21"/>
          <w:spacing w:val="4"/>
        </w:rPr>
        <w:t>质</w:t>
      </w:r>
      <w:r>
        <w:rPr>
          <w:rFonts w:ascii="宋体" w:hAnsi="宋体" w:cs="宋体" w:eastAsia="宋体" w:hint="ascii"/>
          <w:sz w:val="21"/>
          <w:spacing w:val="3"/>
        </w:rPr>
        <w:t>历史时</w:t>
      </w:r>
      <w:r>
        <w:rPr>
          <w:rFonts w:ascii="宋体" w:hAnsi="宋体" w:cs="宋体" w:eastAsia="宋体" w:hint="ascii"/>
          <w:sz w:val="21"/>
          <w:spacing w:val="-6"/>
        </w:rPr>
        <w:t>期</w:t>
      </w:r>
      <w:r>
        <w:rPr>
          <w:rFonts w:ascii="宋体" w:hAnsi="宋体" w:cs="宋体" w:eastAsia="宋体" w:hint="ascii"/>
          <w:sz w:val="21"/>
          <w:spacing w:val="8"/>
        </w:rPr>
        <w:t>的</w:t>
      </w:r>
      <w:r>
        <w:rPr>
          <w:rFonts w:ascii="宋体" w:hAnsi="宋体" w:cs="宋体" w:eastAsia="宋体" w:hint="ascii"/>
          <w:sz w:val="21"/>
          <w:spacing w:val="7"/>
        </w:rPr>
        <w:t>重大环境事</w:t>
      </w:r>
      <w:r>
        <w:rPr>
          <w:rFonts w:ascii="宋体" w:hAnsi="宋体" w:cs="宋体" w:eastAsia="宋体" w:hint="ascii"/>
          <w:sz w:val="21"/>
          <w:spacing w:val="6"/>
        </w:rPr>
        <w:t>件与成因</w:t>
      </w:r>
      <w:r>
        <w:rPr>
          <w:rFonts w:ascii="宋体" w:hAnsi="宋体" w:cs="宋体" w:eastAsia="宋体" w:hint="ascii"/>
          <w:sz w:val="21"/>
          <w:spacing w:val="7"/>
        </w:rPr>
        <w:t>；</w:t>
      </w:r>
      <w:r>
        <w:rPr>
          <w:rFonts w:ascii="宋体" w:hAnsi="宋体" w:cs="宋体" w:eastAsia="宋体" w:hint="ascii"/>
          <w:sz w:val="21"/>
          <w:spacing w:val="6"/>
        </w:rPr>
        <w:t>人类起源</w:t>
      </w:r>
      <w:r>
        <w:rPr>
          <w:rFonts w:ascii="宋体" w:hAnsi="宋体" w:cs="宋体" w:eastAsia="宋体" w:hint="ascii"/>
          <w:sz w:val="21"/>
          <w:spacing w:val="7"/>
        </w:rPr>
        <w:t>与</w:t>
      </w:r>
      <w:r>
        <w:rPr>
          <w:rFonts w:ascii="宋体" w:hAnsi="宋体" w:cs="宋体" w:eastAsia="宋体" w:hint="ascii"/>
          <w:sz w:val="21"/>
          <w:spacing w:val="6"/>
        </w:rPr>
        <w:t>环境背景</w:t>
      </w:r>
      <w:r>
        <w:rPr>
          <w:rFonts w:ascii="宋体" w:hAnsi="宋体" w:cs="宋体" w:eastAsia="宋体" w:hint="ascii"/>
          <w:sz w:val="21"/>
          <w:spacing w:val="7"/>
        </w:rPr>
        <w:t>之</w:t>
      </w:r>
      <w:r>
        <w:rPr>
          <w:rFonts w:ascii="宋体" w:hAnsi="宋体" w:cs="宋体" w:eastAsia="宋体" w:hint="ascii"/>
          <w:sz w:val="21"/>
          <w:spacing w:val="6"/>
        </w:rPr>
        <w:t>间的共同</w:t>
      </w:r>
      <w:r>
        <w:rPr>
          <w:rFonts w:ascii="宋体" w:hAnsi="宋体" w:cs="宋体" w:eastAsia="宋体" w:hint="ascii"/>
          <w:sz w:val="21"/>
          <w:spacing w:val="7"/>
        </w:rPr>
        <w:t>演</w:t>
      </w:r>
      <w:r>
        <w:rPr>
          <w:rFonts w:ascii="宋体" w:hAnsi="宋体" w:cs="宋体" w:eastAsia="宋体" w:hint="ascii"/>
          <w:sz w:val="21"/>
          <w:spacing w:val="6"/>
        </w:rPr>
        <w:t>化；类地</w:t>
      </w:r>
      <w:r>
        <w:rPr>
          <w:rFonts w:ascii="宋体" w:hAnsi="宋体" w:cs="宋体" w:eastAsia="宋体" w:hint="ascii"/>
          <w:sz w:val="21"/>
          <w:spacing w:val="7"/>
        </w:rPr>
        <w:t>行</w:t>
      </w:r>
      <w:r>
        <w:rPr>
          <w:rFonts w:ascii="宋体" w:hAnsi="宋体" w:cs="宋体" w:eastAsia="宋体" w:hint="ascii"/>
          <w:sz w:val="21"/>
          <w:spacing w:val="6"/>
        </w:rPr>
        <w:t>星起</w:t>
      </w:r>
      <w:r>
        <w:rPr>
          <w:rFonts w:ascii="宋体" w:hAnsi="宋体" w:cs="宋体" w:eastAsia="宋体" w:hint="ascii"/>
          <w:sz w:val="21"/>
          <w:spacing w:val="7"/>
        </w:rPr>
        <w:t>源</w:t>
      </w:r>
      <w:r>
        <w:rPr>
          <w:rFonts w:ascii="宋体" w:hAnsi="宋体" w:cs="宋体" w:eastAsia="宋体" w:hint="ascii"/>
          <w:sz w:val="21"/>
          <w:spacing w:val="-6"/>
        </w:rPr>
        <w:t>与</w:t>
      </w:r>
      <w:r>
        <w:rPr>
          <w:rFonts w:ascii="宋体" w:hAnsi="宋体" w:cs="宋体" w:eastAsia="宋体" w:hint="ascii"/>
          <w:sz w:val="21"/>
          <w:spacing w:val="4"/>
        </w:rPr>
        <w:t>演化</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58" locked="0" layoutInCell="1" allowOverlap="1">
                <wp:simplePos x="0" y="0"/>
                <wp:positionH relativeFrom="page">
                  <wp:posOffset>938530</wp:posOffset>
                </wp:positionH>
                <wp:positionV relativeFrom="page">
                  <wp:posOffset>805815</wp:posOffset>
                </wp:positionV>
                <wp:extent cx="5076190" cy="0"/>
                <wp:wrapNone/>
                <wp:docPr id="1187" name="118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96448;width:399.70pt;" id="118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04" w:firstLine="420"/>
        <w:snapToGrid w:val="0"/>
        <w:textAlignment w:val="auto"/>
        <w:tabs>
          <w:tab w:val="left" w:leader="none" w:pos="997"/>
        </w:tabs>
        <w:numPr>
          <w:ilvl w:val="0"/>
          <w:numId w:val="78"/>
        </w:numPr>
        <w:rPr>
          <w:rFonts w:ascii="Times New Roman" w:hAnsi="Times New Roman" w:cs="Times New Roman" w:eastAsia="Times New Roman" w:hint="ascii"/>
          <w:sz w:val="21"/>
          <w:spacing w:val="1"/>
        </w:rPr>
      </w:pPr>
      <w:r>
        <w:rPr>
          <w:rFonts w:ascii="宋体" w:hAnsi="宋体" w:cs="宋体" w:eastAsia="宋体" w:hint="ascii"/>
          <w:sz w:val="21"/>
        </w:rPr>
        <w:t>年度拟重点资助的研究方向：</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）重要生物类群的起源、系统演化及其环境背景；</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）地质时期生物多样性及重大生物环境事件；</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）地质时期的陆地生态系统及演化；</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）地质时期的海洋生态系统及演化；</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）人类起源、演化与环境；</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）早期农业及其对环境的适应；</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）文明起源、演化及其对气候变化的影响和响应；</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）高分辨率综合年代地层学与同位素年代学；</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）地球微生物学过程与地球环境演变；</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）生物地球化学循环过程、机制与地球环境演变；</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）沉积体系演化及其资源环境效应；</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）生物</w:t>
      </w:r>
      <w:r>
        <w:rPr>
          <w:rFonts w:ascii="宋体" w:hAnsi="宋体" w:cs="宋体" w:eastAsia="宋体" w:hint="ascii"/>
          <w:sz w:val="21"/>
        </w:rPr>
        <w:t>-</w:t>
      </w:r>
      <w:r>
        <w:rPr>
          <w:rFonts w:ascii="宋体" w:hAnsi="宋体" w:cs="宋体" w:eastAsia="宋体" w:hint="ascii"/>
          <w:sz w:val="21"/>
        </w:rPr>
        <w:t>矿物交互作用及环境效应。</w:t>
      </w:r>
    </w:p>
    <w:p>
      <w:pPr>
        <w:autoSpaceDE w:val="0"/>
        <w:autoSpaceDN w:val="0"/>
        <w:jc w:val="left"/>
        <w:spacing w:before="49"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49" w:after="0" w:lineRule="auto" w:line="240"/>
        <w:ind w:right="0" w:left="787" w:hanging="105"/>
        <w:snapToGrid w:val="0"/>
        <w:textAlignment w:val="auto"/>
        <w:tabs>
          <w:tab w:val="left" w:leader="none" w:pos="787"/>
        </w:tabs>
        <w:numPr>
          <w:ilvl w:val="0"/>
          <w:numId w:val="135"/>
        </w:numPr>
        <w:rPr>
          <w:rFonts w:ascii="Times New Roman" w:hAnsi="Times New Roman" w:cs="Times New Roman" w:eastAsia="Times New Roman" w:hint="ascii"/>
          <w:sz w:val="21"/>
        </w:rPr>
      </w:pPr>
      <w:r>
        <w:rPr>
          <w:rFonts w:ascii="宋体" w:hAnsi="宋体" w:cs="宋体" w:eastAsia="宋体" w:hint="ascii"/>
          <w:sz w:val="21"/>
        </w:rPr>
        <w:t>矿产资源和化石能源形成机理</w:t>
      </w:r>
    </w:p>
    <w:p>
      <w:pPr>
        <w:autoSpaceDE w:val="0"/>
        <w:autoSpaceDN w:val="0"/>
        <w:jc w:val="right"/>
        <w:spacing w:before="17" w:after="0" w:lineRule="exact" w:line="312"/>
        <w:ind w:right="977" w:left="0" w:firstLine="524"/>
        <w:snapToGrid w:val="0"/>
        <w:textAlignment w:val="auto"/>
        <w:tabs/>
        <w:rPr>
          <w:rFonts w:ascii="宋体" w:hAnsi="宋体" w:cs="宋体" w:eastAsia="宋体" w:hint="ascii"/>
          <w:sz w:val="21"/>
        </w:rPr>
      </w:pPr>
      <w:r>
        <w:rPr>
          <w:rFonts w:ascii="宋体" w:hAnsi="宋体" w:cs="宋体" w:eastAsia="宋体" w:hint="ascii"/>
          <w:sz w:val="21"/>
          <w:spacing w:val="-1"/>
        </w:rPr>
        <w:t>本领域的科</w:t>
      </w:r>
      <w:r>
        <w:rPr>
          <w:rFonts w:ascii="宋体" w:hAnsi="宋体" w:cs="宋体" w:eastAsia="宋体" w:hint="ascii"/>
          <w:sz w:val="21"/>
        </w:rPr>
        <w:t>学目标：揭示成矿作用与地球动力学系统演变的耦合关系、重要成矿区（带）的深部结构和深部过程对成矿作用的制约，建立矿床成因模型、成矿模型和成因理论。揭示大型盆地动力学与油气聚集规律、深层油气成藏条件和油气分布规律、非常规油气藏的形成演化机制，完善反映我国复杂地质条件的油气地质理论体系。完善和建立隐伏矿床、深层油气藏、非常规油气藏的地球物理和地球化学探测方法和理论，提高资源勘查的速度、精度和深度。揭示人类</w:t>
      </w:r>
      <w:r>
        <w:rPr>
          <w:rFonts w:ascii="宋体" w:hAnsi="宋体" w:cs="宋体" w:eastAsia="宋体" w:hint="ascii"/>
          <w:sz w:val="21"/>
        </w:rPr>
        <w:t>-</w:t>
      </w:r>
      <w:r>
        <w:rPr>
          <w:rFonts w:ascii="宋体" w:hAnsi="宋体" w:cs="宋体" w:eastAsia="宋体" w:hint="ascii"/>
          <w:sz w:val="21"/>
        </w:rPr>
        <w:t>自然共同作用下不同地域单元和不同地质介</w:t>
      </w:r>
    </w:p>
    <w:p>
      <w:pPr>
        <w:autoSpaceDE w:val="0"/>
        <w:autoSpaceDN w:val="0"/>
        <w:jc w:val="left"/>
        <w:spacing w:before="40" w:after="0" w:lineRule="exact" w:line="263"/>
        <w:ind w:right="0" w:left="104" w:firstLine="0"/>
        <w:snapToGrid w:val="0"/>
        <w:textAlignment w:val="auto"/>
        <w:tabs/>
        <w:rPr>
          <w:rFonts w:ascii="宋体" w:hAnsi="宋体" w:cs="宋体" w:eastAsia="宋体" w:hint="ascii"/>
          <w:sz w:val="21"/>
        </w:rPr>
      </w:pPr>
      <w:r>
        <w:rPr>
          <w:rFonts w:ascii="宋体" w:hAnsi="宋体" w:cs="宋体" w:eastAsia="宋体" w:hint="ascii"/>
          <w:sz w:val="21"/>
        </w:rPr>
        <w:t>质中地下水动力场和化学场的形成和演化机制。</w:t>
      </w:r>
    </w:p>
    <w:p>
      <w:pPr>
        <w:autoSpaceDE w:val="0"/>
        <w:autoSpaceDN w:val="0"/>
        <w:jc w:val="left"/>
        <w:spacing w:before="49"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本领域的主要研究方向：地球深部资源和能源的赋存状态与勘察；板块汇聚、岩石</w:t>
      </w:r>
    </w:p>
    <w:p>
      <w:pPr>
        <w:autoSpaceDE w:val="0"/>
        <w:autoSpaceDN w:val="0"/>
        <w:jc w:val="both"/>
        <w:spacing w:before="10" w:after="0" w:lineRule="exact" w:line="312"/>
        <w:ind w:right="977" w:left="104" w:firstLine="0"/>
        <w:snapToGrid w:val="0"/>
        <w:textAlignment w:val="auto"/>
        <w:tabs/>
        <w:rPr>
          <w:rFonts w:ascii="宋体" w:hAnsi="宋体" w:cs="宋体" w:eastAsia="宋体" w:hint="ascii"/>
          <w:sz w:val="21"/>
        </w:rPr>
      </w:pPr>
      <w:r>
        <w:rPr>
          <w:rFonts w:ascii="宋体" w:hAnsi="宋体" w:cs="宋体" w:eastAsia="宋体" w:hint="ascii"/>
          <w:sz w:val="21"/>
          <w:spacing w:val="-1"/>
        </w:rPr>
        <w:t>圈再造与成</w:t>
      </w:r>
      <w:r>
        <w:rPr>
          <w:rFonts w:ascii="宋体" w:hAnsi="宋体" w:cs="宋体" w:eastAsia="宋体" w:hint="ascii"/>
          <w:sz w:val="21"/>
        </w:rPr>
        <w:t>矿作用；特殊元素分散富集与成矿作用；盆地动力学与成矿成藏作用；致密</w:t>
      </w:r>
      <w:r>
        <w:rPr>
          <w:rFonts w:ascii="宋体" w:hAnsi="宋体" w:cs="宋体" w:eastAsia="宋体" w:hint="ascii"/>
          <w:sz w:val="21"/>
          <w:spacing w:val="-1"/>
        </w:rPr>
        <w:t>油气形成条</w:t>
      </w:r>
      <w:r>
        <w:rPr>
          <w:rFonts w:ascii="宋体" w:hAnsi="宋体" w:cs="宋体" w:eastAsia="宋体" w:hint="ascii"/>
          <w:sz w:val="21"/>
        </w:rPr>
        <w:t>件、富集区分布与勘探；地下水循环与可持续利用；成矿模型、成矿系统与成矿机理。</w:t>
      </w:r>
    </w:p>
    <w:p>
      <w:pPr>
        <w:autoSpaceDE w:val="0"/>
        <w:autoSpaceDN w:val="0"/>
        <w:jc w:val="left"/>
        <w:spacing w:before="40" w:after="0" w:lineRule="auto" w:line="240"/>
        <w:ind w:right="0" w:left="104" w:firstLine="420"/>
        <w:snapToGrid w:val="0"/>
        <w:textAlignment w:val="auto"/>
        <w:tabs>
          <w:tab w:val="left" w:leader="none" w:pos="997"/>
        </w:tabs>
        <w:numPr>
          <w:ilvl w:val="0"/>
          <w:numId w:val="77"/>
        </w:numPr>
        <w:rPr>
          <w:rFonts w:ascii="Times New Roman" w:hAnsi="Times New Roman" w:cs="Times New Roman" w:eastAsia="Times New Roman" w:hint="ascii"/>
          <w:sz w:val="21"/>
          <w:spacing w:val="1"/>
        </w:rPr>
      </w:pPr>
      <w:r>
        <w:rPr>
          <w:rFonts w:ascii="宋体" w:hAnsi="宋体" w:cs="宋体" w:eastAsia="宋体" w:hint="ascii"/>
          <w:sz w:val="21"/>
        </w:rPr>
        <w:t>年度拟重点资助的研究方向：</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）沉积盆地、岩浆系统成矿物质的巨量富集机理；</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）特色成矿单元的成矿作用和成矿规律；</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）不同地球动力学环境的成矿作用；</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）大型矿集区区域流体系统示踪与成矿系统演化；</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）不同类型成矿系统的特征、结构模型和勘查标志；</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）特色或紧缺非金属矿产资源的形成机制和成矿规律；</w:t>
      </w:r>
    </w:p>
    <w:p>
      <w:pPr>
        <w:autoSpaceDE w:val="0"/>
        <w:autoSpaceDN w:val="0"/>
        <w:jc w:val="left"/>
        <w:spacing w:before="5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）大型盆地演化的区域动力系统及油气聚集规律；</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）深层和超深层及古老层系油气成藏条件和油气分布规律；</w:t>
      </w:r>
    </w:p>
    <w:p>
      <w:pPr>
        <w:autoSpaceDE w:val="0"/>
        <w:autoSpaceDN w:val="0"/>
        <w:jc w:val="left"/>
        <w:spacing w:before="284" w:after="0" w:lineRule="exact" w:line="225"/>
        <w:ind w:right="0" w:left="104" w:firstLine="0"/>
        <w:snapToGrid w:val="0"/>
        <w:textAlignment w:val="auto"/>
        <w:tabs/>
        <w:sectPr>
          <w:pgSz w:w="10940" w:h="15080" w:orient="portrait"/>
          <w:pgMar w:top="508" w:right="508" w:bottom="508" w:left="1369"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）地球系统演化与盆地中生烃物质和储层的沉积环境；</w:t>
      </w:r>
      <w:r>
        <w:rPr>
          <w:rFonts w:ascii="宋体" w:hAnsi="宋体" w:cs="宋体" w:eastAsia="宋体" w:hint="ascii"/>
          <w:sz w:val="21"/>
        </w:rPr>
        <mc:AlternateContent>
          <mc:Choice Requires="wps">
            <w:drawing>
              <wp:anchor distL="0" distR="0" distT="0" distB="0" simplePos="0" behindDoc="1" relativeHeight="159" locked="0" layoutInCell="1" allowOverlap="1">
                <wp:simplePos x="0" y="0"/>
                <wp:positionH relativeFrom="page">
                  <wp:posOffset>938530</wp:posOffset>
                </wp:positionH>
                <wp:positionV relativeFrom="page">
                  <wp:posOffset>819150</wp:posOffset>
                </wp:positionV>
                <wp:extent cx="5076190" cy="0"/>
                <wp:wrapNone/>
                <wp:docPr id="1188" name="118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95424;width:399.70pt;" id="118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）深部大型矿床（藏）示矿</w:t>
      </w:r>
      <w:r>
        <w:rPr>
          <w:rFonts w:ascii="宋体" w:hAnsi="宋体" w:cs="宋体" w:eastAsia="宋体" w:hint="ascii"/>
          <w:sz w:val="21"/>
        </w:rPr>
        <w:t>-</w:t>
      </w:r>
      <w:r>
        <w:rPr>
          <w:rFonts w:ascii="宋体" w:hAnsi="宋体" w:cs="宋体" w:eastAsia="宋体" w:hint="ascii"/>
          <w:sz w:val="21"/>
        </w:rPr>
        <w:t>含矿信息提取的原理和方法；</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）非常规油气藏的形成演化机制与地球物理探测理论与方法；</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）海洋金属与化石能源的成矿成藏机理；</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）区域尺度地下水流系统和地下水空间分布规律；</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）不同地域单元地下水水文过程及其演化；</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）大型地热田、高温地热系统和油区地热资源的成因与探测。</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49"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海洋过程及其资源、环境和气候效应</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本领域的科学目标：紧紧围绕该领域的国际前沿和与国家重大需求密切相关的科学</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问题，以亚</w:t>
      </w:r>
      <w:r>
        <w:rPr>
          <w:rFonts w:ascii="宋体" w:hAnsi="宋体" w:cs="宋体" w:eastAsia="宋体" w:hint="ascii"/>
          <w:sz w:val="21"/>
        </w:rPr>
        <w:t>洲边缘海及邻近大洋为关键海区，通过对不同时间和空间尺度的海洋物理、</w:t>
      </w:r>
      <w:r>
        <w:rPr>
          <w:rFonts w:ascii="宋体" w:hAnsi="宋体" w:cs="宋体" w:eastAsia="宋体" w:hint="ascii"/>
          <w:sz w:val="21"/>
          <w:spacing w:val="-1"/>
        </w:rPr>
        <w:t>化学、地质</w:t>
      </w:r>
      <w:r>
        <w:rPr>
          <w:rFonts w:ascii="宋体" w:hAnsi="宋体" w:cs="宋体" w:eastAsia="宋体" w:hint="ascii"/>
          <w:sz w:val="21"/>
        </w:rPr>
        <w:t>和生物等过程及其相互作用的研究，加深对海洋过程与机制的理解，提升我国海洋基础研究水平，推动我国海洋科学研究从近岸浅海向深海拓展。</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本领域的主要研究方向：多尺度海洋过程及其在气候系统中的作用；海洋生态系统</w:t>
      </w:r>
    </w:p>
    <w:p>
      <w:pPr>
        <w:autoSpaceDE w:val="0"/>
        <w:autoSpaceDN w:val="0"/>
        <w:jc w:val="left"/>
        <w:spacing w:before="10" w:after="0" w:lineRule="exact" w:line="312"/>
        <w:ind w:right="962" w:left="0" w:firstLine="0"/>
        <w:snapToGrid w:val="0"/>
        <w:textAlignment w:val="auto"/>
        <w:tabs/>
        <w:rPr>
          <w:rFonts w:ascii="宋体" w:hAnsi="宋体" w:cs="宋体" w:eastAsia="宋体" w:hint="ascii"/>
          <w:sz w:val="21"/>
        </w:rPr>
      </w:pPr>
      <w:r>
        <w:rPr>
          <w:rFonts w:ascii="宋体" w:hAnsi="宋体" w:cs="宋体" w:eastAsia="宋体" w:hint="ascii"/>
          <w:sz w:val="21"/>
        </w:rPr>
        <w:t>与生物多样性；海洋生物地球化学过程与生态环境；东亚大陆边缘海形成演化与岛弧</w:t>
      </w:r>
      <w:r>
        <w:rPr>
          <w:rFonts w:ascii="MS Mincho" w:hAnsi="MS Mincho" w:cs="MS Mincho" w:eastAsia="MS Mincho" w:hint="ascii"/>
          <w:sz w:val="21"/>
        </w:rPr>
        <w:t xml:space="preserve">− </w:t>
      </w:r>
      <w:r>
        <w:rPr>
          <w:rFonts w:ascii="宋体" w:hAnsi="宋体" w:cs="宋体" w:eastAsia="宋体" w:hint="ascii"/>
          <w:sz w:val="21"/>
        </w:rPr>
        <w:t>洋中脊系统；洋陆过渡带结构、构造与相互作用；南、北极环境变化与海洋过程；海洋多圈层相互作用过程和机理。</w:t>
      </w:r>
    </w:p>
    <w:p>
      <w:pPr>
        <w:autoSpaceDE w:val="0"/>
        <w:autoSpaceDN w:val="0"/>
        <w:jc w:val="left"/>
        <w:spacing w:before="40" w:after="0" w:lineRule="auto" w:line="240"/>
        <w:ind w:right="0" w:left="0" w:firstLine="420"/>
        <w:snapToGrid w:val="0"/>
        <w:textAlignment w:val="auto"/>
        <w:tabs>
          <w:tab w:val="left" w:leader="none" w:pos="893"/>
        </w:tabs>
        <w:numPr>
          <w:ilvl w:val="0"/>
          <w:numId w:val="76"/>
        </w:numPr>
        <w:rPr>
          <w:rFonts w:ascii="Times New Roman" w:hAnsi="Times New Roman" w:cs="Times New Roman" w:eastAsia="Times New Roman" w:hint="ascii"/>
          <w:sz w:val="21"/>
          <w:spacing w:val="1"/>
        </w:rPr>
      </w:pPr>
      <w:r>
        <w:rPr>
          <w:rFonts w:ascii="宋体" w:hAnsi="宋体" w:cs="宋体" w:eastAsia="宋体" w:hint="ascii"/>
          <w:sz w:val="21"/>
        </w:rPr>
        <w:t>年度拟重点资助的研究方向：</w: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）海洋湍流与混合；</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）海洋动力过程及其气候效应；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）海洋岩石圈的动力机制与形成演化；</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）海底地质过程与矿产资源；</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）海洋生态与生物地球化学循环；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）海洋沉积作用与古环境演化机制；</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）陆海相互作用及环境效应；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）海洋酸化及其对海洋生态系统的影响；</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）海洋界面过程与物质循环；</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）海洋生物多样性；</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）极地的海洋过程、冰盖过程与生态系统的变化。</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49"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地表环境变化过程及其效应</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本领域的科学目标：以地球系统科学理论为指导，以陆地表层各圈层的要素以及要</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素间的相互作</w:t>
      </w:r>
      <w:r>
        <w:rPr>
          <w:rFonts w:ascii="宋体" w:hAnsi="宋体" w:cs="宋体" w:eastAsia="宋体" w:hint="ascii"/>
          <w:sz w:val="21"/>
        </w:rPr>
        <w:t>用及其与人类活动关系为核心研究内容，通过对陆地表层各种典型过程及</w:t>
      </w:r>
      <w:r>
        <w:rPr>
          <w:rFonts w:ascii="宋体" w:hAnsi="宋体" w:cs="宋体" w:eastAsia="宋体" w:hint="ascii"/>
          <w:sz w:val="21"/>
          <w:spacing w:val="1"/>
        </w:rPr>
        <w:t>典型区域的研究，揭</w:t>
      </w:r>
      <w:r>
        <w:rPr>
          <w:rFonts w:ascii="宋体" w:hAnsi="宋体" w:cs="宋体" w:eastAsia="宋体" w:hint="ascii"/>
          <w:sz w:val="21"/>
        </w:rPr>
        <w:t>示地表环境的形成特征与机制，阐明地表环境的变化过程及其</w:t>
      </w:r>
      <w:r>
        <w:rPr>
          <w:rFonts w:ascii="宋体" w:hAnsi="宋体" w:cs="宋体" w:eastAsia="宋体" w:hint="ascii"/>
          <w:sz w:val="21"/>
          <w:spacing w:val="-6"/>
        </w:rPr>
        <w:t>效</w:t>
      </w:r>
      <w:r>
        <w:rPr>
          <w:rFonts w:ascii="宋体" w:hAnsi="宋体" w:cs="宋体" w:eastAsia="宋体" w:hint="ascii"/>
          <w:sz w:val="21"/>
          <w:spacing w:val="-1"/>
        </w:rPr>
        <w:t>应，构建陆地</w:t>
      </w:r>
      <w:r>
        <w:rPr>
          <w:rFonts w:ascii="宋体" w:hAnsi="宋体" w:cs="宋体" w:eastAsia="宋体" w:hint="ascii"/>
          <w:sz w:val="21"/>
        </w:rPr>
        <w:t>表层变化监测与效应评估的方法体系，发展陆地表层系统科学研究的理论</w:t>
      </w:r>
      <w:r>
        <w:rPr>
          <w:rFonts w:ascii="宋体" w:hAnsi="宋体" w:cs="宋体" w:eastAsia="宋体" w:hint="ascii"/>
          <w:sz w:val="21"/>
          <w:spacing w:val="-1"/>
        </w:rPr>
        <w:t>和方法，为探</w:t>
      </w:r>
      <w:r>
        <w:rPr>
          <w:rFonts w:ascii="宋体" w:hAnsi="宋体" w:cs="宋体" w:eastAsia="宋体" w:hint="ascii"/>
          <w:sz w:val="21"/>
        </w:rPr>
        <w:t>索全球变化与全球化背景下的空间治理方式、服务于人与自然协调发展的应用实践提供科技支撑。</w:t>
      </w:r>
    </w:p>
    <w:p>
      <w:pPr>
        <w:autoSpaceDE w:val="0"/>
        <w:autoSpaceDN w:val="0"/>
        <w:jc w:val="both"/>
        <w:spacing w:before="0" w:after="0" w:lineRule="exact" w:line="312"/>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1"/>
        </w:rPr>
        <w:t>本领域的主要</w:t>
      </w:r>
      <w:r>
        <w:rPr>
          <w:rFonts w:ascii="宋体" w:hAnsi="宋体" w:cs="宋体" w:eastAsia="宋体" w:hint="ascii"/>
          <w:sz w:val="21"/>
        </w:rPr>
        <w:t>研究方向：陆地表层系统的过程与机制；地表过程对环境变化的响应机制及其反馈；土壤过程及其生物地球化学循环；典型区域地表过程综合研究。</w:t>
      </w:r>
    </w:p>
    <w:p>
      <w:pPr>
        <w:autoSpaceDE w:val="0"/>
        <w:autoSpaceDN w:val="0"/>
        <w:jc w:val="left"/>
        <w:spacing w:before="274" w:after="0" w:lineRule="exact" w:line="225"/>
        <w:ind w:right="0" w:left="745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892" w:hanging="472"/>
        <w:snapToGrid w:val="0"/>
        <w:textAlignment w:val="auto"/>
        <w:tabs>
          <w:tab w:val="left" w:leader="none" w:pos="893"/>
        </w:tabs>
        <w:numPr>
          <w:ilvl w:val="0"/>
          <w:numId w:val="69"/>
        </w:numPr>
        <w:rPr>
          <w:rFonts w:ascii="Times New Roman" w:hAnsi="Times New Roman" w:cs="Times New Roman" w:eastAsia="Times New Roman" w:hint="ascii"/>
          <w:sz w:val="21"/>
          <w:spacing w:val="1"/>
        </w:rPr>
      </w:pPr>
      <w:r>
        <w:rPr>
          <w:rFonts w:ascii="宋体" w:hAnsi="宋体" w:cs="宋体" w:eastAsia="宋体" w:hint="ascii"/>
          <w:sz w:val="21"/>
        </w:rPr>
        <w:t>年度拟重点资助的研究方向：</w:t>
      </w:r>
      <w:r>
        <w:rPr>
          <w:rFonts w:ascii="宋体" w:hAnsi="宋体" w:cs="宋体" w:eastAsia="宋体" w:hint="ascii"/>
          <w:sz w:val="21"/>
        </w:rPr>
        <mc:AlternateContent>
          <mc:Choice Requires="wps">
            <w:drawing>
              <wp:anchor distL="0" distR="0" distT="0" distB="0" simplePos="0" behindDoc="1" relativeHeight="160" locked="0" layoutInCell="1" allowOverlap="1">
                <wp:simplePos x="0" y="0"/>
                <wp:positionH relativeFrom="page">
                  <wp:posOffset>938530</wp:posOffset>
                </wp:positionH>
                <wp:positionV relativeFrom="page">
                  <wp:posOffset>805815</wp:posOffset>
                </wp:positionV>
                <wp:extent cx="5076190" cy="0"/>
                <wp:wrapNone/>
                <wp:docPr id="1189" name="118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94400;width:399.70pt;" id="118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）陆地表层系统格局与过程的相互作用机理；</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）典型区域的生物地球化学循环过程与空间分异规律；</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）气候、水文与地貌的相互作用及其环境与灾害效应；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）冰冻圈过程及效应；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）土壤与植被的相互作用及其时空异质性；</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）生态系统退化机制与恢复策略；</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）生态系统过程与生态系统服务；</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）乡村地域系统演变与资源环境效应；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）城市及城市群地表过程与生态环境效应；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）地表环境变化与公众健康效应评估；</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）人文过程对地表系统演化的影响和响应；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）人文自然复合空间演化过程及其模拟；</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）地表空间信息及其处理与分析的不确定性；</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）地表要素的表达、分析与可视化；</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）陆地表层系统过程的综合集成与模拟；</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16</w:t>
      </w:r>
      <w:r>
        <w:rPr>
          <w:rFonts w:ascii="宋体" w:hAnsi="宋体" w:cs="宋体" w:eastAsia="宋体" w:hint="ascii"/>
          <w:sz w:val="21"/>
        </w:rPr>
        <w:t>）基于人地耦合视角的空间治理路径。</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49"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土、水资源演变与可持续利用</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本领域的科学目标：以水和土壤在自然和人为活动驱动下的形成、演变及其生态和</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环境效应为</w:t>
      </w:r>
      <w:r>
        <w:rPr>
          <w:rFonts w:ascii="宋体" w:hAnsi="宋体" w:cs="宋体" w:eastAsia="宋体" w:hint="ascii"/>
          <w:sz w:val="21"/>
        </w:rPr>
        <w:t>核心研究内容，通过对不同尺度水文和土壤过程及其耦合机制的认识，揭示</w:t>
      </w:r>
      <w:r>
        <w:rPr>
          <w:rFonts w:ascii="宋体" w:hAnsi="宋体" w:cs="宋体" w:eastAsia="宋体" w:hint="ascii"/>
          <w:sz w:val="21"/>
          <w:spacing w:val="-1"/>
        </w:rPr>
        <w:t>水土资源形</w:t>
      </w:r>
      <w:r>
        <w:rPr>
          <w:rFonts w:ascii="宋体" w:hAnsi="宋体" w:cs="宋体" w:eastAsia="宋体" w:hint="ascii"/>
          <w:sz w:val="21"/>
        </w:rPr>
        <w:t>成和演变规律，评估面向经济与社会可持续发展的区域水土资源基础条件，提出水土资源合理开发、科学配置、高效利用和综合管理模式。</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本领域的主要研究方向：土壤过程与演变；土壤质量与资源效应；流域水文过程及</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其生态效应</w:t>
      </w:r>
      <w:r>
        <w:rPr>
          <w:rFonts w:ascii="宋体" w:hAnsi="宋体" w:cs="宋体" w:eastAsia="宋体" w:hint="ascii"/>
          <w:sz w:val="21"/>
        </w:rPr>
        <w:t>；区域水循环与水资源的形成机制；区域水、土资源耦合与可持续利用；土壤生物的生态功能与环境效应；生态水文过程与生态服务。</w:t>
      </w:r>
    </w:p>
    <w:p>
      <w:pPr>
        <w:autoSpaceDE w:val="0"/>
        <w:autoSpaceDN w:val="0"/>
        <w:jc w:val="left"/>
        <w:spacing w:before="40"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年度拟重点资助的研究方向：</w: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）水、土要素的时空变异及信息化；</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）土壤生物及功能；</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）土壤过程的相互作用机理与效应；</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）农田生态系统元素循环与土壤质量和环境效应；</w:t>
      </w:r>
    </w:p>
    <w:p>
      <w:pPr>
        <w:autoSpaceDE w:val="0"/>
        <w:autoSpaceDN w:val="0"/>
        <w:jc w:val="left"/>
        <w:spacing w:before="50"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）土壤退化机理与修复；</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）水、土质量与农产品安全；</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）区域土壤侵蚀与水土保持；</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）气候变化对水土过程的影响及其效应与应对；</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）区域水资源形成、转化机理与水资源安全；</w:t>
      </w:r>
    </w:p>
    <w:p>
      <w:pPr>
        <w:autoSpaceDE w:val="0"/>
        <w:autoSpaceDN w:val="0"/>
        <w:jc w:val="left"/>
        <w:spacing w:before="56"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）水土资源区域承载力评估及生态补偿。</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582"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地球关键带过程与功能</w:t>
      </w:r>
      <w:r>
        <w:rPr>
          <w:rFonts w:ascii="宋体" w:hAnsi="宋体" w:cs="宋体" w:eastAsia="宋体" w:hint="ascii"/>
          <w:sz w:val="21"/>
        </w:rPr>
        <mc:AlternateContent>
          <mc:Choice Requires="wps">
            <w:drawing>
              <wp:anchor distL="0" distR="0" distT="0" distB="0" simplePos="0" behindDoc="1" relativeHeight="161" locked="0" layoutInCell="1" allowOverlap="1">
                <wp:simplePos x="0" y="0"/>
                <wp:positionH relativeFrom="page">
                  <wp:posOffset>938530</wp:posOffset>
                </wp:positionH>
                <wp:positionV relativeFrom="page">
                  <wp:posOffset>819150</wp:posOffset>
                </wp:positionV>
                <wp:extent cx="5076190" cy="0"/>
                <wp:wrapNone/>
                <wp:docPr id="1190" name="119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93376;width:399.70pt;" id="119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本领域的科学目标：地球关键带是地球浅层岩石</w:t>
      </w:r>
      <w:r>
        <w:rPr>
          <w:rFonts w:ascii="宋体" w:hAnsi="宋体" w:cs="宋体" w:eastAsia="宋体" w:hint="ascii"/>
          <w:sz w:val="21"/>
        </w:rPr>
        <w:t>-</w:t>
      </w:r>
      <w:r>
        <w:rPr>
          <w:rFonts w:ascii="宋体" w:hAnsi="宋体" w:cs="宋体" w:eastAsia="宋体" w:hint="ascii"/>
          <w:sz w:val="21"/>
        </w:rPr>
        <w:t>土壤</w:t>
      </w:r>
      <w:r>
        <w:rPr>
          <w:rFonts w:ascii="宋体" w:hAnsi="宋体" w:cs="宋体" w:eastAsia="宋体" w:hint="ascii"/>
          <w:sz w:val="21"/>
        </w:rPr>
        <w:t>-</w:t>
      </w:r>
      <w:r>
        <w:rPr>
          <w:rFonts w:ascii="宋体" w:hAnsi="宋体" w:cs="宋体" w:eastAsia="宋体" w:hint="ascii"/>
          <w:sz w:val="21"/>
        </w:rPr>
        <w:t>大气</w:t>
      </w:r>
      <w:r>
        <w:rPr>
          <w:rFonts w:ascii="宋体" w:hAnsi="宋体" w:cs="宋体" w:eastAsia="宋体" w:hint="ascii"/>
          <w:sz w:val="21"/>
        </w:rPr>
        <w:t>-</w:t>
      </w:r>
      <w:r>
        <w:rPr>
          <w:rFonts w:ascii="宋体" w:hAnsi="宋体" w:cs="宋体" w:eastAsia="宋体" w:hint="ascii"/>
          <w:sz w:val="21"/>
        </w:rPr>
        <w:t>水</w:t>
      </w:r>
      <w:r>
        <w:rPr>
          <w:rFonts w:ascii="宋体" w:hAnsi="宋体" w:cs="宋体" w:eastAsia="宋体" w:hint="ascii"/>
          <w:sz w:val="21"/>
        </w:rPr>
        <w:t>-</w:t>
      </w:r>
      <w:r>
        <w:rPr>
          <w:rFonts w:ascii="宋体" w:hAnsi="宋体" w:cs="宋体" w:eastAsia="宋体" w:hint="ascii"/>
          <w:sz w:val="21"/>
        </w:rPr>
        <w:t>生物及人类活动相</w:t>
      </w:r>
    </w:p>
    <w:p>
      <w:pPr>
        <w:autoSpaceDE w:val="0"/>
        <w:autoSpaceDN w:val="0"/>
        <w:jc w:val="left"/>
        <w:spacing w:before="12" w:after="0" w:lineRule="exact" w:line="320"/>
        <w:ind w:right="962" w:left="0" w:firstLine="0"/>
        <w:snapToGrid w:val="0"/>
        <w:textAlignment w:val="auto"/>
        <w:tabs/>
        <w:rPr>
          <w:rFonts w:ascii="宋体" w:hAnsi="宋体" w:cs="宋体" w:eastAsia="宋体" w:hint="ascii"/>
          <w:sz w:val="21"/>
        </w:rPr>
      </w:pPr>
      <w:r>
        <w:rPr>
          <w:rFonts w:ascii="宋体" w:hAnsi="宋体" w:cs="宋体" w:eastAsia="宋体" w:hint="ascii"/>
          <w:sz w:val="21"/>
        </w:rPr>
        <w:t>互作用的复杂系统，控制和调节着自然生态环境，维系着生命可持续所需的资源，也是联结气候系统</w:t>
      </w:r>
      <w:r>
        <w:rPr>
          <w:rFonts w:ascii="MS Mincho" w:hAnsi="MS Mincho" w:cs="MS Mincho" w:eastAsia="MS Mincho" w:hint="ascii"/>
          <w:sz w:val="21"/>
        </w:rPr>
        <w:t>−</w:t>
      </w:r>
      <w:r>
        <w:rPr>
          <w:rFonts w:ascii="宋体" w:hAnsi="宋体" w:cs="宋体" w:eastAsia="宋体" w:hint="ascii"/>
          <w:sz w:val="21"/>
        </w:rPr>
        <w:t>地表过程</w:t>
      </w:r>
      <w:r>
        <w:rPr>
          <w:rFonts w:ascii="MS Mincho" w:hAnsi="MS Mincho" w:cs="MS Mincho" w:eastAsia="MS Mincho" w:hint="ascii"/>
          <w:sz w:val="21"/>
        </w:rPr>
        <w:t>−</w:t>
      </w:r>
      <w:r>
        <w:rPr>
          <w:rFonts w:ascii="宋体" w:hAnsi="宋体" w:cs="宋体" w:eastAsia="宋体" w:hint="ascii"/>
          <w:sz w:val="21"/>
        </w:rPr>
        <w:t>地球深部过程物质和能量循环的重要环节，对于人类经济社会的可持续发展具有重要意义。本研究领域利用地质学、地球化学、土壤学、水文学和生态科学等多学科交叉的理论和手段，研究地球关键带的特征、过程机理及其演化规律，以及其与人类社会可持续发展之间的关系，探索针对关键带的变革性研究方法和理论，构建关键带系统过程模型，预测地球生态环境在不同空间和时间尺度上的演化趋势，从而为人类社会可持续发展服务。</w:t>
      </w:r>
    </w:p>
    <w:p>
      <w:pPr>
        <w:autoSpaceDE w:val="0"/>
        <w:autoSpaceDN w:val="0"/>
        <w:jc w:val="left"/>
        <w:spacing w:before="44" w:after="0" w:lineRule="exact" w:line="263"/>
        <w:ind w:right="0" w:left="428" w:firstLine="0"/>
        <w:snapToGrid w:val="0"/>
        <w:textAlignment w:val="auto"/>
        <w:tabs/>
        <w:rPr>
          <w:rFonts w:ascii="宋体" w:hAnsi="宋体" w:cs="宋体" w:eastAsia="宋体" w:hint="ascii"/>
          <w:sz w:val="21"/>
        </w:rPr>
      </w:pPr>
      <w:r>
        <w:rPr>
          <w:rFonts w:ascii="宋体" w:hAnsi="宋体" w:cs="宋体" w:eastAsia="宋体" w:hint="ascii"/>
          <w:sz w:val="21"/>
          <w:spacing w:val="3"/>
        </w:rPr>
        <w:t>本领域的</w:t>
      </w:r>
      <w:r>
        <w:rPr>
          <w:rFonts w:ascii="宋体" w:hAnsi="宋体" w:cs="宋体" w:eastAsia="宋体" w:hint="ascii"/>
          <w:sz w:val="21"/>
        </w:rPr>
        <w:t>主</w:t>
      </w:r>
      <w:r>
        <w:rPr>
          <w:rFonts w:ascii="宋体" w:hAnsi="宋体" w:cs="宋体" w:eastAsia="宋体" w:hint="ascii"/>
          <w:sz w:val="21"/>
          <w:spacing w:val="3"/>
        </w:rPr>
        <w:t>要研究方</w:t>
      </w:r>
      <w:r>
        <w:rPr>
          <w:rFonts w:ascii="宋体" w:hAnsi="宋体" w:cs="宋体" w:eastAsia="宋体" w:hint="ascii"/>
          <w:sz w:val="21"/>
        </w:rPr>
        <w:t>向</w:t>
      </w:r>
      <w:r>
        <w:rPr>
          <w:rFonts w:ascii="宋体" w:hAnsi="宋体" w:cs="宋体" w:eastAsia="宋体" w:hint="ascii"/>
          <w:sz w:val="21"/>
          <w:spacing w:val="3"/>
        </w:rPr>
        <w:t>：关键带</w:t>
      </w:r>
      <w:r>
        <w:rPr>
          <w:rFonts w:ascii="宋体" w:hAnsi="宋体" w:cs="宋体" w:eastAsia="宋体" w:hint="ascii"/>
          <w:sz w:val="21"/>
        </w:rPr>
        <w:t>结</w:t>
      </w:r>
      <w:r>
        <w:rPr>
          <w:rFonts w:ascii="宋体" w:hAnsi="宋体" w:cs="宋体" w:eastAsia="宋体" w:hint="ascii"/>
          <w:sz w:val="21"/>
          <w:spacing w:val="3"/>
        </w:rPr>
        <w:t>构、形成</w:t>
      </w:r>
      <w:r>
        <w:rPr>
          <w:rFonts w:ascii="宋体" w:hAnsi="宋体" w:cs="宋体" w:eastAsia="宋体" w:hint="ascii"/>
          <w:sz w:val="21"/>
        </w:rPr>
        <w:t>与</w:t>
      </w:r>
      <w:r>
        <w:rPr>
          <w:rFonts w:ascii="宋体" w:hAnsi="宋体" w:cs="宋体" w:eastAsia="宋体" w:hint="ascii"/>
          <w:sz w:val="21"/>
          <w:spacing w:val="3"/>
        </w:rPr>
        <w:t>演化机制</w:t>
      </w:r>
      <w:r>
        <w:rPr>
          <w:rFonts w:ascii="宋体" w:hAnsi="宋体" w:cs="宋体" w:eastAsia="宋体" w:hint="ascii"/>
          <w:sz w:val="21"/>
        </w:rPr>
        <w:t>；</w:t>
      </w:r>
      <w:r>
        <w:rPr>
          <w:rFonts w:ascii="宋体" w:hAnsi="宋体" w:cs="宋体" w:eastAsia="宋体" w:hint="ascii"/>
          <w:sz w:val="21"/>
          <w:spacing w:val="3"/>
        </w:rPr>
        <w:t>关键带物</w:t>
      </w:r>
      <w:r>
        <w:rPr>
          <w:rFonts w:ascii="宋体" w:hAnsi="宋体" w:cs="宋体" w:eastAsia="宋体" w:hint="ascii"/>
          <w:sz w:val="21"/>
        </w:rPr>
        <w:t>质</w:t>
      </w:r>
      <w:r>
        <w:rPr>
          <w:rFonts w:ascii="宋体" w:hAnsi="宋体" w:cs="宋体" w:eastAsia="宋体" w:hint="ascii"/>
          <w:sz w:val="21"/>
          <w:spacing w:val="3"/>
        </w:rPr>
        <w:t>转化过</w:t>
      </w:r>
      <w:r>
        <w:rPr>
          <w:rFonts w:ascii="宋体" w:hAnsi="宋体" w:cs="宋体" w:eastAsia="宋体" w:hint="ascii"/>
          <w:sz w:val="21"/>
          <w:spacing w:val="4"/>
        </w:rPr>
        <w:t>程</w:t>
      </w:r>
      <w:r>
        <w:rPr>
          <w:rFonts w:ascii="宋体" w:hAnsi="宋体" w:cs="宋体" w:eastAsia="宋体" w:hint="ascii"/>
          <w:sz w:val="21"/>
        </w:rPr>
        <w:t>与</w:t>
      </w:r>
    </w:p>
    <w:p>
      <w:pPr>
        <w:autoSpaceDE w:val="0"/>
        <w:autoSpaceDN w:val="0"/>
        <w:jc w:val="both"/>
        <w:spacing w:before="10" w:after="0" w:lineRule="exact" w:line="320"/>
        <w:ind w:right="981" w:left="0" w:firstLine="0"/>
        <w:snapToGrid w:val="0"/>
        <w:textAlignment w:val="auto"/>
        <w:tabs/>
        <w:rPr>
          <w:rFonts w:ascii="宋体" w:hAnsi="宋体" w:cs="宋体" w:eastAsia="宋体" w:hint="ascii"/>
          <w:sz w:val="21"/>
        </w:rPr>
      </w:pPr>
      <w:r>
        <w:rPr>
          <w:rFonts w:ascii="宋体" w:hAnsi="宋体" w:cs="宋体" w:eastAsia="宋体" w:hint="ascii"/>
          <w:sz w:val="21"/>
          <w:spacing w:val="1"/>
        </w:rPr>
        <w:t>相互作用；关键</w:t>
      </w:r>
      <w:r>
        <w:rPr>
          <w:rFonts w:ascii="宋体" w:hAnsi="宋体" w:cs="宋体" w:eastAsia="宋体" w:hint="ascii"/>
          <w:sz w:val="21"/>
        </w:rPr>
        <w:t>带的服务功能与可持续发展；关键带过程建模及系统模拟研究。关</w:t>
      </w:r>
      <w:r>
        <w:rPr>
          <w:rFonts w:ascii="宋体" w:hAnsi="宋体" w:cs="宋体" w:eastAsia="宋体" w:hint="ascii"/>
          <w:sz w:val="21"/>
          <w:spacing w:val="-6"/>
        </w:rPr>
        <w:t>键</w:t>
      </w:r>
      <w:r>
        <w:rPr>
          <w:rFonts w:ascii="宋体" w:hAnsi="宋体" w:cs="宋体" w:eastAsia="宋体" w:hint="ascii"/>
          <w:sz w:val="21"/>
          <w:spacing w:val="1"/>
        </w:rPr>
        <w:t>带科学是表层地</w:t>
      </w:r>
      <w:r>
        <w:rPr>
          <w:rFonts w:ascii="宋体" w:hAnsi="宋体" w:cs="宋体" w:eastAsia="宋体" w:hint="ascii"/>
          <w:sz w:val="21"/>
        </w:rPr>
        <w:t>球系统多学科交叉和综合集成研究的系统科学，本领域鼓励关键带</w:t>
      </w:r>
      <w:r>
        <w:rPr>
          <w:rFonts w:ascii="宋体" w:hAnsi="宋体" w:cs="宋体" w:eastAsia="宋体" w:hint="ascii"/>
          <w:sz w:val="21"/>
          <w:spacing w:val="-6"/>
        </w:rPr>
        <w:t>科</w:t>
      </w:r>
      <w:r>
        <w:rPr>
          <w:rFonts w:ascii="宋体" w:hAnsi="宋体" w:cs="宋体" w:eastAsia="宋体" w:hint="ascii"/>
          <w:sz w:val="21"/>
          <w:spacing w:val="1"/>
        </w:rPr>
        <w:t>学的这一理念下</w:t>
      </w:r>
      <w:r>
        <w:rPr>
          <w:rFonts w:ascii="宋体" w:hAnsi="宋体" w:cs="宋体" w:eastAsia="宋体" w:hint="ascii"/>
          <w:sz w:val="21"/>
        </w:rPr>
        <w:t>基于长期观测研究平台的多学科交叉和系统综合的观测实验和理论</w:t>
      </w:r>
      <w:r>
        <w:rPr>
          <w:rFonts w:ascii="宋体" w:hAnsi="宋体" w:cs="宋体" w:eastAsia="宋体" w:hint="ascii"/>
          <w:sz w:val="21"/>
          <w:spacing w:val="-6"/>
        </w:rPr>
        <w:t>模</w:t>
      </w:r>
      <w:r>
        <w:rPr>
          <w:rFonts w:ascii="宋体" w:hAnsi="宋体" w:cs="宋体" w:eastAsia="宋体" w:hint="ascii"/>
          <w:sz w:val="21"/>
        </w:rPr>
        <w:t>型研究。</w:t>
      </w:r>
    </w:p>
    <w:p>
      <w:pPr>
        <w:autoSpaceDE w:val="0"/>
        <w:autoSpaceDN w:val="0"/>
        <w:jc w:val="left"/>
        <w:spacing w:before="45"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年度拟重点资助的研究方向：</w:t>
      </w:r>
    </w:p>
    <w:p>
      <w:pPr>
        <w:autoSpaceDE w:val="0"/>
        <w:autoSpaceDN w:val="0"/>
        <w:jc w:val="left"/>
        <w:spacing w:before="65"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）关键带科学观测网络的新理论、新技术和新方法；</w: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）关键带结构、过程和功能演变的多尺度（剖面、流域、区域及全球）建模及模</w:t>
      </w:r>
    </w:p>
    <w:p>
      <w:pPr>
        <w:autoSpaceDE w:val="0"/>
        <w:autoSpaceDN w:val="0"/>
        <w:jc w:val="left"/>
        <w:spacing w:before="58" w:after="0" w:lineRule="exact" w:line="263"/>
        <w:ind w:right="0" w:left="840" w:firstLine="0"/>
        <w:snapToGrid w:val="0"/>
        <w:textAlignment w:val="auto"/>
        <w:tabs/>
        <w:rPr>
          <w:rFonts w:ascii="宋体" w:hAnsi="宋体" w:cs="宋体" w:eastAsia="宋体" w:hint="ascii"/>
          <w:sz w:val="21"/>
        </w:rPr>
      </w:pPr>
      <w:r>
        <w:rPr>
          <w:rFonts w:ascii="宋体" w:hAnsi="宋体" w:cs="宋体" w:eastAsia="宋体" w:hint="ascii"/>
          <w:sz w:val="21"/>
        </w:rPr>
        <w:t>拟研究；</w:t>
      </w:r>
    </w:p>
    <w:p>
      <w:pPr>
        <w:autoSpaceDE w:val="0"/>
        <w:autoSpaceDN w:val="0"/>
        <w:jc w:val="left"/>
        <w:spacing w:before="58"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）关键带形成和演化的地质、气候、水文和生物控制机理；</w: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）关键带物质和元素循环的生物地球化学过程、机制及其生态功能；</w:t>
      </w:r>
    </w:p>
    <w:p>
      <w:pPr>
        <w:autoSpaceDE w:val="0"/>
        <w:autoSpaceDN w:val="0"/>
        <w:jc w:val="left"/>
        <w:spacing w:before="58"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）关键带能量循环规律、过程及其调控机制；</w:t>
      </w:r>
    </w:p>
    <w:p>
      <w:pPr>
        <w:autoSpaceDE w:val="0"/>
        <w:autoSpaceDN w:val="0"/>
        <w:jc w:val="left"/>
        <w:spacing w:before="58"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）关键带污染物迁移转化规律及净化机制；</w:t>
      </w:r>
    </w:p>
    <w:p>
      <w:pPr>
        <w:autoSpaceDE w:val="0"/>
        <w:autoSpaceDN w:val="0"/>
        <w:jc w:val="both"/>
        <w:spacing w:before="10" w:after="0" w:lineRule="exact" w:line="320"/>
        <w:ind w:right="1608" w:left="316"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7</w:t>
      </w:r>
      <w:r>
        <w:rPr>
          <w:rFonts w:ascii="宋体" w:hAnsi="宋体" w:cs="宋体" w:eastAsia="宋体" w:hint="ascii"/>
          <w:sz w:val="21"/>
          <w:spacing w:val="-1"/>
        </w:rPr>
        <w:t>）全球变</w:t>
      </w:r>
      <w:r>
        <w:rPr>
          <w:rFonts w:ascii="宋体" w:hAnsi="宋体" w:cs="宋体" w:eastAsia="宋体" w:hint="ascii"/>
          <w:sz w:val="21"/>
        </w:rPr>
        <w:t>化、人为扰动对我国主要关键带结构和过程的影响机理与预测；（</w:t>
      </w:r>
      <w:r>
        <w:rPr>
          <w:rFonts w:ascii="Times New Roman" w:hAnsi="Times New Roman" w:cs="Times New Roman" w:eastAsia="Times New Roman" w:hint="ascii"/>
          <w:sz w:val="21"/>
        </w:rPr>
        <w:t>8</w:t>
      </w:r>
      <w:r>
        <w:rPr>
          <w:rFonts w:ascii="宋体" w:hAnsi="宋体" w:cs="宋体" w:eastAsia="宋体" w:hint="ascii"/>
          <w:sz w:val="21"/>
        </w:rPr>
        <w:t>）关键带与岩石风化、土壤圈形成的协同演化及调控机制；</w:t>
      </w:r>
    </w:p>
    <w:p>
      <w:pPr>
        <w:autoSpaceDE w:val="0"/>
        <w:autoSpaceDN w:val="0"/>
        <w:jc w:val="left"/>
        <w:spacing w:before="46"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）关键带结构、过程、生态系统和服务功能演变及其预测评估；</w: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）关键带对环境和灾害事件的承载力和恢复力研究。</w:t>
      </w:r>
    </w:p>
    <w:p>
      <w:pPr>
        <w:autoSpaceDE w:val="0"/>
        <w:autoSpaceDN w:val="0"/>
        <w:jc w:val="left"/>
        <w:spacing w:before="58"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58" w:after="0" w:lineRule="auto" w:line="240"/>
        <w:ind w:right="0" w:left="683" w:hanging="105"/>
        <w:snapToGrid w:val="0"/>
        <w:textAlignment w:val="auto"/>
        <w:tabs>
          <w:tab w:val="left" w:leader="none" w:pos="683"/>
        </w:tabs>
        <w:numPr>
          <w:ilvl w:val="0"/>
          <w:numId w:val="135"/>
        </w:numPr>
        <w:rPr>
          <w:rFonts w:ascii="Times New Roman" w:hAnsi="Times New Roman" w:cs="Times New Roman" w:eastAsia="Times New Roman" w:hint="ascii"/>
          <w:sz w:val="21"/>
        </w:rPr>
      </w:pPr>
      <w:r>
        <w:rPr>
          <w:rFonts w:ascii="宋体" w:hAnsi="宋体" w:cs="宋体" w:eastAsia="宋体" w:hint="ascii"/>
          <w:sz w:val="21"/>
        </w:rPr>
        <w:t>天气、气候与大气环境过程、变化及其机制</w:t>
      </w:r>
    </w:p>
    <w:p>
      <w:pPr>
        <w:autoSpaceDE w:val="0"/>
        <w:autoSpaceDN w:val="0"/>
        <w:jc w:val="left"/>
        <w:spacing w:before="64"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本领域的科学目标：通过深入认识天气、气候与大气环境中的各种物理、化学和生</w:t>
      </w:r>
    </w:p>
    <w:p>
      <w:pPr>
        <w:autoSpaceDE w:val="0"/>
        <w:autoSpaceDN w:val="0"/>
        <w:jc w:val="both"/>
        <w:spacing w:before="12" w:after="0" w:lineRule="exact" w:line="320"/>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物过程，揭</w:t>
      </w:r>
      <w:r>
        <w:rPr>
          <w:rFonts w:ascii="宋体" w:hAnsi="宋体" w:cs="宋体" w:eastAsia="宋体" w:hint="ascii"/>
          <w:sz w:val="21"/>
        </w:rPr>
        <w:t>示其时空特征、相互联系和相互作用机制，发展和改进天气、气候系统与大</w:t>
      </w:r>
      <w:r>
        <w:rPr>
          <w:rFonts w:ascii="宋体" w:hAnsi="宋体" w:cs="宋体" w:eastAsia="宋体" w:hint="ascii"/>
          <w:sz w:val="21"/>
          <w:spacing w:val="-1"/>
        </w:rPr>
        <w:t>气环境的模</w:t>
      </w:r>
      <w:r>
        <w:rPr>
          <w:rFonts w:ascii="宋体" w:hAnsi="宋体" w:cs="宋体" w:eastAsia="宋体" w:hint="ascii"/>
          <w:sz w:val="21"/>
        </w:rPr>
        <w:t>式、预报方法和预测理论，为满足高分辨率、定时、定点、定量的灾害性天气与大气环境预报，以及提高季节到年际气候预测的水平奠定科学基础。</w:t>
      </w:r>
    </w:p>
    <w:p>
      <w:pPr>
        <w:autoSpaceDE w:val="0"/>
        <w:autoSpaceDN w:val="0"/>
        <w:jc w:val="left"/>
        <w:spacing w:before="45"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本领域的主要研究方向：天气与气候变化的动力机制及其可预报性；气候年代际变</w:t>
      </w:r>
    </w:p>
    <w:p>
      <w:pPr>
        <w:autoSpaceDE w:val="0"/>
        <w:autoSpaceDN w:val="0"/>
        <w:jc w:val="both"/>
        <w:spacing w:before="13" w:after="0" w:lineRule="exact" w:line="319"/>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异预测；大</w:t>
      </w:r>
      <w:r>
        <w:rPr>
          <w:rFonts w:ascii="宋体" w:hAnsi="宋体" w:cs="宋体" w:eastAsia="宋体" w:hint="ascii"/>
          <w:sz w:val="21"/>
        </w:rPr>
        <w:t>气物理、大气化学过程及相互影响机制；亚洲区域天气变化、气候变异和大</w:t>
      </w:r>
      <w:r>
        <w:rPr>
          <w:rFonts w:ascii="宋体" w:hAnsi="宋体" w:cs="宋体" w:eastAsia="宋体" w:hint="ascii"/>
          <w:sz w:val="21"/>
          <w:spacing w:val="4"/>
        </w:rPr>
        <w:t>气环境的相互影响；</w:t>
      </w:r>
      <w:r>
        <w:rPr>
          <w:rFonts w:ascii="宋体" w:hAnsi="宋体" w:cs="宋体" w:eastAsia="宋体" w:hint="ascii"/>
          <w:sz w:val="21"/>
          <w:spacing w:val="3"/>
        </w:rPr>
        <w:t>气候系统中能量和物质的交换和循环；极端气候事件的频率</w:t>
      </w:r>
      <w:r>
        <w:rPr>
          <w:rFonts w:ascii="宋体" w:hAnsi="宋体" w:cs="宋体" w:eastAsia="宋体" w:hint="ascii"/>
          <w:sz w:val="21"/>
          <w:spacing w:val="-6"/>
        </w:rPr>
        <w:t>和</w:t>
      </w:r>
      <w:r>
        <w:rPr>
          <w:rFonts w:ascii="宋体" w:hAnsi="宋体" w:cs="宋体" w:eastAsia="宋体" w:hint="ascii"/>
          <w:sz w:val="21"/>
        </w:rPr>
        <w:t>幅度。</w:t>
      </w:r>
    </w:p>
    <w:p>
      <w:pPr>
        <w:autoSpaceDE w:val="0"/>
        <w:autoSpaceDN w:val="0"/>
        <w:jc w:val="left"/>
        <w:spacing w:before="36"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年度拟重点资助的研究方向：</w:t>
      </w:r>
    </w:p>
    <w:p>
      <w:pPr>
        <w:autoSpaceDE w:val="0"/>
        <w:autoSpaceDN w:val="0"/>
        <w:jc w:val="left"/>
        <w:spacing w:before="48"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）大气气溶胶、云和降水、辐射相互作用；</w:t>
      </w:r>
    </w:p>
    <w:p>
      <w:pPr>
        <w:autoSpaceDE w:val="0"/>
        <w:autoSpaceDN w:val="0"/>
        <w:jc w:val="left"/>
        <w:spacing w:before="328" w:after="0" w:lineRule="exact" w:line="225"/>
        <w:ind w:right="0" w:left="745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）大气边界层、大气污染与气候系统的相互作用；</w:t>
      </w:r>
      <w:r>
        <w:rPr>
          <w:rFonts w:ascii="宋体" w:hAnsi="宋体" w:cs="宋体" w:eastAsia="宋体" w:hint="ascii"/>
          <w:sz w:val="21"/>
        </w:rPr>
        <mc:AlternateContent>
          <mc:Choice Requires="wps">
            <w:drawing>
              <wp:anchor distL="0" distR="0" distT="0" distB="0" simplePos="0" behindDoc="1" relativeHeight="162" locked="0" layoutInCell="1" allowOverlap="1">
                <wp:simplePos x="0" y="0"/>
                <wp:positionH relativeFrom="page">
                  <wp:posOffset>938530</wp:posOffset>
                </wp:positionH>
                <wp:positionV relativeFrom="page">
                  <wp:posOffset>805815</wp:posOffset>
                </wp:positionV>
                <wp:extent cx="5076190" cy="0"/>
                <wp:wrapNone/>
                <wp:docPr id="1191" name="119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92352;width:399.70pt;" id="119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2"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）中高层大气变化及其与对流层大气的相互作用；</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）大气物理过程与大气化学过程的耦合机制及模拟；</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）高分辨率天气预报模式和云模式的发展；</w:t>
      </w:r>
    </w:p>
    <w:p>
      <w:pPr>
        <w:autoSpaceDE w:val="0"/>
        <w:autoSpaceDN w:val="0"/>
        <w:jc w:val="left"/>
        <w:spacing w:before="42"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）雷暴云内动力</w:t>
      </w:r>
      <w:r>
        <w:rPr>
          <w:rFonts w:ascii="宋体" w:hAnsi="宋体" w:cs="宋体" w:eastAsia="宋体" w:hint="ascii"/>
          <w:sz w:val="21"/>
        </w:rPr>
        <w:t>-</w:t>
      </w:r>
      <w:r>
        <w:rPr>
          <w:rFonts w:ascii="宋体" w:hAnsi="宋体" w:cs="宋体" w:eastAsia="宋体" w:hint="ascii"/>
          <w:sz w:val="21"/>
        </w:rPr>
        <w:t>微物理</w:t>
      </w:r>
      <w:r>
        <w:rPr>
          <w:rFonts w:ascii="宋体" w:hAnsi="宋体" w:cs="宋体" w:eastAsia="宋体" w:hint="ascii"/>
          <w:sz w:val="21"/>
        </w:rPr>
        <w:t>-</w:t>
      </w:r>
      <w:r>
        <w:rPr>
          <w:rFonts w:ascii="宋体" w:hAnsi="宋体" w:cs="宋体" w:eastAsia="宋体" w:hint="ascii"/>
          <w:sz w:val="21"/>
        </w:rPr>
        <w:t>电过程综合探空技术与人工影响天气；</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）灾害天气、气候发生发展及其演变规律和精细化预报理论与方法；</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）气候与气候变化的动力机制；</w:t>
      </w:r>
    </w:p>
    <w:p>
      <w:pPr>
        <w:autoSpaceDE w:val="0"/>
        <w:autoSpaceDN w:val="0"/>
        <w:jc w:val="left"/>
        <w:spacing w:before="42"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）大气次季节（</w:t>
      </w:r>
      <w:r>
        <w:rPr>
          <w:rFonts w:ascii="Times New Roman" w:hAnsi="Times New Roman" w:cs="Times New Roman" w:eastAsia="Times New Roman" w:hint="ascii"/>
          <w:sz w:val="21"/>
        </w:rPr>
        <w:t>10</w:t>
      </w:r>
      <w:r>
        <w:rPr>
          <w:rFonts w:ascii="宋体" w:hAnsi="宋体" w:cs="宋体" w:eastAsia="宋体" w:hint="ascii"/>
          <w:sz w:val="21"/>
        </w:rPr>
        <w:t>～</w:t>
      </w:r>
      <w:r>
        <w:rPr>
          <w:rFonts w:ascii="Times New Roman" w:hAnsi="Times New Roman" w:cs="Times New Roman" w:eastAsia="Times New Roman" w:hint="ascii"/>
          <w:sz w:val="21"/>
        </w:rPr>
        <w:t>9</w:t>
      </w:r>
      <w:r>
        <w:rPr>
          <w:rFonts w:ascii="Times New Roman" w:hAnsi="Times New Roman" w:cs="Times New Roman" w:eastAsia="Times New Roman" w:hint="ascii"/>
          <w:sz w:val="21"/>
          <w:spacing w:val="22"/>
        </w:rPr>
        <w:t>0</w:t>
      </w:r>
      <w:r>
        <w:rPr>
          <w:rFonts w:ascii="宋体" w:hAnsi="宋体" w:cs="宋体" w:eastAsia="宋体" w:hint="ascii"/>
          <w:sz w:val="21"/>
        </w:rPr>
        <w:t>天）变化的成因与可预报性；</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）季节、年际和年代际预测；</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）气候系统中能量和物质的交换和循环及其机制；</w:t>
      </w:r>
    </w:p>
    <w:p>
      <w:pPr>
        <w:autoSpaceDE w:val="0"/>
        <w:autoSpaceDN w:val="0"/>
        <w:jc w:val="left"/>
        <w:spacing w:before="42"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）区域性极端天气、气候变异、大气环境变化和全球气候相互影响；</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）新理论和新方法在大气关键变量探测中的实现与应用；</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）耦合模式及其资料同化研究；</w:t>
      </w:r>
    </w:p>
    <w:p>
      <w:pPr>
        <w:autoSpaceDE w:val="0"/>
        <w:autoSpaceDN w:val="0"/>
        <w:jc w:val="left"/>
        <w:spacing w:before="42"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）陆</w:t>
      </w:r>
      <w:r>
        <w:rPr>
          <w:rFonts w:ascii="宋体" w:hAnsi="宋体" w:cs="宋体" w:eastAsia="宋体" w:hint="ascii"/>
          <w:sz w:val="21"/>
        </w:rPr>
        <w:t>-</w:t>
      </w:r>
      <w:r>
        <w:rPr>
          <w:rFonts w:ascii="宋体" w:hAnsi="宋体" w:cs="宋体" w:eastAsia="宋体" w:hint="ascii"/>
          <w:sz w:val="21"/>
        </w:rPr>
        <w:t>气、海</w:t>
      </w:r>
      <w:r>
        <w:rPr>
          <w:rFonts w:ascii="宋体" w:hAnsi="宋体" w:cs="宋体" w:eastAsia="宋体" w:hint="ascii"/>
          <w:sz w:val="21"/>
        </w:rPr>
        <w:t>-</w:t>
      </w:r>
      <w:r>
        <w:rPr>
          <w:rFonts w:ascii="宋体" w:hAnsi="宋体" w:cs="宋体" w:eastAsia="宋体" w:hint="ascii"/>
          <w:sz w:val="21"/>
        </w:rPr>
        <w:t>气相互作用。</w:t>
      </w:r>
    </w:p>
    <w:p>
      <w:pPr>
        <w:autoSpaceDE w:val="0"/>
        <w:autoSpaceDN w:val="0"/>
        <w:jc w:val="left"/>
        <w:spacing w:before="41"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41" w:after="0" w:lineRule="auto" w:line="240"/>
        <w:ind w:right="0" w:left="789" w:hanging="105"/>
        <w:snapToGrid w:val="0"/>
        <w:textAlignment w:val="auto"/>
        <w:tabs>
          <w:tab w:val="left" w:leader="none" w:pos="787"/>
        </w:tabs>
        <w:numPr>
          <w:ilvl w:val="0"/>
          <w:numId w:val="135"/>
        </w:numPr>
        <w:rPr>
          <w:rFonts w:ascii="Times New Roman" w:hAnsi="Times New Roman" w:cs="Times New Roman" w:eastAsia="Times New Roman" w:hint="ascii"/>
          <w:sz w:val="21"/>
          <w:spacing w:val="1"/>
        </w:rPr>
      </w:pPr>
      <w:r>
        <w:rPr>
          <w:rFonts w:ascii="宋体" w:hAnsi="宋体" w:cs="宋体" w:eastAsia="宋体" w:hint="ascii"/>
          <w:sz w:val="21"/>
        </w:rPr>
        <w:t>日地空间环境和空间天气</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本</w:t>
      </w:r>
      <w:r>
        <w:rPr>
          <w:rFonts w:ascii="宋体" w:hAnsi="宋体" w:cs="宋体" w:eastAsia="宋体" w:hint="ascii"/>
          <w:sz w:val="21"/>
          <w:spacing w:val="3"/>
        </w:rPr>
        <w:t>领域的科学目</w:t>
      </w:r>
      <w:r>
        <w:rPr>
          <w:rFonts w:ascii="宋体" w:hAnsi="宋体" w:cs="宋体" w:eastAsia="宋体" w:hint="ascii"/>
          <w:sz w:val="21"/>
          <w:spacing w:val="4"/>
        </w:rPr>
        <w:t>标</w:t>
      </w:r>
      <w:r>
        <w:rPr>
          <w:rFonts w:ascii="宋体" w:hAnsi="宋体" w:cs="宋体" w:eastAsia="宋体" w:hint="ascii"/>
          <w:sz w:val="21"/>
          <w:spacing w:val="3"/>
        </w:rPr>
        <w:t>：以日地</w:t>
      </w:r>
      <w:r>
        <w:rPr>
          <w:rFonts w:ascii="宋体" w:hAnsi="宋体" w:cs="宋体" w:eastAsia="宋体" w:hint="ascii"/>
          <w:sz w:val="21"/>
          <w:spacing w:val="4"/>
        </w:rPr>
        <w:t>系</w:t>
      </w:r>
      <w:r>
        <w:rPr>
          <w:rFonts w:ascii="宋体" w:hAnsi="宋体" w:cs="宋体" w:eastAsia="宋体" w:hint="ascii"/>
          <w:sz w:val="21"/>
          <w:spacing w:val="3"/>
        </w:rPr>
        <w:t>统不同空</w:t>
      </w:r>
      <w:r>
        <w:rPr>
          <w:rFonts w:ascii="宋体" w:hAnsi="宋体" w:cs="宋体" w:eastAsia="宋体" w:hint="ascii"/>
          <w:sz w:val="21"/>
          <w:spacing w:val="4"/>
        </w:rPr>
        <w:t>间</w:t>
      </w:r>
      <w:r>
        <w:rPr>
          <w:rFonts w:ascii="宋体" w:hAnsi="宋体" w:cs="宋体" w:eastAsia="宋体" w:hint="ascii"/>
          <w:sz w:val="21"/>
          <w:spacing w:val="3"/>
        </w:rPr>
        <w:t>层次的空</w:t>
      </w:r>
      <w:r>
        <w:rPr>
          <w:rFonts w:ascii="宋体" w:hAnsi="宋体" w:cs="宋体" w:eastAsia="宋体" w:hint="ascii"/>
          <w:sz w:val="21"/>
          <w:spacing w:val="4"/>
        </w:rPr>
        <w:t>间</w:t>
      </w:r>
      <w:r>
        <w:rPr>
          <w:rFonts w:ascii="宋体" w:hAnsi="宋体" w:cs="宋体" w:eastAsia="宋体" w:hint="ascii"/>
          <w:sz w:val="21"/>
          <w:spacing w:val="3"/>
        </w:rPr>
        <w:t>天气过程</w:t>
      </w:r>
      <w:r>
        <w:rPr>
          <w:rFonts w:ascii="宋体" w:hAnsi="宋体" w:cs="宋体" w:eastAsia="宋体" w:hint="ascii"/>
          <w:sz w:val="21"/>
          <w:spacing w:val="4"/>
        </w:rPr>
        <w:t>研</w:t>
      </w:r>
      <w:r>
        <w:rPr>
          <w:rFonts w:ascii="宋体" w:hAnsi="宋体" w:cs="宋体" w:eastAsia="宋体" w:hint="ascii"/>
          <w:sz w:val="21"/>
          <w:spacing w:val="3"/>
        </w:rPr>
        <w:t>究为基础</w:t>
      </w:r>
      <w:r>
        <w:rPr>
          <w:rFonts w:ascii="宋体" w:hAnsi="宋体" w:cs="宋体" w:eastAsia="宋体" w:hint="ascii"/>
          <w:sz w:val="21"/>
          <w:spacing w:val="4"/>
        </w:rPr>
        <w:t>，</w:t>
      </w:r>
      <w:r>
        <w:rPr>
          <w:rFonts w:ascii="宋体" w:hAnsi="宋体" w:cs="宋体" w:eastAsia="宋体" w:hint="ascii"/>
          <w:sz w:val="21"/>
          <w:spacing w:val="3"/>
        </w:rPr>
        <w:t>以</w:t>
      </w:r>
      <w:r>
        <w:rPr>
          <w:rFonts w:ascii="宋体" w:hAnsi="宋体" w:cs="宋体" w:eastAsia="宋体" w:hint="ascii"/>
          <w:sz w:val="21"/>
        </w:rPr>
        <w:t>统</w:t>
      </w:r>
    </w:p>
    <w:p>
      <w:pPr>
        <w:autoSpaceDE w:val="0"/>
        <w:autoSpaceDN w:val="0"/>
        <w:jc w:val="both"/>
        <w:spacing w:before="8" w:after="0" w:lineRule="exact" w:line="304"/>
        <w:ind w:right="972" w:left="0" w:firstLine="0"/>
        <w:snapToGrid w:val="0"/>
        <w:textAlignment w:val="auto"/>
        <w:tabs/>
        <w:rPr>
          <w:rFonts w:ascii="宋体" w:hAnsi="宋体" w:cs="宋体" w:eastAsia="宋体" w:hint="ascii"/>
          <w:sz w:val="21"/>
        </w:rPr>
      </w:pPr>
      <w:r>
        <w:rPr>
          <w:rFonts w:ascii="宋体" w:hAnsi="宋体" w:cs="宋体" w:eastAsia="宋体" w:hint="ascii"/>
          <w:sz w:val="21"/>
          <w:spacing w:val="1"/>
        </w:rPr>
        <w:t>一时空基准形成空间天气</w:t>
      </w:r>
      <w:r>
        <w:rPr>
          <w:rFonts w:ascii="宋体" w:hAnsi="宋体" w:cs="宋体" w:eastAsia="宋体" w:hint="ascii"/>
          <w:sz w:val="21"/>
        </w:rPr>
        <w:t>链锁过程的整体性理论为框架，取得有重大影响的原创性</w:t>
      </w:r>
      <w:r>
        <w:rPr>
          <w:rFonts w:ascii="宋体" w:hAnsi="宋体" w:cs="宋体" w:eastAsia="宋体" w:hint="ascii"/>
          <w:sz w:val="21"/>
          <w:spacing w:val="-6"/>
        </w:rPr>
        <w:t>进</w:t>
      </w:r>
      <w:r>
        <w:rPr>
          <w:rFonts w:ascii="宋体" w:hAnsi="宋体" w:cs="宋体" w:eastAsia="宋体" w:hint="ascii"/>
          <w:sz w:val="21"/>
          <w:spacing w:val="1"/>
        </w:rPr>
        <w:t>展；建立日地系统及日球</w:t>
      </w:r>
      <w:r>
        <w:rPr>
          <w:rFonts w:ascii="宋体" w:hAnsi="宋体" w:cs="宋体" w:eastAsia="宋体" w:hint="ascii"/>
          <w:sz w:val="21"/>
        </w:rPr>
        <w:t>系统空间天气事件的因果链模式，发展以物理预报为基础</w:t>
      </w:r>
      <w:r>
        <w:rPr>
          <w:rFonts w:ascii="宋体" w:hAnsi="宋体" w:cs="宋体" w:eastAsia="宋体" w:hint="ascii"/>
          <w:sz w:val="21"/>
          <w:spacing w:val="-6"/>
        </w:rPr>
        <w:t>的</w:t>
      </w:r>
      <w:r>
        <w:rPr>
          <w:rFonts w:ascii="宋体" w:hAnsi="宋体" w:cs="宋体" w:eastAsia="宋体" w:hint="ascii"/>
          <w:sz w:val="21"/>
          <w:spacing w:val="1"/>
        </w:rPr>
        <w:t>集成预报方法，为航天安</w:t>
      </w:r>
      <w:r>
        <w:rPr>
          <w:rFonts w:ascii="宋体" w:hAnsi="宋体" w:cs="宋体" w:eastAsia="宋体" w:hint="ascii"/>
          <w:sz w:val="21"/>
        </w:rPr>
        <w:t>全、空间对地观测提供基础数据；实现与数理、信息、材</w:t>
      </w:r>
      <w:r>
        <w:rPr>
          <w:rFonts w:ascii="宋体" w:hAnsi="宋体" w:cs="宋体" w:eastAsia="宋体" w:hint="ascii"/>
          <w:sz w:val="21"/>
          <w:spacing w:val="-6"/>
        </w:rPr>
        <w:t>料</w:t>
      </w:r>
      <w:r>
        <w:rPr>
          <w:rFonts w:ascii="宋体" w:hAnsi="宋体" w:cs="宋体" w:eastAsia="宋体" w:hint="ascii"/>
          <w:sz w:val="21"/>
          <w:spacing w:val="1"/>
        </w:rPr>
        <w:t>和生命科学等的多学科交</w:t>
      </w:r>
      <w:r>
        <w:rPr>
          <w:rFonts w:ascii="宋体" w:hAnsi="宋体" w:cs="宋体" w:eastAsia="宋体" w:hint="ascii"/>
          <w:sz w:val="21"/>
        </w:rPr>
        <w:t>叉，开拓空间天气环境与地球动力学及其对人类活动影响</w:t>
      </w:r>
      <w:r>
        <w:rPr>
          <w:rFonts w:ascii="宋体" w:hAnsi="宋体" w:cs="宋体" w:eastAsia="宋体" w:hint="ascii"/>
          <w:sz w:val="21"/>
          <w:spacing w:val="-6"/>
        </w:rPr>
        <w:t>的</w:t>
      </w:r>
      <w:r>
        <w:rPr>
          <w:rFonts w:ascii="宋体" w:hAnsi="宋体" w:cs="宋体" w:eastAsia="宋体" w:hint="ascii"/>
          <w:sz w:val="21"/>
          <w:spacing w:val="1"/>
        </w:rPr>
        <w:t>机理研究，为应用和管理</w:t>
      </w:r>
      <w:r>
        <w:rPr>
          <w:rFonts w:ascii="宋体" w:hAnsi="宋体" w:cs="宋体" w:eastAsia="宋体" w:hint="ascii"/>
          <w:sz w:val="21"/>
        </w:rPr>
        <w:t>部门的决策提供科学依据；发展空间天气探测新概念和新</w:t>
      </w:r>
      <w:r>
        <w:rPr>
          <w:rFonts w:ascii="宋体" w:hAnsi="宋体" w:cs="宋体" w:eastAsia="宋体" w:hint="ascii"/>
          <w:sz w:val="21"/>
          <w:spacing w:val="-6"/>
        </w:rPr>
        <w:t>方</w:t>
      </w:r>
      <w:r>
        <w:rPr>
          <w:rFonts w:ascii="宋体" w:hAnsi="宋体" w:cs="宋体" w:eastAsia="宋体" w:hint="ascii"/>
          <w:sz w:val="21"/>
          <w:spacing w:val="1"/>
        </w:rPr>
        <w:t>法，提出空间天气系列卫</w:t>
      </w:r>
      <w:r>
        <w:rPr>
          <w:rFonts w:ascii="宋体" w:hAnsi="宋体" w:cs="宋体" w:eastAsia="宋体" w:hint="ascii"/>
          <w:sz w:val="21"/>
        </w:rPr>
        <w:t>星的新概念方案，开拓空间天气研究新局面。鼓励与国家</w:t>
      </w:r>
      <w:r>
        <w:rPr>
          <w:rFonts w:ascii="宋体" w:hAnsi="宋体" w:cs="宋体" w:eastAsia="宋体" w:hint="ascii"/>
          <w:sz w:val="21"/>
          <w:spacing w:val="-6"/>
        </w:rPr>
        <w:t>重</w:t>
      </w:r>
      <w:r>
        <w:rPr>
          <w:rFonts w:ascii="宋体" w:hAnsi="宋体" w:cs="宋体" w:eastAsia="宋体" w:hint="ascii"/>
          <w:sz w:val="21"/>
          <w:spacing w:val="1"/>
        </w:rPr>
        <w:t>大科学计划相关的空间</w:t>
      </w:r>
      <w:r>
        <w:rPr>
          <w:rFonts w:ascii="宋体" w:hAnsi="宋体" w:cs="宋体" w:eastAsia="宋体" w:hint="ascii"/>
          <w:sz w:val="21"/>
        </w:rPr>
        <w:t>天气基础研究；鼓励利用国内外最新天基、地基观测数据进</w:t>
      </w:r>
      <w:r>
        <w:rPr>
          <w:rFonts w:ascii="宋体" w:hAnsi="宋体" w:cs="宋体" w:eastAsia="宋体" w:hint="ascii"/>
          <w:sz w:val="21"/>
          <w:spacing w:val="-6"/>
        </w:rPr>
        <w:t>行</w:t>
      </w:r>
      <w:r>
        <w:rPr>
          <w:rFonts w:ascii="宋体" w:hAnsi="宋体" w:cs="宋体" w:eastAsia="宋体" w:hint="ascii"/>
          <w:sz w:val="21"/>
          <w:spacing w:val="4"/>
        </w:rPr>
        <w:t>数据分析、理论研究与数</w:t>
      </w:r>
      <w:r>
        <w:rPr>
          <w:rFonts w:ascii="宋体" w:hAnsi="宋体" w:cs="宋体" w:eastAsia="宋体" w:hint="ascii"/>
          <w:sz w:val="21"/>
          <w:spacing w:val="3"/>
        </w:rPr>
        <w:t>值模拟，特别鼓励利用子午工程观测数据开展空间天气</w:t>
      </w:r>
      <w:r>
        <w:rPr>
          <w:rFonts w:ascii="宋体" w:hAnsi="宋体" w:cs="宋体" w:eastAsia="宋体" w:hint="ascii"/>
          <w:sz w:val="21"/>
          <w:spacing w:val="-6"/>
        </w:rPr>
        <w:t>研</w:t>
      </w:r>
      <w:r>
        <w:rPr>
          <w:rFonts w:ascii="宋体" w:hAnsi="宋体" w:cs="宋体" w:eastAsia="宋体" w:hint="ascii"/>
          <w:sz w:val="21"/>
          <w:spacing w:val="1"/>
        </w:rPr>
        <w:t>究。该领域包括空间大地测</w:t>
      </w:r>
      <w:r>
        <w:rPr>
          <w:rFonts w:ascii="宋体" w:hAnsi="宋体" w:cs="宋体" w:eastAsia="宋体" w:hint="ascii"/>
          <w:sz w:val="21"/>
        </w:rPr>
        <w:t>量的相关基础研究，特别鼓励空间天气与空间大地测量</w:t>
      </w:r>
      <w:r>
        <w:rPr>
          <w:rFonts w:ascii="宋体" w:hAnsi="宋体" w:cs="宋体" w:eastAsia="宋体" w:hint="ascii"/>
          <w:sz w:val="21"/>
          <w:spacing w:val="-6"/>
        </w:rPr>
        <w:t>之</w:t>
      </w:r>
      <w:r>
        <w:rPr>
          <w:rFonts w:ascii="宋体" w:hAnsi="宋体" w:cs="宋体" w:eastAsia="宋体" w:hint="ascii"/>
          <w:sz w:val="21"/>
        </w:rPr>
        <w:t>间的交叉研究。</w:t>
      </w:r>
    </w:p>
    <w:p>
      <w:pPr>
        <w:autoSpaceDE w:val="0"/>
        <w:autoSpaceDN w:val="0"/>
        <w:jc w:val="both"/>
        <w:spacing w:before="3" w:after="0" w:lineRule="exact" w:line="305"/>
        <w:ind w:right="972" w:left="0" w:firstLine="408"/>
        <w:snapToGrid w:val="0"/>
        <w:textAlignment w:val="auto"/>
        <w:tabs/>
        <w:rPr>
          <w:rFonts w:ascii="宋体" w:hAnsi="宋体" w:cs="宋体" w:eastAsia="宋体" w:hint="ascii"/>
          <w:sz w:val="21"/>
        </w:rPr>
      </w:pPr>
      <w:r>
        <w:rPr>
          <w:rFonts w:ascii="宋体" w:hAnsi="宋体" w:cs="宋体" w:eastAsia="宋体" w:hint="ascii"/>
          <w:sz w:val="21"/>
          <w:spacing w:val="-4"/>
        </w:rPr>
        <w:t>本领</w:t>
      </w:r>
      <w:r>
        <w:rPr>
          <w:rFonts w:ascii="宋体" w:hAnsi="宋体" w:cs="宋体" w:eastAsia="宋体" w:hint="ascii"/>
          <w:sz w:val="21"/>
          <w:spacing w:val="-5"/>
        </w:rPr>
        <w:t>域</w:t>
      </w:r>
      <w:r>
        <w:rPr>
          <w:rFonts w:ascii="宋体" w:hAnsi="宋体" w:cs="宋体" w:eastAsia="宋体" w:hint="ascii"/>
          <w:sz w:val="21"/>
          <w:spacing w:val="-4"/>
        </w:rPr>
        <w:t>的</w:t>
      </w:r>
      <w:r>
        <w:rPr>
          <w:rFonts w:ascii="宋体" w:hAnsi="宋体" w:cs="宋体" w:eastAsia="宋体" w:hint="ascii"/>
          <w:sz w:val="21"/>
          <w:spacing w:val="-5"/>
        </w:rPr>
        <w:t>主要</w:t>
      </w:r>
      <w:r>
        <w:rPr>
          <w:rFonts w:ascii="宋体" w:hAnsi="宋体" w:cs="宋体" w:eastAsia="宋体" w:hint="ascii"/>
          <w:sz w:val="21"/>
          <w:spacing w:val="-4"/>
        </w:rPr>
        <w:t>研究</w:t>
      </w:r>
      <w:r>
        <w:rPr>
          <w:rFonts w:ascii="宋体" w:hAnsi="宋体" w:cs="宋体" w:eastAsia="宋体" w:hint="ascii"/>
          <w:sz w:val="21"/>
          <w:spacing w:val="-5"/>
        </w:rPr>
        <w:t>方</w:t>
      </w:r>
      <w:r>
        <w:rPr>
          <w:rFonts w:ascii="宋体" w:hAnsi="宋体" w:cs="宋体" w:eastAsia="宋体" w:hint="ascii"/>
          <w:sz w:val="21"/>
          <w:spacing w:val="-4"/>
        </w:rPr>
        <w:t>向</w:t>
      </w:r>
      <w:r>
        <w:rPr>
          <w:rFonts w:ascii="宋体" w:hAnsi="宋体" w:cs="宋体" w:eastAsia="宋体" w:hint="ascii"/>
          <w:sz w:val="21"/>
          <w:spacing w:val="-5"/>
        </w:rPr>
        <w:t>：空</w:t>
      </w:r>
      <w:r>
        <w:rPr>
          <w:rFonts w:ascii="宋体" w:hAnsi="宋体" w:cs="宋体" w:eastAsia="宋体" w:hint="ascii"/>
          <w:sz w:val="21"/>
          <w:spacing w:val="-4"/>
        </w:rPr>
        <w:t>间天</w:t>
      </w:r>
      <w:r>
        <w:rPr>
          <w:rFonts w:ascii="宋体" w:hAnsi="宋体" w:cs="宋体" w:eastAsia="宋体" w:hint="ascii"/>
          <w:sz w:val="21"/>
          <w:spacing w:val="-5"/>
        </w:rPr>
        <w:t>气</w:t>
      </w:r>
      <w:r>
        <w:rPr>
          <w:rFonts w:ascii="宋体" w:hAnsi="宋体" w:cs="宋体" w:eastAsia="宋体" w:hint="ascii"/>
          <w:sz w:val="21"/>
          <w:spacing w:val="-4"/>
        </w:rPr>
        <w:t>科</w:t>
      </w:r>
      <w:r>
        <w:rPr>
          <w:rFonts w:ascii="宋体" w:hAnsi="宋体" w:cs="宋体" w:eastAsia="宋体" w:hint="ascii"/>
          <w:sz w:val="21"/>
          <w:spacing w:val="-5"/>
        </w:rPr>
        <w:t>学前</w:t>
      </w:r>
      <w:r>
        <w:rPr>
          <w:rFonts w:ascii="宋体" w:hAnsi="宋体" w:cs="宋体" w:eastAsia="宋体" w:hint="ascii"/>
          <w:sz w:val="21"/>
          <w:spacing w:val="-4"/>
        </w:rPr>
        <w:t>沿基</w:t>
      </w:r>
      <w:r>
        <w:rPr>
          <w:rFonts w:ascii="宋体" w:hAnsi="宋体" w:cs="宋体" w:eastAsia="宋体" w:hint="ascii"/>
          <w:sz w:val="21"/>
          <w:spacing w:val="-5"/>
        </w:rPr>
        <w:t>本</w:t>
      </w:r>
      <w:r>
        <w:rPr>
          <w:rFonts w:ascii="宋体" w:hAnsi="宋体" w:cs="宋体" w:eastAsia="宋体" w:hint="ascii"/>
          <w:sz w:val="21"/>
          <w:spacing w:val="-4"/>
        </w:rPr>
        <w:t>物</w:t>
      </w:r>
      <w:r>
        <w:rPr>
          <w:rFonts w:ascii="宋体" w:hAnsi="宋体" w:cs="宋体" w:eastAsia="宋体" w:hint="ascii"/>
          <w:sz w:val="21"/>
          <w:spacing w:val="-5"/>
        </w:rPr>
        <w:t>理过</w:t>
      </w:r>
      <w:r>
        <w:rPr>
          <w:rFonts w:ascii="宋体" w:hAnsi="宋体" w:cs="宋体" w:eastAsia="宋体" w:hint="ascii"/>
          <w:sz w:val="21"/>
          <w:spacing w:val="-4"/>
        </w:rPr>
        <w:t>程；</w:t>
      </w:r>
      <w:r>
        <w:rPr>
          <w:rFonts w:ascii="宋体" w:hAnsi="宋体" w:cs="宋体" w:eastAsia="宋体" w:hint="ascii"/>
          <w:sz w:val="21"/>
          <w:spacing w:val="-5"/>
        </w:rPr>
        <w:t>日</w:t>
      </w:r>
      <w:r>
        <w:rPr>
          <w:rFonts w:ascii="宋体" w:hAnsi="宋体" w:cs="宋体" w:eastAsia="宋体" w:hint="ascii"/>
          <w:sz w:val="21"/>
          <w:spacing w:val="-4"/>
        </w:rPr>
        <w:t>地</w:t>
      </w:r>
      <w:r>
        <w:rPr>
          <w:rFonts w:ascii="宋体" w:hAnsi="宋体" w:cs="宋体" w:eastAsia="宋体" w:hint="ascii"/>
          <w:sz w:val="21"/>
          <w:spacing w:val="-5"/>
        </w:rPr>
        <w:t>系</w:t>
      </w:r>
      <w:r>
        <w:rPr>
          <w:rFonts w:ascii="宋体" w:hAnsi="宋体" w:cs="宋体" w:eastAsia="宋体" w:hint="ascii"/>
          <w:sz w:val="21"/>
          <w:spacing w:val="-4"/>
        </w:rPr>
        <w:t>统</w:t>
      </w:r>
      <w:r>
        <w:rPr>
          <w:rFonts w:ascii="宋体" w:hAnsi="宋体" w:cs="宋体" w:eastAsia="宋体" w:hint="ascii"/>
          <w:sz w:val="21"/>
          <w:spacing w:val="-3"/>
        </w:rPr>
        <w:t>空间</w:t>
      </w:r>
      <w:r>
        <w:rPr>
          <w:rFonts w:ascii="宋体" w:hAnsi="宋体" w:cs="宋体" w:eastAsia="宋体" w:hint="ascii"/>
          <w:sz w:val="21"/>
          <w:spacing w:val="-4"/>
        </w:rPr>
        <w:t>天</w:t>
      </w:r>
      <w:r>
        <w:rPr>
          <w:rFonts w:ascii="宋体" w:hAnsi="宋体" w:cs="宋体" w:eastAsia="宋体" w:hint="ascii"/>
          <w:sz w:val="21"/>
          <w:spacing w:val="-3"/>
        </w:rPr>
        <w:t>气耦合</w:t>
      </w:r>
      <w:r>
        <w:rPr>
          <w:rFonts w:ascii="宋体" w:hAnsi="宋体" w:cs="宋体" w:eastAsia="宋体" w:hint="ascii"/>
          <w:sz w:val="21"/>
          <w:spacing w:val="-1"/>
        </w:rPr>
        <w:t>过</w:t>
      </w:r>
      <w:r>
        <w:rPr>
          <w:rFonts w:ascii="宋体" w:hAnsi="宋体" w:cs="宋体" w:eastAsia="宋体" w:hint="ascii"/>
          <w:sz w:val="21"/>
        </w:rPr>
        <w:t xml:space="preserve"> </w:t>
      </w:r>
      <w:r>
        <w:rPr>
          <w:rFonts w:ascii="宋体" w:hAnsi="宋体" w:cs="宋体" w:eastAsia="宋体" w:hint="ascii"/>
          <w:sz w:val="21"/>
          <w:spacing w:val="-4"/>
        </w:rPr>
        <w:t>程；</w:t>
      </w:r>
      <w:r>
        <w:rPr>
          <w:rFonts w:ascii="宋体" w:hAnsi="宋体" w:cs="宋体" w:eastAsia="宋体" w:hint="ascii"/>
          <w:sz w:val="21"/>
          <w:spacing w:val="-5"/>
        </w:rPr>
        <w:t>空</w:t>
      </w:r>
      <w:r>
        <w:rPr>
          <w:rFonts w:ascii="宋体" w:hAnsi="宋体" w:cs="宋体" w:eastAsia="宋体" w:hint="ascii"/>
          <w:sz w:val="21"/>
          <w:spacing w:val="-4"/>
        </w:rPr>
        <w:t>间</w:t>
      </w:r>
      <w:r>
        <w:rPr>
          <w:rFonts w:ascii="宋体" w:hAnsi="宋体" w:cs="宋体" w:eastAsia="宋体" w:hint="ascii"/>
          <w:sz w:val="21"/>
          <w:spacing w:val="-5"/>
        </w:rPr>
        <w:t>天气</w:t>
      </w:r>
      <w:r>
        <w:rPr>
          <w:rFonts w:ascii="宋体" w:hAnsi="宋体" w:cs="宋体" w:eastAsia="宋体" w:hint="ascii"/>
          <w:sz w:val="21"/>
          <w:spacing w:val="-4"/>
        </w:rPr>
        <w:t>区域</w:t>
      </w:r>
      <w:r>
        <w:rPr>
          <w:rFonts w:ascii="宋体" w:hAnsi="宋体" w:cs="宋体" w:eastAsia="宋体" w:hint="ascii"/>
          <w:sz w:val="21"/>
          <w:spacing w:val="-5"/>
        </w:rPr>
        <w:t>建</w:t>
      </w:r>
      <w:r>
        <w:rPr>
          <w:rFonts w:ascii="宋体" w:hAnsi="宋体" w:cs="宋体" w:eastAsia="宋体" w:hint="ascii"/>
          <w:sz w:val="21"/>
          <w:spacing w:val="-4"/>
        </w:rPr>
        <w:t>模</w:t>
      </w:r>
      <w:r>
        <w:rPr>
          <w:rFonts w:ascii="宋体" w:hAnsi="宋体" w:cs="宋体" w:eastAsia="宋体" w:hint="ascii"/>
          <w:sz w:val="21"/>
          <w:spacing w:val="-5"/>
        </w:rPr>
        <w:t>和集</w:t>
      </w:r>
      <w:r>
        <w:rPr>
          <w:rFonts w:ascii="宋体" w:hAnsi="宋体" w:cs="宋体" w:eastAsia="宋体" w:hint="ascii"/>
          <w:sz w:val="21"/>
          <w:spacing w:val="-4"/>
        </w:rPr>
        <w:t>成建</w:t>
      </w:r>
      <w:r>
        <w:rPr>
          <w:rFonts w:ascii="宋体" w:hAnsi="宋体" w:cs="宋体" w:eastAsia="宋体" w:hint="ascii"/>
          <w:sz w:val="21"/>
          <w:spacing w:val="-5"/>
        </w:rPr>
        <w:t>模</w:t>
      </w:r>
      <w:r>
        <w:rPr>
          <w:rFonts w:ascii="宋体" w:hAnsi="宋体" w:cs="宋体" w:eastAsia="宋体" w:hint="ascii"/>
          <w:sz w:val="21"/>
          <w:spacing w:val="-4"/>
        </w:rPr>
        <w:t>方</w:t>
      </w:r>
      <w:r>
        <w:rPr>
          <w:rFonts w:ascii="宋体" w:hAnsi="宋体" w:cs="宋体" w:eastAsia="宋体" w:hint="ascii"/>
          <w:sz w:val="21"/>
          <w:spacing w:val="-5"/>
        </w:rPr>
        <w:t>法；</w:t>
      </w:r>
      <w:r>
        <w:rPr>
          <w:rFonts w:ascii="宋体" w:hAnsi="宋体" w:cs="宋体" w:eastAsia="宋体" w:hint="ascii"/>
          <w:sz w:val="21"/>
          <w:spacing w:val="-4"/>
        </w:rPr>
        <w:t>空间</w:t>
      </w:r>
      <w:r>
        <w:rPr>
          <w:rFonts w:ascii="宋体" w:hAnsi="宋体" w:cs="宋体" w:eastAsia="宋体" w:hint="ascii"/>
          <w:sz w:val="21"/>
          <w:spacing w:val="-5"/>
        </w:rPr>
        <w:t>天</w:t>
      </w:r>
      <w:r>
        <w:rPr>
          <w:rFonts w:ascii="宋体" w:hAnsi="宋体" w:cs="宋体" w:eastAsia="宋体" w:hint="ascii"/>
          <w:sz w:val="21"/>
          <w:spacing w:val="-4"/>
        </w:rPr>
        <w:t>气</w:t>
      </w:r>
      <w:r>
        <w:rPr>
          <w:rFonts w:ascii="宋体" w:hAnsi="宋体" w:cs="宋体" w:eastAsia="宋体" w:hint="ascii"/>
          <w:sz w:val="21"/>
          <w:spacing w:val="-5"/>
        </w:rPr>
        <w:t>对人</w:t>
      </w:r>
      <w:r>
        <w:rPr>
          <w:rFonts w:ascii="宋体" w:hAnsi="宋体" w:cs="宋体" w:eastAsia="宋体" w:hint="ascii"/>
          <w:sz w:val="21"/>
          <w:spacing w:val="-4"/>
        </w:rPr>
        <w:t>类活</w:t>
      </w:r>
      <w:r>
        <w:rPr>
          <w:rFonts w:ascii="宋体" w:hAnsi="宋体" w:cs="宋体" w:eastAsia="宋体" w:hint="ascii"/>
          <w:sz w:val="21"/>
          <w:spacing w:val="-5"/>
        </w:rPr>
        <w:t>动</w:t>
      </w:r>
      <w:r>
        <w:rPr>
          <w:rFonts w:ascii="宋体" w:hAnsi="宋体" w:cs="宋体" w:eastAsia="宋体" w:hint="ascii"/>
          <w:sz w:val="21"/>
          <w:spacing w:val="-3"/>
        </w:rPr>
        <w:t>的</w:t>
      </w:r>
      <w:r>
        <w:rPr>
          <w:rFonts w:ascii="宋体" w:hAnsi="宋体" w:cs="宋体" w:eastAsia="宋体" w:hint="ascii"/>
          <w:sz w:val="21"/>
          <w:spacing w:val="-4"/>
        </w:rPr>
        <w:t>影响</w:t>
      </w:r>
      <w:r>
        <w:rPr>
          <w:rFonts w:ascii="宋体" w:hAnsi="宋体" w:cs="宋体" w:eastAsia="宋体" w:hint="ascii"/>
          <w:sz w:val="21"/>
          <w:spacing w:val="-3"/>
        </w:rPr>
        <w:t>的机</w:t>
      </w:r>
      <w:r>
        <w:rPr>
          <w:rFonts w:ascii="宋体" w:hAnsi="宋体" w:cs="宋体" w:eastAsia="宋体" w:hint="ascii"/>
          <w:sz w:val="21"/>
          <w:spacing w:val="-4"/>
        </w:rPr>
        <w:t>理</w:t>
      </w:r>
      <w:r>
        <w:rPr>
          <w:rFonts w:ascii="宋体" w:hAnsi="宋体" w:cs="宋体" w:eastAsia="宋体" w:hint="ascii"/>
          <w:sz w:val="21"/>
          <w:spacing w:val="-3"/>
        </w:rPr>
        <w:t>和</w:t>
      </w:r>
      <w:r>
        <w:rPr>
          <w:rFonts w:ascii="宋体" w:hAnsi="宋体" w:cs="宋体" w:eastAsia="宋体" w:hint="ascii"/>
          <w:sz w:val="21"/>
          <w:spacing w:val="-4"/>
        </w:rPr>
        <w:t>对策</w:t>
      </w:r>
      <w:r>
        <w:rPr>
          <w:rFonts w:ascii="宋体" w:hAnsi="宋体" w:cs="宋体" w:eastAsia="宋体" w:hint="ascii"/>
          <w:sz w:val="21"/>
          <w:spacing w:val="-3"/>
        </w:rPr>
        <w:t>研究</w:t>
      </w:r>
      <w:r>
        <w:rPr>
          <w:rFonts w:ascii="宋体" w:hAnsi="宋体" w:cs="宋体" w:eastAsia="宋体" w:hint="ascii"/>
          <w:sz w:val="21"/>
          <w:spacing w:val="-1"/>
        </w:rPr>
        <w:t>；</w:t>
      </w:r>
      <w:r>
        <w:rPr>
          <w:rFonts w:ascii="宋体" w:hAnsi="宋体" w:cs="宋体" w:eastAsia="宋体" w:hint="ascii"/>
          <w:sz w:val="21"/>
        </w:rPr>
        <w:t xml:space="preserve"> </w:t>
      </w:r>
      <w:r>
        <w:rPr>
          <w:rFonts w:ascii="宋体" w:hAnsi="宋体" w:cs="宋体" w:eastAsia="宋体" w:hint="ascii"/>
          <w:sz w:val="21"/>
          <w:spacing w:val="-3"/>
        </w:rPr>
        <w:t>太阳活动及其对空间天气的影响；空间与海洋大地测量理论、方法与技术及其地学应用</w:t>
      </w:r>
      <w:r>
        <w:rPr>
          <w:rFonts w:ascii="宋体" w:hAnsi="宋体" w:cs="宋体" w:eastAsia="宋体" w:hint="ascii"/>
          <w:sz w:val="21"/>
        </w:rPr>
        <w:t>。</w:t>
      </w:r>
    </w:p>
    <w:p>
      <w:pPr>
        <w:autoSpaceDE w:val="0"/>
        <w:autoSpaceDN w:val="0"/>
        <w:jc w:val="left"/>
        <w:spacing w:before="31"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年度拟重点资助的研究方向：</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）太阳驱动源、相关物理机制及太阳周行为研究；</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）空间天气、空间气候和日地联系的基础物理过程；</w:t>
      </w:r>
    </w:p>
    <w:p>
      <w:pPr>
        <w:autoSpaceDE w:val="0"/>
        <w:autoSpaceDN w:val="0"/>
        <w:jc w:val="both"/>
        <w:spacing w:before="7" w:after="0" w:lineRule="exact" w:line="305"/>
        <w:ind w:right="1188" w:left="316"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）太阳风</w:t>
      </w:r>
      <w:r>
        <w:rPr>
          <w:rFonts w:ascii="宋体" w:hAnsi="宋体" w:cs="宋体" w:eastAsia="宋体" w:hint="ascii"/>
          <w:sz w:val="21"/>
        </w:rPr>
        <w:t>、磁层、电离层、中高层大气的多时空尺度结构、演化和耦合过程；（</w:t>
      </w:r>
      <w:r>
        <w:rPr>
          <w:rFonts w:ascii="Times New Roman" w:hAnsi="Times New Roman" w:cs="Times New Roman" w:eastAsia="Times New Roman" w:hint="ascii"/>
          <w:sz w:val="21"/>
        </w:rPr>
        <w:t>4</w:t>
      </w:r>
      <w:r>
        <w:rPr>
          <w:rFonts w:ascii="宋体" w:hAnsi="宋体" w:cs="宋体" w:eastAsia="宋体" w:hint="ascii"/>
          <w:sz w:val="21"/>
        </w:rPr>
        <w:t>）太阳系空间天气、行星空间天气及比较行星空间环境；</w:t>
      </w:r>
    </w:p>
    <w:p>
      <w:pPr>
        <w:autoSpaceDE w:val="0"/>
        <w:autoSpaceDN w:val="0"/>
        <w:jc w:val="left"/>
        <w:spacing w:before="33"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）空间天气预报的模式、方法及灾害性空间天气预警；</w:t>
      </w:r>
    </w:p>
    <w:p>
      <w:pPr>
        <w:autoSpaceDE w:val="0"/>
        <w:autoSpaceDN w:val="0"/>
        <w:jc w:val="left"/>
        <w:spacing w:before="41"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）航空航天、通信导航、空间材料、空间生命中的空间天气效应研究；</w:t>
      </w:r>
    </w:p>
    <w:p>
      <w:pPr>
        <w:autoSpaceDE w:val="0"/>
        <w:autoSpaceDN w:val="0"/>
        <w:jc w:val="both"/>
        <w:spacing w:before="5" w:after="0" w:lineRule="exact" w:line="310"/>
        <w:ind w:right="972" w:left="316"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7</w:t>
      </w:r>
      <w:r>
        <w:rPr>
          <w:rFonts w:ascii="宋体" w:hAnsi="宋体" w:cs="宋体" w:eastAsia="宋体" w:hint="ascii"/>
          <w:sz w:val="21"/>
          <w:spacing w:val="-2"/>
        </w:rPr>
        <w:t>）</w:t>
      </w:r>
      <w:r>
        <w:rPr>
          <w:rFonts w:ascii="宋体" w:hAnsi="宋体" w:cs="宋体" w:eastAsia="宋体" w:hint="ascii"/>
          <w:sz w:val="21"/>
          <w:spacing w:val="-8"/>
        </w:rPr>
        <w:t>空间环境探测的新概念、新原理</w:t>
      </w:r>
      <w:r>
        <w:rPr>
          <w:rFonts w:ascii="宋体" w:hAnsi="宋体" w:cs="宋体" w:eastAsia="宋体" w:hint="ascii"/>
          <w:sz w:val="21"/>
          <w:spacing w:val="-7"/>
        </w:rPr>
        <w:t>、新方法、新技术以及空间探测计划的预先研究</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8</w:t>
      </w:r>
      <w:r>
        <w:rPr>
          <w:rFonts w:ascii="宋体" w:hAnsi="宋体" w:cs="宋体" w:eastAsia="宋体" w:hint="ascii"/>
          <w:sz w:val="21"/>
        </w:rPr>
        <w:t>）空间大地测量观测新理论；</w:t>
      </w:r>
    </w:p>
    <w:p>
      <w:pPr>
        <w:autoSpaceDE w:val="0"/>
        <w:autoSpaceDN w:val="0"/>
        <w:jc w:val="left"/>
        <w:spacing w:before="40"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）大地测量探测及地球质量迁移过程与机制；</w:t>
      </w:r>
    </w:p>
    <w:p>
      <w:pPr>
        <w:autoSpaceDE w:val="0"/>
        <w:autoSpaceDN w:val="0"/>
        <w:jc w:val="left"/>
        <w:spacing w:before="269"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）时变大地测量多源数据融合、反演及应用；</w:t>
      </w:r>
      <w:r>
        <w:rPr>
          <w:rFonts w:ascii="宋体" w:hAnsi="宋体" w:cs="宋体" w:eastAsia="宋体" w:hint="ascii"/>
          <w:sz w:val="21"/>
        </w:rPr>
        <mc:AlternateContent>
          <mc:Choice Requires="wps">
            <w:drawing>
              <wp:anchor distL="0" distR="0" distT="0" distB="0" simplePos="0" behindDoc="1" relativeHeight="163" locked="0" layoutInCell="1" allowOverlap="1">
                <wp:simplePos x="0" y="0"/>
                <wp:positionH relativeFrom="page">
                  <wp:posOffset>938530</wp:posOffset>
                </wp:positionH>
                <wp:positionV relativeFrom="page">
                  <wp:posOffset>819150</wp:posOffset>
                </wp:positionV>
                <wp:extent cx="5076190" cy="0"/>
                <wp:wrapNone/>
                <wp:docPr id="1192" name="119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91328;width:399.70pt;" id="119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）深空探测中的科学问题与行星科学；</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）深海大地测量；</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）大地测量在减灾防灾相关性的科学研究。</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4</w:t>
      </w:r>
      <w:r>
        <w:rPr>
          <w:rFonts w:ascii="宋体" w:hAnsi="宋体" w:cs="宋体" w:eastAsia="宋体" w:hint="ascii"/>
          <w:sz w:val="21"/>
        </w:rPr>
        <w:t>～</w:t>
      </w:r>
      <w:r>
        <w:rPr>
          <w:rFonts w:ascii="Times New Roman" w:hAnsi="Times New Roman" w:cs="Times New Roman" w:eastAsia="Times New Roman" w:hint="ascii"/>
          <w:sz w:val="21"/>
          <w:spacing w:val="51"/>
        </w:rPr>
        <w:t>6</w:t>
      </w:r>
      <w:r>
        <w:rPr>
          <w:rFonts w:ascii="宋体" w:hAnsi="宋体" w:cs="宋体" w:eastAsia="宋体" w:hint="ascii"/>
          <w:sz w:val="21"/>
        </w:rPr>
        <w:t>项。</w:t>
      </w:r>
    </w:p>
    <w:p>
      <w:pPr>
        <w:autoSpaceDE w:val="0"/>
        <w:autoSpaceDN w:val="0"/>
        <w:jc w:val="left"/>
        <w:spacing w:before="49"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全球环境变化与地球圈层相互作用</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该领域的科学目标：在全球环境变化的背景下，立足亚洲气候环境变化，通过对海</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气相互作用等</w:t>
      </w:r>
      <w:r>
        <w:rPr>
          <w:rFonts w:ascii="宋体" w:hAnsi="宋体" w:cs="宋体" w:eastAsia="宋体" w:hint="ascii"/>
          <w:sz w:val="21"/>
        </w:rPr>
        <w:t>关键科学问题的研究，提高对全球变化规律的了解和对未来变化趋向的认识，为解决人类社会面临的巨大环境压力和挑战提供科学与技术支持。</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该领域的主要研究方向：全球变暖停滞（</w:t>
      </w:r>
      <w:r>
        <w:rPr>
          <w:rFonts w:ascii="Times New Roman" w:hAnsi="Times New Roman" w:cs="Times New Roman" w:eastAsia="Times New Roman" w:hint="ascii"/>
          <w:sz w:val="21"/>
        </w:rPr>
        <w:t>hiatus</w:t>
      </w:r>
      <w:r>
        <w:rPr>
          <w:rFonts w:ascii="宋体" w:hAnsi="宋体" w:cs="宋体" w:eastAsia="宋体" w:hint="ascii"/>
          <w:sz w:val="21"/>
        </w:rPr>
        <w:t>）的过程与机制；海气相互作用与</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亚洲气候环境</w:t>
      </w:r>
      <w:r>
        <w:rPr>
          <w:rFonts w:ascii="宋体" w:hAnsi="宋体" w:cs="宋体" w:eastAsia="宋体" w:hint="ascii"/>
          <w:sz w:val="21"/>
        </w:rPr>
        <w:t>变化；全球气候变化与水循环；生物地球化学循环与气候环境变化；新生代气候系统古增温及其影响；圈层相互作用和地球系统模拟。</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年度拟重点资助的研究方向：</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）区域水循环及其与气候变化的关系；</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）海洋环境变化及其在气候系统中的作用；</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）全球变化与生物圈关键过程；</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）生物地球化学循环与气候变化；</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）全球气候变化的近期预测和长期预估；</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）海洋多运动形态相互作用与全球模式发展；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）多尺度框架下的海气相互作用机理；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）区域气候变化的检测与归因；</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）多尺度季风与大气环流的演变与机制；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）极地过程对全球变化的响应与反馈。</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49"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
        </w:rPr>
        <w:t>12</w:t>
      </w:r>
      <w:r>
        <w:rPr>
          <w:rFonts w:ascii="Times New Roman" w:hAnsi="Times New Roman" w:cs="Times New Roman" w:eastAsia="Times New Roman" w:hint="ascii"/>
          <w:b w:val="1"/>
          <w:sz w:val="21"/>
        </w:rPr>
        <w:t>.</w:t>
      </w:r>
      <w:r>
        <w:rPr>
          <w:rFonts w:ascii="Times New Roman" w:hAnsi="Times New Roman" w:cs="Times New Roman" w:eastAsia="Times New Roman" w:hint="ascii"/>
          <w:b w:val="1"/>
          <w:sz w:val="21"/>
          <w:spacing w:val="-1"/>
        </w:rPr>
        <w:t xml:space="preserve"> </w:t>
      </w:r>
      <w:r>
        <w:rPr>
          <w:rFonts w:ascii="宋体" w:hAnsi="宋体" w:cs="宋体" w:eastAsia="宋体" w:hint="ascii"/>
          <w:sz w:val="21"/>
        </w:rPr>
        <w:t>人类活动对环境和灾害的影响</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本领域的科学目标：遵循人与自然和谐的科学发展理念，结合我国经济社会发展阶</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段和需求与</w:t>
      </w:r>
      <w:r>
        <w:rPr>
          <w:rFonts w:ascii="宋体" w:hAnsi="宋体" w:cs="宋体" w:eastAsia="宋体" w:hint="ascii"/>
          <w:sz w:val="21"/>
        </w:rPr>
        <w:t>资源环境条件禀赋及其变化的实际情况，支持通过自然科学、工程技术科学</w:t>
      </w:r>
      <w:r>
        <w:rPr>
          <w:rFonts w:ascii="宋体" w:hAnsi="宋体" w:cs="宋体" w:eastAsia="宋体" w:hint="ascii"/>
          <w:sz w:val="21"/>
          <w:spacing w:val="-1"/>
        </w:rPr>
        <w:t>和社会科学</w:t>
      </w:r>
      <w:r>
        <w:rPr>
          <w:rFonts w:ascii="宋体" w:hAnsi="宋体" w:cs="宋体" w:eastAsia="宋体" w:hint="ascii"/>
          <w:sz w:val="21"/>
        </w:rPr>
        <w:t>之间的多学科交叉和跨学科研究，揭示工农业生产活动、重大工程基础设施</w:t>
      </w:r>
      <w:r>
        <w:rPr>
          <w:rFonts w:ascii="宋体" w:hAnsi="宋体" w:cs="宋体" w:eastAsia="宋体" w:hint="ascii"/>
          <w:sz w:val="21"/>
          <w:spacing w:val="-1"/>
        </w:rPr>
        <w:t>建设、资源</w:t>
      </w:r>
      <w:r>
        <w:rPr>
          <w:rFonts w:ascii="宋体" w:hAnsi="宋体" w:cs="宋体" w:eastAsia="宋体" w:hint="ascii"/>
          <w:sz w:val="21"/>
        </w:rPr>
        <w:t>与能源开发、城市化等过程中人类活动与资源环境的交互影响规律和机理过</w:t>
      </w:r>
      <w:r>
        <w:rPr>
          <w:rFonts w:ascii="宋体" w:hAnsi="宋体" w:cs="宋体" w:eastAsia="宋体" w:hint="ascii"/>
          <w:sz w:val="21"/>
          <w:spacing w:val="-1"/>
        </w:rPr>
        <w:t>程，以及人</w:t>
      </w:r>
      <w:r>
        <w:rPr>
          <w:rFonts w:ascii="宋体" w:hAnsi="宋体" w:cs="宋体" w:eastAsia="宋体" w:hint="ascii"/>
          <w:sz w:val="21"/>
        </w:rPr>
        <w:t>类活动对地球环境的胁迫影响和致灾机理，掌握人类活动在地球环境和区域</w:t>
      </w:r>
      <w:r>
        <w:rPr>
          <w:rFonts w:ascii="宋体" w:hAnsi="宋体" w:cs="宋体" w:eastAsia="宋体" w:hint="ascii"/>
          <w:sz w:val="21"/>
          <w:spacing w:val="-1"/>
        </w:rPr>
        <w:t>环境演化中</w:t>
      </w:r>
      <w:r>
        <w:rPr>
          <w:rFonts w:ascii="宋体" w:hAnsi="宋体" w:cs="宋体" w:eastAsia="宋体" w:hint="ascii"/>
          <w:sz w:val="21"/>
        </w:rPr>
        <w:t>的作用机理及其给地球系统带来的可能负面影响和灾害性后果，为保护区域</w:t>
      </w:r>
      <w:r>
        <w:rPr>
          <w:rFonts w:ascii="宋体" w:hAnsi="宋体" w:cs="宋体" w:eastAsia="宋体" w:hint="ascii"/>
          <w:sz w:val="21"/>
          <w:spacing w:val="-1"/>
        </w:rPr>
        <w:t>环境、降低</w:t>
      </w:r>
      <w:r>
        <w:rPr>
          <w:rFonts w:ascii="宋体" w:hAnsi="宋体" w:cs="宋体" w:eastAsia="宋体" w:hint="ascii"/>
          <w:sz w:val="21"/>
        </w:rPr>
        <w:t>灾害风险、调控不利环境演变、实现人与自然和谐、促进经济社会可持续发展提供科学依据。</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本领域的主</w:t>
      </w:r>
      <w:r>
        <w:rPr>
          <w:rFonts w:ascii="宋体" w:hAnsi="宋体" w:cs="宋体" w:eastAsia="宋体" w:hint="ascii"/>
          <w:sz w:val="21"/>
        </w:rPr>
        <w:t>要研究方向：工业、城镇固体废弃物污染特征、交互作用规律与安全处</w:t>
      </w:r>
      <w:r>
        <w:rPr>
          <w:rFonts w:ascii="宋体" w:hAnsi="宋体" w:cs="宋体" w:eastAsia="宋体" w:hint="ascii"/>
          <w:sz w:val="21"/>
          <w:spacing w:val="1"/>
        </w:rPr>
        <w:t>置；大规模人类工程</w:t>
      </w:r>
      <w:r>
        <w:rPr>
          <w:rFonts w:ascii="宋体" w:hAnsi="宋体" w:cs="宋体" w:eastAsia="宋体" w:hint="ascii"/>
          <w:sz w:val="21"/>
        </w:rPr>
        <w:t>活动对环境影响和致灾机理；矿产资源利用的生态环境效应；</w:t>
      </w:r>
      <w:r>
        <w:rPr>
          <w:rFonts w:ascii="宋体" w:hAnsi="宋体" w:cs="宋体" w:eastAsia="宋体" w:hint="ascii"/>
          <w:sz w:val="21"/>
          <w:spacing w:val="-6"/>
        </w:rPr>
        <w:t>滑</w:t>
      </w:r>
      <w:r>
        <w:rPr>
          <w:rFonts w:ascii="宋体" w:hAnsi="宋体" w:cs="宋体" w:eastAsia="宋体" w:hint="ascii"/>
          <w:sz w:val="21"/>
          <w:spacing w:val="-1"/>
        </w:rPr>
        <w:t>坡、泥石流</w:t>
      </w:r>
      <w:r>
        <w:rPr>
          <w:rFonts w:ascii="宋体" w:hAnsi="宋体" w:cs="宋体" w:eastAsia="宋体" w:hint="ascii"/>
          <w:sz w:val="21"/>
        </w:rPr>
        <w:t>等地质灾害的演化机制、诱发因素与成灾机理；大气复合污染物形成过程中</w:t>
      </w:r>
      <w:r>
        <w:rPr>
          <w:rFonts w:ascii="宋体" w:hAnsi="宋体" w:cs="宋体" w:eastAsia="宋体" w:hint="ascii"/>
          <w:sz w:val="21"/>
          <w:spacing w:val="-1"/>
        </w:rPr>
        <w:t>的人类影响</w:t>
      </w:r>
      <w:r>
        <w:rPr>
          <w:rFonts w:ascii="宋体" w:hAnsi="宋体" w:cs="宋体" w:eastAsia="宋体" w:hint="ascii"/>
          <w:sz w:val="21"/>
        </w:rPr>
        <w:t>；人类活动对区域和全球环境的影响；区域环境过程与调控；区域可持续发</w:t>
      </w:r>
      <w:r>
        <w:rPr>
          <w:rFonts w:ascii="宋体" w:hAnsi="宋体" w:cs="宋体" w:eastAsia="宋体" w:hint="ascii"/>
          <w:sz w:val="21"/>
          <w:spacing w:val="-1"/>
        </w:rPr>
        <w:t>展；环境污</w:t>
      </w:r>
      <w:r>
        <w:rPr>
          <w:rFonts w:ascii="宋体" w:hAnsi="宋体" w:cs="宋体" w:eastAsia="宋体" w:hint="ascii"/>
          <w:sz w:val="21"/>
        </w:rPr>
        <w:t>染物的多介质界面过程、效应与调控；区域人类活动与资源环境耦合；城镇化与资源环境效应。</w:t>
      </w:r>
    </w:p>
    <w:p>
      <w:pPr>
        <w:autoSpaceDE w:val="0"/>
        <w:autoSpaceDN w:val="0"/>
        <w:jc w:val="left"/>
        <w:spacing w:before="274"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年度拟重点资助的研究方向：</w:t>
      </w:r>
      <w:r>
        <w:rPr>
          <w:rFonts w:ascii="宋体" w:hAnsi="宋体" w:cs="宋体" w:eastAsia="宋体" w:hint="ascii"/>
          <w:sz w:val="21"/>
        </w:rPr>
        <mc:AlternateContent>
          <mc:Choice Requires="wps">
            <w:drawing>
              <wp:anchor distL="0" distR="0" distT="0" distB="0" simplePos="0" behindDoc="1" relativeHeight="164" locked="0" layoutInCell="1" allowOverlap="1">
                <wp:simplePos x="0" y="0"/>
                <wp:positionH relativeFrom="page">
                  <wp:posOffset>938530</wp:posOffset>
                </wp:positionH>
                <wp:positionV relativeFrom="page">
                  <wp:posOffset>805815</wp:posOffset>
                </wp:positionV>
                <wp:extent cx="5076190" cy="0"/>
                <wp:wrapNone/>
                <wp:docPr id="1193" name="119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90304;width:399.70pt;" id="119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）放射性废物及难处理工业废物安全处置；</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）矿山环境与尾矿处置；</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）电子垃圾的污染处理；</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）地下水的污染过程与环境修复；</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）环境污染物的多介质界面过程；</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）区域发展与空间重构；</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）城镇化与乡村可持续发展；</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）地质灾害早期识别与预警；</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）大规模人类工程活动对环境的影响和致灾机理；</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）重大工程地质灾害预测与防治；</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）大气复合污染形成过程中的人类影响。</w:t>
      </w:r>
    </w:p>
    <w:p>
      <w:pPr>
        <w:autoSpaceDE w:val="0"/>
        <w:autoSpaceDN w:val="0"/>
        <w:jc w:val="left"/>
        <w:spacing w:before="49"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拟资</w:t>
      </w:r>
      <w:r>
        <w:rPr>
          <w:rFonts w:ascii="宋体" w:hAnsi="宋体" w:cs="宋体" w:eastAsia="宋体" w:hint="ascii"/>
          <w:sz w:val="21"/>
          <w:spacing w:val="26"/>
        </w:rPr>
        <w:t>助</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1"/>
        </w:rPr>
        <w:t>8</w:t>
      </w:r>
      <w:r>
        <w:rPr>
          <w:rFonts w:ascii="宋体" w:hAnsi="宋体" w:cs="宋体" w:eastAsia="宋体" w:hint="ascii"/>
          <w:sz w:val="21"/>
        </w:rPr>
        <w:t>项。</w:t>
      </w:r>
    </w:p>
    <w:p>
      <w:pPr>
        <w:autoSpaceDE w:val="0"/>
        <w:autoSpaceDN w:val="0"/>
        <w:jc w:val="left"/>
        <w:spacing w:before="190" w:after="0" w:lineRule="exact" w:line="475"/>
        <w:ind w:right="0" w:left="2471" w:firstLine="0"/>
        <w:snapToGrid w:val="0"/>
        <w:textAlignment w:val="auto"/>
        <w:tabs/>
        <w:rPr>
          <w:rFonts w:ascii="宋体" w:hAnsi="宋体" w:cs="宋体" w:eastAsia="宋体" w:hint="ascii"/>
          <w:sz w:val="38"/>
        </w:rPr>
      </w:pPr>
      <w:r>
        <w:rPr>
          <w:rFonts w:ascii="宋体" w:hAnsi="宋体" w:cs="宋体" w:eastAsia="宋体" w:hint="ascii"/>
          <w:sz w:val="38"/>
        </w:rPr>
        <w:t>工程与材料科学部</w:t>
      </w:r>
    </w:p>
    <w:p>
      <w:pPr>
        <w:autoSpaceDE w:val="0"/>
        <w:autoSpaceDN w:val="0"/>
        <w:jc w:val="left"/>
        <w:spacing w:before="318" w:after="0" w:lineRule="auto" w:line="240"/>
        <w:ind w:right="0" w:left="0" w:firstLine="420"/>
        <w:snapToGrid w:val="0"/>
        <w:textAlignment w:val="auto"/>
        <w:tabs>
          <w:tab w:val="left" w:leader="none" w:pos="877"/>
        </w:tabs>
        <w:numPr>
          <w:ilvl w:val="0"/>
          <w:numId w:val="136"/>
        </w:numPr>
        <w:rPr>
          <w:rFonts w:ascii="Times New Roman" w:hAnsi="Times New Roman" w:cs="Times New Roman" w:eastAsia="Times New Roman" w:hint="ascii"/>
          <w:sz w:val="21"/>
          <w:spacing w:val="1"/>
        </w:rPr>
      </w:pPr>
      <w:r>
        <w:rPr>
          <w:rFonts w:ascii="宋体" w:hAnsi="宋体" w:cs="宋体" w:eastAsia="宋体" w:hint="ascii"/>
          <w:sz w:val="21"/>
        </w:rPr>
        <w:t>年度工程</w:t>
      </w:r>
      <w:r>
        <w:rPr>
          <w:rFonts w:ascii="宋体" w:hAnsi="宋体" w:cs="宋体" w:eastAsia="宋体" w:hint="ascii"/>
          <w:sz w:val="21"/>
          <w:spacing w:val="3"/>
        </w:rPr>
        <w:t>与</w:t>
      </w:r>
      <w:r>
        <w:rPr>
          <w:rFonts w:ascii="宋体" w:hAnsi="宋体" w:cs="宋体" w:eastAsia="宋体" w:hint="ascii"/>
          <w:sz w:val="21"/>
        </w:rPr>
        <w:t>材料科学</w:t>
      </w:r>
      <w:r>
        <w:rPr>
          <w:rFonts w:ascii="宋体" w:hAnsi="宋体" w:cs="宋体" w:eastAsia="宋体" w:hint="ascii"/>
          <w:sz w:val="21"/>
          <w:spacing w:val="3"/>
        </w:rPr>
        <w:t>部</w:t>
      </w:r>
      <w:r>
        <w:rPr>
          <w:rFonts w:ascii="宋体" w:hAnsi="宋体" w:cs="宋体" w:eastAsia="宋体" w:hint="ascii"/>
          <w:sz w:val="21"/>
        </w:rPr>
        <w:t>共接收重</w:t>
      </w:r>
      <w:r>
        <w:rPr>
          <w:rFonts w:ascii="宋体" w:hAnsi="宋体" w:cs="宋体" w:eastAsia="宋体" w:hint="ascii"/>
          <w:sz w:val="21"/>
          <w:spacing w:val="3"/>
        </w:rPr>
        <w:t>点</w:t>
      </w:r>
      <w:r>
        <w:rPr>
          <w:rFonts w:ascii="宋体" w:hAnsi="宋体" w:cs="宋体" w:eastAsia="宋体" w:hint="ascii"/>
          <w:sz w:val="21"/>
        </w:rPr>
        <w:t>项目申</w:t>
      </w:r>
      <w:r>
        <w:rPr>
          <w:rFonts w:ascii="宋体" w:hAnsi="宋体" w:cs="宋体" w:eastAsia="宋体" w:hint="ascii"/>
          <w:sz w:val="21"/>
          <w:spacing w:val="19"/>
        </w:rPr>
        <w:t>请</w:t>
      </w:r>
      <w:r>
        <w:rPr>
          <w:rFonts w:ascii="Times New Roman" w:hAnsi="Times New Roman" w:cs="Times New Roman" w:eastAsia="Times New Roman" w:hint="ascii"/>
          <w:sz w:val="21"/>
        </w:rPr>
        <w:t>45</w:t>
      </w:r>
      <w:r>
        <w:rPr>
          <w:rFonts w:ascii="Times New Roman" w:hAnsi="Times New Roman" w:cs="Times New Roman" w:eastAsia="Times New Roman" w:hint="ascii"/>
          <w:sz w:val="21"/>
          <w:spacing w:val="35"/>
        </w:rPr>
        <w:t>7</w:t>
      </w:r>
      <w:r>
        <w:rPr>
          <w:rFonts w:ascii="宋体" w:hAnsi="宋体" w:cs="宋体" w:eastAsia="宋体" w:hint="ascii"/>
          <w:sz w:val="21"/>
          <w:spacing w:val="3"/>
        </w:rPr>
        <w:t>项</w:t>
      </w:r>
      <w:r>
        <w:rPr>
          <w:rFonts w:ascii="宋体" w:hAnsi="宋体" w:cs="宋体" w:eastAsia="宋体" w:hint="ascii"/>
          <w:sz w:val="21"/>
        </w:rPr>
        <w:t>，</w:t>
      </w:r>
      <w:r>
        <w:rPr>
          <w:rFonts w:ascii="宋体" w:hAnsi="宋体" w:cs="宋体" w:eastAsia="宋体" w:hint="ascii"/>
          <w:sz w:val="21"/>
          <w:spacing w:val="19"/>
        </w:rPr>
        <w:t>在</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32"/>
        </w:rPr>
        <w:t>4</w:t>
      </w:r>
      <w:r>
        <w:rPr>
          <w:rFonts w:ascii="宋体" w:hAnsi="宋体" w:cs="宋体" w:eastAsia="宋体" w:hint="ascii"/>
          <w:sz w:val="21"/>
        </w:rPr>
        <w:t>个领域资</w:t>
      </w:r>
      <w:r>
        <w:rPr>
          <w:rFonts w:ascii="宋体" w:hAnsi="宋体" w:cs="宋体" w:eastAsia="宋体" w:hint="ascii"/>
          <w:sz w:val="21"/>
          <w:spacing w:val="3"/>
        </w:rPr>
        <w:t>助</w:t>
      </w:r>
      <w:r>
        <w:rPr>
          <w:rFonts w:ascii="宋体" w:hAnsi="宋体" w:cs="宋体" w:eastAsia="宋体" w:hint="ascii"/>
          <w:sz w:val="21"/>
        </w:rPr>
        <w:t>重点项</w:t>
      </w:r>
    </w:p>
    <w:p>
      <w:pPr>
        <w:autoSpaceDE w:val="0"/>
        <w:autoSpaceDN w:val="0"/>
        <w:jc w:val="left"/>
        <w:spacing w:before="57"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spacing w:val="23"/>
        </w:rPr>
        <w:t>目</w:t>
      </w:r>
      <w:r>
        <w:rPr>
          <w:rFonts w:ascii="Times New Roman" w:hAnsi="Times New Roman" w:cs="Times New Roman" w:eastAsia="Times New Roman" w:hint="ascii"/>
          <w:sz w:val="21"/>
        </w:rPr>
        <w:t>9</w:t>
      </w:r>
      <w:r>
        <w:rPr>
          <w:rFonts w:ascii="Times New Roman" w:hAnsi="Times New Roman" w:cs="Times New Roman" w:eastAsia="Times New Roman" w:hint="ascii"/>
          <w:sz w:val="21"/>
          <w:spacing w:val="45"/>
        </w:rPr>
        <w:t>9</w:t>
      </w:r>
      <w:r>
        <w:rPr>
          <w:rFonts w:ascii="宋体" w:hAnsi="宋体" w:cs="宋体" w:eastAsia="宋体" w:hint="ascii"/>
          <w:sz w:val="21"/>
          <w:spacing w:val="5"/>
        </w:rPr>
        <w:t>项，</w:t>
      </w:r>
      <w:r>
        <w:rPr>
          <w:rFonts w:ascii="宋体" w:hAnsi="宋体" w:cs="宋体" w:eastAsia="宋体" w:hint="ascii"/>
          <w:sz w:val="21"/>
          <w:spacing w:val="4"/>
        </w:rPr>
        <w:t>资</w:t>
      </w:r>
      <w:r>
        <w:rPr>
          <w:rFonts w:ascii="宋体" w:hAnsi="宋体" w:cs="宋体" w:eastAsia="宋体" w:hint="ascii"/>
          <w:sz w:val="21"/>
          <w:spacing w:val="5"/>
        </w:rPr>
        <w:t>助直接费</w:t>
      </w:r>
      <w:r>
        <w:rPr>
          <w:rFonts w:ascii="宋体" w:hAnsi="宋体" w:cs="宋体" w:eastAsia="宋体" w:hint="ascii"/>
          <w:sz w:val="21"/>
          <w:spacing w:val="22"/>
        </w:rPr>
        <w:t>用</w:t>
      </w:r>
      <w:r>
        <w:rPr>
          <w:rFonts w:ascii="Times New Roman" w:hAnsi="Times New Roman" w:cs="Times New Roman" w:eastAsia="Times New Roman" w:hint="ascii"/>
          <w:sz w:val="21"/>
        </w:rPr>
        <w:t>29 70</w:t>
      </w:r>
      <w:r>
        <w:rPr>
          <w:rFonts w:ascii="Times New Roman" w:hAnsi="Times New Roman" w:cs="Times New Roman" w:eastAsia="Times New Roman" w:hint="ascii"/>
          <w:sz w:val="21"/>
          <w:spacing w:val="45"/>
        </w:rPr>
        <w:t>0</w:t>
      </w:r>
      <w:r>
        <w:rPr>
          <w:rFonts w:ascii="宋体" w:hAnsi="宋体" w:cs="宋体" w:eastAsia="宋体" w:hint="ascii"/>
          <w:sz w:val="21"/>
          <w:spacing w:val="5"/>
        </w:rPr>
        <w:t>万</w:t>
      </w:r>
      <w:r>
        <w:rPr>
          <w:rFonts w:ascii="宋体" w:hAnsi="宋体" w:cs="宋体" w:eastAsia="宋体" w:hint="ascii"/>
          <w:sz w:val="21"/>
          <w:spacing w:val="4"/>
        </w:rPr>
        <w:t>元</w:t>
      </w:r>
      <w:r>
        <w:rPr>
          <w:rFonts w:ascii="宋体" w:hAnsi="宋体" w:cs="宋体" w:eastAsia="宋体" w:hint="ascii"/>
          <w:sz w:val="21"/>
          <w:spacing w:val="5"/>
        </w:rPr>
        <w:t>，直接费</w:t>
      </w:r>
      <w:r>
        <w:rPr>
          <w:rFonts w:ascii="宋体" w:hAnsi="宋体" w:cs="宋体" w:eastAsia="宋体" w:hint="ascii"/>
          <w:sz w:val="21"/>
          <w:spacing w:val="4"/>
        </w:rPr>
        <w:t>用</w:t>
      </w:r>
      <w:r>
        <w:rPr>
          <w:rFonts w:ascii="宋体" w:hAnsi="宋体" w:cs="宋体" w:eastAsia="宋体" w:hint="ascii"/>
          <w:sz w:val="21"/>
          <w:spacing w:val="5"/>
        </w:rPr>
        <w:t>平均资助</w:t>
      </w:r>
      <w:r>
        <w:rPr>
          <w:rFonts w:ascii="宋体" w:hAnsi="宋体" w:cs="宋体" w:eastAsia="宋体" w:hint="ascii"/>
          <w:sz w:val="21"/>
          <w:spacing w:val="4"/>
        </w:rPr>
        <w:t>强</w:t>
      </w:r>
      <w:r>
        <w:rPr>
          <w:rFonts w:ascii="宋体" w:hAnsi="宋体" w:cs="宋体" w:eastAsia="宋体" w:hint="ascii"/>
          <w:sz w:val="21"/>
          <w:spacing w:val="23"/>
        </w:rPr>
        <w:t>度</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44"/>
        </w:rPr>
        <w:t>0</w:t>
      </w:r>
      <w:r>
        <w:rPr>
          <w:rFonts w:ascii="宋体" w:hAnsi="宋体" w:cs="宋体" w:eastAsia="宋体" w:hint="ascii"/>
          <w:sz w:val="21"/>
          <w:spacing w:val="5"/>
        </w:rPr>
        <w:t>万元</w:t>
      </w:r>
      <w:r>
        <w:rPr>
          <w:rFonts w:ascii="Times New Roman" w:hAnsi="Times New Roman" w:cs="Times New Roman" w:eastAsia="Times New Roman" w:hint="ascii"/>
          <w:sz w:val="21"/>
          <w:spacing w:val="9"/>
        </w:rPr>
        <w:t>/</w:t>
      </w:r>
      <w:r>
        <w:rPr>
          <w:rFonts w:ascii="宋体" w:hAnsi="宋体" w:cs="宋体" w:eastAsia="宋体" w:hint="ascii"/>
          <w:sz w:val="21"/>
          <w:spacing w:val="5"/>
        </w:rPr>
        <w:t>项，资助</w:t>
      </w:r>
      <w:r>
        <w:rPr>
          <w:rFonts w:ascii="宋体" w:hAnsi="宋体" w:cs="宋体" w:eastAsia="宋体" w:hint="ascii"/>
          <w:sz w:val="21"/>
          <w:spacing w:val="4"/>
        </w:rPr>
        <w:t>率</w:t>
      </w:r>
      <w:r>
        <w:rPr>
          <w:rFonts w:ascii="宋体" w:hAnsi="宋体" w:cs="宋体" w:eastAsia="宋体" w:hint="ascii"/>
          <w:sz w:val="21"/>
        </w:rPr>
        <w:t>为</w:t>
      </w:r>
    </w:p>
    <w:p>
      <w:pPr>
        <w:autoSpaceDE w:val="0"/>
        <w:autoSpaceDN w:val="0"/>
        <w:jc w:val="left"/>
        <w:spacing w:before="49" w:after="0" w:lineRule="auto" w:line="240"/>
        <w:ind w:right="0" w:left="420" w:hanging="420"/>
        <w:snapToGrid w:val="0"/>
        <w:textAlignment w:val="auto"/>
        <w:tabs/>
        <w:numPr>
          <w:ilvl w:val="1"/>
          <w:numId w:val="137"/>
        </w:numPr>
        <w:rPr>
          <w:rFonts w:ascii="Times New Roman" w:hAnsi="Times New Roman" w:cs="Times New Roman" w:eastAsia="宋体" w:hint="ascii"/>
          <w:sz w:val="21"/>
          <w:spacing w:val="1"/>
        </w:rPr>
      </w:pPr>
      <w:r>
        <w:rPr>
          <w:rFonts w:ascii="Times New Roman" w:hAnsi="Times New Roman" w:cs="Times New Roman" w:eastAsia="Times New Roman" w:hint="ascii"/>
          <w:sz w:val="21"/>
        </w:rPr>
        <w:t>%</w:t>
      </w:r>
      <w:r>
        <w:rPr>
          <w:rFonts w:ascii="宋体" w:hAnsi="宋体" w:cs="宋体" w:eastAsia="宋体" w:hint="ascii"/>
          <w:sz w:val="21"/>
        </w:rPr>
        <w:t>。</w:t>
      </w:r>
    </w:p>
    <w:p>
      <w:pPr>
        <w:autoSpaceDE w:val="0"/>
        <w:autoSpaceDN w:val="0"/>
        <w:jc w:val="both"/>
        <w:spacing w:before="17" w:after="0" w:lineRule="exact" w:line="312"/>
        <w:ind w:right="977" w:left="0" w:firstLine="420"/>
        <w:snapToGrid w:val="0"/>
        <w:textAlignment w:val="auto"/>
        <w:tabs>
          <w:tab w:val="left" w:leader="none" w:pos="870"/>
        </w:tabs>
        <w:numPr>
          <w:ilvl w:val="0"/>
          <w:numId w:val="136"/>
        </w:numPr>
        <w:rPr>
          <w:rFonts w:ascii="Times New Roman" w:hAnsi="Times New Roman" w:cs="Times New Roman" w:eastAsia="Times New Roman" w:hint="ascii"/>
          <w:sz w:val="21"/>
          <w:spacing w:val="1"/>
        </w:rPr>
      </w:pPr>
      <w:r>
        <w:rPr>
          <w:rFonts w:ascii="宋体" w:hAnsi="宋体" w:cs="宋体" w:eastAsia="宋体" w:hint="ascii"/>
          <w:sz w:val="21"/>
        </w:rPr>
        <w:t>年度工程与材料科学部拟在前沿探索、学科基础、国家需求等方面</w:t>
      </w:r>
      <w:r>
        <w:rPr>
          <w:rFonts w:ascii="宋体" w:hAnsi="宋体" w:cs="宋体" w:eastAsia="宋体" w:hint="ascii"/>
          <w:sz w:val="21"/>
          <w:spacing w:val="15"/>
        </w:rPr>
        <w:t>的</w:t>
      </w:r>
      <w:r>
        <w:rPr>
          <w:rFonts w:ascii="Times New Roman" w:hAnsi="Times New Roman" w:cs="Times New Roman" w:eastAsia="Times New Roman" w:hint="ascii"/>
          <w:sz w:val="21"/>
        </w:rPr>
        <w:t>9</w:t>
      </w:r>
      <w:r>
        <w:rPr>
          <w:rFonts w:ascii="Times New Roman" w:hAnsi="Times New Roman" w:cs="Times New Roman" w:eastAsia="Times New Roman" w:hint="ascii"/>
          <w:sz w:val="21"/>
          <w:spacing w:val="29"/>
        </w:rPr>
        <w:t>1</w:t>
      </w:r>
      <w:r>
        <w:rPr>
          <w:rFonts w:ascii="宋体" w:hAnsi="宋体" w:cs="宋体" w:eastAsia="宋体" w:hint="ascii"/>
          <w:sz w:val="21"/>
        </w:rPr>
        <w:t>个领域资助重点项</w:t>
      </w:r>
      <w:r>
        <w:rPr>
          <w:rFonts w:ascii="宋体" w:hAnsi="宋体" w:cs="宋体" w:eastAsia="宋体" w:hint="ascii"/>
          <w:sz w:val="21"/>
          <w:spacing w:val="13"/>
        </w:rPr>
        <w:t>目</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22"/>
        </w:rPr>
        <w:t>0</w:t>
      </w:r>
      <w:r>
        <w:rPr>
          <w:rFonts w:ascii="宋体" w:hAnsi="宋体" w:cs="宋体" w:eastAsia="宋体" w:hint="ascii"/>
          <w:sz w:val="21"/>
        </w:rPr>
        <w:t>项左右，直接费用平均资助强</w:t>
      </w:r>
      <w:r>
        <w:rPr>
          <w:rFonts w:ascii="宋体" w:hAnsi="宋体" w:cs="宋体" w:eastAsia="宋体" w:hint="ascii"/>
          <w:sz w:val="21"/>
          <w:spacing w:val="13"/>
        </w:rPr>
        <w:t>度</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26"/>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w:t>
      </w:r>
      <w:r>
        <w:rPr>
          <w:rFonts w:ascii="宋体" w:hAnsi="宋体" w:cs="宋体" w:eastAsia="宋体" w:hint="ascii"/>
          <w:sz w:val="21"/>
          <w:spacing w:val="13"/>
        </w:rPr>
        <w:t>限</w:t>
      </w:r>
      <w:r>
        <w:rPr>
          <w:rFonts w:ascii="Times New Roman" w:hAnsi="Times New Roman" w:cs="Times New Roman" w:eastAsia="Times New Roman" w:hint="ascii"/>
          <w:sz w:val="21"/>
          <w:spacing w:val="26"/>
        </w:rPr>
        <w:t>5</w:t>
      </w:r>
      <w:r>
        <w:rPr>
          <w:rFonts w:ascii="宋体" w:hAnsi="宋体" w:cs="宋体" w:eastAsia="宋体" w:hint="ascii"/>
          <w:sz w:val="21"/>
        </w:rPr>
        <w:t>年。</w:t>
      </w:r>
    </w:p>
    <w:p>
      <w:pPr>
        <w:autoSpaceDE w:val="0"/>
        <w:autoSpaceDN w:val="0"/>
        <w:jc w:val="left"/>
        <w:spacing w:before="40"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钢铁材料设计、制备、加工和应用中的关键问题（</w:t>
      </w:r>
      <w:r>
        <w:rPr>
          <w:rFonts w:ascii="Times New Roman" w:hAnsi="Times New Roman" w:cs="Times New Roman" w:eastAsia="Times New Roman" w:hint="ascii"/>
          <w:b w:val="1"/>
          <w:sz w:val="21"/>
        </w:rPr>
        <w:t>E0101</w:t>
      </w:r>
      <w:r>
        <w:rPr>
          <w:rFonts w:ascii="宋体" w:hAnsi="宋体" w:cs="宋体" w:eastAsia="宋体" w:hint="ascii"/>
          <w:sz w:val="21"/>
        </w:rPr>
        <w:t>、</w:t>
      </w:r>
      <w:r>
        <w:rPr>
          <w:rFonts w:ascii="Times New Roman" w:hAnsi="Times New Roman" w:cs="Times New Roman" w:eastAsia="Times New Roman" w:hint="ascii"/>
          <w:b w:val="1"/>
          <w:sz w:val="21"/>
        </w:rPr>
        <w:t>E0109</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13</w:t>
      </w:r>
      <w:r>
        <w:rPr>
          <w:rFonts w:ascii="宋体" w:hAnsi="宋体" w:cs="宋体" w:eastAsia="宋体" w:hint="ascii"/>
          <w:sz w:val="21"/>
        </w:rPr>
        <w:t>）</w:t>
      </w:r>
    </w:p>
    <w:p>
      <w:pPr>
        <w:autoSpaceDE w:val="0"/>
        <w:autoSpaceDN w:val="0"/>
        <w:jc w:val="both"/>
        <w:spacing w:before="57" w:after="0" w:lineRule="auto" w:line="293"/>
        <w:ind w:right="977" w:left="728" w:hanging="308"/>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2.</w:t>
      </w:r>
      <w:r>
        <w:rPr>
          <w:rFonts w:ascii="Times New Roman" w:hAnsi="Times New Roman" w:cs="Times New Roman" w:eastAsia="Times New Roman" w:hint="ascii"/>
          <w:b w:val="1"/>
          <w:sz w:val="21"/>
          <w:spacing w:val="13"/>
        </w:rPr>
        <w:t xml:space="preserve"> </w:t>
      </w:r>
      <w:r>
        <w:rPr>
          <w:rFonts w:ascii="宋体" w:hAnsi="宋体" w:cs="宋体" w:eastAsia="宋体" w:hint="ascii"/>
          <w:sz w:val="21"/>
          <w:spacing w:val="2"/>
        </w:rPr>
        <w:t>有色金属材料设计、制备、加工和应用中的关键问题（</w:t>
      </w:r>
      <w:r>
        <w:rPr>
          <w:rFonts w:ascii="Times New Roman" w:hAnsi="Times New Roman" w:cs="Times New Roman" w:eastAsia="Times New Roman" w:hint="ascii"/>
          <w:b w:val="1"/>
          <w:sz w:val="21"/>
        </w:rPr>
        <w:t>E010</w:t>
      </w:r>
      <w:r>
        <w:rPr>
          <w:rFonts w:ascii="Times New Roman" w:hAnsi="Times New Roman" w:cs="Times New Roman" w:eastAsia="Times New Roman" w:hint="ascii"/>
          <w:b w:val="1"/>
          <w:sz w:val="21"/>
          <w:spacing w:val="26"/>
        </w:rPr>
        <w:t>1</w:t>
      </w:r>
      <w:r>
        <w:rPr>
          <w:rFonts w:ascii="宋体" w:hAnsi="宋体" w:cs="宋体" w:eastAsia="宋体" w:hint="ascii"/>
          <w:sz w:val="21"/>
          <w:spacing w:val="2"/>
        </w:rPr>
        <w:t>、</w:t>
      </w:r>
      <w:r>
        <w:rPr>
          <w:rFonts w:ascii="Times New Roman" w:hAnsi="Times New Roman" w:cs="Times New Roman" w:eastAsia="Times New Roman" w:hint="ascii"/>
          <w:b w:val="1"/>
          <w:sz w:val="21"/>
        </w:rPr>
        <w:t>E010</w:t>
      </w:r>
      <w:r>
        <w:rPr>
          <w:rFonts w:ascii="Times New Roman" w:hAnsi="Times New Roman" w:cs="Times New Roman" w:eastAsia="Times New Roman" w:hint="ascii"/>
          <w:b w:val="1"/>
          <w:sz w:val="21"/>
          <w:spacing w:val="25"/>
        </w:rPr>
        <w:t>9</w:t>
      </w:r>
      <w:r>
        <w:rPr>
          <w:rFonts w:ascii="宋体" w:hAnsi="宋体" w:cs="宋体" w:eastAsia="宋体" w:hint="ascii"/>
          <w:sz w:val="21"/>
          <w:spacing w:val="-21"/>
        </w:rPr>
        <w:t>、</w:t>
      </w:r>
      <w:r>
        <w:rPr>
          <w:rFonts w:ascii="宋体" w:hAnsi="宋体" w:cs="宋体" w:eastAsia="宋体" w:hint="ascii"/>
          <w:sz w:val="21"/>
        </w:rPr>
        <w:t xml:space="preserve"> </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13</w:t>
      </w:r>
      <w:r>
        <w:rPr>
          <w:rFonts w:ascii="宋体" w:hAnsi="宋体" w:cs="宋体" w:eastAsia="宋体" w:hint="ascii"/>
          <w:sz w:val="21"/>
        </w:rPr>
        <w:t>）</w:t>
      </w:r>
    </w:p>
    <w:p>
      <w:pPr>
        <w:autoSpaceDE w:val="0"/>
        <w:autoSpaceDN w:val="0"/>
        <w:jc w:val="left"/>
        <w:spacing w:before="0" w:after="0" w:lineRule="auto" w:line="240"/>
        <w:ind w:right="0" w:left="0" w:firstLine="578"/>
        <w:snapToGrid w:val="0"/>
        <w:textAlignment w:val="auto"/>
        <w:tabs>
          <w:tab w:val="left" w:leader="none" w:pos="683"/>
        </w:tabs>
        <w:numPr>
          <w:ilvl w:val="0"/>
          <w:numId w:val="16"/>
        </w:numPr>
        <w:rPr>
          <w:rFonts w:ascii="Times New Roman" w:hAnsi="Times New Roman" w:cs="Times New Roman" w:eastAsia="Times New Roman" w:hint="ascii"/>
          <w:b w:val="1"/>
          <w:sz w:val="21"/>
        </w:rPr>
      </w:pPr>
      <w:r>
        <w:rPr>
          <w:rFonts w:ascii="宋体" w:hAnsi="宋体" w:cs="宋体" w:eastAsia="宋体" w:hint="ascii"/>
          <w:sz w:val="21"/>
        </w:rPr>
        <w:t>高温合金、金属间化合物与金属基复合材料（</w:t>
      </w:r>
      <w:r>
        <w:rPr>
          <w:rFonts w:ascii="Times New Roman" w:hAnsi="Times New Roman" w:cs="Times New Roman" w:eastAsia="Times New Roman" w:hint="ascii"/>
          <w:b w:val="1"/>
          <w:sz w:val="21"/>
        </w:rPr>
        <w:t>E0101</w:t>
      </w:r>
      <w:r>
        <w:rPr>
          <w:rFonts w:ascii="宋体" w:hAnsi="宋体" w:cs="宋体" w:eastAsia="宋体" w:hint="ascii"/>
          <w:sz w:val="21"/>
        </w:rPr>
        <w:t>、</w:t>
      </w:r>
      <w:r>
        <w:rPr>
          <w:rFonts w:ascii="Times New Roman" w:hAnsi="Times New Roman" w:cs="Times New Roman" w:eastAsia="Times New Roman" w:hint="ascii"/>
          <w:b w:val="1"/>
          <w:sz w:val="21"/>
        </w:rPr>
        <w:t>E0102</w:t>
      </w:r>
      <w:r>
        <w:rPr>
          <w:rFonts w:ascii="宋体" w:hAnsi="宋体" w:cs="宋体" w:eastAsia="宋体" w:hint="ascii"/>
          <w:sz w:val="21"/>
        </w:rPr>
        <w:t>）</w:t>
      </w:r>
    </w:p>
    <w:p>
      <w:pPr>
        <w:autoSpaceDE w:val="0"/>
        <w:autoSpaceDN w:val="0"/>
        <w:jc w:val="left"/>
        <w:spacing w:before="57" w:after="0" w:lineRule="auto" w:line="240"/>
        <w:ind w:right="0" w:left="0" w:firstLine="578"/>
        <w:snapToGrid w:val="0"/>
        <w:textAlignment w:val="auto"/>
        <w:tabs>
          <w:tab w:val="left" w:leader="none" w:pos="683"/>
        </w:tabs>
        <w:numPr>
          <w:ilvl w:val="0"/>
          <w:numId w:val="16"/>
        </w:numPr>
        <w:rPr>
          <w:rFonts w:ascii="Times New Roman" w:hAnsi="Times New Roman" w:cs="Times New Roman" w:eastAsia="Times New Roman" w:hint="ascii"/>
          <w:b w:val="1"/>
          <w:sz w:val="21"/>
        </w:rPr>
      </w:pPr>
      <w:r>
        <w:rPr>
          <w:rFonts w:ascii="宋体" w:hAnsi="宋体" w:cs="宋体" w:eastAsia="宋体" w:hint="ascii"/>
          <w:sz w:val="21"/>
        </w:rPr>
        <w:t>亚稳及纳米金属材料（</w:t>
      </w:r>
      <w:r>
        <w:rPr>
          <w:rFonts w:ascii="Times New Roman" w:hAnsi="Times New Roman" w:cs="Times New Roman" w:eastAsia="Times New Roman" w:hint="ascii"/>
          <w:b w:val="1"/>
          <w:sz w:val="21"/>
        </w:rPr>
        <w:t>E0103</w:t>
      </w:r>
      <w:r>
        <w:rPr>
          <w:rFonts w:ascii="宋体" w:hAnsi="宋体" w:cs="宋体" w:eastAsia="宋体" w:hint="ascii"/>
          <w:sz w:val="21"/>
        </w:rPr>
        <w:t>、</w:t>
      </w:r>
      <w:r>
        <w:rPr>
          <w:rFonts w:ascii="Times New Roman" w:hAnsi="Times New Roman" w:cs="Times New Roman" w:eastAsia="Times New Roman" w:hint="ascii"/>
          <w:b w:val="1"/>
          <w:sz w:val="21"/>
        </w:rPr>
        <w:t>E0104</w:t>
      </w:r>
      <w:r>
        <w:rPr>
          <w:rFonts w:ascii="宋体" w:hAnsi="宋体" w:cs="宋体" w:eastAsia="宋体" w:hint="ascii"/>
          <w:sz w:val="21"/>
        </w:rPr>
        <w:t>、</w:t>
      </w:r>
      <w:r>
        <w:rPr>
          <w:rFonts w:ascii="Times New Roman" w:hAnsi="Times New Roman" w:cs="Times New Roman" w:eastAsia="Times New Roman" w:hint="ascii"/>
          <w:b w:val="1"/>
          <w:sz w:val="21"/>
        </w:rPr>
        <w:t>E0105</w:t>
      </w:r>
      <w:r>
        <w:rPr>
          <w:rFonts w:ascii="宋体" w:hAnsi="宋体" w:cs="宋体" w:eastAsia="宋体" w:hint="ascii"/>
          <w:sz w:val="21"/>
        </w:rPr>
        <w:t>）</w:t>
      </w:r>
    </w:p>
    <w:p>
      <w:pPr>
        <w:autoSpaceDE w:val="0"/>
        <w:autoSpaceDN w:val="0"/>
        <w:jc w:val="left"/>
        <w:spacing w:before="57" w:after="0" w:lineRule="auto" w:line="240"/>
        <w:ind w:right="0" w:left="0" w:firstLine="578"/>
        <w:snapToGrid w:val="0"/>
        <w:textAlignment w:val="auto"/>
        <w:tabs>
          <w:tab w:val="left" w:leader="none" w:pos="683"/>
        </w:tabs>
        <w:numPr>
          <w:ilvl w:val="0"/>
          <w:numId w:val="16"/>
        </w:numPr>
        <w:rPr>
          <w:rFonts w:ascii="Times New Roman" w:hAnsi="Times New Roman" w:cs="Times New Roman" w:eastAsia="Times New Roman" w:hint="ascii"/>
          <w:b w:val="1"/>
          <w:sz w:val="21"/>
        </w:rPr>
      </w:pPr>
      <w:r>
        <w:rPr>
          <w:rFonts w:ascii="宋体" w:hAnsi="宋体" w:cs="宋体" w:eastAsia="宋体" w:hint="ascii"/>
          <w:sz w:val="21"/>
        </w:rPr>
        <w:t>金属能源与催化材料（</w:t>
      </w:r>
      <w:r>
        <w:rPr>
          <w:rFonts w:ascii="Times New Roman" w:hAnsi="Times New Roman" w:cs="Times New Roman" w:eastAsia="Times New Roman" w:hint="ascii"/>
          <w:b w:val="1"/>
          <w:sz w:val="21"/>
        </w:rPr>
        <w:t>E0105</w:t>
      </w:r>
      <w:r>
        <w:rPr>
          <w:rFonts w:ascii="宋体" w:hAnsi="宋体" w:cs="宋体" w:eastAsia="宋体" w:hint="ascii"/>
          <w:sz w:val="21"/>
        </w:rPr>
        <w:t>）</w:t>
      </w:r>
    </w:p>
    <w:p>
      <w:pPr>
        <w:autoSpaceDE w:val="0"/>
        <w:autoSpaceDN w:val="0"/>
        <w:jc w:val="left"/>
        <w:spacing w:before="57" w:after="0" w:lineRule="auto" w:line="240"/>
        <w:ind w:right="0" w:left="0" w:firstLine="578"/>
        <w:snapToGrid w:val="0"/>
        <w:textAlignment w:val="auto"/>
        <w:tabs>
          <w:tab w:val="left" w:leader="none" w:pos="683"/>
        </w:tabs>
        <w:numPr>
          <w:ilvl w:val="0"/>
          <w:numId w:val="16"/>
        </w:numPr>
        <w:rPr>
          <w:rFonts w:ascii="Times New Roman" w:hAnsi="Times New Roman" w:cs="Times New Roman" w:eastAsia="Times New Roman" w:hint="ascii"/>
          <w:b w:val="1"/>
          <w:sz w:val="21"/>
        </w:rPr>
      </w:pPr>
      <w:r>
        <w:rPr>
          <w:rFonts w:ascii="宋体" w:hAnsi="宋体" w:cs="宋体" w:eastAsia="宋体" w:hint="ascii"/>
          <w:sz w:val="21"/>
        </w:rPr>
        <w:t>金属生物医用、智能与仿生材料（</w:t>
      </w:r>
      <w:r>
        <w:rPr>
          <w:rFonts w:ascii="Times New Roman" w:hAnsi="Times New Roman" w:cs="Times New Roman" w:eastAsia="Times New Roman" w:hint="ascii"/>
          <w:b w:val="1"/>
          <w:sz w:val="21"/>
        </w:rPr>
        <w:t>E0105</w:t>
      </w:r>
      <w:r>
        <w:rPr>
          <w:rFonts w:ascii="宋体" w:hAnsi="宋体" w:cs="宋体" w:eastAsia="宋体" w:hint="ascii"/>
          <w:sz w:val="21"/>
        </w:rPr>
        <w:t>）</w:t>
      </w:r>
    </w:p>
    <w:p>
      <w:pPr>
        <w:autoSpaceDE w:val="0"/>
        <w:autoSpaceDN w:val="0"/>
        <w:jc w:val="left"/>
        <w:spacing w:before="57" w:after="0" w:lineRule="auto" w:line="240"/>
        <w:ind w:right="0" w:left="0" w:firstLine="578"/>
        <w:snapToGrid w:val="0"/>
        <w:textAlignment w:val="auto"/>
        <w:tabs>
          <w:tab w:val="left" w:leader="none" w:pos="683"/>
        </w:tabs>
        <w:numPr>
          <w:ilvl w:val="0"/>
          <w:numId w:val="16"/>
        </w:numPr>
        <w:rPr>
          <w:rFonts w:ascii="Times New Roman" w:hAnsi="Times New Roman" w:cs="Times New Roman" w:eastAsia="Times New Roman" w:hint="ascii"/>
          <w:b w:val="1"/>
          <w:sz w:val="21"/>
        </w:rPr>
      </w:pPr>
      <w:r>
        <w:rPr>
          <w:rFonts w:ascii="宋体" w:hAnsi="宋体" w:cs="宋体" w:eastAsia="宋体" w:hint="ascii"/>
          <w:sz w:val="21"/>
        </w:rPr>
        <w:t>金属磁性与信息功能材料（</w:t>
      </w:r>
      <w:r>
        <w:rPr>
          <w:rFonts w:ascii="Times New Roman" w:hAnsi="Times New Roman" w:cs="Times New Roman" w:eastAsia="Times New Roman" w:hint="ascii"/>
          <w:b w:val="1"/>
          <w:sz w:val="21"/>
        </w:rPr>
        <w:t>E0105</w:t>
      </w:r>
      <w:r>
        <w:rPr>
          <w:rFonts w:ascii="宋体" w:hAnsi="宋体" w:cs="宋体" w:eastAsia="宋体" w:hint="ascii"/>
          <w:sz w:val="21"/>
        </w:rPr>
        <w:t>）</w:t>
      </w:r>
    </w:p>
    <w:p>
      <w:pPr>
        <w:autoSpaceDE w:val="0"/>
        <w:autoSpaceDN w:val="0"/>
        <w:jc w:val="left"/>
        <w:spacing w:before="57" w:after="0" w:lineRule="auto" w:line="240"/>
        <w:ind w:right="0" w:left="0" w:firstLine="578"/>
        <w:snapToGrid w:val="0"/>
        <w:textAlignment w:val="auto"/>
        <w:tabs>
          <w:tab w:val="left" w:leader="none" w:pos="683"/>
        </w:tabs>
        <w:numPr>
          <w:ilvl w:val="0"/>
          <w:numId w:val="16"/>
        </w:numPr>
        <w:rPr>
          <w:rFonts w:ascii="Times New Roman" w:hAnsi="Times New Roman" w:cs="Times New Roman" w:eastAsia="Times New Roman" w:hint="ascii"/>
          <w:b w:val="1"/>
          <w:sz w:val="21"/>
        </w:rPr>
      </w:pPr>
      <w:r>
        <w:rPr>
          <w:rFonts w:ascii="宋体" w:hAnsi="宋体" w:cs="宋体" w:eastAsia="宋体" w:hint="ascii"/>
          <w:sz w:val="21"/>
        </w:rPr>
        <w:t>金属新相、新功能与具有金属性质的新材料（</w:t>
      </w:r>
      <w:r>
        <w:rPr>
          <w:rFonts w:ascii="Times New Roman" w:hAnsi="Times New Roman" w:cs="Times New Roman" w:eastAsia="Times New Roman" w:hint="ascii"/>
          <w:b w:val="1"/>
          <w:sz w:val="21"/>
        </w:rPr>
        <w:t>E0104</w:t>
      </w:r>
      <w:r>
        <w:rPr>
          <w:rFonts w:ascii="宋体" w:hAnsi="宋体" w:cs="宋体" w:eastAsia="宋体" w:hint="ascii"/>
          <w:sz w:val="21"/>
        </w:rPr>
        <w:t>、</w:t>
      </w:r>
      <w:r>
        <w:rPr>
          <w:rFonts w:ascii="Times New Roman" w:hAnsi="Times New Roman" w:cs="Times New Roman" w:eastAsia="Times New Roman" w:hint="ascii"/>
          <w:b w:val="1"/>
          <w:sz w:val="21"/>
        </w:rPr>
        <w:t>E0105</w:t>
      </w:r>
      <w:r>
        <w:rPr>
          <w:rFonts w:ascii="宋体" w:hAnsi="宋体" w:cs="宋体" w:eastAsia="宋体" w:hint="ascii"/>
          <w:sz w:val="21"/>
        </w:rPr>
        <w:t>、</w:t>
      </w:r>
      <w:r>
        <w:rPr>
          <w:rFonts w:ascii="Times New Roman" w:hAnsi="Times New Roman" w:cs="Times New Roman" w:eastAsia="Times New Roman" w:hint="ascii"/>
          <w:b w:val="1"/>
          <w:sz w:val="21"/>
        </w:rPr>
        <w:t>E0106</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14</w:t>
      </w:r>
      <w:r>
        <w:rPr>
          <w:rFonts w:ascii="宋体" w:hAnsi="宋体" w:cs="宋体" w:eastAsia="宋体" w:hint="ascii"/>
          <w:sz w:val="21"/>
        </w:rPr>
        <w:t>）</w:t>
      </w:r>
    </w:p>
    <w:p>
      <w:pPr>
        <w:autoSpaceDE w:val="0"/>
        <w:autoSpaceDN w:val="0"/>
        <w:jc w:val="left"/>
        <w:spacing w:before="57" w:after="0" w:lineRule="auto" w:line="240"/>
        <w:ind w:right="0" w:left="0" w:firstLine="578"/>
        <w:snapToGrid w:val="0"/>
        <w:textAlignment w:val="auto"/>
        <w:tabs>
          <w:tab w:val="left" w:leader="none" w:pos="683"/>
        </w:tabs>
        <w:numPr>
          <w:ilvl w:val="0"/>
          <w:numId w:val="16"/>
        </w:numPr>
        <w:rPr>
          <w:rFonts w:ascii="Times New Roman" w:hAnsi="Times New Roman" w:cs="Times New Roman" w:eastAsia="Times New Roman" w:hint="ascii"/>
          <w:b w:val="1"/>
          <w:sz w:val="21"/>
        </w:rPr>
      </w:pPr>
      <w:r>
        <w:rPr>
          <w:rFonts w:ascii="宋体" w:hAnsi="宋体" w:cs="宋体" w:eastAsia="宋体" w:hint="ascii"/>
          <w:sz w:val="21"/>
        </w:rPr>
        <w:t>金属材料结构表征、表面与界面（</w:t>
      </w:r>
      <w:r>
        <w:rPr>
          <w:rFonts w:ascii="Times New Roman" w:hAnsi="Times New Roman" w:cs="Times New Roman" w:eastAsia="Times New Roman" w:hint="ascii"/>
          <w:b w:val="1"/>
          <w:sz w:val="21"/>
        </w:rPr>
        <w:t>E0107</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10</w:t>
      </w:r>
      <w:r>
        <w:rPr>
          <w:rFonts w:ascii="宋体" w:hAnsi="宋体" w:cs="宋体" w:eastAsia="宋体" w:hint="ascii"/>
          <w:sz w:val="21"/>
        </w:rPr>
        <w:t>）</w:t>
      </w:r>
    </w:p>
    <w:p>
      <w:pPr>
        <w:autoSpaceDE w:val="0"/>
        <w:autoSpaceDN w:val="0"/>
        <w:jc w:val="left"/>
        <w:spacing w:before="57" w:after="0" w:lineRule="auto" w:line="240"/>
        <w:ind w:right="0" w:left="789" w:hanging="105"/>
        <w:snapToGrid w:val="0"/>
        <w:textAlignment w:val="auto"/>
        <w:tabs>
          <w:tab w:val="left" w:leader="none" w:pos="787"/>
        </w:tabs>
        <w:numPr>
          <w:ilvl w:val="0"/>
          <w:numId w:val="132"/>
        </w:numPr>
        <w:rPr>
          <w:rFonts w:ascii="Times New Roman" w:hAnsi="Times New Roman" w:cs="Times New Roman" w:eastAsia="Times New Roman" w:hint="ascii"/>
          <w:sz w:val="21"/>
          <w:spacing w:val="1"/>
        </w:rPr>
      </w:pPr>
      <w:r>
        <w:rPr>
          <w:rFonts w:ascii="宋体" w:hAnsi="宋体" w:cs="宋体" w:eastAsia="宋体" w:hint="ascii"/>
          <w:sz w:val="21"/>
        </w:rPr>
        <w:t>金属材料力学性能与服役行为（</w:t>
      </w:r>
      <w:r>
        <w:rPr>
          <w:rFonts w:ascii="Times New Roman" w:hAnsi="Times New Roman" w:cs="Times New Roman" w:eastAsia="Times New Roman" w:hint="ascii"/>
          <w:b w:val="1"/>
          <w:sz w:val="21"/>
        </w:rPr>
        <w:t>E0108</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12</w:t>
      </w:r>
      <w:r>
        <w:rPr>
          <w:rFonts w:ascii="宋体" w:hAnsi="宋体" w:cs="宋体" w:eastAsia="宋体" w:hint="ascii"/>
          <w:sz w:val="21"/>
        </w:rPr>
        <w:t>）</w:t>
      </w:r>
    </w:p>
    <w:p>
      <w:pPr>
        <w:autoSpaceDE w:val="0"/>
        <w:autoSpaceDN w:val="0"/>
        <w:jc w:val="left"/>
        <w:spacing w:before="57" w:after="0" w:lineRule="auto" w:line="240"/>
        <w:ind w:right="0" w:left="421"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“铁性玻璃（包括应变玻璃、团簇自旋玻璃、弛豫铁电体</w:t>
      </w:r>
      <w:r>
        <w:rPr>
          <w:rFonts w:ascii="Times New Roman" w:hAnsi="Times New Roman" w:cs="Times New Roman" w:eastAsia="Times New Roman" w:hint="ascii"/>
          <w:b w:val="1"/>
          <w:sz w:val="21"/>
        </w:rPr>
        <w:t>/</w:t>
      </w:r>
      <w:r>
        <w:rPr>
          <w:rFonts w:ascii="宋体" w:hAnsi="宋体" w:cs="宋体" w:eastAsia="宋体" w:hint="ascii"/>
          <w:sz w:val="21"/>
        </w:rPr>
        <w:t>铁电玻璃）理论及性</w:t>
      </w:r>
    </w:p>
    <w:p>
      <w:pPr>
        <w:autoSpaceDE w:val="0"/>
        <w:autoSpaceDN w:val="0"/>
        <w:jc w:val="left"/>
        <w:spacing w:before="57" w:after="0" w:lineRule="exact" w:line="263"/>
        <w:ind w:right="0" w:left="778" w:firstLine="0"/>
        <w:snapToGrid w:val="0"/>
        <w:textAlignment w:val="auto"/>
        <w:tabs/>
        <w:rPr>
          <w:rFonts w:ascii="宋体" w:hAnsi="宋体" w:cs="宋体" w:eastAsia="宋体" w:hint="ascii"/>
          <w:sz w:val="21"/>
        </w:rPr>
      </w:pPr>
      <w:r>
        <w:rPr>
          <w:rFonts w:ascii="宋体" w:hAnsi="宋体" w:cs="宋体" w:eastAsia="宋体" w:hint="ascii"/>
          <w:sz w:val="21"/>
        </w:rPr>
        <w:t>能”项目群（</w:t>
      </w:r>
      <w:r>
        <w:rPr>
          <w:rFonts w:ascii="Times New Roman" w:hAnsi="Times New Roman" w:cs="Times New Roman" w:eastAsia="Times New Roman" w:hint="ascii"/>
          <w:b w:val="1"/>
          <w:sz w:val="21"/>
        </w:rPr>
        <w:t>3</w:t>
      </w:r>
      <w:r>
        <w:rPr>
          <w:rFonts w:ascii="宋体" w:hAnsi="宋体" w:cs="宋体" w:eastAsia="宋体" w:hint="ascii"/>
          <w:b w:val="1"/>
          <w:sz w:val="21"/>
        </w:rPr>
        <w:t>～</w:t>
      </w:r>
      <w:r>
        <w:rPr>
          <w:rFonts w:ascii="Times New Roman" w:hAnsi="Times New Roman" w:cs="Times New Roman" w:eastAsia="Times New Roman" w:hint="ascii"/>
          <w:b w:val="1"/>
          <w:sz w:val="21"/>
          <w:spacing w:val="52"/>
        </w:rPr>
        <w:t>4</w:t>
      </w:r>
      <w:r>
        <w:rPr>
          <w:rFonts w:ascii="宋体" w:hAnsi="宋体" w:cs="宋体" w:eastAsia="宋体" w:hint="ascii"/>
          <w:sz w:val="21"/>
        </w:rPr>
        <w:t>项</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b w:val="1"/>
          <w:sz w:val="21"/>
        </w:rPr>
        <w:t>E0105</w:t>
      </w:r>
      <w:r>
        <w:rPr>
          <w:rFonts w:ascii="宋体" w:hAnsi="宋体" w:cs="宋体" w:eastAsia="宋体" w:hint="ascii"/>
          <w:sz w:val="21"/>
        </w:rPr>
        <w:t>）</w:t>
      </w:r>
    </w:p>
    <w:p>
      <w:pPr>
        <w:autoSpaceDE w:val="0"/>
        <w:autoSpaceDN w:val="0"/>
        <w:jc w:val="left"/>
        <w:spacing w:before="49" w:after="0" w:lineRule="auto" w:line="240"/>
        <w:ind w:right="0" w:left="1764" w:hanging="1344"/>
        <w:snapToGrid w:val="0"/>
        <w:textAlignment w:val="auto"/>
        <w:tabs>
          <w:tab w:val="left" w:leader="none" w:pos="787"/>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无机非金属材料新体系探索（</w:t>
      </w:r>
      <w:r>
        <w:rPr>
          <w:rFonts w:ascii="Times New Roman" w:hAnsi="Times New Roman" w:cs="Times New Roman" w:eastAsia="Times New Roman" w:hint="ascii"/>
          <w:b w:val="1"/>
          <w:sz w:val="21"/>
        </w:rPr>
        <w:t>E02</w:t>
      </w:r>
      <w:r>
        <w:rPr>
          <w:rFonts w:ascii="宋体" w:hAnsi="宋体" w:cs="宋体" w:eastAsia="宋体" w:hint="ascii"/>
          <w:sz w:val="21"/>
        </w:rPr>
        <w:t>）</w:t>
      </w:r>
    </w:p>
    <w:p>
      <w:pPr>
        <w:autoSpaceDE w:val="0"/>
        <w:autoSpaceDN w:val="0"/>
        <w:jc w:val="left"/>
        <w:spacing w:before="57" w:after="0" w:lineRule="auto" w:line="240"/>
        <w:ind w:right="0" w:left="1764" w:hanging="1344"/>
        <w:snapToGrid w:val="0"/>
        <w:textAlignment w:val="auto"/>
        <w:tabs>
          <w:tab w:val="left" w:leader="none" w:pos="787"/>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无机材料表征新技术与方法（</w:t>
      </w:r>
      <w:r>
        <w:rPr>
          <w:rFonts w:ascii="Times New Roman" w:hAnsi="Times New Roman" w:cs="Times New Roman" w:eastAsia="Times New Roman" w:hint="ascii"/>
          <w:b w:val="1"/>
          <w:sz w:val="21"/>
        </w:rPr>
        <w:t>E02</w:t>
      </w:r>
      <w:r>
        <w:rPr>
          <w:rFonts w:ascii="宋体" w:hAnsi="宋体" w:cs="宋体" w:eastAsia="宋体" w:hint="ascii"/>
          <w:sz w:val="21"/>
        </w:rPr>
        <w:t>）</w:t>
      </w:r>
    </w:p>
    <w:p>
      <w:pPr>
        <w:autoSpaceDE w:val="0"/>
        <w:autoSpaceDN w:val="0"/>
        <w:jc w:val="left"/>
        <w:spacing w:before="57" w:after="0" w:lineRule="auto" w:line="240"/>
        <w:ind w:right="0" w:left="1764" w:hanging="1344"/>
        <w:snapToGrid w:val="0"/>
        <w:textAlignment w:val="auto"/>
        <w:tabs>
          <w:tab w:val="left" w:leader="none" w:pos="787"/>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绿色可持续发展的关键无机非金属材料科学与技术（</w:t>
      </w:r>
      <w:r>
        <w:rPr>
          <w:rFonts w:ascii="Times New Roman" w:hAnsi="Times New Roman" w:cs="Times New Roman" w:eastAsia="Times New Roman" w:hint="ascii"/>
          <w:b w:val="1"/>
          <w:sz w:val="21"/>
        </w:rPr>
        <w:t>E02</w:t>
      </w:r>
      <w:r>
        <w:rPr>
          <w:rFonts w:ascii="宋体" w:hAnsi="宋体" w:cs="宋体" w:eastAsia="宋体" w:hint="ascii"/>
          <w:sz w:val="21"/>
        </w:rPr>
        <w:t>）</w:t>
      </w:r>
    </w:p>
    <w:p>
      <w:pPr>
        <w:autoSpaceDE w:val="0"/>
        <w:autoSpaceDN w:val="0"/>
        <w:jc w:val="left"/>
        <w:spacing w:before="57" w:after="0" w:lineRule="auto" w:line="240"/>
        <w:ind w:right="0" w:left="1764" w:hanging="1344"/>
        <w:snapToGrid w:val="0"/>
        <w:textAlignment w:val="auto"/>
        <w:tabs>
          <w:tab w:val="left" w:leader="none" w:pos="787"/>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无机非金属材料的制备科学与新技术（</w:t>
      </w:r>
      <w:r>
        <w:rPr>
          <w:rFonts w:ascii="Times New Roman" w:hAnsi="Times New Roman" w:cs="Times New Roman" w:eastAsia="Times New Roman" w:hint="ascii"/>
          <w:b w:val="1"/>
          <w:sz w:val="21"/>
        </w:rPr>
        <w:t>E02</w:t>
      </w:r>
      <w:r>
        <w:rPr>
          <w:rFonts w:ascii="宋体" w:hAnsi="宋体" w:cs="宋体" w:eastAsia="宋体" w:hint="ascii"/>
          <w:sz w:val="21"/>
        </w:rPr>
        <w:t>）</w:t>
      </w:r>
    </w:p>
    <w:p>
      <w:pPr>
        <w:autoSpaceDE w:val="0"/>
        <w:autoSpaceDN w:val="0"/>
        <w:jc w:val="left"/>
        <w:spacing w:before="57" w:after="0" w:lineRule="auto" w:line="240"/>
        <w:ind w:right="0" w:left="1764" w:hanging="1344"/>
        <w:snapToGrid w:val="0"/>
        <w:textAlignment w:val="auto"/>
        <w:tabs>
          <w:tab w:val="left" w:leader="none" w:pos="787"/>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结构与性能导向的高分子材料化学（</w:t>
      </w:r>
      <w:r>
        <w:rPr>
          <w:rFonts w:ascii="Times New Roman" w:hAnsi="Times New Roman" w:cs="Times New Roman" w:eastAsia="Times New Roman" w:hint="ascii"/>
          <w:b w:val="1"/>
          <w:sz w:val="21"/>
        </w:rPr>
        <w:t>E03</w:t>
      </w:r>
      <w:r>
        <w:rPr>
          <w:rFonts w:ascii="宋体" w:hAnsi="宋体" w:cs="宋体" w:eastAsia="宋体" w:hint="ascii"/>
          <w:sz w:val="21"/>
        </w:rPr>
        <w:t>）</w:t>
      </w:r>
    </w:p>
    <w:p>
      <w:pPr>
        <w:autoSpaceDE w:val="0"/>
        <w:autoSpaceDN w:val="0"/>
        <w:jc w:val="left"/>
        <w:spacing w:before="293"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高分子材料聚集态结构调控及其与性能的关系（</w:t>
      </w:r>
      <w:r>
        <w:rPr>
          <w:rFonts w:ascii="Times New Roman" w:hAnsi="Times New Roman" w:cs="Times New Roman" w:eastAsia="Times New Roman" w:hint="ascii"/>
          <w:b w:val="1"/>
          <w:sz w:val="21"/>
        </w:rPr>
        <w:t>E0314</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65" locked="0" layoutInCell="1" allowOverlap="1">
                <wp:simplePos x="0" y="0"/>
                <wp:positionH relativeFrom="page">
                  <wp:posOffset>938530</wp:posOffset>
                </wp:positionH>
                <wp:positionV relativeFrom="page">
                  <wp:posOffset>819150</wp:posOffset>
                </wp:positionV>
                <wp:extent cx="5076190" cy="0"/>
                <wp:wrapNone/>
                <wp:docPr id="1194" name="119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89280;width:399.70pt;" id="119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高分子材料加工（含微纳加工和增材制造）的新方法和新理论（</w:t>
      </w:r>
      <w:r>
        <w:rPr>
          <w:rFonts w:ascii="Times New Roman" w:hAnsi="Times New Roman" w:cs="Times New Roman" w:eastAsia="Times New Roman" w:hint="ascii"/>
          <w:b w:val="1"/>
          <w:sz w:val="21"/>
        </w:rPr>
        <w:t>E0315</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生物医用高分子材料的关键科学问题（</w:t>
      </w:r>
      <w:r>
        <w:rPr>
          <w:rFonts w:ascii="Times New Roman" w:hAnsi="Times New Roman" w:cs="Times New Roman" w:eastAsia="Times New Roman" w:hint="ascii"/>
          <w:b w:val="1"/>
          <w:sz w:val="21"/>
        </w:rPr>
        <w:t>E0310</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高性能有机高分子光电材料与器件的关键科学问题（</w:t>
      </w:r>
      <w:r>
        <w:rPr>
          <w:rFonts w:ascii="Times New Roman" w:hAnsi="Times New Roman" w:cs="Times New Roman" w:eastAsia="Times New Roman" w:hint="ascii"/>
          <w:b w:val="1"/>
          <w:sz w:val="21"/>
        </w:rPr>
        <w:t>E0309</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与能源、生态环境和资源等相关的高分子材料基础研究（</w:t>
      </w:r>
      <w:r>
        <w:rPr>
          <w:rFonts w:ascii="Times New Roman" w:hAnsi="Times New Roman" w:cs="Times New Roman" w:eastAsia="Times New Roman" w:hint="ascii"/>
          <w:b w:val="1"/>
          <w:sz w:val="21"/>
        </w:rPr>
        <w:t>E0313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高分子复合材料的结构／功能设计、制备及性能研究（</w:t>
      </w:r>
      <w:r>
        <w:rPr>
          <w:rFonts w:ascii="Times New Roman" w:hAnsi="Times New Roman" w:cs="Times New Roman" w:eastAsia="Times New Roman" w:hint="ascii"/>
          <w:b w:val="1"/>
          <w:sz w:val="21"/>
        </w:rPr>
        <w:t>E0307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面向国家重大需求的高分子材料领域重大难题</w:t>
      </w:r>
      <w:r>
        <w:rPr>
          <w:rFonts w:ascii="Times New Roman" w:hAnsi="Times New Roman" w:cs="Times New Roman" w:eastAsia="Times New Roman" w:hint="ascii"/>
          <w:b w:val="1"/>
          <w:sz w:val="21"/>
        </w:rPr>
        <w:t>/</w:t>
      </w:r>
      <w:r>
        <w:rPr>
          <w:rFonts w:ascii="宋体" w:hAnsi="宋体" w:cs="宋体" w:eastAsia="宋体" w:hint="ascii"/>
          <w:sz w:val="21"/>
        </w:rPr>
        <w:t>挑战的基础研究（</w:t>
      </w:r>
      <w:r>
        <w:rPr>
          <w:rFonts w:ascii="Times New Roman" w:hAnsi="Times New Roman" w:cs="Times New Roman" w:eastAsia="Times New Roman" w:hint="ascii"/>
          <w:b w:val="1"/>
          <w:sz w:val="21"/>
        </w:rPr>
        <w:t>E03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数字矿山及智能化开采基础（</w:t>
      </w:r>
      <w:r>
        <w:rPr>
          <w:rFonts w:ascii="Times New Roman" w:hAnsi="Times New Roman" w:cs="Times New Roman" w:eastAsia="Times New Roman" w:hint="ascii"/>
          <w:b w:val="1"/>
          <w:sz w:val="21"/>
        </w:rPr>
        <w:t>E0401</w:t>
      </w:r>
      <w:r>
        <w:rPr>
          <w:rFonts w:ascii="宋体" w:hAnsi="宋体" w:cs="宋体" w:eastAsia="宋体" w:hint="ascii"/>
          <w:sz w:val="21"/>
        </w:rPr>
        <w:t>、</w:t>
      </w:r>
      <w:r>
        <w:rPr>
          <w:rFonts w:ascii="Times New Roman" w:hAnsi="Times New Roman" w:cs="Times New Roman" w:eastAsia="Times New Roman" w:hint="ascii"/>
          <w:b w:val="1"/>
          <w:sz w:val="21"/>
        </w:rPr>
        <w:t>E0402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废弃矿山资源综合利用基础理论（</w:t>
      </w:r>
      <w:r>
        <w:rPr>
          <w:rFonts w:ascii="Times New Roman" w:hAnsi="Times New Roman" w:cs="Times New Roman" w:eastAsia="Times New Roman" w:hint="ascii"/>
          <w:b w:val="1"/>
          <w:sz w:val="21"/>
        </w:rPr>
        <w:t>E0401</w:t>
      </w:r>
      <w:r>
        <w:rPr>
          <w:rFonts w:ascii="宋体" w:hAnsi="宋体" w:cs="宋体" w:eastAsia="宋体" w:hint="ascii"/>
          <w:sz w:val="21"/>
        </w:rPr>
        <w:t>、</w:t>
      </w:r>
      <w:r>
        <w:rPr>
          <w:rFonts w:ascii="Times New Roman" w:hAnsi="Times New Roman" w:cs="Times New Roman" w:eastAsia="Times New Roman" w:hint="ascii"/>
          <w:b w:val="1"/>
          <w:sz w:val="21"/>
        </w:rPr>
        <w:t>E0402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提高油气井采收率新方法（</w:t>
      </w:r>
      <w:r>
        <w:rPr>
          <w:rFonts w:ascii="Times New Roman" w:hAnsi="Times New Roman" w:cs="Times New Roman" w:eastAsia="Times New Roman" w:hint="ascii"/>
          <w:b w:val="1"/>
          <w:sz w:val="21"/>
        </w:rPr>
        <w:t>E0403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易燃易爆危险化学品灾害预防与控制（</w:t>
      </w:r>
      <w:r>
        <w:rPr>
          <w:rFonts w:ascii="Times New Roman" w:hAnsi="Times New Roman" w:cs="Times New Roman" w:eastAsia="Times New Roman" w:hint="ascii"/>
          <w:b w:val="1"/>
          <w:sz w:val="21"/>
        </w:rPr>
        <w:t>E0410</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金属矿尾矿绿色处置基础研究（</w:t>
      </w:r>
      <w:r>
        <w:rPr>
          <w:rFonts w:ascii="Times New Roman" w:hAnsi="Times New Roman" w:cs="Times New Roman" w:eastAsia="Times New Roman" w:hint="ascii"/>
          <w:b w:val="1"/>
          <w:sz w:val="21"/>
        </w:rPr>
        <w:t>E04</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大数据冶金及关键冶金热力学数据获取（</w:t>
      </w:r>
      <w:r>
        <w:rPr>
          <w:rFonts w:ascii="Times New Roman" w:hAnsi="Times New Roman" w:cs="Times New Roman" w:eastAsia="Times New Roman" w:hint="ascii"/>
          <w:b w:val="1"/>
          <w:sz w:val="21"/>
        </w:rPr>
        <w:t>E0412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冶金反应器新原理与新流程（</w:t>
      </w:r>
      <w:r>
        <w:rPr>
          <w:rFonts w:ascii="Times New Roman" w:hAnsi="Times New Roman" w:cs="Times New Roman" w:eastAsia="Times New Roman" w:hint="ascii"/>
          <w:b w:val="1"/>
          <w:sz w:val="21"/>
        </w:rPr>
        <w:t>E0413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湿法冶金新理论及节能减排新方法（</w:t>
      </w:r>
      <w:r>
        <w:rPr>
          <w:rFonts w:ascii="Times New Roman" w:hAnsi="Times New Roman" w:cs="Times New Roman" w:eastAsia="Times New Roman" w:hint="ascii"/>
          <w:b w:val="1"/>
          <w:sz w:val="21"/>
        </w:rPr>
        <w:t>E0415</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绿色钛合金制备科学基础（</w:t>
      </w:r>
      <w:r>
        <w:rPr>
          <w:rFonts w:ascii="Times New Roman" w:hAnsi="Times New Roman" w:cs="Times New Roman" w:eastAsia="Times New Roman" w:hint="ascii"/>
          <w:b w:val="1"/>
          <w:sz w:val="21"/>
        </w:rPr>
        <w:t>E041503</w:t>
      </w:r>
      <w:r>
        <w:rPr>
          <w:rFonts w:ascii="宋体" w:hAnsi="宋体" w:cs="宋体" w:eastAsia="宋体" w:hint="ascii"/>
          <w:sz w:val="21"/>
        </w:rPr>
        <w:t>、</w:t>
      </w:r>
      <w:r>
        <w:rPr>
          <w:rFonts w:ascii="Times New Roman" w:hAnsi="Times New Roman" w:cs="Times New Roman" w:eastAsia="Times New Roman" w:hint="ascii"/>
          <w:b w:val="1"/>
          <w:sz w:val="21"/>
        </w:rPr>
        <w:t>E0416</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粉体物料加工基础研究（</w:t>
      </w:r>
      <w:r>
        <w:rPr>
          <w:rFonts w:ascii="Times New Roman" w:hAnsi="Times New Roman" w:cs="Times New Roman" w:eastAsia="Times New Roman" w:hint="ascii"/>
          <w:b w:val="1"/>
          <w:sz w:val="21"/>
        </w:rPr>
        <w:t>E0417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金属及合金制备新理论及新方法（</w:t>
      </w:r>
      <w:r>
        <w:rPr>
          <w:rFonts w:ascii="Times New Roman" w:hAnsi="Times New Roman" w:cs="Times New Roman" w:eastAsia="Times New Roman" w:hint="ascii"/>
          <w:b w:val="1"/>
          <w:sz w:val="21"/>
        </w:rPr>
        <w:t>E0418</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资源再利用基础理论与关键技术（</w:t>
      </w:r>
      <w:r>
        <w:rPr>
          <w:rFonts w:ascii="Times New Roman" w:hAnsi="Times New Roman" w:cs="Times New Roman" w:eastAsia="Times New Roman" w:hint="ascii"/>
          <w:b w:val="1"/>
          <w:sz w:val="21"/>
        </w:rPr>
        <w:t>E0419</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重金属污染治理及控制技术（</w:t>
      </w:r>
      <w:r>
        <w:rPr>
          <w:rFonts w:ascii="Times New Roman" w:hAnsi="Times New Roman" w:cs="Times New Roman" w:eastAsia="Times New Roman" w:hint="ascii"/>
          <w:b w:val="1"/>
          <w:sz w:val="21"/>
        </w:rPr>
        <w:t>E0420</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面向功能和性能的机构</w:t>
      </w:r>
      <w:r>
        <w:rPr>
          <w:rFonts w:ascii="Times New Roman" w:hAnsi="Times New Roman" w:cs="Times New Roman" w:eastAsia="Times New Roman" w:hint="ascii"/>
          <w:b w:val="1"/>
          <w:sz w:val="21"/>
        </w:rPr>
        <w:t>/</w:t>
      </w:r>
      <w:r>
        <w:rPr>
          <w:rFonts w:ascii="宋体" w:hAnsi="宋体" w:cs="宋体" w:eastAsia="宋体" w:hint="ascii"/>
          <w:sz w:val="21"/>
        </w:rPr>
        <w:t>机器创新原理与设计（</w:t>
      </w:r>
      <w:r>
        <w:rPr>
          <w:rFonts w:ascii="Times New Roman" w:hAnsi="Times New Roman" w:cs="Times New Roman" w:eastAsia="Times New Roman" w:hint="ascii"/>
          <w:b w:val="1"/>
          <w:sz w:val="21"/>
        </w:rPr>
        <w:t>E0501</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精密驱动</w:t>
      </w:r>
      <w:r>
        <w:rPr>
          <w:rFonts w:ascii="Times New Roman" w:hAnsi="Times New Roman" w:cs="Times New Roman" w:eastAsia="Times New Roman" w:hint="ascii"/>
          <w:b w:val="1"/>
          <w:sz w:val="21"/>
        </w:rPr>
        <w:t>/</w:t>
      </w:r>
      <w:r>
        <w:rPr>
          <w:rFonts w:ascii="宋体" w:hAnsi="宋体" w:cs="宋体" w:eastAsia="宋体" w:hint="ascii"/>
          <w:sz w:val="21"/>
        </w:rPr>
        <w:t>传动系统的新原理、新方法（</w:t>
      </w:r>
      <w:r>
        <w:rPr>
          <w:rFonts w:ascii="Times New Roman" w:hAnsi="Times New Roman" w:cs="Times New Roman" w:eastAsia="Times New Roman" w:hint="ascii"/>
          <w:b w:val="1"/>
          <w:sz w:val="21"/>
        </w:rPr>
        <w:t>E0502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面向服役安全的机械系统动力学与振动控制（</w:t>
      </w:r>
      <w:r>
        <w:rPr>
          <w:rFonts w:ascii="Times New Roman" w:hAnsi="Times New Roman" w:cs="Times New Roman" w:eastAsia="Times New Roman" w:hint="ascii"/>
          <w:b w:val="1"/>
          <w:sz w:val="21"/>
        </w:rPr>
        <w:t>E0503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机械装备的零件</w:t>
      </w:r>
      <w:r>
        <w:rPr>
          <w:rFonts w:ascii="Times New Roman" w:hAnsi="Times New Roman" w:cs="Times New Roman" w:eastAsia="Times New Roman" w:hint="ascii"/>
          <w:b w:val="1"/>
          <w:sz w:val="21"/>
        </w:rPr>
        <w:t>/</w:t>
      </w:r>
      <w:r>
        <w:rPr>
          <w:rFonts w:ascii="宋体" w:hAnsi="宋体" w:cs="宋体" w:eastAsia="宋体" w:hint="ascii"/>
          <w:sz w:val="21"/>
        </w:rPr>
        <w:t>结构</w:t>
      </w:r>
      <w:r>
        <w:rPr>
          <w:rFonts w:ascii="Times New Roman" w:hAnsi="Times New Roman" w:cs="Times New Roman" w:eastAsia="Times New Roman" w:hint="ascii"/>
          <w:b w:val="1"/>
          <w:sz w:val="21"/>
        </w:rPr>
        <w:t>/</w:t>
      </w:r>
      <w:r>
        <w:rPr>
          <w:rFonts w:ascii="宋体" w:hAnsi="宋体" w:cs="宋体" w:eastAsia="宋体" w:hint="ascii"/>
          <w:sz w:val="21"/>
        </w:rPr>
        <w:t>机构的失效机理及寿命设计（</w:t>
      </w:r>
      <w:r>
        <w:rPr>
          <w:rFonts w:ascii="Times New Roman" w:hAnsi="Times New Roman" w:cs="Times New Roman" w:eastAsia="Times New Roman" w:hint="ascii"/>
          <w:b w:val="1"/>
          <w:sz w:val="21"/>
        </w:rPr>
        <w:t>E0504</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机械表面</w:t>
      </w:r>
      <w:r>
        <w:rPr>
          <w:rFonts w:ascii="Times New Roman" w:hAnsi="Times New Roman" w:cs="Times New Roman" w:eastAsia="Times New Roman" w:hint="ascii"/>
          <w:b w:val="1"/>
          <w:sz w:val="21"/>
        </w:rPr>
        <w:t>/</w:t>
      </w:r>
      <w:r>
        <w:rPr>
          <w:rFonts w:ascii="宋体" w:hAnsi="宋体" w:cs="宋体" w:eastAsia="宋体" w:hint="ascii"/>
          <w:sz w:val="21"/>
        </w:rPr>
        <w:t>界面功能设计与性能调控（</w:t>
      </w:r>
      <w:r>
        <w:rPr>
          <w:rFonts w:ascii="Times New Roman" w:hAnsi="Times New Roman" w:cs="Times New Roman" w:eastAsia="Times New Roman" w:hint="ascii"/>
          <w:b w:val="1"/>
          <w:sz w:val="21"/>
        </w:rPr>
        <w:t>E0505</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复杂机电系统设计基础理论与方法（</w:t>
      </w:r>
      <w:r>
        <w:rPr>
          <w:rFonts w:ascii="Times New Roman" w:hAnsi="Times New Roman" w:cs="Times New Roman" w:eastAsia="Times New Roman" w:hint="ascii"/>
          <w:b w:val="1"/>
          <w:sz w:val="21"/>
        </w:rPr>
        <w:t>E0506</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生物</w:t>
      </w:r>
      <w:r>
        <w:rPr>
          <w:rFonts w:ascii="Times New Roman" w:hAnsi="Times New Roman" w:cs="Times New Roman" w:eastAsia="Times New Roman" w:hint="ascii"/>
          <w:b w:val="1"/>
          <w:sz w:val="21"/>
        </w:rPr>
        <w:t>/</w:t>
      </w:r>
      <w:r>
        <w:rPr>
          <w:rFonts w:ascii="宋体" w:hAnsi="宋体" w:cs="宋体" w:eastAsia="宋体" w:hint="ascii"/>
          <w:sz w:val="21"/>
        </w:rPr>
        <w:t>仿生设计与制造（</w:t>
      </w:r>
      <w:r>
        <w:rPr>
          <w:rFonts w:ascii="Times New Roman" w:hAnsi="Times New Roman" w:cs="Times New Roman" w:eastAsia="Times New Roman" w:hint="ascii"/>
          <w:b w:val="1"/>
          <w:sz w:val="21"/>
        </w:rPr>
        <w:t>E0507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复杂构件精确成形成性一体化制造原理与方法（</w:t>
      </w:r>
      <w:r>
        <w:rPr>
          <w:rFonts w:ascii="Times New Roman" w:hAnsi="Times New Roman" w:cs="Times New Roman" w:eastAsia="Times New Roman" w:hint="ascii"/>
          <w:b w:val="1"/>
          <w:sz w:val="21"/>
        </w:rPr>
        <w:t>E0508</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高效精密与超精密加工的理论、技术、方法（</w:t>
      </w:r>
      <w:r>
        <w:rPr>
          <w:rFonts w:ascii="Times New Roman" w:hAnsi="Times New Roman" w:cs="Times New Roman" w:eastAsia="Times New Roman" w:hint="ascii"/>
          <w:b w:val="1"/>
          <w:sz w:val="21"/>
        </w:rPr>
        <w:t>E0509</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高能束与特种能场制造（</w:t>
      </w:r>
      <w:r>
        <w:rPr>
          <w:rFonts w:ascii="Times New Roman" w:hAnsi="Times New Roman" w:cs="Times New Roman" w:eastAsia="Times New Roman" w:hint="ascii"/>
          <w:b w:val="1"/>
          <w:sz w:val="21"/>
        </w:rPr>
        <w:t>E0508</w:t>
      </w:r>
      <w:r>
        <w:rPr>
          <w:rFonts w:ascii="宋体" w:hAnsi="宋体" w:cs="宋体" w:eastAsia="宋体" w:hint="ascii"/>
          <w:sz w:val="21"/>
        </w:rPr>
        <w:t>、</w:t>
      </w:r>
      <w:r>
        <w:rPr>
          <w:rFonts w:ascii="Times New Roman" w:hAnsi="Times New Roman" w:cs="Times New Roman" w:eastAsia="Times New Roman" w:hint="ascii"/>
          <w:b w:val="1"/>
          <w:sz w:val="21"/>
        </w:rPr>
        <w:t>E0509</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智能制造的新原理、新模式、新系统、新装备（</w:t>
      </w:r>
      <w:r>
        <w:rPr>
          <w:rFonts w:ascii="Times New Roman" w:hAnsi="Times New Roman" w:cs="Times New Roman" w:eastAsia="Times New Roman" w:hint="ascii"/>
          <w:b w:val="1"/>
          <w:sz w:val="21"/>
        </w:rPr>
        <w:t>E0510</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机械动态参数测试理论、方法和技术（</w:t>
      </w:r>
      <w:r>
        <w:rPr>
          <w:rFonts w:ascii="Times New Roman" w:hAnsi="Times New Roman" w:cs="Times New Roman" w:eastAsia="Times New Roman" w:hint="ascii"/>
          <w:b w:val="1"/>
          <w:sz w:val="21"/>
        </w:rPr>
        <w:t>E05</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微纳机电系统设计与制造（</w:t>
      </w:r>
      <w:r>
        <w:rPr>
          <w:rFonts w:ascii="Times New Roman" w:hAnsi="Times New Roman" w:cs="Times New Roman" w:eastAsia="Times New Roman" w:hint="ascii"/>
          <w:b w:val="1"/>
          <w:sz w:val="21"/>
        </w:rPr>
        <w:t>E0512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面向节能环保的热力系统分析、控制、优化（</w:t>
      </w:r>
      <w:r>
        <w:rPr>
          <w:rFonts w:ascii="Times New Roman" w:hAnsi="Times New Roman" w:cs="Times New Roman" w:eastAsia="Times New Roman" w:hint="ascii"/>
          <w:b w:val="1"/>
          <w:sz w:val="21"/>
        </w:rPr>
        <w:t>E0601</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流体机械内流流动机理及流动控制（</w:t>
      </w:r>
      <w:r>
        <w:rPr>
          <w:rFonts w:ascii="Times New Roman" w:hAnsi="Times New Roman" w:cs="Times New Roman" w:eastAsia="Times New Roman" w:hint="ascii"/>
          <w:b w:val="1"/>
          <w:sz w:val="21"/>
        </w:rPr>
        <w:t>E0602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能量转换与利用中的传热传质基础（</w:t>
      </w:r>
      <w:r>
        <w:rPr>
          <w:rFonts w:ascii="Times New Roman" w:hAnsi="Times New Roman" w:cs="Times New Roman" w:eastAsia="Times New Roman" w:hint="ascii"/>
          <w:b w:val="1"/>
          <w:sz w:val="21"/>
        </w:rPr>
        <w:t>E0603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气体液体燃料燃烧理论与燃烧新技术（</w:t>
      </w:r>
      <w:r>
        <w:rPr>
          <w:rFonts w:ascii="Times New Roman" w:hAnsi="Times New Roman" w:cs="Times New Roman" w:eastAsia="Times New Roman" w:hint="ascii"/>
          <w:b w:val="1"/>
          <w:sz w:val="21"/>
        </w:rPr>
        <w:t>E0604</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固体燃料的燃烧、污染和减排机理（</w:t>
      </w:r>
      <w:r>
        <w:rPr>
          <w:rFonts w:ascii="Times New Roman" w:hAnsi="Times New Roman" w:cs="Times New Roman" w:eastAsia="Times New Roman" w:hint="ascii"/>
          <w:b w:val="1"/>
          <w:sz w:val="21"/>
        </w:rPr>
        <w:t>E0604</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能源动力中的多相流基础（</w:t>
      </w:r>
      <w:r>
        <w:rPr>
          <w:rFonts w:ascii="Times New Roman" w:hAnsi="Times New Roman" w:cs="Times New Roman" w:eastAsia="Times New Roman" w:hint="ascii"/>
          <w:b w:val="1"/>
          <w:sz w:val="21"/>
        </w:rPr>
        <w:t>E0605</w:t>
      </w:r>
      <w:r>
        <w:rPr>
          <w:rFonts w:ascii="宋体" w:hAnsi="宋体" w:cs="宋体" w:eastAsia="宋体" w:hint="ascii"/>
          <w:sz w:val="21"/>
        </w:rPr>
        <w:t>）</w:t>
      </w:r>
    </w:p>
    <w:p>
      <w:pPr>
        <w:autoSpaceDE w:val="0"/>
        <w:autoSpaceDN w:val="0"/>
        <w:jc w:val="left"/>
        <w:spacing w:before="291" w:after="0" w:lineRule="exact" w:line="225"/>
        <w:ind w:right="0" w:left="84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99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复杂热物理量场的测试新原理和方法（</w:t>
      </w:r>
      <w:r>
        <w:rPr>
          <w:rFonts w:ascii="Times New Roman" w:hAnsi="Times New Roman" w:cs="Times New Roman" w:eastAsia="Times New Roman" w:hint="ascii"/>
          <w:b w:val="1"/>
          <w:sz w:val="21"/>
        </w:rPr>
        <w:t>E0606</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66" locked="0" layoutInCell="1" allowOverlap="1">
                <wp:simplePos x="0" y="0"/>
                <wp:positionH relativeFrom="page">
                  <wp:posOffset>938530</wp:posOffset>
                </wp:positionH>
                <wp:positionV relativeFrom="page">
                  <wp:posOffset>805815</wp:posOffset>
                </wp:positionV>
                <wp:extent cx="5076190" cy="0"/>
                <wp:wrapNone/>
                <wp:docPr id="1195" name="119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88256;width:399.70pt;" id="119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可再生能源利用中的工程热物理问题（</w:t>
      </w:r>
      <w:r>
        <w:rPr>
          <w:rFonts w:ascii="Times New Roman" w:hAnsi="Times New Roman" w:cs="Times New Roman" w:eastAsia="Times New Roman" w:hint="ascii"/>
          <w:b w:val="1"/>
          <w:sz w:val="21"/>
        </w:rPr>
        <w:t>E0607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工程热物理与其他学科的交叉基础问题（</w:t>
      </w:r>
      <w:r>
        <w:rPr>
          <w:rFonts w:ascii="Times New Roman" w:hAnsi="Times New Roman" w:cs="Times New Roman" w:eastAsia="Times New Roman" w:hint="ascii"/>
          <w:b w:val="1"/>
          <w:sz w:val="21"/>
        </w:rPr>
        <w:t>E0608</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高效能高品质电机系统及控制基础科学问题（</w:t>
      </w:r>
      <w:r>
        <w:rPr>
          <w:rFonts w:ascii="Times New Roman" w:hAnsi="Times New Roman" w:cs="Times New Roman" w:eastAsia="Times New Roman" w:hint="ascii"/>
          <w:b w:val="1"/>
          <w:sz w:val="21"/>
        </w:rPr>
        <w:t>E0707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以电力为核心的新一代能源系统基础科学问题和关键技术（</w:t>
      </w:r>
      <w:r>
        <w:rPr>
          <w:rFonts w:ascii="Times New Roman" w:hAnsi="Times New Roman" w:cs="Times New Roman" w:eastAsia="Times New Roman" w:hint="ascii"/>
          <w:b w:val="1"/>
          <w:sz w:val="21"/>
        </w:rPr>
        <w:t>E0704</w:t>
      </w:r>
      <w:r>
        <w:rPr>
          <w:rFonts w:ascii="宋体" w:hAnsi="宋体" w:cs="宋体" w:eastAsia="宋体" w:hint="ascii"/>
          <w:sz w:val="21"/>
        </w:rPr>
        <w:t>、</w:t>
      </w:r>
      <w:r>
        <w:rPr>
          <w:rFonts w:ascii="Times New Roman" w:hAnsi="Times New Roman" w:cs="Times New Roman" w:eastAsia="Times New Roman" w:hint="ascii"/>
          <w:b w:val="1"/>
          <w:sz w:val="21"/>
        </w:rPr>
        <w:t>E0706</w:t>
      </w:r>
      <w:r>
        <w:rPr>
          <w:rFonts w:ascii="宋体" w:hAnsi="宋体" w:cs="宋体" w:eastAsia="宋体" w:hint="ascii"/>
          <w:sz w:val="21"/>
        </w:rPr>
        <w:t>）</w:t>
      </w:r>
    </w:p>
    <w:p>
      <w:pPr>
        <w:autoSpaceDE w:val="0"/>
        <w:autoSpaceDN w:val="0"/>
        <w:jc w:val="both"/>
        <w:spacing w:before="57" w:after="0" w:lineRule="auto" w:line="293"/>
        <w:ind w:right="977" w:left="1764" w:hanging="378"/>
        <w:snapToGrid w:val="0"/>
        <w:textAlignment w:val="auto"/>
        <w:tabs>
          <w:tab w:val="left" w:leader="none" w:pos="1760"/>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先进电工材料与电气设备制造及安全运行基础理论和技术（</w:t>
      </w:r>
      <w:r>
        <w:rPr>
          <w:rFonts w:ascii="Times New Roman" w:hAnsi="Times New Roman" w:cs="Times New Roman" w:eastAsia="Times New Roman" w:hint="ascii"/>
          <w:b w:val="1"/>
          <w:sz w:val="21"/>
        </w:rPr>
        <w:t>E070</w:t>
      </w:r>
      <w:r>
        <w:rPr>
          <w:rFonts w:ascii="Times New Roman" w:hAnsi="Times New Roman" w:cs="Times New Roman" w:eastAsia="Times New Roman" w:hint="ascii"/>
          <w:b w:val="1"/>
          <w:sz w:val="21"/>
          <w:spacing w:val="5"/>
        </w:rPr>
        <w:t>2</w:t>
      </w:r>
      <w:r>
        <w:rPr>
          <w:rFonts w:ascii="宋体" w:hAnsi="宋体" w:cs="宋体" w:eastAsia="宋体" w:hint="ascii"/>
          <w:sz w:val="21"/>
        </w:rPr>
        <w:t>、</w:t>
      </w:r>
      <w:r>
        <w:rPr>
          <w:rFonts w:ascii="Times New Roman" w:hAnsi="Times New Roman" w:cs="Times New Roman" w:eastAsia="Times New Roman" w:hint="ascii"/>
          <w:b w:val="1"/>
          <w:sz w:val="21"/>
        </w:rPr>
        <w:t>E070</w:t>
      </w:r>
      <w:r>
        <w:rPr>
          <w:rFonts w:ascii="Times New Roman" w:hAnsi="Times New Roman" w:cs="Times New Roman" w:eastAsia="Times New Roman" w:hint="ascii"/>
          <w:b w:val="1"/>
          <w:sz w:val="21"/>
          <w:spacing w:val="5"/>
        </w:rPr>
        <w:t>3</w:t>
      </w:r>
      <w:r>
        <w:rPr>
          <w:rFonts w:ascii="宋体" w:hAnsi="宋体" w:cs="宋体" w:eastAsia="宋体" w:hint="ascii"/>
          <w:sz w:val="21"/>
          <w:spacing w:val="-6"/>
        </w:rPr>
        <w:t>、</w:t>
      </w:r>
      <w:r>
        <w:rPr>
          <w:rFonts w:ascii="Times New Roman" w:hAnsi="Times New Roman" w:cs="Times New Roman" w:eastAsia="Times New Roman" w:hint="ascii"/>
          <w:b w:val="1"/>
          <w:sz w:val="21"/>
        </w:rPr>
        <w:t>E0705</w:t>
      </w:r>
      <w:r>
        <w:rPr>
          <w:rFonts w:ascii="宋体" w:hAnsi="宋体" w:cs="宋体" w:eastAsia="宋体" w:hint="ascii"/>
          <w:sz w:val="21"/>
        </w:rPr>
        <w:t>、</w:t>
      </w:r>
      <w:r>
        <w:rPr>
          <w:rFonts w:ascii="Times New Roman" w:hAnsi="Times New Roman" w:cs="Times New Roman" w:eastAsia="Times New Roman" w:hint="ascii"/>
          <w:b w:val="1"/>
          <w:sz w:val="21"/>
        </w:rPr>
        <w:t>E07</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0"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电力电子器件、装备与系统的基础科学问题与关键技术（</w:t>
      </w:r>
      <w:r>
        <w:rPr>
          <w:rFonts w:ascii="Times New Roman" w:hAnsi="Times New Roman" w:cs="Times New Roman" w:eastAsia="Times New Roman" w:hint="ascii"/>
          <w:b w:val="1"/>
          <w:sz w:val="21"/>
        </w:rPr>
        <w:t>E0706</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电磁</w:t>
      </w:r>
      <w:r>
        <w:rPr>
          <w:rFonts w:ascii="Times New Roman" w:hAnsi="Times New Roman" w:cs="Times New Roman" w:eastAsia="Times New Roman" w:hint="ascii"/>
          <w:b w:val="1"/>
          <w:sz w:val="21"/>
        </w:rPr>
        <w:t>–</w:t>
      </w:r>
      <w:r>
        <w:rPr>
          <w:rFonts w:ascii="宋体" w:hAnsi="宋体" w:cs="宋体" w:eastAsia="宋体" w:hint="ascii"/>
          <w:sz w:val="21"/>
        </w:rPr>
        <w:t>生物相互作用及医学应用基础研究（</w:t>
      </w:r>
      <w:r>
        <w:rPr>
          <w:rFonts w:ascii="Times New Roman" w:hAnsi="Times New Roman" w:cs="Times New Roman" w:eastAsia="Times New Roman" w:hint="ascii"/>
          <w:b w:val="1"/>
          <w:sz w:val="21"/>
        </w:rPr>
        <w:t>E0712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脉冲功率与放电等离子体关键基础技术（</w:t>
      </w:r>
      <w:r>
        <w:rPr>
          <w:rFonts w:ascii="Times New Roman" w:hAnsi="Times New Roman" w:cs="Times New Roman" w:eastAsia="Times New Roman" w:hint="ascii"/>
          <w:b w:val="1"/>
          <w:sz w:val="21"/>
        </w:rPr>
        <w:t>E0708</w:t>
      </w:r>
      <w:r>
        <w:rPr>
          <w:rFonts w:ascii="宋体" w:hAnsi="宋体" w:cs="宋体" w:eastAsia="宋体" w:hint="ascii"/>
          <w:sz w:val="21"/>
        </w:rPr>
        <w:t>、</w:t>
      </w:r>
      <w:r>
        <w:rPr>
          <w:rFonts w:ascii="Times New Roman" w:hAnsi="Times New Roman" w:cs="Times New Roman" w:eastAsia="Times New Roman" w:hint="ascii"/>
          <w:b w:val="1"/>
          <w:sz w:val="21"/>
        </w:rPr>
        <w:t>E0709</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高效率低成本规模化电能存储关键技术基础（</w:t>
      </w:r>
      <w:r>
        <w:rPr>
          <w:rFonts w:ascii="Times New Roman" w:hAnsi="Times New Roman" w:cs="Times New Roman" w:eastAsia="Times New Roman" w:hint="ascii"/>
          <w:b w:val="1"/>
          <w:sz w:val="21"/>
        </w:rPr>
        <w:t>E0702</w:t>
      </w:r>
      <w:r>
        <w:rPr>
          <w:rFonts w:ascii="宋体" w:hAnsi="宋体" w:cs="宋体" w:eastAsia="宋体" w:hint="ascii"/>
          <w:sz w:val="21"/>
        </w:rPr>
        <w:t>、</w:t>
      </w:r>
      <w:r>
        <w:rPr>
          <w:rFonts w:ascii="Times New Roman" w:hAnsi="Times New Roman" w:cs="Times New Roman" w:eastAsia="Times New Roman" w:hint="ascii"/>
          <w:b w:val="1"/>
          <w:sz w:val="21"/>
        </w:rPr>
        <w:t>E0713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新型电磁能量转换与传输基础理论与关键技术基础（</w:t>
      </w:r>
      <w:r>
        <w:rPr>
          <w:rFonts w:ascii="Times New Roman" w:hAnsi="Times New Roman" w:cs="Times New Roman" w:eastAsia="Times New Roman" w:hint="ascii"/>
          <w:b w:val="1"/>
          <w:sz w:val="21"/>
        </w:rPr>
        <w:t>E0701</w:t>
      </w:r>
      <w:r>
        <w:rPr>
          <w:rFonts w:ascii="宋体" w:hAnsi="宋体" w:cs="宋体" w:eastAsia="宋体" w:hint="ascii"/>
          <w:sz w:val="21"/>
        </w:rPr>
        <w:t>、</w:t>
      </w:r>
      <w:r>
        <w:rPr>
          <w:rFonts w:ascii="Times New Roman" w:hAnsi="Times New Roman" w:cs="Times New Roman" w:eastAsia="Times New Roman" w:hint="ascii"/>
          <w:b w:val="1"/>
          <w:sz w:val="21"/>
        </w:rPr>
        <w:t>E0706</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基于大数据的城市中心区空间规划理论与方法（</w:t>
      </w:r>
      <w:r>
        <w:rPr>
          <w:rFonts w:ascii="Times New Roman" w:hAnsi="Times New Roman" w:cs="Times New Roman" w:eastAsia="Times New Roman" w:hint="ascii"/>
          <w:b w:val="1"/>
          <w:sz w:val="21"/>
        </w:rPr>
        <w:t>E0801</w:t>
      </w:r>
      <w:r>
        <w:rPr>
          <w:rFonts w:ascii="宋体" w:hAnsi="宋体" w:cs="宋体" w:eastAsia="宋体" w:hint="ascii"/>
          <w:sz w:val="21"/>
        </w:rPr>
        <w:t>、</w:t>
      </w:r>
      <w:r>
        <w:rPr>
          <w:rFonts w:ascii="Times New Roman" w:hAnsi="Times New Roman" w:cs="Times New Roman" w:eastAsia="Times New Roman" w:hint="ascii"/>
          <w:b w:val="1"/>
          <w:sz w:val="21"/>
        </w:rPr>
        <w:t>E0802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未来城市建筑室内环境营造理论和设计方法（</w:t>
      </w:r>
      <w:r>
        <w:rPr>
          <w:rFonts w:ascii="Times New Roman" w:hAnsi="Times New Roman" w:cs="Times New Roman" w:eastAsia="Times New Roman" w:hint="ascii"/>
          <w:b w:val="1"/>
          <w:sz w:val="21"/>
        </w:rPr>
        <w:t>E0803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低影响开发下的城市绿地规划理论与方法（</w:t>
      </w:r>
      <w:r>
        <w:rPr>
          <w:rFonts w:ascii="Times New Roman" w:hAnsi="Times New Roman" w:cs="Times New Roman" w:eastAsia="Times New Roman" w:hint="ascii"/>
          <w:b w:val="1"/>
          <w:sz w:val="21"/>
        </w:rPr>
        <w:t>E0802</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建筑气候分区理论、方法与区划（</w:t>
      </w:r>
      <w:r>
        <w:rPr>
          <w:rFonts w:ascii="Times New Roman" w:hAnsi="Times New Roman" w:cs="Times New Roman" w:eastAsia="Times New Roman" w:hint="ascii"/>
          <w:b w:val="1"/>
          <w:sz w:val="21"/>
        </w:rPr>
        <w:t>E0803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城市污水再生与生态储存的关键基础科学问题研究（</w:t>
      </w:r>
      <w:r>
        <w:rPr>
          <w:rFonts w:ascii="Times New Roman" w:hAnsi="Times New Roman" w:cs="Times New Roman" w:eastAsia="Times New Roman" w:hint="ascii"/>
          <w:b w:val="1"/>
          <w:sz w:val="21"/>
        </w:rPr>
        <w:t>E0804</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工业排水中高风险物质调控新方法与新技术原理（</w:t>
      </w:r>
      <w:r>
        <w:rPr>
          <w:rFonts w:ascii="Times New Roman" w:hAnsi="Times New Roman" w:cs="Times New Roman" w:eastAsia="Times New Roman" w:hint="ascii"/>
          <w:b w:val="1"/>
          <w:sz w:val="21"/>
        </w:rPr>
        <w:t>E0804</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未来村镇污水及固废污染控制与资源转化利用的关键技术基础研究（</w:t>
      </w:r>
      <w:r>
        <w:rPr>
          <w:rFonts w:ascii="Times New Roman" w:hAnsi="Times New Roman" w:cs="Times New Roman" w:eastAsia="Times New Roman" w:hint="ascii"/>
          <w:b w:val="1"/>
          <w:sz w:val="21"/>
        </w:rPr>
        <w:t>E0804</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饮用水水质安全保障与风险控制理论与技术基础（</w:t>
      </w:r>
      <w:r>
        <w:rPr>
          <w:rFonts w:ascii="Times New Roman" w:hAnsi="Times New Roman" w:cs="Times New Roman" w:eastAsia="Times New Roman" w:hint="ascii"/>
          <w:b w:val="1"/>
          <w:sz w:val="21"/>
        </w:rPr>
        <w:t>E0804</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装配式结构抗灾新理论研究（</w:t>
      </w:r>
      <w:r>
        <w:rPr>
          <w:rFonts w:ascii="Times New Roman" w:hAnsi="Times New Roman" w:cs="Times New Roman" w:eastAsia="Times New Roman" w:hint="ascii"/>
          <w:b w:val="1"/>
          <w:sz w:val="21"/>
        </w:rPr>
        <w:t>E0808</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结构抗风抗震设计理论关键问题研究（</w:t>
      </w:r>
      <w:r>
        <w:rPr>
          <w:rFonts w:ascii="Times New Roman" w:hAnsi="Times New Roman" w:cs="Times New Roman" w:eastAsia="Times New Roman" w:hint="ascii"/>
          <w:b w:val="1"/>
          <w:sz w:val="21"/>
        </w:rPr>
        <w:t>E0805</w:t>
      </w:r>
      <w:r>
        <w:rPr>
          <w:rFonts w:ascii="宋体" w:hAnsi="宋体" w:cs="宋体" w:eastAsia="宋体" w:hint="ascii"/>
          <w:sz w:val="21"/>
        </w:rPr>
        <w:t>、</w:t>
      </w:r>
      <w:r>
        <w:rPr>
          <w:rFonts w:ascii="Times New Roman" w:hAnsi="Times New Roman" w:cs="Times New Roman" w:eastAsia="Times New Roman" w:hint="ascii"/>
          <w:b w:val="1"/>
          <w:sz w:val="21"/>
        </w:rPr>
        <w:t>E0808</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气候环境作用下人工边坡灾变机理研究（</w:t>
      </w:r>
      <w:r>
        <w:rPr>
          <w:rFonts w:ascii="Times New Roman" w:hAnsi="Times New Roman" w:cs="Times New Roman" w:eastAsia="Times New Roman" w:hint="ascii"/>
          <w:b w:val="1"/>
          <w:sz w:val="21"/>
        </w:rPr>
        <w:t>E0806</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耐久性沥青路面新结构体系及设计原理研究（</w:t>
      </w:r>
      <w:r>
        <w:rPr>
          <w:rFonts w:ascii="Times New Roman" w:hAnsi="Times New Roman" w:cs="Times New Roman" w:eastAsia="Times New Roman" w:hint="ascii"/>
          <w:b w:val="1"/>
          <w:sz w:val="21"/>
        </w:rPr>
        <w:t>E0807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基于监测数据的结构振动控制系统性能研究（</w:t>
      </w:r>
      <w:r>
        <w:rPr>
          <w:rFonts w:ascii="Times New Roman" w:hAnsi="Times New Roman" w:cs="Times New Roman" w:eastAsia="Times New Roman" w:hint="ascii"/>
          <w:b w:val="1"/>
          <w:sz w:val="21"/>
        </w:rPr>
        <w:t>E0805</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车路协同环境下的道路交通系统设计与控制（</w:t>
      </w:r>
      <w:r>
        <w:rPr>
          <w:rFonts w:ascii="Times New Roman" w:hAnsi="Times New Roman" w:cs="Times New Roman" w:eastAsia="Times New Roman" w:hint="ascii"/>
          <w:b w:val="1"/>
          <w:sz w:val="21"/>
        </w:rPr>
        <w:t>E0807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区域水</w:t>
      </w:r>
      <w:r>
        <w:rPr>
          <w:rFonts w:ascii="宋体" w:hAnsi="宋体" w:cs="宋体" w:eastAsia="宋体" w:hint="ascii"/>
          <w:sz w:val="21"/>
          <w:spacing w:val="17"/>
        </w:rPr>
        <w:t>-</w:t>
      </w:r>
      <w:r>
        <w:rPr>
          <w:rFonts w:ascii="宋体" w:hAnsi="宋体" w:cs="宋体" w:eastAsia="宋体" w:hint="ascii"/>
          <w:sz w:val="21"/>
        </w:rPr>
        <w:t>农业</w:t>
      </w:r>
      <w:r>
        <w:rPr>
          <w:rFonts w:ascii="宋体" w:hAnsi="宋体" w:cs="宋体" w:eastAsia="宋体" w:hint="ascii"/>
          <w:sz w:val="21"/>
          <w:spacing w:val="16"/>
        </w:rPr>
        <w:t>-</w:t>
      </w:r>
      <w:r>
        <w:rPr>
          <w:rFonts w:ascii="宋体" w:hAnsi="宋体" w:cs="宋体" w:eastAsia="宋体" w:hint="ascii"/>
          <w:sz w:val="21"/>
        </w:rPr>
        <w:t>生态复合系统的稳定性与优化（</w:t>
      </w:r>
      <w:r>
        <w:rPr>
          <w:rFonts w:ascii="Times New Roman" w:hAnsi="Times New Roman" w:cs="Times New Roman" w:eastAsia="Times New Roman" w:hint="ascii"/>
          <w:b w:val="1"/>
          <w:sz w:val="21"/>
        </w:rPr>
        <w:t>E0902</w:t>
      </w:r>
      <w:r>
        <w:rPr>
          <w:rFonts w:ascii="宋体" w:hAnsi="宋体" w:cs="宋体" w:eastAsia="宋体" w:hint="ascii"/>
          <w:sz w:val="21"/>
        </w:rPr>
        <w:t>、</w:t>
      </w:r>
      <w:r>
        <w:rPr>
          <w:rFonts w:ascii="Times New Roman" w:hAnsi="Times New Roman" w:cs="Times New Roman" w:eastAsia="Times New Roman" w:hint="ascii"/>
          <w:b w:val="1"/>
          <w:sz w:val="21"/>
        </w:rPr>
        <w:t>E0901</w:t>
      </w:r>
      <w:r>
        <w:rPr>
          <w:rFonts w:ascii="宋体" w:hAnsi="宋体" w:cs="宋体" w:eastAsia="宋体" w:hint="ascii"/>
          <w:sz w:val="21"/>
        </w:rPr>
        <w:t>、</w:t>
      </w:r>
      <w:r>
        <w:rPr>
          <w:rFonts w:ascii="Times New Roman" w:hAnsi="Times New Roman" w:cs="Times New Roman" w:eastAsia="Times New Roman" w:hint="ascii"/>
          <w:b w:val="1"/>
          <w:sz w:val="21"/>
        </w:rPr>
        <w:t>E0903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河流过程与综合管理（</w:t>
      </w:r>
      <w:r>
        <w:rPr>
          <w:rFonts w:ascii="Times New Roman" w:hAnsi="Times New Roman" w:cs="Times New Roman" w:eastAsia="Times New Roman" w:hint="ascii"/>
          <w:b w:val="1"/>
          <w:sz w:val="21"/>
        </w:rPr>
        <w:t>E0904</w:t>
      </w:r>
      <w:r>
        <w:rPr>
          <w:rFonts w:ascii="宋体" w:hAnsi="宋体" w:cs="宋体" w:eastAsia="宋体" w:hint="ascii"/>
          <w:sz w:val="21"/>
        </w:rPr>
        <w:t>、</w:t>
      </w:r>
      <w:r>
        <w:rPr>
          <w:rFonts w:ascii="Times New Roman" w:hAnsi="Times New Roman" w:cs="Times New Roman" w:eastAsia="Times New Roman" w:hint="ascii"/>
          <w:b w:val="1"/>
          <w:sz w:val="21"/>
        </w:rPr>
        <w:t>E0903</w:t>
      </w:r>
      <w:r>
        <w:rPr>
          <w:rFonts w:ascii="宋体" w:hAnsi="宋体" w:cs="宋体" w:eastAsia="宋体" w:hint="ascii"/>
          <w:sz w:val="21"/>
        </w:rPr>
        <w:t>、</w:t>
      </w:r>
      <w:r>
        <w:rPr>
          <w:rFonts w:ascii="Times New Roman" w:hAnsi="Times New Roman" w:cs="Times New Roman" w:eastAsia="Times New Roman" w:hint="ascii"/>
          <w:b w:val="1"/>
          <w:sz w:val="21"/>
        </w:rPr>
        <w:t>E0901</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水力装备新材料与结构安全（</w:t>
      </w:r>
      <w:r>
        <w:rPr>
          <w:rFonts w:ascii="Times New Roman" w:hAnsi="Times New Roman" w:cs="Times New Roman" w:eastAsia="Times New Roman" w:hint="ascii"/>
          <w:b w:val="1"/>
          <w:sz w:val="21"/>
        </w:rPr>
        <w:t>E0906</w:t>
      </w:r>
      <w:r>
        <w:rPr>
          <w:rFonts w:ascii="宋体" w:hAnsi="宋体" w:cs="宋体" w:eastAsia="宋体" w:hint="ascii"/>
          <w:sz w:val="21"/>
        </w:rPr>
        <w:t>、</w:t>
      </w:r>
      <w:r>
        <w:rPr>
          <w:rFonts w:ascii="Times New Roman" w:hAnsi="Times New Roman" w:cs="Times New Roman" w:eastAsia="Times New Roman" w:hint="ascii"/>
          <w:b w:val="1"/>
          <w:sz w:val="21"/>
        </w:rPr>
        <w:t>E0908</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水力装备非稳态流动及其诱发振动（</w:t>
      </w:r>
      <w:r>
        <w:rPr>
          <w:rFonts w:ascii="Times New Roman" w:hAnsi="Times New Roman" w:cs="Times New Roman" w:eastAsia="Times New Roman" w:hint="ascii"/>
          <w:b w:val="1"/>
          <w:sz w:val="21"/>
        </w:rPr>
        <w:t>E0906</w:t>
      </w:r>
      <w:r>
        <w:rPr>
          <w:rFonts w:ascii="宋体" w:hAnsi="宋体" w:cs="宋体" w:eastAsia="宋体" w:hint="ascii"/>
          <w:sz w:val="21"/>
        </w:rPr>
        <w:t>、</w:t>
      </w:r>
      <w:r>
        <w:rPr>
          <w:rFonts w:ascii="Times New Roman" w:hAnsi="Times New Roman" w:cs="Times New Roman" w:eastAsia="Times New Roman" w:hint="ascii"/>
          <w:b w:val="1"/>
          <w:sz w:val="21"/>
        </w:rPr>
        <w:t>E0910</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深部重大岩体工程灾变的机理与模拟、监测与预警（</w:t>
      </w:r>
      <w:r>
        <w:rPr>
          <w:rFonts w:ascii="Times New Roman" w:hAnsi="Times New Roman" w:cs="Times New Roman" w:eastAsia="Times New Roman" w:hint="ascii"/>
          <w:b w:val="1"/>
          <w:sz w:val="21"/>
        </w:rPr>
        <w:t>E0907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低热水泥或者混凝土的基础理论与筑坝技术（</w:t>
      </w:r>
      <w:r>
        <w:rPr>
          <w:rFonts w:ascii="Times New Roman" w:hAnsi="Times New Roman" w:cs="Times New Roman" w:eastAsia="Times New Roman" w:hint="ascii"/>
          <w:b w:val="1"/>
          <w:sz w:val="21"/>
        </w:rPr>
        <w:t>E0908</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人类活动影响下珊瑚礁海岸动力地貌过程（</w:t>
      </w:r>
      <w:r>
        <w:rPr>
          <w:rFonts w:ascii="Times New Roman" w:hAnsi="Times New Roman" w:cs="Times New Roman" w:eastAsia="Times New Roman" w:hint="ascii"/>
          <w:b w:val="1"/>
          <w:sz w:val="21"/>
        </w:rPr>
        <w:t>E0909</w:t>
      </w:r>
      <w:r>
        <w:rPr>
          <w:rFonts w:ascii="宋体" w:hAnsi="宋体" w:cs="宋体" w:eastAsia="宋体" w:hint="ascii"/>
          <w:sz w:val="21"/>
        </w:rPr>
        <w:t>、</w:t>
      </w:r>
      <w:r>
        <w:rPr>
          <w:rFonts w:ascii="Times New Roman" w:hAnsi="Times New Roman" w:cs="Times New Roman" w:eastAsia="Times New Roman" w:hint="ascii"/>
          <w:b w:val="1"/>
          <w:sz w:val="21"/>
        </w:rPr>
        <w:t>E0904</w:t>
      </w:r>
      <w:r>
        <w:rPr>
          <w:rFonts w:ascii="宋体" w:hAnsi="宋体" w:cs="宋体" w:eastAsia="宋体" w:hint="ascii"/>
          <w:sz w:val="21"/>
        </w:rPr>
        <w:t>、</w:t>
      </w:r>
      <w:r>
        <w:rPr>
          <w:rFonts w:ascii="Times New Roman" w:hAnsi="Times New Roman" w:cs="Times New Roman" w:eastAsia="Times New Roman" w:hint="ascii"/>
          <w:b w:val="1"/>
          <w:sz w:val="21"/>
        </w:rPr>
        <w:t>E0907</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岛礁开发利用的工程安全与生态保护（</w:t>
      </w:r>
      <w:r>
        <w:rPr>
          <w:rFonts w:ascii="Times New Roman" w:hAnsi="Times New Roman" w:cs="Times New Roman" w:eastAsia="Times New Roman" w:hint="ascii"/>
          <w:b w:val="1"/>
          <w:sz w:val="21"/>
        </w:rPr>
        <w:t>E0909</w:t>
      </w:r>
      <w:r>
        <w:rPr>
          <w:rFonts w:ascii="宋体" w:hAnsi="宋体" w:cs="宋体" w:eastAsia="宋体" w:hint="ascii"/>
          <w:sz w:val="21"/>
        </w:rPr>
        <w:t>、</w:t>
      </w:r>
      <w:r>
        <w:rPr>
          <w:rFonts w:ascii="Times New Roman" w:hAnsi="Times New Roman" w:cs="Times New Roman" w:eastAsia="Times New Roman" w:hint="ascii"/>
          <w:b w:val="1"/>
          <w:sz w:val="21"/>
        </w:rPr>
        <w:t>E0907</w:t>
      </w:r>
      <w:r>
        <w:rPr>
          <w:rFonts w:ascii="宋体" w:hAnsi="宋体" w:cs="宋体" w:eastAsia="宋体" w:hint="ascii"/>
          <w:sz w:val="21"/>
        </w:rPr>
        <w:t>、</w:t>
      </w:r>
      <w:r>
        <w:rPr>
          <w:rFonts w:ascii="Times New Roman" w:hAnsi="Times New Roman" w:cs="Times New Roman" w:eastAsia="Times New Roman" w:hint="ascii"/>
          <w:b w:val="1"/>
          <w:sz w:val="21"/>
        </w:rPr>
        <w:t>E0903</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深海潜水器的故障控制和安全设计的关键科学问题（</w:t>
      </w:r>
      <w:r>
        <w:rPr>
          <w:rFonts w:ascii="Times New Roman" w:hAnsi="Times New Roman" w:cs="Times New Roman" w:eastAsia="Times New Roman" w:hint="ascii"/>
          <w:b w:val="1"/>
          <w:sz w:val="21"/>
        </w:rPr>
        <w:t>E0910</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船舶大型推进轴系的安装和振动控制的关键科学问题（</w:t>
      </w:r>
      <w:r>
        <w:rPr>
          <w:rFonts w:ascii="Times New Roman" w:hAnsi="Times New Roman" w:cs="Times New Roman" w:eastAsia="Times New Roman" w:hint="ascii"/>
          <w:b w:val="1"/>
          <w:sz w:val="21"/>
        </w:rPr>
        <w:t>E0910</w:t>
      </w:r>
      <w:r>
        <w:rPr>
          <w:rFonts w:ascii="宋体" w:hAnsi="宋体" w:cs="宋体" w:eastAsia="宋体" w:hint="ascii"/>
          <w:sz w:val="21"/>
        </w:rPr>
        <w:t>）</w:t>
      </w:r>
    </w:p>
    <w:p>
      <w:pPr>
        <w:autoSpaceDE w:val="0"/>
        <w:autoSpaceDN w:val="0"/>
        <w:jc w:val="left"/>
        <w:spacing w:before="57" w:after="0" w:lineRule="auto" w:line="240"/>
        <w:ind w:right="0" w:left="2730" w:hanging="1344"/>
        <w:snapToGrid w:val="0"/>
        <w:textAlignment w:val="auto"/>
        <w:tabs>
          <w:tab w:val="left" w:leader="none" w:pos="1753"/>
        </w:tabs>
        <w:numPr>
          <w:ilvl w:val="0"/>
          <w:numId w:val="138"/>
        </w:numPr>
        <w:rPr>
          <w:rFonts w:ascii="Times New Roman" w:hAnsi="Times New Roman" w:cs="Times New Roman" w:eastAsia="Times New Roman" w:hint="ascii"/>
          <w:sz w:val="21"/>
          <w:spacing w:val="1"/>
        </w:rPr>
      </w:pPr>
      <w:r>
        <w:rPr>
          <w:rFonts w:ascii="宋体" w:hAnsi="宋体" w:cs="宋体" w:eastAsia="宋体" w:hint="ascii"/>
          <w:sz w:val="21"/>
        </w:rPr>
        <w:t>水下生产系统开发和运行的关键科学问题（</w:t>
      </w:r>
      <w:r>
        <w:rPr>
          <w:rFonts w:ascii="Times New Roman" w:hAnsi="Times New Roman" w:cs="Times New Roman" w:eastAsia="Times New Roman" w:hint="ascii"/>
          <w:b w:val="1"/>
          <w:sz w:val="21"/>
        </w:rPr>
        <w:t>E0910</w:t>
      </w:r>
      <w:r>
        <w:rPr>
          <w:rFonts w:ascii="宋体" w:hAnsi="宋体" w:cs="宋体" w:eastAsia="宋体" w:hint="ascii"/>
          <w:sz w:val="21"/>
        </w:rPr>
        <w:t>）</w:t>
      </w:r>
    </w:p>
    <w:p>
      <w:pPr>
        <w:autoSpaceDE w:val="0"/>
        <w:autoSpaceDN w:val="0"/>
        <w:jc w:val="left"/>
        <w:spacing w:before="915"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438"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信息科学部</w:t>
      </w:r>
      <w:r>
        <w:rPr>
          <w:rFonts w:ascii="宋体" w:hAnsi="宋体" w:cs="宋体" w:eastAsia="宋体" w:hint="ascii"/>
          <w:sz w:val="38"/>
        </w:rPr>
        <mc:AlternateContent>
          <mc:Choice Requires="wps">
            <w:drawing>
              <wp:anchor distL="0" distR="0" distT="0" distB="0" simplePos="0" behindDoc="1" relativeHeight="167" locked="0" layoutInCell="1" allowOverlap="1">
                <wp:simplePos x="0" y="0"/>
                <wp:positionH relativeFrom="page">
                  <wp:posOffset>938530</wp:posOffset>
                </wp:positionH>
                <wp:positionV relativeFrom="page">
                  <wp:posOffset>819150</wp:posOffset>
                </wp:positionV>
                <wp:extent cx="5076190" cy="0"/>
                <wp:wrapNone/>
                <wp:docPr id="1196" name="119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87232;width:399.70pt;" id="119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auto" w:line="240"/>
        <w:ind w:right="0" w:left="966" w:firstLine="428"/>
        <w:snapToGrid w:val="0"/>
        <w:textAlignment w:val="auto"/>
        <w:tabs>
          <w:tab w:val="left" w:leader="none" w:pos="1880"/>
        </w:tabs>
        <w:numPr>
          <w:ilvl w:val="0"/>
          <w:numId w:val="139"/>
        </w:numPr>
        <w:rPr>
          <w:rFonts w:ascii="Times New Roman" w:hAnsi="Times New Roman" w:cs="Times New Roman" w:eastAsia="Times New Roman" w:hint="ascii"/>
          <w:sz w:val="21"/>
          <w:spacing w:val="2"/>
        </w:rPr>
      </w:pPr>
      <w:r>
        <w:rPr>
          <w:rFonts w:ascii="宋体" w:hAnsi="宋体" w:cs="宋体" w:eastAsia="宋体" w:hint="ascii"/>
          <w:sz w:val="21"/>
          <w:spacing w:val="4"/>
        </w:rPr>
        <w:t>年度信息科学部发</w:t>
      </w:r>
      <w:r>
        <w:rPr>
          <w:rFonts w:ascii="宋体" w:hAnsi="宋体" w:cs="宋体" w:eastAsia="宋体" w:hint="ascii"/>
          <w:sz w:val="21"/>
        </w:rPr>
        <w:t>布</w:t>
      </w:r>
      <w:r>
        <w:rPr>
          <w:rFonts w:ascii="宋体" w:hAnsi="宋体" w:cs="宋体" w:eastAsia="宋体" w:hint="ascii"/>
          <w:sz w:val="21"/>
          <w:spacing w:val="-21"/>
        </w:rPr>
        <w:t xml:space="preserve"> </w:t>
      </w:r>
      <w:r>
        <w:rPr>
          <w:rFonts w:ascii="Times New Roman" w:hAnsi="Times New Roman" w:cs="Times New Roman" w:eastAsia="Times New Roman" w:hint="ascii"/>
          <w:sz w:val="21"/>
        </w:rPr>
        <w:t>75</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个重点项目立项领域，其</w:t>
      </w:r>
      <w:r>
        <w:rPr>
          <w:rFonts w:ascii="宋体" w:hAnsi="宋体" w:cs="宋体" w:eastAsia="宋体" w:hint="ascii"/>
          <w:sz w:val="21"/>
        </w:rPr>
        <w:t>中</w:t>
      </w:r>
      <w:r>
        <w:rPr>
          <w:rFonts w:ascii="宋体" w:hAnsi="宋体" w:cs="宋体" w:eastAsia="宋体" w:hint="ascii"/>
          <w:sz w:val="21"/>
          <w:spacing w:val="-21"/>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个为科学部优先资</w:t>
      </w:r>
      <w:r>
        <w:rPr>
          <w:rFonts w:ascii="宋体" w:hAnsi="宋体" w:cs="宋体" w:eastAsia="宋体" w:hint="ascii"/>
          <w:sz w:val="21"/>
        </w:rPr>
        <w:t>助</w:t>
      </w:r>
    </w:p>
    <w:p>
      <w:pPr>
        <w:autoSpaceDE w:val="0"/>
        <w:autoSpaceDN w:val="0"/>
        <w:jc w:val="both"/>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2"/>
        </w:rPr>
        <w:t>重点领域，共收到申</w:t>
      </w:r>
      <w:r>
        <w:rPr>
          <w:rFonts w:ascii="宋体" w:hAnsi="宋体" w:cs="宋体" w:eastAsia="宋体" w:hint="ascii"/>
          <w:sz w:val="21"/>
          <w:spacing w:val="-2"/>
        </w:rPr>
        <w:t>请</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3"/>
        </w:rPr>
        <w:t>26</w:t>
      </w:r>
      <w:r>
        <w:rPr>
          <w:rFonts w:ascii="Times New Roman" w:hAnsi="Times New Roman" w:cs="Times New Roman" w:eastAsia="Times New Roman" w:hint="ascii"/>
          <w:sz w:val="21"/>
          <w:spacing w:val="1"/>
        </w:rPr>
        <w:t>7</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项，资</w:t>
      </w:r>
      <w:r>
        <w:rPr>
          <w:rFonts w:ascii="宋体" w:hAnsi="宋体" w:cs="宋体" w:eastAsia="宋体" w:hint="ascii"/>
          <w:sz w:val="21"/>
          <w:spacing w:val="-2"/>
        </w:rPr>
        <w:t>助</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3"/>
        </w:rPr>
        <w:t>8</w:t>
      </w:r>
      <w:r>
        <w:rPr>
          <w:rFonts w:ascii="Times New Roman" w:hAnsi="Times New Roman" w:cs="Times New Roman" w:eastAsia="Times New Roman" w:hint="ascii"/>
          <w:sz w:val="21"/>
          <w:spacing w:val="1"/>
        </w:rPr>
        <w:t>9</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2"/>
        </w:rPr>
        <w:t>项，</w:t>
      </w:r>
      <w:r>
        <w:rPr>
          <w:rFonts w:ascii="宋体" w:hAnsi="宋体" w:cs="宋体" w:eastAsia="宋体" w:hint="ascii"/>
          <w:sz w:val="21"/>
          <w:spacing w:val="1"/>
        </w:rPr>
        <w:t>资助直接</w:t>
      </w:r>
      <w:r>
        <w:rPr>
          <w:rFonts w:ascii="宋体" w:hAnsi="宋体" w:cs="宋体" w:eastAsia="宋体" w:hint="ascii"/>
          <w:sz w:val="21"/>
        </w:rPr>
        <w:t>费</w:t>
      </w:r>
      <w:r>
        <w:rPr>
          <w:rFonts w:ascii="宋体" w:hAnsi="宋体" w:cs="宋体" w:eastAsia="宋体" w:hint="ascii"/>
          <w:sz w:val="21"/>
          <w:spacing w:val="-3"/>
        </w:rPr>
        <w:t>用</w:t>
      </w:r>
      <w:r>
        <w:rPr>
          <w:rFonts w:ascii="宋体" w:hAnsi="宋体" w:cs="宋体" w:eastAsia="宋体" w:hint="ascii"/>
          <w:sz w:val="21"/>
          <w:spacing w:val="-24"/>
        </w:rPr>
        <w:t xml:space="preserve"> </w:t>
      </w:r>
      <w:r>
        <w:rPr>
          <w:rFonts w:ascii="Times New Roman" w:hAnsi="Times New Roman" w:cs="Times New Roman" w:eastAsia="Times New Roman" w:hint="ascii"/>
          <w:sz w:val="21"/>
        </w:rPr>
        <w:t>25</w:t>
      </w:r>
      <w:r>
        <w:rPr>
          <w:rFonts w:ascii="Times New Roman" w:hAnsi="Times New Roman" w:cs="Times New Roman" w:eastAsia="Times New Roman" w:hint="ascii"/>
          <w:sz w:val="21"/>
          <w:spacing w:val="-1"/>
        </w:rPr>
        <w:t xml:space="preserve"> </w:t>
      </w:r>
      <w:r>
        <w:rPr>
          <w:rFonts w:ascii="Times New Roman" w:hAnsi="Times New Roman" w:cs="Times New Roman" w:eastAsia="Times New Roman" w:hint="ascii"/>
          <w:sz w:val="21"/>
        </w:rPr>
        <w:t>500</w:t>
      </w:r>
      <w:r>
        <w:rPr>
          <w:rFonts w:ascii="Times New Roman" w:hAnsi="Times New Roman" w:cs="Times New Roman" w:eastAsia="Times New Roman" w:hint="ascii"/>
          <w:sz w:val="21"/>
          <w:spacing w:val="-26"/>
        </w:rPr>
        <w:t xml:space="preserve"> </w:t>
      </w:r>
      <w:r>
        <w:rPr>
          <w:rFonts w:ascii="宋体" w:hAnsi="宋体" w:cs="宋体" w:eastAsia="宋体" w:hint="ascii"/>
          <w:sz w:val="21"/>
        </w:rPr>
        <w:t>万元，直接费用</w:t>
      </w:r>
      <w:r>
        <w:rPr>
          <w:rFonts w:ascii="宋体" w:hAnsi="宋体" w:cs="宋体" w:eastAsia="宋体" w:hint="ascii"/>
          <w:sz w:val="21"/>
          <w:spacing w:val="-6"/>
        </w:rPr>
        <w:t>平</w:t>
      </w:r>
      <w:r>
        <w:rPr>
          <w:rFonts w:ascii="宋体" w:hAnsi="宋体" w:cs="宋体" w:eastAsia="宋体" w:hint="ascii"/>
          <w:sz w:val="21"/>
        </w:rPr>
        <w:t>均资助强</w:t>
      </w:r>
      <w:r>
        <w:rPr>
          <w:rFonts w:ascii="宋体" w:hAnsi="宋体" w:cs="宋体" w:eastAsia="宋体" w:hint="ascii"/>
          <w:sz w:val="21"/>
          <w:spacing w:val="25"/>
        </w:rPr>
        <w:t>度</w:t>
      </w:r>
      <w:r>
        <w:rPr>
          <w:rFonts w:ascii="Times New Roman" w:hAnsi="Times New Roman" w:cs="Times New Roman" w:eastAsia="Times New Roman" w:hint="ascii"/>
          <w:sz w:val="21"/>
        </w:rPr>
        <w:t>286.5</w:t>
      </w:r>
      <w:r>
        <w:rPr>
          <w:rFonts w:ascii="Times New Roman" w:hAnsi="Times New Roman" w:cs="Times New Roman" w:eastAsia="Times New Roman" w:hint="ascii"/>
          <w:sz w:val="21"/>
          <w:spacing w:val="52"/>
        </w:rPr>
        <w:t>2</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w:t>
      </w:r>
      <w:r>
        <w:rPr>
          <w:rFonts w:ascii="宋体" w:hAnsi="宋体" w:cs="宋体" w:eastAsia="宋体" w:hint="ascii"/>
          <w:sz w:val="21"/>
          <w:spacing w:val="25"/>
        </w:rPr>
        <w:t>率</w:t>
      </w:r>
      <w:r>
        <w:rPr>
          <w:rFonts w:ascii="Times New Roman" w:hAnsi="Times New Roman" w:cs="Times New Roman" w:eastAsia="Times New Roman" w:hint="ascii"/>
          <w:sz w:val="21"/>
        </w:rPr>
        <w:t>33.33%</w:t>
      </w:r>
      <w:r>
        <w:rPr>
          <w:rFonts w:ascii="宋体" w:hAnsi="宋体" w:cs="宋体" w:eastAsia="宋体" w:hint="ascii"/>
          <w:sz w:val="21"/>
        </w:rPr>
        <w:t>。其中部分具有潜在应用前景的重点项目获得高强度资金支持。</w:t>
      </w:r>
    </w:p>
    <w:p>
      <w:pPr>
        <w:autoSpaceDE w:val="0"/>
        <w:autoSpaceDN w:val="0"/>
        <w:jc w:val="both"/>
        <w:spacing w:before="0" w:after="0" w:lineRule="exact" w:line="312"/>
        <w:ind w:right="962" w:left="966" w:firstLine="420"/>
        <w:snapToGrid w:val="0"/>
        <w:textAlignment w:val="auto"/>
        <w:tabs>
          <w:tab w:val="left" w:leader="none" w:pos="1860"/>
        </w:tabs>
        <w:numPr>
          <w:ilvl w:val="0"/>
          <w:numId w:val="139"/>
        </w:numPr>
        <w:rPr>
          <w:rFonts w:ascii="Times New Roman" w:hAnsi="Times New Roman" w:cs="Times New Roman" w:eastAsia="Times New Roman" w:hint="ascii"/>
          <w:sz w:val="21"/>
          <w:spacing w:val="1"/>
        </w:rPr>
      </w:pPr>
      <w:r>
        <w:rPr>
          <w:rFonts w:ascii="宋体" w:hAnsi="宋体" w:cs="宋体" w:eastAsia="宋体" w:hint="ascii"/>
          <w:sz w:val="21"/>
        </w:rPr>
        <w:t>年度信息科学部发布</w:t>
      </w:r>
      <w:r>
        <w:rPr>
          <w:rFonts w:ascii="宋体" w:hAnsi="宋体" w:cs="宋体" w:eastAsia="宋体" w:hint="ascii"/>
          <w:sz w:val="21"/>
          <w:spacing w:val="-26"/>
        </w:rPr>
        <w:t xml:space="preserve"> </w:t>
      </w:r>
      <w:r>
        <w:rPr>
          <w:rFonts w:ascii="Times New Roman" w:hAnsi="Times New Roman" w:cs="Times New Roman" w:eastAsia="Times New Roman" w:hint="ascii"/>
          <w:sz w:val="21"/>
        </w:rPr>
        <w:t>9</w:t>
      </w:r>
      <w:r>
        <w:rPr>
          <w:rFonts w:ascii="Times New Roman" w:hAnsi="Times New Roman" w:cs="Times New Roman" w:eastAsia="Times New Roman" w:hint="ascii"/>
          <w:sz w:val="21"/>
          <w:spacing w:val="54"/>
        </w:rPr>
        <w:t>5</w:t>
      </w:r>
      <w:r>
        <w:rPr>
          <w:rFonts w:ascii="宋体" w:hAnsi="宋体" w:cs="宋体" w:eastAsia="宋体" w:hint="ascii"/>
          <w:sz w:val="21"/>
        </w:rPr>
        <w:t>个重点项目立项领域，其中包括一个科学部优先资助重点领域。具体内容见下文列表。</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年度信息科学部拟资</w:t>
      </w:r>
      <w:r>
        <w:rPr>
          <w:rFonts w:ascii="宋体" w:hAnsi="宋体" w:cs="宋体" w:eastAsia="宋体" w:hint="ascii"/>
          <w:sz w:val="21"/>
          <w:spacing w:val="27"/>
        </w:rPr>
        <w:t>助</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3"/>
        </w:rPr>
        <w:t>5</w:t>
      </w:r>
      <w:r>
        <w:rPr>
          <w:rFonts w:ascii="宋体" w:hAnsi="宋体" w:cs="宋体" w:eastAsia="宋体" w:hint="ascii"/>
          <w:sz w:val="21"/>
        </w:rPr>
        <w:t>个左右重点项目，直接费用平均资助强度</w:t>
      </w:r>
      <w:r>
        <w:rPr>
          <w:rFonts w:ascii="宋体" w:hAnsi="宋体" w:cs="宋体" w:eastAsia="宋体" w:hint="ascii"/>
          <w:sz w:val="21"/>
          <w:spacing w:val="27"/>
        </w:rPr>
        <w:t>约</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53"/>
        </w:rPr>
        <w:t>0</w:t>
      </w:r>
      <w:r>
        <w:rPr>
          <w:rFonts w:ascii="宋体" w:hAnsi="宋体" w:cs="宋体" w:eastAsia="宋体" w:hint="ascii"/>
          <w:sz w:val="21"/>
        </w:rPr>
        <w:t>万</w:t>
      </w:r>
    </w:p>
    <w:p>
      <w:pPr>
        <w:autoSpaceDE w:val="0"/>
        <w:autoSpaceDN w:val="0"/>
        <w:jc w:val="both"/>
        <w:spacing w:before="1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 xml:space="preserve"> </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年。希望申请人准确理解与把握相关领域的研究方向，结合领域发</w:t>
      </w:r>
      <w:r>
        <w:rPr>
          <w:rFonts w:ascii="宋体" w:hAnsi="宋体" w:cs="宋体" w:eastAsia="宋体" w:hint="ascii"/>
          <w:sz w:val="21"/>
          <w:spacing w:val="-1"/>
        </w:rPr>
        <w:t>展趋势与团</w:t>
      </w:r>
      <w:r>
        <w:rPr>
          <w:rFonts w:ascii="宋体" w:hAnsi="宋体" w:cs="宋体" w:eastAsia="宋体" w:hint="ascii"/>
          <w:sz w:val="21"/>
        </w:rPr>
        <w:t>队研究基础，面向实际对象或过程，提炼关键科学问题，开展系统而深入的</w:t>
      </w:r>
      <w:r>
        <w:rPr>
          <w:rFonts w:ascii="宋体" w:hAnsi="宋体" w:cs="宋体" w:eastAsia="宋体" w:hint="ascii"/>
          <w:sz w:val="21"/>
          <w:spacing w:val="-1"/>
        </w:rPr>
        <w:t>理论创新与</w:t>
      </w:r>
      <w:r>
        <w:rPr>
          <w:rFonts w:ascii="宋体" w:hAnsi="宋体" w:cs="宋体" w:eastAsia="宋体" w:hint="ascii"/>
          <w:sz w:val="21"/>
        </w:rPr>
        <w:t>实验（或应用）验证研究；除发表高水平学术论文外，部分研究成果需在实</w:t>
      </w:r>
      <w:r>
        <w:rPr>
          <w:rFonts w:ascii="宋体" w:hAnsi="宋体" w:cs="宋体" w:eastAsia="宋体" w:hint="ascii"/>
          <w:sz w:val="21"/>
          <w:spacing w:val="-1"/>
        </w:rPr>
        <w:t>验系统或实</w:t>
      </w:r>
      <w:r>
        <w:rPr>
          <w:rFonts w:ascii="宋体" w:hAnsi="宋体" w:cs="宋体" w:eastAsia="宋体" w:hint="ascii"/>
          <w:sz w:val="21"/>
        </w:rPr>
        <w:t>际应用中得到体现或验证。科学部优先资助重点领域项目参照重大项目管理模式实施。</w:t>
      </w:r>
    </w:p>
    <w:p>
      <w:pPr>
        <w:autoSpaceDE w:val="0"/>
        <w:autoSpaceDN w:val="0"/>
        <w:jc w:val="left"/>
        <w:spacing w:before="40" w:after="0" w:lineRule="auto" w:line="240"/>
        <w:ind w:right="0" w:left="966" w:firstLine="420"/>
        <w:snapToGrid w:val="0"/>
        <w:textAlignment w:val="auto"/>
        <w:tabs>
          <w:tab w:val="left" w:leader="none" w:pos="1860"/>
        </w:tabs>
        <w:numPr>
          <w:ilvl w:val="0"/>
          <w:numId w:val="140"/>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3"/>
        </w:rPr>
        <w:t>信</w:t>
      </w:r>
      <w:r>
        <w:rPr>
          <w:rFonts w:ascii="宋体" w:hAnsi="宋体" w:cs="宋体" w:eastAsia="宋体" w:hint="ascii"/>
          <w:sz w:val="21"/>
        </w:rPr>
        <w:t>息科</w:t>
      </w:r>
      <w:r>
        <w:rPr>
          <w:rFonts w:ascii="宋体" w:hAnsi="宋体" w:cs="宋体" w:eastAsia="宋体" w:hint="ascii"/>
          <w:sz w:val="21"/>
          <w:spacing w:val="3"/>
        </w:rPr>
        <w:t>学</w:t>
      </w:r>
      <w:r>
        <w:rPr>
          <w:rFonts w:ascii="宋体" w:hAnsi="宋体" w:cs="宋体" w:eastAsia="宋体" w:hint="ascii"/>
          <w:sz w:val="21"/>
        </w:rPr>
        <w:t>部</w:t>
      </w:r>
      <w:r>
        <w:rPr>
          <w:rFonts w:ascii="宋体" w:hAnsi="宋体" w:cs="宋体" w:eastAsia="宋体" w:hint="ascii"/>
          <w:sz w:val="21"/>
          <w:spacing w:val="3"/>
        </w:rPr>
        <w:t>试</w:t>
      </w:r>
      <w:r>
        <w:rPr>
          <w:rFonts w:ascii="宋体" w:hAnsi="宋体" w:cs="宋体" w:eastAsia="宋体" w:hint="ascii"/>
          <w:sz w:val="21"/>
        </w:rPr>
        <w:t>行接受非</w:t>
      </w:r>
      <w:r>
        <w:rPr>
          <w:rFonts w:ascii="宋体" w:hAnsi="宋体" w:cs="宋体" w:eastAsia="宋体" w:hint="ascii"/>
          <w:sz w:val="21"/>
          <w:spacing w:val="3"/>
        </w:rPr>
        <w:t>立</w:t>
      </w:r>
      <w:r>
        <w:rPr>
          <w:rFonts w:ascii="宋体" w:hAnsi="宋体" w:cs="宋体" w:eastAsia="宋体" w:hint="ascii"/>
          <w:sz w:val="21"/>
        </w:rPr>
        <w:t>项重点领</w:t>
      </w:r>
      <w:r>
        <w:rPr>
          <w:rFonts w:ascii="宋体" w:hAnsi="宋体" w:cs="宋体" w:eastAsia="宋体" w:hint="ascii"/>
          <w:sz w:val="21"/>
          <w:spacing w:val="3"/>
        </w:rPr>
        <w:t>域</w:t>
      </w:r>
      <w:r>
        <w:rPr>
          <w:rFonts w:ascii="宋体" w:hAnsi="宋体" w:cs="宋体" w:eastAsia="宋体" w:hint="ascii"/>
          <w:sz w:val="21"/>
        </w:rPr>
        <w:t>自由申请</w:t>
      </w:r>
      <w:r>
        <w:rPr>
          <w:rFonts w:ascii="宋体" w:hAnsi="宋体" w:cs="宋体" w:eastAsia="宋体" w:hint="ascii"/>
          <w:sz w:val="21"/>
          <w:spacing w:val="3"/>
        </w:rPr>
        <w:t>，</w:t>
      </w:r>
      <w:r>
        <w:rPr>
          <w:rFonts w:ascii="宋体" w:hAnsi="宋体" w:cs="宋体" w:eastAsia="宋体" w:hint="ascii"/>
          <w:sz w:val="21"/>
        </w:rPr>
        <w:t>根据国家</w:t>
      </w:r>
      <w:r>
        <w:rPr>
          <w:rFonts w:ascii="宋体" w:hAnsi="宋体" w:cs="宋体" w:eastAsia="宋体" w:hint="ascii"/>
          <w:sz w:val="21"/>
          <w:spacing w:val="3"/>
        </w:rPr>
        <w:t>重</w:t>
      </w:r>
      <w:r>
        <w:rPr>
          <w:rFonts w:ascii="宋体" w:hAnsi="宋体" w:cs="宋体" w:eastAsia="宋体" w:hint="ascii"/>
          <w:sz w:val="21"/>
        </w:rPr>
        <w:t>大需</w:t>
      </w:r>
      <w:r>
        <w:rPr>
          <w:rFonts w:ascii="宋体" w:hAnsi="宋体" w:cs="宋体" w:eastAsia="宋体" w:hint="ascii"/>
          <w:sz w:val="21"/>
          <w:spacing w:val="3"/>
        </w:rPr>
        <w:t>求</w:t>
      </w:r>
      <w:r>
        <w:rPr>
          <w:rFonts w:ascii="宋体" w:hAnsi="宋体" w:cs="宋体" w:eastAsia="宋体" w:hint="ascii"/>
          <w:sz w:val="21"/>
        </w:rPr>
        <w:t>，</w:t>
      </w:r>
    </w:p>
    <w:p>
      <w:pPr>
        <w:autoSpaceDE w:val="0"/>
        <w:autoSpaceDN w:val="0"/>
        <w:jc w:val="left"/>
        <w:spacing w:before="17"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spacing w:val="3"/>
        </w:rPr>
        <w:t>在人工智</w:t>
      </w:r>
      <w:r>
        <w:rPr>
          <w:rFonts w:ascii="宋体" w:hAnsi="宋体" w:cs="宋体" w:eastAsia="宋体" w:hint="ascii"/>
          <w:sz w:val="21"/>
        </w:rPr>
        <w:t>能</w:t>
      </w:r>
      <w:r>
        <w:rPr>
          <w:rFonts w:ascii="宋体" w:hAnsi="宋体" w:cs="宋体" w:eastAsia="宋体" w:hint="ascii"/>
          <w:sz w:val="21"/>
          <w:spacing w:val="3"/>
        </w:rPr>
        <w:t>、大数据</w:t>
      </w:r>
      <w:r>
        <w:rPr>
          <w:rFonts w:ascii="宋体" w:hAnsi="宋体" w:cs="宋体" w:eastAsia="宋体" w:hint="ascii"/>
          <w:sz w:val="21"/>
        </w:rPr>
        <w:t>、</w:t>
      </w:r>
      <w:r>
        <w:rPr>
          <w:rFonts w:ascii="宋体" w:hAnsi="宋体" w:cs="宋体" w:eastAsia="宋体" w:hint="ascii"/>
          <w:sz w:val="21"/>
          <w:spacing w:val="3"/>
        </w:rPr>
        <w:t>移动互联</w:t>
      </w:r>
      <w:r>
        <w:rPr>
          <w:rFonts w:ascii="宋体" w:hAnsi="宋体" w:cs="宋体" w:eastAsia="宋体" w:hint="ascii"/>
          <w:sz w:val="21"/>
        </w:rPr>
        <w:t>网</w:t>
      </w:r>
      <w:r>
        <w:rPr>
          <w:rFonts w:ascii="宋体" w:hAnsi="宋体" w:cs="宋体" w:eastAsia="宋体" w:hint="ascii"/>
          <w:sz w:val="21"/>
          <w:spacing w:val="3"/>
        </w:rPr>
        <w:t>、网络空</w:t>
      </w:r>
      <w:r>
        <w:rPr>
          <w:rFonts w:ascii="宋体" w:hAnsi="宋体" w:cs="宋体" w:eastAsia="宋体" w:hint="ascii"/>
          <w:sz w:val="21"/>
        </w:rPr>
        <w:t>间</w:t>
      </w:r>
      <w:r>
        <w:rPr>
          <w:rFonts w:ascii="宋体" w:hAnsi="宋体" w:cs="宋体" w:eastAsia="宋体" w:hint="ascii"/>
          <w:sz w:val="21"/>
          <w:spacing w:val="3"/>
        </w:rPr>
        <w:t>安全及新</w:t>
      </w:r>
      <w:r>
        <w:rPr>
          <w:rFonts w:ascii="宋体" w:hAnsi="宋体" w:cs="宋体" w:eastAsia="宋体" w:hint="ascii"/>
          <w:sz w:val="21"/>
        </w:rPr>
        <w:t>型</w:t>
      </w:r>
      <w:r>
        <w:rPr>
          <w:rFonts w:ascii="宋体" w:hAnsi="宋体" w:cs="宋体" w:eastAsia="宋体" w:hint="ascii"/>
          <w:sz w:val="21"/>
          <w:spacing w:val="3"/>
        </w:rPr>
        <w:t>光纤通信</w:t>
      </w:r>
      <w:r>
        <w:rPr>
          <w:rFonts w:ascii="宋体" w:hAnsi="宋体" w:cs="宋体" w:eastAsia="宋体" w:hint="ascii"/>
          <w:sz w:val="21"/>
        </w:rPr>
        <w:t>技</w:t>
      </w:r>
      <w:r>
        <w:rPr>
          <w:rFonts w:ascii="宋体" w:hAnsi="宋体" w:cs="宋体" w:eastAsia="宋体" w:hint="ascii"/>
          <w:sz w:val="21"/>
          <w:spacing w:val="3"/>
        </w:rPr>
        <w:t>术领域接</w:t>
      </w:r>
      <w:r>
        <w:rPr>
          <w:rFonts w:ascii="宋体" w:hAnsi="宋体" w:cs="宋体" w:eastAsia="宋体" w:hint="ascii"/>
          <w:sz w:val="21"/>
        </w:rPr>
        <w:t>受</w:t>
      </w:r>
      <w:r>
        <w:rPr>
          <w:rFonts w:ascii="宋体" w:hAnsi="宋体" w:cs="宋体" w:eastAsia="宋体" w:hint="ascii"/>
          <w:sz w:val="21"/>
          <w:spacing w:val="3"/>
        </w:rPr>
        <w:t>自</w:t>
      </w:r>
      <w:r>
        <w:rPr>
          <w:rFonts w:ascii="宋体" w:hAnsi="宋体" w:cs="宋体" w:eastAsia="宋体" w:hint="ascii"/>
          <w:sz w:val="21"/>
        </w:rPr>
        <w:t>由</w:t>
      </w:r>
      <w:r>
        <w:rPr>
          <w:rFonts w:ascii="宋体" w:hAnsi="宋体" w:cs="宋体" w:eastAsia="宋体" w:hint="ascii"/>
          <w:sz w:val="21"/>
          <w:spacing w:val="3"/>
        </w:rPr>
        <w:t>申请。鼓</w:t>
      </w:r>
      <w:r>
        <w:rPr>
          <w:rFonts w:ascii="宋体" w:hAnsi="宋体" w:cs="宋体" w:eastAsia="宋体" w:hint="ascii"/>
          <w:sz w:val="21"/>
        </w:rPr>
        <w:t>励</w:t>
      </w:r>
      <w:r>
        <w:rPr>
          <w:rFonts w:ascii="宋体" w:hAnsi="宋体" w:cs="宋体" w:eastAsia="宋体" w:hint="ascii"/>
          <w:sz w:val="21"/>
          <w:spacing w:val="3"/>
        </w:rPr>
        <w:t>在上述领</w:t>
      </w:r>
      <w:r>
        <w:rPr>
          <w:rFonts w:ascii="宋体" w:hAnsi="宋体" w:cs="宋体" w:eastAsia="宋体" w:hint="ascii"/>
          <w:sz w:val="21"/>
        </w:rPr>
        <w:t>域</w:t>
      </w:r>
      <w:r>
        <w:rPr>
          <w:rFonts w:ascii="宋体" w:hAnsi="宋体" w:cs="宋体" w:eastAsia="宋体" w:hint="ascii"/>
          <w:sz w:val="21"/>
          <w:spacing w:val="3"/>
        </w:rPr>
        <w:t>中已取得</w:t>
      </w:r>
      <w:r>
        <w:rPr>
          <w:rFonts w:ascii="宋体" w:hAnsi="宋体" w:cs="宋体" w:eastAsia="宋体" w:hint="ascii"/>
          <w:sz w:val="21"/>
        </w:rPr>
        <w:t>重</w:t>
      </w:r>
      <w:r>
        <w:rPr>
          <w:rFonts w:ascii="宋体" w:hAnsi="宋体" w:cs="宋体" w:eastAsia="宋体" w:hint="ascii"/>
          <w:sz w:val="21"/>
          <w:spacing w:val="3"/>
        </w:rPr>
        <w:t>要进展，</w:t>
      </w:r>
      <w:r>
        <w:rPr>
          <w:rFonts w:ascii="宋体" w:hAnsi="宋体" w:cs="宋体" w:eastAsia="宋体" w:hint="ascii"/>
          <w:sz w:val="21"/>
        </w:rPr>
        <w:t>急</w:t>
      </w:r>
      <w:r>
        <w:rPr>
          <w:rFonts w:ascii="宋体" w:hAnsi="宋体" w:cs="宋体" w:eastAsia="宋体" w:hint="ascii"/>
          <w:sz w:val="21"/>
          <w:spacing w:val="3"/>
        </w:rPr>
        <w:t>需重点项</w:t>
      </w:r>
      <w:r>
        <w:rPr>
          <w:rFonts w:ascii="宋体" w:hAnsi="宋体" w:cs="宋体" w:eastAsia="宋体" w:hint="ascii"/>
          <w:sz w:val="21"/>
        </w:rPr>
        <w:t>目</w:t>
      </w:r>
      <w:r>
        <w:rPr>
          <w:rFonts w:ascii="宋体" w:hAnsi="宋体" w:cs="宋体" w:eastAsia="宋体" w:hint="ascii"/>
          <w:sz w:val="21"/>
          <w:spacing w:val="3"/>
        </w:rPr>
        <w:t>资助的专</w:t>
      </w:r>
      <w:r>
        <w:rPr>
          <w:rFonts w:ascii="宋体" w:hAnsi="宋体" w:cs="宋体" w:eastAsia="宋体" w:hint="ascii"/>
          <w:sz w:val="21"/>
        </w:rPr>
        <w:t>家</w:t>
      </w:r>
      <w:r>
        <w:rPr>
          <w:rFonts w:ascii="宋体" w:hAnsi="宋体" w:cs="宋体" w:eastAsia="宋体" w:hint="ascii"/>
          <w:sz w:val="21"/>
          <w:spacing w:val="3"/>
        </w:rPr>
        <w:t>，结合国</w:t>
      </w:r>
      <w:r>
        <w:rPr>
          <w:rFonts w:ascii="宋体" w:hAnsi="宋体" w:cs="宋体" w:eastAsia="宋体" w:hint="ascii"/>
          <w:sz w:val="21"/>
        </w:rPr>
        <w:t>家</w:t>
      </w:r>
      <w:r>
        <w:rPr>
          <w:rFonts w:ascii="宋体" w:hAnsi="宋体" w:cs="宋体" w:eastAsia="宋体" w:hint="ascii"/>
          <w:sz w:val="21"/>
          <w:spacing w:val="3"/>
        </w:rPr>
        <w:t>发</w:t>
      </w:r>
      <w:r>
        <w:rPr>
          <w:rFonts w:ascii="宋体" w:hAnsi="宋体" w:cs="宋体" w:eastAsia="宋体" w:hint="ascii"/>
          <w:sz w:val="21"/>
        </w:rPr>
        <w:t>展</w:t>
      </w:r>
      <w:r>
        <w:rPr>
          <w:rFonts w:ascii="宋体" w:hAnsi="宋体" w:cs="宋体" w:eastAsia="宋体" w:hint="ascii"/>
          <w:sz w:val="21"/>
          <w:spacing w:val="6"/>
        </w:rPr>
        <w:t>的</w:t>
      </w:r>
      <w:r>
        <w:rPr>
          <w:rFonts w:ascii="宋体" w:hAnsi="宋体" w:cs="宋体" w:eastAsia="宋体" w:hint="ascii"/>
          <w:sz w:val="21"/>
          <w:spacing w:val="7"/>
        </w:rPr>
        <w:t>重</w:t>
      </w:r>
      <w:r>
        <w:rPr>
          <w:rFonts w:ascii="宋体" w:hAnsi="宋体" w:cs="宋体" w:eastAsia="宋体" w:hint="ascii"/>
          <w:sz w:val="21"/>
          <w:spacing w:val="6"/>
        </w:rPr>
        <w:t>大</w:t>
      </w:r>
      <w:r>
        <w:rPr>
          <w:rFonts w:ascii="宋体" w:hAnsi="宋体" w:cs="宋体" w:eastAsia="宋体" w:hint="ascii"/>
          <w:sz w:val="21"/>
          <w:spacing w:val="7"/>
        </w:rPr>
        <w:t>战</w:t>
      </w:r>
      <w:r>
        <w:rPr>
          <w:rFonts w:ascii="宋体" w:hAnsi="宋体" w:cs="宋体" w:eastAsia="宋体" w:hint="ascii"/>
          <w:sz w:val="21"/>
          <w:spacing w:val="6"/>
        </w:rPr>
        <w:t>略</w:t>
      </w:r>
      <w:r>
        <w:rPr>
          <w:rFonts w:ascii="宋体" w:hAnsi="宋体" w:cs="宋体" w:eastAsia="宋体" w:hint="ascii"/>
          <w:sz w:val="21"/>
          <w:spacing w:val="7"/>
        </w:rPr>
        <w:t>需求</w:t>
      </w:r>
      <w:r>
        <w:rPr>
          <w:rFonts w:ascii="宋体" w:hAnsi="宋体" w:cs="宋体" w:eastAsia="宋体" w:hint="ascii"/>
          <w:sz w:val="21"/>
          <w:spacing w:val="6"/>
        </w:rPr>
        <w:t>以</w:t>
      </w:r>
      <w:r>
        <w:rPr>
          <w:rFonts w:ascii="宋体" w:hAnsi="宋体" w:cs="宋体" w:eastAsia="宋体" w:hint="ascii"/>
          <w:sz w:val="21"/>
          <w:spacing w:val="7"/>
        </w:rPr>
        <w:t>及</w:t>
      </w:r>
      <w:r>
        <w:rPr>
          <w:rFonts w:ascii="宋体" w:hAnsi="宋体" w:cs="宋体" w:eastAsia="宋体" w:hint="ascii"/>
          <w:sz w:val="21"/>
          <w:spacing w:val="6"/>
        </w:rPr>
        <w:t>基</w:t>
      </w:r>
      <w:r>
        <w:rPr>
          <w:rFonts w:ascii="宋体" w:hAnsi="宋体" w:cs="宋体" w:eastAsia="宋体" w:hint="ascii"/>
          <w:sz w:val="21"/>
          <w:spacing w:val="7"/>
        </w:rPr>
        <w:t>础科</w:t>
      </w:r>
      <w:r>
        <w:rPr>
          <w:rFonts w:ascii="宋体" w:hAnsi="宋体" w:cs="宋体" w:eastAsia="宋体" w:hint="ascii"/>
          <w:sz w:val="21"/>
          <w:spacing w:val="6"/>
        </w:rPr>
        <w:t>学</w:t>
      </w:r>
      <w:r>
        <w:rPr>
          <w:rFonts w:ascii="宋体" w:hAnsi="宋体" w:cs="宋体" w:eastAsia="宋体" w:hint="ascii"/>
          <w:sz w:val="21"/>
          <w:spacing w:val="7"/>
        </w:rPr>
        <w:t>研</w:t>
      </w:r>
      <w:r>
        <w:rPr>
          <w:rFonts w:ascii="宋体" w:hAnsi="宋体" w:cs="宋体" w:eastAsia="宋体" w:hint="ascii"/>
          <w:sz w:val="21"/>
          <w:spacing w:val="6"/>
        </w:rPr>
        <w:t>究</w:t>
      </w:r>
      <w:r>
        <w:rPr>
          <w:rFonts w:ascii="宋体" w:hAnsi="宋体" w:cs="宋体" w:eastAsia="宋体" w:hint="ascii"/>
          <w:sz w:val="21"/>
          <w:spacing w:val="7"/>
        </w:rPr>
        <w:t>前沿，</w:t>
      </w:r>
      <w:r>
        <w:rPr>
          <w:rFonts w:ascii="宋体" w:hAnsi="宋体" w:cs="宋体" w:eastAsia="宋体" w:hint="ascii"/>
          <w:sz w:val="21"/>
          <w:spacing w:val="4"/>
        </w:rPr>
        <w:t>自由</w:t>
      </w:r>
      <w:r>
        <w:rPr>
          <w:rFonts w:ascii="宋体" w:hAnsi="宋体" w:cs="宋体" w:eastAsia="宋体" w:hint="ascii"/>
          <w:sz w:val="21"/>
          <w:spacing w:val="5"/>
        </w:rPr>
        <w:t>选</w:t>
      </w:r>
      <w:r>
        <w:rPr>
          <w:rFonts w:ascii="宋体" w:hAnsi="宋体" w:cs="宋体" w:eastAsia="宋体" w:hint="ascii"/>
          <w:sz w:val="21"/>
          <w:spacing w:val="4"/>
        </w:rPr>
        <w:t>择研究方</w:t>
      </w:r>
      <w:r>
        <w:rPr>
          <w:rFonts w:ascii="宋体" w:hAnsi="宋体" w:cs="宋体" w:eastAsia="宋体" w:hint="ascii"/>
          <w:sz w:val="21"/>
          <w:spacing w:val="5"/>
        </w:rPr>
        <w:t>向</w:t>
      </w:r>
      <w:r>
        <w:rPr>
          <w:rFonts w:ascii="宋体" w:hAnsi="宋体" w:cs="宋体" w:eastAsia="宋体" w:hint="ascii"/>
          <w:sz w:val="21"/>
          <w:spacing w:val="4"/>
        </w:rPr>
        <w:t>申请重点</w:t>
      </w:r>
      <w:r>
        <w:rPr>
          <w:rFonts w:ascii="宋体" w:hAnsi="宋体" w:cs="宋体" w:eastAsia="宋体" w:hint="ascii"/>
          <w:sz w:val="21"/>
          <w:spacing w:val="5"/>
        </w:rPr>
        <w:t>项</w:t>
      </w:r>
      <w:r>
        <w:rPr>
          <w:rFonts w:ascii="宋体" w:hAnsi="宋体" w:cs="宋体" w:eastAsia="宋体" w:hint="ascii"/>
          <w:sz w:val="21"/>
          <w:spacing w:val="4"/>
        </w:rPr>
        <w:t>目。</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2"/>
        </w:rPr>
        <w:t xml:space="preserve"> </w:t>
      </w:r>
      <w:r>
        <w:rPr>
          <w:rFonts w:ascii="宋体" w:hAnsi="宋体" w:cs="宋体" w:eastAsia="宋体" w:hint="ascii"/>
          <w:sz w:val="21"/>
        </w:rPr>
        <w:t>年度，信息科学部拟资助</w:t>
      </w:r>
      <w:r>
        <w:rPr>
          <w:rFonts w:ascii="宋体" w:hAnsi="宋体" w:cs="宋体" w:eastAsia="宋体" w:hint="ascii"/>
          <w:sz w:val="21"/>
          <w:spacing w:val="-25"/>
        </w:rPr>
        <w:t xml:space="preserve"> </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25"/>
        </w:rPr>
        <w:t xml:space="preserve"> </w:t>
      </w:r>
      <w:r>
        <w:rPr>
          <w:rFonts w:ascii="宋体" w:hAnsi="宋体" w:cs="宋体" w:eastAsia="宋体" w:hint="ascii"/>
          <w:sz w:val="21"/>
        </w:rPr>
        <w:t>个左右自由申请重点项目，直接费用平均资助强度约</w:t>
      </w:r>
      <w:r>
        <w:rPr>
          <w:rFonts w:ascii="宋体" w:hAnsi="宋体" w:cs="宋体" w:eastAsia="宋体" w:hint="ascii"/>
          <w:sz w:val="21"/>
          <w:spacing w:val="-25"/>
        </w:rPr>
        <w:t xml:space="preserve"> </w:t>
      </w:r>
      <w:r>
        <w:rPr>
          <w:rFonts w:ascii="Times New Roman" w:hAnsi="Times New Roman" w:cs="Times New Roman" w:eastAsia="Times New Roman" w:hint="ascii"/>
          <w:sz w:val="21"/>
        </w:rPr>
        <w:t>300</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w:t>
      </w:r>
      <w:r>
        <w:rPr>
          <w:rFonts w:ascii="宋体" w:hAnsi="宋体" w:cs="宋体" w:eastAsia="宋体" w:hint="ascii"/>
          <w:sz w:val="21"/>
          <w:spacing w:val="26"/>
        </w:rPr>
        <w:t>限</w:t>
      </w:r>
      <w:r>
        <w:rPr>
          <w:rFonts w:ascii="Times New Roman" w:hAnsi="Times New Roman" w:cs="Times New Roman" w:eastAsia="Times New Roman" w:hint="ascii"/>
          <w:sz w:val="21"/>
          <w:spacing w:val="52"/>
        </w:rPr>
        <w:t>5</w:t>
      </w:r>
      <w:r>
        <w:rPr>
          <w:rFonts w:ascii="宋体" w:hAnsi="宋体" w:cs="宋体" w:eastAsia="宋体" w:hint="ascii"/>
          <w:sz w:val="21"/>
        </w:rPr>
        <w:t>年。</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申请信息科学部立项领域重点项目，申请代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应当选择本《指南》中发布的科学</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部重点项目立项领域名称后面标明的代码，资助类别选择“重点项目</w:t>
      </w:r>
      <w:r>
        <w:rPr>
          <w:rFonts w:ascii="宋体" w:hAnsi="宋体" w:cs="宋体" w:eastAsia="宋体" w:hint="ascii"/>
          <w:sz w:val="21"/>
          <w:spacing w:val="-51"/>
        </w:rPr>
        <w:t>”</w:t>
      </w:r>
      <w:r>
        <w:rPr>
          <w:rFonts w:ascii="宋体" w:hAnsi="宋体" w:cs="宋体" w:eastAsia="宋体" w:hint="ascii"/>
          <w:sz w:val="21"/>
        </w:rPr>
        <w:t>，附注说明应填写《指南》上公布的相应领域名称，以上选择不正确的申请将不予受理。申请人须在提交的电子版申请书附件中提供</w:t>
      </w:r>
      <w:r>
        <w:rPr>
          <w:rFonts w:ascii="宋体" w:hAnsi="宋体" w:cs="宋体" w:eastAsia="宋体" w:hint="ascii"/>
          <w:sz w:val="21"/>
          <w:spacing w:val="-24"/>
        </w:rPr>
        <w:t xml:space="preserve"> </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24"/>
        </w:rPr>
        <w:t xml:space="preserve"> </w:t>
      </w:r>
      <w:r>
        <w:rPr>
          <w:rFonts w:ascii="宋体" w:hAnsi="宋体" w:cs="宋体" w:eastAsia="宋体" w:hint="ascii"/>
          <w:sz w:val="21"/>
        </w:rPr>
        <w:t>篇与申请项目相关的代表性论著的</w:t>
      </w:r>
      <w:r>
        <w:rPr>
          <w:rFonts w:ascii="宋体" w:hAnsi="宋体" w:cs="宋体" w:eastAsia="宋体" w:hint="ascii"/>
          <w:sz w:val="21"/>
          <w:spacing w:val="-24"/>
        </w:rPr>
        <w:t xml:space="preserve"> </w:t>
      </w:r>
      <w:r>
        <w:rPr>
          <w:rFonts w:ascii="Times New Roman" w:hAnsi="Times New Roman" w:cs="Times New Roman" w:eastAsia="Times New Roman" w:hint="ascii"/>
          <w:sz w:val="21"/>
        </w:rPr>
        <w:t>PDF</w:t>
      </w:r>
      <w:r>
        <w:rPr>
          <w:rFonts w:ascii="Times New Roman" w:hAnsi="Times New Roman" w:cs="Times New Roman" w:eastAsia="Times New Roman" w:hint="ascii"/>
          <w:sz w:val="21"/>
          <w:spacing w:val="-25"/>
        </w:rPr>
        <w:t xml:space="preserve"> </w:t>
      </w:r>
      <w:r>
        <w:rPr>
          <w:rFonts w:ascii="宋体" w:hAnsi="宋体" w:cs="宋体" w:eastAsia="宋体" w:hint="ascii"/>
          <w:sz w:val="21"/>
        </w:rPr>
        <w:t>格式文件（仅附申请人的代表作</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申请信息科学部非立项重点领域自由申请项目</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可根据研究内容自主选</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择填写信息科学部申请代码中与上述五个领域中相对应的代码，</w:t>
      </w:r>
      <w:r>
        <w:rPr>
          <w:rFonts w:ascii="宋体" w:hAnsi="宋体" w:cs="宋体" w:eastAsia="宋体" w:hint="ascii"/>
          <w:sz w:val="21"/>
        </w:rPr>
        <w:t>资助类别选择“重点项目</w:t>
      </w:r>
      <w:r>
        <w:rPr>
          <w:rFonts w:ascii="宋体" w:hAnsi="宋体" w:cs="宋体" w:eastAsia="宋体" w:hint="ascii"/>
          <w:sz w:val="21"/>
          <w:spacing w:val="-50"/>
        </w:rPr>
        <w:t>”</w:t>
      </w:r>
      <w:r>
        <w:rPr>
          <w:rFonts w:ascii="宋体" w:hAnsi="宋体" w:cs="宋体" w:eastAsia="宋体" w:hint="ascii"/>
          <w:sz w:val="21"/>
        </w:rPr>
        <w:t>，附注说明应</w:t>
      </w:r>
      <w:r>
        <w:rPr>
          <w:rFonts w:ascii="宋体" w:hAnsi="宋体" w:cs="宋体" w:eastAsia="宋体" w:hint="ascii"/>
          <w:sz w:val="21"/>
        </w:rPr>
        <w:t>注明“非立项重点领域”字样，</w:t>
      </w:r>
      <w:r>
        <w:rPr>
          <w:rFonts w:ascii="宋体" w:hAnsi="宋体" w:cs="宋体" w:eastAsia="宋体" w:hint="ascii"/>
          <w:sz w:val="21"/>
        </w:rPr>
        <w:t>以上选择或填写不正确的申请将不予受理。申请人须在提交的电子版申请书附件中提</w:t>
      </w:r>
      <w:r>
        <w:rPr>
          <w:rFonts w:ascii="宋体" w:hAnsi="宋体" w:cs="宋体" w:eastAsia="宋体" w:hint="ascii"/>
          <w:sz w:val="21"/>
          <w:spacing w:val="26"/>
        </w:rPr>
        <w:t>供</w:t>
      </w:r>
      <w:r>
        <w:rPr>
          <w:rFonts w:ascii="Times New Roman" w:hAnsi="Times New Roman" w:cs="Times New Roman" w:eastAsia="Times New Roman" w:hint="ascii"/>
          <w:sz w:val="21"/>
          <w:spacing w:val="52"/>
        </w:rPr>
        <w:t>5</w:t>
      </w:r>
      <w:r>
        <w:rPr>
          <w:rFonts w:ascii="宋体" w:hAnsi="宋体" w:cs="宋体" w:eastAsia="宋体" w:hint="ascii"/>
          <w:sz w:val="21"/>
        </w:rPr>
        <w:t>篇与申请项目相关的代表性论著的</w:t>
      </w:r>
      <w:r>
        <w:rPr>
          <w:rFonts w:ascii="Times New Roman" w:hAnsi="Times New Roman" w:cs="Times New Roman" w:eastAsia="Times New Roman" w:hint="ascii"/>
          <w:sz w:val="21"/>
        </w:rPr>
        <w:t>PD</w:t>
      </w:r>
      <w:r>
        <w:rPr>
          <w:rFonts w:ascii="Times New Roman" w:hAnsi="Times New Roman" w:cs="Times New Roman" w:eastAsia="Times New Roman" w:hint="ascii"/>
          <w:sz w:val="21"/>
          <w:spacing w:val="52"/>
        </w:rPr>
        <w:t>F</w:t>
      </w:r>
      <w:r>
        <w:rPr>
          <w:rFonts w:ascii="宋体" w:hAnsi="宋体" w:cs="宋体" w:eastAsia="宋体" w:hint="ascii"/>
          <w:sz w:val="21"/>
        </w:rPr>
        <w:t>格式文件（仅附申请人的代表作</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62" w:left="966" w:firstLine="420"/>
        <w:snapToGrid w:val="0"/>
        <w:textAlignment w:val="auto"/>
        <w:tabs>
          <w:tab w:val="left" w:leader="none" w:pos="1864"/>
        </w:tabs>
        <w:numPr>
          <w:ilvl w:val="0"/>
          <w:numId w:val="140"/>
        </w:numPr>
        <w:rPr>
          <w:rFonts w:ascii="Times New Roman" w:hAnsi="Times New Roman" w:cs="Times New Roman" w:eastAsia="Times New Roman" w:hint="ascii"/>
          <w:sz w:val="21"/>
          <w:spacing w:val="1"/>
        </w:rPr>
      </w:pPr>
      <w:r>
        <w:rPr>
          <w:rFonts w:ascii="宋体" w:hAnsi="宋体" w:cs="宋体" w:eastAsia="宋体" w:hint="ascii"/>
          <w:sz w:val="21"/>
          <w:spacing w:val="1"/>
        </w:rPr>
        <w:t>年度重点项</w:t>
      </w:r>
      <w:r>
        <w:rPr>
          <w:rFonts w:ascii="宋体" w:hAnsi="宋体" w:cs="宋体" w:eastAsia="宋体" w:hint="ascii"/>
          <w:sz w:val="21"/>
        </w:rPr>
        <w:t>目立项建议截止日期</w:t>
      </w:r>
      <w:r>
        <w:rPr>
          <w:rFonts w:ascii="宋体" w:hAnsi="宋体" w:cs="宋体" w:eastAsia="宋体" w:hint="ascii"/>
          <w:sz w:val="21"/>
          <w:spacing w:val="-3"/>
        </w:rPr>
        <w:t>为</w:t>
      </w:r>
      <w:r>
        <w:rPr>
          <w:rFonts w:ascii="宋体" w:hAnsi="宋体" w:cs="宋体" w:eastAsia="宋体" w:hint="ascii"/>
          <w:sz w:val="21"/>
          <w:spacing w:val="-26"/>
        </w:rPr>
        <w:t xml:space="preserve"> </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34"/>
        </w:rPr>
        <w:t>8</w:t>
      </w:r>
      <w:r>
        <w:rPr>
          <w:rFonts w:ascii="宋体" w:hAnsi="宋体" w:cs="宋体" w:eastAsia="宋体" w:hint="ascii"/>
          <w:sz w:val="21"/>
          <w:spacing w:val="-3"/>
        </w:rPr>
        <w:t>年</w:t>
      </w:r>
      <w:r>
        <w:rPr>
          <w:rFonts w:ascii="宋体" w:hAnsi="宋体" w:cs="宋体" w:eastAsia="宋体" w:hint="ascii"/>
          <w:sz w:val="21"/>
          <w:spacing w:val="-26"/>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3"/>
        </w:rPr>
        <w:t>月</w:t>
      </w:r>
      <w:r>
        <w:rPr>
          <w:rFonts w:ascii="宋体" w:hAnsi="宋体" w:cs="宋体" w:eastAsia="宋体" w:hint="ascii"/>
          <w:sz w:val="21"/>
          <w:spacing w:val="-26"/>
        </w:rPr>
        <w:t xml:space="preserve"> </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27"/>
        </w:rPr>
        <w:t xml:space="preserve"> </w:t>
      </w:r>
      <w:r>
        <w:rPr>
          <w:rFonts w:ascii="宋体" w:hAnsi="宋体" w:cs="宋体" w:eastAsia="宋体" w:hint="ascii"/>
          <w:sz w:val="21"/>
        </w:rPr>
        <w:t>日，有关《指南》建议</w:t>
      </w:r>
      <w:r>
        <w:rPr>
          <w:rFonts w:ascii="宋体" w:hAnsi="宋体" w:cs="宋体" w:eastAsia="宋体" w:hint="ascii"/>
          <w:sz w:val="21"/>
          <w:spacing w:val="-6"/>
        </w:rPr>
        <w:t>要</w:t>
      </w:r>
      <w:r>
        <w:rPr>
          <w:rFonts w:ascii="宋体" w:hAnsi="宋体" w:cs="宋体" w:eastAsia="宋体" w:hint="ascii"/>
          <w:sz w:val="21"/>
        </w:rPr>
        <w:t>求请参阅信息科学部网站（</w:t>
      </w:r>
      <w:r>
        <w:rPr>
          <w:rFonts w:ascii="Times New Roman" w:hAnsi="Times New Roman" w:cs="Times New Roman" w:eastAsia="Times New Roman" w:hint="ascii"/>
          <w:sz w:val="21"/>
        </w:rPr>
        <w:t>ht</w:t>
      </w:r>
      <w:r>
        <w:rPr>
          <w:rFonts w:ascii="Times New Roman" w:hAnsi="Times New Roman" w:cs="Times New Roman" w:eastAsia="Times New Roman" w:hint="ascii"/>
          <w:sz w:val="21"/>
          <w:spacing w:val="-1"/>
        </w:rPr>
        <w:t>t</w:t>
      </w:r>
      <w:r>
        <w:rPr>
          <w:rFonts w:ascii="Times New Roman" w:hAnsi="Times New Roman" w:cs="Times New Roman" w:eastAsia="Times New Roman" w:hint="ascii"/>
          <w:sz w:val="21"/>
        </w:rPr>
        <w:t>p</w:t>
      </w:r>
      <w:r>
        <w:rPr>
          <w:rFonts w:ascii="Times New Roman" w:hAnsi="Times New Roman" w:cs="Times New Roman" w:eastAsia="Times New Roman" w:hint="ascii"/>
          <w:sz w:val="21"/>
          <w:spacing w:val="-1"/>
        </w:rPr>
        <w:t>:</w:t>
      </w:r>
      <w:r>
        <w:rPr>
          <w:rFonts w:ascii="Times New Roman" w:hAnsi="Times New Roman" w:cs="Times New Roman" w:eastAsia="Times New Roman" w:hint="ascii"/>
          <w:sz w:val="21"/>
        </w:rPr>
        <w:t>//ww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.nsfc.</w:t>
      </w:r>
      <w:r>
        <w:rPr>
          <w:rFonts w:ascii="Times New Roman" w:hAnsi="Times New Roman" w:cs="Times New Roman" w:eastAsia="Times New Roman" w:hint="ascii"/>
          <w:sz w:val="21"/>
          <w:spacing w:val="-1"/>
        </w:rPr>
        <w:t>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1"/>
        </w:rPr>
        <w:t>c</w:t>
      </w:r>
      <w:r>
        <w:rPr>
          <w:rFonts w:ascii="Times New Roman" w:hAnsi="Times New Roman" w:cs="Times New Roman" w:eastAsia="Times New Roman" w:hint="ascii"/>
          <w:sz w:val="21"/>
        </w:rPr>
        <w:t>n</w:t>
      </w:r>
      <w:r>
        <w:rPr>
          <w:rFonts w:ascii="Times New Roman" w:hAnsi="Times New Roman" w:cs="Times New Roman" w:eastAsia="Times New Roman" w:hint="ascii"/>
          <w:sz w:val="21"/>
          <w:spacing w:val="-1"/>
        </w:rPr>
        <w:t>/</w:t>
      </w:r>
      <w:r>
        <w:rPr>
          <w:rFonts w:ascii="Times New Roman" w:hAnsi="Times New Roman" w:cs="Times New Roman" w:eastAsia="Times New Roman" w:hint="ascii"/>
          <w:sz w:val="21"/>
        </w:rPr>
        <w:t>nsfc/c</w:t>
      </w:r>
      <w:r>
        <w:rPr>
          <w:rFonts w:ascii="Times New Roman" w:hAnsi="Times New Roman" w:cs="Times New Roman" w:eastAsia="Times New Roman" w:hint="ascii"/>
          <w:sz w:val="21"/>
          <w:spacing w:val="-1"/>
        </w:rPr>
        <w:t>e</w:t>
      </w:r>
      <w:r>
        <w:rPr>
          <w:rFonts w:ascii="Times New Roman" w:hAnsi="Times New Roman" w:cs="Times New Roman" w:eastAsia="Times New Roman" w:hint="ascii"/>
          <w:sz w:val="21"/>
        </w:rPr>
        <w:t>n</w:t>
      </w:r>
      <w:r>
        <w:rPr>
          <w:rFonts w:ascii="Times New Roman" w:hAnsi="Times New Roman" w:cs="Times New Roman" w:eastAsia="Times New Roman" w:hint="ascii"/>
          <w:sz w:val="21"/>
          <w:spacing w:val="-1"/>
        </w:rPr>
        <w:t>/</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1"/>
        </w:rPr>
        <w:t>k</w:t>
      </w:r>
      <w:r>
        <w:rPr>
          <w:rFonts w:ascii="Times New Roman" w:hAnsi="Times New Roman" w:cs="Times New Roman" w:eastAsia="Times New Roman" w:hint="ascii"/>
          <w:sz w:val="21"/>
        </w:rPr>
        <w:t>xb</w:t>
      </w:r>
      <w:r>
        <w:rPr>
          <w:rFonts w:ascii="Times New Roman" w:hAnsi="Times New Roman" w:cs="Times New Roman" w:eastAsia="Times New Roman" w:hint="ascii"/>
          <w:sz w:val="21"/>
          <w:spacing w:val="-1"/>
        </w:rPr>
        <w:t>/</w:t>
      </w:r>
      <w:r>
        <w:rPr>
          <w:rFonts w:ascii="Times New Roman" w:hAnsi="Times New Roman" w:cs="Times New Roman" w:eastAsia="Times New Roman" w:hint="ascii"/>
          <w:sz w:val="21"/>
        </w:rPr>
        <w:t>x</w:t>
      </w:r>
      <w:r>
        <w:rPr>
          <w:rFonts w:ascii="Times New Roman" w:hAnsi="Times New Roman" w:cs="Times New Roman" w:eastAsia="Times New Roman" w:hint="ascii"/>
          <w:sz w:val="21"/>
          <w:spacing w:val="-1"/>
        </w:rPr>
        <w:t>x</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1"/>
        </w:rPr>
        <w:t>i</w:t>
      </w:r>
      <w:r>
        <w:rPr>
          <w:rFonts w:ascii="Times New Roman" w:hAnsi="Times New Roman" w:cs="Times New Roman" w:eastAsia="Times New Roman" w:hint="ascii"/>
          <w:sz w:val="21"/>
        </w:rPr>
        <w:t>ndex.ht</w:t>
      </w:r>
      <w:r>
        <w:rPr>
          <w:rFonts w:ascii="Times New Roman" w:hAnsi="Times New Roman" w:cs="Times New Roman" w:eastAsia="Times New Roman" w:hint="ascii"/>
          <w:sz w:val="21"/>
          <w:spacing w:val="-4"/>
        </w:rPr>
        <w:t>m</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本科学部优先资助重点领域：</w:t>
      </w:r>
    </w:p>
    <w:p>
      <w:pPr>
        <w:autoSpaceDE w:val="0"/>
        <w:autoSpaceDN w:val="0"/>
        <w:jc w:val="left"/>
        <w:spacing w:before="49" w:after="0" w:lineRule="exact" w:line="263"/>
        <w:ind w:right="0" w:left="1389" w:firstLine="0"/>
        <w:snapToGrid w:val="0"/>
        <w:textAlignment w:val="auto"/>
        <w:tabs/>
        <w:rPr>
          <w:rFonts w:ascii="宋体" w:hAnsi="宋体" w:cs="宋体" w:eastAsia="宋体" w:hint="ascii"/>
          <w:sz w:val="21"/>
        </w:rPr>
      </w:pPr>
      <w:r>
        <w:rPr>
          <w:rFonts w:ascii="宋体" w:hAnsi="宋体" w:cs="宋体" w:eastAsia="宋体" w:hint="ascii"/>
          <w:sz w:val="21"/>
        </w:rPr>
        <w:t>复杂场景声信号获取和识别基础理论与方法研究（</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11"/>
        </w:rPr>
        <w:t>11</w:t>
      </w:r>
      <w:r>
        <w:rPr>
          <w:rFonts w:ascii="Times New Roman" w:hAnsi="Times New Roman" w:cs="Times New Roman" w:eastAsia="Times New Roman" w:hint="ascii"/>
          <w:b w:val="1"/>
          <w:sz w:val="21"/>
        </w:rPr>
        <w:t>102</w:t>
      </w:r>
      <w:r>
        <w:rPr>
          <w:rFonts w:ascii="宋体" w:hAnsi="宋体" w:cs="宋体" w:eastAsia="宋体" w:hint="ascii"/>
          <w:sz w:val="21"/>
        </w:rPr>
        <w:t>）</w:t>
      </w:r>
    </w:p>
    <w:p>
      <w:pPr>
        <w:autoSpaceDE w:val="0"/>
        <w:autoSpaceDN w:val="0"/>
        <w:jc w:val="both"/>
        <w:spacing w:before="1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如何在强噪、强混响、多源环境下进行远距离可靠拾</w:t>
      </w:r>
      <w:r>
        <w:rPr>
          <w:rFonts w:ascii="宋体" w:hAnsi="宋体" w:cs="宋体" w:eastAsia="宋体" w:hint="ascii"/>
          <w:sz w:val="21"/>
          <w:spacing w:val="-1"/>
        </w:rPr>
        <w:t>音，并对获取的声信号进行处</w:t>
      </w:r>
      <w:r>
        <w:rPr>
          <w:rFonts w:ascii="宋体" w:hAnsi="宋体" w:cs="宋体" w:eastAsia="宋体" w:hint="ascii"/>
          <w:sz w:val="21"/>
        </w:rPr>
        <w:t xml:space="preserve"> </w:t>
      </w:r>
      <w:r>
        <w:rPr>
          <w:rFonts w:ascii="宋体" w:hAnsi="宋体" w:cs="宋体" w:eastAsia="宋体" w:hint="ascii"/>
          <w:sz w:val="21"/>
          <w:spacing w:val="-1"/>
        </w:rPr>
        <w:t>理、分析、</w:t>
      </w:r>
      <w:r>
        <w:rPr>
          <w:rFonts w:ascii="宋体" w:hAnsi="宋体" w:cs="宋体" w:eastAsia="宋体" w:hint="ascii"/>
          <w:sz w:val="21"/>
        </w:rPr>
        <w:t>识别以及挖掘其中的超文本信息是目前声信号处理领域的基础难题。结合远</w:t>
      </w:r>
      <w:r>
        <w:rPr>
          <w:rFonts w:ascii="宋体" w:hAnsi="宋体" w:cs="宋体" w:eastAsia="宋体" w:hint="ascii"/>
          <w:sz w:val="21"/>
          <w:spacing w:val="-1"/>
        </w:rPr>
        <w:t>程合作、临</w:t>
      </w:r>
      <w:r>
        <w:rPr>
          <w:rFonts w:ascii="宋体" w:hAnsi="宋体" w:cs="宋体" w:eastAsia="宋体" w:hint="ascii"/>
          <w:sz w:val="21"/>
        </w:rPr>
        <w:t>境通信和各种语音交互系统对声信号处理技术的迫切需求，本重点项目群开</w:t>
      </w:r>
      <w:r>
        <w:rPr>
          <w:rFonts w:ascii="宋体" w:hAnsi="宋体" w:cs="宋体" w:eastAsia="宋体" w:hint="ascii"/>
          <w:sz w:val="21"/>
          <w:spacing w:val="-1"/>
        </w:rPr>
        <w:t>展复杂场景</w:t>
      </w:r>
      <w:r>
        <w:rPr>
          <w:rFonts w:ascii="宋体" w:hAnsi="宋体" w:cs="宋体" w:eastAsia="宋体" w:hint="ascii"/>
          <w:sz w:val="21"/>
        </w:rPr>
        <w:t>下声信号的获取和识别基础理论与方法研究。要求申请团队具有良好的研究</w:t>
      </w:r>
    </w:p>
    <w:p>
      <w:pPr>
        <w:autoSpaceDE w:val="0"/>
        <w:autoSpaceDN w:val="0"/>
        <w:jc w:val="left"/>
        <w:spacing w:before="27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0" w:firstLine="0"/>
        <w:snapToGrid w:val="0"/>
        <w:textAlignment w:val="auto"/>
        <w:tabs/>
        <w:rPr>
          <w:rFonts w:ascii="宋体" w:hAnsi="宋体" w:cs="宋体" w:eastAsia="宋体" w:hint="ascii"/>
          <w:sz w:val="21"/>
        </w:rPr>
      </w:pPr>
      <w:r>
        <w:rPr>
          <w:rFonts w:ascii="宋体" w:hAnsi="宋体" w:cs="宋体" w:eastAsia="宋体" w:hint="ascii"/>
          <w:sz w:val="21"/>
        </w:rPr>
        <w:t>基础，预期成果可在相应领域得到验证和应用。本重点项目群拟</w:t>
      </w:r>
      <w:r>
        <w:rPr>
          <w:rFonts w:ascii="宋体" w:hAnsi="宋体" w:cs="宋体" w:eastAsia="宋体" w:hint="ascii"/>
          <w:sz w:val="21"/>
          <w:spacing w:val="12"/>
        </w:rPr>
        <w:t>设</w:t>
      </w:r>
      <w:r>
        <w:rPr>
          <w:rFonts w:ascii="Times New Roman" w:hAnsi="Times New Roman" w:cs="Times New Roman" w:eastAsia="Times New Roman" w:hint="ascii"/>
          <w:sz w:val="21"/>
          <w:spacing w:val="25"/>
        </w:rPr>
        <w:t>3</w:t>
      </w:r>
      <w:r>
        <w:rPr>
          <w:rFonts w:ascii="宋体" w:hAnsi="宋体" w:cs="宋体" w:eastAsia="宋体" w:hint="ascii"/>
          <w:sz w:val="21"/>
        </w:rPr>
        <w:t>个研究方向，拟资</w:t>
      </w:r>
      <w:r>
        <w:rPr>
          <w:rFonts w:ascii="宋体" w:hAnsi="宋体" w:cs="宋体" w:eastAsia="宋体" w:hint="ascii"/>
          <w:sz w:val="21"/>
          <w:spacing w:val="26"/>
        </w:rPr>
        <w:t>助</w:t>
      </w:r>
      <w:r>
        <w:rPr>
          <w:rFonts w:ascii="Times New Roman" w:hAnsi="Times New Roman" w:cs="Times New Roman" w:eastAsia="Times New Roman" w:hint="ascii"/>
          <w:sz w:val="21"/>
          <w:spacing w:val="22"/>
        </w:rPr>
        <w:t>3</w:t>
      </w:r>
      <w:r>
        <w:rPr>
          <w:rFonts w:ascii="宋体" w:hAnsi="宋体" w:cs="宋体" w:eastAsia="宋体" w:hint="ascii"/>
          <w:sz w:val="21"/>
        </w:rPr>
        <w:t>个左右重点项目。</w:t>
      </w:r>
      <w:r>
        <w:rPr>
          <w:rFonts w:ascii="宋体" w:hAnsi="宋体" w:cs="宋体" w:eastAsia="宋体" w:hint="ascii"/>
          <w:sz w:val="21"/>
        </w:rPr>
        <mc:AlternateContent>
          <mc:Choice Requires="wps">
            <w:drawing>
              <wp:anchor distL="0" distR="0" distT="0" distB="0" simplePos="0" behindDoc="1" relativeHeight="168" locked="0" layoutInCell="1" allowOverlap="1">
                <wp:simplePos x="0" y="0"/>
                <wp:positionH relativeFrom="page">
                  <wp:posOffset>938530</wp:posOffset>
                </wp:positionH>
                <wp:positionV relativeFrom="page">
                  <wp:posOffset>805815</wp:posOffset>
                </wp:positionV>
                <wp:extent cx="5076190" cy="0"/>
                <wp:wrapNone/>
                <wp:docPr id="1197" name="119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86208;width:399.70pt;" id="119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）多通道声信号获取与重构；</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）机动声源的听觉感知与识别；</w:t>
      </w:r>
    </w:p>
    <w:p>
      <w:pPr>
        <w:autoSpaceDE w:val="0"/>
        <w:autoSpaceDN w:val="0"/>
        <w:jc w:val="left"/>
        <w:spacing w:before="49" w:after="0" w:lineRule="exact" w:line="263"/>
        <w:ind w:right="0" w:left="316"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）连续状态空间个性化语音情感识别。</w:t>
      </w:r>
    </w:p>
    <w:p>
      <w:pPr>
        <w:autoSpaceDE w:val="0"/>
        <w:autoSpaceDN w:val="0"/>
        <w:jc w:val="left"/>
        <w:spacing w:before="49"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年度重点项目立项领域：</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面向智能服务的雾无线接入网基础理论和关键技术（</w:t>
      </w:r>
      <w:r>
        <w:rPr>
          <w:rFonts w:ascii="Times New Roman" w:hAnsi="Times New Roman" w:cs="Times New Roman" w:eastAsia="Times New Roman" w:hint="ascii"/>
          <w:b w:val="1"/>
          <w:sz w:val="21"/>
        </w:rPr>
        <w:t>F0104</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硬件性能受限下室外毫米波大规模多天线无线通信（</w:t>
      </w:r>
      <w:r>
        <w:rPr>
          <w:rFonts w:ascii="Times New Roman" w:hAnsi="Times New Roman" w:cs="Times New Roman" w:eastAsia="Times New Roman" w:hint="ascii"/>
          <w:b w:val="1"/>
          <w:sz w:val="21"/>
        </w:rPr>
        <w:t>F0105</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面向载人登月的空间信息传输理论与关键技术（</w:t>
      </w:r>
      <w:r>
        <w:rPr>
          <w:rFonts w:ascii="Times New Roman" w:hAnsi="Times New Roman" w:cs="Times New Roman" w:eastAsia="Times New Roman" w:hint="ascii"/>
          <w:b w:val="1"/>
          <w:sz w:val="21"/>
        </w:rPr>
        <w:t>F0106</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卫星传感网的基础理论与传输技术（</w:t>
      </w:r>
      <w:r>
        <w:rPr>
          <w:rFonts w:ascii="Times New Roman" w:hAnsi="Times New Roman" w:cs="Times New Roman" w:eastAsia="Times New Roman" w:hint="ascii"/>
          <w:b w:val="1"/>
          <w:sz w:val="21"/>
        </w:rPr>
        <w:t>F0106</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机会声源水声遥测网络基础理论与方法（</w:t>
      </w:r>
      <w:r>
        <w:rPr>
          <w:rFonts w:ascii="Times New Roman" w:hAnsi="Times New Roman" w:cs="Times New Roman" w:eastAsia="Times New Roman" w:hint="ascii"/>
          <w:b w:val="1"/>
          <w:sz w:val="21"/>
        </w:rPr>
        <w:t>F0107</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移动沉浸式视频处理与传输（</w:t>
      </w:r>
      <w:r>
        <w:rPr>
          <w:rFonts w:ascii="Times New Roman" w:hAnsi="Times New Roman" w:cs="Times New Roman" w:eastAsia="Times New Roman" w:hint="ascii"/>
          <w:b w:val="1"/>
          <w:sz w:val="21"/>
        </w:rPr>
        <w:t>F0108</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内生安全光通信理论与技术（</w:t>
      </w:r>
      <w:r>
        <w:rPr>
          <w:rFonts w:ascii="Times New Roman" w:hAnsi="Times New Roman" w:cs="Times New Roman" w:eastAsia="Times New Roman" w:hint="ascii"/>
          <w:b w:val="1"/>
          <w:sz w:val="21"/>
        </w:rPr>
        <w:t>F0109</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天波发射船载分布式高频雷达目标协同探测（</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12</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141"/>
        </w:numPr>
        <w:rPr>
          <w:rFonts w:ascii="Times New Roman" w:hAnsi="Times New Roman" w:cs="Times New Roman" w:eastAsia="Times New Roman" w:hint="ascii"/>
          <w:sz w:val="21"/>
        </w:rPr>
      </w:pPr>
      <w:r>
        <w:rPr>
          <w:rFonts w:ascii="宋体" w:hAnsi="宋体" w:cs="宋体" w:eastAsia="宋体" w:hint="ascii"/>
          <w:sz w:val="21"/>
        </w:rPr>
        <w:t>多站地基短波辐射源精确定位（</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12</w:t>
      </w:r>
      <w:r>
        <w:rPr>
          <w:rFonts w:ascii="宋体" w:hAnsi="宋体" w:cs="宋体" w:eastAsia="宋体" w:hint="ascii"/>
          <w:sz w:val="21"/>
        </w:rPr>
        <w:t>）</w:t>
      </w:r>
    </w:p>
    <w:p>
      <w:pPr>
        <w:autoSpaceDE w:val="0"/>
        <w:autoSpaceDN w:val="0"/>
        <w:jc w:val="left"/>
        <w:spacing w:before="57" w:after="0" w:lineRule="auto" w:line="240"/>
        <w:ind w:right="0" w:left="106" w:firstLine="578"/>
        <w:snapToGrid w:val="0"/>
        <w:textAlignment w:val="auto"/>
        <w:tabs>
          <w:tab w:val="left" w:leader="none" w:pos="787"/>
        </w:tabs>
        <w:numPr>
          <w:ilvl w:val="0"/>
          <w:numId w:val="16"/>
        </w:numPr>
        <w:rPr>
          <w:rFonts w:ascii="Times New Roman" w:hAnsi="Times New Roman" w:cs="Times New Roman" w:eastAsia="Times New Roman" w:hint="ascii"/>
          <w:b w:val="1"/>
          <w:sz w:val="21"/>
          <w:spacing w:val="1"/>
        </w:rPr>
      </w:pPr>
      <w:r>
        <w:rPr>
          <w:rFonts w:ascii="宋体" w:hAnsi="宋体" w:cs="宋体" w:eastAsia="宋体" w:hint="ascii"/>
          <w:sz w:val="21"/>
        </w:rPr>
        <w:t>宽视场层析计算成像（</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17</w:t>
      </w:r>
      <w:r>
        <w:rPr>
          <w:rFonts w:ascii="宋体" w:hAnsi="宋体" w:cs="宋体" w:eastAsia="宋体" w:hint="ascii"/>
          <w:sz w:val="21"/>
        </w:rPr>
        <w:t>）</w:t>
      </w:r>
    </w:p>
    <w:p>
      <w:pPr>
        <w:autoSpaceDE w:val="0"/>
        <w:autoSpaceDN w:val="0"/>
        <w:jc w:val="left"/>
        <w:spacing w:before="57"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视障辅助多媒体处理系统（</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17</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石墨烯等离激元亚辐射表面增强机理及应用（</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1906</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毫米波异质集成电路的设计理论与关键技术（</w:t>
      </w:r>
      <w:r>
        <w:rPr>
          <w:rFonts w:ascii="Times New Roman" w:hAnsi="Times New Roman" w:cs="Times New Roman" w:eastAsia="Times New Roman" w:hint="ascii"/>
          <w:b w:val="1"/>
          <w:sz w:val="21"/>
        </w:rPr>
        <w:t>F0120</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太赫兹磁光微结构与单向传输器件研究（</w:t>
      </w:r>
      <w:r>
        <w:rPr>
          <w:rFonts w:ascii="Times New Roman" w:hAnsi="Times New Roman" w:cs="Times New Roman" w:eastAsia="Times New Roman" w:hint="ascii"/>
          <w:b w:val="1"/>
          <w:sz w:val="21"/>
        </w:rPr>
        <w:t>F012009</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微纳强流真空电子光学系统的集成方法与关键技术（</w:t>
      </w:r>
      <w:r>
        <w:rPr>
          <w:rFonts w:ascii="Times New Roman" w:hAnsi="Times New Roman" w:cs="Times New Roman" w:eastAsia="Times New Roman" w:hint="ascii"/>
          <w:b w:val="1"/>
          <w:sz w:val="21"/>
        </w:rPr>
        <w:t>F0122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基于新型功能电磁材料的微波器件及应用研究（</w:t>
      </w:r>
      <w:r>
        <w:rPr>
          <w:rFonts w:ascii="Times New Roman" w:hAnsi="Times New Roman" w:cs="Times New Roman" w:eastAsia="Times New Roman" w:hint="ascii"/>
          <w:b w:val="1"/>
          <w:sz w:val="21"/>
        </w:rPr>
        <w:t>F0122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有机荧光敏感材料传感机理及传感器研究（</w:t>
      </w:r>
      <w:r>
        <w:rPr>
          <w:rFonts w:ascii="Times New Roman" w:hAnsi="Times New Roman" w:cs="Times New Roman" w:eastAsia="Times New Roman" w:hint="ascii"/>
          <w:b w:val="1"/>
          <w:sz w:val="21"/>
        </w:rPr>
        <w:t>F0123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面向燃料电池汽车的关键车载气体传感器研究（</w:t>
      </w:r>
      <w:r>
        <w:rPr>
          <w:rFonts w:ascii="Times New Roman" w:hAnsi="Times New Roman" w:cs="Times New Roman" w:eastAsia="Times New Roman" w:hint="ascii"/>
          <w:b w:val="1"/>
          <w:sz w:val="21"/>
        </w:rPr>
        <w:t>F0123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大规模图的信息与计算基础理论（</w:t>
      </w:r>
      <w:r>
        <w:rPr>
          <w:rFonts w:ascii="Times New Roman" w:hAnsi="Times New Roman" w:cs="Times New Roman" w:eastAsia="Times New Roman" w:hint="ascii"/>
          <w:b w:val="1"/>
          <w:sz w:val="21"/>
        </w:rPr>
        <w:t>F0201</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大数据分析的计算理论与高效算法（</w:t>
      </w:r>
      <w:r>
        <w:rPr>
          <w:rFonts w:ascii="Times New Roman" w:hAnsi="Times New Roman" w:cs="Times New Roman" w:eastAsia="Times New Roman" w:hint="ascii"/>
          <w:b w:val="1"/>
          <w:sz w:val="21"/>
        </w:rPr>
        <w:t>F020104</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面向泛在联接的时空统一建模、精化和验证理论与方法（</w:t>
      </w:r>
      <w:r>
        <w:rPr>
          <w:rFonts w:ascii="Times New Roman" w:hAnsi="Times New Roman" w:cs="Times New Roman" w:eastAsia="Times New Roman" w:hint="ascii"/>
          <w:b w:val="1"/>
          <w:sz w:val="21"/>
        </w:rPr>
        <w:t>F020106</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量子计算机软件与理论（</w:t>
      </w:r>
      <w:r>
        <w:rPr>
          <w:rFonts w:ascii="Times New Roman" w:hAnsi="Times New Roman" w:cs="Times New Roman" w:eastAsia="Times New Roman" w:hint="ascii"/>
          <w:b w:val="1"/>
          <w:sz w:val="21"/>
        </w:rPr>
        <w:t>F0202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大数据实时交互分析（</w:t>
      </w:r>
      <w:r>
        <w:rPr>
          <w:rFonts w:ascii="Times New Roman" w:hAnsi="Times New Roman" w:cs="Times New Roman" w:eastAsia="Times New Roman" w:hint="ascii"/>
          <w:b w:val="1"/>
          <w:sz w:val="21"/>
        </w:rPr>
        <w:t>F020204</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新型数据管理系统（</w:t>
      </w:r>
      <w:r>
        <w:rPr>
          <w:rFonts w:ascii="Times New Roman" w:hAnsi="Times New Roman" w:cs="Times New Roman" w:eastAsia="Times New Roman" w:hint="ascii"/>
          <w:b w:val="1"/>
          <w:sz w:val="21"/>
        </w:rPr>
        <w:t>F020204</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软件服务持续迭代演化的机理与关键技术（</w:t>
      </w:r>
      <w:r>
        <w:rPr>
          <w:rFonts w:ascii="Times New Roman" w:hAnsi="Times New Roman" w:cs="Times New Roman" w:eastAsia="Times New Roman" w:hint="ascii"/>
          <w:b w:val="1"/>
          <w:sz w:val="21"/>
        </w:rPr>
        <w:t>F020210</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大数据环境下服务理论（</w:t>
      </w:r>
      <w:r>
        <w:rPr>
          <w:rFonts w:ascii="Times New Roman" w:hAnsi="Times New Roman" w:cs="Times New Roman" w:eastAsia="Times New Roman" w:hint="ascii"/>
          <w:b w:val="1"/>
          <w:sz w:val="21"/>
        </w:rPr>
        <w:t>F020210</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存储计算融合机理与结构（</w:t>
      </w:r>
      <w:r>
        <w:rPr>
          <w:rFonts w:ascii="Times New Roman" w:hAnsi="Times New Roman" w:cs="Times New Roman" w:eastAsia="Times New Roman" w:hint="ascii"/>
          <w:b w:val="1"/>
          <w:sz w:val="21"/>
        </w:rPr>
        <w:t>F0203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面向大数据高效处理的体系结构与关键技术（</w:t>
      </w:r>
      <w:r>
        <w:rPr>
          <w:rFonts w:ascii="Times New Roman" w:hAnsi="Times New Roman" w:cs="Times New Roman" w:eastAsia="Times New Roman" w:hint="ascii"/>
          <w:b w:val="1"/>
          <w:sz w:val="21"/>
        </w:rPr>
        <w:t>F020302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嵌入式安全芯片体系结构（</w:t>
      </w:r>
      <w:r>
        <w:rPr>
          <w:rFonts w:ascii="Times New Roman" w:hAnsi="Times New Roman" w:cs="Times New Roman" w:eastAsia="Times New Roman" w:hint="ascii"/>
          <w:b w:val="1"/>
          <w:sz w:val="21"/>
        </w:rPr>
        <w:t>F020308</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软件定义的大规模固态存储系统结构（</w:t>
      </w:r>
      <w:r>
        <w:rPr>
          <w:rFonts w:ascii="Times New Roman" w:hAnsi="Times New Roman" w:cs="Times New Roman" w:eastAsia="Times New Roman" w:hint="ascii"/>
          <w:b w:val="1"/>
          <w:sz w:val="21"/>
        </w:rPr>
        <w:t>F020403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新型分布式高可靠存储系统（</w:t>
      </w:r>
      <w:r>
        <w:rPr>
          <w:rFonts w:ascii="Times New Roman" w:hAnsi="Times New Roman" w:cs="Times New Roman" w:eastAsia="Times New Roman" w:hint="ascii"/>
          <w:b w:val="1"/>
          <w:sz w:val="21"/>
        </w:rPr>
        <w:t>F020403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基于多模态数据的实时三维场景再现和质量评价（</w:t>
      </w:r>
      <w:r>
        <w:rPr>
          <w:rFonts w:ascii="Times New Roman" w:hAnsi="Times New Roman" w:cs="Times New Roman" w:eastAsia="Times New Roman" w:hint="ascii"/>
          <w:b w:val="1"/>
          <w:sz w:val="21"/>
        </w:rPr>
        <w:t>F020503</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基于视觉认知的可视媒体合成与评价（</w:t>
      </w:r>
      <w:r>
        <w:rPr>
          <w:rFonts w:ascii="Times New Roman" w:hAnsi="Times New Roman" w:cs="Times New Roman" w:eastAsia="Times New Roman" w:hint="ascii"/>
          <w:b w:val="1"/>
          <w:sz w:val="21"/>
        </w:rPr>
        <w:t>F020504</w:t>
      </w:r>
      <w:r>
        <w:rPr>
          <w:rFonts w:ascii="宋体" w:hAnsi="宋体" w:cs="宋体" w:eastAsia="宋体" w:hint="ascii"/>
          <w:sz w:val="21"/>
        </w:rPr>
        <w:t>）</w:t>
      </w:r>
    </w:p>
    <w:p>
      <w:pPr>
        <w:autoSpaceDE w:val="0"/>
        <w:autoSpaceDN w:val="0"/>
        <w:jc w:val="left"/>
        <w:spacing w:before="291"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社会媒体大数据（</w:t>
      </w:r>
      <w:r>
        <w:rPr>
          <w:rFonts w:ascii="Times New Roman" w:hAnsi="Times New Roman" w:cs="Times New Roman" w:eastAsia="Times New Roman" w:hint="ascii"/>
          <w:b w:val="1"/>
          <w:sz w:val="21"/>
        </w:rPr>
        <w:t>F020505</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69" locked="0" layoutInCell="1" allowOverlap="1">
                <wp:simplePos x="0" y="0"/>
                <wp:positionH relativeFrom="page">
                  <wp:posOffset>938530</wp:posOffset>
                </wp:positionH>
                <wp:positionV relativeFrom="page">
                  <wp:posOffset>819150</wp:posOffset>
                </wp:positionV>
                <wp:extent cx="5076190" cy="0"/>
                <wp:wrapNone/>
                <wp:docPr id="1198" name="119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85184;width:399.70pt;" id="119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高通量蛋白质组学计算的基础理论与算法（</w:t>
      </w:r>
      <w:r>
        <w:rPr>
          <w:rFonts w:ascii="Times New Roman" w:hAnsi="Times New Roman" w:cs="Times New Roman" w:eastAsia="Times New Roman" w:hint="ascii"/>
          <w:b w:val="1"/>
          <w:sz w:val="21"/>
        </w:rPr>
        <w:t>F020506</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新型计算环境下公钥密码及复杂性理论研究（</w:t>
      </w:r>
      <w:r>
        <w:rPr>
          <w:rFonts w:ascii="Times New Roman" w:hAnsi="Times New Roman" w:cs="Times New Roman" w:eastAsia="Times New Roman" w:hint="ascii"/>
          <w:b w:val="1"/>
          <w:sz w:val="21"/>
        </w:rPr>
        <w:t>F020601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面向大数据共享交换的安全与隐私技术（</w:t>
      </w:r>
      <w:r>
        <w:rPr>
          <w:rFonts w:ascii="Times New Roman" w:hAnsi="Times New Roman" w:cs="Times New Roman" w:eastAsia="Times New Roman" w:hint="ascii"/>
          <w:b w:val="1"/>
          <w:sz w:val="21"/>
        </w:rPr>
        <w:t>F020605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软件定义的天地一体化信息网络理论与关键技术（</w:t>
      </w:r>
      <w:r>
        <w:rPr>
          <w:rFonts w:ascii="Times New Roman" w:hAnsi="Times New Roman" w:cs="Times New Roman" w:eastAsia="Times New Roman" w:hint="ascii"/>
          <w:b w:val="1"/>
          <w:sz w:val="21"/>
        </w:rPr>
        <w:t>F0207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非传感器场景感知理论与关键技术（</w:t>
      </w:r>
      <w:r>
        <w:rPr>
          <w:rFonts w:ascii="Times New Roman" w:hAnsi="Times New Roman" w:cs="Times New Roman" w:eastAsia="Times New Roman" w:hint="ascii"/>
          <w:b w:val="1"/>
          <w:sz w:val="21"/>
        </w:rPr>
        <w:t>F020709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云端融合与边缘计算技术（</w:t>
      </w:r>
      <w:r>
        <w:rPr>
          <w:rFonts w:ascii="Times New Roman" w:hAnsi="Times New Roman" w:cs="Times New Roman" w:eastAsia="Times New Roman" w:hint="ascii"/>
          <w:b w:val="1"/>
          <w:sz w:val="21"/>
        </w:rPr>
        <w:t>F020709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面向柔性制造的人</w:t>
      </w:r>
      <w:r>
        <w:rPr>
          <w:rFonts w:ascii="宋体" w:hAnsi="宋体" w:cs="宋体" w:eastAsia="宋体" w:hint="ascii"/>
          <w:sz w:val="21"/>
          <w:spacing w:val="17"/>
        </w:rPr>
        <w:t>-</w:t>
      </w:r>
      <w:r>
        <w:rPr>
          <w:rFonts w:ascii="宋体" w:hAnsi="宋体" w:cs="宋体" w:eastAsia="宋体" w:hint="ascii"/>
          <w:sz w:val="21"/>
        </w:rPr>
        <w:t>机技能共享与互助协作方法与技术（</w:t>
      </w:r>
      <w:r>
        <w:rPr>
          <w:rFonts w:ascii="Times New Roman" w:hAnsi="Times New Roman" w:cs="Times New Roman" w:eastAsia="Times New Roman" w:hint="ascii"/>
          <w:b w:val="1"/>
          <w:sz w:val="21"/>
        </w:rPr>
        <w:t>F0309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可穿戴机器人的混合智能控制理论与关键技术（</w:t>
      </w:r>
      <w:r>
        <w:rPr>
          <w:rFonts w:ascii="Times New Roman" w:hAnsi="Times New Roman" w:cs="Times New Roman" w:eastAsia="Times New Roman" w:hint="ascii"/>
          <w:b w:val="1"/>
          <w:sz w:val="21"/>
        </w:rPr>
        <w:t>F0309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面向冶金过程的双臂机器人敏捷感知和控制方法（</w:t>
      </w:r>
      <w:r>
        <w:rPr>
          <w:rFonts w:ascii="Times New Roman" w:hAnsi="Times New Roman" w:cs="Times New Roman" w:eastAsia="Times New Roman" w:hint="ascii"/>
          <w:b w:val="1"/>
          <w:sz w:val="21"/>
        </w:rPr>
        <w:t>F0309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工业炉窑燃烧场重构与能效优化控</w:t>
      </w:r>
      <w:r>
        <w:rPr>
          <w:rFonts w:ascii="宋体" w:hAnsi="宋体" w:cs="宋体" w:eastAsia="宋体" w:hint="ascii"/>
          <w:sz w:val="21"/>
          <w:spacing w:val="26"/>
        </w:rPr>
        <w:t>制</w:t>
      </w:r>
      <w:r>
        <w:rPr>
          <w:rFonts w:ascii="宋体" w:hAnsi="宋体" w:cs="宋体" w:eastAsia="宋体" w:hint="ascii"/>
          <w:sz w:val="21"/>
        </w:rPr>
        <w:t>（</w:t>
      </w:r>
      <w:r>
        <w:rPr>
          <w:rFonts w:ascii="Times New Roman" w:hAnsi="Times New Roman" w:cs="Times New Roman" w:eastAsia="Times New Roman" w:hint="ascii"/>
          <w:b w:val="1"/>
          <w:sz w:val="21"/>
        </w:rPr>
        <w:t>F0301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量子测控系统集成理论与验证（</w:t>
      </w:r>
      <w:r>
        <w:rPr>
          <w:rFonts w:ascii="Times New Roman" w:hAnsi="Times New Roman" w:cs="Times New Roman" w:eastAsia="Times New Roman" w:hint="ascii"/>
          <w:b w:val="1"/>
          <w:sz w:val="21"/>
        </w:rPr>
        <w:t>F0301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微生物制造过程生长代谢估计与智能优化控制（</w:t>
      </w:r>
      <w:r>
        <w:rPr>
          <w:rFonts w:ascii="Times New Roman" w:hAnsi="Times New Roman" w:cs="Times New Roman" w:eastAsia="Times New Roman" w:hint="ascii"/>
          <w:b w:val="1"/>
          <w:sz w:val="21"/>
        </w:rPr>
        <w:t>F0308</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网络化微航天器系统的建模及协同控制（</w:t>
      </w:r>
      <w:r>
        <w:rPr>
          <w:rFonts w:ascii="Times New Roman" w:hAnsi="Times New Roman" w:cs="Times New Roman" w:eastAsia="Times New Roman" w:hint="ascii"/>
          <w:b w:val="1"/>
          <w:sz w:val="21"/>
        </w:rPr>
        <w:t>F0307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高超声速飞行器协调操纵、容错控制及验证（</w:t>
      </w:r>
      <w:r>
        <w:rPr>
          <w:rFonts w:ascii="Times New Roman" w:hAnsi="Times New Roman" w:cs="Times New Roman" w:eastAsia="Times New Roman" w:hint="ascii"/>
          <w:b w:val="1"/>
          <w:sz w:val="21"/>
        </w:rPr>
        <w:t>F0301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基于纳米光学场增强效应的新型传感机制与微纳系统研究（</w:t>
      </w:r>
      <w:r>
        <w:rPr>
          <w:rFonts w:ascii="Times New Roman" w:hAnsi="Times New Roman" w:cs="Times New Roman" w:eastAsia="Times New Roman" w:hint="ascii"/>
          <w:b w:val="1"/>
          <w:sz w:val="21"/>
        </w:rPr>
        <w:t>F0309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飞机驾驶舱人机系统交互基础理论与关键技术（</w:t>
      </w:r>
      <w:r>
        <w:rPr>
          <w:rFonts w:ascii="Times New Roman" w:hAnsi="Times New Roman" w:cs="Times New Roman" w:eastAsia="Times New Roman" w:hint="ascii"/>
          <w:b w:val="1"/>
          <w:sz w:val="21"/>
        </w:rPr>
        <w:t>F0309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固态原子自旋量子传感与精密测量理论与关键技术（</w:t>
      </w:r>
      <w:r>
        <w:rPr>
          <w:rFonts w:ascii="Times New Roman" w:hAnsi="Times New Roman" w:cs="Times New Roman" w:eastAsia="Times New Roman" w:hint="ascii"/>
          <w:b w:val="1"/>
          <w:sz w:val="21"/>
        </w:rPr>
        <w:t>F0306</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面向节能的制造过程能质流协同运行优化理论与关键技术（</w:t>
      </w:r>
      <w:r>
        <w:rPr>
          <w:rFonts w:ascii="Times New Roman" w:hAnsi="Times New Roman" w:cs="Times New Roman" w:eastAsia="Times New Roman" w:hint="ascii"/>
          <w:b w:val="1"/>
          <w:sz w:val="21"/>
        </w:rPr>
        <w:t>F0301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面向环境监测的自主高可靠多无人机系统关键技术及应用（</w:t>
      </w:r>
      <w:r>
        <w:rPr>
          <w:rFonts w:ascii="Times New Roman" w:hAnsi="Times New Roman" w:cs="Times New Roman" w:eastAsia="Times New Roman" w:hint="ascii"/>
          <w:b w:val="1"/>
          <w:sz w:val="21"/>
        </w:rPr>
        <w:t>F0307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知识和数据驱动的制造流程协调优化控制及应用验证</w:t>
      </w:r>
      <w:r>
        <w:rPr>
          <w:rFonts w:ascii="宋体" w:hAnsi="宋体" w:cs="宋体" w:eastAsia="宋体" w:hint="ascii"/>
          <w:sz w:val="21"/>
          <w:spacing w:val="79"/>
        </w:rPr>
        <w:t xml:space="preserve"> </w:t>
      </w:r>
      <w:r>
        <w:rPr>
          <w:rFonts w:ascii="宋体" w:hAnsi="宋体" w:cs="宋体" w:eastAsia="宋体" w:hint="ascii"/>
          <w:sz w:val="21"/>
        </w:rPr>
        <w:t>（</w:t>
      </w:r>
      <w:r>
        <w:rPr>
          <w:rFonts w:ascii="Times New Roman" w:hAnsi="Times New Roman" w:cs="Times New Roman" w:eastAsia="Times New Roman" w:hint="ascii"/>
          <w:b w:val="1"/>
          <w:sz w:val="21"/>
        </w:rPr>
        <w:t>F0308</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高速列车运行风险评估基础理论与方法（</w:t>
      </w:r>
      <w:r>
        <w:rPr>
          <w:rFonts w:ascii="Times New Roman" w:hAnsi="Times New Roman" w:cs="Times New Roman" w:eastAsia="Times New Roman" w:hint="ascii"/>
          <w:b w:val="1"/>
          <w:sz w:val="21"/>
        </w:rPr>
        <w:t>F0304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面向密闭环境安全保障的全固态气体传感器阵列研究（</w:t>
      </w:r>
      <w:r>
        <w:rPr>
          <w:rFonts w:ascii="Times New Roman" w:hAnsi="Times New Roman" w:cs="Times New Roman" w:eastAsia="Times New Roman" w:hint="ascii"/>
          <w:b w:val="1"/>
          <w:sz w:val="21"/>
        </w:rPr>
        <w:t>F0306</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网络化系统分布式优化理论与方法（</w:t>
      </w:r>
      <w:r>
        <w:rPr>
          <w:rFonts w:ascii="Times New Roman" w:hAnsi="Times New Roman" w:cs="Times New Roman" w:eastAsia="Times New Roman" w:hint="ascii"/>
          <w:b w:val="1"/>
          <w:sz w:val="21"/>
        </w:rPr>
        <w:t>F0304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基于高维数据的复杂生物过程临界状态预测理论和方法（</w:t>
      </w:r>
      <w:r>
        <w:rPr>
          <w:rFonts w:ascii="Times New Roman" w:hAnsi="Times New Roman" w:cs="Times New Roman" w:eastAsia="Times New Roman" w:hint="ascii"/>
          <w:b w:val="1"/>
          <w:sz w:val="21"/>
        </w:rPr>
        <w:t>F0305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面向工业基础设施的信息物理安全理论与主动防御技术（</w:t>
      </w:r>
      <w:r>
        <w:rPr>
          <w:rFonts w:ascii="Times New Roman" w:hAnsi="Times New Roman" w:cs="Times New Roman" w:eastAsia="Times New Roman" w:hint="ascii"/>
          <w:b w:val="1"/>
          <w:sz w:val="21"/>
        </w:rPr>
        <w:t>F0304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高精度雷达传感器芯片关键技术（</w:t>
      </w:r>
      <w:r>
        <w:rPr>
          <w:rFonts w:ascii="Times New Roman" w:hAnsi="Times New Roman" w:cs="Times New Roman" w:eastAsia="Times New Roman" w:hint="ascii"/>
          <w:b w:val="1"/>
          <w:sz w:val="21"/>
        </w:rPr>
        <w:t>F0402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面向高速高阶调制码的光信号概率整形关键技术研究（</w:t>
      </w:r>
      <w:r>
        <w:rPr>
          <w:rFonts w:ascii="Times New Roman" w:hAnsi="Times New Roman" w:cs="Times New Roman" w:eastAsia="Times New Roman" w:hint="ascii"/>
          <w:b w:val="1"/>
          <w:sz w:val="21"/>
        </w:rPr>
        <w:t>F0503</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二维材料宽谱光探测器机理和关键技术研究（</w:t>
      </w:r>
      <w:r>
        <w:rPr>
          <w:rFonts w:ascii="Times New Roman" w:hAnsi="Times New Roman" w:cs="Times New Roman" w:eastAsia="Times New Roman" w:hint="ascii"/>
          <w:b w:val="1"/>
          <w:sz w:val="21"/>
        </w:rPr>
        <w:t>F0509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动态可重构芯片关键技术（</w:t>
      </w:r>
      <w:r>
        <w:rPr>
          <w:rFonts w:ascii="Times New Roman" w:hAnsi="Times New Roman" w:cs="Times New Roman" w:eastAsia="Times New Roman" w:hint="ascii"/>
          <w:b w:val="1"/>
          <w:sz w:val="21"/>
        </w:rPr>
        <w:t>F0402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公里级低损耗空芯光子晶体光纤关键技术（</w:t>
      </w:r>
      <w:r>
        <w:rPr>
          <w:rFonts w:ascii="Times New Roman" w:hAnsi="Times New Roman" w:cs="Times New Roman" w:eastAsia="Times New Roman" w:hint="ascii"/>
          <w:b w:val="1"/>
          <w:sz w:val="21"/>
        </w:rPr>
        <w:t>F0502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新型紫外非线性光学晶体及其激光性能研究（</w:t>
      </w:r>
      <w:r>
        <w:rPr>
          <w:rFonts w:ascii="Times New Roman" w:hAnsi="Times New Roman" w:cs="Times New Roman" w:eastAsia="Times New Roman" w:hint="ascii"/>
          <w:b w:val="1"/>
          <w:sz w:val="21"/>
        </w:rPr>
        <w:t>F0509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面向肿瘤组织定位诊断与鉴别的电磁共振材料与器件（</w:t>
      </w:r>
      <w:r>
        <w:rPr>
          <w:rFonts w:ascii="Times New Roman" w:hAnsi="Times New Roman" w:cs="Times New Roman" w:eastAsia="Times New Roman" w:hint="ascii"/>
          <w:b w:val="1"/>
          <w:sz w:val="21"/>
        </w:rPr>
        <w:t>F0407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面向大容量光纤通信的经典信息论安全密钥产生与分配（</w:t>
      </w:r>
      <w:r>
        <w:rPr>
          <w:rFonts w:ascii="Times New Roman" w:hAnsi="Times New Roman" w:cs="Times New Roman" w:eastAsia="Times New Roman" w:hint="ascii"/>
          <w:b w:val="1"/>
          <w:sz w:val="21"/>
        </w:rPr>
        <w:t>F0503</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无创光疗在损伤修复中的细胞学量效关系及其机理研究（</w:t>
      </w:r>
      <w:r>
        <w:rPr>
          <w:rFonts w:ascii="Times New Roman" w:hAnsi="Times New Roman" w:cs="Times New Roman" w:eastAsia="Times New Roman" w:hint="ascii"/>
          <w:b w:val="1"/>
          <w:sz w:val="21"/>
        </w:rPr>
        <w:t>F0512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大功率绿光激光器的结构材料生长与物理机制（</w:t>
      </w:r>
      <w:r>
        <w:rPr>
          <w:rFonts w:ascii="Times New Roman" w:hAnsi="Times New Roman" w:cs="Times New Roman" w:eastAsia="Times New Roman" w:hint="ascii"/>
          <w:b w:val="1"/>
          <w:sz w:val="21"/>
        </w:rPr>
        <w:t>F0403</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面向片上光互连的硅基亚波长光子器件研究（</w:t>
      </w:r>
      <w:r>
        <w:rPr>
          <w:rFonts w:ascii="Times New Roman" w:hAnsi="Times New Roman" w:cs="Times New Roman" w:eastAsia="Times New Roman" w:hint="ascii"/>
          <w:b w:val="1"/>
          <w:sz w:val="21"/>
        </w:rPr>
        <w:t>F0502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实时在体微血管光学相干成像造影关键技术研究（</w:t>
      </w:r>
      <w:r>
        <w:rPr>
          <w:rFonts w:ascii="Times New Roman" w:hAnsi="Times New Roman" w:cs="Times New Roman" w:eastAsia="Times New Roman" w:hint="ascii"/>
          <w:b w:val="1"/>
          <w:sz w:val="21"/>
        </w:rPr>
        <w:t>F0512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硅基光电子集成高速量子通信芯片基础研究（</w:t>
      </w:r>
      <w:r>
        <w:rPr>
          <w:rFonts w:ascii="Times New Roman" w:hAnsi="Times New Roman" w:cs="Times New Roman" w:eastAsia="Times New Roman" w:hint="ascii"/>
          <w:b w:val="1"/>
          <w:sz w:val="21"/>
        </w:rPr>
        <w:t>F0403</w:t>
      </w:r>
      <w:r>
        <w:rPr>
          <w:rFonts w:ascii="宋体" w:hAnsi="宋体" w:cs="宋体" w:eastAsia="宋体" w:hint="ascii"/>
          <w:sz w:val="21"/>
        </w:rPr>
        <w:t>）</w:t>
      </w:r>
    </w:p>
    <w:p>
      <w:pPr>
        <w:autoSpaceDE w:val="0"/>
        <w:autoSpaceDN w:val="0"/>
        <w:jc w:val="left"/>
        <w:spacing w:before="291"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高速窄线宽单片集成宽带可调谐激光器研究（</w:t>
      </w:r>
      <w:r>
        <w:rPr>
          <w:rFonts w:ascii="Times New Roman" w:hAnsi="Times New Roman" w:cs="Times New Roman" w:eastAsia="Times New Roman" w:hint="ascii"/>
          <w:b w:val="1"/>
          <w:sz w:val="21"/>
        </w:rPr>
        <w:t>F0502</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70" locked="0" layoutInCell="1" allowOverlap="1">
                <wp:simplePos x="0" y="0"/>
                <wp:positionH relativeFrom="page">
                  <wp:posOffset>938530</wp:posOffset>
                </wp:positionH>
                <wp:positionV relativeFrom="page">
                  <wp:posOffset>805815</wp:posOffset>
                </wp:positionV>
                <wp:extent cx="5076190" cy="0"/>
                <wp:wrapNone/>
                <wp:docPr id="1199" name="119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84160;width:399.70pt;" id="119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超短脉冲激光远程大气检测技术研究（</w:t>
      </w:r>
      <w:r>
        <w:rPr>
          <w:rFonts w:ascii="Times New Roman" w:hAnsi="Times New Roman" w:cs="Times New Roman" w:eastAsia="Times New Roman" w:hint="ascii"/>
          <w:b w:val="1"/>
          <w:sz w:val="21"/>
        </w:rPr>
        <w:t>F0506</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微型化太赫兹辐射源物理机理与关键技术（</w:t>
      </w:r>
      <w:r>
        <w:rPr>
          <w:rFonts w:ascii="Times New Roman" w:hAnsi="Times New Roman" w:cs="Times New Roman" w:eastAsia="Times New Roman" w:hint="ascii"/>
          <w:b w:val="1"/>
          <w:sz w:val="21"/>
        </w:rPr>
        <w:t>F0404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甚长波红外探测器关键技术研究（</w:t>
      </w:r>
      <w:r>
        <w:rPr>
          <w:rFonts w:ascii="Times New Roman" w:hAnsi="Times New Roman" w:cs="Times New Roman" w:eastAsia="Times New Roman" w:hint="ascii"/>
          <w:b w:val="1"/>
          <w:sz w:val="21"/>
        </w:rPr>
        <w:t>F0504</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基于超冷里德堡原子的量子精密测量（</w:t>
      </w:r>
      <w:r>
        <w:rPr>
          <w:rFonts w:ascii="Times New Roman" w:hAnsi="Times New Roman" w:cs="Times New Roman" w:eastAsia="Times New Roman" w:hint="ascii"/>
          <w:b w:val="1"/>
          <w:sz w:val="21"/>
        </w:rPr>
        <w:t>F0505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集成电路近似计算基础理论与设计方法（</w:t>
      </w:r>
      <w:r>
        <w:rPr>
          <w:rFonts w:ascii="Times New Roman" w:hAnsi="Times New Roman" w:cs="Times New Roman" w:eastAsia="Times New Roman" w:hint="ascii"/>
          <w:b w:val="1"/>
          <w:sz w:val="21"/>
        </w:rPr>
        <w:t>F0402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高性能计算成像关键技术及应用研究（</w:t>
      </w:r>
      <w:r>
        <w:rPr>
          <w:rFonts w:ascii="Times New Roman" w:hAnsi="Times New Roman" w:cs="Times New Roman" w:eastAsia="Times New Roman" w:hint="ascii"/>
          <w:b w:val="1"/>
          <w:sz w:val="21"/>
        </w:rPr>
        <w:t>F0501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水下目标激光探测新原理及关键技术研究（</w:t>
      </w:r>
      <w:r>
        <w:rPr>
          <w:rFonts w:ascii="Times New Roman" w:hAnsi="Times New Roman" w:cs="Times New Roman" w:eastAsia="Times New Roman" w:hint="ascii"/>
          <w:b w:val="1"/>
          <w:sz w:val="21"/>
        </w:rPr>
        <w:t>F05</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自供能无线传感节点集成化能量获取及功率管理技术（</w:t>
      </w:r>
      <w:r>
        <w:rPr>
          <w:rFonts w:ascii="Times New Roman" w:hAnsi="Times New Roman" w:cs="Times New Roman" w:eastAsia="Times New Roman" w:hint="ascii"/>
          <w:b w:val="1"/>
          <w:sz w:val="21"/>
        </w:rPr>
        <w:t>F0407</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超高速光学并行处理芯片关键技术的研究（</w:t>
      </w:r>
      <w:r>
        <w:rPr>
          <w:rFonts w:ascii="Times New Roman" w:hAnsi="Times New Roman" w:cs="Times New Roman" w:eastAsia="Times New Roman" w:hint="ascii"/>
          <w:b w:val="1"/>
          <w:sz w:val="21"/>
        </w:rPr>
        <w:t>F0501</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面向二维原子晶体的量子弱测量技术研究（</w:t>
      </w:r>
      <w:r>
        <w:rPr>
          <w:rFonts w:ascii="Times New Roman" w:hAnsi="Times New Roman" w:cs="Times New Roman" w:eastAsia="Times New Roman" w:hint="ascii"/>
          <w:b w:val="1"/>
          <w:sz w:val="21"/>
        </w:rPr>
        <w:t>F0505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新型神经形态器件及芯片集成基础（</w:t>
      </w:r>
      <w:r>
        <w:rPr>
          <w:rFonts w:ascii="Times New Roman" w:hAnsi="Times New Roman" w:cs="Times New Roman" w:eastAsia="Times New Roman" w:hint="ascii"/>
          <w:b w:val="1"/>
          <w:sz w:val="21"/>
        </w:rPr>
        <w:t>F0408</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视觉目标自学习建模与在线处理（</w:t>
      </w:r>
      <w:r>
        <w:rPr>
          <w:rFonts w:ascii="Times New Roman" w:hAnsi="Times New Roman" w:cs="Times New Roman" w:eastAsia="Times New Roman" w:hint="ascii"/>
          <w:b w:val="1"/>
          <w:sz w:val="21"/>
        </w:rPr>
        <w:t>F0602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多视三维目标检索理论与方法（</w:t>
      </w:r>
      <w:r>
        <w:rPr>
          <w:rFonts w:ascii="Times New Roman" w:hAnsi="Times New Roman" w:cs="Times New Roman" w:eastAsia="Times New Roman" w:hint="ascii"/>
          <w:b w:val="1"/>
          <w:sz w:val="21"/>
        </w:rPr>
        <w:t>F0603</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基于脑机融合机理的深度神经网络构建及应用（</w:t>
      </w:r>
      <w:r>
        <w:rPr>
          <w:rFonts w:ascii="Times New Roman" w:hAnsi="Times New Roman" w:cs="Times New Roman" w:eastAsia="Times New Roman" w:hint="ascii"/>
          <w:b w:val="1"/>
          <w:sz w:val="21"/>
        </w:rPr>
        <w:t>F060709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面向视频问答的跨媒体深度知识网络构建（</w:t>
      </w:r>
      <w:r>
        <w:rPr>
          <w:rFonts w:ascii="Times New Roman" w:hAnsi="Times New Roman" w:cs="Times New Roman" w:eastAsia="Times New Roman" w:hint="ascii"/>
          <w:b w:val="1"/>
          <w:sz w:val="21"/>
        </w:rPr>
        <w:t>F060408</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面向领域大数据的知识图谱构建（</w:t>
      </w:r>
      <w:r>
        <w:rPr>
          <w:rFonts w:ascii="Times New Roman" w:hAnsi="Times New Roman" w:cs="Times New Roman" w:eastAsia="Times New Roman" w:hint="ascii"/>
          <w:b w:val="1"/>
          <w:sz w:val="21"/>
        </w:rPr>
        <w:t>F060505</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面向弱小目标的机器学习与认知方法（</w:t>
      </w:r>
      <w:r>
        <w:rPr>
          <w:rFonts w:ascii="Times New Roman" w:hAnsi="Times New Roman" w:cs="Times New Roman" w:eastAsia="Times New Roman" w:hint="ascii"/>
          <w:b w:val="1"/>
          <w:sz w:val="21"/>
        </w:rPr>
        <w:t>F0602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类脑学习新模型及应用（</w:t>
      </w:r>
      <w:r>
        <w:rPr>
          <w:rFonts w:ascii="Times New Roman" w:hAnsi="Times New Roman" w:cs="Times New Roman" w:eastAsia="Times New Roman" w:hint="ascii"/>
          <w:b w:val="1"/>
          <w:sz w:val="21"/>
        </w:rPr>
        <w:t>F060708</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新型机器博弈算法及应用（</w:t>
      </w:r>
      <w:r>
        <w:rPr>
          <w:rFonts w:ascii="Times New Roman" w:hAnsi="Times New Roman" w:cs="Times New Roman" w:eastAsia="Times New Roman" w:hint="ascii"/>
          <w:b w:val="1"/>
          <w:sz w:val="21"/>
        </w:rPr>
        <w:t>F060109</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计算资源受限的机器学习基础理论与软硬件协同技术（</w:t>
      </w:r>
      <w:r>
        <w:rPr>
          <w:rFonts w:ascii="Times New Roman" w:hAnsi="Times New Roman" w:cs="Times New Roman" w:eastAsia="Times New Roman" w:hint="ascii"/>
          <w:b w:val="1"/>
          <w:sz w:val="21"/>
        </w:rPr>
        <w:t>F0602</w:t>
      </w:r>
      <w:r>
        <w:rPr>
          <w:rFonts w:ascii="宋体" w:hAnsi="宋体" w:cs="宋体" w:eastAsia="宋体" w:hint="ascii"/>
          <w:sz w:val="21"/>
        </w:rPr>
        <w:t>）</w:t>
      </w:r>
    </w:p>
    <w:p>
      <w:pPr>
        <w:autoSpaceDE w:val="0"/>
        <w:autoSpaceDN w:val="0"/>
        <w:jc w:val="left"/>
        <w:spacing w:before="57" w:after="0" w:lineRule="auto" w:line="240"/>
        <w:ind w:right="0" w:left="1753" w:hanging="367"/>
        <w:snapToGrid w:val="0"/>
        <w:textAlignment w:val="auto"/>
        <w:tabs>
          <w:tab w:val="left" w:leader="none" w:pos="1753"/>
        </w:tabs>
        <w:numPr>
          <w:ilvl w:val="0"/>
          <w:numId w:val="142"/>
        </w:numPr>
        <w:rPr>
          <w:rFonts w:ascii="Times New Roman" w:hAnsi="Times New Roman" w:cs="Times New Roman" w:eastAsia="Times New Roman" w:hint="ascii"/>
          <w:sz w:val="21"/>
          <w:spacing w:val="1"/>
        </w:rPr>
      </w:pPr>
      <w:r>
        <w:rPr>
          <w:rFonts w:ascii="宋体" w:hAnsi="宋体" w:cs="宋体" w:eastAsia="宋体" w:hint="ascii"/>
          <w:sz w:val="21"/>
        </w:rPr>
        <w:t>具有在线状态评估功能的脑机共享控制与康复技术研究（</w:t>
      </w:r>
      <w:r>
        <w:rPr>
          <w:rFonts w:ascii="Times New Roman" w:hAnsi="Times New Roman" w:cs="Times New Roman" w:eastAsia="Times New Roman" w:hint="ascii"/>
          <w:b w:val="1"/>
          <w:sz w:val="21"/>
        </w:rPr>
        <w:t>F0607</w:t>
      </w:r>
      <w:r>
        <w:rPr>
          <w:rFonts w:ascii="宋体" w:hAnsi="宋体" w:cs="宋体" w:eastAsia="宋体" w:hint="ascii"/>
          <w:sz w:val="21"/>
        </w:rPr>
        <w:t>）</w:t>
      </w:r>
    </w:p>
    <w:p>
      <w:pPr>
        <w:autoSpaceDE w:val="0"/>
        <w:autoSpaceDN w:val="0"/>
        <w:jc w:val="left"/>
        <w:spacing w:before="197"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管理科学部</w:t>
      </w:r>
    </w:p>
    <w:p>
      <w:pPr>
        <w:autoSpaceDE w:val="0"/>
        <w:autoSpaceDN w:val="0"/>
        <w:jc w:val="both"/>
        <w:spacing w:before="278" w:after="0" w:lineRule="exact" w:line="312"/>
        <w:ind w:right="974" w:left="966" w:firstLine="420"/>
        <w:snapToGrid w:val="0"/>
        <w:textAlignment w:val="auto"/>
        <w:tabs>
          <w:tab w:val="left" w:leader="none" w:pos="1839"/>
        </w:tabs>
        <w:numPr>
          <w:ilvl w:val="0"/>
          <w:numId w:val="143"/>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1"/>
        </w:rPr>
        <w:t>管</w:t>
      </w:r>
      <w:r>
        <w:rPr>
          <w:rFonts w:ascii="宋体" w:hAnsi="宋体" w:cs="宋体" w:eastAsia="宋体" w:hint="ascii"/>
          <w:sz w:val="21"/>
        </w:rPr>
        <w:t>理科</w:t>
      </w:r>
      <w:r>
        <w:rPr>
          <w:rFonts w:ascii="宋体" w:hAnsi="宋体" w:cs="宋体" w:eastAsia="宋体" w:hint="ascii"/>
          <w:sz w:val="21"/>
          <w:spacing w:val="-1"/>
        </w:rPr>
        <w:t>学</w:t>
      </w:r>
      <w:r>
        <w:rPr>
          <w:rFonts w:ascii="宋体" w:hAnsi="宋体" w:cs="宋体" w:eastAsia="宋体" w:hint="ascii"/>
          <w:sz w:val="21"/>
        </w:rPr>
        <w:t>部</w:t>
      </w:r>
      <w:r>
        <w:rPr>
          <w:rFonts w:ascii="宋体" w:hAnsi="宋体" w:cs="宋体" w:eastAsia="宋体" w:hint="ascii"/>
          <w:sz w:val="21"/>
          <w:spacing w:val="-1"/>
        </w:rPr>
        <w:t>共</w:t>
      </w:r>
      <w:r>
        <w:rPr>
          <w:rFonts w:ascii="宋体" w:hAnsi="宋体" w:cs="宋体" w:eastAsia="宋体" w:hint="ascii"/>
          <w:sz w:val="21"/>
        </w:rPr>
        <w:t>接收</w:t>
      </w:r>
      <w:r>
        <w:rPr>
          <w:rFonts w:ascii="宋体" w:hAnsi="宋体" w:cs="宋体" w:eastAsia="宋体" w:hint="ascii"/>
          <w:sz w:val="21"/>
          <w:spacing w:val="-1"/>
        </w:rPr>
        <w:t>重</w:t>
      </w:r>
      <w:r>
        <w:rPr>
          <w:rFonts w:ascii="宋体" w:hAnsi="宋体" w:cs="宋体" w:eastAsia="宋体" w:hint="ascii"/>
          <w:sz w:val="21"/>
        </w:rPr>
        <w:t>点</w:t>
      </w:r>
      <w:r>
        <w:rPr>
          <w:rFonts w:ascii="宋体" w:hAnsi="宋体" w:cs="宋体" w:eastAsia="宋体" w:hint="ascii"/>
          <w:sz w:val="21"/>
          <w:spacing w:val="-1"/>
        </w:rPr>
        <w:t>项</w:t>
      </w:r>
      <w:r>
        <w:rPr>
          <w:rFonts w:ascii="宋体" w:hAnsi="宋体" w:cs="宋体" w:eastAsia="宋体" w:hint="ascii"/>
          <w:sz w:val="21"/>
        </w:rPr>
        <w:t>目申</w:t>
      </w:r>
      <w:r>
        <w:rPr>
          <w:rFonts w:ascii="宋体" w:hAnsi="宋体" w:cs="宋体" w:eastAsia="宋体" w:hint="ascii"/>
          <w:sz w:val="21"/>
          <w:spacing w:val="14"/>
        </w:rPr>
        <w:t>请</w:t>
      </w:r>
      <w:r>
        <w:rPr>
          <w:rFonts w:ascii="Times New Roman" w:hAnsi="Times New Roman" w:cs="Times New Roman" w:eastAsia="Times New Roman" w:hint="ascii"/>
          <w:sz w:val="21"/>
          <w:spacing w:val="-1"/>
        </w:rPr>
        <w:t>10</w:t>
      </w:r>
      <w:r>
        <w:rPr>
          <w:rFonts w:ascii="Times New Roman" w:hAnsi="Times New Roman" w:cs="Times New Roman" w:eastAsia="Times New Roman" w:hint="ascii"/>
          <w:sz w:val="21"/>
          <w:spacing w:val="33"/>
        </w:rPr>
        <w:t>8</w:t>
      </w:r>
      <w:r>
        <w:rPr>
          <w:rFonts w:ascii="宋体" w:hAnsi="宋体" w:cs="宋体" w:eastAsia="宋体" w:hint="ascii"/>
          <w:sz w:val="21"/>
        </w:rPr>
        <w:t>项，</w:t>
      </w:r>
      <w:r>
        <w:rPr>
          <w:rFonts w:ascii="宋体" w:hAnsi="宋体" w:cs="宋体" w:eastAsia="宋体" w:hint="ascii"/>
          <w:sz w:val="21"/>
          <w:spacing w:val="-1"/>
        </w:rPr>
        <w:t>资</w:t>
      </w:r>
      <w:r>
        <w:rPr>
          <w:rFonts w:ascii="宋体" w:hAnsi="宋体" w:cs="宋体" w:eastAsia="宋体" w:hint="ascii"/>
          <w:sz w:val="21"/>
          <w:spacing w:val="14"/>
        </w:rPr>
        <w:t>助</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33"/>
        </w:rPr>
        <w:t>8</w:t>
      </w:r>
      <w:r>
        <w:rPr>
          <w:rFonts w:ascii="宋体" w:hAnsi="宋体" w:cs="宋体" w:eastAsia="宋体" w:hint="ascii"/>
          <w:sz w:val="21"/>
        </w:rPr>
        <w:t>项，</w:t>
      </w:r>
      <w:r>
        <w:rPr>
          <w:rFonts w:ascii="宋体" w:hAnsi="宋体" w:cs="宋体" w:eastAsia="宋体" w:hint="ascii"/>
          <w:sz w:val="21"/>
          <w:spacing w:val="-1"/>
        </w:rPr>
        <w:t>直</w:t>
      </w:r>
      <w:r>
        <w:rPr>
          <w:rFonts w:ascii="宋体" w:hAnsi="宋体" w:cs="宋体" w:eastAsia="宋体" w:hint="ascii"/>
          <w:sz w:val="21"/>
        </w:rPr>
        <w:t>接</w:t>
      </w:r>
      <w:r>
        <w:rPr>
          <w:rFonts w:ascii="宋体" w:hAnsi="宋体" w:cs="宋体" w:eastAsia="宋体" w:hint="ascii"/>
          <w:sz w:val="21"/>
          <w:spacing w:val="-1"/>
        </w:rPr>
        <w:t>费</w:t>
      </w:r>
      <w:r>
        <w:rPr>
          <w:rFonts w:ascii="宋体" w:hAnsi="宋体" w:cs="宋体" w:eastAsia="宋体" w:hint="ascii"/>
          <w:sz w:val="21"/>
        </w:rPr>
        <w:t>用平</w:t>
      </w:r>
      <w:r>
        <w:rPr>
          <w:rFonts w:ascii="宋体" w:hAnsi="宋体" w:cs="宋体" w:eastAsia="宋体" w:hint="ascii"/>
          <w:sz w:val="21"/>
          <w:spacing w:val="-1"/>
        </w:rPr>
        <w:t>均</w:t>
      </w:r>
      <w:r>
        <w:rPr>
          <w:rFonts w:ascii="宋体" w:hAnsi="宋体" w:cs="宋体" w:eastAsia="宋体" w:hint="ascii"/>
          <w:sz w:val="21"/>
        </w:rPr>
        <w:t>资</w:t>
      </w:r>
      <w:r>
        <w:rPr>
          <w:rFonts w:ascii="宋体" w:hAnsi="宋体" w:cs="宋体" w:eastAsia="宋体" w:hint="ascii"/>
          <w:sz w:val="21"/>
          <w:spacing w:val="-6"/>
        </w:rPr>
        <w:t>助</w:t>
      </w:r>
      <w:r>
        <w:rPr>
          <w:rFonts w:ascii="宋体" w:hAnsi="宋体" w:cs="宋体" w:eastAsia="宋体" w:hint="ascii"/>
          <w:sz w:val="21"/>
        </w:rPr>
        <w:t>强</w:t>
      </w:r>
      <w:r>
        <w:rPr>
          <w:rFonts w:ascii="宋体" w:hAnsi="宋体" w:cs="宋体" w:eastAsia="宋体" w:hint="ascii"/>
          <w:sz w:val="21"/>
          <w:spacing w:val="11"/>
        </w:rPr>
        <w:t>度</w:t>
      </w:r>
      <w:r>
        <w:rPr>
          <w:rFonts w:ascii="Times New Roman" w:hAnsi="Times New Roman" w:cs="Times New Roman" w:eastAsia="Times New Roman" w:hint="ascii"/>
          <w:sz w:val="21"/>
        </w:rPr>
        <w:t>240.0</w:t>
      </w:r>
      <w:r>
        <w:rPr>
          <w:rFonts w:ascii="Times New Roman" w:hAnsi="Times New Roman" w:cs="Times New Roman" w:eastAsia="Times New Roman" w:hint="ascii"/>
          <w:sz w:val="21"/>
          <w:spacing w:val="21"/>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管理科学部在“十三五”期间将逐年发布重点项目立项领域，并适时发布重点项目</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群立项</w:t>
      </w:r>
      <w:r>
        <w:rPr>
          <w:rFonts w:ascii="宋体" w:hAnsi="宋体" w:cs="宋体" w:eastAsia="宋体" w:hint="ascii"/>
          <w:sz w:val="21"/>
        </w:rPr>
        <w:t>领域和基础数据建设立项领域。重点项目应针对能推动学科发展、有望做出创新</w:t>
      </w:r>
      <w:r>
        <w:rPr>
          <w:rFonts w:ascii="宋体" w:hAnsi="宋体" w:cs="宋体" w:eastAsia="宋体" w:hint="ascii"/>
          <w:sz w:val="21"/>
          <w:spacing w:val="-1"/>
        </w:rPr>
        <w:t>性成果</w:t>
      </w:r>
      <w:r>
        <w:rPr>
          <w:rFonts w:ascii="宋体" w:hAnsi="宋体" w:cs="宋体" w:eastAsia="宋体" w:hint="ascii"/>
          <w:sz w:val="21"/>
        </w:rPr>
        <w:t>并产生一定国际影响的前沿科学问题；应切实围绕经济建设、社会发展、改革开</w:t>
      </w:r>
      <w:r>
        <w:rPr>
          <w:rFonts w:ascii="宋体" w:hAnsi="宋体" w:cs="宋体" w:eastAsia="宋体" w:hint="ascii"/>
          <w:sz w:val="21"/>
          <w:spacing w:val="1"/>
        </w:rPr>
        <w:t>放和提升我国综合竞争力</w:t>
      </w:r>
      <w:r>
        <w:rPr>
          <w:rFonts w:ascii="宋体" w:hAnsi="宋体" w:cs="宋体" w:eastAsia="宋体" w:hint="ascii"/>
          <w:sz w:val="21"/>
        </w:rPr>
        <w:t>所急需解决且有可能解决的一些重大管理理论与应用研究</w:t>
      </w:r>
      <w:r>
        <w:rPr>
          <w:rFonts w:ascii="宋体" w:hAnsi="宋体" w:cs="宋体" w:eastAsia="宋体" w:hint="ascii"/>
          <w:sz w:val="21"/>
          <w:spacing w:val="-6"/>
        </w:rPr>
        <w:t>问</w:t>
      </w:r>
      <w:r>
        <w:rPr>
          <w:rFonts w:ascii="宋体" w:hAnsi="宋体" w:cs="宋体" w:eastAsia="宋体" w:hint="ascii"/>
          <w:sz w:val="21"/>
          <w:spacing w:val="-1"/>
        </w:rPr>
        <w:t>题；应</w:t>
      </w:r>
      <w:r>
        <w:rPr>
          <w:rFonts w:ascii="宋体" w:hAnsi="宋体" w:cs="宋体" w:eastAsia="宋体" w:hint="ascii"/>
          <w:sz w:val="21"/>
        </w:rPr>
        <w:t>立足探索有中国特色的管理理论与规律的科学问题，在已有较好基础的研究方向或学科生长点开展深入、系统的创新性研究。</w:t>
      </w:r>
    </w:p>
    <w:p>
      <w:pPr>
        <w:autoSpaceDE w:val="0"/>
        <w:autoSpaceDN w:val="0"/>
        <w:jc w:val="both"/>
        <w:spacing w:before="0" w:after="0" w:lineRule="exact" w:line="312"/>
        <w:ind w:right="974"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宋体" w:hAnsi="宋体" w:cs="宋体" w:eastAsia="宋体" w:hint="ascii"/>
          <w:sz w:val="21"/>
          <w:spacing w:val="-1"/>
        </w:rPr>
        <w:t>指</w:t>
      </w:r>
      <w:r>
        <w:rPr>
          <w:rFonts w:ascii="宋体" w:hAnsi="宋体" w:cs="宋体" w:eastAsia="宋体" w:hint="ascii"/>
          <w:sz w:val="21"/>
        </w:rPr>
        <w:t>南</w:t>
      </w:r>
      <w:r>
        <w:rPr>
          <w:rFonts w:ascii="宋体" w:hAnsi="宋体" w:cs="宋体" w:eastAsia="宋体" w:hint="ascii"/>
          <w:sz w:val="21"/>
          <w:spacing w:val="-1"/>
        </w:rPr>
        <w:t>》</w:t>
      </w:r>
      <w:r>
        <w:rPr>
          <w:rFonts w:ascii="宋体" w:hAnsi="宋体" w:cs="宋体" w:eastAsia="宋体" w:hint="ascii"/>
          <w:sz w:val="21"/>
        </w:rPr>
        <w:t>中</w:t>
      </w:r>
      <w:r>
        <w:rPr>
          <w:rFonts w:ascii="宋体" w:hAnsi="宋体" w:cs="宋体" w:eastAsia="宋体" w:hint="ascii"/>
          <w:sz w:val="21"/>
          <w:spacing w:val="-1"/>
        </w:rPr>
        <w:t>阐</w:t>
      </w:r>
      <w:r>
        <w:rPr>
          <w:rFonts w:ascii="宋体" w:hAnsi="宋体" w:cs="宋体" w:eastAsia="宋体" w:hint="ascii"/>
          <w:sz w:val="21"/>
        </w:rPr>
        <w:t>述的</w:t>
      </w:r>
      <w:r>
        <w:rPr>
          <w:rFonts w:ascii="宋体" w:hAnsi="宋体" w:cs="宋体" w:eastAsia="宋体" w:hint="ascii"/>
          <w:sz w:val="21"/>
          <w:spacing w:val="-1"/>
        </w:rPr>
        <w:t>重</w:t>
      </w:r>
      <w:r>
        <w:rPr>
          <w:rFonts w:ascii="宋体" w:hAnsi="宋体" w:cs="宋体" w:eastAsia="宋体" w:hint="ascii"/>
          <w:sz w:val="21"/>
        </w:rPr>
        <w:t>点</w:t>
      </w:r>
      <w:r>
        <w:rPr>
          <w:rFonts w:ascii="宋体" w:hAnsi="宋体" w:cs="宋体" w:eastAsia="宋体" w:hint="ascii"/>
          <w:sz w:val="21"/>
          <w:spacing w:val="-1"/>
        </w:rPr>
        <w:t>项</w:t>
      </w:r>
      <w:r>
        <w:rPr>
          <w:rFonts w:ascii="宋体" w:hAnsi="宋体" w:cs="宋体" w:eastAsia="宋体" w:hint="ascii"/>
          <w:sz w:val="21"/>
        </w:rPr>
        <w:t>目领</w:t>
      </w:r>
      <w:r>
        <w:rPr>
          <w:rFonts w:ascii="宋体" w:hAnsi="宋体" w:cs="宋体" w:eastAsia="宋体" w:hint="ascii"/>
          <w:sz w:val="21"/>
          <w:spacing w:val="-1"/>
        </w:rPr>
        <w:t>域</w:t>
      </w:r>
      <w:r>
        <w:rPr>
          <w:rFonts w:ascii="宋体" w:hAnsi="宋体" w:cs="宋体" w:eastAsia="宋体" w:hint="ascii"/>
          <w:sz w:val="21"/>
        </w:rPr>
        <w:t>是</w:t>
      </w:r>
      <w:r>
        <w:rPr>
          <w:rFonts w:ascii="宋体" w:hAnsi="宋体" w:cs="宋体" w:eastAsia="宋体" w:hint="ascii"/>
          <w:sz w:val="21"/>
          <w:spacing w:val="-1"/>
        </w:rPr>
        <w:t>对</w:t>
      </w:r>
      <w:r>
        <w:rPr>
          <w:rFonts w:ascii="宋体" w:hAnsi="宋体" w:cs="宋体" w:eastAsia="宋体" w:hint="ascii"/>
          <w:sz w:val="21"/>
        </w:rPr>
        <w:t>主要</w:t>
      </w:r>
      <w:r>
        <w:rPr>
          <w:rFonts w:ascii="宋体" w:hAnsi="宋体" w:cs="宋体" w:eastAsia="宋体" w:hint="ascii"/>
          <w:sz w:val="21"/>
          <w:spacing w:val="-1"/>
        </w:rPr>
        <w:t>研</w:t>
      </w:r>
      <w:r>
        <w:rPr>
          <w:rFonts w:ascii="宋体" w:hAnsi="宋体" w:cs="宋体" w:eastAsia="宋体" w:hint="ascii"/>
          <w:sz w:val="21"/>
        </w:rPr>
        <w:t>究</w:t>
      </w:r>
      <w:r>
        <w:rPr>
          <w:rFonts w:ascii="宋体" w:hAnsi="宋体" w:cs="宋体" w:eastAsia="宋体" w:hint="ascii"/>
          <w:sz w:val="21"/>
          <w:spacing w:val="-1"/>
        </w:rPr>
        <w:t>内</w:t>
      </w:r>
      <w:r>
        <w:rPr>
          <w:rFonts w:ascii="宋体" w:hAnsi="宋体" w:cs="宋体" w:eastAsia="宋体" w:hint="ascii"/>
          <w:sz w:val="21"/>
        </w:rPr>
        <w:t>容的</w:t>
      </w:r>
      <w:r>
        <w:rPr>
          <w:rFonts w:ascii="宋体" w:hAnsi="宋体" w:cs="宋体" w:eastAsia="宋体" w:hint="ascii"/>
          <w:sz w:val="21"/>
          <w:spacing w:val="-1"/>
        </w:rPr>
        <w:t>概</w:t>
      </w:r>
      <w:r>
        <w:rPr>
          <w:rFonts w:ascii="宋体" w:hAnsi="宋体" w:cs="宋体" w:eastAsia="宋体" w:hint="ascii"/>
          <w:sz w:val="21"/>
        </w:rPr>
        <w:t>括</w:t>
      </w:r>
      <w:r>
        <w:rPr>
          <w:rFonts w:ascii="宋体" w:hAnsi="宋体" w:cs="宋体" w:eastAsia="宋体" w:hint="ascii"/>
          <w:sz w:val="21"/>
          <w:spacing w:val="-1"/>
        </w:rPr>
        <w:t>。</w:t>
      </w:r>
      <w:r>
        <w:rPr>
          <w:rFonts w:ascii="宋体" w:hAnsi="宋体" w:cs="宋体" w:eastAsia="宋体" w:hint="ascii"/>
          <w:sz w:val="21"/>
        </w:rPr>
        <w:t>申请</w:t>
      </w:r>
      <w:r>
        <w:rPr>
          <w:rFonts w:ascii="宋体" w:hAnsi="宋体" w:cs="宋体" w:eastAsia="宋体" w:hint="ascii"/>
          <w:sz w:val="21"/>
          <w:spacing w:val="-1"/>
        </w:rPr>
        <w:t>人</w:t>
      </w:r>
      <w:r>
        <w:rPr>
          <w:rFonts w:ascii="宋体" w:hAnsi="宋体" w:cs="宋体" w:eastAsia="宋体" w:hint="ascii"/>
          <w:sz w:val="21"/>
        </w:rPr>
        <w:t>及</w:t>
      </w:r>
      <w:r>
        <w:rPr>
          <w:rFonts w:ascii="宋体" w:hAnsi="宋体" w:cs="宋体" w:eastAsia="宋体" w:hint="ascii"/>
          <w:sz w:val="21"/>
          <w:spacing w:val="-1"/>
        </w:rPr>
        <w:t>研</w:t>
      </w:r>
      <w:r>
        <w:rPr>
          <w:rFonts w:ascii="宋体" w:hAnsi="宋体" w:cs="宋体" w:eastAsia="宋体" w:hint="ascii"/>
          <w:sz w:val="21"/>
        </w:rPr>
        <w:t>究团</w:t>
      </w:r>
      <w:r>
        <w:rPr>
          <w:rFonts w:ascii="宋体" w:hAnsi="宋体" w:cs="宋体" w:eastAsia="宋体" w:hint="ascii"/>
          <w:sz w:val="21"/>
          <w:spacing w:val="-1"/>
        </w:rPr>
        <w:t>队</w:t>
      </w:r>
      <w:r>
        <w:rPr>
          <w:rFonts w:ascii="宋体" w:hAnsi="宋体" w:cs="宋体" w:eastAsia="宋体" w:hint="ascii"/>
          <w:sz w:val="21"/>
        </w:rPr>
        <w:t>应</w:t>
      </w:r>
      <w:r>
        <w:rPr>
          <w:rFonts w:ascii="宋体" w:hAnsi="宋体" w:cs="宋体" w:eastAsia="宋体" w:hint="ascii"/>
          <w:sz w:val="21"/>
          <w:spacing w:val="-4"/>
        </w:rPr>
        <w:t>在</w:t>
      </w:r>
      <w:r>
        <w:rPr>
          <w:rFonts w:ascii="宋体" w:hAnsi="宋体" w:cs="宋体" w:eastAsia="宋体" w:hint="ascii"/>
          <w:sz w:val="21"/>
        </w:rPr>
        <w:t xml:space="preserve"> </w:t>
      </w:r>
      <w:r>
        <w:rPr>
          <w:rFonts w:ascii="宋体" w:hAnsi="宋体" w:cs="宋体" w:eastAsia="宋体" w:hint="ascii"/>
          <w:sz w:val="21"/>
          <w:spacing w:val="-1"/>
        </w:rPr>
        <w:t>相关研</w:t>
      </w:r>
      <w:r>
        <w:rPr>
          <w:rFonts w:ascii="宋体" w:hAnsi="宋体" w:cs="宋体" w:eastAsia="宋体" w:hint="ascii"/>
          <w:sz w:val="21"/>
        </w:rPr>
        <w:t>究领域有较好的研究基础。要求申请中应充分发挥本人及团队的学术优势，深化</w:t>
      </w:r>
      <w:r>
        <w:rPr>
          <w:rFonts w:ascii="宋体" w:hAnsi="宋体" w:cs="宋体" w:eastAsia="宋体" w:hint="ascii"/>
          <w:sz w:val="21"/>
          <w:spacing w:val="-1"/>
        </w:rPr>
        <w:t>申请的</w:t>
      </w:r>
      <w:r>
        <w:rPr>
          <w:rFonts w:ascii="宋体" w:hAnsi="宋体" w:cs="宋体" w:eastAsia="宋体" w:hint="ascii"/>
          <w:sz w:val="21"/>
        </w:rPr>
        <w:t>学术思想，明确研究目标，对项目指南中提及的研究内容不要求面面俱到，但应</w:t>
      </w:r>
      <w:r>
        <w:rPr>
          <w:rFonts w:ascii="宋体" w:hAnsi="宋体" w:cs="宋体" w:eastAsia="宋体" w:hint="ascii"/>
          <w:sz w:val="21"/>
          <w:spacing w:val="-1"/>
        </w:rPr>
        <w:t>突出研</w:t>
      </w:r>
      <w:r>
        <w:rPr>
          <w:rFonts w:ascii="宋体" w:hAnsi="宋体" w:cs="宋体" w:eastAsia="宋体" w:hint="ascii"/>
          <w:sz w:val="21"/>
        </w:rPr>
        <w:t>究重点，能够抓准并切实解决其中的一个或若干个关键科学问题，在理论上有所</w:t>
      </w:r>
      <w:r>
        <w:rPr>
          <w:rFonts w:ascii="宋体" w:hAnsi="宋体" w:cs="宋体" w:eastAsia="宋体" w:hint="ascii"/>
          <w:sz w:val="21"/>
          <w:spacing w:val="-1"/>
        </w:rPr>
        <w:t>创新。</w:t>
      </w:r>
      <w:r>
        <w:rPr>
          <w:rFonts w:ascii="宋体" w:hAnsi="宋体" w:cs="宋体" w:eastAsia="宋体" w:hint="ascii"/>
          <w:sz w:val="21"/>
        </w:rPr>
        <w:t>同时要充分重视理论联系实际，力求从我国国情出发，从重要的实际管理问题中</w:t>
      </w:r>
      <w:r>
        <w:rPr>
          <w:rFonts w:ascii="宋体" w:hAnsi="宋体" w:cs="宋体" w:eastAsia="宋体" w:hint="ascii"/>
          <w:sz w:val="21"/>
          <w:spacing w:val="-1"/>
        </w:rPr>
        <w:t>凝练出</w:t>
      </w:r>
      <w:r>
        <w:rPr>
          <w:rFonts w:ascii="宋体" w:hAnsi="宋体" w:cs="宋体" w:eastAsia="宋体" w:hint="ascii"/>
          <w:sz w:val="21"/>
        </w:rPr>
        <w:t>新颖的科学问题，展开深入研究，以提供指导解决实际管理问题的新途径；强调</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以科学方法论为指导，注重科学方法的使用，强调以实际数据</w:t>
      </w:r>
      <w:r>
        <w:rPr>
          <w:rFonts w:ascii="Times New Roman" w:hAnsi="Times New Roman" w:cs="Times New Roman" w:eastAsia="Times New Roman" w:hint="ascii"/>
          <w:sz w:val="21"/>
        </w:rPr>
        <w:t>/</w:t>
      </w:r>
      <w:r>
        <w:rPr>
          <w:rFonts w:ascii="宋体" w:hAnsi="宋体" w:cs="宋体" w:eastAsia="宋体" w:hint="ascii"/>
          <w:sz w:val="21"/>
        </w:rPr>
        <w:t>案例作为研究的信息基础，切忌主观臆断。项目名称不一定要与下列重点项目领域名称完全一致。</w:t>
      </w:r>
      <w:r>
        <w:rPr>
          <w:rFonts w:ascii="宋体" w:hAnsi="宋体" w:cs="宋体" w:eastAsia="宋体" w:hint="ascii"/>
          <w:sz w:val="21"/>
        </w:rPr>
        <mc:AlternateContent>
          <mc:Choice Requires="wps">
            <w:drawing>
              <wp:anchor distL="0" distR="0" distT="0" distB="0" simplePos="0" behindDoc="1" relativeHeight="171" locked="0" layoutInCell="1" allowOverlap="1">
                <wp:simplePos x="0" y="0"/>
                <wp:positionH relativeFrom="page">
                  <wp:posOffset>938530</wp:posOffset>
                </wp:positionH>
                <wp:positionV relativeFrom="page">
                  <wp:posOffset>819150</wp:posOffset>
                </wp:positionV>
                <wp:extent cx="5076190" cy="0"/>
                <wp:wrapNone/>
                <wp:docPr id="1200" name="120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83136;width:399.70pt;" id="120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本《指南》面</w:t>
      </w:r>
      <w:r>
        <w:rPr>
          <w:rFonts w:ascii="宋体" w:hAnsi="宋体" w:cs="宋体" w:eastAsia="宋体" w:hint="ascii"/>
          <w:sz w:val="21"/>
        </w:rPr>
        <w:t>上项目部分总述中提出的各项要求也是对重点项目的要求，提醒申请人认真阅读。</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优先资助重点项目领域</w:t>
      </w:r>
    </w:p>
    <w:p>
      <w:pPr>
        <w:autoSpaceDE w:val="0"/>
        <w:autoSpaceDN w:val="0"/>
        <w:jc w:val="both"/>
        <w:spacing w:before="157" w:after="0" w:lineRule="exact" w:line="312"/>
        <w:ind w:right="978" w:left="966" w:firstLine="420"/>
        <w:snapToGrid w:val="0"/>
        <w:textAlignment w:val="auto"/>
        <w:tabs>
          <w:tab w:val="left" w:leader="none" w:pos="1830"/>
        </w:tabs>
        <w:numPr>
          <w:ilvl w:val="0"/>
          <w:numId w:val="143"/>
        </w:numPr>
        <w:rPr>
          <w:rFonts w:ascii="Times New Roman" w:hAnsi="Times New Roman" w:cs="Times New Roman" w:eastAsia="Times New Roman" w:hint="ascii"/>
          <w:sz w:val="21"/>
          <w:spacing w:val="1"/>
        </w:rPr>
      </w:pPr>
      <w:r>
        <w:rPr>
          <w:rFonts w:ascii="宋体" w:hAnsi="宋体" w:cs="宋体" w:eastAsia="宋体" w:hint="ascii"/>
          <w:sz w:val="21"/>
        </w:rPr>
        <w:t>年度本科学部提</w:t>
      </w:r>
      <w:r>
        <w:rPr>
          <w:rFonts w:ascii="宋体" w:hAnsi="宋体" w:cs="宋体" w:eastAsia="宋体" w:hint="ascii"/>
          <w:sz w:val="21"/>
          <w:spacing w:val="11"/>
        </w:rPr>
        <w:t>出</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25"/>
        </w:rPr>
        <w:t>8</w:t>
      </w:r>
      <w:r>
        <w:rPr>
          <w:rFonts w:ascii="宋体" w:hAnsi="宋体" w:cs="宋体" w:eastAsia="宋体" w:hint="ascii"/>
          <w:sz w:val="21"/>
        </w:rPr>
        <w:t>个重点项</w:t>
      </w:r>
      <w:r>
        <w:rPr>
          <w:rFonts w:ascii="宋体" w:hAnsi="宋体" w:cs="宋体" w:eastAsia="宋体" w:hint="ascii"/>
          <w:sz w:val="21"/>
          <w:spacing w:val="-1"/>
        </w:rPr>
        <w:t>目</w:t>
      </w:r>
      <w:r>
        <w:rPr>
          <w:rFonts w:ascii="宋体" w:hAnsi="宋体" w:cs="宋体" w:eastAsia="宋体" w:hint="ascii"/>
          <w:sz w:val="21"/>
        </w:rPr>
        <w:t>研究领域</w:t>
      </w:r>
      <w:r>
        <w:rPr>
          <w:rFonts w:ascii="宋体" w:hAnsi="宋体" w:cs="宋体" w:eastAsia="宋体" w:hint="ascii"/>
          <w:sz w:val="21"/>
          <w:spacing w:val="-1"/>
        </w:rPr>
        <w:t>（</w:t>
      </w:r>
      <w:r>
        <w:rPr>
          <w:rFonts w:ascii="宋体" w:hAnsi="宋体" w:cs="宋体" w:eastAsia="宋体" w:hint="ascii"/>
          <w:sz w:val="21"/>
        </w:rPr>
        <w:t>包括一个</w:t>
      </w:r>
      <w:r>
        <w:rPr>
          <w:rFonts w:ascii="宋体" w:hAnsi="宋体" w:cs="宋体" w:eastAsia="宋体" w:hint="ascii"/>
          <w:sz w:val="21"/>
          <w:spacing w:val="-1"/>
        </w:rPr>
        <w:t>学</w:t>
      </w:r>
      <w:r>
        <w:rPr>
          <w:rFonts w:ascii="宋体" w:hAnsi="宋体" w:cs="宋体" w:eastAsia="宋体" w:hint="ascii"/>
          <w:sz w:val="21"/>
        </w:rPr>
        <w:t>科重点项</w:t>
      </w:r>
      <w:r>
        <w:rPr>
          <w:rFonts w:ascii="宋体" w:hAnsi="宋体" w:cs="宋体" w:eastAsia="宋体" w:hint="ascii"/>
          <w:sz w:val="21"/>
          <w:spacing w:val="-1"/>
        </w:rPr>
        <w:t>目</w:t>
      </w:r>
      <w:r>
        <w:rPr>
          <w:rFonts w:ascii="宋体" w:hAnsi="宋体" w:cs="宋体" w:eastAsia="宋体" w:hint="ascii"/>
          <w:sz w:val="21"/>
        </w:rPr>
        <w:t>群</w:t>
      </w:r>
      <w:r>
        <w:rPr>
          <w:rFonts w:ascii="宋体" w:hAnsi="宋体" w:cs="宋体" w:eastAsia="宋体" w:hint="ascii"/>
          <w:sz w:val="21"/>
          <w:spacing w:val="-53"/>
        </w:rPr>
        <w:t>）</w:t>
      </w:r>
      <w:r>
        <w:rPr>
          <w:rFonts w:ascii="宋体" w:hAnsi="宋体" w:cs="宋体" w:eastAsia="宋体" w:hint="ascii"/>
          <w:sz w:val="21"/>
        </w:rPr>
        <w:t>，拟</w:t>
      </w:r>
      <w:r>
        <w:rPr>
          <w:rFonts w:ascii="宋体" w:hAnsi="宋体" w:cs="宋体" w:eastAsia="宋体" w:hint="ascii"/>
          <w:sz w:val="21"/>
          <w:spacing w:val="-2"/>
        </w:rPr>
        <w:t>资</w:t>
      </w:r>
      <w:r>
        <w:rPr>
          <w:rFonts w:ascii="宋体" w:hAnsi="宋体" w:cs="宋体" w:eastAsia="宋体" w:hint="ascii"/>
          <w:sz w:val="21"/>
        </w:rPr>
        <w:t>助重点项</w:t>
      </w:r>
      <w:r>
        <w:rPr>
          <w:rFonts w:ascii="宋体" w:hAnsi="宋体" w:cs="宋体" w:eastAsia="宋体" w:hint="ascii"/>
          <w:sz w:val="21"/>
          <w:spacing w:val="11"/>
        </w:rPr>
        <w:t>目</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2"/>
        </w:rPr>
        <w:t>8</w:t>
      </w:r>
      <w:r>
        <w:rPr>
          <w:rFonts w:ascii="宋体" w:hAnsi="宋体" w:cs="宋体" w:eastAsia="宋体" w:hint="ascii"/>
          <w:sz w:val="21"/>
        </w:rPr>
        <w:t>项左右。直接费用资助强度</w:t>
      </w:r>
      <w:r>
        <w:rPr>
          <w:rFonts w:ascii="宋体" w:hAnsi="宋体" w:cs="宋体" w:eastAsia="宋体" w:hint="ascii"/>
          <w:sz w:val="21"/>
          <w:spacing w:val="11"/>
        </w:rPr>
        <w:t>为</w:t>
      </w:r>
      <w:r>
        <w:rPr>
          <w:rFonts w:ascii="Times New Roman" w:hAnsi="Times New Roman" w:cs="Times New Roman" w:eastAsia="Times New Roman" w:hint="ascii"/>
          <w:sz w:val="21"/>
        </w:rPr>
        <w:t>22</w:t>
      </w:r>
      <w:r>
        <w:rPr>
          <w:rFonts w:ascii="Times New Roman" w:hAnsi="Times New Roman" w:cs="Times New Roman" w:eastAsia="Times New Roman" w:hint="ascii"/>
          <w:sz w:val="21"/>
          <w:spacing w:val="52"/>
        </w:rPr>
        <w:t>0</w:t>
      </w:r>
      <w:r>
        <w:rPr>
          <w:rFonts w:ascii="宋体" w:hAnsi="宋体" w:cs="宋体" w:eastAsia="宋体" w:hint="ascii"/>
          <w:sz w:val="21"/>
        </w:rPr>
        <w:t>万</w:t>
      </w:r>
      <w:r>
        <w:rPr>
          <w:rFonts w:ascii="宋体" w:hAnsi="宋体" w:cs="宋体" w:eastAsia="宋体" w:hint="ascii"/>
          <w:sz w:val="21"/>
        </w:rPr>
        <w:t>～</w:t>
      </w:r>
      <w:r>
        <w:rPr>
          <w:rFonts w:ascii="Times New Roman" w:hAnsi="Times New Roman" w:cs="Times New Roman" w:eastAsia="Times New Roman" w:hint="ascii"/>
          <w:sz w:val="21"/>
        </w:rPr>
        <w:t>28</w:t>
      </w:r>
      <w:r>
        <w:rPr>
          <w:rFonts w:ascii="Times New Roman" w:hAnsi="Times New Roman" w:cs="Times New Roman" w:eastAsia="Times New Roman" w:hint="ascii"/>
          <w:sz w:val="21"/>
          <w:spacing w:val="2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11"/>
        </w:rPr>
        <w:t>为</w:t>
      </w:r>
      <w:r>
        <w:rPr>
          <w:rFonts w:ascii="Times New Roman" w:hAnsi="Times New Roman" w:cs="Times New Roman" w:eastAsia="Times New Roman" w:hint="ascii"/>
          <w:sz w:val="21"/>
          <w:spacing w:val="52"/>
        </w:rPr>
        <w:t>5</w:t>
      </w:r>
      <w:r>
        <w:rPr>
          <w:rFonts w:ascii="宋体" w:hAnsi="宋体" w:cs="宋体" w:eastAsia="宋体" w:hint="ascii"/>
          <w:sz w:val="21"/>
        </w:rPr>
        <w:t>年。</w:t>
      </w:r>
    </w:p>
    <w:p>
      <w:pPr>
        <w:autoSpaceDE w:val="0"/>
        <w:autoSpaceDN w:val="0"/>
        <w:jc w:val="left"/>
        <w:spacing w:before="40" w:after="0" w:lineRule="auto" w:line="240"/>
        <w:ind w:right="0" w:left="1649" w:hanging="263"/>
        <w:snapToGrid w:val="0"/>
        <w:textAlignment w:val="auto"/>
        <w:tabs>
          <w:tab w:val="left" w:leader="none" w:pos="1648"/>
        </w:tabs>
        <w:numPr>
          <w:ilvl w:val="0"/>
          <w:numId w:val="144"/>
        </w:numPr>
        <w:rPr>
          <w:rFonts w:ascii="Times New Roman" w:hAnsi="Times New Roman" w:cs="Times New Roman" w:eastAsia="Times New Roman" w:hint="ascii"/>
          <w:sz w:val="21"/>
        </w:rPr>
      </w:pPr>
      <w:r>
        <w:rPr>
          <w:rFonts w:ascii="宋体" w:hAnsi="宋体" w:cs="宋体" w:eastAsia="宋体" w:hint="ascii"/>
          <w:sz w:val="21"/>
        </w:rPr>
        <w:t>绿色港口与航运网络运营管理优化研究（</w:t>
      </w:r>
      <w:r>
        <w:rPr>
          <w:rFonts w:ascii="Times New Roman" w:hAnsi="Times New Roman" w:cs="Times New Roman" w:eastAsia="Times New Roman" w:hint="ascii"/>
          <w:b w:val="1"/>
          <w:sz w:val="21"/>
        </w:rPr>
        <w:t>G0102</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主要研究：①基于排放分级的港口运营动态评价与资源调度优化；②排放控制政策</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下航运网络</w:t>
      </w:r>
      <w:r>
        <w:rPr>
          <w:rFonts w:ascii="宋体" w:hAnsi="宋体" w:cs="宋体" w:eastAsia="宋体" w:hint="ascii"/>
          <w:sz w:val="21"/>
        </w:rPr>
        <w:t>运营决策优化；③考虑排放分级与控制政策下的港口投资与船队配置、技术</w:t>
      </w:r>
      <w:r>
        <w:rPr>
          <w:rFonts w:ascii="宋体" w:hAnsi="宋体" w:cs="宋体" w:eastAsia="宋体" w:hint="ascii"/>
          <w:sz w:val="21"/>
          <w:spacing w:val="-1"/>
        </w:rPr>
        <w:t>升级决策优</w:t>
      </w:r>
      <w:r>
        <w:rPr>
          <w:rFonts w:ascii="宋体" w:hAnsi="宋体" w:cs="宋体" w:eastAsia="宋体" w:hint="ascii"/>
          <w:sz w:val="21"/>
        </w:rPr>
        <w:t>化理论与方法；④如何科学设计排放分级与控制政策以及其他补贴政策，降低港航活动中污染排放总体水平。</w:t>
      </w:r>
    </w:p>
    <w:p>
      <w:pPr>
        <w:autoSpaceDE w:val="0"/>
        <w:autoSpaceDN w:val="0"/>
        <w:jc w:val="left"/>
        <w:spacing w:before="40" w:after="0" w:lineRule="auto" w:line="240"/>
        <w:ind w:right="0" w:left="1649" w:hanging="263"/>
        <w:snapToGrid w:val="0"/>
        <w:textAlignment w:val="auto"/>
        <w:tabs>
          <w:tab w:val="left" w:leader="none" w:pos="1648"/>
        </w:tabs>
        <w:numPr>
          <w:ilvl w:val="0"/>
          <w:numId w:val="144"/>
        </w:numPr>
        <w:rPr>
          <w:rFonts w:ascii="Times New Roman" w:hAnsi="Times New Roman" w:cs="Times New Roman" w:eastAsia="Times New Roman" w:hint="ascii"/>
          <w:sz w:val="21"/>
        </w:rPr>
      </w:pPr>
      <w:r>
        <w:rPr>
          <w:rFonts w:ascii="宋体" w:hAnsi="宋体" w:cs="宋体" w:eastAsia="宋体" w:hint="ascii"/>
          <w:sz w:val="21"/>
        </w:rPr>
        <w:t>面向经济管理问题的复杂数据统计学习理论与方法（</w:t>
      </w:r>
      <w:r>
        <w:rPr>
          <w:rFonts w:ascii="Times New Roman" w:hAnsi="Times New Roman" w:cs="Times New Roman" w:eastAsia="Times New Roman" w:hint="ascii"/>
          <w:b w:val="1"/>
          <w:sz w:val="21"/>
        </w:rPr>
        <w:t>G0107</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本项目以经济管理问题为背景，主要研究：①复杂数据的统计推断理论；②复杂数</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据的无监督</w:t>
      </w:r>
      <w:r>
        <w:rPr>
          <w:rFonts w:ascii="宋体" w:hAnsi="宋体" w:cs="宋体" w:eastAsia="宋体" w:hint="ascii"/>
          <w:sz w:val="21"/>
        </w:rPr>
        <w:t>统计学习方法；③复杂数据有监督非参数统计学习方法；④复杂数据有监督半参数统计学习方法。</w:t>
      </w:r>
    </w:p>
    <w:p>
      <w:pPr>
        <w:autoSpaceDE w:val="0"/>
        <w:autoSpaceDN w:val="0"/>
        <w:jc w:val="left"/>
        <w:spacing w:before="40" w:after="0" w:lineRule="auto" w:line="240"/>
        <w:ind w:right="0" w:left="1649" w:hanging="263"/>
        <w:snapToGrid w:val="0"/>
        <w:textAlignment w:val="auto"/>
        <w:tabs>
          <w:tab w:val="left" w:leader="none" w:pos="1648"/>
        </w:tabs>
        <w:numPr>
          <w:ilvl w:val="0"/>
          <w:numId w:val="144"/>
        </w:numPr>
        <w:rPr>
          <w:rFonts w:ascii="Times New Roman" w:hAnsi="Times New Roman" w:cs="Times New Roman" w:eastAsia="Times New Roman" w:hint="ascii"/>
          <w:sz w:val="21"/>
        </w:rPr>
      </w:pPr>
      <w:r>
        <w:rPr>
          <w:rFonts w:ascii="宋体" w:hAnsi="宋体" w:cs="宋体" w:eastAsia="宋体" w:hint="ascii"/>
          <w:sz w:val="21"/>
        </w:rPr>
        <w:t>共享单车的运营管理理论与方法（</w:t>
      </w:r>
      <w:r>
        <w:rPr>
          <w:rFonts w:ascii="Times New Roman" w:hAnsi="Times New Roman" w:cs="Times New Roman" w:eastAsia="Times New Roman" w:hint="ascii"/>
          <w:b w:val="1"/>
          <w:sz w:val="21"/>
        </w:rPr>
        <w:t>G0102</w:t>
      </w:r>
      <w:r>
        <w:rPr>
          <w:rFonts w:ascii="宋体" w:hAnsi="宋体" w:cs="宋体" w:eastAsia="宋体" w:hint="ascii"/>
          <w:sz w:val="21"/>
        </w:rPr>
        <w:t>、</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12</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主要研究城镇共享单车可持续发展的运营管理问题，发展基于中国共享单车运作实</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践的共享经</w:t>
      </w:r>
      <w:r>
        <w:rPr>
          <w:rFonts w:ascii="宋体" w:hAnsi="宋体" w:cs="宋体" w:eastAsia="宋体" w:hint="ascii"/>
          <w:sz w:val="21"/>
        </w:rPr>
        <w:t>济运营管理理论、方法与技术。主要内容：①共享单车的停放点设计与单车</w:t>
      </w:r>
      <w:r>
        <w:rPr>
          <w:rFonts w:ascii="宋体" w:hAnsi="宋体" w:cs="宋体" w:eastAsia="宋体" w:hint="ascii"/>
          <w:sz w:val="21"/>
          <w:spacing w:val="-1"/>
        </w:rPr>
        <w:t>转运决策等</w:t>
      </w:r>
      <w:r>
        <w:rPr>
          <w:rFonts w:ascii="宋体" w:hAnsi="宋体" w:cs="宋体" w:eastAsia="宋体" w:hint="ascii"/>
          <w:sz w:val="21"/>
        </w:rPr>
        <w:t>服务能力布局与动态优化；②基于服务定价和关联服务的商业模式与盈利模</w:t>
      </w:r>
      <w:r>
        <w:rPr>
          <w:rFonts w:ascii="宋体" w:hAnsi="宋体" w:cs="宋体" w:eastAsia="宋体" w:hint="ascii"/>
          <w:sz w:val="21"/>
          <w:spacing w:val="-1"/>
        </w:rPr>
        <w:t>式创新；③</w:t>
      </w:r>
      <w:r>
        <w:rPr>
          <w:rFonts w:ascii="宋体" w:hAnsi="宋体" w:cs="宋体" w:eastAsia="宋体" w:hint="ascii"/>
          <w:sz w:val="21"/>
        </w:rPr>
        <w:t>包含平台运营、供应商与客户关系管理、服务质量及废旧车处理等的共享单</w:t>
      </w:r>
      <w:r>
        <w:rPr>
          <w:rFonts w:ascii="宋体" w:hAnsi="宋体" w:cs="宋体" w:eastAsia="宋体" w:hint="ascii"/>
          <w:sz w:val="21"/>
          <w:spacing w:val="-1"/>
        </w:rPr>
        <w:t>车绿色服务</w:t>
      </w:r>
      <w:r>
        <w:rPr>
          <w:rFonts w:ascii="宋体" w:hAnsi="宋体" w:cs="宋体" w:eastAsia="宋体" w:hint="ascii"/>
          <w:sz w:val="21"/>
        </w:rPr>
        <w:t>生态建设方法与运营管理；④使用权与所有权分离导致客户行为外部性的影响及其可持续发展政策等。</w:t>
      </w:r>
    </w:p>
    <w:p>
      <w:pPr>
        <w:autoSpaceDE w:val="0"/>
        <w:autoSpaceDN w:val="0"/>
        <w:jc w:val="left"/>
        <w:spacing w:before="40" w:after="0" w:lineRule="auto" w:line="240"/>
        <w:ind w:right="0" w:left="1649" w:hanging="263"/>
        <w:snapToGrid w:val="0"/>
        <w:textAlignment w:val="auto"/>
        <w:tabs>
          <w:tab w:val="left" w:leader="none" w:pos="1648"/>
        </w:tabs>
        <w:numPr>
          <w:ilvl w:val="0"/>
          <w:numId w:val="144"/>
        </w:numPr>
        <w:rPr>
          <w:rFonts w:ascii="Times New Roman" w:hAnsi="Times New Roman" w:cs="Times New Roman" w:eastAsia="Times New Roman" w:hint="ascii"/>
          <w:sz w:val="21"/>
        </w:rPr>
      </w:pPr>
      <w:r>
        <w:rPr>
          <w:rFonts w:ascii="宋体" w:hAnsi="宋体" w:cs="宋体" w:eastAsia="宋体" w:hint="ascii"/>
          <w:sz w:val="21"/>
        </w:rPr>
        <w:t>在线广告模式与定价策略优化研究（</w:t>
      </w:r>
      <w:r>
        <w:rPr>
          <w:rFonts w:ascii="Times New Roman" w:hAnsi="Times New Roman" w:cs="Times New Roman" w:eastAsia="Times New Roman" w:hint="ascii"/>
          <w:b w:val="1"/>
          <w:sz w:val="21"/>
        </w:rPr>
        <w:t>G0102</w:t>
      </w:r>
      <w:r>
        <w:rPr>
          <w:rFonts w:ascii="宋体" w:hAnsi="宋体" w:cs="宋体" w:eastAsia="宋体" w:hint="ascii"/>
          <w:sz w:val="21"/>
        </w:rPr>
        <w:t>、</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14</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主要研究：①研究不同模式在线广告在商务应用过程中所涉及的理论和方法；②研</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究不同模式在</w:t>
      </w:r>
      <w:r>
        <w:rPr>
          <w:rFonts w:ascii="宋体" w:hAnsi="宋体" w:cs="宋体" w:eastAsia="宋体" w:hint="ascii"/>
          <w:sz w:val="21"/>
        </w:rPr>
        <w:t>线广告的用户接受度及消费者评价；③研究在线广告投放选择的模型与方</w:t>
      </w:r>
      <w:r>
        <w:rPr>
          <w:rFonts w:ascii="宋体" w:hAnsi="宋体" w:cs="宋体" w:eastAsia="宋体" w:hint="ascii"/>
          <w:sz w:val="21"/>
          <w:spacing w:val="-1"/>
        </w:rPr>
        <w:t>法；④从在线</w:t>
      </w:r>
      <w:r>
        <w:rPr>
          <w:rFonts w:ascii="宋体" w:hAnsi="宋体" w:cs="宋体" w:eastAsia="宋体" w:hint="ascii"/>
          <w:sz w:val="21"/>
        </w:rPr>
        <w:t>广告的广告主或广告商的角度，研究在线广告模式区别于传统广告模式的独特性规律；⑤研究在线广告的影响因素、定价策略及策略优化。</w:t>
      </w:r>
    </w:p>
    <w:p>
      <w:pPr>
        <w:autoSpaceDE w:val="0"/>
        <w:autoSpaceDN w:val="0"/>
        <w:jc w:val="left"/>
        <w:spacing w:before="40" w:after="0" w:lineRule="auto" w:line="240"/>
        <w:ind w:right="0" w:left="1649" w:hanging="263"/>
        <w:snapToGrid w:val="0"/>
        <w:textAlignment w:val="auto"/>
        <w:tabs>
          <w:tab w:val="left" w:leader="none" w:pos="1648"/>
        </w:tabs>
        <w:numPr>
          <w:ilvl w:val="0"/>
          <w:numId w:val="144"/>
        </w:numPr>
        <w:rPr>
          <w:rFonts w:ascii="Times New Roman" w:hAnsi="Times New Roman" w:cs="Times New Roman" w:eastAsia="Times New Roman" w:hint="ascii"/>
          <w:sz w:val="21"/>
        </w:rPr>
      </w:pPr>
      <w:r>
        <w:rPr>
          <w:rFonts w:ascii="宋体" w:hAnsi="宋体" w:cs="宋体" w:eastAsia="宋体" w:hint="ascii"/>
          <w:sz w:val="21"/>
        </w:rPr>
        <w:t>供应链网络设计的优化理论和方法（</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针对互联网环境下制造和服务供应链网络设计面临的新特征，主要研究：①具有一</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般费用函数的</w:t>
      </w:r>
      <w:r>
        <w:rPr>
          <w:rFonts w:ascii="宋体" w:hAnsi="宋体" w:cs="宋体" w:eastAsia="宋体" w:hint="ascii"/>
          <w:sz w:val="21"/>
        </w:rPr>
        <w:t>供应链网络设计的高性能计算；②考虑差异化服务的多级库存管理的大规</w:t>
      </w:r>
      <w:r>
        <w:rPr>
          <w:rFonts w:ascii="宋体" w:hAnsi="宋体" w:cs="宋体" w:eastAsia="宋体" w:hint="ascii"/>
          <w:sz w:val="21"/>
          <w:spacing w:val="-1"/>
        </w:rPr>
        <w:t>模配送供应链</w:t>
      </w:r>
      <w:r>
        <w:rPr>
          <w:rFonts w:ascii="宋体" w:hAnsi="宋体" w:cs="宋体" w:eastAsia="宋体" w:hint="ascii"/>
          <w:sz w:val="21"/>
        </w:rPr>
        <w:t>网络设计；③多源配送供应链网络优化设计；④大规模自贸区服务供应链网络设计优化算法。</w:t>
      </w:r>
    </w:p>
    <w:p>
      <w:pPr>
        <w:autoSpaceDE w:val="0"/>
        <w:autoSpaceDN w:val="0"/>
        <w:jc w:val="left"/>
        <w:spacing w:before="40" w:after="0" w:lineRule="auto" w:line="240"/>
        <w:ind w:right="0" w:left="1649" w:hanging="263"/>
        <w:snapToGrid w:val="0"/>
        <w:textAlignment w:val="auto"/>
        <w:tabs>
          <w:tab w:val="left" w:leader="none" w:pos="1648"/>
        </w:tabs>
        <w:numPr>
          <w:ilvl w:val="0"/>
          <w:numId w:val="144"/>
        </w:numPr>
        <w:rPr>
          <w:rFonts w:ascii="Times New Roman" w:hAnsi="Times New Roman" w:cs="Times New Roman" w:eastAsia="Times New Roman" w:hint="ascii"/>
          <w:sz w:val="21"/>
        </w:rPr>
      </w:pPr>
      <w:r>
        <w:rPr>
          <w:rFonts w:ascii="宋体" w:hAnsi="宋体" w:cs="宋体" w:eastAsia="宋体" w:hint="ascii"/>
          <w:sz w:val="21"/>
        </w:rPr>
        <w:t>大数据环境下的智能物流优化理论与方法（</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1"/>
        </w:rPr>
        <w:t>11</w:t>
      </w:r>
      <w:r>
        <w:rPr>
          <w:rFonts w:ascii="Times New Roman" w:hAnsi="Times New Roman" w:cs="Times New Roman" w:eastAsia="Times New Roman" w:hint="ascii"/>
          <w:b w:val="1"/>
          <w:sz w:val="21"/>
        </w:rPr>
        <w:t>1</w:t>
      </w:r>
      <w:r>
        <w:rPr>
          <w:rFonts w:ascii="宋体" w:hAnsi="宋体" w:cs="宋体" w:eastAsia="宋体" w:hint="ascii"/>
          <w:sz w:val="21"/>
        </w:rPr>
        <w:t>、</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14</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以流程工业企业或离散制造企业或平台型企业为研究对象，重点研究大数据环境下</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的智能物流的</w:t>
      </w:r>
      <w:r>
        <w:rPr>
          <w:rFonts w:ascii="宋体" w:hAnsi="宋体" w:cs="宋体" w:eastAsia="宋体" w:hint="ascii"/>
          <w:sz w:val="21"/>
        </w:rPr>
        <w:t>关键问题，主要包括：①大数据环境下的物流需求预测理论与方法；②基</w:t>
      </w:r>
      <w:r>
        <w:rPr>
          <w:rFonts w:ascii="宋体" w:hAnsi="宋体" w:cs="宋体" w:eastAsia="宋体" w:hint="ascii"/>
          <w:sz w:val="21"/>
          <w:spacing w:val="-1"/>
        </w:rPr>
        <w:t>于消费者（或</w:t>
      </w:r>
      <w:r>
        <w:rPr>
          <w:rFonts w:ascii="宋体" w:hAnsi="宋体" w:cs="宋体" w:eastAsia="宋体" w:hint="ascii"/>
          <w:sz w:val="21"/>
        </w:rPr>
        <w:t>客户）行为的主动物流服务配送方法；③基于在线学习的仓储决策理论与方法；④实时数据驱动的在线运输能力配置和路径优化等。</w:t>
      </w:r>
    </w:p>
    <w:p>
      <w:pPr>
        <w:autoSpaceDE w:val="0"/>
        <w:autoSpaceDN w:val="0"/>
        <w:jc w:val="left"/>
        <w:spacing w:before="27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683" w:hanging="263"/>
        <w:snapToGrid w:val="0"/>
        <w:textAlignment w:val="auto"/>
        <w:tabs>
          <w:tab w:val="left" w:leader="none" w:pos="683"/>
        </w:tabs>
        <w:numPr>
          <w:ilvl w:val="0"/>
          <w:numId w:val="144"/>
        </w:numPr>
        <w:rPr>
          <w:rFonts w:ascii="Times New Roman" w:hAnsi="Times New Roman" w:cs="Times New Roman" w:eastAsia="Times New Roman" w:hint="ascii"/>
          <w:sz w:val="21"/>
        </w:rPr>
      </w:pPr>
      <w:r>
        <w:rPr>
          <w:rFonts w:ascii="宋体" w:hAnsi="宋体" w:cs="宋体" w:eastAsia="宋体" w:hint="ascii"/>
          <w:sz w:val="21"/>
        </w:rPr>
        <w:t>物联网环境下的服务开发与设计优化研究（</w:t>
      </w:r>
      <w:r>
        <w:rPr>
          <w:rFonts w:ascii="Times New Roman" w:hAnsi="Times New Roman" w:cs="Times New Roman" w:eastAsia="Times New Roman" w:hint="ascii"/>
          <w:b w:val="1"/>
          <w:sz w:val="21"/>
        </w:rPr>
        <w:t>G0102</w:t>
      </w:r>
      <w:r>
        <w:rPr>
          <w:rFonts w:ascii="宋体" w:hAnsi="宋体" w:cs="宋体" w:eastAsia="宋体" w:hint="ascii"/>
          <w:sz w:val="21"/>
        </w:rPr>
        <w:t>、</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12</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72" locked="0" layoutInCell="1" allowOverlap="1">
                <wp:simplePos x="0" y="0"/>
                <wp:positionH relativeFrom="page">
                  <wp:posOffset>938530</wp:posOffset>
                </wp:positionH>
                <wp:positionV relativeFrom="page">
                  <wp:posOffset>805815</wp:posOffset>
                </wp:positionV>
                <wp:extent cx="5076190" cy="0"/>
                <wp:wrapNone/>
                <wp:docPr id="1201" name="120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82112;width:399.70pt;" id="120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71"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针对物联网中高效服务问题，主要研究：①研究物联网环境下的服务模式及流程创</w:t>
      </w:r>
    </w:p>
    <w:p>
      <w:pPr>
        <w:autoSpaceDE w:val="0"/>
        <w:autoSpaceDN w:val="0"/>
        <w:jc w:val="both"/>
        <w:spacing w:before="13" w:after="0" w:lineRule="exact" w:line="330"/>
        <w:ind w:right="974" w:left="0" w:firstLine="0"/>
        <w:snapToGrid w:val="0"/>
        <w:textAlignment w:val="auto"/>
        <w:tabs/>
        <w:rPr>
          <w:rFonts w:ascii="宋体" w:hAnsi="宋体" w:cs="宋体" w:eastAsia="宋体" w:hint="ascii"/>
          <w:sz w:val="21"/>
        </w:rPr>
      </w:pPr>
      <w:r>
        <w:rPr>
          <w:rFonts w:ascii="宋体" w:hAnsi="宋体" w:cs="宋体" w:eastAsia="宋体" w:hint="ascii"/>
          <w:sz w:val="21"/>
          <w:spacing w:val="-1"/>
        </w:rPr>
        <w:t>新机制</w:t>
      </w:r>
      <w:r>
        <w:rPr>
          <w:rFonts w:ascii="宋体" w:hAnsi="宋体" w:cs="宋体" w:eastAsia="宋体" w:hint="ascii"/>
          <w:sz w:val="21"/>
        </w:rPr>
        <w:t>；②物联网环境下的服务流程设计与优化方法；③面向物联网平台的服务模块化</w:t>
      </w:r>
      <w:r>
        <w:rPr>
          <w:rFonts w:ascii="宋体" w:hAnsi="宋体" w:cs="宋体" w:eastAsia="宋体" w:hint="ascii"/>
          <w:sz w:val="21"/>
          <w:spacing w:val="-1"/>
        </w:rPr>
        <w:t>设计及</w:t>
      </w:r>
      <w:r>
        <w:rPr>
          <w:rFonts w:ascii="宋体" w:hAnsi="宋体" w:cs="宋体" w:eastAsia="宋体" w:hint="ascii"/>
          <w:sz w:val="21"/>
        </w:rPr>
        <w:t>服务组合优化；④物联网环境下大规模个性化需求定制服务外包设计及定价决策方法；⑤物联网大数据驱动的服务质量设计、评价方法和持续改进机制。</w:t>
      </w:r>
    </w:p>
    <w:p>
      <w:pPr>
        <w:autoSpaceDE w:val="0"/>
        <w:autoSpaceDN w:val="0"/>
        <w:jc w:val="left"/>
        <w:spacing w:before="54"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8.</w:t>
      </w:r>
      <w:r>
        <w:rPr>
          <w:rFonts w:ascii="Times New Roman" w:hAnsi="Times New Roman" w:cs="Times New Roman" w:eastAsia="Times New Roman" w:hint="ascii"/>
          <w:b w:val="1"/>
          <w:sz w:val="21"/>
          <w:spacing w:val="1"/>
        </w:rPr>
        <w:t xml:space="preserve"> </w:t>
      </w:r>
      <w:r>
        <w:rPr>
          <w:rFonts w:ascii="Times New Roman" w:hAnsi="Times New Roman" w:cs="Times New Roman" w:eastAsia="Times New Roman" w:hint="ascii"/>
          <w:b w:val="1"/>
          <w:sz w:val="21"/>
        </w:rPr>
        <w:t>O2</w:t>
      </w:r>
      <w:r>
        <w:rPr>
          <w:rFonts w:ascii="Times New Roman" w:hAnsi="Times New Roman" w:cs="Times New Roman" w:eastAsia="Times New Roman" w:hint="ascii"/>
          <w:b w:val="1"/>
          <w:sz w:val="21"/>
          <w:spacing w:val="51"/>
        </w:rPr>
        <w:t>O</w:t>
      </w:r>
      <w:r>
        <w:rPr>
          <w:rFonts w:ascii="宋体" w:hAnsi="宋体" w:cs="宋体" w:eastAsia="宋体" w:hint="ascii"/>
          <w:sz w:val="21"/>
        </w:rPr>
        <w:t>模式下即时配送服务运作管理的理论与方法（</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12</w:t>
      </w:r>
      <w:r>
        <w:rPr>
          <w:rFonts w:ascii="宋体" w:hAnsi="宋体" w:cs="宋体" w:eastAsia="宋体" w:hint="ascii"/>
          <w:sz w:val="21"/>
        </w:rPr>
        <w:t>）</w:t>
      </w:r>
    </w:p>
    <w:p>
      <w:pPr>
        <w:autoSpaceDE w:val="0"/>
        <w:autoSpaceDN w:val="0"/>
        <w:jc w:val="left"/>
        <w:spacing w:before="75"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以中小型</w:t>
      </w:r>
      <w:r>
        <w:rPr>
          <w:rFonts w:ascii="宋体" w:hAnsi="宋体" w:cs="宋体" w:eastAsia="宋体" w:hint="ascii"/>
          <w:sz w:val="21"/>
          <w:spacing w:val="-23"/>
        </w:rPr>
        <w:t xml:space="preserve"> </w:t>
      </w:r>
      <w:r>
        <w:rPr>
          <w:rFonts w:ascii="Times New Roman" w:hAnsi="Times New Roman" w:cs="Times New Roman" w:eastAsia="Times New Roman" w:hint="ascii"/>
          <w:sz w:val="21"/>
        </w:rPr>
        <w:t>O2O</w:t>
      </w:r>
      <w:r>
        <w:rPr>
          <w:rFonts w:ascii="Times New Roman" w:hAnsi="Times New Roman" w:cs="Times New Roman" w:eastAsia="Times New Roman" w:hint="ascii"/>
          <w:sz w:val="21"/>
          <w:spacing w:val="-23"/>
        </w:rPr>
        <w:t xml:space="preserve"> </w:t>
      </w:r>
      <w:r>
        <w:rPr>
          <w:rFonts w:ascii="宋体" w:hAnsi="宋体" w:cs="宋体" w:eastAsia="宋体" w:hint="ascii"/>
          <w:sz w:val="21"/>
        </w:rPr>
        <w:t>平台企业为研究对象，重点研究</w:t>
      </w:r>
      <w:r>
        <w:rPr>
          <w:rFonts w:ascii="宋体" w:hAnsi="宋体" w:cs="宋体" w:eastAsia="宋体" w:hint="ascii"/>
          <w:sz w:val="21"/>
          <w:spacing w:val="-23"/>
        </w:rPr>
        <w:t xml:space="preserve"> </w:t>
      </w:r>
      <w:r>
        <w:rPr>
          <w:rFonts w:ascii="Times New Roman" w:hAnsi="Times New Roman" w:cs="Times New Roman" w:eastAsia="Times New Roman" w:hint="ascii"/>
          <w:sz w:val="21"/>
        </w:rPr>
        <w:t>O2O</w:t>
      </w:r>
      <w:r>
        <w:rPr>
          <w:rFonts w:ascii="Times New Roman" w:hAnsi="Times New Roman" w:cs="Times New Roman" w:eastAsia="Times New Roman" w:hint="ascii"/>
          <w:sz w:val="21"/>
          <w:spacing w:val="-23"/>
        </w:rPr>
        <w:t xml:space="preserve"> </w:t>
      </w:r>
      <w:r>
        <w:rPr>
          <w:rFonts w:ascii="宋体" w:hAnsi="宋体" w:cs="宋体" w:eastAsia="宋体" w:hint="ascii"/>
          <w:sz w:val="21"/>
        </w:rPr>
        <w:t>模式下即时配送服务运作管理</w:t>
      </w:r>
    </w:p>
    <w:p>
      <w:pPr>
        <w:autoSpaceDE w:val="0"/>
        <w:autoSpaceDN w:val="0"/>
        <w:jc w:val="both"/>
        <w:spacing w:before="13" w:after="0" w:lineRule="exact" w:line="330"/>
        <w:ind w:right="974" w:left="0" w:firstLine="0"/>
        <w:snapToGrid w:val="0"/>
        <w:textAlignment w:val="auto"/>
        <w:tabs/>
        <w:rPr>
          <w:rFonts w:ascii="宋体" w:hAnsi="宋体" w:cs="宋体" w:eastAsia="宋体" w:hint="ascii"/>
          <w:sz w:val="21"/>
        </w:rPr>
      </w:pPr>
      <w:r>
        <w:rPr>
          <w:rFonts w:ascii="宋体" w:hAnsi="宋体" w:cs="宋体" w:eastAsia="宋体" w:hint="ascii"/>
          <w:sz w:val="21"/>
          <w:spacing w:val="-1"/>
        </w:rPr>
        <w:t>的关键</w:t>
      </w:r>
      <w:r>
        <w:rPr>
          <w:rFonts w:ascii="宋体" w:hAnsi="宋体" w:cs="宋体" w:eastAsia="宋体" w:hint="ascii"/>
          <w:sz w:val="21"/>
        </w:rPr>
        <w:t>问题，具体包括：①数据驱动的顾客需求预测分析；②即时配送服务的服务质量</w:t>
      </w:r>
      <w:r>
        <w:rPr>
          <w:rFonts w:ascii="宋体" w:hAnsi="宋体" w:cs="宋体" w:eastAsia="宋体" w:hint="ascii"/>
          <w:sz w:val="21"/>
          <w:spacing w:val="-1"/>
        </w:rPr>
        <w:t>设计；</w:t>
      </w:r>
      <w:r>
        <w:rPr>
          <w:rFonts w:ascii="宋体" w:hAnsi="宋体" w:cs="宋体" w:eastAsia="宋体" w:hint="ascii"/>
          <w:sz w:val="21"/>
        </w:rPr>
        <w:t>③服务资源的能力配置与规划；④服务过程的运作优化与调度；⑤数据驱动的商业与服务模式的策略选择及案例研究。</w:t>
      </w:r>
    </w:p>
    <w:p>
      <w:pPr>
        <w:autoSpaceDE w:val="0"/>
        <w:autoSpaceDN w:val="0"/>
        <w:jc w:val="left"/>
        <w:spacing w:before="54" w:after="0" w:lineRule="auto" w:line="240"/>
        <w:ind w:right="0" w:left="683" w:hanging="105"/>
        <w:snapToGrid w:val="0"/>
        <w:textAlignment w:val="auto"/>
        <w:tabs>
          <w:tab w:val="left" w:leader="none" w:pos="683"/>
        </w:tabs>
        <w:numPr>
          <w:ilvl w:val="0"/>
          <w:numId w:val="145"/>
        </w:numPr>
        <w:rPr>
          <w:rFonts w:ascii="Times New Roman" w:hAnsi="Times New Roman" w:cs="Times New Roman" w:eastAsia="Times New Roman" w:hint="ascii"/>
          <w:sz w:val="21"/>
        </w:rPr>
      </w:pPr>
      <w:r>
        <w:rPr>
          <w:rFonts w:ascii="宋体" w:hAnsi="宋体" w:cs="宋体" w:eastAsia="宋体" w:hint="ascii"/>
          <w:sz w:val="21"/>
        </w:rPr>
        <w:t>基于社交媒体的信息产品设计优化理论与方法（</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14</w:t>
      </w:r>
      <w:r>
        <w:rPr>
          <w:rFonts w:ascii="宋体" w:hAnsi="宋体" w:cs="宋体" w:eastAsia="宋体" w:hint="ascii"/>
          <w:sz w:val="21"/>
        </w:rPr>
        <w:t>、</w:t>
      </w:r>
      <w:r>
        <w:rPr>
          <w:rFonts w:ascii="Times New Roman" w:hAnsi="Times New Roman" w:cs="Times New Roman" w:eastAsia="Times New Roman" w:hint="ascii"/>
          <w:b w:val="1"/>
          <w:sz w:val="21"/>
        </w:rPr>
        <w:t>G0</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10</w:t>
      </w:r>
      <w:r>
        <w:rPr>
          <w:rFonts w:ascii="宋体" w:hAnsi="宋体" w:cs="宋体" w:eastAsia="宋体" w:hint="ascii"/>
          <w:sz w:val="21"/>
        </w:rPr>
        <w:t>）</w:t>
      </w:r>
    </w:p>
    <w:p>
      <w:pPr>
        <w:autoSpaceDE w:val="0"/>
        <w:autoSpaceDN w:val="0"/>
        <w:jc w:val="both"/>
        <w:spacing w:before="21" w:after="0" w:lineRule="exact" w:line="330"/>
        <w:ind w:right="974" w:left="0" w:firstLine="420"/>
        <w:snapToGrid w:val="0"/>
        <w:textAlignment w:val="auto"/>
        <w:tabs/>
        <w:rPr>
          <w:rFonts w:ascii="宋体" w:hAnsi="宋体" w:cs="宋体" w:eastAsia="宋体" w:hint="ascii"/>
          <w:sz w:val="21"/>
        </w:rPr>
      </w:pPr>
      <w:r>
        <w:rPr>
          <w:rFonts w:ascii="宋体" w:hAnsi="宋体" w:cs="宋体" w:eastAsia="宋体" w:hint="ascii"/>
          <w:sz w:val="21"/>
        </w:rPr>
        <w:t>信息产品是实现某种功能的信息传递载体和人机信息交流界面，基于社交媒体</w:t>
      </w:r>
      <w:r>
        <w:rPr>
          <w:rFonts w:ascii="宋体" w:hAnsi="宋体" w:cs="宋体" w:eastAsia="宋体" w:hint="ascii"/>
          <w:sz w:val="21"/>
          <w:spacing w:val="-6"/>
        </w:rPr>
        <w:t>环</w:t>
      </w:r>
      <w:r>
        <w:rPr>
          <w:rFonts w:ascii="宋体" w:hAnsi="宋体" w:cs="宋体" w:eastAsia="宋体" w:hint="ascii"/>
          <w:sz w:val="21"/>
        </w:rPr>
        <w:t xml:space="preserve"> </w:t>
      </w:r>
      <w:r>
        <w:rPr>
          <w:rFonts w:ascii="宋体" w:hAnsi="宋体" w:cs="宋体" w:eastAsia="宋体" w:hint="ascii"/>
          <w:sz w:val="21"/>
          <w:spacing w:val="-1"/>
        </w:rPr>
        <w:t>境，主</w:t>
      </w:r>
      <w:r>
        <w:rPr>
          <w:rFonts w:ascii="宋体" w:hAnsi="宋体" w:cs="宋体" w:eastAsia="宋体" w:hint="ascii"/>
          <w:sz w:val="21"/>
        </w:rPr>
        <w:t>要研究：①信息产品和服务的消费行为与需求分析；②信息产品设计指标体系；</w:t>
      </w:r>
      <w:r>
        <w:rPr>
          <w:rFonts w:ascii="宋体" w:hAnsi="宋体" w:cs="宋体" w:eastAsia="宋体" w:hint="ascii"/>
          <w:sz w:val="21"/>
          <w:spacing w:val="-1"/>
        </w:rPr>
        <w:t>③信息</w:t>
      </w:r>
      <w:r>
        <w:rPr>
          <w:rFonts w:ascii="宋体" w:hAnsi="宋体" w:cs="宋体" w:eastAsia="宋体" w:hint="ascii"/>
          <w:sz w:val="21"/>
        </w:rPr>
        <w:t>产品设计的特征分析、优化模型与算法；④信息产品更新与多功能信息产品集成</w:t>
      </w:r>
      <w:r>
        <w:rPr>
          <w:rFonts w:ascii="宋体" w:hAnsi="宋体" w:cs="宋体" w:eastAsia="宋体" w:hint="ascii"/>
          <w:sz w:val="21"/>
          <w:spacing w:val="-1"/>
        </w:rPr>
        <w:t>设计优</w:t>
      </w:r>
      <w:r>
        <w:rPr>
          <w:rFonts w:ascii="宋体" w:hAnsi="宋体" w:cs="宋体" w:eastAsia="宋体" w:hint="ascii"/>
          <w:sz w:val="21"/>
        </w:rPr>
        <w:t>化方法及对信息产品负面影响的控制技术；⑤信息产品定价策略与竞争性商业模式设计，以及信息产品设计与运营模式对社会福利的影响。</w:t>
      </w:r>
    </w:p>
    <w:p>
      <w:pPr>
        <w:autoSpaceDE w:val="0"/>
        <w:autoSpaceDN w:val="0"/>
        <w:jc w:val="left"/>
        <w:spacing w:before="50" w:after="0" w:lineRule="auto" w:line="240"/>
        <w:ind w:right="0" w:left="789" w:hanging="105"/>
        <w:snapToGrid w:val="0"/>
        <w:textAlignment w:val="auto"/>
        <w:tabs>
          <w:tab w:val="left" w:leader="none" w:pos="787"/>
        </w:tabs>
        <w:numPr>
          <w:ilvl w:val="0"/>
          <w:numId w:val="141"/>
        </w:numPr>
        <w:rPr>
          <w:rFonts w:ascii="Times New Roman" w:hAnsi="Times New Roman" w:cs="Times New Roman" w:eastAsia="Times New Roman" w:hint="ascii"/>
          <w:sz w:val="21"/>
          <w:spacing w:val="1"/>
        </w:rPr>
      </w:pPr>
      <w:r>
        <w:rPr>
          <w:rFonts w:ascii="宋体" w:hAnsi="宋体" w:cs="宋体" w:eastAsia="宋体" w:hint="ascii"/>
          <w:sz w:val="21"/>
        </w:rPr>
        <w:t>智能制造时代的企业战略管理理论研究（</w:t>
      </w:r>
      <w:r>
        <w:rPr>
          <w:rFonts w:ascii="Times New Roman" w:hAnsi="Times New Roman" w:cs="Times New Roman" w:eastAsia="Times New Roman" w:hint="ascii"/>
          <w:b w:val="1"/>
          <w:sz w:val="21"/>
        </w:rPr>
        <w:t>G0201</w:t>
      </w:r>
      <w:r>
        <w:rPr>
          <w:rFonts w:ascii="宋体" w:hAnsi="宋体" w:cs="宋体" w:eastAsia="宋体" w:hint="ascii"/>
          <w:sz w:val="21"/>
        </w:rPr>
        <w:t>）</w:t>
      </w:r>
    </w:p>
    <w:p>
      <w:pPr>
        <w:autoSpaceDE w:val="0"/>
        <w:autoSpaceDN w:val="0"/>
        <w:jc w:val="both"/>
        <w:spacing w:before="19" w:after="0" w:lineRule="exact" w:line="336"/>
        <w:ind w:right="974" w:left="0" w:firstLine="420"/>
        <w:snapToGrid w:val="0"/>
        <w:textAlignment w:val="auto"/>
        <w:tabs/>
        <w:rPr>
          <w:rFonts w:ascii="宋体" w:hAnsi="宋体" w:cs="宋体" w:eastAsia="宋体" w:hint="ascii"/>
          <w:sz w:val="21"/>
        </w:rPr>
      </w:pPr>
      <w:r>
        <w:rPr>
          <w:rFonts w:ascii="宋体" w:hAnsi="宋体" w:cs="宋体" w:eastAsia="宋体" w:hint="ascii"/>
          <w:sz w:val="21"/>
        </w:rPr>
        <w:t>聚焦智能制造与互联网深度融合的环境下，针对战略管理实践所面临的路径、</w:t>
      </w:r>
      <w:r>
        <w:rPr>
          <w:rFonts w:ascii="宋体" w:hAnsi="宋体" w:cs="宋体" w:eastAsia="宋体" w:hint="ascii"/>
          <w:sz w:val="21"/>
          <w:spacing w:val="-6"/>
        </w:rPr>
        <w:t>选</w:t>
      </w:r>
      <w:r>
        <w:rPr>
          <w:rFonts w:ascii="宋体" w:hAnsi="宋体" w:cs="宋体" w:eastAsia="宋体" w:hint="ascii"/>
          <w:sz w:val="21"/>
        </w:rPr>
        <w:t xml:space="preserve"> </w:t>
      </w:r>
      <w:r>
        <w:rPr>
          <w:rFonts w:ascii="宋体" w:hAnsi="宋体" w:cs="宋体" w:eastAsia="宋体" w:hint="ascii"/>
          <w:sz w:val="21"/>
          <w:spacing w:val="-1"/>
        </w:rPr>
        <w:t>择、组</w:t>
      </w:r>
      <w:r>
        <w:rPr>
          <w:rFonts w:ascii="宋体" w:hAnsi="宋体" w:cs="宋体" w:eastAsia="宋体" w:hint="ascii"/>
          <w:sz w:val="21"/>
        </w:rPr>
        <w:t>织方式等关键科学问题，探讨我国企业如何依靠战略管理能力提升，加快企业转</w:t>
      </w:r>
      <w:r>
        <w:rPr>
          <w:rFonts w:ascii="宋体" w:hAnsi="宋体" w:cs="宋体" w:eastAsia="宋体" w:hint="ascii"/>
          <w:sz w:val="21"/>
          <w:spacing w:val="-1"/>
        </w:rPr>
        <w:t>型升级</w:t>
      </w:r>
      <w:r>
        <w:rPr>
          <w:rFonts w:ascii="宋体" w:hAnsi="宋体" w:cs="宋体" w:eastAsia="宋体" w:hint="ascii"/>
          <w:sz w:val="21"/>
        </w:rPr>
        <w:t>，推动产业创新，在“一带一路”乃至于全球化新格局中发挥更强的竞争优势。</w:t>
      </w:r>
      <w:r>
        <w:rPr>
          <w:rFonts w:ascii="宋体" w:hAnsi="宋体" w:cs="宋体" w:eastAsia="宋体" w:hint="ascii"/>
          <w:sz w:val="21"/>
          <w:spacing w:val="-1"/>
        </w:rPr>
        <w:t>关键科</w:t>
      </w:r>
      <w:r>
        <w:rPr>
          <w:rFonts w:ascii="宋体" w:hAnsi="宋体" w:cs="宋体" w:eastAsia="宋体" w:hint="ascii"/>
          <w:sz w:val="21"/>
        </w:rPr>
        <w:t>学问题：智能制造条件下企业价值网络的重构，智能制造时代的企业竞争力的构</w:t>
      </w:r>
      <w:r>
        <w:rPr>
          <w:rFonts w:ascii="宋体" w:hAnsi="宋体" w:cs="宋体" w:eastAsia="宋体" w:hint="ascii"/>
          <w:sz w:val="21"/>
          <w:spacing w:val="-1"/>
        </w:rPr>
        <w:t>成与构</w:t>
      </w:r>
      <w:r>
        <w:rPr>
          <w:rFonts w:ascii="宋体" w:hAnsi="宋体" w:cs="宋体" w:eastAsia="宋体" w:hint="ascii"/>
          <w:sz w:val="21"/>
        </w:rPr>
        <w:t>建机制，支撑中国制造业企业战略升级的生态系统特征、竞合战略、治理机制及</w:t>
      </w:r>
      <w:r>
        <w:rPr>
          <w:rFonts w:ascii="宋体" w:hAnsi="宋体" w:cs="宋体" w:eastAsia="宋体" w:hint="ascii"/>
          <w:sz w:val="21"/>
          <w:spacing w:val="-1"/>
        </w:rPr>
        <w:t>其对企</w:t>
      </w:r>
      <w:r>
        <w:rPr>
          <w:rFonts w:ascii="宋体" w:hAnsi="宋体" w:cs="宋体" w:eastAsia="宋体" w:hint="ascii"/>
          <w:sz w:val="21"/>
        </w:rPr>
        <w:t>业竞争优势的影响，不同产权类型的制造业企业特别是国有企业面向智能制造的战略升级路径与模式选择研究。</w:t>
      </w:r>
    </w:p>
    <w:p>
      <w:pPr>
        <w:autoSpaceDE w:val="0"/>
        <w:autoSpaceDN w:val="0"/>
        <w:jc w:val="left"/>
        <w:spacing w:before="59"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基于大数据融合的商务智能系统构建（</w:t>
      </w:r>
      <w:r>
        <w:rPr>
          <w:rFonts w:ascii="Times New Roman" w:hAnsi="Times New Roman" w:cs="Times New Roman" w:eastAsia="Times New Roman" w:hint="ascii"/>
          <w:b w:val="1"/>
          <w:sz w:val="21"/>
        </w:rPr>
        <w:t>G0209</w:t>
      </w:r>
      <w:r>
        <w:rPr>
          <w:rFonts w:ascii="宋体" w:hAnsi="宋体" w:cs="宋体" w:eastAsia="宋体" w:hint="ascii"/>
          <w:sz w:val="21"/>
        </w:rPr>
        <w:t>、</w:t>
      </w:r>
      <w:r>
        <w:rPr>
          <w:rFonts w:ascii="Times New Roman" w:hAnsi="Times New Roman" w:cs="Times New Roman" w:eastAsia="Times New Roman" w:hint="ascii"/>
          <w:b w:val="1"/>
          <w:sz w:val="21"/>
        </w:rPr>
        <w:t>G0210</w:t>
      </w:r>
      <w:r>
        <w:rPr>
          <w:rFonts w:ascii="宋体" w:hAnsi="宋体" w:cs="宋体" w:eastAsia="宋体" w:hint="ascii"/>
          <w:sz w:val="21"/>
        </w:rPr>
        <w:t>）</w:t>
      </w:r>
    </w:p>
    <w:p>
      <w:pPr>
        <w:autoSpaceDE w:val="0"/>
        <w:autoSpaceDN w:val="0"/>
        <w:jc w:val="both"/>
        <w:spacing w:before="22" w:after="0" w:lineRule="exact" w:line="336"/>
        <w:ind w:right="974" w:left="0" w:firstLine="420"/>
        <w:snapToGrid w:val="0"/>
        <w:textAlignment w:val="auto"/>
        <w:tabs/>
        <w:rPr>
          <w:rFonts w:ascii="宋体" w:hAnsi="宋体" w:cs="宋体" w:eastAsia="宋体" w:hint="ascii"/>
          <w:sz w:val="21"/>
        </w:rPr>
      </w:pPr>
      <w:r>
        <w:rPr>
          <w:rFonts w:ascii="宋体" w:hAnsi="宋体" w:cs="宋体" w:eastAsia="宋体" w:hint="ascii"/>
          <w:sz w:val="21"/>
          <w:spacing w:val="-2"/>
        </w:rPr>
        <w:t>基于市场、企业、用户商务大数据融合，重点</w:t>
      </w:r>
      <w:r>
        <w:rPr>
          <w:rFonts w:ascii="宋体" w:hAnsi="宋体" w:cs="宋体" w:eastAsia="宋体" w:hint="ascii"/>
          <w:sz w:val="21"/>
          <w:spacing w:val="-1"/>
        </w:rPr>
        <w:t>探究构建商务智能系统的关键科学问</w:t>
      </w:r>
      <w:r>
        <w:rPr>
          <w:rFonts w:ascii="宋体" w:hAnsi="宋体" w:cs="宋体" w:eastAsia="宋体" w:hint="ascii"/>
          <w:sz w:val="21"/>
        </w:rPr>
        <w:t xml:space="preserve"> </w:t>
      </w:r>
      <w:r>
        <w:rPr>
          <w:rFonts w:ascii="宋体" w:hAnsi="宋体" w:cs="宋体" w:eastAsia="宋体" w:hint="ascii"/>
          <w:sz w:val="21"/>
          <w:spacing w:val="-1"/>
        </w:rPr>
        <w:t>题，构</w:t>
      </w:r>
      <w:r>
        <w:rPr>
          <w:rFonts w:ascii="宋体" w:hAnsi="宋体" w:cs="宋体" w:eastAsia="宋体" w:hint="ascii"/>
          <w:sz w:val="21"/>
        </w:rPr>
        <w:t>建基于新型商务智能的企业信息系统和核心竞争力。关键科学问题：基于大数据</w:t>
      </w:r>
      <w:r>
        <w:rPr>
          <w:rFonts w:ascii="宋体" w:hAnsi="宋体" w:cs="宋体" w:eastAsia="宋体" w:hint="ascii"/>
          <w:sz w:val="21"/>
          <w:spacing w:val="-1"/>
        </w:rPr>
        <w:t>融合的</w:t>
      </w:r>
      <w:r>
        <w:rPr>
          <w:rFonts w:ascii="宋体" w:hAnsi="宋体" w:cs="宋体" w:eastAsia="宋体" w:hint="ascii"/>
          <w:sz w:val="21"/>
        </w:rPr>
        <w:t>商务智能分析方法，融合商务大数据的关键技术与商务知识表达模型，新型商务智能的业务模式设计，以及商务智能系统要求的运营与管理变革。</w:t>
      </w:r>
    </w:p>
    <w:p>
      <w:pPr>
        <w:autoSpaceDE w:val="0"/>
        <w:autoSpaceDN w:val="0"/>
        <w:jc w:val="left"/>
        <w:spacing w:before="59" w:after="0" w:lineRule="auto" w:line="240"/>
        <w:ind w:right="0" w:left="787" w:hanging="367"/>
        <w:snapToGrid w:val="0"/>
        <w:textAlignment w:val="auto"/>
        <w:tabs>
          <w:tab w:val="left" w:leader="none" w:pos="787"/>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中国企业国际化与制度演进的机理与策略研究（</w:t>
      </w:r>
      <w:r>
        <w:rPr>
          <w:rFonts w:ascii="Times New Roman" w:hAnsi="Times New Roman" w:cs="Times New Roman" w:eastAsia="Times New Roman" w:hint="ascii"/>
          <w:b w:val="1"/>
          <w:sz w:val="21"/>
        </w:rPr>
        <w:t>G0214</w:t>
      </w:r>
      <w:r>
        <w:rPr>
          <w:rFonts w:ascii="宋体" w:hAnsi="宋体" w:cs="宋体" w:eastAsia="宋体" w:hint="ascii"/>
          <w:sz w:val="21"/>
        </w:rPr>
        <w:t>）</w:t>
      </w:r>
    </w:p>
    <w:p>
      <w:pPr>
        <w:autoSpaceDE w:val="0"/>
        <w:autoSpaceDN w:val="0"/>
        <w:jc w:val="both"/>
        <w:spacing w:before="22" w:after="0" w:lineRule="exact" w:line="336"/>
        <w:ind w:right="974" w:left="0" w:firstLine="420"/>
        <w:snapToGrid w:val="0"/>
        <w:textAlignment w:val="auto"/>
        <w:tabs/>
        <w:rPr>
          <w:rFonts w:ascii="宋体" w:hAnsi="宋体" w:cs="宋体" w:eastAsia="宋体" w:hint="ascii"/>
          <w:sz w:val="21"/>
        </w:rPr>
      </w:pPr>
      <w:r>
        <w:rPr>
          <w:rFonts w:ascii="宋体" w:hAnsi="宋体" w:cs="宋体" w:eastAsia="宋体" w:hint="ascii"/>
          <w:sz w:val="21"/>
        </w:rPr>
        <w:t>在“</w:t>
      </w:r>
      <w:r>
        <w:rPr>
          <w:rFonts w:ascii="宋体" w:hAnsi="宋体" w:cs="宋体" w:eastAsia="宋体" w:hint="ascii"/>
          <w:sz w:val="21"/>
          <w:spacing w:val="-1"/>
        </w:rPr>
        <w:t>一</w:t>
      </w:r>
      <w:r>
        <w:rPr>
          <w:rFonts w:ascii="宋体" w:hAnsi="宋体" w:cs="宋体" w:eastAsia="宋体" w:hint="ascii"/>
          <w:sz w:val="21"/>
        </w:rPr>
        <w:t>带</w:t>
      </w:r>
      <w:r>
        <w:rPr>
          <w:rFonts w:ascii="宋体" w:hAnsi="宋体" w:cs="宋体" w:eastAsia="宋体" w:hint="ascii"/>
          <w:sz w:val="21"/>
          <w:spacing w:val="-1"/>
        </w:rPr>
        <w:t>一</w:t>
      </w:r>
      <w:r>
        <w:rPr>
          <w:rFonts w:ascii="宋体" w:hAnsi="宋体" w:cs="宋体" w:eastAsia="宋体" w:hint="ascii"/>
          <w:sz w:val="21"/>
        </w:rPr>
        <w:t>路”</w:t>
      </w:r>
      <w:r>
        <w:rPr>
          <w:rFonts w:ascii="宋体" w:hAnsi="宋体" w:cs="宋体" w:eastAsia="宋体" w:hint="ascii"/>
          <w:sz w:val="21"/>
          <w:spacing w:val="-1"/>
        </w:rPr>
        <w:t>背</w:t>
      </w:r>
      <w:r>
        <w:rPr>
          <w:rFonts w:ascii="宋体" w:hAnsi="宋体" w:cs="宋体" w:eastAsia="宋体" w:hint="ascii"/>
          <w:sz w:val="21"/>
        </w:rPr>
        <w:t>景</w:t>
      </w:r>
      <w:r>
        <w:rPr>
          <w:rFonts w:ascii="宋体" w:hAnsi="宋体" w:cs="宋体" w:eastAsia="宋体" w:hint="ascii"/>
          <w:sz w:val="21"/>
          <w:spacing w:val="-1"/>
        </w:rPr>
        <w:t>下</w:t>
      </w:r>
      <w:r>
        <w:rPr>
          <w:rFonts w:ascii="宋体" w:hAnsi="宋体" w:cs="宋体" w:eastAsia="宋体" w:hint="ascii"/>
          <w:sz w:val="21"/>
        </w:rPr>
        <w:t>，针</w:t>
      </w:r>
      <w:r>
        <w:rPr>
          <w:rFonts w:ascii="宋体" w:hAnsi="宋体" w:cs="宋体" w:eastAsia="宋体" w:hint="ascii"/>
          <w:sz w:val="21"/>
          <w:spacing w:val="-1"/>
        </w:rPr>
        <w:t>对</w:t>
      </w:r>
      <w:r>
        <w:rPr>
          <w:rFonts w:ascii="宋体" w:hAnsi="宋体" w:cs="宋体" w:eastAsia="宋体" w:hint="ascii"/>
          <w:sz w:val="21"/>
        </w:rPr>
        <w:t>我</w:t>
      </w:r>
      <w:r>
        <w:rPr>
          <w:rFonts w:ascii="宋体" w:hAnsi="宋体" w:cs="宋体" w:eastAsia="宋体" w:hint="ascii"/>
          <w:sz w:val="21"/>
          <w:spacing w:val="-1"/>
        </w:rPr>
        <w:t>国</w:t>
      </w:r>
      <w:r>
        <w:rPr>
          <w:rFonts w:ascii="宋体" w:hAnsi="宋体" w:cs="宋体" w:eastAsia="宋体" w:hint="ascii"/>
          <w:sz w:val="21"/>
        </w:rPr>
        <w:t>“政府</w:t>
      </w:r>
      <w:r>
        <w:rPr>
          <w:rFonts w:ascii="宋体" w:hAnsi="宋体" w:cs="宋体" w:eastAsia="宋体" w:hint="ascii"/>
          <w:sz w:val="21"/>
        </w:rPr>
        <w:t>-</w:t>
      </w:r>
      <w:r>
        <w:rPr>
          <w:rFonts w:ascii="宋体" w:hAnsi="宋体" w:cs="宋体" w:eastAsia="宋体" w:hint="ascii"/>
          <w:sz w:val="21"/>
        </w:rPr>
        <w:t>市</w:t>
      </w:r>
      <w:r>
        <w:rPr>
          <w:rFonts w:ascii="宋体" w:hAnsi="宋体" w:cs="宋体" w:eastAsia="宋体" w:hint="ascii"/>
          <w:sz w:val="21"/>
          <w:spacing w:val="-1"/>
        </w:rPr>
        <w:t>场</w:t>
      </w:r>
      <w:r>
        <w:rPr>
          <w:rFonts w:ascii="宋体" w:hAnsi="宋体" w:cs="宋体" w:eastAsia="宋体" w:hint="ascii"/>
          <w:sz w:val="21"/>
        </w:rPr>
        <w:t>”双</w:t>
      </w:r>
      <w:r>
        <w:rPr>
          <w:rFonts w:ascii="宋体" w:hAnsi="宋体" w:cs="宋体" w:eastAsia="宋体" w:hint="ascii"/>
          <w:sz w:val="21"/>
          <w:spacing w:val="-1"/>
        </w:rPr>
        <w:t>元</w:t>
      </w:r>
      <w:r>
        <w:rPr>
          <w:rFonts w:ascii="宋体" w:hAnsi="宋体" w:cs="宋体" w:eastAsia="宋体" w:hint="ascii"/>
          <w:sz w:val="21"/>
        </w:rPr>
        <w:t>力</w:t>
      </w:r>
      <w:r>
        <w:rPr>
          <w:rFonts w:ascii="宋体" w:hAnsi="宋体" w:cs="宋体" w:eastAsia="宋体" w:hint="ascii"/>
          <w:sz w:val="21"/>
          <w:spacing w:val="-1"/>
        </w:rPr>
        <w:t>量</w:t>
      </w:r>
      <w:r>
        <w:rPr>
          <w:rFonts w:ascii="宋体" w:hAnsi="宋体" w:cs="宋体" w:eastAsia="宋体" w:hint="ascii"/>
          <w:sz w:val="21"/>
        </w:rPr>
        <w:t>共同</w:t>
      </w:r>
      <w:r>
        <w:rPr>
          <w:rFonts w:ascii="宋体" w:hAnsi="宋体" w:cs="宋体" w:eastAsia="宋体" w:hint="ascii"/>
          <w:sz w:val="21"/>
          <w:spacing w:val="-1"/>
        </w:rPr>
        <w:t>构</w:t>
      </w:r>
      <w:r>
        <w:rPr>
          <w:rFonts w:ascii="宋体" w:hAnsi="宋体" w:cs="宋体" w:eastAsia="宋体" w:hint="ascii"/>
          <w:sz w:val="21"/>
        </w:rPr>
        <w:t>筑</w:t>
      </w:r>
      <w:r>
        <w:rPr>
          <w:rFonts w:ascii="宋体" w:hAnsi="宋体" w:cs="宋体" w:eastAsia="宋体" w:hint="ascii"/>
          <w:sz w:val="21"/>
          <w:spacing w:val="-1"/>
        </w:rPr>
        <w:t>的</w:t>
      </w:r>
      <w:r>
        <w:rPr>
          <w:rFonts w:ascii="宋体" w:hAnsi="宋体" w:cs="宋体" w:eastAsia="宋体" w:hint="ascii"/>
          <w:sz w:val="21"/>
        </w:rPr>
        <w:t>商业制度</w:t>
      </w:r>
      <w:r>
        <w:rPr>
          <w:rFonts w:ascii="宋体" w:hAnsi="宋体" w:cs="宋体" w:eastAsia="宋体" w:hint="ascii"/>
          <w:sz w:val="21"/>
          <w:spacing w:val="-4"/>
        </w:rPr>
        <w:t>环</w:t>
      </w:r>
      <w:r>
        <w:rPr>
          <w:rFonts w:ascii="宋体" w:hAnsi="宋体" w:cs="宋体" w:eastAsia="宋体" w:hint="ascii"/>
          <w:sz w:val="21"/>
          <w:spacing w:val="-1"/>
        </w:rPr>
        <w:t>境，构</w:t>
      </w:r>
      <w:r>
        <w:rPr>
          <w:rFonts w:ascii="宋体" w:hAnsi="宋体" w:cs="宋体" w:eastAsia="宋体" w:hint="ascii"/>
          <w:sz w:val="21"/>
        </w:rPr>
        <w:t>建新的具有中国特色的企业国际化分析框架与理论体系，提出有效培育中国企业</w:t>
      </w:r>
      <w:r>
        <w:rPr>
          <w:rFonts w:ascii="宋体" w:hAnsi="宋体" w:cs="宋体" w:eastAsia="宋体" w:hint="ascii"/>
          <w:sz w:val="21"/>
          <w:spacing w:val="-1"/>
        </w:rPr>
        <w:t>国际化的</w:t>
      </w:r>
      <w:r>
        <w:rPr>
          <w:rFonts w:ascii="宋体" w:hAnsi="宋体" w:cs="宋体" w:eastAsia="宋体" w:hint="ascii"/>
          <w:sz w:val="21"/>
        </w:rPr>
        <w:t>制度新动能与新路径。关键科学问题包括</w:t>
      </w:r>
      <w:r>
        <w:rPr>
          <w:rFonts w:ascii="宋体" w:hAnsi="宋体" w:cs="宋体" w:eastAsia="宋体" w:hint="ascii"/>
          <w:sz w:val="21"/>
          <w:spacing w:val="-52"/>
        </w:rPr>
        <w:t>：</w:t>
      </w:r>
      <w:r>
        <w:rPr>
          <w:rFonts w:ascii="宋体" w:hAnsi="宋体" w:cs="宋体" w:eastAsia="宋体" w:hint="ascii"/>
          <w:sz w:val="21"/>
        </w:rPr>
        <w:t>“政府</w:t>
      </w:r>
      <w:r>
        <w:rPr>
          <w:rFonts w:ascii="宋体" w:hAnsi="宋体" w:cs="宋体" w:eastAsia="宋体" w:hint="ascii"/>
          <w:sz w:val="21"/>
        </w:rPr>
        <w:t>-</w:t>
      </w:r>
      <w:r>
        <w:rPr>
          <w:rFonts w:ascii="宋体" w:hAnsi="宋体" w:cs="宋体" w:eastAsia="宋体" w:hint="ascii"/>
          <w:sz w:val="21"/>
        </w:rPr>
        <w:t>市场”双元力量驱动的制度</w:t>
      </w:r>
      <w:r>
        <w:rPr>
          <w:rFonts w:ascii="宋体" w:hAnsi="宋体" w:cs="宋体" w:eastAsia="宋体" w:hint="ascii"/>
          <w:sz w:val="21"/>
          <w:spacing w:val="-1"/>
        </w:rPr>
        <w:t>环境下</w:t>
      </w:r>
      <w:r>
        <w:rPr>
          <w:rFonts w:ascii="宋体" w:hAnsi="宋体" w:cs="宋体" w:eastAsia="宋体" w:hint="ascii"/>
          <w:sz w:val="21"/>
        </w:rPr>
        <w:t>企业国际化的动机、驱动力以及绩效保障，政府意志与市场机制在中国企业国际</w:t>
      </w:r>
      <w:r>
        <w:rPr>
          <w:rFonts w:ascii="宋体" w:hAnsi="宋体" w:cs="宋体" w:eastAsia="宋体" w:hint="ascii"/>
          <w:sz w:val="21"/>
          <w:spacing w:val="-1"/>
        </w:rPr>
        <w:t>化中的</w:t>
      </w:r>
      <w:r>
        <w:rPr>
          <w:rFonts w:ascii="宋体" w:hAnsi="宋体" w:cs="宋体" w:eastAsia="宋体" w:hint="ascii"/>
          <w:sz w:val="21"/>
        </w:rPr>
        <w:t>角色定位、作用机理与协同效应，旨在厘清中国企业国际化与制度演进的互动机理，中国企业国际化的制度新动能与新路径等。</w:t>
      </w:r>
    </w:p>
    <w:p>
      <w:pPr>
        <w:autoSpaceDE w:val="0"/>
        <w:autoSpaceDN w:val="0"/>
        <w:jc w:val="left"/>
        <w:spacing w:before="470"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both"/>
        <w:spacing w:before="257" w:after="0" w:lineRule="exact" w:line="312"/>
        <w:ind w:right="962" w:left="861" w:firstLine="524"/>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
        </w:rPr>
        <w:t>13</w:t>
      </w:r>
      <w:r>
        <w:rPr>
          <w:rFonts w:ascii="Times New Roman" w:hAnsi="Times New Roman" w:cs="Times New Roman" w:eastAsia="Times New Roman" w:hint="ascii"/>
          <w:b w:val="1"/>
          <w:sz w:val="21"/>
        </w:rPr>
        <w:t>.</w:t>
      </w:r>
      <w:r>
        <w:rPr>
          <w:rFonts w:ascii="Times New Roman" w:hAnsi="Times New Roman" w:cs="Times New Roman" w:eastAsia="Times New Roman" w:hint="ascii"/>
          <w:b w:val="1"/>
          <w:sz w:val="21"/>
          <w:spacing w:val="11"/>
        </w:rPr>
        <w:t xml:space="preserve"> </w:t>
      </w:r>
      <w:r>
        <w:rPr>
          <w:rFonts w:ascii="宋体" w:hAnsi="宋体" w:cs="宋体" w:eastAsia="宋体" w:hint="ascii"/>
          <w:sz w:val="21"/>
        </w:rPr>
        <w:t>互联网环境下大数据驱动的企业与用户互动创新理论、方法和应用研</w:t>
      </w:r>
      <w:r>
        <w:rPr>
          <w:rFonts w:ascii="宋体" w:hAnsi="宋体" w:cs="宋体" w:eastAsia="宋体" w:hint="ascii"/>
          <w:sz w:val="21"/>
          <w:spacing w:val="-22"/>
        </w:rPr>
        <w:t>究</w:t>
      </w:r>
      <w:r>
        <w:rPr>
          <w:rFonts w:ascii="宋体" w:hAnsi="宋体" w:cs="宋体" w:eastAsia="宋体" w:hint="ascii"/>
          <w:sz w:val="21"/>
        </w:rPr>
        <w:t xml:space="preserve"> （</w:t>
      </w:r>
      <w:r>
        <w:rPr>
          <w:rFonts w:ascii="Times New Roman" w:hAnsi="Times New Roman" w:cs="Times New Roman" w:eastAsia="Times New Roman" w:hint="ascii"/>
          <w:b w:val="1"/>
          <w:sz w:val="21"/>
        </w:rPr>
        <w:t>G0203</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73" locked="0" layoutInCell="1" allowOverlap="1">
                <wp:simplePos x="0" y="0"/>
                <wp:positionH relativeFrom="page">
                  <wp:posOffset>938530</wp:posOffset>
                </wp:positionH>
                <wp:positionV relativeFrom="page">
                  <wp:posOffset>819150</wp:posOffset>
                </wp:positionV>
                <wp:extent cx="5076190" cy="0"/>
                <wp:wrapNone/>
                <wp:docPr id="1202" name="120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81088;width:399.70pt;" id="120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重点研究互联网环境下企业与用户的互动创新理论、方法和应用。关键科学问题：</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互联网环境下，用户参与企业创新的方法体系，研究用户在创新过程中的行为特征，以及用户创新知识抽取方法，创建互动创新的标准流程，研究互动创新的支撑工具，建立互动创新的大数据平台。为我国企业开展产品互动创新奠定理论基础。</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分享经济环境下企业运营与资源配置理论研究（</w:t>
      </w:r>
      <w:r>
        <w:rPr>
          <w:rFonts w:ascii="Times New Roman" w:hAnsi="Times New Roman" w:cs="Times New Roman" w:eastAsia="Times New Roman" w:hint="ascii"/>
          <w:b w:val="1"/>
          <w:sz w:val="21"/>
        </w:rPr>
        <w:t>G02</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结合分享经济环境下企业运营与资源</w:t>
      </w:r>
      <w:r>
        <w:rPr>
          <w:rFonts w:ascii="Times New Roman" w:hAnsi="Times New Roman" w:cs="Times New Roman" w:eastAsia="Times New Roman" w:hint="ascii"/>
          <w:sz w:val="21"/>
        </w:rPr>
        <w:t>/</w:t>
      </w:r>
      <w:r>
        <w:rPr>
          <w:rFonts w:ascii="宋体" w:hAnsi="宋体" w:cs="宋体" w:eastAsia="宋体" w:hint="ascii"/>
          <w:sz w:val="21"/>
        </w:rPr>
        <w:t>能源配置的新特性，以我国典型工业、服务</w:t>
      </w:r>
    </w:p>
    <w:p>
      <w:pPr>
        <w:autoSpaceDE w:val="0"/>
        <w:autoSpaceDN w:val="0"/>
        <w:jc w:val="left"/>
        <w:spacing w:before="10" w:after="0" w:lineRule="exact" w:line="312"/>
        <w:ind w:right="962" w:left="966" w:firstLine="0"/>
        <w:snapToGrid w:val="0"/>
        <w:textAlignment w:val="auto"/>
        <w:tabs/>
        <w:rPr>
          <w:rFonts w:ascii="宋体" w:hAnsi="宋体" w:cs="宋体" w:eastAsia="宋体" w:hint="ascii"/>
          <w:sz w:val="21"/>
        </w:rPr>
      </w:pPr>
      <w:r>
        <w:rPr>
          <w:rFonts w:ascii="宋体" w:hAnsi="宋体" w:cs="宋体" w:eastAsia="宋体" w:hint="ascii"/>
          <w:sz w:val="21"/>
        </w:rPr>
        <w:t>企业为研究对象，研究分享经济环境下企业内部的运营管理、资源</w:t>
      </w:r>
      <w:r>
        <w:rPr>
          <w:rFonts w:ascii="Times New Roman" w:hAnsi="Times New Roman" w:cs="Times New Roman" w:eastAsia="Times New Roman" w:hint="ascii"/>
          <w:sz w:val="21"/>
        </w:rPr>
        <w:t>/</w:t>
      </w:r>
      <w:r>
        <w:rPr>
          <w:rFonts w:ascii="宋体" w:hAnsi="宋体" w:cs="宋体" w:eastAsia="宋体" w:hint="ascii"/>
          <w:sz w:val="21"/>
        </w:rPr>
        <w:t>能源配置和供应链管理、协调与优化理论及方法。关键科学问题：分享经济环境下企业内部的运营模式和资源配置行为特征分析及应对机制研究，分享经济环境下平台企业成长机制与运营规则研究，基于资源</w:t>
      </w:r>
      <w:r>
        <w:rPr>
          <w:rFonts w:ascii="Times New Roman" w:hAnsi="Times New Roman" w:cs="Times New Roman" w:eastAsia="Times New Roman" w:hint="ascii"/>
          <w:sz w:val="21"/>
        </w:rPr>
        <w:t>/</w:t>
      </w:r>
      <w:r>
        <w:rPr>
          <w:rFonts w:ascii="宋体" w:hAnsi="宋体" w:cs="宋体" w:eastAsia="宋体" w:hint="ascii"/>
          <w:sz w:val="21"/>
        </w:rPr>
        <w:t>能源所有权与使用权分离的企业权益保障和交易机制设计，基于分享</w:t>
      </w:r>
      <w:r>
        <w:rPr>
          <w:rFonts w:ascii="宋体" w:hAnsi="宋体" w:cs="宋体" w:eastAsia="宋体" w:hint="ascii"/>
          <w:sz w:val="21"/>
          <w:spacing w:val="-33"/>
        </w:rPr>
        <w:t>经</w:t>
      </w:r>
      <w:r>
        <w:rPr>
          <w:rFonts w:ascii="宋体" w:hAnsi="宋体" w:cs="宋体" w:eastAsia="宋体" w:hint="ascii"/>
          <w:sz w:val="21"/>
          <w:spacing w:val="-2"/>
        </w:rPr>
        <w:t>济环境</w:t>
      </w:r>
      <w:r>
        <w:rPr>
          <w:rFonts w:ascii="宋体" w:hAnsi="宋体" w:cs="宋体" w:eastAsia="宋体" w:hint="ascii"/>
          <w:sz w:val="21"/>
          <w:spacing w:val="-4"/>
        </w:rPr>
        <w:t>的</w:t>
      </w:r>
      <w:r>
        <w:rPr>
          <w:rFonts w:ascii="宋体" w:hAnsi="宋体" w:cs="宋体" w:eastAsia="宋体" w:hint="ascii"/>
          <w:sz w:val="21"/>
          <w:spacing w:val="-2"/>
        </w:rPr>
        <w:t>供应链结</w:t>
      </w:r>
      <w:r>
        <w:rPr>
          <w:rFonts w:ascii="宋体" w:hAnsi="宋体" w:cs="宋体" w:eastAsia="宋体" w:hint="ascii"/>
          <w:sz w:val="21"/>
          <w:spacing w:val="-4"/>
        </w:rPr>
        <w:t>构</w:t>
      </w:r>
      <w:r>
        <w:rPr>
          <w:rFonts w:ascii="宋体" w:hAnsi="宋体" w:cs="宋体" w:eastAsia="宋体" w:hint="ascii"/>
          <w:sz w:val="21"/>
          <w:spacing w:val="-2"/>
        </w:rPr>
        <w:t>设计与优</w:t>
      </w:r>
      <w:r>
        <w:rPr>
          <w:rFonts w:ascii="宋体" w:hAnsi="宋体" w:cs="宋体" w:eastAsia="宋体" w:hint="ascii"/>
          <w:sz w:val="21"/>
          <w:spacing w:val="-4"/>
        </w:rPr>
        <w:t>化</w:t>
      </w:r>
      <w:r>
        <w:rPr>
          <w:rFonts w:ascii="宋体" w:hAnsi="宋体" w:cs="宋体" w:eastAsia="宋体" w:hint="ascii"/>
          <w:sz w:val="21"/>
          <w:spacing w:val="-2"/>
        </w:rPr>
        <w:t>研究，分</w:t>
      </w:r>
      <w:r>
        <w:rPr>
          <w:rFonts w:ascii="宋体" w:hAnsi="宋体" w:cs="宋体" w:eastAsia="宋体" w:hint="ascii"/>
          <w:sz w:val="21"/>
          <w:spacing w:val="-4"/>
        </w:rPr>
        <w:t>享</w:t>
      </w:r>
      <w:r>
        <w:rPr>
          <w:rFonts w:ascii="宋体" w:hAnsi="宋体" w:cs="宋体" w:eastAsia="宋体" w:hint="ascii"/>
          <w:sz w:val="21"/>
          <w:spacing w:val="-1"/>
        </w:rPr>
        <w:t>经济环境</w:t>
      </w:r>
      <w:r>
        <w:rPr>
          <w:rFonts w:ascii="宋体" w:hAnsi="宋体" w:cs="宋体" w:eastAsia="宋体" w:hint="ascii"/>
          <w:sz w:val="21"/>
          <w:spacing w:val="-3"/>
        </w:rPr>
        <w:t>下</w:t>
      </w:r>
      <w:r>
        <w:rPr>
          <w:rFonts w:ascii="宋体" w:hAnsi="宋体" w:cs="宋体" w:eastAsia="宋体" w:hint="ascii"/>
          <w:sz w:val="21"/>
          <w:spacing w:val="-1"/>
        </w:rPr>
        <w:t>供应链协</w:t>
      </w:r>
      <w:r>
        <w:rPr>
          <w:rFonts w:ascii="宋体" w:hAnsi="宋体" w:cs="宋体" w:eastAsia="宋体" w:hint="ascii"/>
          <w:sz w:val="21"/>
          <w:spacing w:val="-3"/>
        </w:rPr>
        <w:t>调</w:t>
      </w:r>
      <w:r>
        <w:rPr>
          <w:rFonts w:ascii="宋体" w:hAnsi="宋体" w:cs="宋体" w:eastAsia="宋体" w:hint="ascii"/>
          <w:sz w:val="21"/>
          <w:spacing w:val="-1"/>
        </w:rPr>
        <w:t>及帕累托（</w:t>
      </w:r>
      <w:r>
        <w:rPr>
          <w:rFonts w:ascii="Times New Roman" w:hAnsi="Times New Roman" w:cs="Times New Roman" w:eastAsia="Times New Roman" w:hint="ascii"/>
          <w:sz w:val="21"/>
          <w:spacing w:val="-6"/>
        </w:rPr>
        <w:t>P</w:t>
      </w:r>
      <w:r>
        <w:rPr>
          <w:rFonts w:ascii="Times New Roman" w:hAnsi="Times New Roman" w:cs="Times New Roman" w:eastAsia="Times New Roman" w:hint="ascii"/>
          <w:sz w:val="21"/>
          <w:spacing w:val="-4"/>
        </w:rPr>
        <w:t>a</w:t>
      </w:r>
      <w:r>
        <w:rPr>
          <w:rFonts w:ascii="Times New Roman" w:hAnsi="Times New Roman" w:cs="Times New Roman" w:eastAsia="Times New Roman" w:hint="ascii"/>
          <w:sz w:val="21"/>
          <w:spacing w:val="-5"/>
        </w:rPr>
        <w:t>r</w:t>
      </w:r>
      <w:r>
        <w:rPr>
          <w:rFonts w:ascii="Times New Roman" w:hAnsi="Times New Roman" w:cs="Times New Roman" w:eastAsia="Times New Roman" w:hint="ascii"/>
          <w:sz w:val="21"/>
          <w:spacing w:val="-4"/>
        </w:rPr>
        <w:t>e</w:t>
      </w:r>
      <w:r>
        <w:rPr>
          <w:rFonts w:ascii="Times New Roman" w:hAnsi="Times New Roman" w:cs="Times New Roman" w:eastAsia="Times New Roman" w:hint="ascii"/>
          <w:sz w:val="21"/>
          <w:spacing w:val="-1"/>
        </w:rPr>
        <w:t>to</w:t>
      </w:r>
      <w:r>
        <w:rPr>
          <w:rFonts w:ascii="宋体" w:hAnsi="宋体" w:cs="宋体" w:eastAsia="宋体" w:hint="ascii"/>
          <w:sz w:val="21"/>
          <w:spacing w:val="-1"/>
        </w:rPr>
        <w:t>）</w:t>
      </w:r>
      <w:r>
        <w:rPr>
          <w:rFonts w:ascii="宋体" w:hAnsi="宋体" w:cs="宋体" w:eastAsia="宋体" w:hint="ascii"/>
          <w:sz w:val="21"/>
        </w:rPr>
        <w:t xml:space="preserve"> 改进机制设计。</w:t>
      </w:r>
    </w:p>
    <w:p>
      <w:pPr>
        <w:autoSpaceDE w:val="0"/>
        <w:autoSpaceDN w:val="0"/>
        <w:jc w:val="left"/>
        <w:spacing w:before="46"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经济政策评价的实验研究新方法与理论创新（</w:t>
      </w:r>
      <w:r>
        <w:rPr>
          <w:rFonts w:ascii="Times New Roman" w:hAnsi="Times New Roman" w:cs="Times New Roman" w:eastAsia="Times New Roman" w:hint="ascii"/>
          <w:b w:val="1"/>
          <w:sz w:val="21"/>
        </w:rPr>
        <w:t>G0302</w:t>
      </w:r>
      <w:r>
        <w:rPr>
          <w:rFonts w:ascii="宋体" w:hAnsi="宋体" w:cs="宋体" w:eastAsia="宋体" w:hint="ascii"/>
          <w:sz w:val="21"/>
        </w:rPr>
        <w:t>）</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通过受控激励实验研究经济制度如何影响经济效率和社会规范；关注个人选择和经</w:t>
      </w:r>
    </w:p>
    <w:p>
      <w:pPr>
        <w:autoSpaceDE w:val="0"/>
        <w:autoSpaceDN w:val="0"/>
        <w:jc w:val="left"/>
        <w:spacing w:before="12"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济结果的量度与分析，鼓励针对偏好、决策质量和合作行为如何演变与发展的研究，特别是信息传播在其中的作用；开发针对较大被试对象库的数据收集、实验设计、统计分析及理论研究方法，并建立有效衡量和分析中国经济发展成就的个人和群体行为模型；希望结合相关领域如金融发展、城镇化、环境挑战及贫困问题等开展研究。</w:t>
      </w:r>
    </w:p>
    <w:p>
      <w:pPr>
        <w:autoSpaceDE w:val="0"/>
        <w:autoSpaceDN w:val="0"/>
        <w:jc w:val="left"/>
        <w:spacing w:before="45"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半参数计量经济学理论和方法的创新研究（</w:t>
      </w:r>
      <w:r>
        <w:rPr>
          <w:rFonts w:ascii="Times New Roman" w:hAnsi="Times New Roman" w:cs="Times New Roman" w:eastAsia="Times New Roman" w:hint="ascii"/>
          <w:b w:val="1"/>
          <w:sz w:val="21"/>
        </w:rPr>
        <w:t>G0303</w:t>
      </w:r>
      <w:r>
        <w:rPr>
          <w:rFonts w:ascii="宋体" w:hAnsi="宋体" w:cs="宋体" w:eastAsia="宋体" w:hint="ascii"/>
          <w:sz w:val="21"/>
        </w:rPr>
        <w:t>）</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研究半参数计量经济学前沿理论和方法及其在中国经济金融中的创新性应用，主要</w:t>
      </w:r>
    </w:p>
    <w:p>
      <w:pPr>
        <w:autoSpaceDE w:val="0"/>
        <w:autoSpaceDN w:val="0"/>
        <w:jc w:val="left"/>
        <w:spacing w:before="12"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包括半参数分位数模型、半参数受限变量工具变量模型、半参数空间计量模型、半参数局部平稳与非平稳时间序列模型、计量模型平均方法等；要求结合中国经济中的实例开展相关研究并提出相应的政策建议。</w:t>
      </w:r>
    </w:p>
    <w:p>
      <w:pPr>
        <w:autoSpaceDE w:val="0"/>
        <w:autoSpaceDN w:val="0"/>
        <w:jc w:val="left"/>
        <w:spacing w:before="45"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基于中国经济发展和理论演变的历史计量与实证研究（</w:t>
      </w:r>
      <w:r>
        <w:rPr>
          <w:rFonts w:ascii="Times New Roman" w:hAnsi="Times New Roman" w:cs="Times New Roman" w:eastAsia="Times New Roman" w:hint="ascii"/>
          <w:b w:val="1"/>
          <w:sz w:val="21"/>
        </w:rPr>
        <w:t>G0304</w:t>
      </w:r>
      <w:r>
        <w:rPr>
          <w:rFonts w:ascii="宋体" w:hAnsi="宋体" w:cs="宋体" w:eastAsia="宋体" w:hint="ascii"/>
          <w:sz w:val="21"/>
        </w:rPr>
        <w:t>）</w:t>
      </w:r>
    </w:p>
    <w:p>
      <w:pPr>
        <w:autoSpaceDE w:val="0"/>
        <w:autoSpaceDN w:val="0"/>
        <w:jc w:val="left"/>
        <w:spacing w:before="6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分析中国经济发展的历史过程、中外经济思想，对不同时期经济发展模式的路径依</w:t>
      </w:r>
    </w:p>
    <w:p>
      <w:pPr>
        <w:autoSpaceDE w:val="0"/>
        <w:autoSpaceDN w:val="0"/>
        <w:jc w:val="left"/>
        <w:spacing w:before="10"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赖机制进行历史量化研究；实证检验重要历史事实和相关经济学假说，分析中国历史上</w:t>
      </w:r>
      <w:r>
        <w:rPr>
          <w:rFonts w:ascii="宋体" w:hAnsi="宋体" w:cs="宋体" w:eastAsia="宋体" w:hint="ascii"/>
          <w:sz w:val="21"/>
          <w:spacing w:val="6"/>
        </w:rPr>
        <w:t>重大转型</w:t>
      </w:r>
      <w:r>
        <w:rPr>
          <w:rFonts w:ascii="宋体" w:hAnsi="宋体" w:cs="宋体" w:eastAsia="宋体" w:hint="ascii"/>
          <w:sz w:val="21"/>
          <w:spacing w:val="5"/>
        </w:rPr>
        <w:t>时</w:t>
      </w:r>
      <w:r>
        <w:rPr>
          <w:rFonts w:ascii="宋体" w:hAnsi="宋体" w:cs="宋体" w:eastAsia="宋体" w:hint="ascii"/>
          <w:sz w:val="21"/>
          <w:spacing w:val="6"/>
        </w:rPr>
        <w:t>期经济思</w:t>
      </w:r>
      <w:r>
        <w:rPr>
          <w:rFonts w:ascii="宋体" w:hAnsi="宋体" w:cs="宋体" w:eastAsia="宋体" w:hint="ascii"/>
          <w:sz w:val="21"/>
          <w:spacing w:val="5"/>
        </w:rPr>
        <w:t>想</w:t>
      </w:r>
      <w:r>
        <w:rPr>
          <w:rFonts w:ascii="宋体" w:hAnsi="宋体" w:cs="宋体" w:eastAsia="宋体" w:hint="ascii"/>
          <w:sz w:val="21"/>
          <w:spacing w:val="6"/>
        </w:rPr>
        <w:t>与制度安</w:t>
      </w:r>
      <w:r>
        <w:rPr>
          <w:rFonts w:ascii="宋体" w:hAnsi="宋体" w:cs="宋体" w:eastAsia="宋体" w:hint="ascii"/>
          <w:sz w:val="21"/>
          <w:spacing w:val="5"/>
        </w:rPr>
        <w:t>排</w:t>
      </w:r>
      <w:r>
        <w:rPr>
          <w:rFonts w:ascii="宋体" w:hAnsi="宋体" w:cs="宋体" w:eastAsia="宋体" w:hint="ascii"/>
          <w:sz w:val="21"/>
          <w:spacing w:val="6"/>
        </w:rPr>
        <w:t>，揭示经</w:t>
      </w:r>
      <w:r>
        <w:rPr>
          <w:rFonts w:ascii="宋体" w:hAnsi="宋体" w:cs="宋体" w:eastAsia="宋体" w:hint="ascii"/>
          <w:sz w:val="21"/>
          <w:spacing w:val="5"/>
        </w:rPr>
        <w:t>济</w:t>
      </w:r>
      <w:r>
        <w:rPr>
          <w:rFonts w:ascii="宋体" w:hAnsi="宋体" w:cs="宋体" w:eastAsia="宋体" w:hint="ascii"/>
          <w:sz w:val="21"/>
          <w:spacing w:val="6"/>
        </w:rPr>
        <w:t>变迁的内</w:t>
      </w:r>
      <w:r>
        <w:rPr>
          <w:rFonts w:ascii="宋体" w:hAnsi="宋体" w:cs="宋体" w:eastAsia="宋体" w:hint="ascii"/>
          <w:sz w:val="21"/>
          <w:spacing w:val="5"/>
        </w:rPr>
        <w:t>在</w:t>
      </w:r>
      <w:r>
        <w:rPr>
          <w:rFonts w:ascii="宋体" w:hAnsi="宋体" w:cs="宋体" w:eastAsia="宋体" w:hint="ascii"/>
          <w:sz w:val="21"/>
          <w:spacing w:val="6"/>
        </w:rPr>
        <w:t>逻辑，探</w:t>
      </w:r>
      <w:r>
        <w:rPr>
          <w:rFonts w:ascii="宋体" w:hAnsi="宋体" w:cs="宋体" w:eastAsia="宋体" w:hint="ascii"/>
          <w:sz w:val="21"/>
          <w:spacing w:val="5"/>
        </w:rPr>
        <w:t>讨</w:t>
      </w:r>
      <w:r>
        <w:rPr>
          <w:rFonts w:ascii="宋体" w:hAnsi="宋体" w:cs="宋体" w:eastAsia="宋体" w:hint="ascii"/>
          <w:sz w:val="21"/>
          <w:spacing w:val="6"/>
        </w:rPr>
        <w:t>各经济</w:t>
      </w:r>
      <w:r>
        <w:rPr>
          <w:rFonts w:ascii="宋体" w:hAnsi="宋体" w:cs="宋体" w:eastAsia="宋体" w:hint="ascii"/>
          <w:sz w:val="21"/>
          <w:spacing w:val="7"/>
        </w:rPr>
        <w:t>变</w:t>
      </w:r>
      <w:r>
        <w:rPr>
          <w:rFonts w:ascii="宋体" w:hAnsi="宋体" w:cs="宋体" w:eastAsia="宋体" w:hint="ascii"/>
          <w:sz w:val="21"/>
          <w:spacing w:val="6"/>
        </w:rPr>
        <w:t>量</w:t>
      </w:r>
      <w:r>
        <w:rPr>
          <w:rFonts w:ascii="宋体" w:hAnsi="宋体" w:cs="宋体" w:eastAsia="宋体" w:hint="ascii"/>
          <w:sz w:val="21"/>
        </w:rPr>
        <w:t>之</w:t>
      </w:r>
      <w:r>
        <w:rPr>
          <w:rFonts w:ascii="宋体" w:hAnsi="宋体" w:cs="宋体" w:eastAsia="宋体" w:hint="ascii"/>
          <w:sz w:val="21"/>
          <w:spacing w:val="6"/>
        </w:rPr>
        <w:t>间的内在</w:t>
      </w:r>
      <w:r>
        <w:rPr>
          <w:rFonts w:ascii="宋体" w:hAnsi="宋体" w:cs="宋体" w:eastAsia="宋体" w:hint="ascii"/>
          <w:sz w:val="21"/>
          <w:spacing w:val="5"/>
        </w:rPr>
        <w:t>互</w:t>
      </w:r>
      <w:r>
        <w:rPr>
          <w:rFonts w:ascii="宋体" w:hAnsi="宋体" w:cs="宋体" w:eastAsia="宋体" w:hint="ascii"/>
          <w:sz w:val="21"/>
          <w:spacing w:val="6"/>
        </w:rPr>
        <w:t>动关系；</w:t>
      </w:r>
      <w:r>
        <w:rPr>
          <w:rFonts w:ascii="宋体" w:hAnsi="宋体" w:cs="宋体" w:eastAsia="宋体" w:hint="ascii"/>
          <w:sz w:val="21"/>
          <w:spacing w:val="5"/>
        </w:rPr>
        <w:t>开</w:t>
      </w:r>
      <w:r>
        <w:rPr>
          <w:rFonts w:ascii="宋体" w:hAnsi="宋体" w:cs="宋体" w:eastAsia="宋体" w:hint="ascii"/>
          <w:sz w:val="21"/>
          <w:spacing w:val="6"/>
        </w:rPr>
        <w:t>展宗族网</w:t>
      </w:r>
      <w:r>
        <w:rPr>
          <w:rFonts w:ascii="宋体" w:hAnsi="宋体" w:cs="宋体" w:eastAsia="宋体" w:hint="ascii"/>
          <w:sz w:val="21"/>
          <w:spacing w:val="5"/>
        </w:rPr>
        <w:t>络</w:t>
      </w:r>
      <w:r>
        <w:rPr>
          <w:rFonts w:ascii="宋体" w:hAnsi="宋体" w:cs="宋体" w:eastAsia="宋体" w:hint="ascii"/>
          <w:sz w:val="21"/>
          <w:spacing w:val="6"/>
        </w:rPr>
        <w:t>、文化制</w:t>
      </w:r>
      <w:r>
        <w:rPr>
          <w:rFonts w:ascii="宋体" w:hAnsi="宋体" w:cs="宋体" w:eastAsia="宋体" w:hint="ascii"/>
          <w:sz w:val="21"/>
          <w:spacing w:val="5"/>
        </w:rPr>
        <w:t>度</w:t>
      </w:r>
      <w:r>
        <w:rPr>
          <w:rFonts w:ascii="宋体" w:hAnsi="宋体" w:cs="宋体" w:eastAsia="宋体" w:hint="ascii"/>
          <w:sz w:val="21"/>
          <w:spacing w:val="6"/>
        </w:rPr>
        <w:t>与历史依</w:t>
      </w:r>
      <w:r>
        <w:rPr>
          <w:rFonts w:ascii="宋体" w:hAnsi="宋体" w:cs="宋体" w:eastAsia="宋体" w:hint="ascii"/>
          <w:sz w:val="21"/>
          <w:spacing w:val="5"/>
        </w:rPr>
        <w:t>赖</w:t>
      </w:r>
      <w:r>
        <w:rPr>
          <w:rFonts w:ascii="宋体" w:hAnsi="宋体" w:cs="宋体" w:eastAsia="宋体" w:hint="ascii"/>
          <w:sz w:val="21"/>
          <w:spacing w:val="6"/>
        </w:rPr>
        <w:t>路径的量</w:t>
      </w:r>
      <w:r>
        <w:rPr>
          <w:rFonts w:ascii="宋体" w:hAnsi="宋体" w:cs="宋体" w:eastAsia="宋体" w:hint="ascii"/>
          <w:sz w:val="21"/>
          <w:spacing w:val="5"/>
        </w:rPr>
        <w:t>化</w:t>
      </w:r>
      <w:r>
        <w:rPr>
          <w:rFonts w:ascii="宋体" w:hAnsi="宋体" w:cs="宋体" w:eastAsia="宋体" w:hint="ascii"/>
          <w:sz w:val="21"/>
          <w:spacing w:val="6"/>
        </w:rPr>
        <w:t>实证研</w:t>
      </w:r>
      <w:r>
        <w:rPr>
          <w:rFonts w:ascii="宋体" w:hAnsi="宋体" w:cs="宋体" w:eastAsia="宋体" w:hint="ascii"/>
          <w:sz w:val="21"/>
          <w:spacing w:val="7"/>
        </w:rPr>
        <w:t>究</w:t>
      </w:r>
      <w:r>
        <w:rPr>
          <w:rFonts w:ascii="宋体" w:hAnsi="宋体" w:cs="宋体" w:eastAsia="宋体" w:hint="ascii"/>
          <w:sz w:val="21"/>
          <w:spacing w:val="6"/>
        </w:rPr>
        <w:t>；</w:t>
      </w:r>
      <w:r>
        <w:rPr>
          <w:rFonts w:ascii="宋体" w:hAnsi="宋体" w:cs="宋体" w:eastAsia="宋体" w:hint="ascii"/>
          <w:sz w:val="21"/>
        </w:rPr>
        <w:t>创</w:t>
      </w:r>
      <w:r>
        <w:rPr>
          <w:rFonts w:ascii="宋体" w:hAnsi="宋体" w:cs="宋体" w:eastAsia="宋体" w:hint="ascii"/>
          <w:sz w:val="21"/>
          <w:spacing w:val="6"/>
        </w:rPr>
        <w:t>新历史计</w:t>
      </w:r>
      <w:r>
        <w:rPr>
          <w:rFonts w:ascii="宋体" w:hAnsi="宋体" w:cs="宋体" w:eastAsia="宋体" w:hint="ascii"/>
          <w:sz w:val="21"/>
          <w:spacing w:val="5"/>
        </w:rPr>
        <w:t>量</w:t>
      </w:r>
      <w:r>
        <w:rPr>
          <w:rFonts w:ascii="宋体" w:hAnsi="宋体" w:cs="宋体" w:eastAsia="宋体" w:hint="ascii"/>
          <w:sz w:val="21"/>
          <w:spacing w:val="6"/>
        </w:rPr>
        <w:t>研究方法</w:t>
      </w:r>
      <w:r>
        <w:rPr>
          <w:rFonts w:ascii="宋体" w:hAnsi="宋体" w:cs="宋体" w:eastAsia="宋体" w:hint="ascii"/>
          <w:sz w:val="21"/>
          <w:spacing w:val="5"/>
        </w:rPr>
        <w:t>并</w:t>
      </w:r>
      <w:r>
        <w:rPr>
          <w:rFonts w:ascii="宋体" w:hAnsi="宋体" w:cs="宋体" w:eastAsia="宋体" w:hint="ascii"/>
          <w:sz w:val="21"/>
          <w:spacing w:val="6"/>
        </w:rPr>
        <w:t>建立相关</w:t>
      </w:r>
      <w:r>
        <w:rPr>
          <w:rFonts w:ascii="宋体" w:hAnsi="宋体" w:cs="宋体" w:eastAsia="宋体" w:hint="ascii"/>
          <w:sz w:val="21"/>
          <w:spacing w:val="5"/>
        </w:rPr>
        <w:t>历</w:t>
      </w:r>
      <w:r>
        <w:rPr>
          <w:rFonts w:ascii="宋体" w:hAnsi="宋体" w:cs="宋体" w:eastAsia="宋体" w:hint="ascii"/>
          <w:sz w:val="21"/>
          <w:spacing w:val="6"/>
        </w:rPr>
        <w:t>史数据库</w:t>
      </w:r>
      <w:r>
        <w:rPr>
          <w:rFonts w:ascii="宋体" w:hAnsi="宋体" w:cs="宋体" w:eastAsia="宋体" w:hint="ascii"/>
          <w:sz w:val="21"/>
          <w:spacing w:val="5"/>
        </w:rPr>
        <w:t>，</w:t>
      </w:r>
      <w:r>
        <w:rPr>
          <w:rFonts w:ascii="宋体" w:hAnsi="宋体" w:cs="宋体" w:eastAsia="宋体" w:hint="ascii"/>
          <w:sz w:val="21"/>
          <w:spacing w:val="6"/>
        </w:rPr>
        <w:t>为中国经</w:t>
      </w:r>
      <w:r>
        <w:rPr>
          <w:rFonts w:ascii="宋体" w:hAnsi="宋体" w:cs="宋体" w:eastAsia="宋体" w:hint="ascii"/>
          <w:sz w:val="21"/>
          <w:spacing w:val="5"/>
        </w:rPr>
        <w:t>济</w:t>
      </w:r>
      <w:r>
        <w:rPr>
          <w:rFonts w:ascii="宋体" w:hAnsi="宋体" w:cs="宋体" w:eastAsia="宋体" w:hint="ascii"/>
          <w:sz w:val="21"/>
          <w:spacing w:val="6"/>
        </w:rPr>
        <w:t>学理论的</w:t>
      </w:r>
      <w:r>
        <w:rPr>
          <w:rFonts w:ascii="宋体" w:hAnsi="宋体" w:cs="宋体" w:eastAsia="宋体" w:hint="ascii"/>
          <w:sz w:val="21"/>
          <w:spacing w:val="5"/>
        </w:rPr>
        <w:t>创</w:t>
      </w:r>
      <w:r>
        <w:rPr>
          <w:rFonts w:ascii="宋体" w:hAnsi="宋体" w:cs="宋体" w:eastAsia="宋体" w:hint="ascii"/>
          <w:sz w:val="21"/>
          <w:spacing w:val="6"/>
        </w:rPr>
        <w:t>新提供</w:t>
      </w:r>
      <w:r>
        <w:rPr>
          <w:rFonts w:ascii="宋体" w:hAnsi="宋体" w:cs="宋体" w:eastAsia="宋体" w:hint="ascii"/>
          <w:sz w:val="21"/>
          <w:spacing w:val="7"/>
        </w:rPr>
        <w:t>历</w:t>
      </w:r>
      <w:r>
        <w:rPr>
          <w:rFonts w:ascii="宋体" w:hAnsi="宋体" w:cs="宋体" w:eastAsia="宋体" w:hint="ascii"/>
          <w:sz w:val="21"/>
          <w:spacing w:val="6"/>
        </w:rPr>
        <w:t>史</w:t>
      </w:r>
      <w:r>
        <w:rPr>
          <w:rFonts w:ascii="宋体" w:hAnsi="宋体" w:cs="宋体" w:eastAsia="宋体" w:hint="ascii"/>
          <w:sz w:val="21"/>
        </w:rPr>
        <w:t>坐</w:t>
      </w:r>
      <w:r>
        <w:rPr>
          <w:rFonts w:ascii="宋体" w:hAnsi="宋体" w:cs="宋体" w:eastAsia="宋体" w:hint="ascii"/>
          <w:sz w:val="21"/>
          <w:spacing w:val="3"/>
        </w:rPr>
        <w:t>标和发展逻辑</w:t>
      </w:r>
      <w:r>
        <w:rPr>
          <w:rFonts w:ascii="宋体" w:hAnsi="宋体" w:cs="宋体" w:eastAsia="宋体" w:hint="ascii"/>
          <w:sz w:val="21"/>
        </w:rPr>
        <w:t>。</w:t>
      </w:r>
    </w:p>
    <w:p>
      <w:pPr>
        <w:autoSpaceDE w:val="0"/>
        <w:autoSpaceDN w:val="0"/>
        <w:jc w:val="left"/>
        <w:spacing w:before="45"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国家治理视角下公共服务供给的财政制度研究（</w:t>
      </w:r>
      <w:r>
        <w:rPr>
          <w:rFonts w:ascii="Times New Roman" w:hAnsi="Times New Roman" w:cs="Times New Roman" w:eastAsia="Times New Roman" w:hint="ascii"/>
          <w:b w:val="1"/>
          <w:sz w:val="21"/>
        </w:rPr>
        <w:t>G0305</w:t>
      </w:r>
      <w:r>
        <w:rPr>
          <w:rFonts w:ascii="宋体" w:hAnsi="宋体" w:cs="宋体" w:eastAsia="宋体" w:hint="ascii"/>
          <w:sz w:val="21"/>
        </w:rPr>
        <w:t>）</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在国家治理视角下，研究公共服务供给机制在国家治理中的作用和定位；研究符合</w:t>
      </w:r>
    </w:p>
    <w:p>
      <w:pPr>
        <w:autoSpaceDE w:val="0"/>
        <w:autoSpaceDN w:val="0"/>
        <w:jc w:val="left"/>
        <w:spacing w:before="12" w:after="0" w:lineRule="exact" w:line="320"/>
        <w:ind w:right="962" w:left="966" w:firstLine="0"/>
        <w:snapToGrid w:val="0"/>
        <w:textAlignment w:val="auto"/>
        <w:tabs/>
        <w:rPr>
          <w:rFonts w:ascii="宋体" w:hAnsi="宋体" w:cs="宋体" w:eastAsia="宋体" w:hint="ascii"/>
          <w:sz w:val="21"/>
        </w:rPr>
      </w:pPr>
      <w:r>
        <w:rPr>
          <w:rFonts w:ascii="宋体" w:hAnsi="宋体" w:cs="宋体" w:eastAsia="宋体" w:hint="ascii"/>
          <w:sz w:val="21"/>
        </w:rPr>
        <w:t>现有财政能力和政府履行职能要求的公共服务供给数量和质量决策机制；公共服务在地区间的特征差异和实现多级次政府合作供给的事权安排与转移支付制度；基于社会居民满意度等微观数据建立对公共服务供给进行评价验证的大数据支撑平台及其反馈机制，提出创新和重构我国公共服务供给的财政制度和改革路径。</w:t>
      </w:r>
    </w:p>
    <w:p>
      <w:pPr>
        <w:autoSpaceDE w:val="0"/>
        <w:autoSpaceDN w:val="0"/>
        <w:jc w:val="left"/>
        <w:spacing w:before="393"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新时期扶贫开发理论与政策研究（</w:t>
      </w:r>
      <w:r>
        <w:rPr>
          <w:rFonts w:ascii="Times New Roman" w:hAnsi="Times New Roman" w:cs="Times New Roman" w:eastAsia="Times New Roman" w:hint="ascii"/>
          <w:b w:val="1"/>
          <w:sz w:val="21"/>
        </w:rPr>
        <w:t>G0307</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74" locked="0" layoutInCell="1" allowOverlap="1">
                <wp:simplePos x="0" y="0"/>
                <wp:positionH relativeFrom="page">
                  <wp:posOffset>938530</wp:posOffset>
                </wp:positionH>
                <wp:positionV relativeFrom="page">
                  <wp:posOffset>805815</wp:posOffset>
                </wp:positionV>
                <wp:extent cx="5076190" cy="0"/>
                <wp:wrapNone/>
                <wp:docPr id="1203" name="120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80064;width:399.70pt;" id="120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总结国际反贫困理论并探讨中国成功扶贫的机制和原因；研究新时期我国扶贫开发</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的区域瞄</w:t>
      </w:r>
      <w:r>
        <w:rPr>
          <w:rFonts w:ascii="宋体" w:hAnsi="宋体" w:cs="宋体" w:eastAsia="宋体" w:hint="ascii"/>
          <w:sz w:val="21"/>
        </w:rPr>
        <w:t>准和人口瞄准特点，识别影响扶贫开发效果的关键因素；开展实证研究检验产</w:t>
      </w:r>
      <w:r>
        <w:rPr>
          <w:rFonts w:ascii="宋体" w:hAnsi="宋体" w:cs="宋体" w:eastAsia="宋体" w:hint="ascii"/>
          <w:sz w:val="21"/>
          <w:spacing w:val="-1"/>
        </w:rPr>
        <w:t>业结构升</w:t>
      </w:r>
      <w:r>
        <w:rPr>
          <w:rFonts w:ascii="宋体" w:hAnsi="宋体" w:cs="宋体" w:eastAsia="宋体" w:hint="ascii"/>
          <w:sz w:val="21"/>
        </w:rPr>
        <w:t>级、劳动力流动、城镇化等因素对扶贫的影响；研究中国贫困家庭的特征和动</w:t>
      </w:r>
      <w:r>
        <w:rPr>
          <w:rFonts w:ascii="宋体" w:hAnsi="宋体" w:cs="宋体" w:eastAsia="宋体" w:hint="ascii"/>
          <w:sz w:val="21"/>
          <w:spacing w:val="-1"/>
        </w:rPr>
        <w:t>态演变，</w:t>
      </w:r>
      <w:r>
        <w:rPr>
          <w:rFonts w:ascii="宋体" w:hAnsi="宋体" w:cs="宋体" w:eastAsia="宋体" w:hint="ascii"/>
          <w:sz w:val="21"/>
        </w:rPr>
        <w:t>探索阻断贫困代际传递的有效方式；分析扶贫开发的资源配置与实施措施，评</w:t>
      </w:r>
      <w:r>
        <w:rPr>
          <w:rFonts w:ascii="宋体" w:hAnsi="宋体" w:cs="宋体" w:eastAsia="宋体" w:hint="ascii"/>
          <w:sz w:val="21"/>
          <w:spacing w:val="-1"/>
        </w:rPr>
        <w:t>估不同类</w:t>
      </w:r>
      <w:r>
        <w:rPr>
          <w:rFonts w:ascii="宋体" w:hAnsi="宋体" w:cs="宋体" w:eastAsia="宋体" w:hint="ascii"/>
          <w:sz w:val="21"/>
        </w:rPr>
        <w:t>型扶贫开发工作的效果及作用机制；提出经济社会发展转型阶段扶贫开发战略调整和政策设计方向。</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西北旱区农业市场培育及西向开放研究（</w:t>
      </w:r>
      <w:r>
        <w:rPr>
          <w:rFonts w:ascii="Times New Roman" w:hAnsi="Times New Roman" w:cs="Times New Roman" w:eastAsia="Times New Roman" w:hint="ascii"/>
          <w:b w:val="1"/>
          <w:sz w:val="21"/>
        </w:rPr>
        <w:t>G030802</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聚焦西北旱区农业要素市场、农产品市场培育过程中的重要问题，构建农业市场化</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改革理论</w:t>
      </w:r>
      <w:r>
        <w:rPr>
          <w:rFonts w:ascii="宋体" w:hAnsi="宋体" w:cs="宋体" w:eastAsia="宋体" w:hint="ascii"/>
          <w:sz w:val="21"/>
        </w:rPr>
        <w:t>体系，研究农业市场改革及西向开放发展的理论原理、基本路径和典型模式；</w:t>
      </w:r>
      <w:r>
        <w:rPr>
          <w:rFonts w:ascii="宋体" w:hAnsi="宋体" w:cs="宋体" w:eastAsia="宋体" w:hint="ascii"/>
          <w:sz w:val="21"/>
          <w:spacing w:val="-1"/>
        </w:rPr>
        <w:t>创新农业</w:t>
      </w:r>
      <w:r>
        <w:rPr>
          <w:rFonts w:ascii="宋体" w:hAnsi="宋体" w:cs="宋体" w:eastAsia="宋体" w:hint="ascii"/>
          <w:sz w:val="21"/>
        </w:rPr>
        <w:t>市场有效性分析理论体系，设计农业市场有效性评价方法，解析制约西北旱区</w:t>
      </w:r>
      <w:r>
        <w:rPr>
          <w:rFonts w:ascii="宋体" w:hAnsi="宋体" w:cs="宋体" w:eastAsia="宋体" w:hint="ascii"/>
          <w:sz w:val="21"/>
          <w:spacing w:val="-1"/>
        </w:rPr>
        <w:t>农业市场</w:t>
      </w:r>
      <w:r>
        <w:rPr>
          <w:rFonts w:ascii="宋体" w:hAnsi="宋体" w:cs="宋体" w:eastAsia="宋体" w:hint="ascii"/>
          <w:sz w:val="21"/>
        </w:rPr>
        <w:t>培育及西向开放发展的体制壁垒、机制障碍、政策缺陷；着眼服务国家实施丝</w:t>
      </w:r>
      <w:r>
        <w:rPr>
          <w:rFonts w:ascii="宋体" w:hAnsi="宋体" w:cs="宋体" w:eastAsia="宋体" w:hint="ascii"/>
          <w:sz w:val="21"/>
          <w:spacing w:val="-1"/>
        </w:rPr>
        <w:t>绸之路经</w:t>
      </w:r>
      <w:r>
        <w:rPr>
          <w:rFonts w:ascii="宋体" w:hAnsi="宋体" w:cs="宋体" w:eastAsia="宋体" w:hint="ascii"/>
          <w:sz w:val="21"/>
        </w:rPr>
        <w:t>济带战略需要，设计西北旱区农业市场培育及西向开放发展的解决方案，并进行实证检验。</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政府职能转变的政策效应研究（</w:t>
      </w:r>
      <w:r>
        <w:rPr>
          <w:rFonts w:ascii="Times New Roman" w:hAnsi="Times New Roman" w:cs="Times New Roman" w:eastAsia="Times New Roman" w:hint="ascii"/>
          <w:b w:val="1"/>
          <w:sz w:val="21"/>
        </w:rPr>
        <w:t>G0401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研究政府职能转变政策效应的科学内涵、动态特征、识别指标，进而对当前我国政</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府职能转</w:t>
      </w:r>
      <w:r>
        <w:rPr>
          <w:rFonts w:ascii="宋体" w:hAnsi="宋体" w:cs="宋体" w:eastAsia="宋体" w:hint="ascii"/>
          <w:sz w:val="21"/>
        </w:rPr>
        <w:t>变的政策效应进行全面测度和综合评价；研究政府职能转变政策效应的生成环</w:t>
      </w:r>
      <w:r>
        <w:rPr>
          <w:rFonts w:ascii="宋体" w:hAnsi="宋体" w:cs="宋体" w:eastAsia="宋体" w:hint="ascii"/>
          <w:sz w:val="21"/>
          <w:spacing w:val="-1"/>
        </w:rPr>
        <w:t>境和阻碍</w:t>
      </w:r>
      <w:r>
        <w:rPr>
          <w:rFonts w:ascii="宋体" w:hAnsi="宋体" w:cs="宋体" w:eastAsia="宋体" w:hint="ascii"/>
          <w:sz w:val="21"/>
        </w:rPr>
        <w:t>因素，对抑制政府职能转变政策效应生成的问题进行总结和模拟；研究政府职</w:t>
      </w:r>
      <w:r>
        <w:rPr>
          <w:rFonts w:ascii="宋体" w:hAnsi="宋体" w:cs="宋体" w:eastAsia="宋体" w:hint="ascii"/>
          <w:sz w:val="21"/>
          <w:spacing w:val="-1"/>
        </w:rPr>
        <w:t>能转变政</w:t>
      </w:r>
      <w:r>
        <w:rPr>
          <w:rFonts w:ascii="宋体" w:hAnsi="宋体" w:cs="宋体" w:eastAsia="宋体" w:hint="ascii"/>
          <w:sz w:val="21"/>
        </w:rPr>
        <w:t>策效应产生和扩散的动力、机制、模式及规律，构建互联网和市场化背景下政</w:t>
      </w:r>
      <w:r>
        <w:rPr>
          <w:rFonts w:ascii="宋体" w:hAnsi="宋体" w:cs="宋体" w:eastAsia="宋体" w:hint="ascii"/>
          <w:sz w:val="21"/>
          <w:spacing w:val="-1"/>
        </w:rPr>
        <w:t>府职能转</w:t>
      </w:r>
      <w:r>
        <w:rPr>
          <w:rFonts w:ascii="宋体" w:hAnsi="宋体" w:cs="宋体" w:eastAsia="宋体" w:hint="ascii"/>
          <w:sz w:val="21"/>
        </w:rPr>
        <w:t>变政策效应的理论模型；研究政府职能转变的地方案例和治理经验，提出政府职能转变的可持续发展策略。</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我国核心信息技术创新规律及产业创新生态培育研究（</w:t>
      </w:r>
      <w:r>
        <w:rPr>
          <w:rFonts w:ascii="Times New Roman" w:hAnsi="Times New Roman" w:cs="Times New Roman" w:eastAsia="Times New Roman" w:hint="ascii"/>
          <w:b w:val="1"/>
          <w:sz w:val="21"/>
        </w:rPr>
        <w:t>G0405</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深刻分析全球竞争背景下的信息技术创新内涵特征与相关产业演化机制，针对我国</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4"/>
        </w:rPr>
        <w:t>未来经济社会发展的重</w:t>
      </w:r>
      <w:r>
        <w:rPr>
          <w:rFonts w:ascii="宋体" w:hAnsi="宋体" w:cs="宋体" w:eastAsia="宋体" w:hint="ascii"/>
          <w:sz w:val="21"/>
          <w:spacing w:val="3"/>
        </w:rPr>
        <w:t>大需求，系统研究核心信息技术创新规律，完善相关理论</w:t>
      </w:r>
      <w:r>
        <w:rPr>
          <w:rFonts w:ascii="宋体" w:hAnsi="宋体" w:cs="宋体" w:eastAsia="宋体" w:hint="ascii"/>
          <w:sz w:val="21"/>
          <w:spacing w:val="-6"/>
        </w:rPr>
        <w:t>基</w:t>
      </w:r>
      <w:r>
        <w:rPr>
          <w:rFonts w:ascii="宋体" w:hAnsi="宋体" w:cs="宋体" w:eastAsia="宋体" w:hint="ascii"/>
          <w:sz w:val="21"/>
          <w:spacing w:val="1"/>
        </w:rPr>
        <w:t>础，提出面向网络强国</w:t>
      </w:r>
      <w:r>
        <w:rPr>
          <w:rFonts w:ascii="宋体" w:hAnsi="宋体" w:cs="宋体" w:eastAsia="宋体" w:hint="ascii"/>
          <w:sz w:val="21"/>
        </w:rPr>
        <w:t>建设的核心信息技术自主创新的体系与框架；研究新兴信息</w:t>
      </w:r>
      <w:r>
        <w:rPr>
          <w:rFonts w:ascii="宋体" w:hAnsi="宋体" w:cs="宋体" w:eastAsia="宋体" w:hint="ascii"/>
          <w:sz w:val="21"/>
          <w:spacing w:val="-6"/>
        </w:rPr>
        <w:t>技</w:t>
      </w:r>
      <w:r>
        <w:rPr>
          <w:rFonts w:ascii="宋体" w:hAnsi="宋体" w:cs="宋体" w:eastAsia="宋体" w:hint="ascii"/>
          <w:sz w:val="21"/>
          <w:spacing w:val="1"/>
        </w:rPr>
        <w:t>术产业化发展机理，关</w:t>
      </w:r>
      <w:r>
        <w:rPr>
          <w:rFonts w:ascii="宋体" w:hAnsi="宋体" w:cs="宋体" w:eastAsia="宋体" w:hint="ascii"/>
          <w:sz w:val="21"/>
        </w:rPr>
        <w:t>注在互联网大数据背景下产业创新生态培育路径；探索未来</w:t>
      </w:r>
      <w:r>
        <w:rPr>
          <w:rFonts w:ascii="宋体" w:hAnsi="宋体" w:cs="宋体" w:eastAsia="宋体" w:hint="ascii"/>
          <w:sz w:val="21"/>
          <w:spacing w:val="-6"/>
        </w:rPr>
        <w:t>在</w:t>
      </w:r>
      <w:r>
        <w:rPr>
          <w:rFonts w:ascii="宋体" w:hAnsi="宋体" w:cs="宋体" w:eastAsia="宋体" w:hint="ascii"/>
          <w:sz w:val="21"/>
          <w:spacing w:val="1"/>
        </w:rPr>
        <w:t>关键领域进行技术突破</w:t>
      </w:r>
      <w:r>
        <w:rPr>
          <w:rFonts w:ascii="宋体" w:hAnsi="宋体" w:cs="宋体" w:eastAsia="宋体" w:hint="ascii"/>
          <w:sz w:val="21"/>
        </w:rPr>
        <w:t>、引领数字创新创业发展的机制与路径，并提出系统性的政</w:t>
      </w:r>
      <w:r>
        <w:rPr>
          <w:rFonts w:ascii="宋体" w:hAnsi="宋体" w:cs="宋体" w:eastAsia="宋体" w:hint="ascii"/>
          <w:sz w:val="21"/>
          <w:spacing w:val="-6"/>
        </w:rPr>
        <w:t>策</w:t>
      </w:r>
      <w:r>
        <w:rPr>
          <w:rFonts w:ascii="宋体" w:hAnsi="宋体" w:cs="宋体" w:eastAsia="宋体" w:hint="ascii"/>
          <w:sz w:val="21"/>
        </w:rPr>
        <w:t>设计与建议。</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“一带一路”背景下中国公共卫生风险防范和卫生资源配置研究（</w:t>
      </w:r>
      <w:r>
        <w:rPr>
          <w:rFonts w:ascii="Times New Roman" w:hAnsi="Times New Roman" w:cs="Times New Roman" w:eastAsia="Times New Roman" w:hint="ascii"/>
          <w:b w:val="1"/>
          <w:sz w:val="21"/>
        </w:rPr>
        <w:t>G0406</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分析“一带一路”背景下，全球化可能给中国带来的重大公共卫生风险，探讨中国</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卫生系统</w:t>
      </w:r>
      <w:r>
        <w:rPr>
          <w:rFonts w:ascii="宋体" w:hAnsi="宋体" w:cs="宋体" w:eastAsia="宋体" w:hint="ascii"/>
          <w:sz w:val="21"/>
        </w:rPr>
        <w:t>现有资源在应对各种新增健康风险和挑战方面的能力；通过对“一带一路”周</w:t>
      </w:r>
      <w:r>
        <w:rPr>
          <w:rFonts w:ascii="宋体" w:hAnsi="宋体" w:cs="宋体" w:eastAsia="宋体" w:hint="ascii"/>
          <w:sz w:val="21"/>
          <w:spacing w:val="-1"/>
        </w:rPr>
        <w:t>边国家和</w:t>
      </w:r>
      <w:r>
        <w:rPr>
          <w:rFonts w:ascii="宋体" w:hAnsi="宋体" w:cs="宋体" w:eastAsia="宋体" w:hint="ascii"/>
          <w:sz w:val="21"/>
        </w:rPr>
        <w:t>地区重大急慢性传染病、主要健康威胁及其卫生资源配置分析，研究中国未来</w:t>
      </w:r>
      <w:r>
        <w:rPr>
          <w:rFonts w:ascii="宋体" w:hAnsi="宋体" w:cs="宋体" w:eastAsia="宋体" w:hint="ascii"/>
          <w:sz w:val="21"/>
          <w:spacing w:val="-1"/>
        </w:rPr>
        <w:t>公共卫生</w:t>
      </w:r>
      <w:r>
        <w:rPr>
          <w:rFonts w:ascii="宋体" w:hAnsi="宋体" w:cs="宋体" w:eastAsia="宋体" w:hint="ascii"/>
          <w:sz w:val="21"/>
        </w:rPr>
        <w:t>安全挑战及其动态演化趋势，探索和构建新颖的公共卫生安全风险评估、能力诊断、培训和建设模式，为国家健康安全战略规划与资源配置策略等提供循证依据。</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“互联网</w:t>
      </w:r>
      <w:r>
        <w:rPr>
          <w:rFonts w:ascii="Times New Roman" w:hAnsi="Times New Roman" w:cs="Times New Roman" w:eastAsia="Times New Roman" w:hint="ascii"/>
          <w:b w:val="1"/>
          <w:sz w:val="21"/>
        </w:rPr>
        <w:t>+</w:t>
      </w:r>
      <w:r>
        <w:rPr>
          <w:rFonts w:ascii="宋体" w:hAnsi="宋体" w:cs="宋体" w:eastAsia="宋体" w:hint="ascii"/>
          <w:sz w:val="21"/>
        </w:rPr>
        <w:t>”时代的教育改革与创新管理研究（</w:t>
      </w:r>
      <w:r>
        <w:rPr>
          <w:rFonts w:ascii="Times New Roman" w:hAnsi="Times New Roman" w:cs="Times New Roman" w:eastAsia="Times New Roman" w:hint="ascii"/>
          <w:b w:val="1"/>
          <w:sz w:val="21"/>
        </w:rPr>
        <w:t>G0407</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遵循现代知识生产与传播规律，研究“互联网</w:t>
      </w:r>
      <w:r>
        <w:rPr>
          <w:rFonts w:ascii="Times New Roman" w:hAnsi="Times New Roman" w:cs="Times New Roman" w:eastAsia="Times New Roman" w:hint="ascii"/>
          <w:sz w:val="21"/>
        </w:rPr>
        <w:t>+</w:t>
      </w:r>
      <w:r>
        <w:rPr>
          <w:rFonts w:ascii="宋体" w:hAnsi="宋体" w:cs="宋体" w:eastAsia="宋体" w:hint="ascii"/>
          <w:sz w:val="21"/>
        </w:rPr>
        <w:t>教育”的动因、内涵、特征，分析</w:t>
      </w:r>
    </w:p>
    <w:p>
      <w:pPr>
        <w:autoSpaceDE w:val="0"/>
        <w:autoSpaceDN w:val="0"/>
        <w:jc w:val="right"/>
        <w:spacing w:before="10" w:after="0" w:lineRule="exact" w:line="312"/>
        <w:ind w:right="975" w:left="861" w:firstLine="0"/>
        <w:snapToGrid w:val="0"/>
        <w:textAlignment w:val="auto"/>
        <w:tabs/>
        <w:rPr>
          <w:rFonts w:ascii="宋体" w:hAnsi="宋体" w:cs="宋体" w:eastAsia="宋体" w:hint="ascii"/>
          <w:sz w:val="21"/>
        </w:rPr>
      </w:pPr>
      <w:r>
        <w:rPr>
          <w:rFonts w:ascii="宋体" w:hAnsi="宋体" w:cs="宋体" w:eastAsia="宋体" w:hint="ascii"/>
          <w:sz w:val="21"/>
        </w:rPr>
        <w:t>其对未来教育资源形态、教学形态、学校形态和社会形态带来的影响；研究“互联</w:t>
      </w:r>
      <w:r>
        <w:rPr>
          <w:rFonts w:ascii="宋体" w:hAnsi="宋体" w:cs="宋体" w:eastAsia="宋体" w:hint="ascii"/>
          <w:sz w:val="21"/>
          <w:spacing w:val="3"/>
        </w:rPr>
        <w:t>网</w:t>
      </w:r>
      <w:r>
        <w:rPr>
          <w:rFonts w:ascii="Times New Roman" w:hAnsi="Times New Roman" w:cs="Times New Roman" w:eastAsia="Times New Roman" w:hint="ascii"/>
          <w:sz w:val="21"/>
        </w:rPr>
        <w:t xml:space="preserve">+ </w:t>
      </w:r>
      <w:r>
        <w:rPr>
          <w:rFonts w:ascii="宋体" w:hAnsi="宋体" w:cs="宋体" w:eastAsia="宋体" w:hint="ascii"/>
          <w:sz w:val="21"/>
          <w:spacing w:val="-1"/>
        </w:rPr>
        <w:t>教育”跨</w:t>
      </w:r>
      <w:r>
        <w:rPr>
          <w:rFonts w:ascii="宋体" w:hAnsi="宋体" w:cs="宋体" w:eastAsia="宋体" w:hint="ascii"/>
          <w:sz w:val="21"/>
        </w:rPr>
        <w:t>界融合下的课程开放、教学方式、学习方式、评价模式，探讨教育基本原理在 “互联网</w:t>
      </w:r>
      <w:r>
        <w:rPr>
          <w:rFonts w:ascii="Times New Roman" w:hAnsi="Times New Roman" w:cs="Times New Roman" w:eastAsia="Times New Roman" w:hint="ascii"/>
          <w:sz w:val="21"/>
        </w:rPr>
        <w:t>+</w:t>
      </w:r>
      <w:r>
        <w:rPr>
          <w:rFonts w:ascii="宋体" w:hAnsi="宋体" w:cs="宋体" w:eastAsia="宋体" w:hint="ascii"/>
          <w:sz w:val="21"/>
        </w:rPr>
        <w:t>教育”下的适应性演进；研究“互联网</w:t>
      </w:r>
      <w:r>
        <w:rPr>
          <w:rFonts w:ascii="Times New Roman" w:hAnsi="Times New Roman" w:cs="Times New Roman" w:eastAsia="Times New Roman" w:hint="ascii"/>
          <w:sz w:val="21"/>
        </w:rPr>
        <w:t>+</w:t>
      </w:r>
      <w:r>
        <w:rPr>
          <w:rFonts w:ascii="宋体" w:hAnsi="宋体" w:cs="宋体" w:eastAsia="宋体" w:hint="ascii"/>
          <w:sz w:val="21"/>
        </w:rPr>
        <w:t>”时代的教育管理变革与学校组织管</w:t>
      </w:r>
    </w:p>
    <w:p>
      <w:pPr>
        <w:autoSpaceDE w:val="0"/>
        <w:autoSpaceDN w:val="0"/>
        <w:jc w:val="left"/>
        <w:spacing w:before="27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理创新；通过</w:t>
      </w:r>
      <w:r>
        <w:rPr>
          <w:rFonts w:ascii="宋体" w:hAnsi="宋体" w:cs="宋体" w:eastAsia="宋体" w:hint="ascii"/>
          <w:sz w:val="21"/>
        </w:rPr>
        <w:t>案例和实证，研究大数据在教育管理决策中的深度应用，提出促进“互联网</w:t>
      </w:r>
      <w:r>
        <w:rPr>
          <w:rFonts w:ascii="Times New Roman" w:hAnsi="Times New Roman" w:cs="Times New Roman" w:eastAsia="Times New Roman" w:hint="ascii"/>
          <w:sz w:val="21"/>
        </w:rPr>
        <w:t>+</w:t>
      </w:r>
      <w:r>
        <w:rPr>
          <w:rFonts w:ascii="宋体" w:hAnsi="宋体" w:cs="宋体" w:eastAsia="宋体" w:hint="ascii"/>
          <w:sz w:val="21"/>
        </w:rPr>
        <w:t>”时代教育改革与管理创新的政策措施。</w:t>
      </w:r>
      <w:r>
        <w:rPr>
          <w:rFonts w:ascii="宋体" w:hAnsi="宋体" w:cs="宋体" w:eastAsia="宋体" w:hint="ascii"/>
          <w:sz w:val="21"/>
        </w:rPr>
        <mc:AlternateContent>
          <mc:Choice Requires="wps">
            <w:drawing>
              <wp:anchor distL="0" distR="0" distT="0" distB="0" simplePos="0" behindDoc="1" relativeHeight="175" locked="0" layoutInCell="1" allowOverlap="1">
                <wp:simplePos x="0" y="0"/>
                <wp:positionH relativeFrom="page">
                  <wp:posOffset>938530</wp:posOffset>
                </wp:positionH>
                <wp:positionV relativeFrom="page">
                  <wp:posOffset>819150</wp:posOffset>
                </wp:positionV>
                <wp:extent cx="5076190" cy="0"/>
                <wp:wrapNone/>
                <wp:docPr id="1204" name="120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79040;width:399.70pt;" id="120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可再生能源发展的驱动机理及路径选择（</w:t>
      </w:r>
      <w:r>
        <w:rPr>
          <w:rFonts w:ascii="Times New Roman" w:hAnsi="Times New Roman" w:cs="Times New Roman" w:eastAsia="Times New Roman" w:hint="ascii"/>
          <w:b w:val="1"/>
          <w:sz w:val="21"/>
        </w:rPr>
        <w:t>G0412</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分析典型可再生能源发展的影响因素及演化路径，研究政策、市场、技术驱动等对</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路径的作用机</w:t>
      </w:r>
      <w:r>
        <w:rPr>
          <w:rFonts w:ascii="宋体" w:hAnsi="宋体" w:cs="宋体" w:eastAsia="宋体" w:hint="ascii"/>
          <w:sz w:val="21"/>
        </w:rPr>
        <w:t>理；分析影响中国可再生能源发展偏好的形成规律及其作用效果；研究各</w:t>
      </w:r>
      <w:r>
        <w:rPr>
          <w:rFonts w:ascii="宋体" w:hAnsi="宋体" w:cs="宋体" w:eastAsia="宋体" w:hint="ascii"/>
          <w:sz w:val="21"/>
          <w:spacing w:val="-1"/>
        </w:rPr>
        <w:t>参与主体的角</w:t>
      </w:r>
      <w:r>
        <w:rPr>
          <w:rFonts w:ascii="宋体" w:hAnsi="宋体" w:cs="宋体" w:eastAsia="宋体" w:hint="ascii"/>
          <w:sz w:val="21"/>
        </w:rPr>
        <w:t>色定位与结构关系及对可再生能源发展过程的影响机理；研究不同类型激</w:t>
      </w:r>
      <w:r>
        <w:rPr>
          <w:rFonts w:ascii="宋体" w:hAnsi="宋体" w:cs="宋体" w:eastAsia="宋体" w:hint="ascii"/>
          <w:sz w:val="21"/>
          <w:spacing w:val="-1"/>
        </w:rPr>
        <w:t>励政策下，参</w:t>
      </w:r>
      <w:r>
        <w:rPr>
          <w:rFonts w:ascii="宋体" w:hAnsi="宋体" w:cs="宋体" w:eastAsia="宋体" w:hint="ascii"/>
          <w:sz w:val="21"/>
        </w:rPr>
        <w:t>与主体的行为选择及其对可再生能源发展和社会福利的影响；综合分析不</w:t>
      </w:r>
      <w:r>
        <w:rPr>
          <w:rFonts w:ascii="宋体" w:hAnsi="宋体" w:cs="宋体" w:eastAsia="宋体" w:hint="ascii"/>
          <w:sz w:val="21"/>
          <w:spacing w:val="-1"/>
        </w:rPr>
        <w:t>同情景下中国</w:t>
      </w:r>
      <w:r>
        <w:rPr>
          <w:rFonts w:ascii="宋体" w:hAnsi="宋体" w:cs="宋体" w:eastAsia="宋体" w:hint="ascii"/>
          <w:sz w:val="21"/>
        </w:rPr>
        <w:t>发展可再生能源的成本、收益和环境影响，提出我国可再生能源发展路径及政策清单。</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我国小城镇的转型发展与治理研究（</w:t>
      </w:r>
      <w:r>
        <w:rPr>
          <w:rFonts w:ascii="Times New Roman" w:hAnsi="Times New Roman" w:cs="Times New Roman" w:eastAsia="Times New Roman" w:hint="ascii"/>
          <w:b w:val="1"/>
          <w:sz w:val="21"/>
        </w:rPr>
        <w:t>G0413</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分析中外小城镇转型发展过程，研究小城镇在国家发展战略、区域城镇群发展、城</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乡协调发展中</w:t>
      </w:r>
      <w:r>
        <w:rPr>
          <w:rFonts w:ascii="宋体" w:hAnsi="宋体" w:cs="宋体" w:eastAsia="宋体" w:hint="ascii"/>
          <w:sz w:val="21"/>
        </w:rPr>
        <w:t>的地位与作用；研究我国小城镇发展现状及其机遇与挑战，探索小城镇健</w:t>
      </w:r>
      <w:r>
        <w:rPr>
          <w:rFonts w:ascii="宋体" w:hAnsi="宋体" w:cs="宋体" w:eastAsia="宋体" w:hint="ascii"/>
          <w:sz w:val="21"/>
          <w:spacing w:val="-1"/>
        </w:rPr>
        <w:t>康、协调、可</w:t>
      </w:r>
      <w:r>
        <w:rPr>
          <w:rFonts w:ascii="宋体" w:hAnsi="宋体" w:cs="宋体" w:eastAsia="宋体" w:hint="ascii"/>
          <w:sz w:val="21"/>
        </w:rPr>
        <w:t>持续发展的策略及机制；分析小城镇发展相关的经济、社会、生态、空间</w:t>
      </w:r>
      <w:r>
        <w:rPr>
          <w:rFonts w:ascii="宋体" w:hAnsi="宋体" w:cs="宋体" w:eastAsia="宋体" w:hint="ascii"/>
          <w:sz w:val="21"/>
          <w:spacing w:val="-1"/>
        </w:rPr>
        <w:t>等环境或要素</w:t>
      </w:r>
      <w:r>
        <w:rPr>
          <w:rFonts w:ascii="宋体" w:hAnsi="宋体" w:cs="宋体" w:eastAsia="宋体" w:hint="ascii"/>
          <w:sz w:val="21"/>
        </w:rPr>
        <w:t>的演化规律及特征，构建小城镇可持续转型发展的理论体系；研究我国小</w:t>
      </w:r>
      <w:r>
        <w:rPr>
          <w:rFonts w:ascii="宋体" w:hAnsi="宋体" w:cs="宋体" w:eastAsia="宋体" w:hint="ascii"/>
          <w:sz w:val="21"/>
          <w:spacing w:val="-1"/>
        </w:rPr>
        <w:t>城镇可持续转</w:t>
      </w:r>
      <w:r>
        <w:rPr>
          <w:rFonts w:ascii="宋体" w:hAnsi="宋体" w:cs="宋体" w:eastAsia="宋体" w:hint="ascii"/>
          <w:sz w:val="21"/>
        </w:rPr>
        <w:t>型发展的治理模式与管理策略，提炼推进我国新型城镇化的小城镇转型发展的政策建议。</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我国蓝色经济空间拓展战略决策研究（</w:t>
      </w:r>
      <w:r>
        <w:rPr>
          <w:rFonts w:ascii="Times New Roman" w:hAnsi="Times New Roman" w:cs="Times New Roman" w:eastAsia="Times New Roman" w:hint="ascii"/>
          <w:b w:val="1"/>
          <w:sz w:val="21"/>
        </w:rPr>
        <w:t>G0413</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在海洋强国战略背景下，研究蓝色经济空间拓展战略决策方法；对比分析国际海洋</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强国的国际海</w:t>
      </w:r>
      <w:r>
        <w:rPr>
          <w:rFonts w:ascii="宋体" w:hAnsi="宋体" w:cs="宋体" w:eastAsia="宋体" w:hint="ascii"/>
          <w:sz w:val="21"/>
        </w:rPr>
        <w:t>洋空间规划，形成蓝色经济空间拓展战略决策方案；蓝色经济空间拓展战</w:t>
      </w:r>
      <w:r>
        <w:rPr>
          <w:rFonts w:ascii="宋体" w:hAnsi="宋体" w:cs="宋体" w:eastAsia="宋体" w:hint="ascii"/>
          <w:sz w:val="21"/>
          <w:spacing w:val="-1"/>
        </w:rPr>
        <w:t>略决策方法的</w:t>
      </w:r>
      <w:r>
        <w:rPr>
          <w:rFonts w:ascii="宋体" w:hAnsi="宋体" w:cs="宋体" w:eastAsia="宋体" w:hint="ascii"/>
          <w:sz w:val="21"/>
        </w:rPr>
        <w:t>系统集成，构建战略决策支持系统；结合国际规范、国际海洋强国空间拓</w:t>
      </w:r>
      <w:r>
        <w:rPr>
          <w:rFonts w:ascii="宋体" w:hAnsi="宋体" w:cs="宋体" w:eastAsia="宋体" w:hint="ascii"/>
          <w:sz w:val="21"/>
          <w:spacing w:val="-1"/>
        </w:rPr>
        <w:t>展实际，并充</w:t>
      </w:r>
      <w:r>
        <w:rPr>
          <w:rFonts w:ascii="宋体" w:hAnsi="宋体" w:cs="宋体" w:eastAsia="宋体" w:hint="ascii"/>
          <w:sz w:val="21"/>
        </w:rPr>
        <w:t>分考虑我国国情，将决策方法与决策支持系统应用于我国蓝色经济空间拓展，针对相关区域案例，进行实证分析并提出对策建议。</w:t>
      </w:r>
    </w:p>
    <w:p>
      <w:pPr>
        <w:autoSpaceDE w:val="0"/>
        <w:autoSpaceDN w:val="0"/>
        <w:jc w:val="left"/>
        <w:spacing w:before="40"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基于中国实践的组织行为与人力资源管理研究（学科重点项目群）</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随着《十三五规划纲要》中“创新、协调、绿色、开放、共享”五大核心发展理念</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的贯彻实施，</w:t>
      </w:r>
      <w:r>
        <w:rPr>
          <w:rFonts w:ascii="宋体" w:hAnsi="宋体" w:cs="宋体" w:eastAsia="宋体" w:hint="ascii"/>
          <w:sz w:val="21"/>
        </w:rPr>
        <w:t>人力强国被再次提到国家战略高度。把握组织变革与人力资源管理环境变</w:t>
      </w:r>
      <w:r>
        <w:rPr>
          <w:rFonts w:ascii="宋体" w:hAnsi="宋体" w:cs="宋体" w:eastAsia="宋体" w:hint="ascii"/>
          <w:sz w:val="21"/>
          <w:spacing w:val="-1"/>
        </w:rPr>
        <w:t>化、激发人力</w:t>
      </w:r>
      <w:r>
        <w:rPr>
          <w:rFonts w:ascii="宋体" w:hAnsi="宋体" w:cs="宋体" w:eastAsia="宋体" w:hint="ascii"/>
          <w:sz w:val="21"/>
        </w:rPr>
        <w:t>资源创新活力、探索组织与人力资源管理面临的新问题、新理论，已成为</w:t>
      </w:r>
      <w:r>
        <w:rPr>
          <w:rFonts w:ascii="宋体" w:hAnsi="宋体" w:cs="宋体" w:eastAsia="宋体" w:hint="ascii"/>
          <w:sz w:val="21"/>
          <w:spacing w:val="-1"/>
        </w:rPr>
        <w:t>政府、业界和</w:t>
      </w:r>
      <w:r>
        <w:rPr>
          <w:rFonts w:ascii="宋体" w:hAnsi="宋体" w:cs="宋体" w:eastAsia="宋体" w:hint="ascii"/>
          <w:sz w:val="21"/>
        </w:rPr>
        <w:t>学界共同关注的科学问题。本重点项目群聚焦服务国家创新驱动发展战略</w:t>
      </w:r>
      <w:r>
        <w:rPr>
          <w:rFonts w:ascii="宋体" w:hAnsi="宋体" w:cs="宋体" w:eastAsia="宋体" w:hint="ascii"/>
          <w:sz w:val="21"/>
          <w:spacing w:val="-1"/>
        </w:rPr>
        <w:t>的组织与人力</w:t>
      </w:r>
      <w:r>
        <w:rPr>
          <w:rFonts w:ascii="宋体" w:hAnsi="宋体" w:cs="宋体" w:eastAsia="宋体" w:hint="ascii"/>
          <w:sz w:val="21"/>
        </w:rPr>
        <w:t>资源管理问题，重点研究基于中国实践的组织结构形态变化、组织行为模</w:t>
      </w:r>
      <w:r>
        <w:rPr>
          <w:rFonts w:ascii="宋体" w:hAnsi="宋体" w:cs="宋体" w:eastAsia="宋体" w:hint="ascii"/>
          <w:sz w:val="21"/>
          <w:spacing w:val="-1"/>
        </w:rPr>
        <w:t>式、跨界合作</w:t>
      </w:r>
      <w:r>
        <w:rPr>
          <w:rFonts w:ascii="宋体" w:hAnsi="宋体" w:cs="宋体" w:eastAsia="宋体" w:hint="ascii"/>
          <w:sz w:val="21"/>
        </w:rPr>
        <w:t>，以及人力资源管理创新等关键科学问题，以期提炼和完善具有本土特色的组织与人力资源管理理论，为企业实践提供理论支撑。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）基于创新导向的企业人力资源管理模式研究（</w:t>
      </w:r>
      <w:r>
        <w:rPr>
          <w:rFonts w:ascii="Times New Roman" w:hAnsi="Times New Roman" w:cs="Times New Roman" w:eastAsia="Times New Roman" w:hint="ascii"/>
          <w:sz w:val="21"/>
        </w:rPr>
        <w:t>G0204</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探讨不同阶段背景下企业组织特征的变化及演化规律，分析不同创新导向的环境、</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人力资源管理特征及匹配逻辑，提炼员</w:t>
      </w:r>
      <w:r>
        <w:rPr>
          <w:rFonts w:ascii="宋体" w:hAnsi="宋体" w:cs="宋体" w:eastAsia="宋体" w:hint="ascii"/>
          <w:sz w:val="21"/>
          <w:spacing w:val="10"/>
        </w:rPr>
        <w:t>工</w:t>
      </w:r>
      <w:r>
        <w:rPr>
          <w:rFonts w:ascii="宋体" w:hAnsi="宋体" w:cs="宋体" w:eastAsia="宋体" w:hint="ascii"/>
          <w:sz w:val="21"/>
          <w:spacing w:val="21"/>
        </w:rPr>
        <w:t>-</w:t>
      </w:r>
      <w:r>
        <w:rPr>
          <w:rFonts w:ascii="宋体" w:hAnsi="宋体" w:cs="宋体" w:eastAsia="宋体" w:hint="ascii"/>
          <w:sz w:val="21"/>
        </w:rPr>
        <w:t>组织关系的类型、演化及效应，结合大数据</w:t>
      </w:r>
      <w:r>
        <w:rPr>
          <w:rFonts w:ascii="宋体" w:hAnsi="宋体" w:cs="宋体" w:eastAsia="宋体" w:hint="ascii"/>
          <w:sz w:val="21"/>
          <w:spacing w:val="-1"/>
        </w:rPr>
        <w:t>挖掘不同层次</w:t>
      </w:r>
      <w:r>
        <w:rPr>
          <w:rFonts w:ascii="宋体" w:hAnsi="宋体" w:cs="宋体" w:eastAsia="宋体" w:hint="ascii"/>
          <w:sz w:val="21"/>
        </w:rPr>
        <w:t>创新型主体的特征、作用及机理，以揭示创新导向的企业人力资源管理模式内涵、构建及运行机制。</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）基于共享理念的多元雇佣理论体系构建研究（</w:t>
      </w:r>
      <w:r>
        <w:rPr>
          <w:rFonts w:ascii="Times New Roman" w:hAnsi="Times New Roman" w:cs="Times New Roman" w:eastAsia="Times New Roman" w:hint="ascii"/>
          <w:sz w:val="21"/>
        </w:rPr>
        <w:t>G0204</w:t>
      </w:r>
      <w:r>
        <w:rPr>
          <w:rFonts w:ascii="宋体" w:hAnsi="宋体" w:cs="宋体" w:eastAsia="宋体" w:hint="ascii"/>
          <w:sz w:val="21"/>
        </w:rPr>
        <w:t>）</w:t>
      </w:r>
    </w:p>
    <w:p>
      <w:pPr>
        <w:autoSpaceDE w:val="0"/>
        <w:autoSpaceDN w:val="0"/>
        <w:jc w:val="left"/>
        <w:spacing w:before="49"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探</w:t>
      </w:r>
      <w:r>
        <w:rPr>
          <w:rFonts w:ascii="宋体" w:hAnsi="宋体" w:cs="宋体" w:eastAsia="宋体" w:hint="ascii"/>
          <w:sz w:val="21"/>
          <w:spacing w:val="7"/>
        </w:rPr>
        <w:t>讨</w:t>
      </w:r>
      <w:r>
        <w:rPr>
          <w:rFonts w:ascii="宋体" w:hAnsi="宋体" w:cs="宋体" w:eastAsia="宋体" w:hint="ascii"/>
          <w:sz w:val="21"/>
          <w:spacing w:val="6"/>
        </w:rPr>
        <w:t>共享时代</w:t>
      </w:r>
      <w:r>
        <w:rPr>
          <w:rFonts w:ascii="宋体" w:hAnsi="宋体" w:cs="宋体" w:eastAsia="宋体" w:hint="ascii"/>
          <w:sz w:val="21"/>
          <w:spacing w:val="7"/>
        </w:rPr>
        <w:t>制</w:t>
      </w:r>
      <w:r>
        <w:rPr>
          <w:rFonts w:ascii="宋体" w:hAnsi="宋体" w:cs="宋体" w:eastAsia="宋体" w:hint="ascii"/>
          <w:sz w:val="21"/>
          <w:spacing w:val="6"/>
        </w:rPr>
        <w:t>约中国企</w:t>
      </w:r>
      <w:r>
        <w:rPr>
          <w:rFonts w:ascii="宋体" w:hAnsi="宋体" w:cs="宋体" w:eastAsia="宋体" w:hint="ascii"/>
          <w:sz w:val="21"/>
          <w:spacing w:val="7"/>
        </w:rPr>
        <w:t>业</w:t>
      </w:r>
      <w:r>
        <w:rPr>
          <w:rFonts w:ascii="宋体" w:hAnsi="宋体" w:cs="宋体" w:eastAsia="宋体" w:hint="ascii"/>
          <w:sz w:val="21"/>
          <w:spacing w:val="6"/>
        </w:rPr>
        <w:t>多元雇佣</w:t>
      </w:r>
      <w:r>
        <w:rPr>
          <w:rFonts w:ascii="宋体" w:hAnsi="宋体" w:cs="宋体" w:eastAsia="宋体" w:hint="ascii"/>
          <w:sz w:val="21"/>
          <w:spacing w:val="7"/>
        </w:rPr>
        <w:t>效</w:t>
      </w:r>
      <w:r>
        <w:rPr>
          <w:rFonts w:ascii="宋体" w:hAnsi="宋体" w:cs="宋体" w:eastAsia="宋体" w:hint="ascii"/>
          <w:sz w:val="21"/>
          <w:spacing w:val="6"/>
        </w:rPr>
        <w:t>果的组织</w:t>
      </w:r>
      <w:r>
        <w:rPr>
          <w:rFonts w:ascii="宋体" w:hAnsi="宋体" w:cs="宋体" w:eastAsia="宋体" w:hint="ascii"/>
          <w:sz w:val="21"/>
          <w:spacing w:val="7"/>
        </w:rPr>
        <w:t>和</w:t>
      </w:r>
      <w:r>
        <w:rPr>
          <w:rFonts w:ascii="宋体" w:hAnsi="宋体" w:cs="宋体" w:eastAsia="宋体" w:hint="ascii"/>
          <w:sz w:val="21"/>
          <w:spacing w:val="6"/>
        </w:rPr>
        <w:t>文化因素</w:t>
      </w:r>
      <w:r>
        <w:rPr>
          <w:rFonts w:ascii="宋体" w:hAnsi="宋体" w:cs="宋体" w:eastAsia="宋体" w:hint="ascii"/>
          <w:sz w:val="21"/>
          <w:spacing w:val="7"/>
        </w:rPr>
        <w:t>，</w:t>
      </w:r>
      <w:r>
        <w:rPr>
          <w:rFonts w:ascii="宋体" w:hAnsi="宋体" w:cs="宋体" w:eastAsia="宋体" w:hint="ascii"/>
          <w:sz w:val="21"/>
          <w:spacing w:val="6"/>
        </w:rPr>
        <w:t>研究基于</w:t>
      </w:r>
      <w:r>
        <w:rPr>
          <w:rFonts w:ascii="宋体" w:hAnsi="宋体" w:cs="宋体" w:eastAsia="宋体" w:hint="ascii"/>
          <w:sz w:val="21"/>
          <w:spacing w:val="7"/>
        </w:rPr>
        <w:t>共</w:t>
      </w:r>
      <w:r>
        <w:rPr>
          <w:rFonts w:ascii="宋体" w:hAnsi="宋体" w:cs="宋体" w:eastAsia="宋体" w:hint="ascii"/>
          <w:sz w:val="21"/>
          <w:spacing w:val="6"/>
        </w:rPr>
        <w:t>享</w:t>
      </w:r>
      <w:r>
        <w:rPr>
          <w:rFonts w:ascii="宋体" w:hAnsi="宋体" w:cs="宋体" w:eastAsia="宋体" w:hint="ascii"/>
          <w:sz w:val="21"/>
        </w:rPr>
        <w:t>理</w:t>
      </w:r>
    </w:p>
    <w:p>
      <w:pPr>
        <w:autoSpaceDE w:val="0"/>
        <w:autoSpaceDN w:val="0"/>
        <w:jc w:val="both"/>
        <w:spacing w:before="10" w:after="0" w:lineRule="exact" w:line="312"/>
        <w:ind w:right="985"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念的组织</w:t>
      </w:r>
      <w:r>
        <w:rPr>
          <w:rFonts w:ascii="宋体" w:hAnsi="宋体" w:cs="宋体" w:eastAsia="宋体" w:hint="ascii"/>
          <w:sz w:val="21"/>
          <w:spacing w:val="3"/>
        </w:rPr>
        <w:t>形</w:t>
      </w:r>
      <w:r>
        <w:rPr>
          <w:rFonts w:ascii="宋体" w:hAnsi="宋体" w:cs="宋体" w:eastAsia="宋体" w:hint="ascii"/>
          <w:sz w:val="21"/>
          <w:spacing w:val="4"/>
        </w:rPr>
        <w:t>态、虚</w:t>
      </w:r>
      <w:r>
        <w:rPr>
          <w:rFonts w:ascii="宋体" w:hAnsi="宋体" w:cs="宋体" w:eastAsia="宋体" w:hint="ascii"/>
          <w:sz w:val="21"/>
          <w:spacing w:val="3"/>
        </w:rPr>
        <w:t>拟</w:t>
      </w:r>
      <w:r>
        <w:rPr>
          <w:rFonts w:ascii="宋体" w:hAnsi="宋体" w:cs="宋体" w:eastAsia="宋体" w:hint="ascii"/>
          <w:sz w:val="21"/>
          <w:spacing w:val="2"/>
        </w:rPr>
        <w:t>领</w:t>
      </w:r>
      <w:r>
        <w:rPr>
          <w:rFonts w:ascii="宋体" w:hAnsi="宋体" w:cs="宋体" w:eastAsia="宋体" w:hint="ascii"/>
          <w:sz w:val="21"/>
          <w:spacing w:val="3"/>
        </w:rPr>
        <w:t>导、人才</w:t>
      </w:r>
      <w:r>
        <w:rPr>
          <w:rFonts w:ascii="宋体" w:hAnsi="宋体" w:cs="宋体" w:eastAsia="宋体" w:hint="ascii"/>
          <w:sz w:val="21"/>
          <w:spacing w:val="2"/>
        </w:rPr>
        <w:t>无</w:t>
      </w:r>
      <w:r>
        <w:rPr>
          <w:rFonts w:ascii="宋体" w:hAnsi="宋体" w:cs="宋体" w:eastAsia="宋体" w:hint="ascii"/>
          <w:sz w:val="21"/>
          <w:spacing w:val="3"/>
        </w:rPr>
        <w:t>边界管理</w:t>
      </w:r>
      <w:r>
        <w:rPr>
          <w:rFonts w:ascii="宋体" w:hAnsi="宋体" w:cs="宋体" w:eastAsia="宋体" w:hint="ascii"/>
          <w:sz w:val="21"/>
          <w:spacing w:val="2"/>
        </w:rPr>
        <w:t>等</w:t>
      </w:r>
      <w:r>
        <w:rPr>
          <w:rFonts w:ascii="宋体" w:hAnsi="宋体" w:cs="宋体" w:eastAsia="宋体" w:hint="ascii"/>
          <w:sz w:val="21"/>
          <w:spacing w:val="3"/>
        </w:rPr>
        <w:t>理论，探</w:t>
      </w:r>
      <w:r>
        <w:rPr>
          <w:rFonts w:ascii="宋体" w:hAnsi="宋体" w:cs="宋体" w:eastAsia="宋体" w:hint="ascii"/>
          <w:sz w:val="21"/>
          <w:spacing w:val="2"/>
        </w:rPr>
        <w:t>索</w:t>
      </w:r>
      <w:r>
        <w:rPr>
          <w:rFonts w:ascii="宋体" w:hAnsi="宋体" w:cs="宋体" w:eastAsia="宋体" w:hint="ascii"/>
          <w:sz w:val="21"/>
          <w:spacing w:val="3"/>
        </w:rPr>
        <w:t>雇佣模式</w:t>
      </w:r>
      <w:r>
        <w:rPr>
          <w:rFonts w:ascii="宋体" w:hAnsi="宋体" w:cs="宋体" w:eastAsia="宋体" w:hint="ascii"/>
          <w:sz w:val="21"/>
          <w:spacing w:val="2"/>
        </w:rPr>
        <w:t>创</w:t>
      </w:r>
      <w:r>
        <w:rPr>
          <w:rFonts w:ascii="宋体" w:hAnsi="宋体" w:cs="宋体" w:eastAsia="宋体" w:hint="ascii"/>
          <w:sz w:val="21"/>
          <w:spacing w:val="3"/>
        </w:rPr>
        <w:t>新，研</w:t>
      </w:r>
      <w:r>
        <w:rPr>
          <w:rFonts w:ascii="宋体" w:hAnsi="宋体" w:cs="宋体" w:eastAsia="宋体" w:hint="ascii"/>
          <w:sz w:val="21"/>
          <w:spacing w:val="4"/>
        </w:rPr>
        <w:t>究</w:t>
      </w:r>
      <w:r>
        <w:rPr>
          <w:rFonts w:ascii="宋体" w:hAnsi="宋体" w:cs="宋体" w:eastAsia="宋体" w:hint="ascii"/>
          <w:sz w:val="21"/>
          <w:spacing w:val="3"/>
        </w:rPr>
        <w:t>多</w:t>
      </w:r>
      <w:r>
        <w:rPr>
          <w:rFonts w:ascii="宋体" w:hAnsi="宋体" w:cs="宋体" w:eastAsia="宋体" w:hint="ascii"/>
          <w:sz w:val="21"/>
          <w:spacing w:val="-6"/>
        </w:rPr>
        <w:t>元</w:t>
      </w:r>
      <w:r>
        <w:rPr>
          <w:rFonts w:ascii="宋体" w:hAnsi="宋体" w:cs="宋体" w:eastAsia="宋体" w:hint="ascii"/>
          <w:sz w:val="21"/>
          <w:spacing w:val="5"/>
        </w:rPr>
        <w:t>雇佣的动因</w:t>
      </w:r>
      <w:r>
        <w:rPr>
          <w:rFonts w:ascii="宋体" w:hAnsi="宋体" w:cs="宋体" w:eastAsia="宋体" w:hint="ascii"/>
          <w:sz w:val="21"/>
          <w:spacing w:val="6"/>
        </w:rPr>
        <w:t>、特征、</w:t>
      </w:r>
      <w:r>
        <w:rPr>
          <w:rFonts w:ascii="宋体" w:hAnsi="宋体" w:cs="宋体" w:eastAsia="宋体" w:hint="ascii"/>
          <w:sz w:val="21"/>
          <w:spacing w:val="5"/>
        </w:rPr>
        <w:t>模</w:t>
      </w:r>
      <w:r>
        <w:rPr>
          <w:rFonts w:ascii="宋体" w:hAnsi="宋体" w:cs="宋体" w:eastAsia="宋体" w:hint="ascii"/>
          <w:sz w:val="21"/>
          <w:spacing w:val="6"/>
        </w:rPr>
        <w:t>式、效果</w:t>
      </w:r>
      <w:r>
        <w:rPr>
          <w:rFonts w:ascii="宋体" w:hAnsi="宋体" w:cs="宋体" w:eastAsia="宋体" w:hint="ascii"/>
          <w:sz w:val="21"/>
          <w:spacing w:val="5"/>
        </w:rPr>
        <w:t>等</w:t>
      </w:r>
      <w:r>
        <w:rPr>
          <w:rFonts w:ascii="宋体" w:hAnsi="宋体" w:cs="宋体" w:eastAsia="宋体" w:hint="ascii"/>
          <w:sz w:val="21"/>
          <w:spacing w:val="6"/>
        </w:rPr>
        <w:t>核心问题</w:t>
      </w:r>
      <w:r>
        <w:rPr>
          <w:rFonts w:ascii="宋体" w:hAnsi="宋体" w:cs="宋体" w:eastAsia="宋体" w:hint="ascii"/>
          <w:sz w:val="21"/>
          <w:spacing w:val="5"/>
        </w:rPr>
        <w:t>，</w:t>
      </w:r>
      <w:r>
        <w:rPr>
          <w:rFonts w:ascii="宋体" w:hAnsi="宋体" w:cs="宋体" w:eastAsia="宋体" w:hint="ascii"/>
          <w:sz w:val="21"/>
          <w:spacing w:val="6"/>
        </w:rPr>
        <w:t>构建新型</w:t>
      </w:r>
      <w:r>
        <w:rPr>
          <w:rFonts w:ascii="宋体" w:hAnsi="宋体" w:cs="宋体" w:eastAsia="宋体" w:hint="ascii"/>
          <w:sz w:val="21"/>
          <w:spacing w:val="5"/>
        </w:rPr>
        <w:t>多</w:t>
      </w:r>
      <w:r>
        <w:rPr>
          <w:rFonts w:ascii="宋体" w:hAnsi="宋体" w:cs="宋体" w:eastAsia="宋体" w:hint="ascii"/>
          <w:sz w:val="21"/>
          <w:spacing w:val="6"/>
        </w:rPr>
        <w:t>元雇佣理</w:t>
      </w:r>
      <w:r>
        <w:rPr>
          <w:rFonts w:ascii="宋体" w:hAnsi="宋体" w:cs="宋体" w:eastAsia="宋体" w:hint="ascii"/>
          <w:sz w:val="21"/>
          <w:spacing w:val="5"/>
        </w:rPr>
        <w:t>论</w:t>
      </w:r>
      <w:r>
        <w:rPr>
          <w:rFonts w:ascii="宋体" w:hAnsi="宋体" w:cs="宋体" w:eastAsia="宋体" w:hint="ascii"/>
          <w:sz w:val="21"/>
          <w:spacing w:val="6"/>
        </w:rPr>
        <w:t>体系，</w:t>
      </w:r>
      <w:r>
        <w:rPr>
          <w:rFonts w:ascii="宋体" w:hAnsi="宋体" w:cs="宋体" w:eastAsia="宋体" w:hint="ascii"/>
          <w:sz w:val="21"/>
          <w:spacing w:val="7"/>
        </w:rPr>
        <w:t>探</w:t>
      </w:r>
      <w:r>
        <w:rPr>
          <w:rFonts w:ascii="宋体" w:hAnsi="宋体" w:cs="宋体" w:eastAsia="宋体" w:hint="ascii"/>
          <w:sz w:val="21"/>
          <w:spacing w:val="6"/>
        </w:rPr>
        <w:t>讨</w:t>
      </w:r>
      <w:r>
        <w:rPr>
          <w:rFonts w:ascii="宋体" w:hAnsi="宋体" w:cs="宋体" w:eastAsia="宋体" w:hint="ascii"/>
          <w:sz w:val="21"/>
        </w:rPr>
        <w:t>中</w:t>
      </w:r>
    </w:p>
    <w:p>
      <w:pPr>
        <w:autoSpaceDE w:val="0"/>
        <w:autoSpaceDN w:val="0"/>
        <w:jc w:val="left"/>
        <w:spacing w:before="274"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109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国情境下</w:t>
      </w:r>
      <w:r>
        <w:rPr>
          <w:rFonts w:ascii="宋体" w:hAnsi="宋体" w:cs="宋体" w:eastAsia="宋体" w:hint="ascii"/>
          <w:sz w:val="21"/>
          <w:spacing w:val="3"/>
        </w:rPr>
        <w:t>人</w:t>
      </w:r>
      <w:r>
        <w:rPr>
          <w:rFonts w:ascii="宋体" w:hAnsi="宋体" w:cs="宋体" w:eastAsia="宋体" w:hint="ascii"/>
          <w:sz w:val="21"/>
          <w:spacing w:val="4"/>
        </w:rPr>
        <w:t>才无边界</w:t>
      </w:r>
      <w:r>
        <w:rPr>
          <w:rFonts w:ascii="宋体" w:hAnsi="宋体" w:cs="宋体" w:eastAsia="宋体" w:hint="ascii"/>
          <w:sz w:val="21"/>
          <w:spacing w:val="3"/>
        </w:rPr>
        <w:t>管</w:t>
      </w:r>
      <w:r>
        <w:rPr>
          <w:rFonts w:ascii="宋体" w:hAnsi="宋体" w:cs="宋体" w:eastAsia="宋体" w:hint="ascii"/>
          <w:sz w:val="21"/>
          <w:spacing w:val="4"/>
        </w:rPr>
        <w:t>理理论</w:t>
      </w:r>
      <w:r>
        <w:rPr>
          <w:rFonts w:ascii="宋体" w:hAnsi="宋体" w:cs="宋体" w:eastAsia="宋体" w:hint="ascii"/>
          <w:sz w:val="21"/>
          <w:spacing w:val="3"/>
        </w:rPr>
        <w:t>与</w:t>
      </w:r>
      <w:r>
        <w:rPr>
          <w:rFonts w:ascii="宋体" w:hAnsi="宋体" w:cs="宋体" w:eastAsia="宋体" w:hint="ascii"/>
          <w:sz w:val="21"/>
          <w:spacing w:val="2"/>
        </w:rPr>
        <w:t>实</w:t>
      </w:r>
      <w:r>
        <w:rPr>
          <w:rFonts w:ascii="宋体" w:hAnsi="宋体" w:cs="宋体" w:eastAsia="宋体" w:hint="ascii"/>
          <w:sz w:val="21"/>
          <w:spacing w:val="3"/>
        </w:rPr>
        <w:t>践，以期</w:t>
      </w:r>
      <w:r>
        <w:rPr>
          <w:rFonts w:ascii="宋体" w:hAnsi="宋体" w:cs="宋体" w:eastAsia="宋体" w:hint="ascii"/>
          <w:sz w:val="21"/>
          <w:spacing w:val="2"/>
        </w:rPr>
        <w:t>凝</w:t>
      </w:r>
      <w:r>
        <w:rPr>
          <w:rFonts w:ascii="宋体" w:hAnsi="宋体" w:cs="宋体" w:eastAsia="宋体" w:hint="ascii"/>
          <w:sz w:val="21"/>
          <w:spacing w:val="3"/>
        </w:rPr>
        <w:t>练具有时</w:t>
      </w:r>
      <w:r>
        <w:rPr>
          <w:rFonts w:ascii="宋体" w:hAnsi="宋体" w:cs="宋体" w:eastAsia="宋体" w:hint="ascii"/>
          <w:sz w:val="21"/>
          <w:spacing w:val="2"/>
        </w:rPr>
        <w:t>代</w:t>
      </w:r>
      <w:r>
        <w:rPr>
          <w:rFonts w:ascii="宋体" w:hAnsi="宋体" w:cs="宋体" w:eastAsia="宋体" w:hint="ascii"/>
          <w:sz w:val="21"/>
          <w:spacing w:val="3"/>
        </w:rPr>
        <w:t>特征和中</w:t>
      </w:r>
      <w:r>
        <w:rPr>
          <w:rFonts w:ascii="宋体" w:hAnsi="宋体" w:cs="宋体" w:eastAsia="宋体" w:hint="ascii"/>
          <w:sz w:val="21"/>
          <w:spacing w:val="2"/>
        </w:rPr>
        <w:t>国</w:t>
      </w:r>
      <w:r>
        <w:rPr>
          <w:rFonts w:ascii="宋体" w:hAnsi="宋体" w:cs="宋体" w:eastAsia="宋体" w:hint="ascii"/>
          <w:sz w:val="21"/>
          <w:spacing w:val="3"/>
        </w:rPr>
        <w:t>本土特</w:t>
      </w:r>
      <w:r>
        <w:rPr>
          <w:rFonts w:ascii="宋体" w:hAnsi="宋体" w:cs="宋体" w:eastAsia="宋体" w:hint="ascii"/>
          <w:sz w:val="21"/>
          <w:spacing w:val="4"/>
        </w:rPr>
        <w:t>色</w:t>
      </w:r>
      <w:r>
        <w:rPr>
          <w:rFonts w:ascii="宋体" w:hAnsi="宋体" w:cs="宋体" w:eastAsia="宋体" w:hint="ascii"/>
          <w:sz w:val="21"/>
          <w:spacing w:val="3"/>
        </w:rPr>
        <w:t>的</w:t>
      </w:r>
      <w:r>
        <w:rPr>
          <w:rFonts w:ascii="宋体" w:hAnsi="宋体" w:cs="宋体" w:eastAsia="宋体" w:hint="ascii"/>
          <w:sz w:val="21"/>
          <w:spacing w:val="-6"/>
        </w:rPr>
        <w:t>雇</w:t>
      </w:r>
      <w:r>
        <w:rPr>
          <w:rFonts w:ascii="宋体" w:hAnsi="宋体" w:cs="宋体" w:eastAsia="宋体" w:hint="ascii"/>
          <w:sz w:val="21"/>
          <w:spacing w:val="3"/>
        </w:rPr>
        <w:t>佣管理理论</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76" locked="0" layoutInCell="1" allowOverlap="1">
                <wp:simplePos x="0" y="0"/>
                <wp:positionH relativeFrom="page">
                  <wp:posOffset>938530</wp:posOffset>
                </wp:positionH>
                <wp:positionV relativeFrom="page">
                  <wp:posOffset>805815</wp:posOffset>
                </wp:positionV>
                <wp:extent cx="5076190" cy="0"/>
                <wp:wrapNone/>
                <wp:docPr id="1205" name="120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78016;width:399.70pt;" id="120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）变革环境下的组织变革与组织学习研究（</w:t>
      </w:r>
      <w:r>
        <w:rPr>
          <w:rFonts w:ascii="Times New Roman" w:hAnsi="Times New Roman" w:cs="Times New Roman" w:eastAsia="Times New Roman" w:hint="ascii"/>
          <w:sz w:val="21"/>
        </w:rPr>
        <w:t>G0202</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探讨中国企业在变革环境下组织学习的特点、模式与企业竞争力提升的关系，研究</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网络构建</w:t>
      </w:r>
      <w:r>
        <w:rPr>
          <w:rFonts w:ascii="宋体" w:hAnsi="宋体" w:cs="宋体" w:eastAsia="宋体" w:hint="ascii"/>
          <w:sz w:val="21"/>
        </w:rPr>
        <w:t>、嵌入、扩散与企业组织学习模式与创新，研究竞争互动、环境交互视角下互</w:t>
      </w:r>
      <w:r>
        <w:rPr>
          <w:rFonts w:ascii="宋体" w:hAnsi="宋体" w:cs="宋体" w:eastAsia="宋体" w:hint="ascii"/>
          <w:sz w:val="21"/>
          <w:spacing w:val="-1"/>
        </w:rPr>
        <w:t>动性、模</w:t>
      </w:r>
      <w:r>
        <w:rPr>
          <w:rFonts w:ascii="宋体" w:hAnsi="宋体" w:cs="宋体" w:eastAsia="宋体" w:hint="ascii"/>
          <w:sz w:val="21"/>
        </w:rPr>
        <w:t>仿性、跨域性企业组织学习机制，以期构建变革环境下的企业组织学习理论与方法体系。</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）基于跨界共享的组织竞合与突破性创新机制研究（</w:t>
      </w:r>
      <w:r>
        <w:rPr>
          <w:rFonts w:ascii="Times New Roman" w:hAnsi="Times New Roman" w:cs="Times New Roman" w:eastAsia="Times New Roman" w:hint="ascii"/>
          <w:sz w:val="21"/>
        </w:rPr>
        <w:t>G0202</w:t>
      </w:r>
      <w:r>
        <w:rPr>
          <w:rFonts w:ascii="宋体" w:hAnsi="宋体" w:cs="宋体" w:eastAsia="宋体" w:hint="ascii"/>
          <w:sz w:val="21"/>
        </w:rPr>
        <w:t>）</w:t>
      </w:r>
    </w:p>
    <w:p>
      <w:pPr>
        <w:autoSpaceDE w:val="0"/>
        <w:autoSpaceDN w:val="0"/>
        <w:jc w:val="left"/>
        <w:spacing w:before="5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比较跨界共享与边界内共享的本质区别，发掘共享经济时代跨界共享的概念内涵，</w:t>
      </w:r>
    </w:p>
    <w:p>
      <w:pPr>
        <w:autoSpaceDE w:val="0"/>
        <w:autoSpaceDN w:val="0"/>
        <w:jc w:val="both"/>
        <w:spacing w:before="10" w:after="0" w:lineRule="exact" w:line="32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研究资源</w:t>
      </w:r>
      <w:r>
        <w:rPr>
          <w:rFonts w:ascii="宋体" w:hAnsi="宋体" w:cs="宋体" w:eastAsia="宋体" w:hint="ascii"/>
          <w:sz w:val="21"/>
        </w:rPr>
        <w:t>约束下竞争与合作的存在形式，探讨跨界共享对组织竞争释放或竞合相融的作</w:t>
      </w:r>
      <w:r>
        <w:rPr>
          <w:rFonts w:ascii="宋体" w:hAnsi="宋体" w:cs="宋体" w:eastAsia="宋体" w:hint="ascii"/>
          <w:sz w:val="21"/>
          <w:spacing w:val="-1"/>
        </w:rPr>
        <w:t>用机制，</w:t>
      </w:r>
      <w:r>
        <w:rPr>
          <w:rFonts w:ascii="宋体" w:hAnsi="宋体" w:cs="宋体" w:eastAsia="宋体" w:hint="ascii"/>
          <w:sz w:val="21"/>
        </w:rPr>
        <w:t>探讨影响企业跨界共享竞合相融与突破性创新的文化与组织行为因素，提炼本土化的竞合相融理论。</w:t>
      </w:r>
    </w:p>
    <w:p>
      <w:pPr>
        <w:autoSpaceDE w:val="0"/>
        <w:autoSpaceDN w:val="0"/>
        <w:jc w:val="left"/>
        <w:spacing w:before="45" w:after="0" w:lineRule="auto" w:line="240"/>
        <w:ind w:right="0" w:left="1753" w:hanging="367"/>
        <w:snapToGrid w:val="0"/>
        <w:textAlignment w:val="auto"/>
        <w:tabs>
          <w:tab w:val="left" w:leader="none" w:pos="1753"/>
        </w:tabs>
        <w:numPr>
          <w:ilvl w:val="0"/>
          <w:numId w:val="147"/>
        </w:numPr>
        <w:rPr>
          <w:rFonts w:ascii="Times New Roman" w:hAnsi="Times New Roman" w:cs="Times New Roman" w:eastAsia="Times New Roman" w:hint="ascii"/>
          <w:sz w:val="21"/>
          <w:spacing w:val="1"/>
        </w:rPr>
      </w:pPr>
      <w:r>
        <w:rPr>
          <w:rFonts w:ascii="宋体" w:hAnsi="宋体" w:cs="宋体" w:eastAsia="宋体" w:hint="ascii"/>
          <w:sz w:val="21"/>
        </w:rPr>
        <w:t>经济转型背景下市场营销的重大理论与实践问题研究（</w:t>
      </w:r>
      <w:r>
        <w:rPr>
          <w:rFonts w:ascii="Times New Roman" w:hAnsi="Times New Roman" w:cs="Times New Roman" w:eastAsia="Times New Roman" w:hint="ascii"/>
          <w:b w:val="1"/>
          <w:sz w:val="21"/>
        </w:rPr>
        <w:t>G0207</w:t>
      </w:r>
      <w:r>
        <w:rPr>
          <w:rFonts w:ascii="宋体" w:hAnsi="宋体" w:cs="宋体" w:eastAsia="宋体" w:hint="ascii"/>
          <w:sz w:val="21"/>
        </w:rPr>
        <w:t>）</w:t>
      </w:r>
    </w:p>
    <w:p>
      <w:pPr>
        <w:autoSpaceDE w:val="0"/>
        <w:autoSpaceDN w:val="0"/>
        <w:jc w:val="left"/>
        <w:spacing w:before="6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）经济转型与消费升级对消费者福祉与幸福感的影响研究；</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）基于大数据的顾客洞察：消费行为，决策过程，社会影响；</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）移动互联网时代的全渠道营销研究；</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）经济转型与国际化背景下品牌建设的理论创新研究；</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）移动互联网时代的新产品开发策略与商业模式创新。</w:t>
      </w:r>
    </w:p>
    <w:p>
      <w:pPr>
        <w:autoSpaceDE w:val="0"/>
        <w:autoSpaceDN w:val="0"/>
        <w:jc w:val="both"/>
        <w:spacing w:before="10" w:after="0" w:lineRule="exact" w:line="320"/>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申请人还</w:t>
      </w:r>
      <w:r>
        <w:rPr>
          <w:rFonts w:ascii="宋体" w:hAnsi="宋体" w:cs="宋体" w:eastAsia="宋体" w:hint="ascii"/>
          <w:sz w:val="21"/>
        </w:rPr>
        <w:t>须在申请书的附注说明中标注：经济转型背景下市场营销的重大理论与实践问题研究重点项目群。</w:t>
      </w:r>
    </w:p>
    <w:p>
      <w:pPr>
        <w:autoSpaceDE w:val="0"/>
        <w:autoSpaceDN w:val="0"/>
        <w:jc w:val="left"/>
        <w:spacing w:before="181"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医学科学部</w:t>
      </w:r>
    </w:p>
    <w:p>
      <w:pPr>
        <w:autoSpaceDE w:val="0"/>
        <w:autoSpaceDN w:val="0"/>
        <w:jc w:val="left"/>
        <w:spacing w:before="318"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3"/>
        </w:rPr>
        <w:t>8</w:t>
      </w:r>
      <w:r>
        <w:rPr>
          <w:rFonts w:ascii="宋体" w:hAnsi="宋体" w:cs="宋体" w:eastAsia="宋体" w:hint="ascii"/>
          <w:sz w:val="21"/>
        </w:rPr>
        <w:t>年度医学科学部受理按立项领域申请的重点项目。</w:t>
      </w:r>
    </w:p>
    <w:p>
      <w:pPr>
        <w:autoSpaceDE w:val="0"/>
        <w:autoSpaceDN w:val="0"/>
        <w:jc w:val="left"/>
        <w:spacing w:before="6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医学科学部根据医学科学领域学科发展战略和优先资助方向，通过广泛调研，经专</w:t>
      </w:r>
    </w:p>
    <w:p>
      <w:pPr>
        <w:autoSpaceDE w:val="0"/>
        <w:autoSpaceDN w:val="0"/>
        <w:jc w:val="both"/>
        <w:spacing w:before="13" w:after="0" w:lineRule="exact" w:line="319"/>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家研讨确定</w:t>
      </w:r>
      <w:r>
        <w:rPr>
          <w:rFonts w:ascii="宋体" w:hAnsi="宋体" w:cs="宋体" w:eastAsia="宋体" w:hint="ascii"/>
          <w:sz w:val="21"/>
          <w:spacing w:val="-25"/>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年度重点项目立项领域。请申请人根据下列重点项目立项领域，自主确定项目名称、研究内容和研究方案。</w: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医学科学</w:t>
      </w:r>
      <w:r>
        <w:rPr>
          <w:rFonts w:ascii="宋体" w:hAnsi="宋体" w:cs="宋体" w:eastAsia="宋体" w:hint="ascii"/>
          <w:sz w:val="21"/>
          <w:spacing w:val="26"/>
        </w:rPr>
        <w:t>部</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4"/>
        </w:rPr>
        <w:t>7</w:t>
      </w:r>
      <w:r>
        <w:rPr>
          <w:rFonts w:ascii="宋体" w:hAnsi="宋体" w:cs="宋体" w:eastAsia="宋体" w:hint="ascii"/>
          <w:sz w:val="21"/>
        </w:rPr>
        <w:t>年</w:t>
      </w:r>
      <w:r>
        <w:rPr>
          <w:rFonts w:ascii="宋体" w:hAnsi="宋体" w:cs="宋体" w:eastAsia="宋体" w:hint="ascii"/>
          <w:sz w:val="21"/>
          <w:spacing w:val="26"/>
        </w:rPr>
        <w:t>度</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9</w:t>
      </w:r>
      <w:r>
        <w:rPr>
          <w:rFonts w:ascii="宋体" w:hAnsi="宋体" w:cs="宋体" w:eastAsia="宋体" w:hint="ascii"/>
          <w:sz w:val="21"/>
        </w:rPr>
        <w:t>个重点项目立项领域共收到申</w:t>
      </w:r>
      <w:r>
        <w:rPr>
          <w:rFonts w:ascii="宋体" w:hAnsi="宋体" w:cs="宋体" w:eastAsia="宋体" w:hint="ascii"/>
          <w:sz w:val="21"/>
          <w:spacing w:val="26"/>
        </w:rPr>
        <w:t>请</w:t>
      </w:r>
      <w:r>
        <w:rPr>
          <w:rFonts w:ascii="Times New Roman" w:hAnsi="Times New Roman" w:cs="Times New Roman" w:eastAsia="Times New Roman" w:hint="ascii"/>
          <w:sz w:val="21"/>
        </w:rPr>
        <w:t>64</w:t>
      </w:r>
      <w:r>
        <w:rPr>
          <w:rFonts w:ascii="Times New Roman" w:hAnsi="Times New Roman" w:cs="Times New Roman" w:eastAsia="Times New Roman" w:hint="ascii"/>
          <w:sz w:val="21"/>
          <w:spacing w:val="52"/>
        </w:rPr>
        <w:t>2</w:t>
      </w:r>
      <w:r>
        <w:rPr>
          <w:rFonts w:ascii="宋体" w:hAnsi="宋体" w:cs="宋体" w:eastAsia="宋体" w:hint="ascii"/>
          <w:sz w:val="21"/>
        </w:rPr>
        <w:t>项，资</w:t>
      </w:r>
      <w:r>
        <w:rPr>
          <w:rFonts w:ascii="宋体" w:hAnsi="宋体" w:cs="宋体" w:eastAsia="宋体" w:hint="ascii"/>
          <w:sz w:val="21"/>
          <w:spacing w:val="26"/>
        </w:rPr>
        <w:t>助</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3"/>
        </w:rPr>
        <w:t>2</w:t>
      </w:r>
      <w:r>
        <w:rPr>
          <w:rFonts w:ascii="宋体" w:hAnsi="宋体" w:cs="宋体" w:eastAsia="宋体" w:hint="ascii"/>
          <w:sz w:val="21"/>
        </w:rPr>
        <w:t>项，资</w:t>
      </w:r>
    </w:p>
    <w:p>
      <w:pPr>
        <w:autoSpaceDE w:val="0"/>
        <w:autoSpaceDN w:val="0"/>
        <w:jc w:val="both"/>
        <w:spacing w:before="13" w:after="0" w:lineRule="exact" w:line="319"/>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助直</w:t>
      </w:r>
      <w:r>
        <w:rPr>
          <w:rFonts w:ascii="宋体" w:hAnsi="宋体" w:cs="宋体" w:eastAsia="宋体" w:hint="ascii"/>
          <w:sz w:val="21"/>
        </w:rPr>
        <w:t>接</w:t>
      </w:r>
      <w:r>
        <w:rPr>
          <w:rFonts w:ascii="宋体" w:hAnsi="宋体" w:cs="宋体" w:eastAsia="宋体" w:hint="ascii"/>
          <w:sz w:val="21"/>
          <w:spacing w:val="1"/>
        </w:rPr>
        <w:t>费</w:t>
      </w:r>
      <w:r>
        <w:rPr>
          <w:rFonts w:ascii="宋体" w:hAnsi="宋体" w:cs="宋体" w:eastAsia="宋体" w:hint="ascii"/>
          <w:sz w:val="21"/>
          <w:spacing w:val="-3"/>
        </w:rPr>
        <w:t>用</w:t>
      </w:r>
      <w:r>
        <w:rPr>
          <w:rFonts w:ascii="宋体" w:hAnsi="宋体" w:cs="宋体" w:eastAsia="宋体" w:hint="ascii"/>
          <w:sz w:val="21"/>
          <w:spacing w:val="-27"/>
        </w:rPr>
        <w:t xml:space="preserve"> </w:t>
      </w:r>
      <w:r>
        <w:rPr>
          <w:rFonts w:ascii="Times New Roman" w:hAnsi="Times New Roman" w:cs="Times New Roman" w:eastAsia="Times New Roman" w:hint="ascii"/>
          <w:sz w:val="21"/>
          <w:spacing w:val="1"/>
        </w:rPr>
        <w:t>3</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rPr>
        <w:t>750</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1"/>
        </w:rPr>
        <w:t>万元，直</w:t>
      </w:r>
      <w:r>
        <w:rPr>
          <w:rFonts w:ascii="宋体" w:hAnsi="宋体" w:cs="宋体" w:eastAsia="宋体" w:hint="ascii"/>
          <w:sz w:val="21"/>
        </w:rPr>
        <w:t>接</w:t>
      </w:r>
      <w:r>
        <w:rPr>
          <w:rFonts w:ascii="宋体" w:hAnsi="宋体" w:cs="宋体" w:eastAsia="宋体" w:hint="ascii"/>
          <w:sz w:val="21"/>
          <w:spacing w:val="1"/>
        </w:rPr>
        <w:t>费</w:t>
      </w:r>
      <w:r>
        <w:rPr>
          <w:rFonts w:ascii="宋体" w:hAnsi="宋体" w:cs="宋体" w:eastAsia="宋体" w:hint="ascii"/>
          <w:sz w:val="21"/>
        </w:rPr>
        <w:t>用</w:t>
      </w:r>
      <w:r>
        <w:rPr>
          <w:rFonts w:ascii="宋体" w:hAnsi="宋体" w:cs="宋体" w:eastAsia="宋体" w:hint="ascii"/>
          <w:sz w:val="21"/>
          <w:spacing w:val="1"/>
        </w:rPr>
        <w:t>平均</w:t>
      </w:r>
      <w:r>
        <w:rPr>
          <w:rFonts w:ascii="宋体" w:hAnsi="宋体" w:cs="宋体" w:eastAsia="宋体" w:hint="ascii"/>
          <w:sz w:val="21"/>
        </w:rPr>
        <w:t>资</w:t>
      </w:r>
      <w:r>
        <w:rPr>
          <w:rFonts w:ascii="宋体" w:hAnsi="宋体" w:cs="宋体" w:eastAsia="宋体" w:hint="ascii"/>
          <w:sz w:val="21"/>
          <w:spacing w:val="1"/>
        </w:rPr>
        <w:t>助</w:t>
      </w:r>
      <w:r>
        <w:rPr>
          <w:rFonts w:ascii="宋体" w:hAnsi="宋体" w:cs="宋体" w:eastAsia="宋体" w:hint="ascii"/>
          <w:sz w:val="21"/>
        </w:rPr>
        <w:t>强</w:t>
      </w:r>
      <w:r>
        <w:rPr>
          <w:rFonts w:ascii="宋体" w:hAnsi="宋体" w:cs="宋体" w:eastAsia="宋体" w:hint="ascii"/>
          <w:sz w:val="21"/>
          <w:spacing w:val="1"/>
        </w:rPr>
        <w:t>度</w:t>
      </w:r>
      <w:r>
        <w:rPr>
          <w:rFonts w:ascii="宋体" w:hAnsi="宋体" w:cs="宋体" w:eastAsia="宋体" w:hint="ascii"/>
          <w:sz w:val="21"/>
          <w:spacing w:val="-3"/>
        </w:rPr>
        <w:t>为</w:t>
      </w:r>
      <w:r>
        <w:rPr>
          <w:rFonts w:ascii="宋体" w:hAnsi="宋体" w:cs="宋体" w:eastAsia="宋体" w:hint="ascii"/>
          <w:sz w:val="21"/>
          <w:spacing w:val="-26"/>
        </w:rPr>
        <w:t xml:space="preserve"> </w:t>
      </w:r>
      <w:r>
        <w:rPr>
          <w:rFonts w:ascii="Times New Roman" w:hAnsi="Times New Roman" w:cs="Times New Roman" w:eastAsia="Times New Roman" w:hint="ascii"/>
          <w:sz w:val="21"/>
        </w:rPr>
        <w:t>292.41</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1"/>
        </w:rPr>
        <w:t>万元</w:t>
      </w:r>
      <w:r>
        <w:rPr>
          <w:rFonts w:ascii="Times New Roman" w:hAnsi="Times New Roman" w:cs="Times New Roman" w:eastAsia="Times New Roman" w:hint="ascii"/>
          <w:sz w:val="21"/>
          <w:spacing w:val="6"/>
        </w:rPr>
        <w:t>/</w:t>
      </w:r>
      <w:r>
        <w:rPr>
          <w:rFonts w:ascii="宋体" w:hAnsi="宋体" w:cs="宋体" w:eastAsia="宋体" w:hint="ascii"/>
          <w:sz w:val="21"/>
        </w:rPr>
        <w:t>项</w:t>
      </w:r>
      <w:r>
        <w:rPr>
          <w:rFonts w:ascii="宋体" w:hAnsi="宋体" w:cs="宋体" w:eastAsia="宋体" w:hint="ascii"/>
          <w:sz w:val="21"/>
          <w:spacing w:val="1"/>
        </w:rPr>
        <w:t>。</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1"/>
        </w:rPr>
        <w:t>年度</w:t>
      </w:r>
      <w:r>
        <w:rPr>
          <w:rFonts w:ascii="宋体" w:hAnsi="宋体" w:cs="宋体" w:eastAsia="宋体" w:hint="ascii"/>
          <w:sz w:val="21"/>
        </w:rPr>
        <w:t>计划</w:t>
      </w:r>
      <w:r>
        <w:rPr>
          <w:rFonts w:ascii="宋体" w:hAnsi="宋体" w:cs="宋体" w:eastAsia="宋体" w:hint="ascii"/>
          <w:sz w:val="21"/>
          <w:spacing w:val="-6"/>
        </w:rPr>
        <w:t>资</w:t>
      </w:r>
      <w:r>
        <w:rPr>
          <w:rFonts w:ascii="宋体" w:hAnsi="宋体" w:cs="宋体" w:eastAsia="宋体" w:hint="ascii"/>
          <w:sz w:val="21"/>
        </w:rPr>
        <w:t>助重点项</w:t>
      </w:r>
      <w:r>
        <w:rPr>
          <w:rFonts w:ascii="宋体" w:hAnsi="宋体" w:cs="宋体" w:eastAsia="宋体" w:hint="ascii"/>
          <w:sz w:val="21"/>
          <w:spacing w:val="26"/>
        </w:rPr>
        <w:t>目</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0</w:t>
      </w:r>
      <w:r>
        <w:rPr>
          <w:rFonts w:ascii="宋体" w:hAnsi="宋体" w:cs="宋体" w:eastAsia="宋体" w:hint="ascii"/>
          <w:sz w:val="21"/>
        </w:rPr>
        <w:t>项左右，直接费用平均资助强度约</w:t>
      </w:r>
      <w:r>
        <w:rPr>
          <w:rFonts w:ascii="宋体" w:hAnsi="宋体" w:cs="宋体" w:eastAsia="宋体" w:hint="ascii"/>
          <w:sz w:val="21"/>
          <w:spacing w:val="26"/>
        </w:rPr>
        <w:t>为</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5</w:t>
      </w:r>
      <w:r>
        <w:rPr>
          <w:rFonts w:ascii="宋体" w:hAnsi="宋体" w:cs="宋体" w:eastAsia="宋体" w:hint="ascii"/>
          <w:sz w:val="21"/>
        </w:rPr>
        <w:t>年。</w:t>
      </w:r>
    </w:p>
    <w:p>
      <w:pPr>
        <w:autoSpaceDE w:val="0"/>
        <w:autoSpaceDN w:val="0"/>
        <w:jc w:val="both"/>
        <w:spacing w:before="0" w:after="0" w:lineRule="exact" w:line="320"/>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有关申请</w:t>
      </w:r>
      <w:r>
        <w:rPr>
          <w:rFonts w:ascii="宋体" w:hAnsi="宋体" w:cs="宋体" w:eastAsia="宋体" w:hint="ascii"/>
          <w:sz w:val="21"/>
        </w:rPr>
        <w:t>书的撰写要求和注意事项请参看本《指南》中重点项目总论部分。特别提醒申请人注意：</w:t>
      </w:r>
    </w:p>
    <w:p>
      <w:pPr>
        <w:autoSpaceDE w:val="0"/>
        <w:autoSpaceDN w:val="0"/>
        <w:jc w:val="both"/>
        <w:spacing w:before="0" w:after="0" w:lineRule="exact" w:line="320"/>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6"/>
        </w:rPr>
        <w:t>1</w:t>
      </w:r>
      <w:r>
        <w:rPr>
          <w:rFonts w:ascii="宋体" w:hAnsi="宋体" w:cs="宋体" w:eastAsia="宋体" w:hint="ascii"/>
          <w:sz w:val="21"/>
          <w:spacing w:val="1"/>
        </w:rPr>
        <w:t>）</w:t>
      </w:r>
      <w:r>
        <w:rPr>
          <w:rFonts w:ascii="宋体" w:hAnsi="宋体" w:cs="宋体" w:eastAsia="宋体" w:hint="ascii"/>
          <w:sz w:val="21"/>
          <w:spacing w:val="1"/>
        </w:rPr>
        <w:t>医学</w:t>
      </w:r>
      <w:r>
        <w:rPr>
          <w:rFonts w:ascii="宋体" w:hAnsi="宋体" w:cs="宋体" w:eastAsia="宋体" w:hint="ascii"/>
          <w:sz w:val="21"/>
        </w:rPr>
        <w:t>科学部面上项目总论部分的有关要求同样适用于重点项目，请申请人</w:t>
      </w:r>
      <w:r>
        <w:rPr>
          <w:rFonts w:ascii="宋体" w:hAnsi="宋体" w:cs="宋体" w:eastAsia="宋体" w:hint="ascii"/>
          <w:sz w:val="21"/>
          <w:spacing w:val="-6"/>
        </w:rPr>
        <w:t>参</w:t>
      </w:r>
      <w:r>
        <w:rPr>
          <w:rFonts w:ascii="宋体" w:hAnsi="宋体" w:cs="宋体" w:eastAsia="宋体" w:hint="ascii"/>
          <w:sz w:val="21"/>
          <w:spacing w:val="4"/>
        </w:rPr>
        <w:t>照。</w:t>
      </w:r>
      <w:r>
        <w:rPr>
          <w:rFonts w:ascii="宋体" w:hAnsi="宋体" w:cs="宋体" w:eastAsia="宋体" w:hint="ascii"/>
          <w:sz w:val="21"/>
          <w:spacing w:val="4"/>
        </w:rPr>
        <w:t>包括：</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017</w:t>
      </w:r>
      <w:r>
        <w:rPr>
          <w:rFonts w:ascii="Times New Roman" w:hAnsi="Times New Roman" w:cs="Times New Roman" w:eastAsia="Times New Roman" w:hint="ascii"/>
          <w:sz w:val="21"/>
          <w:spacing w:val="-22"/>
        </w:rPr>
        <w:t xml:space="preserve"> </w:t>
      </w:r>
      <w:r>
        <w:rPr>
          <w:rFonts w:ascii="宋体" w:hAnsi="宋体" w:cs="宋体" w:eastAsia="宋体" w:hint="ascii"/>
          <w:sz w:val="21"/>
          <w:spacing w:val="4"/>
        </w:rPr>
        <w:t>年度获</w:t>
      </w:r>
      <w:r>
        <w:rPr>
          <w:rFonts w:ascii="宋体" w:hAnsi="宋体" w:cs="宋体" w:eastAsia="宋体" w:hint="ascii"/>
          <w:sz w:val="21"/>
          <w:spacing w:val="3"/>
        </w:rPr>
        <w:t>得高强度</w:t>
      </w:r>
      <w:r>
        <w:rPr>
          <w:rFonts w:ascii="宋体" w:hAnsi="宋体" w:cs="宋体" w:eastAsia="宋体" w:hint="ascii"/>
          <w:sz w:val="21"/>
          <w:spacing w:val="2"/>
        </w:rPr>
        <w:t>项</w:t>
      </w:r>
      <w:r>
        <w:rPr>
          <w:rFonts w:ascii="宋体" w:hAnsi="宋体" w:cs="宋体" w:eastAsia="宋体" w:hint="ascii"/>
          <w:sz w:val="21"/>
          <w:spacing w:val="-3"/>
        </w:rPr>
        <w:t>目</w:t>
      </w:r>
      <w:r>
        <w:rPr>
          <w:rFonts w:ascii="宋体" w:hAnsi="宋体" w:cs="宋体" w:eastAsia="宋体" w:hint="ascii"/>
          <w:sz w:val="21"/>
          <w:spacing w:val="-23"/>
        </w:rPr>
        <w:t xml:space="preserve"> </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如重</w:t>
      </w:r>
      <w:r>
        <w:rPr>
          <w:rFonts w:ascii="宋体" w:hAnsi="宋体" w:cs="宋体" w:eastAsia="宋体" w:hint="ascii"/>
          <w:sz w:val="21"/>
          <w:spacing w:val="2"/>
        </w:rPr>
        <w:t>点</w:t>
      </w:r>
      <w:r>
        <w:rPr>
          <w:rFonts w:ascii="宋体" w:hAnsi="宋体" w:cs="宋体" w:eastAsia="宋体" w:hint="ascii"/>
          <w:sz w:val="21"/>
          <w:spacing w:val="3"/>
        </w:rPr>
        <w:t>项目、重</w:t>
      </w:r>
      <w:r>
        <w:rPr>
          <w:rFonts w:ascii="宋体" w:hAnsi="宋体" w:cs="宋体" w:eastAsia="宋体" w:hint="ascii"/>
          <w:sz w:val="21"/>
          <w:spacing w:val="2"/>
        </w:rPr>
        <w:t>点</w:t>
      </w:r>
      <w:r>
        <w:rPr>
          <w:rFonts w:ascii="宋体" w:hAnsi="宋体" w:cs="宋体" w:eastAsia="宋体" w:hint="ascii"/>
          <w:sz w:val="21"/>
          <w:spacing w:val="3"/>
        </w:rPr>
        <w:t>国际（地</w:t>
      </w:r>
      <w:r>
        <w:rPr>
          <w:rFonts w:ascii="宋体" w:hAnsi="宋体" w:cs="宋体" w:eastAsia="宋体" w:hint="ascii"/>
          <w:sz w:val="21"/>
          <w:spacing w:val="2"/>
        </w:rPr>
        <w:t>区</w:t>
      </w:r>
      <w:r>
        <w:rPr>
          <w:rFonts w:ascii="宋体" w:hAnsi="宋体" w:cs="宋体" w:eastAsia="宋体" w:hint="ascii"/>
          <w:sz w:val="21"/>
          <w:spacing w:val="3"/>
        </w:rPr>
        <w:t>）合作研究</w:t>
      </w:r>
      <w:r>
        <w:rPr>
          <w:rFonts w:ascii="宋体" w:hAnsi="宋体" w:cs="宋体" w:eastAsia="宋体" w:hint="ascii"/>
          <w:sz w:val="21"/>
          <w:spacing w:val="-6"/>
        </w:rPr>
        <w:t>项</w:t>
      </w:r>
      <w:r>
        <w:rPr>
          <w:rFonts w:ascii="宋体" w:hAnsi="宋体" w:cs="宋体" w:eastAsia="宋体" w:hint="ascii"/>
          <w:sz w:val="21"/>
          <w:spacing w:val="-1"/>
        </w:rPr>
        <w:t>目、重大</w:t>
      </w:r>
      <w:r>
        <w:rPr>
          <w:rFonts w:ascii="宋体" w:hAnsi="宋体" w:cs="宋体" w:eastAsia="宋体" w:hint="ascii"/>
          <w:sz w:val="21"/>
        </w:rPr>
        <w:t>项目、重大研究计划或联合基金中的重点支持项目、国家重大科研仪器研究项目</w:t>
      </w:r>
      <w:r>
        <w:rPr>
          <w:rFonts w:ascii="宋体" w:hAnsi="宋体" w:cs="宋体" w:eastAsia="宋体" w:hint="ascii"/>
          <w:sz w:val="21"/>
          <w:spacing w:val="26"/>
        </w:rPr>
        <w:t>等</w:t>
      </w:r>
      <w:r>
        <w:rPr>
          <w:rFonts w:ascii="Times New Roman" w:hAnsi="Times New Roman" w:cs="Times New Roman" w:eastAsia="Times New Roman" w:hint="ascii"/>
          <w:sz w:val="21"/>
          <w:spacing w:val="52"/>
        </w:rPr>
        <w:t>]</w:t>
      </w:r>
      <w:r>
        <w:rPr>
          <w:rFonts w:ascii="宋体" w:hAnsi="宋体" w:cs="宋体" w:eastAsia="宋体" w:hint="ascii"/>
          <w:sz w:val="21"/>
        </w:rPr>
        <w:t>资助的项目或</w:t>
      </w:r>
      <w:r>
        <w:rPr>
          <w:rFonts w:ascii="宋体" w:hAnsi="宋体" w:cs="宋体" w:eastAsia="宋体" w:hint="ascii"/>
          <w:sz w:val="21"/>
          <w:spacing w:val="-1"/>
        </w:rPr>
        <w:t>课</w:t>
      </w:r>
      <w:r>
        <w:rPr>
          <w:rFonts w:ascii="宋体" w:hAnsi="宋体" w:cs="宋体" w:eastAsia="宋体" w:hint="ascii"/>
          <w:sz w:val="21"/>
        </w:rPr>
        <w:t>题负责人</w:t>
      </w:r>
      <w:r>
        <w:rPr>
          <w:rFonts w:ascii="宋体" w:hAnsi="宋体" w:cs="宋体" w:eastAsia="宋体" w:hint="ascii"/>
          <w:sz w:val="21"/>
          <w:spacing w:val="-1"/>
        </w:rPr>
        <w:t>，</w:t>
      </w:r>
      <w:r>
        <w:rPr>
          <w:rFonts w:ascii="宋体" w:hAnsi="宋体" w:cs="宋体" w:eastAsia="宋体" w:hint="ascii"/>
          <w:sz w:val="21"/>
        </w:rPr>
        <w:t>以及申请</w:t>
      </w:r>
      <w:r>
        <w:rPr>
          <w:rFonts w:ascii="宋体" w:hAnsi="宋体" w:cs="宋体" w:eastAsia="宋体" w:hint="ascii"/>
          <w:sz w:val="21"/>
          <w:spacing w:val="-1"/>
        </w:rPr>
        <w:t>项</w:t>
      </w:r>
      <w:r>
        <w:rPr>
          <w:rFonts w:ascii="宋体" w:hAnsi="宋体" w:cs="宋体" w:eastAsia="宋体" w:hint="ascii"/>
          <w:sz w:val="21"/>
        </w:rPr>
        <w:t>目与申请</w:t>
      </w:r>
      <w:r>
        <w:rPr>
          <w:rFonts w:ascii="宋体" w:hAnsi="宋体" w:cs="宋体" w:eastAsia="宋体" w:hint="ascii"/>
          <w:sz w:val="21"/>
          <w:spacing w:val="-1"/>
        </w:rPr>
        <w:t>人</w:t>
      </w:r>
      <w:r>
        <w:rPr>
          <w:rFonts w:ascii="宋体" w:hAnsi="宋体" w:cs="宋体" w:eastAsia="宋体" w:hint="ascii"/>
          <w:sz w:val="21"/>
        </w:rPr>
        <w:t>承担的国</w:t>
      </w:r>
      <w:r>
        <w:rPr>
          <w:rFonts w:ascii="宋体" w:hAnsi="宋体" w:cs="宋体" w:eastAsia="宋体" w:hint="ascii"/>
          <w:sz w:val="21"/>
          <w:spacing w:val="-1"/>
        </w:rPr>
        <w:t>家</w:t>
      </w:r>
      <w:r>
        <w:rPr>
          <w:rFonts w:ascii="宋体" w:hAnsi="宋体" w:cs="宋体" w:eastAsia="宋体" w:hint="ascii"/>
          <w:sz w:val="21"/>
        </w:rPr>
        <w:t>其他科技</w:t>
      </w:r>
      <w:r>
        <w:rPr>
          <w:rFonts w:ascii="宋体" w:hAnsi="宋体" w:cs="宋体" w:eastAsia="宋体" w:hint="ascii"/>
          <w:sz w:val="21"/>
          <w:spacing w:val="-1"/>
        </w:rPr>
        <w:t>计</w:t>
      </w:r>
      <w:r>
        <w:rPr>
          <w:rFonts w:ascii="宋体" w:hAnsi="宋体" w:cs="宋体" w:eastAsia="宋体" w:hint="ascii"/>
          <w:sz w:val="21"/>
        </w:rPr>
        <w:t>划研</w:t>
      </w:r>
      <w:r>
        <w:rPr>
          <w:rFonts w:ascii="宋体" w:hAnsi="宋体" w:cs="宋体" w:eastAsia="宋体" w:hint="ascii"/>
          <w:sz w:val="21"/>
          <w:spacing w:val="-2"/>
        </w:rPr>
        <w:t>究</w:t>
      </w:r>
      <w:r>
        <w:rPr>
          <w:rFonts w:ascii="宋体" w:hAnsi="宋体" w:cs="宋体" w:eastAsia="宋体" w:hint="ascii"/>
          <w:sz w:val="21"/>
        </w:rPr>
        <w:t>内容重复者，</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年度作为申请人申请重点项目原则上不再给予支持。由于经费资源有限，不建议已</w:t>
      </w:r>
      <w:r>
        <w:rPr>
          <w:rFonts w:ascii="宋体" w:hAnsi="宋体" w:cs="宋体" w:eastAsia="宋体" w:hint="ascii"/>
          <w:sz w:val="21"/>
          <w:spacing w:val="26"/>
        </w:rPr>
        <w:t>有</w:t>
      </w:r>
      <w:r>
        <w:rPr>
          <w:rFonts w:ascii="Times New Roman" w:hAnsi="Times New Roman" w:cs="Times New Roman" w:eastAsia="Times New Roman" w:hint="ascii"/>
          <w:sz w:val="21"/>
          <w:spacing w:val="52"/>
        </w:rPr>
        <w:t>2</w:t>
      </w:r>
      <w:r>
        <w:rPr>
          <w:rFonts w:ascii="宋体" w:hAnsi="宋体" w:cs="宋体" w:eastAsia="宋体" w:hint="ascii"/>
          <w:sz w:val="21"/>
        </w:rPr>
        <w:t>项在研重点项目的研究人员申</w:t>
      </w:r>
      <w:r>
        <w:rPr>
          <w:rFonts w:ascii="宋体" w:hAnsi="宋体" w:cs="宋体" w:eastAsia="宋体" w:hint="ascii"/>
          <w:sz w:val="21"/>
          <w:spacing w:val="11"/>
        </w:rPr>
        <w:t>请</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1"/>
        </w:rPr>
        <w:t>8</w:t>
      </w:r>
      <w:r>
        <w:rPr>
          <w:rFonts w:ascii="宋体" w:hAnsi="宋体" w:cs="宋体" w:eastAsia="宋体" w:hint="ascii"/>
          <w:sz w:val="21"/>
        </w:rPr>
        <w:t>年重点项目。</w:t>
      </w:r>
    </w:p>
    <w:p>
      <w:pPr>
        <w:autoSpaceDE w:val="0"/>
        <w:autoSpaceDN w:val="0"/>
        <w:jc w:val="left"/>
        <w:spacing w:before="37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both"/>
        <w:spacing w:before="257" w:after="0" w:lineRule="exact" w:line="312"/>
        <w:ind w:right="978"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）准确填</w:t>
      </w:r>
      <w:r>
        <w:rPr>
          <w:rFonts w:ascii="宋体" w:hAnsi="宋体" w:cs="宋体" w:eastAsia="宋体" w:hint="ascii"/>
          <w:sz w:val="21"/>
        </w:rPr>
        <w:t>写立项领域后面所标出的申请代码；申请书“附注说明”一栏必须准确填写项目申请所属的重点项目立项领域名称。</w:t>
      </w:r>
      <w:r>
        <w:rPr>
          <w:rFonts w:ascii="宋体" w:hAnsi="宋体" w:cs="宋体" w:eastAsia="宋体" w:hint="ascii"/>
          <w:sz w:val="21"/>
        </w:rPr>
        <mc:AlternateContent>
          <mc:Choice Requires="wps">
            <w:drawing>
              <wp:anchor distL="0" distR="0" distT="0" distB="0" simplePos="0" behindDoc="1" relativeHeight="177" locked="0" layoutInCell="1" allowOverlap="1">
                <wp:simplePos x="0" y="0"/>
                <wp:positionH relativeFrom="page">
                  <wp:posOffset>938530</wp:posOffset>
                </wp:positionH>
                <wp:positionV relativeFrom="page">
                  <wp:posOffset>819150</wp:posOffset>
                </wp:positionV>
                <wp:extent cx="5076190" cy="0"/>
                <wp:wrapNone/>
                <wp:docPr id="1206" name="120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76992;width:399.70pt;" id="120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12"/>
        <w:ind w:right="978"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）申请人</w:t>
      </w:r>
      <w:r>
        <w:rPr>
          <w:rFonts w:ascii="宋体" w:hAnsi="宋体" w:cs="宋体" w:eastAsia="宋体" w:hint="ascii"/>
          <w:sz w:val="21"/>
        </w:rPr>
        <w:t>须在提交的电子版申请书附件中提</w:t>
      </w:r>
      <w:r>
        <w:rPr>
          <w:rFonts w:ascii="宋体" w:hAnsi="宋体" w:cs="宋体" w:eastAsia="宋体" w:hint="ascii"/>
          <w:sz w:val="21"/>
          <w:spacing w:val="26"/>
        </w:rPr>
        <w:t>供</w:t>
      </w:r>
      <w:r>
        <w:rPr>
          <w:rFonts w:ascii="Times New Roman" w:hAnsi="Times New Roman" w:cs="Times New Roman" w:eastAsia="Times New Roman" w:hint="ascii"/>
          <w:sz w:val="21"/>
          <w:spacing w:val="52"/>
        </w:rPr>
        <w:t>5</w:t>
      </w:r>
      <w:r>
        <w:rPr>
          <w:rFonts w:ascii="宋体" w:hAnsi="宋体" w:cs="宋体" w:eastAsia="宋体" w:hint="ascii"/>
          <w:sz w:val="21"/>
        </w:rPr>
        <w:t>篇与申请项目相关的代表性论著</w:t>
      </w:r>
      <w:r>
        <w:rPr>
          <w:rFonts w:ascii="宋体" w:hAnsi="宋体" w:cs="宋体" w:eastAsia="宋体" w:hint="ascii"/>
          <w:sz w:val="21"/>
          <w:spacing w:val="27"/>
        </w:rPr>
        <w:t>的</w:t>
      </w:r>
      <w:r>
        <w:rPr>
          <w:rFonts w:ascii="Times New Roman" w:hAnsi="Times New Roman" w:cs="Times New Roman" w:eastAsia="Times New Roman" w:hint="ascii"/>
          <w:sz w:val="21"/>
        </w:rPr>
        <w:t>PD</w:t>
      </w:r>
      <w:r>
        <w:rPr>
          <w:rFonts w:ascii="Times New Roman" w:hAnsi="Times New Roman" w:cs="Times New Roman" w:eastAsia="Times New Roman" w:hint="ascii"/>
          <w:sz w:val="21"/>
          <w:spacing w:val="52"/>
        </w:rPr>
        <w:t>F</w:t>
      </w:r>
      <w:r>
        <w:rPr>
          <w:rFonts w:ascii="宋体" w:hAnsi="宋体" w:cs="宋体" w:eastAsia="宋体" w:hint="ascii"/>
          <w:sz w:val="21"/>
        </w:rPr>
        <w:t>文件（仅附申请人的代表作</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）请申请人根据工作实际需要合理申请项目资金，填写资金预算表。</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未按照上述要求撰写和提供相关材料的重点项目申请，本科学部将不予受理。</w:t>
      </w:r>
    </w:p>
    <w:p>
      <w:pPr>
        <w:autoSpaceDE w:val="0"/>
        <w:autoSpaceDN w:val="0"/>
        <w:jc w:val="left"/>
        <w:spacing w:before="49"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8</w:t>
      </w:r>
      <w:r>
        <w:rPr>
          <w:rFonts w:ascii="宋体" w:hAnsi="宋体" w:cs="宋体" w:eastAsia="宋体" w:hint="ascii"/>
          <w:sz w:val="21"/>
        </w:rPr>
        <w:t>年度医学科学部重点项目立项领域如下所示。</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1</w:t>
      </w:r>
      <w:r>
        <w:rPr>
          <w:rFonts w:ascii="宋体" w:hAnsi="宋体" w:cs="宋体" w:eastAsia="宋体" w:hint="ascii"/>
          <w:sz w:val="21"/>
        </w:rPr>
        <w:t>．慢性气道疾病发病机制和干预（</w:t>
      </w:r>
      <w:r>
        <w:rPr>
          <w:rFonts w:ascii="Times New Roman" w:hAnsi="Times New Roman" w:cs="Times New Roman" w:eastAsia="Times New Roman" w:hint="ascii"/>
          <w:b w:val="1"/>
          <w:sz w:val="21"/>
        </w:rPr>
        <w:t>H01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重点研究慢性气道疾病（如慢性阻塞性肺疾病、支气管哮喘和阻塞性睡眠呼吸暂停</w:t>
      </w:r>
    </w:p>
    <w:p>
      <w:pPr>
        <w:autoSpaceDE w:val="0"/>
        <w:autoSpaceDN w:val="0"/>
        <w:jc w:val="both"/>
        <w:spacing w:before="10" w:after="0" w:lineRule="exact" w:line="312"/>
        <w:ind w:right="978" w:left="965" w:firstLine="0"/>
        <w:snapToGrid w:val="0"/>
        <w:textAlignment w:val="auto"/>
        <w:tabs/>
        <w:rPr>
          <w:rFonts w:ascii="宋体" w:hAnsi="宋体" w:cs="宋体" w:eastAsia="宋体" w:hint="ascii"/>
          <w:sz w:val="21"/>
        </w:rPr>
      </w:pPr>
      <w:r>
        <w:rPr>
          <w:rFonts w:ascii="宋体" w:hAnsi="宋体" w:cs="宋体" w:eastAsia="宋体" w:hint="ascii"/>
          <w:sz w:val="21"/>
          <w:spacing w:val="-1"/>
        </w:rPr>
        <w:t>等疾病）的</w:t>
      </w:r>
      <w:r>
        <w:rPr>
          <w:rFonts w:ascii="宋体" w:hAnsi="宋体" w:cs="宋体" w:eastAsia="宋体" w:hint="ascii"/>
          <w:sz w:val="21"/>
        </w:rPr>
        <w:t>发病机理，包括遗传因素、环境因素、气道炎症、呼吸中枢调节等在疾病发</w:t>
      </w:r>
      <w:r>
        <w:rPr>
          <w:rFonts w:ascii="宋体" w:hAnsi="宋体" w:cs="宋体" w:eastAsia="宋体" w:hint="ascii"/>
          <w:sz w:val="21"/>
          <w:spacing w:val="1"/>
        </w:rPr>
        <w:t>生发展中的作用，气</w:t>
      </w:r>
      <w:r>
        <w:rPr>
          <w:rFonts w:ascii="宋体" w:hAnsi="宋体" w:cs="宋体" w:eastAsia="宋体" w:hint="ascii"/>
          <w:sz w:val="21"/>
        </w:rPr>
        <w:t>道结构与功能的改变对呼吸系统本身（肺功能）及肺外器官的</w:t>
      </w:r>
      <w:r>
        <w:rPr>
          <w:rFonts w:ascii="宋体" w:hAnsi="宋体" w:cs="宋体" w:eastAsia="宋体" w:hint="ascii"/>
          <w:sz w:val="21"/>
          <w:spacing w:val="-6"/>
        </w:rPr>
        <w:t>影</w:t>
      </w:r>
      <w:r>
        <w:rPr>
          <w:rFonts w:ascii="宋体" w:hAnsi="宋体" w:cs="宋体" w:eastAsia="宋体" w:hint="ascii"/>
          <w:sz w:val="21"/>
        </w:rPr>
        <w:t>响，寻找干预的新靶点，探讨治疗的新方法。</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2</w:t>
      </w:r>
      <w:r>
        <w:rPr>
          <w:rFonts w:ascii="宋体" w:hAnsi="宋体" w:cs="宋体" w:eastAsia="宋体" w:hint="ascii"/>
          <w:sz w:val="21"/>
        </w:rPr>
        <w:t>．蛋白质修饰在血管损伤修复过程中的关键作用及调控机制（</w:t>
      </w:r>
      <w:r>
        <w:rPr>
          <w:rFonts w:ascii="Times New Roman" w:hAnsi="Times New Roman" w:cs="Times New Roman" w:eastAsia="Times New Roman" w:hint="ascii"/>
          <w:b w:val="1"/>
          <w:sz w:val="21"/>
        </w:rPr>
        <w:t>H02</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重点研究转录因子等关键蛋白质分子的翻译后修饰在血管功能及损伤修复过程中的</w:t>
      </w:r>
    </w:p>
    <w:p>
      <w:pPr>
        <w:autoSpaceDE w:val="0"/>
        <w:autoSpaceDN w:val="0"/>
        <w:jc w:val="both"/>
        <w:spacing w:before="10" w:after="0" w:lineRule="exact" w:line="312"/>
        <w:ind w:right="978" w:left="965" w:firstLine="0"/>
        <w:snapToGrid w:val="0"/>
        <w:textAlignment w:val="auto"/>
        <w:tabs/>
        <w:rPr>
          <w:rFonts w:ascii="宋体" w:hAnsi="宋体" w:cs="宋体" w:eastAsia="宋体" w:hint="ascii"/>
          <w:sz w:val="21"/>
        </w:rPr>
      </w:pPr>
      <w:r>
        <w:rPr>
          <w:rFonts w:ascii="宋体" w:hAnsi="宋体" w:cs="宋体" w:eastAsia="宋体" w:hint="ascii"/>
          <w:sz w:val="21"/>
          <w:spacing w:val="-1"/>
        </w:rPr>
        <w:t>关键作用及</w:t>
      </w:r>
      <w:r>
        <w:rPr>
          <w:rFonts w:ascii="宋体" w:hAnsi="宋体" w:cs="宋体" w:eastAsia="宋体" w:hint="ascii"/>
          <w:sz w:val="21"/>
        </w:rPr>
        <w:t>调控机制，以调控关键蛋白分子翻译后修饰为切入点，为阐明重要血管疾病的发病机制及其防治提供依据。</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3</w:t>
      </w:r>
      <w:r>
        <w:rPr>
          <w:rFonts w:ascii="宋体" w:hAnsi="宋体" w:cs="宋体" w:eastAsia="宋体" w:hint="ascii"/>
          <w:sz w:val="21"/>
        </w:rPr>
        <w:t>．心肌细胞代谢失衡在心脏病理性重构中的作用及调控机制（</w:t>
      </w:r>
      <w:r>
        <w:rPr>
          <w:rFonts w:ascii="Times New Roman" w:hAnsi="Times New Roman" w:cs="Times New Roman" w:eastAsia="Times New Roman" w:hint="ascii"/>
          <w:b w:val="1"/>
          <w:sz w:val="21"/>
        </w:rPr>
        <w:t>H02</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重点研究心脏病理性重构过程中心肌细胞的代谢特征，解析代谢通路改变的机制及</w:t>
      </w:r>
    </w:p>
    <w:p>
      <w:pPr>
        <w:autoSpaceDE w:val="0"/>
        <w:autoSpaceDN w:val="0"/>
        <w:jc w:val="both"/>
        <w:spacing w:before="10" w:after="0" w:lineRule="exact" w:line="312"/>
        <w:ind w:right="978" w:left="965" w:firstLine="0"/>
        <w:snapToGrid w:val="0"/>
        <w:textAlignment w:val="auto"/>
        <w:tabs/>
        <w:rPr>
          <w:rFonts w:ascii="宋体" w:hAnsi="宋体" w:cs="宋体" w:eastAsia="宋体" w:hint="ascii"/>
          <w:sz w:val="21"/>
        </w:rPr>
      </w:pPr>
      <w:r>
        <w:rPr>
          <w:rFonts w:ascii="宋体" w:hAnsi="宋体" w:cs="宋体" w:eastAsia="宋体" w:hint="ascii"/>
          <w:sz w:val="21"/>
          <w:spacing w:val="1"/>
        </w:rPr>
        <w:t>其在心脏病理性重构</w:t>
      </w:r>
      <w:r>
        <w:rPr>
          <w:rFonts w:ascii="宋体" w:hAnsi="宋体" w:cs="宋体" w:eastAsia="宋体" w:hint="ascii"/>
          <w:sz w:val="21"/>
        </w:rPr>
        <w:t>中的功能意义，探讨组织、细胞间相互作用对心肌细胞代谢的</w:t>
      </w:r>
      <w:r>
        <w:rPr>
          <w:rFonts w:ascii="宋体" w:hAnsi="宋体" w:cs="宋体" w:eastAsia="宋体" w:hint="ascii"/>
          <w:sz w:val="21"/>
          <w:spacing w:val="-6"/>
        </w:rPr>
        <w:t>影</w:t>
      </w:r>
      <w:r>
        <w:rPr>
          <w:rFonts w:ascii="宋体" w:hAnsi="宋体" w:cs="宋体" w:eastAsia="宋体" w:hint="ascii"/>
          <w:sz w:val="21"/>
        </w:rPr>
        <w:t>响，发现心脏病理性重构的代谢标记物和干预新靶点。</w:t>
      </w:r>
    </w:p>
    <w:p>
      <w:pPr>
        <w:autoSpaceDE w:val="0"/>
        <w:autoSpaceDN w:val="0"/>
        <w:jc w:val="left"/>
        <w:spacing w:before="40" w:after="0" w:lineRule="auto" w:line="240"/>
        <w:ind w:right="0" w:left="965" w:firstLine="420"/>
        <w:snapToGrid w:val="0"/>
        <w:textAlignment w:val="auto"/>
        <w:tabs>
          <w:tab w:val="left" w:leader="none" w:pos="1648"/>
        </w:tabs>
        <w:numPr>
          <w:ilvl w:val="0"/>
          <w:numId w:val="13"/>
        </w:numPr>
        <w:rPr>
          <w:rFonts w:ascii="Times New Roman" w:hAnsi="Times New Roman" w:cs="Times New Roman" w:eastAsia="Times New Roman" w:hint="ascii"/>
          <w:b w:val="1"/>
          <w:sz w:val="21"/>
        </w:rPr>
      </w:pPr>
      <w:r>
        <w:rPr>
          <w:rFonts w:ascii="宋体" w:hAnsi="宋体" w:cs="宋体" w:eastAsia="宋体" w:hint="ascii"/>
          <w:sz w:val="21"/>
        </w:rPr>
        <w:t>黏膜损伤修复在消化系统疾病中的作用及机制研究（</w:t>
      </w:r>
      <w:r>
        <w:rPr>
          <w:rFonts w:ascii="Times New Roman" w:hAnsi="Times New Roman" w:cs="Times New Roman" w:eastAsia="Times New Roman" w:hint="ascii"/>
          <w:b w:val="1"/>
          <w:sz w:val="21"/>
        </w:rPr>
        <w:t>H03</w:t>
      </w:r>
      <w:r>
        <w:rPr>
          <w:rFonts w:ascii="宋体" w:hAnsi="宋体" w:cs="宋体" w:eastAsia="宋体" w:hint="ascii"/>
          <w:sz w:val="21"/>
        </w:rPr>
        <w:t>）</w:t>
      </w:r>
    </w:p>
    <w:p>
      <w:pPr>
        <w:autoSpaceDE w:val="0"/>
        <w:autoSpaceDN w:val="0"/>
        <w:jc w:val="both"/>
        <w:spacing w:before="17" w:after="0" w:lineRule="exact" w:line="312"/>
        <w:ind w:right="979" w:left="965" w:firstLine="420"/>
        <w:snapToGrid w:val="0"/>
        <w:textAlignment w:val="auto"/>
        <w:tabs/>
        <w:rPr>
          <w:rFonts w:ascii="宋体" w:hAnsi="宋体" w:cs="宋体" w:eastAsia="宋体" w:hint="ascii"/>
          <w:sz w:val="21"/>
        </w:rPr>
      </w:pPr>
      <w:r>
        <w:rPr>
          <w:rFonts w:ascii="宋体" w:hAnsi="宋体" w:cs="宋体" w:eastAsia="宋体" w:hint="ascii"/>
          <w:sz w:val="21"/>
          <w:spacing w:val="-2"/>
        </w:rPr>
        <w:t>重点研究肠黏膜中机械屏障受损、免疫功能紊乱、肠</w:t>
      </w:r>
      <w:r>
        <w:rPr>
          <w:rFonts w:ascii="宋体" w:hAnsi="宋体" w:cs="宋体" w:eastAsia="宋体" w:hint="ascii"/>
          <w:sz w:val="21"/>
          <w:spacing w:val="-1"/>
        </w:rPr>
        <w:t>道菌群失调及与宿主的相互作</w:t>
      </w:r>
      <w:r>
        <w:rPr>
          <w:rFonts w:ascii="宋体" w:hAnsi="宋体" w:cs="宋体" w:eastAsia="宋体" w:hint="ascii"/>
          <w:sz w:val="21"/>
        </w:rPr>
        <w:t xml:space="preserve"> </w:t>
      </w:r>
      <w:r>
        <w:rPr>
          <w:rFonts w:ascii="宋体" w:hAnsi="宋体" w:cs="宋体" w:eastAsia="宋体" w:hint="ascii"/>
          <w:sz w:val="21"/>
          <w:spacing w:val="-1"/>
        </w:rPr>
        <w:t>用、营养代</w:t>
      </w:r>
      <w:r>
        <w:rPr>
          <w:rFonts w:ascii="宋体" w:hAnsi="宋体" w:cs="宋体" w:eastAsia="宋体" w:hint="ascii"/>
          <w:sz w:val="21"/>
        </w:rPr>
        <w:t>谢改变等多种因素参与消化系统非肿瘤疾病发生发展的机理，以及不同干预措施的作用和机制。</w:t>
      </w:r>
    </w:p>
    <w:p>
      <w:pPr>
        <w:autoSpaceDE w:val="0"/>
        <w:autoSpaceDN w:val="0"/>
        <w:jc w:val="left"/>
        <w:spacing w:before="40" w:after="0" w:lineRule="auto" w:line="240"/>
        <w:ind w:right="0" w:left="965" w:firstLine="420"/>
        <w:snapToGrid w:val="0"/>
        <w:textAlignment w:val="auto"/>
        <w:tabs>
          <w:tab w:val="left" w:leader="none" w:pos="1648"/>
        </w:tabs>
        <w:numPr>
          <w:ilvl w:val="0"/>
          <w:numId w:val="13"/>
        </w:numPr>
        <w:rPr>
          <w:rFonts w:ascii="Times New Roman" w:hAnsi="Times New Roman" w:cs="Times New Roman" w:eastAsia="Times New Roman" w:hint="ascii"/>
          <w:b w:val="1"/>
          <w:sz w:val="21"/>
        </w:rPr>
      </w:pPr>
      <w:r>
        <w:rPr>
          <w:rFonts w:ascii="宋体" w:hAnsi="宋体" w:cs="宋体" w:eastAsia="宋体" w:hint="ascii"/>
          <w:sz w:val="21"/>
        </w:rPr>
        <w:t>胎盘发生发育与疾病（</w:t>
      </w:r>
      <w:r>
        <w:rPr>
          <w:rFonts w:ascii="Times New Roman" w:hAnsi="Times New Roman" w:cs="Times New Roman" w:eastAsia="Times New Roman" w:hint="ascii"/>
          <w:b w:val="1"/>
          <w:sz w:val="21"/>
        </w:rPr>
        <w:t>H04</w:t>
      </w:r>
      <w:r>
        <w:rPr>
          <w:rFonts w:ascii="宋体" w:hAnsi="宋体" w:cs="宋体" w:eastAsia="宋体" w:hint="ascii"/>
          <w:sz w:val="21"/>
        </w:rPr>
        <w:t>）</w:t>
      </w:r>
    </w:p>
    <w:p>
      <w:pPr>
        <w:autoSpaceDE w:val="0"/>
        <w:autoSpaceDN w:val="0"/>
        <w:jc w:val="both"/>
        <w:spacing w:before="17" w:after="0" w:lineRule="exact" w:line="312"/>
        <w:ind w:right="962" w:left="965" w:firstLine="420"/>
        <w:snapToGrid w:val="0"/>
        <w:textAlignment w:val="auto"/>
        <w:tabs/>
        <w:rPr>
          <w:rFonts w:ascii="宋体" w:hAnsi="宋体" w:cs="宋体" w:eastAsia="宋体" w:hint="ascii"/>
          <w:sz w:val="21"/>
        </w:rPr>
      </w:pPr>
      <w:r>
        <w:rPr>
          <w:rFonts w:ascii="宋体" w:hAnsi="宋体" w:cs="宋体" w:eastAsia="宋体" w:hint="ascii"/>
          <w:sz w:val="21"/>
        </w:rPr>
        <w:t>重点</w:t>
      </w:r>
      <w:r>
        <w:rPr>
          <w:rFonts w:ascii="宋体" w:hAnsi="宋体" w:cs="宋体" w:eastAsia="宋体" w:hint="ascii"/>
          <w:sz w:val="21"/>
          <w:spacing w:val="-1"/>
        </w:rPr>
        <w:t>研</w:t>
      </w:r>
      <w:r>
        <w:rPr>
          <w:rFonts w:ascii="宋体" w:hAnsi="宋体" w:cs="宋体" w:eastAsia="宋体" w:hint="ascii"/>
          <w:sz w:val="21"/>
        </w:rPr>
        <w:t>究</w:t>
      </w:r>
      <w:r>
        <w:rPr>
          <w:rFonts w:ascii="宋体" w:hAnsi="宋体" w:cs="宋体" w:eastAsia="宋体" w:hint="ascii"/>
          <w:sz w:val="21"/>
          <w:spacing w:val="-1"/>
        </w:rPr>
        <w:t>胎</w:t>
      </w:r>
      <w:r>
        <w:rPr>
          <w:rFonts w:ascii="宋体" w:hAnsi="宋体" w:cs="宋体" w:eastAsia="宋体" w:hint="ascii"/>
          <w:sz w:val="21"/>
        </w:rPr>
        <w:t>盘发</w:t>
      </w:r>
      <w:r>
        <w:rPr>
          <w:rFonts w:ascii="宋体" w:hAnsi="宋体" w:cs="宋体" w:eastAsia="宋体" w:hint="ascii"/>
          <w:sz w:val="21"/>
          <w:spacing w:val="-1"/>
        </w:rPr>
        <w:t>生</w:t>
      </w:r>
      <w:r>
        <w:rPr>
          <w:rFonts w:ascii="宋体" w:hAnsi="宋体" w:cs="宋体" w:eastAsia="宋体" w:hint="ascii"/>
          <w:sz w:val="21"/>
        </w:rPr>
        <w:t>发</w:t>
      </w:r>
      <w:r>
        <w:rPr>
          <w:rFonts w:ascii="宋体" w:hAnsi="宋体" w:cs="宋体" w:eastAsia="宋体" w:hint="ascii"/>
          <w:sz w:val="21"/>
          <w:spacing w:val="-1"/>
        </w:rPr>
        <w:t>育</w:t>
      </w:r>
      <w:r>
        <w:rPr>
          <w:rFonts w:ascii="宋体" w:hAnsi="宋体" w:cs="宋体" w:eastAsia="宋体" w:hint="ascii"/>
          <w:sz w:val="21"/>
        </w:rPr>
        <w:t>的生</w:t>
      </w:r>
      <w:r>
        <w:rPr>
          <w:rFonts w:ascii="宋体" w:hAnsi="宋体" w:cs="宋体" w:eastAsia="宋体" w:hint="ascii"/>
          <w:sz w:val="21"/>
          <w:spacing w:val="-1"/>
        </w:rPr>
        <w:t>理</w:t>
      </w:r>
      <w:r>
        <w:rPr>
          <w:rFonts w:ascii="宋体" w:hAnsi="宋体" w:cs="宋体" w:eastAsia="宋体" w:hint="ascii"/>
          <w:sz w:val="21"/>
        </w:rPr>
        <w:t>病</w:t>
      </w:r>
      <w:r>
        <w:rPr>
          <w:rFonts w:ascii="宋体" w:hAnsi="宋体" w:cs="宋体" w:eastAsia="宋体" w:hint="ascii"/>
          <w:sz w:val="21"/>
          <w:spacing w:val="-1"/>
        </w:rPr>
        <w:t>理</w:t>
      </w:r>
      <w:r>
        <w:rPr>
          <w:rFonts w:ascii="宋体" w:hAnsi="宋体" w:cs="宋体" w:eastAsia="宋体" w:hint="ascii"/>
          <w:sz w:val="21"/>
        </w:rPr>
        <w:t>机制</w:t>
      </w:r>
      <w:r>
        <w:rPr>
          <w:rFonts w:ascii="宋体" w:hAnsi="宋体" w:cs="宋体" w:eastAsia="宋体" w:hint="ascii"/>
          <w:sz w:val="21"/>
          <w:spacing w:val="-1"/>
        </w:rPr>
        <w:t>、</w:t>
      </w:r>
      <w:r>
        <w:rPr>
          <w:rFonts w:ascii="宋体" w:hAnsi="宋体" w:cs="宋体" w:eastAsia="宋体" w:hint="ascii"/>
          <w:sz w:val="21"/>
        </w:rPr>
        <w:t>胎</w:t>
      </w:r>
      <w:r>
        <w:rPr>
          <w:rFonts w:ascii="宋体" w:hAnsi="宋体" w:cs="宋体" w:eastAsia="宋体" w:hint="ascii"/>
          <w:sz w:val="21"/>
          <w:spacing w:val="-1"/>
        </w:rPr>
        <w:t>盘</w:t>
      </w:r>
      <w:r>
        <w:rPr>
          <w:rFonts w:ascii="宋体" w:hAnsi="宋体" w:cs="宋体" w:eastAsia="宋体" w:hint="ascii"/>
          <w:sz w:val="21"/>
        </w:rPr>
        <w:t>介导</w:t>
      </w:r>
      <w:r>
        <w:rPr>
          <w:rFonts w:ascii="宋体" w:hAnsi="宋体" w:cs="宋体" w:eastAsia="宋体" w:hint="ascii"/>
          <w:sz w:val="21"/>
          <w:spacing w:val="-1"/>
        </w:rPr>
        <w:t>性</w:t>
      </w:r>
      <w:r>
        <w:rPr>
          <w:rFonts w:ascii="宋体" w:hAnsi="宋体" w:cs="宋体" w:eastAsia="宋体" w:hint="ascii"/>
          <w:sz w:val="21"/>
        </w:rPr>
        <w:t>疾</w:t>
      </w:r>
      <w:r>
        <w:rPr>
          <w:rFonts w:ascii="宋体" w:hAnsi="宋体" w:cs="宋体" w:eastAsia="宋体" w:hint="ascii"/>
          <w:sz w:val="21"/>
          <w:spacing w:val="-1"/>
        </w:rPr>
        <w:t>病</w:t>
      </w:r>
      <w:r>
        <w:rPr>
          <w:rFonts w:ascii="宋体" w:hAnsi="宋体" w:cs="宋体" w:eastAsia="宋体" w:hint="ascii"/>
          <w:sz w:val="21"/>
        </w:rPr>
        <w:t>的发</w:t>
      </w:r>
      <w:r>
        <w:rPr>
          <w:rFonts w:ascii="宋体" w:hAnsi="宋体" w:cs="宋体" w:eastAsia="宋体" w:hint="ascii"/>
          <w:sz w:val="21"/>
          <w:spacing w:val="-1"/>
        </w:rPr>
        <w:t>病</w:t>
      </w:r>
      <w:r>
        <w:rPr>
          <w:rFonts w:ascii="宋体" w:hAnsi="宋体" w:cs="宋体" w:eastAsia="宋体" w:hint="ascii"/>
          <w:sz w:val="21"/>
        </w:rPr>
        <w:t>机</w:t>
      </w:r>
      <w:r>
        <w:rPr>
          <w:rFonts w:ascii="宋体" w:hAnsi="宋体" w:cs="宋体" w:eastAsia="宋体" w:hint="ascii"/>
          <w:sz w:val="21"/>
          <w:spacing w:val="-1"/>
        </w:rPr>
        <w:t>制</w:t>
      </w:r>
      <w:r>
        <w:rPr>
          <w:rFonts w:ascii="宋体" w:hAnsi="宋体" w:cs="宋体" w:eastAsia="宋体" w:hint="ascii"/>
          <w:sz w:val="21"/>
        </w:rPr>
        <w:t>、胎</w:t>
      </w:r>
      <w:r>
        <w:rPr>
          <w:rFonts w:ascii="宋体" w:hAnsi="宋体" w:cs="宋体" w:eastAsia="宋体" w:hint="ascii"/>
          <w:sz w:val="21"/>
          <w:spacing w:val="-1"/>
        </w:rPr>
        <w:t>盘</w:t>
      </w:r>
      <w:r>
        <w:rPr>
          <w:rFonts w:ascii="宋体" w:hAnsi="宋体" w:cs="宋体" w:eastAsia="宋体" w:hint="ascii"/>
          <w:sz w:val="21"/>
        </w:rPr>
        <w:t>在母</w:t>
      </w:r>
      <w:r>
        <w:rPr>
          <w:rFonts w:ascii="宋体" w:hAnsi="宋体" w:cs="宋体" w:eastAsia="宋体" w:hint="ascii"/>
          <w:sz w:val="21"/>
        </w:rPr>
        <w:t xml:space="preserve">- </w:t>
      </w:r>
      <w:r>
        <w:rPr>
          <w:rFonts w:ascii="宋体" w:hAnsi="宋体" w:cs="宋体" w:eastAsia="宋体" w:hint="ascii"/>
          <w:sz w:val="21"/>
        </w:rPr>
        <w:t>胎互作中的作用，以及胎盘对子代健康的影响机制。</w:t>
      </w:r>
    </w:p>
    <w:p>
      <w:pPr>
        <w:autoSpaceDE w:val="0"/>
        <w:autoSpaceDN w:val="0"/>
        <w:jc w:val="left"/>
        <w:spacing w:before="40" w:after="0" w:lineRule="auto" w:line="240"/>
        <w:ind w:right="0" w:left="965" w:firstLine="420"/>
        <w:snapToGrid w:val="0"/>
        <w:textAlignment w:val="auto"/>
        <w:tabs>
          <w:tab w:val="left" w:leader="none" w:pos="1648"/>
        </w:tabs>
        <w:numPr>
          <w:ilvl w:val="0"/>
          <w:numId w:val="13"/>
        </w:numPr>
        <w:rPr>
          <w:rFonts w:ascii="Times New Roman" w:hAnsi="Times New Roman" w:cs="Times New Roman" w:eastAsia="Times New Roman" w:hint="ascii"/>
          <w:b w:val="1"/>
          <w:sz w:val="21"/>
        </w:rPr>
      </w:pPr>
      <w:r>
        <w:rPr>
          <w:rFonts w:ascii="宋体" w:hAnsi="宋体" w:cs="宋体" w:eastAsia="宋体" w:hint="ascii"/>
          <w:sz w:val="21"/>
        </w:rPr>
        <w:t>慢性妇科疼痛性疾病的发病机制及干预（</w:t>
      </w:r>
      <w:r>
        <w:rPr>
          <w:rFonts w:ascii="Times New Roman" w:hAnsi="Times New Roman" w:cs="Times New Roman" w:eastAsia="Times New Roman" w:hint="ascii"/>
          <w:b w:val="1"/>
          <w:sz w:val="21"/>
        </w:rPr>
        <w:t>H04</w:t>
      </w:r>
      <w:r>
        <w:rPr>
          <w:rFonts w:ascii="宋体" w:hAnsi="宋体" w:cs="宋体" w:eastAsia="宋体" w:hint="ascii"/>
          <w:sz w:val="21"/>
        </w:rPr>
        <w:t>）</w:t>
      </w:r>
    </w:p>
    <w:p>
      <w:pPr>
        <w:autoSpaceDE w:val="0"/>
        <w:autoSpaceDN w:val="0"/>
        <w:jc w:val="left"/>
        <w:spacing w:before="17" w:after="0" w:lineRule="exact" w:line="312"/>
        <w:ind w:right="962" w:left="965" w:firstLine="420"/>
        <w:snapToGrid w:val="0"/>
        <w:textAlignment w:val="auto"/>
        <w:tabs/>
        <w:rPr>
          <w:rFonts w:ascii="宋体" w:hAnsi="宋体" w:cs="宋体" w:eastAsia="宋体" w:hint="ascii"/>
          <w:sz w:val="21"/>
        </w:rPr>
      </w:pPr>
      <w:r>
        <w:rPr>
          <w:rFonts w:ascii="宋体" w:hAnsi="宋体" w:cs="宋体" w:eastAsia="宋体" w:hint="ascii"/>
          <w:sz w:val="21"/>
          <w:spacing w:val="1"/>
        </w:rPr>
        <w:t>重点</w:t>
      </w:r>
      <w:r>
        <w:rPr>
          <w:rFonts w:ascii="宋体" w:hAnsi="宋体" w:cs="宋体" w:eastAsia="宋体" w:hint="ascii"/>
          <w:sz w:val="21"/>
          <w:spacing w:val="2"/>
        </w:rPr>
        <w:t>研</w:t>
      </w:r>
      <w:r>
        <w:rPr>
          <w:rFonts w:ascii="宋体" w:hAnsi="宋体" w:cs="宋体" w:eastAsia="宋体" w:hint="ascii"/>
          <w:sz w:val="21"/>
          <w:spacing w:val="1"/>
        </w:rPr>
        <w:t>究诱发慢</w:t>
      </w:r>
      <w:r>
        <w:rPr>
          <w:rFonts w:ascii="宋体" w:hAnsi="宋体" w:cs="宋体" w:eastAsia="宋体" w:hint="ascii"/>
          <w:sz w:val="21"/>
          <w:spacing w:val="2"/>
        </w:rPr>
        <w:t>性</w:t>
      </w:r>
      <w:r>
        <w:rPr>
          <w:rFonts w:ascii="宋体" w:hAnsi="宋体" w:cs="宋体" w:eastAsia="宋体" w:hint="ascii"/>
          <w:sz w:val="21"/>
          <w:spacing w:val="1"/>
        </w:rPr>
        <w:t>盆腔痛的</w:t>
      </w:r>
      <w:r>
        <w:rPr>
          <w:rFonts w:ascii="宋体" w:hAnsi="宋体" w:cs="宋体" w:eastAsia="宋体" w:hint="ascii"/>
          <w:sz w:val="21"/>
          <w:spacing w:val="2"/>
        </w:rPr>
        <w:t>器</w:t>
      </w:r>
      <w:r>
        <w:rPr>
          <w:rFonts w:ascii="宋体" w:hAnsi="宋体" w:cs="宋体" w:eastAsia="宋体" w:hint="ascii"/>
          <w:sz w:val="21"/>
          <w:spacing w:val="1"/>
        </w:rPr>
        <w:t>质性或功</w:t>
      </w:r>
      <w:r>
        <w:rPr>
          <w:rFonts w:ascii="宋体" w:hAnsi="宋体" w:cs="宋体" w:eastAsia="宋体" w:hint="ascii"/>
          <w:sz w:val="21"/>
          <w:spacing w:val="2"/>
        </w:rPr>
        <w:t>能</w:t>
      </w:r>
      <w:r>
        <w:rPr>
          <w:rFonts w:ascii="宋体" w:hAnsi="宋体" w:cs="宋体" w:eastAsia="宋体" w:hint="ascii"/>
          <w:sz w:val="21"/>
          <w:spacing w:val="1"/>
        </w:rPr>
        <w:t>性</w:t>
      </w:r>
      <w:r>
        <w:rPr>
          <w:rFonts w:ascii="宋体" w:hAnsi="宋体" w:cs="宋体" w:eastAsia="宋体" w:hint="ascii"/>
          <w:sz w:val="21"/>
          <w:spacing w:val="2"/>
        </w:rPr>
        <w:t>疾病（</w:t>
      </w:r>
      <w:r>
        <w:rPr>
          <w:rFonts w:ascii="宋体" w:hAnsi="宋体" w:cs="宋体" w:eastAsia="宋体" w:hint="ascii"/>
          <w:sz w:val="21"/>
          <w:spacing w:val="3"/>
        </w:rPr>
        <w:t>如</w:t>
      </w:r>
      <w:r>
        <w:rPr>
          <w:rFonts w:ascii="宋体" w:hAnsi="宋体" w:cs="宋体" w:eastAsia="宋体" w:hint="ascii"/>
          <w:sz w:val="21"/>
          <w:spacing w:val="2"/>
        </w:rPr>
        <w:t>子宫内膜</w:t>
      </w:r>
      <w:r>
        <w:rPr>
          <w:rFonts w:ascii="宋体" w:hAnsi="宋体" w:cs="宋体" w:eastAsia="宋体" w:hint="ascii"/>
          <w:sz w:val="21"/>
          <w:spacing w:val="3"/>
        </w:rPr>
        <w:t>异</w:t>
      </w:r>
      <w:r>
        <w:rPr>
          <w:rFonts w:ascii="宋体" w:hAnsi="宋体" w:cs="宋体" w:eastAsia="宋体" w:hint="ascii"/>
          <w:sz w:val="21"/>
          <w:spacing w:val="2"/>
        </w:rPr>
        <w:t>位症、子</w:t>
      </w:r>
      <w:r>
        <w:rPr>
          <w:rFonts w:ascii="宋体" w:hAnsi="宋体" w:cs="宋体" w:eastAsia="宋体" w:hint="ascii"/>
          <w:sz w:val="21"/>
          <w:spacing w:val="3"/>
        </w:rPr>
        <w:t>宫</w:t>
      </w:r>
      <w:r>
        <w:rPr>
          <w:rFonts w:ascii="宋体" w:hAnsi="宋体" w:cs="宋体" w:eastAsia="宋体" w:hint="ascii"/>
          <w:sz w:val="21"/>
          <w:spacing w:val="2"/>
        </w:rPr>
        <w:t>腺</w:t>
      </w:r>
      <w:r>
        <w:rPr>
          <w:rFonts w:ascii="宋体" w:hAnsi="宋体" w:cs="宋体" w:eastAsia="宋体" w:hint="ascii"/>
          <w:sz w:val="21"/>
          <w:spacing w:val="-1"/>
        </w:rPr>
        <w:t>肌</w:t>
      </w:r>
      <w:r>
        <w:rPr>
          <w:rFonts w:ascii="宋体" w:hAnsi="宋体" w:cs="宋体" w:eastAsia="宋体" w:hint="ascii"/>
          <w:sz w:val="21"/>
        </w:rPr>
        <w:t xml:space="preserve"> 病、盆腔炎性疾病、盆腔淤血综合征等）的发病机制，重点关注在疾病发生发展进程中关键分子的调控机制，关注有效生物标志物的挖掘，关注盆腔痛阈值的研究，关注神经影像等技术在诊断及干预中的应用研究。</w:t>
      </w:r>
    </w:p>
    <w:p>
      <w:pPr>
        <w:autoSpaceDE w:val="0"/>
        <w:autoSpaceDN w:val="0"/>
        <w:jc w:val="left"/>
        <w:spacing w:before="40" w:after="0" w:lineRule="auto" w:line="240"/>
        <w:ind w:right="0" w:left="965" w:firstLine="420"/>
        <w:snapToGrid w:val="0"/>
        <w:textAlignment w:val="auto"/>
        <w:tabs>
          <w:tab w:val="left" w:leader="none" w:pos="1648"/>
        </w:tabs>
        <w:numPr>
          <w:ilvl w:val="0"/>
          <w:numId w:val="13"/>
        </w:numPr>
        <w:rPr>
          <w:rFonts w:ascii="Times New Roman" w:hAnsi="Times New Roman" w:cs="Times New Roman" w:eastAsia="Times New Roman" w:hint="ascii"/>
          <w:b w:val="1"/>
          <w:sz w:val="21"/>
        </w:rPr>
      </w:pPr>
      <w:r>
        <w:rPr>
          <w:rFonts w:ascii="宋体" w:hAnsi="宋体" w:cs="宋体" w:eastAsia="宋体" w:hint="ascii"/>
          <w:sz w:val="21"/>
        </w:rPr>
        <w:t>免疫介导的肾脏疾病遗传和表观遗传机制研究（</w:t>
      </w:r>
      <w:r>
        <w:rPr>
          <w:rFonts w:ascii="Times New Roman" w:hAnsi="Times New Roman" w:cs="Times New Roman" w:eastAsia="Times New Roman" w:hint="ascii"/>
          <w:b w:val="1"/>
          <w:sz w:val="21"/>
        </w:rPr>
        <w:t>H05</w:t>
      </w:r>
      <w:r>
        <w:rPr>
          <w:rFonts w:ascii="宋体" w:hAnsi="宋体" w:cs="宋体" w:eastAsia="宋体" w:hint="ascii"/>
          <w:sz w:val="21"/>
        </w:rPr>
        <w:t>）</w:t>
      </w:r>
    </w:p>
    <w:p>
      <w:pPr>
        <w:autoSpaceDE w:val="0"/>
        <w:autoSpaceDN w:val="0"/>
        <w:jc w:val="left"/>
        <w:spacing w:before="57" w:after="0" w:lineRule="exact" w:line="263"/>
        <w:ind w:right="0" w:left="1385" w:firstLine="0"/>
        <w:snapToGrid w:val="0"/>
        <w:textAlignment w:val="auto"/>
        <w:tabs/>
        <w:rPr>
          <w:rFonts w:ascii="宋体" w:hAnsi="宋体" w:cs="宋体" w:eastAsia="宋体" w:hint="ascii"/>
          <w:sz w:val="21"/>
        </w:rPr>
      </w:pPr>
      <w:r>
        <w:rPr>
          <w:rFonts w:ascii="宋体" w:hAnsi="宋体" w:cs="宋体" w:eastAsia="宋体" w:hint="ascii"/>
          <w:sz w:val="21"/>
        </w:rPr>
        <w:t>重点研究免疫介导的肾脏非肿瘤疾病遗传、表观遗传和分子网络机制，为阐明免疫</w:t>
      </w:r>
    </w:p>
    <w:p>
      <w:pPr>
        <w:autoSpaceDE w:val="0"/>
        <w:autoSpaceDN w:val="0"/>
        <w:jc w:val="both"/>
        <w:spacing w:before="10" w:after="0" w:lineRule="exact" w:line="312"/>
        <w:ind w:right="979" w:left="965" w:firstLine="0"/>
        <w:snapToGrid w:val="0"/>
        <w:textAlignment w:val="auto"/>
        <w:tabs/>
        <w:rPr>
          <w:rFonts w:ascii="宋体" w:hAnsi="宋体" w:cs="宋体" w:eastAsia="宋体" w:hint="ascii"/>
          <w:sz w:val="21"/>
        </w:rPr>
      </w:pPr>
      <w:r>
        <w:rPr>
          <w:rFonts w:ascii="宋体" w:hAnsi="宋体" w:cs="宋体" w:eastAsia="宋体" w:hint="ascii"/>
          <w:sz w:val="21"/>
          <w:spacing w:val="-1"/>
        </w:rPr>
        <w:t>介导的肾脏</w:t>
      </w:r>
      <w:r>
        <w:rPr>
          <w:rFonts w:ascii="宋体" w:hAnsi="宋体" w:cs="宋体" w:eastAsia="宋体" w:hint="ascii"/>
          <w:sz w:val="21"/>
        </w:rPr>
        <w:t>非肿瘤疾病发生发展的机理、探索组织损伤修复的分子机制以及药物干预的新靶点提供依据。</w:t>
      </w:r>
    </w:p>
    <w:p>
      <w:pPr>
        <w:autoSpaceDE w:val="0"/>
        <w:autoSpaceDN w:val="0"/>
        <w:jc w:val="left"/>
        <w:spacing w:before="40" w:after="0" w:lineRule="auto" w:line="240"/>
        <w:ind w:right="0" w:left="965" w:firstLine="420"/>
        <w:snapToGrid w:val="0"/>
        <w:textAlignment w:val="auto"/>
        <w:tabs>
          <w:tab w:val="left" w:leader="none" w:pos="1648"/>
        </w:tabs>
        <w:numPr>
          <w:ilvl w:val="0"/>
          <w:numId w:val="13"/>
        </w:numPr>
        <w:rPr>
          <w:rFonts w:ascii="Times New Roman" w:hAnsi="Times New Roman" w:cs="Times New Roman" w:eastAsia="Times New Roman" w:hint="ascii"/>
          <w:b w:val="1"/>
          <w:sz w:val="21"/>
        </w:rPr>
      </w:pPr>
      <w:r>
        <w:rPr>
          <w:rFonts w:ascii="宋体" w:hAnsi="宋体" w:cs="宋体" w:eastAsia="宋体" w:hint="ascii"/>
          <w:sz w:val="21"/>
        </w:rPr>
        <w:t>运动系统组织器官衰老、损伤修复与康复（</w:t>
      </w:r>
      <w:r>
        <w:rPr>
          <w:rFonts w:ascii="Times New Roman" w:hAnsi="Times New Roman" w:cs="Times New Roman" w:eastAsia="Times New Roman" w:hint="ascii"/>
          <w:b w:val="1"/>
          <w:sz w:val="21"/>
        </w:rPr>
        <w:t>H06</w:t>
      </w:r>
      <w:r>
        <w:rPr>
          <w:rFonts w:ascii="宋体" w:hAnsi="宋体" w:cs="宋体" w:eastAsia="宋体" w:hint="ascii"/>
          <w:sz w:val="21"/>
        </w:rPr>
        <w:t>）</w:t>
      </w:r>
    </w:p>
    <w:p>
      <w:pPr>
        <w:autoSpaceDE w:val="0"/>
        <w:autoSpaceDN w:val="0"/>
        <w:jc w:val="both"/>
        <w:spacing w:before="17" w:after="0" w:lineRule="exact" w:line="312"/>
        <w:ind w:right="979" w:left="965" w:firstLine="420"/>
        <w:snapToGrid w:val="0"/>
        <w:textAlignment w:val="auto"/>
        <w:tabs/>
        <w:rPr>
          <w:rFonts w:ascii="宋体" w:hAnsi="宋体" w:cs="宋体" w:eastAsia="宋体" w:hint="ascii"/>
          <w:sz w:val="21"/>
        </w:rPr>
      </w:pPr>
      <w:r>
        <w:rPr>
          <w:rFonts w:ascii="宋体" w:hAnsi="宋体" w:cs="宋体" w:eastAsia="宋体" w:hint="ascii"/>
          <w:sz w:val="21"/>
          <w:spacing w:val="-1"/>
        </w:rPr>
        <w:t>重点研究运动</w:t>
      </w:r>
      <w:r>
        <w:rPr>
          <w:rFonts w:ascii="宋体" w:hAnsi="宋体" w:cs="宋体" w:eastAsia="宋体" w:hint="ascii"/>
          <w:sz w:val="21"/>
        </w:rPr>
        <w:t>系统组织器官衰老的关键分子机理其调控机制，探索运动系统损伤修复与康复的防治方法与机理。</w:t>
      </w:r>
    </w:p>
    <w:p>
      <w:pPr>
        <w:autoSpaceDE w:val="0"/>
        <w:autoSpaceDN w:val="0"/>
        <w:jc w:val="left"/>
        <w:spacing w:before="274" w:after="0" w:lineRule="exact" w:line="225"/>
        <w:ind w:right="0" w:left="8344"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104"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0" w:firstLine="524"/>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9.</w:t>
      </w:r>
      <w:r>
        <w:rPr>
          <w:rFonts w:ascii="Times New Roman" w:hAnsi="Times New Roman" w:cs="Times New Roman" w:eastAsia="Times New Roman" w:hint="ascii"/>
          <w:b w:val="1"/>
          <w:sz w:val="21"/>
          <w:spacing w:val="13"/>
        </w:rPr>
        <w:t xml:space="preserve"> </w:t>
      </w:r>
      <w:r>
        <w:rPr>
          <w:rFonts w:ascii="宋体" w:hAnsi="宋体" w:cs="宋体" w:eastAsia="宋体" w:hint="ascii"/>
          <w:sz w:val="21"/>
          <w:spacing w:val="3"/>
        </w:rPr>
        <w:t>胰岛不同类型细胞间相互转化与对话在血糖稳态调控中的作用及其机</w:t>
      </w:r>
      <w:r>
        <w:rPr>
          <w:rFonts w:ascii="宋体" w:hAnsi="宋体" w:cs="宋体" w:eastAsia="宋体" w:hint="ascii"/>
          <w:sz w:val="21"/>
          <w:spacing w:val="-19"/>
        </w:rPr>
        <w:t>制</w:t>
      </w:r>
      <w:r>
        <w:rPr>
          <w:rFonts w:ascii="宋体" w:hAnsi="宋体" w:cs="宋体" w:eastAsia="宋体" w:hint="ascii"/>
          <w:sz w:val="21"/>
        </w:rPr>
        <w:t xml:space="preserve"> （</w:t>
      </w:r>
      <w:r>
        <w:rPr>
          <w:rFonts w:ascii="Times New Roman" w:hAnsi="Times New Roman" w:cs="Times New Roman" w:eastAsia="Times New Roman" w:hint="ascii"/>
          <w:b w:val="1"/>
          <w:sz w:val="21"/>
        </w:rPr>
        <w:t>H07</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78" locked="0" layoutInCell="1" allowOverlap="1">
                <wp:simplePos x="0" y="0"/>
                <wp:positionH relativeFrom="page">
                  <wp:posOffset>938530</wp:posOffset>
                </wp:positionH>
                <wp:positionV relativeFrom="page">
                  <wp:posOffset>805815</wp:posOffset>
                </wp:positionV>
                <wp:extent cx="5076190" cy="0"/>
                <wp:wrapNone/>
                <wp:docPr id="1207" name="120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75968;width:399.70pt;" id="120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重点研究胰岛内不同类型细胞之间相互转化、β细胞去分化与再分化等在胰岛功能</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spacing w:val="-1"/>
        </w:rPr>
        <w:t>和血糖稳</w:t>
      </w:r>
      <w:r>
        <w:rPr>
          <w:rFonts w:ascii="宋体" w:hAnsi="宋体" w:cs="宋体" w:eastAsia="宋体" w:hint="ascii"/>
          <w:sz w:val="21"/>
        </w:rPr>
        <w:t>态调控中的作用，并从代谢信号通路调节、表观遗传修饰等方面探讨其作用机</w:t>
      </w:r>
      <w:r>
        <w:rPr>
          <w:rFonts w:ascii="宋体" w:hAnsi="宋体" w:cs="宋体" w:eastAsia="宋体" w:hint="ascii"/>
          <w:sz w:val="21"/>
          <w:spacing w:val="-1"/>
        </w:rPr>
        <w:t>理，为阐</w:t>
      </w:r>
      <w:r>
        <w:rPr>
          <w:rFonts w:ascii="宋体" w:hAnsi="宋体" w:cs="宋体" w:eastAsia="宋体" w:hint="ascii"/>
          <w:sz w:val="21"/>
        </w:rPr>
        <w:t>明代谢应激状态下胰岛功能障碍的分子机制、发现糖尿病治疗的新靶点提供重要科学依据。</w:t>
      </w:r>
    </w:p>
    <w:p>
      <w:pPr>
        <w:autoSpaceDE w:val="0"/>
        <w:autoSpaceDN w:val="0"/>
        <w:jc w:val="left"/>
        <w:spacing w:before="40" w:after="0" w:lineRule="auto" w:line="240"/>
        <w:ind w:right="0" w:left="893" w:hanging="105"/>
        <w:snapToGrid w:val="0"/>
        <w:textAlignment w:val="auto"/>
        <w:tabs>
          <w:tab w:val="left" w:leader="none" w:pos="892"/>
        </w:tabs>
        <w:numPr>
          <w:ilvl w:val="0"/>
          <w:numId w:val="145"/>
        </w:numPr>
        <w:rPr>
          <w:rFonts w:ascii="Times New Roman" w:hAnsi="Times New Roman" w:cs="Times New Roman" w:eastAsia="Times New Roman" w:hint="ascii"/>
          <w:sz w:val="21"/>
          <w:spacing w:val="1"/>
        </w:rPr>
      </w:pPr>
      <w:r>
        <w:rPr>
          <w:rFonts w:ascii="宋体" w:hAnsi="宋体" w:cs="宋体" w:eastAsia="宋体" w:hint="ascii"/>
          <w:sz w:val="21"/>
        </w:rPr>
        <w:t>血液肿瘤的免疫治疗及机制（</w:t>
      </w:r>
      <w:r>
        <w:rPr>
          <w:rFonts w:ascii="Times New Roman" w:hAnsi="Times New Roman" w:cs="Times New Roman" w:eastAsia="Times New Roman" w:hint="ascii"/>
          <w:b w:val="1"/>
          <w:sz w:val="21"/>
        </w:rPr>
        <w:t>H08</w:t>
      </w:r>
      <w:r>
        <w:rPr>
          <w:rFonts w:ascii="宋体" w:hAnsi="宋体" w:cs="宋体" w:eastAsia="宋体" w:hint="ascii"/>
          <w:sz w:val="21"/>
        </w:rPr>
        <w:t>）</w:t>
      </w:r>
    </w:p>
    <w:p>
      <w:pPr>
        <w:autoSpaceDE w:val="0"/>
        <w:autoSpaceDN w:val="0"/>
        <w:jc w:val="left"/>
        <w:spacing w:before="57"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重点研究血液肿瘤免疫治疗领域的关键科学问题，包括新型的免疫治疗靶点、新的</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spacing w:val="1"/>
        </w:rPr>
        <w:t>技术手段和途径、免疫</w:t>
      </w:r>
      <w:r>
        <w:rPr>
          <w:rFonts w:ascii="宋体" w:hAnsi="宋体" w:cs="宋体" w:eastAsia="宋体" w:hint="ascii"/>
          <w:sz w:val="21"/>
        </w:rPr>
        <w:t>治疗的组合方法、疗效、耐药及干预，免疫治疗预测和评估</w:t>
      </w:r>
      <w:r>
        <w:rPr>
          <w:rFonts w:ascii="宋体" w:hAnsi="宋体" w:cs="宋体" w:eastAsia="宋体" w:hint="ascii"/>
          <w:sz w:val="21"/>
          <w:spacing w:val="-6"/>
        </w:rPr>
        <w:t>体</w:t>
      </w:r>
      <w:r>
        <w:rPr>
          <w:rFonts w:ascii="宋体" w:hAnsi="宋体" w:cs="宋体" w:eastAsia="宋体" w:hint="ascii"/>
          <w:sz w:val="21"/>
        </w:rPr>
        <w:t>系，以及免疫治疗并发症机制及干预措施等。</w:t>
      </w:r>
    </w:p>
    <w:p>
      <w:pPr>
        <w:autoSpaceDE w:val="0"/>
        <w:autoSpaceDN w:val="0"/>
        <w:jc w:val="left"/>
        <w:spacing w:before="40" w:after="0" w:lineRule="auto" w:line="240"/>
        <w:ind w:right="0" w:left="524"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造血细胞恶变机制及干预（</w:t>
      </w:r>
      <w:r>
        <w:rPr>
          <w:rFonts w:ascii="Times New Roman" w:hAnsi="Times New Roman" w:cs="Times New Roman" w:eastAsia="Times New Roman" w:hint="ascii"/>
          <w:b w:val="1"/>
          <w:sz w:val="21"/>
        </w:rPr>
        <w:t>H08</w:t>
      </w:r>
      <w:r>
        <w:rPr>
          <w:rFonts w:ascii="宋体" w:hAnsi="宋体" w:cs="宋体" w:eastAsia="宋体" w:hint="ascii"/>
          <w:sz w:val="21"/>
        </w:rPr>
        <w:t>）</w:t>
      </w:r>
    </w:p>
    <w:p>
      <w:pPr>
        <w:autoSpaceDE w:val="0"/>
        <w:autoSpaceDN w:val="0"/>
        <w:jc w:val="both"/>
        <w:spacing w:before="17" w:after="0" w:lineRule="exact" w:line="312"/>
        <w:ind w:right="976" w:left="104" w:firstLine="420"/>
        <w:snapToGrid w:val="0"/>
        <w:textAlignment w:val="auto"/>
        <w:tabs/>
        <w:rPr>
          <w:rFonts w:ascii="宋体" w:hAnsi="宋体" w:cs="宋体" w:eastAsia="宋体" w:hint="ascii"/>
          <w:sz w:val="21"/>
        </w:rPr>
      </w:pPr>
      <w:r>
        <w:rPr>
          <w:rFonts w:ascii="宋体" w:hAnsi="宋体" w:cs="宋体" w:eastAsia="宋体" w:hint="ascii"/>
          <w:sz w:val="21"/>
        </w:rPr>
        <w:t>重点研究早期造血细胞的恶变、恶变细胞干性的复杂性、恶变细胞克隆起源及</w:t>
      </w:r>
      <w:r>
        <w:rPr>
          <w:rFonts w:ascii="宋体" w:hAnsi="宋体" w:cs="宋体" w:eastAsia="宋体" w:hint="ascii"/>
          <w:sz w:val="21"/>
          <w:spacing w:val="-6"/>
        </w:rPr>
        <w:t>演</w:t>
      </w:r>
      <w:r>
        <w:rPr>
          <w:rFonts w:ascii="宋体" w:hAnsi="宋体" w:cs="宋体" w:eastAsia="宋体" w:hint="ascii"/>
          <w:sz w:val="21"/>
        </w:rPr>
        <w:t xml:space="preserve"> </w:t>
      </w:r>
      <w:r>
        <w:rPr>
          <w:rFonts w:ascii="宋体" w:hAnsi="宋体" w:cs="宋体" w:eastAsia="宋体" w:hint="ascii"/>
          <w:sz w:val="21"/>
          <w:spacing w:val="-1"/>
        </w:rPr>
        <w:t>变、恶变</w:t>
      </w:r>
      <w:r>
        <w:rPr>
          <w:rFonts w:ascii="宋体" w:hAnsi="宋体" w:cs="宋体" w:eastAsia="宋体" w:hint="ascii"/>
          <w:sz w:val="21"/>
        </w:rPr>
        <w:t>细胞与造血微环境的相互作用等造血领域恶性疾病发生的关键问题。鼓励使用</w:t>
      </w:r>
      <w:r>
        <w:rPr>
          <w:rFonts w:ascii="宋体" w:hAnsi="宋体" w:cs="宋体" w:eastAsia="宋体" w:hint="ascii"/>
          <w:sz w:val="21"/>
          <w:spacing w:val="1"/>
        </w:rPr>
        <w:t>功能基因组学、系统生</w:t>
      </w:r>
      <w:r>
        <w:rPr>
          <w:rFonts w:ascii="宋体" w:hAnsi="宋体" w:cs="宋体" w:eastAsia="宋体" w:hint="ascii"/>
          <w:sz w:val="21"/>
        </w:rPr>
        <w:t>物学、单细胞测序等新型研究策略和方法阐明造血细胞恶变</w:t>
      </w:r>
      <w:r>
        <w:rPr>
          <w:rFonts w:ascii="宋体" w:hAnsi="宋体" w:cs="宋体" w:eastAsia="宋体" w:hint="ascii"/>
          <w:sz w:val="21"/>
          <w:spacing w:val="-6"/>
        </w:rPr>
        <w:t>机</w:t>
      </w:r>
      <w:r>
        <w:rPr>
          <w:rFonts w:ascii="宋体" w:hAnsi="宋体" w:cs="宋体" w:eastAsia="宋体" w:hint="ascii"/>
          <w:sz w:val="21"/>
        </w:rPr>
        <w:t>制，为临床治疗或决策提供关键理论。</w:t>
      </w:r>
    </w:p>
    <w:p>
      <w:pPr>
        <w:autoSpaceDE w:val="0"/>
        <w:autoSpaceDN w:val="0"/>
        <w:jc w:val="left"/>
        <w:spacing w:before="40" w:after="0" w:lineRule="auto" w:line="240"/>
        <w:ind w:right="0" w:left="524"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12</w:t>
      </w:r>
      <w:r>
        <w:rPr>
          <w:rFonts w:ascii="宋体" w:hAnsi="宋体" w:cs="宋体" w:eastAsia="宋体" w:hint="ascii"/>
          <w:sz w:val="21"/>
        </w:rPr>
        <w:t>．物理性脑刺激治疗精神、神经疾病的生物学基础（</w:t>
      </w:r>
      <w:r>
        <w:rPr>
          <w:rFonts w:ascii="Times New Roman" w:hAnsi="Times New Roman" w:cs="Times New Roman" w:eastAsia="Times New Roman" w:hint="ascii"/>
          <w:b w:val="1"/>
          <w:sz w:val="21"/>
        </w:rPr>
        <w:t>H09</w:t>
      </w:r>
      <w:r>
        <w:rPr>
          <w:rFonts w:ascii="宋体" w:hAnsi="宋体" w:cs="宋体" w:eastAsia="宋体" w:hint="ascii"/>
          <w:sz w:val="21"/>
        </w:rPr>
        <w:t>）</w:t>
      </w:r>
    </w:p>
    <w:p>
      <w:pPr>
        <w:autoSpaceDE w:val="0"/>
        <w:autoSpaceDN w:val="0"/>
        <w:jc w:val="left"/>
        <w:spacing w:before="57" w:after="0" w:lineRule="exact" w:line="263"/>
        <w:ind w:right="0" w:left="533" w:firstLine="0"/>
        <w:snapToGrid w:val="0"/>
        <w:textAlignment w:val="auto"/>
        <w:tabs/>
        <w:rPr>
          <w:rFonts w:ascii="宋体" w:hAnsi="宋体" w:cs="宋体" w:eastAsia="宋体" w:hint="ascii"/>
          <w:sz w:val="21"/>
        </w:rPr>
      </w:pPr>
      <w:r>
        <w:rPr>
          <w:rFonts w:ascii="宋体" w:hAnsi="宋体" w:cs="宋体" w:eastAsia="宋体" w:hint="ascii"/>
          <w:sz w:val="21"/>
          <w:spacing w:val="3"/>
        </w:rPr>
        <w:t>重点研究</w:t>
      </w:r>
      <w:r>
        <w:rPr>
          <w:rFonts w:ascii="宋体" w:hAnsi="宋体" w:cs="宋体" w:eastAsia="宋体" w:hint="ascii"/>
          <w:sz w:val="21"/>
        </w:rPr>
        <w:t>精</w:t>
      </w:r>
      <w:r>
        <w:rPr>
          <w:rFonts w:ascii="宋体" w:hAnsi="宋体" w:cs="宋体" w:eastAsia="宋体" w:hint="ascii"/>
          <w:sz w:val="21"/>
          <w:spacing w:val="3"/>
        </w:rPr>
        <w:t>神类疾病</w:t>
      </w:r>
      <w:r>
        <w:rPr>
          <w:rFonts w:ascii="宋体" w:hAnsi="宋体" w:cs="宋体" w:eastAsia="宋体" w:hint="ascii"/>
          <w:sz w:val="21"/>
        </w:rPr>
        <w:t>（</w:t>
      </w:r>
      <w:r>
        <w:rPr>
          <w:rFonts w:ascii="宋体" w:hAnsi="宋体" w:cs="宋体" w:eastAsia="宋体" w:hint="ascii"/>
          <w:sz w:val="21"/>
          <w:spacing w:val="3"/>
        </w:rPr>
        <w:t>如重度强</w:t>
      </w:r>
      <w:r>
        <w:rPr>
          <w:rFonts w:ascii="宋体" w:hAnsi="宋体" w:cs="宋体" w:eastAsia="宋体" w:hint="ascii"/>
          <w:sz w:val="21"/>
        </w:rPr>
        <w:t>迫</w:t>
      </w:r>
      <w:r>
        <w:rPr>
          <w:rFonts w:ascii="宋体" w:hAnsi="宋体" w:cs="宋体" w:eastAsia="宋体" w:hint="ascii"/>
          <w:sz w:val="21"/>
          <w:spacing w:val="3"/>
        </w:rPr>
        <w:t>症等）和</w:t>
      </w:r>
      <w:r>
        <w:rPr>
          <w:rFonts w:ascii="宋体" w:hAnsi="宋体" w:cs="宋体" w:eastAsia="宋体" w:hint="ascii"/>
          <w:sz w:val="21"/>
        </w:rPr>
        <w:t>临</w:t>
      </w:r>
      <w:r>
        <w:rPr>
          <w:rFonts w:ascii="宋体" w:hAnsi="宋体" w:cs="宋体" w:eastAsia="宋体" w:hint="ascii"/>
          <w:sz w:val="21"/>
          <w:spacing w:val="3"/>
        </w:rPr>
        <w:t>床重大神</w:t>
      </w:r>
      <w:r>
        <w:rPr>
          <w:rFonts w:ascii="宋体" w:hAnsi="宋体" w:cs="宋体" w:eastAsia="宋体" w:hint="ascii"/>
          <w:sz w:val="21"/>
        </w:rPr>
        <w:t>经</w:t>
      </w:r>
      <w:r>
        <w:rPr>
          <w:rFonts w:ascii="宋体" w:hAnsi="宋体" w:cs="宋体" w:eastAsia="宋体" w:hint="ascii"/>
          <w:sz w:val="21"/>
          <w:spacing w:val="3"/>
        </w:rPr>
        <w:t>疾病（如</w:t>
      </w:r>
      <w:r>
        <w:rPr>
          <w:rFonts w:ascii="宋体" w:hAnsi="宋体" w:cs="宋体" w:eastAsia="宋体" w:hint="ascii"/>
          <w:sz w:val="21"/>
        </w:rPr>
        <w:t>帕</w:t>
      </w:r>
      <w:r>
        <w:rPr>
          <w:rFonts w:ascii="宋体" w:hAnsi="宋体" w:cs="宋体" w:eastAsia="宋体" w:hint="ascii"/>
          <w:sz w:val="21"/>
          <w:spacing w:val="3"/>
        </w:rPr>
        <w:t>金森病</w:t>
      </w:r>
      <w:r>
        <w:rPr>
          <w:rFonts w:ascii="宋体" w:hAnsi="宋体" w:cs="宋体" w:eastAsia="宋体" w:hint="ascii"/>
          <w:sz w:val="21"/>
          <w:spacing w:val="4"/>
        </w:rPr>
        <w:t>等</w:t>
      </w:r>
      <w:r>
        <w:rPr>
          <w:rFonts w:ascii="宋体" w:hAnsi="宋体" w:cs="宋体" w:eastAsia="宋体" w:hint="ascii"/>
          <w:sz w:val="21"/>
        </w:rPr>
        <w:t>）</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spacing w:val="1"/>
        </w:rPr>
        <w:t>的细胞分子生物学与</w:t>
      </w:r>
      <w:r>
        <w:rPr>
          <w:rFonts w:ascii="宋体" w:hAnsi="宋体" w:cs="宋体" w:eastAsia="宋体" w:hint="ascii"/>
          <w:sz w:val="21"/>
        </w:rPr>
        <w:t>神经网络机制，采用非侵入性和微创性电、声、光、磁脑刺激</w:t>
      </w:r>
      <w:r>
        <w:rPr>
          <w:rFonts w:ascii="宋体" w:hAnsi="宋体" w:cs="宋体" w:eastAsia="宋体" w:hint="ascii"/>
          <w:sz w:val="21"/>
          <w:spacing w:val="-6"/>
        </w:rPr>
        <w:t>对</w:t>
      </w:r>
      <w:r>
        <w:rPr>
          <w:rFonts w:ascii="宋体" w:hAnsi="宋体" w:cs="宋体" w:eastAsia="宋体" w:hint="ascii"/>
          <w:sz w:val="21"/>
          <w:spacing w:val="1"/>
        </w:rPr>
        <w:t>大脑分子、细胞及功能</w:t>
      </w:r>
      <w:r>
        <w:rPr>
          <w:rFonts w:ascii="宋体" w:hAnsi="宋体" w:cs="宋体" w:eastAsia="宋体" w:hint="ascii"/>
          <w:sz w:val="21"/>
        </w:rPr>
        <w:t>进行调控，结合类人疾病动物模型，探索智能计算辅助的精</w:t>
      </w:r>
      <w:r>
        <w:rPr>
          <w:rFonts w:ascii="宋体" w:hAnsi="宋体" w:cs="宋体" w:eastAsia="宋体" w:hint="ascii"/>
          <w:sz w:val="21"/>
          <w:spacing w:val="-6"/>
        </w:rPr>
        <w:t>准</w:t>
      </w:r>
      <w:r>
        <w:rPr>
          <w:rFonts w:ascii="宋体" w:hAnsi="宋体" w:cs="宋体" w:eastAsia="宋体" w:hint="ascii"/>
          <w:sz w:val="21"/>
        </w:rPr>
        <w:t>治疗方案。</w:t>
      </w:r>
    </w:p>
    <w:p>
      <w:pPr>
        <w:autoSpaceDE w:val="0"/>
        <w:autoSpaceDN w:val="0"/>
        <w:jc w:val="left"/>
        <w:spacing w:before="40" w:after="0" w:lineRule="auto" w:line="240"/>
        <w:ind w:right="0" w:left="891" w:hanging="367"/>
        <w:snapToGrid w:val="0"/>
        <w:textAlignment w:val="auto"/>
        <w:tabs>
          <w:tab w:val="left" w:leader="none" w:pos="892"/>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胶质细胞功能改变致神经损伤机理研究（</w:t>
      </w:r>
      <w:r>
        <w:rPr>
          <w:rFonts w:ascii="Times New Roman" w:hAnsi="Times New Roman" w:cs="Times New Roman" w:eastAsia="Times New Roman" w:hint="ascii"/>
          <w:b w:val="1"/>
          <w:sz w:val="21"/>
        </w:rPr>
        <w:t>H09</w:t>
      </w:r>
      <w:r>
        <w:rPr>
          <w:rFonts w:ascii="宋体" w:hAnsi="宋体" w:cs="宋体" w:eastAsia="宋体" w:hint="ascii"/>
          <w:sz w:val="21"/>
        </w:rPr>
        <w:t>）</w:t>
      </w:r>
    </w:p>
    <w:p>
      <w:pPr>
        <w:autoSpaceDE w:val="0"/>
        <w:autoSpaceDN w:val="0"/>
        <w:jc w:val="left"/>
        <w:spacing w:before="57"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重点研究中枢神经系统疾病状态下胶质细胞异质性，对不同胶质细胞亚群的分子调</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spacing w:val="-1"/>
        </w:rPr>
        <w:t>控网络和</w:t>
      </w:r>
      <w:r>
        <w:rPr>
          <w:rFonts w:ascii="宋体" w:hAnsi="宋体" w:cs="宋体" w:eastAsia="宋体" w:hint="ascii"/>
          <w:sz w:val="21"/>
        </w:rPr>
        <w:t>功能进行鉴定，并利用临床样本结合动物模型破译不同胶质细胞亚群致神经损伤的关键机制，寻找针对胶质细胞功能改变的神经损伤防治的新靶点及新思路。</w:t>
      </w:r>
    </w:p>
    <w:p>
      <w:pPr>
        <w:autoSpaceDE w:val="0"/>
        <w:autoSpaceDN w:val="0"/>
        <w:jc w:val="left"/>
        <w:spacing w:before="40" w:after="0" w:lineRule="auto" w:line="240"/>
        <w:ind w:right="0" w:left="891" w:hanging="367"/>
        <w:snapToGrid w:val="0"/>
        <w:textAlignment w:val="auto"/>
        <w:tabs>
          <w:tab w:val="left" w:leader="none" w:pos="892"/>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应激相关免疫应答与疾病的发生发展（</w:t>
      </w:r>
      <w:r>
        <w:rPr>
          <w:rFonts w:ascii="Times New Roman" w:hAnsi="Times New Roman" w:cs="Times New Roman" w:eastAsia="Times New Roman" w:hint="ascii"/>
          <w:b w:val="1"/>
          <w:sz w:val="21"/>
        </w:rPr>
        <w:t>H10</w:t>
      </w:r>
      <w:r>
        <w:rPr>
          <w:rFonts w:ascii="宋体" w:hAnsi="宋体" w:cs="宋体" w:eastAsia="宋体" w:hint="ascii"/>
          <w:sz w:val="21"/>
        </w:rPr>
        <w:t>）</w:t>
      </w:r>
    </w:p>
    <w:p>
      <w:pPr>
        <w:autoSpaceDE w:val="0"/>
        <w:autoSpaceDN w:val="0"/>
        <w:jc w:val="left"/>
        <w:spacing w:before="57"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重点研究不同应激源（如创伤、压力，感染、缺氧等）对机体免疫系统的影响及免</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spacing w:val="-1"/>
        </w:rPr>
        <w:t>疫系统反</w:t>
      </w:r>
      <w:r>
        <w:rPr>
          <w:rFonts w:ascii="宋体" w:hAnsi="宋体" w:cs="宋体" w:eastAsia="宋体" w:hint="ascii"/>
          <w:sz w:val="21"/>
        </w:rPr>
        <w:t>馈调控机制。关注免疫系统和应激反应相互调控的关键信号网络、新型分子机制和对相关疾病发生发展的影响机制。</w:t>
      </w:r>
    </w:p>
    <w:p>
      <w:pPr>
        <w:autoSpaceDE w:val="0"/>
        <w:autoSpaceDN w:val="0"/>
        <w:jc w:val="left"/>
        <w:spacing w:before="40" w:after="0" w:lineRule="auto" w:line="240"/>
        <w:ind w:right="0" w:left="891" w:hanging="367"/>
        <w:snapToGrid w:val="0"/>
        <w:textAlignment w:val="auto"/>
        <w:tabs>
          <w:tab w:val="left" w:leader="none" w:pos="892"/>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自身免疫性疾病诊疗新靶点及其机制（</w:t>
      </w:r>
      <w:r>
        <w:rPr>
          <w:rFonts w:ascii="Times New Roman" w:hAnsi="Times New Roman" w:cs="Times New Roman" w:eastAsia="Times New Roman" w:hint="ascii"/>
          <w:b w:val="1"/>
          <w:sz w:val="21"/>
        </w:rPr>
        <w:t>H10</w:t>
      </w:r>
      <w:r>
        <w:rPr>
          <w:rFonts w:ascii="宋体" w:hAnsi="宋体" w:cs="宋体" w:eastAsia="宋体" w:hint="ascii"/>
          <w:sz w:val="21"/>
        </w:rPr>
        <w:t>）</w:t>
      </w:r>
    </w:p>
    <w:p>
      <w:pPr>
        <w:autoSpaceDE w:val="0"/>
        <w:autoSpaceDN w:val="0"/>
        <w:jc w:val="left"/>
        <w:spacing w:before="57" w:after="0" w:lineRule="exact" w:line="263"/>
        <w:ind w:right="0" w:left="524" w:firstLine="0"/>
        <w:snapToGrid w:val="0"/>
        <w:textAlignment w:val="auto"/>
        <w:tabs/>
        <w:rPr>
          <w:rFonts w:ascii="宋体" w:hAnsi="宋体" w:cs="宋体" w:eastAsia="宋体" w:hint="ascii"/>
          <w:sz w:val="21"/>
        </w:rPr>
      </w:pPr>
      <w:r>
        <w:rPr>
          <w:rFonts w:ascii="宋体" w:hAnsi="宋体" w:cs="宋体" w:eastAsia="宋体" w:hint="ascii"/>
          <w:sz w:val="21"/>
        </w:rPr>
        <w:t>重点研究自身免疫性疾</w:t>
      </w:r>
      <w:r>
        <w:rPr>
          <w:rFonts w:ascii="宋体" w:hAnsi="宋体" w:cs="宋体" w:eastAsia="宋体" w:hint="ascii"/>
          <w:sz w:val="21"/>
          <w:spacing w:val="27"/>
        </w:rPr>
        <w:t>病</w:t>
      </w:r>
      <w:r>
        <w:rPr>
          <w:rFonts w:ascii="Times New Roman" w:hAnsi="Times New Roman" w:cs="Times New Roman" w:eastAsia="Times New Roman" w:hint="ascii"/>
          <w:sz w:val="21"/>
          <w:spacing w:val="52"/>
        </w:rPr>
        <w:t>[</w:t>
      </w:r>
      <w:r>
        <w:rPr>
          <w:rFonts w:ascii="宋体" w:hAnsi="宋体" w:cs="宋体" w:eastAsia="宋体" w:hint="ascii"/>
          <w:sz w:val="21"/>
        </w:rPr>
        <w:t>如系统性红斑狼疮、类风湿关节炎、强直性脊柱炎、多</w:t>
      </w:r>
    </w:p>
    <w:p>
      <w:pPr>
        <w:autoSpaceDE w:val="0"/>
        <w:autoSpaceDN w:val="0"/>
        <w:jc w:val="both"/>
        <w:spacing w:before="10" w:after="0" w:lineRule="exact" w:line="312"/>
        <w:ind w:right="976" w:left="104" w:firstLine="0"/>
        <w:snapToGrid w:val="0"/>
        <w:textAlignment w:val="auto"/>
        <w:tabs/>
        <w:rPr>
          <w:rFonts w:ascii="宋体" w:hAnsi="宋体" w:cs="宋体" w:eastAsia="宋体" w:hint="ascii"/>
          <w:sz w:val="21"/>
        </w:rPr>
      </w:pPr>
      <w:r>
        <w:rPr>
          <w:rFonts w:ascii="宋体" w:hAnsi="宋体" w:cs="宋体" w:eastAsia="宋体" w:hint="ascii"/>
          <w:sz w:val="21"/>
        </w:rPr>
        <w:t>发性硬化、格雷夫斯（</w:t>
      </w:r>
      <w:r>
        <w:rPr>
          <w:rFonts w:ascii="Times New Roman" w:hAnsi="Times New Roman" w:cs="Times New Roman" w:eastAsia="Times New Roman" w:hint="ascii"/>
          <w:sz w:val="21"/>
        </w:rPr>
        <w:t>Graves</w:t>
      </w:r>
      <w:r>
        <w:rPr>
          <w:rFonts w:ascii="宋体" w:hAnsi="宋体" w:cs="宋体" w:eastAsia="宋体" w:hint="ascii"/>
          <w:sz w:val="21"/>
        </w:rPr>
        <w:t>）病等</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52"/>
        </w:rPr>
        <w:t>]</w:t>
      </w:r>
      <w:r>
        <w:rPr>
          <w:rFonts w:ascii="宋体" w:hAnsi="宋体" w:cs="宋体" w:eastAsia="宋体" w:hint="ascii"/>
          <w:sz w:val="21"/>
        </w:rPr>
        <w:t>发生发展的分子机制，探索调节免疫应答，重建免疫耐受的新靶点，寻找特异性干预疾病进程的治疗新策略。</w:t>
      </w:r>
    </w:p>
    <w:p>
      <w:pPr>
        <w:autoSpaceDE w:val="0"/>
        <w:autoSpaceDN w:val="0"/>
        <w:jc w:val="left"/>
        <w:spacing w:before="40" w:after="0" w:lineRule="auto" w:line="240"/>
        <w:ind w:right="0" w:left="891" w:hanging="367"/>
        <w:snapToGrid w:val="0"/>
        <w:textAlignment w:val="auto"/>
        <w:tabs>
          <w:tab w:val="left" w:leader="none" w:pos="892"/>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免疫炎症性皮肤病的免疫分子调控及干预研究（</w:t>
      </w:r>
      <w:r>
        <w:rPr>
          <w:rFonts w:ascii="Times New Roman" w:hAnsi="Times New Roman" w:cs="Times New Roman" w:eastAsia="Times New Roman" w:hint="ascii"/>
          <w:b w:val="1"/>
          <w:sz w:val="21"/>
        </w:rPr>
        <w:t>H</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103</w:t>
      </w:r>
      <w:r>
        <w:rPr>
          <w:rFonts w:ascii="宋体" w:hAnsi="宋体" w:cs="宋体" w:eastAsia="宋体" w:hint="ascii"/>
          <w:sz w:val="21"/>
        </w:rPr>
        <w:t>）</w:t>
      </w:r>
    </w:p>
    <w:p>
      <w:pPr>
        <w:autoSpaceDE w:val="0"/>
        <w:autoSpaceDN w:val="0"/>
        <w:jc w:val="both"/>
        <w:spacing w:before="17" w:after="0" w:lineRule="exact" w:line="312"/>
        <w:ind w:right="976" w:left="104" w:firstLine="420"/>
        <w:snapToGrid w:val="0"/>
        <w:textAlignment w:val="auto"/>
        <w:tabs/>
        <w:rPr>
          <w:rFonts w:ascii="宋体" w:hAnsi="宋体" w:cs="宋体" w:eastAsia="宋体" w:hint="ascii"/>
          <w:sz w:val="21"/>
        </w:rPr>
      </w:pPr>
      <w:r>
        <w:rPr>
          <w:rFonts w:ascii="宋体" w:hAnsi="宋体" w:cs="宋体" w:eastAsia="宋体" w:hint="ascii"/>
          <w:sz w:val="21"/>
          <w:spacing w:val="-1"/>
        </w:rPr>
        <w:t>重点研究</w:t>
      </w:r>
      <w:r>
        <w:rPr>
          <w:rFonts w:ascii="宋体" w:hAnsi="宋体" w:cs="宋体" w:eastAsia="宋体" w:hint="ascii"/>
          <w:sz w:val="21"/>
        </w:rPr>
        <w:t>免疫炎症性皮肤病发生、发展、转归过程中免疫细胞活化、分化、归巢的分子机制，探索疾病免疫炎症的关键分子调控及其干预。</w:t>
      </w:r>
    </w:p>
    <w:p>
      <w:pPr>
        <w:autoSpaceDE w:val="0"/>
        <w:autoSpaceDN w:val="0"/>
        <w:jc w:val="left"/>
        <w:spacing w:before="40" w:after="0" w:lineRule="auto" w:line="240"/>
        <w:ind w:right="0" w:left="891" w:hanging="367"/>
        <w:snapToGrid w:val="0"/>
        <w:textAlignment w:val="auto"/>
        <w:tabs>
          <w:tab w:val="left" w:leader="none" w:pos="892"/>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遗传和环境因素交互作用在眼病发生发展中的作用机制研究（</w:t>
      </w:r>
      <w:r>
        <w:rPr>
          <w:rFonts w:ascii="Times New Roman" w:hAnsi="Times New Roman" w:cs="Times New Roman" w:eastAsia="Times New Roman" w:hint="ascii"/>
          <w:b w:val="1"/>
          <w:sz w:val="21"/>
        </w:rPr>
        <w:t>H12</w:t>
      </w:r>
      <w:r>
        <w:rPr>
          <w:rFonts w:ascii="宋体" w:hAnsi="宋体" w:cs="宋体" w:eastAsia="宋体" w:hint="ascii"/>
          <w:sz w:val="21"/>
        </w:rPr>
        <w:t>）</w:t>
      </w:r>
    </w:p>
    <w:p>
      <w:pPr>
        <w:autoSpaceDE w:val="0"/>
        <w:autoSpaceDN w:val="0"/>
        <w:jc w:val="both"/>
        <w:spacing w:before="17" w:after="0" w:lineRule="exact" w:line="312"/>
        <w:ind w:right="976" w:left="104" w:firstLine="420"/>
        <w:snapToGrid w:val="0"/>
        <w:textAlignment w:val="auto"/>
        <w:tabs/>
        <w:rPr>
          <w:rFonts w:ascii="宋体" w:hAnsi="宋体" w:cs="宋体" w:eastAsia="宋体" w:hint="ascii"/>
          <w:sz w:val="21"/>
        </w:rPr>
      </w:pPr>
      <w:r>
        <w:rPr>
          <w:rFonts w:ascii="宋体" w:hAnsi="宋体" w:cs="宋体" w:eastAsia="宋体" w:hint="ascii"/>
          <w:sz w:val="21"/>
        </w:rPr>
        <w:t>重点研究遗传和环境因素交互作用在眼部常见重要非肿瘤疾病如高度近视、白</w:t>
      </w:r>
      <w:r>
        <w:rPr>
          <w:rFonts w:ascii="宋体" w:hAnsi="宋体" w:cs="宋体" w:eastAsia="宋体" w:hint="ascii"/>
          <w:sz w:val="21"/>
          <w:spacing w:val="-6"/>
        </w:rPr>
        <w:t>内</w:t>
      </w:r>
      <w:r>
        <w:rPr>
          <w:rFonts w:ascii="宋体" w:hAnsi="宋体" w:cs="宋体" w:eastAsia="宋体" w:hint="ascii"/>
          <w:sz w:val="21"/>
        </w:rPr>
        <w:t xml:space="preserve"> </w:t>
      </w:r>
      <w:r>
        <w:rPr>
          <w:rFonts w:ascii="宋体" w:hAnsi="宋体" w:cs="宋体" w:eastAsia="宋体" w:hint="ascii"/>
          <w:sz w:val="21"/>
          <w:spacing w:val="-1"/>
        </w:rPr>
        <w:t>障、青光</w:t>
      </w:r>
      <w:r>
        <w:rPr>
          <w:rFonts w:ascii="宋体" w:hAnsi="宋体" w:cs="宋体" w:eastAsia="宋体" w:hint="ascii"/>
          <w:sz w:val="21"/>
        </w:rPr>
        <w:t>眼、年龄相关性黄斑变性等疾病中的影响，结合遗传学、表观遗传学及环境因素对这些疾病进行综合分析，并利用体外、体内模型进行功能研究。</w:t>
      </w:r>
    </w:p>
    <w:p>
      <w:pPr>
        <w:autoSpaceDE w:val="0"/>
        <w:autoSpaceDN w:val="0"/>
        <w:jc w:val="left"/>
        <w:spacing w:before="274" w:after="0" w:lineRule="exact" w:line="225"/>
        <w:ind w:right="0" w:left="104" w:firstLine="0"/>
        <w:snapToGrid w:val="0"/>
        <w:textAlignment w:val="auto"/>
        <w:tabs/>
        <w:sectPr>
          <w:pgSz w:w="10940" w:h="15080" w:orient="portrait"/>
          <w:pgMar w:top="508" w:right="508" w:bottom="508" w:left="1369"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950"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left"/>
        <w:spacing w:before="297" w:after="0" w:lineRule="auto" w:line="240"/>
        <w:ind w:right="0" w:left="787" w:hanging="367"/>
        <w:snapToGrid w:val="0"/>
        <w:textAlignment w:val="auto"/>
        <w:tabs>
          <w:tab w:val="left" w:leader="none" w:pos="787"/>
        </w:tabs>
        <w:numPr>
          <w:ilvl w:val="0"/>
          <w:numId w:val="108"/>
        </w:numPr>
        <w:rPr>
          <w:rFonts w:ascii="Times New Roman" w:hAnsi="Times New Roman" w:cs="Times New Roman" w:eastAsia="Times New Roman" w:hint="ascii"/>
          <w:sz w:val="21"/>
          <w:spacing w:val="1"/>
        </w:rPr>
      </w:pPr>
      <w:r>
        <w:rPr>
          <w:rFonts w:ascii="宋体" w:hAnsi="宋体" w:cs="宋体" w:eastAsia="宋体" w:hint="ascii"/>
          <w:sz w:val="21"/>
        </w:rPr>
        <w:t>听觉前庭神经及中枢处理障碍性疾病的发生机制及干预（</w:t>
      </w:r>
      <w:r>
        <w:rPr>
          <w:rFonts w:ascii="Times New Roman" w:hAnsi="Times New Roman" w:cs="Times New Roman" w:eastAsia="Times New Roman" w:hint="ascii"/>
          <w:b w:val="1"/>
          <w:sz w:val="21"/>
        </w:rPr>
        <w:t>H13</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79" locked="0" layoutInCell="1" allowOverlap="1">
                <wp:simplePos x="0" y="0"/>
                <wp:positionH relativeFrom="page">
                  <wp:posOffset>938530</wp:posOffset>
                </wp:positionH>
                <wp:positionV relativeFrom="page">
                  <wp:posOffset>819150</wp:posOffset>
                </wp:positionV>
                <wp:extent cx="5076190" cy="0"/>
                <wp:wrapNone/>
                <wp:docPr id="1208" name="120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74944;width:399.70pt;" id="120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重点研究在听觉前庭神经系统发育、损伤和衰老（如听神经病、前庭性偏头痛、噪</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声性听力损</w:t>
      </w:r>
      <w:r>
        <w:rPr>
          <w:rFonts w:ascii="宋体" w:hAnsi="宋体" w:cs="宋体" w:eastAsia="宋体" w:hint="ascii"/>
          <w:sz w:val="21"/>
        </w:rPr>
        <w:t>失，老年性耳聋等）等病理条件下，听觉前庭外周与中枢处理障碍性疾病的发生机制、病理基础、基因治疗与干预机理。</w:t>
      </w:r>
    </w:p>
    <w:p>
      <w:pPr>
        <w:autoSpaceDE w:val="0"/>
        <w:autoSpaceDN w:val="0"/>
        <w:jc w:val="left"/>
        <w:spacing w:before="40" w:after="0" w:lineRule="auto" w:line="240"/>
        <w:ind w:right="0" w:left="787" w:hanging="367"/>
        <w:snapToGrid w:val="0"/>
        <w:textAlignment w:val="auto"/>
        <w:tabs>
          <w:tab w:val="left" w:leader="none" w:pos="787"/>
        </w:tabs>
        <w:numPr>
          <w:ilvl w:val="0"/>
          <w:numId w:val="108"/>
        </w:numPr>
        <w:rPr>
          <w:rFonts w:ascii="Times New Roman" w:hAnsi="Times New Roman" w:cs="Times New Roman" w:eastAsia="Times New Roman" w:hint="ascii"/>
          <w:sz w:val="21"/>
          <w:spacing w:val="1"/>
        </w:rPr>
      </w:pPr>
      <w:r>
        <w:rPr>
          <w:rFonts w:ascii="宋体" w:hAnsi="宋体" w:cs="宋体" w:eastAsia="宋体" w:hint="ascii"/>
          <w:sz w:val="21"/>
        </w:rPr>
        <w:t>口腔颌面遗传与发育相关疾病的发病机制研究（</w:t>
      </w:r>
      <w:r>
        <w:rPr>
          <w:rFonts w:ascii="Times New Roman" w:hAnsi="Times New Roman" w:cs="Times New Roman" w:eastAsia="Times New Roman" w:hint="ascii"/>
          <w:b w:val="1"/>
          <w:sz w:val="21"/>
        </w:rPr>
        <w:t>H14</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重点研究口腔颌面部遗传与发育相关非肿瘤疾病，如非综合征型唇腭裂，牙釉质</w:t>
      </w:r>
      <w:r>
        <w:rPr>
          <w:rFonts w:ascii="Times New Roman" w:hAnsi="Times New Roman" w:cs="Times New Roman" w:eastAsia="Times New Roman" w:hint="ascii"/>
          <w:sz w:val="21"/>
        </w:rPr>
        <w:t>/</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牙本质发育</w:t>
      </w:r>
      <w:r>
        <w:rPr>
          <w:rFonts w:ascii="宋体" w:hAnsi="宋体" w:cs="宋体" w:eastAsia="宋体" w:hint="ascii"/>
          <w:sz w:val="21"/>
        </w:rPr>
        <w:t>不良，先天性缺牙等。结合遗传学、表观遗传学、发育生物学研究其发病机制及环境因素的影响，并利用体内、外模型阐明其转化潜能。</w:t>
      </w:r>
    </w:p>
    <w:p>
      <w:pPr>
        <w:autoSpaceDE w:val="0"/>
        <w:autoSpaceDN w:val="0"/>
        <w:jc w:val="left"/>
        <w:spacing w:before="40" w:after="0" w:lineRule="auto" w:line="240"/>
        <w:ind w:right="0" w:left="787" w:hanging="367"/>
        <w:snapToGrid w:val="0"/>
        <w:textAlignment w:val="auto"/>
        <w:tabs>
          <w:tab w:val="left" w:leader="none" w:pos="787"/>
        </w:tabs>
        <w:numPr>
          <w:ilvl w:val="0"/>
          <w:numId w:val="108"/>
        </w:numPr>
        <w:rPr>
          <w:rFonts w:ascii="Times New Roman" w:hAnsi="Times New Roman" w:cs="Times New Roman" w:eastAsia="Times New Roman" w:hint="ascii"/>
          <w:sz w:val="21"/>
          <w:spacing w:val="1"/>
        </w:rPr>
      </w:pPr>
      <w:r>
        <w:rPr>
          <w:rFonts w:ascii="宋体" w:hAnsi="宋体" w:cs="宋体" w:eastAsia="宋体" w:hint="ascii"/>
          <w:sz w:val="21"/>
        </w:rPr>
        <w:t>严重创伤</w:t>
      </w:r>
      <w:r>
        <w:rPr>
          <w:rFonts w:ascii="Times New Roman" w:hAnsi="Times New Roman" w:cs="Times New Roman" w:eastAsia="Times New Roman" w:hint="ascii"/>
          <w:b w:val="1"/>
          <w:sz w:val="21"/>
        </w:rPr>
        <w:t>/</w:t>
      </w:r>
      <w:r>
        <w:rPr>
          <w:rFonts w:ascii="宋体" w:hAnsi="宋体" w:cs="宋体" w:eastAsia="宋体" w:hint="ascii"/>
          <w:sz w:val="21"/>
        </w:rPr>
        <w:t>烧伤等组织损伤、修复与功能重建（</w:t>
      </w:r>
      <w:r>
        <w:rPr>
          <w:rFonts w:ascii="Times New Roman" w:hAnsi="Times New Roman" w:cs="Times New Roman" w:eastAsia="Times New Roman" w:hint="ascii"/>
          <w:b w:val="1"/>
          <w:sz w:val="21"/>
        </w:rPr>
        <w:t>H15</w:t>
      </w:r>
      <w:r>
        <w:rPr>
          <w:rFonts w:ascii="宋体" w:hAnsi="宋体" w:cs="宋体" w:eastAsia="宋体" w:hint="ascii"/>
          <w:sz w:val="21"/>
        </w:rPr>
        <w:t>）</w:t>
      </w:r>
    </w:p>
    <w:p>
      <w:pPr>
        <w:autoSpaceDE w:val="0"/>
        <w:autoSpaceDN w:val="0"/>
        <w:jc w:val="both"/>
        <w:spacing w:before="17" w:after="0" w:lineRule="exact" w:line="312"/>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1"/>
        </w:rPr>
        <w:t>重点研究因严</w:t>
      </w:r>
      <w:r>
        <w:rPr>
          <w:rFonts w:ascii="宋体" w:hAnsi="宋体" w:cs="宋体" w:eastAsia="宋体" w:hint="ascii"/>
          <w:sz w:val="21"/>
        </w:rPr>
        <w:t>重创伤、烧伤等所致组织损伤的发生机制，探讨防止组织持续性损伤及加速受损组织外形的修复与再生的新方法，并探索诱导组织功能重建的新策略。</w:t>
      </w:r>
    </w:p>
    <w:p>
      <w:pPr>
        <w:autoSpaceDE w:val="0"/>
        <w:autoSpaceDN w:val="0"/>
        <w:jc w:val="left"/>
        <w:spacing w:before="40" w:after="0" w:lineRule="auto" w:line="240"/>
        <w:ind w:right="0" w:left="787" w:hanging="367"/>
        <w:snapToGrid w:val="0"/>
        <w:textAlignment w:val="auto"/>
        <w:tabs>
          <w:tab w:val="left" w:leader="none" w:pos="787"/>
        </w:tabs>
        <w:numPr>
          <w:ilvl w:val="0"/>
          <w:numId w:val="108"/>
        </w:numPr>
        <w:rPr>
          <w:rFonts w:ascii="Times New Roman" w:hAnsi="Times New Roman" w:cs="Times New Roman" w:eastAsia="Times New Roman" w:hint="ascii"/>
          <w:sz w:val="21"/>
          <w:spacing w:val="1"/>
        </w:rPr>
      </w:pPr>
      <w:r>
        <w:rPr>
          <w:rFonts w:ascii="宋体" w:hAnsi="宋体" w:cs="宋体" w:eastAsia="宋体" w:hint="ascii"/>
          <w:sz w:val="21"/>
        </w:rPr>
        <w:t>肿瘤基因突变产生的新抗原负荷与疫苗研究策略（</w:t>
      </w:r>
      <w:r>
        <w:rPr>
          <w:rFonts w:ascii="Times New Roman" w:hAnsi="Times New Roman" w:cs="Times New Roman" w:eastAsia="Times New Roman" w:hint="ascii"/>
          <w:b w:val="1"/>
          <w:sz w:val="21"/>
        </w:rPr>
        <w:t>H16</w:t>
      </w:r>
      <w:r>
        <w:rPr>
          <w:rFonts w:ascii="宋体" w:hAnsi="宋体" w:cs="宋体" w:eastAsia="宋体" w:hint="ascii"/>
          <w:sz w:val="21"/>
        </w:rPr>
        <w:t>）</w:t>
      </w:r>
    </w:p>
    <w:p>
      <w:pPr>
        <w:autoSpaceDE w:val="0"/>
        <w:autoSpaceDN w:val="0"/>
        <w:jc w:val="both"/>
        <w:spacing w:before="17" w:after="0" w:lineRule="exact" w:line="312"/>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1"/>
        </w:rPr>
        <w:t>重点研究发现</w:t>
      </w:r>
      <w:r>
        <w:rPr>
          <w:rFonts w:ascii="宋体" w:hAnsi="宋体" w:cs="宋体" w:eastAsia="宋体" w:hint="ascii"/>
          <w:sz w:val="21"/>
        </w:rPr>
        <w:t>和鉴定肿瘤基因突变产生的肿瘤特异性新抗原，探索上述新抗原诱导机体免疫应答的效应及其机制，以及针对新抗原的肿瘤疫苗研究策略。</w:t>
      </w:r>
    </w:p>
    <w:p>
      <w:pPr>
        <w:autoSpaceDE w:val="0"/>
        <w:autoSpaceDN w:val="0"/>
        <w:jc w:val="left"/>
        <w:spacing w:before="40" w:after="0" w:lineRule="auto" w:line="240"/>
        <w:ind w:right="0" w:left="420" w:firstLine="0"/>
        <w:snapToGrid w:val="0"/>
        <w:textAlignment w:val="auto"/>
        <w:tabs/>
        <w:numPr>
          <w:ilvl w:val="0"/>
          <w:numId w:val="137"/>
        </w:numPr>
        <w:rPr>
          <w:rFonts w:ascii="Times New Roman" w:hAnsi="Times New Roman" w:cs="Times New Roman" w:eastAsia="Times New Roman" w:hint="ascii"/>
          <w:b w:val="1"/>
          <w:sz w:val="21"/>
          <w:spacing w:val="1"/>
        </w:rPr>
      </w:pPr>
      <w:r>
        <w:rPr>
          <w:rFonts w:ascii="Times New Roman" w:hAnsi="Times New Roman" w:cs="Times New Roman" w:eastAsia="Times New Roman" w:hint="ascii"/>
          <w:b w:val="1"/>
          <w:sz w:val="21"/>
        </w:rPr>
        <w:t>DN</w:t>
      </w:r>
      <w:r>
        <w:rPr>
          <w:rFonts w:ascii="Times New Roman" w:hAnsi="Times New Roman" w:cs="Times New Roman" w:eastAsia="Times New Roman" w:hint="ascii"/>
          <w:b w:val="1"/>
          <w:sz w:val="21"/>
          <w:spacing w:val="53"/>
        </w:rPr>
        <w:t>A</w:t>
      </w:r>
      <w:r>
        <w:rPr>
          <w:rFonts w:ascii="宋体" w:hAnsi="宋体" w:cs="宋体" w:eastAsia="宋体" w:hint="ascii"/>
          <w:sz w:val="21"/>
        </w:rPr>
        <w:t>损伤引发的炎症反应与肿瘤发生（</w:t>
      </w:r>
      <w:r>
        <w:rPr>
          <w:rFonts w:ascii="Times New Roman" w:hAnsi="Times New Roman" w:cs="Times New Roman" w:eastAsia="Times New Roman" w:hint="ascii"/>
          <w:b w:val="1"/>
          <w:sz w:val="21"/>
        </w:rPr>
        <w:t>H16</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重点研究</w:t>
      </w:r>
      <w:r>
        <w:rPr>
          <w:rFonts w:ascii="宋体" w:hAnsi="宋体" w:cs="宋体" w:eastAsia="宋体" w:hint="ascii"/>
          <w:sz w:val="21"/>
          <w:spacing w:val="-8"/>
        </w:rPr>
        <w:t xml:space="preserve"> </w:t>
      </w:r>
      <w:r>
        <w:rPr>
          <w:rFonts w:ascii="Times New Roman" w:hAnsi="Times New Roman" w:cs="Times New Roman" w:eastAsia="Times New Roman" w:hint="ascii"/>
          <w:sz w:val="21"/>
        </w:rPr>
        <w:t>DNA</w:t>
      </w:r>
      <w:r>
        <w:rPr>
          <w:rFonts w:ascii="Times New Roman" w:hAnsi="Times New Roman" w:cs="Times New Roman" w:eastAsia="Times New Roman" w:hint="ascii"/>
          <w:sz w:val="21"/>
          <w:spacing w:val="-9"/>
        </w:rPr>
        <w:t xml:space="preserve"> </w:t>
      </w:r>
      <w:r>
        <w:rPr>
          <w:rFonts w:ascii="宋体" w:hAnsi="宋体" w:cs="宋体" w:eastAsia="宋体" w:hint="ascii"/>
          <w:sz w:val="21"/>
        </w:rPr>
        <w:t>损伤引起的细胞炎症反应在肿瘤发生中的作用，包括</w:t>
      </w:r>
      <w:r>
        <w:rPr>
          <w:rFonts w:ascii="宋体" w:hAnsi="宋体" w:cs="宋体" w:eastAsia="宋体" w:hint="ascii"/>
          <w:sz w:val="21"/>
          <w:spacing w:val="-9"/>
        </w:rPr>
        <w:t xml:space="preserve"> </w:t>
      </w:r>
      <w:r>
        <w:rPr>
          <w:rFonts w:ascii="Times New Roman" w:hAnsi="Times New Roman" w:cs="Times New Roman" w:eastAsia="Times New Roman" w:hint="ascii"/>
          <w:sz w:val="21"/>
        </w:rPr>
        <w:t>DNA</w:t>
      </w:r>
      <w:r>
        <w:rPr>
          <w:rFonts w:ascii="Times New Roman" w:hAnsi="Times New Roman" w:cs="Times New Roman" w:eastAsia="Times New Roman" w:hint="ascii"/>
          <w:sz w:val="21"/>
          <w:spacing w:val="-9"/>
        </w:rPr>
        <w:t xml:space="preserve"> </w:t>
      </w:r>
      <w:r>
        <w:rPr>
          <w:rFonts w:ascii="宋体" w:hAnsi="宋体" w:cs="宋体" w:eastAsia="宋体" w:hint="ascii"/>
          <w:sz w:val="21"/>
        </w:rPr>
        <w:t>损伤引</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起的炎症反</w:t>
      </w:r>
      <w:r>
        <w:rPr>
          <w:rFonts w:ascii="宋体" w:hAnsi="宋体" w:cs="宋体" w:eastAsia="宋体" w:hint="ascii"/>
          <w:sz w:val="21"/>
        </w:rPr>
        <w:t>应信号的激活及炎症介质的释放，以及上述炎症信号分子和炎症介质在肿瘤发生中的作用及其机制。</w:t>
      </w:r>
    </w:p>
    <w:p>
      <w:pPr>
        <w:autoSpaceDE w:val="0"/>
        <w:autoSpaceDN w:val="0"/>
        <w:jc w:val="left"/>
        <w:spacing w:before="40" w:after="0" w:lineRule="auto" w:line="240"/>
        <w:ind w:right="0" w:left="420" w:firstLine="0"/>
        <w:snapToGrid w:val="0"/>
        <w:textAlignment w:val="auto"/>
        <w:tabs/>
        <w:numPr>
          <w:ilvl w:val="0"/>
          <w:numId w:val="137"/>
        </w:numPr>
        <w:rPr>
          <w:rFonts w:ascii="Times New Roman" w:hAnsi="Times New Roman" w:cs="Times New Roman" w:eastAsia="Times New Roman" w:hint="ascii"/>
          <w:b w:val="1"/>
          <w:sz w:val="21"/>
          <w:spacing w:val="1"/>
        </w:rPr>
      </w:pPr>
      <w:r>
        <w:rPr>
          <w:rFonts w:ascii="Times New Roman" w:hAnsi="Times New Roman" w:cs="Times New Roman" w:eastAsia="Times New Roman" w:hint="ascii"/>
          <w:b w:val="1"/>
          <w:sz w:val="21"/>
        </w:rPr>
        <w:t>RN</w:t>
      </w:r>
      <w:r>
        <w:rPr>
          <w:rFonts w:ascii="Times New Roman" w:hAnsi="Times New Roman" w:cs="Times New Roman" w:eastAsia="Times New Roman" w:hint="ascii"/>
          <w:b w:val="1"/>
          <w:sz w:val="21"/>
          <w:spacing w:val="53"/>
        </w:rPr>
        <w:t>A</w:t>
      </w:r>
      <w:r>
        <w:rPr>
          <w:rFonts w:ascii="宋体" w:hAnsi="宋体" w:cs="宋体" w:eastAsia="宋体" w:hint="ascii"/>
          <w:sz w:val="21"/>
        </w:rPr>
        <w:t>剪接和修饰与肿瘤发生发展（</w:t>
      </w:r>
      <w:r>
        <w:rPr>
          <w:rFonts w:ascii="Times New Roman" w:hAnsi="Times New Roman" w:cs="Times New Roman" w:eastAsia="Times New Roman" w:hint="ascii"/>
          <w:b w:val="1"/>
          <w:sz w:val="21"/>
        </w:rPr>
        <w:t>H16</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重点研究肿瘤发生发展过程</w:t>
      </w:r>
      <w:r>
        <w:rPr>
          <w:rFonts w:ascii="宋体" w:hAnsi="宋体" w:cs="宋体" w:eastAsia="宋体" w:hint="ascii"/>
          <w:sz w:val="21"/>
          <w:spacing w:val="26"/>
        </w:rPr>
        <w:t>中</w:t>
      </w:r>
      <w:r>
        <w:rPr>
          <w:rFonts w:ascii="Times New Roman" w:hAnsi="Times New Roman" w:cs="Times New Roman" w:eastAsia="Times New Roman" w:hint="ascii"/>
          <w:sz w:val="21"/>
        </w:rPr>
        <w:t>RN</w:t>
      </w:r>
      <w:r>
        <w:rPr>
          <w:rFonts w:ascii="Times New Roman" w:hAnsi="Times New Roman" w:cs="Times New Roman" w:eastAsia="Times New Roman" w:hint="ascii"/>
          <w:sz w:val="21"/>
          <w:spacing w:val="52"/>
        </w:rPr>
        <w:t>A</w:t>
      </w:r>
      <w:r>
        <w:rPr>
          <w:rFonts w:ascii="宋体" w:hAnsi="宋体" w:cs="宋体" w:eastAsia="宋体" w:hint="ascii"/>
          <w:sz w:val="21"/>
        </w:rPr>
        <w:t>可变剪接、</w:t>
      </w:r>
      <w:r>
        <w:rPr>
          <w:rFonts w:ascii="Times New Roman" w:hAnsi="Times New Roman" w:cs="Times New Roman" w:eastAsia="Times New Roman" w:hint="ascii"/>
          <w:sz w:val="21"/>
        </w:rPr>
        <w:t>RN</w:t>
      </w:r>
      <w:r>
        <w:rPr>
          <w:rFonts w:ascii="Times New Roman" w:hAnsi="Times New Roman" w:cs="Times New Roman" w:eastAsia="Times New Roman" w:hint="ascii"/>
          <w:sz w:val="21"/>
          <w:spacing w:val="52"/>
        </w:rPr>
        <w:t>A</w:t>
      </w:r>
      <w:r>
        <w:rPr>
          <w:rFonts w:ascii="宋体" w:hAnsi="宋体" w:cs="宋体" w:eastAsia="宋体" w:hint="ascii"/>
          <w:sz w:val="21"/>
        </w:rPr>
        <w:t>修饰（</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37"/>
        </w:rPr>
        <w:t xml:space="preserve"> </w:t>
      </w:r>
      <w:r>
        <w:rPr>
          <w:rFonts w:ascii="Times New Roman" w:hAnsi="Times New Roman" w:cs="Times New Roman" w:eastAsia="Times New Roman" w:hint="ascii"/>
          <w:sz w:val="21"/>
        </w:rPr>
        <w:t>modifications</w:t>
      </w:r>
      <w:r>
        <w:rPr>
          <w:rFonts w:ascii="宋体" w:hAnsi="宋体" w:cs="宋体" w:eastAsia="宋体" w:hint="ascii"/>
          <w:sz w:val="21"/>
        </w:rPr>
        <w:t>）的</w:t>
      </w:r>
    </w:p>
    <w:p>
      <w:pPr>
        <w:autoSpaceDE w:val="0"/>
        <w:autoSpaceDN w:val="0"/>
        <w:jc w:val="both"/>
        <w:spacing w:before="10" w:after="0" w:lineRule="exact" w:line="312"/>
        <w:ind w:right="962" w:left="0" w:firstLine="0"/>
        <w:snapToGrid w:val="0"/>
        <w:textAlignment w:val="auto"/>
        <w:tabs/>
        <w:rPr>
          <w:rFonts w:ascii="宋体" w:hAnsi="宋体" w:cs="宋体" w:eastAsia="宋体" w:hint="ascii"/>
          <w:sz w:val="21"/>
        </w:rPr>
      </w:pPr>
      <w:r>
        <w:rPr>
          <w:rFonts w:ascii="宋体" w:hAnsi="宋体" w:cs="宋体" w:eastAsia="宋体" w:hint="ascii"/>
          <w:sz w:val="21"/>
        </w:rPr>
        <w:t>发生，发现和鉴定相关的</w:t>
      </w:r>
      <w:r>
        <w:rPr>
          <w:rFonts w:ascii="宋体" w:hAnsi="宋体" w:cs="宋体" w:eastAsia="宋体" w:hint="ascii"/>
          <w:sz w:val="21"/>
          <w:spacing w:val="-17"/>
        </w:rPr>
        <w:t xml:space="preserve"> </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18"/>
        </w:rPr>
        <w:t xml:space="preserve"> </w:t>
      </w:r>
      <w:r>
        <w:rPr>
          <w:rFonts w:ascii="宋体" w:hAnsi="宋体" w:cs="宋体" w:eastAsia="宋体" w:hint="ascii"/>
          <w:sz w:val="21"/>
        </w:rPr>
        <w:t>异常剪接、</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18"/>
        </w:rPr>
        <w:t xml:space="preserve"> </w:t>
      </w:r>
      <w:r>
        <w:rPr>
          <w:rFonts w:ascii="宋体" w:hAnsi="宋体" w:cs="宋体" w:eastAsia="宋体" w:hint="ascii"/>
          <w:sz w:val="21"/>
        </w:rPr>
        <w:t>修饰产物，研究上述</w:t>
      </w:r>
      <w:r>
        <w:rPr>
          <w:rFonts w:ascii="宋体" w:hAnsi="宋体" w:cs="宋体" w:eastAsia="宋体" w:hint="ascii"/>
          <w:sz w:val="21"/>
          <w:spacing w:val="-17"/>
        </w:rPr>
        <w:t xml:space="preserve"> </w:t>
      </w:r>
      <w:r>
        <w:rPr>
          <w:rFonts w:ascii="Times New Roman" w:hAnsi="Times New Roman" w:cs="Times New Roman" w:eastAsia="Times New Roman" w:hint="ascii"/>
          <w:sz w:val="21"/>
        </w:rPr>
        <w:t>RNA</w:t>
      </w:r>
      <w:r>
        <w:rPr>
          <w:rFonts w:ascii="Times New Roman" w:hAnsi="Times New Roman" w:cs="Times New Roman" w:eastAsia="Times New Roman" w:hint="ascii"/>
          <w:sz w:val="21"/>
          <w:spacing w:val="-18"/>
        </w:rPr>
        <w:t xml:space="preserve"> </w:t>
      </w:r>
      <w:r>
        <w:rPr>
          <w:rFonts w:ascii="宋体" w:hAnsi="宋体" w:cs="宋体" w:eastAsia="宋体" w:hint="ascii"/>
          <w:sz w:val="21"/>
        </w:rPr>
        <w:t>调控对肿瘤细胞生物学功能的作用及其机制。</w:t>
      </w:r>
    </w:p>
    <w:p>
      <w:pPr>
        <w:autoSpaceDE w:val="0"/>
        <w:autoSpaceDN w:val="0"/>
        <w:jc w:val="left"/>
        <w:spacing w:before="40" w:after="0" w:lineRule="auto" w:line="240"/>
        <w:ind w:right="0" w:left="787" w:hanging="367"/>
        <w:snapToGrid w:val="0"/>
        <w:textAlignment w:val="auto"/>
        <w:tabs>
          <w:tab w:val="left" w:leader="none" w:pos="787"/>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协同致死效应与肿瘤靶向治疗（</w:t>
      </w:r>
      <w:r>
        <w:rPr>
          <w:rFonts w:ascii="Times New Roman" w:hAnsi="Times New Roman" w:cs="Times New Roman" w:eastAsia="Times New Roman" w:hint="ascii"/>
          <w:b w:val="1"/>
          <w:sz w:val="21"/>
        </w:rPr>
        <w:t>H16</w:t>
      </w:r>
      <w:r>
        <w:rPr>
          <w:rFonts w:ascii="宋体" w:hAnsi="宋体" w:cs="宋体" w:eastAsia="宋体" w:hint="ascii"/>
          <w:sz w:val="21"/>
        </w:rPr>
        <w:t>）</w:t>
      </w:r>
    </w:p>
    <w:p>
      <w:pPr>
        <w:autoSpaceDE w:val="0"/>
        <w:autoSpaceDN w:val="0"/>
        <w:jc w:val="both"/>
        <w:spacing w:before="17" w:after="0" w:lineRule="exact" w:line="312"/>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2"/>
        </w:rPr>
        <w:t>重点发现具有协同致死效应的基因及其协同致死机制</w:t>
      </w:r>
      <w:r>
        <w:rPr>
          <w:rFonts w:ascii="宋体" w:hAnsi="宋体" w:cs="宋体" w:eastAsia="宋体" w:hint="ascii"/>
          <w:sz w:val="21"/>
          <w:spacing w:val="-1"/>
        </w:rPr>
        <w:t>，包括基因变异及表观调控之</w:t>
      </w:r>
      <w:r>
        <w:rPr>
          <w:rFonts w:ascii="宋体" w:hAnsi="宋体" w:cs="宋体" w:eastAsia="宋体" w:hint="ascii"/>
          <w:sz w:val="21"/>
        </w:rPr>
        <w:t xml:space="preserve"> 间的协同致死效应及机制，以及基因变异与肿瘤微环境之间的协同致死效应及机制。</w:t>
      </w:r>
    </w:p>
    <w:p>
      <w:pPr>
        <w:autoSpaceDE w:val="0"/>
        <w:autoSpaceDN w:val="0"/>
        <w:jc w:val="left"/>
        <w:spacing w:before="40" w:after="0" w:lineRule="auto" w:line="240"/>
        <w:ind w:right="0" w:left="787" w:hanging="367"/>
        <w:snapToGrid w:val="0"/>
        <w:textAlignment w:val="auto"/>
        <w:tabs>
          <w:tab w:val="left" w:leader="none" w:pos="787"/>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智能影像诊断的新技术与新方法（</w:t>
      </w:r>
      <w:r>
        <w:rPr>
          <w:rFonts w:ascii="Times New Roman" w:hAnsi="Times New Roman" w:cs="Times New Roman" w:eastAsia="Times New Roman" w:hint="ascii"/>
          <w:b w:val="1"/>
          <w:sz w:val="21"/>
        </w:rPr>
        <w:t>H18</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重点研究利用数字化信息技术实现医学影像的识别和解读，尤其将数据挖掘、数理</w:t>
      </w:r>
    </w:p>
    <w:p>
      <w:pPr>
        <w:autoSpaceDE w:val="0"/>
        <w:autoSpaceDN w:val="0"/>
        <w:jc w:val="left"/>
        <w:spacing w:before="10" w:after="0" w:lineRule="exact" w:line="312"/>
        <w:ind w:right="962" w:left="0" w:firstLine="0"/>
        <w:snapToGrid w:val="0"/>
        <w:textAlignment w:val="auto"/>
        <w:tabs/>
        <w:rPr>
          <w:rFonts w:ascii="宋体" w:hAnsi="宋体" w:cs="宋体" w:eastAsia="宋体" w:hint="ascii"/>
          <w:sz w:val="21"/>
        </w:rPr>
      </w:pPr>
      <w:r>
        <w:rPr>
          <w:rFonts w:ascii="宋体" w:hAnsi="宋体" w:cs="宋体" w:eastAsia="宋体" w:hint="ascii"/>
          <w:sz w:val="21"/>
        </w:rPr>
        <w:t>计算、神经网络、深度学习等新技术用于影像数据处理，构建智能影像识别平台或智能影像组学辅助诊断系统，或构建与影像归档和通信系统（</w:t>
      </w:r>
      <w:r>
        <w:rPr>
          <w:rFonts w:ascii="Times New Roman" w:hAnsi="Times New Roman" w:cs="Times New Roman" w:eastAsia="Times New Roman" w:hint="ascii"/>
          <w:sz w:val="21"/>
          <w:spacing w:val="-21"/>
        </w:rPr>
        <w:t>P</w:t>
      </w:r>
      <w:r>
        <w:rPr>
          <w:rFonts w:ascii="Times New Roman" w:hAnsi="Times New Roman" w:cs="Times New Roman" w:eastAsia="Times New Roman" w:hint="ascii"/>
          <w:sz w:val="21"/>
        </w:rPr>
        <w:t>ACS</w:t>
      </w:r>
      <w:r>
        <w:rPr>
          <w:rFonts w:ascii="宋体" w:hAnsi="宋体" w:cs="宋体" w:eastAsia="宋体" w:hint="ascii"/>
          <w:sz w:val="21"/>
        </w:rPr>
        <w:t>）无缝连接的规范化诊断模块，以提高病变智能筛查、精确诊断和预后预测的灵敏度和特异性。</w:t>
      </w:r>
    </w:p>
    <w:p>
      <w:pPr>
        <w:autoSpaceDE w:val="0"/>
        <w:autoSpaceDN w:val="0"/>
        <w:jc w:val="left"/>
        <w:spacing w:before="40" w:after="0" w:lineRule="auto" w:line="240"/>
        <w:ind w:right="0" w:left="787" w:hanging="367"/>
        <w:snapToGrid w:val="0"/>
        <w:textAlignment w:val="auto"/>
        <w:tabs>
          <w:tab w:val="left" w:leader="none" w:pos="787"/>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载体对移植细胞和组织微环境的调控及其体内生物学行为（</w:t>
      </w:r>
      <w:r>
        <w:rPr>
          <w:rFonts w:ascii="Times New Roman" w:hAnsi="Times New Roman" w:cs="Times New Roman" w:eastAsia="Times New Roman" w:hint="ascii"/>
          <w:b w:val="1"/>
          <w:sz w:val="21"/>
        </w:rPr>
        <w:t>H18</w:t>
      </w:r>
      <w:r>
        <w:rPr>
          <w:rFonts w:ascii="宋体" w:hAnsi="宋体" w:cs="宋体" w:eastAsia="宋体" w:hint="ascii"/>
          <w:sz w:val="21"/>
        </w:rPr>
        <w:t>）</w:t>
      </w:r>
    </w:p>
    <w:p>
      <w:pPr>
        <w:autoSpaceDE w:val="0"/>
        <w:autoSpaceDN w:val="0"/>
        <w:jc w:val="left"/>
        <w:spacing w:before="57" w:after="0" w:lineRule="exact" w:line="263"/>
        <w:ind w:right="0" w:left="428" w:firstLine="0"/>
        <w:snapToGrid w:val="0"/>
        <w:textAlignment w:val="auto"/>
        <w:tabs/>
        <w:rPr>
          <w:rFonts w:ascii="宋体" w:hAnsi="宋体" w:cs="宋体" w:eastAsia="宋体" w:hint="ascii"/>
          <w:sz w:val="21"/>
        </w:rPr>
      </w:pPr>
      <w:r>
        <w:rPr>
          <w:rFonts w:ascii="宋体" w:hAnsi="宋体" w:cs="宋体" w:eastAsia="宋体" w:hint="ascii"/>
          <w:sz w:val="21"/>
          <w:spacing w:val="3"/>
        </w:rPr>
        <w:t>重点研究</w:t>
      </w:r>
      <w:r>
        <w:rPr>
          <w:rFonts w:ascii="宋体" w:hAnsi="宋体" w:cs="宋体" w:eastAsia="宋体" w:hint="ascii"/>
          <w:sz w:val="21"/>
        </w:rPr>
        <w:t>载</w:t>
      </w:r>
      <w:r>
        <w:rPr>
          <w:rFonts w:ascii="宋体" w:hAnsi="宋体" w:cs="宋体" w:eastAsia="宋体" w:hint="ascii"/>
          <w:sz w:val="21"/>
          <w:spacing w:val="3"/>
        </w:rPr>
        <w:t>体材料的</w:t>
      </w:r>
      <w:r>
        <w:rPr>
          <w:rFonts w:ascii="宋体" w:hAnsi="宋体" w:cs="宋体" w:eastAsia="宋体" w:hint="ascii"/>
          <w:sz w:val="21"/>
        </w:rPr>
        <w:t>体</w:t>
      </w:r>
      <w:r>
        <w:rPr>
          <w:rFonts w:ascii="宋体" w:hAnsi="宋体" w:cs="宋体" w:eastAsia="宋体" w:hint="ascii"/>
          <w:sz w:val="21"/>
          <w:spacing w:val="3"/>
        </w:rPr>
        <w:t>内代谢、</w:t>
      </w:r>
      <w:r>
        <w:rPr>
          <w:rFonts w:ascii="宋体" w:hAnsi="宋体" w:cs="宋体" w:eastAsia="宋体" w:hint="ascii"/>
          <w:sz w:val="21"/>
        </w:rPr>
        <w:t>降</w:t>
      </w:r>
      <w:r>
        <w:rPr>
          <w:rFonts w:ascii="宋体" w:hAnsi="宋体" w:cs="宋体" w:eastAsia="宋体" w:hint="ascii"/>
          <w:sz w:val="21"/>
          <w:spacing w:val="3"/>
        </w:rPr>
        <w:t>解的规律</w:t>
      </w:r>
      <w:r>
        <w:rPr>
          <w:rFonts w:ascii="宋体" w:hAnsi="宋体" w:cs="宋体" w:eastAsia="宋体" w:hint="ascii"/>
          <w:sz w:val="21"/>
        </w:rPr>
        <w:t>及</w:t>
      </w:r>
      <w:r>
        <w:rPr>
          <w:rFonts w:ascii="宋体" w:hAnsi="宋体" w:cs="宋体" w:eastAsia="宋体" w:hint="ascii"/>
          <w:sz w:val="21"/>
          <w:spacing w:val="3"/>
        </w:rPr>
        <w:t>其如何影</w:t>
      </w:r>
      <w:r>
        <w:rPr>
          <w:rFonts w:ascii="宋体" w:hAnsi="宋体" w:cs="宋体" w:eastAsia="宋体" w:hint="ascii"/>
          <w:sz w:val="21"/>
        </w:rPr>
        <w:t>响</w:t>
      </w:r>
      <w:r>
        <w:rPr>
          <w:rFonts w:ascii="宋体" w:hAnsi="宋体" w:cs="宋体" w:eastAsia="宋体" w:hint="ascii"/>
          <w:sz w:val="21"/>
          <w:spacing w:val="3"/>
        </w:rPr>
        <w:t>移植细胞</w:t>
      </w:r>
      <w:r>
        <w:rPr>
          <w:rFonts w:ascii="宋体" w:hAnsi="宋体" w:cs="宋体" w:eastAsia="宋体" w:hint="ascii"/>
          <w:sz w:val="21"/>
        </w:rPr>
        <w:t>的</w:t>
      </w:r>
      <w:r>
        <w:rPr>
          <w:rFonts w:ascii="宋体" w:hAnsi="宋体" w:cs="宋体" w:eastAsia="宋体" w:hint="ascii"/>
          <w:sz w:val="21"/>
          <w:spacing w:val="3"/>
        </w:rPr>
        <w:t>微环境</w:t>
      </w:r>
      <w:r>
        <w:rPr>
          <w:rFonts w:ascii="宋体" w:hAnsi="宋体" w:cs="宋体" w:eastAsia="宋体" w:hint="ascii"/>
          <w:sz w:val="21"/>
          <w:spacing w:val="4"/>
        </w:rPr>
        <w:t>和</w:t>
      </w:r>
      <w:r>
        <w:rPr>
          <w:rFonts w:ascii="宋体" w:hAnsi="宋体" w:cs="宋体" w:eastAsia="宋体" w:hint="ascii"/>
          <w:sz w:val="21"/>
        </w:rPr>
        <w:t>改</w:t>
      </w:r>
    </w:p>
    <w:p>
      <w:pPr>
        <w:autoSpaceDE w:val="0"/>
        <w:autoSpaceDN w:val="0"/>
        <w:jc w:val="both"/>
        <w:spacing w:before="10" w:after="0" w:lineRule="exact" w:line="312"/>
        <w:ind w:right="981" w:left="0" w:firstLine="0"/>
        <w:snapToGrid w:val="0"/>
        <w:textAlignment w:val="auto"/>
        <w:tabs/>
        <w:rPr>
          <w:rFonts w:ascii="宋体" w:hAnsi="宋体" w:cs="宋体" w:eastAsia="宋体" w:hint="ascii"/>
          <w:sz w:val="21"/>
        </w:rPr>
      </w:pPr>
      <w:r>
        <w:rPr>
          <w:rFonts w:ascii="宋体" w:hAnsi="宋体" w:cs="宋体" w:eastAsia="宋体" w:hint="ascii"/>
          <w:sz w:val="21"/>
          <w:spacing w:val="1"/>
        </w:rPr>
        <w:t>善移植细胞</w:t>
      </w:r>
      <w:r>
        <w:rPr>
          <w:rFonts w:ascii="宋体" w:hAnsi="宋体" w:cs="宋体" w:eastAsia="宋体" w:hint="ascii"/>
          <w:sz w:val="21"/>
        </w:rPr>
        <w:t>与机体的整合，研究载体材料及其携带物质如何调控移植细胞的黏附、</w:t>
      </w:r>
      <w:r>
        <w:rPr>
          <w:rFonts w:ascii="宋体" w:hAnsi="宋体" w:cs="宋体" w:eastAsia="宋体" w:hint="ascii"/>
          <w:sz w:val="21"/>
          <w:spacing w:val="-6"/>
        </w:rPr>
        <w:t>增</w:t>
      </w:r>
      <w:r>
        <w:rPr>
          <w:rFonts w:ascii="宋体" w:hAnsi="宋体" w:cs="宋体" w:eastAsia="宋体" w:hint="ascii"/>
          <w:sz w:val="21"/>
          <w:spacing w:val="4"/>
        </w:rPr>
        <w:t>殖、分化、迁移</w:t>
      </w:r>
      <w:r>
        <w:rPr>
          <w:rFonts w:ascii="宋体" w:hAnsi="宋体" w:cs="宋体" w:eastAsia="宋体" w:hint="ascii"/>
          <w:sz w:val="21"/>
          <w:spacing w:val="3"/>
        </w:rPr>
        <w:t>和分泌，进而提高移植细胞的存活率、组织再生能力和免疫治疗</w:t>
      </w:r>
      <w:r>
        <w:rPr>
          <w:rFonts w:ascii="宋体" w:hAnsi="宋体" w:cs="宋体" w:eastAsia="宋体" w:hint="ascii"/>
          <w:sz w:val="21"/>
          <w:spacing w:val="-6"/>
        </w:rPr>
        <w:t>效</w:t>
      </w:r>
      <w:r>
        <w:rPr>
          <w:rFonts w:ascii="宋体" w:hAnsi="宋体" w:cs="宋体" w:eastAsia="宋体" w:hint="ascii"/>
          <w:sz w:val="21"/>
          <w:spacing w:val="1"/>
        </w:rPr>
        <w:t>果，以及研究分</w:t>
      </w:r>
      <w:r>
        <w:rPr>
          <w:rFonts w:ascii="宋体" w:hAnsi="宋体" w:cs="宋体" w:eastAsia="宋体" w:hint="ascii"/>
          <w:sz w:val="21"/>
        </w:rPr>
        <w:t>子影像材料如何实现在体实时、动态跟踪移植的细胞，评价移植细</w:t>
      </w:r>
      <w:r>
        <w:rPr>
          <w:rFonts w:ascii="宋体" w:hAnsi="宋体" w:cs="宋体" w:eastAsia="宋体" w:hint="ascii"/>
          <w:sz w:val="21"/>
          <w:spacing w:val="-6"/>
        </w:rPr>
        <w:t>胞</w:t>
      </w:r>
      <w:r>
        <w:rPr>
          <w:rFonts w:ascii="宋体" w:hAnsi="宋体" w:cs="宋体" w:eastAsia="宋体" w:hint="ascii"/>
          <w:sz w:val="21"/>
        </w:rPr>
        <w:t>的功能和机制。</w:t>
      </w:r>
    </w:p>
    <w:p>
      <w:pPr>
        <w:autoSpaceDE w:val="0"/>
        <w:autoSpaceDN w:val="0"/>
        <w:jc w:val="left"/>
        <w:spacing w:before="40" w:after="0" w:lineRule="auto" w:line="240"/>
        <w:ind w:right="0" w:left="787" w:hanging="367"/>
        <w:snapToGrid w:val="0"/>
        <w:textAlignment w:val="auto"/>
        <w:tabs>
          <w:tab w:val="left" w:leader="none" w:pos="787"/>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微组织</w:t>
      </w:r>
      <w:r>
        <w:rPr>
          <w:rFonts w:ascii="Times New Roman" w:hAnsi="Times New Roman" w:cs="Times New Roman" w:eastAsia="Times New Roman" w:hint="ascii"/>
          <w:b w:val="1"/>
          <w:sz w:val="21"/>
        </w:rPr>
        <w:t>/</w:t>
      </w:r>
      <w:r>
        <w:rPr>
          <w:rFonts w:ascii="宋体" w:hAnsi="宋体" w:cs="宋体" w:eastAsia="宋体" w:hint="ascii"/>
          <w:sz w:val="21"/>
        </w:rPr>
        <w:t>微器官和器官芯片的功能化研究（</w:t>
      </w:r>
      <w:r>
        <w:rPr>
          <w:rFonts w:ascii="Times New Roman" w:hAnsi="Times New Roman" w:cs="Times New Roman" w:eastAsia="Times New Roman" w:hint="ascii"/>
          <w:b w:val="1"/>
          <w:sz w:val="21"/>
        </w:rPr>
        <w:t>H18</w:t>
      </w:r>
      <w:r>
        <w:rPr>
          <w:rFonts w:ascii="宋体" w:hAnsi="宋体" w:cs="宋体" w:eastAsia="宋体" w:hint="ascii"/>
          <w:sz w:val="21"/>
        </w:rPr>
        <w:t>）</w:t>
      </w:r>
    </w:p>
    <w:p>
      <w:pPr>
        <w:autoSpaceDE w:val="0"/>
        <w:autoSpaceDN w:val="0"/>
        <w:jc w:val="left"/>
        <w:spacing w:before="17" w:after="0" w:lineRule="exact" w:line="312"/>
        <w:ind w:right="962" w:left="0" w:firstLine="420"/>
        <w:snapToGrid w:val="0"/>
        <w:textAlignment w:val="auto"/>
        <w:tabs/>
        <w:rPr>
          <w:rFonts w:ascii="宋体" w:hAnsi="宋体" w:cs="宋体" w:eastAsia="宋体" w:hint="ascii"/>
          <w:sz w:val="21"/>
        </w:rPr>
      </w:pPr>
      <w:r>
        <w:rPr>
          <w:rFonts w:ascii="宋体" w:hAnsi="宋体" w:cs="宋体" w:eastAsia="宋体" w:hint="ascii"/>
          <w:sz w:val="21"/>
        </w:rPr>
        <w:t>重点研究种子细胞的发育、细胞与微环境的相互关系以及细胞与材料之间的相互作用，研究细胞的</w:t>
      </w:r>
      <w:r>
        <w:rPr>
          <w:rFonts w:ascii="宋体" w:hAnsi="宋体" w:cs="宋体" w:eastAsia="宋体" w:hint="ascii"/>
          <w:sz w:val="21"/>
          <w:spacing w:val="4"/>
        </w:rPr>
        <w:t>黏</w:t>
      </w:r>
      <w:r>
        <w:rPr>
          <w:rFonts w:ascii="宋体" w:hAnsi="宋体" w:cs="宋体" w:eastAsia="宋体" w:hint="ascii"/>
          <w:sz w:val="21"/>
        </w:rPr>
        <w:t>附与增殖等规律，微组织</w:t>
      </w:r>
      <w:r>
        <w:rPr>
          <w:rFonts w:ascii="Times New Roman" w:hAnsi="Times New Roman" w:cs="Times New Roman" w:eastAsia="Times New Roman" w:hint="ascii"/>
          <w:sz w:val="21"/>
        </w:rPr>
        <w:t>/</w:t>
      </w:r>
      <w:r>
        <w:rPr>
          <w:rFonts w:ascii="宋体" w:hAnsi="宋体" w:cs="宋体" w:eastAsia="宋体" w:hint="ascii"/>
          <w:sz w:val="21"/>
        </w:rPr>
        <w:t>微器官三维培养、微血管网络构建、微器</w:t>
      </w:r>
    </w:p>
    <w:p>
      <w:pPr>
        <w:autoSpaceDE w:val="0"/>
        <w:autoSpaceDN w:val="0"/>
        <w:jc w:val="left"/>
        <w:spacing w:before="274" w:after="0" w:lineRule="exact" w:line="225"/>
        <w:ind w:right="0" w:left="7373"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官功能的关键调控要素，以及微组织</w:t>
      </w:r>
      <w:r>
        <w:rPr>
          <w:rFonts w:ascii="Times New Roman" w:hAnsi="Times New Roman" w:cs="Times New Roman" w:eastAsia="Times New Roman" w:hint="ascii"/>
          <w:sz w:val="21"/>
        </w:rPr>
        <w:t>/</w:t>
      </w:r>
      <w:r>
        <w:rPr>
          <w:rFonts w:ascii="宋体" w:hAnsi="宋体" w:cs="宋体" w:eastAsia="宋体" w:hint="ascii"/>
          <w:sz w:val="21"/>
        </w:rPr>
        <w:t>微器官和器官芯片在重大疾病机制探索、药物发现</w:t>
      </w:r>
      <w:r>
        <w:rPr>
          <w:rFonts w:ascii="Times New Roman" w:hAnsi="Times New Roman" w:cs="Times New Roman" w:eastAsia="Times New Roman" w:hint="ascii"/>
          <w:sz w:val="21"/>
        </w:rPr>
        <w:t>/</w:t>
      </w:r>
      <w:r>
        <w:rPr>
          <w:rFonts w:ascii="宋体" w:hAnsi="宋体" w:cs="宋体" w:eastAsia="宋体" w:hint="ascii"/>
          <w:sz w:val="21"/>
        </w:rPr>
        <w:t>筛选等医学领域的应用。</w:t>
      </w:r>
      <w:r>
        <w:rPr>
          <w:rFonts w:ascii="宋体" w:hAnsi="宋体" w:cs="宋体" w:eastAsia="宋体" w:hint="ascii"/>
          <w:sz w:val="21"/>
        </w:rPr>
        <mc:AlternateContent>
          <mc:Choice Requires="wps">
            <w:drawing>
              <wp:anchor distL="0" distR="0" distT="0" distB="0" simplePos="0" behindDoc="1" relativeHeight="180" locked="0" layoutInCell="1" allowOverlap="1">
                <wp:simplePos x="0" y="0"/>
                <wp:positionH relativeFrom="page">
                  <wp:posOffset>938530</wp:posOffset>
                </wp:positionH>
                <wp:positionV relativeFrom="page">
                  <wp:posOffset>805815</wp:posOffset>
                </wp:positionV>
                <wp:extent cx="5076190" cy="0"/>
                <wp:wrapNone/>
                <wp:docPr id="1209" name="120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73920;width:399.70pt;" id="120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非病毒人类病原体及其感染的基础研究（</w:t>
      </w:r>
      <w:r>
        <w:rPr>
          <w:rFonts w:ascii="Times New Roman" w:hAnsi="Times New Roman" w:cs="Times New Roman" w:eastAsia="Times New Roman" w:hint="ascii"/>
          <w:b w:val="1"/>
          <w:sz w:val="21"/>
        </w:rPr>
        <w:t>H19</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重点研究病原细菌、真菌、寄生虫等非病毒病原体及其与宿主的相互作用，包括病</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原体结构</w:t>
      </w:r>
      <w:r>
        <w:rPr>
          <w:rFonts w:ascii="宋体" w:hAnsi="宋体" w:cs="宋体" w:eastAsia="宋体" w:hint="ascii"/>
          <w:sz w:val="21"/>
        </w:rPr>
        <w:t>、功能、生理生化与代谢、遗传变异与进化等，病原体的致病性、耐药及传播机制，病原体功能基因发掘、免疫原性及所致感染的遗传易感性等。</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复杂疾病关键细胞及分子标志物的检验医学研究（</w:t>
      </w:r>
      <w:r>
        <w:rPr>
          <w:rFonts w:ascii="Times New Roman" w:hAnsi="Times New Roman" w:cs="Times New Roman" w:eastAsia="Times New Roman" w:hint="ascii"/>
          <w:b w:val="1"/>
          <w:sz w:val="21"/>
        </w:rPr>
        <w:t>H20</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重点研究复杂性疾病的发生、发展及转归等不同阶段个体差异的细胞与分子基础，</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建立以循</w:t>
      </w:r>
      <w:r>
        <w:rPr>
          <w:rFonts w:ascii="宋体" w:hAnsi="宋体" w:cs="宋体" w:eastAsia="宋体" w:hint="ascii"/>
          <w:sz w:val="21"/>
        </w:rPr>
        <w:t>证医学和组学数据等为基础的疾病预防、早期诊断、治疗和预后等多重标志物的精准检验方法。</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极端环境下机体损伤与适应的机制（</w:t>
      </w:r>
      <w:r>
        <w:rPr>
          <w:rFonts w:ascii="Times New Roman" w:hAnsi="Times New Roman" w:cs="Times New Roman" w:eastAsia="Times New Roman" w:hint="ascii"/>
          <w:b w:val="1"/>
          <w:sz w:val="21"/>
        </w:rPr>
        <w:t>H21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重点研究在航天、航空、航海、潜水、高原、极地等特殊环境下导致机体损伤与适</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应的机制，如高原缺氧、温度、压力、重力、昼夜节律等变化条件下，机体损伤</w:t>
      </w:r>
      <w:r>
        <w:rPr>
          <w:rFonts w:ascii="宋体" w:hAnsi="宋体" w:cs="宋体" w:eastAsia="宋体" w:hint="ascii"/>
          <w:sz w:val="21"/>
        </w:rPr>
        <w:t>-</w:t>
      </w:r>
      <w:r>
        <w:rPr>
          <w:rFonts w:ascii="宋体" w:hAnsi="宋体" w:cs="宋体" w:eastAsia="宋体" w:hint="ascii"/>
          <w:sz w:val="21"/>
        </w:rPr>
        <w:t>适应</w:t>
      </w:r>
      <w:r>
        <w:rPr>
          <w:rFonts w:ascii="宋体" w:hAnsi="宋体" w:cs="宋体" w:eastAsia="宋体" w:hint="ascii"/>
          <w:sz w:val="21"/>
          <w:spacing w:val="-1"/>
        </w:rPr>
        <w:t>相互转化</w:t>
      </w:r>
      <w:r>
        <w:rPr>
          <w:rFonts w:ascii="宋体" w:hAnsi="宋体" w:cs="宋体" w:eastAsia="宋体" w:hint="ascii"/>
          <w:sz w:val="21"/>
        </w:rPr>
        <w:t>的病理生理学和分子生物学机制，并在此基础上进一步研究抗损伤、促适应的干预措施。</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地球化学性环境暴露因素与慢性病发生、发展与评价（</w:t>
      </w:r>
      <w:r>
        <w:rPr>
          <w:rFonts w:ascii="Times New Roman" w:hAnsi="Times New Roman" w:cs="Times New Roman" w:eastAsia="Times New Roman" w:hint="ascii"/>
          <w:b w:val="1"/>
          <w:sz w:val="21"/>
        </w:rPr>
        <w:t>H2401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重点研究呈地方性、广泛性特点的地球化学性环境暴露因素如氟、砷、碘、硒等与</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暴露地区</w:t>
      </w:r>
      <w:r>
        <w:rPr>
          <w:rFonts w:ascii="宋体" w:hAnsi="宋体" w:cs="宋体" w:eastAsia="宋体" w:hint="ascii"/>
          <w:sz w:val="21"/>
        </w:rPr>
        <w:t>人群慢性病发生、发展的关系及评价方法，探索上述环境暴露因素与慢性病发生、发展的重要意义及实际应用价值。</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急性肠道</w:t>
      </w:r>
      <w:r>
        <w:rPr>
          <w:rFonts w:ascii="Times New Roman" w:hAnsi="Times New Roman" w:cs="Times New Roman" w:eastAsia="Times New Roman" w:hint="ascii"/>
          <w:b w:val="1"/>
          <w:sz w:val="21"/>
        </w:rPr>
        <w:t>/</w:t>
      </w:r>
      <w:r>
        <w:rPr>
          <w:rFonts w:ascii="宋体" w:hAnsi="宋体" w:cs="宋体" w:eastAsia="宋体" w:hint="ascii"/>
          <w:sz w:val="21"/>
        </w:rPr>
        <w:t>呼吸道传染病新流行特征及早期检测和预防控制研究（</w:t>
      </w:r>
      <w:r>
        <w:rPr>
          <w:rFonts w:ascii="Times New Roman" w:hAnsi="Times New Roman" w:cs="Times New Roman" w:eastAsia="Times New Roman" w:hint="ascii"/>
          <w:b w:val="1"/>
          <w:sz w:val="21"/>
        </w:rPr>
        <w:t>H2609</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重点研究在新时期传染源、传播途径、易感人群及影响因素变化引起传染病发生、</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分布等流行特征改变的情况下，重要急性肠道</w:t>
      </w:r>
      <w:r>
        <w:rPr>
          <w:rFonts w:ascii="Times New Roman" w:hAnsi="Times New Roman" w:cs="Times New Roman" w:eastAsia="Times New Roman" w:hint="ascii"/>
          <w:sz w:val="21"/>
        </w:rPr>
        <w:t>/</w:t>
      </w:r>
      <w:r>
        <w:rPr>
          <w:rFonts w:ascii="宋体" w:hAnsi="宋体" w:cs="宋体" w:eastAsia="宋体" w:hint="ascii"/>
          <w:sz w:val="21"/>
        </w:rPr>
        <w:t>呼吸道传染病新的流行特征（或规律</w:t>
      </w:r>
      <w:r>
        <w:rPr>
          <w:rFonts w:ascii="宋体" w:hAnsi="宋体" w:cs="宋体" w:eastAsia="宋体" w:hint="ascii"/>
          <w:sz w:val="21"/>
          <w:spacing w:val="-53"/>
        </w:rPr>
        <w:t>）</w:t>
      </w:r>
      <w:r>
        <w:rPr>
          <w:rFonts w:ascii="宋体" w:hAnsi="宋体" w:cs="宋体" w:eastAsia="宋体" w:hint="ascii"/>
          <w:sz w:val="21"/>
        </w:rPr>
        <w:t>，建立传染病（或病原体）早期检测新方法（或标志物筛选</w:t>
      </w:r>
      <w:r>
        <w:rPr>
          <w:rFonts w:ascii="宋体" w:hAnsi="宋体" w:cs="宋体" w:eastAsia="宋体" w:hint="ascii"/>
          <w:sz w:val="21"/>
          <w:spacing w:val="-52"/>
        </w:rPr>
        <w:t>）</w:t>
      </w:r>
      <w:r>
        <w:rPr>
          <w:rFonts w:ascii="宋体" w:hAnsi="宋体" w:cs="宋体" w:eastAsia="宋体" w:hint="ascii"/>
          <w:sz w:val="21"/>
        </w:rPr>
        <w:t>，为降低传染病发病率和病死率及提高传染病综合防控能力提供理论依据和技术支撑。</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医学因果关系推断中的统计学理论和方法研究（</w:t>
      </w:r>
      <w:r>
        <w:rPr>
          <w:rFonts w:ascii="Times New Roman" w:hAnsi="Times New Roman" w:cs="Times New Roman" w:eastAsia="Times New Roman" w:hint="ascii"/>
          <w:b w:val="1"/>
          <w:sz w:val="21"/>
        </w:rPr>
        <w:t>H26</w:t>
      </w: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rPr>
        <w:t>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重点研究基于人群队列和跨组学数据进行因果推断的统计学理论和方法，包括生物</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标志物快</w:t>
      </w:r>
      <w:r>
        <w:rPr>
          <w:rFonts w:ascii="宋体" w:hAnsi="宋体" w:cs="宋体" w:eastAsia="宋体" w:hint="ascii"/>
          <w:sz w:val="21"/>
        </w:rPr>
        <w:t>速筛选、交互作用分析、生物学通路鉴别以及因果效应估计的理论和方法，为病因推断、个体化预防和诊疗等提供系统流行病学分析策略和方法。</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湿热证与肠道微生态的相关性研究（</w:t>
      </w:r>
      <w:r>
        <w:rPr>
          <w:rFonts w:ascii="Times New Roman" w:hAnsi="Times New Roman" w:cs="Times New Roman" w:eastAsia="Times New Roman" w:hint="ascii"/>
          <w:b w:val="1"/>
          <w:sz w:val="21"/>
        </w:rPr>
        <w:t>H27</w:t>
      </w:r>
      <w:r>
        <w:rPr>
          <w:rFonts w:ascii="宋体" w:hAnsi="宋体" w:cs="宋体" w:eastAsia="宋体" w:hint="ascii"/>
          <w:sz w:val="21"/>
        </w:rPr>
        <w:t>）</w:t>
      </w:r>
    </w:p>
    <w:p>
      <w:pPr>
        <w:autoSpaceDE w:val="0"/>
        <w:autoSpaceDN w:val="0"/>
        <w:jc w:val="both"/>
        <w:spacing w:before="1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立足于</w:t>
      </w:r>
      <w:r>
        <w:rPr>
          <w:rFonts w:ascii="宋体" w:hAnsi="宋体" w:cs="宋体" w:eastAsia="宋体" w:hint="ascii"/>
          <w:sz w:val="21"/>
        </w:rPr>
        <w:t>病证结合</w:t>
      </w:r>
      <w:r>
        <w:rPr>
          <w:rFonts w:ascii="宋体" w:hAnsi="宋体" w:cs="宋体" w:eastAsia="宋体" w:hint="ascii"/>
          <w:sz w:val="21"/>
          <w:spacing w:val="1"/>
        </w:rPr>
        <w:t>和</w:t>
      </w:r>
      <w:r>
        <w:rPr>
          <w:rFonts w:ascii="宋体" w:hAnsi="宋体" w:cs="宋体" w:eastAsia="宋体" w:hint="ascii"/>
          <w:sz w:val="21"/>
        </w:rPr>
        <w:t>辨证论治</w:t>
      </w:r>
      <w:r>
        <w:rPr>
          <w:rFonts w:ascii="宋体" w:hAnsi="宋体" w:cs="宋体" w:eastAsia="宋体" w:hint="ascii"/>
          <w:sz w:val="21"/>
          <w:spacing w:val="1"/>
        </w:rPr>
        <w:t>思</w:t>
      </w:r>
      <w:r>
        <w:rPr>
          <w:rFonts w:ascii="宋体" w:hAnsi="宋体" w:cs="宋体" w:eastAsia="宋体" w:hint="ascii"/>
          <w:sz w:val="21"/>
        </w:rPr>
        <w:t>想，以肠</w:t>
      </w:r>
      <w:r>
        <w:rPr>
          <w:rFonts w:ascii="宋体" w:hAnsi="宋体" w:cs="宋体" w:eastAsia="宋体" w:hint="ascii"/>
          <w:sz w:val="21"/>
          <w:spacing w:val="1"/>
        </w:rPr>
        <w:t>道</w:t>
      </w:r>
      <w:r>
        <w:rPr>
          <w:rFonts w:ascii="宋体" w:hAnsi="宋体" w:cs="宋体" w:eastAsia="宋体" w:hint="ascii"/>
          <w:sz w:val="21"/>
        </w:rPr>
        <w:t>菌群为切</w:t>
      </w:r>
      <w:r>
        <w:rPr>
          <w:rFonts w:ascii="宋体" w:hAnsi="宋体" w:cs="宋体" w:eastAsia="宋体" w:hint="ascii"/>
          <w:sz w:val="21"/>
          <w:spacing w:val="1"/>
        </w:rPr>
        <w:t>入</w:t>
      </w:r>
      <w:r>
        <w:rPr>
          <w:rFonts w:ascii="宋体" w:hAnsi="宋体" w:cs="宋体" w:eastAsia="宋体" w:hint="ascii"/>
          <w:sz w:val="21"/>
        </w:rPr>
        <w:t>点，利用</w:t>
      </w:r>
      <w:r>
        <w:rPr>
          <w:rFonts w:ascii="宋体" w:hAnsi="宋体" w:cs="宋体" w:eastAsia="宋体" w:hint="ascii"/>
          <w:sz w:val="21"/>
          <w:spacing w:val="1"/>
        </w:rPr>
        <w:t>宏</w:t>
      </w:r>
      <w:r>
        <w:rPr>
          <w:rFonts w:ascii="宋体" w:hAnsi="宋体" w:cs="宋体" w:eastAsia="宋体" w:hint="ascii"/>
          <w:sz w:val="21"/>
        </w:rPr>
        <w:t>基因组、</w:t>
      </w:r>
      <w:r>
        <w:rPr>
          <w:rFonts w:ascii="宋体" w:hAnsi="宋体" w:cs="宋体" w:eastAsia="宋体" w:hint="ascii"/>
          <w:sz w:val="21"/>
          <w:spacing w:val="1"/>
        </w:rPr>
        <w:t>宏</w:t>
      </w:r>
      <w:r>
        <w:rPr>
          <w:rFonts w:ascii="宋体" w:hAnsi="宋体" w:cs="宋体" w:eastAsia="宋体" w:hint="ascii"/>
          <w:sz w:val="21"/>
        </w:rPr>
        <w:t>转</w:t>
      </w:r>
      <w:r>
        <w:rPr>
          <w:rFonts w:ascii="宋体" w:hAnsi="宋体" w:cs="宋体" w:eastAsia="宋体" w:hint="ascii"/>
          <w:sz w:val="21"/>
          <w:spacing w:val="-6"/>
        </w:rPr>
        <w:t>录</w:t>
      </w:r>
      <w:r>
        <w:rPr>
          <w:rFonts w:ascii="宋体" w:hAnsi="宋体" w:cs="宋体" w:eastAsia="宋体" w:hint="ascii"/>
          <w:sz w:val="21"/>
          <w:spacing w:val="1"/>
        </w:rPr>
        <w:t>组、代谢组等多组学融</w:t>
      </w:r>
      <w:r>
        <w:rPr>
          <w:rFonts w:ascii="宋体" w:hAnsi="宋体" w:cs="宋体" w:eastAsia="宋体" w:hint="ascii"/>
          <w:sz w:val="21"/>
        </w:rPr>
        <w:t>合及黏膜免疫学等方法，重点研究湿热证与肠道微生态的相</w:t>
      </w:r>
      <w:r>
        <w:rPr>
          <w:rFonts w:ascii="宋体" w:hAnsi="宋体" w:cs="宋体" w:eastAsia="宋体" w:hint="ascii"/>
          <w:sz w:val="21"/>
          <w:spacing w:val="-6"/>
        </w:rPr>
        <w:t>关</w:t>
      </w:r>
      <w:r>
        <w:rPr>
          <w:rFonts w:ascii="宋体" w:hAnsi="宋体" w:cs="宋体" w:eastAsia="宋体" w:hint="ascii"/>
          <w:sz w:val="21"/>
        </w:rPr>
        <w:t>性，并在此基础上探讨肠道微生态变化与相关方剂治疗作用的相互影响。</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基于循证设计的中医临床疗效评价方法学研究（</w:t>
      </w:r>
      <w:r>
        <w:rPr>
          <w:rFonts w:ascii="Times New Roman" w:hAnsi="Times New Roman" w:cs="Times New Roman" w:eastAsia="Times New Roman" w:hint="ascii"/>
          <w:b w:val="1"/>
          <w:sz w:val="21"/>
        </w:rPr>
        <w:t>H27</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以循证设计为基础，以中医辨证论治特色和中医临床诊疗特点为指导，重点研究适</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用性强而</w:t>
      </w:r>
      <w:r>
        <w:rPr>
          <w:rFonts w:ascii="宋体" w:hAnsi="宋体" w:cs="宋体" w:eastAsia="宋体" w:hint="ascii"/>
          <w:sz w:val="21"/>
        </w:rPr>
        <w:t>又不偏离严格设计原则的中医临床评价关键技术和规范化体系，如干预措施设</w:t>
      </w:r>
      <w:r>
        <w:rPr>
          <w:rFonts w:ascii="宋体" w:hAnsi="宋体" w:cs="宋体" w:eastAsia="宋体" w:hint="ascii"/>
          <w:sz w:val="21"/>
          <w:spacing w:val="-1"/>
        </w:rPr>
        <w:t>定、对照</w:t>
      </w:r>
      <w:r>
        <w:rPr>
          <w:rFonts w:ascii="宋体" w:hAnsi="宋体" w:cs="宋体" w:eastAsia="宋体" w:hint="ascii"/>
          <w:sz w:val="21"/>
        </w:rPr>
        <w:t>选择与设定、治疗结局测量、各种偏倚的控制技术、数据资源建设、数据分析关键技术等。</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中药质量标志物的发现与确认（</w:t>
      </w:r>
      <w:r>
        <w:rPr>
          <w:rFonts w:ascii="Times New Roman" w:hAnsi="Times New Roman" w:cs="Times New Roman" w:eastAsia="Times New Roman" w:hint="ascii"/>
          <w:b w:val="1"/>
          <w:sz w:val="21"/>
        </w:rPr>
        <w:t>H28</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根据中医药理论、中药的生物学属性和有效性表达特点，以及中药质量的传递性与</w:t>
      </w:r>
    </w:p>
    <w:p>
      <w:pPr>
        <w:autoSpaceDE w:val="0"/>
        <w:autoSpaceDN w:val="0"/>
        <w:jc w:val="left"/>
        <w:spacing w:before="28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点 项 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溯源性，整合</w:t>
      </w:r>
      <w:r>
        <w:rPr>
          <w:rFonts w:ascii="宋体" w:hAnsi="宋体" w:cs="宋体" w:eastAsia="宋体" w:hint="ascii"/>
          <w:sz w:val="21"/>
        </w:rPr>
        <w:t>多学科技术方法，选择代表性中药，重点开展中药质量标志物发现与确认</w:t>
      </w:r>
      <w:r>
        <w:rPr>
          <w:rFonts w:ascii="宋体" w:hAnsi="宋体" w:cs="宋体" w:eastAsia="宋体" w:hint="ascii"/>
          <w:sz w:val="21"/>
          <w:spacing w:val="-1"/>
        </w:rPr>
        <w:t>的示范性研究</w:t>
      </w:r>
      <w:r>
        <w:rPr>
          <w:rFonts w:ascii="宋体" w:hAnsi="宋体" w:cs="宋体" w:eastAsia="宋体" w:hint="ascii"/>
          <w:sz w:val="21"/>
        </w:rPr>
        <w:t>和创新方法研究；针对中药生产过程全程质量控制的需要进行的制药过程质量标志物研究。</w:t>
      </w:r>
      <w:r>
        <w:rPr>
          <w:rFonts w:ascii="宋体" w:hAnsi="宋体" w:cs="宋体" w:eastAsia="宋体" w:hint="ascii"/>
          <w:sz w:val="21"/>
        </w:rPr>
        <mc:AlternateContent>
          <mc:Choice Requires="wps">
            <w:drawing>
              <wp:anchor distL="0" distR="0" distT="0" distB="0" simplePos="0" behindDoc="1" relativeHeight="181" locked="0" layoutInCell="1" allowOverlap="1">
                <wp:simplePos x="0" y="0"/>
                <wp:positionH relativeFrom="page">
                  <wp:posOffset>938530</wp:posOffset>
                </wp:positionH>
                <wp:positionV relativeFrom="page">
                  <wp:posOffset>819150</wp:posOffset>
                </wp:positionV>
                <wp:extent cx="5076190" cy="0"/>
                <wp:wrapNone/>
                <wp:docPr id="1210" name="121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72896;width:399.70pt;" id="121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中西医结合防治糖脂代谢性疾病的机制研究（</w:t>
      </w:r>
      <w:r>
        <w:rPr>
          <w:rFonts w:ascii="Times New Roman" w:hAnsi="Times New Roman" w:cs="Times New Roman" w:eastAsia="Times New Roman" w:hint="ascii"/>
          <w:b w:val="1"/>
          <w:sz w:val="21"/>
        </w:rPr>
        <w:t>H29</w:t>
      </w:r>
      <w:r>
        <w:rPr>
          <w:rFonts w:ascii="宋体" w:hAnsi="宋体" w:cs="宋体" w:eastAsia="宋体" w:hint="ascii"/>
          <w:sz w:val="21"/>
        </w:rPr>
        <w:t>）</w:t>
      </w:r>
    </w:p>
    <w:p>
      <w:pPr>
        <w:autoSpaceDE w:val="0"/>
        <w:autoSpaceDN w:val="0"/>
        <w:jc w:val="both"/>
        <w:spacing w:before="1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在采用中西医结合的方法防治糖脂代谢性疾病取得一</w:t>
      </w:r>
      <w:r>
        <w:rPr>
          <w:rFonts w:ascii="宋体" w:hAnsi="宋体" w:cs="宋体" w:eastAsia="宋体" w:hint="ascii"/>
          <w:sz w:val="21"/>
          <w:spacing w:val="-1"/>
        </w:rPr>
        <w:t>定临床疗效和研究成果的基础</w:t>
      </w:r>
      <w:r>
        <w:rPr>
          <w:rFonts w:ascii="宋体" w:hAnsi="宋体" w:cs="宋体" w:eastAsia="宋体" w:hint="ascii"/>
          <w:sz w:val="21"/>
        </w:rPr>
        <w:t xml:space="preserve"> </w:t>
      </w:r>
      <w:r>
        <w:rPr>
          <w:rFonts w:ascii="宋体" w:hAnsi="宋体" w:cs="宋体" w:eastAsia="宋体" w:hint="ascii"/>
          <w:sz w:val="21"/>
          <w:spacing w:val="-1"/>
        </w:rPr>
        <w:t>上，重点研究</w:t>
      </w:r>
      <w:r>
        <w:rPr>
          <w:rFonts w:ascii="宋体" w:hAnsi="宋体" w:cs="宋体" w:eastAsia="宋体" w:hint="ascii"/>
          <w:sz w:val="21"/>
        </w:rPr>
        <w:t>中西医结合防治高脂血症、糖尿病、脂肪肝、动脉粥样硬化等糖脂紊乱性疾病的机制。</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药物相关生物标志物或药物靶标发现的新技术与新方法研究（</w:t>
      </w:r>
      <w:r>
        <w:rPr>
          <w:rFonts w:ascii="Times New Roman" w:hAnsi="Times New Roman" w:cs="Times New Roman" w:eastAsia="Times New Roman" w:hint="ascii"/>
          <w:b w:val="1"/>
          <w:sz w:val="21"/>
        </w:rPr>
        <w:t>H30</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重点研究创建和发展现代仪器、分子成像、同位素技术、多组学分析及多种方法联</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用等新型检测</w:t>
      </w:r>
      <w:r>
        <w:rPr>
          <w:rFonts w:ascii="宋体" w:hAnsi="宋体" w:cs="宋体" w:eastAsia="宋体" w:hint="ascii"/>
          <w:sz w:val="21"/>
        </w:rPr>
        <w:t>技术和方法，应用于药物相关生物标志物或药物靶标的发现，系统确证检测技术和方法的选择性、灵敏度和实用性。</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耐药新机制与药物发现和治疗新策略研究（</w:t>
      </w:r>
      <w:r>
        <w:rPr>
          <w:rFonts w:ascii="Times New Roman" w:hAnsi="Times New Roman" w:cs="Times New Roman" w:eastAsia="Times New Roman" w:hint="ascii"/>
          <w:b w:val="1"/>
          <w:sz w:val="21"/>
        </w:rPr>
        <w:t>H31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重点研究病原生物或肿瘤产生耐药的新分子机制，阐明参与耐药的新关键生物分子</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的结构与功能</w:t>
      </w:r>
      <w:r>
        <w:rPr>
          <w:rFonts w:ascii="宋体" w:hAnsi="宋体" w:cs="宋体" w:eastAsia="宋体" w:hint="ascii"/>
          <w:sz w:val="21"/>
        </w:rPr>
        <w:t>，探寻克服耐药的新策略，针对新机制建立抗耐药分子的筛选模型，发现先导化合物，为克服耐药提供新的药物候选分子。</w:t>
      </w:r>
    </w:p>
    <w:p>
      <w:pPr>
        <w:autoSpaceDE w:val="0"/>
        <w:autoSpaceDN w:val="0"/>
        <w:jc w:val="left"/>
        <w:spacing w:before="40" w:after="0" w:lineRule="auto" w:line="240"/>
        <w:ind w:right="0" w:left="1753" w:hanging="367"/>
        <w:snapToGrid w:val="0"/>
        <w:textAlignment w:val="auto"/>
        <w:tabs>
          <w:tab w:val="left" w:leader="none" w:pos="1753"/>
        </w:tabs>
        <w:numPr>
          <w:ilvl w:val="0"/>
          <w:numId w:val="148"/>
        </w:numPr>
        <w:rPr>
          <w:rFonts w:ascii="Times New Roman" w:hAnsi="Times New Roman" w:cs="Times New Roman" w:eastAsia="Times New Roman" w:hint="ascii"/>
          <w:sz w:val="21"/>
          <w:spacing w:val="1"/>
        </w:rPr>
      </w:pPr>
      <w:r>
        <w:rPr>
          <w:rFonts w:ascii="宋体" w:hAnsi="宋体" w:cs="宋体" w:eastAsia="宋体" w:hint="ascii"/>
          <w:sz w:val="21"/>
        </w:rPr>
        <w:t>药物体内过程关键因素与疾病防治的基础研究（</w:t>
      </w:r>
      <w:r>
        <w:rPr>
          <w:rFonts w:ascii="Times New Roman" w:hAnsi="Times New Roman" w:cs="Times New Roman" w:eastAsia="Times New Roman" w:hint="ascii"/>
          <w:b w:val="1"/>
          <w:sz w:val="21"/>
        </w:rPr>
        <w:t>H31</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重点研究通过药物体内处置过程的一些关键因素（如药物代谢酶和转运体、肠道微</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生物等）与疾</w:t>
      </w:r>
      <w:r>
        <w:rPr>
          <w:rFonts w:ascii="宋体" w:hAnsi="宋体" w:cs="宋体" w:eastAsia="宋体" w:hint="ascii"/>
          <w:sz w:val="21"/>
        </w:rPr>
        <w:t>病发生、发展及药物干预过程的相互作用及其分子调节机制，发现药物作用新靶点或者生物标志物，发展新的治疗方案，并进行体内外功能评价。</w:t>
      </w:r>
    </w:p>
    <w:p>
      <w:pPr>
        <w:autoSpaceDE w:val="0"/>
        <w:autoSpaceDN w:val="0"/>
        <w:jc w:val="left"/>
        <w:spacing w:before="6514" w:after="0" w:lineRule="exact" w:line="225"/>
        <w:ind w:right="0" w:left="8338"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3740" w:firstLine="0"/>
        <w:snapToGrid w:val="0"/>
        <w:textAlignment w:val="auto"/>
        <w:tabs/>
        <w:rPr>
          <w:rFonts w:ascii="宋体" w:hAnsi="宋体" w:cs="宋体" w:eastAsia="宋体" w:hint="ascii"/>
          <w:sz w:val="52"/>
        </w:rPr>
      </w:pPr>
      <w:r>
        <w:rPr>
          <w:rFonts w:ascii="宋体" w:hAnsi="宋体" w:cs="宋体" w:eastAsia="宋体" w:hint="ascii"/>
          <w:sz w:val="52"/>
          <w:spacing w:val="59"/>
        </w:rPr>
        <w:t>重大项</w:t>
      </w:r>
      <w:r>
        <w:rPr>
          <w:rFonts w:ascii="宋体" w:hAnsi="宋体" w:cs="宋体" w:eastAsia="宋体" w:hint="ascii"/>
          <w:sz w:val="52"/>
        </w:rPr>
        <w:t>目</w:t>
      </w:r>
      <w:r>
        <w:rPr>
          <w:rFonts w:ascii="宋体" w:hAnsi="宋体" w:cs="宋体" w:eastAsia="宋体" w:hint="ascii"/>
          <w:sz w:val="52"/>
        </w:rPr>
        <mc:AlternateContent>
          <mc:Choice Requires="wps">
            <w:drawing>
              <wp:anchor distL="0" distR="0" distT="0" distB="0" simplePos="0" behindDoc="1" relativeHeight="182" locked="0" layoutInCell="1" allowOverlap="1">
                <wp:simplePos x="0" y="0"/>
                <wp:positionH relativeFrom="page">
                  <wp:posOffset>938530</wp:posOffset>
                </wp:positionH>
                <wp:positionV relativeFrom="page">
                  <wp:posOffset>805815</wp:posOffset>
                </wp:positionV>
                <wp:extent cx="5076190" cy="0"/>
                <wp:wrapNone/>
                <wp:docPr id="1211" name="121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71872;width:399.70pt;" id="1211"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183" locked="0" layoutInCell="1" allowOverlap="1">
                <wp:simplePos x="0" y="0"/>
                <wp:positionH relativeFrom="page">
                  <wp:posOffset>530225</wp:posOffset>
                </wp:positionH>
                <wp:positionV relativeFrom="page">
                  <wp:posOffset>154305</wp:posOffset>
                </wp:positionV>
                <wp:extent cx="6049645" cy="876300"/>
                <wp:wrapNone/>
                <wp:docPr id="1212" name="1212"/>
                <wp:cNvGraphicFramePr/>
                <a:graphic>
                  <a:graphicData uri="http://schemas.microsoft.com/office/word/2010/wordprocessingShape">
                    <wps:wsp>
                      <wps:cNvSpPr/>
                      <wps:spPr>
                        <a:xfrm>
                          <a:off x="0" y="0"/>
                          <a:ext cx="6049645" cy="87630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1.75pt;mso-position-vertical:absolute;mso-position-vertical-relative:page;margin-top:12.15pt;z-index:-251470848;width:476.35pt;height:69.00pt;" id="1212" coordsize="9527,1380" stroked="f" fillcolor="#ffffff" opacity="0f">
                <v:stroke endcap="round"/>
                <v:fill opacity="0f"/>
                <w10:wrap anchorx="page" anchory="page" side="both"/>
              </v:rect>
            </w:pict>
          </mc:Fallback>
        </mc:AlternateContent>
      </w:r>
    </w:p>
    <w:p>
      <w:pPr>
        <w:autoSpaceDE w:val="0"/>
        <w:autoSpaceDN w:val="0"/>
        <w:jc w:val="left"/>
        <w:spacing w:before="442"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重大项目面向科学前沿和国家经济、社会、科技发展及国家安全的重大</w:t>
      </w:r>
    </w:p>
    <w:p>
      <w:pPr>
        <w:autoSpaceDE w:val="0"/>
        <w:autoSpaceDN w:val="0"/>
        <w:jc w:val="both"/>
        <w:spacing w:before="11" w:after="0" w:lineRule="exact" w:line="356"/>
        <w:ind w:right="975" w:left="966" w:firstLine="0"/>
        <w:snapToGrid w:val="0"/>
        <w:textAlignment w:val="auto"/>
        <w:tabs/>
        <w:rPr>
          <w:rFonts w:ascii="宋体" w:hAnsi="宋体" w:cs="宋体" w:eastAsia="宋体" w:hint="ascii"/>
        </w:rPr>
      </w:pPr>
      <w:r>
        <w:rPr>
          <w:rFonts w:ascii="宋体" w:hAnsi="宋体" w:cs="宋体" w:eastAsia="宋体" w:hint="ascii"/>
        </w:rPr>
        <w:t>需求中的重大科学问题，超前部署，开展多学科交叉研究和综合性研究，充分发挥支撑与引领作用，提升我国基础研究源头创新能力。</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重大项目采取统一规划、分批立项的方式，根据科学基金发展规划、优</w:t>
      </w:r>
    </w:p>
    <w:p>
      <w:pPr>
        <w:autoSpaceDE w:val="0"/>
        <w:autoSpaceDN w:val="0"/>
        <w:jc w:val="both"/>
        <w:spacing w:before="11" w:after="0" w:lineRule="exact" w:line="356"/>
        <w:ind w:right="975" w:left="966" w:firstLine="0"/>
        <w:snapToGrid w:val="0"/>
        <w:textAlignment w:val="auto"/>
        <w:tabs/>
        <w:rPr>
          <w:rFonts w:ascii="宋体" w:hAnsi="宋体" w:cs="宋体" w:eastAsia="宋体" w:hint="ascii"/>
        </w:rPr>
      </w:pPr>
      <w:r>
        <w:rPr>
          <w:rFonts w:ascii="宋体" w:hAnsi="宋体" w:cs="宋体" w:eastAsia="宋体" w:hint="ascii"/>
        </w:rPr>
        <w:t>先发展领域、基金资助工作评估报告和科学部专家咨询委员会意见确立重大项目立项领域并制定年度重大项目指南。</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重大项目只受理整体申请，要分别撰写项目申请书和课题申请书，不受</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理针对某个项目指南的部分研究内容或一个课题的申请。</w:t>
      </w:r>
    </w:p>
    <w:p>
      <w:pPr>
        <w:autoSpaceDE w:val="0"/>
        <w:autoSpaceDN w:val="0"/>
        <w:jc w:val="both"/>
        <w:spacing w:before="12" w:after="0" w:lineRule="exact" w:line="355"/>
        <w:ind w:right="975" w:left="966" w:firstLine="480"/>
        <w:snapToGrid w:val="0"/>
        <w:textAlignment w:val="auto"/>
        <w:tabs/>
        <w:rPr>
          <w:rFonts w:ascii="宋体" w:hAnsi="宋体" w:cs="宋体" w:eastAsia="宋体" w:hint="ascii"/>
        </w:rPr>
      </w:pPr>
      <w:r>
        <w:rPr>
          <w:rFonts w:ascii="宋体" w:hAnsi="宋体" w:cs="宋体" w:eastAsia="宋体" w:hint="ascii"/>
        </w:rPr>
        <w:t>每个重大项目应当围绕科学目标设置不多于</w:t>
      </w:r>
      <w:r>
        <w:rPr>
          <w:rFonts w:ascii="宋体" w:hAnsi="宋体" w:cs="宋体" w:eastAsia="宋体" w:hint="ascii"/>
          <w:spacing w:val="-30"/>
        </w:rPr>
        <w:t xml:space="preserve"> </w:t>
      </w:r>
      <w:r>
        <w:rPr>
          <w:rFonts w:ascii="Times New Roman" w:hAnsi="Times New Roman" w:cs="Times New Roman" w:eastAsia="Times New Roman" w:hint="ascii"/>
          <w:spacing w:val="60"/>
        </w:rPr>
        <w:t>5</w:t>
      </w:r>
      <w:r>
        <w:rPr>
          <w:rFonts w:ascii="宋体" w:hAnsi="宋体" w:cs="宋体" w:eastAsia="宋体" w:hint="ascii"/>
        </w:rPr>
        <w:t>个重大项目课题。重大项目的申请人应当是其</w:t>
      </w:r>
      <w:r>
        <w:rPr>
          <w:rFonts w:ascii="宋体" w:hAnsi="宋体" w:cs="宋体" w:eastAsia="宋体" w:hint="ascii"/>
          <w:spacing w:val="30"/>
        </w:rPr>
        <w:t>中</w:t>
      </w:r>
      <w:r>
        <w:rPr>
          <w:rFonts w:ascii="Times New Roman" w:hAnsi="Times New Roman" w:cs="Times New Roman" w:eastAsia="Times New Roman" w:hint="ascii"/>
          <w:spacing w:val="60"/>
        </w:rPr>
        <w:t>1</w:t>
      </w:r>
      <w:r>
        <w:rPr>
          <w:rFonts w:ascii="宋体" w:hAnsi="宋体" w:cs="宋体" w:eastAsia="宋体" w:hint="ascii"/>
        </w:rPr>
        <w:t>个课题的申请人。</w:t>
      </w:r>
    </w:p>
    <w:p>
      <w:pPr>
        <w:autoSpaceDE w:val="0"/>
        <w:autoSpaceDN w:val="0"/>
        <w:jc w:val="left"/>
        <w:spacing w:before="4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每个课题的合作研究单位不得超</w:t>
      </w:r>
      <w:r>
        <w:rPr>
          <w:rFonts w:ascii="宋体" w:hAnsi="宋体" w:cs="宋体" w:eastAsia="宋体" w:hint="ascii"/>
          <w:spacing w:val="31"/>
        </w:rPr>
        <w:t>过</w:t>
      </w:r>
      <w:r>
        <w:rPr>
          <w:rFonts w:ascii="Times New Roman" w:hAnsi="Times New Roman" w:cs="Times New Roman" w:eastAsia="Times New Roman" w:hint="ascii"/>
        </w:rPr>
        <w:t>2</w:t>
      </w:r>
      <w:r>
        <w:rPr>
          <w:rFonts w:ascii="Times New Roman" w:hAnsi="Times New Roman" w:cs="Times New Roman" w:eastAsia="Times New Roman" w:hint="ascii"/>
          <w:spacing w:val="-29"/>
        </w:rPr>
        <w:t xml:space="preserve"> </w:t>
      </w:r>
      <w:r>
        <w:rPr>
          <w:rFonts w:ascii="宋体" w:hAnsi="宋体" w:cs="宋体" w:eastAsia="宋体" w:hint="ascii"/>
        </w:rPr>
        <w:t>个。每个重大项目依托单位和合作</w:t>
      </w:r>
    </w:p>
    <w:p>
      <w:pPr>
        <w:autoSpaceDE w:val="0"/>
        <w:autoSpaceDN w:val="0"/>
        <w:jc w:val="both"/>
        <w:spacing w:before="12" w:after="0" w:lineRule="exact" w:line="355"/>
        <w:ind w:right="975" w:left="966" w:firstLine="0"/>
        <w:snapToGrid w:val="0"/>
        <w:textAlignment w:val="auto"/>
        <w:tabs/>
        <w:rPr>
          <w:rFonts w:ascii="宋体" w:hAnsi="宋体" w:cs="宋体" w:eastAsia="宋体" w:hint="ascii"/>
        </w:rPr>
      </w:pPr>
      <w:r>
        <w:rPr>
          <w:rFonts w:ascii="宋体" w:hAnsi="宋体" w:cs="宋体" w:eastAsia="宋体" w:hint="ascii"/>
        </w:rPr>
        <w:t>研究单位合计不得超</w:t>
      </w:r>
      <w:r>
        <w:rPr>
          <w:rFonts w:ascii="宋体" w:hAnsi="宋体" w:cs="宋体" w:eastAsia="宋体" w:hint="ascii"/>
          <w:spacing w:val="29"/>
        </w:rPr>
        <w:t>过</w:t>
      </w:r>
      <w:r>
        <w:rPr>
          <w:rFonts w:ascii="Times New Roman" w:hAnsi="Times New Roman" w:cs="Times New Roman" w:eastAsia="Times New Roman" w:hint="ascii"/>
        </w:rPr>
        <w:t>5</w:t>
      </w:r>
      <w:r>
        <w:rPr>
          <w:rFonts w:ascii="Times New Roman" w:hAnsi="Times New Roman" w:cs="Times New Roman" w:eastAsia="Times New Roman" w:hint="ascii"/>
          <w:spacing w:val="-30"/>
        </w:rPr>
        <w:t xml:space="preserve"> </w:t>
      </w:r>
      <w:r>
        <w:rPr>
          <w:rFonts w:ascii="宋体" w:hAnsi="宋体" w:cs="宋体" w:eastAsia="宋体" w:hint="ascii"/>
        </w:rPr>
        <w:t>个（部分重大项目的课题设置和合作研究单位数量有具体要求，以相关重大项目指南为准</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4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重大项目（课题）申请人应当具备以下条件：</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）具有承担基础研究课题的经历；</w:t>
      </w:r>
    </w:p>
    <w:p>
      <w:pPr>
        <w:autoSpaceDE w:val="0"/>
        <w:autoSpaceDN w:val="0"/>
        <w:jc w:val="left"/>
        <w:spacing w:before="55"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w:t>
      </w:r>
      <w:r>
        <w:rPr>
          <w:rFonts w:ascii="宋体" w:hAnsi="宋体" w:cs="宋体" w:eastAsia="宋体" w:hint="ascii"/>
          <w:spacing w:val="-60"/>
        </w:rPr>
        <w:t>）</w:t>
      </w:r>
      <w:r>
        <w:rPr>
          <w:rFonts w:ascii="宋体" w:hAnsi="宋体" w:cs="宋体" w:eastAsia="宋体" w:hint="ascii"/>
        </w:rPr>
        <w:t>。</w:t>
      </w:r>
    </w:p>
    <w:p>
      <w:pPr>
        <w:autoSpaceDE w:val="0"/>
        <w:autoSpaceDN w:val="0"/>
        <w:jc w:val="both"/>
        <w:spacing w:before="11" w:after="0" w:lineRule="exact" w:line="356"/>
        <w:ind w:right="975" w:left="966" w:firstLine="480"/>
        <w:snapToGrid w:val="0"/>
        <w:textAlignment w:val="auto"/>
        <w:tabs/>
        <w:rPr>
          <w:rFonts w:ascii="宋体" w:hAnsi="宋体" w:cs="宋体" w:eastAsia="宋体" w:hint="ascii"/>
        </w:rPr>
      </w:pPr>
      <w:r>
        <w:rPr>
          <w:rFonts w:ascii="宋体" w:hAnsi="宋体" w:cs="宋体" w:eastAsia="宋体" w:hint="ascii"/>
        </w:rPr>
        <w:t>在站博士后研究人员、正在攻读研究生学位以及无工作单位或者所在单位不是依托单位的人员不得作为申请人进行申请。</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重大项目的申请人还应当具有较高的学术造诣，在本领域具有较高的影</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响力和较强的凝聚研究队伍能力。</w:t>
      </w:r>
    </w:p>
    <w:p>
      <w:pPr>
        <w:autoSpaceDE w:val="0"/>
        <w:autoSpaceDN w:val="0"/>
        <w:jc w:val="left"/>
        <w:spacing w:before="56"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重大项目的资助期限</w:t>
      </w:r>
      <w:r>
        <w:rPr>
          <w:rFonts w:ascii="宋体" w:hAnsi="宋体" w:cs="宋体" w:eastAsia="宋体" w:hint="ascii"/>
          <w:spacing w:val="30"/>
        </w:rPr>
        <w:t>为</w:t>
      </w:r>
      <w:r>
        <w:rPr>
          <w:rFonts w:ascii="Times New Roman" w:hAnsi="Times New Roman" w:cs="Times New Roman" w:eastAsia="Times New Roman" w:hint="ascii"/>
          <w:spacing w:val="60"/>
        </w:rPr>
        <w:t>5</w:t>
      </w:r>
      <w:r>
        <w:rPr>
          <w:rFonts w:ascii="宋体" w:hAnsi="宋体" w:cs="宋体" w:eastAsia="宋体" w:hint="ascii"/>
        </w:rPr>
        <w:t>年，申请书中的研究期限应填写“</w:t>
      </w:r>
      <w:r>
        <w:rPr>
          <w:rFonts w:ascii="Times New Roman" w:hAnsi="Times New Roman" w:cs="Times New Roman" w:eastAsia="Times New Roman" w:hint="ascii"/>
        </w:rPr>
        <w:t>201</w:t>
      </w:r>
      <w:r>
        <w:rPr>
          <w:rFonts w:ascii="Times New Roman" w:hAnsi="Times New Roman" w:cs="Times New Roman" w:eastAsia="Times New Roman" w:hint="ascii"/>
          <w:spacing w:val="60"/>
        </w:rPr>
        <w:t>9</w:t>
      </w:r>
      <w:r>
        <w:rPr>
          <w:rFonts w:ascii="宋体" w:hAnsi="宋体" w:cs="宋体" w:eastAsia="宋体" w:hint="ascii"/>
          <w:spacing w:val="30"/>
        </w:rPr>
        <w:t>年</w:t>
      </w:r>
      <w:r>
        <w:rPr>
          <w:rFonts w:ascii="Times New Roman" w:hAnsi="Times New Roman" w:cs="Times New Roman" w:eastAsia="Times New Roman" w:hint="ascii"/>
          <w:spacing w:val="60"/>
        </w:rPr>
        <w:t>1</w:t>
      </w:r>
      <w:r>
        <w:rPr>
          <w:rFonts w:ascii="宋体" w:hAnsi="宋体" w:cs="宋体" w:eastAsia="宋体" w:hint="ascii"/>
        </w:rPr>
        <w:t>月</w:t>
      </w:r>
    </w:p>
    <w:p>
      <w:pPr>
        <w:autoSpaceDE w:val="0"/>
        <w:autoSpaceDN w:val="0"/>
        <w:jc w:val="left"/>
        <w:spacing w:before="55" w:after="0" w:lineRule="auto" w:line="240"/>
        <w:ind w:right="0" w:left="1146" w:hanging="180"/>
        <w:snapToGrid w:val="0"/>
        <w:textAlignment w:val="auto"/>
        <w:tabs>
          <w:tab w:val="left" w:leader="none" w:pos="1146"/>
        </w:tabs>
        <w:numPr>
          <w:ilvl w:val="0"/>
          <w:numId w:val="149"/>
        </w:numPr>
        <w:rPr>
          <w:rFonts w:ascii="Times New Roman" w:hAnsi="Times New Roman" w:cs="Times New Roman" w:eastAsia="Times New Roman" w:hint="ascii"/>
          <w:spacing w:val="60"/>
        </w:rPr>
      </w:pPr>
      <w:r>
        <w:rPr>
          <w:rFonts w:ascii="宋体" w:hAnsi="宋体" w:cs="宋体" w:eastAsia="宋体" w:hint="ascii"/>
        </w:rPr>
        <w:t>日</w:t>
      </w:r>
      <w:r>
        <w:rPr>
          <w:rFonts w:ascii="宋体" w:hAnsi="宋体" w:cs="宋体" w:eastAsia="宋体" w:hint="ascii"/>
          <w:spacing w:val="30"/>
        </w:rPr>
        <w:t>至</w:t>
      </w:r>
      <w:r>
        <w:rPr>
          <w:rFonts w:ascii="Times New Roman" w:hAnsi="Times New Roman" w:cs="Times New Roman" w:eastAsia="Times New Roman" w:hint="ascii"/>
        </w:rPr>
        <w:t>202</w:t>
      </w:r>
      <w:r>
        <w:rPr>
          <w:rFonts w:ascii="Times New Roman" w:hAnsi="Times New Roman" w:cs="Times New Roman" w:eastAsia="Times New Roman" w:hint="ascii"/>
          <w:spacing w:val="60"/>
        </w:rPr>
        <w:t>3</w:t>
      </w:r>
      <w:r>
        <w:rPr>
          <w:rFonts w:ascii="宋体" w:hAnsi="宋体" w:cs="宋体" w:eastAsia="宋体" w:hint="ascii"/>
          <w:spacing w:val="30"/>
        </w:rPr>
        <w:t>年</w:t>
      </w:r>
      <w:r>
        <w:rPr>
          <w:rFonts w:ascii="Times New Roman" w:hAnsi="Times New Roman" w:cs="Times New Roman" w:eastAsia="Times New Roman" w:hint="ascii"/>
        </w:rPr>
        <w:t>1</w:t>
      </w:r>
      <w:r>
        <w:rPr>
          <w:rFonts w:ascii="Times New Roman" w:hAnsi="Times New Roman" w:cs="Times New Roman" w:eastAsia="Times New Roman" w:hint="ascii"/>
          <w:spacing w:val="60"/>
        </w:rPr>
        <w:t>2</w:t>
      </w:r>
      <w:r>
        <w:rPr>
          <w:rFonts w:ascii="宋体" w:hAnsi="宋体" w:cs="宋体" w:eastAsia="宋体" w:hint="ascii"/>
          <w:spacing w:val="30"/>
        </w:rPr>
        <w:t>月</w:t>
      </w:r>
      <w:r>
        <w:rPr>
          <w:rFonts w:ascii="Times New Roman" w:hAnsi="Times New Roman" w:cs="Times New Roman" w:eastAsia="Times New Roman" w:hint="ascii"/>
        </w:rPr>
        <w:t>3</w:t>
      </w:r>
      <w:r>
        <w:rPr>
          <w:rFonts w:ascii="Times New Roman" w:hAnsi="Times New Roman" w:cs="Times New Roman" w:eastAsia="Times New Roman" w:hint="ascii"/>
          <w:spacing w:val="60"/>
        </w:rPr>
        <w:t>1</w:t>
      </w:r>
      <w:r>
        <w:rPr>
          <w:rFonts w:ascii="宋体" w:hAnsi="宋体" w:cs="宋体" w:eastAsia="宋体" w:hint="ascii"/>
        </w:rPr>
        <w:t>日</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spacing w:val="3"/>
        </w:rPr>
        <w:t>重大项目的项目申请人应在信息系统中先填写“项目申请书</w:t>
      </w:r>
      <w:r>
        <w:rPr>
          <w:rFonts w:ascii="宋体" w:hAnsi="宋体" w:cs="宋体" w:eastAsia="宋体" w:hint="ascii"/>
          <w:spacing w:val="-57"/>
        </w:rPr>
        <w:t>”</w:t>
      </w:r>
      <w:r>
        <w:rPr>
          <w:rFonts w:ascii="宋体" w:hAnsi="宋体" w:cs="宋体" w:eastAsia="宋体" w:hint="ascii"/>
          <w:spacing w:val="3"/>
        </w:rPr>
        <w:t>，并给</w:t>
      </w:r>
      <w:r>
        <w:rPr>
          <w:rFonts w:ascii="宋体" w:hAnsi="宋体" w:cs="宋体" w:eastAsia="宋体" w:hint="ascii"/>
        </w:rPr>
        <w:t>该</w:t>
      </w:r>
    </w:p>
    <w:p>
      <w:pPr>
        <w:autoSpaceDE w:val="0"/>
        <w:autoSpaceDN w:val="0"/>
        <w:jc w:val="both"/>
        <w:spacing w:before="12" w:after="0" w:lineRule="exact" w:line="355"/>
        <w:ind w:right="975" w:left="966" w:firstLine="0"/>
        <w:snapToGrid w:val="0"/>
        <w:textAlignment w:val="auto"/>
        <w:tabs/>
        <w:rPr>
          <w:rFonts w:ascii="宋体" w:hAnsi="宋体" w:cs="宋体" w:eastAsia="宋体" w:hint="ascii"/>
        </w:rPr>
      </w:pPr>
      <w:r>
        <w:rPr>
          <w:rFonts w:ascii="宋体" w:hAnsi="宋体" w:cs="宋体" w:eastAsia="宋体" w:hint="ascii"/>
        </w:rPr>
        <w:t>重大项目课题申请人赋予课题申请权限，未经赋权的课题申请人将无法提交申请。</w:t>
      </w:r>
    </w:p>
    <w:p>
      <w:pPr>
        <w:autoSpaceDE w:val="0"/>
        <w:autoSpaceDN w:val="0"/>
        <w:jc w:val="left"/>
        <w:spacing w:before="4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申请人应当按照重大项目申请书撰写提纲撰写申请书，申请书的资助类</w:t>
      </w:r>
    </w:p>
    <w:p>
      <w:pPr>
        <w:autoSpaceDE w:val="0"/>
        <w:autoSpaceDN w:val="0"/>
        <w:jc w:val="both"/>
        <w:spacing w:before="12" w:after="0" w:lineRule="exact" w:line="355"/>
        <w:ind w:right="975" w:left="966" w:firstLine="0"/>
        <w:snapToGrid w:val="0"/>
        <w:textAlignment w:val="auto"/>
        <w:tabs/>
        <w:rPr>
          <w:rFonts w:ascii="宋体" w:hAnsi="宋体" w:cs="宋体" w:eastAsia="宋体" w:hint="ascii"/>
        </w:rPr>
      </w:pPr>
      <w:r>
        <w:rPr>
          <w:rFonts w:ascii="宋体" w:hAnsi="宋体" w:cs="宋体" w:eastAsia="宋体" w:hint="ascii"/>
        </w:rPr>
        <w:t>别选择“重大项目</w:t>
      </w:r>
      <w:r>
        <w:rPr>
          <w:rFonts w:ascii="宋体" w:hAnsi="宋体" w:cs="宋体" w:eastAsia="宋体" w:hint="ascii"/>
          <w:spacing w:val="-60"/>
        </w:rPr>
        <w:t>”</w:t>
      </w:r>
      <w:r>
        <w:rPr>
          <w:rFonts w:ascii="宋体" w:hAnsi="宋体" w:cs="宋体" w:eastAsia="宋体" w:hint="ascii"/>
        </w:rPr>
        <w:t>，亚类说明选择“项目申请书”或“课题申请书</w:t>
      </w:r>
      <w:r>
        <w:rPr>
          <w:rFonts w:ascii="宋体" w:hAnsi="宋体" w:cs="宋体" w:eastAsia="宋体" w:hint="ascii"/>
          <w:spacing w:val="-60"/>
        </w:rPr>
        <w:t>”</w:t>
      </w:r>
      <w:r>
        <w:rPr>
          <w:rFonts w:ascii="宋体" w:hAnsi="宋体" w:cs="宋体" w:eastAsia="宋体" w:hint="ascii"/>
        </w:rPr>
        <w:t>，附注说明选择相关的重大项目名称，根据申请的具体研究内容选择相应的申请代</w:t>
      </w:r>
    </w:p>
    <w:p>
      <w:pPr>
        <w:autoSpaceDE w:val="0"/>
        <w:autoSpaceDN w:val="0"/>
        <w:jc w:val="left"/>
        <w:spacing w:before="607"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大 项 目</w:t>
      </w:r>
    </w:p>
    <w:p>
      <w:pPr>
        <w:autoSpaceDE w:val="0"/>
        <w:autoSpaceDN w:val="0"/>
        <w:jc w:val="left"/>
        <w:spacing w:before="26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码（部分重大项目有具体要求的，按照相关重大项目指南要求填写</w:t>
      </w:r>
      <w:r>
        <w:rPr>
          <w:rFonts w:ascii="宋体" w:hAnsi="宋体" w:cs="宋体" w:eastAsia="宋体" w:hint="ascii"/>
          <w:spacing w:val="-60"/>
        </w:rPr>
        <w:t>）</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184" locked="0" layoutInCell="1" allowOverlap="1">
                <wp:simplePos x="0" y="0"/>
                <wp:positionH relativeFrom="page">
                  <wp:posOffset>938530</wp:posOffset>
                </wp:positionH>
                <wp:positionV relativeFrom="page">
                  <wp:posOffset>819150</wp:posOffset>
                </wp:positionV>
                <wp:extent cx="5076190" cy="0"/>
                <wp:wrapNone/>
                <wp:docPr id="1213" name="121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69824;width:399.70pt;" id="121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1" w:after="0" w:lineRule="exact" w:line="356"/>
        <w:ind w:right="962" w:left="846" w:firstLine="480"/>
        <w:snapToGrid w:val="0"/>
        <w:textAlignment w:val="auto"/>
        <w:tabs/>
        <w:rPr>
          <w:rFonts w:ascii="宋体" w:hAnsi="宋体" w:cs="宋体" w:eastAsia="宋体" w:hint="ascii"/>
        </w:rPr>
      </w:pPr>
      <w:r>
        <w:rPr>
          <w:rFonts w:ascii="宋体" w:hAnsi="宋体" w:cs="宋体" w:eastAsia="宋体" w:hint="ascii"/>
          <w:spacing w:val="1"/>
        </w:rPr>
        <w:t>“项目申请书”和“课题申请书”应当通过各自的依托单位提</w:t>
      </w:r>
      <w:r>
        <w:rPr>
          <w:rFonts w:ascii="宋体" w:hAnsi="宋体" w:cs="宋体" w:eastAsia="宋体" w:hint="ascii"/>
          <w:spacing w:val="2"/>
        </w:rPr>
        <w:t>交。其</w:t>
      </w:r>
      <w:r>
        <w:rPr>
          <w:rFonts w:ascii="宋体" w:hAnsi="宋体" w:cs="宋体" w:eastAsia="宋体" w:hint="ascii"/>
          <w:spacing w:val="-1"/>
        </w:rPr>
        <w:t>中</w:t>
      </w:r>
      <w:r>
        <w:rPr>
          <w:rFonts w:ascii="宋体" w:hAnsi="宋体" w:cs="宋体" w:eastAsia="宋体" w:hint="ascii"/>
        </w:rPr>
        <w:t xml:space="preserve"> “课题申请书”必须先于“项目申请书”提交</w:t>
      </w:r>
      <w:r>
        <w:rPr>
          <w:rFonts w:ascii="宋体" w:hAnsi="宋体" w:cs="宋体" w:eastAsia="宋体" w:hint="ascii"/>
          <w:spacing w:val="-59"/>
        </w:rPr>
        <w:t>，</w:t>
      </w:r>
      <w:r>
        <w:rPr>
          <w:rFonts w:ascii="宋体" w:hAnsi="宋体" w:cs="宋体" w:eastAsia="宋体" w:hint="ascii"/>
        </w:rPr>
        <w:t>“项目申请书”待全部“课题</w:t>
      </w:r>
    </w:p>
    <w:p>
      <w:pPr>
        <w:autoSpaceDE w:val="0"/>
        <w:autoSpaceDN w:val="0"/>
        <w:jc w:val="left"/>
        <w:spacing w:before="44"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申请书”提交完毕并确认生成项目总预算表无误后再行提交。</w:t>
      </w:r>
    </w:p>
    <w:p>
      <w:pPr>
        <w:autoSpaceDE w:val="0"/>
        <w:autoSpaceDN w:val="0"/>
        <w:jc w:val="left"/>
        <w:spacing w:before="56" w:after="0" w:lineRule="auto" w:line="240"/>
        <w:ind w:right="0" w:left="966" w:firstLine="480"/>
        <w:snapToGrid w:val="0"/>
        <w:textAlignment w:val="auto"/>
        <w:tabs>
          <w:tab w:val="left" w:leader="none" w:pos="1986"/>
        </w:tabs>
        <w:numPr>
          <w:ilvl w:val="0"/>
          <w:numId w:val="120"/>
        </w:numPr>
        <w:rPr>
          <w:rFonts w:ascii="Times New Roman" w:hAnsi="Times New Roman" w:cs="Times New Roman" w:eastAsia="Times New Roman" w:hint="ascii"/>
        </w:rPr>
      </w:pPr>
      <w:r>
        <w:rPr>
          <w:rFonts w:ascii="宋体" w:hAnsi="宋体" w:cs="宋体" w:eastAsia="宋体" w:hint="ascii"/>
        </w:rPr>
        <w:t>年度再次公布“十三五”期间第二</w:t>
      </w:r>
      <w:r>
        <w:rPr>
          <w:rFonts w:ascii="宋体" w:hAnsi="宋体" w:cs="宋体" w:eastAsia="宋体" w:hint="ascii"/>
          <w:spacing w:val="30"/>
        </w:rPr>
        <w:t>批</w:t>
      </w:r>
      <w:r>
        <w:rPr>
          <w:rFonts w:ascii="Times New Roman" w:hAnsi="Times New Roman" w:cs="Times New Roman" w:eastAsia="Times New Roman" w:hint="ascii"/>
          <w:spacing w:val="60"/>
        </w:rPr>
        <w:t>2</w:t>
      </w:r>
      <w:r>
        <w:rPr>
          <w:rFonts w:ascii="宋体" w:hAnsi="宋体" w:cs="宋体" w:eastAsia="宋体" w:hint="ascii"/>
        </w:rPr>
        <w:t>个重大项目指南，申请人应</w:t>
      </w:r>
    </w:p>
    <w:p>
      <w:pPr>
        <w:autoSpaceDE w:val="0"/>
        <w:autoSpaceDN w:val="0"/>
        <w:jc w:val="both"/>
        <w:spacing w:before="20" w:after="0" w:lineRule="exact" w:line="355"/>
        <w:ind w:right="962" w:left="966" w:firstLine="0"/>
        <w:snapToGrid w:val="0"/>
        <w:textAlignment w:val="auto"/>
        <w:tabs/>
        <w:rPr>
          <w:rFonts w:ascii="宋体" w:hAnsi="宋体" w:cs="宋体" w:eastAsia="宋体" w:hint="ascii"/>
        </w:rPr>
      </w:pPr>
      <w:r>
        <w:rPr>
          <w:rFonts w:ascii="宋体" w:hAnsi="宋体" w:cs="宋体" w:eastAsia="宋体" w:hint="ascii"/>
        </w:rPr>
        <w:t>当根据《指南》要求，凝练具有基础性和前瞻性的关键科学问题。申请项目要求科学目标明确、集中，学科交叉性强，并注意与国家其他科技计划项目的协调与衔接；研究队伍应当具备较好的研究工作积累、研究条件和创新研究能力，有一批高水平的学术带头人。</w:t>
      </w:r>
    </w:p>
    <w:p>
      <w:pPr>
        <w:autoSpaceDE w:val="0"/>
        <w:autoSpaceDN w:val="0"/>
        <w:jc w:val="left"/>
        <w:spacing w:before="47"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“十三五”第三批重大项目指南将另行发布。</w:t>
      </w:r>
    </w:p>
    <w:p>
      <w:pPr>
        <w:autoSpaceDE w:val="0"/>
        <w:autoSpaceDN w:val="0"/>
        <w:jc w:val="left"/>
        <w:spacing w:before="8929" w:after="0" w:lineRule="exact" w:line="225"/>
        <w:ind w:right="0" w:left="8338"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65" w:after="0" w:lineRule="exact" w:line="475"/>
        <w:ind w:right="0" w:left="1293" w:firstLine="0"/>
        <w:snapToGrid w:val="0"/>
        <w:textAlignment w:val="auto"/>
        <w:tabs/>
        <w:rPr>
          <w:rFonts w:ascii="宋体" w:hAnsi="宋体" w:cs="宋体" w:eastAsia="宋体" w:hint="ascii"/>
          <w:sz w:val="38"/>
        </w:rPr>
      </w:pPr>
      <w:r>
        <w:rPr>
          <w:rFonts w:ascii="宋体" w:hAnsi="宋体" w:cs="宋体" w:eastAsia="宋体" w:hint="ascii"/>
          <w:sz w:val="38"/>
        </w:rPr>
        <w:t>面向能源相关小分子活化</w:t>
      </w:r>
      <w:r>
        <w:rPr>
          <w:rFonts w:ascii="宋体" w:hAnsi="宋体" w:cs="宋体" w:eastAsia="宋体" w:hint="ascii"/>
          <w:sz w:val="38"/>
          <w:spacing w:val="-85"/>
        </w:rPr>
        <w:t>/</w:t>
      </w:r>
      <w:r>
        <w:rPr>
          <w:rFonts w:ascii="宋体" w:hAnsi="宋体" w:cs="宋体" w:eastAsia="宋体" w:hint="ascii"/>
          <w:sz w:val="38"/>
        </w:rPr>
        <w:t>转化的多孔配合物</w:t>
      </w:r>
      <w:r>
        <w:rPr>
          <w:rFonts w:ascii="宋体" w:hAnsi="宋体" w:cs="宋体" w:eastAsia="宋体" w:hint="ascii"/>
          <w:sz w:val="38"/>
        </w:rPr>
        <mc:AlternateContent>
          <mc:Choice Requires="wps">
            <w:drawing>
              <wp:anchor distL="0" distR="0" distT="0" distB="0" simplePos="0" behindDoc="1" relativeHeight="185" locked="0" layoutInCell="1" allowOverlap="1">
                <wp:simplePos x="0" y="0"/>
                <wp:positionH relativeFrom="page">
                  <wp:posOffset>938530</wp:posOffset>
                </wp:positionH>
                <wp:positionV relativeFrom="page">
                  <wp:posOffset>805815</wp:posOffset>
                </wp:positionV>
                <wp:extent cx="5076190" cy="0"/>
                <wp:wrapNone/>
                <wp:docPr id="1214" name="121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68800;width:399.70pt;" id="121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33"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本重大项</w:t>
      </w:r>
      <w:r>
        <w:rPr>
          <w:rFonts w:ascii="宋体" w:hAnsi="宋体" w:cs="宋体" w:eastAsia="宋体" w:hint="ascii"/>
          <w:sz w:val="21"/>
        </w:rPr>
        <w:t>目</w:t>
      </w:r>
      <w:r>
        <w:rPr>
          <w:rFonts w:ascii="宋体" w:hAnsi="宋体" w:cs="宋体" w:eastAsia="宋体" w:hint="ascii"/>
          <w:sz w:val="21"/>
          <w:spacing w:val="3"/>
        </w:rPr>
        <w:t>融合化学</w:t>
      </w:r>
      <w:r>
        <w:rPr>
          <w:rFonts w:ascii="宋体" w:hAnsi="宋体" w:cs="宋体" w:eastAsia="宋体" w:hint="ascii"/>
          <w:sz w:val="21"/>
        </w:rPr>
        <w:t>、</w:t>
      </w:r>
      <w:r>
        <w:rPr>
          <w:rFonts w:ascii="宋体" w:hAnsi="宋体" w:cs="宋体" w:eastAsia="宋体" w:hint="ascii"/>
          <w:sz w:val="21"/>
          <w:spacing w:val="3"/>
        </w:rPr>
        <w:t>材料学、</w:t>
      </w:r>
      <w:r>
        <w:rPr>
          <w:rFonts w:ascii="宋体" w:hAnsi="宋体" w:cs="宋体" w:eastAsia="宋体" w:hint="ascii"/>
          <w:sz w:val="21"/>
        </w:rPr>
        <w:t>纳</w:t>
      </w:r>
      <w:r>
        <w:rPr>
          <w:rFonts w:ascii="宋体" w:hAnsi="宋体" w:cs="宋体" w:eastAsia="宋体" w:hint="ascii"/>
          <w:sz w:val="21"/>
          <w:spacing w:val="3"/>
        </w:rPr>
        <w:t>米科学等</w:t>
      </w:r>
      <w:r>
        <w:rPr>
          <w:rFonts w:ascii="宋体" w:hAnsi="宋体" w:cs="宋体" w:eastAsia="宋体" w:hint="ascii"/>
          <w:sz w:val="21"/>
        </w:rPr>
        <w:t>学</w:t>
      </w:r>
      <w:r>
        <w:rPr>
          <w:rFonts w:ascii="宋体" w:hAnsi="宋体" w:cs="宋体" w:eastAsia="宋体" w:hint="ascii"/>
          <w:sz w:val="21"/>
          <w:spacing w:val="3"/>
        </w:rPr>
        <w:t>科的理论</w:t>
      </w:r>
      <w:r>
        <w:rPr>
          <w:rFonts w:ascii="宋体" w:hAnsi="宋体" w:cs="宋体" w:eastAsia="宋体" w:hint="ascii"/>
          <w:sz w:val="21"/>
        </w:rPr>
        <w:t>与</w:t>
      </w:r>
      <w:r>
        <w:rPr>
          <w:rFonts w:ascii="宋体" w:hAnsi="宋体" w:cs="宋体" w:eastAsia="宋体" w:hint="ascii"/>
          <w:sz w:val="21"/>
          <w:spacing w:val="3"/>
        </w:rPr>
        <w:t>方法，引</w:t>
      </w:r>
      <w:r>
        <w:rPr>
          <w:rFonts w:ascii="宋体" w:hAnsi="宋体" w:cs="宋体" w:eastAsia="宋体" w:hint="ascii"/>
          <w:sz w:val="21"/>
        </w:rPr>
        <w:t>入</w:t>
      </w:r>
      <w:r>
        <w:rPr>
          <w:rFonts w:ascii="宋体" w:hAnsi="宋体" w:cs="宋体" w:eastAsia="宋体" w:hint="ascii"/>
          <w:sz w:val="21"/>
          <w:spacing w:val="3"/>
        </w:rPr>
        <w:t>新概念</w:t>
      </w:r>
      <w:r>
        <w:rPr>
          <w:rFonts w:ascii="宋体" w:hAnsi="宋体" w:cs="宋体" w:eastAsia="宋体" w:hint="ascii"/>
          <w:sz w:val="21"/>
          <w:spacing w:val="4"/>
        </w:rPr>
        <w:t>，</w:t>
      </w:r>
      <w:r>
        <w:rPr>
          <w:rFonts w:ascii="宋体" w:hAnsi="宋体" w:cs="宋体" w:eastAsia="宋体" w:hint="ascii"/>
          <w:sz w:val="21"/>
        </w:rPr>
        <w:t>提</w:t>
      </w:r>
    </w:p>
    <w:p>
      <w:pPr>
        <w:autoSpaceDE w:val="0"/>
        <w:autoSpaceDN w:val="0"/>
        <w:jc w:val="both"/>
        <w:spacing w:before="15" w:after="0" w:lineRule="exact" w:line="331"/>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出新策略，创制新型</w:t>
      </w:r>
      <w:r>
        <w:rPr>
          <w:rFonts w:ascii="宋体" w:hAnsi="宋体" w:cs="宋体" w:eastAsia="宋体" w:hint="ascii"/>
          <w:sz w:val="21"/>
        </w:rPr>
        <w:t>多孔配合物，发展高效、绿色的新型催化体系，实现与能源相</w:t>
      </w:r>
      <w:r>
        <w:rPr>
          <w:rFonts w:ascii="宋体" w:hAnsi="宋体" w:cs="宋体" w:eastAsia="宋体" w:hint="ascii"/>
          <w:sz w:val="21"/>
          <w:spacing w:val="-6"/>
        </w:rPr>
        <w:t>关</w:t>
      </w:r>
      <w:r>
        <w:rPr>
          <w:rFonts w:ascii="宋体" w:hAnsi="宋体" w:cs="宋体" w:eastAsia="宋体" w:hint="ascii"/>
          <w:sz w:val="21"/>
          <w:spacing w:val="3"/>
        </w:rPr>
        <w:t>的</w:t>
      </w:r>
      <w:r>
        <w:rPr>
          <w:rFonts w:ascii="宋体" w:hAnsi="宋体" w:cs="宋体" w:eastAsia="宋体" w:hint="ascii"/>
          <w:sz w:val="21"/>
        </w:rPr>
        <w:t>甲</w:t>
      </w:r>
      <w:r>
        <w:rPr>
          <w:rFonts w:ascii="宋体" w:hAnsi="宋体" w:cs="宋体" w:eastAsia="宋体" w:hint="ascii"/>
          <w:sz w:val="21"/>
          <w:spacing w:val="3"/>
        </w:rPr>
        <w:t>烷</w:t>
      </w:r>
      <w:r>
        <w:rPr>
          <w:rFonts w:ascii="宋体" w:hAnsi="宋体" w:cs="宋体" w:eastAsia="宋体" w:hint="ascii"/>
          <w:sz w:val="21"/>
        </w:rPr>
        <w:t>和二</w:t>
      </w:r>
      <w:r>
        <w:rPr>
          <w:rFonts w:ascii="宋体" w:hAnsi="宋体" w:cs="宋体" w:eastAsia="宋体" w:hint="ascii"/>
          <w:sz w:val="21"/>
          <w:spacing w:val="3"/>
        </w:rPr>
        <w:t>氧</w:t>
      </w:r>
      <w:r>
        <w:rPr>
          <w:rFonts w:ascii="宋体" w:hAnsi="宋体" w:cs="宋体" w:eastAsia="宋体" w:hint="ascii"/>
          <w:sz w:val="21"/>
        </w:rPr>
        <w:t>化</w:t>
      </w:r>
      <w:r>
        <w:rPr>
          <w:rFonts w:ascii="宋体" w:hAnsi="宋体" w:cs="宋体" w:eastAsia="宋体" w:hint="ascii"/>
          <w:sz w:val="21"/>
          <w:spacing w:val="3"/>
        </w:rPr>
        <w:t>碳等</w:t>
      </w:r>
      <w:r>
        <w:rPr>
          <w:rFonts w:ascii="宋体" w:hAnsi="宋体" w:cs="宋体" w:eastAsia="宋体" w:hint="ascii"/>
          <w:sz w:val="21"/>
        </w:rPr>
        <w:t>小分子活化与转化，推动精准化学的创新发展，满足可持续发展需求。</w:t>
      </w:r>
    </w:p>
    <w:p>
      <w:pPr>
        <w:autoSpaceDE w:val="0"/>
        <w:autoSpaceDN w:val="0"/>
        <w:jc w:val="left"/>
        <w:spacing w:before="198"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一、科学目标</w:t>
      </w:r>
    </w:p>
    <w:p>
      <w:pPr>
        <w:autoSpaceDE w:val="0"/>
        <w:autoSpaceDN w:val="0"/>
        <w:jc w:val="both"/>
        <w:spacing w:before="189" w:after="0" w:lineRule="exact" w:line="331"/>
        <w:ind w:right="974" w:left="966" w:firstLine="420"/>
        <w:snapToGrid w:val="0"/>
        <w:textAlignment w:val="auto"/>
        <w:tabs/>
        <w:rPr>
          <w:rFonts w:ascii="宋体" w:hAnsi="宋体" w:cs="宋体" w:eastAsia="宋体" w:hint="ascii"/>
          <w:sz w:val="21"/>
        </w:rPr>
      </w:pPr>
      <w:r>
        <w:rPr>
          <w:rFonts w:ascii="宋体" w:hAnsi="宋体" w:cs="宋体" w:eastAsia="宋体" w:hint="ascii"/>
          <w:sz w:val="21"/>
        </w:rPr>
        <w:t>本项目拟创制具有高活性、高选择性、高稳定性的多孔配合物材料，发展针对</w:t>
      </w:r>
      <w:r>
        <w:rPr>
          <w:rFonts w:ascii="宋体" w:hAnsi="宋体" w:cs="宋体" w:eastAsia="宋体" w:hint="ascii"/>
          <w:sz w:val="21"/>
          <w:spacing w:val="-6"/>
        </w:rPr>
        <w:t>甲</w:t>
      </w:r>
      <w:r>
        <w:rPr>
          <w:rFonts w:ascii="宋体" w:hAnsi="宋体" w:cs="宋体" w:eastAsia="宋体" w:hint="ascii"/>
          <w:sz w:val="21"/>
        </w:rPr>
        <w:t xml:space="preserve"> </w:t>
      </w:r>
      <w:r>
        <w:rPr>
          <w:rFonts w:ascii="宋体" w:hAnsi="宋体" w:cs="宋体" w:eastAsia="宋体" w:hint="ascii"/>
          <w:sz w:val="21"/>
          <w:spacing w:val="-1"/>
        </w:rPr>
        <w:t>烷、二</w:t>
      </w:r>
      <w:r>
        <w:rPr>
          <w:rFonts w:ascii="宋体" w:hAnsi="宋体" w:cs="宋体" w:eastAsia="宋体" w:hint="ascii"/>
          <w:sz w:val="21"/>
        </w:rPr>
        <w:t>氧化碳等能源相关小分子活化与转化的新路线并建立新方法，取得若干具有我国</w:t>
      </w:r>
      <w:r>
        <w:rPr>
          <w:rFonts w:ascii="宋体" w:hAnsi="宋体" w:cs="宋体" w:eastAsia="宋体" w:hint="ascii"/>
          <w:sz w:val="21"/>
          <w:spacing w:val="-2"/>
        </w:rPr>
        <w:t>自主知识产权的代表性成果，力争实现</w:t>
      </w:r>
      <w:r>
        <w:rPr>
          <w:rFonts w:ascii="宋体" w:hAnsi="宋体" w:cs="宋体" w:eastAsia="宋体" w:hint="ascii"/>
          <w:sz w:val="21"/>
          <w:spacing w:val="-1"/>
        </w:rPr>
        <w:t xml:space="preserve"> </w:t>
      </w:r>
      <w:r>
        <w:rPr>
          <w:rFonts w:ascii="Times New Roman" w:hAnsi="Times New Roman" w:cs="Times New Roman" w:eastAsia="Times New Roman" w:hint="ascii"/>
          <w:sz w:val="21"/>
          <w:spacing w:val="-1"/>
        </w:rPr>
        <w:t>1</w:t>
      </w:r>
      <w:r>
        <w:rPr>
          <w:rFonts w:ascii="宋体" w:hAnsi="宋体" w:cs="宋体" w:eastAsia="宋体" w:hint="ascii"/>
          <w:sz w:val="21"/>
          <w:spacing w:val="-1"/>
        </w:rPr>
        <w:t>～</w:t>
      </w:r>
      <w:r>
        <w:rPr>
          <w:rFonts w:ascii="Times New Roman" w:hAnsi="Times New Roman" w:cs="Times New Roman" w:eastAsia="Times New Roman" w:hint="ascii"/>
          <w:sz w:val="21"/>
          <w:spacing w:val="-1"/>
        </w:rPr>
        <w:t xml:space="preserve">2 </w:t>
      </w:r>
      <w:r>
        <w:rPr>
          <w:rFonts w:ascii="宋体" w:hAnsi="宋体" w:cs="宋体" w:eastAsia="宋体" w:hint="ascii"/>
          <w:sz w:val="21"/>
          <w:spacing w:val="-1"/>
        </w:rPr>
        <w:t>种高效催化体系的工业化应用，引领国际</w:t>
      </w:r>
      <w:r>
        <w:rPr>
          <w:rFonts w:ascii="宋体" w:hAnsi="宋体" w:cs="宋体" w:eastAsia="宋体" w:hint="ascii"/>
          <w:sz w:val="21"/>
        </w:rPr>
        <w:t xml:space="preserve"> 上该领域的发展。</w:t>
      </w:r>
    </w:p>
    <w:p>
      <w:pPr>
        <w:autoSpaceDE w:val="0"/>
        <w:autoSpaceDN w:val="0"/>
        <w:jc w:val="left"/>
        <w:spacing w:before="198"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二、研究内容</w:t>
      </w:r>
    </w:p>
    <w:p>
      <w:pPr>
        <w:autoSpaceDE w:val="0"/>
        <w:autoSpaceDN w:val="0"/>
        <w:jc w:val="left"/>
        <w:spacing w:before="244" w:after="0" w:lineRule="auto" w:line="240"/>
        <w:ind w:right="0" w:left="1649" w:hanging="263"/>
        <w:snapToGrid w:val="0"/>
        <w:textAlignment w:val="auto"/>
        <w:tabs>
          <w:tab w:val="left" w:leader="none" w:pos="1648"/>
        </w:tabs>
        <w:numPr>
          <w:ilvl w:val="0"/>
          <w:numId w:val="150"/>
        </w:numPr>
        <w:rPr>
          <w:rFonts w:ascii="Times New Roman" w:hAnsi="Times New Roman" w:cs="Times New Roman" w:eastAsia="Times New Roman" w:hint="ascii"/>
          <w:sz w:val="21"/>
        </w:rPr>
      </w:pPr>
      <w:r>
        <w:rPr>
          <w:rFonts w:ascii="宋体" w:hAnsi="宋体" w:cs="宋体" w:eastAsia="宋体" w:hint="ascii"/>
          <w:sz w:val="21"/>
        </w:rPr>
        <w:t>针</w:t>
      </w:r>
      <w:r>
        <w:rPr>
          <w:rFonts w:ascii="宋体" w:hAnsi="宋体" w:cs="宋体" w:eastAsia="宋体" w:hint="ascii"/>
          <w:sz w:val="21"/>
          <w:spacing w:val="27"/>
        </w:rPr>
        <w:t>对</w:t>
      </w:r>
      <w:r>
        <w:rPr>
          <w:rFonts w:ascii="Times New Roman" w:hAnsi="Times New Roman" w:cs="Times New Roman" w:eastAsia="Times New Roman" w:hint="ascii"/>
          <w:b w:val="1"/>
          <w:sz w:val="21"/>
        </w:rPr>
        <w:t>CH</w:t>
      </w:r>
      <w:r>
        <w:rPr>
          <w:rFonts w:ascii="Times New Roman" w:hAnsi="Times New Roman" w:cs="Times New Roman" w:eastAsia="Times New Roman" w:hint="ascii"/>
          <w:b w:val="1"/>
          <w:sz w:val="21"/>
          <w:vertAlign w:val="subscript"/>
          <w:spacing w:val="34"/>
        </w:rPr>
        <w:t>4</w:t>
      </w:r>
      <w:r>
        <w:rPr>
          <w:rFonts w:ascii="宋体" w:hAnsi="宋体" w:cs="宋体" w:eastAsia="宋体" w:hint="ascii"/>
          <w:sz w:val="21"/>
        </w:rPr>
        <w:t>催化与转化的多孔配合物</w:t>
      </w:r>
    </w:p>
    <w:p>
      <w:pPr>
        <w:autoSpaceDE w:val="0"/>
        <w:autoSpaceDN w:val="0"/>
        <w:jc w:val="left"/>
        <w:spacing w:before="7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设计、合成新型多孔配合物、纳米粒子</w:t>
      </w:r>
      <w:r>
        <w:rPr>
          <w:rFonts w:ascii="宋体" w:hAnsi="宋体" w:cs="宋体" w:eastAsia="宋体" w:hint="ascii"/>
          <w:sz w:val="21"/>
        </w:rPr>
        <w:t>-</w:t>
      </w:r>
      <w:r>
        <w:rPr>
          <w:rFonts w:ascii="宋体" w:hAnsi="宋体" w:cs="宋体" w:eastAsia="宋体" w:hint="ascii"/>
          <w:sz w:val="21"/>
        </w:rPr>
        <w:t>多孔配合物杂化材料，通过协同限域空间</w:t>
      </w:r>
    </w:p>
    <w:p>
      <w:pPr>
        <w:autoSpaceDE w:val="0"/>
        <w:autoSpaceDN w:val="0"/>
        <w:jc w:val="left"/>
        <w:spacing w:before="70" w:after="0" w:lineRule="exact" w:line="263"/>
        <w:ind w:right="0" w:left="96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超分子作用与高活性催化位点的配置，解决惰性</w:t>
      </w:r>
      <w:r>
        <w:rPr>
          <w:rFonts w:ascii="宋体" w:hAnsi="宋体" w:cs="宋体" w:eastAsia="宋体" w:hint="ascii"/>
          <w:sz w:val="21"/>
          <w:spacing w:val="-17"/>
        </w:rPr>
        <w:t xml:space="preserve"> </w:t>
      </w:r>
      <w:r>
        <w:rPr>
          <w:rFonts w:ascii="Times New Roman" w:hAnsi="Times New Roman" w:cs="Times New Roman" w:eastAsia="Times New Roman" w:hint="ascii"/>
          <w:sz w:val="21"/>
        </w:rPr>
        <w:t>C</w:t>
      </w:r>
      <w:r>
        <w:rPr>
          <w:rFonts w:ascii="宋体" w:hAnsi="宋体" w:cs="宋体" w:eastAsia="宋体" w:hint="ascii"/>
          <w:sz w:val="21"/>
        </w:rPr>
        <w:t>—</w:t>
      </w:r>
      <w:r>
        <w:rPr>
          <w:rFonts w:ascii="Times New Roman" w:hAnsi="Times New Roman" w:cs="Times New Roman" w:eastAsia="Times New Roman" w:hint="ascii"/>
          <w:sz w:val="21"/>
        </w:rPr>
        <w:t>H</w:t>
      </w:r>
      <w:r>
        <w:rPr>
          <w:rFonts w:ascii="Times New Roman" w:hAnsi="Times New Roman" w:cs="Times New Roman" w:eastAsia="Times New Roman" w:hint="ascii"/>
          <w:sz w:val="21"/>
          <w:spacing w:val="-18"/>
        </w:rPr>
        <w:t xml:space="preserve"> </w:t>
      </w:r>
      <w:r>
        <w:rPr>
          <w:rFonts w:ascii="宋体" w:hAnsi="宋体" w:cs="宋体" w:eastAsia="宋体" w:hint="ascii"/>
          <w:sz w:val="21"/>
        </w:rPr>
        <w:t>键的活化难题并构建新的</w:t>
      </w:r>
      <w:r>
        <w:rPr>
          <w:rFonts w:ascii="宋体" w:hAnsi="宋体" w:cs="宋体" w:eastAsia="宋体" w:hint="ascii"/>
          <w:sz w:val="21"/>
          <w:spacing w:val="-17"/>
        </w:rPr>
        <w:t xml:space="preserve"> </w:t>
      </w:r>
      <w:r>
        <w:rPr>
          <w:rFonts w:ascii="Times New Roman" w:hAnsi="Times New Roman" w:cs="Times New Roman" w:eastAsia="Times New Roman" w:hint="ascii"/>
          <w:sz w:val="21"/>
        </w:rPr>
        <w:t>C</w:t>
      </w:r>
      <w:r>
        <w:rPr>
          <w:rFonts w:ascii="宋体" w:hAnsi="宋体" w:cs="宋体" w:eastAsia="宋体" w:hint="ascii"/>
          <w:sz w:val="21"/>
        </w:rPr>
        <w:t>—</w:t>
      </w:r>
      <w:r>
        <w:rPr>
          <w:rFonts w:ascii="Times New Roman" w:hAnsi="Times New Roman" w:cs="Times New Roman" w:eastAsia="Times New Roman" w:hint="ascii"/>
          <w:sz w:val="21"/>
        </w:rPr>
        <w:t>C/</w:t>
      </w:r>
    </w:p>
    <w:p>
      <w:pPr>
        <w:autoSpaceDE w:val="0"/>
        <w:autoSpaceDN w:val="0"/>
        <w:jc w:val="left"/>
        <w:spacing w:before="69"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C</w:t>
      </w:r>
      <w:r>
        <w:rPr>
          <w:rFonts w:ascii="宋体" w:hAnsi="宋体" w:cs="宋体" w:eastAsia="宋体" w:hint="ascii"/>
          <w:sz w:val="21"/>
        </w:rPr>
        <w:t>─</w:t>
      </w:r>
      <w:r>
        <w:rPr>
          <w:rFonts w:ascii="Times New Roman" w:hAnsi="Times New Roman" w:cs="Times New Roman" w:eastAsia="Times New Roman" w:hint="ascii"/>
          <w:sz w:val="21"/>
          <w:spacing w:val="51"/>
        </w:rPr>
        <w:t>O</w:t>
      </w:r>
      <w:r>
        <w:rPr>
          <w:rFonts w:ascii="宋体" w:hAnsi="宋体" w:cs="宋体" w:eastAsia="宋体" w:hint="ascii"/>
          <w:sz w:val="21"/>
        </w:rPr>
        <w:t>键，实</w:t>
      </w:r>
      <w:r>
        <w:rPr>
          <w:rFonts w:ascii="宋体" w:hAnsi="宋体" w:cs="宋体" w:eastAsia="宋体" w:hint="ascii"/>
          <w:sz w:val="21"/>
          <w:spacing w:val="26"/>
        </w:rPr>
        <w:t>现</w:t>
      </w:r>
      <w:r>
        <w:rPr>
          <w:rFonts w:ascii="Times New Roman" w:hAnsi="Times New Roman" w:cs="Times New Roman" w:eastAsia="Times New Roman" w:hint="ascii"/>
          <w:sz w:val="21"/>
        </w:rPr>
        <w:t>CH</w:t>
      </w:r>
      <w:r>
        <w:rPr>
          <w:rFonts w:ascii="Times New Roman" w:hAnsi="Times New Roman" w:cs="Times New Roman" w:eastAsia="Times New Roman" w:hint="ascii"/>
          <w:sz w:val="21"/>
          <w:vertAlign w:val="subscript"/>
          <w:spacing w:val="34"/>
        </w:rPr>
        <w:t>4</w:t>
      </w:r>
      <w:r>
        <w:rPr>
          <w:rFonts w:ascii="宋体" w:hAnsi="宋体" w:cs="宋体" w:eastAsia="宋体" w:hint="ascii"/>
          <w:sz w:val="21"/>
        </w:rPr>
        <w:t>直接转化的精准控制。</w:t>
      </w:r>
    </w:p>
    <w:p>
      <w:pPr>
        <w:autoSpaceDE w:val="0"/>
        <w:autoSpaceDN w:val="0"/>
        <w:jc w:val="left"/>
        <w:spacing w:before="77" w:after="0" w:lineRule="auto" w:line="240"/>
        <w:ind w:right="0" w:left="1649" w:hanging="263"/>
        <w:snapToGrid w:val="0"/>
        <w:textAlignment w:val="auto"/>
        <w:tabs>
          <w:tab w:val="left" w:leader="none" w:pos="1648"/>
        </w:tabs>
        <w:numPr>
          <w:ilvl w:val="0"/>
          <w:numId w:val="150"/>
        </w:numPr>
        <w:rPr>
          <w:rFonts w:ascii="Times New Roman" w:hAnsi="Times New Roman" w:cs="Times New Roman" w:eastAsia="Times New Roman" w:hint="ascii"/>
          <w:sz w:val="21"/>
        </w:rPr>
      </w:pPr>
      <w:r>
        <w:rPr>
          <w:rFonts w:ascii="宋体" w:hAnsi="宋体" w:cs="宋体" w:eastAsia="宋体" w:hint="ascii"/>
          <w:sz w:val="21"/>
        </w:rPr>
        <w:t>针</w:t>
      </w:r>
      <w:r>
        <w:rPr>
          <w:rFonts w:ascii="宋体" w:hAnsi="宋体" w:cs="宋体" w:eastAsia="宋体" w:hint="ascii"/>
          <w:sz w:val="21"/>
          <w:spacing w:val="27"/>
        </w:rPr>
        <w:t>对</w:t>
      </w:r>
      <w:r>
        <w:rPr>
          <w:rFonts w:ascii="Times New Roman" w:hAnsi="Times New Roman" w:cs="Times New Roman" w:eastAsia="Times New Roman" w:hint="ascii"/>
          <w:b w:val="1"/>
          <w:sz w:val="21"/>
        </w:rPr>
        <w:t>CO</w:t>
      </w:r>
      <w:r>
        <w:rPr>
          <w:rFonts w:ascii="Times New Roman" w:hAnsi="Times New Roman" w:cs="Times New Roman" w:eastAsia="Times New Roman" w:hint="ascii"/>
          <w:b w:val="1"/>
          <w:sz w:val="21"/>
          <w:vertAlign w:val="subscript"/>
          <w:spacing w:val="34"/>
        </w:rPr>
        <w:t>2</w:t>
      </w:r>
      <w:r>
        <w:rPr>
          <w:rFonts w:ascii="宋体" w:hAnsi="宋体" w:cs="宋体" w:eastAsia="宋体" w:hint="ascii"/>
          <w:sz w:val="21"/>
        </w:rPr>
        <w:t>催化与转化的多孔配合物</w:t>
      </w:r>
    </w:p>
    <w:p>
      <w:pPr>
        <w:autoSpaceDE w:val="0"/>
        <w:autoSpaceDN w:val="0"/>
        <w:jc w:val="left"/>
        <w:spacing w:before="7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借助多孔配合物对 </w:t>
      </w:r>
      <w:r>
        <w:rPr>
          <w:rFonts w:ascii="Times New Roman" w:hAnsi="Times New Roman" w:cs="Times New Roman" w:eastAsia="Times New Roman" w:hint="ascii"/>
          <w:sz w:val="21"/>
        </w:rPr>
        <w:t>CO</w:t>
      </w:r>
      <w:r>
        <w:rPr>
          <w:rFonts w:ascii="Times New Roman" w:hAnsi="Times New Roman" w:cs="Times New Roman" w:eastAsia="Times New Roman" w:hint="ascii"/>
          <w:sz w:val="21"/>
          <w:vertAlign w:val="subscript"/>
        </w:rPr>
        <w:t xml:space="preserve">2 </w:t>
      </w:r>
      <w:r>
        <w:rPr>
          <w:rFonts w:ascii="宋体" w:hAnsi="宋体" w:cs="宋体" w:eastAsia="宋体" w:hint="ascii"/>
          <w:sz w:val="21"/>
        </w:rPr>
        <w:t>的识别与捕获功能，构筑同时具有捕获、富集与催化活性</w:t>
      </w:r>
    </w:p>
    <w:p>
      <w:pPr>
        <w:autoSpaceDE w:val="0"/>
        <w:autoSpaceDN w:val="0"/>
        <w:jc w:val="both"/>
        <w:spacing w:before="13" w:after="0" w:lineRule="exact" w:line="332"/>
        <w:ind w:right="974"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的多功能催化剂，优化和提高 </w:t>
      </w:r>
      <w:r>
        <w:rPr>
          <w:rFonts w:ascii="Times New Roman" w:hAnsi="Times New Roman" w:cs="Times New Roman" w:eastAsia="Times New Roman" w:hint="ascii"/>
          <w:sz w:val="21"/>
        </w:rPr>
        <w:t>CO</w:t>
      </w:r>
      <w:r>
        <w:rPr>
          <w:rFonts w:ascii="Times New Roman" w:hAnsi="Times New Roman" w:cs="Times New Roman" w:eastAsia="Times New Roman" w:hint="ascii"/>
          <w:sz w:val="21"/>
          <w:vertAlign w:val="subscript"/>
        </w:rPr>
        <w:t xml:space="preserve">2 </w:t>
      </w:r>
      <w:r>
        <w:rPr>
          <w:rFonts w:ascii="宋体" w:hAnsi="宋体" w:cs="宋体" w:eastAsia="宋体" w:hint="ascii"/>
          <w:sz w:val="21"/>
        </w:rPr>
        <w:t>与吸附位点的结合能，解决工业湿度条件下吸附与</w:t>
      </w:r>
      <w:r>
        <w:rPr>
          <w:rFonts w:ascii="宋体" w:hAnsi="宋体" w:cs="宋体" w:eastAsia="宋体" w:hint="ascii"/>
          <w:sz w:val="21"/>
          <w:spacing w:val="-1"/>
        </w:rPr>
        <w:t>催化低效</w:t>
      </w:r>
      <w:r>
        <w:rPr>
          <w:rFonts w:ascii="宋体" w:hAnsi="宋体" w:cs="宋体" w:eastAsia="宋体" w:hint="ascii"/>
          <w:sz w:val="21"/>
        </w:rPr>
        <w:t>问题，实现</w:t>
      </w:r>
      <w:r>
        <w:rPr>
          <w:rFonts w:ascii="宋体" w:hAnsi="宋体" w:cs="宋体" w:eastAsia="宋体" w:hint="ascii"/>
          <w:sz w:val="21"/>
          <w:spacing w:val="-2"/>
        </w:rPr>
        <w:t xml:space="preserve"> </w:t>
      </w:r>
      <w:r>
        <w:rPr>
          <w:rFonts w:ascii="Times New Roman" w:hAnsi="Times New Roman" w:cs="Times New Roman" w:eastAsia="Times New Roman" w:hint="ascii"/>
          <w:sz w:val="21"/>
          <w:spacing w:val="-1"/>
        </w:rPr>
        <w:t>C</w:t>
      </w:r>
      <w:r>
        <w:rPr>
          <w:rFonts w:ascii="Times New Roman" w:hAnsi="Times New Roman" w:cs="Times New Roman" w:eastAsia="Times New Roman" w:hint="ascii"/>
          <w:sz w:val="21"/>
        </w:rPr>
        <w:t>O</w:t>
      </w:r>
      <w:r>
        <w:rPr>
          <w:rFonts w:ascii="Times New Roman" w:hAnsi="Times New Roman" w:cs="Times New Roman" w:eastAsia="Times New Roman" w:hint="ascii"/>
          <w:sz w:val="21"/>
          <w:vertAlign w:val="subscript"/>
        </w:rPr>
        <w:t>2</w:t>
      </w:r>
      <w:r>
        <w:rPr>
          <w:rFonts w:ascii="Times New Roman" w:hAnsi="Times New Roman" w:cs="Times New Roman" w:eastAsia="Times New Roman" w:hint="ascii"/>
          <w:sz w:val="14"/>
          <w:position w:val="-7"/>
          <w:spacing w:val="-3"/>
        </w:rPr>
        <w:t xml:space="preserve"> </w:t>
      </w:r>
      <w:r>
        <w:rPr>
          <w:rFonts w:ascii="宋体" w:hAnsi="宋体" w:cs="宋体" w:eastAsia="宋体" w:hint="ascii"/>
          <w:sz w:val="21"/>
        </w:rPr>
        <w:t>气体分子直接转化为化工原料；发展基于</w:t>
      </w:r>
      <w:r>
        <w:rPr>
          <w:rFonts w:ascii="宋体" w:hAnsi="宋体" w:cs="宋体" w:eastAsia="宋体" w:hint="ascii"/>
          <w:sz w:val="21"/>
          <w:spacing w:val="-2"/>
        </w:rPr>
        <w:t xml:space="preserve"> </w:t>
      </w:r>
      <w:r>
        <w:rPr>
          <w:rFonts w:ascii="Times New Roman" w:hAnsi="Times New Roman" w:cs="Times New Roman" w:eastAsia="Times New Roman" w:hint="ascii"/>
          <w:sz w:val="21"/>
          <w:spacing w:val="-1"/>
        </w:rPr>
        <w:t>C</w:t>
      </w:r>
      <w:r>
        <w:rPr>
          <w:rFonts w:ascii="Times New Roman" w:hAnsi="Times New Roman" w:cs="Times New Roman" w:eastAsia="Times New Roman" w:hint="ascii"/>
          <w:sz w:val="21"/>
        </w:rPr>
        <w:t>O</w:t>
      </w:r>
      <w:r>
        <w:rPr>
          <w:rFonts w:ascii="Times New Roman" w:hAnsi="Times New Roman" w:cs="Times New Roman" w:eastAsia="Times New Roman" w:hint="ascii"/>
          <w:sz w:val="21"/>
          <w:vertAlign w:val="subscript"/>
        </w:rPr>
        <w:t>2</w:t>
      </w:r>
      <w:r>
        <w:rPr>
          <w:rFonts w:ascii="Times New Roman" w:hAnsi="Times New Roman" w:cs="Times New Roman" w:eastAsia="Times New Roman" w:hint="ascii"/>
          <w:sz w:val="14"/>
          <w:position w:val="-7"/>
          <w:spacing w:val="-3"/>
        </w:rPr>
        <w:t xml:space="preserve"> </w:t>
      </w:r>
      <w:r>
        <w:rPr>
          <w:rFonts w:ascii="宋体" w:hAnsi="宋体" w:cs="宋体" w:eastAsia="宋体" w:hint="ascii"/>
          <w:sz w:val="21"/>
        </w:rPr>
        <w:t>转换的新颖串联反应，制备高附加值低碳化工产品。</w:t>
      </w:r>
    </w:p>
    <w:p>
      <w:pPr>
        <w:autoSpaceDE w:val="0"/>
        <w:autoSpaceDN w:val="0"/>
        <w:jc w:val="left"/>
        <w:spacing w:before="55" w:after="0" w:lineRule="auto" w:line="240"/>
        <w:ind w:right="0" w:left="1649" w:hanging="263"/>
        <w:snapToGrid w:val="0"/>
        <w:textAlignment w:val="auto"/>
        <w:tabs>
          <w:tab w:val="left" w:leader="none" w:pos="1648"/>
        </w:tabs>
        <w:numPr>
          <w:ilvl w:val="0"/>
          <w:numId w:val="150"/>
        </w:numPr>
        <w:rPr>
          <w:rFonts w:ascii="Times New Roman" w:hAnsi="Times New Roman" w:cs="Times New Roman" w:eastAsia="Times New Roman" w:hint="ascii"/>
          <w:sz w:val="21"/>
        </w:rPr>
      </w:pPr>
      <w:r>
        <w:rPr>
          <w:rFonts w:ascii="宋体" w:hAnsi="宋体" w:cs="宋体" w:eastAsia="宋体" w:hint="ascii"/>
          <w:sz w:val="21"/>
        </w:rPr>
        <w:t>针对电化学氧还原与全分解水的多孔配合物</w:t>
      </w:r>
    </w:p>
    <w:p>
      <w:pPr>
        <w:autoSpaceDE w:val="0"/>
        <w:autoSpaceDN w:val="0"/>
        <w:jc w:val="both"/>
        <w:spacing w:before="21" w:after="0" w:lineRule="exact" w:line="332"/>
        <w:ind w:right="974"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设计合成具有多催化位点的多孔配合物及其衍</w:t>
      </w:r>
      <w:r>
        <w:rPr>
          <w:rFonts w:ascii="宋体" w:hAnsi="宋体" w:cs="宋体" w:eastAsia="宋体" w:hint="ascii"/>
          <w:sz w:val="21"/>
          <w:spacing w:val="-1"/>
        </w:rPr>
        <w:t>生物，发展可替代贵金属的新型催化</w:t>
      </w:r>
      <w:r>
        <w:rPr>
          <w:rFonts w:ascii="宋体" w:hAnsi="宋体" w:cs="宋体" w:eastAsia="宋体" w:hint="ascii"/>
          <w:sz w:val="21"/>
        </w:rPr>
        <w:t xml:space="preserve"> </w:t>
      </w:r>
      <w:r>
        <w:rPr>
          <w:rFonts w:ascii="宋体" w:hAnsi="宋体" w:cs="宋体" w:eastAsia="宋体" w:hint="ascii"/>
          <w:sz w:val="21"/>
          <w:spacing w:val="-1"/>
        </w:rPr>
        <w:t>剂，揭示</w:t>
      </w:r>
      <w:r>
        <w:rPr>
          <w:rFonts w:ascii="宋体" w:hAnsi="宋体" w:cs="宋体" w:eastAsia="宋体" w:hint="ascii"/>
          <w:sz w:val="21"/>
          <w:spacing w:val="-3"/>
        </w:rPr>
        <w:t xml:space="preserve"> </w:t>
      </w:r>
      <w:r>
        <w:rPr>
          <w:rFonts w:ascii="Times New Roman" w:hAnsi="Times New Roman" w:cs="Times New Roman" w:eastAsia="Times New Roman" w:hint="ascii"/>
          <w:sz w:val="21"/>
        </w:rPr>
        <w:t>H</w:t>
      </w:r>
      <w:r>
        <w:rPr>
          <w:rFonts w:ascii="宋体" w:hAnsi="宋体" w:cs="宋体" w:eastAsia="宋体" w:hint="ascii"/>
          <w:sz w:val="21"/>
        </w:rPr>
        <w:t>─</w:t>
      </w:r>
      <w:r>
        <w:rPr>
          <w:rFonts w:ascii="Times New Roman" w:hAnsi="Times New Roman" w:cs="Times New Roman" w:eastAsia="Times New Roman" w:hint="ascii"/>
          <w:sz w:val="21"/>
        </w:rPr>
        <w:t>O</w:t>
      </w:r>
      <w:r>
        <w:rPr>
          <w:rFonts w:ascii="Times New Roman" w:hAnsi="Times New Roman" w:cs="Times New Roman" w:eastAsia="Times New Roman" w:hint="ascii"/>
          <w:sz w:val="21"/>
          <w:spacing w:val="-4"/>
        </w:rPr>
        <w:t xml:space="preserve"> </w:t>
      </w:r>
      <w:r>
        <w:rPr>
          <w:rFonts w:ascii="宋体" w:hAnsi="宋体" w:cs="宋体" w:eastAsia="宋体" w:hint="ascii"/>
          <w:sz w:val="21"/>
        </w:rPr>
        <w:t>键断裂、</w:t>
      </w:r>
      <w:r>
        <w:rPr>
          <w:rFonts w:ascii="Times New Roman" w:hAnsi="Times New Roman" w:cs="Times New Roman" w:eastAsia="Times New Roman" w:hint="ascii"/>
          <w:sz w:val="21"/>
        </w:rPr>
        <w:t>H</w:t>
      </w:r>
      <w:r>
        <w:rPr>
          <w:rFonts w:ascii="宋体" w:hAnsi="宋体" w:cs="宋体" w:eastAsia="宋体" w:hint="ascii"/>
          <w:sz w:val="21"/>
        </w:rPr>
        <w:t>─</w:t>
      </w:r>
      <w:r>
        <w:rPr>
          <w:rFonts w:ascii="Times New Roman" w:hAnsi="Times New Roman" w:cs="Times New Roman" w:eastAsia="Times New Roman" w:hint="ascii"/>
          <w:sz w:val="21"/>
        </w:rPr>
        <w:t>H/O</w:t>
      </w:r>
      <w:r>
        <w:rPr>
          <w:rFonts w:ascii="宋体" w:hAnsi="宋体" w:cs="宋体" w:eastAsia="宋体" w:hint="ascii"/>
          <w:sz w:val="21"/>
        </w:rPr>
        <w:t>─</w:t>
      </w:r>
      <w:r>
        <w:rPr>
          <w:rFonts w:ascii="Times New Roman" w:hAnsi="Times New Roman" w:cs="Times New Roman" w:eastAsia="Times New Roman" w:hint="ascii"/>
          <w:sz w:val="21"/>
        </w:rPr>
        <w:t>O</w:t>
      </w:r>
      <w:r>
        <w:rPr>
          <w:rFonts w:ascii="Times New Roman" w:hAnsi="Times New Roman" w:cs="Times New Roman" w:eastAsia="Times New Roman" w:hint="ascii"/>
          <w:sz w:val="21"/>
          <w:spacing w:val="-4"/>
        </w:rPr>
        <w:t xml:space="preserve"> </w:t>
      </w:r>
      <w:r>
        <w:rPr>
          <w:rFonts w:ascii="宋体" w:hAnsi="宋体" w:cs="宋体" w:eastAsia="宋体" w:hint="ascii"/>
          <w:sz w:val="21"/>
        </w:rPr>
        <w:t>键活化过程中的能量和电子传递途径，实现高效燃料电池氧还原与电催化全分解水。</w:t>
      </w:r>
    </w:p>
    <w:p>
      <w:pPr>
        <w:autoSpaceDE w:val="0"/>
        <w:autoSpaceDN w:val="0"/>
        <w:jc w:val="left"/>
        <w:spacing w:before="211"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both"/>
        <w:spacing w:before="193" w:after="0" w:lineRule="exact" w:line="331"/>
        <w:ind w:right="1444"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）申请书</w:t>
      </w:r>
      <w:r>
        <w:rPr>
          <w:rFonts w:ascii="宋体" w:hAnsi="宋体" w:cs="宋体" w:eastAsia="宋体" w:hint="ascii"/>
          <w:sz w:val="21"/>
        </w:rPr>
        <w:t>的附注说明选择“面向能源相关小分子活化</w:t>
      </w:r>
      <w:r>
        <w:rPr>
          <w:rFonts w:ascii="Times New Roman" w:hAnsi="Times New Roman" w:cs="Times New Roman" w:eastAsia="Times New Roman" w:hint="ascii"/>
          <w:sz w:val="21"/>
        </w:rPr>
        <w:t>/</w:t>
      </w:r>
      <w:r>
        <w:rPr>
          <w:rFonts w:ascii="宋体" w:hAnsi="宋体" w:cs="宋体" w:eastAsia="宋体" w:hint="ascii"/>
          <w:sz w:val="21"/>
        </w:rPr>
        <w:t>转化的多孔配合物</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）申请人申请的直接费用预算不得超</w:t>
      </w:r>
      <w:r>
        <w:rPr>
          <w:rFonts w:ascii="宋体" w:hAnsi="宋体" w:cs="宋体" w:eastAsia="宋体" w:hint="ascii"/>
          <w:sz w:val="21"/>
          <w:spacing w:val="26"/>
        </w:rPr>
        <w:t>过</w:t>
      </w:r>
      <w:r>
        <w:rPr>
          <w:rFonts w:ascii="Times New Roman" w:hAnsi="Times New Roman" w:cs="Times New Roman" w:eastAsia="Times New Roman" w:hint="ascii"/>
          <w:sz w:val="21"/>
        </w:rPr>
        <w:t>1 70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26"/>
        </w:rPr>
        <w:t>含</w:t>
      </w:r>
      <w:r>
        <w:rPr>
          <w:rFonts w:ascii="Times New Roman" w:hAnsi="Times New Roman" w:cs="Times New Roman" w:eastAsia="Times New Roman" w:hint="ascii"/>
          <w:sz w:val="21"/>
        </w:rPr>
        <w:t>1 70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）本项目由化学科学部负责受理。</w:t>
      </w:r>
    </w:p>
    <w:p>
      <w:pPr>
        <w:autoSpaceDE w:val="0"/>
        <w:autoSpaceDN w:val="0"/>
        <w:jc w:val="left"/>
        <w:spacing w:before="150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916" w:firstLine="0"/>
        <w:snapToGrid w:val="0"/>
        <w:textAlignment w:val="auto"/>
        <w:tabs/>
        <w:rPr>
          <w:rFonts w:ascii="宋体" w:hAnsi="宋体" w:cs="宋体" w:eastAsia="宋体" w:hint="ascii"/>
          <w:sz w:val="19"/>
        </w:rPr>
      </w:pPr>
      <w:r>
        <w:rPr>
          <w:rFonts w:ascii="宋体" w:hAnsi="宋体" w:cs="宋体" w:eastAsia="宋体" w:hint="ascii"/>
          <w:sz w:val="19"/>
        </w:rPr>
        <w:t>重 大 项 目</w:t>
      </w:r>
    </w:p>
    <w:p>
      <w:pPr>
        <w:autoSpaceDE w:val="0"/>
        <w:autoSpaceDN w:val="0"/>
        <w:jc w:val="left"/>
        <w:spacing w:before="438" w:after="0" w:lineRule="exact" w:line="475"/>
        <w:ind w:right="0" w:left="1916" w:firstLine="0"/>
        <w:snapToGrid w:val="0"/>
        <w:textAlignment w:val="auto"/>
        <w:tabs/>
        <w:rPr>
          <w:rFonts w:ascii="宋体" w:hAnsi="宋体" w:cs="宋体" w:eastAsia="宋体" w:hint="ascii"/>
          <w:sz w:val="38"/>
        </w:rPr>
      </w:pPr>
      <w:r>
        <w:rPr>
          <w:rFonts w:ascii="宋体" w:hAnsi="宋体" w:cs="宋体" w:eastAsia="宋体" w:hint="ascii"/>
          <w:sz w:val="38"/>
        </w:rPr>
        <w:t>空间复杂动态多目标电磁特征的表征</w:t>
      </w:r>
      <w:r>
        <w:rPr>
          <w:rFonts w:ascii="宋体" w:hAnsi="宋体" w:cs="宋体" w:eastAsia="宋体" w:hint="ascii"/>
          <w:sz w:val="38"/>
        </w:rPr>
        <mc:AlternateContent>
          <mc:Choice Requires="wps">
            <w:drawing>
              <wp:anchor distL="0" distR="0" distT="0" distB="0" simplePos="0" behindDoc="1" relativeHeight="186" locked="0" layoutInCell="1" allowOverlap="1">
                <wp:simplePos x="0" y="0"/>
                <wp:positionH relativeFrom="page">
                  <wp:posOffset>938530</wp:posOffset>
                </wp:positionH>
                <wp:positionV relativeFrom="page">
                  <wp:posOffset>819150</wp:posOffset>
                </wp:positionV>
                <wp:extent cx="5076190" cy="0"/>
                <wp:wrapNone/>
                <wp:docPr id="1215" name="121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67776;width:399.70pt;" id="121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294967282" w:after="0" w:lineRule="exact" w:line="475"/>
        <w:ind w:right="0" w:left="2676" w:firstLine="0"/>
        <w:snapToGrid w:val="0"/>
        <w:textAlignment w:val="auto"/>
        <w:tabs/>
        <w:rPr>
          <w:rFonts w:ascii="宋体" w:hAnsi="宋体" w:cs="宋体" w:eastAsia="宋体" w:hint="ascii"/>
          <w:sz w:val="38"/>
        </w:rPr>
      </w:pPr>
      <w:r>
        <w:rPr>
          <w:rFonts w:ascii="宋体" w:hAnsi="宋体" w:cs="宋体" w:eastAsia="宋体" w:hint="ascii"/>
          <w:sz w:val="38"/>
        </w:rPr>
        <w:t>与重构基础理论及关键技术</w:t>
      </w:r>
    </w:p>
    <w:p>
      <w:pPr>
        <w:autoSpaceDE w:val="0"/>
        <w:autoSpaceDN w:val="0"/>
        <w:jc w:val="left"/>
        <w:spacing w:before="3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空间目标电磁特征表征与重构是雷达识别与反识别等诸多技术领域的共性基础科学</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问题，如何在</w:t>
      </w:r>
      <w:r>
        <w:rPr>
          <w:rFonts w:ascii="宋体" w:hAnsi="宋体" w:cs="宋体" w:eastAsia="宋体" w:hint="ascii"/>
          <w:sz w:val="21"/>
        </w:rPr>
        <w:t>地面室内场条件下进行空间复杂动态多目标电磁特征的等效和反演是当前</w:t>
      </w:r>
      <w:r>
        <w:rPr>
          <w:rFonts w:ascii="宋体" w:hAnsi="宋体" w:cs="宋体" w:eastAsia="宋体" w:hint="ascii"/>
          <w:sz w:val="21"/>
          <w:spacing w:val="1"/>
        </w:rPr>
        <w:t>研究热点之一。航天</w:t>
      </w:r>
      <w:r>
        <w:rPr>
          <w:rFonts w:ascii="宋体" w:hAnsi="宋体" w:cs="宋体" w:eastAsia="宋体" w:hint="ascii"/>
          <w:sz w:val="21"/>
        </w:rPr>
        <w:t>飞行试验存在复杂场景下动态多目标观测难度大、成本高、样</w:t>
      </w:r>
      <w:r>
        <w:rPr>
          <w:rFonts w:ascii="宋体" w:hAnsi="宋体" w:cs="宋体" w:eastAsia="宋体" w:hint="ascii"/>
          <w:sz w:val="21"/>
          <w:spacing w:val="-6"/>
        </w:rPr>
        <w:t>本</w:t>
      </w:r>
      <w:r>
        <w:rPr>
          <w:rFonts w:ascii="宋体" w:hAnsi="宋体" w:cs="宋体" w:eastAsia="宋体" w:hint="ascii"/>
          <w:sz w:val="21"/>
          <w:spacing w:val="-1"/>
        </w:rPr>
        <w:t>少、可重复性</w:t>
      </w:r>
      <w:r>
        <w:rPr>
          <w:rFonts w:ascii="宋体" w:hAnsi="宋体" w:cs="宋体" w:eastAsia="宋体" w:hint="ascii"/>
          <w:sz w:val="21"/>
        </w:rPr>
        <w:t>差等问题，亟须探索如何在地面室内场采用计算与测量等手段实现飞行试</w:t>
      </w:r>
      <w:r>
        <w:rPr>
          <w:rFonts w:ascii="宋体" w:hAnsi="宋体" w:cs="宋体" w:eastAsia="宋体" w:hint="ascii"/>
          <w:sz w:val="21"/>
          <w:spacing w:val="-1"/>
        </w:rPr>
        <w:t>验等效与评估</w:t>
      </w:r>
      <w:r>
        <w:rPr>
          <w:rFonts w:ascii="宋体" w:hAnsi="宋体" w:cs="宋体" w:eastAsia="宋体" w:hint="ascii"/>
          <w:sz w:val="21"/>
        </w:rPr>
        <w:t>的理论和方法。旨在通过本项目的研究，在空间复杂动态多目标电磁特征</w:t>
      </w:r>
      <w:r>
        <w:rPr>
          <w:rFonts w:ascii="宋体" w:hAnsi="宋体" w:cs="宋体" w:eastAsia="宋体" w:hint="ascii"/>
          <w:sz w:val="21"/>
          <w:spacing w:val="-1"/>
        </w:rPr>
        <w:t>的认知、获取</w:t>
      </w:r>
      <w:r>
        <w:rPr>
          <w:rFonts w:ascii="宋体" w:hAnsi="宋体" w:cs="宋体" w:eastAsia="宋体" w:hint="ascii"/>
          <w:sz w:val="21"/>
        </w:rPr>
        <w:t>、验证三个方面取得基础理论与关键技术的突破，提出多参数、多维度电</w:t>
      </w:r>
      <w:r>
        <w:rPr>
          <w:rFonts w:ascii="宋体" w:hAnsi="宋体" w:cs="宋体" w:eastAsia="宋体" w:hint="ascii"/>
          <w:sz w:val="21"/>
          <w:spacing w:val="-1"/>
        </w:rPr>
        <w:t>磁特征表征模</w:t>
      </w:r>
      <w:r>
        <w:rPr>
          <w:rFonts w:ascii="宋体" w:hAnsi="宋体" w:cs="宋体" w:eastAsia="宋体" w:hint="ascii"/>
          <w:sz w:val="21"/>
        </w:rPr>
        <w:t>型，实现空间多目标时空多尺度变换以及基于小样本的电磁特征天地一致性验证技术。</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一、科学目标</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面向空间复杂动态多目标雷达识别与反识别重大需求，开展空间复杂动态多目标电</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磁特征的表征</w:t>
      </w:r>
      <w:r>
        <w:rPr>
          <w:rFonts w:ascii="宋体" w:hAnsi="宋体" w:cs="宋体" w:eastAsia="宋体" w:hint="ascii"/>
          <w:sz w:val="21"/>
        </w:rPr>
        <w:t>与重构研究，揭示复杂动态目标电磁特征产生机理、紧邻目标电磁耦合机</w:t>
      </w:r>
      <w:r>
        <w:rPr>
          <w:rFonts w:ascii="宋体" w:hAnsi="宋体" w:cs="宋体" w:eastAsia="宋体" w:hint="ascii"/>
          <w:sz w:val="21"/>
          <w:spacing w:val="-1"/>
        </w:rPr>
        <w:t>理，建立空间</w:t>
      </w:r>
      <w:r>
        <w:rPr>
          <w:rFonts w:ascii="宋体" w:hAnsi="宋体" w:cs="宋体" w:eastAsia="宋体" w:hint="ascii"/>
          <w:sz w:val="21"/>
        </w:rPr>
        <w:t>复杂动态多目标电磁特征表征模型，突破室内场复杂电磁场景目标电磁信号重构技术，在地面室内场条件下构建空间多目标场景和雷达多波束</w:t>
      </w:r>
      <w:r>
        <w:rPr>
          <w:rFonts w:ascii="Times New Roman" w:hAnsi="Times New Roman" w:cs="Times New Roman" w:eastAsia="Times New Roman" w:hint="ascii"/>
          <w:sz w:val="21"/>
        </w:rPr>
        <w:t>/</w:t>
      </w:r>
      <w:r>
        <w:rPr>
          <w:rFonts w:ascii="宋体" w:hAnsi="宋体" w:cs="宋体" w:eastAsia="宋体" w:hint="ascii"/>
          <w:sz w:val="21"/>
        </w:rPr>
        <w:t>多波位远场电磁</w:t>
      </w:r>
      <w:r>
        <w:rPr>
          <w:rFonts w:ascii="宋体" w:hAnsi="宋体" w:cs="宋体" w:eastAsia="宋体" w:hint="ascii"/>
          <w:sz w:val="21"/>
          <w:spacing w:val="-1"/>
        </w:rPr>
        <w:t>环境。开展多</w:t>
      </w:r>
      <w:r>
        <w:rPr>
          <w:rFonts w:ascii="宋体" w:hAnsi="宋体" w:cs="宋体" w:eastAsia="宋体" w:hint="ascii"/>
          <w:sz w:val="21"/>
        </w:rPr>
        <w:t>数据源实验，实现空间目标电磁特征天地一致性验证，为空间多目标雷达识别与反识别能力的提升提供基础理论和关键技术支撑。</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二、研究内容</w:t>
      </w:r>
    </w:p>
    <w:p>
      <w:pPr>
        <w:autoSpaceDE w:val="0"/>
        <w:autoSpaceDN w:val="0"/>
        <w:jc w:val="left"/>
        <w:spacing w:before="197" w:after="0" w:lineRule="auto" w:line="240"/>
        <w:ind w:right="0" w:left="1649" w:hanging="263"/>
        <w:snapToGrid w:val="0"/>
        <w:textAlignment w:val="auto"/>
        <w:tabs>
          <w:tab w:val="left" w:leader="none" w:pos="1648"/>
        </w:tabs>
        <w:numPr>
          <w:ilvl w:val="0"/>
          <w:numId w:val="151"/>
        </w:numPr>
        <w:rPr>
          <w:rFonts w:ascii="Times New Roman" w:hAnsi="Times New Roman" w:cs="Times New Roman" w:eastAsia="Times New Roman" w:hint="ascii"/>
          <w:sz w:val="21"/>
        </w:rPr>
      </w:pPr>
      <w:r>
        <w:rPr>
          <w:rFonts w:ascii="宋体" w:hAnsi="宋体" w:cs="宋体" w:eastAsia="宋体" w:hint="ascii"/>
          <w:sz w:val="21"/>
        </w:rPr>
        <w:t>空间动态多目标多维度电磁特征建模与表征研究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基于复杂电磁环境下复杂动态空间多目标多维度雷达回波信息，建立电磁特征表征</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模型，研究空</w:t>
      </w:r>
      <w:r>
        <w:rPr>
          <w:rFonts w:ascii="宋体" w:hAnsi="宋体" w:cs="宋体" w:eastAsia="宋体" w:hint="ascii"/>
          <w:sz w:val="21"/>
        </w:rPr>
        <w:t>间多目标复杂动态电磁散射特性分析方法及其演化规律，揭示空间紧邻目</w:t>
      </w:r>
      <w:r>
        <w:rPr>
          <w:rFonts w:ascii="宋体" w:hAnsi="宋体" w:cs="宋体" w:eastAsia="宋体" w:hint="ascii"/>
          <w:sz w:val="21"/>
          <w:spacing w:val="-1"/>
        </w:rPr>
        <w:t>标的电磁特征</w:t>
      </w:r>
      <w:r>
        <w:rPr>
          <w:rFonts w:ascii="宋体" w:hAnsi="宋体" w:cs="宋体" w:eastAsia="宋体" w:hint="ascii"/>
          <w:sz w:val="21"/>
        </w:rPr>
        <w:t>耦合机理，构建空间复杂动态多目标双基地电磁特征模型并开展双基地动</w:t>
      </w:r>
      <w:r>
        <w:rPr>
          <w:rFonts w:ascii="宋体" w:hAnsi="宋体" w:cs="宋体" w:eastAsia="宋体" w:hint="ascii"/>
          <w:sz w:val="21"/>
          <w:spacing w:val="-1"/>
        </w:rPr>
        <w:t>态试验验证，</w:t>
      </w:r>
      <w:r>
        <w:rPr>
          <w:rFonts w:ascii="宋体" w:hAnsi="宋体" w:cs="宋体" w:eastAsia="宋体" w:hint="ascii"/>
          <w:sz w:val="21"/>
        </w:rPr>
        <w:t>实现空间目标电磁特征的表征由静态、单一目标模型向复杂动态、多目标耦合电磁模型的跨越。</w:t>
      </w:r>
    </w:p>
    <w:p>
      <w:pPr>
        <w:autoSpaceDE w:val="0"/>
        <w:autoSpaceDN w:val="0"/>
        <w:jc w:val="left"/>
        <w:spacing w:before="40" w:after="0" w:lineRule="auto" w:line="240"/>
        <w:ind w:right="0" w:left="1649" w:hanging="263"/>
        <w:snapToGrid w:val="0"/>
        <w:textAlignment w:val="auto"/>
        <w:tabs>
          <w:tab w:val="left" w:leader="none" w:pos="1648"/>
        </w:tabs>
        <w:numPr>
          <w:ilvl w:val="0"/>
          <w:numId w:val="151"/>
        </w:numPr>
        <w:rPr>
          <w:rFonts w:ascii="Times New Roman" w:hAnsi="Times New Roman" w:cs="Times New Roman" w:eastAsia="Times New Roman" w:hint="ascii"/>
          <w:sz w:val="21"/>
        </w:rPr>
      </w:pPr>
      <w:r>
        <w:rPr>
          <w:rFonts w:ascii="宋体" w:hAnsi="宋体" w:cs="宋体" w:eastAsia="宋体" w:hint="ascii"/>
          <w:sz w:val="21"/>
        </w:rPr>
        <w:t>地面室内场环境下多馈源多目标电磁建模理论与方法</w:t>
      </w:r>
    </w:p>
    <w:p>
      <w:pPr>
        <w:autoSpaceDE w:val="0"/>
        <w:autoSpaceDN w:val="0"/>
        <w:jc w:val="both"/>
        <w:spacing w:before="1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研究室内场多馈源口面场非理想条件下瞬态电磁波幅</w:t>
      </w:r>
      <w:r>
        <w:rPr>
          <w:rFonts w:ascii="宋体" w:hAnsi="宋体" w:cs="宋体" w:eastAsia="宋体" w:hint="ascii"/>
          <w:sz w:val="21"/>
          <w:spacing w:val="-1"/>
        </w:rPr>
        <w:t>度和相位分布特性及其演化规</w:t>
      </w:r>
      <w:r>
        <w:rPr>
          <w:rFonts w:ascii="宋体" w:hAnsi="宋体" w:cs="宋体" w:eastAsia="宋体" w:hint="ascii"/>
          <w:sz w:val="21"/>
        </w:rPr>
        <w:t xml:space="preserve"> </w:t>
      </w:r>
      <w:r>
        <w:rPr>
          <w:rFonts w:ascii="宋体" w:hAnsi="宋体" w:cs="宋体" w:eastAsia="宋体" w:hint="ascii"/>
          <w:sz w:val="21"/>
          <w:spacing w:val="-1"/>
        </w:rPr>
        <w:t>律，建立大型</w:t>
      </w:r>
      <w:r>
        <w:rPr>
          <w:rFonts w:ascii="宋体" w:hAnsi="宋体" w:cs="宋体" w:eastAsia="宋体" w:hint="ascii"/>
          <w:sz w:val="21"/>
        </w:rPr>
        <w:t>室内场瞬态电磁仿真算法，研究室内场测试构成要素间的电磁耦合作用，</w:t>
      </w:r>
      <w:r>
        <w:rPr>
          <w:rFonts w:ascii="宋体" w:hAnsi="宋体" w:cs="宋体" w:eastAsia="宋体" w:hint="ascii"/>
          <w:sz w:val="21"/>
          <w:spacing w:val="-1"/>
        </w:rPr>
        <w:t>实现大型室内</w:t>
      </w:r>
      <w:r>
        <w:rPr>
          <w:rFonts w:ascii="宋体" w:hAnsi="宋体" w:cs="宋体" w:eastAsia="宋体" w:hint="ascii"/>
          <w:sz w:val="21"/>
        </w:rPr>
        <w:t>场构成要素对测试影响效能评估，为测试系统误差控制与分析提供理论和数据支撑</w:t>
      </w:r>
      <w:r>
        <w:rPr>
          <w:rFonts w:ascii="宋体" w:hAnsi="宋体" w:cs="宋体" w:eastAsia="宋体" w:hint="ascii"/>
          <w:sz w:val="21"/>
          <w:spacing w:val="-1"/>
        </w:rPr>
        <w:t>，</w:t>
      </w:r>
      <w:r>
        <w:rPr>
          <w:rFonts w:ascii="宋体" w:hAnsi="宋体" w:cs="宋体" w:eastAsia="宋体" w:hint="ascii"/>
          <w:sz w:val="21"/>
        </w:rPr>
        <w:t>从而实现</w:t>
      </w:r>
      <w:r>
        <w:rPr>
          <w:rFonts w:ascii="宋体" w:hAnsi="宋体" w:cs="宋体" w:eastAsia="宋体" w:hint="ascii"/>
          <w:sz w:val="21"/>
          <w:spacing w:val="-1"/>
        </w:rPr>
        <w:t>有</w:t>
      </w:r>
      <w:r>
        <w:rPr>
          <w:rFonts w:ascii="宋体" w:hAnsi="宋体" w:cs="宋体" w:eastAsia="宋体" w:hint="ascii"/>
          <w:sz w:val="21"/>
        </w:rPr>
        <w:t>限空间多</w:t>
      </w:r>
      <w:r>
        <w:rPr>
          <w:rFonts w:ascii="宋体" w:hAnsi="宋体" w:cs="宋体" w:eastAsia="宋体" w:hint="ascii"/>
          <w:sz w:val="21"/>
          <w:spacing w:val="-1"/>
        </w:rPr>
        <w:t>目</w:t>
      </w:r>
      <w:r>
        <w:rPr>
          <w:rFonts w:ascii="宋体" w:hAnsi="宋体" w:cs="宋体" w:eastAsia="宋体" w:hint="ascii"/>
          <w:sz w:val="21"/>
        </w:rPr>
        <w:t>标多维度</w:t>
      </w:r>
      <w:r>
        <w:rPr>
          <w:rFonts w:ascii="宋体" w:hAnsi="宋体" w:cs="宋体" w:eastAsia="宋体" w:hint="ascii"/>
          <w:sz w:val="21"/>
          <w:spacing w:val="-1"/>
        </w:rPr>
        <w:t>电</w:t>
      </w:r>
      <w:r>
        <w:rPr>
          <w:rFonts w:ascii="宋体" w:hAnsi="宋体" w:cs="宋体" w:eastAsia="宋体" w:hint="ascii"/>
          <w:sz w:val="21"/>
        </w:rPr>
        <w:t>磁特征高</w:t>
      </w:r>
      <w:r>
        <w:rPr>
          <w:rFonts w:ascii="宋体" w:hAnsi="宋体" w:cs="宋体" w:eastAsia="宋体" w:hint="ascii"/>
          <w:sz w:val="21"/>
          <w:spacing w:val="-1"/>
        </w:rPr>
        <w:t>精</w:t>
      </w:r>
      <w:r>
        <w:rPr>
          <w:rFonts w:ascii="宋体" w:hAnsi="宋体" w:cs="宋体" w:eastAsia="宋体" w:hint="ascii"/>
          <w:sz w:val="21"/>
        </w:rPr>
        <w:t>度预估。室内场条件下目</w:t>
      </w:r>
      <w:r>
        <w:rPr>
          <w:rFonts w:ascii="宋体" w:hAnsi="宋体" w:cs="宋体" w:eastAsia="宋体" w:hint="ascii"/>
          <w:sz w:val="21"/>
          <w:spacing w:val="-6"/>
        </w:rPr>
        <w:t>标</w:t>
      </w:r>
      <w:r>
        <w:rPr>
          <w:rFonts w:ascii="Times New Roman" w:hAnsi="Times New Roman" w:cs="Times New Roman" w:eastAsia="Times New Roman" w:hint="ascii"/>
          <w:sz w:val="21"/>
        </w:rPr>
        <w:t>RC</w:t>
      </w:r>
      <w:r>
        <w:rPr>
          <w:rFonts w:ascii="Times New Roman" w:hAnsi="Times New Roman" w:cs="Times New Roman" w:eastAsia="Times New Roman" w:hint="ascii"/>
          <w:sz w:val="21"/>
          <w:spacing w:val="52"/>
        </w:rPr>
        <w:t>S</w:t>
      </w:r>
      <w:r>
        <w:rPr>
          <w:rFonts w:ascii="宋体" w:hAnsi="宋体" w:cs="宋体" w:eastAsia="宋体" w:hint="ascii"/>
          <w:sz w:val="21"/>
        </w:rPr>
        <w:t>仿真精度与实测结果的误差均值控制</w:t>
      </w:r>
      <w:r>
        <w:rPr>
          <w:rFonts w:ascii="宋体" w:hAnsi="宋体" w:cs="宋体" w:eastAsia="宋体" w:hint="ascii"/>
          <w:sz w:val="21"/>
          <w:spacing w:val="26"/>
        </w:rPr>
        <w:t>在</w:t>
      </w:r>
      <w:r>
        <w:rPr>
          <w:rFonts w:ascii="Times New Roman" w:hAnsi="Times New Roman" w:cs="Times New Roman" w:eastAsia="Times New Roman" w:hint="ascii"/>
          <w:sz w:val="21"/>
        </w:rPr>
        <w:t>3d</w:t>
      </w:r>
      <w:r>
        <w:rPr>
          <w:rFonts w:ascii="Times New Roman" w:hAnsi="Times New Roman" w:cs="Times New Roman" w:eastAsia="Times New Roman" w:hint="ascii"/>
          <w:sz w:val="21"/>
          <w:spacing w:val="52"/>
        </w:rPr>
        <w:t>B</w:t>
      </w:r>
      <w:r>
        <w:rPr>
          <w:rFonts w:ascii="宋体" w:hAnsi="宋体" w:cs="宋体" w:eastAsia="宋体" w:hint="ascii"/>
          <w:sz w:val="21"/>
        </w:rPr>
        <w:t>以内。</w:t>
      </w:r>
    </w:p>
    <w:p>
      <w:pPr>
        <w:autoSpaceDE w:val="0"/>
        <w:autoSpaceDN w:val="0"/>
        <w:jc w:val="left"/>
        <w:spacing w:before="40" w:after="0" w:lineRule="auto" w:line="240"/>
        <w:ind w:right="0" w:left="1649" w:hanging="263"/>
        <w:snapToGrid w:val="0"/>
        <w:textAlignment w:val="auto"/>
        <w:tabs>
          <w:tab w:val="left" w:leader="none" w:pos="1648"/>
        </w:tabs>
        <w:numPr>
          <w:ilvl w:val="0"/>
          <w:numId w:val="151"/>
        </w:numPr>
        <w:rPr>
          <w:rFonts w:ascii="Times New Roman" w:hAnsi="Times New Roman" w:cs="Times New Roman" w:eastAsia="Times New Roman" w:hint="ascii"/>
          <w:sz w:val="21"/>
        </w:rPr>
      </w:pPr>
      <w:r>
        <w:rPr>
          <w:rFonts w:ascii="宋体" w:hAnsi="宋体" w:cs="宋体" w:eastAsia="宋体" w:hint="ascii"/>
          <w:sz w:val="21"/>
        </w:rPr>
        <w:t>空间多目标雷达探测场景时空变换及信号重构研究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研究室内场多源电磁波束生成与控制方法，探索多源电磁波束电磁干扰与信号串扰</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抑制机理与方</w:t>
      </w:r>
      <w:r>
        <w:rPr>
          <w:rFonts w:ascii="宋体" w:hAnsi="宋体" w:cs="宋体" w:eastAsia="宋体" w:hint="ascii"/>
          <w:sz w:val="21"/>
        </w:rPr>
        <w:t>法，实现空间多目标雷达探测波束空间等效构建；探索雷达调制信号室内</w:t>
      </w:r>
      <w:r>
        <w:rPr>
          <w:rFonts w:ascii="宋体" w:hAnsi="宋体" w:cs="宋体" w:eastAsia="宋体" w:hint="ascii"/>
          <w:sz w:val="21"/>
          <w:spacing w:val="-1"/>
        </w:rPr>
        <w:t>场有限空间适</w:t>
      </w:r>
      <w:r>
        <w:rPr>
          <w:rFonts w:ascii="宋体" w:hAnsi="宋体" w:cs="宋体" w:eastAsia="宋体" w:hint="ascii"/>
          <w:sz w:val="21"/>
        </w:rPr>
        <w:t>配方法，建立有限空间内非完整脉冲信号空间目标散射回波信号重构与处</w:t>
      </w:r>
    </w:p>
    <w:p>
      <w:pPr>
        <w:autoSpaceDE w:val="0"/>
        <w:autoSpaceDN w:val="0"/>
        <w:jc w:val="left"/>
        <w:spacing w:before="414" w:after="0" w:lineRule="exact" w:line="225"/>
        <w:ind w:right="0" w:left="8338"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理方法，实</w:t>
      </w:r>
      <w:r>
        <w:rPr>
          <w:rFonts w:ascii="宋体" w:hAnsi="宋体" w:cs="宋体" w:eastAsia="宋体" w:hint="ascii"/>
          <w:sz w:val="21"/>
        </w:rPr>
        <w:t>现地面室内场中空间多目标雷达动态探测过程的等效复现。能够实现多源电磁波束，激励信号脉冲宽度</w:t>
      </w:r>
      <w:r>
        <w:rPr>
          <w:rFonts w:ascii="宋体" w:hAnsi="宋体" w:cs="宋体" w:eastAsia="宋体" w:hint="ascii"/>
          <w:sz w:val="21"/>
          <w:spacing w:val="26"/>
        </w:rPr>
        <w:t>在</w:t>
      </w:r>
      <w:r>
        <w:rPr>
          <w:rFonts w:ascii="Times New Roman" w:hAnsi="Times New Roman" w:cs="Times New Roman" w:eastAsia="Times New Roman" w:hint="ascii"/>
          <w:sz w:val="21"/>
        </w:rPr>
        <w:t>0.1</w:t>
      </w:r>
      <w:r>
        <w:rPr>
          <w:rFonts w:ascii="Times New Roman" w:hAnsi="Times New Roman" w:cs="Times New Roman" w:eastAsia="Times New Roman" w:hint="ascii"/>
          <w:sz w:val="21"/>
        </w:rPr>
        <w:t>μ</w:t>
      </w:r>
      <w:r>
        <w:rPr>
          <w:rFonts w:ascii="Times New Roman" w:hAnsi="Times New Roman" w:cs="Times New Roman" w:eastAsia="Times New Roman" w:hint="ascii"/>
          <w:sz w:val="21"/>
          <w:spacing w:val="51"/>
        </w:rPr>
        <w:t>s</w:t>
      </w:r>
      <w:r>
        <w:rPr>
          <w:rFonts w:ascii="宋体" w:hAnsi="宋体" w:cs="宋体" w:eastAsia="宋体" w:hint="ascii"/>
          <w:sz w:val="21"/>
          <w:spacing w:val="26"/>
        </w:rPr>
        <w:t>到</w:t>
      </w:r>
      <w:r>
        <w:rPr>
          <w:rFonts w:ascii="Times New Roman" w:hAnsi="Times New Roman" w:cs="Times New Roman" w:eastAsia="Times New Roman" w:hint="ascii"/>
          <w:sz w:val="21"/>
        </w:rPr>
        <w:t>16m</w:t>
      </w:r>
      <w:r>
        <w:rPr>
          <w:rFonts w:ascii="Times New Roman" w:hAnsi="Times New Roman" w:cs="Times New Roman" w:eastAsia="Times New Roman" w:hint="ascii"/>
          <w:sz w:val="21"/>
          <w:spacing w:val="53"/>
        </w:rPr>
        <w:t>s</w:t>
      </w:r>
      <w:r>
        <w:rPr>
          <w:rFonts w:ascii="宋体" w:hAnsi="宋体" w:cs="宋体" w:eastAsia="宋体" w:hint="ascii"/>
          <w:sz w:val="21"/>
        </w:rPr>
        <w:t>时，信号重构误差小</w:t>
      </w:r>
      <w:r>
        <w:rPr>
          <w:rFonts w:ascii="宋体" w:hAnsi="宋体" w:cs="宋体" w:eastAsia="宋体" w:hint="ascii"/>
          <w:sz w:val="21"/>
          <w:spacing w:val="26"/>
        </w:rPr>
        <w:t>于</w:t>
      </w:r>
      <w:r>
        <w:rPr>
          <w:rFonts w:ascii="Times New Roman" w:hAnsi="Times New Roman" w:cs="Times New Roman" w:eastAsia="Times New Roman" w:hint="ascii"/>
          <w:sz w:val="21"/>
        </w:rPr>
        <w:t>0.5dB</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87" locked="0" layoutInCell="1" allowOverlap="1">
                <wp:simplePos x="0" y="0"/>
                <wp:positionH relativeFrom="page">
                  <wp:posOffset>938530</wp:posOffset>
                </wp:positionH>
                <wp:positionV relativeFrom="page">
                  <wp:posOffset>805815</wp:posOffset>
                </wp:positionV>
                <wp:extent cx="5076190" cy="0"/>
                <wp:wrapNone/>
                <wp:docPr id="1216" name="121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66752;width:399.70pt;" id="121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649" w:hanging="263"/>
        <w:snapToGrid w:val="0"/>
        <w:textAlignment w:val="auto"/>
        <w:tabs>
          <w:tab w:val="left" w:leader="none" w:pos="1648"/>
        </w:tabs>
        <w:numPr>
          <w:ilvl w:val="0"/>
          <w:numId w:val="151"/>
        </w:numPr>
        <w:rPr>
          <w:rFonts w:ascii="Times New Roman" w:hAnsi="Times New Roman" w:cs="Times New Roman" w:eastAsia="Times New Roman" w:hint="ascii"/>
          <w:sz w:val="21"/>
        </w:rPr>
      </w:pPr>
      <w:r>
        <w:rPr>
          <w:rFonts w:ascii="宋体" w:hAnsi="宋体" w:cs="宋体" w:eastAsia="宋体" w:hint="ascii"/>
          <w:sz w:val="21"/>
        </w:rPr>
        <w:t>空间动态目标多维度电磁特征测量与校验方法研究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开展大型室内场空间动态目标多维度电磁特征测量理论与方法研究，分析实验室测</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量误差源，</w:t>
      </w:r>
      <w:r>
        <w:rPr>
          <w:rFonts w:ascii="宋体" w:hAnsi="宋体" w:cs="宋体" w:eastAsia="宋体" w:hint="ascii"/>
          <w:sz w:val="21"/>
        </w:rPr>
        <w:t>建立多尺度空间动态多目标模拟测量误差模型，实现复杂空间多目标多维度</w:t>
      </w:r>
      <w:r>
        <w:rPr>
          <w:rFonts w:ascii="宋体" w:hAnsi="宋体" w:cs="宋体" w:eastAsia="宋体" w:hint="ascii"/>
          <w:sz w:val="21"/>
          <w:spacing w:val="-1"/>
        </w:rPr>
        <w:t>电磁特征高</w:t>
      </w:r>
      <w:r>
        <w:rPr>
          <w:rFonts w:ascii="宋体" w:hAnsi="宋体" w:cs="宋体" w:eastAsia="宋体" w:hint="ascii"/>
          <w:sz w:val="21"/>
        </w:rPr>
        <w:t>精度测量。开展空间动态多目标电磁特征表征模型实验校验方法研究，实现地面室内场测量系统置信度评估。</w:t>
      </w:r>
    </w:p>
    <w:p>
      <w:pPr>
        <w:autoSpaceDE w:val="0"/>
        <w:autoSpaceDN w:val="0"/>
        <w:jc w:val="left"/>
        <w:spacing w:before="40" w:after="0" w:lineRule="auto" w:line="240"/>
        <w:ind w:right="0" w:left="1649" w:hanging="263"/>
        <w:snapToGrid w:val="0"/>
        <w:textAlignment w:val="auto"/>
        <w:tabs>
          <w:tab w:val="left" w:leader="none" w:pos="1648"/>
        </w:tabs>
        <w:numPr>
          <w:ilvl w:val="0"/>
          <w:numId w:val="151"/>
        </w:numPr>
        <w:rPr>
          <w:rFonts w:ascii="Times New Roman" w:hAnsi="Times New Roman" w:cs="Times New Roman" w:eastAsia="Times New Roman" w:hint="ascii"/>
          <w:sz w:val="21"/>
        </w:rPr>
      </w:pPr>
      <w:r>
        <w:rPr>
          <w:rFonts w:ascii="宋体" w:hAnsi="宋体" w:cs="宋体" w:eastAsia="宋体" w:hint="ascii"/>
          <w:sz w:val="21"/>
        </w:rPr>
        <w:t>空间复杂动态多目标电磁特征天地一致性研究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建立基于动态飞行试验小样本数据的计算与测量的校验及修正方法，实现基于大型</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地面室内场</w:t>
      </w:r>
      <w:r>
        <w:rPr>
          <w:rFonts w:ascii="宋体" w:hAnsi="宋体" w:cs="宋体" w:eastAsia="宋体" w:hint="ascii"/>
          <w:sz w:val="21"/>
        </w:rPr>
        <w:t>实验数据对空间复杂动态多目标雷达探测回波特征的反演。在此基础上，室内场计算和测量的准确度达</w:t>
      </w:r>
      <w:r>
        <w:rPr>
          <w:rFonts w:ascii="宋体" w:hAnsi="宋体" w:cs="宋体" w:eastAsia="宋体" w:hint="ascii"/>
          <w:sz w:val="21"/>
          <w:spacing w:val="26"/>
        </w:rPr>
        <w:t>到</w:t>
      </w:r>
      <w:r>
        <w:rPr>
          <w:rFonts w:ascii="Times New Roman" w:hAnsi="Times New Roman" w:cs="Times New Roman" w:eastAsia="Times New Roman" w:hint="ascii"/>
          <w:sz w:val="21"/>
        </w:rPr>
        <w:t>80%</w:t>
      </w:r>
      <w:r>
        <w:rPr>
          <w:rFonts w:ascii="宋体" w:hAnsi="宋体" w:cs="宋体" w:eastAsia="宋体" w:hint="ascii"/>
          <w:sz w:val="21"/>
        </w:rPr>
        <w:t>，置信度达</w:t>
      </w:r>
      <w:r>
        <w:rPr>
          <w:rFonts w:ascii="宋体" w:hAnsi="宋体" w:cs="宋体" w:eastAsia="宋体" w:hint="ascii"/>
          <w:sz w:val="21"/>
          <w:spacing w:val="26"/>
        </w:rPr>
        <w:t>到</w:t>
      </w:r>
      <w:r>
        <w:rPr>
          <w:rFonts w:ascii="Times New Roman" w:hAnsi="Times New Roman" w:cs="Times New Roman" w:eastAsia="Times New Roman" w:hint="ascii"/>
          <w:sz w:val="21"/>
        </w:rPr>
        <w:t>90%</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both"/>
        <w:spacing w:before="157"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）申请书</w:t>
      </w:r>
      <w:r>
        <w:rPr>
          <w:rFonts w:ascii="宋体" w:hAnsi="宋体" w:cs="宋体" w:eastAsia="宋体" w:hint="ascii"/>
          <w:sz w:val="21"/>
        </w:rPr>
        <w:t>的附注说明选择“空间复杂动态多目标电磁特征的表征与重构基础理论及关键技术</w:t>
      </w:r>
      <w:r>
        <w:rPr>
          <w:rFonts w:ascii="宋体" w:hAnsi="宋体" w:cs="宋体" w:eastAsia="宋体" w:hint="ascii"/>
          <w:sz w:val="21"/>
          <w:spacing w:val="-53"/>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F0120</w:t>
      </w:r>
      <w:r>
        <w:rPr>
          <w:rFonts w:ascii="宋体" w:hAnsi="宋体" w:cs="宋体" w:eastAsia="宋体" w:hint="ascii"/>
          <w:sz w:val="21"/>
        </w:rPr>
        <w:t>；</w:t>
      </w:r>
    </w:p>
    <w:p>
      <w:pPr>
        <w:autoSpaceDE w:val="0"/>
        <w:autoSpaceDN w:val="0"/>
        <w:jc w:val="both"/>
        <w:spacing w:before="0" w:after="0" w:lineRule="exact" w:line="312"/>
        <w:ind w:right="1492"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）申请人</w:t>
      </w:r>
      <w:r>
        <w:rPr>
          <w:rFonts w:ascii="宋体" w:hAnsi="宋体" w:cs="宋体" w:eastAsia="宋体" w:hint="ascii"/>
          <w:sz w:val="21"/>
        </w:rPr>
        <w:t>申请的直接费用预算不得超</w:t>
      </w:r>
      <w:r>
        <w:rPr>
          <w:rFonts w:ascii="宋体" w:hAnsi="宋体" w:cs="宋体" w:eastAsia="宋体" w:hint="ascii"/>
          <w:sz w:val="21"/>
          <w:spacing w:val="26"/>
        </w:rPr>
        <w:t>过</w:t>
      </w:r>
      <w:r>
        <w:rPr>
          <w:rFonts w:ascii="Times New Roman" w:hAnsi="Times New Roman" w:cs="Times New Roman" w:eastAsia="Times New Roman" w:hint="ascii"/>
          <w:sz w:val="21"/>
        </w:rPr>
        <w:t>1 80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26"/>
        </w:rPr>
        <w:t>含</w:t>
      </w:r>
      <w:r>
        <w:rPr>
          <w:rFonts w:ascii="Times New Roman" w:hAnsi="Times New Roman" w:cs="Times New Roman" w:eastAsia="Times New Roman" w:hint="ascii"/>
          <w:sz w:val="21"/>
        </w:rPr>
        <w:t>1 80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）本项目由信息科学部负责受理。</w:t>
      </w:r>
    </w:p>
    <w:p>
      <w:pPr>
        <w:autoSpaceDE w:val="0"/>
        <w:autoSpaceDN w:val="0"/>
        <w:jc w:val="left"/>
        <w:spacing w:before="714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2406" w:after="0" w:lineRule="exact" w:line="650"/>
        <w:ind w:right="0" w:left="2875" w:firstLine="0"/>
        <w:snapToGrid w:val="0"/>
        <w:textAlignment w:val="auto"/>
        <w:tabs/>
        <w:rPr>
          <w:rFonts w:ascii="宋体" w:hAnsi="宋体" w:cs="宋体" w:eastAsia="宋体" w:hint="ascii"/>
          <w:sz w:val="52"/>
        </w:rPr>
      </w:pPr>
      <w:r>
        <w:rPr>
          <w:rFonts w:ascii="宋体" w:hAnsi="宋体" w:cs="宋体" w:eastAsia="宋体" w:hint="ascii"/>
          <w:sz w:val="52"/>
        </w:rPr>
        <w:t>重大研究计划项目</w:t>
      </w:r>
      <w:r>
        <w:rPr>
          <w:rFonts w:ascii="宋体" w:hAnsi="宋体" w:cs="宋体" w:eastAsia="宋体" w:hint="ascii"/>
          <w:sz w:val="52"/>
        </w:rPr>
        <mc:AlternateContent>
          <mc:Choice Requires="wps">
            <w:drawing>
              <wp:anchor distL="0" distR="0" distT="0" distB="0" simplePos="0" behindDoc="1" relativeHeight="188" locked="0" layoutInCell="1" allowOverlap="1">
                <wp:simplePos x="0" y="0"/>
                <wp:positionH relativeFrom="page">
                  <wp:posOffset>938530</wp:posOffset>
                </wp:positionH>
                <wp:positionV relativeFrom="page">
                  <wp:posOffset>819150</wp:posOffset>
                </wp:positionV>
                <wp:extent cx="5076190" cy="0"/>
                <wp:wrapNone/>
                <wp:docPr id="1217" name="121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65728;width:399.70pt;" id="1217"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189" locked="0" layoutInCell="1" allowOverlap="1">
                <wp:simplePos x="0" y="0"/>
                <wp:positionH relativeFrom="page">
                  <wp:posOffset>505460</wp:posOffset>
                </wp:positionH>
                <wp:positionV relativeFrom="page">
                  <wp:posOffset>501015</wp:posOffset>
                </wp:positionV>
                <wp:extent cx="6050280" cy="876300"/>
                <wp:wrapNone/>
                <wp:docPr id="1218" name="1218"/>
                <wp:cNvGraphicFramePr/>
                <a:graphic>
                  <a:graphicData uri="http://schemas.microsoft.com/office/word/2010/wordprocessingShape">
                    <wps:wsp>
                      <wps:cNvSpPr/>
                      <wps:spPr>
                        <a:xfrm>
                          <a:off x="0" y="0"/>
                          <a:ext cx="6050280" cy="87630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9.80pt;mso-position-vertical:absolute;mso-position-vertical-relative:page;margin-top:39.45pt;z-index:-251464704;width:476.40pt;height:69.00pt;" id="1218" coordsize="9528,1380" stroked="f" fillcolor="#ffffff" opacity="0f">
                <v:stroke endcap="round"/>
                <v:fill opacity="0f"/>
                <w10:wrap anchorx="page" anchory="page" side="both"/>
              </v:rect>
            </w:pict>
          </mc:Fallback>
        </mc:AlternateContent>
      </w:r>
    </w:p>
    <w:p>
      <w:pPr>
        <w:autoSpaceDE w:val="0"/>
        <w:autoSpaceDN w:val="0"/>
        <w:jc w:val="left"/>
        <w:spacing w:before="4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重大研究计划围绕国家重大战略需求和重大科学前沿，加强顶层设计，</w:t>
      </w:r>
    </w:p>
    <w:p>
      <w:pPr>
        <w:autoSpaceDE w:val="0"/>
        <w:autoSpaceDN w:val="0"/>
        <w:jc w:val="both"/>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凝练科学目标，凝聚优势力量，形成具有相对统一目标或方向的项目集群，促进学科交叉与融合，培养创新人才和团队，提升我国基础研究的原始创新能力，为国民经济、社会发展和国家安全提供科学支撑。</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重大研究计划应当遵循有限目标、稳定支持、集成升华、跨越发展的基</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本原则。重大研究计划执行期一般</w:t>
      </w:r>
      <w:r>
        <w:rPr>
          <w:rFonts w:ascii="宋体" w:hAnsi="宋体" w:cs="宋体" w:eastAsia="宋体" w:hint="ascii"/>
          <w:spacing w:val="30"/>
        </w:rPr>
        <w:t>为</w:t>
      </w:r>
      <w:r>
        <w:rPr>
          <w:rFonts w:ascii="Times New Roman" w:hAnsi="Times New Roman" w:cs="Times New Roman" w:eastAsia="Times New Roman" w:hint="ascii"/>
          <w:spacing w:val="60"/>
        </w:rPr>
        <w:t>8</w:t>
      </w:r>
      <w:r>
        <w:rPr>
          <w:rFonts w:ascii="宋体" w:hAnsi="宋体" w:cs="宋体" w:eastAsia="宋体" w:hint="ascii"/>
        </w:rPr>
        <w:t>年。</w:t>
      </w:r>
    </w:p>
    <w:p>
      <w:pPr>
        <w:autoSpaceDE w:val="0"/>
        <w:autoSpaceDN w:val="0"/>
        <w:jc w:val="left"/>
        <w:spacing w:before="56"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重大研究计划项目申请人应当具备以下条件：</w:t>
      </w:r>
    </w:p>
    <w:p>
      <w:pPr>
        <w:autoSpaceDE w:val="0"/>
        <w:autoSpaceDN w:val="0"/>
        <w:jc w:val="left"/>
        <w:spacing w:before="55"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）具有承担基础研究课题的经历；</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w:t>
      </w:r>
      <w:r>
        <w:rPr>
          <w:rFonts w:ascii="宋体" w:hAnsi="宋体" w:cs="宋体" w:eastAsia="宋体" w:hint="ascii"/>
          <w:spacing w:val="-60"/>
        </w:rPr>
        <w:t>）</w:t>
      </w:r>
      <w:r>
        <w:rPr>
          <w:rFonts w:ascii="宋体" w:hAnsi="宋体" w:cs="宋体" w:eastAsia="宋体" w:hint="ascii"/>
        </w:rPr>
        <w:t>。</w:t>
      </w:r>
    </w:p>
    <w:p>
      <w:pPr>
        <w:autoSpaceDE w:val="0"/>
        <w:autoSpaceDN w:val="0"/>
        <w:jc w:val="both"/>
        <w:spacing w:before="12" w:after="0" w:lineRule="exact" w:line="355"/>
        <w:ind w:right="978" w:left="966" w:firstLine="480"/>
        <w:snapToGrid w:val="0"/>
        <w:textAlignment w:val="auto"/>
        <w:tabs/>
        <w:rPr>
          <w:rFonts w:ascii="宋体" w:hAnsi="宋体" w:cs="宋体" w:eastAsia="宋体" w:hint="ascii"/>
        </w:rPr>
      </w:pPr>
      <w:r>
        <w:rPr>
          <w:rFonts w:ascii="宋体" w:hAnsi="宋体" w:cs="宋体" w:eastAsia="宋体" w:hint="ascii"/>
        </w:rPr>
        <w:t>在站博士后研究人员、正在攻读研究生学位以及无工作单位或者所在单位不是依托单位的人员不得作为申请人进行申请。</w:t>
      </w:r>
    </w:p>
    <w:p>
      <w:pPr>
        <w:autoSpaceDE w:val="0"/>
        <w:autoSpaceDN w:val="0"/>
        <w:jc w:val="left"/>
        <w:spacing w:before="4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申请人同年只能申请</w:t>
      </w:r>
      <w:r>
        <w:rPr>
          <w:rFonts w:ascii="宋体" w:hAnsi="宋体" w:cs="宋体" w:eastAsia="宋体" w:hint="ascii"/>
          <w:spacing w:val="-29"/>
        </w:rPr>
        <w:t xml:space="preserve"> </w:t>
      </w:r>
      <w:r>
        <w:rPr>
          <w:rFonts w:ascii="Times New Roman" w:hAnsi="Times New Roman" w:cs="Times New Roman" w:eastAsia="Times New Roman" w:hint="ascii"/>
          <w:spacing w:val="60"/>
        </w:rPr>
        <w:t>1</w:t>
      </w:r>
      <w:r>
        <w:rPr>
          <w:rFonts w:ascii="宋体" w:hAnsi="宋体" w:cs="宋体" w:eastAsia="宋体" w:hint="ascii"/>
        </w:rPr>
        <w:t>项重大研究计划项目（不包括集成项目及战略研</w:t>
      </w:r>
    </w:p>
    <w:p>
      <w:pPr>
        <w:autoSpaceDE w:val="0"/>
        <w:autoSpaceDN w:val="0"/>
        <w:jc w:val="both"/>
        <w:spacing w:before="12" w:after="0" w:lineRule="exact" w:line="355"/>
        <w:ind w:right="963" w:left="966" w:firstLine="0"/>
        <w:snapToGrid w:val="0"/>
        <w:textAlignment w:val="auto"/>
        <w:tabs/>
        <w:rPr>
          <w:rFonts w:ascii="宋体" w:hAnsi="宋体" w:cs="宋体" w:eastAsia="宋体" w:hint="ascii"/>
        </w:rPr>
      </w:pPr>
      <w:r>
        <w:rPr>
          <w:rFonts w:ascii="宋体" w:hAnsi="宋体" w:cs="宋体" w:eastAsia="宋体" w:hint="ascii"/>
        </w:rPr>
        <w:t>究项目</w:t>
      </w:r>
      <w:r>
        <w:rPr>
          <w:rFonts w:ascii="宋体" w:hAnsi="宋体" w:cs="宋体" w:eastAsia="宋体" w:hint="ascii"/>
          <w:spacing w:val="-60"/>
        </w:rPr>
        <w:t>）</w:t>
      </w:r>
      <w:r>
        <w:rPr>
          <w:rFonts w:ascii="宋体" w:hAnsi="宋体" w:cs="宋体" w:eastAsia="宋体" w:hint="ascii"/>
        </w:rPr>
        <w:t>；上一年度获得重大研究计划项目资助的项目负责人（不包括集</w:t>
      </w:r>
      <w:r>
        <w:rPr>
          <w:rFonts w:ascii="宋体" w:hAnsi="宋体" w:cs="宋体" w:eastAsia="宋体" w:hint="ascii"/>
          <w:spacing w:val="-6"/>
        </w:rPr>
        <w:t>成</w:t>
      </w:r>
      <w:r>
        <w:rPr>
          <w:rFonts w:ascii="宋体" w:hAnsi="宋体" w:cs="宋体" w:eastAsia="宋体" w:hint="ascii"/>
        </w:rPr>
        <w:t>项目及战略研究项目</w:t>
      </w:r>
      <w:r>
        <w:rPr>
          <w:rFonts w:ascii="宋体" w:hAnsi="宋体" w:cs="宋体" w:eastAsia="宋体" w:hint="ascii"/>
          <w:spacing w:val="-60"/>
        </w:rPr>
        <w:t>）</w:t>
      </w:r>
      <w:r>
        <w:rPr>
          <w:rFonts w:ascii="宋体" w:hAnsi="宋体" w:cs="宋体" w:eastAsia="宋体" w:hint="ascii"/>
        </w:rPr>
        <w:t>，本年度不得再申请重大研究计划项目。</w:t>
      </w:r>
    </w:p>
    <w:p>
      <w:pPr>
        <w:autoSpaceDE w:val="0"/>
        <w:autoSpaceDN w:val="0"/>
        <w:jc w:val="left"/>
        <w:spacing w:before="4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重大研究计划项目包括培育项目、重点支持项目和集成项目</w:t>
      </w:r>
      <w:r>
        <w:rPr>
          <w:rFonts w:ascii="宋体" w:hAnsi="宋体" w:cs="宋体" w:eastAsia="宋体" w:hint="ascii"/>
          <w:spacing w:val="-29"/>
        </w:rPr>
        <w:t xml:space="preserve"> </w:t>
      </w:r>
      <w:r>
        <w:rPr>
          <w:rFonts w:ascii="Times New Roman" w:hAnsi="Times New Roman" w:cs="Times New Roman" w:eastAsia="Times New Roman" w:hint="ascii"/>
        </w:rPr>
        <w:t>3</w:t>
      </w:r>
      <w:r>
        <w:rPr>
          <w:rFonts w:ascii="Times New Roman" w:hAnsi="Times New Roman" w:cs="Times New Roman" w:eastAsia="Times New Roman" w:hint="ascii"/>
          <w:spacing w:val="-29"/>
        </w:rPr>
        <w:t xml:space="preserve"> </w:t>
      </w:r>
      <w:r>
        <w:rPr>
          <w:rFonts w:ascii="宋体" w:hAnsi="宋体" w:cs="宋体" w:eastAsia="宋体" w:hint="ascii"/>
        </w:rPr>
        <w:t>类。申请</w:t>
      </w:r>
    </w:p>
    <w:p>
      <w:pPr>
        <w:autoSpaceDE w:val="0"/>
        <w:autoSpaceDN w:val="0"/>
        <w:jc w:val="both"/>
        <w:spacing w:before="12" w:after="0" w:lineRule="exact" w:line="355"/>
        <w:ind w:right="963" w:left="966" w:firstLine="0"/>
        <w:snapToGrid w:val="0"/>
        <w:textAlignment w:val="auto"/>
        <w:tabs/>
        <w:rPr>
          <w:rFonts w:ascii="宋体" w:hAnsi="宋体" w:cs="宋体" w:eastAsia="宋体" w:hint="ascii"/>
        </w:rPr>
      </w:pPr>
      <w:r>
        <w:rPr>
          <w:rFonts w:ascii="宋体" w:hAnsi="宋体" w:cs="宋体" w:eastAsia="宋体" w:hint="ascii"/>
        </w:rPr>
        <w:t>人应当按照本《指南》相关重大研究计划的要求和重大研究计划项目申请书</w:t>
      </w:r>
      <w:r>
        <w:rPr>
          <w:rFonts w:ascii="宋体" w:hAnsi="宋体" w:cs="宋体" w:eastAsia="宋体" w:hint="ascii"/>
          <w:spacing w:val="2"/>
        </w:rPr>
        <w:t>撰写提纲撰写申请书，应突出有限目</w:t>
      </w:r>
      <w:r>
        <w:rPr>
          <w:rFonts w:ascii="宋体" w:hAnsi="宋体" w:cs="宋体" w:eastAsia="宋体" w:hint="ascii"/>
          <w:spacing w:val="1"/>
        </w:rPr>
        <w:t>标和重点突破，体现学科交叉研究</w:t>
      </w:r>
      <w:r>
        <w:rPr>
          <w:rFonts w:ascii="宋体" w:hAnsi="宋体" w:cs="宋体" w:eastAsia="宋体" w:hint="ascii"/>
          <w:spacing w:val="-8"/>
        </w:rPr>
        <w:t>特</w:t>
      </w:r>
      <w:r>
        <w:rPr>
          <w:rFonts w:ascii="宋体" w:hAnsi="宋体" w:cs="宋体" w:eastAsia="宋体" w:hint="ascii"/>
        </w:rPr>
        <w:t>征，明确对实现重大研究计划总体目标和解决核心科学问题的贡献。申请书中的资助类别选择“重大研究计划</w:t>
      </w:r>
      <w:r>
        <w:rPr>
          <w:rFonts w:ascii="宋体" w:hAnsi="宋体" w:cs="宋体" w:eastAsia="宋体" w:hint="ascii"/>
          <w:spacing w:val="-60"/>
        </w:rPr>
        <w:t>”</w:t>
      </w:r>
      <w:r>
        <w:rPr>
          <w:rFonts w:ascii="宋体" w:hAnsi="宋体" w:cs="宋体" w:eastAsia="宋体" w:hint="ascii"/>
        </w:rPr>
        <w:t>，亚类说明选择“培育项目</w:t>
      </w:r>
      <w:r>
        <w:rPr>
          <w:rFonts w:ascii="宋体" w:hAnsi="宋体" w:cs="宋体" w:eastAsia="宋体" w:hint="ascii"/>
          <w:spacing w:val="-60"/>
        </w:rPr>
        <w:t>”</w:t>
      </w:r>
      <w:r>
        <w:rPr>
          <w:rFonts w:ascii="宋体" w:hAnsi="宋体" w:cs="宋体" w:eastAsia="宋体" w:hint="ascii"/>
          <w:spacing w:val="-61"/>
        </w:rPr>
        <w:t>、</w:t>
      </w:r>
      <w:r>
        <w:rPr>
          <w:rFonts w:ascii="宋体" w:hAnsi="宋体" w:cs="宋体" w:eastAsia="宋体" w:hint="ascii"/>
        </w:rPr>
        <w:t>“重点</w:t>
      </w:r>
      <w:r>
        <w:rPr>
          <w:rFonts w:ascii="宋体" w:hAnsi="宋体" w:cs="宋体" w:eastAsia="宋体" w:hint="ascii"/>
          <w:spacing w:val="-6"/>
        </w:rPr>
        <w:t>支</w:t>
      </w:r>
      <w:r>
        <w:rPr>
          <w:rFonts w:ascii="宋体" w:hAnsi="宋体" w:cs="宋体" w:eastAsia="宋体" w:hint="ascii"/>
        </w:rPr>
        <w:t>持项目”或“集成项目</w:t>
      </w:r>
      <w:r>
        <w:rPr>
          <w:rFonts w:ascii="宋体" w:hAnsi="宋体" w:cs="宋体" w:eastAsia="宋体" w:hint="ascii"/>
          <w:spacing w:val="-60"/>
        </w:rPr>
        <w:t>”</w:t>
      </w:r>
      <w:r>
        <w:rPr>
          <w:rFonts w:ascii="宋体" w:hAnsi="宋体" w:cs="宋体" w:eastAsia="宋体" w:hint="ascii"/>
        </w:rPr>
        <w:t>，附注说明选择相应的重大研究计划名称。</w:t>
      </w:r>
    </w:p>
    <w:p>
      <w:pPr>
        <w:autoSpaceDE w:val="0"/>
        <w:autoSpaceDN w:val="0"/>
        <w:jc w:val="left"/>
        <w:spacing w:before="48"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重大研究计划培育项目的资助期限一般为</w:t>
      </w:r>
      <w:r>
        <w:rPr>
          <w:rFonts w:ascii="宋体" w:hAnsi="宋体" w:cs="宋体" w:eastAsia="宋体" w:hint="ascii"/>
          <w:spacing w:val="-29"/>
        </w:rPr>
        <w:t xml:space="preserve"> </w:t>
      </w:r>
      <w:r>
        <w:rPr>
          <w:rFonts w:ascii="Times New Roman" w:hAnsi="Times New Roman" w:cs="Times New Roman" w:eastAsia="Times New Roman" w:hint="ascii"/>
          <w:spacing w:val="61"/>
        </w:rPr>
        <w:t>3</w:t>
      </w:r>
      <w:r>
        <w:rPr>
          <w:rFonts w:ascii="宋体" w:hAnsi="宋体" w:cs="宋体" w:eastAsia="宋体" w:hint="ascii"/>
        </w:rPr>
        <w:t>年，重点支持项目的资助期</w:t>
      </w:r>
    </w:p>
    <w:p>
      <w:pPr>
        <w:autoSpaceDE w:val="0"/>
        <w:autoSpaceDN w:val="0"/>
        <w:jc w:val="both"/>
        <w:spacing w:before="12" w:after="0" w:lineRule="exact" w:line="355"/>
        <w:ind w:right="963" w:left="966" w:firstLine="0"/>
        <w:snapToGrid w:val="0"/>
        <w:textAlignment w:val="auto"/>
        <w:tabs/>
        <w:rPr>
          <w:rFonts w:ascii="宋体" w:hAnsi="宋体" w:cs="宋体" w:eastAsia="宋体" w:hint="ascii"/>
        </w:rPr>
      </w:pPr>
      <w:r>
        <w:rPr>
          <w:rFonts w:ascii="宋体" w:hAnsi="宋体" w:cs="宋体" w:eastAsia="宋体" w:hint="ascii"/>
        </w:rPr>
        <w:t>限一般为</w:t>
      </w:r>
      <w:r>
        <w:rPr>
          <w:rFonts w:ascii="宋体" w:hAnsi="宋体" w:cs="宋体" w:eastAsia="宋体" w:hint="ascii"/>
          <w:spacing w:val="-30"/>
        </w:rPr>
        <w:t xml:space="preserve"> </w:t>
      </w:r>
      <w:r>
        <w:rPr>
          <w:rFonts w:ascii="Times New Roman" w:hAnsi="Times New Roman" w:cs="Times New Roman" w:eastAsia="Times New Roman" w:hint="ascii"/>
          <w:spacing w:val="61"/>
        </w:rPr>
        <w:t>4</w:t>
      </w:r>
      <w:r>
        <w:rPr>
          <w:rFonts w:ascii="宋体" w:hAnsi="宋体" w:cs="宋体" w:eastAsia="宋体" w:hint="ascii"/>
        </w:rPr>
        <w:t>年，集成项目的资助期限由各重大研究计划指导专家组根据实际需要确定。培育项目和重点支持项目的合作研究单位不得超过</w:t>
      </w:r>
      <w:r>
        <w:rPr>
          <w:rFonts w:ascii="宋体" w:hAnsi="宋体" w:cs="宋体" w:eastAsia="宋体" w:hint="ascii"/>
          <w:spacing w:val="-30"/>
        </w:rPr>
        <w:t xml:space="preserve"> </w:t>
      </w:r>
      <w:r>
        <w:rPr>
          <w:rFonts w:ascii="Times New Roman" w:hAnsi="Times New Roman" w:cs="Times New Roman" w:eastAsia="Times New Roman" w:hint="ascii"/>
          <w:spacing w:val="61"/>
        </w:rPr>
        <w:t>2</w:t>
      </w:r>
      <w:r>
        <w:rPr>
          <w:rFonts w:ascii="宋体" w:hAnsi="宋体" w:cs="宋体" w:eastAsia="宋体" w:hint="ascii"/>
        </w:rPr>
        <w:t>个，集成项</w:t>
      </w:r>
      <w:r>
        <w:rPr>
          <w:rFonts w:ascii="宋体" w:hAnsi="宋体" w:cs="宋体" w:eastAsia="宋体" w:hint="ascii"/>
          <w:spacing w:val="-1"/>
        </w:rPr>
        <w:t>目的合作研究单位不得超过</w:t>
      </w:r>
      <w:r>
        <w:rPr>
          <w:rFonts w:ascii="宋体" w:hAnsi="宋体" w:cs="宋体" w:eastAsia="宋体" w:hint="ascii"/>
          <w:spacing w:val="-31"/>
        </w:rPr>
        <w:t xml:space="preserve"> </w:t>
      </w:r>
      <w:r>
        <w:rPr>
          <w:rFonts w:ascii="Times New Roman" w:hAnsi="Times New Roman" w:cs="Times New Roman" w:eastAsia="Times New Roman" w:hint="ascii"/>
          <w:spacing w:val="60"/>
        </w:rPr>
        <w:t>4</w:t>
      </w:r>
      <w:r>
        <w:rPr>
          <w:rFonts w:ascii="宋体" w:hAnsi="宋体" w:cs="宋体" w:eastAsia="宋体" w:hint="ascii"/>
          <w:spacing w:val="-1"/>
        </w:rPr>
        <w:t>个。集成项目主要参与者必须是“</w:t>
      </w:r>
      <w:r>
        <w:rPr>
          <w:rFonts w:ascii="宋体" w:hAnsi="宋体" w:cs="宋体" w:eastAsia="宋体" w:hint="ascii"/>
        </w:rPr>
        <w:t>集成项目” 的实际贡献者，合计人数不超</w:t>
      </w:r>
      <w:r>
        <w:rPr>
          <w:rFonts w:ascii="宋体" w:hAnsi="宋体" w:cs="宋体" w:eastAsia="宋体" w:hint="ascii"/>
          <w:spacing w:val="30"/>
        </w:rPr>
        <w:t>过</w:t>
      </w:r>
      <w:r>
        <w:rPr>
          <w:rFonts w:ascii="Times New Roman" w:hAnsi="Times New Roman" w:cs="Times New Roman" w:eastAsia="Times New Roman" w:hint="ascii"/>
          <w:spacing w:val="60"/>
        </w:rPr>
        <w:t>9</w:t>
      </w:r>
      <w:r>
        <w:rPr>
          <w:rFonts w:ascii="宋体" w:hAnsi="宋体" w:cs="宋体" w:eastAsia="宋体" w:hint="ascii"/>
        </w:rPr>
        <w:t>人。</w:t>
      </w:r>
    </w:p>
    <w:p>
      <w:pPr>
        <w:autoSpaceDE w:val="0"/>
        <w:autoSpaceDN w:val="0"/>
        <w:jc w:val="both"/>
        <w:spacing w:before="1" w:after="0" w:lineRule="exact" w:line="356"/>
        <w:ind w:right="978" w:left="966" w:firstLine="480"/>
        <w:snapToGrid w:val="0"/>
        <w:textAlignment w:val="auto"/>
        <w:tabs/>
        <w:rPr>
          <w:rFonts w:ascii="宋体" w:hAnsi="宋体" w:cs="宋体" w:eastAsia="宋体" w:hint="ascii"/>
        </w:rPr>
      </w:pPr>
      <w:r>
        <w:rPr>
          <w:rFonts w:ascii="宋体" w:hAnsi="宋体" w:cs="宋体" w:eastAsia="宋体" w:hint="ascii"/>
        </w:rPr>
        <w:t>为实现重大研究计划总体科学目标和多学科集成，获得资助的项目负责人应承诺遵守相关数据和资料管理与共享的规定。</w:t>
      </w:r>
    </w:p>
    <w:p>
      <w:pPr>
        <w:autoSpaceDE w:val="0"/>
        <w:autoSpaceDN w:val="0"/>
        <w:jc w:val="left"/>
        <w:spacing w:before="340"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293"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为加强项目的学术交流，促进项目围绕重大研究计划目标研究和多学科</w:t>
      </w:r>
      <w:r>
        <w:rPr>
          <w:rFonts w:ascii="宋体" w:hAnsi="宋体" w:cs="宋体" w:eastAsia="宋体" w:hint="ascii"/>
        </w:rPr>
        <mc:AlternateContent>
          <mc:Choice Requires="wps">
            <w:drawing>
              <wp:anchor distL="0" distR="0" distT="0" distB="0" simplePos="0" behindDoc="1" relativeHeight="190" locked="0" layoutInCell="1" allowOverlap="1">
                <wp:simplePos x="0" y="0"/>
                <wp:positionH relativeFrom="page">
                  <wp:posOffset>938530</wp:posOffset>
                </wp:positionH>
                <wp:positionV relativeFrom="page">
                  <wp:posOffset>805815</wp:posOffset>
                </wp:positionV>
                <wp:extent cx="5076190" cy="0"/>
                <wp:wrapNone/>
                <wp:docPr id="1219" name="121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63680;width:399.70pt;" id="121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1" w:after="0" w:lineRule="exact" w:line="356"/>
        <w:ind w:right="975" w:left="966" w:firstLine="0"/>
        <w:snapToGrid w:val="0"/>
        <w:textAlignment w:val="auto"/>
        <w:tabs/>
        <w:rPr>
          <w:rFonts w:ascii="宋体" w:hAnsi="宋体" w:cs="宋体" w:eastAsia="宋体" w:hint="ascii"/>
        </w:rPr>
      </w:pPr>
      <w:r>
        <w:rPr>
          <w:rFonts w:ascii="宋体" w:hAnsi="宋体" w:cs="宋体" w:eastAsia="宋体" w:hint="ascii"/>
        </w:rPr>
        <w:t>交叉与集成，重大研究计划每年将举办一次资助项目的年度学术交流会，并不定期地组织相关领域的学术研讨会。获资助项目负责人有义务参加这些学术活动。</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具体要求见本《指南》各重大研究计划介绍。</w:t>
      </w:r>
    </w:p>
    <w:p>
      <w:pPr>
        <w:autoSpaceDE w:val="0"/>
        <w:autoSpaceDN w:val="0"/>
        <w:jc w:val="left"/>
        <w:spacing w:before="56"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其他重大研究计划项目指南将陆续在自然科学基金委网站发布。</w:t>
      </w:r>
    </w:p>
    <w:p>
      <w:pPr>
        <w:autoSpaceDE w:val="0"/>
        <w:autoSpaceDN w:val="0"/>
        <w:jc w:val="left"/>
        <w:spacing w:before="1035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重大研究计划项目</w:t>
      </w:r>
    </w:p>
    <w:p>
      <w:pPr>
        <w:autoSpaceDE w:val="0"/>
        <w:autoSpaceDN w:val="0"/>
        <w:jc w:val="left"/>
        <w:spacing w:before="438" w:after="0" w:lineRule="exact" w:line="475"/>
        <w:ind w:right="0" w:left="2866" w:firstLine="0"/>
        <w:snapToGrid w:val="0"/>
        <w:textAlignment w:val="auto"/>
        <w:tabs/>
        <w:rPr>
          <w:rFonts w:ascii="宋体" w:hAnsi="宋体" w:cs="宋体" w:eastAsia="宋体" w:hint="ascii"/>
          <w:sz w:val="38"/>
        </w:rPr>
      </w:pPr>
      <w:r>
        <w:rPr>
          <w:rFonts w:ascii="宋体" w:hAnsi="宋体" w:cs="宋体" w:eastAsia="宋体" w:hint="ascii"/>
          <w:sz w:val="38"/>
        </w:rPr>
        <w:t>新型光场调控物理及应用</w:t>
      </w:r>
      <w:r>
        <w:rPr>
          <w:rFonts w:ascii="宋体" w:hAnsi="宋体" w:cs="宋体" w:eastAsia="宋体" w:hint="ascii"/>
          <w:sz w:val="38"/>
        </w:rPr>
        <mc:AlternateContent>
          <mc:Choice Requires="wps">
            <w:drawing>
              <wp:anchor distL="0" distR="0" distT="0" distB="0" simplePos="0" behindDoc="1" relativeHeight="191" locked="0" layoutInCell="1" allowOverlap="1">
                <wp:simplePos x="0" y="0"/>
                <wp:positionH relativeFrom="page">
                  <wp:posOffset>938530</wp:posOffset>
                </wp:positionH>
                <wp:positionV relativeFrom="page">
                  <wp:posOffset>819150</wp:posOffset>
                </wp:positionV>
                <wp:extent cx="5076190" cy="0"/>
                <wp:wrapNone/>
                <wp:docPr id="1220" name="122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62656;width:399.70pt;" id="122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本重大研究计划旨在通过光场与物质相互作用物理过程的精密控制，获得具有特定</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多维度（偏</w:t>
      </w:r>
      <w:r>
        <w:rPr>
          <w:rFonts w:ascii="宋体" w:hAnsi="宋体" w:cs="宋体" w:eastAsia="宋体" w:hint="ascii"/>
          <w:sz w:val="21"/>
        </w:rPr>
        <w:t>振、位相、频率、振幅、脉宽及模场）时空结构的新型光场；研究新型光场</w:t>
      </w:r>
      <w:r>
        <w:rPr>
          <w:rFonts w:ascii="宋体" w:hAnsi="宋体" w:cs="宋体" w:eastAsia="宋体" w:hint="ascii"/>
          <w:sz w:val="21"/>
          <w:spacing w:val="-1"/>
        </w:rPr>
        <w:t>对原子、分</w:t>
      </w:r>
      <w:r>
        <w:rPr>
          <w:rFonts w:ascii="宋体" w:hAnsi="宋体" w:cs="宋体" w:eastAsia="宋体" w:hint="ascii"/>
          <w:sz w:val="21"/>
        </w:rPr>
        <w:t>子、电子和人工纳微结构等体系的调控，发现新现象和揭示新物理；并推动光学在信息、化学、生命和材料领域的交叉应用。</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一、科学目标</w:t>
      </w:r>
    </w:p>
    <w:p>
      <w:pPr>
        <w:autoSpaceDE w:val="0"/>
        <w:autoSpaceDN w:val="0"/>
        <w:jc w:val="left"/>
        <w:spacing w:before="157"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本重</w:t>
      </w:r>
      <w:r>
        <w:rPr>
          <w:rFonts w:ascii="宋体" w:hAnsi="宋体" w:cs="宋体" w:eastAsia="宋体" w:hint="ascii"/>
          <w:sz w:val="21"/>
          <w:spacing w:val="2"/>
        </w:rPr>
        <w:t>大</w:t>
      </w:r>
      <w:r>
        <w:rPr>
          <w:rFonts w:ascii="宋体" w:hAnsi="宋体" w:cs="宋体" w:eastAsia="宋体" w:hint="ascii"/>
          <w:sz w:val="21"/>
          <w:spacing w:val="1"/>
        </w:rPr>
        <w:t>研究计划</w:t>
      </w:r>
      <w:r>
        <w:rPr>
          <w:rFonts w:ascii="宋体" w:hAnsi="宋体" w:cs="宋体" w:eastAsia="宋体" w:hint="ascii"/>
          <w:sz w:val="21"/>
          <w:spacing w:val="2"/>
        </w:rPr>
        <w:t>的</w:t>
      </w:r>
      <w:r>
        <w:rPr>
          <w:rFonts w:ascii="宋体" w:hAnsi="宋体" w:cs="宋体" w:eastAsia="宋体" w:hint="ascii"/>
          <w:sz w:val="21"/>
          <w:spacing w:val="1"/>
        </w:rPr>
        <w:t>总体科学</w:t>
      </w:r>
      <w:r>
        <w:rPr>
          <w:rFonts w:ascii="宋体" w:hAnsi="宋体" w:cs="宋体" w:eastAsia="宋体" w:hint="ascii"/>
          <w:sz w:val="21"/>
          <w:spacing w:val="2"/>
        </w:rPr>
        <w:t>目</w:t>
      </w:r>
      <w:r>
        <w:rPr>
          <w:rFonts w:ascii="宋体" w:hAnsi="宋体" w:cs="宋体" w:eastAsia="宋体" w:hint="ascii"/>
          <w:sz w:val="21"/>
          <w:spacing w:val="1"/>
        </w:rPr>
        <w:t>标为：探</w:t>
      </w:r>
      <w:r>
        <w:rPr>
          <w:rFonts w:ascii="宋体" w:hAnsi="宋体" w:cs="宋体" w:eastAsia="宋体" w:hint="ascii"/>
          <w:sz w:val="21"/>
          <w:spacing w:val="2"/>
        </w:rPr>
        <w:t>讨</w:t>
      </w:r>
      <w:r>
        <w:rPr>
          <w:rFonts w:ascii="宋体" w:hAnsi="宋体" w:cs="宋体" w:eastAsia="宋体" w:hint="ascii"/>
          <w:sz w:val="21"/>
          <w:spacing w:val="1"/>
        </w:rPr>
        <w:t>新型</w:t>
      </w:r>
      <w:r>
        <w:rPr>
          <w:rFonts w:ascii="宋体" w:hAnsi="宋体" w:cs="宋体" w:eastAsia="宋体" w:hint="ascii"/>
          <w:sz w:val="21"/>
          <w:spacing w:val="2"/>
        </w:rPr>
        <w:t>光场</w:t>
      </w:r>
      <w:r>
        <w:rPr>
          <w:rFonts w:ascii="宋体" w:hAnsi="宋体" w:cs="宋体" w:eastAsia="宋体" w:hint="ascii"/>
          <w:sz w:val="21"/>
          <w:spacing w:val="3"/>
        </w:rPr>
        <w:t>的</w:t>
      </w:r>
      <w:r>
        <w:rPr>
          <w:rFonts w:ascii="宋体" w:hAnsi="宋体" w:cs="宋体" w:eastAsia="宋体" w:hint="ascii"/>
          <w:sz w:val="21"/>
          <w:spacing w:val="2"/>
        </w:rPr>
        <w:t>构建、传</w:t>
      </w:r>
      <w:r>
        <w:rPr>
          <w:rFonts w:ascii="宋体" w:hAnsi="宋体" w:cs="宋体" w:eastAsia="宋体" w:hint="ascii"/>
          <w:sz w:val="21"/>
          <w:spacing w:val="3"/>
        </w:rPr>
        <w:t>播</w:t>
      </w:r>
      <w:r>
        <w:rPr>
          <w:rFonts w:ascii="宋体" w:hAnsi="宋体" w:cs="宋体" w:eastAsia="宋体" w:hint="ascii"/>
          <w:sz w:val="21"/>
          <w:spacing w:val="2"/>
        </w:rPr>
        <w:t>、测量与</w:t>
      </w:r>
      <w:r>
        <w:rPr>
          <w:rFonts w:ascii="宋体" w:hAnsi="宋体" w:cs="宋体" w:eastAsia="宋体" w:hint="ascii"/>
          <w:sz w:val="21"/>
          <w:spacing w:val="3"/>
        </w:rPr>
        <w:t>相</w:t>
      </w:r>
      <w:r>
        <w:rPr>
          <w:rFonts w:ascii="宋体" w:hAnsi="宋体" w:cs="宋体" w:eastAsia="宋体" w:hint="ascii"/>
          <w:sz w:val="21"/>
          <w:spacing w:val="2"/>
        </w:rPr>
        <w:t>干</w:t>
      </w:r>
      <w:r>
        <w:rPr>
          <w:rFonts w:ascii="宋体" w:hAnsi="宋体" w:cs="宋体" w:eastAsia="宋体" w:hint="ascii"/>
          <w:sz w:val="21"/>
          <w:spacing w:val="-1"/>
        </w:rPr>
        <w:t>控</w:t>
      </w:r>
      <w:r>
        <w:rPr>
          <w:rFonts w:ascii="宋体" w:hAnsi="宋体" w:cs="宋体" w:eastAsia="宋体" w:hint="ascii"/>
          <w:sz w:val="21"/>
        </w:rPr>
        <w:t xml:space="preserve"> 制，提出具有原创性的学术思想，形成一些新的物理概念及相关的光场多维调控方法，为其在物理、信息处理与通信、材料、化学与生命等研究及应用中提供物理基础；通过光场多维调控，研究新型光场与物质相互作用，发现一系列新现象与新效应，产生若干原始思想，并开发出相应的原创技术，逐步形成具有国际影响的学派，进一步提升我国的科学竞争力和科学地位，实现从并行到引领的跨越；通过本项目的实施，在光场调控技术方面为国家解决相关的重大需求，为国民经济的可持续发展和国家安全等提供基础性和前瞻性的科学技术储备，造就一支高水平、结构合理的研究队伍，产生若干具有国际重要影响的领军人物。</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二、核心科学问题</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本重大研究计划以新型光场多维度调控物理及应用为主线，围绕新型光场多维度精</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确构建、调</w:t>
      </w:r>
      <w:r>
        <w:rPr>
          <w:rFonts w:ascii="宋体" w:hAnsi="宋体" w:cs="宋体" w:eastAsia="宋体" w:hint="ascii"/>
          <w:sz w:val="21"/>
        </w:rPr>
        <w:t>控及表征；调控新光场与物质相互作用的新物理、新效应和新应用研究关键科学问题开展研究工作。</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7</w:t>
      </w:r>
      <w:r>
        <w:rPr>
          <w:rFonts w:ascii="宋体" w:hAnsi="宋体" w:cs="宋体" w:eastAsia="宋体" w:hint="ascii"/>
        </w:rPr>
        <w:t>年资助情况</w:t>
      </w:r>
    </w:p>
    <w:p>
      <w:pPr>
        <w:autoSpaceDE w:val="0"/>
        <w:autoSpaceDN w:val="0"/>
        <w:jc w:val="both"/>
        <w:spacing w:before="157" w:after="0" w:lineRule="exact" w:line="312"/>
        <w:ind w:right="982" w:left="966" w:firstLine="432"/>
        <w:snapToGrid w:val="0"/>
        <w:textAlignment w:val="auto"/>
        <w:tabs>
          <w:tab w:val="left" w:leader="none" w:pos="1894"/>
        </w:tabs>
        <w:numPr>
          <w:ilvl w:val="0"/>
          <w:numId w:val="152"/>
        </w:numPr>
        <w:rPr>
          <w:rFonts w:ascii="Times New Roman" w:hAnsi="Times New Roman" w:cs="Times New Roman" w:eastAsia="Times New Roman" w:hint="ascii"/>
          <w:sz w:val="21"/>
          <w:spacing w:val="3"/>
        </w:rPr>
      </w:pPr>
      <w:r>
        <w:rPr>
          <w:rFonts w:ascii="宋体" w:hAnsi="宋体" w:cs="宋体" w:eastAsia="宋体" w:hint="ascii"/>
          <w:sz w:val="21"/>
          <w:spacing w:val="5"/>
        </w:rPr>
        <w:t>年度共接收</w:t>
      </w:r>
      <w:r>
        <w:rPr>
          <w:rFonts w:ascii="宋体" w:hAnsi="宋体" w:cs="宋体" w:eastAsia="宋体" w:hint="ascii"/>
          <w:sz w:val="21"/>
          <w:spacing w:val="4"/>
        </w:rPr>
        <w:t>申</w:t>
      </w:r>
      <w:r>
        <w:rPr>
          <w:rFonts w:ascii="宋体" w:hAnsi="宋体" w:cs="宋体" w:eastAsia="宋体" w:hint="ascii"/>
          <w:sz w:val="21"/>
          <w:spacing w:val="-4"/>
        </w:rPr>
        <w:t>请</w:t>
      </w:r>
      <w:r>
        <w:rPr>
          <w:rFonts w:ascii="宋体" w:hAnsi="宋体" w:cs="宋体" w:eastAsia="宋体" w:hint="ascii"/>
          <w:sz w:val="21"/>
          <w:spacing w:val="-20"/>
        </w:rPr>
        <w:t xml:space="preserve"> </w:t>
      </w:r>
      <w:r>
        <w:rPr>
          <w:rFonts w:ascii="Times New Roman" w:hAnsi="Times New Roman" w:cs="Times New Roman" w:eastAsia="Times New Roman" w:hint="ascii"/>
          <w:sz w:val="21"/>
        </w:rPr>
        <w:t>170</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项，其中“重点支持项目”</w:t>
      </w:r>
      <w:r>
        <w:rPr>
          <w:rFonts w:ascii="Times New Roman" w:hAnsi="Times New Roman" w:cs="Times New Roman" w:eastAsia="Times New Roman" w:hint="ascii"/>
          <w:sz w:val="21"/>
        </w:rPr>
        <w:t>33</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项</w:t>
      </w:r>
      <w:r>
        <w:rPr>
          <w:rFonts w:ascii="宋体" w:hAnsi="宋体" w:cs="宋体" w:eastAsia="宋体" w:hint="ascii"/>
          <w:sz w:val="21"/>
          <w:spacing w:val="-50"/>
        </w:rPr>
        <w:t>，</w:t>
      </w:r>
      <w:r>
        <w:rPr>
          <w:rFonts w:ascii="宋体" w:hAnsi="宋体" w:cs="宋体" w:eastAsia="宋体" w:hint="ascii"/>
          <w:sz w:val="21"/>
          <w:spacing w:val="4"/>
        </w:rPr>
        <w:t>“培育项目”</w:t>
      </w:r>
      <w:r>
        <w:rPr>
          <w:rFonts w:ascii="Times New Roman" w:hAnsi="Times New Roman" w:cs="Times New Roman" w:eastAsia="Times New Roman" w:hint="ascii"/>
          <w:sz w:val="21"/>
        </w:rPr>
        <w:t xml:space="preserve">137 </w:t>
      </w:r>
      <w:r>
        <w:rPr>
          <w:rFonts w:ascii="宋体" w:hAnsi="宋体" w:cs="宋体" w:eastAsia="宋体" w:hint="ascii"/>
          <w:sz w:val="21"/>
          <w:spacing w:val="2"/>
        </w:rPr>
        <w:t>项。经</w:t>
      </w:r>
      <w:r>
        <w:rPr>
          <w:rFonts w:ascii="宋体" w:hAnsi="宋体" w:cs="宋体" w:eastAsia="宋体" w:hint="ascii"/>
          <w:sz w:val="21"/>
          <w:spacing w:val="3"/>
        </w:rPr>
        <w:t>评审，</w:t>
      </w:r>
      <w:r>
        <w:rPr>
          <w:rFonts w:ascii="宋体" w:hAnsi="宋体" w:cs="宋体" w:eastAsia="宋体" w:hint="ascii"/>
          <w:sz w:val="21"/>
        </w:rPr>
        <w:t>有</w:t>
      </w:r>
      <w:r>
        <w:rPr>
          <w:rFonts w:ascii="宋体" w:hAnsi="宋体" w:cs="宋体" w:eastAsia="宋体" w:hint="ascii"/>
          <w:sz w:val="21"/>
          <w:spacing w:val="-21"/>
        </w:rPr>
        <w:t xml:space="preserve"> </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项“重点支持项目</w:t>
      </w:r>
      <w:r>
        <w:rPr>
          <w:rFonts w:ascii="宋体" w:hAnsi="宋体" w:cs="宋体" w:eastAsia="宋体" w:hint="ascii"/>
          <w:sz w:val="21"/>
          <w:spacing w:val="-51"/>
        </w:rPr>
        <w:t>”</w:t>
      </w:r>
      <w:r>
        <w:rPr>
          <w:rFonts w:ascii="宋体" w:hAnsi="宋体" w:cs="宋体" w:eastAsia="宋体" w:hint="ascii"/>
          <w:sz w:val="21"/>
          <w:spacing w:val="4"/>
        </w:rPr>
        <w:t>，</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3"/>
        </w:rPr>
        <w:t>项“培育项目”获得资助，资助直接费</w:t>
      </w:r>
      <w:r>
        <w:rPr>
          <w:rFonts w:ascii="宋体" w:hAnsi="宋体" w:cs="宋体" w:eastAsia="宋体" w:hint="ascii"/>
          <w:sz w:val="21"/>
        </w:rPr>
        <w:t>用</w: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rPr>
        <w:t>700</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万元</w:t>
      </w:r>
      <w:r>
        <w:rPr>
          <w:rFonts w:ascii="宋体" w:hAnsi="宋体" w:cs="宋体" w:eastAsia="宋体" w:hint="ascii"/>
          <w:sz w:val="21"/>
        </w:rPr>
        <w:t>。</w:t>
      </w:r>
    </w:p>
    <w:p>
      <w:pPr>
        <w:autoSpaceDE w:val="0"/>
        <w:autoSpaceDN w:val="0"/>
        <w:jc w:val="left"/>
        <w:spacing w:before="181"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年度资助计划</w:t>
      </w:r>
    </w:p>
    <w:p>
      <w:pPr>
        <w:autoSpaceDE w:val="0"/>
        <w:autoSpaceDN w:val="0"/>
        <w:jc w:val="left"/>
        <w:spacing w:before="197" w:after="0" w:lineRule="auto" w:line="240"/>
        <w:ind w:right="0" w:left="954" w:firstLine="432"/>
        <w:snapToGrid w:val="0"/>
        <w:textAlignment w:val="auto"/>
        <w:tabs>
          <w:tab w:val="left" w:leader="none" w:pos="1876"/>
        </w:tabs>
        <w:numPr>
          <w:ilvl w:val="0"/>
          <w:numId w:val="152"/>
        </w:numPr>
        <w:rPr>
          <w:rFonts w:ascii="Times New Roman" w:hAnsi="Times New Roman" w:cs="Times New Roman" w:eastAsia="Times New Roman" w:hint="ascii"/>
          <w:sz w:val="21"/>
          <w:spacing w:val="1"/>
        </w:rPr>
      </w:pPr>
      <w:r>
        <w:rPr>
          <w:rFonts w:ascii="宋体" w:hAnsi="宋体" w:cs="宋体" w:eastAsia="宋体" w:hint="ascii"/>
          <w:sz w:val="21"/>
        </w:rPr>
        <w:t>年度对探索性强的项目申请按“培育项目”予以资助，拟资助</w:t>
      </w:r>
      <w:r>
        <w:rPr>
          <w:rFonts w:ascii="宋体" w:hAnsi="宋体" w:cs="宋体" w:eastAsia="宋体" w:hint="ascii"/>
          <w:sz w:val="21"/>
          <w:spacing w:val="-17"/>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17"/>
        </w:rPr>
        <w:t xml:space="preserve"> </w:t>
      </w:r>
      <w:r>
        <w:rPr>
          <w:rFonts w:ascii="宋体" w:hAnsi="宋体" w:cs="宋体" w:eastAsia="宋体" w:hint="ascii"/>
          <w:sz w:val="21"/>
        </w:rPr>
        <w:t>项左右，直</w:t>
      </w:r>
    </w:p>
    <w:p>
      <w:pPr>
        <w:autoSpaceDE w:val="0"/>
        <w:autoSpaceDN w:val="0"/>
        <w:jc w:val="left"/>
        <w:spacing w:before="17"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接费用的资助强度约为</w:t>
      </w:r>
      <w:r>
        <w:rPr>
          <w:rFonts w:ascii="宋体" w:hAnsi="宋体" w:cs="宋体" w:eastAsia="宋体" w:hint="ascii"/>
          <w:sz w:val="21"/>
          <w:spacing w:val="-21"/>
        </w:rPr>
        <w:t xml:space="preserve"> </w:t>
      </w:r>
      <w:r>
        <w:rPr>
          <w:rFonts w:ascii="Times New Roman" w:hAnsi="Times New Roman" w:cs="Times New Roman" w:eastAsia="Times New Roman" w:hint="ascii"/>
          <w:sz w:val="21"/>
          <w:spacing w:val="-1"/>
        </w:rPr>
        <w:t>80</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1"/>
        </w:rPr>
        <w:t>万元</w:t>
      </w:r>
      <w:r>
        <w:rPr>
          <w:rFonts w:ascii="Times New Roman" w:hAnsi="Times New Roman" w:cs="Times New Roman" w:eastAsia="Times New Roman" w:hint="ascii"/>
          <w:sz w:val="21"/>
          <w:spacing w:val="-1"/>
        </w:rPr>
        <w:t>/</w:t>
      </w:r>
      <w:r>
        <w:rPr>
          <w:rFonts w:ascii="宋体" w:hAnsi="宋体" w:cs="宋体" w:eastAsia="宋体" w:hint="ascii"/>
          <w:sz w:val="21"/>
          <w:spacing w:val="-1"/>
        </w:rPr>
        <w:t>项，资助期限为</w:t>
      </w:r>
      <w:r>
        <w:rPr>
          <w:rFonts w:ascii="宋体" w:hAnsi="宋体" w:cs="宋体" w:eastAsia="宋体" w:hint="ascii"/>
          <w:sz w:val="21"/>
          <w:spacing w:val="-21"/>
        </w:rPr>
        <w:t xml:space="preserve"> </w:t>
      </w:r>
      <w:r>
        <w:rPr>
          <w:rFonts w:ascii="Times New Roman" w:hAnsi="Times New Roman" w:cs="Times New Roman" w:eastAsia="Times New Roman" w:hint="ascii"/>
          <w:sz w:val="21"/>
          <w:spacing w:val="-1"/>
        </w:rPr>
        <w:t>3</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1"/>
        </w:rPr>
        <w:t>年</w:t>
      </w:r>
      <w:r>
        <w:rPr>
          <w:rFonts w:ascii="宋体" w:hAnsi="宋体" w:cs="宋体" w:eastAsia="宋体" w:hint="ascii"/>
          <w:sz w:val="21"/>
        </w:rPr>
        <w:t>，申请书中研究期限应填写“</w:t>
      </w:r>
      <w:r>
        <w:rPr>
          <w:rFonts w:ascii="Times New Roman" w:hAnsi="Times New Roman" w:cs="Times New Roman" w:eastAsia="Times New Roman" w:hint="ascii"/>
          <w:sz w:val="21"/>
        </w:rPr>
        <w:t xml:space="preserve">2019 </w:t>
      </w:r>
      <w:r>
        <w:rPr>
          <w:rFonts w:ascii="宋体" w:hAnsi="宋体" w:cs="宋体" w:eastAsia="宋体" w:hint="ascii"/>
          <w:sz w:val="21"/>
          <w:spacing w:val="26"/>
        </w:rPr>
        <w:t>年</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1</w:t>
      </w:r>
      <w:r>
        <w:rPr>
          <w:rFonts w:ascii="宋体" w:hAnsi="宋体" w:cs="宋体" w:eastAsia="宋体" w:hint="ascii"/>
          <w:sz w:val="21"/>
          <w:spacing w:val="26"/>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52"/>
        </w:rPr>
        <w:t>”</w:t>
      </w:r>
      <w:r>
        <w:rPr>
          <w:rFonts w:ascii="宋体" w:hAnsi="宋体" w:cs="宋体" w:eastAsia="宋体" w:hint="ascii"/>
          <w:sz w:val="21"/>
        </w:rPr>
        <w:t xml:space="preserve">；对已有较好工作基础、有望在新型光场调控物理及应用研究方面取得重要突破的项目申请按“重点支持项目”予以资助，拟资助 </w:t>
      </w:r>
      <w:r>
        <w:rPr>
          <w:rFonts w:ascii="Times New Roman" w:hAnsi="Times New Roman" w:cs="Times New Roman" w:eastAsia="Times New Roman" w:hint="ascii"/>
          <w:sz w:val="21"/>
        </w:rPr>
        <w:t>8</w:t>
      </w:r>
      <w:r>
        <w:rPr>
          <w:rFonts w:ascii="宋体" w:hAnsi="宋体" w:cs="宋体" w:eastAsia="宋体" w:hint="ascii"/>
          <w:sz w:val="21"/>
        </w:rPr>
        <w:t>～</w:t>
      </w:r>
      <w:r>
        <w:rPr>
          <w:rFonts w:ascii="Times New Roman" w:hAnsi="Times New Roman" w:cs="Times New Roman" w:eastAsia="Times New Roman" w:hint="ascii"/>
          <w:sz w:val="21"/>
        </w:rPr>
        <w:t xml:space="preserve">9 </w:t>
      </w:r>
      <w:r>
        <w:rPr>
          <w:rFonts w:ascii="宋体" w:hAnsi="宋体" w:cs="宋体" w:eastAsia="宋体" w:hint="ascii"/>
          <w:sz w:val="21"/>
        </w:rPr>
        <w:t>项，直接费用的资助强度约为</w:t>
      </w:r>
      <w:r>
        <w:rPr>
          <w:rFonts w:ascii="宋体" w:hAnsi="宋体" w:cs="宋体" w:eastAsia="宋体" w:hint="ascii"/>
          <w:sz w:val="21"/>
          <w:spacing w:val="-7"/>
        </w:rPr>
        <w:t xml:space="preserve"> </w:t>
      </w:r>
      <w:r>
        <w:rPr>
          <w:rFonts w:ascii="Times New Roman" w:hAnsi="Times New Roman" w:cs="Times New Roman" w:eastAsia="Times New Roman" w:hint="ascii"/>
          <w:sz w:val="21"/>
        </w:rPr>
        <w:t>400</w:t>
      </w:r>
      <w:r>
        <w:rPr>
          <w:rFonts w:ascii="Times New Roman" w:hAnsi="Times New Roman" w:cs="Times New Roman" w:eastAsia="Times New Roman" w:hint="ascii"/>
          <w:sz w:val="21"/>
          <w:spacing w:val="-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7"/>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7"/>
        </w:rPr>
        <w:t xml:space="preserve"> </w:t>
      </w:r>
      <w:r>
        <w:rPr>
          <w:rFonts w:ascii="宋体" w:hAnsi="宋体" w:cs="宋体" w:eastAsia="宋体" w:hint="ascii"/>
          <w:sz w:val="21"/>
        </w:rPr>
        <w:t>年，申请书中研究期限应填写“</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9</w:t>
      </w:r>
      <w:r>
        <w:rPr>
          <w:rFonts w:ascii="宋体" w:hAnsi="宋体" w:cs="宋体" w:eastAsia="宋体" w:hint="ascii"/>
          <w:sz w:val="21"/>
          <w:spacing w:val="26"/>
        </w:rPr>
        <w:t>年</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2</w:t>
      </w:r>
      <w:r>
        <w:rPr>
          <w:rFonts w:ascii="宋体" w:hAnsi="宋体" w:cs="宋体" w:eastAsia="宋体" w:hint="ascii"/>
          <w:sz w:val="21"/>
          <w:spacing w:val="27"/>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五、</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年度重点资助研究方向</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本重大研究计划 </w:t>
      </w:r>
      <w:r>
        <w:rPr>
          <w:rFonts w:ascii="Times New Roman" w:hAnsi="Times New Roman" w:cs="Times New Roman" w:eastAsia="Times New Roman" w:hint="ascii"/>
          <w:sz w:val="21"/>
        </w:rPr>
        <w:t xml:space="preserve">2018 </w:t>
      </w:r>
      <w:r>
        <w:rPr>
          <w:rFonts w:ascii="宋体" w:hAnsi="宋体" w:cs="宋体" w:eastAsia="宋体" w:hint="ascii"/>
          <w:sz w:val="21"/>
        </w:rPr>
        <w:t>年度在关注新型光场多维度调控新方法、新物理的同时，鼓</w:t>
      </w:r>
    </w:p>
    <w:p>
      <w:pPr>
        <w:autoSpaceDE w:val="0"/>
        <w:autoSpaceDN w:val="0"/>
        <w:jc w:val="left"/>
        <w:spacing w:before="29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励发展多学</w:t>
      </w:r>
      <w:r>
        <w:rPr>
          <w:rFonts w:ascii="宋体" w:hAnsi="宋体" w:cs="宋体" w:eastAsia="宋体" w:hint="ascii"/>
          <w:sz w:val="21"/>
        </w:rPr>
        <w:t>科交叉的光学研究手段，以及调控光场在信息科学、化学、材料科学和生命</w:t>
      </w:r>
      <w:r>
        <w:rPr>
          <w:rFonts w:ascii="宋体" w:hAnsi="宋体" w:cs="宋体" w:eastAsia="宋体" w:hint="ascii"/>
          <w:sz w:val="21"/>
          <w:spacing w:val="-1"/>
        </w:rPr>
        <w:t>科学等领域</w:t>
      </w:r>
      <w:r>
        <w:rPr>
          <w:rFonts w:ascii="宋体" w:hAnsi="宋体" w:cs="宋体" w:eastAsia="宋体" w:hint="ascii"/>
          <w:sz w:val="21"/>
        </w:rPr>
        <w:t>的应用研究，以“培育项目”和“重点支持项目”的形式予以资助。本年度资助研究方向如下：</w:t>
      </w:r>
      <w:r>
        <w:rPr>
          <w:rFonts w:ascii="宋体" w:hAnsi="宋体" w:cs="宋体" w:eastAsia="宋体" w:hint="ascii"/>
          <w:sz w:val="21"/>
        </w:rPr>
        <mc:AlternateContent>
          <mc:Choice Requires="wps">
            <w:drawing>
              <wp:anchor distL="0" distR="0" distT="0" distB="0" simplePos="0" behindDoc="1" relativeHeight="192" locked="0" layoutInCell="1" allowOverlap="1">
                <wp:simplePos x="0" y="0"/>
                <wp:positionH relativeFrom="page">
                  <wp:posOffset>938530</wp:posOffset>
                </wp:positionH>
                <wp:positionV relativeFrom="page">
                  <wp:posOffset>805815</wp:posOffset>
                </wp:positionV>
                <wp:extent cx="5076190" cy="0"/>
                <wp:wrapNone/>
                <wp:docPr id="1221" name="122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61632;width:399.70pt;" id="122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966" w:firstLine="420"/>
        <w:snapToGrid w:val="0"/>
        <w:textAlignment w:val="auto"/>
        <w:tabs>
          <w:tab w:val="left" w:leader="none" w:pos="1653"/>
        </w:tabs>
        <w:numPr>
          <w:ilvl w:val="0"/>
          <w:numId w:val="153"/>
        </w:numPr>
        <w:rPr>
          <w:rFonts w:ascii="Times New Roman" w:hAnsi="Times New Roman" w:cs="Times New Roman" w:eastAsia="Times New Roman" w:hint="ascii"/>
          <w:sz w:val="21"/>
        </w:rPr>
      </w:pPr>
      <w:r>
        <w:rPr>
          <w:rFonts w:ascii="宋体" w:hAnsi="宋体" w:cs="宋体" w:eastAsia="宋体" w:hint="ascii"/>
          <w:sz w:val="21"/>
        </w:rPr>
        <w:t>新型光场多维度精确构建、调控及表征，突破相干光场的经典衍射极限</w:t>
      </w:r>
      <w:r>
        <w:rPr>
          <w:rFonts w:ascii="宋体" w:hAnsi="宋体" w:cs="宋体" w:eastAsia="宋体" w:hint="ascii"/>
          <w:sz w:val="21"/>
          <w:spacing w:val="3"/>
        </w:rPr>
        <w:t>，实</w:t>
      </w:r>
      <w:r>
        <w:rPr>
          <w:rFonts w:ascii="宋体" w:hAnsi="宋体" w:cs="宋体" w:eastAsia="宋体" w:hint="ascii"/>
          <w:sz w:val="21"/>
        </w:rPr>
        <w:t>现</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纳米及深亚</w:t>
      </w:r>
      <w:r>
        <w:rPr>
          <w:rFonts w:ascii="宋体" w:hAnsi="宋体" w:cs="宋体" w:eastAsia="宋体" w:hint="ascii"/>
          <w:sz w:val="21"/>
        </w:rPr>
        <w:t>波长尺度局域光场的产生、传输、表征与操控，促进低能耗、高速、高集成度纳光电子器件集成应用，为信息、生命、材料等领域研究提供新原理和新方法</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主要研究方向包括：</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）新型光场的产生、传输、调控与探测的新机理及相关效应；</w:t>
      </w:r>
    </w:p>
    <w:p>
      <w:pPr>
        <w:autoSpaceDE w:val="0"/>
        <w:autoSpaceDN w:val="0"/>
        <w:jc w:val="both"/>
        <w:spacing w:before="1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）人工纳</w:t>
      </w:r>
      <w:r>
        <w:rPr>
          <w:rFonts w:ascii="宋体" w:hAnsi="宋体" w:cs="宋体" w:eastAsia="宋体" w:hint="ascii"/>
          <w:sz w:val="21"/>
        </w:rPr>
        <w:t>微结构中光学新原理和新效应，包括光子晶体、表面等离激元、光学微腔、超构材料与超构表面等；</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）发展基于新光场、新颖结构的功能器件物理、技术及应用。</w:t>
      </w:r>
    </w:p>
    <w:p>
      <w:pPr>
        <w:autoSpaceDE w:val="0"/>
        <w:autoSpaceDN w:val="0"/>
        <w:jc w:val="left"/>
        <w:spacing w:before="49" w:after="0" w:lineRule="auto" w:line="240"/>
        <w:ind w:right="0" w:left="966" w:firstLine="420"/>
        <w:snapToGrid w:val="0"/>
        <w:textAlignment w:val="auto"/>
        <w:tabs>
          <w:tab w:val="left" w:leader="none" w:pos="1648"/>
        </w:tabs>
        <w:numPr>
          <w:ilvl w:val="0"/>
          <w:numId w:val="153"/>
        </w:numPr>
        <w:rPr>
          <w:rFonts w:ascii="Times New Roman" w:hAnsi="Times New Roman" w:cs="Times New Roman" w:eastAsia="Times New Roman" w:hint="ascii"/>
          <w:sz w:val="21"/>
        </w:rPr>
      </w:pPr>
      <w:r>
        <w:rPr>
          <w:rFonts w:ascii="宋体" w:hAnsi="宋体" w:cs="宋体" w:eastAsia="宋体" w:hint="ascii"/>
          <w:sz w:val="21"/>
        </w:rPr>
        <w:t>突破衍射极限条件下，光与电子、原子、分子、人工纳微结构及凝聚态物</w:t>
      </w:r>
      <w:r>
        <w:rPr>
          <w:rFonts w:ascii="宋体" w:hAnsi="宋体" w:cs="宋体" w:eastAsia="宋体" w:hint="ascii"/>
          <w:sz w:val="21"/>
          <w:spacing w:val="3"/>
        </w:rPr>
        <w:t>质</w:t>
      </w:r>
      <w:r>
        <w:rPr>
          <w:rFonts w:ascii="宋体" w:hAnsi="宋体" w:cs="宋体" w:eastAsia="宋体" w:hint="ascii"/>
          <w:sz w:val="21"/>
        </w:rPr>
        <w:t>相</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互作用的新特征；揭</w:t>
      </w:r>
      <w:r>
        <w:rPr>
          <w:rFonts w:ascii="宋体" w:hAnsi="宋体" w:cs="宋体" w:eastAsia="宋体" w:hint="ascii"/>
          <w:sz w:val="21"/>
        </w:rPr>
        <w:t>示调控光场与重要物质形态相互作用的新现象与新规律；建立</w:t>
      </w:r>
      <w:r>
        <w:rPr>
          <w:rFonts w:ascii="宋体" w:hAnsi="宋体" w:cs="宋体" w:eastAsia="宋体" w:hint="ascii"/>
          <w:sz w:val="21"/>
          <w:spacing w:val="-6"/>
        </w:rPr>
        <w:t>相</w:t>
      </w:r>
      <w:r>
        <w:rPr>
          <w:rFonts w:ascii="宋体" w:hAnsi="宋体" w:cs="宋体" w:eastAsia="宋体" w:hint="ascii"/>
          <w:sz w:val="21"/>
          <w:spacing w:val="1"/>
        </w:rPr>
        <w:t>关的新概念和新理论</w:t>
      </w:r>
      <w:r>
        <w:rPr>
          <w:rFonts w:ascii="宋体" w:hAnsi="宋体" w:cs="宋体" w:eastAsia="宋体" w:hint="ascii"/>
          <w:sz w:val="21"/>
        </w:rPr>
        <w:t>；解决基于远场光学的超高空间分辨、无标记、快速成像的核</w:t>
      </w:r>
      <w:r>
        <w:rPr>
          <w:rFonts w:ascii="宋体" w:hAnsi="宋体" w:cs="宋体" w:eastAsia="宋体" w:hint="ascii"/>
          <w:sz w:val="21"/>
          <w:spacing w:val="-6"/>
        </w:rPr>
        <w:t>心</w:t>
      </w:r>
      <w:r>
        <w:rPr>
          <w:rFonts w:ascii="宋体" w:hAnsi="宋体" w:cs="宋体" w:eastAsia="宋体" w:hint="ascii"/>
          <w:sz w:val="21"/>
        </w:rPr>
        <w:t>技术</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主要研究方向包括：</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）新型光场与物质相互作用的新效应、新原理及应用；</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）基于光场调控的远场宽场、无标记、动态超分辨成像；</w:t>
      </w:r>
    </w:p>
    <w:p>
      <w:pPr>
        <w:autoSpaceDE w:val="0"/>
        <w:autoSpaceDN w:val="0"/>
        <w:jc w:val="both"/>
        <w:spacing w:before="1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）介观尺</w:t>
      </w:r>
      <w:r>
        <w:rPr>
          <w:rFonts w:ascii="宋体" w:hAnsi="宋体" w:cs="宋体" w:eastAsia="宋体" w:hint="ascii"/>
          <w:sz w:val="21"/>
        </w:rPr>
        <w:t>度下光子与电子、激子、声子等信息或能量载体间相互作用，及光吸收和辐射等光学特性的调控；深亚波长模场尺度的光源、光调制和探测等光子器件。</w:t>
      </w:r>
    </w:p>
    <w:p>
      <w:pPr>
        <w:autoSpaceDE w:val="0"/>
        <w:autoSpaceDN w:val="0"/>
        <w:jc w:val="both"/>
        <w:spacing w:before="0" w:after="0" w:lineRule="exact" w:line="312"/>
        <w:ind w:right="977" w:left="966" w:firstLine="420"/>
        <w:snapToGrid w:val="0"/>
        <w:textAlignment w:val="auto"/>
        <w:tabs>
          <w:tab w:val="left" w:leader="none" w:pos="1653"/>
        </w:tabs>
        <w:numPr>
          <w:ilvl w:val="0"/>
          <w:numId w:val="153"/>
        </w:numPr>
        <w:rPr>
          <w:rFonts w:ascii="Times New Roman" w:hAnsi="Times New Roman" w:cs="Times New Roman" w:eastAsia="Times New Roman" w:hint="ascii"/>
          <w:sz w:val="21"/>
        </w:rPr>
      </w:pPr>
      <w:r>
        <w:rPr>
          <w:rFonts w:ascii="宋体" w:hAnsi="宋体" w:cs="宋体" w:eastAsia="宋体" w:hint="ascii"/>
          <w:sz w:val="21"/>
        </w:rPr>
        <w:t>研究超快光场的产生与调控，解决获得高能量超短阿秒脉冲的核心技术；揭示 原子分子及凝聚态等物质的飞秒、阿秒超快动力学新特征</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主要研究方向包括：</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）阿秒新型光场的产生以及其与物质相互作用的新现象、新物理及应用；</w:t>
      </w:r>
    </w:p>
    <w:p>
      <w:pPr>
        <w:autoSpaceDE w:val="0"/>
        <w:autoSpaceDN w:val="0"/>
        <w:jc w:val="both"/>
        <w:spacing w:before="1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）超快光</w:t>
      </w:r>
      <w:r>
        <w:rPr>
          <w:rFonts w:ascii="宋体" w:hAnsi="宋体" w:cs="宋体" w:eastAsia="宋体" w:hint="ascii"/>
          <w:sz w:val="21"/>
        </w:rPr>
        <w:t>场相位、幅度、偏振、频率等多维操控的新原理、新方法和新技术，发展多维光场调控光谱新技术；</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）物质内</w:t>
      </w:r>
      <w:r>
        <w:rPr>
          <w:rFonts w:ascii="宋体" w:hAnsi="宋体" w:cs="宋体" w:eastAsia="宋体" w:hint="ascii"/>
          <w:sz w:val="21"/>
        </w:rPr>
        <w:t>部原子和电子超快行为、分子轨道和结构以及其动态演化过程的观测及调控，探索复杂体系多体超快相互作用。</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六、项目遴选的基本原则</w:t>
      </w:r>
    </w:p>
    <w:p>
      <w:pPr>
        <w:autoSpaceDE w:val="0"/>
        <w:autoSpaceDN w:val="0"/>
        <w:jc w:val="both"/>
        <w:spacing w:before="157"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为确保实现</w:t>
      </w:r>
      <w:r>
        <w:rPr>
          <w:rFonts w:ascii="宋体" w:hAnsi="宋体" w:cs="宋体" w:eastAsia="宋体" w:hint="ascii"/>
          <w:sz w:val="21"/>
        </w:rPr>
        <w:t>总体目标，本重大研究计划要求所有申请应聚焦到光场调控的新原理，实现新的应用中</w:t>
      </w:r>
      <w:r>
        <w:rPr>
          <w:rFonts w:ascii="宋体" w:hAnsi="宋体" w:cs="宋体" w:eastAsia="宋体" w:hint="ascii"/>
          <w:sz w:val="21"/>
          <w:spacing w:val="26"/>
        </w:rPr>
        <w:t>的</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spacing w:val="52"/>
        </w:rPr>
        <w:t>2</w:t>
      </w:r>
      <w:r>
        <w:rPr>
          <w:rFonts w:ascii="宋体" w:hAnsi="宋体" w:cs="宋体" w:eastAsia="宋体" w:hint="ascii"/>
          <w:sz w:val="21"/>
        </w:rPr>
        <w:t>个关键问题。具体要求如下：</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）鼓励开</w:t>
      </w:r>
      <w:r>
        <w:rPr>
          <w:rFonts w:ascii="宋体" w:hAnsi="宋体" w:cs="宋体" w:eastAsia="宋体" w:hint="ascii"/>
          <w:sz w:val="21"/>
        </w:rPr>
        <w:t>展前沿领域的探索性研究，优先支持具有原创性的光场调控新概念，新原理和新方法的研究；</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6"/>
        </w:rPr>
        <w:t>2</w:t>
      </w:r>
      <w:r>
        <w:rPr>
          <w:rFonts w:ascii="宋体" w:hAnsi="宋体" w:cs="宋体" w:eastAsia="宋体" w:hint="ascii"/>
          <w:sz w:val="21"/>
          <w:spacing w:val="1"/>
        </w:rPr>
        <w:t>）鼓励通过</w:t>
      </w:r>
      <w:r>
        <w:rPr>
          <w:rFonts w:ascii="宋体" w:hAnsi="宋体" w:cs="宋体" w:eastAsia="宋体" w:hint="ascii"/>
          <w:sz w:val="21"/>
        </w:rPr>
        <w:t>新型光场与物质相互作用，发现新现象新物理，开发相应的原创</w:t>
      </w:r>
      <w:r>
        <w:rPr>
          <w:rFonts w:ascii="宋体" w:hAnsi="宋体" w:cs="宋体" w:eastAsia="宋体" w:hint="ascii"/>
          <w:sz w:val="21"/>
          <w:spacing w:val="-6"/>
        </w:rPr>
        <w:t>技</w:t>
      </w:r>
      <w:r>
        <w:rPr>
          <w:rFonts w:ascii="宋体" w:hAnsi="宋体" w:cs="宋体" w:eastAsia="宋体" w:hint="ascii"/>
          <w:sz w:val="21"/>
        </w:rPr>
        <w:t>术，并有望产生重大应用的研究；</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）鼓励多</w:t>
      </w:r>
      <w:r>
        <w:rPr>
          <w:rFonts w:ascii="宋体" w:hAnsi="宋体" w:cs="宋体" w:eastAsia="宋体" w:hint="ascii"/>
          <w:sz w:val="21"/>
        </w:rPr>
        <w:t>学科实质性交叉合作研究，特别是光场调控物理在信息、化学、生命和材料领域的交叉应用；</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）注重理论与实验的有机结合。</w:t>
      </w:r>
    </w:p>
    <w:p>
      <w:pPr>
        <w:autoSpaceDE w:val="0"/>
        <w:autoSpaceDN w:val="0"/>
        <w:jc w:val="left"/>
        <w:spacing w:before="28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重大研究计划项目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七、申请注意事项</w:t>
      </w:r>
      <w:r>
        <w:rPr>
          <w:rFonts w:ascii="宋体" w:hAnsi="宋体" w:cs="宋体" w:eastAsia="宋体" w:hint="ascii"/>
        </w:rPr>
        <mc:AlternateContent>
          <mc:Choice Requires="wps">
            <w:drawing>
              <wp:anchor distL="0" distR="0" distT="0" distB="0" simplePos="0" behindDoc="1" relativeHeight="193" locked="0" layoutInCell="1" allowOverlap="1">
                <wp:simplePos x="0" y="0"/>
                <wp:positionH relativeFrom="page">
                  <wp:posOffset>938530</wp:posOffset>
                </wp:positionH>
                <wp:positionV relativeFrom="page">
                  <wp:posOffset>819150</wp:posOffset>
                </wp:positionV>
                <wp:extent cx="5076190" cy="0"/>
                <wp:wrapNone/>
                <wp:docPr id="1222" name="122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60608;width:399.70pt;" id="122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）申请人在填报申请书前，应当认真阅读本《指南</w:t>
      </w:r>
      <w:r>
        <w:rPr>
          <w:rFonts w:ascii="宋体" w:hAnsi="宋体" w:cs="宋体" w:eastAsia="宋体" w:hint="ascii"/>
          <w:sz w:val="21"/>
          <w:spacing w:val="-50"/>
        </w:rPr>
        <w:t>》</w:t>
      </w:r>
      <w:r>
        <w:rPr>
          <w:rFonts w:ascii="宋体" w:hAnsi="宋体" w:cs="宋体" w:eastAsia="宋体" w:hint="ascii"/>
          <w:sz w:val="21"/>
        </w:rPr>
        <w:t>。申请人应当按照重大研究</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计划申请书</w:t>
      </w:r>
      <w:r>
        <w:rPr>
          <w:rFonts w:ascii="宋体" w:hAnsi="宋体" w:cs="宋体" w:eastAsia="宋体" w:hint="ascii"/>
          <w:sz w:val="21"/>
        </w:rPr>
        <w:t>的撰写提纲撰写申请书，申请书须具有明确的关键科学问题，并应论述与项</w:t>
      </w:r>
      <w:r>
        <w:rPr>
          <w:rFonts w:ascii="宋体" w:hAnsi="宋体" w:cs="宋体" w:eastAsia="宋体" w:hint="ascii"/>
          <w:sz w:val="21"/>
          <w:spacing w:val="-1"/>
        </w:rPr>
        <w:t>目指南最接</w:t>
      </w:r>
      <w:r>
        <w:rPr>
          <w:rFonts w:ascii="宋体" w:hAnsi="宋体" w:cs="宋体" w:eastAsia="宋体" w:hint="ascii"/>
          <w:sz w:val="21"/>
        </w:rPr>
        <w:t>近的科学问题的关系，以及对解决核心科学问题和重大研究计划总体目标的贡献。</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如果申请人已</w:t>
      </w:r>
      <w:r>
        <w:rPr>
          <w:rFonts w:ascii="宋体" w:hAnsi="宋体" w:cs="宋体" w:eastAsia="宋体" w:hint="ascii"/>
          <w:sz w:val="21"/>
        </w:rPr>
        <w:t>经承担与本重大研究计划相关的其他科技计划项目，应当在申请书正文的“研究基础与工作条件”部分论述申请项目与其他相关项目的区别与联系。</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）本重大研究计划旨在紧密围绕核心科学问题，将对多学科相关研究进行战略性</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的方向引导</w:t>
      </w:r>
      <w:r>
        <w:rPr>
          <w:rFonts w:ascii="宋体" w:hAnsi="宋体" w:cs="宋体" w:eastAsia="宋体" w:hint="ascii"/>
          <w:sz w:val="21"/>
        </w:rPr>
        <w:t>和优势整合，成为一个项目集群。申请人应根据本重大研究计划拟解决的具</w:t>
      </w:r>
      <w:r>
        <w:rPr>
          <w:rFonts w:ascii="宋体" w:hAnsi="宋体" w:cs="宋体" w:eastAsia="宋体" w:hint="ascii"/>
          <w:sz w:val="21"/>
          <w:spacing w:val="-1"/>
        </w:rPr>
        <w:t>体科学问题</w:t>
      </w:r>
      <w:r>
        <w:rPr>
          <w:rFonts w:ascii="宋体" w:hAnsi="宋体" w:cs="宋体" w:eastAsia="宋体" w:hint="ascii"/>
          <w:sz w:val="21"/>
        </w:rPr>
        <w:t>和项目指南公布的拟资助研究方向，自行拟定项目名称、科学目标、研究内容、技术路线和相应的研究经费等。</w:t>
      </w:r>
    </w:p>
    <w:p>
      <w:pPr>
        <w:autoSpaceDE w:val="0"/>
        <w:autoSpaceDN w:val="0"/>
        <w:jc w:val="left"/>
        <w:spacing w:before="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）申请书中的资助类别选择“重大研究计划</w:t>
      </w:r>
      <w:r>
        <w:rPr>
          <w:rFonts w:ascii="宋体" w:hAnsi="宋体" w:cs="宋体" w:eastAsia="宋体" w:hint="ascii"/>
          <w:sz w:val="21"/>
          <w:spacing w:val="-51"/>
        </w:rPr>
        <w:t>”</w:t>
      </w:r>
      <w:r>
        <w:rPr>
          <w:rFonts w:ascii="宋体" w:hAnsi="宋体" w:cs="宋体" w:eastAsia="宋体" w:hint="ascii"/>
          <w:sz w:val="21"/>
        </w:rPr>
        <w:t>，亚类说明选择“重点支持项目” 或“培育项目</w:t>
      </w:r>
      <w:r>
        <w:rPr>
          <w:rFonts w:ascii="宋体" w:hAnsi="宋体" w:cs="宋体" w:eastAsia="宋体" w:hint="ascii"/>
          <w:sz w:val="21"/>
          <w:spacing w:val="-52"/>
        </w:rPr>
        <w:t>”</w:t>
      </w:r>
      <w:r>
        <w:rPr>
          <w:rFonts w:ascii="宋体" w:hAnsi="宋体" w:cs="宋体" w:eastAsia="宋体" w:hint="ascii"/>
          <w:sz w:val="21"/>
        </w:rPr>
        <w:t>，附注说明选择“新型光场调控物理及应用</w:t>
      </w:r>
      <w:r>
        <w:rPr>
          <w:rFonts w:ascii="宋体" w:hAnsi="宋体" w:cs="宋体" w:eastAsia="宋体" w:hint="ascii"/>
          <w:sz w:val="21"/>
          <w:spacing w:val="-52"/>
        </w:rPr>
        <w:t>”</w:t>
      </w:r>
      <w:r>
        <w:rPr>
          <w:rFonts w:ascii="宋体" w:hAnsi="宋体" w:cs="宋体" w:eastAsia="宋体" w:hint="ascii"/>
          <w:sz w:val="21"/>
        </w:rPr>
        <w:t>，根据申请的具体研究内容选择相应的申请代码。</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）申请书由数学物理科学部负责受理。</w:t>
      </w:r>
    </w:p>
    <w:p>
      <w:pPr>
        <w:autoSpaceDE w:val="0"/>
        <w:autoSpaceDN w:val="0"/>
        <w:jc w:val="left"/>
        <w:spacing w:before="190" w:after="0" w:lineRule="exact" w:line="475"/>
        <w:ind w:right="0" w:left="2296" w:firstLine="0"/>
        <w:snapToGrid w:val="0"/>
        <w:textAlignment w:val="auto"/>
        <w:tabs/>
        <w:rPr>
          <w:rFonts w:ascii="宋体" w:hAnsi="宋体" w:cs="宋体" w:eastAsia="宋体" w:hint="ascii"/>
          <w:sz w:val="38"/>
        </w:rPr>
      </w:pPr>
      <w:r>
        <w:rPr>
          <w:rFonts w:ascii="宋体" w:hAnsi="宋体" w:cs="宋体" w:eastAsia="宋体" w:hint="ascii"/>
          <w:sz w:val="38"/>
        </w:rPr>
        <w:t>湍流结构的生成演化及作用机理</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湍流结构的生成演化及作用机理重大研究计划以航空、航天、航海、大气环境等领</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域的国家重大</w:t>
      </w:r>
      <w:r>
        <w:rPr>
          <w:rFonts w:ascii="宋体" w:hAnsi="宋体" w:cs="宋体" w:eastAsia="宋体" w:hint="ascii"/>
          <w:sz w:val="21"/>
        </w:rPr>
        <w:t>战略需求和湍流相关学科发展为牵引，以建立湍流结构动力学理论体系为</w:t>
      </w:r>
      <w:r>
        <w:rPr>
          <w:rFonts w:ascii="宋体" w:hAnsi="宋体" w:cs="宋体" w:eastAsia="宋体" w:hint="ascii"/>
          <w:sz w:val="21"/>
          <w:spacing w:val="-1"/>
        </w:rPr>
        <w:t>核心，通过在</w:t>
      </w:r>
      <w:r>
        <w:rPr>
          <w:rFonts w:ascii="宋体" w:hAnsi="宋体" w:cs="宋体" w:eastAsia="宋体" w:hint="ascii"/>
          <w:sz w:val="21"/>
        </w:rPr>
        <w:t>数值计算方法、实验测量技术和数据处理及分析方法方面的不断创新，具</w:t>
      </w:r>
      <w:r>
        <w:rPr>
          <w:rFonts w:ascii="宋体" w:hAnsi="宋体" w:cs="宋体" w:eastAsia="宋体" w:hint="ascii"/>
          <w:sz w:val="21"/>
          <w:spacing w:val="-1"/>
        </w:rPr>
        <w:t>体针对湍流结</w:t>
      </w:r>
      <w:r>
        <w:rPr>
          <w:rFonts w:ascii="宋体" w:hAnsi="宋体" w:cs="宋体" w:eastAsia="宋体" w:hint="ascii"/>
          <w:sz w:val="21"/>
        </w:rPr>
        <w:t>构的生成和演化以及在多种条件下的作用机理进行研究。本重大研究计划</w:t>
      </w:r>
      <w:r>
        <w:rPr>
          <w:rFonts w:ascii="宋体" w:hAnsi="宋体" w:cs="宋体" w:eastAsia="宋体" w:hint="ascii"/>
          <w:sz w:val="21"/>
          <w:spacing w:val="-1"/>
        </w:rPr>
        <w:t>注重物理机理</w:t>
      </w:r>
      <w:r>
        <w:rPr>
          <w:rFonts w:ascii="宋体" w:hAnsi="宋体" w:cs="宋体" w:eastAsia="宋体" w:hint="ascii"/>
          <w:sz w:val="21"/>
        </w:rPr>
        <w:t>研究和应用基础研究相结合，提倡概念创新、理论创新、方法创新、技术</w:t>
      </w:r>
      <w:r>
        <w:rPr>
          <w:rFonts w:ascii="宋体" w:hAnsi="宋体" w:cs="宋体" w:eastAsia="宋体" w:hint="ascii"/>
          <w:sz w:val="21"/>
          <w:spacing w:val="1"/>
        </w:rPr>
        <w:t>创新，探索颠覆性的</w:t>
      </w:r>
      <w:r>
        <w:rPr>
          <w:rFonts w:ascii="宋体" w:hAnsi="宋体" w:cs="宋体" w:eastAsia="宋体" w:hint="ascii"/>
          <w:sz w:val="21"/>
        </w:rPr>
        <w:t>原始创新思想，发展高精度的数值计算方法和精细的实验测量</w:t>
      </w:r>
      <w:r>
        <w:rPr>
          <w:rFonts w:ascii="宋体" w:hAnsi="宋体" w:cs="宋体" w:eastAsia="宋体" w:hint="ascii"/>
          <w:sz w:val="21"/>
          <w:spacing w:val="-6"/>
        </w:rPr>
        <w:t>技</w:t>
      </w:r>
      <w:r>
        <w:rPr>
          <w:rFonts w:ascii="宋体" w:hAnsi="宋体" w:cs="宋体" w:eastAsia="宋体" w:hint="ascii"/>
          <w:sz w:val="21"/>
          <w:spacing w:val="-1"/>
        </w:rPr>
        <w:t>术，揭示湍流</w:t>
      </w:r>
      <w:r>
        <w:rPr>
          <w:rFonts w:ascii="宋体" w:hAnsi="宋体" w:cs="宋体" w:eastAsia="宋体" w:hint="ascii"/>
          <w:sz w:val="21"/>
        </w:rPr>
        <w:t>结构的生成、演化和相互作用机理；基于湍流结构的时空演化特性，发展</w:t>
      </w:r>
      <w:r>
        <w:rPr>
          <w:rFonts w:ascii="宋体" w:hAnsi="宋体" w:cs="宋体" w:eastAsia="宋体" w:hint="ascii"/>
          <w:sz w:val="21"/>
          <w:spacing w:val="-1"/>
        </w:rPr>
        <w:t>时空精准的湍</w:t>
      </w:r>
      <w:r>
        <w:rPr>
          <w:rFonts w:ascii="宋体" w:hAnsi="宋体" w:cs="宋体" w:eastAsia="宋体" w:hint="ascii"/>
          <w:sz w:val="21"/>
        </w:rPr>
        <w:t>流模式理论和模型；开展湍流模式理论和模型的综合验证，实现重大工程</w:t>
      </w:r>
      <w:r>
        <w:rPr>
          <w:rFonts w:ascii="宋体" w:hAnsi="宋体" w:cs="宋体" w:eastAsia="宋体" w:hint="ascii"/>
          <w:sz w:val="21"/>
          <w:spacing w:val="-1"/>
        </w:rPr>
        <w:t>应用中湍流阻</w:t>
      </w:r>
      <w:r>
        <w:rPr>
          <w:rFonts w:ascii="宋体" w:hAnsi="宋体" w:cs="宋体" w:eastAsia="宋体" w:hint="ascii"/>
          <w:sz w:val="21"/>
        </w:rPr>
        <w:t>力、热流率和湍流噪声的准确预测和调控。在关键科学问题的研究中获得</w:t>
      </w:r>
      <w:r>
        <w:rPr>
          <w:rFonts w:ascii="宋体" w:hAnsi="宋体" w:cs="宋体" w:eastAsia="宋体" w:hint="ascii"/>
          <w:sz w:val="21"/>
          <w:spacing w:val="-1"/>
        </w:rPr>
        <w:t>原始创新结果</w:t>
      </w:r>
      <w:r>
        <w:rPr>
          <w:rFonts w:ascii="宋体" w:hAnsi="宋体" w:cs="宋体" w:eastAsia="宋体" w:hint="ascii"/>
          <w:sz w:val="21"/>
        </w:rPr>
        <w:t>，为航空、航天、航海等领域重大运载装备的研制及大气环境治理等重要工程领域提供科学理论与方法。</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一、科学目标</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本重大研究计划以在提出新概念、发展新理论、建立新方法和突破新技术等方面获</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得原始创新成</w:t>
      </w:r>
      <w:r>
        <w:rPr>
          <w:rFonts w:ascii="宋体" w:hAnsi="宋体" w:cs="宋体" w:eastAsia="宋体" w:hint="ascii"/>
          <w:sz w:val="21"/>
        </w:rPr>
        <w:t>果为目标，从根本上解决国家重大工程应用中的若干关键湍流基础难题，</w:t>
      </w:r>
      <w:r>
        <w:rPr>
          <w:rFonts w:ascii="宋体" w:hAnsi="宋体" w:cs="宋体" w:eastAsia="宋体" w:hint="ascii"/>
          <w:sz w:val="21"/>
          <w:spacing w:val="1"/>
        </w:rPr>
        <w:t>从而为提升我国自</w:t>
      </w:r>
      <w:r>
        <w:rPr>
          <w:rFonts w:ascii="宋体" w:hAnsi="宋体" w:cs="宋体" w:eastAsia="宋体" w:hint="ascii"/>
          <w:sz w:val="21"/>
        </w:rPr>
        <w:t>主创新能力，促进相关技术的跨越式发展提供科学理论支撑。在</w:t>
      </w:r>
      <w:r>
        <w:rPr>
          <w:rFonts w:ascii="宋体" w:hAnsi="宋体" w:cs="宋体" w:eastAsia="宋体" w:hint="ascii"/>
          <w:sz w:val="21"/>
          <w:spacing w:val="-6"/>
        </w:rPr>
        <w:t>湍</w:t>
      </w:r>
      <w:r>
        <w:rPr>
          <w:rFonts w:ascii="宋体" w:hAnsi="宋体" w:cs="宋体" w:eastAsia="宋体" w:hint="ascii"/>
          <w:sz w:val="21"/>
          <w:spacing w:val="1"/>
        </w:rPr>
        <w:t>流基础研究领域聚</w:t>
      </w:r>
      <w:r>
        <w:rPr>
          <w:rFonts w:ascii="宋体" w:hAnsi="宋体" w:cs="宋体" w:eastAsia="宋体" w:hint="ascii"/>
          <w:sz w:val="21"/>
        </w:rPr>
        <w:t>集和培养一支国际前沿、具有创新能力的优秀人才队伍，促进湍</w:t>
      </w:r>
      <w:r>
        <w:rPr>
          <w:rFonts w:ascii="宋体" w:hAnsi="宋体" w:cs="宋体" w:eastAsia="宋体" w:hint="ascii"/>
          <w:sz w:val="21"/>
          <w:spacing w:val="-6"/>
        </w:rPr>
        <w:t>流</w:t>
      </w:r>
      <w:r>
        <w:rPr>
          <w:rFonts w:ascii="宋体" w:hAnsi="宋体" w:cs="宋体" w:eastAsia="宋体" w:hint="ascii"/>
          <w:sz w:val="21"/>
          <w:spacing w:val="1"/>
        </w:rPr>
        <w:t>研究领域若干个跨</w:t>
      </w:r>
      <w:r>
        <w:rPr>
          <w:rFonts w:ascii="宋体" w:hAnsi="宋体" w:cs="宋体" w:eastAsia="宋体" w:hint="ascii"/>
          <w:sz w:val="21"/>
        </w:rPr>
        <w:t>学科基础研究平台的形成，推进我国复杂湍流问题基础研究和工</w:t>
      </w:r>
      <w:r>
        <w:rPr>
          <w:rFonts w:ascii="宋体" w:hAnsi="宋体" w:cs="宋体" w:eastAsia="宋体" w:hint="ascii"/>
          <w:sz w:val="21"/>
          <w:spacing w:val="-6"/>
        </w:rPr>
        <w:t>程</w:t>
      </w:r>
      <w:r>
        <w:rPr>
          <w:rFonts w:ascii="宋体" w:hAnsi="宋体" w:cs="宋体" w:eastAsia="宋体" w:hint="ascii"/>
          <w:sz w:val="21"/>
          <w:spacing w:val="1"/>
        </w:rPr>
        <w:t>应用研究的发展，形</w:t>
      </w:r>
      <w:r>
        <w:rPr>
          <w:rFonts w:ascii="宋体" w:hAnsi="宋体" w:cs="宋体" w:eastAsia="宋体" w:hint="ascii"/>
          <w:sz w:val="21"/>
        </w:rPr>
        <w:t>成湍流基础和应用基础研究的中国学派。本计划拟在以下四个</w:t>
      </w:r>
      <w:r>
        <w:rPr>
          <w:rFonts w:ascii="宋体" w:hAnsi="宋体" w:cs="宋体" w:eastAsia="宋体" w:hint="ascii"/>
          <w:sz w:val="21"/>
          <w:spacing w:val="-6"/>
        </w:rPr>
        <w:t>方</w:t>
      </w:r>
      <w:r>
        <w:rPr>
          <w:rFonts w:ascii="宋体" w:hAnsi="宋体" w:cs="宋体" w:eastAsia="宋体" w:hint="ascii"/>
          <w:sz w:val="21"/>
        </w:rPr>
        <w:t>面取得突破。</w:t>
      </w:r>
    </w:p>
    <w:p>
      <w:pPr>
        <w:autoSpaceDE w:val="0"/>
        <w:autoSpaceDN w:val="0"/>
        <w:jc w:val="left"/>
        <w:spacing w:before="280"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8" w:after="0" w:lineRule="exact" w:line="319"/>
        <w:ind w:right="97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）在</w:t>
      </w:r>
      <w:r>
        <w:rPr>
          <w:rFonts w:ascii="宋体" w:hAnsi="宋体" w:cs="宋体" w:eastAsia="宋体" w:hint="ascii"/>
          <w:sz w:val="21"/>
          <w:spacing w:val="4"/>
        </w:rPr>
        <w:t>新</w:t>
      </w:r>
      <w:r>
        <w:rPr>
          <w:rFonts w:ascii="宋体" w:hAnsi="宋体" w:cs="宋体" w:eastAsia="宋体" w:hint="ascii"/>
          <w:sz w:val="21"/>
          <w:spacing w:val="3"/>
        </w:rPr>
        <w:t>概</w:t>
      </w:r>
      <w:r>
        <w:rPr>
          <w:rFonts w:ascii="宋体" w:hAnsi="宋体" w:cs="宋体" w:eastAsia="宋体" w:hint="ascii"/>
          <w:sz w:val="21"/>
          <w:spacing w:val="4"/>
        </w:rPr>
        <w:t>念方面，提出基于结构的湍流研究新概念，探索颠覆性的原始创</w:t>
      </w:r>
      <w:r>
        <w:rPr>
          <w:rFonts w:ascii="宋体" w:hAnsi="宋体" w:cs="宋体" w:eastAsia="宋体" w:hint="ascii"/>
          <w:sz w:val="21"/>
          <w:spacing w:val="-6"/>
        </w:rPr>
        <w:t>新</w:t>
      </w:r>
      <w:r>
        <w:rPr>
          <w:rFonts w:ascii="宋体" w:hAnsi="宋体" w:cs="宋体" w:eastAsia="宋体" w:hint="ascii"/>
          <w:sz w:val="21"/>
          <w:spacing w:val="5"/>
        </w:rPr>
        <w:t>思想</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194" locked="0" layoutInCell="1" allowOverlap="1">
                <wp:simplePos x="0" y="0"/>
                <wp:positionH relativeFrom="page">
                  <wp:posOffset>938530</wp:posOffset>
                </wp:positionH>
                <wp:positionV relativeFrom="page">
                  <wp:posOffset>805815</wp:posOffset>
                </wp:positionV>
                <wp:extent cx="5076190" cy="0"/>
                <wp:wrapNone/>
                <wp:docPr id="1223" name="122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59584;width:399.70pt;" id="122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20"/>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）在新理</w:t>
      </w:r>
      <w:r>
        <w:rPr>
          <w:rFonts w:ascii="宋体" w:hAnsi="宋体" w:cs="宋体" w:eastAsia="宋体" w:hint="ascii"/>
          <w:sz w:val="21"/>
        </w:rPr>
        <w:t>论方面，提出基于结构基元的湍流理论和基于时空耦合和物理约束等的湍流模型；</w:t>
      </w:r>
    </w:p>
    <w:p>
      <w:pPr>
        <w:autoSpaceDE w:val="0"/>
        <w:autoSpaceDN w:val="0"/>
        <w:jc w:val="both"/>
        <w:spacing w:before="0" w:after="0" w:lineRule="exact" w:line="320"/>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）在新方</w:t>
      </w:r>
      <w:r>
        <w:rPr>
          <w:rFonts w:ascii="宋体" w:hAnsi="宋体" w:cs="宋体" w:eastAsia="宋体" w:hint="ascii"/>
          <w:sz w:val="21"/>
        </w:rPr>
        <w:t>法方面，给出基于拉格朗日观点的湍流结构表征方法，以及近壁三维湍流结构时空解析、精确、高效的计算和实验测量方法；</w:t>
      </w:r>
    </w:p>
    <w:p>
      <w:pPr>
        <w:autoSpaceDE w:val="0"/>
        <w:autoSpaceDN w:val="0"/>
        <w:jc w:val="both"/>
        <w:spacing w:before="0" w:after="0" w:lineRule="exact" w:line="319"/>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）在新技</w:t>
      </w:r>
      <w:r>
        <w:rPr>
          <w:rFonts w:ascii="宋体" w:hAnsi="宋体" w:cs="宋体" w:eastAsia="宋体" w:hint="ascii"/>
          <w:sz w:val="21"/>
        </w:rPr>
        <w:t>术方面，围绕流动控制及减阻、热防护和降噪技术，提出基于湍流结构的应用设计理念，提高湍流应用软件准确度及实用性。</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二、核心科学问题</w:t>
      </w:r>
    </w:p>
    <w:p>
      <w:pPr>
        <w:autoSpaceDE w:val="0"/>
        <w:autoSpaceDN w:val="0"/>
        <w:jc w:val="both"/>
        <w:spacing w:before="156" w:after="0" w:lineRule="exact" w:line="320"/>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）多种条</w:t>
      </w:r>
      <w:r>
        <w:rPr>
          <w:rFonts w:ascii="宋体" w:hAnsi="宋体" w:cs="宋体" w:eastAsia="宋体" w:hint="ascii"/>
          <w:sz w:val="21"/>
        </w:rPr>
        <w:t>件下湍流结构的生成动力学：从湍流结构生成的观点研究湍流转捩，突破现有稳定性理论的框架，提出基于湍流结构生成动力学的转捩理论。</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）湍流结构演化的时空多尺度动力学：从时空耦合的角度研究湍流结构的演化，</w:t>
      </w:r>
    </w:p>
    <w:p>
      <w:pPr>
        <w:autoSpaceDE w:val="0"/>
        <w:autoSpaceDN w:val="0"/>
        <w:jc w:val="both"/>
        <w:spacing w:before="10"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突破湍流能</w:t>
      </w:r>
      <w:r>
        <w:rPr>
          <w:rFonts w:ascii="宋体" w:hAnsi="宋体" w:cs="宋体" w:eastAsia="宋体" w:hint="ascii"/>
          <w:sz w:val="21"/>
        </w:rPr>
        <w:t>量级串过程的理论框架，发展基于时空多尺度动力学的湍流理论、计算方法及实验技术。</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）湍流结构对力热声输运的作用机制和控制原理：从精细描述湍流结构的角度，</w:t>
      </w:r>
    </w:p>
    <w:p>
      <w:pPr>
        <w:autoSpaceDE w:val="0"/>
        <w:autoSpaceDN w:val="0"/>
        <w:jc w:val="both"/>
        <w:spacing w:before="10"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研究湍流结</w:t>
      </w:r>
      <w:r>
        <w:rPr>
          <w:rFonts w:ascii="宋体" w:hAnsi="宋体" w:cs="宋体" w:eastAsia="宋体" w:hint="ascii"/>
          <w:sz w:val="21"/>
        </w:rPr>
        <w:t>构对力、热、声产生和输运的作用机制，突破传统涡粘模式的框架，实现对阻力、热流和流动噪声的准确预测和控制。</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年度资助计划</w:t>
      </w:r>
    </w:p>
    <w:p>
      <w:pPr>
        <w:autoSpaceDE w:val="0"/>
        <w:autoSpaceDN w:val="0"/>
        <w:jc w:val="left"/>
        <w:spacing w:before="203"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6"/>
        </w:rPr>
        <w:t xml:space="preserve"> </w:t>
      </w:r>
      <w:r>
        <w:rPr>
          <w:rFonts w:ascii="宋体" w:hAnsi="宋体" w:cs="宋体" w:eastAsia="宋体" w:hint="ascii"/>
          <w:sz w:val="21"/>
        </w:rPr>
        <w:t>年度拟资助培育项目</w:t>
      </w:r>
      <w:r>
        <w:rPr>
          <w:rFonts w:ascii="宋体" w:hAnsi="宋体" w:cs="宋体" w:eastAsia="宋体" w:hint="ascii"/>
          <w:sz w:val="21"/>
          <w:spacing w:val="-6"/>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6"/>
        </w:rPr>
        <w:t xml:space="preserve"> </w:t>
      </w:r>
      <w:r>
        <w:rPr>
          <w:rFonts w:ascii="宋体" w:hAnsi="宋体" w:cs="宋体" w:eastAsia="宋体" w:hint="ascii"/>
          <w:sz w:val="21"/>
        </w:rPr>
        <w:t>项左右，直接费用平均资助强度约</w:t>
      </w:r>
      <w:r>
        <w:rPr>
          <w:rFonts w:ascii="宋体" w:hAnsi="宋体" w:cs="宋体" w:eastAsia="宋体" w:hint="ascii"/>
          <w:sz w:val="21"/>
          <w:spacing w:val="-6"/>
        </w:rPr>
        <w:t xml:space="preserve"> </w:t>
      </w:r>
      <w:r>
        <w:rPr>
          <w:rFonts w:ascii="Times New Roman" w:hAnsi="Times New Roman" w:cs="Times New Roman" w:eastAsia="Times New Roman" w:hint="ascii"/>
          <w:sz w:val="21"/>
        </w:rPr>
        <w:t>100</w:t>
      </w:r>
      <w:r>
        <w:rPr>
          <w:rFonts w:ascii="Times New Roman" w:hAnsi="Times New Roman" w:cs="Times New Roman" w:eastAsia="Times New Roman" w:hint="ascii"/>
          <w:sz w:val="21"/>
          <w:spacing w:val="-6"/>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w:t>
      </w:r>
    </w:p>
    <w:p>
      <w:pPr>
        <w:autoSpaceDE w:val="0"/>
        <w:autoSpaceDN w:val="0"/>
        <w:jc w:val="both"/>
        <w:spacing w:before="20" w:after="0" w:lineRule="exact" w:line="319"/>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助期限为</w:t>
      </w:r>
      <w:r>
        <w:rPr>
          <w:rFonts w:ascii="宋体" w:hAnsi="宋体" w:cs="宋体" w:eastAsia="宋体" w:hint="ascii"/>
          <w:sz w:val="21"/>
          <w:spacing w:val="-25"/>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5"/>
        </w:rPr>
        <w:t xml:space="preserve"> </w:t>
      </w:r>
      <w:r>
        <w:rPr>
          <w:rFonts w:ascii="宋体" w:hAnsi="宋体" w:cs="宋体" w:eastAsia="宋体" w:hint="ascii"/>
          <w:sz w:val="21"/>
        </w:rPr>
        <w:t>年，申请书中研究期限应填写“</w:t>
      </w:r>
      <w:r>
        <w:rPr>
          <w:rFonts w:ascii="Times New Roman" w:hAnsi="Times New Roman" w:cs="Times New Roman" w:eastAsia="Times New Roman" w:hint="ascii"/>
          <w:sz w:val="21"/>
        </w:rPr>
        <w:t>2019</w:t>
      </w:r>
      <w:r>
        <w:rPr>
          <w:rFonts w:ascii="Times New Roman" w:hAnsi="Times New Roman" w:cs="Times New Roman" w:eastAsia="Times New Roman" w:hint="ascii"/>
          <w:sz w:val="21"/>
          <w:spacing w:val="-24"/>
        </w:rPr>
        <w:t xml:space="preserve"> </w:t>
      </w:r>
      <w:r>
        <w:rPr>
          <w:rFonts w:ascii="宋体" w:hAnsi="宋体" w:cs="宋体" w:eastAsia="宋体" w:hint="ascii"/>
          <w:sz w:val="21"/>
        </w:rPr>
        <w:t>年</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月</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日至</w:t>
      </w:r>
      <w:r>
        <w:rPr>
          <w:rFonts w:ascii="宋体" w:hAnsi="宋体" w:cs="宋体" w:eastAsia="宋体" w:hint="ascii"/>
          <w:sz w:val="21"/>
          <w:spacing w:val="-24"/>
        </w:rPr>
        <w:t xml:space="preserve"> </w:t>
      </w:r>
      <w:r>
        <w:rPr>
          <w:rFonts w:ascii="Times New Roman" w:hAnsi="Times New Roman" w:cs="Times New Roman" w:eastAsia="Times New Roman" w:hint="ascii"/>
          <w:sz w:val="21"/>
        </w:rPr>
        <w:t>2021</w:t>
      </w:r>
      <w:r>
        <w:rPr>
          <w:rFonts w:ascii="Times New Roman" w:hAnsi="Times New Roman" w:cs="Times New Roman" w:eastAsia="Times New Roman" w:hint="ascii"/>
          <w:sz w:val="21"/>
          <w:spacing w:val="-24"/>
        </w:rPr>
        <w:t xml:space="preserve"> </w:t>
      </w:r>
      <w:r>
        <w:rPr>
          <w:rFonts w:ascii="宋体" w:hAnsi="宋体" w:cs="宋体" w:eastAsia="宋体" w:hint="ascii"/>
          <w:sz w:val="21"/>
        </w:rPr>
        <w:t>年</w:t>
      </w:r>
      <w:r>
        <w:rPr>
          <w:rFonts w:ascii="宋体" w:hAnsi="宋体" w:cs="宋体" w:eastAsia="宋体" w:hint="ascii"/>
          <w:sz w:val="21"/>
          <w:spacing w:val="-24"/>
        </w:rPr>
        <w:t xml:space="preserve"> </w:t>
      </w:r>
      <w:r>
        <w:rPr>
          <w:rFonts w:ascii="Times New Roman" w:hAnsi="Times New Roman" w:cs="Times New Roman" w:eastAsia="Times New Roman" w:hint="ascii"/>
          <w:sz w:val="21"/>
        </w:rPr>
        <w:t>12</w:t>
      </w:r>
      <w:r>
        <w:rPr>
          <w:rFonts w:ascii="Times New Roman" w:hAnsi="Times New Roman" w:cs="Times New Roman" w:eastAsia="Times New Roman" w:hint="ascii"/>
          <w:sz w:val="21"/>
          <w:spacing w:val="-24"/>
        </w:rPr>
        <w:t xml:space="preserve"> </w:t>
      </w:r>
      <w:r>
        <w:rPr>
          <w:rFonts w:ascii="宋体" w:hAnsi="宋体" w:cs="宋体" w:eastAsia="宋体" w:hint="ascii"/>
          <w:sz w:val="21"/>
        </w:rPr>
        <w:t>月</w:t>
      </w:r>
      <w:r>
        <w:rPr>
          <w:rFonts w:ascii="宋体" w:hAnsi="宋体" w:cs="宋体" w:eastAsia="宋体" w:hint="ascii"/>
          <w:sz w:val="21"/>
          <w:spacing w:val="-24"/>
        </w:rPr>
        <w:t xml:space="preserve"> </w:t>
      </w:r>
      <w:r>
        <w:rPr>
          <w:rFonts w:ascii="Times New Roman" w:hAnsi="Times New Roman" w:cs="Times New Roman" w:eastAsia="Times New Roman" w:hint="ascii"/>
          <w:sz w:val="21"/>
        </w:rPr>
        <w:t>31</w:t>
      </w:r>
      <w:r>
        <w:rPr>
          <w:rFonts w:ascii="Times New Roman" w:hAnsi="Times New Roman" w:cs="Times New Roman" w:eastAsia="Times New Roman" w:hint="ascii"/>
          <w:sz w:val="21"/>
          <w:spacing w:val="-25"/>
        </w:rPr>
        <w:t xml:space="preserve"> </w:t>
      </w:r>
      <w:r>
        <w:rPr>
          <w:rFonts w:ascii="宋体" w:hAnsi="宋体" w:cs="宋体" w:eastAsia="宋体" w:hint="ascii"/>
          <w:sz w:val="21"/>
        </w:rPr>
        <w:t>日”；</w:t>
      </w:r>
      <w:r>
        <w:rPr>
          <w:rFonts w:ascii="宋体" w:hAnsi="宋体" w:cs="宋体" w:eastAsia="宋体" w:hint="ascii"/>
          <w:sz w:val="21"/>
          <w:spacing w:val="-1"/>
        </w:rPr>
        <w:t>拟资助重点支持项</w:t>
      </w:r>
      <w:r>
        <w:rPr>
          <w:rFonts w:ascii="宋体" w:hAnsi="宋体" w:cs="宋体" w:eastAsia="宋体" w:hint="ascii"/>
          <w:sz w:val="21"/>
        </w:rPr>
        <w:t xml:space="preserve">目 </w:t>
      </w:r>
      <w:r>
        <w:rPr>
          <w:rFonts w:ascii="Times New Roman" w:hAnsi="Times New Roman" w:cs="Times New Roman" w:eastAsia="Times New Roman" w:hint="ascii"/>
          <w:sz w:val="21"/>
        </w:rPr>
        <w:t xml:space="preserve">8 </w:t>
      </w:r>
      <w:r>
        <w:rPr>
          <w:rFonts w:ascii="宋体" w:hAnsi="宋体" w:cs="宋体" w:eastAsia="宋体" w:hint="ascii"/>
          <w:sz w:val="21"/>
        </w:rPr>
        <w:t>项左右，直接费用平均资助强度约</w:t>
      </w:r>
      <w:r>
        <w:rPr>
          <w:rFonts w:ascii="宋体" w:hAnsi="宋体" w:cs="宋体" w:eastAsia="宋体" w:hint="ascii"/>
          <w:sz w:val="21"/>
          <w:spacing w:val="-26"/>
        </w:rPr>
        <w:t xml:space="preserve"> </w:t>
      </w:r>
      <w:r>
        <w:rPr>
          <w:rFonts w:ascii="Times New Roman" w:hAnsi="Times New Roman" w:cs="Times New Roman" w:eastAsia="Times New Roman" w:hint="ascii"/>
          <w:sz w:val="21"/>
        </w:rPr>
        <w:t>40</w:t>
      </w:r>
      <w:r>
        <w:rPr>
          <w:rFonts w:ascii="Times New Roman" w:hAnsi="Times New Roman" w:cs="Times New Roman" w:eastAsia="Times New Roman" w:hint="ascii"/>
          <w:sz w:val="21"/>
          <w:spacing w:val="53"/>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 xml:space="preserve">项，资助期限为 </w:t>
      </w:r>
      <w:r>
        <w:rPr>
          <w:rFonts w:ascii="Times New Roman" w:hAnsi="Times New Roman" w:cs="Times New Roman" w:eastAsia="Times New Roman" w:hint="ascii"/>
          <w:sz w:val="21"/>
        </w:rPr>
        <w:t xml:space="preserve">4 </w:t>
      </w:r>
      <w:r>
        <w:rPr>
          <w:rFonts w:ascii="宋体" w:hAnsi="宋体" w:cs="宋体" w:eastAsia="宋体" w:hint="ascii"/>
          <w:sz w:val="21"/>
        </w:rPr>
        <w:t>年，申请书中研究期限应填写“</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9</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2</w:t>
      </w:r>
      <w:r>
        <w:rPr>
          <w:rFonts w:ascii="宋体" w:hAnsi="宋体" w:cs="宋体" w:eastAsia="宋体" w:hint="ascii"/>
          <w:sz w:val="21"/>
          <w:spacing w:val="27"/>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1</w:t>
      </w:r>
      <w:r>
        <w:rPr>
          <w:rFonts w:ascii="宋体" w:hAnsi="宋体" w:cs="宋体" w:eastAsia="宋体" w:hint="ascii"/>
          <w:sz w:val="21"/>
        </w:rPr>
        <w:t>日”。</w:t>
      </w:r>
    </w:p>
    <w:p>
      <w:pPr>
        <w:autoSpaceDE w:val="0"/>
        <w:autoSpaceDN w:val="0"/>
        <w:jc w:val="left"/>
        <w:spacing w:before="16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年度重点资助研究方向</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本重大研究计划前期主要以“培育项目”和“重点支持项目”的形式予以资助，在</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要求和资助</w:t>
      </w:r>
      <w:r>
        <w:rPr>
          <w:rFonts w:ascii="宋体" w:hAnsi="宋体" w:cs="宋体" w:eastAsia="宋体" w:hint="ascii"/>
          <w:sz w:val="21"/>
        </w:rPr>
        <w:t>强度上有所不同。对探索性强、选题新颖的申请将以“培育项目”方式予以</w:t>
      </w:r>
      <w:r>
        <w:rPr>
          <w:rFonts w:ascii="宋体" w:hAnsi="宋体" w:cs="宋体" w:eastAsia="宋体" w:hint="ascii"/>
          <w:sz w:val="21"/>
          <w:spacing w:val="1"/>
        </w:rPr>
        <w:t>资助；对具有原创性</w:t>
      </w:r>
      <w:r>
        <w:rPr>
          <w:rFonts w:ascii="宋体" w:hAnsi="宋体" w:cs="宋体" w:eastAsia="宋体" w:hint="ascii"/>
          <w:sz w:val="21"/>
        </w:rPr>
        <w:t>、有一定工作积累、有望取得重要突破的申请将以“重点支持</w:t>
      </w:r>
      <w:r>
        <w:rPr>
          <w:rFonts w:ascii="宋体" w:hAnsi="宋体" w:cs="宋体" w:eastAsia="宋体" w:hint="ascii"/>
          <w:sz w:val="21"/>
          <w:spacing w:val="-6"/>
        </w:rPr>
        <w:t>项</w:t>
      </w:r>
      <w:r>
        <w:rPr>
          <w:rFonts w:ascii="宋体" w:hAnsi="宋体" w:cs="宋体" w:eastAsia="宋体" w:hint="ascii"/>
          <w:sz w:val="21"/>
          <w:spacing w:val="-1"/>
        </w:rPr>
        <w:t>目”的方式</w:t>
      </w:r>
      <w:r>
        <w:rPr>
          <w:rFonts w:ascii="宋体" w:hAnsi="宋体" w:cs="宋体" w:eastAsia="宋体" w:hint="ascii"/>
          <w:sz w:val="21"/>
        </w:rPr>
        <w:t>予以资助。鼓励力学、数学、物理、大气、海洋、工程热物理和信息等来自不同学科的研究队伍共同参与申请。拟重点资助以下方向：</w:t>
      </w:r>
    </w:p>
    <w:p>
      <w:pPr>
        <w:autoSpaceDE w:val="0"/>
        <w:autoSpaceDN w:val="0"/>
        <w:jc w:val="left"/>
        <w:spacing w:before="46" w:after="0" w:lineRule="auto" w:line="240"/>
        <w:ind w:right="0" w:left="1649" w:hanging="263"/>
        <w:snapToGrid w:val="0"/>
        <w:textAlignment w:val="auto"/>
        <w:tabs>
          <w:tab w:val="left" w:leader="none" w:pos="1648"/>
        </w:tabs>
        <w:numPr>
          <w:ilvl w:val="0"/>
          <w:numId w:val="154"/>
        </w:numPr>
        <w:rPr>
          <w:rFonts w:ascii="Times New Roman" w:hAnsi="Times New Roman" w:cs="Times New Roman" w:eastAsia="Times New Roman" w:hint="ascii"/>
          <w:sz w:val="21"/>
        </w:rPr>
      </w:pPr>
      <w:r>
        <w:rPr>
          <w:rFonts w:ascii="宋体" w:hAnsi="宋体" w:cs="宋体" w:eastAsia="宋体" w:hint="ascii"/>
          <w:sz w:val="21"/>
        </w:rPr>
        <w:t>复杂湍流结构的生成及演化</w:t>
      </w:r>
    </w:p>
    <w:p>
      <w:pPr>
        <w:autoSpaceDE w:val="0"/>
        <w:autoSpaceDN w:val="0"/>
        <w:jc w:val="left"/>
        <w:spacing w:before="6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针对曲壁面、变形结构表面、旋转动边界等复杂条件，开展流动转捩机理和预测模</w:t>
      </w:r>
    </w:p>
    <w:p>
      <w:pPr>
        <w:autoSpaceDE w:val="0"/>
        <w:autoSpaceDN w:val="0"/>
        <w:jc w:val="both"/>
        <w:spacing w:before="10" w:after="0" w:lineRule="exact" w:line="32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型等研究；</w:t>
      </w:r>
      <w:r>
        <w:rPr>
          <w:rFonts w:ascii="宋体" w:hAnsi="宋体" w:cs="宋体" w:eastAsia="宋体" w:hint="ascii"/>
          <w:sz w:val="21"/>
        </w:rPr>
        <w:t>研究叶轮机械动静干扰过程中的复杂流动结构与转捩机理；开展湍流结构和</w:t>
      </w:r>
      <w:r>
        <w:rPr>
          <w:rFonts w:ascii="宋体" w:hAnsi="宋体" w:cs="宋体" w:eastAsia="宋体" w:hint="ascii"/>
          <w:sz w:val="21"/>
          <w:spacing w:val="-1"/>
        </w:rPr>
        <w:t>界面运动的</w:t>
      </w:r>
      <w:r>
        <w:rPr>
          <w:rFonts w:ascii="宋体" w:hAnsi="宋体" w:cs="宋体" w:eastAsia="宋体" w:hint="ascii"/>
          <w:sz w:val="21"/>
        </w:rPr>
        <w:t>耦合动力学研究；研究多相湍流混合的多尺度特征及湍流结构生成机理；开展多物质界面不稳定性和湍流混合结构的生成机理等方面的研究。</w:t>
      </w:r>
    </w:p>
    <w:p>
      <w:pPr>
        <w:autoSpaceDE w:val="0"/>
        <w:autoSpaceDN w:val="0"/>
        <w:jc w:val="left"/>
        <w:spacing w:before="45" w:after="0" w:lineRule="auto" w:line="240"/>
        <w:ind w:right="0" w:left="1649" w:hanging="263"/>
        <w:snapToGrid w:val="0"/>
        <w:textAlignment w:val="auto"/>
        <w:tabs>
          <w:tab w:val="left" w:leader="none" w:pos="1648"/>
        </w:tabs>
        <w:numPr>
          <w:ilvl w:val="0"/>
          <w:numId w:val="154"/>
        </w:numPr>
        <w:rPr>
          <w:rFonts w:ascii="Times New Roman" w:hAnsi="Times New Roman" w:cs="Times New Roman" w:eastAsia="Times New Roman" w:hint="ascii"/>
          <w:sz w:val="21"/>
        </w:rPr>
      </w:pPr>
      <w:r>
        <w:rPr>
          <w:rFonts w:ascii="宋体" w:hAnsi="宋体" w:cs="宋体" w:eastAsia="宋体" w:hint="ascii"/>
          <w:sz w:val="21"/>
        </w:rPr>
        <w:t>湍流结构演化的时空多尺度相互作用</w:t>
      </w:r>
    </w:p>
    <w:p>
      <w:pPr>
        <w:autoSpaceDE w:val="0"/>
        <w:autoSpaceDN w:val="0"/>
        <w:jc w:val="left"/>
        <w:spacing w:before="5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开展高雷诺数条件下湍流扩散机理和复杂流动的湍流掺混机理研究；开展湍流结构</w:t>
      </w:r>
    </w:p>
    <w:p>
      <w:pPr>
        <w:autoSpaceDE w:val="0"/>
        <w:autoSpaceDN w:val="0"/>
        <w:jc w:val="left"/>
        <w:spacing w:before="40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重大研究计划项目</w:t>
      </w:r>
    </w:p>
    <w:p>
      <w:pPr>
        <w:autoSpaceDE w:val="0"/>
        <w:autoSpaceDN w:val="0"/>
        <w:jc w:val="left"/>
        <w:spacing w:before="257"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与剪切、压缩和热力学基本物理过程的相互作用研究；揭示复杂边界高速流动中湍流结构的演化动力学特性；开发适用于湍流结构演化机理分析的大数据挖掘和处理技术；发展基于人工智能的湍流分析方法及模型；发展基于湍流结构演化统计规律的湍流模型和模拟方法；发展非定常湍流的高精度 </w:t>
      </w:r>
      <w:r>
        <w:rPr>
          <w:rFonts w:ascii="Times New Roman" w:hAnsi="Times New Roman" w:cs="Times New Roman" w:eastAsia="Times New Roman" w:hint="ascii"/>
          <w:sz w:val="21"/>
        </w:rPr>
        <w:t xml:space="preserve">RANS/LES </w:t>
      </w:r>
      <w:r>
        <w:rPr>
          <w:rFonts w:ascii="宋体" w:hAnsi="宋体" w:cs="宋体" w:eastAsia="宋体" w:hint="ascii"/>
          <w:sz w:val="21"/>
        </w:rPr>
        <w:t>混合模型；研究多物理耦合约束的大涡模拟模型；建立基于湍流结构时空演化的统计和模式理论。</w:t>
      </w:r>
      <w:r>
        <w:rPr>
          <w:rFonts w:ascii="宋体" w:hAnsi="宋体" w:cs="宋体" w:eastAsia="宋体" w:hint="ascii"/>
          <w:sz w:val="21"/>
        </w:rPr>
        <mc:AlternateContent>
          <mc:Choice Requires="wps">
            <w:drawing>
              <wp:anchor distL="0" distR="0" distT="0" distB="0" simplePos="0" behindDoc="1" relativeHeight="195" locked="0" layoutInCell="1" allowOverlap="1">
                <wp:simplePos x="0" y="0"/>
                <wp:positionH relativeFrom="page">
                  <wp:posOffset>938530</wp:posOffset>
                </wp:positionH>
                <wp:positionV relativeFrom="page">
                  <wp:posOffset>819150</wp:posOffset>
                </wp:positionV>
                <wp:extent cx="5076190" cy="0"/>
                <wp:wrapNone/>
                <wp:docPr id="1224" name="122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58560;width:399.70pt;" id="122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649" w:hanging="263"/>
        <w:snapToGrid w:val="0"/>
        <w:textAlignment w:val="auto"/>
        <w:tabs>
          <w:tab w:val="left" w:leader="none" w:pos="1648"/>
        </w:tabs>
        <w:numPr>
          <w:ilvl w:val="0"/>
          <w:numId w:val="154"/>
        </w:numPr>
        <w:rPr>
          <w:rFonts w:ascii="Times New Roman" w:hAnsi="Times New Roman" w:cs="Times New Roman" w:eastAsia="Times New Roman" w:hint="ascii"/>
          <w:sz w:val="21"/>
        </w:rPr>
      </w:pPr>
      <w:r>
        <w:rPr>
          <w:rFonts w:ascii="宋体" w:hAnsi="宋体" w:cs="宋体" w:eastAsia="宋体" w:hint="ascii"/>
          <w:sz w:val="21"/>
        </w:rPr>
        <w:t>湍流结构对力、热、声的作用机制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发展基于湍流结构的阻力预测和减阻原理与方法；开展流固声耦合系统发声的流动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噪声理论研</w:t>
      </w:r>
      <w:r>
        <w:rPr>
          <w:rFonts w:ascii="宋体" w:hAnsi="宋体" w:cs="宋体" w:eastAsia="宋体" w:hint="ascii"/>
          <w:sz w:val="21"/>
        </w:rPr>
        <w:t>究；探索湍流诱导结构振动、噪声生成的机理和控制方法；发展湍流结构演化及湍流噪声的大涡模拟方法；研究高超声速流动湍流结构对气动力</w:t>
      </w:r>
      <w:r>
        <w:rPr>
          <w:rFonts w:ascii="Times New Roman" w:hAnsi="Times New Roman" w:cs="Times New Roman" w:eastAsia="Times New Roman" w:hint="ascii"/>
          <w:sz w:val="21"/>
        </w:rPr>
        <w:t>/</w:t>
      </w:r>
      <w:r>
        <w:rPr>
          <w:rFonts w:ascii="宋体" w:hAnsi="宋体" w:cs="宋体" w:eastAsia="宋体" w:hint="ascii"/>
          <w:sz w:val="21"/>
        </w:rPr>
        <w:t>热的影响机理；</w:t>
      </w:r>
      <w:r>
        <w:rPr>
          <w:rFonts w:ascii="宋体" w:hAnsi="宋体" w:cs="宋体" w:eastAsia="宋体" w:hint="ascii"/>
          <w:sz w:val="21"/>
          <w:spacing w:val="-1"/>
        </w:rPr>
        <w:t>研究高速航</w:t>
      </w:r>
      <w:r>
        <w:rPr>
          <w:rFonts w:ascii="宋体" w:hAnsi="宋体" w:cs="宋体" w:eastAsia="宋体" w:hint="ascii"/>
          <w:sz w:val="21"/>
        </w:rPr>
        <w:t>行体湍流尾迹特征；开展湍流中的空泡流相变和空蚀的机理与建模、以及空化与湍流相互作用研究。</w:t>
      </w:r>
    </w:p>
    <w:p>
      <w:pPr>
        <w:autoSpaceDE w:val="0"/>
        <w:autoSpaceDN w:val="0"/>
        <w:jc w:val="left"/>
        <w:spacing w:before="40" w:after="0" w:lineRule="auto" w:line="240"/>
        <w:ind w:right="0" w:left="1649" w:hanging="263"/>
        <w:snapToGrid w:val="0"/>
        <w:textAlignment w:val="auto"/>
        <w:tabs>
          <w:tab w:val="left" w:leader="none" w:pos="1648"/>
        </w:tabs>
        <w:numPr>
          <w:ilvl w:val="0"/>
          <w:numId w:val="154"/>
        </w:numPr>
        <w:rPr>
          <w:rFonts w:ascii="Times New Roman" w:hAnsi="Times New Roman" w:cs="Times New Roman" w:eastAsia="Times New Roman" w:hint="ascii"/>
          <w:sz w:val="21"/>
        </w:rPr>
      </w:pPr>
      <w:r>
        <w:rPr>
          <w:rFonts w:ascii="宋体" w:hAnsi="宋体" w:cs="宋体" w:eastAsia="宋体" w:hint="ascii"/>
          <w:sz w:val="21"/>
        </w:rPr>
        <w:t>湍流高精度的计算方法和高解析度的实验技术</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发展解析湍流结构的高精度计算方法和高效并行算法；发展高精度高时空分辨率的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三维湍流场</w:t>
      </w:r>
      <w:r>
        <w:rPr>
          <w:rFonts w:ascii="宋体" w:hAnsi="宋体" w:cs="宋体" w:eastAsia="宋体" w:hint="ascii"/>
          <w:sz w:val="21"/>
        </w:rPr>
        <w:t>实验测量技术和多场多参数耦合显示和测量技术及分析方法；发展可压缩湍</w:t>
      </w:r>
      <w:r>
        <w:rPr>
          <w:rFonts w:ascii="宋体" w:hAnsi="宋体" w:cs="宋体" w:eastAsia="宋体" w:hint="ascii"/>
          <w:sz w:val="21"/>
          <w:spacing w:val="-1"/>
        </w:rPr>
        <w:t>流的高效、</w:t>
      </w:r>
      <w:r>
        <w:rPr>
          <w:rFonts w:ascii="宋体" w:hAnsi="宋体" w:cs="宋体" w:eastAsia="宋体" w:hint="ascii"/>
          <w:sz w:val="21"/>
        </w:rPr>
        <w:t>高精度、强鲁棒的数值模拟方法及应用软件；发展高超声速边界层气动热的高精度实验测量方法和技术。</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五、项目遴选的基本原则</w:t>
      </w:r>
    </w:p>
    <w:p>
      <w:pPr>
        <w:autoSpaceDE w:val="0"/>
        <w:autoSpaceDN w:val="0"/>
        <w:jc w:val="left"/>
        <w:spacing w:before="21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为确保实现总体目标，本重大研究计划要求：</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）研究内容必须符合指南要求；</w:t>
      </w:r>
    </w:p>
    <w:p>
      <w:pPr>
        <w:autoSpaceDE w:val="0"/>
        <w:autoSpaceDN w:val="0"/>
        <w:jc w:val="both"/>
        <w:spacing w:before="13" w:after="0" w:lineRule="exact" w:line="33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）鼓励开</w:t>
      </w:r>
      <w:r>
        <w:rPr>
          <w:rFonts w:ascii="宋体" w:hAnsi="宋体" w:cs="宋体" w:eastAsia="宋体" w:hint="ascii"/>
          <w:sz w:val="21"/>
        </w:rPr>
        <w:t>展前沿领域探索性研究，优先支持具有原创性的湍流结构生成演化机理和湍流模式</w:t>
      </w:r>
      <w:r>
        <w:rPr>
          <w:rFonts w:ascii="Times New Roman" w:hAnsi="Times New Roman" w:cs="Times New Roman" w:eastAsia="Times New Roman" w:hint="ascii"/>
          <w:sz w:val="21"/>
        </w:rPr>
        <w:t>/</w:t>
      </w:r>
      <w:r>
        <w:rPr>
          <w:rFonts w:ascii="宋体" w:hAnsi="宋体" w:cs="宋体" w:eastAsia="宋体" w:hint="ascii"/>
          <w:sz w:val="21"/>
        </w:rPr>
        <w:t>模型的新概念、新理论、新体系、新方法的研究；</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）鼓励多学科实质性交叉合作研究，注重理论与实验的有机结合；</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）鼓励和优先支持具有实质性国际合作的研究；</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）注意与“面向发动机的湍流燃烧基础研究”重大研究计划研究内容的区别。</w:t>
      </w:r>
    </w:p>
    <w:p>
      <w:pPr>
        <w:autoSpaceDE w:val="0"/>
        <w:autoSpaceDN w:val="0"/>
        <w:jc w:val="left"/>
        <w:spacing w:before="178"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六、申请注意事项</w:t>
      </w:r>
    </w:p>
    <w:p>
      <w:pPr>
        <w:autoSpaceDE w:val="0"/>
        <w:autoSpaceDN w:val="0"/>
        <w:jc w:val="left"/>
        <w:spacing w:before="21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）申请人在填报申请书前，应认真阅读本《指南》。申请人应当按照重大研究计</w:t>
      </w:r>
    </w:p>
    <w:p>
      <w:pPr>
        <w:autoSpaceDE w:val="0"/>
        <w:autoSpaceDN w:val="0"/>
        <w:jc w:val="both"/>
        <w:spacing w:before="13"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划申请书的撰</w:t>
      </w:r>
      <w:r>
        <w:rPr>
          <w:rFonts w:ascii="宋体" w:hAnsi="宋体" w:cs="宋体" w:eastAsia="宋体" w:hint="ascii"/>
          <w:sz w:val="21"/>
        </w:rPr>
        <w:t>写提纲撰写申请书，应突出有限目标和重点突破。申请书须具有明确的关</w:t>
      </w:r>
      <w:r>
        <w:rPr>
          <w:rFonts w:ascii="宋体" w:hAnsi="宋体" w:cs="宋体" w:eastAsia="宋体" w:hint="ascii"/>
          <w:sz w:val="21"/>
          <w:spacing w:val="-1"/>
        </w:rPr>
        <w:t>键科学问题，</w:t>
      </w:r>
      <w:r>
        <w:rPr>
          <w:rFonts w:ascii="宋体" w:hAnsi="宋体" w:cs="宋体" w:eastAsia="宋体" w:hint="ascii"/>
          <w:sz w:val="21"/>
        </w:rPr>
        <w:t>并应论述与项目指南最接近的科学问题的关系，以及对解决核心科学问题</w:t>
      </w:r>
      <w:r>
        <w:rPr>
          <w:rFonts w:ascii="宋体" w:hAnsi="宋体" w:cs="宋体" w:eastAsia="宋体" w:hint="ascii"/>
          <w:sz w:val="21"/>
          <w:spacing w:val="-1"/>
        </w:rPr>
        <w:t>和实现重大研</w:t>
      </w:r>
      <w:r>
        <w:rPr>
          <w:rFonts w:ascii="宋体" w:hAnsi="宋体" w:cs="宋体" w:eastAsia="宋体" w:hint="ascii"/>
          <w:sz w:val="21"/>
        </w:rPr>
        <w:t>究计划总体目标的贡献。不符合本《指南》要求的申请项目将不予受理。</w:t>
      </w:r>
      <w:r>
        <w:rPr>
          <w:rFonts w:ascii="宋体" w:hAnsi="宋体" w:cs="宋体" w:eastAsia="宋体" w:hint="ascii"/>
          <w:sz w:val="21"/>
          <w:spacing w:val="-1"/>
        </w:rPr>
        <w:t>如果申请人已</w:t>
      </w:r>
      <w:r>
        <w:rPr>
          <w:rFonts w:ascii="宋体" w:hAnsi="宋体" w:cs="宋体" w:eastAsia="宋体" w:hint="ascii"/>
          <w:sz w:val="21"/>
        </w:rPr>
        <w:t>经承担与本重大研究计划相关的其他科技计划项目，应当在申请书报告正文的“研究基础”部分论述申请项目与其他相关项目的区别与联系。</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）本重大研究计划旨在紧密围绕核心科学问题，将对多学科相关研究进行战略性</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的方向引导和</w:t>
      </w:r>
      <w:r>
        <w:rPr>
          <w:rFonts w:ascii="宋体" w:hAnsi="宋体" w:cs="宋体" w:eastAsia="宋体" w:hint="ascii"/>
          <w:sz w:val="21"/>
        </w:rPr>
        <w:t>优势整合，成为一个项目集群。申请人应根据本重大研究计划拟解决的核</w:t>
      </w:r>
      <w:r>
        <w:rPr>
          <w:rFonts w:ascii="宋体" w:hAnsi="宋体" w:cs="宋体" w:eastAsia="宋体" w:hint="ascii"/>
          <w:sz w:val="21"/>
          <w:spacing w:val="-1"/>
        </w:rPr>
        <w:t>心科学问题和</w:t>
      </w:r>
      <w:r>
        <w:rPr>
          <w:rFonts w:ascii="宋体" w:hAnsi="宋体" w:cs="宋体" w:eastAsia="宋体" w:hint="ascii"/>
          <w:sz w:val="21"/>
        </w:rPr>
        <w:t>项目指南公布的拟重点资助研究方向，自行拟定项目名称、科学目标、研究内容、技术路线和相应的研究经费等。</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）申请书中的资助类别选择“重大研究计划”，亚类说明选择“重点支持项目”</w:t>
      </w:r>
    </w:p>
    <w:p>
      <w:pPr>
        <w:autoSpaceDE w:val="0"/>
        <w:autoSpaceDN w:val="0"/>
        <w:jc w:val="left"/>
        <w:spacing w:before="36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或“培育项</w:t>
      </w:r>
      <w:r>
        <w:rPr>
          <w:rFonts w:ascii="宋体" w:hAnsi="宋体" w:cs="宋体" w:eastAsia="宋体" w:hint="ascii"/>
          <w:sz w:val="21"/>
        </w:rPr>
        <w:t>目”，附注说明选择“湍流结构的生成演化及作用机理”。根据申请的具体研究内容选择相应的申请代码。</w:t>
      </w:r>
      <w:r>
        <w:rPr>
          <w:rFonts w:ascii="宋体" w:hAnsi="宋体" w:cs="宋体" w:eastAsia="宋体" w:hint="ascii"/>
          <w:sz w:val="21"/>
        </w:rPr>
        <mc:AlternateContent>
          <mc:Choice Requires="wps">
            <w:drawing>
              <wp:anchor distL="0" distR="0" distT="0" distB="0" simplePos="0" behindDoc="1" relativeHeight="196" locked="0" layoutInCell="1" allowOverlap="1">
                <wp:simplePos x="0" y="0"/>
                <wp:positionH relativeFrom="page">
                  <wp:posOffset>938530</wp:posOffset>
                </wp:positionH>
                <wp:positionV relativeFrom="page">
                  <wp:posOffset>805815</wp:posOffset>
                </wp:positionV>
                <wp:extent cx="5076190" cy="0"/>
                <wp:wrapNone/>
                <wp:docPr id="1225" name="122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57536;width:399.70pt;" id="122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）申请书由数理科学部负责受理。</w:t>
      </w:r>
    </w:p>
    <w:p>
      <w:pPr>
        <w:autoSpaceDE w:val="0"/>
        <w:autoSpaceDN w:val="0"/>
        <w:jc w:val="left"/>
        <w:spacing w:before="190" w:after="0" w:lineRule="exact" w:line="475"/>
        <w:ind w:right="0" w:left="1916" w:firstLine="0"/>
        <w:snapToGrid w:val="0"/>
        <w:textAlignment w:val="auto"/>
        <w:tabs/>
        <w:rPr>
          <w:rFonts w:ascii="宋体" w:hAnsi="宋体" w:cs="宋体" w:eastAsia="宋体" w:hint="ascii"/>
          <w:sz w:val="38"/>
        </w:rPr>
      </w:pPr>
      <w:r>
        <w:rPr>
          <w:rFonts w:ascii="宋体" w:hAnsi="宋体" w:cs="宋体" w:eastAsia="宋体" w:hint="ascii"/>
          <w:sz w:val="38"/>
        </w:rPr>
        <w:t>共融机器人基础理论与关键技术研究</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共融机器人是指能与作业环境、人和其他机器人自然交互、自主适应复杂动态环境</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并协同作业的机器人</w:t>
      </w:r>
      <w:r>
        <w:rPr>
          <w:rFonts w:ascii="宋体" w:hAnsi="宋体" w:cs="宋体" w:eastAsia="宋体" w:hint="ascii"/>
          <w:sz w:val="21"/>
        </w:rPr>
        <w:t>。共融机器人在结构、感知和控制方面的特征是：柔顺灵巧的</w:t>
      </w:r>
      <w:r>
        <w:rPr>
          <w:rFonts w:ascii="宋体" w:hAnsi="宋体" w:cs="宋体" w:eastAsia="宋体" w:hint="ascii"/>
          <w:sz w:val="21"/>
          <w:spacing w:val="-6"/>
        </w:rPr>
        <w:t>结</w:t>
      </w:r>
      <w:r>
        <w:rPr>
          <w:rFonts w:ascii="宋体" w:hAnsi="宋体" w:cs="宋体" w:eastAsia="宋体" w:hint="ascii"/>
          <w:sz w:val="21"/>
          <w:spacing w:val="-1"/>
        </w:rPr>
        <w:t>构、多模态</w:t>
      </w:r>
      <w:r>
        <w:rPr>
          <w:rFonts w:ascii="宋体" w:hAnsi="宋体" w:cs="宋体" w:eastAsia="宋体" w:hint="ascii"/>
          <w:sz w:val="21"/>
        </w:rPr>
        <w:t>感知的功能、分布自主协同作业的能力。本重大研究计划面向智能制造、医</w:t>
      </w:r>
      <w:r>
        <w:rPr>
          <w:rFonts w:ascii="宋体" w:hAnsi="宋体" w:cs="宋体" w:eastAsia="宋体" w:hint="ascii"/>
          <w:sz w:val="21"/>
          <w:spacing w:val="1"/>
        </w:rPr>
        <w:t>疗康复、国防安全</w:t>
      </w:r>
      <w:r>
        <w:rPr>
          <w:rFonts w:ascii="宋体" w:hAnsi="宋体" w:cs="宋体" w:eastAsia="宋体" w:hint="ascii"/>
          <w:sz w:val="21"/>
        </w:rPr>
        <w:t>等领域对共融机器人的需求，开展共融机器人结构、感知与控制</w:t>
      </w:r>
      <w:r>
        <w:rPr>
          <w:rFonts w:ascii="宋体" w:hAnsi="宋体" w:cs="宋体" w:eastAsia="宋体" w:hint="ascii"/>
          <w:sz w:val="21"/>
          <w:spacing w:val="-6"/>
        </w:rPr>
        <w:t>的</w:t>
      </w:r>
      <w:r>
        <w:rPr>
          <w:rFonts w:ascii="宋体" w:hAnsi="宋体" w:cs="宋体" w:eastAsia="宋体" w:hint="ascii"/>
          <w:sz w:val="21"/>
          <w:spacing w:val="1"/>
        </w:rPr>
        <w:t>基础理论与关键技术</w:t>
      </w:r>
      <w:r>
        <w:rPr>
          <w:rFonts w:ascii="宋体" w:hAnsi="宋体" w:cs="宋体" w:eastAsia="宋体" w:hint="ascii"/>
          <w:sz w:val="21"/>
        </w:rPr>
        <w:t>研究，为我国机器人技术进步和产业发展提供源头创新思路与</w:t>
      </w:r>
      <w:r>
        <w:rPr>
          <w:rFonts w:ascii="宋体" w:hAnsi="宋体" w:cs="宋体" w:eastAsia="宋体" w:hint="ascii"/>
          <w:sz w:val="21"/>
          <w:spacing w:val="-6"/>
        </w:rPr>
        <w:t>科</w:t>
      </w:r>
      <w:r>
        <w:rPr>
          <w:rFonts w:ascii="宋体" w:hAnsi="宋体" w:cs="宋体" w:eastAsia="宋体" w:hint="ascii"/>
          <w:sz w:val="21"/>
        </w:rPr>
        <w:t>学支撑。</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一、科学目标</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本重大研究计划瞄准国际机器人研究前沿，围绕人</w:t>
      </w:r>
      <w:r>
        <w:rPr>
          <w:rFonts w:ascii="宋体" w:hAnsi="宋体" w:cs="宋体" w:eastAsia="宋体" w:hint="ascii"/>
          <w:sz w:val="21"/>
        </w:rPr>
        <w:t>-</w:t>
      </w:r>
      <w:r>
        <w:rPr>
          <w:rFonts w:ascii="宋体" w:hAnsi="宋体" w:cs="宋体" w:eastAsia="宋体" w:hint="ascii"/>
          <w:sz w:val="21"/>
        </w:rPr>
        <w:t>机</w:t>
      </w:r>
      <w:r>
        <w:rPr>
          <w:rFonts w:ascii="宋体" w:hAnsi="宋体" w:cs="宋体" w:eastAsia="宋体" w:hint="ascii"/>
          <w:sz w:val="21"/>
        </w:rPr>
        <w:t>-</w:t>
      </w:r>
      <w:r>
        <w:rPr>
          <w:rFonts w:ascii="宋体" w:hAnsi="宋体" w:cs="宋体" w:eastAsia="宋体" w:hint="ascii"/>
          <w:sz w:val="21"/>
        </w:rPr>
        <w:t>环境共融的机器人基础理论</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和设计方法</w:t>
      </w:r>
      <w:r>
        <w:rPr>
          <w:rFonts w:ascii="宋体" w:hAnsi="宋体" w:cs="宋体" w:eastAsia="宋体" w:hint="ascii"/>
          <w:sz w:val="21"/>
        </w:rPr>
        <w:t>，通过多学科交叉，旨在刚</w:t>
      </w:r>
      <w:r>
        <w:rPr>
          <w:rFonts w:ascii="宋体" w:hAnsi="宋体" w:cs="宋体" w:eastAsia="宋体" w:hint="ascii"/>
          <w:sz w:val="21"/>
        </w:rPr>
        <w:t>-</w:t>
      </w:r>
      <w:r>
        <w:rPr>
          <w:rFonts w:ascii="宋体" w:hAnsi="宋体" w:cs="宋体" w:eastAsia="宋体" w:hint="ascii"/>
          <w:sz w:val="21"/>
        </w:rPr>
        <w:t>柔</w:t>
      </w:r>
      <w:r>
        <w:rPr>
          <w:rFonts w:ascii="宋体" w:hAnsi="宋体" w:cs="宋体" w:eastAsia="宋体" w:hint="ascii"/>
          <w:sz w:val="21"/>
        </w:rPr>
        <w:t>-</w:t>
      </w:r>
      <w:r>
        <w:rPr>
          <w:rFonts w:ascii="宋体" w:hAnsi="宋体" w:cs="宋体" w:eastAsia="宋体" w:hint="ascii"/>
          <w:sz w:val="21"/>
        </w:rPr>
        <w:t>软耦合柔顺结构设计与动力学、多模态环境</w:t>
      </w:r>
      <w:r>
        <w:rPr>
          <w:rFonts w:ascii="宋体" w:hAnsi="宋体" w:cs="宋体" w:eastAsia="宋体" w:hint="ascii"/>
          <w:sz w:val="21"/>
          <w:spacing w:val="1"/>
        </w:rPr>
        <w:t>感知与人机互适应协</w:t>
      </w:r>
      <w:r>
        <w:rPr>
          <w:rFonts w:ascii="宋体" w:hAnsi="宋体" w:cs="宋体" w:eastAsia="宋体" w:hint="ascii"/>
          <w:sz w:val="21"/>
        </w:rPr>
        <w:t>作、群体智能与分布式机器人操作系统等方面取得创新性研究</w:t>
      </w:r>
      <w:r>
        <w:rPr>
          <w:rFonts w:ascii="宋体" w:hAnsi="宋体" w:cs="宋体" w:eastAsia="宋体" w:hint="ascii"/>
          <w:sz w:val="21"/>
          <w:spacing w:val="-6"/>
        </w:rPr>
        <w:t>成</w:t>
      </w:r>
      <w:r>
        <w:rPr>
          <w:rFonts w:ascii="宋体" w:hAnsi="宋体" w:cs="宋体" w:eastAsia="宋体" w:hint="ascii"/>
          <w:sz w:val="21"/>
          <w:spacing w:val="-1"/>
        </w:rPr>
        <w:t>果，培育一</w:t>
      </w:r>
      <w:r>
        <w:rPr>
          <w:rFonts w:ascii="宋体" w:hAnsi="宋体" w:cs="宋体" w:eastAsia="宋体" w:hint="ascii"/>
          <w:sz w:val="21"/>
        </w:rPr>
        <w:t>批具有国际影响力的中青年学术骨干和带头人，提升我国机器人研究的整体创新能力和国际影响力。</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二、核心科学问题</w:t>
      </w:r>
    </w:p>
    <w:p>
      <w:pPr>
        <w:autoSpaceDE w:val="0"/>
        <w:autoSpaceDN w:val="0"/>
        <w:jc w:val="left"/>
        <w:spacing w:before="198" w:after="0" w:lineRule="auto" w:line="240"/>
        <w:ind w:right="0" w:left="1649" w:hanging="263"/>
        <w:snapToGrid w:val="0"/>
        <w:textAlignment w:val="auto"/>
        <w:tabs>
          <w:tab w:val="left" w:leader="none" w:pos="1648"/>
        </w:tabs>
        <w:numPr>
          <w:ilvl w:val="0"/>
          <w:numId w:val="155"/>
        </w:numPr>
        <w:rPr>
          <w:rFonts w:ascii="Times New Roman" w:hAnsi="Times New Roman" w:cs="Times New Roman" w:eastAsia="Times New Roman" w:hint="ascii"/>
          <w:sz w:val="21"/>
        </w:rPr>
      </w:pPr>
      <w:r>
        <w:rPr>
          <w:rFonts w:ascii="宋体" w:hAnsi="宋体" w:cs="宋体" w:eastAsia="宋体" w:hint="ascii"/>
          <w:sz w:val="21"/>
        </w:rPr>
        <w:t>刚</w:t>
      </w:r>
      <w:r>
        <w:rPr>
          <w:rFonts w:ascii="宋体" w:hAnsi="宋体" w:cs="宋体" w:eastAsia="宋体" w:hint="ascii"/>
          <w:sz w:val="21"/>
          <w:spacing w:val="16"/>
        </w:rPr>
        <w:t>-</w:t>
      </w:r>
      <w:r>
        <w:rPr>
          <w:rFonts w:ascii="宋体" w:hAnsi="宋体" w:cs="宋体" w:eastAsia="宋体" w:hint="ascii"/>
          <w:sz w:val="21"/>
        </w:rPr>
        <w:t>柔</w:t>
      </w:r>
      <w:r>
        <w:rPr>
          <w:rFonts w:ascii="宋体" w:hAnsi="宋体" w:cs="宋体" w:eastAsia="宋体" w:hint="ascii"/>
          <w:sz w:val="21"/>
          <w:spacing w:val="17"/>
        </w:rPr>
        <w:t>-</w:t>
      </w:r>
      <w:r>
        <w:rPr>
          <w:rFonts w:ascii="宋体" w:hAnsi="宋体" w:cs="宋体" w:eastAsia="宋体" w:hint="ascii"/>
          <w:sz w:val="21"/>
        </w:rPr>
        <w:t>软体机器人的运动特性与可控性</w:t>
      </w:r>
    </w:p>
    <w:p>
      <w:pPr>
        <w:autoSpaceDE w:val="0"/>
        <w:autoSpaceDN w:val="0"/>
        <w:jc w:val="both"/>
        <w:spacing w:before="1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刚</w:t>
      </w:r>
      <w:r>
        <w:rPr>
          <w:rFonts w:ascii="宋体" w:hAnsi="宋体" w:cs="宋体" w:eastAsia="宋体" w:hint="ascii"/>
          <w:sz w:val="21"/>
          <w:spacing w:val="-1"/>
        </w:rPr>
        <w:t>-</w:t>
      </w:r>
      <w:r>
        <w:rPr>
          <w:rFonts w:ascii="宋体" w:hAnsi="宋体" w:cs="宋体" w:eastAsia="宋体" w:hint="ascii"/>
          <w:sz w:val="21"/>
          <w:spacing w:val="-1"/>
        </w:rPr>
        <w:t>柔</w:t>
      </w:r>
      <w:r>
        <w:rPr>
          <w:rFonts w:ascii="宋体" w:hAnsi="宋体" w:cs="宋体" w:eastAsia="宋体" w:hint="ascii"/>
          <w:sz w:val="21"/>
          <w:spacing w:val="-1"/>
        </w:rPr>
        <w:t>-</w:t>
      </w:r>
      <w:r>
        <w:rPr>
          <w:rFonts w:ascii="宋体" w:hAnsi="宋体" w:cs="宋体" w:eastAsia="宋体" w:hint="ascii"/>
          <w:sz w:val="21"/>
          <w:spacing w:val="-1"/>
        </w:rPr>
        <w:t>软体</w:t>
      </w:r>
      <w:r>
        <w:rPr>
          <w:rFonts w:ascii="宋体" w:hAnsi="宋体" w:cs="宋体" w:eastAsia="宋体" w:hint="ascii"/>
          <w:sz w:val="21"/>
        </w:rPr>
        <w:t>机器人构型设计及力学行为解析，机器人</w:t>
      </w:r>
      <w:r>
        <w:rPr>
          <w:rFonts w:ascii="宋体" w:hAnsi="宋体" w:cs="宋体" w:eastAsia="宋体" w:hint="ascii"/>
          <w:sz w:val="21"/>
        </w:rPr>
        <w:t>-</w:t>
      </w:r>
      <w:r>
        <w:rPr>
          <w:rFonts w:ascii="宋体" w:hAnsi="宋体" w:cs="宋体" w:eastAsia="宋体" w:hint="ascii"/>
          <w:sz w:val="21"/>
        </w:rPr>
        <w:t>人</w:t>
      </w:r>
      <w:r>
        <w:rPr>
          <w:rFonts w:ascii="宋体" w:hAnsi="宋体" w:cs="宋体" w:eastAsia="宋体" w:hint="ascii"/>
          <w:sz w:val="21"/>
        </w:rPr>
        <w:t>-</w:t>
      </w:r>
      <w:r>
        <w:rPr>
          <w:rFonts w:ascii="宋体" w:hAnsi="宋体" w:cs="宋体" w:eastAsia="宋体" w:hint="ascii"/>
          <w:sz w:val="21"/>
        </w:rPr>
        <w:t>环境交互动力学与刚度调控机制。</w:t>
      </w:r>
    </w:p>
    <w:p>
      <w:pPr>
        <w:autoSpaceDE w:val="0"/>
        <w:autoSpaceDN w:val="0"/>
        <w:jc w:val="left"/>
        <w:spacing w:before="40" w:after="0" w:lineRule="auto" w:line="240"/>
        <w:ind w:right="0" w:left="1649" w:hanging="263"/>
        <w:snapToGrid w:val="0"/>
        <w:textAlignment w:val="auto"/>
        <w:tabs>
          <w:tab w:val="left" w:leader="none" w:pos="1648"/>
        </w:tabs>
        <w:numPr>
          <w:ilvl w:val="0"/>
          <w:numId w:val="155"/>
        </w:numPr>
        <w:rPr>
          <w:rFonts w:ascii="Times New Roman" w:hAnsi="Times New Roman" w:cs="Times New Roman" w:eastAsia="Times New Roman" w:hint="ascii"/>
          <w:sz w:val="21"/>
        </w:rPr>
      </w:pPr>
      <w:r>
        <w:rPr>
          <w:rFonts w:ascii="宋体" w:hAnsi="宋体" w:cs="宋体" w:eastAsia="宋体" w:hint="ascii"/>
          <w:sz w:val="21"/>
        </w:rPr>
        <w:t>人</w:t>
      </w:r>
      <w:r>
        <w:rPr>
          <w:rFonts w:ascii="宋体" w:hAnsi="宋体" w:cs="宋体" w:eastAsia="宋体" w:hint="ascii"/>
          <w:b w:val="1"/>
          <w:sz w:val="21"/>
          <w:spacing w:val="17"/>
        </w:rPr>
        <w:t>-</w:t>
      </w:r>
      <w:r>
        <w:rPr>
          <w:rFonts w:ascii="宋体" w:hAnsi="宋体" w:cs="宋体" w:eastAsia="宋体" w:hint="ascii"/>
          <w:sz w:val="21"/>
        </w:rPr>
        <w:t>机</w:t>
      </w:r>
      <w:r>
        <w:rPr>
          <w:rFonts w:ascii="宋体" w:hAnsi="宋体" w:cs="宋体" w:eastAsia="宋体" w:hint="ascii"/>
          <w:sz w:val="21"/>
          <w:spacing w:val="16"/>
        </w:rPr>
        <w:t>-</w:t>
      </w:r>
      <w:r>
        <w:rPr>
          <w:rFonts w:ascii="宋体" w:hAnsi="宋体" w:cs="宋体" w:eastAsia="宋体" w:hint="ascii"/>
          <w:sz w:val="21"/>
        </w:rPr>
        <w:t>环境多模态感知与自然交互</w:t>
      </w:r>
    </w:p>
    <w:p>
      <w:pPr>
        <w:autoSpaceDE w:val="0"/>
        <w:autoSpaceDN w:val="0"/>
        <w:jc w:val="both"/>
        <w:spacing w:before="1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非结构环境</w:t>
      </w:r>
      <w:r>
        <w:rPr>
          <w:rFonts w:ascii="宋体" w:hAnsi="宋体" w:cs="宋体" w:eastAsia="宋体" w:hint="ascii"/>
          <w:sz w:val="21"/>
        </w:rPr>
        <w:t>中的多模态感知与情景理解，基于生物信号的行为意图理解与人机自然交互。</w:t>
      </w:r>
    </w:p>
    <w:p>
      <w:pPr>
        <w:autoSpaceDE w:val="0"/>
        <w:autoSpaceDN w:val="0"/>
        <w:jc w:val="left"/>
        <w:spacing w:before="40" w:after="0" w:lineRule="auto" w:line="240"/>
        <w:ind w:right="0" w:left="1649" w:hanging="263"/>
        <w:snapToGrid w:val="0"/>
        <w:textAlignment w:val="auto"/>
        <w:tabs>
          <w:tab w:val="left" w:leader="none" w:pos="1648"/>
        </w:tabs>
        <w:numPr>
          <w:ilvl w:val="0"/>
          <w:numId w:val="155"/>
        </w:numPr>
        <w:rPr>
          <w:rFonts w:ascii="Times New Roman" w:hAnsi="Times New Roman" w:cs="Times New Roman" w:eastAsia="Times New Roman" w:hint="ascii"/>
          <w:sz w:val="21"/>
        </w:rPr>
      </w:pPr>
      <w:r>
        <w:rPr>
          <w:rFonts w:ascii="宋体" w:hAnsi="宋体" w:cs="宋体" w:eastAsia="宋体" w:hint="ascii"/>
          <w:sz w:val="21"/>
        </w:rPr>
        <w:t>机器人群体智能与操作系统架构</w:t>
      </w:r>
    </w:p>
    <w:p>
      <w:pPr>
        <w:autoSpaceDE w:val="0"/>
        <w:autoSpaceDN w:val="0"/>
        <w:jc w:val="both"/>
        <w:spacing w:before="17" w:after="0" w:lineRule="exact" w:line="312"/>
        <w:ind w:right="978" w:left="966" w:firstLine="432"/>
        <w:snapToGrid w:val="0"/>
        <w:textAlignment w:val="auto"/>
        <w:tabs/>
        <w:rPr>
          <w:rFonts w:ascii="宋体" w:hAnsi="宋体" w:cs="宋体" w:eastAsia="宋体" w:hint="ascii"/>
          <w:sz w:val="21"/>
        </w:rPr>
      </w:pPr>
      <w:r>
        <w:rPr>
          <w:rFonts w:ascii="宋体" w:hAnsi="宋体" w:cs="宋体" w:eastAsia="宋体" w:hint="ascii"/>
          <w:sz w:val="21"/>
          <w:spacing w:val="3"/>
        </w:rPr>
        <w:t>机</w:t>
      </w:r>
      <w:r>
        <w:rPr>
          <w:rFonts w:ascii="宋体" w:hAnsi="宋体" w:cs="宋体" w:eastAsia="宋体" w:hint="ascii"/>
          <w:sz w:val="21"/>
          <w:spacing w:val="4"/>
        </w:rPr>
        <w:t>器</w:t>
      </w:r>
      <w:r>
        <w:rPr>
          <w:rFonts w:ascii="宋体" w:hAnsi="宋体" w:cs="宋体" w:eastAsia="宋体" w:hint="ascii"/>
          <w:sz w:val="21"/>
          <w:spacing w:val="3"/>
        </w:rPr>
        <w:t>人个体自</w:t>
      </w:r>
      <w:r>
        <w:rPr>
          <w:rFonts w:ascii="宋体" w:hAnsi="宋体" w:cs="宋体" w:eastAsia="宋体" w:hint="ascii"/>
          <w:sz w:val="21"/>
          <w:spacing w:val="4"/>
        </w:rPr>
        <w:t>主</w:t>
      </w:r>
      <w:r>
        <w:rPr>
          <w:rFonts w:ascii="宋体" w:hAnsi="宋体" w:cs="宋体" w:eastAsia="宋体" w:hint="ascii"/>
          <w:sz w:val="21"/>
          <w:spacing w:val="3"/>
        </w:rPr>
        <w:t>与机器人</w:t>
      </w:r>
      <w:r>
        <w:rPr>
          <w:rFonts w:ascii="宋体" w:hAnsi="宋体" w:cs="宋体" w:eastAsia="宋体" w:hint="ascii"/>
          <w:sz w:val="21"/>
          <w:spacing w:val="4"/>
        </w:rPr>
        <w:t>群</w:t>
      </w:r>
      <w:r>
        <w:rPr>
          <w:rFonts w:ascii="宋体" w:hAnsi="宋体" w:cs="宋体" w:eastAsia="宋体" w:hint="ascii"/>
          <w:sz w:val="21"/>
          <w:spacing w:val="3"/>
        </w:rPr>
        <w:t>体智能涌</w:t>
      </w:r>
      <w:r>
        <w:rPr>
          <w:rFonts w:ascii="宋体" w:hAnsi="宋体" w:cs="宋体" w:eastAsia="宋体" w:hint="ascii"/>
          <w:sz w:val="21"/>
          <w:spacing w:val="4"/>
        </w:rPr>
        <w:t>现</w:t>
      </w:r>
      <w:r>
        <w:rPr>
          <w:rFonts w:ascii="宋体" w:hAnsi="宋体" w:cs="宋体" w:eastAsia="宋体" w:hint="ascii"/>
          <w:sz w:val="21"/>
          <w:spacing w:val="3"/>
        </w:rPr>
        <w:t>机理，群</w:t>
      </w:r>
      <w:r>
        <w:rPr>
          <w:rFonts w:ascii="宋体" w:hAnsi="宋体" w:cs="宋体" w:eastAsia="宋体" w:hint="ascii"/>
          <w:sz w:val="21"/>
          <w:spacing w:val="4"/>
        </w:rPr>
        <w:t>体</w:t>
      </w:r>
      <w:r>
        <w:rPr>
          <w:rFonts w:ascii="宋体" w:hAnsi="宋体" w:cs="宋体" w:eastAsia="宋体" w:hint="ascii"/>
          <w:sz w:val="21"/>
          <w:spacing w:val="3"/>
        </w:rPr>
        <w:t>机器人操</w:t>
      </w:r>
      <w:r>
        <w:rPr>
          <w:rFonts w:ascii="宋体" w:hAnsi="宋体" w:cs="宋体" w:eastAsia="宋体" w:hint="ascii"/>
          <w:sz w:val="21"/>
          <w:spacing w:val="4"/>
        </w:rPr>
        <w:t>作</w:t>
      </w:r>
      <w:r>
        <w:rPr>
          <w:rFonts w:ascii="宋体" w:hAnsi="宋体" w:cs="宋体" w:eastAsia="宋体" w:hint="ascii"/>
          <w:sz w:val="21"/>
          <w:spacing w:val="3"/>
        </w:rPr>
        <w:t>系统的多</w:t>
      </w:r>
      <w:r>
        <w:rPr>
          <w:rFonts w:ascii="宋体" w:hAnsi="宋体" w:cs="宋体" w:eastAsia="宋体" w:hint="ascii"/>
          <w:sz w:val="21"/>
          <w:spacing w:val="4"/>
        </w:rPr>
        <w:t>态</w:t>
      </w:r>
      <w:r>
        <w:rPr>
          <w:rFonts w:ascii="宋体" w:hAnsi="宋体" w:cs="宋体" w:eastAsia="宋体" w:hint="ascii"/>
          <w:sz w:val="21"/>
          <w:spacing w:val="3"/>
        </w:rPr>
        <w:t>分</w:t>
      </w:r>
      <w:r>
        <w:rPr>
          <w:rFonts w:ascii="宋体" w:hAnsi="宋体" w:cs="宋体" w:eastAsia="宋体" w:hint="ascii"/>
          <w:sz w:val="21"/>
          <w:spacing w:val="-6"/>
        </w:rPr>
        <w:t>布</w:t>
      </w:r>
      <w:r>
        <w:rPr>
          <w:rFonts w:ascii="宋体" w:hAnsi="宋体" w:cs="宋体" w:eastAsia="宋体" w:hint="ascii"/>
          <w:sz w:val="21"/>
          <w:spacing w:val="3"/>
        </w:rPr>
        <w:t>架构</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年度拟重点资助的研究方向</w: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本年度以“</w:t>
      </w:r>
      <w:r>
        <w:rPr>
          <w:rFonts w:ascii="宋体" w:hAnsi="宋体" w:cs="宋体" w:eastAsia="宋体" w:hint="ascii"/>
          <w:sz w:val="21"/>
        </w:rPr>
        <w:t>培育项目”和“重点支持项目”的形式予以资助，培育项目直接费用平均资助强</w:t>
      </w:r>
      <w:r>
        <w:rPr>
          <w:rFonts w:ascii="宋体" w:hAnsi="宋体" w:cs="宋体" w:eastAsia="宋体" w:hint="ascii"/>
          <w:sz w:val="21"/>
          <w:spacing w:val="26"/>
        </w:rPr>
        <w:t>度</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52"/>
        </w:rPr>
        <w:t>5</w:t>
      </w:r>
      <w:r>
        <w:rPr>
          <w:rFonts w:ascii="宋体" w:hAnsi="宋体" w:cs="宋体" w:eastAsia="宋体" w:hint="ascii"/>
          <w:sz w:val="21"/>
        </w:rPr>
        <w:t>万元</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52"/>
        </w:rPr>
        <w:t>3</w:t>
      </w:r>
      <w:r>
        <w:rPr>
          <w:rFonts w:ascii="宋体" w:hAnsi="宋体" w:cs="宋体" w:eastAsia="宋体" w:hint="ascii"/>
          <w:sz w:val="21"/>
        </w:rPr>
        <w:t>年，重点支持项目直接费用平均资助强</w:t>
      </w:r>
      <w:r>
        <w:rPr>
          <w:rFonts w:ascii="宋体" w:hAnsi="宋体" w:cs="宋体" w:eastAsia="宋体" w:hint="ascii"/>
          <w:sz w:val="21"/>
          <w:spacing w:val="26"/>
        </w:rPr>
        <w:t>度</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Times New Roman" w:hAnsi="Times New Roman" w:cs="Times New Roman" w:eastAsia="Times New Roman" w:hint="ascii"/>
          <w:sz w:val="21"/>
          <w:spacing w:val="52"/>
        </w:rPr>
        <w:t>4</w:t>
      </w:r>
      <w:r>
        <w:rPr>
          <w:rFonts w:ascii="宋体" w:hAnsi="宋体" w:cs="宋体" w:eastAsia="宋体" w:hint="ascii"/>
          <w:sz w:val="21"/>
        </w:rPr>
        <w:t>年。</w:t>
      </w:r>
    </w:p>
    <w:p>
      <w:pPr>
        <w:autoSpaceDE w:val="0"/>
        <w:autoSpaceDN w:val="0"/>
        <w:jc w:val="left"/>
        <w:spacing w:before="16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（一）培育项目</w:t>
      </w:r>
    </w:p>
    <w:p>
      <w:pPr>
        <w:autoSpaceDE w:val="0"/>
        <w:autoSpaceDN w:val="0"/>
        <w:jc w:val="left"/>
        <w:spacing w:before="197" w:after="0" w:lineRule="auto" w:line="240"/>
        <w:ind w:right="0" w:left="1649" w:hanging="263"/>
        <w:snapToGrid w:val="0"/>
        <w:textAlignment w:val="auto"/>
        <w:tabs>
          <w:tab w:val="left" w:leader="none" w:pos="1648"/>
        </w:tabs>
        <w:numPr>
          <w:ilvl w:val="0"/>
          <w:numId w:val="156"/>
        </w:numPr>
        <w:rPr>
          <w:rFonts w:ascii="Times New Roman" w:hAnsi="Times New Roman" w:cs="Times New Roman" w:eastAsia="Times New Roman" w:hint="ascii"/>
          <w:sz w:val="21"/>
        </w:rPr>
      </w:pPr>
      <w:r>
        <w:rPr>
          <w:rFonts w:ascii="宋体" w:hAnsi="宋体" w:cs="宋体" w:eastAsia="宋体" w:hint="ascii"/>
          <w:sz w:val="21"/>
        </w:rPr>
        <w:t>先进结构机器人机构、传动与动力学</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）刚</w:t>
      </w:r>
      <w:r>
        <w:rPr>
          <w:rFonts w:ascii="宋体" w:hAnsi="宋体" w:cs="宋体" w:eastAsia="宋体" w:hint="ascii"/>
          <w:sz w:val="21"/>
        </w:rPr>
        <w:t>-</w:t>
      </w:r>
      <w:r>
        <w:rPr>
          <w:rFonts w:ascii="宋体" w:hAnsi="宋体" w:cs="宋体" w:eastAsia="宋体" w:hint="ascii"/>
          <w:sz w:val="21"/>
        </w:rPr>
        <w:t>柔</w:t>
      </w:r>
      <w:r>
        <w:rPr>
          <w:rFonts w:ascii="宋体" w:hAnsi="宋体" w:cs="宋体" w:eastAsia="宋体" w:hint="ascii"/>
          <w:sz w:val="21"/>
        </w:rPr>
        <w:t>-</w:t>
      </w:r>
      <w:r>
        <w:rPr>
          <w:rFonts w:ascii="宋体" w:hAnsi="宋体" w:cs="宋体" w:eastAsia="宋体" w:hint="ascii"/>
          <w:sz w:val="21"/>
        </w:rPr>
        <w:t>软多体耦合系统运动</w:t>
      </w:r>
      <w:r>
        <w:rPr>
          <w:rFonts w:ascii="Times New Roman" w:hAnsi="Times New Roman" w:cs="Times New Roman" w:eastAsia="Times New Roman" w:hint="ascii"/>
          <w:sz w:val="21"/>
        </w:rPr>
        <w:t>/</w:t>
      </w:r>
      <w:r>
        <w:rPr>
          <w:rFonts w:ascii="宋体" w:hAnsi="宋体" w:cs="宋体" w:eastAsia="宋体" w:hint="ascii"/>
          <w:sz w:val="21"/>
        </w:rPr>
        <w:t>力传递原理；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）柔软体机器人大变形致动与变刚度机制；</w:t>
      </w:r>
    </w:p>
    <w:p>
      <w:pPr>
        <w:autoSpaceDE w:val="0"/>
        <w:autoSpaceDN w:val="0"/>
        <w:jc w:val="left"/>
        <w:spacing w:before="29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重大研究计划项目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）机器人</w:t>
      </w:r>
      <w:r>
        <w:rPr>
          <w:rFonts w:ascii="宋体" w:hAnsi="宋体" w:cs="宋体" w:eastAsia="宋体" w:hint="ascii"/>
          <w:sz w:val="21"/>
        </w:rPr>
        <w:t>-</w:t>
      </w:r>
      <w:r>
        <w:rPr>
          <w:rFonts w:ascii="宋体" w:hAnsi="宋体" w:cs="宋体" w:eastAsia="宋体" w:hint="ascii"/>
          <w:sz w:val="21"/>
        </w:rPr>
        <w:t>人</w:t>
      </w:r>
      <w:r>
        <w:rPr>
          <w:rFonts w:ascii="宋体" w:hAnsi="宋体" w:cs="宋体" w:eastAsia="宋体" w:hint="ascii"/>
          <w:sz w:val="21"/>
        </w:rPr>
        <w:t>-</w:t>
      </w:r>
      <w:r>
        <w:rPr>
          <w:rFonts w:ascii="宋体" w:hAnsi="宋体" w:cs="宋体" w:eastAsia="宋体" w:hint="ascii"/>
          <w:sz w:val="21"/>
        </w:rPr>
        <w:t>环境交互动力学与顺应性设计理论。</w:t>
      </w:r>
      <w:r>
        <w:rPr>
          <w:rFonts w:ascii="宋体" w:hAnsi="宋体" w:cs="宋体" w:eastAsia="宋体" w:hint="ascii"/>
          <w:sz w:val="21"/>
        </w:rPr>
        <mc:AlternateContent>
          <mc:Choice Requires="wps">
            <w:drawing>
              <wp:anchor distL="0" distR="0" distT="0" distB="0" simplePos="0" behindDoc="1" relativeHeight="197" locked="0" layoutInCell="1" allowOverlap="1">
                <wp:simplePos x="0" y="0"/>
                <wp:positionH relativeFrom="page">
                  <wp:posOffset>938530</wp:posOffset>
                </wp:positionH>
                <wp:positionV relativeFrom="page">
                  <wp:posOffset>819150</wp:posOffset>
                </wp:positionV>
                <wp:extent cx="5076190" cy="0"/>
                <wp:wrapNone/>
                <wp:docPr id="1226" name="122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56512;width:399.70pt;" id="122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auto" w:line="240"/>
        <w:ind w:right="0" w:left="1649" w:hanging="263"/>
        <w:snapToGrid w:val="0"/>
        <w:textAlignment w:val="auto"/>
        <w:tabs>
          <w:tab w:val="left" w:leader="none" w:pos="1648"/>
        </w:tabs>
        <w:numPr>
          <w:ilvl w:val="0"/>
          <w:numId w:val="156"/>
        </w:numPr>
        <w:rPr>
          <w:rFonts w:ascii="Times New Roman" w:hAnsi="Times New Roman" w:cs="Times New Roman" w:eastAsia="Times New Roman" w:hint="ascii"/>
          <w:sz w:val="21"/>
        </w:rPr>
      </w:pPr>
      <w:r>
        <w:rPr>
          <w:rFonts w:ascii="宋体" w:hAnsi="宋体" w:cs="宋体" w:eastAsia="宋体" w:hint="ascii"/>
          <w:sz w:val="21"/>
        </w:rPr>
        <w:t>机器人自主作业与人机协作</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）动态非结构环境中机器人自主作业；</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）行为意图认知与人机协作；</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）人</w:t>
      </w:r>
      <w:r>
        <w:rPr>
          <w:rFonts w:ascii="宋体" w:hAnsi="宋体" w:cs="宋体" w:eastAsia="宋体" w:hint="ascii"/>
          <w:sz w:val="21"/>
        </w:rPr>
        <w:t>-</w:t>
      </w:r>
      <w:r>
        <w:rPr>
          <w:rFonts w:ascii="宋体" w:hAnsi="宋体" w:cs="宋体" w:eastAsia="宋体" w:hint="ascii"/>
          <w:sz w:val="21"/>
        </w:rPr>
        <w:t>机器人互适应自主学习与知识演化机理。</w:t>
      </w:r>
    </w:p>
    <w:p>
      <w:pPr>
        <w:autoSpaceDE w:val="0"/>
        <w:autoSpaceDN w:val="0"/>
        <w:jc w:val="left"/>
        <w:spacing w:before="49" w:after="0" w:lineRule="auto" w:line="240"/>
        <w:ind w:right="0" w:left="1649" w:hanging="263"/>
        <w:snapToGrid w:val="0"/>
        <w:textAlignment w:val="auto"/>
        <w:tabs>
          <w:tab w:val="left" w:leader="none" w:pos="1648"/>
        </w:tabs>
        <w:numPr>
          <w:ilvl w:val="0"/>
          <w:numId w:val="156"/>
        </w:numPr>
        <w:rPr>
          <w:rFonts w:ascii="Times New Roman" w:hAnsi="Times New Roman" w:cs="Times New Roman" w:eastAsia="Times New Roman" w:hint="ascii"/>
          <w:sz w:val="21"/>
        </w:rPr>
      </w:pPr>
      <w:r>
        <w:rPr>
          <w:rFonts w:ascii="宋体" w:hAnsi="宋体" w:cs="宋体" w:eastAsia="宋体" w:hint="ascii"/>
          <w:sz w:val="21"/>
        </w:rPr>
        <w:t>机器人群体智能与操作系统</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）多机器人协作与群体智能控制；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）共融机器人行为管理；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）智能软件体系。</w:t>
      </w:r>
    </w:p>
    <w:p>
      <w:pPr>
        <w:autoSpaceDE w:val="0"/>
        <w:autoSpaceDN w:val="0"/>
        <w:jc w:val="left"/>
        <w:spacing w:before="49" w:after="0" w:lineRule="auto" w:line="240"/>
        <w:ind w:right="0" w:left="1649" w:hanging="263"/>
        <w:snapToGrid w:val="0"/>
        <w:textAlignment w:val="auto"/>
        <w:tabs>
          <w:tab w:val="left" w:leader="none" w:pos="1648"/>
        </w:tabs>
        <w:numPr>
          <w:ilvl w:val="0"/>
          <w:numId w:val="156"/>
        </w:numPr>
        <w:rPr>
          <w:rFonts w:ascii="Times New Roman" w:hAnsi="Times New Roman" w:cs="Times New Roman" w:eastAsia="Times New Roman" w:hint="ascii"/>
          <w:sz w:val="21"/>
        </w:rPr>
      </w:pPr>
      <w:r>
        <w:rPr>
          <w:rFonts w:ascii="宋体" w:hAnsi="宋体" w:cs="宋体" w:eastAsia="宋体" w:hint="ascii"/>
          <w:sz w:val="21"/>
        </w:rPr>
        <w:t>其他具有共融机器人核心特征的结构、传感和控制新原理</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）人机协作机器人设计与控制；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）具有适应症针对性的人机交互机理。</w:t>
      </w:r>
    </w:p>
    <w:p>
      <w:pPr>
        <w:autoSpaceDE w:val="0"/>
        <w:autoSpaceDN w:val="0"/>
        <w:jc w:val="left"/>
        <w:spacing w:before="17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（二）重点支持项目</w:t>
      </w:r>
    </w:p>
    <w:p>
      <w:pPr>
        <w:autoSpaceDE w:val="0"/>
        <w:autoSpaceDN w:val="0"/>
        <w:jc w:val="both"/>
        <w:spacing w:before="157" w:after="0" w:lineRule="exact" w:line="312"/>
        <w:ind w:right="981" w:left="966" w:firstLine="428"/>
        <w:snapToGrid w:val="0"/>
        <w:textAlignment w:val="auto"/>
        <w:tabs/>
        <w:rPr>
          <w:rFonts w:ascii="宋体" w:hAnsi="宋体" w:cs="宋体" w:eastAsia="宋体" w:hint="ascii"/>
          <w:sz w:val="21"/>
        </w:rPr>
      </w:pPr>
      <w:r>
        <w:rPr>
          <w:rFonts w:ascii="宋体" w:hAnsi="宋体" w:cs="宋体" w:eastAsia="宋体" w:hint="ascii"/>
          <w:sz w:val="21"/>
        </w:rPr>
        <w:t>智能制造</w:t>
      </w:r>
      <w:r>
        <w:rPr>
          <w:rFonts w:ascii="宋体" w:hAnsi="宋体" w:cs="宋体" w:eastAsia="宋体" w:hint="ascii"/>
          <w:sz w:val="21"/>
          <w:spacing w:val="-1"/>
        </w:rPr>
        <w:t>、</w:t>
      </w:r>
      <w:r>
        <w:rPr>
          <w:rFonts w:ascii="宋体" w:hAnsi="宋体" w:cs="宋体" w:eastAsia="宋体" w:hint="ascii"/>
          <w:sz w:val="21"/>
        </w:rPr>
        <w:t>医疗康复</w:t>
      </w:r>
      <w:r>
        <w:rPr>
          <w:rFonts w:ascii="宋体" w:hAnsi="宋体" w:cs="宋体" w:eastAsia="宋体" w:hint="ascii"/>
          <w:sz w:val="21"/>
          <w:spacing w:val="-1"/>
        </w:rPr>
        <w:t>、</w:t>
      </w:r>
      <w:r>
        <w:rPr>
          <w:rFonts w:ascii="宋体" w:hAnsi="宋体" w:cs="宋体" w:eastAsia="宋体" w:hint="ascii"/>
          <w:sz w:val="21"/>
        </w:rPr>
        <w:t>国防安全</w:t>
      </w:r>
      <w:r>
        <w:rPr>
          <w:rFonts w:ascii="宋体" w:hAnsi="宋体" w:cs="宋体" w:eastAsia="宋体" w:hint="ascii"/>
          <w:sz w:val="21"/>
          <w:spacing w:val="-1"/>
        </w:rPr>
        <w:t>等</w:t>
      </w:r>
      <w:r>
        <w:rPr>
          <w:rFonts w:ascii="宋体" w:hAnsi="宋体" w:cs="宋体" w:eastAsia="宋体" w:hint="ascii"/>
          <w:sz w:val="21"/>
        </w:rPr>
        <w:t>领域具有</w:t>
      </w:r>
      <w:r>
        <w:rPr>
          <w:rFonts w:ascii="宋体" w:hAnsi="宋体" w:cs="宋体" w:eastAsia="宋体" w:hint="ascii"/>
          <w:sz w:val="21"/>
          <w:spacing w:val="-1"/>
        </w:rPr>
        <w:t>重</w:t>
      </w:r>
      <w:r>
        <w:rPr>
          <w:rFonts w:ascii="宋体" w:hAnsi="宋体" w:cs="宋体" w:eastAsia="宋体" w:hint="ascii"/>
          <w:sz w:val="21"/>
        </w:rPr>
        <w:t>大应用前</w:t>
      </w:r>
      <w:r>
        <w:rPr>
          <w:rFonts w:ascii="宋体" w:hAnsi="宋体" w:cs="宋体" w:eastAsia="宋体" w:hint="ascii"/>
          <w:sz w:val="21"/>
          <w:spacing w:val="-1"/>
        </w:rPr>
        <w:t>景</w:t>
      </w:r>
      <w:r>
        <w:rPr>
          <w:rFonts w:ascii="宋体" w:hAnsi="宋体" w:cs="宋体" w:eastAsia="宋体" w:hint="ascii"/>
          <w:sz w:val="21"/>
        </w:rPr>
        <w:t>的共融机器人结构与</w:t>
      </w:r>
      <w:r>
        <w:rPr>
          <w:rFonts w:ascii="宋体" w:hAnsi="宋体" w:cs="宋体" w:eastAsia="宋体" w:hint="ascii"/>
          <w:sz w:val="21"/>
          <w:spacing w:val="-6"/>
        </w:rPr>
        <w:t>驱</w:t>
      </w:r>
      <w:r>
        <w:rPr>
          <w:rFonts w:ascii="宋体" w:hAnsi="宋体" w:cs="宋体" w:eastAsia="宋体" w:hint="ascii"/>
          <w:sz w:val="21"/>
        </w:rPr>
        <w:t xml:space="preserve"> </w:t>
      </w:r>
      <w:r>
        <w:rPr>
          <w:rFonts w:ascii="宋体" w:hAnsi="宋体" w:cs="宋体" w:eastAsia="宋体" w:hint="ascii"/>
          <w:sz w:val="21"/>
          <w:spacing w:val="1"/>
        </w:rPr>
        <w:t>动、感知与交互</w:t>
      </w:r>
      <w:r>
        <w:rPr>
          <w:rFonts w:ascii="宋体" w:hAnsi="宋体" w:cs="宋体" w:eastAsia="宋体" w:hint="ascii"/>
          <w:sz w:val="21"/>
        </w:rPr>
        <w:t>、智能与控制以及系统集成的新原理和新方法。对医疗康复领域的</w:t>
      </w:r>
      <w:r>
        <w:rPr>
          <w:rFonts w:ascii="宋体" w:hAnsi="宋体" w:cs="宋体" w:eastAsia="宋体" w:hint="ascii"/>
          <w:sz w:val="21"/>
          <w:spacing w:val="-6"/>
        </w:rPr>
        <w:t>项</w:t>
      </w:r>
      <w:r>
        <w:rPr>
          <w:rFonts w:ascii="宋体" w:hAnsi="宋体" w:cs="宋体" w:eastAsia="宋体" w:hint="ascii"/>
          <w:sz w:val="21"/>
          <w:spacing w:val="1"/>
        </w:rPr>
        <w:t>目鼓励具有实质</w:t>
      </w:r>
      <w:r>
        <w:rPr>
          <w:rFonts w:ascii="宋体" w:hAnsi="宋体" w:cs="宋体" w:eastAsia="宋体" w:hint="ascii"/>
          <w:sz w:val="21"/>
        </w:rPr>
        <w:t>性医学科学研究内容的医工交叉研究，不支持纯生物信号与信息处</w:t>
      </w:r>
      <w:r>
        <w:rPr>
          <w:rFonts w:ascii="宋体" w:hAnsi="宋体" w:cs="宋体" w:eastAsia="宋体" w:hint="ascii"/>
          <w:sz w:val="21"/>
          <w:spacing w:val="-6"/>
        </w:rPr>
        <w:t>理</w:t>
      </w:r>
      <w:r>
        <w:rPr>
          <w:rFonts w:ascii="宋体" w:hAnsi="宋体" w:cs="宋体" w:eastAsia="宋体" w:hint="ascii"/>
          <w:sz w:val="21"/>
        </w:rPr>
        <w:t>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四、遴选项目的基本原则</w: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为确保实现总</w:t>
      </w:r>
      <w:r>
        <w:rPr>
          <w:rFonts w:ascii="宋体" w:hAnsi="宋体" w:cs="宋体" w:eastAsia="宋体" w:hint="ascii"/>
          <w:sz w:val="21"/>
        </w:rPr>
        <w:t>体目标，本重大研究计划要求研究内容必须符合本项目指南要求，并按照如下原则遴选项目：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）鼓励开展前沿领域探索性研究，优先支持原创性研究；</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）优先支</w:t>
      </w:r>
      <w:r>
        <w:rPr>
          <w:rFonts w:ascii="宋体" w:hAnsi="宋体" w:cs="宋体" w:eastAsia="宋体" w:hint="ascii"/>
          <w:sz w:val="21"/>
        </w:rPr>
        <w:t>持工程与材料科学部、信息科学部、数理科学部和医学科学部等学科间的交叉研究；</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）鼓励与</w:t>
      </w:r>
      <w:r>
        <w:rPr>
          <w:rFonts w:ascii="宋体" w:hAnsi="宋体" w:cs="宋体" w:eastAsia="宋体" w:hint="ascii"/>
          <w:sz w:val="21"/>
        </w:rPr>
        <w:t>国际上机器人相关领域的优秀学者联合申请，优先支持具有实质性国际合作的研究并在资助强度上给予适当倾斜；</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）优先支持青年学者牵头申请的项目；</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5</w:t>
      </w:r>
      <w:r>
        <w:rPr>
          <w:rFonts w:ascii="宋体" w:hAnsi="宋体" w:cs="宋体" w:eastAsia="宋体" w:hint="ascii"/>
          <w:sz w:val="21"/>
          <w:spacing w:val="-1"/>
        </w:rPr>
        <w:t>）对不符</w:t>
      </w:r>
      <w:r>
        <w:rPr>
          <w:rFonts w:ascii="宋体" w:hAnsi="宋体" w:cs="宋体" w:eastAsia="宋体" w:hint="ascii"/>
          <w:sz w:val="21"/>
        </w:rPr>
        <w:t>合本重大研究计划科学目标，未反映共融机器人核心特征的项目申请不予受理。</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五、申请注意事项</w:t>
      </w:r>
    </w:p>
    <w:p>
      <w:pPr>
        <w:autoSpaceDE w:val="0"/>
        <w:autoSpaceDN w:val="0"/>
        <w:jc w:val="left"/>
        <w:spacing w:before="21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）申请人在填报申请书前，应认真阅读本《指南</w:t>
      </w:r>
      <w:r>
        <w:rPr>
          <w:rFonts w:ascii="宋体" w:hAnsi="宋体" w:cs="宋体" w:eastAsia="宋体" w:hint="ascii"/>
          <w:sz w:val="21"/>
          <w:spacing w:val="-51"/>
        </w:rPr>
        <w:t>》</w:t>
      </w:r>
      <w:r>
        <w:rPr>
          <w:rFonts w:ascii="宋体" w:hAnsi="宋体" w:cs="宋体" w:eastAsia="宋体" w:hint="ascii"/>
          <w:sz w:val="21"/>
        </w:rPr>
        <w:t>。本重大研究计划旨在将相关</w:t>
      </w:r>
    </w:p>
    <w:p>
      <w:pPr>
        <w:autoSpaceDE w:val="0"/>
        <w:autoSpaceDN w:val="0"/>
        <w:jc w:val="both"/>
        <w:spacing w:before="13"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领域研究进行</w:t>
      </w:r>
      <w:r>
        <w:rPr>
          <w:rFonts w:ascii="宋体" w:hAnsi="宋体" w:cs="宋体" w:eastAsia="宋体" w:hint="ascii"/>
          <w:sz w:val="21"/>
        </w:rPr>
        <w:t>战略性的方向引导和优势整合，形成具有统一目标或方向的项目集群。申</w:t>
      </w:r>
      <w:r>
        <w:rPr>
          <w:rFonts w:ascii="宋体" w:hAnsi="宋体" w:cs="宋体" w:eastAsia="宋体" w:hint="ascii"/>
          <w:sz w:val="21"/>
          <w:spacing w:val="-1"/>
        </w:rPr>
        <w:t>请书须具有明</w:t>
      </w:r>
      <w:r>
        <w:rPr>
          <w:rFonts w:ascii="宋体" w:hAnsi="宋体" w:cs="宋体" w:eastAsia="宋体" w:hint="ascii"/>
          <w:sz w:val="21"/>
        </w:rPr>
        <w:t>确的关键科学问题，并应论述与项目指南最接近的科学问题的关系，以及</w:t>
      </w:r>
      <w:r>
        <w:rPr>
          <w:rFonts w:ascii="宋体" w:hAnsi="宋体" w:cs="宋体" w:eastAsia="宋体" w:hint="ascii"/>
          <w:sz w:val="21"/>
          <w:spacing w:val="1"/>
        </w:rPr>
        <w:t>对解决核心科学问题</w:t>
      </w:r>
      <w:r>
        <w:rPr>
          <w:rFonts w:ascii="宋体" w:hAnsi="宋体" w:cs="宋体" w:eastAsia="宋体" w:hint="ascii"/>
          <w:sz w:val="21"/>
        </w:rPr>
        <w:t>和实现项目总体目标的贡献。不符合本《指南》的申请将不予</w:t>
      </w:r>
      <w:r>
        <w:rPr>
          <w:rFonts w:ascii="宋体" w:hAnsi="宋体" w:cs="宋体" w:eastAsia="宋体" w:hint="ascii"/>
          <w:sz w:val="21"/>
          <w:spacing w:val="-6"/>
        </w:rPr>
        <w:t>受</w:t>
      </w:r>
      <w:r>
        <w:rPr>
          <w:rFonts w:ascii="宋体" w:hAnsi="宋体" w:cs="宋体" w:eastAsia="宋体" w:hint="ascii"/>
          <w:sz w:val="21"/>
          <w:spacing w:val="-1"/>
        </w:rPr>
        <w:t>理。如果申请</w:t>
      </w:r>
      <w:r>
        <w:rPr>
          <w:rFonts w:ascii="宋体" w:hAnsi="宋体" w:cs="宋体" w:eastAsia="宋体" w:hint="ascii"/>
          <w:sz w:val="21"/>
        </w:rPr>
        <w:t>人已经承担与本重大研究计划相关的国家其他科技计划项目，应当在报告正文的“研究基础”部分论述申请项目与其他相关项目的区别与联系。</w:t>
      </w:r>
    </w:p>
    <w:p>
      <w:pPr>
        <w:autoSpaceDE w:val="0"/>
        <w:autoSpaceDN w:val="0"/>
        <w:jc w:val="left"/>
        <w:spacing w:before="484"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129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4" w:left="861" w:firstLine="42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9"/>
        </w:rPr>
        <w:t>2</w:t>
      </w:r>
      <w:r>
        <w:rPr>
          <w:rFonts w:ascii="宋体" w:hAnsi="宋体" w:cs="宋体" w:eastAsia="宋体" w:hint="ascii"/>
          <w:sz w:val="21"/>
          <w:spacing w:val="1"/>
        </w:rPr>
        <w:t>）</w:t>
      </w:r>
      <w:r>
        <w:rPr>
          <w:rFonts w:ascii="宋体" w:hAnsi="宋体" w:cs="宋体" w:eastAsia="宋体" w:hint="ascii"/>
          <w:sz w:val="21"/>
          <w:spacing w:val="2"/>
        </w:rPr>
        <w:t>申</w:t>
      </w:r>
      <w:r>
        <w:rPr>
          <w:rFonts w:ascii="宋体" w:hAnsi="宋体" w:cs="宋体" w:eastAsia="宋体" w:hint="ascii"/>
          <w:sz w:val="21"/>
          <w:spacing w:val="1"/>
        </w:rPr>
        <w:t>请书</w:t>
      </w:r>
      <w:r>
        <w:rPr>
          <w:rFonts w:ascii="宋体" w:hAnsi="宋体" w:cs="宋体" w:eastAsia="宋体" w:hint="ascii"/>
          <w:sz w:val="21"/>
          <w:spacing w:val="2"/>
        </w:rPr>
        <w:t>中的</w:t>
      </w:r>
      <w:r>
        <w:rPr>
          <w:rFonts w:ascii="宋体" w:hAnsi="宋体" w:cs="宋体" w:eastAsia="宋体" w:hint="ascii"/>
          <w:sz w:val="21"/>
          <w:spacing w:val="1"/>
        </w:rPr>
        <w:t>资</w:t>
      </w:r>
      <w:r>
        <w:rPr>
          <w:rFonts w:ascii="宋体" w:hAnsi="宋体" w:cs="宋体" w:eastAsia="宋体" w:hint="ascii"/>
          <w:sz w:val="21"/>
          <w:spacing w:val="2"/>
        </w:rPr>
        <w:t>助</w:t>
      </w:r>
      <w:r>
        <w:rPr>
          <w:rFonts w:ascii="宋体" w:hAnsi="宋体" w:cs="宋体" w:eastAsia="宋体" w:hint="ascii"/>
          <w:sz w:val="21"/>
          <w:spacing w:val="1"/>
        </w:rPr>
        <w:t>类</w:t>
      </w:r>
      <w:r>
        <w:rPr>
          <w:rFonts w:ascii="宋体" w:hAnsi="宋体" w:cs="宋体" w:eastAsia="宋体" w:hint="ascii"/>
          <w:sz w:val="21"/>
          <w:spacing w:val="2"/>
        </w:rPr>
        <w:t>别选</w:t>
      </w:r>
      <w:r>
        <w:rPr>
          <w:rFonts w:ascii="宋体" w:hAnsi="宋体" w:cs="宋体" w:eastAsia="宋体" w:hint="ascii"/>
          <w:sz w:val="21"/>
          <w:spacing w:val="1"/>
        </w:rPr>
        <w:t>择</w:t>
      </w:r>
      <w:r>
        <w:rPr>
          <w:rFonts w:ascii="宋体" w:hAnsi="宋体" w:cs="宋体" w:eastAsia="宋体" w:hint="ascii"/>
          <w:sz w:val="21"/>
          <w:spacing w:val="2"/>
        </w:rPr>
        <w:t>“</w:t>
      </w:r>
      <w:r>
        <w:rPr>
          <w:rFonts w:ascii="宋体" w:hAnsi="宋体" w:cs="宋体" w:eastAsia="宋体" w:hint="ascii"/>
          <w:sz w:val="21"/>
          <w:spacing w:val="1"/>
        </w:rPr>
        <w:t>重</w:t>
      </w:r>
      <w:r>
        <w:rPr>
          <w:rFonts w:ascii="宋体" w:hAnsi="宋体" w:cs="宋体" w:eastAsia="宋体" w:hint="ascii"/>
          <w:sz w:val="21"/>
          <w:spacing w:val="2"/>
        </w:rPr>
        <w:t>大研</w:t>
      </w:r>
      <w:r>
        <w:rPr>
          <w:rFonts w:ascii="宋体" w:hAnsi="宋体" w:cs="宋体" w:eastAsia="宋体" w:hint="ascii"/>
          <w:sz w:val="21"/>
          <w:spacing w:val="1"/>
        </w:rPr>
        <w:t>究</w:t>
      </w:r>
      <w:r>
        <w:rPr>
          <w:rFonts w:ascii="宋体" w:hAnsi="宋体" w:cs="宋体" w:eastAsia="宋体" w:hint="ascii"/>
          <w:sz w:val="21"/>
          <w:spacing w:val="2"/>
        </w:rPr>
        <w:t>计划</w:t>
      </w:r>
      <w:r>
        <w:rPr>
          <w:rFonts w:ascii="宋体" w:hAnsi="宋体" w:cs="宋体" w:eastAsia="宋体" w:hint="ascii"/>
          <w:sz w:val="21"/>
          <w:spacing w:val="-52"/>
        </w:rPr>
        <w:t>”</w:t>
      </w:r>
      <w:r>
        <w:rPr>
          <w:rFonts w:ascii="宋体" w:hAnsi="宋体" w:cs="宋体" w:eastAsia="宋体" w:hint="ascii"/>
          <w:sz w:val="21"/>
          <w:spacing w:val="2"/>
        </w:rPr>
        <w:t>，亚</w:t>
      </w:r>
      <w:r>
        <w:rPr>
          <w:rFonts w:ascii="宋体" w:hAnsi="宋体" w:cs="宋体" w:eastAsia="宋体" w:hint="ascii"/>
          <w:sz w:val="21"/>
          <w:spacing w:val="1"/>
        </w:rPr>
        <w:t>类</w:t>
      </w:r>
      <w:r>
        <w:rPr>
          <w:rFonts w:ascii="宋体" w:hAnsi="宋体" w:cs="宋体" w:eastAsia="宋体" w:hint="ascii"/>
          <w:sz w:val="21"/>
          <w:spacing w:val="2"/>
        </w:rPr>
        <w:t>说</w:t>
      </w:r>
      <w:r>
        <w:rPr>
          <w:rFonts w:ascii="宋体" w:hAnsi="宋体" w:cs="宋体" w:eastAsia="宋体" w:hint="ascii"/>
          <w:sz w:val="21"/>
          <w:spacing w:val="1"/>
        </w:rPr>
        <w:t>明</w:t>
      </w:r>
      <w:r>
        <w:rPr>
          <w:rFonts w:ascii="宋体" w:hAnsi="宋体" w:cs="宋体" w:eastAsia="宋体" w:hint="ascii"/>
          <w:sz w:val="21"/>
          <w:spacing w:val="2"/>
        </w:rPr>
        <w:t>选择</w:t>
      </w:r>
      <w:r>
        <w:rPr>
          <w:rFonts w:ascii="宋体" w:hAnsi="宋体" w:cs="宋体" w:eastAsia="宋体" w:hint="ascii"/>
          <w:sz w:val="21"/>
          <w:spacing w:val="1"/>
        </w:rPr>
        <w:t>“</w:t>
      </w:r>
      <w:r>
        <w:rPr>
          <w:rFonts w:ascii="宋体" w:hAnsi="宋体" w:cs="宋体" w:eastAsia="宋体" w:hint="ascii"/>
          <w:sz w:val="21"/>
          <w:spacing w:val="2"/>
        </w:rPr>
        <w:t>培</w:t>
      </w:r>
      <w:r>
        <w:rPr>
          <w:rFonts w:ascii="宋体" w:hAnsi="宋体" w:cs="宋体" w:eastAsia="宋体" w:hint="ascii"/>
          <w:sz w:val="21"/>
          <w:spacing w:val="1"/>
        </w:rPr>
        <w:t>育</w:t>
      </w:r>
      <w:r>
        <w:rPr>
          <w:rFonts w:ascii="宋体" w:hAnsi="宋体" w:cs="宋体" w:eastAsia="宋体" w:hint="ascii"/>
          <w:sz w:val="21"/>
          <w:spacing w:val="2"/>
        </w:rPr>
        <w:t>项目”</w:t>
      </w:r>
      <w:r>
        <w:rPr>
          <w:rFonts w:ascii="宋体" w:hAnsi="宋体" w:cs="宋体" w:eastAsia="宋体" w:hint="ascii"/>
          <w:sz w:val="21"/>
          <w:spacing w:val="-6"/>
        </w:rPr>
        <w:t>或</w:t>
      </w:r>
      <w:r>
        <w:rPr>
          <w:rFonts w:ascii="宋体" w:hAnsi="宋体" w:cs="宋体" w:eastAsia="宋体" w:hint="ascii"/>
          <w:sz w:val="21"/>
        </w:rPr>
        <w:t xml:space="preserve"> “重点支持项目</w:t>
      </w:r>
      <w:r>
        <w:rPr>
          <w:rFonts w:ascii="宋体" w:hAnsi="宋体" w:cs="宋体" w:eastAsia="宋体" w:hint="ascii"/>
          <w:sz w:val="21"/>
          <w:spacing w:val="-51"/>
        </w:rPr>
        <w:t>”</w:t>
      </w:r>
      <w:r>
        <w:rPr>
          <w:rFonts w:ascii="宋体" w:hAnsi="宋体" w:cs="宋体" w:eastAsia="宋体" w:hint="ascii"/>
          <w:sz w:val="21"/>
        </w:rPr>
        <w:t>，附注说明选择“共融机器人基础理论与关键技术研究</w:t>
      </w:r>
      <w:r>
        <w:rPr>
          <w:rFonts w:ascii="宋体" w:hAnsi="宋体" w:cs="宋体" w:eastAsia="宋体" w:hint="ascii"/>
          <w:sz w:val="21"/>
          <w:spacing w:val="-52"/>
        </w:rPr>
        <w:t>”</w:t>
      </w:r>
      <w:r>
        <w:rPr>
          <w:rFonts w:ascii="宋体" w:hAnsi="宋体" w:cs="宋体" w:eastAsia="宋体" w:hint="ascii"/>
          <w:sz w:val="21"/>
        </w:rPr>
        <w:t>，根据申请的</w:t>
      </w:r>
      <w:r>
        <w:rPr>
          <w:rFonts w:ascii="宋体" w:hAnsi="宋体" w:cs="宋体" w:eastAsia="宋体" w:hint="ascii"/>
          <w:sz w:val="21"/>
        </w:rPr>
        <mc:AlternateContent>
          <mc:Choice Requires="wps">
            <w:drawing>
              <wp:anchor distL="0" distR="0" distT="0" distB="0" simplePos="0" behindDoc="1" relativeHeight="198" locked="0" layoutInCell="1" allowOverlap="1">
                <wp:simplePos x="0" y="0"/>
                <wp:positionH relativeFrom="page">
                  <wp:posOffset>938530</wp:posOffset>
                </wp:positionH>
                <wp:positionV relativeFrom="page">
                  <wp:posOffset>805815</wp:posOffset>
                </wp:positionV>
                <wp:extent cx="5076190" cy="0"/>
                <wp:wrapNone/>
                <wp:docPr id="1227" name="122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55488;width:399.70pt;" id="122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具体研究内容选择相应的申请代码。</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）申请书由工程与材料科学部负责受理。</w:t>
      </w:r>
    </w:p>
    <w:p>
      <w:pPr>
        <w:autoSpaceDE w:val="0"/>
        <w:autoSpaceDN w:val="0"/>
        <w:jc w:val="left"/>
        <w:spacing w:before="1120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2875" w:firstLine="0"/>
        <w:snapToGrid w:val="0"/>
        <w:textAlignment w:val="auto"/>
        <w:tabs/>
        <w:rPr>
          <w:rFonts w:ascii="宋体" w:hAnsi="宋体" w:cs="宋体" w:eastAsia="宋体" w:hint="ascii"/>
          <w:sz w:val="52"/>
        </w:rPr>
      </w:pPr>
      <w:r>
        <w:rPr>
          <w:rFonts w:ascii="宋体" w:hAnsi="宋体" w:cs="宋体" w:eastAsia="宋体" w:hint="ascii"/>
          <w:sz w:val="52"/>
        </w:rPr>
        <w:t>青年科学基金项目</w:t>
      </w:r>
      <w:r>
        <w:rPr>
          <w:rFonts w:ascii="宋体" w:hAnsi="宋体" w:cs="宋体" w:eastAsia="宋体" w:hint="ascii"/>
          <w:sz w:val="52"/>
        </w:rPr>
        <mc:AlternateContent>
          <mc:Choice Requires="wps">
            <w:drawing>
              <wp:anchor distL="0" distR="0" distT="0" distB="0" simplePos="0" behindDoc="1" relativeHeight="199" locked="0" layoutInCell="1" allowOverlap="1">
                <wp:simplePos x="0" y="0"/>
                <wp:positionH relativeFrom="page">
                  <wp:posOffset>938530</wp:posOffset>
                </wp:positionH>
                <wp:positionV relativeFrom="page">
                  <wp:posOffset>819150</wp:posOffset>
                </wp:positionV>
                <wp:extent cx="5076190" cy="0"/>
                <wp:wrapNone/>
                <wp:docPr id="1228" name="122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54464;width:399.70pt;" id="1228"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00" locked="0" layoutInCell="1" allowOverlap="1">
                <wp:simplePos x="0" y="0"/>
                <wp:positionH relativeFrom="page">
                  <wp:posOffset>403225</wp:posOffset>
                </wp:positionH>
                <wp:positionV relativeFrom="page">
                  <wp:posOffset>164465</wp:posOffset>
                </wp:positionV>
                <wp:extent cx="6049645" cy="876935"/>
                <wp:wrapNone/>
                <wp:docPr id="1229" name="1229"/>
                <wp:cNvGraphicFramePr/>
                <a:graphic>
                  <a:graphicData uri="http://schemas.microsoft.com/office/word/2010/wordprocessingShape">
                    <wps:wsp>
                      <wps:cNvSpPr/>
                      <wps:spPr>
                        <a:xfrm>
                          <a:off x="0" y="0"/>
                          <a:ext cx="6049645"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1.75pt;mso-position-vertical:absolute;mso-position-vertical-relative:page;margin-top:12.95pt;z-index:-251453440;width:476.35pt;height:69.05pt;" id="1229" coordsize="9527,1381" stroked="f" fillcolor="#ffffff" opacity="0f">
                <v:stroke endcap="round"/>
                <v:fill opacity="0f"/>
                <w10:wrap anchorx="page" anchory="page" side="both"/>
              </v:rect>
            </w:pict>
          </mc:Fallback>
        </mc:AlternateContent>
      </w:r>
    </w:p>
    <w:p>
      <w:pPr>
        <w:autoSpaceDE w:val="0"/>
        <w:autoSpaceDN w:val="0"/>
        <w:jc w:val="left"/>
        <w:spacing w:before="398" w:after="0" w:lineRule="exact" w:line="371"/>
        <w:ind w:right="963" w:left="966" w:firstLine="480"/>
        <w:snapToGrid w:val="0"/>
        <w:textAlignment w:val="auto"/>
        <w:tabs/>
        <w:rPr>
          <w:rFonts w:ascii="宋体" w:hAnsi="宋体" w:cs="宋体" w:eastAsia="宋体" w:hint="ascii"/>
        </w:rPr>
      </w:pPr>
      <w:r>
        <w:rPr>
          <w:rFonts w:ascii="宋体" w:hAnsi="宋体" w:cs="宋体" w:eastAsia="宋体" w:hint="ascii"/>
          <w:spacing w:val="-1"/>
        </w:rPr>
        <w:t>青年科学基金项目支持青年科学技术人员在科学基金资助范围内</w:t>
      </w:r>
      <w:r>
        <w:rPr>
          <w:rFonts w:ascii="宋体" w:hAnsi="宋体" w:cs="宋体" w:eastAsia="宋体" w:hint="ascii"/>
        </w:rPr>
        <w:t>自主选 题，开展基础研究工作，培养青年科学技术人员独立主持科研项目、进行创</w:t>
      </w:r>
      <w:r>
        <w:rPr>
          <w:rFonts w:ascii="宋体" w:hAnsi="宋体" w:cs="宋体" w:eastAsia="宋体" w:hint="ascii"/>
          <w:spacing w:val="9"/>
        </w:rPr>
        <w:t>新研究的能力，激励青年科学技术人员的创新思维，培育基础研究后</w:t>
      </w:r>
      <w:r>
        <w:rPr>
          <w:rFonts w:ascii="宋体" w:hAnsi="宋体" w:cs="宋体" w:eastAsia="宋体" w:hint="ascii"/>
        </w:rPr>
        <w:t>继人才。</w:t>
      </w:r>
    </w:p>
    <w:p>
      <w:pPr>
        <w:autoSpaceDE w:val="0"/>
        <w:autoSpaceDN w:val="0"/>
        <w:jc w:val="left"/>
        <w:spacing w:before="5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青年科学基金项目申请人应当具备以下条件：</w:t>
      </w:r>
    </w:p>
    <w:p>
      <w:pPr>
        <w:autoSpaceDE w:val="0"/>
        <w:autoSpaceDN w:val="0"/>
        <w:jc w:val="left"/>
        <w:spacing w:before="70"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）具有从事基础研究的经历；</w:t>
      </w:r>
    </w:p>
    <w:p>
      <w:pPr>
        <w:autoSpaceDE w:val="0"/>
        <w:autoSpaceDN w:val="0"/>
        <w:jc w:val="both"/>
        <w:spacing w:before="13" w:after="0" w:lineRule="exact" w:line="371"/>
        <w:ind w:right="978"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）具有高级专业技术职务（职称）或者具有博士学位，或者有</w:t>
      </w:r>
      <w:r>
        <w:rPr>
          <w:rFonts w:ascii="宋体" w:hAnsi="宋体" w:cs="宋体" w:eastAsia="宋体" w:hint="ascii"/>
          <w:spacing w:val="-30"/>
        </w:rPr>
        <w:t xml:space="preserve"> </w:t>
      </w:r>
      <w:r>
        <w:rPr>
          <w:rFonts w:ascii="Times New Roman" w:hAnsi="Times New Roman" w:cs="Times New Roman" w:eastAsia="Times New Roman" w:hint="ascii"/>
          <w:spacing w:val="61"/>
        </w:rPr>
        <w:t>2</w:t>
      </w:r>
      <w:r>
        <w:rPr>
          <w:rFonts w:ascii="宋体" w:hAnsi="宋体" w:cs="宋体" w:eastAsia="宋体" w:hint="ascii"/>
        </w:rPr>
        <w:t>名与其研究领域相同、具有高级专业技术职务（职称）的科学技术人员推荐；</w:t>
      </w:r>
    </w:p>
    <w:p>
      <w:pPr>
        <w:autoSpaceDE w:val="0"/>
        <w:autoSpaceDN w:val="0"/>
        <w:jc w:val="both"/>
        <w:spacing w:before="0" w:after="0" w:lineRule="exact" w:line="370"/>
        <w:ind w:right="963"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spacing w:val="6"/>
        </w:rPr>
        <w:t>3</w:t>
      </w:r>
      <w:r>
        <w:rPr>
          <w:rFonts w:ascii="宋体" w:hAnsi="宋体" w:cs="宋体" w:eastAsia="宋体" w:hint="ascii"/>
        </w:rPr>
        <w:t>）申请当</w:t>
      </w:r>
      <w:r>
        <w:rPr>
          <w:rFonts w:ascii="宋体" w:hAnsi="宋体" w:cs="宋体" w:eastAsia="宋体" w:hint="ascii"/>
          <w:spacing w:val="-3"/>
        </w:rPr>
        <w:t>年</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spacing w:val="-3"/>
        </w:rPr>
        <w:t>月</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1"/>
        </w:rPr>
        <w:t xml:space="preserve"> </w:t>
      </w:r>
      <w:r>
        <w:rPr>
          <w:rFonts w:ascii="宋体" w:hAnsi="宋体" w:cs="宋体" w:eastAsia="宋体" w:hint="ascii"/>
        </w:rPr>
        <w:t>日男性未</w:t>
      </w:r>
      <w:r>
        <w:rPr>
          <w:rFonts w:ascii="宋体" w:hAnsi="宋体" w:cs="宋体" w:eastAsia="宋体" w:hint="ascii"/>
          <w:spacing w:val="-3"/>
        </w:rPr>
        <w:t>满</w:t>
      </w:r>
      <w:r>
        <w:rPr>
          <w:rFonts w:ascii="宋体" w:hAnsi="宋体" w:cs="宋体" w:eastAsia="宋体" w:hint="ascii"/>
          <w:spacing w:val="-30"/>
        </w:rPr>
        <w:t xml:space="preserve"> </w:t>
      </w:r>
      <w:r>
        <w:rPr>
          <w:rFonts w:ascii="Times New Roman" w:hAnsi="Times New Roman" w:cs="Times New Roman" w:eastAsia="Times New Roman" w:hint="ascii"/>
        </w:rPr>
        <w:t>35</w:t>
      </w:r>
      <w:r>
        <w:rPr>
          <w:rFonts w:ascii="Times New Roman" w:hAnsi="Times New Roman" w:cs="Times New Roman" w:eastAsia="Times New Roman" w:hint="ascii"/>
          <w:spacing w:val="-30"/>
        </w:rPr>
        <w:t xml:space="preserve"> </w:t>
      </w:r>
      <w:r>
        <w:rPr>
          <w:rFonts w:ascii="宋体" w:hAnsi="宋体" w:cs="宋体" w:eastAsia="宋体" w:hint="ascii"/>
        </w:rPr>
        <w:t>周</w:t>
      </w:r>
      <w:r>
        <w:rPr>
          <w:rFonts w:ascii="宋体" w:hAnsi="宋体" w:cs="宋体" w:eastAsia="宋体" w:hint="ascii"/>
          <w:spacing w:val="-3"/>
        </w:rPr>
        <w:t>岁</w:t>
      </w:r>
      <w:r>
        <w:rPr>
          <w:rFonts w:ascii="宋体" w:hAnsi="宋体" w:cs="宋体" w:eastAsia="宋体" w:hint="ascii"/>
          <w:spacing w:val="-30"/>
        </w:rPr>
        <w:t xml:space="preserve"> </w:t>
      </w:r>
      <w:r>
        <w:rPr>
          <w:rFonts w:ascii="Times New Roman" w:hAnsi="Times New Roman" w:cs="Times New Roman" w:eastAsia="Times New Roman" w:hint="ascii"/>
        </w:rPr>
        <w:t>[</w:t>
      </w:r>
      <w:r>
        <w:rPr>
          <w:rFonts w:ascii="Times New Roman" w:hAnsi="Times New Roman" w:cs="Times New Roman" w:eastAsia="Times New Roman" w:hint="ascii"/>
          <w:spacing w:val="-7"/>
        </w:rPr>
        <w:t xml:space="preserve"> </w:t>
      </w:r>
      <w:r>
        <w:rPr>
          <w:rFonts w:ascii="Times New Roman" w:hAnsi="Times New Roman" w:cs="Times New Roman" w:eastAsia="Times New Roman" w:hint="ascii"/>
        </w:rPr>
        <w:t>1983</w:t>
      </w:r>
      <w:r>
        <w:rPr>
          <w:rFonts w:ascii="Times New Roman" w:hAnsi="Times New Roman" w:cs="Times New Roman" w:eastAsia="Times New Roman" w:hint="ascii"/>
          <w:spacing w:val="-30"/>
        </w:rPr>
        <w:t xml:space="preserve"> </w:t>
      </w:r>
      <w:r>
        <w:rPr>
          <w:rFonts w:ascii="宋体" w:hAnsi="宋体" w:cs="宋体" w:eastAsia="宋体" w:hint="ascii"/>
          <w:spacing w:val="-3"/>
        </w:rPr>
        <w:t>年</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spacing w:val="-3"/>
        </w:rPr>
        <w:t>月</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rPr>
        <w:t>日（含）以</w:t>
      </w:r>
      <w:r>
        <w:rPr>
          <w:rFonts w:ascii="宋体" w:hAnsi="宋体" w:cs="宋体" w:eastAsia="宋体" w:hint="ascii"/>
          <w:spacing w:val="-6"/>
        </w:rPr>
        <w:t>后</w:t>
      </w:r>
      <w:r>
        <w:rPr>
          <w:rFonts w:ascii="宋体" w:hAnsi="宋体" w:cs="宋体" w:eastAsia="宋体" w:hint="ascii"/>
        </w:rPr>
        <w:t>出生</w:t>
      </w:r>
      <w:r>
        <w:rPr>
          <w:rFonts w:ascii="宋体" w:hAnsi="宋体" w:cs="宋体" w:eastAsia="宋体" w:hint="ascii"/>
          <w:spacing w:val="-60"/>
        </w:rPr>
        <w:t>］</w:t>
      </w:r>
      <w:r>
        <w:rPr>
          <w:rFonts w:ascii="宋体" w:hAnsi="宋体" w:cs="宋体" w:eastAsia="宋体" w:hint="ascii"/>
        </w:rPr>
        <w:t>，女性未</w:t>
      </w:r>
      <w:r>
        <w:rPr>
          <w:rFonts w:ascii="宋体" w:hAnsi="宋体" w:cs="宋体" w:eastAsia="宋体" w:hint="ascii"/>
          <w:spacing w:val="30"/>
        </w:rPr>
        <w:t>满</w:t>
      </w:r>
      <w:r>
        <w:rPr>
          <w:rFonts w:ascii="Times New Roman" w:hAnsi="Times New Roman" w:cs="Times New Roman" w:eastAsia="Times New Roman" w:hint="ascii"/>
        </w:rPr>
        <w:t>4</w:t>
      </w:r>
      <w:r>
        <w:rPr>
          <w:rFonts w:ascii="Times New Roman" w:hAnsi="Times New Roman" w:cs="Times New Roman" w:eastAsia="Times New Roman" w:hint="ascii"/>
          <w:spacing w:val="60"/>
        </w:rPr>
        <w:t>0</w:t>
      </w:r>
      <w:r>
        <w:rPr>
          <w:rFonts w:ascii="宋体" w:hAnsi="宋体" w:cs="宋体" w:eastAsia="宋体" w:hint="ascii"/>
        </w:rPr>
        <w:t>周</w:t>
      </w:r>
      <w:r>
        <w:rPr>
          <w:rFonts w:ascii="宋体" w:hAnsi="宋体" w:cs="宋体" w:eastAsia="宋体" w:hint="ascii"/>
          <w:spacing w:val="30"/>
        </w:rPr>
        <w:t>岁</w:t>
      </w:r>
      <w:r>
        <w:rPr>
          <w:rFonts w:ascii="Times New Roman" w:hAnsi="Times New Roman" w:cs="Times New Roman" w:eastAsia="Times New Roman" w:hint="ascii"/>
        </w:rPr>
        <w:t>[ 197</w:t>
      </w:r>
      <w:r>
        <w:rPr>
          <w:rFonts w:ascii="Times New Roman" w:hAnsi="Times New Roman" w:cs="Times New Roman" w:eastAsia="Times New Roman" w:hint="ascii"/>
          <w:spacing w:val="61"/>
        </w:rPr>
        <w:t>8</w:t>
      </w:r>
      <w:r>
        <w:rPr>
          <w:rFonts w:ascii="宋体" w:hAnsi="宋体" w:cs="宋体" w:eastAsia="宋体" w:hint="ascii"/>
          <w:spacing w:val="30"/>
        </w:rPr>
        <w:t>年</w:t>
      </w:r>
      <w:r>
        <w:rPr>
          <w:rFonts w:ascii="Times New Roman" w:hAnsi="Times New Roman" w:cs="Times New Roman" w:eastAsia="Times New Roman" w:hint="ascii"/>
          <w:spacing w:val="60"/>
        </w:rPr>
        <w:t>1</w:t>
      </w:r>
      <w:r>
        <w:rPr>
          <w:rFonts w:ascii="宋体" w:hAnsi="宋体" w:cs="宋体" w:eastAsia="宋体" w:hint="ascii"/>
          <w:spacing w:val="30"/>
        </w:rPr>
        <w:t>月</w:t>
      </w:r>
      <w:r>
        <w:rPr>
          <w:rFonts w:ascii="Times New Roman" w:hAnsi="Times New Roman" w:cs="Times New Roman" w:eastAsia="Times New Roman" w:hint="ascii"/>
          <w:spacing w:val="60"/>
        </w:rPr>
        <w:t>1</w:t>
      </w:r>
      <w:r>
        <w:rPr>
          <w:rFonts w:ascii="宋体" w:hAnsi="宋体" w:cs="宋体" w:eastAsia="宋体" w:hint="ascii"/>
        </w:rPr>
        <w:t>日（含）以后出生</w:t>
      </w:r>
      <w:r>
        <w:rPr>
          <w:rFonts w:ascii="Times New Roman" w:hAnsi="Times New Roman" w:cs="Times New Roman" w:eastAsia="Times New Roman" w:hint="ascii"/>
        </w:rPr>
        <w:t>]</w:t>
      </w:r>
      <w:r>
        <w:rPr>
          <w:rFonts w:ascii="宋体" w:hAnsi="宋体" w:cs="宋体" w:eastAsia="宋体" w:hint="ascii"/>
        </w:rPr>
        <w:t>。</w:t>
      </w:r>
    </w:p>
    <w:p>
      <w:pPr>
        <w:autoSpaceDE w:val="0"/>
        <w:autoSpaceDN w:val="0"/>
        <w:jc w:val="left"/>
        <w:spacing w:before="57"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符合上述条件的在职攻读博士研究生学位的人员，经过导师同意可以通</w:t>
      </w:r>
    </w:p>
    <w:p>
      <w:pPr>
        <w:autoSpaceDE w:val="0"/>
        <w:autoSpaceDN w:val="0"/>
        <w:jc w:val="both"/>
        <w:spacing w:before="14" w:after="0" w:lineRule="exact" w:line="370"/>
        <w:ind w:right="963" w:left="966" w:firstLine="0"/>
        <w:snapToGrid w:val="0"/>
        <w:textAlignment w:val="auto"/>
        <w:tabs/>
        <w:rPr>
          <w:rFonts w:ascii="宋体" w:hAnsi="宋体" w:cs="宋体" w:eastAsia="宋体" w:hint="ascii"/>
        </w:rPr>
      </w:pPr>
      <w:r>
        <w:rPr>
          <w:rFonts w:ascii="宋体" w:hAnsi="宋体" w:cs="宋体" w:eastAsia="宋体" w:hint="ascii"/>
        </w:rPr>
        <w:t>过其受聘单位申请，但在职攻读硕士研究生学位的人员不得申请。作为负责人正在承担或者承担过青年科学基金项目的（包括资助期限</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rPr>
        <w:t>年的小额探索项目以及被终止或撤销的项目</w:t>
      </w:r>
      <w:r>
        <w:rPr>
          <w:rFonts w:ascii="宋体" w:hAnsi="宋体" w:cs="宋体" w:eastAsia="宋体" w:hint="ascii"/>
          <w:spacing w:val="-60"/>
        </w:rPr>
        <w:t>）</w:t>
      </w:r>
      <w:r>
        <w:rPr>
          <w:rFonts w:ascii="宋体" w:hAnsi="宋体" w:cs="宋体" w:eastAsia="宋体" w:hint="ascii"/>
        </w:rPr>
        <w:t>，不得作为申请人再次申请。</w:t>
      </w:r>
    </w:p>
    <w:p>
      <w:pPr>
        <w:autoSpaceDE w:val="0"/>
        <w:autoSpaceDN w:val="0"/>
        <w:jc w:val="left"/>
        <w:spacing w:before="57"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青年科学基金项目重点评价申请人本人的创新潜力。申请人应当按照青</w:t>
      </w:r>
    </w:p>
    <w:p>
      <w:pPr>
        <w:autoSpaceDE w:val="0"/>
        <w:autoSpaceDN w:val="0"/>
        <w:jc w:val="both"/>
        <w:spacing w:before="13" w:after="0" w:lineRule="exact" w:line="371"/>
        <w:ind w:right="963" w:left="966" w:firstLine="0"/>
        <w:snapToGrid w:val="0"/>
        <w:textAlignment w:val="auto"/>
        <w:tabs/>
        <w:rPr>
          <w:rFonts w:ascii="宋体" w:hAnsi="宋体" w:cs="宋体" w:eastAsia="宋体" w:hint="ascii"/>
        </w:rPr>
      </w:pPr>
      <w:r>
        <w:rPr>
          <w:rFonts w:ascii="宋体" w:hAnsi="宋体" w:cs="宋体" w:eastAsia="宋体" w:hint="ascii"/>
        </w:rPr>
        <w:t>年科学基金项目申请书撰写提纲撰写申请书。青年科学基金项目的合作研究单位不得超过</w:t>
      </w:r>
      <w:r>
        <w:rPr>
          <w:rFonts w:ascii="宋体" w:hAnsi="宋体" w:cs="宋体" w:eastAsia="宋体" w:hint="ascii"/>
          <w:spacing w:val="-30"/>
        </w:rPr>
        <w:t xml:space="preserve"> </w:t>
      </w:r>
      <w:r>
        <w:rPr>
          <w:rFonts w:ascii="Times New Roman" w:hAnsi="Times New Roman" w:cs="Times New Roman" w:eastAsia="Times New Roman" w:hint="ascii"/>
        </w:rPr>
        <w:t>2</w:t>
      </w:r>
      <w:r>
        <w:rPr>
          <w:rFonts w:ascii="Times New Roman" w:hAnsi="Times New Roman" w:cs="Times New Roman" w:eastAsia="Times New Roman" w:hint="ascii"/>
          <w:spacing w:val="-30"/>
        </w:rPr>
        <w:t xml:space="preserve"> </w:t>
      </w:r>
      <w:r>
        <w:rPr>
          <w:rFonts w:ascii="宋体" w:hAnsi="宋体" w:cs="宋体" w:eastAsia="宋体" w:hint="ascii"/>
        </w:rPr>
        <w:t>个，资助期限为</w:t>
      </w:r>
      <w:r>
        <w:rPr>
          <w:rFonts w:ascii="宋体" w:hAnsi="宋体" w:cs="宋体" w:eastAsia="宋体" w:hint="ascii"/>
          <w:spacing w:val="-30"/>
        </w:rPr>
        <w:t xml:space="preserve"> </w:t>
      </w:r>
      <w:r>
        <w:rPr>
          <w:rFonts w:ascii="Times New Roman" w:hAnsi="Times New Roman" w:cs="Times New Roman" w:eastAsia="Times New Roman" w:hint="ascii"/>
          <w:spacing w:val="61"/>
        </w:rPr>
        <w:t>3</w:t>
      </w:r>
      <w:r>
        <w:rPr>
          <w:rFonts w:ascii="宋体" w:hAnsi="宋体" w:cs="宋体" w:eastAsia="宋体" w:hint="ascii"/>
        </w:rPr>
        <w:t>年（仅在站博士后研究人员作为申请人申请的项目可按照依托单位的书面承诺填写相应的资助期限</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54" w:after="0" w:lineRule="auto" w:line="240"/>
        <w:ind w:right="0" w:left="966" w:firstLine="480"/>
        <w:snapToGrid w:val="0"/>
        <w:textAlignment w:val="auto"/>
        <w:tabs>
          <w:tab w:val="left" w:leader="none" w:pos="1986"/>
        </w:tabs>
        <w:numPr>
          <w:ilvl w:val="0"/>
          <w:numId w:val="157"/>
        </w:numPr>
        <w:rPr>
          <w:rFonts w:ascii="Times New Roman" w:hAnsi="Times New Roman" w:cs="Times New Roman" w:eastAsia="Times New Roman" w:hint="ascii"/>
        </w:rPr>
      </w:pPr>
      <w:r>
        <w:rPr>
          <w:rFonts w:ascii="宋体" w:hAnsi="宋体" w:cs="宋体" w:eastAsia="宋体" w:hint="ascii"/>
        </w:rPr>
        <w:t>年度青年科学基金项目共资</w:t>
      </w:r>
      <w:r>
        <w:rPr>
          <w:rFonts w:ascii="宋体" w:hAnsi="宋体" w:cs="宋体" w:eastAsia="宋体" w:hint="ascii"/>
          <w:spacing w:val="30"/>
        </w:rPr>
        <w:t>助</w:t>
      </w:r>
      <w:r>
        <w:rPr>
          <w:rFonts w:ascii="Times New Roman" w:hAnsi="Times New Roman" w:cs="Times New Roman" w:eastAsia="Times New Roman" w:hint="ascii"/>
        </w:rPr>
        <w:t>17 52</w:t>
      </w:r>
      <w:r>
        <w:rPr>
          <w:rFonts w:ascii="Times New Roman" w:hAnsi="Times New Roman" w:cs="Times New Roman" w:eastAsia="Times New Roman" w:hint="ascii"/>
          <w:spacing w:val="60"/>
        </w:rPr>
        <w:t>3</w:t>
      </w:r>
      <w:r>
        <w:rPr>
          <w:rFonts w:ascii="宋体" w:hAnsi="宋体" w:cs="宋体" w:eastAsia="宋体" w:hint="ascii"/>
        </w:rPr>
        <w:t>项，资助直接费</w:t>
      </w:r>
      <w:r>
        <w:rPr>
          <w:rFonts w:ascii="宋体" w:hAnsi="宋体" w:cs="宋体" w:eastAsia="宋体" w:hint="ascii"/>
          <w:spacing w:val="30"/>
        </w:rPr>
        <w:t>用</w:t>
      </w:r>
      <w:r>
        <w:rPr>
          <w:rFonts w:ascii="Times New Roman" w:hAnsi="Times New Roman" w:cs="Times New Roman" w:eastAsia="Times New Roman" w:hint="ascii"/>
        </w:rPr>
        <w:t>400 27</w:t>
      </w:r>
      <w:r>
        <w:rPr>
          <w:rFonts w:ascii="Times New Roman" w:hAnsi="Times New Roman" w:cs="Times New Roman" w:eastAsia="Times New Roman" w:hint="ascii"/>
          <w:spacing w:val="60"/>
        </w:rPr>
        <w:t>0</w:t>
      </w:r>
      <w:r>
        <w:rPr>
          <w:rFonts w:ascii="宋体" w:hAnsi="宋体" w:cs="宋体" w:eastAsia="宋体" w:hint="ascii"/>
        </w:rPr>
        <w:t>万</w:t>
      </w:r>
    </w:p>
    <w:p>
      <w:pPr>
        <w:autoSpaceDE w:val="0"/>
        <w:autoSpaceDN w:val="0"/>
        <w:jc w:val="left"/>
        <w:spacing w:before="79"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元，平均资助强度为</w:t>
      </w:r>
      <w:r>
        <w:rPr>
          <w:rFonts w:ascii="宋体" w:hAnsi="宋体" w:cs="宋体" w:eastAsia="宋体" w:hint="ascii"/>
          <w:spacing w:val="-28"/>
        </w:rPr>
        <w:t xml:space="preserve"> </w:t>
      </w:r>
      <w:r>
        <w:rPr>
          <w:rFonts w:ascii="Times New Roman" w:hAnsi="Times New Roman" w:cs="Times New Roman" w:eastAsia="Times New Roman" w:hint="ascii"/>
        </w:rPr>
        <w:t>22.84</w:t>
      </w:r>
      <w:r>
        <w:rPr>
          <w:rFonts w:ascii="Times New Roman" w:hAnsi="Times New Roman" w:cs="Times New Roman" w:eastAsia="Times New Roman" w:hint="ascii"/>
          <w:spacing w:val="-28"/>
        </w:rPr>
        <w:t xml:space="preserve"> </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项，资助率为</w:t>
      </w:r>
      <w:r>
        <w:rPr>
          <w:rFonts w:ascii="宋体" w:hAnsi="宋体" w:cs="宋体" w:eastAsia="宋体" w:hint="ascii"/>
          <w:spacing w:val="-28"/>
        </w:rPr>
        <w:t xml:space="preserve"> </w:t>
      </w:r>
      <w:r>
        <w:rPr>
          <w:rFonts w:ascii="Times New Roman" w:hAnsi="Times New Roman" w:cs="Times New Roman" w:eastAsia="Times New Roman" w:hint="ascii"/>
        </w:rPr>
        <w:t>22.41%</w:t>
      </w:r>
      <w:r>
        <w:rPr>
          <w:rFonts w:ascii="宋体" w:hAnsi="宋体" w:cs="宋体" w:eastAsia="宋体" w:hint="ascii"/>
        </w:rPr>
        <w:t>，比</w:t>
      </w:r>
      <w:r>
        <w:rPr>
          <w:rFonts w:ascii="宋体" w:hAnsi="宋体" w:cs="宋体" w:eastAsia="宋体" w:hint="ascii"/>
          <w:spacing w:val="-28"/>
        </w:rPr>
        <w:t xml:space="preserve"> </w:t>
      </w:r>
      <w:r>
        <w:rPr>
          <w:rFonts w:ascii="Times New Roman" w:hAnsi="Times New Roman" w:cs="Times New Roman" w:eastAsia="Times New Roman" w:hint="ascii"/>
        </w:rPr>
        <w:t>2016</w:t>
      </w:r>
      <w:r>
        <w:rPr>
          <w:rFonts w:ascii="Times New Roman" w:hAnsi="Times New Roman" w:cs="Times New Roman" w:eastAsia="Times New Roman" w:hint="ascii"/>
          <w:spacing w:val="-28"/>
        </w:rPr>
        <w:t xml:space="preserve"> </w:t>
      </w:r>
      <w:r>
        <w:rPr>
          <w:rFonts w:ascii="宋体" w:hAnsi="宋体" w:cs="宋体" w:eastAsia="宋体" w:hint="ascii"/>
        </w:rPr>
        <w:t>年度降低了</w:t>
      </w:r>
    </w:p>
    <w:p>
      <w:pPr>
        <w:autoSpaceDE w:val="0"/>
        <w:autoSpaceDN w:val="0"/>
        <w:jc w:val="left"/>
        <w:spacing w:before="70" w:after="0" w:lineRule="auto" w:line="240"/>
        <w:ind w:right="0" w:left="1446" w:hanging="480"/>
        <w:snapToGrid w:val="0"/>
        <w:textAlignment w:val="auto"/>
        <w:tabs>
          <w:tab w:val="left" w:leader="none" w:pos="1446"/>
        </w:tabs>
        <w:numPr>
          <w:ilvl w:val="1"/>
          <w:numId w:val="158"/>
        </w:numPr>
        <w:rPr>
          <w:rFonts w:ascii="Times New Roman" w:hAnsi="Times New Roman" w:cs="Times New Roman" w:eastAsia="Times New Roman" w:hint="ascii"/>
        </w:rPr>
      </w:pPr>
      <w:r>
        <w:rPr>
          <w:rFonts w:ascii="宋体" w:hAnsi="宋体" w:cs="宋体" w:eastAsia="宋体" w:hint="ascii"/>
        </w:rPr>
        <w:t>个百分点（资助情况见下表</w:t>
      </w:r>
      <w:r>
        <w:rPr>
          <w:rFonts w:ascii="宋体" w:hAnsi="宋体" w:cs="宋体" w:eastAsia="宋体" w:hint="ascii"/>
          <w:spacing w:val="-60"/>
        </w:rPr>
        <w:t>）</w:t>
      </w:r>
      <w:r>
        <w:rPr>
          <w:rFonts w:ascii="宋体" w:hAnsi="宋体" w:cs="宋体" w:eastAsia="宋体" w:hint="ascii"/>
        </w:rPr>
        <w:t>。</w:t>
      </w:r>
    </w:p>
    <w:p>
      <w:pPr>
        <w:autoSpaceDE w:val="0"/>
        <w:autoSpaceDN w:val="0"/>
        <w:jc w:val="both"/>
        <w:spacing w:before="21" w:after="0" w:lineRule="exact" w:line="371"/>
        <w:ind w:right="963" w:left="966" w:firstLine="480"/>
        <w:snapToGrid w:val="0"/>
        <w:textAlignment w:val="auto"/>
        <w:tabs>
          <w:tab w:val="left" w:leader="none" w:pos="1988"/>
        </w:tabs>
        <w:numPr>
          <w:ilvl w:val="0"/>
          <w:numId w:val="157"/>
        </w:numPr>
        <w:rPr>
          <w:rFonts w:ascii="Times New Roman" w:hAnsi="Times New Roman" w:cs="Times New Roman" w:eastAsia="Times New Roman" w:hint="ascii"/>
        </w:rPr>
      </w:pPr>
      <w:r>
        <w:rPr>
          <w:rFonts w:ascii="宋体" w:hAnsi="宋体" w:cs="宋体" w:eastAsia="宋体" w:hint="ascii"/>
          <w:spacing w:val="-2"/>
        </w:rPr>
        <w:t>年，</w:t>
      </w:r>
      <w:r>
        <w:rPr>
          <w:rFonts w:ascii="宋体" w:hAnsi="宋体" w:cs="宋体" w:eastAsia="宋体" w:hint="ascii"/>
          <w:spacing w:val="-1"/>
        </w:rPr>
        <w:t>青年科学基金项目直接费用平均资助强度约</w:t>
      </w:r>
      <w:r>
        <w:rPr>
          <w:rFonts w:ascii="宋体" w:hAnsi="宋体" w:cs="宋体" w:eastAsia="宋体" w:hint="ascii"/>
          <w:spacing w:val="28"/>
        </w:rPr>
        <w:t>为</w:t>
      </w:r>
      <w:r>
        <w:rPr>
          <w:rFonts w:ascii="Times New Roman" w:hAnsi="Times New Roman" w:cs="Times New Roman" w:eastAsia="Times New Roman" w:hint="ascii"/>
          <w:spacing w:val="-1"/>
        </w:rPr>
        <w:t>25</w:t>
      </w:r>
      <w:r>
        <w:rPr>
          <w:rFonts w:ascii="Times New Roman" w:hAnsi="Times New Roman" w:cs="Times New Roman" w:eastAsia="Times New Roman" w:hint="ascii"/>
          <w:spacing w:val="-31"/>
        </w:rPr>
        <w:t xml:space="preserve"> </w:t>
      </w:r>
      <w:r>
        <w:rPr>
          <w:rFonts w:ascii="宋体" w:hAnsi="宋体" w:cs="宋体" w:eastAsia="宋体" w:hint="ascii"/>
          <w:spacing w:val="-1"/>
        </w:rPr>
        <w:t>万元</w:t>
      </w:r>
      <w:r>
        <w:rPr>
          <w:rFonts w:ascii="Times New Roman" w:hAnsi="Times New Roman" w:cs="Times New Roman" w:eastAsia="Times New Roman" w:hint="ascii"/>
          <w:spacing w:val="-1"/>
        </w:rPr>
        <w:t>/</w:t>
      </w:r>
      <w:r>
        <w:rPr>
          <w:rFonts w:ascii="宋体" w:hAnsi="宋体" w:cs="宋体" w:eastAsia="宋体" w:hint="ascii"/>
          <w:spacing w:val="-1"/>
        </w:rPr>
        <w:t>项（管</w:t>
      </w:r>
      <w:r>
        <w:rPr>
          <w:rFonts w:ascii="宋体" w:hAnsi="宋体" w:cs="宋体" w:eastAsia="宋体" w:hint="ascii"/>
        </w:rPr>
        <w:t xml:space="preserve"> 理科学</w:t>
      </w:r>
      <w:r>
        <w:rPr>
          <w:rFonts w:ascii="宋体" w:hAnsi="宋体" w:cs="宋体" w:eastAsia="宋体" w:hint="ascii"/>
          <w:spacing w:val="30"/>
        </w:rPr>
        <w:t>部</w:t>
      </w:r>
      <w:r>
        <w:rPr>
          <w:rFonts w:ascii="Times New Roman" w:hAnsi="Times New Roman" w:cs="Times New Roman" w:eastAsia="Times New Roman" w:hint="ascii"/>
        </w:rPr>
        <w:t>2</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w:t>
      </w:r>
      <w:r>
        <w:rPr>
          <w:rFonts w:ascii="宋体" w:hAnsi="宋体" w:cs="宋体" w:eastAsia="宋体" w:hint="ascii"/>
          <w:spacing w:val="-60"/>
        </w:rPr>
        <w:t>）</w:t>
      </w:r>
      <w:r>
        <w:rPr>
          <w:rFonts w:ascii="宋体" w:hAnsi="宋体" w:cs="宋体" w:eastAsia="宋体" w:hint="ascii"/>
        </w:rPr>
        <w:t>。请按照研究工作需要，实事求是地提出申请。</w:t>
      </w:r>
    </w:p>
    <w:p>
      <w:pPr>
        <w:autoSpaceDE w:val="0"/>
        <w:autoSpaceDN w:val="0"/>
        <w:jc w:val="left"/>
        <w:spacing w:before="2063"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0" w:lineRule="auto" w:line="240"/>
        <w:ind w:right="0" w:left="3501"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6"/>
        </w:rPr>
        <w:t>7</w:t>
      </w:r>
      <w:r>
        <w:rPr>
          <w:rFonts w:ascii="宋体" w:hAnsi="宋体" w:cs="宋体" w:eastAsia="宋体" w:hint="ascii"/>
          <w:sz w:val="18"/>
        </w:rPr>
        <w:t>年度青年科学基金项目资助情况</w:t>
      </w:r>
      <w:r>
        <w:rPr>
          <w:rFonts w:ascii="宋体" w:hAnsi="宋体" w:cs="宋体" w:eastAsia="宋体" w:hint="ascii"/>
          <w:sz w:val="18"/>
        </w:rPr>
        <mc:AlternateContent>
          <mc:Choice Requires="wps">
            <w:drawing>
              <wp:anchor distL="0" distR="0" distT="0" distB="0" simplePos="0" behindDoc="1" relativeHeight="201" locked="0" layoutInCell="1" allowOverlap="1">
                <wp:simplePos x="0" y="0"/>
                <wp:positionH relativeFrom="page">
                  <wp:posOffset>938530</wp:posOffset>
                </wp:positionH>
                <wp:positionV relativeFrom="page">
                  <wp:posOffset>805815</wp:posOffset>
                </wp:positionV>
                <wp:extent cx="5076190" cy="0"/>
                <wp:wrapNone/>
                <wp:docPr id="1230" name="123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52416;width:399.70pt;" id="123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3"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586"/>
        <w:gridCol w:w="852"/>
        <w:gridCol w:w="963"/>
        <w:gridCol w:w="1021"/>
        <w:gridCol w:w="1133"/>
        <w:gridCol w:w="1359"/>
        <w:gridCol w:w="1078"/>
      </w:tblGrid>
      <w:tr>
        <w:trPr>
          <w:trHeight w:val="265" w:hRule="exact"/>
          <w:cantSplit w:val="1"/>
        </w:trPr>
        <w:tc>
          <w:tcPr>
            <w:tcW w:w="1586" w:type="dxa"/>
            <w:gridSpan w:val="1"/>
            <w:vAlign w:val="top"/>
            <w:vMerge w:val="restart"/>
            <w:tcMar/>
            <w:tcBorders/>
          </w:tcPr>
          <w:p>
            <w:pPr>
              <w:autoSpaceDE w:val="0"/>
              <w:autoSpaceDN w:val="0"/>
              <w:jc w:val="left"/>
              <w:spacing w:before="255" w:after="0" w:lineRule="exact" w:line="188"/>
              <w:ind w:right="0" w:left="559"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852" w:type="dxa"/>
            <w:gridSpan w:val="1"/>
            <w:vAlign w:val="top"/>
            <w:vMerge w:val="restart"/>
            <w:tcMar/>
            <w:tcBorders>
              <w:left w:val="single" w:sz="4" w:space="0" w:color="000000"/>
            </w:tcBorders>
          </w:tcPr>
          <w:p>
            <w:pPr>
              <w:autoSpaceDE w:val="0"/>
              <w:autoSpaceDN w:val="0"/>
              <w:jc w:val="left"/>
              <w:spacing w:before="158" w:after="0" w:lineRule="exact" w:line="188"/>
              <w:ind w:right="0" w:left="270" w:firstLine="0"/>
              <w:snapToGrid w:val="0"/>
              <w:textAlignment w:val="auto"/>
              <w:tabs/>
              <w:rPr>
                <w:rFonts w:ascii="宋体" w:hAnsi="宋体" w:cs="宋体" w:eastAsia="宋体" w:hint="ascii"/>
                <w:sz w:val="15"/>
              </w:rPr>
            </w:pPr>
            <w:r>
              <w:rPr>
                <w:rFonts w:ascii="宋体" w:hAnsi="宋体" w:cs="宋体" w:eastAsia="宋体" w:hint="ascii"/>
                <w:sz w:val="15"/>
              </w:rPr>
              <w:t>申请</w:t>
            </w:r>
          </w:p>
          <w:p>
            <w:pPr>
              <w:autoSpaceDE w:val="0"/>
              <w:autoSpaceDN w:val="0"/>
              <w:jc w:val="left"/>
              <w:spacing w:before="7" w:after="0" w:lineRule="exact" w:line="188"/>
              <w:ind w:right="0" w:left="195" w:firstLine="0"/>
              <w:snapToGrid w:val="0"/>
              <w:textAlignment w:val="auto"/>
              <w:tabs/>
              <w:rPr>
                <w:rFonts w:ascii="宋体" w:hAnsi="宋体" w:cs="宋体" w:eastAsia="宋体" w:hint="ascii"/>
                <w:sz w:val="15"/>
              </w:rPr>
            </w:pPr>
            <w:r>
              <w:rPr>
                <w:rFonts w:ascii="宋体" w:hAnsi="宋体" w:cs="宋体" w:eastAsia="宋体" w:hint="ascii"/>
                <w:sz w:val="15"/>
              </w:rPr>
              <w:t>项目数</w:t>
            </w:r>
          </w:p>
        </w:tc>
        <w:tc>
          <w:tcPr>
            <w:tcW w:w="963" w:type="dxa"/>
            <w:gridSpan w:val="1"/>
            <w:vAlign w:val="top"/>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2154" w:type="dxa"/>
            <w:gridSpan w:val="2"/>
            <w:vAlign w:val="top"/>
            <w:tcMar/>
            <w:tcBorders>
              <w:left w:val="single" w:sz="4" w:space="0" w:color="000000"/>
            </w:tcBorders>
          </w:tcPr>
          <w:p>
            <w:pPr>
              <w:autoSpaceDE w:val="0"/>
              <w:autoSpaceDN w:val="0"/>
              <w:jc w:val="left"/>
              <w:spacing w:before="28" w:after="0" w:lineRule="exact" w:line="188"/>
              <w:ind w:right="0" w:left="773" w:firstLine="0"/>
              <w:snapToGrid w:val="0"/>
              <w:textAlignment w:val="auto"/>
              <w:tabs/>
              <w:rPr>
                <w:rFonts w:ascii="宋体" w:hAnsi="宋体" w:cs="宋体" w:eastAsia="宋体" w:hint="ascii"/>
                <w:sz w:val="15"/>
              </w:rPr>
            </w:pPr>
            <w:r>
              <w:rPr>
                <w:rFonts w:ascii="宋体" w:hAnsi="宋体" w:cs="宋体" w:eastAsia="宋体" w:hint="ascii"/>
                <w:sz w:val="15"/>
              </w:rPr>
              <w:t>批准资助</w:t>
            </w:r>
          </w:p>
        </w:tc>
        <w:tc>
          <w:tcPr>
            <w:tcW w:w="1359" w:type="dxa"/>
            <w:gridSpan w:val="1"/>
            <w:vAlign w:val="top"/>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1078" w:type="dxa"/>
            <w:gridSpan w:val="1"/>
            <w:vAlign w:val="top"/>
            <w:vMerge w:val="restart"/>
            <w:tcMar/>
            <w:tcBorders>
              <w:left w:val="single" w:sz="4" w:space="0" w:color="000000"/>
              <w:right w:val="single" w:sz="8" w:space="0" w:color="000000"/>
            </w:tcBorders>
          </w:tcPr>
          <w:p>
            <w:pPr>
              <w:autoSpaceDE w:val="0"/>
              <w:autoSpaceDN w:val="0"/>
              <w:jc w:val="left"/>
              <w:spacing w:before="158"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455" w:hRule="exact"/>
          <w:cantSplit w:val="1"/>
        </w:trPr>
        <w:tc>
          <w:tcPr>
            <w:tcW w:w="1586"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52" w:type="dxa"/>
            <w:gridSpan w:val="1"/>
            <w:vAlign w:val="top"/>
            <w:vMerge w:val="continue"/>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63"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325" w:firstLine="0"/>
              <w:snapToGrid w:val="0"/>
              <w:textAlignment w:val="auto"/>
              <w:tabs/>
              <w:rPr>
                <w:rFonts w:ascii="宋体" w:hAnsi="宋体" w:cs="宋体" w:eastAsia="宋体" w:hint="ascii"/>
                <w:sz w:val="15"/>
              </w:rPr>
            </w:pPr>
            <w:r>
              <w:rPr>
                <w:rFonts w:ascii="宋体" w:hAnsi="宋体" w:cs="宋体" w:eastAsia="宋体" w:hint="ascii"/>
                <w:sz w:val="15"/>
              </w:rPr>
              <w:t>项数</w:t>
            </w:r>
          </w:p>
        </w:tc>
        <w:tc>
          <w:tcPr>
            <w:tcW w:w="1021"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206"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133"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11" w:firstLine="0"/>
              <w:snapToGrid w:val="0"/>
              <w:textAlignment w:val="auto"/>
              <w:tabs/>
              <w:rPr>
                <w:rFonts w:ascii="宋体" w:hAnsi="宋体" w:cs="宋体" w:eastAsia="宋体" w:hint="ascii"/>
                <w:sz w:val="15"/>
              </w:rPr>
            </w:pPr>
            <w:r>
              <w:rPr>
                <w:rFonts w:ascii="宋体" w:hAnsi="宋体" w:cs="宋体" w:eastAsia="宋体" w:hint="ascii"/>
                <w:sz w:val="15"/>
              </w:rPr>
              <w:t>平均资助强度</w:t>
            </w:r>
          </w:p>
        </w:tc>
        <w:tc>
          <w:tcPr>
            <w:tcW w:w="1359"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225" w:firstLine="0"/>
              <w:snapToGrid w:val="0"/>
              <w:textAlignment w:val="auto"/>
              <w:tabs/>
              <w:rPr>
                <w:rFonts w:ascii="宋体" w:hAnsi="宋体" w:cs="宋体" w:eastAsia="宋体" w:hint="ascii"/>
                <w:sz w:val="15"/>
              </w:rPr>
            </w:pPr>
            <w:r>
              <w:rPr>
                <w:rFonts w:ascii="宋体" w:hAnsi="宋体" w:cs="宋体" w:eastAsia="宋体" w:hint="ascii"/>
                <w:sz w:val="15"/>
              </w:rPr>
              <w:t>直接费用占比</w:t>
            </w:r>
          </w:p>
          <w:p>
            <w:pPr>
              <w:autoSpaceDE w:val="0"/>
              <w:autoSpaceDN w:val="0"/>
              <w:jc w:val="left"/>
              <w:spacing w:before="7" w:after="0" w:lineRule="exact" w:line="188"/>
              <w:ind w:right="0" w:left="426"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1078" w:type="dxa"/>
            <w:gridSpan w:val="1"/>
            <w:vAlign w:val="top"/>
            <w:vMerge w:val="continue"/>
            <w:tcMar/>
            <w:tcBorders>
              <w:left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r>
      <w:tr>
        <w:trPr>
          <w:trHeight w:val="262" w:hRule="exact"/>
          <w:cantSplit w:val="1"/>
        </w:trPr>
        <w:tc>
          <w:tcPr>
            <w:tcW w:w="1586" w:type="dxa"/>
            <w:gridSpan w:val="1"/>
            <w:vAlign w:val="top"/>
            <w:tcMar/>
            <w:tcBorders>
              <w:top w:val="single" w:sz="4" w:space="0" w:color="000000"/>
            </w:tcBorders>
          </w:tcPr>
          <w:p>
            <w:pPr>
              <w:autoSpaceDE w:val="0"/>
              <w:autoSpaceDN w:val="0"/>
              <w:jc w:val="left"/>
              <w:spacing w:before="29" w:after="0" w:lineRule="exact" w:line="188"/>
              <w:ind w:right="0" w:left="409"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84" w:firstLine="0"/>
              <w:snapToGrid w:val="0"/>
              <w:textAlignment w:val="auto"/>
              <w:tabs>
                <w:tab w:val="left" w:leader="none" w:pos="402"/>
              </w:tabs>
              <w:numPr>
                <w:ilvl w:val="0"/>
                <w:numId w:val="159"/>
              </w:numPr>
              <w:rPr>
                <w:rFonts w:ascii="Times New Roman" w:hAnsi="Times New Roman" w:cs="Times New Roman" w:eastAsia="Times New Roman" w:hint="ascii"/>
                <w:sz w:val="15"/>
              </w:rPr>
            </w:pPr>
            <w:r>
              <w:rPr>
                <w:rFonts w:ascii="Times New Roman" w:hAnsi="Times New Roman" w:cs="Times New Roman" w:eastAsia="Times New Roman" w:hint="ascii"/>
                <w:sz w:val="15"/>
              </w:rPr>
              <w:t>899</w:t>
            </w:r>
          </w:p>
        </w:tc>
        <w:tc>
          <w:tcPr>
            <w:tcW w:w="96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5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1 749</w:t>
            </w:r>
          </w:p>
        </w:tc>
        <w:tc>
          <w:tcPr>
            <w:tcW w:w="102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42 160</w:t>
            </w:r>
          </w:p>
        </w:tc>
        <w:tc>
          <w:tcPr>
            <w:tcW w:w="11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3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10.53</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29.65</w:t>
            </w:r>
          </w:p>
        </w:tc>
      </w:tr>
      <w:tr>
        <w:trPr>
          <w:trHeight w:val="260" w:hRule="exact"/>
          <w:cantSplit w:val="1"/>
        </w:trPr>
        <w:tc>
          <w:tcPr>
            <w:tcW w:w="1586" w:type="dxa"/>
            <w:gridSpan w:val="1"/>
            <w:vAlign w:val="top"/>
            <w:tcMar/>
            <w:tcBorders>
              <w:top w:val="single" w:sz="4" w:space="0" w:color="000000"/>
            </w:tcBorders>
          </w:tcPr>
          <w:p>
            <w:pPr>
              <w:autoSpaceDE w:val="0"/>
              <w:autoSpaceDN w:val="0"/>
              <w:jc w:val="left"/>
              <w:spacing w:before="27" w:after="0" w:lineRule="exact" w:line="188"/>
              <w:ind w:right="0" w:left="409"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84" w:firstLine="0"/>
              <w:snapToGrid w:val="0"/>
              <w:textAlignment w:val="auto"/>
              <w:tabs>
                <w:tab w:val="left" w:leader="none" w:pos="402"/>
              </w:tabs>
              <w:numPr>
                <w:ilvl w:val="0"/>
                <w:numId w:val="159"/>
              </w:numPr>
              <w:rPr>
                <w:rFonts w:ascii="Times New Roman" w:hAnsi="Times New Roman" w:cs="Times New Roman" w:eastAsia="Times New Roman" w:hint="ascii"/>
                <w:sz w:val="15"/>
              </w:rPr>
            </w:pPr>
            <w:r>
              <w:rPr>
                <w:rFonts w:ascii="Times New Roman" w:hAnsi="Times New Roman" w:cs="Times New Roman" w:eastAsia="Times New Roman" w:hint="ascii"/>
                <w:sz w:val="15"/>
              </w:rPr>
              <w:t>161</w:t>
            </w:r>
          </w:p>
        </w:tc>
        <w:tc>
          <w:tcPr>
            <w:tcW w:w="963"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53" w:firstLine="0"/>
              <w:snapToGrid w:val="0"/>
              <w:textAlignment w:val="auto"/>
              <w:tabs>
                <w:tab w:val="left" w:leader="none" w:pos="470"/>
              </w:tabs>
              <w:numPr>
                <w:ilvl w:val="0"/>
                <w:numId w:val="160"/>
              </w:numPr>
              <w:rPr>
                <w:rFonts w:ascii="Times New Roman" w:hAnsi="Times New Roman" w:cs="Times New Roman" w:eastAsia="Times New Roman" w:hint="ascii"/>
                <w:sz w:val="15"/>
              </w:rPr>
            </w:pPr>
            <w:r>
              <w:rPr>
                <w:rFonts w:ascii="Times New Roman" w:hAnsi="Times New Roman" w:cs="Times New Roman" w:eastAsia="Times New Roman" w:hint="ascii"/>
                <w:sz w:val="15"/>
              </w:rPr>
              <w:t>541</w:t>
            </w:r>
          </w:p>
        </w:tc>
        <w:tc>
          <w:tcPr>
            <w:tcW w:w="1021"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37 400</w:t>
            </w:r>
          </w:p>
        </w:tc>
        <w:tc>
          <w:tcPr>
            <w:tcW w:w="1133"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24.27</w:t>
            </w:r>
          </w:p>
        </w:tc>
        <w:tc>
          <w:tcPr>
            <w:tcW w:w="1359"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579" w:firstLine="0"/>
              <w:snapToGrid w:val="0"/>
              <w:textAlignment w:val="auto"/>
              <w:tabs>
                <w:tab w:val="left" w:leader="none" w:pos="-655355"/>
              </w:tabs>
              <w:numPr>
                <w:ilvl w:val="1"/>
                <w:numId w:val="16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25.01</w:t>
            </w:r>
          </w:p>
        </w:tc>
      </w:tr>
      <w:tr>
        <w:trPr>
          <w:trHeight w:val="260" w:hRule="exact"/>
          <w:cantSplit w:val="1"/>
        </w:trPr>
        <w:tc>
          <w:tcPr>
            <w:tcW w:w="1586" w:type="dxa"/>
            <w:gridSpan w:val="1"/>
            <w:vAlign w:val="top"/>
            <w:tcMar/>
            <w:tcBorders>
              <w:top w:val="single" w:sz="4" w:space="0" w:color="000000"/>
            </w:tcBorders>
          </w:tcPr>
          <w:p>
            <w:pPr>
              <w:autoSpaceDE w:val="0"/>
              <w:autoSpaceDN w:val="0"/>
              <w:jc w:val="left"/>
              <w:spacing w:before="27" w:after="0" w:lineRule="exact" w:line="188"/>
              <w:ind w:right="0" w:left="409"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09" w:firstLine="0"/>
              <w:snapToGrid w:val="0"/>
              <w:textAlignment w:val="auto"/>
              <w:tabs>
                <w:tab w:val="left" w:leader="none" w:pos="402"/>
              </w:tabs>
              <w:numPr>
                <w:ilvl w:val="0"/>
                <w:numId w:val="16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566</w:t>
            </w:r>
          </w:p>
        </w:tc>
        <w:tc>
          <w:tcPr>
            <w:tcW w:w="96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53" w:firstLine="0"/>
              <w:snapToGrid w:val="0"/>
              <w:textAlignment w:val="auto"/>
              <w:tabs>
                <w:tab w:val="left" w:leader="none" w:pos="470"/>
              </w:tabs>
              <w:numPr>
                <w:ilvl w:val="0"/>
                <w:numId w:val="160"/>
              </w:numPr>
              <w:rPr>
                <w:rFonts w:ascii="Times New Roman" w:hAnsi="Times New Roman" w:cs="Times New Roman" w:eastAsia="Times New Roman" w:hint="ascii"/>
                <w:sz w:val="15"/>
              </w:rPr>
            </w:pPr>
            <w:r>
              <w:rPr>
                <w:rFonts w:ascii="Times New Roman" w:hAnsi="Times New Roman" w:cs="Times New Roman" w:eastAsia="Times New Roman" w:hint="ascii"/>
                <w:sz w:val="15"/>
              </w:rPr>
              <w:t>395</w:t>
            </w:r>
          </w:p>
        </w:tc>
        <w:tc>
          <w:tcPr>
            <w:tcW w:w="102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57 460</w:t>
            </w:r>
          </w:p>
        </w:tc>
        <w:tc>
          <w:tcPr>
            <w:tcW w:w="11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23.99</w:t>
            </w:r>
          </w:p>
        </w:tc>
        <w:tc>
          <w:tcPr>
            <w:tcW w:w="13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14.36</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22.67</w:t>
            </w:r>
          </w:p>
        </w:tc>
      </w:tr>
      <w:tr>
        <w:trPr>
          <w:trHeight w:val="260" w:hRule="exact"/>
          <w:cantSplit w:val="1"/>
        </w:trPr>
        <w:tc>
          <w:tcPr>
            <w:tcW w:w="1586" w:type="dxa"/>
            <w:gridSpan w:val="1"/>
            <w:vAlign w:val="top"/>
            <w:tcMar/>
            <w:tcBorders>
              <w:top w:val="single" w:sz="4" w:space="0" w:color="000000"/>
            </w:tcBorders>
          </w:tcPr>
          <w:p>
            <w:pPr>
              <w:autoSpaceDE w:val="0"/>
              <w:autoSpaceDN w:val="0"/>
              <w:jc w:val="left"/>
              <w:spacing w:before="27" w:after="0" w:lineRule="exact" w:line="188"/>
              <w:ind w:right="0" w:left="409"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84" w:firstLine="0"/>
              <w:snapToGrid w:val="0"/>
              <w:textAlignment w:val="auto"/>
              <w:tabs>
                <w:tab w:val="left" w:leader="none" w:pos="402"/>
              </w:tabs>
              <w:numPr>
                <w:ilvl w:val="0"/>
                <w:numId w:val="162"/>
              </w:numPr>
              <w:rPr>
                <w:rFonts w:ascii="Times New Roman" w:hAnsi="Times New Roman" w:cs="Times New Roman" w:eastAsia="Times New Roman" w:hint="ascii"/>
                <w:sz w:val="15"/>
              </w:rPr>
            </w:pPr>
            <w:r>
              <w:rPr>
                <w:rFonts w:ascii="Times New Roman" w:hAnsi="Times New Roman" w:cs="Times New Roman" w:eastAsia="Times New Roman" w:hint="ascii"/>
                <w:sz w:val="15"/>
              </w:rPr>
              <w:t>026</w:t>
            </w:r>
          </w:p>
        </w:tc>
        <w:tc>
          <w:tcPr>
            <w:tcW w:w="96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53" w:firstLine="0"/>
              <w:snapToGrid w:val="0"/>
              <w:textAlignment w:val="auto"/>
              <w:tabs>
                <w:tab w:val="left" w:leader="none" w:pos="470"/>
              </w:tabs>
              <w:numPr>
                <w:ilvl w:val="0"/>
                <w:numId w:val="163"/>
              </w:numPr>
              <w:rPr>
                <w:rFonts w:ascii="Times New Roman" w:hAnsi="Times New Roman" w:cs="Times New Roman" w:eastAsia="Times New Roman" w:hint="ascii"/>
                <w:sz w:val="15"/>
              </w:rPr>
            </w:pPr>
            <w:r>
              <w:rPr>
                <w:rFonts w:ascii="Times New Roman" w:hAnsi="Times New Roman" w:cs="Times New Roman" w:eastAsia="Times New Roman" w:hint="ascii"/>
                <w:sz w:val="15"/>
              </w:rPr>
              <w:t>712</w:t>
            </w:r>
          </w:p>
        </w:tc>
        <w:tc>
          <w:tcPr>
            <w:tcW w:w="102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41 270</w:t>
            </w:r>
          </w:p>
        </w:tc>
        <w:tc>
          <w:tcPr>
            <w:tcW w:w="11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3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10.31</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28.41</w:t>
            </w:r>
          </w:p>
        </w:tc>
      </w:tr>
      <w:tr>
        <w:trPr>
          <w:trHeight w:val="260" w:hRule="exact"/>
          <w:cantSplit w:val="1"/>
        </w:trPr>
        <w:tc>
          <w:tcPr>
            <w:tcW w:w="1586" w:type="dxa"/>
            <w:gridSpan w:val="1"/>
            <w:vAlign w:val="top"/>
            <w:tcMar/>
            <w:tcBorders>
              <w:top w:val="single" w:sz="4" w:space="0" w:color="000000"/>
            </w:tcBorders>
          </w:tcPr>
          <w:p>
            <w:pPr>
              <w:autoSpaceDE w:val="0"/>
              <w:autoSpaceDN w:val="0"/>
              <w:jc w:val="left"/>
              <w:spacing w:before="29" w:after="0" w:lineRule="exact" w:line="188"/>
              <w:ind w:right="0" w:left="183"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09" w:firstLine="0"/>
              <w:snapToGrid w:val="0"/>
              <w:textAlignment w:val="auto"/>
              <w:tabs>
                <w:tab w:val="left" w:leader="none" w:pos="402"/>
              </w:tabs>
              <w:numPr>
                <w:ilvl w:val="0"/>
                <w:numId w:val="16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131</w:t>
            </w:r>
          </w:p>
        </w:tc>
        <w:tc>
          <w:tcPr>
            <w:tcW w:w="96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53" w:firstLine="0"/>
              <w:snapToGrid w:val="0"/>
              <w:textAlignment w:val="auto"/>
              <w:tabs>
                <w:tab w:val="left" w:leader="none" w:pos="470"/>
              </w:tabs>
              <w:numPr>
                <w:ilvl w:val="0"/>
                <w:numId w:val="160"/>
              </w:numPr>
              <w:rPr>
                <w:rFonts w:ascii="Times New Roman" w:hAnsi="Times New Roman" w:cs="Times New Roman" w:eastAsia="Times New Roman" w:hint="ascii"/>
                <w:sz w:val="15"/>
              </w:rPr>
            </w:pPr>
            <w:r>
              <w:rPr>
                <w:rFonts w:ascii="Times New Roman" w:hAnsi="Times New Roman" w:cs="Times New Roman" w:eastAsia="Times New Roman" w:hint="ascii"/>
                <w:sz w:val="15"/>
              </w:rPr>
              <w:t>080</w:t>
            </w:r>
          </w:p>
        </w:tc>
        <w:tc>
          <w:tcPr>
            <w:tcW w:w="102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73 910</w:t>
            </w:r>
          </w:p>
        </w:tc>
        <w:tc>
          <w:tcPr>
            <w:tcW w:w="11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24.00</w:t>
            </w:r>
          </w:p>
        </w:tc>
        <w:tc>
          <w:tcPr>
            <w:tcW w:w="13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18.47</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tab w:val="left" w:leader="none" w:pos="-655355"/>
              </w:tabs>
              <w:numPr>
                <w:ilvl w:val="1"/>
                <w:numId w:val="16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r>
      <w:tr>
        <w:trPr>
          <w:trHeight w:val="260" w:hRule="exact"/>
          <w:cantSplit w:val="1"/>
        </w:trPr>
        <w:tc>
          <w:tcPr>
            <w:tcW w:w="1586" w:type="dxa"/>
            <w:gridSpan w:val="1"/>
            <w:vAlign w:val="top"/>
            <w:tcMar/>
            <w:tcBorders>
              <w:top w:val="single" w:sz="4" w:space="0" w:color="000000"/>
            </w:tcBorders>
          </w:tcPr>
          <w:p>
            <w:pPr>
              <w:autoSpaceDE w:val="0"/>
              <w:autoSpaceDN w:val="0"/>
              <w:jc w:val="left"/>
              <w:spacing w:before="29" w:after="0" w:lineRule="exact" w:line="188"/>
              <w:ind w:right="0" w:left="409"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84" w:firstLine="0"/>
              <w:snapToGrid w:val="0"/>
              <w:textAlignment w:val="auto"/>
              <w:tabs>
                <w:tab w:val="left" w:leader="none" w:pos="402"/>
              </w:tabs>
              <w:numPr>
                <w:ilvl w:val="0"/>
                <w:numId w:val="162"/>
              </w:numPr>
              <w:rPr>
                <w:rFonts w:ascii="Times New Roman" w:hAnsi="Times New Roman" w:cs="Times New Roman" w:eastAsia="Times New Roman" w:hint="ascii"/>
                <w:sz w:val="15"/>
              </w:rPr>
            </w:pPr>
            <w:r>
              <w:rPr>
                <w:rFonts w:ascii="Times New Roman" w:hAnsi="Times New Roman" w:cs="Times New Roman" w:eastAsia="Times New Roman" w:hint="ascii"/>
                <w:sz w:val="15"/>
              </w:rPr>
              <w:t>620</w:t>
            </w:r>
          </w:p>
        </w:tc>
        <w:tc>
          <w:tcPr>
            <w:tcW w:w="96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53" w:firstLine="0"/>
              <w:snapToGrid w:val="0"/>
              <w:textAlignment w:val="auto"/>
              <w:tabs>
                <w:tab w:val="left" w:leader="none" w:pos="470"/>
              </w:tabs>
              <w:numPr>
                <w:ilvl w:val="0"/>
                <w:numId w:val="163"/>
              </w:numPr>
              <w:rPr>
                <w:rFonts w:ascii="Times New Roman" w:hAnsi="Times New Roman" w:cs="Times New Roman" w:eastAsia="Times New Roman" w:hint="ascii"/>
                <w:sz w:val="15"/>
              </w:rPr>
            </w:pPr>
            <w:r>
              <w:rPr>
                <w:rFonts w:ascii="Times New Roman" w:hAnsi="Times New Roman" w:cs="Times New Roman" w:eastAsia="Times New Roman" w:hint="ascii"/>
                <w:sz w:val="15"/>
              </w:rPr>
              <w:t>031</w:t>
            </w:r>
          </w:p>
        </w:tc>
        <w:tc>
          <w:tcPr>
            <w:tcW w:w="102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49 370</w:t>
            </w:r>
          </w:p>
        </w:tc>
        <w:tc>
          <w:tcPr>
            <w:tcW w:w="11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24.31</w:t>
            </w:r>
          </w:p>
        </w:tc>
        <w:tc>
          <w:tcPr>
            <w:tcW w:w="13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12.33</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26.65</w:t>
            </w:r>
          </w:p>
        </w:tc>
      </w:tr>
      <w:tr>
        <w:trPr>
          <w:trHeight w:val="260" w:hRule="exact"/>
          <w:cantSplit w:val="1"/>
        </w:trPr>
        <w:tc>
          <w:tcPr>
            <w:tcW w:w="1586" w:type="dxa"/>
            <w:gridSpan w:val="1"/>
            <w:vAlign w:val="top"/>
            <w:tcMar/>
            <w:tcBorders>
              <w:top w:val="single" w:sz="4" w:space="0" w:color="000000"/>
            </w:tcBorders>
          </w:tcPr>
          <w:p>
            <w:pPr>
              <w:autoSpaceDE w:val="0"/>
              <w:autoSpaceDN w:val="0"/>
              <w:jc w:val="left"/>
              <w:spacing w:before="29" w:after="0" w:lineRule="exact" w:line="188"/>
              <w:ind w:right="0" w:left="409"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84" w:firstLine="0"/>
              <w:snapToGrid w:val="0"/>
              <w:textAlignment w:val="auto"/>
              <w:tabs>
                <w:tab w:val="left" w:leader="none" w:pos="402"/>
              </w:tabs>
              <w:numPr>
                <w:ilvl w:val="0"/>
                <w:numId w:val="160"/>
              </w:numPr>
              <w:rPr>
                <w:rFonts w:ascii="Times New Roman" w:hAnsi="Times New Roman" w:cs="Times New Roman" w:eastAsia="Times New Roman" w:hint="ascii"/>
                <w:sz w:val="15"/>
              </w:rPr>
            </w:pPr>
            <w:r>
              <w:rPr>
                <w:rFonts w:ascii="Times New Roman" w:hAnsi="Times New Roman" w:cs="Times New Roman" w:eastAsia="Times New Roman" w:hint="ascii"/>
                <w:sz w:val="15"/>
              </w:rPr>
              <w:t>127</w:t>
            </w:r>
          </w:p>
        </w:tc>
        <w:tc>
          <w:tcPr>
            <w:tcW w:w="96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815</w:t>
            </w:r>
          </w:p>
        </w:tc>
        <w:tc>
          <w:tcPr>
            <w:tcW w:w="102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79" w:firstLine="0"/>
              <w:snapToGrid w:val="0"/>
              <w:textAlignment w:val="auto"/>
              <w:tabs>
                <w:tab w:val="left" w:leader="none" w:pos="572"/>
              </w:tabs>
              <w:numPr>
                <w:ilvl w:val="0"/>
                <w:numId w:val="16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690</w:t>
            </w:r>
          </w:p>
        </w:tc>
        <w:tc>
          <w:tcPr>
            <w:tcW w:w="11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18.02</w:t>
            </w:r>
          </w:p>
        </w:tc>
        <w:tc>
          <w:tcPr>
            <w:tcW w:w="13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79" w:firstLine="0"/>
              <w:snapToGrid w:val="0"/>
              <w:textAlignment w:val="auto"/>
              <w:tabs>
                <w:tab w:val="left" w:leader="none" w:pos="-655355"/>
              </w:tabs>
              <w:numPr>
                <w:ilvl w:val="1"/>
                <w:numId w:val="166"/>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19.75</w:t>
            </w:r>
          </w:p>
        </w:tc>
      </w:tr>
      <w:tr>
        <w:trPr>
          <w:trHeight w:val="260" w:hRule="exact"/>
          <w:cantSplit w:val="1"/>
        </w:trPr>
        <w:tc>
          <w:tcPr>
            <w:tcW w:w="1586" w:type="dxa"/>
            <w:gridSpan w:val="1"/>
            <w:vAlign w:val="top"/>
            <w:tcMar/>
            <w:tcBorders>
              <w:top w:val="single" w:sz="4" w:space="0" w:color="000000"/>
            </w:tcBorders>
          </w:tcPr>
          <w:p>
            <w:pPr>
              <w:autoSpaceDE w:val="0"/>
              <w:autoSpaceDN w:val="0"/>
              <w:jc w:val="left"/>
              <w:spacing w:before="29" w:after="0" w:lineRule="exact" w:line="188"/>
              <w:ind w:right="0" w:left="409"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85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09" w:firstLine="0"/>
              <w:snapToGrid w:val="0"/>
              <w:textAlignment w:val="auto"/>
              <w:tabs>
                <w:tab w:val="left" w:leader="none" w:pos="402"/>
              </w:tabs>
              <w:numPr>
                <w:ilvl w:val="0"/>
                <w:numId w:val="16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665</w:t>
            </w:r>
          </w:p>
        </w:tc>
        <w:tc>
          <w:tcPr>
            <w:tcW w:w="96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53" w:firstLine="0"/>
              <w:snapToGrid w:val="0"/>
              <w:textAlignment w:val="auto"/>
              <w:tabs>
                <w:tab w:val="left" w:leader="none" w:pos="470"/>
              </w:tabs>
              <w:numPr>
                <w:ilvl w:val="0"/>
                <w:numId w:val="166"/>
              </w:numPr>
              <w:rPr>
                <w:rFonts w:ascii="Times New Roman" w:hAnsi="Times New Roman" w:cs="Times New Roman" w:eastAsia="Times New Roman" w:hint="ascii"/>
                <w:sz w:val="15"/>
              </w:rPr>
            </w:pPr>
            <w:r>
              <w:rPr>
                <w:rFonts w:ascii="Times New Roman" w:hAnsi="Times New Roman" w:cs="Times New Roman" w:eastAsia="Times New Roman" w:hint="ascii"/>
                <w:sz w:val="15"/>
              </w:rPr>
              <w:t>200</w:t>
            </w:r>
          </w:p>
        </w:tc>
        <w:tc>
          <w:tcPr>
            <w:tcW w:w="102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84 010</w:t>
            </w:r>
          </w:p>
        </w:tc>
        <w:tc>
          <w:tcPr>
            <w:tcW w:w="11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c>
          <w:tcPr>
            <w:tcW w:w="1359"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20.99</w:t>
            </w:r>
          </w:p>
        </w:tc>
        <w:tc>
          <w:tcPr>
            <w:tcW w:w="107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17.03</w:t>
            </w:r>
          </w:p>
        </w:tc>
      </w:tr>
      <w:tr>
        <w:trPr>
          <w:trHeight w:val="266" w:hRule="exact"/>
          <w:cantSplit w:val="1"/>
        </w:trPr>
        <w:tc>
          <w:tcPr>
            <w:tcW w:w="1586" w:type="dxa"/>
            <w:gridSpan w:val="1"/>
            <w:vAlign w:val="top"/>
            <w:tcMar/>
            <w:tcBorders>
              <w:top w:val="single" w:sz="4" w:space="0" w:color="000000"/>
              <w:bottom w:val="single" w:sz="8" w:space="0" w:color="000000"/>
            </w:tcBorders>
          </w:tcPr>
          <w:p>
            <w:pPr>
              <w:autoSpaceDE w:val="0"/>
              <w:autoSpaceDN w:val="0"/>
              <w:jc w:val="left"/>
              <w:spacing w:before="29" w:after="0" w:lineRule="exact" w:line="188"/>
              <w:ind w:right="0" w:left="333"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5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78 195</w:t>
            </w:r>
          </w:p>
        </w:tc>
        <w:tc>
          <w:tcPr>
            <w:tcW w:w="96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17 523</w:t>
            </w:r>
          </w:p>
        </w:tc>
        <w:tc>
          <w:tcPr>
            <w:tcW w:w="102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3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400 270</w:t>
            </w:r>
          </w:p>
        </w:tc>
        <w:tc>
          <w:tcPr>
            <w:tcW w:w="113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22.84</w:t>
            </w:r>
          </w:p>
        </w:tc>
        <w:tc>
          <w:tcPr>
            <w:tcW w:w="1359"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4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100.00</w:t>
            </w:r>
          </w:p>
        </w:tc>
        <w:tc>
          <w:tcPr>
            <w:tcW w:w="1078"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22.41</w:t>
            </w:r>
          </w:p>
        </w:tc>
      </w:tr>
    </w:tbl>
    <w:p>
      <w:pPr>
        <w:autoSpaceDE w:val="0"/>
        <w:autoSpaceDN w:val="0"/>
        <w:jc w:val="both"/>
        <w:spacing w:before="140" w:after="0" w:lineRule="exact" w:line="355"/>
        <w:ind w:right="978" w:left="966" w:firstLine="480"/>
        <w:snapToGrid w:val="0"/>
        <w:textAlignment w:val="auto"/>
        <w:tabs/>
        <w:rPr>
          <w:rFonts w:ascii="宋体" w:hAnsi="宋体" w:cs="宋体" w:eastAsia="宋体" w:hint="ascii"/>
        </w:rPr>
      </w:pPr>
      <w:r>
        <w:rPr>
          <w:rFonts w:ascii="宋体" w:hAnsi="宋体" w:cs="宋体" w:eastAsia="宋体" w:hint="ascii"/>
        </w:rPr>
        <w:t>关于青年科学基金项目资助范围见面上项目各科学部介绍，近年资助状况和有关要求见本部分各科学部介绍。</w:t>
      </w:r>
    </w:p>
    <w:p>
      <w:pPr>
        <w:autoSpaceDE w:val="0"/>
        <w:autoSpaceDN w:val="0"/>
        <w:jc w:val="left"/>
        <w:spacing w:before="7909"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青年科学基金项目</w:t>
      </w:r>
    </w:p>
    <w:p>
      <w:pPr>
        <w:autoSpaceDE w:val="0"/>
        <w:autoSpaceDN w:val="0"/>
        <w:jc w:val="left"/>
        <w:spacing w:before="438"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数理科学部</w:t>
      </w:r>
      <w:r>
        <w:rPr>
          <w:rFonts w:ascii="宋体" w:hAnsi="宋体" w:cs="宋体" w:eastAsia="宋体" w:hint="ascii"/>
          <w:sz w:val="38"/>
        </w:rPr>
        <mc:AlternateContent>
          <mc:Choice Requires="wps">
            <w:drawing>
              <wp:anchor distL="0" distR="0" distT="0" distB="0" simplePos="0" behindDoc="1" relativeHeight="202" locked="0" layoutInCell="1" allowOverlap="1">
                <wp:simplePos x="0" y="0"/>
                <wp:positionH relativeFrom="page">
                  <wp:posOffset>938530</wp:posOffset>
                </wp:positionH>
                <wp:positionV relativeFrom="page">
                  <wp:posOffset>819150</wp:posOffset>
                </wp:positionV>
                <wp:extent cx="5076190" cy="0"/>
                <wp:wrapNone/>
                <wp:docPr id="1231" name="123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51392;width:399.70pt;" id="123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青年科学研究人才的成长对数理科学的发展尤显重要。数理科学部一贯重视对青年</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科学研究人员的培养和支持，青年科学基金项目资助率始终高于面上项</w:t>
      </w:r>
      <w:r>
        <w:rPr>
          <w:rFonts w:ascii="宋体" w:hAnsi="宋体" w:cs="宋体" w:eastAsia="宋体" w:hint="ascii"/>
          <w:sz w:val="21"/>
        </w:rPr>
        <w:t>目资助率。</w:t>
      </w:r>
      <w:r>
        <w:rPr>
          <w:rFonts w:ascii="Times New Roman" w:hAnsi="Times New Roman" w:cs="Times New Roman" w:eastAsia="Times New Roman" w:hint="ascii"/>
          <w:sz w:val="21"/>
        </w:rPr>
        <w:t xml:space="preserve">2018 </w:t>
      </w:r>
      <w:r>
        <w:rPr>
          <w:rFonts w:ascii="宋体" w:hAnsi="宋体" w:cs="宋体" w:eastAsia="宋体" w:hint="ascii"/>
          <w:sz w:val="21"/>
          <w:spacing w:val="-1"/>
        </w:rPr>
        <w:t>年度将持续</w:t>
      </w:r>
      <w:r>
        <w:rPr>
          <w:rFonts w:ascii="宋体" w:hAnsi="宋体" w:cs="宋体" w:eastAsia="宋体" w:hint="ascii"/>
          <w:sz w:val="21"/>
        </w:rPr>
        <w:t>保持青年科学基金项目的较高资助率，使更多的青年人能获得独立开展科学研究的机会，以培养从事基础科学研究的优秀人才。</w:t>
      </w:r>
    </w:p>
    <w:p>
      <w:pPr>
        <w:autoSpaceDE w:val="0"/>
        <w:autoSpaceDN w:val="0"/>
        <w:jc w:val="left"/>
        <w:spacing w:before="167"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数理科学部青年科学基金项目近两年资助情况一览表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39" w:type="dxa"/>
        <w:jc w:val="left"/>
        <w:tblInd w:w="993"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74"/>
        <w:gridCol w:w="1307"/>
        <w:gridCol w:w="850"/>
        <w:gridCol w:w="849"/>
        <w:gridCol w:w="1079"/>
        <w:gridCol w:w="850"/>
        <w:gridCol w:w="849"/>
        <w:gridCol w:w="1081"/>
      </w:tblGrid>
      <w:tr>
        <w:trPr>
          <w:trHeight w:val="328" w:hRule="exact"/>
          <w:cantSplit w:val="1"/>
        </w:trPr>
        <w:tc>
          <w:tcPr>
            <w:tcW w:w="2381" w:type="dxa"/>
            <w:gridSpan w:val="2"/>
            <w:vAlign w:val="top"/>
            <w:vMerge w:val="restart"/>
            <w:tcMar/>
            <w:tcBorders/>
          </w:tcPr>
          <w:p>
            <w:pPr>
              <w:autoSpaceDE w:val="0"/>
              <w:autoSpaceDN w:val="0"/>
              <w:jc w:val="left"/>
              <w:spacing w:before="226" w:after="0" w:lineRule="exact" w:line="188"/>
              <w:ind w:right="0" w:left="95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78" w:type="dxa"/>
            <w:gridSpan w:val="3"/>
            <w:vAlign w:val="top"/>
            <w:tcMar/>
            <w:tcBorders>
              <w:left w:val="single" w:sz="4" w:space="0" w:color="000000"/>
            </w:tcBorders>
          </w:tcPr>
          <w:p>
            <w:pPr>
              <w:autoSpaceDE w:val="0"/>
              <w:autoSpaceDN w:val="0"/>
              <w:jc w:val="left"/>
              <w:spacing w:before="64" w:after="0" w:lineRule="auto" w:line="240"/>
              <w:ind w:right="0" w:left="1065" w:firstLine="0"/>
              <w:snapToGrid w:val="0"/>
              <w:textAlignment w:val="auto"/>
              <w:tabs>
                <w:tab w:val="left" w:leader="none" w:pos="1409"/>
              </w:tabs>
              <w:numPr>
                <w:ilvl w:val="0"/>
                <w:numId w:val="167"/>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80" w:type="dxa"/>
            <w:gridSpan w:val="3"/>
            <w:vAlign w:val="top"/>
            <w:tcMar/>
            <w:tcBorders>
              <w:left w:val="single" w:sz="4" w:space="0" w:color="000000"/>
              <w:right w:val="single" w:sz="8" w:space="0" w:color="000000"/>
            </w:tcBorders>
          </w:tcPr>
          <w:p>
            <w:pPr>
              <w:autoSpaceDE w:val="0"/>
              <w:autoSpaceDN w:val="0"/>
              <w:jc w:val="left"/>
              <w:spacing w:before="64" w:after="0" w:lineRule="auto" w:line="240"/>
              <w:ind w:right="0" w:left="1067" w:firstLine="0"/>
              <w:snapToGrid w:val="0"/>
              <w:textAlignment w:val="auto"/>
              <w:tabs>
                <w:tab w:val="left" w:leader="none" w:pos="1409"/>
              </w:tabs>
              <w:numPr>
                <w:ilvl w:val="0"/>
                <w:numId w:val="167"/>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324" w:hRule="exact"/>
          <w:cantSplit w:val="1"/>
        </w:trPr>
        <w:tc>
          <w:tcPr>
            <w:tcW w:w="2381"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50" w:type="dxa"/>
            <w:gridSpan w:val="1"/>
            <w:vAlign w:val="top"/>
            <w:tcMar/>
            <w:tcBorders>
              <w:left w:val="single" w:sz="4" w:space="0" w:color="000000"/>
              <w:top w:val="single" w:sz="4" w:space="0" w:color="000000"/>
            </w:tcBorders>
          </w:tcPr>
          <w:p>
            <w:pPr>
              <w:autoSpaceDE w:val="0"/>
              <w:autoSpaceDN w:val="0"/>
              <w:jc w:val="left"/>
              <w:spacing w:before="66"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49" w:type="dxa"/>
            <w:gridSpan w:val="1"/>
            <w:vAlign w:val="top"/>
            <w:tcMar/>
            <w:tcBorders>
              <w:left w:val="single" w:sz="4" w:space="0" w:color="000000"/>
              <w:top w:val="single" w:sz="4" w:space="0" w:color="000000"/>
            </w:tcBorders>
          </w:tcPr>
          <w:p>
            <w:pPr>
              <w:autoSpaceDE w:val="0"/>
              <w:autoSpaceDN w:val="0"/>
              <w:jc w:val="left"/>
              <w:spacing w:before="66"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9" w:type="dxa"/>
            <w:gridSpan w:val="1"/>
            <w:vAlign w:val="top"/>
            <w:tcMar/>
            <w:tcBorders>
              <w:left w:val="single" w:sz="4" w:space="0" w:color="000000"/>
              <w:top w:val="single" w:sz="4" w:space="0" w:color="000000"/>
            </w:tcBorders>
          </w:tcPr>
          <w:p>
            <w:pPr>
              <w:autoSpaceDE w:val="0"/>
              <w:autoSpaceDN w:val="0"/>
              <w:jc w:val="left"/>
              <w:spacing w:before="66"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850" w:type="dxa"/>
            <w:gridSpan w:val="1"/>
            <w:vAlign w:val="top"/>
            <w:tcMar/>
            <w:tcBorders>
              <w:left w:val="single" w:sz="4" w:space="0" w:color="000000"/>
              <w:top w:val="single" w:sz="4" w:space="0" w:color="000000"/>
            </w:tcBorders>
          </w:tcPr>
          <w:p>
            <w:pPr>
              <w:autoSpaceDE w:val="0"/>
              <w:autoSpaceDN w:val="0"/>
              <w:jc w:val="left"/>
              <w:spacing w:before="66"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49" w:type="dxa"/>
            <w:gridSpan w:val="1"/>
            <w:vAlign w:val="top"/>
            <w:tcMar/>
            <w:tcBorders>
              <w:left w:val="single" w:sz="4" w:space="0" w:color="000000"/>
              <w:top w:val="single" w:sz="4" w:space="0" w:color="000000"/>
            </w:tcBorders>
          </w:tcPr>
          <w:p>
            <w:pPr>
              <w:autoSpaceDE w:val="0"/>
              <w:autoSpaceDN w:val="0"/>
              <w:jc w:val="left"/>
              <w:spacing w:before="66"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6" w:after="0" w:lineRule="exact" w:line="188"/>
              <w:ind w:right="0" w:left="99"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323" w:hRule="exact"/>
          <w:cantSplit w:val="1"/>
        </w:trPr>
        <w:tc>
          <w:tcPr>
            <w:tcW w:w="1074" w:type="dxa"/>
            <w:gridSpan w:val="1"/>
            <w:vAlign w:val="top"/>
            <w:vMerge w:val="restart"/>
            <w:tcMar/>
            <w:tcBorders>
              <w:top w:val="single" w:sz="4" w:space="0" w:color="000000"/>
            </w:tcBorders>
          </w:tcPr>
          <w:p>
            <w:pPr>
              <w:autoSpaceDE w:val="0"/>
              <w:autoSpaceDN w:val="0"/>
              <w:jc w:val="left"/>
              <w:spacing w:before="225"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数学科学处</w:t>
            </w:r>
          </w:p>
        </w:tc>
        <w:tc>
          <w:tcPr>
            <w:tcW w:w="1307" w:type="dxa"/>
            <w:gridSpan w:val="1"/>
            <w:vAlign w:val="top"/>
            <w:tcMar/>
            <w:tcBorders>
              <w:left w:val="single" w:sz="4" w:space="0" w:color="000000"/>
              <w:top w:val="single" w:sz="4" w:space="0" w:color="000000"/>
            </w:tcBorders>
          </w:tcPr>
          <w:p>
            <w:pPr>
              <w:autoSpaceDE w:val="0"/>
              <w:autoSpaceDN w:val="0"/>
              <w:jc w:val="left"/>
              <w:spacing w:before="65" w:after="0" w:lineRule="exact" w:line="188"/>
              <w:ind w:right="0" w:left="423" w:firstLine="0"/>
              <w:snapToGrid w:val="0"/>
              <w:textAlignment w:val="auto"/>
              <w:tabs/>
              <w:rPr>
                <w:rFonts w:ascii="宋体" w:hAnsi="宋体" w:cs="宋体" w:eastAsia="宋体" w:hint="ascii"/>
                <w:sz w:val="15"/>
              </w:rPr>
            </w:pPr>
            <w:r>
              <w:rPr>
                <w:rFonts w:ascii="宋体" w:hAnsi="宋体" w:cs="宋体" w:eastAsia="宋体" w:hint="ascii"/>
                <w:sz w:val="15"/>
              </w:rPr>
              <w:t>数学</w:t>
            </w:r>
            <w:r>
              <w:rPr>
                <w:rFonts w:ascii="宋体" w:hAnsi="宋体" w:cs="宋体" w:eastAsia="宋体" w:hint="ascii"/>
                <w:sz w:val="15"/>
              </w:rPr>
              <w:t>Ⅰ</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259</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34" w:firstLine="0"/>
              <w:snapToGrid w:val="0"/>
              <w:textAlignment w:val="auto"/>
              <w:tabs>
                <w:tab w:val="left" w:leader="none" w:pos="352"/>
              </w:tabs>
              <w:numPr>
                <w:ilvl w:val="0"/>
                <w:numId w:val="168"/>
              </w:numPr>
              <w:rPr>
                <w:rFonts w:ascii="Times New Roman" w:hAnsi="Times New Roman" w:cs="Times New Roman" w:eastAsia="Times New Roman" w:hint="ascii"/>
                <w:sz w:val="15"/>
              </w:rPr>
            </w:pPr>
            <w:r>
              <w:rPr>
                <w:rFonts w:ascii="Times New Roman" w:hAnsi="Times New Roman" w:cs="Times New Roman" w:eastAsia="Times New Roman" w:hint="ascii"/>
                <w:sz w:val="15"/>
              </w:rPr>
              <w:t>793</w:t>
            </w:r>
          </w:p>
        </w:tc>
        <w:tc>
          <w:tcPr>
            <w:tcW w:w="107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30.72</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290</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97" w:firstLine="0"/>
              <w:snapToGrid w:val="0"/>
              <w:textAlignment w:val="auto"/>
              <w:tabs>
                <w:tab w:val="left" w:leader="none" w:pos="415"/>
              </w:tabs>
              <w:numPr>
                <w:ilvl w:val="0"/>
                <w:numId w:val="169"/>
              </w:numPr>
              <w:rPr>
                <w:rFonts w:ascii="Times New Roman" w:hAnsi="Times New Roman" w:cs="Times New Roman" w:eastAsia="Times New Roman" w:hint="ascii"/>
                <w:sz w:val="15"/>
              </w:rPr>
            </w:pPr>
            <w:r>
              <w:rPr>
                <w:rFonts w:ascii="Times New Roman" w:hAnsi="Times New Roman" w:cs="Times New Roman" w:eastAsia="Times New Roman" w:hint="ascii"/>
                <w:sz w:val="15"/>
              </w:rPr>
              <w:t>382</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29.74</w:t>
            </w:r>
          </w:p>
        </w:tc>
      </w:tr>
      <w:tr>
        <w:trPr>
          <w:trHeight w:val="323"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65" w:after="0" w:lineRule="exact" w:line="188"/>
              <w:ind w:right="0" w:left="423" w:firstLine="0"/>
              <w:snapToGrid w:val="0"/>
              <w:textAlignment w:val="auto"/>
              <w:tabs/>
              <w:rPr>
                <w:rFonts w:ascii="宋体" w:hAnsi="宋体" w:cs="宋体" w:eastAsia="宋体" w:hint="ascii"/>
                <w:sz w:val="15"/>
              </w:rPr>
            </w:pPr>
            <w:r>
              <w:rPr>
                <w:rFonts w:ascii="宋体" w:hAnsi="宋体" w:cs="宋体" w:eastAsia="宋体" w:hint="ascii"/>
                <w:sz w:val="15"/>
              </w:rPr>
              <w:t>数学</w:t>
            </w:r>
            <w:r>
              <w:rPr>
                <w:rFonts w:ascii="宋体" w:hAnsi="宋体" w:cs="宋体" w:eastAsia="宋体" w:hint="ascii"/>
                <w:sz w:val="15"/>
              </w:rPr>
              <w:t>Ⅱ</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34" w:firstLine="0"/>
              <w:snapToGrid w:val="0"/>
              <w:textAlignment w:val="auto"/>
              <w:tabs>
                <w:tab w:val="left" w:leader="none" w:pos="352"/>
              </w:tabs>
              <w:numPr>
                <w:ilvl w:val="0"/>
                <w:numId w:val="168"/>
              </w:numPr>
              <w:rPr>
                <w:rFonts w:ascii="Times New Roman" w:hAnsi="Times New Roman" w:cs="Times New Roman" w:eastAsia="Times New Roman" w:hint="ascii"/>
                <w:sz w:val="15"/>
              </w:rPr>
            </w:pPr>
            <w:r>
              <w:rPr>
                <w:rFonts w:ascii="Times New Roman" w:hAnsi="Times New Roman" w:cs="Times New Roman" w:eastAsia="Times New Roman" w:hint="ascii"/>
                <w:sz w:val="15"/>
              </w:rPr>
              <w:t>247</w:t>
            </w:r>
          </w:p>
        </w:tc>
        <w:tc>
          <w:tcPr>
            <w:tcW w:w="107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29.01</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308</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97" w:firstLine="0"/>
              <w:snapToGrid w:val="0"/>
              <w:textAlignment w:val="auto"/>
              <w:tabs>
                <w:tab w:val="left" w:leader="none" w:pos="415"/>
              </w:tabs>
              <w:numPr>
                <w:ilvl w:val="0"/>
                <w:numId w:val="169"/>
              </w:numPr>
              <w:rPr>
                <w:rFonts w:ascii="Times New Roman" w:hAnsi="Times New Roman" w:cs="Times New Roman" w:eastAsia="Times New Roman" w:hint="ascii"/>
                <w:sz w:val="15"/>
              </w:rPr>
            </w:pPr>
            <w:r>
              <w:rPr>
                <w:rFonts w:ascii="Times New Roman" w:hAnsi="Times New Roman" w:cs="Times New Roman" w:eastAsia="Times New Roman" w:hint="ascii"/>
                <w:sz w:val="15"/>
              </w:rPr>
              <w:t>071</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29.62</w:t>
            </w:r>
          </w:p>
        </w:tc>
      </w:tr>
      <w:tr>
        <w:trPr>
          <w:trHeight w:val="595" w:hRule="exact"/>
          <w:cantSplit w:val="1"/>
        </w:trPr>
        <w:tc>
          <w:tcPr>
            <w:tcW w:w="1074" w:type="dxa"/>
            <w:gridSpan w:val="1"/>
            <w:vAlign w:val="top"/>
            <w:vMerge w:val="restart"/>
            <w:tcMar/>
            <w:tcBorders>
              <w:top w:val="single" w:sz="4" w:space="0" w:color="000000"/>
            </w:tcBorders>
          </w:tcPr>
          <w:p>
            <w:pPr>
              <w:autoSpaceDE w:val="0"/>
              <w:autoSpaceDN w:val="0"/>
              <w:jc w:val="left"/>
              <w:spacing w:before="1043"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力学科学处</w:t>
            </w:r>
          </w:p>
        </w:tc>
        <w:tc>
          <w:tcPr>
            <w:tcW w:w="1307" w:type="dxa"/>
            <w:gridSpan w:val="1"/>
            <w:vAlign w:val="top"/>
            <w:tcMar/>
            <w:tcBorders>
              <w:left w:val="single" w:sz="4" w:space="0" w:color="000000"/>
              <w:top w:val="single" w:sz="4" w:space="0" w:color="000000"/>
            </w:tcBorders>
          </w:tcPr>
          <w:p>
            <w:pPr>
              <w:autoSpaceDE w:val="0"/>
              <w:autoSpaceDN w:val="0"/>
              <w:jc w:val="left"/>
              <w:spacing w:before="80" w:after="0" w:lineRule="exact" w:line="188"/>
              <w:ind w:right="0" w:left="199" w:firstLine="0"/>
              <w:snapToGrid w:val="0"/>
              <w:textAlignment w:val="auto"/>
              <w:tabs/>
              <w:rPr>
                <w:rFonts w:ascii="宋体" w:hAnsi="宋体" w:cs="宋体" w:eastAsia="宋体" w:hint="ascii"/>
                <w:sz w:val="15"/>
              </w:rPr>
            </w:pPr>
            <w:r>
              <w:rPr>
                <w:rFonts w:ascii="宋体" w:hAnsi="宋体" w:cs="宋体" w:eastAsia="宋体" w:hint="ascii"/>
                <w:sz w:val="15"/>
              </w:rPr>
              <w:t>力学中的基本</w:t>
            </w:r>
          </w:p>
          <w:p>
            <w:pPr>
              <w:autoSpaceDE w:val="0"/>
              <w:autoSpaceDN w:val="0"/>
              <w:jc w:val="left"/>
              <w:spacing w:before="53" w:after="0" w:lineRule="exact" w:line="188"/>
              <w:ind w:right="0" w:left="273" w:firstLine="0"/>
              <w:snapToGrid w:val="0"/>
              <w:textAlignment w:val="auto"/>
              <w:tabs/>
              <w:rPr>
                <w:rFonts w:ascii="宋体" w:hAnsi="宋体" w:cs="宋体" w:eastAsia="宋体" w:hint="ascii"/>
                <w:sz w:val="15"/>
              </w:rPr>
            </w:pPr>
            <w:r>
              <w:rPr>
                <w:rFonts w:ascii="宋体" w:hAnsi="宋体" w:cs="宋体" w:eastAsia="宋体" w:hint="ascii"/>
                <w:sz w:val="15"/>
              </w:rPr>
              <w:t>问题和方法</w:t>
            </w:r>
          </w:p>
        </w:tc>
        <w:tc>
          <w:tcPr>
            <w:tcW w:w="850" w:type="dxa"/>
            <w:gridSpan w:val="1"/>
            <w:vAlign w:val="top"/>
            <w:tcMar/>
            <w:tcBorders>
              <w:left w:val="single" w:sz="4" w:space="0" w:color="000000"/>
              <w:top w:val="single" w:sz="4" w:space="0" w:color="000000"/>
            </w:tcBorders>
          </w:tcPr>
          <w:p>
            <w:pPr>
              <w:autoSpaceDE w:val="0"/>
              <w:autoSpaceDN w:val="0"/>
              <w:jc w:val="left"/>
              <w:spacing w:before="210"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49" w:type="dxa"/>
            <w:gridSpan w:val="1"/>
            <w:vAlign w:val="top"/>
            <w:tcMar/>
            <w:tcBorders>
              <w:left w:val="single" w:sz="4" w:space="0" w:color="000000"/>
              <w:top w:val="single" w:sz="4" w:space="0" w:color="000000"/>
            </w:tcBorders>
          </w:tcPr>
          <w:p>
            <w:pPr>
              <w:autoSpaceDE w:val="0"/>
              <w:autoSpaceDN w:val="0"/>
              <w:jc w:val="left"/>
              <w:spacing w:before="210" w:after="0" w:lineRule="auto" w:line="240"/>
              <w:ind w:right="0" w:left="34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208</w:t>
            </w:r>
          </w:p>
        </w:tc>
        <w:tc>
          <w:tcPr>
            <w:tcW w:w="1079" w:type="dxa"/>
            <w:gridSpan w:val="1"/>
            <w:vAlign w:val="top"/>
            <w:tcMar/>
            <w:tcBorders>
              <w:left w:val="single" w:sz="4" w:space="0" w:color="000000"/>
              <w:top w:val="single" w:sz="4" w:space="0" w:color="000000"/>
            </w:tcBorders>
          </w:tcPr>
          <w:p>
            <w:pPr>
              <w:autoSpaceDE w:val="0"/>
              <w:autoSpaceDN w:val="0"/>
              <w:jc w:val="left"/>
              <w:spacing w:before="210"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30.30</w:t>
            </w:r>
          </w:p>
        </w:tc>
        <w:tc>
          <w:tcPr>
            <w:tcW w:w="850" w:type="dxa"/>
            <w:gridSpan w:val="1"/>
            <w:vAlign w:val="top"/>
            <w:tcMar/>
            <w:tcBorders>
              <w:left w:val="single" w:sz="4" w:space="0" w:color="000000"/>
              <w:top w:val="single" w:sz="4" w:space="0" w:color="000000"/>
            </w:tcBorders>
          </w:tcPr>
          <w:p>
            <w:pPr>
              <w:autoSpaceDE w:val="0"/>
              <w:autoSpaceDN w:val="0"/>
              <w:jc w:val="left"/>
              <w:spacing w:before="210" w:after="0" w:lineRule="auto" w:line="240"/>
              <w:ind w:right="0" w:left="51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w:t>
            </w:r>
          </w:p>
        </w:tc>
        <w:tc>
          <w:tcPr>
            <w:tcW w:w="849" w:type="dxa"/>
            <w:gridSpan w:val="1"/>
            <w:vAlign w:val="top"/>
            <w:tcMar/>
            <w:tcBorders>
              <w:left w:val="single" w:sz="4" w:space="0" w:color="000000"/>
              <w:top w:val="single" w:sz="4" w:space="0" w:color="000000"/>
            </w:tcBorders>
          </w:tcPr>
          <w:p>
            <w:pPr>
              <w:autoSpaceDE w:val="0"/>
              <w:autoSpaceDN w:val="0"/>
              <w:jc w:val="left"/>
              <w:spacing w:before="210" w:after="0" w:lineRule="auto" w:line="240"/>
              <w:ind w:right="0" w:left="41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122</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10"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31.25</w:t>
            </w:r>
          </w:p>
        </w:tc>
      </w:tr>
      <w:tr>
        <w:trPr>
          <w:trHeight w:val="277"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42" w:after="0" w:lineRule="exact" w:line="188"/>
              <w:ind w:right="0" w:left="199" w:firstLine="0"/>
              <w:snapToGrid w:val="0"/>
              <w:textAlignment w:val="auto"/>
              <w:tabs/>
              <w:rPr>
                <w:rFonts w:ascii="宋体" w:hAnsi="宋体" w:cs="宋体" w:eastAsia="宋体" w:hint="ascii"/>
                <w:sz w:val="15"/>
              </w:rPr>
            </w:pPr>
            <w:r>
              <w:rPr>
                <w:rFonts w:ascii="宋体" w:hAnsi="宋体" w:cs="宋体" w:eastAsia="宋体" w:hint="ascii"/>
                <w:sz w:val="15"/>
              </w:rPr>
              <w:t>动力学与控制</w:t>
            </w:r>
          </w:p>
        </w:tc>
        <w:tc>
          <w:tcPr>
            <w:tcW w:w="85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52</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4" w:firstLine="0"/>
              <w:snapToGrid w:val="0"/>
              <w:textAlignment w:val="auto"/>
              <w:tabs>
                <w:tab w:val="left" w:leader="none" w:pos="352"/>
              </w:tabs>
              <w:numPr>
                <w:ilvl w:val="0"/>
                <w:numId w:val="170"/>
              </w:numPr>
              <w:rPr>
                <w:rFonts w:ascii="Times New Roman" w:hAnsi="Times New Roman" w:cs="Times New Roman" w:eastAsia="Times New Roman" w:hint="ascii"/>
                <w:sz w:val="15"/>
              </w:rPr>
            </w:pPr>
            <w:r>
              <w:rPr>
                <w:rFonts w:ascii="Times New Roman" w:hAnsi="Times New Roman" w:cs="Times New Roman" w:eastAsia="Times New Roman" w:hint="ascii"/>
                <w:sz w:val="15"/>
              </w:rPr>
              <w:t>128</w:t>
            </w:r>
          </w:p>
        </w:tc>
        <w:tc>
          <w:tcPr>
            <w:tcW w:w="107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29.89</w:t>
            </w:r>
          </w:p>
        </w:tc>
        <w:tc>
          <w:tcPr>
            <w:tcW w:w="85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57</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97" w:firstLine="0"/>
              <w:snapToGrid w:val="0"/>
              <w:textAlignment w:val="auto"/>
              <w:tabs>
                <w:tab w:val="left" w:leader="none" w:pos="415"/>
              </w:tabs>
              <w:numPr>
                <w:ilvl w:val="0"/>
                <w:numId w:val="171"/>
              </w:numPr>
              <w:rPr>
                <w:rFonts w:ascii="Times New Roman" w:hAnsi="Times New Roman" w:cs="Times New Roman" w:eastAsia="Times New Roman" w:hint="ascii"/>
                <w:sz w:val="15"/>
              </w:rPr>
            </w:pPr>
            <w:r>
              <w:rPr>
                <w:rFonts w:ascii="Times New Roman" w:hAnsi="Times New Roman" w:cs="Times New Roman" w:eastAsia="Times New Roman" w:hint="ascii"/>
                <w:sz w:val="15"/>
              </w:rPr>
              <w:t>435</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29.23</w:t>
            </w:r>
          </w:p>
        </w:tc>
      </w:tr>
      <w:tr>
        <w:trPr>
          <w:trHeight w:val="324"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66"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固体力学</w:t>
            </w:r>
          </w:p>
        </w:tc>
        <w:tc>
          <w:tcPr>
            <w:tcW w:w="85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120</w:t>
            </w:r>
          </w:p>
        </w:tc>
        <w:tc>
          <w:tcPr>
            <w:tcW w:w="84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234" w:firstLine="0"/>
              <w:snapToGrid w:val="0"/>
              <w:textAlignment w:val="auto"/>
              <w:tabs>
                <w:tab w:val="left" w:leader="none" w:pos="352"/>
              </w:tabs>
              <w:numPr>
                <w:ilvl w:val="0"/>
                <w:numId w:val="170"/>
              </w:numPr>
              <w:rPr>
                <w:rFonts w:ascii="Times New Roman" w:hAnsi="Times New Roman" w:cs="Times New Roman" w:eastAsia="Times New Roman" w:hint="ascii"/>
                <w:sz w:val="15"/>
              </w:rPr>
            </w:pPr>
            <w:r>
              <w:rPr>
                <w:rFonts w:ascii="Times New Roman" w:hAnsi="Times New Roman" w:cs="Times New Roman" w:eastAsia="Times New Roman" w:hint="ascii"/>
                <w:sz w:val="15"/>
              </w:rPr>
              <w:t>671</w:t>
            </w:r>
          </w:p>
        </w:tc>
        <w:tc>
          <w:tcPr>
            <w:tcW w:w="107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29.63</w:t>
            </w:r>
          </w:p>
        </w:tc>
        <w:tc>
          <w:tcPr>
            <w:tcW w:w="85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128</w:t>
            </w:r>
          </w:p>
        </w:tc>
        <w:tc>
          <w:tcPr>
            <w:tcW w:w="84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297" w:firstLine="0"/>
              <w:snapToGrid w:val="0"/>
              <w:textAlignment w:val="auto"/>
              <w:tabs>
                <w:tab w:val="left" w:leader="none" w:pos="415"/>
              </w:tabs>
              <w:numPr>
                <w:ilvl w:val="0"/>
                <w:numId w:val="170"/>
              </w:numPr>
              <w:rPr>
                <w:rFonts w:ascii="Times New Roman" w:hAnsi="Times New Roman" w:cs="Times New Roman" w:eastAsia="Times New Roman" w:hint="ascii"/>
                <w:sz w:val="15"/>
              </w:rPr>
            </w:pPr>
            <w:r>
              <w:rPr>
                <w:rFonts w:ascii="Times New Roman" w:hAnsi="Times New Roman" w:cs="Times New Roman" w:eastAsia="Times New Roman" w:hint="ascii"/>
                <w:sz w:val="15"/>
              </w:rPr>
              <w:t>182</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29.56</w:t>
            </w:r>
          </w:p>
        </w:tc>
      </w:tr>
      <w:tr>
        <w:trPr>
          <w:trHeight w:val="287"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47"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流体力学</w:t>
            </w:r>
          </w:p>
        </w:tc>
        <w:tc>
          <w:tcPr>
            <w:tcW w:w="850" w:type="dxa"/>
            <w:gridSpan w:val="1"/>
            <w:vAlign w:val="top"/>
            <w:tcMar/>
            <w:tcBorders>
              <w:left w:val="single" w:sz="4" w:space="0" w:color="000000"/>
              <w:top w:val="single" w:sz="4" w:space="0" w:color="000000"/>
            </w:tcBorders>
          </w:tcPr>
          <w:p>
            <w:pPr>
              <w:autoSpaceDE w:val="0"/>
              <w:autoSpaceDN w:val="0"/>
              <w:jc w:val="left"/>
              <w:spacing w:before="57"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70</w:t>
            </w:r>
          </w:p>
        </w:tc>
        <w:tc>
          <w:tcPr>
            <w:tcW w:w="849" w:type="dxa"/>
            <w:gridSpan w:val="1"/>
            <w:vAlign w:val="top"/>
            <w:tcMar/>
            <w:tcBorders>
              <w:left w:val="single" w:sz="4" w:space="0" w:color="000000"/>
              <w:top w:val="single" w:sz="4" w:space="0" w:color="000000"/>
            </w:tcBorders>
          </w:tcPr>
          <w:p>
            <w:pPr>
              <w:autoSpaceDE w:val="0"/>
              <w:autoSpaceDN w:val="0"/>
              <w:jc w:val="left"/>
              <w:spacing w:before="57" w:after="0" w:lineRule="auto" w:line="240"/>
              <w:ind w:right="0" w:left="2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1 555</w:t>
            </w:r>
          </w:p>
        </w:tc>
        <w:tc>
          <w:tcPr>
            <w:tcW w:w="1079" w:type="dxa"/>
            <w:gridSpan w:val="1"/>
            <w:vAlign w:val="top"/>
            <w:tcMar/>
            <w:tcBorders>
              <w:left w:val="single" w:sz="4" w:space="0" w:color="000000"/>
              <w:top w:val="single" w:sz="4" w:space="0" w:color="000000"/>
            </w:tcBorders>
          </w:tcPr>
          <w:p>
            <w:pPr>
              <w:autoSpaceDE w:val="0"/>
              <w:autoSpaceDN w:val="0"/>
              <w:jc w:val="left"/>
              <w:spacing w:before="57"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29.54</w:t>
            </w:r>
          </w:p>
        </w:tc>
        <w:tc>
          <w:tcPr>
            <w:tcW w:w="850" w:type="dxa"/>
            <w:gridSpan w:val="1"/>
            <w:vAlign w:val="top"/>
            <w:tcMar/>
            <w:tcBorders>
              <w:left w:val="single" w:sz="4" w:space="0" w:color="000000"/>
              <w:top w:val="single" w:sz="4" w:space="0" w:color="000000"/>
            </w:tcBorders>
          </w:tcPr>
          <w:p>
            <w:pPr>
              <w:autoSpaceDE w:val="0"/>
              <w:autoSpaceDN w:val="0"/>
              <w:jc w:val="left"/>
              <w:spacing w:before="57"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84</w:t>
            </w:r>
          </w:p>
        </w:tc>
        <w:tc>
          <w:tcPr>
            <w:tcW w:w="849" w:type="dxa"/>
            <w:gridSpan w:val="1"/>
            <w:vAlign w:val="top"/>
            <w:tcMar/>
            <w:tcBorders>
              <w:left w:val="single" w:sz="4" w:space="0" w:color="000000"/>
              <w:top w:val="single" w:sz="4" w:space="0" w:color="000000"/>
            </w:tcBorders>
          </w:tcPr>
          <w:p>
            <w:pPr>
              <w:autoSpaceDE w:val="0"/>
              <w:autoSpaceDN w:val="0"/>
              <w:jc w:val="left"/>
              <w:spacing w:before="57" w:after="0" w:lineRule="auto" w:line="240"/>
              <w:ind w:right="0" w:left="297" w:firstLine="0"/>
              <w:snapToGrid w:val="0"/>
              <w:textAlignment w:val="auto"/>
              <w:tabs>
                <w:tab w:val="left" w:leader="none" w:pos="415"/>
              </w:tabs>
              <w:numPr>
                <w:ilvl w:val="0"/>
                <w:numId w:val="171"/>
              </w:numPr>
              <w:rPr>
                <w:rFonts w:ascii="Times New Roman" w:hAnsi="Times New Roman" w:cs="Times New Roman" w:eastAsia="Times New Roman" w:hint="ascii"/>
                <w:sz w:val="15"/>
              </w:rPr>
            </w:pPr>
            <w:r>
              <w:rPr>
                <w:rFonts w:ascii="Times New Roman" w:hAnsi="Times New Roman" w:cs="Times New Roman" w:eastAsia="Times New Roman" w:hint="ascii"/>
                <w:sz w:val="15"/>
              </w:rPr>
              <w:t>069</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7"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29.68</w:t>
            </w:r>
          </w:p>
        </w:tc>
      </w:tr>
      <w:tr>
        <w:trPr>
          <w:trHeight w:val="277"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42"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生物力学</w:t>
            </w:r>
          </w:p>
        </w:tc>
        <w:tc>
          <w:tcPr>
            <w:tcW w:w="85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4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446</w:t>
            </w:r>
          </w:p>
        </w:tc>
        <w:tc>
          <w:tcPr>
            <w:tcW w:w="107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29.85</w:t>
            </w:r>
          </w:p>
        </w:tc>
        <w:tc>
          <w:tcPr>
            <w:tcW w:w="85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w:t>
            </w:r>
          </w:p>
        </w:tc>
        <w:tc>
          <w:tcPr>
            <w:tcW w:w="84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1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547</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28.95</w:t>
            </w:r>
          </w:p>
        </w:tc>
      </w:tr>
      <w:tr>
        <w:trPr>
          <w:trHeight w:val="518"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43" w:after="0" w:lineRule="exact" w:line="188"/>
              <w:ind w:right="0" w:left="273" w:firstLine="0"/>
              <w:snapToGrid w:val="0"/>
              <w:textAlignment w:val="auto"/>
              <w:tabs/>
              <w:rPr>
                <w:rFonts w:ascii="宋体" w:hAnsi="宋体" w:cs="宋体" w:eastAsia="宋体" w:hint="ascii"/>
                <w:sz w:val="15"/>
              </w:rPr>
            </w:pPr>
            <w:r>
              <w:rPr>
                <w:rFonts w:ascii="宋体" w:hAnsi="宋体" w:cs="宋体" w:eastAsia="宋体" w:hint="ascii"/>
                <w:sz w:val="15"/>
              </w:rPr>
              <w:t>爆炸与冲击</w:t>
            </w:r>
          </w:p>
          <w:p>
            <w:pPr>
              <w:autoSpaceDE w:val="0"/>
              <w:autoSpaceDN w:val="0"/>
              <w:jc w:val="left"/>
              <w:spacing w:before="53" w:after="0" w:lineRule="exact" w:line="188"/>
              <w:ind w:right="0" w:left="423" w:firstLine="0"/>
              <w:snapToGrid w:val="0"/>
              <w:textAlignment w:val="auto"/>
              <w:tabs/>
              <w:rPr>
                <w:rFonts w:ascii="宋体" w:hAnsi="宋体" w:cs="宋体" w:eastAsia="宋体" w:hint="ascii"/>
                <w:sz w:val="15"/>
              </w:rPr>
            </w:pPr>
            <w:r>
              <w:rPr>
                <w:rFonts w:ascii="宋体" w:hAnsi="宋体" w:cs="宋体" w:eastAsia="宋体" w:hint="ascii"/>
                <w:sz w:val="15"/>
              </w:rPr>
              <w:t>动力学</w:t>
            </w:r>
          </w:p>
        </w:tc>
        <w:tc>
          <w:tcPr>
            <w:tcW w:w="850"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443" w:firstLine="0"/>
              <w:snapToGrid w:val="0"/>
              <w:textAlignment w:val="auto"/>
              <w:tabs>
                <w:tab w:val="left" w:leader="none" w:pos="415"/>
              </w:tabs>
              <w:numPr>
                <w:ilvl w:val="0"/>
                <w:numId w:val="172"/>
              </w:numPr>
              <w:rPr>
                <w:rFonts w:ascii="Times New Roman" w:hAnsi="Times New Roman" w:cs="Times New Roman" w:eastAsia="Times New Roman" w:hint="ascii"/>
                <w:sz w:val="15"/>
                <w:spacing w:val="1"/>
              </w:rPr>
            </w:pPr>
            <w:r>
              <w:rPr>
                <w:rFonts w:ascii="宋体" w:hAnsi="宋体" w:cs="宋体" w:eastAsia="宋体" w:hint="ascii"/>
                <w:sz w:val="15"/>
              </w:rPr>
              <w:t xml:space="preserve"> </w:t>
            </w:r>
          </w:p>
        </w:tc>
        <w:tc>
          <w:tcPr>
            <w:tcW w:w="849"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34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887</w:t>
            </w:r>
          </w:p>
        </w:tc>
        <w:tc>
          <w:tcPr>
            <w:tcW w:w="1079"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30.08</w:t>
            </w:r>
          </w:p>
        </w:tc>
        <w:tc>
          <w:tcPr>
            <w:tcW w:w="850"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443" w:firstLine="0"/>
              <w:snapToGrid w:val="0"/>
              <w:textAlignment w:val="auto"/>
              <w:tabs>
                <w:tab w:val="left" w:leader="none" w:pos="415"/>
              </w:tabs>
              <w:numPr>
                <w:ilvl w:val="0"/>
                <w:numId w:val="17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849"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29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1 044</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7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29.71</w:t>
            </w:r>
          </w:p>
        </w:tc>
      </w:tr>
      <w:tr>
        <w:trPr>
          <w:trHeight w:val="323" w:hRule="exact"/>
          <w:cantSplit w:val="1"/>
        </w:trPr>
        <w:tc>
          <w:tcPr>
            <w:tcW w:w="1074" w:type="dxa"/>
            <w:gridSpan w:val="1"/>
            <w:vAlign w:val="top"/>
            <w:vMerge w:val="restart"/>
            <w:tcMar/>
            <w:tcBorders>
              <w:top w:val="single" w:sz="4" w:space="0" w:color="000000"/>
            </w:tcBorders>
          </w:tcPr>
          <w:p>
            <w:pPr>
              <w:autoSpaceDE w:val="0"/>
              <w:autoSpaceDN w:val="0"/>
              <w:jc w:val="left"/>
              <w:spacing w:before="324"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天文科学处</w:t>
            </w:r>
          </w:p>
        </w:tc>
        <w:tc>
          <w:tcPr>
            <w:tcW w:w="1307" w:type="dxa"/>
            <w:gridSpan w:val="1"/>
            <w:vAlign w:val="top"/>
            <w:tcMar/>
            <w:tcBorders>
              <w:left w:val="single" w:sz="4" w:space="0" w:color="000000"/>
              <w:top w:val="single" w:sz="4" w:space="0" w:color="000000"/>
            </w:tcBorders>
          </w:tcPr>
          <w:p>
            <w:pPr>
              <w:autoSpaceDE w:val="0"/>
              <w:autoSpaceDN w:val="0"/>
              <w:jc w:val="left"/>
              <w:spacing w:before="65"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天体物理</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4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868</w:t>
            </w:r>
          </w:p>
        </w:tc>
        <w:tc>
          <w:tcPr>
            <w:tcW w:w="107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29.92</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43</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9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1 161</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31.16</w:t>
            </w:r>
          </w:p>
        </w:tc>
      </w:tr>
      <w:tr>
        <w:trPr>
          <w:trHeight w:val="518"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43"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基本天文和技术</w:t>
            </w:r>
          </w:p>
          <w:p>
            <w:pPr>
              <w:autoSpaceDE w:val="0"/>
              <w:autoSpaceDN w:val="0"/>
              <w:jc w:val="left"/>
              <w:spacing w:before="53" w:after="0" w:lineRule="exact" w:line="188"/>
              <w:ind w:right="0" w:left="499" w:firstLine="0"/>
              <w:snapToGrid w:val="0"/>
              <w:textAlignment w:val="auto"/>
              <w:tabs/>
              <w:rPr>
                <w:rFonts w:ascii="宋体" w:hAnsi="宋体" w:cs="宋体" w:eastAsia="宋体" w:hint="ascii"/>
                <w:sz w:val="15"/>
              </w:rPr>
            </w:pPr>
            <w:r>
              <w:rPr>
                <w:rFonts w:ascii="宋体" w:hAnsi="宋体" w:cs="宋体" w:eastAsia="宋体" w:hint="ascii"/>
                <w:sz w:val="15"/>
              </w:rPr>
              <w:t>方法</w:t>
            </w:r>
          </w:p>
        </w:tc>
        <w:tc>
          <w:tcPr>
            <w:tcW w:w="850"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45</w:t>
            </w:r>
          </w:p>
        </w:tc>
        <w:tc>
          <w:tcPr>
            <w:tcW w:w="849"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34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992</w:t>
            </w:r>
          </w:p>
        </w:tc>
        <w:tc>
          <w:tcPr>
            <w:tcW w:w="1079"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29.41</w:t>
            </w:r>
          </w:p>
        </w:tc>
        <w:tc>
          <w:tcPr>
            <w:tcW w:w="850"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55</w:t>
            </w:r>
          </w:p>
        </w:tc>
        <w:tc>
          <w:tcPr>
            <w:tcW w:w="849" w:type="dxa"/>
            <w:gridSpan w:val="1"/>
            <w:vAlign w:val="top"/>
            <w:tcMar/>
            <w:tcBorders>
              <w:left w:val="single" w:sz="4" w:space="0" w:color="000000"/>
              <w:top w:val="single" w:sz="4" w:space="0" w:color="000000"/>
            </w:tcBorders>
          </w:tcPr>
          <w:p>
            <w:pPr>
              <w:autoSpaceDE w:val="0"/>
              <w:autoSpaceDN w:val="0"/>
              <w:jc w:val="left"/>
              <w:spacing w:before="173" w:after="0" w:lineRule="auto" w:line="240"/>
              <w:ind w:right="0" w:left="29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1 400</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7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28.95</w:t>
            </w:r>
          </w:p>
        </w:tc>
      </w:tr>
      <w:tr>
        <w:trPr>
          <w:trHeight w:val="323" w:hRule="exact"/>
          <w:cantSplit w:val="1"/>
        </w:trPr>
        <w:tc>
          <w:tcPr>
            <w:tcW w:w="1074" w:type="dxa"/>
            <w:gridSpan w:val="1"/>
            <w:vAlign w:val="top"/>
            <w:vMerge w:val="restart"/>
            <w:tcMar/>
            <w:tcBorders>
              <w:top w:val="single" w:sz="4" w:space="0" w:color="000000"/>
            </w:tcBorders>
          </w:tcPr>
          <w:p>
            <w:pPr>
              <w:autoSpaceDE w:val="0"/>
              <w:autoSpaceDN w:val="0"/>
              <w:jc w:val="left"/>
              <w:spacing w:before="639" w:after="0" w:lineRule="exact" w:line="188"/>
              <w:ind w:right="0" w:left="76" w:firstLine="0"/>
              <w:snapToGrid w:val="0"/>
              <w:textAlignment w:val="auto"/>
              <w:tabs/>
              <w:rPr>
                <w:rFonts w:ascii="宋体" w:hAnsi="宋体" w:cs="宋体" w:eastAsia="宋体" w:hint="ascii"/>
                <w:sz w:val="15"/>
              </w:rPr>
            </w:pPr>
            <w:r>
              <w:rPr>
                <w:rFonts w:ascii="宋体" w:hAnsi="宋体" w:cs="宋体" w:eastAsia="宋体" w:hint="ascii"/>
                <w:sz w:val="15"/>
              </w:rPr>
              <w:t>物理科学一处</w:t>
            </w:r>
          </w:p>
        </w:tc>
        <w:tc>
          <w:tcPr>
            <w:tcW w:w="1307" w:type="dxa"/>
            <w:gridSpan w:val="1"/>
            <w:vAlign w:val="top"/>
            <w:tcMar/>
            <w:tcBorders>
              <w:left w:val="single" w:sz="4" w:space="0" w:color="000000"/>
              <w:top w:val="single" w:sz="4" w:space="0" w:color="000000"/>
            </w:tcBorders>
          </w:tcPr>
          <w:p>
            <w:pPr>
              <w:autoSpaceDE w:val="0"/>
              <w:autoSpaceDN w:val="0"/>
              <w:jc w:val="left"/>
              <w:spacing w:before="65" w:after="0" w:lineRule="exact" w:line="188"/>
              <w:ind w:right="0" w:left="273" w:firstLine="0"/>
              <w:snapToGrid w:val="0"/>
              <w:textAlignment w:val="auto"/>
              <w:tabs/>
              <w:rPr>
                <w:rFonts w:ascii="宋体" w:hAnsi="宋体" w:cs="宋体" w:eastAsia="宋体" w:hint="ascii"/>
                <w:sz w:val="15"/>
              </w:rPr>
            </w:pPr>
            <w:r>
              <w:rPr>
                <w:rFonts w:ascii="宋体" w:hAnsi="宋体" w:cs="宋体" w:eastAsia="宋体" w:hint="ascii"/>
                <w:sz w:val="15"/>
              </w:rPr>
              <w:t>凝聚态物理</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36" w:firstLine="0"/>
              <w:snapToGrid w:val="0"/>
              <w:textAlignment w:val="auto"/>
              <w:tabs>
                <w:tab w:val="left" w:leader="none" w:pos="354"/>
              </w:tabs>
              <w:numPr>
                <w:ilvl w:val="0"/>
                <w:numId w:val="170"/>
              </w:numPr>
              <w:rPr>
                <w:rFonts w:ascii="Times New Roman" w:hAnsi="Times New Roman" w:cs="Times New Roman" w:eastAsia="Times New Roman" w:hint="ascii"/>
                <w:sz w:val="15"/>
              </w:rPr>
            </w:pPr>
            <w:r>
              <w:rPr>
                <w:rFonts w:ascii="Times New Roman" w:hAnsi="Times New Roman" w:cs="Times New Roman" w:eastAsia="Times New Roman" w:hint="ascii"/>
                <w:sz w:val="15"/>
              </w:rPr>
              <w:t>284.50</w:t>
            </w:r>
          </w:p>
        </w:tc>
        <w:tc>
          <w:tcPr>
            <w:tcW w:w="107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29.73</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97" w:firstLine="0"/>
              <w:snapToGrid w:val="0"/>
              <w:textAlignment w:val="auto"/>
              <w:tabs>
                <w:tab w:val="left" w:leader="none" w:pos="415"/>
              </w:tabs>
              <w:numPr>
                <w:ilvl w:val="0"/>
                <w:numId w:val="170"/>
              </w:numPr>
              <w:rPr>
                <w:rFonts w:ascii="Times New Roman" w:hAnsi="Times New Roman" w:cs="Times New Roman" w:eastAsia="Times New Roman" w:hint="ascii"/>
                <w:sz w:val="15"/>
              </w:rPr>
            </w:pPr>
            <w:r>
              <w:rPr>
                <w:rFonts w:ascii="Times New Roman" w:hAnsi="Times New Roman" w:cs="Times New Roman" w:eastAsia="Times New Roman" w:hint="ascii"/>
                <w:sz w:val="15"/>
              </w:rPr>
              <w:t>070</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29.58</w:t>
            </w:r>
          </w:p>
        </w:tc>
      </w:tr>
      <w:tr>
        <w:trPr>
          <w:trHeight w:val="503"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原子与分子物理</w:t>
            </w:r>
          </w:p>
        </w:tc>
        <w:tc>
          <w:tcPr>
            <w:tcW w:w="850"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w:t>
            </w:r>
          </w:p>
        </w:tc>
        <w:tc>
          <w:tcPr>
            <w:tcW w:w="849"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236" w:firstLine="0"/>
              <w:snapToGrid w:val="0"/>
              <w:textAlignment w:val="auto"/>
              <w:tabs>
                <w:tab w:val="left" w:leader="none" w:pos="354"/>
              </w:tabs>
              <w:numPr>
                <w:ilvl w:val="0"/>
                <w:numId w:val="173"/>
              </w:numPr>
              <w:rPr>
                <w:rFonts w:ascii="Times New Roman" w:hAnsi="Times New Roman" w:cs="Times New Roman" w:eastAsia="Times New Roman" w:hint="ascii"/>
                <w:sz w:val="15"/>
              </w:rPr>
            </w:pPr>
            <w:r>
              <w:rPr>
                <w:rFonts w:ascii="Times New Roman" w:hAnsi="Times New Roman" w:cs="Times New Roman" w:eastAsia="Times New Roman" w:hint="ascii"/>
                <w:sz w:val="15"/>
              </w:rPr>
              <w:t>050.50</w:t>
            </w:r>
          </w:p>
        </w:tc>
        <w:tc>
          <w:tcPr>
            <w:tcW w:w="1079"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30.19</w:t>
            </w:r>
          </w:p>
        </w:tc>
        <w:tc>
          <w:tcPr>
            <w:tcW w:w="850"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w:t>
            </w:r>
          </w:p>
        </w:tc>
        <w:tc>
          <w:tcPr>
            <w:tcW w:w="849"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297" w:firstLine="0"/>
              <w:snapToGrid w:val="0"/>
              <w:textAlignment w:val="auto"/>
              <w:tabs>
                <w:tab w:val="left" w:leader="none" w:pos="415"/>
              </w:tabs>
              <w:numPr>
                <w:ilvl w:val="0"/>
                <w:numId w:val="174"/>
              </w:numPr>
              <w:rPr>
                <w:rFonts w:ascii="Times New Roman" w:hAnsi="Times New Roman" w:cs="Times New Roman" w:eastAsia="Times New Roman" w:hint="ascii"/>
                <w:sz w:val="15"/>
              </w:rPr>
            </w:pPr>
            <w:r>
              <w:rPr>
                <w:rFonts w:ascii="Times New Roman" w:hAnsi="Times New Roman" w:cs="Times New Roman" w:eastAsia="Times New Roman" w:hint="ascii"/>
                <w:sz w:val="15"/>
              </w:rPr>
              <w:t>208</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6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29.52</w:t>
            </w:r>
          </w:p>
        </w:tc>
      </w:tr>
      <w:tr>
        <w:trPr>
          <w:trHeight w:val="323"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65" w:after="0" w:lineRule="exact" w:line="188"/>
              <w:ind w:right="0" w:left="499" w:firstLine="0"/>
              <w:snapToGrid w:val="0"/>
              <w:textAlignment w:val="auto"/>
              <w:tabs/>
              <w:rPr>
                <w:rFonts w:ascii="宋体" w:hAnsi="宋体" w:cs="宋体" w:eastAsia="宋体" w:hint="ascii"/>
                <w:sz w:val="15"/>
              </w:rPr>
            </w:pPr>
            <w:r>
              <w:rPr>
                <w:rFonts w:ascii="宋体" w:hAnsi="宋体" w:cs="宋体" w:eastAsia="宋体" w:hint="ascii"/>
                <w:sz w:val="15"/>
              </w:rPr>
              <w:t>光学</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125</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36" w:firstLine="0"/>
              <w:snapToGrid w:val="0"/>
              <w:textAlignment w:val="auto"/>
              <w:tabs>
                <w:tab w:val="left" w:leader="none" w:pos="354"/>
              </w:tabs>
              <w:numPr>
                <w:ilvl w:val="0"/>
                <w:numId w:val="173"/>
              </w:numPr>
              <w:rPr>
                <w:rFonts w:ascii="Times New Roman" w:hAnsi="Times New Roman" w:cs="Times New Roman" w:eastAsia="Times New Roman" w:hint="ascii"/>
                <w:sz w:val="15"/>
              </w:rPr>
            </w:pPr>
            <w:r>
              <w:rPr>
                <w:rFonts w:ascii="Times New Roman" w:hAnsi="Times New Roman" w:cs="Times New Roman" w:eastAsia="Times New Roman" w:hint="ascii"/>
                <w:sz w:val="15"/>
              </w:rPr>
              <w:t>785.00</w:t>
            </w:r>
          </w:p>
        </w:tc>
        <w:tc>
          <w:tcPr>
            <w:tcW w:w="107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29.76</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145</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97" w:firstLine="0"/>
              <w:snapToGrid w:val="0"/>
              <w:textAlignment w:val="auto"/>
              <w:tabs>
                <w:tab w:val="left" w:leader="none" w:pos="415"/>
              </w:tabs>
              <w:numPr>
                <w:ilvl w:val="0"/>
                <w:numId w:val="171"/>
              </w:numPr>
              <w:rPr>
                <w:rFonts w:ascii="Times New Roman" w:hAnsi="Times New Roman" w:cs="Times New Roman" w:eastAsia="Times New Roman" w:hint="ascii"/>
                <w:sz w:val="15"/>
              </w:rPr>
            </w:pPr>
            <w:r>
              <w:rPr>
                <w:rFonts w:ascii="Times New Roman" w:hAnsi="Times New Roman" w:cs="Times New Roman" w:eastAsia="Times New Roman" w:hint="ascii"/>
                <w:sz w:val="15"/>
              </w:rPr>
              <w:t>575</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29.65</w:t>
            </w:r>
          </w:p>
        </w:tc>
      </w:tr>
      <w:tr>
        <w:trPr>
          <w:trHeight w:val="324"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66" w:after="0" w:lineRule="exact" w:line="188"/>
              <w:ind w:right="0" w:left="499" w:firstLine="0"/>
              <w:snapToGrid w:val="0"/>
              <w:textAlignment w:val="auto"/>
              <w:tabs/>
              <w:rPr>
                <w:rFonts w:ascii="宋体" w:hAnsi="宋体" w:cs="宋体" w:eastAsia="宋体" w:hint="ascii"/>
                <w:sz w:val="15"/>
              </w:rPr>
            </w:pPr>
            <w:r>
              <w:rPr>
                <w:rFonts w:ascii="宋体" w:hAnsi="宋体" w:cs="宋体" w:eastAsia="宋体" w:hint="ascii"/>
                <w:sz w:val="15"/>
              </w:rPr>
              <w:t>声学</w:t>
            </w:r>
          </w:p>
        </w:tc>
        <w:tc>
          <w:tcPr>
            <w:tcW w:w="85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w:t>
            </w:r>
          </w:p>
        </w:tc>
        <w:tc>
          <w:tcPr>
            <w:tcW w:w="84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610.00</w:t>
            </w:r>
          </w:p>
        </w:tc>
        <w:tc>
          <w:tcPr>
            <w:tcW w:w="107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30.34</w:t>
            </w:r>
          </w:p>
        </w:tc>
        <w:tc>
          <w:tcPr>
            <w:tcW w:w="850"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w:t>
            </w:r>
          </w:p>
        </w:tc>
        <w:tc>
          <w:tcPr>
            <w:tcW w:w="849" w:type="dxa"/>
            <w:gridSpan w:val="1"/>
            <w:vAlign w:val="top"/>
            <w:tcMar/>
            <w:tcBorders>
              <w:left w:val="single" w:sz="4" w:space="0" w:color="000000"/>
              <w:top w:val="single" w:sz="4" w:space="0" w:color="000000"/>
            </w:tcBorders>
          </w:tcPr>
          <w:p>
            <w:pPr>
              <w:autoSpaceDE w:val="0"/>
              <w:autoSpaceDN w:val="0"/>
              <w:jc w:val="left"/>
              <w:spacing w:before="76" w:after="0" w:lineRule="auto" w:line="240"/>
              <w:ind w:right="0" w:left="41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649</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30.34</w:t>
            </w:r>
          </w:p>
        </w:tc>
      </w:tr>
      <w:tr>
        <w:trPr>
          <w:trHeight w:val="517" w:hRule="exact"/>
          <w:cantSplit w:val="1"/>
        </w:trPr>
        <w:tc>
          <w:tcPr>
            <w:tcW w:w="1074" w:type="dxa"/>
            <w:gridSpan w:val="1"/>
            <w:vAlign w:val="top"/>
            <w:vMerge w:val="restart"/>
            <w:tcMar/>
            <w:tcBorders>
              <w:top w:val="single" w:sz="4" w:space="0" w:color="000000"/>
            </w:tcBorders>
          </w:tcPr>
          <w:p>
            <w:pPr>
              <w:autoSpaceDE w:val="0"/>
              <w:autoSpaceDN w:val="0"/>
              <w:jc w:val="left"/>
              <w:spacing w:before="1141" w:after="0" w:lineRule="exact" w:line="188"/>
              <w:ind w:right="0" w:left="76" w:firstLine="0"/>
              <w:snapToGrid w:val="0"/>
              <w:textAlignment w:val="auto"/>
              <w:tabs/>
              <w:rPr>
                <w:rFonts w:ascii="宋体" w:hAnsi="宋体" w:cs="宋体" w:eastAsia="宋体" w:hint="ascii"/>
                <w:sz w:val="15"/>
              </w:rPr>
            </w:pPr>
            <w:r>
              <w:rPr>
                <w:rFonts w:ascii="宋体" w:hAnsi="宋体" w:cs="宋体" w:eastAsia="宋体" w:hint="ascii"/>
                <w:sz w:val="15"/>
              </w:rPr>
              <w:t>物理科学二处</w:t>
            </w:r>
          </w:p>
        </w:tc>
        <w:tc>
          <w:tcPr>
            <w:tcW w:w="1307" w:type="dxa"/>
            <w:gridSpan w:val="1"/>
            <w:vAlign w:val="top"/>
            <w:tcMar/>
            <w:tcBorders>
              <w:left w:val="single" w:sz="4" w:space="0" w:color="000000"/>
              <w:top w:val="single" w:sz="4" w:space="0" w:color="000000"/>
            </w:tcBorders>
          </w:tcPr>
          <w:p>
            <w:pPr>
              <w:autoSpaceDE w:val="0"/>
              <w:autoSpaceDN w:val="0"/>
              <w:jc w:val="left"/>
              <w:spacing w:before="42"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基础物理和粒子</w:t>
            </w:r>
          </w:p>
          <w:p>
            <w:pPr>
              <w:autoSpaceDE w:val="0"/>
              <w:autoSpaceDN w:val="0"/>
              <w:jc w:val="left"/>
              <w:spacing w:before="53" w:after="0" w:lineRule="exact" w:line="188"/>
              <w:ind w:right="0" w:left="499" w:firstLine="0"/>
              <w:snapToGrid w:val="0"/>
              <w:textAlignment w:val="auto"/>
              <w:tabs/>
              <w:rPr>
                <w:rFonts w:ascii="宋体" w:hAnsi="宋体" w:cs="宋体" w:eastAsia="宋体" w:hint="ascii"/>
                <w:sz w:val="15"/>
              </w:rPr>
            </w:pPr>
            <w:r>
              <w:rPr>
                <w:rFonts w:ascii="宋体" w:hAnsi="宋体" w:cs="宋体" w:eastAsia="宋体" w:hint="ascii"/>
                <w:sz w:val="15"/>
              </w:rPr>
              <w:t>物理</w:t>
            </w:r>
          </w:p>
        </w:tc>
        <w:tc>
          <w:tcPr>
            <w:tcW w:w="850" w:type="dxa"/>
            <w:gridSpan w:val="1"/>
            <w:vAlign w:val="top"/>
            <w:tcMar/>
            <w:tcBorders>
              <w:left w:val="single" w:sz="4" w:space="0" w:color="000000"/>
              <w:top w:val="single" w:sz="4" w:space="0" w:color="000000"/>
            </w:tcBorders>
          </w:tcPr>
          <w:p>
            <w:pPr>
              <w:autoSpaceDE w:val="0"/>
              <w:autoSpaceDN w:val="0"/>
              <w:jc w:val="left"/>
              <w:spacing w:before="17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w:t>
            </w:r>
          </w:p>
        </w:tc>
        <w:tc>
          <w:tcPr>
            <w:tcW w:w="849" w:type="dxa"/>
            <w:gridSpan w:val="1"/>
            <w:vAlign w:val="top"/>
            <w:tcMar/>
            <w:tcBorders>
              <w:left w:val="single" w:sz="4" w:space="0" w:color="000000"/>
              <w:top w:val="single" w:sz="4" w:space="0" w:color="000000"/>
            </w:tcBorders>
          </w:tcPr>
          <w:p>
            <w:pPr>
              <w:autoSpaceDE w:val="0"/>
              <w:autoSpaceDN w:val="0"/>
              <w:jc w:val="left"/>
              <w:spacing w:before="172" w:after="0" w:lineRule="auto" w:line="240"/>
              <w:ind w:right="0" w:left="2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1 532</w:t>
            </w:r>
          </w:p>
        </w:tc>
        <w:tc>
          <w:tcPr>
            <w:tcW w:w="1079" w:type="dxa"/>
            <w:gridSpan w:val="1"/>
            <w:vAlign w:val="top"/>
            <w:tcMar/>
            <w:tcBorders>
              <w:left w:val="single" w:sz="4" w:space="0" w:color="000000"/>
              <w:top w:val="single" w:sz="4" w:space="0" w:color="000000"/>
            </w:tcBorders>
          </w:tcPr>
          <w:p>
            <w:pPr>
              <w:autoSpaceDE w:val="0"/>
              <w:autoSpaceDN w:val="0"/>
              <w:jc w:val="left"/>
              <w:spacing w:before="172"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32.05</w:t>
            </w:r>
          </w:p>
        </w:tc>
        <w:tc>
          <w:tcPr>
            <w:tcW w:w="850" w:type="dxa"/>
            <w:gridSpan w:val="1"/>
            <w:vAlign w:val="top"/>
            <w:tcMar/>
            <w:tcBorders>
              <w:left w:val="single" w:sz="4" w:space="0" w:color="000000"/>
              <w:top w:val="single" w:sz="4" w:space="0" w:color="000000"/>
            </w:tcBorders>
          </w:tcPr>
          <w:p>
            <w:pPr>
              <w:autoSpaceDE w:val="0"/>
              <w:autoSpaceDN w:val="0"/>
              <w:jc w:val="left"/>
              <w:spacing w:before="17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69</w:t>
            </w:r>
          </w:p>
        </w:tc>
        <w:tc>
          <w:tcPr>
            <w:tcW w:w="849" w:type="dxa"/>
            <w:gridSpan w:val="1"/>
            <w:vAlign w:val="top"/>
            <w:tcMar/>
            <w:tcBorders>
              <w:left w:val="single" w:sz="4" w:space="0" w:color="000000"/>
              <w:top w:val="single" w:sz="4" w:space="0" w:color="000000"/>
            </w:tcBorders>
          </w:tcPr>
          <w:p>
            <w:pPr>
              <w:autoSpaceDE w:val="0"/>
              <w:autoSpaceDN w:val="0"/>
              <w:jc w:val="left"/>
              <w:spacing w:before="172" w:after="0" w:lineRule="auto" w:line="240"/>
              <w:ind w:right="0" w:left="297" w:firstLine="0"/>
              <w:snapToGrid w:val="0"/>
              <w:textAlignment w:val="auto"/>
              <w:tabs>
                <w:tab w:val="left" w:leader="none" w:pos="415"/>
              </w:tabs>
              <w:numPr>
                <w:ilvl w:val="0"/>
                <w:numId w:val="175"/>
              </w:numPr>
              <w:rPr>
                <w:rFonts w:ascii="Times New Roman" w:hAnsi="Times New Roman" w:cs="Times New Roman" w:eastAsia="Times New Roman" w:hint="ascii"/>
                <w:sz w:val="15"/>
              </w:rPr>
            </w:pPr>
            <w:r>
              <w:rPr>
                <w:rFonts w:ascii="Times New Roman" w:hAnsi="Times New Roman" w:cs="Times New Roman" w:eastAsia="Times New Roman" w:hint="ascii"/>
                <w:sz w:val="15"/>
              </w:rPr>
              <w:t>639</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7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29.74</w:t>
            </w:r>
          </w:p>
        </w:tc>
      </w:tr>
      <w:tr>
        <w:trPr>
          <w:trHeight w:val="728"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147"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核物理与核技术</w:t>
            </w:r>
          </w:p>
          <w:p>
            <w:pPr>
              <w:autoSpaceDE w:val="0"/>
              <w:autoSpaceDN w:val="0"/>
              <w:jc w:val="left"/>
              <w:spacing w:before="53"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及其应用</w:t>
            </w:r>
          </w:p>
        </w:tc>
        <w:tc>
          <w:tcPr>
            <w:tcW w:w="850"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81</w:t>
            </w:r>
          </w:p>
        </w:tc>
        <w:tc>
          <w:tcPr>
            <w:tcW w:w="849"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2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1 820</w:t>
            </w:r>
          </w:p>
        </w:tc>
        <w:tc>
          <w:tcPr>
            <w:tcW w:w="1079"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28.62</w:t>
            </w:r>
          </w:p>
        </w:tc>
        <w:tc>
          <w:tcPr>
            <w:tcW w:w="850"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79</w:t>
            </w:r>
          </w:p>
        </w:tc>
        <w:tc>
          <w:tcPr>
            <w:tcW w:w="849"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297" w:firstLine="0"/>
              <w:snapToGrid w:val="0"/>
              <w:textAlignment w:val="auto"/>
              <w:tabs>
                <w:tab w:val="left" w:leader="none" w:pos="415"/>
              </w:tabs>
              <w:numPr>
                <w:ilvl w:val="0"/>
                <w:numId w:val="175"/>
              </w:numPr>
              <w:rPr>
                <w:rFonts w:ascii="Times New Roman" w:hAnsi="Times New Roman" w:cs="Times New Roman" w:eastAsia="Times New Roman" w:hint="ascii"/>
                <w:sz w:val="15"/>
              </w:rPr>
            </w:pPr>
            <w:r>
              <w:rPr>
                <w:rFonts w:ascii="Times New Roman" w:hAnsi="Times New Roman" w:cs="Times New Roman" w:eastAsia="Times New Roman" w:hint="ascii"/>
                <w:sz w:val="15"/>
              </w:rPr>
              <w:t>034</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77"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29.15</w:t>
            </w:r>
          </w:p>
        </w:tc>
      </w:tr>
      <w:tr>
        <w:trPr>
          <w:trHeight w:val="728"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147" w:after="0" w:lineRule="exact" w:line="188"/>
              <w:ind w:right="0" w:left="123" w:firstLine="0"/>
              <w:snapToGrid w:val="0"/>
              <w:textAlignment w:val="auto"/>
              <w:tabs/>
              <w:rPr>
                <w:rFonts w:ascii="宋体" w:hAnsi="宋体" w:cs="宋体" w:eastAsia="宋体" w:hint="ascii"/>
                <w:sz w:val="15"/>
              </w:rPr>
            </w:pPr>
            <w:r>
              <w:rPr>
                <w:rFonts w:ascii="宋体" w:hAnsi="宋体" w:cs="宋体" w:eastAsia="宋体" w:hint="ascii"/>
                <w:sz w:val="15"/>
              </w:rPr>
              <w:t>粒子物理与核物</w:t>
            </w:r>
          </w:p>
          <w:p>
            <w:pPr>
              <w:autoSpaceDE w:val="0"/>
              <w:autoSpaceDN w:val="0"/>
              <w:jc w:val="left"/>
              <w:spacing w:before="53" w:after="0" w:lineRule="exact" w:line="188"/>
              <w:ind w:right="0" w:left="273" w:firstLine="0"/>
              <w:snapToGrid w:val="0"/>
              <w:textAlignment w:val="auto"/>
              <w:tabs/>
              <w:rPr>
                <w:rFonts w:ascii="宋体" w:hAnsi="宋体" w:cs="宋体" w:eastAsia="宋体" w:hint="ascii"/>
                <w:sz w:val="15"/>
              </w:rPr>
            </w:pPr>
            <w:r>
              <w:rPr>
                <w:rFonts w:ascii="宋体" w:hAnsi="宋体" w:cs="宋体" w:eastAsia="宋体" w:hint="ascii"/>
                <w:sz w:val="15"/>
              </w:rPr>
              <w:t>理实验设备</w:t>
            </w:r>
          </w:p>
        </w:tc>
        <w:tc>
          <w:tcPr>
            <w:tcW w:w="850"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83</w:t>
            </w:r>
          </w:p>
        </w:tc>
        <w:tc>
          <w:tcPr>
            <w:tcW w:w="849"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2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1 924</w:t>
            </w:r>
          </w:p>
        </w:tc>
        <w:tc>
          <w:tcPr>
            <w:tcW w:w="1079"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28.72</w:t>
            </w:r>
          </w:p>
        </w:tc>
        <w:tc>
          <w:tcPr>
            <w:tcW w:w="850"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82</w:t>
            </w:r>
          </w:p>
        </w:tc>
        <w:tc>
          <w:tcPr>
            <w:tcW w:w="849" w:type="dxa"/>
            <w:gridSpan w:val="1"/>
            <w:vAlign w:val="top"/>
            <w:tcMar/>
            <w:tcBorders>
              <w:left w:val="single" w:sz="4" w:space="0" w:color="000000"/>
              <w:top w:val="single" w:sz="4" w:space="0" w:color="000000"/>
            </w:tcBorders>
          </w:tcPr>
          <w:p>
            <w:pPr>
              <w:autoSpaceDE w:val="0"/>
              <w:autoSpaceDN w:val="0"/>
              <w:jc w:val="left"/>
              <w:spacing w:before="277" w:after="0" w:lineRule="auto" w:line="240"/>
              <w:ind w:right="0" w:left="297" w:firstLine="0"/>
              <w:snapToGrid w:val="0"/>
              <w:textAlignment w:val="auto"/>
              <w:tabs>
                <w:tab w:val="left" w:leader="none" w:pos="415"/>
              </w:tabs>
              <w:numPr>
                <w:ilvl w:val="0"/>
                <w:numId w:val="174"/>
              </w:numPr>
              <w:rPr>
                <w:rFonts w:ascii="Times New Roman" w:hAnsi="Times New Roman" w:cs="Times New Roman" w:eastAsia="Times New Roman" w:hint="ascii"/>
                <w:sz w:val="15"/>
              </w:rPr>
            </w:pPr>
            <w:r>
              <w:rPr>
                <w:rFonts w:ascii="Times New Roman" w:hAnsi="Times New Roman" w:cs="Times New Roman" w:eastAsia="Times New Roman" w:hint="ascii"/>
                <w:sz w:val="15"/>
              </w:rPr>
              <w:t>084</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77"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29.18</w:t>
            </w:r>
          </w:p>
        </w:tc>
      </w:tr>
      <w:tr>
        <w:trPr>
          <w:trHeight w:val="503" w:hRule="exact"/>
          <w:cantSplit w:val="1"/>
        </w:trPr>
        <w:tc>
          <w:tcPr>
            <w:tcW w:w="1074"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307"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99" w:firstLine="0"/>
              <w:snapToGrid w:val="0"/>
              <w:textAlignment w:val="auto"/>
              <w:tabs/>
              <w:rPr>
                <w:rFonts w:ascii="宋体" w:hAnsi="宋体" w:cs="宋体" w:eastAsia="宋体" w:hint="ascii"/>
                <w:sz w:val="15"/>
              </w:rPr>
            </w:pPr>
            <w:r>
              <w:rPr>
                <w:rFonts w:ascii="宋体" w:hAnsi="宋体" w:cs="宋体" w:eastAsia="宋体" w:hint="ascii"/>
                <w:sz w:val="15"/>
              </w:rPr>
              <w:t>等离子体物理</w:t>
            </w:r>
          </w:p>
        </w:tc>
        <w:tc>
          <w:tcPr>
            <w:tcW w:w="850"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w:t>
            </w:r>
          </w:p>
        </w:tc>
        <w:tc>
          <w:tcPr>
            <w:tcW w:w="849"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2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1 289</w:t>
            </w:r>
          </w:p>
        </w:tc>
        <w:tc>
          <w:tcPr>
            <w:tcW w:w="1079"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30.69</w:t>
            </w:r>
          </w:p>
        </w:tc>
        <w:tc>
          <w:tcPr>
            <w:tcW w:w="850"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w:t>
            </w:r>
          </w:p>
        </w:tc>
        <w:tc>
          <w:tcPr>
            <w:tcW w:w="849" w:type="dxa"/>
            <w:gridSpan w:val="1"/>
            <w:vAlign w:val="top"/>
            <w:tcMar/>
            <w:tcBorders>
              <w:left w:val="single" w:sz="4" w:space="0" w:color="000000"/>
              <w:top w:val="single" w:sz="4" w:space="0" w:color="000000"/>
            </w:tcBorders>
          </w:tcPr>
          <w:p>
            <w:pPr>
              <w:autoSpaceDE w:val="0"/>
              <w:autoSpaceDN w:val="0"/>
              <w:jc w:val="left"/>
              <w:spacing w:before="165" w:after="0" w:lineRule="auto" w:line="240"/>
              <w:ind w:right="0" w:left="29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1 488</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6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30.93</w:t>
            </w:r>
          </w:p>
        </w:tc>
      </w:tr>
      <w:tr>
        <w:trPr>
          <w:trHeight w:val="323" w:hRule="exact"/>
          <w:cantSplit w:val="1"/>
        </w:trPr>
        <w:tc>
          <w:tcPr>
            <w:tcW w:w="2381" w:type="dxa"/>
            <w:gridSpan w:val="2"/>
            <w:vAlign w:val="top"/>
            <w:tcMar/>
            <w:tcBorders>
              <w:top w:val="single" w:sz="4" w:space="0" w:color="000000"/>
            </w:tcBorders>
          </w:tcPr>
          <w:p>
            <w:pPr>
              <w:autoSpaceDE w:val="0"/>
              <w:autoSpaceDN w:val="0"/>
              <w:jc w:val="left"/>
              <w:spacing w:before="65" w:after="0" w:lineRule="exact" w:line="188"/>
              <w:ind w:right="0" w:left="1030" w:firstLine="0"/>
              <w:snapToGrid w:val="0"/>
              <w:textAlignment w:val="auto"/>
              <w:tabs/>
              <w:rPr>
                <w:rFonts w:ascii="宋体" w:hAnsi="宋体" w:cs="宋体" w:eastAsia="宋体" w:hint="ascii"/>
                <w:sz w:val="15"/>
              </w:rPr>
            </w:pPr>
            <w:r>
              <w:rPr>
                <w:rFonts w:ascii="宋体" w:hAnsi="宋体" w:cs="宋体" w:eastAsia="宋体" w:hint="ascii"/>
                <w:sz w:val="15"/>
              </w:rPr>
              <w:t>合计</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1 630</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15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34 090</w:t>
            </w:r>
          </w:p>
        </w:tc>
        <w:tc>
          <w:tcPr>
            <w:tcW w:w="107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3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29.80</w:t>
            </w:r>
          </w:p>
        </w:tc>
        <w:tc>
          <w:tcPr>
            <w:tcW w:w="850"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1 749</w:t>
            </w:r>
          </w:p>
        </w:tc>
        <w:tc>
          <w:tcPr>
            <w:tcW w:w="849" w:type="dxa"/>
            <w:gridSpan w:val="1"/>
            <w:vAlign w:val="top"/>
            <w:tcMar/>
            <w:tcBorders>
              <w:left w:val="single" w:sz="4" w:space="0" w:color="000000"/>
              <w:top w:val="single" w:sz="4" w:space="0" w:color="000000"/>
            </w:tcBorders>
          </w:tcPr>
          <w:p>
            <w:pPr>
              <w:autoSpaceDE w:val="0"/>
              <w:autoSpaceDN w:val="0"/>
              <w:jc w:val="left"/>
              <w:spacing w:before="75" w:after="0" w:lineRule="auto" w:line="240"/>
              <w:ind w:right="0" w:left="222" w:firstLine="0"/>
              <w:snapToGrid w:val="0"/>
              <w:textAlignment w:val="auto"/>
              <w:tabs>
                <w:tab w:val="left" w:leader="none" w:pos="415"/>
              </w:tabs>
              <w:numPr>
                <w:ilvl w:val="0"/>
                <w:numId w:val="17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160</w:t>
            </w:r>
          </w:p>
        </w:tc>
        <w:tc>
          <w:tcPr>
            <w:tcW w:w="1081"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29.65</w:t>
            </w:r>
          </w:p>
        </w:tc>
      </w:tr>
      <w:tr>
        <w:trPr>
          <w:trHeight w:val="329" w:hRule="exact"/>
          <w:cantSplit w:val="1"/>
        </w:trPr>
        <w:tc>
          <w:tcPr>
            <w:tcW w:w="2381" w:type="dxa"/>
            <w:gridSpan w:val="2"/>
            <w:vAlign w:val="top"/>
            <w:tcMar/>
            <w:tcBorders>
              <w:top w:val="single" w:sz="4" w:space="0" w:color="000000"/>
              <w:bottom w:val="single" w:sz="8" w:space="0" w:color="000000"/>
            </w:tcBorders>
          </w:tcPr>
          <w:p>
            <w:pPr>
              <w:autoSpaceDE w:val="0"/>
              <w:autoSpaceDN w:val="0"/>
              <w:jc w:val="left"/>
              <w:spacing w:before="65" w:after="0" w:lineRule="exact" w:line="188"/>
              <w:ind w:right="0" w:left="334" w:firstLine="0"/>
              <w:snapToGrid w:val="0"/>
              <w:textAlignment w:val="auto"/>
              <w:tabs/>
              <w:rPr>
                <w:rFonts w:ascii="宋体" w:hAnsi="宋体" w:cs="宋体" w:eastAsia="宋体" w:hint="ascii"/>
                <w:sz w:val="15"/>
              </w:rPr>
            </w:pPr>
            <w:r>
              <w:rPr>
                <w:rFonts w:ascii="宋体" w:hAnsi="宋体" w:cs="宋体" w:eastAsia="宋体" w:hint="ascii"/>
                <w:sz w:val="15"/>
              </w:rPr>
              <w:t>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778"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75" w:after="0" w:lineRule="auto" w:line="240"/>
              <w:ind w:right="0" w:left="12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20.91</w:t>
            </w:r>
          </w:p>
        </w:tc>
        <w:tc>
          <w:tcPr>
            <w:tcW w:w="2780"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75" w:after="0" w:lineRule="auto" w:line="240"/>
              <w:ind w:right="0" w:left="121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r>
    </w:tbl>
    <w:p>
      <w:pPr>
        <w:autoSpaceDE w:val="0"/>
        <w:autoSpaceDN w:val="0"/>
        <w:jc w:val="left"/>
        <w:spacing w:before="534"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65"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化学科学部</w:t>
      </w:r>
      <w:r>
        <w:rPr>
          <w:rFonts w:ascii="宋体" w:hAnsi="宋体" w:cs="宋体" w:eastAsia="宋体" w:hint="ascii"/>
          <w:sz w:val="38"/>
        </w:rPr>
        <mc:AlternateContent>
          <mc:Choice Requires="wps">
            <w:drawing>
              <wp:anchor distL="0" distR="0" distT="0" distB="0" simplePos="0" behindDoc="1" relativeHeight="203" locked="0" layoutInCell="1" allowOverlap="1">
                <wp:simplePos x="0" y="0"/>
                <wp:positionH relativeFrom="page">
                  <wp:posOffset>938530</wp:posOffset>
                </wp:positionH>
                <wp:positionV relativeFrom="page">
                  <wp:posOffset>805815</wp:posOffset>
                </wp:positionV>
                <wp:extent cx="5076190" cy="0"/>
                <wp:wrapNone/>
                <wp:docPr id="1232" name="123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50368;width:399.70pt;" id="123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2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化学科学部坚持以人为本、培育创新人才的宗旨，发挥青年科学基金的稳定和育苗</w:t>
      </w:r>
    </w:p>
    <w:p>
      <w:pPr>
        <w:autoSpaceDE w:val="0"/>
        <w:autoSpaceDN w:val="0"/>
        <w:jc w:val="both"/>
        <w:spacing w:before="13" w:after="0" w:lineRule="exact" w:line="319"/>
        <w:ind w:right="972"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功能</w:t>
      </w:r>
      <w:r>
        <w:rPr>
          <w:rFonts w:ascii="宋体" w:hAnsi="宋体" w:cs="宋体" w:eastAsia="宋体" w:hint="ascii"/>
          <w:sz w:val="21"/>
        </w:rPr>
        <w:t>，按照适度控制强度、稳步扩大规模的思路，进一步加强对青年科学技术人员的资</w:t>
      </w:r>
      <w:r>
        <w:rPr>
          <w:rFonts w:ascii="宋体" w:hAnsi="宋体" w:cs="宋体" w:eastAsia="宋体" w:hint="ascii"/>
          <w:sz w:val="21"/>
          <w:spacing w:val="-1"/>
        </w:rPr>
        <w:t>助力</w:t>
      </w:r>
      <w:r>
        <w:rPr>
          <w:rFonts w:ascii="宋体" w:hAnsi="宋体" w:cs="宋体" w:eastAsia="宋体" w:hint="ascii"/>
          <w:sz w:val="21"/>
        </w:rPr>
        <w:t>度。青年科学基金项目强调支持有创新思想的研究课题，不鼓励简单延续导师课题的申请，淡化对研究积累和研究队伍的评价权重，以利于青年人才脱颖而出。</w:t>
      </w:r>
    </w:p>
    <w:p>
      <w:pPr>
        <w:autoSpaceDE w:val="0"/>
        <w:autoSpaceDN w:val="0"/>
        <w:jc w:val="left"/>
        <w:spacing w:before="48"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年度化学科学部将进行全面的学科重新调整，以化学化工的主要研究方向进</w:t>
      </w:r>
    </w:p>
    <w:p>
      <w:pPr>
        <w:autoSpaceDE w:val="0"/>
        <w:autoSpaceDN w:val="0"/>
        <w:jc w:val="both"/>
        <w:spacing w:before="17" w:after="0" w:lineRule="exact" w:line="320"/>
        <w:ind w:right="972"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行分类资助和管理，更好适</w:t>
      </w:r>
      <w:r>
        <w:rPr>
          <w:rFonts w:ascii="宋体" w:hAnsi="宋体" w:cs="宋体" w:eastAsia="宋体" w:hint="ascii"/>
          <w:sz w:val="21"/>
        </w:rPr>
        <w:t>应国际化学发展的趋势和促进中国化学化工研究的转型</w:t>
      </w:r>
      <w:r>
        <w:rPr>
          <w:rFonts w:ascii="宋体" w:hAnsi="宋体" w:cs="宋体" w:eastAsia="宋体" w:hint="ascii"/>
          <w:sz w:val="21"/>
          <w:spacing w:val="-6"/>
        </w:rPr>
        <w:t>发</w:t>
      </w:r>
      <w:r>
        <w:rPr>
          <w:rFonts w:ascii="宋体" w:hAnsi="宋体" w:cs="宋体" w:eastAsia="宋体" w:hint="ascii"/>
          <w:sz w:val="21"/>
        </w:rPr>
        <w:t>展。申请人需仔细阅读各研究方向的说明（见面上项目</w:t>
      </w:r>
      <w:r>
        <w:rPr>
          <w:rFonts w:ascii="宋体" w:hAnsi="宋体" w:cs="宋体" w:eastAsia="宋体" w:hint="ascii"/>
          <w:sz w:val="21"/>
          <w:spacing w:val="-52"/>
        </w:rPr>
        <w:t>）</w:t>
      </w:r>
      <w:r>
        <w:rPr>
          <w:rFonts w:ascii="宋体" w:hAnsi="宋体" w:cs="宋体" w:eastAsia="宋体" w:hint="ascii"/>
          <w:sz w:val="21"/>
        </w:rPr>
        <w:t>，准确选择申请代码。</w:t>
      </w:r>
    </w:p>
    <w:p>
      <w:pPr>
        <w:autoSpaceDE w:val="0"/>
        <w:autoSpaceDN w:val="0"/>
        <w:jc w:val="left"/>
        <w:spacing w:before="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化学科学部新的项目资助方向为：①合成化学；②催化与表界面化学；③化学理论</w:t>
      </w:r>
    </w:p>
    <w:p>
      <w:pPr>
        <w:autoSpaceDE w:val="0"/>
        <w:autoSpaceDN w:val="0"/>
        <w:jc w:val="both"/>
        <w:spacing w:before="10" w:after="0" w:lineRule="exact" w:line="320"/>
        <w:ind w:right="972"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与机</w:t>
      </w:r>
      <w:r>
        <w:rPr>
          <w:rFonts w:ascii="宋体" w:hAnsi="宋体" w:cs="宋体" w:eastAsia="宋体" w:hint="ascii"/>
          <w:sz w:val="21"/>
        </w:rPr>
        <w:t>制；④化学测量学；⑤材料化学与能源化学；⑥环境化学；⑦化学生物学；⑧化学工程与工业化学。</w:t>
      </w:r>
    </w:p>
    <w:p>
      <w:pPr>
        <w:autoSpaceDE w:val="0"/>
        <w:autoSpaceDN w:val="0"/>
        <w:jc w:val="left"/>
        <w:spacing w:before="168"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化学科学部青年科学基金项目近两年资助情况一览表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907"/>
        <w:gridCol w:w="1540"/>
        <w:gridCol w:w="841"/>
        <w:gridCol w:w="883"/>
        <w:gridCol w:w="1044"/>
        <w:gridCol w:w="850"/>
        <w:gridCol w:w="819"/>
        <w:gridCol w:w="1108"/>
      </w:tblGrid>
      <w:tr>
        <w:trPr>
          <w:trHeight w:val="270" w:hRule="exact"/>
          <w:cantSplit w:val="1"/>
        </w:trPr>
        <w:tc>
          <w:tcPr>
            <w:tcW w:w="2447" w:type="dxa"/>
            <w:gridSpan w:val="2"/>
            <w:vAlign w:val="top"/>
            <w:vMerge w:val="restart"/>
            <w:tcMar/>
            <w:tcBorders/>
          </w:tcPr>
          <w:p>
            <w:pPr>
              <w:autoSpaceDE w:val="0"/>
              <w:autoSpaceDN w:val="0"/>
              <w:jc w:val="left"/>
              <w:spacing w:before="230" w:after="0" w:lineRule="exact" w:line="188"/>
              <w:ind w:right="0" w:left="988"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68" w:type="dxa"/>
            <w:gridSpan w:val="3"/>
            <w:vAlign w:val="top"/>
            <w:tcMar/>
            <w:tcBorders>
              <w:left w:val="single" w:sz="4" w:space="0" w:color="000000"/>
            </w:tcBorders>
          </w:tcPr>
          <w:p>
            <w:pPr>
              <w:autoSpaceDE w:val="0"/>
              <w:autoSpaceDN w:val="0"/>
              <w:jc w:val="left"/>
              <w:spacing w:before="16" w:after="0" w:lineRule="auto" w:line="240"/>
              <w:ind w:right="0" w:left="1061" w:firstLine="0"/>
              <w:snapToGrid w:val="0"/>
              <w:textAlignment w:val="auto"/>
              <w:tabs>
                <w:tab w:val="left" w:leader="none" w:pos="1404"/>
              </w:tabs>
              <w:numPr>
                <w:ilvl w:val="0"/>
                <w:numId w:val="176"/>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77" w:type="dxa"/>
            <w:gridSpan w:val="3"/>
            <w:vAlign w:val="top"/>
            <w:tcMar/>
            <w:tcBorders>
              <w:left w:val="single" w:sz="4" w:space="0" w:color="000000"/>
              <w:right w:val="single" w:sz="8" w:space="0" w:color="000000"/>
            </w:tcBorders>
          </w:tcPr>
          <w:p>
            <w:pPr>
              <w:autoSpaceDE w:val="0"/>
              <w:autoSpaceDN w:val="0"/>
              <w:jc w:val="left"/>
              <w:spacing w:before="16" w:after="0" w:lineRule="auto" w:line="240"/>
              <w:ind w:right="0" w:left="1065" w:firstLine="0"/>
              <w:snapToGrid w:val="0"/>
              <w:textAlignment w:val="auto"/>
              <w:tabs>
                <w:tab w:val="left" w:leader="none" w:pos="1409"/>
              </w:tabs>
              <w:numPr>
                <w:ilvl w:val="0"/>
                <w:numId w:val="176"/>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27" w:hRule="exact"/>
          <w:cantSplit w:val="1"/>
        </w:trPr>
        <w:tc>
          <w:tcPr>
            <w:tcW w:w="2447"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41"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115"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8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13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44"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29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6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50"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19"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104"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300"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65" w:hRule="exact"/>
          <w:cantSplit w:val="1"/>
        </w:trPr>
        <w:tc>
          <w:tcPr>
            <w:tcW w:w="907" w:type="dxa"/>
            <w:gridSpan w:val="1"/>
            <w:vAlign w:val="top"/>
            <w:vMerge w:val="restart"/>
            <w:tcMar/>
            <w:tcBorders>
              <w:top w:val="single" w:sz="4" w:space="0" w:color="000000"/>
            </w:tcBorders>
          </w:tcPr>
          <w:p>
            <w:pPr>
              <w:autoSpaceDE w:val="0"/>
              <w:autoSpaceDN w:val="0"/>
              <w:jc w:val="left"/>
              <w:spacing w:before="149"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54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465" w:firstLine="0"/>
              <w:snapToGrid w:val="0"/>
              <w:textAlignment w:val="auto"/>
              <w:tabs/>
              <w:rPr>
                <w:rFonts w:ascii="宋体" w:hAnsi="宋体" w:cs="宋体" w:eastAsia="宋体" w:hint="ascii"/>
                <w:sz w:val="15"/>
              </w:rPr>
            </w:pPr>
            <w:r>
              <w:rPr>
                <w:rFonts w:ascii="宋体" w:hAnsi="宋体" w:cs="宋体" w:eastAsia="宋体" w:hint="ascii"/>
                <w:sz w:val="15"/>
              </w:rPr>
              <w:t>无机化学</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213</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5" w:firstLine="0"/>
              <w:snapToGrid w:val="0"/>
              <w:textAlignment w:val="auto"/>
              <w:tabs>
                <w:tab w:val="left" w:leader="none" w:pos="422"/>
              </w:tabs>
              <w:numPr>
                <w:ilvl w:val="0"/>
                <w:numId w:val="177"/>
              </w:numPr>
              <w:rPr>
                <w:rFonts w:ascii="Times New Roman" w:hAnsi="Times New Roman" w:cs="Times New Roman" w:eastAsia="Times New Roman" w:hint="ascii"/>
                <w:sz w:val="15"/>
              </w:rPr>
            </w:pPr>
            <w:r>
              <w:rPr>
                <w:rFonts w:ascii="Times New Roman" w:hAnsi="Times New Roman" w:cs="Times New Roman" w:eastAsia="Times New Roman" w:hint="ascii"/>
                <w:sz w:val="15"/>
              </w:rPr>
              <w:t>264</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26.17</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203</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2" w:firstLine="0"/>
              <w:snapToGrid w:val="0"/>
              <w:textAlignment w:val="auto"/>
              <w:tabs>
                <w:tab w:val="left" w:leader="none" w:pos="390"/>
              </w:tabs>
              <w:numPr>
                <w:ilvl w:val="0"/>
                <w:numId w:val="178"/>
              </w:numPr>
              <w:rPr>
                <w:rFonts w:ascii="Times New Roman" w:hAnsi="Times New Roman" w:cs="Times New Roman" w:eastAsia="Times New Roman" w:hint="ascii"/>
                <w:sz w:val="15"/>
              </w:rPr>
            </w:pPr>
            <w:r>
              <w:rPr>
                <w:rFonts w:ascii="Times New Roman" w:hAnsi="Times New Roman" w:cs="Times New Roman" w:eastAsia="Times New Roman" w:hint="ascii"/>
                <w:sz w:val="15"/>
              </w:rPr>
              <w:t>925</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25.15</w:t>
            </w:r>
          </w:p>
        </w:tc>
      </w:tr>
      <w:tr>
        <w:trPr>
          <w:trHeight w:val="264" w:hRule="exact"/>
          <w:cantSplit w:val="1"/>
        </w:trPr>
        <w:tc>
          <w:tcPr>
            <w:tcW w:w="90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40"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465" w:firstLine="0"/>
              <w:snapToGrid w:val="0"/>
              <w:textAlignment w:val="auto"/>
              <w:tabs/>
              <w:rPr>
                <w:rFonts w:ascii="宋体" w:hAnsi="宋体" w:cs="宋体" w:eastAsia="宋体" w:hint="ascii"/>
                <w:sz w:val="15"/>
              </w:rPr>
            </w:pPr>
            <w:r>
              <w:rPr>
                <w:rFonts w:ascii="宋体" w:hAnsi="宋体" w:cs="宋体" w:eastAsia="宋体" w:hint="ascii"/>
                <w:sz w:val="15"/>
              </w:rPr>
              <w:t>分析化学</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164</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5" w:firstLine="0"/>
              <w:snapToGrid w:val="0"/>
              <w:textAlignment w:val="auto"/>
              <w:tabs>
                <w:tab w:val="left" w:leader="none" w:pos="422"/>
              </w:tabs>
              <w:numPr>
                <w:ilvl w:val="0"/>
                <w:numId w:val="179"/>
              </w:numPr>
              <w:rPr>
                <w:rFonts w:ascii="Times New Roman" w:hAnsi="Times New Roman" w:cs="Times New Roman" w:eastAsia="Times New Roman" w:hint="ascii"/>
                <w:sz w:val="15"/>
              </w:rPr>
            </w:pPr>
            <w:r>
              <w:rPr>
                <w:rFonts w:ascii="Times New Roman" w:hAnsi="Times New Roman" w:cs="Times New Roman" w:eastAsia="Times New Roman" w:hint="ascii"/>
                <w:sz w:val="15"/>
              </w:rPr>
              <w:t>283</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26.16</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167</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2" w:firstLine="0"/>
              <w:snapToGrid w:val="0"/>
              <w:textAlignment w:val="auto"/>
              <w:tabs>
                <w:tab w:val="left" w:leader="none" w:pos="390"/>
              </w:tabs>
              <w:numPr>
                <w:ilvl w:val="0"/>
                <w:numId w:val="179"/>
              </w:numPr>
              <w:rPr>
                <w:rFonts w:ascii="Times New Roman" w:hAnsi="Times New Roman" w:cs="Times New Roman" w:eastAsia="Times New Roman" w:hint="ascii"/>
                <w:sz w:val="15"/>
              </w:rPr>
            </w:pPr>
            <w:r>
              <w:rPr>
                <w:rFonts w:ascii="Times New Roman" w:hAnsi="Times New Roman" w:cs="Times New Roman" w:eastAsia="Times New Roman" w:hint="ascii"/>
                <w:sz w:val="15"/>
              </w:rPr>
              <w:t>053</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25.30</w:t>
            </w:r>
          </w:p>
        </w:tc>
      </w:tr>
      <w:tr>
        <w:trPr>
          <w:trHeight w:val="265" w:hRule="exact"/>
          <w:cantSplit w:val="1"/>
        </w:trPr>
        <w:tc>
          <w:tcPr>
            <w:tcW w:w="907" w:type="dxa"/>
            <w:gridSpan w:val="1"/>
            <w:vAlign w:val="top"/>
            <w:vMerge w:val="restart"/>
            <w:tcMar/>
            <w:tcBorders>
              <w:top w:val="single" w:sz="4" w:space="0" w:color="000000"/>
            </w:tcBorders>
          </w:tcPr>
          <w:p>
            <w:pPr>
              <w:autoSpaceDE w:val="0"/>
              <w:autoSpaceDN w:val="0"/>
              <w:jc w:val="left"/>
              <w:spacing w:before="150"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54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465" w:firstLine="0"/>
              <w:snapToGrid w:val="0"/>
              <w:textAlignment w:val="auto"/>
              <w:tabs/>
              <w:rPr>
                <w:rFonts w:ascii="宋体" w:hAnsi="宋体" w:cs="宋体" w:eastAsia="宋体" w:hint="ascii"/>
                <w:sz w:val="15"/>
              </w:rPr>
            </w:pPr>
            <w:r>
              <w:rPr>
                <w:rFonts w:ascii="宋体" w:hAnsi="宋体" w:cs="宋体" w:eastAsia="宋体" w:hint="ascii"/>
                <w:sz w:val="15"/>
              </w:rPr>
              <w:t>有机化学</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258</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5" w:firstLine="0"/>
              <w:snapToGrid w:val="0"/>
              <w:textAlignment w:val="auto"/>
              <w:tabs>
                <w:tab w:val="left" w:leader="none" w:pos="422"/>
              </w:tabs>
              <w:numPr>
                <w:ilvl w:val="0"/>
                <w:numId w:val="177"/>
              </w:numPr>
              <w:rPr>
                <w:rFonts w:ascii="Times New Roman" w:hAnsi="Times New Roman" w:cs="Times New Roman" w:eastAsia="Times New Roman" w:hint="ascii"/>
                <w:sz w:val="15"/>
              </w:rPr>
            </w:pPr>
            <w:r>
              <w:rPr>
                <w:rFonts w:ascii="Times New Roman" w:hAnsi="Times New Roman" w:cs="Times New Roman" w:eastAsia="Times New Roman" w:hint="ascii"/>
                <w:sz w:val="15"/>
              </w:rPr>
              <w:t>165</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26.17</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241</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2" w:firstLine="0"/>
              <w:snapToGrid w:val="0"/>
              <w:textAlignment w:val="auto"/>
              <w:tabs>
                <w:tab w:val="left" w:leader="none" w:pos="390"/>
              </w:tabs>
              <w:numPr>
                <w:ilvl w:val="0"/>
                <w:numId w:val="179"/>
              </w:numPr>
              <w:rPr>
                <w:rFonts w:ascii="Times New Roman" w:hAnsi="Times New Roman" w:cs="Times New Roman" w:eastAsia="Times New Roman" w:hint="ascii"/>
                <w:sz w:val="15"/>
              </w:rPr>
            </w:pPr>
            <w:r>
              <w:rPr>
                <w:rFonts w:ascii="Times New Roman" w:hAnsi="Times New Roman" w:cs="Times New Roman" w:eastAsia="Times New Roman" w:hint="ascii"/>
                <w:sz w:val="15"/>
              </w:rPr>
              <w:t>849</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25.37</w:t>
            </w:r>
          </w:p>
        </w:tc>
      </w:tr>
      <w:tr>
        <w:trPr>
          <w:trHeight w:val="265" w:hRule="exact"/>
          <w:cantSplit w:val="1"/>
        </w:trPr>
        <w:tc>
          <w:tcPr>
            <w:tcW w:w="90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4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390" w:firstLine="0"/>
              <w:snapToGrid w:val="0"/>
              <w:textAlignment w:val="auto"/>
              <w:tabs/>
              <w:rPr>
                <w:rFonts w:ascii="宋体" w:hAnsi="宋体" w:cs="宋体" w:eastAsia="宋体" w:hint="ascii"/>
                <w:sz w:val="15"/>
              </w:rPr>
            </w:pPr>
            <w:r>
              <w:rPr>
                <w:rFonts w:ascii="宋体" w:hAnsi="宋体" w:cs="宋体" w:eastAsia="宋体" w:hint="ascii"/>
                <w:sz w:val="15"/>
              </w:rPr>
              <w:t>化学生物学</w:t>
            </w:r>
          </w:p>
        </w:tc>
        <w:tc>
          <w:tcPr>
            <w:tcW w:w="841"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83"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1044"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6" w:firstLine="0"/>
              <w:snapToGrid w:val="0"/>
              <w:textAlignment w:val="auto"/>
              <w:tabs>
                <w:tab w:val="left" w:leader="none" w:pos="394"/>
              </w:tabs>
              <w:numPr>
                <w:ilvl w:val="0"/>
                <w:numId w:val="180"/>
              </w:numPr>
              <w:rPr>
                <w:rFonts w:ascii="Times New Roman" w:hAnsi="Times New Roman" w:cs="Times New Roman" w:eastAsia="Times New Roman" w:hint="ascii"/>
                <w:sz w:val="15"/>
              </w:rPr>
            </w:pPr>
            <w:r>
              <w:rPr>
                <w:rFonts w:ascii="Times New Roman" w:hAnsi="Times New Roman" w:cs="Times New Roman" w:eastAsia="Times New Roman" w:hint="ascii"/>
                <w:sz w:val="15"/>
              </w:rPr>
              <w:t>3</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25.47</w:t>
            </w:r>
          </w:p>
        </w:tc>
      </w:tr>
      <w:tr>
        <w:trPr>
          <w:trHeight w:val="265" w:hRule="exact"/>
          <w:cantSplit w:val="1"/>
        </w:trPr>
        <w:tc>
          <w:tcPr>
            <w:tcW w:w="907" w:type="dxa"/>
            <w:gridSpan w:val="1"/>
            <w:vAlign w:val="top"/>
            <w:tcMar/>
            <w:tcBorders>
              <w:top w:val="single" w:sz="4" w:space="0" w:color="000000"/>
            </w:tcBorders>
          </w:tcPr>
          <w:p>
            <w:pPr>
              <w:autoSpaceDE w:val="0"/>
              <w:autoSpaceDN w:val="0"/>
              <w:jc w:val="left"/>
              <w:spacing w:before="17"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54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465" w:firstLine="0"/>
              <w:snapToGrid w:val="0"/>
              <w:textAlignment w:val="auto"/>
              <w:tabs/>
              <w:rPr>
                <w:rFonts w:ascii="宋体" w:hAnsi="宋体" w:cs="宋体" w:eastAsia="宋体" w:hint="ascii"/>
                <w:sz w:val="15"/>
              </w:rPr>
            </w:pPr>
            <w:r>
              <w:rPr>
                <w:rFonts w:ascii="宋体" w:hAnsi="宋体" w:cs="宋体" w:eastAsia="宋体" w:hint="ascii"/>
                <w:sz w:val="15"/>
              </w:rPr>
              <w:t>物理化学</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280</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5" w:firstLine="0"/>
              <w:snapToGrid w:val="0"/>
              <w:textAlignment w:val="auto"/>
              <w:tabs>
                <w:tab w:val="left" w:leader="none" w:pos="422"/>
              </w:tabs>
              <w:numPr>
                <w:ilvl w:val="0"/>
                <w:numId w:val="178"/>
              </w:numPr>
              <w:rPr>
                <w:rFonts w:ascii="Times New Roman" w:hAnsi="Times New Roman" w:cs="Times New Roman" w:eastAsia="Times New Roman" w:hint="ascii"/>
                <w:sz w:val="15"/>
              </w:rPr>
            </w:pPr>
            <w:r>
              <w:rPr>
                <w:rFonts w:ascii="Times New Roman" w:hAnsi="Times New Roman" w:cs="Times New Roman" w:eastAsia="Times New Roman" w:hint="ascii"/>
                <w:sz w:val="15"/>
              </w:rPr>
              <w:t>607</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26.24</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292</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7 086</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25.35</w:t>
            </w:r>
          </w:p>
        </w:tc>
      </w:tr>
      <w:tr>
        <w:trPr>
          <w:trHeight w:val="265" w:hRule="exact"/>
          <w:cantSplit w:val="1"/>
        </w:trPr>
        <w:tc>
          <w:tcPr>
            <w:tcW w:w="907" w:type="dxa"/>
            <w:gridSpan w:val="1"/>
            <w:vAlign w:val="top"/>
            <w:vMerge w:val="restart"/>
            <w:tcMar/>
            <w:tcBorders>
              <w:top w:val="single" w:sz="4" w:space="0" w:color="000000"/>
            </w:tcBorders>
          </w:tcPr>
          <w:p>
            <w:pPr>
              <w:autoSpaceDE w:val="0"/>
              <w:autoSpaceDN w:val="0"/>
              <w:jc w:val="left"/>
              <w:spacing w:before="149"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54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390" w:firstLine="0"/>
              <w:snapToGrid w:val="0"/>
              <w:textAlignment w:val="auto"/>
              <w:tabs/>
              <w:rPr>
                <w:rFonts w:ascii="宋体" w:hAnsi="宋体" w:cs="宋体" w:eastAsia="宋体" w:hint="ascii"/>
                <w:sz w:val="15"/>
              </w:rPr>
            </w:pPr>
            <w:r>
              <w:rPr>
                <w:rFonts w:ascii="宋体" w:hAnsi="宋体" w:cs="宋体" w:eastAsia="宋体" w:hint="ascii"/>
                <w:sz w:val="15"/>
              </w:rPr>
              <w:t>高分子科学</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3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95</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1 902</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26.24</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12</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2" w:firstLine="0"/>
              <w:snapToGrid w:val="0"/>
              <w:textAlignment w:val="auto"/>
              <w:tabs>
                <w:tab w:val="left" w:leader="none" w:pos="390"/>
              </w:tabs>
              <w:numPr>
                <w:ilvl w:val="0"/>
                <w:numId w:val="180"/>
              </w:numPr>
              <w:rPr>
                <w:rFonts w:ascii="Times New Roman" w:hAnsi="Times New Roman" w:cs="Times New Roman" w:eastAsia="Times New Roman" w:hint="ascii"/>
                <w:sz w:val="15"/>
              </w:rPr>
            </w:pPr>
            <w:r>
              <w:rPr>
                <w:rFonts w:ascii="Times New Roman" w:hAnsi="Times New Roman" w:cs="Times New Roman" w:eastAsia="Times New Roman" w:hint="ascii"/>
                <w:sz w:val="15"/>
              </w:rPr>
              <w:t>719</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25.63</w:t>
            </w:r>
          </w:p>
        </w:tc>
      </w:tr>
      <w:tr>
        <w:trPr>
          <w:trHeight w:val="265" w:hRule="exact"/>
          <w:cantSplit w:val="1"/>
        </w:trPr>
        <w:tc>
          <w:tcPr>
            <w:tcW w:w="90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40"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465" w:firstLine="0"/>
              <w:snapToGrid w:val="0"/>
              <w:textAlignment w:val="auto"/>
              <w:tabs/>
              <w:rPr>
                <w:rFonts w:ascii="宋体" w:hAnsi="宋体" w:cs="宋体" w:eastAsia="宋体" w:hint="ascii"/>
                <w:sz w:val="15"/>
              </w:rPr>
            </w:pPr>
            <w:r>
              <w:rPr>
                <w:rFonts w:ascii="宋体" w:hAnsi="宋体" w:cs="宋体" w:eastAsia="宋体" w:hint="ascii"/>
                <w:sz w:val="15"/>
              </w:rPr>
              <w:t>环境化学</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5" w:firstLine="0"/>
              <w:snapToGrid w:val="0"/>
              <w:textAlignment w:val="auto"/>
              <w:tabs>
                <w:tab w:val="left" w:leader="none" w:pos="422"/>
              </w:tabs>
              <w:numPr>
                <w:ilvl w:val="0"/>
                <w:numId w:val="180"/>
              </w:numPr>
              <w:rPr>
                <w:rFonts w:ascii="Times New Roman" w:hAnsi="Times New Roman" w:cs="Times New Roman" w:eastAsia="Times New Roman" w:hint="ascii"/>
                <w:sz w:val="15"/>
              </w:rPr>
            </w:pPr>
            <w:r>
              <w:rPr>
                <w:rFonts w:ascii="Times New Roman" w:hAnsi="Times New Roman" w:cs="Times New Roman" w:eastAsia="Times New Roman" w:hint="ascii"/>
                <w:sz w:val="15"/>
              </w:rPr>
              <w:t>564</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26.06</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177</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2" w:firstLine="0"/>
              <w:snapToGrid w:val="0"/>
              <w:textAlignment w:val="auto"/>
              <w:tabs>
                <w:tab w:val="left" w:leader="none" w:pos="390"/>
              </w:tabs>
              <w:numPr>
                <w:ilvl w:val="0"/>
                <w:numId w:val="180"/>
              </w:numPr>
              <w:rPr>
                <w:rFonts w:ascii="Times New Roman" w:hAnsi="Times New Roman" w:cs="Times New Roman" w:eastAsia="Times New Roman" w:hint="ascii"/>
                <w:sz w:val="15"/>
              </w:rPr>
            </w:pPr>
            <w:r>
              <w:rPr>
                <w:rFonts w:ascii="Times New Roman" w:hAnsi="Times New Roman" w:cs="Times New Roman" w:eastAsia="Times New Roman" w:hint="ascii"/>
                <w:sz w:val="15"/>
              </w:rPr>
              <w:t>306</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25.21</w:t>
            </w:r>
          </w:p>
        </w:tc>
      </w:tr>
      <w:tr>
        <w:trPr>
          <w:trHeight w:val="264" w:hRule="exact"/>
          <w:cantSplit w:val="1"/>
        </w:trPr>
        <w:tc>
          <w:tcPr>
            <w:tcW w:w="907" w:type="dxa"/>
            <w:gridSpan w:val="1"/>
            <w:vAlign w:val="top"/>
            <w:tcMar/>
            <w:tcBorders>
              <w:top w:val="single" w:sz="4" w:space="0" w:color="000000"/>
            </w:tcBorders>
          </w:tcPr>
          <w:p>
            <w:pPr>
              <w:autoSpaceDE w:val="0"/>
              <w:autoSpaceDN w:val="0"/>
              <w:jc w:val="left"/>
              <w:spacing w:before="15"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540"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465" w:firstLine="0"/>
              <w:snapToGrid w:val="0"/>
              <w:textAlignment w:val="auto"/>
              <w:tabs/>
              <w:rPr>
                <w:rFonts w:ascii="宋体" w:hAnsi="宋体" w:cs="宋体" w:eastAsia="宋体" w:hint="ascii"/>
                <w:sz w:val="15"/>
              </w:rPr>
            </w:pPr>
            <w:r>
              <w:rPr>
                <w:rFonts w:ascii="宋体" w:hAnsi="宋体" w:cs="宋体" w:eastAsia="宋体" w:hint="ascii"/>
                <w:sz w:val="15"/>
              </w:rPr>
              <w:t>化学工程</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262</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5" w:firstLine="0"/>
              <w:snapToGrid w:val="0"/>
              <w:textAlignment w:val="auto"/>
              <w:tabs>
                <w:tab w:val="left" w:leader="none" w:pos="422"/>
              </w:tabs>
              <w:numPr>
                <w:ilvl w:val="0"/>
                <w:numId w:val="180"/>
              </w:numPr>
              <w:rPr>
                <w:rFonts w:ascii="Times New Roman" w:hAnsi="Times New Roman" w:cs="Times New Roman" w:eastAsia="Times New Roman" w:hint="ascii"/>
                <w:sz w:val="15"/>
              </w:rPr>
            </w:pPr>
            <w:r>
              <w:rPr>
                <w:rFonts w:ascii="Times New Roman" w:hAnsi="Times New Roman" w:cs="Times New Roman" w:eastAsia="Times New Roman" w:hint="ascii"/>
                <w:sz w:val="15"/>
              </w:rPr>
              <w:t>245</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23.48</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295</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7 151</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23.77</w:t>
            </w:r>
          </w:p>
        </w:tc>
      </w:tr>
      <w:tr>
        <w:trPr>
          <w:trHeight w:val="265" w:hRule="exact"/>
          <w:cantSplit w:val="1"/>
        </w:trPr>
        <w:tc>
          <w:tcPr>
            <w:tcW w:w="2447" w:type="dxa"/>
            <w:gridSpan w:val="2"/>
            <w:vAlign w:val="top"/>
            <w:tcMar/>
            <w:tcBorders>
              <w:top w:val="single" w:sz="4" w:space="0" w:color="000000"/>
            </w:tcBorders>
          </w:tcPr>
          <w:p>
            <w:pPr>
              <w:autoSpaceDE w:val="0"/>
              <w:autoSpaceDN w:val="0"/>
              <w:jc w:val="left"/>
              <w:spacing w:before="17" w:after="0" w:lineRule="exact" w:line="188"/>
              <w:ind w:right="0" w:left="764"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4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4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1 450</w:t>
            </w:r>
          </w:p>
        </w:tc>
        <w:tc>
          <w:tcPr>
            <w:tcW w:w="88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3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29 030</w:t>
            </w:r>
          </w:p>
        </w:tc>
        <w:tc>
          <w:tcPr>
            <w:tcW w:w="104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25.64</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1 541</w:t>
            </w:r>
          </w:p>
        </w:tc>
        <w:tc>
          <w:tcPr>
            <w:tcW w:w="819"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19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37 400</w:t>
            </w:r>
          </w:p>
        </w:tc>
        <w:tc>
          <w:tcPr>
            <w:tcW w:w="1108"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25.01</w:t>
            </w:r>
          </w:p>
        </w:tc>
      </w:tr>
      <w:tr>
        <w:trPr>
          <w:trHeight w:val="271" w:hRule="exact"/>
          <w:cantSplit w:val="1"/>
        </w:trPr>
        <w:tc>
          <w:tcPr>
            <w:tcW w:w="2447" w:type="dxa"/>
            <w:gridSpan w:val="2"/>
            <w:vAlign w:val="top"/>
            <w:tcMar/>
            <w:tcBorders>
              <w:top w:val="single" w:sz="4" w:space="0" w:color="000000"/>
              <w:bottom w:val="single" w:sz="8" w:space="0" w:color="000000"/>
            </w:tcBorders>
          </w:tcPr>
          <w:p>
            <w:pPr>
              <w:autoSpaceDE w:val="0"/>
              <w:autoSpaceDN w:val="0"/>
              <w:jc w:val="left"/>
              <w:spacing w:before="17" w:after="0" w:lineRule="exact" w:line="188"/>
              <w:ind w:right="0" w:left="129" w:firstLine="0"/>
              <w:snapToGrid w:val="0"/>
              <w:textAlignment w:val="auto"/>
              <w:tabs/>
              <w:rPr>
                <w:rFonts w:ascii="宋体" w:hAnsi="宋体" w:cs="宋体" w:eastAsia="宋体" w:hint="ascii"/>
                <w:sz w:val="15"/>
              </w:rPr>
            </w:pPr>
            <w:r>
              <w:rPr>
                <w:rFonts w:ascii="宋体" w:hAnsi="宋体" w:cs="宋体" w:eastAsia="宋体" w:hint="ascii"/>
                <w:sz w:val="15"/>
                <w:spacing w:val="-4"/>
              </w:rPr>
              <w:t>直接费用平均资助强度（万元</w:t>
            </w:r>
            <w:r>
              <w:rPr>
                <w:rFonts w:ascii="Times New Roman" w:hAnsi="Times New Roman" w:cs="Times New Roman" w:eastAsia="Times New Roman" w:hint="ascii"/>
                <w:sz w:val="15"/>
                <w:spacing w:val="-5"/>
              </w:rPr>
              <w:t>/</w:t>
            </w:r>
            <w:r>
              <w:rPr>
                <w:rFonts w:ascii="宋体" w:hAnsi="宋体" w:cs="宋体" w:eastAsia="宋体" w:hint="ascii"/>
                <w:sz w:val="15"/>
                <w:spacing w:val="-4"/>
              </w:rPr>
              <w:t>项</w:t>
            </w:r>
            <w:r>
              <w:rPr>
                <w:rFonts w:ascii="宋体" w:hAnsi="宋体" w:cs="宋体" w:eastAsia="宋体" w:hint="ascii"/>
                <w:sz w:val="15"/>
              </w:rPr>
              <w:t>）</w:t>
            </w:r>
          </w:p>
        </w:tc>
        <w:tc>
          <w:tcPr>
            <w:tcW w:w="2768"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23" w:after="0" w:lineRule="auto" w:line="240"/>
              <w:ind w:right="0" w:left="12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20.02</w:t>
            </w:r>
          </w:p>
        </w:tc>
        <w:tc>
          <w:tcPr>
            <w:tcW w:w="2777"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23" w:after="0" w:lineRule="auto" w:line="240"/>
              <w:ind w:right="0" w:left="12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24.27</w:t>
            </w:r>
          </w:p>
        </w:tc>
      </w:tr>
    </w:tbl>
    <w:p>
      <w:pPr>
        <w:autoSpaceDE w:val="0"/>
        <w:autoSpaceDN w:val="0"/>
        <w:jc w:val="left"/>
        <w:spacing w:before="352"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生命科学部</w:t>
      </w:r>
    </w:p>
    <w:p>
      <w:pPr>
        <w:autoSpaceDE w:val="0"/>
        <w:autoSpaceDN w:val="0"/>
        <w:jc w:val="left"/>
        <w:spacing w:before="325" w:after="0" w:lineRule="auto" w:line="240"/>
        <w:ind w:right="0" w:left="1859" w:hanging="473"/>
        <w:snapToGrid w:val="0"/>
        <w:textAlignment w:val="auto"/>
        <w:tabs>
          <w:tab w:val="left" w:leader="none" w:pos="1858"/>
        </w:tabs>
        <w:numPr>
          <w:ilvl w:val="0"/>
          <w:numId w:val="181"/>
        </w:numPr>
        <w:rPr>
          <w:rFonts w:ascii="Times New Roman" w:hAnsi="Times New Roman" w:cs="Times New Roman" w:eastAsia="Times New Roman" w:hint="ascii"/>
          <w:sz w:val="21"/>
          <w:spacing w:val="1"/>
        </w:rPr>
      </w:pPr>
      <w:r>
        <w:rPr>
          <w:rFonts w:ascii="宋体" w:hAnsi="宋体" w:cs="宋体" w:eastAsia="宋体" w:hint="ascii"/>
          <w:sz w:val="21"/>
        </w:rPr>
        <w:t>年度生命科学部共接收青年科学基金项目申</w:t>
      </w:r>
      <w:r>
        <w:rPr>
          <w:rFonts w:ascii="宋体" w:hAnsi="宋体" w:cs="宋体" w:eastAsia="宋体" w:hint="ascii"/>
          <w:sz w:val="21"/>
          <w:spacing w:val="27"/>
        </w:rPr>
        <w:t>请</w:t>
      </w:r>
      <w:r>
        <w:rPr>
          <w:rFonts w:ascii="Times New Roman" w:hAnsi="Times New Roman" w:cs="Times New Roman" w:eastAsia="Times New Roman" w:hint="ascii"/>
          <w:sz w:val="21"/>
        </w:rPr>
        <w:t>10 56</w:t>
      </w:r>
      <w:r>
        <w:rPr>
          <w:rFonts w:ascii="Times New Roman" w:hAnsi="Times New Roman" w:cs="Times New Roman" w:eastAsia="Times New Roman" w:hint="ascii"/>
          <w:sz w:val="21"/>
          <w:spacing w:val="52"/>
        </w:rPr>
        <w:t>6</w:t>
      </w:r>
      <w:r>
        <w:rPr>
          <w:rFonts w:ascii="宋体" w:hAnsi="宋体" w:cs="宋体" w:eastAsia="宋体" w:hint="ascii"/>
          <w:sz w:val="21"/>
        </w:rPr>
        <w:t>项，受</w:t>
      </w:r>
      <w:r>
        <w:rPr>
          <w:rFonts w:ascii="宋体" w:hAnsi="宋体" w:cs="宋体" w:eastAsia="宋体" w:hint="ascii"/>
          <w:sz w:val="21"/>
          <w:spacing w:val="26"/>
        </w:rPr>
        <w:t>理</w:t>
      </w:r>
      <w:r>
        <w:rPr>
          <w:rFonts w:ascii="Times New Roman" w:hAnsi="Times New Roman" w:cs="Times New Roman" w:eastAsia="Times New Roman" w:hint="ascii"/>
          <w:sz w:val="21"/>
        </w:rPr>
        <w:t xml:space="preserve">10 238 </w:t>
      </w:r>
      <w:r>
        <w:rPr>
          <w:rFonts w:ascii="宋体" w:hAnsi="宋体" w:cs="宋体" w:eastAsia="宋体" w:hint="ascii"/>
          <w:sz w:val="21"/>
        </w:rPr>
        <w:t>项，资</w:t>
      </w:r>
    </w:p>
    <w:p>
      <w:pPr>
        <w:autoSpaceDE w:val="0"/>
        <w:autoSpaceDN w:val="0"/>
        <w:jc w:val="both"/>
        <w:spacing w:before="17" w:after="0" w:lineRule="exact" w:line="320"/>
        <w:ind w:right="972" w:left="966" w:firstLine="0"/>
        <w:snapToGrid w:val="0"/>
        <w:textAlignment w:val="auto"/>
        <w:tabs/>
        <w:rPr>
          <w:rFonts w:ascii="宋体" w:hAnsi="宋体" w:cs="宋体" w:eastAsia="宋体" w:hint="ascii"/>
          <w:sz w:val="21"/>
        </w:rPr>
      </w:pPr>
      <w:r>
        <w:rPr>
          <w:rFonts w:ascii="宋体" w:hAnsi="宋体" w:cs="宋体" w:eastAsia="宋体" w:hint="ascii"/>
          <w:sz w:val="21"/>
          <w:spacing w:val="26"/>
        </w:rPr>
        <w:t>助</w:t>
      </w:r>
      <w:r>
        <w:rPr>
          <w:rFonts w:ascii="Times New Roman" w:hAnsi="Times New Roman" w:cs="Times New Roman" w:eastAsia="Times New Roman" w:hint="ascii"/>
          <w:sz w:val="21"/>
        </w:rPr>
        <w:t xml:space="preserve">2 </w:t>
      </w:r>
      <w:r>
        <w:rPr>
          <w:rFonts w:ascii="Times New Roman" w:hAnsi="Times New Roman" w:cs="Times New Roman" w:eastAsia="Times New Roman" w:hint="ascii"/>
          <w:sz w:val="21"/>
          <w:spacing w:val="-2"/>
        </w:rPr>
        <w:t>39</w:t>
      </w:r>
      <w:r>
        <w:rPr>
          <w:rFonts w:ascii="Times New Roman" w:hAnsi="Times New Roman" w:cs="Times New Roman" w:eastAsia="Times New Roman" w:hint="ascii"/>
          <w:sz w:val="21"/>
          <w:spacing w:val="53"/>
        </w:rPr>
        <w:t>5</w:t>
      </w:r>
      <w:r>
        <w:rPr>
          <w:rFonts w:ascii="宋体" w:hAnsi="宋体" w:cs="宋体" w:eastAsia="宋体" w:hint="ascii"/>
          <w:sz w:val="21"/>
        </w:rPr>
        <w:t>项</w:t>
      </w:r>
      <w:r>
        <w:rPr>
          <w:rFonts w:ascii="宋体" w:hAnsi="宋体" w:cs="宋体" w:eastAsia="宋体" w:hint="ascii"/>
          <w:sz w:val="21"/>
          <w:spacing w:val="-1"/>
        </w:rPr>
        <w:t>，</w:t>
      </w:r>
      <w:r>
        <w:rPr>
          <w:rFonts w:ascii="宋体" w:hAnsi="宋体" w:cs="宋体" w:eastAsia="宋体" w:hint="ascii"/>
          <w:sz w:val="21"/>
        </w:rPr>
        <w:t>资助率</w:t>
      </w:r>
      <w:r>
        <w:rPr>
          <w:rFonts w:ascii="宋体" w:hAnsi="宋体" w:cs="宋体" w:eastAsia="宋体" w:hint="ascii"/>
          <w:sz w:val="21"/>
          <w:spacing w:val="26"/>
        </w:rPr>
        <w:t>为</w:t>
      </w:r>
      <w:r>
        <w:rPr>
          <w:rFonts w:ascii="Times New Roman" w:hAnsi="Times New Roman" w:cs="Times New Roman" w:eastAsia="Times New Roman" w:hint="ascii"/>
          <w:sz w:val="21"/>
          <w:spacing w:val="-2"/>
        </w:rPr>
        <w:t>22</w:t>
      </w:r>
      <w:r>
        <w:rPr>
          <w:rFonts w:ascii="Times New Roman" w:hAnsi="Times New Roman" w:cs="Times New Roman" w:eastAsia="Times New Roman" w:hint="ascii"/>
          <w:sz w:val="21"/>
          <w:spacing w:val="-3"/>
        </w:rPr>
        <w:t>.</w:t>
      </w:r>
      <w:r>
        <w:rPr>
          <w:rFonts w:ascii="Times New Roman" w:hAnsi="Times New Roman" w:cs="Times New Roman" w:eastAsia="Times New Roman" w:hint="ascii"/>
          <w:sz w:val="21"/>
          <w:spacing w:val="-2"/>
        </w:rPr>
        <w:t>67</w:t>
      </w:r>
      <w:r>
        <w:rPr>
          <w:rFonts w:ascii="Times New Roman" w:hAnsi="Times New Roman" w:cs="Times New Roman" w:eastAsia="Times New Roman" w:hint="ascii"/>
          <w:sz w:val="21"/>
        </w:rPr>
        <w:t>%</w:t>
      </w:r>
      <w:r>
        <w:rPr>
          <w:rFonts w:ascii="宋体" w:hAnsi="宋体" w:cs="宋体" w:eastAsia="宋体" w:hint="ascii"/>
          <w:sz w:val="21"/>
        </w:rPr>
        <w:t>，直</w:t>
      </w:r>
      <w:r>
        <w:rPr>
          <w:rFonts w:ascii="宋体" w:hAnsi="宋体" w:cs="宋体" w:eastAsia="宋体" w:hint="ascii"/>
          <w:sz w:val="21"/>
          <w:spacing w:val="-1"/>
        </w:rPr>
        <w:t>接费</w:t>
      </w:r>
      <w:r>
        <w:rPr>
          <w:rFonts w:ascii="宋体" w:hAnsi="宋体" w:cs="宋体" w:eastAsia="宋体" w:hint="ascii"/>
          <w:sz w:val="21"/>
        </w:rPr>
        <w:t>用平均</w:t>
      </w:r>
      <w:r>
        <w:rPr>
          <w:rFonts w:ascii="宋体" w:hAnsi="宋体" w:cs="宋体" w:eastAsia="宋体" w:hint="ascii"/>
          <w:sz w:val="21"/>
          <w:spacing w:val="-1"/>
        </w:rPr>
        <w:t>资助</w:t>
      </w:r>
      <w:r>
        <w:rPr>
          <w:rFonts w:ascii="宋体" w:hAnsi="宋体" w:cs="宋体" w:eastAsia="宋体" w:hint="ascii"/>
          <w:sz w:val="21"/>
        </w:rPr>
        <w:t>强度</w:t>
      </w:r>
      <w:r>
        <w:rPr>
          <w:rFonts w:ascii="宋体" w:hAnsi="宋体" w:cs="宋体" w:eastAsia="宋体" w:hint="ascii"/>
          <w:sz w:val="21"/>
          <w:spacing w:val="26"/>
        </w:rPr>
        <w:t>为</w:t>
      </w:r>
      <w:r>
        <w:rPr>
          <w:rFonts w:ascii="Times New Roman" w:hAnsi="Times New Roman" w:cs="Times New Roman" w:eastAsia="Times New Roman" w:hint="ascii"/>
          <w:sz w:val="21"/>
          <w:spacing w:val="-3"/>
        </w:rPr>
        <w:t>2</w:t>
      </w:r>
      <w:r>
        <w:rPr>
          <w:rFonts w:ascii="Times New Roman" w:hAnsi="Times New Roman" w:cs="Times New Roman" w:eastAsia="Times New Roman" w:hint="ascii"/>
          <w:sz w:val="21"/>
          <w:spacing w:val="-2"/>
        </w:rPr>
        <w:t>3.9</w:t>
      </w:r>
      <w:r>
        <w:rPr>
          <w:rFonts w:ascii="Times New Roman" w:hAnsi="Times New Roman" w:cs="Times New Roman" w:eastAsia="Times New Roman" w:hint="ascii"/>
          <w:sz w:val="21"/>
          <w:spacing w:val="53"/>
        </w:rPr>
        <w:t>9</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项。今后，</w:t>
      </w:r>
      <w:r>
        <w:rPr>
          <w:rFonts w:ascii="宋体" w:hAnsi="宋体" w:cs="宋体" w:eastAsia="宋体" w:hint="ascii"/>
          <w:sz w:val="21"/>
          <w:spacing w:val="1"/>
        </w:rPr>
        <w:t>生</w:t>
      </w:r>
      <w:r>
        <w:rPr>
          <w:rFonts w:ascii="宋体" w:hAnsi="宋体" w:cs="宋体" w:eastAsia="宋体" w:hint="ascii"/>
          <w:sz w:val="21"/>
        </w:rPr>
        <w:t>命科</w:t>
      </w:r>
      <w:r>
        <w:rPr>
          <w:rFonts w:ascii="宋体" w:hAnsi="宋体" w:cs="宋体" w:eastAsia="宋体" w:hint="ascii"/>
          <w:sz w:val="21"/>
          <w:spacing w:val="-1"/>
        </w:rPr>
        <w:t>学部</w:t>
      </w:r>
      <w:r>
        <w:rPr>
          <w:rFonts w:ascii="宋体" w:hAnsi="宋体" w:cs="宋体" w:eastAsia="宋体" w:hint="ascii"/>
          <w:sz w:val="21"/>
        </w:rPr>
        <w:t>将继续按照自然科学基金委关于稳定科技队伍、培育后继人才、激励创新思维、扶</w:t>
      </w:r>
      <w:r>
        <w:rPr>
          <w:rFonts w:ascii="宋体" w:hAnsi="宋体" w:cs="宋体" w:eastAsia="宋体" w:hint="ascii"/>
          <w:sz w:val="21"/>
          <w:spacing w:val="-1"/>
        </w:rPr>
        <w:t>持独</w:t>
      </w:r>
      <w:r>
        <w:rPr>
          <w:rFonts w:ascii="宋体" w:hAnsi="宋体" w:cs="宋体" w:eastAsia="宋体" w:hint="ascii"/>
          <w:sz w:val="21"/>
        </w:rPr>
        <w:t>立研究这一青年科学基金项目的定位原则，稳定支持青年科技人才。有关申请注意事项详见生命科学部面上项目申请指南。</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6"/>
        </w:rPr>
        <w:t xml:space="preserve"> </w:t>
      </w:r>
      <w:r>
        <w:rPr>
          <w:rFonts w:ascii="宋体" w:hAnsi="宋体" w:cs="宋体" w:eastAsia="宋体" w:hint="ascii"/>
          <w:sz w:val="21"/>
        </w:rPr>
        <w:t>年度生命科学部青年科学基金项目直接费用</w:t>
      </w:r>
      <w:r>
        <w:rPr>
          <w:rFonts w:ascii="宋体" w:hAnsi="宋体" w:cs="宋体" w:eastAsia="宋体" w:hint="ascii"/>
          <w:sz w:val="21"/>
          <w:spacing w:val="-1"/>
        </w:rPr>
        <w:t>资</w:t>
      </w:r>
      <w:r>
        <w:rPr>
          <w:rFonts w:ascii="宋体" w:hAnsi="宋体" w:cs="宋体" w:eastAsia="宋体" w:hint="ascii"/>
          <w:sz w:val="21"/>
        </w:rPr>
        <w:t>助</w:t>
      </w:r>
      <w:r>
        <w:rPr>
          <w:rFonts w:ascii="宋体" w:hAnsi="宋体" w:cs="宋体" w:eastAsia="宋体" w:hint="ascii"/>
          <w:sz w:val="21"/>
          <w:spacing w:val="-1"/>
        </w:rPr>
        <w:t>强</w:t>
      </w:r>
      <w:r>
        <w:rPr>
          <w:rFonts w:ascii="宋体" w:hAnsi="宋体" w:cs="宋体" w:eastAsia="宋体" w:hint="ascii"/>
          <w:sz w:val="21"/>
        </w:rPr>
        <w:t>度</w:t>
      </w:r>
      <w:r>
        <w:rPr>
          <w:rFonts w:ascii="宋体" w:hAnsi="宋体" w:cs="宋体" w:eastAsia="宋体" w:hint="ascii"/>
          <w:sz w:val="21"/>
          <w:spacing w:val="-2"/>
        </w:rPr>
        <w:t>与</w:t>
      </w:r>
      <w:r>
        <w:rPr>
          <w:rFonts w:ascii="宋体" w:hAnsi="宋体" w:cs="宋体" w:eastAsia="宋体" w:hint="ascii"/>
          <w:sz w:val="21"/>
          <w:spacing w:val="-27"/>
        </w:rPr>
        <w:t xml:space="preserve"> </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27"/>
        </w:rPr>
        <w:t xml:space="preserve"> </w:t>
      </w:r>
      <w:r>
        <w:rPr>
          <w:rFonts w:ascii="宋体" w:hAnsi="宋体" w:cs="宋体" w:eastAsia="宋体" w:hint="ascii"/>
          <w:sz w:val="21"/>
        </w:rPr>
        <w:t>年度持</w:t>
      </w:r>
      <w:r>
        <w:rPr>
          <w:rFonts w:ascii="宋体" w:hAnsi="宋体" w:cs="宋体" w:eastAsia="宋体" w:hint="ascii"/>
          <w:sz w:val="21"/>
          <w:spacing w:val="-1"/>
        </w:rPr>
        <w:t>平</w:t>
      </w:r>
      <w:r>
        <w:rPr>
          <w:rFonts w:ascii="宋体" w:hAnsi="宋体" w:cs="宋体" w:eastAsia="宋体" w:hint="ascii"/>
          <w:sz w:val="21"/>
        </w:rPr>
        <w:t>。</w:t>
      </w:r>
      <w:r>
        <w:rPr>
          <w:rFonts w:ascii="宋体" w:hAnsi="宋体" w:cs="宋体" w:eastAsia="宋体" w:hint="ascii"/>
          <w:sz w:val="21"/>
          <w:spacing w:val="-1"/>
        </w:rPr>
        <w:t>撰</w:t>
      </w:r>
      <w:r>
        <w:rPr>
          <w:rFonts w:ascii="宋体" w:hAnsi="宋体" w:cs="宋体" w:eastAsia="宋体" w:hint="ascii"/>
          <w:sz w:val="21"/>
        </w:rPr>
        <w:t>写申</w:t>
      </w:r>
      <w:r>
        <w:rPr>
          <w:rFonts w:ascii="宋体" w:hAnsi="宋体" w:cs="宋体" w:eastAsia="宋体" w:hint="ascii"/>
          <w:sz w:val="21"/>
          <w:spacing w:val="-1"/>
        </w:rPr>
        <w:t>请</w:t>
      </w:r>
      <w:r>
        <w:rPr>
          <w:rFonts w:ascii="宋体" w:hAnsi="宋体" w:cs="宋体" w:eastAsia="宋体" w:hint="ascii"/>
          <w:sz w:val="21"/>
        </w:rPr>
        <w:t>书</w:t>
      </w:r>
      <w:r>
        <w:rPr>
          <w:rFonts w:ascii="宋体" w:hAnsi="宋体" w:cs="宋体" w:eastAsia="宋体" w:hint="ascii"/>
          <w:sz w:val="21"/>
          <w:spacing w:val="-1"/>
        </w:rPr>
        <w:t>时</w:t>
      </w:r>
      <w:r>
        <w:rPr>
          <w:rFonts w:ascii="宋体" w:hAnsi="宋体" w:cs="宋体" w:eastAsia="宋体" w:hint="ascii"/>
          <w:sz w:val="21"/>
        </w:rPr>
        <w:t>，与</w:t>
      </w:r>
      <w:r>
        <w:rPr>
          <w:rFonts w:ascii="宋体" w:hAnsi="宋体" w:cs="宋体" w:eastAsia="宋体" w:hint="ascii"/>
          <w:sz w:val="21"/>
          <w:spacing w:val="-1"/>
        </w:rPr>
        <w:t>面</w:t>
      </w:r>
      <w:r>
        <w:rPr>
          <w:rFonts w:ascii="宋体" w:hAnsi="宋体" w:cs="宋体" w:eastAsia="宋体" w:hint="ascii"/>
          <w:sz w:val="21"/>
        </w:rPr>
        <w:t>上</w:t>
      </w:r>
      <w:r>
        <w:rPr>
          <w:rFonts w:ascii="宋体" w:hAnsi="宋体" w:cs="宋体" w:eastAsia="宋体" w:hint="ascii"/>
          <w:sz w:val="21"/>
          <w:spacing w:val="-1"/>
        </w:rPr>
        <w:t>项</w:t>
      </w:r>
      <w:r>
        <w:rPr>
          <w:rFonts w:ascii="宋体" w:hAnsi="宋体" w:cs="宋体" w:eastAsia="宋体" w:hint="ascii"/>
          <w:sz w:val="21"/>
        </w:rPr>
        <w:t>目要</w:t>
      </w:r>
      <w:r>
        <w:rPr>
          <w:rFonts w:ascii="宋体" w:hAnsi="宋体" w:cs="宋体" w:eastAsia="宋体" w:hint="ascii"/>
          <w:sz w:val="21"/>
          <w:spacing w:val="-1"/>
        </w:rPr>
        <w:t>求</w:t>
      </w:r>
      <w:r>
        <w:rPr>
          <w:rFonts w:ascii="宋体" w:hAnsi="宋体" w:cs="宋体" w:eastAsia="宋体" w:hint="ascii"/>
          <w:sz w:val="21"/>
        </w:rPr>
        <w:t>相</w:t>
      </w:r>
      <w:r>
        <w:rPr>
          <w:rFonts w:ascii="宋体" w:hAnsi="宋体" w:cs="宋体" w:eastAsia="宋体" w:hint="ascii"/>
          <w:sz w:val="21"/>
          <w:spacing w:val="-1"/>
        </w:rPr>
        <w:t>同</w:t>
      </w:r>
      <w:r>
        <w:rPr>
          <w:rFonts w:ascii="宋体" w:hAnsi="宋体" w:cs="宋体" w:eastAsia="宋体" w:hint="ascii"/>
          <w:sz w:val="21"/>
        </w:rPr>
        <w:t>部分</w:t>
      </w:r>
      <w:r>
        <w:rPr>
          <w:rFonts w:ascii="宋体" w:hAnsi="宋体" w:cs="宋体" w:eastAsia="宋体" w:hint="ascii"/>
          <w:sz w:val="21"/>
          <w:spacing w:val="-1"/>
        </w:rPr>
        <w:t>请</w:t>
      </w:r>
      <w:r>
        <w:rPr>
          <w:rFonts w:ascii="宋体" w:hAnsi="宋体" w:cs="宋体" w:eastAsia="宋体" w:hint="ascii"/>
          <w:sz w:val="21"/>
        </w:rPr>
        <w:t>阅</w:t>
      </w:r>
      <w:r>
        <w:rPr>
          <w:rFonts w:ascii="宋体" w:hAnsi="宋体" w:cs="宋体" w:eastAsia="宋体" w:hint="ascii"/>
          <w:sz w:val="21"/>
          <w:spacing w:val="-1"/>
        </w:rPr>
        <w:t>读</w:t>
      </w:r>
      <w:r>
        <w:rPr>
          <w:rFonts w:ascii="宋体" w:hAnsi="宋体" w:cs="宋体" w:eastAsia="宋体" w:hint="ascii"/>
          <w:sz w:val="21"/>
        </w:rPr>
        <w:t>并</w:t>
      </w:r>
      <w:r>
        <w:rPr>
          <w:rFonts w:ascii="宋体" w:hAnsi="宋体" w:cs="宋体" w:eastAsia="宋体" w:hint="ascii"/>
          <w:sz w:val="21"/>
          <w:spacing w:val="-4"/>
        </w:rPr>
        <w:t>参</w:t>
      </w:r>
      <w:r>
        <w:rPr>
          <w:rFonts w:ascii="宋体" w:hAnsi="宋体" w:cs="宋体" w:eastAsia="宋体" w:hint="ascii"/>
          <w:sz w:val="21"/>
          <w:spacing w:val="-1"/>
        </w:rPr>
        <w:t>照</w:t>
      </w:r>
      <w:r>
        <w:rPr>
          <w:rFonts w:ascii="宋体" w:hAnsi="宋体" w:cs="宋体" w:eastAsia="宋体" w:hint="ascii"/>
          <w:sz w:val="21"/>
          <w:spacing w:val="-1"/>
        </w:rPr>
        <w:t>生</w:t>
      </w:r>
      <w:r>
        <w:rPr>
          <w:rFonts w:ascii="宋体" w:hAnsi="宋体" w:cs="宋体" w:eastAsia="宋体" w:hint="ascii"/>
          <w:sz w:val="21"/>
        </w:rPr>
        <w:t>命科学部面上项目指南中的申请注意事项要求。有关学科的资助范围和不予受理范畴请参照学科的面上项目指南。</w:t>
      </w:r>
    </w:p>
    <w:p>
      <w:pPr>
        <w:autoSpaceDE w:val="0"/>
        <w:autoSpaceDN w:val="0"/>
        <w:jc w:val="left"/>
        <w:spacing w:before="579"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青年科学基金项目</w:t>
      </w:r>
    </w:p>
    <w:p>
      <w:pPr>
        <w:autoSpaceDE w:val="0"/>
        <w:autoSpaceDN w:val="0"/>
        <w:jc w:val="left"/>
        <w:spacing w:before="327" w:after="0" w:lineRule="exact" w:line="225"/>
        <w:ind w:right="0" w:left="3073" w:firstLine="0"/>
        <w:snapToGrid w:val="0"/>
        <w:textAlignment w:val="auto"/>
        <w:tabs/>
        <w:rPr>
          <w:rFonts w:ascii="宋体" w:hAnsi="宋体" w:cs="宋体" w:eastAsia="宋体" w:hint="ascii"/>
          <w:sz w:val="18"/>
        </w:rPr>
      </w:pPr>
      <w:r>
        <w:rPr>
          <w:rFonts w:ascii="宋体" w:hAnsi="宋体" w:cs="宋体" w:eastAsia="宋体" w:hint="ascii"/>
          <w:sz w:val="18"/>
        </w:rPr>
        <w:t>生命科学部青年科学基金项目近两年资助情况一览表</w:t>
      </w:r>
      <w:r>
        <w:rPr>
          <w:rFonts w:ascii="宋体" w:hAnsi="宋体" w:cs="宋体" w:eastAsia="宋体" w:hint="ascii"/>
          <w:sz w:val="18"/>
        </w:rPr>
        <mc:AlternateContent>
          <mc:Choice Requires="wps">
            <w:drawing>
              <wp:anchor distL="0" distR="0" distT="0" distB="0" simplePos="0" behindDoc="1" relativeHeight="204" locked="0" layoutInCell="1" allowOverlap="1">
                <wp:simplePos x="0" y="0"/>
                <wp:positionH relativeFrom="page">
                  <wp:posOffset>938530</wp:posOffset>
                </wp:positionH>
                <wp:positionV relativeFrom="page">
                  <wp:posOffset>819150</wp:posOffset>
                </wp:positionV>
                <wp:extent cx="5076190" cy="0"/>
                <wp:wrapNone/>
                <wp:docPr id="1233" name="123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49344;width:399.70pt;" id="123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7" w:type="dxa"/>
        <w:jc w:val="left"/>
        <w:tblInd w:w="964"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908"/>
        <w:gridCol w:w="1531"/>
        <w:gridCol w:w="852"/>
        <w:gridCol w:w="852"/>
        <w:gridCol w:w="1076"/>
        <w:gridCol w:w="851"/>
        <w:gridCol w:w="850"/>
        <w:gridCol w:w="1077"/>
      </w:tblGrid>
      <w:tr>
        <w:trPr>
          <w:trHeight w:val="270" w:hRule="exact"/>
          <w:cantSplit w:val="1"/>
        </w:trPr>
        <w:tc>
          <w:tcPr>
            <w:tcW w:w="2439" w:type="dxa"/>
            <w:gridSpan w:val="2"/>
            <w:vAlign w:val="top"/>
            <w:vMerge w:val="restart"/>
            <w:tcMar/>
            <w:tcBorders/>
          </w:tcPr>
          <w:p>
            <w:pPr>
              <w:autoSpaceDE w:val="0"/>
              <w:autoSpaceDN w:val="0"/>
              <w:jc w:val="left"/>
              <w:spacing w:before="270" w:after="0" w:lineRule="exact" w:line="188"/>
              <w:ind w:right="0" w:left="1134"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780" w:type="dxa"/>
            <w:gridSpan w:val="3"/>
            <w:vAlign w:val="top"/>
            <w:tcMar/>
            <w:tcBorders>
              <w:left w:val="single" w:sz="4" w:space="0" w:color="000000"/>
            </w:tcBorders>
          </w:tcPr>
          <w:p>
            <w:pPr>
              <w:autoSpaceDE w:val="0"/>
              <w:autoSpaceDN w:val="0"/>
              <w:jc w:val="left"/>
              <w:spacing w:before="30" w:after="0" w:lineRule="auto" w:line="240"/>
              <w:ind w:right="0" w:left="1217" w:firstLine="0"/>
              <w:snapToGrid w:val="0"/>
              <w:textAlignment w:val="auto"/>
              <w:tabs>
                <w:tab w:val="left" w:leader="none" w:pos="1560"/>
              </w:tabs>
              <w:numPr>
                <w:ilvl w:val="0"/>
                <w:numId w:val="182"/>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778" w:type="dxa"/>
            <w:gridSpan w:val="3"/>
            <w:vAlign w:val="top"/>
            <w:tcMar/>
            <w:tcBorders>
              <w:left w:val="single" w:sz="4" w:space="0" w:color="000000"/>
              <w:right w:val="single" w:sz="8" w:space="0" w:color="000000"/>
            </w:tcBorders>
          </w:tcPr>
          <w:p>
            <w:pPr>
              <w:autoSpaceDE w:val="0"/>
              <w:autoSpaceDN w:val="0"/>
              <w:jc w:val="left"/>
              <w:spacing w:before="30" w:after="0" w:lineRule="auto" w:line="240"/>
              <w:ind w:right="0" w:left="1215" w:firstLine="0"/>
              <w:snapToGrid w:val="0"/>
              <w:textAlignment w:val="auto"/>
              <w:tabs>
                <w:tab w:val="left" w:leader="none" w:pos="1560"/>
              </w:tabs>
              <w:numPr>
                <w:ilvl w:val="0"/>
                <w:numId w:val="182"/>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78" w:hRule="exact"/>
          <w:cantSplit w:val="1"/>
        </w:trPr>
        <w:tc>
          <w:tcPr>
            <w:tcW w:w="243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52" w:type="dxa"/>
            <w:gridSpan w:val="1"/>
            <w:vAlign w:val="top"/>
            <w:tcMar/>
            <w:tcBorders>
              <w:left w:val="single" w:sz="4" w:space="0" w:color="000000"/>
              <w:top w:val="single" w:sz="4" w:space="0" w:color="000000"/>
            </w:tcBorders>
          </w:tcPr>
          <w:p>
            <w:pPr>
              <w:autoSpaceDE w:val="0"/>
              <w:autoSpaceDN w:val="0"/>
              <w:jc w:val="left"/>
              <w:spacing w:before="137"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2"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121"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6" w:type="dxa"/>
            <w:gridSpan w:val="1"/>
            <w:vAlign w:val="top"/>
            <w:tcMar/>
            <w:tcBorders>
              <w:left w:val="single" w:sz="4" w:space="0" w:color="000000"/>
              <w:top w:val="single" w:sz="4" w:space="0" w:color="000000"/>
            </w:tcBorders>
          </w:tcPr>
          <w:p>
            <w:pPr>
              <w:autoSpaceDE w:val="0"/>
              <w:autoSpaceDN w:val="0"/>
              <w:jc w:val="left"/>
              <w:spacing w:before="26"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33"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51" w:type="dxa"/>
            <w:gridSpan w:val="1"/>
            <w:vAlign w:val="top"/>
            <w:tcMar/>
            <w:tcBorders>
              <w:left w:val="single" w:sz="4" w:space="0" w:color="000000"/>
              <w:top w:val="single" w:sz="4" w:space="0" w:color="000000"/>
            </w:tcBorders>
          </w:tcPr>
          <w:p>
            <w:pPr>
              <w:autoSpaceDE w:val="0"/>
              <w:autoSpaceDN w:val="0"/>
              <w:jc w:val="left"/>
              <w:spacing w:before="13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50" w:type="dxa"/>
            <w:gridSpan w:val="1"/>
            <w:vAlign w:val="top"/>
            <w:tcMar/>
            <w:tcBorders>
              <w:left w:val="single" w:sz="4" w:space="0" w:color="000000"/>
              <w:top w:val="single" w:sz="4" w:space="0" w:color="000000"/>
            </w:tcBorders>
          </w:tcPr>
          <w:p>
            <w:pPr>
              <w:autoSpaceDE w:val="0"/>
              <w:autoSpaceDN w:val="0"/>
              <w:jc w:val="left"/>
              <w:spacing w:before="137" w:after="0" w:lineRule="exact" w:line="188"/>
              <w:ind w:right="0" w:left="12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6"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33"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65" w:hRule="exact"/>
          <w:cantSplit w:val="1"/>
        </w:trPr>
        <w:tc>
          <w:tcPr>
            <w:tcW w:w="908" w:type="dxa"/>
            <w:gridSpan w:val="1"/>
            <w:vAlign w:val="top"/>
            <w:vMerge w:val="restart"/>
            <w:tcMar/>
            <w:tcBorders>
              <w:top w:val="single" w:sz="4" w:space="0" w:color="000000"/>
            </w:tcBorders>
          </w:tcPr>
          <w:p>
            <w:pPr>
              <w:autoSpaceDE w:val="0"/>
              <w:autoSpaceDN w:val="0"/>
              <w:jc w:val="left"/>
              <w:spacing w:before="163"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531" w:type="dxa"/>
            <w:gridSpan w:val="1"/>
            <w:vAlign w:val="top"/>
            <w:tcMar/>
            <w:tcBorders>
              <w:left w:val="single" w:sz="4" w:space="0" w:color="000000"/>
              <w:top w:val="single" w:sz="4" w:space="0" w:color="000000"/>
            </w:tcBorders>
          </w:tcPr>
          <w:p>
            <w:pPr>
              <w:autoSpaceDE w:val="0"/>
              <w:autoSpaceDN w:val="0"/>
              <w:jc w:val="left"/>
              <w:spacing w:before="31" w:after="0" w:lineRule="exact" w:line="188"/>
              <w:ind w:right="0" w:left="611" w:firstLine="0"/>
              <w:snapToGrid w:val="0"/>
              <w:textAlignment w:val="auto"/>
              <w:tabs/>
              <w:rPr>
                <w:rFonts w:ascii="宋体" w:hAnsi="宋体" w:cs="宋体" w:eastAsia="宋体" w:hint="ascii"/>
                <w:sz w:val="15"/>
              </w:rPr>
            </w:pPr>
            <w:r>
              <w:rPr>
                <w:rFonts w:ascii="宋体" w:hAnsi="宋体" w:cs="宋体" w:eastAsia="宋体" w:hint="ascii"/>
                <w:sz w:val="15"/>
              </w:rPr>
              <w:t>微生物学</w:t>
            </w:r>
          </w:p>
        </w:tc>
        <w:tc>
          <w:tcPr>
            <w:tcW w:w="85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151</w:t>
            </w:r>
          </w:p>
        </w:tc>
        <w:tc>
          <w:tcPr>
            <w:tcW w:w="85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3 0</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076"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24.08</w:t>
            </w:r>
          </w:p>
        </w:tc>
        <w:tc>
          <w:tcPr>
            <w:tcW w:w="851"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160</w:t>
            </w:r>
          </w:p>
        </w:tc>
        <w:tc>
          <w:tcPr>
            <w:tcW w:w="850"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3 842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22.86</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30" w:after="0" w:lineRule="exact" w:line="188"/>
              <w:ind w:right="0" w:left="685" w:firstLine="0"/>
              <w:snapToGrid w:val="0"/>
              <w:textAlignment w:val="auto"/>
              <w:tabs/>
              <w:rPr>
                <w:rFonts w:ascii="宋体" w:hAnsi="宋体" w:cs="宋体" w:eastAsia="宋体" w:hint="ascii"/>
                <w:sz w:val="15"/>
              </w:rPr>
            </w:pPr>
            <w:r>
              <w:rPr>
                <w:rFonts w:ascii="宋体" w:hAnsi="宋体" w:cs="宋体" w:eastAsia="宋体" w:hint="ascii"/>
                <w:sz w:val="15"/>
              </w:rPr>
              <w:t>植物学</w:t>
            </w:r>
          </w:p>
        </w:tc>
        <w:tc>
          <w:tcPr>
            <w:tcW w:w="85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139</w:t>
            </w:r>
          </w:p>
        </w:tc>
        <w:tc>
          <w:tcPr>
            <w:tcW w:w="85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252" w:firstLine="0"/>
              <w:snapToGrid w:val="0"/>
              <w:textAlignment w:val="auto"/>
              <w:tabs>
                <w:tab w:val="left" w:leader="none" w:pos="370"/>
              </w:tabs>
              <w:numPr>
                <w:ilvl w:val="0"/>
                <w:numId w:val="183"/>
              </w:numPr>
              <w:rPr>
                <w:rFonts w:ascii="Times New Roman" w:hAnsi="Times New Roman" w:cs="Times New Roman" w:eastAsia="Times New Roman" w:hint="ascii"/>
                <w:sz w:val="15"/>
              </w:rPr>
            </w:pPr>
            <w:r>
              <w:rPr>
                <w:rFonts w:ascii="Times New Roman" w:hAnsi="Times New Roman" w:cs="Times New Roman" w:eastAsia="Times New Roman" w:hint="ascii"/>
                <w:sz w:val="15"/>
              </w:rPr>
              <w:t>775</w:t>
            </w:r>
          </w:p>
        </w:tc>
        <w:tc>
          <w:tcPr>
            <w:tcW w:w="1076"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25.88</w:t>
            </w:r>
          </w:p>
        </w:tc>
        <w:tc>
          <w:tcPr>
            <w:tcW w:w="851"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156</w:t>
            </w:r>
          </w:p>
        </w:tc>
        <w:tc>
          <w:tcPr>
            <w:tcW w:w="850"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252" w:firstLine="0"/>
              <w:snapToGrid w:val="0"/>
              <w:textAlignment w:val="auto"/>
              <w:tabs>
                <w:tab w:val="left" w:leader="none" w:pos="370"/>
              </w:tabs>
              <w:numPr>
                <w:ilvl w:val="0"/>
                <w:numId w:val="183"/>
              </w:numPr>
              <w:rPr>
                <w:rFonts w:ascii="Times New Roman" w:hAnsi="Times New Roman" w:cs="Times New Roman" w:eastAsia="Times New Roman" w:hint="ascii"/>
                <w:sz w:val="15"/>
              </w:rPr>
            </w:pPr>
            <w:r>
              <w:rPr>
                <w:rFonts w:ascii="Times New Roman" w:hAnsi="Times New Roman" w:cs="Times New Roman" w:eastAsia="Times New Roman" w:hint="ascii"/>
                <w:sz w:val="15"/>
              </w:rPr>
              <w:t>740</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26.76</w:t>
            </w:r>
          </w:p>
        </w:tc>
      </w:tr>
      <w:tr>
        <w:trPr>
          <w:trHeight w:val="265" w:hRule="exact"/>
          <w:cantSplit w:val="1"/>
        </w:trPr>
        <w:tc>
          <w:tcPr>
            <w:tcW w:w="908" w:type="dxa"/>
            <w:gridSpan w:val="1"/>
            <w:vAlign w:val="top"/>
            <w:vMerge w:val="restart"/>
            <w:tcMar/>
            <w:tcBorders>
              <w:top w:val="single" w:sz="4" w:space="0" w:color="000000"/>
            </w:tcBorders>
          </w:tcPr>
          <w:p>
            <w:pPr>
              <w:autoSpaceDE w:val="0"/>
              <w:autoSpaceDN w:val="0"/>
              <w:jc w:val="left"/>
              <w:spacing w:before="163"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531" w:type="dxa"/>
            <w:gridSpan w:val="1"/>
            <w:vAlign w:val="top"/>
            <w:tcMar/>
            <w:tcBorders>
              <w:left w:val="single" w:sz="4" w:space="0" w:color="000000"/>
              <w:top w:val="single" w:sz="4" w:space="0" w:color="000000"/>
            </w:tcBorders>
          </w:tcPr>
          <w:p>
            <w:pPr>
              <w:autoSpaceDE w:val="0"/>
              <w:autoSpaceDN w:val="0"/>
              <w:jc w:val="left"/>
              <w:spacing w:before="30" w:after="0" w:lineRule="exact" w:line="188"/>
              <w:ind w:right="0" w:left="685" w:firstLine="0"/>
              <w:snapToGrid w:val="0"/>
              <w:textAlignment w:val="auto"/>
              <w:tabs/>
              <w:rPr>
                <w:rFonts w:ascii="宋体" w:hAnsi="宋体" w:cs="宋体" w:eastAsia="宋体" w:hint="ascii"/>
                <w:sz w:val="15"/>
              </w:rPr>
            </w:pPr>
            <w:r>
              <w:rPr>
                <w:rFonts w:ascii="宋体" w:hAnsi="宋体" w:cs="宋体" w:eastAsia="宋体" w:hint="ascii"/>
                <w:sz w:val="15"/>
              </w:rPr>
              <w:t>生态学</w:t>
            </w:r>
          </w:p>
        </w:tc>
        <w:tc>
          <w:tcPr>
            <w:tcW w:w="85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157</w:t>
            </w:r>
          </w:p>
        </w:tc>
        <w:tc>
          <w:tcPr>
            <w:tcW w:w="85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3 146</w:t>
            </w:r>
          </w:p>
        </w:tc>
        <w:tc>
          <w:tcPr>
            <w:tcW w:w="1076"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26.61</w:t>
            </w:r>
          </w:p>
        </w:tc>
        <w:tc>
          <w:tcPr>
            <w:tcW w:w="851"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160</w:t>
            </w:r>
          </w:p>
        </w:tc>
        <w:tc>
          <w:tcPr>
            <w:tcW w:w="850"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252" w:firstLine="0"/>
              <w:snapToGrid w:val="0"/>
              <w:textAlignment w:val="auto"/>
              <w:tabs>
                <w:tab w:val="left" w:leader="none" w:pos="370"/>
              </w:tabs>
              <w:numPr>
                <w:ilvl w:val="0"/>
                <w:numId w:val="184"/>
              </w:numPr>
              <w:rPr>
                <w:rFonts w:ascii="Times New Roman" w:hAnsi="Times New Roman" w:cs="Times New Roman" w:eastAsia="Times New Roman" w:hint="ascii"/>
                <w:sz w:val="15"/>
              </w:rPr>
            </w:pPr>
            <w:r>
              <w:rPr>
                <w:rFonts w:ascii="Times New Roman" w:hAnsi="Times New Roman" w:cs="Times New Roman" w:eastAsia="Times New Roman" w:hint="ascii"/>
                <w:sz w:val="15"/>
              </w:rPr>
              <w:t>843</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26.02</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30" w:after="0" w:lineRule="exact" w:line="188"/>
              <w:ind w:right="0" w:left="761" w:firstLine="0"/>
              <w:snapToGrid w:val="0"/>
              <w:textAlignment w:val="auto"/>
              <w:tabs/>
              <w:rPr>
                <w:rFonts w:ascii="宋体" w:hAnsi="宋体" w:cs="宋体" w:eastAsia="宋体" w:hint="ascii"/>
                <w:sz w:val="15"/>
              </w:rPr>
            </w:pPr>
            <w:r>
              <w:rPr>
                <w:rFonts w:ascii="宋体" w:hAnsi="宋体" w:cs="宋体" w:eastAsia="宋体" w:hint="ascii"/>
                <w:sz w:val="15"/>
              </w:rPr>
              <w:t>林学</w:t>
            </w:r>
          </w:p>
        </w:tc>
        <w:tc>
          <w:tcPr>
            <w:tcW w:w="85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143</w:t>
            </w:r>
          </w:p>
        </w:tc>
        <w:tc>
          <w:tcPr>
            <w:tcW w:w="85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25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2 866</w:t>
            </w:r>
          </w:p>
        </w:tc>
        <w:tc>
          <w:tcPr>
            <w:tcW w:w="1076"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6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851"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0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169</w:t>
            </w:r>
          </w:p>
        </w:tc>
        <w:tc>
          <w:tcPr>
            <w:tcW w:w="850"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252" w:firstLine="0"/>
              <w:snapToGrid w:val="0"/>
              <w:textAlignment w:val="auto"/>
              <w:tabs>
                <w:tab w:val="left" w:leader="none" w:pos="370"/>
              </w:tabs>
              <w:numPr>
                <w:ilvl w:val="0"/>
                <w:numId w:val="184"/>
              </w:numPr>
              <w:rPr>
                <w:rFonts w:ascii="Times New Roman" w:hAnsi="Times New Roman" w:cs="Times New Roman" w:eastAsia="Times New Roman" w:hint="ascii"/>
                <w:sz w:val="15"/>
              </w:rPr>
            </w:pPr>
            <w:r>
              <w:rPr>
                <w:rFonts w:ascii="Times New Roman" w:hAnsi="Times New Roman" w:cs="Times New Roman" w:eastAsia="Times New Roman" w:hint="ascii"/>
                <w:sz w:val="15"/>
              </w:rPr>
              <w:t>046</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0"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21.34</w:t>
            </w:r>
          </w:p>
        </w:tc>
      </w:tr>
      <w:tr>
        <w:trPr>
          <w:trHeight w:val="427" w:hRule="exact"/>
          <w:cantSplit w:val="1"/>
        </w:trPr>
        <w:tc>
          <w:tcPr>
            <w:tcW w:w="908" w:type="dxa"/>
            <w:gridSpan w:val="1"/>
            <w:vAlign w:val="top"/>
            <w:vMerge w:val="restart"/>
            <w:tcMar/>
            <w:tcBorders>
              <w:top w:val="single" w:sz="4" w:space="0" w:color="000000"/>
            </w:tcBorders>
          </w:tcPr>
          <w:p>
            <w:pPr>
              <w:autoSpaceDE w:val="0"/>
              <w:autoSpaceDN w:val="0"/>
              <w:jc w:val="left"/>
              <w:spacing w:before="443"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531"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85" w:firstLine="0"/>
              <w:snapToGrid w:val="0"/>
              <w:textAlignment w:val="auto"/>
              <w:tabs/>
              <w:rPr>
                <w:rFonts w:ascii="宋体" w:hAnsi="宋体" w:cs="宋体" w:eastAsia="宋体" w:hint="ascii"/>
                <w:sz w:val="15"/>
              </w:rPr>
            </w:pPr>
            <w:r>
              <w:rPr>
                <w:rFonts w:ascii="宋体" w:hAnsi="宋体" w:cs="宋体" w:eastAsia="宋体" w:hint="ascii"/>
                <w:sz w:val="15"/>
              </w:rPr>
              <w:t>生物物理、生物化学</w:t>
            </w:r>
          </w:p>
          <w:p>
            <w:pPr>
              <w:autoSpaceDE w:val="0"/>
              <w:autoSpaceDN w:val="0"/>
              <w:jc w:val="left"/>
              <w:spacing w:before="7" w:after="0" w:lineRule="exact" w:line="188"/>
              <w:ind w:right="0" w:left="311" w:firstLine="0"/>
              <w:snapToGrid w:val="0"/>
              <w:textAlignment w:val="auto"/>
              <w:tabs/>
              <w:rPr>
                <w:rFonts w:ascii="宋体" w:hAnsi="宋体" w:cs="宋体" w:eastAsia="宋体" w:hint="ascii"/>
                <w:sz w:val="15"/>
              </w:rPr>
            </w:pPr>
            <w:r>
              <w:rPr>
                <w:rFonts w:ascii="宋体" w:hAnsi="宋体" w:cs="宋体" w:eastAsia="宋体" w:hint="ascii"/>
                <w:sz w:val="15"/>
              </w:rPr>
              <w:t>与分子生物学</w:t>
            </w:r>
          </w:p>
        </w:tc>
        <w:tc>
          <w:tcPr>
            <w:tcW w:w="852"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36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102</w:t>
            </w:r>
          </w:p>
        </w:tc>
        <w:tc>
          <w:tcPr>
            <w:tcW w:w="852"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278" w:firstLine="0"/>
              <w:snapToGrid w:val="0"/>
              <w:textAlignment w:val="auto"/>
              <w:tabs>
                <w:tab w:val="left" w:leader="none" w:pos="396"/>
              </w:tabs>
              <w:numPr>
                <w:ilvl w:val="0"/>
                <w:numId w:val="185"/>
              </w:numPr>
              <w:rPr>
                <w:rFonts w:ascii="Times New Roman" w:hAnsi="Times New Roman" w:cs="Times New Roman" w:eastAsia="Times New Roman" w:hint="ascii"/>
                <w:sz w:val="15"/>
              </w:rPr>
            </w:pPr>
            <w:r>
              <w:rPr>
                <w:rFonts w:ascii="Times New Roman" w:hAnsi="Times New Roman" w:cs="Times New Roman" w:eastAsia="Times New Roman" w:hint="ascii"/>
                <w:sz w:val="15"/>
              </w:rPr>
              <w:t>036</w:t>
            </w:r>
          </w:p>
        </w:tc>
        <w:tc>
          <w:tcPr>
            <w:tcW w:w="1076"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25.00</w:t>
            </w:r>
          </w:p>
        </w:tc>
        <w:tc>
          <w:tcPr>
            <w:tcW w:w="851"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105</w:t>
            </w:r>
          </w:p>
        </w:tc>
        <w:tc>
          <w:tcPr>
            <w:tcW w:w="850"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2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2 522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0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26.85</w:t>
            </w:r>
          </w:p>
        </w:tc>
      </w:tr>
      <w:tr>
        <w:trPr>
          <w:trHeight w:val="264"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535" w:firstLine="0"/>
              <w:snapToGrid w:val="0"/>
              <w:textAlignment w:val="auto"/>
              <w:tabs/>
              <w:rPr>
                <w:rFonts w:ascii="宋体" w:hAnsi="宋体" w:cs="宋体" w:eastAsia="宋体" w:hint="ascii"/>
                <w:sz w:val="15"/>
              </w:rPr>
            </w:pPr>
            <w:r>
              <w:rPr>
                <w:rFonts w:ascii="宋体" w:hAnsi="宋体" w:cs="宋体" w:eastAsia="宋体" w:hint="ascii"/>
                <w:sz w:val="15"/>
              </w:rPr>
              <w:t>免疫学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1 163</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29.74</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1 400</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27.49</w:t>
            </w:r>
          </w:p>
        </w:tc>
      </w:tr>
      <w:tr>
        <w:trPr>
          <w:trHeight w:val="427"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 w:after="0" w:lineRule="exact" w:line="188"/>
              <w:ind w:right="0" w:left="385" w:firstLine="0"/>
              <w:snapToGrid w:val="0"/>
              <w:textAlignment w:val="auto"/>
              <w:tabs/>
              <w:rPr>
                <w:rFonts w:ascii="宋体" w:hAnsi="宋体" w:cs="宋体" w:eastAsia="宋体" w:hint="ascii"/>
                <w:sz w:val="15"/>
              </w:rPr>
            </w:pPr>
            <w:r>
              <w:rPr>
                <w:rFonts w:ascii="宋体" w:hAnsi="宋体" w:cs="宋体" w:eastAsia="宋体" w:hint="ascii"/>
                <w:sz w:val="15"/>
              </w:rPr>
              <w:t>生物力学与</w:t>
            </w:r>
          </w:p>
          <w:p>
            <w:pPr>
              <w:autoSpaceDE w:val="0"/>
              <w:autoSpaceDN w:val="0"/>
              <w:jc w:val="left"/>
              <w:spacing w:before="7" w:after="0" w:lineRule="exact" w:line="188"/>
              <w:ind w:right="0" w:left="385" w:firstLine="0"/>
              <w:snapToGrid w:val="0"/>
              <w:textAlignment w:val="auto"/>
              <w:tabs/>
              <w:rPr>
                <w:rFonts w:ascii="宋体" w:hAnsi="宋体" w:cs="宋体" w:eastAsia="宋体" w:hint="ascii"/>
                <w:sz w:val="15"/>
              </w:rPr>
            </w:pPr>
            <w:r>
              <w:rPr>
                <w:rFonts w:ascii="宋体" w:hAnsi="宋体" w:cs="宋体" w:eastAsia="宋体" w:hint="ascii"/>
                <w:sz w:val="15"/>
              </w:rPr>
              <w:t>组织工程学</w:t>
            </w:r>
          </w:p>
        </w:tc>
        <w:tc>
          <w:tcPr>
            <w:tcW w:w="852"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68</w:t>
            </w:r>
          </w:p>
        </w:tc>
        <w:tc>
          <w:tcPr>
            <w:tcW w:w="852"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278" w:firstLine="0"/>
              <w:snapToGrid w:val="0"/>
              <w:textAlignment w:val="auto"/>
              <w:tabs>
                <w:tab w:val="left" w:leader="none" w:pos="396"/>
              </w:tabs>
              <w:numPr>
                <w:ilvl w:val="0"/>
                <w:numId w:val="186"/>
              </w:numPr>
              <w:rPr>
                <w:rFonts w:ascii="Times New Roman" w:hAnsi="Times New Roman" w:cs="Times New Roman" w:eastAsia="Times New Roman" w:hint="ascii"/>
                <w:sz w:val="15"/>
              </w:rPr>
            </w:pPr>
            <w:r>
              <w:rPr>
                <w:rFonts w:ascii="Times New Roman" w:hAnsi="Times New Roman" w:cs="Times New Roman" w:eastAsia="Times New Roman" w:hint="ascii"/>
                <w:sz w:val="15"/>
              </w:rPr>
              <w:t>368</w:t>
            </w:r>
          </w:p>
        </w:tc>
        <w:tc>
          <w:tcPr>
            <w:tcW w:w="1076"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20.54</w:t>
            </w:r>
          </w:p>
        </w:tc>
        <w:tc>
          <w:tcPr>
            <w:tcW w:w="851"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72</w:t>
            </w:r>
          </w:p>
        </w:tc>
        <w:tc>
          <w:tcPr>
            <w:tcW w:w="850"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288" w:firstLine="0"/>
              <w:snapToGrid w:val="0"/>
              <w:textAlignment w:val="auto"/>
              <w:tabs>
                <w:tab w:val="left" w:leader="none" w:pos="406"/>
              </w:tabs>
              <w:numPr>
                <w:ilvl w:val="0"/>
                <w:numId w:val="187"/>
              </w:numPr>
              <w:rPr>
                <w:rFonts w:ascii="Times New Roman" w:hAnsi="Times New Roman" w:cs="Times New Roman" w:eastAsia="Times New Roman" w:hint="ascii"/>
                <w:sz w:val="15"/>
              </w:rPr>
            </w:pPr>
            <w:r>
              <w:rPr>
                <w:rFonts w:ascii="Times New Roman" w:hAnsi="Times New Roman" w:cs="Times New Roman" w:eastAsia="Times New Roman" w:hint="ascii"/>
                <w:sz w:val="15"/>
              </w:rPr>
              <w:t>739</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0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20.81</w:t>
            </w:r>
          </w:p>
        </w:tc>
      </w:tr>
      <w:tr>
        <w:trPr>
          <w:trHeight w:val="265" w:hRule="exact"/>
          <w:cantSplit w:val="1"/>
        </w:trPr>
        <w:tc>
          <w:tcPr>
            <w:tcW w:w="908" w:type="dxa"/>
            <w:gridSpan w:val="1"/>
            <w:vAlign w:val="top"/>
            <w:vMerge w:val="restart"/>
            <w:tcMar/>
            <w:tcBorders>
              <w:top w:val="single" w:sz="4" w:space="0" w:color="000000"/>
            </w:tcBorders>
          </w:tcPr>
          <w:p>
            <w:pPr>
              <w:autoSpaceDE w:val="0"/>
              <w:autoSpaceDN w:val="0"/>
              <w:jc w:val="left"/>
              <w:spacing w:before="282"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461" w:firstLine="0"/>
              <w:snapToGrid w:val="0"/>
              <w:textAlignment w:val="auto"/>
              <w:tabs/>
              <w:rPr>
                <w:rFonts w:ascii="宋体" w:hAnsi="宋体" w:cs="宋体" w:eastAsia="宋体" w:hint="ascii"/>
                <w:sz w:val="15"/>
              </w:rPr>
            </w:pPr>
            <w:r>
              <w:rPr>
                <w:rFonts w:ascii="宋体" w:hAnsi="宋体" w:cs="宋体" w:eastAsia="宋体" w:hint="ascii"/>
                <w:sz w:val="15"/>
              </w:rPr>
              <w:t>神经科学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52</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88"/>
              </w:numPr>
              <w:rPr>
                <w:rFonts w:ascii="Times New Roman" w:hAnsi="Times New Roman" w:cs="Times New Roman" w:eastAsia="Times New Roman" w:hint="ascii"/>
                <w:sz w:val="15"/>
              </w:rPr>
            </w:pPr>
            <w:r>
              <w:rPr>
                <w:rFonts w:ascii="Times New Roman" w:hAnsi="Times New Roman" w:cs="Times New Roman" w:eastAsia="Times New Roman" w:hint="ascii"/>
                <w:sz w:val="15"/>
              </w:rPr>
              <w:t>036</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21.14</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tab w:val="left" w:leader="none" w:pos="407"/>
              </w:tabs>
              <w:numPr>
                <w:ilvl w:val="0"/>
                <w:numId w:val="189"/>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0"/>
              </w:numPr>
              <w:rPr>
                <w:rFonts w:ascii="Times New Roman" w:hAnsi="Times New Roman" w:cs="Times New Roman" w:eastAsia="Times New Roman" w:hint="ascii"/>
                <w:sz w:val="15"/>
              </w:rPr>
            </w:pPr>
            <w:r>
              <w:rPr>
                <w:rFonts w:ascii="Times New Roman" w:hAnsi="Times New Roman" w:cs="Times New Roman" w:eastAsia="Times New Roman" w:hint="ascii"/>
                <w:sz w:val="15"/>
              </w:rPr>
              <w:t>332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21.79</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61" w:firstLine="0"/>
              <w:snapToGrid w:val="0"/>
              <w:textAlignment w:val="auto"/>
              <w:tabs/>
              <w:rPr>
                <w:rFonts w:ascii="宋体" w:hAnsi="宋体" w:cs="宋体" w:eastAsia="宋体" w:hint="ascii"/>
                <w:sz w:val="15"/>
              </w:rPr>
            </w:pPr>
            <w:r>
              <w:rPr>
                <w:rFonts w:ascii="宋体" w:hAnsi="宋体" w:cs="宋体" w:eastAsia="宋体" w:hint="ascii"/>
                <w:sz w:val="15"/>
              </w:rPr>
              <w:t>心理学与认知科学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63</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91"/>
              </w:numPr>
              <w:rPr>
                <w:rFonts w:ascii="Times New Roman" w:hAnsi="Times New Roman" w:cs="Times New Roman" w:eastAsia="Times New Roman" w:hint="ascii"/>
                <w:sz w:val="15"/>
              </w:rPr>
            </w:pPr>
            <w:r>
              <w:rPr>
                <w:rFonts w:ascii="Times New Roman" w:hAnsi="Times New Roman" w:cs="Times New Roman" w:eastAsia="Times New Roman" w:hint="ascii"/>
                <w:sz w:val="15"/>
              </w:rPr>
              <w:t>251</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20.45</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67</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2"/>
              </w:numPr>
              <w:rPr>
                <w:rFonts w:ascii="Times New Roman" w:hAnsi="Times New Roman" w:cs="Times New Roman" w:eastAsia="Times New Roman" w:hint="ascii"/>
                <w:sz w:val="15"/>
              </w:rPr>
            </w:pPr>
            <w:r>
              <w:rPr>
                <w:rFonts w:ascii="Times New Roman" w:hAnsi="Times New Roman" w:cs="Times New Roman" w:eastAsia="Times New Roman" w:hint="ascii"/>
                <w:sz w:val="15"/>
              </w:rPr>
              <w:t>609</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20.06</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85" w:firstLine="0"/>
              <w:snapToGrid w:val="0"/>
              <w:textAlignment w:val="auto"/>
              <w:tabs/>
              <w:rPr>
                <w:rFonts w:ascii="宋体" w:hAnsi="宋体" w:cs="宋体" w:eastAsia="宋体" w:hint="ascii"/>
                <w:sz w:val="15"/>
              </w:rPr>
            </w:pPr>
            <w:r>
              <w:rPr>
                <w:rFonts w:ascii="宋体" w:hAnsi="宋体" w:cs="宋体" w:eastAsia="宋体" w:hint="ascii"/>
                <w:sz w:val="15"/>
              </w:rPr>
              <w:t>生理学与整合生物学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4" w:firstLine="0"/>
              <w:snapToGrid w:val="0"/>
              <w:textAlignment w:val="auto"/>
              <w:tabs>
                <w:tab w:val="left" w:leader="none" w:pos="396"/>
              </w:tabs>
              <w:numPr>
                <w:ilvl w:val="0"/>
                <w:numId w:val="193"/>
              </w:numPr>
              <w:rPr>
                <w:rFonts w:ascii="Times New Roman" w:hAnsi="Times New Roman" w:cs="Times New Roman" w:eastAsia="Times New Roman" w:hint="ascii"/>
                <w:sz w:val="15"/>
                <w:spacing w:val="1"/>
              </w:rPr>
            </w:pPr>
            <w:r>
              <w:rPr>
                <w:rFonts w:ascii="宋体" w:hAnsi="宋体" w:cs="宋体" w:eastAsia="宋体" w:hint="ascii"/>
                <w:sz w:val="15"/>
              </w:rPr>
              <w:t xml:space="preserve"> </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9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869</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23.89</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47</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4"/>
              </w:numPr>
              <w:rPr>
                <w:rFonts w:ascii="Times New Roman" w:hAnsi="Times New Roman" w:cs="Times New Roman" w:eastAsia="Times New Roman" w:hint="ascii"/>
                <w:sz w:val="15"/>
              </w:rPr>
            </w:pPr>
            <w:r>
              <w:rPr>
                <w:rFonts w:ascii="Times New Roman" w:hAnsi="Times New Roman" w:cs="Times New Roman" w:eastAsia="Times New Roman" w:hint="ascii"/>
                <w:sz w:val="15"/>
              </w:rPr>
              <w:t>134</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25.13</w:t>
            </w:r>
          </w:p>
        </w:tc>
      </w:tr>
      <w:tr>
        <w:trPr>
          <w:trHeight w:val="265" w:hRule="exact"/>
          <w:cantSplit w:val="1"/>
        </w:trPr>
        <w:tc>
          <w:tcPr>
            <w:tcW w:w="908" w:type="dxa"/>
            <w:gridSpan w:val="1"/>
            <w:vAlign w:val="top"/>
            <w:vMerge w:val="restart"/>
            <w:tcMar/>
            <w:tcBorders>
              <w:top w:val="single" w:sz="4" w:space="0" w:color="000000"/>
            </w:tcBorders>
          </w:tcPr>
          <w:p>
            <w:pPr>
              <w:autoSpaceDE w:val="0"/>
              <w:autoSpaceDN w:val="0"/>
              <w:jc w:val="left"/>
              <w:spacing w:before="362"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85" w:firstLine="0"/>
              <w:snapToGrid w:val="0"/>
              <w:textAlignment w:val="auto"/>
              <w:tabs/>
              <w:rPr>
                <w:rFonts w:ascii="宋体" w:hAnsi="宋体" w:cs="宋体" w:eastAsia="宋体" w:hint="ascii"/>
                <w:sz w:val="15"/>
              </w:rPr>
            </w:pPr>
            <w:r>
              <w:rPr>
                <w:rFonts w:ascii="宋体" w:hAnsi="宋体" w:cs="宋体" w:eastAsia="宋体" w:hint="ascii"/>
                <w:sz w:val="15"/>
              </w:rPr>
              <w:t>遗传学与生物信息学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10</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3" w:firstLine="0"/>
              <w:snapToGrid w:val="0"/>
              <w:textAlignment w:val="auto"/>
              <w:tabs>
                <w:tab w:val="left" w:leader="none" w:pos="401"/>
              </w:tabs>
              <w:numPr>
                <w:ilvl w:val="0"/>
                <w:numId w:val="191"/>
              </w:numPr>
              <w:rPr>
                <w:rFonts w:ascii="Times New Roman" w:hAnsi="Times New Roman" w:cs="Times New Roman" w:eastAsia="Times New Roman" w:hint="ascii"/>
                <w:sz w:val="15"/>
              </w:rPr>
            </w:pPr>
            <w:r>
              <w:rPr>
                <w:rFonts w:ascii="Times New Roman" w:hAnsi="Times New Roman" w:cs="Times New Roman" w:eastAsia="Times New Roman" w:hint="ascii"/>
                <w:sz w:val="15"/>
              </w:rPr>
              <w:t>2</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25.82</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14</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4"/>
              </w:numPr>
              <w:rPr>
                <w:rFonts w:ascii="Times New Roman" w:hAnsi="Times New Roman" w:cs="Times New Roman" w:eastAsia="Times New Roman" w:hint="ascii"/>
                <w:sz w:val="15"/>
              </w:rPr>
            </w:pPr>
            <w:r>
              <w:rPr>
                <w:rFonts w:ascii="Times New Roman" w:hAnsi="Times New Roman" w:cs="Times New Roman" w:eastAsia="Times New Roman" w:hint="ascii"/>
                <w:sz w:val="15"/>
              </w:rPr>
              <w:t>746</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24.73</w:t>
            </w:r>
          </w:p>
        </w:tc>
      </w:tr>
      <w:tr>
        <w:trPr>
          <w:trHeight w:val="264"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385" w:firstLine="0"/>
              <w:snapToGrid w:val="0"/>
              <w:textAlignment w:val="auto"/>
              <w:tabs/>
              <w:rPr>
                <w:rFonts w:ascii="宋体" w:hAnsi="宋体" w:cs="宋体" w:eastAsia="宋体" w:hint="ascii"/>
                <w:sz w:val="15"/>
              </w:rPr>
            </w:pPr>
            <w:r>
              <w:rPr>
                <w:rFonts w:ascii="宋体" w:hAnsi="宋体" w:cs="宋体" w:eastAsia="宋体" w:hint="ascii"/>
                <w:sz w:val="15"/>
              </w:rPr>
              <w:t>细胞生物学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72</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95"/>
              </w:numPr>
              <w:rPr>
                <w:rFonts w:ascii="Times New Roman" w:hAnsi="Times New Roman" w:cs="Times New Roman" w:eastAsia="Times New Roman" w:hint="ascii"/>
                <w:sz w:val="15"/>
              </w:rPr>
            </w:pPr>
            <w:r>
              <w:rPr>
                <w:rFonts w:ascii="Times New Roman" w:hAnsi="Times New Roman" w:cs="Times New Roman" w:eastAsia="Times New Roman" w:hint="ascii"/>
                <w:sz w:val="15"/>
              </w:rPr>
              <w:t>445</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23.68</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94</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2"/>
              </w:numPr>
              <w:rPr>
                <w:rFonts w:ascii="Times New Roman" w:hAnsi="Times New Roman" w:cs="Times New Roman" w:eastAsia="Times New Roman" w:hint="ascii"/>
                <w:sz w:val="15"/>
              </w:rPr>
            </w:pPr>
            <w:r>
              <w:rPr>
                <w:rFonts w:ascii="Times New Roman" w:hAnsi="Times New Roman" w:cs="Times New Roman" w:eastAsia="Times New Roman" w:hint="ascii"/>
                <w:sz w:val="15"/>
              </w:rPr>
              <w:t>256</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32.87</w:t>
            </w:r>
          </w:p>
        </w:tc>
      </w:tr>
      <w:tr>
        <w:trPr>
          <w:trHeight w:val="427"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 w:after="0" w:lineRule="exact" w:line="188"/>
              <w:ind w:right="0" w:left="85" w:firstLine="0"/>
              <w:snapToGrid w:val="0"/>
              <w:textAlignment w:val="auto"/>
              <w:tabs/>
              <w:rPr>
                <w:rFonts w:ascii="宋体" w:hAnsi="宋体" w:cs="宋体" w:eastAsia="宋体" w:hint="ascii"/>
                <w:sz w:val="15"/>
              </w:rPr>
            </w:pPr>
            <w:r>
              <w:rPr>
                <w:rFonts w:ascii="宋体" w:hAnsi="宋体" w:cs="宋体" w:eastAsia="宋体" w:hint="ascii"/>
                <w:sz w:val="15"/>
              </w:rPr>
              <w:t>发育生物学与生殖生</w:t>
            </w:r>
          </w:p>
          <w:p>
            <w:pPr>
              <w:autoSpaceDE w:val="0"/>
              <w:autoSpaceDN w:val="0"/>
              <w:jc w:val="left"/>
              <w:spacing w:before="7" w:after="0" w:lineRule="exact" w:line="188"/>
              <w:ind w:right="0" w:left="611" w:firstLine="0"/>
              <w:snapToGrid w:val="0"/>
              <w:textAlignment w:val="auto"/>
              <w:tabs/>
              <w:rPr>
                <w:rFonts w:ascii="宋体" w:hAnsi="宋体" w:cs="宋体" w:eastAsia="宋体" w:hint="ascii"/>
                <w:sz w:val="15"/>
              </w:rPr>
            </w:pPr>
            <w:r>
              <w:rPr>
                <w:rFonts w:ascii="宋体" w:hAnsi="宋体" w:cs="宋体" w:eastAsia="宋体" w:hint="ascii"/>
                <w:sz w:val="15"/>
              </w:rPr>
              <w:t>物学</w:t>
            </w:r>
          </w:p>
        </w:tc>
        <w:tc>
          <w:tcPr>
            <w:tcW w:w="852"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w:t>
            </w:r>
          </w:p>
        </w:tc>
        <w:tc>
          <w:tcPr>
            <w:tcW w:w="852"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39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995</w:t>
            </w:r>
          </w:p>
        </w:tc>
        <w:tc>
          <w:tcPr>
            <w:tcW w:w="1076"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27.93</w:t>
            </w:r>
          </w:p>
        </w:tc>
        <w:tc>
          <w:tcPr>
            <w:tcW w:w="851"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w:t>
            </w:r>
          </w:p>
        </w:tc>
        <w:tc>
          <w:tcPr>
            <w:tcW w:w="850"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288" w:firstLine="0"/>
              <w:snapToGrid w:val="0"/>
              <w:textAlignment w:val="auto"/>
              <w:tabs>
                <w:tab w:val="left" w:leader="none" w:pos="406"/>
              </w:tabs>
              <w:numPr>
                <w:ilvl w:val="0"/>
                <w:numId w:val="196"/>
              </w:numPr>
              <w:rPr>
                <w:rFonts w:ascii="Times New Roman" w:hAnsi="Times New Roman" w:cs="Times New Roman" w:eastAsia="Times New Roman" w:hint="ascii"/>
                <w:sz w:val="15"/>
              </w:rPr>
            </w:pPr>
            <w:r>
              <w:rPr>
                <w:rFonts w:ascii="Times New Roman" w:hAnsi="Times New Roman" w:cs="Times New Roman" w:eastAsia="Times New Roman" w:hint="ascii"/>
                <w:sz w:val="15"/>
              </w:rPr>
              <w:t>206</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0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24.75</w:t>
            </w:r>
          </w:p>
        </w:tc>
      </w:tr>
      <w:tr>
        <w:trPr>
          <w:trHeight w:val="265" w:hRule="exact"/>
          <w:cantSplit w:val="1"/>
        </w:trPr>
        <w:tc>
          <w:tcPr>
            <w:tcW w:w="908" w:type="dxa"/>
            <w:gridSpan w:val="1"/>
            <w:vAlign w:val="top"/>
            <w:vMerge w:val="restart"/>
            <w:tcMar/>
            <w:tcBorders>
              <w:top w:val="single" w:sz="4" w:space="0" w:color="000000"/>
            </w:tcBorders>
          </w:tcPr>
          <w:p>
            <w:pPr>
              <w:autoSpaceDE w:val="0"/>
              <w:autoSpaceDN w:val="0"/>
              <w:jc w:val="left"/>
              <w:spacing w:before="150"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535" w:firstLine="0"/>
              <w:snapToGrid w:val="0"/>
              <w:textAlignment w:val="auto"/>
              <w:tabs/>
              <w:rPr>
                <w:rFonts w:ascii="宋体" w:hAnsi="宋体" w:cs="宋体" w:eastAsia="宋体" w:hint="ascii"/>
                <w:sz w:val="15"/>
              </w:rPr>
            </w:pPr>
            <w:r>
              <w:rPr>
                <w:rFonts w:ascii="宋体" w:hAnsi="宋体" w:cs="宋体" w:eastAsia="宋体" w:hint="ascii"/>
                <w:sz w:val="15"/>
              </w:rPr>
              <w:t>作物学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91"/>
              </w:numPr>
              <w:rPr>
                <w:rFonts w:ascii="Times New Roman" w:hAnsi="Times New Roman" w:cs="Times New Roman" w:eastAsia="Times New Roman" w:hint="ascii"/>
                <w:sz w:val="15"/>
              </w:rPr>
            </w:pPr>
            <w:r>
              <w:rPr>
                <w:rFonts w:ascii="Times New Roman" w:hAnsi="Times New Roman" w:cs="Times New Roman" w:eastAsia="Times New Roman" w:hint="ascii"/>
                <w:sz w:val="15"/>
              </w:rPr>
              <w:t>594</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19.52</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206</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83"/>
              </w:numPr>
              <w:rPr>
                <w:rFonts w:ascii="Times New Roman" w:hAnsi="Times New Roman" w:cs="Times New Roman" w:eastAsia="Times New Roman" w:hint="ascii"/>
                <w:sz w:val="15"/>
              </w:rPr>
            </w:pPr>
            <w:r>
              <w:rPr>
                <w:rFonts w:ascii="Times New Roman" w:hAnsi="Times New Roman" w:cs="Times New Roman" w:eastAsia="Times New Roman" w:hint="ascii"/>
                <w:sz w:val="15"/>
              </w:rPr>
              <w:t>940</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20.44</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461" w:firstLine="0"/>
              <w:snapToGrid w:val="0"/>
              <w:textAlignment w:val="auto"/>
              <w:tabs/>
              <w:rPr>
                <w:rFonts w:ascii="宋体" w:hAnsi="宋体" w:cs="宋体" w:eastAsia="宋体" w:hint="ascii"/>
                <w:sz w:val="15"/>
              </w:rPr>
            </w:pPr>
            <w:r>
              <w:rPr>
                <w:rFonts w:ascii="宋体" w:hAnsi="宋体" w:cs="宋体" w:eastAsia="宋体" w:hint="ascii"/>
                <w:sz w:val="15"/>
              </w:rPr>
              <w:t>食品科学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193</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85"/>
              </w:numPr>
              <w:rPr>
                <w:rFonts w:ascii="Times New Roman" w:hAnsi="Times New Roman" w:cs="Times New Roman" w:eastAsia="Times New Roman" w:hint="ascii"/>
                <w:sz w:val="15"/>
              </w:rPr>
            </w:pPr>
            <w:r>
              <w:rPr>
                <w:rFonts w:ascii="Times New Roman" w:hAnsi="Times New Roman" w:cs="Times New Roman" w:eastAsia="Times New Roman" w:hint="ascii"/>
                <w:sz w:val="15"/>
              </w:rPr>
              <w:t>867</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18.38</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84"/>
              </w:numPr>
              <w:rPr>
                <w:rFonts w:ascii="Times New Roman" w:hAnsi="Times New Roman" w:cs="Times New Roman" w:eastAsia="Times New Roman" w:hint="ascii"/>
                <w:sz w:val="15"/>
              </w:rPr>
            </w:pPr>
            <w:r>
              <w:rPr>
                <w:rFonts w:ascii="Times New Roman" w:hAnsi="Times New Roman" w:cs="Times New Roman" w:eastAsia="Times New Roman" w:hint="ascii"/>
                <w:sz w:val="15"/>
              </w:rPr>
              <w:t>172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19.57</w:t>
            </w:r>
          </w:p>
        </w:tc>
      </w:tr>
      <w:tr>
        <w:trPr>
          <w:trHeight w:val="265" w:hRule="exact"/>
          <w:cantSplit w:val="1"/>
        </w:trPr>
        <w:tc>
          <w:tcPr>
            <w:tcW w:w="908" w:type="dxa"/>
            <w:gridSpan w:val="1"/>
            <w:vAlign w:val="top"/>
            <w:vMerge w:val="restart"/>
            <w:tcMar/>
            <w:tcBorders>
              <w:top w:val="single" w:sz="4" w:space="0" w:color="000000"/>
            </w:tcBorders>
          </w:tcPr>
          <w:p>
            <w:pPr>
              <w:autoSpaceDE w:val="0"/>
              <w:autoSpaceDN w:val="0"/>
              <w:jc w:val="left"/>
              <w:spacing w:before="149"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385" w:firstLine="0"/>
              <w:snapToGrid w:val="0"/>
              <w:textAlignment w:val="auto"/>
              <w:tabs/>
              <w:rPr>
                <w:rFonts w:ascii="宋体" w:hAnsi="宋体" w:cs="宋体" w:eastAsia="宋体" w:hint="ascii"/>
                <w:sz w:val="15"/>
              </w:rPr>
            </w:pPr>
            <w:r>
              <w:rPr>
                <w:rFonts w:ascii="宋体" w:hAnsi="宋体" w:cs="宋体" w:eastAsia="宋体" w:hint="ascii"/>
                <w:sz w:val="15"/>
              </w:rPr>
              <w:t>植物保护学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123</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95"/>
              </w:numPr>
              <w:rPr>
                <w:rFonts w:ascii="Times New Roman" w:hAnsi="Times New Roman" w:cs="Times New Roman" w:eastAsia="Times New Roman" w:hint="ascii"/>
                <w:sz w:val="15"/>
              </w:rPr>
            </w:pPr>
            <w:r>
              <w:rPr>
                <w:rFonts w:ascii="Times New Roman" w:hAnsi="Times New Roman" w:cs="Times New Roman" w:eastAsia="Times New Roman" w:hint="ascii"/>
                <w:sz w:val="15"/>
              </w:rPr>
              <w:t>453</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20.53</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133</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4"/>
              </w:numPr>
              <w:rPr>
                <w:rFonts w:ascii="Times New Roman" w:hAnsi="Times New Roman" w:cs="Times New Roman" w:eastAsia="Times New Roman" w:hint="ascii"/>
                <w:sz w:val="15"/>
              </w:rPr>
            </w:pPr>
            <w:r>
              <w:rPr>
                <w:rFonts w:ascii="Times New Roman" w:hAnsi="Times New Roman" w:cs="Times New Roman" w:eastAsia="Times New Roman" w:hint="ascii"/>
                <w:sz w:val="15"/>
              </w:rPr>
              <w:t>198</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21.49</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85" w:firstLine="0"/>
              <w:snapToGrid w:val="0"/>
              <w:textAlignment w:val="auto"/>
              <w:tabs/>
              <w:rPr>
                <w:rFonts w:ascii="宋体" w:hAnsi="宋体" w:cs="宋体" w:eastAsia="宋体" w:hint="ascii"/>
                <w:sz w:val="15"/>
              </w:rPr>
            </w:pPr>
            <w:r>
              <w:rPr>
                <w:rFonts w:ascii="宋体" w:hAnsi="宋体" w:cs="宋体" w:eastAsia="宋体" w:hint="ascii"/>
                <w:sz w:val="15"/>
              </w:rPr>
              <w:t>园艺学与植物营养学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133</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88"/>
              </w:numPr>
              <w:rPr>
                <w:rFonts w:ascii="Times New Roman" w:hAnsi="Times New Roman" w:cs="Times New Roman" w:eastAsia="Times New Roman" w:hint="ascii"/>
                <w:sz w:val="15"/>
              </w:rPr>
            </w:pPr>
            <w:r>
              <w:rPr>
                <w:rFonts w:ascii="Times New Roman" w:hAnsi="Times New Roman" w:cs="Times New Roman" w:eastAsia="Times New Roman" w:hint="ascii"/>
                <w:sz w:val="15"/>
              </w:rPr>
              <w:t>660</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19.79</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140</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2"/>
              </w:numPr>
              <w:rPr>
                <w:rFonts w:ascii="Times New Roman" w:hAnsi="Times New Roman" w:cs="Times New Roman" w:eastAsia="Times New Roman" w:hint="ascii"/>
                <w:sz w:val="15"/>
              </w:rPr>
            </w:pPr>
            <w:r>
              <w:rPr>
                <w:rFonts w:ascii="Times New Roman" w:hAnsi="Times New Roman" w:cs="Times New Roman" w:eastAsia="Times New Roman" w:hint="ascii"/>
                <w:sz w:val="15"/>
              </w:rPr>
              <w:t>351</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19.64</w:t>
            </w:r>
          </w:p>
        </w:tc>
      </w:tr>
      <w:tr>
        <w:trPr>
          <w:trHeight w:val="264" w:hRule="exact"/>
          <w:cantSplit w:val="1"/>
        </w:trPr>
        <w:tc>
          <w:tcPr>
            <w:tcW w:w="908" w:type="dxa"/>
            <w:gridSpan w:val="1"/>
            <w:vAlign w:val="top"/>
            <w:vMerge w:val="restart"/>
            <w:tcMar/>
            <w:tcBorders>
              <w:top w:val="single" w:sz="4" w:space="0" w:color="000000"/>
            </w:tcBorders>
          </w:tcPr>
          <w:p>
            <w:pPr>
              <w:autoSpaceDE w:val="0"/>
              <w:autoSpaceDN w:val="0"/>
              <w:jc w:val="left"/>
              <w:spacing w:before="414" w:after="0" w:lineRule="exact" w:line="188"/>
              <w:ind w:right="0" w:left="294"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1531"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535" w:firstLine="0"/>
              <w:snapToGrid w:val="0"/>
              <w:textAlignment w:val="auto"/>
              <w:tabs/>
              <w:rPr>
                <w:rFonts w:ascii="宋体" w:hAnsi="宋体" w:cs="宋体" w:eastAsia="宋体" w:hint="ascii"/>
                <w:sz w:val="15"/>
              </w:rPr>
            </w:pPr>
            <w:r>
              <w:rPr>
                <w:rFonts w:ascii="宋体" w:hAnsi="宋体" w:cs="宋体" w:eastAsia="宋体" w:hint="ascii"/>
                <w:sz w:val="15"/>
              </w:rPr>
              <w:t>动物学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72</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97"/>
              </w:numPr>
              <w:rPr>
                <w:rFonts w:ascii="Times New Roman" w:hAnsi="Times New Roman" w:cs="Times New Roman" w:eastAsia="Times New Roman" w:hint="ascii"/>
                <w:sz w:val="15"/>
              </w:rPr>
            </w:pPr>
            <w:r>
              <w:rPr>
                <w:rFonts w:ascii="Times New Roman" w:hAnsi="Times New Roman" w:cs="Times New Roman" w:eastAsia="Times New Roman" w:hint="ascii"/>
                <w:sz w:val="15"/>
              </w:rPr>
              <w:t>433</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25.99</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74</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8"/>
              </w:numPr>
              <w:rPr>
                <w:rFonts w:ascii="Times New Roman" w:hAnsi="Times New Roman" w:cs="Times New Roman" w:eastAsia="Times New Roman" w:hint="ascii"/>
                <w:sz w:val="15"/>
              </w:rPr>
            </w:pPr>
            <w:r>
              <w:rPr>
                <w:rFonts w:ascii="Times New Roman" w:hAnsi="Times New Roman" w:cs="Times New Roman" w:eastAsia="Times New Roman" w:hint="ascii"/>
                <w:sz w:val="15"/>
              </w:rPr>
              <w:t>766</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26.06</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61" w:firstLine="0"/>
              <w:snapToGrid w:val="0"/>
              <w:textAlignment w:val="auto"/>
              <w:tabs/>
              <w:rPr>
                <w:rFonts w:ascii="宋体" w:hAnsi="宋体" w:cs="宋体" w:eastAsia="宋体" w:hint="ascii"/>
                <w:sz w:val="15"/>
              </w:rPr>
            </w:pPr>
            <w:r>
              <w:rPr>
                <w:rFonts w:ascii="宋体" w:hAnsi="宋体" w:cs="宋体" w:eastAsia="宋体" w:hint="ascii"/>
                <w:sz w:val="15"/>
              </w:rPr>
              <w:t>畜牧学与草地科学</w:t>
            </w:r>
          </w:p>
        </w:tc>
        <w:tc>
          <w:tcPr>
            <w:tcW w:w="85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107</w:t>
            </w:r>
          </w:p>
        </w:tc>
        <w:tc>
          <w:tcPr>
            <w:tcW w:w="85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78" w:firstLine="0"/>
              <w:snapToGrid w:val="0"/>
              <w:textAlignment w:val="auto"/>
              <w:tabs>
                <w:tab w:val="left" w:leader="none" w:pos="396"/>
              </w:tabs>
              <w:numPr>
                <w:ilvl w:val="0"/>
                <w:numId w:val="197"/>
              </w:numPr>
              <w:rPr>
                <w:rFonts w:ascii="Times New Roman" w:hAnsi="Times New Roman" w:cs="Times New Roman" w:eastAsia="Times New Roman" w:hint="ascii"/>
                <w:sz w:val="15"/>
              </w:rPr>
            </w:pPr>
            <w:r>
              <w:rPr>
                <w:rFonts w:ascii="Times New Roman" w:hAnsi="Times New Roman" w:cs="Times New Roman" w:eastAsia="Times New Roman" w:hint="ascii"/>
                <w:sz w:val="15"/>
              </w:rPr>
              <w:t>143</w:t>
            </w:r>
          </w:p>
        </w:tc>
        <w:tc>
          <w:tcPr>
            <w:tcW w:w="1076"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20.54</w:t>
            </w:r>
          </w:p>
        </w:tc>
        <w:tc>
          <w:tcPr>
            <w:tcW w:w="851"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18</w:t>
            </w:r>
          </w:p>
        </w:tc>
        <w:tc>
          <w:tcPr>
            <w:tcW w:w="850"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288" w:firstLine="0"/>
              <w:snapToGrid w:val="0"/>
              <w:textAlignment w:val="auto"/>
              <w:tabs>
                <w:tab w:val="left" w:leader="none" w:pos="406"/>
              </w:tabs>
              <w:numPr>
                <w:ilvl w:val="0"/>
                <w:numId w:val="198"/>
              </w:numPr>
              <w:rPr>
                <w:rFonts w:ascii="Times New Roman" w:hAnsi="Times New Roman" w:cs="Times New Roman" w:eastAsia="Times New Roman" w:hint="ascii"/>
                <w:sz w:val="15"/>
              </w:rPr>
            </w:pPr>
            <w:r>
              <w:rPr>
                <w:rFonts w:ascii="Times New Roman" w:hAnsi="Times New Roman" w:cs="Times New Roman" w:eastAsia="Times New Roman" w:hint="ascii"/>
                <w:sz w:val="15"/>
              </w:rPr>
              <w:t>822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20.92</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535" w:firstLine="0"/>
              <w:snapToGrid w:val="0"/>
              <w:textAlignment w:val="auto"/>
              <w:tabs/>
              <w:rPr>
                <w:rFonts w:ascii="宋体" w:hAnsi="宋体" w:cs="宋体" w:eastAsia="宋体" w:hint="ascii"/>
                <w:sz w:val="15"/>
              </w:rPr>
            </w:pPr>
            <w:r>
              <w:rPr>
                <w:rFonts w:ascii="宋体" w:hAnsi="宋体" w:cs="宋体" w:eastAsia="宋体" w:hint="ascii"/>
                <w:sz w:val="15"/>
              </w:rPr>
              <w:t>兽医学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8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11</w:t>
            </w:r>
            <w:r>
              <w:rPr>
                <w:rFonts w:ascii="Times New Roman" w:hAnsi="Times New Roman" w:cs="Times New Roman" w:eastAsia="Times New Roman" w:hint="ascii"/>
                <w:sz w:val="15"/>
              </w:rPr>
              <w:t>1</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86"/>
              </w:numPr>
              <w:rPr>
                <w:rFonts w:ascii="Times New Roman" w:hAnsi="Times New Roman" w:cs="Times New Roman" w:eastAsia="Times New Roman" w:hint="ascii"/>
                <w:sz w:val="15"/>
              </w:rPr>
            </w:pPr>
            <w:r>
              <w:rPr>
                <w:rFonts w:ascii="Times New Roman" w:hAnsi="Times New Roman" w:cs="Times New Roman" w:eastAsia="Times New Roman" w:hint="ascii"/>
                <w:sz w:val="15"/>
              </w:rPr>
              <w:t>231</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26.00</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16</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88" w:firstLine="0"/>
              <w:snapToGrid w:val="0"/>
              <w:textAlignment w:val="auto"/>
              <w:tabs>
                <w:tab w:val="left" w:leader="none" w:pos="406"/>
              </w:tabs>
              <w:numPr>
                <w:ilvl w:val="0"/>
                <w:numId w:val="196"/>
              </w:numPr>
              <w:rPr>
                <w:rFonts w:ascii="Times New Roman" w:hAnsi="Times New Roman" w:cs="Times New Roman" w:eastAsia="Times New Roman" w:hint="ascii"/>
                <w:sz w:val="15"/>
              </w:rPr>
            </w:pPr>
            <w:r>
              <w:rPr>
                <w:rFonts w:ascii="Times New Roman" w:hAnsi="Times New Roman" w:cs="Times New Roman" w:eastAsia="Times New Roman" w:hint="ascii"/>
                <w:sz w:val="15"/>
              </w:rPr>
              <w:t>785</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23.82</w:t>
            </w:r>
          </w:p>
        </w:tc>
      </w:tr>
      <w:tr>
        <w:trPr>
          <w:trHeight w:val="265" w:hRule="exact"/>
          <w:cantSplit w:val="1"/>
        </w:trPr>
        <w:tc>
          <w:tcPr>
            <w:tcW w:w="90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53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535" w:firstLine="0"/>
              <w:snapToGrid w:val="0"/>
              <w:textAlignment w:val="auto"/>
              <w:tabs/>
              <w:rPr>
                <w:rFonts w:ascii="宋体" w:hAnsi="宋体" w:cs="宋体" w:eastAsia="宋体" w:hint="ascii"/>
                <w:sz w:val="15"/>
              </w:rPr>
            </w:pPr>
            <w:r>
              <w:rPr>
                <w:rFonts w:ascii="宋体" w:hAnsi="宋体" w:cs="宋体" w:eastAsia="宋体" w:hint="ascii"/>
                <w:sz w:val="15"/>
              </w:rPr>
              <w:t>水产学</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81</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78" w:firstLine="0"/>
              <w:snapToGrid w:val="0"/>
              <w:textAlignment w:val="auto"/>
              <w:tabs>
                <w:tab w:val="left" w:leader="none" w:pos="396"/>
              </w:tabs>
              <w:numPr>
                <w:ilvl w:val="0"/>
                <w:numId w:val="199"/>
              </w:numPr>
              <w:rPr>
                <w:rFonts w:ascii="Times New Roman" w:hAnsi="Times New Roman" w:cs="Times New Roman" w:eastAsia="Times New Roman" w:hint="ascii"/>
                <w:sz w:val="15"/>
              </w:rPr>
            </w:pPr>
            <w:r>
              <w:rPr>
                <w:rFonts w:ascii="Times New Roman" w:hAnsi="Times New Roman" w:cs="Times New Roman" w:eastAsia="Times New Roman" w:hint="ascii"/>
                <w:sz w:val="15"/>
              </w:rPr>
              <w:t>617</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19.95</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84</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91" w:firstLine="0"/>
              <w:snapToGrid w:val="0"/>
              <w:textAlignment w:val="auto"/>
              <w:tabs>
                <w:tab w:val="left" w:leader="none" w:pos="409"/>
              </w:tabs>
              <w:numPr>
                <w:ilvl w:val="0"/>
                <w:numId w:val="190"/>
              </w:numPr>
              <w:rPr>
                <w:rFonts w:ascii="Times New Roman" w:hAnsi="Times New Roman" w:cs="Times New Roman" w:eastAsia="Times New Roman" w:hint="ascii"/>
                <w:sz w:val="15"/>
              </w:rPr>
            </w:pPr>
            <w:r>
              <w:rPr>
                <w:rFonts w:ascii="Times New Roman" w:hAnsi="Times New Roman" w:cs="Times New Roman" w:eastAsia="Times New Roman" w:hint="ascii"/>
                <w:sz w:val="15"/>
              </w:rPr>
              <w:t>0</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19.91</w:t>
            </w:r>
          </w:p>
        </w:tc>
      </w:tr>
      <w:tr>
        <w:trPr>
          <w:trHeight w:val="265" w:hRule="exact"/>
          <w:cantSplit w:val="1"/>
        </w:trPr>
        <w:tc>
          <w:tcPr>
            <w:tcW w:w="2439" w:type="dxa"/>
            <w:gridSpan w:val="2"/>
            <w:vAlign w:val="top"/>
            <w:tcMar/>
            <w:tcBorders>
              <w:top w:val="single" w:sz="4" w:space="0" w:color="000000"/>
            </w:tcBorders>
          </w:tcPr>
          <w:p>
            <w:pPr>
              <w:autoSpaceDE w:val="0"/>
              <w:autoSpaceDN w:val="0"/>
              <w:jc w:val="left"/>
              <w:spacing w:before="17" w:after="0" w:lineRule="exact" w:line="188"/>
              <w:ind w:right="0" w:left="759"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7" w:firstLine="0"/>
              <w:snapToGrid w:val="0"/>
              <w:textAlignment w:val="auto"/>
              <w:tabs>
                <w:tab w:val="left" w:leader="none" w:pos="374"/>
              </w:tabs>
              <w:numPr>
                <w:ilvl w:val="0"/>
                <w:numId w:val="199"/>
              </w:numPr>
              <w:rPr>
                <w:rFonts w:ascii="Times New Roman" w:hAnsi="Times New Roman" w:cs="Times New Roman" w:eastAsia="Times New Roman" w:hint="ascii"/>
                <w:sz w:val="15"/>
              </w:rPr>
            </w:pPr>
            <w:r>
              <w:rPr>
                <w:rFonts w:ascii="Times New Roman" w:hAnsi="Times New Roman" w:cs="Times New Roman" w:eastAsia="Times New Roman" w:hint="ascii"/>
                <w:sz w:val="15"/>
              </w:rPr>
              <w:t>208</w:t>
            </w:r>
          </w:p>
        </w:tc>
        <w:tc>
          <w:tcPr>
            <w:tcW w:w="85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03" w:firstLine="0"/>
              <w:snapToGrid w:val="0"/>
              <w:textAlignment w:val="auto"/>
              <w:tabs>
                <w:tab w:val="left" w:leader="none" w:pos="396"/>
              </w:tabs>
              <w:numPr>
                <w:ilvl w:val="0"/>
                <w:numId w:val="19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170</w:t>
            </w:r>
          </w:p>
        </w:tc>
        <w:tc>
          <w:tcPr>
            <w:tcW w:w="1076"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22.27</w:t>
            </w:r>
          </w:p>
        </w:tc>
        <w:tc>
          <w:tcPr>
            <w:tcW w:w="851"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55" w:firstLine="0"/>
              <w:snapToGrid w:val="0"/>
              <w:textAlignment w:val="auto"/>
              <w:tabs>
                <w:tab w:val="left" w:leader="none" w:pos="373"/>
              </w:tabs>
              <w:numPr>
                <w:ilvl w:val="0"/>
                <w:numId w:val="187"/>
              </w:numPr>
              <w:rPr>
                <w:rFonts w:ascii="Times New Roman" w:hAnsi="Times New Roman" w:cs="Times New Roman" w:eastAsia="Times New Roman" w:hint="ascii"/>
                <w:sz w:val="15"/>
              </w:rPr>
            </w:pPr>
            <w:r>
              <w:rPr>
                <w:rFonts w:ascii="Times New Roman" w:hAnsi="Times New Roman" w:cs="Times New Roman" w:eastAsia="Times New Roman" w:hint="ascii"/>
                <w:sz w:val="15"/>
              </w:rPr>
              <w:t>395</w:t>
            </w:r>
          </w:p>
        </w:tc>
        <w:tc>
          <w:tcPr>
            <w:tcW w:w="850"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13" w:firstLine="0"/>
              <w:snapToGrid w:val="0"/>
              <w:textAlignment w:val="auto"/>
              <w:tabs>
                <w:tab w:val="left" w:leader="none" w:pos="407"/>
              </w:tabs>
              <w:numPr>
                <w:ilvl w:val="0"/>
                <w:numId w:val="189"/>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460</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22.67</w:t>
            </w:r>
          </w:p>
        </w:tc>
      </w:tr>
      <w:tr>
        <w:trPr>
          <w:trHeight w:val="270" w:hRule="exact"/>
          <w:cantSplit w:val="1"/>
        </w:trPr>
        <w:tc>
          <w:tcPr>
            <w:tcW w:w="2439" w:type="dxa"/>
            <w:gridSpan w:val="2"/>
            <w:vAlign w:val="top"/>
            <w:tcMar/>
            <w:tcBorders>
              <w:top w:val="single" w:sz="4" w:space="0" w:color="000000"/>
              <w:bottom w:val="single" w:sz="8" w:space="0" w:color="000000"/>
            </w:tcBorders>
          </w:tcPr>
          <w:p>
            <w:pPr>
              <w:autoSpaceDE w:val="0"/>
              <w:autoSpaceDN w:val="0"/>
              <w:jc w:val="left"/>
              <w:spacing w:before="17" w:after="0" w:lineRule="exact" w:line="188"/>
              <w:ind w:right="0" w:left="124" w:firstLine="0"/>
              <w:snapToGrid w:val="0"/>
              <w:textAlignment w:val="auto"/>
              <w:tabs/>
              <w:rPr>
                <w:rFonts w:ascii="宋体" w:hAnsi="宋体" w:cs="宋体" w:eastAsia="宋体" w:hint="ascii"/>
                <w:sz w:val="15"/>
              </w:rPr>
            </w:pPr>
            <w:r>
              <w:rPr>
                <w:rFonts w:ascii="宋体" w:hAnsi="宋体" w:cs="宋体" w:eastAsia="宋体" w:hint="ascii"/>
                <w:sz w:val="15"/>
                <w:spacing w:val="-4"/>
              </w:rPr>
              <w:t>直接费用平均资助强度（万元</w:t>
            </w:r>
            <w:r>
              <w:rPr>
                <w:rFonts w:ascii="Times New Roman" w:hAnsi="Times New Roman" w:cs="Times New Roman" w:eastAsia="Times New Roman" w:hint="ascii"/>
                <w:sz w:val="15"/>
                <w:spacing w:val="-5"/>
              </w:rPr>
              <w:t>/</w:t>
            </w:r>
            <w:r>
              <w:rPr>
                <w:rFonts w:ascii="宋体" w:hAnsi="宋体" w:cs="宋体" w:eastAsia="宋体" w:hint="ascii"/>
                <w:sz w:val="15"/>
                <w:spacing w:val="-4"/>
              </w:rPr>
              <w:t>项</w:t>
            </w:r>
            <w:r>
              <w:rPr>
                <w:rFonts w:ascii="宋体" w:hAnsi="宋体" w:cs="宋体" w:eastAsia="宋体" w:hint="ascii"/>
                <w:sz w:val="15"/>
              </w:rPr>
              <w:t>）</w:t>
            </w:r>
          </w:p>
        </w:tc>
        <w:tc>
          <w:tcPr>
            <w:tcW w:w="2780"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23" w:after="0" w:lineRule="auto" w:line="240"/>
              <w:ind w:right="0" w:left="121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c>
          <w:tcPr>
            <w:tcW w:w="2778"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23" w:after="0" w:lineRule="auto" w:line="240"/>
              <w:ind w:right="0" w:left="12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23.99</w:t>
            </w:r>
          </w:p>
        </w:tc>
      </w:tr>
    </w:tbl>
    <w:p>
      <w:pPr>
        <w:autoSpaceDE w:val="0"/>
        <w:autoSpaceDN w:val="0"/>
        <w:jc w:val="left"/>
        <w:spacing w:before="353"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地球科学部</w:t>
      </w:r>
    </w:p>
    <w:p>
      <w:pPr>
        <w:autoSpaceDE w:val="0"/>
        <w:autoSpaceDN w:val="0"/>
        <w:jc w:val="left"/>
        <w:spacing w:before="308" w:after="0" w:lineRule="auto" w:line="240"/>
        <w:ind w:right="0" w:left="1865" w:hanging="479"/>
        <w:snapToGrid w:val="0"/>
        <w:textAlignment w:val="auto"/>
        <w:tabs>
          <w:tab w:val="left" w:leader="none" w:pos="1864"/>
        </w:tabs>
        <w:numPr>
          <w:ilvl w:val="0"/>
          <w:numId w:val="200"/>
        </w:numPr>
        <w:rPr>
          <w:rFonts w:ascii="Times New Roman" w:hAnsi="Times New Roman" w:cs="Times New Roman" w:eastAsia="Times New Roman" w:hint="ascii"/>
          <w:sz w:val="21"/>
          <w:spacing w:val="1"/>
        </w:rPr>
      </w:pPr>
      <w:r>
        <w:rPr>
          <w:rFonts w:ascii="宋体" w:hAnsi="宋体" w:cs="宋体" w:eastAsia="宋体" w:hint="ascii"/>
          <w:sz w:val="21"/>
          <w:spacing w:val="4"/>
        </w:rPr>
        <w:t>年度地球科学</w:t>
      </w:r>
      <w:r>
        <w:rPr>
          <w:rFonts w:ascii="宋体" w:hAnsi="宋体" w:cs="宋体" w:eastAsia="宋体" w:hint="ascii"/>
          <w:sz w:val="21"/>
          <w:spacing w:val="3"/>
        </w:rPr>
        <w:t>部共</w:t>
      </w:r>
      <w:r>
        <w:rPr>
          <w:rFonts w:ascii="宋体" w:hAnsi="宋体" w:cs="宋体" w:eastAsia="宋体" w:hint="ascii"/>
          <w:sz w:val="21"/>
          <w:spacing w:val="4"/>
        </w:rPr>
        <w:t>接收青</w:t>
      </w:r>
      <w:r>
        <w:rPr>
          <w:rFonts w:ascii="宋体" w:hAnsi="宋体" w:cs="宋体" w:eastAsia="宋体" w:hint="ascii"/>
          <w:sz w:val="21"/>
          <w:spacing w:val="3"/>
        </w:rPr>
        <w:t>年科</w:t>
      </w:r>
      <w:r>
        <w:rPr>
          <w:rFonts w:ascii="宋体" w:hAnsi="宋体" w:cs="宋体" w:eastAsia="宋体" w:hint="ascii"/>
          <w:sz w:val="21"/>
          <w:spacing w:val="4"/>
        </w:rPr>
        <w:t>学基金</w:t>
      </w:r>
      <w:r>
        <w:rPr>
          <w:rFonts w:ascii="宋体" w:hAnsi="宋体" w:cs="宋体" w:eastAsia="宋体" w:hint="ascii"/>
          <w:sz w:val="21"/>
          <w:spacing w:val="3"/>
        </w:rPr>
        <w:t>项目</w:t>
      </w:r>
      <w:r>
        <w:rPr>
          <w:rFonts w:ascii="宋体" w:hAnsi="宋体" w:cs="宋体" w:eastAsia="宋体" w:hint="ascii"/>
          <w:sz w:val="21"/>
          <w:spacing w:val="4"/>
        </w:rPr>
        <w:t>申</w:t>
      </w:r>
      <w:r>
        <w:rPr>
          <w:rFonts w:ascii="宋体" w:hAnsi="宋体" w:cs="宋体" w:eastAsia="宋体" w:hint="ascii"/>
          <w:sz w:val="21"/>
        </w:rPr>
        <w:t>请</w:t>
      </w:r>
      <w:r>
        <w:rPr>
          <w:rFonts w:ascii="宋体" w:hAnsi="宋体" w:cs="宋体" w:eastAsia="宋体" w:hint="ascii"/>
          <w:sz w:val="21"/>
          <w:spacing w:val="-23"/>
        </w:rPr>
        <w:t xml:space="preserve"> </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rPr>
        <w:t>026</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项，申</w:t>
      </w:r>
      <w:r>
        <w:rPr>
          <w:rFonts w:ascii="宋体" w:hAnsi="宋体" w:cs="宋体" w:eastAsia="宋体" w:hint="ascii"/>
          <w:sz w:val="21"/>
          <w:spacing w:val="3"/>
        </w:rPr>
        <w:t>请单</w:t>
      </w:r>
      <w:r>
        <w:rPr>
          <w:rFonts w:ascii="宋体" w:hAnsi="宋体" w:cs="宋体" w:eastAsia="宋体" w:hint="ascii"/>
          <w:sz w:val="21"/>
        </w:rPr>
        <w:t>位</w:t>
      </w:r>
      <w:r>
        <w:rPr>
          <w:rFonts w:ascii="宋体" w:hAnsi="宋体" w:cs="宋体" w:eastAsia="宋体" w:hint="ascii"/>
          <w:sz w:val="21"/>
          <w:spacing w:val="-23"/>
        </w:rPr>
        <w:t xml:space="preserve"> </w:t>
      </w:r>
      <w:r>
        <w:rPr>
          <w:rFonts w:ascii="Times New Roman" w:hAnsi="Times New Roman" w:cs="Times New Roman" w:eastAsia="Times New Roman" w:hint="ascii"/>
          <w:sz w:val="21"/>
        </w:rPr>
        <w:t>877</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个</w:t>
      </w:r>
      <w:r>
        <w:rPr>
          <w:rFonts w:ascii="宋体" w:hAnsi="宋体" w:cs="宋体" w:eastAsia="宋体" w:hint="ascii"/>
          <w:sz w:val="21"/>
        </w:rPr>
        <w:t>；</w:t>
      </w:r>
    </w:p>
    <w:p>
      <w:pPr>
        <w:autoSpaceDE w:val="0"/>
        <w:autoSpaceDN w:val="0"/>
        <w:jc w:val="left"/>
        <w:spacing w:before="15"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4"/>
        </w:rPr>
        <w:t>高等学校申</w:t>
      </w:r>
      <w:r>
        <w:rPr>
          <w:rFonts w:ascii="宋体" w:hAnsi="宋体" w:cs="宋体" w:eastAsia="宋体" w:hint="ascii"/>
          <w:sz w:val="21"/>
          <w:spacing w:val="-1"/>
        </w:rPr>
        <w:t>请</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1"/>
        </w:rPr>
        <w:t>3</w:t>
      </w:r>
      <w:r>
        <w:rPr>
          <w:rFonts w:ascii="Times New Roman" w:hAnsi="Times New Roman" w:cs="Times New Roman" w:eastAsia="Times New Roman" w:hint="ascii"/>
          <w:sz w:val="21"/>
          <w:spacing w:val="5"/>
        </w:rPr>
        <w:t xml:space="preserve"> </w:t>
      </w:r>
      <w:r>
        <w:rPr>
          <w:rFonts w:ascii="Times New Roman" w:hAnsi="Times New Roman" w:cs="Times New Roman" w:eastAsia="Times New Roman" w:hint="ascii"/>
          <w:sz w:val="21"/>
          <w:spacing w:val="-1"/>
        </w:rPr>
        <w:t>548</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项，</w:t>
      </w:r>
      <w:r>
        <w:rPr>
          <w:rFonts w:ascii="宋体" w:hAnsi="宋体" w:cs="宋体" w:eastAsia="宋体" w:hint="ascii"/>
          <w:sz w:val="21"/>
          <w:spacing w:val="-1"/>
        </w:rPr>
        <w:t>占</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1"/>
        </w:rPr>
        <w:t>58.88</w:t>
      </w:r>
      <w:r>
        <w:rPr>
          <w:rFonts w:ascii="Times New Roman" w:hAnsi="Times New Roman" w:cs="Times New Roman" w:eastAsia="Times New Roman" w:hint="ascii"/>
          <w:sz w:val="21"/>
          <w:spacing w:val="9"/>
        </w:rPr>
        <w:t>%</w:t>
      </w:r>
      <w:r>
        <w:rPr>
          <w:rFonts w:ascii="宋体" w:hAnsi="宋体" w:cs="宋体" w:eastAsia="宋体" w:hint="ascii"/>
          <w:sz w:val="21"/>
          <w:spacing w:val="4"/>
        </w:rPr>
        <w:t>；科研院所申</w:t>
      </w:r>
      <w:r>
        <w:rPr>
          <w:rFonts w:ascii="宋体" w:hAnsi="宋体" w:cs="宋体" w:eastAsia="宋体" w:hint="ascii"/>
          <w:sz w:val="21"/>
        </w:rPr>
        <w:t>请</w:t>
      </w:r>
      <w:r>
        <w:rPr>
          <w:rFonts w:ascii="宋体" w:hAnsi="宋体" w:cs="宋体" w:eastAsia="宋体" w:hint="ascii"/>
          <w:sz w:val="21"/>
          <w:spacing w:val="-2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rPr>
        <w:t>246</w:t>
      </w:r>
      <w:r>
        <w:rPr>
          <w:rFonts w:ascii="Times New Roman" w:hAnsi="Times New Roman" w:cs="Times New Roman" w:eastAsia="Times New Roman" w:hint="ascii"/>
          <w:sz w:val="21"/>
          <w:spacing w:val="-22"/>
        </w:rPr>
        <w:t xml:space="preserve"> </w:t>
      </w:r>
      <w:r>
        <w:rPr>
          <w:rFonts w:ascii="宋体" w:hAnsi="宋体" w:cs="宋体" w:eastAsia="宋体" w:hint="ascii"/>
          <w:sz w:val="21"/>
          <w:spacing w:val="5"/>
        </w:rPr>
        <w:t>项，</w:t>
      </w:r>
      <w:r>
        <w:rPr>
          <w:rFonts w:ascii="宋体" w:hAnsi="宋体" w:cs="宋体" w:eastAsia="宋体" w:hint="ascii"/>
          <w:sz w:val="21"/>
        </w:rPr>
        <w:t>占</w:t>
      </w:r>
      <w:r>
        <w:rPr>
          <w:rFonts w:ascii="宋体" w:hAnsi="宋体" w:cs="宋体" w:eastAsia="宋体" w:hint="ascii"/>
          <w:sz w:val="21"/>
          <w:spacing w:val="-21"/>
        </w:rPr>
        <w:t xml:space="preserve"> </w:t>
      </w:r>
      <w:r>
        <w:rPr>
          <w:rFonts w:ascii="Times New Roman" w:hAnsi="Times New Roman" w:cs="Times New Roman" w:eastAsia="Times New Roman" w:hint="ascii"/>
          <w:sz w:val="21"/>
        </w:rPr>
        <w:t>37.27</w:t>
      </w:r>
      <w:r>
        <w:rPr>
          <w:rFonts w:ascii="Times New Roman" w:hAnsi="Times New Roman" w:cs="Times New Roman" w:eastAsia="Times New Roman" w:hint="ascii"/>
          <w:sz w:val="21"/>
          <w:spacing w:val="10"/>
        </w:rPr>
        <w:t>%</w:t>
      </w:r>
      <w:r>
        <w:rPr>
          <w:rFonts w:ascii="宋体" w:hAnsi="宋体" w:cs="宋体" w:eastAsia="宋体" w:hint="ascii"/>
          <w:sz w:val="21"/>
          <w:spacing w:val="5"/>
        </w:rPr>
        <w:t>。资</w:t>
      </w:r>
      <w:r>
        <w:rPr>
          <w:rFonts w:ascii="宋体" w:hAnsi="宋体" w:cs="宋体" w:eastAsia="宋体" w:hint="ascii"/>
          <w:sz w:val="21"/>
        </w:rPr>
        <w:t>助</w:t>
      </w:r>
      <w:r>
        <w:rPr>
          <w:rFonts w:ascii="宋体" w:hAnsi="宋体" w:cs="宋体" w:eastAsia="宋体" w:hint="ascii"/>
          <w:sz w:val="21"/>
          <w:spacing w:val="-21"/>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rPr>
        <w:t xml:space="preserve">712 </w:t>
      </w:r>
      <w:r>
        <w:rPr>
          <w:rFonts w:ascii="宋体" w:hAnsi="宋体" w:cs="宋体" w:eastAsia="宋体" w:hint="ascii"/>
          <w:sz w:val="21"/>
          <w:spacing w:val="12"/>
        </w:rPr>
        <w:t>项</w:t>
      </w:r>
      <w:r>
        <w:rPr>
          <w:rFonts w:ascii="宋体" w:hAnsi="宋体" w:cs="宋体" w:eastAsia="宋体" w:hint="ascii"/>
          <w:sz w:val="21"/>
          <w:spacing w:val="11"/>
        </w:rPr>
        <w:t>，</w:t>
      </w:r>
      <w:r>
        <w:rPr>
          <w:rFonts w:ascii="宋体" w:hAnsi="宋体" w:cs="宋体" w:eastAsia="宋体" w:hint="ascii"/>
          <w:sz w:val="21"/>
          <w:spacing w:val="12"/>
        </w:rPr>
        <w:t>资</w:t>
      </w:r>
      <w:r>
        <w:rPr>
          <w:rFonts w:ascii="宋体" w:hAnsi="宋体" w:cs="宋体" w:eastAsia="宋体" w:hint="ascii"/>
          <w:sz w:val="21"/>
          <w:spacing w:val="13"/>
        </w:rPr>
        <w:t>助</w:t>
      </w:r>
      <w:r>
        <w:rPr>
          <w:rFonts w:ascii="宋体" w:hAnsi="宋体" w:cs="宋体" w:eastAsia="宋体" w:hint="ascii"/>
          <w:sz w:val="21"/>
          <w:spacing w:val="12"/>
        </w:rPr>
        <w:t>直</w:t>
      </w:r>
      <w:r>
        <w:rPr>
          <w:rFonts w:ascii="宋体" w:hAnsi="宋体" w:cs="宋体" w:eastAsia="宋体" w:hint="ascii"/>
          <w:sz w:val="21"/>
          <w:spacing w:val="13"/>
        </w:rPr>
        <w:t>接</w:t>
      </w:r>
      <w:r>
        <w:rPr>
          <w:rFonts w:ascii="宋体" w:hAnsi="宋体" w:cs="宋体" w:eastAsia="宋体" w:hint="ascii"/>
          <w:sz w:val="21"/>
          <w:spacing w:val="12"/>
        </w:rPr>
        <w:t>费</w:t>
      </w:r>
      <w:r>
        <w:rPr>
          <w:rFonts w:ascii="宋体" w:hAnsi="宋体" w:cs="宋体" w:eastAsia="宋体" w:hint="ascii"/>
          <w:sz w:val="21"/>
        </w:rPr>
        <w:t>用</w:t>
      </w:r>
      <w:r>
        <w:rPr>
          <w:rFonts w:ascii="宋体" w:hAnsi="宋体" w:cs="宋体" w:eastAsia="宋体" w:hint="ascii"/>
          <w:sz w:val="21"/>
          <w:spacing w:val="12"/>
        </w:rPr>
        <w:t xml:space="preserve"> </w:t>
      </w:r>
      <w:r>
        <w:rPr>
          <w:rFonts w:ascii="Times New Roman" w:hAnsi="Times New Roman" w:cs="Times New Roman" w:eastAsia="Times New Roman" w:hint="ascii"/>
          <w:sz w:val="21"/>
        </w:rPr>
        <w:t>41</w:t>
      </w:r>
      <w:r>
        <w:rPr>
          <w:rFonts w:ascii="Times New Roman" w:hAnsi="Times New Roman" w:cs="Times New Roman" w:eastAsia="Times New Roman" w:hint="ascii"/>
          <w:sz w:val="21"/>
          <w:spacing w:val="7"/>
        </w:rPr>
        <w:t xml:space="preserve"> </w:t>
      </w:r>
      <w:r>
        <w:rPr>
          <w:rFonts w:ascii="Times New Roman" w:hAnsi="Times New Roman" w:cs="Times New Roman" w:eastAsia="Times New Roman" w:hint="ascii"/>
          <w:sz w:val="21"/>
        </w:rPr>
        <w:t>270</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3"/>
        </w:rPr>
        <w:t>万</w:t>
      </w:r>
      <w:r>
        <w:rPr>
          <w:rFonts w:ascii="宋体" w:hAnsi="宋体" w:cs="宋体" w:eastAsia="宋体" w:hint="ascii"/>
          <w:sz w:val="21"/>
          <w:spacing w:val="12"/>
        </w:rPr>
        <w:t>元，直</w:t>
      </w:r>
      <w:r>
        <w:rPr>
          <w:rFonts w:ascii="宋体" w:hAnsi="宋体" w:cs="宋体" w:eastAsia="宋体" w:hint="ascii"/>
          <w:sz w:val="21"/>
          <w:spacing w:val="13"/>
        </w:rPr>
        <w:t>接</w:t>
      </w:r>
      <w:r>
        <w:rPr>
          <w:rFonts w:ascii="宋体" w:hAnsi="宋体" w:cs="宋体" w:eastAsia="宋体" w:hint="ascii"/>
          <w:sz w:val="21"/>
          <w:spacing w:val="12"/>
        </w:rPr>
        <w:t>费用</w:t>
      </w:r>
      <w:r>
        <w:rPr>
          <w:rFonts w:ascii="宋体" w:hAnsi="宋体" w:cs="宋体" w:eastAsia="宋体" w:hint="ascii"/>
          <w:sz w:val="21"/>
          <w:spacing w:val="13"/>
        </w:rPr>
        <w:t>平</w:t>
      </w:r>
      <w:r>
        <w:rPr>
          <w:rFonts w:ascii="宋体" w:hAnsi="宋体" w:cs="宋体" w:eastAsia="宋体" w:hint="ascii"/>
          <w:sz w:val="21"/>
          <w:spacing w:val="12"/>
        </w:rPr>
        <w:t>均</w:t>
      </w:r>
      <w:r>
        <w:rPr>
          <w:rFonts w:ascii="宋体" w:hAnsi="宋体" w:cs="宋体" w:eastAsia="宋体" w:hint="ascii"/>
          <w:sz w:val="21"/>
          <w:spacing w:val="13"/>
        </w:rPr>
        <w:t>资</w:t>
      </w:r>
      <w:r>
        <w:rPr>
          <w:rFonts w:ascii="宋体" w:hAnsi="宋体" w:cs="宋体" w:eastAsia="宋体" w:hint="ascii"/>
          <w:sz w:val="21"/>
          <w:spacing w:val="12"/>
        </w:rPr>
        <w:t>助强</w:t>
      </w:r>
      <w:r>
        <w:rPr>
          <w:rFonts w:ascii="宋体" w:hAnsi="宋体" w:cs="宋体" w:eastAsia="宋体" w:hint="ascii"/>
          <w:sz w:val="21"/>
        </w:rPr>
        <w:t>度</w:t>
      </w:r>
      <w:r>
        <w:rPr>
          <w:rFonts w:ascii="宋体" w:hAnsi="宋体" w:cs="宋体" w:eastAsia="宋体" w:hint="ascii"/>
          <w:sz w:val="21"/>
          <w:spacing w:val="-14"/>
        </w:rPr>
        <w:t xml:space="preserve"> </w:t>
      </w:r>
      <w:r>
        <w:rPr>
          <w:rFonts w:ascii="Times New Roman" w:hAnsi="Times New Roman" w:cs="Times New Roman" w:eastAsia="Times New Roman" w:hint="ascii"/>
          <w:sz w:val="21"/>
        </w:rPr>
        <w:t>24.</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2"/>
        </w:rPr>
        <w:t>万</w:t>
      </w:r>
      <w:r>
        <w:rPr>
          <w:rFonts w:ascii="宋体" w:hAnsi="宋体" w:cs="宋体" w:eastAsia="宋体" w:hint="ascii"/>
          <w:sz w:val="21"/>
          <w:spacing w:val="13"/>
        </w:rPr>
        <w:t>元</w:t>
      </w:r>
      <w:r>
        <w:rPr>
          <w:rFonts w:ascii="Times New Roman" w:hAnsi="Times New Roman" w:cs="Times New Roman" w:eastAsia="Times New Roman" w:hint="ascii"/>
          <w:sz w:val="21"/>
          <w:spacing w:val="23"/>
        </w:rPr>
        <w:t>/</w:t>
      </w:r>
      <w:r>
        <w:rPr>
          <w:rFonts w:ascii="宋体" w:hAnsi="宋体" w:cs="宋体" w:eastAsia="宋体" w:hint="ascii"/>
          <w:sz w:val="21"/>
          <w:spacing w:val="12"/>
        </w:rPr>
        <w:t>项</w:t>
      </w:r>
      <w:r>
        <w:rPr>
          <w:rFonts w:ascii="宋体" w:hAnsi="宋体" w:cs="宋体" w:eastAsia="宋体" w:hint="ascii"/>
          <w:sz w:val="21"/>
          <w:spacing w:val="13"/>
        </w:rPr>
        <w:t>，</w:t>
      </w:r>
      <w:r>
        <w:rPr>
          <w:rFonts w:ascii="宋体" w:hAnsi="宋体" w:cs="宋体" w:eastAsia="宋体" w:hint="ascii"/>
          <w:sz w:val="21"/>
          <w:spacing w:val="12"/>
        </w:rPr>
        <w:t>资助</w:t>
      </w:r>
      <w:r>
        <w:rPr>
          <w:rFonts w:ascii="宋体" w:hAnsi="宋体" w:cs="宋体" w:eastAsia="宋体" w:hint="ascii"/>
          <w:sz w:val="21"/>
        </w:rPr>
        <w:t>率</w:t>
      </w:r>
      <w:r>
        <w:rPr>
          <w:rFonts w:ascii="Times New Roman" w:hAnsi="Times New Roman" w:cs="Times New Roman" w:eastAsia="Times New Roman" w:hint="ascii"/>
          <w:sz w:val="21"/>
        </w:rPr>
        <w:t>28.41%</w:t>
      </w:r>
      <w:r>
        <w:rPr>
          <w:rFonts w:ascii="宋体" w:hAnsi="宋体" w:cs="宋体" w:eastAsia="宋体" w:hint="ascii"/>
          <w:sz w:val="21"/>
        </w:rPr>
        <w:t>。</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年度资助的青年科学基金项目中，高等学校承担</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6"/>
        </w:rPr>
        <w:t xml:space="preserve"> </w:t>
      </w:r>
      <w:r>
        <w:rPr>
          <w:rFonts w:ascii="Times New Roman" w:hAnsi="Times New Roman" w:cs="Times New Roman" w:eastAsia="Times New Roman" w:hint="ascii"/>
          <w:sz w:val="21"/>
        </w:rPr>
        <w:t>007</w:t>
      </w:r>
      <w:r>
        <w:rPr>
          <w:rFonts w:ascii="Times New Roman" w:hAnsi="Times New Roman" w:cs="Times New Roman" w:eastAsia="Times New Roman" w:hint="ascii"/>
          <w:sz w:val="21"/>
          <w:spacing w:val="-25"/>
        </w:rPr>
        <w:t xml:space="preserve"> </w:t>
      </w:r>
      <w:r>
        <w:rPr>
          <w:rFonts w:ascii="宋体" w:hAnsi="宋体" w:cs="宋体" w:eastAsia="宋体" w:hint="ascii"/>
          <w:sz w:val="21"/>
        </w:rPr>
        <w:t>项，占</w:t>
      </w:r>
      <w:r>
        <w:rPr>
          <w:rFonts w:ascii="宋体" w:hAnsi="宋体" w:cs="宋体" w:eastAsia="宋体" w:hint="ascii"/>
          <w:sz w:val="21"/>
          <w:spacing w:val="-24"/>
        </w:rPr>
        <w:t xml:space="preserve"> </w:t>
      </w:r>
      <w:r>
        <w:rPr>
          <w:rFonts w:ascii="Times New Roman" w:hAnsi="Times New Roman" w:cs="Times New Roman" w:eastAsia="Times New Roman" w:hint="ascii"/>
          <w:sz w:val="21"/>
        </w:rPr>
        <w:t>58.82%</w:t>
      </w:r>
      <w:r>
        <w:rPr>
          <w:rFonts w:ascii="宋体" w:hAnsi="宋体" w:cs="宋体" w:eastAsia="宋体" w:hint="ascii"/>
          <w:sz w:val="21"/>
        </w:rPr>
        <w:t>；科研院所承担</w:t>
      </w:r>
      <w:r>
        <w:rPr>
          <w:rFonts w:ascii="宋体" w:hAnsi="宋体" w:cs="宋体" w:eastAsia="宋体" w:hint="ascii"/>
          <w:sz w:val="21"/>
          <w:spacing w:val="-24"/>
        </w:rPr>
        <w:t xml:space="preserve"> </w:t>
      </w:r>
      <w:r>
        <w:rPr>
          <w:rFonts w:ascii="Times New Roman" w:hAnsi="Times New Roman" w:cs="Times New Roman" w:eastAsia="Times New Roman" w:hint="ascii"/>
          <w:sz w:val="21"/>
        </w:rPr>
        <w:t>668</w:t>
      </w:r>
      <w:r>
        <w:rPr>
          <w:rFonts w:ascii="Times New Roman" w:hAnsi="Times New Roman" w:cs="Times New Roman" w:eastAsia="Times New Roman" w:hint="ascii"/>
          <w:sz w:val="21"/>
          <w:spacing w:val="-25"/>
        </w:rPr>
        <w:t xml:space="preserve"> </w:t>
      </w:r>
      <w:r>
        <w:rPr>
          <w:rFonts w:ascii="宋体" w:hAnsi="宋体" w:cs="宋体" w:eastAsia="宋体" w:hint="ascii"/>
          <w:sz w:val="21"/>
        </w:rPr>
        <w:t>项，占</w:t>
      </w:r>
      <w:r>
        <w:rPr>
          <w:rFonts w:ascii="宋体" w:hAnsi="宋体" w:cs="宋体" w:eastAsia="宋体" w:hint="ascii"/>
          <w:sz w:val="21"/>
          <w:spacing w:val="-24"/>
        </w:rPr>
        <w:t xml:space="preserve"> </w:t>
      </w:r>
      <w:r>
        <w:rPr>
          <w:rFonts w:ascii="Times New Roman" w:hAnsi="Times New Roman" w:cs="Times New Roman" w:eastAsia="Times New Roman" w:hint="ascii"/>
          <w:sz w:val="21"/>
        </w:rPr>
        <w:t>39.02%</w:t>
      </w:r>
      <w:r>
        <w:rPr>
          <w:rFonts w:ascii="宋体" w:hAnsi="宋体" w:cs="宋体" w:eastAsia="宋体" w:hint="ascii"/>
          <w:sz w:val="21"/>
        </w:rPr>
        <w:t>。持续稳定地造就和培养优秀青年科学家人才队伍是科学基金资助的重要目标之一。我们将进一步加强对青年特别是优秀青年人才的资助。青年科学基金项目主要发挥“育苗”功能，为刚走上科学研究岗位的青年学者提供更多的机会，扶持他们尽快成长。青年科学基金项目的资助重点将逐步前移，尤其是对刚毕业的博士从事基础研究给予及时的资助，在他们成才的关键时刻给予支持。</w:t>
      </w:r>
    </w:p>
    <w:p>
      <w:pPr>
        <w:autoSpaceDE w:val="0"/>
        <w:autoSpaceDN w:val="0"/>
        <w:jc w:val="left"/>
        <w:spacing w:before="30" w:after="0" w:lineRule="auto" w:line="240"/>
        <w:ind w:right="0" w:left="1865" w:hanging="479"/>
        <w:snapToGrid w:val="0"/>
        <w:textAlignment w:val="auto"/>
        <w:tabs>
          <w:tab w:val="left" w:leader="none" w:pos="1864"/>
        </w:tabs>
        <w:numPr>
          <w:ilvl w:val="0"/>
          <w:numId w:val="200"/>
        </w:numPr>
        <w:rPr>
          <w:rFonts w:ascii="Times New Roman" w:hAnsi="Times New Roman" w:cs="Times New Roman" w:eastAsia="Times New Roman" w:hint="ascii"/>
          <w:sz w:val="21"/>
          <w:spacing w:val="1"/>
        </w:rPr>
      </w:pPr>
      <w:r>
        <w:rPr>
          <w:rFonts w:ascii="宋体" w:hAnsi="宋体" w:cs="宋体" w:eastAsia="宋体" w:hint="ascii"/>
          <w:sz w:val="21"/>
        </w:rPr>
        <w:t>年度，地球科学部对学科结构进行了调整，以强化对环境地球科学的支持，</w:t>
      </w:r>
    </w:p>
    <w:p>
      <w:pPr>
        <w:autoSpaceDE w:val="0"/>
        <w:autoSpaceDN w:val="0"/>
        <w:jc w:val="left"/>
        <w:spacing w:before="405"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请申请人注意相关变化。</w:t>
      </w:r>
      <w:r>
        <w:rPr>
          <w:rFonts w:ascii="宋体" w:hAnsi="宋体" w:cs="宋体" w:eastAsia="宋体" w:hint="ascii"/>
          <w:sz w:val="21"/>
        </w:rPr>
        <mc:AlternateContent>
          <mc:Choice Requires="wps">
            <w:drawing>
              <wp:anchor distL="0" distR="0" distT="0" distB="0" simplePos="0" behindDoc="1" relativeHeight="205" locked="0" layoutInCell="1" allowOverlap="1">
                <wp:simplePos x="0" y="0"/>
                <wp:positionH relativeFrom="page">
                  <wp:posOffset>938530</wp:posOffset>
                </wp:positionH>
                <wp:positionV relativeFrom="page">
                  <wp:posOffset>805815</wp:posOffset>
                </wp:positionV>
                <wp:extent cx="5076190" cy="0"/>
                <wp:wrapNone/>
                <wp:docPr id="1234" name="123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48320;width:399.70pt;" id="123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74"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地球科学部青年科学基金项目近两年资助情况一览表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5" w:type="dxa"/>
        <w:jc w:val="left"/>
        <w:tblInd w:w="966"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728"/>
        <w:gridCol w:w="1937"/>
        <w:gridCol w:w="794"/>
        <w:gridCol w:w="793"/>
        <w:gridCol w:w="1078"/>
        <w:gridCol w:w="793"/>
        <w:gridCol w:w="795"/>
        <w:gridCol w:w="1077"/>
      </w:tblGrid>
      <w:tr>
        <w:trPr>
          <w:trHeight w:val="238" w:hRule="exact"/>
          <w:cantSplit w:val="1"/>
        </w:trPr>
        <w:tc>
          <w:tcPr>
            <w:tcW w:w="2665" w:type="dxa"/>
            <w:gridSpan w:val="2"/>
            <w:vAlign w:val="top"/>
            <w:vMerge w:val="restart"/>
            <w:tcMar/>
            <w:tcBorders/>
          </w:tcPr>
          <w:p>
            <w:pPr>
              <w:autoSpaceDE w:val="0"/>
              <w:autoSpaceDN w:val="0"/>
              <w:jc w:val="left"/>
              <w:spacing w:before="214" w:after="0" w:lineRule="exact" w:line="188"/>
              <w:ind w:right="0" w:left="1098"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665" w:type="dxa"/>
            <w:gridSpan w:val="3"/>
            <w:vAlign w:val="top"/>
            <w:tcMar/>
            <w:tcBorders>
              <w:left w:val="single" w:sz="4" w:space="0" w:color="000000"/>
            </w:tcBorders>
          </w:tcPr>
          <w:p>
            <w:pPr>
              <w:autoSpaceDE w:val="0"/>
              <w:autoSpaceDN w:val="0"/>
              <w:jc w:val="left"/>
              <w:spacing w:before="0" w:after="0" w:lineRule="auto" w:line="240"/>
              <w:ind w:right="0" w:left="1009" w:firstLine="0"/>
              <w:snapToGrid w:val="0"/>
              <w:textAlignment w:val="auto"/>
              <w:tabs>
                <w:tab w:val="left" w:leader="none" w:pos="1352"/>
              </w:tabs>
              <w:numPr>
                <w:ilvl w:val="0"/>
                <w:numId w:val="201"/>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665" w:type="dxa"/>
            <w:gridSpan w:val="3"/>
            <w:vAlign w:val="top"/>
            <w:tcMar/>
            <w:tcBorders>
              <w:left w:val="single" w:sz="4" w:space="0" w:color="000000"/>
              <w:right w:val="single" w:sz="8" w:space="0" w:color="000000"/>
            </w:tcBorders>
          </w:tcPr>
          <w:p>
            <w:pPr>
              <w:autoSpaceDE w:val="0"/>
              <w:autoSpaceDN w:val="0"/>
              <w:jc w:val="left"/>
              <w:spacing w:before="0" w:after="0" w:lineRule="auto" w:line="240"/>
              <w:ind w:right="0" w:left="1009" w:firstLine="0"/>
              <w:snapToGrid w:val="0"/>
              <w:textAlignment w:val="auto"/>
              <w:tabs>
                <w:tab w:val="left" w:leader="none" w:pos="1352"/>
              </w:tabs>
              <w:numPr>
                <w:ilvl w:val="0"/>
                <w:numId w:val="201"/>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27" w:hRule="exact"/>
          <w:cantSplit w:val="1"/>
        </w:trPr>
        <w:tc>
          <w:tcPr>
            <w:tcW w:w="2665"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94"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1"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1078"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8"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5"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8"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33" w:hRule="exact"/>
          <w:cantSplit w:val="1"/>
        </w:trPr>
        <w:tc>
          <w:tcPr>
            <w:tcW w:w="728" w:type="dxa"/>
            <w:gridSpan w:val="1"/>
            <w:vAlign w:val="top"/>
            <w:tcMar/>
            <w:tcBorders>
              <w:top w:val="single" w:sz="4" w:space="0" w:color="000000"/>
            </w:tcBorders>
          </w:tcPr>
          <w:p>
            <w:pPr>
              <w:autoSpaceDE w:val="0"/>
              <w:autoSpaceDN w:val="0"/>
              <w:jc w:val="left"/>
              <w:spacing w:before="0" w:after="0" w:lineRule="exact" w:line="188"/>
              <w:ind w:right="0" w:left="205"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937"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62" w:firstLine="0"/>
              <w:snapToGrid w:val="0"/>
              <w:textAlignment w:val="auto"/>
              <w:tabs/>
              <w:rPr>
                <w:rFonts w:ascii="宋体" w:hAnsi="宋体" w:cs="宋体" w:eastAsia="宋体" w:hint="ascii"/>
                <w:sz w:val="15"/>
              </w:rPr>
            </w:pPr>
            <w:r>
              <w:rPr>
                <w:rFonts w:ascii="宋体" w:hAnsi="宋体" w:cs="宋体" w:eastAsia="宋体" w:hint="ascii"/>
                <w:sz w:val="15"/>
              </w:rPr>
              <w:t>地理学（含土壤学和遥感）</w:t>
            </w:r>
          </w:p>
        </w:tc>
        <w:tc>
          <w:tcPr>
            <w:tcW w:w="794"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616</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1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12 197</w:t>
            </w:r>
          </w:p>
        </w:tc>
        <w:tc>
          <w:tcPr>
            <w:tcW w:w="1078"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28.44</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640</w:t>
            </w:r>
          </w:p>
        </w:tc>
        <w:tc>
          <w:tcPr>
            <w:tcW w:w="795"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15 451</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28.37</w:t>
            </w:r>
          </w:p>
        </w:tc>
      </w:tr>
      <w:tr>
        <w:trPr>
          <w:trHeight w:val="233" w:hRule="exact"/>
          <w:cantSplit w:val="1"/>
        </w:trPr>
        <w:tc>
          <w:tcPr>
            <w:tcW w:w="728" w:type="dxa"/>
            <w:gridSpan w:val="1"/>
            <w:vAlign w:val="top"/>
            <w:vMerge w:val="restart"/>
            <w:tcMar/>
            <w:tcBorders>
              <w:top w:val="single" w:sz="4" w:space="0" w:color="000000"/>
            </w:tcBorders>
          </w:tcPr>
          <w:p>
            <w:pPr>
              <w:autoSpaceDE w:val="0"/>
              <w:autoSpaceDN w:val="0"/>
              <w:jc w:val="left"/>
              <w:spacing w:before="116" w:after="0" w:lineRule="exact" w:line="188"/>
              <w:ind w:right="0" w:left="205"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937"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738" w:firstLine="0"/>
              <w:snapToGrid w:val="0"/>
              <w:textAlignment w:val="auto"/>
              <w:tabs/>
              <w:rPr>
                <w:rFonts w:ascii="宋体" w:hAnsi="宋体" w:cs="宋体" w:eastAsia="宋体" w:hint="ascii"/>
                <w:sz w:val="15"/>
              </w:rPr>
            </w:pPr>
            <w:r>
              <w:rPr>
                <w:rFonts w:ascii="宋体" w:hAnsi="宋体" w:cs="宋体" w:eastAsia="宋体" w:hint="ascii"/>
                <w:sz w:val="15"/>
              </w:rPr>
              <w:t>地质学</w:t>
            </w:r>
          </w:p>
        </w:tc>
        <w:tc>
          <w:tcPr>
            <w:tcW w:w="794"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374</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7 399</w:t>
            </w:r>
          </w:p>
        </w:tc>
        <w:tc>
          <w:tcPr>
            <w:tcW w:w="1078"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28.46</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391</w:t>
            </w:r>
          </w:p>
        </w:tc>
        <w:tc>
          <w:tcPr>
            <w:tcW w:w="795"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6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9 431</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28.40</w:t>
            </w:r>
          </w:p>
        </w:tc>
      </w:tr>
      <w:tr>
        <w:trPr>
          <w:trHeight w:val="232" w:hRule="exact"/>
          <w:cantSplit w:val="1"/>
        </w:trPr>
        <w:tc>
          <w:tcPr>
            <w:tcW w:w="72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37"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662" w:firstLine="0"/>
              <w:snapToGrid w:val="0"/>
              <w:textAlignment w:val="auto"/>
              <w:tabs/>
              <w:rPr>
                <w:rFonts w:ascii="宋体" w:hAnsi="宋体" w:cs="宋体" w:eastAsia="宋体" w:hint="ascii"/>
                <w:sz w:val="15"/>
              </w:rPr>
            </w:pPr>
            <w:r>
              <w:rPr>
                <w:rFonts w:ascii="宋体" w:hAnsi="宋体" w:cs="宋体" w:eastAsia="宋体" w:hint="ascii"/>
                <w:sz w:val="15"/>
              </w:rPr>
              <w:t>地球化学</w:t>
            </w:r>
          </w:p>
        </w:tc>
        <w:tc>
          <w:tcPr>
            <w:tcW w:w="794"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129</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59" w:firstLine="0"/>
              <w:snapToGrid w:val="0"/>
              <w:textAlignment w:val="auto"/>
              <w:tabs>
                <w:tab w:val="left" w:leader="none" w:pos="377"/>
              </w:tabs>
              <w:numPr>
                <w:ilvl w:val="0"/>
                <w:numId w:val="202"/>
              </w:numPr>
              <w:rPr>
                <w:rFonts w:ascii="Times New Roman" w:hAnsi="Times New Roman" w:cs="Times New Roman" w:eastAsia="Times New Roman" w:hint="ascii"/>
                <w:sz w:val="15"/>
              </w:rPr>
            </w:pPr>
            <w:r>
              <w:rPr>
                <w:rFonts w:ascii="Times New Roman" w:hAnsi="Times New Roman" w:cs="Times New Roman" w:eastAsia="Times New Roman" w:hint="ascii"/>
                <w:sz w:val="15"/>
              </w:rPr>
              <w:t>545</w:t>
            </w:r>
          </w:p>
        </w:tc>
        <w:tc>
          <w:tcPr>
            <w:tcW w:w="1078"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28.54</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136</w:t>
            </w:r>
          </w:p>
        </w:tc>
        <w:tc>
          <w:tcPr>
            <w:tcW w:w="795"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60" w:firstLine="0"/>
              <w:snapToGrid w:val="0"/>
              <w:textAlignment w:val="auto"/>
              <w:tabs>
                <w:tab w:val="left" w:leader="none" w:pos="377"/>
              </w:tabs>
              <w:numPr>
                <w:ilvl w:val="0"/>
                <w:numId w:val="202"/>
              </w:numPr>
              <w:rPr>
                <w:rFonts w:ascii="Times New Roman" w:hAnsi="Times New Roman" w:cs="Times New Roman" w:eastAsia="Times New Roman" w:hint="ascii"/>
                <w:sz w:val="15"/>
              </w:rPr>
            </w:pPr>
            <w:r>
              <w:rPr>
                <w:rFonts w:ascii="Times New Roman" w:hAnsi="Times New Roman" w:cs="Times New Roman" w:eastAsia="Times New Roman" w:hint="ascii"/>
                <w:sz w:val="15"/>
              </w:rPr>
              <w:t>274</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28.45</w:t>
            </w:r>
          </w:p>
        </w:tc>
      </w:tr>
      <w:tr>
        <w:trPr>
          <w:trHeight w:val="233" w:hRule="exact"/>
          <w:cantSplit w:val="1"/>
        </w:trPr>
        <w:tc>
          <w:tcPr>
            <w:tcW w:w="728" w:type="dxa"/>
            <w:gridSpan w:val="1"/>
            <w:vAlign w:val="top"/>
            <w:tcMar/>
            <w:tcBorders>
              <w:top w:val="single" w:sz="4" w:space="0" w:color="000000"/>
            </w:tcBorders>
          </w:tcPr>
          <w:p>
            <w:pPr>
              <w:autoSpaceDE w:val="0"/>
              <w:autoSpaceDN w:val="0"/>
              <w:jc w:val="left"/>
              <w:spacing w:before="1" w:after="0" w:lineRule="exact" w:line="188"/>
              <w:ind w:right="0" w:left="205"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37" w:type="dxa"/>
            <w:gridSpan w:val="1"/>
            <w:vAlign w:val="top"/>
            <w:tcMar/>
            <w:tcBorders>
              <w:left w:val="single" w:sz="4" w:space="0" w:color="000000"/>
              <w:top w:val="single" w:sz="4" w:space="0" w:color="000000"/>
            </w:tcBorders>
          </w:tcPr>
          <w:p>
            <w:pPr>
              <w:autoSpaceDE w:val="0"/>
              <w:autoSpaceDN w:val="0"/>
              <w:jc w:val="left"/>
              <w:spacing w:before="1" w:after="0" w:lineRule="exact" w:line="188"/>
              <w:ind w:right="0" w:left="138" w:firstLine="0"/>
              <w:snapToGrid w:val="0"/>
              <w:textAlignment w:val="auto"/>
              <w:tabs/>
              <w:rPr>
                <w:rFonts w:ascii="宋体" w:hAnsi="宋体" w:cs="宋体" w:eastAsia="宋体" w:hint="ascii"/>
                <w:sz w:val="15"/>
              </w:rPr>
            </w:pPr>
            <w:r>
              <w:rPr>
                <w:rFonts w:ascii="宋体" w:hAnsi="宋体" w:cs="宋体" w:eastAsia="宋体" w:hint="ascii"/>
                <w:sz w:val="15"/>
              </w:rPr>
              <w:t>地球物理学和空间物理学</w:t>
            </w:r>
          </w:p>
        </w:tc>
        <w:tc>
          <w:tcPr>
            <w:tcW w:w="794"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158</w:t>
            </w:r>
          </w:p>
        </w:tc>
        <w:tc>
          <w:tcPr>
            <w:tcW w:w="793"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259" w:firstLine="0"/>
              <w:snapToGrid w:val="0"/>
              <w:textAlignment w:val="auto"/>
              <w:tabs>
                <w:tab w:val="left" w:leader="none" w:pos="377"/>
              </w:tabs>
              <w:numPr>
                <w:ilvl w:val="0"/>
                <w:numId w:val="203"/>
              </w:numPr>
              <w:rPr>
                <w:rFonts w:ascii="Times New Roman" w:hAnsi="Times New Roman" w:cs="Times New Roman" w:eastAsia="Times New Roman" w:hint="ascii"/>
                <w:sz w:val="15"/>
              </w:rPr>
            </w:pPr>
            <w:r>
              <w:rPr>
                <w:rFonts w:ascii="Times New Roman" w:hAnsi="Times New Roman" w:cs="Times New Roman" w:eastAsia="Times New Roman" w:hint="ascii"/>
                <w:sz w:val="15"/>
              </w:rPr>
              <w:t>120</w:t>
            </w:r>
          </w:p>
        </w:tc>
        <w:tc>
          <w:tcPr>
            <w:tcW w:w="1078"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28.52</w:t>
            </w:r>
          </w:p>
        </w:tc>
        <w:tc>
          <w:tcPr>
            <w:tcW w:w="793"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w:t>
            </w:r>
          </w:p>
        </w:tc>
        <w:tc>
          <w:tcPr>
            <w:tcW w:w="795"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260" w:firstLine="0"/>
              <w:snapToGrid w:val="0"/>
              <w:textAlignment w:val="auto"/>
              <w:tabs>
                <w:tab w:val="left" w:leader="none" w:pos="377"/>
              </w:tabs>
              <w:numPr>
                <w:ilvl w:val="0"/>
                <w:numId w:val="202"/>
              </w:numPr>
              <w:rPr>
                <w:rFonts w:ascii="Times New Roman" w:hAnsi="Times New Roman" w:cs="Times New Roman" w:eastAsia="Times New Roman" w:hint="ascii"/>
                <w:sz w:val="15"/>
              </w:rPr>
            </w:pPr>
            <w:r>
              <w:rPr>
                <w:rFonts w:ascii="Times New Roman" w:hAnsi="Times New Roman" w:cs="Times New Roman" w:eastAsia="Times New Roman" w:hint="ascii"/>
                <w:sz w:val="15"/>
              </w:rPr>
              <w:t>273</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28.53</w:t>
            </w:r>
          </w:p>
        </w:tc>
      </w:tr>
      <w:tr>
        <w:trPr>
          <w:trHeight w:val="233" w:hRule="exact"/>
          <w:cantSplit w:val="1"/>
        </w:trPr>
        <w:tc>
          <w:tcPr>
            <w:tcW w:w="728" w:type="dxa"/>
            <w:gridSpan w:val="1"/>
            <w:vAlign w:val="top"/>
            <w:tcMar/>
            <w:tcBorders>
              <w:top w:val="single" w:sz="4" w:space="0" w:color="000000"/>
            </w:tcBorders>
          </w:tcPr>
          <w:p>
            <w:pPr>
              <w:autoSpaceDE w:val="0"/>
              <w:autoSpaceDN w:val="0"/>
              <w:jc w:val="left"/>
              <w:spacing w:before="0" w:after="0" w:lineRule="exact" w:line="188"/>
              <w:ind w:right="0" w:left="205"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937"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662" w:firstLine="0"/>
              <w:snapToGrid w:val="0"/>
              <w:textAlignment w:val="auto"/>
              <w:tabs/>
              <w:rPr>
                <w:rFonts w:ascii="宋体" w:hAnsi="宋体" w:cs="宋体" w:eastAsia="宋体" w:hint="ascii"/>
                <w:sz w:val="15"/>
              </w:rPr>
            </w:pPr>
            <w:r>
              <w:rPr>
                <w:rFonts w:ascii="宋体" w:hAnsi="宋体" w:cs="宋体" w:eastAsia="宋体" w:hint="ascii"/>
                <w:sz w:val="15"/>
              </w:rPr>
              <w:t>海洋科学</w:t>
            </w:r>
          </w:p>
        </w:tc>
        <w:tc>
          <w:tcPr>
            <w:tcW w:w="794"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223</w:t>
            </w:r>
          </w:p>
        </w:tc>
        <w:tc>
          <w:tcPr>
            <w:tcW w:w="793"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259" w:firstLine="0"/>
              <w:snapToGrid w:val="0"/>
              <w:textAlignment w:val="auto"/>
              <w:tabs>
                <w:tab w:val="left" w:leader="none" w:pos="377"/>
              </w:tabs>
              <w:numPr>
                <w:ilvl w:val="0"/>
                <w:numId w:val="203"/>
              </w:numPr>
              <w:rPr>
                <w:rFonts w:ascii="Times New Roman" w:hAnsi="Times New Roman" w:cs="Times New Roman" w:eastAsia="Times New Roman" w:hint="ascii"/>
                <w:sz w:val="15"/>
              </w:rPr>
            </w:pPr>
            <w:r>
              <w:rPr>
                <w:rFonts w:ascii="Times New Roman" w:hAnsi="Times New Roman" w:cs="Times New Roman" w:eastAsia="Times New Roman" w:hint="ascii"/>
                <w:sz w:val="15"/>
              </w:rPr>
              <w:t>409</w:t>
            </w:r>
          </w:p>
        </w:tc>
        <w:tc>
          <w:tcPr>
            <w:tcW w:w="1078"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28.48</w:t>
            </w:r>
          </w:p>
        </w:tc>
        <w:tc>
          <w:tcPr>
            <w:tcW w:w="793"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225</w:t>
            </w:r>
          </w:p>
        </w:tc>
        <w:tc>
          <w:tcPr>
            <w:tcW w:w="795" w:type="dxa"/>
            <w:gridSpan w:val="1"/>
            <w:vAlign w:val="top"/>
            <w:tcMar/>
            <w:tcBorders>
              <w:left w:val="single" w:sz="4" w:space="0" w:color="000000"/>
              <w:top w:val="single" w:sz="4" w:space="0" w:color="000000"/>
            </w:tcBorders>
          </w:tcPr>
          <w:p>
            <w:pPr>
              <w:autoSpaceDE w:val="0"/>
              <w:autoSpaceDN w:val="0"/>
              <w:jc w:val="left"/>
              <w:spacing w:before="7" w:after="0" w:lineRule="auto" w:line="240"/>
              <w:ind w:right="0" w:left="260" w:firstLine="0"/>
              <w:snapToGrid w:val="0"/>
              <w:textAlignment w:val="auto"/>
              <w:tabs>
                <w:tab w:val="left" w:leader="none" w:pos="377"/>
              </w:tabs>
              <w:numPr>
                <w:ilvl w:val="0"/>
                <w:numId w:val="202"/>
              </w:numPr>
              <w:rPr>
                <w:rFonts w:ascii="Times New Roman" w:hAnsi="Times New Roman" w:cs="Times New Roman" w:eastAsia="Times New Roman" w:hint="ascii"/>
                <w:sz w:val="15"/>
              </w:rPr>
            </w:pPr>
            <w:r>
              <w:rPr>
                <w:rFonts w:ascii="Times New Roman" w:hAnsi="Times New Roman" w:cs="Times New Roman" w:eastAsia="Times New Roman" w:hint="ascii"/>
                <w:sz w:val="15"/>
              </w:rPr>
              <w:t>417</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28.45</w:t>
            </w:r>
          </w:p>
        </w:tc>
      </w:tr>
      <w:tr>
        <w:trPr>
          <w:trHeight w:val="233" w:hRule="exact"/>
          <w:cantSplit w:val="1"/>
        </w:trPr>
        <w:tc>
          <w:tcPr>
            <w:tcW w:w="728" w:type="dxa"/>
            <w:gridSpan w:val="1"/>
            <w:vAlign w:val="top"/>
            <w:tcMar/>
            <w:tcBorders>
              <w:top w:val="single" w:sz="4" w:space="0" w:color="000000"/>
            </w:tcBorders>
          </w:tcPr>
          <w:p>
            <w:pPr>
              <w:autoSpaceDE w:val="0"/>
              <w:autoSpaceDN w:val="0"/>
              <w:jc w:val="left"/>
              <w:spacing w:before="0" w:after="0" w:lineRule="exact" w:line="188"/>
              <w:ind w:right="0" w:left="205"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937"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662" w:firstLine="0"/>
              <w:snapToGrid w:val="0"/>
              <w:textAlignment w:val="auto"/>
              <w:tabs/>
              <w:rPr>
                <w:rFonts w:ascii="宋体" w:hAnsi="宋体" w:cs="宋体" w:eastAsia="宋体" w:hint="ascii"/>
                <w:sz w:val="15"/>
              </w:rPr>
            </w:pPr>
            <w:r>
              <w:rPr>
                <w:rFonts w:ascii="宋体" w:hAnsi="宋体" w:cs="宋体" w:eastAsia="宋体" w:hint="ascii"/>
                <w:sz w:val="15"/>
              </w:rPr>
              <w:t>大气科学</w:t>
            </w:r>
          </w:p>
        </w:tc>
        <w:tc>
          <w:tcPr>
            <w:tcW w:w="794"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122</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59" w:firstLine="0"/>
              <w:snapToGrid w:val="0"/>
              <w:textAlignment w:val="auto"/>
              <w:tabs>
                <w:tab w:val="left" w:leader="none" w:pos="377"/>
              </w:tabs>
              <w:numPr>
                <w:ilvl w:val="0"/>
                <w:numId w:val="204"/>
              </w:numPr>
              <w:rPr>
                <w:rFonts w:ascii="Times New Roman" w:hAnsi="Times New Roman" w:cs="Times New Roman" w:eastAsia="Times New Roman" w:hint="ascii"/>
                <w:sz w:val="15"/>
              </w:rPr>
            </w:pPr>
            <w:r>
              <w:rPr>
                <w:rFonts w:ascii="Times New Roman" w:hAnsi="Times New Roman" w:cs="Times New Roman" w:eastAsia="Times New Roman" w:hint="ascii"/>
                <w:sz w:val="15"/>
              </w:rPr>
              <w:t>410</w:t>
            </w:r>
          </w:p>
        </w:tc>
        <w:tc>
          <w:tcPr>
            <w:tcW w:w="1078"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28.50</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142</w:t>
            </w:r>
          </w:p>
        </w:tc>
        <w:tc>
          <w:tcPr>
            <w:tcW w:w="795"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60" w:firstLine="0"/>
              <w:snapToGrid w:val="0"/>
              <w:textAlignment w:val="auto"/>
              <w:tabs>
                <w:tab w:val="left" w:leader="none" w:pos="377"/>
              </w:tabs>
              <w:numPr>
                <w:ilvl w:val="0"/>
                <w:numId w:val="204"/>
              </w:numPr>
              <w:rPr>
                <w:rFonts w:ascii="Times New Roman" w:hAnsi="Times New Roman" w:cs="Times New Roman" w:eastAsia="Times New Roman" w:hint="ascii"/>
                <w:sz w:val="15"/>
              </w:rPr>
            </w:pPr>
            <w:r>
              <w:rPr>
                <w:rFonts w:ascii="Times New Roman" w:hAnsi="Times New Roman" w:cs="Times New Roman" w:eastAsia="Times New Roman" w:hint="ascii"/>
                <w:sz w:val="15"/>
              </w:rPr>
              <w:t>424</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28.40</w:t>
            </w:r>
          </w:p>
        </w:tc>
      </w:tr>
      <w:tr>
        <w:trPr>
          <w:trHeight w:val="232" w:hRule="exact"/>
          <w:cantSplit w:val="1"/>
        </w:trPr>
        <w:tc>
          <w:tcPr>
            <w:tcW w:w="2665" w:type="dxa"/>
            <w:gridSpan w:val="2"/>
            <w:vAlign w:val="top"/>
            <w:tcMar/>
            <w:tcBorders>
              <w:top w:val="single" w:sz="4" w:space="0" w:color="000000"/>
            </w:tcBorders>
          </w:tcPr>
          <w:p>
            <w:pPr>
              <w:autoSpaceDE w:val="0"/>
              <w:autoSpaceDN w:val="0"/>
              <w:jc w:val="left"/>
              <w:spacing w:before="0" w:after="0" w:lineRule="exact" w:line="188"/>
              <w:ind w:right="0" w:left="873"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794"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1 622</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1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32 080</w:t>
            </w:r>
          </w:p>
        </w:tc>
        <w:tc>
          <w:tcPr>
            <w:tcW w:w="1078"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28.47</w:t>
            </w:r>
          </w:p>
        </w:tc>
        <w:tc>
          <w:tcPr>
            <w:tcW w:w="793"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1 712</w:t>
            </w:r>
          </w:p>
        </w:tc>
        <w:tc>
          <w:tcPr>
            <w:tcW w:w="795" w:type="dxa"/>
            <w:gridSpan w:val="1"/>
            <w:vAlign w:val="top"/>
            <w:tcMar/>
            <w:tcBorders>
              <w:left w:val="single" w:sz="4" w:space="0" w:color="000000"/>
              <w:top w:val="single" w:sz="4" w:space="0" w:color="000000"/>
            </w:tcBorders>
          </w:tcPr>
          <w:p>
            <w:pPr>
              <w:autoSpaceDE w:val="0"/>
              <w:autoSpaceDN w:val="0"/>
              <w:jc w:val="left"/>
              <w:spacing w:before="6"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41 270</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28.41</w:t>
            </w:r>
          </w:p>
        </w:tc>
      </w:tr>
      <w:tr>
        <w:trPr>
          <w:trHeight w:val="239" w:hRule="exact"/>
          <w:cantSplit w:val="1"/>
        </w:trPr>
        <w:tc>
          <w:tcPr>
            <w:tcW w:w="2665" w:type="dxa"/>
            <w:gridSpan w:val="2"/>
            <w:vAlign w:val="top"/>
            <w:tcMar/>
            <w:tcBorders>
              <w:top w:val="single" w:sz="4" w:space="0" w:color="000000"/>
              <w:bottom w:val="single" w:sz="8" w:space="0" w:color="000000"/>
            </w:tcBorders>
          </w:tcPr>
          <w:p>
            <w:pPr>
              <w:autoSpaceDE w:val="0"/>
              <w:autoSpaceDN w:val="0"/>
              <w:jc w:val="left"/>
              <w:spacing w:before="1" w:after="0" w:lineRule="exact" w:line="188"/>
              <w:ind w:right="0" w:left="177"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665"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7" w:after="0" w:lineRule="auto" w:line="240"/>
              <w:ind w:right="0" w:left="11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19.78</w:t>
            </w:r>
          </w:p>
        </w:tc>
        <w:tc>
          <w:tcPr>
            <w:tcW w:w="2665"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7" w:after="0" w:lineRule="auto" w:line="240"/>
              <w:ind w:right="0" w:left="11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r>
    </w:tbl>
    <w:p>
      <w:pPr>
        <w:autoSpaceDE w:val="0"/>
        <w:autoSpaceDN w:val="0"/>
        <w:jc w:val="left"/>
        <w:spacing w:before="73" w:after="0" w:lineRule="exact" w:line="188"/>
        <w:ind w:right="0" w:left="1266" w:firstLine="0"/>
        <w:snapToGrid w:val="0"/>
        <w:textAlignment w:val="auto"/>
        <w:tabs/>
        <w:rPr>
          <w:rFonts w:ascii="宋体" w:hAnsi="宋体" w:cs="宋体" w:eastAsia="宋体" w:hint="ascii"/>
          <w:sz w:val="15"/>
        </w:rPr>
      </w:pPr>
      <w:r>
        <w:rPr>
          <w:rFonts w:ascii="宋体" w:hAnsi="宋体" w:cs="宋体" w:eastAsia="宋体" w:hint="ascii"/>
          <w:sz w:val="15"/>
        </w:rPr>
        <w:t>注：此表</w:t>
      </w:r>
      <w:r>
        <w:rPr>
          <w:rFonts w:ascii="宋体" w:hAnsi="宋体" w:cs="宋体" w:eastAsia="宋体" w:hint="ascii"/>
          <w:sz w:val="15"/>
          <w:spacing w:val="19"/>
        </w:rPr>
        <w:t>按</w:t>
      </w:r>
      <w:r>
        <w:rPr>
          <w:rFonts w:ascii="Times New Roman" w:hAnsi="Times New Roman" w:cs="Times New Roman" w:eastAsia="Times New Roman" w:hint="ascii"/>
          <w:sz w:val="15"/>
        </w:rPr>
        <w:t>201</w:t>
      </w:r>
      <w:r>
        <w:rPr>
          <w:rFonts w:ascii="Times New Roman" w:hAnsi="Times New Roman" w:cs="Times New Roman" w:eastAsia="Times New Roman" w:hint="ascii"/>
          <w:sz w:val="15"/>
          <w:spacing w:val="37"/>
        </w:rPr>
        <w:t>7</w:t>
      </w:r>
      <w:r>
        <w:rPr>
          <w:rFonts w:ascii="宋体" w:hAnsi="宋体" w:cs="宋体" w:eastAsia="宋体" w:hint="ascii"/>
          <w:sz w:val="15"/>
        </w:rPr>
        <w:t>年之前科学处设置统计</w:t>
      </w:r>
    </w:p>
    <w:p>
      <w:pPr>
        <w:autoSpaceDE w:val="0"/>
        <w:autoSpaceDN w:val="0"/>
        <w:jc w:val="left"/>
        <w:spacing w:before="191" w:after="0" w:lineRule="exact" w:line="475"/>
        <w:ind w:right="0" w:left="3436" w:firstLine="0"/>
        <w:snapToGrid w:val="0"/>
        <w:textAlignment w:val="auto"/>
        <w:tabs/>
        <w:rPr>
          <w:rFonts w:ascii="宋体" w:hAnsi="宋体" w:cs="宋体" w:eastAsia="宋体" w:hint="ascii"/>
          <w:sz w:val="38"/>
        </w:rPr>
      </w:pPr>
      <w:r>
        <w:rPr>
          <w:rFonts w:ascii="宋体" w:hAnsi="宋体" w:cs="宋体" w:eastAsia="宋体" w:hint="ascii"/>
          <w:sz w:val="38"/>
        </w:rPr>
        <w:t>工程与材料科学部</w:t>
      </w:r>
    </w:p>
    <w:p>
      <w:pPr>
        <w:autoSpaceDE w:val="0"/>
        <w:autoSpaceDN w:val="0"/>
        <w:jc w:val="left"/>
        <w:spacing w:before="30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为了鼓励和培育创新型青年科技人才，营造良好学术生态，工程与材料科学部按照</w:t>
      </w:r>
    </w:p>
    <w:p>
      <w:pPr>
        <w:autoSpaceDE w:val="0"/>
        <w:autoSpaceDN w:val="0"/>
        <w:jc w:val="left"/>
        <w:spacing w:before="3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青年科学基金项目的定位，将继续贯彻相关资助政策，为青年学者提供科学探索平台。</w:t>
      </w:r>
    </w:p>
    <w:p>
      <w:pPr>
        <w:autoSpaceDE w:val="0"/>
        <w:autoSpaceDN w:val="0"/>
        <w:jc w:val="both"/>
        <w:spacing w:before="8" w:after="0" w:lineRule="exact" w:line="300"/>
        <w:ind w:right="977"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31"/>
        </w:rPr>
        <w:t>7</w:t>
      </w:r>
      <w:r>
        <w:rPr>
          <w:rFonts w:ascii="宋体" w:hAnsi="宋体" w:cs="宋体" w:eastAsia="宋体" w:hint="ascii"/>
          <w:sz w:val="21"/>
        </w:rPr>
        <w:t>年度接收青年科学基金项目申</w:t>
      </w:r>
      <w:r>
        <w:rPr>
          <w:rFonts w:ascii="宋体" w:hAnsi="宋体" w:cs="宋体" w:eastAsia="宋体" w:hint="ascii"/>
          <w:sz w:val="21"/>
          <w:spacing w:val="15"/>
        </w:rPr>
        <w:t>请</w:t>
      </w:r>
      <w:r>
        <w:rPr>
          <w:rFonts w:ascii="Times New Roman" w:hAnsi="Times New Roman" w:cs="Times New Roman" w:eastAsia="Times New Roman" w:hint="ascii"/>
          <w:sz w:val="21"/>
        </w:rPr>
        <w:t>13 13</w:t>
      </w:r>
      <w:r>
        <w:rPr>
          <w:rFonts w:ascii="Times New Roman" w:hAnsi="Times New Roman" w:cs="Times New Roman" w:eastAsia="Times New Roman" w:hint="ascii"/>
          <w:sz w:val="21"/>
          <w:spacing w:val="31"/>
        </w:rPr>
        <w:t>1</w:t>
      </w:r>
      <w:r>
        <w:rPr>
          <w:rFonts w:ascii="宋体" w:hAnsi="宋体" w:cs="宋体" w:eastAsia="宋体" w:hint="ascii"/>
          <w:sz w:val="21"/>
        </w:rPr>
        <w:t>项（不予受</w:t>
      </w:r>
      <w:r>
        <w:rPr>
          <w:rFonts w:ascii="宋体" w:hAnsi="宋体" w:cs="宋体" w:eastAsia="宋体" w:hint="ascii"/>
          <w:sz w:val="21"/>
          <w:spacing w:val="15"/>
        </w:rPr>
        <w:t>理</w:t>
      </w:r>
      <w:r>
        <w:rPr>
          <w:rFonts w:ascii="Times New Roman" w:hAnsi="Times New Roman" w:cs="Times New Roman" w:eastAsia="Times New Roman" w:hint="ascii"/>
          <w:sz w:val="21"/>
        </w:rPr>
        <w:t>26</w:t>
      </w:r>
      <w:r>
        <w:rPr>
          <w:rFonts w:ascii="Times New Roman" w:hAnsi="Times New Roman" w:cs="Times New Roman" w:eastAsia="Times New Roman" w:hint="ascii"/>
          <w:sz w:val="21"/>
          <w:spacing w:val="31"/>
        </w:rPr>
        <w:t>8</w:t>
      </w:r>
      <w:r>
        <w:rPr>
          <w:rFonts w:ascii="宋体" w:hAnsi="宋体" w:cs="宋体" w:eastAsia="宋体" w:hint="ascii"/>
          <w:sz w:val="21"/>
        </w:rPr>
        <w:t>项</w:t>
      </w:r>
      <w:r>
        <w:rPr>
          <w:rFonts w:ascii="宋体" w:hAnsi="宋体" w:cs="宋体" w:eastAsia="宋体" w:hint="ascii"/>
          <w:sz w:val="21"/>
          <w:spacing w:val="-53"/>
        </w:rPr>
        <w:t>）</w:t>
      </w:r>
      <w:r>
        <w:rPr>
          <w:rFonts w:ascii="宋体" w:hAnsi="宋体" w:cs="宋体" w:eastAsia="宋体" w:hint="ascii"/>
          <w:sz w:val="21"/>
        </w:rPr>
        <w:t>，增幅</w:t>
      </w:r>
      <w:r>
        <w:rPr>
          <w:rFonts w:ascii="宋体" w:hAnsi="宋体" w:cs="宋体" w:eastAsia="宋体" w:hint="ascii"/>
          <w:sz w:val="21"/>
          <w:spacing w:val="15"/>
        </w:rPr>
        <w:t>为</w:t>
      </w:r>
      <w:r>
        <w:rPr>
          <w:rFonts w:ascii="Times New Roman" w:hAnsi="Times New Roman" w:cs="Times New Roman" w:eastAsia="Times New Roman" w:hint="ascii"/>
          <w:sz w:val="21"/>
        </w:rPr>
        <w:t>10.45%</w:t>
      </w:r>
      <w:r>
        <w:rPr>
          <w:rFonts w:ascii="宋体" w:hAnsi="宋体" w:cs="宋体" w:eastAsia="宋体" w:hint="ascii"/>
          <w:sz w:val="21"/>
        </w:rPr>
        <w:t>；资</w:t>
      </w:r>
      <w:r>
        <w:rPr>
          <w:rFonts w:ascii="宋体" w:hAnsi="宋体" w:cs="宋体" w:eastAsia="宋体" w:hint="ascii"/>
          <w:sz w:val="21"/>
          <w:spacing w:val="15"/>
        </w:rPr>
        <w:t>助</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33"/>
        </w:rPr>
        <w:t>0</w:t>
      </w:r>
      <w:r>
        <w:rPr>
          <w:rFonts w:ascii="宋体" w:hAnsi="宋体" w:cs="宋体" w:eastAsia="宋体" w:hint="ascii"/>
          <w:sz w:val="21"/>
        </w:rPr>
        <w:t>项，资助直接</w:t>
      </w:r>
      <w:r>
        <w:rPr>
          <w:rFonts w:ascii="宋体" w:hAnsi="宋体" w:cs="宋体" w:eastAsia="宋体" w:hint="ascii"/>
          <w:sz w:val="21"/>
          <w:spacing w:val="-1"/>
        </w:rPr>
        <w:t>费</w:t>
      </w:r>
      <w:r>
        <w:rPr>
          <w:rFonts w:ascii="宋体" w:hAnsi="宋体" w:cs="宋体" w:eastAsia="宋体" w:hint="ascii"/>
          <w:sz w:val="21"/>
          <w:spacing w:val="15"/>
        </w:rPr>
        <w:t>用</w:t>
      </w:r>
      <w:r>
        <w:rPr>
          <w:rFonts w:ascii="Times New Roman" w:hAnsi="Times New Roman" w:cs="Times New Roman" w:eastAsia="Times New Roman" w:hint="ascii"/>
          <w:sz w:val="21"/>
          <w:spacing w:val="1"/>
        </w:rPr>
        <w:t>7</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4"/>
        </w:rPr>
        <w:t xml:space="preserve"> </w:t>
      </w:r>
      <w:r>
        <w:rPr>
          <w:rFonts w:ascii="Times New Roman" w:hAnsi="Times New Roman" w:cs="Times New Roman" w:eastAsia="Times New Roman" w:hint="ascii"/>
          <w:sz w:val="21"/>
        </w:rPr>
        <w:t>91</w:t>
      </w:r>
      <w:r>
        <w:rPr>
          <w:rFonts w:ascii="Times New Roman" w:hAnsi="Times New Roman" w:cs="Times New Roman" w:eastAsia="Times New Roman" w:hint="ascii"/>
          <w:sz w:val="21"/>
          <w:spacing w:val="54"/>
        </w:rPr>
        <w:t>0</w:t>
      </w:r>
      <w:r>
        <w:rPr>
          <w:rFonts w:ascii="宋体" w:hAnsi="宋体" w:cs="宋体" w:eastAsia="宋体" w:hint="ascii"/>
          <w:sz w:val="21"/>
        </w:rPr>
        <w:t>万元，直接</w:t>
      </w:r>
      <w:r>
        <w:rPr>
          <w:rFonts w:ascii="宋体" w:hAnsi="宋体" w:cs="宋体" w:eastAsia="宋体" w:hint="ascii"/>
          <w:sz w:val="21"/>
          <w:spacing w:val="-1"/>
        </w:rPr>
        <w:t>费</w:t>
      </w:r>
      <w:r>
        <w:rPr>
          <w:rFonts w:ascii="宋体" w:hAnsi="宋体" w:cs="宋体" w:eastAsia="宋体" w:hint="ascii"/>
          <w:sz w:val="21"/>
        </w:rPr>
        <w:t>用平均资</w:t>
      </w:r>
      <w:r>
        <w:rPr>
          <w:rFonts w:ascii="宋体" w:hAnsi="宋体" w:cs="宋体" w:eastAsia="宋体" w:hint="ascii"/>
          <w:sz w:val="21"/>
          <w:spacing w:val="-1"/>
        </w:rPr>
        <w:t>助</w:t>
      </w:r>
      <w:r>
        <w:rPr>
          <w:rFonts w:ascii="宋体" w:hAnsi="宋体" w:cs="宋体" w:eastAsia="宋体" w:hint="ascii"/>
          <w:sz w:val="21"/>
        </w:rPr>
        <w:t>强度</w:t>
      </w:r>
      <w:r>
        <w:rPr>
          <w:rFonts w:ascii="宋体" w:hAnsi="宋体" w:cs="宋体" w:eastAsia="宋体" w:hint="ascii"/>
          <w:sz w:val="21"/>
          <w:spacing w:val="15"/>
        </w:rPr>
        <w:t>为</w:t>
      </w:r>
      <w:r>
        <w:rPr>
          <w:rFonts w:ascii="Times New Roman" w:hAnsi="Times New Roman" w:cs="Times New Roman" w:eastAsia="Times New Roman" w:hint="ascii"/>
          <w:sz w:val="21"/>
        </w:rPr>
        <w:t>24.0</w:t>
      </w:r>
      <w:r>
        <w:rPr>
          <w:rFonts w:ascii="Times New Roman" w:hAnsi="Times New Roman" w:cs="Times New Roman" w:eastAsia="Times New Roman" w:hint="ascii"/>
          <w:sz w:val="21"/>
          <w:spacing w:val="33"/>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w:t>
      </w:r>
      <w:r>
        <w:rPr>
          <w:rFonts w:ascii="宋体" w:hAnsi="宋体" w:cs="宋体" w:eastAsia="宋体" w:hint="ascii"/>
          <w:sz w:val="21"/>
          <w:spacing w:val="-1"/>
        </w:rPr>
        <w:t>助</w:t>
      </w:r>
      <w:r>
        <w:rPr>
          <w:rFonts w:ascii="宋体" w:hAnsi="宋体" w:cs="宋体" w:eastAsia="宋体" w:hint="ascii"/>
          <w:sz w:val="21"/>
        </w:rPr>
        <w:t>率</w:t>
      </w:r>
      <w:r>
        <w:rPr>
          <w:rFonts w:ascii="宋体" w:hAnsi="宋体" w:cs="宋体" w:eastAsia="宋体" w:hint="ascii"/>
          <w:sz w:val="21"/>
          <w:spacing w:val="13"/>
        </w:rPr>
        <w:t>为</w:t>
      </w:r>
      <w:r>
        <w:rPr>
          <w:rFonts w:ascii="Times New Roman" w:hAnsi="Times New Roman" w:cs="Times New Roman" w:eastAsia="Times New Roman" w:hint="ascii"/>
          <w:sz w:val="21"/>
        </w:rPr>
        <w:t>23.46%</w:t>
      </w:r>
      <w:r>
        <w:rPr>
          <w:rFonts w:ascii="宋体" w:hAnsi="宋体" w:cs="宋体" w:eastAsia="宋体" w:hint="ascii"/>
          <w:sz w:val="21"/>
        </w:rPr>
        <w:t>（</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6"/>
        </w:rPr>
        <w:t>6</w:t>
      </w:r>
      <w:r>
        <w:rPr>
          <w:rFonts w:ascii="宋体" w:hAnsi="宋体" w:cs="宋体" w:eastAsia="宋体" w:hint="ascii"/>
          <w:sz w:val="21"/>
        </w:rPr>
        <w:t>年度</w:t>
      </w:r>
      <w:r>
        <w:rPr>
          <w:rFonts w:ascii="宋体" w:hAnsi="宋体" w:cs="宋体" w:eastAsia="宋体" w:hint="ascii"/>
          <w:sz w:val="21"/>
          <w:spacing w:val="13"/>
        </w:rPr>
        <w:t>为</w:t>
      </w:r>
      <w:r>
        <w:rPr>
          <w:rFonts w:ascii="Times New Roman" w:hAnsi="Times New Roman" w:cs="Times New Roman" w:eastAsia="Times New Roman" w:hint="ascii"/>
          <w:sz w:val="21"/>
        </w:rPr>
        <w:t>24.</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有关科学部的总体指导原则和申请注意事项，请参看本《指南》本科学部和相关科</w:t>
      </w:r>
    </w:p>
    <w:p>
      <w:pPr>
        <w:autoSpaceDE w:val="0"/>
        <w:autoSpaceDN w:val="0"/>
        <w:jc w:val="left"/>
        <w:spacing w:before="3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学处面上项目部分。</w:t>
      </w:r>
    </w:p>
    <w:p>
      <w:pPr>
        <w:autoSpaceDE w:val="0"/>
        <w:autoSpaceDN w:val="0"/>
        <w:jc w:val="left"/>
        <w:spacing w:before="174" w:after="0" w:lineRule="exact" w:line="225"/>
        <w:ind w:right="0" w:left="2623" w:firstLine="0"/>
        <w:snapToGrid w:val="0"/>
        <w:textAlignment w:val="auto"/>
        <w:tabs/>
        <w:rPr>
          <w:rFonts w:ascii="宋体" w:hAnsi="宋体" w:cs="宋体" w:eastAsia="宋体" w:hint="ascii"/>
          <w:sz w:val="18"/>
        </w:rPr>
      </w:pPr>
      <w:r>
        <w:rPr>
          <w:rFonts w:ascii="宋体" w:hAnsi="宋体" w:cs="宋体" w:eastAsia="宋体" w:hint="ascii"/>
          <w:sz w:val="18"/>
        </w:rPr>
        <w:t>工程与材料科学部青年科学基金项目近两年资助情况一览表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61" w:type="dxa"/>
        <w:jc w:val="left"/>
        <w:tblInd w:w="982"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78"/>
        <w:gridCol w:w="1685"/>
        <w:gridCol w:w="789"/>
        <w:gridCol w:w="791"/>
        <w:gridCol w:w="1020"/>
        <w:gridCol w:w="790"/>
        <w:gridCol w:w="788"/>
        <w:gridCol w:w="1020"/>
      </w:tblGrid>
      <w:tr>
        <w:trPr>
          <w:trHeight w:val="326" w:hRule="exact"/>
          <w:cantSplit w:val="1"/>
        </w:trPr>
        <w:tc>
          <w:tcPr>
            <w:tcW w:w="2763" w:type="dxa"/>
            <w:gridSpan w:val="2"/>
            <w:vAlign w:val="top"/>
            <w:vMerge w:val="restart"/>
            <w:tcMar/>
            <w:tcBorders/>
          </w:tcPr>
          <w:p>
            <w:pPr>
              <w:autoSpaceDE w:val="0"/>
              <w:autoSpaceDN w:val="0"/>
              <w:jc w:val="left"/>
              <w:spacing w:before="259" w:after="0" w:lineRule="exact" w:line="188"/>
              <w:ind w:right="0" w:left="1147"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600" w:type="dxa"/>
            <w:gridSpan w:val="3"/>
            <w:vAlign w:val="top"/>
            <w:tcMar/>
            <w:tcBorders>
              <w:left w:val="single" w:sz="4" w:space="0" w:color="000000"/>
            </w:tcBorders>
          </w:tcPr>
          <w:p>
            <w:pPr>
              <w:autoSpaceDE w:val="0"/>
              <w:autoSpaceDN w:val="0"/>
              <w:jc w:val="left"/>
              <w:spacing w:before="45" w:after="0" w:lineRule="auto" w:line="240"/>
              <w:ind w:right="0" w:left="986"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201</w:t>
            </w:r>
            <w:r>
              <w:rPr>
                <w:rFonts w:ascii="Times New Roman" w:hAnsi="Times New Roman" w:cs="Times New Roman" w:eastAsia="Times New Roman" w:hint="ascii"/>
                <w:sz w:val="15"/>
                <w:spacing w:val="20"/>
              </w:rPr>
              <w:t>6</w:t>
            </w:r>
            <w:r>
              <w:rPr>
                <w:rFonts w:ascii="宋体" w:hAnsi="宋体" w:cs="宋体" w:eastAsia="宋体" w:hint="ascii"/>
                <w:sz w:val="15"/>
              </w:rPr>
              <w:t>年度</w:t>
            </w:r>
          </w:p>
        </w:tc>
        <w:tc>
          <w:tcPr>
            <w:tcW w:w="2598" w:type="dxa"/>
            <w:gridSpan w:val="3"/>
            <w:vAlign w:val="top"/>
            <w:tcMar/>
            <w:tcBorders>
              <w:left w:val="single" w:sz="4" w:space="0" w:color="000000"/>
              <w:right w:val="single" w:sz="8" w:space="0" w:color="000000"/>
            </w:tcBorders>
          </w:tcPr>
          <w:p>
            <w:pPr>
              <w:autoSpaceDE w:val="0"/>
              <w:autoSpaceDN w:val="0"/>
              <w:jc w:val="left"/>
              <w:spacing w:before="45" w:after="0" w:lineRule="auto" w:line="240"/>
              <w:ind w:right="0" w:left="975"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201</w:t>
            </w:r>
            <w:r>
              <w:rPr>
                <w:rFonts w:ascii="Times New Roman" w:hAnsi="Times New Roman" w:cs="Times New Roman" w:eastAsia="Times New Roman" w:hint="ascii"/>
                <w:sz w:val="15"/>
                <w:spacing w:val="38"/>
              </w:rPr>
              <w:t>7</w:t>
            </w:r>
            <w:r>
              <w:rPr>
                <w:rFonts w:ascii="宋体" w:hAnsi="宋体" w:cs="宋体" w:eastAsia="宋体" w:hint="ascii"/>
                <w:sz w:val="15"/>
              </w:rPr>
              <w:t>年度</w:t>
            </w:r>
          </w:p>
        </w:tc>
      </w:tr>
      <w:tr>
        <w:trPr>
          <w:trHeight w:val="427" w:hRule="exact"/>
          <w:cantSplit w:val="1"/>
        </w:trPr>
        <w:tc>
          <w:tcPr>
            <w:tcW w:w="2763"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89"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0"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1"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20"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279"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5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0"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89"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88"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exact" w:line="188"/>
              <w:ind w:right="0" w:left="2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55"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320" w:hRule="exact"/>
          <w:cantSplit w:val="1"/>
        </w:trPr>
        <w:tc>
          <w:tcPr>
            <w:tcW w:w="1078" w:type="dxa"/>
            <w:gridSpan w:val="1"/>
            <w:vAlign w:val="top"/>
            <w:vMerge w:val="restart"/>
            <w:tcMar/>
            <w:tcBorders>
              <w:top w:val="single" w:sz="4" w:space="0" w:color="000000"/>
            </w:tcBorders>
          </w:tcPr>
          <w:p>
            <w:pPr>
              <w:autoSpaceDE w:val="0"/>
              <w:autoSpaceDN w:val="0"/>
              <w:jc w:val="left"/>
              <w:spacing w:before="205"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材料科学一处</w:t>
            </w:r>
          </w:p>
        </w:tc>
        <w:tc>
          <w:tcPr>
            <w:tcW w:w="1685"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537" w:firstLine="0"/>
              <w:snapToGrid w:val="0"/>
              <w:textAlignment w:val="auto"/>
              <w:tabs/>
              <w:rPr>
                <w:rFonts w:ascii="宋体" w:hAnsi="宋体" w:cs="宋体" w:eastAsia="宋体" w:hint="ascii"/>
                <w:sz w:val="15"/>
              </w:rPr>
            </w:pPr>
            <w:r>
              <w:rPr>
                <w:rFonts w:ascii="宋体" w:hAnsi="宋体" w:cs="宋体" w:eastAsia="宋体" w:hint="ascii"/>
                <w:sz w:val="15"/>
              </w:rPr>
              <w:t>金属材料</w:t>
            </w:r>
          </w:p>
        </w:tc>
        <w:tc>
          <w:tcPr>
            <w:tcW w:w="789"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229</w:t>
            </w:r>
          </w:p>
        </w:tc>
        <w:tc>
          <w:tcPr>
            <w:tcW w:w="791"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58" w:firstLine="0"/>
              <w:snapToGrid w:val="0"/>
              <w:textAlignment w:val="auto"/>
              <w:tabs>
                <w:tab w:val="left" w:leader="none" w:pos="376"/>
              </w:tabs>
              <w:numPr>
                <w:ilvl w:val="0"/>
                <w:numId w:val="205"/>
              </w:numPr>
              <w:rPr>
                <w:rFonts w:ascii="Times New Roman" w:hAnsi="Times New Roman" w:cs="Times New Roman" w:eastAsia="Times New Roman" w:hint="ascii"/>
                <w:sz w:val="15"/>
              </w:rPr>
            </w:pPr>
            <w:r>
              <w:rPr>
                <w:rFonts w:ascii="Times New Roman" w:hAnsi="Times New Roman" w:cs="Times New Roman" w:eastAsia="Times New Roman" w:hint="ascii"/>
                <w:sz w:val="15"/>
              </w:rPr>
              <w:t>574</w:t>
            </w:r>
          </w:p>
        </w:tc>
        <w:tc>
          <w:tcPr>
            <w:tcW w:w="102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24.26</w:t>
            </w:r>
          </w:p>
        </w:tc>
        <w:tc>
          <w:tcPr>
            <w:tcW w:w="79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244</w:t>
            </w:r>
          </w:p>
        </w:tc>
        <w:tc>
          <w:tcPr>
            <w:tcW w:w="788"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58" w:firstLine="0"/>
              <w:snapToGrid w:val="0"/>
              <w:textAlignment w:val="auto"/>
              <w:tabs>
                <w:tab w:val="left" w:leader="none" w:pos="376"/>
              </w:tabs>
              <w:numPr>
                <w:ilvl w:val="0"/>
                <w:numId w:val="205"/>
              </w:numPr>
              <w:rPr>
                <w:rFonts w:ascii="Times New Roman" w:hAnsi="Times New Roman" w:cs="Times New Roman" w:eastAsia="Times New Roman" w:hint="ascii"/>
                <w:sz w:val="15"/>
              </w:rPr>
            </w:pPr>
            <w:r>
              <w:rPr>
                <w:rFonts w:ascii="Times New Roman" w:hAnsi="Times New Roman" w:cs="Times New Roman" w:eastAsia="Times New Roman" w:hint="ascii"/>
                <w:sz w:val="15"/>
              </w:rPr>
              <w:t>844</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1"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23.71</w:t>
            </w:r>
          </w:p>
        </w:tc>
      </w:tr>
      <w:tr>
        <w:trPr>
          <w:trHeight w:val="322" w:hRule="exact"/>
          <w:cantSplit w:val="1"/>
        </w:trPr>
        <w:tc>
          <w:tcPr>
            <w:tcW w:w="107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685"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313" w:firstLine="0"/>
              <w:snapToGrid w:val="0"/>
              <w:textAlignment w:val="auto"/>
              <w:tabs/>
              <w:rPr>
                <w:rFonts w:ascii="宋体" w:hAnsi="宋体" w:cs="宋体" w:eastAsia="宋体" w:hint="ascii"/>
                <w:sz w:val="15"/>
              </w:rPr>
            </w:pPr>
            <w:r>
              <w:rPr>
                <w:rFonts w:ascii="宋体" w:hAnsi="宋体" w:cs="宋体" w:eastAsia="宋体" w:hint="ascii"/>
                <w:sz w:val="15"/>
              </w:rPr>
              <w:t>有机高分子材料</w:t>
            </w:r>
          </w:p>
        </w:tc>
        <w:tc>
          <w:tcPr>
            <w:tcW w:w="78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w:t>
            </w:r>
          </w:p>
        </w:tc>
        <w:tc>
          <w:tcPr>
            <w:tcW w:w="7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tab w:val="left" w:leader="none" w:pos="376"/>
              </w:tabs>
              <w:numPr>
                <w:ilvl w:val="0"/>
                <w:numId w:val="206"/>
              </w:numPr>
              <w:rPr>
                <w:rFonts w:ascii="Times New Roman" w:hAnsi="Times New Roman" w:cs="Times New Roman" w:eastAsia="Times New Roman" w:hint="ascii"/>
                <w:sz w:val="15"/>
              </w:rPr>
            </w:pPr>
            <w:r>
              <w:rPr>
                <w:rFonts w:ascii="Times New Roman" w:hAnsi="Times New Roman" w:cs="Times New Roman" w:eastAsia="Times New Roman" w:hint="ascii"/>
                <w:sz w:val="15"/>
              </w:rPr>
              <w:t>714</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23.53</w:t>
            </w:r>
          </w:p>
        </w:tc>
        <w:tc>
          <w:tcPr>
            <w:tcW w:w="79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260</w:t>
            </w:r>
          </w:p>
        </w:tc>
        <w:tc>
          <w:tcPr>
            <w:tcW w:w="788"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tab w:val="left" w:leader="none" w:pos="376"/>
              </w:tabs>
              <w:numPr>
                <w:ilvl w:val="0"/>
                <w:numId w:val="205"/>
              </w:numPr>
              <w:rPr>
                <w:rFonts w:ascii="Times New Roman" w:hAnsi="Times New Roman" w:cs="Times New Roman" w:eastAsia="Times New Roman" w:hint="ascii"/>
                <w:sz w:val="15"/>
              </w:rPr>
            </w:pPr>
            <w:r>
              <w:rPr>
                <w:rFonts w:ascii="Times New Roman" w:hAnsi="Times New Roman" w:cs="Times New Roman" w:eastAsia="Times New Roman" w:hint="ascii"/>
                <w:sz w:val="15"/>
              </w:rPr>
              <w:t>236</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22.89</w:t>
            </w:r>
          </w:p>
        </w:tc>
      </w:tr>
      <w:tr>
        <w:trPr>
          <w:trHeight w:val="320" w:hRule="exact"/>
          <w:cantSplit w:val="1"/>
        </w:trPr>
        <w:tc>
          <w:tcPr>
            <w:tcW w:w="1078" w:type="dxa"/>
            <w:gridSpan w:val="1"/>
            <w:vAlign w:val="top"/>
            <w:tcMar/>
            <w:tcBorders>
              <w:top w:val="single" w:sz="4" w:space="0" w:color="000000"/>
            </w:tcBorders>
          </w:tcPr>
          <w:p>
            <w:pPr>
              <w:autoSpaceDE w:val="0"/>
              <w:autoSpaceDN w:val="0"/>
              <w:jc w:val="left"/>
              <w:spacing w:before="44"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材料科学二处</w:t>
            </w:r>
          </w:p>
        </w:tc>
        <w:tc>
          <w:tcPr>
            <w:tcW w:w="1685"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313" w:firstLine="0"/>
              <w:snapToGrid w:val="0"/>
              <w:textAlignment w:val="auto"/>
              <w:tabs/>
              <w:rPr>
                <w:rFonts w:ascii="宋体" w:hAnsi="宋体" w:cs="宋体" w:eastAsia="宋体" w:hint="ascii"/>
                <w:sz w:val="15"/>
              </w:rPr>
            </w:pPr>
            <w:r>
              <w:rPr>
                <w:rFonts w:ascii="宋体" w:hAnsi="宋体" w:cs="宋体" w:eastAsia="宋体" w:hint="ascii"/>
                <w:sz w:val="15"/>
              </w:rPr>
              <w:t>无机非金属材料</w:t>
            </w:r>
          </w:p>
        </w:tc>
        <w:tc>
          <w:tcPr>
            <w:tcW w:w="789"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358</w:t>
            </w:r>
          </w:p>
        </w:tc>
        <w:tc>
          <w:tcPr>
            <w:tcW w:w="791"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58" w:firstLine="0"/>
              <w:snapToGrid w:val="0"/>
              <w:textAlignment w:val="auto"/>
              <w:tabs>
                <w:tab w:val="left" w:leader="none" w:pos="376"/>
              </w:tabs>
              <w:numPr>
                <w:ilvl w:val="0"/>
                <w:numId w:val="205"/>
              </w:numPr>
              <w:rPr>
                <w:rFonts w:ascii="Times New Roman" w:hAnsi="Times New Roman" w:cs="Times New Roman" w:eastAsia="Times New Roman" w:hint="ascii"/>
                <w:sz w:val="15"/>
              </w:rPr>
            </w:pPr>
            <w:r>
              <w:rPr>
                <w:rFonts w:ascii="Times New Roman" w:hAnsi="Times New Roman" w:cs="Times New Roman" w:eastAsia="Times New Roman" w:hint="ascii"/>
                <w:sz w:val="15"/>
              </w:rPr>
              <w:t>154</w:t>
            </w:r>
          </w:p>
        </w:tc>
        <w:tc>
          <w:tcPr>
            <w:tcW w:w="102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23.72</w:t>
            </w:r>
          </w:p>
        </w:tc>
        <w:tc>
          <w:tcPr>
            <w:tcW w:w="79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380</w:t>
            </w:r>
          </w:p>
        </w:tc>
        <w:tc>
          <w:tcPr>
            <w:tcW w:w="788"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5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9 128</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1"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23.68</w:t>
            </w:r>
          </w:p>
        </w:tc>
      </w:tr>
      <w:tr>
        <w:trPr>
          <w:trHeight w:val="322" w:hRule="exact"/>
          <w:cantSplit w:val="1"/>
        </w:trPr>
        <w:tc>
          <w:tcPr>
            <w:tcW w:w="1078" w:type="dxa"/>
            <w:gridSpan w:val="1"/>
            <w:vAlign w:val="top"/>
            <w:tcMar/>
            <w:tcBorders>
              <w:top w:val="single" w:sz="4" w:space="0" w:color="000000"/>
            </w:tcBorders>
          </w:tcPr>
          <w:p>
            <w:pPr>
              <w:autoSpaceDE w:val="0"/>
              <w:autoSpaceDN w:val="0"/>
              <w:jc w:val="left"/>
              <w:spacing w:before="45"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工程科学一处</w:t>
            </w:r>
          </w:p>
        </w:tc>
        <w:tc>
          <w:tcPr>
            <w:tcW w:w="1685"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63" w:firstLine="0"/>
              <w:snapToGrid w:val="0"/>
              <w:textAlignment w:val="auto"/>
              <w:tabs/>
              <w:rPr>
                <w:rFonts w:ascii="宋体" w:hAnsi="宋体" w:cs="宋体" w:eastAsia="宋体" w:hint="ascii"/>
                <w:sz w:val="15"/>
              </w:rPr>
            </w:pPr>
            <w:r>
              <w:rPr>
                <w:rFonts w:ascii="宋体" w:hAnsi="宋体" w:cs="宋体" w:eastAsia="宋体" w:hint="ascii"/>
                <w:sz w:val="15"/>
              </w:rPr>
              <w:t>冶金与矿业</w:t>
            </w:r>
          </w:p>
        </w:tc>
        <w:tc>
          <w:tcPr>
            <w:tcW w:w="78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7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6 219</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23.26</w:t>
            </w:r>
          </w:p>
        </w:tc>
        <w:tc>
          <w:tcPr>
            <w:tcW w:w="79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339</w:t>
            </w:r>
          </w:p>
        </w:tc>
        <w:tc>
          <w:tcPr>
            <w:tcW w:w="788"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tab w:val="left" w:leader="none" w:pos="376"/>
              </w:tabs>
              <w:numPr>
                <w:ilvl w:val="0"/>
                <w:numId w:val="205"/>
              </w:numPr>
              <w:rPr>
                <w:rFonts w:ascii="Times New Roman" w:hAnsi="Times New Roman" w:cs="Times New Roman" w:eastAsia="Times New Roman" w:hint="ascii"/>
                <w:sz w:val="15"/>
              </w:rPr>
            </w:pPr>
            <w:r>
              <w:rPr>
                <w:rFonts w:ascii="Times New Roman" w:hAnsi="Times New Roman" w:cs="Times New Roman" w:eastAsia="Times New Roman" w:hint="ascii"/>
                <w:sz w:val="15"/>
              </w:rPr>
              <w:t>136</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23.05</w:t>
            </w:r>
          </w:p>
        </w:tc>
      </w:tr>
      <w:tr>
        <w:trPr>
          <w:trHeight w:val="320" w:hRule="exact"/>
          <w:cantSplit w:val="1"/>
        </w:trPr>
        <w:tc>
          <w:tcPr>
            <w:tcW w:w="1078" w:type="dxa"/>
            <w:gridSpan w:val="1"/>
            <w:vAlign w:val="top"/>
            <w:tcMar/>
            <w:tcBorders>
              <w:top w:val="single" w:sz="4" w:space="0" w:color="000000"/>
            </w:tcBorders>
          </w:tcPr>
          <w:p>
            <w:pPr>
              <w:autoSpaceDE w:val="0"/>
              <w:autoSpaceDN w:val="0"/>
              <w:jc w:val="left"/>
              <w:spacing w:before="44"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工程科学二处</w:t>
            </w:r>
          </w:p>
        </w:tc>
        <w:tc>
          <w:tcPr>
            <w:tcW w:w="1685"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机械学与制造科学</w:t>
            </w:r>
          </w:p>
        </w:tc>
        <w:tc>
          <w:tcPr>
            <w:tcW w:w="789"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499</w:t>
            </w:r>
          </w:p>
        </w:tc>
        <w:tc>
          <w:tcPr>
            <w:tcW w:w="791"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58" w:firstLine="0"/>
              <w:snapToGrid w:val="0"/>
              <w:textAlignment w:val="auto"/>
              <w:tabs>
                <w:tab w:val="left" w:leader="none" w:pos="376"/>
              </w:tabs>
              <w:numPr>
                <w:ilvl w:val="0"/>
                <w:numId w:val="205"/>
              </w:numPr>
              <w:rPr>
                <w:rFonts w:ascii="Times New Roman" w:hAnsi="Times New Roman" w:cs="Times New Roman" w:eastAsia="Times New Roman" w:hint="ascii"/>
                <w:sz w:val="15"/>
              </w:rPr>
            </w:pPr>
            <w:r>
              <w:rPr>
                <w:rFonts w:ascii="Times New Roman" w:hAnsi="Times New Roman" w:cs="Times New Roman" w:eastAsia="Times New Roman" w:hint="ascii"/>
                <w:sz w:val="15"/>
              </w:rPr>
              <w:t>986</w:t>
            </w:r>
          </w:p>
        </w:tc>
        <w:tc>
          <w:tcPr>
            <w:tcW w:w="102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24.07</w:t>
            </w:r>
          </w:p>
        </w:tc>
        <w:tc>
          <w:tcPr>
            <w:tcW w:w="79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546</w:t>
            </w:r>
          </w:p>
        </w:tc>
        <w:tc>
          <w:tcPr>
            <w:tcW w:w="788"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1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13 098</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1"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23.07</w:t>
            </w:r>
          </w:p>
        </w:tc>
      </w:tr>
      <w:tr>
        <w:trPr>
          <w:trHeight w:val="322" w:hRule="exact"/>
          <w:cantSplit w:val="1"/>
        </w:trPr>
        <w:tc>
          <w:tcPr>
            <w:tcW w:w="1078" w:type="dxa"/>
            <w:gridSpan w:val="1"/>
            <w:vAlign w:val="top"/>
            <w:tcMar/>
            <w:tcBorders>
              <w:top w:val="single" w:sz="4" w:space="0" w:color="000000"/>
            </w:tcBorders>
          </w:tcPr>
          <w:p>
            <w:pPr>
              <w:autoSpaceDE w:val="0"/>
              <w:autoSpaceDN w:val="0"/>
              <w:jc w:val="left"/>
              <w:spacing w:before="45"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工程科学三处</w:t>
            </w:r>
          </w:p>
        </w:tc>
        <w:tc>
          <w:tcPr>
            <w:tcW w:w="1685"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87" w:firstLine="0"/>
              <w:snapToGrid w:val="0"/>
              <w:textAlignment w:val="auto"/>
              <w:tabs/>
              <w:rPr>
                <w:rFonts w:ascii="宋体" w:hAnsi="宋体" w:cs="宋体" w:eastAsia="宋体" w:hint="ascii"/>
                <w:sz w:val="15"/>
              </w:rPr>
            </w:pPr>
            <w:r>
              <w:rPr>
                <w:rFonts w:ascii="宋体" w:hAnsi="宋体" w:cs="宋体" w:eastAsia="宋体" w:hint="ascii"/>
                <w:sz w:val="15"/>
              </w:rPr>
              <w:t>工程热物理与能源利用</w:t>
            </w:r>
          </w:p>
        </w:tc>
        <w:tc>
          <w:tcPr>
            <w:tcW w:w="78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227</w:t>
            </w:r>
          </w:p>
        </w:tc>
        <w:tc>
          <w:tcPr>
            <w:tcW w:w="7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tab w:val="left" w:leader="none" w:pos="376"/>
              </w:tabs>
              <w:numPr>
                <w:ilvl w:val="0"/>
                <w:numId w:val="207"/>
              </w:numPr>
              <w:rPr>
                <w:rFonts w:ascii="Times New Roman" w:hAnsi="Times New Roman" w:cs="Times New Roman" w:eastAsia="Times New Roman" w:hint="ascii"/>
                <w:sz w:val="15"/>
              </w:rPr>
            </w:pPr>
            <w:r>
              <w:rPr>
                <w:rFonts w:ascii="Times New Roman" w:hAnsi="Times New Roman" w:cs="Times New Roman" w:eastAsia="Times New Roman" w:hint="ascii"/>
                <w:sz w:val="15"/>
              </w:rPr>
              <w:t>545</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23.84</w:t>
            </w:r>
          </w:p>
        </w:tc>
        <w:tc>
          <w:tcPr>
            <w:tcW w:w="79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249</w:t>
            </w:r>
          </w:p>
        </w:tc>
        <w:tc>
          <w:tcPr>
            <w:tcW w:w="788"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tab w:val="left" w:leader="none" w:pos="376"/>
              </w:tabs>
              <w:numPr>
                <w:ilvl w:val="0"/>
                <w:numId w:val="207"/>
              </w:numPr>
              <w:rPr>
                <w:rFonts w:ascii="Times New Roman" w:hAnsi="Times New Roman" w:cs="Times New Roman" w:eastAsia="Times New Roman" w:hint="ascii"/>
                <w:sz w:val="15"/>
              </w:rPr>
            </w:pPr>
            <w:r>
              <w:rPr>
                <w:rFonts w:ascii="Times New Roman" w:hAnsi="Times New Roman" w:cs="Times New Roman" w:eastAsia="Times New Roman" w:hint="ascii"/>
                <w:sz w:val="15"/>
              </w:rPr>
              <w:t>964</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23.10</w:t>
            </w:r>
          </w:p>
        </w:tc>
      </w:tr>
      <w:tr>
        <w:trPr>
          <w:trHeight w:val="427" w:hRule="exact"/>
          <w:cantSplit w:val="1"/>
        </w:trPr>
        <w:tc>
          <w:tcPr>
            <w:tcW w:w="1078" w:type="dxa"/>
            <w:gridSpan w:val="1"/>
            <w:vAlign w:val="top"/>
            <w:tcMar/>
            <w:tcBorders>
              <w:top w:val="single" w:sz="4" w:space="0" w:color="000000"/>
            </w:tcBorders>
          </w:tcPr>
          <w:p>
            <w:pPr>
              <w:autoSpaceDE w:val="0"/>
              <w:autoSpaceDN w:val="0"/>
              <w:jc w:val="left"/>
              <w:spacing w:before="97"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工程科学四处</w:t>
            </w:r>
          </w:p>
        </w:tc>
        <w:tc>
          <w:tcPr>
            <w:tcW w:w="1685"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163" w:firstLine="0"/>
              <w:snapToGrid w:val="0"/>
              <w:textAlignment w:val="auto"/>
              <w:tabs/>
              <w:rPr>
                <w:rFonts w:ascii="宋体" w:hAnsi="宋体" w:cs="宋体" w:eastAsia="宋体" w:hint="ascii"/>
                <w:sz w:val="15"/>
              </w:rPr>
            </w:pPr>
            <w:r>
              <w:rPr>
                <w:rFonts w:ascii="宋体" w:hAnsi="宋体" w:cs="宋体" w:eastAsia="宋体" w:hint="ascii"/>
                <w:sz w:val="15"/>
              </w:rPr>
              <w:t>建筑学、环境工程与</w:t>
            </w:r>
          </w:p>
          <w:p>
            <w:pPr>
              <w:autoSpaceDE w:val="0"/>
              <w:autoSpaceDN w:val="0"/>
              <w:jc w:val="left"/>
              <w:spacing w:before="7" w:after="0" w:lineRule="exact" w:line="188"/>
              <w:ind w:right="0" w:left="537" w:firstLine="0"/>
              <w:snapToGrid w:val="0"/>
              <w:textAlignment w:val="auto"/>
              <w:tabs/>
              <w:rPr>
                <w:rFonts w:ascii="宋体" w:hAnsi="宋体" w:cs="宋体" w:eastAsia="宋体" w:hint="ascii"/>
                <w:sz w:val="15"/>
              </w:rPr>
            </w:pPr>
            <w:r>
              <w:rPr>
                <w:rFonts w:ascii="宋体" w:hAnsi="宋体" w:cs="宋体" w:eastAsia="宋体" w:hint="ascii"/>
                <w:sz w:val="15"/>
              </w:rPr>
              <w:t>土木工程</w:t>
            </w:r>
          </w:p>
        </w:tc>
        <w:tc>
          <w:tcPr>
            <w:tcW w:w="789"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548</w:t>
            </w:r>
          </w:p>
        </w:tc>
        <w:tc>
          <w:tcPr>
            <w:tcW w:w="791"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183" w:firstLine="0"/>
              <w:snapToGrid w:val="0"/>
              <w:textAlignment w:val="auto"/>
              <w:tabs>
                <w:tab w:val="left" w:leader="none" w:pos="376"/>
              </w:tabs>
              <w:numPr>
                <w:ilvl w:val="0"/>
                <w:numId w:val="20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971</w:t>
            </w:r>
          </w:p>
        </w:tc>
        <w:tc>
          <w:tcPr>
            <w:tcW w:w="1020"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25.02</w:t>
            </w:r>
          </w:p>
        </w:tc>
        <w:tc>
          <w:tcPr>
            <w:tcW w:w="790"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567</w:t>
            </w:r>
          </w:p>
        </w:tc>
        <w:tc>
          <w:tcPr>
            <w:tcW w:w="788" w:type="dxa"/>
            <w:gridSpan w:val="1"/>
            <w:vAlign w:val="top"/>
            <w:tcMar/>
            <w:tcBorders>
              <w:left w:val="single" w:sz="4" w:space="0" w:color="000000"/>
              <w:top w:val="single" w:sz="4" w:space="0" w:color="000000"/>
            </w:tcBorders>
          </w:tcPr>
          <w:p>
            <w:pPr>
              <w:autoSpaceDE w:val="0"/>
              <w:autoSpaceDN w:val="0"/>
              <w:jc w:val="left"/>
              <w:spacing w:before="103" w:after="0" w:lineRule="auto" w:line="240"/>
              <w:ind w:right="0" w:left="1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13 606</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03"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24.47</w:t>
            </w:r>
          </w:p>
        </w:tc>
      </w:tr>
      <w:tr>
        <w:trPr>
          <w:trHeight w:val="320" w:hRule="exact"/>
          <w:cantSplit w:val="1"/>
        </w:trPr>
        <w:tc>
          <w:tcPr>
            <w:tcW w:w="1078" w:type="dxa"/>
            <w:gridSpan w:val="1"/>
            <w:vAlign w:val="top"/>
            <w:vMerge w:val="restart"/>
            <w:tcMar/>
            <w:tcBorders>
              <w:top w:val="single" w:sz="4" w:space="0" w:color="000000"/>
            </w:tcBorders>
          </w:tcPr>
          <w:p>
            <w:pPr>
              <w:autoSpaceDE w:val="0"/>
              <w:autoSpaceDN w:val="0"/>
              <w:jc w:val="left"/>
              <w:spacing w:before="205"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工程科学五处</w:t>
            </w:r>
          </w:p>
        </w:tc>
        <w:tc>
          <w:tcPr>
            <w:tcW w:w="1685"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313" w:firstLine="0"/>
              <w:snapToGrid w:val="0"/>
              <w:textAlignment w:val="auto"/>
              <w:tabs/>
              <w:rPr>
                <w:rFonts w:ascii="宋体" w:hAnsi="宋体" w:cs="宋体" w:eastAsia="宋体" w:hint="ascii"/>
                <w:sz w:val="15"/>
              </w:rPr>
            </w:pPr>
            <w:r>
              <w:rPr>
                <w:rFonts w:ascii="宋体" w:hAnsi="宋体" w:cs="宋体" w:eastAsia="宋体" w:hint="ascii"/>
                <w:sz w:val="15"/>
              </w:rPr>
              <w:t>电气科学与工程</w:t>
            </w:r>
          </w:p>
        </w:tc>
        <w:tc>
          <w:tcPr>
            <w:tcW w:w="789"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188</w:t>
            </w:r>
          </w:p>
        </w:tc>
        <w:tc>
          <w:tcPr>
            <w:tcW w:w="791"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58" w:firstLine="0"/>
              <w:snapToGrid w:val="0"/>
              <w:textAlignment w:val="auto"/>
              <w:tabs>
                <w:tab w:val="left" w:leader="none" w:pos="376"/>
              </w:tabs>
              <w:numPr>
                <w:ilvl w:val="0"/>
                <w:numId w:val="208"/>
              </w:numPr>
              <w:rPr>
                <w:rFonts w:ascii="Times New Roman" w:hAnsi="Times New Roman" w:cs="Times New Roman" w:eastAsia="Times New Roman" w:hint="ascii"/>
                <w:sz w:val="15"/>
              </w:rPr>
            </w:pPr>
            <w:r>
              <w:rPr>
                <w:rFonts w:ascii="Times New Roman" w:hAnsi="Times New Roman" w:cs="Times New Roman" w:eastAsia="Times New Roman" w:hint="ascii"/>
                <w:sz w:val="15"/>
              </w:rPr>
              <w:t>752</w:t>
            </w:r>
          </w:p>
        </w:tc>
        <w:tc>
          <w:tcPr>
            <w:tcW w:w="102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24.80</w:t>
            </w:r>
          </w:p>
        </w:tc>
        <w:tc>
          <w:tcPr>
            <w:tcW w:w="79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w:t>
            </w:r>
          </w:p>
        </w:tc>
        <w:tc>
          <w:tcPr>
            <w:tcW w:w="788"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58" w:firstLine="0"/>
              <w:snapToGrid w:val="0"/>
              <w:textAlignment w:val="auto"/>
              <w:tabs>
                <w:tab w:val="left" w:leader="none" w:pos="376"/>
              </w:tabs>
              <w:numPr>
                <w:ilvl w:val="0"/>
                <w:numId w:val="208"/>
              </w:numPr>
              <w:rPr>
                <w:rFonts w:ascii="Times New Roman" w:hAnsi="Times New Roman" w:cs="Times New Roman" w:eastAsia="Times New Roman" w:hint="ascii"/>
                <w:sz w:val="15"/>
              </w:rPr>
            </w:pPr>
            <w:r>
              <w:rPr>
                <w:rFonts w:ascii="Times New Roman" w:hAnsi="Times New Roman" w:cs="Times New Roman" w:eastAsia="Times New Roman" w:hint="ascii"/>
                <w:sz w:val="15"/>
              </w:rPr>
              <w:t>904</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1"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23.10</w:t>
            </w:r>
          </w:p>
        </w:tc>
      </w:tr>
      <w:tr>
        <w:trPr>
          <w:trHeight w:val="322" w:hRule="exact"/>
          <w:cantSplit w:val="1"/>
        </w:trPr>
        <w:tc>
          <w:tcPr>
            <w:tcW w:w="107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685"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163" w:firstLine="0"/>
              <w:snapToGrid w:val="0"/>
              <w:textAlignment w:val="auto"/>
              <w:tabs/>
              <w:rPr>
                <w:rFonts w:ascii="宋体" w:hAnsi="宋体" w:cs="宋体" w:eastAsia="宋体" w:hint="ascii"/>
                <w:sz w:val="15"/>
              </w:rPr>
            </w:pPr>
            <w:r>
              <w:rPr>
                <w:rFonts w:ascii="宋体" w:hAnsi="宋体" w:cs="宋体" w:eastAsia="宋体" w:hint="ascii"/>
                <w:sz w:val="15"/>
              </w:rPr>
              <w:t>水利科学与海洋工程</w:t>
            </w:r>
          </w:p>
        </w:tc>
        <w:tc>
          <w:tcPr>
            <w:tcW w:w="789"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271</w:t>
            </w:r>
          </w:p>
        </w:tc>
        <w:tc>
          <w:tcPr>
            <w:tcW w:w="7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tab w:val="left" w:leader="none" w:pos="376"/>
              </w:tabs>
              <w:numPr>
                <w:ilvl w:val="0"/>
                <w:numId w:val="206"/>
              </w:numPr>
              <w:rPr>
                <w:rFonts w:ascii="Times New Roman" w:hAnsi="Times New Roman" w:cs="Times New Roman" w:eastAsia="Times New Roman" w:hint="ascii"/>
                <w:sz w:val="15"/>
              </w:rPr>
            </w:pPr>
            <w:r>
              <w:rPr>
                <w:rFonts w:ascii="Times New Roman" w:hAnsi="Times New Roman" w:cs="Times New Roman" w:eastAsia="Times New Roman" w:hint="ascii"/>
                <w:sz w:val="15"/>
              </w:rPr>
              <w:t>415</w:t>
            </w:r>
          </w:p>
        </w:tc>
        <w:tc>
          <w:tcPr>
            <w:tcW w:w="102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24.13</w:t>
            </w:r>
          </w:p>
        </w:tc>
        <w:tc>
          <w:tcPr>
            <w:tcW w:w="79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291</w:t>
            </w:r>
          </w:p>
        </w:tc>
        <w:tc>
          <w:tcPr>
            <w:tcW w:w="788"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8" w:firstLine="0"/>
              <w:snapToGrid w:val="0"/>
              <w:textAlignment w:val="auto"/>
              <w:tabs>
                <w:tab w:val="left" w:leader="none" w:pos="376"/>
              </w:tabs>
              <w:numPr>
                <w:ilvl w:val="0"/>
                <w:numId w:val="207"/>
              </w:numPr>
              <w:rPr>
                <w:rFonts w:ascii="Times New Roman" w:hAnsi="Times New Roman" w:cs="Times New Roman" w:eastAsia="Times New Roman" w:hint="ascii"/>
                <w:sz w:val="15"/>
              </w:rPr>
            </w:pPr>
            <w:r>
              <w:rPr>
                <w:rFonts w:ascii="Times New Roman" w:hAnsi="Times New Roman" w:cs="Times New Roman" w:eastAsia="Times New Roman" w:hint="ascii"/>
                <w:sz w:val="15"/>
              </w:rPr>
              <w:t>994</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23.37</w:t>
            </w:r>
          </w:p>
        </w:tc>
      </w:tr>
      <w:tr>
        <w:trPr>
          <w:trHeight w:val="320" w:hRule="exact"/>
          <w:cantSplit w:val="1"/>
        </w:trPr>
        <w:tc>
          <w:tcPr>
            <w:tcW w:w="2763" w:type="dxa"/>
            <w:gridSpan w:val="2"/>
            <w:vAlign w:val="top"/>
            <w:tcMar/>
            <w:tcBorders>
              <w:top w:val="single" w:sz="4" w:space="0" w:color="000000"/>
            </w:tcBorders>
          </w:tcPr>
          <w:p>
            <w:pPr>
              <w:autoSpaceDE w:val="0"/>
              <w:autoSpaceDN w:val="0"/>
              <w:jc w:val="left"/>
              <w:spacing w:before="44" w:after="0" w:lineRule="exact" w:line="188"/>
              <w:ind w:right="0" w:left="921"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789"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23" w:firstLine="0"/>
              <w:snapToGrid w:val="0"/>
              <w:textAlignment w:val="auto"/>
              <w:tabs>
                <w:tab w:val="left" w:leader="none" w:pos="341"/>
              </w:tabs>
              <w:numPr>
                <w:ilvl w:val="0"/>
                <w:numId w:val="209"/>
              </w:numPr>
              <w:rPr>
                <w:rFonts w:ascii="Times New Roman" w:hAnsi="Times New Roman" w:cs="Times New Roman" w:eastAsia="Times New Roman" w:hint="ascii"/>
                <w:sz w:val="15"/>
              </w:rPr>
            </w:pPr>
            <w:r>
              <w:rPr>
                <w:rFonts w:ascii="Times New Roman" w:hAnsi="Times New Roman" w:cs="Times New Roman" w:eastAsia="Times New Roman" w:hint="ascii"/>
                <w:sz w:val="15"/>
              </w:rPr>
              <w:t>867</w:t>
            </w:r>
          </w:p>
        </w:tc>
        <w:tc>
          <w:tcPr>
            <w:tcW w:w="791"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1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57 330</w:t>
            </w:r>
          </w:p>
        </w:tc>
        <w:tc>
          <w:tcPr>
            <w:tcW w:w="102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33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790"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222" w:firstLine="0"/>
              <w:snapToGrid w:val="0"/>
              <w:textAlignment w:val="auto"/>
              <w:tabs>
                <w:tab w:val="left" w:leader="none" w:pos="341"/>
              </w:tabs>
              <w:numPr>
                <w:ilvl w:val="0"/>
                <w:numId w:val="209"/>
              </w:numPr>
              <w:rPr>
                <w:rFonts w:ascii="Times New Roman" w:hAnsi="Times New Roman" w:cs="Times New Roman" w:eastAsia="Times New Roman" w:hint="ascii"/>
                <w:sz w:val="15"/>
              </w:rPr>
            </w:pPr>
            <w:r>
              <w:rPr>
                <w:rFonts w:ascii="Times New Roman" w:hAnsi="Times New Roman" w:cs="Times New Roman" w:eastAsia="Times New Roman" w:hint="ascii"/>
                <w:sz w:val="15"/>
              </w:rPr>
              <w:t>080</w:t>
            </w:r>
          </w:p>
        </w:tc>
        <w:tc>
          <w:tcPr>
            <w:tcW w:w="788" w:type="dxa"/>
            <w:gridSpan w:val="1"/>
            <w:vAlign w:val="top"/>
            <w:tcMar/>
            <w:tcBorders>
              <w:left w:val="single" w:sz="4" w:space="0" w:color="000000"/>
              <w:top w:val="single" w:sz="4" w:space="0" w:color="000000"/>
            </w:tcBorders>
          </w:tcPr>
          <w:p>
            <w:pPr>
              <w:autoSpaceDE w:val="0"/>
              <w:autoSpaceDN w:val="0"/>
              <w:jc w:val="left"/>
              <w:spacing w:before="51" w:after="0" w:lineRule="auto" w:line="240"/>
              <w:ind w:right="0" w:left="1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73 910</w:t>
            </w:r>
          </w:p>
        </w:tc>
        <w:tc>
          <w:tcPr>
            <w:tcW w:w="102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1" w:after="0" w:lineRule="auto" w:line="240"/>
              <w:ind w:right="0" w:left="3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23.46</w:t>
            </w:r>
          </w:p>
        </w:tc>
      </w:tr>
      <w:tr>
        <w:trPr>
          <w:trHeight w:val="326" w:hRule="exact"/>
          <w:cantSplit w:val="1"/>
        </w:trPr>
        <w:tc>
          <w:tcPr>
            <w:tcW w:w="2763" w:type="dxa"/>
            <w:gridSpan w:val="2"/>
            <w:vAlign w:val="top"/>
            <w:tcMar/>
            <w:tcBorders>
              <w:top w:val="single" w:sz="4" w:space="0" w:color="000000"/>
              <w:bottom w:val="single" w:sz="8" w:space="0" w:color="000000"/>
            </w:tcBorders>
          </w:tcPr>
          <w:p>
            <w:pPr>
              <w:autoSpaceDE w:val="0"/>
              <w:autoSpaceDN w:val="0"/>
              <w:jc w:val="left"/>
              <w:spacing w:before="44" w:after="0" w:lineRule="exact" w:line="188"/>
              <w:ind w:right="0" w:left="225"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600"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112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c>
          <w:tcPr>
            <w:tcW w:w="2598"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52" w:after="0" w:lineRule="auto" w:line="240"/>
              <w:ind w:right="0" w:left="112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24.00</w:t>
            </w:r>
          </w:p>
        </w:tc>
      </w:tr>
    </w:tbl>
    <w:p>
      <w:pPr>
        <w:autoSpaceDE w:val="0"/>
        <w:autoSpaceDN w:val="0"/>
        <w:jc w:val="left"/>
        <w:spacing w:before="48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青年科学基金项目</w:t>
      </w:r>
    </w:p>
    <w:p>
      <w:pPr>
        <w:autoSpaceDE w:val="0"/>
        <w:autoSpaceDN w:val="0"/>
        <w:jc w:val="left"/>
        <w:spacing w:before="438"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信息科学部</w:t>
      </w:r>
      <w:r>
        <w:rPr>
          <w:rFonts w:ascii="宋体" w:hAnsi="宋体" w:cs="宋体" w:eastAsia="宋体" w:hint="ascii"/>
          <w:sz w:val="38"/>
        </w:rPr>
        <mc:AlternateContent>
          <mc:Choice Requires="wps">
            <w:drawing>
              <wp:anchor distL="0" distR="0" distT="0" distB="0" simplePos="0" behindDoc="1" relativeHeight="206" locked="0" layoutInCell="1" allowOverlap="1">
                <wp:simplePos x="0" y="0"/>
                <wp:positionH relativeFrom="page">
                  <wp:posOffset>938530</wp:posOffset>
                </wp:positionH>
                <wp:positionV relativeFrom="page">
                  <wp:posOffset>819150</wp:posOffset>
                </wp:positionV>
                <wp:extent cx="5076190" cy="0"/>
                <wp:wrapNone/>
                <wp:docPr id="1235" name="123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47296;width:399.70pt;" id="123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77" w:after="0" w:lineRule="exact" w:line="320"/>
        <w:ind w:right="963" w:left="966" w:firstLine="420"/>
        <w:snapToGrid w:val="0"/>
        <w:textAlignment w:val="auto"/>
        <w:tabs>
          <w:tab w:val="left" w:leader="none" w:pos="1869"/>
        </w:tabs>
        <w:numPr>
          <w:ilvl w:val="0"/>
          <w:numId w:val="210"/>
        </w:numPr>
        <w:rPr>
          <w:rFonts w:ascii="Times New Roman" w:hAnsi="Times New Roman" w:cs="Times New Roman" w:eastAsia="Times New Roman" w:hint="ascii"/>
          <w:sz w:val="21"/>
          <w:spacing w:val="1"/>
        </w:rPr>
      </w:pPr>
      <w:r>
        <w:rPr>
          <w:rFonts w:ascii="宋体" w:hAnsi="宋体" w:cs="宋体" w:eastAsia="宋体" w:hint="ascii"/>
          <w:sz w:val="21"/>
          <w:spacing w:val="5"/>
        </w:rPr>
        <w:t>年度信息科学部共接收青年科学基金项目申</w:t>
      </w:r>
      <w:r>
        <w:rPr>
          <w:rFonts w:ascii="宋体" w:hAnsi="宋体" w:cs="宋体" w:eastAsia="宋体" w:hint="ascii"/>
          <w:sz w:val="21"/>
        </w:rPr>
        <w:t>请</w:t>
      </w:r>
      <w:r>
        <w:rPr>
          <w:rFonts w:ascii="宋体" w:hAnsi="宋体" w:cs="宋体" w:eastAsia="宋体" w:hint="ascii"/>
          <w:sz w:val="21"/>
          <w:spacing w:val="-21"/>
        </w:rPr>
        <w:t xml:space="preserve"> </w:t>
      </w:r>
      <w:r>
        <w:rPr>
          <w:rFonts w:ascii="Times New Roman" w:hAnsi="Times New Roman" w:cs="Times New Roman" w:eastAsia="Times New Roman" w:hint="ascii"/>
          <w:sz w:val="21"/>
        </w:rPr>
        <w:t>7 620</w:t>
      </w:r>
      <w:r>
        <w:rPr>
          <w:rFonts w:ascii="Times New Roman" w:hAnsi="Times New Roman" w:cs="Times New Roman" w:eastAsia="Times New Roman" w:hint="ascii"/>
          <w:sz w:val="21"/>
          <w:spacing w:val="-22"/>
        </w:rPr>
        <w:t xml:space="preserve"> </w:t>
      </w:r>
      <w:r>
        <w:rPr>
          <w:rFonts w:ascii="宋体" w:hAnsi="宋体" w:cs="宋体" w:eastAsia="宋体" w:hint="ascii"/>
          <w:sz w:val="21"/>
          <w:spacing w:val="5"/>
        </w:rPr>
        <w:t>项，</w:t>
      </w:r>
      <w:r>
        <w:rPr>
          <w:rFonts w:ascii="宋体" w:hAnsi="宋体" w:cs="宋体" w:eastAsia="宋体" w:hint="ascii"/>
          <w:sz w:val="21"/>
        </w:rPr>
        <w:t>比</w:t>
      </w:r>
      <w:r>
        <w:rPr>
          <w:rFonts w:ascii="宋体" w:hAnsi="宋体" w:cs="宋体" w:eastAsia="宋体" w:hint="ascii"/>
          <w:sz w:val="21"/>
          <w:spacing w:val="-21"/>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5"/>
        </w:rPr>
        <w:t>年度增</w:t>
      </w:r>
      <w:r>
        <w:rPr>
          <w:rFonts w:ascii="宋体" w:hAnsi="宋体" w:cs="宋体" w:eastAsia="宋体" w:hint="ascii"/>
          <w:sz w:val="21"/>
        </w:rPr>
        <w:t>加</w:t>
      </w:r>
      <w:r>
        <w:rPr>
          <w:rFonts w:ascii="Times New Roman" w:hAnsi="Times New Roman" w:cs="Times New Roman" w:eastAsia="Times New Roman" w:hint="ascii"/>
          <w:sz w:val="21"/>
          <w:spacing w:val="-1"/>
        </w:rPr>
        <w:t>1.46</w:t>
      </w:r>
      <w:r>
        <w:rPr>
          <w:rFonts w:ascii="Times New Roman" w:hAnsi="Times New Roman" w:cs="Times New Roman" w:eastAsia="Times New Roman" w:hint="ascii"/>
          <w:sz w:val="21"/>
          <w:spacing w:val="5"/>
        </w:rPr>
        <w:t>%</w:t>
      </w:r>
      <w:r>
        <w:rPr>
          <w:rFonts w:ascii="宋体" w:hAnsi="宋体" w:cs="宋体" w:eastAsia="宋体" w:hint="ascii"/>
          <w:sz w:val="21"/>
          <w:spacing w:val="3"/>
        </w:rPr>
        <w:t>。</w:t>
      </w:r>
      <w:r>
        <w:rPr>
          <w:rFonts w:ascii="宋体" w:hAnsi="宋体" w:cs="宋体" w:eastAsia="宋体" w:hint="ascii"/>
          <w:sz w:val="21"/>
          <w:spacing w:val="2"/>
        </w:rPr>
        <w:t>共资</w:t>
      </w:r>
      <w:r>
        <w:rPr>
          <w:rFonts w:ascii="宋体" w:hAnsi="宋体" w:cs="宋体" w:eastAsia="宋体" w:hint="ascii"/>
          <w:sz w:val="21"/>
          <w:spacing w:val="-1"/>
        </w:rPr>
        <w:t>助</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2 031</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项，资</w:t>
      </w:r>
      <w:r>
        <w:rPr>
          <w:rFonts w:ascii="宋体" w:hAnsi="宋体" w:cs="宋体" w:eastAsia="宋体" w:hint="ascii"/>
          <w:sz w:val="21"/>
          <w:spacing w:val="2"/>
        </w:rPr>
        <w:t>助</w:t>
      </w:r>
      <w:r>
        <w:rPr>
          <w:rFonts w:ascii="宋体" w:hAnsi="宋体" w:cs="宋体" w:eastAsia="宋体" w:hint="ascii"/>
          <w:sz w:val="21"/>
          <w:spacing w:val="3"/>
        </w:rPr>
        <w:t>直</w:t>
      </w:r>
      <w:r>
        <w:rPr>
          <w:rFonts w:ascii="宋体" w:hAnsi="宋体" w:cs="宋体" w:eastAsia="宋体" w:hint="ascii"/>
          <w:sz w:val="21"/>
          <w:spacing w:val="2"/>
        </w:rPr>
        <w:t>接</w:t>
      </w:r>
      <w:r>
        <w:rPr>
          <w:rFonts w:ascii="宋体" w:hAnsi="宋体" w:cs="宋体" w:eastAsia="宋体" w:hint="ascii"/>
          <w:sz w:val="21"/>
          <w:spacing w:val="3"/>
        </w:rPr>
        <w:t>费</w:t>
      </w:r>
      <w:r>
        <w:rPr>
          <w:rFonts w:ascii="宋体" w:hAnsi="宋体" w:cs="宋体" w:eastAsia="宋体" w:hint="ascii"/>
          <w:sz w:val="21"/>
          <w:spacing w:val="-1"/>
        </w:rPr>
        <w:t>用</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1"/>
        </w:rPr>
        <w:t>49 370</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万元</w:t>
      </w:r>
      <w:r>
        <w:rPr>
          <w:rFonts w:ascii="宋体" w:hAnsi="宋体" w:cs="宋体" w:eastAsia="宋体" w:hint="ascii"/>
          <w:sz w:val="21"/>
          <w:spacing w:val="2"/>
        </w:rPr>
        <w:t>，</w:t>
      </w:r>
      <w:r>
        <w:rPr>
          <w:rFonts w:ascii="宋体" w:hAnsi="宋体" w:cs="宋体" w:eastAsia="宋体" w:hint="ascii"/>
          <w:sz w:val="21"/>
          <w:spacing w:val="3"/>
        </w:rPr>
        <w:t>直</w:t>
      </w:r>
      <w:r>
        <w:rPr>
          <w:rFonts w:ascii="宋体" w:hAnsi="宋体" w:cs="宋体" w:eastAsia="宋体" w:hint="ascii"/>
          <w:sz w:val="21"/>
          <w:spacing w:val="2"/>
        </w:rPr>
        <w:t>接</w:t>
      </w:r>
      <w:r>
        <w:rPr>
          <w:rFonts w:ascii="宋体" w:hAnsi="宋体" w:cs="宋体" w:eastAsia="宋体" w:hint="ascii"/>
          <w:sz w:val="21"/>
          <w:spacing w:val="3"/>
        </w:rPr>
        <w:t>费</w:t>
      </w:r>
      <w:r>
        <w:rPr>
          <w:rFonts w:ascii="宋体" w:hAnsi="宋体" w:cs="宋体" w:eastAsia="宋体" w:hint="ascii"/>
          <w:sz w:val="21"/>
          <w:spacing w:val="4"/>
        </w:rPr>
        <w:t>用</w:t>
      </w:r>
      <w:r>
        <w:rPr>
          <w:rFonts w:ascii="宋体" w:hAnsi="宋体" w:cs="宋体" w:eastAsia="宋体" w:hint="ascii"/>
          <w:sz w:val="21"/>
          <w:spacing w:val="3"/>
        </w:rPr>
        <w:t>平</w:t>
      </w:r>
      <w:r>
        <w:rPr>
          <w:rFonts w:ascii="宋体" w:hAnsi="宋体" w:cs="宋体" w:eastAsia="宋体" w:hint="ascii"/>
          <w:sz w:val="21"/>
          <w:spacing w:val="4"/>
        </w:rPr>
        <w:t>均</w:t>
      </w:r>
      <w:r>
        <w:rPr>
          <w:rFonts w:ascii="宋体" w:hAnsi="宋体" w:cs="宋体" w:eastAsia="宋体" w:hint="ascii"/>
          <w:sz w:val="21"/>
          <w:spacing w:val="3"/>
        </w:rPr>
        <w:t>资</w:t>
      </w:r>
      <w:r>
        <w:rPr>
          <w:rFonts w:ascii="宋体" w:hAnsi="宋体" w:cs="宋体" w:eastAsia="宋体" w:hint="ascii"/>
          <w:sz w:val="21"/>
          <w:spacing w:val="4"/>
        </w:rPr>
        <w:t>助强</w:t>
      </w:r>
      <w:r>
        <w:rPr>
          <w:rFonts w:ascii="宋体" w:hAnsi="宋体" w:cs="宋体" w:eastAsia="宋体" w:hint="ascii"/>
          <w:sz w:val="21"/>
          <w:spacing w:val="3"/>
        </w:rPr>
        <w:t>度</w:t>
      </w:r>
      <w:r>
        <w:rPr>
          <w:rFonts w:ascii="宋体" w:hAnsi="宋体" w:cs="宋体" w:eastAsia="宋体" w:hint="ascii"/>
          <w:sz w:val="21"/>
        </w:rPr>
        <w:t>为</w:t>
      </w:r>
      <w:r>
        <w:rPr>
          <w:rFonts w:ascii="宋体" w:hAnsi="宋体" w:cs="宋体" w:eastAsia="宋体" w:hint="ascii"/>
          <w:sz w:val="21"/>
          <w:spacing w:val="-23"/>
        </w:rPr>
        <w:t xml:space="preserve"> </w:t>
      </w:r>
      <w:r>
        <w:rPr>
          <w:rFonts w:ascii="Times New Roman" w:hAnsi="Times New Roman" w:cs="Times New Roman" w:eastAsia="Times New Roman" w:hint="ascii"/>
          <w:sz w:val="21"/>
        </w:rPr>
        <w:t xml:space="preserve">24.31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为</w:t>
      </w:r>
      <w:r>
        <w:rPr>
          <w:rFonts w:ascii="Times New Roman" w:hAnsi="Times New Roman" w:cs="Times New Roman" w:eastAsia="Times New Roman" w:hint="ascii"/>
          <w:sz w:val="21"/>
        </w:rPr>
        <w:t>26.65%</w:t>
      </w:r>
      <w:r>
        <w:rPr>
          <w:rFonts w:ascii="宋体" w:hAnsi="宋体" w:cs="宋体" w:eastAsia="宋体" w:hint="ascii"/>
          <w:sz w:val="21"/>
        </w:rPr>
        <w:t>。</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7</w:t>
      </w:r>
      <w:r>
        <w:rPr>
          <w:rFonts w:ascii="宋体" w:hAnsi="宋体" w:cs="宋体" w:eastAsia="宋体" w:hint="ascii"/>
          <w:sz w:val="21"/>
        </w:rPr>
        <w:t>年度信息科学部仍将关注青年科学基金项目的申请，适度提高青年科学基金项目资助率。</w:t>
      </w:r>
    </w:p>
    <w:p>
      <w:pPr>
        <w:autoSpaceDE w:val="0"/>
        <w:autoSpaceDN w:val="0"/>
        <w:jc w:val="left"/>
        <w:spacing w:before="166"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信息科学部青年科学基金项目近两年资助情况一览表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38" w:type="dxa"/>
        <w:jc w:val="left"/>
        <w:tblInd w:w="993"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795"/>
        <w:gridCol w:w="1814"/>
        <w:gridCol w:w="793"/>
        <w:gridCol w:w="795"/>
        <w:gridCol w:w="1077"/>
        <w:gridCol w:w="793"/>
        <w:gridCol w:w="795"/>
        <w:gridCol w:w="1076"/>
      </w:tblGrid>
      <w:tr>
        <w:trPr>
          <w:trHeight w:val="270" w:hRule="exact"/>
          <w:cantSplit w:val="1"/>
        </w:trPr>
        <w:tc>
          <w:tcPr>
            <w:tcW w:w="2609" w:type="dxa"/>
            <w:gridSpan w:val="2"/>
            <w:vAlign w:val="top"/>
            <w:vMerge w:val="restart"/>
            <w:tcMar/>
            <w:tcBorders/>
          </w:tcPr>
          <w:p>
            <w:pPr>
              <w:autoSpaceDE w:val="0"/>
              <w:autoSpaceDN w:val="0"/>
              <w:jc w:val="left"/>
              <w:spacing w:before="230" w:after="0" w:lineRule="exact" w:line="188"/>
              <w:ind w:right="0" w:left="1069"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665" w:type="dxa"/>
            <w:gridSpan w:val="3"/>
            <w:vAlign w:val="top"/>
            <w:tcMar/>
            <w:tcBorders>
              <w:left w:val="single" w:sz="4" w:space="0" w:color="000000"/>
            </w:tcBorders>
          </w:tcPr>
          <w:p>
            <w:pPr>
              <w:autoSpaceDE w:val="0"/>
              <w:autoSpaceDN w:val="0"/>
              <w:jc w:val="left"/>
              <w:spacing w:before="16" w:after="0" w:lineRule="auto" w:line="240"/>
              <w:ind w:right="0" w:left="1009" w:firstLine="0"/>
              <w:snapToGrid w:val="0"/>
              <w:textAlignment w:val="auto"/>
              <w:tabs>
                <w:tab w:val="left" w:leader="none" w:pos="1352"/>
              </w:tabs>
              <w:numPr>
                <w:ilvl w:val="0"/>
                <w:numId w:val="211"/>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664" w:type="dxa"/>
            <w:gridSpan w:val="3"/>
            <w:vAlign w:val="top"/>
            <w:tcMar/>
            <w:tcBorders>
              <w:left w:val="single" w:sz="4" w:space="0" w:color="000000"/>
              <w:right w:val="single" w:sz="8" w:space="0" w:color="000000"/>
            </w:tcBorders>
          </w:tcPr>
          <w:p>
            <w:pPr>
              <w:autoSpaceDE w:val="0"/>
              <w:autoSpaceDN w:val="0"/>
              <w:jc w:val="left"/>
              <w:spacing w:before="16" w:after="0" w:lineRule="auto" w:line="240"/>
              <w:ind w:right="0" w:left="1009" w:firstLine="0"/>
              <w:snapToGrid w:val="0"/>
              <w:textAlignment w:val="auto"/>
              <w:tabs>
                <w:tab w:val="left" w:leader="none" w:pos="1352"/>
              </w:tabs>
              <w:numPr>
                <w:ilvl w:val="0"/>
                <w:numId w:val="211"/>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27" w:hRule="exact"/>
          <w:cantSplit w:val="1"/>
        </w:trPr>
        <w:tc>
          <w:tcPr>
            <w:tcW w:w="260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5"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7"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5"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65" w:hRule="exact"/>
          <w:cantSplit w:val="1"/>
        </w:trPr>
        <w:tc>
          <w:tcPr>
            <w:tcW w:w="795" w:type="dxa"/>
            <w:gridSpan w:val="1"/>
            <w:vAlign w:val="top"/>
            <w:vMerge w:val="restart"/>
            <w:tcMar/>
            <w:tcBorders>
              <w:top w:val="single" w:sz="4" w:space="0" w:color="000000"/>
            </w:tcBorders>
          </w:tcPr>
          <w:p>
            <w:pPr>
              <w:autoSpaceDE w:val="0"/>
              <w:autoSpaceDN w:val="0"/>
              <w:jc w:val="left"/>
              <w:spacing w:before="281"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377" w:firstLine="0"/>
              <w:snapToGrid w:val="0"/>
              <w:textAlignment w:val="auto"/>
              <w:tabs/>
              <w:rPr>
                <w:rFonts w:ascii="宋体" w:hAnsi="宋体" w:cs="宋体" w:eastAsia="宋体" w:hint="ascii"/>
                <w:sz w:val="15"/>
              </w:rPr>
            </w:pPr>
            <w:r>
              <w:rPr>
                <w:rFonts w:ascii="宋体" w:hAnsi="宋体" w:cs="宋体" w:eastAsia="宋体" w:hint="ascii"/>
                <w:sz w:val="15"/>
              </w:rPr>
              <w:t>电子科学与技术</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177</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2"/>
              </w:numPr>
              <w:rPr>
                <w:rFonts w:ascii="Times New Roman" w:hAnsi="Times New Roman" w:cs="Times New Roman" w:eastAsia="Times New Roman" w:hint="ascii"/>
                <w:sz w:val="15"/>
              </w:rPr>
            </w:pPr>
            <w:r>
              <w:rPr>
                <w:rFonts w:ascii="Times New Roman" w:hAnsi="Times New Roman" w:cs="Times New Roman" w:eastAsia="Times New Roman" w:hint="ascii"/>
                <w:sz w:val="15"/>
              </w:rPr>
              <w:t>506</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27.44</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192</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2"/>
              </w:numPr>
              <w:rPr>
                <w:rFonts w:ascii="Times New Roman" w:hAnsi="Times New Roman" w:cs="Times New Roman" w:eastAsia="Times New Roman" w:hint="ascii"/>
                <w:sz w:val="15"/>
              </w:rPr>
            </w:pPr>
            <w:r>
              <w:rPr>
                <w:rFonts w:ascii="Times New Roman" w:hAnsi="Times New Roman" w:cs="Times New Roman" w:eastAsia="Times New Roman" w:hint="ascii"/>
                <w:sz w:val="15"/>
              </w:rPr>
              <w:t>692</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27.08</w:t>
            </w:r>
          </w:p>
        </w:tc>
      </w:tr>
      <w:tr>
        <w:trPr>
          <w:trHeight w:val="264"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377" w:firstLine="0"/>
              <w:snapToGrid w:val="0"/>
              <w:textAlignment w:val="auto"/>
              <w:tabs/>
              <w:rPr>
                <w:rFonts w:ascii="宋体" w:hAnsi="宋体" w:cs="宋体" w:eastAsia="宋体" w:hint="ascii"/>
                <w:sz w:val="15"/>
              </w:rPr>
            </w:pPr>
            <w:r>
              <w:rPr>
                <w:rFonts w:ascii="宋体" w:hAnsi="宋体" w:cs="宋体" w:eastAsia="宋体" w:hint="ascii"/>
                <w:sz w:val="15"/>
              </w:rPr>
              <w:t>信息与通信系统</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181</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3"/>
              </w:numPr>
              <w:rPr>
                <w:rFonts w:ascii="Times New Roman" w:hAnsi="Times New Roman" w:cs="Times New Roman" w:eastAsia="Times New Roman" w:hint="ascii"/>
                <w:sz w:val="15"/>
              </w:rPr>
            </w:pPr>
            <w:r>
              <w:rPr>
                <w:rFonts w:ascii="Times New Roman" w:hAnsi="Times New Roman" w:cs="Times New Roman" w:eastAsia="Times New Roman" w:hint="ascii"/>
                <w:sz w:val="15"/>
              </w:rPr>
              <w:t>639</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27.18</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179</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04" w:firstLine="0"/>
              <w:snapToGrid w:val="0"/>
              <w:textAlignment w:val="auto"/>
              <w:tabs>
                <w:tab w:val="left" w:leader="none" w:pos="322"/>
              </w:tabs>
              <w:numPr>
                <w:ilvl w:val="0"/>
                <w:numId w:val="213"/>
              </w:numPr>
              <w:rPr>
                <w:rFonts w:ascii="Times New Roman" w:hAnsi="Times New Roman" w:cs="Times New Roman" w:eastAsia="Times New Roman" w:hint="ascii"/>
                <w:sz w:val="15"/>
              </w:rPr>
            </w:pPr>
            <w:r>
              <w:rPr>
                <w:rFonts w:ascii="Times New Roman" w:hAnsi="Times New Roman" w:cs="Times New Roman" w:eastAsia="Times New Roman" w:hint="ascii"/>
                <w:sz w:val="15"/>
              </w:rPr>
              <w:t>354.5</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27.25</w:t>
            </w:r>
          </w:p>
        </w:tc>
      </w:tr>
      <w:tr>
        <w:trPr>
          <w:trHeight w:val="265"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377" w:firstLine="0"/>
              <w:snapToGrid w:val="0"/>
              <w:textAlignment w:val="auto"/>
              <w:tabs/>
              <w:rPr>
                <w:rFonts w:ascii="宋体" w:hAnsi="宋体" w:cs="宋体" w:eastAsia="宋体" w:hint="ascii"/>
                <w:sz w:val="15"/>
              </w:rPr>
            </w:pPr>
            <w:r>
              <w:rPr>
                <w:rFonts w:ascii="宋体" w:hAnsi="宋体" w:cs="宋体" w:eastAsia="宋体" w:hint="ascii"/>
                <w:sz w:val="15"/>
              </w:rPr>
              <w:t>信息获取与处理</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166</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4"/>
              </w:numPr>
              <w:rPr>
                <w:rFonts w:ascii="Times New Roman" w:hAnsi="Times New Roman" w:cs="Times New Roman" w:eastAsia="Times New Roman" w:hint="ascii"/>
                <w:sz w:val="15"/>
              </w:rPr>
            </w:pPr>
            <w:r>
              <w:rPr>
                <w:rFonts w:ascii="Times New Roman" w:hAnsi="Times New Roman" w:cs="Times New Roman" w:eastAsia="Times New Roman" w:hint="ascii"/>
                <w:sz w:val="15"/>
              </w:rPr>
              <w:t>282</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27.44</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183</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04" w:firstLine="0"/>
              <w:snapToGrid w:val="0"/>
              <w:textAlignment w:val="auto"/>
              <w:tabs>
                <w:tab w:val="left" w:leader="none" w:pos="322"/>
              </w:tabs>
              <w:numPr>
                <w:ilvl w:val="0"/>
                <w:numId w:val="214"/>
              </w:numPr>
              <w:rPr>
                <w:rFonts w:ascii="Times New Roman" w:hAnsi="Times New Roman" w:cs="Times New Roman" w:eastAsia="Times New Roman" w:hint="ascii"/>
                <w:sz w:val="15"/>
              </w:rPr>
            </w:pPr>
            <w:r>
              <w:rPr>
                <w:rFonts w:ascii="Times New Roman" w:hAnsi="Times New Roman" w:cs="Times New Roman" w:eastAsia="Times New Roman" w:hint="ascii"/>
                <w:sz w:val="15"/>
              </w:rPr>
              <w:t>375.5</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27.35</w:t>
            </w:r>
          </w:p>
        </w:tc>
      </w:tr>
      <w:tr>
        <w:trPr>
          <w:trHeight w:val="427" w:hRule="exact"/>
          <w:cantSplit w:val="1"/>
        </w:trPr>
        <w:tc>
          <w:tcPr>
            <w:tcW w:w="795" w:type="dxa"/>
            <w:gridSpan w:val="1"/>
            <w:vAlign w:val="top"/>
            <w:vMerge w:val="restart"/>
            <w:tcMar/>
            <w:tcBorders>
              <w:top w:val="single" w:sz="4" w:space="0" w:color="000000"/>
            </w:tcBorders>
          </w:tcPr>
          <w:p>
            <w:pPr>
              <w:autoSpaceDE w:val="0"/>
              <w:autoSpaceDN w:val="0"/>
              <w:jc w:val="left"/>
              <w:spacing w:before="362"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814" w:type="dxa"/>
            <w:gridSpan w:val="1"/>
            <w:vAlign w:val="top"/>
            <w:tcMar/>
            <w:tcBorders>
              <w:left w:val="single" w:sz="4" w:space="0" w:color="000000"/>
              <w:top w:val="single" w:sz="4" w:space="0" w:color="000000"/>
            </w:tcBorders>
          </w:tcPr>
          <w:p>
            <w:pPr>
              <w:autoSpaceDE w:val="0"/>
              <w:autoSpaceDN w:val="0"/>
              <w:jc w:val="left"/>
              <w:spacing w:before="1" w:after="0" w:lineRule="exact" w:line="188"/>
              <w:ind w:right="0" w:left="302" w:firstLine="0"/>
              <w:snapToGrid w:val="0"/>
              <w:textAlignment w:val="auto"/>
              <w:tabs/>
              <w:rPr>
                <w:rFonts w:ascii="宋体" w:hAnsi="宋体" w:cs="宋体" w:eastAsia="宋体" w:hint="ascii"/>
                <w:sz w:val="15"/>
              </w:rPr>
            </w:pPr>
            <w:r>
              <w:rPr>
                <w:rFonts w:ascii="宋体" w:hAnsi="宋体" w:cs="宋体" w:eastAsia="宋体" w:hint="ascii"/>
                <w:sz w:val="15"/>
              </w:rPr>
              <w:t>理论计算机科学、</w:t>
            </w:r>
          </w:p>
          <w:p>
            <w:pPr>
              <w:autoSpaceDE w:val="0"/>
              <w:autoSpaceDN w:val="0"/>
              <w:jc w:val="left"/>
              <w:spacing w:before="7" w:after="0" w:lineRule="exact" w:line="188"/>
              <w:ind w:right="0" w:left="452" w:firstLine="0"/>
              <w:snapToGrid w:val="0"/>
              <w:textAlignment w:val="auto"/>
              <w:tabs/>
              <w:rPr>
                <w:rFonts w:ascii="宋体" w:hAnsi="宋体" w:cs="宋体" w:eastAsia="宋体" w:hint="ascii"/>
                <w:sz w:val="15"/>
              </w:rPr>
            </w:pPr>
            <w:r>
              <w:rPr>
                <w:rFonts w:ascii="宋体" w:hAnsi="宋体" w:cs="宋体" w:eastAsia="宋体" w:hint="ascii"/>
                <w:sz w:val="15"/>
              </w:rPr>
              <w:t>计算机软硬件</w:t>
            </w:r>
          </w:p>
        </w:tc>
        <w:tc>
          <w:tcPr>
            <w:tcW w:w="793"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121</w:t>
            </w:r>
          </w:p>
        </w:tc>
        <w:tc>
          <w:tcPr>
            <w:tcW w:w="795"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260" w:firstLine="0"/>
              <w:snapToGrid w:val="0"/>
              <w:textAlignment w:val="auto"/>
              <w:tabs>
                <w:tab w:val="left" w:leader="none" w:pos="378"/>
              </w:tabs>
              <w:numPr>
                <w:ilvl w:val="0"/>
                <w:numId w:val="215"/>
              </w:numPr>
              <w:rPr>
                <w:rFonts w:ascii="Times New Roman" w:hAnsi="Times New Roman" w:cs="Times New Roman" w:eastAsia="Times New Roman" w:hint="ascii"/>
                <w:sz w:val="15"/>
              </w:rPr>
            </w:pPr>
            <w:r>
              <w:rPr>
                <w:rFonts w:ascii="Times New Roman" w:hAnsi="Times New Roman" w:cs="Times New Roman" w:eastAsia="Times New Roman" w:hint="ascii"/>
                <w:sz w:val="15"/>
              </w:rPr>
              <w:t>435</w:t>
            </w:r>
          </w:p>
        </w:tc>
        <w:tc>
          <w:tcPr>
            <w:tcW w:w="1077"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26.59</w:t>
            </w:r>
          </w:p>
        </w:tc>
        <w:tc>
          <w:tcPr>
            <w:tcW w:w="793"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121</w:t>
            </w:r>
          </w:p>
        </w:tc>
        <w:tc>
          <w:tcPr>
            <w:tcW w:w="795" w:type="dxa"/>
            <w:gridSpan w:val="1"/>
            <w:vAlign w:val="top"/>
            <w:tcMar/>
            <w:tcBorders>
              <w:left w:val="single" w:sz="4" w:space="0" w:color="000000"/>
              <w:top w:val="single" w:sz="4" w:space="0" w:color="000000"/>
            </w:tcBorders>
          </w:tcPr>
          <w:p>
            <w:pPr>
              <w:autoSpaceDE w:val="0"/>
              <w:autoSpaceDN w:val="0"/>
              <w:jc w:val="left"/>
              <w:spacing w:before="105" w:after="0" w:lineRule="auto" w:line="240"/>
              <w:ind w:right="0" w:left="260" w:firstLine="0"/>
              <w:snapToGrid w:val="0"/>
              <w:textAlignment w:val="auto"/>
              <w:tabs>
                <w:tab w:val="left" w:leader="none" w:pos="378"/>
              </w:tabs>
              <w:numPr>
                <w:ilvl w:val="0"/>
                <w:numId w:val="216"/>
              </w:numPr>
              <w:rPr>
                <w:rFonts w:ascii="Times New Roman" w:hAnsi="Times New Roman" w:cs="Times New Roman" w:eastAsia="Times New Roman" w:hint="ascii"/>
                <w:sz w:val="15"/>
              </w:rPr>
            </w:pPr>
            <w:r>
              <w:rPr>
                <w:rFonts w:ascii="Times New Roman" w:hAnsi="Times New Roman" w:cs="Times New Roman" w:eastAsia="Times New Roman" w:hint="ascii"/>
                <w:sz w:val="15"/>
              </w:rPr>
              <w:t>934</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0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29.16</w:t>
            </w:r>
          </w:p>
        </w:tc>
      </w:tr>
      <w:tr>
        <w:trPr>
          <w:trHeight w:val="265"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527" w:firstLine="0"/>
              <w:snapToGrid w:val="0"/>
              <w:textAlignment w:val="auto"/>
              <w:tabs/>
              <w:rPr>
                <w:rFonts w:ascii="宋体" w:hAnsi="宋体" w:cs="宋体" w:eastAsia="宋体" w:hint="ascii"/>
                <w:sz w:val="15"/>
              </w:rPr>
            </w:pPr>
            <w:r>
              <w:rPr>
                <w:rFonts w:ascii="宋体" w:hAnsi="宋体" w:cs="宋体" w:eastAsia="宋体" w:hint="ascii"/>
                <w:sz w:val="15"/>
              </w:rPr>
              <w:t>计算机应用</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256</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4"/>
              </w:numPr>
              <w:rPr>
                <w:rFonts w:ascii="Times New Roman" w:hAnsi="Times New Roman" w:cs="Times New Roman" w:eastAsia="Times New Roman" w:hint="ascii"/>
                <w:sz w:val="15"/>
              </w:rPr>
            </w:pPr>
            <w:r>
              <w:rPr>
                <w:rFonts w:ascii="Times New Roman" w:hAnsi="Times New Roman" w:cs="Times New Roman" w:eastAsia="Times New Roman" w:hint="ascii"/>
                <w:sz w:val="15"/>
              </w:rPr>
              <w:t>121</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26.64</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283</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4"/>
              </w:numPr>
              <w:rPr>
                <w:rFonts w:ascii="Times New Roman" w:hAnsi="Times New Roman" w:cs="Times New Roman" w:eastAsia="Times New Roman" w:hint="ascii"/>
                <w:sz w:val="15"/>
              </w:rPr>
            </w:pPr>
            <w:r>
              <w:rPr>
                <w:rFonts w:ascii="Times New Roman" w:hAnsi="Times New Roman" w:cs="Times New Roman" w:eastAsia="Times New Roman" w:hint="ascii"/>
                <w:sz w:val="15"/>
              </w:rPr>
              <w:t>991</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29.06</w:t>
            </w:r>
          </w:p>
        </w:tc>
      </w:tr>
      <w:tr>
        <w:trPr>
          <w:trHeight w:val="265"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377" w:firstLine="0"/>
              <w:snapToGrid w:val="0"/>
              <w:textAlignment w:val="auto"/>
              <w:tabs/>
              <w:rPr>
                <w:rFonts w:ascii="宋体" w:hAnsi="宋体" w:cs="宋体" w:eastAsia="宋体" w:hint="ascii"/>
                <w:sz w:val="15"/>
              </w:rPr>
            </w:pPr>
            <w:r>
              <w:rPr>
                <w:rFonts w:ascii="宋体" w:hAnsi="宋体" w:cs="宋体" w:eastAsia="宋体" w:hint="ascii"/>
                <w:sz w:val="15"/>
              </w:rPr>
              <w:t>网络与信息安全</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163</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5"/>
              </w:numPr>
              <w:rPr>
                <w:rFonts w:ascii="Times New Roman" w:hAnsi="Times New Roman" w:cs="Times New Roman" w:eastAsia="Times New Roman" w:hint="ascii"/>
                <w:sz w:val="15"/>
              </w:rPr>
            </w:pPr>
            <w:r>
              <w:rPr>
                <w:rFonts w:ascii="Times New Roman" w:hAnsi="Times New Roman" w:cs="Times New Roman" w:eastAsia="Times New Roman" w:hint="ascii"/>
                <w:sz w:val="15"/>
              </w:rPr>
              <w:t>250</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27.08</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166</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5"/>
              </w:numPr>
              <w:rPr>
                <w:rFonts w:ascii="Times New Roman" w:hAnsi="Times New Roman" w:cs="Times New Roman" w:eastAsia="Times New Roman" w:hint="ascii"/>
                <w:sz w:val="15"/>
              </w:rPr>
            </w:pPr>
            <w:r>
              <w:rPr>
                <w:rFonts w:ascii="Times New Roman" w:hAnsi="Times New Roman" w:cs="Times New Roman" w:eastAsia="Times New Roman" w:hint="ascii"/>
                <w:sz w:val="15"/>
              </w:rPr>
              <w:t>035</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29.02</w:t>
            </w:r>
          </w:p>
        </w:tc>
      </w:tr>
      <w:tr>
        <w:trPr>
          <w:trHeight w:val="265" w:hRule="exact"/>
          <w:cantSplit w:val="1"/>
        </w:trPr>
        <w:tc>
          <w:tcPr>
            <w:tcW w:w="795" w:type="dxa"/>
            <w:gridSpan w:val="1"/>
            <w:vAlign w:val="top"/>
            <w:vMerge w:val="restart"/>
            <w:tcMar/>
            <w:tcBorders>
              <w:top w:val="single" w:sz="4" w:space="0" w:color="000000"/>
            </w:tcBorders>
          </w:tcPr>
          <w:p>
            <w:pPr>
              <w:autoSpaceDE w:val="0"/>
              <w:autoSpaceDN w:val="0"/>
              <w:jc w:val="left"/>
              <w:spacing w:before="281"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27" w:firstLine="0"/>
              <w:snapToGrid w:val="0"/>
              <w:textAlignment w:val="auto"/>
              <w:tabs/>
              <w:rPr>
                <w:rFonts w:ascii="宋体" w:hAnsi="宋体" w:cs="宋体" w:eastAsia="宋体" w:hint="ascii"/>
                <w:sz w:val="15"/>
              </w:rPr>
            </w:pPr>
            <w:r>
              <w:rPr>
                <w:rFonts w:ascii="宋体" w:hAnsi="宋体" w:cs="宋体" w:eastAsia="宋体" w:hint="ascii"/>
                <w:sz w:val="15"/>
              </w:rPr>
              <w:t>控制理论与控制工程</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6"/>
              </w:numPr>
              <w:rPr>
                <w:rFonts w:ascii="Times New Roman" w:hAnsi="Times New Roman" w:cs="Times New Roman" w:eastAsia="Times New Roman" w:hint="ascii"/>
                <w:sz w:val="15"/>
              </w:rPr>
            </w:pPr>
            <w:r>
              <w:rPr>
                <w:rFonts w:ascii="Times New Roman" w:hAnsi="Times New Roman" w:cs="Times New Roman" w:eastAsia="Times New Roman" w:hint="ascii"/>
                <w:sz w:val="15"/>
              </w:rPr>
              <w:t>930</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24.31</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6"/>
              </w:numPr>
              <w:rPr>
                <w:rFonts w:ascii="Times New Roman" w:hAnsi="Times New Roman" w:cs="Times New Roman" w:eastAsia="Times New Roman" w:hint="ascii"/>
                <w:sz w:val="15"/>
              </w:rPr>
            </w:pPr>
            <w:r>
              <w:rPr>
                <w:rFonts w:ascii="Times New Roman" w:hAnsi="Times New Roman" w:cs="Times New Roman" w:eastAsia="Times New Roman" w:hint="ascii"/>
                <w:sz w:val="15"/>
              </w:rPr>
              <w:t>967</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25.19</w:t>
            </w:r>
          </w:p>
        </w:tc>
      </w:tr>
      <w:tr>
        <w:trPr>
          <w:trHeight w:val="264"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227" w:firstLine="0"/>
              <w:snapToGrid w:val="0"/>
              <w:textAlignment w:val="auto"/>
              <w:tabs/>
              <w:rPr>
                <w:rFonts w:ascii="宋体" w:hAnsi="宋体" w:cs="宋体" w:eastAsia="宋体" w:hint="ascii"/>
                <w:sz w:val="15"/>
              </w:rPr>
            </w:pPr>
            <w:r>
              <w:rPr>
                <w:rFonts w:ascii="宋体" w:hAnsi="宋体" w:cs="宋体" w:eastAsia="宋体" w:hint="ascii"/>
                <w:sz w:val="15"/>
              </w:rPr>
              <w:t>系统科学与系统工程</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66</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3" w:firstLine="0"/>
              <w:snapToGrid w:val="0"/>
              <w:textAlignment w:val="auto"/>
              <w:tabs>
                <w:tab w:val="left" w:leader="none" w:pos="380"/>
              </w:tabs>
              <w:numPr>
                <w:ilvl w:val="0"/>
                <w:numId w:val="217"/>
              </w:numPr>
              <w:rPr>
                <w:rFonts w:ascii="Times New Roman" w:hAnsi="Times New Roman" w:cs="Times New Roman" w:eastAsia="Times New Roman" w:hint="ascii"/>
                <w:sz w:val="15"/>
              </w:rPr>
            </w:pPr>
            <w:r>
              <w:rPr>
                <w:rFonts w:ascii="Times New Roman" w:hAnsi="Times New Roman" w:cs="Times New Roman" w:eastAsia="Times New Roman" w:hint="ascii"/>
                <w:sz w:val="15"/>
              </w:rPr>
              <w:t>3</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21.78</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68</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8"/>
              </w:numPr>
              <w:rPr>
                <w:rFonts w:ascii="Times New Roman" w:hAnsi="Times New Roman" w:cs="Times New Roman" w:eastAsia="Times New Roman" w:hint="ascii"/>
                <w:sz w:val="15"/>
              </w:rPr>
            </w:pPr>
            <w:r>
              <w:rPr>
                <w:rFonts w:ascii="Times New Roman" w:hAnsi="Times New Roman" w:cs="Times New Roman" w:eastAsia="Times New Roman" w:hint="ascii"/>
                <w:sz w:val="15"/>
              </w:rPr>
              <w:t>574</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22.30</w:t>
            </w:r>
          </w:p>
        </w:tc>
      </w:tr>
      <w:tr>
        <w:trPr>
          <w:trHeight w:val="265"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27" w:firstLine="0"/>
              <w:snapToGrid w:val="0"/>
              <w:textAlignment w:val="auto"/>
              <w:tabs/>
              <w:rPr>
                <w:rFonts w:ascii="宋体" w:hAnsi="宋体" w:cs="宋体" w:eastAsia="宋体" w:hint="ascii"/>
                <w:sz w:val="15"/>
              </w:rPr>
            </w:pPr>
            <w:r>
              <w:rPr>
                <w:rFonts w:ascii="宋体" w:hAnsi="宋体" w:cs="宋体" w:eastAsia="宋体" w:hint="ascii"/>
                <w:sz w:val="15"/>
              </w:rPr>
              <w:t>人工智能与智能系统</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160</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9"/>
              </w:numPr>
              <w:rPr>
                <w:rFonts w:ascii="Times New Roman" w:hAnsi="Times New Roman" w:cs="Times New Roman" w:eastAsia="Times New Roman" w:hint="ascii"/>
                <w:sz w:val="15"/>
              </w:rPr>
            </w:pPr>
            <w:r>
              <w:rPr>
                <w:rFonts w:ascii="Times New Roman" w:hAnsi="Times New Roman" w:cs="Times New Roman" w:eastAsia="Times New Roman" w:hint="ascii"/>
                <w:sz w:val="15"/>
              </w:rPr>
              <w:t>206</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23.64</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175</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9"/>
              </w:numPr>
              <w:rPr>
                <w:rFonts w:ascii="Times New Roman" w:hAnsi="Times New Roman" w:cs="Times New Roman" w:eastAsia="Times New Roman" w:hint="ascii"/>
                <w:sz w:val="15"/>
              </w:rPr>
            </w:pPr>
            <w:r>
              <w:rPr>
                <w:rFonts w:ascii="Times New Roman" w:hAnsi="Times New Roman" w:cs="Times New Roman" w:eastAsia="Times New Roman" w:hint="ascii"/>
                <w:sz w:val="15"/>
              </w:rPr>
              <w:t>258</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24.31</w:t>
            </w:r>
          </w:p>
        </w:tc>
      </w:tr>
      <w:tr>
        <w:trPr>
          <w:trHeight w:val="265" w:hRule="exact"/>
          <w:cantSplit w:val="1"/>
        </w:trPr>
        <w:tc>
          <w:tcPr>
            <w:tcW w:w="795" w:type="dxa"/>
            <w:gridSpan w:val="1"/>
            <w:vAlign w:val="top"/>
            <w:vMerge w:val="restart"/>
            <w:tcMar/>
            <w:tcBorders>
              <w:top w:val="single" w:sz="4" w:space="0" w:color="000000"/>
            </w:tcBorders>
          </w:tcPr>
          <w:p>
            <w:pPr>
              <w:autoSpaceDE w:val="0"/>
              <w:autoSpaceDN w:val="0"/>
              <w:jc w:val="left"/>
              <w:spacing w:before="282"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半导体科学与信息器件</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20"/>
              </w:numPr>
              <w:rPr>
                <w:rFonts w:ascii="Times New Roman" w:hAnsi="Times New Roman" w:cs="Times New Roman" w:eastAsia="Times New Roman" w:hint="ascii"/>
                <w:sz w:val="15"/>
              </w:rPr>
            </w:pPr>
            <w:r>
              <w:rPr>
                <w:rFonts w:ascii="Times New Roman" w:hAnsi="Times New Roman" w:cs="Times New Roman" w:eastAsia="Times New Roman" w:hint="ascii"/>
                <w:sz w:val="15"/>
              </w:rPr>
              <w:t>616</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24.32</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192</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20"/>
              </w:numPr>
              <w:rPr>
                <w:rFonts w:ascii="Times New Roman" w:hAnsi="Times New Roman" w:cs="Times New Roman" w:eastAsia="Times New Roman" w:hint="ascii"/>
                <w:sz w:val="15"/>
              </w:rPr>
            </w:pPr>
            <w:r>
              <w:rPr>
                <w:rFonts w:ascii="Times New Roman" w:hAnsi="Times New Roman" w:cs="Times New Roman" w:eastAsia="Times New Roman" w:hint="ascii"/>
                <w:sz w:val="15"/>
              </w:rPr>
              <w:t>670</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25.70</w:t>
            </w:r>
          </w:p>
        </w:tc>
      </w:tr>
      <w:tr>
        <w:trPr>
          <w:trHeight w:val="265"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52" w:firstLine="0"/>
              <w:snapToGrid w:val="0"/>
              <w:textAlignment w:val="auto"/>
              <w:tabs/>
              <w:rPr>
                <w:rFonts w:ascii="宋体" w:hAnsi="宋体" w:cs="宋体" w:eastAsia="宋体" w:hint="ascii"/>
                <w:sz w:val="15"/>
              </w:rPr>
            </w:pPr>
            <w:r>
              <w:rPr>
                <w:rFonts w:ascii="宋体" w:hAnsi="宋体" w:cs="宋体" w:eastAsia="宋体" w:hint="ascii"/>
                <w:sz w:val="15"/>
              </w:rPr>
              <w:t>信息光学与光电子器件</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17</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7"/>
              </w:numPr>
              <w:rPr>
                <w:rFonts w:ascii="Times New Roman" w:hAnsi="Times New Roman" w:cs="Times New Roman" w:eastAsia="Times New Roman" w:hint="ascii"/>
                <w:sz w:val="15"/>
              </w:rPr>
            </w:pPr>
            <w:r>
              <w:rPr>
                <w:rFonts w:ascii="Times New Roman" w:hAnsi="Times New Roman" w:cs="Times New Roman" w:eastAsia="Times New Roman" w:hint="ascii"/>
                <w:sz w:val="15"/>
              </w:rPr>
              <w:t>351</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24.27</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133</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7"/>
              </w:numPr>
              <w:rPr>
                <w:rFonts w:ascii="Times New Roman" w:hAnsi="Times New Roman" w:cs="Times New Roman" w:eastAsia="Times New Roman" w:hint="ascii"/>
                <w:sz w:val="15"/>
              </w:rPr>
            </w:pPr>
            <w:r>
              <w:rPr>
                <w:rFonts w:ascii="Times New Roman" w:hAnsi="Times New Roman" w:cs="Times New Roman" w:eastAsia="Times New Roman" w:hint="ascii"/>
                <w:sz w:val="15"/>
              </w:rPr>
              <w:t>235</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25.73</w:t>
            </w:r>
          </w:p>
        </w:tc>
      </w:tr>
      <w:tr>
        <w:trPr>
          <w:trHeight w:val="265" w:hRule="exact"/>
          <w:cantSplit w:val="1"/>
        </w:trPr>
        <w:tc>
          <w:tcPr>
            <w:tcW w:w="795"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81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27" w:firstLine="0"/>
              <w:snapToGrid w:val="0"/>
              <w:textAlignment w:val="auto"/>
              <w:tabs/>
              <w:rPr>
                <w:rFonts w:ascii="宋体" w:hAnsi="宋体" w:cs="宋体" w:eastAsia="宋体" w:hint="ascii"/>
                <w:sz w:val="15"/>
              </w:rPr>
            </w:pPr>
            <w:r>
              <w:rPr>
                <w:rFonts w:ascii="宋体" w:hAnsi="宋体" w:cs="宋体" w:eastAsia="宋体" w:hint="ascii"/>
                <w:sz w:val="15"/>
              </w:rPr>
              <w:t>激光技术与技术光学</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136</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8"/>
              </w:numPr>
              <w:rPr>
                <w:rFonts w:ascii="Times New Roman" w:hAnsi="Times New Roman" w:cs="Times New Roman" w:eastAsia="Times New Roman" w:hint="ascii"/>
                <w:sz w:val="15"/>
              </w:rPr>
            </w:pPr>
            <w:r>
              <w:rPr>
                <w:rFonts w:ascii="Times New Roman" w:hAnsi="Times New Roman" w:cs="Times New Roman" w:eastAsia="Times New Roman" w:hint="ascii"/>
                <w:sz w:val="15"/>
              </w:rPr>
              <w:t>733</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24.41</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135</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18"/>
              </w:numPr>
              <w:rPr>
                <w:rFonts w:ascii="Times New Roman" w:hAnsi="Times New Roman" w:cs="Times New Roman" w:eastAsia="Times New Roman" w:hint="ascii"/>
                <w:sz w:val="15"/>
              </w:rPr>
            </w:pPr>
            <w:r>
              <w:rPr>
                <w:rFonts w:ascii="Times New Roman" w:hAnsi="Times New Roman" w:cs="Times New Roman" w:eastAsia="Times New Roman" w:hint="ascii"/>
                <w:sz w:val="15"/>
              </w:rPr>
              <w:t>284</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25.71</w:t>
            </w:r>
          </w:p>
        </w:tc>
      </w:tr>
      <w:tr>
        <w:trPr>
          <w:trHeight w:val="265" w:hRule="exact"/>
          <w:cantSplit w:val="1"/>
        </w:trPr>
        <w:tc>
          <w:tcPr>
            <w:tcW w:w="2609" w:type="dxa"/>
            <w:gridSpan w:val="2"/>
            <w:vAlign w:val="top"/>
            <w:tcMar/>
            <w:tcBorders>
              <w:top w:val="single" w:sz="4" w:space="0" w:color="000000"/>
            </w:tcBorders>
          </w:tcPr>
          <w:p>
            <w:pPr>
              <w:autoSpaceDE w:val="0"/>
              <w:autoSpaceDN w:val="0"/>
              <w:jc w:val="left"/>
              <w:spacing w:before="17" w:after="0" w:lineRule="exact" w:line="188"/>
              <w:ind w:right="0" w:left="844"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41" w:firstLine="0"/>
              <w:snapToGrid w:val="0"/>
              <w:textAlignment w:val="auto"/>
              <w:tabs>
                <w:tab w:val="left" w:leader="none" w:pos="359"/>
              </w:tabs>
              <w:numPr>
                <w:ilvl w:val="0"/>
                <w:numId w:val="221"/>
              </w:numPr>
              <w:rPr>
                <w:rFonts w:ascii="Times New Roman" w:hAnsi="Times New Roman" w:cs="Times New Roman" w:eastAsia="Times New Roman" w:hint="ascii"/>
                <w:sz w:val="15"/>
              </w:rPr>
            </w:pPr>
            <w:r>
              <w:rPr>
                <w:rFonts w:ascii="Times New Roman" w:hAnsi="Times New Roman" w:cs="Times New Roman" w:eastAsia="Times New Roman" w:hint="ascii"/>
                <w:sz w:val="15"/>
              </w:rPr>
              <w:t>918</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38 380</w:t>
            </w:r>
          </w:p>
        </w:tc>
        <w:tc>
          <w:tcPr>
            <w:tcW w:w="1077"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25.54</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1" w:firstLine="0"/>
              <w:snapToGrid w:val="0"/>
              <w:textAlignment w:val="auto"/>
              <w:tabs>
                <w:tab w:val="left" w:leader="none" w:pos="379"/>
              </w:tabs>
              <w:numPr>
                <w:ilvl w:val="0"/>
                <w:numId w:val="221"/>
              </w:numPr>
              <w:rPr>
                <w:rFonts w:ascii="Times New Roman" w:hAnsi="Times New Roman" w:cs="Times New Roman" w:eastAsia="Times New Roman" w:hint="ascii"/>
                <w:sz w:val="15"/>
              </w:rPr>
            </w:pPr>
            <w:r>
              <w:rPr>
                <w:rFonts w:ascii="Times New Roman" w:hAnsi="Times New Roman" w:cs="Times New Roman" w:eastAsia="Times New Roman" w:hint="ascii"/>
                <w:sz w:val="15"/>
              </w:rPr>
              <w:t>031</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49 370</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26.65</w:t>
            </w:r>
          </w:p>
        </w:tc>
      </w:tr>
      <w:tr>
        <w:trPr>
          <w:trHeight w:val="270" w:hRule="exact"/>
          <w:cantSplit w:val="1"/>
        </w:trPr>
        <w:tc>
          <w:tcPr>
            <w:tcW w:w="2609" w:type="dxa"/>
            <w:gridSpan w:val="2"/>
            <w:vAlign w:val="top"/>
            <w:tcMar/>
            <w:tcBorders>
              <w:top w:val="single" w:sz="4" w:space="0" w:color="000000"/>
              <w:bottom w:val="single" w:sz="8" w:space="0" w:color="000000"/>
            </w:tcBorders>
          </w:tcPr>
          <w:p>
            <w:pPr>
              <w:autoSpaceDE w:val="0"/>
              <w:autoSpaceDN w:val="0"/>
              <w:jc w:val="left"/>
              <w:spacing w:before="15" w:after="0" w:lineRule="exact" w:line="188"/>
              <w:ind w:right="0" w:left="148"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665"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23" w:after="0" w:lineRule="auto" w:line="240"/>
              <w:ind w:right="0" w:left="11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20.01</w:t>
            </w:r>
          </w:p>
        </w:tc>
        <w:tc>
          <w:tcPr>
            <w:tcW w:w="2664"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23" w:after="0" w:lineRule="auto" w:line="240"/>
              <w:ind w:right="0" w:left="11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24.31</w:t>
            </w:r>
          </w:p>
        </w:tc>
      </w:tr>
    </w:tbl>
    <w:p>
      <w:pPr>
        <w:autoSpaceDE w:val="0"/>
        <w:autoSpaceDN w:val="0"/>
        <w:jc w:val="left"/>
        <w:spacing w:before="353"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管理科学部</w:t>
      </w:r>
    </w:p>
    <w:p>
      <w:pPr>
        <w:autoSpaceDE w:val="0"/>
        <w:autoSpaceDN w:val="0"/>
        <w:jc w:val="left"/>
        <w:spacing w:before="32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近年来，管理科学部青年科学基金项目的申请水平与研究水平都有了显著提升，大</w:t>
      </w:r>
    </w:p>
    <w:p>
      <w:pPr>
        <w:autoSpaceDE w:val="0"/>
        <w:autoSpaceDN w:val="0"/>
        <w:jc w:val="both"/>
        <w:spacing w:before="14" w:after="0" w:lineRule="exact" w:line="325"/>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部分申请人</w:t>
      </w:r>
      <w:r>
        <w:rPr>
          <w:rFonts w:ascii="宋体" w:hAnsi="宋体" w:cs="宋体" w:eastAsia="宋体" w:hint="ascii"/>
          <w:sz w:val="21"/>
        </w:rPr>
        <w:t>关注科学前沿问题的探索，所提出的研究方法规范，并已发表了一些高水平</w:t>
      </w:r>
      <w:r>
        <w:rPr>
          <w:rFonts w:ascii="宋体" w:hAnsi="宋体" w:cs="宋体" w:eastAsia="宋体" w:hint="ascii"/>
          <w:sz w:val="21"/>
          <w:spacing w:val="-1"/>
        </w:rPr>
        <w:t>的研究成果</w:t>
      </w:r>
      <w:r>
        <w:rPr>
          <w:rFonts w:ascii="宋体" w:hAnsi="宋体" w:cs="宋体" w:eastAsia="宋体" w:hint="ascii"/>
          <w:sz w:val="21"/>
        </w:rPr>
        <w:t>。当然，也有少部分申请人对科学基金项目资助的研究工作不了解，项目申</w:t>
      </w:r>
      <w:r>
        <w:rPr>
          <w:rFonts w:ascii="宋体" w:hAnsi="宋体" w:cs="宋体" w:eastAsia="宋体" w:hint="ascii"/>
          <w:sz w:val="21"/>
          <w:spacing w:val="-1"/>
        </w:rPr>
        <w:t>请的设计方</w:t>
      </w:r>
      <w:r>
        <w:rPr>
          <w:rFonts w:ascii="宋体" w:hAnsi="宋体" w:cs="宋体" w:eastAsia="宋体" w:hint="ascii"/>
          <w:sz w:val="21"/>
        </w:rPr>
        <w:t>案难以在有限资金和有限时间内完成，或重复博士论文或博士后课题的研究内容，或不按申请书撰写要求提供信息等。</w:t>
      </w:r>
    </w:p>
    <w:p>
      <w:pPr>
        <w:autoSpaceDE w:val="0"/>
        <w:autoSpaceDN w:val="0"/>
        <w:jc w:val="left"/>
        <w:spacing w:before="53" w:after="0" w:lineRule="auto" w:line="240"/>
        <w:ind w:right="0" w:left="966" w:firstLine="420"/>
        <w:snapToGrid w:val="0"/>
        <w:textAlignment w:val="auto"/>
        <w:tabs>
          <w:tab w:val="left" w:leader="none" w:pos="1862"/>
        </w:tabs>
        <w:numPr>
          <w:ilvl w:val="0"/>
          <w:numId w:val="222"/>
        </w:numPr>
        <w:rPr>
          <w:rFonts w:ascii="Times New Roman" w:hAnsi="Times New Roman" w:cs="Times New Roman" w:eastAsia="Times New Roman" w:hint="ascii"/>
          <w:sz w:val="21"/>
          <w:spacing w:val="1"/>
        </w:rPr>
      </w:pPr>
      <w:r>
        <w:rPr>
          <w:rFonts w:ascii="宋体" w:hAnsi="宋体" w:cs="宋体" w:eastAsia="宋体" w:hint="ascii"/>
          <w:sz w:val="21"/>
        </w:rPr>
        <w:t>年度管理科学部接收青年科学基金项目申请为</w:t>
      </w:r>
      <w:r>
        <w:rPr>
          <w:rFonts w:ascii="宋体" w:hAnsi="宋体" w:cs="宋体" w:eastAsia="宋体" w:hint="ascii"/>
          <w:sz w:val="21"/>
          <w:spacing w:val="-24"/>
        </w:rPr>
        <w:t xml:space="preserve"> </w:t>
      </w:r>
      <w:r>
        <w:rPr>
          <w:rFonts w:ascii="Times New Roman" w:hAnsi="Times New Roman" w:cs="Times New Roman" w:eastAsia="Times New Roman" w:hint="ascii"/>
          <w:sz w:val="21"/>
        </w:rPr>
        <w:t>4 127</w:t>
      </w:r>
      <w:r>
        <w:rPr>
          <w:rFonts w:ascii="Times New Roman" w:hAnsi="Times New Roman" w:cs="Times New Roman" w:eastAsia="Times New Roman" w:hint="ascii"/>
          <w:sz w:val="21"/>
          <w:spacing w:val="-25"/>
        </w:rPr>
        <w:t xml:space="preserve"> </w:t>
      </w:r>
      <w:r>
        <w:rPr>
          <w:rFonts w:ascii="宋体" w:hAnsi="宋体" w:cs="宋体" w:eastAsia="宋体" w:hint="ascii"/>
          <w:sz w:val="21"/>
        </w:rPr>
        <w:t>项，较</w:t>
      </w:r>
      <w:r>
        <w:rPr>
          <w:rFonts w:ascii="宋体" w:hAnsi="宋体" w:cs="宋体" w:eastAsia="宋体" w:hint="ascii"/>
          <w:sz w:val="21"/>
          <w:spacing w:val="-24"/>
        </w:rPr>
        <w:t xml:space="preserve"> </w:t>
      </w:r>
      <w:r>
        <w:rPr>
          <w:rFonts w:ascii="Times New Roman" w:hAnsi="Times New Roman" w:cs="Times New Roman" w:eastAsia="Times New Roman" w:hint="ascii"/>
          <w:sz w:val="21"/>
        </w:rPr>
        <w:t>2016</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年度有较大</w:t>
      </w:r>
    </w:p>
    <w:p>
      <w:pPr>
        <w:autoSpaceDE w:val="0"/>
        <w:autoSpaceDN w:val="0"/>
        <w:jc w:val="both"/>
        <w:spacing w:before="20" w:after="0" w:lineRule="exact" w:line="326"/>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幅度的增加。资助青年科学基金项目</w:t>
      </w:r>
      <w:r>
        <w:rPr>
          <w:rFonts w:ascii="宋体" w:hAnsi="宋体" w:cs="宋体" w:eastAsia="宋体" w:hint="ascii"/>
          <w:sz w:val="21"/>
          <w:spacing w:val="-26"/>
        </w:rPr>
        <w:t xml:space="preserve"> </w:t>
      </w:r>
      <w:r>
        <w:rPr>
          <w:rFonts w:ascii="Times New Roman" w:hAnsi="Times New Roman" w:cs="Times New Roman" w:eastAsia="Times New Roman" w:hint="ascii"/>
          <w:sz w:val="21"/>
        </w:rPr>
        <w:t>815</w:t>
      </w:r>
      <w:r>
        <w:rPr>
          <w:rFonts w:ascii="Times New Roman" w:hAnsi="Times New Roman" w:cs="Times New Roman" w:eastAsia="Times New Roman" w:hint="ascii"/>
          <w:sz w:val="21"/>
          <w:spacing w:val="-27"/>
        </w:rPr>
        <w:t xml:space="preserve"> </w:t>
      </w:r>
      <w:r>
        <w:rPr>
          <w:rFonts w:ascii="宋体" w:hAnsi="宋体" w:cs="宋体" w:eastAsia="宋体" w:hint="ascii"/>
          <w:sz w:val="21"/>
        </w:rPr>
        <w:t>项，资助率为</w:t>
      </w:r>
      <w:r>
        <w:rPr>
          <w:rFonts w:ascii="宋体" w:hAnsi="宋体" w:cs="宋体" w:eastAsia="宋体" w:hint="ascii"/>
          <w:sz w:val="21"/>
          <w:spacing w:val="-26"/>
        </w:rPr>
        <w:t xml:space="preserve"> </w:t>
      </w:r>
      <w:r>
        <w:rPr>
          <w:rFonts w:ascii="Times New Roman" w:hAnsi="Times New Roman" w:cs="Times New Roman" w:eastAsia="Times New Roman" w:hint="ascii"/>
          <w:sz w:val="21"/>
        </w:rPr>
        <w:t>19.75%</w:t>
      </w:r>
      <w:r>
        <w:rPr>
          <w:rFonts w:ascii="宋体" w:hAnsi="宋体" w:cs="宋体" w:eastAsia="宋体" w:hint="ascii"/>
          <w:sz w:val="21"/>
        </w:rPr>
        <w:t>，直接费用平均资助强度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18.0</w:t>
      </w:r>
      <w:r>
        <w:rPr>
          <w:rFonts w:ascii="Times New Roman" w:hAnsi="Times New Roman" w:cs="Times New Roman" w:eastAsia="Times New Roman" w:hint="ascii"/>
          <w:sz w:val="21"/>
          <w:spacing w:val="52"/>
        </w:rPr>
        <w:t>2</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5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本《指南》面上项目部分总述中提出的各项要求也是对青年科学基金项目的要求，</w:t>
      </w:r>
    </w:p>
    <w:p>
      <w:pPr>
        <w:autoSpaceDE w:val="0"/>
        <w:autoSpaceDN w:val="0"/>
        <w:jc w:val="left"/>
        <w:spacing w:before="6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提醒申请人认真阅读。</w:t>
      </w:r>
    </w:p>
    <w:p>
      <w:pPr>
        <w:autoSpaceDE w:val="0"/>
        <w:autoSpaceDN w:val="0"/>
        <w:jc w:val="left"/>
        <w:spacing w:before="592"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管理科学部青年科学基金项目近两年资助情况一览表</w:t>
      </w:r>
      <w:r>
        <w:rPr>
          <w:rFonts w:ascii="宋体" w:hAnsi="宋体" w:cs="宋体" w:eastAsia="宋体" w:hint="ascii"/>
          <w:sz w:val="18"/>
        </w:rPr>
        <mc:AlternateContent>
          <mc:Choice Requires="wps">
            <w:drawing>
              <wp:anchor distL="0" distR="0" distT="0" distB="0" simplePos="0" behindDoc="1" relativeHeight="207" locked="0" layoutInCell="1" allowOverlap="1">
                <wp:simplePos x="0" y="0"/>
                <wp:positionH relativeFrom="page">
                  <wp:posOffset>938530</wp:posOffset>
                </wp:positionH>
                <wp:positionV relativeFrom="page">
                  <wp:posOffset>805815</wp:posOffset>
                </wp:positionV>
                <wp:extent cx="5076190" cy="0"/>
                <wp:wrapNone/>
                <wp:docPr id="1236" name="123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46272;width:399.70pt;" id="123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37" w:type="dxa"/>
        <w:jc w:val="left"/>
        <w:tblInd w:w="994"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851"/>
        <w:gridCol w:w="1757"/>
        <w:gridCol w:w="793"/>
        <w:gridCol w:w="795"/>
        <w:gridCol w:w="1077"/>
        <w:gridCol w:w="793"/>
        <w:gridCol w:w="795"/>
        <w:gridCol w:w="1076"/>
      </w:tblGrid>
      <w:tr>
        <w:trPr>
          <w:trHeight w:val="287" w:hRule="exact"/>
          <w:cantSplit w:val="1"/>
        </w:trPr>
        <w:tc>
          <w:tcPr>
            <w:tcW w:w="2608" w:type="dxa"/>
            <w:gridSpan w:val="2"/>
            <w:vAlign w:val="top"/>
            <w:vMerge w:val="restart"/>
            <w:tcMar/>
            <w:tcBorders/>
          </w:tcPr>
          <w:p>
            <w:pPr>
              <w:autoSpaceDE w:val="0"/>
              <w:autoSpaceDN w:val="0"/>
              <w:jc w:val="left"/>
              <w:spacing w:before="238" w:after="0" w:lineRule="exact" w:line="188"/>
              <w:ind w:right="0" w:left="1069"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665" w:type="dxa"/>
            <w:gridSpan w:val="3"/>
            <w:vAlign w:val="top"/>
            <w:tcMar/>
            <w:tcBorders>
              <w:left w:val="single" w:sz="4" w:space="0" w:color="000000"/>
            </w:tcBorders>
          </w:tcPr>
          <w:p>
            <w:pPr>
              <w:autoSpaceDE w:val="0"/>
              <w:autoSpaceDN w:val="0"/>
              <w:jc w:val="left"/>
              <w:spacing w:before="25" w:after="0" w:lineRule="auto" w:line="240"/>
              <w:ind w:right="0" w:left="1009" w:firstLine="0"/>
              <w:snapToGrid w:val="0"/>
              <w:textAlignment w:val="auto"/>
              <w:tabs>
                <w:tab w:val="left" w:leader="none" w:pos="1352"/>
              </w:tabs>
              <w:numPr>
                <w:ilvl w:val="0"/>
                <w:numId w:val="223"/>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664" w:type="dxa"/>
            <w:gridSpan w:val="3"/>
            <w:vAlign w:val="top"/>
            <w:tcMar/>
            <w:tcBorders>
              <w:left w:val="single" w:sz="4" w:space="0" w:color="000000"/>
              <w:right w:val="single" w:sz="8" w:space="0" w:color="000000"/>
            </w:tcBorders>
          </w:tcPr>
          <w:p>
            <w:pPr>
              <w:autoSpaceDE w:val="0"/>
              <w:autoSpaceDN w:val="0"/>
              <w:jc w:val="left"/>
              <w:spacing w:before="25" w:after="0" w:lineRule="auto" w:line="240"/>
              <w:ind w:right="0" w:left="1009" w:firstLine="0"/>
              <w:snapToGrid w:val="0"/>
              <w:textAlignment w:val="auto"/>
              <w:tabs>
                <w:tab w:val="left" w:leader="none" w:pos="1352"/>
              </w:tabs>
              <w:numPr>
                <w:ilvl w:val="0"/>
                <w:numId w:val="223"/>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27" w:hRule="exact"/>
          <w:cantSplit w:val="1"/>
        </w:trPr>
        <w:tc>
          <w:tcPr>
            <w:tcW w:w="2608"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93" w:type="dxa"/>
            <w:gridSpan w:val="1"/>
            <w:vAlign w:val="top"/>
            <w:tcMar/>
            <w:tcBorders>
              <w:left w:val="single" w:sz="4" w:space="0" w:color="000000"/>
              <w:top w:val="single" w:sz="4" w:space="0" w:color="000000"/>
            </w:tcBorders>
          </w:tcPr>
          <w:p>
            <w:pPr>
              <w:autoSpaceDE w:val="0"/>
              <w:autoSpaceDN w:val="0"/>
              <w:jc w:val="left"/>
              <w:spacing w:before="98"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5" w:type="dxa"/>
            <w:gridSpan w:val="1"/>
            <w:vAlign w:val="top"/>
            <w:tcMar/>
            <w:tcBorders>
              <w:left w:val="single" w:sz="4" w:space="0" w:color="000000"/>
              <w:top w:val="single" w:sz="4" w:space="0" w:color="000000"/>
            </w:tcBorders>
          </w:tcPr>
          <w:p>
            <w:pPr>
              <w:autoSpaceDE w:val="0"/>
              <w:autoSpaceDN w:val="0"/>
              <w:jc w:val="left"/>
              <w:spacing w:before="98"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7"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8"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3" w:type="dxa"/>
            <w:gridSpan w:val="1"/>
            <w:vAlign w:val="top"/>
            <w:tcMar/>
            <w:tcBorders>
              <w:left w:val="single" w:sz="4" w:space="0" w:color="000000"/>
              <w:top w:val="single" w:sz="4" w:space="0" w:color="000000"/>
            </w:tcBorders>
          </w:tcPr>
          <w:p>
            <w:pPr>
              <w:autoSpaceDE w:val="0"/>
              <w:autoSpaceDN w:val="0"/>
              <w:jc w:val="left"/>
              <w:spacing w:before="98"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5" w:type="dxa"/>
            <w:gridSpan w:val="1"/>
            <w:vAlign w:val="top"/>
            <w:tcMar/>
            <w:tcBorders>
              <w:left w:val="single" w:sz="4" w:space="0" w:color="000000"/>
              <w:top w:val="single" w:sz="4" w:space="0" w:color="000000"/>
            </w:tcBorders>
          </w:tcPr>
          <w:p>
            <w:pPr>
              <w:autoSpaceDE w:val="0"/>
              <w:autoSpaceDN w:val="0"/>
              <w:jc w:val="left"/>
              <w:spacing w:before="98"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8"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82" w:hRule="exact"/>
          <w:cantSplit w:val="1"/>
        </w:trPr>
        <w:tc>
          <w:tcPr>
            <w:tcW w:w="851" w:type="dxa"/>
            <w:gridSpan w:val="1"/>
            <w:vAlign w:val="top"/>
            <w:tcMar/>
            <w:tcBorders>
              <w:top w:val="single" w:sz="4" w:space="0" w:color="000000"/>
            </w:tcBorders>
          </w:tcPr>
          <w:p>
            <w:pPr>
              <w:autoSpaceDE w:val="0"/>
              <w:autoSpaceDN w:val="0"/>
              <w:jc w:val="left"/>
              <w:spacing w:before="25" w:after="0" w:lineRule="exact" w:line="188"/>
              <w:ind w:right="0" w:left="265"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757"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管理科学与工程</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192</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tab w:val="left" w:leader="none" w:pos="378"/>
              </w:tabs>
              <w:numPr>
                <w:ilvl w:val="0"/>
                <w:numId w:val="224"/>
              </w:numPr>
              <w:rPr>
                <w:rFonts w:ascii="Times New Roman" w:hAnsi="Times New Roman" w:cs="Times New Roman" w:eastAsia="Times New Roman" w:hint="ascii"/>
                <w:sz w:val="15"/>
              </w:rPr>
            </w:pPr>
            <w:r>
              <w:rPr>
                <w:rFonts w:ascii="Times New Roman" w:hAnsi="Times New Roman" w:cs="Times New Roman" w:eastAsia="Times New Roman" w:hint="ascii"/>
                <w:sz w:val="15"/>
              </w:rPr>
              <w:t>272</w:t>
            </w:r>
          </w:p>
        </w:tc>
        <w:tc>
          <w:tcPr>
            <w:tcW w:w="107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20.10</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223</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tab w:val="left" w:leader="none" w:pos="378"/>
              </w:tabs>
              <w:numPr>
                <w:ilvl w:val="0"/>
                <w:numId w:val="224"/>
              </w:numPr>
              <w:rPr>
                <w:rFonts w:ascii="Times New Roman" w:hAnsi="Times New Roman" w:cs="Times New Roman" w:eastAsia="Times New Roman" w:hint="ascii"/>
                <w:sz w:val="15"/>
              </w:rPr>
            </w:pPr>
            <w:r>
              <w:rPr>
                <w:rFonts w:ascii="Times New Roman" w:hAnsi="Times New Roman" w:cs="Times New Roman" w:eastAsia="Times New Roman" w:hint="ascii"/>
                <w:sz w:val="15"/>
              </w:rPr>
              <w:t>018</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20.44</w:t>
            </w:r>
          </w:p>
        </w:tc>
      </w:tr>
      <w:tr>
        <w:trPr>
          <w:trHeight w:val="282" w:hRule="exact"/>
          <w:cantSplit w:val="1"/>
        </w:trPr>
        <w:tc>
          <w:tcPr>
            <w:tcW w:w="851" w:type="dxa"/>
            <w:gridSpan w:val="1"/>
            <w:vAlign w:val="top"/>
            <w:tcMar/>
            <w:tcBorders>
              <w:top w:val="single" w:sz="4" w:space="0" w:color="000000"/>
            </w:tcBorders>
          </w:tcPr>
          <w:p>
            <w:pPr>
              <w:autoSpaceDE w:val="0"/>
              <w:autoSpaceDN w:val="0"/>
              <w:jc w:val="left"/>
              <w:spacing w:before="25" w:after="0" w:lineRule="exact" w:line="188"/>
              <w:ind w:right="0" w:left="265"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757"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573" w:firstLine="0"/>
              <w:snapToGrid w:val="0"/>
              <w:textAlignment w:val="auto"/>
              <w:tabs/>
              <w:rPr>
                <w:rFonts w:ascii="宋体" w:hAnsi="宋体" w:cs="宋体" w:eastAsia="宋体" w:hint="ascii"/>
                <w:sz w:val="15"/>
              </w:rPr>
            </w:pPr>
            <w:r>
              <w:rPr>
                <w:rFonts w:ascii="宋体" w:hAnsi="宋体" w:cs="宋体" w:eastAsia="宋体" w:hint="ascii"/>
                <w:sz w:val="15"/>
              </w:rPr>
              <w:t>工商管理</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199</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3 392</w:t>
            </w:r>
          </w:p>
        </w:tc>
        <w:tc>
          <w:tcPr>
            <w:tcW w:w="107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19.88</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3 766</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20.31</w:t>
            </w:r>
          </w:p>
        </w:tc>
      </w:tr>
      <w:tr>
        <w:trPr>
          <w:trHeight w:val="282" w:hRule="exact"/>
          <w:cantSplit w:val="1"/>
        </w:trPr>
        <w:tc>
          <w:tcPr>
            <w:tcW w:w="851" w:type="dxa"/>
            <w:gridSpan w:val="1"/>
            <w:vAlign w:val="top"/>
            <w:vMerge w:val="restart"/>
            <w:tcMar/>
            <w:tcBorders>
              <w:top w:val="single" w:sz="4" w:space="0" w:color="000000"/>
            </w:tcBorders>
          </w:tcPr>
          <w:p>
            <w:pPr>
              <w:autoSpaceDE w:val="0"/>
              <w:autoSpaceDN w:val="0"/>
              <w:jc w:val="left"/>
              <w:spacing w:before="165" w:after="0" w:lineRule="exact" w:line="188"/>
              <w:ind w:right="0" w:left="265"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757"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573" w:firstLine="0"/>
              <w:snapToGrid w:val="0"/>
              <w:textAlignment w:val="auto"/>
              <w:tabs/>
              <w:rPr>
                <w:rFonts w:ascii="宋体" w:hAnsi="宋体" w:cs="宋体" w:eastAsia="宋体" w:hint="ascii"/>
                <w:sz w:val="15"/>
              </w:rPr>
            </w:pPr>
            <w:r>
              <w:rPr>
                <w:rFonts w:ascii="宋体" w:hAnsi="宋体" w:cs="宋体" w:eastAsia="宋体" w:hint="ascii"/>
                <w:sz w:val="15"/>
              </w:rPr>
              <w:t>经济科学</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130</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tab w:val="left" w:leader="none" w:pos="378"/>
              </w:tabs>
              <w:numPr>
                <w:ilvl w:val="0"/>
                <w:numId w:val="225"/>
              </w:numPr>
              <w:rPr>
                <w:rFonts w:ascii="Times New Roman" w:hAnsi="Times New Roman" w:cs="Times New Roman" w:eastAsia="Times New Roman" w:hint="ascii"/>
                <w:sz w:val="15"/>
              </w:rPr>
            </w:pPr>
            <w:r>
              <w:rPr>
                <w:rFonts w:ascii="Times New Roman" w:hAnsi="Times New Roman" w:cs="Times New Roman" w:eastAsia="Times New Roman" w:hint="ascii"/>
                <w:sz w:val="15"/>
              </w:rPr>
              <w:t>220</w:t>
            </w:r>
          </w:p>
        </w:tc>
        <w:tc>
          <w:tcPr>
            <w:tcW w:w="107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17.93</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188</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tab w:val="left" w:leader="none" w:pos="378"/>
              </w:tabs>
              <w:numPr>
                <w:ilvl w:val="0"/>
                <w:numId w:val="225"/>
              </w:numPr>
              <w:rPr>
                <w:rFonts w:ascii="Times New Roman" w:hAnsi="Times New Roman" w:cs="Times New Roman" w:eastAsia="Times New Roman" w:hint="ascii"/>
                <w:sz w:val="15"/>
              </w:rPr>
            </w:pPr>
            <w:r>
              <w:rPr>
                <w:rFonts w:ascii="Times New Roman" w:hAnsi="Times New Roman" w:cs="Times New Roman" w:eastAsia="Times New Roman" w:hint="ascii"/>
                <w:sz w:val="15"/>
              </w:rPr>
              <w:t>388</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19.09</w:t>
            </w:r>
          </w:p>
        </w:tc>
      </w:tr>
      <w:tr>
        <w:trPr>
          <w:trHeight w:val="282" w:hRule="exact"/>
          <w:cantSplit w:val="1"/>
        </w:trPr>
        <w:tc>
          <w:tcPr>
            <w:tcW w:w="851"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757" w:type="dxa"/>
            <w:gridSpan w:val="1"/>
            <w:vAlign w:val="top"/>
            <w:tcMar/>
            <w:tcBorders>
              <w:left w:val="single" w:sz="4" w:space="0" w:color="000000"/>
              <w:top w:val="single" w:sz="4" w:space="0" w:color="000000"/>
            </w:tcBorders>
          </w:tcPr>
          <w:p>
            <w:pPr>
              <w:autoSpaceDE w:val="0"/>
              <w:autoSpaceDN w:val="0"/>
              <w:jc w:val="left"/>
              <w:spacing w:before="25"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宏观管理与政策</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176</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tab w:val="left" w:leader="none" w:pos="378"/>
              </w:tabs>
              <w:numPr>
                <w:ilvl w:val="0"/>
                <w:numId w:val="226"/>
              </w:numPr>
              <w:rPr>
                <w:rFonts w:ascii="Times New Roman" w:hAnsi="Times New Roman" w:cs="Times New Roman" w:eastAsia="Times New Roman" w:hint="ascii"/>
                <w:sz w:val="15"/>
              </w:rPr>
            </w:pPr>
            <w:r>
              <w:rPr>
                <w:rFonts w:ascii="Times New Roman" w:hAnsi="Times New Roman" w:cs="Times New Roman" w:eastAsia="Times New Roman" w:hint="ascii"/>
                <w:sz w:val="15"/>
              </w:rPr>
              <w:t>996</w:t>
            </w:r>
          </w:p>
        </w:tc>
        <w:tc>
          <w:tcPr>
            <w:tcW w:w="107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19.05</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60" w:firstLine="0"/>
              <w:snapToGrid w:val="0"/>
              <w:textAlignment w:val="auto"/>
              <w:tabs>
                <w:tab w:val="left" w:leader="none" w:pos="378"/>
              </w:tabs>
              <w:numPr>
                <w:ilvl w:val="0"/>
                <w:numId w:val="226"/>
              </w:numPr>
              <w:rPr>
                <w:rFonts w:ascii="Times New Roman" w:hAnsi="Times New Roman" w:cs="Times New Roman" w:eastAsia="Times New Roman" w:hint="ascii"/>
                <w:sz w:val="15"/>
              </w:rPr>
            </w:pPr>
            <w:r>
              <w:rPr>
                <w:rFonts w:ascii="Times New Roman" w:hAnsi="Times New Roman" w:cs="Times New Roman" w:eastAsia="Times New Roman" w:hint="ascii"/>
                <w:sz w:val="15"/>
              </w:rPr>
              <w:t>518</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19.08</w:t>
            </w:r>
          </w:p>
        </w:tc>
      </w:tr>
      <w:tr>
        <w:trPr>
          <w:trHeight w:val="282" w:hRule="exact"/>
          <w:cantSplit w:val="1"/>
        </w:trPr>
        <w:tc>
          <w:tcPr>
            <w:tcW w:w="2608" w:type="dxa"/>
            <w:gridSpan w:val="2"/>
            <w:vAlign w:val="top"/>
            <w:tcMar/>
            <w:tcBorders>
              <w:top w:val="single" w:sz="4" w:space="0" w:color="000000"/>
            </w:tcBorders>
          </w:tcPr>
          <w:p>
            <w:pPr>
              <w:autoSpaceDE w:val="0"/>
              <w:autoSpaceDN w:val="0"/>
              <w:jc w:val="left"/>
              <w:spacing w:before="25" w:after="0" w:lineRule="exact" w:line="188"/>
              <w:ind w:right="0" w:left="843"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697</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1 880</w:t>
            </w:r>
          </w:p>
        </w:tc>
        <w:tc>
          <w:tcPr>
            <w:tcW w:w="1077"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19.33</w:t>
            </w:r>
          </w:p>
        </w:tc>
        <w:tc>
          <w:tcPr>
            <w:tcW w:w="793"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815</w:t>
            </w:r>
          </w:p>
        </w:tc>
        <w:tc>
          <w:tcPr>
            <w:tcW w:w="795" w:type="dxa"/>
            <w:gridSpan w:val="1"/>
            <w:vAlign w:val="top"/>
            <w:tcMar/>
            <w:tcBorders>
              <w:left w:val="single" w:sz="4" w:space="0" w:color="000000"/>
              <w:top w:val="single" w:sz="4" w:space="0" w:color="000000"/>
            </w:tcBorders>
          </w:tcPr>
          <w:p>
            <w:pPr>
              <w:autoSpaceDE w:val="0"/>
              <w:autoSpaceDN w:val="0"/>
              <w:jc w:val="left"/>
              <w:spacing w:before="31"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14 690</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19.75</w:t>
            </w:r>
          </w:p>
        </w:tc>
      </w:tr>
      <w:tr>
        <w:trPr>
          <w:trHeight w:val="288" w:hRule="exact"/>
          <w:cantSplit w:val="1"/>
        </w:trPr>
        <w:tc>
          <w:tcPr>
            <w:tcW w:w="2608" w:type="dxa"/>
            <w:gridSpan w:val="2"/>
            <w:vAlign w:val="top"/>
            <w:tcMar/>
            <w:tcBorders>
              <w:top w:val="single" w:sz="4" w:space="0" w:color="000000"/>
              <w:bottom w:val="single" w:sz="8" w:space="0" w:color="000000"/>
            </w:tcBorders>
          </w:tcPr>
          <w:p>
            <w:pPr>
              <w:autoSpaceDE w:val="0"/>
              <w:autoSpaceDN w:val="0"/>
              <w:jc w:val="left"/>
              <w:spacing w:before="25" w:after="0" w:lineRule="exact" w:line="188"/>
              <w:ind w:right="0" w:left="147"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665"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31" w:after="0" w:lineRule="auto" w:line="240"/>
              <w:ind w:right="0" w:left="11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17.04</w:t>
            </w:r>
          </w:p>
        </w:tc>
        <w:tc>
          <w:tcPr>
            <w:tcW w:w="2664"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1" w:after="0" w:lineRule="auto" w:line="240"/>
              <w:ind w:right="0" w:left="11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18.02</w:t>
            </w:r>
          </w:p>
        </w:tc>
      </w:tr>
    </w:tbl>
    <w:p>
      <w:pPr>
        <w:autoSpaceDE w:val="0"/>
        <w:autoSpaceDN w:val="0"/>
        <w:jc w:val="left"/>
        <w:spacing w:before="352"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医学科学部</w:t>
      </w:r>
    </w:p>
    <w:p>
      <w:pPr>
        <w:autoSpaceDE w:val="0"/>
        <w:autoSpaceDN w:val="0"/>
        <w:jc w:val="both"/>
        <w:spacing w:before="279" w:after="0" w:lineRule="exact" w:line="312"/>
        <w:ind w:right="967" w:left="966" w:firstLine="420"/>
        <w:snapToGrid w:val="0"/>
        <w:textAlignment w:val="auto"/>
        <w:tabs/>
        <w:rPr>
          <w:rFonts w:ascii="宋体" w:hAnsi="宋体" w:cs="宋体" w:eastAsia="宋体" w:hint="ascii"/>
          <w:sz w:val="21"/>
        </w:rPr>
      </w:pPr>
      <w:r>
        <w:rPr>
          <w:rFonts w:ascii="宋体" w:hAnsi="宋体" w:cs="宋体" w:eastAsia="宋体" w:hint="ascii"/>
          <w:sz w:val="21"/>
        </w:rPr>
        <w:t>医学科学部主要资助针对疾病的发生、发展、转归、诊断、治疗和预防等开展的基础研究和临床基础研究。</w:t>
      </w:r>
    </w:p>
    <w:p>
      <w:pPr>
        <w:autoSpaceDE w:val="0"/>
        <w:autoSpaceDN w:val="0"/>
        <w:jc w:val="left"/>
        <w:spacing w:before="40" w:after="0" w:lineRule="exact" w:line="263"/>
        <w:ind w:right="0" w:left="1370" w:firstLine="0"/>
        <w:snapToGrid w:val="0"/>
        <w:textAlignment w:val="auto"/>
        <w:tabs/>
        <w:rPr>
          <w:rFonts w:ascii="宋体" w:hAnsi="宋体" w:cs="宋体" w:eastAsia="宋体" w:hint="ascii"/>
          <w:sz w:val="21"/>
        </w:rPr>
      </w:pPr>
      <w:r>
        <w:rPr>
          <w:rFonts w:ascii="宋体" w:hAnsi="宋体" w:cs="宋体" w:eastAsia="宋体" w:hint="ascii"/>
          <w:sz w:val="21"/>
          <w:spacing w:val="-2"/>
        </w:rPr>
        <w:t>欢迎符合</w:t>
      </w:r>
      <w:r>
        <w:rPr>
          <w:rFonts w:ascii="宋体" w:hAnsi="宋体" w:cs="宋体" w:eastAsia="宋体" w:hint="ascii"/>
          <w:sz w:val="21"/>
          <w:spacing w:val="-3"/>
        </w:rPr>
        <w:t>条</w:t>
      </w:r>
      <w:r>
        <w:rPr>
          <w:rFonts w:ascii="宋体" w:hAnsi="宋体" w:cs="宋体" w:eastAsia="宋体" w:hint="ascii"/>
          <w:sz w:val="21"/>
          <w:spacing w:val="-2"/>
        </w:rPr>
        <w:t>件的青年</w:t>
      </w:r>
      <w:r>
        <w:rPr>
          <w:rFonts w:ascii="宋体" w:hAnsi="宋体" w:cs="宋体" w:eastAsia="宋体" w:hint="ascii"/>
          <w:sz w:val="21"/>
          <w:spacing w:val="-3"/>
        </w:rPr>
        <w:t>科</w:t>
      </w:r>
      <w:r>
        <w:rPr>
          <w:rFonts w:ascii="宋体" w:hAnsi="宋体" w:cs="宋体" w:eastAsia="宋体" w:hint="ascii"/>
          <w:sz w:val="21"/>
          <w:spacing w:val="-2"/>
        </w:rPr>
        <w:t>学工作者</w:t>
      </w:r>
      <w:r>
        <w:rPr>
          <w:rFonts w:ascii="宋体" w:hAnsi="宋体" w:cs="宋体" w:eastAsia="宋体" w:hint="ascii"/>
          <w:sz w:val="21"/>
          <w:spacing w:val="-3"/>
        </w:rPr>
        <w:t>向</w:t>
      </w:r>
      <w:r>
        <w:rPr>
          <w:rFonts w:ascii="宋体" w:hAnsi="宋体" w:cs="宋体" w:eastAsia="宋体" w:hint="ascii"/>
          <w:sz w:val="21"/>
          <w:spacing w:val="-2"/>
        </w:rPr>
        <w:t>医学科学</w:t>
      </w:r>
      <w:r>
        <w:rPr>
          <w:rFonts w:ascii="宋体" w:hAnsi="宋体" w:cs="宋体" w:eastAsia="宋体" w:hint="ascii"/>
          <w:sz w:val="21"/>
          <w:spacing w:val="-3"/>
        </w:rPr>
        <w:t>部</w:t>
      </w:r>
      <w:r>
        <w:rPr>
          <w:rFonts w:ascii="宋体" w:hAnsi="宋体" w:cs="宋体" w:eastAsia="宋体" w:hint="ascii"/>
          <w:sz w:val="21"/>
          <w:spacing w:val="-2"/>
        </w:rPr>
        <w:t>提出申请</w:t>
      </w:r>
      <w:r>
        <w:rPr>
          <w:rFonts w:ascii="宋体" w:hAnsi="宋体" w:cs="宋体" w:eastAsia="宋体" w:hint="ascii"/>
          <w:sz w:val="21"/>
          <w:spacing w:val="-3"/>
        </w:rPr>
        <w:t>。</w:t>
      </w:r>
      <w:r>
        <w:rPr>
          <w:rFonts w:ascii="宋体" w:hAnsi="宋体" w:cs="宋体" w:eastAsia="宋体" w:hint="ascii"/>
          <w:sz w:val="21"/>
          <w:spacing w:val="-2"/>
        </w:rPr>
        <w:t>青年科学</w:t>
      </w:r>
      <w:r>
        <w:rPr>
          <w:rFonts w:ascii="宋体" w:hAnsi="宋体" w:cs="宋体" w:eastAsia="宋体" w:hint="ascii"/>
          <w:sz w:val="21"/>
          <w:spacing w:val="-3"/>
        </w:rPr>
        <w:t>基</w:t>
      </w:r>
      <w:r>
        <w:rPr>
          <w:rFonts w:ascii="宋体" w:hAnsi="宋体" w:cs="宋体" w:eastAsia="宋体" w:hint="ascii"/>
          <w:sz w:val="21"/>
          <w:spacing w:val="-2"/>
        </w:rPr>
        <w:t>金项目要</w:t>
      </w:r>
      <w:r>
        <w:rPr>
          <w:rFonts w:ascii="宋体" w:hAnsi="宋体" w:cs="宋体" w:eastAsia="宋体" w:hint="ascii"/>
          <w:sz w:val="21"/>
          <w:spacing w:val="-3"/>
        </w:rPr>
        <w:t>求申</w:t>
      </w:r>
      <w:r>
        <w:rPr>
          <w:rFonts w:ascii="宋体" w:hAnsi="宋体" w:cs="宋体" w:eastAsia="宋体" w:hint="ascii"/>
          <w:sz w:val="21"/>
        </w:rPr>
        <w:t>请</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人具</w:t>
      </w:r>
      <w:r>
        <w:rPr>
          <w:rFonts w:ascii="宋体" w:hAnsi="宋体" w:cs="宋体" w:eastAsia="宋体" w:hint="ascii"/>
          <w:sz w:val="21"/>
          <w:spacing w:val="-3"/>
        </w:rPr>
        <w:t>备</w:t>
      </w:r>
      <w:r>
        <w:rPr>
          <w:rFonts w:ascii="宋体" w:hAnsi="宋体" w:cs="宋体" w:eastAsia="宋体" w:hint="ascii"/>
          <w:sz w:val="21"/>
          <w:spacing w:val="-2"/>
        </w:rPr>
        <w:t>独</w:t>
      </w:r>
      <w:r>
        <w:rPr>
          <w:rFonts w:ascii="宋体" w:hAnsi="宋体" w:cs="宋体" w:eastAsia="宋体" w:hint="ascii"/>
          <w:sz w:val="21"/>
          <w:spacing w:val="-3"/>
        </w:rPr>
        <w:t>立</w:t>
      </w:r>
      <w:r>
        <w:rPr>
          <w:rFonts w:ascii="宋体" w:hAnsi="宋体" w:cs="宋体" w:eastAsia="宋体" w:hint="ascii"/>
          <w:sz w:val="21"/>
          <w:spacing w:val="-2"/>
        </w:rPr>
        <w:t>承担</w:t>
      </w:r>
      <w:r>
        <w:rPr>
          <w:rFonts w:ascii="宋体" w:hAnsi="宋体" w:cs="宋体" w:eastAsia="宋体" w:hint="ascii"/>
          <w:sz w:val="21"/>
          <w:spacing w:val="-3"/>
        </w:rPr>
        <w:t>和</w:t>
      </w:r>
      <w:r>
        <w:rPr>
          <w:rFonts w:ascii="宋体" w:hAnsi="宋体" w:cs="宋体" w:eastAsia="宋体" w:hint="ascii"/>
          <w:sz w:val="21"/>
          <w:spacing w:val="-2"/>
        </w:rPr>
        <w:t>完</w:t>
      </w:r>
      <w:r>
        <w:rPr>
          <w:rFonts w:ascii="宋体" w:hAnsi="宋体" w:cs="宋体" w:eastAsia="宋体" w:hint="ascii"/>
          <w:sz w:val="21"/>
          <w:spacing w:val="-3"/>
        </w:rPr>
        <w:t>成</w:t>
      </w:r>
      <w:r>
        <w:rPr>
          <w:rFonts w:ascii="宋体" w:hAnsi="宋体" w:cs="宋体" w:eastAsia="宋体" w:hint="ascii"/>
          <w:sz w:val="21"/>
          <w:spacing w:val="-2"/>
        </w:rPr>
        <w:t>项目</w:t>
      </w:r>
      <w:r>
        <w:rPr>
          <w:rFonts w:ascii="宋体" w:hAnsi="宋体" w:cs="宋体" w:eastAsia="宋体" w:hint="ascii"/>
          <w:sz w:val="21"/>
          <w:spacing w:val="-3"/>
        </w:rPr>
        <w:t>的</w:t>
      </w:r>
      <w:r>
        <w:rPr>
          <w:rFonts w:ascii="宋体" w:hAnsi="宋体" w:cs="宋体" w:eastAsia="宋体" w:hint="ascii"/>
          <w:sz w:val="21"/>
          <w:spacing w:val="-2"/>
        </w:rPr>
        <w:t>能</w:t>
      </w:r>
      <w:r>
        <w:rPr>
          <w:rFonts w:ascii="宋体" w:hAnsi="宋体" w:cs="宋体" w:eastAsia="宋体" w:hint="ascii"/>
          <w:sz w:val="21"/>
          <w:spacing w:val="-3"/>
        </w:rPr>
        <w:t>力</w:t>
      </w:r>
      <w:r>
        <w:rPr>
          <w:rFonts w:ascii="宋体" w:hAnsi="宋体" w:cs="宋体" w:eastAsia="宋体" w:hint="ascii"/>
          <w:sz w:val="21"/>
          <w:spacing w:val="-2"/>
        </w:rPr>
        <w:t>，强</w:t>
      </w:r>
      <w:r>
        <w:rPr>
          <w:rFonts w:ascii="宋体" w:hAnsi="宋体" w:cs="宋体" w:eastAsia="宋体" w:hint="ascii"/>
          <w:sz w:val="21"/>
          <w:spacing w:val="-3"/>
        </w:rPr>
        <w:t>调</w:t>
      </w:r>
      <w:r>
        <w:rPr>
          <w:rFonts w:ascii="宋体" w:hAnsi="宋体" w:cs="宋体" w:eastAsia="宋体" w:hint="ascii"/>
          <w:sz w:val="21"/>
          <w:spacing w:val="-2"/>
        </w:rPr>
        <w:t>申</w:t>
      </w:r>
      <w:r>
        <w:rPr>
          <w:rFonts w:ascii="宋体" w:hAnsi="宋体" w:cs="宋体" w:eastAsia="宋体" w:hint="ascii"/>
          <w:sz w:val="21"/>
          <w:spacing w:val="-3"/>
        </w:rPr>
        <w:t>请</w:t>
      </w:r>
      <w:r>
        <w:rPr>
          <w:rFonts w:ascii="宋体" w:hAnsi="宋体" w:cs="宋体" w:eastAsia="宋体" w:hint="ascii"/>
          <w:sz w:val="21"/>
          <w:spacing w:val="-2"/>
        </w:rPr>
        <w:t>人能</w:t>
      </w:r>
      <w:r>
        <w:rPr>
          <w:rFonts w:ascii="宋体" w:hAnsi="宋体" w:cs="宋体" w:eastAsia="宋体" w:hint="ascii"/>
          <w:sz w:val="21"/>
          <w:spacing w:val="-3"/>
        </w:rPr>
        <w:t>够</w:t>
      </w:r>
      <w:r>
        <w:rPr>
          <w:rFonts w:ascii="宋体" w:hAnsi="宋体" w:cs="宋体" w:eastAsia="宋体" w:hint="ascii"/>
          <w:sz w:val="21"/>
          <w:spacing w:val="-2"/>
        </w:rPr>
        <w:t>提</w:t>
      </w:r>
      <w:r>
        <w:rPr>
          <w:rFonts w:ascii="宋体" w:hAnsi="宋体" w:cs="宋体" w:eastAsia="宋体" w:hint="ascii"/>
          <w:sz w:val="21"/>
          <w:spacing w:val="-3"/>
        </w:rPr>
        <w:t>出</w:t>
      </w:r>
      <w:r>
        <w:rPr>
          <w:rFonts w:ascii="宋体" w:hAnsi="宋体" w:cs="宋体" w:eastAsia="宋体" w:hint="ascii"/>
          <w:sz w:val="21"/>
          <w:spacing w:val="-2"/>
        </w:rPr>
        <w:t>有创</w:t>
      </w:r>
      <w:r>
        <w:rPr>
          <w:rFonts w:ascii="宋体" w:hAnsi="宋体" w:cs="宋体" w:eastAsia="宋体" w:hint="ascii"/>
          <w:sz w:val="21"/>
          <w:spacing w:val="-3"/>
        </w:rPr>
        <w:t>新</w:t>
      </w:r>
      <w:r>
        <w:rPr>
          <w:rFonts w:ascii="宋体" w:hAnsi="宋体" w:cs="宋体" w:eastAsia="宋体" w:hint="ascii"/>
          <w:sz w:val="21"/>
          <w:spacing w:val="-2"/>
        </w:rPr>
        <w:t>性</w:t>
      </w:r>
      <w:r>
        <w:rPr>
          <w:rFonts w:ascii="宋体" w:hAnsi="宋体" w:cs="宋体" w:eastAsia="宋体" w:hint="ascii"/>
          <w:sz w:val="21"/>
          <w:spacing w:val="-3"/>
        </w:rPr>
        <w:t>的</w:t>
      </w:r>
      <w:r>
        <w:rPr>
          <w:rFonts w:ascii="宋体" w:hAnsi="宋体" w:cs="宋体" w:eastAsia="宋体" w:hint="ascii"/>
          <w:sz w:val="21"/>
          <w:spacing w:val="-2"/>
        </w:rPr>
        <w:t>科学</w:t>
      </w:r>
      <w:r>
        <w:rPr>
          <w:rFonts w:ascii="宋体" w:hAnsi="宋体" w:cs="宋体" w:eastAsia="宋体" w:hint="ascii"/>
          <w:sz w:val="21"/>
          <w:spacing w:val="-3"/>
        </w:rPr>
        <w:t>问</w:t>
      </w:r>
      <w:r>
        <w:rPr>
          <w:rFonts w:ascii="宋体" w:hAnsi="宋体" w:cs="宋体" w:eastAsia="宋体" w:hint="ascii"/>
          <w:sz w:val="21"/>
          <w:spacing w:val="-2"/>
        </w:rPr>
        <w:t>题</w:t>
      </w:r>
      <w:r>
        <w:rPr>
          <w:rFonts w:ascii="宋体" w:hAnsi="宋体" w:cs="宋体" w:eastAsia="宋体" w:hint="ascii"/>
          <w:sz w:val="21"/>
          <w:spacing w:val="-3"/>
        </w:rPr>
        <w:t>和有</w:t>
      </w:r>
      <w:r>
        <w:rPr>
          <w:rFonts w:ascii="宋体" w:hAnsi="宋体" w:cs="宋体" w:eastAsia="宋体" w:hint="ascii"/>
          <w:sz w:val="21"/>
          <w:spacing w:val="-2"/>
        </w:rPr>
        <w:t>针</w:t>
      </w:r>
      <w:r>
        <w:rPr>
          <w:rFonts w:ascii="宋体" w:hAnsi="宋体" w:cs="宋体" w:eastAsia="宋体" w:hint="ascii"/>
          <w:sz w:val="21"/>
          <w:spacing w:val="-3"/>
        </w:rPr>
        <w:t>对</w:t>
      </w:r>
      <w:r>
        <w:rPr>
          <w:rFonts w:ascii="宋体" w:hAnsi="宋体" w:cs="宋体" w:eastAsia="宋体" w:hint="ascii"/>
          <w:sz w:val="21"/>
        </w:rPr>
        <w:t>性</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的研究</w:t>
      </w:r>
      <w:r>
        <w:rPr>
          <w:rFonts w:ascii="宋体" w:hAnsi="宋体" w:cs="宋体" w:eastAsia="宋体" w:hint="ascii"/>
          <w:sz w:val="21"/>
          <w:spacing w:val="-3"/>
        </w:rPr>
        <w:t>方案</w:t>
      </w:r>
      <w:r>
        <w:rPr>
          <w:rFonts w:ascii="宋体" w:hAnsi="宋体" w:cs="宋体" w:eastAsia="宋体" w:hint="ascii"/>
          <w:sz w:val="21"/>
          <w:spacing w:val="-2"/>
        </w:rPr>
        <w:t>。</w:t>
      </w:r>
      <w:r>
        <w:rPr>
          <w:rFonts w:ascii="宋体" w:hAnsi="宋体" w:cs="宋体" w:eastAsia="宋体" w:hint="ascii"/>
          <w:sz w:val="21"/>
          <w:spacing w:val="-2"/>
        </w:rPr>
        <w:t>申请</w:t>
      </w:r>
      <w:r>
        <w:rPr>
          <w:rFonts w:ascii="宋体" w:hAnsi="宋体" w:cs="宋体" w:eastAsia="宋体" w:hint="ascii"/>
          <w:sz w:val="21"/>
          <w:spacing w:val="-3"/>
        </w:rPr>
        <w:t>人需</w:t>
      </w:r>
      <w:r>
        <w:rPr>
          <w:rFonts w:ascii="宋体" w:hAnsi="宋体" w:cs="宋体" w:eastAsia="宋体" w:hint="ascii"/>
          <w:sz w:val="21"/>
          <w:spacing w:val="-2"/>
        </w:rPr>
        <w:t>在提交</w:t>
      </w:r>
      <w:r>
        <w:rPr>
          <w:rFonts w:ascii="宋体" w:hAnsi="宋体" w:cs="宋体" w:eastAsia="宋体" w:hint="ascii"/>
          <w:sz w:val="21"/>
          <w:spacing w:val="-3"/>
        </w:rPr>
        <w:t>的电</w:t>
      </w:r>
      <w:r>
        <w:rPr>
          <w:rFonts w:ascii="宋体" w:hAnsi="宋体" w:cs="宋体" w:eastAsia="宋体" w:hint="ascii"/>
          <w:sz w:val="21"/>
          <w:spacing w:val="-2"/>
        </w:rPr>
        <w:t>子版申</w:t>
      </w:r>
      <w:r>
        <w:rPr>
          <w:rFonts w:ascii="宋体" w:hAnsi="宋体" w:cs="宋体" w:eastAsia="宋体" w:hint="ascii"/>
          <w:sz w:val="21"/>
          <w:spacing w:val="-3"/>
        </w:rPr>
        <w:t>请书</w:t>
      </w:r>
      <w:r>
        <w:rPr>
          <w:rFonts w:ascii="宋体" w:hAnsi="宋体" w:cs="宋体" w:eastAsia="宋体" w:hint="ascii"/>
          <w:sz w:val="21"/>
          <w:spacing w:val="-2"/>
        </w:rPr>
        <w:t>附件中</w:t>
      </w:r>
      <w:r>
        <w:rPr>
          <w:rFonts w:ascii="宋体" w:hAnsi="宋体" w:cs="宋体" w:eastAsia="宋体" w:hint="ascii"/>
          <w:sz w:val="21"/>
          <w:spacing w:val="-3"/>
        </w:rPr>
        <w:t>提供</w:t>
      </w:r>
      <w:r>
        <w:rPr>
          <w:rFonts w:ascii="宋体" w:hAnsi="宋体" w:cs="宋体" w:eastAsia="宋体" w:hint="ascii"/>
          <w:sz w:val="21"/>
          <w:spacing w:val="-2"/>
        </w:rPr>
        <w:t>不超</w:t>
      </w:r>
      <w:r>
        <w:rPr>
          <w:rFonts w:ascii="宋体" w:hAnsi="宋体" w:cs="宋体" w:eastAsia="宋体" w:hint="ascii"/>
          <w:sz w:val="21"/>
          <w:spacing w:val="22"/>
        </w:rPr>
        <w:t>过</w:t>
      </w:r>
      <w:r>
        <w:rPr>
          <w:rFonts w:ascii="Times New Roman" w:hAnsi="Times New Roman" w:cs="Times New Roman" w:eastAsia="Times New Roman" w:hint="ascii"/>
          <w:b w:val="1"/>
          <w:sz w:val="21"/>
          <w:spacing w:val="46"/>
        </w:rPr>
        <w:t>5</w:t>
      </w:r>
      <w:r>
        <w:rPr>
          <w:rFonts w:ascii="宋体" w:hAnsi="宋体" w:cs="宋体" w:eastAsia="宋体" w:hint="ascii"/>
          <w:sz w:val="21"/>
          <w:spacing w:val="-2"/>
        </w:rPr>
        <w:t>篇与申请项</w:t>
      </w:r>
      <w:r>
        <w:rPr>
          <w:rFonts w:ascii="宋体" w:hAnsi="宋体" w:cs="宋体" w:eastAsia="宋体" w:hint="ascii"/>
          <w:sz w:val="21"/>
          <w:spacing w:val="-3"/>
        </w:rPr>
        <w:t>目相</w:t>
      </w:r>
      <w:r>
        <w:rPr>
          <w:rFonts w:ascii="宋体" w:hAnsi="宋体" w:cs="宋体" w:eastAsia="宋体" w:hint="ascii"/>
          <w:sz w:val="21"/>
          <w:spacing w:val="-2"/>
        </w:rPr>
        <w:t>关的</w:t>
      </w:r>
      <w:r>
        <w:rPr>
          <w:rFonts w:ascii="宋体" w:hAnsi="宋体" w:cs="宋体" w:eastAsia="宋体" w:hint="ascii"/>
          <w:sz w:val="21"/>
        </w:rPr>
        <w:t>代</w:t>
      </w:r>
    </w:p>
    <w:p>
      <w:pPr>
        <w:autoSpaceDE w:val="0"/>
        <w:autoSpaceDN w:val="0"/>
        <w:jc w:val="both"/>
        <w:spacing w:before="10" w:after="0" w:lineRule="exact" w:line="312"/>
        <w:ind w:right="967" w:left="966" w:firstLine="0"/>
        <w:snapToGrid w:val="0"/>
        <w:textAlignment w:val="auto"/>
        <w:tabs/>
        <w:rPr>
          <w:rFonts w:ascii="宋体" w:hAnsi="宋体" w:cs="宋体" w:eastAsia="宋体" w:hint="ascii"/>
          <w:sz w:val="21"/>
        </w:rPr>
      </w:pPr>
      <w:r>
        <w:rPr>
          <w:rFonts w:ascii="宋体" w:hAnsi="宋体" w:cs="宋体" w:eastAsia="宋体" w:hint="ascii"/>
          <w:sz w:val="21"/>
          <w:spacing w:val="-4"/>
        </w:rPr>
        <w:t>表性论著</w:t>
      </w:r>
      <w:r>
        <w:rPr>
          <w:rFonts w:ascii="宋体" w:hAnsi="宋体" w:cs="宋体" w:eastAsia="宋体" w:hint="ascii"/>
          <w:sz w:val="21"/>
          <w:spacing w:val="20"/>
        </w:rPr>
        <w:t>的</w:t>
      </w:r>
      <w:r>
        <w:rPr>
          <w:rFonts w:ascii="Times New Roman" w:hAnsi="Times New Roman" w:cs="Times New Roman" w:eastAsia="Times New Roman" w:hint="ascii"/>
          <w:b w:val="1"/>
          <w:sz w:val="21"/>
          <w:spacing w:val="-6"/>
        </w:rPr>
        <w:t>PD</w:t>
      </w:r>
      <w:r>
        <w:rPr>
          <w:rFonts w:ascii="Times New Roman" w:hAnsi="Times New Roman" w:cs="Times New Roman" w:eastAsia="Times New Roman" w:hint="ascii"/>
          <w:b w:val="1"/>
          <w:sz w:val="21"/>
          <w:spacing w:val="46"/>
        </w:rPr>
        <w:t>F</w:t>
      </w:r>
      <w:r>
        <w:rPr>
          <w:rFonts w:ascii="宋体" w:hAnsi="宋体" w:cs="宋体" w:eastAsia="宋体" w:hint="ascii"/>
          <w:sz w:val="21"/>
          <w:spacing w:val="-4"/>
        </w:rPr>
        <w:t>格式文</w:t>
      </w:r>
      <w:r>
        <w:rPr>
          <w:rFonts w:ascii="宋体" w:hAnsi="宋体" w:cs="宋体" w:eastAsia="宋体" w:hint="ascii"/>
          <w:sz w:val="21"/>
          <w:spacing w:val="-5"/>
        </w:rPr>
        <w:t>件</w:t>
      </w:r>
      <w:r>
        <w:rPr>
          <w:rFonts w:ascii="宋体" w:hAnsi="宋体" w:cs="宋体" w:eastAsia="宋体" w:hint="ascii"/>
          <w:sz w:val="21"/>
          <w:spacing w:val="-4"/>
        </w:rPr>
        <w:t>（仅附申请人的代表作</w:t>
      </w:r>
      <w:r>
        <w:rPr>
          <w:rFonts w:ascii="宋体" w:hAnsi="宋体" w:cs="宋体" w:eastAsia="宋体" w:hint="ascii"/>
          <w:sz w:val="21"/>
          <w:spacing w:val="-55"/>
        </w:rPr>
        <w:t>）</w:t>
      </w:r>
      <w:r>
        <w:rPr>
          <w:rFonts w:ascii="宋体" w:hAnsi="宋体" w:cs="宋体" w:eastAsia="宋体" w:hint="ascii"/>
          <w:sz w:val="21"/>
          <w:spacing w:val="-4"/>
        </w:rPr>
        <w:t>。其他具体申请事项请参照</w:t>
      </w:r>
      <w:r>
        <w:rPr>
          <w:rFonts w:ascii="宋体" w:hAnsi="宋体" w:cs="宋体" w:eastAsia="宋体" w:hint="ascii"/>
          <w:sz w:val="21"/>
          <w:spacing w:val="-3"/>
        </w:rPr>
        <w:t>本《指南</w:t>
      </w:r>
      <w:r>
        <w:rPr>
          <w:rFonts w:ascii="宋体" w:hAnsi="宋体" w:cs="宋体" w:eastAsia="宋体" w:hint="ascii"/>
          <w:sz w:val="21"/>
          <w:spacing w:val="-1"/>
        </w:rPr>
        <w:t>》</w:t>
      </w:r>
      <w:r>
        <w:rPr>
          <w:rFonts w:ascii="宋体" w:hAnsi="宋体" w:cs="宋体" w:eastAsia="宋体" w:hint="ascii"/>
          <w:sz w:val="21"/>
        </w:rPr>
        <w:t xml:space="preserve"> </w:t>
      </w:r>
      <w:r>
        <w:rPr>
          <w:rFonts w:ascii="宋体" w:hAnsi="宋体" w:cs="宋体" w:eastAsia="宋体" w:hint="ascii"/>
          <w:sz w:val="21"/>
          <w:spacing w:val="-4"/>
        </w:rPr>
        <w:t>中青年科学基金项目的总论部分和医学科学部面上项目总论部分及各科学处的有关要求</w:t>
      </w:r>
      <w:r>
        <w:rPr>
          <w:rFonts w:ascii="宋体" w:hAnsi="宋体" w:cs="宋体" w:eastAsia="宋体" w:hint="ascii"/>
          <w:sz w:val="21"/>
        </w:rPr>
        <w:t>。</w:t>
      </w:r>
    </w:p>
    <w:p>
      <w:pPr>
        <w:autoSpaceDE w:val="0"/>
        <w:autoSpaceDN w:val="0"/>
        <w:jc w:val="both"/>
        <w:spacing w:before="0" w:after="0" w:lineRule="exact" w:line="312"/>
        <w:ind w:right="967" w:left="966" w:firstLine="420"/>
        <w:snapToGrid w:val="0"/>
        <w:textAlignment w:val="auto"/>
        <w:tabs/>
        <w:rPr>
          <w:rFonts w:ascii="宋体" w:hAnsi="宋体" w:cs="宋体" w:eastAsia="宋体" w:hint="ascii"/>
          <w:sz w:val="21"/>
        </w:rPr>
      </w:pPr>
      <w:r>
        <w:rPr>
          <w:rFonts w:ascii="宋体" w:hAnsi="宋体" w:cs="宋体" w:eastAsia="宋体" w:hint="ascii"/>
          <w:sz w:val="21"/>
        </w:rPr>
        <w:t>随着国家对基础研究投入的不断加大，青年科学基金项目的资助数量不断提高，资助强度基本稳定。</w:t>
      </w:r>
    </w:p>
    <w:p>
      <w:pPr>
        <w:autoSpaceDE w:val="0"/>
        <w:autoSpaceDN w:val="0"/>
        <w:jc w:val="both"/>
        <w:spacing w:before="0" w:after="0" w:lineRule="exact" w:line="312"/>
        <w:ind w:right="967" w:left="966" w:firstLine="420"/>
        <w:snapToGrid w:val="0"/>
        <w:textAlignment w:val="auto"/>
        <w:tabs/>
        <w:rPr>
          <w:rFonts w:ascii="宋体" w:hAnsi="宋体" w:cs="宋体" w:eastAsia="宋体" w:hint="ascii"/>
          <w:sz w:val="21"/>
        </w:rPr>
      </w:pPr>
      <w:r>
        <w:rPr>
          <w:rFonts w:ascii="宋体" w:hAnsi="宋体" w:cs="宋体" w:eastAsia="宋体" w:hint="ascii"/>
          <w:sz w:val="21"/>
        </w:rPr>
        <w:t>各科学处资助范围以及资助情况请参见“医学科学部青年科学基金项目近两年资助情况一览表</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167"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医学科学部青年科学基金项目近两年资助情况一览表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5" w:type="dxa"/>
        <w:jc w:val="left"/>
        <w:tblInd w:w="966"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794"/>
        <w:gridCol w:w="1871"/>
        <w:gridCol w:w="794"/>
        <w:gridCol w:w="793"/>
        <w:gridCol w:w="1078"/>
        <w:gridCol w:w="793"/>
        <w:gridCol w:w="795"/>
        <w:gridCol w:w="1077"/>
      </w:tblGrid>
      <w:tr>
        <w:trPr>
          <w:trHeight w:val="238" w:hRule="exact"/>
          <w:cantSplit w:val="1"/>
        </w:trPr>
        <w:tc>
          <w:tcPr>
            <w:tcW w:w="2665" w:type="dxa"/>
            <w:gridSpan w:val="2"/>
            <w:vAlign w:val="top"/>
            <w:vMerge w:val="restart"/>
            <w:tcMar/>
            <w:tcBorders/>
          </w:tcPr>
          <w:p>
            <w:pPr>
              <w:autoSpaceDE w:val="0"/>
              <w:autoSpaceDN w:val="0"/>
              <w:jc w:val="left"/>
              <w:spacing w:before="214" w:after="0" w:lineRule="exact" w:line="188"/>
              <w:ind w:right="0" w:left="1098"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665" w:type="dxa"/>
            <w:gridSpan w:val="3"/>
            <w:vAlign w:val="top"/>
            <w:tcMar/>
            <w:tcBorders>
              <w:left w:val="single" w:sz="4" w:space="0" w:color="000000"/>
            </w:tcBorders>
          </w:tcPr>
          <w:p>
            <w:pPr>
              <w:autoSpaceDE w:val="0"/>
              <w:autoSpaceDN w:val="0"/>
              <w:jc w:val="left"/>
              <w:spacing w:before="0" w:after="0" w:lineRule="auto" w:line="240"/>
              <w:ind w:right="0" w:left="1009" w:firstLine="0"/>
              <w:snapToGrid w:val="0"/>
              <w:textAlignment w:val="auto"/>
              <w:tabs>
                <w:tab w:val="left" w:leader="none" w:pos="1352"/>
              </w:tabs>
              <w:numPr>
                <w:ilvl w:val="0"/>
                <w:numId w:val="227"/>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665" w:type="dxa"/>
            <w:gridSpan w:val="3"/>
            <w:vAlign w:val="top"/>
            <w:tcMar/>
            <w:tcBorders>
              <w:left w:val="single" w:sz="4" w:space="0" w:color="000000"/>
              <w:right w:val="single" w:sz="8" w:space="0" w:color="000000"/>
            </w:tcBorders>
          </w:tcPr>
          <w:p>
            <w:pPr>
              <w:autoSpaceDE w:val="0"/>
              <w:autoSpaceDN w:val="0"/>
              <w:jc w:val="left"/>
              <w:spacing w:before="0" w:after="0" w:lineRule="auto" w:line="240"/>
              <w:ind w:right="0" w:left="1009" w:firstLine="0"/>
              <w:snapToGrid w:val="0"/>
              <w:textAlignment w:val="auto"/>
              <w:tabs>
                <w:tab w:val="left" w:leader="none" w:pos="1352"/>
              </w:tabs>
              <w:numPr>
                <w:ilvl w:val="0"/>
                <w:numId w:val="227"/>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27" w:hRule="exact"/>
          <w:cantSplit w:val="1"/>
        </w:trPr>
        <w:tc>
          <w:tcPr>
            <w:tcW w:w="2665"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94"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8"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5"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481" w:hRule="exact"/>
          <w:cantSplit w:val="1"/>
        </w:trPr>
        <w:tc>
          <w:tcPr>
            <w:tcW w:w="794" w:type="dxa"/>
            <w:gridSpan w:val="1"/>
            <w:vAlign w:val="top"/>
            <w:tcMar/>
            <w:tcBorders>
              <w:top w:val="single" w:sz="4" w:space="0" w:color="000000"/>
            </w:tcBorders>
          </w:tcPr>
          <w:p>
            <w:pPr>
              <w:autoSpaceDE w:val="0"/>
              <w:autoSpaceDN w:val="0"/>
              <w:jc w:val="left"/>
              <w:spacing w:before="125"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871"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105" w:firstLine="0"/>
              <w:snapToGrid w:val="0"/>
              <w:textAlignment w:val="auto"/>
              <w:tabs/>
              <w:rPr>
                <w:rFonts w:ascii="宋体" w:hAnsi="宋体" w:cs="宋体" w:eastAsia="宋体" w:hint="ascii"/>
                <w:sz w:val="15"/>
              </w:rPr>
            </w:pPr>
            <w:r>
              <w:rPr>
                <w:rFonts w:ascii="宋体" w:hAnsi="宋体" w:cs="宋体" w:eastAsia="宋体" w:hint="ascii"/>
                <w:sz w:val="15"/>
              </w:rPr>
              <w:t>呼吸系统疾病、循环系统</w:t>
            </w:r>
          </w:p>
          <w:p>
            <w:pPr>
              <w:autoSpaceDE w:val="0"/>
              <w:autoSpaceDN w:val="0"/>
              <w:jc w:val="left"/>
              <w:spacing w:before="7" w:after="0" w:lineRule="exact" w:line="188"/>
              <w:ind w:right="0" w:left="255" w:firstLine="0"/>
              <w:snapToGrid w:val="0"/>
              <w:textAlignment w:val="auto"/>
              <w:tabs/>
              <w:rPr>
                <w:rFonts w:ascii="宋体" w:hAnsi="宋体" w:cs="宋体" w:eastAsia="宋体" w:hint="ascii"/>
                <w:sz w:val="15"/>
              </w:rPr>
            </w:pPr>
            <w:r>
              <w:rPr>
                <w:rFonts w:ascii="宋体" w:hAnsi="宋体" w:cs="宋体" w:eastAsia="宋体" w:hint="ascii"/>
                <w:sz w:val="15"/>
              </w:rPr>
              <w:t>疾病、血液系统疾病</w:t>
            </w:r>
          </w:p>
        </w:tc>
        <w:tc>
          <w:tcPr>
            <w:tcW w:w="794" w:type="dxa"/>
            <w:gridSpan w:val="1"/>
            <w:vAlign w:val="top"/>
            <w:tcMar/>
            <w:tcBorders>
              <w:left w:val="single" w:sz="4" w:space="0" w:color="000000"/>
              <w:top w:val="single" w:sz="4" w:space="0" w:color="000000"/>
            </w:tcBorders>
          </w:tcPr>
          <w:p>
            <w:pPr>
              <w:autoSpaceDE w:val="0"/>
              <w:autoSpaceDN w:val="0"/>
              <w:jc w:val="left"/>
              <w:spacing w:before="1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397</w:t>
            </w:r>
          </w:p>
        </w:tc>
        <w:tc>
          <w:tcPr>
            <w:tcW w:w="793" w:type="dxa"/>
            <w:gridSpan w:val="1"/>
            <w:vAlign w:val="top"/>
            <w:tcMar/>
            <w:tcBorders>
              <w:left w:val="single" w:sz="4" w:space="0" w:color="000000"/>
              <w:top w:val="single" w:sz="4" w:space="0" w:color="000000"/>
            </w:tcBorders>
          </w:tcPr>
          <w:p>
            <w:pPr>
              <w:autoSpaceDE w:val="0"/>
              <w:autoSpaceDN w:val="0"/>
              <w:jc w:val="left"/>
              <w:spacing w:before="131" w:after="0" w:lineRule="auto" w:line="240"/>
              <w:ind w:right="0" w:left="223" w:firstLine="0"/>
              <w:snapToGrid w:val="0"/>
              <w:textAlignment w:val="auto"/>
              <w:tabs>
                <w:tab w:val="left" w:leader="none" w:pos="341"/>
              </w:tabs>
              <w:numPr>
                <w:ilvl w:val="0"/>
                <w:numId w:val="228"/>
              </w:numPr>
              <w:rPr>
                <w:rFonts w:ascii="Times New Roman" w:hAnsi="Times New Roman" w:cs="Times New Roman" w:eastAsia="Times New Roman" w:hint="ascii"/>
                <w:sz w:val="15"/>
              </w:rPr>
            </w:pPr>
            <w:r>
              <w:rPr>
                <w:rFonts w:ascii="Times New Roman" w:hAnsi="Times New Roman" w:cs="Times New Roman" w:eastAsia="Times New Roman" w:hint="ascii"/>
                <w:sz w:val="15"/>
              </w:rPr>
              <w:t>902</w:t>
            </w:r>
          </w:p>
        </w:tc>
        <w:tc>
          <w:tcPr>
            <w:tcW w:w="1078" w:type="dxa"/>
            <w:gridSpan w:val="1"/>
            <w:vAlign w:val="top"/>
            <w:tcMar/>
            <w:tcBorders>
              <w:left w:val="single" w:sz="4" w:space="0" w:color="000000"/>
              <w:top w:val="single" w:sz="4" w:space="0" w:color="000000"/>
            </w:tcBorders>
          </w:tcPr>
          <w:p>
            <w:pPr>
              <w:autoSpaceDE w:val="0"/>
              <w:autoSpaceDN w:val="0"/>
              <w:jc w:val="left"/>
              <w:spacing w:before="1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18.94</w:t>
            </w:r>
          </w:p>
        </w:tc>
        <w:tc>
          <w:tcPr>
            <w:tcW w:w="793" w:type="dxa"/>
            <w:gridSpan w:val="1"/>
            <w:vAlign w:val="top"/>
            <w:tcMar/>
            <w:tcBorders>
              <w:left w:val="single" w:sz="4" w:space="0" w:color="000000"/>
              <w:top w:val="single" w:sz="4" w:space="0" w:color="000000"/>
            </w:tcBorders>
          </w:tcPr>
          <w:p>
            <w:pPr>
              <w:autoSpaceDE w:val="0"/>
              <w:autoSpaceDN w:val="0"/>
              <w:jc w:val="left"/>
              <w:spacing w:before="1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447</w:t>
            </w:r>
          </w:p>
        </w:tc>
        <w:tc>
          <w:tcPr>
            <w:tcW w:w="795" w:type="dxa"/>
            <w:gridSpan w:val="1"/>
            <w:vAlign w:val="top"/>
            <w:tcMar/>
            <w:tcBorders>
              <w:left w:val="single" w:sz="4" w:space="0" w:color="000000"/>
              <w:top w:val="single" w:sz="4" w:space="0" w:color="000000"/>
            </w:tcBorders>
          </w:tcPr>
          <w:p>
            <w:pPr>
              <w:autoSpaceDE w:val="0"/>
              <w:autoSpaceDN w:val="0"/>
              <w:jc w:val="left"/>
              <w:spacing w:before="131" w:after="0" w:lineRule="auto" w:line="240"/>
              <w:ind w:right="0" w:left="260" w:firstLine="0"/>
              <w:snapToGrid w:val="0"/>
              <w:textAlignment w:val="auto"/>
              <w:tabs>
                <w:tab w:val="left" w:leader="none" w:pos="378"/>
              </w:tabs>
              <w:numPr>
                <w:ilvl w:val="0"/>
                <w:numId w:val="229"/>
              </w:numPr>
              <w:rPr>
                <w:rFonts w:ascii="Times New Roman" w:hAnsi="Times New Roman" w:cs="Times New Roman" w:eastAsia="Times New Roman" w:hint="ascii"/>
                <w:sz w:val="15"/>
              </w:rPr>
            </w:pPr>
            <w:r>
              <w:rPr>
                <w:rFonts w:ascii="Times New Roman" w:hAnsi="Times New Roman" w:cs="Times New Roman" w:eastAsia="Times New Roman" w:hint="ascii"/>
                <w:sz w:val="15"/>
              </w:rPr>
              <w:t>952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18.07</w:t>
            </w:r>
          </w:p>
        </w:tc>
      </w:tr>
      <w:tr>
        <w:trPr>
          <w:trHeight w:val="1081" w:hRule="exact"/>
          <w:cantSplit w:val="1"/>
        </w:trPr>
        <w:tc>
          <w:tcPr>
            <w:tcW w:w="794" w:type="dxa"/>
            <w:gridSpan w:val="1"/>
            <w:vAlign w:val="top"/>
            <w:tcMar/>
            <w:tcBorders>
              <w:top w:val="single" w:sz="4" w:space="0" w:color="000000"/>
            </w:tcBorders>
          </w:tcPr>
          <w:p>
            <w:pPr>
              <w:autoSpaceDE w:val="0"/>
              <w:autoSpaceDN w:val="0"/>
              <w:jc w:val="left"/>
              <w:spacing w:before="425"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871" w:type="dxa"/>
            <w:gridSpan w:val="1"/>
            <w:vAlign w:val="top"/>
            <w:tcMar/>
            <w:tcBorders>
              <w:left w:val="single" w:sz="4" w:space="0" w:color="000000"/>
              <w:top w:val="single" w:sz="4" w:space="0" w:color="000000"/>
            </w:tcBorders>
          </w:tcPr>
          <w:p>
            <w:pPr>
              <w:autoSpaceDE w:val="0"/>
              <w:autoSpaceDN w:val="0"/>
              <w:jc w:val="left"/>
              <w:spacing w:before="36" w:after="0" w:lineRule="exact" w:line="188"/>
              <w:ind w:right="0" w:left="105" w:firstLine="0"/>
              <w:snapToGrid w:val="0"/>
              <w:textAlignment w:val="auto"/>
              <w:tabs/>
              <w:rPr>
                <w:rFonts w:ascii="宋体" w:hAnsi="宋体" w:cs="宋体" w:eastAsia="宋体" w:hint="ascii"/>
                <w:sz w:val="15"/>
              </w:rPr>
            </w:pPr>
            <w:r>
              <w:rPr>
                <w:rFonts w:ascii="宋体" w:hAnsi="宋体" w:cs="宋体" w:eastAsia="宋体" w:hint="ascii"/>
                <w:sz w:val="15"/>
              </w:rPr>
              <w:t>消化系统疾病、泌尿系统</w:t>
            </w:r>
          </w:p>
          <w:p>
            <w:pPr>
              <w:autoSpaceDE w:val="0"/>
              <w:autoSpaceDN w:val="0"/>
              <w:jc w:val="left"/>
              <w:spacing w:before="7"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疾病、内分泌系统疾病</w:t>
            </w:r>
          </w:p>
          <w:p>
            <w:pPr>
              <w:autoSpaceDE w:val="0"/>
              <w:autoSpaceDN w:val="0"/>
              <w:jc w:val="left"/>
              <w:spacing w:before="7" w:after="0" w:lineRule="exact" w:line="188"/>
              <w:ind w:right="0" w:left="32" w:firstLine="0"/>
              <w:snapToGrid w:val="0"/>
              <w:textAlignment w:val="auto"/>
              <w:tabs/>
              <w:rPr>
                <w:rFonts w:ascii="宋体" w:hAnsi="宋体" w:cs="宋体" w:eastAsia="宋体" w:hint="ascii"/>
                <w:sz w:val="15"/>
              </w:rPr>
            </w:pPr>
            <w:r>
              <w:rPr>
                <w:rFonts w:ascii="宋体" w:hAnsi="宋体" w:cs="宋体" w:eastAsia="宋体" w:hint="ascii"/>
                <w:sz w:val="15"/>
              </w:rPr>
              <w:t>（含代谢和营养支持</w:t>
            </w:r>
            <w:r>
              <w:rPr>
                <w:rFonts w:ascii="宋体" w:hAnsi="宋体" w:cs="宋体" w:eastAsia="宋体" w:hint="ascii"/>
                <w:sz w:val="15"/>
                <w:spacing w:val="-37"/>
              </w:rPr>
              <w:t>）</w:t>
            </w:r>
            <w:r>
              <w:rPr>
                <w:rFonts w:ascii="宋体" w:hAnsi="宋体" w:cs="宋体" w:eastAsia="宋体" w:hint="ascii"/>
                <w:sz w:val="15"/>
              </w:rPr>
              <w:t>、眼</w:t>
            </w:r>
          </w:p>
          <w:p>
            <w:pPr>
              <w:autoSpaceDE w:val="0"/>
              <w:autoSpaceDN w:val="0"/>
              <w:jc w:val="left"/>
              <w:spacing w:before="7" w:after="0" w:lineRule="exact" w:line="188"/>
              <w:ind w:right="0" w:left="103" w:firstLine="0"/>
              <w:snapToGrid w:val="0"/>
              <w:textAlignment w:val="auto"/>
              <w:tabs/>
              <w:rPr>
                <w:rFonts w:ascii="宋体" w:hAnsi="宋体" w:cs="宋体" w:eastAsia="宋体" w:hint="ascii"/>
                <w:sz w:val="15"/>
              </w:rPr>
            </w:pPr>
            <w:r>
              <w:rPr>
                <w:rFonts w:ascii="宋体" w:hAnsi="宋体" w:cs="宋体" w:eastAsia="宋体" w:hint="ascii"/>
                <w:sz w:val="15"/>
                <w:spacing w:val="-6"/>
              </w:rPr>
              <w:t>科学、耳鼻咽喉头颈科学</w:t>
            </w:r>
            <w:r>
              <w:rPr>
                <w:rFonts w:ascii="宋体" w:hAnsi="宋体" w:cs="宋体" w:eastAsia="宋体" w:hint="ascii"/>
                <w:sz w:val="15"/>
              </w:rPr>
              <w:t>、</w:t>
            </w:r>
          </w:p>
          <w:p>
            <w:pPr>
              <w:autoSpaceDE w:val="0"/>
              <w:autoSpaceDN w:val="0"/>
              <w:jc w:val="left"/>
              <w:spacing w:before="7" w:after="0" w:lineRule="exact" w:line="188"/>
              <w:ind w:right="0" w:left="405" w:firstLine="0"/>
              <w:snapToGrid w:val="0"/>
              <w:textAlignment w:val="auto"/>
              <w:tabs/>
              <w:rPr>
                <w:rFonts w:ascii="宋体" w:hAnsi="宋体" w:cs="宋体" w:eastAsia="宋体" w:hint="ascii"/>
                <w:sz w:val="15"/>
              </w:rPr>
            </w:pPr>
            <w:r>
              <w:rPr>
                <w:rFonts w:ascii="宋体" w:hAnsi="宋体" w:cs="宋体" w:eastAsia="宋体" w:hint="ascii"/>
                <w:sz w:val="15"/>
              </w:rPr>
              <w:t>口腔颅颌面科学</w:t>
            </w:r>
          </w:p>
        </w:tc>
        <w:tc>
          <w:tcPr>
            <w:tcW w:w="794" w:type="dxa"/>
            <w:gridSpan w:val="1"/>
            <w:vAlign w:val="top"/>
            <w:tcMar/>
            <w:tcBorders>
              <w:left w:val="single" w:sz="4" w:space="0" w:color="000000"/>
              <w:top w:val="single" w:sz="4" w:space="0" w:color="000000"/>
            </w:tcBorders>
          </w:tcPr>
          <w:p>
            <w:pPr>
              <w:autoSpaceDE w:val="0"/>
              <w:autoSpaceDN w:val="0"/>
              <w:jc w:val="left"/>
              <w:spacing w:before="4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520</w:t>
            </w:r>
          </w:p>
        </w:tc>
        <w:tc>
          <w:tcPr>
            <w:tcW w:w="793" w:type="dxa"/>
            <w:gridSpan w:val="1"/>
            <w:vAlign w:val="top"/>
            <w:tcMar/>
            <w:tcBorders>
              <w:left w:val="single" w:sz="4" w:space="0" w:color="000000"/>
              <w:top w:val="single" w:sz="4" w:space="0" w:color="000000"/>
            </w:tcBorders>
          </w:tcPr>
          <w:p>
            <w:pPr>
              <w:autoSpaceDE w:val="0"/>
              <w:autoSpaceDN w:val="0"/>
              <w:jc w:val="left"/>
              <w:spacing w:before="431" w:after="0" w:lineRule="auto" w:line="240"/>
              <w:ind w:right="0" w:left="223" w:firstLine="0"/>
              <w:snapToGrid w:val="0"/>
              <w:textAlignment w:val="auto"/>
              <w:tabs>
                <w:tab w:val="left" w:leader="none" w:pos="341"/>
              </w:tabs>
              <w:numPr>
                <w:ilvl w:val="0"/>
                <w:numId w:val="229"/>
              </w:numPr>
              <w:rPr>
                <w:rFonts w:ascii="Times New Roman" w:hAnsi="Times New Roman" w:cs="Times New Roman" w:eastAsia="Times New Roman" w:hint="ascii"/>
                <w:sz w:val="15"/>
              </w:rPr>
            </w:pPr>
            <w:r>
              <w:rPr>
                <w:rFonts w:ascii="Times New Roman" w:hAnsi="Times New Roman" w:cs="Times New Roman" w:eastAsia="Times New Roman" w:hint="ascii"/>
                <w:sz w:val="15"/>
              </w:rPr>
              <w:t>055</w:t>
            </w:r>
          </w:p>
        </w:tc>
        <w:tc>
          <w:tcPr>
            <w:tcW w:w="1078" w:type="dxa"/>
            <w:gridSpan w:val="1"/>
            <w:vAlign w:val="top"/>
            <w:tcMar/>
            <w:tcBorders>
              <w:left w:val="single" w:sz="4" w:space="0" w:color="000000"/>
              <w:top w:val="single" w:sz="4" w:space="0" w:color="000000"/>
            </w:tcBorders>
          </w:tcPr>
          <w:p>
            <w:pPr>
              <w:autoSpaceDE w:val="0"/>
              <w:autoSpaceDN w:val="0"/>
              <w:jc w:val="left"/>
              <w:spacing w:before="4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17.81</w:t>
            </w:r>
          </w:p>
        </w:tc>
        <w:tc>
          <w:tcPr>
            <w:tcW w:w="793" w:type="dxa"/>
            <w:gridSpan w:val="1"/>
            <w:vAlign w:val="top"/>
            <w:tcMar/>
            <w:tcBorders>
              <w:left w:val="single" w:sz="4" w:space="0" w:color="000000"/>
              <w:top w:val="single" w:sz="4" w:space="0" w:color="000000"/>
            </w:tcBorders>
          </w:tcPr>
          <w:p>
            <w:pPr>
              <w:autoSpaceDE w:val="0"/>
              <w:autoSpaceDN w:val="0"/>
              <w:jc w:val="left"/>
              <w:spacing w:before="431"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590</w:t>
            </w:r>
          </w:p>
        </w:tc>
        <w:tc>
          <w:tcPr>
            <w:tcW w:w="795" w:type="dxa"/>
            <w:gridSpan w:val="1"/>
            <w:vAlign w:val="top"/>
            <w:tcMar/>
            <w:tcBorders>
              <w:left w:val="single" w:sz="4" w:space="0" w:color="000000"/>
              <w:top w:val="single" w:sz="4" w:space="0" w:color="000000"/>
            </w:tcBorders>
          </w:tcPr>
          <w:p>
            <w:pPr>
              <w:autoSpaceDE w:val="0"/>
              <w:autoSpaceDN w:val="0"/>
              <w:jc w:val="left"/>
              <w:spacing w:before="431" w:after="0" w:lineRule="auto" w:line="240"/>
              <w:ind w:right="0" w:left="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1 792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16.68</w:t>
            </w:r>
          </w:p>
        </w:tc>
      </w:tr>
      <w:tr>
        <w:trPr>
          <w:trHeight w:val="510" w:hRule="exact"/>
          <w:cantSplit w:val="1"/>
        </w:trPr>
        <w:tc>
          <w:tcPr>
            <w:tcW w:w="794" w:type="dxa"/>
            <w:gridSpan w:val="1"/>
            <w:vAlign w:val="top"/>
            <w:tcMar/>
            <w:tcBorders>
              <w:top w:val="single" w:sz="4" w:space="0" w:color="000000"/>
            </w:tcBorders>
          </w:tcPr>
          <w:p>
            <w:pPr>
              <w:autoSpaceDE w:val="0"/>
              <w:autoSpaceDN w:val="0"/>
              <w:jc w:val="left"/>
              <w:spacing w:before="139"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871" w:type="dxa"/>
            <w:gridSpan w:val="1"/>
            <w:vAlign w:val="top"/>
            <w:tcMar/>
            <w:tcBorders>
              <w:left w:val="single" w:sz="4" w:space="0" w:color="000000"/>
              <w:top w:val="single" w:sz="4" w:space="0" w:color="000000"/>
            </w:tcBorders>
          </w:tcPr>
          <w:p>
            <w:pPr>
              <w:autoSpaceDE w:val="0"/>
              <w:autoSpaceDN w:val="0"/>
              <w:jc w:val="left"/>
              <w:spacing w:before="42"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神经系统疾病、精神疾</w:t>
            </w:r>
          </w:p>
          <w:p>
            <w:pPr>
              <w:autoSpaceDE w:val="0"/>
              <w:autoSpaceDN w:val="0"/>
              <w:jc w:val="left"/>
              <w:spacing w:before="7" w:after="0" w:lineRule="exact" w:line="188"/>
              <w:ind w:right="0" w:left="481" w:firstLine="0"/>
              <w:snapToGrid w:val="0"/>
              <w:textAlignment w:val="auto"/>
              <w:tabs/>
              <w:rPr>
                <w:rFonts w:ascii="宋体" w:hAnsi="宋体" w:cs="宋体" w:eastAsia="宋体" w:hint="ascii"/>
                <w:sz w:val="15"/>
              </w:rPr>
            </w:pPr>
            <w:r>
              <w:rPr>
                <w:rFonts w:ascii="宋体" w:hAnsi="宋体" w:cs="宋体" w:eastAsia="宋体" w:hint="ascii"/>
                <w:sz w:val="15"/>
              </w:rPr>
              <w:t>病、老年医学</w:t>
            </w:r>
          </w:p>
        </w:tc>
        <w:tc>
          <w:tcPr>
            <w:tcW w:w="794"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316</w:t>
            </w:r>
          </w:p>
        </w:tc>
        <w:tc>
          <w:tcPr>
            <w:tcW w:w="793"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2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5 490</w:t>
            </w:r>
          </w:p>
        </w:tc>
        <w:tc>
          <w:tcPr>
            <w:tcW w:w="1078"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18.92</w:t>
            </w:r>
          </w:p>
        </w:tc>
        <w:tc>
          <w:tcPr>
            <w:tcW w:w="793"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357</w:t>
            </w:r>
          </w:p>
        </w:tc>
        <w:tc>
          <w:tcPr>
            <w:tcW w:w="795"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60" w:firstLine="0"/>
              <w:snapToGrid w:val="0"/>
              <w:textAlignment w:val="auto"/>
              <w:tabs>
                <w:tab w:val="left" w:leader="none" w:pos="378"/>
              </w:tabs>
              <w:numPr>
                <w:ilvl w:val="0"/>
                <w:numId w:val="228"/>
              </w:numPr>
              <w:rPr>
                <w:rFonts w:ascii="Times New Roman" w:hAnsi="Times New Roman" w:cs="Times New Roman" w:eastAsia="Times New Roman" w:hint="ascii"/>
                <w:sz w:val="15"/>
              </w:rPr>
            </w:pPr>
            <w:r>
              <w:rPr>
                <w:rFonts w:ascii="Times New Roman" w:hAnsi="Times New Roman" w:cs="Times New Roman" w:eastAsia="Times New Roman" w:hint="ascii"/>
                <w:sz w:val="15"/>
              </w:rPr>
              <w:t>131</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17.53</w:t>
            </w:r>
          </w:p>
        </w:tc>
      </w:tr>
      <w:tr>
        <w:trPr>
          <w:trHeight w:val="510" w:hRule="exact"/>
          <w:cantSplit w:val="1"/>
        </w:trPr>
        <w:tc>
          <w:tcPr>
            <w:tcW w:w="794" w:type="dxa"/>
            <w:gridSpan w:val="1"/>
            <w:vAlign w:val="top"/>
            <w:tcMar/>
            <w:tcBorders>
              <w:top w:val="single" w:sz="4" w:space="0" w:color="000000"/>
            </w:tcBorders>
          </w:tcPr>
          <w:p>
            <w:pPr>
              <w:autoSpaceDE w:val="0"/>
              <w:autoSpaceDN w:val="0"/>
              <w:jc w:val="left"/>
              <w:spacing w:before="139"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871" w:type="dxa"/>
            <w:gridSpan w:val="1"/>
            <w:vAlign w:val="top"/>
            <w:tcMar/>
            <w:tcBorders>
              <w:left w:val="single" w:sz="4" w:space="0" w:color="000000"/>
              <w:top w:val="single" w:sz="4" w:space="0" w:color="000000"/>
            </w:tcBorders>
          </w:tcPr>
          <w:p>
            <w:pPr>
              <w:autoSpaceDE w:val="0"/>
              <w:autoSpaceDN w:val="0"/>
              <w:jc w:val="left"/>
              <w:spacing w:before="41" w:after="0" w:lineRule="exact" w:line="188"/>
              <w:ind w:right="0" w:left="103" w:firstLine="0"/>
              <w:snapToGrid w:val="0"/>
              <w:textAlignment w:val="auto"/>
              <w:tabs/>
              <w:rPr>
                <w:rFonts w:ascii="宋体" w:hAnsi="宋体" w:cs="宋体" w:eastAsia="宋体" w:hint="ascii"/>
                <w:sz w:val="15"/>
              </w:rPr>
            </w:pPr>
            <w:r>
              <w:rPr>
                <w:rFonts w:ascii="宋体" w:hAnsi="宋体" w:cs="宋体" w:eastAsia="宋体" w:hint="ascii"/>
                <w:sz w:val="15"/>
                <w:spacing w:val="-6"/>
              </w:rPr>
              <w:t>生殖系统疾病、围生医学</w:t>
            </w:r>
            <w:r>
              <w:rPr>
                <w:rFonts w:ascii="宋体" w:hAnsi="宋体" w:cs="宋体" w:eastAsia="宋体" w:hint="ascii"/>
                <w:sz w:val="15"/>
              </w:rPr>
              <w:t>、</w:t>
            </w:r>
          </w:p>
          <w:p>
            <w:pPr>
              <w:autoSpaceDE w:val="0"/>
              <w:autoSpaceDN w:val="0"/>
              <w:jc w:val="left"/>
              <w:spacing w:before="8" w:after="0" w:lineRule="exact" w:line="188"/>
              <w:ind w:right="0" w:left="103" w:firstLine="0"/>
              <w:snapToGrid w:val="0"/>
              <w:textAlignment w:val="auto"/>
              <w:tabs/>
              <w:rPr>
                <w:rFonts w:ascii="宋体" w:hAnsi="宋体" w:cs="宋体" w:eastAsia="宋体" w:hint="ascii"/>
                <w:sz w:val="15"/>
              </w:rPr>
            </w:pPr>
            <w:r>
              <w:rPr>
                <w:rFonts w:ascii="宋体" w:hAnsi="宋体" w:cs="宋体" w:eastAsia="宋体" w:hint="ascii"/>
                <w:sz w:val="15"/>
                <w:spacing w:val="-6"/>
              </w:rPr>
              <w:t>胎儿和新生儿、医学免疫</w:t>
            </w:r>
            <w:r>
              <w:rPr>
                <w:rFonts w:ascii="宋体" w:hAnsi="宋体" w:cs="宋体" w:eastAsia="宋体" w:hint="ascii"/>
                <w:sz w:val="15"/>
              </w:rPr>
              <w:t>学</w:t>
            </w:r>
          </w:p>
        </w:tc>
        <w:tc>
          <w:tcPr>
            <w:tcW w:w="794"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218</w:t>
            </w:r>
          </w:p>
        </w:tc>
        <w:tc>
          <w:tcPr>
            <w:tcW w:w="793"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23" w:firstLine="0"/>
              <w:snapToGrid w:val="0"/>
              <w:textAlignment w:val="auto"/>
              <w:tabs>
                <w:tab w:val="left" w:leader="none" w:pos="341"/>
              </w:tabs>
              <w:numPr>
                <w:ilvl w:val="0"/>
                <w:numId w:val="230"/>
              </w:numPr>
              <w:rPr>
                <w:rFonts w:ascii="Times New Roman" w:hAnsi="Times New Roman" w:cs="Times New Roman" w:eastAsia="Times New Roman" w:hint="ascii"/>
                <w:sz w:val="15"/>
              </w:rPr>
            </w:pPr>
            <w:r>
              <w:rPr>
                <w:rFonts w:ascii="Times New Roman" w:hAnsi="Times New Roman" w:cs="Times New Roman" w:eastAsia="Times New Roman" w:hint="ascii"/>
                <w:sz w:val="15"/>
              </w:rPr>
              <w:t>799</w:t>
            </w:r>
          </w:p>
        </w:tc>
        <w:tc>
          <w:tcPr>
            <w:tcW w:w="1078"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19.66</w:t>
            </w:r>
          </w:p>
        </w:tc>
        <w:tc>
          <w:tcPr>
            <w:tcW w:w="793"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247</w:t>
            </w:r>
          </w:p>
        </w:tc>
        <w:tc>
          <w:tcPr>
            <w:tcW w:w="795" w:type="dxa"/>
            <w:gridSpan w:val="1"/>
            <w:vAlign w:val="top"/>
            <w:tcMar/>
            <w:tcBorders>
              <w:left w:val="single" w:sz="4" w:space="0" w:color="000000"/>
              <w:top w:val="single" w:sz="4" w:space="0" w:color="000000"/>
            </w:tcBorders>
          </w:tcPr>
          <w:p>
            <w:pPr>
              <w:autoSpaceDE w:val="0"/>
              <w:autoSpaceDN w:val="0"/>
              <w:jc w:val="left"/>
              <w:spacing w:before="145" w:after="0" w:lineRule="auto" w:line="240"/>
              <w:ind w:right="0" w:left="260" w:firstLine="0"/>
              <w:snapToGrid w:val="0"/>
              <w:textAlignment w:val="auto"/>
              <w:tabs>
                <w:tab w:val="left" w:leader="none" w:pos="378"/>
              </w:tabs>
              <w:numPr>
                <w:ilvl w:val="0"/>
                <w:numId w:val="230"/>
              </w:numPr>
              <w:rPr>
                <w:rFonts w:ascii="Times New Roman" w:hAnsi="Times New Roman" w:cs="Times New Roman" w:eastAsia="Times New Roman" w:hint="ascii"/>
                <w:sz w:val="15"/>
              </w:rPr>
            </w:pPr>
            <w:r>
              <w:rPr>
                <w:rFonts w:ascii="Times New Roman" w:hAnsi="Times New Roman" w:cs="Times New Roman" w:eastAsia="Times New Roman" w:hint="ascii"/>
                <w:sz w:val="15"/>
              </w:rPr>
              <w:t>940</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17.31</w:t>
            </w:r>
          </w:p>
        </w:tc>
      </w:tr>
      <w:tr>
        <w:trPr>
          <w:trHeight w:val="500" w:hRule="exact"/>
          <w:cantSplit w:val="1"/>
        </w:trPr>
        <w:tc>
          <w:tcPr>
            <w:tcW w:w="794" w:type="dxa"/>
            <w:gridSpan w:val="1"/>
            <w:vAlign w:val="top"/>
            <w:tcMar/>
            <w:tcBorders>
              <w:top w:val="single" w:sz="4" w:space="0" w:color="000000"/>
              <w:bottom w:val="single" w:sz="8" w:space="0" w:color="000000"/>
            </w:tcBorders>
          </w:tcPr>
          <w:p>
            <w:pPr>
              <w:autoSpaceDE w:val="0"/>
              <w:autoSpaceDN w:val="0"/>
              <w:jc w:val="left"/>
              <w:spacing w:before="131"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871" w:type="dxa"/>
            <w:gridSpan w:val="1"/>
            <w:vAlign w:val="top"/>
            <w:tcMar/>
            <w:tcBorders>
              <w:left w:val="single" w:sz="4" w:space="0" w:color="000000"/>
              <w:top w:val="single" w:sz="4" w:space="0" w:color="000000"/>
              <w:bottom w:val="single" w:sz="8" w:space="0" w:color="000000"/>
            </w:tcBorders>
          </w:tcPr>
          <w:p>
            <w:pPr>
              <w:autoSpaceDE w:val="0"/>
              <w:autoSpaceDN w:val="0"/>
              <w:jc w:val="both"/>
              <w:spacing w:before="28" w:after="0" w:lineRule="exact" w:line="194"/>
              <w:ind w:right="180" w:left="181" w:firstLine="0"/>
              <w:snapToGrid w:val="0"/>
              <w:textAlignment w:val="auto"/>
              <w:tabs/>
              <w:rPr>
                <w:rFonts w:ascii="宋体" w:hAnsi="宋体" w:cs="宋体" w:eastAsia="宋体" w:hint="ascii"/>
                <w:sz w:val="15"/>
              </w:rPr>
            </w:pPr>
            <w:r>
              <w:rPr>
                <w:rFonts w:ascii="宋体" w:hAnsi="宋体" w:cs="宋体" w:eastAsia="宋体" w:hint="ascii"/>
                <w:sz w:val="15"/>
                <w:spacing w:val="-1"/>
              </w:rPr>
              <w:t>影像医学、生</w:t>
            </w:r>
            <w:r>
              <w:rPr>
                <w:rFonts w:ascii="宋体" w:hAnsi="宋体" w:cs="宋体" w:eastAsia="宋体" w:hint="ascii"/>
                <w:sz w:val="15"/>
              </w:rPr>
              <w:t>物医学工</w:t>
            </w:r>
            <w:r>
              <w:rPr>
                <w:rFonts w:ascii="宋体" w:hAnsi="宋体" w:cs="宋体" w:eastAsia="宋体" w:hint="ascii"/>
                <w:sz w:val="15"/>
                <w:spacing w:val="-1"/>
              </w:rPr>
              <w:t>程、特种医学</w:t>
            </w:r>
            <w:r>
              <w:rPr>
                <w:rFonts w:ascii="宋体" w:hAnsi="宋体" w:cs="宋体" w:eastAsia="宋体" w:hint="ascii"/>
                <w:sz w:val="15"/>
              </w:rPr>
              <w:t>、法医学</w:t>
            </w:r>
          </w:p>
        </w:tc>
        <w:tc>
          <w:tcPr>
            <w:tcW w:w="79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37"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w:t>
            </w:r>
          </w:p>
        </w:tc>
        <w:tc>
          <w:tcPr>
            <w:tcW w:w="79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37" w:after="0" w:lineRule="auto" w:line="240"/>
              <w:ind w:right="0" w:left="223" w:firstLine="0"/>
              <w:snapToGrid w:val="0"/>
              <w:textAlignment w:val="auto"/>
              <w:tabs>
                <w:tab w:val="left" w:leader="none" w:pos="341"/>
              </w:tabs>
              <w:numPr>
                <w:ilvl w:val="0"/>
                <w:numId w:val="231"/>
              </w:numPr>
              <w:rPr>
                <w:rFonts w:ascii="Times New Roman" w:hAnsi="Times New Roman" w:cs="Times New Roman" w:eastAsia="Times New Roman" w:hint="ascii"/>
                <w:sz w:val="15"/>
              </w:rPr>
            </w:pPr>
            <w:r>
              <w:rPr>
                <w:rFonts w:ascii="Times New Roman" w:hAnsi="Times New Roman" w:cs="Times New Roman" w:eastAsia="Times New Roman" w:hint="ascii"/>
                <w:sz w:val="15"/>
              </w:rPr>
              <w:t>546</w:t>
            </w:r>
          </w:p>
        </w:tc>
        <w:tc>
          <w:tcPr>
            <w:tcW w:w="1078"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37"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17.72</w:t>
            </w:r>
          </w:p>
        </w:tc>
        <w:tc>
          <w:tcPr>
            <w:tcW w:w="79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37" w:after="0" w:lineRule="auto" w:line="240"/>
              <w:ind w:right="0" w:left="2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229</w:t>
            </w:r>
          </w:p>
        </w:tc>
        <w:tc>
          <w:tcPr>
            <w:tcW w:w="79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37" w:after="0" w:lineRule="auto" w:line="240"/>
              <w:ind w:right="0" w:left="260" w:firstLine="0"/>
              <w:snapToGrid w:val="0"/>
              <w:textAlignment w:val="auto"/>
              <w:tabs>
                <w:tab w:val="left" w:leader="none" w:pos="378"/>
              </w:tabs>
              <w:numPr>
                <w:ilvl w:val="0"/>
                <w:numId w:val="231"/>
              </w:numPr>
              <w:rPr>
                <w:rFonts w:ascii="Times New Roman" w:hAnsi="Times New Roman" w:cs="Times New Roman" w:eastAsia="Times New Roman" w:hint="ascii"/>
                <w:sz w:val="15"/>
              </w:rPr>
            </w:pPr>
            <w:r>
              <w:rPr>
                <w:rFonts w:ascii="Times New Roman" w:hAnsi="Times New Roman" w:cs="Times New Roman" w:eastAsia="Times New Roman" w:hint="ascii"/>
                <w:sz w:val="15"/>
              </w:rPr>
              <w:t>581</w:t>
            </w:r>
          </w:p>
        </w:tc>
        <w:tc>
          <w:tcPr>
            <w:tcW w:w="1077"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137"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17.26</w:t>
            </w:r>
          </w:p>
        </w:tc>
      </w:tr>
    </w:tbl>
    <w:p>
      <w:pPr>
        <w:autoSpaceDE w:val="0"/>
        <w:autoSpaceDN w:val="0"/>
        <w:jc w:val="left"/>
        <w:spacing w:before="42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青年科学基金项目</w:t>
      </w:r>
    </w:p>
    <w:p>
      <w:pPr>
        <w:autoSpaceDE w:val="0"/>
        <w:autoSpaceDN w:val="0"/>
        <w:jc w:val="left"/>
        <w:spacing w:before="327"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208" locked="0" layoutInCell="1" allowOverlap="1">
                <wp:simplePos x="0" y="0"/>
                <wp:positionH relativeFrom="page">
                  <wp:posOffset>938530</wp:posOffset>
                </wp:positionH>
                <wp:positionV relativeFrom="page">
                  <wp:posOffset>819150</wp:posOffset>
                </wp:positionV>
                <wp:extent cx="5076190" cy="0"/>
                <wp:wrapNone/>
                <wp:docPr id="1237" name="123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45248;width:399.70pt;" id="1237" coordsize="7994,0" strokeweight="0.50pt" strokecolor="#231f20" fillcolor="#auto" opacity="0f" from="0.00pt, 0.00pt" to="399.70pt, 0.00pt">
                <v:stroke endcap="round"/>
                <v:fill opacity="0f"/>
                <w10:wrap anchorx="page" anchory="page" side="both"/>
              </v:line>
            </w:pict>
          </mc:Fallback>
        </mc:AlternateContent>
      </w:r>
    </w:p>
    <w:tbl>
      <w:tblPr>
        <w:tblW w:w="7995" w:type="dxa"/>
        <w:jc w:val="left"/>
        <w:tblInd w:w="966"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794"/>
        <w:gridCol w:w="1871"/>
        <w:gridCol w:w="794"/>
        <w:gridCol w:w="793"/>
        <w:gridCol w:w="1078"/>
        <w:gridCol w:w="793"/>
        <w:gridCol w:w="795"/>
        <w:gridCol w:w="1077"/>
      </w:tblGrid>
      <w:tr>
        <w:trPr>
          <w:trHeight w:val="270" w:hRule="exact"/>
          <w:cantSplit w:val="1"/>
        </w:trPr>
        <w:tc>
          <w:tcPr>
            <w:tcW w:w="2665" w:type="dxa"/>
            <w:gridSpan w:val="2"/>
            <w:vAlign w:val="top"/>
            <w:vMerge w:val="restart"/>
            <w:tcMar/>
            <w:tcBorders/>
          </w:tcPr>
          <w:p>
            <w:pPr>
              <w:autoSpaceDE w:val="0"/>
              <w:autoSpaceDN w:val="0"/>
              <w:jc w:val="left"/>
              <w:spacing w:before="230" w:after="0" w:lineRule="exact" w:line="188"/>
              <w:ind w:right="0" w:left="1098"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665" w:type="dxa"/>
            <w:gridSpan w:val="3"/>
            <w:vAlign w:val="top"/>
            <w:tcMar/>
            <w:tcBorders>
              <w:left w:val="single" w:sz="4" w:space="0" w:color="000000"/>
            </w:tcBorders>
          </w:tcPr>
          <w:p>
            <w:pPr>
              <w:autoSpaceDE w:val="0"/>
              <w:autoSpaceDN w:val="0"/>
              <w:jc w:val="left"/>
              <w:spacing w:before="16" w:after="0" w:lineRule="auto" w:line="240"/>
              <w:ind w:right="0" w:left="1009" w:firstLine="0"/>
              <w:snapToGrid w:val="0"/>
              <w:textAlignment w:val="auto"/>
              <w:tabs>
                <w:tab w:val="left" w:leader="none" w:pos="1352"/>
              </w:tabs>
              <w:numPr>
                <w:ilvl w:val="0"/>
                <w:numId w:val="232"/>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665" w:type="dxa"/>
            <w:gridSpan w:val="3"/>
            <w:vAlign w:val="top"/>
            <w:tcMar/>
            <w:tcBorders>
              <w:left w:val="single" w:sz="4" w:space="0" w:color="000000"/>
              <w:right w:val="single" w:sz="8" w:space="0" w:color="000000"/>
            </w:tcBorders>
          </w:tcPr>
          <w:p>
            <w:pPr>
              <w:autoSpaceDE w:val="0"/>
              <w:autoSpaceDN w:val="0"/>
              <w:jc w:val="left"/>
              <w:spacing w:before="16" w:after="0" w:lineRule="auto" w:line="240"/>
              <w:ind w:right="0" w:left="1009" w:firstLine="0"/>
              <w:snapToGrid w:val="0"/>
              <w:textAlignment w:val="auto"/>
              <w:tabs>
                <w:tab w:val="left" w:leader="none" w:pos="1352"/>
              </w:tabs>
              <w:numPr>
                <w:ilvl w:val="0"/>
                <w:numId w:val="232"/>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27" w:hRule="exact"/>
          <w:cantSplit w:val="1"/>
        </w:trPr>
        <w:tc>
          <w:tcPr>
            <w:tcW w:w="2665"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794"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8" w:type="dxa"/>
            <w:gridSpan w:val="1"/>
            <w:vAlign w:val="top"/>
            <w:tcMar/>
            <w:tcBorders>
              <w:left w:val="single" w:sz="4" w:space="0" w:color="000000"/>
              <w:top w:val="single" w:sz="4"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793"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795" w:type="dxa"/>
            <w:gridSpan w:val="1"/>
            <w:vAlign w:val="top"/>
            <w:tcMar/>
            <w:tcBorders>
              <w:left w:val="single" w:sz="4" w:space="0" w:color="000000"/>
              <w:top w:val="single" w:sz="4" w:space="0" w:color="000000"/>
            </w:tcBorders>
          </w:tcPr>
          <w:p>
            <w:pPr>
              <w:autoSpaceDE w:val="0"/>
              <w:autoSpaceDN w:val="0"/>
              <w:jc w:val="left"/>
              <w:spacing w:before="97" w:after="0" w:lineRule="exact" w:line="188"/>
              <w:ind w:right="0" w:left="92"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900" w:hRule="exact"/>
          <w:cantSplit w:val="1"/>
        </w:trPr>
        <w:tc>
          <w:tcPr>
            <w:tcW w:w="794" w:type="dxa"/>
            <w:gridSpan w:val="1"/>
            <w:vAlign w:val="top"/>
            <w:tcMar/>
            <w:tcBorders>
              <w:top w:val="single" w:sz="4" w:space="0" w:color="000000"/>
            </w:tcBorders>
          </w:tcPr>
          <w:p>
            <w:pPr>
              <w:autoSpaceDE w:val="0"/>
              <w:autoSpaceDN w:val="0"/>
              <w:jc w:val="left"/>
              <w:spacing w:before="333"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1871" w:type="dxa"/>
            <w:gridSpan w:val="1"/>
            <w:vAlign w:val="top"/>
            <w:tcMar/>
            <w:tcBorders>
              <w:left w:val="single" w:sz="4" w:space="0" w:color="000000"/>
              <w:top w:val="single" w:sz="4" w:space="0" w:color="000000"/>
            </w:tcBorders>
          </w:tcPr>
          <w:p>
            <w:pPr>
              <w:autoSpaceDE w:val="0"/>
              <w:autoSpaceDN w:val="0"/>
              <w:jc w:val="left"/>
              <w:spacing w:before="36" w:after="0" w:lineRule="exact" w:line="194"/>
              <w:ind w:right="0" w:left="103" w:firstLine="2"/>
              <w:snapToGrid w:val="0"/>
              <w:textAlignment w:val="auto"/>
              <w:tabs/>
              <w:rPr>
                <w:rFonts w:ascii="宋体" w:hAnsi="宋体" w:cs="宋体" w:eastAsia="宋体" w:hint="ascii"/>
                <w:sz w:val="15"/>
              </w:rPr>
            </w:pPr>
            <w:r>
              <w:rPr>
                <w:rFonts w:ascii="宋体" w:hAnsi="宋体" w:cs="宋体" w:eastAsia="宋体" w:hint="ascii"/>
                <w:sz w:val="15"/>
              </w:rPr>
              <w:t>医学病原生物与感染性疾</w:t>
            </w:r>
            <w:r>
              <w:rPr>
                <w:rFonts w:ascii="宋体" w:hAnsi="宋体" w:cs="宋体" w:eastAsia="宋体" w:hint="ascii"/>
                <w:sz w:val="15"/>
                <w:spacing w:val="-6"/>
              </w:rPr>
              <w:t>病、运动系统疾病、创伤</w:t>
            </w:r>
            <w:r>
              <w:rPr>
                <w:rFonts w:ascii="宋体" w:hAnsi="宋体" w:cs="宋体" w:eastAsia="宋体" w:hint="ascii"/>
                <w:sz w:val="15"/>
              </w:rPr>
              <w:t>、</w:t>
            </w:r>
          </w:p>
          <w:p>
            <w:pPr>
              <w:autoSpaceDE w:val="0"/>
              <w:autoSpaceDN w:val="0"/>
              <w:jc w:val="left"/>
              <w:spacing w:before="6" w:after="0" w:lineRule="exact" w:line="188"/>
              <w:ind w:right="0" w:left="103" w:firstLine="0"/>
              <w:snapToGrid w:val="0"/>
              <w:textAlignment w:val="auto"/>
              <w:tabs/>
              <w:rPr>
                <w:rFonts w:ascii="宋体" w:hAnsi="宋体" w:cs="宋体" w:eastAsia="宋体" w:hint="ascii"/>
                <w:sz w:val="15"/>
              </w:rPr>
            </w:pPr>
            <w:r>
              <w:rPr>
                <w:rFonts w:ascii="宋体" w:hAnsi="宋体" w:cs="宋体" w:eastAsia="宋体" w:hint="ascii"/>
                <w:sz w:val="15"/>
                <w:spacing w:val="-6"/>
              </w:rPr>
              <w:t>烧伤、整形、急重症医学</w:t>
            </w:r>
            <w:r>
              <w:rPr>
                <w:rFonts w:ascii="宋体" w:hAnsi="宋体" w:cs="宋体" w:eastAsia="宋体" w:hint="ascii"/>
                <w:sz w:val="15"/>
              </w:rPr>
              <w:t>、</w:t>
            </w:r>
          </w:p>
          <w:p>
            <w:pPr>
              <w:autoSpaceDE w:val="0"/>
              <w:autoSpaceDN w:val="0"/>
              <w:jc w:val="left"/>
              <w:spacing w:before="8" w:after="0" w:lineRule="exact" w:line="188"/>
              <w:ind w:right="0" w:left="255" w:firstLine="0"/>
              <w:snapToGrid w:val="0"/>
              <w:textAlignment w:val="auto"/>
              <w:tabs/>
              <w:rPr>
                <w:rFonts w:ascii="宋体" w:hAnsi="宋体" w:cs="宋体" w:eastAsia="宋体" w:hint="ascii"/>
                <w:sz w:val="15"/>
              </w:rPr>
            </w:pPr>
            <w:r>
              <w:rPr>
                <w:rFonts w:ascii="宋体" w:hAnsi="宋体" w:cs="宋体" w:eastAsia="宋体" w:hint="ascii"/>
                <w:sz w:val="15"/>
              </w:rPr>
              <w:t>检验医学、康复医学</w:t>
            </w:r>
          </w:p>
        </w:tc>
        <w:tc>
          <w:tcPr>
            <w:tcW w:w="794" w:type="dxa"/>
            <w:gridSpan w:val="1"/>
            <w:vAlign w:val="top"/>
            <w:tcMar/>
            <w:tcBorders>
              <w:left w:val="single" w:sz="4" w:space="0" w:color="000000"/>
              <w:top w:val="single" w:sz="4" w:space="0" w:color="000000"/>
            </w:tcBorders>
          </w:tcPr>
          <w:p>
            <w:pPr>
              <w:autoSpaceDE w:val="0"/>
              <w:autoSpaceDN w:val="0"/>
              <w:jc w:val="left"/>
              <w:spacing w:before="341"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328</w:t>
            </w:r>
          </w:p>
        </w:tc>
        <w:tc>
          <w:tcPr>
            <w:tcW w:w="793" w:type="dxa"/>
            <w:gridSpan w:val="1"/>
            <w:vAlign w:val="top"/>
            <w:tcMar/>
            <w:tcBorders>
              <w:left w:val="single" w:sz="4" w:space="0" w:color="000000"/>
              <w:top w:val="single" w:sz="4" w:space="0" w:color="000000"/>
            </w:tcBorders>
          </w:tcPr>
          <w:p>
            <w:pPr>
              <w:autoSpaceDE w:val="0"/>
              <w:autoSpaceDN w:val="0"/>
              <w:jc w:val="left"/>
              <w:spacing w:before="341" w:after="0" w:lineRule="auto" w:line="240"/>
              <w:ind w:right="0" w:left="260" w:firstLine="0"/>
              <w:snapToGrid w:val="0"/>
              <w:textAlignment w:val="auto"/>
              <w:tabs>
                <w:tab w:val="left" w:leader="none" w:pos="378"/>
              </w:tabs>
              <w:numPr>
                <w:ilvl w:val="0"/>
                <w:numId w:val="233"/>
              </w:numPr>
              <w:rPr>
                <w:rFonts w:ascii="Times New Roman" w:hAnsi="Times New Roman" w:cs="Times New Roman" w:eastAsia="Times New Roman" w:hint="ascii"/>
                <w:sz w:val="15"/>
              </w:rPr>
            </w:pPr>
            <w:r>
              <w:rPr>
                <w:rFonts w:ascii="Times New Roman" w:hAnsi="Times New Roman" w:cs="Times New Roman" w:eastAsia="Times New Roman" w:hint="ascii"/>
                <w:sz w:val="15"/>
              </w:rPr>
              <w:t>699</w:t>
            </w:r>
          </w:p>
        </w:tc>
        <w:tc>
          <w:tcPr>
            <w:tcW w:w="1078" w:type="dxa"/>
            <w:gridSpan w:val="1"/>
            <w:vAlign w:val="top"/>
            <w:tcMar/>
            <w:tcBorders>
              <w:left w:val="single" w:sz="4" w:space="0" w:color="000000"/>
              <w:top w:val="single" w:sz="4" w:space="0" w:color="000000"/>
            </w:tcBorders>
          </w:tcPr>
          <w:p>
            <w:pPr>
              <w:autoSpaceDE w:val="0"/>
              <w:autoSpaceDN w:val="0"/>
              <w:jc w:val="left"/>
              <w:spacing w:before="341"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16.85</w:t>
            </w:r>
          </w:p>
        </w:tc>
        <w:tc>
          <w:tcPr>
            <w:tcW w:w="793" w:type="dxa"/>
            <w:gridSpan w:val="1"/>
            <w:vAlign w:val="top"/>
            <w:tcMar/>
            <w:tcBorders>
              <w:left w:val="single" w:sz="4" w:space="0" w:color="000000"/>
              <w:top w:val="single" w:sz="4" w:space="0" w:color="000000"/>
            </w:tcBorders>
          </w:tcPr>
          <w:p>
            <w:pPr>
              <w:autoSpaceDE w:val="0"/>
              <w:autoSpaceDN w:val="0"/>
              <w:jc w:val="left"/>
              <w:spacing w:before="341"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371</w:t>
            </w:r>
          </w:p>
        </w:tc>
        <w:tc>
          <w:tcPr>
            <w:tcW w:w="795" w:type="dxa"/>
            <w:gridSpan w:val="1"/>
            <w:vAlign w:val="top"/>
            <w:tcMar/>
            <w:tcBorders>
              <w:left w:val="single" w:sz="4" w:space="0" w:color="000000"/>
              <w:top w:val="single" w:sz="4" w:space="0" w:color="000000"/>
            </w:tcBorders>
          </w:tcPr>
          <w:p>
            <w:pPr>
              <w:autoSpaceDE w:val="0"/>
              <w:autoSpaceDN w:val="0"/>
              <w:jc w:val="left"/>
              <w:spacing w:before="341" w:after="0" w:lineRule="auto" w:line="240"/>
              <w:ind w:right="0" w:left="260" w:firstLine="0"/>
              <w:snapToGrid w:val="0"/>
              <w:textAlignment w:val="auto"/>
              <w:tabs>
                <w:tab w:val="left" w:leader="none" w:pos="378"/>
              </w:tabs>
              <w:numPr>
                <w:ilvl w:val="0"/>
                <w:numId w:val="234"/>
              </w:numPr>
              <w:rPr>
                <w:rFonts w:ascii="Times New Roman" w:hAnsi="Times New Roman" w:cs="Times New Roman" w:eastAsia="Times New Roman" w:hint="ascii"/>
                <w:sz w:val="15"/>
              </w:rPr>
            </w:pPr>
            <w:r>
              <w:rPr>
                <w:rFonts w:ascii="Times New Roman" w:hAnsi="Times New Roman" w:cs="Times New Roman" w:eastAsia="Times New Roman" w:hint="ascii"/>
                <w:sz w:val="15"/>
              </w:rPr>
              <w:t>415</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1" w:after="0" w:lineRule="auto" w:line="240"/>
              <w:ind w:right="0" w:left="365" w:firstLine="0"/>
              <w:snapToGrid w:val="0"/>
              <w:textAlignment w:val="auto"/>
              <w:tabs>
                <w:tab w:val="left" w:leader="none" w:pos="-655355"/>
              </w:tabs>
              <w:numPr>
                <w:ilvl w:val="1"/>
                <w:numId w:val="23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r>
      <w:tr>
        <w:trPr>
          <w:trHeight w:val="265" w:hRule="exact"/>
          <w:cantSplit w:val="1"/>
        </w:trPr>
        <w:tc>
          <w:tcPr>
            <w:tcW w:w="794" w:type="dxa"/>
            <w:gridSpan w:val="1"/>
            <w:vAlign w:val="top"/>
            <w:tcMar/>
            <w:tcBorders>
              <w:top w:val="single" w:sz="4" w:space="0" w:color="000000"/>
            </w:tcBorders>
          </w:tcPr>
          <w:p>
            <w:pPr>
              <w:autoSpaceDE w:val="0"/>
              <w:autoSpaceDN w:val="0"/>
              <w:jc w:val="left"/>
              <w:spacing w:before="17"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1871"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05" w:firstLine="0"/>
              <w:snapToGrid w:val="0"/>
              <w:textAlignment w:val="auto"/>
              <w:tabs/>
              <w:rPr>
                <w:rFonts w:ascii="宋体" w:hAnsi="宋体" w:cs="宋体" w:eastAsia="宋体" w:hint="ascii"/>
                <w:sz w:val="15"/>
              </w:rPr>
            </w:pPr>
            <w:r>
              <w:rPr>
                <w:rFonts w:ascii="宋体" w:hAnsi="宋体" w:cs="宋体" w:eastAsia="宋体" w:hint="ascii"/>
                <w:sz w:val="15"/>
              </w:rPr>
              <w:t>肿瘤学（血液系统除外）</w:t>
            </w:r>
          </w:p>
        </w:tc>
        <w:tc>
          <w:tcPr>
            <w:tcW w:w="79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755</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13 147</w:t>
            </w:r>
          </w:p>
        </w:tc>
        <w:tc>
          <w:tcPr>
            <w:tcW w:w="1078"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17.16</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853</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186" w:firstLine="0"/>
              <w:snapToGrid w:val="0"/>
              <w:textAlignment w:val="auto"/>
              <w:tabs>
                <w:tab w:val="left" w:leader="none" w:pos="379"/>
              </w:tabs>
              <w:numPr>
                <w:ilvl w:val="0"/>
                <w:numId w:val="23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052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16.28</w:t>
            </w:r>
          </w:p>
        </w:tc>
      </w:tr>
      <w:tr>
        <w:trPr>
          <w:trHeight w:val="707" w:hRule="exact"/>
          <w:cantSplit w:val="1"/>
        </w:trPr>
        <w:tc>
          <w:tcPr>
            <w:tcW w:w="794" w:type="dxa"/>
            <w:gridSpan w:val="1"/>
            <w:vAlign w:val="top"/>
            <w:tcMar/>
            <w:tcBorders>
              <w:top w:val="single" w:sz="4" w:space="0" w:color="000000"/>
            </w:tcBorders>
          </w:tcPr>
          <w:p>
            <w:pPr>
              <w:autoSpaceDE w:val="0"/>
              <w:autoSpaceDN w:val="0"/>
              <w:jc w:val="left"/>
              <w:spacing w:before="237"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1871" w:type="dxa"/>
            <w:gridSpan w:val="1"/>
            <w:vAlign w:val="top"/>
            <w:tcMar/>
            <w:tcBorders>
              <w:left w:val="single" w:sz="4" w:space="0" w:color="000000"/>
              <w:top w:val="single" w:sz="4" w:space="0" w:color="000000"/>
            </w:tcBorders>
          </w:tcPr>
          <w:p>
            <w:pPr>
              <w:autoSpaceDE w:val="0"/>
              <w:autoSpaceDN w:val="0"/>
              <w:jc w:val="both"/>
              <w:spacing w:before="37" w:after="0" w:lineRule="exact" w:line="194"/>
              <w:ind w:right="105" w:left="105" w:firstLine="0"/>
              <w:snapToGrid w:val="0"/>
              <w:textAlignment w:val="auto"/>
              <w:tabs/>
              <w:rPr>
                <w:rFonts w:ascii="宋体" w:hAnsi="宋体" w:cs="宋体" w:eastAsia="宋体" w:hint="ascii"/>
                <w:sz w:val="15"/>
              </w:rPr>
            </w:pPr>
            <w:r>
              <w:rPr>
                <w:rFonts w:ascii="宋体" w:hAnsi="宋体" w:cs="宋体" w:eastAsia="宋体" w:hint="ascii"/>
                <w:sz w:val="15"/>
                <w:spacing w:val="-1"/>
              </w:rPr>
              <w:t>皮肤及其附属</w:t>
            </w:r>
            <w:r>
              <w:rPr>
                <w:rFonts w:ascii="宋体" w:hAnsi="宋体" w:cs="宋体" w:eastAsia="宋体" w:hint="ascii"/>
                <w:sz w:val="15"/>
              </w:rPr>
              <w:t>器疾病、预</w:t>
            </w:r>
            <w:r>
              <w:rPr>
                <w:rFonts w:ascii="宋体" w:hAnsi="宋体" w:cs="宋体" w:eastAsia="宋体" w:hint="ascii"/>
                <w:sz w:val="15"/>
                <w:spacing w:val="-1"/>
              </w:rPr>
              <w:t>防医学、地方</w:t>
            </w:r>
            <w:r>
              <w:rPr>
                <w:rFonts w:ascii="宋体" w:hAnsi="宋体" w:cs="宋体" w:eastAsia="宋体" w:hint="ascii"/>
                <w:sz w:val="15"/>
              </w:rPr>
              <w:t>病学、职业</w:t>
            </w:r>
          </w:p>
          <w:p>
            <w:pPr>
              <w:autoSpaceDE w:val="0"/>
              <w:autoSpaceDN w:val="0"/>
              <w:jc w:val="left"/>
              <w:spacing w:before="6" w:after="0" w:lineRule="exact" w:line="188"/>
              <w:ind w:right="0" w:left="405" w:firstLine="0"/>
              <w:snapToGrid w:val="0"/>
              <w:textAlignment w:val="auto"/>
              <w:tabs/>
              <w:rPr>
                <w:rFonts w:ascii="宋体" w:hAnsi="宋体" w:cs="宋体" w:eastAsia="宋体" w:hint="ascii"/>
                <w:sz w:val="15"/>
              </w:rPr>
            </w:pPr>
            <w:r>
              <w:rPr>
                <w:rFonts w:ascii="宋体" w:hAnsi="宋体" w:cs="宋体" w:eastAsia="宋体" w:hint="ascii"/>
                <w:sz w:val="15"/>
              </w:rPr>
              <w:t>病学、放射医学</w:t>
            </w:r>
          </w:p>
        </w:tc>
        <w:tc>
          <w:tcPr>
            <w:tcW w:w="794" w:type="dxa"/>
            <w:gridSpan w:val="1"/>
            <w:vAlign w:val="top"/>
            <w:tcMar/>
            <w:tcBorders>
              <w:left w:val="single" w:sz="4" w:space="0" w:color="000000"/>
              <w:top w:val="single" w:sz="4" w:space="0" w:color="000000"/>
            </w:tcBorders>
          </w:tcPr>
          <w:p>
            <w:pPr>
              <w:autoSpaceDE w:val="0"/>
              <w:autoSpaceDN w:val="0"/>
              <w:jc w:val="left"/>
              <w:spacing w:before="244"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206</w:t>
            </w:r>
          </w:p>
        </w:tc>
        <w:tc>
          <w:tcPr>
            <w:tcW w:w="793" w:type="dxa"/>
            <w:gridSpan w:val="1"/>
            <w:vAlign w:val="top"/>
            <w:tcMar/>
            <w:tcBorders>
              <w:left w:val="single" w:sz="4" w:space="0" w:color="000000"/>
              <w:top w:val="single" w:sz="4" w:space="0" w:color="000000"/>
            </w:tcBorders>
          </w:tcPr>
          <w:p>
            <w:pPr>
              <w:autoSpaceDE w:val="0"/>
              <w:autoSpaceDN w:val="0"/>
              <w:jc w:val="left"/>
              <w:spacing w:before="244" w:after="0" w:lineRule="auto" w:line="240"/>
              <w:ind w:right="0" w:left="260" w:firstLine="0"/>
              <w:snapToGrid w:val="0"/>
              <w:textAlignment w:val="auto"/>
              <w:tabs>
                <w:tab w:val="left" w:leader="none" w:pos="378"/>
              </w:tabs>
              <w:numPr>
                <w:ilvl w:val="0"/>
                <w:numId w:val="236"/>
              </w:numPr>
              <w:rPr>
                <w:rFonts w:ascii="Times New Roman" w:hAnsi="Times New Roman" w:cs="Times New Roman" w:eastAsia="Times New Roman" w:hint="ascii"/>
                <w:sz w:val="15"/>
              </w:rPr>
            </w:pPr>
            <w:r>
              <w:rPr>
                <w:rFonts w:ascii="Times New Roman" w:hAnsi="Times New Roman" w:cs="Times New Roman" w:eastAsia="Times New Roman" w:hint="ascii"/>
                <w:sz w:val="15"/>
              </w:rPr>
              <w:t>592</w:t>
            </w:r>
          </w:p>
        </w:tc>
        <w:tc>
          <w:tcPr>
            <w:tcW w:w="1078" w:type="dxa"/>
            <w:gridSpan w:val="1"/>
            <w:vAlign w:val="top"/>
            <w:tcMar/>
            <w:tcBorders>
              <w:left w:val="single" w:sz="4" w:space="0" w:color="000000"/>
              <w:top w:val="single" w:sz="4" w:space="0" w:color="000000"/>
            </w:tcBorders>
          </w:tcPr>
          <w:p>
            <w:pPr>
              <w:autoSpaceDE w:val="0"/>
              <w:autoSpaceDN w:val="0"/>
              <w:jc w:val="left"/>
              <w:spacing w:before="244"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23.49</w:t>
            </w:r>
          </w:p>
        </w:tc>
        <w:tc>
          <w:tcPr>
            <w:tcW w:w="793" w:type="dxa"/>
            <w:gridSpan w:val="1"/>
            <w:vAlign w:val="top"/>
            <w:tcMar/>
            <w:tcBorders>
              <w:left w:val="single" w:sz="4" w:space="0" w:color="000000"/>
              <w:top w:val="single" w:sz="4" w:space="0" w:color="000000"/>
            </w:tcBorders>
          </w:tcPr>
          <w:p>
            <w:pPr>
              <w:autoSpaceDE w:val="0"/>
              <w:autoSpaceDN w:val="0"/>
              <w:jc w:val="left"/>
              <w:spacing w:before="244"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230</w:t>
            </w:r>
          </w:p>
        </w:tc>
        <w:tc>
          <w:tcPr>
            <w:tcW w:w="795" w:type="dxa"/>
            <w:gridSpan w:val="1"/>
            <w:vAlign w:val="top"/>
            <w:tcMar/>
            <w:tcBorders>
              <w:left w:val="single" w:sz="4" w:space="0" w:color="000000"/>
              <w:top w:val="single" w:sz="4" w:space="0" w:color="000000"/>
            </w:tcBorders>
          </w:tcPr>
          <w:p>
            <w:pPr>
              <w:autoSpaceDE w:val="0"/>
              <w:autoSpaceDN w:val="0"/>
              <w:jc w:val="left"/>
              <w:spacing w:before="244" w:after="0" w:lineRule="auto" w:line="240"/>
              <w:ind w:right="0" w:left="260" w:firstLine="0"/>
              <w:snapToGrid w:val="0"/>
              <w:textAlignment w:val="auto"/>
              <w:tabs>
                <w:tab w:val="left" w:leader="none" w:pos="378"/>
              </w:tabs>
              <w:numPr>
                <w:ilvl w:val="0"/>
                <w:numId w:val="236"/>
              </w:numPr>
              <w:rPr>
                <w:rFonts w:ascii="Times New Roman" w:hAnsi="Times New Roman" w:cs="Times New Roman" w:eastAsia="Times New Roman" w:hint="ascii"/>
                <w:sz w:val="15"/>
              </w:rPr>
            </w:pPr>
            <w:r>
              <w:rPr>
                <w:rFonts w:ascii="Times New Roman" w:hAnsi="Times New Roman" w:cs="Times New Roman" w:eastAsia="Times New Roman" w:hint="ascii"/>
                <w:sz w:val="15"/>
              </w:rPr>
              <w:t>593</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4"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22.82</w:t>
            </w:r>
          </w:p>
        </w:tc>
      </w:tr>
      <w:tr>
        <w:trPr>
          <w:trHeight w:val="264" w:hRule="exact"/>
          <w:cantSplit w:val="1"/>
        </w:trPr>
        <w:tc>
          <w:tcPr>
            <w:tcW w:w="794" w:type="dxa"/>
            <w:gridSpan w:val="1"/>
            <w:vAlign w:val="top"/>
            <w:tcMar/>
            <w:tcBorders>
              <w:top w:val="single" w:sz="4" w:space="0" w:color="000000"/>
            </w:tcBorders>
          </w:tcPr>
          <w:p>
            <w:pPr>
              <w:autoSpaceDE w:val="0"/>
              <w:autoSpaceDN w:val="0"/>
              <w:jc w:val="left"/>
              <w:spacing w:before="15"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九处</w:t>
            </w:r>
          </w:p>
        </w:tc>
        <w:tc>
          <w:tcPr>
            <w:tcW w:w="1871"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405" w:firstLine="0"/>
              <w:snapToGrid w:val="0"/>
              <w:textAlignment w:val="auto"/>
              <w:tabs/>
              <w:rPr>
                <w:rFonts w:ascii="宋体" w:hAnsi="宋体" w:cs="宋体" w:eastAsia="宋体" w:hint="ascii"/>
                <w:sz w:val="15"/>
              </w:rPr>
            </w:pPr>
            <w:r>
              <w:rPr>
                <w:rFonts w:ascii="宋体" w:hAnsi="宋体" w:cs="宋体" w:eastAsia="宋体" w:hint="ascii"/>
                <w:sz w:val="15"/>
              </w:rPr>
              <w:t>药物学、药理学</w:t>
            </w:r>
          </w:p>
        </w:tc>
        <w:tc>
          <w:tcPr>
            <w:tcW w:w="79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275</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4 781</w:t>
            </w:r>
          </w:p>
        </w:tc>
        <w:tc>
          <w:tcPr>
            <w:tcW w:w="1078"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22.95</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307</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60" w:firstLine="0"/>
              <w:snapToGrid w:val="0"/>
              <w:textAlignment w:val="auto"/>
              <w:tabs>
                <w:tab w:val="left" w:leader="none" w:pos="378"/>
              </w:tabs>
              <w:numPr>
                <w:ilvl w:val="0"/>
                <w:numId w:val="233"/>
              </w:numPr>
              <w:rPr>
                <w:rFonts w:ascii="Times New Roman" w:hAnsi="Times New Roman" w:cs="Times New Roman" w:eastAsia="Times New Roman" w:hint="ascii"/>
                <w:sz w:val="15"/>
              </w:rPr>
            </w:pPr>
            <w:r>
              <w:rPr>
                <w:rFonts w:ascii="Times New Roman" w:hAnsi="Times New Roman" w:cs="Times New Roman" w:eastAsia="Times New Roman" w:hint="ascii"/>
                <w:sz w:val="15"/>
              </w:rPr>
              <w:t>172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23.29</w:t>
            </w:r>
          </w:p>
        </w:tc>
      </w:tr>
      <w:tr>
        <w:trPr>
          <w:trHeight w:val="496" w:hRule="exact"/>
          <w:cantSplit w:val="1"/>
        </w:trPr>
        <w:tc>
          <w:tcPr>
            <w:tcW w:w="794" w:type="dxa"/>
            <w:gridSpan w:val="1"/>
            <w:vAlign w:val="top"/>
            <w:tcMar/>
            <w:tcBorders>
              <w:top w:val="single" w:sz="4" w:space="0" w:color="000000"/>
            </w:tcBorders>
          </w:tcPr>
          <w:p>
            <w:pPr>
              <w:autoSpaceDE w:val="0"/>
              <w:autoSpaceDN w:val="0"/>
              <w:jc w:val="left"/>
              <w:spacing w:before="132" w:after="0" w:lineRule="exact" w:line="188"/>
              <w:ind w:right="0" w:left="237" w:firstLine="0"/>
              <w:snapToGrid w:val="0"/>
              <w:textAlignment w:val="auto"/>
              <w:tabs/>
              <w:rPr>
                <w:rFonts w:ascii="宋体" w:hAnsi="宋体" w:cs="宋体" w:eastAsia="宋体" w:hint="ascii"/>
                <w:sz w:val="15"/>
              </w:rPr>
            </w:pPr>
            <w:r>
              <w:rPr>
                <w:rFonts w:ascii="宋体" w:hAnsi="宋体" w:cs="宋体" w:eastAsia="宋体" w:hint="ascii"/>
                <w:sz w:val="15"/>
              </w:rPr>
              <w:t>十处</w:t>
            </w:r>
          </w:p>
        </w:tc>
        <w:tc>
          <w:tcPr>
            <w:tcW w:w="1871"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105" w:firstLine="0"/>
              <w:snapToGrid w:val="0"/>
              <w:textAlignment w:val="auto"/>
              <w:tabs/>
              <w:rPr>
                <w:rFonts w:ascii="宋体" w:hAnsi="宋体" w:cs="宋体" w:eastAsia="宋体" w:hint="ascii"/>
                <w:sz w:val="15"/>
              </w:rPr>
            </w:pPr>
            <w:r>
              <w:rPr>
                <w:rFonts w:ascii="宋体" w:hAnsi="宋体" w:cs="宋体" w:eastAsia="宋体" w:hint="ascii"/>
                <w:sz w:val="15"/>
              </w:rPr>
              <w:t>中医学、中西医结合学、</w:t>
            </w:r>
          </w:p>
          <w:p>
            <w:pPr>
              <w:autoSpaceDE w:val="0"/>
              <w:autoSpaceDN w:val="0"/>
              <w:jc w:val="left"/>
              <w:spacing w:before="7" w:after="0" w:lineRule="exact" w:line="188"/>
              <w:ind w:right="0" w:left="705" w:firstLine="0"/>
              <w:snapToGrid w:val="0"/>
              <w:textAlignment w:val="auto"/>
              <w:tabs/>
              <w:rPr>
                <w:rFonts w:ascii="宋体" w:hAnsi="宋体" w:cs="宋体" w:eastAsia="宋体" w:hint="ascii"/>
                <w:sz w:val="15"/>
              </w:rPr>
            </w:pPr>
            <w:r>
              <w:rPr>
                <w:rFonts w:ascii="宋体" w:hAnsi="宋体" w:cs="宋体" w:eastAsia="宋体" w:hint="ascii"/>
                <w:sz w:val="15"/>
              </w:rPr>
              <w:t>中药学</w:t>
            </w:r>
          </w:p>
        </w:tc>
        <w:tc>
          <w:tcPr>
            <w:tcW w:w="794" w:type="dxa"/>
            <w:gridSpan w:val="1"/>
            <w:vAlign w:val="top"/>
            <w:tcMar/>
            <w:tcBorders>
              <w:left w:val="single" w:sz="4" w:space="0" w:color="000000"/>
              <w:top w:val="single" w:sz="4" w:space="0" w:color="000000"/>
            </w:tcBorders>
          </w:tcPr>
          <w:p>
            <w:pPr>
              <w:autoSpaceDE w:val="0"/>
              <w:autoSpaceDN w:val="0"/>
              <w:jc w:val="left"/>
              <w:spacing w:before="138"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501</w:t>
            </w:r>
          </w:p>
        </w:tc>
        <w:tc>
          <w:tcPr>
            <w:tcW w:w="793" w:type="dxa"/>
            <w:gridSpan w:val="1"/>
            <w:vAlign w:val="top"/>
            <w:tcMar/>
            <w:tcBorders>
              <w:left w:val="single" w:sz="4" w:space="0" w:color="000000"/>
              <w:top w:val="single" w:sz="4" w:space="0" w:color="000000"/>
            </w:tcBorders>
          </w:tcPr>
          <w:p>
            <w:pPr>
              <w:autoSpaceDE w:val="0"/>
              <w:autoSpaceDN w:val="0"/>
              <w:jc w:val="left"/>
              <w:spacing w:before="138" w:after="0" w:lineRule="auto" w:line="240"/>
              <w:ind w:right="0" w:left="260" w:firstLine="0"/>
              <w:snapToGrid w:val="0"/>
              <w:textAlignment w:val="auto"/>
              <w:tabs>
                <w:tab w:val="left" w:leader="none" w:pos="378"/>
              </w:tabs>
              <w:numPr>
                <w:ilvl w:val="0"/>
                <w:numId w:val="234"/>
              </w:numPr>
              <w:rPr>
                <w:rFonts w:ascii="Times New Roman" w:hAnsi="Times New Roman" w:cs="Times New Roman" w:eastAsia="Times New Roman" w:hint="ascii"/>
                <w:sz w:val="15"/>
              </w:rPr>
            </w:pPr>
            <w:r>
              <w:rPr>
                <w:rFonts w:ascii="Times New Roman" w:hAnsi="Times New Roman" w:cs="Times New Roman" w:eastAsia="Times New Roman" w:hint="ascii"/>
                <w:sz w:val="15"/>
              </w:rPr>
              <w:t>699</w:t>
            </w:r>
          </w:p>
        </w:tc>
        <w:tc>
          <w:tcPr>
            <w:tcW w:w="1078" w:type="dxa"/>
            <w:gridSpan w:val="1"/>
            <w:vAlign w:val="top"/>
            <w:tcMar/>
            <w:tcBorders>
              <w:left w:val="single" w:sz="4" w:space="0" w:color="000000"/>
              <w:top w:val="single" w:sz="4" w:space="0" w:color="000000"/>
            </w:tcBorders>
          </w:tcPr>
          <w:p>
            <w:pPr>
              <w:autoSpaceDE w:val="0"/>
              <w:autoSpaceDN w:val="0"/>
              <w:jc w:val="left"/>
              <w:spacing w:before="138"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15.23</w:t>
            </w:r>
          </w:p>
        </w:tc>
        <w:tc>
          <w:tcPr>
            <w:tcW w:w="793" w:type="dxa"/>
            <w:gridSpan w:val="1"/>
            <w:vAlign w:val="top"/>
            <w:tcMar/>
            <w:tcBorders>
              <w:left w:val="single" w:sz="4" w:space="0" w:color="000000"/>
              <w:top w:val="single" w:sz="4" w:space="0" w:color="000000"/>
            </w:tcBorders>
          </w:tcPr>
          <w:p>
            <w:pPr>
              <w:autoSpaceDE w:val="0"/>
              <w:autoSpaceDN w:val="0"/>
              <w:jc w:val="left"/>
              <w:spacing w:before="138" w:after="0" w:lineRule="auto" w:line="240"/>
              <w:ind w:right="0" w:left="3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569</w:t>
            </w:r>
          </w:p>
        </w:tc>
        <w:tc>
          <w:tcPr>
            <w:tcW w:w="795" w:type="dxa"/>
            <w:gridSpan w:val="1"/>
            <w:vAlign w:val="top"/>
            <w:tcMar/>
            <w:tcBorders>
              <w:left w:val="single" w:sz="4" w:space="0" w:color="000000"/>
              <w:top w:val="single" w:sz="4" w:space="0" w:color="000000"/>
            </w:tcBorders>
          </w:tcPr>
          <w:p>
            <w:pPr>
              <w:autoSpaceDE w:val="0"/>
              <w:autoSpaceDN w:val="0"/>
              <w:jc w:val="left"/>
              <w:spacing w:before="138" w:after="0" w:lineRule="auto" w:line="240"/>
              <w:ind w:right="0" w:left="18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1 382</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8"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14.15</w:t>
            </w:r>
          </w:p>
        </w:tc>
      </w:tr>
      <w:tr>
        <w:trPr>
          <w:trHeight w:val="265" w:hRule="exact"/>
          <w:cantSplit w:val="1"/>
        </w:trPr>
        <w:tc>
          <w:tcPr>
            <w:tcW w:w="2665" w:type="dxa"/>
            <w:gridSpan w:val="2"/>
            <w:vAlign w:val="top"/>
            <w:tcMar/>
            <w:tcBorders>
              <w:top w:val="single" w:sz="4" w:space="0" w:color="000000"/>
            </w:tcBorders>
          </w:tcPr>
          <w:p>
            <w:pPr>
              <w:autoSpaceDE w:val="0"/>
              <w:autoSpaceDN w:val="0"/>
              <w:jc w:val="left"/>
              <w:spacing w:before="17" w:after="0" w:lineRule="exact" w:line="188"/>
              <w:ind w:right="0" w:left="872"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79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41" w:firstLine="0"/>
              <w:snapToGrid w:val="0"/>
              <w:textAlignment w:val="auto"/>
              <w:tabs>
                <w:tab w:val="left" w:leader="none" w:pos="359"/>
              </w:tabs>
              <w:numPr>
                <w:ilvl w:val="0"/>
                <w:numId w:val="237"/>
              </w:numPr>
              <w:rPr>
                <w:rFonts w:ascii="Times New Roman" w:hAnsi="Times New Roman" w:cs="Times New Roman" w:eastAsia="Times New Roman" w:hint="ascii"/>
                <w:sz w:val="15"/>
              </w:rPr>
            </w:pPr>
            <w:r>
              <w:rPr>
                <w:rFonts w:ascii="Times New Roman" w:hAnsi="Times New Roman" w:cs="Times New Roman" w:eastAsia="Times New Roman" w:hint="ascii"/>
                <w:sz w:val="15"/>
              </w:rPr>
              <w:t>720</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64 710</w:t>
            </w:r>
          </w:p>
        </w:tc>
        <w:tc>
          <w:tcPr>
            <w:tcW w:w="1078"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18.01</w:t>
            </w:r>
          </w:p>
        </w:tc>
        <w:tc>
          <w:tcPr>
            <w:tcW w:w="7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241" w:firstLine="0"/>
              <w:snapToGrid w:val="0"/>
              <w:textAlignment w:val="auto"/>
              <w:tabs>
                <w:tab w:val="left" w:leader="none" w:pos="359"/>
              </w:tabs>
              <w:numPr>
                <w:ilvl w:val="0"/>
                <w:numId w:val="237"/>
              </w:numPr>
              <w:rPr>
                <w:rFonts w:ascii="Times New Roman" w:hAnsi="Times New Roman" w:cs="Times New Roman" w:eastAsia="Times New Roman" w:hint="ascii"/>
                <w:sz w:val="15"/>
              </w:rPr>
            </w:pPr>
            <w:r>
              <w:rPr>
                <w:rFonts w:ascii="Times New Roman" w:hAnsi="Times New Roman" w:cs="Times New Roman" w:eastAsia="Times New Roman" w:hint="ascii"/>
                <w:sz w:val="15"/>
              </w:rPr>
              <w:t>200</w:t>
            </w:r>
          </w:p>
        </w:tc>
        <w:tc>
          <w:tcPr>
            <w:tcW w:w="7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18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84 010</w:t>
            </w:r>
          </w:p>
        </w:tc>
        <w:tc>
          <w:tcPr>
            <w:tcW w:w="1077"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17.03</w:t>
            </w:r>
          </w:p>
        </w:tc>
      </w:tr>
      <w:tr>
        <w:trPr>
          <w:trHeight w:val="270" w:hRule="exact"/>
          <w:cantSplit w:val="1"/>
        </w:trPr>
        <w:tc>
          <w:tcPr>
            <w:tcW w:w="2665" w:type="dxa"/>
            <w:gridSpan w:val="2"/>
            <w:vAlign w:val="top"/>
            <w:tcMar/>
            <w:tcBorders>
              <w:top w:val="single" w:sz="4" w:space="0" w:color="000000"/>
              <w:bottom w:val="single" w:sz="8" w:space="0" w:color="000000"/>
            </w:tcBorders>
          </w:tcPr>
          <w:p>
            <w:pPr>
              <w:autoSpaceDE w:val="0"/>
              <w:autoSpaceDN w:val="0"/>
              <w:jc w:val="left"/>
              <w:spacing w:before="17" w:after="0" w:lineRule="exact" w:line="188"/>
              <w:ind w:right="0" w:left="176"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665"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23" w:after="0" w:lineRule="auto" w:line="240"/>
              <w:ind w:right="0" w:left="11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17.40</w:t>
            </w:r>
          </w:p>
        </w:tc>
        <w:tc>
          <w:tcPr>
            <w:tcW w:w="2665"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23" w:after="0" w:lineRule="auto" w:line="240"/>
              <w:ind w:right="0" w:left="11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r>
    </w:tbl>
    <w:p>
      <w:pPr>
        <w:autoSpaceDE w:val="0"/>
        <w:autoSpaceDN w:val="0"/>
        <w:jc w:val="left"/>
        <w:spacing w:before="824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139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2875" w:firstLine="0"/>
        <w:snapToGrid w:val="0"/>
        <w:textAlignment w:val="auto"/>
        <w:tabs/>
        <w:rPr>
          <w:rFonts w:ascii="宋体" w:hAnsi="宋体" w:cs="宋体" w:eastAsia="宋体" w:hint="ascii"/>
          <w:sz w:val="52"/>
        </w:rPr>
      </w:pPr>
      <w:r>
        <w:rPr>
          <w:rFonts w:ascii="宋体" w:hAnsi="宋体" w:cs="宋体" w:eastAsia="宋体" w:hint="ascii"/>
          <w:sz w:val="52"/>
        </w:rPr>
        <w:t>地区科学基金项目</w:t>
      </w:r>
      <w:r>
        <w:rPr>
          <w:rFonts w:ascii="宋体" w:hAnsi="宋体" w:cs="宋体" w:eastAsia="宋体" w:hint="ascii"/>
          <w:sz w:val="52"/>
        </w:rPr>
        <mc:AlternateContent>
          <mc:Choice Requires="wps">
            <w:drawing>
              <wp:anchor distL="0" distR="0" distT="0" distB="0" simplePos="0" behindDoc="1" relativeHeight="209" locked="0" layoutInCell="1" allowOverlap="1">
                <wp:simplePos x="0" y="0"/>
                <wp:positionH relativeFrom="page">
                  <wp:posOffset>938530</wp:posOffset>
                </wp:positionH>
                <wp:positionV relativeFrom="page">
                  <wp:posOffset>805815</wp:posOffset>
                </wp:positionV>
                <wp:extent cx="5076190" cy="0"/>
                <wp:wrapNone/>
                <wp:docPr id="1238" name="123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44224;width:399.70pt;" id="1238"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10" locked="0" layoutInCell="1" allowOverlap="1">
                <wp:simplePos x="0" y="0"/>
                <wp:positionH relativeFrom="page">
                  <wp:posOffset>448945</wp:posOffset>
                </wp:positionH>
                <wp:positionV relativeFrom="page">
                  <wp:posOffset>353060</wp:posOffset>
                </wp:positionV>
                <wp:extent cx="6049645" cy="530225"/>
                <wp:wrapNone/>
                <wp:docPr id="1239" name="1239"/>
                <wp:cNvGraphicFramePr/>
                <a:graphic>
                  <a:graphicData uri="http://schemas.microsoft.com/office/word/2010/wordprocessingShape">
                    <wps:wsp>
                      <wps:cNvSpPr/>
                      <wps:spPr>
                        <a:xfrm>
                          <a:off x="0" y="0"/>
                          <a:ext cx="6049645" cy="53022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5.35pt;mso-position-vertical:absolute;mso-position-vertical-relative:page;margin-top:27.80pt;z-index:-251443200;width:476.35pt;height:41.75pt;" id="1239" coordsize="9527,835" stroked="f" fillcolor="#ffffff" opacity="0f">
                <v:stroke endcap="round"/>
                <v:fill opacity="0f"/>
                <w10:wrap anchorx="page" anchory="page" side="both"/>
              </v:rect>
            </w:pict>
          </mc:Fallback>
        </mc:AlternateContent>
      </w:r>
    </w:p>
    <w:p>
      <w:pPr>
        <w:autoSpaceDE w:val="0"/>
        <w:autoSpaceDN w:val="0"/>
        <w:jc w:val="left"/>
        <w:spacing w:before="433"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地区科学基金项目支持特定地区的部分依托单位的科学技术人员在科学</w:t>
      </w:r>
    </w:p>
    <w:p>
      <w:pPr>
        <w:autoSpaceDE w:val="0"/>
        <w:autoSpaceDN w:val="0"/>
        <w:jc w:val="both"/>
        <w:spacing w:before="9" w:after="0" w:lineRule="exact" w:line="344"/>
        <w:ind w:right="975" w:left="966" w:firstLine="0"/>
        <w:snapToGrid w:val="0"/>
        <w:textAlignment w:val="auto"/>
        <w:tabs/>
        <w:rPr>
          <w:rFonts w:ascii="宋体" w:hAnsi="宋体" w:cs="宋体" w:eastAsia="宋体" w:hint="ascii"/>
        </w:rPr>
      </w:pPr>
      <w:r>
        <w:rPr>
          <w:rFonts w:ascii="宋体" w:hAnsi="宋体" w:cs="宋体" w:eastAsia="宋体" w:hint="ascii"/>
          <w:spacing w:val="2"/>
        </w:rPr>
        <w:t>基金资助范围内开展创</w:t>
      </w:r>
      <w:r>
        <w:rPr>
          <w:rFonts w:ascii="宋体" w:hAnsi="宋体" w:cs="宋体" w:eastAsia="宋体" w:hint="ascii"/>
          <w:spacing w:val="1"/>
        </w:rPr>
        <w:t>新性的科学研究，培养和扶植该地区的科学技术</w:t>
      </w:r>
      <w:r>
        <w:rPr>
          <w:rFonts w:ascii="宋体" w:hAnsi="宋体" w:cs="宋体" w:eastAsia="宋体" w:hint="ascii"/>
          <w:spacing w:val="-8"/>
        </w:rPr>
        <w:t>人</w:t>
      </w:r>
      <w:r>
        <w:rPr>
          <w:rFonts w:ascii="宋体" w:hAnsi="宋体" w:cs="宋体" w:eastAsia="宋体" w:hint="ascii"/>
        </w:rPr>
        <w:t>员，稳定和凝聚优秀人才，为区域创新体系建设与经济、社会发展服务。</w:t>
      </w:r>
    </w:p>
    <w:p>
      <w:pPr>
        <w:autoSpaceDE w:val="0"/>
        <w:autoSpaceDN w:val="0"/>
        <w:jc w:val="left"/>
        <w:spacing w:before="3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地区科学基金项目申请人应当具备以下条件：</w:t>
      </w:r>
    </w:p>
    <w:p>
      <w:pPr>
        <w:autoSpaceDE w:val="0"/>
        <w:autoSpaceDN w:val="0"/>
        <w:jc w:val="left"/>
        <w:spacing w:before="4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）具有承担基础研究课题或者其他从事基础研究的经历；</w:t>
      </w:r>
    </w:p>
    <w:p>
      <w:pPr>
        <w:autoSpaceDE w:val="0"/>
        <w:autoSpaceDN w:val="0"/>
        <w:jc w:val="both"/>
        <w:spacing w:before="10" w:after="0" w:lineRule="exact" w:line="343"/>
        <w:ind w:right="975"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）具有高级专业技术职务（职称）或者具有博士学位，或者有</w:t>
      </w:r>
      <w:r>
        <w:rPr>
          <w:rFonts w:ascii="宋体" w:hAnsi="宋体" w:cs="宋体" w:eastAsia="宋体" w:hint="ascii"/>
          <w:spacing w:val="-30"/>
        </w:rPr>
        <w:t xml:space="preserve"> </w:t>
      </w:r>
      <w:r>
        <w:rPr>
          <w:rFonts w:ascii="Times New Roman" w:hAnsi="Times New Roman" w:cs="Times New Roman" w:eastAsia="Times New Roman" w:hint="ascii"/>
          <w:spacing w:val="61"/>
        </w:rPr>
        <w:t>2</w:t>
      </w:r>
      <w:r>
        <w:rPr>
          <w:rFonts w:ascii="宋体" w:hAnsi="宋体" w:cs="宋体" w:eastAsia="宋体" w:hint="ascii"/>
        </w:rPr>
        <w:t>名与其研究领域相同、具有高级专业技术职务（职称）的科学技术人员推荐。</w:t>
      </w:r>
    </w:p>
    <w:p>
      <w:pPr>
        <w:autoSpaceDE w:val="0"/>
        <w:autoSpaceDN w:val="0"/>
        <w:jc w:val="left"/>
        <w:spacing w:before="36"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符合上述条件，隶属于内蒙古自治区、宁夏回族自治区、青海省、新疆</w:t>
      </w:r>
    </w:p>
    <w:p>
      <w:pPr>
        <w:autoSpaceDE w:val="0"/>
        <w:autoSpaceDN w:val="0"/>
        <w:jc w:val="both"/>
        <w:spacing w:before="10" w:after="0" w:lineRule="exact" w:line="343"/>
        <w:ind w:right="975" w:left="966" w:firstLine="0"/>
        <w:snapToGrid w:val="0"/>
        <w:textAlignment w:val="auto"/>
        <w:tabs/>
        <w:rPr>
          <w:rFonts w:ascii="宋体" w:hAnsi="宋体" w:cs="宋体" w:eastAsia="宋体" w:hint="ascii"/>
        </w:rPr>
      </w:pPr>
      <w:r>
        <w:rPr>
          <w:rFonts w:ascii="宋体" w:hAnsi="宋体" w:cs="宋体" w:eastAsia="宋体" w:hint="ascii"/>
          <w:spacing w:val="2"/>
        </w:rPr>
        <w:t>维吾尔自治区、新疆生</w:t>
      </w:r>
      <w:r>
        <w:rPr>
          <w:rFonts w:ascii="宋体" w:hAnsi="宋体" w:cs="宋体" w:eastAsia="宋体" w:hint="ascii"/>
          <w:spacing w:val="1"/>
        </w:rPr>
        <w:t>产建设兵团、西藏自治区、广西壮族自治区、海</w:t>
      </w:r>
      <w:r>
        <w:rPr>
          <w:rFonts w:ascii="宋体" w:hAnsi="宋体" w:cs="宋体" w:eastAsia="宋体" w:hint="ascii"/>
          <w:spacing w:val="-8"/>
        </w:rPr>
        <w:t>南</w:t>
      </w:r>
      <w:r>
        <w:rPr>
          <w:rFonts w:ascii="宋体" w:hAnsi="宋体" w:cs="宋体" w:eastAsia="宋体" w:hint="ascii"/>
        </w:rPr>
        <w:t>省、贵州省、江西省、云南省、甘肃省、吉林省延边朝鲜族自治州、湖北省恩施土家族苗族自治州、湖南省湘西土家族苗族自治州、四川省凉山彝族自治州、四川省甘孜藏族自治州、四川省阿坝藏族羌族自治州、陕西省延安市和陕西省榆林市依托单位的全职科学技术人员，以及按照国家政策由中共中央组织部派出正在进行三年（含）期以上援疆、援藏的科学技术人员，可以作为申请人申请地区科学基金项目。其中援疆、援藏的科学技术人员应提供受援依托单位组织部门或人事部门出具的援疆或援藏的证明材料，作为附件随申请书一并报送。</w:t>
      </w:r>
    </w:p>
    <w:p>
      <w:pPr>
        <w:autoSpaceDE w:val="0"/>
        <w:autoSpaceDN w:val="0"/>
        <w:jc w:val="left"/>
        <w:spacing w:before="41"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上述地区的中央和中国人民解放军所属依托单位及上述地区以外的科学</w:t>
      </w:r>
    </w:p>
    <w:p>
      <w:pPr>
        <w:autoSpaceDE w:val="0"/>
        <w:autoSpaceDN w:val="0"/>
        <w:jc w:val="both"/>
        <w:spacing w:before="9" w:after="0" w:lineRule="exact" w:line="344"/>
        <w:ind w:right="975" w:left="966" w:firstLine="0"/>
        <w:snapToGrid w:val="0"/>
        <w:textAlignment w:val="auto"/>
        <w:tabs/>
        <w:rPr>
          <w:rFonts w:ascii="宋体" w:hAnsi="宋体" w:cs="宋体" w:eastAsia="宋体" w:hint="ascii"/>
        </w:rPr>
      </w:pPr>
      <w:r>
        <w:rPr>
          <w:rFonts w:ascii="宋体" w:hAnsi="宋体" w:cs="宋体" w:eastAsia="宋体" w:hint="ascii"/>
        </w:rPr>
        <w:t>技术人员，以及地区科学基金资助范围内依托单位的非全职人员，不得作为申请人申请地区科学基金项目，但可以作为主要参与者参与申请。正在攻读研究生学位的人员不得作为申请人申请地区科学基金项目，但在职人员经过导师同意可以通过其受聘单位申请。无工作单位或者所在单位不是依托单位的人员不得作为申请人申请地区科学基金项目。</w:t>
      </w:r>
    </w:p>
    <w:p>
      <w:pPr>
        <w:autoSpaceDE w:val="0"/>
        <w:autoSpaceDN w:val="0"/>
        <w:jc w:val="left"/>
        <w:spacing w:before="33"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为均衡扶持地区科学基金资助范围内的科学技术人员，引导和鼓励上述</w:t>
      </w:r>
    </w:p>
    <w:p>
      <w:pPr>
        <w:autoSpaceDE w:val="0"/>
        <w:autoSpaceDN w:val="0"/>
        <w:jc w:val="both"/>
        <w:spacing w:before="9" w:after="0" w:lineRule="exact" w:line="344"/>
        <w:ind w:right="975" w:left="966" w:firstLine="0"/>
        <w:snapToGrid w:val="0"/>
        <w:textAlignment w:val="auto"/>
        <w:tabs/>
        <w:rPr>
          <w:rFonts w:ascii="宋体" w:hAnsi="宋体" w:cs="宋体" w:eastAsia="宋体" w:hint="ascii"/>
        </w:rPr>
      </w:pPr>
      <w:r>
        <w:rPr>
          <w:rFonts w:ascii="宋体" w:hAnsi="宋体" w:cs="宋体" w:eastAsia="宋体" w:hint="ascii"/>
          <w:spacing w:val="-2"/>
        </w:rPr>
        <w:t>人</w:t>
      </w:r>
      <w:r>
        <w:rPr>
          <w:rFonts w:ascii="宋体" w:hAnsi="宋体" w:cs="宋体" w:eastAsia="宋体" w:hint="ascii"/>
          <w:spacing w:val="-1"/>
        </w:rPr>
        <w:t>员参与面上项目等其他类型项目的竞争，提升区域基础研究水平，</w:t>
      </w:r>
      <w:r>
        <w:rPr>
          <w:rFonts w:ascii="宋体" w:hAnsi="宋体" w:cs="宋体" w:eastAsia="宋体" w:hint="ascii"/>
          <w:spacing w:val="29"/>
        </w:rPr>
        <w:t>自</w:t>
      </w:r>
      <w:r>
        <w:rPr>
          <w:rFonts w:ascii="Times New Roman" w:hAnsi="Times New Roman" w:cs="Times New Roman" w:eastAsia="Times New Roman" w:hint="ascii"/>
          <w:spacing w:val="-1"/>
        </w:rPr>
        <w:t>2016</w:t>
      </w:r>
      <w:r>
        <w:rPr>
          <w:rFonts w:ascii="Times New Roman" w:hAnsi="Times New Roman" w:cs="Times New Roman" w:eastAsia="Times New Roman" w:hint="ascii"/>
        </w:rPr>
        <w:t xml:space="preserve"> </w:t>
      </w:r>
      <w:r>
        <w:rPr>
          <w:rFonts w:ascii="宋体" w:hAnsi="宋体" w:cs="宋体" w:eastAsia="宋体" w:hint="ascii"/>
        </w:rPr>
        <w:t>年起，作为项目负责人获得地区科学基金项目资助累计已满</w:t>
      </w:r>
      <w:r>
        <w:rPr>
          <w:rFonts w:ascii="宋体" w:hAnsi="宋体" w:cs="宋体" w:eastAsia="宋体" w:hint="ascii"/>
          <w:spacing w:val="-30"/>
        </w:rPr>
        <w:t xml:space="preserve"> </w:t>
      </w:r>
      <w:r>
        <w:rPr>
          <w:rFonts w:ascii="Times New Roman" w:hAnsi="Times New Roman" w:cs="Times New Roman" w:eastAsia="Times New Roman" w:hint="ascii"/>
        </w:rPr>
        <w:t>3</w:t>
      </w:r>
      <w:r>
        <w:rPr>
          <w:rFonts w:ascii="Times New Roman" w:hAnsi="Times New Roman" w:cs="Times New Roman" w:eastAsia="Times New Roman" w:hint="ascii"/>
          <w:spacing w:val="-30"/>
        </w:rPr>
        <w:t xml:space="preserve"> </w:t>
      </w:r>
      <w:r>
        <w:rPr>
          <w:rFonts w:ascii="宋体" w:hAnsi="宋体" w:cs="宋体" w:eastAsia="宋体" w:hint="ascii"/>
        </w:rPr>
        <w:t>项的科学技术人员不得作为申请人申请地区科学基金项目，</w:t>
      </w:r>
      <w:r>
        <w:rPr>
          <w:rFonts w:ascii="Times New Roman" w:hAnsi="Times New Roman" w:cs="Times New Roman" w:eastAsia="Times New Roman" w:hint="ascii"/>
        </w:rPr>
        <w:t>2015</w:t>
      </w:r>
      <w:r>
        <w:rPr>
          <w:rFonts w:ascii="Times New Roman" w:hAnsi="Times New Roman" w:cs="Times New Roman" w:eastAsia="Times New Roman" w:hint="ascii"/>
          <w:spacing w:val="-30"/>
        </w:rPr>
        <w:t xml:space="preserve"> </w:t>
      </w:r>
      <w:r>
        <w:rPr>
          <w:rFonts w:ascii="宋体" w:hAnsi="宋体" w:cs="宋体" w:eastAsia="宋体" w:hint="ascii"/>
        </w:rPr>
        <w:t>年以前（含</w:t>
      </w:r>
      <w:r>
        <w:rPr>
          <w:rFonts w:ascii="宋体" w:hAnsi="宋体" w:cs="宋体" w:eastAsia="宋体" w:hint="ascii"/>
          <w:spacing w:val="-30"/>
        </w:rPr>
        <w:t xml:space="preserve"> </w:t>
      </w:r>
      <w:r>
        <w:rPr>
          <w:rFonts w:ascii="Times New Roman" w:hAnsi="Times New Roman" w:cs="Times New Roman" w:eastAsia="Times New Roman" w:hint="ascii"/>
        </w:rPr>
        <w:t>2015</w:t>
      </w:r>
      <w:r>
        <w:rPr>
          <w:rFonts w:ascii="Times New Roman" w:hAnsi="Times New Roman" w:cs="Times New Roman" w:eastAsia="Times New Roman" w:hint="ascii"/>
          <w:spacing w:val="-30"/>
        </w:rPr>
        <w:t xml:space="preserve"> </w:t>
      </w:r>
      <w:r>
        <w:rPr>
          <w:rFonts w:ascii="宋体" w:hAnsi="宋体" w:cs="宋体" w:eastAsia="宋体" w:hint="ascii"/>
        </w:rPr>
        <w:t>年）批准资助的地区科学基金项目不计入累计范围。</w:t>
      </w:r>
    </w:p>
    <w:p>
      <w:pPr>
        <w:autoSpaceDE w:val="0"/>
        <w:autoSpaceDN w:val="0"/>
        <w:jc w:val="left"/>
        <w:spacing w:before="3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地区科学基金项目申请人应当按照地区科学基金项目申请书撰写提纲撰</w:t>
      </w:r>
    </w:p>
    <w:p>
      <w:pPr>
        <w:autoSpaceDE w:val="0"/>
        <w:autoSpaceDN w:val="0"/>
        <w:jc w:val="left"/>
        <w:spacing w:before="43" w:after="0" w:lineRule="exact" w:line="300"/>
        <w:ind w:right="0" w:left="966" w:firstLine="0"/>
        <w:snapToGrid w:val="0"/>
        <w:textAlignment w:val="auto"/>
        <w:tabs/>
        <w:rPr>
          <w:rFonts w:ascii="Times New Roman" w:hAnsi="Times New Roman" w:cs="Times New Roman" w:eastAsia="Times New Roman" w:hint="ascii"/>
        </w:rPr>
      </w:pPr>
      <w:r>
        <w:rPr>
          <w:rFonts w:ascii="宋体" w:hAnsi="宋体" w:cs="宋体" w:eastAsia="宋体" w:hint="ascii"/>
        </w:rPr>
        <w:t>写申请书。地区科学基金项目的合作研究单位不得超过</w:t>
      </w:r>
      <w:r>
        <w:rPr>
          <w:rFonts w:ascii="宋体" w:hAnsi="宋体" w:cs="宋体" w:eastAsia="宋体" w:hint="ascii"/>
          <w:spacing w:val="-28"/>
        </w:rPr>
        <w:t xml:space="preserve"> </w:t>
      </w:r>
      <w:r>
        <w:rPr>
          <w:rFonts w:ascii="Times New Roman" w:hAnsi="Times New Roman" w:cs="Times New Roman" w:eastAsia="Times New Roman" w:hint="ascii"/>
        </w:rPr>
        <w:t>2</w:t>
      </w:r>
      <w:r>
        <w:rPr>
          <w:rFonts w:ascii="Times New Roman" w:hAnsi="Times New Roman" w:cs="Times New Roman" w:eastAsia="Times New Roman" w:hint="ascii"/>
          <w:spacing w:val="-28"/>
        </w:rPr>
        <w:t xml:space="preserve"> </w:t>
      </w:r>
      <w:r>
        <w:rPr>
          <w:rFonts w:ascii="宋体" w:hAnsi="宋体" w:cs="宋体" w:eastAsia="宋体" w:hint="ascii"/>
        </w:rPr>
        <w:t>个，资助期限为</w:t>
      </w:r>
      <w:r>
        <w:rPr>
          <w:rFonts w:ascii="宋体" w:hAnsi="宋体" w:cs="宋体" w:eastAsia="宋体" w:hint="ascii"/>
          <w:spacing w:val="-28"/>
        </w:rPr>
        <w:t xml:space="preserve"> </w:t>
      </w:r>
      <w:r>
        <w:rPr>
          <w:rFonts w:ascii="Times New Roman" w:hAnsi="Times New Roman" w:cs="Times New Roman" w:eastAsia="Times New Roman" w:hint="ascii"/>
        </w:rPr>
        <w:t>4</w:t>
      </w:r>
    </w:p>
    <w:p>
      <w:pPr>
        <w:autoSpaceDE w:val="0"/>
        <w:autoSpaceDN w:val="0"/>
        <w:jc w:val="left"/>
        <w:spacing w:before="26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475" w:firstLine="0"/>
        <w:snapToGrid w:val="0"/>
        <w:textAlignment w:val="auto"/>
        <w:tabs/>
        <w:rPr>
          <w:rFonts w:ascii="宋体" w:hAnsi="宋体" w:cs="宋体" w:eastAsia="宋体" w:hint="ascii"/>
          <w:sz w:val="19"/>
        </w:rPr>
      </w:pPr>
      <w:r>
        <w:rPr>
          <w:rFonts w:ascii="宋体" w:hAnsi="宋体" w:cs="宋体" w:eastAsia="宋体" w:hint="ascii"/>
          <w:sz w:val="19"/>
        </w:rPr>
        <w:t>地区科学基金项目</w:t>
      </w:r>
    </w:p>
    <w:p>
      <w:pPr>
        <w:autoSpaceDE w:val="0"/>
        <w:autoSpaceDN w:val="0"/>
        <w:jc w:val="both"/>
        <w:spacing w:before="232" w:after="0" w:lineRule="exact" w:line="343"/>
        <w:ind w:right="963" w:left="0" w:firstLine="0"/>
        <w:snapToGrid w:val="0"/>
        <w:textAlignment w:val="auto"/>
        <w:tabs/>
        <w:rPr>
          <w:rFonts w:ascii="宋体" w:hAnsi="宋体" w:cs="宋体" w:eastAsia="宋体" w:hint="ascii"/>
        </w:rPr>
      </w:pPr>
      <w:r>
        <w:rPr>
          <w:rFonts w:ascii="宋体" w:hAnsi="宋体" w:cs="宋体" w:eastAsia="宋体" w:hint="ascii"/>
        </w:rPr>
        <w:t>年（仅在站博士后研究人员作为申请人申请的项目可按照依托单位的书面承诺填写相应的资助期限</w:t>
      </w:r>
      <w:r>
        <w:rPr>
          <w:rFonts w:ascii="宋体" w:hAnsi="宋体" w:cs="宋体" w:eastAsia="宋体" w:hint="ascii"/>
          <w:spacing w:val="-60"/>
        </w:rPr>
        <w:t>）</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211" locked="0" layoutInCell="1" allowOverlap="1">
                <wp:simplePos x="0" y="0"/>
                <wp:positionH relativeFrom="page">
                  <wp:posOffset>938530</wp:posOffset>
                </wp:positionH>
                <wp:positionV relativeFrom="page">
                  <wp:posOffset>819150</wp:posOffset>
                </wp:positionV>
                <wp:extent cx="5076190" cy="0"/>
                <wp:wrapNone/>
                <wp:docPr id="1240" name="124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42176;width:399.70pt;" id="124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44"/>
        <w:ind w:right="963" w:left="0" w:firstLine="480"/>
        <w:snapToGrid w:val="0"/>
        <w:textAlignment w:val="auto"/>
        <w:tabs>
          <w:tab w:val="left" w:leader="none" w:pos="1025"/>
        </w:tabs>
        <w:numPr>
          <w:ilvl w:val="0"/>
          <w:numId w:val="238"/>
        </w:numPr>
        <w:rPr>
          <w:rFonts w:ascii="Times New Roman" w:hAnsi="Times New Roman" w:cs="Times New Roman" w:eastAsia="Times New Roman" w:hint="ascii"/>
        </w:rPr>
      </w:pPr>
      <w:r>
        <w:rPr>
          <w:rFonts w:ascii="宋体" w:hAnsi="宋体" w:cs="宋体" w:eastAsia="宋体" w:hint="ascii"/>
        </w:rPr>
        <w:t>年度地区科学基金项目共资</w:t>
      </w:r>
      <w:r>
        <w:rPr>
          <w:rFonts w:ascii="宋体" w:hAnsi="宋体" w:cs="宋体" w:eastAsia="宋体" w:hint="ascii"/>
          <w:spacing w:val="-3"/>
        </w:rPr>
        <w:t>助</w:t>
      </w:r>
      <w:r>
        <w:rPr>
          <w:rFonts w:ascii="宋体" w:hAnsi="宋体" w:cs="宋体" w:eastAsia="宋体" w:hint="ascii"/>
          <w:spacing w:val="-31"/>
        </w:rPr>
        <w:t xml:space="preserve"> </w:t>
      </w:r>
      <w:r>
        <w:rPr>
          <w:rFonts w:ascii="Times New Roman" w:hAnsi="Times New Roman" w:cs="Times New Roman" w:eastAsia="Times New Roman" w:hint="ascii"/>
        </w:rPr>
        <w:t>3</w:t>
      </w:r>
      <w:r>
        <w:rPr>
          <w:rFonts w:ascii="Times New Roman" w:hAnsi="Times New Roman" w:cs="Times New Roman" w:eastAsia="Times New Roman" w:hint="ascii"/>
          <w:spacing w:val="-6"/>
        </w:rPr>
        <w:t xml:space="preserve"> </w:t>
      </w:r>
      <w:r>
        <w:rPr>
          <w:rFonts w:ascii="Times New Roman" w:hAnsi="Times New Roman" w:cs="Times New Roman" w:eastAsia="Times New Roman" w:hint="ascii"/>
        </w:rPr>
        <w:t>017</w:t>
      </w:r>
      <w:r>
        <w:rPr>
          <w:rFonts w:ascii="Times New Roman" w:hAnsi="Times New Roman" w:cs="Times New Roman" w:eastAsia="Times New Roman" w:hint="ascii"/>
          <w:spacing w:val="-31"/>
        </w:rPr>
        <w:t xml:space="preserve"> </w:t>
      </w:r>
      <w:r>
        <w:rPr>
          <w:rFonts w:ascii="宋体" w:hAnsi="宋体" w:cs="宋体" w:eastAsia="宋体" w:hint="ascii"/>
        </w:rPr>
        <w:t>项，资助直接费</w:t>
      </w:r>
      <w:r>
        <w:rPr>
          <w:rFonts w:ascii="宋体" w:hAnsi="宋体" w:cs="宋体" w:eastAsia="宋体" w:hint="ascii"/>
          <w:spacing w:val="-3"/>
        </w:rPr>
        <w:t>用</w:t>
      </w:r>
      <w:r>
        <w:rPr>
          <w:rFonts w:ascii="宋体" w:hAnsi="宋体" w:cs="宋体" w:eastAsia="宋体" w:hint="ascii"/>
          <w:spacing w:val="-30"/>
        </w:rPr>
        <w:t xml:space="preserve"> </w:t>
      </w:r>
      <w:r>
        <w:rPr>
          <w:rFonts w:ascii="Times New Roman" w:hAnsi="Times New Roman" w:cs="Times New Roman" w:eastAsia="Times New Roman" w:hint="ascii"/>
        </w:rPr>
        <w:t>109</w:t>
      </w:r>
      <w:r>
        <w:rPr>
          <w:rFonts w:ascii="Times New Roman" w:hAnsi="Times New Roman" w:cs="Times New Roman" w:eastAsia="Times New Roman" w:hint="ascii"/>
          <w:spacing w:val="-6"/>
        </w:rPr>
        <w:t xml:space="preserve"> </w:t>
      </w:r>
      <w:r>
        <w:rPr>
          <w:rFonts w:ascii="Times New Roman" w:hAnsi="Times New Roman" w:cs="Times New Roman" w:eastAsia="Times New Roman" w:hint="ascii"/>
        </w:rPr>
        <w:t>520</w:t>
      </w:r>
      <w:r>
        <w:rPr>
          <w:rFonts w:ascii="Times New Roman" w:hAnsi="Times New Roman" w:cs="Times New Roman" w:eastAsia="Times New Roman" w:hint="ascii"/>
          <w:spacing w:val="-31"/>
        </w:rPr>
        <w:t xml:space="preserve"> </w:t>
      </w:r>
      <w:r>
        <w:rPr>
          <w:rFonts w:ascii="宋体" w:hAnsi="宋体" w:cs="宋体" w:eastAsia="宋体" w:hint="ascii"/>
          <w:spacing w:val="-6"/>
        </w:rPr>
        <w:t>万</w:t>
      </w:r>
      <w:r>
        <w:rPr>
          <w:rFonts w:ascii="宋体" w:hAnsi="宋体" w:cs="宋体" w:eastAsia="宋体" w:hint="ascii"/>
        </w:rPr>
        <w:t>元，平均资助强度为</w:t>
      </w:r>
      <w:r>
        <w:rPr>
          <w:rFonts w:ascii="宋体" w:hAnsi="宋体" w:cs="宋体" w:eastAsia="宋体" w:hint="ascii"/>
          <w:spacing w:val="-28"/>
        </w:rPr>
        <w:t xml:space="preserve"> </w:t>
      </w:r>
      <w:r>
        <w:rPr>
          <w:rFonts w:ascii="Times New Roman" w:hAnsi="Times New Roman" w:cs="Times New Roman" w:eastAsia="Times New Roman" w:hint="ascii"/>
        </w:rPr>
        <w:t>36.30</w:t>
      </w:r>
      <w:r>
        <w:rPr>
          <w:rFonts w:ascii="Times New Roman" w:hAnsi="Times New Roman" w:cs="Times New Roman" w:eastAsia="Times New Roman" w:hint="ascii"/>
          <w:spacing w:val="-28"/>
        </w:rPr>
        <w:t xml:space="preserve"> </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项，资助率为</w:t>
      </w:r>
      <w:r>
        <w:rPr>
          <w:rFonts w:ascii="宋体" w:hAnsi="宋体" w:cs="宋体" w:eastAsia="宋体" w:hint="ascii"/>
          <w:spacing w:val="-28"/>
        </w:rPr>
        <w:t xml:space="preserve"> </w:t>
      </w:r>
      <w:r>
        <w:rPr>
          <w:rFonts w:ascii="Times New Roman" w:hAnsi="Times New Roman" w:cs="Times New Roman" w:eastAsia="Times New Roman" w:hint="ascii"/>
        </w:rPr>
        <w:t>18.93%</w:t>
      </w:r>
      <w:r>
        <w:rPr>
          <w:rFonts w:ascii="宋体" w:hAnsi="宋体" w:cs="宋体" w:eastAsia="宋体" w:hint="ascii"/>
        </w:rPr>
        <w:t>，比</w:t>
      </w:r>
      <w:r>
        <w:rPr>
          <w:rFonts w:ascii="宋体" w:hAnsi="宋体" w:cs="宋体" w:eastAsia="宋体" w:hint="ascii"/>
          <w:spacing w:val="-28"/>
        </w:rPr>
        <w:t xml:space="preserve"> </w:t>
      </w:r>
      <w:r>
        <w:rPr>
          <w:rFonts w:ascii="Times New Roman" w:hAnsi="Times New Roman" w:cs="Times New Roman" w:eastAsia="Times New Roman" w:hint="ascii"/>
        </w:rPr>
        <w:t>2016</w:t>
      </w:r>
      <w:r>
        <w:rPr>
          <w:rFonts w:ascii="Times New Roman" w:hAnsi="Times New Roman" w:cs="Times New Roman" w:eastAsia="Times New Roman" w:hint="ascii"/>
          <w:spacing w:val="-28"/>
        </w:rPr>
        <w:t xml:space="preserve"> </w:t>
      </w:r>
      <w:r>
        <w:rPr>
          <w:rFonts w:ascii="宋体" w:hAnsi="宋体" w:cs="宋体" w:eastAsia="宋体" w:hint="ascii"/>
        </w:rPr>
        <w:t>年度降低了</w:t>
      </w:r>
    </w:p>
    <w:p>
      <w:pPr>
        <w:autoSpaceDE w:val="0"/>
        <w:autoSpaceDN w:val="0"/>
        <w:jc w:val="left"/>
        <w:spacing w:before="35" w:after="0" w:lineRule="auto" w:line="240"/>
        <w:ind w:right="0" w:left="420" w:hanging="420"/>
        <w:snapToGrid w:val="0"/>
        <w:textAlignment w:val="auto"/>
        <w:tabs/>
        <w:numPr>
          <w:ilvl w:val="1"/>
          <w:numId w:val="149"/>
        </w:numPr>
        <w:rPr>
          <w:rFonts w:ascii="Times New Roman" w:hAnsi="Times New Roman" w:cs="Times New Roman" w:eastAsia="Times New Roman" w:hint="ascii"/>
        </w:rPr>
      </w:pPr>
      <w:r>
        <w:rPr>
          <w:rFonts w:ascii="宋体" w:hAnsi="宋体" w:cs="宋体" w:eastAsia="宋体" w:hint="ascii"/>
        </w:rPr>
        <w:t>个百分点（资助情况见下表</w:t>
      </w:r>
      <w:r>
        <w:rPr>
          <w:rFonts w:ascii="宋体" w:hAnsi="宋体" w:cs="宋体" w:eastAsia="宋体" w:hint="ascii"/>
          <w:spacing w:val="-60"/>
        </w:rPr>
        <w:t>）</w:t>
      </w:r>
      <w:r>
        <w:rPr>
          <w:rFonts w:ascii="宋体" w:hAnsi="宋体" w:cs="宋体" w:eastAsia="宋体" w:hint="ascii"/>
        </w:rPr>
        <w:t>。</w:t>
      </w:r>
    </w:p>
    <w:p>
      <w:pPr>
        <w:autoSpaceDE w:val="0"/>
        <w:autoSpaceDN w:val="0"/>
        <w:jc w:val="both"/>
        <w:spacing w:before="17" w:after="0" w:lineRule="exact" w:line="344"/>
        <w:ind w:right="963" w:left="0" w:firstLine="480"/>
        <w:snapToGrid w:val="0"/>
        <w:textAlignment w:val="auto"/>
        <w:tabs>
          <w:tab w:val="left" w:leader="none" w:pos="1022"/>
        </w:tabs>
        <w:numPr>
          <w:ilvl w:val="0"/>
          <w:numId w:val="238"/>
        </w:numPr>
        <w:rPr>
          <w:rFonts w:ascii="Times New Roman" w:hAnsi="Times New Roman" w:cs="Times New Roman" w:eastAsia="Times New Roman" w:hint="ascii"/>
        </w:rPr>
      </w:pPr>
      <w:r>
        <w:rPr>
          <w:rFonts w:ascii="宋体" w:hAnsi="宋体" w:cs="宋体" w:eastAsia="宋体" w:hint="ascii"/>
          <w:spacing w:val="-2"/>
        </w:rPr>
        <w:t>年，</w:t>
      </w:r>
      <w:r>
        <w:rPr>
          <w:rFonts w:ascii="宋体" w:hAnsi="宋体" w:cs="宋体" w:eastAsia="宋体" w:hint="ascii"/>
          <w:spacing w:val="-1"/>
        </w:rPr>
        <w:t>地区科学基金项目直接费用平均资助强度约</w:t>
      </w:r>
      <w:r>
        <w:rPr>
          <w:rFonts w:ascii="宋体" w:hAnsi="宋体" w:cs="宋体" w:eastAsia="宋体" w:hint="ascii"/>
          <w:spacing w:val="28"/>
        </w:rPr>
        <w:t>为</w:t>
      </w:r>
      <w:r>
        <w:rPr>
          <w:rFonts w:ascii="Times New Roman" w:hAnsi="Times New Roman" w:cs="Times New Roman" w:eastAsia="Times New Roman" w:hint="ascii"/>
          <w:spacing w:val="-1"/>
        </w:rPr>
        <w:t>40</w:t>
      </w:r>
      <w:r>
        <w:rPr>
          <w:rFonts w:ascii="Times New Roman" w:hAnsi="Times New Roman" w:cs="Times New Roman" w:eastAsia="Times New Roman" w:hint="ascii"/>
          <w:spacing w:val="-31"/>
        </w:rPr>
        <w:t xml:space="preserve"> </w:t>
      </w:r>
      <w:r>
        <w:rPr>
          <w:rFonts w:ascii="宋体" w:hAnsi="宋体" w:cs="宋体" w:eastAsia="宋体" w:hint="ascii"/>
          <w:spacing w:val="-1"/>
        </w:rPr>
        <w:t>万元</w:t>
      </w:r>
      <w:r>
        <w:rPr>
          <w:rFonts w:ascii="Times New Roman" w:hAnsi="Times New Roman" w:cs="Times New Roman" w:eastAsia="Times New Roman" w:hint="ascii"/>
          <w:spacing w:val="-1"/>
        </w:rPr>
        <w:t>/</w:t>
      </w:r>
      <w:r>
        <w:rPr>
          <w:rFonts w:ascii="宋体" w:hAnsi="宋体" w:cs="宋体" w:eastAsia="宋体" w:hint="ascii"/>
          <w:spacing w:val="-1"/>
        </w:rPr>
        <w:t>项，请</w:t>
      </w:r>
      <w:r>
        <w:rPr>
          <w:rFonts w:ascii="宋体" w:hAnsi="宋体" w:cs="宋体" w:eastAsia="宋体" w:hint="ascii"/>
        </w:rPr>
        <w:t xml:space="preserve"> 参考相关科学部的直接费用资助强度，实事求是地提出申请。</w:t>
      </w:r>
    </w:p>
    <w:p>
      <w:pPr>
        <w:autoSpaceDE w:val="0"/>
        <w:autoSpaceDN w:val="0"/>
        <w:jc w:val="left"/>
        <w:spacing w:before="166" w:after="0" w:lineRule="auto" w:line="240"/>
        <w:ind w:right="0" w:left="2536"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6"/>
        </w:rPr>
        <w:t>7</w:t>
      </w:r>
      <w:r>
        <w:rPr>
          <w:rFonts w:ascii="宋体" w:hAnsi="宋体" w:cs="宋体" w:eastAsia="宋体" w:hint="ascii"/>
          <w:sz w:val="18"/>
        </w:rPr>
        <w:t>年度地区科学基金项目资助情况</w:t>
      </w:r>
    </w:p>
    <w:p>
      <w:pPr>
        <w:autoSpaceDE w:val="0"/>
        <w:autoSpaceDN w:val="0"/>
        <w:jc w:val="left"/>
        <w:spacing w:before="44" w:after="34" w:lineRule="exact" w:line="225"/>
        <w:ind w:right="0" w:left="6301"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37" w:type="dxa"/>
        <w:jc w:val="left"/>
        <w:tblInd w:w="29"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532"/>
        <w:gridCol w:w="907"/>
        <w:gridCol w:w="907"/>
        <w:gridCol w:w="1076"/>
        <w:gridCol w:w="1134"/>
        <w:gridCol w:w="1305"/>
        <w:gridCol w:w="1076"/>
      </w:tblGrid>
      <w:tr>
        <w:trPr>
          <w:trHeight w:val="266" w:hRule="exact"/>
          <w:cantSplit w:val="1"/>
        </w:trPr>
        <w:tc>
          <w:tcPr>
            <w:tcW w:w="1532" w:type="dxa"/>
            <w:gridSpan w:val="1"/>
            <w:vAlign w:val="top"/>
            <w:vMerge w:val="restart"/>
            <w:tcMar/>
            <w:tcBorders/>
          </w:tcPr>
          <w:p>
            <w:pPr>
              <w:autoSpaceDE w:val="0"/>
              <w:autoSpaceDN w:val="0"/>
              <w:jc w:val="left"/>
              <w:spacing w:before="256" w:after="0" w:lineRule="exact" w:line="188"/>
              <w:ind w:right="0" w:left="531"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907" w:type="dxa"/>
            <w:gridSpan w:val="1"/>
            <w:vAlign w:val="top"/>
            <w:vMerge w:val="restart"/>
            <w:tcMar/>
            <w:tcBorders>
              <w:left w:val="single" w:sz="4" w:space="0" w:color="000000"/>
            </w:tcBorders>
          </w:tcPr>
          <w:p>
            <w:pPr>
              <w:autoSpaceDE w:val="0"/>
              <w:autoSpaceDN w:val="0"/>
              <w:jc w:val="left"/>
              <w:spacing w:before="256" w:after="0" w:lineRule="exact" w:line="188"/>
              <w:ind w:right="0" w:left="149" w:firstLine="0"/>
              <w:snapToGrid w:val="0"/>
              <w:textAlignment w:val="auto"/>
              <w:tabs/>
              <w:rPr>
                <w:rFonts w:ascii="宋体" w:hAnsi="宋体" w:cs="宋体" w:eastAsia="宋体" w:hint="ascii"/>
                <w:sz w:val="15"/>
              </w:rPr>
            </w:pPr>
            <w:r>
              <w:rPr>
                <w:rFonts w:ascii="宋体" w:hAnsi="宋体" w:cs="宋体" w:eastAsia="宋体" w:hint="ascii"/>
                <w:sz w:val="15"/>
              </w:rPr>
              <w:t>申请项数</w:t>
            </w:r>
          </w:p>
        </w:tc>
        <w:tc>
          <w:tcPr>
            <w:tcW w:w="4422" w:type="dxa"/>
            <w:gridSpan w:val="4"/>
            <w:vAlign w:val="top"/>
            <w:tcMar/>
            <w:tcBorders>
              <w:left w:val="single" w:sz="4" w:space="0" w:color="000000"/>
            </w:tcBorders>
          </w:tcPr>
          <w:p>
            <w:pPr>
              <w:autoSpaceDE w:val="0"/>
              <w:autoSpaceDN w:val="0"/>
              <w:jc w:val="left"/>
              <w:spacing w:before="28" w:after="0" w:lineRule="exact" w:line="188"/>
              <w:ind w:right="0" w:left="1907" w:firstLine="0"/>
              <w:snapToGrid w:val="0"/>
              <w:textAlignment w:val="auto"/>
              <w:tabs/>
              <w:rPr>
                <w:rFonts w:ascii="宋体" w:hAnsi="宋体" w:cs="宋体" w:eastAsia="宋体" w:hint="ascii"/>
                <w:sz w:val="15"/>
              </w:rPr>
            </w:pPr>
            <w:r>
              <w:rPr>
                <w:rFonts w:ascii="宋体" w:hAnsi="宋体" w:cs="宋体" w:eastAsia="宋体" w:hint="ascii"/>
                <w:sz w:val="15"/>
              </w:rPr>
              <w:t>批准资助</w:t>
            </w:r>
          </w:p>
        </w:tc>
        <w:tc>
          <w:tcPr>
            <w:tcW w:w="1076" w:type="dxa"/>
            <w:gridSpan w:val="1"/>
            <w:vAlign w:val="top"/>
            <w:vMerge w:val="restart"/>
            <w:tcMar/>
            <w:tcBorders>
              <w:left w:val="single" w:sz="4" w:space="0" w:color="000000"/>
              <w:right w:val="single" w:sz="8" w:space="0" w:color="000000"/>
            </w:tcBorders>
          </w:tcPr>
          <w:p>
            <w:pPr>
              <w:autoSpaceDE w:val="0"/>
              <w:autoSpaceDN w:val="0"/>
              <w:jc w:val="left"/>
              <w:spacing w:before="159" w:after="0" w:lineRule="exact" w:line="188"/>
              <w:ind w:right="0" w:left="308"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455" w:hRule="exact"/>
          <w:cantSplit w:val="1"/>
        </w:trPr>
        <w:tc>
          <w:tcPr>
            <w:tcW w:w="1532"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07" w:type="dxa"/>
            <w:gridSpan w:val="1"/>
            <w:vAlign w:val="top"/>
            <w:vMerge w:val="continue"/>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07"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299" w:firstLine="0"/>
              <w:snapToGrid w:val="0"/>
              <w:textAlignment w:val="auto"/>
              <w:tabs/>
              <w:rPr>
                <w:rFonts w:ascii="宋体" w:hAnsi="宋体" w:cs="宋体" w:eastAsia="宋体" w:hint="ascii"/>
                <w:sz w:val="15"/>
              </w:rPr>
            </w:pPr>
            <w:r>
              <w:rPr>
                <w:rFonts w:ascii="宋体" w:hAnsi="宋体" w:cs="宋体" w:eastAsia="宋体" w:hint="ascii"/>
                <w:sz w:val="15"/>
              </w:rPr>
              <w:t>项数</w:t>
            </w:r>
          </w:p>
        </w:tc>
        <w:tc>
          <w:tcPr>
            <w:tcW w:w="1076"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234"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134"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13" w:firstLine="0"/>
              <w:snapToGrid w:val="0"/>
              <w:textAlignment w:val="auto"/>
              <w:tabs/>
              <w:rPr>
                <w:rFonts w:ascii="宋体" w:hAnsi="宋体" w:cs="宋体" w:eastAsia="宋体" w:hint="ascii"/>
                <w:sz w:val="15"/>
              </w:rPr>
            </w:pPr>
            <w:r>
              <w:rPr>
                <w:rFonts w:ascii="宋体" w:hAnsi="宋体" w:cs="宋体" w:eastAsia="宋体" w:hint="ascii"/>
                <w:sz w:val="15"/>
              </w:rPr>
              <w:t>平均资助强度</w:t>
            </w:r>
          </w:p>
        </w:tc>
        <w:tc>
          <w:tcPr>
            <w:tcW w:w="1305"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98" w:firstLine="0"/>
              <w:snapToGrid w:val="0"/>
              <w:textAlignment w:val="auto"/>
              <w:tabs/>
              <w:rPr>
                <w:rFonts w:ascii="宋体" w:hAnsi="宋体" w:cs="宋体" w:eastAsia="宋体" w:hint="ascii"/>
                <w:sz w:val="15"/>
              </w:rPr>
            </w:pPr>
            <w:r>
              <w:rPr>
                <w:rFonts w:ascii="宋体" w:hAnsi="宋体" w:cs="宋体" w:eastAsia="宋体" w:hint="ascii"/>
                <w:sz w:val="15"/>
              </w:rPr>
              <w:t>直接费用占比</w:t>
            </w:r>
          </w:p>
          <w:p>
            <w:pPr>
              <w:autoSpaceDE w:val="0"/>
              <w:autoSpaceDN w:val="0"/>
              <w:jc w:val="left"/>
              <w:spacing w:before="7" w:after="0" w:lineRule="exact" w:line="188"/>
              <w:ind w:right="0" w:left="398"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1076" w:type="dxa"/>
            <w:gridSpan w:val="1"/>
            <w:vAlign w:val="top"/>
            <w:vMerge w:val="continue"/>
            <w:tcMar/>
            <w:tcBorders>
              <w:left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r>
      <w:tr>
        <w:trPr>
          <w:trHeight w:val="260" w:hRule="exact"/>
          <w:cantSplit w:val="1"/>
        </w:trPr>
        <w:tc>
          <w:tcPr>
            <w:tcW w:w="1532" w:type="dxa"/>
            <w:gridSpan w:val="1"/>
            <w:vAlign w:val="top"/>
            <w:tcMar/>
            <w:tcBorders>
              <w:top w:val="single" w:sz="4" w:space="0" w:color="000000"/>
            </w:tcBorders>
          </w:tcPr>
          <w:p>
            <w:pPr>
              <w:autoSpaceDE w:val="0"/>
              <w:autoSpaceDN w:val="0"/>
              <w:jc w:val="left"/>
              <w:spacing w:before="29" w:after="0" w:lineRule="exact" w:line="188"/>
              <w:ind w:right="0" w:left="381"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5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758</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183</w:t>
            </w:r>
          </w:p>
        </w:tc>
        <w:tc>
          <w:tcPr>
            <w:tcW w:w="107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68" w:firstLine="0"/>
              <w:snapToGrid w:val="0"/>
              <w:textAlignment w:val="auto"/>
              <w:tabs>
                <w:tab w:val="left" w:leader="none" w:pos="586"/>
              </w:tabs>
              <w:numPr>
                <w:ilvl w:val="0"/>
                <w:numId w:val="239"/>
              </w:numPr>
              <w:rPr>
                <w:rFonts w:ascii="Times New Roman" w:hAnsi="Times New Roman" w:cs="Times New Roman" w:eastAsia="Times New Roman" w:hint="ascii"/>
                <w:sz w:val="15"/>
              </w:rPr>
            </w:pPr>
            <w:r>
              <w:rPr>
                <w:rFonts w:ascii="Times New Roman" w:hAnsi="Times New Roman" w:cs="Times New Roman" w:eastAsia="Times New Roman" w:hint="ascii"/>
                <w:sz w:val="15"/>
              </w:rPr>
              <w:t>940</w:t>
            </w:r>
          </w:p>
        </w:tc>
        <w:tc>
          <w:tcPr>
            <w:tcW w:w="1134"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37.92</w:t>
            </w:r>
          </w:p>
        </w:tc>
        <w:tc>
          <w:tcPr>
            <w:tcW w:w="130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21" w:firstLine="0"/>
              <w:snapToGrid w:val="0"/>
              <w:textAlignment w:val="auto"/>
              <w:tabs>
                <w:tab w:val="left" w:leader="none" w:pos="-655355"/>
              </w:tabs>
              <w:numPr>
                <w:ilvl w:val="1"/>
                <w:numId w:val="239"/>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24.14</w:t>
            </w:r>
          </w:p>
        </w:tc>
      </w:tr>
      <w:tr>
        <w:trPr>
          <w:trHeight w:val="260" w:hRule="exact"/>
          <w:cantSplit w:val="1"/>
        </w:trPr>
        <w:tc>
          <w:tcPr>
            <w:tcW w:w="1532" w:type="dxa"/>
            <w:gridSpan w:val="1"/>
            <w:vAlign w:val="top"/>
            <w:tcMar/>
            <w:tcBorders>
              <w:top w:val="single" w:sz="4" w:space="0" w:color="000000"/>
            </w:tcBorders>
          </w:tcPr>
          <w:p>
            <w:pPr>
              <w:autoSpaceDE w:val="0"/>
              <w:autoSpaceDN w:val="0"/>
              <w:jc w:val="left"/>
              <w:spacing w:before="29" w:after="0" w:lineRule="exact" w:line="188"/>
              <w:ind w:right="0" w:left="381"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w:t>
            </w:r>
            <w:r>
              <w:rPr>
                <w:rFonts w:ascii="Times New Roman" w:hAnsi="Times New Roman" w:cs="Times New Roman" w:eastAsia="Times New Roman" w:hint="ascii"/>
                <w:sz w:val="15"/>
                <w:spacing w:val="38"/>
              </w:rPr>
              <w:t xml:space="preserve"> </w:t>
            </w:r>
            <w:r>
              <w:rPr>
                <w:rFonts w:ascii="Times New Roman" w:hAnsi="Times New Roman" w:cs="Times New Roman" w:eastAsia="Times New Roman" w:hint="ascii"/>
                <w:sz w:val="15"/>
              </w:rPr>
              <w:t>212</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244</w:t>
            </w:r>
          </w:p>
        </w:tc>
        <w:tc>
          <w:tcPr>
            <w:tcW w:w="107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9 330</w:t>
            </w:r>
          </w:p>
        </w:tc>
        <w:tc>
          <w:tcPr>
            <w:tcW w:w="1134"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38.24</w:t>
            </w:r>
          </w:p>
        </w:tc>
        <w:tc>
          <w:tcPr>
            <w:tcW w:w="130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2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8.52</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20.13</w:t>
            </w:r>
          </w:p>
        </w:tc>
      </w:tr>
      <w:tr>
        <w:trPr>
          <w:trHeight w:val="260" w:hRule="exact"/>
          <w:cantSplit w:val="1"/>
        </w:trPr>
        <w:tc>
          <w:tcPr>
            <w:tcW w:w="1532" w:type="dxa"/>
            <w:gridSpan w:val="1"/>
            <w:vAlign w:val="top"/>
            <w:tcMar/>
            <w:tcBorders>
              <w:top w:val="single" w:sz="4" w:space="0" w:color="000000"/>
            </w:tcBorders>
          </w:tcPr>
          <w:p>
            <w:pPr>
              <w:autoSpaceDE w:val="0"/>
              <w:autoSpaceDN w:val="0"/>
              <w:jc w:val="left"/>
              <w:spacing w:before="29" w:after="0" w:lineRule="exact" w:line="188"/>
              <w:ind w:right="0" w:left="381"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3 576</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765</w:t>
            </w:r>
          </w:p>
        </w:tc>
        <w:tc>
          <w:tcPr>
            <w:tcW w:w="107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2" w:firstLine="0"/>
              <w:snapToGrid w:val="0"/>
              <w:textAlignment w:val="auto"/>
              <w:tabs>
                <w:tab w:val="left" w:leader="none" w:pos="586"/>
              </w:tabs>
              <w:numPr>
                <w:ilvl w:val="0"/>
                <w:numId w:val="240"/>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060</w:t>
            </w:r>
          </w:p>
        </w:tc>
        <w:tc>
          <w:tcPr>
            <w:tcW w:w="1134"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37.99</w:t>
            </w:r>
          </w:p>
        </w:tc>
        <w:tc>
          <w:tcPr>
            <w:tcW w:w="130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4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26.53</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21.39</w:t>
            </w:r>
          </w:p>
        </w:tc>
      </w:tr>
      <w:tr>
        <w:trPr>
          <w:trHeight w:val="262" w:hRule="exact"/>
          <w:cantSplit w:val="1"/>
        </w:trPr>
        <w:tc>
          <w:tcPr>
            <w:tcW w:w="1532" w:type="dxa"/>
            <w:gridSpan w:val="1"/>
            <w:vAlign w:val="top"/>
            <w:tcMar/>
            <w:tcBorders>
              <w:top w:val="single" w:sz="4" w:space="0" w:color="000000"/>
            </w:tcBorders>
          </w:tcPr>
          <w:p>
            <w:pPr>
              <w:autoSpaceDE w:val="0"/>
              <w:autoSpaceDN w:val="0"/>
              <w:jc w:val="left"/>
              <w:spacing w:before="29" w:after="0" w:lineRule="exact" w:line="188"/>
              <w:ind w:right="0" w:left="381"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5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932</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187</w:t>
            </w:r>
          </w:p>
        </w:tc>
        <w:tc>
          <w:tcPr>
            <w:tcW w:w="107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68" w:firstLine="0"/>
              <w:snapToGrid w:val="0"/>
              <w:textAlignment w:val="auto"/>
              <w:tabs>
                <w:tab w:val="left" w:leader="none" w:pos="586"/>
              </w:tabs>
              <w:numPr>
                <w:ilvl w:val="0"/>
                <w:numId w:val="239"/>
              </w:numPr>
              <w:rPr>
                <w:rFonts w:ascii="Times New Roman" w:hAnsi="Times New Roman" w:cs="Times New Roman" w:eastAsia="Times New Roman" w:hint="ascii"/>
                <w:sz w:val="15"/>
              </w:rPr>
            </w:pPr>
            <w:r>
              <w:rPr>
                <w:rFonts w:ascii="Times New Roman" w:hAnsi="Times New Roman" w:cs="Times New Roman" w:eastAsia="Times New Roman" w:hint="ascii"/>
                <w:sz w:val="15"/>
              </w:rPr>
              <w:t>080</w:t>
            </w:r>
          </w:p>
        </w:tc>
        <w:tc>
          <w:tcPr>
            <w:tcW w:w="1134"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37.86</w:t>
            </w:r>
          </w:p>
        </w:tc>
        <w:tc>
          <w:tcPr>
            <w:tcW w:w="130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2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6.46</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20.06</w:t>
            </w:r>
          </w:p>
        </w:tc>
      </w:tr>
      <w:tr>
        <w:trPr>
          <w:trHeight w:val="260" w:hRule="exact"/>
          <w:cantSplit w:val="1"/>
        </w:trPr>
        <w:tc>
          <w:tcPr>
            <w:tcW w:w="1532" w:type="dxa"/>
            <w:gridSpan w:val="1"/>
            <w:vAlign w:val="top"/>
            <w:tcMar/>
            <w:tcBorders>
              <w:top w:val="single" w:sz="4" w:space="0" w:color="000000"/>
            </w:tcBorders>
          </w:tcPr>
          <w:p>
            <w:pPr>
              <w:autoSpaceDE w:val="0"/>
              <w:autoSpaceDN w:val="0"/>
              <w:jc w:val="left"/>
              <w:spacing w:before="27" w:after="0" w:lineRule="exact" w:line="188"/>
              <w:ind w:right="0" w:left="156"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41" w:firstLine="0"/>
              <w:snapToGrid w:val="0"/>
              <w:textAlignment w:val="auto"/>
              <w:tabs>
                <w:tab w:val="left" w:leader="none" w:pos="458"/>
              </w:tabs>
              <w:numPr>
                <w:ilvl w:val="0"/>
                <w:numId w:val="241"/>
              </w:numPr>
              <w:rPr>
                <w:rFonts w:ascii="Times New Roman" w:hAnsi="Times New Roman" w:cs="Times New Roman" w:eastAsia="Times New Roman" w:hint="ascii"/>
                <w:sz w:val="15"/>
              </w:rPr>
            </w:pPr>
            <w:r>
              <w:rPr>
                <w:rFonts w:ascii="Times New Roman" w:hAnsi="Times New Roman" w:cs="Times New Roman" w:eastAsia="Times New Roman" w:hint="ascii"/>
                <w:sz w:val="15"/>
              </w:rPr>
              <w:t>078</w:t>
            </w:r>
          </w:p>
        </w:tc>
        <w:tc>
          <w:tcPr>
            <w:tcW w:w="907"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372</w:t>
            </w:r>
          </w:p>
        </w:tc>
        <w:tc>
          <w:tcPr>
            <w:tcW w:w="1076"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92" w:firstLine="0"/>
              <w:snapToGrid w:val="0"/>
              <w:textAlignment w:val="auto"/>
              <w:tabs>
                <w:tab w:val="left" w:leader="none" w:pos="586"/>
              </w:tabs>
              <w:numPr>
                <w:ilvl w:val="0"/>
                <w:numId w:val="24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140</w:t>
            </w:r>
          </w:p>
        </w:tc>
        <w:tc>
          <w:tcPr>
            <w:tcW w:w="1134"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38.01</w:t>
            </w:r>
          </w:p>
        </w:tc>
        <w:tc>
          <w:tcPr>
            <w:tcW w:w="1305"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54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12.91</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17.90</w:t>
            </w:r>
          </w:p>
        </w:tc>
      </w:tr>
      <w:tr>
        <w:trPr>
          <w:trHeight w:val="260" w:hRule="exact"/>
          <w:cantSplit w:val="1"/>
        </w:trPr>
        <w:tc>
          <w:tcPr>
            <w:tcW w:w="1532" w:type="dxa"/>
            <w:gridSpan w:val="1"/>
            <w:vAlign w:val="top"/>
            <w:tcMar/>
            <w:tcBorders>
              <w:top w:val="single" w:sz="4" w:space="0" w:color="000000"/>
            </w:tcBorders>
          </w:tcPr>
          <w:p>
            <w:pPr>
              <w:autoSpaceDE w:val="0"/>
              <w:autoSpaceDN w:val="0"/>
              <w:jc w:val="left"/>
              <w:spacing w:before="27" w:after="0" w:lineRule="exact" w:line="188"/>
              <w:ind w:right="0" w:left="381"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1 237</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218</w:t>
            </w:r>
          </w:p>
        </w:tc>
        <w:tc>
          <w:tcPr>
            <w:tcW w:w="107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68" w:firstLine="0"/>
              <w:snapToGrid w:val="0"/>
              <w:textAlignment w:val="auto"/>
              <w:tabs>
                <w:tab w:val="left" w:leader="none" w:pos="586"/>
              </w:tabs>
              <w:numPr>
                <w:ilvl w:val="0"/>
                <w:numId w:val="239"/>
              </w:numPr>
              <w:rPr>
                <w:rFonts w:ascii="Times New Roman" w:hAnsi="Times New Roman" w:cs="Times New Roman" w:eastAsia="Times New Roman" w:hint="ascii"/>
                <w:sz w:val="15"/>
              </w:rPr>
            </w:pPr>
            <w:r>
              <w:rPr>
                <w:rFonts w:ascii="Times New Roman" w:hAnsi="Times New Roman" w:cs="Times New Roman" w:eastAsia="Times New Roman" w:hint="ascii"/>
                <w:sz w:val="15"/>
              </w:rPr>
              <w:t>280</w:t>
            </w:r>
          </w:p>
        </w:tc>
        <w:tc>
          <w:tcPr>
            <w:tcW w:w="1134"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37.98</w:t>
            </w:r>
          </w:p>
        </w:tc>
        <w:tc>
          <w:tcPr>
            <w:tcW w:w="130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2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7.56</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17.62</w:t>
            </w:r>
          </w:p>
        </w:tc>
      </w:tr>
      <w:tr>
        <w:trPr>
          <w:trHeight w:val="260" w:hRule="exact"/>
          <w:cantSplit w:val="1"/>
        </w:trPr>
        <w:tc>
          <w:tcPr>
            <w:tcW w:w="1532" w:type="dxa"/>
            <w:gridSpan w:val="1"/>
            <w:vAlign w:val="top"/>
            <w:tcMar/>
            <w:tcBorders>
              <w:top w:val="single" w:sz="4" w:space="0" w:color="000000"/>
            </w:tcBorders>
          </w:tcPr>
          <w:p>
            <w:pPr>
              <w:autoSpaceDE w:val="0"/>
              <w:autoSpaceDN w:val="0"/>
              <w:jc w:val="left"/>
              <w:spacing w:before="27" w:after="0" w:lineRule="exact" w:line="188"/>
              <w:ind w:right="0" w:left="381"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5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782</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136</w:t>
            </w:r>
          </w:p>
        </w:tc>
        <w:tc>
          <w:tcPr>
            <w:tcW w:w="107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68" w:firstLine="0"/>
              <w:snapToGrid w:val="0"/>
              <w:textAlignment w:val="auto"/>
              <w:tabs>
                <w:tab w:val="left" w:leader="none" w:pos="586"/>
              </w:tabs>
              <w:numPr>
                <w:ilvl w:val="0"/>
                <w:numId w:val="241"/>
              </w:numPr>
              <w:rPr>
                <w:rFonts w:ascii="Times New Roman" w:hAnsi="Times New Roman" w:cs="Times New Roman" w:eastAsia="Times New Roman" w:hint="ascii"/>
                <w:sz w:val="15"/>
              </w:rPr>
            </w:pPr>
            <w:r>
              <w:rPr>
                <w:rFonts w:ascii="Times New Roman" w:hAnsi="Times New Roman" w:cs="Times New Roman" w:eastAsia="Times New Roman" w:hint="ascii"/>
                <w:sz w:val="15"/>
              </w:rPr>
              <w:t>820</w:t>
            </w:r>
          </w:p>
        </w:tc>
        <w:tc>
          <w:tcPr>
            <w:tcW w:w="1134"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28.09</w:t>
            </w:r>
          </w:p>
        </w:tc>
        <w:tc>
          <w:tcPr>
            <w:tcW w:w="130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21" w:firstLine="0"/>
              <w:snapToGrid w:val="0"/>
              <w:textAlignment w:val="auto"/>
              <w:tabs>
                <w:tab w:val="left" w:leader="none" w:pos="-655355"/>
              </w:tabs>
              <w:numPr>
                <w:ilvl w:val="1"/>
                <w:numId w:val="24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17.39</w:t>
            </w:r>
          </w:p>
        </w:tc>
      </w:tr>
      <w:tr>
        <w:trPr>
          <w:trHeight w:val="260" w:hRule="exact"/>
          <w:cantSplit w:val="1"/>
        </w:trPr>
        <w:tc>
          <w:tcPr>
            <w:tcW w:w="1532" w:type="dxa"/>
            <w:gridSpan w:val="1"/>
            <w:vAlign w:val="top"/>
            <w:tcMar/>
            <w:tcBorders>
              <w:top w:val="single" w:sz="4" w:space="0" w:color="000000"/>
            </w:tcBorders>
          </w:tcPr>
          <w:p>
            <w:pPr>
              <w:autoSpaceDE w:val="0"/>
              <w:autoSpaceDN w:val="0"/>
              <w:jc w:val="left"/>
              <w:spacing w:before="29" w:after="0" w:lineRule="exact" w:line="188"/>
              <w:ind w:right="0" w:left="381"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4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5 360</w:t>
            </w:r>
          </w:p>
        </w:tc>
        <w:tc>
          <w:tcPr>
            <w:tcW w:w="907"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912</w:t>
            </w:r>
          </w:p>
        </w:tc>
        <w:tc>
          <w:tcPr>
            <w:tcW w:w="1076"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2" w:firstLine="0"/>
              <w:snapToGrid w:val="0"/>
              <w:textAlignment w:val="auto"/>
              <w:tabs>
                <w:tab w:val="left" w:leader="none" w:pos="586"/>
              </w:tabs>
              <w:numPr>
                <w:ilvl w:val="0"/>
                <w:numId w:val="240"/>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870</w:t>
            </w:r>
          </w:p>
        </w:tc>
        <w:tc>
          <w:tcPr>
            <w:tcW w:w="1134"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33.85</w:t>
            </w:r>
          </w:p>
        </w:tc>
        <w:tc>
          <w:tcPr>
            <w:tcW w:w="1305"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54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28.19</w:t>
            </w:r>
          </w:p>
        </w:tc>
        <w:tc>
          <w:tcPr>
            <w:tcW w:w="107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17.01</w:t>
            </w:r>
          </w:p>
        </w:tc>
      </w:tr>
      <w:tr>
        <w:trPr>
          <w:trHeight w:val="266" w:hRule="exact"/>
          <w:cantSplit w:val="1"/>
        </w:trPr>
        <w:tc>
          <w:tcPr>
            <w:tcW w:w="1532" w:type="dxa"/>
            <w:gridSpan w:val="1"/>
            <w:vAlign w:val="top"/>
            <w:tcMar/>
            <w:tcBorders>
              <w:top w:val="single" w:sz="4" w:space="0" w:color="000000"/>
              <w:bottom w:val="single" w:sz="8" w:space="0" w:color="000000"/>
            </w:tcBorders>
          </w:tcPr>
          <w:p>
            <w:pPr>
              <w:autoSpaceDE w:val="0"/>
              <w:autoSpaceDN w:val="0"/>
              <w:jc w:val="left"/>
              <w:spacing w:before="29" w:after="0" w:lineRule="exact" w:line="188"/>
              <w:ind w:right="0" w:left="306"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907"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65" w:firstLine="0"/>
              <w:snapToGrid w:val="0"/>
              <w:textAlignment w:val="auto"/>
              <w:tabs>
                <w:tab w:val="left" w:leader="none" w:pos="458"/>
              </w:tabs>
              <w:numPr>
                <w:ilvl w:val="0"/>
                <w:numId w:val="242"/>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935</w:t>
            </w:r>
          </w:p>
        </w:tc>
        <w:tc>
          <w:tcPr>
            <w:tcW w:w="907"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9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3 017</w:t>
            </w:r>
          </w:p>
        </w:tc>
        <w:tc>
          <w:tcPr>
            <w:tcW w:w="1076"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31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109 520</w:t>
            </w:r>
          </w:p>
        </w:tc>
        <w:tc>
          <w:tcPr>
            <w:tcW w:w="113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39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36.30</w:t>
            </w:r>
          </w:p>
        </w:tc>
        <w:tc>
          <w:tcPr>
            <w:tcW w:w="130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4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100.00</w:t>
            </w:r>
          </w:p>
        </w:tc>
        <w:tc>
          <w:tcPr>
            <w:tcW w:w="1076"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5" w:after="0" w:lineRule="auto" w:line="240"/>
              <w:ind w:right="0" w:left="3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18.93</w:t>
            </w:r>
          </w:p>
        </w:tc>
      </w:tr>
    </w:tbl>
    <w:p>
      <w:pPr>
        <w:autoSpaceDE w:val="0"/>
        <w:autoSpaceDN w:val="0"/>
        <w:jc w:val="both"/>
        <w:spacing w:before="138" w:after="0" w:lineRule="exact" w:line="356"/>
        <w:ind w:right="978" w:left="0" w:firstLine="480"/>
        <w:snapToGrid w:val="0"/>
        <w:textAlignment w:val="auto"/>
        <w:tabs/>
        <w:rPr>
          <w:rFonts w:ascii="宋体" w:hAnsi="宋体" w:cs="宋体" w:eastAsia="宋体" w:hint="ascii"/>
        </w:rPr>
      </w:pPr>
      <w:r>
        <w:rPr>
          <w:rFonts w:ascii="宋体" w:hAnsi="宋体" w:cs="宋体" w:eastAsia="宋体" w:hint="ascii"/>
        </w:rPr>
        <w:t>关于地区科学基金项目资助范围见面上项目各科学部介绍，近年资助状况和有关要求见本部分各科学部介绍。</w:t>
      </w:r>
    </w:p>
    <w:p>
      <w:pPr>
        <w:autoSpaceDE w:val="0"/>
        <w:autoSpaceDN w:val="0"/>
        <w:jc w:val="left"/>
        <w:spacing w:before="5428" w:after="0" w:lineRule="exact" w:line="225"/>
        <w:ind w:right="0" w:left="7366"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65"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数理科学部</w:t>
      </w:r>
      <w:r>
        <w:rPr>
          <w:rFonts w:ascii="宋体" w:hAnsi="宋体" w:cs="宋体" w:eastAsia="宋体" w:hint="ascii"/>
          <w:sz w:val="38"/>
        </w:rPr>
        <mc:AlternateContent>
          <mc:Choice Requires="wps">
            <w:drawing>
              <wp:anchor distL="0" distR="0" distT="0" distB="0" simplePos="0" behindDoc="1" relativeHeight="212" locked="0" layoutInCell="1" allowOverlap="1">
                <wp:simplePos x="0" y="0"/>
                <wp:positionH relativeFrom="page">
                  <wp:posOffset>938530</wp:posOffset>
                </wp:positionH>
                <wp:positionV relativeFrom="page">
                  <wp:posOffset>805815</wp:posOffset>
                </wp:positionV>
                <wp:extent cx="5076190" cy="0"/>
                <wp:wrapNone/>
                <wp:docPr id="1241" name="124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41152;width:399.70pt;" id="124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数理科学领域地区科学基金项目的资助，旨在为特定地区营造良好的科学研究环境</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和氛围，培</w:t>
      </w:r>
      <w:r>
        <w:rPr>
          <w:rFonts w:ascii="宋体" w:hAnsi="宋体" w:cs="宋体" w:eastAsia="宋体" w:hint="ascii"/>
          <w:sz w:val="21"/>
        </w:rPr>
        <w:t>养、保持和建设一支具有一定规模的研究队伍，为地区科技发展培养基础科</w:t>
      </w:r>
      <w:r>
        <w:rPr>
          <w:rFonts w:ascii="宋体" w:hAnsi="宋体" w:cs="宋体" w:eastAsia="宋体" w:hint="ascii"/>
          <w:sz w:val="21"/>
          <w:spacing w:val="1"/>
        </w:rPr>
        <w:t>学人才，提升解决地</w:t>
      </w:r>
      <w:r>
        <w:rPr>
          <w:rFonts w:ascii="宋体" w:hAnsi="宋体" w:cs="宋体" w:eastAsia="宋体" w:hint="ascii"/>
          <w:sz w:val="21"/>
        </w:rPr>
        <w:t>区国民经济和社会发展中的基础科学问题的能力。在项目的评</w:t>
      </w:r>
      <w:r>
        <w:rPr>
          <w:rFonts w:ascii="宋体" w:hAnsi="宋体" w:cs="宋体" w:eastAsia="宋体" w:hint="ascii"/>
          <w:sz w:val="21"/>
          <w:spacing w:val="-6"/>
        </w:rPr>
        <w:t>审</w:t>
      </w:r>
      <w:r>
        <w:rPr>
          <w:rFonts w:ascii="宋体" w:hAnsi="宋体" w:cs="宋体" w:eastAsia="宋体" w:hint="ascii"/>
          <w:sz w:val="21"/>
          <w:spacing w:val="-1"/>
        </w:rPr>
        <w:t>中，注重具</w:t>
      </w:r>
      <w:r>
        <w:rPr>
          <w:rFonts w:ascii="宋体" w:hAnsi="宋体" w:cs="宋体" w:eastAsia="宋体" w:hint="ascii"/>
          <w:sz w:val="21"/>
        </w:rPr>
        <w:t>有一定的研究基础和特色与相对优势的申请，发挥地区科学基金作为人才项目系列的功能，加强对西部地区科技人员申请项目的资助力度。</w:t>
      </w:r>
    </w:p>
    <w:p>
      <w:pPr>
        <w:autoSpaceDE w:val="0"/>
        <w:autoSpaceDN w:val="0"/>
        <w:jc w:val="left"/>
        <w:spacing w:before="167"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数理科学部地区科学基金项目近两年资助情况一览表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17"/>
        <w:gridCol w:w="2043"/>
        <w:gridCol w:w="822"/>
        <w:gridCol w:w="822"/>
        <w:gridCol w:w="822"/>
        <w:gridCol w:w="822"/>
        <w:gridCol w:w="822"/>
        <w:gridCol w:w="822"/>
      </w:tblGrid>
      <w:tr>
        <w:trPr>
          <w:trHeight w:val="277" w:hRule="exact"/>
          <w:cantSplit w:val="1"/>
        </w:trPr>
        <w:tc>
          <w:tcPr>
            <w:tcW w:w="3060" w:type="dxa"/>
            <w:gridSpan w:val="2"/>
            <w:vAlign w:val="top"/>
            <w:vMerge w:val="restart"/>
            <w:tcMar/>
            <w:tcBorders/>
          </w:tcPr>
          <w:p>
            <w:pPr>
              <w:autoSpaceDE w:val="0"/>
              <w:autoSpaceDN w:val="0"/>
              <w:jc w:val="left"/>
              <w:spacing w:before="268" w:after="0" w:lineRule="exact" w:line="188"/>
              <w:ind w:right="0" w:left="129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66" w:type="dxa"/>
            <w:gridSpan w:val="3"/>
            <w:vAlign w:val="top"/>
            <w:tcMar/>
            <w:tcBorders>
              <w:left w:val="single" w:sz="4" w:space="0" w:color="000000"/>
            </w:tcBorders>
          </w:tcPr>
          <w:p>
            <w:pPr>
              <w:autoSpaceDE w:val="0"/>
              <w:autoSpaceDN w:val="0"/>
              <w:jc w:val="left"/>
              <w:spacing w:before="34" w:after="0" w:lineRule="auto" w:line="240"/>
              <w:ind w:right="0" w:left="909" w:firstLine="0"/>
              <w:snapToGrid w:val="0"/>
              <w:textAlignment w:val="auto"/>
              <w:tabs>
                <w:tab w:val="left" w:leader="none" w:pos="1253"/>
              </w:tabs>
              <w:numPr>
                <w:ilvl w:val="0"/>
                <w:numId w:val="243"/>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66" w:type="dxa"/>
            <w:gridSpan w:val="3"/>
            <w:vAlign w:val="top"/>
            <w:tcMar/>
            <w:tcBorders>
              <w:left w:val="single" w:sz="4" w:space="0" w:color="000000"/>
              <w:right w:val="single" w:sz="8" w:space="0" w:color="000000"/>
            </w:tcBorders>
          </w:tcPr>
          <w:p>
            <w:pPr>
              <w:autoSpaceDE w:val="0"/>
              <w:autoSpaceDN w:val="0"/>
              <w:jc w:val="left"/>
              <w:spacing w:before="34" w:after="0" w:lineRule="auto" w:line="240"/>
              <w:ind w:right="0" w:left="909" w:firstLine="0"/>
              <w:snapToGrid w:val="0"/>
              <w:textAlignment w:val="auto"/>
              <w:tabs>
                <w:tab w:val="left" w:leader="none" w:pos="1253"/>
              </w:tabs>
              <w:numPr>
                <w:ilvl w:val="0"/>
                <w:numId w:val="243"/>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68" w:hRule="exact"/>
          <w:cantSplit w:val="1"/>
        </w:trPr>
        <w:tc>
          <w:tcPr>
            <w:tcW w:w="306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301" w:hRule="exact"/>
          <w:cantSplit w:val="1"/>
        </w:trPr>
        <w:tc>
          <w:tcPr>
            <w:tcW w:w="1017" w:type="dxa"/>
            <w:gridSpan w:val="1"/>
            <w:vAlign w:val="top"/>
            <w:vMerge w:val="restart"/>
            <w:tcMar/>
            <w:tcBorders>
              <w:top w:val="single" w:sz="4" w:space="0" w:color="000000"/>
            </w:tcBorders>
          </w:tcPr>
          <w:p>
            <w:pPr>
              <w:autoSpaceDE w:val="0"/>
              <w:autoSpaceDN w:val="0"/>
              <w:jc w:val="left"/>
              <w:spacing w:before="199" w:after="0" w:lineRule="exact" w:line="188"/>
              <w:ind w:right="0" w:left="124" w:firstLine="0"/>
              <w:snapToGrid w:val="0"/>
              <w:textAlignment w:val="auto"/>
              <w:tabs/>
              <w:rPr>
                <w:rFonts w:ascii="宋体" w:hAnsi="宋体" w:cs="宋体" w:eastAsia="宋体" w:hint="ascii"/>
                <w:sz w:val="15"/>
              </w:rPr>
            </w:pPr>
            <w:r>
              <w:rPr>
                <w:rFonts w:ascii="宋体" w:hAnsi="宋体" w:cs="宋体" w:eastAsia="宋体" w:hint="ascii"/>
                <w:sz w:val="15"/>
              </w:rPr>
              <w:t>数学科学处</w:t>
            </w:r>
          </w:p>
        </w:tc>
        <w:tc>
          <w:tcPr>
            <w:tcW w:w="2043" w:type="dxa"/>
            <w:gridSpan w:val="1"/>
            <w:vAlign w:val="top"/>
            <w:tcMar/>
            <w:tcBorders>
              <w:left w:val="single" w:sz="4" w:space="0" w:color="000000"/>
              <w:top w:val="single" w:sz="4" w:space="0" w:color="000000"/>
            </w:tcBorders>
          </w:tcPr>
          <w:p>
            <w:pPr>
              <w:autoSpaceDE w:val="0"/>
              <w:autoSpaceDN w:val="0"/>
              <w:jc w:val="left"/>
              <w:spacing w:before="37"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数学</w:t>
            </w:r>
            <w:r>
              <w:rPr>
                <w:rFonts w:ascii="宋体" w:hAnsi="宋体" w:cs="宋体" w:eastAsia="宋体" w:hint="ascii"/>
                <w:sz w:val="15"/>
              </w:rPr>
              <w:t>Ⅰ</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41</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1 436</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27.03</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2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1 698.5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5"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28.07</w:t>
            </w:r>
          </w:p>
        </w:tc>
      </w:tr>
      <w:tr>
        <w:trPr>
          <w:trHeight w:val="30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数学</w:t>
            </w:r>
            <w:r>
              <w:rPr>
                <w:rFonts w:ascii="宋体" w:hAnsi="宋体" w:cs="宋体" w:eastAsia="宋体" w:hint="ascii"/>
                <w:sz w:val="15"/>
              </w:rPr>
              <w:t>Ⅱ</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43</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255" w:firstLine="0"/>
              <w:snapToGrid w:val="0"/>
              <w:textAlignment w:val="auto"/>
              <w:tabs>
                <w:tab w:val="left" w:leader="none" w:pos="373"/>
              </w:tabs>
              <w:numPr>
                <w:ilvl w:val="0"/>
                <w:numId w:val="244"/>
              </w:numPr>
              <w:rPr>
                <w:rFonts w:ascii="Times New Roman" w:hAnsi="Times New Roman" w:cs="Times New Roman" w:eastAsia="Times New Roman" w:hint="ascii"/>
                <w:sz w:val="15"/>
              </w:rPr>
            </w:pPr>
            <w:r>
              <w:rPr>
                <w:rFonts w:ascii="Times New Roman" w:hAnsi="Times New Roman" w:cs="Times New Roman" w:eastAsia="Times New Roman" w:hint="ascii"/>
                <w:sz w:val="15"/>
              </w:rPr>
              <w:t>588</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25.15</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379" w:firstLine="0"/>
              <w:snapToGrid w:val="0"/>
              <w:textAlignment w:val="auto"/>
              <w:tabs>
                <w:tab w:val="left" w:leader="none" w:pos="-655355"/>
              </w:tabs>
              <w:numPr>
                <w:ilvl w:val="0"/>
                <w:numId w:val="24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55" w:after="0" w:lineRule="auto" w:line="240"/>
              <w:ind w:right="0" w:left="205" w:firstLine="0"/>
              <w:snapToGrid w:val="0"/>
              <w:textAlignment w:val="auto"/>
              <w:tabs>
                <w:tab w:val="left" w:leader="none" w:pos="323"/>
              </w:tabs>
              <w:numPr>
                <w:ilvl w:val="0"/>
                <w:numId w:val="246"/>
              </w:numPr>
              <w:rPr>
                <w:rFonts w:ascii="Times New Roman" w:hAnsi="Times New Roman" w:cs="Times New Roman" w:eastAsia="Times New Roman" w:hint="ascii"/>
                <w:sz w:val="15"/>
              </w:rPr>
            </w:pPr>
            <w:r>
              <w:rPr>
                <w:rFonts w:ascii="Times New Roman" w:hAnsi="Times New Roman" w:cs="Times New Roman" w:eastAsia="Times New Roman" w:hint="ascii"/>
                <w:sz w:val="15"/>
              </w:rPr>
              <w:t>247.5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5"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20.23</w:t>
            </w:r>
          </w:p>
        </w:tc>
      </w:tr>
      <w:tr>
        <w:trPr>
          <w:trHeight w:val="272" w:hRule="exact"/>
          <w:cantSplit w:val="1"/>
        </w:trPr>
        <w:tc>
          <w:tcPr>
            <w:tcW w:w="1017" w:type="dxa"/>
            <w:gridSpan w:val="1"/>
            <w:vAlign w:val="top"/>
            <w:vMerge w:val="restart"/>
            <w:tcMar/>
            <w:tcBorders>
              <w:top w:val="single" w:sz="4" w:space="0" w:color="000000"/>
            </w:tcBorders>
          </w:tcPr>
          <w:p>
            <w:pPr>
              <w:autoSpaceDE w:val="0"/>
              <w:autoSpaceDN w:val="0"/>
              <w:jc w:val="left"/>
              <w:spacing w:before="715" w:after="0" w:lineRule="exact" w:line="188"/>
              <w:ind w:right="0" w:left="124" w:firstLine="0"/>
              <w:snapToGrid w:val="0"/>
              <w:textAlignment w:val="auto"/>
              <w:tabs/>
              <w:rPr>
                <w:rFonts w:ascii="宋体" w:hAnsi="宋体" w:cs="宋体" w:eastAsia="宋体" w:hint="ascii"/>
                <w:sz w:val="15"/>
              </w:rPr>
            </w:pPr>
            <w:r>
              <w:rPr>
                <w:rFonts w:ascii="宋体" w:hAnsi="宋体" w:cs="宋体" w:eastAsia="宋体" w:hint="ascii"/>
                <w:sz w:val="15"/>
              </w:rPr>
              <w:t>力学科学处</w:t>
            </w:r>
          </w:p>
        </w:tc>
        <w:tc>
          <w:tcPr>
            <w:tcW w:w="2043"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192" w:firstLine="0"/>
              <w:snapToGrid w:val="0"/>
              <w:textAlignment w:val="auto"/>
              <w:tabs/>
              <w:rPr>
                <w:rFonts w:ascii="宋体" w:hAnsi="宋体" w:cs="宋体" w:eastAsia="宋体" w:hint="ascii"/>
                <w:sz w:val="15"/>
              </w:rPr>
            </w:pPr>
            <w:r>
              <w:rPr>
                <w:rFonts w:ascii="宋体" w:hAnsi="宋体" w:cs="宋体" w:eastAsia="宋体" w:hint="ascii"/>
                <w:sz w:val="15"/>
              </w:rPr>
              <w:t>力学中的基本问题和方法</w:t>
            </w:r>
          </w:p>
        </w:tc>
        <w:tc>
          <w:tcPr>
            <w:tcW w:w="822"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323"/>
              </w:tabs>
              <w:numPr>
                <w:ilvl w:val="0"/>
                <w:numId w:val="246"/>
              </w:numPr>
              <w:rPr>
                <w:rFonts w:ascii="Times New Roman" w:hAnsi="Times New Roman" w:cs="Times New Roman" w:eastAsia="Times New Roman" w:hint="ascii"/>
                <w:sz w:val="15"/>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0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50.00</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566" w:firstLine="0"/>
              <w:snapToGrid w:val="0"/>
              <w:textAlignment w:val="auto"/>
              <w:tabs/>
              <w:rPr>
                <w:rFonts w:ascii="宋体" w:hAnsi="宋体" w:cs="宋体" w:eastAsia="宋体" w:hint="ascii"/>
                <w:sz w:val="15"/>
              </w:rPr>
            </w:pPr>
            <w:r>
              <w:rPr>
                <w:rFonts w:ascii="宋体" w:hAnsi="宋体" w:cs="宋体" w:eastAsia="宋体" w:hint="ascii"/>
                <w:sz w:val="15"/>
              </w:rPr>
              <w:t>动力学与控制</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323"/>
              </w:tabs>
              <w:numPr>
                <w:ilvl w:val="0"/>
                <w:numId w:val="246"/>
              </w:numPr>
              <w:rPr>
                <w:rFonts w:ascii="Times New Roman" w:hAnsi="Times New Roman" w:cs="Times New Roman" w:eastAsia="Times New Roman" w:hint="ascii"/>
                <w:sz w:val="15"/>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135</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21.43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21.43</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固体力学</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446</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24.44</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397</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22.73</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流体力学</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235</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42.86</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331"/>
              </w:tabs>
              <w:numPr>
                <w:ilvl w:val="0"/>
                <w:numId w:val="247"/>
              </w:numPr>
              <w:rPr>
                <w:rFonts w:ascii="Times New Roman" w:hAnsi="Times New Roman" w:cs="Times New Roman" w:eastAsia="Times New Roman" w:hint="ascii"/>
                <w:sz w:val="15"/>
              </w:rPr>
            </w:pPr>
            <w:r>
              <w:rPr>
                <w:rFonts w:ascii="Times New Roman" w:hAnsi="Times New Roman" w:cs="Times New Roman" w:eastAsia="Times New Roman"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189</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23.81</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生物力学</w:t>
            </w:r>
          </w:p>
        </w:tc>
        <w:tc>
          <w:tcPr>
            <w:tcW w:w="822"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0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416" w:firstLine="0"/>
              <w:snapToGrid w:val="0"/>
              <w:textAlignment w:val="auto"/>
              <w:tabs/>
              <w:rPr>
                <w:rFonts w:ascii="宋体" w:hAnsi="宋体" w:cs="宋体" w:eastAsia="宋体" w:hint="ascii"/>
                <w:sz w:val="15"/>
              </w:rPr>
            </w:pPr>
            <w:r>
              <w:rPr>
                <w:rFonts w:ascii="宋体" w:hAnsi="宋体" w:cs="宋体" w:eastAsia="宋体" w:hint="ascii"/>
                <w:sz w:val="15"/>
              </w:rPr>
              <w:t>爆炸与冲击动力学</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42</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100.00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0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42</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33.33</w:t>
            </w:r>
          </w:p>
        </w:tc>
      </w:tr>
      <w:tr>
        <w:trPr>
          <w:trHeight w:val="272" w:hRule="exact"/>
          <w:cantSplit w:val="1"/>
        </w:trPr>
        <w:tc>
          <w:tcPr>
            <w:tcW w:w="1017" w:type="dxa"/>
            <w:gridSpan w:val="1"/>
            <w:vAlign w:val="top"/>
            <w:vMerge w:val="restart"/>
            <w:tcMar/>
            <w:tcBorders>
              <w:top w:val="single" w:sz="4" w:space="0" w:color="000000"/>
            </w:tcBorders>
          </w:tcPr>
          <w:p>
            <w:pPr>
              <w:autoSpaceDE w:val="0"/>
              <w:autoSpaceDN w:val="0"/>
              <w:jc w:val="left"/>
              <w:spacing w:before="171" w:after="0" w:lineRule="exact" w:line="188"/>
              <w:ind w:right="0" w:left="124" w:firstLine="0"/>
              <w:snapToGrid w:val="0"/>
              <w:textAlignment w:val="auto"/>
              <w:tabs/>
              <w:rPr>
                <w:rFonts w:ascii="宋体" w:hAnsi="宋体" w:cs="宋体" w:eastAsia="宋体" w:hint="ascii"/>
                <w:sz w:val="15"/>
              </w:rPr>
            </w:pPr>
            <w:r>
              <w:rPr>
                <w:rFonts w:ascii="宋体" w:hAnsi="宋体" w:cs="宋体" w:eastAsia="宋体" w:hint="ascii"/>
                <w:sz w:val="15"/>
              </w:rPr>
              <w:t>天文科学处</w:t>
            </w: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天体物理</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288</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numPr>
                <w:ilvl w:val="1"/>
                <w:numId w:val="245"/>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33.33</w:t>
            </w:r>
          </w:p>
        </w:tc>
      </w:tr>
      <w:tr>
        <w:trPr>
          <w:trHeight w:val="274"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基本天文和技术方法</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18.18</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339" w:firstLine="0"/>
              <w:snapToGrid w:val="0"/>
              <w:textAlignment w:val="auto"/>
              <w:tabs/>
              <w:numPr>
                <w:ilvl w:val="1"/>
                <w:numId w:val="248"/>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w:t>
            </w:r>
          </w:p>
        </w:tc>
      </w:tr>
      <w:tr>
        <w:trPr>
          <w:trHeight w:val="272" w:hRule="exact"/>
          <w:cantSplit w:val="1"/>
        </w:trPr>
        <w:tc>
          <w:tcPr>
            <w:tcW w:w="1017" w:type="dxa"/>
            <w:gridSpan w:val="1"/>
            <w:vAlign w:val="top"/>
            <w:vMerge w:val="restart"/>
            <w:tcMar/>
            <w:tcBorders>
              <w:top w:val="single" w:sz="4" w:space="0" w:color="000000"/>
            </w:tcBorders>
          </w:tcPr>
          <w:p>
            <w:pPr>
              <w:autoSpaceDE w:val="0"/>
              <w:autoSpaceDN w:val="0"/>
              <w:jc w:val="left"/>
              <w:spacing w:before="44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物理科学一处</w:t>
            </w:r>
          </w:p>
        </w:tc>
        <w:tc>
          <w:tcPr>
            <w:tcW w:w="2043"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642" w:firstLine="0"/>
              <w:snapToGrid w:val="0"/>
              <w:textAlignment w:val="auto"/>
              <w:tabs/>
              <w:rPr>
                <w:rFonts w:ascii="宋体" w:hAnsi="宋体" w:cs="宋体" w:eastAsia="宋体" w:hint="ascii"/>
                <w:sz w:val="15"/>
              </w:rPr>
            </w:pPr>
            <w:r>
              <w:rPr>
                <w:rFonts w:ascii="宋体" w:hAnsi="宋体" w:cs="宋体" w:eastAsia="宋体" w:hint="ascii"/>
                <w:sz w:val="15"/>
              </w:rPr>
              <w:t>凝聚态物理</w:t>
            </w:r>
          </w:p>
        </w:tc>
        <w:tc>
          <w:tcPr>
            <w:tcW w:w="82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w:t>
            </w:r>
          </w:p>
        </w:tc>
        <w:tc>
          <w:tcPr>
            <w:tcW w:w="82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868</w:t>
            </w:r>
          </w:p>
        </w:tc>
        <w:tc>
          <w:tcPr>
            <w:tcW w:w="82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27.16</w:t>
            </w:r>
          </w:p>
        </w:tc>
        <w:tc>
          <w:tcPr>
            <w:tcW w:w="82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w:t>
            </w:r>
          </w:p>
        </w:tc>
        <w:tc>
          <w:tcPr>
            <w:tcW w:w="822" w:type="dxa"/>
            <w:gridSpan w:val="1"/>
            <w:vAlign w:val="top"/>
            <w:tcMar/>
            <w:tcBorders>
              <w:left w:val="single" w:sz="4" w:space="0" w:color="000000"/>
              <w:top w:val="single" w:sz="4" w:space="0" w:color="000000"/>
            </w:tcBorders>
          </w:tcPr>
          <w:p>
            <w:pPr>
              <w:autoSpaceDE w:val="0"/>
              <w:autoSpaceDN w:val="0"/>
              <w:jc w:val="left"/>
              <w:spacing w:before="40"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985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24.04</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492" w:firstLine="0"/>
              <w:snapToGrid w:val="0"/>
              <w:textAlignment w:val="auto"/>
              <w:tabs/>
              <w:rPr>
                <w:rFonts w:ascii="宋体" w:hAnsi="宋体" w:cs="宋体" w:eastAsia="宋体" w:hint="ascii"/>
                <w:sz w:val="15"/>
              </w:rPr>
            </w:pPr>
            <w:r>
              <w:rPr>
                <w:rFonts w:ascii="宋体" w:hAnsi="宋体" w:cs="宋体" w:eastAsia="宋体" w:hint="ascii"/>
                <w:sz w:val="15"/>
              </w:rPr>
              <w:t>原子和分子物理</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373"/>
              </w:tabs>
              <w:numPr>
                <w:ilvl w:val="0"/>
                <w:numId w:val="249"/>
              </w:numPr>
              <w:rPr>
                <w:rFonts w:ascii="Times New Roman" w:hAnsi="Times New Roman" w:cs="Times New Roman" w:eastAsia="Times New Roman" w:hint="ascii"/>
                <w:sz w:val="15"/>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208</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29.41</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30.77</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3" w:after="0" w:lineRule="exact" w:line="188"/>
              <w:ind w:right="0" w:left="866" w:firstLine="0"/>
              <w:snapToGrid w:val="0"/>
              <w:textAlignment w:val="auto"/>
              <w:tabs/>
              <w:rPr>
                <w:rFonts w:ascii="宋体" w:hAnsi="宋体" w:cs="宋体" w:eastAsia="宋体" w:hint="ascii"/>
                <w:sz w:val="15"/>
              </w:rPr>
            </w:pPr>
            <w:r>
              <w:rPr>
                <w:rFonts w:ascii="宋体" w:hAnsi="宋体" w:cs="宋体" w:eastAsia="宋体" w:hint="ascii"/>
                <w:sz w:val="15"/>
              </w:rPr>
              <w:t>光学</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643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26.32</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866" w:firstLine="0"/>
              <w:snapToGrid w:val="0"/>
              <w:textAlignment w:val="auto"/>
              <w:tabs/>
              <w:rPr>
                <w:rFonts w:ascii="宋体" w:hAnsi="宋体" w:cs="宋体" w:eastAsia="宋体" w:hint="ascii"/>
                <w:sz w:val="15"/>
              </w:rPr>
            </w:pPr>
            <w:r>
              <w:rPr>
                <w:rFonts w:ascii="宋体" w:hAnsi="宋体" w:cs="宋体" w:eastAsia="宋体" w:hint="ascii"/>
                <w:sz w:val="15"/>
              </w:rPr>
              <w:t>声学</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373"/>
              </w:tabs>
              <w:numPr>
                <w:ilvl w:val="0"/>
                <w:numId w:val="244"/>
              </w:numPr>
              <w:rPr>
                <w:rFonts w:ascii="Times New Roman" w:hAnsi="Times New Roman" w:cs="Times New Roman" w:eastAsia="Times New Roman" w:hint="ascii"/>
                <w:sz w:val="15"/>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79</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25.00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0"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30.00</w:t>
            </w:r>
          </w:p>
        </w:tc>
      </w:tr>
      <w:tr>
        <w:trPr>
          <w:trHeight w:val="272" w:hRule="exact"/>
          <w:cantSplit w:val="1"/>
        </w:trPr>
        <w:tc>
          <w:tcPr>
            <w:tcW w:w="1017" w:type="dxa"/>
            <w:gridSpan w:val="1"/>
            <w:vAlign w:val="top"/>
            <w:vMerge w:val="restart"/>
            <w:tcMar/>
            <w:tcBorders>
              <w:top w:val="single" w:sz="4" w:space="0" w:color="000000"/>
            </w:tcBorders>
          </w:tcPr>
          <w:p>
            <w:pPr>
              <w:autoSpaceDE w:val="0"/>
              <w:autoSpaceDN w:val="0"/>
              <w:jc w:val="left"/>
              <w:spacing w:before="44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物理科学二处</w:t>
            </w: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基础物理和粒子物理</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7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27.03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19.44</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192" w:firstLine="0"/>
              <w:snapToGrid w:val="0"/>
              <w:textAlignment w:val="auto"/>
              <w:tabs/>
              <w:rPr>
                <w:rFonts w:ascii="宋体" w:hAnsi="宋体" w:cs="宋体" w:eastAsia="宋体" w:hint="ascii"/>
                <w:sz w:val="15"/>
              </w:rPr>
            </w:pPr>
            <w:r>
              <w:rPr>
                <w:rFonts w:ascii="宋体" w:hAnsi="宋体" w:cs="宋体" w:eastAsia="宋体" w:hint="ascii"/>
                <w:sz w:val="15"/>
              </w:rPr>
              <w:t>核物理与核技术及其应用</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291</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41.18</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29.63</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粒子物理与核物理实验设备</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655355"/>
              </w:tabs>
              <w:numPr>
                <w:ilvl w:val="0"/>
                <w:numId w:val="248"/>
              </w:numPr>
              <w:rPr>
                <w:rFonts w:ascii="Times New Roman" w:hAnsi="Times New Roman" w:cs="Times New Roman" w:eastAsia="Times New Roman" w:hint="ascii"/>
                <w:sz w:val="15"/>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14.29</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373"/>
              </w:tabs>
              <w:numPr>
                <w:ilvl w:val="0"/>
                <w:numId w:val="244"/>
              </w:numPr>
              <w:rPr>
                <w:rFonts w:ascii="Times New Roman" w:hAnsi="Times New Roman" w:cs="Times New Roman" w:eastAsia="Times New Roman" w:hint="ascii"/>
                <w:sz w:val="15"/>
              </w:rPr>
            </w:pPr>
            <w:r>
              <w:rPr>
                <w:rFonts w:ascii="Times New Roman" w:hAnsi="Times New Roman" w:cs="Times New Roman" w:eastAsia="Times New Roman"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133</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37.50</w:t>
            </w:r>
          </w:p>
        </w:tc>
      </w:tr>
      <w:tr>
        <w:trPr>
          <w:trHeight w:val="27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5" w:after="0" w:lineRule="exact" w:line="188"/>
              <w:ind w:right="0" w:left="566" w:firstLine="0"/>
              <w:snapToGrid w:val="0"/>
              <w:textAlignment w:val="auto"/>
              <w:tabs/>
              <w:rPr>
                <w:rFonts w:ascii="宋体" w:hAnsi="宋体" w:cs="宋体" w:eastAsia="宋体" w:hint="ascii"/>
                <w:sz w:val="15"/>
              </w:rPr>
            </w:pPr>
            <w:r>
              <w:rPr>
                <w:rFonts w:ascii="宋体" w:hAnsi="宋体" w:cs="宋体" w:eastAsia="宋体" w:hint="ascii"/>
                <w:sz w:val="15"/>
              </w:rPr>
              <w:t>等离子体物理</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tab w:val="left" w:leader="none" w:pos="323"/>
              </w:tabs>
              <w:numPr>
                <w:ilvl w:val="0"/>
                <w:numId w:val="246"/>
              </w:numPr>
              <w:rPr>
                <w:rFonts w:ascii="Times New Roman" w:hAnsi="Times New Roman" w:cs="Times New Roman" w:eastAsia="Times New Roman" w:hint="ascii"/>
                <w:sz w:val="15"/>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167</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22.22</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4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2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r>
      <w:tr>
        <w:trPr>
          <w:trHeight w:val="274" w:hRule="exact"/>
          <w:cantSplit w:val="1"/>
        </w:trPr>
        <w:tc>
          <w:tcPr>
            <w:tcW w:w="3060" w:type="dxa"/>
            <w:gridSpan w:val="2"/>
            <w:vAlign w:val="top"/>
            <w:tcMar/>
            <w:tcBorders>
              <w:top w:val="single" w:sz="4" w:space="0" w:color="000000"/>
            </w:tcBorders>
          </w:tcPr>
          <w:p>
            <w:pPr>
              <w:autoSpaceDE w:val="0"/>
              <w:autoSpaceDN w:val="0"/>
              <w:jc w:val="left"/>
              <w:spacing w:before="35" w:after="0" w:lineRule="exact" w:line="188"/>
              <w:ind w:right="0" w:left="1070"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55" w:firstLine="0"/>
              <w:snapToGrid w:val="0"/>
              <w:textAlignment w:val="auto"/>
              <w:tabs>
                <w:tab w:val="left" w:leader="none" w:pos="373"/>
              </w:tabs>
              <w:numPr>
                <w:ilvl w:val="0"/>
                <w:numId w:val="249"/>
              </w:numPr>
              <w:rPr>
                <w:rFonts w:ascii="Times New Roman" w:hAnsi="Times New Roman" w:cs="Times New Roman" w:eastAsia="Times New Roman" w:hint="ascii"/>
                <w:sz w:val="15"/>
              </w:rPr>
            </w:pPr>
            <w:r>
              <w:rPr>
                <w:rFonts w:ascii="Times New Roman" w:hAnsi="Times New Roman" w:cs="Times New Roman" w:eastAsia="Times New Roman" w:hint="ascii"/>
                <w:sz w:val="15"/>
              </w:rPr>
              <w:t>950</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26.87</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3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183</w:t>
            </w:r>
          </w:p>
        </w:tc>
        <w:tc>
          <w:tcPr>
            <w:tcW w:w="822" w:type="dxa"/>
            <w:gridSpan w:val="1"/>
            <w:vAlign w:val="top"/>
            <w:tcMar/>
            <w:tcBorders>
              <w:left w:val="single" w:sz="4" w:space="0" w:color="000000"/>
              <w:top w:val="single" w:sz="4" w:space="0" w:color="000000"/>
            </w:tcBorders>
          </w:tcPr>
          <w:p>
            <w:pPr>
              <w:autoSpaceDE w:val="0"/>
              <w:autoSpaceDN w:val="0"/>
              <w:jc w:val="left"/>
              <w:spacing w:before="41" w:after="0" w:lineRule="auto" w:line="240"/>
              <w:ind w:right="0" w:left="213" w:firstLine="0"/>
              <w:snapToGrid w:val="0"/>
              <w:textAlignment w:val="auto"/>
              <w:tabs>
                <w:tab w:val="left" w:leader="none" w:pos="331"/>
              </w:tabs>
              <w:numPr>
                <w:ilvl w:val="0"/>
                <w:numId w:val="247"/>
              </w:numPr>
              <w:rPr>
                <w:rFonts w:ascii="Times New Roman" w:hAnsi="Times New Roman" w:cs="Times New Roman" w:eastAsia="Times New Roman" w:hint="ascii"/>
                <w:sz w:val="15"/>
              </w:rPr>
            </w:pPr>
            <w:r>
              <w:rPr>
                <w:rFonts w:ascii="Times New Roman" w:hAnsi="Times New Roman" w:cs="Times New Roman" w:eastAsia="Times New Roman" w:hint="ascii"/>
                <w:sz w:val="15"/>
              </w:rPr>
              <w:t>940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2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24.14</w:t>
            </w:r>
          </w:p>
        </w:tc>
      </w:tr>
      <w:tr>
        <w:trPr>
          <w:trHeight w:val="277" w:hRule="exact"/>
          <w:cantSplit w:val="1"/>
        </w:trPr>
        <w:tc>
          <w:tcPr>
            <w:tcW w:w="3060" w:type="dxa"/>
            <w:gridSpan w:val="2"/>
            <w:vAlign w:val="top"/>
            <w:tcMar/>
            <w:tcBorders>
              <w:top w:val="single" w:sz="4" w:space="0" w:color="000000"/>
              <w:bottom w:val="single" w:sz="8" w:space="0" w:color="000000"/>
            </w:tcBorders>
          </w:tcPr>
          <w:p>
            <w:pPr>
              <w:autoSpaceDE w:val="0"/>
              <w:autoSpaceDN w:val="0"/>
              <w:jc w:val="left"/>
              <w:spacing w:before="33" w:after="0" w:lineRule="exact" w:line="188"/>
              <w:ind w:right="0" w:left="37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466"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40"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38.61</w:t>
            </w:r>
          </w:p>
        </w:tc>
        <w:tc>
          <w:tcPr>
            <w:tcW w:w="2466"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40"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37.92</w:t>
            </w:r>
          </w:p>
        </w:tc>
      </w:tr>
    </w:tbl>
    <w:p>
      <w:pPr>
        <w:autoSpaceDE w:val="0"/>
        <w:autoSpaceDN w:val="0"/>
        <w:jc w:val="left"/>
        <w:spacing w:before="320"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化学科学部</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化学科学部将在稳定地区科学基金项目资助规模的前提下，进一步推动地区科学基</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金项目的研</w:t>
      </w:r>
      <w:r>
        <w:rPr>
          <w:rFonts w:ascii="宋体" w:hAnsi="宋体" w:cs="宋体" w:eastAsia="宋体" w:hint="ascii"/>
          <w:sz w:val="21"/>
        </w:rPr>
        <w:t>究水平和资助效益的提升，稳定一批从事基础科学研究人才队伍，不断缩小</w:t>
      </w:r>
      <w:r>
        <w:rPr>
          <w:rFonts w:ascii="宋体" w:hAnsi="宋体" w:cs="宋体" w:eastAsia="宋体" w:hint="ascii"/>
          <w:sz w:val="21"/>
          <w:spacing w:val="-1"/>
        </w:rPr>
        <w:t>与发达地区</w:t>
      </w:r>
      <w:r>
        <w:rPr>
          <w:rFonts w:ascii="宋体" w:hAnsi="宋体" w:cs="宋体" w:eastAsia="宋体" w:hint="ascii"/>
          <w:sz w:val="21"/>
        </w:rPr>
        <w:t>的差距。鼓励地区科学基金项目申请人从事与地区资源相关的科学研究，以促进我国区域经济的协调发展。</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年度化学科学部将进行全面的学科重新调整，以化学化工的主要研究方向进</w:t>
      </w:r>
    </w:p>
    <w:p>
      <w:pPr>
        <w:autoSpaceDE w:val="0"/>
        <w:autoSpaceDN w:val="0"/>
        <w:jc w:val="left"/>
        <w:spacing w:before="36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地区科学基金项目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行分类资助和管理，</w:t>
      </w:r>
      <w:r>
        <w:rPr>
          <w:rFonts w:ascii="宋体" w:hAnsi="宋体" w:cs="宋体" w:eastAsia="宋体" w:hint="ascii"/>
          <w:sz w:val="21"/>
        </w:rPr>
        <w:t>更好适应国际化学发展的趋势和促进中国化学化工研究的转型</w:t>
      </w:r>
      <w:r>
        <w:rPr>
          <w:rFonts w:ascii="宋体" w:hAnsi="宋体" w:cs="宋体" w:eastAsia="宋体" w:hint="ascii"/>
          <w:sz w:val="21"/>
          <w:spacing w:val="-6"/>
        </w:rPr>
        <w:t>发</w:t>
      </w:r>
      <w:r>
        <w:rPr>
          <w:rFonts w:ascii="宋体" w:hAnsi="宋体" w:cs="宋体" w:eastAsia="宋体" w:hint="ascii"/>
          <w:sz w:val="21"/>
        </w:rPr>
        <w:t>展。申请人需仔细阅读各研究方向的说明（见面上项目</w:t>
      </w:r>
      <w:r>
        <w:rPr>
          <w:rFonts w:ascii="宋体" w:hAnsi="宋体" w:cs="宋体" w:eastAsia="宋体" w:hint="ascii"/>
          <w:sz w:val="21"/>
          <w:spacing w:val="-52"/>
        </w:rPr>
        <w:t>）</w:t>
      </w:r>
      <w:r>
        <w:rPr>
          <w:rFonts w:ascii="宋体" w:hAnsi="宋体" w:cs="宋体" w:eastAsia="宋体" w:hint="ascii"/>
          <w:sz w:val="21"/>
        </w:rPr>
        <w:t>，准确选择申请代码。</w:t>
      </w:r>
      <w:r>
        <w:rPr>
          <w:rFonts w:ascii="宋体" w:hAnsi="宋体" w:cs="宋体" w:eastAsia="宋体" w:hint="ascii"/>
          <w:sz w:val="21"/>
        </w:rPr>
        <mc:AlternateContent>
          <mc:Choice Requires="wps">
            <w:drawing>
              <wp:anchor distL="0" distR="0" distT="0" distB="0" simplePos="0" behindDoc="1" relativeHeight="213" locked="0" layoutInCell="1" allowOverlap="1">
                <wp:simplePos x="0" y="0"/>
                <wp:positionH relativeFrom="page">
                  <wp:posOffset>938530</wp:posOffset>
                </wp:positionH>
                <wp:positionV relativeFrom="page">
                  <wp:posOffset>819150</wp:posOffset>
                </wp:positionV>
                <wp:extent cx="5076190" cy="0"/>
                <wp:wrapNone/>
                <wp:docPr id="1242" name="124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40128;width:399.70pt;" id="124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化学科学部新的项目资助方向为：①合成化学；②催化与表界面化学；③化学理论</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与机制；④</w:t>
      </w:r>
      <w:r>
        <w:rPr>
          <w:rFonts w:ascii="宋体" w:hAnsi="宋体" w:cs="宋体" w:eastAsia="宋体" w:hint="ascii"/>
          <w:sz w:val="21"/>
        </w:rPr>
        <w:t>化学测量学；⑤材料化学与能源化学；⑥环境化学；⑦化学生物学；⑧化学工程与工业化学。</w:t>
      </w:r>
    </w:p>
    <w:p>
      <w:pPr>
        <w:autoSpaceDE w:val="0"/>
        <w:autoSpaceDN w:val="0"/>
        <w:jc w:val="left"/>
        <w:spacing w:before="167"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化学科学部地区科学基金项目近两年资助情况一览表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8027" w:type="dxa"/>
        <w:jc w:val="left"/>
        <w:tblInd w:w="950"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649"/>
        <w:gridCol w:w="1098"/>
        <w:gridCol w:w="954"/>
        <w:gridCol w:w="954"/>
        <w:gridCol w:w="1095"/>
        <w:gridCol w:w="1093"/>
        <w:gridCol w:w="1092"/>
        <w:gridCol w:w="1092"/>
      </w:tblGrid>
      <w:tr>
        <w:trPr>
          <w:trHeight w:val="241" w:hRule="exact"/>
          <w:cantSplit w:val="1"/>
        </w:trPr>
        <w:tc>
          <w:tcPr>
            <w:tcW w:w="1747" w:type="dxa"/>
            <w:gridSpan w:val="2"/>
            <w:vAlign w:val="top"/>
            <w:vMerge w:val="restart"/>
            <w:tcMar/>
            <w:tcBorders/>
          </w:tcPr>
          <w:p>
            <w:pPr>
              <w:autoSpaceDE w:val="0"/>
              <w:autoSpaceDN w:val="0"/>
              <w:jc w:val="left"/>
              <w:spacing w:before="135" w:after="0" w:lineRule="exact" w:line="188"/>
              <w:ind w:right="0" w:left="638"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3003" w:type="dxa"/>
            <w:gridSpan w:val="3"/>
            <w:vAlign w:val="top"/>
            <w:tcMar/>
            <w:tcBorders>
              <w:left w:val="single" w:sz="4" w:space="0" w:color="000000"/>
            </w:tcBorders>
          </w:tcPr>
          <w:p>
            <w:pPr>
              <w:autoSpaceDE w:val="0"/>
              <w:autoSpaceDN w:val="0"/>
              <w:jc w:val="left"/>
              <w:spacing w:before="16" w:after="0" w:lineRule="auto" w:line="240"/>
              <w:ind w:right="0" w:left="1178" w:firstLine="0"/>
              <w:snapToGrid w:val="0"/>
              <w:textAlignment w:val="auto"/>
              <w:tabs>
                <w:tab w:val="left" w:leader="none" w:pos="1522"/>
              </w:tabs>
              <w:numPr>
                <w:ilvl w:val="0"/>
                <w:numId w:val="250"/>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3277" w:type="dxa"/>
            <w:gridSpan w:val="3"/>
            <w:vAlign w:val="top"/>
            <w:tcMar/>
            <w:tcBorders>
              <w:left w:val="single" w:sz="4" w:space="0" w:color="000000"/>
              <w:right w:val="single" w:sz="8" w:space="0" w:color="000000"/>
            </w:tcBorders>
          </w:tcPr>
          <w:p>
            <w:pPr>
              <w:autoSpaceDE w:val="0"/>
              <w:autoSpaceDN w:val="0"/>
              <w:jc w:val="left"/>
              <w:spacing w:before="16" w:after="0" w:lineRule="auto" w:line="240"/>
              <w:ind w:right="0" w:left="1315" w:firstLine="0"/>
              <w:snapToGrid w:val="0"/>
              <w:textAlignment w:val="auto"/>
              <w:tabs>
                <w:tab w:val="left" w:leader="none" w:pos="1658"/>
              </w:tabs>
              <w:numPr>
                <w:ilvl w:val="0"/>
                <w:numId w:val="250"/>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238" w:hRule="exact"/>
          <w:cantSplit w:val="1"/>
        </w:trPr>
        <w:tc>
          <w:tcPr>
            <w:tcW w:w="1747"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5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71"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954"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71"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95"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04"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c>
          <w:tcPr>
            <w:tcW w:w="1093"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41"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092"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41"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7" w:after="0" w:lineRule="exact" w:line="188"/>
              <w:ind w:right="0" w:left="103"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36" w:hRule="exact"/>
          <w:cantSplit w:val="1"/>
        </w:trPr>
        <w:tc>
          <w:tcPr>
            <w:tcW w:w="649" w:type="dxa"/>
            <w:gridSpan w:val="1"/>
            <w:vAlign w:val="top"/>
            <w:vMerge w:val="restart"/>
            <w:tcMar/>
            <w:tcBorders>
              <w:top w:val="single" w:sz="4" w:space="0" w:color="000000"/>
            </w:tcBorders>
          </w:tcPr>
          <w:p>
            <w:pPr>
              <w:autoSpaceDE w:val="0"/>
              <w:autoSpaceDN w:val="0"/>
              <w:jc w:val="left"/>
              <w:spacing w:before="135" w:after="0" w:lineRule="exact" w:line="188"/>
              <w:ind w:right="0" w:left="164"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098"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43" w:firstLine="0"/>
              <w:snapToGrid w:val="0"/>
              <w:textAlignment w:val="auto"/>
              <w:tabs/>
              <w:rPr>
                <w:rFonts w:ascii="宋体" w:hAnsi="宋体" w:cs="宋体" w:eastAsia="宋体" w:hint="ascii"/>
                <w:sz w:val="15"/>
              </w:rPr>
            </w:pPr>
            <w:r>
              <w:rPr>
                <w:rFonts w:ascii="宋体" w:hAnsi="宋体" w:cs="宋体" w:eastAsia="宋体" w:hint="ascii"/>
                <w:sz w:val="15"/>
              </w:rPr>
              <w:t>无机化学</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1 491</w:t>
            </w:r>
          </w:p>
        </w:tc>
        <w:tc>
          <w:tcPr>
            <w:tcW w:w="10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21.84</w:t>
            </w:r>
          </w:p>
        </w:tc>
        <w:tc>
          <w:tcPr>
            <w:tcW w:w="10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50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w:t>
            </w:r>
          </w:p>
        </w:tc>
        <w:tc>
          <w:tcPr>
            <w:tcW w:w="109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1 371</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r>
      <w:tr>
        <w:trPr>
          <w:trHeight w:val="238" w:hRule="exact"/>
          <w:cantSplit w:val="1"/>
        </w:trPr>
        <w:tc>
          <w:tcPr>
            <w:tcW w:w="64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098"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43" w:firstLine="0"/>
              <w:snapToGrid w:val="0"/>
              <w:textAlignment w:val="auto"/>
              <w:tabs/>
              <w:rPr>
                <w:rFonts w:ascii="宋体" w:hAnsi="宋体" w:cs="宋体" w:eastAsia="宋体" w:hint="ascii"/>
                <w:sz w:val="15"/>
              </w:rPr>
            </w:pPr>
            <w:r>
              <w:rPr>
                <w:rFonts w:ascii="宋体" w:hAnsi="宋体" w:cs="宋体" w:eastAsia="宋体" w:hint="ascii"/>
                <w:sz w:val="15"/>
              </w:rPr>
              <w:t>分析化学</w:t>
            </w:r>
          </w:p>
        </w:tc>
        <w:tc>
          <w:tcPr>
            <w:tcW w:w="954"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4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w:t>
            </w:r>
          </w:p>
        </w:tc>
        <w:tc>
          <w:tcPr>
            <w:tcW w:w="954"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1 216</w:t>
            </w:r>
          </w:p>
        </w:tc>
        <w:tc>
          <w:tcPr>
            <w:tcW w:w="1095"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22.14</w:t>
            </w:r>
          </w:p>
        </w:tc>
        <w:tc>
          <w:tcPr>
            <w:tcW w:w="1093"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50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w:t>
            </w:r>
          </w:p>
        </w:tc>
        <w:tc>
          <w:tcPr>
            <w:tcW w:w="109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72" w:firstLine="0"/>
              <w:snapToGrid w:val="0"/>
              <w:textAlignment w:val="auto"/>
              <w:tabs>
                <w:tab w:val="left" w:leader="none" w:pos="490"/>
              </w:tabs>
              <w:numPr>
                <w:ilvl w:val="0"/>
                <w:numId w:val="251"/>
              </w:numPr>
              <w:rPr>
                <w:rFonts w:ascii="Times New Roman" w:hAnsi="Times New Roman" w:cs="Times New Roman" w:eastAsia="Times New Roman" w:hint="ascii"/>
                <w:sz w:val="15"/>
              </w:rPr>
            </w:pPr>
            <w:r>
              <w:rPr>
                <w:rFonts w:ascii="Times New Roman" w:hAnsi="Times New Roman" w:cs="Times New Roman" w:eastAsia="Times New Roman" w:hint="ascii"/>
                <w:sz w:val="15"/>
              </w:rPr>
              <w:t>028</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r>
      <w:tr>
        <w:trPr>
          <w:trHeight w:val="236" w:hRule="exact"/>
          <w:cantSplit w:val="1"/>
        </w:trPr>
        <w:tc>
          <w:tcPr>
            <w:tcW w:w="649" w:type="dxa"/>
            <w:gridSpan w:val="1"/>
            <w:vAlign w:val="top"/>
            <w:vMerge w:val="restart"/>
            <w:tcMar/>
            <w:tcBorders>
              <w:top w:val="single" w:sz="4" w:space="0" w:color="000000"/>
            </w:tcBorders>
          </w:tcPr>
          <w:p>
            <w:pPr>
              <w:autoSpaceDE w:val="0"/>
              <w:autoSpaceDN w:val="0"/>
              <w:jc w:val="left"/>
              <w:spacing w:before="135" w:after="0" w:lineRule="exact" w:line="188"/>
              <w:ind w:right="0" w:left="164"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098"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43" w:firstLine="0"/>
              <w:snapToGrid w:val="0"/>
              <w:textAlignment w:val="auto"/>
              <w:tabs/>
              <w:rPr>
                <w:rFonts w:ascii="宋体" w:hAnsi="宋体" w:cs="宋体" w:eastAsia="宋体" w:hint="ascii"/>
                <w:sz w:val="15"/>
              </w:rPr>
            </w:pPr>
            <w:r>
              <w:rPr>
                <w:rFonts w:ascii="宋体" w:hAnsi="宋体" w:cs="宋体" w:eastAsia="宋体" w:hint="ascii"/>
                <w:sz w:val="15"/>
              </w:rPr>
              <w:t>有机化学</w:t>
            </w:r>
          </w:p>
        </w:tc>
        <w:tc>
          <w:tcPr>
            <w:tcW w:w="954" w:type="dxa"/>
            <w:gridSpan w:val="1"/>
            <w:vAlign w:val="top"/>
            <w:vMerge w:val="restart"/>
            <w:tcMar/>
            <w:tcBorders>
              <w:left w:val="single" w:sz="4" w:space="0" w:color="000000"/>
              <w:top w:val="single" w:sz="4" w:space="0" w:color="000000"/>
            </w:tcBorders>
          </w:tcPr>
          <w:p>
            <w:pPr>
              <w:autoSpaceDE w:val="0"/>
              <w:autoSpaceDN w:val="0"/>
              <w:jc w:val="left"/>
              <w:spacing w:before="142" w:after="0" w:lineRule="auto" w:line="240"/>
              <w:ind w:right="0" w:left="4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w:t>
            </w:r>
          </w:p>
        </w:tc>
        <w:tc>
          <w:tcPr>
            <w:tcW w:w="954" w:type="dxa"/>
            <w:gridSpan w:val="1"/>
            <w:vAlign w:val="top"/>
            <w:vMerge w:val="restart"/>
            <w:tcMar/>
            <w:tcBorders>
              <w:left w:val="single" w:sz="4" w:space="0" w:color="000000"/>
              <w:top w:val="single" w:sz="4" w:space="0" w:color="000000"/>
            </w:tcBorders>
          </w:tcPr>
          <w:p>
            <w:pPr>
              <w:autoSpaceDE w:val="0"/>
              <w:autoSpaceDN w:val="0"/>
              <w:jc w:val="left"/>
              <w:spacing w:before="142"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1 963</w:t>
            </w:r>
          </w:p>
        </w:tc>
        <w:tc>
          <w:tcPr>
            <w:tcW w:w="1095" w:type="dxa"/>
            <w:gridSpan w:val="1"/>
            <w:vAlign w:val="top"/>
            <w:vMerge w:val="restart"/>
            <w:tcMar/>
            <w:tcBorders>
              <w:left w:val="single" w:sz="4" w:space="0" w:color="000000"/>
              <w:top w:val="single" w:sz="4" w:space="0" w:color="000000"/>
            </w:tcBorders>
          </w:tcPr>
          <w:p>
            <w:pPr>
              <w:autoSpaceDE w:val="0"/>
              <w:autoSpaceDN w:val="0"/>
              <w:jc w:val="left"/>
              <w:spacing w:before="142"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22.12</w:t>
            </w:r>
          </w:p>
        </w:tc>
        <w:tc>
          <w:tcPr>
            <w:tcW w:w="10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50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55</w:t>
            </w:r>
          </w:p>
        </w:tc>
        <w:tc>
          <w:tcPr>
            <w:tcW w:w="109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2" w:firstLine="0"/>
              <w:snapToGrid w:val="0"/>
              <w:textAlignment w:val="auto"/>
              <w:tabs>
                <w:tab w:val="left" w:leader="none" w:pos="490"/>
              </w:tabs>
              <w:numPr>
                <w:ilvl w:val="0"/>
                <w:numId w:val="251"/>
              </w:numPr>
              <w:rPr>
                <w:rFonts w:ascii="Times New Roman" w:hAnsi="Times New Roman" w:cs="Times New Roman" w:eastAsia="Times New Roman" w:hint="ascii"/>
                <w:sz w:val="15"/>
              </w:rPr>
            </w:pPr>
            <w:r>
              <w:rPr>
                <w:rFonts w:ascii="Times New Roman" w:hAnsi="Times New Roman" w:cs="Times New Roman" w:eastAsia="Times New Roman" w:hint="ascii"/>
                <w:sz w:val="15"/>
              </w:rPr>
              <w:t>094</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20.22</w:t>
            </w:r>
          </w:p>
        </w:tc>
      </w:tr>
      <w:tr>
        <w:trPr>
          <w:trHeight w:val="238" w:hRule="exact"/>
          <w:cantSplit w:val="1"/>
        </w:trPr>
        <w:tc>
          <w:tcPr>
            <w:tcW w:w="64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098"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69" w:firstLine="0"/>
              <w:snapToGrid w:val="0"/>
              <w:textAlignment w:val="auto"/>
              <w:tabs/>
              <w:rPr>
                <w:rFonts w:ascii="宋体" w:hAnsi="宋体" w:cs="宋体" w:eastAsia="宋体" w:hint="ascii"/>
                <w:sz w:val="15"/>
              </w:rPr>
            </w:pPr>
            <w:r>
              <w:rPr>
                <w:rFonts w:ascii="宋体" w:hAnsi="宋体" w:cs="宋体" w:eastAsia="宋体" w:hint="ascii"/>
                <w:sz w:val="15"/>
              </w:rPr>
              <w:t>化学生物学</w:t>
            </w:r>
          </w:p>
        </w:tc>
        <w:tc>
          <w:tcPr>
            <w:tcW w:w="954"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954"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1095"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1093"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57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w:t>
            </w:r>
          </w:p>
        </w:tc>
        <w:tc>
          <w:tcPr>
            <w:tcW w:w="109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4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229</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22.22</w:t>
            </w:r>
          </w:p>
        </w:tc>
      </w:tr>
      <w:tr>
        <w:trPr>
          <w:trHeight w:val="236" w:hRule="exact"/>
          <w:cantSplit w:val="1"/>
        </w:trPr>
        <w:tc>
          <w:tcPr>
            <w:tcW w:w="649" w:type="dxa"/>
            <w:gridSpan w:val="1"/>
            <w:vAlign w:val="top"/>
            <w:tcMar/>
            <w:tcBorders>
              <w:top w:val="single" w:sz="4" w:space="0" w:color="000000"/>
            </w:tcBorders>
          </w:tcPr>
          <w:p>
            <w:pPr>
              <w:autoSpaceDE w:val="0"/>
              <w:autoSpaceDN w:val="0"/>
              <w:jc w:val="left"/>
              <w:spacing w:before="17" w:after="0" w:lineRule="exact" w:line="188"/>
              <w:ind w:right="0" w:left="164"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098"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43" w:firstLine="0"/>
              <w:snapToGrid w:val="0"/>
              <w:textAlignment w:val="auto"/>
              <w:tabs/>
              <w:rPr>
                <w:rFonts w:ascii="宋体" w:hAnsi="宋体" w:cs="宋体" w:eastAsia="宋体" w:hint="ascii"/>
                <w:sz w:val="15"/>
              </w:rPr>
            </w:pPr>
            <w:r>
              <w:rPr>
                <w:rFonts w:ascii="宋体" w:hAnsi="宋体" w:cs="宋体" w:eastAsia="宋体" w:hint="ascii"/>
                <w:sz w:val="15"/>
              </w:rPr>
              <w:t>物理化学</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1 334</w:t>
            </w:r>
          </w:p>
        </w:tc>
        <w:tc>
          <w:tcPr>
            <w:tcW w:w="10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22.22</w:t>
            </w:r>
          </w:p>
        </w:tc>
        <w:tc>
          <w:tcPr>
            <w:tcW w:w="10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50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w:t>
            </w:r>
          </w:p>
        </w:tc>
        <w:tc>
          <w:tcPr>
            <w:tcW w:w="109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1 294</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20.48</w:t>
            </w:r>
          </w:p>
        </w:tc>
      </w:tr>
      <w:tr>
        <w:trPr>
          <w:trHeight w:val="238" w:hRule="exact"/>
          <w:cantSplit w:val="1"/>
        </w:trPr>
        <w:tc>
          <w:tcPr>
            <w:tcW w:w="649" w:type="dxa"/>
            <w:gridSpan w:val="1"/>
            <w:vAlign w:val="top"/>
            <w:vMerge w:val="restart"/>
            <w:tcMar/>
            <w:tcBorders>
              <w:top w:val="single" w:sz="4" w:space="0" w:color="000000"/>
            </w:tcBorders>
          </w:tcPr>
          <w:p>
            <w:pPr>
              <w:autoSpaceDE w:val="0"/>
              <w:autoSpaceDN w:val="0"/>
              <w:jc w:val="left"/>
              <w:spacing w:before="135" w:after="0" w:lineRule="exact" w:line="188"/>
              <w:ind w:right="0" w:left="164"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1098"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169" w:firstLine="0"/>
              <w:snapToGrid w:val="0"/>
              <w:textAlignment w:val="auto"/>
              <w:tabs/>
              <w:rPr>
                <w:rFonts w:ascii="宋体" w:hAnsi="宋体" w:cs="宋体" w:eastAsia="宋体" w:hint="ascii"/>
                <w:sz w:val="15"/>
              </w:rPr>
            </w:pPr>
            <w:r>
              <w:rPr>
                <w:rFonts w:ascii="宋体" w:hAnsi="宋体" w:cs="宋体" w:eastAsia="宋体" w:hint="ascii"/>
                <w:sz w:val="15"/>
              </w:rPr>
              <w:t>高分子科学</w:t>
            </w:r>
          </w:p>
        </w:tc>
        <w:tc>
          <w:tcPr>
            <w:tcW w:w="954"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4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w:t>
            </w:r>
          </w:p>
        </w:tc>
        <w:tc>
          <w:tcPr>
            <w:tcW w:w="954"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41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590</w:t>
            </w:r>
          </w:p>
        </w:tc>
        <w:tc>
          <w:tcPr>
            <w:tcW w:w="1095"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22.06</w:t>
            </w:r>
          </w:p>
        </w:tc>
        <w:tc>
          <w:tcPr>
            <w:tcW w:w="1093"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50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w:t>
            </w:r>
          </w:p>
        </w:tc>
        <w:tc>
          <w:tcPr>
            <w:tcW w:w="1092" w:type="dxa"/>
            <w:gridSpan w:val="1"/>
            <w:vAlign w:val="top"/>
            <w:tcMar/>
            <w:tcBorders>
              <w:left w:val="single" w:sz="4" w:space="0" w:color="000000"/>
              <w:top w:val="single" w:sz="4" w:space="0" w:color="000000"/>
            </w:tcBorders>
          </w:tcPr>
          <w:p>
            <w:pPr>
              <w:autoSpaceDE w:val="0"/>
              <w:autoSpaceDN w:val="0"/>
              <w:jc w:val="left"/>
              <w:spacing w:before="24" w:after="0" w:lineRule="auto" w:line="240"/>
              <w:ind w:right="0" w:left="4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609</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20.51</w:t>
            </w:r>
          </w:p>
        </w:tc>
      </w:tr>
      <w:tr>
        <w:trPr>
          <w:trHeight w:val="238" w:hRule="exact"/>
          <w:cantSplit w:val="1"/>
        </w:trPr>
        <w:tc>
          <w:tcPr>
            <w:tcW w:w="649"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098" w:type="dxa"/>
            <w:gridSpan w:val="1"/>
            <w:vAlign w:val="top"/>
            <w:tcMar/>
            <w:tcBorders>
              <w:left w:val="single" w:sz="4" w:space="0" w:color="000000"/>
              <w:top w:val="single" w:sz="4" w:space="0" w:color="000000"/>
            </w:tcBorders>
          </w:tcPr>
          <w:p>
            <w:pPr>
              <w:autoSpaceDE w:val="0"/>
              <w:autoSpaceDN w:val="0"/>
              <w:jc w:val="left"/>
              <w:spacing w:before="17" w:after="0" w:lineRule="exact" w:line="188"/>
              <w:ind w:right="0" w:left="243" w:firstLine="0"/>
              <w:snapToGrid w:val="0"/>
              <w:textAlignment w:val="auto"/>
              <w:tabs/>
              <w:rPr>
                <w:rFonts w:ascii="宋体" w:hAnsi="宋体" w:cs="宋体" w:eastAsia="宋体" w:hint="ascii"/>
                <w:sz w:val="15"/>
              </w:rPr>
            </w:pPr>
            <w:r>
              <w:rPr>
                <w:rFonts w:ascii="宋体" w:hAnsi="宋体" w:cs="宋体" w:eastAsia="宋体" w:hint="ascii"/>
                <w:sz w:val="15"/>
              </w:rPr>
              <w:t>环境化学</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1 216</w:t>
            </w:r>
          </w:p>
        </w:tc>
        <w:tc>
          <w:tcPr>
            <w:tcW w:w="10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22.30</w:t>
            </w:r>
          </w:p>
        </w:tc>
        <w:tc>
          <w:tcPr>
            <w:tcW w:w="10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50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w:t>
            </w:r>
          </w:p>
        </w:tc>
        <w:tc>
          <w:tcPr>
            <w:tcW w:w="109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1 142</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20.27</w:t>
            </w:r>
          </w:p>
        </w:tc>
      </w:tr>
      <w:tr>
        <w:trPr>
          <w:trHeight w:val="236" w:hRule="exact"/>
          <w:cantSplit w:val="1"/>
        </w:trPr>
        <w:tc>
          <w:tcPr>
            <w:tcW w:w="649" w:type="dxa"/>
            <w:gridSpan w:val="1"/>
            <w:vAlign w:val="top"/>
            <w:tcMar/>
            <w:tcBorders>
              <w:top w:val="single" w:sz="4" w:space="0" w:color="000000"/>
            </w:tcBorders>
          </w:tcPr>
          <w:p>
            <w:pPr>
              <w:autoSpaceDE w:val="0"/>
              <w:autoSpaceDN w:val="0"/>
              <w:jc w:val="left"/>
              <w:spacing w:before="15" w:after="0" w:lineRule="exact" w:line="188"/>
              <w:ind w:right="0" w:left="164"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1098" w:type="dxa"/>
            <w:gridSpan w:val="1"/>
            <w:vAlign w:val="top"/>
            <w:tcMar/>
            <w:tcBorders>
              <w:left w:val="single" w:sz="4" w:space="0" w:color="000000"/>
              <w:top w:val="single" w:sz="4" w:space="0" w:color="000000"/>
            </w:tcBorders>
          </w:tcPr>
          <w:p>
            <w:pPr>
              <w:autoSpaceDE w:val="0"/>
              <w:autoSpaceDN w:val="0"/>
              <w:jc w:val="left"/>
              <w:spacing w:before="15" w:after="0" w:lineRule="exact" w:line="188"/>
              <w:ind w:right="0" w:left="243" w:firstLine="0"/>
              <w:snapToGrid w:val="0"/>
              <w:textAlignment w:val="auto"/>
              <w:tabs/>
              <w:rPr>
                <w:rFonts w:ascii="宋体" w:hAnsi="宋体" w:cs="宋体" w:eastAsia="宋体" w:hint="ascii"/>
                <w:sz w:val="15"/>
              </w:rPr>
            </w:pPr>
            <w:r>
              <w:rPr>
                <w:rFonts w:ascii="宋体" w:hAnsi="宋体" w:cs="宋体" w:eastAsia="宋体" w:hint="ascii"/>
                <w:sz w:val="15"/>
              </w:rPr>
              <w:t>化学工程</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3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1 530</w:t>
            </w:r>
          </w:p>
        </w:tc>
        <w:tc>
          <w:tcPr>
            <w:tcW w:w="10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21.08</w:t>
            </w:r>
          </w:p>
        </w:tc>
        <w:tc>
          <w:tcPr>
            <w:tcW w:w="10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50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40</w:t>
            </w:r>
          </w:p>
        </w:tc>
        <w:tc>
          <w:tcPr>
            <w:tcW w:w="109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1 563</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19.32</w:t>
            </w:r>
          </w:p>
        </w:tc>
      </w:tr>
      <w:tr>
        <w:trPr>
          <w:trHeight w:val="238" w:hRule="exact"/>
          <w:cantSplit w:val="1"/>
        </w:trPr>
        <w:tc>
          <w:tcPr>
            <w:tcW w:w="1747" w:type="dxa"/>
            <w:gridSpan w:val="2"/>
            <w:vAlign w:val="top"/>
            <w:tcMar/>
            <w:tcBorders>
              <w:top w:val="single" w:sz="4" w:space="0" w:color="000000"/>
            </w:tcBorders>
          </w:tcPr>
          <w:p>
            <w:pPr>
              <w:autoSpaceDE w:val="0"/>
              <w:autoSpaceDN w:val="0"/>
              <w:jc w:val="left"/>
              <w:spacing w:before="17" w:after="0" w:lineRule="exact" w:line="188"/>
              <w:ind w:right="0" w:left="714" w:firstLine="0"/>
              <w:snapToGrid w:val="0"/>
              <w:textAlignment w:val="auto"/>
              <w:tabs/>
              <w:rPr>
                <w:rFonts w:ascii="宋体" w:hAnsi="宋体" w:cs="宋体" w:eastAsia="宋体" w:hint="ascii"/>
                <w:sz w:val="15"/>
              </w:rPr>
            </w:pPr>
            <w:r>
              <w:rPr>
                <w:rFonts w:ascii="宋体" w:hAnsi="宋体" w:cs="宋体" w:eastAsia="宋体" w:hint="ascii"/>
                <w:sz w:val="15"/>
              </w:rPr>
              <w:t>合计</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6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238</w:t>
            </w:r>
          </w:p>
        </w:tc>
        <w:tc>
          <w:tcPr>
            <w:tcW w:w="954"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9 340</w:t>
            </w:r>
          </w:p>
        </w:tc>
        <w:tc>
          <w:tcPr>
            <w:tcW w:w="1095"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21.94</w:t>
            </w:r>
          </w:p>
        </w:tc>
        <w:tc>
          <w:tcPr>
            <w:tcW w:w="1093"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4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244</w:t>
            </w:r>
          </w:p>
        </w:tc>
        <w:tc>
          <w:tcPr>
            <w:tcW w:w="1092" w:type="dxa"/>
            <w:gridSpan w:val="1"/>
            <w:vAlign w:val="top"/>
            <w:tcMar/>
            <w:tcBorders>
              <w:left w:val="single" w:sz="4" w:space="0" w:color="000000"/>
              <w:top w:val="single" w:sz="4"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9 330</w:t>
            </w:r>
          </w:p>
        </w:tc>
        <w:tc>
          <w:tcPr>
            <w:tcW w:w="109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3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20.13</w:t>
            </w:r>
          </w:p>
        </w:tc>
      </w:tr>
      <w:tr>
        <w:trPr>
          <w:trHeight w:val="444" w:hRule="exact"/>
          <w:cantSplit w:val="1"/>
        </w:trPr>
        <w:tc>
          <w:tcPr>
            <w:tcW w:w="1747" w:type="dxa"/>
            <w:gridSpan w:val="2"/>
            <w:vAlign w:val="top"/>
            <w:tcMar/>
            <w:tcBorders>
              <w:top w:val="single" w:sz="4" w:space="0" w:color="000000"/>
              <w:bottom w:val="single" w:sz="8" w:space="0" w:color="000000"/>
            </w:tcBorders>
          </w:tcPr>
          <w:p>
            <w:pPr>
              <w:autoSpaceDE w:val="0"/>
              <w:autoSpaceDN w:val="0"/>
              <w:jc w:val="left"/>
              <w:spacing w:before="19" w:after="0" w:lineRule="exact" w:line="188"/>
              <w:ind w:right="0" w:left="11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w:t>
            </w:r>
          </w:p>
          <w:p>
            <w:pPr>
              <w:autoSpaceDE w:val="0"/>
              <w:autoSpaceDN w:val="0"/>
              <w:jc w:val="left"/>
              <w:spacing w:before="8" w:after="0" w:lineRule="exact" w:line="188"/>
              <w:ind w:right="0" w:left="430" w:firstLine="0"/>
              <w:snapToGrid w:val="0"/>
              <w:textAlignment w:val="auto"/>
              <w:tabs/>
              <w:rPr>
                <w:rFonts w:ascii="宋体" w:hAnsi="宋体" w:cs="宋体" w:eastAsia="宋体" w:hint="ascii"/>
                <w:sz w:val="15"/>
              </w:rPr>
            </w:pPr>
            <w:r>
              <w:rPr>
                <w:rFonts w:ascii="宋体" w:hAnsi="宋体" w:cs="宋体" w:eastAsia="宋体" w:hint="ascii"/>
                <w:sz w:val="15"/>
              </w:rPr>
              <w:t>（万元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3003"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124" w:after="0" w:lineRule="auto" w:line="240"/>
              <w:ind w:right="0" w:left="13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39.24</w:t>
            </w:r>
          </w:p>
        </w:tc>
        <w:tc>
          <w:tcPr>
            <w:tcW w:w="3277"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124" w:after="0" w:lineRule="auto" w:line="240"/>
              <w:ind w:right="0" w:left="146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38.24</w:t>
            </w:r>
          </w:p>
        </w:tc>
      </w:tr>
    </w:tbl>
    <w:p>
      <w:pPr>
        <w:autoSpaceDE w:val="0"/>
        <w:autoSpaceDN w:val="0"/>
        <w:jc w:val="left"/>
        <w:spacing w:before="257"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生命科学部</w:t>
      </w:r>
    </w:p>
    <w:p>
      <w:pPr>
        <w:autoSpaceDE w:val="0"/>
        <w:autoSpaceDN w:val="0"/>
        <w:jc w:val="left"/>
        <w:spacing w:before="217" w:after="0" w:lineRule="exact" w:line="310"/>
        <w:ind w:right="963" w:left="966" w:firstLine="420"/>
        <w:snapToGrid w:val="0"/>
        <w:textAlignment w:val="auto"/>
        <w:tabs>
          <w:tab w:val="left" w:leader="none" w:pos="1862"/>
        </w:tabs>
        <w:numPr>
          <w:ilvl w:val="0"/>
          <w:numId w:val="252"/>
        </w:numPr>
        <w:rPr>
          <w:rFonts w:ascii="Times New Roman" w:hAnsi="Times New Roman" w:cs="Times New Roman" w:eastAsia="Times New Roman" w:hint="ascii"/>
          <w:sz w:val="21"/>
          <w:spacing w:val="1"/>
        </w:rPr>
      </w:pPr>
      <w:r>
        <w:rPr>
          <w:rFonts w:ascii="宋体" w:hAnsi="宋体" w:cs="宋体" w:eastAsia="宋体" w:hint="ascii"/>
          <w:sz w:val="21"/>
        </w:rPr>
        <w:t>年度生命科学部地区科学基金项目共接收</w:t>
      </w:r>
      <w:r>
        <w:rPr>
          <w:rFonts w:ascii="宋体" w:hAnsi="宋体" w:cs="宋体" w:eastAsia="宋体" w:hint="ascii"/>
          <w:sz w:val="21"/>
          <w:spacing w:val="-24"/>
        </w:rPr>
        <w:t xml:space="preserve"> </w:t>
      </w:r>
      <w:r>
        <w:rPr>
          <w:rFonts w:ascii="Times New Roman" w:hAnsi="Times New Roman" w:cs="Times New Roman" w:eastAsia="Times New Roman" w:hint="ascii"/>
          <w:sz w:val="21"/>
        </w:rPr>
        <w:t>3 576</w:t>
      </w:r>
      <w:r>
        <w:rPr>
          <w:rFonts w:ascii="Times New Roman" w:hAnsi="Times New Roman" w:cs="Times New Roman" w:eastAsia="Times New Roman" w:hint="ascii"/>
          <w:sz w:val="21"/>
          <w:spacing w:val="-25"/>
        </w:rPr>
        <w:t xml:space="preserve"> </w:t>
      </w:r>
      <w:r>
        <w:rPr>
          <w:rFonts w:ascii="宋体" w:hAnsi="宋体" w:cs="宋体" w:eastAsia="宋体" w:hint="ascii"/>
          <w:sz w:val="21"/>
        </w:rPr>
        <w:t>项，受理</w:t>
      </w:r>
      <w:r>
        <w:rPr>
          <w:rFonts w:ascii="宋体" w:hAnsi="宋体" w:cs="宋体" w:eastAsia="宋体" w:hint="ascii"/>
          <w:sz w:val="21"/>
          <w:spacing w:val="-24"/>
        </w:rPr>
        <w:t xml:space="preserve"> </w:t>
      </w:r>
      <w:r>
        <w:rPr>
          <w:rFonts w:ascii="Times New Roman" w:hAnsi="Times New Roman" w:cs="Times New Roman" w:eastAsia="Times New Roman" w:hint="ascii"/>
          <w:sz w:val="21"/>
        </w:rPr>
        <w:t>3 419</w:t>
      </w:r>
      <w:r>
        <w:rPr>
          <w:rFonts w:ascii="Times New Roman" w:hAnsi="Times New Roman" w:cs="Times New Roman" w:eastAsia="Times New Roman" w:hint="ascii"/>
          <w:sz w:val="21"/>
          <w:spacing w:val="-25"/>
        </w:rPr>
        <w:t xml:space="preserve"> </w:t>
      </w:r>
      <w:r>
        <w:rPr>
          <w:rFonts w:ascii="宋体" w:hAnsi="宋体" w:cs="宋体" w:eastAsia="宋体" w:hint="ascii"/>
          <w:sz w:val="21"/>
        </w:rPr>
        <w:t>项，资助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765 </w:t>
      </w:r>
      <w:r>
        <w:rPr>
          <w:rFonts w:ascii="宋体" w:hAnsi="宋体" w:cs="宋体" w:eastAsia="宋体" w:hint="ascii"/>
          <w:sz w:val="21"/>
        </w:rPr>
        <w:t>项，资助率为</w:t>
      </w:r>
      <w:r>
        <w:rPr>
          <w:rFonts w:ascii="宋体" w:hAnsi="宋体" w:cs="宋体" w:eastAsia="宋体" w:hint="ascii"/>
          <w:sz w:val="21"/>
          <w:spacing w:val="-25"/>
        </w:rPr>
        <w:t xml:space="preserve"> </w:t>
      </w:r>
      <w:r>
        <w:rPr>
          <w:rFonts w:ascii="Times New Roman" w:hAnsi="Times New Roman" w:cs="Times New Roman" w:eastAsia="Times New Roman" w:hint="ascii"/>
          <w:sz w:val="21"/>
        </w:rPr>
        <w:t>21.39%</w:t>
      </w:r>
      <w:r>
        <w:rPr>
          <w:rFonts w:ascii="宋体" w:hAnsi="宋体" w:cs="宋体" w:eastAsia="宋体" w:hint="ascii"/>
          <w:sz w:val="21"/>
        </w:rPr>
        <w:t>，直接费用平均资助强度为</w:t>
      </w:r>
      <w:r>
        <w:rPr>
          <w:rFonts w:ascii="宋体" w:hAnsi="宋体" w:cs="宋体" w:eastAsia="宋体" w:hint="ascii"/>
          <w:sz w:val="21"/>
          <w:spacing w:val="-25"/>
        </w:rPr>
        <w:t xml:space="preserve"> </w:t>
      </w:r>
      <w:r>
        <w:rPr>
          <w:rFonts w:ascii="Times New Roman" w:hAnsi="Times New Roman" w:cs="Times New Roman" w:eastAsia="Times New Roman" w:hint="ascii"/>
          <w:sz w:val="21"/>
        </w:rPr>
        <w:t>37.99</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年度的直接费用平均资助强度与</w:t>
      </w:r>
      <w:r>
        <w:rPr>
          <w:rFonts w:ascii="宋体" w:hAnsi="宋体" w:cs="宋体" w:eastAsia="宋体" w:hint="ascii"/>
          <w:sz w:val="21"/>
          <w:spacing w:val="-25"/>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持平。今后，生命科学部将继续按照自然科学基金委关于扶植地区人才，支持潜心探索，凝聚优秀人才，带动区域发展这一地区科学基金项目的定位原则，稳定支持地区人才，鼓励和资助申请人结合当地资源和自然条件特点提出的具有地域特色的研究申请。</w:t>
      </w:r>
      <w:r>
        <w:rPr>
          <w:rFonts w:ascii="宋体" w:hAnsi="宋体" w:cs="宋体" w:eastAsia="宋体" w:hint="ascii"/>
          <w:sz w:val="21"/>
        </w:rPr>
        <w:t>请申请人了解地区科学基金项目资助政策和直接费用平均资助强度，详细阅读有关申请注意事项（详见生命科学部面上项目申请指南</w:t>
      </w:r>
      <w:r>
        <w:rPr>
          <w:rFonts w:ascii="宋体" w:hAnsi="宋体" w:cs="宋体" w:eastAsia="宋体" w:hint="ascii"/>
          <w:sz w:val="21"/>
          <w:spacing w:val="-51"/>
        </w:rPr>
        <w:t>）</w:t>
      </w:r>
      <w:r>
        <w:rPr>
          <w:rFonts w:ascii="宋体" w:hAnsi="宋体" w:cs="宋体" w:eastAsia="宋体" w:hint="ascii"/>
          <w:b w:val="1"/>
          <w:sz w:val="21"/>
        </w:rPr>
        <w:t>。</w:t>
      </w:r>
      <w:r>
        <w:rPr>
          <w:rFonts w:ascii="宋体" w:hAnsi="宋体" w:cs="宋体" w:eastAsia="宋体" w:hint="ascii"/>
          <w:sz w:val="21"/>
        </w:rPr>
        <w:t>申请地区科学基金项目时请注意参照面上项目指南中学科的资助范围和不予受理范畴</w:t>
      </w:r>
      <w:r>
        <w:rPr>
          <w:rFonts w:ascii="宋体" w:hAnsi="宋体" w:cs="宋体" w:eastAsia="宋体" w:hint="ascii"/>
          <w:b w:val="1"/>
          <w:sz w:val="21"/>
        </w:rPr>
        <w:t>。</w:t>
      </w:r>
    </w:p>
    <w:p>
      <w:pPr>
        <w:autoSpaceDE w:val="0"/>
        <w:autoSpaceDN w:val="0"/>
        <w:jc w:val="left"/>
        <w:spacing w:before="138"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生命科学部地区科学基金项目近两年资助情况一览表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17"/>
        <w:gridCol w:w="2043"/>
        <w:gridCol w:w="822"/>
        <w:gridCol w:w="822"/>
        <w:gridCol w:w="822"/>
        <w:gridCol w:w="822"/>
        <w:gridCol w:w="822"/>
        <w:gridCol w:w="822"/>
      </w:tblGrid>
      <w:tr>
        <w:trPr>
          <w:trHeight w:val="265" w:hRule="exact"/>
          <w:cantSplit w:val="1"/>
        </w:trPr>
        <w:tc>
          <w:tcPr>
            <w:tcW w:w="3060" w:type="dxa"/>
            <w:gridSpan w:val="2"/>
            <w:vAlign w:val="top"/>
            <w:vMerge w:val="restart"/>
            <w:tcMar/>
            <w:tcBorders/>
          </w:tcPr>
          <w:p>
            <w:pPr>
              <w:autoSpaceDE w:val="0"/>
              <w:autoSpaceDN w:val="0"/>
              <w:jc w:val="left"/>
              <w:spacing w:before="256" w:after="0" w:lineRule="exact" w:line="188"/>
              <w:ind w:right="0" w:left="129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66" w:type="dxa"/>
            <w:gridSpan w:val="3"/>
            <w:vAlign w:val="top"/>
            <w:tcMar/>
            <w:tcBorders>
              <w:left w:val="single" w:sz="4" w:space="0" w:color="000000"/>
            </w:tcBorders>
          </w:tcPr>
          <w:p>
            <w:pPr>
              <w:autoSpaceDE w:val="0"/>
              <w:autoSpaceDN w:val="0"/>
              <w:jc w:val="left"/>
              <w:spacing w:before="28" w:after="0" w:lineRule="auto" w:line="240"/>
              <w:ind w:right="0" w:left="909" w:firstLine="0"/>
              <w:snapToGrid w:val="0"/>
              <w:textAlignment w:val="auto"/>
              <w:tabs>
                <w:tab w:val="left" w:leader="none" w:pos="1253"/>
              </w:tabs>
              <w:numPr>
                <w:ilvl w:val="0"/>
                <w:numId w:val="253"/>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66" w:type="dxa"/>
            <w:gridSpan w:val="3"/>
            <w:vAlign w:val="top"/>
            <w:tcMar/>
            <w:tcBorders>
              <w:left w:val="single" w:sz="4" w:space="0" w:color="000000"/>
              <w:right w:val="single" w:sz="8" w:space="0" w:color="000000"/>
            </w:tcBorders>
          </w:tcPr>
          <w:p>
            <w:pPr>
              <w:autoSpaceDE w:val="0"/>
              <w:autoSpaceDN w:val="0"/>
              <w:jc w:val="left"/>
              <w:spacing w:before="28" w:after="0" w:lineRule="auto" w:line="240"/>
              <w:ind w:right="0" w:left="909" w:firstLine="0"/>
              <w:snapToGrid w:val="0"/>
              <w:textAlignment w:val="auto"/>
              <w:tabs>
                <w:tab w:val="left" w:leader="none" w:pos="1253"/>
              </w:tabs>
              <w:numPr>
                <w:ilvl w:val="0"/>
                <w:numId w:val="253"/>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56" w:hRule="exact"/>
          <w:cantSplit w:val="1"/>
        </w:trPr>
        <w:tc>
          <w:tcPr>
            <w:tcW w:w="306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60" w:hRule="exact"/>
          <w:cantSplit w:val="1"/>
        </w:trPr>
        <w:tc>
          <w:tcPr>
            <w:tcW w:w="1017" w:type="dxa"/>
            <w:gridSpan w:val="1"/>
            <w:vAlign w:val="top"/>
            <w:vMerge w:val="restart"/>
            <w:tcMar/>
            <w:tcBorders>
              <w:top w:val="single" w:sz="4" w:space="0" w:color="000000"/>
            </w:tcBorders>
          </w:tcPr>
          <w:p>
            <w:pPr>
              <w:autoSpaceDE w:val="0"/>
              <w:autoSpaceDN w:val="0"/>
              <w:jc w:val="left"/>
              <w:spacing w:before="158"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043"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微生物学</w:t>
            </w:r>
          </w:p>
        </w:tc>
        <w:tc>
          <w:tcPr>
            <w:tcW w:w="82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w:t>
            </w:r>
          </w:p>
        </w:tc>
        <w:tc>
          <w:tcPr>
            <w:tcW w:w="82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55" w:firstLine="0"/>
              <w:snapToGrid w:val="0"/>
              <w:textAlignment w:val="auto"/>
              <w:tabs>
                <w:tab w:val="left" w:leader="none" w:pos="373"/>
              </w:tabs>
              <w:numPr>
                <w:ilvl w:val="0"/>
                <w:numId w:val="254"/>
              </w:numPr>
              <w:rPr>
                <w:rFonts w:ascii="Times New Roman" w:hAnsi="Times New Roman" w:cs="Times New Roman" w:eastAsia="Times New Roman" w:hint="ascii"/>
                <w:sz w:val="15"/>
              </w:rPr>
            </w:pPr>
            <w:r>
              <w:rPr>
                <w:rFonts w:ascii="Times New Roman" w:hAnsi="Times New Roman" w:cs="Times New Roman" w:eastAsia="Times New Roman" w:hint="ascii"/>
                <w:sz w:val="15"/>
              </w:rPr>
              <w:t>705</w:t>
            </w:r>
          </w:p>
        </w:tc>
        <w:tc>
          <w:tcPr>
            <w:tcW w:w="82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24.04</w:t>
            </w:r>
          </w:p>
        </w:tc>
        <w:tc>
          <w:tcPr>
            <w:tcW w:w="82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42</w:t>
            </w:r>
          </w:p>
        </w:tc>
        <w:tc>
          <w:tcPr>
            <w:tcW w:w="822" w:type="dxa"/>
            <w:gridSpan w:val="1"/>
            <w:vAlign w:val="top"/>
            <w:tcMar/>
            <w:tcBorders>
              <w:left w:val="single" w:sz="4" w:space="0" w:color="000000"/>
              <w:top w:val="single" w:sz="4" w:space="0" w:color="000000"/>
            </w:tcBorders>
          </w:tcPr>
          <w:p>
            <w:pPr>
              <w:autoSpaceDE w:val="0"/>
              <w:autoSpaceDN w:val="0"/>
              <w:jc w:val="left"/>
              <w:spacing w:before="34" w:after="0" w:lineRule="auto" w:line="240"/>
              <w:ind w:right="0" w:left="255" w:firstLine="0"/>
              <w:snapToGrid w:val="0"/>
              <w:textAlignment w:val="auto"/>
              <w:tabs>
                <w:tab w:val="left" w:leader="none" w:pos="373"/>
              </w:tabs>
              <w:numPr>
                <w:ilvl w:val="0"/>
                <w:numId w:val="255"/>
              </w:numPr>
              <w:rPr>
                <w:rFonts w:ascii="Times New Roman" w:hAnsi="Times New Roman" w:cs="Times New Roman" w:eastAsia="Times New Roman" w:hint="ascii"/>
                <w:sz w:val="15"/>
              </w:rPr>
            </w:pPr>
            <w:r>
              <w:rPr>
                <w:rFonts w:ascii="Times New Roman" w:hAnsi="Times New Roman" w:cs="Times New Roman" w:eastAsia="Times New Roman" w:hint="ascii"/>
                <w:sz w:val="15"/>
              </w:rPr>
              <w:t>615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20.69</w:t>
            </w:r>
          </w:p>
        </w:tc>
      </w:tr>
      <w:tr>
        <w:trPr>
          <w:trHeight w:val="260"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植物学</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55" w:firstLine="0"/>
              <w:snapToGrid w:val="0"/>
              <w:textAlignment w:val="auto"/>
              <w:tabs>
                <w:tab w:val="left" w:leader="none" w:pos="373"/>
              </w:tabs>
              <w:numPr>
                <w:ilvl w:val="0"/>
                <w:numId w:val="254"/>
              </w:numPr>
              <w:rPr>
                <w:rFonts w:ascii="Times New Roman" w:hAnsi="Times New Roman" w:cs="Times New Roman" w:eastAsia="Times New Roman" w:hint="ascii"/>
                <w:sz w:val="15"/>
              </w:rPr>
            </w:pPr>
            <w:r>
              <w:rPr>
                <w:rFonts w:ascii="Times New Roman" w:hAnsi="Times New Roman" w:cs="Times New Roman" w:eastAsia="Times New Roman" w:hint="ascii"/>
                <w:sz w:val="15"/>
              </w:rPr>
              <w:t>330</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23.53</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55" w:firstLine="0"/>
              <w:snapToGrid w:val="0"/>
              <w:textAlignment w:val="auto"/>
              <w:tabs>
                <w:tab w:val="left" w:leader="none" w:pos="373"/>
              </w:tabs>
              <w:numPr>
                <w:ilvl w:val="0"/>
                <w:numId w:val="255"/>
              </w:numPr>
              <w:rPr>
                <w:rFonts w:ascii="Times New Roman" w:hAnsi="Times New Roman" w:cs="Times New Roman" w:eastAsia="Times New Roman" w:hint="ascii"/>
                <w:sz w:val="15"/>
              </w:rPr>
            </w:pPr>
            <w:r>
              <w:rPr>
                <w:rFonts w:ascii="Times New Roman" w:hAnsi="Times New Roman" w:cs="Times New Roman" w:eastAsia="Times New Roman" w:hint="ascii"/>
                <w:sz w:val="15"/>
              </w:rPr>
              <w:t>193</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21.17</w:t>
            </w:r>
          </w:p>
        </w:tc>
      </w:tr>
      <w:tr>
        <w:trPr>
          <w:trHeight w:val="260" w:hRule="exact"/>
          <w:cantSplit w:val="1"/>
        </w:trPr>
        <w:tc>
          <w:tcPr>
            <w:tcW w:w="1017" w:type="dxa"/>
            <w:gridSpan w:val="1"/>
            <w:vAlign w:val="top"/>
            <w:vMerge w:val="restart"/>
            <w:tcMar/>
            <w:tcBorders>
              <w:top w:val="single" w:sz="4" w:space="0" w:color="000000"/>
            </w:tcBorders>
          </w:tcPr>
          <w:p>
            <w:pPr>
              <w:autoSpaceDE w:val="0"/>
              <w:autoSpaceDN w:val="0"/>
              <w:jc w:val="left"/>
              <w:spacing w:before="158"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043"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生态学</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67</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2 604</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23.67</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79</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55" w:firstLine="0"/>
              <w:snapToGrid w:val="0"/>
              <w:textAlignment w:val="auto"/>
              <w:tabs>
                <w:tab w:val="left" w:leader="none" w:pos="373"/>
              </w:tabs>
              <w:numPr>
                <w:ilvl w:val="0"/>
                <w:numId w:val="255"/>
              </w:numPr>
              <w:rPr>
                <w:rFonts w:ascii="Times New Roman" w:hAnsi="Times New Roman" w:cs="Times New Roman" w:eastAsia="Times New Roman" w:hint="ascii"/>
                <w:sz w:val="15"/>
              </w:rPr>
            </w:pPr>
            <w:r>
              <w:rPr>
                <w:rFonts w:ascii="Times New Roman" w:hAnsi="Times New Roman" w:cs="Times New Roman" w:eastAsia="Times New Roman" w:hint="ascii"/>
                <w:sz w:val="15"/>
              </w:rPr>
              <w:t>000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21.64</w:t>
            </w:r>
          </w:p>
        </w:tc>
      </w:tr>
      <w:tr>
        <w:trPr>
          <w:trHeight w:val="260"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866" w:firstLine="0"/>
              <w:snapToGrid w:val="0"/>
              <w:textAlignment w:val="auto"/>
              <w:tabs/>
              <w:rPr>
                <w:rFonts w:ascii="宋体" w:hAnsi="宋体" w:cs="宋体" w:eastAsia="宋体" w:hint="ascii"/>
                <w:sz w:val="15"/>
              </w:rPr>
            </w:pPr>
            <w:r>
              <w:rPr>
                <w:rFonts w:ascii="宋体" w:hAnsi="宋体" w:cs="宋体" w:eastAsia="宋体" w:hint="ascii"/>
                <w:sz w:val="15"/>
              </w:rPr>
              <w:t>林学</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68</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2 661</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23.61</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66</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2 499</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21.71</w:t>
            </w:r>
          </w:p>
        </w:tc>
      </w:tr>
      <w:tr>
        <w:trPr>
          <w:trHeight w:val="455" w:hRule="exact"/>
          <w:cantSplit w:val="1"/>
        </w:trPr>
        <w:tc>
          <w:tcPr>
            <w:tcW w:w="1017" w:type="dxa"/>
            <w:gridSpan w:val="1"/>
            <w:vAlign w:val="top"/>
            <w:vMerge w:val="restart"/>
            <w:tcMar/>
            <w:tcBorders>
              <w:top w:val="single" w:sz="4" w:space="0" w:color="000000"/>
              <w:bottom w:val="single" w:sz="8" w:space="0" w:color="000000"/>
            </w:tcBorders>
          </w:tcPr>
          <w:p>
            <w:pPr>
              <w:autoSpaceDE w:val="0"/>
              <w:autoSpaceDN w:val="0"/>
              <w:jc w:val="left"/>
              <w:spacing w:before="386"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043"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生物物理、生物化学与分子</w:t>
            </w:r>
          </w:p>
          <w:p>
            <w:pPr>
              <w:autoSpaceDE w:val="0"/>
              <w:autoSpaceDN w:val="0"/>
              <w:jc w:val="left"/>
              <w:spacing w:before="7"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生物学</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551</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24.56</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w:t>
            </w:r>
          </w:p>
        </w:tc>
        <w:tc>
          <w:tcPr>
            <w:tcW w:w="822" w:type="dxa"/>
            <w:gridSpan w:val="1"/>
            <w:vAlign w:val="top"/>
            <w:tcMar/>
            <w:tcBorders>
              <w:left w:val="single" w:sz="4" w:space="0" w:color="000000"/>
              <w:top w:val="single" w:sz="4" w:space="0" w:color="000000"/>
            </w:tcBorders>
          </w:tcPr>
          <w:p>
            <w:pPr>
              <w:autoSpaceDE w:val="0"/>
              <w:autoSpaceDN w:val="0"/>
              <w:jc w:val="left"/>
              <w:spacing w:before="13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459</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21.43</w:t>
            </w:r>
          </w:p>
        </w:tc>
      </w:tr>
      <w:tr>
        <w:trPr>
          <w:trHeight w:val="260" w:hRule="exact"/>
          <w:cantSplit w:val="1"/>
        </w:trPr>
        <w:tc>
          <w:tcPr>
            <w:tcW w:w="1017" w:type="dxa"/>
            <w:gridSpan w:val="1"/>
            <w:vAlign w:val="top"/>
            <w:vMerge w:val="continue"/>
            <w:tcMar/>
            <w:tcBorders>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免疫学</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284</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22.58</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w:t>
            </w:r>
          </w:p>
        </w:tc>
        <w:tc>
          <w:tcPr>
            <w:tcW w:w="82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22.22</w:t>
            </w:r>
          </w:p>
        </w:tc>
      </w:tr>
      <w:tr>
        <w:trPr>
          <w:trHeight w:val="266" w:hRule="exact"/>
          <w:cantSplit w:val="1"/>
        </w:trPr>
        <w:tc>
          <w:tcPr>
            <w:tcW w:w="1017" w:type="dxa"/>
            <w:gridSpan w:val="1"/>
            <w:vAlign w:val="top"/>
            <w:vMerge w:val="continue"/>
            <w:tcMar/>
            <w:tcBorders>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9" w:after="0" w:lineRule="exact" w:line="188"/>
              <w:ind w:right="0" w:left="266" w:firstLine="0"/>
              <w:snapToGrid w:val="0"/>
              <w:textAlignment w:val="auto"/>
              <w:tabs/>
              <w:rPr>
                <w:rFonts w:ascii="宋体" w:hAnsi="宋体" w:cs="宋体" w:eastAsia="宋体" w:hint="ascii"/>
                <w:sz w:val="15"/>
              </w:rPr>
            </w:pPr>
            <w:r>
              <w:rPr>
                <w:rFonts w:ascii="宋体" w:hAnsi="宋体" w:cs="宋体" w:eastAsia="宋体" w:hint="ascii"/>
                <w:sz w:val="15"/>
              </w:rPr>
              <w:t>生物力学与组织工程学</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22.22</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255</w:t>
            </w:r>
          </w:p>
        </w:tc>
        <w:tc>
          <w:tcPr>
            <w:tcW w:w="822"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23.33</w:t>
            </w:r>
          </w:p>
        </w:tc>
      </w:tr>
    </w:tbl>
    <w:p>
      <w:pPr>
        <w:autoSpaceDE w:val="0"/>
        <w:autoSpaceDN w:val="0"/>
        <w:jc w:val="left"/>
        <w:spacing w:before="267"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214" locked="0" layoutInCell="1" allowOverlap="1">
                <wp:simplePos x="0" y="0"/>
                <wp:positionH relativeFrom="page">
                  <wp:posOffset>938530</wp:posOffset>
                </wp:positionH>
                <wp:positionV relativeFrom="page">
                  <wp:posOffset>805815</wp:posOffset>
                </wp:positionV>
                <wp:extent cx="5076190" cy="0"/>
                <wp:wrapNone/>
                <wp:docPr id="1243" name="124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39104;width:399.70pt;" id="1243"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17"/>
        <w:gridCol w:w="2043"/>
        <w:gridCol w:w="822"/>
        <w:gridCol w:w="822"/>
        <w:gridCol w:w="822"/>
        <w:gridCol w:w="822"/>
        <w:gridCol w:w="822"/>
        <w:gridCol w:w="822"/>
      </w:tblGrid>
      <w:tr>
        <w:trPr>
          <w:trHeight w:val="286" w:hRule="exact"/>
          <w:cantSplit w:val="1"/>
        </w:trPr>
        <w:tc>
          <w:tcPr>
            <w:tcW w:w="3060" w:type="dxa"/>
            <w:gridSpan w:val="2"/>
            <w:vAlign w:val="top"/>
            <w:vMerge w:val="restart"/>
            <w:tcMar/>
            <w:tcBorders/>
          </w:tcPr>
          <w:p>
            <w:pPr>
              <w:autoSpaceDE w:val="0"/>
              <w:autoSpaceDN w:val="0"/>
              <w:jc w:val="left"/>
              <w:spacing w:before="266" w:after="0" w:lineRule="exact" w:line="188"/>
              <w:ind w:right="0" w:left="129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66" w:type="dxa"/>
            <w:gridSpan w:val="3"/>
            <w:vAlign w:val="top"/>
            <w:tcMar/>
            <w:tcBorders>
              <w:left w:val="single" w:sz="4" w:space="0" w:color="000000"/>
            </w:tcBorders>
          </w:tcPr>
          <w:p>
            <w:pPr>
              <w:autoSpaceDE w:val="0"/>
              <w:autoSpaceDN w:val="0"/>
              <w:jc w:val="left"/>
              <w:spacing w:before="38" w:after="0" w:lineRule="auto" w:line="240"/>
              <w:ind w:right="0" w:left="909" w:firstLine="0"/>
              <w:snapToGrid w:val="0"/>
              <w:textAlignment w:val="auto"/>
              <w:tabs>
                <w:tab w:val="left" w:leader="none" w:pos="1253"/>
              </w:tabs>
              <w:numPr>
                <w:ilvl w:val="0"/>
                <w:numId w:val="256"/>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66" w:type="dxa"/>
            <w:gridSpan w:val="3"/>
            <w:vAlign w:val="top"/>
            <w:tcMar/>
            <w:tcBorders>
              <w:left w:val="single" w:sz="4" w:space="0" w:color="000000"/>
              <w:right w:val="single" w:sz="8" w:space="0" w:color="000000"/>
            </w:tcBorders>
          </w:tcPr>
          <w:p>
            <w:pPr>
              <w:autoSpaceDE w:val="0"/>
              <w:autoSpaceDN w:val="0"/>
              <w:jc w:val="left"/>
              <w:spacing w:before="38" w:after="0" w:lineRule="auto" w:line="240"/>
              <w:ind w:right="0" w:left="909" w:firstLine="0"/>
              <w:snapToGrid w:val="0"/>
              <w:textAlignment w:val="auto"/>
              <w:tabs>
                <w:tab w:val="left" w:leader="none" w:pos="1253"/>
              </w:tabs>
              <w:numPr>
                <w:ilvl w:val="0"/>
                <w:numId w:val="256"/>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55" w:hRule="exact"/>
          <w:cantSplit w:val="1"/>
        </w:trPr>
        <w:tc>
          <w:tcPr>
            <w:tcW w:w="306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26"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9"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81" w:hRule="exact"/>
          <w:cantSplit w:val="1"/>
        </w:trPr>
        <w:tc>
          <w:tcPr>
            <w:tcW w:w="1017" w:type="dxa"/>
            <w:gridSpan w:val="1"/>
            <w:vAlign w:val="top"/>
            <w:vMerge w:val="restart"/>
            <w:tcMar/>
            <w:tcBorders>
              <w:top w:val="single" w:sz="4" w:space="0" w:color="000000"/>
            </w:tcBorders>
          </w:tcPr>
          <w:p>
            <w:pPr>
              <w:autoSpaceDE w:val="0"/>
              <w:autoSpaceDN w:val="0"/>
              <w:jc w:val="left"/>
              <w:spacing w:before="320"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神经科学</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341</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23.08</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22.73</w:t>
            </w:r>
          </w:p>
        </w:tc>
      </w:tr>
      <w:tr>
        <w:trPr>
          <w:trHeight w:val="28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9" w:after="0" w:lineRule="exact" w:line="188"/>
              <w:ind w:right="0" w:left="416" w:firstLine="0"/>
              <w:snapToGrid w:val="0"/>
              <w:textAlignment w:val="auto"/>
              <w:tabs/>
              <w:rPr>
                <w:rFonts w:ascii="宋体" w:hAnsi="宋体" w:cs="宋体" w:eastAsia="宋体" w:hint="ascii"/>
                <w:sz w:val="15"/>
              </w:rPr>
            </w:pPr>
            <w:r>
              <w:rPr>
                <w:rFonts w:ascii="宋体" w:hAnsi="宋体" w:cs="宋体" w:eastAsia="宋体" w:hint="ascii"/>
                <w:sz w:val="15"/>
              </w:rPr>
              <w:t>心理学与认知科学</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297</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24.24</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324</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23.08</w:t>
            </w:r>
          </w:p>
        </w:tc>
      </w:tr>
      <w:tr>
        <w:trPr>
          <w:trHeight w:val="281"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生理学与整合生物学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3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442</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22.92</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23.26</w:t>
            </w:r>
          </w:p>
        </w:tc>
      </w:tr>
      <w:tr>
        <w:trPr>
          <w:trHeight w:val="281" w:hRule="exact"/>
          <w:cantSplit w:val="1"/>
        </w:trPr>
        <w:tc>
          <w:tcPr>
            <w:tcW w:w="1017" w:type="dxa"/>
            <w:gridSpan w:val="1"/>
            <w:vAlign w:val="top"/>
            <w:vMerge w:val="restart"/>
            <w:tcMar/>
            <w:tcBorders>
              <w:top w:val="single" w:sz="4" w:space="0" w:color="000000"/>
            </w:tcBorders>
          </w:tcPr>
          <w:p>
            <w:pPr>
              <w:autoSpaceDE w:val="0"/>
              <w:autoSpaceDN w:val="0"/>
              <w:jc w:val="left"/>
              <w:spacing w:before="31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遗传学与生物信息学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31" w:firstLine="0"/>
              <w:snapToGrid w:val="0"/>
              <w:textAlignment w:val="auto"/>
              <w:tabs>
                <w:tab w:val="left" w:leader="none" w:pos="394"/>
              </w:tabs>
              <w:numPr>
                <w:ilvl w:val="0"/>
                <w:numId w:val="257"/>
              </w:numPr>
              <w:rPr>
                <w:rFonts w:ascii="Times New Roman" w:hAnsi="Times New Roman" w:cs="Times New Roman" w:eastAsia="Times New Roman" w:hint="ascii"/>
                <w:sz w:val="15"/>
                <w:spacing w:val="1"/>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55" w:firstLine="0"/>
              <w:snapToGrid w:val="0"/>
              <w:textAlignment w:val="auto"/>
              <w:tabs>
                <w:tab w:val="left" w:leader="none" w:pos="373"/>
              </w:tabs>
              <w:numPr>
                <w:ilvl w:val="0"/>
                <w:numId w:val="258"/>
              </w:numPr>
              <w:rPr>
                <w:rFonts w:ascii="Times New Roman" w:hAnsi="Times New Roman" w:cs="Times New Roman" w:eastAsia="Times New Roman" w:hint="ascii"/>
                <w:sz w:val="15"/>
              </w:rPr>
            </w:pPr>
            <w:r>
              <w:rPr>
                <w:rFonts w:ascii="Times New Roman" w:hAnsi="Times New Roman" w:cs="Times New Roman" w:eastAsia="Times New Roman" w:hint="ascii"/>
                <w:sz w:val="15"/>
              </w:rPr>
              <w:t>098</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23.93</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739</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20.65</w:t>
            </w:r>
          </w:p>
        </w:tc>
      </w:tr>
      <w:tr>
        <w:trPr>
          <w:trHeight w:val="281"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642" w:firstLine="0"/>
              <w:snapToGrid w:val="0"/>
              <w:textAlignment w:val="auto"/>
              <w:tabs/>
              <w:rPr>
                <w:rFonts w:ascii="宋体" w:hAnsi="宋体" w:cs="宋体" w:eastAsia="宋体" w:hint="ascii"/>
                <w:sz w:val="15"/>
              </w:rPr>
            </w:pPr>
            <w:r>
              <w:rPr>
                <w:rFonts w:ascii="宋体" w:hAnsi="宋体" w:cs="宋体" w:eastAsia="宋体" w:hint="ascii"/>
                <w:sz w:val="15"/>
              </w:rPr>
              <w:t>细胞生物学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530</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24.56</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476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23.21</w:t>
            </w:r>
          </w:p>
        </w:tc>
      </w:tr>
      <w:tr>
        <w:trPr>
          <w:trHeight w:val="281"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192" w:firstLine="0"/>
              <w:snapToGrid w:val="0"/>
              <w:textAlignment w:val="auto"/>
              <w:tabs/>
              <w:rPr>
                <w:rFonts w:ascii="宋体" w:hAnsi="宋体" w:cs="宋体" w:eastAsia="宋体" w:hint="ascii"/>
                <w:sz w:val="15"/>
              </w:rPr>
            </w:pPr>
            <w:r>
              <w:rPr>
                <w:rFonts w:ascii="宋体" w:hAnsi="宋体" w:cs="宋体" w:eastAsia="宋体" w:hint="ascii"/>
                <w:sz w:val="15"/>
              </w:rPr>
              <w:t>发育生物学与生殖生物学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407</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22.73</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4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21.62</w:t>
            </w:r>
          </w:p>
        </w:tc>
      </w:tr>
      <w:tr>
        <w:trPr>
          <w:trHeight w:val="281" w:hRule="exact"/>
          <w:cantSplit w:val="1"/>
        </w:trPr>
        <w:tc>
          <w:tcPr>
            <w:tcW w:w="1017" w:type="dxa"/>
            <w:gridSpan w:val="1"/>
            <w:vAlign w:val="top"/>
            <w:vMerge w:val="restart"/>
            <w:tcMar/>
            <w:tcBorders>
              <w:top w:val="single" w:sz="4" w:space="0" w:color="000000"/>
            </w:tcBorders>
          </w:tcPr>
          <w:p>
            <w:pPr>
              <w:autoSpaceDE w:val="0"/>
              <w:autoSpaceDN w:val="0"/>
              <w:jc w:val="left"/>
              <w:spacing w:before="17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作物学</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89</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3 475</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22.70</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91</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3 468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20.54</w:t>
            </w:r>
          </w:p>
        </w:tc>
      </w:tr>
      <w:tr>
        <w:trPr>
          <w:trHeight w:val="28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9"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食品科学</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76" w:firstLine="0"/>
              <w:snapToGrid w:val="0"/>
              <w:textAlignment w:val="auto"/>
              <w:tabs>
                <w:tab w:val="left" w:leader="none" w:pos="394"/>
              </w:tabs>
              <w:numPr>
                <w:ilvl w:val="0"/>
                <w:numId w:val="258"/>
              </w:numPr>
              <w:rPr>
                <w:rFonts w:ascii="Times New Roman" w:hAnsi="Times New Roman" w:cs="Times New Roman" w:eastAsia="Times New Roman" w:hint="ascii"/>
                <w:sz w:val="15"/>
              </w:rPr>
            </w:pPr>
            <w:r>
              <w:rPr>
                <w:rFonts w:ascii="Times New Roman" w:hAnsi="Times New Roman" w:cs="Times New Roman" w:eastAsia="Times New Roman" w:hint="ascii"/>
                <w:sz w:val="15"/>
              </w:rPr>
              <w:t>415</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21.68</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66</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2 507</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21.64</w:t>
            </w:r>
          </w:p>
        </w:tc>
      </w:tr>
      <w:tr>
        <w:trPr>
          <w:trHeight w:val="281" w:hRule="exact"/>
          <w:cantSplit w:val="1"/>
        </w:trPr>
        <w:tc>
          <w:tcPr>
            <w:tcW w:w="1017" w:type="dxa"/>
            <w:gridSpan w:val="1"/>
            <w:vAlign w:val="top"/>
            <w:vMerge w:val="restart"/>
            <w:tcMar/>
            <w:tcBorders>
              <w:top w:val="single" w:sz="4" w:space="0" w:color="000000"/>
            </w:tcBorders>
          </w:tcPr>
          <w:p>
            <w:pPr>
              <w:autoSpaceDE w:val="0"/>
              <w:autoSpaceDN w:val="0"/>
              <w:jc w:val="left"/>
              <w:spacing w:before="17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642" w:firstLine="0"/>
              <w:snapToGrid w:val="0"/>
              <w:textAlignment w:val="auto"/>
              <w:tabs/>
              <w:rPr>
                <w:rFonts w:ascii="宋体" w:hAnsi="宋体" w:cs="宋体" w:eastAsia="宋体" w:hint="ascii"/>
                <w:sz w:val="15"/>
              </w:rPr>
            </w:pPr>
            <w:r>
              <w:rPr>
                <w:rFonts w:ascii="宋体" w:hAnsi="宋体" w:cs="宋体" w:eastAsia="宋体" w:hint="ascii"/>
                <w:sz w:val="15"/>
              </w:rPr>
              <w:t>植物保护学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49</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59"/>
              </w:numPr>
              <w:rPr>
                <w:rFonts w:ascii="Times New Roman" w:hAnsi="Times New Roman" w:cs="Times New Roman" w:eastAsia="Times New Roman" w:hint="ascii"/>
                <w:sz w:val="15"/>
              </w:rPr>
            </w:pPr>
            <w:r>
              <w:rPr>
                <w:rFonts w:ascii="Times New Roman" w:hAnsi="Times New Roman" w:cs="Times New Roman" w:eastAsia="Times New Roman" w:hint="ascii"/>
                <w:sz w:val="15"/>
              </w:rPr>
              <w:t>922</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23.33</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60"/>
              </w:numPr>
              <w:rPr>
                <w:rFonts w:ascii="Times New Roman" w:hAnsi="Times New Roman" w:cs="Times New Roman" w:eastAsia="Times New Roman" w:hint="ascii"/>
                <w:sz w:val="15"/>
              </w:rPr>
            </w:pPr>
            <w:r>
              <w:rPr>
                <w:rFonts w:ascii="Times New Roman" w:hAnsi="Times New Roman" w:cs="Times New Roman" w:eastAsia="Times New Roman" w:hint="ascii"/>
                <w:sz w:val="15"/>
              </w:rPr>
              <w:t>921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20.92</w:t>
            </w:r>
          </w:p>
        </w:tc>
      </w:tr>
      <w:tr>
        <w:trPr>
          <w:trHeight w:val="281"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园艺学与植物营养学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59"/>
              </w:numPr>
              <w:rPr>
                <w:rFonts w:ascii="Times New Roman" w:hAnsi="Times New Roman" w:cs="Times New Roman" w:eastAsia="Times New Roman" w:hint="ascii"/>
                <w:sz w:val="15"/>
              </w:rPr>
            </w:pPr>
            <w:r>
              <w:rPr>
                <w:rFonts w:ascii="Times New Roman" w:hAnsi="Times New Roman" w:cs="Times New Roman" w:eastAsia="Times New Roman" w:hint="ascii"/>
                <w:sz w:val="15"/>
              </w:rPr>
              <w:t>339</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23.72</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69</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60"/>
              </w:numPr>
              <w:rPr>
                <w:rFonts w:ascii="Times New Roman" w:hAnsi="Times New Roman" w:cs="Times New Roman" w:eastAsia="Times New Roman" w:hint="ascii"/>
                <w:sz w:val="15"/>
              </w:rPr>
            </w:pPr>
            <w:r>
              <w:rPr>
                <w:rFonts w:ascii="Times New Roman" w:hAnsi="Times New Roman" w:cs="Times New Roman" w:eastAsia="Times New Roman" w:hint="ascii"/>
                <w:sz w:val="15"/>
              </w:rPr>
              <w:t>626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21.56</w:t>
            </w:r>
          </w:p>
        </w:tc>
      </w:tr>
      <w:tr>
        <w:trPr>
          <w:trHeight w:val="281" w:hRule="exact"/>
          <w:cantSplit w:val="1"/>
        </w:trPr>
        <w:tc>
          <w:tcPr>
            <w:tcW w:w="1017" w:type="dxa"/>
            <w:gridSpan w:val="1"/>
            <w:vAlign w:val="top"/>
            <w:vMerge w:val="restart"/>
            <w:tcMar/>
            <w:tcBorders>
              <w:top w:val="single" w:sz="4" w:space="0" w:color="000000"/>
            </w:tcBorders>
          </w:tcPr>
          <w:p>
            <w:pPr>
              <w:autoSpaceDE w:val="0"/>
              <w:autoSpaceDN w:val="0"/>
              <w:jc w:val="left"/>
              <w:spacing w:before="45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动物学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61"/>
              </w:numPr>
              <w:rPr>
                <w:rFonts w:ascii="Times New Roman" w:hAnsi="Times New Roman" w:cs="Times New Roman" w:eastAsia="Times New Roman" w:hint="ascii"/>
                <w:sz w:val="15"/>
              </w:rPr>
            </w:pPr>
            <w:r>
              <w:rPr>
                <w:rFonts w:ascii="Times New Roman" w:hAnsi="Times New Roman" w:cs="Times New Roman" w:eastAsia="Times New Roman" w:hint="ascii"/>
                <w:sz w:val="15"/>
              </w:rPr>
              <w:t>051</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24.32</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62"/>
              </w:numPr>
              <w:rPr>
                <w:rFonts w:ascii="Times New Roman" w:hAnsi="Times New Roman" w:cs="Times New Roman" w:eastAsia="Times New Roman" w:hint="ascii"/>
                <w:sz w:val="15"/>
              </w:rPr>
            </w:pPr>
            <w:r>
              <w:rPr>
                <w:rFonts w:ascii="Times New Roman" w:hAnsi="Times New Roman" w:cs="Times New Roman" w:eastAsia="Times New Roman" w:hint="ascii"/>
                <w:sz w:val="15"/>
              </w:rPr>
              <w:t>029</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21.60</w:t>
            </w:r>
          </w:p>
        </w:tc>
      </w:tr>
      <w:tr>
        <w:trPr>
          <w:trHeight w:val="281"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416" w:firstLine="0"/>
              <w:snapToGrid w:val="0"/>
              <w:textAlignment w:val="auto"/>
              <w:tabs/>
              <w:rPr>
                <w:rFonts w:ascii="宋体" w:hAnsi="宋体" w:cs="宋体" w:eastAsia="宋体" w:hint="ascii"/>
                <w:sz w:val="15"/>
              </w:rPr>
            </w:pPr>
            <w:r>
              <w:rPr>
                <w:rFonts w:ascii="宋体" w:hAnsi="宋体" w:cs="宋体" w:eastAsia="宋体" w:hint="ascii"/>
                <w:sz w:val="15"/>
              </w:rPr>
              <w:t>畜牧学与草地科学</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63</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61"/>
              </w:numPr>
              <w:rPr>
                <w:rFonts w:ascii="Times New Roman" w:hAnsi="Times New Roman" w:cs="Times New Roman" w:eastAsia="Times New Roman" w:hint="ascii"/>
                <w:sz w:val="15"/>
              </w:rPr>
            </w:pPr>
            <w:r>
              <w:rPr>
                <w:rFonts w:ascii="Times New Roman" w:hAnsi="Times New Roman" w:cs="Times New Roman" w:eastAsia="Times New Roman" w:hint="ascii"/>
                <w:sz w:val="15"/>
              </w:rPr>
              <w:t>453</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23.25</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76" w:firstLine="0"/>
              <w:snapToGrid w:val="0"/>
              <w:textAlignment w:val="auto"/>
              <w:tabs>
                <w:tab w:val="left" w:leader="none" w:pos="394"/>
              </w:tabs>
              <w:numPr>
                <w:ilvl w:val="0"/>
                <w:numId w:val="262"/>
              </w:numPr>
              <w:rPr>
                <w:rFonts w:ascii="Times New Roman" w:hAnsi="Times New Roman" w:cs="Times New Roman" w:eastAsia="Times New Roman" w:hint="ascii"/>
                <w:sz w:val="15"/>
              </w:rPr>
            </w:pPr>
            <w:r>
              <w:rPr>
                <w:rFonts w:ascii="Times New Roman" w:hAnsi="Times New Roman" w:cs="Times New Roman" w:eastAsia="Times New Roman" w:hint="ascii"/>
                <w:sz w:val="15"/>
              </w:rPr>
              <w:t>788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21.73</w:t>
            </w:r>
          </w:p>
        </w:tc>
      </w:tr>
      <w:tr>
        <w:trPr>
          <w:trHeight w:val="281"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8"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兽医学</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1 458</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23.27</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tab w:val="left" w:leader="none" w:pos="-655355"/>
              </w:tabs>
              <w:numPr>
                <w:ilvl w:val="0"/>
                <w:numId w:val="26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1 479</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21.55</w:t>
            </w:r>
          </w:p>
        </w:tc>
      </w:tr>
      <w:tr>
        <w:trPr>
          <w:trHeight w:val="282"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39"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水产学</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521</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22.41</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822" w:type="dxa"/>
            <w:gridSpan w:val="1"/>
            <w:vAlign w:val="top"/>
            <w:tcMar/>
            <w:tcBorders>
              <w:left w:val="single" w:sz="4" w:space="0" w:color="000000"/>
              <w:top w:val="single" w:sz="4" w:space="0" w:color="000000"/>
            </w:tcBorders>
          </w:tcPr>
          <w:p>
            <w:pPr>
              <w:autoSpaceDE w:val="0"/>
              <w:autoSpaceDN w:val="0"/>
              <w:jc w:val="left"/>
              <w:spacing w:before="46"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425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19.30</w:t>
            </w:r>
          </w:p>
        </w:tc>
      </w:tr>
      <w:tr>
        <w:trPr>
          <w:trHeight w:val="281" w:hRule="exact"/>
          <w:cantSplit w:val="1"/>
        </w:trPr>
        <w:tc>
          <w:tcPr>
            <w:tcW w:w="3060" w:type="dxa"/>
            <w:gridSpan w:val="2"/>
            <w:vAlign w:val="top"/>
            <w:tcMar/>
            <w:tcBorders>
              <w:top w:val="single" w:sz="4" w:space="0" w:color="000000"/>
            </w:tcBorders>
          </w:tcPr>
          <w:p>
            <w:pPr>
              <w:autoSpaceDE w:val="0"/>
              <w:autoSpaceDN w:val="0"/>
              <w:jc w:val="left"/>
              <w:spacing w:before="38" w:after="0" w:lineRule="exact" w:line="188"/>
              <w:ind w:right="0" w:left="1070"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746</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00" w:firstLine="0"/>
              <w:snapToGrid w:val="0"/>
              <w:textAlignment w:val="auto"/>
              <w:tabs>
                <w:tab w:val="left" w:leader="none" w:pos="394"/>
              </w:tabs>
              <w:numPr>
                <w:ilvl w:val="0"/>
                <w:numId w:val="257"/>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100</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23.30</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765</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auto" w:line="240"/>
              <w:ind w:right="0" w:left="2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29 060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21.39</w:t>
            </w:r>
          </w:p>
        </w:tc>
      </w:tr>
      <w:tr>
        <w:trPr>
          <w:trHeight w:val="286" w:hRule="exact"/>
          <w:cantSplit w:val="1"/>
        </w:trPr>
        <w:tc>
          <w:tcPr>
            <w:tcW w:w="3060" w:type="dxa"/>
            <w:gridSpan w:val="2"/>
            <w:vAlign w:val="top"/>
            <w:tcMar/>
            <w:tcBorders>
              <w:top w:val="single" w:sz="4" w:space="0" w:color="000000"/>
              <w:bottom w:val="single" w:sz="8" w:space="0" w:color="000000"/>
            </w:tcBorders>
          </w:tcPr>
          <w:p>
            <w:pPr>
              <w:autoSpaceDE w:val="0"/>
              <w:autoSpaceDN w:val="0"/>
              <w:jc w:val="left"/>
              <w:spacing w:before="38" w:after="0" w:lineRule="exact" w:line="188"/>
              <w:ind w:right="0" w:left="37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466"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45" w:after="0" w:lineRule="auto" w:line="240"/>
              <w:ind w:right="0" w:left="1059" w:firstLine="0"/>
              <w:snapToGrid w:val="0"/>
              <w:textAlignment w:val="auto"/>
              <w:tabs/>
              <w:numPr>
                <w:ilvl w:val="1"/>
                <w:numId w:val="263"/>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w:t>
            </w:r>
          </w:p>
        </w:tc>
        <w:tc>
          <w:tcPr>
            <w:tcW w:w="2466"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45"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37.99</w:t>
            </w:r>
          </w:p>
        </w:tc>
      </w:tr>
    </w:tbl>
    <w:p>
      <w:pPr>
        <w:autoSpaceDE w:val="0"/>
        <w:autoSpaceDN w:val="0"/>
        <w:jc w:val="left"/>
        <w:spacing w:before="320"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地球科学部</w:t>
      </w:r>
    </w:p>
    <w:p>
      <w:pPr>
        <w:autoSpaceDE w:val="0"/>
        <w:autoSpaceDN w:val="0"/>
        <w:jc w:val="left"/>
        <w:spacing w:before="319" w:after="0" w:lineRule="auto" w:line="240"/>
        <w:ind w:right="0" w:left="966" w:firstLine="420"/>
        <w:snapToGrid w:val="0"/>
        <w:textAlignment w:val="auto"/>
        <w:tabs>
          <w:tab w:val="left" w:leader="none" w:pos="1863"/>
        </w:tabs>
        <w:numPr>
          <w:ilvl w:val="0"/>
          <w:numId w:val="264"/>
        </w:numPr>
        <w:rPr>
          <w:rFonts w:ascii="Times New Roman" w:hAnsi="Times New Roman" w:cs="Times New Roman" w:eastAsia="Times New Roman" w:hint="ascii"/>
          <w:sz w:val="21"/>
          <w:spacing w:val="1"/>
        </w:rPr>
      </w:pPr>
      <w:r>
        <w:rPr>
          <w:rFonts w:ascii="宋体" w:hAnsi="宋体" w:cs="宋体" w:eastAsia="宋体" w:hint="ascii"/>
          <w:sz w:val="21"/>
          <w:spacing w:val="3"/>
        </w:rPr>
        <w:t>年</w:t>
      </w:r>
      <w:r>
        <w:rPr>
          <w:rFonts w:ascii="宋体" w:hAnsi="宋体" w:cs="宋体" w:eastAsia="宋体" w:hint="ascii"/>
          <w:sz w:val="21"/>
        </w:rPr>
        <w:t>度地</w:t>
      </w:r>
      <w:r>
        <w:rPr>
          <w:rFonts w:ascii="宋体" w:hAnsi="宋体" w:cs="宋体" w:eastAsia="宋体" w:hint="ascii"/>
          <w:sz w:val="21"/>
          <w:spacing w:val="3"/>
        </w:rPr>
        <w:t>球</w:t>
      </w:r>
      <w:r>
        <w:rPr>
          <w:rFonts w:ascii="宋体" w:hAnsi="宋体" w:cs="宋体" w:eastAsia="宋体" w:hint="ascii"/>
          <w:sz w:val="21"/>
        </w:rPr>
        <w:t>科学部共</w:t>
      </w:r>
      <w:r>
        <w:rPr>
          <w:rFonts w:ascii="宋体" w:hAnsi="宋体" w:cs="宋体" w:eastAsia="宋体" w:hint="ascii"/>
          <w:sz w:val="21"/>
          <w:spacing w:val="3"/>
        </w:rPr>
        <w:t>接</w:t>
      </w:r>
      <w:r>
        <w:rPr>
          <w:rFonts w:ascii="宋体" w:hAnsi="宋体" w:cs="宋体" w:eastAsia="宋体" w:hint="ascii"/>
          <w:sz w:val="21"/>
        </w:rPr>
        <w:t>收地区科</w:t>
      </w:r>
      <w:r>
        <w:rPr>
          <w:rFonts w:ascii="宋体" w:hAnsi="宋体" w:cs="宋体" w:eastAsia="宋体" w:hint="ascii"/>
          <w:sz w:val="21"/>
          <w:spacing w:val="3"/>
        </w:rPr>
        <w:t>学</w:t>
      </w:r>
      <w:r>
        <w:rPr>
          <w:rFonts w:ascii="宋体" w:hAnsi="宋体" w:cs="宋体" w:eastAsia="宋体" w:hint="ascii"/>
          <w:sz w:val="21"/>
        </w:rPr>
        <w:t>基金项目</w:t>
      </w:r>
      <w:r>
        <w:rPr>
          <w:rFonts w:ascii="宋体" w:hAnsi="宋体" w:cs="宋体" w:eastAsia="宋体" w:hint="ascii"/>
          <w:sz w:val="21"/>
          <w:spacing w:val="3"/>
        </w:rPr>
        <w:t>申</w:t>
      </w:r>
      <w:r>
        <w:rPr>
          <w:rFonts w:ascii="宋体" w:hAnsi="宋体" w:cs="宋体" w:eastAsia="宋体" w:hint="ascii"/>
          <w:sz w:val="21"/>
        </w:rPr>
        <w:t>请</w:t>
      </w:r>
      <w:r>
        <w:rPr>
          <w:rFonts w:ascii="宋体" w:hAnsi="宋体" w:cs="宋体" w:eastAsia="宋体" w:hint="ascii"/>
          <w:sz w:val="21"/>
          <w:spacing w:val="-24"/>
        </w:rPr>
        <w:t xml:space="preserve"> </w:t>
      </w:r>
      <w:r>
        <w:rPr>
          <w:rFonts w:ascii="Times New Roman" w:hAnsi="Times New Roman" w:cs="Times New Roman" w:eastAsia="Times New Roman" w:hint="ascii"/>
          <w:sz w:val="21"/>
        </w:rPr>
        <w:t>932</w:t>
      </w:r>
      <w:r>
        <w:rPr>
          <w:rFonts w:ascii="Times New Roman" w:hAnsi="Times New Roman" w:cs="Times New Roman" w:eastAsia="Times New Roman" w:hint="ascii"/>
          <w:sz w:val="21"/>
          <w:spacing w:val="-24"/>
        </w:rPr>
        <w:t xml:space="preserve"> </w:t>
      </w:r>
      <w:r>
        <w:rPr>
          <w:rFonts w:ascii="宋体" w:hAnsi="宋体" w:cs="宋体" w:eastAsia="宋体" w:hint="ascii"/>
          <w:sz w:val="21"/>
        </w:rPr>
        <w:t>项</w:t>
      </w:r>
      <w:r>
        <w:rPr>
          <w:rFonts w:ascii="宋体" w:hAnsi="宋体" w:cs="宋体" w:eastAsia="宋体" w:hint="ascii"/>
          <w:sz w:val="21"/>
          <w:spacing w:val="3"/>
        </w:rPr>
        <w:t>，</w:t>
      </w:r>
      <w:r>
        <w:rPr>
          <w:rFonts w:ascii="宋体" w:hAnsi="宋体" w:cs="宋体" w:eastAsia="宋体" w:hint="ascii"/>
          <w:sz w:val="21"/>
        </w:rPr>
        <w:t>申请单位</w:t>
      </w:r>
      <w:r>
        <w:rPr>
          <w:rFonts w:ascii="宋体" w:hAnsi="宋体" w:cs="宋体" w:eastAsia="宋体" w:hint="ascii"/>
          <w:sz w:val="21"/>
          <w:spacing w:val="-24"/>
        </w:rPr>
        <w:t xml:space="preserve"> </w:t>
      </w:r>
      <w:r>
        <w:rPr>
          <w:rFonts w:ascii="Times New Roman" w:hAnsi="Times New Roman" w:cs="Times New Roman" w:eastAsia="Times New Roman" w:hint="ascii"/>
          <w:sz w:val="21"/>
        </w:rPr>
        <w:t>140</w:t>
      </w:r>
      <w:r>
        <w:rPr>
          <w:rFonts w:ascii="Times New Roman" w:hAnsi="Times New Roman" w:cs="Times New Roman" w:eastAsia="Times New Roman" w:hint="ascii"/>
          <w:sz w:val="21"/>
          <w:spacing w:val="-23"/>
        </w:rPr>
        <w:t xml:space="preserve"> </w:t>
      </w:r>
      <w:r>
        <w:rPr>
          <w:rFonts w:ascii="宋体" w:hAnsi="宋体" w:cs="宋体" w:eastAsia="宋体" w:hint="ascii"/>
          <w:sz w:val="21"/>
        </w:rPr>
        <w:t>个；高</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rPr>
        <w:t>等学校申请</w:t>
      </w:r>
      <w:r>
        <w:rPr>
          <w:rFonts w:ascii="宋体" w:hAnsi="宋体" w:cs="宋体" w:eastAsia="宋体" w:hint="ascii"/>
          <w:sz w:val="21"/>
          <w:spacing w:val="-25"/>
        </w:rPr>
        <w:t xml:space="preserve"> </w:t>
      </w:r>
      <w:r>
        <w:rPr>
          <w:rFonts w:ascii="Times New Roman" w:hAnsi="Times New Roman" w:cs="Times New Roman" w:eastAsia="Times New Roman" w:hint="ascii"/>
          <w:sz w:val="21"/>
        </w:rPr>
        <w:t>806</w:t>
      </w:r>
      <w:r>
        <w:rPr>
          <w:rFonts w:ascii="Times New Roman" w:hAnsi="Times New Roman" w:cs="Times New Roman" w:eastAsia="Times New Roman" w:hint="ascii"/>
          <w:sz w:val="21"/>
          <w:spacing w:val="-26"/>
        </w:rPr>
        <w:t xml:space="preserve"> </w:t>
      </w:r>
      <w:r>
        <w:rPr>
          <w:rFonts w:ascii="宋体" w:hAnsi="宋体" w:cs="宋体" w:eastAsia="宋体" w:hint="ascii"/>
          <w:sz w:val="21"/>
        </w:rPr>
        <w:t>项，占</w:t>
      </w:r>
      <w:r>
        <w:rPr>
          <w:rFonts w:ascii="宋体" w:hAnsi="宋体" w:cs="宋体" w:eastAsia="宋体" w:hint="ascii"/>
          <w:sz w:val="21"/>
          <w:spacing w:val="-26"/>
        </w:rPr>
        <w:t xml:space="preserve"> </w:t>
      </w:r>
      <w:r>
        <w:rPr>
          <w:rFonts w:ascii="Times New Roman" w:hAnsi="Times New Roman" w:cs="Times New Roman" w:eastAsia="Times New Roman" w:hint="ascii"/>
          <w:sz w:val="21"/>
        </w:rPr>
        <w:t>86.48%</w:t>
      </w:r>
      <w:r>
        <w:rPr>
          <w:rFonts w:ascii="宋体" w:hAnsi="宋体" w:cs="宋体" w:eastAsia="宋体" w:hint="ascii"/>
          <w:sz w:val="21"/>
        </w:rPr>
        <w:t>；科研院所申请</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14</w:t>
      </w:r>
      <w:r>
        <w:rPr>
          <w:rFonts w:ascii="Times New Roman" w:hAnsi="Times New Roman" w:cs="Times New Roman" w:eastAsia="Times New Roman" w:hint="ascii"/>
          <w:sz w:val="21"/>
          <w:spacing w:val="-26"/>
        </w:rPr>
        <w:t xml:space="preserve"> </w:t>
      </w:r>
      <w:r>
        <w:rPr>
          <w:rFonts w:ascii="宋体" w:hAnsi="宋体" w:cs="宋体" w:eastAsia="宋体" w:hint="ascii"/>
          <w:sz w:val="21"/>
        </w:rPr>
        <w:t>项，占</w:t>
      </w:r>
      <w:r>
        <w:rPr>
          <w:rFonts w:ascii="宋体" w:hAnsi="宋体" w:cs="宋体" w:eastAsia="宋体" w:hint="ascii"/>
          <w:sz w:val="21"/>
          <w:spacing w:val="-26"/>
        </w:rPr>
        <w:t xml:space="preserve"> </w:t>
      </w:r>
      <w:r>
        <w:rPr>
          <w:rFonts w:ascii="Times New Roman" w:hAnsi="Times New Roman" w:cs="Times New Roman" w:eastAsia="Times New Roman" w:hint="ascii"/>
          <w:sz w:val="21"/>
        </w:rPr>
        <w:t>12.23%</w:t>
      </w:r>
      <w:r>
        <w:rPr>
          <w:rFonts w:ascii="宋体" w:hAnsi="宋体" w:cs="宋体" w:eastAsia="宋体" w:hint="ascii"/>
          <w:sz w:val="21"/>
        </w:rPr>
        <w:t>；资助</w:t>
      </w:r>
      <w:r>
        <w:rPr>
          <w:rFonts w:ascii="宋体" w:hAnsi="宋体" w:cs="宋体" w:eastAsia="宋体" w:hint="ascii"/>
          <w:sz w:val="21"/>
          <w:spacing w:val="-26"/>
        </w:rPr>
        <w:t xml:space="preserve"> </w:t>
      </w:r>
      <w:r>
        <w:rPr>
          <w:rFonts w:ascii="Times New Roman" w:hAnsi="Times New Roman" w:cs="Times New Roman" w:eastAsia="Times New Roman" w:hint="ascii"/>
          <w:sz w:val="21"/>
        </w:rPr>
        <w:t>187</w:t>
      </w:r>
      <w:r>
        <w:rPr>
          <w:rFonts w:ascii="Times New Roman" w:hAnsi="Times New Roman" w:cs="Times New Roman" w:eastAsia="Times New Roman" w:hint="ascii"/>
          <w:sz w:val="21"/>
          <w:spacing w:val="-26"/>
        </w:rPr>
        <w:t xml:space="preserve"> </w:t>
      </w:r>
      <w:r>
        <w:rPr>
          <w:rFonts w:ascii="宋体" w:hAnsi="宋体" w:cs="宋体" w:eastAsia="宋体" w:hint="ascii"/>
          <w:sz w:val="21"/>
        </w:rPr>
        <w:t>项，资助直接费用</w:t>
      </w:r>
      <w:r>
        <w:rPr>
          <w:rFonts w:ascii="宋体" w:hAnsi="宋体" w:cs="宋体" w:eastAsia="宋体" w:hint="ascii"/>
          <w:sz w:val="21"/>
          <w:spacing w:val="-26"/>
        </w:rPr>
        <w:t xml:space="preserve"> </w:t>
      </w:r>
      <w:r>
        <w:rPr>
          <w:rFonts w:ascii="Times New Roman" w:hAnsi="Times New Roman" w:cs="Times New Roman" w:eastAsia="Times New Roman" w:hint="ascii"/>
          <w:sz w:val="21"/>
        </w:rPr>
        <w:t>7 080</w:t>
      </w:r>
      <w:r>
        <w:rPr>
          <w:rFonts w:ascii="Times New Roman" w:hAnsi="Times New Roman" w:cs="Times New Roman" w:eastAsia="Times New Roman" w:hint="ascii"/>
          <w:sz w:val="21"/>
          <w:spacing w:val="-27"/>
        </w:rPr>
        <w:t xml:space="preserve"> </w:t>
      </w:r>
      <w:r>
        <w:rPr>
          <w:rFonts w:ascii="宋体" w:hAnsi="宋体" w:cs="宋体" w:eastAsia="宋体" w:hint="ascii"/>
          <w:sz w:val="21"/>
        </w:rPr>
        <w:t>万元；直接费用平均资助强度</w:t>
      </w:r>
      <w:r>
        <w:rPr>
          <w:rFonts w:ascii="宋体" w:hAnsi="宋体" w:cs="宋体" w:eastAsia="宋体" w:hint="ascii"/>
          <w:sz w:val="21"/>
          <w:spacing w:val="-26"/>
        </w:rPr>
        <w:t xml:space="preserve"> </w:t>
      </w:r>
      <w:r>
        <w:rPr>
          <w:rFonts w:ascii="Times New Roman" w:hAnsi="Times New Roman" w:cs="Times New Roman" w:eastAsia="Times New Roman" w:hint="ascii"/>
          <w:sz w:val="21"/>
        </w:rPr>
        <w:t>37.86</w:t>
      </w:r>
      <w:r>
        <w:rPr>
          <w:rFonts w:ascii="Times New Roman" w:hAnsi="Times New Roman" w:cs="Times New Roman" w:eastAsia="Times New Roman" w:hint="ascii"/>
          <w:sz w:val="21"/>
          <w:spacing w:val="-2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6"/>
        </w:rPr>
        <w:t xml:space="preserve"> </w:t>
      </w:r>
      <w:r>
        <w:rPr>
          <w:rFonts w:ascii="Times New Roman" w:hAnsi="Times New Roman" w:cs="Times New Roman" w:eastAsia="Times New Roman" w:hint="ascii"/>
          <w:sz w:val="21"/>
        </w:rPr>
        <w:t>20.06%</w:t>
      </w:r>
      <w:r>
        <w:rPr>
          <w:rFonts w:ascii="宋体" w:hAnsi="宋体" w:cs="宋体" w:eastAsia="宋体" w:hint="ascii"/>
          <w:sz w:val="21"/>
        </w:rPr>
        <w:t>。</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6"/>
        </w:rPr>
        <w:t xml:space="preserve"> </w:t>
      </w:r>
      <w:r>
        <w:rPr>
          <w:rFonts w:ascii="宋体" w:hAnsi="宋体" w:cs="宋体" w:eastAsia="宋体" w:hint="ascii"/>
          <w:sz w:val="21"/>
        </w:rPr>
        <w:t>年</w:t>
      </w:r>
      <w:r>
        <w:rPr>
          <w:rFonts w:ascii="宋体" w:hAnsi="宋体" w:cs="宋体" w:eastAsia="宋体" w:hint="ascii"/>
          <w:sz w:val="21"/>
          <w:spacing w:val="2"/>
        </w:rPr>
        <w:t>度资助的</w:t>
      </w:r>
      <w:r>
        <w:rPr>
          <w:rFonts w:ascii="宋体" w:hAnsi="宋体" w:cs="宋体" w:eastAsia="宋体" w:hint="ascii"/>
          <w:sz w:val="21"/>
          <w:spacing w:val="1"/>
        </w:rPr>
        <w:t>地</w:t>
      </w:r>
      <w:r>
        <w:rPr>
          <w:rFonts w:ascii="宋体" w:hAnsi="宋体" w:cs="宋体" w:eastAsia="宋体" w:hint="ascii"/>
          <w:sz w:val="21"/>
          <w:spacing w:val="2"/>
        </w:rPr>
        <w:t>区科学基</w:t>
      </w:r>
      <w:r>
        <w:rPr>
          <w:rFonts w:ascii="宋体" w:hAnsi="宋体" w:cs="宋体" w:eastAsia="宋体" w:hint="ascii"/>
          <w:sz w:val="21"/>
          <w:spacing w:val="1"/>
        </w:rPr>
        <w:t>金</w:t>
      </w:r>
      <w:r>
        <w:rPr>
          <w:rFonts w:ascii="宋体" w:hAnsi="宋体" w:cs="宋体" w:eastAsia="宋体" w:hint="ascii"/>
          <w:sz w:val="21"/>
          <w:spacing w:val="2"/>
        </w:rPr>
        <w:t>项目中，</w:t>
      </w:r>
      <w:r>
        <w:rPr>
          <w:rFonts w:ascii="宋体" w:hAnsi="宋体" w:cs="宋体" w:eastAsia="宋体" w:hint="ascii"/>
          <w:sz w:val="21"/>
          <w:spacing w:val="1"/>
        </w:rPr>
        <w:t>高</w:t>
      </w:r>
      <w:r>
        <w:rPr>
          <w:rFonts w:ascii="宋体" w:hAnsi="宋体" w:cs="宋体" w:eastAsia="宋体" w:hint="ascii"/>
          <w:sz w:val="21"/>
          <w:spacing w:val="2"/>
        </w:rPr>
        <w:t>等学校承</w:t>
      </w:r>
      <w:r>
        <w:rPr>
          <w:rFonts w:ascii="宋体" w:hAnsi="宋体" w:cs="宋体" w:eastAsia="宋体" w:hint="ascii"/>
          <w:sz w:val="21"/>
          <w:spacing w:val="-3"/>
        </w:rPr>
        <w:t>担</w:t>
      </w:r>
      <w:r>
        <w:rPr>
          <w:rFonts w:ascii="宋体" w:hAnsi="宋体" w:cs="宋体" w:eastAsia="宋体" w:hint="ascii"/>
          <w:sz w:val="21"/>
          <w:spacing w:val="-2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
        </w:rPr>
        <w:t>6</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2"/>
        </w:rPr>
        <w:t>项，</w:t>
      </w:r>
      <w:r>
        <w:rPr>
          <w:rFonts w:ascii="宋体" w:hAnsi="宋体" w:cs="宋体" w:eastAsia="宋体" w:hint="ascii"/>
          <w:sz w:val="21"/>
          <w:spacing w:val="-3"/>
        </w:rPr>
        <w:t>占</w:t>
      </w:r>
      <w:r>
        <w:rPr>
          <w:rFonts w:ascii="宋体" w:hAnsi="宋体" w:cs="宋体" w:eastAsia="宋体" w:hint="ascii"/>
          <w:sz w:val="21"/>
          <w:spacing w:val="-24"/>
        </w:rPr>
        <w:t xml:space="preserve"> </w:t>
      </w:r>
      <w:r>
        <w:rPr>
          <w:rFonts w:ascii="Times New Roman" w:hAnsi="Times New Roman" w:cs="Times New Roman" w:eastAsia="Times New Roman" w:hint="ascii"/>
          <w:sz w:val="21"/>
        </w:rPr>
        <w:t>89.84</w:t>
      </w:r>
      <w:r>
        <w:rPr>
          <w:rFonts w:ascii="Times New Roman" w:hAnsi="Times New Roman" w:cs="Times New Roman" w:eastAsia="Times New Roman" w:hint="ascii"/>
          <w:sz w:val="21"/>
          <w:spacing w:val="8"/>
        </w:rPr>
        <w:t>%</w:t>
      </w:r>
      <w:r>
        <w:rPr>
          <w:rFonts w:ascii="宋体" w:hAnsi="宋体" w:cs="宋体" w:eastAsia="宋体" w:hint="ascii"/>
          <w:sz w:val="21"/>
          <w:spacing w:val="2"/>
        </w:rPr>
        <w:t>；科</w:t>
      </w:r>
      <w:r>
        <w:rPr>
          <w:rFonts w:ascii="宋体" w:hAnsi="宋体" w:cs="宋体" w:eastAsia="宋体" w:hint="ascii"/>
          <w:sz w:val="21"/>
          <w:spacing w:val="1"/>
        </w:rPr>
        <w:t>研</w:t>
      </w:r>
      <w:r>
        <w:rPr>
          <w:rFonts w:ascii="宋体" w:hAnsi="宋体" w:cs="宋体" w:eastAsia="宋体" w:hint="ascii"/>
          <w:sz w:val="21"/>
          <w:spacing w:val="2"/>
        </w:rPr>
        <w:t>院所承</w:t>
      </w:r>
      <w:r>
        <w:rPr>
          <w:rFonts w:ascii="宋体" w:hAnsi="宋体" w:cs="宋体" w:eastAsia="宋体" w:hint="ascii"/>
          <w:sz w:val="21"/>
          <w:spacing w:val="-3"/>
        </w:rPr>
        <w:t>担</w:t>
      </w:r>
      <w:r>
        <w:rPr>
          <w:rFonts w:ascii="宋体" w:hAnsi="宋体" w:cs="宋体" w:eastAsia="宋体" w:hint="ascii"/>
          <w:sz w:val="21"/>
          <w:spacing w:val="-25"/>
        </w:rPr>
        <w:t xml:space="preserve"> </w:t>
      </w:r>
      <w:r>
        <w:rPr>
          <w:rFonts w:ascii="Times New Roman" w:hAnsi="Times New Roman" w:cs="Times New Roman" w:eastAsia="Times New Roman" w:hint="ascii"/>
          <w:sz w:val="21"/>
        </w:rPr>
        <w:t xml:space="preserve">16 </w:t>
      </w:r>
      <w:r>
        <w:rPr>
          <w:rFonts w:ascii="宋体" w:hAnsi="宋体" w:cs="宋体" w:eastAsia="宋体" w:hint="ascii"/>
          <w:sz w:val="21"/>
        </w:rPr>
        <w:t>项，</w:t>
      </w:r>
      <w:r>
        <w:rPr>
          <w:rFonts w:ascii="宋体" w:hAnsi="宋体" w:cs="宋体" w:eastAsia="宋体" w:hint="ascii"/>
          <w:sz w:val="21"/>
          <w:spacing w:val="26"/>
        </w:rPr>
        <w:t>占</w:t>
      </w:r>
      <w:r>
        <w:rPr>
          <w:rFonts w:ascii="Times New Roman" w:hAnsi="Times New Roman" w:cs="Times New Roman" w:eastAsia="Times New Roman" w:hint="ascii"/>
          <w:sz w:val="21"/>
        </w:rPr>
        <w:t>8.56%</w:t>
      </w:r>
      <w:r>
        <w:rPr>
          <w:rFonts w:ascii="宋体" w:hAnsi="宋体" w:cs="宋体" w:eastAsia="宋体" w:hint="ascii"/>
          <w:sz w:val="21"/>
        </w:rPr>
        <w:t>。</w:t>
      </w:r>
    </w:p>
    <w:p>
      <w:pPr>
        <w:autoSpaceDE w:val="0"/>
        <w:autoSpaceDN w:val="0"/>
        <w:jc w:val="both"/>
        <w:spacing w:before="0" w:after="0" w:lineRule="exact" w:line="312"/>
        <w:ind w:right="977" w:left="966" w:firstLine="420"/>
        <w:snapToGrid w:val="0"/>
        <w:textAlignment w:val="auto"/>
        <w:tabs>
          <w:tab w:val="left" w:leader="none" w:pos="1863"/>
        </w:tabs>
        <w:numPr>
          <w:ilvl w:val="0"/>
          <w:numId w:val="264"/>
        </w:numPr>
        <w:rPr>
          <w:rFonts w:ascii="Times New Roman" w:hAnsi="Times New Roman" w:cs="Times New Roman" w:eastAsia="Times New Roman" w:hint="ascii"/>
          <w:sz w:val="21"/>
          <w:spacing w:val="1"/>
        </w:rPr>
      </w:pPr>
      <w:r>
        <w:rPr>
          <w:rFonts w:ascii="宋体" w:hAnsi="宋体" w:cs="宋体" w:eastAsia="宋体" w:hint="ascii"/>
          <w:sz w:val="21"/>
        </w:rPr>
        <w:t>年度，地球科学部对学科结构进行了调整，以强化对环境地球科学的支持， 请申请者注意相关的变化。</w:t>
      </w:r>
    </w:p>
    <w:p>
      <w:pPr>
        <w:autoSpaceDE w:val="0"/>
        <w:autoSpaceDN w:val="0"/>
        <w:jc w:val="left"/>
        <w:spacing w:before="167"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地球科学部地区科学基金项目近两年资助情况一览表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678"/>
        <w:gridCol w:w="2493"/>
        <w:gridCol w:w="803"/>
        <w:gridCol w:w="804"/>
        <w:gridCol w:w="804"/>
        <w:gridCol w:w="803"/>
        <w:gridCol w:w="803"/>
        <w:gridCol w:w="804"/>
      </w:tblGrid>
      <w:tr>
        <w:trPr>
          <w:trHeight w:val="331" w:hRule="exact"/>
          <w:cantSplit w:val="1"/>
        </w:trPr>
        <w:tc>
          <w:tcPr>
            <w:tcW w:w="3171" w:type="dxa"/>
            <w:gridSpan w:val="2"/>
            <w:vAlign w:val="top"/>
            <w:vMerge w:val="restart"/>
            <w:tcMar/>
            <w:tcBorders/>
          </w:tcPr>
          <w:p>
            <w:pPr>
              <w:autoSpaceDE w:val="0"/>
              <w:autoSpaceDN w:val="0"/>
              <w:jc w:val="left"/>
              <w:spacing w:before="306" w:after="0" w:lineRule="exact" w:line="188"/>
              <w:ind w:right="0" w:left="1351"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11" w:type="dxa"/>
            <w:gridSpan w:val="3"/>
            <w:vAlign w:val="top"/>
            <w:tcMar/>
            <w:tcBorders>
              <w:left w:val="single" w:sz="4" w:space="0" w:color="000000"/>
            </w:tcBorders>
          </w:tcPr>
          <w:p>
            <w:pPr>
              <w:autoSpaceDE w:val="0"/>
              <w:autoSpaceDN w:val="0"/>
              <w:jc w:val="left"/>
              <w:spacing w:before="61" w:after="0" w:lineRule="auto" w:line="240"/>
              <w:ind w:right="0" w:left="882" w:firstLine="0"/>
              <w:snapToGrid w:val="0"/>
              <w:textAlignment w:val="auto"/>
              <w:tabs>
                <w:tab w:val="left" w:leader="none" w:pos="1225"/>
              </w:tabs>
              <w:numPr>
                <w:ilvl w:val="0"/>
                <w:numId w:val="265"/>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10" w:type="dxa"/>
            <w:gridSpan w:val="3"/>
            <w:vAlign w:val="top"/>
            <w:tcMar/>
            <w:tcBorders>
              <w:left w:val="single" w:sz="4" w:space="0" w:color="000000"/>
              <w:right w:val="single" w:sz="8" w:space="0" w:color="000000"/>
            </w:tcBorders>
          </w:tcPr>
          <w:p>
            <w:pPr>
              <w:autoSpaceDE w:val="0"/>
              <w:autoSpaceDN w:val="0"/>
              <w:jc w:val="left"/>
              <w:spacing w:before="61" w:after="0" w:lineRule="auto" w:line="240"/>
              <w:ind w:right="0" w:left="881" w:firstLine="0"/>
              <w:snapToGrid w:val="0"/>
              <w:textAlignment w:val="auto"/>
              <w:tabs>
                <w:tab w:val="left" w:leader="none" w:pos="1225"/>
              </w:tabs>
              <w:numPr>
                <w:ilvl w:val="0"/>
                <w:numId w:val="265"/>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90" w:hRule="exact"/>
          <w:cantSplit w:val="1"/>
        </w:trPr>
        <w:tc>
          <w:tcPr>
            <w:tcW w:w="3171"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03"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04"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80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17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43"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Arial" w:hAnsi="Arial" w:cs="Arial" w:eastAsia="Arial" w:hint="ascii"/>
                <w:sz w:val="15"/>
              </w:rPr>
              <w:t>%</w:t>
            </w:r>
            <w:r>
              <w:rPr>
                <w:rFonts w:ascii="宋体" w:hAnsi="宋体" w:cs="宋体" w:eastAsia="宋体" w:hint="ascii"/>
                <w:sz w:val="15"/>
              </w:rPr>
              <w:t>）</w:t>
            </w:r>
          </w:p>
        </w:tc>
        <w:tc>
          <w:tcPr>
            <w:tcW w:w="803"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6"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03"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exact" w:line="188"/>
              <w:ind w:right="0" w:left="173"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4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Arial" w:hAnsi="Arial" w:cs="Arial" w:eastAsia="Arial" w:hint="ascii"/>
                <w:sz w:val="15"/>
              </w:rPr>
              <w:t>%</w:t>
            </w:r>
            <w:r>
              <w:rPr>
                <w:rFonts w:ascii="宋体" w:hAnsi="宋体" w:cs="宋体" w:eastAsia="宋体" w:hint="ascii"/>
                <w:sz w:val="15"/>
              </w:rPr>
              <w:t>）</w:t>
            </w:r>
          </w:p>
        </w:tc>
      </w:tr>
      <w:tr>
        <w:trPr>
          <w:trHeight w:val="328" w:hRule="exact"/>
          <w:cantSplit w:val="1"/>
        </w:trPr>
        <w:tc>
          <w:tcPr>
            <w:tcW w:w="678" w:type="dxa"/>
            <w:gridSpan w:val="1"/>
            <w:vAlign w:val="top"/>
            <w:tcMar/>
            <w:tcBorders>
              <w:top w:val="single" w:sz="4" w:space="0" w:color="000000"/>
            </w:tcBorders>
          </w:tcPr>
          <w:p>
            <w:pPr>
              <w:autoSpaceDE w:val="0"/>
              <w:autoSpaceDN w:val="0"/>
              <w:jc w:val="left"/>
              <w:spacing w:before="61" w:after="0" w:lineRule="exact" w:line="188"/>
              <w:ind w:right="0" w:left="180"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493" w:type="dxa"/>
            <w:gridSpan w:val="1"/>
            <w:vAlign w:val="top"/>
            <w:tcMar/>
            <w:tcBorders>
              <w:left w:val="single" w:sz="4" w:space="0" w:color="000000"/>
              <w:top w:val="single" w:sz="4" w:space="0" w:color="000000"/>
            </w:tcBorders>
          </w:tcPr>
          <w:p>
            <w:pPr>
              <w:autoSpaceDE w:val="0"/>
              <w:autoSpaceDN w:val="0"/>
              <w:jc w:val="left"/>
              <w:spacing w:before="61"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地理学（含土壤学和遥感）</w:t>
            </w:r>
          </w:p>
        </w:tc>
        <w:tc>
          <w:tcPr>
            <w:tcW w:w="803"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28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17</w:t>
            </w:r>
          </w:p>
        </w:tc>
        <w:tc>
          <w:tcPr>
            <w:tcW w:w="804"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4 523</w:t>
            </w:r>
          </w:p>
        </w:tc>
        <w:tc>
          <w:tcPr>
            <w:tcW w:w="804"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22.29</w:t>
            </w:r>
          </w:p>
        </w:tc>
        <w:tc>
          <w:tcPr>
            <w:tcW w:w="803"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2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18</w:t>
            </w:r>
          </w:p>
        </w:tc>
        <w:tc>
          <w:tcPr>
            <w:tcW w:w="803"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4 475</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9"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20.03</w:t>
            </w:r>
          </w:p>
        </w:tc>
      </w:tr>
      <w:tr>
        <w:trPr>
          <w:trHeight w:val="326" w:hRule="exact"/>
          <w:cantSplit w:val="1"/>
        </w:trPr>
        <w:tc>
          <w:tcPr>
            <w:tcW w:w="678" w:type="dxa"/>
            <w:gridSpan w:val="1"/>
            <w:vAlign w:val="top"/>
            <w:vMerge w:val="restart"/>
            <w:tcMar/>
            <w:tcBorders>
              <w:top w:val="single" w:sz="4" w:space="0" w:color="000000"/>
            </w:tcBorders>
          </w:tcPr>
          <w:p>
            <w:pPr>
              <w:autoSpaceDE w:val="0"/>
              <w:autoSpaceDN w:val="0"/>
              <w:jc w:val="left"/>
              <w:spacing w:before="224" w:after="0" w:lineRule="exact" w:line="188"/>
              <w:ind w:right="0" w:left="180"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493" w:type="dxa"/>
            <w:gridSpan w:val="1"/>
            <w:vAlign w:val="top"/>
            <w:tcMar/>
            <w:tcBorders>
              <w:left w:val="single" w:sz="4" w:space="0" w:color="000000"/>
              <w:top w:val="single" w:sz="4" w:space="0" w:color="000000"/>
            </w:tcBorders>
          </w:tcPr>
          <w:p>
            <w:pPr>
              <w:autoSpaceDE w:val="0"/>
              <w:autoSpaceDN w:val="0"/>
              <w:jc w:val="left"/>
              <w:spacing w:before="61" w:after="0" w:lineRule="exact" w:line="188"/>
              <w:ind w:right="0" w:left="1017" w:firstLine="0"/>
              <w:snapToGrid w:val="0"/>
              <w:textAlignment w:val="auto"/>
              <w:tabs/>
              <w:rPr>
                <w:rFonts w:ascii="宋体" w:hAnsi="宋体" w:cs="宋体" w:eastAsia="宋体" w:hint="ascii"/>
                <w:sz w:val="15"/>
              </w:rPr>
            </w:pPr>
            <w:r>
              <w:rPr>
                <w:rFonts w:ascii="宋体" w:hAnsi="宋体" w:cs="宋体" w:eastAsia="宋体" w:hint="ascii"/>
                <w:sz w:val="15"/>
              </w:rPr>
              <w:t>地质学</w:t>
            </w:r>
          </w:p>
        </w:tc>
        <w:tc>
          <w:tcPr>
            <w:tcW w:w="803"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p>
        </w:tc>
        <w:tc>
          <w:tcPr>
            <w:tcW w:w="804"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913</w:t>
            </w:r>
          </w:p>
        </w:tc>
        <w:tc>
          <w:tcPr>
            <w:tcW w:w="804"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22.64</w:t>
            </w:r>
          </w:p>
        </w:tc>
        <w:tc>
          <w:tcPr>
            <w:tcW w:w="803"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35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w:t>
            </w:r>
          </w:p>
        </w:tc>
        <w:tc>
          <w:tcPr>
            <w:tcW w:w="803"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881</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7"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19.83</w:t>
            </w:r>
          </w:p>
        </w:tc>
      </w:tr>
      <w:tr>
        <w:trPr>
          <w:trHeight w:val="328" w:hRule="exact"/>
          <w:cantSplit w:val="1"/>
        </w:trPr>
        <w:tc>
          <w:tcPr>
            <w:tcW w:w="678"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493" w:type="dxa"/>
            <w:gridSpan w:val="1"/>
            <w:vAlign w:val="top"/>
            <w:tcMar/>
            <w:tcBorders>
              <w:left w:val="single" w:sz="4" w:space="0" w:color="000000"/>
              <w:top w:val="single" w:sz="4" w:space="0" w:color="000000"/>
            </w:tcBorders>
          </w:tcPr>
          <w:p>
            <w:pPr>
              <w:autoSpaceDE w:val="0"/>
              <w:autoSpaceDN w:val="0"/>
              <w:jc w:val="left"/>
              <w:spacing w:before="61" w:after="0" w:lineRule="exact" w:line="188"/>
              <w:ind w:right="0" w:left="942" w:firstLine="0"/>
              <w:snapToGrid w:val="0"/>
              <w:textAlignment w:val="auto"/>
              <w:tabs/>
              <w:rPr>
                <w:rFonts w:ascii="宋体" w:hAnsi="宋体" w:cs="宋体" w:eastAsia="宋体" w:hint="ascii"/>
                <w:sz w:val="15"/>
              </w:rPr>
            </w:pPr>
            <w:r>
              <w:rPr>
                <w:rFonts w:ascii="宋体" w:hAnsi="宋体" w:cs="宋体" w:eastAsia="宋体" w:hint="ascii"/>
                <w:sz w:val="15"/>
              </w:rPr>
              <w:t>地球化学</w:t>
            </w:r>
          </w:p>
        </w:tc>
        <w:tc>
          <w:tcPr>
            <w:tcW w:w="803"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w:t>
            </w:r>
          </w:p>
        </w:tc>
        <w:tc>
          <w:tcPr>
            <w:tcW w:w="804"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603</w:t>
            </w:r>
          </w:p>
        </w:tc>
        <w:tc>
          <w:tcPr>
            <w:tcW w:w="804"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22.86</w:t>
            </w:r>
          </w:p>
        </w:tc>
        <w:tc>
          <w:tcPr>
            <w:tcW w:w="803"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35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w:t>
            </w:r>
          </w:p>
        </w:tc>
        <w:tc>
          <w:tcPr>
            <w:tcW w:w="803" w:type="dxa"/>
            <w:gridSpan w:val="1"/>
            <w:vAlign w:val="top"/>
            <w:tcMar/>
            <w:tcBorders>
              <w:left w:val="single" w:sz="4" w:space="0" w:color="000000"/>
              <w:top w:val="single" w:sz="4" w:space="0" w:color="000000"/>
            </w:tcBorders>
          </w:tcPr>
          <w:p>
            <w:pPr>
              <w:autoSpaceDE w:val="0"/>
              <w:autoSpaceDN w:val="0"/>
              <w:jc w:val="left"/>
              <w:spacing w:before="69"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737</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9"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20.62</w:t>
            </w:r>
          </w:p>
        </w:tc>
      </w:tr>
      <w:tr>
        <w:trPr>
          <w:trHeight w:val="326" w:hRule="exact"/>
          <w:cantSplit w:val="1"/>
        </w:trPr>
        <w:tc>
          <w:tcPr>
            <w:tcW w:w="678" w:type="dxa"/>
            <w:gridSpan w:val="1"/>
            <w:vAlign w:val="top"/>
            <w:tcMar/>
            <w:tcBorders>
              <w:top w:val="single" w:sz="4" w:space="0" w:color="000000"/>
            </w:tcBorders>
          </w:tcPr>
          <w:p>
            <w:pPr>
              <w:autoSpaceDE w:val="0"/>
              <w:autoSpaceDN w:val="0"/>
              <w:jc w:val="left"/>
              <w:spacing w:before="61" w:after="0" w:lineRule="exact" w:line="188"/>
              <w:ind w:right="0" w:left="180"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493" w:type="dxa"/>
            <w:gridSpan w:val="1"/>
            <w:vAlign w:val="top"/>
            <w:tcMar/>
            <w:tcBorders>
              <w:left w:val="single" w:sz="4" w:space="0" w:color="000000"/>
              <w:top w:val="single" w:sz="4" w:space="0" w:color="000000"/>
            </w:tcBorders>
          </w:tcPr>
          <w:p>
            <w:pPr>
              <w:autoSpaceDE w:val="0"/>
              <w:autoSpaceDN w:val="0"/>
              <w:jc w:val="left"/>
              <w:spacing w:before="61" w:after="0" w:lineRule="exact" w:line="188"/>
              <w:ind w:right="0" w:left="417" w:firstLine="0"/>
              <w:snapToGrid w:val="0"/>
              <w:textAlignment w:val="auto"/>
              <w:tabs/>
              <w:rPr>
                <w:rFonts w:ascii="宋体" w:hAnsi="宋体" w:cs="宋体" w:eastAsia="宋体" w:hint="ascii"/>
                <w:sz w:val="15"/>
              </w:rPr>
            </w:pPr>
            <w:r>
              <w:rPr>
                <w:rFonts w:ascii="宋体" w:hAnsi="宋体" w:cs="宋体" w:eastAsia="宋体" w:hint="ascii"/>
                <w:sz w:val="15"/>
              </w:rPr>
              <w:t>地球物理学和空间物理学</w:t>
            </w:r>
          </w:p>
        </w:tc>
        <w:tc>
          <w:tcPr>
            <w:tcW w:w="803"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43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04"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327</w:t>
            </w:r>
          </w:p>
        </w:tc>
        <w:tc>
          <w:tcPr>
            <w:tcW w:w="804"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21.05</w:t>
            </w:r>
          </w:p>
        </w:tc>
        <w:tc>
          <w:tcPr>
            <w:tcW w:w="803"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43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03" w:type="dxa"/>
            <w:gridSpan w:val="1"/>
            <w:vAlign w:val="top"/>
            <w:tcMar/>
            <w:tcBorders>
              <w:left w:val="single" w:sz="4" w:space="0" w:color="000000"/>
              <w:top w:val="single" w:sz="4" w:space="0" w:color="000000"/>
            </w:tcBorders>
          </w:tcPr>
          <w:p>
            <w:pPr>
              <w:autoSpaceDE w:val="0"/>
              <w:autoSpaceDN w:val="0"/>
              <w:jc w:val="left"/>
              <w:spacing w:before="67"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273</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7"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19.44</w:t>
            </w:r>
          </w:p>
        </w:tc>
      </w:tr>
      <w:tr>
        <w:trPr>
          <w:trHeight w:val="332" w:hRule="exact"/>
          <w:cantSplit w:val="1"/>
        </w:trPr>
        <w:tc>
          <w:tcPr>
            <w:tcW w:w="678" w:type="dxa"/>
            <w:gridSpan w:val="1"/>
            <w:vAlign w:val="top"/>
            <w:tcMar/>
            <w:tcBorders>
              <w:top w:val="single" w:sz="4" w:space="0" w:color="000000"/>
              <w:bottom w:val="single" w:sz="8" w:space="0" w:color="000000"/>
            </w:tcBorders>
          </w:tcPr>
          <w:p>
            <w:pPr>
              <w:autoSpaceDE w:val="0"/>
              <w:autoSpaceDN w:val="0"/>
              <w:jc w:val="left"/>
              <w:spacing w:before="61" w:after="0" w:lineRule="exact" w:line="188"/>
              <w:ind w:right="0" w:left="180"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49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61" w:after="0" w:lineRule="exact" w:line="188"/>
              <w:ind w:right="0" w:left="942" w:firstLine="0"/>
              <w:snapToGrid w:val="0"/>
              <w:textAlignment w:val="auto"/>
              <w:tabs/>
              <w:rPr>
                <w:rFonts w:ascii="宋体" w:hAnsi="宋体" w:cs="宋体" w:eastAsia="宋体" w:hint="ascii"/>
                <w:sz w:val="15"/>
              </w:rPr>
            </w:pPr>
            <w:r>
              <w:rPr>
                <w:rFonts w:ascii="宋体" w:hAnsi="宋体" w:cs="宋体" w:eastAsia="宋体" w:hint="ascii"/>
                <w:sz w:val="15"/>
              </w:rPr>
              <w:t>海洋科学</w:t>
            </w:r>
          </w:p>
        </w:tc>
        <w:tc>
          <w:tcPr>
            <w:tcW w:w="80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69" w:after="0" w:lineRule="auto" w:line="240"/>
              <w:ind w:right="0" w:left="43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0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69"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319</w:t>
            </w:r>
          </w:p>
        </w:tc>
        <w:tc>
          <w:tcPr>
            <w:tcW w:w="80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69"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21.62</w:t>
            </w:r>
          </w:p>
        </w:tc>
        <w:tc>
          <w:tcPr>
            <w:tcW w:w="80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69" w:after="0" w:lineRule="auto" w:line="240"/>
              <w:ind w:right="0" w:left="43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0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69"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258</w:t>
            </w:r>
          </w:p>
        </w:tc>
        <w:tc>
          <w:tcPr>
            <w:tcW w:w="804"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69"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20.59</w:t>
            </w:r>
          </w:p>
        </w:tc>
      </w:tr>
    </w:tbl>
    <w:p>
      <w:pPr>
        <w:autoSpaceDE w:val="0"/>
        <w:autoSpaceDN w:val="0"/>
        <w:jc w:val="left"/>
        <w:spacing w:before="44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地区科学基金项目</w:t>
      </w:r>
    </w:p>
    <w:p>
      <w:pPr>
        <w:autoSpaceDE w:val="0"/>
        <w:autoSpaceDN w:val="0"/>
        <w:jc w:val="left"/>
        <w:spacing w:before="327"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215" locked="0" layoutInCell="1" allowOverlap="1">
                <wp:simplePos x="0" y="0"/>
                <wp:positionH relativeFrom="page">
                  <wp:posOffset>938530</wp:posOffset>
                </wp:positionH>
                <wp:positionV relativeFrom="page">
                  <wp:posOffset>819150</wp:posOffset>
                </wp:positionV>
                <wp:extent cx="5076190" cy="0"/>
                <wp:wrapNone/>
                <wp:docPr id="1244" name="124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38080;width:399.70pt;" id="1244"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678"/>
        <w:gridCol w:w="2493"/>
        <w:gridCol w:w="803"/>
        <w:gridCol w:w="804"/>
        <w:gridCol w:w="804"/>
        <w:gridCol w:w="803"/>
        <w:gridCol w:w="803"/>
        <w:gridCol w:w="804"/>
      </w:tblGrid>
      <w:tr>
        <w:trPr>
          <w:trHeight w:val="299" w:hRule="exact"/>
          <w:cantSplit w:val="1"/>
        </w:trPr>
        <w:tc>
          <w:tcPr>
            <w:tcW w:w="3171" w:type="dxa"/>
            <w:gridSpan w:val="2"/>
            <w:vAlign w:val="top"/>
            <w:vMerge w:val="restart"/>
            <w:tcMar/>
            <w:tcBorders/>
          </w:tcPr>
          <w:p>
            <w:pPr>
              <w:autoSpaceDE w:val="0"/>
              <w:autoSpaceDN w:val="0"/>
              <w:jc w:val="left"/>
              <w:spacing w:before="289" w:after="0" w:lineRule="exact" w:line="188"/>
              <w:ind w:right="0" w:left="1351"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11" w:type="dxa"/>
            <w:gridSpan w:val="3"/>
            <w:vAlign w:val="top"/>
            <w:tcMar/>
            <w:tcBorders>
              <w:left w:val="single" w:sz="4" w:space="0" w:color="000000"/>
            </w:tcBorders>
          </w:tcPr>
          <w:p>
            <w:pPr>
              <w:autoSpaceDE w:val="0"/>
              <w:autoSpaceDN w:val="0"/>
              <w:jc w:val="left"/>
              <w:spacing w:before="45" w:after="0" w:lineRule="auto" w:line="240"/>
              <w:ind w:right="0" w:left="882" w:firstLine="0"/>
              <w:snapToGrid w:val="0"/>
              <w:textAlignment w:val="auto"/>
              <w:tabs>
                <w:tab w:val="left" w:leader="none" w:pos="1225"/>
              </w:tabs>
              <w:numPr>
                <w:ilvl w:val="0"/>
                <w:numId w:val="266"/>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10" w:type="dxa"/>
            <w:gridSpan w:val="3"/>
            <w:vAlign w:val="top"/>
            <w:tcMar/>
            <w:tcBorders>
              <w:left w:val="single" w:sz="4" w:space="0" w:color="000000"/>
              <w:right w:val="single" w:sz="8" w:space="0" w:color="000000"/>
            </w:tcBorders>
          </w:tcPr>
          <w:p>
            <w:pPr>
              <w:autoSpaceDE w:val="0"/>
              <w:autoSpaceDN w:val="0"/>
              <w:jc w:val="left"/>
              <w:spacing w:before="45" w:after="0" w:lineRule="auto" w:line="240"/>
              <w:ind w:right="0" w:left="881" w:firstLine="0"/>
              <w:snapToGrid w:val="0"/>
              <w:textAlignment w:val="auto"/>
              <w:tabs>
                <w:tab w:val="left" w:leader="none" w:pos="1225"/>
              </w:tabs>
              <w:numPr>
                <w:ilvl w:val="0"/>
                <w:numId w:val="266"/>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90" w:hRule="exact"/>
          <w:cantSplit w:val="1"/>
        </w:trPr>
        <w:tc>
          <w:tcPr>
            <w:tcW w:w="3171"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03"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04"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804"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17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43"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Arial" w:hAnsi="Arial" w:cs="Arial" w:eastAsia="Arial" w:hint="ascii"/>
                <w:sz w:val="15"/>
              </w:rPr>
              <w:t>%</w:t>
            </w:r>
            <w:r>
              <w:rPr>
                <w:rFonts w:ascii="宋体" w:hAnsi="宋体" w:cs="宋体" w:eastAsia="宋体" w:hint="ascii"/>
                <w:sz w:val="15"/>
              </w:rPr>
              <w:t>）</w:t>
            </w:r>
          </w:p>
        </w:tc>
        <w:tc>
          <w:tcPr>
            <w:tcW w:w="803"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6"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03"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资助金额</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exact" w:line="188"/>
              <w:ind w:right="0" w:left="173"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44"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Arial" w:hAnsi="Arial" w:cs="Arial" w:eastAsia="Arial" w:hint="ascii"/>
                <w:sz w:val="15"/>
              </w:rPr>
              <w:t>%</w:t>
            </w:r>
            <w:r>
              <w:rPr>
                <w:rFonts w:ascii="宋体" w:hAnsi="宋体" w:cs="宋体" w:eastAsia="宋体" w:hint="ascii"/>
                <w:sz w:val="15"/>
              </w:rPr>
              <w:t>）</w:t>
            </w:r>
          </w:p>
        </w:tc>
      </w:tr>
      <w:tr>
        <w:trPr>
          <w:trHeight w:val="294" w:hRule="exact"/>
          <w:cantSplit w:val="1"/>
        </w:trPr>
        <w:tc>
          <w:tcPr>
            <w:tcW w:w="678" w:type="dxa"/>
            <w:gridSpan w:val="1"/>
            <w:vAlign w:val="top"/>
            <w:tcMar/>
            <w:tcBorders>
              <w:top w:val="single" w:sz="4" w:space="0" w:color="000000"/>
            </w:tcBorders>
          </w:tcPr>
          <w:p>
            <w:pPr>
              <w:autoSpaceDE w:val="0"/>
              <w:autoSpaceDN w:val="0"/>
              <w:jc w:val="left"/>
              <w:spacing w:before="45" w:after="0" w:lineRule="exact" w:line="188"/>
              <w:ind w:right="0" w:left="180"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249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942" w:firstLine="0"/>
              <w:snapToGrid w:val="0"/>
              <w:textAlignment w:val="auto"/>
              <w:tabs/>
              <w:rPr>
                <w:rFonts w:ascii="宋体" w:hAnsi="宋体" w:cs="宋体" w:eastAsia="宋体" w:hint="ascii"/>
                <w:sz w:val="15"/>
              </w:rPr>
            </w:pPr>
            <w:r>
              <w:rPr>
                <w:rFonts w:ascii="宋体" w:hAnsi="宋体" w:cs="宋体" w:eastAsia="宋体" w:hint="ascii"/>
                <w:sz w:val="15"/>
              </w:rPr>
              <w:t>大气科学</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0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405</w:t>
            </w:r>
          </w:p>
        </w:tc>
        <w:tc>
          <w:tcPr>
            <w:tcW w:w="80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21.28</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5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456</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r>
      <w:tr>
        <w:trPr>
          <w:trHeight w:val="295" w:hRule="exact"/>
          <w:cantSplit w:val="1"/>
        </w:trPr>
        <w:tc>
          <w:tcPr>
            <w:tcW w:w="3171" w:type="dxa"/>
            <w:gridSpan w:val="2"/>
            <w:vAlign w:val="top"/>
            <w:tcMar/>
            <w:tcBorders>
              <w:top w:val="single" w:sz="4" w:space="0" w:color="000000"/>
            </w:tcBorders>
          </w:tcPr>
          <w:p>
            <w:pPr>
              <w:autoSpaceDE w:val="0"/>
              <w:autoSpaceDN w:val="0"/>
              <w:jc w:val="left"/>
              <w:spacing w:before="45" w:after="0" w:lineRule="exact" w:line="188"/>
              <w:ind w:right="0" w:left="1126"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183</w:t>
            </w:r>
          </w:p>
        </w:tc>
        <w:tc>
          <w:tcPr>
            <w:tcW w:w="80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7 090</w:t>
            </w:r>
          </w:p>
        </w:tc>
        <w:tc>
          <w:tcPr>
            <w:tcW w:w="80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2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22.24</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187</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7 080</w:t>
            </w:r>
          </w:p>
        </w:tc>
        <w:tc>
          <w:tcPr>
            <w:tcW w:w="804"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2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20.06</w:t>
            </w:r>
          </w:p>
        </w:tc>
      </w:tr>
      <w:tr>
        <w:trPr>
          <w:trHeight w:val="300" w:hRule="exact"/>
          <w:cantSplit w:val="1"/>
        </w:trPr>
        <w:tc>
          <w:tcPr>
            <w:tcW w:w="3171" w:type="dxa"/>
            <w:gridSpan w:val="2"/>
            <w:vAlign w:val="top"/>
            <w:tcMar/>
            <w:tcBorders>
              <w:top w:val="single" w:sz="4" w:space="0" w:color="000000"/>
              <w:bottom w:val="single" w:sz="8" w:space="0" w:color="000000"/>
            </w:tcBorders>
          </w:tcPr>
          <w:p>
            <w:pPr>
              <w:autoSpaceDE w:val="0"/>
              <w:autoSpaceDN w:val="0"/>
              <w:jc w:val="left"/>
              <w:spacing w:before="45" w:after="0" w:lineRule="exact" w:line="188"/>
              <w:ind w:right="0" w:left="430"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Arial" w:hAnsi="Arial" w:cs="Arial" w:eastAsia="Arial" w:hint="ascii"/>
                <w:sz w:val="15"/>
              </w:rPr>
              <w:t>/</w:t>
            </w:r>
            <w:r>
              <w:rPr>
                <w:rFonts w:ascii="宋体" w:hAnsi="宋体" w:cs="宋体" w:eastAsia="宋体" w:hint="ascii"/>
                <w:sz w:val="15"/>
              </w:rPr>
              <w:t>项）</w:t>
            </w:r>
          </w:p>
        </w:tc>
        <w:tc>
          <w:tcPr>
            <w:tcW w:w="2411"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103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38.74</w:t>
            </w:r>
          </w:p>
        </w:tc>
        <w:tc>
          <w:tcPr>
            <w:tcW w:w="2410"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52" w:after="0" w:lineRule="auto" w:line="240"/>
              <w:ind w:right="0" w:left="10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37.86</w:t>
            </w:r>
          </w:p>
        </w:tc>
      </w:tr>
    </w:tbl>
    <w:p>
      <w:pPr>
        <w:autoSpaceDE w:val="0"/>
        <w:autoSpaceDN w:val="0"/>
        <w:jc w:val="left"/>
        <w:spacing w:before="73" w:after="0" w:lineRule="exact" w:line="188"/>
        <w:ind w:right="0" w:left="1266" w:firstLine="0"/>
        <w:snapToGrid w:val="0"/>
        <w:textAlignment w:val="auto"/>
        <w:tabs/>
        <w:rPr>
          <w:rFonts w:ascii="宋体" w:hAnsi="宋体" w:cs="宋体" w:eastAsia="宋体" w:hint="ascii"/>
          <w:sz w:val="15"/>
        </w:rPr>
      </w:pPr>
      <w:r>
        <w:rPr>
          <w:rFonts w:ascii="宋体" w:hAnsi="宋体" w:cs="宋体" w:eastAsia="宋体" w:hint="ascii"/>
          <w:sz w:val="15"/>
        </w:rPr>
        <w:t>注：此表</w:t>
      </w:r>
      <w:r>
        <w:rPr>
          <w:rFonts w:ascii="宋体" w:hAnsi="宋体" w:cs="宋体" w:eastAsia="宋体" w:hint="ascii"/>
          <w:sz w:val="15"/>
          <w:spacing w:val="19"/>
        </w:rPr>
        <w:t>按</w:t>
      </w:r>
      <w:r>
        <w:rPr>
          <w:rFonts w:ascii="Times New Roman" w:hAnsi="Times New Roman" w:cs="Times New Roman" w:eastAsia="Times New Roman" w:hint="ascii"/>
          <w:sz w:val="15"/>
        </w:rPr>
        <w:t>201</w:t>
      </w:r>
      <w:r>
        <w:rPr>
          <w:rFonts w:ascii="Times New Roman" w:hAnsi="Times New Roman" w:cs="Times New Roman" w:eastAsia="Times New Roman" w:hint="ascii"/>
          <w:sz w:val="15"/>
          <w:spacing w:val="37"/>
        </w:rPr>
        <w:t>7</w:t>
      </w:r>
      <w:r>
        <w:rPr>
          <w:rFonts w:ascii="宋体" w:hAnsi="宋体" w:cs="宋体" w:eastAsia="宋体" w:hint="ascii"/>
          <w:sz w:val="15"/>
        </w:rPr>
        <w:t>年之前科学处设置统计</w:t>
      </w:r>
    </w:p>
    <w:p>
      <w:pPr>
        <w:autoSpaceDE w:val="0"/>
        <w:autoSpaceDN w:val="0"/>
        <w:jc w:val="left"/>
        <w:spacing w:before="157" w:after="0" w:lineRule="exact" w:line="475"/>
        <w:ind w:right="0" w:left="3436" w:firstLine="0"/>
        <w:snapToGrid w:val="0"/>
        <w:textAlignment w:val="auto"/>
        <w:tabs/>
        <w:rPr>
          <w:rFonts w:ascii="宋体" w:hAnsi="宋体" w:cs="宋体" w:eastAsia="宋体" w:hint="ascii"/>
          <w:sz w:val="38"/>
        </w:rPr>
      </w:pPr>
      <w:r>
        <w:rPr>
          <w:rFonts w:ascii="宋体" w:hAnsi="宋体" w:cs="宋体" w:eastAsia="宋体" w:hint="ascii"/>
          <w:sz w:val="38"/>
        </w:rPr>
        <w:t>工程与材料科学部</w:t>
      </w:r>
    </w:p>
    <w:p>
      <w:pPr>
        <w:autoSpaceDE w:val="0"/>
        <w:autoSpaceDN w:val="0"/>
        <w:jc w:val="left"/>
        <w:spacing w:before="248" w:after="0" w:lineRule="exact" w:line="300"/>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工程与材料科学部按照地区科学基</w:t>
      </w:r>
      <w:r>
        <w:rPr>
          <w:rFonts w:ascii="宋体" w:hAnsi="宋体" w:cs="宋体" w:eastAsia="宋体" w:hint="ascii"/>
          <w:sz w:val="21"/>
          <w:spacing w:val="-1"/>
        </w:rPr>
        <w:t>金项目的定位，稳定支持和培育地区基础研究人</w:t>
      </w:r>
      <w:r>
        <w:rPr>
          <w:rFonts w:ascii="宋体" w:hAnsi="宋体" w:cs="宋体" w:eastAsia="宋体" w:hint="ascii"/>
          <w:sz w:val="21"/>
        </w:rPr>
        <w:t xml:space="preserve"> 才，鼓励申请人结合当地资源和经济发展特点开展基础研究，做出可为当地全面发展提供科学和技术支持的特色工作。</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31"/>
        </w:rPr>
        <w:t>7</w:t>
      </w:r>
      <w:r>
        <w:rPr>
          <w:rFonts w:ascii="宋体" w:hAnsi="宋体" w:cs="宋体" w:eastAsia="宋体" w:hint="ascii"/>
          <w:sz w:val="21"/>
        </w:rPr>
        <w:t>年度接收地区科学基金项目申</w:t>
      </w:r>
      <w:r>
        <w:rPr>
          <w:rFonts w:ascii="宋体" w:hAnsi="宋体" w:cs="宋体" w:eastAsia="宋体" w:hint="ascii"/>
          <w:sz w:val="21"/>
          <w:spacing w:val="15"/>
        </w:rPr>
        <w:t>请</w:t>
      </w:r>
      <w:r>
        <w:rPr>
          <w:rFonts w:ascii="Times New Roman" w:hAnsi="Times New Roman" w:cs="Times New Roman" w:eastAsia="Times New Roman" w:hint="ascii"/>
          <w:sz w:val="21"/>
        </w:rPr>
        <w:t>2 07</w:t>
      </w:r>
      <w:r>
        <w:rPr>
          <w:rFonts w:ascii="Times New Roman" w:hAnsi="Times New Roman" w:cs="Times New Roman" w:eastAsia="Times New Roman" w:hint="ascii"/>
          <w:sz w:val="21"/>
          <w:spacing w:val="29"/>
        </w:rPr>
        <w:t>8</w:t>
      </w:r>
      <w:r>
        <w:rPr>
          <w:rFonts w:ascii="宋体" w:hAnsi="宋体" w:cs="宋体" w:eastAsia="宋体" w:hint="ascii"/>
          <w:sz w:val="21"/>
        </w:rPr>
        <w:t>项（不予受</w:t>
      </w:r>
      <w:r>
        <w:rPr>
          <w:rFonts w:ascii="宋体" w:hAnsi="宋体" w:cs="宋体" w:eastAsia="宋体" w:hint="ascii"/>
          <w:sz w:val="21"/>
          <w:spacing w:val="17"/>
        </w:rPr>
        <w:t>理</w:t>
      </w:r>
      <w:r>
        <w:rPr>
          <w:rFonts w:ascii="Times New Roman" w:hAnsi="Times New Roman" w:cs="Times New Roman" w:eastAsia="Times New Roman" w:hint="ascii"/>
          <w:sz w:val="21"/>
        </w:rPr>
        <w:t>69</w:t>
      </w:r>
      <w:r>
        <w:rPr>
          <w:rFonts w:ascii="Times New Roman" w:hAnsi="Times New Roman" w:cs="Times New Roman" w:eastAsia="Times New Roman" w:hint="ascii"/>
          <w:sz w:val="21"/>
          <w:spacing w:val="-25"/>
        </w:rPr>
        <w:t xml:space="preserve"> </w:t>
      </w:r>
      <w:r>
        <w:rPr>
          <w:rFonts w:ascii="宋体" w:hAnsi="宋体" w:cs="宋体" w:eastAsia="宋体" w:hint="ascii"/>
          <w:sz w:val="21"/>
        </w:rPr>
        <w:t>项</w:t>
      </w:r>
      <w:r>
        <w:rPr>
          <w:rFonts w:ascii="宋体" w:hAnsi="宋体" w:cs="宋体" w:eastAsia="宋体" w:hint="ascii"/>
          <w:sz w:val="21"/>
          <w:spacing w:val="-50"/>
        </w:rPr>
        <w:t>）</w:t>
      </w:r>
      <w:r>
        <w:rPr>
          <w:rFonts w:ascii="宋体" w:hAnsi="宋体" w:cs="宋体" w:eastAsia="宋体" w:hint="ascii"/>
          <w:sz w:val="21"/>
        </w:rPr>
        <w:t>，增幅</w:t>
      </w:r>
      <w:r>
        <w:rPr>
          <w:rFonts w:ascii="宋体" w:hAnsi="宋体" w:cs="宋体" w:eastAsia="宋体" w:hint="ascii"/>
          <w:sz w:val="21"/>
          <w:spacing w:val="17"/>
        </w:rPr>
        <w:t>为</w:t>
      </w:r>
      <w:r>
        <w:rPr>
          <w:rFonts w:ascii="Times New Roman" w:hAnsi="Times New Roman" w:cs="Times New Roman" w:eastAsia="Times New Roman" w:hint="ascii"/>
          <w:sz w:val="21"/>
        </w:rPr>
        <w:t>6.73%</w:t>
      </w:r>
      <w:r>
        <w:rPr>
          <w:rFonts w:ascii="宋体" w:hAnsi="宋体" w:cs="宋体" w:eastAsia="宋体" w:hint="ascii"/>
          <w:sz w:val="21"/>
        </w:rPr>
        <w:t>；资</w:t>
      </w:r>
      <w:r>
        <w:rPr>
          <w:rFonts w:ascii="宋体" w:hAnsi="宋体" w:cs="宋体" w:eastAsia="宋体" w:hint="ascii"/>
          <w:sz w:val="21"/>
          <w:spacing w:val="17"/>
        </w:rPr>
        <w:t>助</w:t>
      </w:r>
      <w:r>
        <w:rPr>
          <w:rFonts w:ascii="Times New Roman" w:hAnsi="Times New Roman" w:cs="Times New Roman" w:eastAsia="Times New Roman" w:hint="ascii"/>
          <w:sz w:val="21"/>
        </w:rPr>
        <w:t>37</w:t>
      </w:r>
      <w:r>
        <w:rPr>
          <w:rFonts w:ascii="Times New Roman" w:hAnsi="Times New Roman" w:cs="Times New Roman" w:eastAsia="Times New Roman" w:hint="ascii"/>
          <w:sz w:val="21"/>
          <w:spacing w:val="33"/>
        </w:rPr>
        <w:t>2</w:t>
      </w:r>
      <w:r>
        <w:rPr>
          <w:rFonts w:ascii="宋体" w:hAnsi="宋体" w:cs="宋体" w:eastAsia="宋体" w:hint="ascii"/>
          <w:sz w:val="21"/>
        </w:rPr>
        <w:t>项，直接费</w:t>
      </w:r>
      <w:r>
        <w:rPr>
          <w:rFonts w:ascii="宋体" w:hAnsi="宋体" w:cs="宋体" w:eastAsia="宋体" w:hint="ascii"/>
          <w:sz w:val="21"/>
          <w:spacing w:val="17"/>
        </w:rPr>
        <w:t>用</w:t>
      </w:r>
      <w:r>
        <w:rPr>
          <w:rFonts w:ascii="Times New Roman" w:hAnsi="Times New Roman" w:cs="Times New Roman" w:eastAsia="Times New Roman" w:hint="ascii"/>
          <w:sz w:val="21"/>
        </w:rPr>
        <w:t>14 14</w:t>
      </w:r>
      <w:r>
        <w:rPr>
          <w:rFonts w:ascii="Times New Roman" w:hAnsi="Times New Roman" w:cs="Times New Roman" w:eastAsia="Times New Roman" w:hint="ascii"/>
          <w:sz w:val="21"/>
          <w:spacing w:val="33"/>
        </w:rPr>
        <w:t>0</w:t>
      </w:r>
      <w:r>
        <w:rPr>
          <w:rFonts w:ascii="宋体" w:hAnsi="宋体" w:cs="宋体" w:eastAsia="宋体" w:hint="ascii"/>
          <w:sz w:val="21"/>
        </w:rPr>
        <w:t>万元，直接费用平均资助强度</w:t>
      </w:r>
      <w:r>
        <w:rPr>
          <w:rFonts w:ascii="宋体" w:hAnsi="宋体" w:cs="宋体" w:eastAsia="宋体" w:hint="ascii"/>
          <w:sz w:val="21"/>
          <w:spacing w:val="13"/>
        </w:rPr>
        <w:t>为</w:t>
      </w:r>
      <w:r>
        <w:rPr>
          <w:rFonts w:ascii="Times New Roman" w:hAnsi="Times New Roman" w:cs="Times New Roman" w:eastAsia="Times New Roman" w:hint="ascii"/>
          <w:sz w:val="21"/>
        </w:rPr>
        <w:t>38.0</w:t>
      </w:r>
      <w:r>
        <w:rPr>
          <w:rFonts w:ascii="Times New Roman" w:hAnsi="Times New Roman" w:cs="Times New Roman" w:eastAsia="Times New Roman" w:hint="ascii"/>
          <w:sz w:val="21"/>
          <w:spacing w:val="25"/>
        </w:rPr>
        <w:t>1</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13"/>
        </w:rPr>
        <w:t>为</w:t>
      </w:r>
      <w:r>
        <w:rPr>
          <w:rFonts w:ascii="Times New Roman" w:hAnsi="Times New Roman" w:cs="Times New Roman" w:eastAsia="Times New Roman" w:hint="ascii"/>
          <w:sz w:val="21"/>
        </w:rPr>
        <w:t>17.90%</w:t>
      </w:r>
      <w:r>
        <w:rPr>
          <w:rFonts w:ascii="宋体" w:hAnsi="宋体" w:cs="宋体" w:eastAsia="宋体" w:hint="ascii"/>
          <w:sz w:val="21"/>
        </w:rPr>
        <w:t>（</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6"/>
        </w:rPr>
        <w:t>6</w:t>
      </w:r>
      <w:r>
        <w:rPr>
          <w:rFonts w:ascii="宋体" w:hAnsi="宋体" w:cs="宋体" w:eastAsia="宋体" w:hint="ascii"/>
          <w:sz w:val="21"/>
        </w:rPr>
        <w:t>年度</w:t>
      </w:r>
      <w:r>
        <w:rPr>
          <w:rFonts w:ascii="宋体" w:hAnsi="宋体" w:cs="宋体" w:eastAsia="宋体" w:hint="ascii"/>
          <w:sz w:val="21"/>
          <w:spacing w:val="14"/>
        </w:rPr>
        <w:t>为</w:t>
      </w:r>
      <w:r>
        <w:rPr>
          <w:rFonts w:ascii="Times New Roman" w:hAnsi="Times New Roman" w:cs="Times New Roman" w:eastAsia="Times New Roman" w:hint="ascii"/>
          <w:sz w:val="21"/>
        </w:rPr>
        <w:t>17.51%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有关科学部的总体指导原则和申请注意事项，请参看本《指南》本科学部和相关科</w:t>
      </w:r>
    </w:p>
    <w:p>
      <w:pPr>
        <w:autoSpaceDE w:val="0"/>
        <w:autoSpaceDN w:val="0"/>
        <w:jc w:val="left"/>
        <w:spacing w:before="3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学处面上项目部分。</w:t>
      </w:r>
    </w:p>
    <w:p>
      <w:pPr>
        <w:autoSpaceDE w:val="0"/>
        <w:autoSpaceDN w:val="0"/>
        <w:jc w:val="left"/>
        <w:spacing w:before="330" w:after="0" w:lineRule="exact" w:line="225"/>
        <w:ind w:right="0" w:left="2623" w:firstLine="0"/>
        <w:snapToGrid w:val="0"/>
        <w:textAlignment w:val="auto"/>
        <w:tabs/>
        <w:rPr>
          <w:rFonts w:ascii="宋体" w:hAnsi="宋体" w:cs="宋体" w:eastAsia="宋体" w:hint="ascii"/>
          <w:sz w:val="18"/>
        </w:rPr>
      </w:pPr>
      <w:r>
        <w:rPr>
          <w:rFonts w:ascii="宋体" w:hAnsi="宋体" w:cs="宋体" w:eastAsia="宋体" w:hint="ascii"/>
          <w:sz w:val="18"/>
        </w:rPr>
        <w:t>工程与材料科学部地区科学基金项目近两年资助情况一览表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133"/>
        <w:gridCol w:w="1927"/>
        <w:gridCol w:w="822"/>
        <w:gridCol w:w="822"/>
        <w:gridCol w:w="822"/>
        <w:gridCol w:w="822"/>
        <w:gridCol w:w="822"/>
        <w:gridCol w:w="822"/>
      </w:tblGrid>
      <w:tr>
        <w:trPr>
          <w:trHeight w:val="324" w:hRule="exact"/>
          <w:cantSplit w:val="1"/>
        </w:trPr>
        <w:tc>
          <w:tcPr>
            <w:tcW w:w="3060" w:type="dxa"/>
            <w:gridSpan w:val="2"/>
            <w:vAlign w:val="top"/>
            <w:vMerge w:val="restart"/>
            <w:tcMar/>
            <w:tcBorders/>
          </w:tcPr>
          <w:p>
            <w:pPr>
              <w:autoSpaceDE w:val="0"/>
              <w:autoSpaceDN w:val="0"/>
              <w:jc w:val="left"/>
              <w:spacing w:before="314" w:after="0" w:lineRule="exact" w:line="188"/>
              <w:ind w:right="0" w:left="129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66" w:type="dxa"/>
            <w:gridSpan w:val="3"/>
            <w:vAlign w:val="top"/>
            <w:tcMar/>
            <w:tcBorders>
              <w:left w:val="single" w:sz="4" w:space="0" w:color="000000"/>
            </w:tcBorders>
          </w:tcPr>
          <w:p>
            <w:pPr>
              <w:autoSpaceDE w:val="0"/>
              <w:autoSpaceDN w:val="0"/>
              <w:jc w:val="left"/>
              <w:spacing w:before="57" w:after="0" w:lineRule="auto" w:line="240"/>
              <w:ind w:right="0" w:left="919"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201</w:t>
            </w:r>
            <w:r>
              <w:rPr>
                <w:rFonts w:ascii="Times New Roman" w:hAnsi="Times New Roman" w:cs="Times New Roman" w:eastAsia="Times New Roman" w:hint="ascii"/>
                <w:sz w:val="15"/>
                <w:spacing w:val="20"/>
              </w:rPr>
              <w:t>6</w:t>
            </w:r>
            <w:r>
              <w:rPr>
                <w:rFonts w:ascii="宋体" w:hAnsi="宋体" w:cs="宋体" w:eastAsia="宋体" w:hint="ascii"/>
                <w:sz w:val="15"/>
              </w:rPr>
              <w:t>年度</w:t>
            </w:r>
          </w:p>
        </w:tc>
        <w:tc>
          <w:tcPr>
            <w:tcW w:w="2466" w:type="dxa"/>
            <w:gridSpan w:val="3"/>
            <w:vAlign w:val="top"/>
            <w:tcMar/>
            <w:tcBorders>
              <w:left w:val="single" w:sz="4" w:space="0" w:color="000000"/>
              <w:right w:val="single" w:sz="8" w:space="0" w:color="000000"/>
            </w:tcBorders>
          </w:tcPr>
          <w:p>
            <w:pPr>
              <w:autoSpaceDE w:val="0"/>
              <w:autoSpaceDN w:val="0"/>
              <w:jc w:val="left"/>
              <w:spacing w:before="57" w:after="0" w:lineRule="auto" w:line="240"/>
              <w:ind w:right="0" w:left="909" w:firstLine="0"/>
              <w:snapToGrid w:val="0"/>
              <w:textAlignment w:val="auto"/>
              <w:tabs/>
              <w:rPr>
                <w:rFonts w:ascii="宋体" w:hAnsi="宋体" w:cs="宋体" w:eastAsia="宋体" w:hint="ascii"/>
                <w:sz w:val="15"/>
              </w:rPr>
            </w:pPr>
            <w:r>
              <w:rPr>
                <w:rFonts w:ascii="Times New Roman" w:hAnsi="Times New Roman" w:cs="Times New Roman" w:eastAsia="Times New Roman" w:hint="ascii"/>
                <w:sz w:val="15"/>
              </w:rPr>
              <w:t>201</w:t>
            </w:r>
            <w:r>
              <w:rPr>
                <w:rFonts w:ascii="Times New Roman" w:hAnsi="Times New Roman" w:cs="Times New Roman" w:eastAsia="Times New Roman" w:hint="ascii"/>
                <w:sz w:val="15"/>
                <w:spacing w:val="38"/>
              </w:rPr>
              <w:t>7</w:t>
            </w:r>
            <w:r>
              <w:rPr>
                <w:rFonts w:ascii="宋体" w:hAnsi="宋体" w:cs="宋体" w:eastAsia="宋体" w:hint="ascii"/>
                <w:sz w:val="15"/>
              </w:rPr>
              <w:t>年度</w:t>
            </w:r>
          </w:p>
        </w:tc>
      </w:tr>
      <w:tr>
        <w:trPr>
          <w:trHeight w:val="512" w:hRule="exact"/>
          <w:cantSplit w:val="1"/>
        </w:trPr>
        <w:tc>
          <w:tcPr>
            <w:tcW w:w="306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15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5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tcBorders>
          </w:tcPr>
          <w:p>
            <w:pPr>
              <w:autoSpaceDE w:val="0"/>
              <w:autoSpaceDN w:val="0"/>
              <w:jc w:val="left"/>
              <w:spacing w:before="56"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8"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22" w:type="dxa"/>
            <w:gridSpan w:val="1"/>
            <w:vAlign w:val="top"/>
            <w:tcMar/>
            <w:tcBorders>
              <w:left w:val="single" w:sz="4" w:space="0" w:color="000000"/>
              <w:top w:val="single" w:sz="4" w:space="0" w:color="000000"/>
            </w:tcBorders>
          </w:tcPr>
          <w:p>
            <w:pPr>
              <w:autoSpaceDE w:val="0"/>
              <w:autoSpaceDN w:val="0"/>
              <w:jc w:val="left"/>
              <w:spacing w:before="15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5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6"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8"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319" w:hRule="exact"/>
          <w:cantSplit w:val="1"/>
        </w:trPr>
        <w:tc>
          <w:tcPr>
            <w:tcW w:w="1133" w:type="dxa"/>
            <w:gridSpan w:val="1"/>
            <w:vAlign w:val="top"/>
            <w:vMerge w:val="restart"/>
            <w:tcMar/>
            <w:tcBorders>
              <w:top w:val="single" w:sz="4" w:space="0" w:color="000000"/>
            </w:tcBorders>
          </w:tcPr>
          <w:p>
            <w:pPr>
              <w:autoSpaceDE w:val="0"/>
              <w:autoSpaceDN w:val="0"/>
              <w:jc w:val="left"/>
              <w:spacing w:before="217" w:after="0" w:lineRule="exact" w:line="188"/>
              <w:ind w:right="0" w:left="106" w:firstLine="0"/>
              <w:snapToGrid w:val="0"/>
              <w:textAlignment w:val="auto"/>
              <w:tabs/>
              <w:rPr>
                <w:rFonts w:ascii="宋体" w:hAnsi="宋体" w:cs="宋体" w:eastAsia="宋体" w:hint="ascii"/>
                <w:sz w:val="15"/>
              </w:rPr>
            </w:pPr>
            <w:r>
              <w:rPr>
                <w:rFonts w:ascii="宋体" w:hAnsi="宋体" w:cs="宋体" w:eastAsia="宋体" w:hint="ascii"/>
                <w:sz w:val="15"/>
              </w:rPr>
              <w:t>材料科学一处</w:t>
            </w: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659" w:firstLine="0"/>
              <w:snapToGrid w:val="0"/>
              <w:textAlignment w:val="auto"/>
              <w:tabs/>
              <w:rPr>
                <w:rFonts w:ascii="宋体" w:hAnsi="宋体" w:cs="宋体" w:eastAsia="宋体" w:hint="ascii"/>
                <w:sz w:val="15"/>
              </w:rPr>
            </w:pPr>
            <w:r>
              <w:rPr>
                <w:rFonts w:ascii="宋体" w:hAnsi="宋体" w:cs="宋体" w:eastAsia="宋体" w:hint="ascii"/>
                <w:sz w:val="15"/>
              </w:rPr>
              <w:t>金属材料</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1 324</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17.55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1 415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17.29</w:t>
            </w:r>
          </w:p>
        </w:tc>
      </w:tr>
      <w:tr>
        <w:trPr>
          <w:trHeight w:val="318" w:hRule="exact"/>
          <w:cantSplit w:val="1"/>
        </w:trPr>
        <w:tc>
          <w:tcPr>
            <w:tcW w:w="113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27" w:type="dxa"/>
            <w:gridSpan w:val="1"/>
            <w:vAlign w:val="top"/>
            <w:tcMar/>
            <w:tcBorders>
              <w:left w:val="single" w:sz="4" w:space="0" w:color="000000"/>
              <w:top w:val="single" w:sz="4" w:space="0" w:color="000000"/>
            </w:tcBorders>
          </w:tcPr>
          <w:p>
            <w:pPr>
              <w:autoSpaceDE w:val="0"/>
              <w:autoSpaceDN w:val="0"/>
              <w:jc w:val="left"/>
              <w:spacing w:before="56" w:after="0" w:lineRule="exact" w:line="188"/>
              <w:ind w:right="0" w:left="434" w:firstLine="0"/>
              <w:snapToGrid w:val="0"/>
              <w:textAlignment w:val="auto"/>
              <w:tabs/>
              <w:rPr>
                <w:rFonts w:ascii="宋体" w:hAnsi="宋体" w:cs="宋体" w:eastAsia="宋体" w:hint="ascii"/>
                <w:sz w:val="15"/>
              </w:rPr>
            </w:pPr>
            <w:r>
              <w:rPr>
                <w:rFonts w:ascii="宋体" w:hAnsi="宋体" w:cs="宋体" w:eastAsia="宋体" w:hint="ascii"/>
                <w:sz w:val="15"/>
              </w:rPr>
              <w:t>有机高分子材料</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895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17.32</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907</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18.46</w:t>
            </w:r>
          </w:p>
        </w:tc>
      </w:tr>
      <w:tr>
        <w:trPr>
          <w:trHeight w:val="318" w:hRule="exact"/>
          <w:cantSplit w:val="1"/>
        </w:trPr>
        <w:tc>
          <w:tcPr>
            <w:tcW w:w="1133" w:type="dxa"/>
            <w:gridSpan w:val="1"/>
            <w:vAlign w:val="top"/>
            <w:tcMar/>
            <w:tcBorders>
              <w:top w:val="single" w:sz="4" w:space="0" w:color="000000"/>
            </w:tcBorders>
          </w:tcPr>
          <w:p>
            <w:pPr>
              <w:autoSpaceDE w:val="0"/>
              <w:autoSpaceDN w:val="0"/>
              <w:jc w:val="left"/>
              <w:spacing w:before="57" w:after="0" w:lineRule="exact" w:line="188"/>
              <w:ind w:right="0" w:left="106" w:firstLine="0"/>
              <w:snapToGrid w:val="0"/>
              <w:textAlignment w:val="auto"/>
              <w:tabs/>
              <w:rPr>
                <w:rFonts w:ascii="宋体" w:hAnsi="宋体" w:cs="宋体" w:eastAsia="宋体" w:hint="ascii"/>
                <w:sz w:val="15"/>
              </w:rPr>
            </w:pPr>
            <w:r>
              <w:rPr>
                <w:rFonts w:ascii="宋体" w:hAnsi="宋体" w:cs="宋体" w:eastAsia="宋体" w:hint="ascii"/>
                <w:sz w:val="15"/>
              </w:rPr>
              <w:t>材料科学二处</w:t>
            </w: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434" w:firstLine="0"/>
              <w:snapToGrid w:val="0"/>
              <w:textAlignment w:val="auto"/>
              <w:tabs/>
              <w:rPr>
                <w:rFonts w:ascii="宋体" w:hAnsi="宋体" w:cs="宋体" w:eastAsia="宋体" w:hint="ascii"/>
                <w:sz w:val="15"/>
              </w:rPr>
            </w:pPr>
            <w:r>
              <w:rPr>
                <w:rFonts w:ascii="宋体" w:hAnsi="宋体" w:cs="宋体" w:eastAsia="宋体" w:hint="ascii"/>
                <w:sz w:val="15"/>
              </w:rPr>
              <w:t>无机非金属材料</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tab w:val="left" w:leader="none" w:pos="394"/>
              </w:tabs>
              <w:numPr>
                <w:ilvl w:val="0"/>
                <w:numId w:val="267"/>
              </w:numPr>
              <w:rPr>
                <w:rFonts w:ascii="Times New Roman" w:hAnsi="Times New Roman" w:cs="Times New Roman" w:eastAsia="Times New Roman" w:hint="ascii"/>
                <w:sz w:val="15"/>
              </w:rPr>
            </w:pPr>
            <w:r>
              <w:rPr>
                <w:rFonts w:ascii="Times New Roman" w:hAnsi="Times New Roman" w:cs="Times New Roman" w:eastAsia="Times New Roman" w:hint="ascii"/>
                <w:sz w:val="15"/>
              </w:rPr>
              <w:t>545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17.49</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43</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tab w:val="left" w:leader="none" w:pos="394"/>
              </w:tabs>
              <w:numPr>
                <w:ilvl w:val="0"/>
                <w:numId w:val="268"/>
              </w:numPr>
              <w:rPr>
                <w:rFonts w:ascii="Times New Roman" w:hAnsi="Times New Roman" w:cs="Times New Roman" w:eastAsia="Times New Roman" w:hint="ascii"/>
                <w:sz w:val="15"/>
              </w:rPr>
            </w:pPr>
            <w:r>
              <w:rPr>
                <w:rFonts w:ascii="Times New Roman" w:hAnsi="Times New Roman" w:cs="Times New Roman" w:eastAsia="Times New Roman" w:hint="ascii"/>
                <w:sz w:val="15"/>
              </w:rPr>
              <w:t>628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17.70</w:t>
            </w:r>
          </w:p>
        </w:tc>
      </w:tr>
      <w:tr>
        <w:trPr>
          <w:trHeight w:val="319" w:hRule="exact"/>
          <w:cantSplit w:val="1"/>
        </w:trPr>
        <w:tc>
          <w:tcPr>
            <w:tcW w:w="1133" w:type="dxa"/>
            <w:gridSpan w:val="1"/>
            <w:vAlign w:val="top"/>
            <w:tcMar/>
            <w:tcBorders>
              <w:top w:val="single" w:sz="4" w:space="0" w:color="000000"/>
            </w:tcBorders>
          </w:tcPr>
          <w:p>
            <w:pPr>
              <w:autoSpaceDE w:val="0"/>
              <w:autoSpaceDN w:val="0"/>
              <w:jc w:val="left"/>
              <w:spacing w:before="57" w:after="0" w:lineRule="exact" w:line="188"/>
              <w:ind w:right="0" w:left="106" w:firstLine="0"/>
              <w:snapToGrid w:val="0"/>
              <w:textAlignment w:val="auto"/>
              <w:tabs/>
              <w:rPr>
                <w:rFonts w:ascii="宋体" w:hAnsi="宋体" w:cs="宋体" w:eastAsia="宋体" w:hint="ascii"/>
                <w:sz w:val="15"/>
              </w:rPr>
            </w:pPr>
            <w:r>
              <w:rPr>
                <w:rFonts w:ascii="宋体" w:hAnsi="宋体" w:cs="宋体" w:eastAsia="宋体" w:hint="ascii"/>
                <w:sz w:val="15"/>
              </w:rPr>
              <w:t>工程科学一处</w:t>
            </w: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584" w:firstLine="0"/>
              <w:snapToGrid w:val="0"/>
              <w:textAlignment w:val="auto"/>
              <w:tabs/>
              <w:rPr>
                <w:rFonts w:ascii="宋体" w:hAnsi="宋体" w:cs="宋体" w:eastAsia="宋体" w:hint="ascii"/>
                <w:sz w:val="15"/>
              </w:rPr>
            </w:pPr>
            <w:r>
              <w:rPr>
                <w:rFonts w:ascii="宋体" w:hAnsi="宋体" w:cs="宋体" w:eastAsia="宋体" w:hint="ascii"/>
                <w:sz w:val="15"/>
              </w:rPr>
              <w:t>冶金与矿业</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47</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tab w:val="left" w:leader="none" w:pos="394"/>
              </w:tabs>
              <w:numPr>
                <w:ilvl w:val="0"/>
                <w:numId w:val="269"/>
              </w:numPr>
              <w:rPr>
                <w:rFonts w:ascii="Times New Roman" w:hAnsi="Times New Roman" w:cs="Times New Roman" w:eastAsia="Times New Roman" w:hint="ascii"/>
                <w:sz w:val="15"/>
              </w:rPr>
            </w:pPr>
            <w:r>
              <w:rPr>
                <w:rFonts w:ascii="Times New Roman" w:hAnsi="Times New Roman" w:cs="Times New Roman" w:eastAsia="Times New Roman" w:hint="ascii"/>
                <w:sz w:val="15"/>
              </w:rPr>
              <w:t>870</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17.03</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52</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tab w:val="left" w:leader="none" w:pos="394"/>
              </w:tabs>
              <w:numPr>
                <w:ilvl w:val="0"/>
                <w:numId w:val="270"/>
              </w:numPr>
              <w:rPr>
                <w:rFonts w:ascii="Times New Roman" w:hAnsi="Times New Roman" w:cs="Times New Roman" w:eastAsia="Times New Roman" w:hint="ascii"/>
                <w:sz w:val="15"/>
              </w:rPr>
            </w:pPr>
            <w:r>
              <w:rPr>
                <w:rFonts w:ascii="Times New Roman" w:hAnsi="Times New Roman" w:cs="Times New Roman" w:eastAsia="Times New Roman" w:hint="ascii"/>
                <w:sz w:val="15"/>
              </w:rPr>
              <w:t>960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17.87</w:t>
            </w:r>
          </w:p>
        </w:tc>
      </w:tr>
      <w:tr>
        <w:trPr>
          <w:trHeight w:val="318" w:hRule="exact"/>
          <w:cantSplit w:val="1"/>
        </w:trPr>
        <w:tc>
          <w:tcPr>
            <w:tcW w:w="1133" w:type="dxa"/>
            <w:gridSpan w:val="1"/>
            <w:vAlign w:val="top"/>
            <w:tcMar/>
            <w:tcBorders>
              <w:top w:val="single" w:sz="4" w:space="0" w:color="000000"/>
            </w:tcBorders>
          </w:tcPr>
          <w:p>
            <w:pPr>
              <w:autoSpaceDE w:val="0"/>
              <w:autoSpaceDN w:val="0"/>
              <w:jc w:val="left"/>
              <w:spacing w:before="57" w:after="0" w:lineRule="exact" w:line="188"/>
              <w:ind w:right="0" w:left="106" w:firstLine="0"/>
              <w:snapToGrid w:val="0"/>
              <w:textAlignment w:val="auto"/>
              <w:tabs/>
              <w:rPr>
                <w:rFonts w:ascii="宋体" w:hAnsi="宋体" w:cs="宋体" w:eastAsia="宋体" w:hint="ascii"/>
                <w:sz w:val="15"/>
              </w:rPr>
            </w:pPr>
            <w:r>
              <w:rPr>
                <w:rFonts w:ascii="宋体" w:hAnsi="宋体" w:cs="宋体" w:eastAsia="宋体" w:hint="ascii"/>
                <w:sz w:val="15"/>
              </w:rPr>
              <w:t>工程科学二处</w:t>
            </w: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359" w:firstLine="0"/>
              <w:snapToGrid w:val="0"/>
              <w:textAlignment w:val="auto"/>
              <w:tabs/>
              <w:rPr>
                <w:rFonts w:ascii="宋体" w:hAnsi="宋体" w:cs="宋体" w:eastAsia="宋体" w:hint="ascii"/>
                <w:sz w:val="15"/>
              </w:rPr>
            </w:pPr>
            <w:r>
              <w:rPr>
                <w:rFonts w:ascii="宋体" w:hAnsi="宋体" w:cs="宋体" w:eastAsia="宋体" w:hint="ascii"/>
                <w:sz w:val="15"/>
              </w:rPr>
              <w:t>机械学与制造科学</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tab w:val="left" w:leader="none" w:pos="394"/>
              </w:tabs>
              <w:numPr>
                <w:ilvl w:val="0"/>
                <w:numId w:val="269"/>
              </w:numPr>
              <w:rPr>
                <w:rFonts w:ascii="Times New Roman" w:hAnsi="Times New Roman" w:cs="Times New Roman" w:eastAsia="Times New Roman" w:hint="ascii"/>
                <w:sz w:val="15"/>
              </w:rPr>
            </w:pPr>
            <w:r>
              <w:rPr>
                <w:rFonts w:ascii="Times New Roman" w:hAnsi="Times New Roman" w:cs="Times New Roman" w:eastAsia="Times New Roman" w:hint="ascii"/>
                <w:sz w:val="15"/>
              </w:rPr>
              <w:t>342</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17.74</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63</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tab w:val="left" w:leader="none" w:pos="394"/>
              </w:tabs>
              <w:numPr>
                <w:ilvl w:val="0"/>
                <w:numId w:val="270"/>
              </w:numPr>
              <w:rPr>
                <w:rFonts w:ascii="Times New Roman" w:hAnsi="Times New Roman" w:cs="Times New Roman" w:eastAsia="Times New Roman" w:hint="ascii"/>
                <w:sz w:val="15"/>
              </w:rPr>
            </w:pPr>
            <w:r>
              <w:rPr>
                <w:rFonts w:ascii="Times New Roman" w:hAnsi="Times New Roman" w:cs="Times New Roman" w:eastAsia="Times New Roman" w:hint="ascii"/>
                <w:sz w:val="15"/>
              </w:rPr>
              <w:t>378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18.42</w:t>
            </w:r>
          </w:p>
        </w:tc>
      </w:tr>
      <w:tr>
        <w:trPr>
          <w:trHeight w:val="319" w:hRule="exact"/>
          <w:cantSplit w:val="1"/>
        </w:trPr>
        <w:tc>
          <w:tcPr>
            <w:tcW w:w="1133" w:type="dxa"/>
            <w:gridSpan w:val="1"/>
            <w:vAlign w:val="top"/>
            <w:tcMar/>
            <w:tcBorders>
              <w:top w:val="single" w:sz="4" w:space="0" w:color="000000"/>
            </w:tcBorders>
          </w:tcPr>
          <w:p>
            <w:pPr>
              <w:autoSpaceDE w:val="0"/>
              <w:autoSpaceDN w:val="0"/>
              <w:jc w:val="left"/>
              <w:spacing w:before="57" w:after="0" w:lineRule="exact" w:line="188"/>
              <w:ind w:right="0" w:left="106" w:firstLine="0"/>
              <w:snapToGrid w:val="0"/>
              <w:textAlignment w:val="auto"/>
              <w:tabs/>
              <w:rPr>
                <w:rFonts w:ascii="宋体" w:hAnsi="宋体" w:cs="宋体" w:eastAsia="宋体" w:hint="ascii"/>
                <w:sz w:val="15"/>
              </w:rPr>
            </w:pPr>
            <w:r>
              <w:rPr>
                <w:rFonts w:ascii="宋体" w:hAnsi="宋体" w:cs="宋体" w:eastAsia="宋体" w:hint="ascii"/>
                <w:sz w:val="15"/>
              </w:rPr>
              <w:t>工程科学三处</w:t>
            </w: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209" w:firstLine="0"/>
              <w:snapToGrid w:val="0"/>
              <w:textAlignment w:val="auto"/>
              <w:tabs/>
              <w:rPr>
                <w:rFonts w:ascii="宋体" w:hAnsi="宋体" w:cs="宋体" w:eastAsia="宋体" w:hint="ascii"/>
                <w:sz w:val="15"/>
              </w:rPr>
            </w:pPr>
            <w:r>
              <w:rPr>
                <w:rFonts w:ascii="宋体" w:hAnsi="宋体" w:cs="宋体" w:eastAsia="宋体" w:hint="ascii"/>
                <w:sz w:val="15"/>
              </w:rPr>
              <w:t>工程热物理与能源利用</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703</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16.98</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678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19.57</w:t>
            </w:r>
          </w:p>
        </w:tc>
      </w:tr>
      <w:tr>
        <w:trPr>
          <w:trHeight w:val="512" w:hRule="exact"/>
          <w:cantSplit w:val="1"/>
        </w:trPr>
        <w:tc>
          <w:tcPr>
            <w:tcW w:w="1133" w:type="dxa"/>
            <w:gridSpan w:val="1"/>
            <w:vAlign w:val="top"/>
            <w:tcMar/>
            <w:tcBorders>
              <w:top w:val="single" w:sz="4" w:space="0" w:color="000000"/>
            </w:tcBorders>
          </w:tcPr>
          <w:p>
            <w:pPr>
              <w:autoSpaceDE w:val="0"/>
              <w:autoSpaceDN w:val="0"/>
              <w:jc w:val="left"/>
              <w:spacing w:before="155" w:after="0" w:lineRule="exact" w:line="188"/>
              <w:ind w:right="0" w:left="106" w:firstLine="0"/>
              <w:snapToGrid w:val="0"/>
              <w:textAlignment w:val="auto"/>
              <w:tabs/>
              <w:rPr>
                <w:rFonts w:ascii="宋体" w:hAnsi="宋体" w:cs="宋体" w:eastAsia="宋体" w:hint="ascii"/>
                <w:sz w:val="15"/>
              </w:rPr>
            </w:pPr>
            <w:r>
              <w:rPr>
                <w:rFonts w:ascii="宋体" w:hAnsi="宋体" w:cs="宋体" w:eastAsia="宋体" w:hint="ascii"/>
                <w:sz w:val="15"/>
              </w:rPr>
              <w:t>工程科学四处</w:t>
            </w: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建筑学、环境工程与</w:t>
            </w:r>
          </w:p>
          <w:p>
            <w:pPr>
              <w:autoSpaceDE w:val="0"/>
              <w:autoSpaceDN w:val="0"/>
              <w:jc w:val="left"/>
              <w:spacing w:before="7" w:after="0" w:lineRule="exact" w:line="188"/>
              <w:ind w:right="0" w:left="659" w:firstLine="0"/>
              <w:snapToGrid w:val="0"/>
              <w:textAlignment w:val="auto"/>
              <w:tabs/>
              <w:rPr>
                <w:rFonts w:ascii="宋体" w:hAnsi="宋体" w:cs="宋体" w:eastAsia="宋体" w:hint="ascii"/>
                <w:sz w:val="15"/>
              </w:rPr>
            </w:pPr>
            <w:r>
              <w:rPr>
                <w:rFonts w:ascii="宋体" w:hAnsi="宋体" w:cs="宋体" w:eastAsia="宋体" w:hint="ascii"/>
                <w:sz w:val="15"/>
              </w:rPr>
              <w:t>土木工程</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68</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76" w:firstLine="0"/>
              <w:snapToGrid w:val="0"/>
              <w:textAlignment w:val="auto"/>
              <w:tabs>
                <w:tab w:val="left" w:leader="none" w:pos="394"/>
              </w:tabs>
              <w:numPr>
                <w:ilvl w:val="0"/>
                <w:numId w:val="267"/>
              </w:numPr>
              <w:rPr>
                <w:rFonts w:ascii="Times New Roman" w:hAnsi="Times New Roman" w:cs="Times New Roman" w:eastAsia="Times New Roman" w:hint="ascii"/>
                <w:sz w:val="15"/>
              </w:rPr>
            </w:pPr>
            <w:r>
              <w:rPr>
                <w:rFonts w:ascii="Times New Roman" w:hAnsi="Times New Roman" w:cs="Times New Roman" w:eastAsia="Times New Roman" w:hint="ascii"/>
                <w:sz w:val="15"/>
              </w:rPr>
              <w:t>707</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17.75</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74</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76" w:firstLine="0"/>
              <w:snapToGrid w:val="0"/>
              <w:textAlignment w:val="auto"/>
              <w:tabs>
                <w:tab w:val="left" w:leader="none" w:pos="394"/>
              </w:tabs>
              <w:numPr>
                <w:ilvl w:val="0"/>
                <w:numId w:val="268"/>
              </w:numPr>
              <w:rPr>
                <w:rFonts w:ascii="Times New Roman" w:hAnsi="Times New Roman" w:cs="Times New Roman" w:eastAsia="Times New Roman" w:hint="ascii"/>
                <w:sz w:val="15"/>
              </w:rPr>
            </w:pPr>
            <w:r>
              <w:rPr>
                <w:rFonts w:ascii="Times New Roman" w:hAnsi="Times New Roman" w:cs="Times New Roman" w:eastAsia="Times New Roman" w:hint="ascii"/>
                <w:sz w:val="15"/>
              </w:rPr>
              <w:t>860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17.29</w:t>
            </w:r>
          </w:p>
        </w:tc>
      </w:tr>
      <w:tr>
        <w:trPr>
          <w:trHeight w:val="319" w:hRule="exact"/>
          <w:cantSplit w:val="1"/>
        </w:trPr>
        <w:tc>
          <w:tcPr>
            <w:tcW w:w="1133" w:type="dxa"/>
            <w:gridSpan w:val="1"/>
            <w:vAlign w:val="top"/>
            <w:vMerge w:val="restart"/>
            <w:tcMar/>
            <w:tcBorders>
              <w:top w:val="single" w:sz="4" w:space="0" w:color="000000"/>
            </w:tcBorders>
          </w:tcPr>
          <w:p>
            <w:pPr>
              <w:autoSpaceDE w:val="0"/>
              <w:autoSpaceDN w:val="0"/>
              <w:jc w:val="left"/>
              <w:spacing w:before="217" w:after="0" w:lineRule="exact" w:line="188"/>
              <w:ind w:right="0" w:left="106" w:firstLine="0"/>
              <w:snapToGrid w:val="0"/>
              <w:textAlignment w:val="auto"/>
              <w:tabs/>
              <w:rPr>
                <w:rFonts w:ascii="宋体" w:hAnsi="宋体" w:cs="宋体" w:eastAsia="宋体" w:hint="ascii"/>
                <w:sz w:val="15"/>
              </w:rPr>
            </w:pPr>
            <w:r>
              <w:rPr>
                <w:rFonts w:ascii="宋体" w:hAnsi="宋体" w:cs="宋体" w:eastAsia="宋体" w:hint="ascii"/>
                <w:sz w:val="15"/>
              </w:rPr>
              <w:t>工程科学五处</w:t>
            </w: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434" w:firstLine="0"/>
              <w:snapToGrid w:val="0"/>
              <w:textAlignment w:val="auto"/>
              <w:tabs/>
              <w:rPr>
                <w:rFonts w:ascii="宋体" w:hAnsi="宋体" w:cs="宋体" w:eastAsia="宋体" w:hint="ascii"/>
                <w:sz w:val="15"/>
              </w:rPr>
            </w:pPr>
            <w:r>
              <w:rPr>
                <w:rFonts w:ascii="宋体" w:hAnsi="宋体" w:cs="宋体" w:eastAsia="宋体" w:hint="ascii"/>
                <w:sz w:val="15"/>
              </w:rPr>
              <w:t>电气科学与工程</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865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17.21</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905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17.91</w:t>
            </w:r>
          </w:p>
        </w:tc>
      </w:tr>
      <w:tr>
        <w:trPr>
          <w:trHeight w:val="318" w:hRule="exact"/>
          <w:cantSplit w:val="1"/>
        </w:trPr>
        <w:tc>
          <w:tcPr>
            <w:tcW w:w="113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927"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284" w:firstLine="0"/>
              <w:snapToGrid w:val="0"/>
              <w:textAlignment w:val="auto"/>
              <w:tabs/>
              <w:rPr>
                <w:rFonts w:ascii="宋体" w:hAnsi="宋体" w:cs="宋体" w:eastAsia="宋体" w:hint="ascii"/>
                <w:sz w:val="15"/>
              </w:rPr>
            </w:pPr>
            <w:r>
              <w:rPr>
                <w:rFonts w:ascii="宋体" w:hAnsi="宋体" w:cs="宋体" w:eastAsia="宋体" w:hint="ascii"/>
                <w:sz w:val="15"/>
              </w:rPr>
              <w:t>水利科学与海洋工程</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1 379</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17.95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3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1 409</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18.14</w:t>
            </w:r>
          </w:p>
        </w:tc>
      </w:tr>
      <w:tr>
        <w:trPr>
          <w:trHeight w:val="319" w:hRule="exact"/>
          <w:cantSplit w:val="1"/>
        </w:trPr>
        <w:tc>
          <w:tcPr>
            <w:tcW w:w="3060" w:type="dxa"/>
            <w:gridSpan w:val="2"/>
            <w:vAlign w:val="top"/>
            <w:tcMar/>
            <w:tcBorders>
              <w:top w:val="single" w:sz="4" w:space="0" w:color="000000"/>
            </w:tcBorders>
          </w:tcPr>
          <w:p>
            <w:pPr>
              <w:autoSpaceDE w:val="0"/>
              <w:autoSpaceDN w:val="0"/>
              <w:jc w:val="left"/>
              <w:spacing w:before="57" w:after="0" w:lineRule="exact" w:line="188"/>
              <w:ind w:right="0" w:left="1070"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341</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0" w:firstLine="0"/>
              <w:snapToGrid w:val="0"/>
              <w:textAlignment w:val="auto"/>
              <w:tabs>
                <w:tab w:val="left" w:leader="none" w:pos="394"/>
              </w:tabs>
              <w:numPr>
                <w:ilvl w:val="0"/>
                <w:numId w:val="27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630</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17.51</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372</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0" w:firstLine="0"/>
              <w:snapToGrid w:val="0"/>
              <w:textAlignment w:val="auto"/>
              <w:tabs>
                <w:tab w:val="left" w:leader="none" w:pos="394"/>
              </w:tabs>
              <w:numPr>
                <w:ilvl w:val="0"/>
                <w:numId w:val="271"/>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140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17.90</w:t>
            </w:r>
          </w:p>
        </w:tc>
      </w:tr>
      <w:tr>
        <w:trPr>
          <w:trHeight w:val="324" w:hRule="exact"/>
          <w:cantSplit w:val="1"/>
        </w:trPr>
        <w:tc>
          <w:tcPr>
            <w:tcW w:w="3060" w:type="dxa"/>
            <w:gridSpan w:val="2"/>
            <w:vAlign w:val="top"/>
            <w:tcMar/>
            <w:tcBorders>
              <w:top w:val="single" w:sz="4" w:space="0" w:color="000000"/>
              <w:bottom w:val="single" w:sz="8" w:space="0" w:color="000000"/>
            </w:tcBorders>
          </w:tcPr>
          <w:p>
            <w:pPr>
              <w:autoSpaceDE w:val="0"/>
              <w:autoSpaceDN w:val="0"/>
              <w:jc w:val="left"/>
              <w:spacing w:before="57" w:after="0" w:lineRule="exact" w:line="188"/>
              <w:ind w:right="0" w:left="37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466"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64"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39.97</w:t>
            </w:r>
          </w:p>
        </w:tc>
        <w:tc>
          <w:tcPr>
            <w:tcW w:w="2466"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64"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38.01</w:t>
            </w:r>
          </w:p>
        </w:tc>
      </w:tr>
    </w:tbl>
    <w:p>
      <w:pPr>
        <w:autoSpaceDE w:val="0"/>
        <w:autoSpaceDN w:val="0"/>
        <w:jc w:val="left"/>
        <w:spacing w:before="473"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信息科学部</w:t>
      </w:r>
    </w:p>
    <w:p>
      <w:pPr>
        <w:autoSpaceDE w:val="0"/>
        <w:autoSpaceDN w:val="0"/>
        <w:jc w:val="both"/>
        <w:spacing w:before="101" w:after="0" w:lineRule="exact" w:line="510"/>
        <w:ind w:right="963" w:left="8332" w:hanging="6946"/>
        <w:snapToGrid w:val="0"/>
        <w:textAlignment w:val="auto"/>
        <w:tabs>
          <w:tab w:val="left" w:leader="none" w:pos="1860"/>
        </w:tabs>
        <w:numPr>
          <w:ilvl w:val="0"/>
          <w:numId w:val="272"/>
        </w:numPr>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21"/>
        </w:rPr>
        <w:t>年度信息科学部受理地区科学基金项目申</w:t>
      </w:r>
      <w:r>
        <w:rPr>
          <w:rFonts w:ascii="宋体" w:hAnsi="宋体" w:cs="宋体" w:eastAsia="宋体" w:hint="ascii"/>
          <w:sz w:val="21"/>
          <w:spacing w:val="26"/>
        </w:rPr>
        <w:t>请</w:t>
      </w:r>
      <w:r>
        <w:rPr>
          <w:rFonts w:ascii="Times New Roman" w:hAnsi="Times New Roman" w:cs="Times New Roman" w:eastAsia="Times New Roman" w:hint="ascii"/>
          <w:sz w:val="21"/>
        </w:rPr>
        <w:t>1 23</w:t>
      </w:r>
      <w:r>
        <w:rPr>
          <w:rFonts w:ascii="Times New Roman" w:hAnsi="Times New Roman" w:cs="Times New Roman" w:eastAsia="Times New Roman" w:hint="ascii"/>
          <w:sz w:val="21"/>
          <w:spacing w:val="52"/>
        </w:rPr>
        <w:t>7</w:t>
      </w:r>
      <w:r>
        <w:rPr>
          <w:rFonts w:ascii="宋体" w:hAnsi="宋体" w:cs="宋体" w:eastAsia="宋体" w:hint="ascii"/>
          <w:sz w:val="21"/>
        </w:rPr>
        <w:t>项，批</w:t>
      </w:r>
      <w:r>
        <w:rPr>
          <w:rFonts w:ascii="宋体" w:hAnsi="宋体" w:cs="宋体" w:eastAsia="宋体" w:hint="ascii"/>
          <w:sz w:val="21"/>
          <w:spacing w:val="26"/>
        </w:rPr>
        <w:t>准</w:t>
      </w:r>
      <w:r>
        <w:rPr>
          <w:rFonts w:ascii="Times New Roman" w:hAnsi="Times New Roman" w:cs="Times New Roman" w:eastAsia="Times New Roman" w:hint="ascii"/>
          <w:sz w:val="21"/>
        </w:rPr>
        <w:t>21</w:t>
      </w:r>
      <w:r>
        <w:rPr>
          <w:rFonts w:ascii="Times New Roman" w:hAnsi="Times New Roman" w:cs="Times New Roman" w:eastAsia="Times New Roman" w:hint="ascii"/>
          <w:sz w:val="21"/>
          <w:spacing w:val="52"/>
        </w:rPr>
        <w:t>8</w:t>
      </w:r>
      <w:r>
        <w:rPr>
          <w:rFonts w:ascii="宋体" w:hAnsi="宋体" w:cs="宋体" w:eastAsia="宋体" w:hint="ascii"/>
          <w:sz w:val="21"/>
        </w:rPr>
        <w:t>项，资助直接</w:t>
      </w:r>
      <w:r>
        <w:rPr>
          <w:rFonts w:ascii="宋体" w:hAnsi="宋体" w:cs="宋体" w:eastAsia="宋体" w:hint="ascii"/>
          <w:sz w:val="18"/>
          <w:spacing w:val="-3"/>
        </w:rPr>
        <w:t>·</w:t>
      </w:r>
      <w:r>
        <w:rPr>
          <w:rFonts w:ascii="Times New Roman" w:hAnsi="Times New Roman" w:cs="Times New Roman" w:eastAsia="Times New Roman" w:hint="ascii"/>
          <w:sz w:val="18"/>
          <w:spacing w:val="-3"/>
        </w:rPr>
        <w:t>1</w:t>
      </w:r>
      <w:r>
        <w:rPr>
          <w:rFonts w:ascii="Times New Roman" w:hAnsi="Times New Roman" w:cs="Times New Roman" w:eastAsia="Times New Roman" w:hint="ascii"/>
          <w:sz w:val="18"/>
          <w:spacing w:val="-2"/>
        </w:rPr>
        <w:t>45</w:t>
      </w:r>
      <w:r>
        <w:rPr>
          <w:rFonts w:ascii="宋体" w:hAnsi="宋体" w:cs="宋体" w:eastAsia="宋体" w:hint="ascii"/>
          <w:sz w:val="18"/>
        </w:rPr>
        <w:t>·</w:t>
      </w:r>
      <w:rPr>
        <w:rFonts w:ascii="Times New Roman" w:hAnsi="Times New Roman" w:cs="Times New Roman" w:eastAsia="Times New Roman" w:hint="ascii"/>
        <w:sz w:val="21"/>
        <w:spacing w:val="1"/>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3"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费用</w:t>
      </w:r>
      <w:r>
        <w:rPr>
          <w:rFonts w:ascii="宋体" w:hAnsi="宋体" w:cs="宋体" w:eastAsia="宋体" w:hint="ascii"/>
          <w:sz w:val="21"/>
          <w:spacing w:val="-24"/>
        </w:rPr>
        <w:t xml:space="preserve"> </w:t>
      </w:r>
      <w:r>
        <w:rPr>
          <w:rFonts w:ascii="Times New Roman" w:hAnsi="Times New Roman" w:cs="Times New Roman" w:eastAsia="Times New Roman" w:hint="ascii"/>
          <w:sz w:val="21"/>
        </w:rPr>
        <w:t>8 280</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年度，直接费用平均资助强度</w:t>
      </w:r>
      <w:r>
        <w:rPr>
          <w:rFonts w:ascii="宋体" w:hAnsi="宋体" w:cs="宋体" w:eastAsia="宋体" w:hint="ascii"/>
          <w:sz w:val="21"/>
          <w:spacing w:val="-24"/>
        </w:rPr>
        <w:t xml:space="preserve"> </w:t>
      </w:r>
      <w:r>
        <w:rPr>
          <w:rFonts w:ascii="Times New Roman" w:hAnsi="Times New Roman" w:cs="Times New Roman" w:eastAsia="Times New Roman" w:hint="ascii"/>
          <w:sz w:val="21"/>
        </w:rPr>
        <w:t>37.98</w:t>
      </w:r>
      <w:r>
        <w:rPr>
          <w:rFonts w:ascii="Times New Roman" w:hAnsi="Times New Roman" w:cs="Times New Roman" w:eastAsia="Times New Roman" w:hint="ascii"/>
          <w:sz w:val="21"/>
          <w:spacing w:val="-25"/>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项，资助率</w:t>
      </w:r>
      <w:r>
        <w:rPr>
          <w:rFonts w:ascii="宋体" w:hAnsi="宋体" w:cs="宋体" w:eastAsia="宋体" w:hint="ascii"/>
          <w:sz w:val="21"/>
          <w:spacing w:val="-24"/>
        </w:rPr>
        <w:t xml:space="preserve"> </w:t>
      </w:r>
      <w:r>
        <w:rPr>
          <w:rFonts w:ascii="Times New Roman" w:hAnsi="Times New Roman" w:cs="Times New Roman" w:eastAsia="Times New Roman" w:hint="ascii"/>
          <w:sz w:val="21"/>
        </w:rPr>
        <w:t>17.62%</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16" locked="0" layoutInCell="1" allowOverlap="1">
                <wp:simplePos x="0" y="0"/>
                <wp:positionH relativeFrom="page">
                  <wp:posOffset>938530</wp:posOffset>
                </wp:positionH>
                <wp:positionV relativeFrom="page">
                  <wp:posOffset>805815</wp:posOffset>
                </wp:positionV>
                <wp:extent cx="5076190" cy="0"/>
                <wp:wrapNone/>
                <wp:docPr id="1245" name="124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37056;width:399.70pt;" id="124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3" w:after="0" w:lineRule="exact" w:line="326"/>
        <w:ind w:right="970" w:left="966" w:firstLine="0"/>
        <w:snapToGrid w:val="0"/>
        <w:textAlignment w:val="auto"/>
        <w:tabs>
          <w:tab w:val="left" w:leader="none" w:pos="1443"/>
        </w:tabs>
        <w:numPr>
          <w:ilvl w:val="0"/>
          <w:numId w:val="272"/>
        </w:numPr>
        <w:rPr>
          <w:rFonts w:ascii="Times New Roman" w:hAnsi="Times New Roman" w:cs="Times New Roman" w:eastAsia="Times New Roman" w:hint="ascii"/>
          <w:sz w:val="21"/>
          <w:spacing w:val="1"/>
        </w:rPr>
      </w:pPr>
      <w:r>
        <w:rPr>
          <w:rFonts w:ascii="宋体" w:hAnsi="宋体" w:cs="宋体" w:eastAsia="宋体" w:hint="ascii"/>
          <w:sz w:val="21"/>
        </w:rPr>
        <w:t>年度将继续对地区科学基金项目给予倾斜，适度提高项目资助率，直接费用平均 资助强度</w:t>
      </w:r>
      <w:r>
        <w:rPr>
          <w:rFonts w:ascii="宋体" w:hAnsi="宋体" w:cs="宋体" w:eastAsia="宋体" w:hint="ascii"/>
          <w:sz w:val="21"/>
          <w:spacing w:val="26"/>
        </w:rPr>
        <w:t>为</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项。欢迎符合地区科学基金项目申请条件者提出申请。</w:t>
      </w:r>
    </w:p>
    <w:p>
      <w:pPr>
        <w:autoSpaceDE w:val="0"/>
        <w:autoSpaceDN w:val="0"/>
        <w:jc w:val="left"/>
        <w:spacing w:before="166"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信息科学部地区科学基金项目近两年资助情况一览表</w:t>
      </w:r>
    </w:p>
    <w:p>
      <w:pPr>
        <w:autoSpaceDE w:val="0"/>
        <w:autoSpaceDN w:val="0"/>
        <w:jc w:val="left"/>
        <w:spacing w:before="38" w:after="34"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17"/>
        <w:gridCol w:w="2043"/>
        <w:gridCol w:w="822"/>
        <w:gridCol w:w="822"/>
        <w:gridCol w:w="822"/>
        <w:gridCol w:w="822"/>
        <w:gridCol w:w="822"/>
        <w:gridCol w:w="822"/>
      </w:tblGrid>
      <w:tr>
        <w:trPr>
          <w:trHeight w:val="300" w:hRule="exact"/>
          <w:cantSplit w:val="1"/>
        </w:trPr>
        <w:tc>
          <w:tcPr>
            <w:tcW w:w="3060" w:type="dxa"/>
            <w:gridSpan w:val="2"/>
            <w:vAlign w:val="top"/>
            <w:vMerge w:val="restart"/>
            <w:tcMar/>
            <w:tcBorders/>
          </w:tcPr>
          <w:p>
            <w:pPr>
              <w:autoSpaceDE w:val="0"/>
              <w:autoSpaceDN w:val="0"/>
              <w:jc w:val="left"/>
              <w:spacing w:before="290" w:after="0" w:lineRule="exact" w:line="188"/>
              <w:ind w:right="0" w:left="129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66" w:type="dxa"/>
            <w:gridSpan w:val="3"/>
            <w:vAlign w:val="top"/>
            <w:tcMar/>
            <w:tcBorders>
              <w:left w:val="single" w:sz="4" w:space="0" w:color="000000"/>
            </w:tcBorders>
          </w:tcPr>
          <w:p>
            <w:pPr>
              <w:autoSpaceDE w:val="0"/>
              <w:autoSpaceDN w:val="0"/>
              <w:jc w:val="left"/>
              <w:spacing w:before="46" w:after="0" w:lineRule="auto" w:line="240"/>
              <w:ind w:right="0" w:left="909" w:firstLine="0"/>
              <w:snapToGrid w:val="0"/>
              <w:textAlignment w:val="auto"/>
              <w:tabs>
                <w:tab w:val="left" w:leader="none" w:pos="1253"/>
              </w:tabs>
              <w:numPr>
                <w:ilvl w:val="0"/>
                <w:numId w:val="273"/>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66" w:type="dxa"/>
            <w:gridSpan w:val="3"/>
            <w:vAlign w:val="top"/>
            <w:tcMar/>
            <w:tcBorders>
              <w:left w:val="single" w:sz="4" w:space="0" w:color="000000"/>
              <w:right w:val="single" w:sz="8" w:space="0" w:color="000000"/>
            </w:tcBorders>
          </w:tcPr>
          <w:p>
            <w:pPr>
              <w:autoSpaceDE w:val="0"/>
              <w:autoSpaceDN w:val="0"/>
              <w:jc w:val="left"/>
              <w:spacing w:before="46" w:after="0" w:lineRule="auto" w:line="240"/>
              <w:ind w:right="0" w:left="909" w:firstLine="0"/>
              <w:snapToGrid w:val="0"/>
              <w:textAlignment w:val="auto"/>
              <w:tabs>
                <w:tab w:val="left" w:leader="none" w:pos="1253"/>
              </w:tabs>
              <w:numPr>
                <w:ilvl w:val="0"/>
                <w:numId w:val="273"/>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90" w:hRule="exact"/>
          <w:cantSplit w:val="1"/>
        </w:trPr>
        <w:tc>
          <w:tcPr>
            <w:tcW w:w="306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22"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94" w:hRule="exact"/>
          <w:cantSplit w:val="1"/>
        </w:trPr>
        <w:tc>
          <w:tcPr>
            <w:tcW w:w="1017" w:type="dxa"/>
            <w:gridSpan w:val="1"/>
            <w:vAlign w:val="top"/>
            <w:vMerge w:val="restart"/>
            <w:tcMar/>
            <w:tcBorders>
              <w:top w:val="single" w:sz="4" w:space="0" w:color="000000"/>
            </w:tcBorders>
          </w:tcPr>
          <w:p>
            <w:pPr>
              <w:autoSpaceDE w:val="0"/>
              <w:autoSpaceDN w:val="0"/>
              <w:jc w:val="left"/>
              <w:spacing w:before="33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92" w:firstLine="0"/>
              <w:snapToGrid w:val="0"/>
              <w:textAlignment w:val="auto"/>
              <w:tabs/>
              <w:rPr>
                <w:rFonts w:ascii="宋体" w:hAnsi="宋体" w:cs="宋体" w:eastAsia="宋体" w:hint="ascii"/>
                <w:sz w:val="15"/>
              </w:rPr>
            </w:pPr>
            <w:r>
              <w:rPr>
                <w:rFonts w:ascii="宋体" w:hAnsi="宋体" w:cs="宋体" w:eastAsia="宋体" w:hint="ascii"/>
                <w:sz w:val="15"/>
              </w:rPr>
              <w:t>电子科学与技术</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18.75</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563</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18.52</w:t>
            </w:r>
          </w:p>
        </w:tc>
      </w:tr>
      <w:tr>
        <w:trPr>
          <w:trHeight w:val="295"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92" w:firstLine="0"/>
              <w:snapToGrid w:val="0"/>
              <w:textAlignment w:val="auto"/>
              <w:tabs/>
              <w:rPr>
                <w:rFonts w:ascii="宋体" w:hAnsi="宋体" w:cs="宋体" w:eastAsia="宋体" w:hint="ascii"/>
                <w:sz w:val="15"/>
              </w:rPr>
            </w:pPr>
            <w:r>
              <w:rPr>
                <w:rFonts w:ascii="宋体" w:hAnsi="宋体" w:cs="宋体" w:eastAsia="宋体" w:hint="ascii"/>
                <w:sz w:val="15"/>
              </w:rPr>
              <w:t>信息与通信系统</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18.82</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17.58</w:t>
            </w:r>
          </w:p>
        </w:tc>
      </w:tr>
      <w:tr>
        <w:trPr>
          <w:trHeight w:val="294"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92" w:firstLine="0"/>
              <w:snapToGrid w:val="0"/>
              <w:textAlignment w:val="auto"/>
              <w:tabs/>
              <w:rPr>
                <w:rFonts w:ascii="宋体" w:hAnsi="宋体" w:cs="宋体" w:eastAsia="宋体" w:hint="ascii"/>
                <w:sz w:val="15"/>
              </w:rPr>
            </w:pPr>
            <w:r>
              <w:rPr>
                <w:rFonts w:ascii="宋体" w:hAnsi="宋体" w:cs="宋体" w:eastAsia="宋体" w:hint="ascii"/>
                <w:sz w:val="15"/>
              </w:rPr>
              <w:t>信息获取与处理</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tab w:val="left" w:leader="none" w:pos="-655355"/>
              </w:tabs>
              <w:numPr>
                <w:ilvl w:val="0"/>
                <w:numId w:val="274"/>
              </w:numPr>
              <w:rPr>
                <w:rFonts w:ascii="Times New Roman" w:hAnsi="Times New Roman" w:cs="Times New Roman" w:eastAsia="Times New Roman" w:hint="ascii"/>
                <w:sz w:val="15"/>
                <w:spacing w:val="1"/>
              </w:rPr>
            </w:pPr>
            <w:r>
              <w:rPr>
                <w:rFonts w:ascii="宋体" w:hAnsi="宋体" w:cs="宋体" w:eastAsia="宋体" w:hint="ascii"/>
                <w:sz w:val="15"/>
              </w:rPr>
              <w:t xml:space="preserve"> </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19.23</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657</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17.48</w:t>
            </w:r>
          </w:p>
        </w:tc>
      </w:tr>
      <w:tr>
        <w:trPr>
          <w:trHeight w:val="490" w:hRule="exact"/>
          <w:cantSplit w:val="1"/>
        </w:trPr>
        <w:tc>
          <w:tcPr>
            <w:tcW w:w="1017" w:type="dxa"/>
            <w:gridSpan w:val="1"/>
            <w:vAlign w:val="top"/>
            <w:vMerge w:val="restart"/>
            <w:tcMar/>
            <w:tcBorders>
              <w:top w:val="single" w:sz="4" w:space="0" w:color="000000"/>
            </w:tcBorders>
          </w:tcPr>
          <w:p>
            <w:pPr>
              <w:autoSpaceDE w:val="0"/>
              <w:autoSpaceDN w:val="0"/>
              <w:jc w:val="left"/>
              <w:spacing w:before="437"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理论计算机科学、计算机软</w:t>
            </w:r>
          </w:p>
          <w:p>
            <w:pPr>
              <w:autoSpaceDE w:val="0"/>
              <w:autoSpaceDN w:val="0"/>
              <w:jc w:val="left"/>
              <w:spacing w:before="7" w:after="0" w:lineRule="exact" w:line="188"/>
              <w:ind w:right="0" w:left="866" w:firstLine="0"/>
              <w:snapToGrid w:val="0"/>
              <w:textAlignment w:val="auto"/>
              <w:tabs/>
              <w:rPr>
                <w:rFonts w:ascii="宋体" w:hAnsi="宋体" w:cs="宋体" w:eastAsia="宋体" w:hint="ascii"/>
                <w:sz w:val="15"/>
              </w:rPr>
            </w:pPr>
            <w:r>
              <w:rPr>
                <w:rFonts w:ascii="宋体" w:hAnsi="宋体" w:cs="宋体" w:eastAsia="宋体" w:hint="ascii"/>
                <w:sz w:val="15"/>
              </w:rPr>
              <w:t>硬件</w:t>
            </w:r>
          </w:p>
        </w:tc>
        <w:tc>
          <w:tcPr>
            <w:tcW w:w="822"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w:t>
            </w:r>
          </w:p>
        </w:tc>
        <w:tc>
          <w:tcPr>
            <w:tcW w:w="822"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894</w:t>
            </w:r>
          </w:p>
        </w:tc>
        <w:tc>
          <w:tcPr>
            <w:tcW w:w="822"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237" w:firstLine="0"/>
              <w:snapToGrid w:val="0"/>
              <w:textAlignment w:val="auto"/>
              <w:tabs/>
              <w:numPr>
                <w:ilvl w:val="1"/>
                <w:numId w:val="274"/>
              </w:numPr>
              <w:rPr>
                <w:rFonts w:ascii="Times New Roman" w:hAnsi="Times New Roman" w:cs="Times New Roman" w:eastAsia="Times New Roman" w:hint="ascii"/>
                <w:sz w:val="15"/>
                <w:spacing w:val="1"/>
              </w:rPr>
            </w:pPr>
            <w:r>
              <w:rPr>
                <w:rFonts w:ascii="Times New Roman" w:hAnsi="Times New Roman" w:cs="Times New Roman" w:eastAsia="Times New Roman" w:hint="ascii"/>
                <w:sz w:val="15"/>
              </w:rPr>
              <w:t>0</w:t>
            </w:r>
          </w:p>
        </w:tc>
        <w:tc>
          <w:tcPr>
            <w:tcW w:w="822"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w:t>
            </w:r>
          </w:p>
        </w:tc>
        <w:tc>
          <w:tcPr>
            <w:tcW w:w="822" w:type="dxa"/>
            <w:gridSpan w:val="1"/>
            <w:vAlign w:val="top"/>
            <w:tcMar/>
            <w:tcBorders>
              <w:left w:val="single" w:sz="4" w:space="0" w:color="000000"/>
              <w:top w:val="single" w:sz="4" w:space="0" w:color="000000"/>
            </w:tcBorders>
          </w:tcPr>
          <w:p>
            <w:pPr>
              <w:autoSpaceDE w:val="0"/>
              <w:autoSpaceDN w:val="0"/>
              <w:jc w:val="left"/>
              <w:spacing w:before="149"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786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49"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18.02</w:t>
            </w:r>
          </w:p>
        </w:tc>
      </w:tr>
      <w:tr>
        <w:trPr>
          <w:trHeight w:val="294"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642" w:firstLine="0"/>
              <w:snapToGrid w:val="0"/>
              <w:textAlignment w:val="auto"/>
              <w:tabs/>
              <w:rPr>
                <w:rFonts w:ascii="宋体" w:hAnsi="宋体" w:cs="宋体" w:eastAsia="宋体" w:hint="ascii"/>
                <w:sz w:val="15"/>
              </w:rPr>
            </w:pPr>
            <w:r>
              <w:rPr>
                <w:rFonts w:ascii="宋体" w:hAnsi="宋体" w:cs="宋体" w:eastAsia="宋体" w:hint="ascii"/>
                <w:sz w:val="15"/>
              </w:rPr>
              <w:t>计算机应用</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47</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5" w:firstLine="0"/>
              <w:snapToGrid w:val="0"/>
              <w:textAlignment w:val="auto"/>
              <w:tabs>
                <w:tab w:val="left" w:leader="none" w:pos="373"/>
              </w:tabs>
              <w:numPr>
                <w:ilvl w:val="0"/>
                <w:numId w:val="275"/>
              </w:numPr>
              <w:rPr>
                <w:rFonts w:ascii="Times New Roman" w:hAnsi="Times New Roman" w:cs="Times New Roman" w:eastAsia="Times New Roman" w:hint="ascii"/>
                <w:sz w:val="15"/>
              </w:rPr>
            </w:pPr>
            <w:r>
              <w:rPr>
                <w:rFonts w:ascii="Times New Roman" w:hAnsi="Times New Roman" w:cs="Times New Roman" w:eastAsia="Times New Roman" w:hint="ascii"/>
                <w:sz w:val="15"/>
              </w:rPr>
              <w:t>821</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19.83</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53</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5" w:firstLine="0"/>
              <w:snapToGrid w:val="0"/>
              <w:textAlignment w:val="auto"/>
              <w:tabs>
                <w:tab w:val="left" w:leader="none" w:pos="373"/>
              </w:tabs>
              <w:numPr>
                <w:ilvl w:val="0"/>
                <w:numId w:val="275"/>
              </w:numPr>
              <w:rPr>
                <w:rFonts w:ascii="Times New Roman" w:hAnsi="Times New Roman" w:cs="Times New Roman" w:eastAsia="Times New Roman" w:hint="ascii"/>
                <w:sz w:val="15"/>
              </w:rPr>
            </w:pPr>
            <w:r>
              <w:rPr>
                <w:rFonts w:ascii="Times New Roman" w:hAnsi="Times New Roman" w:cs="Times New Roman" w:eastAsia="Times New Roman" w:hint="ascii"/>
                <w:sz w:val="15"/>
              </w:rPr>
              <w:t>000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17.49</w:t>
            </w:r>
          </w:p>
        </w:tc>
      </w:tr>
      <w:tr>
        <w:trPr>
          <w:trHeight w:val="295"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92" w:firstLine="0"/>
              <w:snapToGrid w:val="0"/>
              <w:textAlignment w:val="auto"/>
              <w:tabs/>
              <w:rPr>
                <w:rFonts w:ascii="宋体" w:hAnsi="宋体" w:cs="宋体" w:eastAsia="宋体" w:hint="ascii"/>
                <w:sz w:val="15"/>
              </w:rPr>
            </w:pPr>
            <w:r>
              <w:rPr>
                <w:rFonts w:ascii="宋体" w:hAnsi="宋体" w:cs="宋体" w:eastAsia="宋体" w:hint="ascii"/>
                <w:sz w:val="15"/>
              </w:rPr>
              <w:t>网络与信息安全</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19.61</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17.24</w:t>
            </w:r>
          </w:p>
        </w:tc>
      </w:tr>
      <w:tr>
        <w:trPr>
          <w:trHeight w:val="294" w:hRule="exact"/>
          <w:cantSplit w:val="1"/>
        </w:trPr>
        <w:tc>
          <w:tcPr>
            <w:tcW w:w="1017" w:type="dxa"/>
            <w:gridSpan w:val="1"/>
            <w:vAlign w:val="top"/>
            <w:vMerge w:val="restart"/>
            <w:tcMar/>
            <w:tcBorders>
              <w:top w:val="single" w:sz="4" w:space="0" w:color="000000"/>
            </w:tcBorders>
          </w:tcPr>
          <w:p>
            <w:pPr>
              <w:autoSpaceDE w:val="0"/>
              <w:autoSpaceDN w:val="0"/>
              <w:jc w:val="left"/>
              <w:spacing w:before="33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043"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控制理论与控制工程</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666</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21.18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606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18.60</w:t>
            </w:r>
          </w:p>
        </w:tc>
      </w:tr>
      <w:tr>
        <w:trPr>
          <w:trHeight w:val="294"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系统科学与系统工程</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375</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16.98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386</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15.87</w:t>
            </w:r>
          </w:p>
        </w:tc>
      </w:tr>
      <w:tr>
        <w:trPr>
          <w:trHeight w:val="295"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人工智能与智能系统</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862</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19.60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878</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17.83</w:t>
            </w:r>
          </w:p>
        </w:tc>
      </w:tr>
      <w:tr>
        <w:trPr>
          <w:trHeight w:val="294" w:hRule="exact"/>
          <w:cantSplit w:val="1"/>
        </w:trPr>
        <w:tc>
          <w:tcPr>
            <w:tcW w:w="1017" w:type="dxa"/>
            <w:gridSpan w:val="1"/>
            <w:vAlign w:val="top"/>
            <w:vMerge w:val="restart"/>
            <w:tcMar/>
            <w:tcBorders>
              <w:top w:val="single" w:sz="4" w:space="0" w:color="000000"/>
            </w:tcBorders>
          </w:tcPr>
          <w:p>
            <w:pPr>
              <w:autoSpaceDE w:val="0"/>
              <w:autoSpaceDN w:val="0"/>
              <w:jc w:val="left"/>
              <w:spacing w:before="33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266" w:firstLine="0"/>
              <w:snapToGrid w:val="0"/>
              <w:textAlignment w:val="auto"/>
              <w:tabs/>
              <w:rPr>
                <w:rFonts w:ascii="宋体" w:hAnsi="宋体" w:cs="宋体" w:eastAsia="宋体" w:hint="ascii"/>
                <w:sz w:val="15"/>
              </w:rPr>
            </w:pPr>
            <w:r>
              <w:rPr>
                <w:rFonts w:ascii="宋体" w:hAnsi="宋体" w:cs="宋体" w:eastAsia="宋体" w:hint="ascii"/>
                <w:sz w:val="15"/>
              </w:rPr>
              <w:t>半导体科学与信息器件</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394</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18.18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472</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17.65</w:t>
            </w:r>
          </w:p>
        </w:tc>
      </w:tr>
      <w:tr>
        <w:trPr>
          <w:trHeight w:val="295"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266" w:firstLine="0"/>
              <w:snapToGrid w:val="0"/>
              <w:textAlignment w:val="auto"/>
              <w:tabs/>
              <w:rPr>
                <w:rFonts w:ascii="宋体" w:hAnsi="宋体" w:cs="宋体" w:eastAsia="宋体" w:hint="ascii"/>
                <w:sz w:val="15"/>
              </w:rPr>
            </w:pPr>
            <w:r>
              <w:rPr>
                <w:rFonts w:ascii="宋体" w:hAnsi="宋体" w:cs="宋体" w:eastAsia="宋体" w:hint="ascii"/>
                <w:sz w:val="15"/>
              </w:rPr>
              <w:t>信息光学与光电子器件</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237</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19.35</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274</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17.50</w:t>
            </w:r>
          </w:p>
        </w:tc>
      </w:tr>
      <w:tr>
        <w:trPr>
          <w:trHeight w:val="294" w:hRule="exact"/>
          <w:cantSplit w:val="1"/>
        </w:trPr>
        <w:tc>
          <w:tcPr>
            <w:tcW w:w="101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43"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激光技术与技术光学</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315</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20.51</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315</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17.39</w:t>
            </w:r>
          </w:p>
        </w:tc>
      </w:tr>
      <w:tr>
        <w:trPr>
          <w:trHeight w:val="295" w:hRule="exact"/>
          <w:cantSplit w:val="1"/>
        </w:trPr>
        <w:tc>
          <w:tcPr>
            <w:tcW w:w="3060" w:type="dxa"/>
            <w:gridSpan w:val="2"/>
            <w:vAlign w:val="top"/>
            <w:tcMar/>
            <w:tcBorders>
              <w:top w:val="single" w:sz="4" w:space="0" w:color="000000"/>
            </w:tcBorders>
          </w:tcPr>
          <w:p>
            <w:pPr>
              <w:autoSpaceDE w:val="0"/>
              <w:autoSpaceDN w:val="0"/>
              <w:jc w:val="left"/>
              <w:spacing w:before="45" w:after="0" w:lineRule="exact" w:line="188"/>
              <w:ind w:right="0" w:left="1070"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214</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8 280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19.40</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218</w:t>
            </w:r>
          </w:p>
        </w:tc>
        <w:tc>
          <w:tcPr>
            <w:tcW w:w="822"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5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8 280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17.62</w:t>
            </w:r>
          </w:p>
        </w:tc>
      </w:tr>
      <w:tr>
        <w:trPr>
          <w:trHeight w:val="300" w:hRule="exact"/>
          <w:cantSplit w:val="1"/>
        </w:trPr>
        <w:tc>
          <w:tcPr>
            <w:tcW w:w="3060" w:type="dxa"/>
            <w:gridSpan w:val="2"/>
            <w:vAlign w:val="top"/>
            <w:tcMar/>
            <w:tcBorders>
              <w:top w:val="single" w:sz="4" w:space="0" w:color="000000"/>
              <w:bottom w:val="single" w:sz="8" w:space="0" w:color="000000"/>
            </w:tcBorders>
          </w:tcPr>
          <w:p>
            <w:pPr>
              <w:autoSpaceDE w:val="0"/>
              <w:autoSpaceDN w:val="0"/>
              <w:jc w:val="left"/>
              <w:spacing w:before="45" w:after="0" w:lineRule="exact" w:line="188"/>
              <w:ind w:right="0" w:left="37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466"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38.69</w:t>
            </w:r>
          </w:p>
        </w:tc>
        <w:tc>
          <w:tcPr>
            <w:tcW w:w="2466"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52"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37.98</w:t>
            </w:r>
          </w:p>
        </w:tc>
      </w:tr>
    </w:tbl>
    <w:p>
      <w:pPr>
        <w:autoSpaceDE w:val="0"/>
        <w:autoSpaceDN w:val="0"/>
        <w:jc w:val="left"/>
        <w:spacing w:before="319"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管理科学部</w:t>
      </w:r>
    </w:p>
    <w:p>
      <w:pPr>
        <w:autoSpaceDE w:val="0"/>
        <w:autoSpaceDN w:val="0"/>
        <w:jc w:val="left"/>
        <w:spacing w:before="319" w:after="0" w:lineRule="auto" w:line="240"/>
        <w:ind w:right="0" w:left="861" w:firstLine="509"/>
        <w:snapToGrid w:val="0"/>
        <w:textAlignment w:val="auto"/>
        <w:tabs>
          <w:tab w:val="left" w:leader="none" w:pos="1831"/>
        </w:tabs>
        <w:numPr>
          <w:ilvl w:val="0"/>
          <w:numId w:val="276"/>
        </w:numPr>
        <w:rPr>
          <w:rFonts w:ascii="Times New Roman" w:hAnsi="Times New Roman" w:cs="Times New Roman" w:eastAsia="Times New Roman" w:hint="ascii"/>
          <w:sz w:val="21"/>
          <w:spacing w:val="-4"/>
        </w:rPr>
      </w:pPr>
      <w:r>
        <w:rPr>
          <w:rFonts w:ascii="宋体" w:hAnsi="宋体" w:cs="宋体" w:eastAsia="宋体" w:hint="ascii"/>
          <w:sz w:val="21"/>
          <w:spacing w:val="-2"/>
        </w:rPr>
        <w:t>年度管理科学部接收地区科学基金项目申</w:t>
      </w:r>
      <w:r>
        <w:rPr>
          <w:rFonts w:ascii="宋体" w:hAnsi="宋体" w:cs="宋体" w:eastAsia="宋体" w:hint="ascii"/>
          <w:sz w:val="21"/>
          <w:spacing w:val="25"/>
        </w:rPr>
        <w:t>请</w:t>
      </w:r>
      <w:r>
        <w:rPr>
          <w:rFonts w:ascii="Times New Roman" w:hAnsi="Times New Roman" w:cs="Times New Roman" w:eastAsia="Times New Roman" w:hint="ascii"/>
          <w:sz w:val="21"/>
          <w:spacing w:val="-4"/>
        </w:rPr>
        <w:t>78</w:t>
      </w:r>
      <w:r>
        <w:rPr>
          <w:rFonts w:ascii="Times New Roman" w:hAnsi="Times New Roman" w:cs="Times New Roman" w:eastAsia="Times New Roman" w:hint="ascii"/>
          <w:sz w:val="21"/>
          <w:spacing w:val="53"/>
        </w:rPr>
        <w:t>2</w:t>
      </w:r>
      <w:r>
        <w:rPr>
          <w:rFonts w:ascii="宋体" w:hAnsi="宋体" w:cs="宋体" w:eastAsia="宋体" w:hint="ascii"/>
          <w:sz w:val="21"/>
          <w:spacing w:val="-2"/>
        </w:rPr>
        <w:t>项，</w:t>
      </w:r>
      <w:r>
        <w:rPr>
          <w:rFonts w:ascii="宋体" w:hAnsi="宋体" w:cs="宋体" w:eastAsia="宋体" w:hint="ascii"/>
          <w:sz w:val="21"/>
          <w:spacing w:val="25"/>
        </w:rPr>
        <w:t>比</w:t>
      </w:r>
      <w:r>
        <w:rPr>
          <w:rFonts w:ascii="Times New Roman" w:hAnsi="Times New Roman" w:cs="Times New Roman" w:eastAsia="Times New Roman" w:hint="ascii"/>
          <w:sz w:val="21"/>
          <w:spacing w:val="-4"/>
        </w:rPr>
        <w:t>201</w:t>
      </w:r>
      <w:r>
        <w:rPr>
          <w:rFonts w:ascii="Times New Roman" w:hAnsi="Times New Roman" w:cs="Times New Roman" w:eastAsia="Times New Roman" w:hint="ascii"/>
          <w:sz w:val="21"/>
          <w:spacing w:val="53"/>
        </w:rPr>
        <w:t>6</w:t>
      </w:r>
      <w:r>
        <w:rPr>
          <w:rFonts w:ascii="宋体" w:hAnsi="宋体" w:cs="宋体" w:eastAsia="宋体" w:hint="ascii"/>
          <w:sz w:val="21"/>
          <w:spacing w:val="-2"/>
        </w:rPr>
        <w:t>年度略有增加</w:t>
      </w:r>
      <w:r>
        <w:rPr>
          <w:rFonts w:ascii="宋体" w:hAnsi="宋体" w:cs="宋体" w:eastAsia="宋体" w:hint="ascii"/>
          <w:sz w:val="21"/>
          <w:spacing w:val="-1"/>
        </w:rPr>
        <w:t>。</w:t>
      </w:r>
      <w:r>
        <w:rPr>
          <w:rFonts w:ascii="宋体" w:hAnsi="宋体" w:cs="宋体" w:eastAsia="宋体" w:hint="ascii"/>
          <w:sz w:val="21"/>
        </w:rPr>
        <w:t>资</w:t>
      </w:r>
    </w:p>
    <w:p>
      <w:pPr>
        <w:autoSpaceDE w:val="0"/>
        <w:autoSpaceDN w:val="0"/>
        <w:jc w:val="left"/>
        <w:spacing w:before="5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助地区科学基金项</w:t>
      </w:r>
      <w:r>
        <w:rPr>
          <w:rFonts w:ascii="宋体" w:hAnsi="宋体" w:cs="宋体" w:eastAsia="宋体" w:hint="ascii"/>
          <w:sz w:val="21"/>
          <w:spacing w:val="22"/>
        </w:rPr>
        <w:t>目</w:t>
      </w:r>
      <w:r>
        <w:rPr>
          <w:rFonts w:ascii="Times New Roman" w:hAnsi="Times New Roman" w:cs="Times New Roman" w:eastAsia="Times New Roman" w:hint="ascii"/>
          <w:sz w:val="21"/>
          <w:spacing w:val="-4"/>
        </w:rPr>
        <w:t>13</w:t>
      </w:r>
      <w:r>
        <w:rPr>
          <w:rFonts w:ascii="Times New Roman" w:hAnsi="Times New Roman" w:cs="Times New Roman" w:eastAsia="Times New Roman" w:hint="ascii"/>
          <w:sz w:val="21"/>
          <w:spacing w:val="49"/>
        </w:rPr>
        <w:t>6</w:t>
      </w:r>
      <w:r>
        <w:rPr>
          <w:rFonts w:ascii="宋体" w:hAnsi="宋体" w:cs="宋体" w:eastAsia="宋体" w:hint="ascii"/>
          <w:sz w:val="21"/>
          <w:spacing w:val="-4"/>
        </w:rPr>
        <w:t>项，资助率</w:t>
      </w:r>
      <w:r>
        <w:rPr>
          <w:rFonts w:ascii="宋体" w:hAnsi="宋体" w:cs="宋体" w:eastAsia="宋体" w:hint="ascii"/>
          <w:sz w:val="21"/>
          <w:spacing w:val="22"/>
        </w:rPr>
        <w:t>为</w:t>
      </w:r>
      <w:r>
        <w:rPr>
          <w:rFonts w:ascii="Times New Roman" w:hAnsi="Times New Roman" w:cs="Times New Roman" w:eastAsia="Times New Roman" w:hint="ascii"/>
          <w:sz w:val="21"/>
          <w:spacing w:val="-4"/>
        </w:rPr>
        <w:t>1</w:t>
      </w:r>
      <w:r>
        <w:rPr>
          <w:rFonts w:ascii="Times New Roman" w:hAnsi="Times New Roman" w:cs="Times New Roman" w:eastAsia="Times New Roman" w:hint="ascii"/>
          <w:sz w:val="21"/>
          <w:spacing w:val="-3"/>
        </w:rPr>
        <w:t>7</w:t>
      </w:r>
      <w:r>
        <w:rPr>
          <w:rFonts w:ascii="Times New Roman" w:hAnsi="Times New Roman" w:cs="Times New Roman" w:eastAsia="Times New Roman" w:hint="ascii"/>
          <w:sz w:val="21"/>
          <w:spacing w:val="-4"/>
        </w:rPr>
        <w:t>.39</w:t>
      </w:r>
      <w:r>
        <w:rPr>
          <w:rFonts w:ascii="Times New Roman" w:hAnsi="Times New Roman" w:cs="Times New Roman" w:eastAsia="Times New Roman" w:hint="ascii"/>
          <w:sz w:val="21"/>
          <w:spacing w:val="-5"/>
        </w:rPr>
        <w:t>%</w:t>
      </w:r>
      <w:r>
        <w:rPr>
          <w:rFonts w:ascii="宋体" w:hAnsi="宋体" w:cs="宋体" w:eastAsia="宋体" w:hint="ascii"/>
          <w:sz w:val="21"/>
          <w:spacing w:val="-4"/>
        </w:rPr>
        <w:t>，直接费用平均资助强度</w:t>
      </w:r>
      <w:r>
        <w:rPr>
          <w:rFonts w:ascii="宋体" w:hAnsi="宋体" w:cs="宋体" w:eastAsia="宋体" w:hint="ascii"/>
          <w:sz w:val="21"/>
          <w:spacing w:val="22"/>
        </w:rPr>
        <w:t>为</w:t>
      </w:r>
      <w:r>
        <w:rPr>
          <w:rFonts w:ascii="Times New Roman" w:hAnsi="Times New Roman" w:cs="Times New Roman" w:eastAsia="Times New Roman" w:hint="ascii"/>
          <w:sz w:val="21"/>
          <w:spacing w:val="-4"/>
        </w:rPr>
        <w:t>28.0</w:t>
      </w:r>
      <w:r>
        <w:rPr>
          <w:rFonts w:ascii="Times New Roman" w:hAnsi="Times New Roman" w:cs="Times New Roman" w:eastAsia="Times New Roman" w:hint="ascii"/>
          <w:sz w:val="21"/>
          <w:spacing w:val="49"/>
        </w:rPr>
        <w:t>9</w:t>
      </w:r>
      <w:r>
        <w:rPr>
          <w:rFonts w:ascii="宋体" w:hAnsi="宋体" w:cs="宋体" w:eastAsia="宋体" w:hint="ascii"/>
          <w:sz w:val="21"/>
          <w:spacing w:val="-4"/>
        </w:rPr>
        <w:t>万元</w:t>
      </w:r>
      <w:r>
        <w:rPr>
          <w:rFonts w:ascii="Times New Roman" w:hAnsi="Times New Roman" w:cs="Times New Roman" w:eastAsia="Times New Roman" w:hint="ascii"/>
          <w:sz w:val="21"/>
          <w:spacing w:val="-6"/>
        </w:rPr>
        <w:t>/</w:t>
      </w:r>
      <w:r>
        <w:rPr>
          <w:rFonts w:ascii="宋体" w:hAnsi="宋体" w:cs="宋体" w:eastAsia="宋体" w:hint="ascii"/>
          <w:sz w:val="21"/>
          <w:spacing w:val="-4"/>
        </w:rPr>
        <w:t>项</w:t>
      </w:r>
      <w:r>
        <w:rPr>
          <w:rFonts w:ascii="宋体" w:hAnsi="宋体" w:cs="宋体" w:eastAsia="宋体" w:hint="ascii"/>
          <w:sz w:val="21"/>
        </w:rPr>
        <w:t>。</w:t>
      </w:r>
    </w:p>
    <w:p>
      <w:pPr>
        <w:autoSpaceDE w:val="0"/>
        <w:autoSpaceDN w:val="0"/>
        <w:jc w:val="both"/>
        <w:spacing w:before="10" w:after="0" w:lineRule="exact" w:line="312"/>
        <w:ind w:right="970" w:left="966" w:firstLine="420"/>
        <w:snapToGrid w:val="0"/>
        <w:textAlignment w:val="auto"/>
        <w:tabs>
          <w:tab w:val="left" w:leader="none" w:pos="1864"/>
        </w:tabs>
        <w:numPr>
          <w:ilvl w:val="0"/>
          <w:numId w:val="252"/>
        </w:numPr>
        <w:rPr>
          <w:rFonts w:ascii="Times New Roman" w:hAnsi="Times New Roman" w:cs="Times New Roman" w:eastAsia="Times New Roman" w:hint="ascii"/>
          <w:sz w:val="21"/>
          <w:spacing w:val="1"/>
        </w:rPr>
      </w:pPr>
      <w:r>
        <w:rPr>
          <w:rFonts w:ascii="宋体" w:hAnsi="宋体" w:cs="宋体" w:eastAsia="宋体" w:hint="ascii"/>
          <w:sz w:val="21"/>
        </w:rPr>
        <w:t>年度地区科学基金项目直接费用平均资助强度</w:t>
      </w:r>
      <w:r>
        <w:rPr>
          <w:rFonts w:ascii="宋体" w:hAnsi="宋体" w:cs="宋体" w:eastAsia="宋体" w:hint="ascii"/>
          <w:sz w:val="21"/>
          <w:spacing w:val="-3"/>
        </w:rPr>
        <w:t>为</w:t>
      </w:r>
      <w:r>
        <w:rPr>
          <w:rFonts w:ascii="宋体" w:hAnsi="宋体" w:cs="宋体" w:eastAsia="宋体" w:hint="ascii"/>
          <w:sz w:val="21"/>
          <w:spacing w:val="-26"/>
        </w:rPr>
        <w:t xml:space="preserve"> </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27"/>
        </w:rPr>
        <w:t xml:space="preserve"> </w:t>
      </w:r>
      <w:r>
        <w:rPr>
          <w:rFonts w:ascii="宋体" w:hAnsi="宋体" w:cs="宋体" w:eastAsia="宋体" w:hint="ascii"/>
          <w:sz w:val="21"/>
        </w:rPr>
        <w:t>万元</w:t>
      </w:r>
      <w:r>
        <w:rPr>
          <w:rFonts w:ascii="Times New Roman" w:hAnsi="Times New Roman" w:cs="Times New Roman" w:eastAsia="Times New Roman" w:hint="ascii"/>
          <w:sz w:val="21"/>
          <w:spacing w:val="5"/>
        </w:rPr>
        <w:t>/</w:t>
      </w:r>
      <w:r>
        <w:rPr>
          <w:rFonts w:ascii="宋体" w:hAnsi="宋体" w:cs="宋体" w:eastAsia="宋体" w:hint="ascii"/>
          <w:sz w:val="21"/>
        </w:rPr>
        <w:t>项左右，资助期</w:t>
      </w:r>
      <w:r>
        <w:rPr>
          <w:rFonts w:ascii="宋体" w:hAnsi="宋体" w:cs="宋体" w:eastAsia="宋体" w:hint="ascii"/>
          <w:sz w:val="21"/>
          <w:spacing w:val="-6"/>
        </w:rPr>
        <w:t>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4</w:t>
      </w:r>
      <w:r>
        <w:rPr>
          <w:rFonts w:ascii="宋体" w:hAnsi="宋体" w:cs="宋体" w:eastAsia="宋体" w:hint="ascii"/>
          <w:sz w:val="21"/>
        </w:rPr>
        <w:t>年。</w:t>
      </w:r>
    </w:p>
    <w:p>
      <w:pPr>
        <w:autoSpaceDE w:val="0"/>
        <w:autoSpaceDN w:val="0"/>
        <w:jc w:val="both"/>
        <w:spacing w:before="0" w:after="0" w:lineRule="exact" w:line="312"/>
        <w:ind w:right="970"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w:t>
      </w:r>
      <w:r>
        <w:rPr>
          <w:rFonts w:ascii="宋体" w:hAnsi="宋体" w:cs="宋体" w:eastAsia="宋体" w:hint="ascii"/>
          <w:sz w:val="21"/>
        </w:rPr>
        <w:t>《指南》面上项目部分总述中提出的各项要求也是对地区科学基金项目的要求，提醒申请人认真阅读。</w:t>
      </w:r>
    </w:p>
    <w:p>
      <w:pPr>
        <w:autoSpaceDE w:val="0"/>
        <w:autoSpaceDN w:val="0"/>
        <w:jc w:val="left"/>
        <w:spacing w:before="167"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管理科学部地区科学基金项目近两年资助情况一览表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5" w:type="dxa"/>
        <w:jc w:val="left"/>
        <w:tblInd w:w="966"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987"/>
        <w:gridCol w:w="1972"/>
        <w:gridCol w:w="803"/>
        <w:gridCol w:w="957"/>
        <w:gridCol w:w="821"/>
        <w:gridCol w:w="805"/>
        <w:gridCol w:w="840"/>
        <w:gridCol w:w="810"/>
      </w:tblGrid>
      <w:tr>
        <w:trPr>
          <w:trHeight w:val="337" w:hRule="exact"/>
          <w:cantSplit w:val="1"/>
        </w:trPr>
        <w:tc>
          <w:tcPr>
            <w:tcW w:w="2959" w:type="dxa"/>
            <w:gridSpan w:val="2"/>
            <w:vAlign w:val="top"/>
            <w:vMerge w:val="restart"/>
            <w:tcMar/>
            <w:tcBorders/>
          </w:tcPr>
          <w:p>
            <w:pPr>
              <w:autoSpaceDE w:val="0"/>
              <w:autoSpaceDN w:val="0"/>
              <w:jc w:val="left"/>
              <w:spacing w:before="327" w:after="0" w:lineRule="exact" w:line="188"/>
              <w:ind w:right="0" w:left="1245"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581" w:type="dxa"/>
            <w:gridSpan w:val="3"/>
            <w:vAlign w:val="top"/>
            <w:tcMar/>
            <w:tcBorders>
              <w:left w:val="single" w:sz="4" w:space="0" w:color="000000"/>
            </w:tcBorders>
          </w:tcPr>
          <w:p>
            <w:pPr>
              <w:autoSpaceDE w:val="0"/>
              <w:autoSpaceDN w:val="0"/>
              <w:jc w:val="left"/>
              <w:spacing w:before="82" w:after="0" w:lineRule="auto" w:line="240"/>
              <w:ind w:right="0" w:left="967" w:firstLine="0"/>
              <w:snapToGrid w:val="0"/>
              <w:textAlignment w:val="auto"/>
              <w:tabs>
                <w:tab w:val="left" w:leader="none" w:pos="1310"/>
              </w:tabs>
              <w:numPr>
                <w:ilvl w:val="0"/>
                <w:numId w:val="277"/>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55" w:type="dxa"/>
            <w:gridSpan w:val="3"/>
            <w:vAlign w:val="top"/>
            <w:tcMar/>
            <w:tcBorders>
              <w:left w:val="single" w:sz="4" w:space="0" w:color="000000"/>
              <w:right w:val="single" w:sz="8" w:space="0" w:color="000000"/>
            </w:tcBorders>
          </w:tcPr>
          <w:p>
            <w:pPr>
              <w:autoSpaceDE w:val="0"/>
              <w:autoSpaceDN w:val="0"/>
              <w:jc w:val="left"/>
              <w:spacing w:before="82" w:after="0" w:lineRule="auto" w:line="240"/>
              <w:ind w:right="0" w:left="897" w:firstLine="0"/>
              <w:snapToGrid w:val="0"/>
              <w:textAlignment w:val="auto"/>
              <w:tabs>
                <w:tab w:val="left" w:leader="none" w:pos="1241"/>
              </w:tabs>
              <w:numPr>
                <w:ilvl w:val="0"/>
                <w:numId w:val="277"/>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88" w:hRule="exact"/>
          <w:cantSplit w:val="1"/>
        </w:trPr>
        <w:tc>
          <w:tcPr>
            <w:tcW w:w="295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03" w:type="dxa"/>
            <w:gridSpan w:val="1"/>
            <w:vAlign w:val="top"/>
            <w:tcMar/>
            <w:tcBorders>
              <w:left w:val="single" w:sz="4" w:space="0" w:color="000000"/>
              <w:top w:val="single" w:sz="4" w:space="0" w:color="000000"/>
            </w:tcBorders>
          </w:tcPr>
          <w:p>
            <w:pPr>
              <w:autoSpaceDE w:val="0"/>
              <w:autoSpaceDN w:val="0"/>
              <w:jc w:val="left"/>
              <w:spacing w:before="141"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957" w:type="dxa"/>
            <w:gridSpan w:val="1"/>
            <w:vAlign w:val="top"/>
            <w:tcMar/>
            <w:tcBorders>
              <w:left w:val="single" w:sz="4" w:space="0" w:color="000000"/>
              <w:top w:val="single" w:sz="4" w:space="0" w:color="000000"/>
            </w:tcBorders>
          </w:tcPr>
          <w:p>
            <w:pPr>
              <w:autoSpaceDE w:val="0"/>
              <w:autoSpaceDN w:val="0"/>
              <w:jc w:val="left"/>
              <w:spacing w:before="141" w:after="0" w:lineRule="exact" w:line="188"/>
              <w:ind w:right="0" w:left="174"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1"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180"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5"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05" w:type="dxa"/>
            <w:gridSpan w:val="1"/>
            <w:vAlign w:val="top"/>
            <w:tcMar/>
            <w:tcBorders>
              <w:left w:val="single" w:sz="4" w:space="0" w:color="000000"/>
              <w:top w:val="single" w:sz="4" w:space="0" w:color="000000"/>
            </w:tcBorders>
          </w:tcPr>
          <w:p>
            <w:pPr>
              <w:autoSpaceDE w:val="0"/>
              <w:autoSpaceDN w:val="0"/>
              <w:jc w:val="left"/>
              <w:spacing w:before="141" w:after="0" w:lineRule="exact" w:line="188"/>
              <w:ind w:right="0" w:left="98"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40" w:type="dxa"/>
            <w:gridSpan w:val="1"/>
            <w:vAlign w:val="top"/>
            <w:tcMar/>
            <w:tcBorders>
              <w:left w:val="single" w:sz="4" w:space="0" w:color="000000"/>
              <w:top w:val="single" w:sz="4" w:space="0" w:color="000000"/>
            </w:tcBorders>
          </w:tcPr>
          <w:p>
            <w:pPr>
              <w:autoSpaceDE w:val="0"/>
              <w:autoSpaceDN w:val="0"/>
              <w:jc w:val="left"/>
              <w:spacing w:before="141" w:after="0" w:lineRule="exact" w:line="188"/>
              <w:ind w:right="0" w:left="115"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1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4" w:after="0" w:lineRule="exact" w:line="188"/>
              <w:ind w:right="0" w:left="174"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0"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95" w:hRule="exact"/>
          <w:cantSplit w:val="1"/>
        </w:trPr>
        <w:tc>
          <w:tcPr>
            <w:tcW w:w="987" w:type="dxa"/>
            <w:gridSpan w:val="1"/>
            <w:vAlign w:val="top"/>
            <w:tcMar/>
            <w:tcBorders>
              <w:top w:val="single" w:sz="4" w:space="0" w:color="000000"/>
            </w:tcBorders>
          </w:tcPr>
          <w:p>
            <w:pPr>
              <w:autoSpaceDE w:val="0"/>
              <w:autoSpaceDN w:val="0"/>
              <w:jc w:val="left"/>
              <w:spacing w:before="45" w:after="0" w:lineRule="exact" w:line="188"/>
              <w:ind w:right="0" w:left="33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1972"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55" w:firstLine="0"/>
              <w:snapToGrid w:val="0"/>
              <w:textAlignment w:val="auto"/>
              <w:tabs/>
              <w:rPr>
                <w:rFonts w:ascii="宋体" w:hAnsi="宋体" w:cs="宋体" w:eastAsia="宋体" w:hint="ascii"/>
                <w:sz w:val="15"/>
              </w:rPr>
            </w:pPr>
            <w:r>
              <w:rPr>
                <w:rFonts w:ascii="宋体" w:hAnsi="宋体" w:cs="宋体" w:eastAsia="宋体" w:hint="ascii"/>
                <w:sz w:val="15"/>
              </w:rPr>
              <w:t>管理科学与工程</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w:t>
            </w:r>
          </w:p>
        </w:tc>
        <w:tc>
          <w:tcPr>
            <w:tcW w:w="95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888</w:t>
            </w:r>
          </w:p>
        </w:tc>
        <w:tc>
          <w:tcPr>
            <w:tcW w:w="82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20.69</w:t>
            </w:r>
          </w:p>
        </w:tc>
        <w:tc>
          <w:tcPr>
            <w:tcW w:w="80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w:t>
            </w:r>
          </w:p>
        </w:tc>
        <w:tc>
          <w:tcPr>
            <w:tcW w:w="84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899</w:t>
            </w:r>
          </w:p>
        </w:tc>
        <w:tc>
          <w:tcPr>
            <w:tcW w:w="81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17.88</w:t>
            </w:r>
          </w:p>
        </w:tc>
      </w:tr>
      <w:tr>
        <w:trPr>
          <w:trHeight w:val="294" w:hRule="exact"/>
          <w:cantSplit w:val="1"/>
        </w:trPr>
        <w:tc>
          <w:tcPr>
            <w:tcW w:w="987" w:type="dxa"/>
            <w:gridSpan w:val="1"/>
            <w:vAlign w:val="top"/>
            <w:tcMar/>
            <w:tcBorders>
              <w:top w:val="single" w:sz="4" w:space="0" w:color="000000"/>
            </w:tcBorders>
          </w:tcPr>
          <w:p>
            <w:pPr>
              <w:autoSpaceDE w:val="0"/>
              <w:autoSpaceDN w:val="0"/>
              <w:jc w:val="left"/>
              <w:spacing w:before="44" w:after="0" w:lineRule="exact" w:line="188"/>
              <w:ind w:right="0" w:left="33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1972"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680" w:firstLine="0"/>
              <w:snapToGrid w:val="0"/>
              <w:textAlignment w:val="auto"/>
              <w:tabs/>
              <w:rPr>
                <w:rFonts w:ascii="宋体" w:hAnsi="宋体" w:cs="宋体" w:eastAsia="宋体" w:hint="ascii"/>
                <w:sz w:val="15"/>
              </w:rPr>
            </w:pPr>
            <w:r>
              <w:rPr>
                <w:rFonts w:ascii="宋体" w:hAnsi="宋体" w:cs="宋体" w:eastAsia="宋体" w:hint="ascii"/>
                <w:sz w:val="15"/>
              </w:rPr>
              <w:t>工商管理</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w:t>
            </w:r>
          </w:p>
        </w:tc>
        <w:tc>
          <w:tcPr>
            <w:tcW w:w="95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1 066</w:t>
            </w:r>
          </w:p>
        </w:tc>
        <w:tc>
          <w:tcPr>
            <w:tcW w:w="82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20.00</w:t>
            </w:r>
          </w:p>
        </w:tc>
        <w:tc>
          <w:tcPr>
            <w:tcW w:w="80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w:t>
            </w:r>
          </w:p>
        </w:tc>
        <w:tc>
          <w:tcPr>
            <w:tcW w:w="84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955</w:t>
            </w:r>
          </w:p>
        </w:tc>
        <w:tc>
          <w:tcPr>
            <w:tcW w:w="81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17.80</w:t>
            </w:r>
          </w:p>
        </w:tc>
      </w:tr>
      <w:tr>
        <w:trPr>
          <w:trHeight w:val="300" w:hRule="exact"/>
          <w:cantSplit w:val="1"/>
        </w:trPr>
        <w:tc>
          <w:tcPr>
            <w:tcW w:w="987" w:type="dxa"/>
            <w:gridSpan w:val="1"/>
            <w:vAlign w:val="top"/>
            <w:tcMar/>
            <w:tcBorders>
              <w:top w:val="single" w:sz="4" w:space="0" w:color="000000"/>
              <w:bottom w:val="single" w:sz="8" w:space="0" w:color="000000"/>
            </w:tcBorders>
          </w:tcPr>
          <w:p>
            <w:pPr>
              <w:autoSpaceDE w:val="0"/>
              <w:autoSpaceDN w:val="0"/>
              <w:jc w:val="left"/>
              <w:spacing w:before="45" w:after="0" w:lineRule="exact" w:line="188"/>
              <w:ind w:right="0" w:left="33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7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45" w:after="0" w:lineRule="exact" w:line="188"/>
              <w:ind w:right="0" w:left="680" w:firstLine="0"/>
              <w:snapToGrid w:val="0"/>
              <w:textAlignment w:val="auto"/>
              <w:tabs/>
              <w:rPr>
                <w:rFonts w:ascii="宋体" w:hAnsi="宋体" w:cs="宋体" w:eastAsia="宋体" w:hint="ascii"/>
                <w:sz w:val="15"/>
              </w:rPr>
            </w:pPr>
            <w:r>
              <w:rPr>
                <w:rFonts w:ascii="宋体" w:hAnsi="宋体" w:cs="宋体" w:eastAsia="宋体" w:hint="ascii"/>
                <w:sz w:val="15"/>
              </w:rPr>
              <w:t>经济科学</w:t>
            </w:r>
          </w:p>
        </w:tc>
        <w:tc>
          <w:tcPr>
            <w:tcW w:w="80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w:t>
            </w:r>
          </w:p>
        </w:tc>
        <w:tc>
          <w:tcPr>
            <w:tcW w:w="957"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4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975</w:t>
            </w:r>
          </w:p>
        </w:tc>
        <w:tc>
          <w:tcPr>
            <w:tcW w:w="82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18.86</w:t>
            </w:r>
          </w:p>
        </w:tc>
        <w:tc>
          <w:tcPr>
            <w:tcW w:w="80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w:t>
            </w:r>
          </w:p>
        </w:tc>
        <w:tc>
          <w:tcPr>
            <w:tcW w:w="840"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38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955</w:t>
            </w:r>
          </w:p>
        </w:tc>
        <w:tc>
          <w:tcPr>
            <w:tcW w:w="810"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52" w:after="0" w:lineRule="auto" w:line="240"/>
              <w:ind w:right="0" w:left="23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16.92</w:t>
            </w:r>
          </w:p>
        </w:tc>
      </w:tr>
    </w:tbl>
    <w:p>
      <w:pPr>
        <w:autoSpaceDE w:val="0"/>
        <w:autoSpaceDN w:val="0"/>
        <w:jc w:val="left"/>
        <w:spacing w:before="285"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地区科学基金项目</w:t>
      </w:r>
    </w:p>
    <w:p>
      <w:pPr>
        <w:autoSpaceDE w:val="0"/>
        <w:autoSpaceDN w:val="0"/>
        <w:jc w:val="left"/>
        <w:spacing w:before="327"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217" locked="0" layoutInCell="1" allowOverlap="1">
                <wp:simplePos x="0" y="0"/>
                <wp:positionH relativeFrom="page">
                  <wp:posOffset>938530</wp:posOffset>
                </wp:positionH>
                <wp:positionV relativeFrom="page">
                  <wp:posOffset>819150</wp:posOffset>
                </wp:positionV>
                <wp:extent cx="5076190" cy="0"/>
                <wp:wrapNone/>
                <wp:docPr id="1246" name="124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36032;width:399.70pt;" id="1246" coordsize="7994,0" strokeweight="0.50pt" strokecolor="#231f20" fillcolor="#auto" opacity="0f" from="0.00pt, 0.00pt" to="399.70pt, 0.00pt">
                <v:stroke endcap="round"/>
                <v:fill opacity="0f"/>
                <w10:wrap anchorx="page" anchory="page" side="both"/>
              </v:line>
            </w:pict>
          </mc:Fallback>
        </mc:AlternateContent>
      </w:r>
    </w:p>
    <w:tbl>
      <w:tblPr>
        <w:tblW w:w="7995" w:type="dxa"/>
        <w:jc w:val="left"/>
        <w:tblInd w:w="966"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987"/>
        <w:gridCol w:w="1972"/>
        <w:gridCol w:w="803"/>
        <w:gridCol w:w="957"/>
        <w:gridCol w:w="821"/>
        <w:gridCol w:w="805"/>
        <w:gridCol w:w="840"/>
        <w:gridCol w:w="810"/>
      </w:tblGrid>
      <w:tr>
        <w:trPr>
          <w:trHeight w:val="336" w:hRule="exact"/>
          <w:cantSplit w:val="1"/>
        </w:trPr>
        <w:tc>
          <w:tcPr>
            <w:tcW w:w="2959" w:type="dxa"/>
            <w:gridSpan w:val="2"/>
            <w:vAlign w:val="top"/>
            <w:vMerge w:val="restart"/>
            <w:tcMar/>
            <w:tcBorders/>
          </w:tcPr>
          <w:p>
            <w:pPr>
              <w:autoSpaceDE w:val="0"/>
              <w:autoSpaceDN w:val="0"/>
              <w:jc w:val="left"/>
              <w:spacing w:before="326" w:after="0" w:lineRule="exact" w:line="188"/>
              <w:ind w:right="0" w:left="1245"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581" w:type="dxa"/>
            <w:gridSpan w:val="3"/>
            <w:vAlign w:val="top"/>
            <w:tcMar/>
            <w:tcBorders>
              <w:left w:val="single" w:sz="4" w:space="0" w:color="000000"/>
            </w:tcBorders>
          </w:tcPr>
          <w:p>
            <w:pPr>
              <w:autoSpaceDE w:val="0"/>
              <w:autoSpaceDN w:val="0"/>
              <w:jc w:val="left"/>
              <w:spacing w:before="82" w:after="0" w:lineRule="auto" w:line="240"/>
              <w:ind w:right="0" w:left="967" w:firstLine="0"/>
              <w:snapToGrid w:val="0"/>
              <w:textAlignment w:val="auto"/>
              <w:tabs>
                <w:tab w:val="left" w:leader="none" w:pos="1310"/>
              </w:tabs>
              <w:numPr>
                <w:ilvl w:val="0"/>
                <w:numId w:val="278"/>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55" w:type="dxa"/>
            <w:gridSpan w:val="3"/>
            <w:vAlign w:val="top"/>
            <w:tcMar/>
            <w:tcBorders>
              <w:left w:val="single" w:sz="4" w:space="0" w:color="000000"/>
              <w:right w:val="single" w:sz="8" w:space="0" w:color="000000"/>
            </w:tcBorders>
          </w:tcPr>
          <w:p>
            <w:pPr>
              <w:autoSpaceDE w:val="0"/>
              <w:autoSpaceDN w:val="0"/>
              <w:jc w:val="left"/>
              <w:spacing w:before="82" w:after="0" w:lineRule="auto" w:line="240"/>
              <w:ind w:right="0" w:left="897" w:firstLine="0"/>
              <w:snapToGrid w:val="0"/>
              <w:textAlignment w:val="auto"/>
              <w:tabs>
                <w:tab w:val="left" w:leader="none" w:pos="1241"/>
              </w:tabs>
              <w:numPr>
                <w:ilvl w:val="0"/>
                <w:numId w:val="278"/>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490" w:hRule="exact"/>
          <w:cantSplit w:val="1"/>
        </w:trPr>
        <w:tc>
          <w:tcPr>
            <w:tcW w:w="2959"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03"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957"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174"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1"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180"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5"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05"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98"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40" w:type="dxa"/>
            <w:gridSpan w:val="1"/>
            <w:vAlign w:val="top"/>
            <w:tcMar/>
            <w:tcBorders>
              <w:left w:val="single" w:sz="4" w:space="0" w:color="000000"/>
              <w:top w:val="single" w:sz="4" w:space="0" w:color="000000"/>
            </w:tcBorders>
          </w:tcPr>
          <w:p>
            <w:pPr>
              <w:autoSpaceDE w:val="0"/>
              <w:autoSpaceDN w:val="0"/>
              <w:jc w:val="left"/>
              <w:spacing w:before="143" w:after="0" w:lineRule="exact" w:line="188"/>
              <w:ind w:right="0" w:left="115"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1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 w:after="0" w:lineRule="exact" w:line="188"/>
              <w:ind w:right="0" w:left="174"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0"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94" w:hRule="exact"/>
          <w:cantSplit w:val="1"/>
        </w:trPr>
        <w:tc>
          <w:tcPr>
            <w:tcW w:w="987" w:type="dxa"/>
            <w:gridSpan w:val="1"/>
            <w:vAlign w:val="top"/>
            <w:tcMar/>
            <w:tcBorders>
              <w:top w:val="single" w:sz="4" w:space="0" w:color="000000"/>
            </w:tcBorders>
          </w:tcPr>
          <w:p>
            <w:pPr>
              <w:autoSpaceDE w:val="0"/>
              <w:autoSpaceDN w:val="0"/>
              <w:jc w:val="left"/>
              <w:spacing w:before="45" w:after="0" w:lineRule="exact" w:line="188"/>
              <w:ind w:right="0" w:left="33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1972" w:type="dxa"/>
            <w:gridSpan w:val="1"/>
            <w:vAlign w:val="top"/>
            <w:tcMar/>
            <w:tcBorders>
              <w:left w:val="single" w:sz="4" w:space="0" w:color="000000"/>
              <w:top w:val="single" w:sz="4" w:space="0" w:color="000000"/>
            </w:tcBorders>
          </w:tcPr>
          <w:p>
            <w:pPr>
              <w:autoSpaceDE w:val="0"/>
              <w:autoSpaceDN w:val="0"/>
              <w:jc w:val="left"/>
              <w:spacing w:before="45" w:after="0" w:lineRule="exact" w:line="188"/>
              <w:ind w:right="0" w:left="455" w:firstLine="0"/>
              <w:snapToGrid w:val="0"/>
              <w:textAlignment w:val="auto"/>
              <w:tabs/>
              <w:rPr>
                <w:rFonts w:ascii="宋体" w:hAnsi="宋体" w:cs="宋体" w:eastAsia="宋体" w:hint="ascii"/>
                <w:sz w:val="15"/>
              </w:rPr>
            </w:pPr>
            <w:r>
              <w:rPr>
                <w:rFonts w:ascii="宋体" w:hAnsi="宋体" w:cs="宋体" w:eastAsia="宋体" w:hint="ascii"/>
                <w:sz w:val="15"/>
              </w:rPr>
              <w:t>宏观管理与政策</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31</w:t>
            </w:r>
          </w:p>
        </w:tc>
        <w:tc>
          <w:tcPr>
            <w:tcW w:w="95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4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921</w:t>
            </w:r>
          </w:p>
        </w:tc>
        <w:tc>
          <w:tcPr>
            <w:tcW w:w="82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18.79</w:t>
            </w:r>
          </w:p>
        </w:tc>
        <w:tc>
          <w:tcPr>
            <w:tcW w:w="80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6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w:t>
            </w:r>
          </w:p>
        </w:tc>
        <w:tc>
          <w:tcPr>
            <w:tcW w:w="84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1 0</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81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17.06</w:t>
            </w:r>
          </w:p>
        </w:tc>
      </w:tr>
      <w:tr>
        <w:trPr>
          <w:trHeight w:val="295" w:hRule="exact"/>
          <w:cantSplit w:val="1"/>
        </w:trPr>
        <w:tc>
          <w:tcPr>
            <w:tcW w:w="2959" w:type="dxa"/>
            <w:gridSpan w:val="2"/>
            <w:vAlign w:val="top"/>
            <w:tcMar/>
            <w:tcBorders>
              <w:top w:val="single" w:sz="4" w:space="0" w:color="000000"/>
            </w:tcBorders>
          </w:tcPr>
          <w:p>
            <w:pPr>
              <w:autoSpaceDE w:val="0"/>
              <w:autoSpaceDN w:val="0"/>
              <w:jc w:val="left"/>
              <w:spacing w:before="45" w:after="0" w:lineRule="exact" w:line="188"/>
              <w:ind w:right="0" w:left="1020"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03"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130</w:t>
            </w:r>
          </w:p>
        </w:tc>
        <w:tc>
          <w:tcPr>
            <w:tcW w:w="95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34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3 850</w:t>
            </w:r>
          </w:p>
        </w:tc>
        <w:tc>
          <w:tcPr>
            <w:tcW w:w="82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19.55</w:t>
            </w:r>
          </w:p>
        </w:tc>
        <w:tc>
          <w:tcPr>
            <w:tcW w:w="80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8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136</w:t>
            </w:r>
          </w:p>
        </w:tc>
        <w:tc>
          <w:tcPr>
            <w:tcW w:w="840"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27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3 820</w:t>
            </w:r>
          </w:p>
        </w:tc>
        <w:tc>
          <w:tcPr>
            <w:tcW w:w="81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23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17.39</w:t>
            </w:r>
          </w:p>
        </w:tc>
      </w:tr>
      <w:tr>
        <w:trPr>
          <w:trHeight w:val="336" w:hRule="exact"/>
          <w:cantSplit w:val="1"/>
        </w:trPr>
        <w:tc>
          <w:tcPr>
            <w:tcW w:w="2959" w:type="dxa"/>
            <w:gridSpan w:val="2"/>
            <w:vAlign w:val="top"/>
            <w:tcMar/>
            <w:tcBorders>
              <w:top w:val="single" w:sz="4" w:space="0" w:color="000000"/>
              <w:bottom w:val="single" w:sz="8" w:space="0" w:color="000000"/>
            </w:tcBorders>
          </w:tcPr>
          <w:p>
            <w:pPr>
              <w:autoSpaceDE w:val="0"/>
              <w:autoSpaceDN w:val="0"/>
              <w:jc w:val="left"/>
              <w:spacing w:before="81" w:after="0" w:lineRule="exact" w:line="188"/>
              <w:ind w:right="0" w:left="32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581"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88" w:after="0" w:lineRule="auto" w:line="240"/>
              <w:ind w:right="0" w:left="111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29.62</w:t>
            </w:r>
          </w:p>
        </w:tc>
        <w:tc>
          <w:tcPr>
            <w:tcW w:w="2455"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88" w:after="0" w:lineRule="auto" w:line="240"/>
              <w:ind w:right="0" w:left="104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28.09</w:t>
            </w:r>
          </w:p>
        </w:tc>
      </w:tr>
    </w:tbl>
    <w:p>
      <w:pPr>
        <w:autoSpaceDE w:val="0"/>
        <w:autoSpaceDN w:val="0"/>
        <w:jc w:val="left"/>
        <w:spacing w:before="320" w:after="0" w:lineRule="exact" w:line="475"/>
        <w:ind w:right="0" w:left="4006" w:firstLine="0"/>
        <w:snapToGrid w:val="0"/>
        <w:textAlignment w:val="auto"/>
        <w:tabs/>
        <w:rPr>
          <w:rFonts w:ascii="宋体" w:hAnsi="宋体" w:cs="宋体" w:eastAsia="宋体" w:hint="ascii"/>
          <w:sz w:val="38"/>
        </w:rPr>
      </w:pPr>
      <w:r>
        <w:rPr>
          <w:rFonts w:ascii="宋体" w:hAnsi="宋体" w:cs="宋体" w:eastAsia="宋体" w:hint="ascii"/>
          <w:sz w:val="38"/>
        </w:rPr>
        <w:t>医学科学部</w:t>
      </w:r>
    </w:p>
    <w:p>
      <w:pPr>
        <w:autoSpaceDE w:val="0"/>
        <w:autoSpaceDN w:val="0"/>
        <w:jc w:val="both"/>
        <w:spacing w:before="280" w:after="0" w:lineRule="exact" w:line="319"/>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医学科学部主</w:t>
      </w:r>
      <w:r>
        <w:rPr>
          <w:rFonts w:ascii="宋体" w:hAnsi="宋体" w:cs="宋体" w:eastAsia="宋体" w:hint="ascii"/>
          <w:sz w:val="21"/>
        </w:rPr>
        <w:t>要资助针对疾病发生、发展、转归、诊断、治疗和预防等开展的基础研究和临床基础研究。</w:t>
      </w:r>
    </w:p>
    <w:p>
      <w:pPr>
        <w:autoSpaceDE w:val="0"/>
        <w:autoSpaceDN w:val="0"/>
        <w:jc w:val="left"/>
        <w:spacing w:before="47" w:after="0" w:lineRule="exact" w:line="263"/>
        <w:ind w:right="0" w:left="1370" w:firstLine="0"/>
        <w:snapToGrid w:val="0"/>
        <w:textAlignment w:val="auto"/>
        <w:tabs/>
        <w:rPr>
          <w:rFonts w:ascii="宋体" w:hAnsi="宋体" w:cs="宋体" w:eastAsia="宋体" w:hint="ascii"/>
          <w:sz w:val="21"/>
        </w:rPr>
      </w:pPr>
      <w:r>
        <w:rPr>
          <w:rFonts w:ascii="宋体" w:hAnsi="宋体" w:cs="宋体" w:eastAsia="宋体" w:hint="ascii"/>
          <w:sz w:val="21"/>
          <w:spacing w:val="-2"/>
        </w:rPr>
        <w:t>欢迎符合</w:t>
      </w:r>
      <w:r>
        <w:rPr>
          <w:rFonts w:ascii="宋体" w:hAnsi="宋体" w:cs="宋体" w:eastAsia="宋体" w:hint="ascii"/>
          <w:sz w:val="21"/>
          <w:spacing w:val="-3"/>
        </w:rPr>
        <w:t>地</w:t>
      </w:r>
      <w:r>
        <w:rPr>
          <w:rFonts w:ascii="宋体" w:hAnsi="宋体" w:cs="宋体" w:eastAsia="宋体" w:hint="ascii"/>
          <w:sz w:val="21"/>
          <w:spacing w:val="-2"/>
        </w:rPr>
        <w:t>区科学基</w:t>
      </w:r>
      <w:r>
        <w:rPr>
          <w:rFonts w:ascii="宋体" w:hAnsi="宋体" w:cs="宋体" w:eastAsia="宋体" w:hint="ascii"/>
          <w:sz w:val="21"/>
          <w:spacing w:val="-3"/>
        </w:rPr>
        <w:t>金</w:t>
      </w:r>
      <w:r>
        <w:rPr>
          <w:rFonts w:ascii="宋体" w:hAnsi="宋体" w:cs="宋体" w:eastAsia="宋体" w:hint="ascii"/>
          <w:sz w:val="21"/>
          <w:spacing w:val="-2"/>
        </w:rPr>
        <w:t>项目申请</w:t>
      </w:r>
      <w:r>
        <w:rPr>
          <w:rFonts w:ascii="宋体" w:hAnsi="宋体" w:cs="宋体" w:eastAsia="宋体" w:hint="ascii"/>
          <w:sz w:val="21"/>
          <w:spacing w:val="-3"/>
        </w:rPr>
        <w:t>条</w:t>
      </w:r>
      <w:r>
        <w:rPr>
          <w:rFonts w:ascii="宋体" w:hAnsi="宋体" w:cs="宋体" w:eastAsia="宋体" w:hint="ascii"/>
          <w:sz w:val="21"/>
          <w:spacing w:val="-2"/>
        </w:rPr>
        <w:t>件的科学</w:t>
      </w:r>
      <w:r>
        <w:rPr>
          <w:rFonts w:ascii="宋体" w:hAnsi="宋体" w:cs="宋体" w:eastAsia="宋体" w:hint="ascii"/>
          <w:sz w:val="21"/>
          <w:spacing w:val="-3"/>
        </w:rPr>
        <w:t>工</w:t>
      </w:r>
      <w:r>
        <w:rPr>
          <w:rFonts w:ascii="宋体" w:hAnsi="宋体" w:cs="宋体" w:eastAsia="宋体" w:hint="ascii"/>
          <w:sz w:val="21"/>
          <w:spacing w:val="-2"/>
        </w:rPr>
        <w:t>作者向医</w:t>
      </w:r>
      <w:r>
        <w:rPr>
          <w:rFonts w:ascii="宋体" w:hAnsi="宋体" w:cs="宋体" w:eastAsia="宋体" w:hint="ascii"/>
          <w:sz w:val="21"/>
          <w:spacing w:val="-3"/>
        </w:rPr>
        <w:t>学</w:t>
      </w:r>
      <w:r>
        <w:rPr>
          <w:rFonts w:ascii="宋体" w:hAnsi="宋体" w:cs="宋体" w:eastAsia="宋体" w:hint="ascii"/>
          <w:sz w:val="21"/>
          <w:spacing w:val="-2"/>
        </w:rPr>
        <w:t>科学部提</w:t>
      </w:r>
      <w:r>
        <w:rPr>
          <w:rFonts w:ascii="宋体" w:hAnsi="宋体" w:cs="宋体" w:eastAsia="宋体" w:hint="ascii"/>
          <w:sz w:val="21"/>
          <w:spacing w:val="-3"/>
        </w:rPr>
        <w:t>出</w:t>
      </w:r>
      <w:r>
        <w:rPr>
          <w:rFonts w:ascii="宋体" w:hAnsi="宋体" w:cs="宋体" w:eastAsia="宋体" w:hint="ascii"/>
          <w:sz w:val="21"/>
          <w:spacing w:val="-2"/>
        </w:rPr>
        <w:t>申请。地</w:t>
      </w:r>
      <w:r>
        <w:rPr>
          <w:rFonts w:ascii="宋体" w:hAnsi="宋体" w:cs="宋体" w:eastAsia="宋体" w:hint="ascii"/>
          <w:sz w:val="21"/>
          <w:spacing w:val="-3"/>
        </w:rPr>
        <w:t>区科</w:t>
      </w:r>
      <w:r>
        <w:rPr>
          <w:rFonts w:ascii="宋体" w:hAnsi="宋体" w:cs="宋体" w:eastAsia="宋体" w:hint="ascii"/>
          <w:sz w:val="21"/>
        </w:rPr>
        <w:t>学</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基金</w:t>
      </w:r>
      <w:r>
        <w:rPr>
          <w:rFonts w:ascii="宋体" w:hAnsi="宋体" w:cs="宋体" w:eastAsia="宋体" w:hint="ascii"/>
          <w:sz w:val="21"/>
          <w:spacing w:val="-3"/>
        </w:rPr>
        <w:t>项</w:t>
      </w:r>
      <w:r>
        <w:rPr>
          <w:rFonts w:ascii="宋体" w:hAnsi="宋体" w:cs="宋体" w:eastAsia="宋体" w:hint="ascii"/>
          <w:sz w:val="21"/>
          <w:spacing w:val="-2"/>
        </w:rPr>
        <w:t>目</w:t>
      </w:r>
      <w:r>
        <w:rPr>
          <w:rFonts w:ascii="宋体" w:hAnsi="宋体" w:cs="宋体" w:eastAsia="宋体" w:hint="ascii"/>
          <w:sz w:val="21"/>
          <w:spacing w:val="-3"/>
        </w:rPr>
        <w:t>旨</w:t>
      </w:r>
      <w:r>
        <w:rPr>
          <w:rFonts w:ascii="宋体" w:hAnsi="宋体" w:cs="宋体" w:eastAsia="宋体" w:hint="ascii"/>
          <w:sz w:val="21"/>
          <w:spacing w:val="-2"/>
        </w:rPr>
        <w:t>在稳</w:t>
      </w:r>
      <w:r>
        <w:rPr>
          <w:rFonts w:ascii="宋体" w:hAnsi="宋体" w:cs="宋体" w:eastAsia="宋体" w:hint="ascii"/>
          <w:sz w:val="21"/>
          <w:spacing w:val="-3"/>
        </w:rPr>
        <w:t>定</w:t>
      </w:r>
      <w:r>
        <w:rPr>
          <w:rFonts w:ascii="宋体" w:hAnsi="宋体" w:cs="宋体" w:eastAsia="宋体" w:hint="ascii"/>
          <w:sz w:val="21"/>
          <w:spacing w:val="-2"/>
        </w:rPr>
        <w:t>和</w:t>
      </w:r>
      <w:r>
        <w:rPr>
          <w:rFonts w:ascii="宋体" w:hAnsi="宋体" w:cs="宋体" w:eastAsia="宋体" w:hint="ascii"/>
          <w:sz w:val="21"/>
          <w:spacing w:val="-3"/>
        </w:rPr>
        <w:t>培</w:t>
      </w:r>
      <w:r>
        <w:rPr>
          <w:rFonts w:ascii="宋体" w:hAnsi="宋体" w:cs="宋体" w:eastAsia="宋体" w:hint="ascii"/>
          <w:sz w:val="21"/>
          <w:spacing w:val="-2"/>
        </w:rPr>
        <w:t>养特</w:t>
      </w:r>
      <w:r>
        <w:rPr>
          <w:rFonts w:ascii="宋体" w:hAnsi="宋体" w:cs="宋体" w:eastAsia="宋体" w:hint="ascii"/>
          <w:sz w:val="21"/>
          <w:spacing w:val="-3"/>
        </w:rPr>
        <w:t>定</w:t>
      </w:r>
      <w:r>
        <w:rPr>
          <w:rFonts w:ascii="宋体" w:hAnsi="宋体" w:cs="宋体" w:eastAsia="宋体" w:hint="ascii"/>
          <w:sz w:val="21"/>
          <w:spacing w:val="-2"/>
        </w:rPr>
        <w:t>地</w:t>
      </w:r>
      <w:r>
        <w:rPr>
          <w:rFonts w:ascii="宋体" w:hAnsi="宋体" w:cs="宋体" w:eastAsia="宋体" w:hint="ascii"/>
          <w:sz w:val="21"/>
          <w:spacing w:val="-3"/>
        </w:rPr>
        <w:t>区</w:t>
      </w:r>
      <w:r>
        <w:rPr>
          <w:rFonts w:ascii="宋体" w:hAnsi="宋体" w:cs="宋体" w:eastAsia="宋体" w:hint="ascii"/>
          <w:sz w:val="21"/>
          <w:spacing w:val="-2"/>
        </w:rPr>
        <w:t>的科</w:t>
      </w:r>
      <w:r>
        <w:rPr>
          <w:rFonts w:ascii="宋体" w:hAnsi="宋体" w:cs="宋体" w:eastAsia="宋体" w:hint="ascii"/>
          <w:sz w:val="21"/>
          <w:spacing w:val="-3"/>
        </w:rPr>
        <w:t>学</w:t>
      </w:r>
      <w:r>
        <w:rPr>
          <w:rFonts w:ascii="宋体" w:hAnsi="宋体" w:cs="宋体" w:eastAsia="宋体" w:hint="ascii"/>
          <w:sz w:val="21"/>
          <w:spacing w:val="-2"/>
        </w:rPr>
        <w:t>研</w:t>
      </w:r>
      <w:r>
        <w:rPr>
          <w:rFonts w:ascii="宋体" w:hAnsi="宋体" w:cs="宋体" w:eastAsia="宋体" w:hint="ascii"/>
          <w:sz w:val="21"/>
          <w:spacing w:val="-3"/>
        </w:rPr>
        <w:t>究</w:t>
      </w:r>
      <w:r>
        <w:rPr>
          <w:rFonts w:ascii="宋体" w:hAnsi="宋体" w:cs="宋体" w:eastAsia="宋体" w:hint="ascii"/>
          <w:sz w:val="21"/>
          <w:spacing w:val="-2"/>
        </w:rPr>
        <w:t>队伍</w:t>
      </w:r>
      <w:r>
        <w:rPr>
          <w:rFonts w:ascii="宋体" w:hAnsi="宋体" w:cs="宋体" w:eastAsia="宋体" w:hint="ascii"/>
          <w:sz w:val="21"/>
          <w:spacing w:val="-3"/>
        </w:rPr>
        <w:t>，</w:t>
      </w:r>
      <w:r>
        <w:rPr>
          <w:rFonts w:ascii="宋体" w:hAnsi="宋体" w:cs="宋体" w:eastAsia="宋体" w:hint="ascii"/>
          <w:sz w:val="21"/>
          <w:spacing w:val="-2"/>
        </w:rPr>
        <w:t>促</w:t>
      </w:r>
      <w:r>
        <w:rPr>
          <w:rFonts w:ascii="宋体" w:hAnsi="宋体" w:cs="宋体" w:eastAsia="宋体" w:hint="ascii"/>
          <w:sz w:val="21"/>
          <w:spacing w:val="-3"/>
        </w:rPr>
        <w:t>进</w:t>
      </w:r>
      <w:r>
        <w:rPr>
          <w:rFonts w:ascii="宋体" w:hAnsi="宋体" w:cs="宋体" w:eastAsia="宋体" w:hint="ascii"/>
          <w:sz w:val="21"/>
          <w:spacing w:val="-2"/>
        </w:rPr>
        <w:t>相关</w:t>
      </w:r>
      <w:r>
        <w:rPr>
          <w:rFonts w:ascii="宋体" w:hAnsi="宋体" w:cs="宋体" w:eastAsia="宋体" w:hint="ascii"/>
          <w:sz w:val="21"/>
          <w:spacing w:val="-3"/>
        </w:rPr>
        <w:t>地</w:t>
      </w:r>
      <w:r>
        <w:rPr>
          <w:rFonts w:ascii="宋体" w:hAnsi="宋体" w:cs="宋体" w:eastAsia="宋体" w:hint="ascii"/>
          <w:sz w:val="21"/>
          <w:spacing w:val="-2"/>
        </w:rPr>
        <w:t>区</w:t>
      </w:r>
      <w:r>
        <w:rPr>
          <w:rFonts w:ascii="宋体" w:hAnsi="宋体" w:cs="宋体" w:eastAsia="宋体" w:hint="ascii"/>
          <w:sz w:val="21"/>
          <w:spacing w:val="-3"/>
        </w:rPr>
        <w:t>的</w:t>
      </w:r>
      <w:r>
        <w:rPr>
          <w:rFonts w:ascii="宋体" w:hAnsi="宋体" w:cs="宋体" w:eastAsia="宋体" w:hint="ascii"/>
          <w:sz w:val="21"/>
          <w:spacing w:val="-2"/>
        </w:rPr>
        <w:t>科技</w:t>
      </w:r>
      <w:r>
        <w:rPr>
          <w:rFonts w:ascii="宋体" w:hAnsi="宋体" w:cs="宋体" w:eastAsia="宋体" w:hint="ascii"/>
          <w:sz w:val="21"/>
          <w:spacing w:val="-3"/>
        </w:rPr>
        <w:t>发</w:t>
      </w:r>
      <w:r>
        <w:rPr>
          <w:rFonts w:ascii="宋体" w:hAnsi="宋体" w:cs="宋体" w:eastAsia="宋体" w:hint="ascii"/>
          <w:sz w:val="21"/>
          <w:spacing w:val="-2"/>
        </w:rPr>
        <w:t>展</w:t>
      </w:r>
      <w:r>
        <w:rPr>
          <w:rFonts w:ascii="宋体" w:hAnsi="宋体" w:cs="宋体" w:eastAsia="宋体" w:hint="ascii"/>
          <w:sz w:val="21"/>
          <w:spacing w:val="-3"/>
        </w:rPr>
        <w:t>，为</w:t>
      </w:r>
      <w:r>
        <w:rPr>
          <w:rFonts w:ascii="宋体" w:hAnsi="宋体" w:cs="宋体" w:eastAsia="宋体" w:hint="ascii"/>
          <w:sz w:val="21"/>
          <w:spacing w:val="-2"/>
        </w:rPr>
        <w:t>地</w:t>
      </w:r>
      <w:r>
        <w:rPr>
          <w:rFonts w:ascii="宋体" w:hAnsi="宋体" w:cs="宋体" w:eastAsia="宋体" w:hint="ascii"/>
          <w:sz w:val="21"/>
          <w:spacing w:val="-3"/>
        </w:rPr>
        <w:t>方</w:t>
      </w:r>
      <w:r>
        <w:rPr>
          <w:rFonts w:ascii="宋体" w:hAnsi="宋体" w:cs="宋体" w:eastAsia="宋体" w:hint="ascii"/>
          <w:sz w:val="21"/>
        </w:rPr>
        <w:t>经</w:t>
      </w:r>
    </w:p>
    <w:p>
      <w:pPr>
        <w:autoSpaceDE w:val="0"/>
        <w:autoSpaceDN w:val="0"/>
        <w:jc w:val="left"/>
        <w:spacing w:before="5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济和</w:t>
      </w:r>
      <w:r>
        <w:rPr>
          <w:rFonts w:ascii="宋体" w:hAnsi="宋体" w:cs="宋体" w:eastAsia="宋体" w:hint="ascii"/>
          <w:sz w:val="21"/>
          <w:spacing w:val="-3"/>
        </w:rPr>
        <w:t>社</w:t>
      </w:r>
      <w:r>
        <w:rPr>
          <w:rFonts w:ascii="宋体" w:hAnsi="宋体" w:cs="宋体" w:eastAsia="宋体" w:hint="ascii"/>
          <w:sz w:val="21"/>
          <w:spacing w:val="-2"/>
        </w:rPr>
        <w:t>会</w:t>
      </w:r>
      <w:r>
        <w:rPr>
          <w:rFonts w:ascii="宋体" w:hAnsi="宋体" w:cs="宋体" w:eastAsia="宋体" w:hint="ascii"/>
          <w:sz w:val="21"/>
          <w:spacing w:val="-3"/>
        </w:rPr>
        <w:t>发</w:t>
      </w:r>
      <w:r>
        <w:rPr>
          <w:rFonts w:ascii="宋体" w:hAnsi="宋体" w:cs="宋体" w:eastAsia="宋体" w:hint="ascii"/>
          <w:sz w:val="21"/>
          <w:spacing w:val="-2"/>
        </w:rPr>
        <w:t>展服</w:t>
      </w:r>
      <w:r>
        <w:rPr>
          <w:rFonts w:ascii="宋体" w:hAnsi="宋体" w:cs="宋体" w:eastAsia="宋体" w:hint="ascii"/>
          <w:sz w:val="21"/>
          <w:spacing w:val="-3"/>
        </w:rPr>
        <w:t>务</w:t>
      </w:r>
      <w:r>
        <w:rPr>
          <w:rFonts w:ascii="宋体" w:hAnsi="宋体" w:cs="宋体" w:eastAsia="宋体" w:hint="ascii"/>
          <w:sz w:val="21"/>
          <w:spacing w:val="-2"/>
        </w:rPr>
        <w:t>。</w:t>
      </w:r>
      <w:r>
        <w:rPr>
          <w:rFonts w:ascii="宋体" w:hAnsi="宋体" w:cs="宋体" w:eastAsia="宋体" w:hint="ascii"/>
          <w:sz w:val="21"/>
          <w:spacing w:val="-3"/>
        </w:rPr>
        <w:t>鼓</w:t>
      </w:r>
      <w:r>
        <w:rPr>
          <w:rFonts w:ascii="宋体" w:hAnsi="宋体" w:cs="宋体" w:eastAsia="宋体" w:hint="ascii"/>
          <w:sz w:val="21"/>
          <w:spacing w:val="-2"/>
        </w:rPr>
        <w:t>励申</w:t>
      </w:r>
      <w:r>
        <w:rPr>
          <w:rFonts w:ascii="宋体" w:hAnsi="宋体" w:cs="宋体" w:eastAsia="宋体" w:hint="ascii"/>
          <w:sz w:val="21"/>
          <w:spacing w:val="-3"/>
        </w:rPr>
        <w:t>请</w:t>
      </w:r>
      <w:r>
        <w:rPr>
          <w:rFonts w:ascii="宋体" w:hAnsi="宋体" w:cs="宋体" w:eastAsia="宋体" w:hint="ascii"/>
          <w:sz w:val="21"/>
          <w:spacing w:val="-2"/>
        </w:rPr>
        <w:t>人</w:t>
      </w:r>
      <w:r>
        <w:rPr>
          <w:rFonts w:ascii="宋体" w:hAnsi="宋体" w:cs="宋体" w:eastAsia="宋体" w:hint="ascii"/>
          <w:sz w:val="21"/>
          <w:spacing w:val="-3"/>
        </w:rPr>
        <w:t>提</w:t>
      </w:r>
      <w:r>
        <w:rPr>
          <w:rFonts w:ascii="宋体" w:hAnsi="宋体" w:cs="宋体" w:eastAsia="宋体" w:hint="ascii"/>
          <w:sz w:val="21"/>
          <w:spacing w:val="-2"/>
        </w:rPr>
        <w:t>出有</w:t>
      </w:r>
      <w:r>
        <w:rPr>
          <w:rFonts w:ascii="宋体" w:hAnsi="宋体" w:cs="宋体" w:eastAsia="宋体" w:hint="ascii"/>
          <w:sz w:val="21"/>
          <w:spacing w:val="-3"/>
        </w:rPr>
        <w:t>创</w:t>
      </w:r>
      <w:r>
        <w:rPr>
          <w:rFonts w:ascii="宋体" w:hAnsi="宋体" w:cs="宋体" w:eastAsia="宋体" w:hint="ascii"/>
          <w:sz w:val="21"/>
          <w:spacing w:val="-2"/>
        </w:rPr>
        <w:t>新</w:t>
      </w:r>
      <w:r>
        <w:rPr>
          <w:rFonts w:ascii="宋体" w:hAnsi="宋体" w:cs="宋体" w:eastAsia="宋体" w:hint="ascii"/>
          <w:sz w:val="21"/>
          <w:spacing w:val="-3"/>
        </w:rPr>
        <w:t>的</w:t>
      </w:r>
      <w:r>
        <w:rPr>
          <w:rFonts w:ascii="宋体" w:hAnsi="宋体" w:cs="宋体" w:eastAsia="宋体" w:hint="ascii"/>
          <w:sz w:val="21"/>
          <w:spacing w:val="-2"/>
        </w:rPr>
        <w:t>研究</w:t>
      </w:r>
      <w:r>
        <w:rPr>
          <w:rFonts w:ascii="宋体" w:hAnsi="宋体" w:cs="宋体" w:eastAsia="宋体" w:hint="ascii"/>
          <w:sz w:val="21"/>
          <w:spacing w:val="-3"/>
        </w:rPr>
        <w:t>思</w:t>
      </w:r>
      <w:r>
        <w:rPr>
          <w:rFonts w:ascii="宋体" w:hAnsi="宋体" w:cs="宋体" w:eastAsia="宋体" w:hint="ascii"/>
          <w:sz w:val="21"/>
          <w:spacing w:val="-2"/>
        </w:rPr>
        <w:t>想</w:t>
      </w:r>
      <w:r>
        <w:rPr>
          <w:rFonts w:ascii="宋体" w:hAnsi="宋体" w:cs="宋体" w:eastAsia="宋体" w:hint="ascii"/>
          <w:sz w:val="21"/>
          <w:spacing w:val="-3"/>
        </w:rPr>
        <w:t>并</w:t>
      </w:r>
      <w:r>
        <w:rPr>
          <w:rFonts w:ascii="宋体" w:hAnsi="宋体" w:cs="宋体" w:eastAsia="宋体" w:hint="ascii"/>
          <w:sz w:val="21"/>
          <w:spacing w:val="-2"/>
        </w:rPr>
        <w:t>开展</w:t>
      </w:r>
      <w:r>
        <w:rPr>
          <w:rFonts w:ascii="宋体" w:hAnsi="宋体" w:cs="宋体" w:eastAsia="宋体" w:hint="ascii"/>
          <w:sz w:val="21"/>
          <w:spacing w:val="-3"/>
        </w:rPr>
        <w:t>研</w:t>
      </w:r>
      <w:r>
        <w:rPr>
          <w:rFonts w:ascii="宋体" w:hAnsi="宋体" w:cs="宋体" w:eastAsia="宋体" w:hint="ascii"/>
          <w:sz w:val="21"/>
          <w:spacing w:val="-2"/>
        </w:rPr>
        <w:t>究</w:t>
      </w:r>
      <w:r>
        <w:rPr>
          <w:rFonts w:ascii="宋体" w:hAnsi="宋体" w:cs="宋体" w:eastAsia="宋体" w:hint="ascii"/>
          <w:sz w:val="21"/>
          <w:spacing w:val="-3"/>
        </w:rPr>
        <w:t>工</w:t>
      </w:r>
      <w:r>
        <w:rPr>
          <w:rFonts w:ascii="宋体" w:hAnsi="宋体" w:cs="宋体" w:eastAsia="宋体" w:hint="ascii"/>
          <w:sz w:val="21"/>
          <w:spacing w:val="-2"/>
        </w:rPr>
        <w:t>作；</w:t>
      </w:r>
      <w:r>
        <w:rPr>
          <w:rFonts w:ascii="宋体" w:hAnsi="宋体" w:cs="宋体" w:eastAsia="宋体" w:hint="ascii"/>
          <w:sz w:val="21"/>
          <w:spacing w:val="-3"/>
        </w:rPr>
        <w:t>鼓</w:t>
      </w:r>
      <w:r>
        <w:rPr>
          <w:rFonts w:ascii="宋体" w:hAnsi="宋体" w:cs="宋体" w:eastAsia="宋体" w:hint="ascii"/>
          <w:sz w:val="21"/>
          <w:spacing w:val="-2"/>
        </w:rPr>
        <w:t>励</w:t>
      </w:r>
      <w:r>
        <w:rPr>
          <w:rFonts w:ascii="宋体" w:hAnsi="宋体" w:cs="宋体" w:eastAsia="宋体" w:hint="ascii"/>
          <w:sz w:val="21"/>
          <w:spacing w:val="-3"/>
        </w:rPr>
        <w:t>申请</w:t>
      </w:r>
      <w:r>
        <w:rPr>
          <w:rFonts w:ascii="宋体" w:hAnsi="宋体" w:cs="宋体" w:eastAsia="宋体" w:hint="ascii"/>
          <w:sz w:val="21"/>
          <w:spacing w:val="-2"/>
        </w:rPr>
        <w:t>人</w:t>
      </w:r>
      <w:r>
        <w:rPr>
          <w:rFonts w:ascii="宋体" w:hAnsi="宋体" w:cs="宋体" w:eastAsia="宋体" w:hint="ascii"/>
          <w:sz w:val="21"/>
          <w:spacing w:val="-3"/>
        </w:rPr>
        <w:t>利</w:t>
      </w:r>
      <w:r>
        <w:rPr>
          <w:rFonts w:ascii="宋体" w:hAnsi="宋体" w:cs="宋体" w:eastAsia="宋体" w:hint="ascii"/>
          <w:sz w:val="21"/>
        </w:rPr>
        <w:t>用</w:t>
      </w:r>
    </w:p>
    <w:p>
      <w:pPr>
        <w:autoSpaceDE w:val="0"/>
        <w:autoSpaceDN w:val="0"/>
        <w:jc w:val="both"/>
        <w:spacing w:before="12"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现代</w:t>
      </w:r>
      <w:r>
        <w:rPr>
          <w:rFonts w:ascii="宋体" w:hAnsi="宋体" w:cs="宋体" w:eastAsia="宋体" w:hint="ascii"/>
          <w:sz w:val="21"/>
          <w:spacing w:val="-5"/>
        </w:rPr>
        <w:t>医</w:t>
      </w:r>
      <w:r>
        <w:rPr>
          <w:rFonts w:ascii="宋体" w:hAnsi="宋体" w:cs="宋体" w:eastAsia="宋体" w:hint="ascii"/>
          <w:sz w:val="21"/>
          <w:spacing w:val="-4"/>
        </w:rPr>
        <w:t>学</w:t>
      </w:r>
      <w:r>
        <w:rPr>
          <w:rFonts w:ascii="宋体" w:hAnsi="宋体" w:cs="宋体" w:eastAsia="宋体" w:hint="ascii"/>
          <w:sz w:val="21"/>
          <w:spacing w:val="-5"/>
        </w:rPr>
        <w:t>科</w:t>
      </w:r>
      <w:r>
        <w:rPr>
          <w:rFonts w:ascii="宋体" w:hAnsi="宋体" w:cs="宋体" w:eastAsia="宋体" w:hint="ascii"/>
          <w:sz w:val="21"/>
          <w:spacing w:val="-4"/>
        </w:rPr>
        <w:t>学的</w:t>
      </w:r>
      <w:r>
        <w:rPr>
          <w:rFonts w:ascii="宋体" w:hAnsi="宋体" w:cs="宋体" w:eastAsia="宋体" w:hint="ascii"/>
          <w:sz w:val="21"/>
          <w:spacing w:val="-5"/>
        </w:rPr>
        <w:t>研</w:t>
      </w:r>
      <w:r>
        <w:rPr>
          <w:rFonts w:ascii="宋体" w:hAnsi="宋体" w:cs="宋体" w:eastAsia="宋体" w:hint="ascii"/>
          <w:sz w:val="21"/>
          <w:spacing w:val="-4"/>
        </w:rPr>
        <w:t>究</w:t>
      </w:r>
      <w:r>
        <w:rPr>
          <w:rFonts w:ascii="宋体" w:hAnsi="宋体" w:cs="宋体" w:eastAsia="宋体" w:hint="ascii"/>
          <w:sz w:val="21"/>
          <w:spacing w:val="-5"/>
        </w:rPr>
        <w:t>手</w:t>
      </w:r>
      <w:r>
        <w:rPr>
          <w:rFonts w:ascii="宋体" w:hAnsi="宋体" w:cs="宋体" w:eastAsia="宋体" w:hint="ascii"/>
          <w:sz w:val="21"/>
          <w:spacing w:val="-4"/>
        </w:rPr>
        <w:t>段和</w:t>
      </w:r>
      <w:r>
        <w:rPr>
          <w:rFonts w:ascii="宋体" w:hAnsi="宋体" w:cs="宋体" w:eastAsia="宋体" w:hint="ascii"/>
          <w:sz w:val="21"/>
          <w:spacing w:val="-5"/>
        </w:rPr>
        <w:t>方</w:t>
      </w:r>
      <w:r>
        <w:rPr>
          <w:rFonts w:ascii="宋体" w:hAnsi="宋体" w:cs="宋体" w:eastAsia="宋体" w:hint="ascii"/>
          <w:sz w:val="21"/>
          <w:spacing w:val="-4"/>
        </w:rPr>
        <w:t>法</w:t>
      </w:r>
      <w:r>
        <w:rPr>
          <w:rFonts w:ascii="宋体" w:hAnsi="宋体" w:cs="宋体" w:eastAsia="宋体" w:hint="ascii"/>
          <w:sz w:val="21"/>
          <w:spacing w:val="-5"/>
        </w:rPr>
        <w:t>开</w:t>
      </w:r>
      <w:r>
        <w:rPr>
          <w:rFonts w:ascii="宋体" w:hAnsi="宋体" w:cs="宋体" w:eastAsia="宋体" w:hint="ascii"/>
          <w:sz w:val="21"/>
          <w:spacing w:val="-4"/>
        </w:rPr>
        <w:t>展具</w:t>
      </w:r>
      <w:r>
        <w:rPr>
          <w:rFonts w:ascii="宋体" w:hAnsi="宋体" w:cs="宋体" w:eastAsia="宋体" w:hint="ascii"/>
          <w:sz w:val="21"/>
          <w:spacing w:val="-5"/>
        </w:rPr>
        <w:t>有</w:t>
      </w:r>
      <w:r>
        <w:rPr>
          <w:rFonts w:ascii="宋体" w:hAnsi="宋体" w:cs="宋体" w:eastAsia="宋体" w:hint="ascii"/>
          <w:sz w:val="21"/>
          <w:spacing w:val="-4"/>
        </w:rPr>
        <w:t>地</w:t>
      </w:r>
      <w:r>
        <w:rPr>
          <w:rFonts w:ascii="宋体" w:hAnsi="宋体" w:cs="宋体" w:eastAsia="宋体" w:hint="ascii"/>
          <w:sz w:val="21"/>
          <w:spacing w:val="-5"/>
        </w:rPr>
        <w:t>域</w:t>
      </w:r>
      <w:r>
        <w:rPr>
          <w:rFonts w:ascii="宋体" w:hAnsi="宋体" w:cs="宋体" w:eastAsia="宋体" w:hint="ascii"/>
          <w:sz w:val="21"/>
          <w:spacing w:val="-4"/>
        </w:rPr>
        <w:t>特点</w:t>
      </w:r>
      <w:r>
        <w:rPr>
          <w:rFonts w:ascii="宋体" w:hAnsi="宋体" w:cs="宋体" w:eastAsia="宋体" w:hint="ascii"/>
          <w:sz w:val="21"/>
          <w:spacing w:val="-5"/>
        </w:rPr>
        <w:t>的</w:t>
      </w:r>
      <w:r>
        <w:rPr>
          <w:rFonts w:ascii="宋体" w:hAnsi="宋体" w:cs="宋体" w:eastAsia="宋体" w:hint="ascii"/>
          <w:sz w:val="21"/>
          <w:spacing w:val="-4"/>
        </w:rPr>
        <w:t>疾</w:t>
      </w:r>
      <w:r>
        <w:rPr>
          <w:rFonts w:ascii="宋体" w:hAnsi="宋体" w:cs="宋体" w:eastAsia="宋体" w:hint="ascii"/>
          <w:sz w:val="21"/>
          <w:spacing w:val="-5"/>
        </w:rPr>
        <w:t>病</w:t>
      </w:r>
      <w:r>
        <w:rPr>
          <w:rFonts w:ascii="宋体" w:hAnsi="宋体" w:cs="宋体" w:eastAsia="宋体" w:hint="ascii"/>
          <w:sz w:val="21"/>
          <w:spacing w:val="-3"/>
        </w:rPr>
        <w:t>相关</w:t>
      </w:r>
      <w:r>
        <w:rPr>
          <w:rFonts w:ascii="宋体" w:hAnsi="宋体" w:cs="宋体" w:eastAsia="宋体" w:hint="ascii"/>
          <w:sz w:val="21"/>
          <w:spacing w:val="-4"/>
        </w:rPr>
        <w:t>的</w:t>
      </w:r>
      <w:r>
        <w:rPr>
          <w:rFonts w:ascii="宋体" w:hAnsi="宋体" w:cs="宋体" w:eastAsia="宋体" w:hint="ascii"/>
          <w:sz w:val="21"/>
          <w:spacing w:val="-3"/>
        </w:rPr>
        <w:t>基</w:t>
      </w:r>
      <w:r>
        <w:rPr>
          <w:rFonts w:ascii="宋体" w:hAnsi="宋体" w:cs="宋体" w:eastAsia="宋体" w:hint="ascii"/>
          <w:sz w:val="21"/>
          <w:spacing w:val="-4"/>
        </w:rPr>
        <w:t>础</w:t>
      </w:r>
      <w:r>
        <w:rPr>
          <w:rFonts w:ascii="宋体" w:hAnsi="宋体" w:cs="宋体" w:eastAsia="宋体" w:hint="ascii"/>
          <w:sz w:val="21"/>
          <w:spacing w:val="-3"/>
        </w:rPr>
        <w:t>研究</w:t>
      </w:r>
      <w:r>
        <w:rPr>
          <w:rFonts w:ascii="宋体" w:hAnsi="宋体" w:cs="宋体" w:eastAsia="宋体" w:hint="ascii"/>
          <w:sz w:val="21"/>
          <w:spacing w:val="-4"/>
        </w:rPr>
        <w:t>；</w:t>
      </w:r>
      <w:r>
        <w:rPr>
          <w:rFonts w:ascii="宋体" w:hAnsi="宋体" w:cs="宋体" w:eastAsia="宋体" w:hint="ascii"/>
          <w:sz w:val="21"/>
          <w:spacing w:val="-3"/>
        </w:rPr>
        <w:t>鼓</w:t>
      </w:r>
      <w:r>
        <w:rPr>
          <w:rFonts w:ascii="宋体" w:hAnsi="宋体" w:cs="宋体" w:eastAsia="宋体" w:hint="ascii"/>
          <w:sz w:val="21"/>
          <w:spacing w:val="-4"/>
        </w:rPr>
        <w:t>励申</w:t>
      </w:r>
      <w:r>
        <w:rPr>
          <w:rFonts w:ascii="宋体" w:hAnsi="宋体" w:cs="宋体" w:eastAsia="宋体" w:hint="ascii"/>
          <w:sz w:val="21"/>
          <w:spacing w:val="-3"/>
        </w:rPr>
        <w:t>请</w:t>
      </w:r>
      <w:r>
        <w:rPr>
          <w:rFonts w:ascii="宋体" w:hAnsi="宋体" w:cs="宋体" w:eastAsia="宋体" w:hint="ascii"/>
          <w:sz w:val="21"/>
          <w:spacing w:val="-4"/>
        </w:rPr>
        <w:t>人</w:t>
      </w:r>
      <w:r>
        <w:rPr>
          <w:rFonts w:ascii="宋体" w:hAnsi="宋体" w:cs="宋体" w:eastAsia="宋体" w:hint="ascii"/>
          <w:sz w:val="21"/>
          <w:spacing w:val="-1"/>
        </w:rPr>
        <w:t>充</w:t>
      </w:r>
      <w:r>
        <w:rPr>
          <w:rFonts w:ascii="宋体" w:hAnsi="宋体" w:cs="宋体" w:eastAsia="宋体" w:hint="ascii"/>
          <w:sz w:val="21"/>
        </w:rPr>
        <w:t xml:space="preserve"> </w:t>
      </w:r>
      <w:r>
        <w:rPr>
          <w:rFonts w:ascii="宋体" w:hAnsi="宋体" w:cs="宋体" w:eastAsia="宋体" w:hint="ascii"/>
          <w:sz w:val="21"/>
          <w:spacing w:val="-4"/>
        </w:rPr>
        <w:t>分利用科技发达地区科研院所和实验室的各种先进的研究设备及研究体系开展合作研究</w:t>
      </w:r>
      <w:r>
        <w:rPr>
          <w:rFonts w:ascii="宋体" w:hAnsi="宋体" w:cs="宋体" w:eastAsia="宋体" w:hint="ascii"/>
          <w:sz w:val="21"/>
        </w:rPr>
        <w:t>。</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特别提醒申请人注意</w:t>
      </w:r>
      <w:r>
        <w:rPr>
          <w:rFonts w:ascii="宋体" w:hAnsi="宋体" w:cs="宋体" w:eastAsia="宋体" w:hint="ascii"/>
          <w:sz w:val="21"/>
        </w:rPr>
        <w:t>：申请人需在提交的电子版申请书附件中提供不超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5</w:t>
      </w:r>
      <w:r>
        <w:rPr>
          <w:rFonts w:ascii="宋体" w:hAnsi="宋体" w:cs="宋体" w:eastAsia="宋体" w:hint="ascii"/>
          <w:sz w:val="21"/>
        </w:rPr>
        <w:t>篇与申</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请项目相关的代表性论著</w:t>
      </w:r>
      <w:r>
        <w:rPr>
          <w:rFonts w:ascii="宋体" w:hAnsi="宋体" w:cs="宋体" w:eastAsia="宋体" w:hint="ascii"/>
          <w:sz w:val="21"/>
          <w:spacing w:val="27"/>
        </w:rPr>
        <w:t>的</w:t>
      </w:r>
      <w:r>
        <w:rPr>
          <w:rFonts w:ascii="Times New Roman" w:hAnsi="Times New Roman" w:cs="Times New Roman" w:eastAsia="Times New Roman" w:hint="ascii"/>
          <w:sz w:val="21"/>
        </w:rPr>
        <w:t>PD</w:t>
      </w:r>
      <w:r>
        <w:rPr>
          <w:rFonts w:ascii="Times New Roman" w:hAnsi="Times New Roman" w:cs="Times New Roman" w:eastAsia="Times New Roman" w:hint="ascii"/>
          <w:sz w:val="21"/>
          <w:spacing w:val="51"/>
        </w:rPr>
        <w:t>F</w:t>
      </w:r>
      <w:r>
        <w:rPr>
          <w:rFonts w:ascii="宋体" w:hAnsi="宋体" w:cs="宋体" w:eastAsia="宋体" w:hint="ascii"/>
          <w:sz w:val="21"/>
        </w:rPr>
        <w:t>文件（仅附申请人的代表作</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3" w:after="0" w:lineRule="exact" w:line="319"/>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其他具体申请</w:t>
      </w:r>
      <w:r>
        <w:rPr>
          <w:rFonts w:ascii="宋体" w:hAnsi="宋体" w:cs="宋体" w:eastAsia="宋体" w:hint="ascii"/>
          <w:sz w:val="21"/>
        </w:rPr>
        <w:t>事项请参照本《指南》中地区科学基金项目的总论部分和医学科学部面上项目部分。</w:t>
      </w:r>
    </w:p>
    <w:p>
      <w:pPr>
        <w:autoSpaceDE w:val="0"/>
        <w:autoSpaceDN w:val="0"/>
        <w:jc w:val="left"/>
        <w:spacing w:before="47" w:after="0" w:lineRule="auto" w:line="240"/>
        <w:ind w:right="0" w:left="1859" w:hanging="473"/>
        <w:snapToGrid w:val="0"/>
        <w:textAlignment w:val="auto"/>
        <w:tabs>
          <w:tab w:val="left" w:leader="none" w:pos="1858"/>
        </w:tabs>
        <w:numPr>
          <w:ilvl w:val="0"/>
          <w:numId w:val="279"/>
        </w:numPr>
        <w:rPr>
          <w:rFonts w:ascii="Times New Roman" w:hAnsi="Times New Roman" w:cs="Times New Roman" w:eastAsia="Times New Roman" w:hint="ascii"/>
          <w:sz w:val="21"/>
          <w:spacing w:val="1"/>
        </w:rPr>
      </w:pPr>
      <w:r>
        <w:rPr>
          <w:rFonts w:ascii="宋体" w:hAnsi="宋体" w:cs="宋体" w:eastAsia="宋体" w:hint="ascii"/>
          <w:sz w:val="21"/>
        </w:rPr>
        <w:t>年度医学科学部共收到地区科学基金项目申</w:t>
      </w:r>
      <w:r>
        <w:rPr>
          <w:rFonts w:ascii="宋体" w:hAnsi="宋体" w:cs="宋体" w:eastAsia="宋体" w:hint="ascii"/>
          <w:sz w:val="21"/>
          <w:spacing w:val="26"/>
        </w:rPr>
        <w:t>请</w:t>
      </w:r>
      <w:r>
        <w:rPr>
          <w:rFonts w:ascii="Times New Roman" w:hAnsi="Times New Roman" w:cs="Times New Roman" w:eastAsia="Times New Roman" w:hint="ascii"/>
          <w:sz w:val="21"/>
        </w:rPr>
        <w:t>5 36</w:t>
      </w:r>
      <w:r>
        <w:rPr>
          <w:rFonts w:ascii="Times New Roman" w:hAnsi="Times New Roman" w:cs="Times New Roman" w:eastAsia="Times New Roman" w:hint="ascii"/>
          <w:sz w:val="21"/>
          <w:spacing w:val="51"/>
        </w:rPr>
        <w:t>0</w:t>
      </w:r>
      <w:r>
        <w:rPr>
          <w:rFonts w:ascii="宋体" w:hAnsi="宋体" w:cs="宋体" w:eastAsia="宋体" w:hint="ascii"/>
          <w:sz w:val="21"/>
        </w:rPr>
        <w:t>项，资</w:t>
      </w:r>
      <w:r>
        <w:rPr>
          <w:rFonts w:ascii="宋体" w:hAnsi="宋体" w:cs="宋体" w:eastAsia="宋体" w:hint="ascii"/>
          <w:sz w:val="21"/>
          <w:spacing w:val="26"/>
        </w:rPr>
        <w:t>助</w:t>
      </w:r>
      <w:r>
        <w:rPr>
          <w:rFonts w:ascii="Times New Roman" w:hAnsi="Times New Roman" w:cs="Times New Roman" w:eastAsia="Times New Roman" w:hint="ascii"/>
          <w:sz w:val="21"/>
        </w:rPr>
        <w:t>91</w:t>
      </w:r>
      <w:r>
        <w:rPr>
          <w:rFonts w:ascii="Times New Roman" w:hAnsi="Times New Roman" w:cs="Times New Roman" w:eastAsia="Times New Roman" w:hint="ascii"/>
          <w:sz w:val="21"/>
          <w:spacing w:val="52"/>
        </w:rPr>
        <w:t>2</w:t>
      </w:r>
      <w:r>
        <w:rPr>
          <w:rFonts w:ascii="宋体" w:hAnsi="宋体" w:cs="宋体" w:eastAsia="宋体" w:hint="ascii"/>
          <w:sz w:val="21"/>
        </w:rPr>
        <w:t>项，直接费</w:t>
      </w:r>
    </w:p>
    <w:p>
      <w:pPr>
        <w:autoSpaceDE w:val="0"/>
        <w:autoSpaceDN w:val="0"/>
        <w:jc w:val="both"/>
        <w:spacing w:before="20" w:after="0" w:lineRule="exact" w:line="319"/>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用平均资助强度</w:t>
      </w:r>
      <w:r>
        <w:rPr>
          <w:rFonts w:ascii="宋体" w:hAnsi="宋体" w:cs="宋体" w:eastAsia="宋体" w:hint="ascii"/>
          <w:sz w:val="21"/>
          <w:spacing w:val="-26"/>
        </w:rPr>
        <w:t xml:space="preserve"> </w:t>
      </w:r>
      <w:r>
        <w:rPr>
          <w:rFonts w:ascii="Times New Roman" w:hAnsi="Times New Roman" w:cs="Times New Roman" w:eastAsia="Times New Roman" w:hint="ascii"/>
          <w:sz w:val="21"/>
        </w:rPr>
        <w:t>33.85</w:t>
      </w:r>
      <w:r>
        <w:rPr>
          <w:rFonts w:ascii="Times New Roman" w:hAnsi="Times New Roman" w:cs="Times New Roman" w:eastAsia="Times New Roman" w:hint="ascii"/>
          <w:sz w:val="21"/>
          <w:spacing w:val="-2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7"/>
        </w:rPr>
        <w:t xml:space="preserve"> </w:t>
      </w:r>
      <w:r>
        <w:rPr>
          <w:rFonts w:ascii="宋体" w:hAnsi="宋体" w:cs="宋体" w:eastAsia="宋体" w:hint="ascii"/>
          <w:sz w:val="21"/>
        </w:rPr>
        <w:t>年资助强度约与上一年度持平。请申请人根据工作实际需要合理申请项目资金，填写资金预算表。</w:t>
      </w:r>
    </w:p>
    <w:p>
      <w:pPr>
        <w:autoSpaceDE w:val="0"/>
        <w:autoSpaceDN w:val="0"/>
        <w:jc w:val="both"/>
        <w:spacing w:before="0" w:after="0" w:lineRule="exact" w:line="320"/>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各科学处资助</w:t>
      </w:r>
      <w:r>
        <w:rPr>
          <w:rFonts w:ascii="宋体" w:hAnsi="宋体" w:cs="宋体" w:eastAsia="宋体" w:hint="ascii"/>
          <w:sz w:val="21"/>
        </w:rPr>
        <w:t>范围以及资助情况请参见“医学科学部地区科学基金项目近两年资助情况一览表</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167" w:after="0" w:lineRule="exact" w:line="225"/>
        <w:ind w:right="0" w:left="2893" w:firstLine="0"/>
        <w:snapToGrid w:val="0"/>
        <w:textAlignment w:val="auto"/>
        <w:tabs/>
        <w:rPr>
          <w:rFonts w:ascii="宋体" w:hAnsi="宋体" w:cs="宋体" w:eastAsia="宋体" w:hint="ascii"/>
          <w:sz w:val="18"/>
        </w:rPr>
      </w:pPr>
      <w:r>
        <w:rPr>
          <w:rFonts w:ascii="宋体" w:hAnsi="宋体" w:cs="宋体" w:eastAsia="宋体" w:hint="ascii"/>
          <w:sz w:val="18"/>
        </w:rPr>
        <w:t>医学科学部地区科学基金项目近两年资助情况一览表</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17"/>
        <w:gridCol w:w="2043"/>
        <w:gridCol w:w="822"/>
        <w:gridCol w:w="822"/>
        <w:gridCol w:w="822"/>
        <w:gridCol w:w="822"/>
        <w:gridCol w:w="822"/>
        <w:gridCol w:w="822"/>
      </w:tblGrid>
      <w:tr>
        <w:trPr>
          <w:trHeight w:val="324" w:hRule="exact"/>
          <w:cantSplit w:val="1"/>
        </w:trPr>
        <w:tc>
          <w:tcPr>
            <w:tcW w:w="3060" w:type="dxa"/>
            <w:gridSpan w:val="2"/>
            <w:vAlign w:val="top"/>
            <w:vMerge w:val="restart"/>
            <w:tcMar/>
            <w:tcBorders/>
          </w:tcPr>
          <w:p>
            <w:pPr>
              <w:autoSpaceDE w:val="0"/>
              <w:autoSpaceDN w:val="0"/>
              <w:jc w:val="left"/>
              <w:spacing w:before="314" w:after="0" w:lineRule="exact" w:line="188"/>
              <w:ind w:right="0" w:left="129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66" w:type="dxa"/>
            <w:gridSpan w:val="3"/>
            <w:vAlign w:val="top"/>
            <w:tcMar/>
            <w:tcBorders>
              <w:left w:val="single" w:sz="4" w:space="0" w:color="000000"/>
            </w:tcBorders>
          </w:tcPr>
          <w:p>
            <w:pPr>
              <w:autoSpaceDE w:val="0"/>
              <w:autoSpaceDN w:val="0"/>
              <w:jc w:val="left"/>
              <w:spacing w:before="57" w:after="0" w:lineRule="auto" w:line="240"/>
              <w:ind w:right="0" w:left="909" w:firstLine="0"/>
              <w:snapToGrid w:val="0"/>
              <w:textAlignment w:val="auto"/>
              <w:tabs>
                <w:tab w:val="left" w:leader="none" w:pos="1253"/>
              </w:tabs>
              <w:numPr>
                <w:ilvl w:val="0"/>
                <w:numId w:val="280"/>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66" w:type="dxa"/>
            <w:gridSpan w:val="3"/>
            <w:vAlign w:val="top"/>
            <w:tcMar/>
            <w:tcBorders>
              <w:left w:val="single" w:sz="4" w:space="0" w:color="000000"/>
              <w:right w:val="single" w:sz="8" w:space="0" w:color="000000"/>
            </w:tcBorders>
          </w:tcPr>
          <w:p>
            <w:pPr>
              <w:autoSpaceDE w:val="0"/>
              <w:autoSpaceDN w:val="0"/>
              <w:jc w:val="left"/>
              <w:spacing w:before="57" w:after="0" w:lineRule="auto" w:line="240"/>
              <w:ind w:right="0" w:left="909" w:firstLine="0"/>
              <w:snapToGrid w:val="0"/>
              <w:textAlignment w:val="auto"/>
              <w:tabs>
                <w:tab w:val="left" w:leader="none" w:pos="1253"/>
              </w:tabs>
              <w:numPr>
                <w:ilvl w:val="0"/>
                <w:numId w:val="280"/>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514" w:hRule="exact"/>
          <w:cantSplit w:val="1"/>
        </w:trPr>
        <w:tc>
          <w:tcPr>
            <w:tcW w:w="306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7"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523" w:hRule="exact"/>
          <w:cantSplit w:val="1"/>
        </w:trPr>
        <w:tc>
          <w:tcPr>
            <w:tcW w:w="1017" w:type="dxa"/>
            <w:gridSpan w:val="1"/>
            <w:vAlign w:val="top"/>
            <w:tcMar/>
            <w:tcBorders>
              <w:top w:val="single" w:sz="4" w:space="0" w:color="000000"/>
            </w:tcBorders>
          </w:tcPr>
          <w:p>
            <w:pPr>
              <w:autoSpaceDE w:val="0"/>
              <w:autoSpaceDN w:val="0"/>
              <w:jc w:val="left"/>
              <w:spacing w:before="15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043" w:type="dxa"/>
            <w:gridSpan w:val="1"/>
            <w:vAlign w:val="top"/>
            <w:tcMar/>
            <w:tcBorders>
              <w:left w:val="single" w:sz="4" w:space="0" w:color="000000"/>
              <w:top w:val="single" w:sz="4" w:space="0" w:color="000000"/>
            </w:tcBorders>
          </w:tcPr>
          <w:p>
            <w:pPr>
              <w:autoSpaceDE w:val="0"/>
              <w:autoSpaceDN w:val="0"/>
              <w:jc w:val="left"/>
              <w:spacing w:before="62"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呼吸系统疾病、循环系统疾</w:t>
            </w:r>
          </w:p>
          <w:p>
            <w:pPr>
              <w:autoSpaceDE w:val="0"/>
              <w:autoSpaceDN w:val="0"/>
              <w:jc w:val="left"/>
              <w:spacing w:before="7" w:after="0" w:lineRule="exact" w:line="188"/>
              <w:ind w:right="0" w:left="416" w:firstLine="0"/>
              <w:snapToGrid w:val="0"/>
              <w:textAlignment w:val="auto"/>
              <w:tabs/>
              <w:rPr>
                <w:rFonts w:ascii="宋体" w:hAnsi="宋体" w:cs="宋体" w:eastAsia="宋体" w:hint="ascii"/>
                <w:sz w:val="15"/>
              </w:rPr>
            </w:pPr>
            <w:r>
              <w:rPr>
                <w:rFonts w:ascii="宋体" w:hAnsi="宋体" w:cs="宋体" w:eastAsia="宋体" w:hint="ascii"/>
                <w:sz w:val="15"/>
              </w:rPr>
              <w:t>病、血液系统疾病</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89</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3 277</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19.73</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97</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3 301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6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18.27</w:t>
            </w:r>
          </w:p>
        </w:tc>
      </w:tr>
      <w:tr>
        <w:trPr>
          <w:trHeight w:val="1097" w:hRule="exact"/>
          <w:cantSplit w:val="1"/>
        </w:trPr>
        <w:tc>
          <w:tcPr>
            <w:tcW w:w="1017" w:type="dxa"/>
            <w:gridSpan w:val="1"/>
            <w:vAlign w:val="top"/>
            <w:tcMar/>
            <w:tcBorders>
              <w:top w:val="single" w:sz="4" w:space="0" w:color="000000"/>
            </w:tcBorders>
          </w:tcPr>
          <w:p>
            <w:pPr>
              <w:autoSpaceDE w:val="0"/>
              <w:autoSpaceDN w:val="0"/>
              <w:jc w:val="left"/>
              <w:spacing w:before="446"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043" w:type="dxa"/>
            <w:gridSpan w:val="1"/>
            <w:vAlign w:val="top"/>
            <w:tcMar/>
            <w:tcBorders>
              <w:left w:val="single" w:sz="4" w:space="0" w:color="000000"/>
              <w:top w:val="single" w:sz="4" w:space="0" w:color="000000"/>
            </w:tcBorders>
          </w:tcPr>
          <w:p>
            <w:pPr>
              <w:autoSpaceDE w:val="0"/>
              <w:autoSpaceDN w:val="0"/>
              <w:jc w:val="both"/>
              <w:spacing w:before="52" w:after="0" w:lineRule="exact" w:line="194"/>
              <w:ind w:right="116" w:left="116" w:firstLine="0"/>
              <w:snapToGrid w:val="0"/>
              <w:textAlignment w:val="auto"/>
              <w:tabs/>
              <w:rPr>
                <w:rFonts w:ascii="宋体" w:hAnsi="宋体" w:cs="宋体" w:eastAsia="宋体" w:hint="ascii"/>
                <w:sz w:val="15"/>
              </w:rPr>
            </w:pPr>
            <w:r>
              <w:rPr>
                <w:rFonts w:ascii="宋体" w:hAnsi="宋体" w:cs="宋体" w:eastAsia="宋体" w:hint="ascii"/>
                <w:sz w:val="15"/>
                <w:spacing w:val="-1"/>
              </w:rPr>
              <w:t>消化系统疾病</w:t>
            </w:r>
            <w:r>
              <w:rPr>
                <w:rFonts w:ascii="宋体" w:hAnsi="宋体" w:cs="宋体" w:eastAsia="宋体" w:hint="ascii"/>
                <w:sz w:val="15"/>
              </w:rPr>
              <w:t>、泌尿系统疾</w:t>
            </w:r>
            <w:r>
              <w:rPr>
                <w:rFonts w:ascii="宋体" w:hAnsi="宋体" w:cs="宋体" w:eastAsia="宋体" w:hint="ascii"/>
                <w:sz w:val="15"/>
                <w:spacing w:val="-1"/>
              </w:rPr>
              <w:t>病、内分泌系</w:t>
            </w:r>
            <w:r>
              <w:rPr>
                <w:rFonts w:ascii="宋体" w:hAnsi="宋体" w:cs="宋体" w:eastAsia="宋体" w:hint="ascii"/>
                <w:sz w:val="15"/>
              </w:rPr>
              <w:t>统疾病（含代</w:t>
            </w:r>
          </w:p>
          <w:p>
            <w:pPr>
              <w:autoSpaceDE w:val="0"/>
              <w:autoSpaceDN w:val="0"/>
              <w:jc w:val="left"/>
              <w:spacing w:before="6" w:after="0" w:lineRule="exact" w:line="188"/>
              <w:ind w:right="0" w:left="79" w:firstLine="0"/>
              <w:snapToGrid w:val="0"/>
              <w:textAlignment w:val="auto"/>
              <w:tabs/>
              <w:rPr>
                <w:rFonts w:ascii="宋体" w:hAnsi="宋体" w:cs="宋体" w:eastAsia="宋体" w:hint="ascii"/>
                <w:sz w:val="15"/>
              </w:rPr>
            </w:pPr>
            <w:r>
              <w:rPr>
                <w:rFonts w:ascii="宋体" w:hAnsi="宋体" w:cs="宋体" w:eastAsia="宋体" w:hint="ascii"/>
                <w:sz w:val="15"/>
              </w:rPr>
              <w:t>谢和营养支持</w:t>
            </w:r>
            <w:r>
              <w:rPr>
                <w:rFonts w:ascii="宋体" w:hAnsi="宋体" w:cs="宋体" w:eastAsia="宋体" w:hint="ascii"/>
                <w:sz w:val="15"/>
                <w:spacing w:val="-37"/>
              </w:rPr>
              <w:t>）</w:t>
            </w:r>
            <w:r>
              <w:rPr>
                <w:rFonts w:ascii="宋体" w:hAnsi="宋体" w:cs="宋体" w:eastAsia="宋体" w:hint="ascii"/>
                <w:sz w:val="15"/>
              </w:rPr>
              <w:t>、眼科学、耳</w:t>
            </w:r>
          </w:p>
          <w:p>
            <w:pPr>
              <w:autoSpaceDE w:val="0"/>
              <w:autoSpaceDN w:val="0"/>
              <w:jc w:val="left"/>
              <w:spacing w:before="7"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鼻咽喉头颈科学、口腔颅颌</w:t>
            </w:r>
          </w:p>
          <w:p>
            <w:pPr>
              <w:autoSpaceDE w:val="0"/>
              <w:autoSpaceDN w:val="0"/>
              <w:jc w:val="left"/>
              <w:spacing w:before="8" w:after="0" w:lineRule="exact" w:line="188"/>
              <w:ind w:right="0" w:left="792" w:firstLine="0"/>
              <w:snapToGrid w:val="0"/>
              <w:textAlignment w:val="auto"/>
              <w:tabs/>
              <w:rPr>
                <w:rFonts w:ascii="宋体" w:hAnsi="宋体" w:cs="宋体" w:eastAsia="宋体" w:hint="ascii"/>
                <w:sz w:val="15"/>
              </w:rPr>
            </w:pPr>
            <w:r>
              <w:rPr>
                <w:rFonts w:ascii="宋体" w:hAnsi="宋体" w:cs="宋体" w:eastAsia="宋体" w:hint="ascii"/>
                <w:sz w:val="15"/>
              </w:rPr>
              <w:t>面科学</w:t>
            </w:r>
          </w:p>
        </w:tc>
        <w:tc>
          <w:tcPr>
            <w:tcW w:w="822" w:type="dxa"/>
            <w:gridSpan w:val="1"/>
            <w:vAlign w:val="top"/>
            <w:tcMar/>
            <w:tcBorders>
              <w:left w:val="single" w:sz="4" w:space="0" w:color="000000"/>
              <w:top w:val="single" w:sz="4" w:space="0" w:color="000000"/>
            </w:tcBorders>
          </w:tcPr>
          <w:p>
            <w:pPr>
              <w:autoSpaceDE w:val="0"/>
              <w:autoSpaceDN w:val="0"/>
              <w:jc w:val="left"/>
              <w:spacing w:before="45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101</w:t>
            </w:r>
          </w:p>
        </w:tc>
        <w:tc>
          <w:tcPr>
            <w:tcW w:w="822" w:type="dxa"/>
            <w:gridSpan w:val="1"/>
            <w:vAlign w:val="top"/>
            <w:tcMar/>
            <w:tcBorders>
              <w:left w:val="single" w:sz="4" w:space="0" w:color="000000"/>
              <w:top w:val="single" w:sz="4" w:space="0" w:color="000000"/>
            </w:tcBorders>
          </w:tcPr>
          <w:p>
            <w:pPr>
              <w:autoSpaceDE w:val="0"/>
              <w:autoSpaceDN w:val="0"/>
              <w:jc w:val="left"/>
              <w:spacing w:before="45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3 687</w:t>
            </w:r>
          </w:p>
        </w:tc>
        <w:tc>
          <w:tcPr>
            <w:tcW w:w="822" w:type="dxa"/>
            <w:gridSpan w:val="1"/>
            <w:vAlign w:val="top"/>
            <w:tcMar/>
            <w:tcBorders>
              <w:left w:val="single" w:sz="4" w:space="0" w:color="000000"/>
              <w:top w:val="single" w:sz="4" w:space="0" w:color="000000"/>
            </w:tcBorders>
          </w:tcPr>
          <w:p>
            <w:pPr>
              <w:autoSpaceDE w:val="0"/>
              <w:autoSpaceDN w:val="0"/>
              <w:jc w:val="left"/>
              <w:spacing w:before="45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18.74</w:t>
            </w:r>
          </w:p>
        </w:tc>
        <w:tc>
          <w:tcPr>
            <w:tcW w:w="822" w:type="dxa"/>
            <w:gridSpan w:val="1"/>
            <w:vAlign w:val="top"/>
            <w:tcMar/>
            <w:tcBorders>
              <w:left w:val="single" w:sz="4" w:space="0" w:color="000000"/>
              <w:top w:val="single" w:sz="4" w:space="0" w:color="000000"/>
            </w:tcBorders>
          </w:tcPr>
          <w:p>
            <w:pPr>
              <w:autoSpaceDE w:val="0"/>
              <w:autoSpaceDN w:val="0"/>
              <w:jc w:val="left"/>
              <w:spacing w:before="45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108</w:t>
            </w:r>
          </w:p>
        </w:tc>
        <w:tc>
          <w:tcPr>
            <w:tcW w:w="822" w:type="dxa"/>
            <w:gridSpan w:val="1"/>
            <w:vAlign w:val="top"/>
            <w:tcMar/>
            <w:tcBorders>
              <w:left w:val="single" w:sz="4" w:space="0" w:color="000000"/>
              <w:top w:val="single" w:sz="4" w:space="0" w:color="000000"/>
            </w:tcBorders>
          </w:tcPr>
          <w:p>
            <w:pPr>
              <w:autoSpaceDE w:val="0"/>
              <w:autoSpaceDN w:val="0"/>
              <w:jc w:val="left"/>
              <w:spacing w:before="45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3 637</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5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17.22</w:t>
            </w:r>
          </w:p>
        </w:tc>
      </w:tr>
      <w:tr>
        <w:trPr>
          <w:trHeight w:val="518" w:hRule="exact"/>
          <w:cantSplit w:val="1"/>
        </w:trPr>
        <w:tc>
          <w:tcPr>
            <w:tcW w:w="1017" w:type="dxa"/>
            <w:gridSpan w:val="1"/>
            <w:vAlign w:val="top"/>
            <w:tcMar/>
            <w:tcBorders>
              <w:top w:val="single" w:sz="4" w:space="0" w:color="000000"/>
              <w:bottom w:val="single" w:sz="8" w:space="0" w:color="000000"/>
            </w:tcBorders>
          </w:tcPr>
          <w:p>
            <w:pPr>
              <w:autoSpaceDE w:val="0"/>
              <w:autoSpaceDN w:val="0"/>
              <w:jc w:val="left"/>
              <w:spacing w:before="155"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04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7"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神经系统疾病、精神疾病、</w:t>
            </w:r>
          </w:p>
          <w:p>
            <w:pPr>
              <w:autoSpaceDE w:val="0"/>
              <w:autoSpaceDN w:val="0"/>
              <w:jc w:val="left"/>
              <w:spacing w:before="7" w:after="0" w:lineRule="exact" w:line="188"/>
              <w:ind w:right="0" w:left="716" w:firstLine="0"/>
              <w:snapToGrid w:val="0"/>
              <w:textAlignment w:val="auto"/>
              <w:tabs/>
              <w:rPr>
                <w:rFonts w:ascii="宋体" w:hAnsi="宋体" w:cs="宋体" w:eastAsia="宋体" w:hint="ascii"/>
                <w:sz w:val="15"/>
              </w:rPr>
            </w:pPr>
            <w:r>
              <w:rPr>
                <w:rFonts w:ascii="宋体" w:hAnsi="宋体" w:cs="宋体" w:eastAsia="宋体" w:hint="ascii"/>
                <w:sz w:val="15"/>
              </w:rPr>
              <w:t>老年医学</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6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1 973</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16.51</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6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w:t>
            </w:r>
          </w:p>
        </w:tc>
        <w:tc>
          <w:tcPr>
            <w:tcW w:w="82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1 999</w:t>
            </w:r>
          </w:p>
        </w:tc>
        <w:tc>
          <w:tcPr>
            <w:tcW w:w="822"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14.64</w:t>
            </w:r>
          </w:p>
        </w:tc>
      </w:tr>
    </w:tbl>
    <w:p>
      <w:pPr>
        <w:autoSpaceDE w:val="0"/>
        <w:autoSpaceDN w:val="0"/>
        <w:jc w:val="left"/>
        <w:spacing w:before="481"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218" locked="0" layoutInCell="1" allowOverlap="1">
                <wp:simplePos x="0" y="0"/>
                <wp:positionH relativeFrom="page">
                  <wp:posOffset>938530</wp:posOffset>
                </wp:positionH>
                <wp:positionV relativeFrom="page">
                  <wp:posOffset>805815</wp:posOffset>
                </wp:positionV>
                <wp:extent cx="5076190" cy="0"/>
                <wp:wrapNone/>
                <wp:docPr id="1247" name="124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35008;width:399.70pt;" id="1247"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017"/>
        <w:gridCol w:w="2043"/>
        <w:gridCol w:w="822"/>
        <w:gridCol w:w="822"/>
        <w:gridCol w:w="822"/>
        <w:gridCol w:w="822"/>
        <w:gridCol w:w="822"/>
        <w:gridCol w:w="822"/>
      </w:tblGrid>
      <w:tr>
        <w:trPr>
          <w:trHeight w:val="323" w:hRule="exact"/>
          <w:cantSplit w:val="1"/>
        </w:trPr>
        <w:tc>
          <w:tcPr>
            <w:tcW w:w="3060" w:type="dxa"/>
            <w:gridSpan w:val="2"/>
            <w:vAlign w:val="top"/>
            <w:vMerge w:val="restart"/>
            <w:tcMar/>
            <w:tcBorders/>
          </w:tcPr>
          <w:p>
            <w:pPr>
              <w:autoSpaceDE w:val="0"/>
              <w:autoSpaceDN w:val="0"/>
              <w:jc w:val="left"/>
              <w:spacing w:before="313" w:after="0" w:lineRule="exact" w:line="188"/>
              <w:ind w:right="0" w:left="1296" w:firstLine="0"/>
              <w:snapToGrid w:val="0"/>
              <w:textAlignment w:val="auto"/>
              <w:tabs/>
              <w:rPr>
                <w:rFonts w:ascii="宋体" w:hAnsi="宋体" w:cs="宋体" w:eastAsia="宋体" w:hint="ascii"/>
                <w:sz w:val="15"/>
              </w:rPr>
            </w:pPr>
            <w:r>
              <w:rPr>
                <w:rFonts w:ascii="宋体" w:hAnsi="宋体" w:cs="宋体" w:eastAsia="宋体" w:hint="ascii"/>
                <w:sz w:val="15"/>
              </w:rPr>
              <w:t>科学处</w:t>
            </w:r>
          </w:p>
        </w:tc>
        <w:tc>
          <w:tcPr>
            <w:tcW w:w="2466" w:type="dxa"/>
            <w:gridSpan w:val="3"/>
            <w:vAlign w:val="top"/>
            <w:tcMar/>
            <w:tcBorders>
              <w:left w:val="single" w:sz="4" w:space="0" w:color="000000"/>
            </w:tcBorders>
          </w:tcPr>
          <w:p>
            <w:pPr>
              <w:autoSpaceDE w:val="0"/>
              <w:autoSpaceDN w:val="0"/>
              <w:jc w:val="left"/>
              <w:spacing w:before="57" w:after="0" w:lineRule="auto" w:line="240"/>
              <w:ind w:right="0" w:left="909" w:firstLine="0"/>
              <w:snapToGrid w:val="0"/>
              <w:textAlignment w:val="auto"/>
              <w:tabs>
                <w:tab w:val="left" w:leader="none" w:pos="1253"/>
              </w:tabs>
              <w:numPr>
                <w:ilvl w:val="0"/>
                <w:numId w:val="281"/>
              </w:numPr>
              <w:rPr>
                <w:rFonts w:ascii="Times New Roman" w:hAnsi="Times New Roman" w:cs="Times New Roman" w:eastAsia="Times New Roman" w:hint="ascii"/>
                <w:sz w:val="15"/>
                <w:spacing w:val="1"/>
              </w:rPr>
            </w:pPr>
            <w:r>
              <w:rPr>
                <w:rFonts w:ascii="宋体" w:hAnsi="宋体" w:cs="宋体" w:eastAsia="宋体" w:hint="ascii"/>
                <w:sz w:val="15"/>
              </w:rPr>
              <w:t>年度</w:t>
            </w:r>
          </w:p>
        </w:tc>
        <w:tc>
          <w:tcPr>
            <w:tcW w:w="2466" w:type="dxa"/>
            <w:gridSpan w:val="3"/>
            <w:vAlign w:val="top"/>
            <w:tcMar/>
            <w:tcBorders>
              <w:left w:val="single" w:sz="4" w:space="0" w:color="000000"/>
              <w:right w:val="single" w:sz="8" w:space="0" w:color="000000"/>
            </w:tcBorders>
          </w:tcPr>
          <w:p>
            <w:pPr>
              <w:autoSpaceDE w:val="0"/>
              <w:autoSpaceDN w:val="0"/>
              <w:jc w:val="left"/>
              <w:spacing w:before="57" w:after="0" w:lineRule="auto" w:line="240"/>
              <w:ind w:right="0" w:left="909" w:firstLine="0"/>
              <w:snapToGrid w:val="0"/>
              <w:textAlignment w:val="auto"/>
              <w:tabs>
                <w:tab w:val="left" w:leader="none" w:pos="1253"/>
              </w:tabs>
              <w:numPr>
                <w:ilvl w:val="0"/>
                <w:numId w:val="281"/>
              </w:numPr>
              <w:rPr>
                <w:rFonts w:ascii="Times New Roman" w:hAnsi="Times New Roman" w:cs="Times New Roman" w:eastAsia="Times New Roman" w:hint="ascii"/>
                <w:sz w:val="15"/>
                <w:spacing w:val="1"/>
              </w:rPr>
            </w:pPr>
            <w:r>
              <w:rPr>
                <w:rFonts w:ascii="宋体" w:hAnsi="宋体" w:cs="宋体" w:eastAsia="宋体" w:hint="ascii"/>
                <w:sz w:val="15"/>
              </w:rPr>
              <w:t>年度</w:t>
            </w:r>
          </w:p>
        </w:tc>
      </w:tr>
      <w:tr>
        <w:trPr>
          <w:trHeight w:val="514" w:hRule="exact"/>
          <w:cantSplit w:val="1"/>
        </w:trPr>
        <w:tc>
          <w:tcPr>
            <w:tcW w:w="3060" w:type="dxa"/>
            <w:gridSpan w:val="2"/>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822" w:type="dxa"/>
            <w:gridSpan w:val="1"/>
            <w:vAlign w:val="top"/>
            <w:tcMar/>
            <w:tcBorders>
              <w:left w:val="single" w:sz="4" w:space="0" w:color="000000"/>
              <w:top w:val="single" w:sz="4" w:space="0" w:color="000000"/>
            </w:tcBorders>
          </w:tcPr>
          <w:p>
            <w:pPr>
              <w:autoSpaceDE w:val="0"/>
              <w:autoSpaceDN w:val="0"/>
              <w:jc w:val="left"/>
              <w:spacing w:before="155" w:after="0" w:lineRule="exact" w:line="188"/>
              <w:ind w:right="0" w:left="107"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7" w:after="0" w:lineRule="exact" w:line="188"/>
              <w:ind w:right="0" w:left="181" w:firstLine="0"/>
              <w:snapToGrid w:val="0"/>
              <w:textAlignment w:val="auto"/>
              <w:tabs/>
              <w:rPr>
                <w:rFonts w:ascii="宋体" w:hAnsi="宋体" w:cs="宋体" w:eastAsia="宋体" w:hint="ascii"/>
                <w:sz w:val="15"/>
              </w:rPr>
            </w:pPr>
            <w:r>
              <w:rPr>
                <w:rFonts w:ascii="宋体" w:hAnsi="宋体" w:cs="宋体" w:eastAsia="宋体" w:hint="ascii"/>
                <w:sz w:val="15"/>
              </w:rPr>
              <w:t>资助率</w:t>
            </w:r>
          </w:p>
          <w:p>
            <w:pPr>
              <w:autoSpaceDE w:val="0"/>
              <w:autoSpaceDN w:val="0"/>
              <w:jc w:val="left"/>
              <w:spacing w:before="7" w:after="0" w:lineRule="exact" w:line="188"/>
              <w:ind w:right="0" w:left="157" w:firstLine="0"/>
              <w:snapToGrid w:val="0"/>
              <w:textAlignment w:val="auto"/>
              <w:tabs/>
              <w:rPr>
                <w:rFonts w:ascii="宋体" w:hAnsi="宋体" w:cs="宋体" w:eastAsia="宋体" w:hint="ascii"/>
                <w:sz w:val="15"/>
              </w:rPr>
            </w:pPr>
            <w:r>
              <w:rPr>
                <w:rFonts w:ascii="宋体" w:hAnsi="宋体" w:cs="宋体" w:eastAsia="宋体" w:hint="ascii"/>
                <w:sz w:val="15"/>
              </w:rPr>
              <w:t>（</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524" w:hRule="exact"/>
          <w:cantSplit w:val="1"/>
        </w:trPr>
        <w:tc>
          <w:tcPr>
            <w:tcW w:w="1017" w:type="dxa"/>
            <w:gridSpan w:val="1"/>
            <w:vAlign w:val="top"/>
            <w:tcMar/>
            <w:tcBorders>
              <w:top w:val="single" w:sz="4" w:space="0" w:color="000000"/>
            </w:tcBorders>
          </w:tcPr>
          <w:p>
            <w:pPr>
              <w:autoSpaceDE w:val="0"/>
              <w:autoSpaceDN w:val="0"/>
              <w:jc w:val="left"/>
              <w:spacing w:before="15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043" w:type="dxa"/>
            <w:gridSpan w:val="1"/>
            <w:vAlign w:val="top"/>
            <w:tcMar/>
            <w:tcBorders>
              <w:left w:val="single" w:sz="4" w:space="0" w:color="000000"/>
              <w:top w:val="single" w:sz="4" w:space="0" w:color="000000"/>
            </w:tcBorders>
          </w:tcPr>
          <w:p>
            <w:pPr>
              <w:autoSpaceDE w:val="0"/>
              <w:autoSpaceDN w:val="0"/>
              <w:jc w:val="both"/>
              <w:spacing w:before="57" w:after="0" w:lineRule="exact" w:line="194"/>
              <w:ind w:right="116" w:left="116" w:firstLine="0"/>
              <w:snapToGrid w:val="0"/>
              <w:textAlignment w:val="auto"/>
              <w:tabs/>
              <w:rPr>
                <w:rFonts w:ascii="宋体" w:hAnsi="宋体" w:cs="宋体" w:eastAsia="宋体" w:hint="ascii"/>
                <w:sz w:val="15"/>
              </w:rPr>
            </w:pPr>
            <w:r>
              <w:rPr>
                <w:rFonts w:ascii="宋体" w:hAnsi="宋体" w:cs="宋体" w:eastAsia="宋体" w:hint="ascii"/>
                <w:sz w:val="15"/>
                <w:spacing w:val="-1"/>
              </w:rPr>
              <w:t>生殖系统疾病</w:t>
            </w:r>
            <w:r>
              <w:rPr>
                <w:rFonts w:ascii="宋体" w:hAnsi="宋体" w:cs="宋体" w:eastAsia="宋体" w:hint="ascii"/>
                <w:sz w:val="15"/>
              </w:rPr>
              <w:t>、围生医学、</w:t>
            </w:r>
            <w:r>
              <w:rPr>
                <w:rFonts w:ascii="宋体" w:hAnsi="宋体" w:cs="宋体" w:eastAsia="宋体" w:hint="ascii"/>
                <w:sz w:val="15"/>
                <w:spacing w:val="-1"/>
              </w:rPr>
              <w:t>胎儿和新生儿</w:t>
            </w:r>
            <w:r>
              <w:rPr>
                <w:rFonts w:ascii="宋体" w:hAnsi="宋体" w:cs="宋体" w:eastAsia="宋体" w:hint="ascii"/>
                <w:sz w:val="15"/>
              </w:rPr>
              <w:t>、医学免疫学</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37</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237" w:firstLine="0"/>
              <w:snapToGrid w:val="0"/>
              <w:textAlignment w:val="auto"/>
              <w:tabs>
                <w:tab w:val="left" w:leader="none" w:pos="355"/>
              </w:tabs>
              <w:numPr>
                <w:ilvl w:val="0"/>
                <w:numId w:val="282"/>
              </w:numPr>
              <w:rPr>
                <w:rFonts w:ascii="Times New Roman" w:hAnsi="Times New Roman" w:cs="Times New Roman" w:eastAsia="Times New Roman" w:hint="ascii"/>
                <w:sz w:val="15"/>
              </w:rPr>
            </w:pPr>
            <w:r>
              <w:rPr>
                <w:rFonts w:ascii="Times New Roman" w:hAnsi="Times New Roman" w:cs="Times New Roman" w:eastAsia="Times New Roman" w:hint="ascii"/>
                <w:sz w:val="15"/>
              </w:rPr>
              <w:t>339</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18.50</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40</w:t>
            </w:r>
          </w:p>
        </w:tc>
        <w:tc>
          <w:tcPr>
            <w:tcW w:w="822" w:type="dxa"/>
            <w:gridSpan w:val="1"/>
            <w:vAlign w:val="top"/>
            <w:tcMar/>
            <w:tcBorders>
              <w:left w:val="single" w:sz="4" w:space="0" w:color="000000"/>
              <w:top w:val="single" w:sz="4" w:space="0" w:color="000000"/>
            </w:tcBorders>
          </w:tcPr>
          <w:p>
            <w:pPr>
              <w:autoSpaceDE w:val="0"/>
              <w:autoSpaceDN w:val="0"/>
              <w:jc w:val="left"/>
              <w:spacing w:before="166" w:after="0" w:lineRule="auto" w:line="240"/>
              <w:ind w:right="0" w:left="237" w:firstLine="0"/>
              <w:snapToGrid w:val="0"/>
              <w:textAlignment w:val="auto"/>
              <w:tabs>
                <w:tab w:val="left" w:leader="none" w:pos="355"/>
              </w:tabs>
              <w:numPr>
                <w:ilvl w:val="0"/>
                <w:numId w:val="283"/>
              </w:numPr>
              <w:rPr>
                <w:rFonts w:ascii="Times New Roman" w:hAnsi="Times New Roman" w:cs="Times New Roman" w:eastAsia="Times New Roman" w:hint="ascii"/>
                <w:sz w:val="15"/>
              </w:rPr>
            </w:pPr>
            <w:r>
              <w:rPr>
                <w:rFonts w:ascii="Times New Roman" w:hAnsi="Times New Roman" w:cs="Times New Roman" w:eastAsia="Times New Roman" w:hint="ascii"/>
                <w:sz w:val="15"/>
              </w:rPr>
              <w:t>353</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66"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18.02</w:t>
            </w:r>
          </w:p>
        </w:tc>
      </w:tr>
      <w:tr>
        <w:trPr>
          <w:trHeight w:val="512" w:hRule="exact"/>
          <w:cantSplit w:val="1"/>
        </w:trPr>
        <w:tc>
          <w:tcPr>
            <w:tcW w:w="1017" w:type="dxa"/>
            <w:gridSpan w:val="1"/>
            <w:vAlign w:val="top"/>
            <w:tcMar/>
            <w:tcBorders>
              <w:top w:val="single" w:sz="4" w:space="0" w:color="000000"/>
            </w:tcBorders>
          </w:tcPr>
          <w:p>
            <w:pPr>
              <w:autoSpaceDE w:val="0"/>
              <w:autoSpaceDN w:val="0"/>
              <w:jc w:val="left"/>
              <w:spacing w:before="153"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2043" w:type="dxa"/>
            <w:gridSpan w:val="1"/>
            <w:vAlign w:val="top"/>
            <w:tcMar/>
            <w:tcBorders>
              <w:left w:val="single" w:sz="4" w:space="0" w:color="000000"/>
              <w:top w:val="single" w:sz="4" w:space="0" w:color="000000"/>
            </w:tcBorders>
          </w:tcPr>
          <w:p>
            <w:pPr>
              <w:autoSpaceDE w:val="0"/>
              <w:autoSpaceDN w:val="0"/>
              <w:jc w:val="left"/>
              <w:spacing w:before="56"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影像医学、生物医学工程、</w:t>
            </w:r>
          </w:p>
          <w:p>
            <w:pPr>
              <w:autoSpaceDE w:val="0"/>
              <w:autoSpaceDN w:val="0"/>
              <w:jc w:val="left"/>
              <w:spacing w:before="7" w:after="0" w:lineRule="exact" w:line="188"/>
              <w:ind w:right="0" w:left="416" w:firstLine="0"/>
              <w:snapToGrid w:val="0"/>
              <w:textAlignment w:val="auto"/>
              <w:tabs/>
              <w:rPr>
                <w:rFonts w:ascii="宋体" w:hAnsi="宋体" w:cs="宋体" w:eastAsia="宋体" w:hint="ascii"/>
                <w:sz w:val="15"/>
              </w:rPr>
            </w:pPr>
            <w:r>
              <w:rPr>
                <w:rFonts w:ascii="宋体" w:hAnsi="宋体" w:cs="宋体" w:eastAsia="宋体" w:hint="ascii"/>
                <w:sz w:val="15"/>
              </w:rPr>
              <w:t>特种医学、法医学</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37" w:firstLine="0"/>
              <w:snapToGrid w:val="0"/>
              <w:textAlignment w:val="auto"/>
              <w:tabs>
                <w:tab w:val="left" w:leader="none" w:pos="355"/>
              </w:tabs>
              <w:numPr>
                <w:ilvl w:val="0"/>
                <w:numId w:val="284"/>
              </w:numPr>
              <w:rPr>
                <w:rFonts w:ascii="Times New Roman" w:hAnsi="Times New Roman" w:cs="Times New Roman" w:eastAsia="Times New Roman" w:hint="ascii"/>
                <w:sz w:val="15"/>
              </w:rPr>
            </w:pPr>
            <w:r>
              <w:rPr>
                <w:rFonts w:ascii="Times New Roman" w:hAnsi="Times New Roman" w:cs="Times New Roman" w:eastAsia="Times New Roman" w:hint="ascii"/>
                <w:sz w:val="15"/>
              </w:rPr>
              <w:t>097</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16.76</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37" w:firstLine="0"/>
              <w:snapToGrid w:val="0"/>
              <w:textAlignment w:val="auto"/>
              <w:tabs>
                <w:tab w:val="left" w:leader="none" w:pos="355"/>
              </w:tabs>
              <w:numPr>
                <w:ilvl w:val="0"/>
                <w:numId w:val="285"/>
              </w:numPr>
              <w:rPr>
                <w:rFonts w:ascii="Times New Roman" w:hAnsi="Times New Roman" w:cs="Times New Roman" w:eastAsia="Times New Roman" w:hint="ascii"/>
                <w:sz w:val="15"/>
              </w:rPr>
            </w:pPr>
            <w:r>
              <w:rPr>
                <w:rFonts w:ascii="Times New Roman" w:hAnsi="Times New Roman" w:cs="Times New Roman" w:eastAsia="Times New Roman" w:hint="ascii"/>
                <w:sz w:val="15"/>
              </w:rPr>
              <w:t>107</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16.67</w:t>
            </w:r>
          </w:p>
        </w:tc>
      </w:tr>
      <w:tr>
        <w:trPr>
          <w:trHeight w:val="902" w:hRule="exact"/>
          <w:cantSplit w:val="1"/>
        </w:trPr>
        <w:tc>
          <w:tcPr>
            <w:tcW w:w="1017" w:type="dxa"/>
            <w:gridSpan w:val="1"/>
            <w:vAlign w:val="top"/>
            <w:tcMar/>
            <w:tcBorders>
              <w:top w:val="single" w:sz="4" w:space="0" w:color="000000"/>
            </w:tcBorders>
          </w:tcPr>
          <w:p>
            <w:pPr>
              <w:autoSpaceDE w:val="0"/>
              <w:autoSpaceDN w:val="0"/>
              <w:jc w:val="left"/>
              <w:spacing w:before="349"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2043" w:type="dxa"/>
            <w:gridSpan w:val="1"/>
            <w:vAlign w:val="top"/>
            <w:tcMar/>
            <w:tcBorders>
              <w:left w:val="single" w:sz="4" w:space="0" w:color="000000"/>
              <w:top w:val="single" w:sz="4" w:space="0" w:color="000000"/>
            </w:tcBorders>
          </w:tcPr>
          <w:p>
            <w:pPr>
              <w:autoSpaceDE w:val="0"/>
              <w:autoSpaceDN w:val="0"/>
              <w:jc w:val="left"/>
              <w:spacing w:before="52" w:after="0" w:lineRule="exact" w:line="194"/>
              <w:ind w:right="71" w:left="116" w:firstLine="76"/>
              <w:snapToGrid w:val="0"/>
              <w:textAlignment w:val="auto"/>
              <w:tabs/>
              <w:rPr>
                <w:rFonts w:ascii="宋体" w:hAnsi="宋体" w:cs="宋体" w:eastAsia="宋体" w:hint="ascii"/>
                <w:sz w:val="15"/>
              </w:rPr>
            </w:pPr>
            <w:r>
              <w:rPr>
                <w:rFonts w:ascii="宋体" w:hAnsi="宋体" w:cs="宋体" w:eastAsia="宋体" w:hint="ascii"/>
                <w:sz w:val="15"/>
              </w:rPr>
              <w:t>医学病原生物与感染性疾病、运动系统疾病、创伤、烧伤、整形、急重症医学、</w:t>
            </w:r>
          </w:p>
          <w:p>
            <w:pPr>
              <w:autoSpaceDE w:val="0"/>
              <w:autoSpaceDN w:val="0"/>
              <w:jc w:val="left"/>
              <w:spacing w:before="6" w:after="0" w:lineRule="exact" w:line="188"/>
              <w:ind w:right="0" w:left="342" w:firstLine="0"/>
              <w:snapToGrid w:val="0"/>
              <w:textAlignment w:val="auto"/>
              <w:tabs/>
              <w:rPr>
                <w:rFonts w:ascii="宋体" w:hAnsi="宋体" w:cs="宋体" w:eastAsia="宋体" w:hint="ascii"/>
                <w:sz w:val="15"/>
              </w:rPr>
            </w:pPr>
            <w:r>
              <w:rPr>
                <w:rFonts w:ascii="宋体" w:hAnsi="宋体" w:cs="宋体" w:eastAsia="宋体" w:hint="ascii"/>
                <w:sz w:val="15"/>
              </w:rPr>
              <w:t>检验医学、康复医学</w:t>
            </w:r>
          </w:p>
        </w:tc>
        <w:tc>
          <w:tcPr>
            <w:tcW w:w="822" w:type="dxa"/>
            <w:gridSpan w:val="1"/>
            <w:vAlign w:val="top"/>
            <w:tcMar/>
            <w:tcBorders>
              <w:left w:val="single" w:sz="4" w:space="0" w:color="000000"/>
              <w:top w:val="single" w:sz="4" w:space="0" w:color="000000"/>
            </w:tcBorders>
          </w:tcPr>
          <w:p>
            <w:pPr>
              <w:autoSpaceDE w:val="0"/>
              <w:autoSpaceDN w:val="0"/>
              <w:jc w:val="left"/>
              <w:spacing w:before="35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74</w:t>
            </w:r>
          </w:p>
        </w:tc>
        <w:tc>
          <w:tcPr>
            <w:tcW w:w="822" w:type="dxa"/>
            <w:gridSpan w:val="1"/>
            <w:vAlign w:val="top"/>
            <w:tcMar/>
            <w:tcBorders>
              <w:left w:val="single" w:sz="4" w:space="0" w:color="000000"/>
              <w:top w:val="single" w:sz="4" w:space="0" w:color="000000"/>
            </w:tcBorders>
          </w:tcPr>
          <w:p>
            <w:pPr>
              <w:autoSpaceDE w:val="0"/>
              <w:autoSpaceDN w:val="0"/>
              <w:jc w:val="left"/>
              <w:spacing w:before="355" w:after="0" w:lineRule="auto" w:line="240"/>
              <w:ind w:right="0" w:left="237" w:firstLine="0"/>
              <w:snapToGrid w:val="0"/>
              <w:textAlignment w:val="auto"/>
              <w:tabs>
                <w:tab w:val="left" w:leader="none" w:pos="355"/>
              </w:tabs>
              <w:numPr>
                <w:ilvl w:val="0"/>
                <w:numId w:val="284"/>
              </w:numPr>
              <w:rPr>
                <w:rFonts w:ascii="Times New Roman" w:hAnsi="Times New Roman" w:cs="Times New Roman" w:eastAsia="Times New Roman" w:hint="ascii"/>
                <w:sz w:val="15"/>
              </w:rPr>
            </w:pPr>
            <w:r>
              <w:rPr>
                <w:rFonts w:ascii="Times New Roman" w:hAnsi="Times New Roman" w:cs="Times New Roman" w:eastAsia="Times New Roman" w:hint="ascii"/>
                <w:sz w:val="15"/>
              </w:rPr>
              <w:t>722</w:t>
            </w:r>
          </w:p>
        </w:tc>
        <w:tc>
          <w:tcPr>
            <w:tcW w:w="822" w:type="dxa"/>
            <w:gridSpan w:val="1"/>
            <w:vAlign w:val="top"/>
            <w:tcMar/>
            <w:tcBorders>
              <w:left w:val="single" w:sz="4" w:space="0" w:color="000000"/>
              <w:top w:val="single" w:sz="4" w:space="0" w:color="000000"/>
            </w:tcBorders>
          </w:tcPr>
          <w:p>
            <w:pPr>
              <w:autoSpaceDE w:val="0"/>
              <w:autoSpaceDN w:val="0"/>
              <w:jc w:val="left"/>
              <w:spacing w:before="35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17.83</w:t>
            </w:r>
          </w:p>
        </w:tc>
        <w:tc>
          <w:tcPr>
            <w:tcW w:w="822" w:type="dxa"/>
            <w:gridSpan w:val="1"/>
            <w:vAlign w:val="top"/>
            <w:tcMar/>
            <w:tcBorders>
              <w:left w:val="single" w:sz="4" w:space="0" w:color="000000"/>
              <w:top w:val="single" w:sz="4" w:space="0" w:color="000000"/>
            </w:tcBorders>
          </w:tcPr>
          <w:p>
            <w:pPr>
              <w:autoSpaceDE w:val="0"/>
              <w:autoSpaceDN w:val="0"/>
              <w:jc w:val="left"/>
              <w:spacing w:before="355"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81</w:t>
            </w:r>
          </w:p>
        </w:tc>
        <w:tc>
          <w:tcPr>
            <w:tcW w:w="822" w:type="dxa"/>
            <w:gridSpan w:val="1"/>
            <w:vAlign w:val="top"/>
            <w:tcMar/>
            <w:tcBorders>
              <w:left w:val="single" w:sz="4" w:space="0" w:color="000000"/>
              <w:top w:val="single" w:sz="4" w:space="0" w:color="000000"/>
            </w:tcBorders>
          </w:tcPr>
          <w:p>
            <w:pPr>
              <w:autoSpaceDE w:val="0"/>
              <w:autoSpaceDN w:val="0"/>
              <w:jc w:val="left"/>
              <w:spacing w:before="355" w:after="0" w:lineRule="auto" w:line="240"/>
              <w:ind w:right="0" w:left="237" w:firstLine="0"/>
              <w:snapToGrid w:val="0"/>
              <w:textAlignment w:val="auto"/>
              <w:tabs>
                <w:tab w:val="left" w:leader="none" w:pos="355"/>
              </w:tabs>
              <w:numPr>
                <w:ilvl w:val="0"/>
                <w:numId w:val="285"/>
              </w:numPr>
              <w:rPr>
                <w:rFonts w:ascii="Times New Roman" w:hAnsi="Times New Roman" w:cs="Times New Roman" w:eastAsia="Times New Roman" w:hint="ascii"/>
                <w:sz w:val="15"/>
              </w:rPr>
            </w:pPr>
            <w:r>
              <w:rPr>
                <w:rFonts w:ascii="Times New Roman" w:hAnsi="Times New Roman" w:cs="Times New Roman" w:eastAsia="Times New Roman" w:hint="ascii"/>
                <w:sz w:val="15"/>
              </w:rPr>
              <w:t>723</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5"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16.04</w:t>
            </w:r>
          </w:p>
        </w:tc>
      </w:tr>
      <w:tr>
        <w:trPr>
          <w:trHeight w:val="318" w:hRule="exact"/>
          <w:cantSplit w:val="1"/>
        </w:trPr>
        <w:tc>
          <w:tcPr>
            <w:tcW w:w="1017" w:type="dxa"/>
            <w:gridSpan w:val="1"/>
            <w:vAlign w:val="top"/>
            <w:tcMar/>
            <w:tcBorders>
              <w:top w:val="single" w:sz="4" w:space="0" w:color="000000"/>
            </w:tcBorders>
          </w:tcPr>
          <w:p>
            <w:pPr>
              <w:autoSpaceDE w:val="0"/>
              <w:autoSpaceDN w:val="0"/>
              <w:jc w:val="left"/>
              <w:spacing w:before="57"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2043"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192" w:firstLine="0"/>
              <w:snapToGrid w:val="0"/>
              <w:textAlignment w:val="auto"/>
              <w:tabs/>
              <w:rPr>
                <w:rFonts w:ascii="宋体" w:hAnsi="宋体" w:cs="宋体" w:eastAsia="宋体" w:hint="ascii"/>
                <w:sz w:val="15"/>
              </w:rPr>
            </w:pPr>
            <w:r>
              <w:rPr>
                <w:rFonts w:ascii="宋体" w:hAnsi="宋体" w:cs="宋体" w:eastAsia="宋体" w:hint="ascii"/>
                <w:sz w:val="15"/>
              </w:rPr>
              <w:t>肿瘤学（血液系统除外）</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127</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4 656</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14.33</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139</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4 681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13.52</w:t>
            </w:r>
          </w:p>
        </w:tc>
      </w:tr>
      <w:tr>
        <w:trPr>
          <w:trHeight w:val="708" w:hRule="exact"/>
          <w:cantSplit w:val="1"/>
        </w:trPr>
        <w:tc>
          <w:tcPr>
            <w:tcW w:w="1017" w:type="dxa"/>
            <w:gridSpan w:val="1"/>
            <w:vAlign w:val="top"/>
            <w:tcMar/>
            <w:tcBorders>
              <w:top w:val="single" w:sz="4" w:space="0" w:color="000000"/>
            </w:tcBorders>
          </w:tcPr>
          <w:p>
            <w:pPr>
              <w:autoSpaceDE w:val="0"/>
              <w:autoSpaceDN w:val="0"/>
              <w:jc w:val="left"/>
              <w:spacing w:before="252"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2043"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皮肤及其附属器疾病、预防</w:t>
            </w:r>
          </w:p>
          <w:p>
            <w:pPr>
              <w:autoSpaceDE w:val="0"/>
              <w:autoSpaceDN w:val="0"/>
              <w:jc w:val="left"/>
              <w:spacing w:before="7" w:after="0" w:lineRule="exact" w:line="188"/>
              <w:ind w:right="0" w:left="192" w:firstLine="0"/>
              <w:snapToGrid w:val="0"/>
              <w:textAlignment w:val="auto"/>
              <w:tabs/>
              <w:rPr>
                <w:rFonts w:ascii="宋体" w:hAnsi="宋体" w:cs="宋体" w:eastAsia="宋体" w:hint="ascii"/>
                <w:sz w:val="15"/>
              </w:rPr>
            </w:pPr>
            <w:r>
              <w:rPr>
                <w:rFonts w:ascii="宋体" w:hAnsi="宋体" w:cs="宋体" w:eastAsia="宋体" w:hint="ascii"/>
                <w:sz w:val="15"/>
              </w:rPr>
              <w:t>医学、地方病学、职业病</w:t>
            </w:r>
          </w:p>
          <w:p>
            <w:pPr>
              <w:autoSpaceDE w:val="0"/>
              <w:autoSpaceDN w:val="0"/>
              <w:jc w:val="left"/>
              <w:spacing w:before="7" w:after="0" w:lineRule="exact" w:line="188"/>
              <w:ind w:right="0" w:left="566" w:firstLine="0"/>
              <w:snapToGrid w:val="0"/>
              <w:textAlignment w:val="auto"/>
              <w:tabs/>
              <w:rPr>
                <w:rFonts w:ascii="宋体" w:hAnsi="宋体" w:cs="宋体" w:eastAsia="宋体" w:hint="ascii"/>
                <w:sz w:val="15"/>
              </w:rPr>
            </w:pPr>
            <w:r>
              <w:rPr>
                <w:rFonts w:ascii="宋体" w:hAnsi="宋体" w:cs="宋体" w:eastAsia="宋体" w:hint="ascii"/>
                <w:sz w:val="15"/>
              </w:rPr>
              <w:t>学、放射医学</w:t>
            </w:r>
          </w:p>
        </w:tc>
        <w:tc>
          <w:tcPr>
            <w:tcW w:w="822" w:type="dxa"/>
            <w:gridSpan w:val="1"/>
            <w:vAlign w:val="top"/>
            <w:tcMar/>
            <w:tcBorders>
              <w:left w:val="single" w:sz="4" w:space="0" w:color="000000"/>
              <w:top w:val="single" w:sz="4" w:space="0" w:color="000000"/>
            </w:tcBorders>
          </w:tcPr>
          <w:p>
            <w:pPr>
              <w:autoSpaceDE w:val="0"/>
              <w:autoSpaceDN w:val="0"/>
              <w:jc w:val="left"/>
              <w:spacing w:before="258"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57</w:t>
            </w:r>
          </w:p>
        </w:tc>
        <w:tc>
          <w:tcPr>
            <w:tcW w:w="822" w:type="dxa"/>
            <w:gridSpan w:val="1"/>
            <w:vAlign w:val="top"/>
            <w:tcMar/>
            <w:tcBorders>
              <w:left w:val="single" w:sz="4" w:space="0" w:color="000000"/>
              <w:top w:val="single" w:sz="4" w:space="0" w:color="000000"/>
            </w:tcBorders>
          </w:tcPr>
          <w:p>
            <w:pPr>
              <w:autoSpaceDE w:val="0"/>
              <w:autoSpaceDN w:val="0"/>
              <w:jc w:val="left"/>
              <w:spacing w:before="258" w:after="0" w:lineRule="auto" w:line="240"/>
              <w:ind w:right="0" w:left="275" w:firstLine="0"/>
              <w:snapToGrid w:val="0"/>
              <w:textAlignment w:val="auto"/>
              <w:tabs>
                <w:tab w:val="left" w:leader="none" w:pos="392"/>
              </w:tabs>
              <w:numPr>
                <w:ilvl w:val="0"/>
                <w:numId w:val="282"/>
              </w:numPr>
              <w:rPr>
                <w:rFonts w:ascii="Times New Roman" w:hAnsi="Times New Roman" w:cs="Times New Roman" w:eastAsia="Times New Roman" w:hint="ascii"/>
                <w:sz w:val="15"/>
              </w:rPr>
            </w:pPr>
            <w:r>
              <w:rPr>
                <w:rFonts w:ascii="Times New Roman" w:hAnsi="Times New Roman" w:cs="Times New Roman" w:eastAsia="Times New Roman" w:hint="ascii"/>
                <w:sz w:val="15"/>
              </w:rPr>
              <w:t>136</w:t>
            </w:r>
          </w:p>
        </w:tc>
        <w:tc>
          <w:tcPr>
            <w:tcW w:w="822" w:type="dxa"/>
            <w:gridSpan w:val="1"/>
            <w:vAlign w:val="top"/>
            <w:tcMar/>
            <w:tcBorders>
              <w:left w:val="single" w:sz="4" w:space="0" w:color="000000"/>
              <w:top w:val="single" w:sz="4" w:space="0" w:color="000000"/>
            </w:tcBorders>
          </w:tcPr>
          <w:p>
            <w:pPr>
              <w:autoSpaceDE w:val="0"/>
              <w:autoSpaceDN w:val="0"/>
              <w:jc w:val="left"/>
              <w:spacing w:before="258"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22.09</w:t>
            </w:r>
          </w:p>
        </w:tc>
        <w:tc>
          <w:tcPr>
            <w:tcW w:w="822" w:type="dxa"/>
            <w:gridSpan w:val="1"/>
            <w:vAlign w:val="top"/>
            <w:tcMar/>
            <w:tcBorders>
              <w:left w:val="single" w:sz="4" w:space="0" w:color="000000"/>
              <w:top w:val="single" w:sz="4" w:space="0" w:color="000000"/>
            </w:tcBorders>
          </w:tcPr>
          <w:p>
            <w:pPr>
              <w:autoSpaceDE w:val="0"/>
              <w:autoSpaceDN w:val="0"/>
              <w:jc w:val="left"/>
              <w:spacing w:before="258"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w:t>
            </w:r>
          </w:p>
        </w:tc>
        <w:tc>
          <w:tcPr>
            <w:tcW w:w="822" w:type="dxa"/>
            <w:gridSpan w:val="1"/>
            <w:vAlign w:val="top"/>
            <w:tcMar/>
            <w:tcBorders>
              <w:left w:val="single" w:sz="4" w:space="0" w:color="000000"/>
              <w:top w:val="single" w:sz="4" w:space="0" w:color="000000"/>
            </w:tcBorders>
          </w:tcPr>
          <w:p>
            <w:pPr>
              <w:autoSpaceDE w:val="0"/>
              <w:autoSpaceDN w:val="0"/>
              <w:jc w:val="left"/>
              <w:spacing w:before="258" w:after="0" w:lineRule="auto" w:line="240"/>
              <w:ind w:right="0" w:left="275" w:firstLine="0"/>
              <w:snapToGrid w:val="0"/>
              <w:textAlignment w:val="auto"/>
              <w:tabs>
                <w:tab w:val="left" w:leader="none" w:pos="392"/>
              </w:tabs>
              <w:numPr>
                <w:ilvl w:val="0"/>
                <w:numId w:val="283"/>
              </w:numPr>
              <w:rPr>
                <w:rFonts w:ascii="Times New Roman" w:hAnsi="Times New Roman" w:cs="Times New Roman" w:eastAsia="Times New Roman" w:hint="ascii"/>
                <w:sz w:val="15"/>
              </w:rPr>
            </w:pPr>
            <w:r>
              <w:rPr>
                <w:rFonts w:ascii="Times New Roman" w:hAnsi="Times New Roman" w:cs="Times New Roman" w:eastAsia="Times New Roman" w:hint="ascii"/>
                <w:sz w:val="15"/>
              </w:rPr>
              <w:t>141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58"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22.79</w:t>
            </w:r>
          </w:p>
        </w:tc>
      </w:tr>
      <w:tr>
        <w:trPr>
          <w:trHeight w:val="318" w:hRule="exact"/>
          <w:cantSplit w:val="1"/>
        </w:trPr>
        <w:tc>
          <w:tcPr>
            <w:tcW w:w="1017" w:type="dxa"/>
            <w:gridSpan w:val="1"/>
            <w:vAlign w:val="top"/>
            <w:tcMar/>
            <w:tcBorders>
              <w:top w:val="single" w:sz="4" w:space="0" w:color="000000"/>
            </w:tcBorders>
          </w:tcPr>
          <w:p>
            <w:pPr>
              <w:autoSpaceDE w:val="0"/>
              <w:autoSpaceDN w:val="0"/>
              <w:jc w:val="left"/>
              <w:spacing w:before="57"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九处</w:t>
            </w:r>
          </w:p>
        </w:tc>
        <w:tc>
          <w:tcPr>
            <w:tcW w:w="2043"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492" w:firstLine="0"/>
              <w:snapToGrid w:val="0"/>
              <w:textAlignment w:val="auto"/>
              <w:tabs/>
              <w:rPr>
                <w:rFonts w:ascii="宋体" w:hAnsi="宋体" w:cs="宋体" w:eastAsia="宋体" w:hint="ascii"/>
                <w:sz w:val="15"/>
              </w:rPr>
            </w:pPr>
            <w:r>
              <w:rPr>
                <w:rFonts w:ascii="宋体" w:hAnsi="宋体" w:cs="宋体" w:eastAsia="宋体" w:hint="ascii"/>
                <w:sz w:val="15"/>
              </w:rPr>
              <w:t>药物学、药理学</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2 005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20.45</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368"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2 007</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18.97</w:t>
            </w:r>
          </w:p>
        </w:tc>
      </w:tr>
      <w:tr>
        <w:trPr>
          <w:trHeight w:val="514" w:hRule="exact"/>
          <w:cantSplit w:val="1"/>
        </w:trPr>
        <w:tc>
          <w:tcPr>
            <w:tcW w:w="1017" w:type="dxa"/>
            <w:gridSpan w:val="1"/>
            <w:vAlign w:val="top"/>
            <w:tcMar/>
            <w:tcBorders>
              <w:top w:val="single" w:sz="4" w:space="0" w:color="000000"/>
            </w:tcBorders>
          </w:tcPr>
          <w:p>
            <w:pPr>
              <w:autoSpaceDE w:val="0"/>
              <w:autoSpaceDN w:val="0"/>
              <w:jc w:val="left"/>
              <w:spacing w:before="155" w:after="0" w:lineRule="exact" w:line="188"/>
              <w:ind w:right="0" w:left="349" w:firstLine="0"/>
              <w:snapToGrid w:val="0"/>
              <w:textAlignment w:val="auto"/>
              <w:tabs/>
              <w:rPr>
                <w:rFonts w:ascii="宋体" w:hAnsi="宋体" w:cs="宋体" w:eastAsia="宋体" w:hint="ascii"/>
                <w:sz w:val="15"/>
              </w:rPr>
            </w:pPr>
            <w:r>
              <w:rPr>
                <w:rFonts w:ascii="宋体" w:hAnsi="宋体" w:cs="宋体" w:eastAsia="宋体" w:hint="ascii"/>
                <w:sz w:val="15"/>
              </w:rPr>
              <w:t>十处</w:t>
            </w:r>
          </w:p>
        </w:tc>
        <w:tc>
          <w:tcPr>
            <w:tcW w:w="2043" w:type="dxa"/>
            <w:gridSpan w:val="1"/>
            <w:vAlign w:val="top"/>
            <w:tcMar/>
            <w:tcBorders>
              <w:left w:val="single" w:sz="4" w:space="0" w:color="000000"/>
              <w:top w:val="single" w:sz="4" w:space="0" w:color="000000"/>
            </w:tcBorders>
          </w:tcPr>
          <w:p>
            <w:pPr>
              <w:autoSpaceDE w:val="0"/>
              <w:autoSpaceDN w:val="0"/>
              <w:jc w:val="left"/>
              <w:spacing w:before="57" w:after="0" w:lineRule="exact" w:line="188"/>
              <w:ind w:right="0" w:left="116" w:firstLine="0"/>
              <w:snapToGrid w:val="0"/>
              <w:textAlignment w:val="auto"/>
              <w:tabs/>
              <w:rPr>
                <w:rFonts w:ascii="宋体" w:hAnsi="宋体" w:cs="宋体" w:eastAsia="宋体" w:hint="ascii"/>
                <w:sz w:val="15"/>
              </w:rPr>
            </w:pPr>
            <w:r>
              <w:rPr>
                <w:rFonts w:ascii="宋体" w:hAnsi="宋体" w:cs="宋体" w:eastAsia="宋体" w:hint="ascii"/>
                <w:sz w:val="15"/>
              </w:rPr>
              <w:t>中医学、中西医结合学、中</w:t>
            </w:r>
          </w:p>
          <w:p>
            <w:pPr>
              <w:autoSpaceDE w:val="0"/>
              <w:autoSpaceDN w:val="0"/>
              <w:jc w:val="left"/>
              <w:spacing w:before="7" w:after="0" w:lineRule="exact" w:line="188"/>
              <w:ind w:right="0" w:left="866" w:firstLine="0"/>
              <w:snapToGrid w:val="0"/>
              <w:textAlignment w:val="auto"/>
              <w:tabs/>
              <w:rPr>
                <w:rFonts w:ascii="宋体" w:hAnsi="宋体" w:cs="宋体" w:eastAsia="宋体" w:hint="ascii"/>
                <w:sz w:val="15"/>
              </w:rPr>
            </w:pPr>
            <w:r>
              <w:rPr>
                <w:rFonts w:ascii="宋体" w:hAnsi="宋体" w:cs="宋体" w:eastAsia="宋体" w:hint="ascii"/>
                <w:sz w:val="15"/>
              </w:rPr>
              <w:t>药学</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216</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7 918</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19.00</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234</w:t>
            </w:r>
          </w:p>
        </w:tc>
        <w:tc>
          <w:tcPr>
            <w:tcW w:w="822" w:type="dxa"/>
            <w:gridSpan w:val="1"/>
            <w:vAlign w:val="top"/>
            <w:tcMar/>
            <w:tcBorders>
              <w:left w:val="single" w:sz="4" w:space="0" w:color="000000"/>
              <w:top w:val="single" w:sz="4" w:space="0" w:color="000000"/>
            </w:tcBorders>
          </w:tcPr>
          <w:p>
            <w:pPr>
              <w:autoSpaceDE w:val="0"/>
              <w:autoSpaceDN w:val="0"/>
              <w:jc w:val="left"/>
              <w:spacing w:before="161" w:after="0" w:lineRule="auto" w:line="240"/>
              <w:ind w:right="0" w:left="2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7 921</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61"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18.53</w:t>
            </w:r>
          </w:p>
        </w:tc>
      </w:tr>
      <w:tr>
        <w:trPr>
          <w:trHeight w:val="318" w:hRule="exact"/>
          <w:cantSplit w:val="1"/>
        </w:trPr>
        <w:tc>
          <w:tcPr>
            <w:tcW w:w="3060" w:type="dxa"/>
            <w:gridSpan w:val="2"/>
            <w:vAlign w:val="top"/>
            <w:tcMar/>
            <w:tcBorders>
              <w:top w:val="single" w:sz="4" w:space="0" w:color="000000"/>
            </w:tcBorders>
          </w:tcPr>
          <w:p>
            <w:pPr>
              <w:autoSpaceDE w:val="0"/>
              <w:autoSpaceDN w:val="0"/>
              <w:jc w:val="left"/>
              <w:spacing w:before="57" w:after="0" w:lineRule="exact" w:line="188"/>
              <w:ind w:right="0" w:left="1070"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840</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30 810</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18.02</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9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912</w:t>
            </w:r>
          </w:p>
        </w:tc>
        <w:tc>
          <w:tcPr>
            <w:tcW w:w="822" w:type="dxa"/>
            <w:gridSpan w:val="1"/>
            <w:vAlign w:val="top"/>
            <w:tcMar/>
            <w:tcBorders>
              <w:left w:val="single" w:sz="4" w:space="0" w:color="000000"/>
              <w:top w:val="single" w:sz="4" w:space="0" w:color="000000"/>
            </w:tcBorders>
          </w:tcPr>
          <w:p>
            <w:pPr>
              <w:autoSpaceDE w:val="0"/>
              <w:autoSpaceDN w:val="0"/>
              <w:jc w:val="left"/>
              <w:spacing w:before="64" w:after="0" w:lineRule="auto" w:line="240"/>
              <w:ind w:right="0" w:left="2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30 870</w:t>
            </w:r>
          </w:p>
        </w:tc>
        <w:tc>
          <w:tcPr>
            <w:tcW w:w="822"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64" w:after="0" w:lineRule="auto" w:line="240"/>
              <w:ind w:right="0" w:left="23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17.01</w:t>
            </w:r>
          </w:p>
        </w:tc>
      </w:tr>
      <w:tr>
        <w:trPr>
          <w:trHeight w:val="325" w:hRule="exact"/>
          <w:cantSplit w:val="1"/>
        </w:trPr>
        <w:tc>
          <w:tcPr>
            <w:tcW w:w="3060" w:type="dxa"/>
            <w:gridSpan w:val="2"/>
            <w:vAlign w:val="top"/>
            <w:tcMar/>
            <w:tcBorders>
              <w:top w:val="single" w:sz="4" w:space="0" w:color="000000"/>
              <w:bottom w:val="single" w:sz="8" w:space="0" w:color="000000"/>
            </w:tcBorders>
          </w:tcPr>
          <w:p>
            <w:pPr>
              <w:autoSpaceDE w:val="0"/>
              <w:autoSpaceDN w:val="0"/>
              <w:jc w:val="left"/>
              <w:spacing w:before="57" w:after="0" w:lineRule="exact" w:line="188"/>
              <w:ind w:right="0" w:left="374"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直接费用平均资助强度（万元</w:t>
            </w:r>
            <w:r>
              <w:rPr>
                <w:rFonts w:ascii="Times New Roman" w:hAnsi="Times New Roman" w:cs="Times New Roman" w:eastAsia="Times New Roman" w:hint="ascii"/>
                <w:sz w:val="15"/>
              </w:rPr>
              <w:t>/</w:t>
            </w:r>
            <w:r>
              <w:rPr>
                <w:rFonts w:ascii="宋体" w:hAnsi="宋体" w:cs="宋体" w:eastAsia="宋体" w:hint="ascii"/>
                <w:sz w:val="15"/>
              </w:rPr>
              <w:t>项）</w:t>
            </w:r>
          </w:p>
        </w:tc>
        <w:tc>
          <w:tcPr>
            <w:tcW w:w="2466" w:type="dxa"/>
            <w:gridSpan w:val="3"/>
            <w:vAlign w:val="top"/>
            <w:tcMar/>
            <w:tcBorders>
              <w:left w:val="single" w:sz="4" w:space="0" w:color="000000"/>
              <w:top w:val="single" w:sz="4" w:space="0" w:color="000000"/>
              <w:bottom w:val="single" w:sz="8" w:space="0" w:color="000000"/>
            </w:tcBorders>
          </w:tcPr>
          <w:p>
            <w:pPr>
              <w:autoSpaceDE w:val="0"/>
              <w:autoSpaceDN w:val="0"/>
              <w:jc w:val="left"/>
              <w:spacing w:before="64"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36.68</w:t>
            </w:r>
          </w:p>
        </w:tc>
        <w:tc>
          <w:tcPr>
            <w:tcW w:w="2466" w:type="dxa"/>
            <w:gridSpan w:val="3"/>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64" w:after="0" w:lineRule="auto" w:line="240"/>
              <w:ind w:right="0" w:left="105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33.85</w:t>
            </w:r>
          </w:p>
        </w:tc>
      </w:tr>
    </w:tbl>
    <w:p>
      <w:pPr>
        <w:autoSpaceDE w:val="0"/>
        <w:autoSpaceDN w:val="0"/>
        <w:jc w:val="left"/>
        <w:spacing w:before="683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23" w:after="0" w:lineRule="exact" w:line="650"/>
        <w:ind w:right="0" w:left="1510" w:firstLine="0"/>
        <w:snapToGrid w:val="0"/>
        <w:textAlignment w:val="auto"/>
        <w:tabs/>
        <w:rPr>
          <w:rFonts w:ascii="宋体" w:hAnsi="宋体" w:cs="宋体" w:eastAsia="宋体" w:hint="ascii"/>
          <w:sz w:val="52"/>
        </w:rPr>
      </w:pPr>
      <w:r>
        <w:rPr>
          <w:rFonts w:ascii="宋体" w:hAnsi="宋体" w:cs="宋体" w:eastAsia="宋体" w:hint="ascii"/>
          <w:sz w:val="52"/>
        </w:rPr>
        <w:t>优秀青年科学基金项目</w:t>
      </w:r>
      <w:r>
        <w:rPr>
          <w:rFonts w:ascii="宋体" w:hAnsi="宋体" w:cs="宋体" w:eastAsia="宋体" w:hint="ascii"/>
          <w:sz w:val="52"/>
        </w:rPr>
        <mc:AlternateContent>
          <mc:Choice Requires="wps">
            <w:drawing>
              <wp:anchor distL="0" distR="0" distT="0" distB="0" simplePos="0" behindDoc="1" relativeHeight="219" locked="0" layoutInCell="1" allowOverlap="1">
                <wp:simplePos x="0" y="0"/>
                <wp:positionH relativeFrom="page">
                  <wp:posOffset>938530</wp:posOffset>
                </wp:positionH>
                <wp:positionV relativeFrom="page">
                  <wp:posOffset>819150</wp:posOffset>
                </wp:positionV>
                <wp:extent cx="5076190" cy="0"/>
                <wp:wrapNone/>
                <wp:docPr id="1248" name="124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33984;width:399.70pt;" id="1248"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20" locked="0" layoutInCell="1" allowOverlap="1">
                <wp:simplePos x="0" y="0"/>
                <wp:positionH relativeFrom="page">
                  <wp:posOffset>254000</wp:posOffset>
                </wp:positionH>
                <wp:positionV relativeFrom="page">
                  <wp:posOffset>295275</wp:posOffset>
                </wp:positionV>
                <wp:extent cx="6449695" cy="583565"/>
                <wp:wrapNone/>
                <wp:docPr id="1249" name="1249"/>
                <wp:cNvGraphicFramePr/>
                <a:graphic>
                  <a:graphicData uri="http://schemas.microsoft.com/office/word/2010/wordprocessingShape">
                    <wps:wsp>
                      <wps:cNvSpPr/>
                      <wps:spPr>
                        <a:xfrm>
                          <a:off x="0" y="0"/>
                          <a:ext cx="6449695" cy="58356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0.00pt;mso-position-vertical:absolute;mso-position-vertical-relative:page;margin-top:23.25pt;z-index:-251432960;width:507.85pt;height:45.95pt;" id="1249" coordsize="10157,919" stroked="f" fillcolor="#ffffff" opacity="0f">
                <v:stroke endcap="round"/>
                <v:fill opacity="0f"/>
                <w10:wrap anchorx="page" anchory="page" side="both"/>
              </v:rect>
            </w:pict>
          </mc:Fallback>
        </mc:AlternateContent>
      </w:r>
    </w:p>
    <w:p>
      <w:pPr>
        <w:autoSpaceDE w:val="0"/>
        <w:autoSpaceDN w:val="0"/>
        <w:jc w:val="left"/>
        <w:spacing w:before="454" w:after="0" w:lineRule="exact" w:line="300"/>
        <w:ind w:right="0" w:left="600" w:firstLine="0"/>
        <w:snapToGrid w:val="0"/>
        <w:textAlignment w:val="auto"/>
        <w:tabs/>
        <w:rPr>
          <w:rFonts w:ascii="宋体" w:hAnsi="宋体" w:cs="宋体" w:eastAsia="宋体" w:hint="ascii"/>
        </w:rPr>
      </w:pPr>
      <w:r>
        <w:rPr>
          <w:rFonts w:ascii="宋体" w:hAnsi="宋体" w:cs="宋体" w:eastAsia="宋体" w:hint="ascii"/>
        </w:rPr>
        <w:t>优秀青年科学基金项目支持在基础研究方面已取得较好成绩的青年学者</w:t>
      </w:r>
    </w:p>
    <w:p>
      <w:pPr>
        <w:autoSpaceDE w:val="0"/>
        <w:autoSpaceDN w:val="0"/>
        <w:jc w:val="both"/>
        <w:spacing w:before="14" w:after="0" w:lineRule="exact" w:line="370"/>
        <w:ind w:right="963" w:left="120" w:firstLine="0"/>
        <w:snapToGrid w:val="0"/>
        <w:textAlignment w:val="auto"/>
        <w:tabs/>
        <w:rPr>
          <w:rFonts w:ascii="宋体" w:hAnsi="宋体" w:cs="宋体" w:eastAsia="宋体" w:hint="ascii"/>
        </w:rPr>
      </w:pPr>
      <w:r>
        <w:rPr>
          <w:rFonts w:ascii="宋体" w:hAnsi="宋体" w:cs="宋体" w:eastAsia="宋体" w:hint="ascii"/>
        </w:rPr>
        <w:t>自主选择研究方向开展创新研究，促进青年科学技术人才的快速成长，培养一批有望进入世界科技前沿的优秀学术骨干。</w:t>
      </w:r>
    </w:p>
    <w:p>
      <w:pPr>
        <w:autoSpaceDE w:val="0"/>
        <w:autoSpaceDN w:val="0"/>
        <w:jc w:val="left"/>
        <w:spacing w:before="57" w:after="0" w:lineRule="auto" w:line="240"/>
        <w:ind w:right="0" w:left="900" w:hanging="300"/>
        <w:snapToGrid w:val="0"/>
        <w:textAlignment w:val="auto"/>
        <w:tabs>
          <w:tab w:val="left" w:leader="none" w:pos="900"/>
        </w:tabs>
        <w:numPr>
          <w:ilvl w:val="0"/>
          <w:numId w:val="158"/>
        </w:numPr>
        <w:rPr>
          <w:rFonts w:ascii="Times New Roman" w:hAnsi="Times New Roman" w:cs="Times New Roman" w:eastAsia="Times New Roman" w:hint="ascii"/>
        </w:rPr>
      </w:pPr>
      <w:r>
        <w:rPr>
          <w:rFonts w:ascii="宋体" w:hAnsi="宋体" w:cs="宋体" w:eastAsia="宋体" w:hint="ascii"/>
        </w:rPr>
        <w:t>优秀青年科学基金项目申请人应当具备以下条件：</w:t>
      </w:r>
    </w:p>
    <w:p>
      <w:pPr>
        <w:autoSpaceDE w:val="0"/>
        <w:autoSpaceDN w:val="0"/>
        <w:jc w:val="left"/>
        <w:spacing w:before="78" w:after="0" w:lineRule="exact" w:line="300"/>
        <w:ind w:right="0" w:left="480"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）具有中华人民共和国国籍；</w:t>
      </w:r>
    </w:p>
    <w:p>
      <w:pPr>
        <w:autoSpaceDE w:val="0"/>
        <w:autoSpaceDN w:val="0"/>
        <w:jc w:val="both"/>
        <w:spacing w:before="13" w:after="0" w:lineRule="exact" w:line="371"/>
        <w:ind w:right="963" w:left="120"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spacing w:val="6"/>
        </w:rPr>
        <w:t>2</w:t>
      </w:r>
      <w:r>
        <w:rPr>
          <w:rFonts w:ascii="宋体" w:hAnsi="宋体" w:cs="宋体" w:eastAsia="宋体" w:hint="ascii"/>
        </w:rPr>
        <w:t>）申请当</w:t>
      </w:r>
      <w:r>
        <w:rPr>
          <w:rFonts w:ascii="宋体" w:hAnsi="宋体" w:cs="宋体" w:eastAsia="宋体" w:hint="ascii"/>
          <w:spacing w:val="-3"/>
        </w:rPr>
        <w:t>年</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spacing w:val="-3"/>
        </w:rPr>
        <w:t>月</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1"/>
        </w:rPr>
        <w:t xml:space="preserve"> </w:t>
      </w:r>
      <w:r>
        <w:rPr>
          <w:rFonts w:ascii="宋体" w:hAnsi="宋体" w:cs="宋体" w:eastAsia="宋体" w:hint="ascii"/>
        </w:rPr>
        <w:t>日男性未</w:t>
      </w:r>
      <w:r>
        <w:rPr>
          <w:rFonts w:ascii="宋体" w:hAnsi="宋体" w:cs="宋体" w:eastAsia="宋体" w:hint="ascii"/>
          <w:spacing w:val="-3"/>
        </w:rPr>
        <w:t>满</w:t>
      </w:r>
      <w:r>
        <w:rPr>
          <w:rFonts w:ascii="宋体" w:hAnsi="宋体" w:cs="宋体" w:eastAsia="宋体" w:hint="ascii"/>
          <w:spacing w:val="-30"/>
        </w:rPr>
        <w:t xml:space="preserve"> </w:t>
      </w:r>
      <w:r>
        <w:rPr>
          <w:rFonts w:ascii="Times New Roman" w:hAnsi="Times New Roman" w:cs="Times New Roman" w:eastAsia="Times New Roman" w:hint="ascii"/>
        </w:rPr>
        <w:t>38</w:t>
      </w:r>
      <w:r>
        <w:rPr>
          <w:rFonts w:ascii="Times New Roman" w:hAnsi="Times New Roman" w:cs="Times New Roman" w:eastAsia="Times New Roman" w:hint="ascii"/>
          <w:spacing w:val="-30"/>
        </w:rPr>
        <w:t xml:space="preserve"> </w:t>
      </w:r>
      <w:r>
        <w:rPr>
          <w:rFonts w:ascii="宋体" w:hAnsi="宋体" w:cs="宋体" w:eastAsia="宋体" w:hint="ascii"/>
        </w:rPr>
        <w:t>周</w:t>
      </w:r>
      <w:r>
        <w:rPr>
          <w:rFonts w:ascii="宋体" w:hAnsi="宋体" w:cs="宋体" w:eastAsia="宋体" w:hint="ascii"/>
          <w:spacing w:val="-3"/>
        </w:rPr>
        <w:t>岁</w:t>
      </w:r>
      <w:r>
        <w:rPr>
          <w:rFonts w:ascii="宋体" w:hAnsi="宋体" w:cs="宋体" w:eastAsia="宋体" w:hint="ascii"/>
          <w:spacing w:val="-30"/>
        </w:rPr>
        <w:t xml:space="preserve"> </w:t>
      </w:r>
      <w:r>
        <w:rPr>
          <w:rFonts w:ascii="Times New Roman" w:hAnsi="Times New Roman" w:cs="Times New Roman" w:eastAsia="Times New Roman" w:hint="ascii"/>
        </w:rPr>
        <w:t>[</w:t>
      </w:r>
      <w:r>
        <w:rPr>
          <w:rFonts w:ascii="Times New Roman" w:hAnsi="Times New Roman" w:cs="Times New Roman" w:eastAsia="Times New Roman" w:hint="ascii"/>
          <w:spacing w:val="-7"/>
        </w:rPr>
        <w:t xml:space="preserve"> </w:t>
      </w:r>
      <w:r>
        <w:rPr>
          <w:rFonts w:ascii="Times New Roman" w:hAnsi="Times New Roman" w:cs="Times New Roman" w:eastAsia="Times New Roman" w:hint="ascii"/>
        </w:rPr>
        <w:t>1980</w:t>
      </w:r>
      <w:r>
        <w:rPr>
          <w:rFonts w:ascii="Times New Roman" w:hAnsi="Times New Roman" w:cs="Times New Roman" w:eastAsia="Times New Roman" w:hint="ascii"/>
          <w:spacing w:val="-30"/>
        </w:rPr>
        <w:t xml:space="preserve"> </w:t>
      </w:r>
      <w:r>
        <w:rPr>
          <w:rFonts w:ascii="宋体" w:hAnsi="宋体" w:cs="宋体" w:eastAsia="宋体" w:hint="ascii"/>
          <w:spacing w:val="-3"/>
        </w:rPr>
        <w:t>年</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spacing w:val="-3"/>
        </w:rPr>
        <w:t>月</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rPr>
        <w:t>日（含）以</w:t>
      </w:r>
      <w:r>
        <w:rPr>
          <w:rFonts w:ascii="宋体" w:hAnsi="宋体" w:cs="宋体" w:eastAsia="宋体" w:hint="ascii"/>
          <w:spacing w:val="-6"/>
        </w:rPr>
        <w:t>后</w:t>
      </w:r>
      <w:r>
        <w:rPr>
          <w:rFonts w:ascii="宋体" w:hAnsi="宋体" w:cs="宋体" w:eastAsia="宋体" w:hint="ascii"/>
        </w:rPr>
        <w:t>出生</w:t>
      </w:r>
      <w:r>
        <w:rPr>
          <w:rFonts w:ascii="Times New Roman" w:hAnsi="Times New Roman" w:cs="Times New Roman" w:eastAsia="Times New Roman" w:hint="ascii"/>
        </w:rPr>
        <w:t>]</w:t>
      </w:r>
      <w:r>
        <w:rPr>
          <w:rFonts w:ascii="宋体" w:hAnsi="宋体" w:cs="宋体" w:eastAsia="宋体" w:hint="ascii"/>
        </w:rPr>
        <w:t>，女性未</w:t>
      </w:r>
      <w:r>
        <w:rPr>
          <w:rFonts w:ascii="宋体" w:hAnsi="宋体" w:cs="宋体" w:eastAsia="宋体" w:hint="ascii"/>
          <w:spacing w:val="30"/>
        </w:rPr>
        <w:t>满</w:t>
      </w:r>
      <w:r>
        <w:rPr>
          <w:rFonts w:ascii="Times New Roman" w:hAnsi="Times New Roman" w:cs="Times New Roman" w:eastAsia="Times New Roman" w:hint="ascii"/>
        </w:rPr>
        <w:t>4</w:t>
      </w:r>
      <w:r>
        <w:rPr>
          <w:rFonts w:ascii="Times New Roman" w:hAnsi="Times New Roman" w:cs="Times New Roman" w:eastAsia="Times New Roman" w:hint="ascii"/>
          <w:spacing w:val="60"/>
        </w:rPr>
        <w:t>0</w:t>
      </w:r>
      <w:r>
        <w:rPr>
          <w:rFonts w:ascii="宋体" w:hAnsi="宋体" w:cs="宋体" w:eastAsia="宋体" w:hint="ascii"/>
        </w:rPr>
        <w:t>周</w:t>
      </w:r>
      <w:r>
        <w:rPr>
          <w:rFonts w:ascii="宋体" w:hAnsi="宋体" w:cs="宋体" w:eastAsia="宋体" w:hint="ascii"/>
          <w:spacing w:val="30"/>
        </w:rPr>
        <w:t>岁</w:t>
      </w:r>
      <w:r>
        <w:rPr>
          <w:rFonts w:ascii="Times New Roman" w:hAnsi="Times New Roman" w:cs="Times New Roman" w:eastAsia="Times New Roman" w:hint="ascii"/>
        </w:rPr>
        <w:t>[ 197</w:t>
      </w:r>
      <w:r>
        <w:rPr>
          <w:rFonts w:ascii="Times New Roman" w:hAnsi="Times New Roman" w:cs="Times New Roman" w:eastAsia="Times New Roman" w:hint="ascii"/>
          <w:spacing w:val="61"/>
        </w:rPr>
        <w:t>8</w:t>
      </w:r>
      <w:r>
        <w:rPr>
          <w:rFonts w:ascii="宋体" w:hAnsi="宋体" w:cs="宋体" w:eastAsia="宋体" w:hint="ascii"/>
          <w:spacing w:val="30"/>
        </w:rPr>
        <w:t>年</w:t>
      </w:r>
      <w:r>
        <w:rPr>
          <w:rFonts w:ascii="Times New Roman" w:hAnsi="Times New Roman" w:cs="Times New Roman" w:eastAsia="Times New Roman" w:hint="ascii"/>
          <w:spacing w:val="60"/>
        </w:rPr>
        <w:t>1</w:t>
      </w:r>
      <w:r>
        <w:rPr>
          <w:rFonts w:ascii="宋体" w:hAnsi="宋体" w:cs="宋体" w:eastAsia="宋体" w:hint="ascii"/>
          <w:spacing w:val="30"/>
        </w:rPr>
        <w:t>月</w:t>
      </w:r>
      <w:r>
        <w:rPr>
          <w:rFonts w:ascii="Times New Roman" w:hAnsi="Times New Roman" w:cs="Times New Roman" w:eastAsia="Times New Roman" w:hint="ascii"/>
          <w:spacing w:val="60"/>
        </w:rPr>
        <w:t>1</w:t>
      </w:r>
      <w:r>
        <w:rPr>
          <w:rFonts w:ascii="宋体" w:hAnsi="宋体" w:cs="宋体" w:eastAsia="宋体" w:hint="ascii"/>
        </w:rPr>
        <w:t>日（含）以后出生</w:t>
      </w:r>
      <w:r>
        <w:rPr>
          <w:rFonts w:ascii="Times New Roman" w:hAnsi="Times New Roman" w:cs="Times New Roman" w:eastAsia="Times New Roman" w:hint="ascii"/>
        </w:rPr>
        <w:t>]</w:t>
      </w:r>
      <w:r>
        <w:rPr>
          <w:rFonts w:ascii="宋体" w:hAnsi="宋体" w:cs="宋体" w:eastAsia="宋体" w:hint="ascii"/>
        </w:rPr>
        <w:t>；</w:t>
      </w:r>
    </w:p>
    <w:p>
      <w:pPr>
        <w:autoSpaceDE w:val="0"/>
        <w:autoSpaceDN w:val="0"/>
        <w:jc w:val="left"/>
        <w:spacing w:before="55" w:after="0" w:lineRule="exact" w:line="300"/>
        <w:ind w:right="0" w:left="480"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）具有良好的科学道德；</w:t>
      </w:r>
    </w:p>
    <w:p>
      <w:pPr>
        <w:autoSpaceDE w:val="0"/>
        <w:autoSpaceDN w:val="0"/>
        <w:jc w:val="left"/>
        <w:spacing w:before="70" w:after="0" w:lineRule="exact" w:line="300"/>
        <w:ind w:right="0" w:left="480"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4</w:t>
      </w:r>
      <w:r>
        <w:rPr>
          <w:rFonts w:ascii="宋体" w:hAnsi="宋体" w:cs="宋体" w:eastAsia="宋体" w:hint="ascii"/>
        </w:rPr>
        <w:t>）具有高级专业技术职务（职称）或者博士学位；</w:t>
      </w:r>
    </w:p>
    <w:p>
      <w:pPr>
        <w:autoSpaceDE w:val="0"/>
        <w:autoSpaceDN w:val="0"/>
        <w:jc w:val="left"/>
        <w:spacing w:before="71" w:after="0" w:lineRule="exact" w:line="300"/>
        <w:ind w:right="0" w:left="480"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5</w:t>
      </w:r>
      <w:r>
        <w:rPr>
          <w:rFonts w:ascii="宋体" w:hAnsi="宋体" w:cs="宋体" w:eastAsia="宋体" w:hint="ascii"/>
        </w:rPr>
        <w:t>）具有承担基础研究课题或者其他从事基础研究的经历；</w:t>
      </w:r>
    </w:p>
    <w:p>
      <w:pPr>
        <w:autoSpaceDE w:val="0"/>
        <w:autoSpaceDN w:val="0"/>
        <w:jc w:val="left"/>
        <w:spacing w:before="70" w:after="0" w:lineRule="exact" w:line="300"/>
        <w:ind w:right="0" w:left="480"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6</w:t>
      </w:r>
      <w:r>
        <w:rPr>
          <w:rFonts w:ascii="宋体" w:hAnsi="宋体" w:cs="宋体" w:eastAsia="宋体" w:hint="ascii"/>
        </w:rPr>
        <w:t>）与境外单位没有正式聘用关系；</w:t>
      </w:r>
    </w:p>
    <w:p>
      <w:pPr>
        <w:autoSpaceDE w:val="0"/>
        <w:autoSpaceDN w:val="0"/>
        <w:jc w:val="left"/>
        <w:spacing w:before="70" w:after="0" w:lineRule="exact" w:line="300"/>
        <w:ind w:right="0" w:left="480"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7</w:t>
      </w:r>
      <w:r>
        <w:rPr>
          <w:rFonts w:ascii="宋体" w:hAnsi="宋体" w:cs="宋体" w:eastAsia="宋体" w:hint="ascii"/>
        </w:rPr>
        <w:t>）保证资助期内每年在依托单位从事研究工作的时间</w:t>
      </w:r>
      <w:r>
        <w:rPr>
          <w:rFonts w:ascii="宋体" w:hAnsi="宋体" w:cs="宋体" w:eastAsia="宋体" w:hint="ascii"/>
          <w:spacing w:val="30"/>
        </w:rPr>
        <w:t>在</w:t>
      </w:r>
      <w:r>
        <w:rPr>
          <w:rFonts w:ascii="Times New Roman" w:hAnsi="Times New Roman" w:cs="Times New Roman" w:eastAsia="Times New Roman" w:hint="ascii"/>
          <w:spacing w:val="60"/>
        </w:rPr>
        <w:t>9</w:t>
      </w:r>
      <w:r>
        <w:rPr>
          <w:rFonts w:ascii="宋体" w:hAnsi="宋体" w:cs="宋体" w:eastAsia="宋体" w:hint="ascii"/>
        </w:rPr>
        <w:t>个月以上。</w:t>
      </w:r>
    </w:p>
    <w:p>
      <w:pPr>
        <w:autoSpaceDE w:val="0"/>
        <w:autoSpaceDN w:val="0"/>
        <w:jc w:val="both"/>
        <w:spacing w:before="15" w:after="0" w:lineRule="exact" w:line="370"/>
        <w:ind w:right="963" w:left="0" w:firstLine="600"/>
        <w:snapToGrid w:val="0"/>
        <w:textAlignment w:val="auto"/>
        <w:tabs/>
        <w:rPr>
          <w:rFonts w:ascii="宋体" w:hAnsi="宋体" w:cs="宋体" w:eastAsia="宋体" w:hint="ascii"/>
        </w:rPr>
      </w:pPr>
      <w:r>
        <w:rPr>
          <w:rFonts w:ascii="宋体" w:hAnsi="宋体" w:cs="宋体" w:eastAsia="宋体" w:hint="ascii"/>
          <w:spacing w:val="9"/>
        </w:rPr>
        <w:t>不具有中华人民共和国国籍的华</w:t>
      </w:r>
      <w:r>
        <w:rPr>
          <w:rFonts w:ascii="宋体" w:hAnsi="宋体" w:cs="宋体" w:eastAsia="宋体" w:hint="ascii"/>
          <w:spacing w:val="8"/>
        </w:rPr>
        <w:t>人青年科学技术人员，符合上</w:t>
      </w:r>
      <w:r>
        <w:rPr>
          <w:rFonts w:ascii="宋体" w:hAnsi="宋体" w:cs="宋体" w:eastAsia="宋体" w:hint="ascii"/>
          <w:spacing w:val="-13"/>
        </w:rPr>
        <w:t>述</w:t>
      </w: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w:t>
      </w:r>
      <w:r>
        <w:rPr>
          <w:rFonts w:ascii="Times New Roman" w:hAnsi="Times New Roman" w:cs="Times New Roman" w:eastAsia="Times New Roman" w:hint="ascii"/>
        </w:rPr>
        <w:t>7</w:t>
      </w:r>
      <w:r>
        <w:rPr>
          <w:rFonts w:ascii="宋体" w:hAnsi="宋体" w:cs="宋体" w:eastAsia="宋体" w:hint="ascii"/>
        </w:rPr>
        <w:t>）条件的，可以申请。</w:t>
      </w:r>
    </w:p>
    <w:p>
      <w:pPr>
        <w:autoSpaceDE w:val="0"/>
        <w:autoSpaceDN w:val="0"/>
        <w:jc w:val="left"/>
        <w:spacing w:before="56" w:after="0" w:lineRule="auto" w:line="240"/>
        <w:ind w:right="0" w:left="900" w:hanging="300"/>
        <w:snapToGrid w:val="0"/>
        <w:textAlignment w:val="auto"/>
        <w:tabs>
          <w:tab w:val="left" w:leader="none" w:pos="900"/>
        </w:tabs>
        <w:numPr>
          <w:ilvl w:val="0"/>
          <w:numId w:val="158"/>
        </w:numPr>
        <w:rPr>
          <w:rFonts w:ascii="Times New Roman" w:hAnsi="Times New Roman" w:cs="Times New Roman" w:eastAsia="Times New Roman" w:hint="ascii"/>
        </w:rPr>
      </w:pPr>
      <w:r>
        <w:rPr>
          <w:rFonts w:ascii="宋体" w:hAnsi="宋体" w:cs="宋体" w:eastAsia="宋体" w:hint="ascii"/>
        </w:rPr>
        <w:t>以下人员不得申请优秀青年科学基金项目：</w:t>
      </w:r>
    </w:p>
    <w:p>
      <w:pPr>
        <w:autoSpaceDE w:val="0"/>
        <w:autoSpaceDN w:val="0"/>
        <w:jc w:val="both"/>
        <w:spacing w:before="23" w:after="0" w:lineRule="exact" w:line="370"/>
        <w:ind w:right="1278" w:left="480" w:firstLine="0"/>
        <w:snapToGrid w:val="0"/>
        <w:textAlignment w:val="auto"/>
        <w:tabs/>
        <w:rPr>
          <w:rFonts w:ascii="宋体" w:hAnsi="宋体" w:cs="宋体" w:eastAsia="宋体" w:hint="ascii"/>
        </w:rPr>
      </w:pPr>
      <w:r>
        <w:rPr>
          <w:rFonts w:ascii="宋体" w:hAnsi="宋体" w:cs="宋体" w:eastAsia="宋体" w:hint="ascii"/>
          <w:spacing w:val="-1"/>
        </w:rPr>
        <w:t>（</w:t>
      </w:r>
      <w:r>
        <w:rPr>
          <w:rFonts w:ascii="Times New Roman" w:hAnsi="Times New Roman" w:cs="Times New Roman" w:eastAsia="Times New Roman" w:hint="ascii"/>
          <w:spacing w:val="-1"/>
        </w:rPr>
        <w:t>1</w:t>
      </w:r>
      <w:r>
        <w:rPr>
          <w:rFonts w:ascii="宋体" w:hAnsi="宋体" w:cs="宋体" w:eastAsia="宋体" w:hint="ascii"/>
          <w:spacing w:val="-1"/>
        </w:rPr>
        <w:t>）获得过</w:t>
      </w:r>
      <w:r>
        <w:rPr>
          <w:rFonts w:ascii="宋体" w:hAnsi="宋体" w:cs="宋体" w:eastAsia="宋体" w:hint="ascii"/>
        </w:rPr>
        <w:t>国家杰出青年科学基金或优秀青年科学基金项目资助的；（</w:t>
      </w:r>
      <w:r>
        <w:rPr>
          <w:rFonts w:ascii="Times New Roman" w:hAnsi="Times New Roman" w:cs="Times New Roman" w:eastAsia="Times New Roman" w:hint="ascii"/>
        </w:rPr>
        <w:t>2</w:t>
      </w:r>
      <w:r>
        <w:rPr>
          <w:rFonts w:ascii="宋体" w:hAnsi="宋体" w:cs="宋体" w:eastAsia="宋体" w:hint="ascii"/>
        </w:rPr>
        <w:t>）当年申请国家杰出青年科学基金项目的；</w:t>
      </w:r>
    </w:p>
    <w:p>
      <w:pPr>
        <w:autoSpaceDE w:val="0"/>
        <w:autoSpaceDN w:val="0"/>
        <w:jc w:val="left"/>
        <w:spacing w:before="56" w:after="0" w:lineRule="exact" w:line="300"/>
        <w:ind w:right="0" w:left="480"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）在站博士后研究人员以及正在攻读研究生学位人员。</w:t>
      </w:r>
    </w:p>
    <w:p>
      <w:pPr>
        <w:autoSpaceDE w:val="0"/>
        <w:autoSpaceDN w:val="0"/>
        <w:jc w:val="left"/>
        <w:spacing w:before="71" w:after="0" w:lineRule="exact" w:line="300"/>
        <w:ind w:right="0" w:left="600" w:firstLine="0"/>
        <w:snapToGrid w:val="0"/>
        <w:textAlignment w:val="auto"/>
        <w:tabs/>
        <w:rPr>
          <w:rFonts w:ascii="宋体" w:hAnsi="宋体" w:cs="宋体" w:eastAsia="宋体" w:hint="ascii"/>
        </w:rPr>
      </w:pPr>
      <w:r>
        <w:rPr>
          <w:rFonts w:ascii="宋体" w:hAnsi="宋体" w:cs="宋体" w:eastAsia="宋体" w:hint="ascii"/>
        </w:rPr>
        <w:t>特别提醒申请人注意：</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1"/>
        </w:rPr>
        <w:t>8</w:t>
      </w:r>
      <w:r>
        <w:rPr>
          <w:rFonts w:ascii="宋体" w:hAnsi="宋体" w:cs="宋体" w:eastAsia="宋体" w:hint="ascii"/>
        </w:rPr>
        <w:t>年，对优秀青年科学基金项目开展无纸化申</w:t>
      </w:r>
    </w:p>
    <w:p>
      <w:pPr>
        <w:autoSpaceDE w:val="0"/>
        <w:autoSpaceDN w:val="0"/>
        <w:jc w:val="both"/>
        <w:spacing w:before="14" w:after="0" w:lineRule="exact" w:line="370"/>
        <w:ind w:right="963" w:left="120" w:firstLine="0"/>
        <w:snapToGrid w:val="0"/>
        <w:textAlignment w:val="auto"/>
        <w:tabs/>
        <w:rPr>
          <w:rFonts w:ascii="宋体" w:hAnsi="宋体" w:cs="宋体" w:eastAsia="宋体" w:hint="ascii"/>
          <w:b w:val="1"/>
        </w:rPr>
      </w:pPr>
      <w:r>
        <w:rPr>
          <w:rFonts w:ascii="宋体" w:hAnsi="宋体" w:cs="宋体" w:eastAsia="宋体" w:hint="ascii"/>
        </w:rPr>
        <w:t>请试点，申请时依托单位只需在线确认电子申请书及附件材料，无需报送纸质申请书</w:t>
      </w:r>
      <w:r>
        <w:rPr>
          <w:rFonts w:ascii="宋体" w:hAnsi="宋体" w:cs="宋体" w:eastAsia="宋体" w:hint="ascii"/>
          <w:b w:val="1"/>
        </w:rPr>
        <w:t>。</w:t>
      </w:r>
      <w:r>
        <w:rPr>
          <w:rFonts w:ascii="宋体" w:hAnsi="宋体" w:cs="宋体" w:eastAsia="宋体" w:hint="ascii"/>
        </w:rPr>
        <w:t>项目获批准后，在提交《资助项目计划书》时再补交申请书的纸质签字盖章页（</w:t>
      </w:r>
      <w:r>
        <w:rPr>
          <w:rFonts w:ascii="Times New Roman" w:hAnsi="Times New Roman" w:cs="Times New Roman" w:eastAsia="Times New Roman" w:hint="ascii"/>
          <w:b w:val="1"/>
        </w:rPr>
        <w:t>A</w:t>
      </w:r>
      <w:r>
        <w:rPr>
          <w:rFonts w:ascii="Times New Roman" w:hAnsi="Times New Roman" w:cs="Times New Roman" w:eastAsia="Times New Roman" w:hint="ascii"/>
          <w:b w:val="1"/>
          <w:spacing w:val="60"/>
        </w:rPr>
        <w:t>4</w:t>
      </w:r>
      <w:r>
        <w:rPr>
          <w:rFonts w:ascii="宋体" w:hAnsi="宋体" w:cs="宋体" w:eastAsia="宋体" w:hint="ascii"/>
        </w:rPr>
        <w:t>纸</w:t>
      </w:r>
      <w:r>
        <w:rPr>
          <w:rFonts w:ascii="宋体" w:hAnsi="宋体" w:cs="宋体" w:eastAsia="宋体" w:hint="ascii"/>
          <w:spacing w:val="-59"/>
        </w:rPr>
        <w:t>）</w:t>
      </w:r>
      <w:r>
        <w:rPr>
          <w:rFonts w:ascii="宋体" w:hAnsi="宋体" w:cs="宋体" w:eastAsia="宋体" w:hint="ascii"/>
        </w:rPr>
        <w:t>，其签字盖章的信息应与电子申请书保持一致</w:t>
      </w:r>
      <w:r>
        <w:rPr>
          <w:rFonts w:ascii="宋体" w:hAnsi="宋体" w:cs="宋体" w:eastAsia="宋体" w:hint="ascii"/>
          <w:b w:val="1"/>
        </w:rPr>
        <w:t>。</w:t>
      </w:r>
    </w:p>
    <w:p>
      <w:pPr>
        <w:autoSpaceDE w:val="0"/>
        <w:autoSpaceDN w:val="0"/>
        <w:jc w:val="both"/>
        <w:spacing w:before="1" w:after="0" w:lineRule="exact" w:line="370"/>
        <w:ind w:right="963" w:left="120" w:firstLine="480"/>
        <w:snapToGrid w:val="0"/>
        <w:textAlignment w:val="auto"/>
        <w:tabs>
          <w:tab w:val="left" w:leader="none" w:pos="1142"/>
        </w:tabs>
        <w:numPr>
          <w:ilvl w:val="0"/>
          <w:numId w:val="286"/>
        </w:numPr>
        <w:rPr>
          <w:rFonts w:ascii="Times New Roman" w:hAnsi="Times New Roman" w:cs="Times New Roman" w:eastAsia="Times New Roman" w:hint="ascii"/>
        </w:rPr>
      </w:pPr>
      <w:r>
        <w:rPr>
          <w:rFonts w:ascii="宋体" w:hAnsi="宋体" w:cs="宋体" w:eastAsia="宋体" w:hint="ascii"/>
          <w:spacing w:val="-1"/>
        </w:rPr>
        <w:t>年度优秀青年科学基金项目接收申请</w:t>
      </w:r>
      <w:r>
        <w:rPr>
          <w:rFonts w:ascii="宋体" w:hAnsi="宋体" w:cs="宋体" w:eastAsia="宋体" w:hint="ascii"/>
          <w:spacing w:val="-31"/>
        </w:rPr>
        <w:t xml:space="preserve"> </w:t>
      </w:r>
      <w:r>
        <w:rPr>
          <w:rFonts w:ascii="Times New Roman" w:hAnsi="Times New Roman" w:cs="Times New Roman" w:eastAsia="Times New Roman" w:hint="ascii"/>
          <w:spacing w:val="-1"/>
        </w:rPr>
        <w:t>4 867</w:t>
      </w:r>
      <w:r>
        <w:rPr>
          <w:rFonts w:ascii="Times New Roman" w:hAnsi="Times New Roman" w:cs="Times New Roman" w:eastAsia="Times New Roman" w:hint="ascii"/>
          <w:spacing w:val="-31"/>
        </w:rPr>
        <w:t xml:space="preserve"> </w:t>
      </w:r>
      <w:r>
        <w:rPr>
          <w:rFonts w:ascii="宋体" w:hAnsi="宋体" w:cs="宋体" w:eastAsia="宋体" w:hint="ascii"/>
          <w:spacing w:val="-1"/>
        </w:rPr>
        <w:t>项，资助</w:t>
      </w:r>
      <w:r>
        <w:rPr>
          <w:rFonts w:ascii="宋体" w:hAnsi="宋体" w:cs="宋体" w:eastAsia="宋体" w:hint="ascii"/>
          <w:spacing w:val="-31"/>
        </w:rPr>
        <w:t xml:space="preserve"> </w:t>
      </w:r>
      <w:r>
        <w:rPr>
          <w:rFonts w:ascii="Times New Roman" w:hAnsi="Times New Roman" w:cs="Times New Roman" w:eastAsia="Times New Roman" w:hint="ascii"/>
          <w:spacing w:val="-1"/>
        </w:rPr>
        <w:t>399</w:t>
      </w:r>
      <w:r>
        <w:rPr>
          <w:rFonts w:ascii="Times New Roman" w:hAnsi="Times New Roman" w:cs="Times New Roman" w:eastAsia="Times New Roman" w:hint="ascii"/>
          <w:spacing w:val="-31"/>
        </w:rPr>
        <w:t xml:space="preserve"> </w:t>
      </w:r>
      <w:r>
        <w:rPr>
          <w:rFonts w:ascii="宋体" w:hAnsi="宋体" w:cs="宋体" w:eastAsia="宋体" w:hint="ascii"/>
          <w:spacing w:val="-1"/>
        </w:rPr>
        <w:t>项</w:t>
      </w:r>
      <w:r>
        <w:rPr>
          <w:rFonts w:ascii="宋体" w:hAnsi="宋体" w:cs="宋体" w:eastAsia="宋体" w:hint="ascii"/>
        </w:rPr>
        <w:t>，资助 直接费</w:t>
      </w:r>
      <w:r>
        <w:rPr>
          <w:rFonts w:ascii="宋体" w:hAnsi="宋体" w:cs="宋体" w:eastAsia="宋体" w:hint="ascii"/>
          <w:spacing w:val="30"/>
        </w:rPr>
        <w:t>用</w:t>
      </w:r>
      <w:r>
        <w:rPr>
          <w:rFonts w:ascii="Times New Roman" w:hAnsi="Times New Roman" w:cs="Times New Roman" w:eastAsia="Times New Roman" w:hint="ascii"/>
        </w:rPr>
        <w:t>51 87</w:t>
      </w:r>
      <w:r>
        <w:rPr>
          <w:rFonts w:ascii="Times New Roman" w:hAnsi="Times New Roman" w:cs="Times New Roman" w:eastAsia="Times New Roman" w:hint="ascii"/>
          <w:spacing w:val="60"/>
        </w:rPr>
        <w:t>0</w:t>
      </w:r>
      <w:r>
        <w:rPr>
          <w:rFonts w:ascii="宋体" w:hAnsi="宋体" w:cs="宋体" w:eastAsia="宋体" w:hint="ascii"/>
        </w:rPr>
        <w:t>万元。</w:t>
      </w:r>
    </w:p>
    <w:p>
      <w:pPr>
        <w:autoSpaceDE w:val="0"/>
        <w:autoSpaceDN w:val="0"/>
        <w:jc w:val="both"/>
        <w:spacing w:before="1" w:after="0" w:lineRule="exact" w:line="370"/>
        <w:ind w:right="978" w:left="120" w:firstLine="480"/>
        <w:snapToGrid w:val="0"/>
        <w:textAlignment w:val="auto"/>
        <w:tabs>
          <w:tab w:val="left" w:leader="none" w:pos="1140"/>
        </w:tabs>
        <w:numPr>
          <w:ilvl w:val="0"/>
          <w:numId w:val="286"/>
        </w:numPr>
        <w:rPr>
          <w:rFonts w:ascii="Times New Roman" w:hAnsi="Times New Roman" w:cs="Times New Roman" w:eastAsia="Times New Roman" w:hint="ascii"/>
        </w:rPr>
      </w:pPr>
      <w:r>
        <w:rPr>
          <w:rFonts w:ascii="宋体" w:hAnsi="宋体" w:cs="宋体" w:eastAsia="宋体" w:hint="ascii"/>
          <w:spacing w:val="-1"/>
        </w:rPr>
        <w:t>年度优秀青年</w:t>
      </w:r>
      <w:r>
        <w:rPr>
          <w:rFonts w:ascii="宋体" w:hAnsi="宋体" w:cs="宋体" w:eastAsia="宋体" w:hint="ascii"/>
        </w:rPr>
        <w:t>科学基金项目计划资</w:t>
      </w:r>
      <w:r>
        <w:rPr>
          <w:rFonts w:ascii="宋体" w:hAnsi="宋体" w:cs="宋体" w:eastAsia="宋体" w:hint="ascii"/>
          <w:spacing w:val="30"/>
        </w:rPr>
        <w:t>助</w:t>
      </w:r>
      <w:r>
        <w:rPr>
          <w:rFonts w:ascii="Times New Roman" w:hAnsi="Times New Roman" w:cs="Times New Roman" w:eastAsia="Times New Roman" w:hint="ascii"/>
        </w:rPr>
        <w:t>40</w:t>
      </w:r>
      <w:r>
        <w:rPr>
          <w:rFonts w:ascii="Times New Roman" w:hAnsi="Times New Roman" w:cs="Times New Roman" w:eastAsia="Times New Roman" w:hint="ascii"/>
          <w:spacing w:val="60"/>
        </w:rPr>
        <w:t>0</w:t>
      </w:r>
      <w:r>
        <w:rPr>
          <w:rFonts w:ascii="宋体" w:hAnsi="宋体" w:cs="宋体" w:eastAsia="宋体" w:hint="ascii"/>
        </w:rPr>
        <w:t>项，资助期限</w:t>
      </w:r>
      <w:r>
        <w:rPr>
          <w:rFonts w:ascii="宋体" w:hAnsi="宋体" w:cs="宋体" w:eastAsia="宋体" w:hint="ascii"/>
          <w:spacing w:val="30"/>
        </w:rPr>
        <w:t>为</w:t>
      </w:r>
      <w:r>
        <w:rPr>
          <w:rFonts w:ascii="Times New Roman" w:hAnsi="Times New Roman" w:cs="Times New Roman" w:eastAsia="Times New Roman" w:hint="ascii"/>
          <w:spacing w:val="60"/>
        </w:rPr>
        <w:t>3</w:t>
      </w:r>
      <w:r>
        <w:rPr>
          <w:rFonts w:ascii="宋体" w:hAnsi="宋体" w:cs="宋体" w:eastAsia="宋体" w:hint="ascii"/>
        </w:rPr>
        <w:t>年，直接费用资助强度</w:t>
      </w:r>
      <w:r>
        <w:rPr>
          <w:rFonts w:ascii="宋体" w:hAnsi="宋体" w:cs="宋体" w:eastAsia="宋体" w:hint="ascii"/>
          <w:spacing w:val="30"/>
        </w:rPr>
        <w:t>为</w:t>
      </w:r>
      <w:r>
        <w:rPr>
          <w:rFonts w:ascii="Times New Roman" w:hAnsi="Times New Roman" w:cs="Times New Roman" w:eastAsia="Times New Roman" w:hint="ascii"/>
        </w:rPr>
        <w:t>13</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w:t>
      </w:r>
    </w:p>
    <w:p>
      <w:pPr>
        <w:autoSpaceDE w:val="0"/>
        <w:autoSpaceDN w:val="0"/>
        <w:jc w:val="left"/>
        <w:spacing w:before="1016" w:after="0" w:lineRule="exact" w:line="225"/>
        <w:ind w:right="0" w:left="7486" w:firstLine="0"/>
        <w:snapToGrid w:val="0"/>
        <w:textAlignment w:val="auto"/>
        <w:tabs/>
        <w:sectPr>
          <w:pgSz w:w="10940" w:h="15080" w:orient="portrait"/>
          <w:pgMar w:top="508" w:right="508" w:bottom="508" w:left="135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149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31" w:lineRule="auto" w:line="240"/>
        <w:ind w:right="0" w:left="3321"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4"/>
        </w:rPr>
        <w:t>7</w:t>
      </w:r>
      <w:r>
        <w:rPr>
          <w:rFonts w:ascii="宋体" w:hAnsi="宋体" w:cs="宋体" w:eastAsia="宋体" w:hint="ascii"/>
          <w:sz w:val="18"/>
        </w:rPr>
        <w:t>年度优秀青年科学基金项目资助情况</w:t>
      </w:r>
      <w:r>
        <w:rPr>
          <w:rFonts w:ascii="宋体" w:hAnsi="宋体" w:cs="宋体" w:eastAsia="宋体" w:hint="ascii"/>
          <w:sz w:val="18"/>
        </w:rPr>
        <mc:AlternateContent>
          <mc:Choice Requires="wps">
            <w:drawing>
              <wp:anchor distL="0" distR="0" distT="0" distB="0" simplePos="0" behindDoc="1" relativeHeight="221" locked="0" layoutInCell="1" allowOverlap="1">
                <wp:simplePos x="0" y="0"/>
                <wp:positionH relativeFrom="page">
                  <wp:posOffset>938530</wp:posOffset>
                </wp:positionH>
                <wp:positionV relativeFrom="page">
                  <wp:posOffset>805815</wp:posOffset>
                </wp:positionV>
                <wp:extent cx="5076190" cy="0"/>
                <wp:wrapNone/>
                <wp:docPr id="1250" name="125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31936;width:399.70pt;" id="1250"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983"/>
        <w:gridCol w:w="1984"/>
        <w:gridCol w:w="1985"/>
        <w:gridCol w:w="2040"/>
      </w:tblGrid>
      <w:tr>
        <w:trPr>
          <w:trHeight w:val="281" w:hRule="exact"/>
          <w:cantSplit w:val="1"/>
        </w:trPr>
        <w:tc>
          <w:tcPr>
            <w:tcW w:w="1983" w:type="dxa"/>
            <w:gridSpan w:val="1"/>
            <w:vAlign w:val="top"/>
            <w:tcMar/>
            <w:tcBorders/>
          </w:tcPr>
          <w:p>
            <w:pPr>
              <w:autoSpaceDE w:val="0"/>
              <w:autoSpaceDN w:val="0"/>
              <w:jc w:val="left"/>
              <w:spacing w:before="36" w:after="0" w:lineRule="exact" w:line="188"/>
              <w:ind w:right="0" w:left="757"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1984" w:type="dxa"/>
            <w:gridSpan w:val="1"/>
            <w:vAlign w:val="top"/>
            <w:tcMar/>
            <w:tcBorders>
              <w:left w:val="single" w:sz="4" w:space="0" w:color="000000"/>
            </w:tcBorders>
          </w:tcPr>
          <w:p>
            <w:pPr>
              <w:autoSpaceDE w:val="0"/>
              <w:autoSpaceDN w:val="0"/>
              <w:jc w:val="left"/>
              <w:spacing w:before="36"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申请项数</w:t>
            </w:r>
          </w:p>
        </w:tc>
        <w:tc>
          <w:tcPr>
            <w:tcW w:w="1985" w:type="dxa"/>
            <w:gridSpan w:val="1"/>
            <w:vAlign w:val="top"/>
            <w:tcMar/>
            <w:tcBorders>
              <w:left w:val="single" w:sz="4" w:space="0" w:color="000000"/>
            </w:tcBorders>
          </w:tcPr>
          <w:p>
            <w:pPr>
              <w:autoSpaceDE w:val="0"/>
              <w:autoSpaceDN w:val="0"/>
              <w:jc w:val="left"/>
              <w:spacing w:before="36" w:after="0" w:lineRule="exact" w:line="188"/>
              <w:ind w:right="0" w:left="536" w:firstLine="0"/>
              <w:snapToGrid w:val="0"/>
              <w:textAlignment w:val="auto"/>
              <w:tabs/>
              <w:rPr>
                <w:rFonts w:ascii="宋体" w:hAnsi="宋体" w:cs="宋体" w:eastAsia="宋体" w:hint="ascii"/>
                <w:sz w:val="15"/>
              </w:rPr>
            </w:pPr>
            <w:r>
              <w:rPr>
                <w:rFonts w:ascii="宋体" w:hAnsi="宋体" w:cs="宋体" w:eastAsia="宋体" w:hint="ascii"/>
                <w:sz w:val="15"/>
              </w:rPr>
              <w:t>批准资助项数</w:t>
            </w:r>
          </w:p>
        </w:tc>
        <w:tc>
          <w:tcPr>
            <w:tcW w:w="2040" w:type="dxa"/>
            <w:gridSpan w:val="1"/>
            <w:vAlign w:val="top"/>
            <w:tcMar/>
            <w:tcBorders>
              <w:left w:val="single" w:sz="4" w:space="0" w:color="000000"/>
              <w:right w:val="single" w:sz="8" w:space="0" w:color="000000"/>
            </w:tcBorders>
          </w:tcPr>
          <w:p>
            <w:pPr>
              <w:autoSpaceDE w:val="0"/>
              <w:autoSpaceDN w:val="0"/>
              <w:jc w:val="left"/>
              <w:spacing w:before="36" w:after="0" w:lineRule="exact" w:line="188"/>
              <w:ind w:right="0" w:left="578"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563</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48</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8.53</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695</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57</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8.20</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716</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8.10</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473</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8.25</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382"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888</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8.22</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761</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7.75</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183</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8.20</w:t>
            </w:r>
          </w:p>
        </w:tc>
      </w:tr>
      <w:tr>
        <w:trPr>
          <w:trHeight w:val="276" w:hRule="exact"/>
          <w:cantSplit w:val="1"/>
        </w:trPr>
        <w:tc>
          <w:tcPr>
            <w:tcW w:w="1983" w:type="dxa"/>
            <w:gridSpan w:val="1"/>
            <w:vAlign w:val="top"/>
            <w:tcMar/>
            <w:tcBorders>
              <w:top w:val="single" w:sz="4" w:space="0" w:color="000000"/>
            </w:tcBorders>
          </w:tcPr>
          <w:p>
            <w:pPr>
              <w:autoSpaceDE w:val="0"/>
              <w:autoSpaceDN w:val="0"/>
              <w:jc w:val="left"/>
              <w:spacing w:before="36"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0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588</w:t>
            </w:r>
          </w:p>
        </w:tc>
        <w:tc>
          <w:tcPr>
            <w:tcW w:w="1985" w:type="dxa"/>
            <w:gridSpan w:val="1"/>
            <w:vAlign w:val="top"/>
            <w:tcMar/>
            <w:tcBorders>
              <w:left w:val="single" w:sz="4" w:space="0" w:color="000000"/>
              <w:top w:val="single" w:sz="4" w:space="0" w:color="000000"/>
            </w:tcBorders>
          </w:tcPr>
          <w:p>
            <w:pPr>
              <w:autoSpaceDE w:val="0"/>
              <w:autoSpaceDN w:val="0"/>
              <w:jc w:val="left"/>
              <w:spacing w:before="43" w:after="0" w:lineRule="auto" w:line="240"/>
              <w:ind w:right="0" w:left="94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8.50</w:t>
            </w:r>
          </w:p>
        </w:tc>
      </w:tr>
      <w:tr>
        <w:trPr>
          <w:trHeight w:val="282" w:hRule="exact"/>
          <w:cantSplit w:val="1"/>
        </w:trPr>
        <w:tc>
          <w:tcPr>
            <w:tcW w:w="1983" w:type="dxa"/>
            <w:gridSpan w:val="1"/>
            <w:vAlign w:val="top"/>
            <w:tcMar/>
            <w:tcBorders>
              <w:top w:val="single" w:sz="4" w:space="0" w:color="000000"/>
              <w:bottom w:val="single" w:sz="8" w:space="0" w:color="000000"/>
            </w:tcBorders>
          </w:tcPr>
          <w:p>
            <w:pPr>
              <w:autoSpaceDE w:val="0"/>
              <w:autoSpaceDN w:val="0"/>
              <w:jc w:val="left"/>
              <w:spacing w:before="36" w:after="0" w:lineRule="exact" w:line="188"/>
              <w:ind w:right="0" w:left="532"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198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43" w:after="0" w:lineRule="auto" w:line="240"/>
              <w:ind w:right="0" w:left="79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4 867</w:t>
            </w:r>
          </w:p>
        </w:tc>
        <w:tc>
          <w:tcPr>
            <w:tcW w:w="198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43" w:after="0" w:lineRule="auto" w:line="240"/>
              <w:ind w:right="0" w:left="8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399</w:t>
            </w:r>
          </w:p>
        </w:tc>
        <w:tc>
          <w:tcPr>
            <w:tcW w:w="2040"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43"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8.20</w:t>
            </w:r>
          </w:p>
        </w:tc>
      </w:tr>
    </w:tbl>
    <w:p>
      <w:pPr>
        <w:autoSpaceDE w:val="0"/>
        <w:autoSpaceDN w:val="0"/>
        <w:jc w:val="left"/>
        <w:spacing w:before="9331"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1834" w:firstLine="0"/>
        <w:snapToGrid w:val="0"/>
        <w:textAlignment w:val="auto"/>
        <w:tabs/>
        <w:rPr>
          <w:rFonts w:ascii="宋体" w:hAnsi="宋体" w:cs="宋体" w:eastAsia="宋体" w:hint="ascii"/>
          <w:sz w:val="52"/>
        </w:rPr>
      </w:pPr>
      <w:r>
        <w:rPr>
          <w:rFonts w:ascii="宋体" w:hAnsi="宋体" w:cs="宋体" w:eastAsia="宋体" w:hint="ascii"/>
          <w:sz w:val="52"/>
        </w:rPr>
        <w:t>国家杰出青年科学基金项目</w:t>
      </w:r>
      <w:r>
        <w:rPr>
          <w:rFonts w:ascii="宋体" w:hAnsi="宋体" w:cs="宋体" w:eastAsia="宋体" w:hint="ascii"/>
          <w:sz w:val="52"/>
        </w:rPr>
        <mc:AlternateContent>
          <mc:Choice Requires="wps">
            <w:drawing>
              <wp:anchor distL="0" distR="0" distT="0" distB="0" simplePos="0" behindDoc="1" relativeHeight="222" locked="0" layoutInCell="1" allowOverlap="1">
                <wp:simplePos x="0" y="0"/>
                <wp:positionH relativeFrom="page">
                  <wp:posOffset>938530</wp:posOffset>
                </wp:positionH>
                <wp:positionV relativeFrom="page">
                  <wp:posOffset>819150</wp:posOffset>
                </wp:positionV>
                <wp:extent cx="5076190" cy="0"/>
                <wp:wrapNone/>
                <wp:docPr id="1251" name="125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30912;width:399.70pt;" id="1251"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23" locked="0" layoutInCell="1" allowOverlap="1">
                <wp:simplePos x="0" y="0"/>
                <wp:positionH relativeFrom="page">
                  <wp:posOffset>485140</wp:posOffset>
                </wp:positionH>
                <wp:positionV relativeFrom="page">
                  <wp:posOffset>133350</wp:posOffset>
                </wp:positionV>
                <wp:extent cx="6049645" cy="876935"/>
                <wp:wrapNone/>
                <wp:docPr id="1252" name="1252"/>
                <wp:cNvGraphicFramePr/>
                <a:graphic>
                  <a:graphicData uri="http://schemas.microsoft.com/office/word/2010/wordprocessingShape">
                    <wps:wsp>
                      <wps:cNvSpPr/>
                      <wps:spPr>
                        <a:xfrm>
                          <a:off x="0" y="0"/>
                          <a:ext cx="6049645" cy="8769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20pt;mso-position-vertical:absolute;mso-position-vertical-relative:page;margin-top:10.50pt;z-index:-251429888;width:476.35pt;height:69.05pt;" id="1252" coordsize="9527,1381" stroked="f" fillcolor="#ffffff" opacity="0f">
                <v:stroke endcap="round"/>
                <v:fill opacity="0f"/>
                <w10:wrap anchorx="page" anchory="page" side="both"/>
              </v:rect>
            </w:pict>
          </mc:Fallback>
        </mc:AlternateContent>
      </w:r>
    </w:p>
    <w:p>
      <w:pPr>
        <w:autoSpaceDE w:val="0"/>
        <w:autoSpaceDN w:val="0"/>
        <w:jc w:val="left"/>
        <w:spacing w:before="442"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国家杰出青年科学基金项目支持在基础研究方面已取得突出成绩的青年</w:t>
      </w:r>
    </w:p>
    <w:p>
      <w:pPr>
        <w:autoSpaceDE w:val="0"/>
        <w:autoSpaceDN w:val="0"/>
        <w:jc w:val="both"/>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学者自主选择研究方向开展创新研究，促进青年科学技术人才的成长，吸引海外人才，培养和造就一批进入世界科技前沿的优秀学术带头人。</w:t>
      </w:r>
    </w:p>
    <w:p>
      <w:pPr>
        <w:autoSpaceDE w:val="0"/>
        <w:autoSpaceDN w:val="0"/>
        <w:jc w:val="left"/>
        <w:spacing w:before="44" w:after="0" w:lineRule="auto" w:line="240"/>
        <w:ind w:right="0" w:left="1746" w:hanging="300"/>
        <w:snapToGrid w:val="0"/>
        <w:textAlignment w:val="auto"/>
        <w:tabs>
          <w:tab w:val="left" w:leader="none" w:pos="1746"/>
        </w:tabs>
        <w:numPr>
          <w:ilvl w:val="0"/>
          <w:numId w:val="287"/>
        </w:numPr>
        <w:rPr>
          <w:rFonts w:ascii="Times New Roman" w:hAnsi="Times New Roman" w:cs="Times New Roman" w:eastAsia="Times New Roman" w:hint="ascii"/>
        </w:rPr>
      </w:pPr>
      <w:r>
        <w:rPr>
          <w:rFonts w:ascii="宋体" w:hAnsi="宋体" w:cs="宋体" w:eastAsia="宋体" w:hint="ascii"/>
        </w:rPr>
        <w:t>国家杰出青年科学基金项目申请人应当具备以下条件：</w:t>
      </w:r>
    </w:p>
    <w:p>
      <w:pPr>
        <w:autoSpaceDE w:val="0"/>
        <w:autoSpaceDN w:val="0"/>
        <w:jc w:val="left"/>
        <w:spacing w:before="6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）具有中华人民共和国国籍；</w:t>
      </w:r>
    </w:p>
    <w:p>
      <w:pPr>
        <w:autoSpaceDE w:val="0"/>
        <w:autoSpaceDN w:val="0"/>
        <w:jc w:val="both"/>
        <w:spacing w:before="12" w:after="0" w:lineRule="exact" w:line="355"/>
        <w:ind w:right="980" w:left="966" w:firstLine="360"/>
        <w:snapToGrid w:val="0"/>
        <w:textAlignment w:val="auto"/>
        <w:tabs/>
        <w:rPr>
          <w:rFonts w:ascii="宋体" w:hAnsi="宋体" w:cs="宋体" w:eastAsia="宋体" w:hint="ascii"/>
        </w:rPr>
      </w:pPr>
      <w:r>
        <w:rPr>
          <w:rFonts w:ascii="宋体" w:hAnsi="宋体" w:cs="宋体" w:eastAsia="宋体" w:hint="ascii"/>
          <w:spacing w:val="4"/>
        </w:rPr>
        <w:t>（</w:t>
      </w:r>
      <w:r>
        <w:rPr>
          <w:rFonts w:ascii="Times New Roman" w:hAnsi="Times New Roman" w:cs="Times New Roman" w:eastAsia="Times New Roman" w:hint="ascii"/>
          <w:spacing w:val="15"/>
        </w:rPr>
        <w:t>2</w:t>
      </w:r>
      <w:r>
        <w:rPr>
          <w:rFonts w:ascii="宋体" w:hAnsi="宋体" w:cs="宋体" w:eastAsia="宋体" w:hint="ascii"/>
          <w:spacing w:val="4"/>
        </w:rPr>
        <w:t>）申请当</w:t>
      </w:r>
      <w:r>
        <w:rPr>
          <w:rFonts w:ascii="宋体" w:hAnsi="宋体" w:cs="宋体" w:eastAsia="宋体" w:hint="ascii"/>
          <w:spacing w:val="-4"/>
        </w:rPr>
        <w:t>年</w:t>
      </w:r>
      <w:r>
        <w:rPr>
          <w:rFonts w:ascii="宋体" w:hAnsi="宋体" w:cs="宋体" w:eastAsia="宋体" w:hint="ascii"/>
          <w:spacing w:val="-27"/>
        </w:rPr>
        <w:t xml:space="preserve"> </w:t>
      </w:r>
      <w:r>
        <w:rPr>
          <w:rFonts w:ascii="Times New Roman" w:hAnsi="Times New Roman" w:cs="Times New Roman" w:eastAsia="Times New Roman" w:hint="ascii"/>
          <w:spacing w:val="1"/>
        </w:rPr>
        <w:t>1</w:t>
      </w:r>
      <w:r>
        <w:rPr>
          <w:rFonts w:ascii="Times New Roman" w:hAnsi="Times New Roman" w:cs="Times New Roman" w:eastAsia="Times New Roman" w:hint="ascii"/>
          <w:spacing w:val="-28"/>
        </w:rPr>
        <w:t xml:space="preserve"> </w:t>
      </w:r>
      <w:r>
        <w:rPr>
          <w:rFonts w:ascii="宋体" w:hAnsi="宋体" w:cs="宋体" w:eastAsia="宋体" w:hint="ascii"/>
          <w:spacing w:val="-5"/>
        </w:rPr>
        <w:t>月</w:t>
      </w:r>
      <w:r>
        <w:rPr>
          <w:rFonts w:ascii="宋体" w:hAnsi="宋体" w:cs="宋体" w:eastAsia="宋体" w:hint="ascii"/>
          <w:spacing w:val="-28"/>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27"/>
        </w:rPr>
        <w:t xml:space="preserve"> </w:t>
      </w:r>
      <w:r>
        <w:rPr>
          <w:rFonts w:ascii="宋体" w:hAnsi="宋体" w:cs="宋体" w:eastAsia="宋体" w:hint="ascii"/>
          <w:spacing w:val="3"/>
        </w:rPr>
        <w:t>日未</w:t>
      </w:r>
      <w:r>
        <w:rPr>
          <w:rFonts w:ascii="宋体" w:hAnsi="宋体" w:cs="宋体" w:eastAsia="宋体" w:hint="ascii"/>
          <w:spacing w:val="-5"/>
        </w:rPr>
        <w:t>满</w:t>
      </w:r>
      <w:r>
        <w:rPr>
          <w:rFonts w:ascii="宋体" w:hAnsi="宋体" w:cs="宋体" w:eastAsia="宋体" w:hint="ascii"/>
          <w:spacing w:val="-28"/>
        </w:rPr>
        <w:t xml:space="preserve"> </w:t>
      </w:r>
      <w:r>
        <w:rPr>
          <w:rFonts w:ascii="Times New Roman" w:hAnsi="Times New Roman" w:cs="Times New Roman" w:eastAsia="Times New Roman" w:hint="ascii"/>
        </w:rPr>
        <w:t>45</w:t>
      </w:r>
      <w:r>
        <w:rPr>
          <w:rFonts w:ascii="Times New Roman" w:hAnsi="Times New Roman" w:cs="Times New Roman" w:eastAsia="Times New Roman" w:hint="ascii"/>
          <w:spacing w:val="-27"/>
        </w:rPr>
        <w:t xml:space="preserve"> </w:t>
      </w:r>
      <w:r>
        <w:rPr>
          <w:rFonts w:ascii="宋体" w:hAnsi="宋体" w:cs="宋体" w:eastAsia="宋体" w:hint="ascii"/>
          <w:spacing w:val="3"/>
        </w:rPr>
        <w:t>周</w:t>
      </w:r>
      <w:r>
        <w:rPr>
          <w:rFonts w:ascii="宋体" w:hAnsi="宋体" w:cs="宋体" w:eastAsia="宋体" w:hint="ascii"/>
          <w:spacing w:val="-5"/>
        </w:rPr>
        <w:t>岁</w:t>
      </w:r>
      <w:r>
        <w:rPr>
          <w:rFonts w:ascii="宋体" w:hAnsi="宋体" w:cs="宋体" w:eastAsia="宋体" w:hint="ascii"/>
          <w:spacing w:val="-28"/>
        </w:rPr>
        <w:t xml:space="preserve"> </w:t>
      </w:r>
      <w:r>
        <w:rPr>
          <w:rFonts w:ascii="Times New Roman" w:hAnsi="Times New Roman" w:cs="Times New Roman" w:eastAsia="Times New Roman" w:hint="ascii"/>
        </w:rPr>
        <w:t>[</w:t>
      </w:r>
      <w:r>
        <w:rPr>
          <w:rFonts w:ascii="Times New Roman" w:hAnsi="Times New Roman" w:cs="Times New Roman" w:eastAsia="Times New Roman" w:hint="ascii"/>
          <w:spacing w:val="-9"/>
        </w:rPr>
        <w:t xml:space="preserve"> </w:t>
      </w:r>
      <w:r>
        <w:rPr>
          <w:rFonts w:ascii="Times New Roman" w:hAnsi="Times New Roman" w:cs="Times New Roman" w:eastAsia="Times New Roman" w:hint="ascii"/>
        </w:rPr>
        <w:t>1973</w:t>
      </w:r>
      <w:r>
        <w:rPr>
          <w:rFonts w:ascii="Times New Roman" w:hAnsi="Times New Roman" w:cs="Times New Roman" w:eastAsia="Times New Roman" w:hint="ascii"/>
          <w:spacing w:val="-28"/>
        </w:rPr>
        <w:t xml:space="preserve"> </w:t>
      </w:r>
      <w:r>
        <w:rPr>
          <w:rFonts w:ascii="宋体" w:hAnsi="宋体" w:cs="宋体" w:eastAsia="宋体" w:hint="ascii"/>
          <w:spacing w:val="-5"/>
        </w:rPr>
        <w:t>年</w:t>
      </w:r>
      <w:r>
        <w:rPr>
          <w:rFonts w:ascii="宋体" w:hAnsi="宋体" w:cs="宋体" w:eastAsia="宋体" w:hint="ascii"/>
          <w:spacing w:val="-28"/>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28"/>
        </w:rPr>
        <w:t xml:space="preserve"> </w:t>
      </w:r>
      <w:r>
        <w:rPr>
          <w:rFonts w:ascii="宋体" w:hAnsi="宋体" w:cs="宋体" w:eastAsia="宋体" w:hint="ascii"/>
          <w:spacing w:val="-5"/>
        </w:rPr>
        <w:t>月</w:t>
      </w:r>
      <w:r>
        <w:rPr>
          <w:rFonts w:ascii="宋体" w:hAnsi="宋体" w:cs="宋体" w:eastAsia="宋体" w:hint="ascii"/>
          <w:spacing w:val="-28"/>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27"/>
        </w:rPr>
        <w:t xml:space="preserve"> </w:t>
      </w:r>
      <w:r>
        <w:rPr>
          <w:rFonts w:ascii="宋体" w:hAnsi="宋体" w:cs="宋体" w:eastAsia="宋体" w:hint="ascii"/>
          <w:spacing w:val="3"/>
        </w:rPr>
        <w:t>日（含）以后</w:t>
      </w:r>
      <w:r>
        <w:rPr>
          <w:rFonts w:ascii="宋体" w:hAnsi="宋体" w:cs="宋体" w:eastAsia="宋体" w:hint="ascii"/>
          <w:spacing w:val="-9"/>
        </w:rPr>
        <w:t>出</w:t>
      </w:r>
      <w:r>
        <w:rPr>
          <w:rFonts w:ascii="宋体" w:hAnsi="宋体" w:cs="宋体" w:eastAsia="宋体" w:hint="ascii"/>
        </w:rPr>
        <w:t>生</w:t>
      </w:r>
      <w:r>
        <w:rPr>
          <w:rFonts w:ascii="Times New Roman" w:hAnsi="Times New Roman" w:cs="Times New Roman" w:eastAsia="Times New Roman" w:hint="ascii"/>
        </w:rPr>
        <w:t>]</w:t>
      </w:r>
      <w:r>
        <w:rPr>
          <w:rFonts w:ascii="宋体" w:hAnsi="宋体" w:cs="宋体" w:eastAsia="宋体" w:hint="ascii"/>
        </w:rPr>
        <w:t>；</w:t>
      </w:r>
    </w:p>
    <w:p>
      <w:pPr>
        <w:autoSpaceDE w:val="0"/>
        <w:autoSpaceDN w:val="0"/>
        <w:jc w:val="left"/>
        <w:spacing w:before="45"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）具有良好的科学道德；</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4</w:t>
      </w:r>
      <w:r>
        <w:rPr>
          <w:rFonts w:ascii="宋体" w:hAnsi="宋体" w:cs="宋体" w:eastAsia="宋体" w:hint="ascii"/>
        </w:rPr>
        <w:t>）具有高级专业技术职务（职称）或者具有博士学位；</w:t>
      </w:r>
    </w:p>
    <w:p>
      <w:pPr>
        <w:autoSpaceDE w:val="0"/>
        <w:autoSpaceDN w:val="0"/>
        <w:jc w:val="left"/>
        <w:spacing w:before="55"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5</w:t>
      </w:r>
      <w:r>
        <w:rPr>
          <w:rFonts w:ascii="宋体" w:hAnsi="宋体" w:cs="宋体" w:eastAsia="宋体" w:hint="ascii"/>
        </w:rPr>
        <w:t>）具有承担基础研究课题或者其他从事基础研究的经历；</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6</w:t>
      </w:r>
      <w:r>
        <w:rPr>
          <w:rFonts w:ascii="宋体" w:hAnsi="宋体" w:cs="宋体" w:eastAsia="宋体" w:hint="ascii"/>
        </w:rPr>
        <w:t>）与境外单位没有正式聘用关系；</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7</w:t>
      </w:r>
      <w:r>
        <w:rPr>
          <w:rFonts w:ascii="宋体" w:hAnsi="宋体" w:cs="宋体" w:eastAsia="宋体" w:hint="ascii"/>
        </w:rPr>
        <w:t>）保证资助期内每年在依托单位从事研究工作的时间</w:t>
      </w:r>
      <w:r>
        <w:rPr>
          <w:rFonts w:ascii="宋体" w:hAnsi="宋体" w:cs="宋体" w:eastAsia="宋体" w:hint="ascii"/>
          <w:spacing w:val="30"/>
        </w:rPr>
        <w:t>在</w:t>
      </w:r>
      <w:r>
        <w:rPr>
          <w:rFonts w:ascii="Times New Roman" w:hAnsi="Times New Roman" w:cs="Times New Roman" w:eastAsia="Times New Roman" w:hint="ascii"/>
          <w:spacing w:val="60"/>
        </w:rPr>
        <w:t>9</w:t>
      </w:r>
      <w:r>
        <w:rPr>
          <w:rFonts w:ascii="宋体" w:hAnsi="宋体" w:cs="宋体" w:eastAsia="宋体" w:hint="ascii"/>
        </w:rPr>
        <w:t>个月以上。</w:t>
      </w:r>
    </w:p>
    <w:p>
      <w:pPr>
        <w:autoSpaceDE w:val="0"/>
        <w:autoSpaceDN w:val="0"/>
        <w:jc w:val="both"/>
        <w:spacing w:before="10" w:after="0" w:lineRule="exact" w:line="356"/>
        <w:ind w:right="978" w:left="966" w:firstLine="480"/>
        <w:snapToGrid w:val="0"/>
        <w:textAlignment w:val="auto"/>
        <w:tabs/>
        <w:rPr>
          <w:rFonts w:ascii="宋体" w:hAnsi="宋体" w:cs="宋体" w:eastAsia="宋体" w:hint="ascii"/>
        </w:rPr>
      </w:pPr>
      <w:r>
        <w:rPr>
          <w:rFonts w:ascii="宋体" w:hAnsi="宋体" w:cs="宋体" w:eastAsia="宋体" w:hint="ascii"/>
        </w:rPr>
        <w:t>不具有中华人民共和国国籍的华人青年学者，符合上述（</w:t>
      </w:r>
      <w:r>
        <w:rPr>
          <w:rFonts w:ascii="Times New Roman" w:hAnsi="Times New Roman" w:cs="Times New Roman" w:eastAsia="Times New Roman" w:hint="ascii"/>
        </w:rPr>
        <w:t>2</w:t>
      </w:r>
      <w:r>
        <w:rPr>
          <w:rFonts w:ascii="宋体" w:hAnsi="宋体" w:cs="宋体" w:eastAsia="宋体" w:hint="ascii"/>
        </w:rPr>
        <w:t>）</w:t>
      </w:r>
      <w:r>
        <w:rPr>
          <w:rFonts w:ascii="宋体" w:hAnsi="宋体" w:cs="宋体" w:eastAsia="宋体" w:hint="ascii"/>
        </w:rPr>
        <w:t>～</w:t>
      </w:r>
      <w:r>
        <w:rPr>
          <w:rFonts w:ascii="宋体" w:hAnsi="宋体" w:cs="宋体" w:eastAsia="宋体" w:hint="ascii"/>
        </w:rPr>
        <w:t>（</w:t>
      </w:r>
      <w:r>
        <w:rPr>
          <w:rFonts w:ascii="Times New Roman" w:hAnsi="Times New Roman" w:cs="Times New Roman" w:eastAsia="Times New Roman" w:hint="ascii"/>
        </w:rPr>
        <w:t>7</w:t>
      </w:r>
      <w:r>
        <w:rPr>
          <w:rFonts w:ascii="宋体" w:hAnsi="宋体" w:cs="宋体" w:eastAsia="宋体" w:hint="ascii"/>
        </w:rPr>
        <w:t>）条件的，可以申请。</w:t>
      </w:r>
    </w:p>
    <w:p>
      <w:pPr>
        <w:autoSpaceDE w:val="0"/>
        <w:autoSpaceDN w:val="0"/>
        <w:jc w:val="left"/>
        <w:spacing w:before="45" w:after="0" w:lineRule="auto" w:line="240"/>
        <w:ind w:right="0" w:left="1746" w:hanging="300"/>
        <w:snapToGrid w:val="0"/>
        <w:textAlignment w:val="auto"/>
        <w:tabs>
          <w:tab w:val="left" w:leader="none" w:pos="1746"/>
        </w:tabs>
        <w:numPr>
          <w:ilvl w:val="0"/>
          <w:numId w:val="287"/>
        </w:numPr>
        <w:rPr>
          <w:rFonts w:ascii="Times New Roman" w:hAnsi="Times New Roman" w:cs="Times New Roman" w:eastAsia="Times New Roman" w:hint="ascii"/>
        </w:rPr>
      </w:pPr>
      <w:r>
        <w:rPr>
          <w:rFonts w:ascii="宋体" w:hAnsi="宋体" w:cs="宋体" w:eastAsia="宋体" w:hint="ascii"/>
        </w:rPr>
        <w:t>以下人员不得申请国家杰出青年科学基金项目：</w:t>
      </w:r>
    </w:p>
    <w:p>
      <w:pPr>
        <w:autoSpaceDE w:val="0"/>
        <w:autoSpaceDN w:val="0"/>
        <w:jc w:val="left"/>
        <w:spacing w:before="63"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）获得过国家杰出青年科学基金项目资助的；</w:t>
      </w:r>
    </w:p>
    <w:p>
      <w:pPr>
        <w:autoSpaceDE w:val="0"/>
        <w:autoSpaceDN w:val="0"/>
        <w:jc w:val="both"/>
        <w:spacing w:before="11" w:after="0" w:lineRule="exact" w:line="356"/>
        <w:ind w:right="1158" w:left="1326" w:firstLine="0"/>
        <w:snapToGrid w:val="0"/>
        <w:textAlignment w:val="auto"/>
        <w:tabs/>
        <w:rPr>
          <w:rFonts w:ascii="宋体" w:hAnsi="宋体" w:cs="宋体" w:eastAsia="宋体" w:hint="ascii"/>
        </w:rPr>
      </w:pPr>
      <w:r>
        <w:rPr>
          <w:rFonts w:ascii="宋体" w:hAnsi="宋体" w:cs="宋体" w:eastAsia="宋体" w:hint="ascii"/>
          <w:spacing w:val="-1"/>
        </w:rPr>
        <w:t>（</w:t>
      </w:r>
      <w:r>
        <w:rPr>
          <w:rFonts w:ascii="Times New Roman" w:hAnsi="Times New Roman" w:cs="Times New Roman" w:eastAsia="Times New Roman" w:hint="ascii"/>
          <w:spacing w:val="-1"/>
        </w:rPr>
        <w:t>2</w:t>
      </w:r>
      <w:r>
        <w:rPr>
          <w:rFonts w:ascii="宋体" w:hAnsi="宋体" w:cs="宋体" w:eastAsia="宋体" w:hint="ascii"/>
          <w:spacing w:val="-1"/>
        </w:rPr>
        <w:t>）正在承</w:t>
      </w:r>
      <w:r>
        <w:rPr>
          <w:rFonts w:ascii="宋体" w:hAnsi="宋体" w:cs="宋体" w:eastAsia="宋体" w:hint="ascii"/>
        </w:rPr>
        <w:t>担优秀青年科学基金项目的（但结题当年可以提出申请</w:t>
      </w:r>
      <w:r>
        <w:rPr>
          <w:rFonts w:ascii="宋体" w:hAnsi="宋体" w:cs="宋体" w:eastAsia="宋体" w:hint="ascii"/>
          <w:spacing w:val="-60"/>
        </w:rPr>
        <w:t>）</w:t>
      </w: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）当年申请优秀青年科学基金项目的；</w:t>
      </w:r>
    </w:p>
    <w:p>
      <w:pPr>
        <w:autoSpaceDE w:val="0"/>
        <w:autoSpaceDN w:val="0"/>
        <w:jc w:val="left"/>
        <w:spacing w:before="4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4</w:t>
      </w:r>
      <w:r>
        <w:rPr>
          <w:rFonts w:ascii="宋体" w:hAnsi="宋体" w:cs="宋体" w:eastAsia="宋体" w:hint="ascii"/>
        </w:rPr>
        <w:t>）在站博士后研究人员或正在攻读研究生学位人员。</w:t>
      </w:r>
    </w:p>
    <w:p>
      <w:pPr>
        <w:autoSpaceDE w:val="0"/>
        <w:autoSpaceDN w:val="0"/>
        <w:jc w:val="left"/>
        <w:spacing w:before="56"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注意事项：</w:t>
      </w:r>
    </w:p>
    <w:p>
      <w:pPr>
        <w:autoSpaceDE w:val="0"/>
        <w:autoSpaceDN w:val="0"/>
        <w:jc w:val="both"/>
        <w:spacing w:before="12" w:after="0" w:lineRule="exact" w:line="355"/>
        <w:ind w:right="963" w:left="966" w:firstLine="480"/>
        <w:snapToGrid w:val="0"/>
        <w:textAlignment w:val="auto"/>
        <w:tabs/>
        <w:rPr>
          <w:rFonts w:ascii="宋体" w:hAnsi="宋体" w:cs="宋体" w:eastAsia="宋体" w:hint="ascii"/>
        </w:rPr>
      </w:pPr>
      <w:r>
        <w:rPr>
          <w:rFonts w:ascii="宋体" w:hAnsi="宋体" w:cs="宋体" w:eastAsia="宋体" w:hint="ascii"/>
        </w:rPr>
        <w:t>为进一步简化申请材料及管理工作程序，</w:t>
      </w:r>
      <w:r>
        <w:rPr>
          <w:rFonts w:ascii="宋体" w:hAnsi="宋体" w:cs="宋体" w:eastAsia="宋体" w:hint="ascii"/>
          <w:spacing w:val="-3"/>
        </w:rPr>
        <w:t>从</w:t>
      </w:r>
      <w:r>
        <w:rPr>
          <w:rFonts w:ascii="宋体" w:hAnsi="宋体" w:cs="宋体" w:eastAsia="宋体" w:hint="ascii"/>
          <w:spacing w:val="-30"/>
        </w:rPr>
        <w:t xml:space="preserve"> </w:t>
      </w:r>
      <w:r>
        <w:rPr>
          <w:rFonts w:ascii="Times New Roman" w:hAnsi="Times New Roman" w:cs="Times New Roman" w:eastAsia="Times New Roman" w:hint="ascii"/>
        </w:rPr>
        <w:t>2017</w:t>
      </w:r>
      <w:r>
        <w:rPr>
          <w:rFonts w:ascii="Times New Roman" w:hAnsi="Times New Roman" w:cs="Times New Roman" w:eastAsia="Times New Roman" w:hint="ascii"/>
          <w:spacing w:val="-30"/>
        </w:rPr>
        <w:t xml:space="preserve"> </w:t>
      </w:r>
      <w:r>
        <w:rPr>
          <w:rFonts w:ascii="宋体" w:hAnsi="宋体" w:cs="宋体" w:eastAsia="宋体" w:hint="ascii"/>
        </w:rPr>
        <w:t>年起申请项目时不</w:t>
      </w:r>
      <w:r>
        <w:rPr>
          <w:rFonts w:ascii="宋体" w:hAnsi="宋体" w:cs="宋体" w:eastAsia="宋体" w:hint="ascii"/>
          <w:spacing w:val="-6"/>
        </w:rPr>
        <w:t>再</w:t>
      </w:r>
      <w:r>
        <w:rPr>
          <w:rFonts w:ascii="宋体" w:hAnsi="宋体" w:cs="宋体" w:eastAsia="宋体" w:hint="ascii"/>
        </w:rPr>
        <w:t>要求提交单位推荐意见，</w:t>
      </w:r>
      <w:r>
        <w:rPr>
          <w:rFonts w:ascii="宋体" w:hAnsi="宋体" w:cs="宋体" w:eastAsia="宋体" w:hint="ascii"/>
        </w:rPr>
        <w:t>但仍需提交学术委员会或专家组推荐意见。</w:t>
      </w:r>
    </w:p>
    <w:p>
      <w:pPr>
        <w:autoSpaceDE w:val="0"/>
        <w:autoSpaceDN w:val="0"/>
        <w:jc w:val="both"/>
        <w:spacing w:before="0" w:after="0" w:lineRule="exact" w:line="356"/>
        <w:ind w:right="963" w:left="966" w:firstLine="480"/>
        <w:snapToGrid w:val="0"/>
        <w:textAlignment w:val="auto"/>
        <w:tabs>
          <w:tab w:val="left" w:leader="none" w:pos="1988"/>
        </w:tabs>
        <w:numPr>
          <w:ilvl w:val="0"/>
          <w:numId w:val="288"/>
        </w:numPr>
        <w:rPr>
          <w:rFonts w:ascii="Times New Roman" w:hAnsi="Times New Roman" w:cs="Times New Roman" w:eastAsia="Times New Roman" w:hint="ascii"/>
        </w:rPr>
      </w:pPr>
      <w:r>
        <w:rPr>
          <w:rFonts w:ascii="宋体" w:hAnsi="宋体" w:cs="宋体" w:eastAsia="宋体" w:hint="ascii"/>
          <w:spacing w:val="-1"/>
        </w:rPr>
        <w:t>年度国家杰出青年科学基金项目接收申请</w:t>
      </w:r>
      <w:r>
        <w:rPr>
          <w:rFonts w:ascii="宋体" w:hAnsi="宋体" w:cs="宋体" w:eastAsia="宋体" w:hint="ascii"/>
          <w:spacing w:val="-31"/>
        </w:rPr>
        <w:t xml:space="preserve"> </w:t>
      </w:r>
      <w:r>
        <w:rPr>
          <w:rFonts w:ascii="Times New Roman" w:hAnsi="Times New Roman" w:cs="Times New Roman" w:eastAsia="Times New Roman" w:hint="ascii"/>
          <w:spacing w:val="-1"/>
        </w:rPr>
        <w:t>2 684</w:t>
      </w:r>
      <w:r>
        <w:rPr>
          <w:rFonts w:ascii="Times New Roman" w:hAnsi="Times New Roman" w:cs="Times New Roman" w:eastAsia="Times New Roman" w:hint="ascii"/>
          <w:spacing w:val="-31"/>
        </w:rPr>
        <w:t xml:space="preserve"> </w:t>
      </w:r>
      <w:r>
        <w:rPr>
          <w:rFonts w:ascii="宋体" w:hAnsi="宋体" w:cs="宋体" w:eastAsia="宋体" w:hint="ascii"/>
          <w:spacing w:val="-1"/>
        </w:rPr>
        <w:t>项，资助</w:t>
      </w:r>
      <w:r>
        <w:rPr>
          <w:rFonts w:ascii="宋体" w:hAnsi="宋体" w:cs="宋体" w:eastAsia="宋体" w:hint="ascii"/>
          <w:spacing w:val="-31"/>
        </w:rPr>
        <w:t xml:space="preserve"> </w:t>
      </w:r>
      <w:r>
        <w:rPr>
          <w:rFonts w:ascii="Times New Roman" w:hAnsi="Times New Roman" w:cs="Times New Roman" w:eastAsia="Times New Roman" w:hint="ascii"/>
          <w:spacing w:val="-1"/>
        </w:rPr>
        <w:t>19</w:t>
      </w:r>
      <w:r>
        <w:rPr>
          <w:rFonts w:ascii="Times New Roman" w:hAnsi="Times New Roman" w:cs="Times New Roman" w:eastAsia="Times New Roman" w:hint="ascii"/>
        </w:rPr>
        <w:t>8</w:t>
      </w:r>
      <w:r>
        <w:rPr>
          <w:rFonts w:ascii="Times New Roman" w:hAnsi="Times New Roman" w:cs="Times New Roman" w:eastAsia="Times New Roman" w:hint="ascii"/>
          <w:spacing w:val="-30"/>
        </w:rPr>
        <w:t xml:space="preserve"> </w:t>
      </w:r>
      <w:r>
        <w:rPr>
          <w:rFonts w:ascii="宋体" w:hAnsi="宋体" w:cs="宋体" w:eastAsia="宋体" w:hint="ascii"/>
        </w:rPr>
        <w:t>项， 资助直接费用</w:t>
      </w:r>
      <w:r>
        <w:rPr>
          <w:rFonts w:ascii="宋体" w:hAnsi="宋体" w:cs="宋体" w:eastAsia="宋体" w:hint="ascii"/>
          <w:spacing w:val="30"/>
        </w:rPr>
        <w:t>为</w:t>
      </w:r>
      <w:r>
        <w:rPr>
          <w:rFonts w:ascii="Times New Roman" w:hAnsi="Times New Roman" w:cs="Times New Roman" w:eastAsia="Times New Roman" w:hint="ascii"/>
        </w:rPr>
        <w:t>67 93</w:t>
      </w:r>
      <w:r>
        <w:rPr>
          <w:rFonts w:ascii="Times New Roman" w:hAnsi="Times New Roman" w:cs="Times New Roman" w:eastAsia="Times New Roman" w:hint="ascii"/>
          <w:spacing w:val="60"/>
        </w:rPr>
        <w:t>5</w:t>
      </w:r>
      <w:r>
        <w:rPr>
          <w:rFonts w:ascii="宋体" w:hAnsi="宋体" w:cs="宋体" w:eastAsia="宋体" w:hint="ascii"/>
        </w:rPr>
        <w:t>万元。</w:t>
      </w:r>
    </w:p>
    <w:p>
      <w:pPr>
        <w:autoSpaceDE w:val="0"/>
        <w:autoSpaceDN w:val="0"/>
        <w:jc w:val="both"/>
        <w:spacing w:before="0" w:after="0" w:lineRule="exact" w:line="356"/>
        <w:ind w:right="963" w:left="966" w:firstLine="468"/>
        <w:snapToGrid w:val="0"/>
        <w:textAlignment w:val="auto"/>
        <w:tabs>
          <w:tab w:val="left" w:leader="none" w:pos="1977"/>
        </w:tabs>
        <w:numPr>
          <w:ilvl w:val="0"/>
          <w:numId w:val="288"/>
        </w:numPr>
        <w:rPr>
          <w:rFonts w:ascii="Times New Roman" w:hAnsi="Times New Roman" w:cs="Times New Roman" w:eastAsia="Times New Roman" w:hint="ascii"/>
          <w:spacing w:val="-3"/>
        </w:rPr>
      </w:pPr>
      <w:r>
        <w:rPr>
          <w:rFonts w:ascii="宋体" w:hAnsi="宋体" w:cs="宋体" w:eastAsia="宋体" w:hint="ascii"/>
          <w:spacing w:val="2"/>
        </w:rPr>
        <w:t>年度国家杰出青</w:t>
      </w:r>
      <w:r>
        <w:rPr>
          <w:rFonts w:ascii="宋体" w:hAnsi="宋体" w:cs="宋体" w:eastAsia="宋体" w:hint="ascii"/>
          <w:spacing w:val="1"/>
        </w:rPr>
        <w:t>年科学基金项目计划资</w:t>
      </w:r>
      <w:r>
        <w:rPr>
          <w:rFonts w:ascii="宋体" w:hAnsi="宋体" w:cs="宋体" w:eastAsia="宋体" w:hint="ascii"/>
          <w:spacing w:val="-5"/>
        </w:rPr>
        <w:t>助</w:t>
      </w:r>
      <w:r>
        <w:rPr>
          <w:rFonts w:ascii="宋体" w:hAnsi="宋体" w:cs="宋体" w:eastAsia="宋体" w:hint="ascii"/>
          <w:spacing w:val="-30"/>
        </w:rPr>
        <w:t xml:space="preserve"> </w:t>
      </w:r>
      <w:r>
        <w:rPr>
          <w:rFonts w:ascii="Times New Roman" w:hAnsi="Times New Roman" w:cs="Times New Roman" w:eastAsia="Times New Roman" w:hint="ascii"/>
          <w:spacing w:val="-3"/>
        </w:rPr>
        <w:t>20</w:t>
      </w:r>
      <w:r>
        <w:rPr>
          <w:rFonts w:ascii="Times New Roman" w:hAnsi="Times New Roman" w:cs="Times New Roman" w:eastAsia="Times New Roman" w:hint="ascii"/>
        </w:rPr>
        <w:t>0</w:t>
      </w:r>
      <w:r>
        <w:rPr>
          <w:rFonts w:ascii="Times New Roman" w:hAnsi="Times New Roman" w:cs="Times New Roman" w:eastAsia="Times New Roman" w:hint="ascii"/>
          <w:spacing w:val="-29"/>
        </w:rPr>
        <w:t xml:space="preserve"> </w:t>
      </w:r>
      <w:r>
        <w:rPr>
          <w:rFonts w:ascii="宋体" w:hAnsi="宋体" w:cs="宋体" w:eastAsia="宋体" w:hint="ascii"/>
          <w:spacing w:val="1"/>
        </w:rPr>
        <w:t>项，资助期限</w:t>
      </w:r>
      <w:r>
        <w:rPr>
          <w:rFonts w:ascii="宋体" w:hAnsi="宋体" w:cs="宋体" w:eastAsia="宋体" w:hint="ascii"/>
          <w:spacing w:val="-5"/>
        </w:rPr>
        <w:t>为</w:t>
      </w:r>
      <w:r>
        <w:rPr>
          <w:rFonts w:ascii="宋体" w:hAnsi="宋体" w:cs="宋体" w:eastAsia="宋体" w:hint="ascii"/>
          <w:spacing w:val="-31"/>
        </w:rPr>
        <w:t xml:space="preserve"> </w:t>
      </w:r>
      <w:r>
        <w:rPr>
          <w:rFonts w:ascii="Times New Roman" w:hAnsi="Times New Roman" w:cs="Times New Roman" w:eastAsia="Times New Roman" w:hint="ascii"/>
        </w:rPr>
        <w:t xml:space="preserve">5 </w:t>
      </w:r>
      <w:r>
        <w:rPr>
          <w:rFonts w:ascii="宋体" w:hAnsi="宋体" w:cs="宋体" w:eastAsia="宋体" w:hint="ascii"/>
          <w:spacing w:val="-3"/>
        </w:rPr>
        <w:t>年，直接费用资助强度</w:t>
      </w:r>
      <w:r>
        <w:rPr>
          <w:rFonts w:ascii="宋体" w:hAnsi="宋体" w:cs="宋体" w:eastAsia="宋体" w:hint="ascii"/>
          <w:spacing w:val="25"/>
        </w:rPr>
        <w:t>为</w:t>
      </w:r>
      <w:r>
        <w:rPr>
          <w:rFonts w:ascii="Times New Roman" w:hAnsi="Times New Roman" w:cs="Times New Roman" w:eastAsia="Times New Roman" w:hint="ascii"/>
          <w:spacing w:val="-3"/>
        </w:rPr>
        <w:t>35</w:t>
      </w:r>
      <w:r>
        <w:rPr>
          <w:rFonts w:ascii="Times New Roman" w:hAnsi="Times New Roman" w:cs="Times New Roman" w:eastAsia="Times New Roman" w:hint="ascii"/>
          <w:spacing w:val="54"/>
        </w:rPr>
        <w:t>0</w:t>
      </w:r>
      <w:r>
        <w:rPr>
          <w:rFonts w:ascii="宋体" w:hAnsi="宋体" w:cs="宋体" w:eastAsia="宋体" w:hint="ascii"/>
          <w:spacing w:val="-3"/>
        </w:rPr>
        <w:t>万元</w:t>
      </w:r>
      <w:r>
        <w:rPr>
          <w:rFonts w:ascii="Times New Roman" w:hAnsi="Times New Roman" w:cs="Times New Roman" w:eastAsia="Times New Roman" w:hint="ascii"/>
          <w:spacing w:val="-3"/>
        </w:rPr>
        <w:t>/</w:t>
      </w:r>
      <w:r>
        <w:rPr>
          <w:rFonts w:ascii="宋体" w:hAnsi="宋体" w:cs="宋体" w:eastAsia="宋体" w:hint="ascii"/>
          <w:spacing w:val="-3"/>
        </w:rPr>
        <w:t>项（数学和管理科学</w:t>
      </w:r>
      <w:r>
        <w:rPr>
          <w:rFonts w:ascii="宋体" w:hAnsi="宋体" w:cs="宋体" w:eastAsia="宋体" w:hint="ascii"/>
          <w:spacing w:val="25"/>
        </w:rPr>
        <w:t>为</w:t>
      </w:r>
      <w:r>
        <w:rPr>
          <w:rFonts w:ascii="Times New Roman" w:hAnsi="Times New Roman" w:cs="Times New Roman" w:eastAsia="Times New Roman" w:hint="ascii"/>
          <w:spacing w:val="-3"/>
        </w:rPr>
        <w:t>24</w:t>
      </w:r>
      <w:r>
        <w:rPr>
          <w:rFonts w:ascii="Times New Roman" w:hAnsi="Times New Roman" w:cs="Times New Roman" w:eastAsia="Times New Roman" w:hint="ascii"/>
          <w:spacing w:val="54"/>
        </w:rPr>
        <w:t>5</w:t>
      </w:r>
      <w:r>
        <w:rPr>
          <w:rFonts w:ascii="宋体" w:hAnsi="宋体" w:cs="宋体" w:eastAsia="宋体" w:hint="ascii"/>
          <w:spacing w:val="-3"/>
        </w:rPr>
        <w:t>万元</w:t>
      </w:r>
      <w:r>
        <w:rPr>
          <w:rFonts w:ascii="Times New Roman" w:hAnsi="Times New Roman" w:cs="Times New Roman" w:eastAsia="Times New Roman" w:hint="ascii"/>
          <w:spacing w:val="-3"/>
        </w:rPr>
        <w:t>/</w:t>
      </w:r>
      <w:r>
        <w:rPr>
          <w:rFonts w:ascii="宋体" w:hAnsi="宋体" w:cs="宋体" w:eastAsia="宋体" w:hint="ascii"/>
          <w:spacing w:val="-3"/>
        </w:rPr>
        <w:t>项</w:t>
      </w:r>
      <w:r>
        <w:rPr>
          <w:rFonts w:ascii="宋体" w:hAnsi="宋体" w:cs="宋体" w:eastAsia="宋体" w:hint="ascii"/>
          <w:spacing w:val="-61"/>
        </w:rPr>
        <w:t>）</w:t>
      </w:r>
      <w:r>
        <w:rPr>
          <w:rFonts w:ascii="宋体" w:hAnsi="宋体" w:cs="宋体" w:eastAsia="宋体" w:hint="ascii"/>
        </w:rPr>
        <w:t>。</w:t>
      </w:r>
    </w:p>
    <w:p>
      <w:pPr>
        <w:autoSpaceDE w:val="0"/>
        <w:autoSpaceDN w:val="0"/>
        <w:jc w:val="left"/>
        <w:spacing w:before="1317"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31" w:lineRule="auto" w:line="240"/>
        <w:ind w:right="0" w:left="3141"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6"/>
        </w:rPr>
        <w:t>7</w:t>
      </w:r>
      <w:r>
        <w:rPr>
          <w:rFonts w:ascii="宋体" w:hAnsi="宋体" w:cs="宋体" w:eastAsia="宋体" w:hint="ascii"/>
          <w:sz w:val="18"/>
        </w:rPr>
        <w:t>年度国家杰出青年科学基金项目资助情况</w:t>
      </w:r>
      <w:r>
        <w:rPr>
          <w:rFonts w:ascii="宋体" w:hAnsi="宋体" w:cs="宋体" w:eastAsia="宋体" w:hint="ascii"/>
          <w:sz w:val="18"/>
        </w:rPr>
        <mc:AlternateContent>
          <mc:Choice Requires="wps">
            <w:drawing>
              <wp:anchor distL="0" distR="0" distT="0" distB="0" simplePos="0" behindDoc="1" relativeHeight="224" locked="0" layoutInCell="1" allowOverlap="1">
                <wp:simplePos x="0" y="0"/>
                <wp:positionH relativeFrom="page">
                  <wp:posOffset>938530</wp:posOffset>
                </wp:positionH>
                <wp:positionV relativeFrom="page">
                  <wp:posOffset>805815</wp:posOffset>
                </wp:positionV>
                <wp:extent cx="5076190" cy="0"/>
                <wp:wrapNone/>
                <wp:docPr id="1253" name="125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28864;width:399.70pt;" id="1253" coordsize="7994,0" strokeweight="0.50pt" strokecolor="#231f20" fillcolor="#auto" opacity="0f" from="0.00pt, 0.00pt" to="399.70pt, 0.00pt">
                <v:stroke endcap="round"/>
                <v:fill opacity="0f"/>
                <w10:wrap anchorx="page" anchory="page" side="both"/>
              </v:line>
            </w:pict>
          </mc:Fallback>
        </mc:AlternateConten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983"/>
        <w:gridCol w:w="1984"/>
        <w:gridCol w:w="1985"/>
        <w:gridCol w:w="2040"/>
      </w:tblGrid>
      <w:tr>
        <w:trPr>
          <w:trHeight w:val="300" w:hRule="exact"/>
          <w:cantSplit w:val="1"/>
        </w:trPr>
        <w:tc>
          <w:tcPr>
            <w:tcW w:w="1983" w:type="dxa"/>
            <w:gridSpan w:val="1"/>
            <w:vAlign w:val="top"/>
            <w:tcMar/>
            <w:tcBorders/>
          </w:tcPr>
          <w:p>
            <w:pPr>
              <w:autoSpaceDE w:val="0"/>
              <w:autoSpaceDN w:val="0"/>
              <w:jc w:val="left"/>
              <w:spacing w:before="45" w:after="0" w:lineRule="exact" w:line="188"/>
              <w:ind w:right="0" w:left="757"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1984" w:type="dxa"/>
            <w:gridSpan w:val="1"/>
            <w:vAlign w:val="top"/>
            <w:tcMar/>
            <w:tcBorders>
              <w:left w:val="single" w:sz="4" w:space="0" w:color="000000"/>
            </w:tcBorders>
          </w:tcPr>
          <w:p>
            <w:pPr>
              <w:autoSpaceDE w:val="0"/>
              <w:autoSpaceDN w:val="0"/>
              <w:jc w:val="left"/>
              <w:spacing w:before="45" w:after="0" w:lineRule="exact" w:line="188"/>
              <w:ind w:right="0" w:left="686" w:firstLine="0"/>
              <w:snapToGrid w:val="0"/>
              <w:textAlignment w:val="auto"/>
              <w:tabs/>
              <w:rPr>
                <w:rFonts w:ascii="宋体" w:hAnsi="宋体" w:cs="宋体" w:eastAsia="宋体" w:hint="ascii"/>
                <w:sz w:val="15"/>
              </w:rPr>
            </w:pPr>
            <w:r>
              <w:rPr>
                <w:rFonts w:ascii="宋体" w:hAnsi="宋体" w:cs="宋体" w:eastAsia="宋体" w:hint="ascii"/>
                <w:sz w:val="15"/>
              </w:rPr>
              <w:t>申请项数</w:t>
            </w:r>
          </w:p>
        </w:tc>
        <w:tc>
          <w:tcPr>
            <w:tcW w:w="1985" w:type="dxa"/>
            <w:gridSpan w:val="1"/>
            <w:vAlign w:val="top"/>
            <w:tcMar/>
            <w:tcBorders>
              <w:left w:val="single" w:sz="4" w:space="0" w:color="000000"/>
            </w:tcBorders>
          </w:tcPr>
          <w:p>
            <w:pPr>
              <w:autoSpaceDE w:val="0"/>
              <w:autoSpaceDN w:val="0"/>
              <w:jc w:val="left"/>
              <w:spacing w:before="45" w:after="0" w:lineRule="exact" w:line="188"/>
              <w:ind w:right="0" w:left="536" w:firstLine="0"/>
              <w:snapToGrid w:val="0"/>
              <w:textAlignment w:val="auto"/>
              <w:tabs/>
              <w:rPr>
                <w:rFonts w:ascii="宋体" w:hAnsi="宋体" w:cs="宋体" w:eastAsia="宋体" w:hint="ascii"/>
                <w:sz w:val="15"/>
              </w:rPr>
            </w:pPr>
            <w:r>
              <w:rPr>
                <w:rFonts w:ascii="宋体" w:hAnsi="宋体" w:cs="宋体" w:eastAsia="宋体" w:hint="ascii"/>
                <w:sz w:val="15"/>
              </w:rPr>
              <w:t>批准资助项数</w:t>
            </w:r>
          </w:p>
        </w:tc>
        <w:tc>
          <w:tcPr>
            <w:tcW w:w="2040" w:type="dxa"/>
            <w:gridSpan w:val="1"/>
            <w:vAlign w:val="top"/>
            <w:tcMar/>
            <w:tcBorders>
              <w:left w:val="single" w:sz="4" w:space="0" w:color="000000"/>
              <w:right w:val="single" w:sz="8" w:space="0" w:color="000000"/>
            </w:tcBorders>
          </w:tcPr>
          <w:p>
            <w:pPr>
              <w:autoSpaceDE w:val="0"/>
              <w:autoSpaceDN w:val="0"/>
              <w:jc w:val="left"/>
              <w:spacing w:before="45" w:after="0" w:lineRule="exact" w:line="188"/>
              <w:ind w:right="0" w:left="578"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94" w:hRule="exact"/>
          <w:cantSplit w:val="1"/>
        </w:trPr>
        <w:tc>
          <w:tcPr>
            <w:tcW w:w="1983" w:type="dxa"/>
            <w:gridSpan w:val="1"/>
            <w:vAlign w:val="top"/>
            <w:tcMar/>
            <w:tcBorders>
              <w:top w:val="single" w:sz="4" w:space="0" w:color="000000"/>
            </w:tcBorders>
          </w:tcPr>
          <w:p>
            <w:pPr>
              <w:autoSpaceDE w:val="0"/>
              <w:autoSpaceDN w:val="0"/>
              <w:jc w:val="left"/>
              <w:spacing w:before="45"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0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7.72</w:t>
            </w:r>
          </w:p>
        </w:tc>
      </w:tr>
      <w:tr>
        <w:trPr>
          <w:trHeight w:val="295" w:hRule="exact"/>
          <w:cantSplit w:val="1"/>
        </w:trPr>
        <w:tc>
          <w:tcPr>
            <w:tcW w:w="1983" w:type="dxa"/>
            <w:gridSpan w:val="1"/>
            <w:vAlign w:val="top"/>
            <w:tcMar/>
            <w:tcBorders>
              <w:top w:val="single" w:sz="4" w:space="0" w:color="000000"/>
            </w:tcBorders>
          </w:tcPr>
          <w:p>
            <w:pPr>
              <w:autoSpaceDE w:val="0"/>
              <w:autoSpaceDN w:val="0"/>
              <w:jc w:val="left"/>
              <w:spacing w:before="45"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393</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30</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7.63</w:t>
            </w:r>
          </w:p>
        </w:tc>
      </w:tr>
      <w:tr>
        <w:trPr>
          <w:trHeight w:val="294" w:hRule="exact"/>
          <w:cantSplit w:val="1"/>
        </w:trPr>
        <w:tc>
          <w:tcPr>
            <w:tcW w:w="1983" w:type="dxa"/>
            <w:gridSpan w:val="1"/>
            <w:vAlign w:val="top"/>
            <w:tcMar/>
            <w:tcBorders>
              <w:top w:val="single" w:sz="4" w:space="0" w:color="000000"/>
            </w:tcBorders>
          </w:tcPr>
          <w:p>
            <w:pPr>
              <w:autoSpaceDE w:val="0"/>
              <w:autoSpaceDN w:val="0"/>
              <w:jc w:val="left"/>
              <w:spacing w:before="44"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353</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26</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7.37</w:t>
            </w:r>
          </w:p>
        </w:tc>
      </w:tr>
      <w:tr>
        <w:trPr>
          <w:trHeight w:val="295" w:hRule="exact"/>
          <w:cantSplit w:val="1"/>
        </w:trPr>
        <w:tc>
          <w:tcPr>
            <w:tcW w:w="1983" w:type="dxa"/>
            <w:gridSpan w:val="1"/>
            <w:vAlign w:val="top"/>
            <w:tcMar/>
            <w:tcBorders>
              <w:top w:val="single" w:sz="4" w:space="0" w:color="000000"/>
            </w:tcBorders>
          </w:tcPr>
          <w:p>
            <w:pPr>
              <w:autoSpaceDE w:val="0"/>
              <w:autoSpaceDN w:val="0"/>
              <w:jc w:val="left"/>
              <w:spacing w:before="45"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286</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21</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7.34</w:t>
            </w:r>
          </w:p>
        </w:tc>
      </w:tr>
      <w:tr>
        <w:trPr>
          <w:trHeight w:val="294" w:hRule="exact"/>
          <w:cantSplit w:val="1"/>
        </w:trPr>
        <w:tc>
          <w:tcPr>
            <w:tcW w:w="1983" w:type="dxa"/>
            <w:gridSpan w:val="1"/>
            <w:vAlign w:val="top"/>
            <w:tcMar/>
            <w:tcBorders>
              <w:top w:val="single" w:sz="4" w:space="0" w:color="000000"/>
            </w:tcBorders>
          </w:tcPr>
          <w:p>
            <w:pPr>
              <w:autoSpaceDE w:val="0"/>
              <w:autoSpaceDN w:val="0"/>
              <w:jc w:val="left"/>
              <w:spacing w:before="44" w:after="0" w:lineRule="exact" w:line="188"/>
              <w:ind w:right="0" w:left="382"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501</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7.58</w:t>
            </w:r>
          </w:p>
        </w:tc>
      </w:tr>
      <w:tr>
        <w:trPr>
          <w:trHeight w:val="294" w:hRule="exact"/>
          <w:cantSplit w:val="1"/>
        </w:trPr>
        <w:tc>
          <w:tcPr>
            <w:tcW w:w="1983" w:type="dxa"/>
            <w:gridSpan w:val="1"/>
            <w:vAlign w:val="top"/>
            <w:tcMar/>
            <w:tcBorders>
              <w:top w:val="single" w:sz="4" w:space="0" w:color="000000"/>
            </w:tcBorders>
          </w:tcPr>
          <w:p>
            <w:pPr>
              <w:autoSpaceDE w:val="0"/>
              <w:autoSpaceDN w:val="0"/>
              <w:jc w:val="left"/>
              <w:spacing w:before="45"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399</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28</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7.02</w:t>
            </w:r>
          </w:p>
        </w:tc>
      </w:tr>
      <w:tr>
        <w:trPr>
          <w:trHeight w:val="295" w:hRule="exact"/>
          <w:cantSplit w:val="1"/>
        </w:trPr>
        <w:tc>
          <w:tcPr>
            <w:tcW w:w="1983" w:type="dxa"/>
            <w:gridSpan w:val="1"/>
            <w:vAlign w:val="top"/>
            <w:tcMar/>
            <w:tcBorders>
              <w:top w:val="single" w:sz="4" w:space="0" w:color="000000"/>
            </w:tcBorders>
          </w:tcPr>
          <w:p>
            <w:pPr>
              <w:autoSpaceDE w:val="0"/>
              <w:autoSpaceDN w:val="0"/>
              <w:jc w:val="left"/>
              <w:spacing w:before="45"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7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92</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102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7.61</w:t>
            </w:r>
          </w:p>
        </w:tc>
      </w:tr>
      <w:tr>
        <w:trPr>
          <w:trHeight w:val="294" w:hRule="exact"/>
          <w:cantSplit w:val="1"/>
        </w:trPr>
        <w:tc>
          <w:tcPr>
            <w:tcW w:w="1983" w:type="dxa"/>
            <w:gridSpan w:val="1"/>
            <w:vAlign w:val="top"/>
            <w:tcMar/>
            <w:tcBorders>
              <w:top w:val="single" w:sz="4" w:space="0" w:color="000000"/>
            </w:tcBorders>
          </w:tcPr>
          <w:p>
            <w:pPr>
              <w:autoSpaceDE w:val="0"/>
              <w:autoSpaceDN w:val="0"/>
              <w:jc w:val="left"/>
              <w:spacing w:before="45" w:after="0" w:lineRule="exact" w:line="188"/>
              <w:ind w:right="0" w:left="607"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1984"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0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349</w:t>
            </w:r>
          </w:p>
        </w:tc>
        <w:tc>
          <w:tcPr>
            <w:tcW w:w="1985"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95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24</w:t>
            </w:r>
          </w:p>
        </w:tc>
        <w:tc>
          <w:tcPr>
            <w:tcW w:w="204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6.88</w:t>
            </w:r>
          </w:p>
        </w:tc>
      </w:tr>
      <w:tr>
        <w:trPr>
          <w:trHeight w:val="300" w:hRule="exact"/>
          <w:cantSplit w:val="1"/>
        </w:trPr>
        <w:tc>
          <w:tcPr>
            <w:tcW w:w="1983" w:type="dxa"/>
            <w:gridSpan w:val="1"/>
            <w:vAlign w:val="top"/>
            <w:tcMar/>
            <w:tcBorders>
              <w:top w:val="single" w:sz="4" w:space="0" w:color="000000"/>
              <w:bottom w:val="single" w:sz="8" w:space="0" w:color="000000"/>
            </w:tcBorders>
          </w:tcPr>
          <w:p>
            <w:pPr>
              <w:autoSpaceDE w:val="0"/>
              <w:autoSpaceDN w:val="0"/>
              <w:jc w:val="left"/>
              <w:spacing w:before="45" w:after="0" w:lineRule="exact" w:line="188"/>
              <w:ind w:right="0" w:left="532"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198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78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2 684</w:t>
            </w:r>
          </w:p>
        </w:tc>
        <w:tc>
          <w:tcPr>
            <w:tcW w:w="1985"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87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198</w:t>
            </w:r>
          </w:p>
        </w:tc>
        <w:tc>
          <w:tcPr>
            <w:tcW w:w="2040"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52" w:after="0" w:lineRule="auto" w:line="240"/>
              <w:ind w:right="0" w:left="88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7.38</w:t>
            </w:r>
          </w:p>
        </w:tc>
      </w:tr>
    </w:tbl>
    <w:p>
      <w:pPr>
        <w:autoSpaceDE w:val="0"/>
        <w:autoSpaceDN w:val="0"/>
        <w:jc w:val="left"/>
        <w:spacing w:before="914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2875" w:firstLine="0"/>
        <w:snapToGrid w:val="0"/>
        <w:textAlignment w:val="auto"/>
        <w:tabs/>
        <w:rPr>
          <w:rFonts w:ascii="宋体" w:hAnsi="宋体" w:cs="宋体" w:eastAsia="宋体" w:hint="ascii"/>
          <w:sz w:val="52"/>
        </w:rPr>
      </w:pPr>
      <w:r>
        <w:rPr>
          <w:rFonts w:ascii="宋体" w:hAnsi="宋体" w:cs="宋体" w:eastAsia="宋体" w:hint="ascii"/>
          <w:sz w:val="52"/>
        </w:rPr>
        <w:t>创新研究群体项目</w:t>
      </w:r>
      <w:r>
        <w:rPr>
          <w:rFonts w:ascii="宋体" w:hAnsi="宋体" w:cs="宋体" w:eastAsia="宋体" w:hint="ascii"/>
          <w:sz w:val="52"/>
        </w:rPr>
        <mc:AlternateContent>
          <mc:Choice Requires="wps">
            <w:drawing>
              <wp:anchor distL="0" distR="0" distT="0" distB="0" simplePos="0" behindDoc="1" relativeHeight="225" locked="0" layoutInCell="1" allowOverlap="1">
                <wp:simplePos x="0" y="0"/>
                <wp:positionH relativeFrom="page">
                  <wp:posOffset>938530</wp:posOffset>
                </wp:positionH>
                <wp:positionV relativeFrom="page">
                  <wp:posOffset>819150</wp:posOffset>
                </wp:positionV>
                <wp:extent cx="5076190" cy="0"/>
                <wp:wrapNone/>
                <wp:docPr id="1254" name="125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27840;width:399.70pt;" id="1254"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26" locked="0" layoutInCell="1" allowOverlap="1">
                <wp:simplePos x="0" y="0"/>
                <wp:positionH relativeFrom="page">
                  <wp:posOffset>299720</wp:posOffset>
                </wp:positionH>
                <wp:positionV relativeFrom="page">
                  <wp:posOffset>282575</wp:posOffset>
                </wp:positionV>
                <wp:extent cx="6375400" cy="559435"/>
                <wp:wrapNone/>
                <wp:docPr id="1255" name="1255"/>
                <wp:cNvGraphicFramePr/>
                <a:graphic>
                  <a:graphicData uri="http://schemas.microsoft.com/office/word/2010/wordprocessingShape">
                    <wps:wsp>
                      <wps:cNvSpPr/>
                      <wps:spPr>
                        <a:xfrm>
                          <a:off x="0" y="0"/>
                          <a:ext cx="6375400" cy="55943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60pt;mso-position-vertical:absolute;mso-position-vertical-relative:page;margin-top:22.25pt;z-index:-251426816;width:502.00pt;height:44.05pt;" id="1255" coordsize="10040,881" stroked="f" fillcolor="#ffffff" opacity="0f">
                <v:stroke endcap="round"/>
                <v:fill opacity="0f"/>
                <w10:wrap anchorx="page" anchory="page" side="both"/>
              </v:rect>
            </w:pict>
          </mc:Fallback>
        </mc:AlternateContent>
      </w:r>
    </w:p>
    <w:p>
      <w:pPr>
        <w:autoSpaceDE w:val="0"/>
        <w:autoSpaceDN w:val="0"/>
        <w:jc w:val="left"/>
        <w:spacing w:before="442"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创新研究群体项目支持优秀中青年科学家为学术带头人和研究骨干，共</w:t>
      </w:r>
    </w:p>
    <w:p>
      <w:pPr>
        <w:autoSpaceDE w:val="0"/>
        <w:autoSpaceDN w:val="0"/>
        <w:jc w:val="both"/>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同围绕一个重要研究方向合作开展创新研究，培养和造就在国际科学前沿占有一席之地的研究群体。</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创新研究群体项目申请人及参与者应当具备以下条件：</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）具有承担基础研究课题或者其他从事基础研究的经历；</w:t>
      </w:r>
    </w:p>
    <w:p>
      <w:pPr>
        <w:autoSpaceDE w:val="0"/>
        <w:autoSpaceDN w:val="0"/>
        <w:jc w:val="both"/>
        <w:spacing w:before="12" w:after="0" w:lineRule="exact" w:line="355"/>
        <w:ind w:right="978"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）保证资助期限内每年在依托单位从事基础研究工作的时间在</w:t>
      </w:r>
      <w:r>
        <w:rPr>
          <w:rFonts w:ascii="宋体" w:hAnsi="宋体" w:cs="宋体" w:eastAsia="宋体" w:hint="ascii"/>
          <w:spacing w:val="-30"/>
        </w:rPr>
        <w:t xml:space="preserve"> </w:t>
      </w:r>
      <w:r>
        <w:rPr>
          <w:rFonts w:ascii="Times New Roman" w:hAnsi="Times New Roman" w:cs="Times New Roman" w:eastAsia="Times New Roman" w:hint="ascii"/>
          <w:spacing w:val="61"/>
        </w:rPr>
        <w:t>6</w:t>
      </w:r>
      <w:r>
        <w:rPr>
          <w:rFonts w:ascii="宋体" w:hAnsi="宋体" w:cs="宋体" w:eastAsia="宋体" w:hint="ascii"/>
        </w:rPr>
        <w:t>个月以上；</w:t>
      </w:r>
    </w:p>
    <w:p>
      <w:pPr>
        <w:autoSpaceDE w:val="0"/>
        <w:autoSpaceDN w:val="0"/>
        <w:jc w:val="both"/>
        <w:spacing w:before="0" w:after="0" w:lineRule="exact" w:line="356"/>
        <w:ind w:right="978"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）具有在长期合作基础上形成的研究队伍，包括学术带头人</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rPr>
        <w:t>人，研究骨干不多</w:t>
      </w:r>
      <w:r>
        <w:rPr>
          <w:rFonts w:ascii="宋体" w:hAnsi="宋体" w:cs="宋体" w:eastAsia="宋体" w:hint="ascii"/>
          <w:spacing w:val="30"/>
        </w:rPr>
        <w:t>于</w:t>
      </w:r>
      <w:r>
        <w:rPr>
          <w:rFonts w:ascii="Times New Roman" w:hAnsi="Times New Roman" w:cs="Times New Roman" w:eastAsia="Times New Roman" w:hint="ascii"/>
          <w:spacing w:val="60"/>
        </w:rPr>
        <w:t>5</w:t>
      </w:r>
      <w:r>
        <w:rPr>
          <w:rFonts w:ascii="宋体" w:hAnsi="宋体" w:cs="宋体" w:eastAsia="宋体" w:hint="ascii"/>
        </w:rPr>
        <w:t>人；</w:t>
      </w:r>
    </w:p>
    <w:p>
      <w:pPr>
        <w:autoSpaceDE w:val="0"/>
        <w:autoSpaceDN w:val="0"/>
        <w:jc w:val="left"/>
        <w:spacing w:before="0" w:after="0" w:lineRule="exact" w:line="356"/>
        <w:ind w:right="963" w:left="966" w:firstLine="360"/>
        <w:snapToGrid w:val="0"/>
        <w:textAlignment w:val="auto"/>
        <w:tabs/>
        <w:rPr>
          <w:rFonts w:ascii="宋体" w:hAnsi="宋体" w:cs="宋体" w:eastAsia="宋体" w:hint="ascii"/>
        </w:rPr>
      </w:pPr>
      <w:r>
        <w:rPr>
          <w:rFonts w:ascii="宋体" w:hAnsi="宋体" w:cs="宋体" w:eastAsia="宋体" w:hint="ascii"/>
          <w:spacing w:val="5"/>
        </w:rPr>
        <w:t>（</w:t>
      </w:r>
      <w:r>
        <w:rPr>
          <w:rFonts w:ascii="Times New Roman" w:hAnsi="Times New Roman" w:cs="Times New Roman" w:eastAsia="Times New Roman" w:hint="ascii"/>
          <w:spacing w:val="10"/>
        </w:rPr>
        <w:t>4</w:t>
      </w:r>
      <w:r>
        <w:rPr>
          <w:rFonts w:ascii="宋体" w:hAnsi="宋体" w:cs="宋体" w:eastAsia="宋体" w:hint="ascii"/>
          <w:spacing w:val="5"/>
        </w:rPr>
        <w:t>）学术带头人作为项目申请人，</w:t>
      </w:r>
      <w:r>
        <w:rPr>
          <w:rFonts w:ascii="宋体" w:hAnsi="宋体" w:cs="宋体" w:eastAsia="宋体" w:hint="ascii"/>
          <w:spacing w:val="6"/>
        </w:rPr>
        <w:t>应</w:t>
      </w:r>
      <w:r>
        <w:rPr>
          <w:rFonts w:ascii="宋体" w:hAnsi="宋体" w:cs="宋体" w:eastAsia="宋体" w:hint="ascii"/>
          <w:spacing w:val="5"/>
        </w:rPr>
        <w:t>当具有正高级专业技术职</w:t>
      </w:r>
      <w:r>
        <w:rPr>
          <w:rFonts w:ascii="宋体" w:hAnsi="宋体" w:cs="宋体" w:eastAsia="宋体" w:hint="ascii"/>
          <w:spacing w:val="6"/>
        </w:rPr>
        <w:t>务</w:t>
      </w:r>
      <w:r>
        <w:rPr>
          <w:rFonts w:ascii="宋体" w:hAnsi="宋体" w:cs="宋体" w:eastAsia="宋体" w:hint="ascii"/>
          <w:spacing w:val="5"/>
        </w:rPr>
        <w:t>（</w:t>
      </w:r>
      <w:r>
        <w:rPr>
          <w:rFonts w:ascii="宋体" w:hAnsi="宋体" w:cs="宋体" w:eastAsia="宋体" w:hint="ascii"/>
        </w:rPr>
        <w:t>职称</w:t>
      </w:r>
      <w:r>
        <w:rPr>
          <w:rFonts w:ascii="宋体" w:hAnsi="宋体" w:cs="宋体" w:eastAsia="宋体" w:hint="ascii"/>
          <w:spacing w:val="-58"/>
        </w:rPr>
        <w:t>）</w:t>
      </w:r>
      <w:r>
        <w:rPr>
          <w:rFonts w:ascii="宋体" w:hAnsi="宋体" w:cs="宋体" w:eastAsia="宋体" w:hint="ascii"/>
        </w:rPr>
        <w:t>、较高的学术造诣和国际影响力，申请当年</w:t>
      </w:r>
      <w:r>
        <w:rPr>
          <w:rFonts w:ascii="宋体" w:hAnsi="宋体" w:cs="宋体" w:eastAsia="宋体" w:hint="ascii"/>
          <w:spacing w:val="-28"/>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28"/>
        </w:rPr>
        <w:t xml:space="preserve"> </w:t>
      </w:r>
      <w:r>
        <w:rPr>
          <w:rFonts w:ascii="宋体" w:hAnsi="宋体" w:cs="宋体" w:eastAsia="宋体" w:hint="ascii"/>
        </w:rPr>
        <w:t>月</w:t>
      </w:r>
      <w:r>
        <w:rPr>
          <w:rFonts w:ascii="宋体" w:hAnsi="宋体" w:cs="宋体" w:eastAsia="宋体" w:hint="ascii"/>
          <w:spacing w:val="-28"/>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28"/>
        </w:rPr>
        <w:t xml:space="preserve"> </w:t>
      </w:r>
      <w:r>
        <w:rPr>
          <w:rFonts w:ascii="宋体" w:hAnsi="宋体" w:cs="宋体" w:eastAsia="宋体" w:hint="ascii"/>
        </w:rPr>
        <w:t>日未满</w:t>
      </w:r>
      <w:r>
        <w:rPr>
          <w:rFonts w:ascii="宋体" w:hAnsi="宋体" w:cs="宋体" w:eastAsia="宋体" w:hint="ascii"/>
          <w:spacing w:val="-28"/>
        </w:rPr>
        <w:t xml:space="preserve"> </w:t>
      </w:r>
      <w:r>
        <w:rPr>
          <w:rFonts w:ascii="Times New Roman" w:hAnsi="Times New Roman" w:cs="Times New Roman" w:eastAsia="Times New Roman" w:hint="ascii"/>
        </w:rPr>
        <w:t>55</w:t>
      </w:r>
      <w:r>
        <w:rPr>
          <w:rFonts w:ascii="Times New Roman" w:hAnsi="Times New Roman" w:cs="Times New Roman" w:eastAsia="Times New Roman" w:hint="ascii"/>
          <w:spacing w:val="-28"/>
        </w:rPr>
        <w:t xml:space="preserve"> </w:t>
      </w:r>
      <w:r>
        <w:rPr>
          <w:rFonts w:ascii="宋体" w:hAnsi="宋体" w:cs="宋体" w:eastAsia="宋体" w:hint="ascii"/>
        </w:rPr>
        <w:t>周岁</w:t>
      </w:r>
      <w:r>
        <w:rPr>
          <w:rFonts w:ascii="宋体" w:hAnsi="宋体" w:cs="宋体" w:eastAsia="宋体" w:hint="ascii"/>
          <w:spacing w:val="-28"/>
        </w:rPr>
        <w:t xml:space="preserve"> </w:t>
      </w:r>
      <w:r>
        <w:rPr>
          <w:rFonts w:ascii="Times New Roman" w:hAnsi="Times New Roman" w:cs="Times New Roman" w:eastAsia="Times New Roman" w:hint="ascii"/>
        </w:rPr>
        <w:t xml:space="preserve">[ 1963 </w:t>
      </w:r>
      <w:r>
        <w:rPr>
          <w:rFonts w:ascii="宋体" w:hAnsi="宋体" w:cs="宋体" w:eastAsia="宋体" w:hint="ascii"/>
          <w:spacing w:val="30"/>
        </w:rPr>
        <w:t>年</w:t>
      </w:r>
      <w:r>
        <w:rPr>
          <w:rFonts w:ascii="Times New Roman" w:hAnsi="Times New Roman" w:cs="Times New Roman" w:eastAsia="Times New Roman" w:hint="ascii"/>
          <w:spacing w:val="60"/>
        </w:rPr>
        <w:t>1</w:t>
      </w:r>
      <w:r>
        <w:rPr>
          <w:rFonts w:ascii="宋体" w:hAnsi="宋体" w:cs="宋体" w:eastAsia="宋体" w:hint="ascii"/>
          <w:spacing w:val="30"/>
        </w:rPr>
        <w:t>月</w:t>
      </w:r>
      <w:r>
        <w:rPr>
          <w:rFonts w:ascii="Times New Roman" w:hAnsi="Times New Roman" w:cs="Times New Roman" w:eastAsia="Times New Roman" w:hint="ascii"/>
          <w:spacing w:val="60"/>
        </w:rPr>
        <w:t>1</w:t>
      </w:r>
      <w:r>
        <w:rPr>
          <w:rFonts w:ascii="宋体" w:hAnsi="宋体" w:cs="宋体" w:eastAsia="宋体" w:hint="ascii"/>
        </w:rPr>
        <w:t>日（含）以后出生</w:t>
      </w:r>
      <w:r>
        <w:rPr>
          <w:rFonts w:ascii="Times New Roman" w:hAnsi="Times New Roman" w:cs="Times New Roman" w:eastAsia="Times New Roman" w:hint="ascii"/>
        </w:rPr>
        <w:t>]</w:t>
      </w:r>
      <w:r>
        <w:rPr>
          <w:rFonts w:ascii="宋体" w:hAnsi="宋体" w:cs="宋体" w:eastAsia="宋体" w:hint="ascii"/>
        </w:rPr>
        <w:t>；</w:t>
      </w:r>
    </w:p>
    <w:p>
      <w:pPr>
        <w:autoSpaceDE w:val="0"/>
        <w:autoSpaceDN w:val="0"/>
        <w:jc w:val="left"/>
        <w:spacing w:before="43"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5</w:t>
      </w:r>
      <w:r>
        <w:rPr>
          <w:rFonts w:ascii="宋体" w:hAnsi="宋体" w:cs="宋体" w:eastAsia="宋体" w:hint="ascii"/>
        </w:rPr>
        <w:t>）研究骨干作为参与者，应当具有高级专业技术职务（职称）或博士</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学位；</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6</w:t>
      </w:r>
      <w:r>
        <w:rPr>
          <w:rFonts w:ascii="宋体" w:hAnsi="宋体" w:cs="宋体" w:eastAsia="宋体" w:hint="ascii"/>
        </w:rPr>
        <w:t>）项目申请人和参与者应当属于同一依托单位。</w:t>
      </w:r>
    </w:p>
    <w:p>
      <w:pPr>
        <w:autoSpaceDE w:val="0"/>
        <w:autoSpaceDN w:val="0"/>
        <w:jc w:val="both"/>
        <w:spacing w:before="10" w:after="0" w:lineRule="exact" w:line="356"/>
        <w:ind w:right="963" w:left="966" w:firstLine="480"/>
        <w:snapToGrid w:val="0"/>
        <w:textAlignment w:val="auto"/>
        <w:tabs/>
        <w:rPr>
          <w:rFonts w:ascii="宋体" w:hAnsi="宋体" w:cs="宋体" w:eastAsia="宋体" w:hint="ascii"/>
        </w:rPr>
      </w:pPr>
      <w:r>
        <w:rPr>
          <w:rFonts w:ascii="宋体" w:hAnsi="宋体" w:cs="宋体" w:eastAsia="宋体" w:hint="ascii"/>
        </w:rPr>
        <w:t>作为项目负责人承担过创新研究群体项目的，不得作为申请人提出</w:t>
      </w:r>
      <w:r>
        <w:rPr>
          <w:rFonts w:ascii="宋体" w:hAnsi="宋体" w:cs="宋体" w:eastAsia="宋体" w:hint="ascii"/>
          <w:spacing w:val="-8"/>
        </w:rPr>
        <w:t>申</w:t>
      </w:r>
      <w:r>
        <w:rPr>
          <w:rFonts w:ascii="宋体" w:hAnsi="宋体" w:cs="宋体" w:eastAsia="宋体" w:hint="ascii"/>
        </w:rPr>
        <w:t xml:space="preserve"> 请。正在承担创新研究群体项目的项目负责人和具有高级专业技术职务（职称）的参与者不得申请或者参与申请。退出创新研究群体项目的参与者</w:t>
      </w:r>
      <w:r>
        <w:rPr>
          <w:rFonts w:ascii="宋体" w:hAnsi="宋体" w:cs="宋体" w:eastAsia="宋体" w:hint="ascii"/>
          <w:spacing w:val="-30"/>
        </w:rPr>
        <w:t xml:space="preserve"> </w:t>
      </w:r>
      <w:r>
        <w:rPr>
          <w:rFonts w:ascii="Times New Roman" w:hAnsi="Times New Roman" w:cs="Times New Roman" w:eastAsia="Times New Roman" w:hint="ascii"/>
        </w:rPr>
        <w:t>2</w:t>
      </w:r>
      <w:r>
        <w:rPr>
          <w:rFonts w:ascii="Times New Roman" w:hAnsi="Times New Roman" w:cs="Times New Roman" w:eastAsia="Times New Roman" w:hint="ascii"/>
          <w:spacing w:val="-30"/>
        </w:rPr>
        <w:t xml:space="preserve"> </w:t>
      </w:r>
      <w:r>
        <w:rPr>
          <w:rFonts w:ascii="宋体" w:hAnsi="宋体" w:cs="宋体" w:eastAsia="宋体" w:hint="ascii"/>
        </w:rPr>
        <w:t>年内不得申请或者参与申请。</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具有高级专业技术职务（职称）的人员，同年申请或者参与申请创新研</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究群体项目不得超</w:t>
      </w:r>
      <w:r>
        <w:rPr>
          <w:rFonts w:ascii="宋体" w:hAnsi="宋体" w:cs="宋体" w:eastAsia="宋体" w:hint="ascii"/>
          <w:spacing w:val="30"/>
        </w:rPr>
        <w:t>过</w:t>
      </w:r>
      <w:r>
        <w:rPr>
          <w:rFonts w:ascii="Times New Roman" w:hAnsi="Times New Roman" w:cs="Times New Roman" w:eastAsia="Times New Roman" w:hint="ascii"/>
          <w:spacing w:val="60"/>
        </w:rPr>
        <w:t>1</w:t>
      </w:r>
      <w:r>
        <w:rPr>
          <w:rFonts w:ascii="宋体" w:hAnsi="宋体" w:cs="宋体" w:eastAsia="宋体" w:hint="ascii"/>
        </w:rPr>
        <w:t>项。</w:t>
      </w:r>
    </w:p>
    <w:p>
      <w:pPr>
        <w:autoSpaceDE w:val="0"/>
        <w:autoSpaceDN w:val="0"/>
        <w:jc w:val="left"/>
        <w:spacing w:before="5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注意事项：</w:t>
      </w:r>
    </w:p>
    <w:p>
      <w:pPr>
        <w:autoSpaceDE w:val="0"/>
        <w:autoSpaceDN w:val="0"/>
        <w:jc w:val="both"/>
        <w:spacing w:before="11" w:after="0" w:lineRule="exact" w:line="356"/>
        <w:ind w:right="963" w:left="966" w:firstLine="480"/>
        <w:snapToGrid w:val="0"/>
        <w:textAlignment w:val="auto"/>
        <w:tabs/>
        <w:rPr>
          <w:rFonts w:ascii="宋体" w:hAnsi="宋体" w:cs="宋体" w:eastAsia="宋体" w:hint="ascii"/>
          <w:b w:val="1"/>
        </w:rPr>
      </w:pPr>
      <w:r>
        <w:rPr>
          <w:rFonts w:ascii="宋体" w:hAnsi="宋体" w:cs="宋体" w:eastAsia="宋体" w:hint="ascii"/>
        </w:rPr>
        <w:t>为进一步简化申请材料及管理工作程序，</w:t>
      </w:r>
      <w:r>
        <w:rPr>
          <w:rFonts w:ascii="宋体" w:hAnsi="宋体" w:cs="宋体" w:eastAsia="宋体" w:hint="ascii"/>
          <w:spacing w:val="-3"/>
        </w:rPr>
        <w:t>从</w:t>
      </w:r>
      <w:r>
        <w:rPr>
          <w:rFonts w:ascii="宋体" w:hAnsi="宋体" w:cs="宋体" w:eastAsia="宋体" w:hint="ascii"/>
          <w:spacing w:val="-30"/>
        </w:rPr>
        <w:t xml:space="preserve"> </w:t>
      </w:r>
      <w:r>
        <w:rPr>
          <w:rFonts w:ascii="Times New Roman" w:hAnsi="Times New Roman" w:cs="Times New Roman" w:eastAsia="Times New Roman" w:hint="ascii"/>
        </w:rPr>
        <w:t>2017</w:t>
      </w:r>
      <w:r>
        <w:rPr>
          <w:rFonts w:ascii="Times New Roman" w:hAnsi="Times New Roman" w:cs="Times New Roman" w:eastAsia="Times New Roman" w:hint="ascii"/>
          <w:spacing w:val="-30"/>
        </w:rPr>
        <w:t xml:space="preserve"> </w:t>
      </w:r>
      <w:r>
        <w:rPr>
          <w:rFonts w:ascii="宋体" w:hAnsi="宋体" w:cs="宋体" w:eastAsia="宋体" w:hint="ascii"/>
        </w:rPr>
        <w:t>年起申请项目时不</w:t>
      </w:r>
      <w:r>
        <w:rPr>
          <w:rFonts w:ascii="宋体" w:hAnsi="宋体" w:cs="宋体" w:eastAsia="宋体" w:hint="ascii"/>
          <w:spacing w:val="-6"/>
        </w:rPr>
        <w:t>再</w:t>
      </w:r>
      <w:r>
        <w:rPr>
          <w:rFonts w:ascii="宋体" w:hAnsi="宋体" w:cs="宋体" w:eastAsia="宋体" w:hint="ascii"/>
        </w:rPr>
        <w:t>要求提交单位推荐意见，</w:t>
      </w:r>
      <w:r>
        <w:rPr>
          <w:rFonts w:ascii="宋体" w:hAnsi="宋体" w:cs="宋体" w:eastAsia="宋体" w:hint="ascii"/>
        </w:rPr>
        <w:t>但仍需提交学术委员会或专家组推荐意见</w:t>
      </w:r>
      <w:r>
        <w:rPr>
          <w:rFonts w:ascii="宋体" w:hAnsi="宋体" w:cs="宋体" w:eastAsia="宋体" w:hint="ascii"/>
          <w:b w:val="1"/>
        </w:rPr>
        <w:t>。</w:t>
      </w:r>
    </w:p>
    <w:p>
      <w:pPr>
        <w:autoSpaceDE w:val="0"/>
        <w:autoSpaceDN w:val="0"/>
        <w:jc w:val="left"/>
        <w:spacing w:before="44" w:after="0" w:lineRule="auto" w:line="240"/>
        <w:ind w:right="0" w:left="966" w:firstLine="480"/>
        <w:snapToGrid w:val="0"/>
        <w:textAlignment w:val="auto"/>
        <w:tabs>
          <w:tab w:val="left" w:leader="none" w:pos="1990"/>
        </w:tabs>
        <w:numPr>
          <w:ilvl w:val="0"/>
          <w:numId w:val="289"/>
        </w:numPr>
        <w:rPr>
          <w:rFonts w:ascii="Times New Roman" w:hAnsi="Times New Roman" w:cs="Times New Roman" w:eastAsia="Times New Roman" w:hint="ascii"/>
        </w:rPr>
      </w:pPr>
      <w:r>
        <w:rPr>
          <w:rFonts w:ascii="宋体" w:hAnsi="宋体" w:cs="宋体" w:eastAsia="宋体" w:hint="ascii"/>
        </w:rPr>
        <w:t>年度创新研究群体项目共接收申请</w:t>
      </w:r>
      <w:r>
        <w:rPr>
          <w:rFonts w:ascii="宋体" w:hAnsi="宋体" w:cs="宋体" w:eastAsia="宋体" w:hint="ascii"/>
          <w:spacing w:val="-28"/>
        </w:rPr>
        <w:t xml:space="preserve"> </w:t>
      </w:r>
      <w:r>
        <w:rPr>
          <w:rFonts w:ascii="Times New Roman" w:hAnsi="Times New Roman" w:cs="Times New Roman" w:eastAsia="Times New Roman" w:hint="ascii"/>
        </w:rPr>
        <w:t>256</w:t>
      </w:r>
      <w:r>
        <w:rPr>
          <w:rFonts w:ascii="Times New Roman" w:hAnsi="Times New Roman" w:cs="Times New Roman" w:eastAsia="Times New Roman" w:hint="ascii"/>
          <w:spacing w:val="-28"/>
        </w:rPr>
        <w:t xml:space="preserve"> </w:t>
      </w:r>
      <w:r>
        <w:rPr>
          <w:rFonts w:ascii="宋体" w:hAnsi="宋体" w:cs="宋体" w:eastAsia="宋体" w:hint="ascii"/>
        </w:rPr>
        <w:t>项，资助</w:t>
      </w:r>
      <w:r>
        <w:rPr>
          <w:rFonts w:ascii="宋体" w:hAnsi="宋体" w:cs="宋体" w:eastAsia="宋体" w:hint="ascii"/>
          <w:spacing w:val="-28"/>
        </w:rPr>
        <w:t xml:space="preserve"> </w:t>
      </w:r>
      <w:r>
        <w:rPr>
          <w:rFonts w:ascii="Times New Roman" w:hAnsi="Times New Roman" w:cs="Times New Roman" w:eastAsia="Times New Roman" w:hint="ascii"/>
        </w:rPr>
        <w:t>38</w:t>
      </w:r>
      <w:r>
        <w:rPr>
          <w:rFonts w:ascii="Times New Roman" w:hAnsi="Times New Roman" w:cs="Times New Roman" w:eastAsia="Times New Roman" w:hint="ascii"/>
          <w:spacing w:val="-28"/>
        </w:rPr>
        <w:t xml:space="preserve"> </w:t>
      </w:r>
      <w:r>
        <w:rPr>
          <w:rFonts w:ascii="宋体" w:hAnsi="宋体" w:cs="宋体" w:eastAsia="宋体" w:hint="ascii"/>
        </w:rPr>
        <w:t>项，资助直接</w:t>
      </w:r>
    </w:p>
    <w:p>
      <w:pPr>
        <w:autoSpaceDE w:val="0"/>
        <w:autoSpaceDN w:val="0"/>
        <w:jc w:val="left"/>
        <w:spacing w:before="64"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费</w:t>
      </w:r>
      <w:r>
        <w:rPr>
          <w:rFonts w:ascii="宋体" w:hAnsi="宋体" w:cs="宋体" w:eastAsia="宋体" w:hint="ascii"/>
          <w:spacing w:val="30"/>
        </w:rPr>
        <w:t>用</w:t>
      </w:r>
      <w:r>
        <w:rPr>
          <w:rFonts w:ascii="Times New Roman" w:hAnsi="Times New Roman" w:cs="Times New Roman" w:eastAsia="Times New Roman" w:hint="ascii"/>
        </w:rPr>
        <w:t>38 95</w:t>
      </w:r>
      <w:r>
        <w:rPr>
          <w:rFonts w:ascii="Times New Roman" w:hAnsi="Times New Roman" w:cs="Times New Roman" w:eastAsia="Times New Roman" w:hint="ascii"/>
          <w:spacing w:val="60"/>
        </w:rPr>
        <w:t>5</w:t>
      </w:r>
      <w:r>
        <w:rPr>
          <w:rFonts w:ascii="宋体" w:hAnsi="宋体" w:cs="宋体" w:eastAsia="宋体" w:hint="ascii"/>
        </w:rPr>
        <w:t>万元。</w:t>
      </w:r>
    </w:p>
    <w:p>
      <w:pPr>
        <w:autoSpaceDE w:val="0"/>
        <w:autoSpaceDN w:val="0"/>
        <w:jc w:val="both"/>
        <w:spacing w:before="12" w:after="0" w:lineRule="exact" w:line="355"/>
        <w:ind w:right="963" w:left="966" w:firstLine="480"/>
        <w:snapToGrid w:val="0"/>
        <w:textAlignment w:val="auto"/>
        <w:tabs>
          <w:tab w:val="left" w:leader="none" w:pos="1990"/>
        </w:tabs>
        <w:numPr>
          <w:ilvl w:val="0"/>
          <w:numId w:val="289"/>
        </w:numPr>
        <w:rPr>
          <w:rFonts w:ascii="Times New Roman" w:hAnsi="Times New Roman" w:cs="Times New Roman" w:eastAsia="Times New Roman" w:hint="ascii"/>
        </w:rPr>
      </w:pPr>
      <w:r>
        <w:rPr>
          <w:rFonts w:ascii="宋体" w:hAnsi="宋体" w:cs="宋体" w:eastAsia="宋体" w:hint="ascii"/>
        </w:rPr>
        <w:t>年度创新研究群体项目计划资</w:t>
      </w:r>
      <w:r>
        <w:rPr>
          <w:rFonts w:ascii="宋体" w:hAnsi="宋体" w:cs="宋体" w:eastAsia="宋体" w:hint="ascii"/>
          <w:spacing w:val="-2"/>
        </w:rPr>
        <w:t>助</w:t>
      </w:r>
      <w:r>
        <w:rPr>
          <w:rFonts w:ascii="宋体" w:hAnsi="宋体" w:cs="宋体" w:eastAsia="宋体" w:hint="ascii"/>
          <w:spacing w:val="-30"/>
        </w:rPr>
        <w:t xml:space="preserve"> </w:t>
      </w:r>
      <w:r>
        <w:rPr>
          <w:rFonts w:ascii="Times New Roman" w:hAnsi="Times New Roman" w:cs="Times New Roman" w:eastAsia="Times New Roman" w:hint="ascii"/>
        </w:rPr>
        <w:t>38</w:t>
      </w:r>
      <w:r>
        <w:rPr>
          <w:rFonts w:ascii="Times New Roman" w:hAnsi="Times New Roman" w:cs="Times New Roman" w:eastAsia="Times New Roman" w:hint="ascii"/>
          <w:spacing w:val="-30"/>
        </w:rPr>
        <w:t xml:space="preserve"> </w:t>
      </w:r>
      <w:r>
        <w:rPr>
          <w:rFonts w:ascii="宋体" w:hAnsi="宋体" w:cs="宋体" w:eastAsia="宋体" w:hint="ascii"/>
        </w:rPr>
        <w:t>项，资助期限</w:t>
      </w:r>
      <w:r>
        <w:rPr>
          <w:rFonts w:ascii="宋体" w:hAnsi="宋体" w:cs="宋体" w:eastAsia="宋体" w:hint="ascii"/>
          <w:spacing w:val="-2"/>
        </w:rPr>
        <w:t>为</w:t>
      </w:r>
      <w:r>
        <w:rPr>
          <w:rFonts w:ascii="宋体" w:hAnsi="宋体" w:cs="宋体" w:eastAsia="宋体" w:hint="ascii"/>
          <w:spacing w:val="-30"/>
        </w:rPr>
        <w:t xml:space="preserve"> </w:t>
      </w:r>
      <w:r>
        <w:rPr>
          <w:rFonts w:ascii="Times New Roman" w:hAnsi="Times New Roman" w:cs="Times New Roman" w:eastAsia="Times New Roman" w:hint="ascii"/>
        </w:rPr>
        <w:t>6</w:t>
      </w:r>
      <w:r>
        <w:rPr>
          <w:rFonts w:ascii="Times New Roman" w:hAnsi="Times New Roman" w:cs="Times New Roman" w:eastAsia="Times New Roman" w:hint="ascii"/>
          <w:spacing w:val="-30"/>
        </w:rPr>
        <w:t xml:space="preserve"> </w:t>
      </w:r>
      <w:r>
        <w:rPr>
          <w:rFonts w:ascii="宋体" w:hAnsi="宋体" w:cs="宋体" w:eastAsia="宋体" w:hint="ascii"/>
        </w:rPr>
        <w:t>年，直接</w:t>
      </w:r>
      <w:r>
        <w:rPr>
          <w:rFonts w:ascii="宋体" w:hAnsi="宋体" w:cs="宋体" w:eastAsia="宋体" w:hint="ascii"/>
          <w:spacing w:val="-4"/>
        </w:rPr>
        <w:t>费</w:t>
      </w:r>
      <w:r>
        <w:rPr>
          <w:rFonts w:ascii="宋体" w:hAnsi="宋体" w:cs="宋体" w:eastAsia="宋体" w:hint="ascii"/>
        </w:rPr>
        <w:t xml:space="preserve"> 用资助强度</w:t>
      </w:r>
      <w:r>
        <w:rPr>
          <w:rFonts w:ascii="宋体" w:hAnsi="宋体" w:cs="宋体" w:eastAsia="宋体" w:hint="ascii"/>
          <w:spacing w:val="30"/>
        </w:rPr>
        <w:t>为</w:t>
      </w:r>
      <w:r>
        <w:rPr>
          <w:rFonts w:ascii="Times New Roman" w:hAnsi="Times New Roman" w:cs="Times New Roman" w:eastAsia="Times New Roman" w:hint="ascii"/>
        </w:rPr>
        <w:t>1 05</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项（数学和管理科学</w:t>
      </w:r>
      <w:r>
        <w:rPr>
          <w:rFonts w:ascii="宋体" w:hAnsi="宋体" w:cs="宋体" w:eastAsia="宋体" w:hint="ascii"/>
          <w:spacing w:val="30"/>
        </w:rPr>
        <w:t>为</w:t>
      </w:r>
      <w:r>
        <w:rPr>
          <w:rFonts w:ascii="Times New Roman" w:hAnsi="Times New Roman" w:cs="Times New Roman" w:eastAsia="Times New Roman" w:hint="ascii"/>
        </w:rPr>
        <w:t>73</w:t>
      </w:r>
      <w:r>
        <w:rPr>
          <w:rFonts w:ascii="Times New Roman" w:hAnsi="Times New Roman" w:cs="Times New Roman" w:eastAsia="Times New Roman" w:hint="ascii"/>
          <w:spacing w:val="60"/>
        </w:rPr>
        <w:t>5</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607"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0" w:lineRule="auto" w:line="240"/>
        <w:ind w:right="0" w:left="3231"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6"/>
        </w:rPr>
        <w:t>7</w:t>
      </w:r>
      <w:r>
        <w:rPr>
          <w:rFonts w:ascii="宋体" w:hAnsi="宋体" w:cs="宋体" w:eastAsia="宋体" w:hint="ascii"/>
          <w:sz w:val="18"/>
        </w:rPr>
        <w:t>年度创新研究群体项目申请与资助情况</w:t>
      </w:r>
      <w:r>
        <w:rPr>
          <w:rFonts w:ascii="宋体" w:hAnsi="宋体" w:cs="宋体" w:eastAsia="宋体" w:hint="ascii"/>
          <w:sz w:val="18"/>
        </w:rPr>
        <mc:AlternateContent>
          <mc:Choice Requires="wps">
            <w:drawing>
              <wp:anchor distL="0" distR="0" distT="0" distB="0" simplePos="0" behindDoc="1" relativeHeight="227" locked="0" layoutInCell="1" allowOverlap="1">
                <wp:simplePos x="0" y="0"/>
                <wp:positionH relativeFrom="page">
                  <wp:posOffset>938530</wp:posOffset>
                </wp:positionH>
                <wp:positionV relativeFrom="page">
                  <wp:posOffset>805815</wp:posOffset>
                </wp:positionV>
                <wp:extent cx="5076190" cy="0"/>
                <wp:wrapNone/>
                <wp:docPr id="1256" name="125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25792;width:399.70pt;" id="125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3"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2267"/>
        <w:gridCol w:w="1417"/>
        <w:gridCol w:w="1191"/>
        <w:gridCol w:w="1361"/>
        <w:gridCol w:w="1756"/>
      </w:tblGrid>
      <w:tr>
        <w:trPr>
          <w:trHeight w:val="300" w:hRule="exact"/>
          <w:cantSplit w:val="1"/>
        </w:trPr>
        <w:tc>
          <w:tcPr>
            <w:tcW w:w="2267" w:type="dxa"/>
            <w:gridSpan w:val="1"/>
            <w:vAlign w:val="top"/>
            <w:vMerge w:val="restart"/>
            <w:tcMar/>
            <w:tcBorders/>
          </w:tcPr>
          <w:p>
            <w:pPr>
              <w:autoSpaceDE w:val="0"/>
              <w:autoSpaceDN w:val="0"/>
              <w:jc w:val="left"/>
              <w:spacing w:before="193" w:after="0" w:lineRule="exact" w:line="188"/>
              <w:ind w:right="0" w:left="898" w:firstLine="0"/>
              <w:snapToGrid w:val="0"/>
              <w:textAlignment w:val="auto"/>
              <w:tabs/>
              <w:rPr>
                <w:rFonts w:ascii="宋体" w:hAnsi="宋体" w:cs="宋体" w:eastAsia="宋体" w:hint="ascii"/>
                <w:sz w:val="15"/>
              </w:rPr>
            </w:pPr>
            <w:r>
              <w:rPr>
                <w:rFonts w:ascii="宋体" w:hAnsi="宋体" w:cs="宋体" w:eastAsia="宋体" w:hint="ascii"/>
                <w:sz w:val="15"/>
              </w:rPr>
              <w:t>科学部</w:t>
            </w:r>
          </w:p>
        </w:tc>
        <w:tc>
          <w:tcPr>
            <w:tcW w:w="1417" w:type="dxa"/>
            <w:gridSpan w:val="1"/>
            <w:vAlign w:val="top"/>
            <w:vMerge w:val="restart"/>
            <w:tcMar/>
            <w:tcBorders>
              <w:left w:val="single" w:sz="4" w:space="0" w:color="000000"/>
            </w:tcBorders>
          </w:tcPr>
          <w:p>
            <w:pPr>
              <w:autoSpaceDE w:val="0"/>
              <w:autoSpaceDN w:val="0"/>
              <w:jc w:val="left"/>
              <w:spacing w:before="193" w:after="0" w:lineRule="exact" w:line="188"/>
              <w:ind w:right="0" w:left="404" w:firstLine="0"/>
              <w:snapToGrid w:val="0"/>
              <w:textAlignment w:val="auto"/>
              <w:tabs/>
              <w:rPr>
                <w:rFonts w:ascii="宋体" w:hAnsi="宋体" w:cs="宋体" w:eastAsia="宋体" w:hint="ascii"/>
                <w:sz w:val="15"/>
              </w:rPr>
            </w:pPr>
            <w:r>
              <w:rPr>
                <w:rFonts w:ascii="宋体" w:hAnsi="宋体" w:cs="宋体" w:eastAsia="宋体" w:hint="ascii"/>
                <w:sz w:val="15"/>
              </w:rPr>
              <w:t>申请项数</w:t>
            </w:r>
          </w:p>
        </w:tc>
        <w:tc>
          <w:tcPr>
            <w:tcW w:w="2552" w:type="dxa"/>
            <w:gridSpan w:val="2"/>
            <w:vAlign w:val="top"/>
            <w:tcMar/>
            <w:tcBorders>
              <w:left w:val="single" w:sz="4" w:space="0" w:color="000000"/>
            </w:tcBorders>
          </w:tcPr>
          <w:p>
            <w:pPr>
              <w:autoSpaceDE w:val="0"/>
              <w:autoSpaceDN w:val="0"/>
              <w:jc w:val="left"/>
              <w:spacing w:before="45" w:after="0" w:lineRule="exact" w:line="188"/>
              <w:ind w:right="0" w:left="972" w:firstLine="0"/>
              <w:snapToGrid w:val="0"/>
              <w:textAlignment w:val="auto"/>
              <w:tabs/>
              <w:rPr>
                <w:rFonts w:ascii="宋体" w:hAnsi="宋体" w:cs="宋体" w:eastAsia="宋体" w:hint="ascii"/>
                <w:sz w:val="15"/>
              </w:rPr>
            </w:pPr>
            <w:r>
              <w:rPr>
                <w:rFonts w:ascii="宋体" w:hAnsi="宋体" w:cs="宋体" w:eastAsia="宋体" w:hint="ascii"/>
                <w:sz w:val="15"/>
              </w:rPr>
              <w:t>批准资助</w:t>
            </w:r>
          </w:p>
        </w:tc>
        <w:tc>
          <w:tcPr>
            <w:tcW w:w="1756" w:type="dxa"/>
            <w:gridSpan w:val="1"/>
            <w:vAlign w:val="top"/>
            <w:vMerge w:val="restart"/>
            <w:tcMar/>
            <w:tcBorders>
              <w:left w:val="single" w:sz="4" w:space="0" w:color="000000"/>
              <w:right w:val="single" w:sz="8" w:space="0" w:color="000000"/>
            </w:tcBorders>
          </w:tcPr>
          <w:p>
            <w:pPr>
              <w:autoSpaceDE w:val="0"/>
              <w:autoSpaceDN w:val="0"/>
              <w:jc w:val="left"/>
              <w:spacing w:before="193" w:after="0" w:lineRule="exact" w:line="188"/>
              <w:ind w:right="0" w:left="434" w:firstLine="0"/>
              <w:snapToGrid w:val="0"/>
              <w:textAlignment w:val="auto"/>
              <w:tabs/>
              <w:rPr>
                <w:rFonts w:ascii="宋体" w:hAnsi="宋体" w:cs="宋体" w:eastAsia="宋体" w:hint="ascii"/>
                <w:sz w:val="15"/>
              </w:rPr>
            </w:pPr>
            <w:r>
              <w:rPr>
                <w:rFonts w:ascii="宋体" w:hAnsi="宋体" w:cs="宋体" w:eastAsia="宋体" w:hint="ascii"/>
                <w:sz w:val="15"/>
              </w:rPr>
              <w:t>资助率（</w:t>
            </w:r>
            <w:r>
              <w:rPr>
                <w:rFonts w:ascii="Times New Roman" w:hAnsi="Times New Roman" w:cs="Times New Roman" w:eastAsia="Times New Roman" w:hint="ascii"/>
                <w:sz w:val="15"/>
              </w:rPr>
              <w:t>%</w:t>
            </w:r>
            <w:r>
              <w:rPr>
                <w:rFonts w:ascii="宋体" w:hAnsi="宋体" w:cs="宋体" w:eastAsia="宋体" w:hint="ascii"/>
                <w:sz w:val="15"/>
              </w:rPr>
              <w:t>）</w:t>
            </w:r>
          </w:p>
        </w:tc>
      </w:tr>
      <w:tr>
        <w:trPr>
          <w:trHeight w:val="294" w:hRule="exact"/>
          <w:cantSplit w:val="1"/>
        </w:trPr>
        <w:tc>
          <w:tcPr>
            <w:tcW w:w="2267" w:type="dxa"/>
            <w:gridSpan w:val="1"/>
            <w:vAlign w:val="top"/>
            <w:vMerge w:val="continue"/>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1417" w:type="dxa"/>
            <w:gridSpan w:val="1"/>
            <w:vAlign w:val="top"/>
            <w:vMerge w:val="continue"/>
            <w:tcMar/>
            <w:tcBorders>
              <w:left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1191"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441" w:firstLine="0"/>
              <w:snapToGrid w:val="0"/>
              <w:textAlignment w:val="auto"/>
              <w:tabs/>
              <w:rPr>
                <w:rFonts w:ascii="宋体" w:hAnsi="宋体" w:cs="宋体" w:eastAsia="宋体" w:hint="ascii"/>
                <w:sz w:val="15"/>
              </w:rPr>
            </w:pPr>
            <w:r>
              <w:rPr>
                <w:rFonts w:ascii="宋体" w:hAnsi="宋体" w:cs="宋体" w:eastAsia="宋体" w:hint="ascii"/>
                <w:sz w:val="15"/>
              </w:rPr>
              <w:t>项数</w:t>
            </w:r>
          </w:p>
        </w:tc>
        <w:tc>
          <w:tcPr>
            <w:tcW w:w="1361" w:type="dxa"/>
            <w:gridSpan w:val="1"/>
            <w:vAlign w:val="top"/>
            <w:tcMar/>
            <w:tcBorders>
              <w:left w:val="single" w:sz="4" w:space="0" w:color="000000"/>
              <w:top w:val="single" w:sz="4" w:space="0" w:color="000000"/>
            </w:tcBorders>
          </w:tcPr>
          <w:p>
            <w:pPr>
              <w:autoSpaceDE w:val="0"/>
              <w:autoSpaceDN w:val="0"/>
              <w:jc w:val="left"/>
              <w:spacing w:before="44" w:after="0" w:lineRule="exact" w:line="188"/>
              <w:ind w:right="0" w:left="375"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1756" w:type="dxa"/>
            <w:gridSpan w:val="1"/>
            <w:vAlign w:val="top"/>
            <w:vMerge w:val="continue"/>
            <w:tcMar/>
            <w:tcBorders>
              <w:left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r>
      <w:tr>
        <w:trPr>
          <w:trHeight w:val="294"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748"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tab w:val="left" w:leader="none" w:pos="661"/>
              </w:tabs>
              <w:numPr>
                <w:ilvl w:val="0"/>
                <w:numId w:val="290"/>
              </w:numPr>
              <w:rPr>
                <w:rFonts w:ascii="Times New Roman" w:hAnsi="Times New Roman" w:cs="Times New Roman" w:eastAsia="Times New Roman" w:hint="ascii"/>
                <w:sz w:val="15"/>
              </w:rPr>
            </w:pPr>
            <w:r>
              <w:rPr>
                <w:rFonts w:ascii="Times New Roman" w:hAnsi="Times New Roman" w:cs="Times New Roman" w:eastAsia="Times New Roman" w:hint="ascii"/>
                <w:sz w:val="15"/>
              </w:rPr>
              <w:t>935</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15.15</w:t>
            </w:r>
          </w:p>
        </w:tc>
      </w:tr>
      <w:tr>
        <w:trPr>
          <w:trHeight w:val="295"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748"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29</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tab w:val="left" w:leader="none" w:pos="661"/>
              </w:tabs>
              <w:numPr>
                <w:ilvl w:val="0"/>
                <w:numId w:val="290"/>
              </w:numPr>
              <w:rPr>
                <w:rFonts w:ascii="Times New Roman" w:hAnsi="Times New Roman" w:cs="Times New Roman" w:eastAsia="Times New Roman" w:hint="ascii"/>
                <w:sz w:val="15"/>
              </w:rPr>
            </w:pPr>
            <w:r>
              <w:rPr>
                <w:rFonts w:ascii="Times New Roman" w:hAnsi="Times New Roman" w:cs="Times New Roman" w:eastAsia="Times New Roman" w:hint="ascii"/>
                <w:sz w:val="15"/>
              </w:rPr>
              <w:t xml:space="preserve"> </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5 250</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17.24</w:t>
            </w:r>
          </w:p>
        </w:tc>
      </w:tr>
      <w:tr>
        <w:trPr>
          <w:trHeight w:val="294"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748"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34</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5 250</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14.71</w:t>
            </w:r>
          </w:p>
        </w:tc>
      </w:tr>
      <w:tr>
        <w:trPr>
          <w:trHeight w:val="295"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748"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tab w:val="left" w:leader="none" w:pos="661"/>
              </w:tabs>
              <w:numPr>
                <w:ilvl w:val="0"/>
                <w:numId w:val="291"/>
              </w:numPr>
              <w:rPr>
                <w:rFonts w:ascii="Times New Roman" w:hAnsi="Times New Roman" w:cs="Times New Roman" w:eastAsia="Times New Roman" w:hint="ascii"/>
                <w:sz w:val="15"/>
              </w:rPr>
            </w:pPr>
            <w:r>
              <w:rPr>
                <w:rFonts w:ascii="Times New Roman" w:hAnsi="Times New Roman" w:cs="Times New Roman" w:eastAsia="Times New Roman" w:hint="ascii"/>
                <w:sz w:val="15"/>
              </w:rPr>
              <w:t>250</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15.15</w:t>
            </w:r>
          </w:p>
        </w:tc>
      </w:tr>
      <w:tr>
        <w:trPr>
          <w:trHeight w:val="294"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524"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44</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tab w:val="left" w:leader="none" w:pos="661"/>
              </w:tabs>
              <w:numPr>
                <w:ilvl w:val="0"/>
                <w:numId w:val="291"/>
              </w:numPr>
              <w:rPr>
                <w:rFonts w:ascii="Times New Roman" w:hAnsi="Times New Roman" w:cs="Times New Roman" w:eastAsia="Times New Roman" w:hint="ascii"/>
                <w:sz w:val="15"/>
              </w:rPr>
            </w:pPr>
            <w:r>
              <w:rPr>
                <w:rFonts w:ascii="Times New Roman" w:hAnsi="Times New Roman" w:cs="Times New Roman" w:eastAsia="Times New Roman" w:hint="ascii"/>
                <w:sz w:val="15"/>
              </w:rPr>
              <w:t>300</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13.64</w:t>
            </w:r>
          </w:p>
        </w:tc>
      </w:tr>
      <w:tr>
        <w:trPr>
          <w:trHeight w:val="295"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748"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36</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5 250</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13.89</w:t>
            </w:r>
          </w:p>
        </w:tc>
      </w:tr>
      <w:tr>
        <w:trPr>
          <w:trHeight w:val="294"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748"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1 470</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14.29</w:t>
            </w:r>
          </w:p>
        </w:tc>
      </w:tr>
      <w:tr>
        <w:trPr>
          <w:trHeight w:val="295" w:hRule="exact"/>
          <w:cantSplit w:val="1"/>
        </w:trPr>
        <w:tc>
          <w:tcPr>
            <w:tcW w:w="2267" w:type="dxa"/>
            <w:gridSpan w:val="1"/>
            <w:vAlign w:val="top"/>
            <w:tcMar/>
            <w:tcBorders>
              <w:top w:val="single" w:sz="4" w:space="0" w:color="000000"/>
            </w:tcBorders>
          </w:tcPr>
          <w:p>
            <w:pPr>
              <w:autoSpaceDE w:val="0"/>
              <w:autoSpaceDN w:val="0"/>
              <w:jc w:val="left"/>
              <w:spacing w:before="45" w:after="0" w:lineRule="exact" w:line="188"/>
              <w:ind w:right="0" w:left="748"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1417"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66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33</w:t>
            </w:r>
          </w:p>
        </w:tc>
        <w:tc>
          <w:tcPr>
            <w:tcW w:w="119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54"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w:t>
            </w:r>
          </w:p>
        </w:tc>
        <w:tc>
          <w:tcPr>
            <w:tcW w:w="1361" w:type="dxa"/>
            <w:gridSpan w:val="1"/>
            <w:vAlign w:val="top"/>
            <w:tcMar/>
            <w:tcBorders>
              <w:left w:val="single" w:sz="4" w:space="0" w:color="000000"/>
              <w:top w:val="single" w:sz="4" w:space="0" w:color="000000"/>
            </w:tcBorders>
          </w:tcPr>
          <w:p>
            <w:pPr>
              <w:autoSpaceDE w:val="0"/>
              <w:autoSpaceDN w:val="0"/>
              <w:jc w:val="left"/>
              <w:spacing w:before="52" w:after="0" w:lineRule="auto" w:line="240"/>
              <w:ind w:right="0" w:left="54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5 250</w:t>
            </w:r>
          </w:p>
        </w:tc>
        <w:tc>
          <w:tcPr>
            <w:tcW w:w="1756"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1"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15.15</w:t>
            </w:r>
          </w:p>
        </w:tc>
      </w:tr>
      <w:tr>
        <w:trPr>
          <w:trHeight w:val="300" w:hRule="exact"/>
          <w:cantSplit w:val="1"/>
        </w:trPr>
        <w:tc>
          <w:tcPr>
            <w:tcW w:w="2267" w:type="dxa"/>
            <w:gridSpan w:val="1"/>
            <w:vAlign w:val="top"/>
            <w:tcMar/>
            <w:tcBorders>
              <w:top w:val="single" w:sz="4" w:space="0" w:color="000000"/>
              <w:bottom w:val="single" w:sz="8" w:space="0" w:color="000000"/>
            </w:tcBorders>
          </w:tcPr>
          <w:p>
            <w:pPr>
              <w:autoSpaceDE w:val="0"/>
              <w:autoSpaceDN w:val="0"/>
              <w:jc w:val="left"/>
              <w:spacing w:before="44" w:after="0" w:lineRule="exact" w:line="188"/>
              <w:ind w:right="0" w:left="674" w:firstLine="0"/>
              <w:snapToGrid w:val="0"/>
              <w:textAlignment w:val="auto"/>
              <w:tabs/>
              <w:rPr>
                <w:rFonts w:ascii="宋体" w:hAnsi="宋体" w:cs="宋体" w:eastAsia="宋体" w:hint="ascii"/>
                <w:sz w:val="15"/>
              </w:rPr>
            </w:pPr>
            <w:r>
              <w:rPr>
                <w:rFonts w:ascii="宋体" w:hAnsi="宋体" w:cs="宋体" w:eastAsia="宋体" w:hint="ascii"/>
                <w:sz w:val="15"/>
              </w:rPr>
              <w:t>合计或平均值</w:t>
            </w:r>
          </w:p>
        </w:tc>
        <w:tc>
          <w:tcPr>
            <w:tcW w:w="1417"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59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256</w:t>
            </w:r>
          </w:p>
        </w:tc>
        <w:tc>
          <w:tcPr>
            <w:tcW w:w="119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51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w:t>
            </w:r>
          </w:p>
        </w:tc>
        <w:tc>
          <w:tcPr>
            <w:tcW w:w="136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52" w:after="0" w:lineRule="auto" w:line="240"/>
              <w:ind w:right="0" w:left="46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38 955</w:t>
            </w:r>
          </w:p>
        </w:tc>
        <w:tc>
          <w:tcPr>
            <w:tcW w:w="1756"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40" w:after="0" w:lineRule="auto" w:line="240"/>
              <w:ind w:right="0" w:left="70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14.84</w:t>
            </w:r>
          </w:p>
        </w:tc>
      </w:tr>
    </w:tbl>
    <w:p>
      <w:pPr>
        <w:autoSpaceDE w:val="0"/>
        <w:autoSpaceDN w:val="0"/>
        <w:jc w:val="left"/>
        <w:spacing w:before="858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1054" w:firstLine="0"/>
        <w:snapToGrid w:val="0"/>
        <w:textAlignment w:val="auto"/>
        <w:tabs/>
        <w:rPr>
          <w:rFonts w:ascii="宋体" w:hAnsi="宋体" w:cs="宋体" w:eastAsia="宋体" w:hint="ascii"/>
          <w:sz w:val="52"/>
        </w:rPr>
      </w:pPr>
      <w:r>
        <w:rPr>
          <w:rFonts w:ascii="宋体" w:hAnsi="宋体" w:cs="宋体" w:eastAsia="宋体" w:hint="ascii"/>
          <w:sz w:val="52"/>
        </w:rPr>
        <w:t>海外及港澳学者合作研究基金项目</w:t>
      </w:r>
      <w:r>
        <w:rPr>
          <w:rFonts w:ascii="宋体" w:hAnsi="宋体" w:cs="宋体" w:eastAsia="宋体" w:hint="ascii"/>
          <w:sz w:val="52"/>
        </w:rPr>
        <mc:AlternateContent>
          <mc:Choice Requires="wps">
            <w:drawing>
              <wp:anchor distL="0" distR="0" distT="0" distB="0" simplePos="0" behindDoc="1" relativeHeight="228" locked="0" layoutInCell="1" allowOverlap="1">
                <wp:simplePos x="0" y="0"/>
                <wp:positionH relativeFrom="page">
                  <wp:posOffset>938530</wp:posOffset>
                </wp:positionH>
                <wp:positionV relativeFrom="page">
                  <wp:posOffset>819150</wp:posOffset>
                </wp:positionV>
                <wp:extent cx="5076190" cy="0"/>
                <wp:wrapNone/>
                <wp:docPr id="1257" name="125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24768;width:399.70pt;" id="1257"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29" locked="0" layoutInCell="1" allowOverlap="1">
                <wp:simplePos x="0" y="0"/>
                <wp:positionH relativeFrom="page">
                  <wp:posOffset>379730</wp:posOffset>
                </wp:positionH>
                <wp:positionV relativeFrom="page">
                  <wp:posOffset>341630</wp:posOffset>
                </wp:positionV>
                <wp:extent cx="6395720" cy="616585"/>
                <wp:wrapNone/>
                <wp:docPr id="1258" name="1258"/>
                <wp:cNvGraphicFramePr/>
                <a:graphic>
                  <a:graphicData uri="http://schemas.microsoft.com/office/word/2010/wordprocessingShape">
                    <wps:wsp>
                      <wps:cNvSpPr/>
                      <wps:spPr>
                        <a:xfrm>
                          <a:off x="0" y="0"/>
                          <a:ext cx="6395720" cy="61658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9.90pt;mso-position-vertical:absolute;mso-position-vertical-relative:page;margin-top:26.90pt;z-index:-251423744;width:503.60pt;height:48.55pt;" id="1258" coordsize="10072,971" stroked="f" fillcolor="#ffffff" opacity="0f">
                <v:stroke endcap="round"/>
                <v:fill opacity="0f"/>
                <w10:wrap anchorx="page" anchory="page" side="both"/>
              </v:rect>
            </w:pict>
          </mc:Fallback>
        </mc:AlternateContent>
      </w:r>
    </w:p>
    <w:p>
      <w:pPr>
        <w:autoSpaceDE w:val="0"/>
        <w:autoSpaceDN w:val="0"/>
        <w:jc w:val="left"/>
        <w:spacing w:before="442"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spacing w:val="5"/>
        </w:rPr>
        <w:t>为充分发挥海外及港澳科技资源优势，吸引海外及港澳优秀人才为</w:t>
      </w:r>
      <w:r>
        <w:rPr>
          <w:rFonts w:ascii="宋体" w:hAnsi="宋体" w:cs="宋体" w:eastAsia="宋体" w:hint="ascii"/>
        </w:rPr>
        <w:t>国</w:t>
      </w:r>
    </w:p>
    <w:p>
      <w:pPr>
        <w:autoSpaceDE w:val="0"/>
        <w:autoSpaceDN w:val="0"/>
        <w:jc w:val="right"/>
        <w:spacing w:before="11" w:after="0" w:lineRule="exact" w:line="356"/>
        <w:ind w:right="963" w:left="846" w:firstLine="0"/>
        <w:snapToGrid w:val="0"/>
        <w:textAlignment w:val="auto"/>
        <w:tabs/>
        <w:rPr>
          <w:rFonts w:ascii="宋体" w:hAnsi="宋体" w:cs="宋体" w:eastAsia="宋体" w:hint="ascii"/>
        </w:rPr>
      </w:pPr>
      <w:r>
        <w:rPr>
          <w:rFonts w:ascii="宋体" w:hAnsi="宋体" w:cs="宋体" w:eastAsia="宋体" w:hint="ascii"/>
          <w:spacing w:val="2"/>
        </w:rPr>
        <w:t>（</w:t>
      </w:r>
      <w:r>
        <w:rPr>
          <w:rFonts w:ascii="宋体" w:hAnsi="宋体" w:cs="宋体" w:eastAsia="宋体" w:hint="ascii"/>
          <w:spacing w:val="3"/>
        </w:rPr>
        <w:t>内地）服务，自然科学基金委设立</w:t>
      </w:r>
      <w:r>
        <w:rPr>
          <w:rFonts w:ascii="宋体" w:hAnsi="宋体" w:cs="宋体" w:eastAsia="宋体" w:hint="ascii"/>
        </w:rPr>
        <w:t>海</w:t>
      </w:r>
      <w:r>
        <w:rPr>
          <w:rFonts w:ascii="宋体" w:hAnsi="宋体" w:cs="宋体" w:eastAsia="宋体" w:hint="ascii"/>
          <w:spacing w:val="3"/>
        </w:rPr>
        <w:t>外及港澳学者合作研究基金，资助</w:t>
      </w:r>
      <w:r>
        <w:rPr>
          <w:rFonts w:ascii="宋体" w:hAnsi="宋体" w:cs="宋体" w:eastAsia="宋体" w:hint="ascii"/>
        </w:rPr>
        <w:t>海</w:t>
      </w:r>
      <w:r>
        <w:rPr>
          <w:rFonts w:ascii="宋体" w:hAnsi="宋体" w:cs="宋体" w:eastAsia="宋体" w:hint="ascii"/>
          <w:spacing w:val="11"/>
        </w:rPr>
        <w:t>外及港</w:t>
      </w:r>
      <w:r>
        <w:rPr>
          <w:rFonts w:ascii="宋体" w:hAnsi="宋体" w:cs="宋体" w:eastAsia="宋体" w:hint="ascii"/>
        </w:rPr>
        <w:t>澳</w:t>
      </w:r>
      <w:r>
        <w:rPr>
          <w:rFonts w:ascii="宋体" w:hAnsi="宋体" w:cs="宋体" w:eastAsia="宋体" w:hint="ascii"/>
          <w:spacing w:val="-19"/>
        </w:rPr>
        <w:t xml:space="preserve"> </w:t>
      </w:r>
      <w:r>
        <w:rPr>
          <w:rFonts w:ascii="Times New Roman" w:hAnsi="Times New Roman" w:cs="Times New Roman" w:eastAsia="Times New Roman" w:hint="ascii"/>
        </w:rPr>
        <w:t>50</w:t>
      </w:r>
      <w:r>
        <w:rPr>
          <w:rFonts w:ascii="Times New Roman" w:hAnsi="Times New Roman" w:cs="Times New Roman" w:eastAsia="Times New Roman" w:hint="ascii"/>
          <w:spacing w:val="-19"/>
        </w:rPr>
        <w:t xml:space="preserve"> </w:t>
      </w:r>
      <w:r>
        <w:rPr>
          <w:rFonts w:ascii="宋体" w:hAnsi="宋体" w:cs="宋体" w:eastAsia="宋体" w:hint="ascii"/>
          <w:spacing w:val="11"/>
        </w:rPr>
        <w:t>岁以下华人学者与国内（内地）合作者开展高水平的合</w:t>
      </w:r>
      <w:r>
        <w:rPr>
          <w:rFonts w:ascii="宋体" w:hAnsi="宋体" w:cs="宋体" w:eastAsia="宋体" w:hint="ascii"/>
        </w:rPr>
        <w:t>作</w:t>
      </w:r>
    </w:p>
    <w:p>
      <w:pPr>
        <w:autoSpaceDE w:val="0"/>
        <w:autoSpaceDN w:val="0"/>
        <w:jc w:val="left"/>
        <w:spacing w:before="44"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研究。</w:t>
      </w:r>
    </w:p>
    <w:p>
      <w:pPr>
        <w:autoSpaceDE w:val="0"/>
        <w:autoSpaceDN w:val="0"/>
        <w:jc w:val="both"/>
        <w:spacing w:before="11" w:after="0" w:lineRule="exact" w:line="356"/>
        <w:ind w:right="963" w:left="966" w:firstLine="480"/>
        <w:snapToGrid w:val="0"/>
        <w:textAlignment w:val="auto"/>
        <w:tabs/>
        <w:rPr>
          <w:rFonts w:ascii="宋体" w:hAnsi="宋体" w:cs="宋体" w:eastAsia="宋体" w:hint="ascii"/>
        </w:rPr>
      </w:pPr>
      <w:r>
        <w:rPr>
          <w:rFonts w:ascii="宋体" w:hAnsi="宋体" w:cs="宋体" w:eastAsia="宋体" w:hint="ascii"/>
        </w:rPr>
        <w:t>海外及港澳学者合作研究基金项目采取“</w:t>
      </w:r>
      <w:r>
        <w:rPr>
          <w:rFonts w:ascii="Times New Roman" w:hAnsi="Times New Roman" w:cs="Times New Roman" w:eastAsia="Times New Roman" w:hint="ascii"/>
        </w:rPr>
        <w:t>2+</w:t>
      </w:r>
      <w:r>
        <w:rPr>
          <w:rFonts w:ascii="Times New Roman" w:hAnsi="Times New Roman" w:cs="Times New Roman" w:eastAsia="Times New Roman" w:hint="ascii"/>
          <w:spacing w:val="6"/>
        </w:rPr>
        <w:t>4</w:t>
      </w:r>
      <w:r>
        <w:rPr>
          <w:rFonts w:ascii="宋体" w:hAnsi="宋体" w:cs="宋体" w:eastAsia="宋体" w:hint="ascii"/>
        </w:rPr>
        <w:t>”的资助模式，获两年</w:t>
      </w:r>
      <w:r>
        <w:rPr>
          <w:rFonts w:ascii="宋体" w:hAnsi="宋体" w:cs="宋体" w:eastAsia="宋体" w:hint="ascii"/>
          <w:spacing w:val="-6"/>
        </w:rPr>
        <w:t>期</w:t>
      </w:r>
      <w:r>
        <w:rPr>
          <w:rFonts w:ascii="宋体" w:hAnsi="宋体" w:cs="宋体" w:eastAsia="宋体" w:hint="ascii"/>
        </w:rPr>
        <w:t>资助项目期满后可申请延续资助。</w:t>
      </w:r>
    </w:p>
    <w:p>
      <w:pPr>
        <w:autoSpaceDE w:val="0"/>
        <w:autoSpaceDN w:val="0"/>
        <w:jc w:val="left"/>
        <w:spacing w:before="270" w:after="0" w:lineRule="exact" w:line="363"/>
        <w:ind w:right="0" w:left="3940" w:firstLine="0"/>
        <w:snapToGrid w:val="0"/>
        <w:textAlignment w:val="auto"/>
        <w:tabs/>
        <w:rPr>
          <w:rFonts w:ascii="宋体" w:hAnsi="宋体" w:cs="宋体" w:eastAsia="宋体" w:hint="ascii"/>
          <w:sz w:val="29"/>
        </w:rPr>
      </w:pPr>
      <w:r>
        <w:rPr>
          <w:rFonts w:ascii="宋体" w:hAnsi="宋体" w:cs="宋体" w:eastAsia="宋体" w:hint="ascii"/>
          <w:sz w:val="29"/>
        </w:rPr>
        <w:t>两年期资助项目</w:t>
      </w:r>
    </w:p>
    <w:p>
      <w:pPr>
        <w:autoSpaceDE w:val="0"/>
        <w:autoSpaceDN w:val="0"/>
        <w:jc w:val="left"/>
        <w:spacing w:before="31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一、申请人应当具备以下条件</w:t>
      </w:r>
    </w:p>
    <w:p>
      <w:pPr>
        <w:autoSpaceDE w:val="0"/>
        <w:autoSpaceDN w:val="0"/>
        <w:jc w:val="both"/>
        <w:spacing w:before="157" w:after="0" w:lineRule="exact" w:line="355"/>
        <w:ind w:right="1238" w:left="1326" w:firstLine="0"/>
        <w:snapToGrid w:val="0"/>
        <w:textAlignment w:val="auto"/>
        <w:tabs/>
        <w:rPr>
          <w:rFonts w:ascii="宋体" w:hAnsi="宋体" w:cs="宋体" w:eastAsia="宋体" w:hint="ascii"/>
        </w:rPr>
      </w:pPr>
      <w:r>
        <w:rPr>
          <w:rFonts w:ascii="宋体" w:hAnsi="宋体" w:cs="宋体" w:eastAsia="宋体" w:hint="ascii"/>
          <w:spacing w:val="-3"/>
        </w:rPr>
        <w:t>（</w:t>
      </w:r>
      <w:r>
        <w:rPr>
          <w:rFonts w:ascii="Times New Roman" w:hAnsi="Times New Roman" w:cs="Times New Roman" w:eastAsia="Times New Roman" w:hint="ascii"/>
          <w:spacing w:val="-3"/>
        </w:rPr>
        <w:t>1</w:t>
      </w:r>
      <w:r>
        <w:rPr>
          <w:rFonts w:ascii="宋体" w:hAnsi="宋体" w:cs="宋体" w:eastAsia="宋体" w:hint="ascii"/>
          <w:spacing w:val="-3"/>
        </w:rPr>
        <w:t>）当</w:t>
      </w:r>
      <w:r>
        <w:rPr>
          <w:rFonts w:ascii="宋体" w:hAnsi="宋体" w:cs="宋体" w:eastAsia="宋体" w:hint="ascii"/>
          <w:spacing w:val="27"/>
        </w:rPr>
        <w:t>年</w:t>
      </w:r>
      <w:r>
        <w:rPr>
          <w:rFonts w:ascii="Times New Roman" w:hAnsi="Times New Roman" w:cs="Times New Roman" w:eastAsia="Times New Roman" w:hint="ascii"/>
          <w:spacing w:val="57"/>
        </w:rPr>
        <w:t>1</w:t>
      </w:r>
      <w:r>
        <w:rPr>
          <w:rFonts w:ascii="宋体" w:hAnsi="宋体" w:cs="宋体" w:eastAsia="宋体" w:hint="ascii"/>
          <w:spacing w:val="27"/>
        </w:rPr>
        <w:t>月</w:t>
      </w:r>
      <w:r>
        <w:rPr>
          <w:rFonts w:ascii="Times New Roman" w:hAnsi="Times New Roman" w:cs="Times New Roman" w:eastAsia="Times New Roman" w:hint="ascii"/>
          <w:spacing w:val="57"/>
        </w:rPr>
        <w:t>1</w:t>
      </w:r>
      <w:r>
        <w:rPr>
          <w:rFonts w:ascii="宋体" w:hAnsi="宋体" w:cs="宋体" w:eastAsia="宋体" w:hint="ascii"/>
          <w:spacing w:val="-3"/>
        </w:rPr>
        <w:t>日未</w:t>
      </w:r>
      <w:r>
        <w:rPr>
          <w:rFonts w:ascii="宋体" w:hAnsi="宋体" w:cs="宋体" w:eastAsia="宋体" w:hint="ascii"/>
          <w:spacing w:val="28"/>
        </w:rPr>
        <w:t>满</w:t>
      </w:r>
      <w:r>
        <w:rPr>
          <w:rFonts w:ascii="Times New Roman" w:hAnsi="Times New Roman" w:cs="Times New Roman" w:eastAsia="Times New Roman" w:hint="ascii"/>
          <w:spacing w:val="-2"/>
        </w:rPr>
        <w:t>5</w:t>
      </w:r>
      <w:r>
        <w:rPr>
          <w:rFonts w:ascii="Times New Roman" w:hAnsi="Times New Roman" w:cs="Times New Roman" w:eastAsia="Times New Roman" w:hint="ascii"/>
          <w:spacing w:val="58"/>
        </w:rPr>
        <w:t>0</w:t>
      </w:r>
      <w:r>
        <w:rPr>
          <w:rFonts w:ascii="宋体" w:hAnsi="宋体" w:cs="宋体" w:eastAsia="宋体" w:hint="ascii"/>
          <w:spacing w:val="-2"/>
        </w:rPr>
        <w:t>周</w:t>
      </w:r>
      <w:r>
        <w:rPr>
          <w:rFonts w:ascii="宋体" w:hAnsi="宋体" w:cs="宋体" w:eastAsia="宋体" w:hint="ascii"/>
          <w:spacing w:val="28"/>
        </w:rPr>
        <w:t>岁</w:t>
      </w:r>
      <w:r>
        <w:rPr>
          <w:rFonts w:ascii="Times New Roman" w:hAnsi="Times New Roman" w:cs="Times New Roman" w:eastAsia="Times New Roman" w:hint="ascii"/>
          <w:spacing w:val="-2"/>
        </w:rPr>
        <w:t xml:space="preserve">[ 1968 </w:t>
      </w:r>
      <w:r>
        <w:rPr>
          <w:rFonts w:ascii="宋体" w:hAnsi="宋体" w:cs="宋体" w:eastAsia="宋体" w:hint="ascii"/>
          <w:spacing w:val="28"/>
        </w:rPr>
        <w:t>年</w:t>
      </w:r>
      <w:r>
        <w:rPr>
          <w:rFonts w:ascii="Times New Roman" w:hAnsi="Times New Roman" w:cs="Times New Roman" w:eastAsia="Times New Roman" w:hint="ascii"/>
          <w:spacing w:val="58"/>
        </w:rPr>
        <w:t>1</w:t>
      </w:r>
      <w:r>
        <w:rPr>
          <w:rFonts w:ascii="宋体" w:hAnsi="宋体" w:cs="宋体" w:eastAsia="宋体" w:hint="ascii"/>
          <w:spacing w:val="28"/>
        </w:rPr>
        <w:t>月</w:t>
      </w:r>
      <w:r>
        <w:rPr>
          <w:rFonts w:ascii="Times New Roman" w:hAnsi="Times New Roman" w:cs="Times New Roman" w:eastAsia="Times New Roman" w:hint="ascii"/>
          <w:spacing w:val="58"/>
        </w:rPr>
        <w:t>1</w:t>
      </w:r>
      <w:r>
        <w:rPr>
          <w:rFonts w:ascii="宋体" w:hAnsi="宋体" w:cs="宋体" w:eastAsia="宋体" w:hint="ascii"/>
          <w:spacing w:val="-2"/>
        </w:rPr>
        <w:t>日（含）以后出生</w:t>
      </w:r>
      <w:r>
        <w:rPr>
          <w:rFonts w:ascii="Times New Roman" w:hAnsi="Times New Roman" w:cs="Times New Roman" w:eastAsia="Times New Roman" w:hint="ascii"/>
          <w:spacing w:val="-2"/>
        </w:rPr>
        <w:t>]</w:t>
      </w:r>
      <w:r>
        <w:rPr>
          <w:rFonts w:ascii="宋体" w:hAnsi="宋体" w:cs="宋体" w:eastAsia="宋体" w:hint="ascii"/>
          <w:spacing w:val="-2"/>
        </w:rPr>
        <w:t>。</w:t>
      </w:r>
      <w:r>
        <w:rPr>
          <w:rFonts w:ascii="宋体" w:hAnsi="宋体" w:cs="宋体" w:eastAsia="宋体" w:hint="ascii"/>
        </w:rPr>
        <w:t xml:space="preserve"> （</w:t>
      </w:r>
      <w:r>
        <w:rPr>
          <w:rFonts w:ascii="Times New Roman" w:hAnsi="Times New Roman" w:cs="Times New Roman" w:eastAsia="Times New Roman" w:hint="ascii"/>
        </w:rPr>
        <w:t>2</w:t>
      </w:r>
      <w:r>
        <w:rPr>
          <w:rFonts w:ascii="宋体" w:hAnsi="宋体" w:cs="宋体" w:eastAsia="宋体" w:hint="ascii"/>
        </w:rPr>
        <w:t>）具有良好的科学道德。</w:t>
      </w:r>
    </w:p>
    <w:p>
      <w:pPr>
        <w:autoSpaceDE w:val="0"/>
        <w:autoSpaceDN w:val="0"/>
        <w:jc w:val="both"/>
        <w:spacing w:before="0" w:after="0" w:lineRule="exact" w:line="356"/>
        <w:ind w:right="979" w:left="846" w:firstLine="480"/>
        <w:snapToGrid w:val="0"/>
        <w:textAlignment w:val="auto"/>
        <w:tabs/>
        <w:rPr>
          <w:rFonts w:ascii="宋体" w:hAnsi="宋体" w:cs="宋体" w:eastAsia="宋体" w:hint="ascii"/>
        </w:rPr>
      </w:pPr>
      <w:r>
        <w:rPr>
          <w:rFonts w:ascii="宋体" w:hAnsi="宋体" w:cs="宋体" w:eastAsia="宋体" w:hint="ascii"/>
          <w:spacing w:val="7"/>
        </w:rPr>
        <w:t>（</w:t>
      </w:r>
      <w:r>
        <w:rPr>
          <w:rFonts w:ascii="Times New Roman" w:hAnsi="Times New Roman" w:cs="Times New Roman" w:eastAsia="Times New Roman" w:hint="ascii"/>
          <w:spacing w:val="20"/>
        </w:rPr>
        <w:t>3</w:t>
      </w:r>
      <w:r>
        <w:rPr>
          <w:rFonts w:ascii="宋体" w:hAnsi="宋体" w:cs="宋体" w:eastAsia="宋体" w:hint="ascii"/>
          <w:spacing w:val="6"/>
        </w:rPr>
        <w:t>）具有所在国（</w:t>
      </w:r>
      <w:r>
        <w:rPr>
          <w:rFonts w:ascii="宋体" w:hAnsi="宋体" w:cs="宋体" w:eastAsia="宋体" w:hint="ascii"/>
          <w:spacing w:val="5"/>
        </w:rPr>
        <w:t>或所在地）相当于副教授级以上的专业技术职</w:t>
      </w:r>
      <w:r>
        <w:rPr>
          <w:rFonts w:ascii="宋体" w:hAnsi="宋体" w:cs="宋体" w:eastAsia="宋体" w:hint="ascii"/>
          <w:spacing w:val="-8"/>
        </w:rPr>
        <w:t>务</w:t>
      </w:r>
      <w:r>
        <w:rPr>
          <w:rFonts w:ascii="宋体" w:hAnsi="宋体" w:cs="宋体" w:eastAsia="宋体" w:hint="ascii"/>
        </w:rPr>
        <w:t>（职称</w:t>
      </w:r>
      <w:r>
        <w:rPr>
          <w:rFonts w:ascii="宋体" w:hAnsi="宋体" w:cs="宋体" w:eastAsia="宋体" w:hint="ascii"/>
          <w:spacing w:val="-60"/>
        </w:rPr>
        <w:t>）</w:t>
      </w:r>
      <w:r>
        <w:rPr>
          <w:rFonts w:ascii="宋体" w:hAnsi="宋体" w:cs="宋体" w:eastAsia="宋体" w:hint="ascii"/>
        </w:rPr>
        <w:t>。</w:t>
      </w:r>
    </w:p>
    <w:p>
      <w:pPr>
        <w:autoSpaceDE w:val="0"/>
        <w:autoSpaceDN w:val="0"/>
        <w:jc w:val="both"/>
        <w:spacing w:before="0" w:after="0" w:lineRule="exact" w:line="356"/>
        <w:ind w:right="979"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4</w:t>
      </w:r>
      <w:r>
        <w:rPr>
          <w:rFonts w:ascii="宋体" w:hAnsi="宋体" w:cs="宋体" w:eastAsia="宋体" w:hint="ascii"/>
        </w:rPr>
        <w:t>）具有在海外或港澳从事科学研究，并独立主持实验室或重要的研究项目，已取得国际同行承认的创新性学术成就或突出的创造性科技成果。</w:t>
      </w:r>
    </w:p>
    <w:p>
      <w:pPr>
        <w:autoSpaceDE w:val="0"/>
        <w:autoSpaceDN w:val="0"/>
        <w:jc w:val="left"/>
        <w:spacing w:before="4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5</w:t>
      </w:r>
      <w:r>
        <w:rPr>
          <w:rFonts w:ascii="宋体" w:hAnsi="宋体" w:cs="宋体" w:eastAsia="宋体" w:hint="ascii"/>
        </w:rPr>
        <w:t>）申请人已经落实在国内（内地）具有高级职称的合作者，并与其所</w:t>
      </w:r>
    </w:p>
    <w:p>
      <w:pPr>
        <w:autoSpaceDE w:val="0"/>
        <w:autoSpaceDN w:val="0"/>
        <w:jc w:val="both"/>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在的依托单位签订合作研究协议书（简称协议书</w:t>
      </w:r>
      <w:r>
        <w:rPr>
          <w:rFonts w:ascii="宋体" w:hAnsi="宋体" w:cs="宋体" w:eastAsia="宋体" w:hint="ascii"/>
          <w:spacing w:val="-60"/>
        </w:rPr>
        <w:t>）</w:t>
      </w:r>
      <w:r>
        <w:rPr>
          <w:rFonts w:ascii="宋体" w:hAnsi="宋体" w:cs="宋体" w:eastAsia="宋体" w:hint="ascii"/>
        </w:rPr>
        <w:t>。协议书内容应当包括</w:t>
      </w:r>
      <w:r>
        <w:rPr>
          <w:rFonts w:ascii="宋体" w:hAnsi="宋体" w:cs="宋体" w:eastAsia="宋体" w:hint="ascii"/>
          <w:spacing w:val="-6"/>
        </w:rPr>
        <w:t>：</w:t>
      </w:r>
      <w:r>
        <w:rPr>
          <w:rFonts w:ascii="宋体" w:hAnsi="宋体" w:cs="宋体" w:eastAsia="宋体" w:hint="ascii"/>
        </w:rPr>
        <w:t>合作研究的项目名称以及研究方向、预期目标等，依托单位承诺提供合作研究项目实施所必需的主要实验设备以及人力、物力等条件。</w:t>
      </w:r>
    </w:p>
    <w:p>
      <w:pPr>
        <w:autoSpaceDE w:val="0"/>
        <w:autoSpaceDN w:val="0"/>
        <w:jc w:val="left"/>
        <w:spacing w:before="4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6</w:t>
      </w:r>
      <w:r>
        <w:rPr>
          <w:rFonts w:ascii="宋体" w:hAnsi="宋体" w:cs="宋体" w:eastAsia="宋体" w:hint="ascii"/>
        </w:rPr>
        <w:t>）申请人与合作者属强强合作，具有良好的合作基础，拟开展的研究</w:t>
      </w:r>
    </w:p>
    <w:p>
      <w:pPr>
        <w:autoSpaceDE w:val="0"/>
        <w:autoSpaceDN w:val="0"/>
        <w:jc w:val="left"/>
        <w:spacing w:before="56"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工作属国际前沿。</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7</w:t>
      </w:r>
      <w:r>
        <w:rPr>
          <w:rFonts w:ascii="宋体" w:hAnsi="宋体" w:cs="宋体" w:eastAsia="宋体" w:hint="ascii"/>
        </w:rPr>
        <w:t>）保证资助期内每年在依托单位从事研究工作的时间</w:t>
      </w:r>
      <w:r>
        <w:rPr>
          <w:rFonts w:ascii="宋体" w:hAnsi="宋体" w:cs="宋体" w:eastAsia="宋体" w:hint="ascii"/>
          <w:spacing w:val="30"/>
        </w:rPr>
        <w:t>在</w:t>
      </w:r>
      <w:r>
        <w:rPr>
          <w:rFonts w:ascii="Times New Roman" w:hAnsi="Times New Roman" w:cs="Times New Roman" w:eastAsia="Times New Roman" w:hint="ascii"/>
          <w:spacing w:val="60"/>
        </w:rPr>
        <w:t>2</w:t>
      </w:r>
      <w:r>
        <w:rPr>
          <w:rFonts w:ascii="宋体" w:hAnsi="宋体" w:cs="宋体" w:eastAsia="宋体" w:hint="ascii"/>
        </w:rPr>
        <w:t>个月以上。</w:t>
      </w:r>
    </w:p>
    <w:p>
      <w:pPr>
        <w:autoSpaceDE w:val="0"/>
        <w:autoSpaceDN w:val="0"/>
        <w:jc w:val="left"/>
        <w:spacing w:before="5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申请人或合作者申请和正在承担海外及港澳学者合作研究基金两年期资</w:t>
      </w:r>
    </w:p>
    <w:p>
      <w:pPr>
        <w:autoSpaceDE w:val="0"/>
        <w:autoSpaceDN w:val="0"/>
        <w:jc w:val="both"/>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助项目合计限为</w:t>
      </w:r>
      <w:r>
        <w:rPr>
          <w:rFonts w:ascii="宋体" w:hAnsi="宋体" w:cs="宋体" w:eastAsia="宋体" w:hint="ascii"/>
          <w:spacing w:val="-30"/>
        </w:rPr>
        <w:t xml:space="preserve"> </w:t>
      </w:r>
      <w:r>
        <w:rPr>
          <w:rFonts w:ascii="Times New Roman" w:hAnsi="Times New Roman" w:cs="Times New Roman" w:eastAsia="Times New Roman" w:hint="ascii"/>
          <w:spacing w:val="61"/>
        </w:rPr>
        <w:t>1</w:t>
      </w:r>
      <w:r>
        <w:rPr>
          <w:rFonts w:ascii="宋体" w:hAnsi="宋体" w:cs="宋体" w:eastAsia="宋体" w:hint="ascii"/>
        </w:rPr>
        <w:t>项。在站博士后研究人员或正在攻读研究生学位人员不能作为合作者进行申请。</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二、注意事项</w:t>
      </w:r>
    </w:p>
    <w:p>
      <w:pPr>
        <w:autoSpaceDE w:val="0"/>
        <w:autoSpaceDN w:val="0"/>
        <w:jc w:val="left"/>
        <w:spacing w:before="203"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）海外及港澳学者合作研究基金两年期资助项目重点考察申请人的学</w:t>
      </w:r>
    </w:p>
    <w:p>
      <w:pPr>
        <w:autoSpaceDE w:val="0"/>
        <w:autoSpaceDN w:val="0"/>
        <w:jc w:val="left"/>
        <w:spacing w:before="374"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293"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术水平及与合作者的合作基础。</w:t>
      </w:r>
      <w:r>
        <w:rPr>
          <w:rFonts w:ascii="宋体" w:hAnsi="宋体" w:cs="宋体" w:eastAsia="宋体" w:hint="ascii"/>
        </w:rPr>
        <mc:AlternateContent>
          <mc:Choice Requires="wps">
            <w:drawing>
              <wp:anchor distL="0" distR="0" distT="0" distB="0" simplePos="0" behindDoc="1" relativeHeight="230" locked="0" layoutInCell="1" allowOverlap="1">
                <wp:simplePos x="0" y="0"/>
                <wp:positionH relativeFrom="page">
                  <wp:posOffset>938530</wp:posOffset>
                </wp:positionH>
                <wp:positionV relativeFrom="page">
                  <wp:posOffset>805815</wp:posOffset>
                </wp:positionV>
                <wp:extent cx="5076190" cy="0"/>
                <wp:wrapNone/>
                <wp:docPr id="1259" name="125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22720;width:399.70pt;" id="125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）申请人应当按照海外及港澳学者合作研究基金两年期资助项目申请</w:t>
      </w:r>
    </w:p>
    <w:p>
      <w:pPr>
        <w:autoSpaceDE w:val="0"/>
        <w:autoSpaceDN w:val="0"/>
        <w:jc w:val="both"/>
        <w:spacing w:before="10" w:after="0" w:lineRule="exact" w:line="348"/>
        <w:ind w:right="974" w:left="966" w:firstLine="0"/>
        <w:snapToGrid w:val="0"/>
        <w:textAlignment w:val="auto"/>
        <w:tabs/>
        <w:rPr>
          <w:rFonts w:ascii="宋体" w:hAnsi="宋体" w:cs="宋体" w:eastAsia="宋体" w:hint="ascii"/>
        </w:rPr>
      </w:pPr>
      <w:r>
        <w:rPr>
          <w:rFonts w:ascii="宋体" w:hAnsi="宋体" w:cs="宋体" w:eastAsia="宋体" w:hint="ascii"/>
        </w:rPr>
        <w:t>书撰写提纲，撰写申请书并提交相关附件材料。附件材料主要包括：①任职及承担项目情况的有效证明材料；②协议书。</w:t>
      </w:r>
    </w:p>
    <w:p>
      <w:pPr>
        <w:autoSpaceDE w:val="0"/>
        <w:autoSpaceDN w:val="0"/>
        <w:jc w:val="both"/>
        <w:spacing w:before="0" w:after="0" w:lineRule="exact" w:line="348"/>
        <w:ind w:right="974" w:left="966" w:firstLine="480"/>
        <w:snapToGrid w:val="0"/>
        <w:textAlignment w:val="auto"/>
        <w:tabs>
          <w:tab w:val="left" w:leader="none" w:pos="1986"/>
        </w:tabs>
        <w:numPr>
          <w:ilvl w:val="0"/>
          <w:numId w:val="292"/>
        </w:numPr>
        <w:rPr>
          <w:rFonts w:ascii="Times New Roman" w:hAnsi="Times New Roman" w:cs="Times New Roman" w:eastAsia="Times New Roman" w:hint="ascii"/>
        </w:rPr>
      </w:pPr>
      <w:r>
        <w:rPr>
          <w:rFonts w:ascii="宋体" w:hAnsi="宋体" w:cs="宋体" w:eastAsia="宋体" w:hint="ascii"/>
          <w:spacing w:val="-3"/>
        </w:rPr>
        <w:t>年度海外及港澳</w:t>
      </w:r>
      <w:r>
        <w:rPr>
          <w:rFonts w:ascii="宋体" w:hAnsi="宋体" w:cs="宋体" w:eastAsia="宋体" w:hint="ascii"/>
          <w:spacing w:val="-2"/>
        </w:rPr>
        <w:t>学者合作研究基金两年期项目共接收申</w:t>
      </w:r>
      <w:r>
        <w:rPr>
          <w:rFonts w:ascii="宋体" w:hAnsi="宋体" w:cs="宋体" w:eastAsia="宋体" w:hint="ascii"/>
          <w:spacing w:val="28"/>
        </w:rPr>
        <w:t>请</w:t>
      </w:r>
      <w:r>
        <w:rPr>
          <w:rFonts w:ascii="Times New Roman" w:hAnsi="Times New Roman" w:cs="Times New Roman" w:eastAsia="Times New Roman" w:hint="ascii"/>
          <w:spacing w:val="-2"/>
        </w:rPr>
        <w:t>32</w:t>
      </w:r>
      <w:r>
        <w:rPr>
          <w:rFonts w:ascii="Times New Roman" w:hAnsi="Times New Roman" w:cs="Times New Roman" w:eastAsia="Times New Roman" w:hint="ascii"/>
          <w:spacing w:val="58"/>
        </w:rPr>
        <w:t>9</w:t>
      </w:r>
      <w:r>
        <w:rPr>
          <w:rFonts w:ascii="宋体" w:hAnsi="宋体" w:cs="宋体" w:eastAsia="宋体" w:hint="ascii"/>
          <w:spacing w:val="-2"/>
        </w:rPr>
        <w:t>项，</w:t>
      </w:r>
      <w:r>
        <w:rPr>
          <w:rFonts w:ascii="宋体" w:hAnsi="宋体" w:cs="宋体" w:eastAsia="宋体" w:hint="ascii"/>
        </w:rPr>
        <w:t xml:space="preserve"> 资</w:t>
      </w:r>
      <w:r>
        <w:rPr>
          <w:rFonts w:ascii="宋体" w:hAnsi="宋体" w:cs="宋体" w:eastAsia="宋体" w:hint="ascii"/>
          <w:spacing w:val="30"/>
        </w:rPr>
        <w:t>助</w:t>
      </w:r>
      <w:r>
        <w:rPr>
          <w:rFonts w:ascii="Times New Roman" w:hAnsi="Times New Roman" w:cs="Times New Roman" w:eastAsia="Times New Roman" w:hint="ascii"/>
        </w:rPr>
        <w:t>12</w:t>
      </w:r>
      <w:r>
        <w:rPr>
          <w:rFonts w:ascii="Times New Roman" w:hAnsi="Times New Roman" w:cs="Times New Roman" w:eastAsia="Times New Roman" w:hint="ascii"/>
          <w:spacing w:val="60"/>
        </w:rPr>
        <w:t>0</w:t>
      </w:r>
      <w:r>
        <w:rPr>
          <w:rFonts w:ascii="宋体" w:hAnsi="宋体" w:cs="宋体" w:eastAsia="宋体" w:hint="ascii"/>
        </w:rPr>
        <w:t>项，资助直接费</w:t>
      </w:r>
      <w:r>
        <w:rPr>
          <w:rFonts w:ascii="宋体" w:hAnsi="宋体" w:cs="宋体" w:eastAsia="宋体" w:hint="ascii"/>
          <w:spacing w:val="30"/>
        </w:rPr>
        <w:t>用</w:t>
      </w:r>
      <w:r>
        <w:rPr>
          <w:rFonts w:ascii="Times New Roman" w:hAnsi="Times New Roman" w:cs="Times New Roman" w:eastAsia="Times New Roman" w:hint="ascii"/>
        </w:rPr>
        <w:t>2 16</w:t>
      </w:r>
      <w:r>
        <w:rPr>
          <w:rFonts w:ascii="Times New Roman" w:hAnsi="Times New Roman" w:cs="Times New Roman" w:eastAsia="Times New Roman" w:hint="ascii"/>
          <w:spacing w:val="60"/>
        </w:rPr>
        <w:t>0</w:t>
      </w:r>
      <w:r>
        <w:rPr>
          <w:rFonts w:ascii="宋体" w:hAnsi="宋体" w:cs="宋体" w:eastAsia="宋体" w:hint="ascii"/>
        </w:rPr>
        <w:t>万元，直接费用资助强度</w:t>
      </w:r>
      <w:r>
        <w:rPr>
          <w:rFonts w:ascii="宋体" w:hAnsi="宋体" w:cs="宋体" w:eastAsia="宋体" w:hint="ascii"/>
          <w:spacing w:val="30"/>
        </w:rPr>
        <w:t>为</w:t>
      </w:r>
      <w:r>
        <w:rPr>
          <w:rFonts w:ascii="Times New Roman" w:hAnsi="Times New Roman" w:cs="Times New Roman" w:eastAsia="Times New Roman" w:hint="ascii"/>
        </w:rPr>
        <w:t>1</w:t>
      </w:r>
      <w:r>
        <w:rPr>
          <w:rFonts w:ascii="Times New Roman" w:hAnsi="Times New Roman" w:cs="Times New Roman" w:eastAsia="Times New Roman" w:hint="ascii"/>
          <w:spacing w:val="60"/>
        </w:rPr>
        <w:t>8</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w:t>
      </w:r>
    </w:p>
    <w:p>
      <w:pPr>
        <w:autoSpaceDE w:val="0"/>
        <w:autoSpaceDN w:val="0"/>
        <w:jc w:val="both"/>
        <w:spacing w:before="0" w:after="0" w:lineRule="exact" w:line="348"/>
        <w:ind w:right="974" w:left="966" w:firstLine="480"/>
        <w:snapToGrid w:val="0"/>
        <w:textAlignment w:val="auto"/>
        <w:tabs>
          <w:tab w:val="left" w:leader="none" w:pos="1986"/>
        </w:tabs>
        <w:numPr>
          <w:ilvl w:val="0"/>
          <w:numId w:val="292"/>
        </w:numPr>
        <w:rPr>
          <w:rFonts w:ascii="Times New Roman" w:hAnsi="Times New Roman" w:cs="Times New Roman" w:eastAsia="Times New Roman" w:hint="ascii"/>
          <w:b w:val="1"/>
        </w:rPr>
      </w:pPr>
      <w:r>
        <w:rPr>
          <w:rFonts w:ascii="宋体" w:hAnsi="宋体" w:cs="宋体" w:eastAsia="宋体" w:hint="ascii"/>
          <w:spacing w:val="-1"/>
        </w:rPr>
        <w:t>年度海</w:t>
      </w:r>
      <w:r>
        <w:rPr>
          <w:rFonts w:ascii="宋体" w:hAnsi="宋体" w:cs="宋体" w:eastAsia="宋体" w:hint="ascii"/>
        </w:rPr>
        <w:t>外及港澳学者合作研究基金两年期项目计划资</w:t>
      </w:r>
      <w:r>
        <w:rPr>
          <w:rFonts w:ascii="宋体" w:hAnsi="宋体" w:cs="宋体" w:eastAsia="宋体" w:hint="ascii"/>
          <w:spacing w:val="30"/>
        </w:rPr>
        <w:t>助</w:t>
      </w:r>
      <w:r>
        <w:rPr>
          <w:rFonts w:ascii="Times New Roman" w:hAnsi="Times New Roman" w:cs="Times New Roman" w:eastAsia="Times New Roman" w:hint="ascii"/>
          <w:b w:val="1"/>
        </w:rPr>
        <w:t>12</w:t>
      </w:r>
      <w:r>
        <w:rPr>
          <w:rFonts w:ascii="Times New Roman" w:hAnsi="Times New Roman" w:cs="Times New Roman" w:eastAsia="Times New Roman" w:hint="ascii"/>
          <w:b w:val="1"/>
          <w:spacing w:val="60"/>
        </w:rPr>
        <w:t>0</w:t>
      </w:r>
      <w:r>
        <w:rPr>
          <w:rFonts w:ascii="宋体" w:hAnsi="宋体" w:cs="宋体" w:eastAsia="宋体" w:hint="ascii"/>
        </w:rPr>
        <w:t>项，资助期限</w:t>
      </w:r>
      <w:r>
        <w:rPr>
          <w:rFonts w:ascii="宋体" w:hAnsi="宋体" w:cs="宋体" w:eastAsia="宋体" w:hint="ascii"/>
          <w:spacing w:val="30"/>
        </w:rPr>
        <w:t>为</w:t>
      </w:r>
      <w:r>
        <w:rPr>
          <w:rFonts w:ascii="Times New Roman" w:hAnsi="Times New Roman" w:cs="Times New Roman" w:eastAsia="Times New Roman" w:hint="ascii"/>
          <w:b w:val="1"/>
          <w:spacing w:val="60"/>
        </w:rPr>
        <w:t>2</w:t>
      </w:r>
      <w:r>
        <w:rPr>
          <w:rFonts w:ascii="宋体" w:hAnsi="宋体" w:cs="宋体" w:eastAsia="宋体" w:hint="ascii"/>
        </w:rPr>
        <w:t>年，直接费用资助强度</w:t>
      </w:r>
      <w:r>
        <w:rPr>
          <w:rFonts w:ascii="宋体" w:hAnsi="宋体" w:cs="宋体" w:eastAsia="宋体" w:hint="ascii"/>
          <w:spacing w:val="30"/>
        </w:rPr>
        <w:t>为</w:t>
      </w:r>
      <w:r>
        <w:rPr>
          <w:rFonts w:ascii="Times New Roman" w:hAnsi="Times New Roman" w:cs="Times New Roman" w:eastAsia="Times New Roman" w:hint="ascii"/>
          <w:b w:val="1"/>
        </w:rPr>
        <w:t>1</w:t>
      </w:r>
      <w:r>
        <w:rPr>
          <w:rFonts w:ascii="Times New Roman" w:hAnsi="Times New Roman" w:cs="Times New Roman" w:eastAsia="Times New Roman" w:hint="ascii"/>
          <w:b w:val="1"/>
          <w:spacing w:val="60"/>
        </w:rPr>
        <w:t>8</w:t>
      </w:r>
      <w:r>
        <w:rPr>
          <w:rFonts w:ascii="宋体" w:hAnsi="宋体" w:cs="宋体" w:eastAsia="宋体" w:hint="ascii"/>
        </w:rPr>
        <w:t>万元</w:t>
      </w:r>
      <w:r>
        <w:rPr>
          <w:rFonts w:ascii="Times New Roman" w:hAnsi="Times New Roman" w:cs="Times New Roman" w:eastAsia="Times New Roman" w:hint="ascii"/>
          <w:b w:val="1"/>
        </w:rPr>
        <w:t>/</w:t>
      </w:r>
      <w:r>
        <w:rPr>
          <w:rFonts w:ascii="宋体" w:hAnsi="宋体" w:cs="宋体" w:eastAsia="宋体" w:hint="ascii"/>
        </w:rPr>
        <w:t>项</w:t>
      </w:r>
      <w:r>
        <w:rPr>
          <w:rFonts w:ascii="宋体" w:hAnsi="宋体" w:cs="宋体" w:eastAsia="宋体" w:hint="ascii"/>
          <w:b w:val="1"/>
        </w:rPr>
        <w:t>。</w:t>
      </w:r>
    </w:p>
    <w:p>
      <w:pPr>
        <w:autoSpaceDE w:val="0"/>
        <w:autoSpaceDN w:val="0"/>
        <w:jc w:val="left"/>
        <w:spacing w:before="272"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延续资助项目</w:t>
      </w:r>
    </w:p>
    <w:p>
      <w:pPr>
        <w:autoSpaceDE w:val="0"/>
        <w:autoSpaceDN w:val="0"/>
        <w:jc w:val="left"/>
        <w:spacing w:before="310"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一、申请人应当具备以下条件</w:t>
      </w:r>
    </w:p>
    <w:p>
      <w:pPr>
        <w:autoSpaceDE w:val="0"/>
        <w:autoSpaceDN w:val="0"/>
        <w:jc w:val="left"/>
        <w:spacing w:before="199"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spacing w:val="3"/>
        </w:rPr>
        <w:t>（</w:t>
      </w:r>
      <w:r>
        <w:rPr>
          <w:rFonts w:ascii="Times New Roman" w:hAnsi="Times New Roman" w:cs="Times New Roman" w:eastAsia="Times New Roman" w:hint="ascii"/>
          <w:spacing w:val="6"/>
        </w:rPr>
        <w:t>1</w:t>
      </w:r>
      <w:r>
        <w:rPr>
          <w:rFonts w:ascii="宋体" w:hAnsi="宋体" w:cs="宋体" w:eastAsia="宋体" w:hint="ascii"/>
          <w:spacing w:val="3"/>
        </w:rPr>
        <w:t>）申请人承</w:t>
      </w:r>
      <w:r>
        <w:rPr>
          <w:rFonts w:ascii="宋体" w:hAnsi="宋体" w:cs="宋体" w:eastAsia="宋体" w:hint="ascii"/>
        </w:rPr>
        <w:t>担</w:t>
      </w:r>
      <w:r>
        <w:rPr>
          <w:rFonts w:ascii="宋体" w:hAnsi="宋体" w:cs="宋体" w:eastAsia="宋体" w:hint="ascii"/>
          <w:spacing w:val="-27"/>
        </w:rPr>
        <w:t xml:space="preserve"> </w:t>
      </w:r>
      <w:r>
        <w:rPr>
          <w:rFonts w:ascii="Times New Roman" w:hAnsi="Times New Roman" w:cs="Times New Roman" w:eastAsia="Times New Roman" w:hint="ascii"/>
        </w:rPr>
        <w:t>2015</w:t>
      </w:r>
      <w:r>
        <w:rPr>
          <w:rFonts w:ascii="Times New Roman" w:hAnsi="Times New Roman" w:cs="Times New Roman" w:eastAsia="Times New Roman" w:hint="ascii"/>
          <w:spacing w:val="-27"/>
        </w:rPr>
        <w:t xml:space="preserve"> </w:t>
      </w:r>
      <w:r>
        <w:rPr>
          <w:rFonts w:ascii="宋体" w:hAnsi="宋体" w:cs="宋体" w:eastAsia="宋体" w:hint="ascii"/>
          <w:spacing w:val="3"/>
        </w:rPr>
        <w:t>年度批准的两年期资助项目取得实质性进展，</w:t>
      </w:r>
      <w:r>
        <w:rPr>
          <w:rFonts w:ascii="宋体" w:hAnsi="宋体" w:cs="宋体" w:eastAsia="宋体" w:hint="ascii"/>
        </w:rPr>
        <w:t>并</w:t>
      </w:r>
    </w:p>
    <w:p>
      <w:pPr>
        <w:autoSpaceDE w:val="0"/>
        <w:autoSpaceDN w:val="0"/>
        <w:jc w:val="both"/>
        <w:spacing w:before="12" w:after="0" w:lineRule="exact" w:line="352"/>
        <w:ind w:right="974" w:left="966" w:firstLine="0"/>
        <w:snapToGrid w:val="0"/>
        <w:textAlignment w:val="auto"/>
        <w:tabs/>
        <w:rPr>
          <w:rFonts w:ascii="宋体" w:hAnsi="宋体" w:cs="宋体" w:eastAsia="宋体" w:hint="ascii"/>
        </w:rPr>
      </w:pPr>
      <w:r>
        <w:rPr>
          <w:rFonts w:ascii="宋体" w:hAnsi="宋体" w:cs="宋体" w:eastAsia="宋体" w:hint="ascii"/>
        </w:rPr>
        <w:t>已按时结题，或承</w:t>
      </w:r>
      <w:r>
        <w:rPr>
          <w:rFonts w:ascii="宋体" w:hAnsi="宋体" w:cs="宋体" w:eastAsia="宋体" w:hint="ascii"/>
          <w:spacing w:val="-3"/>
        </w:rPr>
        <w:t>担</w:t>
      </w:r>
      <w:r>
        <w:rPr>
          <w:rFonts w:ascii="宋体" w:hAnsi="宋体" w:cs="宋体" w:eastAsia="宋体" w:hint="ascii"/>
          <w:spacing w:val="-30"/>
        </w:rPr>
        <w:t xml:space="preserve"> </w:t>
      </w:r>
      <w:r>
        <w:rPr>
          <w:rFonts w:ascii="Times New Roman" w:hAnsi="Times New Roman" w:cs="Times New Roman" w:eastAsia="Times New Roman" w:hint="ascii"/>
        </w:rPr>
        <w:t>2014</w:t>
      </w:r>
      <w:r>
        <w:rPr>
          <w:rFonts w:ascii="Times New Roman" w:hAnsi="Times New Roman" w:cs="Times New Roman" w:eastAsia="Times New Roman" w:hint="ascii"/>
          <w:spacing w:val="-30"/>
        </w:rPr>
        <w:t xml:space="preserve"> </w:t>
      </w:r>
      <w:r>
        <w:rPr>
          <w:rFonts w:ascii="宋体" w:hAnsi="宋体" w:cs="宋体" w:eastAsia="宋体" w:hint="ascii"/>
        </w:rPr>
        <w:t>年度两年期项目，结题后未申请或申请后未获</w:t>
      </w:r>
      <w:r>
        <w:rPr>
          <w:rFonts w:ascii="宋体" w:hAnsi="宋体" w:cs="宋体" w:eastAsia="宋体" w:hint="ascii"/>
          <w:spacing w:val="-6"/>
        </w:rPr>
        <w:t>延</w:t>
      </w:r>
      <w:r>
        <w:rPr>
          <w:rFonts w:ascii="宋体" w:hAnsi="宋体" w:cs="宋体" w:eastAsia="宋体" w:hint="ascii"/>
        </w:rPr>
        <w:t>续资助的。</w:t>
      </w:r>
    </w:p>
    <w:p>
      <w:pPr>
        <w:autoSpaceDE w:val="0"/>
        <w:autoSpaceDN w:val="0"/>
        <w:jc w:val="both"/>
        <w:spacing w:before="1" w:after="0" w:lineRule="exact" w:line="352"/>
        <w:ind w:right="974"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）申请人在两年期资助项目执行期间，每年在依托单位的工作时间得到保证。</w:t>
      </w:r>
    </w:p>
    <w:p>
      <w:pPr>
        <w:autoSpaceDE w:val="0"/>
        <w:autoSpaceDN w:val="0"/>
        <w:jc w:val="left"/>
        <w:spacing w:before="41"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）申请人已经与合作者所在的依托单位签订延续资助期间合作研究协</w:t>
      </w:r>
    </w:p>
    <w:p>
      <w:pPr>
        <w:autoSpaceDE w:val="0"/>
        <w:autoSpaceDN w:val="0"/>
        <w:jc w:val="both"/>
        <w:spacing w:before="12" w:after="0" w:lineRule="exact" w:line="352"/>
        <w:ind w:right="974" w:left="966" w:firstLine="0"/>
        <w:snapToGrid w:val="0"/>
        <w:textAlignment w:val="auto"/>
        <w:tabs/>
        <w:rPr>
          <w:rFonts w:ascii="宋体" w:hAnsi="宋体" w:cs="宋体" w:eastAsia="宋体" w:hint="ascii"/>
        </w:rPr>
      </w:pPr>
      <w:r>
        <w:rPr>
          <w:rFonts w:ascii="宋体" w:hAnsi="宋体" w:cs="宋体" w:eastAsia="宋体" w:hint="ascii"/>
        </w:rPr>
        <w:t>议书（简称协议书</w:t>
      </w:r>
      <w:r>
        <w:rPr>
          <w:rFonts w:ascii="宋体" w:hAnsi="宋体" w:cs="宋体" w:eastAsia="宋体" w:hint="ascii"/>
          <w:spacing w:val="-61"/>
        </w:rPr>
        <w:t>）</w:t>
      </w:r>
      <w:r>
        <w:rPr>
          <w:rFonts w:ascii="宋体" w:hAnsi="宋体" w:cs="宋体" w:eastAsia="宋体" w:hint="ascii"/>
        </w:rPr>
        <w:t>。协议书内容应当包括：合作研究的项目名称以及研</w:t>
      </w:r>
      <w:r>
        <w:rPr>
          <w:rFonts w:ascii="宋体" w:hAnsi="宋体" w:cs="宋体" w:eastAsia="宋体" w:hint="ascii"/>
          <w:spacing w:val="-6"/>
        </w:rPr>
        <w:t>究</w:t>
      </w:r>
      <w:r>
        <w:rPr>
          <w:rFonts w:ascii="宋体" w:hAnsi="宋体" w:cs="宋体" w:eastAsia="宋体" w:hint="ascii"/>
        </w:rPr>
        <w:t>方向、预期目标等，依托单位承诺提供合作研究项目实施所必需的主要实验设备以及人力、物力等条件。</w:t>
      </w:r>
    </w:p>
    <w:p>
      <w:pPr>
        <w:autoSpaceDE w:val="0"/>
        <w:autoSpaceDN w:val="0"/>
        <w:jc w:val="both"/>
        <w:spacing w:before="1" w:after="0" w:lineRule="exact" w:line="352"/>
        <w:ind w:right="974"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4</w:t>
      </w:r>
      <w:r>
        <w:rPr>
          <w:rFonts w:ascii="宋体" w:hAnsi="宋体" w:cs="宋体" w:eastAsia="宋体" w:hint="ascii"/>
        </w:rPr>
        <w:t>）申请人与合作者拟继续开展的合作研究工作有重要的科学意义，属于国际前沿，对推动学科发展和人才培养有重要作用。</w:t>
      </w:r>
    </w:p>
    <w:p>
      <w:pPr>
        <w:autoSpaceDE w:val="0"/>
        <w:autoSpaceDN w:val="0"/>
        <w:jc w:val="left"/>
        <w:spacing w:before="41"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5</w:t>
      </w:r>
      <w:r>
        <w:rPr>
          <w:rFonts w:ascii="宋体" w:hAnsi="宋体" w:cs="宋体" w:eastAsia="宋体" w:hint="ascii"/>
        </w:rPr>
        <w:t>）保证延续资助期内每年在依托单位从事研究工作</w:t>
      </w:r>
      <w:r>
        <w:rPr>
          <w:rFonts w:ascii="宋体" w:hAnsi="宋体" w:cs="宋体" w:eastAsia="宋体" w:hint="ascii"/>
          <w:spacing w:val="30"/>
        </w:rPr>
        <w:t>为</w:t>
      </w:r>
      <w:r>
        <w:rPr>
          <w:rFonts w:ascii="Times New Roman" w:hAnsi="Times New Roman" w:cs="Times New Roman" w:eastAsia="Times New Roman" w:hint="ascii"/>
          <w:spacing w:val="60"/>
        </w:rPr>
        <w:t>2</w:t>
      </w:r>
      <w:r>
        <w:rPr>
          <w:rFonts w:ascii="宋体" w:hAnsi="宋体" w:cs="宋体" w:eastAsia="宋体" w:hint="ascii"/>
        </w:rPr>
        <w:t>个月以上。</w:t>
      </w:r>
    </w:p>
    <w:p>
      <w:pPr>
        <w:autoSpaceDE w:val="0"/>
        <w:autoSpaceDN w:val="0"/>
        <w:jc w:val="left"/>
        <w:spacing w:before="53"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申请人或合作者申请和正在承担海外及港澳学者合作研究基金延续资助</w:t>
      </w:r>
    </w:p>
    <w:p>
      <w:pPr>
        <w:autoSpaceDE w:val="0"/>
        <w:autoSpaceDN w:val="0"/>
        <w:jc w:val="both"/>
        <w:spacing w:before="10" w:after="0" w:lineRule="exact" w:line="352"/>
        <w:ind w:right="974" w:left="966" w:firstLine="0"/>
        <w:snapToGrid w:val="0"/>
        <w:textAlignment w:val="auto"/>
        <w:tabs/>
        <w:rPr>
          <w:rFonts w:ascii="宋体" w:hAnsi="宋体" w:cs="宋体" w:eastAsia="宋体" w:hint="ascii"/>
        </w:rPr>
      </w:pPr>
      <w:r>
        <w:rPr>
          <w:rFonts w:ascii="宋体" w:hAnsi="宋体" w:cs="宋体" w:eastAsia="宋体" w:hint="ascii"/>
        </w:rPr>
        <w:t>项目合计限为</w:t>
      </w:r>
      <w:r>
        <w:rPr>
          <w:rFonts w:ascii="宋体" w:hAnsi="宋体" w:cs="宋体" w:eastAsia="宋体" w:hint="ascii"/>
          <w:spacing w:val="-30"/>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30"/>
        </w:rPr>
        <w:t xml:space="preserve"> </w:t>
      </w:r>
      <w:r>
        <w:rPr>
          <w:rFonts w:ascii="宋体" w:hAnsi="宋体" w:cs="宋体" w:eastAsia="宋体" w:hint="ascii"/>
        </w:rPr>
        <w:t>项。在站博士后研究人员或正在攻读研究生学位人员不能作为合作者进行申请。</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二、注意事项</w:t>
      </w:r>
    </w:p>
    <w:p>
      <w:pPr>
        <w:autoSpaceDE w:val="0"/>
        <w:autoSpaceDN w:val="0"/>
        <w:jc w:val="left"/>
        <w:spacing w:before="199"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）海外及港澳学者合作研究基金延续资助项目重点考察合作研究工作</w:t>
      </w:r>
    </w:p>
    <w:p>
      <w:pPr>
        <w:autoSpaceDE w:val="0"/>
        <w:autoSpaceDN w:val="0"/>
        <w:jc w:val="both"/>
        <w:spacing w:before="9" w:after="0" w:lineRule="exact" w:line="353"/>
        <w:ind w:right="974" w:left="966" w:firstLine="0"/>
        <w:snapToGrid w:val="0"/>
        <w:textAlignment w:val="auto"/>
        <w:tabs/>
        <w:rPr>
          <w:rFonts w:ascii="宋体" w:hAnsi="宋体" w:cs="宋体" w:eastAsia="宋体" w:hint="ascii"/>
        </w:rPr>
      </w:pPr>
      <w:r>
        <w:rPr>
          <w:rFonts w:ascii="宋体" w:hAnsi="宋体" w:cs="宋体" w:eastAsia="宋体" w:hint="ascii"/>
        </w:rPr>
        <w:t>是否取得了实质性进展；拟继续开展的合作研究是否属于国际前沿，以及对推动学科发展和人才培养是否起到重要作用。</w:t>
      </w:r>
    </w:p>
    <w:p>
      <w:pPr>
        <w:autoSpaceDE w:val="0"/>
        <w:autoSpaceDN w:val="0"/>
        <w:jc w:val="left"/>
        <w:spacing w:before="41"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）申请人应当按照海外及港澳学者合作研究基金延续资助项目申请书</w:t>
      </w:r>
    </w:p>
    <w:p>
      <w:pPr>
        <w:autoSpaceDE w:val="0"/>
        <w:autoSpaceDN w:val="0"/>
        <w:jc w:val="both"/>
        <w:spacing w:before="9" w:after="0" w:lineRule="exact" w:line="353"/>
        <w:ind w:right="974" w:left="966" w:firstLine="0"/>
        <w:snapToGrid w:val="0"/>
        <w:textAlignment w:val="auto"/>
        <w:tabs/>
        <w:rPr>
          <w:rFonts w:ascii="宋体" w:hAnsi="宋体" w:cs="宋体" w:eastAsia="宋体" w:hint="ascii"/>
        </w:rPr>
      </w:pPr>
      <w:r>
        <w:rPr>
          <w:rFonts w:ascii="宋体" w:hAnsi="宋体" w:cs="宋体" w:eastAsia="宋体" w:hint="ascii"/>
        </w:rPr>
        <w:t>撰写提纲，撰写申请书并提交相关附件材料。附件材料主要包括：①任职及承担项目情况的有效证明材料；②协议书。</w:t>
      </w:r>
    </w:p>
    <w:p>
      <w:pPr>
        <w:autoSpaceDE w:val="0"/>
        <w:autoSpaceDN w:val="0"/>
        <w:jc w:val="left"/>
        <w:spacing w:before="269"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海外及港澳学者合作研究基金项目</w:t>
      </w:r>
    </w:p>
    <w:p>
      <w:pPr>
        <w:autoSpaceDE w:val="0"/>
        <w:autoSpaceDN w:val="0"/>
        <w:jc w:val="both"/>
        <w:spacing w:before="221" w:after="0" w:lineRule="exact" w:line="356"/>
        <w:ind w:right="963" w:left="966" w:firstLine="480"/>
        <w:snapToGrid w:val="0"/>
        <w:textAlignment w:val="auto"/>
        <w:tabs>
          <w:tab w:val="left" w:leader="none" w:pos="2001"/>
        </w:tabs>
        <w:numPr>
          <w:ilvl w:val="0"/>
          <w:numId w:val="293"/>
        </w:numPr>
        <w:rPr>
          <w:rFonts w:ascii="Times New Roman" w:hAnsi="Times New Roman" w:cs="Times New Roman" w:eastAsia="Times New Roman" w:hint="ascii"/>
        </w:rPr>
      </w:pPr>
      <w:r>
        <w:rPr>
          <w:rFonts w:ascii="宋体" w:hAnsi="宋体" w:cs="宋体" w:eastAsia="宋体" w:hint="ascii"/>
          <w:spacing w:val="3"/>
        </w:rPr>
        <w:t>年度海外及港澳学者合作研究基金延续资助项目共接收申</w:t>
      </w:r>
      <w:r>
        <w:rPr>
          <w:rFonts w:ascii="宋体" w:hAnsi="宋体" w:cs="宋体" w:eastAsia="宋体" w:hint="ascii"/>
          <w:spacing w:val="-5"/>
        </w:rPr>
        <w:t>请</w:t>
      </w:r>
      <w:r>
        <w:rPr>
          <w:rFonts w:ascii="宋体" w:hAnsi="宋体" w:cs="宋体" w:eastAsia="宋体" w:hint="ascii"/>
          <w:spacing w:val="-27"/>
        </w:rPr>
        <w:t xml:space="preserve"> </w:t>
      </w:r>
      <w:r>
        <w:rPr>
          <w:rFonts w:ascii="Times New Roman" w:hAnsi="Times New Roman" w:cs="Times New Roman" w:eastAsia="Times New Roman" w:hint="ascii"/>
        </w:rPr>
        <w:t xml:space="preserve">82 </w:t>
      </w:r>
      <w:r>
        <w:rPr>
          <w:rFonts w:ascii="宋体" w:hAnsi="宋体" w:cs="宋体" w:eastAsia="宋体" w:hint="ascii"/>
        </w:rPr>
        <w:t>项，资</w:t>
      </w:r>
      <w:r>
        <w:rPr>
          <w:rFonts w:ascii="宋体" w:hAnsi="宋体" w:cs="宋体" w:eastAsia="宋体" w:hint="ascii"/>
          <w:spacing w:val="30"/>
        </w:rPr>
        <w:t>助</w:t>
      </w:r>
      <w:r>
        <w:rPr>
          <w:rFonts w:ascii="Times New Roman" w:hAnsi="Times New Roman" w:cs="Times New Roman" w:eastAsia="Times New Roman" w:hint="ascii"/>
        </w:rPr>
        <w:t>2</w:t>
      </w:r>
      <w:r>
        <w:rPr>
          <w:rFonts w:ascii="Times New Roman" w:hAnsi="Times New Roman" w:cs="Times New Roman" w:eastAsia="Times New Roman" w:hint="ascii"/>
          <w:spacing w:val="60"/>
        </w:rPr>
        <w:t>2</w:t>
      </w:r>
      <w:r>
        <w:rPr>
          <w:rFonts w:ascii="宋体" w:hAnsi="宋体" w:cs="宋体" w:eastAsia="宋体" w:hint="ascii"/>
        </w:rPr>
        <w:t>项，资助直接费</w:t>
      </w:r>
      <w:r>
        <w:rPr>
          <w:rFonts w:ascii="宋体" w:hAnsi="宋体" w:cs="宋体" w:eastAsia="宋体" w:hint="ascii"/>
          <w:spacing w:val="30"/>
        </w:rPr>
        <w:t>用</w:t>
      </w:r>
      <w:r>
        <w:rPr>
          <w:rFonts w:ascii="Times New Roman" w:hAnsi="Times New Roman" w:cs="Times New Roman" w:eastAsia="Times New Roman" w:hint="ascii"/>
        </w:rPr>
        <w:t>3 96</w:t>
      </w:r>
      <w:r>
        <w:rPr>
          <w:rFonts w:ascii="Times New Roman" w:hAnsi="Times New Roman" w:cs="Times New Roman" w:eastAsia="Times New Roman" w:hint="ascii"/>
          <w:spacing w:val="60"/>
        </w:rPr>
        <w:t>0</w:t>
      </w:r>
      <w:r>
        <w:rPr>
          <w:rFonts w:ascii="宋体" w:hAnsi="宋体" w:cs="宋体" w:eastAsia="宋体" w:hint="ascii"/>
        </w:rPr>
        <w:t>万元。</w:t>
      </w:r>
      <w:r>
        <w:rPr>
          <w:rFonts w:ascii="宋体" w:hAnsi="宋体" w:cs="宋体" w:eastAsia="宋体" w:hint="ascii"/>
        </w:rPr>
        <mc:AlternateContent>
          <mc:Choice Requires="wps">
            <w:drawing>
              <wp:anchor distL="0" distR="0" distT="0" distB="0" simplePos="0" behindDoc="1" relativeHeight="231" locked="0" layoutInCell="1" allowOverlap="1">
                <wp:simplePos x="0" y="0"/>
                <wp:positionH relativeFrom="page">
                  <wp:posOffset>938530</wp:posOffset>
                </wp:positionH>
                <wp:positionV relativeFrom="page">
                  <wp:posOffset>819150</wp:posOffset>
                </wp:positionV>
                <wp:extent cx="5076190" cy="0"/>
                <wp:wrapNone/>
                <wp:docPr id="1260" name="126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21696;width:399.70pt;" id="126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55"/>
        <w:ind w:right="963" w:left="966" w:firstLine="480"/>
        <w:snapToGrid w:val="0"/>
        <w:textAlignment w:val="auto"/>
        <w:tabs>
          <w:tab w:val="left" w:leader="none" w:pos="1990"/>
        </w:tabs>
        <w:numPr>
          <w:ilvl w:val="0"/>
          <w:numId w:val="293"/>
        </w:numPr>
        <w:rPr>
          <w:rFonts w:ascii="Times New Roman" w:hAnsi="Times New Roman" w:cs="Times New Roman" w:eastAsia="Times New Roman" w:hint="ascii"/>
          <w:b w:val="1"/>
        </w:rPr>
      </w:pPr>
      <w:r>
        <w:rPr>
          <w:rFonts w:ascii="宋体" w:hAnsi="宋体" w:cs="宋体" w:eastAsia="宋体" w:hint="ascii"/>
        </w:rPr>
        <w:t>年度海外及港澳学者合作研究基金延续资助项目计划资助</w:t>
      </w:r>
      <w:r>
        <w:rPr>
          <w:rFonts w:ascii="宋体" w:hAnsi="宋体" w:cs="宋体" w:eastAsia="宋体" w:hint="ascii"/>
          <w:spacing w:val="-30"/>
        </w:rPr>
        <w:t xml:space="preserve"> </w:t>
      </w:r>
      <w:r>
        <w:rPr>
          <w:rFonts w:ascii="Times New Roman" w:hAnsi="Times New Roman" w:cs="Times New Roman" w:eastAsia="Times New Roman" w:hint="ascii"/>
          <w:b w:val="1"/>
        </w:rPr>
        <w:t>20</w:t>
      </w:r>
      <w:r>
        <w:rPr>
          <w:rFonts w:ascii="Times New Roman" w:hAnsi="Times New Roman" w:cs="Times New Roman" w:eastAsia="Times New Roman" w:hint="ascii"/>
          <w:b w:val="1"/>
          <w:spacing w:val="-31"/>
        </w:rPr>
        <w:t xml:space="preserve"> </w:t>
      </w:r>
      <w:r>
        <w:rPr>
          <w:rFonts w:ascii="宋体" w:hAnsi="宋体" w:cs="宋体" w:eastAsia="宋体" w:hint="ascii"/>
        </w:rPr>
        <w:t>项，资助期限</w:t>
      </w:r>
      <w:r>
        <w:rPr>
          <w:rFonts w:ascii="宋体" w:hAnsi="宋体" w:cs="宋体" w:eastAsia="宋体" w:hint="ascii"/>
          <w:spacing w:val="30"/>
        </w:rPr>
        <w:t>为</w:t>
      </w:r>
      <w:r>
        <w:rPr>
          <w:rFonts w:ascii="Times New Roman" w:hAnsi="Times New Roman" w:cs="Times New Roman" w:eastAsia="Times New Roman" w:hint="ascii"/>
          <w:b w:val="1"/>
          <w:spacing w:val="60"/>
        </w:rPr>
        <w:t>4</w:t>
      </w:r>
      <w:r>
        <w:rPr>
          <w:rFonts w:ascii="宋体" w:hAnsi="宋体" w:cs="宋体" w:eastAsia="宋体" w:hint="ascii"/>
        </w:rPr>
        <w:t>年，直接费用资助强度</w:t>
      </w:r>
      <w:r>
        <w:rPr>
          <w:rFonts w:ascii="宋体" w:hAnsi="宋体" w:cs="宋体" w:eastAsia="宋体" w:hint="ascii"/>
          <w:spacing w:val="30"/>
        </w:rPr>
        <w:t>为</w:t>
      </w:r>
      <w:r>
        <w:rPr>
          <w:rFonts w:ascii="Times New Roman" w:hAnsi="Times New Roman" w:cs="Times New Roman" w:eastAsia="Times New Roman" w:hint="ascii"/>
          <w:b w:val="1"/>
        </w:rPr>
        <w:t>18</w:t>
      </w:r>
      <w:r>
        <w:rPr>
          <w:rFonts w:ascii="Times New Roman" w:hAnsi="Times New Roman" w:cs="Times New Roman" w:eastAsia="Times New Roman" w:hint="ascii"/>
          <w:b w:val="1"/>
          <w:spacing w:val="60"/>
        </w:rPr>
        <w:t>0</w:t>
      </w:r>
      <w:r>
        <w:rPr>
          <w:rFonts w:ascii="宋体" w:hAnsi="宋体" w:cs="宋体" w:eastAsia="宋体" w:hint="ascii"/>
        </w:rPr>
        <w:t>万元</w:t>
      </w:r>
      <w:r>
        <w:rPr>
          <w:rFonts w:ascii="Times New Roman" w:hAnsi="Times New Roman" w:cs="Times New Roman" w:eastAsia="Times New Roman" w:hint="ascii"/>
          <w:b w:val="1"/>
        </w:rPr>
        <w:t>/</w:t>
      </w:r>
      <w:r>
        <w:rPr>
          <w:rFonts w:ascii="宋体" w:hAnsi="宋体" w:cs="宋体" w:eastAsia="宋体" w:hint="ascii"/>
        </w:rPr>
        <w:t>项</w:t>
      </w:r>
      <w:r>
        <w:rPr>
          <w:rFonts w:ascii="宋体" w:hAnsi="宋体" w:cs="宋体" w:eastAsia="宋体" w:hint="ascii"/>
          <w:b w:val="1"/>
        </w:rPr>
        <w:t>。</w:t>
      </w:r>
    </w:p>
    <w:p>
      <w:pPr>
        <w:autoSpaceDE w:val="0"/>
        <w:autoSpaceDN w:val="0"/>
        <w:jc w:val="left"/>
        <w:spacing w:before="11055"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1054" w:firstLine="0"/>
        <w:snapToGrid w:val="0"/>
        <w:textAlignment w:val="auto"/>
        <w:tabs/>
        <w:rPr>
          <w:rFonts w:ascii="宋体" w:hAnsi="宋体" w:cs="宋体" w:eastAsia="宋体" w:hint="ascii"/>
          <w:sz w:val="52"/>
        </w:rPr>
      </w:pPr>
      <w:r>
        <w:rPr>
          <w:rFonts w:ascii="宋体" w:hAnsi="宋体" w:cs="宋体" w:eastAsia="宋体" w:hint="ascii"/>
          <w:sz w:val="52"/>
        </w:rPr>
        <w:t>国际（地区）合作研究与交流项目</w:t>
      </w:r>
      <w:r>
        <w:rPr>
          <w:rFonts w:ascii="宋体" w:hAnsi="宋体" w:cs="宋体" w:eastAsia="宋体" w:hint="ascii"/>
          <w:sz w:val="52"/>
        </w:rPr>
        <mc:AlternateContent>
          <mc:Choice Requires="wps">
            <w:drawing>
              <wp:anchor distL="0" distR="0" distT="0" distB="0" simplePos="0" behindDoc="1" relativeHeight="232" locked="0" layoutInCell="1" allowOverlap="1">
                <wp:simplePos x="0" y="0"/>
                <wp:positionH relativeFrom="page">
                  <wp:posOffset>938530</wp:posOffset>
                </wp:positionH>
                <wp:positionV relativeFrom="page">
                  <wp:posOffset>805815</wp:posOffset>
                </wp:positionV>
                <wp:extent cx="5076190" cy="0"/>
                <wp:wrapNone/>
                <wp:docPr id="1261" name="126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20672;width:399.70pt;" id="1261"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33" locked="0" layoutInCell="1" allowOverlap="1">
                <wp:simplePos x="0" y="0"/>
                <wp:positionH relativeFrom="page">
                  <wp:posOffset>605155</wp:posOffset>
                </wp:positionH>
                <wp:positionV relativeFrom="page">
                  <wp:posOffset>457200</wp:posOffset>
                </wp:positionV>
                <wp:extent cx="5669280" cy="605155"/>
                <wp:wrapNone/>
                <wp:docPr id="1262" name="1262"/>
                <wp:cNvGraphicFramePr/>
                <a:graphic>
                  <a:graphicData uri="http://schemas.microsoft.com/office/word/2010/wordprocessingShape">
                    <wps:wsp>
                      <wps:cNvSpPr/>
                      <wps:spPr>
                        <a:xfrm>
                          <a:off x="0" y="0"/>
                          <a:ext cx="5669280" cy="60515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7.65pt;mso-position-vertical:absolute;mso-position-vertical-relative:page;margin-top:36.00pt;z-index:-251419648;width:446.40pt;height:47.65pt;" id="1262" coordsize="8928,953" stroked="f" fillcolor="#ffffff" opacity="0f">
                <v:stroke endcap="round"/>
                <v:fill opacity="0f"/>
                <w10:wrap anchorx="page" anchory="page" side="both"/>
              </v:rect>
            </w:pict>
          </mc:Fallback>
        </mc:AlternateContent>
      </w:r>
    </w:p>
    <w:p>
      <w:pPr>
        <w:autoSpaceDE w:val="0"/>
        <w:autoSpaceDN w:val="0"/>
        <w:jc w:val="both"/>
        <w:spacing w:before="397" w:after="0" w:lineRule="exact" w:line="356"/>
        <w:ind w:right="975" w:left="966" w:firstLine="480"/>
        <w:snapToGrid w:val="0"/>
        <w:textAlignment w:val="auto"/>
        <w:tabs/>
        <w:rPr>
          <w:rFonts w:ascii="宋体" w:hAnsi="宋体" w:cs="宋体" w:eastAsia="宋体" w:hint="ascii"/>
        </w:rPr>
      </w:pPr>
      <w:r>
        <w:rPr>
          <w:rFonts w:ascii="宋体" w:hAnsi="宋体" w:cs="宋体" w:eastAsia="宋体" w:hint="ascii"/>
        </w:rPr>
        <w:t>国际（地区）合作研究与交流项目资助科学技术人员立足国际科学</w:t>
      </w:r>
      <w:r>
        <w:rPr>
          <w:rFonts w:ascii="宋体" w:hAnsi="宋体" w:cs="宋体" w:eastAsia="宋体" w:hint="ascii"/>
          <w:spacing w:val="-8"/>
        </w:rPr>
        <w:t>前</w:t>
      </w:r>
      <w:r>
        <w:rPr>
          <w:rFonts w:ascii="宋体" w:hAnsi="宋体" w:cs="宋体" w:eastAsia="宋体" w:hint="ascii"/>
        </w:rPr>
        <w:t xml:space="preserve"> 沿，有效利用国际科技资源，本着平等合作、互利互惠、成果共享的原则开展实质性国际（地区）合作研究与学术交流，以提高我国科学研究水平和国际竞争能力。</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目前，科学基金国际（地区）合作研究与交流项目资助体系包括重点国</w:t>
      </w:r>
    </w:p>
    <w:p>
      <w:pPr>
        <w:autoSpaceDE w:val="0"/>
        <w:autoSpaceDN w:val="0"/>
        <w:jc w:val="both"/>
        <w:spacing w:before="12" w:after="0" w:lineRule="exact" w:line="355"/>
        <w:ind w:right="975" w:left="966" w:firstLine="0"/>
        <w:snapToGrid w:val="0"/>
        <w:textAlignment w:val="auto"/>
        <w:tabs/>
        <w:rPr>
          <w:rFonts w:ascii="宋体" w:hAnsi="宋体" w:cs="宋体" w:eastAsia="宋体" w:hint="ascii"/>
        </w:rPr>
      </w:pPr>
      <w:r>
        <w:rPr>
          <w:rFonts w:ascii="宋体" w:hAnsi="宋体" w:cs="宋体" w:eastAsia="宋体" w:hint="ascii"/>
        </w:rPr>
        <w:t>际（地区）合作研究项目、组织间国际（地区）合作研究与交流项目和外国青年学者研究基金项目。</w:t>
      </w:r>
    </w:p>
    <w:p>
      <w:pPr>
        <w:autoSpaceDE w:val="0"/>
        <w:autoSpaceDN w:val="0"/>
        <w:jc w:val="left"/>
        <w:spacing w:before="8083"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848" w:after="0" w:lineRule="exact" w:line="363"/>
        <w:ind w:right="0" w:left="2925" w:firstLine="0"/>
        <w:snapToGrid w:val="0"/>
        <w:textAlignment w:val="auto"/>
        <w:tabs/>
        <w:rPr>
          <w:rFonts w:ascii="宋体" w:hAnsi="宋体" w:cs="宋体" w:eastAsia="宋体" w:hint="ascii"/>
          <w:sz w:val="29"/>
        </w:rPr>
      </w:pPr>
      <w:r>
        <w:rPr>
          <w:rFonts w:ascii="宋体" w:hAnsi="宋体" w:cs="宋体" w:eastAsia="宋体" w:hint="ascii"/>
          <w:sz w:val="29"/>
        </w:rPr>
        <w:t>重点国际（地区）合作研究项目</w:t>
      </w:r>
      <w:r>
        <w:rPr>
          <w:rFonts w:ascii="宋体" w:hAnsi="宋体" w:cs="宋体" w:eastAsia="宋体" w:hint="ascii"/>
          <w:sz w:val="29"/>
        </w:rPr>
        <mc:AlternateContent>
          <mc:Choice Requires="wps">
            <w:drawing>
              <wp:anchor distL="0" distR="0" distT="0" distB="0" simplePos="0" behindDoc="1" relativeHeight="234" locked="0" layoutInCell="1" allowOverlap="1">
                <wp:simplePos x="0" y="0"/>
                <wp:positionH relativeFrom="page">
                  <wp:posOffset>938530</wp:posOffset>
                </wp:positionH>
                <wp:positionV relativeFrom="page">
                  <wp:posOffset>819150</wp:posOffset>
                </wp:positionV>
                <wp:extent cx="5076190" cy="0"/>
                <wp:wrapNone/>
                <wp:docPr id="1263" name="126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18624;width:399.70pt;" id="126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4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重点国际（地区）合作研究项目（以下简称重点合作研究项目）资助科学技术人员</w:t>
      </w:r>
    </w:p>
    <w:p>
      <w:pPr>
        <w:autoSpaceDE w:val="0"/>
        <w:autoSpaceDN w:val="0"/>
        <w:jc w:val="both"/>
        <w:spacing w:before="12"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围绕科学基金</w:t>
      </w:r>
      <w:r>
        <w:rPr>
          <w:rFonts w:ascii="宋体" w:hAnsi="宋体" w:cs="宋体" w:eastAsia="宋体" w:hint="ascii"/>
          <w:sz w:val="21"/>
        </w:rPr>
        <w:t>优先资助领域、我国迫切需要发展的研究领域、我国科学家组织或参与的</w:t>
      </w:r>
      <w:r>
        <w:rPr>
          <w:rFonts w:ascii="宋体" w:hAnsi="宋体" w:cs="宋体" w:eastAsia="宋体" w:hint="ascii"/>
          <w:sz w:val="21"/>
          <w:spacing w:val="-1"/>
        </w:rPr>
        <w:t>国际大型科学</w:t>
      </w:r>
      <w:r>
        <w:rPr>
          <w:rFonts w:ascii="宋体" w:hAnsi="宋体" w:cs="宋体" w:eastAsia="宋体" w:hint="ascii"/>
          <w:sz w:val="21"/>
        </w:rPr>
        <w:t>研究项目或计划以及利用国际大型科学设施与境外合作者开展的国际（地区）合作研究。</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申请人应根据各科学部在《指南》中发布的鼓励研究领域，围绕重要科学问题提出</w:t>
      </w:r>
    </w:p>
    <w:p>
      <w:pPr>
        <w:autoSpaceDE w:val="0"/>
        <w:autoSpaceDN w:val="0"/>
        <w:jc w:val="left"/>
        <w:spacing w:before="13" w:after="0" w:lineRule="exact" w:line="319"/>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创新性重点合作研究项目。重点合作研究项目应当充分体现合作的必要性和互补性。合作双方应具有长期而稳定的合作基础（如已合作发表研究论文、较长期的人员互访交流等</w:t>
      </w:r>
      <w:r>
        <w:rPr>
          <w:rFonts w:ascii="宋体" w:hAnsi="宋体" w:cs="宋体" w:eastAsia="宋体" w:hint="ascii"/>
          <w:sz w:val="21"/>
          <w:spacing w:val="-50"/>
        </w:rPr>
        <w:t>）</w:t>
      </w:r>
      <w:r>
        <w:rPr>
          <w:rFonts w:ascii="宋体" w:hAnsi="宋体" w:cs="宋体" w:eastAsia="宋体" w:hint="ascii"/>
          <w:sz w:val="21"/>
        </w:rPr>
        <w:t>，对方应对合作研究给予相应的投入。合作研究过程中要注重成果共享和知识产权的保护。</w:t>
      </w:r>
    </w:p>
    <w:p>
      <w:pPr>
        <w:autoSpaceDE w:val="0"/>
        <w:autoSpaceDN w:val="0"/>
        <w:jc w:val="both"/>
        <w:spacing w:before="1" w:after="0" w:lineRule="exact" w:line="320"/>
        <w:ind w:right="963" w:left="966" w:firstLine="420"/>
        <w:snapToGrid w:val="0"/>
        <w:textAlignment w:val="auto"/>
        <w:tabs>
          <w:tab w:val="left" w:leader="none" w:pos="1861"/>
        </w:tabs>
        <w:numPr>
          <w:ilvl w:val="0"/>
          <w:numId w:val="294"/>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1"/>
        </w:rPr>
        <w:t>重</w:t>
      </w:r>
      <w:r>
        <w:rPr>
          <w:rFonts w:ascii="宋体" w:hAnsi="宋体" w:cs="宋体" w:eastAsia="宋体" w:hint="ascii"/>
          <w:sz w:val="21"/>
        </w:rPr>
        <w:t>点合</w:t>
      </w:r>
      <w:r>
        <w:rPr>
          <w:rFonts w:ascii="宋体" w:hAnsi="宋体" w:cs="宋体" w:eastAsia="宋体" w:hint="ascii"/>
          <w:sz w:val="21"/>
          <w:spacing w:val="-1"/>
        </w:rPr>
        <w:t>作</w:t>
      </w:r>
      <w:r>
        <w:rPr>
          <w:rFonts w:ascii="宋体" w:hAnsi="宋体" w:cs="宋体" w:eastAsia="宋体" w:hint="ascii"/>
          <w:sz w:val="21"/>
        </w:rPr>
        <w:t>研</w:t>
      </w:r>
      <w:r>
        <w:rPr>
          <w:rFonts w:ascii="宋体" w:hAnsi="宋体" w:cs="宋体" w:eastAsia="宋体" w:hint="ascii"/>
          <w:sz w:val="21"/>
          <w:spacing w:val="-1"/>
        </w:rPr>
        <w:t>究</w:t>
      </w:r>
      <w:r>
        <w:rPr>
          <w:rFonts w:ascii="宋体" w:hAnsi="宋体" w:cs="宋体" w:eastAsia="宋体" w:hint="ascii"/>
          <w:sz w:val="21"/>
        </w:rPr>
        <w:t>项目</w:t>
      </w:r>
      <w:r>
        <w:rPr>
          <w:rFonts w:ascii="宋体" w:hAnsi="宋体" w:cs="宋体" w:eastAsia="宋体" w:hint="ascii"/>
          <w:sz w:val="21"/>
          <w:spacing w:val="-1"/>
        </w:rPr>
        <w:t>申</w:t>
      </w:r>
      <w:r>
        <w:rPr>
          <w:rFonts w:ascii="宋体" w:hAnsi="宋体" w:cs="宋体" w:eastAsia="宋体" w:hint="ascii"/>
          <w:sz w:val="21"/>
          <w:spacing w:val="-7"/>
        </w:rPr>
        <w:t>请</w:t>
      </w:r>
      <w:r>
        <w:rPr>
          <w:rFonts w:ascii="宋体" w:hAnsi="宋体" w:cs="宋体" w:eastAsia="宋体" w:hint="ascii"/>
          <w:sz w:val="21"/>
          <w:spacing w:val="-27"/>
        </w:rPr>
        <w:t xml:space="preserve"> </w:t>
      </w:r>
      <w:r>
        <w:rPr>
          <w:rFonts w:ascii="Times New Roman" w:hAnsi="Times New Roman" w:cs="Times New Roman" w:eastAsia="Times New Roman" w:hint="ascii"/>
          <w:sz w:val="21"/>
          <w:spacing w:val="1"/>
        </w:rPr>
        <w:t>6</w:t>
      </w:r>
      <w:r>
        <w:rPr>
          <w:rFonts w:ascii="Times New Roman" w:hAnsi="Times New Roman" w:cs="Times New Roman" w:eastAsia="Times New Roman" w:hint="ascii"/>
          <w:sz w:val="21"/>
        </w:rPr>
        <w:t>09</w:t>
      </w:r>
      <w:r>
        <w:rPr>
          <w:rFonts w:ascii="Times New Roman" w:hAnsi="Times New Roman" w:cs="Times New Roman" w:eastAsia="Times New Roman" w:hint="ascii"/>
          <w:sz w:val="21"/>
          <w:spacing w:val="-27"/>
        </w:rPr>
        <w:t xml:space="preserve"> </w:t>
      </w:r>
      <w:r>
        <w:rPr>
          <w:rFonts w:ascii="宋体" w:hAnsi="宋体" w:cs="宋体" w:eastAsia="宋体" w:hint="ascii"/>
          <w:sz w:val="21"/>
        </w:rPr>
        <w:t>项，</w:t>
      </w:r>
      <w:r>
        <w:rPr>
          <w:rFonts w:ascii="宋体" w:hAnsi="宋体" w:cs="宋体" w:eastAsia="宋体" w:hint="ascii"/>
          <w:sz w:val="21"/>
          <w:spacing w:val="-1"/>
        </w:rPr>
        <w:t>资</w:t>
      </w:r>
      <w:r>
        <w:rPr>
          <w:rFonts w:ascii="宋体" w:hAnsi="宋体" w:cs="宋体" w:eastAsia="宋体" w:hint="ascii"/>
          <w:sz w:val="21"/>
        </w:rPr>
        <w:t>助</w:t>
      </w:r>
      <w:r>
        <w:rPr>
          <w:rFonts w:ascii="宋体" w:hAnsi="宋体" w:cs="宋体" w:eastAsia="宋体" w:hint="ascii"/>
          <w:sz w:val="21"/>
          <w:spacing w:val="-26"/>
        </w:rPr>
        <w:t xml:space="preserve"> </w:t>
      </w:r>
      <w:r>
        <w:rPr>
          <w:rFonts w:ascii="Times New Roman" w:hAnsi="Times New Roman" w:cs="Times New Roman" w:eastAsia="Times New Roman" w:hint="ascii"/>
          <w:sz w:val="21"/>
        </w:rPr>
        <w:t>107</w:t>
      </w:r>
      <w:r>
        <w:rPr>
          <w:rFonts w:ascii="Times New Roman" w:hAnsi="Times New Roman" w:cs="Times New Roman" w:eastAsia="Times New Roman" w:hint="ascii"/>
          <w:sz w:val="21"/>
          <w:spacing w:val="-27"/>
        </w:rPr>
        <w:t xml:space="preserve"> </w:t>
      </w:r>
      <w:r>
        <w:rPr>
          <w:rFonts w:ascii="宋体" w:hAnsi="宋体" w:cs="宋体" w:eastAsia="宋体" w:hint="ascii"/>
          <w:sz w:val="21"/>
        </w:rPr>
        <w:t>项</w:t>
      </w:r>
      <w:r>
        <w:rPr>
          <w:rFonts w:ascii="宋体" w:hAnsi="宋体" w:cs="宋体" w:eastAsia="宋体" w:hint="ascii"/>
          <w:sz w:val="21"/>
          <w:spacing w:val="-1"/>
        </w:rPr>
        <w:t>，</w:t>
      </w:r>
      <w:r>
        <w:rPr>
          <w:rFonts w:ascii="宋体" w:hAnsi="宋体" w:cs="宋体" w:eastAsia="宋体" w:hint="ascii"/>
          <w:sz w:val="21"/>
        </w:rPr>
        <w:t>资</w:t>
      </w:r>
      <w:r>
        <w:rPr>
          <w:rFonts w:ascii="宋体" w:hAnsi="宋体" w:cs="宋体" w:eastAsia="宋体" w:hint="ascii"/>
          <w:sz w:val="21"/>
          <w:spacing w:val="-1"/>
        </w:rPr>
        <w:t>助率</w:t>
      </w:r>
      <w:r>
        <w:rPr>
          <w:rFonts w:ascii="宋体" w:hAnsi="宋体" w:cs="宋体" w:eastAsia="宋体" w:hint="ascii"/>
          <w:sz w:val="21"/>
        </w:rPr>
        <w:t>为</w:t>
      </w:r>
      <w:r>
        <w:rPr>
          <w:rFonts w:ascii="宋体" w:hAnsi="宋体" w:cs="宋体" w:eastAsia="宋体" w:hint="ascii"/>
          <w:sz w:val="21"/>
          <w:spacing w:val="-26"/>
        </w:rPr>
        <w:t xml:space="preserve"> </w:t>
      </w:r>
      <w:r>
        <w:rPr>
          <w:rFonts w:ascii="Times New Roman" w:hAnsi="Times New Roman" w:cs="Times New Roman" w:eastAsia="Times New Roman" w:hint="ascii"/>
          <w:sz w:val="21"/>
        </w:rPr>
        <w:t>17.57%</w:t>
      </w:r>
      <w:r>
        <w:rPr>
          <w:rFonts w:ascii="宋体" w:hAnsi="宋体" w:cs="宋体" w:eastAsia="宋体" w:hint="ascii"/>
          <w:sz w:val="21"/>
        </w:rPr>
        <w:t>，资助直接费</w:t>
      </w:r>
      <w:r>
        <w:rPr>
          <w:rFonts w:ascii="宋体" w:hAnsi="宋体" w:cs="宋体" w:eastAsia="宋体" w:hint="ascii"/>
          <w:sz w:val="21"/>
          <w:spacing w:val="26"/>
        </w:rPr>
        <w:t>用</w:t>
      </w:r>
      <w:r>
        <w:rPr>
          <w:rFonts w:ascii="Times New Roman" w:hAnsi="Times New Roman" w:cs="Times New Roman" w:eastAsia="Times New Roman" w:hint="ascii"/>
          <w:sz w:val="21"/>
        </w:rPr>
        <w:t>25 50</w:t>
      </w:r>
      <w:r>
        <w:rPr>
          <w:rFonts w:ascii="Times New Roman" w:hAnsi="Times New Roman" w:cs="Times New Roman" w:eastAsia="Times New Roman" w:hint="ascii"/>
          <w:sz w:val="21"/>
          <w:spacing w:val="52"/>
        </w:rPr>
        <w:t>0</w:t>
      </w:r>
      <w:r>
        <w:rPr>
          <w:rFonts w:ascii="宋体" w:hAnsi="宋体" w:cs="宋体" w:eastAsia="宋体" w:hint="ascii"/>
          <w:sz w:val="21"/>
        </w:rPr>
        <w:t>万元。</w:t>
      </w:r>
    </w:p>
    <w:p>
      <w:pPr>
        <w:autoSpaceDE w:val="0"/>
        <w:autoSpaceDN w:val="0"/>
        <w:jc w:val="both"/>
        <w:spacing w:before="0" w:after="0" w:lineRule="exact" w:line="319"/>
        <w:ind w:right="978" w:left="966" w:firstLine="420"/>
        <w:snapToGrid w:val="0"/>
        <w:textAlignment w:val="auto"/>
        <w:tabs>
          <w:tab w:val="left" w:leader="none" w:pos="1861"/>
        </w:tabs>
        <w:numPr>
          <w:ilvl w:val="0"/>
          <w:numId w:val="294"/>
        </w:numPr>
        <w:rPr>
          <w:rFonts w:ascii="Times New Roman" w:hAnsi="Times New Roman" w:cs="Times New Roman" w:eastAsia="Times New Roman" w:hint="ascii"/>
          <w:sz w:val="21"/>
          <w:spacing w:val="1"/>
        </w:rPr>
      </w:pPr>
      <w:r>
        <w:rPr>
          <w:rFonts w:ascii="宋体" w:hAnsi="宋体" w:cs="宋体" w:eastAsia="宋体" w:hint="ascii"/>
          <w:sz w:val="21"/>
        </w:rPr>
        <w:t>年度重点合作研究项目计划资助</w:t>
      </w:r>
      <w:r>
        <w:rPr>
          <w:rFonts w:ascii="宋体" w:hAnsi="宋体" w:cs="宋体" w:eastAsia="宋体" w:hint="ascii"/>
          <w:sz w:val="21"/>
          <w:spacing w:val="-26"/>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53"/>
        </w:rPr>
        <w:t>0</w:t>
      </w:r>
      <w:r>
        <w:rPr>
          <w:rFonts w:ascii="宋体" w:hAnsi="宋体" w:cs="宋体" w:eastAsia="宋体" w:hint="ascii"/>
          <w:sz w:val="21"/>
        </w:rPr>
        <w:t>项，直接费用平均资助强度与</w:t>
      </w:r>
      <w:r>
        <w:rPr>
          <w:rFonts w:ascii="宋体" w:hAnsi="宋体" w:cs="宋体" w:eastAsia="宋体" w:hint="ascii"/>
          <w:sz w:val="21"/>
          <w:spacing w:val="-26"/>
        </w:rPr>
        <w:t xml:space="preserve"> </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4"/>
        </w:rPr>
        <w:t>7</w:t>
      </w:r>
      <w:r>
        <w:rPr>
          <w:rFonts w:ascii="宋体" w:hAnsi="宋体" w:cs="宋体" w:eastAsia="宋体" w:hint="ascii"/>
          <w:sz w:val="21"/>
        </w:rPr>
        <w:t>年度持平，资助期限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5</w:t>
      </w:r>
      <w:r>
        <w:rPr>
          <w:rFonts w:ascii="宋体" w:hAnsi="宋体" w:cs="宋体" w:eastAsia="宋体" w:hint="ascii"/>
          <w:sz w:val="21"/>
        </w:rPr>
        <w:t>年。</w:t>
      </w:r>
    </w:p>
    <w:p>
      <w:pPr>
        <w:autoSpaceDE w:val="0"/>
        <w:autoSpaceDN w:val="0"/>
        <w:jc w:val="left"/>
        <w:spacing w:before="4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申请人应当具备以下条件之一：</w:t>
      </w:r>
    </w:p>
    <w:p>
      <w:pPr>
        <w:autoSpaceDE w:val="0"/>
        <w:autoSpaceDN w:val="0"/>
        <w:jc w:val="both"/>
        <w:spacing w:before="13" w:after="0" w:lineRule="exact" w:line="319"/>
        <w:ind w:right="978"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）具有高级专业技术职务（职称</w:t>
      </w:r>
      <w:r>
        <w:rPr>
          <w:rFonts w:ascii="宋体" w:hAnsi="宋体" w:cs="宋体" w:eastAsia="宋体" w:hint="ascii"/>
          <w:sz w:val="21"/>
          <w:spacing w:val="-52"/>
        </w:rPr>
        <w:t>）</w:t>
      </w:r>
      <w:r>
        <w:rPr>
          <w:rFonts w:ascii="宋体" w:hAnsi="宋体" w:cs="宋体" w:eastAsia="宋体" w:hint="ascii"/>
          <w:sz w:val="21"/>
        </w:rPr>
        <w:t>，且作为项目负责人正在承担或承担过三年期以上科学基金项目；</w:t>
      </w:r>
    </w:p>
    <w:p>
      <w:pPr>
        <w:autoSpaceDE w:val="0"/>
        <w:autoSpaceDN w:val="0"/>
        <w:jc w:val="both"/>
        <w:spacing w:before="0" w:after="0" w:lineRule="exact" w:line="320"/>
        <w:ind w:right="979"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）入选国家海外</w:t>
      </w:r>
      <w:r>
        <w:rPr>
          <w:rFonts w:ascii="宋体" w:hAnsi="宋体" w:cs="宋体" w:eastAsia="宋体" w:hint="ascii"/>
          <w:sz w:val="21"/>
        </w:rPr>
        <w:t>高层次人才引进计划</w:t>
      </w:r>
      <w:r>
        <w:rPr>
          <w:rFonts w:ascii="宋体" w:hAnsi="宋体" w:cs="宋体" w:eastAsia="宋体" w:hint="ascii"/>
          <w:sz w:val="21"/>
          <w:spacing w:val="-53"/>
        </w:rPr>
        <w:t>（</w:t>
      </w:r>
      <w:r>
        <w:rPr>
          <w:rFonts w:ascii="宋体" w:hAnsi="宋体" w:cs="宋体" w:eastAsia="宋体" w:hint="ascii"/>
          <w:sz w:val="21"/>
        </w:rPr>
        <w:t>“千人计划</w:t>
      </w:r>
      <w:r>
        <w:rPr>
          <w:rFonts w:ascii="宋体" w:hAnsi="宋体" w:cs="宋体" w:eastAsia="宋体" w:hint="ascii"/>
          <w:sz w:val="21"/>
          <w:spacing w:val="-53"/>
        </w:rPr>
        <w:t>”</w:t>
      </w:r>
      <w:r>
        <w:rPr>
          <w:rFonts w:ascii="宋体" w:hAnsi="宋体" w:cs="宋体" w:eastAsia="宋体" w:hint="ascii"/>
          <w:sz w:val="21"/>
        </w:rPr>
        <w:t>）创新人才长期项目或青</w:t>
      </w:r>
      <w:r>
        <w:rPr>
          <w:rFonts w:ascii="宋体" w:hAnsi="宋体" w:cs="宋体" w:eastAsia="宋体" w:hint="ascii"/>
          <w:sz w:val="21"/>
          <w:spacing w:val="-6"/>
        </w:rPr>
        <w:t>年</w:t>
      </w:r>
      <w:r>
        <w:rPr>
          <w:rFonts w:ascii="宋体" w:hAnsi="宋体" w:cs="宋体" w:eastAsia="宋体" w:hint="ascii"/>
          <w:sz w:val="21"/>
        </w:rPr>
        <w:t>项目。</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合作者应当具备以下条件：</w:t>
      </w:r>
    </w:p>
    <w:p>
      <w:pPr>
        <w:autoSpaceDE w:val="0"/>
        <w:autoSpaceDN w:val="0"/>
        <w:jc w:val="left"/>
        <w:spacing w:before="5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）在境外从事科学研究，并独立主持实验室或重要的研究项目；</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）具有所在国（或所在地）相当于副教授以上的专业技术职务（职称</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申报附件材料及要求：</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除提交中文申请书外，申请人还需提供以下材料。</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）英文申</w:t>
      </w:r>
      <w:r>
        <w:rPr>
          <w:rFonts w:ascii="宋体" w:hAnsi="宋体" w:cs="宋体" w:eastAsia="宋体" w:hint="ascii"/>
          <w:sz w:val="21"/>
        </w:rPr>
        <w:t>请书：可在科学基金网络信息系统中下载填写并作为在线填报申请书的附件一并提交。</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）合作协议书：申请人应提供有合作者双方共同签字的《合作协议书》复印件，</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不可用只有</w:t>
      </w:r>
      <w:r>
        <w:rPr>
          <w:rFonts w:ascii="宋体" w:hAnsi="宋体" w:cs="宋体" w:eastAsia="宋体" w:hint="ascii"/>
          <w:sz w:val="21"/>
        </w:rPr>
        <w:t>单方签字的信函替代。协议书必须涵盖：①合作研究内容和所要达到的研究</w:t>
      </w:r>
      <w:r>
        <w:rPr>
          <w:rFonts w:ascii="宋体" w:hAnsi="宋体" w:cs="宋体" w:eastAsia="宋体" w:hint="ascii"/>
          <w:sz w:val="21"/>
          <w:spacing w:val="-1"/>
        </w:rPr>
        <w:t>目标；②合</w:t>
      </w:r>
      <w:r>
        <w:rPr>
          <w:rFonts w:ascii="宋体" w:hAnsi="宋体" w:cs="宋体" w:eastAsia="宋体" w:hint="ascii"/>
          <w:sz w:val="21"/>
        </w:rPr>
        <w:t>作双方负责人和主要参与者；③合作研究的期限、方式和计划；④知识产权</w:t>
      </w:r>
      <w:r>
        <w:rPr>
          <w:rFonts w:ascii="宋体" w:hAnsi="宋体" w:cs="宋体" w:eastAsia="宋体" w:hint="ascii"/>
          <w:sz w:val="21"/>
          <w:spacing w:val="-1"/>
        </w:rPr>
        <w:t>的归属、使</w:t>
      </w:r>
      <w:r>
        <w:rPr>
          <w:rFonts w:ascii="宋体" w:hAnsi="宋体" w:cs="宋体" w:eastAsia="宋体" w:hint="ascii"/>
          <w:sz w:val="21"/>
        </w:rPr>
        <w:t>用和转移；⑤相关资金预算等事项。具体要求参照《合作协议书》范本。网址如下：</w:t>
      </w:r>
    </w:p>
    <w:p>
      <w:pPr>
        <w:autoSpaceDE w:val="0"/>
        <w:autoSpaceDN w:val="0"/>
        <w:jc w:val="left"/>
        <w:spacing w:before="54" w:after="0" w:lineRule="auto" w:line="240"/>
        <w:ind w:right="0" w:left="1386"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rPr>
        <w:t>http://ww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.cn/Portals/0/fj/fj20161230_02.doc</w:t>
      </w:r>
    </w:p>
    <w:p>
      <w:pPr>
        <w:autoSpaceDE w:val="0"/>
        <w:autoSpaceDN w:val="0"/>
        <w:jc w:val="both"/>
        <w:spacing w:before="17"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）合作者</w:t>
      </w:r>
      <w:r>
        <w:rPr>
          <w:rFonts w:ascii="宋体" w:hAnsi="宋体" w:cs="宋体" w:eastAsia="宋体" w:hint="ascii"/>
          <w:sz w:val="21"/>
        </w:rPr>
        <w:t>在所在国（或所在地）主持与申请项目内容有关的研究项目证明材料或</w:t>
      </w:r>
      <w:r>
        <w:rPr>
          <w:rFonts w:ascii="宋体" w:hAnsi="宋体" w:cs="宋体" w:eastAsia="宋体" w:hint="ascii"/>
          <w:sz w:val="21"/>
          <w:spacing w:val="26"/>
        </w:rPr>
        <w:t>近</w:t>
      </w:r>
      <w:r>
        <w:rPr>
          <w:rFonts w:ascii="Times New Roman" w:hAnsi="Times New Roman" w:cs="Times New Roman" w:eastAsia="Times New Roman" w:hint="ascii"/>
          <w:sz w:val="21"/>
          <w:spacing w:val="52"/>
        </w:rPr>
        <w:t>3</w:t>
      </w:r>
      <w:r>
        <w:rPr>
          <w:rFonts w:ascii="宋体" w:hAnsi="宋体" w:cs="宋体" w:eastAsia="宋体" w:hint="ascii"/>
          <w:sz w:val="21"/>
        </w:rPr>
        <w:t>年发表的与申请项目内容有关的论文。</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）外方合作者针对英文申请书的确认函：当外方合作者无法在英文申请书上签字</w:t>
      </w:r>
    </w:p>
    <w:p>
      <w:pPr>
        <w:autoSpaceDE w:val="0"/>
        <w:autoSpaceDN w:val="0"/>
        <w:jc w:val="left"/>
        <w:spacing w:before="437"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159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时，可由一</w:t>
      </w:r>
      <w:r>
        <w:rPr>
          <w:rFonts w:ascii="宋体" w:hAnsi="宋体" w:cs="宋体" w:eastAsia="宋体" w:hint="ascii"/>
          <w:sz w:val="21"/>
        </w:rPr>
        <w:t>封本人签名的确认函代替。确认函需外方合作者在其大学或研究机构的正式</w:t>
      </w:r>
      <w:r>
        <w:rPr>
          <w:rFonts w:ascii="宋体" w:hAnsi="宋体" w:cs="宋体" w:eastAsia="宋体" w:hint="ascii"/>
          <w:sz w:val="21"/>
          <w:spacing w:val="-1"/>
        </w:rPr>
        <w:t>信函用纸上</w:t>
      </w:r>
      <w:r>
        <w:rPr>
          <w:rFonts w:ascii="宋体" w:hAnsi="宋体" w:cs="宋体" w:eastAsia="宋体" w:hint="ascii"/>
          <w:sz w:val="21"/>
        </w:rPr>
        <w:t>打印，信函用纸上应包含外方合作者所在工作单位信息，如大学或研究机构</w:t>
      </w:r>
      <w:r>
        <w:rPr>
          <w:rFonts w:ascii="宋体" w:hAnsi="宋体" w:cs="宋体" w:eastAsia="宋体" w:hint="ascii"/>
          <w:sz w:val="21"/>
          <w:spacing w:val="-1"/>
        </w:rPr>
        <w:t>标志、单位</w:t>
      </w:r>
      <w:r>
        <w:rPr>
          <w:rFonts w:ascii="宋体" w:hAnsi="宋体" w:cs="宋体" w:eastAsia="宋体" w:hint="ascii"/>
          <w:sz w:val="21"/>
        </w:rPr>
        <w:t>名称、具体联系方式等内容。外方合作者必须提供其完整准确的通讯地址和</w:t>
      </w:r>
      <w:r>
        <w:rPr>
          <w:rFonts w:ascii="宋体" w:hAnsi="宋体" w:cs="宋体" w:eastAsia="宋体" w:hint="ascii"/>
          <w:sz w:val="21"/>
          <w:spacing w:val="-1"/>
        </w:rPr>
        <w:t>联系信息，</w:t>
      </w:r>
      <w:r>
        <w:rPr>
          <w:rFonts w:ascii="宋体" w:hAnsi="宋体" w:cs="宋体" w:eastAsia="宋体" w:hint="ascii"/>
          <w:sz w:val="21"/>
        </w:rPr>
        <w:t>同时需明确合作题目、合作内容、合作时限、成果共享约定等内容。外方合作者应在确认函中明确表明已阅读过英文申请书并同意其内容。</w:t>
      </w:r>
      <w:r>
        <w:rPr>
          <w:rFonts w:ascii="宋体" w:hAnsi="宋体" w:cs="宋体" w:eastAsia="宋体" w:hint="ascii"/>
          <w:sz w:val="21"/>
        </w:rPr>
        <mc:AlternateContent>
          <mc:Choice Requires="wps">
            <w:drawing>
              <wp:anchor distL="0" distR="0" distT="0" distB="0" simplePos="0" behindDoc="1" relativeHeight="235" locked="0" layoutInCell="1" allowOverlap="1">
                <wp:simplePos x="0" y="0"/>
                <wp:positionH relativeFrom="page">
                  <wp:posOffset>938530</wp:posOffset>
                </wp:positionH>
                <wp:positionV relativeFrom="page">
                  <wp:posOffset>805815</wp:posOffset>
                </wp:positionV>
                <wp:extent cx="5076190" cy="0"/>
                <wp:wrapNone/>
                <wp:docPr id="1264" name="126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17600;width:399.70pt;" id="126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4" w:after="0" w:lineRule="auto" w:line="240"/>
        <w:ind w:right="0" w:left="1928" w:hanging="542"/>
        <w:snapToGrid w:val="0"/>
        <w:textAlignment w:val="auto"/>
        <w:tabs>
          <w:tab w:val="left" w:leader="none" w:pos="1926"/>
        </w:tabs>
        <w:numPr>
          <w:ilvl w:val="0"/>
          <w:numId w:val="21"/>
        </w:numPr>
        <w:rPr>
          <w:rFonts w:ascii="Times New Roman" w:hAnsi="Times New Roman" w:cs="Times New Roman" w:eastAsia="Times New Roman" w:hint="ascii"/>
          <w:b w:val="1"/>
        </w:rPr>
      </w:pPr>
      <w:r>
        <w:rPr>
          <w:rFonts w:ascii="宋体" w:hAnsi="宋体" w:cs="宋体" w:eastAsia="宋体" w:hint="ascii"/>
        </w:rPr>
        <w:t>年度重点合作研究项目鼓励研究领域：</w:t>
      </w:r>
    </w:p>
    <w:p>
      <w:pPr>
        <w:autoSpaceDE w:val="0"/>
        <w:autoSpaceDN w:val="0"/>
        <w:jc w:val="left"/>
        <w:spacing w:before="216"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数理科学部鼓励研究领域</w:t>
      </w:r>
    </w:p>
    <w:p>
      <w:pPr>
        <w:autoSpaceDE w:val="0"/>
        <w:autoSpaceDN w:val="0"/>
        <w:jc w:val="left"/>
        <w:spacing w:before="7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）实验力学新方法与新技术；</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）复杂系统的非线性力学问题；</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）巡天观测和空间观测；</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）大望远镜相关的天文新技术方法；</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）可扩展性固体物理体系量子计算与模拟；</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）光场调控及其与物质相互作用；</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）物理常数的精密测量；</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）高性能粒子探测器的研究；</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）强子结构和新强子态前沿研究；</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）磁约束聚变等离子体物理不稳定性研究与先进测量诊断技术；</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）新能源中的物理问题；</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）依托国内或国外大科学装置开展的科学研究。</w:t>
      </w:r>
    </w:p>
    <w:p>
      <w:pPr>
        <w:autoSpaceDE w:val="0"/>
        <w:autoSpaceDN w:val="0"/>
        <w:jc w:val="left"/>
        <w:spacing w:before="64"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化学科学部鼓励研究领域</w:t>
      </w:r>
    </w:p>
    <w:p>
      <w:pPr>
        <w:autoSpaceDE w:val="0"/>
        <w:autoSpaceDN w:val="0"/>
        <w:jc w:val="left"/>
        <w:spacing w:before="7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鼓励研究领域确立的原则：体现基础性、交叉性、牵引性和互补性。</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）催化与化学精准合成；</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）绿色化学与可持续化学的反应和过程；</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）表界面化学、过程及机理；</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）复杂体系的理论与计算化学；</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）精准化学测量与成像；</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）分子组装、结构与功能；</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）先进功能材料的分子基础；</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）天然产物化学与药物发现；</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）化学生物学；</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）环境污染化学与调控；</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）化工过程中的介尺度科学问题。</w:t>
      </w:r>
    </w:p>
    <w:p>
      <w:pPr>
        <w:autoSpaceDE w:val="0"/>
        <w:autoSpaceDN w:val="0"/>
        <w:jc w:val="left"/>
        <w:spacing w:before="63"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生命科学部鼓励研究领域</w:t>
      </w:r>
    </w:p>
    <w:p>
      <w:pPr>
        <w:autoSpaceDE w:val="0"/>
        <w:autoSpaceDN w:val="0"/>
        <w:jc w:val="both"/>
        <w:spacing w:before="20" w:after="0" w:lineRule="exact" w:line="326"/>
        <w:ind w:right="978" w:left="1281" w:firstLine="104"/>
        <w:snapToGrid w:val="0"/>
        <w:textAlignment w:val="auto"/>
        <w:tabs/>
        <w:rPr>
          <w:rFonts w:ascii="宋体" w:hAnsi="宋体" w:cs="宋体" w:eastAsia="宋体" w:hint="ascii"/>
          <w:sz w:val="21"/>
        </w:rPr>
      </w:pPr>
      <w:r>
        <w:rPr>
          <w:rFonts w:ascii="宋体" w:hAnsi="宋体" w:cs="宋体" w:eastAsia="宋体" w:hint="ascii"/>
          <w:sz w:val="21"/>
          <w:spacing w:val="-1"/>
        </w:rPr>
        <w:t>注意“强强合</w:t>
      </w:r>
      <w:r>
        <w:rPr>
          <w:rFonts w:ascii="宋体" w:hAnsi="宋体" w:cs="宋体" w:eastAsia="宋体" w:hint="ascii"/>
          <w:sz w:val="21"/>
        </w:rPr>
        <w:t>作”与“我弱他强合作”并重，加强以我为主导开展国际合作研究。（</w:t>
      </w:r>
      <w:r>
        <w:rPr>
          <w:rFonts w:ascii="Times New Roman" w:hAnsi="Times New Roman" w:cs="Times New Roman" w:eastAsia="Times New Roman" w:hint="ascii"/>
          <w:sz w:val="21"/>
        </w:rPr>
        <w:t>1</w:t>
      </w:r>
      <w:r>
        <w:rPr>
          <w:rFonts w:ascii="宋体" w:hAnsi="宋体" w:cs="宋体" w:eastAsia="宋体" w:hint="ascii"/>
          <w:sz w:val="21"/>
        </w:rPr>
        <w:t>）干细胞的基础与应用；</w:t>
      </w:r>
    </w:p>
    <w:p>
      <w:pPr>
        <w:autoSpaceDE w:val="0"/>
        <w:autoSpaceDN w:val="0"/>
        <w:jc w:val="left"/>
        <w:spacing w:before="5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）合成生物学；</w:t>
      </w:r>
    </w:p>
    <w:p>
      <w:pPr>
        <w:autoSpaceDE w:val="0"/>
        <w:autoSpaceDN w:val="0"/>
        <w:jc w:val="left"/>
        <w:spacing w:before="493"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）重要生命器官构建与仿生构筑的原理；</w:t>
      </w:r>
      <w:r>
        <w:rPr>
          <w:rFonts w:ascii="宋体" w:hAnsi="宋体" w:cs="宋体" w:eastAsia="宋体" w:hint="ascii"/>
          <w:sz w:val="21"/>
        </w:rPr>
        <mc:AlternateContent>
          <mc:Choice Requires="wps">
            <w:drawing>
              <wp:anchor distL="0" distR="0" distT="0" distB="0" simplePos="0" behindDoc="1" relativeHeight="236" locked="0" layoutInCell="1" allowOverlap="1">
                <wp:simplePos x="0" y="0"/>
                <wp:positionH relativeFrom="page">
                  <wp:posOffset>938530</wp:posOffset>
                </wp:positionH>
                <wp:positionV relativeFrom="page">
                  <wp:posOffset>819150</wp:posOffset>
                </wp:positionV>
                <wp:extent cx="5076190" cy="0"/>
                <wp:wrapNone/>
                <wp:docPr id="1265" name="126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16576;width:399.70pt;" id="126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）大规模生物数据的获取、数据库的建立和分析；</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）物种及生态系统对全球气候变化的适应与响应；</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）生物多样性；</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）动植物重大传染病和生物入侵跨国境监测预警与防治；</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）农业生物种质资源收集、评价和利用；</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）农业生产应对全球气候变化。</w:t>
      </w:r>
    </w:p>
    <w:p>
      <w:pPr>
        <w:autoSpaceDE w:val="0"/>
        <w:autoSpaceDN w:val="0"/>
        <w:jc w:val="left"/>
        <w:spacing w:before="64"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地球科学部鼓励研究领域</w:t>
      </w:r>
    </w:p>
    <w:p>
      <w:pPr>
        <w:autoSpaceDE w:val="0"/>
        <w:autoSpaceDN w:val="0"/>
        <w:jc w:val="left"/>
        <w:spacing w:before="7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）地表关键过程及其多元效应；</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）环境污染及其影响；</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）人类活动及其生态环境效应；</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）成矿成藏系统与机理；</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）板块内部与边界动力学过程；</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）地球深部过程与表层过程的耦合关系；</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）地质灾害机理、监测预警与风险防控；</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）日地能量传输过程及其对人类活动的影响；</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）水循环与生态水文过程；</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）天气与气候系统变化的关键过程与机制；</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）亚洲季风、干旱环境系统与全球环境变化；</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）重要生物类群的起源和重大演化事件及其环境背景；</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）极端环境下的生命过程；</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）海洋多尺度相互作用动力过程及其机理；</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）海洋生态系统安全和深海深渊生物资源；</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16</w:t>
      </w:r>
      <w:r>
        <w:rPr>
          <w:rFonts w:ascii="宋体" w:hAnsi="宋体" w:cs="宋体" w:eastAsia="宋体" w:hint="ascii"/>
          <w:sz w:val="21"/>
        </w:rPr>
        <w:t>）促进地球科学发展的先进科学技术与平台；</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17</w:t>
      </w:r>
      <w:r>
        <w:rPr>
          <w:rFonts w:ascii="宋体" w:hAnsi="宋体" w:cs="宋体" w:eastAsia="宋体" w:hint="ascii"/>
          <w:sz w:val="21"/>
          <w:spacing w:val="-52"/>
        </w:rPr>
        <w:t>）</w:t>
      </w:r>
      <w:r>
        <w:rPr>
          <w:rFonts w:ascii="宋体" w:hAnsi="宋体" w:cs="宋体" w:eastAsia="宋体" w:hint="ascii"/>
          <w:sz w:val="21"/>
        </w:rPr>
        <w:t>“一带一路”的资源、环境与生态。</w:t>
      </w:r>
    </w:p>
    <w:p>
      <w:pPr>
        <w:autoSpaceDE w:val="0"/>
        <w:autoSpaceDN w:val="0"/>
        <w:jc w:val="left"/>
        <w:spacing w:before="64"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工程与材料科学部鼓励研究领域</w:t>
      </w:r>
    </w:p>
    <w:p>
      <w:pPr>
        <w:autoSpaceDE w:val="0"/>
        <w:autoSpaceDN w:val="0"/>
        <w:jc w:val="left"/>
        <w:spacing w:before="7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）能源材料；</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）纳米材料与器件；</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）生物医用材料；</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）高性能结构材料；</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）可持续材料；</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）可持续资源循环与清洁冶金；</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）先进制造、绿色制造、智能制造；</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）可再生能源、能源高效清洁利用；</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）高效电力电子系统；</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）高效高品质电机系统；</w:t>
      </w:r>
    </w:p>
    <w:p>
      <w:pPr>
        <w:autoSpaceDE w:val="0"/>
        <w:autoSpaceDN w:val="0"/>
        <w:jc w:val="left"/>
        <w:spacing w:before="6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）水资源与水环境；</w:t>
      </w:r>
    </w:p>
    <w:p>
      <w:pPr>
        <w:autoSpaceDE w:val="0"/>
        <w:autoSpaceDN w:val="0"/>
        <w:jc w:val="left"/>
        <w:spacing w:before="405"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）城市水环境与水质安全；</w:t>
      </w:r>
      <w:r>
        <w:rPr>
          <w:rFonts w:ascii="宋体" w:hAnsi="宋体" w:cs="宋体" w:eastAsia="宋体" w:hint="ascii"/>
          <w:sz w:val="21"/>
        </w:rPr>
        <mc:AlternateContent>
          <mc:Choice Requires="wps">
            <w:drawing>
              <wp:anchor distL="0" distR="0" distT="0" distB="0" simplePos="0" behindDoc="1" relativeHeight="237" locked="0" layoutInCell="1" allowOverlap="1">
                <wp:simplePos x="0" y="0"/>
                <wp:positionH relativeFrom="page">
                  <wp:posOffset>938530</wp:posOffset>
                </wp:positionH>
                <wp:positionV relativeFrom="page">
                  <wp:posOffset>805815</wp:posOffset>
                </wp:positionV>
                <wp:extent cx="5076190" cy="0"/>
                <wp:wrapNone/>
                <wp:docPr id="1266" name="126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15552;width:399.70pt;" id="126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）土木工程防灾与全寿命可靠性；</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）深海工程。</w:t>
      </w:r>
    </w:p>
    <w:p>
      <w:pPr>
        <w:autoSpaceDE w:val="0"/>
        <w:autoSpaceDN w:val="0"/>
        <w:jc w:val="left"/>
        <w:spacing w:before="67"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信息科学部鼓励研究领域</w:t>
      </w:r>
    </w:p>
    <w:p>
      <w:pPr>
        <w:autoSpaceDE w:val="0"/>
        <w:autoSpaceDN w:val="0"/>
        <w:jc w:val="left"/>
        <w:spacing w:before="7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）电磁涡旋基础理论与关键技术；</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）电磁能量获取与应用；</w:t>
      </w:r>
    </w:p>
    <w:p>
      <w:pPr>
        <w:autoSpaceDE w:val="0"/>
        <w:autoSpaceDN w:val="0"/>
        <w:jc w:val="both"/>
        <w:spacing w:before="14" w:after="0" w:lineRule="exact" w:line="330"/>
        <w:ind w:right="4758"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）毫米波</w:t>
      </w:r>
      <w:r>
        <w:rPr>
          <w:rFonts w:ascii="宋体" w:hAnsi="宋体" w:cs="宋体" w:eastAsia="宋体" w:hint="ascii"/>
          <w:sz w:val="21"/>
        </w:rPr>
        <w:t>电路和天线集成理论与设计；（</w:t>
      </w:r>
      <w:r>
        <w:rPr>
          <w:rFonts w:ascii="Times New Roman" w:hAnsi="Times New Roman" w:cs="Times New Roman" w:eastAsia="Times New Roman" w:hint="ascii"/>
          <w:sz w:val="21"/>
        </w:rPr>
        <w:t>4</w:t>
      </w:r>
      <w:r>
        <w:rPr>
          <w:rFonts w:ascii="宋体" w:hAnsi="宋体" w:cs="宋体" w:eastAsia="宋体" w:hint="ascii"/>
          <w:sz w:val="21"/>
        </w:rPr>
        <w:t>）探测成像理论与关键技术；</w:t>
      </w:r>
    </w:p>
    <w:p>
      <w:pPr>
        <w:autoSpaceDE w:val="0"/>
        <w:autoSpaceDN w:val="0"/>
        <w:jc w:val="both"/>
        <w:spacing w:before="0" w:after="0" w:lineRule="exact" w:line="330"/>
        <w:ind w:right="4968"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5</w:t>
      </w:r>
      <w:r>
        <w:rPr>
          <w:rFonts w:ascii="宋体" w:hAnsi="宋体" w:cs="宋体" w:eastAsia="宋体" w:hint="ascii"/>
          <w:sz w:val="21"/>
          <w:spacing w:val="-1"/>
        </w:rPr>
        <w:t>）科学研</w:t>
      </w:r>
      <w:r>
        <w:rPr>
          <w:rFonts w:ascii="宋体" w:hAnsi="宋体" w:cs="宋体" w:eastAsia="宋体" w:hint="ascii"/>
          <w:sz w:val="21"/>
        </w:rPr>
        <w:t>究数据的高性能计算分析；（</w:t>
      </w:r>
      <w:r>
        <w:rPr>
          <w:rFonts w:ascii="Times New Roman" w:hAnsi="Times New Roman" w:cs="Times New Roman" w:eastAsia="Times New Roman" w:hint="ascii"/>
          <w:sz w:val="21"/>
        </w:rPr>
        <w:t>6</w:t>
      </w:r>
      <w:r>
        <w:rPr>
          <w:rFonts w:ascii="宋体" w:hAnsi="宋体" w:cs="宋体" w:eastAsia="宋体" w:hint="ascii"/>
          <w:sz w:val="21"/>
        </w:rPr>
        <w:t>）大数据计算理论与系统实践；</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）新型互联网基础理论与关键技术；</w:t>
      </w:r>
    </w:p>
    <w:p>
      <w:pPr>
        <w:autoSpaceDE w:val="0"/>
        <w:autoSpaceDN w:val="0"/>
        <w:jc w:val="both"/>
        <w:spacing w:before="13" w:after="0" w:lineRule="exact" w:line="330"/>
        <w:ind w:right="4338"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8</w:t>
      </w:r>
      <w:r>
        <w:rPr>
          <w:rFonts w:ascii="宋体" w:hAnsi="宋体" w:cs="宋体" w:eastAsia="宋体" w:hint="ascii"/>
          <w:sz w:val="21"/>
          <w:spacing w:val="-1"/>
        </w:rPr>
        <w:t>）复杂工</w:t>
      </w:r>
      <w:r>
        <w:rPr>
          <w:rFonts w:ascii="宋体" w:hAnsi="宋体" w:cs="宋体" w:eastAsia="宋体" w:hint="ascii"/>
          <w:sz w:val="21"/>
        </w:rPr>
        <w:t>业过程优化、决策与控制一体化；（</w:t>
      </w:r>
      <w:r>
        <w:rPr>
          <w:rFonts w:ascii="Times New Roman" w:hAnsi="Times New Roman" w:cs="Times New Roman" w:eastAsia="Times New Roman" w:hint="ascii"/>
          <w:sz w:val="21"/>
        </w:rPr>
        <w:t>9</w:t>
      </w:r>
      <w:r>
        <w:rPr>
          <w:rFonts w:ascii="宋体" w:hAnsi="宋体" w:cs="宋体" w:eastAsia="宋体" w:hint="ascii"/>
          <w:sz w:val="21"/>
        </w:rPr>
        <w:t>）先进导航技术与系统；</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）多机器人系统及应用；</w:t>
      </w:r>
    </w:p>
    <w:p>
      <w:pPr>
        <w:autoSpaceDE w:val="0"/>
        <w:autoSpaceDN w:val="0"/>
        <w:jc w:val="both"/>
        <w:spacing w:before="13" w:after="0" w:lineRule="exact" w:line="330"/>
        <w:ind w:right="4871"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spacing w:val="-1"/>
        </w:rPr>
        <w:t>1</w:t>
      </w:r>
      <w:r>
        <w:rPr>
          <w:rFonts w:ascii="宋体" w:hAnsi="宋体" w:cs="宋体" w:eastAsia="宋体" w:hint="ascii"/>
          <w:sz w:val="21"/>
          <w:spacing w:val="-1"/>
        </w:rPr>
        <w:t>）面向太</w:t>
      </w:r>
      <w:r>
        <w:rPr>
          <w:rFonts w:ascii="宋体" w:hAnsi="宋体" w:cs="宋体" w:eastAsia="宋体" w:hint="ascii"/>
          <w:sz w:val="21"/>
        </w:rPr>
        <w:t>赫兹成像的集成电路技术；（</w:t>
      </w:r>
      <w:r>
        <w:rPr>
          <w:rFonts w:ascii="Times New Roman" w:hAnsi="Times New Roman" w:cs="Times New Roman" w:eastAsia="Times New Roman" w:hint="ascii"/>
          <w:sz w:val="21"/>
        </w:rPr>
        <w:t>12</w:t>
      </w:r>
      <w:r>
        <w:rPr>
          <w:rFonts w:ascii="宋体" w:hAnsi="宋体" w:cs="宋体" w:eastAsia="宋体" w:hint="ascii"/>
          <w:sz w:val="21"/>
        </w:rPr>
        <w:t>）全息波导显示技术；</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）光学任意波形产生技术；</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）光电探测技术；</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）智能系统与应用；</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16</w:t>
      </w:r>
      <w:r>
        <w:rPr>
          <w:rFonts w:ascii="宋体" w:hAnsi="宋体" w:cs="宋体" w:eastAsia="宋体" w:hint="ascii"/>
          <w:sz w:val="21"/>
        </w:rPr>
        <w:t>）教育信息科学与技术。</w:t>
      </w:r>
    </w:p>
    <w:p>
      <w:pPr>
        <w:autoSpaceDE w:val="0"/>
        <w:autoSpaceDN w:val="0"/>
        <w:jc w:val="left"/>
        <w:spacing w:before="67"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管理科学部鼓励研究领域</w:t>
      </w:r>
    </w:p>
    <w:p>
      <w:pPr>
        <w:autoSpaceDE w:val="0"/>
        <w:autoSpaceDN w:val="0"/>
        <w:jc w:val="left"/>
        <w:spacing w:before="7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）管理系统中的行为规律；</w:t>
      </w:r>
    </w:p>
    <w:p>
      <w:pPr>
        <w:autoSpaceDE w:val="0"/>
        <w:autoSpaceDN w:val="0"/>
        <w:jc w:val="both"/>
        <w:spacing w:before="13" w:after="0" w:lineRule="exact" w:line="330"/>
        <w:ind w:right="4968"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）复杂管</w:t>
      </w:r>
      <w:r>
        <w:rPr>
          <w:rFonts w:ascii="宋体" w:hAnsi="宋体" w:cs="宋体" w:eastAsia="宋体" w:hint="ascii"/>
          <w:sz w:val="21"/>
        </w:rPr>
        <w:t>理系统分析、实验与建模；（</w:t>
      </w:r>
      <w:r>
        <w:rPr>
          <w:rFonts w:ascii="Times New Roman" w:hAnsi="Times New Roman" w:cs="Times New Roman" w:eastAsia="Times New Roman" w:hint="ascii"/>
          <w:sz w:val="21"/>
        </w:rPr>
        <w:t>3</w:t>
      </w:r>
      <w:r>
        <w:rPr>
          <w:rFonts w:ascii="宋体" w:hAnsi="宋体" w:cs="宋体" w:eastAsia="宋体" w:hint="ascii"/>
          <w:sz w:val="21"/>
        </w:rPr>
        <w:t>）复杂工程与复杂运营管理；</w:t>
      </w:r>
    </w:p>
    <w:p>
      <w:pPr>
        <w:autoSpaceDE w:val="0"/>
        <w:autoSpaceDN w:val="0"/>
        <w:jc w:val="both"/>
        <w:spacing w:before="0" w:after="0" w:lineRule="exact" w:line="330"/>
        <w:ind w:right="4548"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）移动互</w:t>
      </w:r>
      <w:r>
        <w:rPr>
          <w:rFonts w:ascii="宋体" w:hAnsi="宋体" w:cs="宋体" w:eastAsia="宋体" w:hint="ascii"/>
          <w:sz w:val="21"/>
        </w:rPr>
        <w:t>联环境下交通系统的分析优化；（</w:t>
      </w:r>
      <w:r>
        <w:rPr>
          <w:rFonts w:ascii="Times New Roman" w:hAnsi="Times New Roman" w:cs="Times New Roman" w:eastAsia="Times New Roman" w:hint="ascii"/>
          <w:sz w:val="21"/>
        </w:rPr>
        <w:t>5</w:t>
      </w:r>
      <w:r>
        <w:rPr>
          <w:rFonts w:ascii="宋体" w:hAnsi="宋体" w:cs="宋体" w:eastAsia="宋体" w:hint="ascii"/>
          <w:sz w:val="21"/>
        </w:rPr>
        <w:t>）数据驱动的金融创新与风险规律；</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）创业活动的规律及其生态系统；</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）中国企业的变革及其创新规律；</w:t>
      </w:r>
    </w:p>
    <w:p>
      <w:pPr>
        <w:autoSpaceDE w:val="0"/>
        <w:autoSpaceDN w:val="0"/>
        <w:jc w:val="both"/>
        <w:spacing w:before="13" w:after="0" w:lineRule="exact" w:line="330"/>
        <w:ind w:right="4758"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8</w:t>
      </w:r>
      <w:r>
        <w:rPr>
          <w:rFonts w:ascii="宋体" w:hAnsi="宋体" w:cs="宋体" w:eastAsia="宋体" w:hint="ascii"/>
          <w:sz w:val="21"/>
          <w:spacing w:val="-1"/>
        </w:rPr>
        <w:t>）企业创</w:t>
      </w:r>
      <w:r>
        <w:rPr>
          <w:rFonts w:ascii="宋体" w:hAnsi="宋体" w:cs="宋体" w:eastAsia="宋体" w:hint="ascii"/>
          <w:sz w:val="21"/>
        </w:rPr>
        <w:t>新行为与国家创新系统管理；（</w:t>
      </w:r>
      <w:r>
        <w:rPr>
          <w:rFonts w:ascii="Times New Roman" w:hAnsi="Times New Roman" w:cs="Times New Roman" w:eastAsia="Times New Roman" w:hint="ascii"/>
          <w:sz w:val="21"/>
        </w:rPr>
        <w:t>9</w:t>
      </w:r>
      <w:r>
        <w:rPr>
          <w:rFonts w:ascii="宋体" w:hAnsi="宋体" w:cs="宋体" w:eastAsia="宋体" w:hint="ascii"/>
          <w:sz w:val="21"/>
        </w:rPr>
        <w:t>）服务经济中的管理科学问题；</w:t>
      </w:r>
    </w:p>
    <w:p>
      <w:pPr>
        <w:autoSpaceDE w:val="0"/>
        <w:autoSpaceDN w:val="0"/>
        <w:jc w:val="left"/>
        <w:spacing w:before="0" w:after="0" w:lineRule="exact" w:line="330"/>
        <w:ind w:right="4481"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）中国社会经济绿色低碳发展的规律；（</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）中国经济结构转型及机制重构研究；（</w:t>
      </w:r>
      <w:r>
        <w:rPr>
          <w:rFonts w:ascii="Times New Roman" w:hAnsi="Times New Roman" w:cs="Times New Roman" w:eastAsia="Times New Roman" w:hint="ascii"/>
          <w:sz w:val="21"/>
        </w:rPr>
        <w:t>12</w:t>
      </w:r>
      <w:r>
        <w:rPr>
          <w:rFonts w:ascii="宋体" w:hAnsi="宋体" w:cs="宋体" w:eastAsia="宋体" w:hint="ascii"/>
          <w:sz w:val="21"/>
        </w:rPr>
        <w:t>）国家安全的基础管理规律；</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）国家与社会治理的基础规律；</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）新型城镇化的管理规律与机制；</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）移动互联医疗及健康管理。</w:t>
      </w:r>
    </w:p>
    <w:p>
      <w:pPr>
        <w:autoSpaceDE w:val="0"/>
        <w:autoSpaceDN w:val="0"/>
        <w:jc w:val="left"/>
        <w:spacing w:before="591"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6" w:after="0" w:lineRule="auto" w:line="240"/>
        <w:ind w:right="0" w:left="1649" w:hanging="263"/>
        <w:snapToGrid w:val="0"/>
        <w:textAlignment w:val="auto"/>
        <w:tabs>
          <w:tab w:val="left" w:leader="none" w:pos="1648"/>
        </w:tabs>
        <w:numPr>
          <w:ilvl w:val="0"/>
          <w:numId w:val="295"/>
        </w:numPr>
        <w:rPr>
          <w:rFonts w:ascii="Times New Roman" w:hAnsi="Times New Roman" w:cs="Times New Roman" w:eastAsia="Times New Roman" w:hint="ascii"/>
          <w:sz w:val="21"/>
        </w:rPr>
      </w:pPr>
      <w:r>
        <w:rPr>
          <w:rFonts w:ascii="宋体" w:hAnsi="宋体" w:cs="宋体" w:eastAsia="宋体" w:hint="ascii"/>
          <w:sz w:val="21"/>
        </w:rPr>
        <w:t>医学科学部鼓励研究领域</w:t>
      </w:r>
      <w:r>
        <w:rPr>
          <w:rFonts w:ascii="宋体" w:hAnsi="宋体" w:cs="宋体" w:eastAsia="宋体" w:hint="ascii"/>
          <w:sz w:val="21"/>
        </w:rPr>
        <mc:AlternateContent>
          <mc:Choice Requires="wps">
            <w:drawing>
              <wp:anchor distL="0" distR="0" distT="0" distB="0" simplePos="0" behindDoc="1" relativeHeight="238" locked="0" layoutInCell="1" allowOverlap="1">
                <wp:simplePos x="0" y="0"/>
                <wp:positionH relativeFrom="page">
                  <wp:posOffset>938530</wp:posOffset>
                </wp:positionH>
                <wp:positionV relativeFrom="page">
                  <wp:posOffset>819150</wp:posOffset>
                </wp:positionV>
                <wp:extent cx="5076190" cy="0"/>
                <wp:wrapNone/>
                <wp:docPr id="1267" name="126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14528;width:399.70pt;" id="126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7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请申请人注意：</w:t>
      </w:r>
      <w:r>
        <w:rPr>
          <w:rFonts w:ascii="Times New Roman" w:hAnsi="Times New Roman" w:cs="Times New Roman" w:eastAsia="Times New Roman" w:hint="ascii"/>
          <w:b w:val="1"/>
          <w:sz w:val="21"/>
        </w:rPr>
        <w:t>201</w:t>
      </w:r>
      <w:r>
        <w:rPr>
          <w:rFonts w:ascii="Times New Roman" w:hAnsi="Times New Roman" w:cs="Times New Roman" w:eastAsia="Times New Roman" w:hint="ascii"/>
          <w:b w:val="1"/>
          <w:sz w:val="21"/>
          <w:spacing w:val="52"/>
        </w:rPr>
        <w:t>7</w:t>
      </w:r>
      <w:r>
        <w:rPr>
          <w:rFonts w:ascii="宋体" w:hAnsi="宋体" w:cs="宋体" w:eastAsia="宋体" w:hint="ascii"/>
          <w:sz w:val="21"/>
        </w:rPr>
        <w:t>年度获得高强度项</w:t>
      </w:r>
      <w:r>
        <w:rPr>
          <w:rFonts w:ascii="宋体" w:hAnsi="宋体" w:cs="宋体" w:eastAsia="宋体" w:hint="ascii"/>
          <w:sz w:val="21"/>
          <w:spacing w:val="24"/>
        </w:rPr>
        <w:t>目</w:t>
      </w:r>
      <w:r>
        <w:rPr>
          <w:rFonts w:ascii="宋体" w:hAnsi="宋体" w:cs="宋体" w:eastAsia="宋体" w:hint="ascii"/>
          <w:sz w:val="21"/>
        </w:rPr>
        <w:t>[如重点项目、重点国际（地区）合作研</w:t>
      </w:r>
    </w:p>
    <w:p>
      <w:pPr>
        <w:autoSpaceDE w:val="0"/>
        <w:autoSpaceDN w:val="0"/>
        <w:jc w:val="left"/>
        <w:spacing w:before="13" w:after="0" w:lineRule="exact" w:line="330"/>
        <w:ind w:right="963" w:left="966" w:firstLine="0"/>
        <w:snapToGrid w:val="0"/>
        <w:textAlignment w:val="auto"/>
        <w:tabs/>
        <w:rPr>
          <w:rFonts w:ascii="宋体" w:hAnsi="宋体" w:cs="宋体" w:eastAsia="宋体" w:hint="ascii"/>
          <w:b w:val="1"/>
          <w:sz w:val="21"/>
        </w:rPr>
      </w:pPr>
      <w:r>
        <w:rPr>
          <w:rFonts w:ascii="宋体" w:hAnsi="宋体" w:cs="宋体" w:eastAsia="宋体" w:hint="ascii"/>
          <w:sz w:val="21"/>
        </w:rPr>
        <w:t>究项目、重大项目、重大研究计划或联合基金中的重点支持项目、国家重大科研仪器研制项目</w:t>
      </w:r>
      <w:r>
        <w:rPr>
          <w:rFonts w:ascii="宋体" w:hAnsi="宋体" w:cs="宋体" w:eastAsia="宋体" w:hint="ascii"/>
          <w:sz w:val="21"/>
          <w:spacing w:val="25"/>
        </w:rPr>
        <w:t>等</w:t>
      </w:r>
      <w:r>
        <w:rPr>
          <w:rFonts w:ascii="宋体" w:hAnsi="宋体" w:cs="宋体" w:eastAsia="宋体" w:hint="ascii"/>
          <w:sz w:val="21"/>
        </w:rPr>
        <w:t>]资助的项目或课题负责人，</w:t>
      </w:r>
      <w:r>
        <w:rPr>
          <w:rFonts w:ascii="Times New Roman" w:hAnsi="Times New Roman" w:cs="Times New Roman" w:eastAsia="Times New Roman" w:hint="ascii"/>
          <w:b w:val="1"/>
          <w:sz w:val="21"/>
        </w:rPr>
        <w:t>201</w:t>
      </w:r>
      <w:r>
        <w:rPr>
          <w:rFonts w:ascii="Times New Roman" w:hAnsi="Times New Roman" w:cs="Times New Roman" w:eastAsia="Times New Roman" w:hint="ascii"/>
          <w:b w:val="1"/>
          <w:sz w:val="21"/>
          <w:spacing w:val="52"/>
        </w:rPr>
        <w:t>8</w:t>
      </w:r>
      <w:r>
        <w:rPr>
          <w:rFonts w:ascii="宋体" w:hAnsi="宋体" w:cs="宋体" w:eastAsia="宋体" w:hint="ascii"/>
          <w:sz w:val="21"/>
        </w:rPr>
        <w:t>年度申请重点国际（地区）合作研究项目，医学科学部原则上不再给予资助</w:t>
      </w:r>
      <w:r>
        <w:rPr>
          <w:rFonts w:ascii="宋体" w:hAnsi="宋体" w:cs="宋体" w:eastAsia="宋体" w:hint="ascii"/>
          <w:b w:val="1"/>
          <w:sz w:val="21"/>
        </w:rPr>
        <w:t>。</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）发育、炎症、代谢、微生态、微环境等共性病理新机制；</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）重大慢性疾病的发病机制与精准化诊疗；</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）慢性疾病和伤害的流行病学和预防干预策略；</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）新发、突发传染病的快速识别、致病机制、预防预警及救治新策略；</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）感染性疾病与抗生素耐药；</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）急救、创伤、康复和再生医学前沿研究；</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）妇女、儿童健康；</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）生殖</w:t>
      </w:r>
      <w:r>
        <w:rPr>
          <w:rFonts w:ascii="宋体" w:hAnsi="宋体" w:cs="宋体" w:eastAsia="宋体" w:hint="ascii"/>
          <w:sz w:val="21"/>
        </w:rPr>
        <w:t>-</w:t>
      </w:r>
      <w:r>
        <w:rPr>
          <w:rFonts w:ascii="宋体" w:hAnsi="宋体" w:cs="宋体" w:eastAsia="宋体" w:hint="ascii"/>
          <w:sz w:val="21"/>
        </w:rPr>
        <w:t>发育</w:t>
      </w:r>
      <w:r>
        <w:rPr>
          <w:rFonts w:ascii="宋体" w:hAnsi="宋体" w:cs="宋体" w:eastAsia="宋体" w:hint="ascii"/>
          <w:sz w:val="21"/>
        </w:rPr>
        <w:t>-</w:t>
      </w:r>
      <w:r>
        <w:rPr>
          <w:rFonts w:ascii="宋体" w:hAnsi="宋体" w:cs="宋体" w:eastAsia="宋体" w:hint="ascii"/>
          <w:sz w:val="21"/>
        </w:rPr>
        <w:t>老化相关疾病的前沿研究；</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）营养、环境、遗传与健康；</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）干细胞与疾病；</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）脏器纤维化机制与防治；</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）组织器官损伤、功能障碍及干预；</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）器官保护与替代治疗；</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）神经精神疾病的发病机理与干预；</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）免疫相关疾病机制及免疫治疗新策略；</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16</w:t>
      </w:r>
      <w:r>
        <w:rPr>
          <w:rFonts w:ascii="宋体" w:hAnsi="宋体" w:cs="宋体" w:eastAsia="宋体" w:hint="ascii"/>
          <w:sz w:val="21"/>
        </w:rPr>
        <w:t>）疾病的交叉科学研究；</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17</w:t>
      </w:r>
      <w:r>
        <w:rPr>
          <w:rFonts w:ascii="宋体" w:hAnsi="宋体" w:cs="宋体" w:eastAsia="宋体" w:hint="ascii"/>
          <w:sz w:val="21"/>
        </w:rPr>
        <w:t>）影像医学与生物医学工程；</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18</w:t>
      </w:r>
      <w:r>
        <w:rPr>
          <w:rFonts w:ascii="宋体" w:hAnsi="宋体" w:cs="宋体" w:eastAsia="宋体" w:hint="ascii"/>
          <w:sz w:val="21"/>
        </w:rPr>
        <w:t>）创新性诊疗技术与个性化医疗；</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19</w:t>
      </w:r>
      <w:r>
        <w:rPr>
          <w:rFonts w:ascii="宋体" w:hAnsi="宋体" w:cs="宋体" w:eastAsia="宋体" w:hint="ascii"/>
          <w:sz w:val="21"/>
        </w:rPr>
        <w:t>）生物标志物与个性化药物；</w:t>
      </w:r>
    </w:p>
    <w:p>
      <w:pPr>
        <w:autoSpaceDE w:val="0"/>
        <w:autoSpaceDN w:val="0"/>
        <w:jc w:val="left"/>
        <w:spacing w:before="6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20</w:t>
      </w:r>
      <w:r>
        <w:rPr>
          <w:rFonts w:ascii="宋体" w:hAnsi="宋体" w:cs="宋体" w:eastAsia="宋体" w:hint="ascii"/>
          <w:sz w:val="21"/>
        </w:rPr>
        <w:t>）药物新靶标的发现和药理学验证；</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21</w:t>
      </w:r>
      <w:r>
        <w:rPr>
          <w:rFonts w:ascii="宋体" w:hAnsi="宋体" w:cs="宋体" w:eastAsia="宋体" w:hint="ascii"/>
          <w:sz w:val="21"/>
        </w:rPr>
        <w:t>）中医理论的现代科学内涵；</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22</w:t>
      </w:r>
      <w:r>
        <w:rPr>
          <w:rFonts w:ascii="宋体" w:hAnsi="宋体" w:cs="宋体" w:eastAsia="宋体" w:hint="ascii"/>
          <w:sz w:val="21"/>
        </w:rPr>
        <w:t>）中药的物质基础及作用机制；</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23</w:t>
      </w:r>
      <w:r>
        <w:rPr>
          <w:rFonts w:ascii="宋体" w:hAnsi="宋体" w:cs="宋体" w:eastAsia="宋体" w:hint="ascii"/>
          <w:sz w:val="21"/>
        </w:rPr>
        <w:t>）特种医学与法医学基础研究。</w:t>
      </w:r>
    </w:p>
    <w:p>
      <w:pPr>
        <w:autoSpaceDE w:val="0"/>
        <w:autoSpaceDN w:val="0"/>
        <w:jc w:val="left"/>
        <w:spacing w:before="439" w:after="0" w:lineRule="exact" w:line="363"/>
        <w:ind w:right="0" w:left="2346" w:firstLine="0"/>
        <w:snapToGrid w:val="0"/>
        <w:textAlignment w:val="auto"/>
        <w:tabs/>
        <w:rPr>
          <w:rFonts w:ascii="宋体" w:hAnsi="宋体" w:cs="宋体" w:eastAsia="宋体" w:hint="ascii"/>
          <w:sz w:val="29"/>
        </w:rPr>
      </w:pPr>
      <w:r>
        <w:rPr>
          <w:rFonts w:ascii="宋体" w:hAnsi="宋体" w:cs="宋体" w:eastAsia="宋体" w:hint="ascii"/>
          <w:sz w:val="29"/>
        </w:rPr>
        <w:t>组织间国际（地区）合作研究与交流项目</w:t>
      </w:r>
    </w:p>
    <w:p>
      <w:pPr>
        <w:autoSpaceDE w:val="0"/>
        <w:autoSpaceDN w:val="0"/>
        <w:jc w:val="left"/>
        <w:spacing w:before="356"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组织间国</w:t>
      </w:r>
      <w:r>
        <w:rPr>
          <w:rFonts w:ascii="宋体" w:hAnsi="宋体" w:cs="宋体" w:eastAsia="宋体" w:hint="ascii"/>
          <w:sz w:val="21"/>
        </w:rPr>
        <w:t>际</w:t>
      </w:r>
      <w:r>
        <w:rPr>
          <w:rFonts w:ascii="宋体" w:hAnsi="宋体" w:cs="宋体" w:eastAsia="宋体" w:hint="ascii"/>
          <w:sz w:val="21"/>
          <w:spacing w:val="3"/>
        </w:rPr>
        <w:t>（地区）</w:t>
      </w:r>
      <w:r>
        <w:rPr>
          <w:rFonts w:ascii="宋体" w:hAnsi="宋体" w:cs="宋体" w:eastAsia="宋体" w:hint="ascii"/>
          <w:sz w:val="21"/>
        </w:rPr>
        <w:t>合</w:t>
      </w:r>
      <w:r>
        <w:rPr>
          <w:rFonts w:ascii="宋体" w:hAnsi="宋体" w:cs="宋体" w:eastAsia="宋体" w:hint="ascii"/>
          <w:sz w:val="21"/>
          <w:spacing w:val="3"/>
        </w:rPr>
        <w:t>作研究与</w:t>
      </w:r>
      <w:r>
        <w:rPr>
          <w:rFonts w:ascii="宋体" w:hAnsi="宋体" w:cs="宋体" w:eastAsia="宋体" w:hint="ascii"/>
          <w:sz w:val="21"/>
        </w:rPr>
        <w:t>交</w:t>
      </w:r>
      <w:r>
        <w:rPr>
          <w:rFonts w:ascii="宋体" w:hAnsi="宋体" w:cs="宋体" w:eastAsia="宋体" w:hint="ascii"/>
          <w:sz w:val="21"/>
          <w:spacing w:val="3"/>
        </w:rPr>
        <w:t>流项目是</w:t>
      </w:r>
      <w:r>
        <w:rPr>
          <w:rFonts w:ascii="宋体" w:hAnsi="宋体" w:cs="宋体" w:eastAsia="宋体" w:hint="ascii"/>
          <w:sz w:val="21"/>
        </w:rPr>
        <w:t>自</w:t>
      </w:r>
      <w:r>
        <w:rPr>
          <w:rFonts w:ascii="宋体" w:hAnsi="宋体" w:cs="宋体" w:eastAsia="宋体" w:hint="ascii"/>
          <w:sz w:val="21"/>
          <w:spacing w:val="3"/>
        </w:rPr>
        <w:t>然科学基</w:t>
      </w:r>
      <w:r>
        <w:rPr>
          <w:rFonts w:ascii="宋体" w:hAnsi="宋体" w:cs="宋体" w:eastAsia="宋体" w:hint="ascii"/>
          <w:sz w:val="21"/>
        </w:rPr>
        <w:t>金</w:t>
      </w:r>
      <w:r>
        <w:rPr>
          <w:rFonts w:ascii="宋体" w:hAnsi="宋体" w:cs="宋体" w:eastAsia="宋体" w:hint="ascii"/>
          <w:sz w:val="21"/>
          <w:spacing w:val="3"/>
        </w:rPr>
        <w:t>委与境外</w:t>
      </w:r>
      <w:r>
        <w:rPr>
          <w:rFonts w:ascii="宋体" w:hAnsi="宋体" w:cs="宋体" w:eastAsia="宋体" w:hint="ascii"/>
          <w:sz w:val="21"/>
        </w:rPr>
        <w:t>资</w:t>
      </w:r>
      <w:r>
        <w:rPr>
          <w:rFonts w:ascii="宋体" w:hAnsi="宋体" w:cs="宋体" w:eastAsia="宋体" w:hint="ascii"/>
          <w:sz w:val="21"/>
          <w:spacing w:val="3"/>
        </w:rPr>
        <w:t>助机构</w:t>
      </w:r>
      <w:r>
        <w:rPr>
          <w:rFonts w:ascii="宋体" w:hAnsi="宋体" w:cs="宋体" w:eastAsia="宋体" w:hint="ascii"/>
          <w:sz w:val="21"/>
          <w:spacing w:val="4"/>
        </w:rPr>
        <w:t>（</w:t>
      </w:r>
      <w:r>
        <w:rPr>
          <w:rFonts w:ascii="宋体" w:hAnsi="宋体" w:cs="宋体" w:eastAsia="宋体" w:hint="ascii"/>
          <w:sz w:val="21"/>
        </w:rPr>
        <w:t>或</w:t>
      </w:r>
    </w:p>
    <w:p>
      <w:pPr>
        <w:autoSpaceDE w:val="0"/>
        <w:autoSpaceDN w:val="0"/>
        <w:jc w:val="both"/>
        <w:spacing w:before="13" w:after="0" w:lineRule="exact" w:line="330"/>
        <w:ind w:right="98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研究机构和国际</w:t>
      </w:r>
      <w:r>
        <w:rPr>
          <w:rFonts w:ascii="宋体" w:hAnsi="宋体" w:cs="宋体" w:eastAsia="宋体" w:hint="ascii"/>
          <w:sz w:val="21"/>
        </w:rPr>
        <w:t>科学组织）共同组织、资助科学技术人员开展的双（多）边合作研</w:t>
      </w:r>
      <w:r>
        <w:rPr>
          <w:rFonts w:ascii="宋体" w:hAnsi="宋体" w:cs="宋体" w:eastAsia="宋体" w:hint="ascii"/>
          <w:sz w:val="21"/>
          <w:spacing w:val="-6"/>
        </w:rPr>
        <w:t>究</w:t>
      </w:r>
      <w:r>
        <w:rPr>
          <w:rFonts w:ascii="宋体" w:hAnsi="宋体" w:cs="宋体" w:eastAsia="宋体" w:hint="ascii"/>
          <w:sz w:val="21"/>
          <w:spacing w:val="1"/>
        </w:rPr>
        <w:t>与学术交流项目</w:t>
      </w:r>
      <w:r>
        <w:rPr>
          <w:rFonts w:ascii="宋体" w:hAnsi="宋体" w:cs="宋体" w:eastAsia="宋体" w:hint="ascii"/>
          <w:sz w:val="21"/>
        </w:rPr>
        <w:t>。近年来，针对组织间国际（地区）合作研究与交流项目，自然科</w:t>
      </w:r>
      <w:r>
        <w:rPr>
          <w:rFonts w:ascii="宋体" w:hAnsi="宋体" w:cs="宋体" w:eastAsia="宋体" w:hint="ascii"/>
          <w:sz w:val="21"/>
          <w:spacing w:val="-6"/>
        </w:rPr>
        <w:t>学</w:t>
      </w:r>
      <w:r>
        <w:rPr>
          <w:rFonts w:ascii="宋体" w:hAnsi="宋体" w:cs="宋体" w:eastAsia="宋体" w:hint="ascii"/>
          <w:sz w:val="21"/>
          <w:spacing w:val="1"/>
        </w:rPr>
        <w:t>基金委不断加</w:t>
      </w:r>
      <w:r>
        <w:rPr>
          <w:rFonts w:ascii="宋体" w:hAnsi="宋体" w:cs="宋体" w:eastAsia="宋体" w:hint="ascii"/>
          <w:sz w:val="21"/>
        </w:rPr>
        <w:t>强科学基金国际合作国别政策研究，逐步拓展对美国、加拿大、澳大</w:t>
      </w:r>
      <w:r>
        <w:rPr>
          <w:rFonts w:ascii="宋体" w:hAnsi="宋体" w:cs="宋体" w:eastAsia="宋体" w:hint="ascii"/>
          <w:sz w:val="21"/>
          <w:spacing w:val="-6"/>
        </w:rPr>
        <w:t>利</w:t>
      </w:r>
      <w:r>
        <w:rPr>
          <w:rFonts w:ascii="宋体" w:hAnsi="宋体" w:cs="宋体" w:eastAsia="宋体" w:hint="ascii"/>
          <w:sz w:val="21"/>
          <w:spacing w:val="3"/>
        </w:rPr>
        <w:t>亚的合作</w:t>
      </w:r>
      <w:r>
        <w:rPr>
          <w:rFonts w:ascii="宋体" w:hAnsi="宋体" w:cs="宋体" w:eastAsia="宋体" w:hint="ascii"/>
          <w:sz w:val="21"/>
        </w:rPr>
        <w:t>渠</w:t>
      </w:r>
      <w:r>
        <w:rPr>
          <w:rFonts w:ascii="宋体" w:hAnsi="宋体" w:cs="宋体" w:eastAsia="宋体" w:hint="ascii"/>
          <w:sz w:val="21"/>
          <w:spacing w:val="3"/>
        </w:rPr>
        <w:t>道并深化</w:t>
      </w:r>
      <w:r>
        <w:rPr>
          <w:rFonts w:ascii="宋体" w:hAnsi="宋体" w:cs="宋体" w:eastAsia="宋体" w:hint="ascii"/>
          <w:sz w:val="21"/>
        </w:rPr>
        <w:t>合</w:t>
      </w:r>
      <w:r>
        <w:rPr>
          <w:rFonts w:ascii="宋体" w:hAnsi="宋体" w:cs="宋体" w:eastAsia="宋体" w:hint="ascii"/>
          <w:sz w:val="21"/>
          <w:spacing w:val="3"/>
        </w:rPr>
        <w:t>作领域，</w:t>
      </w:r>
      <w:r>
        <w:rPr>
          <w:rFonts w:ascii="宋体" w:hAnsi="宋体" w:cs="宋体" w:eastAsia="宋体" w:hint="ascii"/>
          <w:sz w:val="21"/>
        </w:rPr>
        <w:t>加</w:t>
      </w:r>
      <w:r>
        <w:rPr>
          <w:rFonts w:ascii="宋体" w:hAnsi="宋体" w:cs="宋体" w:eastAsia="宋体" w:hint="ascii"/>
          <w:sz w:val="21"/>
          <w:spacing w:val="3"/>
        </w:rPr>
        <w:t>强与南美</w:t>
      </w:r>
      <w:r>
        <w:rPr>
          <w:rFonts w:ascii="宋体" w:hAnsi="宋体" w:cs="宋体" w:eastAsia="宋体" w:hint="ascii"/>
          <w:sz w:val="21"/>
        </w:rPr>
        <w:t>洲</w:t>
      </w:r>
      <w:r>
        <w:rPr>
          <w:rFonts w:ascii="宋体" w:hAnsi="宋体" w:cs="宋体" w:eastAsia="宋体" w:hint="ascii"/>
          <w:sz w:val="21"/>
          <w:spacing w:val="3"/>
        </w:rPr>
        <w:t>国家科学</w:t>
      </w:r>
      <w:r>
        <w:rPr>
          <w:rFonts w:ascii="宋体" w:hAnsi="宋体" w:cs="宋体" w:eastAsia="宋体" w:hint="ascii"/>
          <w:sz w:val="21"/>
        </w:rPr>
        <w:t>资</w:t>
      </w:r>
      <w:r>
        <w:rPr>
          <w:rFonts w:ascii="宋体" w:hAnsi="宋体" w:cs="宋体" w:eastAsia="宋体" w:hint="ascii"/>
          <w:sz w:val="21"/>
          <w:spacing w:val="3"/>
        </w:rPr>
        <w:t>助机构的</w:t>
      </w:r>
      <w:r>
        <w:rPr>
          <w:rFonts w:ascii="宋体" w:hAnsi="宋体" w:cs="宋体" w:eastAsia="宋体" w:hint="ascii"/>
          <w:sz w:val="21"/>
        </w:rPr>
        <w:t>合</w:t>
      </w:r>
      <w:r>
        <w:rPr>
          <w:rFonts w:ascii="宋体" w:hAnsi="宋体" w:cs="宋体" w:eastAsia="宋体" w:hint="ascii"/>
          <w:sz w:val="21"/>
          <w:spacing w:val="3"/>
        </w:rPr>
        <w:t>作交流；</w:t>
      </w:r>
      <w:r>
        <w:rPr>
          <w:rFonts w:ascii="宋体" w:hAnsi="宋体" w:cs="宋体" w:eastAsia="宋体" w:hint="ascii"/>
          <w:sz w:val="21"/>
        </w:rPr>
        <w:t>全</w:t>
      </w:r>
      <w:r>
        <w:rPr>
          <w:rFonts w:ascii="宋体" w:hAnsi="宋体" w:cs="宋体" w:eastAsia="宋体" w:hint="ascii"/>
          <w:sz w:val="21"/>
          <w:spacing w:val="3"/>
        </w:rPr>
        <w:t>面</w:t>
      </w:r>
      <w:r>
        <w:rPr>
          <w:rFonts w:ascii="宋体" w:hAnsi="宋体" w:cs="宋体" w:eastAsia="宋体" w:hint="ascii"/>
          <w:sz w:val="21"/>
        </w:rPr>
        <w:t>推</w:t>
      </w:r>
    </w:p>
    <w:p>
      <w:pPr>
        <w:autoSpaceDE w:val="0"/>
        <w:autoSpaceDN w:val="0"/>
        <w:jc w:val="left"/>
        <w:spacing w:before="47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0"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进中欧科技合作伙伴</w:t>
      </w:r>
      <w:r>
        <w:rPr>
          <w:rFonts w:ascii="宋体" w:hAnsi="宋体" w:cs="宋体" w:eastAsia="宋体" w:hint="ascii"/>
          <w:sz w:val="21"/>
        </w:rPr>
        <w:t>关系，深化和扩展与欧洲各国的合作，保持合作多样性的同时</w:t>
      </w:r>
      <w:r>
        <w:rPr>
          <w:rFonts w:ascii="宋体" w:hAnsi="宋体" w:cs="宋体" w:eastAsia="宋体" w:hint="ascii"/>
          <w:sz w:val="21"/>
          <w:spacing w:val="-6"/>
        </w:rPr>
        <w:t>推</w:t>
      </w:r>
      <w:r>
        <w:rPr>
          <w:rFonts w:ascii="宋体" w:hAnsi="宋体" w:cs="宋体" w:eastAsia="宋体" w:hint="ascii"/>
          <w:sz w:val="21"/>
          <w:spacing w:val="1"/>
        </w:rPr>
        <w:t>动与欧盟整体的合作</w:t>
      </w:r>
      <w:r>
        <w:rPr>
          <w:rFonts w:ascii="宋体" w:hAnsi="宋体" w:cs="宋体" w:eastAsia="宋体" w:hint="ascii"/>
          <w:sz w:val="21"/>
        </w:rPr>
        <w:t>；完善对日本、韩国合作机制，稳步扩大中国、日本、韩国前</w:t>
      </w:r>
      <w:r>
        <w:rPr>
          <w:rFonts w:ascii="宋体" w:hAnsi="宋体" w:cs="宋体" w:eastAsia="宋体" w:hint="ascii"/>
          <w:sz w:val="21"/>
          <w:spacing w:val="-6"/>
        </w:rPr>
        <w:t>瞻</w:t>
      </w:r>
      <w:r>
        <w:rPr>
          <w:rFonts w:ascii="宋体" w:hAnsi="宋体" w:cs="宋体" w:eastAsia="宋体" w:hint="ascii"/>
          <w:sz w:val="21"/>
          <w:spacing w:val="1"/>
        </w:rPr>
        <w:t>研究计划规模，持续</w:t>
      </w:r>
      <w:r>
        <w:rPr>
          <w:rFonts w:ascii="宋体" w:hAnsi="宋体" w:cs="宋体" w:eastAsia="宋体" w:hint="ascii"/>
          <w:sz w:val="21"/>
        </w:rPr>
        <w:t>拓展与以色列、新加坡的科学合作，深化合作领域；推动与具</w:t>
      </w:r>
      <w:r>
        <w:rPr>
          <w:rFonts w:ascii="宋体" w:hAnsi="宋体" w:cs="宋体" w:eastAsia="宋体" w:hint="ascii"/>
          <w:sz w:val="21"/>
          <w:spacing w:val="-6"/>
        </w:rPr>
        <w:t>有</w:t>
      </w:r>
      <w:r>
        <w:rPr>
          <w:rFonts w:ascii="宋体" w:hAnsi="宋体" w:cs="宋体" w:eastAsia="宋体" w:hint="ascii"/>
          <w:sz w:val="21"/>
          <w:spacing w:val="1"/>
        </w:rPr>
        <w:t>重要潜力和影响力</w:t>
      </w:r>
      <w:r>
        <w:rPr>
          <w:rFonts w:ascii="宋体" w:hAnsi="宋体" w:cs="宋体" w:eastAsia="宋体" w:hint="ascii"/>
          <w:sz w:val="21"/>
        </w:rPr>
        <w:t>的印度、南非、巴西、泰国、埃及等发展中国家的科学合作；扩</w:t>
      </w:r>
      <w:r>
        <w:rPr>
          <w:rFonts w:ascii="宋体" w:hAnsi="宋体" w:cs="宋体" w:eastAsia="宋体" w:hint="ascii"/>
          <w:sz w:val="21"/>
          <w:spacing w:val="-6"/>
        </w:rPr>
        <w:t>大</w:t>
      </w:r>
      <w:r>
        <w:rPr>
          <w:rFonts w:ascii="宋体" w:hAnsi="宋体" w:cs="宋体" w:eastAsia="宋体" w:hint="ascii"/>
          <w:sz w:val="21"/>
          <w:spacing w:val="4"/>
        </w:rPr>
        <w:t>多边合作，充分利</w:t>
      </w:r>
      <w:r>
        <w:rPr>
          <w:rFonts w:ascii="宋体" w:hAnsi="宋体" w:cs="宋体" w:eastAsia="宋体" w:hint="ascii"/>
          <w:sz w:val="21"/>
          <w:spacing w:val="3"/>
        </w:rPr>
        <w:t>用和发挥国际科技组织在开展跨国跨境科学研究计划中的协调</w:t>
      </w:r>
      <w:r>
        <w:rPr>
          <w:rFonts w:ascii="宋体" w:hAnsi="宋体" w:cs="宋体" w:eastAsia="宋体" w:hint="ascii"/>
          <w:sz w:val="21"/>
          <w:spacing w:val="-6"/>
        </w:rPr>
        <w:t>机</w:t>
      </w:r>
      <w:r>
        <w:rPr>
          <w:rFonts w:ascii="宋体" w:hAnsi="宋体" w:cs="宋体" w:eastAsia="宋体" w:hint="ascii"/>
          <w:sz w:val="21"/>
          <w:spacing w:val="4"/>
        </w:rPr>
        <w:t>制，推进中国科学</w:t>
      </w:r>
      <w:r>
        <w:rPr>
          <w:rFonts w:ascii="宋体" w:hAnsi="宋体" w:cs="宋体" w:eastAsia="宋体" w:hint="ascii"/>
          <w:sz w:val="21"/>
          <w:spacing w:val="3"/>
        </w:rPr>
        <w:t>家参与、筹划和开展有重要科学意义的跨国跨境的区域性研究</w:t>
      </w:r>
      <w:r>
        <w:rPr>
          <w:rFonts w:ascii="宋体" w:hAnsi="宋体" w:cs="宋体" w:eastAsia="宋体" w:hint="ascii"/>
          <w:sz w:val="21"/>
          <w:spacing w:val="-6"/>
        </w:rPr>
        <w:t>计</w:t>
      </w:r>
      <w:r>
        <w:rPr>
          <w:rFonts w:ascii="宋体" w:hAnsi="宋体" w:cs="宋体" w:eastAsia="宋体" w:hint="ascii"/>
          <w:sz w:val="21"/>
          <w:spacing w:val="4"/>
        </w:rPr>
        <w:t>划，积极</w:t>
      </w:r>
      <w:r>
        <w:rPr>
          <w:rFonts w:ascii="宋体" w:hAnsi="宋体" w:cs="宋体" w:eastAsia="宋体" w:hint="ascii"/>
          <w:sz w:val="21"/>
          <w:spacing w:val="3"/>
        </w:rPr>
        <w:t>推</w:t>
      </w:r>
      <w:r>
        <w:rPr>
          <w:rFonts w:ascii="宋体" w:hAnsi="宋体" w:cs="宋体" w:eastAsia="宋体" w:hint="ascii"/>
          <w:sz w:val="21"/>
          <w:spacing w:val="4"/>
        </w:rPr>
        <w:t>进与“一</w:t>
      </w:r>
      <w:r>
        <w:rPr>
          <w:rFonts w:ascii="宋体" w:hAnsi="宋体" w:cs="宋体" w:eastAsia="宋体" w:hint="ascii"/>
          <w:sz w:val="21"/>
          <w:spacing w:val="3"/>
        </w:rPr>
        <w:t>带</w:t>
      </w:r>
      <w:r>
        <w:rPr>
          <w:rFonts w:ascii="宋体" w:hAnsi="宋体" w:cs="宋体" w:eastAsia="宋体" w:hint="ascii"/>
          <w:sz w:val="21"/>
          <w:spacing w:val="4"/>
        </w:rPr>
        <w:t>一路”</w:t>
      </w:r>
      <w:r>
        <w:rPr>
          <w:rFonts w:ascii="宋体" w:hAnsi="宋体" w:cs="宋体" w:eastAsia="宋体" w:hint="ascii"/>
          <w:sz w:val="21"/>
          <w:spacing w:val="3"/>
        </w:rPr>
        <w:t>沿</w:t>
      </w:r>
      <w:r>
        <w:rPr>
          <w:rFonts w:ascii="宋体" w:hAnsi="宋体" w:cs="宋体" w:eastAsia="宋体" w:hint="ascii"/>
          <w:sz w:val="21"/>
          <w:spacing w:val="2"/>
        </w:rPr>
        <w:t>线</w:t>
      </w:r>
      <w:r>
        <w:rPr>
          <w:rFonts w:ascii="宋体" w:hAnsi="宋体" w:cs="宋体" w:eastAsia="宋体" w:hint="ascii"/>
          <w:sz w:val="21"/>
          <w:spacing w:val="3"/>
        </w:rPr>
        <w:t>国家的合</w:t>
      </w:r>
      <w:r>
        <w:rPr>
          <w:rFonts w:ascii="宋体" w:hAnsi="宋体" w:cs="宋体" w:eastAsia="宋体" w:hint="ascii"/>
          <w:sz w:val="21"/>
          <w:spacing w:val="2"/>
        </w:rPr>
        <w:t>作</w:t>
      </w:r>
      <w:r>
        <w:rPr>
          <w:rFonts w:ascii="宋体" w:hAnsi="宋体" w:cs="宋体" w:eastAsia="宋体" w:hint="ascii"/>
          <w:sz w:val="21"/>
          <w:spacing w:val="3"/>
        </w:rPr>
        <w:t>。自然科</w:t>
      </w:r>
      <w:r>
        <w:rPr>
          <w:rFonts w:ascii="宋体" w:hAnsi="宋体" w:cs="宋体" w:eastAsia="宋体" w:hint="ascii"/>
          <w:sz w:val="21"/>
          <w:spacing w:val="2"/>
        </w:rPr>
        <w:t>学</w:t>
      </w:r>
      <w:r>
        <w:rPr>
          <w:rFonts w:ascii="宋体" w:hAnsi="宋体" w:cs="宋体" w:eastAsia="宋体" w:hint="ascii"/>
          <w:sz w:val="21"/>
          <w:spacing w:val="3"/>
        </w:rPr>
        <w:t>基金委贯</w:t>
      </w:r>
      <w:r>
        <w:rPr>
          <w:rFonts w:ascii="宋体" w:hAnsi="宋体" w:cs="宋体" w:eastAsia="宋体" w:hint="ascii"/>
          <w:sz w:val="21"/>
          <w:spacing w:val="2"/>
        </w:rPr>
        <w:t>彻</w:t>
      </w:r>
      <w:r>
        <w:rPr>
          <w:rFonts w:ascii="宋体" w:hAnsi="宋体" w:cs="宋体" w:eastAsia="宋体" w:hint="ascii"/>
          <w:sz w:val="21"/>
          <w:spacing w:val="3"/>
        </w:rPr>
        <w:t>中央“</w:t>
      </w:r>
      <w:r>
        <w:rPr>
          <w:rFonts w:ascii="宋体" w:hAnsi="宋体" w:cs="宋体" w:eastAsia="宋体" w:hint="ascii"/>
          <w:sz w:val="21"/>
          <w:spacing w:val="4"/>
        </w:rPr>
        <w:t>一</w:t>
      </w:r>
      <w:r>
        <w:rPr>
          <w:rFonts w:ascii="宋体" w:hAnsi="宋体" w:cs="宋体" w:eastAsia="宋体" w:hint="ascii"/>
          <w:sz w:val="21"/>
          <w:spacing w:val="3"/>
        </w:rPr>
        <w:t>国</w:t>
      </w:r>
      <w:r>
        <w:rPr>
          <w:rFonts w:ascii="宋体" w:hAnsi="宋体" w:cs="宋体" w:eastAsia="宋体" w:hint="ascii"/>
          <w:sz w:val="21"/>
          <w:spacing w:val="-6"/>
        </w:rPr>
        <w:t>两</w:t>
      </w:r>
      <w:r>
        <w:rPr>
          <w:rFonts w:ascii="宋体" w:hAnsi="宋体" w:cs="宋体" w:eastAsia="宋体" w:hint="ascii"/>
          <w:sz w:val="21"/>
          <w:spacing w:val="4"/>
        </w:rPr>
        <w:t>制”大政</w:t>
      </w:r>
      <w:r>
        <w:rPr>
          <w:rFonts w:ascii="宋体" w:hAnsi="宋体" w:cs="宋体" w:eastAsia="宋体" w:hint="ascii"/>
          <w:sz w:val="21"/>
          <w:spacing w:val="3"/>
        </w:rPr>
        <w:t>方</w:t>
      </w:r>
      <w:r>
        <w:rPr>
          <w:rFonts w:ascii="宋体" w:hAnsi="宋体" w:cs="宋体" w:eastAsia="宋体" w:hint="ascii"/>
          <w:sz w:val="21"/>
          <w:spacing w:val="4"/>
        </w:rPr>
        <w:t>针，重视</w:t>
      </w:r>
      <w:r>
        <w:rPr>
          <w:rFonts w:ascii="宋体" w:hAnsi="宋体" w:cs="宋体" w:eastAsia="宋体" w:hint="ascii"/>
          <w:sz w:val="21"/>
          <w:spacing w:val="3"/>
        </w:rPr>
        <w:t>并</w:t>
      </w:r>
      <w:r>
        <w:rPr>
          <w:rFonts w:ascii="宋体" w:hAnsi="宋体" w:cs="宋体" w:eastAsia="宋体" w:hint="ascii"/>
          <w:sz w:val="21"/>
          <w:spacing w:val="4"/>
        </w:rPr>
        <w:t>持续加强</w:t>
      </w:r>
      <w:r>
        <w:rPr>
          <w:rFonts w:ascii="宋体" w:hAnsi="宋体" w:cs="宋体" w:eastAsia="宋体" w:hint="ascii"/>
          <w:sz w:val="21"/>
          <w:spacing w:val="2"/>
        </w:rPr>
        <w:t>与</w:t>
      </w:r>
      <w:r>
        <w:rPr>
          <w:rFonts w:ascii="宋体" w:hAnsi="宋体" w:cs="宋体" w:eastAsia="宋体" w:hint="ascii"/>
          <w:sz w:val="21"/>
          <w:spacing w:val="3"/>
        </w:rPr>
        <w:t>港澳台地</w:t>
      </w:r>
      <w:r>
        <w:rPr>
          <w:rFonts w:ascii="宋体" w:hAnsi="宋体" w:cs="宋体" w:eastAsia="宋体" w:hint="ascii"/>
          <w:sz w:val="21"/>
          <w:spacing w:val="2"/>
        </w:rPr>
        <w:t>区</w:t>
      </w:r>
      <w:r>
        <w:rPr>
          <w:rFonts w:ascii="宋体" w:hAnsi="宋体" w:cs="宋体" w:eastAsia="宋体" w:hint="ascii"/>
          <w:sz w:val="21"/>
          <w:spacing w:val="3"/>
        </w:rPr>
        <w:t>科学家的</w:t>
      </w:r>
      <w:r>
        <w:rPr>
          <w:rFonts w:ascii="宋体" w:hAnsi="宋体" w:cs="宋体" w:eastAsia="宋体" w:hint="ascii"/>
          <w:sz w:val="21"/>
          <w:spacing w:val="2"/>
        </w:rPr>
        <w:t>合</w:t>
      </w:r>
      <w:r>
        <w:rPr>
          <w:rFonts w:ascii="宋体" w:hAnsi="宋体" w:cs="宋体" w:eastAsia="宋体" w:hint="ascii"/>
          <w:sz w:val="21"/>
          <w:spacing w:val="3"/>
        </w:rPr>
        <w:t>作与交流</w:t>
      </w:r>
      <w:r>
        <w:rPr>
          <w:rFonts w:ascii="宋体" w:hAnsi="宋体" w:cs="宋体" w:eastAsia="宋体" w:hint="ascii"/>
          <w:sz w:val="21"/>
          <w:spacing w:val="2"/>
        </w:rPr>
        <w:t>。</w:t>
      </w:r>
      <w:r>
        <w:rPr>
          <w:rFonts w:ascii="宋体" w:hAnsi="宋体" w:cs="宋体" w:eastAsia="宋体" w:hint="ascii"/>
          <w:sz w:val="21"/>
          <w:spacing w:val="3"/>
        </w:rPr>
        <w:t>目前自</w:t>
      </w:r>
      <w:r>
        <w:rPr>
          <w:rFonts w:ascii="宋体" w:hAnsi="宋体" w:cs="宋体" w:eastAsia="宋体" w:hint="ascii"/>
          <w:sz w:val="21"/>
          <w:spacing w:val="4"/>
        </w:rPr>
        <w:t>然</w:t>
      </w:r>
      <w:r>
        <w:rPr>
          <w:rFonts w:ascii="宋体" w:hAnsi="宋体" w:cs="宋体" w:eastAsia="宋体" w:hint="ascii"/>
          <w:sz w:val="21"/>
          <w:spacing w:val="3"/>
        </w:rPr>
        <w:t>科</w:t>
      </w:r>
      <w:r>
        <w:rPr>
          <w:rFonts w:ascii="宋体" w:hAnsi="宋体" w:cs="宋体" w:eastAsia="宋体" w:hint="ascii"/>
          <w:sz w:val="21"/>
          <w:spacing w:val="-6"/>
        </w:rPr>
        <w:t>学</w:t>
      </w:r>
      <w:r>
        <w:rPr>
          <w:rFonts w:ascii="宋体" w:hAnsi="宋体" w:cs="宋体" w:eastAsia="宋体" w:hint="ascii"/>
          <w:sz w:val="21"/>
          <w:spacing w:val="1"/>
        </w:rPr>
        <w:t>基金委与境</w:t>
      </w:r>
      <w:r>
        <w:rPr>
          <w:rFonts w:ascii="宋体" w:hAnsi="宋体" w:cs="宋体" w:eastAsia="宋体" w:hint="ascii"/>
          <w:sz w:val="21"/>
          <w:spacing w:val="-2"/>
        </w:rPr>
        <w:t>外</w:t>
      </w:r>
      <w:r>
        <w:rPr>
          <w:rFonts w:ascii="宋体" w:hAnsi="宋体" w:cs="宋体" w:eastAsia="宋体" w:hint="ascii"/>
          <w:sz w:val="21"/>
          <w:spacing w:val="1"/>
        </w:rPr>
        <w:t xml:space="preserve"> </w:t>
      </w:r>
      <w:r>
        <w:rPr>
          <w:rFonts w:ascii="Times New Roman" w:hAnsi="Times New Roman" w:cs="Times New Roman" w:eastAsia="Times New Roman" w:hint="ascii"/>
          <w:sz w:val="21"/>
          <w:spacing w:val="1"/>
        </w:rPr>
        <w:t xml:space="preserve">49 </w:t>
      </w:r>
      <w:r>
        <w:rPr>
          <w:rFonts w:ascii="宋体" w:hAnsi="宋体" w:cs="宋体" w:eastAsia="宋体" w:hint="ascii"/>
          <w:sz w:val="21"/>
          <w:spacing w:val="1"/>
        </w:rPr>
        <w:t>个国家（地</w:t>
      </w:r>
      <w:r>
        <w:rPr>
          <w:rFonts w:ascii="宋体" w:hAnsi="宋体" w:cs="宋体" w:eastAsia="宋体" w:hint="ascii"/>
          <w:sz w:val="21"/>
        </w:rPr>
        <w:t>区）</w:t>
      </w:r>
      <w:r>
        <w:rPr>
          <w:rFonts w:ascii="宋体" w:hAnsi="宋体" w:cs="宋体" w:eastAsia="宋体" w:hint="ascii"/>
          <w:sz w:val="21"/>
          <w:spacing w:val="-3"/>
        </w:rPr>
        <w:t>的</w:t>
      </w:r>
      <w:r>
        <w:rPr>
          <w:rFonts w:ascii="宋体" w:hAnsi="宋体" w:cs="宋体" w:eastAsia="宋体" w:hint="ascii"/>
          <w:sz w:val="21"/>
        </w:rPr>
        <w:t xml:space="preserve"> </w:t>
      </w:r>
      <w:r>
        <w:rPr>
          <w:rFonts w:ascii="Times New Roman" w:hAnsi="Times New Roman" w:cs="Times New Roman" w:eastAsia="Times New Roman" w:hint="ascii"/>
          <w:sz w:val="21"/>
        </w:rPr>
        <w:t xml:space="preserve">91 </w:t>
      </w:r>
      <w:r>
        <w:rPr>
          <w:rFonts w:ascii="宋体" w:hAnsi="宋体" w:cs="宋体" w:eastAsia="宋体" w:hint="ascii"/>
          <w:sz w:val="21"/>
        </w:rPr>
        <w:t>个对口资助或研究机构签署了合作协议或</w:t>
      </w:r>
      <w:r>
        <w:rPr>
          <w:rFonts w:ascii="宋体" w:hAnsi="宋体" w:cs="宋体" w:eastAsia="宋体" w:hint="ascii"/>
          <w:sz w:val="21"/>
          <w:spacing w:val="-6"/>
        </w:rPr>
        <w:t>谅</w:t>
      </w:r>
      <w:r>
        <w:rPr>
          <w:rFonts w:ascii="宋体" w:hAnsi="宋体" w:cs="宋体" w:eastAsia="宋体" w:hint="ascii"/>
          <w:sz w:val="21"/>
          <w:spacing w:val="4"/>
        </w:rPr>
        <w:t>解备忘录</w:t>
      </w:r>
      <w:r>
        <w:rPr>
          <w:rFonts w:ascii="宋体" w:hAnsi="宋体" w:cs="宋体" w:eastAsia="宋体" w:hint="ascii"/>
          <w:sz w:val="21"/>
          <w:spacing w:val="3"/>
        </w:rPr>
        <w:t>。</w:t>
      </w:r>
      <w:r>
        <w:rPr>
          <w:rFonts w:ascii="宋体" w:hAnsi="宋体" w:cs="宋体" w:eastAsia="宋体" w:hint="ascii"/>
          <w:sz w:val="21"/>
          <w:spacing w:val="4"/>
        </w:rPr>
        <w:t>自然科学</w:t>
      </w:r>
      <w:r>
        <w:rPr>
          <w:rFonts w:ascii="宋体" w:hAnsi="宋体" w:cs="宋体" w:eastAsia="宋体" w:hint="ascii"/>
          <w:sz w:val="21"/>
          <w:spacing w:val="3"/>
        </w:rPr>
        <w:t>基</w:t>
      </w:r>
      <w:r>
        <w:rPr>
          <w:rFonts w:ascii="宋体" w:hAnsi="宋体" w:cs="宋体" w:eastAsia="宋体" w:hint="ascii"/>
          <w:sz w:val="21"/>
          <w:spacing w:val="4"/>
        </w:rPr>
        <w:t>金委与</w:t>
      </w:r>
      <w:r>
        <w:rPr>
          <w:rFonts w:ascii="宋体" w:hAnsi="宋体" w:cs="宋体" w:eastAsia="宋体" w:hint="ascii"/>
          <w:sz w:val="21"/>
          <w:spacing w:val="3"/>
        </w:rPr>
        <w:t>对</w:t>
      </w:r>
      <w:r>
        <w:rPr>
          <w:rFonts w:ascii="宋体" w:hAnsi="宋体" w:cs="宋体" w:eastAsia="宋体" w:hint="ascii"/>
          <w:sz w:val="21"/>
          <w:spacing w:val="2"/>
        </w:rPr>
        <w:t>口</w:t>
      </w:r>
      <w:r>
        <w:rPr>
          <w:rFonts w:ascii="宋体" w:hAnsi="宋体" w:cs="宋体" w:eastAsia="宋体" w:hint="ascii"/>
          <w:sz w:val="21"/>
          <w:spacing w:val="3"/>
        </w:rPr>
        <w:t>资助或研</w:t>
      </w:r>
      <w:r>
        <w:rPr>
          <w:rFonts w:ascii="宋体" w:hAnsi="宋体" w:cs="宋体" w:eastAsia="宋体" w:hint="ascii"/>
          <w:sz w:val="21"/>
          <w:spacing w:val="2"/>
        </w:rPr>
        <w:t>究</w:t>
      </w:r>
      <w:r>
        <w:rPr>
          <w:rFonts w:ascii="宋体" w:hAnsi="宋体" w:cs="宋体" w:eastAsia="宋体" w:hint="ascii"/>
          <w:sz w:val="21"/>
          <w:spacing w:val="3"/>
        </w:rPr>
        <w:t>机构就合</w:t>
      </w:r>
      <w:r>
        <w:rPr>
          <w:rFonts w:ascii="宋体" w:hAnsi="宋体" w:cs="宋体" w:eastAsia="宋体" w:hint="ascii"/>
          <w:sz w:val="21"/>
          <w:spacing w:val="2"/>
        </w:rPr>
        <w:t>作</w:t>
      </w:r>
      <w:r>
        <w:rPr>
          <w:rFonts w:ascii="宋体" w:hAnsi="宋体" w:cs="宋体" w:eastAsia="宋体" w:hint="ascii"/>
          <w:sz w:val="21"/>
          <w:spacing w:val="3"/>
        </w:rPr>
        <w:t>与交流方</w:t>
      </w:r>
      <w:r>
        <w:rPr>
          <w:rFonts w:ascii="宋体" w:hAnsi="宋体" w:cs="宋体" w:eastAsia="宋体" w:hint="ascii"/>
          <w:sz w:val="21"/>
          <w:spacing w:val="2"/>
        </w:rPr>
        <w:t>式</w:t>
      </w:r>
      <w:r>
        <w:rPr>
          <w:rFonts w:ascii="宋体" w:hAnsi="宋体" w:cs="宋体" w:eastAsia="宋体" w:hint="ascii"/>
          <w:sz w:val="21"/>
          <w:spacing w:val="3"/>
        </w:rPr>
        <w:t>、领域</w:t>
      </w:r>
      <w:r>
        <w:rPr>
          <w:rFonts w:ascii="宋体" w:hAnsi="宋体" w:cs="宋体" w:eastAsia="宋体" w:hint="ascii"/>
          <w:sz w:val="21"/>
          <w:spacing w:val="4"/>
        </w:rPr>
        <w:t>、</w:t>
      </w:r>
      <w:r>
        <w:rPr>
          <w:rFonts w:ascii="宋体" w:hAnsi="宋体" w:cs="宋体" w:eastAsia="宋体" w:hint="ascii"/>
          <w:sz w:val="21"/>
          <w:spacing w:val="3"/>
        </w:rPr>
        <w:t>资</w:t>
      </w:r>
      <w:r>
        <w:rPr>
          <w:rFonts w:ascii="宋体" w:hAnsi="宋体" w:cs="宋体" w:eastAsia="宋体" w:hint="ascii"/>
          <w:sz w:val="21"/>
          <w:spacing w:val="-6"/>
        </w:rPr>
        <w:t>助</w:t>
      </w:r>
      <w:r>
        <w:rPr>
          <w:rFonts w:ascii="宋体" w:hAnsi="宋体" w:cs="宋体" w:eastAsia="宋体" w:hint="ascii"/>
          <w:sz w:val="21"/>
          <w:spacing w:val="4"/>
        </w:rPr>
        <w:t>项目类型</w:t>
      </w:r>
      <w:r>
        <w:rPr>
          <w:rFonts w:ascii="宋体" w:hAnsi="宋体" w:cs="宋体" w:eastAsia="宋体" w:hint="ascii"/>
          <w:sz w:val="21"/>
          <w:spacing w:val="3"/>
        </w:rPr>
        <w:t>、</w:t>
      </w:r>
      <w:r>
        <w:rPr>
          <w:rFonts w:ascii="宋体" w:hAnsi="宋体" w:cs="宋体" w:eastAsia="宋体" w:hint="ascii"/>
          <w:sz w:val="21"/>
          <w:spacing w:val="4"/>
        </w:rPr>
        <w:t>资助强度</w:t>
      </w:r>
      <w:r>
        <w:rPr>
          <w:rFonts w:ascii="宋体" w:hAnsi="宋体" w:cs="宋体" w:eastAsia="宋体" w:hint="ascii"/>
          <w:sz w:val="21"/>
          <w:spacing w:val="3"/>
        </w:rPr>
        <w:t>和</w:t>
      </w:r>
      <w:r>
        <w:rPr>
          <w:rFonts w:ascii="宋体" w:hAnsi="宋体" w:cs="宋体" w:eastAsia="宋体" w:hint="ascii"/>
          <w:sz w:val="21"/>
          <w:spacing w:val="4"/>
        </w:rPr>
        <w:t>评审程序</w:t>
      </w:r>
      <w:r>
        <w:rPr>
          <w:rFonts w:ascii="宋体" w:hAnsi="宋体" w:cs="宋体" w:eastAsia="宋体" w:hint="ascii"/>
          <w:sz w:val="21"/>
          <w:spacing w:val="2"/>
        </w:rPr>
        <w:t>等</w:t>
      </w:r>
      <w:r>
        <w:rPr>
          <w:rFonts w:ascii="宋体" w:hAnsi="宋体" w:cs="宋体" w:eastAsia="宋体" w:hint="ascii"/>
          <w:sz w:val="21"/>
          <w:spacing w:val="3"/>
        </w:rPr>
        <w:t>进行商议</w:t>
      </w:r>
      <w:r>
        <w:rPr>
          <w:rFonts w:ascii="宋体" w:hAnsi="宋体" w:cs="宋体" w:eastAsia="宋体" w:hint="ascii"/>
          <w:sz w:val="21"/>
          <w:spacing w:val="2"/>
        </w:rPr>
        <w:t>并</w:t>
      </w:r>
      <w:r>
        <w:rPr>
          <w:rFonts w:ascii="宋体" w:hAnsi="宋体" w:cs="宋体" w:eastAsia="宋体" w:hint="ascii"/>
          <w:sz w:val="21"/>
          <w:spacing w:val="3"/>
        </w:rPr>
        <w:t>达成一致</w:t>
      </w:r>
      <w:r>
        <w:rPr>
          <w:rFonts w:ascii="宋体" w:hAnsi="宋体" w:cs="宋体" w:eastAsia="宋体" w:hint="ascii"/>
          <w:sz w:val="21"/>
          <w:spacing w:val="2"/>
        </w:rPr>
        <w:t>，</w:t>
      </w:r>
      <w:r>
        <w:rPr>
          <w:rFonts w:ascii="宋体" w:hAnsi="宋体" w:cs="宋体" w:eastAsia="宋体" w:hint="ascii"/>
          <w:sz w:val="21"/>
          <w:spacing w:val="3"/>
        </w:rPr>
        <w:t>由双方同</w:t>
      </w:r>
      <w:r>
        <w:rPr>
          <w:rFonts w:ascii="宋体" w:hAnsi="宋体" w:cs="宋体" w:eastAsia="宋体" w:hint="ascii"/>
          <w:sz w:val="21"/>
          <w:spacing w:val="2"/>
        </w:rPr>
        <w:t>时</w:t>
      </w:r>
      <w:r>
        <w:rPr>
          <w:rFonts w:ascii="宋体" w:hAnsi="宋体" w:cs="宋体" w:eastAsia="宋体" w:hint="ascii"/>
          <w:sz w:val="21"/>
          <w:spacing w:val="3"/>
        </w:rPr>
        <w:t>在各自</w:t>
      </w:r>
      <w:r>
        <w:rPr>
          <w:rFonts w:ascii="宋体" w:hAnsi="宋体" w:cs="宋体" w:eastAsia="宋体" w:hint="ascii"/>
          <w:sz w:val="21"/>
          <w:spacing w:val="4"/>
        </w:rPr>
        <w:t>的</w:t>
      </w:r>
      <w:r>
        <w:rPr>
          <w:rFonts w:ascii="宋体" w:hAnsi="宋体" w:cs="宋体" w:eastAsia="宋体" w:hint="ascii"/>
          <w:sz w:val="21"/>
          <w:spacing w:val="3"/>
        </w:rPr>
        <w:t>网</w:t>
      </w:r>
      <w:r>
        <w:rPr>
          <w:rFonts w:ascii="宋体" w:hAnsi="宋体" w:cs="宋体" w:eastAsia="宋体" w:hint="ascii"/>
          <w:sz w:val="21"/>
          <w:spacing w:val="-6"/>
        </w:rPr>
        <w:t>站</w:t>
      </w:r>
      <w:r>
        <w:rPr>
          <w:rFonts w:ascii="宋体" w:hAnsi="宋体" w:cs="宋体" w:eastAsia="宋体" w:hint="ascii"/>
          <w:sz w:val="21"/>
          <w:spacing w:val="2"/>
        </w:rPr>
        <w:t>上</w:t>
      </w:r>
      <w:r>
        <w:rPr>
          <w:rFonts w:ascii="宋体" w:hAnsi="宋体" w:cs="宋体" w:eastAsia="宋体" w:hint="ascii"/>
          <w:sz w:val="21"/>
          <w:spacing w:val="3"/>
        </w:rPr>
        <w:t>发</w:t>
      </w:r>
      <w:r>
        <w:rPr>
          <w:rFonts w:ascii="宋体" w:hAnsi="宋体" w:cs="宋体" w:eastAsia="宋体" w:hint="ascii"/>
          <w:sz w:val="21"/>
          <w:spacing w:val="2"/>
        </w:rPr>
        <w:t>布《组织</w:t>
      </w:r>
      <w:r>
        <w:rPr>
          <w:rFonts w:ascii="宋体" w:hAnsi="宋体" w:cs="宋体" w:eastAsia="宋体" w:hint="ascii"/>
          <w:sz w:val="21"/>
          <w:spacing w:val="3"/>
        </w:rPr>
        <w:t>间</w:t>
      </w:r>
      <w:r>
        <w:rPr>
          <w:rFonts w:ascii="宋体" w:hAnsi="宋体" w:cs="宋体" w:eastAsia="宋体" w:hint="ascii"/>
          <w:sz w:val="21"/>
          <w:spacing w:val="2"/>
        </w:rPr>
        <w:t>国际（地</w:t>
      </w:r>
      <w:r>
        <w:rPr>
          <w:rFonts w:ascii="宋体" w:hAnsi="宋体" w:cs="宋体" w:eastAsia="宋体" w:hint="ascii"/>
          <w:sz w:val="21"/>
          <w:spacing w:val="3"/>
        </w:rPr>
        <w:t>区</w:t>
      </w:r>
      <w:r>
        <w:rPr>
          <w:rFonts w:ascii="宋体" w:hAnsi="宋体" w:cs="宋体" w:eastAsia="宋体" w:hint="ascii"/>
          <w:sz w:val="21"/>
          <w:spacing w:val="2"/>
        </w:rPr>
        <w:t>）合作研</w:t>
      </w:r>
      <w:r>
        <w:rPr>
          <w:rFonts w:ascii="宋体" w:hAnsi="宋体" w:cs="宋体" w:eastAsia="宋体" w:hint="ascii"/>
          <w:sz w:val="21"/>
          <w:spacing w:val="3"/>
        </w:rPr>
        <w:t>究</w:t>
      </w:r>
      <w:r>
        <w:rPr>
          <w:rFonts w:ascii="宋体" w:hAnsi="宋体" w:cs="宋体" w:eastAsia="宋体" w:hint="ascii"/>
          <w:sz w:val="21"/>
          <w:spacing w:val="2"/>
        </w:rPr>
        <w:t>与</w:t>
      </w:r>
      <w:r>
        <w:rPr>
          <w:rFonts w:ascii="宋体" w:hAnsi="宋体" w:cs="宋体" w:eastAsia="宋体" w:hint="ascii"/>
          <w:sz w:val="21"/>
          <w:spacing w:val="1"/>
        </w:rPr>
        <w:t>交流项</w:t>
      </w:r>
      <w:r>
        <w:rPr>
          <w:rFonts w:ascii="宋体" w:hAnsi="宋体" w:cs="宋体" w:eastAsia="宋体" w:hint="ascii"/>
          <w:sz w:val="21"/>
          <w:spacing w:val="2"/>
        </w:rPr>
        <w:t>目</w:t>
      </w:r>
      <w:r>
        <w:rPr>
          <w:rFonts w:ascii="宋体" w:hAnsi="宋体" w:cs="宋体" w:eastAsia="宋体" w:hint="ascii"/>
          <w:sz w:val="21"/>
          <w:spacing w:val="1"/>
        </w:rPr>
        <w:t>指南</w:t>
      </w:r>
      <w:r>
        <w:rPr>
          <w:rFonts w:ascii="宋体" w:hAnsi="宋体" w:cs="宋体" w:eastAsia="宋体" w:hint="ascii"/>
          <w:sz w:val="21"/>
          <w:spacing w:val="-53"/>
        </w:rPr>
        <w:t>》</w:t>
      </w:r>
      <w:r>
        <w:rPr>
          <w:rFonts w:ascii="宋体" w:hAnsi="宋体" w:cs="宋体" w:eastAsia="宋体" w:hint="ascii"/>
          <w:sz w:val="21"/>
          <w:spacing w:val="1"/>
        </w:rPr>
        <w:t>，组</w:t>
      </w:r>
      <w:r>
        <w:rPr>
          <w:rFonts w:ascii="宋体" w:hAnsi="宋体" w:cs="宋体" w:eastAsia="宋体" w:hint="ascii"/>
          <w:sz w:val="21"/>
          <w:spacing w:val="2"/>
        </w:rPr>
        <w:t>织</w:t>
      </w:r>
      <w:r>
        <w:rPr>
          <w:rFonts w:ascii="宋体" w:hAnsi="宋体" w:cs="宋体" w:eastAsia="宋体" w:hint="ascii"/>
          <w:sz w:val="21"/>
          <w:spacing w:val="1"/>
        </w:rPr>
        <w:t>科学技术</w:t>
      </w:r>
      <w:r>
        <w:rPr>
          <w:rFonts w:ascii="宋体" w:hAnsi="宋体" w:cs="宋体" w:eastAsia="宋体" w:hint="ascii"/>
          <w:sz w:val="21"/>
          <w:spacing w:val="2"/>
        </w:rPr>
        <w:t>人</w:t>
      </w:r>
      <w:r>
        <w:rPr>
          <w:rFonts w:ascii="宋体" w:hAnsi="宋体" w:cs="宋体" w:eastAsia="宋体" w:hint="ascii"/>
          <w:sz w:val="21"/>
          <w:spacing w:val="1"/>
        </w:rPr>
        <w:t>员进</w:t>
      </w:r>
      <w:r>
        <w:rPr>
          <w:rFonts w:ascii="宋体" w:hAnsi="宋体" w:cs="宋体" w:eastAsia="宋体" w:hint="ascii"/>
          <w:sz w:val="21"/>
          <w:spacing w:val="2"/>
        </w:rPr>
        <w:t>行</w:t>
      </w:r>
      <w:r>
        <w:rPr>
          <w:rFonts w:ascii="宋体" w:hAnsi="宋体" w:cs="宋体" w:eastAsia="宋体" w:hint="ascii"/>
          <w:sz w:val="21"/>
          <w:spacing w:val="-6"/>
        </w:rPr>
        <w:t>申</w:t>
      </w:r>
      <w:r>
        <w:rPr>
          <w:rFonts w:ascii="宋体" w:hAnsi="宋体" w:cs="宋体" w:eastAsia="宋体" w:hint="ascii"/>
          <w:sz w:val="21"/>
          <w:spacing w:val="3"/>
        </w:rPr>
        <w:t>请和评审</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39" locked="0" layoutInCell="1" allowOverlap="1">
                <wp:simplePos x="0" y="0"/>
                <wp:positionH relativeFrom="page">
                  <wp:posOffset>938530</wp:posOffset>
                </wp:positionH>
                <wp:positionV relativeFrom="page">
                  <wp:posOffset>805815</wp:posOffset>
                </wp:positionV>
                <wp:extent cx="5076190" cy="0"/>
                <wp:wrapNone/>
                <wp:docPr id="1268" name="126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13504;width:399.70pt;" id="126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30"/>
        <w:ind w:right="976" w:left="966" w:firstLine="428"/>
        <w:snapToGrid w:val="0"/>
        <w:textAlignment w:val="auto"/>
        <w:tabs/>
        <w:rPr>
          <w:rFonts w:ascii="宋体" w:hAnsi="宋体" w:cs="宋体" w:eastAsia="宋体" w:hint="ascii"/>
          <w:sz w:val="21"/>
        </w:rPr>
      </w:pPr>
      <w:r>
        <w:rPr>
          <w:rFonts w:ascii="宋体" w:hAnsi="宋体" w:cs="宋体" w:eastAsia="宋体" w:hint="ascii"/>
          <w:sz w:val="21"/>
          <w:spacing w:val="1"/>
        </w:rPr>
        <w:t>组织间国际（</w:t>
      </w:r>
      <w:r>
        <w:rPr>
          <w:rFonts w:ascii="宋体" w:hAnsi="宋体" w:cs="宋体" w:eastAsia="宋体" w:hint="ascii"/>
          <w:sz w:val="21"/>
        </w:rPr>
        <w:t>地区）合作与交流项目包括组织间合作研究项目、组织间合作交</w:t>
      </w:r>
      <w:r>
        <w:rPr>
          <w:rFonts w:ascii="宋体" w:hAnsi="宋体" w:cs="宋体" w:eastAsia="宋体" w:hint="ascii"/>
          <w:sz w:val="21"/>
          <w:spacing w:val="-6"/>
        </w:rPr>
        <w:t>流</w:t>
      </w:r>
      <w:r>
        <w:rPr>
          <w:rFonts w:ascii="宋体" w:hAnsi="宋体" w:cs="宋体" w:eastAsia="宋体" w:hint="ascii"/>
          <w:sz w:val="21"/>
        </w:rPr>
        <w:t>项目。</w:t>
      </w:r>
    </w:p>
    <w:p>
      <w:pPr>
        <w:autoSpaceDE w:val="0"/>
        <w:autoSpaceDN w:val="0"/>
        <w:jc w:val="left"/>
        <w:spacing w:before="54"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7"/>
        </w:rPr>
        <w:t>组</w:t>
      </w:r>
      <w:r>
        <w:rPr>
          <w:rFonts w:ascii="宋体" w:hAnsi="宋体" w:cs="宋体" w:eastAsia="宋体" w:hint="ascii"/>
          <w:sz w:val="21"/>
          <w:spacing w:val="6"/>
        </w:rPr>
        <w:t>织间</w:t>
      </w:r>
      <w:r>
        <w:rPr>
          <w:rFonts w:ascii="宋体" w:hAnsi="宋体" w:cs="宋体" w:eastAsia="宋体" w:hint="ascii"/>
          <w:sz w:val="21"/>
          <w:spacing w:val="7"/>
        </w:rPr>
        <w:t>合</w:t>
      </w:r>
      <w:r>
        <w:rPr>
          <w:rFonts w:ascii="宋体" w:hAnsi="宋体" w:cs="宋体" w:eastAsia="宋体" w:hint="ascii"/>
          <w:sz w:val="21"/>
          <w:spacing w:val="6"/>
        </w:rPr>
        <w:t>作</w:t>
      </w:r>
      <w:r>
        <w:rPr>
          <w:rFonts w:ascii="宋体" w:hAnsi="宋体" w:cs="宋体" w:eastAsia="宋体" w:hint="ascii"/>
          <w:sz w:val="21"/>
          <w:spacing w:val="7"/>
        </w:rPr>
        <w:t>研</w:t>
      </w:r>
      <w:r>
        <w:rPr>
          <w:rFonts w:ascii="宋体" w:hAnsi="宋体" w:cs="宋体" w:eastAsia="宋体" w:hint="ascii"/>
          <w:sz w:val="21"/>
          <w:spacing w:val="6"/>
        </w:rPr>
        <w:t>究项</w:t>
      </w:r>
      <w:r>
        <w:rPr>
          <w:rFonts w:ascii="宋体" w:hAnsi="宋体" w:cs="宋体" w:eastAsia="宋体" w:hint="ascii"/>
          <w:sz w:val="21"/>
          <w:spacing w:val="7"/>
        </w:rPr>
        <w:t>目</w:t>
      </w:r>
      <w:r>
        <w:rPr>
          <w:rFonts w:ascii="宋体" w:hAnsi="宋体" w:cs="宋体" w:eastAsia="宋体" w:hint="ascii"/>
          <w:sz w:val="21"/>
          <w:spacing w:val="6"/>
        </w:rPr>
        <w:t>是</w:t>
      </w:r>
      <w:r>
        <w:rPr>
          <w:rFonts w:ascii="宋体" w:hAnsi="宋体" w:cs="宋体" w:eastAsia="宋体" w:hint="ascii"/>
          <w:sz w:val="21"/>
          <w:spacing w:val="7"/>
        </w:rPr>
        <w:t>自</w:t>
      </w:r>
      <w:r>
        <w:rPr>
          <w:rFonts w:ascii="宋体" w:hAnsi="宋体" w:cs="宋体" w:eastAsia="宋体" w:hint="ascii"/>
          <w:sz w:val="21"/>
          <w:spacing w:val="6"/>
        </w:rPr>
        <w:t>然科</w:t>
      </w:r>
      <w:r>
        <w:rPr>
          <w:rFonts w:ascii="宋体" w:hAnsi="宋体" w:cs="宋体" w:eastAsia="宋体" w:hint="ascii"/>
          <w:sz w:val="21"/>
          <w:spacing w:val="7"/>
        </w:rPr>
        <w:t>学</w:t>
      </w:r>
      <w:r>
        <w:rPr>
          <w:rFonts w:ascii="宋体" w:hAnsi="宋体" w:cs="宋体" w:eastAsia="宋体" w:hint="ascii"/>
          <w:sz w:val="21"/>
          <w:spacing w:val="6"/>
        </w:rPr>
        <w:t>基</w:t>
      </w:r>
      <w:r>
        <w:rPr>
          <w:rFonts w:ascii="宋体" w:hAnsi="宋体" w:cs="宋体" w:eastAsia="宋体" w:hint="ascii"/>
          <w:sz w:val="21"/>
          <w:spacing w:val="7"/>
        </w:rPr>
        <w:t>金</w:t>
      </w:r>
      <w:r>
        <w:rPr>
          <w:rFonts w:ascii="宋体" w:hAnsi="宋体" w:cs="宋体" w:eastAsia="宋体" w:hint="ascii"/>
          <w:sz w:val="21"/>
          <w:spacing w:val="6"/>
        </w:rPr>
        <w:t>委在</w:t>
      </w:r>
      <w:r>
        <w:rPr>
          <w:rFonts w:ascii="宋体" w:hAnsi="宋体" w:cs="宋体" w:eastAsia="宋体" w:hint="ascii"/>
          <w:sz w:val="21"/>
          <w:spacing w:val="7"/>
        </w:rPr>
        <w:t>组</w:t>
      </w:r>
      <w:r>
        <w:rPr>
          <w:rFonts w:ascii="宋体" w:hAnsi="宋体" w:cs="宋体" w:eastAsia="宋体" w:hint="ascii"/>
          <w:sz w:val="21"/>
          <w:spacing w:val="6"/>
        </w:rPr>
        <w:t>织</w:t>
      </w:r>
      <w:r>
        <w:rPr>
          <w:rFonts w:ascii="宋体" w:hAnsi="宋体" w:cs="宋体" w:eastAsia="宋体" w:hint="ascii"/>
          <w:sz w:val="21"/>
          <w:spacing w:val="7"/>
        </w:rPr>
        <w:t>间</w:t>
      </w:r>
      <w:r>
        <w:rPr>
          <w:rFonts w:ascii="宋体" w:hAnsi="宋体" w:cs="宋体" w:eastAsia="宋体" w:hint="ascii"/>
          <w:sz w:val="21"/>
          <w:spacing w:val="6"/>
        </w:rPr>
        <w:t>协议</w:t>
      </w:r>
      <w:r>
        <w:rPr>
          <w:rFonts w:ascii="宋体" w:hAnsi="宋体" w:cs="宋体" w:eastAsia="宋体" w:hint="ascii"/>
          <w:sz w:val="21"/>
          <w:spacing w:val="7"/>
        </w:rPr>
        <w:t>框</w:t>
      </w:r>
      <w:r>
        <w:rPr>
          <w:rFonts w:ascii="宋体" w:hAnsi="宋体" w:cs="宋体" w:eastAsia="宋体" w:hint="ascii"/>
          <w:sz w:val="21"/>
          <w:spacing w:val="6"/>
        </w:rPr>
        <w:t>架</w:t>
      </w:r>
      <w:r>
        <w:rPr>
          <w:rFonts w:ascii="宋体" w:hAnsi="宋体" w:cs="宋体" w:eastAsia="宋体" w:hint="ascii"/>
          <w:sz w:val="21"/>
          <w:spacing w:val="7"/>
        </w:rPr>
        <w:t>下</w:t>
      </w:r>
      <w:r>
        <w:rPr>
          <w:rFonts w:ascii="宋体" w:hAnsi="宋体" w:cs="宋体" w:eastAsia="宋体" w:hint="ascii"/>
          <w:sz w:val="21"/>
          <w:spacing w:val="6"/>
        </w:rPr>
        <w:t>，与</w:t>
      </w:r>
      <w:r>
        <w:rPr>
          <w:rFonts w:ascii="宋体" w:hAnsi="宋体" w:cs="宋体" w:eastAsia="宋体" w:hint="ascii"/>
          <w:sz w:val="21"/>
          <w:spacing w:val="7"/>
        </w:rPr>
        <w:t>境</w:t>
      </w:r>
      <w:r>
        <w:rPr>
          <w:rFonts w:ascii="宋体" w:hAnsi="宋体" w:cs="宋体" w:eastAsia="宋体" w:hint="ascii"/>
          <w:sz w:val="21"/>
          <w:spacing w:val="6"/>
        </w:rPr>
        <w:t>外</w:t>
      </w:r>
      <w:r>
        <w:rPr>
          <w:rFonts w:ascii="宋体" w:hAnsi="宋体" w:cs="宋体" w:eastAsia="宋体" w:hint="ascii"/>
          <w:sz w:val="21"/>
          <w:spacing w:val="7"/>
        </w:rPr>
        <w:t>基</w:t>
      </w:r>
      <w:r>
        <w:rPr>
          <w:rFonts w:ascii="宋体" w:hAnsi="宋体" w:cs="宋体" w:eastAsia="宋体" w:hint="ascii"/>
          <w:sz w:val="21"/>
          <w:spacing w:val="6"/>
        </w:rPr>
        <w:t>金组</w:t>
      </w:r>
      <w:r>
        <w:rPr>
          <w:rFonts w:ascii="宋体" w:hAnsi="宋体" w:cs="宋体" w:eastAsia="宋体" w:hint="ascii"/>
          <w:sz w:val="21"/>
        </w:rPr>
        <w:t>织</w:t>
      </w:r>
    </w:p>
    <w:p>
      <w:pPr>
        <w:autoSpaceDE w:val="0"/>
        <w:autoSpaceDN w:val="0"/>
        <w:jc w:val="left"/>
        <w:spacing w:before="67" w:after="0" w:lineRule="exact" w:line="263"/>
        <w:ind w:right="0" w:left="859" w:firstLine="0"/>
        <w:snapToGrid w:val="0"/>
        <w:textAlignment w:val="auto"/>
        <w:tabs/>
        <w:rPr>
          <w:rFonts w:ascii="宋体" w:hAnsi="宋体" w:cs="宋体" w:eastAsia="宋体" w:hint="ascii"/>
          <w:sz w:val="21"/>
        </w:rPr>
      </w:pPr>
      <w:r>
        <w:rPr>
          <w:rFonts w:ascii="宋体" w:hAnsi="宋体" w:cs="宋体" w:eastAsia="宋体" w:hint="ascii"/>
          <w:sz w:val="21"/>
          <w:spacing w:val="4"/>
        </w:rPr>
        <w:t>（</w:t>
      </w:r>
      <w:r>
        <w:rPr>
          <w:rFonts w:ascii="宋体" w:hAnsi="宋体" w:cs="宋体" w:eastAsia="宋体" w:hint="ascii"/>
          <w:sz w:val="21"/>
          <w:spacing w:val="5"/>
        </w:rPr>
        <w:t>或</w:t>
      </w:r>
      <w:r>
        <w:rPr>
          <w:rFonts w:ascii="宋体" w:hAnsi="宋体" w:cs="宋体" w:eastAsia="宋体" w:hint="ascii"/>
          <w:sz w:val="21"/>
          <w:spacing w:val="4"/>
        </w:rPr>
        <w:t>研究机构</w:t>
      </w:r>
      <w:r>
        <w:rPr>
          <w:rFonts w:ascii="宋体" w:hAnsi="宋体" w:cs="宋体" w:eastAsia="宋体" w:hint="ascii"/>
          <w:sz w:val="21"/>
          <w:spacing w:val="5"/>
        </w:rPr>
        <w:t>和</w:t>
      </w:r>
      <w:r>
        <w:rPr>
          <w:rFonts w:ascii="宋体" w:hAnsi="宋体" w:cs="宋体" w:eastAsia="宋体" w:hint="ascii"/>
          <w:sz w:val="21"/>
          <w:spacing w:val="4"/>
        </w:rPr>
        <w:t>国际科学</w:t>
      </w:r>
      <w:r>
        <w:rPr>
          <w:rFonts w:ascii="宋体" w:hAnsi="宋体" w:cs="宋体" w:eastAsia="宋体" w:hint="ascii"/>
          <w:sz w:val="21"/>
          <w:spacing w:val="5"/>
        </w:rPr>
        <w:t>组</w:t>
      </w:r>
      <w:r>
        <w:rPr>
          <w:rFonts w:ascii="宋体" w:hAnsi="宋体" w:cs="宋体" w:eastAsia="宋体" w:hint="ascii"/>
          <w:sz w:val="21"/>
          <w:spacing w:val="4"/>
        </w:rPr>
        <w:t>织）共同</w:t>
      </w:r>
      <w:r>
        <w:rPr>
          <w:rFonts w:ascii="宋体" w:hAnsi="宋体" w:cs="宋体" w:eastAsia="宋体" w:hint="ascii"/>
          <w:sz w:val="21"/>
          <w:spacing w:val="5"/>
        </w:rPr>
        <w:t>组</w:t>
      </w:r>
      <w:r>
        <w:rPr>
          <w:rFonts w:ascii="宋体" w:hAnsi="宋体" w:cs="宋体" w:eastAsia="宋体" w:hint="ascii"/>
          <w:sz w:val="21"/>
          <w:spacing w:val="4"/>
        </w:rPr>
        <w:t>织和资助</w:t>
      </w:r>
      <w:r>
        <w:rPr>
          <w:rFonts w:ascii="宋体" w:hAnsi="宋体" w:cs="宋体" w:eastAsia="宋体" w:hint="ascii"/>
          <w:sz w:val="21"/>
          <w:spacing w:val="5"/>
        </w:rPr>
        <w:t>科</w:t>
      </w:r>
      <w:r>
        <w:rPr>
          <w:rFonts w:ascii="宋体" w:hAnsi="宋体" w:cs="宋体" w:eastAsia="宋体" w:hint="ascii"/>
          <w:sz w:val="21"/>
          <w:spacing w:val="4"/>
        </w:rPr>
        <w:t>学技术人</w:t>
      </w:r>
      <w:r>
        <w:rPr>
          <w:rFonts w:ascii="宋体" w:hAnsi="宋体" w:cs="宋体" w:eastAsia="宋体" w:hint="ascii"/>
          <w:sz w:val="21"/>
          <w:spacing w:val="5"/>
        </w:rPr>
        <w:t>员</w:t>
      </w:r>
      <w:r>
        <w:rPr>
          <w:rFonts w:ascii="宋体" w:hAnsi="宋体" w:cs="宋体" w:eastAsia="宋体" w:hint="ascii"/>
          <w:sz w:val="21"/>
          <w:spacing w:val="4"/>
        </w:rPr>
        <w:t>开展的双</w:t>
      </w:r>
      <w:r>
        <w:rPr>
          <w:rFonts w:ascii="宋体" w:hAnsi="宋体" w:cs="宋体" w:eastAsia="宋体" w:hint="ascii"/>
          <w:sz w:val="21"/>
          <w:spacing w:val="5"/>
        </w:rPr>
        <w:t>（</w:t>
      </w:r>
      <w:r>
        <w:rPr>
          <w:rFonts w:ascii="宋体" w:hAnsi="宋体" w:cs="宋体" w:eastAsia="宋体" w:hint="ascii"/>
          <w:sz w:val="21"/>
          <w:spacing w:val="4"/>
        </w:rPr>
        <w:t>多）</w:t>
      </w:r>
      <w:r>
        <w:rPr>
          <w:rFonts w:ascii="宋体" w:hAnsi="宋体" w:cs="宋体" w:eastAsia="宋体" w:hint="ascii"/>
          <w:sz w:val="21"/>
          <w:spacing w:val="5"/>
        </w:rPr>
        <w:t>边合</w:t>
      </w:r>
      <w:r>
        <w:rPr>
          <w:rFonts w:ascii="宋体" w:hAnsi="宋体" w:cs="宋体" w:eastAsia="宋体" w:hint="ascii"/>
          <w:sz w:val="21"/>
        </w:rPr>
        <w:t>作</w:t>
      </w:r>
    </w:p>
    <w:p>
      <w:pPr>
        <w:autoSpaceDE w:val="0"/>
        <w:autoSpaceDN w:val="0"/>
        <w:jc w:val="left"/>
        <w:spacing w:before="6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研究项目。</w:t>
      </w:r>
    </w:p>
    <w:p>
      <w:pPr>
        <w:autoSpaceDE w:val="0"/>
        <w:autoSpaceDN w:val="0"/>
        <w:jc w:val="left"/>
        <w:spacing w:before="67"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6"/>
        </w:rPr>
        <w:t>组</w:t>
      </w:r>
      <w:r>
        <w:rPr>
          <w:rFonts w:ascii="宋体" w:hAnsi="宋体" w:cs="宋体" w:eastAsia="宋体" w:hint="ascii"/>
          <w:sz w:val="21"/>
          <w:spacing w:val="7"/>
        </w:rPr>
        <w:t>织</w:t>
      </w:r>
      <w:r>
        <w:rPr>
          <w:rFonts w:ascii="宋体" w:hAnsi="宋体" w:cs="宋体" w:eastAsia="宋体" w:hint="ascii"/>
          <w:sz w:val="21"/>
          <w:spacing w:val="6"/>
        </w:rPr>
        <w:t>间合作交</w:t>
      </w:r>
      <w:r>
        <w:rPr>
          <w:rFonts w:ascii="宋体" w:hAnsi="宋体" w:cs="宋体" w:eastAsia="宋体" w:hint="ascii"/>
          <w:sz w:val="21"/>
          <w:spacing w:val="7"/>
        </w:rPr>
        <w:t>流</w:t>
      </w:r>
      <w:r>
        <w:rPr>
          <w:rFonts w:ascii="宋体" w:hAnsi="宋体" w:cs="宋体" w:eastAsia="宋体" w:hint="ascii"/>
          <w:sz w:val="21"/>
          <w:spacing w:val="6"/>
        </w:rPr>
        <w:t>项目是自</w:t>
      </w:r>
      <w:r>
        <w:rPr>
          <w:rFonts w:ascii="宋体" w:hAnsi="宋体" w:cs="宋体" w:eastAsia="宋体" w:hint="ascii"/>
          <w:sz w:val="21"/>
          <w:spacing w:val="7"/>
        </w:rPr>
        <w:t>然</w:t>
      </w:r>
      <w:r>
        <w:rPr>
          <w:rFonts w:ascii="宋体" w:hAnsi="宋体" w:cs="宋体" w:eastAsia="宋体" w:hint="ascii"/>
          <w:sz w:val="21"/>
          <w:spacing w:val="6"/>
        </w:rPr>
        <w:t>科学基金</w:t>
      </w:r>
      <w:r>
        <w:rPr>
          <w:rFonts w:ascii="宋体" w:hAnsi="宋体" w:cs="宋体" w:eastAsia="宋体" w:hint="ascii"/>
          <w:sz w:val="21"/>
          <w:spacing w:val="7"/>
        </w:rPr>
        <w:t>委</w:t>
      </w:r>
      <w:r>
        <w:rPr>
          <w:rFonts w:ascii="宋体" w:hAnsi="宋体" w:cs="宋体" w:eastAsia="宋体" w:hint="ascii"/>
          <w:sz w:val="21"/>
          <w:spacing w:val="6"/>
        </w:rPr>
        <w:t>在组织间</w:t>
      </w:r>
      <w:r>
        <w:rPr>
          <w:rFonts w:ascii="宋体" w:hAnsi="宋体" w:cs="宋体" w:eastAsia="宋体" w:hint="ascii"/>
          <w:sz w:val="21"/>
          <w:spacing w:val="7"/>
        </w:rPr>
        <w:t>协</w:t>
      </w:r>
      <w:r>
        <w:rPr>
          <w:rFonts w:ascii="宋体" w:hAnsi="宋体" w:cs="宋体" w:eastAsia="宋体" w:hint="ascii"/>
          <w:sz w:val="21"/>
          <w:spacing w:val="6"/>
        </w:rPr>
        <w:t>议框架下</w:t>
      </w:r>
      <w:r>
        <w:rPr>
          <w:rFonts w:ascii="宋体" w:hAnsi="宋体" w:cs="宋体" w:eastAsia="宋体" w:hint="ascii"/>
          <w:sz w:val="21"/>
          <w:spacing w:val="7"/>
        </w:rPr>
        <w:t>，</w:t>
      </w:r>
      <w:r>
        <w:rPr>
          <w:rFonts w:ascii="宋体" w:hAnsi="宋体" w:cs="宋体" w:eastAsia="宋体" w:hint="ascii"/>
          <w:sz w:val="21"/>
          <w:spacing w:val="6"/>
        </w:rPr>
        <w:t>鼓励科学</w:t>
      </w:r>
      <w:r>
        <w:rPr>
          <w:rFonts w:ascii="宋体" w:hAnsi="宋体" w:cs="宋体" w:eastAsia="宋体" w:hint="ascii"/>
          <w:sz w:val="21"/>
          <w:spacing w:val="7"/>
        </w:rPr>
        <w:t>基</w:t>
      </w:r>
      <w:r>
        <w:rPr>
          <w:rFonts w:ascii="宋体" w:hAnsi="宋体" w:cs="宋体" w:eastAsia="宋体" w:hint="ascii"/>
          <w:sz w:val="21"/>
          <w:spacing w:val="6"/>
        </w:rPr>
        <w:t>金</w:t>
      </w:r>
      <w:r>
        <w:rPr>
          <w:rFonts w:ascii="宋体" w:hAnsi="宋体" w:cs="宋体" w:eastAsia="宋体" w:hint="ascii"/>
          <w:sz w:val="21"/>
        </w:rPr>
        <w:t>项</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目承担者</w:t>
      </w:r>
      <w:r>
        <w:rPr>
          <w:rFonts w:ascii="宋体" w:hAnsi="宋体" w:cs="宋体" w:eastAsia="宋体" w:hint="ascii"/>
          <w:sz w:val="21"/>
          <w:spacing w:val="3"/>
        </w:rPr>
        <w:t>在</w:t>
      </w:r>
      <w:r>
        <w:rPr>
          <w:rFonts w:ascii="宋体" w:hAnsi="宋体" w:cs="宋体" w:eastAsia="宋体" w:hint="ascii"/>
          <w:sz w:val="21"/>
          <w:spacing w:val="4"/>
        </w:rPr>
        <w:t>项目实施</w:t>
      </w:r>
      <w:r>
        <w:rPr>
          <w:rFonts w:ascii="宋体" w:hAnsi="宋体" w:cs="宋体" w:eastAsia="宋体" w:hint="ascii"/>
          <w:sz w:val="21"/>
          <w:spacing w:val="3"/>
        </w:rPr>
        <w:t>期</w:t>
      </w:r>
      <w:r>
        <w:rPr>
          <w:rFonts w:ascii="宋体" w:hAnsi="宋体" w:cs="宋体" w:eastAsia="宋体" w:hint="ascii"/>
          <w:sz w:val="21"/>
          <w:spacing w:val="4"/>
        </w:rPr>
        <w:t>间开展</w:t>
      </w:r>
      <w:r>
        <w:rPr>
          <w:rFonts w:ascii="宋体" w:hAnsi="宋体" w:cs="宋体" w:eastAsia="宋体" w:hint="ascii"/>
          <w:sz w:val="21"/>
          <w:spacing w:val="3"/>
        </w:rPr>
        <w:t>广</w:t>
      </w:r>
      <w:r>
        <w:rPr>
          <w:rFonts w:ascii="宋体" w:hAnsi="宋体" w:cs="宋体" w:eastAsia="宋体" w:hint="ascii"/>
          <w:sz w:val="21"/>
          <w:spacing w:val="2"/>
        </w:rPr>
        <w:t>泛</w:t>
      </w:r>
      <w:r>
        <w:rPr>
          <w:rFonts w:ascii="宋体" w:hAnsi="宋体" w:cs="宋体" w:eastAsia="宋体" w:hint="ascii"/>
          <w:sz w:val="21"/>
          <w:spacing w:val="3"/>
        </w:rPr>
        <w:t>的国际（</w:t>
      </w:r>
      <w:r>
        <w:rPr>
          <w:rFonts w:ascii="宋体" w:hAnsi="宋体" w:cs="宋体" w:eastAsia="宋体" w:hint="ascii"/>
          <w:sz w:val="21"/>
          <w:spacing w:val="2"/>
        </w:rPr>
        <w:t>地</w:t>
      </w:r>
      <w:r>
        <w:rPr>
          <w:rFonts w:ascii="宋体" w:hAnsi="宋体" w:cs="宋体" w:eastAsia="宋体" w:hint="ascii"/>
          <w:sz w:val="21"/>
          <w:spacing w:val="3"/>
        </w:rPr>
        <w:t>区）合作</w:t>
      </w:r>
      <w:r>
        <w:rPr>
          <w:rFonts w:ascii="宋体" w:hAnsi="宋体" w:cs="宋体" w:eastAsia="宋体" w:hint="ascii"/>
          <w:sz w:val="21"/>
          <w:spacing w:val="2"/>
        </w:rPr>
        <w:t>交</w:t>
      </w:r>
      <w:r>
        <w:rPr>
          <w:rFonts w:ascii="宋体" w:hAnsi="宋体" w:cs="宋体" w:eastAsia="宋体" w:hint="ascii"/>
          <w:sz w:val="21"/>
          <w:spacing w:val="3"/>
        </w:rPr>
        <w:t>流活动，</w:t>
      </w:r>
      <w:r>
        <w:rPr>
          <w:rFonts w:ascii="宋体" w:hAnsi="宋体" w:cs="宋体" w:eastAsia="宋体" w:hint="ascii"/>
          <w:sz w:val="21"/>
          <w:spacing w:val="2"/>
        </w:rPr>
        <w:t>加</w:t>
      </w:r>
      <w:r>
        <w:rPr>
          <w:rFonts w:ascii="宋体" w:hAnsi="宋体" w:cs="宋体" w:eastAsia="宋体" w:hint="ascii"/>
          <w:sz w:val="21"/>
          <w:spacing w:val="3"/>
        </w:rPr>
        <w:t>快在研</w:t>
      </w:r>
      <w:r>
        <w:rPr>
          <w:rFonts w:ascii="宋体" w:hAnsi="宋体" w:cs="宋体" w:eastAsia="宋体" w:hint="ascii"/>
          <w:sz w:val="21"/>
          <w:spacing w:val="4"/>
        </w:rPr>
        <w:t>科</w:t>
      </w:r>
      <w:r>
        <w:rPr>
          <w:rFonts w:ascii="宋体" w:hAnsi="宋体" w:cs="宋体" w:eastAsia="宋体" w:hint="ascii"/>
          <w:sz w:val="21"/>
          <w:spacing w:val="3"/>
        </w:rPr>
        <w:t>学</w:t>
      </w:r>
      <w:r>
        <w:rPr>
          <w:rFonts w:ascii="宋体" w:hAnsi="宋体" w:cs="宋体" w:eastAsia="宋体" w:hint="ascii"/>
          <w:sz w:val="21"/>
          <w:spacing w:val="-6"/>
        </w:rPr>
        <w:t>基</w:t>
      </w:r>
      <w:r>
        <w:rPr>
          <w:rFonts w:ascii="宋体" w:hAnsi="宋体" w:cs="宋体" w:eastAsia="宋体" w:hint="ascii"/>
          <w:sz w:val="21"/>
          <w:spacing w:val="4"/>
        </w:rPr>
        <w:t>金项目在</w:t>
      </w:r>
      <w:r>
        <w:rPr>
          <w:rFonts w:ascii="宋体" w:hAnsi="宋体" w:cs="宋体" w:eastAsia="宋体" w:hint="ascii"/>
          <w:sz w:val="21"/>
          <w:spacing w:val="3"/>
        </w:rPr>
        <w:t>提</w:t>
      </w:r>
      <w:r>
        <w:rPr>
          <w:rFonts w:ascii="宋体" w:hAnsi="宋体" w:cs="宋体" w:eastAsia="宋体" w:hint="ascii"/>
          <w:sz w:val="21"/>
          <w:spacing w:val="4"/>
        </w:rPr>
        <w:t>高创新能</w:t>
      </w:r>
      <w:r>
        <w:rPr>
          <w:rFonts w:ascii="宋体" w:hAnsi="宋体" w:cs="宋体" w:eastAsia="宋体" w:hint="ascii"/>
          <w:sz w:val="21"/>
          <w:spacing w:val="3"/>
        </w:rPr>
        <w:t>力</w:t>
      </w:r>
      <w:r>
        <w:rPr>
          <w:rFonts w:ascii="宋体" w:hAnsi="宋体" w:cs="宋体" w:eastAsia="宋体" w:hint="ascii"/>
          <w:sz w:val="21"/>
          <w:spacing w:val="4"/>
        </w:rPr>
        <w:t>、人才</w:t>
      </w:r>
      <w:r>
        <w:rPr>
          <w:rFonts w:ascii="宋体" w:hAnsi="宋体" w:cs="宋体" w:eastAsia="宋体" w:hint="ascii"/>
          <w:sz w:val="21"/>
          <w:spacing w:val="3"/>
        </w:rPr>
        <w:t>培</w:t>
      </w:r>
      <w:r>
        <w:rPr>
          <w:rFonts w:ascii="宋体" w:hAnsi="宋体" w:cs="宋体" w:eastAsia="宋体" w:hint="ascii"/>
          <w:sz w:val="21"/>
          <w:spacing w:val="2"/>
        </w:rPr>
        <w:t>养</w:t>
      </w:r>
      <w:r>
        <w:rPr>
          <w:rFonts w:ascii="宋体" w:hAnsi="宋体" w:cs="宋体" w:eastAsia="宋体" w:hint="ascii"/>
          <w:sz w:val="21"/>
          <w:spacing w:val="3"/>
        </w:rPr>
        <w:t>、推动学</w:t>
      </w:r>
      <w:r>
        <w:rPr>
          <w:rFonts w:ascii="宋体" w:hAnsi="宋体" w:cs="宋体" w:eastAsia="宋体" w:hint="ascii"/>
          <w:sz w:val="21"/>
          <w:spacing w:val="2"/>
        </w:rPr>
        <w:t>科</w:t>
      </w:r>
      <w:r>
        <w:rPr>
          <w:rFonts w:ascii="宋体" w:hAnsi="宋体" w:cs="宋体" w:eastAsia="宋体" w:hint="ascii"/>
          <w:sz w:val="21"/>
          <w:spacing w:val="3"/>
        </w:rPr>
        <w:t>发展等方</w:t>
      </w:r>
      <w:r>
        <w:rPr>
          <w:rFonts w:ascii="宋体" w:hAnsi="宋体" w:cs="宋体" w:eastAsia="宋体" w:hint="ascii"/>
          <w:sz w:val="21"/>
          <w:spacing w:val="2"/>
        </w:rPr>
        <w:t>面</w:t>
      </w:r>
      <w:r>
        <w:rPr>
          <w:rFonts w:ascii="宋体" w:hAnsi="宋体" w:cs="宋体" w:eastAsia="宋体" w:hint="ascii"/>
          <w:sz w:val="21"/>
          <w:spacing w:val="3"/>
        </w:rPr>
        <w:t>的进程，</w:t>
      </w:r>
      <w:r>
        <w:rPr>
          <w:rFonts w:ascii="宋体" w:hAnsi="宋体" w:cs="宋体" w:eastAsia="宋体" w:hint="ascii"/>
          <w:sz w:val="21"/>
          <w:spacing w:val="2"/>
        </w:rPr>
        <w:t>提</w:t>
      </w:r>
      <w:r>
        <w:rPr>
          <w:rFonts w:ascii="宋体" w:hAnsi="宋体" w:cs="宋体" w:eastAsia="宋体" w:hint="ascii"/>
          <w:sz w:val="21"/>
          <w:spacing w:val="3"/>
        </w:rPr>
        <w:t>高在研</w:t>
      </w:r>
      <w:r>
        <w:rPr>
          <w:rFonts w:ascii="宋体" w:hAnsi="宋体" w:cs="宋体" w:eastAsia="宋体" w:hint="ascii"/>
          <w:sz w:val="21"/>
          <w:spacing w:val="4"/>
        </w:rPr>
        <w:t>科</w:t>
      </w:r>
      <w:r>
        <w:rPr>
          <w:rFonts w:ascii="宋体" w:hAnsi="宋体" w:cs="宋体" w:eastAsia="宋体" w:hint="ascii"/>
          <w:sz w:val="21"/>
          <w:spacing w:val="3"/>
        </w:rPr>
        <w:t>学</w:t>
      </w:r>
      <w:r>
        <w:rPr>
          <w:rFonts w:ascii="宋体" w:hAnsi="宋体" w:cs="宋体" w:eastAsia="宋体" w:hint="ascii"/>
          <w:sz w:val="21"/>
          <w:spacing w:val="-6"/>
        </w:rPr>
        <w:t>基</w:t>
      </w:r>
      <w:r>
        <w:rPr>
          <w:rFonts w:ascii="宋体" w:hAnsi="宋体" w:cs="宋体" w:eastAsia="宋体" w:hint="ascii"/>
          <w:sz w:val="21"/>
          <w:spacing w:val="4"/>
        </w:rPr>
        <w:t>金项目的</w:t>
      </w:r>
      <w:r>
        <w:rPr>
          <w:rFonts w:ascii="宋体" w:hAnsi="宋体" w:cs="宋体" w:eastAsia="宋体" w:hint="ascii"/>
          <w:sz w:val="21"/>
          <w:spacing w:val="3"/>
        </w:rPr>
        <w:t>完</w:t>
      </w:r>
      <w:r>
        <w:rPr>
          <w:rFonts w:ascii="宋体" w:hAnsi="宋体" w:cs="宋体" w:eastAsia="宋体" w:hint="ascii"/>
          <w:sz w:val="21"/>
          <w:spacing w:val="4"/>
        </w:rPr>
        <w:t>成质量。</w:t>
      </w:r>
      <w:r>
        <w:rPr>
          <w:rFonts w:ascii="宋体" w:hAnsi="宋体" w:cs="宋体" w:eastAsia="宋体" w:hint="ascii"/>
          <w:sz w:val="21"/>
          <w:spacing w:val="3"/>
        </w:rPr>
        <w:t>该</w:t>
      </w:r>
      <w:r>
        <w:rPr>
          <w:rFonts w:ascii="宋体" w:hAnsi="宋体" w:cs="宋体" w:eastAsia="宋体" w:hint="ascii"/>
          <w:sz w:val="21"/>
          <w:spacing w:val="4"/>
        </w:rPr>
        <w:t>类项目</w:t>
      </w:r>
      <w:r>
        <w:rPr>
          <w:rFonts w:ascii="宋体" w:hAnsi="宋体" w:cs="宋体" w:eastAsia="宋体" w:hint="ascii"/>
          <w:sz w:val="21"/>
          <w:spacing w:val="3"/>
        </w:rPr>
        <w:t>可</w:t>
      </w:r>
      <w:r>
        <w:rPr>
          <w:rFonts w:ascii="宋体" w:hAnsi="宋体" w:cs="宋体" w:eastAsia="宋体" w:hint="ascii"/>
          <w:sz w:val="21"/>
          <w:spacing w:val="2"/>
        </w:rPr>
        <w:t>划</w:t>
      </w:r>
      <w:r>
        <w:rPr>
          <w:rFonts w:ascii="宋体" w:hAnsi="宋体" w:cs="宋体" w:eastAsia="宋体" w:hint="ascii"/>
          <w:sz w:val="21"/>
          <w:spacing w:val="3"/>
        </w:rPr>
        <w:t>分为以人</w:t>
      </w:r>
      <w:r>
        <w:rPr>
          <w:rFonts w:ascii="宋体" w:hAnsi="宋体" w:cs="宋体" w:eastAsia="宋体" w:hint="ascii"/>
          <w:sz w:val="21"/>
          <w:spacing w:val="2"/>
        </w:rPr>
        <w:t>员</w:t>
      </w:r>
      <w:r>
        <w:rPr>
          <w:rFonts w:ascii="宋体" w:hAnsi="宋体" w:cs="宋体" w:eastAsia="宋体" w:hint="ascii"/>
          <w:sz w:val="21"/>
          <w:spacing w:val="3"/>
        </w:rPr>
        <w:t>互访为主</w:t>
      </w:r>
      <w:r>
        <w:rPr>
          <w:rFonts w:ascii="宋体" w:hAnsi="宋体" w:cs="宋体" w:eastAsia="宋体" w:hint="ascii"/>
          <w:sz w:val="21"/>
          <w:spacing w:val="2"/>
        </w:rPr>
        <w:t>的</w:t>
      </w:r>
      <w:r>
        <w:rPr>
          <w:rFonts w:ascii="宋体" w:hAnsi="宋体" w:cs="宋体" w:eastAsia="宋体" w:hint="ascii"/>
          <w:sz w:val="21"/>
          <w:spacing w:val="3"/>
        </w:rPr>
        <w:t>合作交流</w:t>
      </w:r>
      <w:r>
        <w:rPr>
          <w:rFonts w:ascii="宋体" w:hAnsi="宋体" w:cs="宋体" w:eastAsia="宋体" w:hint="ascii"/>
          <w:sz w:val="21"/>
          <w:spacing w:val="2"/>
        </w:rPr>
        <w:t>项</w:t>
      </w:r>
      <w:r>
        <w:rPr>
          <w:rFonts w:ascii="宋体" w:hAnsi="宋体" w:cs="宋体" w:eastAsia="宋体" w:hint="ascii"/>
          <w:sz w:val="21"/>
          <w:spacing w:val="3"/>
        </w:rPr>
        <w:t>目和学</w:t>
      </w:r>
      <w:r>
        <w:rPr>
          <w:rFonts w:ascii="宋体" w:hAnsi="宋体" w:cs="宋体" w:eastAsia="宋体" w:hint="ascii"/>
          <w:sz w:val="21"/>
          <w:spacing w:val="4"/>
        </w:rPr>
        <w:t>术</w:t>
      </w:r>
      <w:r>
        <w:rPr>
          <w:rFonts w:ascii="宋体" w:hAnsi="宋体" w:cs="宋体" w:eastAsia="宋体" w:hint="ascii"/>
          <w:sz w:val="21"/>
          <w:spacing w:val="3"/>
        </w:rPr>
        <w:t>会</w:t>
      </w:r>
      <w:r>
        <w:rPr>
          <w:rFonts w:ascii="宋体" w:hAnsi="宋体" w:cs="宋体" w:eastAsia="宋体" w:hint="ascii"/>
          <w:sz w:val="21"/>
          <w:spacing w:val="-6"/>
        </w:rPr>
        <w:t>议</w:t>
      </w:r>
      <w:r>
        <w:rPr>
          <w:rFonts w:ascii="宋体" w:hAnsi="宋体" w:cs="宋体" w:eastAsia="宋体" w:hint="ascii"/>
          <w:sz w:val="21"/>
          <w:spacing w:val="4"/>
        </w:rPr>
        <w:t>项目。通</w:t>
      </w:r>
      <w:r>
        <w:rPr>
          <w:rFonts w:ascii="宋体" w:hAnsi="宋体" w:cs="宋体" w:eastAsia="宋体" w:hint="ascii"/>
          <w:sz w:val="21"/>
          <w:spacing w:val="3"/>
        </w:rPr>
        <w:t>过</w:t>
      </w:r>
      <w:r>
        <w:rPr>
          <w:rFonts w:ascii="宋体" w:hAnsi="宋体" w:cs="宋体" w:eastAsia="宋体" w:hint="ascii"/>
          <w:sz w:val="21"/>
          <w:spacing w:val="4"/>
        </w:rPr>
        <w:t>以人员互</w:t>
      </w:r>
      <w:r>
        <w:rPr>
          <w:rFonts w:ascii="宋体" w:hAnsi="宋体" w:cs="宋体" w:eastAsia="宋体" w:hint="ascii"/>
          <w:sz w:val="21"/>
          <w:spacing w:val="3"/>
        </w:rPr>
        <w:t>访</w:t>
      </w:r>
      <w:r>
        <w:rPr>
          <w:rFonts w:ascii="宋体" w:hAnsi="宋体" w:cs="宋体" w:eastAsia="宋体" w:hint="ascii"/>
          <w:sz w:val="21"/>
          <w:spacing w:val="4"/>
        </w:rPr>
        <w:t>为主的</w:t>
      </w:r>
      <w:r>
        <w:rPr>
          <w:rFonts w:ascii="宋体" w:hAnsi="宋体" w:cs="宋体" w:eastAsia="宋体" w:hint="ascii"/>
          <w:sz w:val="21"/>
          <w:spacing w:val="3"/>
        </w:rPr>
        <w:t>合</w:t>
      </w:r>
      <w:r>
        <w:rPr>
          <w:rFonts w:ascii="宋体" w:hAnsi="宋体" w:cs="宋体" w:eastAsia="宋体" w:hint="ascii"/>
          <w:sz w:val="21"/>
          <w:spacing w:val="2"/>
        </w:rPr>
        <w:t>作</w:t>
      </w:r>
      <w:r>
        <w:rPr>
          <w:rFonts w:ascii="宋体" w:hAnsi="宋体" w:cs="宋体" w:eastAsia="宋体" w:hint="ascii"/>
          <w:sz w:val="21"/>
          <w:spacing w:val="3"/>
        </w:rPr>
        <w:t>交流活动</w:t>
      </w:r>
      <w:r>
        <w:rPr>
          <w:rFonts w:ascii="宋体" w:hAnsi="宋体" w:cs="宋体" w:eastAsia="宋体" w:hint="ascii"/>
          <w:sz w:val="21"/>
          <w:spacing w:val="2"/>
        </w:rPr>
        <w:t>与</w:t>
      </w:r>
      <w:r>
        <w:rPr>
          <w:rFonts w:ascii="宋体" w:hAnsi="宋体" w:cs="宋体" w:eastAsia="宋体" w:hint="ascii"/>
          <w:sz w:val="21"/>
          <w:spacing w:val="3"/>
        </w:rPr>
        <w:t>国外合作</w:t>
      </w:r>
      <w:r>
        <w:rPr>
          <w:rFonts w:ascii="宋体" w:hAnsi="宋体" w:cs="宋体" w:eastAsia="宋体" w:hint="ascii"/>
          <w:sz w:val="21"/>
          <w:spacing w:val="2"/>
        </w:rPr>
        <w:t>伙</w:t>
      </w:r>
      <w:r>
        <w:rPr>
          <w:rFonts w:ascii="宋体" w:hAnsi="宋体" w:cs="宋体" w:eastAsia="宋体" w:hint="ascii"/>
          <w:sz w:val="21"/>
          <w:spacing w:val="3"/>
        </w:rPr>
        <w:t>伴保持良</w:t>
      </w:r>
      <w:r>
        <w:rPr>
          <w:rFonts w:ascii="宋体" w:hAnsi="宋体" w:cs="宋体" w:eastAsia="宋体" w:hint="ascii"/>
          <w:sz w:val="21"/>
          <w:spacing w:val="2"/>
        </w:rPr>
        <w:t>好</w:t>
      </w:r>
      <w:r>
        <w:rPr>
          <w:rFonts w:ascii="宋体" w:hAnsi="宋体" w:cs="宋体" w:eastAsia="宋体" w:hint="ascii"/>
          <w:sz w:val="21"/>
          <w:spacing w:val="3"/>
        </w:rPr>
        <w:t>的双边</w:t>
      </w:r>
      <w:r>
        <w:rPr>
          <w:rFonts w:ascii="宋体" w:hAnsi="宋体" w:cs="宋体" w:eastAsia="宋体" w:hint="ascii"/>
          <w:sz w:val="21"/>
          <w:spacing w:val="4"/>
        </w:rPr>
        <w:t>和</w:t>
      </w:r>
      <w:r>
        <w:rPr>
          <w:rFonts w:ascii="宋体" w:hAnsi="宋体" w:cs="宋体" w:eastAsia="宋体" w:hint="ascii"/>
          <w:sz w:val="21"/>
          <w:spacing w:val="3"/>
        </w:rPr>
        <w:t>多</w:t>
      </w:r>
      <w:r>
        <w:rPr>
          <w:rFonts w:ascii="宋体" w:hAnsi="宋体" w:cs="宋体" w:eastAsia="宋体" w:hint="ascii"/>
          <w:sz w:val="21"/>
          <w:spacing w:val="-6"/>
        </w:rPr>
        <w:t>边</w:t>
      </w:r>
      <w:r>
        <w:rPr>
          <w:rFonts w:ascii="宋体" w:hAnsi="宋体" w:cs="宋体" w:eastAsia="宋体" w:hint="ascii"/>
          <w:sz w:val="21"/>
          <w:spacing w:val="4"/>
        </w:rPr>
        <w:t>合作交流</w:t>
      </w:r>
      <w:r>
        <w:rPr>
          <w:rFonts w:ascii="宋体" w:hAnsi="宋体" w:cs="宋体" w:eastAsia="宋体" w:hint="ascii"/>
          <w:sz w:val="21"/>
          <w:spacing w:val="3"/>
        </w:rPr>
        <w:t>关</w:t>
      </w:r>
      <w:r>
        <w:rPr>
          <w:rFonts w:ascii="宋体" w:hAnsi="宋体" w:cs="宋体" w:eastAsia="宋体" w:hint="ascii"/>
          <w:sz w:val="21"/>
          <w:spacing w:val="4"/>
        </w:rPr>
        <w:t>系，为今</w:t>
      </w:r>
      <w:r>
        <w:rPr>
          <w:rFonts w:ascii="宋体" w:hAnsi="宋体" w:cs="宋体" w:eastAsia="宋体" w:hint="ascii"/>
          <w:sz w:val="21"/>
          <w:spacing w:val="3"/>
        </w:rPr>
        <w:t>后</w:t>
      </w:r>
      <w:r>
        <w:rPr>
          <w:rFonts w:ascii="宋体" w:hAnsi="宋体" w:cs="宋体" w:eastAsia="宋体" w:hint="ascii"/>
          <w:sz w:val="21"/>
          <w:spacing w:val="4"/>
        </w:rPr>
        <w:t>开展更</w:t>
      </w:r>
      <w:r>
        <w:rPr>
          <w:rFonts w:ascii="宋体" w:hAnsi="宋体" w:cs="宋体" w:eastAsia="宋体" w:hint="ascii"/>
          <w:sz w:val="21"/>
          <w:spacing w:val="3"/>
        </w:rPr>
        <w:t>广</w:t>
      </w:r>
      <w:r>
        <w:rPr>
          <w:rFonts w:ascii="宋体" w:hAnsi="宋体" w:cs="宋体" w:eastAsia="宋体" w:hint="ascii"/>
          <w:sz w:val="21"/>
          <w:spacing w:val="2"/>
        </w:rPr>
        <w:t>泛</w:t>
      </w:r>
      <w:r>
        <w:rPr>
          <w:rFonts w:ascii="宋体" w:hAnsi="宋体" w:cs="宋体" w:eastAsia="宋体" w:hint="ascii"/>
          <w:sz w:val="21"/>
          <w:spacing w:val="3"/>
        </w:rPr>
        <w:t>、更深入</w:t>
      </w:r>
      <w:r>
        <w:rPr>
          <w:rFonts w:ascii="宋体" w:hAnsi="宋体" w:cs="宋体" w:eastAsia="宋体" w:hint="ascii"/>
          <w:sz w:val="21"/>
          <w:spacing w:val="2"/>
        </w:rPr>
        <w:t>的</w:t>
      </w:r>
      <w:r>
        <w:rPr>
          <w:rFonts w:ascii="宋体" w:hAnsi="宋体" w:cs="宋体" w:eastAsia="宋体" w:hint="ascii"/>
          <w:sz w:val="21"/>
          <w:spacing w:val="3"/>
        </w:rPr>
        <w:t>国际合作</w:t>
      </w:r>
      <w:r>
        <w:rPr>
          <w:rFonts w:ascii="宋体" w:hAnsi="宋体" w:cs="宋体" w:eastAsia="宋体" w:hint="ascii"/>
          <w:sz w:val="21"/>
          <w:spacing w:val="2"/>
        </w:rPr>
        <w:t>奠</w:t>
      </w:r>
      <w:r>
        <w:rPr>
          <w:rFonts w:ascii="宋体" w:hAnsi="宋体" w:cs="宋体" w:eastAsia="宋体" w:hint="ascii"/>
          <w:sz w:val="21"/>
          <w:spacing w:val="3"/>
        </w:rPr>
        <w:t>定良好基</w:t>
      </w:r>
      <w:r>
        <w:rPr>
          <w:rFonts w:ascii="宋体" w:hAnsi="宋体" w:cs="宋体" w:eastAsia="宋体" w:hint="ascii"/>
          <w:sz w:val="21"/>
          <w:spacing w:val="2"/>
        </w:rPr>
        <w:t>础</w:t>
      </w:r>
      <w:r>
        <w:rPr>
          <w:rFonts w:ascii="宋体" w:hAnsi="宋体" w:cs="宋体" w:eastAsia="宋体" w:hint="ascii"/>
          <w:sz w:val="21"/>
          <w:spacing w:val="3"/>
        </w:rPr>
        <w:t>。学术</w:t>
      </w:r>
      <w:r>
        <w:rPr>
          <w:rFonts w:ascii="宋体" w:hAnsi="宋体" w:cs="宋体" w:eastAsia="宋体" w:hint="ascii"/>
          <w:sz w:val="21"/>
          <w:spacing w:val="4"/>
        </w:rPr>
        <w:t>会</w:t>
      </w:r>
      <w:r>
        <w:rPr>
          <w:rFonts w:ascii="宋体" w:hAnsi="宋体" w:cs="宋体" w:eastAsia="宋体" w:hint="ascii"/>
          <w:sz w:val="21"/>
          <w:spacing w:val="3"/>
        </w:rPr>
        <w:t>议</w:t>
      </w:r>
      <w:r>
        <w:rPr>
          <w:rFonts w:ascii="宋体" w:hAnsi="宋体" w:cs="宋体" w:eastAsia="宋体" w:hint="ascii"/>
          <w:sz w:val="21"/>
          <w:spacing w:val="-6"/>
        </w:rPr>
        <w:t>项</w:t>
      </w:r>
      <w:r>
        <w:rPr>
          <w:rFonts w:ascii="宋体" w:hAnsi="宋体" w:cs="宋体" w:eastAsia="宋体" w:hint="ascii"/>
          <w:sz w:val="21"/>
          <w:spacing w:val="4"/>
        </w:rPr>
        <w:t>目是自然</w:t>
      </w:r>
      <w:r>
        <w:rPr>
          <w:rFonts w:ascii="宋体" w:hAnsi="宋体" w:cs="宋体" w:eastAsia="宋体" w:hint="ascii"/>
          <w:sz w:val="21"/>
          <w:spacing w:val="3"/>
        </w:rPr>
        <w:t>科</w:t>
      </w:r>
      <w:r>
        <w:rPr>
          <w:rFonts w:ascii="宋体" w:hAnsi="宋体" w:cs="宋体" w:eastAsia="宋体" w:hint="ascii"/>
          <w:sz w:val="21"/>
          <w:spacing w:val="4"/>
        </w:rPr>
        <w:t>学基金委</w:t>
      </w:r>
      <w:r>
        <w:rPr>
          <w:rFonts w:ascii="宋体" w:hAnsi="宋体" w:cs="宋体" w:eastAsia="宋体" w:hint="ascii"/>
          <w:sz w:val="21"/>
          <w:spacing w:val="3"/>
        </w:rPr>
        <w:t>在</w:t>
      </w:r>
      <w:r>
        <w:rPr>
          <w:rFonts w:ascii="宋体" w:hAnsi="宋体" w:cs="宋体" w:eastAsia="宋体" w:hint="ascii"/>
          <w:sz w:val="21"/>
          <w:spacing w:val="4"/>
        </w:rPr>
        <w:t>组织间</w:t>
      </w:r>
      <w:r>
        <w:rPr>
          <w:rFonts w:ascii="宋体" w:hAnsi="宋体" w:cs="宋体" w:eastAsia="宋体" w:hint="ascii"/>
          <w:sz w:val="21"/>
          <w:spacing w:val="3"/>
        </w:rPr>
        <w:t>协</w:t>
      </w:r>
      <w:r>
        <w:rPr>
          <w:rFonts w:ascii="宋体" w:hAnsi="宋体" w:cs="宋体" w:eastAsia="宋体" w:hint="ascii"/>
          <w:sz w:val="21"/>
          <w:spacing w:val="2"/>
        </w:rPr>
        <w:t>议</w:t>
      </w:r>
      <w:r>
        <w:rPr>
          <w:rFonts w:ascii="宋体" w:hAnsi="宋体" w:cs="宋体" w:eastAsia="宋体" w:hint="ascii"/>
          <w:sz w:val="21"/>
          <w:spacing w:val="3"/>
        </w:rPr>
        <w:t>框架下，</w:t>
      </w:r>
      <w:r>
        <w:rPr>
          <w:rFonts w:ascii="宋体" w:hAnsi="宋体" w:cs="宋体" w:eastAsia="宋体" w:hint="ascii"/>
          <w:sz w:val="21"/>
          <w:spacing w:val="2"/>
        </w:rPr>
        <w:t>支</w:t>
      </w:r>
      <w:r>
        <w:rPr>
          <w:rFonts w:ascii="宋体" w:hAnsi="宋体" w:cs="宋体" w:eastAsia="宋体" w:hint="ascii"/>
          <w:sz w:val="21"/>
          <w:spacing w:val="3"/>
        </w:rPr>
        <w:t>持科学技</w:t>
      </w:r>
      <w:r>
        <w:rPr>
          <w:rFonts w:ascii="宋体" w:hAnsi="宋体" w:cs="宋体" w:eastAsia="宋体" w:hint="ascii"/>
          <w:sz w:val="21"/>
          <w:spacing w:val="2"/>
        </w:rPr>
        <w:t>术</w:t>
      </w:r>
      <w:r>
        <w:rPr>
          <w:rFonts w:ascii="宋体" w:hAnsi="宋体" w:cs="宋体" w:eastAsia="宋体" w:hint="ascii"/>
          <w:sz w:val="21"/>
          <w:spacing w:val="3"/>
        </w:rPr>
        <w:t>人员在华</w:t>
      </w:r>
      <w:r>
        <w:rPr>
          <w:rFonts w:ascii="宋体" w:hAnsi="宋体" w:cs="宋体" w:eastAsia="宋体" w:hint="ascii"/>
          <w:sz w:val="21"/>
          <w:spacing w:val="2"/>
        </w:rPr>
        <w:t>举</w:t>
      </w:r>
      <w:r>
        <w:rPr>
          <w:rFonts w:ascii="宋体" w:hAnsi="宋体" w:cs="宋体" w:eastAsia="宋体" w:hint="ascii"/>
          <w:sz w:val="21"/>
          <w:spacing w:val="3"/>
        </w:rPr>
        <w:t>办或出</w:t>
      </w:r>
      <w:r>
        <w:rPr>
          <w:rFonts w:ascii="宋体" w:hAnsi="宋体" w:cs="宋体" w:eastAsia="宋体" w:hint="ascii"/>
          <w:sz w:val="21"/>
          <w:spacing w:val="4"/>
        </w:rPr>
        <w:t>国</w:t>
      </w:r>
      <w:r>
        <w:rPr>
          <w:rFonts w:ascii="宋体" w:hAnsi="宋体" w:cs="宋体" w:eastAsia="宋体" w:hint="ascii"/>
          <w:sz w:val="21"/>
          <w:spacing w:val="3"/>
        </w:rPr>
        <w:t>参</w:t>
      </w:r>
      <w:r>
        <w:rPr>
          <w:rFonts w:ascii="宋体" w:hAnsi="宋体" w:cs="宋体" w:eastAsia="宋体" w:hint="ascii"/>
          <w:sz w:val="21"/>
          <w:spacing w:val="-6"/>
        </w:rPr>
        <w:t>加</w:t>
      </w:r>
      <w:r>
        <w:rPr>
          <w:rFonts w:ascii="宋体" w:hAnsi="宋体" w:cs="宋体" w:eastAsia="宋体" w:hint="ascii"/>
          <w:sz w:val="21"/>
          <w:spacing w:val="4"/>
        </w:rPr>
        <w:t>双（多）</w:t>
      </w:r>
      <w:r>
        <w:rPr>
          <w:rFonts w:ascii="宋体" w:hAnsi="宋体" w:cs="宋体" w:eastAsia="宋体" w:hint="ascii"/>
          <w:sz w:val="21"/>
          <w:spacing w:val="3"/>
        </w:rPr>
        <w:t>边</w:t>
      </w:r>
      <w:r>
        <w:rPr>
          <w:rFonts w:ascii="宋体" w:hAnsi="宋体" w:cs="宋体" w:eastAsia="宋体" w:hint="ascii"/>
          <w:sz w:val="21"/>
          <w:spacing w:val="4"/>
        </w:rPr>
        <w:t>国际（地</w:t>
      </w:r>
      <w:r>
        <w:rPr>
          <w:rFonts w:ascii="宋体" w:hAnsi="宋体" w:cs="宋体" w:eastAsia="宋体" w:hint="ascii"/>
          <w:sz w:val="21"/>
          <w:spacing w:val="3"/>
        </w:rPr>
        <w:t>区</w:t>
      </w:r>
      <w:r>
        <w:rPr>
          <w:rFonts w:ascii="宋体" w:hAnsi="宋体" w:cs="宋体" w:eastAsia="宋体" w:hint="ascii"/>
          <w:sz w:val="21"/>
          <w:spacing w:val="4"/>
        </w:rPr>
        <w:t>）学术</w:t>
      </w:r>
      <w:r>
        <w:rPr>
          <w:rFonts w:ascii="宋体" w:hAnsi="宋体" w:cs="宋体" w:eastAsia="宋体" w:hint="ascii"/>
          <w:sz w:val="21"/>
          <w:spacing w:val="3"/>
        </w:rPr>
        <w:t>会</w:t>
      </w:r>
      <w:r>
        <w:rPr>
          <w:rFonts w:ascii="宋体" w:hAnsi="宋体" w:cs="宋体" w:eastAsia="宋体" w:hint="ascii"/>
          <w:sz w:val="21"/>
          <w:spacing w:val="2"/>
        </w:rPr>
        <w:t>议</w:t>
      </w:r>
      <w:r>
        <w:rPr>
          <w:rFonts w:ascii="宋体" w:hAnsi="宋体" w:cs="宋体" w:eastAsia="宋体" w:hint="ascii"/>
          <w:sz w:val="21"/>
          <w:spacing w:val="3"/>
        </w:rPr>
        <w:t>，以加强</w:t>
      </w:r>
      <w:r>
        <w:rPr>
          <w:rFonts w:ascii="宋体" w:hAnsi="宋体" w:cs="宋体" w:eastAsia="宋体" w:hint="ascii"/>
          <w:sz w:val="21"/>
          <w:spacing w:val="2"/>
        </w:rPr>
        <w:t>国</w:t>
      </w:r>
      <w:r>
        <w:rPr>
          <w:rFonts w:ascii="宋体" w:hAnsi="宋体" w:cs="宋体" w:eastAsia="宋体" w:hint="ascii"/>
          <w:sz w:val="21"/>
          <w:spacing w:val="3"/>
        </w:rPr>
        <w:t>内人员对</w:t>
      </w:r>
      <w:r>
        <w:rPr>
          <w:rFonts w:ascii="宋体" w:hAnsi="宋体" w:cs="宋体" w:eastAsia="宋体" w:hint="ascii"/>
          <w:sz w:val="21"/>
          <w:spacing w:val="2"/>
        </w:rPr>
        <w:t>国</w:t>
      </w:r>
      <w:r>
        <w:rPr>
          <w:rFonts w:ascii="宋体" w:hAnsi="宋体" w:cs="宋体" w:eastAsia="宋体" w:hint="ascii"/>
          <w:sz w:val="21"/>
          <w:spacing w:val="3"/>
        </w:rPr>
        <w:t>际学术前</w:t>
      </w:r>
      <w:r>
        <w:rPr>
          <w:rFonts w:ascii="宋体" w:hAnsi="宋体" w:cs="宋体" w:eastAsia="宋体" w:hint="ascii"/>
          <w:sz w:val="21"/>
          <w:spacing w:val="2"/>
        </w:rPr>
        <w:t>沿</w:t>
      </w:r>
      <w:r>
        <w:rPr>
          <w:rFonts w:ascii="宋体" w:hAnsi="宋体" w:cs="宋体" w:eastAsia="宋体" w:hint="ascii"/>
          <w:sz w:val="21"/>
          <w:spacing w:val="3"/>
        </w:rPr>
        <w:t>和研究</w:t>
      </w:r>
      <w:r>
        <w:rPr>
          <w:rFonts w:ascii="宋体" w:hAnsi="宋体" w:cs="宋体" w:eastAsia="宋体" w:hint="ascii"/>
          <w:sz w:val="21"/>
          <w:spacing w:val="4"/>
        </w:rPr>
        <w:t>热</w:t>
      </w:r>
      <w:r>
        <w:rPr>
          <w:rFonts w:ascii="宋体" w:hAnsi="宋体" w:cs="宋体" w:eastAsia="宋体" w:hint="ascii"/>
          <w:sz w:val="21"/>
          <w:spacing w:val="3"/>
        </w:rPr>
        <w:t>点</w:t>
      </w:r>
      <w:r>
        <w:rPr>
          <w:rFonts w:ascii="宋体" w:hAnsi="宋体" w:cs="宋体" w:eastAsia="宋体" w:hint="ascii"/>
          <w:sz w:val="21"/>
          <w:spacing w:val="-6"/>
        </w:rPr>
        <w:t>的</w:t>
      </w:r>
      <w:r>
        <w:rPr>
          <w:rFonts w:ascii="宋体" w:hAnsi="宋体" w:cs="宋体" w:eastAsia="宋体" w:hint="ascii"/>
          <w:sz w:val="21"/>
          <w:spacing w:val="4"/>
        </w:rPr>
        <w:t>了解，建</w:t>
      </w:r>
      <w:r>
        <w:rPr>
          <w:rFonts w:ascii="宋体" w:hAnsi="宋体" w:cs="宋体" w:eastAsia="宋体" w:hint="ascii"/>
          <w:sz w:val="21"/>
          <w:spacing w:val="3"/>
        </w:rPr>
        <w:t>立</w:t>
      </w:r>
      <w:r>
        <w:rPr>
          <w:rFonts w:ascii="宋体" w:hAnsi="宋体" w:cs="宋体" w:eastAsia="宋体" w:hint="ascii"/>
          <w:sz w:val="21"/>
          <w:spacing w:val="4"/>
        </w:rPr>
        <w:t>和深化国</w:t>
      </w:r>
      <w:r>
        <w:rPr>
          <w:rFonts w:ascii="宋体" w:hAnsi="宋体" w:cs="宋体" w:eastAsia="宋体" w:hint="ascii"/>
          <w:sz w:val="21"/>
          <w:spacing w:val="3"/>
        </w:rPr>
        <w:t>内</w:t>
      </w:r>
      <w:r>
        <w:rPr>
          <w:rFonts w:ascii="宋体" w:hAnsi="宋体" w:cs="宋体" w:eastAsia="宋体" w:hint="ascii"/>
          <w:sz w:val="21"/>
          <w:spacing w:val="4"/>
        </w:rPr>
        <w:t>外同行</w:t>
      </w:r>
      <w:r>
        <w:rPr>
          <w:rFonts w:ascii="宋体" w:hAnsi="宋体" w:cs="宋体" w:eastAsia="宋体" w:hint="ascii"/>
          <w:sz w:val="21"/>
          <w:spacing w:val="3"/>
        </w:rPr>
        <w:t>间</w:t>
      </w:r>
      <w:r>
        <w:rPr>
          <w:rFonts w:ascii="宋体" w:hAnsi="宋体" w:cs="宋体" w:eastAsia="宋体" w:hint="ascii"/>
          <w:sz w:val="21"/>
          <w:spacing w:val="2"/>
        </w:rPr>
        <w:t>的</w:t>
      </w:r>
      <w:r>
        <w:rPr>
          <w:rFonts w:ascii="宋体" w:hAnsi="宋体" w:cs="宋体" w:eastAsia="宋体" w:hint="ascii"/>
          <w:sz w:val="21"/>
          <w:spacing w:val="3"/>
        </w:rPr>
        <w:t>合作关系</w:t>
      </w:r>
      <w:r>
        <w:rPr>
          <w:rFonts w:ascii="宋体" w:hAnsi="宋体" w:cs="宋体" w:eastAsia="宋体" w:hint="ascii"/>
          <w:sz w:val="21"/>
          <w:spacing w:val="2"/>
        </w:rPr>
        <w:t>，</w:t>
      </w:r>
      <w:r>
        <w:rPr>
          <w:rFonts w:ascii="宋体" w:hAnsi="宋体" w:cs="宋体" w:eastAsia="宋体" w:hint="ascii"/>
          <w:sz w:val="21"/>
          <w:spacing w:val="3"/>
        </w:rPr>
        <w:t>加强科学</w:t>
      </w:r>
      <w:r>
        <w:rPr>
          <w:rFonts w:ascii="宋体" w:hAnsi="宋体" w:cs="宋体" w:eastAsia="宋体" w:hint="ascii"/>
          <w:sz w:val="21"/>
          <w:spacing w:val="2"/>
        </w:rPr>
        <w:t>基</w:t>
      </w:r>
      <w:r>
        <w:rPr>
          <w:rFonts w:ascii="宋体" w:hAnsi="宋体" w:cs="宋体" w:eastAsia="宋体" w:hint="ascii"/>
          <w:sz w:val="21"/>
          <w:spacing w:val="3"/>
        </w:rPr>
        <w:t>金研究成</w:t>
      </w:r>
      <w:r>
        <w:rPr>
          <w:rFonts w:ascii="宋体" w:hAnsi="宋体" w:cs="宋体" w:eastAsia="宋体" w:hint="ascii"/>
          <w:sz w:val="21"/>
          <w:spacing w:val="2"/>
        </w:rPr>
        <w:t>果</w:t>
      </w:r>
      <w:r>
        <w:rPr>
          <w:rFonts w:ascii="宋体" w:hAnsi="宋体" w:cs="宋体" w:eastAsia="宋体" w:hint="ascii"/>
          <w:sz w:val="21"/>
          <w:spacing w:val="3"/>
        </w:rPr>
        <w:t>的宣传</w:t>
      </w:r>
      <w:r>
        <w:rPr>
          <w:rFonts w:ascii="宋体" w:hAnsi="宋体" w:cs="宋体" w:eastAsia="宋体" w:hint="ascii"/>
          <w:sz w:val="21"/>
          <w:spacing w:val="4"/>
        </w:rPr>
        <w:t>，</w:t>
      </w:r>
      <w:r>
        <w:rPr>
          <w:rFonts w:ascii="宋体" w:hAnsi="宋体" w:cs="宋体" w:eastAsia="宋体" w:hint="ascii"/>
          <w:sz w:val="21"/>
          <w:spacing w:val="3"/>
        </w:rPr>
        <w:t>增</w:t>
      </w:r>
      <w:r>
        <w:rPr>
          <w:rFonts w:ascii="宋体" w:hAnsi="宋体" w:cs="宋体" w:eastAsia="宋体" w:hint="ascii"/>
          <w:sz w:val="21"/>
          <w:spacing w:val="-6"/>
        </w:rPr>
        <w:t>强</w:t>
      </w:r>
      <w:r>
        <w:rPr>
          <w:rFonts w:ascii="宋体" w:hAnsi="宋体" w:cs="宋体" w:eastAsia="宋体" w:hint="ascii"/>
          <w:sz w:val="21"/>
          <w:spacing w:val="3"/>
        </w:rPr>
        <w:t>我国科学研究的国际影响力</w:t>
      </w:r>
      <w:r>
        <w:rPr>
          <w:rFonts w:ascii="宋体" w:hAnsi="宋体" w:cs="宋体" w:eastAsia="宋体" w:hint="ascii"/>
          <w:sz w:val="21"/>
        </w:rPr>
        <w:t>。</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组织间国际（地区）合作研究与交流项目的申请资格、资助领域、资助期限、申请</w:t>
      </w:r>
    </w:p>
    <w:p>
      <w:pPr>
        <w:autoSpaceDE w:val="0"/>
        <w:autoSpaceDN w:val="0"/>
        <w:jc w:val="right"/>
        <w:spacing w:before="13" w:after="0" w:lineRule="exact" w:line="330"/>
        <w:ind w:right="976" w:left="859" w:firstLine="107"/>
        <w:snapToGrid w:val="0"/>
        <w:textAlignment w:val="auto"/>
        <w:tabs/>
        <w:rPr>
          <w:rFonts w:ascii="宋体" w:hAnsi="宋体" w:cs="宋体" w:eastAsia="宋体" w:hint="ascii"/>
          <w:sz w:val="21"/>
        </w:rPr>
      </w:pPr>
      <w:r>
        <w:rPr>
          <w:rFonts w:ascii="宋体" w:hAnsi="宋体" w:cs="宋体" w:eastAsia="宋体" w:hint="ascii"/>
          <w:sz w:val="21"/>
          <w:spacing w:val="3"/>
        </w:rPr>
        <w:t>要求等请</w:t>
      </w:r>
      <w:r>
        <w:rPr>
          <w:rFonts w:ascii="宋体" w:hAnsi="宋体" w:cs="宋体" w:eastAsia="宋体" w:hint="ascii"/>
          <w:sz w:val="21"/>
        </w:rPr>
        <w:t>参</w:t>
      </w:r>
      <w:r>
        <w:rPr>
          <w:rFonts w:ascii="宋体" w:hAnsi="宋体" w:cs="宋体" w:eastAsia="宋体" w:hint="ascii"/>
          <w:sz w:val="21"/>
          <w:spacing w:val="3"/>
        </w:rPr>
        <w:t>照下列组</w:t>
      </w:r>
      <w:r>
        <w:rPr>
          <w:rFonts w:ascii="宋体" w:hAnsi="宋体" w:cs="宋体" w:eastAsia="宋体" w:hint="ascii"/>
          <w:sz w:val="21"/>
        </w:rPr>
        <w:t>织</w:t>
      </w:r>
      <w:r>
        <w:rPr>
          <w:rFonts w:ascii="宋体" w:hAnsi="宋体" w:cs="宋体" w:eastAsia="宋体" w:hint="ascii"/>
          <w:sz w:val="21"/>
          <w:spacing w:val="3"/>
        </w:rPr>
        <w:t>间项目资</w:t>
      </w:r>
      <w:r>
        <w:rPr>
          <w:rFonts w:ascii="宋体" w:hAnsi="宋体" w:cs="宋体" w:eastAsia="宋体" w:hint="ascii"/>
          <w:sz w:val="21"/>
        </w:rPr>
        <w:t>助</w:t>
      </w:r>
      <w:r>
        <w:rPr>
          <w:rFonts w:ascii="宋体" w:hAnsi="宋体" w:cs="宋体" w:eastAsia="宋体" w:hint="ascii"/>
          <w:sz w:val="21"/>
          <w:spacing w:val="3"/>
        </w:rPr>
        <w:t>渠道及自</w:t>
      </w:r>
      <w:r>
        <w:rPr>
          <w:rFonts w:ascii="宋体" w:hAnsi="宋体" w:cs="宋体" w:eastAsia="宋体" w:hint="ascii"/>
          <w:sz w:val="21"/>
        </w:rPr>
        <w:t>然</w:t>
      </w:r>
      <w:r>
        <w:rPr>
          <w:rFonts w:ascii="宋体" w:hAnsi="宋体" w:cs="宋体" w:eastAsia="宋体" w:hint="ascii"/>
          <w:sz w:val="21"/>
          <w:spacing w:val="3"/>
        </w:rPr>
        <w:t>科学基金</w:t>
      </w:r>
      <w:r>
        <w:rPr>
          <w:rFonts w:ascii="宋体" w:hAnsi="宋体" w:cs="宋体" w:eastAsia="宋体" w:hint="ascii"/>
          <w:sz w:val="21"/>
        </w:rPr>
        <w:t>委</w:t>
      </w:r>
      <w:r>
        <w:rPr>
          <w:rFonts w:ascii="宋体" w:hAnsi="宋体" w:cs="宋体" w:eastAsia="宋体" w:hint="ascii"/>
          <w:sz w:val="21"/>
          <w:spacing w:val="3"/>
        </w:rPr>
        <w:t>网站上发</w:t>
      </w:r>
      <w:r>
        <w:rPr>
          <w:rFonts w:ascii="宋体" w:hAnsi="宋体" w:cs="宋体" w:eastAsia="宋体" w:hint="ascii"/>
          <w:sz w:val="21"/>
        </w:rPr>
        <w:t>布</w:t>
      </w:r>
      <w:r>
        <w:rPr>
          <w:rFonts w:ascii="宋体" w:hAnsi="宋体" w:cs="宋体" w:eastAsia="宋体" w:hint="ascii"/>
          <w:sz w:val="21"/>
          <w:spacing w:val="3"/>
        </w:rPr>
        <w:t>的《组织间</w:t>
      </w:r>
      <w:r>
        <w:rPr>
          <w:rFonts w:ascii="宋体" w:hAnsi="宋体" w:cs="宋体" w:eastAsia="宋体" w:hint="ascii"/>
          <w:sz w:val="21"/>
          <w:spacing w:val="4"/>
        </w:rPr>
        <w:t>国</w:t>
      </w:r>
      <w:r>
        <w:rPr>
          <w:rFonts w:ascii="宋体" w:hAnsi="宋体" w:cs="宋体" w:eastAsia="宋体" w:hint="ascii"/>
          <w:sz w:val="21"/>
        </w:rPr>
        <w:t>际</w:t>
      </w:r>
      <w:r>
        <w:rPr>
          <w:rFonts w:ascii="宋体" w:hAnsi="宋体" w:cs="宋体" w:eastAsia="宋体" w:hint="ascii"/>
          <w:sz w:val="21"/>
          <w:spacing w:val="4"/>
        </w:rPr>
        <w:t>（地区）合作研究与</w:t>
      </w:r>
      <w:r>
        <w:rPr>
          <w:rFonts w:ascii="宋体" w:hAnsi="宋体" w:cs="宋体" w:eastAsia="宋体" w:hint="ascii"/>
          <w:sz w:val="21"/>
          <w:spacing w:val="5"/>
        </w:rPr>
        <w:t>交</w:t>
      </w:r>
      <w:r>
        <w:rPr>
          <w:rFonts w:ascii="宋体" w:hAnsi="宋体" w:cs="宋体" w:eastAsia="宋体" w:hint="ascii"/>
          <w:sz w:val="21"/>
          <w:spacing w:val="4"/>
        </w:rPr>
        <w:t>流项目指南</w:t>
      </w:r>
      <w:r>
        <w:rPr>
          <w:rFonts w:ascii="宋体" w:hAnsi="宋体" w:cs="宋体" w:eastAsia="宋体" w:hint="ascii"/>
          <w:sz w:val="21"/>
          <w:spacing w:val="-48"/>
        </w:rPr>
        <w:t>》</w:t>
      </w:r>
      <w:r>
        <w:rPr>
          <w:rFonts w:ascii="宋体" w:hAnsi="宋体" w:cs="宋体" w:eastAsia="宋体" w:hint="ascii"/>
          <w:sz w:val="21"/>
          <w:spacing w:val="4"/>
        </w:rPr>
        <w:t>。另外，</w:t>
      </w:r>
      <w:r>
        <w:rPr>
          <w:rFonts w:ascii="宋体" w:hAnsi="宋体" w:cs="宋体" w:eastAsia="宋体" w:hint="ascii"/>
          <w:sz w:val="21"/>
          <w:spacing w:val="5"/>
        </w:rPr>
        <w:t>国</w:t>
      </w:r>
      <w:r>
        <w:rPr>
          <w:rFonts w:ascii="宋体" w:hAnsi="宋体" w:cs="宋体" w:eastAsia="宋体" w:hint="ascii"/>
          <w:sz w:val="21"/>
          <w:spacing w:val="4"/>
        </w:rPr>
        <w:t>家海外高</w:t>
      </w:r>
      <w:r>
        <w:rPr>
          <w:rFonts w:ascii="宋体" w:hAnsi="宋体" w:cs="宋体" w:eastAsia="宋体" w:hint="ascii"/>
          <w:sz w:val="21"/>
          <w:spacing w:val="5"/>
        </w:rPr>
        <w:t>层</w:t>
      </w:r>
      <w:r>
        <w:rPr>
          <w:rFonts w:ascii="宋体" w:hAnsi="宋体" w:cs="宋体" w:eastAsia="宋体" w:hint="ascii"/>
          <w:sz w:val="21"/>
          <w:spacing w:val="4"/>
        </w:rPr>
        <w:t>次人才引</w:t>
      </w:r>
      <w:r>
        <w:rPr>
          <w:rFonts w:ascii="宋体" w:hAnsi="宋体" w:cs="宋体" w:eastAsia="宋体" w:hint="ascii"/>
          <w:sz w:val="21"/>
          <w:spacing w:val="5"/>
        </w:rPr>
        <w:t>进</w:t>
      </w:r>
      <w:r>
        <w:rPr>
          <w:rFonts w:ascii="宋体" w:hAnsi="宋体" w:cs="宋体" w:eastAsia="宋体" w:hint="ascii"/>
          <w:sz w:val="21"/>
          <w:spacing w:val="4"/>
        </w:rPr>
        <w:t>计划</w:t>
      </w:r>
      <w:r>
        <w:rPr>
          <w:rFonts w:ascii="宋体" w:hAnsi="宋体" w:cs="宋体" w:eastAsia="宋体" w:hint="ascii"/>
          <w:sz w:val="21"/>
          <w:spacing w:val="-48"/>
        </w:rPr>
        <w:t>（</w:t>
      </w:r>
      <w:r>
        <w:rPr>
          <w:rFonts w:ascii="宋体" w:hAnsi="宋体" w:cs="宋体" w:eastAsia="宋体" w:hint="ascii"/>
          <w:sz w:val="21"/>
          <w:spacing w:val="4"/>
        </w:rPr>
        <w:t>“千人</w:t>
      </w:r>
      <w:r>
        <w:rPr>
          <w:rFonts w:ascii="宋体" w:hAnsi="宋体" w:cs="宋体" w:eastAsia="宋体" w:hint="ascii"/>
          <w:sz w:val="21"/>
        </w:rPr>
        <w:t>计划</w:t>
      </w:r>
      <w:r>
        <w:rPr>
          <w:rFonts w:ascii="宋体" w:hAnsi="宋体" w:cs="宋体" w:eastAsia="宋体" w:hint="ascii"/>
          <w:sz w:val="21"/>
          <w:spacing w:val="-50"/>
        </w:rPr>
        <w:t>”</w:t>
      </w:r>
      <w:r>
        <w:rPr>
          <w:rFonts w:ascii="宋体" w:hAnsi="宋体" w:cs="宋体" w:eastAsia="宋体" w:hint="ascii"/>
          <w:sz w:val="21"/>
        </w:rPr>
        <w:t>）创新人才长期项目或青年项目入选者申请组织间合作研究项目，可以不受《组织</w:t>
      </w:r>
    </w:p>
    <w:p>
      <w:pPr>
        <w:autoSpaceDE w:val="0"/>
        <w:autoSpaceDN w:val="0"/>
        <w:jc w:val="left"/>
        <w:spacing w:before="5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间国际（地区）合作研究与交流项目指南》中所列申请条件的限制。</w:t>
      </w:r>
    </w:p>
    <w:p>
      <w:pPr>
        <w:autoSpaceDE w:val="0"/>
        <w:autoSpaceDN w:val="0"/>
        <w:jc w:val="both"/>
        <w:spacing w:before="13" w:after="0" w:lineRule="exact" w:line="330"/>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申请人可</w:t>
      </w:r>
      <w:r>
        <w:rPr>
          <w:rFonts w:ascii="宋体" w:hAnsi="宋体" w:cs="宋体" w:eastAsia="宋体" w:hint="ascii"/>
          <w:sz w:val="21"/>
        </w:rPr>
        <w:t xml:space="preserve">通过自然科学基金委中文网站中的“国际合作”专栏查看 </w:t>
      </w:r>
      <w:r>
        <w:rPr>
          <w:rFonts w:ascii="Times New Roman" w:hAnsi="Times New Roman" w:cs="Times New Roman" w:eastAsia="Times New Roman" w:hint="ascii"/>
          <w:sz w:val="21"/>
        </w:rPr>
        <w:t xml:space="preserve">2018 </w:t>
      </w:r>
      <w:r>
        <w:rPr>
          <w:rFonts w:ascii="宋体" w:hAnsi="宋体" w:cs="宋体" w:eastAsia="宋体" w:hint="ascii"/>
          <w:sz w:val="21"/>
        </w:rPr>
        <w:t>年度组织间合作与交流项目相关信息。</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8</w:t>
      </w:r>
      <w:r>
        <w:rPr>
          <w:rFonts w:ascii="宋体" w:hAnsi="宋体" w:cs="宋体" w:eastAsia="宋体" w:hint="ascii"/>
          <w:sz w:val="21"/>
        </w:rPr>
        <w:t>年度组织间项目资助渠道如下。</w:t>
      </w:r>
    </w:p>
    <w:p>
      <w:pPr>
        <w:autoSpaceDE w:val="0"/>
        <w:autoSpaceDN w:val="0"/>
        <w:jc w:val="left"/>
        <w:spacing w:before="90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both"/>
        <w:spacing w:before="319" w:after="0" w:lineRule="exact" w:line="623"/>
        <w:ind w:right="4242" w:left="1386" w:firstLine="2845"/>
        <w:snapToGrid w:val="0"/>
        <w:textAlignment w:val="auto"/>
        <w:tabs/>
        <w:rPr>
          <w:rFonts w:ascii="宋体" w:hAnsi="宋体" w:cs="宋体" w:eastAsia="宋体" w:hint="ascii"/>
        </w:rPr>
      </w:pPr>
      <w:r>
        <w:rPr>
          <w:rFonts w:ascii="宋体" w:hAnsi="宋体" w:cs="宋体" w:eastAsia="宋体" w:hint="ascii"/>
          <w:sz w:val="29"/>
          <w:spacing w:val="-2"/>
        </w:rPr>
        <w:t>亚</w:t>
      </w:r>
      <w:r>
        <w:rPr>
          <w:rFonts w:ascii="宋体" w:hAnsi="宋体" w:cs="宋体" w:eastAsia="宋体" w:hint="ascii"/>
          <w:sz w:val="29"/>
          <w:spacing w:val="-1"/>
        </w:rPr>
        <w:t>洲、非</w:t>
      </w:r>
      <w:r>
        <w:rPr>
          <w:rFonts w:ascii="宋体" w:hAnsi="宋体" w:cs="宋体" w:eastAsia="宋体" w:hint="ascii"/>
          <w:sz w:val="29"/>
        </w:rPr>
        <w:t>洲</w:t>
      </w:r>
      <w:r>
        <w:rPr>
          <w:rFonts w:ascii="宋体" w:hAnsi="宋体" w:cs="宋体" w:eastAsia="宋体" w:hint="ascii"/>
        </w:rPr>
        <w:t>日本</w:t>
      </w:r>
      <w:r>
        <w:rPr>
          <w:rFonts w:ascii="宋体" w:hAnsi="宋体" w:cs="宋体" w:eastAsia="宋体" w:hint="ascii"/>
        </w:rPr>
        <mc:AlternateContent>
          <mc:Choice Requires="wps">
            <w:drawing>
              <wp:anchor distL="0" distR="0" distT="0" distB="0" simplePos="0" behindDoc="1" relativeHeight="240" locked="0" layoutInCell="1" allowOverlap="1">
                <wp:simplePos x="0" y="0"/>
                <wp:positionH relativeFrom="page">
                  <wp:posOffset>938530</wp:posOffset>
                </wp:positionH>
                <wp:positionV relativeFrom="page">
                  <wp:posOffset>819150</wp:posOffset>
                </wp:positionV>
                <wp:extent cx="5076190" cy="0"/>
                <wp:wrapNone/>
                <wp:docPr id="1269" name="126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12480;width:399.70pt;" id="126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32"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日本科学技术振兴机构（</w:t>
      </w:r>
      <w:r>
        <w:rPr>
          <w:rFonts w:ascii="Times New Roman" w:hAnsi="Times New Roman" w:cs="Times New Roman" w:eastAsia="Times New Roman" w:hint="ascii"/>
          <w:b w:val="1"/>
          <w:sz w:val="21"/>
        </w:rPr>
        <w:t>JST</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w:t>
      </w:r>
      <w:r>
        <w:rPr>
          <w:rFonts w:ascii="宋体" w:hAnsi="宋体" w:cs="宋体" w:eastAsia="宋体" w:hint="ascii"/>
          <w:sz w:val="21"/>
          <w:spacing w:val="-24"/>
        </w:rPr>
        <w:t xml:space="preserve"> </w:t>
      </w:r>
      <w:r>
        <w:rPr>
          <w:rFonts w:ascii="Times New Roman" w:hAnsi="Times New Roman" w:cs="Times New Roman" w:eastAsia="Times New Roman" w:hint="ascii"/>
          <w:sz w:val="21"/>
        </w:rPr>
        <w:t>2004</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年度开始，自然科学基金委与日本科学技术振兴机构启动了“建设环境友</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好和环境低负荷型社会的科学技术研究”的合作研究联合资助计划。每年双方协商确定具体的合作领域，并围绕当年确定的合作领域轮流在中国或日本共同举办一次双边学术研讨会。研讨会上，双方专家根据合作领域提出具体的研究方向。从 </w:t>
      </w:r>
      <w:r>
        <w:rPr>
          <w:rFonts w:ascii="Times New Roman" w:hAnsi="Times New Roman" w:cs="Times New Roman" w:eastAsia="Times New Roman" w:hint="ascii"/>
          <w:sz w:val="21"/>
        </w:rPr>
        <w:t xml:space="preserve">2015 </w:t>
      </w:r>
      <w:r>
        <w:rPr>
          <w:rFonts w:ascii="宋体" w:hAnsi="宋体" w:cs="宋体" w:eastAsia="宋体" w:hint="ascii"/>
          <w:sz w:val="21"/>
        </w:rPr>
        <w:t>年度起，双方的合作领域变更为“生物遗传资源</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0" w:after="0" w:lineRule="exact" w:line="312"/>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5"/>
        </w:rPr>
        <w:t>年度中日双方将在网上发布《组织间国际（地区）合作研究与交流项目</w:t>
      </w:r>
      <w:r>
        <w:rPr>
          <w:rFonts w:ascii="宋体" w:hAnsi="宋体" w:cs="宋体" w:eastAsia="宋体" w:hint="ascii"/>
          <w:sz w:val="21"/>
        </w:rPr>
        <w:t>指南</w:t>
      </w:r>
      <w:r>
        <w:rPr>
          <w:rFonts w:ascii="宋体" w:hAnsi="宋体" w:cs="宋体" w:eastAsia="宋体" w:hint="ascii"/>
          <w:sz w:val="21"/>
          <w:spacing w:val="-52"/>
        </w:rPr>
        <w:t>》</w:t>
      </w:r>
      <w:r>
        <w:rPr>
          <w:rFonts w:ascii="宋体" w:hAnsi="宋体" w:cs="宋体" w:eastAsia="宋体" w:hint="ascii"/>
          <w:sz w:val="21"/>
        </w:rPr>
        <w:t xml:space="preserve">，公布具体合作方向并受理项目申请，每年资助项目数量为 </w:t>
      </w:r>
      <w:r>
        <w:rPr>
          <w:rFonts w:ascii="Times New Roman" w:hAnsi="Times New Roman" w:cs="Times New Roman" w:eastAsia="Times New Roman" w:hint="ascii"/>
          <w:sz w:val="21"/>
        </w:rPr>
        <w:t xml:space="preserve">3 </w:t>
      </w:r>
      <w:r>
        <w:rPr>
          <w:rFonts w:ascii="宋体" w:hAnsi="宋体" w:cs="宋体" w:eastAsia="宋体" w:hint="ascii"/>
          <w:sz w:val="21"/>
        </w:rPr>
        <w:t>项，中方资助直接费用</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年。</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日本学术振兴会（</w:t>
      </w:r>
      <w:r>
        <w:rPr>
          <w:rFonts w:ascii="Times New Roman" w:hAnsi="Times New Roman" w:cs="Times New Roman" w:eastAsia="Times New Roman" w:hint="ascii"/>
          <w:b w:val="1"/>
          <w:sz w:val="21"/>
        </w:rPr>
        <w:t>JSPS</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自然科学基金委与日本学术振兴会于每</w:t>
      </w:r>
      <w:r>
        <w:rPr>
          <w:rFonts w:ascii="宋体" w:hAnsi="宋体" w:cs="宋体" w:eastAsia="宋体" w:hint="ascii"/>
          <w:sz w:val="21"/>
          <w:spacing w:val="27"/>
        </w:rPr>
        <w:t>年</w:t>
      </w:r>
      <w:r>
        <w:rPr>
          <w:rFonts w:ascii="Times New Roman" w:hAnsi="Times New Roman" w:cs="Times New Roman" w:eastAsia="Times New Roman" w:hint="ascii"/>
          <w:sz w:val="21"/>
          <w:spacing w:val="52"/>
        </w:rPr>
        <w:t>6</w:t>
      </w:r>
      <w:r>
        <w:rPr>
          <w:rFonts w:ascii="宋体" w:hAnsi="宋体" w:cs="宋体" w:eastAsia="宋体" w:hint="ascii"/>
          <w:sz w:val="21"/>
        </w:rPr>
        <w:t>月在网上发布《组织间国际（地区）合</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作研究与交流项目指南</w:t>
      </w:r>
      <w:r>
        <w:rPr>
          <w:rFonts w:ascii="宋体" w:hAnsi="宋体" w:cs="宋体" w:eastAsia="宋体" w:hint="ascii"/>
          <w:sz w:val="21"/>
          <w:spacing w:val="-51"/>
        </w:rPr>
        <w:t>》</w:t>
      </w:r>
      <w:r>
        <w:rPr>
          <w:rFonts w:ascii="宋体" w:hAnsi="宋体" w:cs="宋体" w:eastAsia="宋体" w:hint="ascii"/>
          <w:sz w:val="21"/>
        </w:rPr>
        <w:t>，联合征集合作交流项目和双边学术研讨会，申请截止日期为</w:t>
      </w:r>
    </w:p>
    <w:p>
      <w:pPr>
        <w:autoSpaceDE w:val="0"/>
        <w:autoSpaceDN w:val="0"/>
        <w:jc w:val="left"/>
        <w:spacing w:before="49"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52"/>
        </w:rPr>
        <w:t>9</w:t>
      </w:r>
      <w:r>
        <w:rPr>
          <w:rFonts w:ascii="宋体" w:hAnsi="宋体" w:cs="宋体" w:eastAsia="宋体" w:hint="ascii"/>
          <w:sz w:val="21"/>
        </w:rPr>
        <w:t>月第一个完整周的星期五。</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）合作交流项目</w:t>
      </w:r>
    </w:p>
    <w:p>
      <w:pPr>
        <w:autoSpaceDE w:val="0"/>
        <w:autoSpaceDN w:val="0"/>
        <w:jc w:val="both"/>
        <w:spacing w:before="1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双方每年共同资助</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2"/>
        </w:rPr>
        <w:t>10</w:t>
      </w:r>
      <w:r>
        <w:rPr>
          <w:rFonts w:ascii="Times New Roman" w:hAnsi="Times New Roman" w:cs="Times New Roman" w:eastAsia="Times New Roman" w:hint="ascii"/>
          <w:sz w:val="21"/>
          <w:spacing w:val="-15"/>
        </w:rPr>
        <w:t xml:space="preserve"> </w:t>
      </w:r>
      <w:r>
        <w:rPr>
          <w:rFonts w:ascii="宋体" w:hAnsi="宋体" w:cs="宋体" w:eastAsia="宋体" w:hint="ascii"/>
          <w:sz w:val="21"/>
          <w:spacing w:val="-2"/>
        </w:rPr>
        <w:t>项合</w:t>
      </w:r>
      <w:r>
        <w:rPr>
          <w:rFonts w:ascii="宋体" w:hAnsi="宋体" w:cs="宋体" w:eastAsia="宋体" w:hint="ascii"/>
          <w:sz w:val="21"/>
          <w:spacing w:val="-1"/>
        </w:rPr>
        <w:t>作交流项目，资助期限为</w:t>
      </w:r>
      <w:r>
        <w:rPr>
          <w:rFonts w:ascii="宋体" w:hAnsi="宋体" w:cs="宋体" w:eastAsia="宋体" w:hint="ascii"/>
          <w:sz w:val="21"/>
          <w:spacing w:val="-14"/>
        </w:rPr>
        <w:t xml:space="preserve"> </w:t>
      </w:r>
      <w:r>
        <w:rPr>
          <w:rFonts w:ascii="Times New Roman" w:hAnsi="Times New Roman" w:cs="Times New Roman" w:eastAsia="Times New Roman" w:hint="ascii"/>
          <w:sz w:val="21"/>
          <w:spacing w:val="-1"/>
        </w:rPr>
        <w:t>3</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
        </w:rPr>
        <w:t>年，每个项目每年各方交流</w:t>
      </w:r>
      <w:r>
        <w:rPr>
          <w:rFonts w:ascii="宋体" w:hAnsi="宋体" w:cs="宋体" w:eastAsia="宋体" w:hint="ascii"/>
          <w:sz w:val="21"/>
        </w:rPr>
        <w:t xml:space="preserve"> 量不超</w:t>
      </w:r>
      <w:r>
        <w:rPr>
          <w:rFonts w:ascii="宋体" w:hAnsi="宋体" w:cs="宋体" w:eastAsia="宋体" w:hint="ascii"/>
          <w:sz w:val="21"/>
          <w:spacing w:val="26"/>
        </w:rPr>
        <w:t>过</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52"/>
        </w:rPr>
        <w:t>0</w:t>
      </w:r>
      <w:r>
        <w:rPr>
          <w:rFonts w:ascii="宋体" w:hAnsi="宋体" w:cs="宋体" w:eastAsia="宋体" w:hint="ascii"/>
          <w:sz w:val="21"/>
        </w:rPr>
        <w:t>人天。</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both"/>
        <w:spacing w:before="9" w:after="0" w:lineRule="exact" w:line="320"/>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双方每年共</w:t>
      </w:r>
      <w:r>
        <w:rPr>
          <w:rFonts w:ascii="宋体" w:hAnsi="宋体" w:cs="宋体" w:eastAsia="宋体" w:hint="ascii"/>
          <w:sz w:val="21"/>
        </w:rPr>
        <w:t>同资</w:t>
      </w:r>
      <w:r>
        <w:rPr>
          <w:rFonts w:ascii="宋体" w:hAnsi="宋体" w:cs="宋体" w:eastAsia="宋体" w:hint="ascii"/>
          <w:sz w:val="21"/>
          <w:spacing w:val="26"/>
        </w:rPr>
        <w:t>助</w:t>
      </w:r>
      <w:r>
        <w:rPr>
          <w:rFonts w:ascii="Times New Roman" w:hAnsi="Times New Roman" w:cs="Times New Roman" w:eastAsia="Times New Roman" w:hint="ascii"/>
          <w:sz w:val="21"/>
          <w:spacing w:val="52"/>
        </w:rPr>
        <w:t>4</w:t>
      </w:r>
      <w:r>
        <w:rPr>
          <w:rFonts w:ascii="宋体" w:hAnsi="宋体" w:cs="宋体" w:eastAsia="宋体" w:hint="ascii"/>
          <w:sz w:val="21"/>
        </w:rPr>
        <w:t>项由中日科学家共同组织召开的双边学术研讨会，其</w:t>
      </w:r>
      <w:r>
        <w:rPr>
          <w:rFonts w:ascii="宋体" w:hAnsi="宋体" w:cs="宋体" w:eastAsia="宋体" w:hint="ascii"/>
          <w:sz w:val="21"/>
          <w:spacing w:val="26"/>
        </w:rPr>
        <w:t>中</w:t>
      </w:r>
      <w:r>
        <w:rPr>
          <w:rFonts w:ascii="Times New Roman" w:hAnsi="Times New Roman" w:cs="Times New Roman" w:eastAsia="Times New Roman" w:hint="ascii"/>
          <w:sz w:val="21"/>
          <w:spacing w:val="52"/>
        </w:rPr>
        <w:t>2</w:t>
      </w:r>
      <w:r>
        <w:rPr>
          <w:rFonts w:ascii="宋体" w:hAnsi="宋体" w:cs="宋体" w:eastAsia="宋体" w:hint="ascii"/>
          <w:sz w:val="21"/>
        </w:rPr>
        <w:t>项在中国召开、</w:t>
      </w:r>
      <w:r>
        <w:rPr>
          <w:rFonts w:ascii="Times New Roman" w:hAnsi="Times New Roman" w:cs="Times New Roman" w:eastAsia="Times New Roman" w:hint="ascii"/>
          <w:sz w:val="21"/>
          <w:spacing w:val="52"/>
        </w:rPr>
        <w:t>2</w:t>
      </w:r>
      <w:r>
        <w:rPr>
          <w:rFonts w:ascii="宋体" w:hAnsi="宋体" w:cs="宋体" w:eastAsia="宋体" w:hint="ascii"/>
          <w:sz w:val="21"/>
        </w:rPr>
        <w:t>项在日本召开，双边学术研讨会要求每方参会人员至少来</w:t>
      </w:r>
      <w:r>
        <w:rPr>
          <w:rFonts w:ascii="宋体" w:hAnsi="宋体" w:cs="宋体" w:eastAsia="宋体" w:hint="ascii"/>
          <w:sz w:val="21"/>
          <w:spacing w:val="26"/>
        </w:rPr>
        <w:t>自</w:t>
      </w:r>
      <w:r>
        <w:rPr>
          <w:rFonts w:ascii="Times New Roman" w:hAnsi="Times New Roman" w:cs="Times New Roman" w:eastAsia="Times New Roman" w:hint="ascii"/>
          <w:sz w:val="21"/>
          <w:spacing w:val="52"/>
        </w:rPr>
        <w:t>3</w:t>
      </w:r>
      <w:r>
        <w:rPr>
          <w:rFonts w:ascii="宋体" w:hAnsi="宋体" w:cs="宋体" w:eastAsia="宋体" w:hint="ascii"/>
          <w:sz w:val="21"/>
        </w:rPr>
        <w:t>个单位。</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韩国</w:t>
      </w:r>
    </w:p>
    <w:p>
      <w:pPr>
        <w:autoSpaceDE w:val="0"/>
        <w:autoSpaceDN w:val="0"/>
        <w:jc w:val="both"/>
        <w:spacing w:before="159" w:after="0" w:lineRule="exact" w:line="319"/>
        <w:ind w:right="978"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自然科学基金委与韩国国家研究基金会（</w:t>
      </w:r>
      <w:r>
        <w:rPr>
          <w:rFonts w:ascii="Times New Roman" w:hAnsi="Times New Roman" w:cs="Times New Roman" w:eastAsia="Times New Roman" w:hint="ascii"/>
          <w:sz w:val="21"/>
        </w:rPr>
        <w:t>NRF</w:t>
      </w:r>
      <w:r>
        <w:rPr>
          <w:rFonts w:ascii="宋体" w:hAnsi="宋体" w:cs="宋体" w:eastAsia="宋体" w:hint="ascii"/>
          <w:sz w:val="21"/>
        </w:rPr>
        <w:t>）</w:t>
      </w:r>
      <w:r>
        <w:rPr>
          <w:rFonts w:ascii="Times New Roman" w:hAnsi="Times New Roman" w:cs="Times New Roman" w:eastAsia="Times New Roman" w:hint="ascii"/>
          <w:sz w:val="21"/>
        </w:rPr>
        <w:t xml:space="preserve">2018 </w:t>
      </w:r>
      <w:r>
        <w:rPr>
          <w:rFonts w:ascii="宋体" w:hAnsi="宋体" w:cs="宋体" w:eastAsia="宋体" w:hint="ascii"/>
          <w:sz w:val="21"/>
        </w:rPr>
        <w:t>年度将联合资助合作研究项目、合作交流项目和学术会议项目。</w:t>
      </w:r>
    </w:p>
    <w:p>
      <w:pPr>
        <w:autoSpaceDE w:val="0"/>
        <w:autoSpaceDN w:val="0"/>
        <w:jc w:val="left"/>
        <w:spacing w:before="4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年度中韩双方将在网上分两次发布《组织间国际（地区）合作研究与交流项</w:t>
      </w:r>
    </w:p>
    <w:p>
      <w:pPr>
        <w:autoSpaceDE w:val="0"/>
        <w:autoSpaceDN w:val="0"/>
        <w:jc w:val="both"/>
        <w:spacing w:before="20" w:after="0" w:lineRule="exact" w:line="319"/>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目指南</w:t>
      </w:r>
      <w:r>
        <w:rPr>
          <w:rFonts w:ascii="宋体" w:hAnsi="宋体" w:cs="宋体" w:eastAsia="宋体" w:hint="ascii"/>
          <w:sz w:val="21"/>
          <w:spacing w:val="-52"/>
        </w:rPr>
        <w:t>》</w:t>
      </w:r>
      <w:r>
        <w:rPr>
          <w:rFonts w:ascii="宋体" w:hAnsi="宋体" w:cs="宋体" w:eastAsia="宋体" w:hint="ascii"/>
          <w:sz w:val="21"/>
        </w:rPr>
        <w:t>，分别联合征集合作研究项目和合作交流项目及学术会议项目，其中合作交流项目及学术会议项目的资助将由中韩基础科学联合委员会通过会议形式讨论确定。</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3" w:after="0" w:lineRule="exact" w:line="319"/>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1"/>
        </w:rPr>
        <w:t xml:space="preserve"> </w:t>
      </w:r>
      <w:r>
        <w:rPr>
          <w:rFonts w:ascii="宋体" w:hAnsi="宋体" w:cs="宋体" w:eastAsia="宋体" w:hint="ascii"/>
          <w:sz w:val="21"/>
        </w:rPr>
        <w:t>年度，双方共同资助合作研究项目数量为</w:t>
      </w:r>
      <w:r>
        <w:rPr>
          <w:rFonts w:ascii="宋体" w:hAnsi="宋体" w:cs="宋体" w:eastAsia="宋体" w:hint="ascii"/>
          <w:sz w:val="21"/>
          <w:spacing w:val="-1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0"/>
        </w:rPr>
        <w:t xml:space="preserve"> </w:t>
      </w:r>
      <w:r>
        <w:rPr>
          <w:rFonts w:ascii="宋体" w:hAnsi="宋体" w:cs="宋体" w:eastAsia="宋体" w:hint="ascii"/>
          <w:sz w:val="21"/>
        </w:rPr>
        <w:t>项，中方资助直接费用为</w:t>
      </w:r>
      <w:r>
        <w:rPr>
          <w:rFonts w:ascii="宋体" w:hAnsi="宋体" w:cs="宋体" w:eastAsia="宋体" w:hint="ascii"/>
          <w:sz w:val="21"/>
          <w:spacing w:val="-10"/>
        </w:rPr>
        <w:t xml:space="preserve"> </w:t>
      </w:r>
      <w:r>
        <w:rPr>
          <w:rFonts w:ascii="Times New Roman" w:hAnsi="Times New Roman" w:cs="Times New Roman" w:eastAsia="Times New Roman" w:hint="ascii"/>
          <w:sz w:val="21"/>
        </w:rPr>
        <w:t>200</w:t>
      </w:r>
      <w:r>
        <w:rPr>
          <w:rFonts w:ascii="Times New Roman" w:hAnsi="Times New Roman" w:cs="Times New Roman" w:eastAsia="Times New Roman" w:hint="ascii"/>
          <w:sz w:val="21"/>
          <w:spacing w:val="-11"/>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年。</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）合作交流项目</w:t>
      </w:r>
    </w:p>
    <w:p>
      <w:pPr>
        <w:autoSpaceDE w:val="0"/>
        <w:autoSpaceDN w:val="0"/>
        <w:jc w:val="left"/>
        <w:spacing w:before="58" w:after="0" w:lineRule="auto" w:line="240"/>
        <w:ind w:right="0" w:left="1859" w:hanging="473"/>
        <w:snapToGrid w:val="0"/>
        <w:textAlignment w:val="auto"/>
        <w:tabs>
          <w:tab w:val="left" w:leader="none" w:pos="1858"/>
        </w:tabs>
        <w:numPr>
          <w:ilvl w:val="0"/>
          <w:numId w:val="279"/>
        </w:numPr>
        <w:rPr>
          <w:rFonts w:ascii="Times New Roman" w:hAnsi="Times New Roman" w:cs="Times New Roman" w:eastAsia="Times New Roman" w:hint="ascii"/>
          <w:sz w:val="21"/>
          <w:spacing w:val="1"/>
        </w:rPr>
      </w:pPr>
      <w:r>
        <w:rPr>
          <w:rFonts w:ascii="宋体" w:hAnsi="宋体" w:cs="宋体" w:eastAsia="宋体" w:hint="ascii"/>
          <w:sz w:val="21"/>
        </w:rPr>
        <w:t>年度，双方将共同资助合作交流项</w:t>
      </w:r>
      <w:r>
        <w:rPr>
          <w:rFonts w:ascii="宋体" w:hAnsi="宋体" w:cs="宋体" w:eastAsia="宋体" w:hint="ascii"/>
          <w:sz w:val="21"/>
          <w:spacing w:val="26"/>
        </w:rPr>
        <w:t>目</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2"/>
        </w:rPr>
        <w:t>0</w:t>
      </w:r>
      <w:r>
        <w:rPr>
          <w:rFonts w:ascii="宋体" w:hAnsi="宋体" w:cs="宋体" w:eastAsia="宋体" w:hint="ascii"/>
          <w:sz w:val="21"/>
        </w:rPr>
        <w:t>项左右，资助期限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2</w:t>
      </w:r>
      <w:r>
        <w:rPr>
          <w:rFonts w:ascii="宋体" w:hAnsi="宋体" w:cs="宋体" w:eastAsia="宋体" w:hint="ascii"/>
          <w:sz w:val="21"/>
        </w:rPr>
        <w:t>年。</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）学术会议项目</w:t>
      </w:r>
    </w:p>
    <w:p>
      <w:pPr>
        <w:autoSpaceDE w:val="0"/>
        <w:autoSpaceDN w:val="0"/>
        <w:jc w:val="both"/>
        <w:spacing w:before="12" w:after="0" w:lineRule="exact" w:line="320"/>
        <w:ind w:right="963" w:left="966" w:firstLine="420"/>
        <w:snapToGrid w:val="0"/>
        <w:textAlignment w:val="auto"/>
        <w:tabs>
          <w:tab w:val="left" w:leader="none" w:pos="1876"/>
        </w:tabs>
        <w:numPr>
          <w:ilvl w:val="0"/>
          <w:numId w:val="222"/>
        </w:numPr>
        <w:rPr>
          <w:rFonts w:ascii="Times New Roman" w:hAnsi="Times New Roman" w:cs="Times New Roman" w:eastAsia="Times New Roman" w:hint="ascii"/>
          <w:sz w:val="21"/>
          <w:spacing w:val="1"/>
        </w:rPr>
      </w:pPr>
      <w:r>
        <w:rPr>
          <w:rFonts w:ascii="宋体" w:hAnsi="宋体" w:cs="宋体" w:eastAsia="宋体" w:hint="ascii"/>
          <w:sz w:val="21"/>
        </w:rPr>
        <w:t>年度，双方将共同资助双边学术研讨会</w:t>
      </w:r>
      <w:r>
        <w:rPr>
          <w:rFonts w:ascii="宋体" w:hAnsi="宋体" w:cs="宋体" w:eastAsia="宋体" w:hint="ascii"/>
          <w:sz w:val="21"/>
          <w:spacing w:val="-17"/>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17"/>
        </w:rPr>
        <w:t xml:space="preserve"> </w:t>
      </w:r>
      <w:r>
        <w:rPr>
          <w:rFonts w:ascii="宋体" w:hAnsi="宋体" w:cs="宋体" w:eastAsia="宋体" w:hint="ascii"/>
          <w:sz w:val="21"/>
        </w:rPr>
        <w:t>项左右，双边学术研讨会要求每方参会人员至少来</w:t>
      </w:r>
      <w:r>
        <w:rPr>
          <w:rFonts w:ascii="宋体" w:hAnsi="宋体" w:cs="宋体" w:eastAsia="宋体" w:hint="ascii"/>
          <w:sz w:val="21"/>
          <w:spacing w:val="26"/>
        </w:rPr>
        <w:t>自</w:t>
      </w:r>
      <w:r>
        <w:rPr>
          <w:rFonts w:ascii="Times New Roman" w:hAnsi="Times New Roman" w:cs="Times New Roman" w:eastAsia="Times New Roman" w:hint="ascii"/>
          <w:sz w:val="21"/>
          <w:spacing w:val="52"/>
        </w:rPr>
        <w:t>3</w:t>
      </w:r>
      <w:r>
        <w:rPr>
          <w:rFonts w:ascii="宋体" w:hAnsi="宋体" w:cs="宋体" w:eastAsia="宋体" w:hint="ascii"/>
          <w:sz w:val="21"/>
        </w:rPr>
        <w:t>个单位。</w:t>
      </w:r>
    </w:p>
    <w:p>
      <w:pPr>
        <w:autoSpaceDE w:val="0"/>
        <w:autoSpaceDN w:val="0"/>
        <w:jc w:val="left"/>
        <w:spacing w:before="315"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293"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以色列</w:t>
      </w:r>
      <w:r>
        <w:rPr>
          <w:rFonts w:ascii="宋体" w:hAnsi="宋体" w:cs="宋体" w:eastAsia="宋体" w:hint="ascii"/>
        </w:rPr>
        <mc:AlternateContent>
          <mc:Choice Requires="wps">
            <w:drawing>
              <wp:anchor distL="0" distR="0" distT="0" distB="0" simplePos="0" behindDoc="1" relativeHeight="241" locked="0" layoutInCell="1" allowOverlap="1">
                <wp:simplePos x="0" y="0"/>
                <wp:positionH relativeFrom="page">
                  <wp:posOffset>938530</wp:posOffset>
                </wp:positionH>
                <wp:positionV relativeFrom="page">
                  <wp:posOffset>805815</wp:posOffset>
                </wp:positionV>
                <wp:extent cx="5076190" cy="0"/>
                <wp:wrapNone/>
                <wp:docPr id="1270" name="127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11456;width:399.70pt;" id="127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59" w:after="0" w:lineRule="exact" w:line="319"/>
        <w:ind w:right="977" w:left="966" w:firstLine="436"/>
        <w:snapToGrid w:val="0"/>
        <w:textAlignment w:val="auto"/>
        <w:tabs/>
        <w:rPr>
          <w:rFonts w:ascii="宋体" w:hAnsi="宋体" w:cs="宋体" w:eastAsia="宋体" w:hint="ascii"/>
          <w:sz w:val="21"/>
        </w:rPr>
      </w:pPr>
      <w:r>
        <w:rPr>
          <w:rFonts w:ascii="宋体" w:hAnsi="宋体" w:cs="宋体" w:eastAsia="宋体" w:hint="ascii"/>
          <w:sz w:val="21"/>
          <w:spacing w:val="2"/>
        </w:rPr>
        <w:t>自然</w:t>
      </w:r>
      <w:r>
        <w:rPr>
          <w:rFonts w:ascii="宋体" w:hAnsi="宋体" w:cs="宋体" w:eastAsia="宋体" w:hint="ascii"/>
          <w:sz w:val="21"/>
          <w:spacing w:val="1"/>
        </w:rPr>
        <w:t>科</w:t>
      </w:r>
      <w:r>
        <w:rPr>
          <w:rFonts w:ascii="宋体" w:hAnsi="宋体" w:cs="宋体" w:eastAsia="宋体" w:hint="ascii"/>
          <w:sz w:val="21"/>
          <w:spacing w:val="2"/>
        </w:rPr>
        <w:t>学</w:t>
      </w:r>
      <w:r>
        <w:rPr>
          <w:rFonts w:ascii="宋体" w:hAnsi="宋体" w:cs="宋体" w:eastAsia="宋体" w:hint="ascii"/>
          <w:sz w:val="21"/>
          <w:spacing w:val="1"/>
        </w:rPr>
        <w:t>基</w:t>
      </w:r>
      <w:r>
        <w:rPr>
          <w:rFonts w:ascii="宋体" w:hAnsi="宋体" w:cs="宋体" w:eastAsia="宋体" w:hint="ascii"/>
          <w:sz w:val="21"/>
          <w:spacing w:val="2"/>
        </w:rPr>
        <w:t>金委</w:t>
      </w:r>
      <w:r>
        <w:rPr>
          <w:rFonts w:ascii="宋体" w:hAnsi="宋体" w:cs="宋体" w:eastAsia="宋体" w:hint="ascii"/>
          <w:sz w:val="21"/>
          <w:spacing w:val="1"/>
        </w:rPr>
        <w:t>与</w:t>
      </w:r>
      <w:r>
        <w:rPr>
          <w:rFonts w:ascii="宋体" w:hAnsi="宋体" w:cs="宋体" w:eastAsia="宋体" w:hint="ascii"/>
          <w:sz w:val="21"/>
          <w:spacing w:val="2"/>
        </w:rPr>
        <w:t>以</w:t>
      </w:r>
      <w:r>
        <w:rPr>
          <w:rFonts w:ascii="宋体" w:hAnsi="宋体" w:cs="宋体" w:eastAsia="宋体" w:hint="ascii"/>
          <w:sz w:val="21"/>
          <w:spacing w:val="1"/>
        </w:rPr>
        <w:t>色</w:t>
      </w:r>
      <w:r>
        <w:rPr>
          <w:rFonts w:ascii="宋体" w:hAnsi="宋体" w:cs="宋体" w:eastAsia="宋体" w:hint="ascii"/>
          <w:sz w:val="21"/>
          <w:spacing w:val="2"/>
        </w:rPr>
        <w:t>列科</w:t>
      </w:r>
      <w:r>
        <w:rPr>
          <w:rFonts w:ascii="宋体" w:hAnsi="宋体" w:cs="宋体" w:eastAsia="宋体" w:hint="ascii"/>
          <w:sz w:val="21"/>
          <w:spacing w:val="1"/>
        </w:rPr>
        <w:t>学</w:t>
      </w:r>
      <w:r>
        <w:rPr>
          <w:rFonts w:ascii="宋体" w:hAnsi="宋体" w:cs="宋体" w:eastAsia="宋体" w:hint="ascii"/>
          <w:sz w:val="21"/>
          <w:spacing w:val="2"/>
        </w:rPr>
        <w:t>基</w:t>
      </w:r>
      <w:r>
        <w:rPr>
          <w:rFonts w:ascii="宋体" w:hAnsi="宋体" w:cs="宋体" w:eastAsia="宋体" w:hint="ascii"/>
          <w:sz w:val="21"/>
          <w:spacing w:val="1"/>
        </w:rPr>
        <w:t>金</w:t>
      </w:r>
      <w:r>
        <w:rPr>
          <w:rFonts w:ascii="宋体" w:hAnsi="宋体" w:cs="宋体" w:eastAsia="宋体" w:hint="ascii"/>
          <w:sz w:val="21"/>
          <w:spacing w:val="2"/>
        </w:rPr>
        <w:t>会（</w:t>
      </w:r>
      <w:r>
        <w:rPr>
          <w:rFonts w:ascii="Times New Roman" w:hAnsi="Times New Roman" w:cs="Times New Roman" w:eastAsia="Times New Roman" w:hint="ascii"/>
          <w:sz w:val="21"/>
          <w:spacing w:val="3"/>
        </w:rPr>
        <w:t>IS</w:t>
      </w:r>
      <w:r>
        <w:rPr>
          <w:rFonts w:ascii="Times New Roman" w:hAnsi="Times New Roman" w:cs="Times New Roman" w:eastAsia="Times New Roman" w:hint="ascii"/>
          <w:sz w:val="21"/>
          <w:spacing w:val="4"/>
        </w:rPr>
        <w:t>F</w:t>
      </w:r>
      <w:r>
        <w:rPr>
          <w:rFonts w:ascii="宋体" w:hAnsi="宋体" w:cs="宋体" w:eastAsia="宋体" w:hint="ascii"/>
          <w:sz w:val="21"/>
          <w:spacing w:val="2"/>
        </w:rPr>
        <w:t>）联合资</w:t>
      </w:r>
      <w:r>
        <w:rPr>
          <w:rFonts w:ascii="宋体" w:hAnsi="宋体" w:cs="宋体" w:eastAsia="宋体" w:hint="ascii"/>
          <w:sz w:val="21"/>
          <w:spacing w:val="1"/>
        </w:rPr>
        <w:t>助</w:t>
      </w:r>
      <w:r>
        <w:rPr>
          <w:rFonts w:ascii="宋体" w:hAnsi="宋体" w:cs="宋体" w:eastAsia="宋体" w:hint="ascii"/>
          <w:sz w:val="21"/>
          <w:spacing w:val="2"/>
        </w:rPr>
        <w:t>合</w:t>
      </w:r>
      <w:r>
        <w:rPr>
          <w:rFonts w:ascii="宋体" w:hAnsi="宋体" w:cs="宋体" w:eastAsia="宋体" w:hint="ascii"/>
          <w:sz w:val="21"/>
          <w:spacing w:val="1"/>
        </w:rPr>
        <w:t>作</w:t>
      </w:r>
      <w:r>
        <w:rPr>
          <w:rFonts w:ascii="宋体" w:hAnsi="宋体" w:cs="宋体" w:eastAsia="宋体" w:hint="ascii"/>
          <w:sz w:val="21"/>
          <w:spacing w:val="2"/>
        </w:rPr>
        <w:t>研究</w:t>
      </w:r>
      <w:r>
        <w:rPr>
          <w:rFonts w:ascii="宋体" w:hAnsi="宋体" w:cs="宋体" w:eastAsia="宋体" w:hint="ascii"/>
          <w:sz w:val="21"/>
          <w:spacing w:val="1"/>
        </w:rPr>
        <w:t>项</w:t>
      </w:r>
      <w:r>
        <w:rPr>
          <w:rFonts w:ascii="宋体" w:hAnsi="宋体" w:cs="宋体" w:eastAsia="宋体" w:hint="ascii"/>
          <w:sz w:val="21"/>
          <w:spacing w:val="2"/>
        </w:rPr>
        <w:t>目</w:t>
      </w:r>
      <w:r>
        <w:rPr>
          <w:rFonts w:ascii="宋体" w:hAnsi="宋体" w:cs="宋体" w:eastAsia="宋体" w:hint="ascii"/>
          <w:sz w:val="21"/>
          <w:spacing w:val="1"/>
        </w:rPr>
        <w:t>和</w:t>
      </w:r>
      <w:r>
        <w:rPr>
          <w:rFonts w:ascii="宋体" w:hAnsi="宋体" w:cs="宋体" w:eastAsia="宋体" w:hint="ascii"/>
          <w:sz w:val="21"/>
          <w:spacing w:val="2"/>
        </w:rPr>
        <w:t>学术</w:t>
      </w:r>
      <w:r>
        <w:rPr>
          <w:rFonts w:ascii="宋体" w:hAnsi="宋体" w:cs="宋体" w:eastAsia="宋体" w:hint="ascii"/>
          <w:sz w:val="21"/>
          <w:spacing w:val="1"/>
        </w:rPr>
        <w:t>会</w:t>
      </w:r>
      <w:r>
        <w:rPr>
          <w:rFonts w:ascii="宋体" w:hAnsi="宋体" w:cs="宋体" w:eastAsia="宋体" w:hint="ascii"/>
          <w:sz w:val="21"/>
          <w:spacing w:val="-6"/>
        </w:rPr>
        <w:t>议</w:t>
      </w:r>
      <w:r>
        <w:rPr>
          <w:rFonts w:ascii="宋体" w:hAnsi="宋体" w:cs="宋体" w:eastAsia="宋体" w:hint="ascii"/>
          <w:sz w:val="21"/>
          <w:spacing w:val="4"/>
        </w:rPr>
        <w:t>项目</w:t>
      </w:r>
      <w:r>
        <w:rPr>
          <w:rFonts w:ascii="宋体" w:hAnsi="宋体" w:cs="宋体" w:eastAsia="宋体" w:hint="ascii"/>
          <w:sz w:val="21"/>
        </w:rPr>
        <w:t>。</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3" w:after="0" w:lineRule="exact" w:line="319"/>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 xml:space="preserve">双方 </w:t>
      </w:r>
      <w:r>
        <w:rPr>
          <w:rFonts w:ascii="Times New Roman" w:hAnsi="Times New Roman" w:cs="Times New Roman" w:eastAsia="Times New Roman" w:hint="ascii"/>
          <w:sz w:val="21"/>
          <w:spacing w:val="-1"/>
        </w:rPr>
        <w:t xml:space="preserve">2018 </w:t>
      </w:r>
      <w:r>
        <w:rPr>
          <w:rFonts w:ascii="宋体" w:hAnsi="宋体" w:cs="宋体" w:eastAsia="宋体" w:hint="ascii"/>
          <w:sz w:val="21"/>
          <w:spacing w:val="-1"/>
        </w:rPr>
        <w:t xml:space="preserve">年度合作领域为生命科学和医学，联合资助 </w:t>
      </w:r>
      <w:r>
        <w:rPr>
          <w:rFonts w:ascii="Times New Roman" w:hAnsi="Times New Roman" w:cs="Times New Roman" w:eastAsia="Times New Roman" w:hint="ascii"/>
          <w:sz w:val="21"/>
          <w:spacing w:val="-1"/>
        </w:rPr>
        <w:t xml:space="preserve">35 </w:t>
      </w:r>
      <w:r>
        <w:rPr>
          <w:rFonts w:ascii="宋体" w:hAnsi="宋体" w:cs="宋体" w:eastAsia="宋体" w:hint="ascii"/>
          <w:sz w:val="21"/>
          <w:spacing w:val="-1"/>
        </w:rPr>
        <w:t>项左右</w:t>
      </w:r>
      <w:r>
        <w:rPr>
          <w:rFonts w:ascii="宋体" w:hAnsi="宋体" w:cs="宋体" w:eastAsia="宋体" w:hint="ascii"/>
          <w:sz w:val="21"/>
        </w:rPr>
        <w:t xml:space="preserve">，资助期限为 </w:t>
      </w:r>
      <w:r>
        <w:rPr>
          <w:rFonts w:ascii="Times New Roman" w:hAnsi="Times New Roman" w:cs="Times New Roman" w:eastAsia="Times New Roman" w:hint="ascii"/>
          <w:sz w:val="21"/>
        </w:rPr>
        <w:t xml:space="preserve">3 </w:t>
      </w:r>
      <w:r>
        <w:rPr>
          <w:rFonts w:ascii="宋体" w:hAnsi="宋体" w:cs="宋体" w:eastAsia="宋体" w:hint="ascii"/>
          <w:sz w:val="21"/>
        </w:rPr>
        <w:t>年，中方资助直接费用</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4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w:t>
      </w:r>
      <w:r>
        <w:rPr>
          <w:rFonts w:ascii="宋体" w:hAnsi="宋体" w:cs="宋体" w:eastAsia="宋体" w:hint="ascii"/>
          <w:sz w:val="21"/>
          <w:spacing w:val="26"/>
        </w:rPr>
        <w:t>为</w:t>
      </w:r>
      <w:r>
        <w:rPr>
          <w:rFonts w:ascii="Times New Roman" w:hAnsi="Times New Roman" w:cs="Times New Roman" w:eastAsia="Times New Roman" w:hint="ascii"/>
          <w:sz w:val="21"/>
          <w:spacing w:val="52"/>
        </w:rPr>
        <w:t>2</w:t>
      </w:r>
      <w:r>
        <w:rPr>
          <w:rFonts w:ascii="宋体" w:hAnsi="宋体" w:cs="宋体" w:eastAsia="宋体" w:hint="ascii"/>
          <w:sz w:val="21"/>
        </w:rPr>
        <w:t>项左右，研讨会的主题由双方机构协商确定。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亚洲三国（中国、日本、韩国）</w:t>
      </w:r>
    </w:p>
    <w:p>
      <w:pPr>
        <w:autoSpaceDE w:val="0"/>
        <w:autoSpaceDN w:val="0"/>
        <w:jc w:val="left"/>
        <w:spacing w:before="1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A</w:t>
      </w:r>
      <w:r>
        <w:rPr>
          <w:rFonts w:ascii="Times New Roman" w:hAnsi="Times New Roman" w:cs="Times New Roman" w:eastAsia="Times New Roman" w:hint="ascii"/>
          <w:b w:val="1"/>
          <w:sz w:val="21"/>
          <w:spacing w:val="53"/>
        </w:rPr>
        <w:t>3</w:t>
      </w:r>
      <w:r>
        <w:rPr>
          <w:rFonts w:ascii="宋体" w:hAnsi="宋体" w:cs="宋体" w:eastAsia="宋体" w:hint="ascii"/>
          <w:sz w:val="21"/>
        </w:rPr>
        <w:t>前瞻计划（</w:t>
      </w:r>
      <w:r>
        <w:rPr>
          <w:rFonts w:ascii="Times New Roman" w:hAnsi="Times New Roman" w:cs="Times New Roman" w:eastAsia="Times New Roman" w:hint="ascii"/>
          <w:b w:val="1"/>
          <w:sz w:val="21"/>
        </w:rPr>
        <w:t>Asia 3 Foresight Program</w:t>
      </w:r>
      <w:r>
        <w:rPr>
          <w:rFonts w:ascii="宋体" w:hAnsi="宋体" w:cs="宋体" w:eastAsia="宋体" w:hint="ascii"/>
          <w:sz w:val="21"/>
        </w:rPr>
        <w:t>）</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A3</w:t>
      </w:r>
      <w:r>
        <w:rPr>
          <w:rFonts w:ascii="Times New Roman" w:hAnsi="Times New Roman" w:cs="Times New Roman" w:eastAsia="Times New Roman" w:hint="ascii"/>
          <w:sz w:val="21"/>
          <w:spacing w:val="3"/>
        </w:rPr>
        <w:t xml:space="preserve"> </w:t>
      </w:r>
      <w:r>
        <w:rPr>
          <w:rFonts w:ascii="宋体" w:hAnsi="宋体" w:cs="宋体" w:eastAsia="宋体" w:hint="ascii"/>
          <w:sz w:val="21"/>
        </w:rPr>
        <w:t>前瞻计划是自然科学基金委</w:t>
      </w:r>
      <w:r>
        <w:rPr>
          <w:rFonts w:ascii="宋体" w:hAnsi="宋体" w:cs="宋体" w:eastAsia="宋体" w:hint="ascii"/>
          <w:sz w:val="21"/>
          <w:spacing w:val="3"/>
        </w:rPr>
        <w:t>（</w:t>
      </w:r>
      <w:r>
        <w:rPr>
          <w:rFonts w:ascii="Times New Roman" w:hAnsi="Times New Roman" w:cs="Times New Roman" w:eastAsia="Times New Roman" w:hint="ascii"/>
          <w:sz w:val="21"/>
        </w:rPr>
        <w:t>NSF</w:t>
      </w:r>
      <w:r>
        <w:rPr>
          <w:rFonts w:ascii="Times New Roman" w:hAnsi="Times New Roman" w:cs="Times New Roman" w:eastAsia="Times New Roman" w:hint="ascii"/>
          <w:sz w:val="21"/>
          <w:spacing w:val="5"/>
        </w:rPr>
        <w:t>C</w:t>
      </w:r>
      <w:r>
        <w:rPr>
          <w:rFonts w:ascii="宋体" w:hAnsi="宋体" w:cs="宋体" w:eastAsia="宋体" w:hint="ascii"/>
          <w:sz w:val="21"/>
        </w:rPr>
        <w:t>）与日本学术振兴会</w:t>
      </w:r>
      <w:r>
        <w:rPr>
          <w:rFonts w:ascii="宋体" w:hAnsi="宋体" w:cs="宋体" w:eastAsia="宋体" w:hint="ascii"/>
          <w:sz w:val="21"/>
          <w:spacing w:val="3"/>
        </w:rPr>
        <w:t>（</w:t>
      </w:r>
      <w:r>
        <w:rPr>
          <w:rFonts w:ascii="Times New Roman" w:hAnsi="Times New Roman" w:cs="Times New Roman" w:eastAsia="Times New Roman" w:hint="ascii"/>
          <w:sz w:val="21"/>
        </w:rPr>
        <w:t>JSP</w:t>
      </w:r>
      <w:r>
        <w:rPr>
          <w:rFonts w:ascii="Times New Roman" w:hAnsi="Times New Roman" w:cs="Times New Roman" w:eastAsia="Times New Roman" w:hint="ascii"/>
          <w:sz w:val="21"/>
          <w:spacing w:val="5"/>
        </w:rPr>
        <w:t>S</w:t>
      </w:r>
      <w:r>
        <w:rPr>
          <w:rFonts w:ascii="宋体" w:hAnsi="宋体" w:cs="宋体" w:eastAsia="宋体" w:hint="ascii"/>
          <w:sz w:val="21"/>
        </w:rPr>
        <w:t>）和韩国</w:t>
      </w:r>
      <w:r>
        <w:rPr>
          <w:rFonts w:ascii="宋体" w:hAnsi="宋体" w:cs="宋体" w:eastAsia="宋体" w:hint="ascii"/>
          <w:sz w:val="21"/>
          <w:spacing w:val="3"/>
        </w:rPr>
        <w:t>国</w:t>
      </w:r>
      <w:r>
        <w:rPr>
          <w:rFonts w:ascii="宋体" w:hAnsi="宋体" w:cs="宋体" w:eastAsia="宋体" w:hint="ascii"/>
          <w:sz w:val="21"/>
        </w:rPr>
        <w:t>家</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rPr>
        <w:t>研究基金会（</w:t>
      </w:r>
      <w:r>
        <w:rPr>
          <w:rFonts w:ascii="Times New Roman" w:hAnsi="Times New Roman" w:cs="Times New Roman" w:eastAsia="Times New Roman" w:hint="ascii"/>
          <w:sz w:val="21"/>
        </w:rPr>
        <w:t>NRF</w:t>
      </w:r>
      <w:r>
        <w:rPr>
          <w:rFonts w:ascii="宋体" w:hAnsi="宋体" w:cs="宋体" w:eastAsia="宋体" w:hint="ascii"/>
          <w:sz w:val="21"/>
        </w:rPr>
        <w:t>）共同设立的合作研究资助计划。中日韩三方联合资助中国、日本、</w:t>
      </w:r>
      <w:r>
        <w:rPr>
          <w:rFonts w:ascii="宋体" w:hAnsi="宋体" w:cs="宋体" w:eastAsia="宋体" w:hint="ascii"/>
          <w:sz w:val="21"/>
          <w:spacing w:val="-1"/>
        </w:rPr>
        <w:t>韩国三国科</w:t>
      </w:r>
      <w:r>
        <w:rPr>
          <w:rFonts w:ascii="宋体" w:hAnsi="宋体" w:cs="宋体" w:eastAsia="宋体" w:hint="ascii"/>
          <w:sz w:val="21"/>
        </w:rPr>
        <w:t>学家在选定的战略领域共同开展世界一流水平的合作研究，以达到培养青年杰出人才和共同解决区域问题的目的。</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A3</w:t>
      </w:r>
      <w:r>
        <w:rPr>
          <w:rFonts w:ascii="Times New Roman" w:hAnsi="Times New Roman" w:cs="Times New Roman" w:eastAsia="Times New Roman" w:hint="ascii"/>
          <w:sz w:val="21"/>
          <w:spacing w:val="-8"/>
        </w:rPr>
        <w:t xml:space="preserve"> </w:t>
      </w:r>
      <w:r>
        <w:rPr>
          <w:rFonts w:ascii="宋体" w:hAnsi="宋体" w:cs="宋体" w:eastAsia="宋体" w:hint="ascii"/>
          <w:sz w:val="21"/>
        </w:rPr>
        <w:t>前瞻计划每年的合作领域将与前一年</w:t>
      </w:r>
      <w:r>
        <w:rPr>
          <w:rFonts w:ascii="宋体" w:hAnsi="宋体" w:cs="宋体" w:eastAsia="宋体" w:hint="ascii"/>
          <w:sz w:val="21"/>
          <w:spacing w:val="-7"/>
        </w:rPr>
        <w:t xml:space="preserve"> </w:t>
      </w:r>
      <w:r>
        <w:rPr>
          <w:rFonts w:ascii="Times New Roman" w:hAnsi="Times New Roman" w:cs="Times New Roman" w:eastAsia="Times New Roman" w:hint="ascii"/>
          <w:sz w:val="21"/>
        </w:rPr>
        <w:t>NSFC</w:t>
      </w:r>
      <w:r>
        <w:rPr>
          <w:rFonts w:ascii="宋体" w:hAnsi="宋体" w:cs="宋体" w:eastAsia="宋体" w:hint="ascii"/>
          <w:sz w:val="21"/>
        </w:rPr>
        <w:t>、</w:t>
      </w:r>
      <w:r>
        <w:rPr>
          <w:rFonts w:ascii="Times New Roman" w:hAnsi="Times New Roman" w:cs="Times New Roman" w:eastAsia="Times New Roman" w:hint="ascii"/>
          <w:sz w:val="21"/>
        </w:rPr>
        <w:t>JSPS</w:t>
      </w:r>
      <w:r>
        <w:rPr>
          <w:rFonts w:ascii="宋体" w:hAnsi="宋体" w:cs="宋体" w:eastAsia="宋体" w:hint="ascii"/>
          <w:sz w:val="21"/>
        </w:rPr>
        <w:t>、</w:t>
      </w:r>
      <w:r>
        <w:rPr>
          <w:rFonts w:ascii="Times New Roman" w:hAnsi="Times New Roman" w:cs="Times New Roman" w:eastAsia="Times New Roman" w:hint="ascii"/>
          <w:sz w:val="21"/>
        </w:rPr>
        <w:t>NRF</w:t>
      </w:r>
      <w:r>
        <w:rPr>
          <w:rFonts w:ascii="Times New Roman" w:hAnsi="Times New Roman" w:cs="Times New Roman" w:eastAsia="Times New Roman" w:hint="ascii"/>
          <w:sz w:val="21"/>
          <w:spacing w:val="-8"/>
        </w:rPr>
        <w:t xml:space="preserve"> </w:t>
      </w:r>
      <w:r>
        <w:rPr>
          <w:rFonts w:ascii="宋体" w:hAnsi="宋体" w:cs="宋体" w:eastAsia="宋体" w:hint="ascii"/>
          <w:sz w:val="21"/>
        </w:rPr>
        <w:t>共同举办的东北亚学</w:t>
      </w:r>
    </w:p>
    <w:p>
      <w:pPr>
        <w:autoSpaceDE w:val="0"/>
        <w:autoSpaceDN w:val="0"/>
        <w:jc w:val="both"/>
        <w:spacing w:before="17"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术研讨会主题一致。</w:t>
      </w:r>
      <w:r>
        <w:rPr>
          <w:rFonts w:ascii="Times New Roman" w:hAnsi="Times New Roman" w:cs="Times New Roman" w:eastAsia="Times New Roman" w:hint="ascii"/>
          <w:sz w:val="21"/>
          <w:spacing w:val="-1"/>
        </w:rPr>
        <w:t xml:space="preserve">2018 </w:t>
      </w:r>
      <w:r>
        <w:rPr>
          <w:rFonts w:ascii="宋体" w:hAnsi="宋体" w:cs="宋体" w:eastAsia="宋体" w:hint="ascii"/>
          <w:sz w:val="21"/>
          <w:spacing w:val="-1"/>
        </w:rPr>
        <w:t xml:space="preserve">年度 </w:t>
      </w:r>
      <w:r>
        <w:rPr>
          <w:rFonts w:ascii="Times New Roman" w:hAnsi="Times New Roman" w:cs="Times New Roman" w:eastAsia="Times New Roman" w:hint="ascii"/>
          <w:sz w:val="21"/>
          <w:spacing w:val="-1"/>
        </w:rPr>
        <w:t xml:space="preserve">A3 </w:t>
      </w:r>
      <w:r>
        <w:rPr>
          <w:rFonts w:ascii="宋体" w:hAnsi="宋体" w:cs="宋体" w:eastAsia="宋体" w:hint="ascii"/>
          <w:sz w:val="21"/>
          <w:spacing w:val="-1"/>
        </w:rPr>
        <w:t>前瞻计划的合作领域为“新兴材</w:t>
      </w:r>
      <w:r>
        <w:rPr>
          <w:rFonts w:ascii="宋体" w:hAnsi="宋体" w:cs="宋体" w:eastAsia="宋体" w:hint="ascii"/>
          <w:sz w:val="21"/>
        </w:rPr>
        <w:t>料创新</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emerging materials innovation</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中国、日本、韩国三方于每年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 xml:space="preserve">1 </w:t>
      </w:r>
      <w:r>
        <w:rPr>
          <w:rFonts w:ascii="宋体" w:hAnsi="宋体" w:cs="宋体" w:eastAsia="宋体" w:hint="ascii"/>
          <w:sz w:val="21"/>
        </w:rPr>
        <w:t>月在网上同时发布《组织间国际（地区）合作研</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究与交流</w:t>
      </w:r>
      <w:r>
        <w:rPr>
          <w:rFonts w:ascii="宋体" w:hAnsi="宋体" w:cs="宋体" w:eastAsia="宋体" w:hint="ascii"/>
          <w:sz w:val="21"/>
        </w:rPr>
        <w:t>项目指南》征集项目。每年资助项目数量</w:t>
      </w:r>
      <w:r>
        <w:rPr>
          <w:rFonts w:ascii="宋体" w:hAnsi="宋体" w:cs="宋体" w:eastAsia="宋体" w:hint="ascii"/>
          <w:sz w:val="21"/>
          <w:spacing w:val="26"/>
        </w:rPr>
        <w:t>为</w:t>
      </w:r>
      <w:r>
        <w:rPr>
          <w:rFonts w:ascii="Times New Roman" w:hAnsi="Times New Roman" w:cs="Times New Roman" w:eastAsia="Times New Roman" w:hint="ascii"/>
          <w:sz w:val="21"/>
          <w:spacing w:val="52"/>
        </w:rPr>
        <w:t>2</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5</w:t>
      </w:r>
      <w:r>
        <w:rPr>
          <w:rFonts w:ascii="宋体" w:hAnsi="宋体" w:cs="宋体" w:eastAsia="宋体" w:hint="ascii"/>
          <w:sz w:val="21"/>
        </w:rPr>
        <w:t>年，中方资助直接费用</w:t>
      </w:r>
      <w:r>
        <w:rPr>
          <w:rFonts w:ascii="宋体" w:hAnsi="宋体" w:cs="宋体" w:eastAsia="宋体" w:hint="ascii"/>
          <w:sz w:val="21"/>
          <w:spacing w:val="26"/>
        </w:rPr>
        <w:t>为</w:t>
      </w:r>
      <w:r>
        <w:rPr>
          <w:rFonts w:ascii="Times New Roman" w:hAnsi="Times New Roman" w:cs="Times New Roman" w:eastAsia="Times New Roman" w:hint="ascii"/>
          <w:sz w:val="21"/>
        </w:rPr>
        <w:t>40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南非</w:t>
      </w:r>
    </w:p>
    <w:p>
      <w:pPr>
        <w:autoSpaceDE w:val="0"/>
        <w:autoSpaceDN w:val="0"/>
        <w:jc w:val="both"/>
        <w:spacing w:before="158"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自然科学基金委与南非国家研究基金会（</w:t>
      </w:r>
      <w:r>
        <w:rPr>
          <w:rFonts w:ascii="Times New Roman" w:hAnsi="Times New Roman" w:cs="Times New Roman" w:eastAsia="Times New Roman" w:hint="ascii"/>
          <w:sz w:val="21"/>
        </w:rPr>
        <w:t>NRF</w:t>
      </w:r>
      <w:r>
        <w:rPr>
          <w:rFonts w:ascii="宋体" w:hAnsi="宋体" w:cs="宋体" w:eastAsia="宋体" w:hint="ascii"/>
          <w:sz w:val="21"/>
        </w:rPr>
        <w:t>）联合资助合作研究项目和学术会议项目。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0" w:after="0" w:lineRule="exact" w:line="312"/>
        <w:ind w:right="977" w:left="861" w:firstLine="524"/>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2"/>
        </w:rPr>
        <w:t>年度有关申请事宜请关注自然科学基金委网站“通知通告”</w:t>
      </w:r>
      <w:r>
        <w:rPr>
          <w:rFonts w:ascii="宋体" w:hAnsi="宋体" w:cs="宋体" w:eastAsia="宋体" w:hint="ascii"/>
          <w:sz w:val="21"/>
          <w:spacing w:val="1"/>
        </w:rPr>
        <w:t>栏目中发布</w:t>
      </w:r>
      <w:r>
        <w:rPr>
          <w:rFonts w:ascii="宋体" w:hAnsi="宋体" w:cs="宋体" w:eastAsia="宋体" w:hint="ascii"/>
          <w:sz w:val="21"/>
          <w:spacing w:val="-7"/>
        </w:rPr>
        <w:t>的</w:t>
      </w: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泰国</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泰国国家研究理事会（</w:t>
      </w:r>
      <w:r>
        <w:rPr>
          <w:rFonts w:ascii="Times New Roman" w:hAnsi="Times New Roman" w:cs="Times New Roman" w:eastAsia="Times New Roman" w:hint="ascii"/>
          <w:b w:val="1"/>
          <w:sz w:val="21"/>
        </w:rPr>
        <w:t>NRCT</w:t>
      </w:r>
      <w:r>
        <w:rPr>
          <w:rFonts w:ascii="宋体" w:hAnsi="宋体" w:cs="宋体" w:eastAsia="宋体" w:hint="ascii"/>
          <w:sz w:val="21"/>
        </w:rPr>
        <w:t>）</w:t>
      </w:r>
    </w:p>
    <w:p>
      <w:pPr>
        <w:autoSpaceDE w:val="0"/>
        <w:autoSpaceDN w:val="0"/>
        <w:jc w:val="both"/>
        <w:spacing w:before="10" w:after="0" w:lineRule="exact" w:line="312"/>
        <w:ind w:right="977"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自然科学基</w:t>
      </w:r>
      <w:r>
        <w:rPr>
          <w:rFonts w:ascii="宋体" w:hAnsi="宋体" w:cs="宋体" w:eastAsia="宋体" w:hint="ascii"/>
          <w:sz w:val="21"/>
        </w:rPr>
        <w:t>金委与泰国国家研究理事会联合资助合作研究项目、合作交流项目和学术会议项目。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0" w:after="0" w:lineRule="exact" w:line="312"/>
        <w:ind w:right="977"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2"/>
        </w:rPr>
        <w:t>年度中泰双方将在网上发布《组织间国际（地区）合作研究</w:t>
      </w:r>
      <w:r>
        <w:rPr>
          <w:rFonts w:ascii="宋体" w:hAnsi="宋体" w:cs="宋体" w:eastAsia="宋体" w:hint="ascii"/>
          <w:sz w:val="21"/>
          <w:spacing w:val="1"/>
        </w:rPr>
        <w:t>与交流项目</w:t>
      </w:r>
      <w:r>
        <w:rPr>
          <w:rFonts w:ascii="宋体" w:hAnsi="宋体" w:cs="宋体" w:eastAsia="宋体" w:hint="ascii"/>
          <w:sz w:val="21"/>
          <w:spacing w:val="-7"/>
        </w:rPr>
        <w:t>指</w:t>
      </w:r>
      <w:r>
        <w:rPr>
          <w:rFonts w:ascii="宋体" w:hAnsi="宋体" w:cs="宋体" w:eastAsia="宋体" w:hint="ascii"/>
          <w:sz w:val="21"/>
          <w:spacing w:val="-1"/>
        </w:rPr>
        <w:t>南</w:t>
      </w:r>
      <w:r>
        <w:rPr>
          <w:rFonts w:ascii="宋体" w:hAnsi="宋体" w:cs="宋体" w:eastAsia="宋体" w:hint="ascii"/>
          <w:sz w:val="21"/>
          <w:spacing w:val="-53"/>
        </w:rPr>
        <w:t>》</w:t>
      </w:r>
      <w:r>
        <w:rPr>
          <w:rFonts w:ascii="宋体" w:hAnsi="宋体" w:cs="宋体" w:eastAsia="宋体" w:hint="ascii"/>
          <w:sz w:val="21"/>
          <w:spacing w:val="-1"/>
        </w:rPr>
        <w:t>，公布</w:t>
      </w:r>
      <w:r>
        <w:rPr>
          <w:rFonts w:ascii="宋体" w:hAnsi="宋体" w:cs="宋体" w:eastAsia="宋体" w:hint="ascii"/>
          <w:sz w:val="21"/>
        </w:rPr>
        <w:t xml:space="preserve">具体合作领域并受理项目申请，资助项目数量为 </w:t>
      </w:r>
      <w:r>
        <w:rPr>
          <w:rFonts w:ascii="Times New Roman" w:hAnsi="Times New Roman" w:cs="Times New Roman" w:eastAsia="Times New Roman" w:hint="ascii"/>
          <w:sz w:val="21"/>
        </w:rPr>
        <w:t xml:space="preserve">5 </w:t>
      </w:r>
      <w:r>
        <w:rPr>
          <w:rFonts w:ascii="宋体" w:hAnsi="宋体" w:cs="宋体" w:eastAsia="宋体" w:hint="ascii"/>
          <w:sz w:val="21"/>
        </w:rPr>
        <w:t>项左右，中方资助直接费</w:t>
      </w:r>
    </w:p>
    <w:p>
      <w:pPr>
        <w:autoSpaceDE w:val="0"/>
        <w:autoSpaceDN w:val="0"/>
        <w:jc w:val="left"/>
        <w:spacing w:before="397"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用</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年。</w:t>
      </w:r>
      <w:r>
        <w:rPr>
          <w:rFonts w:ascii="宋体" w:hAnsi="宋体" w:cs="宋体" w:eastAsia="宋体" w:hint="ascii"/>
          <w:sz w:val="21"/>
        </w:rPr>
        <mc:AlternateContent>
          <mc:Choice Requires="wps">
            <w:drawing>
              <wp:anchor distL="0" distR="0" distT="0" distB="0" simplePos="0" behindDoc="1" relativeHeight="242" locked="0" layoutInCell="1" allowOverlap="1">
                <wp:simplePos x="0" y="0"/>
                <wp:positionH relativeFrom="page">
                  <wp:posOffset>938530</wp:posOffset>
                </wp:positionH>
                <wp:positionV relativeFrom="page">
                  <wp:posOffset>819150</wp:posOffset>
                </wp:positionV>
                <wp:extent cx="5076190" cy="0"/>
                <wp:wrapNone/>
                <wp:docPr id="1271" name="127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10432;width:399.70pt;" id="127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）合作交流项目</w:t>
      </w:r>
    </w:p>
    <w:p>
      <w:pPr>
        <w:autoSpaceDE w:val="0"/>
        <w:autoSpaceDN w:val="0"/>
        <w:jc w:val="both"/>
        <w:spacing w:before="1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 xml:space="preserve">中泰科学家需分别向自然科学基金委和 </w:t>
      </w:r>
      <w:r>
        <w:rPr>
          <w:rFonts w:ascii="Times New Roman" w:hAnsi="Times New Roman" w:cs="Times New Roman" w:eastAsia="Times New Roman" w:hint="ascii"/>
          <w:sz w:val="21"/>
        </w:rPr>
        <w:t xml:space="preserve">NRCT </w:t>
      </w:r>
      <w:r>
        <w:rPr>
          <w:rFonts w:ascii="宋体" w:hAnsi="宋体" w:cs="宋体" w:eastAsia="宋体" w:hint="ascii"/>
          <w:sz w:val="21"/>
        </w:rPr>
        <w:t>提出项目申请，双方经过协商后作出资助决定。</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）学术会议项目</w:t>
      </w:r>
    </w:p>
    <w:p>
      <w:pPr>
        <w:autoSpaceDE w:val="0"/>
        <w:autoSpaceDN w:val="0"/>
        <w:jc w:val="both"/>
        <w:spacing w:before="10" w:after="0" w:lineRule="exact" w:line="312"/>
        <w:ind w:right="1608" w:left="1386" w:firstLine="0"/>
        <w:snapToGrid w:val="0"/>
        <w:textAlignment w:val="auto"/>
        <w:tabs/>
        <w:rPr>
          <w:rFonts w:ascii="宋体" w:hAnsi="宋体" w:cs="宋体" w:eastAsia="宋体" w:hint="ascii"/>
          <w:sz w:val="21"/>
        </w:rPr>
      </w:pPr>
      <w:r>
        <w:rPr>
          <w:rFonts w:ascii="宋体" w:hAnsi="宋体" w:cs="宋体" w:eastAsia="宋体" w:hint="ascii"/>
          <w:sz w:val="21"/>
          <w:spacing w:val="-1"/>
        </w:rPr>
        <w:t>双方每年资助</w:t>
      </w:r>
      <w:r>
        <w:rPr>
          <w:rFonts w:ascii="宋体" w:hAnsi="宋体" w:cs="宋体" w:eastAsia="宋体" w:hint="ascii"/>
          <w:sz w:val="21"/>
        </w:rPr>
        <w:t>双边学术研讨会，研讨会的主题和数量由双方机构协商确定。</w:t>
      </w:r>
      <w:r>
        <w:rPr>
          <w:rFonts w:ascii="宋体" w:hAnsi="宋体" w:cs="宋体" w:eastAsia="宋体" w:hint="ascii"/>
          <w:sz w:val="21"/>
        </w:rPr>
        <w:t>泰国研究基金会（</w:t>
      </w:r>
      <w:r>
        <w:rPr>
          <w:rFonts w:ascii="Times New Roman" w:hAnsi="Times New Roman" w:cs="Times New Roman" w:eastAsia="Times New Roman" w:hint="ascii"/>
          <w:b w:val="1"/>
          <w:sz w:val="21"/>
        </w:rPr>
        <w:t>TRF</w:t>
      </w:r>
      <w:r>
        <w:rPr>
          <w:rFonts w:ascii="宋体" w:hAnsi="宋体" w:cs="宋体" w:eastAsia="宋体" w:hint="ascii"/>
          <w:sz w:val="21"/>
        </w:rPr>
        <w:t>）</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自然科学基金</w:t>
      </w:r>
      <w:r>
        <w:rPr>
          <w:rFonts w:ascii="宋体" w:hAnsi="宋体" w:cs="宋体" w:eastAsia="宋体" w:hint="ascii"/>
          <w:sz w:val="21"/>
        </w:rPr>
        <w:t>委与泰国研究基金会联合资助合作研究项目、合作交流项目和学术会议项目。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10" w:after="0" w:lineRule="exact" w:line="312"/>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5"/>
        </w:rPr>
        <w:t>年度中泰双方将在网上发布《组织间国际（地区）合作研究与交流项目</w:t>
      </w:r>
      <w:r>
        <w:rPr>
          <w:rFonts w:ascii="宋体" w:hAnsi="宋体" w:cs="宋体" w:eastAsia="宋体" w:hint="ascii"/>
          <w:sz w:val="21"/>
        </w:rPr>
        <w:t>指南</w:t>
      </w:r>
      <w:r>
        <w:rPr>
          <w:rFonts w:ascii="宋体" w:hAnsi="宋体" w:cs="宋体" w:eastAsia="宋体" w:hint="ascii"/>
          <w:sz w:val="21"/>
          <w:spacing w:val="-52"/>
        </w:rPr>
        <w:t>》</w:t>
      </w:r>
      <w:r>
        <w:rPr>
          <w:rFonts w:ascii="宋体" w:hAnsi="宋体" w:cs="宋体" w:eastAsia="宋体" w:hint="ascii"/>
          <w:sz w:val="21"/>
        </w:rPr>
        <w:t xml:space="preserve">，公布具体合作领域并受理项目申请，资助项目数量为 </w:t>
      </w:r>
      <w:r>
        <w:rPr>
          <w:rFonts w:ascii="Times New Roman" w:hAnsi="Times New Roman" w:cs="Times New Roman" w:eastAsia="Times New Roman" w:hint="ascii"/>
          <w:sz w:val="21"/>
        </w:rPr>
        <w:t xml:space="preserve">5 </w:t>
      </w:r>
      <w:r>
        <w:rPr>
          <w:rFonts w:ascii="宋体" w:hAnsi="宋体" w:cs="宋体" w:eastAsia="宋体" w:hint="ascii"/>
          <w:sz w:val="21"/>
        </w:rPr>
        <w:t>项左右，中方资助直接费用</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年。</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）合作交流项目</w:t>
      </w:r>
    </w:p>
    <w:p>
      <w:pPr>
        <w:autoSpaceDE w:val="0"/>
        <w:autoSpaceDN w:val="0"/>
        <w:jc w:val="both"/>
        <w:spacing w:before="1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中泰科学家需分别向自然科学基金委</w:t>
      </w:r>
      <w:r>
        <w:rPr>
          <w:rFonts w:ascii="宋体" w:hAnsi="宋体" w:cs="宋体" w:eastAsia="宋体" w:hint="ascii"/>
          <w:sz w:val="21"/>
          <w:spacing w:val="-1"/>
        </w:rPr>
        <w:t>和</w:t>
      </w:r>
      <w:r>
        <w:rPr>
          <w:rFonts w:ascii="宋体" w:hAnsi="宋体" w:cs="宋体" w:eastAsia="宋体" w:hint="ascii"/>
          <w:sz w:val="21"/>
        </w:rPr>
        <w:t xml:space="preserve"> </w:t>
      </w:r>
      <w:r>
        <w:rPr>
          <w:rFonts w:ascii="Times New Roman" w:hAnsi="Times New Roman" w:cs="Times New Roman" w:eastAsia="Times New Roman" w:hint="ascii"/>
          <w:sz w:val="21"/>
        </w:rPr>
        <w:t>TRF</w:t>
      </w:r>
      <w:r>
        <w:rPr>
          <w:rFonts w:ascii="Times New Roman" w:hAnsi="Times New Roman" w:cs="Times New Roman" w:eastAsia="Times New Roman" w:hint="ascii"/>
          <w:sz w:val="21"/>
          <w:spacing w:val="-1"/>
        </w:rPr>
        <w:t xml:space="preserve"> </w:t>
      </w:r>
      <w:r>
        <w:rPr>
          <w:rFonts w:ascii="宋体" w:hAnsi="宋体" w:cs="宋体" w:eastAsia="宋体" w:hint="ascii"/>
          <w:sz w:val="21"/>
        </w:rPr>
        <w:t>提出项目</w:t>
      </w:r>
      <w:r>
        <w:rPr>
          <w:rFonts w:ascii="宋体" w:hAnsi="宋体" w:cs="宋体" w:eastAsia="宋体" w:hint="ascii"/>
          <w:sz w:val="21"/>
          <w:spacing w:val="-1"/>
        </w:rPr>
        <w:t>申</w:t>
      </w:r>
      <w:r>
        <w:rPr>
          <w:rFonts w:ascii="宋体" w:hAnsi="宋体" w:cs="宋体" w:eastAsia="宋体" w:hint="ascii"/>
          <w:sz w:val="21"/>
        </w:rPr>
        <w:t>请，双方</w:t>
      </w:r>
      <w:r>
        <w:rPr>
          <w:rFonts w:ascii="宋体" w:hAnsi="宋体" w:cs="宋体" w:eastAsia="宋体" w:hint="ascii"/>
          <w:sz w:val="21"/>
          <w:spacing w:val="-1"/>
        </w:rPr>
        <w:t>经</w:t>
      </w:r>
      <w:r>
        <w:rPr>
          <w:rFonts w:ascii="宋体" w:hAnsi="宋体" w:cs="宋体" w:eastAsia="宋体" w:hint="ascii"/>
          <w:sz w:val="21"/>
        </w:rPr>
        <w:t>过协商后</w:t>
      </w:r>
      <w:r>
        <w:rPr>
          <w:rFonts w:ascii="宋体" w:hAnsi="宋体" w:cs="宋体" w:eastAsia="宋体" w:hint="ascii"/>
          <w:sz w:val="21"/>
          <w:spacing w:val="-1"/>
        </w:rPr>
        <w:t>作</w:t>
      </w:r>
      <w:r>
        <w:rPr>
          <w:rFonts w:ascii="宋体" w:hAnsi="宋体" w:cs="宋体" w:eastAsia="宋体" w:hint="ascii"/>
          <w:sz w:val="21"/>
          <w:spacing w:val="-2"/>
        </w:rPr>
        <w:t>出</w:t>
      </w:r>
      <w:r>
        <w:rPr>
          <w:rFonts w:ascii="宋体" w:hAnsi="宋体" w:cs="宋体" w:eastAsia="宋体" w:hint="ascii"/>
          <w:sz w:val="21"/>
        </w:rPr>
        <w:t>资助决定。</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新加坡</w: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自然科学基金委与新加坡国家研究基金会（</w:t>
      </w:r>
      <w:r>
        <w:rPr>
          <w:rFonts w:ascii="Times New Roman" w:hAnsi="Times New Roman" w:cs="Times New Roman" w:eastAsia="Times New Roman" w:hint="ascii"/>
          <w:sz w:val="21"/>
        </w:rPr>
        <w:t>NRF</w:t>
      </w:r>
      <w:r>
        <w:rPr>
          <w:rFonts w:ascii="宋体" w:hAnsi="宋体" w:cs="宋体" w:eastAsia="宋体" w:hint="ascii"/>
          <w:sz w:val="21"/>
        </w:rPr>
        <w:t>）联合资助合作研究项目和学术会议项目。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10" w:after="0" w:lineRule="exact" w:line="312"/>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3"/>
        </w:rPr>
        <w:t>年度中新双方将在网上发布《组织间国际（地区</w:t>
      </w:r>
      <w:r>
        <w:rPr>
          <w:rFonts w:ascii="宋体" w:hAnsi="宋体" w:cs="宋体" w:eastAsia="宋体" w:hint="ascii"/>
          <w:sz w:val="21"/>
          <w:spacing w:val="4"/>
        </w:rPr>
        <w:t>）合作研究与交流项目</w:t>
      </w:r>
      <w:r>
        <w:rPr>
          <w:rFonts w:ascii="宋体" w:hAnsi="宋体" w:cs="宋体" w:eastAsia="宋体" w:hint="ascii"/>
          <w:sz w:val="21"/>
          <w:spacing w:val="-1"/>
        </w:rPr>
        <w:t>指</w:t>
      </w:r>
      <w:r>
        <w:rPr>
          <w:rFonts w:ascii="宋体" w:hAnsi="宋体" w:cs="宋体" w:eastAsia="宋体" w:hint="ascii"/>
          <w:sz w:val="21"/>
        </w:rPr>
        <w:t xml:space="preserve"> </w:t>
      </w:r>
      <w:r>
        <w:rPr>
          <w:rFonts w:ascii="宋体" w:hAnsi="宋体" w:cs="宋体" w:eastAsia="宋体" w:hint="ascii"/>
          <w:sz w:val="21"/>
          <w:spacing w:val="-2"/>
        </w:rPr>
        <w:t>南</w:t>
      </w:r>
      <w:r>
        <w:rPr>
          <w:rFonts w:ascii="宋体" w:hAnsi="宋体" w:cs="宋体" w:eastAsia="宋体" w:hint="ascii"/>
          <w:sz w:val="21"/>
          <w:spacing w:val="-54"/>
        </w:rPr>
        <w:t>》</w:t>
      </w:r>
      <w:r>
        <w:rPr>
          <w:rFonts w:ascii="宋体" w:hAnsi="宋体" w:cs="宋体" w:eastAsia="宋体" w:hint="ascii"/>
          <w:sz w:val="21"/>
          <w:spacing w:val="-2"/>
        </w:rPr>
        <w:t>，公布具体合作领域并受理</w:t>
      </w:r>
      <w:r>
        <w:rPr>
          <w:rFonts w:ascii="宋体" w:hAnsi="宋体" w:cs="宋体" w:eastAsia="宋体" w:hint="ascii"/>
          <w:sz w:val="21"/>
          <w:spacing w:val="-1"/>
        </w:rPr>
        <w:t>项目申请，资助项目数量</w:t>
      </w:r>
      <w:r>
        <w:rPr>
          <w:rFonts w:ascii="宋体" w:hAnsi="宋体" w:cs="宋体" w:eastAsia="宋体" w:hint="ascii"/>
          <w:sz w:val="21"/>
          <w:spacing w:val="26"/>
        </w:rPr>
        <w:t>为</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0</w:t>
      </w:r>
      <w:r>
        <w:rPr>
          <w:rFonts w:ascii="宋体" w:hAnsi="宋体" w:cs="宋体" w:eastAsia="宋体" w:hint="ascii"/>
          <w:sz w:val="21"/>
          <w:spacing w:val="-1"/>
        </w:rPr>
        <w:t>项左右，中方资助直接费</w:t>
      </w:r>
      <w:r>
        <w:rPr>
          <w:rFonts w:ascii="宋体" w:hAnsi="宋体" w:cs="宋体" w:eastAsia="宋体" w:hint="ascii"/>
          <w:sz w:val="21"/>
        </w:rPr>
        <w:t xml:space="preserve"> 用</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年。</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巴基斯坦</w:t>
      </w:r>
    </w:p>
    <w:p>
      <w:pPr>
        <w:autoSpaceDE w:val="0"/>
        <w:autoSpaceDN w:val="0"/>
        <w:jc w:val="both"/>
        <w:spacing w:before="156" w:after="0" w:lineRule="exact" w:line="320"/>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自然科学基金委与巴基斯坦科学基金会（</w:t>
      </w:r>
      <w:r>
        <w:rPr>
          <w:rFonts w:ascii="Times New Roman" w:hAnsi="Times New Roman" w:cs="Times New Roman" w:eastAsia="Times New Roman" w:hint="ascii"/>
          <w:sz w:val="21"/>
        </w:rPr>
        <w:t>PSF</w:t>
      </w:r>
      <w:r>
        <w:rPr>
          <w:rFonts w:ascii="宋体" w:hAnsi="宋体" w:cs="宋体" w:eastAsia="宋体" w:hint="ascii"/>
          <w:sz w:val="21"/>
        </w:rPr>
        <w:t>）联合资助合作研究项目和学术会议项目。</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10" w:after="0" w:lineRule="exact" w:line="320"/>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3"/>
        </w:rPr>
        <w:t>年度中巴双方将在网上发布《组织间国际（地区</w:t>
      </w:r>
      <w:r>
        <w:rPr>
          <w:rFonts w:ascii="宋体" w:hAnsi="宋体" w:cs="宋体" w:eastAsia="宋体" w:hint="ascii"/>
          <w:sz w:val="21"/>
          <w:spacing w:val="4"/>
        </w:rPr>
        <w:t>）合作研究与交流项目</w:t>
      </w:r>
      <w:r>
        <w:rPr>
          <w:rFonts w:ascii="宋体" w:hAnsi="宋体" w:cs="宋体" w:eastAsia="宋体" w:hint="ascii"/>
          <w:sz w:val="21"/>
          <w:spacing w:val="-1"/>
        </w:rPr>
        <w:t>指</w:t>
      </w:r>
      <w:r>
        <w:rPr>
          <w:rFonts w:ascii="宋体" w:hAnsi="宋体" w:cs="宋体" w:eastAsia="宋体" w:hint="ascii"/>
          <w:sz w:val="21"/>
        </w:rPr>
        <w:t xml:space="preserve"> </w:t>
      </w:r>
      <w:r>
        <w:rPr>
          <w:rFonts w:ascii="宋体" w:hAnsi="宋体" w:cs="宋体" w:eastAsia="宋体" w:hint="ascii"/>
          <w:sz w:val="21"/>
          <w:spacing w:val="-2"/>
        </w:rPr>
        <w:t>南</w:t>
      </w:r>
      <w:r>
        <w:rPr>
          <w:rFonts w:ascii="宋体" w:hAnsi="宋体" w:cs="宋体" w:eastAsia="宋体" w:hint="ascii"/>
          <w:sz w:val="21"/>
          <w:spacing w:val="-54"/>
        </w:rPr>
        <w:t>》</w:t>
      </w:r>
      <w:r>
        <w:rPr>
          <w:rFonts w:ascii="宋体" w:hAnsi="宋体" w:cs="宋体" w:eastAsia="宋体" w:hint="ascii"/>
          <w:sz w:val="21"/>
          <w:spacing w:val="-2"/>
        </w:rPr>
        <w:t>，公布具体合作领域并受理</w:t>
      </w:r>
      <w:r>
        <w:rPr>
          <w:rFonts w:ascii="宋体" w:hAnsi="宋体" w:cs="宋体" w:eastAsia="宋体" w:hint="ascii"/>
          <w:sz w:val="21"/>
          <w:spacing w:val="-1"/>
        </w:rPr>
        <w:t>项目申请，资助项目数量</w:t>
      </w:r>
      <w:r>
        <w:rPr>
          <w:rFonts w:ascii="宋体" w:hAnsi="宋体" w:cs="宋体" w:eastAsia="宋体" w:hint="ascii"/>
          <w:sz w:val="21"/>
          <w:spacing w:val="26"/>
        </w:rPr>
        <w:t>为</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0</w:t>
      </w:r>
      <w:r>
        <w:rPr>
          <w:rFonts w:ascii="宋体" w:hAnsi="宋体" w:cs="宋体" w:eastAsia="宋体" w:hint="ascii"/>
          <w:sz w:val="21"/>
          <w:spacing w:val="-1"/>
        </w:rPr>
        <w:t>项左右，中方资助直接费</w:t>
      </w:r>
      <w:r>
        <w:rPr>
          <w:rFonts w:ascii="宋体" w:hAnsi="宋体" w:cs="宋体" w:eastAsia="宋体" w:hint="ascii"/>
          <w:sz w:val="21"/>
        </w:rPr>
        <w:t xml:space="preserve"> 用</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年。</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53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斯里兰卡</w:t>
      </w:r>
      <w:r>
        <w:rPr>
          <w:rFonts w:ascii="宋体" w:hAnsi="宋体" w:cs="宋体" w:eastAsia="宋体" w:hint="ascii"/>
        </w:rPr>
        <mc:AlternateContent>
          <mc:Choice Requires="wps">
            <w:drawing>
              <wp:anchor distL="0" distR="0" distT="0" distB="0" simplePos="0" behindDoc="1" relativeHeight="243" locked="0" layoutInCell="1" allowOverlap="1">
                <wp:simplePos x="0" y="0"/>
                <wp:positionH relativeFrom="page">
                  <wp:posOffset>938530</wp:posOffset>
                </wp:positionH>
                <wp:positionV relativeFrom="page">
                  <wp:posOffset>805815</wp:posOffset>
                </wp:positionV>
                <wp:extent cx="5076190" cy="0"/>
                <wp:wrapNone/>
                <wp:docPr id="1272" name="127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09408;width:399.70pt;" id="127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56" w:after="0" w:lineRule="exact" w:line="320"/>
        <w:ind w:right="975" w:left="966" w:firstLine="420"/>
        <w:snapToGrid w:val="0"/>
        <w:textAlignment w:val="auto"/>
        <w:tabs/>
        <w:rPr>
          <w:rFonts w:ascii="宋体" w:hAnsi="宋体" w:cs="宋体" w:eastAsia="宋体" w:hint="ascii"/>
          <w:sz w:val="21"/>
        </w:rPr>
      </w:pPr>
      <w:r>
        <w:rPr>
          <w:rFonts w:ascii="宋体" w:hAnsi="宋体" w:cs="宋体" w:eastAsia="宋体" w:hint="ascii"/>
          <w:sz w:val="21"/>
        </w:rPr>
        <w:t>自然科学</w:t>
      </w:r>
      <w:r>
        <w:rPr>
          <w:rFonts w:ascii="宋体" w:hAnsi="宋体" w:cs="宋体" w:eastAsia="宋体" w:hint="ascii"/>
          <w:sz w:val="21"/>
          <w:spacing w:val="-1"/>
        </w:rPr>
        <w:t>基</w:t>
      </w:r>
      <w:r>
        <w:rPr>
          <w:rFonts w:ascii="宋体" w:hAnsi="宋体" w:cs="宋体" w:eastAsia="宋体" w:hint="ascii"/>
          <w:sz w:val="21"/>
        </w:rPr>
        <w:t>金委与斯</w:t>
      </w:r>
      <w:r>
        <w:rPr>
          <w:rFonts w:ascii="宋体" w:hAnsi="宋体" w:cs="宋体" w:eastAsia="宋体" w:hint="ascii"/>
          <w:sz w:val="21"/>
          <w:spacing w:val="-1"/>
        </w:rPr>
        <w:t>里</w:t>
      </w:r>
      <w:r>
        <w:rPr>
          <w:rFonts w:ascii="宋体" w:hAnsi="宋体" w:cs="宋体" w:eastAsia="宋体" w:hint="ascii"/>
          <w:sz w:val="21"/>
        </w:rPr>
        <w:t>兰卡国家</w:t>
      </w:r>
      <w:r>
        <w:rPr>
          <w:rFonts w:ascii="宋体" w:hAnsi="宋体" w:cs="宋体" w:eastAsia="宋体" w:hint="ascii"/>
          <w:sz w:val="21"/>
          <w:spacing w:val="-1"/>
        </w:rPr>
        <w:t>科</w:t>
      </w:r>
      <w:r>
        <w:rPr>
          <w:rFonts w:ascii="宋体" w:hAnsi="宋体" w:cs="宋体" w:eastAsia="宋体" w:hint="ascii"/>
          <w:sz w:val="21"/>
        </w:rPr>
        <w:t>学基金会（</w:t>
      </w:r>
      <w:r>
        <w:rPr>
          <w:rFonts w:ascii="Times New Roman" w:hAnsi="Times New Roman" w:cs="Times New Roman" w:eastAsia="Times New Roman" w:hint="ascii"/>
          <w:sz w:val="21"/>
          <w:spacing w:val="-2"/>
        </w:rPr>
        <w:t>N</w:t>
      </w:r>
      <w:r>
        <w:rPr>
          <w:rFonts w:ascii="Times New Roman" w:hAnsi="Times New Roman" w:cs="Times New Roman" w:eastAsia="Times New Roman" w:hint="ascii"/>
          <w:sz w:val="21"/>
        </w:rPr>
        <w:t>SF</w:t>
      </w:r>
      <w:r>
        <w:rPr>
          <w:rFonts w:ascii="宋体" w:hAnsi="宋体" w:cs="宋体" w:eastAsia="宋体" w:hint="ascii"/>
          <w:sz w:val="21"/>
        </w:rPr>
        <w:t>）联合资助合作研</w:t>
      </w:r>
      <w:r>
        <w:rPr>
          <w:rFonts w:ascii="宋体" w:hAnsi="宋体" w:cs="宋体" w:eastAsia="宋体" w:hint="ascii"/>
          <w:sz w:val="21"/>
          <w:spacing w:val="-2"/>
        </w:rPr>
        <w:t>究</w:t>
      </w:r>
      <w:r>
        <w:rPr>
          <w:rFonts w:ascii="宋体" w:hAnsi="宋体" w:cs="宋体" w:eastAsia="宋体" w:hint="ascii"/>
          <w:sz w:val="21"/>
        </w:rPr>
        <w:t>项目和学术会议项目。</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2" w:after="0" w:lineRule="exact" w:line="320"/>
        <w:ind w:right="975" w:left="861" w:firstLine="524"/>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2"/>
        </w:rPr>
        <w:t>年度有关申请事宜请关注自然科学基金委网站“通知通告”栏</w:t>
      </w:r>
      <w:r>
        <w:rPr>
          <w:rFonts w:ascii="宋体" w:hAnsi="宋体" w:cs="宋体" w:eastAsia="宋体" w:hint="ascii"/>
          <w:sz w:val="21"/>
          <w:spacing w:val="1"/>
        </w:rPr>
        <w:t>目中发布</w:t>
      </w:r>
      <w:r>
        <w:rPr>
          <w:rFonts w:ascii="宋体" w:hAnsi="宋体" w:cs="宋体" w:eastAsia="宋体" w:hint="ascii"/>
          <w:sz w:val="21"/>
          <w:spacing w:val="-7"/>
        </w:rPr>
        <w:t>的</w:t>
      </w: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3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其他合作渠道</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自然科学基金委与埃及科技研究院（</w:t>
      </w:r>
      <w:r>
        <w:rPr>
          <w:rFonts w:ascii="Times New Roman" w:hAnsi="Times New Roman" w:cs="Times New Roman" w:eastAsia="Times New Roman" w:hint="ascii"/>
          <w:sz w:val="21"/>
        </w:rPr>
        <w:t>AS</w:t>
      </w:r>
      <w:r>
        <w:rPr>
          <w:rFonts w:ascii="Times New Roman" w:hAnsi="Times New Roman" w:cs="Times New Roman" w:eastAsia="Times New Roman" w:hint="ascii"/>
          <w:sz w:val="21"/>
          <w:spacing w:val="-13"/>
        </w:rPr>
        <w:t>R</w:t>
      </w:r>
      <w:r>
        <w:rPr>
          <w:rFonts w:ascii="Times New Roman" w:hAnsi="Times New Roman" w:cs="Times New Roman" w:eastAsia="Times New Roman" w:hint="ascii"/>
          <w:sz w:val="21"/>
        </w:rPr>
        <w:t>T</w:t>
      </w:r>
      <w:r>
        <w:rPr>
          <w:rFonts w:ascii="宋体" w:hAnsi="宋体" w:cs="宋体" w:eastAsia="宋体" w:hint="ascii"/>
          <w:sz w:val="21"/>
          <w:spacing w:val="-50"/>
        </w:rPr>
        <w:t>）</w:t>
      </w:r>
      <w:r>
        <w:rPr>
          <w:rFonts w:ascii="宋体" w:hAnsi="宋体" w:cs="宋体" w:eastAsia="宋体" w:hint="ascii"/>
          <w:sz w:val="21"/>
        </w:rPr>
        <w:t>、印度科学技术部（</w:t>
      </w:r>
      <w:r>
        <w:rPr>
          <w:rFonts w:ascii="Times New Roman" w:hAnsi="Times New Roman" w:cs="Times New Roman" w:eastAsia="Times New Roman" w:hint="ascii"/>
          <w:sz w:val="21"/>
        </w:rPr>
        <w:t>DST</w:t>
      </w:r>
      <w:r>
        <w:rPr>
          <w:rFonts w:ascii="宋体" w:hAnsi="宋体" w:cs="宋体" w:eastAsia="宋体" w:hint="ascii"/>
          <w:sz w:val="21"/>
          <w:spacing w:val="-50"/>
        </w:rPr>
        <w:t>）</w:t>
      </w:r>
      <w:r>
        <w:rPr>
          <w:rFonts w:ascii="宋体" w:hAnsi="宋体" w:cs="宋体" w:eastAsia="宋体" w:hint="ascii"/>
          <w:sz w:val="21"/>
        </w:rPr>
        <w:t>、印度科学</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rPr>
        <w:t>与工业研究理事会（</w:t>
      </w:r>
      <w:r>
        <w:rPr>
          <w:rFonts w:ascii="Times New Roman" w:hAnsi="Times New Roman" w:cs="Times New Roman" w:eastAsia="Times New Roman" w:hint="ascii"/>
          <w:sz w:val="21"/>
        </w:rPr>
        <w:t>CSIR</w:t>
      </w:r>
      <w:r>
        <w:rPr>
          <w:rFonts w:ascii="宋体" w:hAnsi="宋体" w:cs="宋体" w:eastAsia="宋体" w:hint="ascii"/>
          <w:sz w:val="21"/>
          <w:spacing w:val="-52"/>
        </w:rPr>
        <w:t>）</w:t>
      </w:r>
      <w:r>
        <w:rPr>
          <w:rFonts w:ascii="宋体" w:hAnsi="宋体" w:cs="宋体" w:eastAsia="宋体" w:hint="ascii"/>
          <w:sz w:val="21"/>
        </w:rPr>
        <w:t>、伊朗国家科学基金会（</w:t>
      </w:r>
      <w:r>
        <w:rPr>
          <w:rFonts w:ascii="Times New Roman" w:hAnsi="Times New Roman" w:cs="Times New Roman" w:eastAsia="Times New Roman" w:hint="ascii"/>
          <w:sz w:val="21"/>
        </w:rPr>
        <w:t>INSF</w:t>
      </w:r>
      <w:r>
        <w:rPr>
          <w:rFonts w:ascii="宋体" w:hAnsi="宋体" w:cs="宋体" w:eastAsia="宋体" w:hint="ascii"/>
          <w:sz w:val="21"/>
          <w:spacing w:val="-52"/>
        </w:rPr>
        <w:t>）</w:t>
      </w:r>
      <w:r>
        <w:rPr>
          <w:rFonts w:ascii="宋体" w:hAnsi="宋体" w:cs="宋体" w:eastAsia="宋体" w:hint="ascii"/>
          <w:sz w:val="21"/>
        </w:rPr>
        <w:t>、蒙古国国家科技基金委员会（</w:t>
      </w:r>
      <w:r>
        <w:rPr>
          <w:rFonts w:ascii="Times New Roman" w:hAnsi="Times New Roman" w:cs="Times New Roman" w:eastAsia="Times New Roman" w:hint="ascii"/>
          <w:sz w:val="21"/>
        </w:rPr>
        <w:t>MFST</w:t>
      </w:r>
      <w:r>
        <w:rPr>
          <w:rFonts w:ascii="宋体" w:hAnsi="宋体" w:cs="宋体" w:eastAsia="宋体" w:hint="ascii"/>
          <w:sz w:val="21"/>
        </w:rPr>
        <w:t>）等资助机构签署了双边合作协议，联合资助双方科学家开展的合作交流项目及共同组织的双边学术研讨会，具体项目根据科学家的申请由双方协商确定。</w:t>
      </w:r>
    </w:p>
    <w:p>
      <w:pPr>
        <w:autoSpaceDE w:val="0"/>
        <w:autoSpaceDN w:val="0"/>
        <w:jc w:val="left"/>
        <w:spacing w:before="270"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国际科学组织</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欧洲核子研究中心（</w:t>
      </w:r>
      <w:r>
        <w:rPr>
          <w:rFonts w:ascii="Times New Roman" w:hAnsi="Times New Roman" w:cs="Times New Roman" w:eastAsia="Times New Roman" w:hint="ascii"/>
          <w:b w:val="1"/>
          <w:sz w:val="21"/>
        </w:rPr>
        <w:t>CERN</w:t>
      </w:r>
      <w:r>
        <w:rPr>
          <w:rFonts w:ascii="宋体" w:hAnsi="宋体" w:cs="宋体" w:eastAsia="宋体" w:hint="ascii"/>
          <w:sz w:val="21"/>
        </w:rPr>
        <w:t>）</w:t>
      </w:r>
    </w:p>
    <w:p>
      <w:pPr>
        <w:autoSpaceDE w:val="0"/>
        <w:autoSpaceDN w:val="0"/>
        <w:jc w:val="both"/>
        <w:spacing w:before="10" w:after="0" w:lineRule="exact" w:line="312"/>
        <w:ind w:right="975"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根据与欧</w:t>
      </w:r>
      <w:r>
        <w:rPr>
          <w:rFonts w:ascii="宋体" w:hAnsi="宋体" w:cs="宋体" w:eastAsia="宋体" w:hint="ascii"/>
          <w:sz w:val="21"/>
        </w:rPr>
        <w:t>洲核子研究中心的合作协议，自然科学基金委与科技部、中国科学院共同资助中国科学家参</w:t>
      </w:r>
      <w:r>
        <w:rPr>
          <w:rFonts w:ascii="宋体" w:hAnsi="宋体" w:cs="宋体" w:eastAsia="宋体" w:hint="ascii"/>
          <w:sz w:val="21"/>
          <w:spacing w:val="26"/>
        </w:rPr>
        <w:t>与</w:t>
      </w:r>
      <w:r>
        <w:rPr>
          <w:rFonts w:ascii="Times New Roman" w:hAnsi="Times New Roman" w:cs="Times New Roman" w:eastAsia="Times New Roman" w:hint="ascii"/>
          <w:sz w:val="21"/>
        </w:rPr>
        <w:t>CER</w:t>
      </w:r>
      <w:r>
        <w:rPr>
          <w:rFonts w:ascii="Times New Roman" w:hAnsi="Times New Roman" w:cs="Times New Roman" w:eastAsia="Times New Roman" w:hint="ascii"/>
          <w:sz w:val="21"/>
          <w:spacing w:val="52"/>
        </w:rPr>
        <w:t>N</w:t>
      </w:r>
      <w:r>
        <w:rPr>
          <w:rFonts w:ascii="宋体" w:hAnsi="宋体" w:cs="宋体" w:eastAsia="宋体" w:hint="ascii"/>
          <w:sz w:val="21"/>
        </w:rPr>
        <w:t>大型强子对撞机（</w:t>
      </w:r>
      <w:r>
        <w:rPr>
          <w:rFonts w:ascii="Times New Roman" w:hAnsi="Times New Roman" w:cs="Times New Roman" w:eastAsia="Times New Roman" w:hint="ascii"/>
          <w:sz w:val="21"/>
        </w:rPr>
        <w:t>LHC</w:t>
      </w:r>
      <w:r>
        <w:rPr>
          <w:rFonts w:ascii="宋体" w:hAnsi="宋体" w:cs="宋体" w:eastAsia="宋体" w:hint="ascii"/>
          <w:sz w:val="21"/>
        </w:rPr>
        <w:t>）实验的国际合作研究项目。</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国际理论物理中心（</w:t>
      </w:r>
      <w:r>
        <w:rPr>
          <w:rFonts w:ascii="Times New Roman" w:hAnsi="Times New Roman" w:cs="Times New Roman" w:eastAsia="Times New Roman" w:hint="ascii"/>
          <w:b w:val="1"/>
          <w:sz w:val="21"/>
        </w:rPr>
        <w:t>ICTP</w:t>
      </w:r>
      <w:r>
        <w:rPr>
          <w:rFonts w:ascii="宋体" w:hAnsi="宋体" w:cs="宋体" w:eastAsia="宋体" w:hint="ascii"/>
          <w:sz w:val="21"/>
        </w:rPr>
        <w:t>）</w:t>
      </w:r>
    </w:p>
    <w:p>
      <w:pPr>
        <w:autoSpaceDE w:val="0"/>
        <w:autoSpaceDN w:val="0"/>
        <w:jc w:val="both"/>
        <w:spacing w:before="10" w:after="0" w:lineRule="exact" w:line="312"/>
        <w:ind w:right="975"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根据双方</w:t>
      </w:r>
      <w:r>
        <w:rPr>
          <w:rFonts w:ascii="宋体" w:hAnsi="宋体" w:cs="宋体" w:eastAsia="宋体" w:hint="ascii"/>
          <w:sz w:val="21"/>
        </w:rPr>
        <w:t xml:space="preserve">协议，自然科学基金委每年选送约 </w:t>
      </w:r>
      <w:r>
        <w:rPr>
          <w:rFonts w:ascii="Times New Roman" w:hAnsi="Times New Roman" w:cs="Times New Roman" w:eastAsia="Times New Roman" w:hint="ascii"/>
          <w:sz w:val="21"/>
        </w:rPr>
        <w:t xml:space="preserve">50 </w:t>
      </w:r>
      <w:r>
        <w:rPr>
          <w:rFonts w:ascii="宋体" w:hAnsi="宋体" w:cs="宋体" w:eastAsia="宋体" w:hint="ascii"/>
          <w:sz w:val="21"/>
        </w:rPr>
        <w:t>名数学、物理和地球科学领域的青年学者</w:t>
      </w:r>
      <w:r>
        <w:rPr>
          <w:rFonts w:ascii="宋体" w:hAnsi="宋体" w:cs="宋体" w:eastAsia="宋体" w:hint="ascii"/>
          <w:sz w:val="21"/>
          <w:spacing w:val="27"/>
        </w:rPr>
        <w:t>到</w:t>
      </w:r>
      <w:r>
        <w:rPr>
          <w:rFonts w:ascii="Times New Roman" w:hAnsi="Times New Roman" w:cs="Times New Roman" w:eastAsia="Times New Roman" w:hint="ascii"/>
          <w:sz w:val="21"/>
        </w:rPr>
        <w:t>ICT</w:t>
      </w:r>
      <w:r>
        <w:rPr>
          <w:rFonts w:ascii="Times New Roman" w:hAnsi="Times New Roman" w:cs="Times New Roman" w:eastAsia="Times New Roman" w:hint="ascii"/>
          <w:sz w:val="21"/>
          <w:spacing w:val="52"/>
        </w:rPr>
        <w:t>P</w:t>
      </w:r>
      <w:r>
        <w:rPr>
          <w:rFonts w:ascii="宋体" w:hAnsi="宋体" w:cs="宋体" w:eastAsia="宋体" w:hint="ascii"/>
          <w:sz w:val="21"/>
        </w:rPr>
        <w:t>参加暑期研讨班、进行短期合作研究等活动。</w:t>
      </w:r>
    </w:p>
    <w:p>
      <w:pPr>
        <w:autoSpaceDE w:val="0"/>
        <w:autoSpaceDN w:val="0"/>
        <w:jc w:val="both"/>
        <w:spacing w:before="0" w:after="0" w:lineRule="exact" w:line="312"/>
        <w:ind w:right="975"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自然科学基金委每年</w:t>
      </w:r>
      <w:r>
        <w:rPr>
          <w:rFonts w:ascii="宋体" w:hAnsi="宋体" w:cs="宋体" w:eastAsia="宋体" w:hint="ascii"/>
          <w:sz w:val="21"/>
          <w:spacing w:val="-3"/>
        </w:rPr>
        <w:t>于</w:t>
      </w:r>
      <w:r>
        <w:rPr>
          <w:rFonts w:ascii="宋体" w:hAnsi="宋体" w:cs="宋体" w:eastAsia="宋体" w:hint="ascii"/>
          <w:sz w:val="21"/>
        </w:rPr>
        <w:t xml:space="preserve">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 xml:space="preserve">1 </w:t>
      </w:r>
      <w:r>
        <w:rPr>
          <w:rFonts w:ascii="宋体" w:hAnsi="宋体" w:cs="宋体" w:eastAsia="宋体" w:hint="ascii"/>
          <w:sz w:val="21"/>
        </w:rPr>
        <w:t>月发布《组织间国际（地区）合作研究与交流项目</w:t>
      </w:r>
      <w:r>
        <w:rPr>
          <w:rFonts w:ascii="宋体" w:hAnsi="宋体" w:cs="宋体" w:eastAsia="宋体" w:hint="ascii"/>
          <w:sz w:val="21"/>
          <w:spacing w:val="-6"/>
        </w:rPr>
        <w:t>指</w:t>
      </w:r>
      <w:r>
        <w:rPr>
          <w:rFonts w:ascii="宋体" w:hAnsi="宋体" w:cs="宋体" w:eastAsia="宋体" w:hint="ascii"/>
          <w:sz w:val="21"/>
        </w:rPr>
        <w:t xml:space="preserve"> </w:t>
      </w:r>
      <w:r>
        <w:rPr>
          <w:rFonts w:ascii="宋体" w:hAnsi="宋体" w:cs="宋体" w:eastAsia="宋体" w:hint="ascii"/>
          <w:sz w:val="21"/>
          <w:spacing w:val="-2"/>
        </w:rPr>
        <w:t>南</w:t>
      </w:r>
      <w:r>
        <w:rPr>
          <w:rFonts w:ascii="宋体" w:hAnsi="宋体" w:cs="宋体" w:eastAsia="宋体" w:hint="ascii"/>
          <w:sz w:val="21"/>
          <w:spacing w:val="-54"/>
        </w:rPr>
        <w:t>》</w:t>
      </w:r>
      <w:r>
        <w:rPr>
          <w:rFonts w:ascii="宋体" w:hAnsi="宋体" w:cs="宋体" w:eastAsia="宋体" w:hint="ascii"/>
          <w:sz w:val="21"/>
          <w:spacing w:val="-2"/>
        </w:rPr>
        <w:t>，征集赴</w:t>
      </w:r>
      <w:r>
        <w:rPr>
          <w:rFonts w:ascii="宋体" w:hAnsi="宋体" w:cs="宋体" w:eastAsia="宋体" w:hint="ascii"/>
          <w:sz w:val="21"/>
          <w:spacing w:val="-13"/>
        </w:rPr>
        <w:t xml:space="preserve"> </w:t>
      </w:r>
      <w:r>
        <w:rPr>
          <w:rFonts w:ascii="Times New Roman" w:hAnsi="Times New Roman" w:cs="Times New Roman" w:eastAsia="Times New Roman" w:hint="ascii"/>
          <w:sz w:val="21"/>
          <w:spacing w:val="-2"/>
        </w:rPr>
        <w:t>ICTP</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2"/>
        </w:rPr>
        <w:t>进行短期学术访问</w:t>
      </w:r>
      <w:r>
        <w:rPr>
          <w:rFonts w:ascii="宋体" w:hAnsi="宋体" w:cs="宋体" w:eastAsia="宋体" w:hint="ascii"/>
          <w:sz w:val="21"/>
          <w:spacing w:val="-1"/>
        </w:rPr>
        <w:t>活动的候选人，经有关专家遴选后推荐给</w:t>
      </w:r>
      <w:r>
        <w:rPr>
          <w:rFonts w:ascii="宋体" w:hAnsi="宋体" w:cs="宋体" w:eastAsia="宋体" w:hint="ascii"/>
          <w:sz w:val="21"/>
          <w:spacing w:val="-12"/>
        </w:rPr>
        <w:t xml:space="preserve"> </w:t>
      </w:r>
      <w:r>
        <w:rPr>
          <w:rFonts w:ascii="Times New Roman" w:hAnsi="Times New Roman" w:cs="Times New Roman" w:eastAsia="Times New Roman" w:hint="ascii"/>
          <w:sz w:val="21"/>
          <w:spacing w:val="-1"/>
        </w:rPr>
        <w:t>ICTP</w:t>
      </w:r>
      <w:r>
        <w:rPr>
          <w:rFonts w:ascii="宋体" w:hAnsi="宋体" w:cs="宋体" w:eastAsia="宋体" w:hint="ascii"/>
          <w:sz w:val="21"/>
          <w:spacing w:val="-1"/>
        </w:rPr>
        <w:t>。</w:t>
      </w:r>
      <w:r>
        <w:rPr>
          <w:rFonts w:ascii="宋体" w:hAnsi="宋体" w:cs="宋体" w:eastAsia="宋体" w:hint="ascii"/>
          <w:sz w:val="21"/>
        </w:rPr>
        <w:t xml:space="preserve"> 被推荐人需按</w:t>
      </w:r>
      <w:r>
        <w:rPr>
          <w:rFonts w:ascii="宋体" w:hAnsi="宋体" w:cs="宋体" w:eastAsia="宋体" w:hint="ascii"/>
          <w:sz w:val="21"/>
          <w:spacing w:val="27"/>
        </w:rPr>
        <w:t>照</w:t>
      </w:r>
      <w:r>
        <w:rPr>
          <w:rFonts w:ascii="Times New Roman" w:hAnsi="Times New Roman" w:cs="Times New Roman" w:eastAsia="Times New Roman" w:hint="ascii"/>
          <w:sz w:val="21"/>
        </w:rPr>
        <w:t>ICT</w:t>
      </w:r>
      <w:r>
        <w:rPr>
          <w:rFonts w:ascii="Times New Roman" w:hAnsi="Times New Roman" w:cs="Times New Roman" w:eastAsia="Times New Roman" w:hint="ascii"/>
          <w:sz w:val="21"/>
          <w:spacing w:val="51"/>
        </w:rPr>
        <w:t>P</w:t>
      </w:r>
      <w:r>
        <w:rPr>
          <w:rFonts w:ascii="宋体" w:hAnsi="宋体" w:cs="宋体" w:eastAsia="宋体" w:hint="ascii"/>
          <w:sz w:val="21"/>
        </w:rPr>
        <w:t>相关活动的具体要求</w:t>
      </w:r>
      <w:r>
        <w:rPr>
          <w:rFonts w:ascii="宋体" w:hAnsi="宋体" w:cs="宋体" w:eastAsia="宋体" w:hint="ascii"/>
          <w:sz w:val="21"/>
          <w:spacing w:val="27"/>
        </w:rPr>
        <w:t>向</w:t>
      </w:r>
      <w:r>
        <w:rPr>
          <w:rFonts w:ascii="Times New Roman" w:hAnsi="Times New Roman" w:cs="Times New Roman" w:eastAsia="Times New Roman" w:hint="ascii"/>
          <w:sz w:val="21"/>
        </w:rPr>
        <w:t>ICT</w:t>
      </w:r>
      <w:r>
        <w:rPr>
          <w:rFonts w:ascii="Times New Roman" w:hAnsi="Times New Roman" w:cs="Times New Roman" w:eastAsia="Times New Roman" w:hint="ascii"/>
          <w:sz w:val="21"/>
          <w:spacing w:val="52"/>
        </w:rPr>
        <w:t>P</w:t>
      </w:r>
      <w:r>
        <w:rPr>
          <w:rFonts w:ascii="宋体" w:hAnsi="宋体" w:cs="宋体" w:eastAsia="宋体" w:hint="ascii"/>
          <w:sz w:val="21"/>
        </w:rPr>
        <w:t>提交申请。</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国际应用系统分析学会（</w:t>
      </w:r>
      <w:r>
        <w:rPr>
          <w:rFonts w:ascii="Times New Roman" w:hAnsi="Times New Roman" w:cs="Times New Roman" w:eastAsia="Times New Roman" w:hint="ascii"/>
          <w:b w:val="1"/>
          <w:sz w:val="21"/>
        </w:rPr>
        <w:t>IIASA</w:t>
      </w:r>
      <w:r>
        <w:rPr>
          <w:rFonts w:ascii="宋体" w:hAnsi="宋体" w:cs="宋体" w:eastAsia="宋体" w:hint="ascii"/>
          <w:sz w:val="21"/>
        </w:rPr>
        <w:t>）</w:t>
      </w:r>
    </w:p>
    <w:p>
      <w:pPr>
        <w:autoSpaceDE w:val="0"/>
        <w:autoSpaceDN w:val="0"/>
        <w:jc w:val="both"/>
        <w:spacing w:before="10" w:after="0" w:lineRule="exact" w:line="312"/>
        <w:ind w:right="975"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 xml:space="preserve">自然科学基金委鼓励中国科研人员与 </w:t>
      </w:r>
      <w:r>
        <w:rPr>
          <w:rFonts w:ascii="Times New Roman" w:hAnsi="Times New Roman" w:cs="Times New Roman" w:eastAsia="Times New Roman" w:hint="ascii"/>
          <w:sz w:val="21"/>
          <w:spacing w:val="-1"/>
        </w:rPr>
        <w:t xml:space="preserve">IIASA </w:t>
      </w:r>
      <w:r>
        <w:rPr>
          <w:rFonts w:ascii="宋体" w:hAnsi="宋体" w:cs="宋体" w:eastAsia="宋体" w:hint="ascii"/>
          <w:sz w:val="21"/>
          <w:spacing w:val="-1"/>
        </w:rPr>
        <w:t>各</w:t>
      </w:r>
      <w:r>
        <w:rPr>
          <w:rFonts w:ascii="宋体" w:hAnsi="宋体" w:cs="宋体" w:eastAsia="宋体" w:hint="ascii"/>
          <w:sz w:val="21"/>
        </w:rPr>
        <w:t xml:space="preserve">项目组开展在能源、环境、土地利 </w:t>
      </w:r>
      <w:r>
        <w:rPr>
          <w:rFonts w:ascii="宋体" w:hAnsi="宋体" w:cs="宋体" w:eastAsia="宋体" w:hint="ascii"/>
          <w:sz w:val="21"/>
          <w:spacing w:val="-1"/>
        </w:rPr>
        <w:t>用、水科</w:t>
      </w:r>
      <w:r>
        <w:rPr>
          <w:rFonts w:ascii="宋体" w:hAnsi="宋体" w:cs="宋体" w:eastAsia="宋体" w:hint="ascii"/>
          <w:sz w:val="21"/>
        </w:rPr>
        <w:t>学、人口等研究领域的多边合作，联合申请来自各国政府机构、私人基金会、国家科学基金会、世界银行、欧盟框架计划等机构和组织的研究资金。</w:t>
      </w:r>
    </w:p>
    <w:p>
      <w:pPr>
        <w:autoSpaceDE w:val="0"/>
        <w:autoSpaceDN w:val="0"/>
        <w:jc w:val="left"/>
        <w:spacing w:before="40"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自然科学基金委每年全额资助</w:t>
      </w:r>
      <w:r>
        <w:rPr>
          <w:rFonts w:ascii="宋体" w:hAnsi="宋体" w:cs="宋体" w:eastAsia="宋体" w:hint="ascii"/>
          <w:sz w:val="21"/>
          <w:spacing w:val="-21"/>
        </w:rPr>
        <w:t xml:space="preserve"> </w:t>
      </w:r>
      <w:r>
        <w:rPr>
          <w:rFonts w:ascii="Times New Roman" w:hAnsi="Times New Roman" w:cs="Times New Roman" w:eastAsia="Times New Roman" w:hint="ascii"/>
          <w:sz w:val="21"/>
        </w:rPr>
        <w:t>5</w:t>
      </w:r>
      <w:r>
        <w:rPr>
          <w:rFonts w:ascii="宋体" w:hAnsi="宋体" w:cs="宋体" w:eastAsia="宋体" w:hint="ascii"/>
          <w:sz w:val="21"/>
        </w:rPr>
        <w:t>～</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21"/>
        </w:rPr>
        <w:t xml:space="preserve"> </w:t>
      </w:r>
      <w:r>
        <w:rPr>
          <w:rFonts w:ascii="宋体" w:hAnsi="宋体" w:cs="宋体" w:eastAsia="宋体" w:hint="ascii"/>
          <w:sz w:val="21"/>
        </w:rPr>
        <w:t>位青年学者参加</w:t>
      </w:r>
      <w:r>
        <w:rPr>
          <w:rFonts w:ascii="宋体" w:hAnsi="宋体" w:cs="宋体" w:eastAsia="宋体" w:hint="ascii"/>
          <w:sz w:val="21"/>
          <w:spacing w:val="-21"/>
        </w:rPr>
        <w:t xml:space="preserve"> </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1"/>
        </w:rPr>
        <w:t xml:space="preserve"> </w:t>
      </w:r>
      <w:r>
        <w:rPr>
          <w:rFonts w:ascii="宋体" w:hAnsi="宋体" w:cs="宋体" w:eastAsia="宋体" w:hint="ascii"/>
          <w:sz w:val="21"/>
        </w:rPr>
        <w:t>月在维也纳举办的为期</w:t>
      </w:r>
      <w:r>
        <w:rPr>
          <w:rFonts w:ascii="宋体" w:hAnsi="宋体" w:cs="宋体" w:eastAsia="宋体" w:hint="ascii"/>
          <w:sz w:val="21"/>
          <w:spacing w:val="-21"/>
        </w:rPr>
        <w:t xml:space="preserve"> </w:t>
      </w:r>
      <w:r>
        <w:rPr>
          <w:rFonts w:ascii="Times New Roman" w:hAnsi="Times New Roman" w:cs="Times New Roman" w:eastAsia="Times New Roman" w:hint="ascii"/>
          <w:sz w:val="21"/>
        </w:rPr>
        <w:t>3</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个月的</w:t>
      </w:r>
      <w:r>
        <w:rPr>
          <w:rFonts w:ascii="宋体" w:hAnsi="宋体" w:cs="宋体" w:eastAsia="宋体" w:hint="ascii"/>
          <w:sz w:val="21"/>
          <w:spacing w:val="-8"/>
        </w:rPr>
        <w:t xml:space="preserve"> </w:t>
      </w:r>
      <w:r>
        <w:rPr>
          <w:rFonts w:ascii="Times New Roman" w:hAnsi="Times New Roman" w:cs="Times New Roman" w:eastAsia="Times New Roman" w:hint="ascii"/>
          <w:sz w:val="21"/>
          <w:spacing w:val="-1"/>
        </w:rPr>
        <w:t>IIAS</w:t>
      </w:r>
      <w:r>
        <w:rPr>
          <w:rFonts w:ascii="Times New Roman" w:hAnsi="Times New Roman" w:cs="Times New Roman" w:eastAsia="Times New Roman" w:hint="ascii"/>
          <w:sz w:val="21"/>
        </w:rPr>
        <w:t>A</w:t>
      </w:r>
      <w:r>
        <w:rPr>
          <w:rFonts w:ascii="宋体" w:hAnsi="宋体" w:cs="宋体" w:eastAsia="宋体" w:hint="ascii"/>
          <w:sz w:val="21"/>
        </w:rPr>
        <w:t>“青年学者暑期项目</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YSSP</w:t>
      </w:r>
      <w:r>
        <w:rPr>
          <w:rFonts w:ascii="宋体" w:hAnsi="宋体" w:cs="宋体" w:eastAsia="宋体" w:hint="ascii"/>
          <w:sz w:val="21"/>
          <w:spacing w:val="-52"/>
        </w:rPr>
        <w:t>）</w:t>
      </w:r>
      <w:r>
        <w:rPr>
          <w:rFonts w:ascii="宋体" w:hAnsi="宋体" w:cs="宋体" w:eastAsia="宋体" w:hint="ascii"/>
          <w:sz w:val="21"/>
        </w:rPr>
        <w:t>，有关信息和申请表格可在</w:t>
      </w:r>
      <w:r>
        <w:rPr>
          <w:rFonts w:ascii="宋体" w:hAnsi="宋体" w:cs="宋体" w:eastAsia="宋体" w:hint="ascii"/>
          <w:sz w:val="21"/>
          <w:spacing w:val="-7"/>
        </w:rPr>
        <w:t xml:space="preserve"> </w:t>
      </w:r>
      <w:r>
        <w:rPr>
          <w:rFonts w:ascii="Times New Roman" w:hAnsi="Times New Roman" w:cs="Times New Roman" w:eastAsia="Times New Roman" w:hint="ascii"/>
          <w:sz w:val="21"/>
        </w:rPr>
        <w:t>IIASA</w:t>
      </w:r>
      <w:r>
        <w:rPr>
          <w:rFonts w:ascii="Times New Roman" w:hAnsi="Times New Roman" w:cs="Times New Roman" w:eastAsia="Times New Roman" w:hint="ascii"/>
          <w:sz w:val="21"/>
          <w:spacing w:val="-8"/>
        </w:rPr>
        <w:t xml:space="preserve"> </w:t>
      </w:r>
      <w:r>
        <w:rPr>
          <w:rFonts w:ascii="宋体" w:hAnsi="宋体" w:cs="宋体" w:eastAsia="宋体" w:hint="ascii"/>
          <w:sz w:val="21"/>
        </w:rPr>
        <w:t>的网站下载（网址：</w:t>
      </w:r>
      <w:r>
        <w:rPr>
          <w:rFonts w:ascii="Times New Roman" w:hAnsi="Times New Roman" w:cs="Times New Roman" w:eastAsia="Times New Roman" w:hint="ascii"/>
          <w:sz w:val="21"/>
        </w:rPr>
        <w:t>http://www</w:t>
      </w:r>
      <w:r>
        <w:rPr>
          <w:rFonts w:ascii="MingLiU_HKSCS" w:hAnsi="MingLiU_HKSCS" w:cs="MingLiU_HKSCS" w:eastAsia="MingLiU_HKSCS" w:hint="ascii"/>
          <w:sz w:val="21"/>
        </w:rPr>
        <w:t>.</w:t>
      </w:r>
      <w:r>
        <w:rPr>
          <w:rFonts w:ascii="Times New Roman" w:hAnsi="Times New Roman" w:cs="Times New Roman" w:eastAsia="Times New Roman" w:hint="ascii"/>
          <w:sz w:val="21"/>
        </w:rPr>
        <w:t>iiasa</w:t>
      </w:r>
      <w:r>
        <w:rPr>
          <w:rFonts w:ascii="MingLiU_HKSCS" w:hAnsi="MingLiU_HKSCS" w:cs="MingLiU_HKSCS" w:eastAsia="MingLiU_HKSCS" w:hint="ascii"/>
          <w:sz w:val="21"/>
        </w:rPr>
        <w:t>.</w:t>
      </w:r>
      <w:r>
        <w:rPr>
          <w:rFonts w:ascii="Times New Roman" w:hAnsi="Times New Roman" w:cs="Times New Roman" w:eastAsia="Times New Roman" w:hint="ascii"/>
          <w:sz w:val="21"/>
        </w:rPr>
        <w:t>ac</w:t>
      </w:r>
      <w:r>
        <w:rPr>
          <w:rFonts w:ascii="MingLiU_HKSCS" w:hAnsi="MingLiU_HKSCS" w:cs="MingLiU_HKSCS" w:eastAsia="MingLiU_HKSCS" w:hint="ascii"/>
          <w:sz w:val="21"/>
        </w:rPr>
        <w:t>.</w:t>
      </w:r>
      <w:r>
        <w:rPr>
          <w:rFonts w:ascii="Times New Roman" w:hAnsi="Times New Roman" w:cs="Times New Roman" w:eastAsia="Times New Roman" w:hint="ascii"/>
          <w:sz w:val="21"/>
        </w:rPr>
        <w:t>at</w:t>
      </w:r>
      <w:r>
        <w:rPr>
          <w:rFonts w:ascii="宋体" w:hAnsi="宋体" w:cs="宋体" w:eastAsia="宋体" w:hint="ascii"/>
          <w:sz w:val="21"/>
          <w:spacing w:val="-52"/>
        </w:rPr>
        <w:t>）</w:t>
      </w:r>
      <w:r>
        <w:rPr>
          <w:rFonts w:ascii="宋体" w:hAnsi="宋体" w:cs="宋体" w:eastAsia="宋体" w:hint="ascii"/>
          <w:sz w:val="21"/>
        </w:rPr>
        <w:t xml:space="preserve">。同时资助中国科学家与 </w:t>
      </w:r>
      <w:r>
        <w:rPr>
          <w:rFonts w:ascii="Times New Roman" w:hAnsi="Times New Roman" w:cs="Times New Roman" w:eastAsia="Times New Roman" w:hint="ascii"/>
          <w:sz w:val="21"/>
        </w:rPr>
        <w:t xml:space="preserve">IIASA </w:t>
      </w:r>
      <w:r>
        <w:rPr>
          <w:rFonts w:ascii="宋体" w:hAnsi="宋体" w:cs="宋体" w:eastAsia="宋体" w:hint="ascii"/>
          <w:sz w:val="21"/>
        </w:rPr>
        <w:t>科学家联合申请的研讨会、合作交流和国际合作研究项目。</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w:t>
      </w:r>
      <w:r>
        <w:rPr>
          <w:rFonts w:ascii="宋体" w:hAnsi="宋体" w:cs="宋体" w:eastAsia="宋体" w:hint="ascii"/>
          <w:sz w:val="21"/>
          <w:spacing w:val="-19"/>
        </w:rPr>
        <w:t xml:space="preserve"> </w:t>
      </w:r>
      <w:r>
        <w:rPr>
          <w:rFonts w:ascii="Times New Roman" w:hAnsi="Times New Roman" w:cs="Times New Roman" w:eastAsia="Times New Roman" w:hint="ascii"/>
          <w:sz w:val="21"/>
        </w:rPr>
        <w:t>IIASA</w:t>
      </w:r>
      <w:r>
        <w:rPr>
          <w:rFonts w:ascii="Times New Roman" w:hAnsi="Times New Roman" w:cs="Times New Roman" w:eastAsia="Times New Roman" w:hint="ascii"/>
          <w:sz w:val="21"/>
          <w:spacing w:val="42"/>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2020</w:t>
      </w:r>
      <w:r>
        <w:rPr>
          <w:rFonts w:ascii="Times New Roman" w:hAnsi="Times New Roman" w:cs="Times New Roman" w:eastAsia="Times New Roman" w:hint="ascii"/>
          <w:sz w:val="21"/>
          <w:spacing w:val="-20"/>
        </w:rPr>
        <w:t xml:space="preserve"> </w:t>
      </w:r>
      <w:r>
        <w:rPr>
          <w:rFonts w:ascii="宋体" w:hAnsi="宋体" w:cs="宋体" w:eastAsia="宋体" w:hint="ascii"/>
          <w:sz w:val="21"/>
        </w:rPr>
        <w:t>十年战略规划，鼓励中国科学家与</w:t>
      </w:r>
      <w:r>
        <w:rPr>
          <w:rFonts w:ascii="宋体" w:hAnsi="宋体" w:cs="宋体" w:eastAsia="宋体" w:hint="ascii"/>
          <w:sz w:val="21"/>
          <w:spacing w:val="-19"/>
        </w:rPr>
        <w:t xml:space="preserve"> </w:t>
      </w:r>
      <w:r>
        <w:rPr>
          <w:rFonts w:ascii="Times New Roman" w:hAnsi="Times New Roman" w:cs="Times New Roman" w:eastAsia="Times New Roman" w:hint="ascii"/>
          <w:sz w:val="21"/>
        </w:rPr>
        <w:t>IIASA</w:t>
      </w:r>
      <w:r>
        <w:rPr>
          <w:rFonts w:ascii="Times New Roman" w:hAnsi="Times New Roman" w:cs="Times New Roman" w:eastAsia="Times New Roman" w:hint="ascii"/>
          <w:sz w:val="21"/>
          <w:spacing w:val="-20"/>
        </w:rPr>
        <w:t xml:space="preserve"> </w:t>
      </w:r>
      <w:r>
        <w:rPr>
          <w:rFonts w:ascii="宋体" w:hAnsi="宋体" w:cs="宋体" w:eastAsia="宋体" w:hint="ascii"/>
          <w:sz w:val="21"/>
        </w:rPr>
        <w:t>研究人员采用系</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统分析方</w:t>
      </w:r>
      <w:r>
        <w:rPr>
          <w:rFonts w:ascii="宋体" w:hAnsi="宋体" w:cs="宋体" w:eastAsia="宋体" w:hint="ascii"/>
          <w:sz w:val="21"/>
        </w:rPr>
        <w:t>法在粮食和水资源、能源和气候变化、贫困和平等</w:t>
      </w:r>
      <w:r>
        <w:rPr>
          <w:rFonts w:ascii="宋体" w:hAnsi="宋体" w:cs="宋体" w:eastAsia="宋体" w:hint="ascii"/>
          <w:sz w:val="21"/>
          <w:spacing w:val="27"/>
        </w:rPr>
        <w:t>这</w:t>
      </w:r>
      <w:r>
        <w:rPr>
          <w:rFonts w:ascii="Times New Roman" w:hAnsi="Times New Roman" w:cs="Times New Roman" w:eastAsia="Times New Roman" w:hint="ascii"/>
          <w:sz w:val="21"/>
          <w:spacing w:val="52"/>
        </w:rPr>
        <w:t>3</w:t>
      </w:r>
      <w:r>
        <w:rPr>
          <w:rFonts w:ascii="宋体" w:hAnsi="宋体" w:cs="宋体" w:eastAsia="宋体" w:hint="ascii"/>
          <w:sz w:val="21"/>
        </w:rPr>
        <w:t>个全球性议题领域开展科学研究。</w:t>
      </w:r>
    </w:p>
    <w:p>
      <w:pPr>
        <w:autoSpaceDE w:val="0"/>
        <w:autoSpaceDN w:val="0"/>
        <w:jc w:val="left"/>
        <w:spacing w:before="55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both"/>
        <w:spacing w:before="257" w:after="0" w:lineRule="exact" w:line="312"/>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w:t>
      </w:r>
      <w:r>
        <w:rPr>
          <w:rFonts w:ascii="宋体" w:hAnsi="宋体" w:cs="宋体" w:eastAsia="宋体" w:hint="ascii"/>
          <w:sz w:val="21"/>
          <w:spacing w:val="-1"/>
        </w:rPr>
        <w:t>申</w:t>
      </w:r>
      <w:r>
        <w:rPr>
          <w:rFonts w:ascii="宋体" w:hAnsi="宋体" w:cs="宋体" w:eastAsia="宋体" w:hint="ascii"/>
          <w:sz w:val="21"/>
        </w:rPr>
        <w:t>请事宜</w:t>
      </w:r>
      <w:r>
        <w:rPr>
          <w:rFonts w:ascii="宋体" w:hAnsi="宋体" w:cs="宋体" w:eastAsia="宋体" w:hint="ascii"/>
          <w:sz w:val="21"/>
          <w:spacing w:val="-1"/>
        </w:rPr>
        <w:t>请关</w:t>
      </w:r>
      <w:r>
        <w:rPr>
          <w:rFonts w:ascii="宋体" w:hAnsi="宋体" w:cs="宋体" w:eastAsia="宋体" w:hint="ascii"/>
          <w:sz w:val="21"/>
        </w:rPr>
        <w:t>注自然</w:t>
      </w:r>
      <w:r>
        <w:rPr>
          <w:rFonts w:ascii="宋体" w:hAnsi="宋体" w:cs="宋体" w:eastAsia="宋体" w:hint="ascii"/>
          <w:sz w:val="21"/>
          <w:spacing w:val="-1"/>
        </w:rPr>
        <w:t>科学</w:t>
      </w:r>
      <w:r>
        <w:rPr>
          <w:rFonts w:ascii="宋体" w:hAnsi="宋体" w:cs="宋体" w:eastAsia="宋体" w:hint="ascii"/>
          <w:sz w:val="21"/>
        </w:rPr>
        <w:t>基金委</w:t>
      </w:r>
      <w:r>
        <w:rPr>
          <w:rFonts w:ascii="宋体" w:hAnsi="宋体" w:cs="宋体" w:eastAsia="宋体" w:hint="ascii"/>
          <w:sz w:val="21"/>
          <w:spacing w:val="-1"/>
        </w:rPr>
        <w:t>网站</w:t>
      </w:r>
      <w:r>
        <w:rPr>
          <w:rFonts w:ascii="宋体" w:hAnsi="宋体" w:cs="宋体" w:eastAsia="宋体" w:hint="ascii"/>
          <w:sz w:val="21"/>
        </w:rPr>
        <w:t>“通知</w:t>
      </w:r>
      <w:r>
        <w:rPr>
          <w:rFonts w:ascii="宋体" w:hAnsi="宋体" w:cs="宋体" w:eastAsia="宋体" w:hint="ascii"/>
          <w:sz w:val="21"/>
          <w:spacing w:val="-1"/>
        </w:rPr>
        <w:t>通告</w:t>
      </w:r>
      <w:r>
        <w:rPr>
          <w:rFonts w:ascii="宋体" w:hAnsi="宋体" w:cs="宋体" w:eastAsia="宋体" w:hint="ascii"/>
          <w:sz w:val="21"/>
        </w:rPr>
        <w:t>”栏目</w:t>
      </w:r>
      <w:r>
        <w:rPr>
          <w:rFonts w:ascii="宋体" w:hAnsi="宋体" w:cs="宋体" w:eastAsia="宋体" w:hint="ascii"/>
          <w:sz w:val="21"/>
          <w:spacing w:val="-1"/>
        </w:rPr>
        <w:t>中发</w:t>
      </w:r>
      <w:r>
        <w:rPr>
          <w:rFonts w:ascii="宋体" w:hAnsi="宋体" w:cs="宋体" w:eastAsia="宋体" w:hint="ascii"/>
          <w:sz w:val="21"/>
        </w:rPr>
        <w:t>布《组织</w:t>
      </w:r>
      <w:r>
        <w:rPr>
          <w:rFonts w:ascii="宋体" w:hAnsi="宋体" w:cs="宋体" w:eastAsia="宋体" w:hint="ascii"/>
          <w:sz w:val="21"/>
          <w:spacing w:val="-4"/>
        </w:rPr>
        <w:t>间</w:t>
      </w:r>
      <w:r>
        <w:rPr>
          <w:rFonts w:ascii="宋体" w:hAnsi="宋体" w:cs="宋体" w:eastAsia="宋体" w:hint="ascii"/>
          <w:sz w:val="21"/>
        </w:rPr>
        <w:t>国际（地区）合作研究与交流项目指南</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44" locked="0" layoutInCell="1" allowOverlap="1">
                <wp:simplePos x="0" y="0"/>
                <wp:positionH relativeFrom="page">
                  <wp:posOffset>938530</wp:posOffset>
                </wp:positionH>
                <wp:positionV relativeFrom="page">
                  <wp:posOffset>819150</wp:posOffset>
                </wp:positionV>
                <wp:extent cx="5076190" cy="0"/>
                <wp:wrapNone/>
                <wp:docPr id="1273" name="127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08384;width:399.70pt;" id="127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国际农业研究磋商组织（</w:t>
      </w:r>
      <w:r>
        <w:rPr>
          <w:rFonts w:ascii="Times New Roman" w:hAnsi="Times New Roman" w:cs="Times New Roman" w:eastAsia="Times New Roman" w:hint="ascii"/>
          <w:b w:val="1"/>
          <w:sz w:val="21"/>
        </w:rPr>
        <w:t>CGIAR</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自然科学基金委与国际农业研究磋商组织（</w:t>
      </w:r>
      <w:r>
        <w:rPr>
          <w:rFonts w:ascii="Times New Roman" w:hAnsi="Times New Roman" w:cs="Times New Roman" w:eastAsia="Times New Roman" w:hint="ascii"/>
          <w:sz w:val="21"/>
        </w:rPr>
        <w:t>CGIAR</w:t>
      </w:r>
      <w:r>
        <w:rPr>
          <w:rFonts w:ascii="宋体" w:hAnsi="宋体" w:cs="宋体" w:eastAsia="宋体" w:hint="ascii"/>
          <w:sz w:val="21"/>
        </w:rPr>
        <w:t xml:space="preserve">）下属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 xml:space="preserve">1 </w:t>
      </w:r>
      <w:r>
        <w:rPr>
          <w:rFonts w:ascii="宋体" w:hAnsi="宋体" w:cs="宋体" w:eastAsia="宋体" w:hint="ascii"/>
          <w:sz w:val="21"/>
        </w:rPr>
        <w:t>个研究所（中心</w:t>
      </w:r>
      <w:r>
        <w:rPr>
          <w:rFonts w:ascii="宋体" w:hAnsi="宋体" w:cs="宋体" w:eastAsia="宋体" w:hint="ascii"/>
          <w:sz w:val="21"/>
          <w:spacing w:val="-51"/>
        </w:rPr>
        <w:t>）</w:t>
      </w:r>
      <w:r>
        <w:rPr>
          <w:rFonts w:ascii="宋体" w:hAnsi="宋体" w:cs="宋体" w:eastAsia="宋体" w:hint="ascii"/>
          <w:sz w:val="21"/>
        </w:rPr>
        <w:t>，</w:t>
      </w:r>
    </w:p>
    <w:p>
      <w:pPr>
        <w:autoSpaceDE w:val="0"/>
        <w:autoSpaceDN w:val="0"/>
        <w:jc w:val="right"/>
        <w:spacing w:before="10" w:after="0" w:lineRule="exact" w:line="312"/>
        <w:ind w:right="963" w:left="861" w:firstLine="0"/>
        <w:snapToGrid w:val="0"/>
        <w:textAlignment w:val="auto"/>
        <w:tabs/>
        <w:rPr>
          <w:rFonts w:ascii="宋体" w:hAnsi="宋体" w:cs="宋体" w:eastAsia="宋体" w:hint="ascii"/>
          <w:sz w:val="21"/>
        </w:rPr>
      </w:pPr>
      <w:r>
        <w:rPr>
          <w:rFonts w:ascii="宋体" w:hAnsi="宋体" w:cs="宋体" w:eastAsia="宋体" w:hint="ascii"/>
          <w:sz w:val="21"/>
        </w:rPr>
        <w:t>即国际生物多样性中心（</w:t>
      </w:r>
      <w:r>
        <w:rPr>
          <w:rFonts w:ascii="Times New Roman" w:hAnsi="Times New Roman" w:cs="Times New Roman" w:eastAsia="Times New Roman" w:hint="ascii"/>
          <w:sz w:val="21"/>
        </w:rPr>
        <w:t>Bioversity</w:t>
      </w:r>
      <w:r>
        <w:rPr>
          <w:rFonts w:ascii="Times New Roman" w:hAnsi="Times New Roman" w:cs="Times New Roman" w:eastAsia="Times New Roman" w:hint="ascii"/>
          <w:sz w:val="21"/>
          <w:spacing w:val="51"/>
        </w:rPr>
        <w:t xml:space="preserve"> </w:t>
      </w:r>
      <w:r>
        <w:rPr>
          <w:rFonts w:ascii="Times New Roman" w:hAnsi="Times New Roman" w:cs="Times New Roman" w:eastAsia="Times New Roman" w:hint="ascii"/>
          <w:sz w:val="21"/>
        </w:rPr>
        <w:t>International</w:t>
      </w:r>
      <w:r>
        <w:rPr>
          <w:rFonts w:ascii="宋体" w:hAnsi="宋体" w:cs="宋体" w:eastAsia="宋体" w:hint="ascii"/>
          <w:sz w:val="21"/>
          <w:spacing w:val="-52"/>
        </w:rPr>
        <w:t>）</w:t>
      </w:r>
      <w:r>
        <w:rPr>
          <w:rFonts w:ascii="宋体" w:hAnsi="宋体" w:cs="宋体" w:eastAsia="宋体" w:hint="ascii"/>
          <w:sz w:val="21"/>
        </w:rPr>
        <w:t>、国际热带农业中心（</w:t>
      </w:r>
      <w:r>
        <w:rPr>
          <w:rFonts w:ascii="Times New Roman" w:hAnsi="Times New Roman" w:cs="Times New Roman" w:eastAsia="Times New Roman" w:hint="ascii"/>
          <w:sz w:val="21"/>
        </w:rPr>
        <w:t>CI</w:t>
      </w:r>
      <w:r>
        <w:rPr>
          <w:rFonts w:ascii="Times New Roman" w:hAnsi="Times New Roman" w:cs="Times New Roman" w:eastAsia="Times New Roman" w:hint="ascii"/>
          <w:sz w:val="21"/>
          <w:spacing w:val="-23"/>
        </w:rPr>
        <w:t>A</w:t>
      </w:r>
      <w:r>
        <w:rPr>
          <w:rFonts w:ascii="Times New Roman" w:hAnsi="Times New Roman" w:cs="Times New Roman" w:eastAsia="Times New Roman" w:hint="ascii"/>
          <w:sz w:val="21"/>
        </w:rPr>
        <w:t>T</w:t>
      </w:r>
      <w:r>
        <w:rPr>
          <w:rFonts w:ascii="宋体" w:hAnsi="宋体" w:cs="宋体" w:eastAsia="宋体" w:hint="ascii"/>
          <w:sz w:val="21"/>
          <w:spacing w:val="-52"/>
        </w:rPr>
        <w:t>）</w:t>
      </w:r>
      <w:r>
        <w:rPr>
          <w:rFonts w:ascii="宋体" w:hAnsi="宋体" w:cs="宋体" w:eastAsia="宋体" w:hint="ascii"/>
          <w:sz w:val="21"/>
        </w:rPr>
        <w:t>、国际林</w:t>
      </w:r>
      <w:r>
        <w:rPr>
          <w:rFonts w:ascii="宋体" w:hAnsi="宋体" w:cs="宋体" w:eastAsia="宋体" w:hint="ascii"/>
          <w:sz w:val="21"/>
          <w:spacing w:val="14"/>
        </w:rPr>
        <w:t>业研究中心</w:t>
      </w:r>
      <w:r>
        <w:rPr>
          <w:rFonts w:ascii="宋体" w:hAnsi="宋体" w:cs="宋体" w:eastAsia="宋体" w:hint="ascii"/>
          <w:sz w:val="21"/>
          <w:spacing w:val="15"/>
        </w:rPr>
        <w:t>（</w:t>
      </w:r>
      <w:r>
        <w:rPr>
          <w:rFonts w:ascii="Times New Roman" w:hAnsi="Times New Roman" w:cs="Times New Roman" w:eastAsia="Times New Roman" w:hint="ascii"/>
          <w:sz w:val="21"/>
        </w:rPr>
        <w:t>CIFO</w:t>
      </w:r>
      <w:r>
        <w:rPr>
          <w:rFonts w:ascii="Times New Roman" w:hAnsi="Times New Roman" w:cs="Times New Roman" w:eastAsia="Times New Roman" w:hint="ascii"/>
          <w:sz w:val="21"/>
          <w:spacing w:val="28"/>
        </w:rPr>
        <w:t>R</w:t>
      </w:r>
      <w:r>
        <w:rPr>
          <w:rFonts w:ascii="宋体" w:hAnsi="宋体" w:cs="宋体" w:eastAsia="宋体" w:hint="ascii"/>
          <w:sz w:val="21"/>
          <w:spacing w:val="-38"/>
        </w:rPr>
        <w:t>）</w:t>
      </w:r>
      <w:r>
        <w:rPr>
          <w:rFonts w:ascii="宋体" w:hAnsi="宋体" w:cs="宋体" w:eastAsia="宋体" w:hint="ascii"/>
          <w:sz w:val="21"/>
          <w:spacing w:val="14"/>
        </w:rPr>
        <w:t>、国际玉米小麦改良中心（</w:t>
      </w:r>
      <w:r>
        <w:rPr>
          <w:rFonts w:ascii="Times New Roman" w:hAnsi="Times New Roman" w:cs="Times New Roman" w:eastAsia="Times New Roman" w:hint="ascii"/>
          <w:sz w:val="21"/>
        </w:rPr>
        <w:t>CIMMY</w:t>
      </w:r>
      <w:r>
        <w:rPr>
          <w:rFonts w:ascii="Times New Roman" w:hAnsi="Times New Roman" w:cs="Times New Roman" w:eastAsia="Times New Roman" w:hint="ascii"/>
          <w:sz w:val="21"/>
          <w:spacing w:val="29"/>
        </w:rPr>
        <w:t>T</w:t>
      </w:r>
      <w:r>
        <w:rPr>
          <w:rFonts w:ascii="宋体" w:hAnsi="宋体" w:cs="宋体" w:eastAsia="宋体" w:hint="ascii"/>
          <w:sz w:val="21"/>
          <w:spacing w:val="-38"/>
        </w:rPr>
        <w:t>）</w:t>
      </w:r>
      <w:r>
        <w:rPr>
          <w:rFonts w:ascii="宋体" w:hAnsi="宋体" w:cs="宋体" w:eastAsia="宋体" w:hint="ascii"/>
          <w:sz w:val="21"/>
          <w:spacing w:val="14"/>
        </w:rPr>
        <w:t>、国际马铃薯</w:t>
      </w:r>
      <w:r>
        <w:rPr>
          <w:rFonts w:ascii="宋体" w:hAnsi="宋体" w:cs="宋体" w:eastAsia="宋体" w:hint="ascii"/>
          <w:sz w:val="21"/>
          <w:spacing w:val="15"/>
        </w:rPr>
        <w:t>中</w:t>
      </w:r>
      <w:r>
        <w:rPr>
          <w:rFonts w:ascii="宋体" w:hAnsi="宋体" w:cs="宋体" w:eastAsia="宋体" w:hint="ascii"/>
          <w:sz w:val="21"/>
        </w:rPr>
        <w:t>心（</w:t>
      </w:r>
      <w:r>
        <w:rPr>
          <w:rFonts w:ascii="Times New Roman" w:hAnsi="Times New Roman" w:cs="Times New Roman" w:eastAsia="Times New Roman" w:hint="ascii"/>
          <w:sz w:val="21"/>
        </w:rPr>
        <w:t>CIP</w:t>
      </w:r>
      <w:r>
        <w:rPr>
          <w:rFonts w:ascii="宋体" w:hAnsi="宋体" w:cs="宋体" w:eastAsia="宋体" w:hint="ascii"/>
          <w:sz w:val="21"/>
          <w:spacing w:val="-50"/>
        </w:rPr>
        <w:t>）</w:t>
      </w:r>
      <w:r>
        <w:rPr>
          <w:rFonts w:ascii="宋体" w:hAnsi="宋体" w:cs="宋体" w:eastAsia="宋体" w:hint="ascii"/>
          <w:sz w:val="21"/>
        </w:rPr>
        <w:t>、国际干旱地区农业研究中心</w:t>
      </w:r>
      <w:r>
        <w:rPr>
          <w:rFonts w:ascii="宋体" w:hAnsi="宋体" w:cs="宋体" w:eastAsia="宋体" w:hint="ascii"/>
          <w:sz w:val="21"/>
          <w:spacing w:val="3"/>
        </w:rPr>
        <w:t>（</w:t>
      </w:r>
      <w:r>
        <w:rPr>
          <w:rFonts w:ascii="Times New Roman" w:hAnsi="Times New Roman" w:cs="Times New Roman" w:eastAsia="Times New Roman" w:hint="ascii"/>
          <w:sz w:val="21"/>
        </w:rPr>
        <w:t>ICARDA</w:t>
      </w:r>
      <w:r>
        <w:rPr>
          <w:rFonts w:ascii="宋体" w:hAnsi="宋体" w:cs="宋体" w:eastAsia="宋体" w:hint="ascii"/>
          <w:sz w:val="21"/>
          <w:spacing w:val="-50"/>
        </w:rPr>
        <w:t>）</w:t>
      </w:r>
      <w:r>
        <w:rPr>
          <w:rFonts w:ascii="宋体" w:hAnsi="宋体" w:cs="宋体" w:eastAsia="宋体" w:hint="ascii"/>
          <w:sz w:val="21"/>
        </w:rPr>
        <w:t>、世界农用林业中心（</w:t>
      </w:r>
      <w:r>
        <w:rPr>
          <w:rFonts w:ascii="Times New Roman" w:hAnsi="Times New Roman" w:cs="Times New Roman" w:eastAsia="Times New Roman" w:hint="ascii"/>
          <w:sz w:val="21"/>
        </w:rPr>
        <w:t>ICRAF</w:t>
      </w:r>
      <w:r>
        <w:rPr>
          <w:rFonts w:ascii="宋体" w:hAnsi="宋体" w:cs="宋体" w:eastAsia="宋体" w:hint="ascii"/>
          <w:sz w:val="21"/>
          <w:spacing w:val="-50"/>
        </w:rPr>
        <w:t>）</w:t>
      </w:r>
      <w:r>
        <w:rPr>
          <w:rFonts w:ascii="宋体" w:hAnsi="宋体" w:cs="宋体" w:eastAsia="宋体" w:hint="ascii"/>
          <w:sz w:val="21"/>
        </w:rPr>
        <w:t>、国际半干</w:t>
      </w:r>
      <w:r>
        <w:rPr>
          <w:rFonts w:ascii="宋体" w:hAnsi="宋体" w:cs="宋体" w:eastAsia="宋体" w:hint="ascii"/>
          <w:sz w:val="21"/>
          <w:spacing w:val="3"/>
        </w:rPr>
        <w:t>旱</w:t>
      </w:r>
      <w:r>
        <w:rPr>
          <w:rFonts w:ascii="宋体" w:hAnsi="宋体" w:cs="宋体" w:eastAsia="宋体" w:hint="ascii"/>
          <w:sz w:val="21"/>
        </w:rPr>
        <w:t>地区热带</w:t>
      </w:r>
      <w:r>
        <w:rPr>
          <w:rFonts w:ascii="宋体" w:hAnsi="宋体" w:cs="宋体" w:eastAsia="宋体" w:hint="ascii"/>
          <w:sz w:val="21"/>
          <w:spacing w:val="3"/>
        </w:rPr>
        <w:t>作</w:t>
      </w:r>
      <w:r>
        <w:rPr>
          <w:rFonts w:ascii="宋体" w:hAnsi="宋体" w:cs="宋体" w:eastAsia="宋体" w:hint="ascii"/>
          <w:sz w:val="21"/>
        </w:rPr>
        <w:t>物研究所</w:t>
      </w:r>
      <w:r>
        <w:rPr>
          <w:rFonts w:ascii="宋体" w:hAnsi="宋体" w:cs="宋体" w:eastAsia="宋体" w:hint="ascii"/>
          <w:sz w:val="21"/>
          <w:spacing w:val="3"/>
        </w:rPr>
        <w:t>（</w:t>
      </w:r>
      <w:r>
        <w:rPr>
          <w:rFonts w:ascii="Times New Roman" w:hAnsi="Times New Roman" w:cs="Times New Roman" w:eastAsia="Times New Roman" w:hint="ascii"/>
          <w:sz w:val="21"/>
        </w:rPr>
        <w:t>ICRIS</w:t>
      </w:r>
      <w:r>
        <w:rPr>
          <w:rFonts w:ascii="Times New Roman" w:hAnsi="Times New Roman" w:cs="Times New Roman" w:eastAsia="Times New Roman" w:hint="ascii"/>
          <w:sz w:val="21"/>
          <w:spacing w:val="-23"/>
        </w:rPr>
        <w:t>A</w:t>
      </w:r>
      <w:r>
        <w:rPr>
          <w:rFonts w:ascii="Times New Roman" w:hAnsi="Times New Roman" w:cs="Times New Roman" w:eastAsia="Times New Roman" w:hint="ascii"/>
          <w:sz w:val="21"/>
          <w:spacing w:val="5"/>
        </w:rPr>
        <w:t>T</w:t>
      </w:r>
      <w:r>
        <w:rPr>
          <w:rFonts w:ascii="宋体" w:hAnsi="宋体" w:cs="宋体" w:eastAsia="宋体" w:hint="ascii"/>
          <w:sz w:val="21"/>
          <w:spacing w:val="-50"/>
        </w:rPr>
        <w:t>）</w:t>
      </w:r>
      <w:r>
        <w:rPr>
          <w:rFonts w:ascii="宋体" w:hAnsi="宋体" w:cs="宋体" w:eastAsia="宋体" w:hint="ascii"/>
          <w:sz w:val="21"/>
        </w:rPr>
        <w:t>、国际食品</w:t>
      </w:r>
      <w:r>
        <w:rPr>
          <w:rFonts w:ascii="宋体" w:hAnsi="宋体" w:cs="宋体" w:eastAsia="宋体" w:hint="ascii"/>
          <w:sz w:val="21"/>
          <w:spacing w:val="3"/>
        </w:rPr>
        <w:t>政</w:t>
      </w:r>
      <w:r>
        <w:rPr>
          <w:rFonts w:ascii="宋体" w:hAnsi="宋体" w:cs="宋体" w:eastAsia="宋体" w:hint="ascii"/>
          <w:sz w:val="21"/>
        </w:rPr>
        <w:t>策研究所</w:t>
      </w:r>
      <w:r>
        <w:rPr>
          <w:rFonts w:ascii="宋体" w:hAnsi="宋体" w:cs="宋体" w:eastAsia="宋体" w:hint="ascii"/>
          <w:sz w:val="21"/>
          <w:spacing w:val="3"/>
        </w:rPr>
        <w:t>（</w:t>
      </w:r>
      <w:r>
        <w:rPr>
          <w:rFonts w:ascii="Times New Roman" w:hAnsi="Times New Roman" w:cs="Times New Roman" w:eastAsia="Times New Roman" w:hint="ascii"/>
          <w:sz w:val="21"/>
        </w:rPr>
        <w:t>IFPR</w:t>
      </w:r>
      <w:r>
        <w:rPr>
          <w:rFonts w:ascii="Times New Roman" w:hAnsi="Times New Roman" w:cs="Times New Roman" w:eastAsia="Times New Roman" w:hint="ascii"/>
          <w:sz w:val="21"/>
          <w:spacing w:val="5"/>
        </w:rPr>
        <w:t>I</w:t>
      </w:r>
      <w:r>
        <w:rPr>
          <w:rFonts w:ascii="宋体" w:hAnsi="宋体" w:cs="宋体" w:eastAsia="宋体" w:hint="ascii"/>
          <w:sz w:val="21"/>
          <w:spacing w:val="-50"/>
        </w:rPr>
        <w:t>）</w:t>
      </w:r>
      <w:r>
        <w:rPr>
          <w:rFonts w:ascii="宋体" w:hAnsi="宋体" w:cs="宋体" w:eastAsia="宋体" w:hint="ascii"/>
          <w:sz w:val="21"/>
        </w:rPr>
        <w:t>、国际家畜研</w:t>
      </w:r>
    </w:p>
    <w:p>
      <w:pPr>
        <w:autoSpaceDE w:val="0"/>
        <w:autoSpaceDN w:val="0"/>
        <w:jc w:val="both"/>
        <w:spacing w:before="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rPr>
        <w:t>究所（</w:t>
      </w:r>
      <w:r>
        <w:rPr>
          <w:rFonts w:ascii="Times New Roman" w:hAnsi="Times New Roman" w:cs="Times New Roman" w:eastAsia="Times New Roman" w:hint="ascii"/>
          <w:sz w:val="21"/>
        </w:rPr>
        <w:t>ILRI</w:t>
      </w:r>
      <w:r>
        <w:rPr>
          <w:rFonts w:ascii="宋体" w:hAnsi="宋体" w:cs="宋体" w:eastAsia="宋体" w:hint="ascii"/>
          <w:sz w:val="21"/>
        </w:rPr>
        <w:t>）及国际水稻研究所（</w:t>
      </w:r>
      <w:r>
        <w:rPr>
          <w:rFonts w:ascii="Times New Roman" w:hAnsi="Times New Roman" w:cs="Times New Roman" w:eastAsia="Times New Roman" w:hint="ascii"/>
          <w:sz w:val="21"/>
        </w:rPr>
        <w:t>IRRI</w:t>
      </w:r>
      <w:r>
        <w:rPr>
          <w:rFonts w:ascii="宋体" w:hAnsi="宋体" w:cs="宋体" w:eastAsia="宋体" w:hint="ascii"/>
          <w:sz w:val="21"/>
        </w:rPr>
        <w:t>）达成了合作共识，共同资助双方科学家开展合作研究。</w:t>
      </w:r>
    </w:p>
    <w:p>
      <w:pPr>
        <w:autoSpaceDE w:val="0"/>
        <w:autoSpaceDN w:val="0"/>
        <w:jc w:val="both"/>
        <w:spacing w:before="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自然科学基金委每</w:t>
      </w:r>
      <w:r>
        <w:rPr>
          <w:rFonts w:ascii="宋体" w:hAnsi="宋体" w:cs="宋体" w:eastAsia="宋体" w:hint="ascii"/>
          <w:sz w:val="21"/>
          <w:spacing w:val="27"/>
        </w:rPr>
        <w:t>年</w:t>
      </w:r>
      <w:r>
        <w:rPr>
          <w:rFonts w:ascii="Times New Roman" w:hAnsi="Times New Roman" w:cs="Times New Roman" w:eastAsia="Times New Roman" w:hint="ascii"/>
          <w:sz w:val="21"/>
          <w:spacing w:val="52"/>
        </w:rPr>
        <w:t>2</w:t>
      </w:r>
      <w:r>
        <w:rPr>
          <w:rFonts w:ascii="宋体" w:hAnsi="宋体" w:cs="宋体" w:eastAsia="宋体" w:hint="ascii"/>
          <w:sz w:val="21"/>
        </w:rPr>
        <w:t>月在网上发布《组织间国际（地区）合作研究与交流项目指南</w:t>
      </w:r>
      <w:r>
        <w:rPr>
          <w:rFonts w:ascii="宋体" w:hAnsi="宋体" w:cs="宋体" w:eastAsia="宋体" w:hint="ascii"/>
          <w:sz w:val="21"/>
          <w:spacing w:val="-52"/>
        </w:rPr>
        <w:t>》</w:t>
      </w:r>
      <w:r>
        <w:rPr>
          <w:rFonts w:ascii="宋体" w:hAnsi="宋体" w:cs="宋体" w:eastAsia="宋体" w:hint="ascii"/>
          <w:sz w:val="21"/>
        </w:rPr>
        <w:t>，申请截止日期为</w:t>
      </w:r>
      <w:r>
        <w:rPr>
          <w:rFonts w:ascii="宋体" w:hAnsi="宋体" w:cs="宋体" w:eastAsia="宋体" w:hint="ascii"/>
          <w:sz w:val="21"/>
          <w:spacing w:val="-22"/>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2"/>
        </w:rPr>
        <w:t xml:space="preserve"> </w:t>
      </w:r>
      <w:r>
        <w:rPr>
          <w:rFonts w:ascii="宋体" w:hAnsi="宋体" w:cs="宋体" w:eastAsia="宋体" w:hint="ascii"/>
          <w:sz w:val="21"/>
        </w:rPr>
        <w:t>年</w:t>
      </w:r>
      <w:r>
        <w:rPr>
          <w:rFonts w:ascii="宋体" w:hAnsi="宋体" w:cs="宋体" w:eastAsia="宋体" w:hint="ascii"/>
          <w:sz w:val="21"/>
          <w:spacing w:val="-23"/>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3"/>
        </w:rPr>
        <w:t xml:space="preserve"> </w:t>
      </w:r>
      <w:r>
        <w:rPr>
          <w:rFonts w:ascii="宋体" w:hAnsi="宋体" w:cs="宋体" w:eastAsia="宋体" w:hint="ascii"/>
          <w:sz w:val="21"/>
        </w:rPr>
        <w:t>月。</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3"/>
        </w:rPr>
        <w:t xml:space="preserve"> </w:t>
      </w:r>
      <w:r>
        <w:rPr>
          <w:rFonts w:ascii="宋体" w:hAnsi="宋体" w:cs="宋体" w:eastAsia="宋体" w:hint="ascii"/>
          <w:sz w:val="21"/>
        </w:rPr>
        <w:t>年度拟资助项目数量为</w:t>
      </w:r>
      <w:r>
        <w:rPr>
          <w:rFonts w:ascii="宋体" w:hAnsi="宋体" w:cs="宋体" w:eastAsia="宋体" w:hint="ascii"/>
          <w:sz w:val="21"/>
          <w:spacing w:val="-22"/>
        </w:rPr>
        <w:t xml:space="preserve"> </w:t>
      </w:r>
      <w:r>
        <w:rPr>
          <w:rFonts w:ascii="Times New Roman" w:hAnsi="Times New Roman" w:cs="Times New Roman" w:eastAsia="Times New Roman" w:hint="ascii"/>
          <w:sz w:val="21"/>
        </w:rPr>
        <w:t>17</w:t>
      </w:r>
      <w:r>
        <w:rPr>
          <w:rFonts w:ascii="Times New Roman" w:hAnsi="Times New Roman" w:cs="Times New Roman" w:eastAsia="Times New Roman" w:hint="ascii"/>
          <w:sz w:val="21"/>
          <w:spacing w:val="-23"/>
        </w:rPr>
        <w:t xml:space="preserve"> </w:t>
      </w:r>
      <w:r>
        <w:rPr>
          <w:rFonts w:ascii="宋体" w:hAnsi="宋体" w:cs="宋体" w:eastAsia="宋体" w:hint="ascii"/>
          <w:sz w:val="21"/>
        </w:rPr>
        <w:t>项左右，资助直接费用</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5</w:t>
      </w:r>
      <w:r>
        <w:rPr>
          <w:rFonts w:ascii="宋体" w:hAnsi="宋体" w:cs="宋体" w:eastAsia="宋体" w:hint="ascii"/>
          <w:sz w:val="21"/>
        </w:rPr>
        <w:t>年。</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联合国环境规划署（</w:t>
      </w:r>
      <w:r>
        <w:rPr>
          <w:rFonts w:ascii="Times New Roman" w:hAnsi="Times New Roman" w:cs="Times New Roman" w:eastAsia="Times New Roman" w:hint="ascii"/>
          <w:b w:val="1"/>
          <w:sz w:val="21"/>
        </w:rPr>
        <w:t>UNEP</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自然科学基金委与联合国环境规划署（</w:t>
      </w:r>
      <w:r>
        <w:rPr>
          <w:rFonts w:ascii="Times New Roman" w:hAnsi="Times New Roman" w:cs="Times New Roman" w:eastAsia="Times New Roman" w:hint="ascii"/>
          <w:sz w:val="21"/>
        </w:rPr>
        <w:t>UNEP</w:t>
      </w:r>
      <w:r>
        <w:rPr>
          <w:rFonts w:ascii="宋体" w:hAnsi="宋体" w:cs="宋体" w:eastAsia="宋体" w:hint="ascii"/>
          <w:sz w:val="21"/>
        </w:rPr>
        <w:t>）签署了合作协议，将共同资助双方</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科学家在生态</w:t>
      </w:r>
      <w:r>
        <w:rPr>
          <w:rFonts w:ascii="宋体" w:hAnsi="宋体" w:cs="宋体" w:eastAsia="宋体" w:hint="ascii"/>
          <w:sz w:val="21"/>
        </w:rPr>
        <w:t>系统、气候变化、资源效率、环境治理等自然科学领域开展合作研究，并特别关注与非洲和亚太地区的发展中国家的合作。</w:t>
      </w:r>
    </w:p>
    <w:p>
      <w:pPr>
        <w:autoSpaceDE w:val="0"/>
        <w:autoSpaceDN w:val="0"/>
        <w:jc w:val="both"/>
        <w:spacing w:before="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自然科学基金委每</w:t>
      </w:r>
      <w:r>
        <w:rPr>
          <w:rFonts w:ascii="宋体" w:hAnsi="宋体" w:cs="宋体" w:eastAsia="宋体" w:hint="ascii"/>
          <w:sz w:val="21"/>
          <w:spacing w:val="27"/>
        </w:rPr>
        <w:t>年</w:t>
      </w:r>
      <w:r>
        <w:rPr>
          <w:rFonts w:ascii="Times New Roman" w:hAnsi="Times New Roman" w:cs="Times New Roman" w:eastAsia="Times New Roman" w:hint="ascii"/>
          <w:sz w:val="21"/>
          <w:spacing w:val="52"/>
        </w:rPr>
        <w:t>2</w:t>
      </w:r>
      <w:r>
        <w:rPr>
          <w:rFonts w:ascii="宋体" w:hAnsi="宋体" w:cs="宋体" w:eastAsia="宋体" w:hint="ascii"/>
          <w:sz w:val="21"/>
        </w:rPr>
        <w:t>月在网上发布《组织间国际（地区）合作研究与交流项目指</w:t>
      </w:r>
      <w:r>
        <w:rPr>
          <w:rFonts w:ascii="宋体" w:hAnsi="宋体" w:cs="宋体" w:eastAsia="宋体" w:hint="ascii"/>
          <w:sz w:val="21"/>
          <w:spacing w:val="-2"/>
        </w:rPr>
        <w:t>南</w:t>
      </w:r>
      <w:r>
        <w:rPr>
          <w:rFonts w:ascii="宋体" w:hAnsi="宋体" w:cs="宋体" w:eastAsia="宋体" w:hint="ascii"/>
          <w:sz w:val="21"/>
          <w:spacing w:val="-54"/>
        </w:rPr>
        <w:t>》</w:t>
      </w:r>
      <w:r>
        <w:rPr>
          <w:rFonts w:ascii="宋体" w:hAnsi="宋体" w:cs="宋体" w:eastAsia="宋体" w:hint="ascii"/>
          <w:sz w:val="21"/>
          <w:spacing w:val="-2"/>
        </w:rPr>
        <w:t>，申请截止日</w:t>
      </w:r>
      <w:r>
        <w:rPr>
          <w:rFonts w:ascii="宋体" w:hAnsi="宋体" w:cs="宋体" w:eastAsia="宋体" w:hint="ascii"/>
          <w:sz w:val="21"/>
          <w:spacing w:val="-1"/>
        </w:rPr>
        <w:t>期为</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1"/>
        </w:rPr>
        <w:t>2017</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
        </w:rPr>
        <w:t>年</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
        </w:rPr>
        <w:t>月。</w:t>
      </w:r>
      <w:r>
        <w:rPr>
          <w:rFonts w:ascii="Times New Roman" w:hAnsi="Times New Roman" w:cs="Times New Roman" w:eastAsia="Times New Roman" w:hint="ascii"/>
          <w:sz w:val="21"/>
          <w:spacing w:val="-1"/>
        </w:rPr>
        <w:t>2018</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
        </w:rPr>
        <w:t>年度拟资助项目数量为</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
        </w:rPr>
        <w:t>项左右，中方资助</w:t>
      </w:r>
      <w:r>
        <w:rPr>
          <w:rFonts w:ascii="宋体" w:hAnsi="宋体" w:cs="宋体" w:eastAsia="宋体" w:hint="ascii"/>
          <w:sz w:val="21"/>
        </w:rPr>
        <w:t xml:space="preserve"> 直接费用</w:t>
      </w:r>
      <w:r>
        <w:rPr>
          <w:rFonts w:ascii="宋体" w:hAnsi="宋体" w:cs="宋体" w:eastAsia="宋体" w:hint="ascii"/>
          <w:sz w:val="21"/>
          <w:spacing w:val="26"/>
        </w:rPr>
        <w:t>为</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5</w:t>
      </w:r>
      <w:r>
        <w:rPr>
          <w:rFonts w:ascii="宋体" w:hAnsi="宋体" w:cs="宋体" w:eastAsia="宋体" w:hint="ascii"/>
          <w:sz w:val="21"/>
        </w:rPr>
        <w:t>年。</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国际纯粹与应用化学联合会（</w:t>
      </w:r>
      <w:r>
        <w:rPr>
          <w:rFonts w:ascii="Times New Roman" w:hAnsi="Times New Roman" w:cs="Times New Roman" w:eastAsia="Times New Roman" w:hint="ascii"/>
          <w:b w:val="1"/>
          <w:sz w:val="21"/>
        </w:rPr>
        <w:t>IU</w:t>
      </w:r>
      <w:r>
        <w:rPr>
          <w:rFonts w:ascii="Times New Roman" w:hAnsi="Times New Roman" w:cs="Times New Roman" w:eastAsia="Times New Roman" w:hint="ascii"/>
          <w:b w:val="1"/>
          <w:sz w:val="21"/>
          <w:spacing w:val="-15"/>
        </w:rPr>
        <w:t>P</w:t>
      </w:r>
      <w:r>
        <w:rPr>
          <w:rFonts w:ascii="Times New Roman" w:hAnsi="Times New Roman" w:cs="Times New Roman" w:eastAsia="Times New Roman" w:hint="ascii"/>
          <w:b w:val="1"/>
          <w:sz w:val="21"/>
        </w:rPr>
        <w:t>AC</w:t>
      </w:r>
      <w:r>
        <w:rPr>
          <w:rFonts w:ascii="宋体" w:hAnsi="宋体" w:cs="宋体" w:eastAsia="宋体" w:hint="ascii"/>
          <w:sz w:val="21"/>
        </w:rPr>
        <w:t>）</w:t>
      </w:r>
    </w:p>
    <w:p>
      <w:pPr>
        <w:autoSpaceDE w:val="0"/>
        <w:autoSpaceDN w:val="0"/>
        <w:jc w:val="both"/>
        <w:spacing w:before="10" w:after="0" w:lineRule="exact" w:line="312"/>
        <w:ind w:right="963" w:left="861" w:firstLine="524"/>
        <w:snapToGrid w:val="0"/>
        <w:textAlignment w:val="auto"/>
        <w:tabs/>
        <w:rPr>
          <w:rFonts w:ascii="宋体" w:hAnsi="宋体" w:cs="宋体" w:eastAsia="宋体" w:hint="ascii"/>
          <w:sz w:val="21"/>
        </w:rPr>
      </w:pPr>
      <w:r>
        <w:rPr>
          <w:rFonts w:ascii="宋体" w:hAnsi="宋体" w:cs="宋体" w:eastAsia="宋体" w:hint="ascii"/>
          <w:sz w:val="21"/>
        </w:rPr>
        <w:t>根据</w:t>
      </w:r>
      <w:r>
        <w:rPr>
          <w:rFonts w:ascii="宋体" w:hAnsi="宋体" w:cs="宋体" w:eastAsia="宋体" w:hint="ascii"/>
          <w:sz w:val="21"/>
          <w:spacing w:val="-1"/>
        </w:rPr>
        <w:t>自</w:t>
      </w:r>
      <w:r>
        <w:rPr>
          <w:rFonts w:ascii="宋体" w:hAnsi="宋体" w:cs="宋体" w:eastAsia="宋体" w:hint="ascii"/>
          <w:sz w:val="21"/>
        </w:rPr>
        <w:t>然</w:t>
      </w:r>
      <w:r>
        <w:rPr>
          <w:rFonts w:ascii="宋体" w:hAnsi="宋体" w:cs="宋体" w:eastAsia="宋体" w:hint="ascii"/>
          <w:sz w:val="21"/>
          <w:spacing w:val="-1"/>
        </w:rPr>
        <w:t>科</w:t>
      </w:r>
      <w:r>
        <w:rPr>
          <w:rFonts w:ascii="宋体" w:hAnsi="宋体" w:cs="宋体" w:eastAsia="宋体" w:hint="ascii"/>
          <w:sz w:val="21"/>
        </w:rPr>
        <w:t>学基</w:t>
      </w:r>
      <w:r>
        <w:rPr>
          <w:rFonts w:ascii="宋体" w:hAnsi="宋体" w:cs="宋体" w:eastAsia="宋体" w:hint="ascii"/>
          <w:sz w:val="21"/>
          <w:spacing w:val="-1"/>
        </w:rPr>
        <w:t>金</w:t>
      </w:r>
      <w:r>
        <w:rPr>
          <w:rFonts w:ascii="宋体" w:hAnsi="宋体" w:cs="宋体" w:eastAsia="宋体" w:hint="ascii"/>
          <w:sz w:val="21"/>
        </w:rPr>
        <w:t>委</w:t>
      </w:r>
      <w:r>
        <w:rPr>
          <w:rFonts w:ascii="宋体" w:hAnsi="宋体" w:cs="宋体" w:eastAsia="宋体" w:hint="ascii"/>
          <w:sz w:val="21"/>
          <w:spacing w:val="-1"/>
        </w:rPr>
        <w:t>、</w:t>
      </w:r>
      <w:r>
        <w:rPr>
          <w:rFonts w:ascii="宋体" w:hAnsi="宋体" w:cs="宋体" w:eastAsia="宋体" w:hint="ascii"/>
          <w:sz w:val="21"/>
        </w:rPr>
        <w:t>巴西</w:t>
      </w:r>
      <w:r>
        <w:rPr>
          <w:rFonts w:ascii="宋体" w:hAnsi="宋体" w:cs="宋体" w:eastAsia="宋体" w:hint="ascii"/>
          <w:sz w:val="21"/>
          <w:spacing w:val="-1"/>
        </w:rPr>
        <w:t>圣</w:t>
      </w:r>
      <w:r>
        <w:rPr>
          <w:rFonts w:ascii="宋体" w:hAnsi="宋体" w:cs="宋体" w:eastAsia="宋体" w:hint="ascii"/>
          <w:sz w:val="21"/>
        </w:rPr>
        <w:t>保</w:t>
      </w:r>
      <w:r>
        <w:rPr>
          <w:rFonts w:ascii="宋体" w:hAnsi="宋体" w:cs="宋体" w:eastAsia="宋体" w:hint="ascii"/>
          <w:sz w:val="21"/>
          <w:spacing w:val="-1"/>
        </w:rPr>
        <w:t>罗</w:t>
      </w:r>
      <w:r>
        <w:rPr>
          <w:rFonts w:ascii="宋体" w:hAnsi="宋体" w:cs="宋体" w:eastAsia="宋体" w:hint="ascii"/>
          <w:sz w:val="21"/>
        </w:rPr>
        <w:t>研究</w:t>
      </w:r>
      <w:r>
        <w:rPr>
          <w:rFonts w:ascii="宋体" w:hAnsi="宋体" w:cs="宋体" w:eastAsia="宋体" w:hint="ascii"/>
          <w:sz w:val="21"/>
          <w:spacing w:val="-1"/>
        </w:rPr>
        <w:t>基</w:t>
      </w:r>
      <w:r>
        <w:rPr>
          <w:rFonts w:ascii="宋体" w:hAnsi="宋体" w:cs="宋体" w:eastAsia="宋体" w:hint="ascii"/>
          <w:sz w:val="21"/>
        </w:rPr>
        <w:t>金</w:t>
      </w:r>
      <w:r>
        <w:rPr>
          <w:rFonts w:ascii="宋体" w:hAnsi="宋体" w:cs="宋体" w:eastAsia="宋体" w:hint="ascii"/>
          <w:sz w:val="21"/>
          <w:spacing w:val="-1"/>
        </w:rPr>
        <w:t>会</w:t>
      </w:r>
      <w:r>
        <w:rPr>
          <w:rFonts w:ascii="宋体" w:hAnsi="宋体" w:cs="宋体" w:eastAsia="宋体" w:hint="ascii"/>
          <w:sz w:val="21"/>
        </w:rPr>
        <w:t>（</w:t>
      </w:r>
      <w:r>
        <w:rPr>
          <w:rFonts w:ascii="Times New Roman" w:hAnsi="Times New Roman" w:cs="Times New Roman" w:eastAsia="Times New Roman" w:hint="ascii"/>
          <w:sz w:val="21"/>
          <w:spacing w:val="-16"/>
        </w:rPr>
        <w:t>F</w:t>
      </w:r>
      <w:r>
        <w:rPr>
          <w:rFonts w:ascii="Times New Roman" w:hAnsi="Times New Roman" w:cs="Times New Roman" w:eastAsia="Times New Roman" w:hint="ascii"/>
          <w:sz w:val="21"/>
        </w:rPr>
        <w:t>APES</w:t>
      </w:r>
      <w:r>
        <w:rPr>
          <w:rFonts w:ascii="Times New Roman" w:hAnsi="Times New Roman" w:cs="Times New Roman" w:eastAsia="Times New Roman" w:hint="ascii"/>
          <w:sz w:val="21"/>
          <w:spacing w:val="7"/>
        </w:rPr>
        <w:t>P</w:t>
      </w:r>
      <w:r>
        <w:rPr>
          <w:rFonts w:ascii="宋体" w:hAnsi="宋体" w:cs="宋体" w:eastAsia="宋体" w:hint="ascii"/>
          <w:sz w:val="21"/>
          <w:spacing w:val="-53"/>
        </w:rPr>
        <w:t>）</w:t>
      </w:r>
      <w:r>
        <w:rPr>
          <w:rFonts w:ascii="宋体" w:hAnsi="宋体" w:cs="宋体" w:eastAsia="宋体" w:hint="ascii"/>
          <w:sz w:val="21"/>
        </w:rPr>
        <w:t>、美</w:t>
      </w:r>
      <w:r>
        <w:rPr>
          <w:rFonts w:ascii="宋体" w:hAnsi="宋体" w:cs="宋体" w:eastAsia="宋体" w:hint="ascii"/>
          <w:sz w:val="21"/>
          <w:spacing w:val="-1"/>
        </w:rPr>
        <w:t>国</w:t>
      </w:r>
      <w:r>
        <w:rPr>
          <w:rFonts w:ascii="宋体" w:hAnsi="宋体" w:cs="宋体" w:eastAsia="宋体" w:hint="ascii"/>
          <w:sz w:val="21"/>
        </w:rPr>
        <w:t>国</w:t>
      </w:r>
      <w:r>
        <w:rPr>
          <w:rFonts w:ascii="宋体" w:hAnsi="宋体" w:cs="宋体" w:eastAsia="宋体" w:hint="ascii"/>
          <w:sz w:val="21"/>
          <w:spacing w:val="-1"/>
        </w:rPr>
        <w:t>家</w:t>
      </w:r>
      <w:r>
        <w:rPr>
          <w:rFonts w:ascii="宋体" w:hAnsi="宋体" w:cs="宋体" w:eastAsia="宋体" w:hint="ascii"/>
          <w:sz w:val="21"/>
        </w:rPr>
        <w:t>科学</w:t>
      </w:r>
      <w:r>
        <w:rPr>
          <w:rFonts w:ascii="宋体" w:hAnsi="宋体" w:cs="宋体" w:eastAsia="宋体" w:hint="ascii"/>
          <w:sz w:val="21"/>
          <w:spacing w:val="-1"/>
        </w:rPr>
        <w:t>基</w:t>
      </w:r>
      <w:r>
        <w:rPr>
          <w:rFonts w:ascii="宋体" w:hAnsi="宋体" w:cs="宋体" w:eastAsia="宋体" w:hint="ascii"/>
          <w:sz w:val="21"/>
        </w:rPr>
        <w:t>金</w:t>
      </w:r>
      <w:r>
        <w:rPr>
          <w:rFonts w:ascii="宋体" w:hAnsi="宋体" w:cs="宋体" w:eastAsia="宋体" w:hint="ascii"/>
          <w:sz w:val="21"/>
          <w:spacing w:val="-8"/>
        </w:rPr>
        <w:t>会</w:t>
      </w:r>
      <w:r>
        <w:rPr>
          <w:rFonts w:ascii="宋体" w:hAnsi="宋体" w:cs="宋体" w:eastAsia="宋体" w:hint="ascii"/>
          <w:sz w:val="21"/>
        </w:rPr>
        <w:t>（</w:t>
      </w:r>
      <w:r>
        <w:rPr>
          <w:rFonts w:ascii="Times New Roman" w:hAnsi="Times New Roman" w:cs="Times New Roman" w:eastAsia="Times New Roman" w:hint="ascii"/>
          <w:sz w:val="21"/>
        </w:rPr>
        <w:t>NS</w:t>
      </w:r>
      <w:r>
        <w:rPr>
          <w:rFonts w:ascii="Times New Roman" w:hAnsi="Times New Roman" w:cs="Times New Roman" w:eastAsia="Times New Roman" w:hint="ascii"/>
          <w:sz w:val="21"/>
          <w:spacing w:val="17"/>
        </w:rPr>
        <w:t>F</w:t>
      </w:r>
      <w:r>
        <w:rPr>
          <w:rFonts w:ascii="宋体" w:hAnsi="宋体" w:cs="宋体" w:eastAsia="宋体" w:hint="ascii"/>
          <w:sz w:val="21"/>
        </w:rPr>
        <w:t>）及德国科学基金会（</w:t>
      </w:r>
      <w:r>
        <w:rPr>
          <w:rFonts w:ascii="Times New Roman" w:hAnsi="Times New Roman" w:cs="Times New Roman" w:eastAsia="Times New Roman" w:hint="ascii"/>
          <w:sz w:val="21"/>
        </w:rPr>
        <w:t>DF</w:t>
      </w:r>
      <w:r>
        <w:rPr>
          <w:rFonts w:ascii="Times New Roman" w:hAnsi="Times New Roman" w:cs="Times New Roman" w:eastAsia="Times New Roman" w:hint="ascii"/>
          <w:sz w:val="21"/>
          <w:spacing w:val="16"/>
        </w:rPr>
        <w:t>G</w:t>
      </w:r>
      <w:r>
        <w:rPr>
          <w:rFonts w:ascii="宋体" w:hAnsi="宋体" w:cs="宋体" w:eastAsia="宋体" w:hint="ascii"/>
          <w:sz w:val="21"/>
        </w:rPr>
        <w:t>）等科研资助机构与国际纯粹与应用化学联合</w:t>
      </w:r>
      <w:r>
        <w:rPr>
          <w:rFonts w:ascii="宋体" w:hAnsi="宋体" w:cs="宋体" w:eastAsia="宋体" w:hint="ascii"/>
          <w:sz w:val="21"/>
          <w:spacing w:val="-16"/>
        </w:rPr>
        <w:t>会</w:t>
      </w:r>
      <w:r>
        <w:rPr>
          <w:rFonts w:ascii="宋体" w:hAnsi="宋体" w:cs="宋体" w:eastAsia="宋体" w:hint="ascii"/>
          <w:sz w:val="21"/>
        </w:rPr>
        <w:t>（</w:t>
      </w:r>
      <w:r>
        <w:rPr>
          <w:rFonts w:ascii="Times New Roman" w:hAnsi="Times New Roman" w:cs="Times New Roman" w:eastAsia="Times New Roman" w:hint="ascii"/>
          <w:sz w:val="21"/>
        </w:rPr>
        <w:t>IU</w:t>
      </w:r>
      <w:r>
        <w:rPr>
          <w:rFonts w:ascii="Times New Roman" w:hAnsi="Times New Roman" w:cs="Times New Roman" w:eastAsia="Times New Roman" w:hint="ascii"/>
          <w:sz w:val="21"/>
          <w:spacing w:val="-20"/>
        </w:rPr>
        <w:t>P</w:t>
      </w:r>
      <w:r>
        <w:rPr>
          <w:rFonts w:ascii="Times New Roman" w:hAnsi="Times New Roman" w:cs="Times New Roman" w:eastAsia="Times New Roman" w:hint="ascii"/>
          <w:sz w:val="21"/>
        </w:rPr>
        <w:t>AC</w:t>
      </w:r>
      <w:r>
        <w:rPr>
          <w:rFonts w:ascii="宋体" w:hAnsi="宋体" w:cs="宋体" w:eastAsia="宋体" w:hint="ascii"/>
          <w:sz w:val="21"/>
        </w:rPr>
        <w:t>）达成的开展联合资助合作研究项目的协议，</w:t>
      </w:r>
      <w:r>
        <w:rPr>
          <w:rFonts w:ascii="Times New Roman" w:hAnsi="Times New Roman" w:cs="Times New Roman" w:eastAsia="Times New Roman" w:hint="ascii"/>
          <w:sz w:val="21"/>
        </w:rPr>
        <w:t xml:space="preserve">2013 </w:t>
      </w:r>
      <w:r>
        <w:rPr>
          <w:rFonts w:ascii="宋体" w:hAnsi="宋体" w:cs="宋体" w:eastAsia="宋体" w:hint="ascii"/>
          <w:sz w:val="21"/>
        </w:rPr>
        <w:t>年度开始共同资助各国科学</w:t>
      </w:r>
    </w:p>
    <w:p>
      <w:pPr>
        <w:autoSpaceDE w:val="0"/>
        <w:autoSpaceDN w:val="0"/>
        <w:jc w:val="both"/>
        <w:spacing w:before="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家开展合作研</w:t>
      </w:r>
      <w:r>
        <w:rPr>
          <w:rFonts w:ascii="宋体" w:hAnsi="宋体" w:cs="宋体" w:eastAsia="宋体" w:hint="ascii"/>
          <w:sz w:val="21"/>
        </w:rPr>
        <w:t>究。国际纯粹与应用化学联合会提供保障项目实施的框架和科学指导，在</w:t>
      </w:r>
      <w:r>
        <w:rPr>
          <w:rFonts w:ascii="宋体" w:hAnsi="宋体" w:cs="宋体" w:eastAsia="宋体" w:hint="ascii"/>
          <w:sz w:val="21"/>
          <w:spacing w:val="-1"/>
        </w:rPr>
        <w:t>缔约的各国资</w:t>
      </w:r>
      <w:r>
        <w:rPr>
          <w:rFonts w:ascii="宋体" w:hAnsi="宋体" w:cs="宋体" w:eastAsia="宋体" w:hint="ascii"/>
          <w:sz w:val="21"/>
        </w:rPr>
        <w:t>助机构和科研组织支持下组织多国参与的多边项目的启动、评审和资助。</w:t>
      </w:r>
    </w:p>
    <w:p>
      <w:pPr>
        <w:autoSpaceDE w:val="0"/>
        <w:autoSpaceDN w:val="0"/>
        <w:jc w:val="both"/>
        <w:spacing w:before="0" w:after="0" w:lineRule="exact" w:line="312"/>
        <w:ind w:right="963"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w:t>
      </w:r>
      <w:r>
        <w:rPr>
          <w:rFonts w:ascii="宋体" w:hAnsi="宋体" w:cs="宋体" w:eastAsia="宋体" w:hint="ascii"/>
          <w:sz w:val="21"/>
          <w:spacing w:val="-1"/>
        </w:rPr>
        <w:t>有</w:t>
      </w:r>
      <w:r>
        <w:rPr>
          <w:rFonts w:ascii="宋体" w:hAnsi="宋体" w:cs="宋体" w:eastAsia="宋体" w:hint="ascii"/>
          <w:sz w:val="21"/>
        </w:rPr>
        <w:t>关申</w:t>
      </w:r>
      <w:r>
        <w:rPr>
          <w:rFonts w:ascii="宋体" w:hAnsi="宋体" w:cs="宋体" w:eastAsia="宋体" w:hint="ascii"/>
          <w:sz w:val="21"/>
          <w:spacing w:val="-1"/>
        </w:rPr>
        <w:t>请</w:t>
      </w:r>
      <w:r>
        <w:rPr>
          <w:rFonts w:ascii="宋体" w:hAnsi="宋体" w:cs="宋体" w:eastAsia="宋体" w:hint="ascii"/>
          <w:sz w:val="21"/>
        </w:rPr>
        <w:t>事</w:t>
      </w:r>
      <w:r>
        <w:rPr>
          <w:rFonts w:ascii="宋体" w:hAnsi="宋体" w:cs="宋体" w:eastAsia="宋体" w:hint="ascii"/>
          <w:sz w:val="21"/>
          <w:spacing w:val="-1"/>
        </w:rPr>
        <w:t>宜</w:t>
      </w:r>
      <w:r>
        <w:rPr>
          <w:rFonts w:ascii="宋体" w:hAnsi="宋体" w:cs="宋体" w:eastAsia="宋体" w:hint="ascii"/>
          <w:sz w:val="21"/>
        </w:rPr>
        <w:t>请关</w:t>
      </w:r>
      <w:r>
        <w:rPr>
          <w:rFonts w:ascii="宋体" w:hAnsi="宋体" w:cs="宋体" w:eastAsia="宋体" w:hint="ascii"/>
          <w:sz w:val="21"/>
          <w:spacing w:val="-1"/>
        </w:rPr>
        <w:t>注</w:t>
      </w:r>
      <w:r>
        <w:rPr>
          <w:rFonts w:ascii="宋体" w:hAnsi="宋体" w:cs="宋体" w:eastAsia="宋体" w:hint="ascii"/>
          <w:sz w:val="21"/>
        </w:rPr>
        <w:t>自</w:t>
      </w:r>
      <w:r>
        <w:rPr>
          <w:rFonts w:ascii="宋体" w:hAnsi="宋体" w:cs="宋体" w:eastAsia="宋体" w:hint="ascii"/>
          <w:sz w:val="21"/>
          <w:spacing w:val="-1"/>
        </w:rPr>
        <w:t>然</w:t>
      </w:r>
      <w:r>
        <w:rPr>
          <w:rFonts w:ascii="宋体" w:hAnsi="宋体" w:cs="宋体" w:eastAsia="宋体" w:hint="ascii"/>
          <w:sz w:val="21"/>
        </w:rPr>
        <w:t>科学</w:t>
      </w:r>
      <w:r>
        <w:rPr>
          <w:rFonts w:ascii="宋体" w:hAnsi="宋体" w:cs="宋体" w:eastAsia="宋体" w:hint="ascii"/>
          <w:sz w:val="21"/>
          <w:spacing w:val="-1"/>
        </w:rPr>
        <w:t>基</w:t>
      </w:r>
      <w:r>
        <w:rPr>
          <w:rFonts w:ascii="宋体" w:hAnsi="宋体" w:cs="宋体" w:eastAsia="宋体" w:hint="ascii"/>
          <w:sz w:val="21"/>
        </w:rPr>
        <w:t>金</w:t>
      </w:r>
      <w:r>
        <w:rPr>
          <w:rFonts w:ascii="宋体" w:hAnsi="宋体" w:cs="宋体" w:eastAsia="宋体" w:hint="ascii"/>
          <w:sz w:val="21"/>
          <w:spacing w:val="-1"/>
        </w:rPr>
        <w:t>委</w:t>
      </w:r>
      <w:r>
        <w:rPr>
          <w:rFonts w:ascii="宋体" w:hAnsi="宋体" w:cs="宋体" w:eastAsia="宋体" w:hint="ascii"/>
          <w:sz w:val="21"/>
        </w:rPr>
        <w:t>网站</w:t>
      </w:r>
      <w:r>
        <w:rPr>
          <w:rFonts w:ascii="宋体" w:hAnsi="宋体" w:cs="宋体" w:eastAsia="宋体" w:hint="ascii"/>
          <w:sz w:val="21"/>
          <w:spacing w:val="-1"/>
        </w:rPr>
        <w:t>“</w:t>
      </w:r>
      <w:r>
        <w:rPr>
          <w:rFonts w:ascii="宋体" w:hAnsi="宋体" w:cs="宋体" w:eastAsia="宋体" w:hint="ascii"/>
          <w:sz w:val="21"/>
        </w:rPr>
        <w:t>通</w:t>
      </w:r>
      <w:r>
        <w:rPr>
          <w:rFonts w:ascii="宋体" w:hAnsi="宋体" w:cs="宋体" w:eastAsia="宋体" w:hint="ascii"/>
          <w:sz w:val="21"/>
          <w:spacing w:val="-1"/>
        </w:rPr>
        <w:t>知</w:t>
      </w:r>
      <w:r>
        <w:rPr>
          <w:rFonts w:ascii="宋体" w:hAnsi="宋体" w:cs="宋体" w:eastAsia="宋体" w:hint="ascii"/>
          <w:sz w:val="21"/>
        </w:rPr>
        <w:t>通告</w:t>
      </w:r>
      <w:r>
        <w:rPr>
          <w:rFonts w:ascii="宋体" w:hAnsi="宋体" w:cs="宋体" w:eastAsia="宋体" w:hint="ascii"/>
          <w:sz w:val="21"/>
          <w:spacing w:val="-1"/>
        </w:rPr>
        <w:t>”</w:t>
      </w:r>
      <w:r>
        <w:rPr>
          <w:rFonts w:ascii="宋体" w:hAnsi="宋体" w:cs="宋体" w:eastAsia="宋体" w:hint="ascii"/>
          <w:sz w:val="21"/>
        </w:rPr>
        <w:t>栏</w:t>
      </w:r>
      <w:r>
        <w:rPr>
          <w:rFonts w:ascii="宋体" w:hAnsi="宋体" w:cs="宋体" w:eastAsia="宋体" w:hint="ascii"/>
          <w:sz w:val="21"/>
          <w:spacing w:val="-1"/>
        </w:rPr>
        <w:t>目</w:t>
      </w:r>
      <w:r>
        <w:rPr>
          <w:rFonts w:ascii="宋体" w:hAnsi="宋体" w:cs="宋体" w:eastAsia="宋体" w:hint="ascii"/>
          <w:sz w:val="21"/>
        </w:rPr>
        <w:t>中发</w:t>
      </w:r>
      <w:r>
        <w:rPr>
          <w:rFonts w:ascii="宋体" w:hAnsi="宋体" w:cs="宋体" w:eastAsia="宋体" w:hint="ascii"/>
          <w:sz w:val="21"/>
          <w:spacing w:val="-1"/>
        </w:rPr>
        <w:t>布</w:t>
      </w:r>
      <w:r>
        <w:rPr>
          <w:rFonts w:ascii="宋体" w:hAnsi="宋体" w:cs="宋体" w:eastAsia="宋体" w:hint="ascii"/>
          <w:sz w:val="21"/>
        </w:rPr>
        <w:t>的</w:t>
      </w:r>
      <w:r>
        <w:rPr>
          <w:rFonts w:ascii="宋体" w:hAnsi="宋体" w:cs="宋体" w:eastAsia="宋体" w:hint="ascii"/>
          <w:sz w:val="21"/>
          <w:spacing w:val="-1"/>
        </w:rPr>
        <w:t>《</w:t>
      </w:r>
      <w:r>
        <w:rPr>
          <w:rFonts w:ascii="宋体" w:hAnsi="宋体" w:cs="宋体" w:eastAsia="宋体" w:hint="ascii"/>
          <w:sz w:val="21"/>
        </w:rPr>
        <w:t>组</w:t>
      </w:r>
      <w:r>
        <w:rPr>
          <w:rFonts w:ascii="宋体" w:hAnsi="宋体" w:cs="宋体" w:eastAsia="宋体" w:hint="ascii"/>
          <w:sz w:val="21"/>
          <w:spacing w:val="-4"/>
        </w:rPr>
        <w:t>织</w:t>
      </w:r>
      <w:r>
        <w:rPr>
          <w:rFonts w:ascii="宋体" w:hAnsi="宋体" w:cs="宋体" w:eastAsia="宋体" w:hint="ascii"/>
          <w:sz w:val="21"/>
        </w:rPr>
        <w:t xml:space="preserve"> 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贝尔蒙特论坛多边合作（</w:t>
      </w:r>
      <w:r>
        <w:rPr>
          <w:rFonts w:ascii="Times New Roman" w:hAnsi="Times New Roman" w:cs="Times New Roman" w:eastAsia="Times New Roman" w:hint="ascii"/>
          <w:b w:val="1"/>
          <w:sz w:val="21"/>
        </w:rPr>
        <w:t>BF/IG</w:t>
      </w:r>
      <w:r>
        <w:rPr>
          <w:rFonts w:ascii="Times New Roman" w:hAnsi="Times New Roman" w:cs="Times New Roman" w:eastAsia="Times New Roman" w:hint="ascii"/>
          <w:b w:val="1"/>
          <w:sz w:val="21"/>
          <w:spacing w:val="-15"/>
        </w:rPr>
        <w:t>F</w:t>
      </w:r>
      <w:r>
        <w:rPr>
          <w:rFonts w:ascii="Times New Roman" w:hAnsi="Times New Roman" w:cs="Times New Roman" w:eastAsia="Times New Roman" w:hint="ascii"/>
          <w:b w:val="1"/>
          <w:sz w:val="21"/>
        </w:rPr>
        <w:t>A</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根据自然科学基金委与贝尔蒙特论坛达成的共识，从 </w:t>
      </w:r>
      <w:r>
        <w:rPr>
          <w:rFonts w:ascii="Times New Roman" w:hAnsi="Times New Roman" w:cs="Times New Roman" w:eastAsia="Times New Roman" w:hint="ascii"/>
          <w:sz w:val="21"/>
        </w:rPr>
        <w:t xml:space="preserve">2014 </w:t>
      </w:r>
      <w:r>
        <w:rPr>
          <w:rFonts w:ascii="宋体" w:hAnsi="宋体" w:cs="宋体" w:eastAsia="宋体" w:hint="ascii"/>
          <w:sz w:val="21"/>
        </w:rPr>
        <w:t>年度起资助中国科学家</w:t>
      </w:r>
    </w:p>
    <w:p>
      <w:pPr>
        <w:autoSpaceDE w:val="0"/>
        <w:autoSpaceDN w:val="0"/>
        <w:jc w:val="both"/>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参加</w:t>
      </w:r>
      <w:r>
        <w:rPr>
          <w:rFonts w:ascii="宋体" w:hAnsi="宋体" w:cs="宋体" w:eastAsia="宋体" w:hint="ascii"/>
          <w:sz w:val="21"/>
          <w:spacing w:val="-1"/>
        </w:rPr>
        <w:t>贝</w:t>
      </w:r>
      <w:r>
        <w:rPr>
          <w:rFonts w:ascii="宋体" w:hAnsi="宋体" w:cs="宋体" w:eastAsia="宋体" w:hint="ascii"/>
          <w:sz w:val="21"/>
        </w:rPr>
        <w:t>尔</w:t>
      </w:r>
      <w:r>
        <w:rPr>
          <w:rFonts w:ascii="宋体" w:hAnsi="宋体" w:cs="宋体" w:eastAsia="宋体" w:hint="ascii"/>
          <w:sz w:val="21"/>
          <w:spacing w:val="-1"/>
        </w:rPr>
        <w:t>蒙</w:t>
      </w:r>
      <w:r>
        <w:rPr>
          <w:rFonts w:ascii="宋体" w:hAnsi="宋体" w:cs="宋体" w:eastAsia="宋体" w:hint="ascii"/>
          <w:sz w:val="21"/>
        </w:rPr>
        <w:t>特论</w:t>
      </w:r>
      <w:r>
        <w:rPr>
          <w:rFonts w:ascii="宋体" w:hAnsi="宋体" w:cs="宋体" w:eastAsia="宋体" w:hint="ascii"/>
          <w:sz w:val="21"/>
          <w:spacing w:val="-1"/>
        </w:rPr>
        <w:t>坛</w:t>
      </w:r>
      <w:r>
        <w:rPr>
          <w:rFonts w:ascii="宋体" w:hAnsi="宋体" w:cs="宋体" w:eastAsia="宋体" w:hint="ascii"/>
          <w:sz w:val="21"/>
        </w:rPr>
        <w:t>框</w:t>
      </w:r>
      <w:r>
        <w:rPr>
          <w:rFonts w:ascii="宋体" w:hAnsi="宋体" w:cs="宋体" w:eastAsia="宋体" w:hint="ascii"/>
          <w:sz w:val="21"/>
          <w:spacing w:val="-1"/>
        </w:rPr>
        <w:t>架</w:t>
      </w:r>
      <w:r>
        <w:rPr>
          <w:rFonts w:ascii="宋体" w:hAnsi="宋体" w:cs="宋体" w:eastAsia="宋体" w:hint="ascii"/>
          <w:sz w:val="21"/>
        </w:rPr>
        <w:t>下的</w:t>
      </w:r>
      <w:r>
        <w:rPr>
          <w:rFonts w:ascii="宋体" w:hAnsi="宋体" w:cs="宋体" w:eastAsia="宋体" w:hint="ascii"/>
          <w:sz w:val="21"/>
          <w:spacing w:val="-1"/>
        </w:rPr>
        <w:t>多</w:t>
      </w:r>
      <w:r>
        <w:rPr>
          <w:rFonts w:ascii="宋体" w:hAnsi="宋体" w:cs="宋体" w:eastAsia="宋体" w:hint="ascii"/>
          <w:sz w:val="21"/>
        </w:rPr>
        <w:t>边</w:t>
      </w:r>
      <w:r>
        <w:rPr>
          <w:rFonts w:ascii="宋体" w:hAnsi="宋体" w:cs="宋体" w:eastAsia="宋体" w:hint="ascii"/>
          <w:sz w:val="21"/>
          <w:spacing w:val="-1"/>
        </w:rPr>
        <w:t>合</w:t>
      </w:r>
      <w:r>
        <w:rPr>
          <w:rFonts w:ascii="宋体" w:hAnsi="宋体" w:cs="宋体" w:eastAsia="宋体" w:hint="ascii"/>
          <w:sz w:val="21"/>
        </w:rPr>
        <w:t>作。</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年度有</w:t>
      </w:r>
      <w:r>
        <w:rPr>
          <w:rFonts w:ascii="宋体" w:hAnsi="宋体" w:cs="宋体" w:eastAsia="宋体" w:hint="ascii"/>
          <w:sz w:val="21"/>
          <w:spacing w:val="-1"/>
        </w:rPr>
        <w:t>关</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事宜</w:t>
      </w:r>
      <w:r>
        <w:rPr>
          <w:rFonts w:ascii="宋体" w:hAnsi="宋体" w:cs="宋体" w:eastAsia="宋体" w:hint="ascii"/>
          <w:sz w:val="21"/>
          <w:spacing w:val="-1"/>
        </w:rPr>
        <w:t>请</w:t>
      </w:r>
      <w:r>
        <w:rPr>
          <w:rFonts w:ascii="宋体" w:hAnsi="宋体" w:cs="宋体" w:eastAsia="宋体" w:hint="ascii"/>
          <w:sz w:val="21"/>
        </w:rPr>
        <w:t>关</w:t>
      </w:r>
      <w:r>
        <w:rPr>
          <w:rFonts w:ascii="宋体" w:hAnsi="宋体" w:cs="宋体" w:eastAsia="宋体" w:hint="ascii"/>
          <w:sz w:val="21"/>
          <w:spacing w:val="-1"/>
        </w:rPr>
        <w:t>注</w:t>
      </w:r>
      <w:r>
        <w:rPr>
          <w:rFonts w:ascii="宋体" w:hAnsi="宋体" w:cs="宋体" w:eastAsia="宋体" w:hint="ascii"/>
          <w:sz w:val="21"/>
        </w:rPr>
        <w:t>自然</w:t>
      </w:r>
      <w:r>
        <w:rPr>
          <w:rFonts w:ascii="宋体" w:hAnsi="宋体" w:cs="宋体" w:eastAsia="宋体" w:hint="ascii"/>
          <w:sz w:val="21"/>
          <w:spacing w:val="-1"/>
        </w:rPr>
        <w:t>科</w:t>
      </w:r>
      <w:r>
        <w:rPr>
          <w:rFonts w:ascii="宋体" w:hAnsi="宋体" w:cs="宋体" w:eastAsia="宋体" w:hint="ascii"/>
          <w:sz w:val="21"/>
        </w:rPr>
        <w:t>学</w:t>
      </w:r>
      <w:r>
        <w:rPr>
          <w:rFonts w:ascii="宋体" w:hAnsi="宋体" w:cs="宋体" w:eastAsia="宋体" w:hint="ascii"/>
          <w:sz w:val="21"/>
          <w:spacing w:val="-1"/>
        </w:rPr>
        <w:t>基</w:t>
      </w:r>
      <w:r>
        <w:rPr>
          <w:rFonts w:ascii="宋体" w:hAnsi="宋体" w:cs="宋体" w:eastAsia="宋体" w:hint="ascii"/>
          <w:sz w:val="21"/>
        </w:rPr>
        <w:t>金</w:t>
      </w:r>
      <w:r>
        <w:rPr>
          <w:rFonts w:ascii="宋体" w:hAnsi="宋体" w:cs="宋体" w:eastAsia="宋体" w:hint="ascii"/>
          <w:sz w:val="21"/>
          <w:spacing w:val="-4"/>
        </w:rPr>
        <w:t>委</w:t>
      </w:r>
      <w:r>
        <w:rPr>
          <w:rFonts w:ascii="宋体" w:hAnsi="宋体" w:cs="宋体" w:eastAsia="宋体" w:hint="ascii"/>
          <w:sz w:val="21"/>
        </w:rPr>
        <w:t>网站“通知通告”栏目中发布的《组织间国际（地区）合作研究与交流项目指南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国际山地综合发展中心（</w:t>
      </w:r>
      <w:r>
        <w:rPr>
          <w:rFonts w:ascii="Times New Roman" w:hAnsi="Times New Roman" w:cs="Times New Roman" w:eastAsia="Times New Roman" w:hint="ascii"/>
          <w:b w:val="1"/>
          <w:sz w:val="21"/>
        </w:rPr>
        <w:t>ICIMOD</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根据自然科学基金委与国际山地综合发展中心签署的谅解备忘录，从 </w:t>
      </w:r>
      <w:r>
        <w:rPr>
          <w:rFonts w:ascii="Times New Roman" w:hAnsi="Times New Roman" w:cs="Times New Roman" w:eastAsia="Times New Roman" w:hint="ascii"/>
          <w:sz w:val="21"/>
        </w:rPr>
        <w:t xml:space="preserve">2016 </w:t>
      </w:r>
      <w:r>
        <w:rPr>
          <w:rFonts w:ascii="宋体" w:hAnsi="宋体" w:cs="宋体" w:eastAsia="宋体" w:hint="ascii"/>
          <w:sz w:val="21"/>
        </w:rPr>
        <w:t>年度起</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将共同资助中国科学家与</w:t>
      </w:r>
      <w:r>
        <w:rPr>
          <w:rFonts w:ascii="宋体" w:hAnsi="宋体" w:cs="宋体" w:eastAsia="宋体" w:hint="ascii"/>
          <w:sz w:val="21"/>
          <w:spacing w:val="-8"/>
        </w:rPr>
        <w:t xml:space="preserve"> </w:t>
      </w:r>
      <w:r>
        <w:rPr>
          <w:rFonts w:ascii="Times New Roman" w:hAnsi="Times New Roman" w:cs="Times New Roman" w:eastAsia="Times New Roman" w:hint="ascii"/>
          <w:sz w:val="21"/>
        </w:rPr>
        <w:t>ICIMOD</w:t>
      </w:r>
      <w:r>
        <w:rPr>
          <w:rFonts w:ascii="Times New Roman" w:hAnsi="Times New Roman" w:cs="Times New Roman" w:eastAsia="Times New Roman" w:hint="ascii"/>
          <w:sz w:val="21"/>
          <w:spacing w:val="-9"/>
        </w:rPr>
        <w:t xml:space="preserve"> </w:t>
      </w:r>
      <w:r>
        <w:rPr>
          <w:rFonts w:ascii="宋体" w:hAnsi="宋体" w:cs="宋体" w:eastAsia="宋体" w:hint="ascii"/>
          <w:sz w:val="21"/>
        </w:rPr>
        <w:t>科学家以及</w:t>
      </w:r>
      <w:r>
        <w:rPr>
          <w:rFonts w:ascii="宋体" w:hAnsi="宋体" w:cs="宋体" w:eastAsia="宋体" w:hint="ascii"/>
          <w:sz w:val="21"/>
          <w:spacing w:val="-8"/>
        </w:rPr>
        <w:t xml:space="preserve"> </w:t>
      </w:r>
      <w:r>
        <w:rPr>
          <w:rFonts w:ascii="Times New Roman" w:hAnsi="Times New Roman" w:cs="Times New Roman" w:eastAsia="Times New Roman" w:hint="ascii"/>
          <w:sz w:val="21"/>
        </w:rPr>
        <w:t>ICIMOD</w:t>
      </w:r>
      <w:r>
        <w:rPr>
          <w:rFonts w:ascii="Times New Roman" w:hAnsi="Times New Roman" w:cs="Times New Roman" w:eastAsia="Times New Roman" w:hint="ascii"/>
          <w:sz w:val="21"/>
          <w:spacing w:val="-9"/>
        </w:rPr>
        <w:t xml:space="preserve"> </w:t>
      </w:r>
      <w:r>
        <w:rPr>
          <w:rFonts w:ascii="宋体" w:hAnsi="宋体" w:cs="宋体" w:eastAsia="宋体" w:hint="ascii"/>
          <w:sz w:val="21"/>
        </w:rPr>
        <w:t>成员国的科学家开展合作，推动中国及周边国家在兴都库什喜马拉雅地区的科学研究。</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58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169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金砖国家科技和创新框架计划（</w:t>
      </w:r>
      <w:r>
        <w:rPr>
          <w:rFonts w:ascii="Times New Roman" w:hAnsi="Times New Roman" w:cs="Times New Roman" w:eastAsia="Times New Roman" w:hint="ascii"/>
          <w:b w:val="1"/>
          <w:sz w:val="21"/>
        </w:rPr>
        <w:t>BRICS STI Framework Programme</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45" locked="0" layoutInCell="1" allowOverlap="1">
                <wp:simplePos x="0" y="0"/>
                <wp:positionH relativeFrom="page">
                  <wp:posOffset>938530</wp:posOffset>
                </wp:positionH>
                <wp:positionV relativeFrom="page">
                  <wp:posOffset>805815</wp:posOffset>
                </wp:positionV>
                <wp:extent cx="5076190" cy="0"/>
                <wp:wrapNone/>
                <wp:docPr id="1274" name="127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07360;width:399.70pt;" id="127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根据自然科学基金委、中华人民共和国科学技术部（</w:t>
      </w:r>
      <w:r>
        <w:rPr>
          <w:rFonts w:ascii="Times New Roman" w:hAnsi="Times New Roman" w:cs="Times New Roman" w:eastAsia="Times New Roman" w:hint="ascii"/>
          <w:sz w:val="21"/>
        </w:rPr>
        <w:t>MOS</w:t>
      </w:r>
      <w:r>
        <w:rPr>
          <w:rFonts w:ascii="Times New Roman" w:hAnsi="Times New Roman" w:cs="Times New Roman" w:eastAsia="Times New Roman" w:hint="ascii"/>
          <w:sz w:val="21"/>
          <w:spacing w:val="5"/>
        </w:rPr>
        <w:t>T</w:t>
      </w:r>
      <w:r>
        <w:rPr>
          <w:rFonts w:ascii="宋体" w:hAnsi="宋体" w:cs="宋体" w:eastAsia="宋体" w:hint="ascii"/>
          <w:sz w:val="21"/>
          <w:spacing w:val="-50"/>
        </w:rPr>
        <w:t>）</w:t>
      </w:r>
      <w:r>
        <w:rPr>
          <w:rFonts w:ascii="宋体" w:hAnsi="宋体" w:cs="宋体" w:eastAsia="宋体" w:hint="ascii"/>
          <w:sz w:val="21"/>
        </w:rPr>
        <w:t>、巴西国家科学</w:t>
      </w:r>
      <w:r>
        <w:rPr>
          <w:rFonts w:ascii="宋体" w:hAnsi="宋体" w:cs="宋体" w:eastAsia="宋体" w:hint="ascii"/>
          <w:sz w:val="21"/>
          <w:spacing w:val="3"/>
        </w:rPr>
        <w:t>技</w:t>
      </w:r>
      <w:r>
        <w:rPr>
          <w:rFonts w:ascii="宋体" w:hAnsi="宋体" w:cs="宋体" w:eastAsia="宋体" w:hint="ascii"/>
          <w:sz w:val="21"/>
        </w:rPr>
        <w:t>术</w:t>
      </w:r>
    </w:p>
    <w:p>
      <w:pPr>
        <w:autoSpaceDE w:val="0"/>
        <w:autoSpaceDN w:val="0"/>
        <w:jc w:val="both"/>
        <w:spacing w:before="13" w:after="0" w:lineRule="exact" w:line="330"/>
        <w:ind w:right="975" w:left="966" w:firstLine="0"/>
        <w:snapToGrid w:val="0"/>
        <w:textAlignment w:val="auto"/>
        <w:tabs/>
        <w:rPr>
          <w:rFonts w:ascii="宋体" w:hAnsi="宋体" w:cs="宋体" w:eastAsia="宋体" w:hint="ascii"/>
          <w:sz w:val="21"/>
        </w:rPr>
      </w:pPr>
      <w:r>
        <w:rPr>
          <w:rFonts w:ascii="宋体" w:hAnsi="宋体" w:cs="宋体" w:eastAsia="宋体" w:hint="ascii"/>
          <w:sz w:val="21"/>
        </w:rPr>
        <w:t>发展委员会（</w:t>
      </w:r>
      <w:r>
        <w:rPr>
          <w:rFonts w:ascii="Times New Roman" w:hAnsi="Times New Roman" w:cs="Times New Roman" w:eastAsia="Times New Roman" w:hint="ascii"/>
          <w:sz w:val="21"/>
        </w:rPr>
        <w:t>CNP</w:t>
      </w:r>
      <w:r>
        <w:rPr>
          <w:rFonts w:ascii="Times New Roman" w:hAnsi="Times New Roman" w:cs="Times New Roman" w:eastAsia="Times New Roman" w:hint="ascii"/>
          <w:sz w:val="21"/>
          <w:spacing w:val="6"/>
        </w:rPr>
        <w:t>q</w:t>
      </w:r>
      <w:r>
        <w:rPr>
          <w:rFonts w:ascii="宋体" w:hAnsi="宋体" w:cs="宋体" w:eastAsia="宋体" w:hint="ascii"/>
          <w:sz w:val="21"/>
          <w:spacing w:val="-52"/>
        </w:rPr>
        <w:t>）</w:t>
      </w:r>
      <w:r>
        <w:rPr>
          <w:rFonts w:ascii="宋体" w:hAnsi="宋体" w:cs="宋体" w:eastAsia="宋体" w:hint="ascii"/>
          <w:sz w:val="21"/>
        </w:rPr>
        <w:t>、俄罗斯小型创新企业支持基金会（</w:t>
      </w:r>
      <w:r>
        <w:rPr>
          <w:rFonts w:ascii="Times New Roman" w:hAnsi="Times New Roman" w:cs="Times New Roman" w:eastAsia="Times New Roman" w:hint="ascii"/>
          <w:sz w:val="21"/>
          <w:spacing w:val="-17"/>
        </w:rPr>
        <w:t>F</w:t>
      </w:r>
      <w:r>
        <w:rPr>
          <w:rFonts w:ascii="Times New Roman" w:hAnsi="Times New Roman" w:cs="Times New Roman" w:eastAsia="Times New Roman" w:hint="ascii"/>
          <w:sz w:val="21"/>
        </w:rPr>
        <w:t>ASI</w:t>
      </w:r>
      <w:r>
        <w:rPr>
          <w:rFonts w:ascii="Times New Roman" w:hAnsi="Times New Roman" w:cs="Times New Roman" w:eastAsia="Times New Roman" w:hint="ascii"/>
          <w:sz w:val="21"/>
          <w:spacing w:val="5"/>
        </w:rPr>
        <w:t>E</w:t>
      </w:r>
      <w:r>
        <w:rPr>
          <w:rFonts w:ascii="宋体" w:hAnsi="宋体" w:cs="宋体" w:eastAsia="宋体" w:hint="ascii"/>
          <w:sz w:val="21"/>
          <w:spacing w:val="-51"/>
        </w:rPr>
        <w:t>）</w:t>
      </w:r>
      <w:r>
        <w:rPr>
          <w:rFonts w:ascii="宋体" w:hAnsi="宋体" w:cs="宋体" w:eastAsia="宋体" w:hint="ascii"/>
          <w:sz w:val="21"/>
        </w:rPr>
        <w:t>、俄罗斯科学与教育部（</w:t>
      </w:r>
      <w:r>
        <w:rPr>
          <w:rFonts w:ascii="Times New Roman" w:hAnsi="Times New Roman" w:cs="Times New Roman" w:eastAsia="Times New Roman" w:hint="ascii"/>
          <w:sz w:val="21"/>
        </w:rPr>
        <w:t>MON</w:t>
      </w:r>
      <w:r>
        <w:rPr>
          <w:rFonts w:ascii="宋体" w:hAnsi="宋体" w:cs="宋体" w:eastAsia="宋体" w:hint="ascii"/>
          <w:sz w:val="21"/>
          <w:spacing w:val="-52"/>
        </w:rPr>
        <w:t>）</w:t>
      </w:r>
      <w:r>
        <w:rPr>
          <w:rFonts w:ascii="宋体" w:hAnsi="宋体" w:cs="宋体" w:eastAsia="宋体" w:hint="ascii"/>
          <w:sz w:val="21"/>
        </w:rPr>
        <w:t>、俄罗斯基础研究基金会（</w:t>
      </w:r>
      <w:r>
        <w:rPr>
          <w:rFonts w:ascii="Times New Roman" w:hAnsi="Times New Roman" w:cs="Times New Roman" w:eastAsia="Times New Roman" w:hint="ascii"/>
          <w:sz w:val="21"/>
        </w:rPr>
        <w:t>RFBR</w:t>
      </w:r>
      <w:r>
        <w:rPr>
          <w:rFonts w:ascii="宋体" w:hAnsi="宋体" w:cs="宋体" w:eastAsia="宋体" w:hint="ascii"/>
          <w:sz w:val="21"/>
          <w:spacing w:val="-52"/>
        </w:rPr>
        <w:t>）</w:t>
      </w:r>
      <w:r>
        <w:rPr>
          <w:rFonts w:ascii="宋体" w:hAnsi="宋体" w:cs="宋体" w:eastAsia="宋体" w:hint="ascii"/>
          <w:sz w:val="21"/>
        </w:rPr>
        <w:t>、印度科学技术部（</w:t>
      </w:r>
      <w:r>
        <w:rPr>
          <w:rFonts w:ascii="Times New Roman" w:hAnsi="Times New Roman" w:cs="Times New Roman" w:eastAsia="Times New Roman" w:hint="ascii"/>
          <w:sz w:val="21"/>
        </w:rPr>
        <w:t>DST</w:t>
      </w:r>
      <w:r>
        <w:rPr>
          <w:rFonts w:ascii="宋体" w:hAnsi="宋体" w:cs="宋体" w:eastAsia="宋体" w:hint="ascii"/>
          <w:sz w:val="21"/>
          <w:spacing w:val="-52"/>
        </w:rPr>
        <w:t>）</w:t>
      </w:r>
      <w:r>
        <w:rPr>
          <w:rFonts w:ascii="宋体" w:hAnsi="宋体" w:cs="宋体" w:eastAsia="宋体" w:hint="ascii"/>
          <w:sz w:val="21"/>
        </w:rPr>
        <w:t>、南非科学技术部（</w:t>
      </w:r>
      <w:r>
        <w:rPr>
          <w:rFonts w:ascii="Times New Roman" w:hAnsi="Times New Roman" w:cs="Times New Roman" w:eastAsia="Times New Roman" w:hint="ascii"/>
          <w:sz w:val="21"/>
        </w:rPr>
        <w:t>DST</w:t>
      </w:r>
      <w:r>
        <w:rPr>
          <w:rFonts w:ascii="宋体" w:hAnsi="宋体" w:cs="宋体" w:eastAsia="宋体" w:hint="ascii"/>
          <w:sz w:val="21"/>
          <w:spacing w:val="-52"/>
        </w:rPr>
        <w:t>）</w:t>
      </w:r>
      <w:r>
        <w:rPr>
          <w:rFonts w:ascii="宋体" w:hAnsi="宋体" w:cs="宋体" w:eastAsia="宋体" w:hint="ascii"/>
          <w:sz w:val="21"/>
        </w:rPr>
        <w:t>、南非国家研究基金会（</w:t>
      </w:r>
      <w:r>
        <w:rPr>
          <w:rFonts w:ascii="Times New Roman" w:hAnsi="Times New Roman" w:cs="Times New Roman" w:eastAsia="Times New Roman" w:hint="ascii"/>
          <w:sz w:val="21"/>
        </w:rPr>
        <w:t>NRF</w:t>
      </w:r>
      <w:r>
        <w:rPr>
          <w:rFonts w:ascii="宋体" w:hAnsi="宋体" w:cs="宋体" w:eastAsia="宋体" w:hint="ascii"/>
          <w:sz w:val="21"/>
        </w:rPr>
        <w:t>）等科研资助机构在金砖国家科技和创新框</w:t>
      </w:r>
      <w:r>
        <w:rPr>
          <w:rFonts w:ascii="宋体" w:hAnsi="宋体" w:cs="宋体" w:eastAsia="宋体" w:hint="ascii"/>
          <w:sz w:val="21"/>
          <w:spacing w:val="-1"/>
        </w:rPr>
        <w:t>架计划下</w:t>
      </w:r>
      <w:r>
        <w:rPr>
          <w:rFonts w:ascii="宋体" w:hAnsi="宋体" w:cs="宋体" w:eastAsia="宋体" w:hint="ascii"/>
          <w:sz w:val="21"/>
        </w:rPr>
        <w:t xml:space="preserve">达成的开展联合资助合作研究项目的协议，各方从 </w:t>
      </w:r>
      <w:r>
        <w:rPr>
          <w:rFonts w:ascii="Times New Roman" w:hAnsi="Times New Roman" w:cs="Times New Roman" w:eastAsia="Times New Roman" w:hint="ascii"/>
          <w:sz w:val="21"/>
        </w:rPr>
        <w:t xml:space="preserve">2016 </w:t>
      </w:r>
      <w:r>
        <w:rPr>
          <w:rFonts w:ascii="宋体" w:hAnsi="宋体" w:cs="宋体" w:eastAsia="宋体" w:hint="ascii"/>
          <w:sz w:val="21"/>
        </w:rPr>
        <w:t>年度起将共同资助各国科</w:t>
      </w:r>
      <w:r>
        <w:rPr>
          <w:rFonts w:ascii="宋体" w:hAnsi="宋体" w:cs="宋体" w:eastAsia="宋体" w:hint="ascii"/>
          <w:sz w:val="21"/>
          <w:spacing w:val="-1"/>
        </w:rPr>
        <w:t>学</w:t>
      </w:r>
      <w:r>
        <w:rPr>
          <w:rFonts w:ascii="宋体" w:hAnsi="宋体" w:cs="宋体" w:eastAsia="宋体" w:hint="ascii"/>
          <w:sz w:val="21"/>
        </w:rPr>
        <w:t>家</w:t>
      </w:r>
      <w:r>
        <w:rPr>
          <w:rFonts w:ascii="宋体" w:hAnsi="宋体" w:cs="宋体" w:eastAsia="宋体" w:hint="ascii"/>
          <w:sz w:val="21"/>
          <w:spacing w:val="-1"/>
        </w:rPr>
        <w:t>开</w:t>
      </w:r>
      <w:r>
        <w:rPr>
          <w:rFonts w:ascii="宋体" w:hAnsi="宋体" w:cs="宋体" w:eastAsia="宋体" w:hint="ascii"/>
          <w:sz w:val="21"/>
        </w:rPr>
        <w:t>展合</w:t>
      </w:r>
      <w:r>
        <w:rPr>
          <w:rFonts w:ascii="宋体" w:hAnsi="宋体" w:cs="宋体" w:eastAsia="宋体" w:hint="ascii"/>
          <w:sz w:val="21"/>
          <w:spacing w:val="-1"/>
        </w:rPr>
        <w:t>作</w:t>
      </w:r>
      <w:r>
        <w:rPr>
          <w:rFonts w:ascii="宋体" w:hAnsi="宋体" w:cs="宋体" w:eastAsia="宋体" w:hint="ascii"/>
          <w:sz w:val="21"/>
        </w:rPr>
        <w:t>。</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年度有</w:t>
      </w:r>
      <w:r>
        <w:rPr>
          <w:rFonts w:ascii="宋体" w:hAnsi="宋体" w:cs="宋体" w:eastAsia="宋体" w:hint="ascii"/>
          <w:sz w:val="21"/>
          <w:spacing w:val="-1"/>
        </w:rPr>
        <w:t>关</w:t>
      </w:r>
      <w:r>
        <w:rPr>
          <w:rFonts w:ascii="宋体" w:hAnsi="宋体" w:cs="宋体" w:eastAsia="宋体" w:hint="ascii"/>
          <w:sz w:val="21"/>
        </w:rPr>
        <w:t>申请</w:t>
      </w:r>
      <w:r>
        <w:rPr>
          <w:rFonts w:ascii="宋体" w:hAnsi="宋体" w:cs="宋体" w:eastAsia="宋体" w:hint="ascii"/>
          <w:sz w:val="21"/>
          <w:spacing w:val="-1"/>
        </w:rPr>
        <w:t>事</w:t>
      </w:r>
      <w:r>
        <w:rPr>
          <w:rFonts w:ascii="宋体" w:hAnsi="宋体" w:cs="宋体" w:eastAsia="宋体" w:hint="ascii"/>
          <w:sz w:val="21"/>
        </w:rPr>
        <w:t>宜</w:t>
      </w:r>
      <w:r>
        <w:rPr>
          <w:rFonts w:ascii="宋体" w:hAnsi="宋体" w:cs="宋体" w:eastAsia="宋体" w:hint="ascii"/>
          <w:sz w:val="21"/>
          <w:spacing w:val="-1"/>
        </w:rPr>
        <w:t>请</w:t>
      </w:r>
      <w:r>
        <w:rPr>
          <w:rFonts w:ascii="宋体" w:hAnsi="宋体" w:cs="宋体" w:eastAsia="宋体" w:hint="ascii"/>
          <w:sz w:val="21"/>
        </w:rPr>
        <w:t>关注</w:t>
      </w:r>
      <w:r>
        <w:rPr>
          <w:rFonts w:ascii="宋体" w:hAnsi="宋体" w:cs="宋体" w:eastAsia="宋体" w:hint="ascii"/>
          <w:sz w:val="21"/>
          <w:spacing w:val="-1"/>
        </w:rPr>
        <w:t>自</w:t>
      </w:r>
      <w:r>
        <w:rPr>
          <w:rFonts w:ascii="宋体" w:hAnsi="宋体" w:cs="宋体" w:eastAsia="宋体" w:hint="ascii"/>
          <w:sz w:val="21"/>
        </w:rPr>
        <w:t>然</w:t>
      </w:r>
      <w:r>
        <w:rPr>
          <w:rFonts w:ascii="宋体" w:hAnsi="宋体" w:cs="宋体" w:eastAsia="宋体" w:hint="ascii"/>
          <w:sz w:val="21"/>
          <w:spacing w:val="-1"/>
        </w:rPr>
        <w:t>科</w:t>
      </w:r>
      <w:r>
        <w:rPr>
          <w:rFonts w:ascii="宋体" w:hAnsi="宋体" w:cs="宋体" w:eastAsia="宋体" w:hint="ascii"/>
          <w:sz w:val="21"/>
        </w:rPr>
        <w:t>学基</w:t>
      </w:r>
      <w:r>
        <w:rPr>
          <w:rFonts w:ascii="宋体" w:hAnsi="宋体" w:cs="宋体" w:eastAsia="宋体" w:hint="ascii"/>
          <w:sz w:val="21"/>
          <w:spacing w:val="-1"/>
        </w:rPr>
        <w:t>金</w:t>
      </w:r>
      <w:r>
        <w:rPr>
          <w:rFonts w:ascii="宋体" w:hAnsi="宋体" w:cs="宋体" w:eastAsia="宋体" w:hint="ascii"/>
          <w:sz w:val="21"/>
        </w:rPr>
        <w:t>委</w:t>
      </w:r>
      <w:r>
        <w:rPr>
          <w:rFonts w:ascii="宋体" w:hAnsi="宋体" w:cs="宋体" w:eastAsia="宋体" w:hint="ascii"/>
          <w:sz w:val="21"/>
          <w:spacing w:val="-1"/>
        </w:rPr>
        <w:t>网</w:t>
      </w:r>
      <w:r>
        <w:rPr>
          <w:rFonts w:ascii="宋体" w:hAnsi="宋体" w:cs="宋体" w:eastAsia="宋体" w:hint="ascii"/>
          <w:sz w:val="21"/>
        </w:rPr>
        <w:t>站“</w:t>
      </w:r>
      <w:r>
        <w:rPr>
          <w:rFonts w:ascii="宋体" w:hAnsi="宋体" w:cs="宋体" w:eastAsia="宋体" w:hint="ascii"/>
          <w:sz w:val="21"/>
          <w:spacing w:val="-1"/>
        </w:rPr>
        <w:t>通</w:t>
      </w:r>
      <w:r>
        <w:rPr>
          <w:rFonts w:ascii="宋体" w:hAnsi="宋体" w:cs="宋体" w:eastAsia="宋体" w:hint="ascii"/>
          <w:sz w:val="21"/>
        </w:rPr>
        <w:t>知</w:t>
      </w:r>
      <w:r>
        <w:rPr>
          <w:rFonts w:ascii="宋体" w:hAnsi="宋体" w:cs="宋体" w:eastAsia="宋体" w:hint="ascii"/>
          <w:sz w:val="21"/>
          <w:spacing w:val="-1"/>
        </w:rPr>
        <w:t>通</w:t>
      </w:r>
      <w:r>
        <w:rPr>
          <w:rFonts w:ascii="宋体" w:hAnsi="宋体" w:cs="宋体" w:eastAsia="宋体" w:hint="ascii"/>
          <w:sz w:val="21"/>
        </w:rPr>
        <w:t>告</w:t>
      </w:r>
      <w:r>
        <w:rPr>
          <w:rFonts w:ascii="宋体" w:hAnsi="宋体" w:cs="宋体" w:eastAsia="宋体" w:hint="ascii"/>
          <w:sz w:val="21"/>
          <w:spacing w:val="-4"/>
        </w:rPr>
        <w:t>”</w:t>
      </w:r>
      <w:r>
        <w:rPr>
          <w:rFonts w:ascii="宋体" w:hAnsi="宋体" w:cs="宋体" w:eastAsia="宋体" w:hint="ascii"/>
          <w:sz w:val="21"/>
        </w:rPr>
        <w:t xml:space="preserve"> 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62" w:after="0" w:lineRule="exact" w:line="623"/>
        <w:ind w:right="4098" w:left="1386" w:firstLine="2700"/>
        <w:snapToGrid w:val="0"/>
        <w:textAlignment w:val="auto"/>
        <w:tabs/>
        <w:rPr>
          <w:rFonts w:ascii="宋体" w:hAnsi="宋体" w:cs="宋体" w:eastAsia="宋体" w:hint="ascii"/>
        </w:rPr>
      </w:pPr>
      <w:r>
        <w:rPr>
          <w:rFonts w:ascii="宋体" w:hAnsi="宋体" w:cs="宋体" w:eastAsia="宋体" w:hint="ascii"/>
          <w:sz w:val="29"/>
          <w:spacing w:val="-2"/>
        </w:rPr>
        <w:t>美</w:t>
      </w:r>
      <w:r>
        <w:rPr>
          <w:rFonts w:ascii="宋体" w:hAnsi="宋体" w:cs="宋体" w:eastAsia="宋体" w:hint="ascii"/>
          <w:sz w:val="29"/>
          <w:spacing w:val="-1"/>
        </w:rPr>
        <w:t>洲、大洋</w:t>
      </w:r>
      <w:r>
        <w:rPr>
          <w:rFonts w:ascii="宋体" w:hAnsi="宋体" w:cs="宋体" w:eastAsia="宋体" w:hint="ascii"/>
          <w:sz w:val="29"/>
        </w:rPr>
        <w:t>洲</w:t>
      </w:r>
      <w:r>
        <w:rPr>
          <w:rFonts w:ascii="宋体" w:hAnsi="宋体" w:cs="宋体" w:eastAsia="宋体" w:hint="ascii"/>
        </w:rPr>
        <w:t>美国</w:t>
      </w:r>
    </w:p>
    <w:p>
      <w:pPr>
        <w:autoSpaceDE w:val="0"/>
        <w:autoSpaceDN w:val="0"/>
        <w:jc w:val="left"/>
        <w:spacing w:before="13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美国国家科学基金会（</w:t>
      </w:r>
      <w:r>
        <w:rPr>
          <w:rFonts w:ascii="Times New Roman" w:hAnsi="Times New Roman" w:cs="Times New Roman" w:eastAsia="Times New Roman" w:hint="ascii"/>
          <w:b w:val="1"/>
          <w:sz w:val="21"/>
        </w:rPr>
        <w:t>NSF</w:t>
      </w:r>
      <w:r>
        <w:rPr>
          <w:rFonts w:ascii="宋体" w:hAnsi="宋体" w:cs="宋体" w:eastAsia="宋体" w:hint="ascii"/>
          <w:sz w:val="21"/>
        </w:rPr>
        <w:t>）</w:t>
      </w:r>
    </w:p>
    <w:p>
      <w:pPr>
        <w:autoSpaceDE w:val="0"/>
        <w:autoSpaceDN w:val="0"/>
        <w:jc w:val="both"/>
        <w:spacing w:before="13" w:after="0" w:lineRule="exact" w:line="319"/>
        <w:ind w:right="975" w:left="966" w:firstLine="420"/>
        <w:snapToGrid w:val="0"/>
        <w:textAlignment w:val="auto"/>
        <w:tabs/>
        <w:rPr>
          <w:rFonts w:ascii="宋体" w:hAnsi="宋体" w:cs="宋体" w:eastAsia="宋体" w:hint="ascii"/>
          <w:sz w:val="21"/>
        </w:rPr>
      </w:pPr>
      <w:r>
        <w:rPr>
          <w:rFonts w:ascii="宋体" w:hAnsi="宋体" w:cs="宋体" w:eastAsia="宋体" w:hint="ascii"/>
          <w:sz w:val="21"/>
        </w:rPr>
        <w:t>自然科学</w:t>
      </w:r>
      <w:r>
        <w:rPr>
          <w:rFonts w:ascii="宋体" w:hAnsi="宋体" w:cs="宋体" w:eastAsia="宋体" w:hint="ascii"/>
          <w:sz w:val="21"/>
          <w:spacing w:val="-1"/>
        </w:rPr>
        <w:t>基</w:t>
      </w:r>
      <w:r>
        <w:rPr>
          <w:rFonts w:ascii="宋体" w:hAnsi="宋体" w:cs="宋体" w:eastAsia="宋体" w:hint="ascii"/>
          <w:sz w:val="21"/>
        </w:rPr>
        <w:t>金委与美</w:t>
      </w:r>
      <w:r>
        <w:rPr>
          <w:rFonts w:ascii="宋体" w:hAnsi="宋体" w:cs="宋体" w:eastAsia="宋体" w:hint="ascii"/>
          <w:sz w:val="21"/>
          <w:spacing w:val="-1"/>
        </w:rPr>
        <w:t>国</w:t>
      </w:r>
      <w:r>
        <w:rPr>
          <w:rFonts w:ascii="宋体" w:hAnsi="宋体" w:cs="宋体" w:eastAsia="宋体" w:hint="ascii"/>
          <w:sz w:val="21"/>
        </w:rPr>
        <w:t>国家科学</w:t>
      </w:r>
      <w:r>
        <w:rPr>
          <w:rFonts w:ascii="宋体" w:hAnsi="宋体" w:cs="宋体" w:eastAsia="宋体" w:hint="ascii"/>
          <w:sz w:val="21"/>
          <w:spacing w:val="-1"/>
        </w:rPr>
        <w:t>基</w:t>
      </w:r>
      <w:r>
        <w:rPr>
          <w:rFonts w:ascii="宋体" w:hAnsi="宋体" w:cs="宋体" w:eastAsia="宋体" w:hint="ascii"/>
          <w:sz w:val="21"/>
        </w:rPr>
        <w:t>金会（</w:t>
      </w:r>
      <w:r>
        <w:rPr>
          <w:rFonts w:ascii="Times New Roman" w:hAnsi="Times New Roman" w:cs="Times New Roman" w:eastAsia="Times New Roman" w:hint="ascii"/>
          <w:sz w:val="21"/>
        </w:rPr>
        <w:t>NSF</w:t>
      </w:r>
      <w:r>
        <w:rPr>
          <w:rFonts w:ascii="宋体" w:hAnsi="宋体" w:cs="宋体" w:eastAsia="宋体" w:hint="ascii"/>
          <w:sz w:val="21"/>
        </w:rPr>
        <w:t>）联合资</w:t>
      </w:r>
      <w:r>
        <w:rPr>
          <w:rFonts w:ascii="宋体" w:hAnsi="宋体" w:cs="宋体" w:eastAsia="宋体" w:hint="ascii"/>
          <w:sz w:val="21"/>
          <w:spacing w:val="-1"/>
        </w:rPr>
        <w:t>助</w:t>
      </w:r>
      <w:r>
        <w:rPr>
          <w:rFonts w:ascii="宋体" w:hAnsi="宋体" w:cs="宋体" w:eastAsia="宋体" w:hint="ascii"/>
          <w:sz w:val="21"/>
        </w:rPr>
        <w:t>合作研究</w:t>
      </w:r>
      <w:r>
        <w:rPr>
          <w:rFonts w:ascii="宋体" w:hAnsi="宋体" w:cs="宋体" w:eastAsia="宋体" w:hint="ascii"/>
          <w:sz w:val="21"/>
          <w:spacing w:val="-1"/>
        </w:rPr>
        <w:t>项</w:t>
      </w:r>
      <w:r>
        <w:rPr>
          <w:rFonts w:ascii="宋体" w:hAnsi="宋体" w:cs="宋体" w:eastAsia="宋体" w:hint="ascii"/>
          <w:sz w:val="21"/>
        </w:rPr>
        <w:t>目和学术会</w:t>
      </w:r>
      <w:r>
        <w:rPr>
          <w:rFonts w:ascii="宋体" w:hAnsi="宋体" w:cs="宋体" w:eastAsia="宋体" w:hint="ascii"/>
          <w:sz w:val="21"/>
          <w:spacing w:val="-2"/>
        </w:rPr>
        <w:t>议</w:t>
      </w:r>
      <w:r>
        <w:rPr>
          <w:rFonts w:ascii="宋体" w:hAnsi="宋体" w:cs="宋体" w:eastAsia="宋体" w:hint="ascii"/>
          <w:sz w:val="21"/>
        </w:rPr>
        <w:t>项目。</w:t>
      </w:r>
    </w:p>
    <w:p>
      <w:pPr>
        <w:autoSpaceDE w:val="0"/>
        <w:autoSpaceDN w:val="0"/>
        <w:jc w:val="left"/>
        <w:spacing w:before="5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67" w:after="0" w:lineRule="exact" w:line="263"/>
        <w:ind w:right="0" w:left="1370" w:firstLine="0"/>
        <w:snapToGrid w:val="0"/>
        <w:textAlignment w:val="auto"/>
        <w:tabs/>
        <w:rPr>
          <w:rFonts w:ascii="宋体" w:hAnsi="宋体" w:cs="宋体" w:eastAsia="宋体" w:hint="ascii"/>
          <w:sz w:val="21"/>
        </w:rPr>
      </w:pPr>
      <w:r>
        <w:rPr>
          <w:rFonts w:ascii="宋体" w:hAnsi="宋体" w:cs="宋体" w:eastAsia="宋体" w:hint="ascii"/>
          <w:sz w:val="21"/>
          <w:spacing w:val="-4"/>
        </w:rPr>
        <w:t>自然科学基金委</w:t>
      </w:r>
      <w:r>
        <w:rPr>
          <w:rFonts w:ascii="宋体" w:hAnsi="宋体" w:cs="宋体" w:eastAsia="宋体" w:hint="ascii"/>
          <w:sz w:val="21"/>
          <w:spacing w:val="22"/>
        </w:rPr>
        <w:t>与</w:t>
      </w:r>
      <w:r>
        <w:rPr>
          <w:rFonts w:ascii="Times New Roman" w:hAnsi="Times New Roman" w:cs="Times New Roman" w:eastAsia="Times New Roman" w:hint="ascii"/>
          <w:sz w:val="21"/>
        </w:rPr>
        <w:t>NS</w:t>
      </w:r>
      <w:r>
        <w:rPr>
          <w:rFonts w:ascii="Times New Roman" w:hAnsi="Times New Roman" w:cs="Times New Roman" w:eastAsia="Times New Roman" w:hint="ascii"/>
          <w:sz w:val="21"/>
          <w:spacing w:val="45"/>
        </w:rPr>
        <w:t>F</w:t>
      </w:r>
      <w:r>
        <w:rPr>
          <w:rFonts w:ascii="宋体" w:hAnsi="宋体" w:cs="宋体" w:eastAsia="宋体" w:hint="ascii"/>
          <w:sz w:val="21"/>
          <w:spacing w:val="-4"/>
        </w:rPr>
        <w:t>在“食品、能源、水”领域定期共同征集受理合作研究项目</w:t>
      </w:r>
      <w:r>
        <w:rPr>
          <w:rFonts w:ascii="宋体" w:hAnsi="宋体" w:cs="宋体" w:eastAsia="宋体" w:hint="ascii"/>
          <w:sz w:val="21"/>
        </w:rPr>
        <w:t>。</w:t>
      </w:r>
    </w:p>
    <w:p>
      <w:pPr>
        <w:autoSpaceDE w:val="0"/>
        <w:autoSpaceDN w:val="0"/>
        <w:jc w:val="both"/>
        <w:spacing w:before="13" w:after="0" w:lineRule="exact" w:line="330"/>
        <w:ind w:right="975" w:left="966" w:firstLine="436"/>
        <w:snapToGrid w:val="0"/>
        <w:textAlignment w:val="auto"/>
        <w:tabs/>
        <w:rPr>
          <w:rFonts w:ascii="宋体" w:hAnsi="宋体" w:cs="宋体" w:eastAsia="宋体" w:hint="ascii"/>
          <w:sz w:val="21"/>
        </w:rPr>
      </w:pPr>
      <w:r>
        <w:rPr>
          <w:rFonts w:ascii="宋体" w:hAnsi="宋体" w:cs="宋体" w:eastAsia="宋体" w:hint="ascii"/>
          <w:sz w:val="21"/>
        </w:rPr>
        <w:t>中美（</w:t>
      </w:r>
      <w:r>
        <w:rPr>
          <w:rFonts w:ascii="Times New Roman" w:hAnsi="Times New Roman" w:cs="Times New Roman" w:eastAsia="Times New Roman" w:hint="ascii"/>
          <w:sz w:val="21"/>
        </w:rPr>
        <w:t>NSF</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rPr>
        <w:t>-NS</w:t>
      </w:r>
      <w:r>
        <w:rPr>
          <w:rFonts w:ascii="Times New Roman" w:hAnsi="Times New Roman" w:cs="Times New Roman" w:eastAsia="Times New Roman" w:hint="ascii"/>
          <w:sz w:val="21"/>
          <w:spacing w:val="7"/>
        </w:rPr>
        <w:t>F</w:t>
      </w:r>
      <w:r>
        <w:rPr>
          <w:rFonts w:ascii="宋体" w:hAnsi="宋体" w:cs="宋体" w:eastAsia="宋体" w:hint="ascii"/>
          <w:sz w:val="21"/>
          <w:spacing w:val="-54"/>
        </w:rPr>
        <w:t>）</w:t>
      </w:r>
      <w:r>
        <w:rPr>
          <w:rFonts w:ascii="宋体" w:hAnsi="宋体" w:cs="宋体" w:eastAsia="宋体" w:hint="ascii"/>
          <w:sz w:val="21"/>
        </w:rPr>
        <w:t>“食品、能源、水”领域合作研究项目是自然科学基金委</w:t>
      </w:r>
      <w:r>
        <w:rPr>
          <w:rFonts w:ascii="宋体" w:hAnsi="宋体" w:cs="宋体" w:eastAsia="宋体" w:hint="ascii"/>
          <w:sz w:val="21"/>
          <w:spacing w:val="-10"/>
        </w:rPr>
        <w:t>与</w:t>
      </w:r>
      <w:r>
        <w:rPr>
          <w:rFonts w:ascii="宋体" w:hAnsi="宋体" w:cs="宋体" w:eastAsia="宋体" w:hint="ascii"/>
          <w:sz w:val="21"/>
        </w:rPr>
        <w:t xml:space="preserve"> </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1"/>
        </w:rPr>
        <w:t>F</w:t>
      </w:r>
      <w:r>
        <w:rPr>
          <w:rFonts w:ascii="Times New Roman" w:hAnsi="Times New Roman" w:cs="Times New Roman" w:eastAsia="Times New Roman" w:hint="ascii"/>
          <w:sz w:val="21"/>
          <w:spacing w:val="2"/>
        </w:rPr>
        <w:t xml:space="preserve"> </w:t>
      </w:r>
      <w:r>
        <w:rPr>
          <w:rFonts w:ascii="宋体" w:hAnsi="宋体" w:cs="宋体" w:eastAsia="宋体" w:hint="ascii"/>
          <w:sz w:val="21"/>
          <w:spacing w:val="3"/>
        </w:rPr>
        <w:t>共同资助我国</w:t>
      </w:r>
      <w:r>
        <w:rPr>
          <w:rFonts w:ascii="宋体" w:hAnsi="宋体" w:cs="宋体" w:eastAsia="宋体" w:hint="ascii"/>
          <w:sz w:val="21"/>
          <w:spacing w:val="2"/>
        </w:rPr>
        <w:t>和美国科学家之间开展的合作研究项目。自然科学基金委对每</w:t>
      </w:r>
      <w:r>
        <w:rPr>
          <w:rFonts w:ascii="宋体" w:hAnsi="宋体" w:cs="宋体" w:eastAsia="宋体" w:hint="ascii"/>
          <w:sz w:val="21"/>
          <w:spacing w:val="-6"/>
        </w:rPr>
        <w:t>个</w:t>
      </w:r>
      <w:r>
        <w:rPr>
          <w:rFonts w:ascii="宋体" w:hAnsi="宋体" w:cs="宋体" w:eastAsia="宋体" w:hint="ascii"/>
          <w:sz w:val="21"/>
          <w:spacing w:val="2"/>
        </w:rPr>
        <w:t>项目提供最</w:t>
      </w:r>
      <w:r>
        <w:rPr>
          <w:rFonts w:ascii="宋体" w:hAnsi="宋体" w:cs="宋体" w:eastAsia="宋体" w:hint="ascii"/>
          <w:sz w:val="21"/>
          <w:spacing w:val="-2"/>
        </w:rPr>
        <w:t>多</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5"/>
        </w:rPr>
        <w:t>3</w:t>
      </w:r>
      <w:r>
        <w:rPr>
          <w:rFonts w:ascii="Times New Roman" w:hAnsi="Times New Roman" w:cs="Times New Roman" w:eastAsia="Times New Roman" w:hint="ascii"/>
          <w:sz w:val="21"/>
          <w:spacing w:val="4"/>
        </w:rPr>
        <w:t>0</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7"/>
        </w:rPr>
        <w:t xml:space="preserve"> </w:t>
      </w:r>
      <w:r>
        <w:rPr>
          <w:rFonts w:ascii="宋体" w:hAnsi="宋体" w:cs="宋体" w:eastAsia="宋体" w:hint="ascii"/>
          <w:sz w:val="21"/>
          <w:spacing w:val="2"/>
        </w:rPr>
        <w:t>万元人民</w:t>
      </w:r>
      <w:r>
        <w:rPr>
          <w:rFonts w:ascii="宋体" w:hAnsi="宋体" w:cs="宋体" w:eastAsia="宋体" w:hint="ascii"/>
          <w:sz w:val="21"/>
          <w:spacing w:val="1"/>
        </w:rPr>
        <w:t>币的资助，资助期限</w:t>
      </w:r>
      <w:r>
        <w:rPr>
          <w:rFonts w:ascii="宋体" w:hAnsi="宋体" w:cs="宋体" w:eastAsia="宋体" w:hint="ascii"/>
          <w:sz w:val="21"/>
          <w:spacing w:val="-3"/>
        </w:rPr>
        <w:t>为</w:t>
      </w:r>
      <w:r>
        <w:rPr>
          <w:rFonts w:ascii="宋体" w:hAnsi="宋体" w:cs="宋体" w:eastAsia="宋体" w:hint="ascii"/>
          <w:sz w:val="21"/>
          <w:spacing w:val="-17"/>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18"/>
        </w:rPr>
        <w:t xml:space="preserve"> </w:t>
      </w:r>
      <w:r>
        <w:rPr>
          <w:rFonts w:ascii="宋体" w:hAnsi="宋体" w:cs="宋体" w:eastAsia="宋体" w:hint="ascii"/>
          <w:sz w:val="21"/>
          <w:spacing w:val="1"/>
        </w:rPr>
        <w:t>年。</w:t>
      </w:r>
      <w:r>
        <w:rPr>
          <w:rFonts w:ascii="Times New Roman" w:hAnsi="Times New Roman" w:cs="Times New Roman" w:eastAsia="Times New Roman" w:hint="ascii"/>
          <w:sz w:val="21"/>
          <w:spacing w:val="4"/>
        </w:rPr>
        <w:t>201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19"/>
        </w:rPr>
        <w:t xml:space="preserve"> </w:t>
      </w:r>
      <w:r>
        <w:rPr>
          <w:rFonts w:ascii="宋体" w:hAnsi="宋体" w:cs="宋体" w:eastAsia="宋体" w:hint="ascii"/>
          <w:sz w:val="21"/>
          <w:spacing w:val="1"/>
        </w:rPr>
        <w:t>年双方启动了首轮</w:t>
      </w:r>
      <w:r>
        <w:rPr>
          <w:rFonts w:ascii="宋体" w:hAnsi="宋体" w:cs="宋体" w:eastAsia="宋体" w:hint="ascii"/>
          <w:sz w:val="21"/>
          <w:spacing w:val="-6"/>
        </w:rPr>
        <w:t>项</w:t>
      </w:r>
      <w:r>
        <w:rPr>
          <w:rFonts w:ascii="宋体" w:hAnsi="宋体" w:cs="宋体" w:eastAsia="宋体" w:hint="ascii"/>
          <w:sz w:val="21"/>
          <w:spacing w:val="2"/>
        </w:rPr>
        <w:t>目的征集，拟共同资助不超</w:t>
      </w:r>
      <w:r>
        <w:rPr>
          <w:rFonts w:ascii="宋体" w:hAnsi="宋体" w:cs="宋体" w:eastAsia="宋体" w:hint="ascii"/>
          <w:sz w:val="21"/>
          <w:spacing w:val="-3"/>
        </w:rPr>
        <w:t>过</w:t>
      </w:r>
      <w:r>
        <w:rPr>
          <w:rFonts w:ascii="宋体" w:hAnsi="宋体" w:cs="宋体" w:eastAsia="宋体" w:hint="ascii"/>
          <w:sz w:val="21"/>
          <w:spacing w:val="-11"/>
        </w:rPr>
        <w:t xml:space="preserve"> </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13"/>
        </w:rPr>
        <w:t xml:space="preserve"> </w:t>
      </w:r>
      <w:r>
        <w:rPr>
          <w:rFonts w:ascii="宋体" w:hAnsi="宋体" w:cs="宋体" w:eastAsia="宋体" w:hint="ascii"/>
          <w:sz w:val="21"/>
          <w:spacing w:val="1"/>
        </w:rPr>
        <w:t>个项目。</w:t>
      </w:r>
      <w:r>
        <w:rPr>
          <w:rFonts w:ascii="Times New Roman" w:hAnsi="Times New Roman" w:cs="Times New Roman" w:eastAsia="Times New Roman" w:hint="ascii"/>
          <w:sz w:val="21"/>
          <w:spacing w:val="4"/>
        </w:rPr>
        <w:t>2</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4"/>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3"/>
        </w:rPr>
        <w:t xml:space="preserve"> </w:t>
      </w:r>
      <w:r>
        <w:rPr>
          <w:rFonts w:ascii="宋体" w:hAnsi="宋体" w:cs="宋体" w:eastAsia="宋体" w:hint="ascii"/>
          <w:sz w:val="21"/>
          <w:spacing w:val="1"/>
        </w:rPr>
        <w:t>年度有关申请事宜请关注自然科学</w:t>
      </w:r>
      <w:r>
        <w:rPr>
          <w:rFonts w:ascii="宋体" w:hAnsi="宋体" w:cs="宋体" w:eastAsia="宋体" w:hint="ascii"/>
          <w:sz w:val="21"/>
          <w:spacing w:val="-6"/>
        </w:rPr>
        <w:t>基</w:t>
      </w:r>
      <w:r>
        <w:rPr>
          <w:rFonts w:ascii="宋体" w:hAnsi="宋体" w:cs="宋体" w:eastAsia="宋体" w:hint="ascii"/>
          <w:sz w:val="21"/>
          <w:spacing w:val="4"/>
        </w:rPr>
        <w:t>金委网站</w:t>
      </w:r>
      <w:r>
        <w:rPr>
          <w:rFonts w:ascii="宋体" w:hAnsi="宋体" w:cs="宋体" w:eastAsia="宋体" w:hint="ascii"/>
          <w:sz w:val="21"/>
          <w:spacing w:val="3"/>
        </w:rPr>
        <w:t>“</w:t>
      </w:r>
      <w:r>
        <w:rPr>
          <w:rFonts w:ascii="宋体" w:hAnsi="宋体" w:cs="宋体" w:eastAsia="宋体" w:hint="ascii"/>
          <w:sz w:val="21"/>
          <w:spacing w:val="4"/>
        </w:rPr>
        <w:t>通知通告</w:t>
      </w:r>
      <w:r>
        <w:rPr>
          <w:rFonts w:ascii="宋体" w:hAnsi="宋体" w:cs="宋体" w:eastAsia="宋体" w:hint="ascii"/>
          <w:sz w:val="21"/>
          <w:spacing w:val="3"/>
        </w:rPr>
        <w:t>”</w:t>
      </w:r>
      <w:r>
        <w:rPr>
          <w:rFonts w:ascii="宋体" w:hAnsi="宋体" w:cs="宋体" w:eastAsia="宋体" w:hint="ascii"/>
          <w:sz w:val="21"/>
          <w:spacing w:val="4"/>
        </w:rPr>
        <w:t>栏目中发</w:t>
      </w:r>
      <w:r>
        <w:rPr>
          <w:rFonts w:ascii="宋体" w:hAnsi="宋体" w:cs="宋体" w:eastAsia="宋体" w:hint="ascii"/>
          <w:sz w:val="21"/>
          <w:spacing w:val="3"/>
        </w:rPr>
        <w:t>布的《组织</w:t>
      </w:r>
      <w:r>
        <w:rPr>
          <w:rFonts w:ascii="宋体" w:hAnsi="宋体" w:cs="宋体" w:eastAsia="宋体" w:hint="ascii"/>
          <w:sz w:val="21"/>
          <w:spacing w:val="2"/>
        </w:rPr>
        <w:t>间</w:t>
      </w:r>
      <w:r>
        <w:rPr>
          <w:rFonts w:ascii="宋体" w:hAnsi="宋体" w:cs="宋体" w:eastAsia="宋体" w:hint="ascii"/>
          <w:sz w:val="21"/>
          <w:spacing w:val="3"/>
        </w:rPr>
        <w:t>国际（地</w:t>
      </w:r>
      <w:r>
        <w:rPr>
          <w:rFonts w:ascii="宋体" w:hAnsi="宋体" w:cs="宋体" w:eastAsia="宋体" w:hint="ascii"/>
          <w:sz w:val="21"/>
          <w:spacing w:val="2"/>
        </w:rPr>
        <w:t>区</w:t>
      </w:r>
      <w:r>
        <w:rPr>
          <w:rFonts w:ascii="宋体" w:hAnsi="宋体" w:cs="宋体" w:eastAsia="宋体" w:hint="ascii"/>
          <w:sz w:val="21"/>
          <w:spacing w:val="3"/>
        </w:rPr>
        <w:t>）合作研</w:t>
      </w:r>
      <w:r>
        <w:rPr>
          <w:rFonts w:ascii="宋体" w:hAnsi="宋体" w:cs="宋体" w:eastAsia="宋体" w:hint="ascii"/>
          <w:sz w:val="21"/>
          <w:spacing w:val="2"/>
        </w:rPr>
        <w:t>究</w:t>
      </w:r>
      <w:r>
        <w:rPr>
          <w:rFonts w:ascii="宋体" w:hAnsi="宋体" w:cs="宋体" w:eastAsia="宋体" w:hint="ascii"/>
          <w:sz w:val="21"/>
          <w:spacing w:val="3"/>
        </w:rPr>
        <w:t>与交流项</w:t>
      </w:r>
      <w:r>
        <w:rPr>
          <w:rFonts w:ascii="宋体" w:hAnsi="宋体" w:cs="宋体" w:eastAsia="宋体" w:hint="ascii"/>
          <w:sz w:val="21"/>
          <w:spacing w:val="2"/>
        </w:rPr>
        <w:t>目</w:t>
      </w:r>
      <w:r>
        <w:rPr>
          <w:rFonts w:ascii="宋体" w:hAnsi="宋体" w:cs="宋体" w:eastAsia="宋体" w:hint="ascii"/>
          <w:sz w:val="21"/>
          <w:spacing w:val="-6"/>
        </w:rPr>
        <w:t>指</w:t>
      </w:r>
      <w:r>
        <w:rPr>
          <w:rFonts w:ascii="宋体" w:hAnsi="宋体" w:cs="宋体" w:eastAsia="宋体" w:hint="ascii"/>
          <w:sz w:val="21"/>
          <w:spacing w:val="4"/>
        </w:rPr>
        <w:t>南</w:t>
      </w:r>
      <w:r>
        <w:rPr>
          <w:rFonts w:ascii="宋体" w:hAnsi="宋体" w:cs="宋体" w:eastAsia="宋体" w:hint="ascii"/>
          <w:sz w:val="21"/>
          <w:spacing w:val="-50"/>
        </w:rPr>
        <w:t>》</w:t>
      </w:r>
      <w:r>
        <w:rPr>
          <w:rFonts w:ascii="宋体" w:hAnsi="宋体" w:cs="宋体" w:eastAsia="宋体" w:hint="ascii"/>
          <w:sz w:val="21"/>
        </w:rPr>
        <w:t>。</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both"/>
        <w:spacing w:before="13" w:after="0" w:lineRule="exact" w:line="330"/>
        <w:ind w:right="1608" w:left="1386" w:firstLine="0"/>
        <w:snapToGrid w:val="0"/>
        <w:textAlignment w:val="auto"/>
        <w:tabs/>
        <w:rPr>
          <w:rFonts w:ascii="宋体" w:hAnsi="宋体" w:cs="宋体" w:eastAsia="宋体" w:hint="ascii"/>
          <w:sz w:val="21"/>
        </w:rPr>
      </w:pPr>
      <w:r>
        <w:rPr>
          <w:rFonts w:ascii="宋体" w:hAnsi="宋体" w:cs="宋体" w:eastAsia="宋体" w:hint="ascii"/>
          <w:sz w:val="21"/>
          <w:spacing w:val="-1"/>
        </w:rPr>
        <w:t>双方每年资助</w:t>
      </w:r>
      <w:r>
        <w:rPr>
          <w:rFonts w:ascii="宋体" w:hAnsi="宋体" w:cs="宋体" w:eastAsia="宋体" w:hint="ascii"/>
          <w:sz w:val="21"/>
        </w:rPr>
        <w:t>双边学术研讨会，研讨会的主题和数量由双方机构协商确定。</w:t>
      </w:r>
      <w:r>
        <w:rPr>
          <w:rFonts w:ascii="宋体" w:hAnsi="宋体" w:cs="宋体" w:eastAsia="宋体" w:hint="ascii"/>
          <w:sz w:val="21"/>
        </w:rPr>
        <w:t>美国国立卫生研究院（</w:t>
      </w:r>
      <w:r>
        <w:rPr>
          <w:rFonts w:ascii="Times New Roman" w:hAnsi="Times New Roman" w:cs="Times New Roman" w:eastAsia="Times New Roman" w:hint="ascii"/>
          <w:b w:val="1"/>
          <w:sz w:val="21"/>
        </w:rPr>
        <w:t>NIH</w:t>
      </w:r>
      <w:r>
        <w:rPr>
          <w:rFonts w:ascii="宋体" w:hAnsi="宋体" w:cs="宋体" w:eastAsia="宋体" w:hint="ascii"/>
          <w:sz w:val="21"/>
        </w:rPr>
        <w:t>）</w:t>
      </w:r>
    </w:p>
    <w:p>
      <w:pPr>
        <w:autoSpaceDE w:val="0"/>
        <w:autoSpaceDN w:val="0"/>
        <w:jc w:val="both"/>
        <w:spacing w:before="0" w:after="0" w:lineRule="exact" w:line="330"/>
        <w:ind w:right="975"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10"/>
        </w:rPr>
        <w:t xml:space="preserve"> </w:t>
      </w:r>
      <w:r>
        <w:rPr>
          <w:rFonts w:ascii="宋体" w:hAnsi="宋体" w:cs="宋体" w:eastAsia="宋体" w:hint="ascii"/>
          <w:sz w:val="21"/>
          <w:spacing w:val="-1"/>
        </w:rPr>
        <w:t>年</w:t>
      </w:r>
      <w:r>
        <w:rPr>
          <w:rFonts w:ascii="宋体" w:hAnsi="宋体" w:cs="宋体" w:eastAsia="宋体" w:hint="ascii"/>
          <w:sz w:val="21"/>
          <w:spacing w:val="-10"/>
        </w:rPr>
        <w:t xml:space="preserve"> </w:t>
      </w:r>
      <w:r>
        <w:rPr>
          <w:rFonts w:ascii="Times New Roman" w:hAnsi="Times New Roman" w:cs="Times New Roman" w:eastAsia="Times New Roman" w:hint="ascii"/>
          <w:sz w:val="21"/>
          <w:spacing w:val="-1"/>
        </w:rPr>
        <w:t>10</w:t>
      </w:r>
      <w:r>
        <w:rPr>
          <w:rFonts w:ascii="Times New Roman" w:hAnsi="Times New Roman" w:cs="Times New Roman" w:eastAsia="Times New Roman" w:hint="ascii"/>
          <w:sz w:val="21"/>
          <w:spacing w:val="-11"/>
        </w:rPr>
        <w:t xml:space="preserve"> </w:t>
      </w:r>
      <w:r>
        <w:rPr>
          <w:rFonts w:ascii="宋体" w:hAnsi="宋体" w:cs="宋体" w:eastAsia="宋体" w:hint="ascii"/>
          <w:sz w:val="21"/>
          <w:spacing w:val="-1"/>
        </w:rPr>
        <w:t>月</w:t>
      </w:r>
      <w:r>
        <w:rPr>
          <w:rFonts w:ascii="宋体" w:hAnsi="宋体" w:cs="宋体" w:eastAsia="宋体" w:hint="ascii"/>
          <w:sz w:val="21"/>
        </w:rPr>
        <w:t>，自然科学基金委与美国国立卫生研究院（</w:t>
      </w:r>
      <w:r>
        <w:rPr>
          <w:rFonts w:ascii="Times New Roman" w:hAnsi="Times New Roman" w:cs="Times New Roman" w:eastAsia="Times New Roman" w:hint="ascii"/>
          <w:sz w:val="21"/>
        </w:rPr>
        <w:t>NIH</w:t>
      </w:r>
      <w:r>
        <w:rPr>
          <w:rFonts w:ascii="宋体" w:hAnsi="宋体" w:cs="宋体" w:eastAsia="宋体" w:hint="ascii"/>
          <w:sz w:val="21"/>
        </w:rPr>
        <w:t>）签署了合作谅解备忘录，双方联合资助合作研究项目和学术会议项目。</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3" w:after="0" w:lineRule="exact" w:line="330"/>
        <w:ind w:right="975" w:left="966" w:firstLine="420"/>
        <w:snapToGrid w:val="0"/>
        <w:textAlignment w:val="auto"/>
        <w:tabs>
          <w:tab w:val="left" w:leader="none" w:pos="1917"/>
        </w:tabs>
        <w:numPr>
          <w:ilvl w:val="0"/>
          <w:numId w:val="296"/>
        </w:numPr>
        <w:rPr>
          <w:rFonts w:ascii="Times New Roman" w:hAnsi="Times New Roman" w:cs="Times New Roman" w:eastAsia="Times New Roman" w:hint="ascii"/>
          <w:sz w:val="21"/>
          <w:spacing w:val="1"/>
        </w:rPr>
      </w:pPr>
      <w:r>
        <w:rPr>
          <w:rFonts w:ascii="宋体" w:hAnsi="宋体" w:cs="宋体" w:eastAsia="宋体" w:hint="ascii"/>
          <w:sz w:val="21"/>
          <w:spacing w:val="1"/>
        </w:rPr>
        <w:t>年</w:t>
      </w:r>
      <w:r>
        <w:rPr>
          <w:rFonts w:ascii="宋体" w:hAnsi="宋体" w:cs="宋体" w:eastAsia="宋体" w:hint="ascii"/>
          <w:sz w:val="21"/>
        </w:rPr>
        <w:t>度，双方在肿瘤、过敏性疾病、感染性疾病（包</w:t>
      </w:r>
      <w:r>
        <w:rPr>
          <w:rFonts w:ascii="宋体" w:hAnsi="宋体" w:cs="宋体" w:eastAsia="宋体" w:hint="ascii"/>
          <w:sz w:val="21"/>
          <w:spacing w:val="-3"/>
        </w:rPr>
        <w:t>括</w:t>
      </w:r>
      <w:r>
        <w:rPr>
          <w:rFonts w:ascii="宋体" w:hAnsi="宋体" w:cs="宋体" w:eastAsia="宋体" w:hint="ascii"/>
          <w:sz w:val="21"/>
        </w:rPr>
        <w:t xml:space="preserve"> </w:t>
      </w:r>
      <w:r>
        <w:rPr>
          <w:rFonts w:ascii="Times New Roman" w:hAnsi="Times New Roman" w:cs="Times New Roman" w:eastAsia="Times New Roman" w:hint="ascii"/>
          <w:sz w:val="21"/>
        </w:rPr>
        <w:t>HIV</w:t>
      </w:r>
      <w:r>
        <w:rPr>
          <w:rFonts w:ascii="Times New Roman" w:hAnsi="Times New Roman" w:cs="Times New Roman" w:eastAsia="Times New Roman" w:hint="ascii"/>
          <w:sz w:val="21"/>
          <w:spacing w:val="7"/>
        </w:rPr>
        <w:t>/</w:t>
      </w:r>
      <w:r>
        <w:rPr>
          <w:rFonts w:ascii="宋体" w:hAnsi="宋体" w:cs="宋体" w:eastAsia="宋体" w:hint="ascii"/>
          <w:sz w:val="21"/>
        </w:rPr>
        <w:t>艾滋病及其并</w:t>
      </w:r>
      <w:r>
        <w:rPr>
          <w:rFonts w:ascii="宋体" w:hAnsi="宋体" w:cs="宋体" w:eastAsia="宋体" w:hint="ascii"/>
          <w:sz w:val="21"/>
          <w:spacing w:val="-6"/>
        </w:rPr>
        <w:t>发</w:t>
      </w:r>
      <w:r>
        <w:rPr>
          <w:rFonts w:ascii="宋体" w:hAnsi="宋体" w:cs="宋体" w:eastAsia="宋体" w:hint="ascii"/>
          <w:sz w:val="21"/>
        </w:rPr>
        <w:t>症</w:t>
      </w:r>
      <w:r>
        <w:rPr>
          <w:rFonts w:ascii="宋体" w:hAnsi="宋体" w:cs="宋体" w:eastAsia="宋体" w:hint="ascii"/>
          <w:sz w:val="21"/>
          <w:spacing w:val="-51"/>
        </w:rPr>
        <w:t>）</w:t>
      </w:r>
      <w:r>
        <w:rPr>
          <w:rFonts w:ascii="宋体" w:hAnsi="宋体" w:cs="宋体" w:eastAsia="宋体" w:hint="ascii"/>
          <w:sz w:val="21"/>
        </w:rPr>
        <w:t>、医学免疫、精神健康等领域共同征集与资助了五年期合作研究项目，中方资助资金</w:t>
      </w:r>
      <w:r>
        <w:rPr>
          <w:rFonts w:ascii="宋体" w:hAnsi="宋体" w:cs="宋体" w:eastAsia="宋体" w:hint="ascii"/>
          <w:sz w:val="21"/>
          <w:spacing w:val="-1"/>
        </w:rPr>
        <w:t>约</w:t>
      </w:r>
      <w:r>
        <w:rPr>
          <w:rFonts w:ascii="宋体" w:hAnsi="宋体" w:cs="宋体" w:eastAsia="宋体" w:hint="ascii"/>
          <w:sz w:val="2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 xml:space="preserve">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项（包括直接费用和间接费用</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双方共同资助</w:t>
      </w:r>
      <w:r>
        <w:rPr>
          <w:rFonts w:ascii="宋体" w:hAnsi="宋体" w:cs="宋体" w:eastAsia="宋体" w:hint="ascii"/>
          <w:sz w:val="21"/>
          <w:spacing w:val="-1"/>
        </w:rPr>
        <w:t>了</w:t>
      </w:r>
      <w:r>
        <w:rPr>
          <w:rFonts w:ascii="宋体" w:hAnsi="宋体" w:cs="宋体" w:eastAsia="宋体" w:hint="ascii"/>
          <w:sz w:val="21"/>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rPr>
        <w:t xml:space="preserve">4 </w:t>
      </w:r>
      <w:r>
        <w:rPr>
          <w:rFonts w:ascii="宋体" w:hAnsi="宋体" w:cs="宋体" w:eastAsia="宋体" w:hint="ascii"/>
          <w:sz w:val="21"/>
        </w:rPr>
        <w:t>个项目。</w:t>
      </w:r>
      <w:r>
        <w:rPr>
          <w:rFonts w:ascii="Times New Roman" w:hAnsi="Times New Roman" w:cs="Times New Roman" w:eastAsia="Times New Roman" w:hint="ascii"/>
          <w:sz w:val="21"/>
        </w:rPr>
        <w:t xml:space="preserve">2018 </w:t>
      </w:r>
      <w:r>
        <w:rPr>
          <w:rFonts w:ascii="宋体" w:hAnsi="宋体" w:cs="宋体" w:eastAsia="宋体" w:hint="ascii"/>
          <w:sz w:val="21"/>
          <w:spacing w:val="-2"/>
        </w:rPr>
        <w:t>年</w:t>
      </w:r>
      <w:r>
        <w:rPr>
          <w:rFonts w:ascii="宋体" w:hAnsi="宋体" w:cs="宋体" w:eastAsia="宋体" w:hint="ascii"/>
          <w:sz w:val="21"/>
          <w:spacing w:val="-1"/>
        </w:rPr>
        <w:t>度，有关</w:t>
      </w:r>
      <w:r>
        <w:rPr>
          <w:rFonts w:ascii="宋体" w:hAnsi="宋体" w:cs="宋体" w:eastAsia="宋体" w:hint="ascii"/>
          <w:sz w:val="21"/>
        </w:rPr>
        <w:t>申请事宜请关注自然科学基金委网站“通知通告”栏目中发布的《组织间国际</w:t>
      </w:r>
    </w:p>
    <w:p>
      <w:pPr>
        <w:autoSpaceDE w:val="0"/>
        <w:autoSpaceDN w:val="0"/>
        <w:jc w:val="left"/>
        <w:spacing w:before="54"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6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543"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比尔及梅琳达·盖茨基金会（</w:t>
      </w:r>
      <w:r>
        <w:rPr>
          <w:rFonts w:ascii="Times New Roman" w:hAnsi="Times New Roman" w:cs="Times New Roman" w:eastAsia="Times New Roman" w:hint="ascii"/>
          <w:b w:val="1"/>
          <w:sz w:val="21"/>
        </w:rPr>
        <w:t>BMGF</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46" locked="0" layoutInCell="1" allowOverlap="1">
                <wp:simplePos x="0" y="0"/>
                <wp:positionH relativeFrom="page">
                  <wp:posOffset>938530</wp:posOffset>
                </wp:positionH>
                <wp:positionV relativeFrom="page">
                  <wp:posOffset>819150</wp:posOffset>
                </wp:positionV>
                <wp:extent cx="5076190" cy="0"/>
                <wp:wrapNone/>
                <wp:docPr id="1275" name="127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06336;width:399.70pt;" id="127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20"/>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11"/>
        </w:rPr>
        <w:t xml:space="preserve"> </w:t>
      </w:r>
      <w:r>
        <w:rPr>
          <w:rFonts w:ascii="宋体" w:hAnsi="宋体" w:cs="宋体" w:eastAsia="宋体" w:hint="ascii"/>
          <w:sz w:val="21"/>
        </w:rPr>
        <w:t>年</w:t>
      </w:r>
      <w:r>
        <w:rPr>
          <w:rFonts w:ascii="宋体" w:hAnsi="宋体" w:cs="宋体" w:eastAsia="宋体" w:hint="ascii"/>
          <w:sz w:val="21"/>
          <w:spacing w:val="-12"/>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12"/>
        </w:rPr>
        <w:t xml:space="preserve"> </w:t>
      </w:r>
      <w:r>
        <w:rPr>
          <w:rFonts w:ascii="宋体" w:hAnsi="宋体" w:cs="宋体" w:eastAsia="宋体" w:hint="ascii"/>
          <w:sz w:val="21"/>
        </w:rPr>
        <w:t>月，自然科学基金委与美国比尔及梅琳达·盖茨基金会（</w:t>
      </w:r>
      <w:r>
        <w:rPr>
          <w:rFonts w:ascii="Times New Roman" w:hAnsi="Times New Roman" w:cs="Times New Roman" w:eastAsia="Times New Roman" w:hint="ascii"/>
          <w:sz w:val="21"/>
        </w:rPr>
        <w:t>BMGF</w:t>
      </w:r>
      <w:r>
        <w:rPr>
          <w:rFonts w:ascii="宋体" w:hAnsi="宋体" w:cs="宋体" w:eastAsia="宋体" w:hint="ascii"/>
          <w:sz w:val="21"/>
        </w:rPr>
        <w:t>）签署了合作谅解备忘录，联合资助合作研究项目和学术会议项目。</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根据双方协议，</w:t>
      </w:r>
      <w:r>
        <w:rPr>
          <w:rFonts w:ascii="Times New Roman" w:hAnsi="Times New Roman" w:cs="Times New Roman" w:eastAsia="Times New Roman" w:hint="ascii"/>
          <w:sz w:val="21"/>
        </w:rPr>
        <w:t xml:space="preserve">2016 </w:t>
      </w:r>
      <w:r>
        <w:rPr>
          <w:rFonts w:ascii="宋体" w:hAnsi="宋体" w:cs="宋体" w:eastAsia="宋体" w:hint="ascii"/>
          <w:sz w:val="21"/>
        </w:rPr>
        <w:t xml:space="preserve">年 </w:t>
      </w:r>
      <w:r>
        <w:rPr>
          <w:rFonts w:ascii="Times New Roman" w:hAnsi="Times New Roman" w:cs="Times New Roman" w:eastAsia="Times New Roman" w:hint="ascii"/>
          <w:sz w:val="21"/>
        </w:rPr>
        <w:t xml:space="preserve">2 </w:t>
      </w:r>
      <w:r>
        <w:rPr>
          <w:rFonts w:ascii="宋体" w:hAnsi="宋体" w:cs="宋体" w:eastAsia="宋体" w:hint="ascii"/>
          <w:sz w:val="21"/>
        </w:rPr>
        <w:t>月公布了中美大挑战合作研究项目的征集指南，双方共</w:t>
      </w:r>
    </w:p>
    <w:p>
      <w:pPr>
        <w:autoSpaceDE w:val="0"/>
        <w:autoSpaceDN w:val="0"/>
        <w:jc w:val="both"/>
        <w:spacing w:before="12"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2"/>
        </w:rPr>
        <w:t xml:space="preserve">同资助了 </w:t>
      </w:r>
      <w:r>
        <w:rPr>
          <w:rFonts w:ascii="Times New Roman" w:hAnsi="Times New Roman" w:cs="Times New Roman" w:eastAsia="Times New Roman" w:hint="ascii"/>
          <w:sz w:val="21"/>
          <w:spacing w:val="-2"/>
        </w:rPr>
        <w:t xml:space="preserve">4 </w:t>
      </w:r>
      <w:r>
        <w:rPr>
          <w:rFonts w:ascii="宋体" w:hAnsi="宋体" w:cs="宋体" w:eastAsia="宋体" w:hint="ascii"/>
          <w:sz w:val="21"/>
          <w:spacing w:val="-2"/>
        </w:rPr>
        <w:t>个项目。</w:t>
      </w:r>
      <w:r>
        <w:rPr>
          <w:rFonts w:ascii="Times New Roman" w:hAnsi="Times New Roman" w:cs="Times New Roman" w:eastAsia="Times New Roman" w:hint="ascii"/>
          <w:sz w:val="21"/>
          <w:spacing w:val="-2"/>
        </w:rPr>
        <w:t>2</w:t>
      </w:r>
      <w:r>
        <w:rPr>
          <w:rFonts w:ascii="Times New Roman" w:hAnsi="Times New Roman" w:cs="Times New Roman" w:eastAsia="Times New Roman" w:hint="ascii"/>
          <w:sz w:val="21"/>
          <w:spacing w:val="-1"/>
        </w:rPr>
        <w:t xml:space="preserve">018 </w:t>
      </w:r>
      <w:r>
        <w:rPr>
          <w:rFonts w:ascii="宋体" w:hAnsi="宋体" w:cs="宋体" w:eastAsia="宋体" w:hint="ascii"/>
          <w:sz w:val="21"/>
          <w:spacing w:val="-1"/>
        </w:rPr>
        <w:t>年度有关申请事宜请关注自然科学基金委网站“通知通告”</w:t>
      </w:r>
      <w:r>
        <w:rPr>
          <w:rFonts w:ascii="宋体" w:hAnsi="宋体" w:cs="宋体" w:eastAsia="宋体" w:hint="ascii"/>
          <w:sz w:val="21"/>
        </w:rPr>
        <w:t xml:space="preserve"> 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加拿大</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加拿大卫生研究院（</w:t>
      </w:r>
      <w:r>
        <w:rPr>
          <w:rFonts w:ascii="Times New Roman" w:hAnsi="Times New Roman" w:cs="Times New Roman" w:eastAsia="Times New Roman" w:hint="ascii"/>
          <w:b w:val="1"/>
          <w:sz w:val="21"/>
        </w:rPr>
        <w:t>CIHR</w:t>
      </w:r>
      <w:r>
        <w:rPr>
          <w:rFonts w:ascii="宋体" w:hAnsi="宋体" w:cs="宋体" w:eastAsia="宋体" w:hint="ascii"/>
          <w:sz w:val="21"/>
        </w:rPr>
        <w:t>）</w:t>
      </w:r>
    </w:p>
    <w:p>
      <w:pPr>
        <w:autoSpaceDE w:val="0"/>
        <w:autoSpaceDN w:val="0"/>
        <w:jc w:val="both"/>
        <w:spacing w:before="1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自然科学基金委与加拿大卫生研究院（</w:t>
      </w:r>
      <w:r>
        <w:rPr>
          <w:rFonts w:ascii="Times New Roman" w:hAnsi="Times New Roman" w:cs="Times New Roman" w:eastAsia="Times New Roman" w:hint="ascii"/>
          <w:sz w:val="21"/>
        </w:rPr>
        <w:t>CIHR</w:t>
      </w:r>
      <w:r>
        <w:rPr>
          <w:rFonts w:ascii="宋体" w:hAnsi="宋体" w:cs="宋体" w:eastAsia="宋体" w:hint="ascii"/>
          <w:sz w:val="21"/>
        </w:rPr>
        <w:t>）联合资助合作研究项目和学术会议项目。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10" w:after="0" w:lineRule="exact" w:line="312"/>
        <w:ind w:right="963" w:left="861" w:firstLine="524"/>
        <w:snapToGrid w:val="0"/>
        <w:textAlignment w:val="auto"/>
        <w:tabs>
          <w:tab w:val="left" w:leader="none" w:pos="1917"/>
        </w:tabs>
        <w:numPr>
          <w:ilvl w:val="0"/>
          <w:numId w:val="296"/>
        </w:numPr>
        <w:rPr>
          <w:rFonts w:ascii="Times New Roman" w:hAnsi="Times New Roman" w:cs="Times New Roman" w:eastAsia="Times New Roman" w:hint="ascii"/>
          <w:sz w:val="21"/>
          <w:spacing w:val="1"/>
        </w:rPr>
      </w:pPr>
      <w:r>
        <w:rPr>
          <w:rFonts w:ascii="宋体" w:hAnsi="宋体" w:cs="宋体" w:eastAsia="宋体" w:hint="ascii"/>
          <w:sz w:val="21"/>
          <w:spacing w:val="2"/>
        </w:rPr>
        <w:t>年度，自然科学基金委拟在协议框架下与加拿大卫生研究院</w:t>
      </w:r>
      <w:r>
        <w:rPr>
          <w:rFonts w:ascii="宋体" w:hAnsi="宋体" w:cs="宋体" w:eastAsia="宋体" w:hint="ascii"/>
          <w:sz w:val="21"/>
          <w:spacing w:val="3"/>
        </w:rPr>
        <w:t>（</w:t>
      </w:r>
      <w:r>
        <w:rPr>
          <w:rFonts w:ascii="Times New Roman" w:hAnsi="Times New Roman" w:cs="Times New Roman" w:eastAsia="Times New Roman" w:hint="ascii"/>
          <w:sz w:val="21"/>
          <w:spacing w:val="-1"/>
        </w:rPr>
        <w:t>CIH</w:t>
      </w:r>
      <w:r>
        <w:rPr>
          <w:rFonts w:ascii="Times New Roman" w:hAnsi="Times New Roman" w:cs="Times New Roman" w:eastAsia="Times New Roman" w:hint="ascii"/>
          <w:sz w:val="21"/>
          <w:spacing w:val="7"/>
        </w:rPr>
        <w:t>R</w:t>
      </w:r>
      <w:r>
        <w:rPr>
          <w:rFonts w:ascii="宋体" w:hAnsi="宋体" w:cs="宋体" w:eastAsia="宋体" w:hint="ascii"/>
          <w:sz w:val="21"/>
          <w:spacing w:val="3"/>
        </w:rPr>
        <w:t>）开</w:t>
      </w:r>
      <w:r>
        <w:rPr>
          <w:rFonts w:ascii="宋体" w:hAnsi="宋体" w:cs="宋体" w:eastAsia="宋体" w:hint="ascii"/>
          <w:sz w:val="21"/>
          <w:spacing w:val="-1"/>
        </w:rPr>
        <w:t>展</w:t>
      </w:r>
      <w:r>
        <w:rPr>
          <w:rFonts w:ascii="宋体" w:hAnsi="宋体" w:cs="宋体" w:eastAsia="宋体" w:hint="ascii"/>
          <w:sz w:val="21"/>
        </w:rPr>
        <w:t xml:space="preserve"> “精神健康与痴呆”队列研究合作项目的征集与资助，自然科学基金委对每个项目提供</w:t>
      </w:r>
    </w:p>
    <w:p>
      <w:pPr>
        <w:autoSpaceDE w:val="0"/>
        <w:autoSpaceDN w:val="0"/>
        <w:jc w:val="left"/>
        <w:spacing w:before="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2"/>
        </w:rPr>
        <w:t>最多</w:t>
      </w:r>
      <w:r>
        <w:rPr>
          <w:rFonts w:ascii="宋体" w:hAnsi="宋体" w:cs="宋体" w:eastAsia="宋体" w:hint="ascii"/>
          <w:sz w:val="21"/>
          <w:spacing w:val="-17"/>
        </w:rPr>
        <w:t xml:space="preserve"> </w:t>
      </w:r>
      <w:r>
        <w:rPr>
          <w:rFonts w:ascii="Times New Roman" w:hAnsi="Times New Roman" w:cs="Times New Roman" w:eastAsia="Times New Roman" w:hint="ascii"/>
          <w:sz w:val="21"/>
          <w:spacing w:val="-2"/>
        </w:rPr>
        <w:t>500</w:t>
      </w:r>
      <w:r>
        <w:rPr>
          <w:rFonts w:ascii="Times New Roman" w:hAnsi="Times New Roman" w:cs="Times New Roman" w:eastAsia="Times New Roman" w:hint="ascii"/>
          <w:sz w:val="21"/>
          <w:spacing w:val="-17"/>
        </w:rPr>
        <w:t xml:space="preserve"> </w:t>
      </w:r>
      <w:r>
        <w:rPr>
          <w:rFonts w:ascii="宋体" w:hAnsi="宋体" w:cs="宋体" w:eastAsia="宋体" w:hint="ascii"/>
          <w:sz w:val="21"/>
          <w:spacing w:val="-2"/>
        </w:rPr>
        <w:t>万元人</w:t>
      </w:r>
      <w:r>
        <w:rPr>
          <w:rFonts w:ascii="宋体" w:hAnsi="宋体" w:cs="宋体" w:eastAsia="宋体" w:hint="ascii"/>
          <w:sz w:val="21"/>
          <w:spacing w:val="-1"/>
        </w:rPr>
        <w:t>民币的资助，资助期限为</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
        </w:rPr>
        <w:t>年，共同资助了</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1"/>
        </w:rPr>
        <w:t>7</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
        </w:rPr>
        <w:t>个项目。</w:t>
      </w:r>
      <w:r>
        <w:rPr>
          <w:rFonts w:ascii="Times New Roman" w:hAnsi="Times New Roman" w:cs="Times New Roman" w:eastAsia="Times New Roman" w:hint="ascii"/>
          <w:sz w:val="21"/>
          <w:spacing w:val="-1"/>
        </w:rPr>
        <w:t>2018</w:t>
      </w:r>
      <w:r>
        <w:rPr>
          <w:rFonts w:ascii="Times New Roman" w:hAnsi="Times New Roman" w:cs="Times New Roman" w:eastAsia="Times New Roman" w:hint="ascii"/>
          <w:sz w:val="21"/>
          <w:spacing w:val="-16"/>
        </w:rPr>
        <w:t xml:space="preserve"> </w:t>
      </w:r>
      <w:r>
        <w:rPr>
          <w:rFonts w:ascii="宋体" w:hAnsi="宋体" w:cs="宋体" w:eastAsia="宋体" w:hint="ascii"/>
          <w:sz w:val="21"/>
          <w:spacing w:val="-1"/>
        </w:rPr>
        <w:t>年度有关</w:t>
      </w:r>
      <w:r>
        <w:rPr>
          <w:rFonts w:ascii="宋体" w:hAnsi="宋体" w:cs="宋体" w:eastAsia="宋体" w:hint="ascii"/>
          <w:sz w:val="21"/>
        </w:rPr>
        <w:t xml:space="preserve"> 申请事宜请关注自然科学基金委网站“通知通告”栏目中发布的《组织间国际（地区）合作研究与交流项目指南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both"/>
        <w:spacing w:before="10" w:after="0" w:lineRule="exact" w:line="312"/>
        <w:ind w:right="1608" w:left="1386" w:firstLine="0"/>
        <w:snapToGrid w:val="0"/>
        <w:textAlignment w:val="auto"/>
        <w:tabs/>
        <w:rPr>
          <w:rFonts w:ascii="宋体" w:hAnsi="宋体" w:cs="宋体" w:eastAsia="宋体" w:hint="ascii"/>
          <w:sz w:val="21"/>
        </w:rPr>
      </w:pPr>
      <w:r>
        <w:rPr>
          <w:rFonts w:ascii="宋体" w:hAnsi="宋体" w:cs="宋体" w:eastAsia="宋体" w:hint="ascii"/>
          <w:sz w:val="21"/>
          <w:spacing w:val="-1"/>
        </w:rPr>
        <w:t>双方每年资助</w:t>
      </w:r>
      <w:r>
        <w:rPr>
          <w:rFonts w:ascii="宋体" w:hAnsi="宋体" w:cs="宋体" w:eastAsia="宋体" w:hint="ascii"/>
          <w:sz w:val="21"/>
        </w:rPr>
        <w:t>双边学术研讨会，研讨会的主题和数量由双方机构协商确定。</w:t>
      </w:r>
      <w:r>
        <w:rPr>
          <w:rFonts w:ascii="宋体" w:hAnsi="宋体" w:cs="宋体" w:eastAsia="宋体" w:hint="ascii"/>
          <w:sz w:val="21"/>
        </w:rPr>
        <w:t>加拿大魁北克研究基金会（</w:t>
      </w:r>
      <w:r>
        <w:rPr>
          <w:rFonts w:ascii="Times New Roman" w:hAnsi="Times New Roman" w:cs="Times New Roman" w:eastAsia="Times New Roman" w:hint="ascii"/>
          <w:b w:val="1"/>
          <w:sz w:val="21"/>
        </w:rPr>
        <w:t>FRQ</w:t>
      </w:r>
      <w:r>
        <w:rPr>
          <w:rFonts w:ascii="宋体" w:hAnsi="宋体" w:cs="宋体" w:eastAsia="宋体" w:hint="ascii"/>
          <w:sz w:val="21"/>
        </w:rPr>
        <w:t>）</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自然科学基金委与加拿大魁北克研究基金会（</w:t>
      </w:r>
      <w:r>
        <w:rPr>
          <w:rFonts w:ascii="Times New Roman" w:hAnsi="Times New Roman" w:cs="Times New Roman" w:eastAsia="Times New Roman" w:hint="ascii"/>
          <w:sz w:val="21"/>
        </w:rPr>
        <w:t>FRQ</w:t>
      </w:r>
      <w:r>
        <w:rPr>
          <w:rFonts w:ascii="宋体" w:hAnsi="宋体" w:cs="宋体" w:eastAsia="宋体" w:hint="ascii"/>
          <w:sz w:val="21"/>
        </w:rPr>
        <w:t>）联合资助合作研究项目和学术会议项目。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0" w:after="0" w:lineRule="exact" w:line="312"/>
        <w:ind w:right="963" w:left="861" w:firstLine="524"/>
        <w:snapToGrid w:val="0"/>
        <w:textAlignment w:val="auto"/>
        <w:tabs>
          <w:tab w:val="left" w:leader="none" w:pos="1928"/>
        </w:tabs>
        <w:numPr>
          <w:ilvl w:val="0"/>
          <w:numId w:val="297"/>
        </w:numPr>
        <w:rPr>
          <w:rFonts w:ascii="Times New Roman" w:hAnsi="Times New Roman" w:cs="Times New Roman" w:eastAsia="Times New Roman" w:hint="ascii"/>
          <w:sz w:val="21"/>
          <w:spacing w:val="1"/>
        </w:rPr>
      </w:pPr>
      <w:r>
        <w:rPr>
          <w:rFonts w:ascii="宋体" w:hAnsi="宋体" w:cs="宋体" w:eastAsia="宋体" w:hint="ascii"/>
          <w:sz w:val="21"/>
        </w:rPr>
        <w:t>年度，自然科学基金委与加拿大魁北克研究基金会自然科学与工程学</w:t>
      </w:r>
      <w:r>
        <w:rPr>
          <w:rFonts w:ascii="宋体" w:hAnsi="宋体" w:cs="宋体" w:eastAsia="宋体" w:hint="ascii"/>
          <w:sz w:val="21"/>
          <w:spacing w:val="-16"/>
        </w:rPr>
        <w:t>部</w:t>
      </w:r>
      <w:r>
        <w:rPr>
          <w:rFonts w:ascii="宋体" w:hAnsi="宋体" w:cs="宋体" w:eastAsia="宋体" w:hint="ascii"/>
          <w:sz w:val="21"/>
        </w:rPr>
        <w:t>（</w:t>
      </w:r>
      <w:r>
        <w:rPr>
          <w:rFonts w:ascii="Times New Roman" w:hAnsi="Times New Roman" w:cs="Times New Roman" w:eastAsia="Times New Roman" w:hint="ascii"/>
          <w:sz w:val="21"/>
        </w:rPr>
        <w:t>FRQNT</w:t>
      </w:r>
      <w:r>
        <w:rPr>
          <w:rFonts w:ascii="宋体" w:hAnsi="宋体" w:cs="宋体" w:eastAsia="宋体" w:hint="ascii"/>
          <w:sz w:val="21"/>
        </w:rPr>
        <w:t>）开展了“全球变化</w:t>
      </w:r>
      <w:r>
        <w:rPr>
          <w:rFonts w:ascii="宋体" w:hAnsi="宋体" w:cs="宋体" w:eastAsia="宋体" w:hint="ascii"/>
          <w:sz w:val="21"/>
          <w:spacing w:val="-50"/>
        </w:rPr>
        <w:t>”</w:t>
      </w:r>
      <w:r>
        <w:rPr>
          <w:rFonts w:ascii="宋体" w:hAnsi="宋体" w:cs="宋体" w:eastAsia="宋体" w:hint="ascii"/>
          <w:sz w:val="21"/>
        </w:rPr>
        <w:t>“光子学”领域合作研究项目的征集与资助，拟共同资</w:t>
      </w:r>
    </w:p>
    <w:p>
      <w:pPr>
        <w:autoSpaceDE w:val="0"/>
        <w:autoSpaceDN w:val="0"/>
        <w:jc w:val="left"/>
        <w:spacing w:before="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助不超过 </w:t>
      </w:r>
      <w:r>
        <w:rPr>
          <w:rFonts w:ascii="Times New Roman" w:hAnsi="Times New Roman" w:cs="Times New Roman" w:eastAsia="Times New Roman" w:hint="ascii"/>
          <w:sz w:val="21"/>
        </w:rPr>
        <w:t xml:space="preserve">4 </w:t>
      </w:r>
      <w:r>
        <w:rPr>
          <w:rFonts w:ascii="宋体" w:hAnsi="宋体" w:cs="宋体" w:eastAsia="宋体" w:hint="ascii"/>
          <w:sz w:val="21"/>
        </w:rPr>
        <w:t>个项目。</w:t>
      </w:r>
      <w:r>
        <w:rPr>
          <w:rFonts w:ascii="Times New Roman" w:hAnsi="Times New Roman" w:cs="Times New Roman" w:eastAsia="Times New Roman" w:hint="ascii"/>
          <w:sz w:val="21"/>
        </w:rPr>
        <w:t xml:space="preserve">2018 </w:t>
      </w:r>
      <w:r>
        <w:rPr>
          <w:rFonts w:ascii="宋体" w:hAnsi="宋体" w:cs="宋体" w:eastAsia="宋体" w:hint="ascii"/>
          <w:sz w:val="21"/>
        </w:rPr>
        <w:t>年度，自然科学基金委拟与加拿大魁北克研究基金会医学科学部（</w:t>
      </w:r>
      <w:r>
        <w:rPr>
          <w:rFonts w:ascii="Times New Roman" w:hAnsi="Times New Roman" w:cs="Times New Roman" w:eastAsia="Times New Roman" w:hint="ascii"/>
          <w:sz w:val="21"/>
        </w:rPr>
        <w:t>FRQS</w:t>
      </w:r>
      <w:r>
        <w:rPr>
          <w:rFonts w:ascii="宋体" w:hAnsi="宋体" w:cs="宋体" w:eastAsia="宋体" w:hint="ascii"/>
          <w:sz w:val="21"/>
        </w:rPr>
        <w:t>）在心血管领域开展合作研究项目的征集与资助，</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澳大利亚</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澳大利亚国立健康与医学研究理事会（</w:t>
      </w:r>
      <w:r>
        <w:rPr>
          <w:rFonts w:ascii="Times New Roman" w:hAnsi="Times New Roman" w:cs="Times New Roman" w:eastAsia="Times New Roman" w:hint="ascii"/>
          <w:b w:val="1"/>
          <w:sz w:val="21"/>
        </w:rPr>
        <w:t>NHMRC</w:t>
      </w:r>
      <w:r>
        <w:rPr>
          <w:rFonts w:ascii="宋体" w:hAnsi="宋体" w:cs="宋体" w:eastAsia="宋体" w:hint="ascii"/>
          <w:sz w:val="21"/>
        </w:rPr>
        <w:t>）</w:t>
      </w:r>
    </w:p>
    <w:p>
      <w:pPr>
        <w:autoSpaceDE w:val="0"/>
        <w:autoSpaceDN w:val="0"/>
        <w:jc w:val="left"/>
        <w:spacing w:before="49"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3"/>
        </w:rPr>
        <w:t xml:space="preserve"> </w:t>
      </w:r>
      <w:r>
        <w:rPr>
          <w:rFonts w:ascii="宋体" w:hAnsi="宋体" w:cs="宋体" w:eastAsia="宋体" w:hint="ascii"/>
          <w:sz w:val="21"/>
        </w:rPr>
        <w:t>年</w:t>
      </w:r>
      <w:r>
        <w:rPr>
          <w:rFonts w:ascii="宋体" w:hAnsi="宋体" w:cs="宋体" w:eastAsia="宋体" w:hint="ascii"/>
          <w:sz w:val="21"/>
          <w:spacing w:val="-2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3"/>
        </w:rPr>
        <w:t xml:space="preserve"> </w:t>
      </w:r>
      <w:r>
        <w:rPr>
          <w:rFonts w:ascii="宋体" w:hAnsi="宋体" w:cs="宋体" w:eastAsia="宋体" w:hint="ascii"/>
          <w:sz w:val="21"/>
        </w:rPr>
        <w:t>月，自然科学基金委与澳大利亚国立健康与医学研究理事会（</w:t>
      </w:r>
      <w:r>
        <w:rPr>
          <w:rFonts w:ascii="Times New Roman" w:hAnsi="Times New Roman" w:cs="Times New Roman" w:eastAsia="Times New Roman" w:hint="ascii"/>
          <w:sz w:val="21"/>
        </w:rPr>
        <w:t>NHMRC</w:t>
      </w:r>
      <w:r>
        <w:rPr>
          <w:rFonts w:ascii="宋体" w:hAnsi="宋体" w:cs="宋体" w:eastAsia="宋体" w:hint="ascii"/>
          <w:sz w:val="21"/>
        </w:rPr>
        <w:t>）</w:t>
      </w:r>
    </w:p>
    <w:p>
      <w:pPr>
        <w:autoSpaceDE w:val="0"/>
        <w:autoSpaceDN w:val="0"/>
        <w:jc w:val="left"/>
        <w:spacing w:before="541"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签署了合作协议书，联合资助合作研究项目和学术会议项目。</w:t>
      </w:r>
      <w:r>
        <w:rPr>
          <w:rFonts w:ascii="宋体" w:hAnsi="宋体" w:cs="宋体" w:eastAsia="宋体" w:hint="ascii"/>
          <w:sz w:val="21"/>
        </w:rPr>
        <mc:AlternateContent>
          <mc:Choice Requires="wps">
            <w:drawing>
              <wp:anchor distL="0" distR="0" distT="0" distB="0" simplePos="0" behindDoc="1" relativeHeight="247" locked="0" layoutInCell="1" allowOverlap="1">
                <wp:simplePos x="0" y="0"/>
                <wp:positionH relativeFrom="page">
                  <wp:posOffset>938530</wp:posOffset>
                </wp:positionH>
                <wp:positionV relativeFrom="page">
                  <wp:posOffset>805815</wp:posOffset>
                </wp:positionV>
                <wp:extent cx="5076190" cy="0"/>
                <wp:wrapNone/>
                <wp:docPr id="1276" name="127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05312;width:399.70pt;" id="127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0" w:after="0" w:lineRule="exact" w:line="312"/>
        <w:ind w:right="976" w:left="861" w:firstLine="524"/>
        <w:snapToGrid w:val="0"/>
        <w:textAlignment w:val="auto"/>
        <w:tabs>
          <w:tab w:val="left" w:leader="none" w:pos="1921"/>
        </w:tabs>
        <w:numPr>
          <w:ilvl w:val="0"/>
          <w:numId w:val="297"/>
        </w:numPr>
        <w:rPr>
          <w:rFonts w:ascii="Times New Roman" w:hAnsi="Times New Roman" w:cs="Times New Roman" w:eastAsia="Times New Roman" w:hint="ascii"/>
          <w:sz w:val="21"/>
          <w:spacing w:val="1"/>
        </w:rPr>
      </w:pPr>
      <w:r>
        <w:rPr>
          <w:rFonts w:ascii="宋体" w:hAnsi="宋体" w:cs="宋体" w:eastAsia="宋体" w:hint="ascii"/>
          <w:sz w:val="21"/>
          <w:spacing w:val="2"/>
        </w:rPr>
        <w:t>年度有关申请事宜请关注自然科学基金委网站“通知通告”</w:t>
      </w:r>
      <w:r>
        <w:rPr>
          <w:rFonts w:ascii="宋体" w:hAnsi="宋体" w:cs="宋体" w:eastAsia="宋体" w:hint="ascii"/>
          <w:sz w:val="21"/>
          <w:spacing w:val="1"/>
        </w:rPr>
        <w:t>栏目中发布</w:t>
      </w:r>
      <w:r>
        <w:rPr>
          <w:rFonts w:ascii="宋体" w:hAnsi="宋体" w:cs="宋体" w:eastAsia="宋体" w:hint="ascii"/>
          <w:sz w:val="21"/>
          <w:spacing w:val="-7"/>
        </w:rPr>
        <w:t>的</w:t>
      </w: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新西兰</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新西兰健康研究理事会（</w:t>
      </w:r>
      <w:r>
        <w:rPr>
          <w:rFonts w:ascii="Times New Roman" w:hAnsi="Times New Roman" w:cs="Times New Roman" w:eastAsia="Times New Roman" w:hint="ascii"/>
          <w:b w:val="1"/>
          <w:sz w:val="21"/>
        </w:rPr>
        <w:t>HRC</w:t>
      </w:r>
      <w:r>
        <w:rPr>
          <w:rFonts w:ascii="宋体" w:hAnsi="宋体" w:cs="宋体" w:eastAsia="宋体" w:hint="ascii"/>
          <w:sz w:val="21"/>
        </w:rPr>
        <w:t>）</w:t>
      </w:r>
    </w:p>
    <w:p>
      <w:pPr>
        <w:autoSpaceDE w:val="0"/>
        <w:autoSpaceDN w:val="0"/>
        <w:jc w:val="both"/>
        <w:spacing w:before="10" w:after="0" w:lineRule="exact" w:line="312"/>
        <w:ind w:right="976" w:left="966" w:firstLine="420"/>
        <w:snapToGrid w:val="0"/>
        <w:textAlignment w:val="auto"/>
        <w:tabs>
          <w:tab w:val="left" w:leader="none" w:pos="1908"/>
        </w:tabs>
        <w:numPr>
          <w:ilvl w:val="0"/>
          <w:numId w:val="298"/>
        </w:numPr>
        <w:rPr>
          <w:rFonts w:ascii="Times New Roman" w:hAnsi="Times New Roman" w:cs="Times New Roman" w:eastAsia="Times New Roman" w:hint="ascii"/>
          <w:sz w:val="21"/>
          <w:spacing w:val="1"/>
        </w:rPr>
      </w:pPr>
      <w:r>
        <w:rPr>
          <w:rFonts w:ascii="宋体" w:hAnsi="宋体" w:cs="宋体" w:eastAsia="宋体" w:hint="ascii"/>
          <w:sz w:val="21"/>
          <w:spacing w:val="-1"/>
        </w:rPr>
        <w:t xml:space="preserve">年 </w:t>
      </w:r>
      <w:r>
        <w:rPr>
          <w:rFonts w:ascii="Times New Roman" w:hAnsi="Times New Roman" w:cs="Times New Roman" w:eastAsia="Times New Roman" w:hint="ascii"/>
          <w:sz w:val="21"/>
          <w:spacing w:val="-1"/>
        </w:rPr>
        <w:t xml:space="preserve">3 </w:t>
      </w:r>
      <w:r>
        <w:rPr>
          <w:rFonts w:ascii="宋体" w:hAnsi="宋体" w:cs="宋体" w:eastAsia="宋体" w:hint="ascii"/>
          <w:sz w:val="21"/>
          <w:spacing w:val="-1"/>
        </w:rPr>
        <w:t>月，自然科</w:t>
      </w:r>
      <w:r>
        <w:rPr>
          <w:rFonts w:ascii="宋体" w:hAnsi="宋体" w:cs="宋体" w:eastAsia="宋体" w:hint="ascii"/>
          <w:sz w:val="21"/>
        </w:rPr>
        <w:t>学基金委与新西兰健康研究理事会（</w:t>
      </w:r>
      <w:r>
        <w:rPr>
          <w:rFonts w:ascii="Times New Roman" w:hAnsi="Times New Roman" w:cs="Times New Roman" w:eastAsia="Times New Roman" w:hint="ascii"/>
          <w:sz w:val="21"/>
        </w:rPr>
        <w:t>HRC</w:t>
      </w:r>
      <w:r>
        <w:rPr>
          <w:rFonts w:ascii="宋体" w:hAnsi="宋体" w:cs="宋体" w:eastAsia="宋体" w:hint="ascii"/>
          <w:sz w:val="21"/>
        </w:rPr>
        <w:t>）签订了科学合作安排，联合资助合作研究项目和学术会议项目。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根据双方协议，</w:t>
      </w:r>
      <w:r>
        <w:rPr>
          <w:rFonts w:ascii="Times New Roman" w:hAnsi="Times New Roman" w:cs="Times New Roman" w:eastAsia="Times New Roman" w:hint="ascii"/>
          <w:sz w:val="21"/>
        </w:rPr>
        <w:t xml:space="preserve">2018 </w:t>
      </w:r>
      <w:r>
        <w:rPr>
          <w:rFonts w:ascii="宋体" w:hAnsi="宋体" w:cs="宋体" w:eastAsia="宋体" w:hint="ascii"/>
          <w:sz w:val="21"/>
        </w:rPr>
        <w:t>年双方将在非传染病领域开展合作研究项目的征集与资助，</w:t>
      </w:r>
    </w:p>
    <w:p>
      <w:pPr>
        <w:autoSpaceDE w:val="0"/>
        <w:autoSpaceDN w:val="0"/>
        <w:jc w:val="both"/>
        <w:spacing w:before="10" w:after="0" w:lineRule="exact" w:line="312"/>
        <w:ind w:right="976" w:left="966" w:firstLine="0"/>
        <w:snapToGrid w:val="0"/>
        <w:textAlignment w:val="auto"/>
        <w:tabs>
          <w:tab w:val="left" w:leader="none" w:pos="1491"/>
        </w:tabs>
        <w:numPr>
          <w:ilvl w:val="0"/>
          <w:numId w:val="296"/>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1"/>
        </w:rPr>
        <w:t>有</w:t>
      </w:r>
      <w:r>
        <w:rPr>
          <w:rFonts w:ascii="宋体" w:hAnsi="宋体" w:cs="宋体" w:eastAsia="宋体" w:hint="ascii"/>
          <w:sz w:val="21"/>
        </w:rPr>
        <w:t>关申</w:t>
      </w:r>
      <w:r>
        <w:rPr>
          <w:rFonts w:ascii="宋体" w:hAnsi="宋体" w:cs="宋体" w:eastAsia="宋体" w:hint="ascii"/>
          <w:sz w:val="21"/>
          <w:spacing w:val="-1"/>
        </w:rPr>
        <w:t>请</w:t>
      </w:r>
      <w:r>
        <w:rPr>
          <w:rFonts w:ascii="宋体" w:hAnsi="宋体" w:cs="宋体" w:eastAsia="宋体" w:hint="ascii"/>
          <w:sz w:val="21"/>
        </w:rPr>
        <w:t>事</w:t>
      </w:r>
      <w:r>
        <w:rPr>
          <w:rFonts w:ascii="宋体" w:hAnsi="宋体" w:cs="宋体" w:eastAsia="宋体" w:hint="ascii"/>
          <w:sz w:val="21"/>
          <w:spacing w:val="-1"/>
        </w:rPr>
        <w:t>宜</w:t>
      </w:r>
      <w:r>
        <w:rPr>
          <w:rFonts w:ascii="宋体" w:hAnsi="宋体" w:cs="宋体" w:eastAsia="宋体" w:hint="ascii"/>
          <w:sz w:val="21"/>
        </w:rPr>
        <w:t>请关</w:t>
      </w:r>
      <w:r>
        <w:rPr>
          <w:rFonts w:ascii="宋体" w:hAnsi="宋体" w:cs="宋体" w:eastAsia="宋体" w:hint="ascii"/>
          <w:sz w:val="21"/>
          <w:spacing w:val="-1"/>
        </w:rPr>
        <w:t>注</w:t>
      </w:r>
      <w:r>
        <w:rPr>
          <w:rFonts w:ascii="宋体" w:hAnsi="宋体" w:cs="宋体" w:eastAsia="宋体" w:hint="ascii"/>
          <w:sz w:val="21"/>
        </w:rPr>
        <w:t>自</w:t>
      </w:r>
      <w:r>
        <w:rPr>
          <w:rFonts w:ascii="宋体" w:hAnsi="宋体" w:cs="宋体" w:eastAsia="宋体" w:hint="ascii"/>
          <w:sz w:val="21"/>
          <w:spacing w:val="-1"/>
        </w:rPr>
        <w:t>然</w:t>
      </w:r>
      <w:r>
        <w:rPr>
          <w:rFonts w:ascii="宋体" w:hAnsi="宋体" w:cs="宋体" w:eastAsia="宋体" w:hint="ascii"/>
          <w:sz w:val="21"/>
        </w:rPr>
        <w:t>科学</w:t>
      </w:r>
      <w:r>
        <w:rPr>
          <w:rFonts w:ascii="宋体" w:hAnsi="宋体" w:cs="宋体" w:eastAsia="宋体" w:hint="ascii"/>
          <w:sz w:val="21"/>
          <w:spacing w:val="-1"/>
        </w:rPr>
        <w:t>基</w:t>
      </w:r>
      <w:r>
        <w:rPr>
          <w:rFonts w:ascii="宋体" w:hAnsi="宋体" w:cs="宋体" w:eastAsia="宋体" w:hint="ascii"/>
          <w:sz w:val="21"/>
        </w:rPr>
        <w:t>金</w:t>
      </w:r>
      <w:r>
        <w:rPr>
          <w:rFonts w:ascii="宋体" w:hAnsi="宋体" w:cs="宋体" w:eastAsia="宋体" w:hint="ascii"/>
          <w:sz w:val="21"/>
          <w:spacing w:val="-1"/>
        </w:rPr>
        <w:t>委</w:t>
      </w:r>
      <w:r>
        <w:rPr>
          <w:rFonts w:ascii="宋体" w:hAnsi="宋体" w:cs="宋体" w:eastAsia="宋体" w:hint="ascii"/>
          <w:sz w:val="21"/>
        </w:rPr>
        <w:t>网站</w:t>
      </w:r>
      <w:r>
        <w:rPr>
          <w:rFonts w:ascii="宋体" w:hAnsi="宋体" w:cs="宋体" w:eastAsia="宋体" w:hint="ascii"/>
          <w:sz w:val="21"/>
          <w:spacing w:val="-1"/>
        </w:rPr>
        <w:t>“</w:t>
      </w:r>
      <w:r>
        <w:rPr>
          <w:rFonts w:ascii="宋体" w:hAnsi="宋体" w:cs="宋体" w:eastAsia="宋体" w:hint="ascii"/>
          <w:sz w:val="21"/>
        </w:rPr>
        <w:t>通</w:t>
      </w:r>
      <w:r>
        <w:rPr>
          <w:rFonts w:ascii="宋体" w:hAnsi="宋体" w:cs="宋体" w:eastAsia="宋体" w:hint="ascii"/>
          <w:sz w:val="21"/>
          <w:spacing w:val="-1"/>
        </w:rPr>
        <w:t>知</w:t>
      </w:r>
      <w:r>
        <w:rPr>
          <w:rFonts w:ascii="宋体" w:hAnsi="宋体" w:cs="宋体" w:eastAsia="宋体" w:hint="ascii"/>
          <w:sz w:val="21"/>
        </w:rPr>
        <w:t>通告</w:t>
      </w:r>
      <w:r>
        <w:rPr>
          <w:rFonts w:ascii="宋体" w:hAnsi="宋体" w:cs="宋体" w:eastAsia="宋体" w:hint="ascii"/>
          <w:sz w:val="21"/>
          <w:spacing w:val="-1"/>
        </w:rPr>
        <w:t>”</w:t>
      </w:r>
      <w:r>
        <w:rPr>
          <w:rFonts w:ascii="宋体" w:hAnsi="宋体" w:cs="宋体" w:eastAsia="宋体" w:hint="ascii"/>
          <w:sz w:val="21"/>
        </w:rPr>
        <w:t>栏</w:t>
      </w:r>
      <w:r>
        <w:rPr>
          <w:rFonts w:ascii="宋体" w:hAnsi="宋体" w:cs="宋体" w:eastAsia="宋体" w:hint="ascii"/>
          <w:sz w:val="21"/>
          <w:spacing w:val="-1"/>
        </w:rPr>
        <w:t>目</w:t>
      </w:r>
      <w:r>
        <w:rPr>
          <w:rFonts w:ascii="宋体" w:hAnsi="宋体" w:cs="宋体" w:eastAsia="宋体" w:hint="ascii"/>
          <w:sz w:val="21"/>
        </w:rPr>
        <w:t>中发</w:t>
      </w:r>
      <w:r>
        <w:rPr>
          <w:rFonts w:ascii="宋体" w:hAnsi="宋体" w:cs="宋体" w:eastAsia="宋体" w:hint="ascii"/>
          <w:sz w:val="21"/>
          <w:spacing w:val="-1"/>
        </w:rPr>
        <w:t>布</w:t>
      </w:r>
      <w:r>
        <w:rPr>
          <w:rFonts w:ascii="宋体" w:hAnsi="宋体" w:cs="宋体" w:eastAsia="宋体" w:hint="ascii"/>
          <w:sz w:val="21"/>
        </w:rPr>
        <w:t>的</w:t>
      </w:r>
      <w:r>
        <w:rPr>
          <w:rFonts w:ascii="宋体" w:hAnsi="宋体" w:cs="宋体" w:eastAsia="宋体" w:hint="ascii"/>
          <w:sz w:val="21"/>
          <w:spacing w:val="-1"/>
        </w:rPr>
        <w:t>《</w:t>
      </w:r>
      <w:r>
        <w:rPr>
          <w:rFonts w:ascii="宋体" w:hAnsi="宋体" w:cs="宋体" w:eastAsia="宋体" w:hint="ascii"/>
          <w:sz w:val="21"/>
        </w:rPr>
        <w:t>组</w:t>
      </w:r>
      <w:r>
        <w:rPr>
          <w:rFonts w:ascii="宋体" w:hAnsi="宋体" w:cs="宋体" w:eastAsia="宋体" w:hint="ascii"/>
          <w:sz w:val="21"/>
          <w:spacing w:val="-4"/>
        </w:rPr>
        <w:t>织</w:t>
      </w:r>
      <w:r>
        <w:rPr>
          <w:rFonts w:ascii="宋体" w:hAnsi="宋体" w:cs="宋体" w:eastAsia="宋体" w:hint="ascii"/>
          <w:sz w:val="21"/>
        </w:rPr>
        <w:t xml:space="preserve"> 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智利</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智利国家科学与技术研究委员会（</w:t>
      </w:r>
      <w:r>
        <w:rPr>
          <w:rFonts w:ascii="Times New Roman" w:hAnsi="Times New Roman" w:cs="Times New Roman" w:eastAsia="Times New Roman" w:hint="ascii"/>
          <w:b w:val="1"/>
          <w:sz w:val="21"/>
        </w:rPr>
        <w:t>CONICYT</w:t>
      </w:r>
      <w:r>
        <w:rPr>
          <w:rFonts w:ascii="宋体" w:hAnsi="宋体" w:cs="宋体" w:eastAsia="宋体" w:hint="ascii"/>
          <w:sz w:val="21"/>
        </w:rPr>
        <w:t>）</w:t>
      </w:r>
    </w:p>
    <w:p>
      <w:pPr>
        <w:autoSpaceDE w:val="0"/>
        <w:autoSpaceDN w:val="0"/>
        <w:jc w:val="both"/>
        <w:spacing w:before="10" w:after="0" w:lineRule="exact" w:line="312"/>
        <w:ind w:right="976" w:left="966" w:firstLine="420"/>
        <w:snapToGrid w:val="0"/>
        <w:textAlignment w:val="auto"/>
        <w:tabs>
          <w:tab w:val="left" w:leader="none" w:pos="1880"/>
        </w:tabs>
        <w:numPr>
          <w:ilvl w:val="0"/>
          <w:numId w:val="299"/>
        </w:numPr>
        <w:rPr>
          <w:rFonts w:ascii="Times New Roman" w:hAnsi="Times New Roman" w:cs="Times New Roman" w:eastAsia="Times New Roman" w:hint="ascii"/>
          <w:sz w:val="21"/>
          <w:spacing w:val="1"/>
        </w:rPr>
      </w:pPr>
      <w:r>
        <w:rPr>
          <w:rFonts w:ascii="宋体" w:hAnsi="宋体" w:cs="宋体" w:eastAsia="宋体" w:hint="ascii"/>
          <w:sz w:val="21"/>
          <w:spacing w:val="-1"/>
        </w:rPr>
        <w:t>年</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1"/>
        </w:rPr>
        <w:t>8</w:t>
      </w:r>
      <w:r>
        <w:rPr>
          <w:rFonts w:ascii="Times New Roman" w:hAnsi="Times New Roman" w:cs="Times New Roman" w:eastAsia="Times New Roman" w:hint="ascii"/>
          <w:sz w:val="21"/>
          <w:spacing w:val="-17"/>
        </w:rPr>
        <w:t xml:space="preserve"> </w:t>
      </w:r>
      <w:r>
        <w:rPr>
          <w:rFonts w:ascii="宋体" w:hAnsi="宋体" w:cs="宋体" w:eastAsia="宋体" w:hint="ascii"/>
          <w:sz w:val="21"/>
          <w:spacing w:val="-1"/>
        </w:rPr>
        <w:t>月</w:t>
      </w:r>
      <w:r>
        <w:rPr>
          <w:rFonts w:ascii="宋体" w:hAnsi="宋体" w:cs="宋体" w:eastAsia="宋体" w:hint="ascii"/>
          <w:sz w:val="21"/>
        </w:rPr>
        <w:t>，自然科学基金委与智利国家科学与技术研究委员会（</w:t>
      </w:r>
      <w:r>
        <w:rPr>
          <w:rFonts w:ascii="Times New Roman" w:hAnsi="Times New Roman" w:cs="Times New Roman" w:eastAsia="Times New Roman" w:hint="ascii"/>
          <w:sz w:val="21"/>
        </w:rPr>
        <w:t>CONICYT</w:t>
      </w:r>
      <w:r>
        <w:rPr>
          <w:rFonts w:ascii="宋体" w:hAnsi="宋体" w:cs="宋体" w:eastAsia="宋体" w:hint="ascii"/>
          <w:sz w:val="21"/>
        </w:rPr>
        <w:t>）签署了合作谅解备忘录，联合资助合作研究项目和学术会议项目。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0" w:after="0" w:lineRule="exact" w:line="312"/>
        <w:ind w:right="976" w:left="966" w:firstLine="420"/>
        <w:snapToGrid w:val="0"/>
        <w:textAlignment w:val="auto"/>
        <w:tabs>
          <w:tab w:val="left" w:leader="none" w:pos="1914"/>
        </w:tabs>
        <w:numPr>
          <w:ilvl w:val="0"/>
          <w:numId w:val="300"/>
        </w:numPr>
        <w:rPr>
          <w:rFonts w:ascii="Times New Roman" w:hAnsi="Times New Roman" w:cs="Times New Roman" w:eastAsia="Times New Roman" w:hint="ascii"/>
          <w:sz w:val="21"/>
          <w:spacing w:val="1"/>
        </w:rPr>
      </w:pPr>
      <w:r>
        <w:rPr>
          <w:rFonts w:ascii="宋体" w:hAnsi="宋体" w:cs="宋体" w:eastAsia="宋体" w:hint="ascii"/>
          <w:sz w:val="21"/>
        </w:rPr>
        <w:t>年，</w:t>
      </w:r>
      <w:r>
        <w:rPr>
          <w:rFonts w:ascii="宋体" w:hAnsi="宋体" w:cs="宋体" w:eastAsia="宋体" w:hint="ascii"/>
          <w:sz w:val="21"/>
          <w:spacing w:val="-1"/>
        </w:rPr>
        <w:t>双</w:t>
      </w:r>
      <w:r>
        <w:rPr>
          <w:rFonts w:ascii="宋体" w:hAnsi="宋体" w:cs="宋体" w:eastAsia="宋体" w:hint="ascii"/>
          <w:sz w:val="21"/>
        </w:rPr>
        <w:t>方在“</w:t>
      </w:r>
      <w:r>
        <w:rPr>
          <w:rFonts w:ascii="宋体" w:hAnsi="宋体" w:cs="宋体" w:eastAsia="宋体" w:hint="ascii"/>
          <w:sz w:val="21"/>
          <w:spacing w:val="-1"/>
        </w:rPr>
        <w:t>自然</w:t>
      </w:r>
      <w:r>
        <w:rPr>
          <w:rFonts w:ascii="宋体" w:hAnsi="宋体" w:cs="宋体" w:eastAsia="宋体" w:hint="ascii"/>
          <w:sz w:val="21"/>
        </w:rPr>
        <w:t>灾害管</w:t>
      </w:r>
      <w:r>
        <w:rPr>
          <w:rFonts w:ascii="宋体" w:hAnsi="宋体" w:cs="宋体" w:eastAsia="宋体" w:hint="ascii"/>
          <w:sz w:val="21"/>
          <w:spacing w:val="-1"/>
        </w:rPr>
        <w:t>理”</w:t>
      </w:r>
      <w:r>
        <w:rPr>
          <w:rFonts w:ascii="宋体" w:hAnsi="宋体" w:cs="宋体" w:eastAsia="宋体" w:hint="ascii"/>
          <w:sz w:val="21"/>
        </w:rPr>
        <w:t>领域开</w:t>
      </w:r>
      <w:r>
        <w:rPr>
          <w:rFonts w:ascii="宋体" w:hAnsi="宋体" w:cs="宋体" w:eastAsia="宋体" w:hint="ascii"/>
          <w:sz w:val="21"/>
          <w:spacing w:val="-1"/>
        </w:rPr>
        <w:t>展了</w:t>
      </w:r>
      <w:r>
        <w:rPr>
          <w:rFonts w:ascii="宋体" w:hAnsi="宋体" w:cs="宋体" w:eastAsia="宋体" w:hint="ascii"/>
          <w:sz w:val="21"/>
        </w:rPr>
        <w:t>合作研</w:t>
      </w:r>
      <w:r>
        <w:rPr>
          <w:rFonts w:ascii="宋体" w:hAnsi="宋体" w:cs="宋体" w:eastAsia="宋体" w:hint="ascii"/>
          <w:sz w:val="21"/>
          <w:spacing w:val="-1"/>
        </w:rPr>
        <w:t>究项</w:t>
      </w:r>
      <w:r>
        <w:rPr>
          <w:rFonts w:ascii="宋体" w:hAnsi="宋体" w:cs="宋体" w:eastAsia="宋体" w:hint="ascii"/>
          <w:sz w:val="21"/>
        </w:rPr>
        <w:t>目的征</w:t>
      </w:r>
      <w:r>
        <w:rPr>
          <w:rFonts w:ascii="宋体" w:hAnsi="宋体" w:cs="宋体" w:eastAsia="宋体" w:hint="ascii"/>
          <w:sz w:val="21"/>
          <w:spacing w:val="-1"/>
        </w:rPr>
        <w:t>集与</w:t>
      </w:r>
      <w:r>
        <w:rPr>
          <w:rFonts w:ascii="宋体" w:hAnsi="宋体" w:cs="宋体" w:eastAsia="宋体" w:hint="ascii"/>
          <w:sz w:val="21"/>
        </w:rPr>
        <w:t>资助，拟</w:t>
      </w:r>
      <w:r>
        <w:rPr>
          <w:rFonts w:ascii="宋体" w:hAnsi="宋体" w:cs="宋体" w:eastAsia="宋体" w:hint="ascii"/>
          <w:sz w:val="21"/>
          <w:spacing w:val="-4"/>
        </w:rPr>
        <w:t>共</w:t>
      </w:r>
      <w:r>
        <w:rPr>
          <w:rFonts w:ascii="宋体" w:hAnsi="宋体" w:cs="宋体" w:eastAsia="宋体" w:hint="ascii"/>
          <w:sz w:val="21"/>
        </w:rPr>
        <w:t>同资助不超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5</w:t>
      </w:r>
      <w:r>
        <w:rPr>
          <w:rFonts w:ascii="宋体" w:hAnsi="宋体" w:cs="宋体" w:eastAsia="宋体" w:hint="ascii"/>
          <w:sz w:val="21"/>
        </w:rPr>
        <w:t>个项目。</w:t>
      </w:r>
    </w:p>
    <w:p>
      <w:pPr>
        <w:autoSpaceDE w:val="0"/>
        <w:autoSpaceDN w:val="0"/>
        <w:jc w:val="both"/>
        <w:spacing w:before="0" w:after="0" w:lineRule="exact" w:line="312"/>
        <w:ind w:right="976" w:left="861" w:firstLine="524"/>
        <w:snapToGrid w:val="0"/>
        <w:textAlignment w:val="auto"/>
        <w:tabs>
          <w:tab w:val="left" w:leader="none" w:pos="1921"/>
        </w:tabs>
        <w:numPr>
          <w:ilvl w:val="0"/>
          <w:numId w:val="300"/>
        </w:numPr>
        <w:rPr>
          <w:rFonts w:ascii="Times New Roman" w:hAnsi="Times New Roman" w:cs="Times New Roman" w:eastAsia="Times New Roman" w:hint="ascii"/>
          <w:sz w:val="21"/>
          <w:spacing w:val="1"/>
        </w:rPr>
      </w:pPr>
      <w:r>
        <w:rPr>
          <w:rFonts w:ascii="宋体" w:hAnsi="宋体" w:cs="宋体" w:eastAsia="宋体" w:hint="ascii"/>
          <w:sz w:val="21"/>
          <w:spacing w:val="2"/>
        </w:rPr>
        <w:t>年度有关申请事宜请关注自然科学基金委网站“通知通告”</w:t>
      </w:r>
      <w:r>
        <w:rPr>
          <w:rFonts w:ascii="宋体" w:hAnsi="宋体" w:cs="宋体" w:eastAsia="宋体" w:hint="ascii"/>
          <w:sz w:val="21"/>
          <w:spacing w:val="1"/>
        </w:rPr>
        <w:t>栏目中发布</w:t>
      </w:r>
      <w:r>
        <w:rPr>
          <w:rFonts w:ascii="宋体" w:hAnsi="宋体" w:cs="宋体" w:eastAsia="宋体" w:hint="ascii"/>
          <w:sz w:val="21"/>
          <w:spacing w:val="-7"/>
        </w:rPr>
        <w:t>的</w:t>
      </w: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阿根廷</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阿根廷国家科学与技术研究理事会（</w:t>
      </w:r>
      <w:r>
        <w:rPr>
          <w:rFonts w:ascii="Times New Roman" w:hAnsi="Times New Roman" w:cs="Times New Roman" w:eastAsia="Times New Roman" w:hint="ascii"/>
          <w:b w:val="1"/>
          <w:sz w:val="21"/>
        </w:rPr>
        <w:t>CONICET</w:t>
      </w:r>
      <w:r>
        <w:rPr>
          <w:rFonts w:ascii="宋体" w:hAnsi="宋体" w:cs="宋体" w:eastAsia="宋体" w:hint="ascii"/>
          <w:sz w:val="21"/>
        </w:rPr>
        <w:t>）</w:t>
      </w:r>
    </w:p>
    <w:p>
      <w:pPr>
        <w:autoSpaceDE w:val="0"/>
        <w:autoSpaceDN w:val="0"/>
        <w:jc w:val="both"/>
        <w:spacing w:before="10" w:after="0" w:lineRule="exact" w:line="312"/>
        <w:ind w:right="976" w:left="966" w:firstLine="420"/>
        <w:snapToGrid w:val="0"/>
        <w:textAlignment w:val="auto"/>
        <w:tabs>
          <w:tab w:val="left" w:leader="none" w:pos="1888"/>
        </w:tabs>
        <w:numPr>
          <w:ilvl w:val="0"/>
          <w:numId w:val="299"/>
        </w:numPr>
        <w:rPr>
          <w:rFonts w:ascii="Times New Roman" w:hAnsi="Times New Roman" w:cs="Times New Roman" w:eastAsia="Times New Roman" w:hint="ascii"/>
          <w:sz w:val="21"/>
          <w:spacing w:val="1"/>
        </w:rPr>
      </w:pPr>
      <w:r>
        <w:rPr>
          <w:rFonts w:ascii="宋体" w:hAnsi="宋体" w:cs="宋体" w:eastAsia="宋体" w:hint="ascii"/>
          <w:sz w:val="21"/>
          <w:spacing w:val="-1"/>
        </w:rPr>
        <w:t>年</w:t>
      </w:r>
      <w:r>
        <w:rPr>
          <w:rFonts w:ascii="宋体" w:hAnsi="宋体" w:cs="宋体" w:eastAsia="宋体" w:hint="ascii"/>
          <w:sz w:val="21"/>
          <w:spacing w:val="-12"/>
        </w:rPr>
        <w:t xml:space="preserve"> </w:t>
      </w:r>
      <w:r>
        <w:rPr>
          <w:rFonts w:ascii="Times New Roman" w:hAnsi="Times New Roman" w:cs="Times New Roman" w:eastAsia="Times New Roman" w:hint="ascii"/>
          <w:sz w:val="21"/>
          <w:spacing w:val="-1"/>
        </w:rPr>
        <w:t>6</w:t>
      </w:r>
      <w:r>
        <w:rPr>
          <w:rFonts w:ascii="Times New Roman" w:hAnsi="Times New Roman" w:cs="Times New Roman" w:eastAsia="Times New Roman" w:hint="ascii"/>
          <w:sz w:val="21"/>
          <w:spacing w:val="-13"/>
        </w:rPr>
        <w:t xml:space="preserve"> </w:t>
      </w:r>
      <w:r>
        <w:rPr>
          <w:rFonts w:ascii="宋体" w:hAnsi="宋体" w:cs="宋体" w:eastAsia="宋体" w:hint="ascii"/>
          <w:sz w:val="21"/>
          <w:spacing w:val="-1"/>
        </w:rPr>
        <w:t>月，</w:t>
      </w:r>
      <w:r>
        <w:rPr>
          <w:rFonts w:ascii="宋体" w:hAnsi="宋体" w:cs="宋体" w:eastAsia="宋体" w:hint="ascii"/>
          <w:sz w:val="21"/>
        </w:rPr>
        <w:t>自然科学基金委与阿根廷国家科学与技术研究理事会（</w:t>
      </w:r>
      <w:r>
        <w:rPr>
          <w:rFonts w:ascii="Times New Roman" w:hAnsi="Times New Roman" w:cs="Times New Roman" w:eastAsia="Times New Roman" w:hint="ascii"/>
          <w:sz w:val="21"/>
        </w:rPr>
        <w:t>CONICET</w:t>
      </w:r>
      <w:r>
        <w:rPr>
          <w:rFonts w:ascii="宋体" w:hAnsi="宋体" w:cs="宋体" w:eastAsia="宋体" w:hint="ascii"/>
          <w:sz w:val="21"/>
        </w:rPr>
        <w:t>）签署了合作谅解备忘录，联合资助合作研究项目和学术会议项目。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0" w:after="0" w:lineRule="exact" w:line="312"/>
        <w:ind w:right="976" w:left="966" w:firstLine="420"/>
        <w:snapToGrid w:val="0"/>
        <w:textAlignment w:val="auto"/>
        <w:tabs>
          <w:tab w:val="left" w:leader="none" w:pos="1914"/>
        </w:tabs>
        <w:numPr>
          <w:ilvl w:val="0"/>
          <w:numId w:val="301"/>
        </w:numPr>
        <w:rPr>
          <w:rFonts w:ascii="Times New Roman" w:hAnsi="Times New Roman" w:cs="Times New Roman" w:eastAsia="Times New Roman" w:hint="ascii"/>
          <w:sz w:val="21"/>
          <w:spacing w:val="1"/>
        </w:rPr>
      </w:pPr>
      <w:r>
        <w:rPr>
          <w:rFonts w:ascii="宋体" w:hAnsi="宋体" w:cs="宋体" w:eastAsia="宋体" w:hint="ascii"/>
          <w:sz w:val="21"/>
        </w:rPr>
        <w:t>年，</w:t>
      </w:r>
      <w:r>
        <w:rPr>
          <w:rFonts w:ascii="宋体" w:hAnsi="宋体" w:cs="宋体" w:eastAsia="宋体" w:hint="ascii"/>
          <w:sz w:val="21"/>
          <w:spacing w:val="-1"/>
        </w:rPr>
        <w:t>双</w:t>
      </w:r>
      <w:r>
        <w:rPr>
          <w:rFonts w:ascii="宋体" w:hAnsi="宋体" w:cs="宋体" w:eastAsia="宋体" w:hint="ascii"/>
          <w:sz w:val="21"/>
        </w:rPr>
        <w:t>方在“</w:t>
      </w:r>
      <w:r>
        <w:rPr>
          <w:rFonts w:ascii="宋体" w:hAnsi="宋体" w:cs="宋体" w:eastAsia="宋体" w:hint="ascii"/>
          <w:sz w:val="21"/>
          <w:spacing w:val="-1"/>
        </w:rPr>
        <w:t>水资</w:t>
      </w:r>
      <w:r>
        <w:rPr>
          <w:rFonts w:ascii="宋体" w:hAnsi="宋体" w:cs="宋体" w:eastAsia="宋体" w:hint="ascii"/>
          <w:sz w:val="21"/>
        </w:rPr>
        <w:t>源管理</w:t>
      </w:r>
      <w:r>
        <w:rPr>
          <w:rFonts w:ascii="宋体" w:hAnsi="宋体" w:cs="宋体" w:eastAsia="宋体" w:hint="ascii"/>
          <w:sz w:val="21"/>
          <w:spacing w:val="-1"/>
        </w:rPr>
        <w:t>”领</w:t>
      </w:r>
      <w:r>
        <w:rPr>
          <w:rFonts w:ascii="宋体" w:hAnsi="宋体" w:cs="宋体" w:eastAsia="宋体" w:hint="ascii"/>
          <w:sz w:val="21"/>
        </w:rPr>
        <w:t>域开展</w:t>
      </w:r>
      <w:r>
        <w:rPr>
          <w:rFonts w:ascii="宋体" w:hAnsi="宋体" w:cs="宋体" w:eastAsia="宋体" w:hint="ascii"/>
          <w:sz w:val="21"/>
          <w:spacing w:val="-1"/>
        </w:rPr>
        <w:t>了合</w:t>
      </w:r>
      <w:r>
        <w:rPr>
          <w:rFonts w:ascii="宋体" w:hAnsi="宋体" w:cs="宋体" w:eastAsia="宋体" w:hint="ascii"/>
          <w:sz w:val="21"/>
        </w:rPr>
        <w:t>作研究</w:t>
      </w:r>
      <w:r>
        <w:rPr>
          <w:rFonts w:ascii="宋体" w:hAnsi="宋体" w:cs="宋体" w:eastAsia="宋体" w:hint="ascii"/>
          <w:sz w:val="21"/>
          <w:spacing w:val="-1"/>
        </w:rPr>
        <w:t>项目</w:t>
      </w:r>
      <w:r>
        <w:rPr>
          <w:rFonts w:ascii="宋体" w:hAnsi="宋体" w:cs="宋体" w:eastAsia="宋体" w:hint="ascii"/>
          <w:sz w:val="21"/>
        </w:rPr>
        <w:t>的征集</w:t>
      </w:r>
      <w:r>
        <w:rPr>
          <w:rFonts w:ascii="宋体" w:hAnsi="宋体" w:cs="宋体" w:eastAsia="宋体" w:hint="ascii"/>
          <w:sz w:val="21"/>
          <w:spacing w:val="-1"/>
        </w:rPr>
        <w:t>与资</w:t>
      </w:r>
      <w:r>
        <w:rPr>
          <w:rFonts w:ascii="宋体" w:hAnsi="宋体" w:cs="宋体" w:eastAsia="宋体" w:hint="ascii"/>
          <w:sz w:val="21"/>
        </w:rPr>
        <w:t>助，拟共</w:t>
      </w:r>
      <w:r>
        <w:rPr>
          <w:rFonts w:ascii="宋体" w:hAnsi="宋体" w:cs="宋体" w:eastAsia="宋体" w:hint="ascii"/>
          <w:sz w:val="21"/>
          <w:spacing w:val="-4"/>
        </w:rPr>
        <w:t>同</w:t>
      </w:r>
      <w:r>
        <w:rPr>
          <w:rFonts w:ascii="宋体" w:hAnsi="宋体" w:cs="宋体" w:eastAsia="宋体" w:hint="ascii"/>
          <w:sz w:val="21"/>
        </w:rPr>
        <w:t>资助不超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5</w:t>
      </w:r>
      <w:r>
        <w:rPr>
          <w:rFonts w:ascii="宋体" w:hAnsi="宋体" w:cs="宋体" w:eastAsia="宋体" w:hint="ascii"/>
          <w:sz w:val="21"/>
        </w:rPr>
        <w:t>个项目。</w:t>
      </w:r>
    </w:p>
    <w:p>
      <w:pPr>
        <w:autoSpaceDE w:val="0"/>
        <w:autoSpaceDN w:val="0"/>
        <w:jc w:val="both"/>
        <w:spacing w:before="0" w:after="0" w:lineRule="exact" w:line="312"/>
        <w:ind w:right="976" w:left="861" w:firstLine="524"/>
        <w:snapToGrid w:val="0"/>
        <w:textAlignment w:val="auto"/>
        <w:tabs>
          <w:tab w:val="left" w:leader="none" w:pos="1921"/>
        </w:tabs>
        <w:numPr>
          <w:ilvl w:val="0"/>
          <w:numId w:val="301"/>
        </w:numPr>
        <w:rPr>
          <w:rFonts w:ascii="Times New Roman" w:hAnsi="Times New Roman" w:cs="Times New Roman" w:eastAsia="Times New Roman" w:hint="ascii"/>
          <w:sz w:val="21"/>
          <w:spacing w:val="1"/>
        </w:rPr>
      </w:pPr>
      <w:r>
        <w:rPr>
          <w:rFonts w:ascii="宋体" w:hAnsi="宋体" w:cs="宋体" w:eastAsia="宋体" w:hint="ascii"/>
          <w:sz w:val="21"/>
          <w:spacing w:val="2"/>
        </w:rPr>
        <w:t>年度有关申请事宜请关注自然科学基金委网站“通知通告”</w:t>
      </w:r>
      <w:r>
        <w:rPr>
          <w:rFonts w:ascii="宋体" w:hAnsi="宋体" w:cs="宋体" w:eastAsia="宋体" w:hint="ascii"/>
          <w:sz w:val="21"/>
          <w:spacing w:val="1"/>
        </w:rPr>
        <w:t>栏目中发布</w:t>
      </w:r>
      <w:r>
        <w:rPr>
          <w:rFonts w:ascii="宋体" w:hAnsi="宋体" w:cs="宋体" w:eastAsia="宋体" w:hint="ascii"/>
          <w:sz w:val="21"/>
          <w:spacing w:val="-7"/>
        </w:rPr>
        <w:t>的</w:t>
      </w: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28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r>
        <w:rPr>
          <w:rFonts w:ascii="宋体" w:hAnsi="宋体" w:cs="宋体" w:eastAsia="宋体" w:hint="ascii"/>
          <w:sz w:val="21"/>
        </w:rPr>
        <mc:AlternateContent>
          <mc:Choice Requires="wps">
            <w:drawing>
              <wp:anchor distL="0" distR="0" distT="0" distB="0" simplePos="0" behindDoc="1" relativeHeight="248" locked="0" layoutInCell="1" allowOverlap="1">
                <wp:simplePos x="0" y="0"/>
                <wp:positionH relativeFrom="page">
                  <wp:posOffset>938530</wp:posOffset>
                </wp:positionH>
                <wp:positionV relativeFrom="page">
                  <wp:posOffset>819150</wp:posOffset>
                </wp:positionV>
                <wp:extent cx="5076190" cy="0"/>
                <wp:wrapNone/>
                <wp:docPr id="1277" name="127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04288;width:399.70pt;" id="127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古巴</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古巴环境与科技部（</w:t>
      </w:r>
      <w:r>
        <w:rPr>
          <w:rFonts w:ascii="Times New Roman" w:hAnsi="Times New Roman" w:cs="Times New Roman" w:eastAsia="Times New Roman" w:hint="ascii"/>
          <w:b w:val="1"/>
          <w:sz w:val="21"/>
        </w:rPr>
        <w:t>CITMA</w:t>
      </w:r>
      <w:r>
        <w:rPr>
          <w:rFonts w:ascii="宋体" w:hAnsi="宋体" w:cs="宋体" w:eastAsia="宋体" w:hint="ascii"/>
          <w:sz w:val="21"/>
        </w:rPr>
        <w:t>）</w:t>
      </w:r>
    </w:p>
    <w:p>
      <w:pPr>
        <w:autoSpaceDE w:val="0"/>
        <w:autoSpaceDN w:val="0"/>
        <w:jc w:val="both"/>
        <w:spacing w:before="10" w:after="0" w:lineRule="exact" w:line="312"/>
        <w:ind w:right="978"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7</w:t>
      </w:r>
      <w:r>
        <w:rPr>
          <w:rFonts w:ascii="Times New Roman" w:hAnsi="Times New Roman" w:cs="Times New Roman" w:eastAsia="Times New Roman" w:hint="ascii"/>
          <w:sz w:val="21"/>
          <w:spacing w:val="-8"/>
        </w:rPr>
        <w:t xml:space="preserve"> </w:t>
      </w:r>
      <w:r>
        <w:rPr>
          <w:rFonts w:ascii="宋体" w:hAnsi="宋体" w:cs="宋体" w:eastAsia="宋体" w:hint="ascii"/>
          <w:sz w:val="21"/>
          <w:spacing w:val="-1"/>
        </w:rPr>
        <w:t>年</w:t>
      </w:r>
      <w:r>
        <w:rPr>
          <w:rFonts w:ascii="宋体" w:hAnsi="宋体" w:cs="宋体" w:eastAsia="宋体" w:hint="ascii"/>
          <w:sz w:val="21"/>
          <w:spacing w:val="-8"/>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9"/>
        </w:rPr>
        <w:t xml:space="preserve"> </w:t>
      </w:r>
      <w:r>
        <w:rPr>
          <w:rFonts w:ascii="宋体" w:hAnsi="宋体" w:cs="宋体" w:eastAsia="宋体" w:hint="ascii"/>
          <w:sz w:val="21"/>
          <w:spacing w:val="-1"/>
        </w:rPr>
        <w:t>月，自</w:t>
      </w:r>
      <w:r>
        <w:rPr>
          <w:rFonts w:ascii="宋体" w:hAnsi="宋体" w:cs="宋体" w:eastAsia="宋体" w:hint="ascii"/>
          <w:sz w:val="21"/>
        </w:rPr>
        <w:t>然科学基金委与古巴环境与科技部（</w:t>
      </w:r>
      <w:r>
        <w:rPr>
          <w:rFonts w:ascii="Times New Roman" w:hAnsi="Times New Roman" w:cs="Times New Roman" w:eastAsia="Times New Roman" w:hint="ascii"/>
          <w:sz w:val="21"/>
        </w:rPr>
        <w:t>CITMA</w:t>
      </w:r>
      <w:r>
        <w:rPr>
          <w:rFonts w:ascii="宋体" w:hAnsi="宋体" w:cs="宋体" w:eastAsia="宋体" w:hint="ascii"/>
          <w:sz w:val="21"/>
        </w:rPr>
        <w:t>）签署了合作谅解备忘录，联合资助合作研究项目和学术会议项目。</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both"/>
        <w:spacing w:before="10" w:after="0" w:lineRule="exact" w:line="312"/>
        <w:ind w:right="978" w:left="966" w:firstLine="420"/>
        <w:snapToGrid w:val="0"/>
        <w:textAlignment w:val="auto"/>
        <w:tabs>
          <w:tab w:val="left" w:leader="none" w:pos="1915"/>
        </w:tabs>
        <w:numPr>
          <w:ilvl w:val="0"/>
          <w:numId w:val="302"/>
        </w:numPr>
        <w:rPr>
          <w:rFonts w:ascii="Times New Roman" w:hAnsi="Times New Roman" w:cs="Times New Roman" w:eastAsia="Times New Roman" w:hint="ascii"/>
          <w:sz w:val="21"/>
          <w:spacing w:val="1"/>
        </w:rPr>
      </w:pPr>
      <w:r>
        <w:rPr>
          <w:rFonts w:ascii="宋体" w:hAnsi="宋体" w:cs="宋体" w:eastAsia="宋体" w:hint="ascii"/>
          <w:sz w:val="21"/>
        </w:rPr>
        <w:t>年，双方联合加拿大魁北克研究基金会（</w:t>
      </w:r>
      <w:r>
        <w:rPr>
          <w:rFonts w:ascii="Times New Roman" w:hAnsi="Times New Roman" w:cs="Times New Roman" w:eastAsia="Times New Roman" w:hint="ascii"/>
          <w:sz w:val="21"/>
        </w:rPr>
        <w:t>FRQ</w:t>
      </w:r>
      <w:r>
        <w:rPr>
          <w:rFonts w:ascii="宋体" w:hAnsi="宋体" w:cs="宋体" w:eastAsia="宋体" w:hint="ascii"/>
          <w:sz w:val="21"/>
        </w:rPr>
        <w:t>）在“脑成像”领域开展了合作研究项目的征集与资助，拟共同资</w:t>
      </w:r>
      <w:r>
        <w:rPr>
          <w:rFonts w:ascii="宋体" w:hAnsi="宋体" w:cs="宋体" w:eastAsia="宋体" w:hint="ascii"/>
          <w:sz w:val="21"/>
          <w:spacing w:val="26"/>
        </w:rPr>
        <w:t>助</w:t>
      </w:r>
      <w:r>
        <w:rPr>
          <w:rFonts w:ascii="Times New Roman" w:hAnsi="Times New Roman" w:cs="Times New Roman" w:eastAsia="Times New Roman" w:hint="ascii"/>
          <w:sz w:val="21"/>
          <w:spacing w:val="52"/>
        </w:rPr>
        <w:t>1</w:t>
      </w:r>
      <w:r>
        <w:rPr>
          <w:rFonts w:ascii="宋体" w:hAnsi="宋体" w:cs="宋体" w:eastAsia="宋体" w:hint="ascii"/>
          <w:sz w:val="21"/>
        </w:rPr>
        <w:t>个项目。</w:t>
      </w:r>
    </w:p>
    <w:p>
      <w:pPr>
        <w:autoSpaceDE w:val="0"/>
        <w:autoSpaceDN w:val="0"/>
        <w:jc w:val="both"/>
        <w:spacing w:before="0" w:after="0" w:lineRule="exact" w:line="312"/>
        <w:ind w:right="963" w:left="861" w:firstLine="524"/>
        <w:snapToGrid w:val="0"/>
        <w:textAlignment w:val="auto"/>
        <w:tabs>
          <w:tab w:val="left" w:leader="none" w:pos="1869"/>
        </w:tabs>
        <w:numPr>
          <w:ilvl w:val="0"/>
          <w:numId w:val="276"/>
        </w:numPr>
        <w:rPr>
          <w:rFonts w:ascii="Times New Roman" w:hAnsi="Times New Roman" w:cs="Times New Roman" w:eastAsia="Times New Roman" w:hint="ascii"/>
          <w:sz w:val="21"/>
          <w:spacing w:val="1"/>
        </w:rPr>
      </w:pPr>
      <w:r>
        <w:rPr>
          <w:rFonts w:ascii="宋体" w:hAnsi="宋体" w:cs="宋体" w:eastAsia="宋体" w:hint="ascii"/>
          <w:sz w:val="21"/>
          <w:spacing w:val="4"/>
        </w:rPr>
        <w:t>年度</w:t>
      </w:r>
      <w:r>
        <w:rPr>
          <w:rFonts w:ascii="宋体" w:hAnsi="宋体" w:cs="宋体" w:eastAsia="宋体" w:hint="ascii"/>
          <w:sz w:val="21"/>
          <w:spacing w:val="2"/>
        </w:rPr>
        <w:t>有</w:t>
      </w:r>
      <w:r>
        <w:rPr>
          <w:rFonts w:ascii="宋体" w:hAnsi="宋体" w:cs="宋体" w:eastAsia="宋体" w:hint="ascii"/>
          <w:sz w:val="21"/>
          <w:spacing w:val="4"/>
        </w:rPr>
        <w:t>关申</w:t>
      </w:r>
      <w:r>
        <w:rPr>
          <w:rFonts w:ascii="宋体" w:hAnsi="宋体" w:cs="宋体" w:eastAsia="宋体" w:hint="ascii"/>
          <w:sz w:val="21"/>
          <w:spacing w:val="2"/>
        </w:rPr>
        <w:t>请</w:t>
      </w:r>
      <w:r>
        <w:rPr>
          <w:rFonts w:ascii="宋体" w:hAnsi="宋体" w:cs="宋体" w:eastAsia="宋体" w:hint="ascii"/>
          <w:sz w:val="21"/>
          <w:spacing w:val="4"/>
        </w:rPr>
        <w:t>事</w:t>
      </w:r>
      <w:r>
        <w:rPr>
          <w:rFonts w:ascii="宋体" w:hAnsi="宋体" w:cs="宋体" w:eastAsia="宋体" w:hint="ascii"/>
          <w:sz w:val="21"/>
          <w:spacing w:val="2"/>
        </w:rPr>
        <w:t>宜</w:t>
      </w:r>
      <w:r>
        <w:rPr>
          <w:rFonts w:ascii="宋体" w:hAnsi="宋体" w:cs="宋体" w:eastAsia="宋体" w:hint="ascii"/>
          <w:sz w:val="21"/>
          <w:spacing w:val="4"/>
        </w:rPr>
        <w:t>请关</w:t>
      </w:r>
      <w:r>
        <w:rPr>
          <w:rFonts w:ascii="宋体" w:hAnsi="宋体" w:cs="宋体" w:eastAsia="宋体" w:hint="ascii"/>
          <w:sz w:val="21"/>
          <w:spacing w:val="2"/>
        </w:rPr>
        <w:t>注</w:t>
      </w:r>
      <w:r>
        <w:rPr>
          <w:rFonts w:ascii="宋体" w:hAnsi="宋体" w:cs="宋体" w:eastAsia="宋体" w:hint="ascii"/>
          <w:sz w:val="21"/>
          <w:spacing w:val="4"/>
        </w:rPr>
        <w:t>自</w:t>
      </w:r>
      <w:r>
        <w:rPr>
          <w:rFonts w:ascii="宋体" w:hAnsi="宋体" w:cs="宋体" w:eastAsia="宋体" w:hint="ascii"/>
          <w:sz w:val="21"/>
          <w:spacing w:val="2"/>
        </w:rPr>
        <w:t>然</w:t>
      </w:r>
      <w:r>
        <w:rPr>
          <w:rFonts w:ascii="宋体" w:hAnsi="宋体" w:cs="宋体" w:eastAsia="宋体" w:hint="ascii"/>
          <w:sz w:val="21"/>
          <w:spacing w:val="4"/>
        </w:rPr>
        <w:t>科学</w:t>
      </w:r>
      <w:r>
        <w:rPr>
          <w:rFonts w:ascii="宋体" w:hAnsi="宋体" w:cs="宋体" w:eastAsia="宋体" w:hint="ascii"/>
          <w:sz w:val="21"/>
          <w:spacing w:val="2"/>
        </w:rPr>
        <w:t>基</w:t>
      </w:r>
      <w:r>
        <w:rPr>
          <w:rFonts w:ascii="宋体" w:hAnsi="宋体" w:cs="宋体" w:eastAsia="宋体" w:hint="ascii"/>
          <w:sz w:val="21"/>
          <w:spacing w:val="4"/>
        </w:rPr>
        <w:t>金</w:t>
      </w:r>
      <w:r>
        <w:rPr>
          <w:rFonts w:ascii="宋体" w:hAnsi="宋体" w:cs="宋体" w:eastAsia="宋体" w:hint="ascii"/>
          <w:sz w:val="21"/>
          <w:spacing w:val="2"/>
        </w:rPr>
        <w:t>委</w:t>
      </w:r>
      <w:r>
        <w:rPr>
          <w:rFonts w:ascii="宋体" w:hAnsi="宋体" w:cs="宋体" w:eastAsia="宋体" w:hint="ascii"/>
          <w:sz w:val="21"/>
          <w:spacing w:val="4"/>
        </w:rPr>
        <w:t>网</w:t>
      </w:r>
      <w:r>
        <w:rPr>
          <w:rFonts w:ascii="宋体" w:hAnsi="宋体" w:cs="宋体" w:eastAsia="宋体" w:hint="ascii"/>
          <w:sz w:val="21"/>
          <w:spacing w:val="3"/>
        </w:rPr>
        <w:t>站</w:t>
      </w:r>
      <w:r>
        <w:rPr>
          <w:rFonts w:ascii="宋体" w:hAnsi="宋体" w:cs="宋体" w:eastAsia="宋体" w:hint="ascii"/>
          <w:sz w:val="21"/>
          <w:spacing w:val="1"/>
        </w:rPr>
        <w:t>“</w:t>
      </w:r>
      <w:r>
        <w:rPr>
          <w:rFonts w:ascii="宋体" w:hAnsi="宋体" w:cs="宋体" w:eastAsia="宋体" w:hint="ascii"/>
          <w:sz w:val="21"/>
          <w:spacing w:val="3"/>
        </w:rPr>
        <w:t>通</w:t>
      </w:r>
      <w:r>
        <w:rPr>
          <w:rFonts w:ascii="宋体" w:hAnsi="宋体" w:cs="宋体" w:eastAsia="宋体" w:hint="ascii"/>
          <w:sz w:val="21"/>
          <w:spacing w:val="1"/>
        </w:rPr>
        <w:t>知</w:t>
      </w:r>
      <w:r>
        <w:rPr>
          <w:rFonts w:ascii="宋体" w:hAnsi="宋体" w:cs="宋体" w:eastAsia="宋体" w:hint="ascii"/>
          <w:sz w:val="21"/>
          <w:spacing w:val="3"/>
        </w:rPr>
        <w:t>通告</w:t>
      </w:r>
      <w:r>
        <w:rPr>
          <w:rFonts w:ascii="宋体" w:hAnsi="宋体" w:cs="宋体" w:eastAsia="宋体" w:hint="ascii"/>
          <w:sz w:val="21"/>
          <w:spacing w:val="1"/>
        </w:rPr>
        <w:t>”</w:t>
      </w:r>
      <w:r>
        <w:rPr>
          <w:rFonts w:ascii="宋体" w:hAnsi="宋体" w:cs="宋体" w:eastAsia="宋体" w:hint="ascii"/>
          <w:sz w:val="21"/>
          <w:spacing w:val="3"/>
        </w:rPr>
        <w:t>栏</w:t>
      </w:r>
      <w:r>
        <w:rPr>
          <w:rFonts w:ascii="宋体" w:hAnsi="宋体" w:cs="宋体" w:eastAsia="宋体" w:hint="ascii"/>
          <w:sz w:val="21"/>
          <w:spacing w:val="1"/>
        </w:rPr>
        <w:t>目</w:t>
      </w:r>
      <w:r>
        <w:rPr>
          <w:rFonts w:ascii="宋体" w:hAnsi="宋体" w:cs="宋体" w:eastAsia="宋体" w:hint="ascii"/>
          <w:sz w:val="21"/>
          <w:spacing w:val="3"/>
        </w:rPr>
        <w:t>中发布</w:t>
      </w:r>
      <w:r>
        <w:rPr>
          <w:rFonts w:ascii="宋体" w:hAnsi="宋体" w:cs="宋体" w:eastAsia="宋体" w:hint="ascii"/>
          <w:sz w:val="21"/>
          <w:spacing w:val="-7"/>
        </w:rPr>
        <w:t>的</w:t>
      </w: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双方每年资助双边学术研讨会，研讨会的主题和数量由双方机构协商确定。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其他合作渠道</w:t>
      </w:r>
    </w:p>
    <w:p>
      <w:pPr>
        <w:autoSpaceDE w:val="0"/>
        <w:autoSpaceDN w:val="0"/>
        <w:jc w:val="left"/>
        <w:spacing w:before="157" w:after="0" w:lineRule="exact" w:line="312"/>
        <w:ind w:right="963" w:left="861" w:firstLine="524"/>
        <w:snapToGrid w:val="0"/>
        <w:textAlignment w:val="auto"/>
        <w:tabs/>
        <w:rPr>
          <w:rFonts w:ascii="宋体" w:hAnsi="宋体" w:cs="宋体" w:eastAsia="宋体" w:hint="ascii"/>
          <w:sz w:val="21"/>
        </w:rPr>
      </w:pPr>
      <w:r>
        <w:rPr>
          <w:rFonts w:ascii="宋体" w:hAnsi="宋体" w:cs="宋体" w:eastAsia="宋体" w:hint="ascii"/>
          <w:sz w:val="21"/>
          <w:spacing w:val="12"/>
        </w:rPr>
        <w:t>自</w:t>
      </w:r>
      <w:r>
        <w:rPr>
          <w:rFonts w:ascii="宋体" w:hAnsi="宋体" w:cs="宋体" w:eastAsia="宋体" w:hint="ascii"/>
          <w:sz w:val="21"/>
          <w:spacing w:val="11"/>
        </w:rPr>
        <w:t>然</w:t>
      </w:r>
      <w:r>
        <w:rPr>
          <w:rFonts w:ascii="宋体" w:hAnsi="宋体" w:cs="宋体" w:eastAsia="宋体" w:hint="ascii"/>
          <w:sz w:val="21"/>
          <w:spacing w:val="12"/>
        </w:rPr>
        <w:t>科</w:t>
      </w:r>
      <w:r>
        <w:rPr>
          <w:rFonts w:ascii="宋体" w:hAnsi="宋体" w:cs="宋体" w:eastAsia="宋体" w:hint="ascii"/>
          <w:sz w:val="21"/>
          <w:spacing w:val="11"/>
        </w:rPr>
        <w:t>学基</w:t>
      </w:r>
      <w:r>
        <w:rPr>
          <w:rFonts w:ascii="宋体" w:hAnsi="宋体" w:cs="宋体" w:eastAsia="宋体" w:hint="ascii"/>
          <w:sz w:val="21"/>
          <w:spacing w:val="12"/>
        </w:rPr>
        <w:t>金</w:t>
      </w:r>
      <w:r>
        <w:rPr>
          <w:rFonts w:ascii="宋体" w:hAnsi="宋体" w:cs="宋体" w:eastAsia="宋体" w:hint="ascii"/>
          <w:sz w:val="21"/>
          <w:spacing w:val="11"/>
        </w:rPr>
        <w:t>委</w:t>
      </w:r>
      <w:r>
        <w:rPr>
          <w:rFonts w:ascii="宋体" w:hAnsi="宋体" w:cs="宋体" w:eastAsia="宋体" w:hint="ascii"/>
          <w:sz w:val="21"/>
          <w:spacing w:val="12"/>
        </w:rPr>
        <w:t>与</w:t>
      </w:r>
      <w:r>
        <w:rPr>
          <w:rFonts w:ascii="宋体" w:hAnsi="宋体" w:cs="宋体" w:eastAsia="宋体" w:hint="ascii"/>
          <w:sz w:val="21"/>
          <w:spacing w:val="11"/>
        </w:rPr>
        <w:t>美国</w:t>
      </w:r>
      <w:r>
        <w:rPr>
          <w:rFonts w:ascii="宋体" w:hAnsi="宋体" w:cs="宋体" w:eastAsia="宋体" w:hint="ascii"/>
          <w:sz w:val="21"/>
          <w:spacing w:val="12"/>
        </w:rPr>
        <w:t>能</w:t>
      </w:r>
      <w:r>
        <w:rPr>
          <w:rFonts w:ascii="宋体" w:hAnsi="宋体" w:cs="宋体" w:eastAsia="宋体" w:hint="ascii"/>
          <w:sz w:val="21"/>
          <w:spacing w:val="11"/>
        </w:rPr>
        <w:t>源</w:t>
      </w:r>
      <w:r>
        <w:rPr>
          <w:rFonts w:ascii="宋体" w:hAnsi="宋体" w:cs="宋体" w:eastAsia="宋体" w:hint="ascii"/>
          <w:sz w:val="21"/>
          <w:spacing w:val="12"/>
        </w:rPr>
        <w:t>部（</w:t>
      </w:r>
      <w:r>
        <w:rPr>
          <w:rFonts w:ascii="Times New Roman" w:hAnsi="Times New Roman" w:cs="Times New Roman" w:eastAsia="Times New Roman" w:hint="ascii"/>
          <w:sz w:val="21"/>
        </w:rPr>
        <w:t>DO</w:t>
      </w:r>
      <w:r>
        <w:rPr>
          <w:rFonts w:ascii="Times New Roman" w:hAnsi="Times New Roman" w:cs="Times New Roman" w:eastAsia="Times New Roman" w:hint="ascii"/>
          <w:sz w:val="21"/>
          <w:spacing w:val="23"/>
        </w:rPr>
        <w:t>E</w:t>
      </w:r>
      <w:r>
        <w:rPr>
          <w:rFonts w:ascii="宋体" w:hAnsi="宋体" w:cs="宋体" w:eastAsia="宋体" w:hint="ascii"/>
          <w:sz w:val="21"/>
          <w:spacing w:val="-40"/>
        </w:rPr>
        <w:t>）</w:t>
      </w:r>
      <w:r>
        <w:rPr>
          <w:rFonts w:ascii="宋体" w:hAnsi="宋体" w:cs="宋体" w:eastAsia="宋体" w:hint="ascii"/>
          <w:sz w:val="21"/>
          <w:spacing w:val="12"/>
        </w:rPr>
        <w:t>、</w:t>
      </w:r>
      <w:r>
        <w:rPr>
          <w:rFonts w:ascii="宋体" w:hAnsi="宋体" w:cs="宋体" w:eastAsia="宋体" w:hint="ascii"/>
          <w:sz w:val="21"/>
          <w:spacing w:val="11"/>
        </w:rPr>
        <w:t>加拿</w:t>
      </w:r>
      <w:r>
        <w:rPr>
          <w:rFonts w:ascii="宋体" w:hAnsi="宋体" w:cs="宋体" w:eastAsia="宋体" w:hint="ascii"/>
          <w:sz w:val="21"/>
          <w:spacing w:val="12"/>
        </w:rPr>
        <w:t>大</w:t>
      </w:r>
      <w:r>
        <w:rPr>
          <w:rFonts w:ascii="宋体" w:hAnsi="宋体" w:cs="宋体" w:eastAsia="宋体" w:hint="ascii"/>
          <w:sz w:val="21"/>
          <w:spacing w:val="11"/>
        </w:rPr>
        <w:t>自</w:t>
      </w:r>
      <w:r>
        <w:rPr>
          <w:rFonts w:ascii="宋体" w:hAnsi="宋体" w:cs="宋体" w:eastAsia="宋体" w:hint="ascii"/>
          <w:sz w:val="21"/>
          <w:spacing w:val="12"/>
        </w:rPr>
        <w:t>然</w:t>
      </w:r>
      <w:r>
        <w:rPr>
          <w:rFonts w:ascii="宋体" w:hAnsi="宋体" w:cs="宋体" w:eastAsia="宋体" w:hint="ascii"/>
          <w:sz w:val="21"/>
          <w:spacing w:val="11"/>
        </w:rPr>
        <w:t>科学</w:t>
      </w:r>
      <w:r>
        <w:rPr>
          <w:rFonts w:ascii="宋体" w:hAnsi="宋体" w:cs="宋体" w:eastAsia="宋体" w:hint="ascii"/>
          <w:sz w:val="21"/>
          <w:spacing w:val="12"/>
        </w:rPr>
        <w:t>与</w:t>
      </w:r>
      <w:r>
        <w:rPr>
          <w:rFonts w:ascii="宋体" w:hAnsi="宋体" w:cs="宋体" w:eastAsia="宋体" w:hint="ascii"/>
          <w:sz w:val="21"/>
          <w:spacing w:val="11"/>
        </w:rPr>
        <w:t>工</w:t>
      </w:r>
      <w:r>
        <w:rPr>
          <w:rFonts w:ascii="宋体" w:hAnsi="宋体" w:cs="宋体" w:eastAsia="宋体" w:hint="ascii"/>
          <w:sz w:val="21"/>
          <w:spacing w:val="12"/>
        </w:rPr>
        <w:t>程</w:t>
      </w:r>
      <w:r>
        <w:rPr>
          <w:rFonts w:ascii="宋体" w:hAnsi="宋体" w:cs="宋体" w:eastAsia="宋体" w:hint="ascii"/>
          <w:sz w:val="21"/>
          <w:spacing w:val="11"/>
        </w:rPr>
        <w:t>研究</w:t>
      </w:r>
      <w:r>
        <w:rPr>
          <w:rFonts w:ascii="宋体" w:hAnsi="宋体" w:cs="宋体" w:eastAsia="宋体" w:hint="ascii"/>
          <w:sz w:val="21"/>
          <w:spacing w:val="12"/>
        </w:rPr>
        <w:t>理事</w:t>
      </w:r>
      <w:r>
        <w:rPr>
          <w:rFonts w:ascii="宋体" w:hAnsi="宋体" w:cs="宋体" w:eastAsia="宋体" w:hint="ascii"/>
          <w:sz w:val="21"/>
        </w:rPr>
        <w:t>会（</w:t>
      </w:r>
      <w:r>
        <w:rPr>
          <w:rFonts w:ascii="Times New Roman" w:hAnsi="Times New Roman" w:cs="Times New Roman" w:eastAsia="Times New Roman" w:hint="ascii"/>
          <w:sz w:val="21"/>
        </w:rPr>
        <w:t>NSERC</w:t>
      </w:r>
      <w:r>
        <w:rPr>
          <w:rFonts w:ascii="宋体" w:hAnsi="宋体" w:cs="宋体" w:eastAsia="宋体" w:hint="ascii"/>
          <w:sz w:val="21"/>
          <w:spacing w:val="-51"/>
        </w:rPr>
        <w:t>）</w:t>
      </w:r>
      <w:r>
        <w:rPr>
          <w:rFonts w:ascii="宋体" w:hAnsi="宋体" w:cs="宋体" w:eastAsia="宋体" w:hint="ascii"/>
          <w:sz w:val="21"/>
        </w:rPr>
        <w:t>、澳大利亚研究理事会（</w:t>
      </w:r>
      <w:r>
        <w:rPr>
          <w:rFonts w:ascii="Times New Roman" w:hAnsi="Times New Roman" w:cs="Times New Roman" w:eastAsia="Times New Roman" w:hint="ascii"/>
          <w:sz w:val="21"/>
        </w:rPr>
        <w:t>ARC</w:t>
      </w:r>
      <w:r>
        <w:rPr>
          <w:rFonts w:ascii="宋体" w:hAnsi="宋体" w:cs="宋体" w:eastAsia="宋体" w:hint="ascii"/>
          <w:sz w:val="21"/>
          <w:spacing w:val="-52"/>
        </w:rPr>
        <w:t>）</w:t>
      </w:r>
      <w:r>
        <w:rPr>
          <w:rFonts w:ascii="宋体" w:hAnsi="宋体" w:cs="宋体" w:eastAsia="宋体" w:hint="ascii"/>
          <w:sz w:val="21"/>
        </w:rPr>
        <w:t>、巴西国家科技发展委员会（</w:t>
      </w:r>
      <w:r>
        <w:rPr>
          <w:rFonts w:ascii="Times New Roman" w:hAnsi="Times New Roman" w:cs="Times New Roman" w:eastAsia="Times New Roman" w:hint="ascii"/>
          <w:sz w:val="21"/>
        </w:rPr>
        <w:t>CNPq</w:t>
      </w:r>
      <w:r>
        <w:rPr>
          <w:rFonts w:ascii="宋体" w:hAnsi="宋体" w:cs="宋体" w:eastAsia="宋体" w:hint="ascii"/>
          <w:sz w:val="21"/>
          <w:spacing w:val="-51"/>
        </w:rPr>
        <w:t>）</w:t>
      </w:r>
      <w:r>
        <w:rPr>
          <w:rFonts w:ascii="宋体" w:hAnsi="宋体" w:cs="宋体" w:eastAsia="宋体" w:hint="ascii"/>
          <w:sz w:val="21"/>
        </w:rPr>
        <w:t>、厄瓜多</w:t>
      </w:r>
    </w:p>
    <w:p>
      <w:pPr>
        <w:autoSpaceDE w:val="0"/>
        <w:autoSpaceDN w:val="0"/>
        <w:jc w:val="both"/>
        <w:spacing w:before="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尔共和国高等教育科技与创新国务秘书处（</w:t>
      </w:r>
      <w:r>
        <w:rPr>
          <w:rFonts w:ascii="Times New Roman" w:hAnsi="Times New Roman" w:cs="Times New Roman" w:eastAsia="Times New Roman" w:hint="ascii"/>
          <w:sz w:val="21"/>
        </w:rPr>
        <w:t>SENESCYT</w:t>
      </w:r>
      <w:r>
        <w:rPr>
          <w:rFonts w:ascii="宋体" w:hAnsi="宋体" w:cs="宋体" w:eastAsia="宋体" w:hint="ascii"/>
          <w:sz w:val="21"/>
          <w:spacing w:val="-51"/>
        </w:rPr>
        <w:t>）</w:t>
      </w:r>
      <w:r>
        <w:rPr>
          <w:rFonts w:ascii="宋体" w:hAnsi="宋体" w:cs="宋体" w:eastAsia="宋体" w:hint="ascii"/>
          <w:sz w:val="21"/>
        </w:rPr>
        <w:t>、墨西哥国家科学与技术委员会（</w:t>
      </w:r>
      <w:r>
        <w:rPr>
          <w:rFonts w:ascii="Times New Roman" w:hAnsi="Times New Roman" w:cs="Times New Roman" w:eastAsia="Times New Roman" w:hint="ascii"/>
          <w:sz w:val="21"/>
        </w:rPr>
        <w:t>CONACTY</w:t>
      </w:r>
      <w:r>
        <w:rPr>
          <w:rFonts w:ascii="宋体" w:hAnsi="宋体" w:cs="宋体" w:eastAsia="宋体" w:hint="ascii"/>
          <w:sz w:val="21"/>
        </w:rPr>
        <w:t>）签署了双边合作协议，联合资助双方科学家开展合作研究、交流及共同组织双边学术研讨会，具体项目根据科学家的申请由双方协商确定。</w:t>
      </w:r>
    </w:p>
    <w:p>
      <w:pPr>
        <w:autoSpaceDE w:val="0"/>
        <w:autoSpaceDN w:val="0"/>
        <w:jc w:val="left"/>
        <w:spacing w:before="269" w:after="0" w:lineRule="exact" w:line="363"/>
        <w:ind w:right="0" w:left="4376" w:firstLine="0"/>
        <w:snapToGrid w:val="0"/>
        <w:textAlignment w:val="auto"/>
        <w:tabs/>
        <w:rPr>
          <w:rFonts w:ascii="宋体" w:hAnsi="宋体" w:cs="宋体" w:eastAsia="宋体" w:hint="ascii"/>
          <w:sz w:val="29"/>
        </w:rPr>
      </w:pPr>
      <w:r>
        <w:rPr>
          <w:rFonts w:ascii="宋体" w:hAnsi="宋体" w:cs="宋体" w:eastAsia="宋体" w:hint="ascii"/>
          <w:sz w:val="29"/>
        </w:rPr>
        <w:t>欧</w:t>
      </w:r>
      <w:r>
        <w:rPr>
          <w:rFonts w:ascii="宋体" w:hAnsi="宋体" w:cs="宋体" w:eastAsia="宋体" w:hint="ascii"/>
          <w:sz w:val="29"/>
          <w:spacing w:val="218"/>
        </w:rPr>
        <w:t xml:space="preserve"> </w:t>
      </w:r>
      <w:r>
        <w:rPr>
          <w:rFonts w:ascii="宋体" w:hAnsi="宋体" w:cs="宋体" w:eastAsia="宋体" w:hint="ascii"/>
          <w:sz w:val="29"/>
        </w:rPr>
        <w:t>洲</w:t>
      </w:r>
    </w:p>
    <w:p>
      <w:pPr>
        <w:autoSpaceDE w:val="0"/>
        <w:autoSpaceDN w:val="0"/>
        <w:jc w:val="left"/>
        <w:spacing w:before="27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欧洲研究理事会（</w:t>
      </w:r>
      <w:r>
        <w:rPr>
          <w:rFonts w:ascii="Times New Roman" w:hAnsi="Times New Roman" w:cs="Times New Roman" w:eastAsia="Times New Roman" w:hint="ascii"/>
          <w:b w:val="1"/>
          <w:sz w:val="21"/>
        </w:rPr>
        <w:t>ERC</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人才项目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11"/>
        </w:rPr>
        <w:t xml:space="preserve"> </w:t>
      </w:r>
      <w:r>
        <w:rPr>
          <w:rFonts w:ascii="Times New Roman" w:hAnsi="Times New Roman" w:cs="Times New Roman" w:eastAsia="Times New Roman" w:hint="ascii"/>
          <w:sz w:val="21"/>
        </w:rPr>
        <w:t>ERC</w:t>
      </w:r>
      <w:r>
        <w:rPr>
          <w:rFonts w:ascii="Times New Roman" w:hAnsi="Times New Roman" w:cs="Times New Roman" w:eastAsia="Times New Roman" w:hint="ascii"/>
          <w:sz w:val="21"/>
          <w:spacing w:val="-12"/>
        </w:rPr>
        <w:t xml:space="preserve"> </w:t>
      </w:r>
      <w:r>
        <w:rPr>
          <w:rFonts w:ascii="宋体" w:hAnsi="宋体" w:cs="宋体" w:eastAsia="宋体" w:hint="ascii"/>
          <w:sz w:val="21"/>
        </w:rPr>
        <w:t>共同资助中方研究人员赴欧盟国家开展总长</w:t>
      </w:r>
      <w:r>
        <w:rPr>
          <w:rFonts w:ascii="宋体" w:hAnsi="宋体" w:cs="宋体" w:eastAsia="宋体" w:hint="ascii"/>
          <w:sz w:val="21"/>
          <w:spacing w:val="-11"/>
        </w:rPr>
        <w:t xml:space="preserve"> </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rPr>
        <w:t>12</w:t>
      </w:r>
      <w:r>
        <w:rPr>
          <w:rFonts w:ascii="Times New Roman" w:hAnsi="Times New Roman" w:cs="Times New Roman" w:eastAsia="Times New Roman" w:hint="ascii"/>
          <w:sz w:val="21"/>
          <w:spacing w:val="-12"/>
        </w:rPr>
        <w:t xml:space="preserve"> </w:t>
      </w:r>
      <w:r>
        <w:rPr>
          <w:rFonts w:ascii="宋体" w:hAnsi="宋体" w:cs="宋体" w:eastAsia="宋体" w:hint="ascii"/>
          <w:sz w:val="21"/>
        </w:rPr>
        <w:t>个月的</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单次或多次研究访问。中方研究人员可加入已获得 </w:t>
      </w:r>
      <w:r>
        <w:rPr>
          <w:rFonts w:ascii="Times New Roman" w:hAnsi="Times New Roman" w:cs="Times New Roman" w:eastAsia="Times New Roman" w:hint="ascii"/>
          <w:sz w:val="21"/>
        </w:rPr>
        <w:t xml:space="preserve">ERC </w:t>
      </w:r>
      <w:r>
        <w:rPr>
          <w:rFonts w:ascii="宋体" w:hAnsi="宋体" w:cs="宋体" w:eastAsia="宋体" w:hint="ascii"/>
          <w:sz w:val="21"/>
        </w:rPr>
        <w:t>资助的欧盟项目团队，开展符</w:t>
      </w:r>
      <w:r>
        <w:rPr>
          <w:rFonts w:ascii="宋体" w:hAnsi="宋体" w:cs="宋体" w:eastAsia="宋体" w:hint="ascii"/>
          <w:sz w:val="21"/>
          <w:spacing w:val="3"/>
        </w:rPr>
        <w:t>合双方共</w:t>
      </w:r>
      <w:r>
        <w:rPr>
          <w:rFonts w:ascii="宋体" w:hAnsi="宋体" w:cs="宋体" w:eastAsia="宋体" w:hint="ascii"/>
          <w:sz w:val="21"/>
        </w:rPr>
        <w:t>同</w:t>
      </w:r>
      <w:r>
        <w:rPr>
          <w:rFonts w:ascii="宋体" w:hAnsi="宋体" w:cs="宋体" w:eastAsia="宋体" w:hint="ascii"/>
          <w:sz w:val="21"/>
          <w:spacing w:val="3"/>
        </w:rPr>
        <w:t>利益的合</w:t>
      </w:r>
      <w:r>
        <w:rPr>
          <w:rFonts w:ascii="宋体" w:hAnsi="宋体" w:cs="宋体" w:eastAsia="宋体" w:hint="ascii"/>
          <w:sz w:val="21"/>
        </w:rPr>
        <w:t>作</w:t>
      </w:r>
      <w:r>
        <w:rPr>
          <w:rFonts w:ascii="宋体" w:hAnsi="宋体" w:cs="宋体" w:eastAsia="宋体" w:hint="ascii"/>
          <w:sz w:val="21"/>
          <w:spacing w:val="3"/>
        </w:rPr>
        <w:t>研究。自</w:t>
      </w:r>
      <w:r>
        <w:rPr>
          <w:rFonts w:ascii="宋体" w:hAnsi="宋体" w:cs="宋体" w:eastAsia="宋体" w:hint="ascii"/>
          <w:sz w:val="21"/>
        </w:rPr>
        <w:t>然</w:t>
      </w:r>
      <w:r>
        <w:rPr>
          <w:rFonts w:ascii="宋体" w:hAnsi="宋体" w:cs="宋体" w:eastAsia="宋体" w:hint="ascii"/>
          <w:sz w:val="21"/>
          <w:spacing w:val="3"/>
        </w:rPr>
        <w:t>科学基金</w:t>
      </w:r>
      <w:r>
        <w:rPr>
          <w:rFonts w:ascii="宋体" w:hAnsi="宋体" w:cs="宋体" w:eastAsia="宋体" w:hint="ascii"/>
          <w:sz w:val="21"/>
        </w:rPr>
        <w:t>委</w:t>
      </w:r>
      <w:r>
        <w:rPr>
          <w:rFonts w:ascii="宋体" w:hAnsi="宋体" w:cs="宋体" w:eastAsia="宋体" w:hint="ascii"/>
          <w:sz w:val="21"/>
          <w:spacing w:val="3"/>
        </w:rPr>
        <w:t>将资助中</w:t>
      </w:r>
      <w:r>
        <w:rPr>
          <w:rFonts w:ascii="宋体" w:hAnsi="宋体" w:cs="宋体" w:eastAsia="宋体" w:hint="ascii"/>
          <w:sz w:val="21"/>
        </w:rPr>
        <w:t>方</w:t>
      </w:r>
      <w:r>
        <w:rPr>
          <w:rFonts w:ascii="宋体" w:hAnsi="宋体" w:cs="宋体" w:eastAsia="宋体" w:hint="ascii"/>
          <w:sz w:val="21"/>
          <w:spacing w:val="3"/>
        </w:rPr>
        <w:t>研究人员</w:t>
      </w:r>
      <w:r>
        <w:rPr>
          <w:rFonts w:ascii="宋体" w:hAnsi="宋体" w:cs="宋体" w:eastAsia="宋体" w:hint="ascii"/>
          <w:sz w:val="21"/>
        </w:rPr>
        <w:t>往</w:t>
      </w:r>
      <w:r>
        <w:rPr>
          <w:rFonts w:ascii="宋体" w:hAnsi="宋体" w:cs="宋体" w:eastAsia="宋体" w:hint="ascii"/>
          <w:sz w:val="21"/>
          <w:spacing w:val="3"/>
        </w:rPr>
        <w:t>返欧洲的国</w:t>
      </w:r>
      <w:r>
        <w:rPr>
          <w:rFonts w:ascii="宋体" w:hAnsi="宋体" w:cs="宋体" w:eastAsia="宋体" w:hint="ascii"/>
          <w:sz w:val="21"/>
          <w:spacing w:val="4"/>
        </w:rPr>
        <w:t>际</w:t>
      </w:r>
      <w:r>
        <w:rPr>
          <w:rFonts w:ascii="宋体" w:hAnsi="宋体" w:cs="宋体" w:eastAsia="宋体" w:hint="ascii"/>
          <w:sz w:val="21"/>
        </w:rPr>
        <w:t>旅</w:t>
      </w:r>
      <w:r>
        <w:rPr>
          <w:rFonts w:ascii="宋体" w:hAnsi="宋体" w:cs="宋体" w:eastAsia="宋体" w:hint="ascii"/>
          <w:sz w:val="21"/>
          <w:spacing w:val="-2"/>
        </w:rPr>
        <w:t>费，研究人员在欧期间的</w:t>
      </w:r>
      <w:r>
        <w:rPr>
          <w:rFonts w:ascii="宋体" w:hAnsi="宋体" w:cs="宋体" w:eastAsia="宋体" w:hint="ascii"/>
          <w:sz w:val="21"/>
          <w:spacing w:val="-1"/>
        </w:rPr>
        <w:t>日常生活费用与研究经费由</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1"/>
        </w:rPr>
        <w:t>ERC</w:t>
      </w:r>
      <w:r>
        <w:rPr>
          <w:rFonts w:ascii="Times New Roman" w:hAnsi="Times New Roman" w:cs="Times New Roman" w:eastAsia="Times New Roman" w:hint="ascii"/>
          <w:sz w:val="21"/>
          <w:spacing w:val="-17"/>
        </w:rPr>
        <w:t xml:space="preserve"> </w:t>
      </w:r>
      <w:r>
        <w:rPr>
          <w:rFonts w:ascii="宋体" w:hAnsi="宋体" w:cs="宋体" w:eastAsia="宋体" w:hint="ascii"/>
          <w:sz w:val="21"/>
          <w:spacing w:val="-1"/>
        </w:rPr>
        <w:t>项目经费支出。</w:t>
      </w:r>
      <w:r>
        <w:rPr>
          <w:rFonts w:ascii="Times New Roman" w:hAnsi="Times New Roman" w:cs="Times New Roman" w:eastAsia="Times New Roman" w:hint="ascii"/>
          <w:sz w:val="21"/>
          <w:spacing w:val="-1"/>
        </w:rPr>
        <w:t>2018</w:t>
      </w:r>
      <w:r>
        <w:rPr>
          <w:rFonts w:ascii="Times New Roman" w:hAnsi="Times New Roman" w:cs="Times New Roman" w:eastAsia="Times New Roman" w:hint="ascii"/>
          <w:sz w:val="21"/>
          <w:spacing w:val="-17"/>
        </w:rPr>
        <w:t xml:space="preserve"> </w:t>
      </w:r>
      <w:r>
        <w:rPr>
          <w:rFonts w:ascii="宋体" w:hAnsi="宋体" w:cs="宋体" w:eastAsia="宋体" w:hint="ascii"/>
          <w:sz w:val="21"/>
          <w:spacing w:val="-1"/>
        </w:rPr>
        <w:t>年度有</w:t>
      </w:r>
      <w:r>
        <w:rPr>
          <w:rFonts w:ascii="宋体" w:hAnsi="宋体" w:cs="宋体" w:eastAsia="宋体" w:hint="ascii"/>
          <w:sz w:val="21"/>
        </w:rPr>
        <w:t xml:space="preserve"> </w:t>
      </w:r>
      <w:r>
        <w:rPr>
          <w:rFonts w:ascii="宋体" w:hAnsi="宋体" w:cs="宋体" w:eastAsia="宋体" w:hint="ascii"/>
          <w:sz w:val="21"/>
          <w:spacing w:val="3"/>
        </w:rPr>
        <w:t>关申请事</w:t>
      </w:r>
      <w:r>
        <w:rPr>
          <w:rFonts w:ascii="宋体" w:hAnsi="宋体" w:cs="宋体" w:eastAsia="宋体" w:hint="ascii"/>
          <w:sz w:val="21"/>
        </w:rPr>
        <w:t>宜</w:t>
      </w:r>
      <w:r>
        <w:rPr>
          <w:rFonts w:ascii="宋体" w:hAnsi="宋体" w:cs="宋体" w:eastAsia="宋体" w:hint="ascii"/>
          <w:sz w:val="21"/>
          <w:spacing w:val="3"/>
        </w:rPr>
        <w:t>请关注自</w:t>
      </w:r>
      <w:r>
        <w:rPr>
          <w:rFonts w:ascii="宋体" w:hAnsi="宋体" w:cs="宋体" w:eastAsia="宋体" w:hint="ascii"/>
          <w:sz w:val="21"/>
        </w:rPr>
        <w:t>然</w:t>
      </w:r>
      <w:r>
        <w:rPr>
          <w:rFonts w:ascii="宋体" w:hAnsi="宋体" w:cs="宋体" w:eastAsia="宋体" w:hint="ascii"/>
          <w:sz w:val="21"/>
          <w:spacing w:val="3"/>
        </w:rPr>
        <w:t>科学基金</w:t>
      </w:r>
      <w:r>
        <w:rPr>
          <w:rFonts w:ascii="宋体" w:hAnsi="宋体" w:cs="宋体" w:eastAsia="宋体" w:hint="ascii"/>
          <w:sz w:val="21"/>
        </w:rPr>
        <w:t>委</w:t>
      </w:r>
      <w:r>
        <w:rPr>
          <w:rFonts w:ascii="宋体" w:hAnsi="宋体" w:cs="宋体" w:eastAsia="宋体" w:hint="ascii"/>
          <w:sz w:val="21"/>
          <w:spacing w:val="3"/>
        </w:rPr>
        <w:t>网站“通</w:t>
      </w:r>
      <w:r>
        <w:rPr>
          <w:rFonts w:ascii="宋体" w:hAnsi="宋体" w:cs="宋体" w:eastAsia="宋体" w:hint="ascii"/>
          <w:sz w:val="21"/>
        </w:rPr>
        <w:t>知</w:t>
      </w:r>
      <w:r>
        <w:rPr>
          <w:rFonts w:ascii="宋体" w:hAnsi="宋体" w:cs="宋体" w:eastAsia="宋体" w:hint="ascii"/>
          <w:sz w:val="21"/>
          <w:spacing w:val="3"/>
        </w:rPr>
        <w:t>通告”栏</w:t>
      </w:r>
      <w:r>
        <w:rPr>
          <w:rFonts w:ascii="宋体" w:hAnsi="宋体" w:cs="宋体" w:eastAsia="宋体" w:hint="ascii"/>
          <w:sz w:val="21"/>
        </w:rPr>
        <w:t>目</w:t>
      </w:r>
      <w:r>
        <w:rPr>
          <w:rFonts w:ascii="宋体" w:hAnsi="宋体" w:cs="宋体" w:eastAsia="宋体" w:hint="ascii"/>
          <w:sz w:val="21"/>
          <w:spacing w:val="3"/>
        </w:rPr>
        <w:t>中发布的</w:t>
      </w:r>
      <w:r>
        <w:rPr>
          <w:rFonts w:ascii="宋体" w:hAnsi="宋体" w:cs="宋体" w:eastAsia="宋体" w:hint="ascii"/>
          <w:sz w:val="21"/>
        </w:rPr>
        <w:t>《</w:t>
      </w:r>
      <w:r>
        <w:rPr>
          <w:rFonts w:ascii="宋体" w:hAnsi="宋体" w:cs="宋体" w:eastAsia="宋体" w:hint="ascii"/>
          <w:sz w:val="21"/>
          <w:spacing w:val="3"/>
        </w:rPr>
        <w:t>组织间国际</w:t>
      </w:r>
      <w:r>
        <w:rPr>
          <w:rFonts w:ascii="宋体" w:hAnsi="宋体" w:cs="宋体" w:eastAsia="宋体" w:hint="ascii"/>
          <w:sz w:val="21"/>
          <w:spacing w:val="4"/>
        </w:rPr>
        <w:t>（</w:t>
      </w:r>
      <w:r>
        <w:rPr>
          <w:rFonts w:ascii="宋体" w:hAnsi="宋体" w:cs="宋体" w:eastAsia="宋体" w:hint="ascii"/>
          <w:sz w:val="21"/>
        </w:rPr>
        <w:t>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欧盟科研总司（</w:t>
      </w:r>
      <w:r>
        <w:rPr>
          <w:rFonts w:ascii="Times New Roman" w:hAnsi="Times New Roman" w:cs="Times New Roman" w:eastAsia="Times New Roman" w:hint="ascii"/>
          <w:b w:val="1"/>
          <w:sz w:val="21"/>
        </w:rPr>
        <w:t>DG-</w:t>
      </w:r>
      <w:r>
        <w:rPr>
          <w:rFonts w:ascii="Times New Roman" w:hAnsi="Times New Roman" w:cs="Times New Roman" w:eastAsia="Times New Roman" w:hint="ascii"/>
          <w:b w:val="1"/>
          <w:sz w:val="21"/>
          <w:spacing w:val="-8"/>
        </w:rPr>
        <w:t>R</w:t>
      </w:r>
      <w:r>
        <w:rPr>
          <w:rFonts w:ascii="Times New Roman" w:hAnsi="Times New Roman" w:cs="Times New Roman" w:eastAsia="Times New Roman" w:hint="ascii"/>
          <w:b w:val="1"/>
          <w:sz w:val="21"/>
        </w:rPr>
        <w:t>TD</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根据双边合作协议，自然科学基金委与 </w:t>
      </w:r>
      <w:r>
        <w:rPr>
          <w:rFonts w:ascii="Times New Roman" w:hAnsi="Times New Roman" w:cs="Times New Roman" w:eastAsia="Times New Roman" w:hint="ascii"/>
          <w:sz w:val="21"/>
        </w:rPr>
        <w:t>DG-</w:t>
      </w:r>
      <w:r>
        <w:rPr>
          <w:rFonts w:ascii="Times New Roman" w:hAnsi="Times New Roman" w:cs="Times New Roman" w:eastAsia="Times New Roman" w:hint="ascii"/>
          <w:sz w:val="21"/>
          <w:spacing w:val="-13"/>
        </w:rPr>
        <w:t>R</w:t>
      </w:r>
      <w:r>
        <w:rPr>
          <w:rFonts w:ascii="Times New Roman" w:hAnsi="Times New Roman" w:cs="Times New Roman" w:eastAsia="Times New Roman" w:hint="ascii"/>
          <w:sz w:val="21"/>
        </w:rPr>
        <w:t xml:space="preserve">TD </w:t>
      </w:r>
      <w:r>
        <w:rPr>
          <w:rFonts w:ascii="宋体" w:hAnsi="宋体" w:cs="宋体" w:eastAsia="宋体" w:hint="ascii"/>
          <w:sz w:val="21"/>
        </w:rPr>
        <w:t>在共同感兴趣的领域共同资助多</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边合作研究项目，支持中方科学家与来自欧洲多个国家的科学家开展实质性合作研究。双方将共同发布《组织间国际（地区）合作研究与交流项目指南</w:t>
      </w:r>
      <w:r>
        <w:rPr>
          <w:rFonts w:ascii="宋体" w:hAnsi="宋体" w:cs="宋体" w:eastAsia="宋体" w:hint="ascii"/>
          <w:sz w:val="21"/>
          <w:spacing w:val="-51"/>
        </w:rPr>
        <w:t>》</w:t>
      </w:r>
      <w:r>
        <w:rPr>
          <w:rFonts w:ascii="宋体" w:hAnsi="宋体" w:cs="宋体" w:eastAsia="宋体" w:hint="ascii"/>
          <w:sz w:val="21"/>
        </w:rPr>
        <w:t>，由中欧双方研究人员分别向自然科学基金委和</w:t>
      </w:r>
      <w:r>
        <w:rPr>
          <w:rFonts w:ascii="宋体" w:hAnsi="宋体" w:cs="宋体" w:eastAsia="宋体" w:hint="ascii"/>
          <w:sz w:val="21"/>
          <w:spacing w:val="-7"/>
        </w:rPr>
        <w:t xml:space="preserve"> </w:t>
      </w:r>
      <w:r>
        <w:rPr>
          <w:rFonts w:ascii="Times New Roman" w:hAnsi="Times New Roman" w:cs="Times New Roman" w:eastAsia="Times New Roman" w:hint="ascii"/>
          <w:sz w:val="21"/>
        </w:rPr>
        <w:t>DG-</w:t>
      </w:r>
      <w:r>
        <w:rPr>
          <w:rFonts w:ascii="Times New Roman" w:hAnsi="Times New Roman" w:cs="Times New Roman" w:eastAsia="Times New Roman" w:hint="ascii"/>
          <w:sz w:val="21"/>
          <w:spacing w:val="-13"/>
        </w:rPr>
        <w:t>R</w:t>
      </w:r>
      <w:r>
        <w:rPr>
          <w:rFonts w:ascii="Times New Roman" w:hAnsi="Times New Roman" w:cs="Times New Roman" w:eastAsia="Times New Roman" w:hint="ascii"/>
          <w:sz w:val="21"/>
        </w:rPr>
        <w:t>TD</w:t>
      </w:r>
      <w:r>
        <w:rPr>
          <w:rFonts w:ascii="Times New Roman" w:hAnsi="Times New Roman" w:cs="Times New Roman" w:eastAsia="Times New Roman" w:hint="ascii"/>
          <w:sz w:val="21"/>
          <w:spacing w:val="-8"/>
        </w:rPr>
        <w:t xml:space="preserve"> </w:t>
      </w:r>
      <w:r>
        <w:rPr>
          <w:rFonts w:ascii="宋体" w:hAnsi="宋体" w:cs="宋体" w:eastAsia="宋体" w:hint="ascii"/>
          <w:sz w:val="21"/>
        </w:rPr>
        <w:t>提交申请。</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8"/>
        </w:rPr>
        <w:t xml:space="preserve"> </w:t>
      </w:r>
      <w:r>
        <w:rPr>
          <w:rFonts w:ascii="宋体" w:hAnsi="宋体" w:cs="宋体" w:eastAsia="宋体" w:hint="ascii"/>
          <w:sz w:val="21"/>
        </w:rPr>
        <w:t>年度有关申请事宜请关注自然科</w:t>
      </w:r>
      <w:r>
        <w:rPr>
          <w:rFonts w:ascii="宋体" w:hAnsi="宋体" w:cs="宋体" w:eastAsia="宋体" w:hint="ascii"/>
          <w:sz w:val="21"/>
          <w:spacing w:val="3"/>
        </w:rPr>
        <w:t>学基金委</w:t>
      </w:r>
      <w:r>
        <w:rPr>
          <w:rFonts w:ascii="宋体" w:hAnsi="宋体" w:cs="宋体" w:eastAsia="宋体" w:hint="ascii"/>
          <w:sz w:val="21"/>
        </w:rPr>
        <w:t>网</w:t>
      </w:r>
      <w:r>
        <w:rPr>
          <w:rFonts w:ascii="宋体" w:hAnsi="宋体" w:cs="宋体" w:eastAsia="宋体" w:hint="ascii"/>
          <w:sz w:val="21"/>
          <w:spacing w:val="3"/>
        </w:rPr>
        <w:t>站“通知</w:t>
      </w:r>
      <w:r>
        <w:rPr>
          <w:rFonts w:ascii="宋体" w:hAnsi="宋体" w:cs="宋体" w:eastAsia="宋体" w:hint="ascii"/>
          <w:sz w:val="21"/>
        </w:rPr>
        <w:t>通</w:t>
      </w:r>
      <w:r>
        <w:rPr>
          <w:rFonts w:ascii="宋体" w:hAnsi="宋体" w:cs="宋体" w:eastAsia="宋体" w:hint="ascii"/>
          <w:sz w:val="21"/>
          <w:spacing w:val="3"/>
        </w:rPr>
        <w:t>告”栏目</w:t>
      </w:r>
      <w:r>
        <w:rPr>
          <w:rFonts w:ascii="宋体" w:hAnsi="宋体" w:cs="宋体" w:eastAsia="宋体" w:hint="ascii"/>
          <w:sz w:val="21"/>
        </w:rPr>
        <w:t>中</w:t>
      </w:r>
      <w:r>
        <w:rPr>
          <w:rFonts w:ascii="宋体" w:hAnsi="宋体" w:cs="宋体" w:eastAsia="宋体" w:hint="ascii"/>
          <w:sz w:val="21"/>
          <w:spacing w:val="3"/>
        </w:rPr>
        <w:t>发布的《</w:t>
      </w:r>
      <w:r>
        <w:rPr>
          <w:rFonts w:ascii="宋体" w:hAnsi="宋体" w:cs="宋体" w:eastAsia="宋体" w:hint="ascii"/>
          <w:sz w:val="21"/>
        </w:rPr>
        <w:t>组</w:t>
      </w:r>
      <w:r>
        <w:rPr>
          <w:rFonts w:ascii="宋体" w:hAnsi="宋体" w:cs="宋体" w:eastAsia="宋体" w:hint="ascii"/>
          <w:sz w:val="21"/>
          <w:spacing w:val="3"/>
        </w:rPr>
        <w:t>织间国际</w:t>
      </w:r>
      <w:r>
        <w:rPr>
          <w:rFonts w:ascii="宋体" w:hAnsi="宋体" w:cs="宋体" w:eastAsia="宋体" w:hint="ascii"/>
          <w:sz w:val="21"/>
        </w:rPr>
        <w:t>（</w:t>
      </w:r>
      <w:r>
        <w:rPr>
          <w:rFonts w:ascii="宋体" w:hAnsi="宋体" w:cs="宋体" w:eastAsia="宋体" w:hint="ascii"/>
          <w:sz w:val="21"/>
          <w:spacing w:val="3"/>
        </w:rPr>
        <w:t>地区）合</w:t>
      </w:r>
      <w:r>
        <w:rPr>
          <w:rFonts w:ascii="宋体" w:hAnsi="宋体" w:cs="宋体" w:eastAsia="宋体" w:hint="ascii"/>
          <w:sz w:val="21"/>
        </w:rPr>
        <w:t>作</w:t>
      </w:r>
      <w:r>
        <w:rPr>
          <w:rFonts w:ascii="宋体" w:hAnsi="宋体" w:cs="宋体" w:eastAsia="宋体" w:hint="ascii"/>
          <w:sz w:val="21"/>
          <w:spacing w:val="3"/>
        </w:rPr>
        <w:t>研究与交</w:t>
      </w:r>
      <w:r>
        <w:rPr>
          <w:rFonts w:ascii="宋体" w:hAnsi="宋体" w:cs="宋体" w:eastAsia="宋体" w:hint="ascii"/>
          <w:sz w:val="21"/>
        </w:rPr>
        <w:t>流</w:t>
      </w:r>
      <w:r>
        <w:rPr>
          <w:rFonts w:ascii="宋体" w:hAnsi="宋体" w:cs="宋体" w:eastAsia="宋体" w:hint="ascii"/>
          <w:sz w:val="21"/>
          <w:spacing w:val="3"/>
        </w:rPr>
        <w:t>项</w:t>
      </w:r>
      <w:r>
        <w:rPr>
          <w:rFonts w:ascii="宋体" w:hAnsi="宋体" w:cs="宋体" w:eastAsia="宋体" w:hint="ascii"/>
          <w:sz w:val="21"/>
        </w:rPr>
        <w:t>目</w:t>
      </w:r>
    </w:p>
    <w:p>
      <w:pPr>
        <w:autoSpaceDE w:val="0"/>
        <w:autoSpaceDN w:val="0"/>
        <w:jc w:val="left"/>
        <w:spacing w:before="343"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指南</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49" locked="0" layoutInCell="1" allowOverlap="1">
                <wp:simplePos x="0" y="0"/>
                <wp:positionH relativeFrom="page">
                  <wp:posOffset>938530</wp:posOffset>
                </wp:positionH>
                <wp:positionV relativeFrom="page">
                  <wp:posOffset>805815</wp:posOffset>
                </wp:positionV>
                <wp:extent cx="5076190" cy="0"/>
                <wp:wrapNone/>
                <wp:docPr id="1278" name="127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03264;width:399.70pt;" id="127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欧洲城市化合作项目计划（</w:t>
      </w:r>
      <w:r>
        <w:rPr>
          <w:rFonts w:ascii="Times New Roman" w:hAnsi="Times New Roman" w:cs="Times New Roman" w:eastAsia="Times New Roman" w:hint="ascii"/>
          <w:b w:val="1"/>
          <w:sz w:val="21"/>
        </w:rPr>
        <w:t>JPI Urban Europe</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49"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rPr>
        <w:t>自然科学基金委与欧盟下属的</w:t>
      </w:r>
      <w:r>
        <w:rPr>
          <w:rFonts w:ascii="宋体" w:hAnsi="宋体" w:cs="宋体" w:eastAsia="宋体" w:hint="ascii"/>
          <w:sz w:val="21"/>
          <w:spacing w:val="-17"/>
        </w:rPr>
        <w:t xml:space="preserve"> </w:t>
      </w:r>
      <w:r>
        <w:rPr>
          <w:rFonts w:ascii="Times New Roman" w:hAnsi="Times New Roman" w:cs="Times New Roman" w:eastAsia="Times New Roman" w:hint="ascii"/>
          <w:sz w:val="21"/>
        </w:rPr>
        <w:t>JPI</w:t>
      </w:r>
      <w:r>
        <w:rPr>
          <w:rFonts w:ascii="Times New Roman" w:hAnsi="Times New Roman" w:cs="Times New Roman" w:eastAsia="Times New Roman" w:hint="ascii"/>
          <w:sz w:val="21"/>
          <w:spacing w:val="56"/>
        </w:rPr>
        <w:t xml:space="preserve"> </w:t>
      </w:r>
      <w:r>
        <w:rPr>
          <w:rFonts w:ascii="Times New Roman" w:hAnsi="Times New Roman" w:cs="Times New Roman" w:eastAsia="Times New Roman" w:hint="ascii"/>
          <w:sz w:val="21"/>
        </w:rPr>
        <w:t>Urban</w:t>
      </w:r>
      <w:r>
        <w:rPr>
          <w:rFonts w:ascii="Times New Roman" w:hAnsi="Times New Roman" w:cs="Times New Roman" w:eastAsia="Times New Roman" w:hint="ascii"/>
          <w:sz w:val="21"/>
          <w:spacing w:val="56"/>
        </w:rPr>
        <w:t xml:space="preserve"> </w:t>
      </w:r>
      <w:r>
        <w:rPr>
          <w:rFonts w:ascii="Times New Roman" w:hAnsi="Times New Roman" w:cs="Times New Roman" w:eastAsia="Times New Roman" w:hint="ascii"/>
          <w:sz w:val="21"/>
        </w:rPr>
        <w:t>Europe</w:t>
      </w:r>
      <w:r>
        <w:rPr>
          <w:rFonts w:ascii="Times New Roman" w:hAnsi="Times New Roman" w:cs="Times New Roman" w:eastAsia="Times New Roman" w:hint="ascii"/>
          <w:sz w:val="21"/>
          <w:spacing w:val="-17"/>
        </w:rPr>
        <w:t xml:space="preserve"> </w:t>
      </w:r>
      <w:r>
        <w:rPr>
          <w:rFonts w:ascii="宋体" w:hAnsi="宋体" w:cs="宋体" w:eastAsia="宋体" w:hint="ascii"/>
          <w:sz w:val="21"/>
        </w:rPr>
        <w:t>将根据中欧合作基础和共同感兴</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趣的领域，支持中</w:t>
      </w:r>
      <w:r>
        <w:rPr>
          <w:rFonts w:ascii="宋体" w:hAnsi="宋体" w:cs="宋体" w:eastAsia="宋体" w:hint="ascii"/>
          <w:sz w:val="21"/>
        </w:rPr>
        <w:t>欧科学家在相关领域开展实质性合作研究。此类项目经过双方协</w:t>
      </w:r>
      <w:r>
        <w:rPr>
          <w:rFonts w:ascii="宋体" w:hAnsi="宋体" w:cs="宋体" w:eastAsia="宋体" w:hint="ascii"/>
          <w:sz w:val="21"/>
          <w:spacing w:val="-6"/>
        </w:rPr>
        <w:t>商</w:t>
      </w:r>
      <w:r>
        <w:rPr>
          <w:rFonts w:ascii="宋体" w:hAnsi="宋体" w:cs="宋体" w:eastAsia="宋体" w:hint="ascii"/>
          <w:sz w:val="21"/>
          <w:spacing w:val="3"/>
        </w:rPr>
        <w:t>共</w:t>
      </w:r>
      <w:r>
        <w:rPr>
          <w:rFonts w:ascii="宋体" w:hAnsi="宋体" w:cs="宋体" w:eastAsia="宋体" w:hint="ascii"/>
          <w:sz w:val="21"/>
          <w:spacing w:val="2"/>
        </w:rPr>
        <w:t>同发布《</w:t>
      </w:r>
      <w:r>
        <w:rPr>
          <w:rFonts w:ascii="宋体" w:hAnsi="宋体" w:cs="宋体" w:eastAsia="宋体" w:hint="ascii"/>
          <w:sz w:val="21"/>
          <w:spacing w:val="3"/>
        </w:rPr>
        <w:t>组</w:t>
      </w:r>
      <w:r>
        <w:rPr>
          <w:rFonts w:ascii="宋体" w:hAnsi="宋体" w:cs="宋体" w:eastAsia="宋体" w:hint="ascii"/>
          <w:sz w:val="21"/>
          <w:spacing w:val="2"/>
        </w:rPr>
        <w:t>织间国际</w:t>
      </w:r>
      <w:r>
        <w:rPr>
          <w:rFonts w:ascii="宋体" w:hAnsi="宋体" w:cs="宋体" w:eastAsia="宋体" w:hint="ascii"/>
          <w:sz w:val="21"/>
          <w:spacing w:val="3"/>
        </w:rPr>
        <w:t>（</w:t>
      </w:r>
      <w:r>
        <w:rPr>
          <w:rFonts w:ascii="宋体" w:hAnsi="宋体" w:cs="宋体" w:eastAsia="宋体" w:hint="ascii"/>
          <w:sz w:val="21"/>
          <w:spacing w:val="2"/>
        </w:rPr>
        <w:t>地区）合</w:t>
      </w:r>
      <w:r>
        <w:rPr>
          <w:rFonts w:ascii="宋体" w:hAnsi="宋体" w:cs="宋体" w:eastAsia="宋体" w:hint="ascii"/>
          <w:sz w:val="21"/>
          <w:spacing w:val="3"/>
        </w:rPr>
        <w:t>作</w:t>
      </w:r>
      <w:r>
        <w:rPr>
          <w:rFonts w:ascii="宋体" w:hAnsi="宋体" w:cs="宋体" w:eastAsia="宋体" w:hint="ascii"/>
          <w:sz w:val="21"/>
          <w:spacing w:val="2"/>
        </w:rPr>
        <w:t>研</w:t>
      </w:r>
      <w:r>
        <w:rPr>
          <w:rFonts w:ascii="宋体" w:hAnsi="宋体" w:cs="宋体" w:eastAsia="宋体" w:hint="ascii"/>
          <w:sz w:val="21"/>
          <w:spacing w:val="1"/>
        </w:rPr>
        <w:t>究与交</w:t>
      </w:r>
      <w:r>
        <w:rPr>
          <w:rFonts w:ascii="宋体" w:hAnsi="宋体" w:cs="宋体" w:eastAsia="宋体" w:hint="ascii"/>
          <w:sz w:val="21"/>
          <w:spacing w:val="2"/>
        </w:rPr>
        <w:t>流</w:t>
      </w:r>
      <w:r>
        <w:rPr>
          <w:rFonts w:ascii="宋体" w:hAnsi="宋体" w:cs="宋体" w:eastAsia="宋体" w:hint="ascii"/>
          <w:sz w:val="21"/>
          <w:spacing w:val="1"/>
        </w:rPr>
        <w:t>项目指南</w:t>
      </w:r>
      <w:r>
        <w:rPr>
          <w:rFonts w:ascii="宋体" w:hAnsi="宋体" w:cs="宋体" w:eastAsia="宋体" w:hint="ascii"/>
          <w:sz w:val="21"/>
          <w:spacing w:val="-52"/>
        </w:rPr>
        <w:t>》</w:t>
      </w:r>
      <w:r>
        <w:rPr>
          <w:rFonts w:ascii="宋体" w:hAnsi="宋体" w:cs="宋体" w:eastAsia="宋体" w:hint="ascii"/>
          <w:sz w:val="21"/>
          <w:spacing w:val="2"/>
        </w:rPr>
        <w:t>，</w:t>
      </w:r>
      <w:r>
        <w:rPr>
          <w:rFonts w:ascii="宋体" w:hAnsi="宋体" w:cs="宋体" w:eastAsia="宋体" w:hint="ascii"/>
          <w:sz w:val="21"/>
          <w:spacing w:val="1"/>
        </w:rPr>
        <w:t>由中方和</w:t>
      </w:r>
      <w:r>
        <w:rPr>
          <w:rFonts w:ascii="宋体" w:hAnsi="宋体" w:cs="宋体" w:eastAsia="宋体" w:hint="ascii"/>
          <w:sz w:val="21"/>
          <w:spacing w:val="2"/>
        </w:rPr>
        <w:t>欧</w:t>
      </w:r>
      <w:r>
        <w:rPr>
          <w:rFonts w:ascii="宋体" w:hAnsi="宋体" w:cs="宋体" w:eastAsia="宋体" w:hint="ascii"/>
          <w:sz w:val="21"/>
          <w:spacing w:val="1"/>
        </w:rPr>
        <w:t>方研</w:t>
      </w:r>
      <w:r>
        <w:rPr>
          <w:rFonts w:ascii="宋体" w:hAnsi="宋体" w:cs="宋体" w:eastAsia="宋体" w:hint="ascii"/>
          <w:sz w:val="21"/>
          <w:spacing w:val="2"/>
        </w:rPr>
        <w:t>究人</w:t>
      </w:r>
      <w:r>
        <w:rPr>
          <w:rFonts w:ascii="宋体" w:hAnsi="宋体" w:cs="宋体" w:eastAsia="宋体" w:hint="ascii"/>
          <w:sz w:val="21"/>
          <w:spacing w:val="-6"/>
        </w:rPr>
        <w:t>员</w:t>
      </w:r>
      <w:r>
        <w:rPr>
          <w:rFonts w:ascii="宋体" w:hAnsi="宋体" w:cs="宋体" w:eastAsia="宋体" w:hint="ascii"/>
          <w:sz w:val="21"/>
          <w:spacing w:val="1"/>
        </w:rPr>
        <w:t>分别向自然科学基金委</w:t>
      </w:r>
      <w:r>
        <w:rPr>
          <w:rFonts w:ascii="宋体" w:hAnsi="宋体" w:cs="宋体" w:eastAsia="宋体" w:hint="ascii"/>
          <w:sz w:val="21"/>
        </w:rPr>
        <w:t>和指定的欧方基金会提交申请，自然科学基金委与欧方根据</w:t>
      </w:r>
      <w:r>
        <w:rPr>
          <w:rFonts w:ascii="宋体" w:hAnsi="宋体" w:cs="宋体" w:eastAsia="宋体" w:hint="ascii"/>
          <w:sz w:val="21"/>
          <w:spacing w:val="-6"/>
        </w:rPr>
        <w:t>商</w:t>
      </w:r>
      <w:r>
        <w:rPr>
          <w:rFonts w:ascii="宋体" w:hAnsi="宋体" w:cs="宋体" w:eastAsia="宋体" w:hint="ascii"/>
          <w:sz w:val="21"/>
        </w:rPr>
        <w:t>定的评审方式和程序进行评审并共同做出资助决定。</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2"/>
        </w:rPr>
        <w:t xml:space="preserve"> </w:t>
      </w:r>
      <w:r>
        <w:rPr>
          <w:rFonts w:ascii="宋体" w:hAnsi="宋体" w:cs="宋体" w:eastAsia="宋体" w:hint="ascii"/>
          <w:sz w:val="21"/>
        </w:rPr>
        <w:t>年度有关申请事宜请关注自</w:t>
      </w:r>
      <w:r>
        <w:rPr>
          <w:rFonts w:ascii="宋体" w:hAnsi="宋体" w:cs="宋体" w:eastAsia="宋体" w:hint="ascii"/>
          <w:sz w:val="21"/>
          <w:spacing w:val="3"/>
        </w:rPr>
        <w:t>然科学</w:t>
      </w:r>
      <w:r>
        <w:rPr>
          <w:rFonts w:ascii="宋体" w:hAnsi="宋体" w:cs="宋体" w:eastAsia="宋体" w:hint="ascii"/>
          <w:sz w:val="21"/>
          <w:spacing w:val="4"/>
        </w:rPr>
        <w:t>基金委网站“通知</w:t>
      </w:r>
      <w:r>
        <w:rPr>
          <w:rFonts w:ascii="宋体" w:hAnsi="宋体" w:cs="宋体" w:eastAsia="宋体" w:hint="ascii"/>
          <w:sz w:val="21"/>
          <w:spacing w:val="3"/>
        </w:rPr>
        <w:t>通告”栏目中发布的《组织间国际（地区）合作研究与</w:t>
      </w:r>
      <w:r>
        <w:rPr>
          <w:rFonts w:ascii="宋体" w:hAnsi="宋体" w:cs="宋体" w:eastAsia="宋体" w:hint="ascii"/>
          <w:sz w:val="21"/>
          <w:spacing w:val="-6"/>
        </w:rPr>
        <w:t>交</w:t>
      </w:r>
      <w:r>
        <w:rPr>
          <w:rFonts w:ascii="宋体" w:hAnsi="宋体" w:cs="宋体" w:eastAsia="宋体" w:hint="ascii"/>
          <w:sz w:val="21"/>
          <w:spacing w:val="3"/>
        </w:rPr>
        <w:t>流项目指南</w:t>
      </w:r>
      <w:r>
        <w:rPr>
          <w:rFonts w:ascii="宋体" w:hAnsi="宋体" w:cs="宋体" w:eastAsia="宋体" w:hint="ascii"/>
          <w:sz w:val="21"/>
          <w:spacing w:val="-51"/>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英国</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英国皇家学会（</w:t>
      </w:r>
      <w:r>
        <w:rPr>
          <w:rFonts w:ascii="Times New Roman" w:hAnsi="Times New Roman" w:cs="Times New Roman" w:eastAsia="Times New Roman" w:hint="ascii"/>
          <w:b w:val="1"/>
          <w:sz w:val="21"/>
        </w:rPr>
        <w:t>RS</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）合作交流项目</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18"/>
        </w:rPr>
        <w:t xml:space="preserve"> </w:t>
      </w:r>
      <w:r>
        <w:rPr>
          <w:rFonts w:ascii="Times New Roman" w:hAnsi="Times New Roman" w:cs="Times New Roman" w:eastAsia="Times New Roman" w:hint="ascii"/>
          <w:sz w:val="21"/>
        </w:rPr>
        <w:t>RS</w:t>
      </w:r>
      <w:r>
        <w:rPr>
          <w:rFonts w:ascii="Times New Roman" w:hAnsi="Times New Roman" w:cs="Times New Roman" w:eastAsia="Times New Roman" w:hint="ascii"/>
          <w:sz w:val="21"/>
          <w:spacing w:val="-20"/>
        </w:rPr>
        <w:t xml:space="preserve"> </w:t>
      </w:r>
      <w:r>
        <w:rPr>
          <w:rFonts w:ascii="宋体" w:hAnsi="宋体" w:cs="宋体" w:eastAsia="宋体" w:hint="ascii"/>
          <w:sz w:val="21"/>
        </w:rPr>
        <w:t>共同资助中英研究人员间的交流互访，资助期限为</w:t>
      </w:r>
      <w:r>
        <w:rPr>
          <w:rFonts w:ascii="宋体" w:hAnsi="宋体" w:cs="宋体" w:eastAsia="宋体" w:hint="ascii"/>
          <w:sz w:val="21"/>
          <w:spacing w:val="-18"/>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9"/>
        </w:rPr>
        <w:t xml:space="preserve"> </w:t>
      </w:r>
      <w:r>
        <w:rPr>
          <w:rFonts w:ascii="宋体" w:hAnsi="宋体" w:cs="宋体" w:eastAsia="宋体" w:hint="ascii"/>
          <w:sz w:val="21"/>
        </w:rPr>
        <w:t>年。自</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rPr>
        <w:t>然科学基金委对每个项目资助最多</w:t>
      </w:r>
      <w:r>
        <w:rPr>
          <w:rFonts w:ascii="宋体" w:hAnsi="宋体" w:cs="宋体" w:eastAsia="宋体" w:hint="ascii"/>
          <w:sz w:val="21"/>
          <w:spacing w:val="-26"/>
        </w:rPr>
        <w:t xml:space="preserve"> </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26"/>
        </w:rPr>
        <w:t xml:space="preserve"> </w:t>
      </w:r>
      <w:r>
        <w:rPr>
          <w:rFonts w:ascii="宋体" w:hAnsi="宋体" w:cs="宋体" w:eastAsia="宋体" w:hint="ascii"/>
          <w:sz w:val="21"/>
        </w:rPr>
        <w:t>万元人民币，</w:t>
      </w:r>
      <w:r>
        <w:rPr>
          <w:rFonts w:ascii="Times New Roman" w:hAnsi="Times New Roman" w:cs="Times New Roman" w:eastAsia="Times New Roman" w:hint="ascii"/>
          <w:sz w:val="21"/>
        </w:rPr>
        <w:t>RS</w:t>
      </w:r>
      <w:r>
        <w:rPr>
          <w:rFonts w:ascii="Times New Roman" w:hAnsi="Times New Roman" w:cs="Times New Roman" w:eastAsia="Times New Roman" w:hint="ascii"/>
          <w:sz w:val="21"/>
          <w:spacing w:val="-26"/>
        </w:rPr>
        <w:t xml:space="preserve"> </w:t>
      </w:r>
      <w:r>
        <w:rPr>
          <w:rFonts w:ascii="宋体" w:hAnsi="宋体" w:cs="宋体" w:eastAsia="宋体" w:hint="ascii"/>
          <w:sz w:val="21"/>
        </w:rPr>
        <w:t>对每个项目资助最多</w:t>
      </w:r>
      <w:r>
        <w:rPr>
          <w:rFonts w:ascii="宋体" w:hAnsi="宋体" w:cs="宋体" w:eastAsia="宋体" w:hint="ascii"/>
          <w:sz w:val="21"/>
          <w:spacing w:val="-25"/>
        </w:rPr>
        <w:t xml:space="preserve"> </w:t>
      </w:r>
      <w:r>
        <w:rPr>
          <w:rFonts w:ascii="Times New Roman" w:hAnsi="Times New Roman" w:cs="Times New Roman" w:eastAsia="Times New Roman" w:hint="ascii"/>
          <w:sz w:val="21"/>
        </w:rPr>
        <w:t>12 000</w:t>
      </w:r>
      <w:r>
        <w:rPr>
          <w:rFonts w:ascii="Times New Roman" w:hAnsi="Times New Roman" w:cs="Times New Roman" w:eastAsia="Times New Roman" w:hint="ascii"/>
          <w:sz w:val="21"/>
          <w:spacing w:val="-26"/>
        </w:rPr>
        <w:t xml:space="preserve"> </w:t>
      </w:r>
      <w:r>
        <w:rPr>
          <w:rFonts w:ascii="宋体" w:hAnsi="宋体" w:cs="宋体" w:eastAsia="宋体" w:hint="ascii"/>
          <w:sz w:val="21"/>
        </w:rPr>
        <w:t>英</w:t>
      </w:r>
      <w:r>
        <w:rPr>
          <w:rFonts w:ascii="宋体" w:hAnsi="宋体" w:cs="宋体" w:eastAsia="宋体" w:hint="ascii"/>
          <w:sz w:val="21"/>
          <w:spacing w:val="-1"/>
        </w:rPr>
        <w:t>镑，用于</w:t>
      </w:r>
      <w:r>
        <w:rPr>
          <w:rFonts w:ascii="宋体" w:hAnsi="宋体" w:cs="宋体" w:eastAsia="宋体" w:hint="ascii"/>
          <w:sz w:val="21"/>
        </w:rPr>
        <w:t>中英研究人员交流互访所需的国际旅费、住宿费、伙食费、城市间交通费等。</w:t>
      </w:r>
    </w:p>
    <w:p>
      <w:pPr>
        <w:autoSpaceDE w:val="0"/>
        <w:autoSpaceDN w:val="0"/>
        <w:jc w:val="both"/>
        <w:spacing w:before="0" w:after="0" w:lineRule="exact" w:line="330"/>
        <w:ind w:right="976" w:left="966" w:firstLine="0"/>
        <w:snapToGrid w:val="0"/>
        <w:textAlignment w:val="auto"/>
        <w:tabs>
          <w:tab w:val="left" w:leader="none" w:pos="1443"/>
        </w:tabs>
        <w:numPr>
          <w:ilvl w:val="0"/>
          <w:numId w:val="210"/>
        </w:numPr>
        <w:rPr>
          <w:rFonts w:ascii="Times New Roman" w:hAnsi="Times New Roman" w:cs="Times New Roman" w:eastAsia="Times New Roman" w:hint="ascii"/>
          <w:sz w:val="21"/>
          <w:spacing w:val="1"/>
        </w:rPr>
      </w:pPr>
      <w:r>
        <w:rPr>
          <w:rFonts w:ascii="宋体" w:hAnsi="宋体" w:cs="宋体" w:eastAsia="宋体" w:hint="ascii"/>
          <w:sz w:val="21"/>
        </w:rPr>
        <w:t>年度有关申请事宜请关注自然科学基金委网站“通知通告”栏目中发布的《组织 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）人才项目</w:t>
      </w:r>
    </w:p>
    <w:p>
      <w:pPr>
        <w:autoSpaceDE w:val="0"/>
        <w:autoSpaceDN w:val="0"/>
        <w:jc w:val="left"/>
        <w:spacing w:before="6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 </w:t>
      </w:r>
      <w:r>
        <w:rPr>
          <w:rFonts w:ascii="Times New Roman" w:hAnsi="Times New Roman" w:cs="Times New Roman" w:eastAsia="Times New Roman" w:hint="ascii"/>
          <w:sz w:val="21"/>
        </w:rPr>
        <w:t>RS</w:t>
      </w:r>
      <w:r>
        <w:rPr>
          <w:rFonts w:ascii="宋体" w:hAnsi="宋体" w:cs="宋体" w:eastAsia="宋体" w:hint="ascii"/>
          <w:sz w:val="21"/>
        </w:rPr>
        <w:t>、英国医学科学院（</w:t>
      </w:r>
      <w:r>
        <w:rPr>
          <w:rFonts w:ascii="Times New Roman" w:hAnsi="Times New Roman" w:cs="Times New Roman" w:eastAsia="Times New Roman" w:hint="ascii"/>
          <w:sz w:val="21"/>
        </w:rPr>
        <w:t>AMS</w:t>
      </w:r>
      <w:r>
        <w:rPr>
          <w:rFonts w:ascii="宋体" w:hAnsi="宋体" w:cs="宋体" w:eastAsia="宋体" w:hint="ascii"/>
          <w:sz w:val="21"/>
        </w:rPr>
        <w:t>）共同设立人才项目（英方项目名</w:t>
      </w:r>
    </w:p>
    <w:p>
      <w:pPr>
        <w:autoSpaceDE w:val="0"/>
        <w:autoSpaceDN w:val="0"/>
        <w:jc w:val="left"/>
        <w:spacing w:before="6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称为</w:t>
      </w:r>
      <w:r>
        <w:rPr>
          <w:rFonts w:ascii="宋体" w:hAnsi="宋体" w:cs="宋体" w:eastAsia="宋体" w:hint="ascii"/>
          <w:sz w:val="21"/>
          <w:spacing w:val="-16"/>
        </w:rPr>
        <w:t xml:space="preserve"> </w:t>
      </w:r>
      <w:r>
        <w:rPr>
          <w:rFonts w:ascii="Times New Roman" w:hAnsi="Times New Roman" w:cs="Times New Roman" w:eastAsia="Times New Roman" w:hint="ascii"/>
          <w:sz w:val="21"/>
        </w:rPr>
        <w:t>Newton</w:t>
      </w:r>
      <w:r>
        <w:rPr>
          <w:rFonts w:ascii="Times New Roman" w:hAnsi="Times New Roman" w:cs="Times New Roman" w:eastAsia="Times New Roman" w:hint="ascii"/>
          <w:sz w:val="21"/>
          <w:spacing w:val="52"/>
        </w:rPr>
        <w:t xml:space="preserve"> </w:t>
      </w:r>
      <w:r>
        <w:rPr>
          <w:rFonts w:ascii="Times New Roman" w:hAnsi="Times New Roman" w:cs="Times New Roman" w:eastAsia="Times New Roman" w:hint="ascii"/>
          <w:sz w:val="21"/>
        </w:rPr>
        <w:t>Advanced</w:t>
      </w:r>
      <w:r>
        <w:rPr>
          <w:rFonts w:ascii="Times New Roman" w:hAnsi="Times New Roman" w:cs="Times New Roman" w:eastAsia="Times New Roman" w:hint="ascii"/>
          <w:sz w:val="21"/>
          <w:spacing w:val="52"/>
        </w:rPr>
        <w:t xml:space="preserve"> </w:t>
      </w:r>
      <w:r>
        <w:rPr>
          <w:rFonts w:ascii="Times New Roman" w:hAnsi="Times New Roman" w:cs="Times New Roman" w:eastAsia="Times New Roman" w:hint="ascii"/>
          <w:sz w:val="21"/>
        </w:rPr>
        <w:t>Fellowship</w:t>
      </w:r>
      <w:r>
        <w:rPr>
          <w:rFonts w:ascii="宋体" w:hAnsi="宋体" w:cs="宋体" w:eastAsia="宋体" w:hint="ascii"/>
          <w:sz w:val="21"/>
        </w:rPr>
        <w:t>，即“牛顿高级学者基金</w:t>
      </w:r>
      <w:r>
        <w:rPr>
          <w:rFonts w:ascii="宋体" w:hAnsi="宋体" w:cs="宋体" w:eastAsia="宋体" w:hint="ascii"/>
          <w:sz w:val="21"/>
          <w:spacing w:val="-53"/>
        </w:rPr>
        <w:t>”</w:t>
      </w:r>
      <w:r>
        <w:rPr>
          <w:rFonts w:ascii="宋体" w:hAnsi="宋体" w:cs="宋体" w:eastAsia="宋体" w:hint="ascii"/>
          <w:sz w:val="21"/>
          <w:spacing w:val="-52"/>
        </w:rPr>
        <w:t>）</w:t>
      </w:r>
      <w:r>
        <w:rPr>
          <w:rFonts w:ascii="宋体" w:hAnsi="宋体" w:cs="宋体" w:eastAsia="宋体" w:hint="ascii"/>
          <w:sz w:val="21"/>
        </w:rPr>
        <w:t>，资助我国优秀青年学者</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与英国合</w:t>
      </w:r>
      <w:r>
        <w:rPr>
          <w:rFonts w:ascii="宋体" w:hAnsi="宋体" w:cs="宋体" w:eastAsia="宋体" w:hint="ascii"/>
          <w:sz w:val="21"/>
        </w:rPr>
        <w:t xml:space="preserve">作者之间的交流互访与合作研究活动。中方资助强度为每项不超过 </w:t>
      </w:r>
      <w:r>
        <w:rPr>
          <w:rFonts w:ascii="Times New Roman" w:hAnsi="Times New Roman" w:cs="Times New Roman" w:eastAsia="Times New Roman" w:hint="ascii"/>
          <w:sz w:val="21"/>
        </w:rPr>
        <w:t xml:space="preserve">50 </w:t>
      </w:r>
      <w:r>
        <w:rPr>
          <w:rFonts w:ascii="宋体" w:hAnsi="宋体" w:cs="宋体" w:eastAsia="宋体" w:hint="ascii"/>
          <w:sz w:val="21"/>
        </w:rPr>
        <w:t xml:space="preserve">万元人民币。英方资助强度为每项不超过 </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 xml:space="preserve">1.1 </w:t>
      </w:r>
      <w:r>
        <w:rPr>
          <w:rFonts w:ascii="宋体" w:hAnsi="宋体" w:cs="宋体" w:eastAsia="宋体" w:hint="ascii"/>
          <w:sz w:val="21"/>
        </w:rPr>
        <w:t xml:space="preserve">万英镑，包括中方申请人的工资增补费、研究支持经费、培训费和国际合作交流费用等，资助期限为 </w:t>
      </w:r>
      <w:r>
        <w:rPr>
          <w:rFonts w:ascii="Times New Roman" w:hAnsi="Times New Roman" w:cs="Times New Roman" w:eastAsia="Times New Roman" w:hint="ascii"/>
          <w:sz w:val="21"/>
        </w:rPr>
        <w:t xml:space="preserve">3 </w:t>
      </w:r>
      <w:r>
        <w:rPr>
          <w:rFonts w:ascii="宋体" w:hAnsi="宋体" w:cs="宋体" w:eastAsia="宋体" w:hint="ascii"/>
          <w:sz w:val="21"/>
        </w:rPr>
        <w:t>年。</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3"/>
        </w:rPr>
        <w:t>8</w:t>
      </w:r>
      <w:r>
        <w:rPr>
          <w:rFonts w:ascii="宋体" w:hAnsi="宋体" w:cs="宋体" w:eastAsia="宋体" w:hint="ascii"/>
          <w:sz w:val="21"/>
        </w:rPr>
        <w:t>年度有关申请事宜</w:t>
      </w:r>
      <w:r>
        <w:rPr>
          <w:rFonts w:ascii="宋体" w:hAnsi="宋体" w:cs="宋体" w:eastAsia="宋体" w:hint="ascii"/>
          <w:sz w:val="21"/>
          <w:spacing w:val="-1"/>
        </w:rPr>
        <w:t>请关注自</w:t>
      </w:r>
      <w:r>
        <w:rPr>
          <w:rFonts w:ascii="宋体" w:hAnsi="宋体" w:cs="宋体" w:eastAsia="宋体" w:hint="ascii"/>
          <w:sz w:val="21"/>
        </w:rPr>
        <w:t>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英国爱丁堡皇家学会（</w:t>
      </w:r>
      <w:r>
        <w:rPr>
          <w:rFonts w:ascii="Times New Roman" w:hAnsi="Times New Roman" w:cs="Times New Roman" w:eastAsia="Times New Roman" w:hint="ascii"/>
          <w:b w:val="1"/>
          <w:sz w:val="21"/>
        </w:rPr>
        <w:t>RSE</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 </w:t>
      </w:r>
      <w:r>
        <w:rPr>
          <w:rFonts w:ascii="Times New Roman" w:hAnsi="Times New Roman" w:cs="Times New Roman" w:eastAsia="Times New Roman" w:hint="ascii"/>
          <w:sz w:val="21"/>
        </w:rPr>
        <w:t xml:space="preserve">RSE </w:t>
      </w:r>
      <w:r>
        <w:rPr>
          <w:rFonts w:ascii="宋体" w:hAnsi="宋体" w:cs="宋体" w:eastAsia="宋体" w:hint="ascii"/>
          <w:sz w:val="21"/>
        </w:rPr>
        <w:t>共同资助中国与英国苏格兰地区研究人员间的交流互访，</w:t>
      </w:r>
    </w:p>
    <w:p>
      <w:pPr>
        <w:autoSpaceDE w:val="0"/>
        <w:autoSpaceDN w:val="0"/>
        <w:jc w:val="both"/>
        <w:spacing w:before="13" w:after="0" w:lineRule="exact" w:line="33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2"/>
        </w:rPr>
        <w:t>资助期限</w:t>
      </w:r>
      <w:r>
        <w:rPr>
          <w:rFonts w:ascii="宋体" w:hAnsi="宋体" w:cs="宋体" w:eastAsia="宋体" w:hint="ascii"/>
          <w:sz w:val="21"/>
          <w:spacing w:val="24"/>
        </w:rPr>
        <w:t>为</w:t>
      </w:r>
      <w:r>
        <w:rPr>
          <w:rFonts w:ascii="Times New Roman" w:hAnsi="Times New Roman" w:cs="Times New Roman" w:eastAsia="Times New Roman" w:hint="ascii"/>
          <w:sz w:val="21"/>
          <w:spacing w:val="51"/>
        </w:rPr>
        <w:t>2</w:t>
      </w:r>
      <w:r>
        <w:rPr>
          <w:rFonts w:ascii="宋体" w:hAnsi="宋体" w:cs="宋体" w:eastAsia="宋体" w:hint="ascii"/>
          <w:sz w:val="21"/>
          <w:spacing w:val="-2"/>
        </w:rPr>
        <w:t>年，每年的合作领域与项目数由</w:t>
      </w:r>
      <w:r>
        <w:rPr>
          <w:rFonts w:ascii="宋体" w:hAnsi="宋体" w:cs="宋体" w:eastAsia="宋体" w:hint="ascii"/>
          <w:sz w:val="21"/>
          <w:spacing w:val="-1"/>
        </w:rPr>
        <w:t>双方根据情况商定。自然科学基金委对每</w:t>
      </w:r>
      <w:r>
        <w:rPr>
          <w:rFonts w:ascii="宋体" w:hAnsi="宋体" w:cs="宋体" w:eastAsia="宋体" w:hint="ascii"/>
          <w:sz w:val="21"/>
        </w:rPr>
        <w:t xml:space="preserve"> </w:t>
      </w:r>
      <w:r>
        <w:rPr>
          <w:rFonts w:ascii="宋体" w:hAnsi="宋体" w:cs="宋体" w:eastAsia="宋体" w:hint="ascii"/>
          <w:sz w:val="21"/>
          <w:spacing w:val="-1"/>
        </w:rPr>
        <w:t>个项目资</w:t>
      </w:r>
      <w:r>
        <w:rPr>
          <w:rFonts w:ascii="宋体" w:hAnsi="宋体" w:cs="宋体" w:eastAsia="宋体" w:hint="ascii"/>
          <w:sz w:val="21"/>
        </w:rPr>
        <w:t xml:space="preserve">助最多 </w:t>
      </w:r>
      <w:r>
        <w:rPr>
          <w:rFonts w:ascii="Times New Roman" w:hAnsi="Times New Roman" w:cs="Times New Roman" w:eastAsia="Times New Roman" w:hint="ascii"/>
          <w:sz w:val="21"/>
        </w:rPr>
        <w:t xml:space="preserve">10 </w:t>
      </w:r>
      <w:r>
        <w:rPr>
          <w:rFonts w:ascii="宋体" w:hAnsi="宋体" w:cs="宋体" w:eastAsia="宋体" w:hint="ascii"/>
          <w:sz w:val="21"/>
        </w:rPr>
        <w:t>万元人民币，用于中国研究人员访问苏格兰的国际旅费和苏格兰研</w:t>
      </w:r>
      <w:r>
        <w:rPr>
          <w:rFonts w:ascii="宋体" w:hAnsi="宋体" w:cs="宋体" w:eastAsia="宋体" w:hint="ascii"/>
          <w:sz w:val="21"/>
          <w:spacing w:val="1"/>
        </w:rPr>
        <w:t>究人员来华的住宿费、伙食费和城市间交通费。</w:t>
      </w:r>
      <w:r>
        <w:rPr>
          <w:rFonts w:ascii="Times New Roman" w:hAnsi="Times New Roman" w:cs="Times New Roman" w:eastAsia="Times New Roman" w:hint="ascii"/>
          <w:sz w:val="21"/>
        </w:rPr>
        <w:t xml:space="preserve">RSE </w:t>
      </w:r>
      <w:r>
        <w:rPr>
          <w:rFonts w:ascii="宋体" w:hAnsi="宋体" w:cs="宋体" w:eastAsia="宋体" w:hint="ascii"/>
          <w:sz w:val="21"/>
          <w:spacing w:val="1"/>
        </w:rPr>
        <w:t>对每个项目资助最</w:t>
      </w:r>
      <w:r>
        <w:rPr>
          <w:rFonts w:ascii="宋体" w:hAnsi="宋体" w:cs="宋体" w:eastAsia="宋体" w:hint="ascii"/>
          <w:sz w:val="21"/>
          <w:spacing w:val="-3"/>
        </w:rPr>
        <w:t>多</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4"/>
        </w:rPr>
        <w:t xml:space="preserve"> </w:t>
      </w:r>
      <w:r>
        <w:rPr>
          <w:rFonts w:ascii="Times New Roman" w:hAnsi="Times New Roman" w:cs="Times New Roman" w:eastAsia="Times New Roman" w:hint="ascii"/>
          <w:sz w:val="21"/>
        </w:rPr>
        <w:t>000</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6"/>
        </w:rPr>
        <w:t>英</w:t>
      </w:r>
      <w:r>
        <w:rPr>
          <w:rFonts w:ascii="宋体" w:hAnsi="宋体" w:cs="宋体" w:eastAsia="宋体" w:hint="ascii"/>
          <w:sz w:val="21"/>
          <w:spacing w:val="-1"/>
        </w:rPr>
        <w:t>镑，用于中国研究人员在苏格兰期间的生活费和苏格兰研究人员访华</w:t>
      </w:r>
      <w:r>
        <w:rPr>
          <w:rFonts w:ascii="宋体" w:hAnsi="宋体" w:cs="宋体" w:eastAsia="宋体" w:hint="ascii"/>
          <w:sz w:val="21"/>
        </w:rPr>
        <w:t>的国际旅费。</w:t>
      </w:r>
      <w:r>
        <w:rPr>
          <w:rFonts w:ascii="Times New Roman" w:hAnsi="Times New Roman" w:cs="Times New Roman" w:eastAsia="Times New Roman" w:hint="ascii"/>
          <w:sz w:val="21"/>
        </w:rPr>
        <w:t xml:space="preserve">2017 </w:t>
      </w:r>
      <w:r>
        <w:rPr>
          <w:rFonts w:ascii="宋体" w:hAnsi="宋体" w:cs="宋体" w:eastAsia="宋体" w:hint="ascii"/>
          <w:sz w:val="21"/>
        </w:rPr>
        <w:t>年年底，</w:t>
      </w:r>
      <w:r>
        <w:rPr>
          <w:rFonts w:ascii="宋体" w:hAnsi="宋体" w:cs="宋体" w:eastAsia="宋体" w:hint="ascii"/>
          <w:sz w:val="21"/>
          <w:spacing w:val="-1"/>
        </w:rPr>
        <w:t>自</w:t>
      </w:r>
      <w:r>
        <w:rPr>
          <w:rFonts w:ascii="宋体" w:hAnsi="宋体" w:cs="宋体" w:eastAsia="宋体" w:hint="ascii"/>
          <w:sz w:val="21"/>
        </w:rPr>
        <w:t>然科学基</w:t>
      </w:r>
      <w:r>
        <w:rPr>
          <w:rFonts w:ascii="宋体" w:hAnsi="宋体" w:cs="宋体" w:eastAsia="宋体" w:hint="ascii"/>
          <w:sz w:val="21"/>
          <w:spacing w:val="-1"/>
        </w:rPr>
        <w:t>金</w:t>
      </w:r>
      <w:r>
        <w:rPr>
          <w:rFonts w:ascii="宋体" w:hAnsi="宋体" w:cs="宋体" w:eastAsia="宋体" w:hint="ascii"/>
          <w:sz w:val="21"/>
        </w:rPr>
        <w:t>委</w:t>
      </w:r>
      <w:r>
        <w:rPr>
          <w:rFonts w:ascii="宋体" w:hAnsi="宋体" w:cs="宋体" w:eastAsia="宋体" w:hint="ascii"/>
          <w:sz w:val="21"/>
          <w:spacing w:val="-1"/>
        </w:rPr>
        <w:t>与</w:t>
      </w:r>
      <w:r>
        <w:rPr>
          <w:rFonts w:ascii="宋体" w:hAnsi="宋体" w:cs="宋体" w:eastAsia="宋体" w:hint="ascii"/>
          <w:sz w:val="21"/>
        </w:rPr>
        <w:t xml:space="preserve"> </w:t>
      </w:r>
      <w:r>
        <w:rPr>
          <w:rFonts w:ascii="Times New Roman" w:hAnsi="Times New Roman" w:cs="Times New Roman" w:eastAsia="Times New Roman" w:hint="ascii"/>
          <w:sz w:val="21"/>
        </w:rPr>
        <w:t>RSE</w:t>
      </w:r>
      <w:r>
        <w:rPr>
          <w:rFonts w:ascii="Times New Roman" w:hAnsi="Times New Roman" w:cs="Times New Roman" w:eastAsia="Times New Roman" w:hint="ascii"/>
          <w:sz w:val="21"/>
          <w:spacing w:val="-1"/>
        </w:rPr>
        <w:t xml:space="preserve"> </w:t>
      </w:r>
      <w:r>
        <w:rPr>
          <w:rFonts w:ascii="宋体" w:hAnsi="宋体" w:cs="宋体" w:eastAsia="宋体" w:hint="ascii"/>
          <w:sz w:val="21"/>
        </w:rPr>
        <w:t>将同时发</w:t>
      </w:r>
      <w:r>
        <w:rPr>
          <w:rFonts w:ascii="宋体" w:hAnsi="宋体" w:cs="宋体" w:eastAsia="宋体" w:hint="ascii"/>
          <w:sz w:val="21"/>
          <w:spacing w:val="-1"/>
        </w:rPr>
        <w:t>布</w:t>
      </w:r>
      <w:r>
        <w:rPr>
          <w:rFonts w:ascii="宋体" w:hAnsi="宋体" w:cs="宋体" w:eastAsia="宋体" w:hint="ascii"/>
          <w:sz w:val="21"/>
        </w:rPr>
        <w:t>《组织间</w:t>
      </w:r>
      <w:r>
        <w:rPr>
          <w:rFonts w:ascii="宋体" w:hAnsi="宋体" w:cs="宋体" w:eastAsia="宋体" w:hint="ascii"/>
          <w:sz w:val="21"/>
          <w:spacing w:val="-1"/>
        </w:rPr>
        <w:t>国</w:t>
      </w:r>
      <w:r>
        <w:rPr>
          <w:rFonts w:ascii="宋体" w:hAnsi="宋体" w:cs="宋体" w:eastAsia="宋体" w:hint="ascii"/>
          <w:sz w:val="21"/>
        </w:rPr>
        <w:t>际（地区</w:t>
      </w:r>
      <w:r>
        <w:rPr>
          <w:rFonts w:ascii="宋体" w:hAnsi="宋体" w:cs="宋体" w:eastAsia="宋体" w:hint="ascii"/>
          <w:sz w:val="21"/>
          <w:spacing w:val="-1"/>
        </w:rPr>
        <w:t>）</w:t>
      </w:r>
      <w:r>
        <w:rPr>
          <w:rFonts w:ascii="宋体" w:hAnsi="宋体" w:cs="宋体" w:eastAsia="宋体" w:hint="ascii"/>
          <w:sz w:val="21"/>
        </w:rPr>
        <w:t>合作研究</w:t>
      </w:r>
      <w:r>
        <w:rPr>
          <w:rFonts w:ascii="宋体" w:hAnsi="宋体" w:cs="宋体" w:eastAsia="宋体" w:hint="ascii"/>
          <w:sz w:val="21"/>
          <w:spacing w:val="-1"/>
        </w:rPr>
        <w:t>与</w:t>
      </w:r>
      <w:r>
        <w:rPr>
          <w:rFonts w:ascii="宋体" w:hAnsi="宋体" w:cs="宋体" w:eastAsia="宋体" w:hint="ascii"/>
          <w:sz w:val="21"/>
        </w:rPr>
        <w:t>交流</w:t>
      </w:r>
      <w:r>
        <w:rPr>
          <w:rFonts w:ascii="宋体" w:hAnsi="宋体" w:cs="宋体" w:eastAsia="宋体" w:hint="ascii"/>
          <w:sz w:val="21"/>
          <w:spacing w:val="-2"/>
        </w:rPr>
        <w:t>项</w:t>
      </w:r>
      <w:r>
        <w:rPr>
          <w:rFonts w:ascii="宋体" w:hAnsi="宋体" w:cs="宋体" w:eastAsia="宋体" w:hint="ascii"/>
          <w:sz w:val="21"/>
        </w:rPr>
        <w:t>目指南</w:t>
      </w:r>
      <w:r>
        <w:rPr>
          <w:rFonts w:ascii="宋体" w:hAnsi="宋体" w:cs="宋体" w:eastAsia="宋体" w:hint="ascii"/>
          <w:sz w:val="21"/>
          <w:spacing w:val="-50"/>
        </w:rPr>
        <w:t>》</w:t>
      </w:r>
      <w:r>
        <w:rPr>
          <w:rFonts w:ascii="宋体" w:hAnsi="宋体" w:cs="宋体" w:eastAsia="宋体" w:hint="ascii"/>
          <w:sz w:val="21"/>
        </w:rPr>
        <w:t>，中方科学家向自然科学基金委申请，苏格兰地区科学家同时向</w:t>
      </w:r>
      <w:r>
        <w:rPr>
          <w:rFonts w:ascii="宋体" w:hAnsi="宋体" w:cs="宋体" w:eastAsia="宋体" w:hint="ascii"/>
          <w:sz w:val="21"/>
          <w:spacing w:val="3"/>
        </w:rPr>
        <w:t xml:space="preserve"> </w:t>
      </w:r>
      <w:r>
        <w:rPr>
          <w:rFonts w:ascii="Times New Roman" w:hAnsi="Times New Roman" w:cs="Times New Roman" w:eastAsia="Times New Roman" w:hint="ascii"/>
          <w:sz w:val="21"/>
        </w:rPr>
        <w:t xml:space="preserve">RSE </w:t>
      </w:r>
      <w:r>
        <w:rPr>
          <w:rFonts w:ascii="宋体" w:hAnsi="宋体" w:cs="宋体" w:eastAsia="宋体" w:hint="ascii"/>
          <w:sz w:val="21"/>
        </w:rPr>
        <w:t>申请，</w:t>
      </w:r>
    </w:p>
    <w:p>
      <w:pPr>
        <w:autoSpaceDE w:val="0"/>
        <w:autoSpaceDN w:val="0"/>
        <w:jc w:val="left"/>
        <w:spacing w:before="54" w:after="0" w:lineRule="auto" w:line="240"/>
        <w:ind w:right="0" w:left="1439" w:hanging="473"/>
        <w:snapToGrid w:val="0"/>
        <w:textAlignment w:val="auto"/>
        <w:tabs>
          <w:tab w:val="left" w:leader="none" w:pos="1438"/>
        </w:tabs>
        <w:numPr>
          <w:ilvl w:val="0"/>
          <w:numId w:val="181"/>
        </w:numPr>
        <w:rPr>
          <w:rFonts w:ascii="Times New Roman" w:hAnsi="Times New Roman" w:cs="Times New Roman" w:eastAsia="Times New Roman" w:hint="ascii"/>
          <w:sz w:val="21"/>
          <w:spacing w:val="1"/>
        </w:rPr>
      </w:pPr>
      <w:r>
        <w:rPr>
          <w:rFonts w:ascii="宋体" w:hAnsi="宋体" w:cs="宋体" w:eastAsia="宋体" w:hint="ascii"/>
          <w:sz w:val="21"/>
          <w:spacing w:val="26"/>
        </w:rPr>
        <w:t>年</w:t>
      </w:r>
      <w:r>
        <w:rPr>
          <w:rFonts w:ascii="Times New Roman" w:hAnsi="Times New Roman" w:cs="Times New Roman" w:eastAsia="Times New Roman" w:hint="ascii"/>
          <w:sz w:val="21"/>
          <w:spacing w:val="52"/>
        </w:rPr>
        <w:t>6</w:t>
      </w:r>
      <w:r>
        <w:rPr>
          <w:rFonts w:ascii="宋体" w:hAnsi="宋体" w:cs="宋体" w:eastAsia="宋体" w:hint="ascii"/>
          <w:sz w:val="21"/>
        </w:rPr>
        <w:t>月公布结果，项目执行期</w:t>
      </w:r>
      <w:r>
        <w:rPr>
          <w:rFonts w:ascii="宋体" w:hAnsi="宋体" w:cs="宋体" w:eastAsia="宋体" w:hint="ascii"/>
          <w:sz w:val="21"/>
          <w:spacing w:val="26"/>
        </w:rPr>
        <w:t>为</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8</w:t>
      </w:r>
      <w:r>
        <w:rPr>
          <w:rFonts w:ascii="宋体" w:hAnsi="宋体" w:cs="宋体" w:eastAsia="宋体" w:hint="ascii"/>
          <w:sz w:val="21"/>
          <w:spacing w:val="26"/>
        </w:rPr>
        <w:t>年</w:t>
      </w:r>
      <w:r>
        <w:rPr>
          <w:rFonts w:ascii="Times New Roman" w:hAnsi="Times New Roman" w:cs="Times New Roman" w:eastAsia="Times New Roman" w:hint="ascii"/>
          <w:sz w:val="21"/>
          <w:spacing w:val="52"/>
        </w:rPr>
        <w:t>7</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0</w:t>
      </w:r>
      <w:r>
        <w:rPr>
          <w:rFonts w:ascii="宋体" w:hAnsi="宋体" w:cs="宋体" w:eastAsia="宋体" w:hint="ascii"/>
          <w:sz w:val="21"/>
          <w:spacing w:val="26"/>
        </w:rPr>
        <w:t>年</w:t>
      </w:r>
      <w:r>
        <w:rPr>
          <w:rFonts w:ascii="Times New Roman" w:hAnsi="Times New Roman" w:cs="Times New Roman" w:eastAsia="Times New Roman" w:hint="ascii"/>
          <w:sz w:val="21"/>
          <w:spacing w:val="52"/>
        </w:rPr>
        <w:t>6</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0</w:t>
      </w:r>
      <w:r>
        <w:rPr>
          <w:rFonts w:ascii="宋体" w:hAnsi="宋体" w:cs="宋体" w:eastAsia="宋体" w:hint="ascii"/>
          <w:sz w:val="21"/>
        </w:rPr>
        <w:t>日。</w:t>
      </w:r>
    </w:p>
    <w:p>
      <w:pPr>
        <w:autoSpaceDE w:val="0"/>
        <w:autoSpaceDN w:val="0"/>
        <w:jc w:val="left"/>
        <w:spacing w:before="543"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英国研究理事会（</w:t>
      </w:r>
      <w:r>
        <w:rPr>
          <w:rFonts w:ascii="Times New Roman" w:hAnsi="Times New Roman" w:cs="Times New Roman" w:eastAsia="Times New Roman" w:hint="ascii"/>
          <w:b w:val="1"/>
          <w:sz w:val="21"/>
        </w:rPr>
        <w:t>RCUK</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50" locked="0" layoutInCell="1" allowOverlap="1">
                <wp:simplePos x="0" y="0"/>
                <wp:positionH relativeFrom="page">
                  <wp:posOffset>938530</wp:posOffset>
                </wp:positionH>
                <wp:positionV relativeFrom="page">
                  <wp:posOffset>819150</wp:posOffset>
                </wp:positionV>
                <wp:extent cx="5076190" cy="0"/>
                <wp:wrapNone/>
                <wp:docPr id="1279" name="127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02240;width:399.70pt;" id="127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5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17"/>
        </w:rPr>
        <w:t xml:space="preserve"> </w:t>
      </w:r>
      <w:r>
        <w:rPr>
          <w:rFonts w:ascii="Times New Roman" w:hAnsi="Times New Roman" w:cs="Times New Roman" w:eastAsia="Times New Roman" w:hint="ascii"/>
          <w:sz w:val="21"/>
        </w:rPr>
        <w:t>RCUK</w:t>
      </w:r>
      <w:r>
        <w:rPr>
          <w:rFonts w:ascii="Times New Roman" w:hAnsi="Times New Roman" w:cs="Times New Roman" w:eastAsia="Times New Roman" w:hint="ascii"/>
          <w:sz w:val="21"/>
          <w:spacing w:val="-17"/>
        </w:rPr>
        <w:t xml:space="preserve"> </w:t>
      </w:r>
      <w:r>
        <w:rPr>
          <w:rFonts w:ascii="宋体" w:hAnsi="宋体" w:cs="宋体" w:eastAsia="宋体" w:hint="ascii"/>
          <w:sz w:val="21"/>
        </w:rPr>
        <w:t>下属的英国工程与自然科学研究理事会（</w:t>
      </w:r>
      <w:r>
        <w:rPr>
          <w:rFonts w:ascii="Times New Roman" w:hAnsi="Times New Roman" w:cs="Times New Roman" w:eastAsia="Times New Roman" w:hint="ascii"/>
          <w:sz w:val="21"/>
        </w:rPr>
        <w:t>EPSRC</w:t>
      </w:r>
      <w:r>
        <w:rPr>
          <w:rFonts w:ascii="宋体" w:hAnsi="宋体" w:cs="宋体" w:eastAsia="宋体" w:hint="ascii"/>
          <w:sz w:val="21"/>
          <w:spacing w:val="-52"/>
        </w:rPr>
        <w:t>）</w:t>
      </w:r>
      <w:r>
        <w:rPr>
          <w:rFonts w:ascii="宋体" w:hAnsi="宋体" w:cs="宋体" w:eastAsia="宋体" w:hint="ascii"/>
          <w:sz w:val="21"/>
        </w:rPr>
        <w:t>、英国</w:t>
      </w:r>
    </w:p>
    <w:p>
      <w:pPr>
        <w:autoSpaceDE w:val="0"/>
        <w:autoSpaceDN w:val="0"/>
        <w:jc w:val="left"/>
        <w:spacing w:before="10"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生物技术与生物科学研究理事会（</w:t>
      </w:r>
      <w:r>
        <w:rPr>
          <w:rFonts w:ascii="Times New Roman" w:hAnsi="Times New Roman" w:cs="Times New Roman" w:eastAsia="Times New Roman" w:hint="ascii"/>
          <w:sz w:val="21"/>
        </w:rPr>
        <w:t>BBSRC</w:t>
      </w:r>
      <w:r>
        <w:rPr>
          <w:rFonts w:ascii="宋体" w:hAnsi="宋体" w:cs="宋体" w:eastAsia="宋体" w:hint="ascii"/>
          <w:sz w:val="21"/>
          <w:spacing w:val="-52"/>
        </w:rPr>
        <w:t>）</w:t>
      </w:r>
      <w:r>
        <w:rPr>
          <w:rFonts w:ascii="宋体" w:hAnsi="宋体" w:cs="宋体" w:eastAsia="宋体" w:hint="ascii"/>
          <w:sz w:val="21"/>
        </w:rPr>
        <w:t>、英国自然环境研究理事会（</w:t>
      </w:r>
      <w:r>
        <w:rPr>
          <w:rFonts w:ascii="Times New Roman" w:hAnsi="Times New Roman" w:cs="Times New Roman" w:eastAsia="Times New Roman" w:hint="ascii"/>
          <w:sz w:val="21"/>
        </w:rPr>
        <w:t>NERC</w:t>
      </w:r>
      <w:r>
        <w:rPr>
          <w:rFonts w:ascii="宋体" w:hAnsi="宋体" w:cs="宋体" w:eastAsia="宋体" w:hint="ascii"/>
          <w:sz w:val="21"/>
          <w:spacing w:val="-52"/>
        </w:rPr>
        <w:t>）</w:t>
      </w:r>
      <w:r>
        <w:rPr>
          <w:rFonts w:ascii="宋体" w:hAnsi="宋体" w:cs="宋体" w:eastAsia="宋体" w:hint="ascii"/>
          <w:sz w:val="21"/>
        </w:rPr>
        <w:t>、英国医学研究理事会</w:t>
      </w:r>
      <w:r>
        <w:rPr>
          <w:rFonts w:ascii="宋体" w:hAnsi="宋体" w:cs="宋体" w:eastAsia="宋体" w:hint="ascii"/>
          <w:sz w:val="21"/>
          <w:spacing w:val="3"/>
        </w:rPr>
        <w:t>（</w:t>
      </w:r>
      <w:r>
        <w:rPr>
          <w:rFonts w:ascii="Times New Roman" w:hAnsi="Times New Roman" w:cs="Times New Roman" w:eastAsia="Times New Roman" w:hint="ascii"/>
          <w:sz w:val="21"/>
        </w:rPr>
        <w:t>MRC</w:t>
      </w:r>
      <w:r>
        <w:rPr>
          <w:rFonts w:ascii="宋体" w:hAnsi="宋体" w:cs="宋体" w:eastAsia="宋体" w:hint="ascii"/>
          <w:sz w:val="21"/>
          <w:spacing w:val="-50"/>
        </w:rPr>
        <w:t>）</w:t>
      </w:r>
      <w:r>
        <w:rPr>
          <w:rFonts w:ascii="宋体" w:hAnsi="宋体" w:cs="宋体" w:eastAsia="宋体" w:hint="ascii"/>
          <w:sz w:val="21"/>
        </w:rPr>
        <w:t>、英国经济与社会研究理事会</w:t>
      </w:r>
      <w:r>
        <w:rPr>
          <w:rFonts w:ascii="宋体" w:hAnsi="宋体" w:cs="宋体" w:eastAsia="宋体" w:hint="ascii"/>
          <w:sz w:val="21"/>
          <w:spacing w:val="3"/>
        </w:rPr>
        <w:t>（</w:t>
      </w:r>
      <w:r>
        <w:rPr>
          <w:rFonts w:ascii="Times New Roman" w:hAnsi="Times New Roman" w:cs="Times New Roman" w:eastAsia="Times New Roman" w:hint="ascii"/>
          <w:sz w:val="21"/>
        </w:rPr>
        <w:t>ESRC</w:t>
      </w:r>
      <w:r>
        <w:rPr>
          <w:rFonts w:ascii="宋体" w:hAnsi="宋体" w:cs="宋体" w:eastAsia="宋体" w:hint="ascii"/>
          <w:sz w:val="21"/>
        </w:rPr>
        <w:t>）和英国科学与技术设施理事会（</w:t>
      </w:r>
      <w:r>
        <w:rPr>
          <w:rFonts w:ascii="Times New Roman" w:hAnsi="Times New Roman" w:cs="Times New Roman" w:eastAsia="Times New Roman" w:hint="ascii"/>
          <w:sz w:val="21"/>
        </w:rPr>
        <w:t>STFC</w:t>
      </w:r>
      <w:r>
        <w:rPr>
          <w:rFonts w:ascii="宋体" w:hAnsi="宋体" w:cs="宋体" w:eastAsia="宋体" w:hint="ascii"/>
          <w:sz w:val="21"/>
        </w:rPr>
        <w:t>）合作，根据双方的合作基础和共同感兴趣的领域，支持两国科学家</w:t>
      </w:r>
      <w:r>
        <w:rPr>
          <w:rFonts w:ascii="宋体" w:hAnsi="宋体" w:cs="宋体" w:eastAsia="宋体" w:hint="ascii"/>
          <w:sz w:val="21"/>
          <w:spacing w:val="3"/>
        </w:rPr>
        <w:t>在相关领</w:t>
      </w:r>
      <w:r>
        <w:rPr>
          <w:rFonts w:ascii="宋体" w:hAnsi="宋体" w:cs="宋体" w:eastAsia="宋体" w:hint="ascii"/>
          <w:sz w:val="21"/>
        </w:rPr>
        <w:t>域</w:t>
      </w:r>
      <w:r>
        <w:rPr>
          <w:rFonts w:ascii="宋体" w:hAnsi="宋体" w:cs="宋体" w:eastAsia="宋体" w:hint="ascii"/>
          <w:sz w:val="21"/>
          <w:spacing w:val="3"/>
        </w:rPr>
        <w:t>开展实质</w:t>
      </w:r>
      <w:r>
        <w:rPr>
          <w:rFonts w:ascii="宋体" w:hAnsi="宋体" w:cs="宋体" w:eastAsia="宋体" w:hint="ascii"/>
          <w:sz w:val="21"/>
        </w:rPr>
        <w:t>性</w:t>
      </w:r>
      <w:r>
        <w:rPr>
          <w:rFonts w:ascii="宋体" w:hAnsi="宋体" w:cs="宋体" w:eastAsia="宋体" w:hint="ascii"/>
          <w:sz w:val="21"/>
          <w:spacing w:val="3"/>
        </w:rPr>
        <w:t>合作研究</w:t>
      </w:r>
      <w:r>
        <w:rPr>
          <w:rFonts w:ascii="宋体" w:hAnsi="宋体" w:cs="宋体" w:eastAsia="宋体" w:hint="ascii"/>
          <w:sz w:val="21"/>
        </w:rPr>
        <w:t>。</w:t>
      </w:r>
      <w:r>
        <w:rPr>
          <w:rFonts w:ascii="宋体" w:hAnsi="宋体" w:cs="宋体" w:eastAsia="宋体" w:hint="ascii"/>
          <w:sz w:val="21"/>
          <w:spacing w:val="3"/>
        </w:rPr>
        <w:t>此类项目</w:t>
      </w:r>
      <w:r>
        <w:rPr>
          <w:rFonts w:ascii="宋体" w:hAnsi="宋体" w:cs="宋体" w:eastAsia="宋体" w:hint="ascii"/>
          <w:sz w:val="21"/>
        </w:rPr>
        <w:t>经</w:t>
      </w:r>
      <w:r>
        <w:rPr>
          <w:rFonts w:ascii="宋体" w:hAnsi="宋体" w:cs="宋体" w:eastAsia="宋体" w:hint="ascii"/>
          <w:sz w:val="21"/>
          <w:spacing w:val="3"/>
        </w:rPr>
        <w:t>过双方协</w:t>
      </w:r>
      <w:r>
        <w:rPr>
          <w:rFonts w:ascii="宋体" w:hAnsi="宋体" w:cs="宋体" w:eastAsia="宋体" w:hint="ascii"/>
          <w:sz w:val="21"/>
        </w:rPr>
        <w:t>商</w:t>
      </w:r>
      <w:r>
        <w:rPr>
          <w:rFonts w:ascii="宋体" w:hAnsi="宋体" w:cs="宋体" w:eastAsia="宋体" w:hint="ascii"/>
          <w:sz w:val="21"/>
          <w:spacing w:val="3"/>
        </w:rPr>
        <w:t>共同发布</w:t>
      </w:r>
      <w:r>
        <w:rPr>
          <w:rFonts w:ascii="宋体" w:hAnsi="宋体" w:cs="宋体" w:eastAsia="宋体" w:hint="ascii"/>
          <w:sz w:val="21"/>
        </w:rPr>
        <w:t>《</w:t>
      </w:r>
      <w:r>
        <w:rPr>
          <w:rFonts w:ascii="宋体" w:hAnsi="宋体" w:cs="宋体" w:eastAsia="宋体" w:hint="ascii"/>
          <w:sz w:val="21"/>
          <w:spacing w:val="3"/>
        </w:rPr>
        <w:t>组织间国际</w:t>
      </w:r>
      <w:r>
        <w:rPr>
          <w:rFonts w:ascii="宋体" w:hAnsi="宋体" w:cs="宋体" w:eastAsia="宋体" w:hint="ascii"/>
          <w:sz w:val="21"/>
          <w:spacing w:val="4"/>
        </w:rPr>
        <w:t>（</w:t>
      </w:r>
      <w:r>
        <w:rPr>
          <w:rFonts w:ascii="宋体" w:hAnsi="宋体" w:cs="宋体" w:eastAsia="宋体" w:hint="ascii"/>
          <w:sz w:val="21"/>
        </w:rPr>
        <w:t>地区）合作研究与交流项目指南</w:t>
      </w:r>
      <w:r>
        <w:rPr>
          <w:rFonts w:ascii="宋体" w:hAnsi="宋体" w:cs="宋体" w:eastAsia="宋体" w:hint="ascii"/>
          <w:sz w:val="21"/>
          <w:spacing w:val="-52"/>
        </w:rPr>
        <w:t>》</w:t>
      </w:r>
      <w:r>
        <w:rPr>
          <w:rFonts w:ascii="宋体" w:hAnsi="宋体" w:cs="宋体" w:eastAsia="宋体" w:hint="ascii"/>
          <w:sz w:val="21"/>
        </w:rPr>
        <w:t>，由两国研究人员分别向自然科学基金委和</w:t>
      </w:r>
      <w:r>
        <w:rPr>
          <w:rFonts w:ascii="宋体" w:hAnsi="宋体" w:cs="宋体" w:eastAsia="宋体" w:hint="ascii"/>
          <w:sz w:val="21"/>
          <w:spacing w:val="-14"/>
        </w:rPr>
        <w:t xml:space="preserve"> </w:t>
      </w:r>
      <w:r>
        <w:rPr>
          <w:rFonts w:ascii="Times New Roman" w:hAnsi="Times New Roman" w:cs="Times New Roman" w:eastAsia="Times New Roman" w:hint="ascii"/>
          <w:sz w:val="21"/>
        </w:rPr>
        <w:t>RCUK</w:t>
      </w:r>
      <w:r>
        <w:rPr>
          <w:rFonts w:ascii="Times New Roman" w:hAnsi="Times New Roman" w:cs="Times New Roman" w:eastAsia="Times New Roman" w:hint="ascii"/>
          <w:sz w:val="21"/>
          <w:spacing w:val="-15"/>
        </w:rPr>
        <w:t xml:space="preserve"> </w:t>
      </w:r>
      <w:r>
        <w:rPr>
          <w:rFonts w:ascii="宋体" w:hAnsi="宋体" w:cs="宋体" w:eastAsia="宋体" w:hint="ascii"/>
          <w:sz w:val="21"/>
        </w:rPr>
        <w:t xml:space="preserve">提交申请，自然科学基金委与 </w:t>
      </w:r>
      <w:r>
        <w:rPr>
          <w:rFonts w:ascii="Times New Roman" w:hAnsi="Times New Roman" w:cs="Times New Roman" w:eastAsia="Times New Roman" w:hint="ascii"/>
          <w:sz w:val="21"/>
        </w:rPr>
        <w:t xml:space="preserve">RCUK </w:t>
      </w:r>
      <w:r>
        <w:rPr>
          <w:rFonts w:ascii="宋体" w:hAnsi="宋体" w:cs="宋体" w:eastAsia="宋体" w:hint="ascii"/>
          <w:sz w:val="21"/>
        </w:rPr>
        <w:t>根据商定的评审方式和程序进行评审并共同做出资助决定。</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w:t>
      </w:r>
    </w:p>
    <w:p>
      <w:pPr>
        <w:autoSpaceDE w:val="0"/>
        <w:autoSpaceDN w:val="0"/>
        <w:jc w:val="left"/>
        <w:spacing w:before="44"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5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49"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3"/>
        </w:rPr>
        <w:t xml:space="preserve"> </w:t>
      </w:r>
      <w:r>
        <w:rPr>
          <w:rFonts w:ascii="Times New Roman" w:hAnsi="Times New Roman" w:cs="Times New Roman" w:eastAsia="Times New Roman" w:hint="ascii"/>
          <w:sz w:val="21"/>
        </w:rPr>
        <w:t xml:space="preserve">RCUK </w:t>
      </w:r>
      <w:r>
        <w:rPr>
          <w:rFonts w:ascii="宋体" w:hAnsi="宋体" w:cs="宋体" w:eastAsia="宋体" w:hint="ascii"/>
          <w:sz w:val="21"/>
        </w:rPr>
        <w:t>下属的英国工程与自然科学研究理事会（</w:t>
      </w:r>
      <w:r>
        <w:rPr>
          <w:rFonts w:ascii="Times New Roman" w:hAnsi="Times New Roman" w:cs="Times New Roman" w:eastAsia="Times New Roman" w:hint="ascii"/>
          <w:sz w:val="21"/>
        </w:rPr>
        <w:t>EPSRC</w:t>
      </w:r>
      <w:r>
        <w:rPr>
          <w:rFonts w:ascii="宋体" w:hAnsi="宋体" w:cs="宋体" w:eastAsia="宋体" w:hint="ascii"/>
          <w:sz w:val="21"/>
          <w:spacing w:val="-52"/>
        </w:rPr>
        <w:t>）</w:t>
      </w:r>
      <w:r>
        <w:rPr>
          <w:rFonts w:ascii="宋体" w:hAnsi="宋体" w:cs="宋体" w:eastAsia="宋体" w:hint="ascii"/>
          <w:sz w:val="21"/>
        </w:rPr>
        <w:t>、英</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4"/>
        </w:rPr>
        <w:t>国生物</w:t>
      </w:r>
      <w:r>
        <w:rPr>
          <w:rFonts w:ascii="宋体" w:hAnsi="宋体" w:cs="宋体" w:eastAsia="宋体" w:hint="ascii"/>
          <w:sz w:val="21"/>
          <w:spacing w:val="3"/>
        </w:rPr>
        <w:t>技术</w:t>
      </w:r>
      <w:r>
        <w:rPr>
          <w:rFonts w:ascii="宋体" w:hAnsi="宋体" w:cs="宋体" w:eastAsia="宋体" w:hint="ascii"/>
          <w:sz w:val="21"/>
          <w:spacing w:val="4"/>
        </w:rPr>
        <w:t>与生物</w:t>
      </w:r>
      <w:r>
        <w:rPr>
          <w:rFonts w:ascii="宋体" w:hAnsi="宋体" w:cs="宋体" w:eastAsia="宋体" w:hint="ascii"/>
          <w:sz w:val="21"/>
          <w:spacing w:val="3"/>
        </w:rPr>
        <w:t>科学</w:t>
      </w:r>
      <w:r>
        <w:rPr>
          <w:rFonts w:ascii="宋体" w:hAnsi="宋体" w:cs="宋体" w:eastAsia="宋体" w:hint="ascii"/>
          <w:sz w:val="21"/>
          <w:spacing w:val="4"/>
        </w:rPr>
        <w:t>研究理</w:t>
      </w:r>
      <w:r>
        <w:rPr>
          <w:rFonts w:ascii="宋体" w:hAnsi="宋体" w:cs="宋体" w:eastAsia="宋体" w:hint="ascii"/>
          <w:sz w:val="21"/>
          <w:spacing w:val="3"/>
        </w:rPr>
        <w:t>事会</w:t>
      </w:r>
      <w:r>
        <w:rPr>
          <w:rFonts w:ascii="宋体" w:hAnsi="宋体" w:cs="宋体" w:eastAsia="宋体" w:hint="ascii"/>
          <w:sz w:val="21"/>
          <w:spacing w:val="4"/>
        </w:rPr>
        <w:t>（</w:t>
      </w:r>
      <w:r>
        <w:rPr>
          <w:rFonts w:ascii="Times New Roman" w:hAnsi="Times New Roman" w:cs="Times New Roman" w:eastAsia="Times New Roman" w:hint="ascii"/>
          <w:sz w:val="21"/>
        </w:rPr>
        <w:t>BBSRC</w:t>
      </w:r>
      <w:r>
        <w:rPr>
          <w:rFonts w:ascii="宋体" w:hAnsi="宋体" w:cs="宋体" w:eastAsia="宋体" w:hint="ascii"/>
          <w:sz w:val="21"/>
          <w:spacing w:val="-50"/>
        </w:rPr>
        <w:t>）</w:t>
      </w:r>
      <w:r>
        <w:rPr>
          <w:rFonts w:ascii="宋体" w:hAnsi="宋体" w:cs="宋体" w:eastAsia="宋体" w:hint="ascii"/>
          <w:sz w:val="21"/>
          <w:spacing w:val="4"/>
        </w:rPr>
        <w:t>、英国</w:t>
      </w:r>
      <w:r>
        <w:rPr>
          <w:rFonts w:ascii="宋体" w:hAnsi="宋体" w:cs="宋体" w:eastAsia="宋体" w:hint="ascii"/>
          <w:sz w:val="21"/>
          <w:spacing w:val="3"/>
        </w:rPr>
        <w:t>自然</w:t>
      </w:r>
      <w:r>
        <w:rPr>
          <w:rFonts w:ascii="宋体" w:hAnsi="宋体" w:cs="宋体" w:eastAsia="宋体" w:hint="ascii"/>
          <w:sz w:val="21"/>
          <w:spacing w:val="4"/>
        </w:rPr>
        <w:t>环境研</w:t>
      </w:r>
      <w:r>
        <w:rPr>
          <w:rFonts w:ascii="宋体" w:hAnsi="宋体" w:cs="宋体" w:eastAsia="宋体" w:hint="ascii"/>
          <w:sz w:val="21"/>
          <w:spacing w:val="3"/>
        </w:rPr>
        <w:t>究理</w:t>
      </w:r>
      <w:r>
        <w:rPr>
          <w:rFonts w:ascii="宋体" w:hAnsi="宋体" w:cs="宋体" w:eastAsia="宋体" w:hint="ascii"/>
          <w:sz w:val="21"/>
          <w:spacing w:val="4"/>
        </w:rPr>
        <w:t>事会（</w:t>
      </w:r>
      <w:r>
        <w:rPr>
          <w:rFonts w:ascii="Times New Roman" w:hAnsi="Times New Roman" w:cs="Times New Roman" w:eastAsia="Times New Roman" w:hint="ascii"/>
          <w:sz w:val="21"/>
        </w:rPr>
        <w:t>NERC</w:t>
      </w:r>
      <w:r>
        <w:rPr>
          <w:rFonts w:ascii="宋体" w:hAnsi="宋体" w:cs="宋体" w:eastAsia="宋体" w:hint="ascii"/>
          <w:sz w:val="21"/>
          <w:spacing w:val="-50"/>
        </w:rPr>
        <w:t>）</w:t>
      </w:r>
      <w:r>
        <w:rPr>
          <w:rFonts w:ascii="宋体" w:hAnsi="宋体" w:cs="宋体" w:eastAsia="宋体" w:hint="ascii"/>
          <w:sz w:val="21"/>
        </w:rPr>
        <w:t>、英国医学研究理事会（</w:t>
      </w:r>
      <w:r>
        <w:rPr>
          <w:rFonts w:ascii="Times New Roman" w:hAnsi="Times New Roman" w:cs="Times New Roman" w:eastAsia="Times New Roman" w:hint="ascii"/>
          <w:sz w:val="21"/>
        </w:rPr>
        <w:t>MRC</w:t>
      </w:r>
      <w:r>
        <w:rPr>
          <w:rFonts w:ascii="宋体" w:hAnsi="宋体" w:cs="宋体" w:eastAsia="宋体" w:hint="ascii"/>
          <w:sz w:val="21"/>
          <w:spacing w:val="-51"/>
        </w:rPr>
        <w:t>）</w:t>
      </w:r>
      <w:r>
        <w:rPr>
          <w:rFonts w:ascii="宋体" w:hAnsi="宋体" w:cs="宋体" w:eastAsia="宋体" w:hint="ascii"/>
          <w:sz w:val="21"/>
        </w:rPr>
        <w:t>、英国经济与社会研究理事会（</w:t>
      </w:r>
      <w:r>
        <w:rPr>
          <w:rFonts w:ascii="Times New Roman" w:hAnsi="Times New Roman" w:cs="Times New Roman" w:eastAsia="Times New Roman" w:hint="ascii"/>
          <w:sz w:val="21"/>
        </w:rPr>
        <w:t>ESRC</w:t>
      </w:r>
      <w:r>
        <w:rPr>
          <w:rFonts w:ascii="宋体" w:hAnsi="宋体" w:cs="宋体" w:eastAsia="宋体" w:hint="ascii"/>
          <w:sz w:val="21"/>
        </w:rPr>
        <w:t>）和英国科学与技</w:t>
      </w:r>
      <w:r>
        <w:rPr>
          <w:rFonts w:ascii="宋体" w:hAnsi="宋体" w:cs="宋体" w:eastAsia="宋体" w:hint="ascii"/>
          <w:sz w:val="21"/>
          <w:spacing w:val="5"/>
        </w:rPr>
        <w:t>术设施理事会（</w:t>
      </w:r>
      <w:r>
        <w:rPr>
          <w:rFonts w:ascii="Times New Roman" w:hAnsi="Times New Roman" w:cs="Times New Roman" w:eastAsia="Times New Roman" w:hint="ascii"/>
          <w:sz w:val="21"/>
        </w:rPr>
        <w:t>STF</w:t>
      </w:r>
      <w:r>
        <w:rPr>
          <w:rFonts w:ascii="Times New Roman" w:hAnsi="Times New Roman" w:cs="Times New Roman" w:eastAsia="Times New Roman" w:hint="ascii"/>
          <w:sz w:val="21"/>
          <w:spacing w:val="8"/>
        </w:rPr>
        <w:t>C</w:t>
      </w:r>
      <w:r>
        <w:rPr>
          <w:rFonts w:ascii="宋体" w:hAnsi="宋体" w:cs="宋体" w:eastAsia="宋体" w:hint="ascii"/>
          <w:sz w:val="21"/>
          <w:spacing w:val="5"/>
        </w:rPr>
        <w:t>）合作，重点资助由中英两国研究人员共同举办的小型双边</w:t>
      </w:r>
      <w:r>
        <w:rPr>
          <w:rFonts w:ascii="宋体" w:hAnsi="宋体" w:cs="宋体" w:eastAsia="宋体" w:hint="ascii"/>
          <w:sz w:val="21"/>
        </w:rPr>
        <w:t>研讨会。</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英国文化协会（</w:t>
      </w:r>
      <w:r>
        <w:rPr>
          <w:rFonts w:ascii="Times New Roman" w:hAnsi="Times New Roman" w:cs="Times New Roman" w:eastAsia="Times New Roman" w:hint="ascii"/>
          <w:b w:val="1"/>
          <w:sz w:val="21"/>
        </w:rPr>
        <w:t>BC</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学术会议项目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根据自然科学基金委与</w:t>
      </w:r>
      <w:r>
        <w:rPr>
          <w:rFonts w:ascii="宋体" w:hAnsi="宋体" w:cs="宋体" w:eastAsia="宋体" w:hint="ascii"/>
          <w:sz w:val="21"/>
          <w:spacing w:val="-17"/>
        </w:rPr>
        <w:t xml:space="preserve"> </w:t>
      </w:r>
      <w:r>
        <w:rPr>
          <w:rFonts w:ascii="Times New Roman" w:hAnsi="Times New Roman" w:cs="Times New Roman" w:eastAsia="Times New Roman" w:hint="ascii"/>
          <w:sz w:val="21"/>
        </w:rPr>
        <w:t>BC</w:t>
      </w:r>
      <w:r>
        <w:rPr>
          <w:rFonts w:ascii="Times New Roman" w:hAnsi="Times New Roman" w:cs="Times New Roman" w:eastAsia="Times New Roman" w:hint="ascii"/>
          <w:sz w:val="21"/>
          <w:spacing w:val="-18"/>
        </w:rPr>
        <w:t xml:space="preserve"> </w:t>
      </w:r>
      <w:r>
        <w:rPr>
          <w:rFonts w:ascii="宋体" w:hAnsi="宋体" w:cs="宋体" w:eastAsia="宋体" w:hint="ascii"/>
          <w:sz w:val="21"/>
        </w:rPr>
        <w:t>的科技合作谅解备忘录，双方每年共同资助中英两国青</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年研究人员召开小型双边研讨会，以建立未来的合作联系，提升青年研究人员的职业发展机会。</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德国</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德国科学基金会（</w:t>
      </w:r>
      <w:r>
        <w:rPr>
          <w:rFonts w:ascii="Times New Roman" w:hAnsi="Times New Roman" w:cs="Times New Roman" w:eastAsia="Times New Roman" w:hint="ascii"/>
          <w:b w:val="1"/>
          <w:sz w:val="21"/>
        </w:rPr>
        <w:t>DFG</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both"/>
        <w:spacing w:before="11" w:after="0" w:lineRule="exact" w:line="316"/>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 xml:space="preserve">根据自然科学基金委与 </w:t>
      </w:r>
      <w:r>
        <w:rPr>
          <w:rFonts w:ascii="Times New Roman" w:hAnsi="Times New Roman" w:cs="Times New Roman" w:eastAsia="Times New Roman" w:hint="ascii"/>
          <w:sz w:val="21"/>
        </w:rPr>
        <w:t xml:space="preserve">DFG </w:t>
      </w:r>
      <w:r>
        <w:rPr>
          <w:rFonts w:ascii="宋体" w:hAnsi="宋体" w:cs="宋体" w:eastAsia="宋体" w:hint="ascii"/>
          <w:sz w:val="21"/>
        </w:rPr>
        <w:t>签订的合作协议，双方在共同感兴趣的领域鼓励两国研究人员开展实质性合作研究。</w:t>
      </w:r>
    </w:p>
    <w:p>
      <w:pPr>
        <w:autoSpaceDE w:val="0"/>
        <w:autoSpaceDN w:val="0"/>
        <w:jc w:val="left"/>
        <w:spacing w:before="44" w:after="0" w:lineRule="auto" w:line="240"/>
        <w:ind w:right="0" w:left="966" w:firstLine="420"/>
        <w:snapToGrid w:val="0"/>
        <w:textAlignment w:val="auto"/>
        <w:tabs>
          <w:tab w:val="left" w:leader="none" w:pos="1921"/>
        </w:tabs>
        <w:numPr>
          <w:ilvl w:val="0"/>
          <w:numId w:val="302"/>
        </w:numPr>
        <w:rPr>
          <w:rFonts w:ascii="Times New Roman" w:hAnsi="Times New Roman" w:cs="Times New Roman" w:eastAsia="Times New Roman" w:hint="ascii"/>
          <w:sz w:val="21"/>
          <w:spacing w:val="1"/>
        </w:rPr>
      </w:pPr>
      <w:r>
        <w:rPr>
          <w:rFonts w:ascii="宋体" w:hAnsi="宋体" w:cs="宋体" w:eastAsia="宋体" w:hint="ascii"/>
          <w:sz w:val="21"/>
          <w:spacing w:val="5"/>
        </w:rPr>
        <w:t>年度有关申请事宜请关注自然科学基金委网站“通知通告”栏目中发布</w:t>
      </w:r>
      <w:r>
        <w:rPr>
          <w:rFonts w:ascii="宋体" w:hAnsi="宋体" w:cs="宋体" w:eastAsia="宋体" w:hint="ascii"/>
          <w:sz w:val="21"/>
        </w:rPr>
        <w:t>的</w:t>
      </w:r>
    </w:p>
    <w:p>
      <w:pPr>
        <w:autoSpaceDE w:val="0"/>
        <w:autoSpaceDN w:val="0"/>
        <w:jc w:val="right"/>
        <w:spacing w:before="18" w:after="0" w:lineRule="exact" w:line="316"/>
        <w:ind w:right="963" w:left="861" w:firstLine="0"/>
        <w:snapToGrid w:val="0"/>
        <w:textAlignment w:val="auto"/>
        <w:tabs/>
        <w:rPr>
          <w:rFonts w:ascii="宋体" w:hAnsi="宋体" w:cs="宋体" w:eastAsia="宋体" w:hint="ascii"/>
          <w:sz w:val="21"/>
        </w:rPr>
      </w:pPr>
      <w:r>
        <w:rPr>
          <w:rFonts w:ascii="宋体" w:hAnsi="宋体" w:cs="宋体" w:eastAsia="宋体" w:hint="ascii"/>
          <w:sz w:val="21"/>
        </w:rPr>
        <w:t>《组织间国际（地区）合作研究与交流项目指南</w:t>
      </w:r>
      <w:r>
        <w:rPr>
          <w:rFonts w:ascii="宋体" w:hAnsi="宋体" w:cs="宋体" w:eastAsia="宋体" w:hint="ascii"/>
          <w:sz w:val="21"/>
          <w:spacing w:val="-52"/>
        </w:rPr>
        <w:t>》</w:t>
      </w:r>
      <w:r>
        <w:rPr>
          <w:rFonts w:ascii="宋体" w:hAnsi="宋体" w:cs="宋体" w:eastAsia="宋体" w:hint="ascii"/>
          <w:sz w:val="21"/>
        </w:rPr>
        <w:t>。两国研究人员分别向自然科学基金委</w:t>
      </w:r>
      <w:r>
        <w:rPr>
          <w:rFonts w:ascii="宋体" w:hAnsi="宋体" w:cs="宋体" w:eastAsia="宋体" w:hint="ascii"/>
          <w:sz w:val="21"/>
          <w:spacing w:val="27"/>
        </w:rPr>
        <w:t>和</w:t>
      </w:r>
      <w:r>
        <w:rPr>
          <w:rFonts w:ascii="Times New Roman" w:hAnsi="Times New Roman" w:cs="Times New Roman" w:eastAsia="Times New Roman" w:hint="ascii"/>
          <w:sz w:val="21"/>
        </w:rPr>
        <w:t>DF</w:t>
      </w:r>
      <w:r>
        <w:rPr>
          <w:rFonts w:ascii="Times New Roman" w:hAnsi="Times New Roman" w:cs="Times New Roman" w:eastAsia="Times New Roman" w:hint="ascii"/>
          <w:sz w:val="21"/>
          <w:spacing w:val="52"/>
        </w:rPr>
        <w:t>G</w:t>
      </w:r>
      <w:r>
        <w:rPr>
          <w:rFonts w:ascii="宋体" w:hAnsi="宋体" w:cs="宋体" w:eastAsia="宋体" w:hint="ascii"/>
          <w:sz w:val="21"/>
        </w:rPr>
        <w:t>提交申请，自然科学基金委</w:t>
      </w:r>
      <w:r>
        <w:rPr>
          <w:rFonts w:ascii="宋体" w:hAnsi="宋体" w:cs="宋体" w:eastAsia="宋体" w:hint="ascii"/>
          <w:sz w:val="21"/>
          <w:spacing w:val="27"/>
        </w:rPr>
        <w:t>与</w:t>
      </w:r>
      <w:r>
        <w:rPr>
          <w:rFonts w:ascii="Times New Roman" w:hAnsi="Times New Roman" w:cs="Times New Roman" w:eastAsia="Times New Roman" w:hint="ascii"/>
          <w:sz w:val="21"/>
        </w:rPr>
        <w:t>DF</w:t>
      </w:r>
      <w:r>
        <w:rPr>
          <w:rFonts w:ascii="Times New Roman" w:hAnsi="Times New Roman" w:cs="Times New Roman" w:eastAsia="Times New Roman" w:hint="ascii"/>
          <w:sz w:val="21"/>
          <w:spacing w:val="52"/>
        </w:rPr>
        <w:t>G</w:t>
      </w:r>
      <w:r>
        <w:rPr>
          <w:rFonts w:ascii="宋体" w:hAnsi="宋体" w:cs="宋体" w:eastAsia="宋体" w:hint="ascii"/>
          <w:sz w:val="21"/>
        </w:rPr>
        <w:t>根据商定的评审方式和程序进行评审并共同</w:t>
      </w:r>
    </w:p>
    <w:p>
      <w:pPr>
        <w:autoSpaceDE w:val="0"/>
        <w:autoSpaceDN w:val="0"/>
        <w:jc w:val="left"/>
        <w:spacing w:before="4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做出资助决定。</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法国</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法国国家科学研究中心（</w:t>
      </w:r>
      <w:r>
        <w:rPr>
          <w:rFonts w:ascii="Times New Roman" w:hAnsi="Times New Roman" w:cs="Times New Roman" w:eastAsia="Times New Roman" w:hint="ascii"/>
          <w:b w:val="1"/>
          <w:sz w:val="21"/>
        </w:rPr>
        <w:t>CNRS</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53"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5"/>
        </w:rPr>
        <w:t>自然科学</w:t>
      </w:r>
      <w:r>
        <w:rPr>
          <w:rFonts w:ascii="宋体" w:hAnsi="宋体" w:cs="宋体" w:eastAsia="宋体" w:hint="ascii"/>
          <w:sz w:val="21"/>
          <w:spacing w:val="4"/>
        </w:rPr>
        <w:t>基</w:t>
      </w:r>
      <w:r>
        <w:rPr>
          <w:rFonts w:ascii="宋体" w:hAnsi="宋体" w:cs="宋体" w:eastAsia="宋体" w:hint="ascii"/>
          <w:sz w:val="21"/>
          <w:spacing w:val="5"/>
        </w:rPr>
        <w:t>金委</w:t>
      </w:r>
      <w:r>
        <w:rPr>
          <w:rFonts w:ascii="宋体" w:hAnsi="宋体" w:cs="宋体" w:eastAsia="宋体" w:hint="ascii"/>
          <w:sz w:val="21"/>
        </w:rPr>
        <w:t>与</w:t>
      </w:r>
      <w:r>
        <w:rPr>
          <w:rFonts w:ascii="宋体" w:hAnsi="宋体" w:cs="宋体" w:eastAsia="宋体" w:hint="ascii"/>
          <w:sz w:val="21"/>
          <w:spacing w:val="5"/>
        </w:rPr>
        <w:t xml:space="preserve"> </w:t>
      </w:r>
      <w:r>
        <w:rPr>
          <w:rFonts w:ascii="Times New Roman" w:hAnsi="Times New Roman" w:cs="Times New Roman" w:eastAsia="Times New Roman" w:hint="ascii"/>
          <w:sz w:val="21"/>
        </w:rPr>
        <w:t>CNRS</w:t>
      </w:r>
      <w:r>
        <w:rPr>
          <w:rFonts w:ascii="Times New Roman" w:hAnsi="Times New Roman" w:cs="Times New Roman" w:eastAsia="Times New Roman" w:hint="ascii"/>
          <w:sz w:val="21"/>
          <w:spacing w:val="4"/>
        </w:rPr>
        <w:t xml:space="preserve"> </w:t>
      </w:r>
      <w:r>
        <w:rPr>
          <w:rFonts w:ascii="宋体" w:hAnsi="宋体" w:cs="宋体" w:eastAsia="宋体" w:hint="ascii"/>
          <w:sz w:val="21"/>
          <w:spacing w:val="5"/>
        </w:rPr>
        <w:t>共同资助中法研究</w:t>
      </w:r>
      <w:r>
        <w:rPr>
          <w:rFonts w:ascii="宋体" w:hAnsi="宋体" w:cs="宋体" w:eastAsia="宋体" w:hint="ascii"/>
          <w:sz w:val="21"/>
          <w:spacing w:val="4"/>
        </w:rPr>
        <w:t>人</w:t>
      </w:r>
      <w:r>
        <w:rPr>
          <w:rFonts w:ascii="宋体" w:hAnsi="宋体" w:cs="宋体" w:eastAsia="宋体" w:hint="ascii"/>
          <w:sz w:val="21"/>
          <w:spacing w:val="5"/>
        </w:rPr>
        <w:t>员间的交</w:t>
      </w:r>
      <w:r>
        <w:rPr>
          <w:rFonts w:ascii="宋体" w:hAnsi="宋体" w:cs="宋体" w:eastAsia="宋体" w:hint="ascii"/>
          <w:sz w:val="21"/>
          <w:spacing w:val="4"/>
        </w:rPr>
        <w:t>流</w:t>
      </w:r>
      <w:r>
        <w:rPr>
          <w:rFonts w:ascii="宋体" w:hAnsi="宋体" w:cs="宋体" w:eastAsia="宋体" w:hint="ascii"/>
          <w:sz w:val="21"/>
          <w:spacing w:val="5"/>
        </w:rPr>
        <w:t>互访，资</w:t>
      </w:r>
      <w:r>
        <w:rPr>
          <w:rFonts w:ascii="宋体" w:hAnsi="宋体" w:cs="宋体" w:eastAsia="宋体" w:hint="ascii"/>
          <w:sz w:val="21"/>
          <w:spacing w:val="4"/>
        </w:rPr>
        <w:t>助</w:t>
      </w:r>
      <w:r>
        <w:rPr>
          <w:rFonts w:ascii="宋体" w:hAnsi="宋体" w:cs="宋体" w:eastAsia="宋体" w:hint="ascii"/>
          <w:sz w:val="21"/>
          <w:spacing w:val="5"/>
        </w:rPr>
        <w:t>期限</w:t>
      </w:r>
      <w:r>
        <w:rPr>
          <w:rFonts w:ascii="宋体" w:hAnsi="宋体" w:cs="宋体" w:eastAsia="宋体" w:hint="ascii"/>
          <w:sz w:val="21"/>
        </w:rPr>
        <w:t>为</w:t>
      </w:r>
      <w:r>
        <w:rPr>
          <w:rFonts w:ascii="宋体" w:hAnsi="宋体" w:cs="宋体" w:eastAsia="宋体" w:hint="ascii"/>
          <w:sz w:val="21"/>
          <w:spacing w:val="5"/>
        </w:rPr>
        <w:t xml:space="preserve"> </w:t>
      </w:r>
      <w:r>
        <w:rPr>
          <w:rFonts w:ascii="Times New Roman" w:hAnsi="Times New Roman" w:cs="Times New Roman" w:eastAsia="Times New Roman" w:hint="ascii"/>
          <w:sz w:val="21"/>
        </w:rPr>
        <w:t>3</w:t>
      </w:r>
    </w:p>
    <w:p>
      <w:pPr>
        <w:autoSpaceDE w:val="0"/>
        <w:autoSpaceDN w:val="0"/>
        <w:jc w:val="left"/>
        <w:spacing w:before="501"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1" w:after="0" w:lineRule="exact" w:line="316"/>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年。自然</w:t>
      </w:r>
      <w:r>
        <w:rPr>
          <w:rFonts w:ascii="宋体" w:hAnsi="宋体" w:cs="宋体" w:eastAsia="宋体" w:hint="ascii"/>
          <w:sz w:val="21"/>
        </w:rPr>
        <w:t xml:space="preserve">科学基金委对每个项目资助最多 </w:t>
      </w:r>
      <w:r>
        <w:rPr>
          <w:rFonts w:ascii="Times New Roman" w:hAnsi="Times New Roman" w:cs="Times New Roman" w:eastAsia="Times New Roman" w:hint="ascii"/>
          <w:sz w:val="21"/>
        </w:rPr>
        <w:t xml:space="preserve">15 </w:t>
      </w:r>
      <w:r>
        <w:rPr>
          <w:rFonts w:ascii="宋体" w:hAnsi="宋体" w:cs="宋体" w:eastAsia="宋体" w:hint="ascii"/>
          <w:sz w:val="21"/>
        </w:rPr>
        <w:t>万元人民币，用于中国研究人员访法的国</w:t>
      </w:r>
      <w:r>
        <w:rPr>
          <w:rFonts w:ascii="宋体" w:hAnsi="宋体" w:cs="宋体" w:eastAsia="宋体" w:hint="ascii"/>
          <w:sz w:val="21"/>
          <w:spacing w:val="-1"/>
        </w:rPr>
        <w:t>际旅费和</w:t>
      </w:r>
      <w:r>
        <w:rPr>
          <w:rFonts w:ascii="宋体" w:hAnsi="宋体" w:cs="宋体" w:eastAsia="宋体" w:hint="ascii"/>
          <w:sz w:val="21"/>
        </w:rPr>
        <w:t>法国研究人员在华的生活费；</w:t>
      </w:r>
      <w:r>
        <w:rPr>
          <w:rFonts w:ascii="Times New Roman" w:hAnsi="Times New Roman" w:cs="Times New Roman" w:eastAsia="Times New Roman" w:hint="ascii"/>
          <w:sz w:val="21"/>
        </w:rPr>
        <w:t>CNRS</w:t>
      </w:r>
      <w:r>
        <w:rPr>
          <w:rFonts w:ascii="Times New Roman" w:hAnsi="Times New Roman" w:cs="Times New Roman" w:eastAsia="Times New Roman" w:hint="ascii"/>
          <w:sz w:val="21"/>
          <w:spacing w:val="-12"/>
        </w:rPr>
        <w:t xml:space="preserve"> </w:t>
      </w:r>
      <w:r>
        <w:rPr>
          <w:rFonts w:ascii="宋体" w:hAnsi="宋体" w:cs="宋体" w:eastAsia="宋体" w:hint="ascii"/>
          <w:sz w:val="21"/>
        </w:rPr>
        <w:t>资助法国研究人员访华的国际旅费和中国研究</w:t>
      </w:r>
      <w:r>
        <w:rPr>
          <w:rFonts w:ascii="宋体" w:hAnsi="宋体" w:cs="宋体" w:eastAsia="宋体" w:hint="ascii"/>
          <w:sz w:val="21"/>
          <w:spacing w:val="-1"/>
        </w:rPr>
        <w:t>人</w:t>
      </w:r>
      <w:r>
        <w:rPr>
          <w:rFonts w:ascii="宋体" w:hAnsi="宋体" w:cs="宋体" w:eastAsia="宋体" w:hint="ascii"/>
          <w:sz w:val="21"/>
        </w:rPr>
        <w:t>员</w:t>
      </w:r>
      <w:r>
        <w:rPr>
          <w:rFonts w:ascii="宋体" w:hAnsi="宋体" w:cs="宋体" w:eastAsia="宋体" w:hint="ascii"/>
          <w:sz w:val="21"/>
          <w:spacing w:val="-1"/>
        </w:rPr>
        <w:t>在</w:t>
      </w:r>
      <w:r>
        <w:rPr>
          <w:rFonts w:ascii="宋体" w:hAnsi="宋体" w:cs="宋体" w:eastAsia="宋体" w:hint="ascii"/>
          <w:sz w:val="21"/>
        </w:rPr>
        <w:t>法期</w:t>
      </w:r>
      <w:r>
        <w:rPr>
          <w:rFonts w:ascii="宋体" w:hAnsi="宋体" w:cs="宋体" w:eastAsia="宋体" w:hint="ascii"/>
          <w:sz w:val="21"/>
          <w:spacing w:val="-1"/>
        </w:rPr>
        <w:t>间</w:t>
      </w:r>
      <w:r>
        <w:rPr>
          <w:rFonts w:ascii="宋体" w:hAnsi="宋体" w:cs="宋体" w:eastAsia="宋体" w:hint="ascii"/>
          <w:sz w:val="21"/>
        </w:rPr>
        <w:t>的</w:t>
      </w:r>
      <w:r>
        <w:rPr>
          <w:rFonts w:ascii="宋体" w:hAnsi="宋体" w:cs="宋体" w:eastAsia="宋体" w:hint="ascii"/>
          <w:sz w:val="21"/>
          <w:spacing w:val="-1"/>
        </w:rPr>
        <w:t>生</w:t>
      </w:r>
      <w:r>
        <w:rPr>
          <w:rFonts w:ascii="宋体" w:hAnsi="宋体" w:cs="宋体" w:eastAsia="宋体" w:hint="ascii"/>
          <w:sz w:val="21"/>
        </w:rPr>
        <w:t>活费。</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w:t>
      </w:r>
      <w:r>
        <w:rPr>
          <w:rFonts w:ascii="宋体" w:hAnsi="宋体" w:cs="宋体" w:eastAsia="宋体" w:hint="ascii"/>
          <w:sz w:val="21"/>
          <w:spacing w:val="-1"/>
        </w:rPr>
        <w:t>有</w:t>
      </w:r>
      <w:r>
        <w:rPr>
          <w:rFonts w:ascii="宋体" w:hAnsi="宋体" w:cs="宋体" w:eastAsia="宋体" w:hint="ascii"/>
          <w:sz w:val="21"/>
        </w:rPr>
        <w:t>关</w:t>
      </w:r>
      <w:r>
        <w:rPr>
          <w:rFonts w:ascii="宋体" w:hAnsi="宋体" w:cs="宋体" w:eastAsia="宋体" w:hint="ascii"/>
          <w:sz w:val="21"/>
          <w:spacing w:val="-1"/>
        </w:rPr>
        <w:t>申</w:t>
      </w:r>
      <w:r>
        <w:rPr>
          <w:rFonts w:ascii="宋体" w:hAnsi="宋体" w:cs="宋体" w:eastAsia="宋体" w:hint="ascii"/>
          <w:sz w:val="21"/>
        </w:rPr>
        <w:t>请事</w:t>
      </w:r>
      <w:r>
        <w:rPr>
          <w:rFonts w:ascii="宋体" w:hAnsi="宋体" w:cs="宋体" w:eastAsia="宋体" w:hint="ascii"/>
          <w:sz w:val="21"/>
          <w:spacing w:val="-1"/>
        </w:rPr>
        <w:t>宜</w:t>
      </w:r>
      <w:r>
        <w:rPr>
          <w:rFonts w:ascii="宋体" w:hAnsi="宋体" w:cs="宋体" w:eastAsia="宋体" w:hint="ascii"/>
          <w:sz w:val="21"/>
        </w:rPr>
        <w:t>请</w:t>
      </w:r>
      <w:r>
        <w:rPr>
          <w:rFonts w:ascii="宋体" w:hAnsi="宋体" w:cs="宋体" w:eastAsia="宋体" w:hint="ascii"/>
          <w:sz w:val="21"/>
          <w:spacing w:val="-1"/>
        </w:rPr>
        <w:t>关</w:t>
      </w:r>
      <w:r>
        <w:rPr>
          <w:rFonts w:ascii="宋体" w:hAnsi="宋体" w:cs="宋体" w:eastAsia="宋体" w:hint="ascii"/>
          <w:sz w:val="21"/>
        </w:rPr>
        <w:t>注自</w:t>
      </w:r>
      <w:r>
        <w:rPr>
          <w:rFonts w:ascii="宋体" w:hAnsi="宋体" w:cs="宋体" w:eastAsia="宋体" w:hint="ascii"/>
          <w:sz w:val="21"/>
          <w:spacing w:val="-1"/>
        </w:rPr>
        <w:t>然</w:t>
      </w:r>
      <w:r>
        <w:rPr>
          <w:rFonts w:ascii="宋体" w:hAnsi="宋体" w:cs="宋体" w:eastAsia="宋体" w:hint="ascii"/>
          <w:sz w:val="21"/>
        </w:rPr>
        <w:t>科</w:t>
      </w:r>
      <w:r>
        <w:rPr>
          <w:rFonts w:ascii="宋体" w:hAnsi="宋体" w:cs="宋体" w:eastAsia="宋体" w:hint="ascii"/>
          <w:sz w:val="21"/>
          <w:spacing w:val="-1"/>
        </w:rPr>
        <w:t>学</w:t>
      </w:r>
      <w:r>
        <w:rPr>
          <w:rFonts w:ascii="宋体" w:hAnsi="宋体" w:cs="宋体" w:eastAsia="宋体" w:hint="ascii"/>
          <w:sz w:val="21"/>
        </w:rPr>
        <w:t>基金</w:t>
      </w:r>
      <w:r>
        <w:rPr>
          <w:rFonts w:ascii="宋体" w:hAnsi="宋体" w:cs="宋体" w:eastAsia="宋体" w:hint="ascii"/>
          <w:sz w:val="21"/>
          <w:spacing w:val="-1"/>
        </w:rPr>
        <w:t>委</w:t>
      </w:r>
      <w:r>
        <w:rPr>
          <w:rFonts w:ascii="宋体" w:hAnsi="宋体" w:cs="宋体" w:eastAsia="宋体" w:hint="ascii"/>
          <w:sz w:val="21"/>
        </w:rPr>
        <w:t>网</w:t>
      </w:r>
      <w:r>
        <w:rPr>
          <w:rFonts w:ascii="宋体" w:hAnsi="宋体" w:cs="宋体" w:eastAsia="宋体" w:hint="ascii"/>
          <w:sz w:val="21"/>
          <w:spacing w:val="-1"/>
        </w:rPr>
        <w:t>站</w:t>
      </w:r>
      <w:r>
        <w:rPr>
          <w:rFonts w:ascii="宋体" w:hAnsi="宋体" w:cs="宋体" w:eastAsia="宋体" w:hint="ascii"/>
          <w:sz w:val="21"/>
        </w:rPr>
        <w:t>“</w:t>
      </w:r>
      <w:r>
        <w:rPr>
          <w:rFonts w:ascii="宋体" w:hAnsi="宋体" w:cs="宋体" w:eastAsia="宋体" w:hint="ascii"/>
          <w:sz w:val="21"/>
          <w:spacing w:val="-4"/>
        </w:rPr>
        <w:t>通</w:t>
      </w:r>
      <w:r>
        <w:rPr>
          <w:rFonts w:ascii="宋体" w:hAnsi="宋体" w:cs="宋体" w:eastAsia="宋体" w:hint="ascii"/>
          <w:sz w:val="21"/>
        </w:rPr>
        <w:t>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51" locked="0" layoutInCell="1" allowOverlap="1">
                <wp:simplePos x="0" y="0"/>
                <wp:positionH relativeFrom="page">
                  <wp:posOffset>938530</wp:posOffset>
                </wp:positionH>
                <wp:positionV relativeFrom="page">
                  <wp:posOffset>805815</wp:posOffset>
                </wp:positionV>
                <wp:extent cx="5076190" cy="0"/>
                <wp:wrapNone/>
                <wp:docPr id="1280" name="128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401216;width:399.70pt;" id="128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意大利</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意大利外交与国际合作部（</w:t>
      </w:r>
      <w:r>
        <w:rPr>
          <w:rFonts w:ascii="Times New Roman" w:hAnsi="Times New Roman" w:cs="Times New Roman" w:eastAsia="Times New Roman" w:hint="ascii"/>
          <w:b w:val="1"/>
          <w:sz w:val="21"/>
        </w:rPr>
        <w:t>MAECI</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根据自然科学基金委与</w:t>
      </w:r>
      <w:r>
        <w:rPr>
          <w:rFonts w:ascii="宋体" w:hAnsi="宋体" w:cs="宋体" w:eastAsia="宋体" w:hint="ascii"/>
          <w:sz w:val="21"/>
          <w:spacing w:val="-12"/>
        </w:rPr>
        <w:t xml:space="preserve"> </w:t>
      </w:r>
      <w:r>
        <w:rPr>
          <w:rFonts w:ascii="Times New Roman" w:hAnsi="Times New Roman" w:cs="Times New Roman" w:eastAsia="Times New Roman" w:hint="ascii"/>
          <w:sz w:val="21"/>
        </w:rPr>
        <w:t>MAECI</w:t>
      </w:r>
      <w:r>
        <w:rPr>
          <w:rFonts w:ascii="Times New Roman" w:hAnsi="Times New Roman" w:cs="Times New Roman" w:eastAsia="Times New Roman" w:hint="ascii"/>
          <w:sz w:val="21"/>
          <w:spacing w:val="-12"/>
        </w:rPr>
        <w:t xml:space="preserve"> </w:t>
      </w:r>
      <w:r>
        <w:rPr>
          <w:rFonts w:ascii="宋体" w:hAnsi="宋体" w:cs="宋体" w:eastAsia="宋体" w:hint="ascii"/>
          <w:sz w:val="21"/>
        </w:rPr>
        <w:t>签订的合作协议，双方将共同资助中国与意大利研</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3"/>
        </w:rPr>
        <w:t>究人</w:t>
      </w:r>
      <w:r>
        <w:rPr>
          <w:rFonts w:ascii="宋体" w:hAnsi="宋体" w:cs="宋体" w:eastAsia="宋体" w:hint="ascii"/>
          <w:sz w:val="21"/>
          <w:spacing w:val="2"/>
        </w:rPr>
        <w:t>员间</w:t>
      </w:r>
      <w:r>
        <w:rPr>
          <w:rFonts w:ascii="宋体" w:hAnsi="宋体" w:cs="宋体" w:eastAsia="宋体" w:hint="ascii"/>
          <w:sz w:val="21"/>
          <w:spacing w:val="1"/>
        </w:rPr>
        <w:t>的</w:t>
      </w:r>
      <w:r>
        <w:rPr>
          <w:rFonts w:ascii="宋体" w:hAnsi="宋体" w:cs="宋体" w:eastAsia="宋体" w:hint="ascii"/>
          <w:sz w:val="21"/>
          <w:spacing w:val="2"/>
        </w:rPr>
        <w:t>交流互访。</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spacing w:val="2"/>
        </w:rPr>
        <w:t>年度</w:t>
      </w:r>
      <w:r>
        <w:rPr>
          <w:rFonts w:ascii="宋体" w:hAnsi="宋体" w:cs="宋体" w:eastAsia="宋体" w:hint="ascii"/>
          <w:sz w:val="21"/>
          <w:spacing w:val="1"/>
        </w:rPr>
        <w:t>有</w:t>
      </w:r>
      <w:r>
        <w:rPr>
          <w:rFonts w:ascii="宋体" w:hAnsi="宋体" w:cs="宋体" w:eastAsia="宋体" w:hint="ascii"/>
          <w:sz w:val="21"/>
          <w:spacing w:val="2"/>
        </w:rPr>
        <w:t>关申请事</w:t>
      </w:r>
      <w:r>
        <w:rPr>
          <w:rFonts w:ascii="宋体" w:hAnsi="宋体" w:cs="宋体" w:eastAsia="宋体" w:hint="ascii"/>
          <w:sz w:val="21"/>
          <w:spacing w:val="1"/>
        </w:rPr>
        <w:t>宜</w:t>
      </w:r>
      <w:r>
        <w:rPr>
          <w:rFonts w:ascii="宋体" w:hAnsi="宋体" w:cs="宋体" w:eastAsia="宋体" w:hint="ascii"/>
          <w:sz w:val="21"/>
          <w:spacing w:val="2"/>
        </w:rPr>
        <w:t>请关注自</w:t>
      </w:r>
      <w:r>
        <w:rPr>
          <w:rFonts w:ascii="宋体" w:hAnsi="宋体" w:cs="宋体" w:eastAsia="宋体" w:hint="ascii"/>
          <w:sz w:val="21"/>
          <w:spacing w:val="1"/>
        </w:rPr>
        <w:t>然</w:t>
      </w:r>
      <w:r>
        <w:rPr>
          <w:rFonts w:ascii="宋体" w:hAnsi="宋体" w:cs="宋体" w:eastAsia="宋体" w:hint="ascii"/>
          <w:sz w:val="21"/>
          <w:spacing w:val="2"/>
        </w:rPr>
        <w:t>科学基金</w:t>
      </w:r>
      <w:r>
        <w:rPr>
          <w:rFonts w:ascii="宋体" w:hAnsi="宋体" w:cs="宋体" w:eastAsia="宋体" w:hint="ascii"/>
          <w:sz w:val="21"/>
          <w:spacing w:val="1"/>
        </w:rPr>
        <w:t>委</w:t>
      </w:r>
      <w:r>
        <w:rPr>
          <w:rFonts w:ascii="宋体" w:hAnsi="宋体" w:cs="宋体" w:eastAsia="宋体" w:hint="ascii"/>
          <w:sz w:val="21"/>
          <w:spacing w:val="2"/>
        </w:rPr>
        <w:t>网站“通</w:t>
      </w:r>
      <w:r>
        <w:rPr>
          <w:rFonts w:ascii="宋体" w:hAnsi="宋体" w:cs="宋体" w:eastAsia="宋体" w:hint="ascii"/>
          <w:sz w:val="21"/>
        </w:rPr>
        <w:t>知</w:t>
      </w:r>
      <w:r>
        <w:rPr>
          <w:rFonts w:ascii="宋体" w:hAnsi="宋体" w:cs="宋体" w:eastAsia="宋体" w:hint="ascii"/>
          <w:sz w:val="21"/>
          <w:spacing w:val="-6"/>
        </w:rPr>
        <w:t>通</w:t>
      </w:r>
      <w:r>
        <w:rPr>
          <w:rFonts w:ascii="宋体" w:hAnsi="宋体" w:cs="宋体" w:eastAsia="宋体" w:hint="ascii"/>
          <w:sz w:val="21"/>
        </w:rPr>
        <w:t>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意大利国家研究委员会（</w:t>
      </w:r>
      <w:r>
        <w:rPr>
          <w:rFonts w:ascii="Times New Roman" w:hAnsi="Times New Roman" w:cs="Times New Roman" w:eastAsia="Times New Roman" w:hint="ascii"/>
          <w:b w:val="1"/>
          <w:sz w:val="21"/>
        </w:rPr>
        <w:t>CNR</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 </w:t>
      </w:r>
      <w:r>
        <w:rPr>
          <w:rFonts w:ascii="Times New Roman" w:hAnsi="Times New Roman" w:cs="Times New Roman" w:eastAsia="Times New Roman" w:hint="ascii"/>
          <w:sz w:val="21"/>
        </w:rPr>
        <w:t>CNR</w:t>
      </w:r>
      <w:r>
        <w:rPr>
          <w:rFonts w:ascii="Times New Roman" w:hAnsi="Times New Roman" w:cs="Times New Roman" w:eastAsia="Times New Roman" w:hint="ascii"/>
          <w:sz w:val="21"/>
          <w:spacing w:val="-3"/>
        </w:rPr>
        <w:t xml:space="preserve"> </w:t>
      </w:r>
      <w:r>
        <w:rPr>
          <w:rFonts w:ascii="宋体" w:hAnsi="宋体" w:cs="宋体" w:eastAsia="宋体" w:hint="ascii"/>
          <w:sz w:val="21"/>
        </w:rPr>
        <w:t>共同资助中国与意大利研究人员之间的交流互访，资助期</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 xml:space="preserve">限为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rPr>
        <w:t xml:space="preserve"> </w:t>
      </w:r>
      <w:r>
        <w:rPr>
          <w:rFonts w:ascii="宋体" w:hAnsi="宋体" w:cs="宋体" w:eastAsia="宋体" w:hint="ascii"/>
          <w:sz w:val="21"/>
        </w:rPr>
        <w:t>年。</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俄罗斯</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俄罗斯基础研究基金会（</w:t>
      </w:r>
      <w:r>
        <w:rPr>
          <w:rFonts w:ascii="Times New Roman" w:hAnsi="Times New Roman" w:cs="Times New Roman" w:eastAsia="Times New Roman" w:hint="ascii"/>
          <w:b w:val="1"/>
          <w:sz w:val="21"/>
        </w:rPr>
        <w:t>RFBR</w:t>
      </w:r>
      <w:r>
        <w:rPr>
          <w:rFonts w:ascii="宋体" w:hAnsi="宋体" w:cs="宋体" w:eastAsia="宋体" w:hint="ascii"/>
          <w:sz w:val="21"/>
        </w:rPr>
        <w:t>）</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自然科学基金委和 </w:t>
      </w:r>
      <w:r>
        <w:rPr>
          <w:rFonts w:ascii="Times New Roman" w:hAnsi="Times New Roman" w:cs="Times New Roman" w:eastAsia="Times New Roman" w:hint="ascii"/>
          <w:sz w:val="21"/>
        </w:rPr>
        <w:t xml:space="preserve">RFBR </w:t>
      </w:r>
      <w:r>
        <w:rPr>
          <w:rFonts w:ascii="宋体" w:hAnsi="宋体" w:cs="宋体" w:eastAsia="宋体" w:hint="ascii"/>
          <w:sz w:val="21"/>
        </w:rPr>
        <w:t>在双方共同感兴趣的领域鼓励两国研究人员开展实质性</w:t>
      </w:r>
    </w:p>
    <w:p>
      <w:pPr>
        <w:autoSpaceDE w:val="0"/>
        <w:autoSpaceDN w:val="0"/>
        <w:jc w:val="both"/>
        <w:spacing w:before="12" w:after="0" w:lineRule="exact" w:line="320"/>
        <w:ind w:right="975" w:left="966" w:firstLine="0"/>
        <w:snapToGrid w:val="0"/>
        <w:textAlignment w:val="auto"/>
        <w:tabs/>
        <w:rPr>
          <w:rFonts w:ascii="宋体" w:hAnsi="宋体" w:cs="宋体" w:eastAsia="宋体" w:hint="ascii"/>
          <w:sz w:val="21"/>
        </w:rPr>
      </w:pPr>
      <w:r>
        <w:rPr>
          <w:rFonts w:ascii="宋体" w:hAnsi="宋体" w:cs="宋体" w:eastAsia="宋体" w:hint="ascii"/>
          <w:sz w:val="21"/>
        </w:rPr>
        <w:t>合作</w:t>
      </w:r>
      <w:r>
        <w:rPr>
          <w:rFonts w:ascii="宋体" w:hAnsi="宋体" w:cs="宋体" w:eastAsia="宋体" w:hint="ascii"/>
          <w:sz w:val="21"/>
          <w:spacing w:val="-1"/>
        </w:rPr>
        <w:t>研</w:t>
      </w:r>
      <w:r>
        <w:rPr>
          <w:rFonts w:ascii="宋体" w:hAnsi="宋体" w:cs="宋体" w:eastAsia="宋体" w:hint="ascii"/>
          <w:sz w:val="21"/>
        </w:rPr>
        <w:t>究。</w:t>
      </w:r>
      <w:r>
        <w:rPr>
          <w:rFonts w:ascii="Times New Roman" w:hAnsi="Times New Roman" w:cs="Times New Roman" w:eastAsia="Times New Roman" w:hint="ascii"/>
          <w:sz w:val="21"/>
          <w:spacing w:val="-2"/>
        </w:rPr>
        <w:t>2</w:t>
      </w:r>
      <w:r>
        <w:rPr>
          <w:rFonts w:ascii="Times New Roman" w:hAnsi="Times New Roman" w:cs="Times New Roman" w:eastAsia="Times New Roman" w:hint="ascii"/>
          <w:sz w:val="21"/>
        </w:rPr>
        <w:t>018</w:t>
      </w:r>
      <w:r>
        <w:rPr>
          <w:rFonts w:ascii="Times New Roman" w:hAnsi="Times New Roman" w:cs="Times New Roman" w:eastAsia="Times New Roman" w:hint="ascii"/>
          <w:sz w:val="21"/>
          <w:spacing w:val="-1"/>
        </w:rPr>
        <w:t xml:space="preserve"> </w:t>
      </w:r>
      <w:r>
        <w:rPr>
          <w:rFonts w:ascii="宋体" w:hAnsi="宋体" w:cs="宋体" w:eastAsia="宋体" w:hint="ascii"/>
          <w:sz w:val="21"/>
        </w:rPr>
        <w:t>年</w:t>
      </w:r>
      <w:r>
        <w:rPr>
          <w:rFonts w:ascii="宋体" w:hAnsi="宋体" w:cs="宋体" w:eastAsia="宋体" w:hint="ascii"/>
          <w:sz w:val="21"/>
          <w:spacing w:val="-1"/>
        </w:rPr>
        <w:t>度有</w:t>
      </w:r>
      <w:r>
        <w:rPr>
          <w:rFonts w:ascii="宋体" w:hAnsi="宋体" w:cs="宋体" w:eastAsia="宋体" w:hint="ascii"/>
          <w:sz w:val="21"/>
        </w:rPr>
        <w:t>关申</w:t>
      </w:r>
      <w:r>
        <w:rPr>
          <w:rFonts w:ascii="宋体" w:hAnsi="宋体" w:cs="宋体" w:eastAsia="宋体" w:hint="ascii"/>
          <w:sz w:val="21"/>
          <w:spacing w:val="-1"/>
        </w:rPr>
        <w:t>请</w:t>
      </w:r>
      <w:r>
        <w:rPr>
          <w:rFonts w:ascii="宋体" w:hAnsi="宋体" w:cs="宋体" w:eastAsia="宋体" w:hint="ascii"/>
          <w:sz w:val="21"/>
        </w:rPr>
        <w:t>事</w:t>
      </w:r>
      <w:r>
        <w:rPr>
          <w:rFonts w:ascii="宋体" w:hAnsi="宋体" w:cs="宋体" w:eastAsia="宋体" w:hint="ascii"/>
          <w:sz w:val="21"/>
          <w:spacing w:val="-1"/>
        </w:rPr>
        <w:t>宜</w:t>
      </w:r>
      <w:r>
        <w:rPr>
          <w:rFonts w:ascii="宋体" w:hAnsi="宋体" w:cs="宋体" w:eastAsia="宋体" w:hint="ascii"/>
          <w:sz w:val="21"/>
        </w:rPr>
        <w:t>请关</w:t>
      </w:r>
      <w:r>
        <w:rPr>
          <w:rFonts w:ascii="宋体" w:hAnsi="宋体" w:cs="宋体" w:eastAsia="宋体" w:hint="ascii"/>
          <w:sz w:val="21"/>
          <w:spacing w:val="-1"/>
        </w:rPr>
        <w:t>注</w:t>
      </w:r>
      <w:r>
        <w:rPr>
          <w:rFonts w:ascii="宋体" w:hAnsi="宋体" w:cs="宋体" w:eastAsia="宋体" w:hint="ascii"/>
          <w:sz w:val="21"/>
        </w:rPr>
        <w:t>自</w:t>
      </w:r>
      <w:r>
        <w:rPr>
          <w:rFonts w:ascii="宋体" w:hAnsi="宋体" w:cs="宋体" w:eastAsia="宋体" w:hint="ascii"/>
          <w:sz w:val="21"/>
          <w:spacing w:val="-1"/>
        </w:rPr>
        <w:t>然</w:t>
      </w:r>
      <w:r>
        <w:rPr>
          <w:rFonts w:ascii="宋体" w:hAnsi="宋体" w:cs="宋体" w:eastAsia="宋体" w:hint="ascii"/>
          <w:sz w:val="21"/>
        </w:rPr>
        <w:t>科学</w:t>
      </w:r>
      <w:r>
        <w:rPr>
          <w:rFonts w:ascii="宋体" w:hAnsi="宋体" w:cs="宋体" w:eastAsia="宋体" w:hint="ascii"/>
          <w:sz w:val="21"/>
          <w:spacing w:val="-1"/>
        </w:rPr>
        <w:t>基</w:t>
      </w:r>
      <w:r>
        <w:rPr>
          <w:rFonts w:ascii="宋体" w:hAnsi="宋体" w:cs="宋体" w:eastAsia="宋体" w:hint="ascii"/>
          <w:sz w:val="21"/>
        </w:rPr>
        <w:t>金</w:t>
      </w:r>
      <w:r>
        <w:rPr>
          <w:rFonts w:ascii="宋体" w:hAnsi="宋体" w:cs="宋体" w:eastAsia="宋体" w:hint="ascii"/>
          <w:sz w:val="21"/>
          <w:spacing w:val="-1"/>
        </w:rPr>
        <w:t>委</w:t>
      </w:r>
      <w:r>
        <w:rPr>
          <w:rFonts w:ascii="宋体" w:hAnsi="宋体" w:cs="宋体" w:eastAsia="宋体" w:hint="ascii"/>
          <w:sz w:val="21"/>
        </w:rPr>
        <w:t>网站</w:t>
      </w:r>
      <w:r>
        <w:rPr>
          <w:rFonts w:ascii="宋体" w:hAnsi="宋体" w:cs="宋体" w:eastAsia="宋体" w:hint="ascii"/>
          <w:sz w:val="21"/>
          <w:spacing w:val="-1"/>
        </w:rPr>
        <w:t>“</w:t>
      </w:r>
      <w:r>
        <w:rPr>
          <w:rFonts w:ascii="宋体" w:hAnsi="宋体" w:cs="宋体" w:eastAsia="宋体" w:hint="ascii"/>
          <w:sz w:val="21"/>
        </w:rPr>
        <w:t>通</w:t>
      </w:r>
      <w:r>
        <w:rPr>
          <w:rFonts w:ascii="宋体" w:hAnsi="宋体" w:cs="宋体" w:eastAsia="宋体" w:hint="ascii"/>
          <w:sz w:val="21"/>
          <w:spacing w:val="-1"/>
        </w:rPr>
        <w:t>知</w:t>
      </w:r>
      <w:r>
        <w:rPr>
          <w:rFonts w:ascii="宋体" w:hAnsi="宋体" w:cs="宋体" w:eastAsia="宋体" w:hint="ascii"/>
          <w:sz w:val="21"/>
        </w:rPr>
        <w:t>通告</w:t>
      </w:r>
      <w:r>
        <w:rPr>
          <w:rFonts w:ascii="宋体" w:hAnsi="宋体" w:cs="宋体" w:eastAsia="宋体" w:hint="ascii"/>
          <w:sz w:val="21"/>
          <w:spacing w:val="-1"/>
        </w:rPr>
        <w:t>”</w:t>
      </w:r>
      <w:r>
        <w:rPr>
          <w:rFonts w:ascii="宋体" w:hAnsi="宋体" w:cs="宋体" w:eastAsia="宋体" w:hint="ascii"/>
          <w:sz w:val="21"/>
        </w:rPr>
        <w:t>栏</w:t>
      </w:r>
      <w:r>
        <w:rPr>
          <w:rFonts w:ascii="宋体" w:hAnsi="宋体" w:cs="宋体" w:eastAsia="宋体" w:hint="ascii"/>
          <w:sz w:val="21"/>
          <w:spacing w:val="-1"/>
        </w:rPr>
        <w:t>目</w:t>
      </w:r>
      <w:r>
        <w:rPr>
          <w:rFonts w:ascii="宋体" w:hAnsi="宋体" w:cs="宋体" w:eastAsia="宋体" w:hint="ascii"/>
          <w:sz w:val="21"/>
        </w:rPr>
        <w:t>中</w:t>
      </w:r>
      <w:r>
        <w:rPr>
          <w:rFonts w:ascii="宋体" w:hAnsi="宋体" w:cs="宋体" w:eastAsia="宋体" w:hint="ascii"/>
          <w:sz w:val="21"/>
          <w:spacing w:val="-4"/>
        </w:rPr>
        <w:t>发</w:t>
      </w:r>
      <w:r>
        <w:rPr>
          <w:rFonts w:ascii="宋体" w:hAnsi="宋体" w:cs="宋体" w:eastAsia="宋体" w:hint="ascii"/>
          <w:sz w:val="21"/>
        </w:rPr>
        <w:t>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）合作交流项目</w:t>
      </w:r>
    </w:p>
    <w:p>
      <w:pPr>
        <w:autoSpaceDE w:val="0"/>
        <w:autoSpaceDN w:val="0"/>
        <w:jc w:val="left"/>
        <w:spacing w:before="58"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5"/>
        </w:rPr>
        <w:t>自</w:t>
      </w:r>
      <w:r>
        <w:rPr>
          <w:rFonts w:ascii="宋体" w:hAnsi="宋体" w:cs="宋体" w:eastAsia="宋体" w:hint="ascii"/>
          <w:sz w:val="21"/>
          <w:spacing w:val="4"/>
        </w:rPr>
        <w:t>然科</w:t>
      </w:r>
      <w:r>
        <w:rPr>
          <w:rFonts w:ascii="宋体" w:hAnsi="宋体" w:cs="宋体" w:eastAsia="宋体" w:hint="ascii"/>
          <w:sz w:val="21"/>
          <w:spacing w:val="5"/>
        </w:rPr>
        <w:t>学</w:t>
      </w:r>
      <w:r>
        <w:rPr>
          <w:rFonts w:ascii="宋体" w:hAnsi="宋体" w:cs="宋体" w:eastAsia="宋体" w:hint="ascii"/>
          <w:sz w:val="21"/>
          <w:spacing w:val="4"/>
        </w:rPr>
        <w:t>基</w:t>
      </w:r>
      <w:r>
        <w:rPr>
          <w:rFonts w:ascii="宋体" w:hAnsi="宋体" w:cs="宋体" w:eastAsia="宋体" w:hint="ascii"/>
          <w:sz w:val="21"/>
          <w:spacing w:val="5"/>
        </w:rPr>
        <w:t>金</w:t>
      </w:r>
      <w:r>
        <w:rPr>
          <w:rFonts w:ascii="宋体" w:hAnsi="宋体" w:cs="宋体" w:eastAsia="宋体" w:hint="ascii"/>
          <w:sz w:val="21"/>
          <w:spacing w:val="4"/>
        </w:rPr>
        <w:t>委</w:t>
      </w:r>
      <w:r>
        <w:rPr>
          <w:rFonts w:ascii="宋体" w:hAnsi="宋体" w:cs="宋体" w:eastAsia="宋体" w:hint="ascii"/>
          <w:sz w:val="21"/>
        </w:rPr>
        <w:t>与</w:t>
      </w:r>
      <w:r>
        <w:rPr>
          <w:rFonts w:ascii="宋体" w:hAnsi="宋体" w:cs="宋体" w:eastAsia="宋体" w:hint="ascii"/>
          <w:sz w:val="21"/>
          <w:spacing w:val="6"/>
        </w:rPr>
        <w:t xml:space="preserve"> </w:t>
      </w:r>
      <w:r>
        <w:rPr>
          <w:rFonts w:ascii="Times New Roman" w:hAnsi="Times New Roman" w:cs="Times New Roman" w:eastAsia="Times New Roman" w:hint="ascii"/>
          <w:sz w:val="21"/>
        </w:rPr>
        <w:t>RFBR</w:t>
      </w:r>
      <w:r>
        <w:rPr>
          <w:rFonts w:ascii="Times New Roman" w:hAnsi="Times New Roman" w:cs="Times New Roman" w:eastAsia="Times New Roman" w:hint="ascii"/>
          <w:sz w:val="21"/>
          <w:spacing w:val="4"/>
        </w:rPr>
        <w:t xml:space="preserve"> </w:t>
      </w:r>
      <w:r>
        <w:rPr>
          <w:rFonts w:ascii="宋体" w:hAnsi="宋体" w:cs="宋体" w:eastAsia="宋体" w:hint="ascii"/>
          <w:sz w:val="21"/>
          <w:spacing w:val="5"/>
        </w:rPr>
        <w:t>每年</w:t>
      </w:r>
      <w:r>
        <w:rPr>
          <w:rFonts w:ascii="宋体" w:hAnsi="宋体" w:cs="宋体" w:eastAsia="宋体" w:hint="ascii"/>
          <w:sz w:val="21"/>
          <w:spacing w:val="4"/>
        </w:rPr>
        <w:t>共同</w:t>
      </w:r>
      <w:r>
        <w:rPr>
          <w:rFonts w:ascii="宋体" w:hAnsi="宋体" w:cs="宋体" w:eastAsia="宋体" w:hint="ascii"/>
          <w:sz w:val="21"/>
          <w:spacing w:val="5"/>
        </w:rPr>
        <w:t>资</w:t>
      </w:r>
      <w:r>
        <w:rPr>
          <w:rFonts w:ascii="宋体" w:hAnsi="宋体" w:cs="宋体" w:eastAsia="宋体" w:hint="ascii"/>
          <w:sz w:val="21"/>
          <w:spacing w:val="4"/>
        </w:rPr>
        <w:t>助中</w:t>
      </w:r>
      <w:r>
        <w:rPr>
          <w:rFonts w:ascii="宋体" w:hAnsi="宋体" w:cs="宋体" w:eastAsia="宋体" w:hint="ascii"/>
          <w:sz w:val="21"/>
          <w:spacing w:val="5"/>
        </w:rPr>
        <w:t>国</w:t>
      </w:r>
      <w:r>
        <w:rPr>
          <w:rFonts w:ascii="宋体" w:hAnsi="宋体" w:cs="宋体" w:eastAsia="宋体" w:hint="ascii"/>
          <w:sz w:val="21"/>
          <w:spacing w:val="4"/>
        </w:rPr>
        <w:t>与</w:t>
      </w:r>
      <w:r>
        <w:rPr>
          <w:rFonts w:ascii="宋体" w:hAnsi="宋体" w:cs="宋体" w:eastAsia="宋体" w:hint="ascii"/>
          <w:sz w:val="21"/>
          <w:spacing w:val="5"/>
        </w:rPr>
        <w:t>俄</w:t>
      </w:r>
      <w:r>
        <w:rPr>
          <w:rFonts w:ascii="宋体" w:hAnsi="宋体" w:cs="宋体" w:eastAsia="宋体" w:hint="ascii"/>
          <w:sz w:val="21"/>
          <w:spacing w:val="4"/>
        </w:rPr>
        <w:t>罗斯</w:t>
      </w:r>
      <w:r>
        <w:rPr>
          <w:rFonts w:ascii="宋体" w:hAnsi="宋体" w:cs="宋体" w:eastAsia="宋体" w:hint="ascii"/>
          <w:sz w:val="21"/>
          <w:spacing w:val="5"/>
        </w:rPr>
        <w:t>研</w:t>
      </w:r>
      <w:r>
        <w:rPr>
          <w:rFonts w:ascii="宋体" w:hAnsi="宋体" w:cs="宋体" w:eastAsia="宋体" w:hint="ascii"/>
          <w:sz w:val="21"/>
          <w:spacing w:val="4"/>
        </w:rPr>
        <w:t>究</w:t>
      </w:r>
      <w:r>
        <w:rPr>
          <w:rFonts w:ascii="宋体" w:hAnsi="宋体" w:cs="宋体" w:eastAsia="宋体" w:hint="ascii"/>
          <w:sz w:val="21"/>
          <w:spacing w:val="5"/>
        </w:rPr>
        <w:t>人</w:t>
      </w:r>
      <w:r>
        <w:rPr>
          <w:rFonts w:ascii="宋体" w:hAnsi="宋体" w:cs="宋体" w:eastAsia="宋体" w:hint="ascii"/>
          <w:sz w:val="21"/>
          <w:spacing w:val="4"/>
        </w:rPr>
        <w:t>员间</w:t>
      </w:r>
      <w:r>
        <w:rPr>
          <w:rFonts w:ascii="宋体" w:hAnsi="宋体" w:cs="宋体" w:eastAsia="宋体" w:hint="ascii"/>
          <w:sz w:val="21"/>
          <w:spacing w:val="5"/>
        </w:rPr>
        <w:t>的</w:t>
      </w:r>
      <w:r>
        <w:rPr>
          <w:rFonts w:ascii="宋体" w:hAnsi="宋体" w:cs="宋体" w:eastAsia="宋体" w:hint="ascii"/>
          <w:sz w:val="21"/>
          <w:spacing w:val="4"/>
        </w:rPr>
        <w:t>交</w:t>
      </w:r>
      <w:r>
        <w:rPr>
          <w:rFonts w:ascii="宋体" w:hAnsi="宋体" w:cs="宋体" w:eastAsia="宋体" w:hint="ascii"/>
          <w:sz w:val="21"/>
          <w:spacing w:val="5"/>
        </w:rPr>
        <w:t>流</w:t>
      </w:r>
      <w:r>
        <w:rPr>
          <w:rFonts w:ascii="宋体" w:hAnsi="宋体" w:cs="宋体" w:eastAsia="宋体" w:hint="ascii"/>
          <w:sz w:val="21"/>
          <w:spacing w:val="4"/>
        </w:rPr>
        <w:t>互访</w:t>
      </w:r>
      <w:r>
        <w:rPr>
          <w:rFonts w:ascii="宋体" w:hAnsi="宋体" w:cs="宋体" w:eastAsia="宋体" w:hint="ascii"/>
          <w:sz w:val="21"/>
        </w:rPr>
        <w:t>，</w:t>
      </w:r>
    </w:p>
    <w:p>
      <w:pPr>
        <w:autoSpaceDE w:val="0"/>
        <w:autoSpaceDN w:val="0"/>
        <w:jc w:val="both"/>
        <w:spacing w:before="13" w:after="0" w:lineRule="exact" w:line="319"/>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资助期限</w:t>
      </w:r>
      <w:r>
        <w:rPr>
          <w:rFonts w:ascii="宋体" w:hAnsi="宋体" w:cs="宋体" w:eastAsia="宋体" w:hint="ascii"/>
          <w:sz w:val="21"/>
          <w:spacing w:val="-2"/>
        </w:rPr>
        <w:t>为</w:t>
      </w:r>
      <w:r>
        <w:rPr>
          <w:rFonts w:ascii="宋体" w:hAnsi="宋体" w:cs="宋体" w:eastAsia="宋体" w:hint="ascii"/>
          <w:sz w:val="21"/>
          <w:spacing w:val="-13"/>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
        </w:rPr>
        <w:t>年。自然科学基金委对每</w:t>
      </w:r>
      <w:r>
        <w:rPr>
          <w:rFonts w:ascii="宋体" w:hAnsi="宋体" w:cs="宋体" w:eastAsia="宋体" w:hint="ascii"/>
          <w:sz w:val="21"/>
        </w:rPr>
        <w:t>个项目资助最</w:t>
      </w:r>
      <w:r>
        <w:rPr>
          <w:rFonts w:ascii="宋体" w:hAnsi="宋体" w:cs="宋体" w:eastAsia="宋体" w:hint="ascii"/>
          <w:sz w:val="21"/>
          <w:spacing w:val="-3"/>
        </w:rPr>
        <w:t>多</w:t>
      </w:r>
      <w:r>
        <w:rPr>
          <w:rFonts w:ascii="宋体" w:hAnsi="宋体" w:cs="宋体" w:eastAsia="宋体" w:hint="ascii"/>
          <w:sz w:val="21"/>
          <w:spacing w:val="-13"/>
        </w:rPr>
        <w:t xml:space="preserve"> </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15"/>
        </w:rPr>
        <w:t xml:space="preserve"> </w:t>
      </w:r>
      <w:r>
        <w:rPr>
          <w:rFonts w:ascii="宋体" w:hAnsi="宋体" w:cs="宋体" w:eastAsia="宋体" w:hint="ascii"/>
          <w:sz w:val="21"/>
        </w:rPr>
        <w:t>万元人民币，用于中方</w:t>
      </w:r>
      <w:r>
        <w:rPr>
          <w:rFonts w:ascii="宋体" w:hAnsi="宋体" w:cs="宋体" w:eastAsia="宋体" w:hint="ascii"/>
          <w:sz w:val="21"/>
          <w:spacing w:val="-6"/>
        </w:rPr>
        <w:t>研</w:t>
      </w:r>
      <w:r>
        <w:rPr>
          <w:rFonts w:ascii="宋体" w:hAnsi="宋体" w:cs="宋体" w:eastAsia="宋体" w:hint="ascii"/>
          <w:sz w:val="21"/>
          <w:spacing w:val="4"/>
        </w:rPr>
        <w:t>究人员访</w:t>
      </w:r>
      <w:r>
        <w:rPr>
          <w:rFonts w:ascii="宋体" w:hAnsi="宋体" w:cs="宋体" w:eastAsia="宋体" w:hint="ascii"/>
          <w:sz w:val="21"/>
          <w:spacing w:val="3"/>
        </w:rPr>
        <w:t>俄</w:t>
      </w:r>
      <w:r>
        <w:rPr>
          <w:rFonts w:ascii="宋体" w:hAnsi="宋体" w:cs="宋体" w:eastAsia="宋体" w:hint="ascii"/>
          <w:sz w:val="21"/>
          <w:spacing w:val="4"/>
        </w:rPr>
        <w:t>的国际旅</w:t>
      </w:r>
      <w:r>
        <w:rPr>
          <w:rFonts w:ascii="宋体" w:hAnsi="宋体" w:cs="宋体" w:eastAsia="宋体" w:hint="ascii"/>
          <w:sz w:val="21"/>
          <w:spacing w:val="3"/>
        </w:rPr>
        <w:t>费</w:t>
      </w:r>
      <w:r>
        <w:rPr>
          <w:rFonts w:ascii="宋体" w:hAnsi="宋体" w:cs="宋体" w:eastAsia="宋体" w:hint="ascii"/>
          <w:sz w:val="21"/>
          <w:spacing w:val="4"/>
        </w:rPr>
        <w:t>和在俄生</w:t>
      </w:r>
      <w:r>
        <w:rPr>
          <w:rFonts w:ascii="宋体" w:hAnsi="宋体" w:cs="宋体" w:eastAsia="宋体" w:hint="ascii"/>
          <w:sz w:val="21"/>
          <w:spacing w:val="2"/>
        </w:rPr>
        <w:t>活</w:t>
      </w:r>
      <w:r>
        <w:rPr>
          <w:rFonts w:ascii="宋体" w:hAnsi="宋体" w:cs="宋体" w:eastAsia="宋体" w:hint="ascii"/>
          <w:sz w:val="21"/>
          <w:spacing w:val="3"/>
        </w:rPr>
        <w:t>费。俄罗</w:t>
      </w:r>
      <w:r>
        <w:rPr>
          <w:rFonts w:ascii="宋体" w:hAnsi="宋体" w:cs="宋体" w:eastAsia="宋体" w:hint="ascii"/>
          <w:sz w:val="21"/>
          <w:spacing w:val="2"/>
        </w:rPr>
        <w:t>斯</w:t>
      </w:r>
      <w:r>
        <w:rPr>
          <w:rFonts w:ascii="宋体" w:hAnsi="宋体" w:cs="宋体" w:eastAsia="宋体" w:hint="ascii"/>
          <w:sz w:val="21"/>
          <w:spacing w:val="3"/>
        </w:rPr>
        <w:t>基础研究</w:t>
      </w:r>
      <w:r>
        <w:rPr>
          <w:rFonts w:ascii="宋体" w:hAnsi="宋体" w:cs="宋体" w:eastAsia="宋体" w:hint="ascii"/>
          <w:sz w:val="21"/>
          <w:spacing w:val="2"/>
        </w:rPr>
        <w:t>基</w:t>
      </w:r>
      <w:r>
        <w:rPr>
          <w:rFonts w:ascii="宋体" w:hAnsi="宋体" w:cs="宋体" w:eastAsia="宋体" w:hint="ascii"/>
          <w:sz w:val="21"/>
          <w:spacing w:val="3"/>
        </w:rPr>
        <w:t>金会也提</w:t>
      </w:r>
      <w:r>
        <w:rPr>
          <w:rFonts w:ascii="宋体" w:hAnsi="宋体" w:cs="宋体" w:eastAsia="宋体" w:hint="ascii"/>
          <w:sz w:val="21"/>
          <w:spacing w:val="2"/>
        </w:rPr>
        <w:t>供</w:t>
      </w:r>
      <w:r>
        <w:rPr>
          <w:rFonts w:ascii="宋体" w:hAnsi="宋体" w:cs="宋体" w:eastAsia="宋体" w:hint="ascii"/>
          <w:sz w:val="21"/>
          <w:spacing w:val="3"/>
        </w:rPr>
        <w:t>相应的</w:t>
      </w:r>
      <w:r>
        <w:rPr>
          <w:rFonts w:ascii="宋体" w:hAnsi="宋体" w:cs="宋体" w:eastAsia="宋体" w:hint="ascii"/>
          <w:sz w:val="21"/>
          <w:spacing w:val="4"/>
        </w:rPr>
        <w:t>资</w:t>
      </w:r>
      <w:r>
        <w:rPr>
          <w:rFonts w:ascii="宋体" w:hAnsi="宋体" w:cs="宋体" w:eastAsia="宋体" w:hint="ascii"/>
          <w:sz w:val="21"/>
          <w:spacing w:val="3"/>
        </w:rPr>
        <w:t>助</w:t>
      </w:r>
      <w:r>
        <w:rPr>
          <w:rFonts w:ascii="宋体" w:hAnsi="宋体" w:cs="宋体" w:eastAsia="宋体" w:hint="ascii"/>
          <w:sz w:val="21"/>
          <w:spacing w:val="-6"/>
        </w:rPr>
        <w:t>用</w:t>
      </w:r>
      <w:r>
        <w:rPr>
          <w:rFonts w:ascii="宋体" w:hAnsi="宋体" w:cs="宋体" w:eastAsia="宋体" w:hint="ascii"/>
          <w:sz w:val="21"/>
          <w:spacing w:val="3"/>
        </w:rPr>
        <w:t>于</w:t>
      </w:r>
      <w:r>
        <w:rPr>
          <w:rFonts w:ascii="宋体" w:hAnsi="宋体" w:cs="宋体" w:eastAsia="宋体" w:hint="ascii"/>
          <w:sz w:val="21"/>
          <w:spacing w:val="2"/>
        </w:rPr>
        <w:t>俄方</w:t>
      </w:r>
      <w:r>
        <w:rPr>
          <w:rFonts w:ascii="宋体" w:hAnsi="宋体" w:cs="宋体" w:eastAsia="宋体" w:hint="ascii"/>
          <w:sz w:val="21"/>
          <w:spacing w:val="3"/>
        </w:rPr>
        <w:t>合</w:t>
      </w:r>
      <w:r>
        <w:rPr>
          <w:rFonts w:ascii="宋体" w:hAnsi="宋体" w:cs="宋体" w:eastAsia="宋体" w:hint="ascii"/>
          <w:sz w:val="21"/>
          <w:spacing w:val="2"/>
        </w:rPr>
        <w:t>作</w:t>
      </w:r>
      <w:r>
        <w:rPr>
          <w:rFonts w:ascii="宋体" w:hAnsi="宋体" w:cs="宋体" w:eastAsia="宋体" w:hint="ascii"/>
          <w:sz w:val="21"/>
          <w:spacing w:val="3"/>
        </w:rPr>
        <w:t>者</w:t>
      </w:r>
      <w:r>
        <w:rPr>
          <w:rFonts w:ascii="宋体" w:hAnsi="宋体" w:cs="宋体" w:eastAsia="宋体" w:hint="ascii"/>
          <w:sz w:val="21"/>
          <w:spacing w:val="2"/>
        </w:rPr>
        <w:t>访华</w:t>
      </w:r>
      <w:r>
        <w:rPr>
          <w:rFonts w:ascii="宋体" w:hAnsi="宋体" w:cs="宋体" w:eastAsia="宋体" w:hint="ascii"/>
          <w:sz w:val="21"/>
          <w:spacing w:val="3"/>
        </w:rPr>
        <w:t>的</w:t>
      </w:r>
      <w:r>
        <w:rPr>
          <w:rFonts w:ascii="宋体" w:hAnsi="宋体" w:cs="宋体" w:eastAsia="宋体" w:hint="ascii"/>
          <w:sz w:val="21"/>
          <w:spacing w:val="1"/>
        </w:rPr>
        <w:t>国</w:t>
      </w:r>
      <w:r>
        <w:rPr>
          <w:rFonts w:ascii="宋体" w:hAnsi="宋体" w:cs="宋体" w:eastAsia="宋体" w:hint="ascii"/>
          <w:sz w:val="21"/>
          <w:spacing w:val="2"/>
        </w:rPr>
        <w:t>际</w:t>
      </w:r>
      <w:r>
        <w:rPr>
          <w:rFonts w:ascii="宋体" w:hAnsi="宋体" w:cs="宋体" w:eastAsia="宋体" w:hint="ascii"/>
          <w:sz w:val="21"/>
          <w:spacing w:val="1"/>
        </w:rPr>
        <w:t>旅费</w:t>
      </w:r>
      <w:r>
        <w:rPr>
          <w:rFonts w:ascii="宋体" w:hAnsi="宋体" w:cs="宋体" w:eastAsia="宋体" w:hint="ascii"/>
          <w:sz w:val="21"/>
          <w:spacing w:val="2"/>
        </w:rPr>
        <w:t>和</w:t>
      </w:r>
      <w:r>
        <w:rPr>
          <w:rFonts w:ascii="宋体" w:hAnsi="宋体" w:cs="宋体" w:eastAsia="宋体" w:hint="ascii"/>
          <w:sz w:val="21"/>
          <w:spacing w:val="1"/>
        </w:rPr>
        <w:t>在</w:t>
      </w:r>
      <w:r>
        <w:rPr>
          <w:rFonts w:ascii="宋体" w:hAnsi="宋体" w:cs="宋体" w:eastAsia="宋体" w:hint="ascii"/>
          <w:sz w:val="21"/>
          <w:spacing w:val="2"/>
        </w:rPr>
        <w:t>华</w:t>
      </w:r>
      <w:r>
        <w:rPr>
          <w:rFonts w:ascii="宋体" w:hAnsi="宋体" w:cs="宋体" w:eastAsia="宋体" w:hint="ascii"/>
          <w:sz w:val="21"/>
          <w:spacing w:val="1"/>
        </w:rPr>
        <w:t>生活</w:t>
      </w:r>
      <w:r>
        <w:rPr>
          <w:rFonts w:ascii="宋体" w:hAnsi="宋体" w:cs="宋体" w:eastAsia="宋体" w:hint="ascii"/>
          <w:sz w:val="21"/>
          <w:spacing w:val="2"/>
        </w:rPr>
        <w:t>费。</w:t>
      </w:r>
      <w:r>
        <w:rPr>
          <w:rFonts w:ascii="Times New Roman" w:hAnsi="Times New Roman" w:cs="Times New Roman" w:eastAsia="Times New Roman" w:hint="ascii"/>
          <w:sz w:val="21"/>
          <w:spacing w:val="2"/>
        </w:rPr>
        <w:t>2</w:t>
      </w:r>
      <w:r>
        <w:rPr>
          <w:rFonts w:ascii="Times New Roman" w:hAnsi="Times New Roman" w:cs="Times New Roman" w:eastAsia="Times New Roman" w:hint="ascii"/>
          <w:sz w:val="21"/>
          <w:spacing w:val="3"/>
        </w:rPr>
        <w:t>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spacing w:val="2"/>
        </w:rPr>
        <w:t>年</w:t>
      </w:r>
      <w:r>
        <w:rPr>
          <w:rFonts w:ascii="宋体" w:hAnsi="宋体" w:cs="宋体" w:eastAsia="宋体" w:hint="ascii"/>
          <w:sz w:val="21"/>
          <w:spacing w:val="1"/>
        </w:rPr>
        <w:t>度有</w:t>
      </w:r>
      <w:r>
        <w:rPr>
          <w:rFonts w:ascii="宋体" w:hAnsi="宋体" w:cs="宋体" w:eastAsia="宋体" w:hint="ascii"/>
          <w:sz w:val="21"/>
          <w:spacing w:val="2"/>
        </w:rPr>
        <w:t>关</w:t>
      </w:r>
      <w:r>
        <w:rPr>
          <w:rFonts w:ascii="宋体" w:hAnsi="宋体" w:cs="宋体" w:eastAsia="宋体" w:hint="ascii"/>
          <w:sz w:val="21"/>
          <w:spacing w:val="1"/>
        </w:rPr>
        <w:t>申请</w:t>
      </w:r>
      <w:r>
        <w:rPr>
          <w:rFonts w:ascii="宋体" w:hAnsi="宋体" w:cs="宋体" w:eastAsia="宋体" w:hint="ascii"/>
          <w:sz w:val="21"/>
          <w:spacing w:val="2"/>
        </w:rPr>
        <w:t>事</w:t>
      </w:r>
      <w:r>
        <w:rPr>
          <w:rFonts w:ascii="宋体" w:hAnsi="宋体" w:cs="宋体" w:eastAsia="宋体" w:hint="ascii"/>
          <w:sz w:val="21"/>
          <w:spacing w:val="1"/>
        </w:rPr>
        <w:t>宜</w:t>
      </w:r>
      <w:r>
        <w:rPr>
          <w:rFonts w:ascii="宋体" w:hAnsi="宋体" w:cs="宋体" w:eastAsia="宋体" w:hint="ascii"/>
          <w:sz w:val="21"/>
          <w:spacing w:val="2"/>
        </w:rPr>
        <w:t>请</w:t>
      </w:r>
      <w:r>
        <w:rPr>
          <w:rFonts w:ascii="宋体" w:hAnsi="宋体" w:cs="宋体" w:eastAsia="宋体" w:hint="ascii"/>
          <w:sz w:val="21"/>
          <w:spacing w:val="1"/>
        </w:rPr>
        <w:t>关注</w:t>
      </w:r>
      <w:r>
        <w:rPr>
          <w:rFonts w:ascii="宋体" w:hAnsi="宋体" w:cs="宋体" w:eastAsia="宋体" w:hint="ascii"/>
          <w:sz w:val="21"/>
          <w:spacing w:val="2"/>
        </w:rPr>
        <w:t>自</w:t>
      </w:r>
      <w:r>
        <w:rPr>
          <w:rFonts w:ascii="宋体" w:hAnsi="宋体" w:cs="宋体" w:eastAsia="宋体" w:hint="ascii"/>
          <w:sz w:val="21"/>
          <w:spacing w:val="1"/>
        </w:rPr>
        <w:t>然</w:t>
      </w:r>
      <w:r>
        <w:rPr>
          <w:rFonts w:ascii="宋体" w:hAnsi="宋体" w:cs="宋体" w:eastAsia="宋体" w:hint="ascii"/>
          <w:sz w:val="21"/>
          <w:spacing w:val="-6"/>
        </w:rPr>
        <w:t>科</w:t>
      </w:r>
      <w:r>
        <w:rPr>
          <w:rFonts w:ascii="宋体" w:hAnsi="宋体" w:cs="宋体" w:eastAsia="宋体" w:hint="ascii"/>
          <w:sz w:val="21"/>
          <w:spacing w:val="4"/>
        </w:rPr>
        <w:t>学基金委</w:t>
      </w:r>
      <w:r>
        <w:rPr>
          <w:rFonts w:ascii="宋体" w:hAnsi="宋体" w:cs="宋体" w:eastAsia="宋体" w:hint="ascii"/>
          <w:sz w:val="21"/>
          <w:spacing w:val="3"/>
        </w:rPr>
        <w:t>网</w:t>
      </w:r>
      <w:r>
        <w:rPr>
          <w:rFonts w:ascii="宋体" w:hAnsi="宋体" w:cs="宋体" w:eastAsia="宋体" w:hint="ascii"/>
          <w:sz w:val="21"/>
          <w:spacing w:val="4"/>
        </w:rPr>
        <w:t>站“通知</w:t>
      </w:r>
      <w:r>
        <w:rPr>
          <w:rFonts w:ascii="宋体" w:hAnsi="宋体" w:cs="宋体" w:eastAsia="宋体" w:hint="ascii"/>
          <w:sz w:val="21"/>
          <w:spacing w:val="3"/>
        </w:rPr>
        <w:t>通</w:t>
      </w:r>
      <w:r>
        <w:rPr>
          <w:rFonts w:ascii="宋体" w:hAnsi="宋体" w:cs="宋体" w:eastAsia="宋体" w:hint="ascii"/>
          <w:sz w:val="21"/>
          <w:spacing w:val="4"/>
        </w:rPr>
        <w:t>告”栏目</w:t>
      </w:r>
      <w:r>
        <w:rPr>
          <w:rFonts w:ascii="宋体" w:hAnsi="宋体" w:cs="宋体" w:eastAsia="宋体" w:hint="ascii"/>
          <w:sz w:val="21"/>
          <w:spacing w:val="2"/>
        </w:rPr>
        <w:t>中</w:t>
      </w:r>
      <w:r>
        <w:rPr>
          <w:rFonts w:ascii="宋体" w:hAnsi="宋体" w:cs="宋体" w:eastAsia="宋体" w:hint="ascii"/>
          <w:sz w:val="21"/>
          <w:spacing w:val="3"/>
        </w:rPr>
        <w:t>发布的《</w:t>
      </w:r>
      <w:r>
        <w:rPr>
          <w:rFonts w:ascii="宋体" w:hAnsi="宋体" w:cs="宋体" w:eastAsia="宋体" w:hint="ascii"/>
          <w:sz w:val="21"/>
          <w:spacing w:val="2"/>
        </w:rPr>
        <w:t>组</w:t>
      </w:r>
      <w:r>
        <w:rPr>
          <w:rFonts w:ascii="宋体" w:hAnsi="宋体" w:cs="宋体" w:eastAsia="宋体" w:hint="ascii"/>
          <w:sz w:val="21"/>
          <w:spacing w:val="3"/>
        </w:rPr>
        <w:t>织间国际</w:t>
      </w:r>
      <w:r>
        <w:rPr>
          <w:rFonts w:ascii="宋体" w:hAnsi="宋体" w:cs="宋体" w:eastAsia="宋体" w:hint="ascii"/>
          <w:sz w:val="21"/>
          <w:spacing w:val="2"/>
        </w:rPr>
        <w:t>（</w:t>
      </w:r>
      <w:r>
        <w:rPr>
          <w:rFonts w:ascii="宋体" w:hAnsi="宋体" w:cs="宋体" w:eastAsia="宋体" w:hint="ascii"/>
          <w:sz w:val="21"/>
          <w:spacing w:val="3"/>
        </w:rPr>
        <w:t>地区）合</w:t>
      </w:r>
      <w:r>
        <w:rPr>
          <w:rFonts w:ascii="宋体" w:hAnsi="宋体" w:cs="宋体" w:eastAsia="宋体" w:hint="ascii"/>
          <w:sz w:val="21"/>
          <w:spacing w:val="2"/>
        </w:rPr>
        <w:t>作</w:t>
      </w:r>
      <w:r>
        <w:rPr>
          <w:rFonts w:ascii="宋体" w:hAnsi="宋体" w:cs="宋体" w:eastAsia="宋体" w:hint="ascii"/>
          <w:sz w:val="21"/>
          <w:spacing w:val="3"/>
        </w:rPr>
        <w:t>研究与</w:t>
      </w:r>
      <w:r>
        <w:rPr>
          <w:rFonts w:ascii="宋体" w:hAnsi="宋体" w:cs="宋体" w:eastAsia="宋体" w:hint="ascii"/>
          <w:sz w:val="21"/>
          <w:spacing w:val="4"/>
        </w:rPr>
        <w:t>交</w:t>
      </w:r>
      <w:r>
        <w:rPr>
          <w:rFonts w:ascii="宋体" w:hAnsi="宋体" w:cs="宋体" w:eastAsia="宋体" w:hint="ascii"/>
          <w:sz w:val="21"/>
          <w:spacing w:val="3"/>
        </w:rPr>
        <w:t>流</w:t>
      </w:r>
      <w:r>
        <w:rPr>
          <w:rFonts w:ascii="宋体" w:hAnsi="宋体" w:cs="宋体" w:eastAsia="宋体" w:hint="ascii"/>
          <w:sz w:val="21"/>
          <w:spacing w:val="-6"/>
        </w:rPr>
        <w:t>项</w:t>
      </w:r>
      <w:r>
        <w:rPr>
          <w:rFonts w:ascii="宋体" w:hAnsi="宋体" w:cs="宋体" w:eastAsia="宋体" w:hint="ascii"/>
          <w:sz w:val="21"/>
          <w:spacing w:val="3"/>
        </w:rPr>
        <w:t>目指南</w:t>
      </w:r>
      <w:r>
        <w:rPr>
          <w:rFonts w:ascii="宋体" w:hAnsi="宋体" w:cs="宋体" w:eastAsia="宋体" w:hint="ascii"/>
          <w:sz w:val="21"/>
          <w:spacing w:val="-51"/>
        </w:rPr>
        <w:t>》</w:t>
      </w:r>
      <w:r>
        <w:rPr>
          <w:rFonts w:ascii="宋体" w:hAnsi="宋体" w:cs="宋体" w:eastAsia="宋体" w:hint="ascii"/>
          <w:sz w:val="21"/>
        </w:rPr>
        <w:t>。</w:t>
      </w:r>
    </w:p>
    <w:p>
      <w:pPr>
        <w:autoSpaceDE w:val="0"/>
        <w:autoSpaceDN w:val="0"/>
        <w:jc w:val="left"/>
        <w:spacing w:before="168"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挪威</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挪威研究理事会（</w:t>
      </w:r>
      <w:r>
        <w:rPr>
          <w:rFonts w:ascii="Times New Roman" w:hAnsi="Times New Roman" w:cs="Times New Roman" w:eastAsia="Times New Roman" w:hint="ascii"/>
          <w:b w:val="1"/>
          <w:sz w:val="21"/>
        </w:rPr>
        <w:t>RCN</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 </w:t>
      </w:r>
      <w:r>
        <w:rPr>
          <w:rFonts w:ascii="Times New Roman" w:hAnsi="Times New Roman" w:cs="Times New Roman" w:eastAsia="Times New Roman" w:hint="ascii"/>
          <w:sz w:val="21"/>
        </w:rPr>
        <w:t>RCN</w:t>
      </w:r>
      <w:r>
        <w:rPr>
          <w:rFonts w:ascii="Times New Roman" w:hAnsi="Times New Roman" w:cs="Times New Roman" w:eastAsia="Times New Roman" w:hint="ascii"/>
          <w:sz w:val="21"/>
          <w:spacing w:val="-3"/>
        </w:rPr>
        <w:t xml:space="preserve"> </w:t>
      </w:r>
      <w:r>
        <w:rPr>
          <w:rFonts w:ascii="宋体" w:hAnsi="宋体" w:cs="宋体" w:eastAsia="宋体" w:hint="ascii"/>
          <w:sz w:val="21"/>
        </w:rPr>
        <w:t>在双方共同感兴趣的领域支持两国研究人员开展实质性合</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作研究。</w:t>
      </w:r>
      <w:r>
        <w:rPr>
          <w:rFonts w:ascii="宋体" w:hAnsi="宋体" w:cs="宋体" w:eastAsia="宋体" w:hint="ascii"/>
          <w:sz w:val="21"/>
        </w:rPr>
        <w:t>此类项目经过双方协商共同发布《组织间国际（地区）合作研究与交流项目指</w:t>
      </w:r>
      <w:r>
        <w:rPr>
          <w:rFonts w:ascii="宋体" w:hAnsi="宋体" w:cs="宋体" w:eastAsia="宋体" w:hint="ascii"/>
          <w:sz w:val="21"/>
          <w:spacing w:val="-1"/>
        </w:rPr>
        <w:t>南</w:t>
      </w:r>
      <w:r>
        <w:rPr>
          <w:rFonts w:ascii="宋体" w:hAnsi="宋体" w:cs="宋体" w:eastAsia="宋体" w:hint="ascii"/>
          <w:sz w:val="21"/>
          <w:spacing w:val="-53"/>
        </w:rPr>
        <w:t>》</w:t>
      </w:r>
      <w:r>
        <w:rPr>
          <w:rFonts w:ascii="宋体" w:hAnsi="宋体" w:cs="宋体" w:eastAsia="宋体" w:hint="ascii"/>
          <w:sz w:val="21"/>
          <w:spacing w:val="-1"/>
        </w:rPr>
        <w:t>，由两国科</w:t>
      </w:r>
      <w:r>
        <w:rPr>
          <w:rFonts w:ascii="宋体" w:hAnsi="宋体" w:cs="宋体" w:eastAsia="宋体" w:hint="ascii"/>
          <w:sz w:val="21"/>
        </w:rPr>
        <w:t>研人员向自然科学基金委和</w:t>
      </w:r>
      <w:r>
        <w:rPr>
          <w:rFonts w:ascii="宋体" w:hAnsi="宋体" w:cs="宋体" w:eastAsia="宋体" w:hint="ascii"/>
          <w:sz w:val="21"/>
          <w:spacing w:val="-15"/>
        </w:rPr>
        <w:t xml:space="preserve"> </w:t>
      </w:r>
      <w:r>
        <w:rPr>
          <w:rFonts w:ascii="Times New Roman" w:hAnsi="Times New Roman" w:cs="Times New Roman" w:eastAsia="Times New Roman" w:hint="ascii"/>
          <w:sz w:val="21"/>
        </w:rPr>
        <w:t>RCN</w:t>
      </w:r>
      <w:r>
        <w:rPr>
          <w:rFonts w:ascii="Times New Roman" w:hAnsi="Times New Roman" w:cs="Times New Roman" w:eastAsia="Times New Roman" w:hint="ascii"/>
          <w:sz w:val="21"/>
          <w:spacing w:val="-16"/>
        </w:rPr>
        <w:t xml:space="preserve"> </w:t>
      </w:r>
      <w:r>
        <w:rPr>
          <w:rFonts w:ascii="宋体" w:hAnsi="宋体" w:cs="宋体" w:eastAsia="宋体" w:hint="ascii"/>
          <w:sz w:val="21"/>
        </w:rPr>
        <w:t>提交申请。自然科学基金委和</w:t>
      </w:r>
      <w:r>
        <w:rPr>
          <w:rFonts w:ascii="宋体" w:hAnsi="宋体" w:cs="宋体" w:eastAsia="宋体" w:hint="ascii"/>
          <w:sz w:val="21"/>
          <w:spacing w:val="-15"/>
        </w:rPr>
        <w:t xml:space="preserve"> </w:t>
      </w:r>
      <w:r>
        <w:rPr>
          <w:rFonts w:ascii="Times New Roman" w:hAnsi="Times New Roman" w:cs="Times New Roman" w:eastAsia="Times New Roman" w:hint="ascii"/>
          <w:sz w:val="21"/>
        </w:rPr>
        <w:t>RCN</w:t>
      </w:r>
      <w:r>
        <w:rPr>
          <w:rFonts w:ascii="Times New Roman" w:hAnsi="Times New Roman" w:cs="Times New Roman" w:eastAsia="Times New Roman" w:hint="ascii"/>
          <w:sz w:val="21"/>
          <w:spacing w:val="-16"/>
        </w:rPr>
        <w:t xml:space="preserve"> </w:t>
      </w:r>
      <w:r>
        <w:rPr>
          <w:rFonts w:ascii="宋体" w:hAnsi="宋体" w:cs="宋体" w:eastAsia="宋体" w:hint="ascii"/>
          <w:sz w:val="21"/>
        </w:rPr>
        <w:t>根据商定的评审方式与程序进行评审，并共同作出资助决定。</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w:t>
      </w:r>
    </w:p>
    <w:p>
      <w:pPr>
        <w:autoSpaceDE w:val="0"/>
        <w:autoSpaceDN w:val="0"/>
        <w:jc w:val="left"/>
        <w:spacing w:before="48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关注自然科</w:t>
      </w:r>
      <w:r>
        <w:rPr>
          <w:rFonts w:ascii="宋体" w:hAnsi="宋体" w:cs="宋体" w:eastAsia="宋体" w:hint="ascii"/>
          <w:sz w:val="21"/>
        </w:rPr>
        <w:t>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52" locked="0" layoutInCell="1" allowOverlap="1">
                <wp:simplePos x="0" y="0"/>
                <wp:positionH relativeFrom="page">
                  <wp:posOffset>938530</wp:posOffset>
                </wp:positionH>
                <wp:positionV relativeFrom="page">
                  <wp:posOffset>819150</wp:posOffset>
                </wp:positionV>
                <wp:extent cx="5076190" cy="0"/>
                <wp:wrapNone/>
                <wp:docPr id="1281" name="128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400192;width:399.70pt;" id="128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芬兰</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芬兰科学院（</w:t>
      </w:r>
      <w:r>
        <w:rPr>
          <w:rFonts w:ascii="Times New Roman" w:hAnsi="Times New Roman" w:cs="Times New Roman" w:eastAsia="Times New Roman" w:hint="ascii"/>
          <w:b w:val="1"/>
          <w:sz w:val="21"/>
        </w:rPr>
        <w:t>AF</w:t>
      </w:r>
      <w:r>
        <w:rPr>
          <w:rFonts w:ascii="宋体" w:hAnsi="宋体" w:cs="宋体" w:eastAsia="宋体" w:hint="ascii"/>
          <w:sz w:val="21"/>
        </w:rPr>
        <w:t>）</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）合作交流项目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中芬科学家需在项目执行期前</w:t>
      </w:r>
      <w:r>
        <w:rPr>
          <w:rFonts w:ascii="宋体" w:hAnsi="宋体" w:cs="宋体" w:eastAsia="宋体" w:hint="ascii"/>
          <w:sz w:val="21"/>
          <w:spacing w:val="-20"/>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0"/>
        </w:rPr>
        <w:t xml:space="preserve"> </w:t>
      </w:r>
      <w:r>
        <w:rPr>
          <w:rFonts w:ascii="宋体" w:hAnsi="宋体" w:cs="宋体" w:eastAsia="宋体" w:hint="ascii"/>
          <w:sz w:val="21"/>
        </w:rPr>
        <w:t>个月分别向自然科学基金委和</w:t>
      </w:r>
      <w:r>
        <w:rPr>
          <w:rFonts w:ascii="宋体" w:hAnsi="宋体" w:cs="宋体" w:eastAsia="宋体" w:hint="ascii"/>
          <w:sz w:val="21"/>
          <w:spacing w:val="-19"/>
        </w:rPr>
        <w:t xml:space="preserve"> </w:t>
      </w:r>
      <w:r>
        <w:rPr>
          <w:rFonts w:ascii="Times New Roman" w:hAnsi="Times New Roman" w:cs="Times New Roman" w:eastAsia="Times New Roman" w:hint="ascii"/>
          <w:sz w:val="21"/>
        </w:rPr>
        <w:t>AF</w:t>
      </w:r>
      <w:r>
        <w:rPr>
          <w:rFonts w:ascii="Times New Roman" w:hAnsi="Times New Roman" w:cs="Times New Roman" w:eastAsia="Times New Roman" w:hint="ascii"/>
          <w:sz w:val="21"/>
          <w:spacing w:val="-21"/>
        </w:rPr>
        <w:t xml:space="preserve"> </w:t>
      </w:r>
      <w:r>
        <w:rPr>
          <w:rFonts w:ascii="宋体" w:hAnsi="宋体" w:cs="宋体" w:eastAsia="宋体" w:hint="ascii"/>
          <w:sz w:val="21"/>
        </w:rPr>
        <w:t>提出项目申请。</w:t>
      </w:r>
    </w:p>
    <w:p>
      <w:pPr>
        <w:autoSpaceDE w:val="0"/>
        <w:autoSpaceDN w:val="0"/>
        <w:jc w:val="both"/>
        <w:spacing w:before="12"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双方经过评</w:t>
      </w:r>
      <w:r>
        <w:rPr>
          <w:rFonts w:ascii="宋体" w:hAnsi="宋体" w:cs="宋体" w:eastAsia="宋体" w:hint="ascii"/>
          <w:sz w:val="21"/>
        </w:rPr>
        <w:t>审和协商后作出资助决定。此项目不发布《组织间国际（地区）合作研究与交流项目指南</w:t>
      </w:r>
      <w:r>
        <w:rPr>
          <w:rFonts w:ascii="宋体" w:hAnsi="宋体" w:cs="宋体" w:eastAsia="宋体" w:hint="ascii"/>
          <w:sz w:val="21"/>
          <w:spacing w:val="-52"/>
        </w:rPr>
        <w:t>》</w:t>
      </w:r>
      <w:r>
        <w:rPr>
          <w:rFonts w:ascii="宋体" w:hAnsi="宋体" w:cs="宋体" w:eastAsia="宋体" w:hint="ascii"/>
          <w:sz w:val="21"/>
        </w:rPr>
        <w:t>，申请人可随时向自然科学基金委提出申请。</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）学术会议项目</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中芬科学家需在项目执行期前</w:t>
      </w:r>
      <w:r>
        <w:rPr>
          <w:rFonts w:ascii="宋体" w:hAnsi="宋体" w:cs="宋体" w:eastAsia="宋体" w:hint="ascii"/>
          <w:sz w:val="21"/>
          <w:spacing w:val="-20"/>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0"/>
        </w:rPr>
        <w:t xml:space="preserve"> </w:t>
      </w:r>
      <w:r>
        <w:rPr>
          <w:rFonts w:ascii="宋体" w:hAnsi="宋体" w:cs="宋体" w:eastAsia="宋体" w:hint="ascii"/>
          <w:sz w:val="21"/>
        </w:rPr>
        <w:t>个月分别向自然科学基金委和</w:t>
      </w:r>
      <w:r>
        <w:rPr>
          <w:rFonts w:ascii="宋体" w:hAnsi="宋体" w:cs="宋体" w:eastAsia="宋体" w:hint="ascii"/>
          <w:sz w:val="21"/>
          <w:spacing w:val="-19"/>
        </w:rPr>
        <w:t xml:space="preserve"> </w:t>
      </w:r>
      <w:r>
        <w:rPr>
          <w:rFonts w:ascii="Times New Roman" w:hAnsi="Times New Roman" w:cs="Times New Roman" w:eastAsia="Times New Roman" w:hint="ascii"/>
          <w:sz w:val="21"/>
        </w:rPr>
        <w:t>AF</w:t>
      </w:r>
      <w:r>
        <w:rPr>
          <w:rFonts w:ascii="Times New Roman" w:hAnsi="Times New Roman" w:cs="Times New Roman" w:eastAsia="Times New Roman" w:hint="ascii"/>
          <w:sz w:val="21"/>
          <w:spacing w:val="-21"/>
        </w:rPr>
        <w:t xml:space="preserve"> </w:t>
      </w:r>
      <w:r>
        <w:rPr>
          <w:rFonts w:ascii="宋体" w:hAnsi="宋体" w:cs="宋体" w:eastAsia="宋体" w:hint="ascii"/>
          <w:sz w:val="21"/>
        </w:rPr>
        <w:t>提出项目申请。</w:t>
      </w:r>
    </w:p>
    <w:p>
      <w:pPr>
        <w:autoSpaceDE w:val="0"/>
        <w:autoSpaceDN w:val="0"/>
        <w:jc w:val="both"/>
        <w:spacing w:before="13"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双方经过评</w:t>
      </w:r>
      <w:r>
        <w:rPr>
          <w:rFonts w:ascii="宋体" w:hAnsi="宋体" w:cs="宋体" w:eastAsia="宋体" w:hint="ascii"/>
          <w:sz w:val="21"/>
        </w:rPr>
        <w:t>审和协商后作出资助决定。此项目不发布《组织间国际（地区）合作研究与交流项目指南</w:t>
      </w:r>
      <w:r>
        <w:rPr>
          <w:rFonts w:ascii="宋体" w:hAnsi="宋体" w:cs="宋体" w:eastAsia="宋体" w:hint="ascii"/>
          <w:sz w:val="21"/>
          <w:spacing w:val="-52"/>
        </w:rPr>
        <w:t>》</w:t>
      </w:r>
      <w:r>
        <w:rPr>
          <w:rFonts w:ascii="宋体" w:hAnsi="宋体" w:cs="宋体" w:eastAsia="宋体" w:hint="ascii"/>
          <w:sz w:val="21"/>
        </w:rPr>
        <w:t>，申请人可随时向自然科学基金委提出申请。</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荷兰</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荷兰科学研究组织（</w:t>
      </w:r>
      <w:r>
        <w:rPr>
          <w:rFonts w:ascii="Times New Roman" w:hAnsi="Times New Roman" w:cs="Times New Roman" w:eastAsia="Times New Roman" w:hint="ascii"/>
          <w:b w:val="1"/>
          <w:sz w:val="21"/>
        </w:rPr>
        <w:t>NWO</w:t>
      </w:r>
      <w:r>
        <w:rPr>
          <w:rFonts w:ascii="宋体" w:hAnsi="宋体" w:cs="宋体" w:eastAsia="宋体" w:hint="ascii"/>
          <w:sz w:val="21"/>
        </w:rPr>
        <w:t>）</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）合作研究项目</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19"/>
        </w:rPr>
        <w:t xml:space="preserve"> </w:t>
      </w:r>
      <w:r>
        <w:rPr>
          <w:rFonts w:ascii="Times New Roman" w:hAnsi="Times New Roman" w:cs="Times New Roman" w:eastAsia="Times New Roman" w:hint="ascii"/>
          <w:sz w:val="21"/>
        </w:rPr>
        <w:t>NWO</w:t>
      </w:r>
      <w:r>
        <w:rPr>
          <w:rFonts w:ascii="Times New Roman" w:hAnsi="Times New Roman" w:cs="Times New Roman" w:eastAsia="Times New Roman" w:hint="ascii"/>
          <w:sz w:val="21"/>
          <w:spacing w:val="-20"/>
        </w:rPr>
        <w:t xml:space="preserve"> </w:t>
      </w:r>
      <w:r>
        <w:rPr>
          <w:rFonts w:ascii="宋体" w:hAnsi="宋体" w:cs="宋体" w:eastAsia="宋体" w:hint="ascii"/>
          <w:sz w:val="21"/>
        </w:rPr>
        <w:t>在双方共同感兴趣的领域鼓励两国研究人员和研究团队之</w:t>
      </w:r>
    </w:p>
    <w:p>
      <w:pPr>
        <w:autoSpaceDE w:val="0"/>
        <w:autoSpaceDN w:val="0"/>
        <w:jc w:val="both"/>
        <w:spacing w:before="10"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间开</w:t>
      </w:r>
      <w:r>
        <w:rPr>
          <w:rFonts w:ascii="宋体" w:hAnsi="宋体" w:cs="宋体" w:eastAsia="宋体" w:hint="ascii"/>
          <w:sz w:val="21"/>
          <w:spacing w:val="-1"/>
        </w:rPr>
        <w:t>展</w:t>
      </w:r>
      <w:r>
        <w:rPr>
          <w:rFonts w:ascii="宋体" w:hAnsi="宋体" w:cs="宋体" w:eastAsia="宋体" w:hint="ascii"/>
          <w:sz w:val="21"/>
        </w:rPr>
        <w:t>实</w:t>
      </w:r>
      <w:r>
        <w:rPr>
          <w:rFonts w:ascii="宋体" w:hAnsi="宋体" w:cs="宋体" w:eastAsia="宋体" w:hint="ascii"/>
          <w:sz w:val="21"/>
          <w:spacing w:val="-1"/>
        </w:rPr>
        <w:t>质</w:t>
      </w:r>
      <w:r>
        <w:rPr>
          <w:rFonts w:ascii="宋体" w:hAnsi="宋体" w:cs="宋体" w:eastAsia="宋体" w:hint="ascii"/>
          <w:sz w:val="21"/>
        </w:rPr>
        <w:t>性合</w:t>
      </w:r>
      <w:r>
        <w:rPr>
          <w:rFonts w:ascii="宋体" w:hAnsi="宋体" w:cs="宋体" w:eastAsia="宋体" w:hint="ascii"/>
          <w:sz w:val="21"/>
          <w:spacing w:val="-1"/>
        </w:rPr>
        <w:t>作</w:t>
      </w:r>
      <w:r>
        <w:rPr>
          <w:rFonts w:ascii="宋体" w:hAnsi="宋体" w:cs="宋体" w:eastAsia="宋体" w:hint="ascii"/>
          <w:sz w:val="21"/>
        </w:rPr>
        <w:t>研</w:t>
      </w:r>
      <w:r>
        <w:rPr>
          <w:rFonts w:ascii="宋体" w:hAnsi="宋体" w:cs="宋体" w:eastAsia="宋体" w:hint="ascii"/>
          <w:sz w:val="21"/>
          <w:spacing w:val="-1"/>
        </w:rPr>
        <w:t>究</w:t>
      </w:r>
      <w:r>
        <w:rPr>
          <w:rFonts w:ascii="宋体" w:hAnsi="宋体" w:cs="宋体" w:eastAsia="宋体" w:hint="ascii"/>
          <w:sz w:val="21"/>
        </w:rPr>
        <w:t>。</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w:t>
      </w:r>
      <w:r>
        <w:rPr>
          <w:rFonts w:ascii="宋体" w:hAnsi="宋体" w:cs="宋体" w:eastAsia="宋体" w:hint="ascii"/>
          <w:sz w:val="21"/>
          <w:spacing w:val="-1"/>
        </w:rPr>
        <w:t>度</w:t>
      </w:r>
      <w:r>
        <w:rPr>
          <w:rFonts w:ascii="宋体" w:hAnsi="宋体" w:cs="宋体" w:eastAsia="宋体" w:hint="ascii"/>
          <w:sz w:val="21"/>
        </w:rPr>
        <w:t>有关</w:t>
      </w:r>
      <w:r>
        <w:rPr>
          <w:rFonts w:ascii="宋体" w:hAnsi="宋体" w:cs="宋体" w:eastAsia="宋体" w:hint="ascii"/>
          <w:sz w:val="21"/>
          <w:spacing w:val="-1"/>
        </w:rPr>
        <w:t>申</w:t>
      </w:r>
      <w:r>
        <w:rPr>
          <w:rFonts w:ascii="宋体" w:hAnsi="宋体" w:cs="宋体" w:eastAsia="宋体" w:hint="ascii"/>
          <w:sz w:val="21"/>
        </w:rPr>
        <w:t>请</w:t>
      </w:r>
      <w:r>
        <w:rPr>
          <w:rFonts w:ascii="宋体" w:hAnsi="宋体" w:cs="宋体" w:eastAsia="宋体" w:hint="ascii"/>
          <w:sz w:val="21"/>
          <w:spacing w:val="-1"/>
        </w:rPr>
        <w:t>事</w:t>
      </w:r>
      <w:r>
        <w:rPr>
          <w:rFonts w:ascii="宋体" w:hAnsi="宋体" w:cs="宋体" w:eastAsia="宋体" w:hint="ascii"/>
          <w:sz w:val="21"/>
        </w:rPr>
        <w:t>宜请</w:t>
      </w:r>
      <w:r>
        <w:rPr>
          <w:rFonts w:ascii="宋体" w:hAnsi="宋体" w:cs="宋体" w:eastAsia="宋体" w:hint="ascii"/>
          <w:sz w:val="21"/>
          <w:spacing w:val="-1"/>
        </w:rPr>
        <w:t>关</w:t>
      </w:r>
      <w:r>
        <w:rPr>
          <w:rFonts w:ascii="宋体" w:hAnsi="宋体" w:cs="宋体" w:eastAsia="宋体" w:hint="ascii"/>
          <w:sz w:val="21"/>
        </w:rPr>
        <w:t>注</w:t>
      </w:r>
      <w:r>
        <w:rPr>
          <w:rFonts w:ascii="宋体" w:hAnsi="宋体" w:cs="宋体" w:eastAsia="宋体" w:hint="ascii"/>
          <w:sz w:val="21"/>
          <w:spacing w:val="-1"/>
        </w:rPr>
        <w:t>自</w:t>
      </w:r>
      <w:r>
        <w:rPr>
          <w:rFonts w:ascii="宋体" w:hAnsi="宋体" w:cs="宋体" w:eastAsia="宋体" w:hint="ascii"/>
          <w:sz w:val="21"/>
        </w:rPr>
        <w:t>然科</w:t>
      </w:r>
      <w:r>
        <w:rPr>
          <w:rFonts w:ascii="宋体" w:hAnsi="宋体" w:cs="宋体" w:eastAsia="宋体" w:hint="ascii"/>
          <w:sz w:val="21"/>
          <w:spacing w:val="-1"/>
        </w:rPr>
        <w:t>学</w:t>
      </w:r>
      <w:r>
        <w:rPr>
          <w:rFonts w:ascii="宋体" w:hAnsi="宋体" w:cs="宋体" w:eastAsia="宋体" w:hint="ascii"/>
          <w:sz w:val="21"/>
        </w:rPr>
        <w:t>基</w:t>
      </w:r>
      <w:r>
        <w:rPr>
          <w:rFonts w:ascii="宋体" w:hAnsi="宋体" w:cs="宋体" w:eastAsia="宋体" w:hint="ascii"/>
          <w:sz w:val="21"/>
          <w:spacing w:val="-1"/>
        </w:rPr>
        <w:t>金</w:t>
      </w:r>
      <w:r>
        <w:rPr>
          <w:rFonts w:ascii="宋体" w:hAnsi="宋体" w:cs="宋体" w:eastAsia="宋体" w:hint="ascii"/>
          <w:sz w:val="21"/>
        </w:rPr>
        <w:t>委网</w:t>
      </w:r>
      <w:r>
        <w:rPr>
          <w:rFonts w:ascii="宋体" w:hAnsi="宋体" w:cs="宋体" w:eastAsia="宋体" w:hint="ascii"/>
          <w:sz w:val="21"/>
          <w:spacing w:val="-1"/>
        </w:rPr>
        <w:t>站</w:t>
      </w:r>
      <w:r>
        <w:rPr>
          <w:rFonts w:ascii="宋体" w:hAnsi="宋体" w:cs="宋体" w:eastAsia="宋体" w:hint="ascii"/>
          <w:sz w:val="21"/>
        </w:rPr>
        <w:t>“</w:t>
      </w:r>
      <w:r>
        <w:rPr>
          <w:rFonts w:ascii="宋体" w:hAnsi="宋体" w:cs="宋体" w:eastAsia="宋体" w:hint="ascii"/>
          <w:sz w:val="21"/>
          <w:spacing w:val="-1"/>
        </w:rPr>
        <w:t>通</w:t>
      </w:r>
      <w:r>
        <w:rPr>
          <w:rFonts w:ascii="宋体" w:hAnsi="宋体" w:cs="宋体" w:eastAsia="宋体" w:hint="ascii"/>
          <w:sz w:val="21"/>
        </w:rPr>
        <w:t>知</w:t>
      </w:r>
      <w:r>
        <w:rPr>
          <w:rFonts w:ascii="宋体" w:hAnsi="宋体" w:cs="宋体" w:eastAsia="宋体" w:hint="ascii"/>
          <w:sz w:val="21"/>
          <w:spacing w:val="-4"/>
        </w:rPr>
        <w:t>通</w:t>
      </w:r>
      <w:r>
        <w:rPr>
          <w:rFonts w:ascii="宋体" w:hAnsi="宋体" w:cs="宋体" w:eastAsia="宋体" w:hint="ascii"/>
          <w:sz w:val="21"/>
        </w:rPr>
        <w:t>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）合作交流项目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中荷研究人员需在项目执行期前</w:t>
      </w:r>
      <w:r>
        <w:rPr>
          <w:rFonts w:ascii="宋体" w:hAnsi="宋体" w:cs="宋体" w:eastAsia="宋体" w:hint="ascii"/>
          <w:sz w:val="21"/>
          <w:spacing w:val="-23"/>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3"/>
        </w:rPr>
        <w:t xml:space="preserve"> </w:t>
      </w:r>
      <w:r>
        <w:rPr>
          <w:rFonts w:ascii="宋体" w:hAnsi="宋体" w:cs="宋体" w:eastAsia="宋体" w:hint="ascii"/>
          <w:sz w:val="21"/>
        </w:rPr>
        <w:t>个月分别向自然科学基金委和</w:t>
      </w:r>
      <w:r>
        <w:rPr>
          <w:rFonts w:ascii="宋体" w:hAnsi="宋体" w:cs="宋体" w:eastAsia="宋体" w:hint="ascii"/>
          <w:sz w:val="21"/>
          <w:spacing w:val="-23"/>
        </w:rPr>
        <w:t xml:space="preserve"> </w:t>
      </w:r>
      <w:r>
        <w:rPr>
          <w:rFonts w:ascii="Times New Roman" w:hAnsi="Times New Roman" w:cs="Times New Roman" w:eastAsia="Times New Roman" w:hint="ascii"/>
          <w:sz w:val="21"/>
        </w:rPr>
        <w:t>NWO</w:t>
      </w:r>
      <w:r>
        <w:rPr>
          <w:rFonts w:ascii="Times New Roman" w:hAnsi="Times New Roman" w:cs="Times New Roman" w:eastAsia="Times New Roman" w:hint="ascii"/>
          <w:sz w:val="21"/>
          <w:spacing w:val="-23"/>
        </w:rPr>
        <w:t xml:space="preserve"> </w:t>
      </w:r>
      <w:r>
        <w:rPr>
          <w:rFonts w:ascii="宋体" w:hAnsi="宋体" w:cs="宋体" w:eastAsia="宋体" w:hint="ascii"/>
          <w:sz w:val="21"/>
        </w:rPr>
        <w:t>提出项目申</w:t>
      </w:r>
    </w:p>
    <w:p>
      <w:pPr>
        <w:autoSpaceDE w:val="0"/>
        <w:autoSpaceDN w:val="0"/>
        <w:jc w:val="left"/>
        <w:spacing w:before="12"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请（中方研究人员出访荷兰需提前</w:t>
      </w:r>
      <w:r>
        <w:rPr>
          <w:rFonts w:ascii="宋体" w:hAnsi="宋体" w:cs="宋体" w:eastAsia="宋体" w:hint="ascii"/>
          <w:sz w:val="21"/>
          <w:spacing w:val="-10"/>
        </w:rPr>
        <w:t xml:space="preserve"> </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10"/>
        </w:rPr>
        <w:t xml:space="preserve"> </w:t>
      </w:r>
      <w:r>
        <w:rPr>
          <w:rFonts w:ascii="宋体" w:hAnsi="宋体" w:cs="宋体" w:eastAsia="宋体" w:hint="ascii"/>
          <w:sz w:val="21"/>
        </w:rPr>
        <w:t>个月向</w:t>
      </w:r>
      <w:r>
        <w:rPr>
          <w:rFonts w:ascii="宋体" w:hAnsi="宋体" w:cs="宋体" w:eastAsia="宋体" w:hint="ascii"/>
          <w:sz w:val="21"/>
          <w:spacing w:val="-9"/>
        </w:rPr>
        <w:t xml:space="preserve"> </w:t>
      </w:r>
      <w:r>
        <w:rPr>
          <w:rFonts w:ascii="Times New Roman" w:hAnsi="Times New Roman" w:cs="Times New Roman" w:eastAsia="Times New Roman" w:hint="ascii"/>
          <w:sz w:val="21"/>
        </w:rPr>
        <w:t>NWO</w:t>
      </w:r>
      <w:r>
        <w:rPr>
          <w:rFonts w:ascii="Times New Roman" w:hAnsi="Times New Roman" w:cs="Times New Roman" w:eastAsia="Times New Roman" w:hint="ascii"/>
          <w:sz w:val="21"/>
          <w:spacing w:val="-10"/>
        </w:rPr>
        <w:t xml:space="preserve"> </w:t>
      </w:r>
      <w:r>
        <w:rPr>
          <w:rFonts w:ascii="宋体" w:hAnsi="宋体" w:cs="宋体" w:eastAsia="宋体" w:hint="ascii"/>
          <w:sz w:val="21"/>
        </w:rPr>
        <w:t>提出申请</w:t>
      </w:r>
      <w:r>
        <w:rPr>
          <w:rFonts w:ascii="宋体" w:hAnsi="宋体" w:cs="宋体" w:eastAsia="宋体" w:hint="ascii"/>
          <w:sz w:val="21"/>
          <w:spacing w:val="-52"/>
        </w:rPr>
        <w:t>）</w:t>
      </w:r>
      <w:r>
        <w:rPr>
          <w:rFonts w:ascii="宋体" w:hAnsi="宋体" w:cs="宋体" w:eastAsia="宋体" w:hint="ascii"/>
          <w:sz w:val="21"/>
        </w:rPr>
        <w:t>。双方经过评审和协商后作出资助决定。此项目不发布《组织间国际（地区）合作研究与交流项目指南</w:t>
      </w:r>
      <w:r>
        <w:rPr>
          <w:rFonts w:ascii="宋体" w:hAnsi="宋体" w:cs="宋体" w:eastAsia="宋体" w:hint="ascii"/>
          <w:sz w:val="21"/>
          <w:spacing w:val="-51"/>
        </w:rPr>
        <w:t>》</w:t>
      </w:r>
      <w:r>
        <w:rPr>
          <w:rFonts w:ascii="宋体" w:hAnsi="宋体" w:cs="宋体" w:eastAsia="宋体" w:hint="ascii"/>
          <w:sz w:val="21"/>
        </w:rPr>
        <w:t>，申请人可随时向自然科学基金委提出申请。</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）学术会议项目</w:t>
      </w:r>
    </w:p>
    <w:p>
      <w:pPr>
        <w:autoSpaceDE w:val="0"/>
        <w:autoSpaceDN w:val="0"/>
        <w:jc w:val="left"/>
        <w:spacing w:before="13" w:after="0" w:lineRule="exact" w:line="319"/>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 xml:space="preserve">中荷科学家需在项目执行期前 </w:t>
      </w:r>
      <w:r>
        <w:rPr>
          <w:rFonts w:ascii="Times New Roman" w:hAnsi="Times New Roman" w:cs="Times New Roman" w:eastAsia="Times New Roman" w:hint="ascii"/>
          <w:sz w:val="21"/>
        </w:rPr>
        <w:t xml:space="preserve">3 </w:t>
      </w:r>
      <w:r>
        <w:rPr>
          <w:rFonts w:ascii="宋体" w:hAnsi="宋体" w:cs="宋体" w:eastAsia="宋体" w:hint="ascii"/>
          <w:sz w:val="21"/>
        </w:rPr>
        <w:t xml:space="preserve">个月分别向自然科学基金委和 </w:t>
      </w:r>
      <w:r>
        <w:rPr>
          <w:rFonts w:ascii="Times New Roman" w:hAnsi="Times New Roman" w:cs="Times New Roman" w:eastAsia="Times New Roman" w:hint="ascii"/>
          <w:sz w:val="21"/>
        </w:rPr>
        <w:t xml:space="preserve">NWO </w:t>
      </w:r>
      <w:r>
        <w:rPr>
          <w:rFonts w:ascii="宋体" w:hAnsi="宋体" w:cs="宋体" w:eastAsia="宋体" w:hint="ascii"/>
          <w:sz w:val="21"/>
        </w:rPr>
        <w:t>提出项目申请。双方经过评审和协商后作出资助决定。此项目不发布《组织间国际（地区）合作研究与交流项目指南</w:t>
      </w:r>
      <w:r>
        <w:rPr>
          <w:rFonts w:ascii="宋体" w:hAnsi="宋体" w:cs="宋体" w:eastAsia="宋体" w:hint="ascii"/>
          <w:sz w:val="21"/>
          <w:spacing w:val="-52"/>
        </w:rPr>
        <w:t>》</w:t>
      </w:r>
      <w:r>
        <w:rPr>
          <w:rFonts w:ascii="宋体" w:hAnsi="宋体" w:cs="宋体" w:eastAsia="宋体" w:hint="ascii"/>
          <w:sz w:val="21"/>
        </w:rPr>
        <w:t>，申请人可随时向自然科学基金委提出申请。</w:t>
      </w:r>
    </w:p>
    <w:p>
      <w:pPr>
        <w:autoSpaceDE w:val="0"/>
        <w:autoSpaceDN w:val="0"/>
        <w:jc w:val="left"/>
        <w:spacing w:before="16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奥地利</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奥地利科学基金会（</w:t>
      </w:r>
      <w:r>
        <w:rPr>
          <w:rFonts w:ascii="Times New Roman" w:hAnsi="Times New Roman" w:cs="Times New Roman" w:eastAsia="Times New Roman" w:hint="ascii"/>
          <w:b w:val="1"/>
          <w:sz w:val="21"/>
        </w:rPr>
        <w:t>FWF</w:t>
      </w:r>
      <w:r>
        <w:rPr>
          <w:rFonts w:ascii="宋体" w:hAnsi="宋体" w:cs="宋体" w:eastAsia="宋体" w:hint="ascii"/>
          <w:sz w:val="21"/>
        </w:rPr>
        <w:t>）</w:t>
      </w:r>
    </w:p>
    <w:p>
      <w:pPr>
        <w:autoSpaceDE w:val="0"/>
        <w:autoSpaceDN w:val="0"/>
        <w:jc w:val="left"/>
        <w:spacing w:before="5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 </w:t>
      </w:r>
      <w:r>
        <w:rPr>
          <w:rFonts w:ascii="Times New Roman" w:hAnsi="Times New Roman" w:cs="Times New Roman" w:eastAsia="Times New Roman" w:hint="ascii"/>
          <w:sz w:val="21"/>
        </w:rPr>
        <w:t>FWF</w:t>
      </w:r>
      <w:r>
        <w:rPr>
          <w:rFonts w:ascii="Times New Roman" w:hAnsi="Times New Roman" w:cs="Times New Roman" w:eastAsia="Times New Roman" w:hint="ascii"/>
          <w:sz w:val="21"/>
          <w:spacing w:val="-3"/>
        </w:rPr>
        <w:t xml:space="preserve"> </w:t>
      </w:r>
      <w:r>
        <w:rPr>
          <w:rFonts w:ascii="宋体" w:hAnsi="宋体" w:cs="宋体" w:eastAsia="宋体" w:hint="ascii"/>
          <w:sz w:val="21"/>
        </w:rPr>
        <w:t>根据双方的合作基础和共同感兴趣的领域，支持两国研究</w:t>
      </w:r>
    </w:p>
    <w:p>
      <w:pPr>
        <w:autoSpaceDE w:val="0"/>
        <w:autoSpaceDN w:val="0"/>
        <w:jc w:val="left"/>
        <w:spacing w:before="10"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人员在相关领域开展实质性合作研究。</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年度有关申请事宜请关注自然科学基金委网站“通知通告”栏目中发布的《组织间国际（地区）合作研究与交流项目指南</w:t>
      </w:r>
      <w:r>
        <w:rPr>
          <w:rFonts w:ascii="宋体" w:hAnsi="宋体" w:cs="宋体" w:eastAsia="宋体" w:hint="ascii"/>
          <w:sz w:val="21"/>
          <w:spacing w:val="-51"/>
        </w:rPr>
        <w:t>》</w:t>
      </w:r>
      <w:r>
        <w:rPr>
          <w:rFonts w:ascii="宋体" w:hAnsi="宋体" w:cs="宋体" w:eastAsia="宋体" w:hint="ascii"/>
          <w:sz w:val="21"/>
        </w:rPr>
        <w:t>。两国研究人员分别向自然科学基金委和</w:t>
      </w:r>
      <w:r>
        <w:rPr>
          <w:rFonts w:ascii="宋体" w:hAnsi="宋体" w:cs="宋体" w:eastAsia="宋体" w:hint="ascii"/>
          <w:sz w:val="21"/>
          <w:spacing w:val="-2"/>
        </w:rPr>
        <w:t xml:space="preserve"> </w:t>
      </w:r>
      <w:r>
        <w:rPr>
          <w:rFonts w:ascii="Times New Roman" w:hAnsi="Times New Roman" w:cs="Times New Roman" w:eastAsia="Times New Roman" w:hint="ascii"/>
          <w:sz w:val="21"/>
        </w:rPr>
        <w:t>FWF</w:t>
      </w:r>
      <w:r>
        <w:rPr>
          <w:rFonts w:ascii="Times New Roman" w:hAnsi="Times New Roman" w:cs="Times New Roman" w:eastAsia="Times New Roman" w:hint="ascii"/>
          <w:sz w:val="21"/>
          <w:spacing w:val="-3"/>
        </w:rPr>
        <w:t xml:space="preserve"> </w:t>
      </w:r>
      <w:r>
        <w:rPr>
          <w:rFonts w:ascii="宋体" w:hAnsi="宋体" w:cs="宋体" w:eastAsia="宋体" w:hint="ascii"/>
          <w:sz w:val="21"/>
        </w:rPr>
        <w:t>提交申请，由自然科学基金委与</w:t>
      </w:r>
      <w:r>
        <w:rPr>
          <w:rFonts w:ascii="宋体" w:hAnsi="宋体" w:cs="宋体" w:eastAsia="宋体" w:hint="ascii"/>
          <w:sz w:val="21"/>
          <w:spacing w:val="-2"/>
        </w:rPr>
        <w:t xml:space="preserve"> </w:t>
      </w:r>
      <w:r>
        <w:rPr>
          <w:rFonts w:ascii="Times New Roman" w:hAnsi="Times New Roman" w:cs="Times New Roman" w:eastAsia="Times New Roman" w:hint="ascii"/>
          <w:sz w:val="21"/>
          <w:spacing w:val="-1"/>
        </w:rPr>
        <w:t>FW</w:t>
      </w:r>
      <w:r>
        <w:rPr>
          <w:rFonts w:ascii="Times New Roman" w:hAnsi="Times New Roman" w:cs="Times New Roman" w:eastAsia="Times New Roman" w:hint="ascii"/>
          <w:sz w:val="21"/>
        </w:rPr>
        <w:t>F</w:t>
      </w:r>
      <w:r>
        <w:rPr>
          <w:rFonts w:ascii="Times New Roman" w:hAnsi="Times New Roman" w:cs="Times New Roman" w:eastAsia="Times New Roman" w:hint="ascii"/>
          <w:sz w:val="21"/>
          <w:spacing w:val="-3"/>
        </w:rPr>
        <w:t xml:space="preserve"> </w:t>
      </w:r>
      <w:r>
        <w:rPr>
          <w:rFonts w:ascii="宋体" w:hAnsi="宋体" w:cs="宋体" w:eastAsia="宋体" w:hint="ascii"/>
          <w:sz w:val="21"/>
        </w:rPr>
        <w:t>根据商定的评审方式和程序进行评审并共同做出资助决定。</w:t>
      </w:r>
    </w:p>
    <w:p>
      <w:pPr>
        <w:autoSpaceDE w:val="0"/>
        <w:autoSpaceDN w:val="0"/>
        <w:jc w:val="left"/>
        <w:spacing w:before="360"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瑞士</w:t>
      </w:r>
      <w:r>
        <w:rPr>
          <w:rFonts w:ascii="宋体" w:hAnsi="宋体" w:cs="宋体" w:eastAsia="宋体" w:hint="ascii"/>
        </w:rPr>
        <mc:AlternateContent>
          <mc:Choice Requires="wps">
            <w:drawing>
              <wp:anchor distL="0" distR="0" distT="0" distB="0" simplePos="0" behindDoc="1" relativeHeight="253" locked="0" layoutInCell="1" allowOverlap="1">
                <wp:simplePos x="0" y="0"/>
                <wp:positionH relativeFrom="page">
                  <wp:posOffset>938530</wp:posOffset>
                </wp:positionH>
                <wp:positionV relativeFrom="page">
                  <wp:posOffset>805815</wp:posOffset>
                </wp:positionV>
                <wp:extent cx="5076190" cy="0"/>
                <wp:wrapNone/>
                <wp:docPr id="1282" name="128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99168;width:399.70pt;" id="128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瑞士国家科学基金会（</w:t>
      </w:r>
      <w:r>
        <w:rPr>
          <w:rFonts w:ascii="Times New Roman" w:hAnsi="Times New Roman" w:cs="Times New Roman" w:eastAsia="Times New Roman" w:hint="ascii"/>
          <w:b w:val="1"/>
          <w:sz w:val="21"/>
        </w:rPr>
        <w:t>SNSF</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19"/>
        </w:rPr>
        <w:t xml:space="preserve"> </w:t>
      </w:r>
      <w:r>
        <w:rPr>
          <w:rFonts w:ascii="Times New Roman" w:hAnsi="Times New Roman" w:cs="Times New Roman" w:eastAsia="Times New Roman" w:hint="ascii"/>
          <w:sz w:val="21"/>
        </w:rPr>
        <w:t>SNSF</w:t>
      </w:r>
      <w:r>
        <w:rPr>
          <w:rFonts w:ascii="Times New Roman" w:hAnsi="Times New Roman" w:cs="Times New Roman" w:eastAsia="Times New Roman" w:hint="ascii"/>
          <w:sz w:val="21"/>
          <w:spacing w:val="-20"/>
        </w:rPr>
        <w:t xml:space="preserve"> </w:t>
      </w:r>
      <w:r>
        <w:rPr>
          <w:rFonts w:ascii="宋体" w:hAnsi="宋体" w:cs="宋体" w:eastAsia="宋体" w:hint="ascii"/>
          <w:sz w:val="21"/>
        </w:rPr>
        <w:t>根据双方的合作基础和共同感兴趣的领域，支持两国研究</w:t>
      </w:r>
    </w:p>
    <w:p>
      <w:pPr>
        <w:autoSpaceDE w:val="0"/>
        <w:autoSpaceDN w:val="0"/>
        <w:jc w:val="right"/>
        <w:spacing w:before="10" w:after="0" w:lineRule="exact" w:line="312"/>
        <w:ind w:right="975" w:left="861" w:firstLine="104"/>
        <w:snapToGrid w:val="0"/>
        <w:textAlignment w:val="auto"/>
        <w:tabs/>
        <w:rPr>
          <w:rFonts w:ascii="宋体" w:hAnsi="宋体" w:cs="宋体" w:eastAsia="宋体" w:hint="ascii"/>
          <w:sz w:val="21"/>
        </w:rPr>
      </w:pPr>
      <w:r>
        <w:rPr>
          <w:rFonts w:ascii="宋体" w:hAnsi="宋体" w:cs="宋体" w:eastAsia="宋体" w:hint="ascii"/>
          <w:sz w:val="21"/>
          <w:spacing w:val="3"/>
        </w:rPr>
        <w:t>人员在相</w:t>
      </w:r>
      <w:r>
        <w:rPr>
          <w:rFonts w:ascii="宋体" w:hAnsi="宋体" w:cs="宋体" w:eastAsia="宋体" w:hint="ascii"/>
          <w:sz w:val="21"/>
        </w:rPr>
        <w:t>关</w:t>
      </w:r>
      <w:r>
        <w:rPr>
          <w:rFonts w:ascii="宋体" w:hAnsi="宋体" w:cs="宋体" w:eastAsia="宋体" w:hint="ascii"/>
          <w:sz w:val="21"/>
          <w:spacing w:val="3"/>
        </w:rPr>
        <w:t>领域开展</w:t>
      </w:r>
      <w:r>
        <w:rPr>
          <w:rFonts w:ascii="宋体" w:hAnsi="宋体" w:cs="宋体" w:eastAsia="宋体" w:hint="ascii"/>
          <w:sz w:val="21"/>
        </w:rPr>
        <w:t>实</w:t>
      </w:r>
      <w:r>
        <w:rPr>
          <w:rFonts w:ascii="宋体" w:hAnsi="宋体" w:cs="宋体" w:eastAsia="宋体" w:hint="ascii"/>
          <w:sz w:val="21"/>
          <w:spacing w:val="3"/>
        </w:rPr>
        <w:t>质性合作</w:t>
      </w:r>
      <w:r>
        <w:rPr>
          <w:rFonts w:ascii="宋体" w:hAnsi="宋体" w:cs="宋体" w:eastAsia="宋体" w:hint="ascii"/>
          <w:sz w:val="21"/>
        </w:rPr>
        <w:t>研</w:t>
      </w:r>
      <w:r>
        <w:rPr>
          <w:rFonts w:ascii="宋体" w:hAnsi="宋体" w:cs="宋体" w:eastAsia="宋体" w:hint="ascii"/>
          <w:sz w:val="21"/>
          <w:spacing w:val="3"/>
        </w:rPr>
        <w:t>究。此类</w:t>
      </w:r>
      <w:r>
        <w:rPr>
          <w:rFonts w:ascii="宋体" w:hAnsi="宋体" w:cs="宋体" w:eastAsia="宋体" w:hint="ascii"/>
          <w:sz w:val="21"/>
        </w:rPr>
        <w:t>项</w:t>
      </w:r>
      <w:r>
        <w:rPr>
          <w:rFonts w:ascii="宋体" w:hAnsi="宋体" w:cs="宋体" w:eastAsia="宋体" w:hint="ascii"/>
          <w:sz w:val="21"/>
          <w:spacing w:val="3"/>
        </w:rPr>
        <w:t>目经过双</w:t>
      </w:r>
      <w:r>
        <w:rPr>
          <w:rFonts w:ascii="宋体" w:hAnsi="宋体" w:cs="宋体" w:eastAsia="宋体" w:hint="ascii"/>
          <w:sz w:val="21"/>
        </w:rPr>
        <w:t>方</w:t>
      </w:r>
      <w:r>
        <w:rPr>
          <w:rFonts w:ascii="宋体" w:hAnsi="宋体" w:cs="宋体" w:eastAsia="宋体" w:hint="ascii"/>
          <w:sz w:val="21"/>
          <w:spacing w:val="3"/>
        </w:rPr>
        <w:t>协商共同</w:t>
      </w:r>
      <w:r>
        <w:rPr>
          <w:rFonts w:ascii="宋体" w:hAnsi="宋体" w:cs="宋体" w:eastAsia="宋体" w:hint="ascii"/>
          <w:sz w:val="21"/>
        </w:rPr>
        <w:t>发</w:t>
      </w:r>
      <w:r>
        <w:rPr>
          <w:rFonts w:ascii="宋体" w:hAnsi="宋体" w:cs="宋体" w:eastAsia="宋体" w:hint="ascii"/>
          <w:sz w:val="21"/>
          <w:spacing w:val="3"/>
        </w:rPr>
        <w:t>布《组织间</w:t>
      </w:r>
      <w:r>
        <w:rPr>
          <w:rFonts w:ascii="宋体" w:hAnsi="宋体" w:cs="宋体" w:eastAsia="宋体" w:hint="ascii"/>
          <w:sz w:val="21"/>
          <w:spacing w:val="4"/>
        </w:rPr>
        <w:t>国</w:t>
      </w:r>
      <w:r>
        <w:rPr>
          <w:rFonts w:ascii="宋体" w:hAnsi="宋体" w:cs="宋体" w:eastAsia="宋体" w:hint="ascii"/>
          <w:sz w:val="21"/>
        </w:rPr>
        <w:t>际</w:t>
      </w:r>
      <w:r>
        <w:rPr>
          <w:rFonts w:ascii="宋体" w:hAnsi="宋体" w:cs="宋体" w:eastAsia="宋体" w:hint="ascii"/>
          <w:sz w:val="21"/>
          <w:spacing w:val="-2"/>
        </w:rPr>
        <w:t>（地区）合作研究与交流项目指南</w:t>
      </w:r>
      <w:r>
        <w:rPr>
          <w:rFonts w:ascii="宋体" w:hAnsi="宋体" w:cs="宋体" w:eastAsia="宋体" w:hint="ascii"/>
          <w:sz w:val="21"/>
          <w:spacing w:val="-54"/>
        </w:rPr>
        <w:t>》</w:t>
      </w:r>
      <w:r>
        <w:rPr>
          <w:rFonts w:ascii="宋体" w:hAnsi="宋体" w:cs="宋体" w:eastAsia="宋体" w:hint="ascii"/>
          <w:sz w:val="21"/>
          <w:spacing w:val="-2"/>
        </w:rPr>
        <w:t>，由两国</w:t>
      </w:r>
      <w:r>
        <w:rPr>
          <w:rFonts w:ascii="宋体" w:hAnsi="宋体" w:cs="宋体" w:eastAsia="宋体" w:hint="ascii"/>
          <w:sz w:val="21"/>
          <w:spacing w:val="-1"/>
        </w:rPr>
        <w:t>科学家分别向自然科学基金委和</w:t>
      </w:r>
      <w:r>
        <w:rPr>
          <w:rFonts w:ascii="宋体" w:hAnsi="宋体" w:cs="宋体" w:eastAsia="宋体" w:hint="ascii"/>
          <w:sz w:val="21"/>
          <w:spacing w:val="-20"/>
        </w:rPr>
        <w:t xml:space="preserve"> </w:t>
      </w:r>
      <w:r>
        <w:rPr>
          <w:rFonts w:ascii="Times New Roman" w:hAnsi="Times New Roman" w:cs="Times New Roman" w:eastAsia="Times New Roman" w:hint="ascii"/>
          <w:sz w:val="21"/>
          <w:spacing w:val="-1"/>
        </w:rPr>
        <w:t>SNSF</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1"/>
        </w:rPr>
        <w:t>提交</w:t>
      </w:r>
      <w:r>
        <w:rPr>
          <w:rFonts w:ascii="宋体" w:hAnsi="宋体" w:cs="宋体" w:eastAsia="宋体" w:hint="ascii"/>
          <w:sz w:val="21"/>
        </w:rPr>
        <w:t xml:space="preserve"> 申请，自然科学基金委与</w:t>
      </w:r>
      <w:r>
        <w:rPr>
          <w:rFonts w:ascii="宋体" w:hAnsi="宋体" w:cs="宋体" w:eastAsia="宋体" w:hint="ascii"/>
          <w:sz w:val="21"/>
          <w:spacing w:val="-19"/>
        </w:rPr>
        <w:t xml:space="preserve"> </w:t>
      </w:r>
      <w:r>
        <w:rPr>
          <w:rFonts w:ascii="Times New Roman" w:hAnsi="Times New Roman" w:cs="Times New Roman" w:eastAsia="Times New Roman" w:hint="ascii"/>
          <w:sz w:val="21"/>
        </w:rPr>
        <w:t>SNSF</w:t>
      </w:r>
      <w:r>
        <w:rPr>
          <w:rFonts w:ascii="Times New Roman" w:hAnsi="Times New Roman" w:cs="Times New Roman" w:eastAsia="Times New Roman" w:hint="ascii"/>
          <w:sz w:val="21"/>
          <w:spacing w:val="-20"/>
        </w:rPr>
        <w:t xml:space="preserve"> </w:t>
      </w:r>
      <w:r>
        <w:rPr>
          <w:rFonts w:ascii="宋体" w:hAnsi="宋体" w:cs="宋体" w:eastAsia="宋体" w:hint="ascii"/>
          <w:sz w:val="21"/>
        </w:rPr>
        <w:t>根据商定的评审方式和程序进行评审并共同做出资助决</w:t>
      </w:r>
      <w:r>
        <w:rPr>
          <w:rFonts w:ascii="宋体" w:hAnsi="宋体" w:cs="宋体" w:eastAsia="宋体" w:hint="ascii"/>
          <w:sz w:val="21"/>
          <w:spacing w:val="5"/>
        </w:rPr>
        <w:t>定。</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4"/>
        </w:rPr>
        <w:t xml:space="preserve"> </w:t>
      </w:r>
      <w:r>
        <w:rPr>
          <w:rFonts w:ascii="宋体" w:hAnsi="宋体" w:cs="宋体" w:eastAsia="宋体" w:hint="ascii"/>
          <w:sz w:val="21"/>
          <w:spacing w:val="4"/>
        </w:rPr>
        <w:t>年</w:t>
      </w:r>
      <w:r>
        <w:rPr>
          <w:rFonts w:ascii="宋体" w:hAnsi="宋体" w:cs="宋体" w:eastAsia="宋体" w:hint="ascii"/>
          <w:sz w:val="21"/>
          <w:spacing w:val="5"/>
        </w:rPr>
        <w:t>度有关申</w:t>
      </w:r>
      <w:r>
        <w:rPr>
          <w:rFonts w:ascii="宋体" w:hAnsi="宋体" w:cs="宋体" w:eastAsia="宋体" w:hint="ascii"/>
          <w:sz w:val="21"/>
          <w:spacing w:val="4"/>
        </w:rPr>
        <w:t>请</w:t>
      </w:r>
      <w:r>
        <w:rPr>
          <w:rFonts w:ascii="宋体" w:hAnsi="宋体" w:cs="宋体" w:eastAsia="宋体" w:hint="ascii"/>
          <w:sz w:val="21"/>
          <w:spacing w:val="5"/>
        </w:rPr>
        <w:t>事宜请关</w:t>
      </w:r>
      <w:r>
        <w:rPr>
          <w:rFonts w:ascii="宋体" w:hAnsi="宋体" w:cs="宋体" w:eastAsia="宋体" w:hint="ascii"/>
          <w:sz w:val="21"/>
          <w:spacing w:val="4"/>
        </w:rPr>
        <w:t>注</w:t>
      </w:r>
      <w:r>
        <w:rPr>
          <w:rFonts w:ascii="宋体" w:hAnsi="宋体" w:cs="宋体" w:eastAsia="宋体" w:hint="ascii"/>
          <w:sz w:val="21"/>
          <w:spacing w:val="5"/>
        </w:rPr>
        <w:t>自然科学</w:t>
      </w:r>
      <w:r>
        <w:rPr>
          <w:rFonts w:ascii="宋体" w:hAnsi="宋体" w:cs="宋体" w:eastAsia="宋体" w:hint="ascii"/>
          <w:sz w:val="21"/>
          <w:spacing w:val="4"/>
        </w:rPr>
        <w:t>基</w:t>
      </w:r>
      <w:r>
        <w:rPr>
          <w:rFonts w:ascii="宋体" w:hAnsi="宋体" w:cs="宋体" w:eastAsia="宋体" w:hint="ascii"/>
          <w:sz w:val="21"/>
          <w:spacing w:val="5"/>
        </w:rPr>
        <w:t>金委网站</w:t>
      </w:r>
      <w:r>
        <w:rPr>
          <w:rFonts w:ascii="宋体" w:hAnsi="宋体" w:cs="宋体" w:eastAsia="宋体" w:hint="ascii"/>
          <w:sz w:val="21"/>
          <w:spacing w:val="4"/>
        </w:rPr>
        <w:t>“</w:t>
      </w:r>
      <w:r>
        <w:rPr>
          <w:rFonts w:ascii="宋体" w:hAnsi="宋体" w:cs="宋体" w:eastAsia="宋体" w:hint="ascii"/>
          <w:sz w:val="21"/>
          <w:spacing w:val="5"/>
        </w:rPr>
        <w:t>通知通告</w:t>
      </w:r>
      <w:r>
        <w:rPr>
          <w:rFonts w:ascii="宋体" w:hAnsi="宋体" w:cs="宋体" w:eastAsia="宋体" w:hint="ascii"/>
          <w:sz w:val="21"/>
          <w:spacing w:val="4"/>
        </w:rPr>
        <w:t>”</w:t>
      </w:r>
      <w:r>
        <w:rPr>
          <w:rFonts w:ascii="宋体" w:hAnsi="宋体" w:cs="宋体" w:eastAsia="宋体" w:hint="ascii"/>
          <w:sz w:val="21"/>
          <w:spacing w:val="5"/>
        </w:rPr>
        <w:t>栏目中发</w:t>
      </w:r>
      <w:r>
        <w:rPr>
          <w:rFonts w:ascii="宋体" w:hAnsi="宋体" w:cs="宋体" w:eastAsia="宋体" w:hint="ascii"/>
          <w:sz w:val="21"/>
          <w:spacing w:val="4"/>
        </w:rPr>
        <w:t>布</w:t>
      </w:r>
      <w:r>
        <w:rPr>
          <w:rFonts w:ascii="宋体" w:hAnsi="宋体" w:cs="宋体" w:eastAsia="宋体" w:hint="ascii"/>
          <w:sz w:val="21"/>
        </w:rPr>
        <w:t>的</w:t>
      </w:r>
    </w:p>
    <w:p>
      <w:pPr>
        <w:autoSpaceDE w:val="0"/>
        <w:autoSpaceDN w:val="0"/>
        <w:jc w:val="left"/>
        <w:spacing w:before="40"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瑞典</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瑞典研究理事会（</w:t>
      </w:r>
      <w:r>
        <w:rPr>
          <w:rFonts w:ascii="Times New Roman" w:hAnsi="Times New Roman" w:cs="Times New Roman" w:eastAsia="Times New Roman" w:hint="ascii"/>
          <w:b w:val="1"/>
          <w:sz w:val="21"/>
        </w:rPr>
        <w:t>VR</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19"/>
        </w:rPr>
        <w:t xml:space="preserve"> </w:t>
      </w:r>
      <w:r>
        <w:rPr>
          <w:rFonts w:ascii="Times New Roman" w:hAnsi="Times New Roman" w:cs="Times New Roman" w:eastAsia="Times New Roman" w:hint="ascii"/>
          <w:sz w:val="21"/>
        </w:rPr>
        <w:t>VR</w:t>
      </w:r>
      <w:r>
        <w:rPr>
          <w:rFonts w:ascii="Times New Roman" w:hAnsi="Times New Roman" w:cs="Times New Roman" w:eastAsia="Times New Roman" w:hint="ascii"/>
          <w:sz w:val="21"/>
          <w:spacing w:val="-21"/>
        </w:rPr>
        <w:t xml:space="preserve"> </w:t>
      </w:r>
      <w:r>
        <w:rPr>
          <w:rFonts w:ascii="宋体" w:hAnsi="宋体" w:cs="宋体" w:eastAsia="宋体" w:hint="ascii"/>
          <w:sz w:val="21"/>
        </w:rPr>
        <w:t>根据双方的合作基础和共同感兴趣的领域，支持两国研究人</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员在相关</w:t>
      </w:r>
      <w:r>
        <w:rPr>
          <w:rFonts w:ascii="宋体" w:hAnsi="宋体" w:cs="宋体" w:eastAsia="宋体" w:hint="ascii"/>
          <w:sz w:val="21"/>
        </w:rPr>
        <w:t>领域开展实质性合作研究。此类项目经过双方协商共同发布《组织间国际（地</w:t>
      </w:r>
      <w:r>
        <w:rPr>
          <w:rFonts w:ascii="宋体" w:hAnsi="宋体" w:cs="宋体" w:eastAsia="宋体" w:hint="ascii"/>
          <w:sz w:val="21"/>
          <w:spacing w:val="2"/>
        </w:rPr>
        <w:t>区）</w:t>
      </w:r>
      <w:r>
        <w:rPr>
          <w:rFonts w:ascii="宋体" w:hAnsi="宋体" w:cs="宋体" w:eastAsia="宋体" w:hint="ascii"/>
          <w:sz w:val="21"/>
          <w:spacing w:val="1"/>
        </w:rPr>
        <w:t>合</w:t>
      </w:r>
      <w:r>
        <w:rPr>
          <w:rFonts w:ascii="宋体" w:hAnsi="宋体" w:cs="宋体" w:eastAsia="宋体" w:hint="ascii"/>
          <w:sz w:val="21"/>
          <w:spacing w:val="2"/>
        </w:rPr>
        <w:t>作</w:t>
      </w:r>
      <w:r>
        <w:rPr>
          <w:rFonts w:ascii="宋体" w:hAnsi="宋体" w:cs="宋体" w:eastAsia="宋体" w:hint="ascii"/>
          <w:sz w:val="21"/>
        </w:rPr>
        <w:t>研</w:t>
      </w:r>
      <w:r>
        <w:rPr>
          <w:rFonts w:ascii="宋体" w:hAnsi="宋体" w:cs="宋体" w:eastAsia="宋体" w:hint="ascii"/>
          <w:sz w:val="21"/>
          <w:spacing w:val="1"/>
        </w:rPr>
        <w:t>究与</w:t>
      </w:r>
      <w:r>
        <w:rPr>
          <w:rFonts w:ascii="宋体" w:hAnsi="宋体" w:cs="宋体" w:eastAsia="宋体" w:hint="ascii"/>
          <w:sz w:val="21"/>
        </w:rPr>
        <w:t>交</w:t>
      </w:r>
      <w:r>
        <w:rPr>
          <w:rFonts w:ascii="宋体" w:hAnsi="宋体" w:cs="宋体" w:eastAsia="宋体" w:hint="ascii"/>
          <w:sz w:val="21"/>
          <w:spacing w:val="1"/>
        </w:rPr>
        <w:t>流</w:t>
      </w:r>
      <w:r>
        <w:rPr>
          <w:rFonts w:ascii="宋体" w:hAnsi="宋体" w:cs="宋体" w:eastAsia="宋体" w:hint="ascii"/>
          <w:sz w:val="21"/>
        </w:rPr>
        <w:t>项</w:t>
      </w:r>
      <w:r>
        <w:rPr>
          <w:rFonts w:ascii="宋体" w:hAnsi="宋体" w:cs="宋体" w:eastAsia="宋体" w:hint="ascii"/>
          <w:sz w:val="21"/>
          <w:spacing w:val="1"/>
        </w:rPr>
        <w:t>目指南</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由</w:t>
      </w:r>
      <w:r>
        <w:rPr>
          <w:rFonts w:ascii="宋体" w:hAnsi="宋体" w:cs="宋体" w:eastAsia="宋体" w:hint="ascii"/>
          <w:sz w:val="21"/>
          <w:spacing w:val="1"/>
        </w:rPr>
        <w:t>两国</w:t>
      </w:r>
      <w:r>
        <w:rPr>
          <w:rFonts w:ascii="宋体" w:hAnsi="宋体" w:cs="宋体" w:eastAsia="宋体" w:hint="ascii"/>
          <w:sz w:val="21"/>
        </w:rPr>
        <w:t>科</w:t>
      </w:r>
      <w:r>
        <w:rPr>
          <w:rFonts w:ascii="宋体" w:hAnsi="宋体" w:cs="宋体" w:eastAsia="宋体" w:hint="ascii"/>
          <w:sz w:val="21"/>
          <w:spacing w:val="1"/>
        </w:rPr>
        <w:t>学</w:t>
      </w:r>
      <w:r>
        <w:rPr>
          <w:rFonts w:ascii="宋体" w:hAnsi="宋体" w:cs="宋体" w:eastAsia="宋体" w:hint="ascii"/>
          <w:sz w:val="21"/>
        </w:rPr>
        <w:t>家</w:t>
      </w:r>
      <w:r>
        <w:rPr>
          <w:rFonts w:ascii="宋体" w:hAnsi="宋体" w:cs="宋体" w:eastAsia="宋体" w:hint="ascii"/>
          <w:sz w:val="21"/>
          <w:spacing w:val="1"/>
        </w:rPr>
        <w:t>分别</w:t>
      </w:r>
      <w:r>
        <w:rPr>
          <w:rFonts w:ascii="宋体" w:hAnsi="宋体" w:cs="宋体" w:eastAsia="宋体" w:hint="ascii"/>
          <w:sz w:val="21"/>
        </w:rPr>
        <w:t>向</w:t>
      </w:r>
      <w:r>
        <w:rPr>
          <w:rFonts w:ascii="宋体" w:hAnsi="宋体" w:cs="宋体" w:eastAsia="宋体" w:hint="ascii"/>
          <w:sz w:val="21"/>
          <w:spacing w:val="1"/>
        </w:rPr>
        <w:t>自</w:t>
      </w:r>
      <w:r>
        <w:rPr>
          <w:rFonts w:ascii="宋体" w:hAnsi="宋体" w:cs="宋体" w:eastAsia="宋体" w:hint="ascii"/>
          <w:sz w:val="21"/>
        </w:rPr>
        <w:t>然</w:t>
      </w:r>
      <w:r>
        <w:rPr>
          <w:rFonts w:ascii="宋体" w:hAnsi="宋体" w:cs="宋体" w:eastAsia="宋体" w:hint="ascii"/>
          <w:sz w:val="21"/>
          <w:spacing w:val="1"/>
        </w:rPr>
        <w:t>科学</w:t>
      </w:r>
      <w:r>
        <w:rPr>
          <w:rFonts w:ascii="宋体" w:hAnsi="宋体" w:cs="宋体" w:eastAsia="宋体" w:hint="ascii"/>
          <w:sz w:val="21"/>
        </w:rPr>
        <w:t>基</w:t>
      </w:r>
      <w:r>
        <w:rPr>
          <w:rFonts w:ascii="宋体" w:hAnsi="宋体" w:cs="宋体" w:eastAsia="宋体" w:hint="ascii"/>
          <w:sz w:val="21"/>
          <w:spacing w:val="1"/>
        </w:rPr>
        <w:t>金</w:t>
      </w:r>
      <w:r>
        <w:rPr>
          <w:rFonts w:ascii="宋体" w:hAnsi="宋体" w:cs="宋体" w:eastAsia="宋体" w:hint="ascii"/>
          <w:sz w:val="21"/>
        </w:rPr>
        <w:t>委</w:t>
      </w:r>
      <w:r>
        <w:rPr>
          <w:rFonts w:ascii="宋体" w:hAnsi="宋体" w:cs="宋体" w:eastAsia="宋体" w:hint="ascii"/>
          <w:sz w:val="21"/>
          <w:spacing w:val="-3"/>
        </w:rPr>
        <w:t>和</w:t>
      </w:r>
      <w:r>
        <w:rPr>
          <w:rFonts w:ascii="宋体" w:hAnsi="宋体" w:cs="宋体" w:eastAsia="宋体" w:hint="ascii"/>
          <w:sz w:val="21"/>
          <w:spacing w:val="1"/>
        </w:rPr>
        <w:t xml:space="preserve"> </w:t>
      </w:r>
      <w:r>
        <w:rPr>
          <w:rFonts w:ascii="Times New Roman" w:hAnsi="Times New Roman" w:cs="Times New Roman" w:eastAsia="Times New Roman" w:hint="ascii"/>
          <w:sz w:val="21"/>
        </w:rPr>
        <w:t xml:space="preserve">VR </w:t>
      </w:r>
      <w:r>
        <w:rPr>
          <w:rFonts w:ascii="宋体" w:hAnsi="宋体" w:cs="宋体" w:eastAsia="宋体" w:hint="ascii"/>
          <w:sz w:val="21"/>
          <w:spacing w:val="1"/>
        </w:rPr>
        <w:t>提</w:t>
      </w:r>
      <w:r>
        <w:rPr>
          <w:rFonts w:ascii="宋体" w:hAnsi="宋体" w:cs="宋体" w:eastAsia="宋体" w:hint="ascii"/>
          <w:sz w:val="21"/>
        </w:rPr>
        <w:t>交</w:t>
      </w:r>
      <w:r>
        <w:rPr>
          <w:rFonts w:ascii="宋体" w:hAnsi="宋体" w:cs="宋体" w:eastAsia="宋体" w:hint="ascii"/>
          <w:sz w:val="21"/>
          <w:spacing w:val="-6"/>
        </w:rPr>
        <w:t>申</w:t>
      </w:r>
      <w:r>
        <w:rPr>
          <w:rFonts w:ascii="宋体" w:hAnsi="宋体" w:cs="宋体" w:eastAsia="宋体" w:hint="ascii"/>
          <w:sz w:val="21"/>
          <w:spacing w:val="-1"/>
        </w:rPr>
        <w:t>请，自然科</w:t>
      </w:r>
      <w:r>
        <w:rPr>
          <w:rFonts w:ascii="宋体" w:hAnsi="宋体" w:cs="宋体" w:eastAsia="宋体" w:hint="ascii"/>
          <w:sz w:val="21"/>
        </w:rPr>
        <w:t>学基金委与</w:t>
      </w:r>
      <w:r>
        <w:rPr>
          <w:rFonts w:ascii="宋体" w:hAnsi="宋体" w:cs="宋体" w:eastAsia="宋体" w:hint="ascii"/>
          <w:sz w:val="21"/>
          <w:spacing w:val="-20"/>
        </w:rPr>
        <w:t xml:space="preserve"> </w:t>
      </w:r>
      <w:r>
        <w:rPr>
          <w:rFonts w:ascii="Times New Roman" w:hAnsi="Times New Roman" w:cs="Times New Roman" w:eastAsia="Times New Roman" w:hint="ascii"/>
          <w:sz w:val="21"/>
        </w:rPr>
        <w:t>VR</w:t>
      </w:r>
      <w:r>
        <w:rPr>
          <w:rFonts w:ascii="Times New Roman" w:hAnsi="Times New Roman" w:cs="Times New Roman" w:eastAsia="Times New Roman" w:hint="ascii"/>
          <w:sz w:val="21"/>
          <w:spacing w:val="-20"/>
        </w:rPr>
        <w:t xml:space="preserve"> </w:t>
      </w:r>
      <w:r>
        <w:rPr>
          <w:rFonts w:ascii="宋体" w:hAnsi="宋体" w:cs="宋体" w:eastAsia="宋体" w:hint="ascii"/>
          <w:sz w:val="21"/>
        </w:rPr>
        <w:t>根据商定的评审方式和程序进行评审并共同做出资助决定。</w:t>
      </w:r>
    </w:p>
    <w:p>
      <w:pPr>
        <w:autoSpaceDE w:val="0"/>
        <w:autoSpaceDN w:val="0"/>
        <w:jc w:val="both"/>
        <w:spacing w:before="0" w:after="0" w:lineRule="exact" w:line="312"/>
        <w:ind w:right="975" w:left="966" w:firstLine="0"/>
        <w:snapToGrid w:val="0"/>
        <w:textAlignment w:val="auto"/>
        <w:tabs>
          <w:tab w:val="left" w:leader="none" w:pos="1491"/>
        </w:tabs>
        <w:numPr>
          <w:ilvl w:val="0"/>
          <w:numId w:val="298"/>
        </w:numPr>
        <w:rPr>
          <w:rFonts w:ascii="Times New Roman" w:hAnsi="Times New Roman" w:cs="Times New Roman" w:eastAsia="Times New Roman" w:hint="ascii"/>
          <w:sz w:val="21"/>
          <w:spacing w:val="-1"/>
        </w:rPr>
      </w:pPr>
      <w:r>
        <w:rPr>
          <w:rFonts w:ascii="宋体" w:hAnsi="宋体" w:cs="宋体" w:eastAsia="宋体" w:hint="ascii"/>
          <w:sz w:val="21"/>
        </w:rPr>
        <w:t>年度</w:t>
      </w:r>
      <w:r>
        <w:rPr>
          <w:rFonts w:ascii="宋体" w:hAnsi="宋体" w:cs="宋体" w:eastAsia="宋体" w:hint="ascii"/>
          <w:sz w:val="21"/>
          <w:spacing w:val="-1"/>
        </w:rPr>
        <w:t>有</w:t>
      </w:r>
      <w:r>
        <w:rPr>
          <w:rFonts w:ascii="宋体" w:hAnsi="宋体" w:cs="宋体" w:eastAsia="宋体" w:hint="ascii"/>
          <w:sz w:val="21"/>
        </w:rPr>
        <w:t>关申</w:t>
      </w:r>
      <w:r>
        <w:rPr>
          <w:rFonts w:ascii="宋体" w:hAnsi="宋体" w:cs="宋体" w:eastAsia="宋体" w:hint="ascii"/>
          <w:sz w:val="21"/>
          <w:spacing w:val="-1"/>
        </w:rPr>
        <w:t>请</w:t>
      </w:r>
      <w:r>
        <w:rPr>
          <w:rFonts w:ascii="宋体" w:hAnsi="宋体" w:cs="宋体" w:eastAsia="宋体" w:hint="ascii"/>
          <w:sz w:val="21"/>
        </w:rPr>
        <w:t>事</w:t>
      </w:r>
      <w:r>
        <w:rPr>
          <w:rFonts w:ascii="宋体" w:hAnsi="宋体" w:cs="宋体" w:eastAsia="宋体" w:hint="ascii"/>
          <w:sz w:val="21"/>
          <w:spacing w:val="-1"/>
        </w:rPr>
        <w:t>宜</w:t>
      </w:r>
      <w:r>
        <w:rPr>
          <w:rFonts w:ascii="宋体" w:hAnsi="宋体" w:cs="宋体" w:eastAsia="宋体" w:hint="ascii"/>
          <w:sz w:val="21"/>
        </w:rPr>
        <w:t>请关</w:t>
      </w:r>
      <w:r>
        <w:rPr>
          <w:rFonts w:ascii="宋体" w:hAnsi="宋体" w:cs="宋体" w:eastAsia="宋体" w:hint="ascii"/>
          <w:sz w:val="21"/>
          <w:spacing w:val="-1"/>
        </w:rPr>
        <w:t>注</w:t>
      </w:r>
      <w:r>
        <w:rPr>
          <w:rFonts w:ascii="宋体" w:hAnsi="宋体" w:cs="宋体" w:eastAsia="宋体" w:hint="ascii"/>
          <w:sz w:val="21"/>
        </w:rPr>
        <w:t>自</w:t>
      </w:r>
      <w:r>
        <w:rPr>
          <w:rFonts w:ascii="宋体" w:hAnsi="宋体" w:cs="宋体" w:eastAsia="宋体" w:hint="ascii"/>
          <w:sz w:val="21"/>
          <w:spacing w:val="-1"/>
        </w:rPr>
        <w:t>然</w:t>
      </w:r>
      <w:r>
        <w:rPr>
          <w:rFonts w:ascii="宋体" w:hAnsi="宋体" w:cs="宋体" w:eastAsia="宋体" w:hint="ascii"/>
          <w:sz w:val="21"/>
        </w:rPr>
        <w:t>科学</w:t>
      </w:r>
      <w:r>
        <w:rPr>
          <w:rFonts w:ascii="宋体" w:hAnsi="宋体" w:cs="宋体" w:eastAsia="宋体" w:hint="ascii"/>
          <w:sz w:val="21"/>
          <w:spacing w:val="-1"/>
        </w:rPr>
        <w:t>基</w:t>
      </w:r>
      <w:r>
        <w:rPr>
          <w:rFonts w:ascii="宋体" w:hAnsi="宋体" w:cs="宋体" w:eastAsia="宋体" w:hint="ascii"/>
          <w:sz w:val="21"/>
        </w:rPr>
        <w:t>金</w:t>
      </w:r>
      <w:r>
        <w:rPr>
          <w:rFonts w:ascii="宋体" w:hAnsi="宋体" w:cs="宋体" w:eastAsia="宋体" w:hint="ascii"/>
          <w:sz w:val="21"/>
          <w:spacing w:val="-1"/>
        </w:rPr>
        <w:t>委</w:t>
      </w:r>
      <w:r>
        <w:rPr>
          <w:rFonts w:ascii="宋体" w:hAnsi="宋体" w:cs="宋体" w:eastAsia="宋体" w:hint="ascii"/>
          <w:sz w:val="21"/>
        </w:rPr>
        <w:t>网站</w:t>
      </w:r>
      <w:r>
        <w:rPr>
          <w:rFonts w:ascii="宋体" w:hAnsi="宋体" w:cs="宋体" w:eastAsia="宋体" w:hint="ascii"/>
          <w:sz w:val="21"/>
          <w:spacing w:val="-1"/>
        </w:rPr>
        <w:t>“</w:t>
      </w:r>
      <w:r>
        <w:rPr>
          <w:rFonts w:ascii="宋体" w:hAnsi="宋体" w:cs="宋体" w:eastAsia="宋体" w:hint="ascii"/>
          <w:sz w:val="21"/>
        </w:rPr>
        <w:t>通</w:t>
      </w:r>
      <w:r>
        <w:rPr>
          <w:rFonts w:ascii="宋体" w:hAnsi="宋体" w:cs="宋体" w:eastAsia="宋体" w:hint="ascii"/>
          <w:sz w:val="21"/>
          <w:spacing w:val="-1"/>
        </w:rPr>
        <w:t>知</w:t>
      </w:r>
      <w:r>
        <w:rPr>
          <w:rFonts w:ascii="宋体" w:hAnsi="宋体" w:cs="宋体" w:eastAsia="宋体" w:hint="ascii"/>
          <w:sz w:val="21"/>
        </w:rPr>
        <w:t>通告</w:t>
      </w:r>
      <w:r>
        <w:rPr>
          <w:rFonts w:ascii="宋体" w:hAnsi="宋体" w:cs="宋体" w:eastAsia="宋体" w:hint="ascii"/>
          <w:sz w:val="21"/>
          <w:spacing w:val="-1"/>
        </w:rPr>
        <w:t>”</w:t>
      </w:r>
      <w:r>
        <w:rPr>
          <w:rFonts w:ascii="宋体" w:hAnsi="宋体" w:cs="宋体" w:eastAsia="宋体" w:hint="ascii"/>
          <w:sz w:val="21"/>
        </w:rPr>
        <w:t>栏</w:t>
      </w:r>
      <w:r>
        <w:rPr>
          <w:rFonts w:ascii="宋体" w:hAnsi="宋体" w:cs="宋体" w:eastAsia="宋体" w:hint="ascii"/>
          <w:sz w:val="21"/>
          <w:spacing w:val="-1"/>
        </w:rPr>
        <w:t>目</w:t>
      </w:r>
      <w:r>
        <w:rPr>
          <w:rFonts w:ascii="宋体" w:hAnsi="宋体" w:cs="宋体" w:eastAsia="宋体" w:hint="ascii"/>
          <w:sz w:val="21"/>
        </w:rPr>
        <w:t>中发</w:t>
      </w:r>
      <w:r>
        <w:rPr>
          <w:rFonts w:ascii="宋体" w:hAnsi="宋体" w:cs="宋体" w:eastAsia="宋体" w:hint="ascii"/>
          <w:sz w:val="21"/>
          <w:spacing w:val="-1"/>
        </w:rPr>
        <w:t>布</w:t>
      </w:r>
      <w:r>
        <w:rPr>
          <w:rFonts w:ascii="宋体" w:hAnsi="宋体" w:cs="宋体" w:eastAsia="宋体" w:hint="ascii"/>
          <w:sz w:val="21"/>
        </w:rPr>
        <w:t>的</w:t>
      </w:r>
      <w:r>
        <w:rPr>
          <w:rFonts w:ascii="宋体" w:hAnsi="宋体" w:cs="宋体" w:eastAsia="宋体" w:hint="ascii"/>
          <w:sz w:val="21"/>
          <w:spacing w:val="-1"/>
        </w:rPr>
        <w:t>《</w:t>
      </w:r>
      <w:r>
        <w:rPr>
          <w:rFonts w:ascii="宋体" w:hAnsi="宋体" w:cs="宋体" w:eastAsia="宋体" w:hint="ascii"/>
          <w:sz w:val="21"/>
        </w:rPr>
        <w:t>组</w:t>
      </w:r>
      <w:r>
        <w:rPr>
          <w:rFonts w:ascii="宋体" w:hAnsi="宋体" w:cs="宋体" w:eastAsia="宋体" w:hint="ascii"/>
          <w:sz w:val="21"/>
          <w:spacing w:val="-4"/>
        </w:rPr>
        <w:t>织</w:t>
      </w:r>
      <w:r>
        <w:rPr>
          <w:rFonts w:ascii="宋体" w:hAnsi="宋体" w:cs="宋体" w:eastAsia="宋体" w:hint="ascii"/>
          <w:sz w:val="21"/>
        </w:rPr>
        <w:t xml:space="preserve"> 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瑞典科研与教育国际合作基金会（</w:t>
      </w:r>
      <w:r>
        <w:rPr>
          <w:rFonts w:ascii="Times New Roman" w:hAnsi="Times New Roman" w:cs="Times New Roman" w:eastAsia="Times New Roman" w:hint="ascii"/>
          <w:b w:val="1"/>
          <w:sz w:val="21"/>
        </w:rPr>
        <w:t>STINT</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 </w:t>
      </w:r>
      <w:r>
        <w:rPr>
          <w:rFonts w:ascii="Times New Roman" w:hAnsi="Times New Roman" w:cs="Times New Roman" w:eastAsia="Times New Roman" w:hint="ascii"/>
          <w:sz w:val="21"/>
        </w:rPr>
        <w:t xml:space="preserve">STINT </w:t>
      </w:r>
      <w:r>
        <w:rPr>
          <w:rFonts w:ascii="宋体" w:hAnsi="宋体" w:cs="宋体" w:eastAsia="宋体" w:hint="ascii"/>
          <w:sz w:val="21"/>
        </w:rPr>
        <w:t>共同资助中国和瑞典研究人员之间的交流互访及小型双</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2"/>
        </w:rPr>
        <w:t>边研讨会，资助期限为</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2"/>
        </w:rPr>
        <w:t>3</w:t>
      </w:r>
      <w:r>
        <w:rPr>
          <w:rFonts w:ascii="Times New Roman" w:hAnsi="Times New Roman" w:cs="Times New Roman" w:eastAsia="Times New Roman" w:hint="ascii"/>
          <w:sz w:val="21"/>
          <w:spacing w:val="-15"/>
        </w:rPr>
        <w:t xml:space="preserve"> </w:t>
      </w:r>
      <w:r>
        <w:rPr>
          <w:rFonts w:ascii="宋体" w:hAnsi="宋体" w:cs="宋体" w:eastAsia="宋体" w:hint="ascii"/>
          <w:sz w:val="21"/>
          <w:spacing w:val="-2"/>
        </w:rPr>
        <w:t>年。自然</w:t>
      </w:r>
      <w:r>
        <w:rPr>
          <w:rFonts w:ascii="宋体" w:hAnsi="宋体" w:cs="宋体" w:eastAsia="宋体" w:hint="ascii"/>
          <w:sz w:val="21"/>
          <w:spacing w:val="-1"/>
        </w:rPr>
        <w:t>科学基金委对每个项目资助最多</w:t>
      </w:r>
      <w:r>
        <w:rPr>
          <w:rFonts w:ascii="宋体" w:hAnsi="宋体" w:cs="宋体" w:eastAsia="宋体" w:hint="ascii"/>
          <w:sz w:val="21"/>
          <w:spacing w:val="-14"/>
        </w:rPr>
        <w:t xml:space="preserve"> </w:t>
      </w:r>
      <w:r>
        <w:rPr>
          <w:rFonts w:ascii="Times New Roman" w:hAnsi="Times New Roman" w:cs="Times New Roman" w:eastAsia="Times New Roman" w:hint="ascii"/>
          <w:sz w:val="21"/>
          <w:spacing w:val="-1"/>
        </w:rPr>
        <w:t>40</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
        </w:rPr>
        <w:t>万元人民币，用</w:t>
      </w:r>
      <w:r>
        <w:rPr>
          <w:rFonts w:ascii="宋体" w:hAnsi="宋体" w:cs="宋体" w:eastAsia="宋体" w:hint="ascii"/>
          <w:sz w:val="21"/>
        </w:rPr>
        <w:t xml:space="preserve"> </w:t>
      </w:r>
      <w:r>
        <w:rPr>
          <w:rFonts w:ascii="宋体" w:hAnsi="宋体" w:cs="宋体" w:eastAsia="宋体" w:hint="ascii"/>
          <w:sz w:val="21"/>
          <w:spacing w:val="-1"/>
        </w:rPr>
        <w:t>于中国研</w:t>
      </w:r>
      <w:r>
        <w:rPr>
          <w:rFonts w:ascii="宋体" w:hAnsi="宋体" w:cs="宋体" w:eastAsia="宋体" w:hint="ascii"/>
          <w:sz w:val="21"/>
        </w:rPr>
        <w:t>究人员赴瑞典的国际旅费，在瑞典期间的住宿费、伙食费、城市间交通费，以</w:t>
      </w:r>
      <w:r>
        <w:rPr>
          <w:rFonts w:ascii="宋体" w:hAnsi="宋体" w:cs="宋体" w:eastAsia="宋体" w:hint="ascii"/>
          <w:sz w:val="21"/>
          <w:spacing w:val="-1"/>
        </w:rPr>
        <w:t>及中瑞</w:t>
      </w:r>
      <w:r>
        <w:rPr>
          <w:rFonts w:ascii="宋体" w:hAnsi="宋体" w:cs="宋体" w:eastAsia="宋体" w:hint="ascii"/>
          <w:sz w:val="21"/>
        </w:rPr>
        <w:t>小型双边研讨会费用。</w:t>
      </w:r>
      <w:r>
        <w:rPr>
          <w:rFonts w:ascii="Times New Roman" w:hAnsi="Times New Roman" w:cs="Times New Roman" w:eastAsia="Times New Roman" w:hint="ascii"/>
          <w:sz w:val="21"/>
        </w:rPr>
        <w:t>STINT</w:t>
      </w:r>
      <w:r>
        <w:rPr>
          <w:rFonts w:ascii="Times New Roman" w:hAnsi="Times New Roman" w:cs="Times New Roman" w:eastAsia="Times New Roman" w:hint="ascii"/>
          <w:sz w:val="21"/>
          <w:spacing w:val="-12"/>
        </w:rPr>
        <w:t xml:space="preserve"> </w:t>
      </w:r>
      <w:r>
        <w:rPr>
          <w:rFonts w:ascii="宋体" w:hAnsi="宋体" w:cs="宋体" w:eastAsia="宋体" w:hint="ascii"/>
          <w:sz w:val="21"/>
        </w:rPr>
        <w:t>对每个项目资助最多</w:t>
      </w:r>
      <w:r>
        <w:rPr>
          <w:rFonts w:ascii="宋体" w:hAnsi="宋体" w:cs="宋体" w:eastAsia="宋体" w:hint="ascii"/>
          <w:sz w:val="21"/>
          <w:spacing w:val="-12"/>
        </w:rPr>
        <w:t xml:space="preserve"> </w:t>
      </w:r>
      <w:r>
        <w:rPr>
          <w:rFonts w:ascii="Times New Roman" w:hAnsi="Times New Roman" w:cs="Times New Roman" w:eastAsia="Times New Roman" w:hint="ascii"/>
          <w:sz w:val="21"/>
        </w:rPr>
        <w:t>60</w:t>
      </w:r>
      <w:r>
        <w:rPr>
          <w:rFonts w:ascii="Times New Roman" w:hAnsi="Times New Roman" w:cs="Times New Roman" w:eastAsia="Times New Roman" w:hint="ascii"/>
          <w:sz w:val="21"/>
          <w:spacing w:val="-12"/>
        </w:rPr>
        <w:t xml:space="preserve"> </w:t>
      </w:r>
      <w:r>
        <w:rPr>
          <w:rFonts w:ascii="宋体" w:hAnsi="宋体" w:cs="宋体" w:eastAsia="宋体" w:hint="ascii"/>
          <w:sz w:val="21"/>
        </w:rPr>
        <w:t>万瑞典克朗，用于瑞典研</w:t>
      </w:r>
    </w:p>
    <w:p>
      <w:pPr>
        <w:autoSpaceDE w:val="0"/>
        <w:autoSpaceDN w:val="0"/>
        <w:jc w:val="both"/>
        <w:spacing w:before="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究人员来</w:t>
      </w:r>
      <w:r>
        <w:rPr>
          <w:rFonts w:ascii="宋体" w:hAnsi="宋体" w:cs="宋体" w:eastAsia="宋体" w:hint="ascii"/>
          <w:sz w:val="21"/>
        </w:rPr>
        <w:t>华的国际旅费，在华期间的住宿费、伙食费、城市间交通费，以及中瑞小型双边研</w:t>
      </w:r>
      <w:r>
        <w:rPr>
          <w:rFonts w:ascii="宋体" w:hAnsi="宋体" w:cs="宋体" w:eastAsia="宋体" w:hint="ascii"/>
          <w:sz w:val="21"/>
          <w:spacing w:val="-1"/>
        </w:rPr>
        <w:t>讨</w:t>
      </w:r>
      <w:r>
        <w:rPr>
          <w:rFonts w:ascii="宋体" w:hAnsi="宋体" w:cs="宋体" w:eastAsia="宋体" w:hint="ascii"/>
          <w:sz w:val="21"/>
        </w:rPr>
        <w:t>会</w:t>
      </w:r>
      <w:r>
        <w:rPr>
          <w:rFonts w:ascii="宋体" w:hAnsi="宋体" w:cs="宋体" w:eastAsia="宋体" w:hint="ascii"/>
          <w:sz w:val="21"/>
          <w:spacing w:val="-1"/>
        </w:rPr>
        <w:t>费</w:t>
      </w:r>
      <w:r>
        <w:rPr>
          <w:rFonts w:ascii="宋体" w:hAnsi="宋体" w:cs="宋体" w:eastAsia="宋体" w:hint="ascii"/>
          <w:sz w:val="21"/>
        </w:rPr>
        <w:t>用。</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年度有</w:t>
      </w:r>
      <w:r>
        <w:rPr>
          <w:rFonts w:ascii="宋体" w:hAnsi="宋体" w:cs="宋体" w:eastAsia="宋体" w:hint="ascii"/>
          <w:sz w:val="21"/>
          <w:spacing w:val="-1"/>
        </w:rPr>
        <w:t>关</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事宜</w:t>
      </w:r>
      <w:r>
        <w:rPr>
          <w:rFonts w:ascii="宋体" w:hAnsi="宋体" w:cs="宋体" w:eastAsia="宋体" w:hint="ascii"/>
          <w:sz w:val="21"/>
          <w:spacing w:val="-1"/>
        </w:rPr>
        <w:t>请</w:t>
      </w:r>
      <w:r>
        <w:rPr>
          <w:rFonts w:ascii="宋体" w:hAnsi="宋体" w:cs="宋体" w:eastAsia="宋体" w:hint="ascii"/>
          <w:sz w:val="21"/>
        </w:rPr>
        <w:t>关</w:t>
      </w:r>
      <w:r>
        <w:rPr>
          <w:rFonts w:ascii="宋体" w:hAnsi="宋体" w:cs="宋体" w:eastAsia="宋体" w:hint="ascii"/>
          <w:sz w:val="21"/>
          <w:spacing w:val="-1"/>
        </w:rPr>
        <w:t>注</w:t>
      </w:r>
      <w:r>
        <w:rPr>
          <w:rFonts w:ascii="宋体" w:hAnsi="宋体" w:cs="宋体" w:eastAsia="宋体" w:hint="ascii"/>
          <w:sz w:val="21"/>
        </w:rPr>
        <w:t>自然</w:t>
      </w:r>
      <w:r>
        <w:rPr>
          <w:rFonts w:ascii="宋体" w:hAnsi="宋体" w:cs="宋体" w:eastAsia="宋体" w:hint="ascii"/>
          <w:sz w:val="21"/>
          <w:spacing w:val="-1"/>
        </w:rPr>
        <w:t>科</w:t>
      </w:r>
      <w:r>
        <w:rPr>
          <w:rFonts w:ascii="宋体" w:hAnsi="宋体" w:cs="宋体" w:eastAsia="宋体" w:hint="ascii"/>
          <w:sz w:val="21"/>
        </w:rPr>
        <w:t>学</w:t>
      </w:r>
      <w:r>
        <w:rPr>
          <w:rFonts w:ascii="宋体" w:hAnsi="宋体" w:cs="宋体" w:eastAsia="宋体" w:hint="ascii"/>
          <w:sz w:val="21"/>
          <w:spacing w:val="-1"/>
        </w:rPr>
        <w:t>基</w:t>
      </w:r>
      <w:r>
        <w:rPr>
          <w:rFonts w:ascii="宋体" w:hAnsi="宋体" w:cs="宋体" w:eastAsia="宋体" w:hint="ascii"/>
          <w:sz w:val="21"/>
        </w:rPr>
        <w:t>金委</w:t>
      </w:r>
      <w:r>
        <w:rPr>
          <w:rFonts w:ascii="宋体" w:hAnsi="宋体" w:cs="宋体" w:eastAsia="宋体" w:hint="ascii"/>
          <w:sz w:val="21"/>
          <w:spacing w:val="-1"/>
        </w:rPr>
        <w:t>网</w:t>
      </w:r>
      <w:r>
        <w:rPr>
          <w:rFonts w:ascii="宋体" w:hAnsi="宋体" w:cs="宋体" w:eastAsia="宋体" w:hint="ascii"/>
          <w:sz w:val="21"/>
        </w:rPr>
        <w:t>站</w:t>
      </w:r>
      <w:r>
        <w:rPr>
          <w:rFonts w:ascii="宋体" w:hAnsi="宋体" w:cs="宋体" w:eastAsia="宋体" w:hint="ascii"/>
          <w:sz w:val="21"/>
          <w:spacing w:val="-1"/>
        </w:rPr>
        <w:t>“</w:t>
      </w:r>
      <w:r>
        <w:rPr>
          <w:rFonts w:ascii="宋体" w:hAnsi="宋体" w:cs="宋体" w:eastAsia="宋体" w:hint="ascii"/>
          <w:sz w:val="21"/>
        </w:rPr>
        <w:t>通知</w:t>
      </w:r>
      <w:r>
        <w:rPr>
          <w:rFonts w:ascii="宋体" w:hAnsi="宋体" w:cs="宋体" w:eastAsia="宋体" w:hint="ascii"/>
          <w:sz w:val="21"/>
          <w:spacing w:val="-1"/>
        </w:rPr>
        <w:t>通</w:t>
      </w:r>
      <w:r>
        <w:rPr>
          <w:rFonts w:ascii="宋体" w:hAnsi="宋体" w:cs="宋体" w:eastAsia="宋体" w:hint="ascii"/>
          <w:sz w:val="21"/>
        </w:rPr>
        <w:t>告</w:t>
      </w:r>
      <w:r>
        <w:rPr>
          <w:rFonts w:ascii="宋体" w:hAnsi="宋体" w:cs="宋体" w:eastAsia="宋体" w:hint="ascii"/>
          <w:sz w:val="21"/>
          <w:spacing w:val="-1"/>
        </w:rPr>
        <w:t>”</w:t>
      </w:r>
      <w:r>
        <w:rPr>
          <w:rFonts w:ascii="宋体" w:hAnsi="宋体" w:cs="宋体" w:eastAsia="宋体" w:hint="ascii"/>
          <w:sz w:val="21"/>
        </w:rPr>
        <w:t>栏</w:t>
      </w:r>
      <w:r>
        <w:rPr>
          <w:rFonts w:ascii="宋体" w:hAnsi="宋体" w:cs="宋体" w:eastAsia="宋体" w:hint="ascii"/>
          <w:sz w:val="21"/>
          <w:spacing w:val="-4"/>
        </w:rPr>
        <w:t>目</w:t>
      </w:r>
      <w:r>
        <w:rPr>
          <w:rFonts w:ascii="宋体" w:hAnsi="宋体" w:cs="宋体" w:eastAsia="宋体" w:hint="ascii"/>
          <w:sz w:val="21"/>
        </w:rPr>
        <w:t>中发布的《组织间国际（地区）合作研究与交流项目指南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比利时</w:t>
      </w:r>
    </w:p>
    <w:p>
      <w:pPr>
        <w:autoSpaceDE w:val="0"/>
        <w:autoSpaceDN w:val="0"/>
        <w:jc w:val="left"/>
        <w:spacing w:before="19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比利时弗兰德研究基金会（</w:t>
      </w:r>
      <w:r>
        <w:rPr>
          <w:rFonts w:ascii="Times New Roman" w:hAnsi="Times New Roman" w:cs="Times New Roman" w:eastAsia="Times New Roman" w:hint="ascii"/>
          <w:b w:val="1"/>
          <w:sz w:val="21"/>
        </w:rPr>
        <w:t>FWO</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11"/>
        </w:rPr>
        <w:t xml:space="preserve"> </w:t>
      </w:r>
      <w:r>
        <w:rPr>
          <w:rFonts w:ascii="Times New Roman" w:hAnsi="Times New Roman" w:cs="Times New Roman" w:eastAsia="Times New Roman" w:hint="ascii"/>
          <w:sz w:val="21"/>
        </w:rPr>
        <w:t>FWO</w:t>
      </w:r>
      <w:r>
        <w:rPr>
          <w:rFonts w:ascii="Times New Roman" w:hAnsi="Times New Roman" w:cs="Times New Roman" w:eastAsia="Times New Roman" w:hint="ascii"/>
          <w:sz w:val="21"/>
          <w:spacing w:val="-12"/>
        </w:rPr>
        <w:t xml:space="preserve"> </w:t>
      </w:r>
      <w:r>
        <w:rPr>
          <w:rFonts w:ascii="宋体" w:hAnsi="宋体" w:cs="宋体" w:eastAsia="宋体" w:hint="ascii"/>
          <w:sz w:val="21"/>
        </w:rPr>
        <w:t>根据双方的合作基础和共同感兴趣的领域，共同支持中国</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和比利时</w:t>
      </w:r>
      <w:r>
        <w:rPr>
          <w:rFonts w:ascii="宋体" w:hAnsi="宋体" w:cs="宋体" w:eastAsia="宋体" w:hint="ascii"/>
          <w:sz w:val="21"/>
        </w:rPr>
        <w:t>弗兰德区研究人员在相关领域开展实质性合作研究。此类项目经过双方协商共同发布《组织间国际（地区）合作研究与交流项目指南</w:t>
      </w:r>
      <w:r>
        <w:rPr>
          <w:rFonts w:ascii="宋体" w:hAnsi="宋体" w:cs="宋体" w:eastAsia="宋体" w:hint="ascii"/>
          <w:sz w:val="21"/>
          <w:spacing w:val="-52"/>
        </w:rPr>
        <w:t>》</w:t>
      </w:r>
      <w:r>
        <w:rPr>
          <w:rFonts w:ascii="宋体" w:hAnsi="宋体" w:cs="宋体" w:eastAsia="宋体" w:hint="ascii"/>
          <w:sz w:val="21"/>
        </w:rPr>
        <w:t>，由两国科学家分别向自然科</w:t>
      </w:r>
      <w:r>
        <w:rPr>
          <w:rFonts w:ascii="宋体" w:hAnsi="宋体" w:cs="宋体" w:eastAsia="宋体" w:hint="ascii"/>
          <w:sz w:val="21"/>
          <w:spacing w:val="-1"/>
        </w:rPr>
        <w:t>学基</w:t>
      </w:r>
      <w:r>
        <w:rPr>
          <w:rFonts w:ascii="宋体" w:hAnsi="宋体" w:cs="宋体" w:eastAsia="宋体" w:hint="ascii"/>
          <w:sz w:val="21"/>
        </w:rPr>
        <w:t>金委和</w:t>
      </w:r>
      <w:r>
        <w:rPr>
          <w:rFonts w:ascii="宋体" w:hAnsi="宋体" w:cs="宋体" w:eastAsia="宋体" w:hint="ascii"/>
          <w:sz w:val="21"/>
          <w:spacing w:val="-12"/>
        </w:rPr>
        <w:t xml:space="preserve"> </w:t>
      </w:r>
      <w:r>
        <w:rPr>
          <w:rFonts w:ascii="Times New Roman" w:hAnsi="Times New Roman" w:cs="Times New Roman" w:eastAsia="Times New Roman" w:hint="ascii"/>
          <w:sz w:val="21"/>
        </w:rPr>
        <w:t>FWO</w:t>
      </w:r>
      <w:r>
        <w:rPr>
          <w:rFonts w:ascii="Times New Roman" w:hAnsi="Times New Roman" w:cs="Times New Roman" w:eastAsia="Times New Roman" w:hint="ascii"/>
          <w:sz w:val="21"/>
          <w:spacing w:val="-12"/>
        </w:rPr>
        <w:t xml:space="preserve"> </w:t>
      </w:r>
      <w:r>
        <w:rPr>
          <w:rFonts w:ascii="宋体" w:hAnsi="宋体" w:cs="宋体" w:eastAsia="宋体" w:hint="ascii"/>
          <w:sz w:val="21"/>
        </w:rPr>
        <w:t>提交申请，自然科学基金委与</w:t>
      </w:r>
      <w:r>
        <w:rPr>
          <w:rFonts w:ascii="宋体" w:hAnsi="宋体" w:cs="宋体" w:eastAsia="宋体" w:hint="ascii"/>
          <w:sz w:val="21"/>
          <w:spacing w:val="-12"/>
        </w:rPr>
        <w:t xml:space="preserve"> </w:t>
      </w:r>
      <w:r>
        <w:rPr>
          <w:rFonts w:ascii="Times New Roman" w:hAnsi="Times New Roman" w:cs="Times New Roman" w:eastAsia="Times New Roman" w:hint="ascii"/>
          <w:sz w:val="21"/>
        </w:rPr>
        <w:t>FWO</w:t>
      </w:r>
      <w:r>
        <w:rPr>
          <w:rFonts w:ascii="Times New Roman" w:hAnsi="Times New Roman" w:cs="Times New Roman" w:eastAsia="Times New Roman" w:hint="ascii"/>
          <w:sz w:val="21"/>
          <w:spacing w:val="-12"/>
        </w:rPr>
        <w:t xml:space="preserve"> </w:t>
      </w:r>
      <w:r>
        <w:rPr>
          <w:rFonts w:ascii="宋体" w:hAnsi="宋体" w:cs="宋体" w:eastAsia="宋体" w:hint="ascii"/>
          <w:sz w:val="21"/>
        </w:rPr>
        <w:t>根据商定的评审方式和程序进行评审</w:t>
      </w:r>
      <w:r>
        <w:rPr>
          <w:rFonts w:ascii="宋体" w:hAnsi="宋体" w:cs="宋体" w:eastAsia="宋体" w:hint="ascii"/>
          <w:sz w:val="21"/>
          <w:spacing w:val="-1"/>
        </w:rPr>
        <w:t>并</w:t>
      </w:r>
      <w:r>
        <w:rPr>
          <w:rFonts w:ascii="宋体" w:hAnsi="宋体" w:cs="宋体" w:eastAsia="宋体" w:hint="ascii"/>
          <w:sz w:val="21"/>
        </w:rPr>
        <w:t>共</w:t>
      </w:r>
      <w:r>
        <w:rPr>
          <w:rFonts w:ascii="宋体" w:hAnsi="宋体" w:cs="宋体" w:eastAsia="宋体" w:hint="ascii"/>
          <w:sz w:val="21"/>
          <w:spacing w:val="-1"/>
        </w:rPr>
        <w:t>同</w:t>
      </w:r>
      <w:r>
        <w:rPr>
          <w:rFonts w:ascii="宋体" w:hAnsi="宋体" w:cs="宋体" w:eastAsia="宋体" w:hint="ascii"/>
          <w:sz w:val="21"/>
        </w:rPr>
        <w:t>做出</w:t>
      </w:r>
      <w:r>
        <w:rPr>
          <w:rFonts w:ascii="宋体" w:hAnsi="宋体" w:cs="宋体" w:eastAsia="宋体" w:hint="ascii"/>
          <w:sz w:val="21"/>
          <w:spacing w:val="-1"/>
        </w:rPr>
        <w:t>资</w:t>
      </w:r>
      <w:r>
        <w:rPr>
          <w:rFonts w:ascii="宋体" w:hAnsi="宋体" w:cs="宋体" w:eastAsia="宋体" w:hint="ascii"/>
          <w:sz w:val="21"/>
        </w:rPr>
        <w:t>助</w:t>
      </w:r>
      <w:r>
        <w:rPr>
          <w:rFonts w:ascii="宋体" w:hAnsi="宋体" w:cs="宋体" w:eastAsia="宋体" w:hint="ascii"/>
          <w:sz w:val="21"/>
          <w:spacing w:val="-1"/>
        </w:rPr>
        <w:t>决</w:t>
      </w:r>
      <w:r>
        <w:rPr>
          <w:rFonts w:ascii="宋体" w:hAnsi="宋体" w:cs="宋体" w:eastAsia="宋体" w:hint="ascii"/>
          <w:sz w:val="21"/>
        </w:rPr>
        <w:t>定。</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年度有</w:t>
      </w:r>
      <w:r>
        <w:rPr>
          <w:rFonts w:ascii="宋体" w:hAnsi="宋体" w:cs="宋体" w:eastAsia="宋体" w:hint="ascii"/>
          <w:sz w:val="21"/>
          <w:spacing w:val="-1"/>
        </w:rPr>
        <w:t>关</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事宜</w:t>
      </w:r>
      <w:r>
        <w:rPr>
          <w:rFonts w:ascii="宋体" w:hAnsi="宋体" w:cs="宋体" w:eastAsia="宋体" w:hint="ascii"/>
          <w:sz w:val="21"/>
          <w:spacing w:val="-1"/>
        </w:rPr>
        <w:t>请</w:t>
      </w:r>
      <w:r>
        <w:rPr>
          <w:rFonts w:ascii="宋体" w:hAnsi="宋体" w:cs="宋体" w:eastAsia="宋体" w:hint="ascii"/>
          <w:sz w:val="21"/>
        </w:rPr>
        <w:t>关</w:t>
      </w:r>
      <w:r>
        <w:rPr>
          <w:rFonts w:ascii="宋体" w:hAnsi="宋体" w:cs="宋体" w:eastAsia="宋体" w:hint="ascii"/>
          <w:sz w:val="21"/>
          <w:spacing w:val="-1"/>
        </w:rPr>
        <w:t>注</w:t>
      </w:r>
      <w:r>
        <w:rPr>
          <w:rFonts w:ascii="宋体" w:hAnsi="宋体" w:cs="宋体" w:eastAsia="宋体" w:hint="ascii"/>
          <w:sz w:val="21"/>
        </w:rPr>
        <w:t>自然</w:t>
      </w:r>
      <w:r>
        <w:rPr>
          <w:rFonts w:ascii="宋体" w:hAnsi="宋体" w:cs="宋体" w:eastAsia="宋体" w:hint="ascii"/>
          <w:sz w:val="21"/>
          <w:spacing w:val="-1"/>
        </w:rPr>
        <w:t>科</w:t>
      </w:r>
      <w:r>
        <w:rPr>
          <w:rFonts w:ascii="宋体" w:hAnsi="宋体" w:cs="宋体" w:eastAsia="宋体" w:hint="ascii"/>
          <w:sz w:val="21"/>
        </w:rPr>
        <w:t>学</w:t>
      </w:r>
      <w:r>
        <w:rPr>
          <w:rFonts w:ascii="宋体" w:hAnsi="宋体" w:cs="宋体" w:eastAsia="宋体" w:hint="ascii"/>
          <w:sz w:val="21"/>
          <w:spacing w:val="-1"/>
        </w:rPr>
        <w:t>基</w:t>
      </w:r>
      <w:r>
        <w:rPr>
          <w:rFonts w:ascii="宋体" w:hAnsi="宋体" w:cs="宋体" w:eastAsia="宋体" w:hint="ascii"/>
          <w:sz w:val="21"/>
        </w:rPr>
        <w:t>金委</w:t>
      </w:r>
      <w:r>
        <w:rPr>
          <w:rFonts w:ascii="宋体" w:hAnsi="宋体" w:cs="宋体" w:eastAsia="宋体" w:hint="ascii"/>
          <w:sz w:val="21"/>
          <w:spacing w:val="-1"/>
        </w:rPr>
        <w:t>网</w:t>
      </w:r>
      <w:r>
        <w:rPr>
          <w:rFonts w:ascii="宋体" w:hAnsi="宋体" w:cs="宋体" w:eastAsia="宋体" w:hint="ascii"/>
          <w:sz w:val="21"/>
        </w:rPr>
        <w:t>站</w:t>
      </w:r>
      <w:r>
        <w:rPr>
          <w:rFonts w:ascii="宋体" w:hAnsi="宋体" w:cs="宋体" w:eastAsia="宋体" w:hint="ascii"/>
          <w:sz w:val="21"/>
          <w:spacing w:val="-1"/>
        </w:rPr>
        <w:t>“</w:t>
      </w:r>
      <w:r>
        <w:rPr>
          <w:rFonts w:ascii="宋体" w:hAnsi="宋体" w:cs="宋体" w:eastAsia="宋体" w:hint="ascii"/>
          <w:sz w:val="21"/>
        </w:rPr>
        <w:t>通</w:t>
      </w:r>
      <w:r>
        <w:rPr>
          <w:rFonts w:ascii="宋体" w:hAnsi="宋体" w:cs="宋体" w:eastAsia="宋体" w:hint="ascii"/>
          <w:sz w:val="21"/>
          <w:spacing w:val="-4"/>
        </w:rPr>
        <w:t>知</w:t>
      </w:r>
      <w:r>
        <w:rPr>
          <w:rFonts w:ascii="宋体" w:hAnsi="宋体" w:cs="宋体" w:eastAsia="宋体" w:hint="ascii"/>
          <w:sz w:val="21"/>
        </w:rPr>
        <w:t>通告”栏目中发布的《组织间国际（地区）合作研究与交流项目指南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280"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比利时法语区基础研究基金会（</w:t>
      </w:r>
      <w:r>
        <w:rPr>
          <w:rFonts w:ascii="Times New Roman" w:hAnsi="Times New Roman" w:cs="Times New Roman" w:eastAsia="Times New Roman" w:hint="ascii"/>
          <w:b w:val="1"/>
          <w:sz w:val="21"/>
        </w:rPr>
        <w:t>FNRS</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54" locked="0" layoutInCell="1" allowOverlap="1">
                <wp:simplePos x="0" y="0"/>
                <wp:positionH relativeFrom="page">
                  <wp:posOffset>938530</wp:posOffset>
                </wp:positionH>
                <wp:positionV relativeFrom="page">
                  <wp:posOffset>819150</wp:posOffset>
                </wp:positionV>
                <wp:extent cx="5076190" cy="0"/>
                <wp:wrapNone/>
                <wp:docPr id="1283" name="128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98144;width:399.70pt;" id="128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6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w:t>
      </w:r>
      <w:r>
        <w:rPr>
          <w:rFonts w:ascii="宋体" w:hAnsi="宋体" w:cs="宋体" w:eastAsia="宋体" w:hint="ascii"/>
          <w:sz w:val="21"/>
          <w:spacing w:val="27"/>
        </w:rPr>
        <w:t>与</w:t>
      </w:r>
      <w:r>
        <w:rPr>
          <w:rFonts w:ascii="Times New Roman" w:hAnsi="Times New Roman" w:cs="Times New Roman" w:eastAsia="Times New Roman" w:hint="ascii"/>
          <w:sz w:val="21"/>
        </w:rPr>
        <w:t>FNR</w:t>
      </w:r>
      <w:r>
        <w:rPr>
          <w:rFonts w:ascii="Times New Roman" w:hAnsi="Times New Roman" w:cs="Times New Roman" w:eastAsia="Times New Roman" w:hint="ascii"/>
          <w:sz w:val="21"/>
          <w:spacing w:val="53"/>
        </w:rPr>
        <w:t>S</w:t>
      </w:r>
      <w:r>
        <w:rPr>
          <w:rFonts w:ascii="宋体" w:hAnsi="宋体" w:cs="宋体" w:eastAsia="宋体" w:hint="ascii"/>
          <w:sz w:val="21"/>
        </w:rPr>
        <w:t>共同资助中国和比利时法语区研究人员间的交流互访，资</w:t>
      </w:r>
    </w:p>
    <w:p>
      <w:pPr>
        <w:autoSpaceDE w:val="0"/>
        <w:autoSpaceDN w:val="0"/>
        <w:jc w:val="both"/>
        <w:spacing w:before="14" w:after="0" w:lineRule="exact" w:line="33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助期限</w:t>
      </w:r>
      <w:r>
        <w:rPr>
          <w:rFonts w:ascii="宋体" w:hAnsi="宋体" w:cs="宋体" w:eastAsia="宋体" w:hint="ascii"/>
          <w:sz w:val="21"/>
          <w:spacing w:val="27"/>
        </w:rPr>
        <w:t>为</w:t>
      </w:r>
      <w:r>
        <w:rPr>
          <w:rFonts w:ascii="Times New Roman" w:hAnsi="Times New Roman" w:cs="Times New Roman" w:eastAsia="Times New Roman" w:hint="ascii"/>
          <w:sz w:val="21"/>
          <w:spacing w:val="52"/>
        </w:rPr>
        <w:t>2</w:t>
      </w:r>
      <w:r>
        <w:rPr>
          <w:rFonts w:ascii="宋体" w:hAnsi="宋体" w:cs="宋体" w:eastAsia="宋体" w:hint="ascii"/>
          <w:sz w:val="21"/>
        </w:rPr>
        <w:t>年。自然科学基金委资助中国研究人员访比的国际旅费和比方研究人员在华</w:t>
      </w:r>
      <w:r>
        <w:rPr>
          <w:rFonts w:ascii="宋体" w:hAnsi="宋体" w:cs="宋体" w:eastAsia="宋体" w:hint="ascii"/>
          <w:sz w:val="21"/>
          <w:spacing w:val="1"/>
        </w:rPr>
        <w:t>的生</w:t>
      </w:r>
      <w:r>
        <w:rPr>
          <w:rFonts w:ascii="宋体" w:hAnsi="宋体" w:cs="宋体" w:eastAsia="宋体" w:hint="ascii"/>
          <w:sz w:val="21"/>
          <w:spacing w:val="2"/>
        </w:rPr>
        <w:t>活</w:t>
      </w:r>
      <w:r>
        <w:rPr>
          <w:rFonts w:ascii="宋体" w:hAnsi="宋体" w:cs="宋体" w:eastAsia="宋体" w:hint="ascii"/>
          <w:sz w:val="21"/>
          <w:spacing w:val="1"/>
        </w:rPr>
        <w:t>费</w:t>
      </w:r>
      <w:r>
        <w:rPr>
          <w:rFonts w:ascii="宋体" w:hAnsi="宋体" w:cs="宋体" w:eastAsia="宋体" w:hint="ascii"/>
          <w:sz w:val="21"/>
          <w:spacing w:val="2"/>
        </w:rPr>
        <w:t>；</w:t>
      </w:r>
      <w:r>
        <w:rPr>
          <w:rFonts w:ascii="Times New Roman" w:hAnsi="Times New Roman" w:cs="Times New Roman" w:eastAsia="Times New Roman" w:hint="ascii"/>
          <w:sz w:val="21"/>
          <w:spacing w:val="1"/>
        </w:rPr>
        <w:t>FNRS</w:t>
      </w:r>
      <w:r>
        <w:rPr>
          <w:rFonts w:ascii="Times New Roman" w:hAnsi="Times New Roman" w:cs="Times New Roman" w:eastAsia="Times New Roman" w:hint="ascii"/>
          <w:sz w:val="21"/>
        </w:rPr>
        <w:t xml:space="preserve"> </w:t>
      </w:r>
      <w:r>
        <w:rPr>
          <w:rFonts w:ascii="宋体" w:hAnsi="宋体" w:cs="宋体" w:eastAsia="宋体" w:hint="ascii"/>
          <w:sz w:val="21"/>
        </w:rPr>
        <w:t>资</w:t>
      </w:r>
      <w:r>
        <w:rPr>
          <w:rFonts w:ascii="宋体" w:hAnsi="宋体" w:cs="宋体" w:eastAsia="宋体" w:hint="ascii"/>
          <w:sz w:val="21"/>
          <w:spacing w:val="1"/>
        </w:rPr>
        <w:t>助</w:t>
      </w:r>
      <w:r>
        <w:rPr>
          <w:rFonts w:ascii="宋体" w:hAnsi="宋体" w:cs="宋体" w:eastAsia="宋体" w:hint="ascii"/>
          <w:sz w:val="21"/>
        </w:rPr>
        <w:t>比方研</w:t>
      </w:r>
      <w:r>
        <w:rPr>
          <w:rFonts w:ascii="宋体" w:hAnsi="宋体" w:cs="宋体" w:eastAsia="宋体" w:hint="ascii"/>
          <w:sz w:val="21"/>
          <w:spacing w:val="1"/>
        </w:rPr>
        <w:t>究</w:t>
      </w:r>
      <w:r>
        <w:rPr>
          <w:rFonts w:ascii="宋体" w:hAnsi="宋体" w:cs="宋体" w:eastAsia="宋体" w:hint="ascii"/>
          <w:sz w:val="21"/>
        </w:rPr>
        <w:t>人员访华</w:t>
      </w:r>
      <w:r>
        <w:rPr>
          <w:rFonts w:ascii="宋体" w:hAnsi="宋体" w:cs="宋体" w:eastAsia="宋体" w:hint="ascii"/>
          <w:sz w:val="21"/>
          <w:spacing w:val="1"/>
        </w:rPr>
        <w:t>的</w:t>
      </w:r>
      <w:r>
        <w:rPr>
          <w:rFonts w:ascii="宋体" w:hAnsi="宋体" w:cs="宋体" w:eastAsia="宋体" w:hint="ascii"/>
          <w:sz w:val="21"/>
        </w:rPr>
        <w:t>国际旅费</w:t>
      </w:r>
      <w:r>
        <w:rPr>
          <w:rFonts w:ascii="宋体" w:hAnsi="宋体" w:cs="宋体" w:eastAsia="宋体" w:hint="ascii"/>
          <w:sz w:val="21"/>
          <w:spacing w:val="1"/>
        </w:rPr>
        <w:t>和</w:t>
      </w:r>
      <w:r>
        <w:rPr>
          <w:rFonts w:ascii="宋体" w:hAnsi="宋体" w:cs="宋体" w:eastAsia="宋体" w:hint="ascii"/>
          <w:sz w:val="21"/>
        </w:rPr>
        <w:t>中国研究</w:t>
      </w:r>
      <w:r>
        <w:rPr>
          <w:rFonts w:ascii="宋体" w:hAnsi="宋体" w:cs="宋体" w:eastAsia="宋体" w:hint="ascii"/>
          <w:sz w:val="21"/>
          <w:spacing w:val="1"/>
        </w:rPr>
        <w:t>人</w:t>
      </w:r>
      <w:r>
        <w:rPr>
          <w:rFonts w:ascii="宋体" w:hAnsi="宋体" w:cs="宋体" w:eastAsia="宋体" w:hint="ascii"/>
          <w:sz w:val="21"/>
        </w:rPr>
        <w:t>员在比期间的生</w:t>
      </w:r>
      <w:r>
        <w:rPr>
          <w:rFonts w:ascii="宋体" w:hAnsi="宋体" w:cs="宋体" w:eastAsia="宋体" w:hint="ascii"/>
          <w:sz w:val="21"/>
          <w:spacing w:val="-6"/>
        </w:rPr>
        <w:t>活</w:t>
      </w:r>
      <w:r>
        <w:rPr>
          <w:rFonts w:ascii="宋体" w:hAnsi="宋体" w:cs="宋体" w:eastAsia="宋体" w:hint="ascii"/>
          <w:sz w:val="21"/>
          <w:spacing w:val="4"/>
        </w:rPr>
        <w:t>费。</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4"/>
        </w:rPr>
        <w:t xml:space="preserve"> </w:t>
      </w:r>
      <w:r>
        <w:rPr>
          <w:rFonts w:ascii="宋体" w:hAnsi="宋体" w:cs="宋体" w:eastAsia="宋体" w:hint="ascii"/>
          <w:sz w:val="21"/>
          <w:spacing w:val="4"/>
        </w:rPr>
        <w:t>年</w:t>
      </w:r>
      <w:r>
        <w:rPr>
          <w:rFonts w:ascii="宋体" w:hAnsi="宋体" w:cs="宋体" w:eastAsia="宋体" w:hint="ascii"/>
          <w:sz w:val="21"/>
          <w:spacing w:val="5"/>
        </w:rPr>
        <w:t>度有关申</w:t>
      </w:r>
      <w:r>
        <w:rPr>
          <w:rFonts w:ascii="宋体" w:hAnsi="宋体" w:cs="宋体" w:eastAsia="宋体" w:hint="ascii"/>
          <w:sz w:val="21"/>
          <w:spacing w:val="4"/>
        </w:rPr>
        <w:t>请</w:t>
      </w:r>
      <w:r>
        <w:rPr>
          <w:rFonts w:ascii="宋体" w:hAnsi="宋体" w:cs="宋体" w:eastAsia="宋体" w:hint="ascii"/>
          <w:sz w:val="21"/>
          <w:spacing w:val="5"/>
        </w:rPr>
        <w:t>事宜请关</w:t>
      </w:r>
      <w:r>
        <w:rPr>
          <w:rFonts w:ascii="宋体" w:hAnsi="宋体" w:cs="宋体" w:eastAsia="宋体" w:hint="ascii"/>
          <w:sz w:val="21"/>
          <w:spacing w:val="4"/>
        </w:rPr>
        <w:t>注</w:t>
      </w:r>
      <w:r>
        <w:rPr>
          <w:rFonts w:ascii="宋体" w:hAnsi="宋体" w:cs="宋体" w:eastAsia="宋体" w:hint="ascii"/>
          <w:sz w:val="21"/>
          <w:spacing w:val="5"/>
        </w:rPr>
        <w:t>自然科学</w:t>
      </w:r>
      <w:r>
        <w:rPr>
          <w:rFonts w:ascii="宋体" w:hAnsi="宋体" w:cs="宋体" w:eastAsia="宋体" w:hint="ascii"/>
          <w:sz w:val="21"/>
          <w:spacing w:val="4"/>
        </w:rPr>
        <w:t>基</w:t>
      </w:r>
      <w:r>
        <w:rPr>
          <w:rFonts w:ascii="宋体" w:hAnsi="宋体" w:cs="宋体" w:eastAsia="宋体" w:hint="ascii"/>
          <w:sz w:val="21"/>
          <w:spacing w:val="5"/>
        </w:rPr>
        <w:t>金委网站</w:t>
      </w:r>
      <w:r>
        <w:rPr>
          <w:rFonts w:ascii="宋体" w:hAnsi="宋体" w:cs="宋体" w:eastAsia="宋体" w:hint="ascii"/>
          <w:sz w:val="21"/>
          <w:spacing w:val="4"/>
        </w:rPr>
        <w:t>“</w:t>
      </w:r>
      <w:r>
        <w:rPr>
          <w:rFonts w:ascii="宋体" w:hAnsi="宋体" w:cs="宋体" w:eastAsia="宋体" w:hint="ascii"/>
          <w:sz w:val="21"/>
          <w:spacing w:val="5"/>
        </w:rPr>
        <w:t>通知通告</w:t>
      </w:r>
      <w:r>
        <w:rPr>
          <w:rFonts w:ascii="宋体" w:hAnsi="宋体" w:cs="宋体" w:eastAsia="宋体" w:hint="ascii"/>
          <w:sz w:val="21"/>
          <w:spacing w:val="4"/>
        </w:rPr>
        <w:t>”</w:t>
      </w:r>
      <w:r>
        <w:rPr>
          <w:rFonts w:ascii="宋体" w:hAnsi="宋体" w:cs="宋体" w:eastAsia="宋体" w:hint="ascii"/>
          <w:sz w:val="21"/>
          <w:spacing w:val="5"/>
        </w:rPr>
        <w:t>栏目中发</w:t>
      </w:r>
      <w:r>
        <w:rPr>
          <w:rFonts w:ascii="宋体" w:hAnsi="宋体" w:cs="宋体" w:eastAsia="宋体" w:hint="ascii"/>
          <w:sz w:val="21"/>
          <w:spacing w:val="4"/>
        </w:rPr>
        <w:t>布</w:t>
      </w:r>
      <w:r>
        <w:rPr>
          <w:rFonts w:ascii="宋体" w:hAnsi="宋体" w:cs="宋体" w:eastAsia="宋体" w:hint="ascii"/>
          <w:sz w:val="21"/>
        </w:rPr>
        <w:t>的</w:t>
      </w:r>
    </w:p>
    <w:p>
      <w:pPr>
        <w:autoSpaceDE w:val="0"/>
        <w:autoSpaceDN w:val="0"/>
        <w:jc w:val="left"/>
        <w:spacing w:before="54"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《组织间国际（地区）合作研究与交流项目指南</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178"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爱尔兰</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爱尔兰科学基金会（</w:t>
      </w:r>
      <w:r>
        <w:rPr>
          <w:rFonts w:ascii="Times New Roman" w:hAnsi="Times New Roman" w:cs="Times New Roman" w:eastAsia="Times New Roman" w:hint="ascii"/>
          <w:b w:val="1"/>
          <w:sz w:val="21"/>
        </w:rPr>
        <w:t>SFI</w:t>
      </w:r>
      <w:r>
        <w:rPr>
          <w:rFonts w:ascii="宋体" w:hAnsi="宋体" w:cs="宋体" w:eastAsia="宋体" w:hint="ascii"/>
          <w:sz w:val="21"/>
        </w:rPr>
        <w:t>）</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6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23"/>
        </w:rPr>
        <w:t xml:space="preserve"> </w:t>
      </w:r>
      <w:r>
        <w:rPr>
          <w:rFonts w:ascii="Times New Roman" w:hAnsi="Times New Roman" w:cs="Times New Roman" w:eastAsia="Times New Roman" w:hint="ascii"/>
          <w:sz w:val="21"/>
        </w:rPr>
        <w:t>SFI</w:t>
      </w:r>
      <w:r>
        <w:rPr>
          <w:rFonts w:ascii="Times New Roman" w:hAnsi="Times New Roman" w:cs="Times New Roman" w:eastAsia="Times New Roman" w:hint="ascii"/>
          <w:sz w:val="21"/>
          <w:spacing w:val="-23"/>
        </w:rPr>
        <w:t xml:space="preserve"> </w:t>
      </w:r>
      <w:r>
        <w:rPr>
          <w:rFonts w:ascii="宋体" w:hAnsi="宋体" w:cs="宋体" w:eastAsia="宋体" w:hint="ascii"/>
          <w:sz w:val="21"/>
        </w:rPr>
        <w:t>在双方共同感兴趣的领域鼓励两国研究人员开展实质性合作</w:t>
      </w:r>
    </w:p>
    <w:p>
      <w:pPr>
        <w:autoSpaceDE w:val="0"/>
        <w:autoSpaceDN w:val="0"/>
        <w:jc w:val="left"/>
        <w:spacing w:before="13" w:after="0" w:lineRule="exact" w:line="330"/>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6"/>
        </w:rPr>
        <w:t>研究。此类项目经双方协商共同发布《组织间国际（地区）合作研究与交流项目</w:t>
      </w:r>
      <w:r>
        <w:rPr>
          <w:rFonts w:ascii="宋体" w:hAnsi="宋体" w:cs="宋体" w:eastAsia="宋体" w:hint="ascii"/>
          <w:sz w:val="21"/>
        </w:rPr>
        <w:t>指</w:t>
      </w:r>
      <w:r>
        <w:rPr>
          <w:rFonts w:ascii="宋体" w:hAnsi="宋体" w:cs="宋体" w:eastAsia="宋体" w:hint="ascii"/>
          <w:sz w:val="21"/>
          <w:spacing w:val="-1"/>
        </w:rPr>
        <w:t>南</w:t>
      </w:r>
      <w:r>
        <w:rPr>
          <w:rFonts w:ascii="宋体" w:hAnsi="宋体" w:cs="宋体" w:eastAsia="宋体" w:hint="ascii"/>
          <w:sz w:val="21"/>
          <w:spacing w:val="-53"/>
        </w:rPr>
        <w:t>》</w:t>
      </w:r>
      <w:r>
        <w:rPr>
          <w:rFonts w:ascii="宋体" w:hAnsi="宋体" w:cs="宋体" w:eastAsia="宋体" w:hint="ascii"/>
          <w:sz w:val="21"/>
          <w:spacing w:val="-1"/>
        </w:rPr>
        <w:t>，由两国研究人员分别向</w:t>
      </w:r>
      <w:r>
        <w:rPr>
          <w:rFonts w:ascii="宋体" w:hAnsi="宋体" w:cs="宋体" w:eastAsia="宋体" w:hint="ascii"/>
          <w:sz w:val="21"/>
        </w:rPr>
        <w:t xml:space="preserve">自然科学基金委和 </w:t>
      </w:r>
      <w:r>
        <w:rPr>
          <w:rFonts w:ascii="Times New Roman" w:hAnsi="Times New Roman" w:cs="Times New Roman" w:eastAsia="Times New Roman" w:hint="ascii"/>
          <w:sz w:val="21"/>
        </w:rPr>
        <w:t xml:space="preserve">SFI </w:t>
      </w:r>
      <w:r>
        <w:rPr>
          <w:rFonts w:ascii="宋体" w:hAnsi="宋体" w:cs="宋体" w:eastAsia="宋体" w:hint="ascii"/>
          <w:sz w:val="21"/>
        </w:rPr>
        <w:t xml:space="preserve">提交申请，自然科学基金委与 </w:t>
      </w:r>
      <w:r>
        <w:rPr>
          <w:rFonts w:ascii="Times New Roman" w:hAnsi="Times New Roman" w:cs="Times New Roman" w:eastAsia="Times New Roman" w:hint="ascii"/>
          <w:sz w:val="21"/>
        </w:rPr>
        <w:t xml:space="preserve">SFI </w:t>
      </w:r>
      <w:r>
        <w:rPr>
          <w:rFonts w:ascii="宋体" w:hAnsi="宋体" w:cs="宋体" w:eastAsia="宋体" w:hint="ascii"/>
          <w:sz w:val="21"/>
        </w:rPr>
        <w:t>根据商定的评审方式和程序进行评审并共同做出资助决定。</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波兰</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波兰国家科学中心（</w:t>
      </w:r>
      <w:r>
        <w:rPr>
          <w:rFonts w:ascii="Times New Roman" w:hAnsi="Times New Roman" w:cs="Times New Roman" w:eastAsia="Times New Roman" w:hint="ascii"/>
          <w:b w:val="1"/>
          <w:sz w:val="21"/>
        </w:rPr>
        <w:t>NCN</w:t>
      </w:r>
      <w:r>
        <w:rPr>
          <w:rFonts w:ascii="宋体" w:hAnsi="宋体" w:cs="宋体" w:eastAsia="宋体" w:hint="ascii"/>
          <w:sz w:val="21"/>
        </w:rPr>
        <w:t>）</w:t>
      </w:r>
    </w:p>
    <w:p>
      <w:pPr>
        <w:autoSpaceDE w:val="0"/>
        <w:autoSpaceDN w:val="0"/>
        <w:jc w:val="left"/>
        <w:spacing w:before="6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合作研究项目</w:t>
      </w:r>
    </w:p>
    <w:p>
      <w:pPr>
        <w:autoSpaceDE w:val="0"/>
        <w:autoSpaceDN w:val="0"/>
        <w:jc w:val="left"/>
        <w:spacing w:before="13" w:after="0" w:lineRule="exact" w:line="330"/>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5"/>
        </w:rPr>
        <w:t xml:space="preserve"> </w:t>
      </w:r>
      <w:r>
        <w:rPr>
          <w:rFonts w:ascii="Times New Roman" w:hAnsi="Times New Roman" w:cs="Times New Roman" w:eastAsia="Times New Roman" w:hint="ascii"/>
          <w:sz w:val="21"/>
        </w:rPr>
        <w:t>NCN</w:t>
      </w:r>
      <w:r>
        <w:rPr>
          <w:rFonts w:ascii="Times New Roman" w:hAnsi="Times New Roman" w:cs="Times New Roman" w:eastAsia="Times New Roman" w:hint="ascii"/>
          <w:sz w:val="21"/>
          <w:spacing w:val="-6"/>
        </w:rPr>
        <w:t xml:space="preserve"> </w:t>
      </w:r>
      <w:r>
        <w:rPr>
          <w:rFonts w:ascii="宋体" w:hAnsi="宋体" w:cs="宋体" w:eastAsia="宋体" w:hint="ascii"/>
          <w:sz w:val="21"/>
        </w:rPr>
        <w:t>在双方共同感兴趣的领域支持两国人员开展实质性合作研究，此类项目经双方协商发布《组织间国际（地区）合作研究与交流项目指南</w:t>
      </w:r>
      <w:r>
        <w:rPr>
          <w:rFonts w:ascii="宋体" w:hAnsi="宋体" w:cs="宋体" w:eastAsia="宋体" w:hint="ascii"/>
          <w:sz w:val="21"/>
          <w:spacing w:val="-51"/>
        </w:rPr>
        <w:t>》</w:t>
      </w:r>
      <w:r>
        <w:rPr>
          <w:rFonts w:ascii="宋体" w:hAnsi="宋体" w:cs="宋体" w:eastAsia="宋体" w:hint="ascii"/>
          <w:sz w:val="21"/>
        </w:rPr>
        <w:t>，由两国研究人员分别向自然科学基金委和</w:t>
      </w:r>
      <w:r>
        <w:rPr>
          <w:rFonts w:ascii="宋体" w:hAnsi="宋体" w:cs="宋体" w:eastAsia="宋体" w:hint="ascii"/>
          <w:sz w:val="21"/>
          <w:spacing w:val="-5"/>
        </w:rPr>
        <w:t xml:space="preserve"> </w:t>
      </w:r>
      <w:r>
        <w:rPr>
          <w:rFonts w:ascii="Times New Roman" w:hAnsi="Times New Roman" w:cs="Times New Roman" w:eastAsia="Times New Roman" w:hint="ascii"/>
          <w:sz w:val="21"/>
        </w:rPr>
        <w:t>NCN</w:t>
      </w:r>
      <w:r>
        <w:rPr>
          <w:rFonts w:ascii="Times New Roman" w:hAnsi="Times New Roman" w:cs="Times New Roman" w:eastAsia="Times New Roman" w:hint="ascii"/>
          <w:sz w:val="21"/>
          <w:spacing w:val="-6"/>
        </w:rPr>
        <w:t xml:space="preserve"> </w:t>
      </w:r>
      <w:r>
        <w:rPr>
          <w:rFonts w:ascii="宋体" w:hAnsi="宋体" w:cs="宋体" w:eastAsia="宋体" w:hint="ascii"/>
          <w:sz w:val="21"/>
        </w:rPr>
        <w:t>提交申请，自然科学基金委与</w:t>
      </w:r>
      <w:r>
        <w:rPr>
          <w:rFonts w:ascii="宋体" w:hAnsi="宋体" w:cs="宋体" w:eastAsia="宋体" w:hint="ascii"/>
          <w:sz w:val="21"/>
          <w:spacing w:val="-5"/>
        </w:rPr>
        <w:t xml:space="preserve"> </w:t>
      </w:r>
      <w:r>
        <w:rPr>
          <w:rFonts w:ascii="Times New Roman" w:hAnsi="Times New Roman" w:cs="Times New Roman" w:eastAsia="Times New Roman" w:hint="ascii"/>
          <w:sz w:val="21"/>
        </w:rPr>
        <w:t>NCN</w:t>
      </w:r>
      <w:r>
        <w:rPr>
          <w:rFonts w:ascii="Times New Roman" w:hAnsi="Times New Roman" w:cs="Times New Roman" w:eastAsia="Times New Roman" w:hint="ascii"/>
          <w:sz w:val="21"/>
          <w:spacing w:val="-6"/>
        </w:rPr>
        <w:t xml:space="preserve"> </w:t>
      </w:r>
      <w:r>
        <w:rPr>
          <w:rFonts w:ascii="宋体" w:hAnsi="宋体" w:cs="宋体" w:eastAsia="宋体" w:hint="ascii"/>
          <w:sz w:val="21"/>
        </w:rPr>
        <w:t>根据商定的评审方式和程序进行评审并共同作出资助的决定。</w:t>
      </w:r>
      <w:r>
        <w:rPr>
          <w:rFonts w:ascii="Times New Roman" w:hAnsi="Times New Roman" w:cs="Times New Roman" w:eastAsia="Times New Roman" w:hint="ascii"/>
          <w:sz w:val="21"/>
        </w:rPr>
        <w:t xml:space="preserve">2018 </w:t>
      </w:r>
      <w:r>
        <w:rPr>
          <w:rFonts w:ascii="宋体" w:hAnsi="宋体" w:cs="宋体" w:eastAsia="宋体" w:hint="ascii"/>
          <w:sz w:val="21"/>
        </w:rPr>
        <w:t>年度有关申请事宜请关注自然科学基金委网站“通知通告”栏目中发布的《组织间国际（地区）合作研究与交流项目指南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捷克</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捷克科学院（</w:t>
      </w:r>
      <w:r>
        <w:rPr>
          <w:rFonts w:ascii="Times New Roman" w:hAnsi="Times New Roman" w:cs="Times New Roman" w:eastAsia="Times New Roman" w:hint="ascii"/>
          <w:b w:val="1"/>
          <w:sz w:val="21"/>
        </w:rPr>
        <w:t>CAS</w:t>
      </w:r>
      <w:r>
        <w:rPr>
          <w:rFonts w:ascii="宋体" w:hAnsi="宋体" w:cs="宋体" w:eastAsia="宋体" w:hint="ascii"/>
          <w:sz w:val="21"/>
        </w:rPr>
        <w:t>）</w:t>
      </w:r>
    </w:p>
    <w:p>
      <w:pPr>
        <w:autoSpaceDE w:val="0"/>
        <w:autoSpaceDN w:val="0"/>
        <w:jc w:val="left"/>
        <w:spacing w:before="66"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6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 </w:t>
      </w:r>
      <w:r>
        <w:rPr>
          <w:rFonts w:ascii="Times New Roman" w:hAnsi="Times New Roman" w:cs="Times New Roman" w:eastAsia="Times New Roman" w:hint="ascii"/>
          <w:sz w:val="21"/>
        </w:rPr>
        <w:t xml:space="preserve">CAS </w:t>
      </w:r>
      <w:r>
        <w:rPr>
          <w:rFonts w:ascii="宋体" w:hAnsi="宋体" w:cs="宋体" w:eastAsia="宋体" w:hint="ascii"/>
          <w:sz w:val="21"/>
        </w:rPr>
        <w:t>共同资助中捷研究人员间的交流互访。此类项目经双方协</w:t>
      </w:r>
    </w:p>
    <w:p>
      <w:pPr>
        <w:autoSpaceDE w:val="0"/>
        <w:autoSpaceDN w:val="0"/>
        <w:jc w:val="left"/>
        <w:spacing w:before="13" w:after="0" w:lineRule="exact" w:line="33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商共同发布《组织间国际（地区）合作研究与交流项目指南</w:t>
      </w:r>
      <w:r>
        <w:rPr>
          <w:rFonts w:ascii="宋体" w:hAnsi="宋体" w:cs="宋体" w:eastAsia="宋体" w:hint="ascii"/>
          <w:sz w:val="21"/>
          <w:spacing w:val="-50"/>
        </w:rPr>
        <w:t>》</w:t>
      </w:r>
      <w:r>
        <w:rPr>
          <w:rFonts w:ascii="宋体" w:hAnsi="宋体" w:cs="宋体" w:eastAsia="宋体" w:hint="ascii"/>
          <w:sz w:val="21"/>
        </w:rPr>
        <w:t>。中方研究人员向自然科学基金委申请，同时捷方研究人员向</w:t>
      </w:r>
      <w:r>
        <w:rPr>
          <w:rFonts w:ascii="宋体" w:hAnsi="宋体" w:cs="宋体" w:eastAsia="宋体" w:hint="ascii"/>
          <w:sz w:val="21"/>
          <w:spacing w:val="3"/>
        </w:rPr>
        <w:t xml:space="preserve"> </w:t>
      </w:r>
      <w:r>
        <w:rPr>
          <w:rFonts w:ascii="Times New Roman" w:hAnsi="Times New Roman" w:cs="Times New Roman" w:eastAsia="Times New Roman" w:hint="ascii"/>
          <w:sz w:val="21"/>
        </w:rPr>
        <w:t xml:space="preserve">CAS </w:t>
      </w:r>
      <w:r>
        <w:rPr>
          <w:rFonts w:ascii="宋体" w:hAnsi="宋体" w:cs="宋体" w:eastAsia="宋体" w:hint="ascii"/>
          <w:sz w:val="21"/>
        </w:rPr>
        <w:t>申请。</w:t>
      </w:r>
      <w:r>
        <w:rPr>
          <w:rFonts w:ascii="Times New Roman" w:hAnsi="Times New Roman" w:cs="Times New Roman" w:eastAsia="Times New Roman" w:hint="ascii"/>
          <w:sz w:val="21"/>
        </w:rPr>
        <w:t xml:space="preserve">2018 </w:t>
      </w:r>
      <w:r>
        <w:rPr>
          <w:rFonts w:ascii="宋体" w:hAnsi="宋体" w:cs="宋体" w:eastAsia="宋体" w:hint="ascii"/>
          <w:sz w:val="21"/>
        </w:rPr>
        <w:t xml:space="preserve">年度有关申请事宜请关注自然 </w:t>
      </w:r>
      <w:r>
        <w:rPr>
          <w:rFonts w:ascii="宋体" w:hAnsi="宋体" w:cs="宋体" w:eastAsia="宋体" w:hint="ascii"/>
          <w:sz w:val="21"/>
          <w:spacing w:val="3"/>
        </w:rPr>
        <w:t>科学基金</w:t>
      </w:r>
      <w:r>
        <w:rPr>
          <w:rFonts w:ascii="宋体" w:hAnsi="宋体" w:cs="宋体" w:eastAsia="宋体" w:hint="ascii"/>
          <w:sz w:val="21"/>
        </w:rPr>
        <w:t>委</w:t>
      </w:r>
      <w:r>
        <w:rPr>
          <w:rFonts w:ascii="宋体" w:hAnsi="宋体" w:cs="宋体" w:eastAsia="宋体" w:hint="ascii"/>
          <w:sz w:val="21"/>
          <w:spacing w:val="3"/>
        </w:rPr>
        <w:t>网站“通</w:t>
      </w:r>
      <w:r>
        <w:rPr>
          <w:rFonts w:ascii="宋体" w:hAnsi="宋体" w:cs="宋体" w:eastAsia="宋体" w:hint="ascii"/>
          <w:sz w:val="21"/>
        </w:rPr>
        <w:t>知</w:t>
      </w:r>
      <w:r>
        <w:rPr>
          <w:rFonts w:ascii="宋体" w:hAnsi="宋体" w:cs="宋体" w:eastAsia="宋体" w:hint="ascii"/>
          <w:sz w:val="21"/>
          <w:spacing w:val="3"/>
        </w:rPr>
        <w:t>通告”栏</w:t>
      </w:r>
      <w:r>
        <w:rPr>
          <w:rFonts w:ascii="宋体" w:hAnsi="宋体" w:cs="宋体" w:eastAsia="宋体" w:hint="ascii"/>
          <w:sz w:val="21"/>
        </w:rPr>
        <w:t>目</w:t>
      </w:r>
      <w:r>
        <w:rPr>
          <w:rFonts w:ascii="宋体" w:hAnsi="宋体" w:cs="宋体" w:eastAsia="宋体" w:hint="ascii"/>
          <w:sz w:val="21"/>
          <w:spacing w:val="3"/>
        </w:rPr>
        <w:t>中发布的</w:t>
      </w:r>
      <w:r>
        <w:rPr>
          <w:rFonts w:ascii="宋体" w:hAnsi="宋体" w:cs="宋体" w:eastAsia="宋体" w:hint="ascii"/>
          <w:sz w:val="21"/>
        </w:rPr>
        <w:t>《</w:t>
      </w:r>
      <w:r>
        <w:rPr>
          <w:rFonts w:ascii="宋体" w:hAnsi="宋体" w:cs="宋体" w:eastAsia="宋体" w:hint="ascii"/>
          <w:sz w:val="21"/>
          <w:spacing w:val="3"/>
        </w:rPr>
        <w:t>组织间国</w:t>
      </w:r>
      <w:r>
        <w:rPr>
          <w:rFonts w:ascii="宋体" w:hAnsi="宋体" w:cs="宋体" w:eastAsia="宋体" w:hint="ascii"/>
          <w:sz w:val="21"/>
        </w:rPr>
        <w:t>际</w:t>
      </w:r>
      <w:r>
        <w:rPr>
          <w:rFonts w:ascii="宋体" w:hAnsi="宋体" w:cs="宋体" w:eastAsia="宋体" w:hint="ascii"/>
          <w:sz w:val="21"/>
          <w:spacing w:val="3"/>
        </w:rPr>
        <w:t>（地区）</w:t>
      </w:r>
      <w:r>
        <w:rPr>
          <w:rFonts w:ascii="宋体" w:hAnsi="宋体" w:cs="宋体" w:eastAsia="宋体" w:hint="ascii"/>
          <w:sz w:val="21"/>
        </w:rPr>
        <w:t>合</w:t>
      </w:r>
      <w:r>
        <w:rPr>
          <w:rFonts w:ascii="宋体" w:hAnsi="宋体" w:cs="宋体" w:eastAsia="宋体" w:hint="ascii"/>
          <w:sz w:val="21"/>
          <w:spacing w:val="3"/>
        </w:rPr>
        <w:t>作研究与</w:t>
      </w:r>
      <w:r>
        <w:rPr>
          <w:rFonts w:ascii="宋体" w:hAnsi="宋体" w:cs="宋体" w:eastAsia="宋体" w:hint="ascii"/>
          <w:sz w:val="21"/>
        </w:rPr>
        <w:t>交</w:t>
      </w:r>
      <w:r>
        <w:rPr>
          <w:rFonts w:ascii="宋体" w:hAnsi="宋体" w:cs="宋体" w:eastAsia="宋体" w:hint="ascii"/>
          <w:sz w:val="21"/>
          <w:spacing w:val="3"/>
        </w:rPr>
        <w:t>流</w:t>
      </w:r>
      <w:r>
        <w:rPr>
          <w:rFonts w:ascii="宋体" w:hAnsi="宋体" w:cs="宋体" w:eastAsia="宋体" w:hint="ascii"/>
          <w:sz w:val="21"/>
        </w:rPr>
        <w:t>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732"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179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白俄罗斯</w:t>
      </w:r>
      <w:r>
        <w:rPr>
          <w:rFonts w:ascii="宋体" w:hAnsi="宋体" w:cs="宋体" w:eastAsia="宋体" w:hint="ascii"/>
        </w:rPr>
        <mc:AlternateContent>
          <mc:Choice Requires="wps">
            <w:drawing>
              <wp:anchor distL="0" distR="0" distT="0" distB="0" simplePos="0" behindDoc="1" relativeHeight="255" locked="0" layoutInCell="1" allowOverlap="1">
                <wp:simplePos x="0" y="0"/>
                <wp:positionH relativeFrom="page">
                  <wp:posOffset>938530</wp:posOffset>
                </wp:positionH>
                <wp:positionV relativeFrom="page">
                  <wp:posOffset>805815</wp:posOffset>
                </wp:positionV>
                <wp:extent cx="5076190" cy="0"/>
                <wp:wrapNone/>
                <wp:docPr id="1284" name="128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97120;width:399.70pt;" id="128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白俄罗斯基础研究基金会（</w:t>
      </w:r>
      <w:r>
        <w:rPr>
          <w:rFonts w:ascii="Times New Roman" w:hAnsi="Times New Roman" w:cs="Times New Roman" w:eastAsia="Times New Roman" w:hint="ascii"/>
          <w:b w:val="1"/>
          <w:sz w:val="21"/>
        </w:rPr>
        <w:t>BRFFR</w:t>
      </w:r>
      <w:r>
        <w:rPr>
          <w:rFonts w:ascii="宋体" w:hAnsi="宋体" w:cs="宋体" w:eastAsia="宋体" w:hint="ascii"/>
          <w:sz w:val="21"/>
        </w:rPr>
        <w:t>）</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合作交流项目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w:t>
      </w:r>
      <w:r>
        <w:rPr>
          <w:rFonts w:ascii="宋体" w:hAnsi="宋体" w:cs="宋体" w:eastAsia="宋体" w:hint="ascii"/>
          <w:sz w:val="21"/>
          <w:spacing w:val="-5"/>
        </w:rPr>
        <w:t xml:space="preserve"> </w:t>
      </w:r>
      <w:r>
        <w:rPr>
          <w:rFonts w:ascii="Times New Roman" w:hAnsi="Times New Roman" w:cs="Times New Roman" w:eastAsia="Times New Roman" w:hint="ascii"/>
          <w:sz w:val="21"/>
        </w:rPr>
        <w:t>BRFFR</w:t>
      </w:r>
      <w:r>
        <w:rPr>
          <w:rFonts w:ascii="Times New Roman" w:hAnsi="Times New Roman" w:cs="Times New Roman" w:eastAsia="Times New Roman" w:hint="ascii"/>
          <w:sz w:val="21"/>
          <w:spacing w:val="-5"/>
        </w:rPr>
        <w:t xml:space="preserve"> </w:t>
      </w:r>
      <w:r>
        <w:rPr>
          <w:rFonts w:ascii="宋体" w:hAnsi="宋体" w:cs="宋体" w:eastAsia="宋体" w:hint="ascii"/>
          <w:sz w:val="21"/>
        </w:rPr>
        <w:t>共同资助中国与白俄罗斯研究人员间的交流互访及小型</w:t>
      </w:r>
    </w:p>
    <w:p>
      <w:pPr>
        <w:autoSpaceDE w:val="0"/>
        <w:autoSpaceDN w:val="0"/>
        <w:jc w:val="both"/>
        <w:spacing w:before="12" w:after="0" w:lineRule="exact" w:line="320"/>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2"/>
        </w:rPr>
        <w:t>双边研讨会，资助期限为</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2"/>
        </w:rPr>
        <w:t>2</w:t>
      </w:r>
      <w:r>
        <w:rPr>
          <w:rFonts w:ascii="Times New Roman" w:hAnsi="Times New Roman" w:cs="Times New Roman" w:eastAsia="Times New Roman" w:hint="ascii"/>
          <w:sz w:val="21"/>
          <w:spacing w:val="-15"/>
        </w:rPr>
        <w:t xml:space="preserve"> </w:t>
      </w:r>
      <w:r>
        <w:rPr>
          <w:rFonts w:ascii="宋体" w:hAnsi="宋体" w:cs="宋体" w:eastAsia="宋体" w:hint="ascii"/>
          <w:sz w:val="21"/>
          <w:spacing w:val="-2"/>
        </w:rPr>
        <w:t>年。自然</w:t>
      </w:r>
      <w:r>
        <w:rPr>
          <w:rFonts w:ascii="宋体" w:hAnsi="宋体" w:cs="宋体" w:eastAsia="宋体" w:hint="ascii"/>
          <w:sz w:val="21"/>
          <w:spacing w:val="-1"/>
        </w:rPr>
        <w:t>科学基金委对每个项目资助最多</w:t>
      </w:r>
      <w:r>
        <w:rPr>
          <w:rFonts w:ascii="宋体" w:hAnsi="宋体" w:cs="宋体" w:eastAsia="宋体" w:hint="ascii"/>
          <w:sz w:val="21"/>
          <w:spacing w:val="-14"/>
        </w:rPr>
        <w:t xml:space="preserve"> </w:t>
      </w:r>
      <w:r>
        <w:rPr>
          <w:rFonts w:ascii="Times New Roman" w:hAnsi="Times New Roman" w:cs="Times New Roman" w:eastAsia="Times New Roman" w:hint="ascii"/>
          <w:sz w:val="21"/>
          <w:spacing w:val="-1"/>
        </w:rPr>
        <w:t>20</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
        </w:rPr>
        <w:t>万元人民币，</w:t>
      </w:r>
      <w:r>
        <w:rPr>
          <w:rFonts w:ascii="宋体" w:hAnsi="宋体" w:cs="宋体" w:eastAsia="宋体" w:hint="ascii"/>
          <w:sz w:val="21"/>
        </w:rPr>
        <w:t xml:space="preserve"> </w:t>
      </w:r>
      <w:r>
        <w:rPr>
          <w:rFonts w:ascii="宋体" w:hAnsi="宋体" w:cs="宋体" w:eastAsia="宋体" w:hint="ascii"/>
          <w:sz w:val="21"/>
          <w:spacing w:val="-1"/>
        </w:rPr>
        <w:t>用于中国</w:t>
      </w:r>
      <w:r>
        <w:rPr>
          <w:rFonts w:ascii="宋体" w:hAnsi="宋体" w:cs="宋体" w:eastAsia="宋体" w:hint="ascii"/>
          <w:sz w:val="21"/>
        </w:rPr>
        <w:t>与白俄罗斯科研人员交流互访所需的国际旅费、住宿费、伙食费、城市间交通</w:t>
      </w:r>
      <w:r>
        <w:rPr>
          <w:rFonts w:ascii="宋体" w:hAnsi="宋体" w:cs="宋体" w:eastAsia="宋体" w:hint="ascii"/>
          <w:sz w:val="21"/>
          <w:spacing w:val="4"/>
        </w:rPr>
        <w:t>费，以及</w:t>
      </w:r>
      <w:r>
        <w:rPr>
          <w:rFonts w:ascii="宋体" w:hAnsi="宋体" w:cs="宋体" w:eastAsia="宋体" w:hint="ascii"/>
          <w:sz w:val="21"/>
          <w:spacing w:val="3"/>
        </w:rPr>
        <w:t>小</w:t>
      </w:r>
      <w:r>
        <w:rPr>
          <w:rFonts w:ascii="宋体" w:hAnsi="宋体" w:cs="宋体" w:eastAsia="宋体" w:hint="ascii"/>
          <w:sz w:val="21"/>
          <w:spacing w:val="4"/>
        </w:rPr>
        <w:t>型双边研</w:t>
      </w:r>
      <w:r>
        <w:rPr>
          <w:rFonts w:ascii="宋体" w:hAnsi="宋体" w:cs="宋体" w:eastAsia="宋体" w:hint="ascii"/>
          <w:sz w:val="21"/>
          <w:spacing w:val="3"/>
        </w:rPr>
        <w:t>讨</w:t>
      </w:r>
      <w:r>
        <w:rPr>
          <w:rFonts w:ascii="宋体" w:hAnsi="宋体" w:cs="宋体" w:eastAsia="宋体" w:hint="ascii"/>
          <w:sz w:val="21"/>
          <w:spacing w:val="4"/>
        </w:rPr>
        <w:t>会</w:t>
      </w:r>
      <w:r>
        <w:rPr>
          <w:rFonts w:ascii="宋体" w:hAnsi="宋体" w:cs="宋体" w:eastAsia="宋体" w:hint="ascii"/>
          <w:sz w:val="21"/>
          <w:spacing w:val="5"/>
        </w:rPr>
        <w:t>费用。</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4"/>
        </w:rPr>
        <w:t xml:space="preserve"> </w:t>
      </w:r>
      <w:r>
        <w:rPr>
          <w:rFonts w:ascii="宋体" w:hAnsi="宋体" w:cs="宋体" w:eastAsia="宋体" w:hint="ascii"/>
          <w:sz w:val="21"/>
          <w:spacing w:val="5"/>
        </w:rPr>
        <w:t>年度有关申请事宜</w:t>
      </w:r>
      <w:r>
        <w:rPr>
          <w:rFonts w:ascii="宋体" w:hAnsi="宋体" w:cs="宋体" w:eastAsia="宋体" w:hint="ascii"/>
          <w:sz w:val="21"/>
          <w:spacing w:val="4"/>
        </w:rPr>
        <w:t>请</w:t>
      </w:r>
      <w:r>
        <w:rPr>
          <w:rFonts w:ascii="宋体" w:hAnsi="宋体" w:cs="宋体" w:eastAsia="宋体" w:hint="ascii"/>
          <w:sz w:val="21"/>
          <w:spacing w:val="5"/>
        </w:rPr>
        <w:t>关注自然</w:t>
      </w:r>
      <w:r>
        <w:rPr>
          <w:rFonts w:ascii="宋体" w:hAnsi="宋体" w:cs="宋体" w:eastAsia="宋体" w:hint="ascii"/>
          <w:sz w:val="21"/>
          <w:spacing w:val="4"/>
        </w:rPr>
        <w:t>科</w:t>
      </w:r>
      <w:r>
        <w:rPr>
          <w:rFonts w:ascii="宋体" w:hAnsi="宋体" w:cs="宋体" w:eastAsia="宋体" w:hint="ascii"/>
          <w:sz w:val="21"/>
          <w:spacing w:val="5"/>
        </w:rPr>
        <w:t>学基金委</w:t>
      </w:r>
      <w:r>
        <w:rPr>
          <w:rFonts w:ascii="宋体" w:hAnsi="宋体" w:cs="宋体" w:eastAsia="宋体" w:hint="ascii"/>
          <w:sz w:val="21"/>
          <w:spacing w:val="4"/>
        </w:rPr>
        <w:t>网</w:t>
      </w:r>
      <w:r>
        <w:rPr>
          <w:rFonts w:ascii="宋体" w:hAnsi="宋体" w:cs="宋体" w:eastAsia="宋体" w:hint="ascii"/>
          <w:sz w:val="21"/>
        </w:rPr>
        <w:t>站</w:t>
      </w:r>
    </w:p>
    <w:p>
      <w:pPr>
        <w:autoSpaceDE w:val="0"/>
        <w:autoSpaceDN w:val="0"/>
        <w:jc w:val="left"/>
        <w:spacing w:before="45"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283" w:after="0" w:lineRule="exact" w:line="363"/>
        <w:ind w:right="0" w:left="4231" w:firstLine="0"/>
        <w:snapToGrid w:val="0"/>
        <w:textAlignment w:val="auto"/>
        <w:tabs/>
        <w:rPr>
          <w:rFonts w:ascii="宋体" w:hAnsi="宋体" w:cs="宋体" w:eastAsia="宋体" w:hint="ascii"/>
          <w:sz w:val="29"/>
        </w:rPr>
      </w:pPr>
      <w:r>
        <w:rPr>
          <w:rFonts w:ascii="宋体" w:hAnsi="宋体" w:cs="宋体" w:eastAsia="宋体" w:hint="ascii"/>
          <w:sz w:val="29"/>
        </w:rPr>
        <w:t>港澳台地区</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自然科学基金委与香港研究资助局、京港学术交流中心、澳门科学技术发展基金以</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及台湾财</w:t>
      </w:r>
      <w:r>
        <w:rPr>
          <w:rFonts w:ascii="宋体" w:hAnsi="宋体" w:cs="宋体" w:eastAsia="宋体" w:hint="ascii"/>
          <w:sz w:val="21"/>
        </w:rPr>
        <w:t>团法人李国鼎科技发展基金会建立了合作关系，积极支持内地与港澳地区以及</w:t>
      </w:r>
      <w:r>
        <w:rPr>
          <w:rFonts w:ascii="宋体" w:hAnsi="宋体" w:cs="宋体" w:eastAsia="宋体" w:hint="ascii"/>
          <w:sz w:val="21"/>
          <w:spacing w:val="-1"/>
        </w:rPr>
        <w:t>海峡两岸</w:t>
      </w:r>
      <w:r>
        <w:rPr>
          <w:rFonts w:ascii="宋体" w:hAnsi="宋体" w:cs="宋体" w:eastAsia="宋体" w:hint="ascii"/>
          <w:sz w:val="21"/>
        </w:rPr>
        <w:t>科学家在共同感兴趣的领域开展合作与交流，资助的项目类型包括合作研究项目和合作交流项目（含人员互访、学术会议等</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香港</w:t>
      </w:r>
    </w:p>
    <w:p>
      <w:pPr>
        <w:autoSpaceDE w:val="0"/>
        <w:autoSpaceDN w:val="0"/>
        <w:jc w:val="left"/>
        <w:spacing w:before="1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年度，自然科学基金委与香港研究资助局将继续资助由两地科研人员联合申</w:t>
      </w:r>
    </w:p>
    <w:p>
      <w:pPr>
        <w:autoSpaceDE w:val="0"/>
        <w:autoSpaceDN w:val="0"/>
        <w:jc w:val="both"/>
        <w:spacing w:before="17"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请的自然</w:t>
      </w:r>
      <w:r>
        <w:rPr>
          <w:rFonts w:ascii="宋体" w:hAnsi="宋体" w:cs="宋体" w:eastAsia="宋体" w:hint="ascii"/>
          <w:sz w:val="21"/>
        </w:rPr>
        <w:t>科学基础研究领域科研项目，重点资助领域包括：信息科学、生物科学、新材</w:t>
      </w:r>
      <w:r>
        <w:rPr>
          <w:rFonts w:ascii="宋体" w:hAnsi="宋体" w:cs="宋体" w:eastAsia="宋体" w:hint="ascii"/>
          <w:sz w:val="21"/>
          <w:spacing w:val="-1"/>
        </w:rPr>
        <w:t>料、海洋</w:t>
      </w:r>
      <w:r>
        <w:rPr>
          <w:rFonts w:ascii="宋体" w:hAnsi="宋体" w:cs="宋体" w:eastAsia="宋体" w:hint="ascii"/>
          <w:sz w:val="21"/>
        </w:rPr>
        <w:t>与环境科学、医学科学和管理科学。同时，为了进一步鼓励和支持两地青年学</w:t>
      </w:r>
      <w:r>
        <w:rPr>
          <w:rFonts w:ascii="宋体" w:hAnsi="宋体" w:cs="宋体" w:eastAsia="宋体" w:hint="ascii"/>
          <w:sz w:val="21"/>
          <w:spacing w:val="1"/>
        </w:rPr>
        <w:t>者之间的学术交流，双</w:t>
      </w:r>
      <w:r>
        <w:rPr>
          <w:rFonts w:ascii="宋体" w:hAnsi="宋体" w:cs="宋体" w:eastAsia="宋体" w:hint="ascii"/>
          <w:sz w:val="21"/>
        </w:rPr>
        <w:t>方还将围绕共同感兴趣的学科领域组织和资助两地青年学者</w:t>
      </w:r>
      <w:r>
        <w:rPr>
          <w:rFonts w:ascii="宋体" w:hAnsi="宋体" w:cs="宋体" w:eastAsia="宋体" w:hint="ascii"/>
          <w:sz w:val="21"/>
          <w:spacing w:val="-6"/>
        </w:rPr>
        <w:t>论</w:t>
      </w:r>
      <w:r>
        <w:rPr>
          <w:rFonts w:ascii="宋体" w:hAnsi="宋体" w:cs="宋体" w:eastAsia="宋体" w:hint="ascii"/>
          <w:sz w:val="21"/>
          <w:spacing w:val="-1"/>
        </w:rPr>
        <w:t>坛。有关</w:t>
      </w:r>
      <w:r>
        <w:rPr>
          <w:rFonts w:ascii="宋体" w:hAnsi="宋体" w:cs="宋体" w:eastAsia="宋体" w:hint="ascii"/>
          <w:sz w:val="21"/>
        </w:rPr>
        <w:t>申请事宜请关注自然科学基金委网站“通知通告”栏目中发布的《组织间国际</w:t>
      </w:r>
    </w:p>
    <w:p>
      <w:pPr>
        <w:autoSpaceDE w:val="0"/>
        <w:autoSpaceDN w:val="0"/>
        <w:jc w:val="left"/>
        <w:spacing w:before="40"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澳门</w:t>
      </w:r>
    </w:p>
    <w:p>
      <w:pPr>
        <w:autoSpaceDE w:val="0"/>
        <w:autoSpaceDN w:val="0"/>
        <w:jc w:val="both"/>
        <w:spacing w:before="158" w:after="0" w:lineRule="exact" w:line="306"/>
        <w:ind w:right="976"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4"/>
        </w:rPr>
        <w:t>年度</w:t>
      </w:r>
      <w:r>
        <w:rPr>
          <w:rFonts w:ascii="宋体" w:hAnsi="宋体" w:cs="宋体" w:eastAsia="宋体" w:hint="ascii"/>
          <w:sz w:val="21"/>
          <w:spacing w:val="2"/>
        </w:rPr>
        <w:t>，</w:t>
      </w:r>
      <w:r>
        <w:rPr>
          <w:rFonts w:ascii="宋体" w:hAnsi="宋体" w:cs="宋体" w:eastAsia="宋体" w:hint="ascii"/>
          <w:sz w:val="21"/>
          <w:spacing w:val="4"/>
        </w:rPr>
        <w:t>自然</w:t>
      </w:r>
      <w:r>
        <w:rPr>
          <w:rFonts w:ascii="宋体" w:hAnsi="宋体" w:cs="宋体" w:eastAsia="宋体" w:hint="ascii"/>
          <w:sz w:val="21"/>
          <w:spacing w:val="2"/>
        </w:rPr>
        <w:t>科</w:t>
      </w:r>
      <w:r>
        <w:rPr>
          <w:rFonts w:ascii="宋体" w:hAnsi="宋体" w:cs="宋体" w:eastAsia="宋体" w:hint="ascii"/>
          <w:sz w:val="21"/>
          <w:spacing w:val="4"/>
        </w:rPr>
        <w:t>学</w:t>
      </w:r>
      <w:r>
        <w:rPr>
          <w:rFonts w:ascii="宋体" w:hAnsi="宋体" w:cs="宋体" w:eastAsia="宋体" w:hint="ascii"/>
          <w:sz w:val="21"/>
          <w:spacing w:val="2"/>
        </w:rPr>
        <w:t>基</w:t>
      </w:r>
      <w:r>
        <w:rPr>
          <w:rFonts w:ascii="宋体" w:hAnsi="宋体" w:cs="宋体" w:eastAsia="宋体" w:hint="ascii"/>
          <w:sz w:val="21"/>
          <w:spacing w:val="4"/>
        </w:rPr>
        <w:t>金委</w:t>
      </w:r>
      <w:r>
        <w:rPr>
          <w:rFonts w:ascii="宋体" w:hAnsi="宋体" w:cs="宋体" w:eastAsia="宋体" w:hint="ascii"/>
          <w:sz w:val="21"/>
          <w:spacing w:val="2"/>
        </w:rPr>
        <w:t>与</w:t>
      </w:r>
      <w:r>
        <w:rPr>
          <w:rFonts w:ascii="宋体" w:hAnsi="宋体" w:cs="宋体" w:eastAsia="宋体" w:hint="ascii"/>
          <w:sz w:val="21"/>
          <w:spacing w:val="4"/>
        </w:rPr>
        <w:t>澳</w:t>
      </w:r>
      <w:r>
        <w:rPr>
          <w:rFonts w:ascii="宋体" w:hAnsi="宋体" w:cs="宋体" w:eastAsia="宋体" w:hint="ascii"/>
          <w:sz w:val="21"/>
          <w:spacing w:val="1"/>
        </w:rPr>
        <w:t>门</w:t>
      </w:r>
      <w:r>
        <w:rPr>
          <w:rFonts w:ascii="宋体" w:hAnsi="宋体" w:cs="宋体" w:eastAsia="宋体" w:hint="ascii"/>
          <w:sz w:val="21"/>
          <w:spacing w:val="3"/>
        </w:rPr>
        <w:t>科学</w:t>
      </w:r>
      <w:r>
        <w:rPr>
          <w:rFonts w:ascii="宋体" w:hAnsi="宋体" w:cs="宋体" w:eastAsia="宋体" w:hint="ascii"/>
          <w:sz w:val="21"/>
          <w:spacing w:val="1"/>
        </w:rPr>
        <w:t>技</w:t>
      </w:r>
      <w:r>
        <w:rPr>
          <w:rFonts w:ascii="宋体" w:hAnsi="宋体" w:cs="宋体" w:eastAsia="宋体" w:hint="ascii"/>
          <w:sz w:val="21"/>
          <w:spacing w:val="3"/>
        </w:rPr>
        <w:t>术</w:t>
      </w:r>
      <w:r>
        <w:rPr>
          <w:rFonts w:ascii="宋体" w:hAnsi="宋体" w:cs="宋体" w:eastAsia="宋体" w:hint="ascii"/>
          <w:sz w:val="21"/>
          <w:spacing w:val="1"/>
        </w:rPr>
        <w:t>发</w:t>
      </w:r>
      <w:r>
        <w:rPr>
          <w:rFonts w:ascii="宋体" w:hAnsi="宋体" w:cs="宋体" w:eastAsia="宋体" w:hint="ascii"/>
          <w:sz w:val="21"/>
          <w:spacing w:val="3"/>
        </w:rPr>
        <w:t>展基</w:t>
      </w:r>
      <w:r>
        <w:rPr>
          <w:rFonts w:ascii="宋体" w:hAnsi="宋体" w:cs="宋体" w:eastAsia="宋体" w:hint="ascii"/>
          <w:sz w:val="21"/>
          <w:spacing w:val="1"/>
        </w:rPr>
        <w:t>金</w:t>
      </w:r>
      <w:r>
        <w:rPr>
          <w:rFonts w:ascii="宋体" w:hAnsi="宋体" w:cs="宋体" w:eastAsia="宋体" w:hint="ascii"/>
          <w:sz w:val="21"/>
          <w:spacing w:val="3"/>
        </w:rPr>
        <w:t>将</w:t>
      </w:r>
      <w:r>
        <w:rPr>
          <w:rFonts w:ascii="宋体" w:hAnsi="宋体" w:cs="宋体" w:eastAsia="宋体" w:hint="ascii"/>
          <w:sz w:val="21"/>
          <w:spacing w:val="1"/>
        </w:rPr>
        <w:t>继</w:t>
      </w:r>
      <w:r>
        <w:rPr>
          <w:rFonts w:ascii="宋体" w:hAnsi="宋体" w:cs="宋体" w:eastAsia="宋体" w:hint="ascii"/>
          <w:sz w:val="21"/>
          <w:spacing w:val="3"/>
        </w:rPr>
        <w:t>续在</w:t>
      </w:r>
      <w:r>
        <w:rPr>
          <w:rFonts w:ascii="宋体" w:hAnsi="宋体" w:cs="宋体" w:eastAsia="宋体" w:hint="ascii"/>
          <w:sz w:val="21"/>
          <w:spacing w:val="1"/>
        </w:rPr>
        <w:t>合</w:t>
      </w:r>
      <w:r>
        <w:rPr>
          <w:rFonts w:ascii="宋体" w:hAnsi="宋体" w:cs="宋体" w:eastAsia="宋体" w:hint="ascii"/>
          <w:sz w:val="21"/>
          <w:spacing w:val="3"/>
        </w:rPr>
        <w:t>作</w:t>
      </w:r>
      <w:r>
        <w:rPr>
          <w:rFonts w:ascii="宋体" w:hAnsi="宋体" w:cs="宋体" w:eastAsia="宋体" w:hint="ascii"/>
          <w:sz w:val="21"/>
          <w:spacing w:val="1"/>
        </w:rPr>
        <w:t>备</w:t>
      </w:r>
      <w:r>
        <w:rPr>
          <w:rFonts w:ascii="宋体" w:hAnsi="宋体" w:cs="宋体" w:eastAsia="宋体" w:hint="ascii"/>
          <w:sz w:val="21"/>
          <w:spacing w:val="3"/>
        </w:rPr>
        <w:t>忘录框</w:t>
      </w:r>
      <w:r>
        <w:rPr>
          <w:rFonts w:ascii="宋体" w:hAnsi="宋体" w:cs="宋体" w:eastAsia="宋体" w:hint="ascii"/>
          <w:sz w:val="21"/>
          <w:spacing w:val="-7"/>
        </w:rPr>
        <w:t>架</w:t>
      </w:r>
      <w:r>
        <w:rPr>
          <w:rFonts w:ascii="宋体" w:hAnsi="宋体" w:cs="宋体" w:eastAsia="宋体" w:hint="ascii"/>
          <w:sz w:val="21"/>
          <w:spacing w:val="-1"/>
        </w:rPr>
        <w:t>下，资助</w:t>
      </w:r>
      <w:r>
        <w:rPr>
          <w:rFonts w:ascii="宋体" w:hAnsi="宋体" w:cs="宋体" w:eastAsia="宋体" w:hint="ascii"/>
          <w:sz w:val="21"/>
        </w:rPr>
        <w:t>由两地科研人员联合申请的自然科学基础研究领域科研项目，重点资助领域包</w:t>
      </w:r>
      <w:r>
        <w:rPr>
          <w:rFonts w:ascii="宋体" w:hAnsi="宋体" w:cs="宋体" w:eastAsia="宋体" w:hint="ascii"/>
          <w:sz w:val="21"/>
          <w:spacing w:val="-1"/>
        </w:rPr>
        <w:t>括：信息</w:t>
      </w:r>
      <w:r>
        <w:rPr>
          <w:rFonts w:ascii="宋体" w:hAnsi="宋体" w:cs="宋体" w:eastAsia="宋体" w:hint="ascii"/>
          <w:sz w:val="21"/>
        </w:rPr>
        <w:t>科学、中医中药研究、海洋科学、环境科学、生物科学、新材料科学、管理科</w:t>
      </w:r>
      <w:r>
        <w:rPr>
          <w:rFonts w:ascii="宋体" w:hAnsi="宋体" w:cs="宋体" w:eastAsia="宋体" w:hint="ascii"/>
          <w:sz w:val="21"/>
          <w:spacing w:val="-1"/>
        </w:rPr>
        <w:t>学。同时</w:t>
      </w:r>
      <w:r>
        <w:rPr>
          <w:rFonts w:ascii="宋体" w:hAnsi="宋体" w:cs="宋体" w:eastAsia="宋体" w:hint="ascii"/>
          <w:sz w:val="21"/>
        </w:rPr>
        <w:t>，双方还将围绕两地科技界共同关心的学术问题组织和资助两地学术研讨会。</w:t>
      </w:r>
      <w:r>
        <w:rPr>
          <w:rFonts w:ascii="宋体" w:hAnsi="宋体" w:cs="宋体" w:eastAsia="宋体" w:hint="ascii"/>
          <w:sz w:val="21"/>
          <w:spacing w:val="-1"/>
        </w:rPr>
        <w:t>有关申请</w:t>
      </w:r>
      <w:r>
        <w:rPr>
          <w:rFonts w:ascii="宋体" w:hAnsi="宋体" w:cs="宋体" w:eastAsia="宋体" w:hint="ascii"/>
          <w:sz w:val="21"/>
        </w:rPr>
        <w:t>事宜请关注自然科学基金委网站“通知通告”栏目中发布的《组织间国际（地区）合作研究与交流项目指南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台湾</w:t>
      </w:r>
    </w:p>
    <w:p>
      <w:pPr>
        <w:autoSpaceDE w:val="0"/>
        <w:autoSpaceDN w:val="0"/>
        <w:jc w:val="both"/>
        <w:spacing w:before="15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自然科学基金委一贯致力于鼓励和推进海峡两岸科学家开展学术交流与</w:t>
      </w:r>
      <w:r>
        <w:rPr>
          <w:rFonts w:ascii="宋体" w:hAnsi="宋体" w:cs="宋体" w:eastAsia="宋体" w:hint="ascii"/>
          <w:sz w:val="21"/>
        </w:rPr>
        <w:t>合作。</w:t>
      </w:r>
      <w:r>
        <w:rPr>
          <w:rFonts w:ascii="Times New Roman" w:hAnsi="Times New Roman" w:cs="Times New Roman" w:eastAsia="Times New Roman" w:hint="ascii"/>
          <w:sz w:val="21"/>
        </w:rPr>
        <w:t xml:space="preserve">2018 </w:t>
      </w:r>
      <w:r>
        <w:rPr>
          <w:rFonts w:ascii="宋体" w:hAnsi="宋体" w:cs="宋体" w:eastAsia="宋体" w:hint="ascii"/>
          <w:sz w:val="21"/>
          <w:spacing w:val="-1"/>
        </w:rPr>
        <w:t>年，将继</w:t>
      </w:r>
      <w:r>
        <w:rPr>
          <w:rFonts w:ascii="宋体" w:hAnsi="宋体" w:cs="宋体" w:eastAsia="宋体" w:hint="ascii"/>
          <w:sz w:val="21"/>
        </w:rPr>
        <w:t>续支持大陆和台湾地区科学家共同举办两岸学术会议，并按照与财团法人李国</w:t>
      </w:r>
      <w:r>
        <w:rPr>
          <w:rFonts w:ascii="宋体" w:hAnsi="宋体" w:cs="宋体" w:eastAsia="宋体" w:hint="ascii"/>
          <w:sz w:val="21"/>
          <w:spacing w:val="-1"/>
        </w:rPr>
        <w:t>鼎科技发</w:t>
      </w:r>
      <w:r>
        <w:rPr>
          <w:rFonts w:ascii="宋体" w:hAnsi="宋体" w:cs="宋体" w:eastAsia="宋体" w:hint="ascii"/>
          <w:sz w:val="21"/>
        </w:rPr>
        <w:t>展基金会的约定，联合资助两岸科学家开展实质性合作研究。有关申请事宜请</w:t>
      </w:r>
      <w:r>
        <w:rPr>
          <w:rFonts w:ascii="宋体" w:hAnsi="宋体" w:cs="宋体" w:eastAsia="宋体" w:hint="ascii"/>
          <w:sz w:val="21"/>
          <w:spacing w:val="-1"/>
        </w:rPr>
        <w:t>关注自然</w:t>
      </w:r>
      <w:r>
        <w:rPr>
          <w:rFonts w:ascii="宋体" w:hAnsi="宋体" w:cs="宋体" w:eastAsia="宋体" w:hint="ascii"/>
          <w:sz w:val="21"/>
        </w:rPr>
        <w:t>科学基金委网站“通知通告”栏目中发布的《组织间国际（地区）合作研究与交流项目指南</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26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both"/>
        <w:spacing w:before="2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鉴于港澳地区部分院校已在内地建立了不同形式的分</w:t>
      </w:r>
      <w:r>
        <w:rPr>
          <w:rFonts w:ascii="宋体" w:hAnsi="宋体" w:cs="宋体" w:eastAsia="宋体" w:hint="ascii"/>
          <w:sz w:val="21"/>
          <w:spacing w:val="-1"/>
        </w:rPr>
        <w:t>支机构，在申请人资格认定方</w:t>
      </w:r>
      <w:r>
        <w:rPr>
          <w:rFonts w:ascii="宋体" w:hAnsi="宋体" w:cs="宋体" w:eastAsia="宋体" w:hint="ascii"/>
          <w:sz w:val="21"/>
        </w:rPr>
        <w:t xml:space="preserve"> </w:t>
      </w:r>
      <w:r>
        <w:rPr>
          <w:rFonts w:ascii="宋体" w:hAnsi="宋体" w:cs="宋体" w:eastAsia="宋体" w:hint="ascii"/>
          <w:sz w:val="21"/>
          <w:spacing w:val="-1"/>
        </w:rPr>
        <w:t>面，自然科</w:t>
      </w:r>
      <w:r>
        <w:rPr>
          <w:rFonts w:ascii="宋体" w:hAnsi="宋体" w:cs="宋体" w:eastAsia="宋体" w:hint="ascii"/>
          <w:sz w:val="21"/>
        </w:rPr>
        <w:t>学基金委不接受同一自然人在同一时间段内以境内外双重身份申请或承担国家自然科学基金项目。</w:t>
      </w:r>
      <w:r>
        <w:rPr>
          <w:rFonts w:ascii="宋体" w:hAnsi="宋体" w:cs="宋体" w:eastAsia="宋体" w:hint="ascii"/>
          <w:sz w:val="21"/>
        </w:rPr>
        <mc:AlternateContent>
          <mc:Choice Requires="wps">
            <w:drawing>
              <wp:anchor distL="0" distR="0" distT="0" distB="0" simplePos="0" behindDoc="1" relativeHeight="256" locked="0" layoutInCell="1" allowOverlap="1">
                <wp:simplePos x="0" y="0"/>
                <wp:positionH relativeFrom="page">
                  <wp:posOffset>938530</wp:posOffset>
                </wp:positionH>
                <wp:positionV relativeFrom="page">
                  <wp:posOffset>819150</wp:posOffset>
                </wp:positionV>
                <wp:extent cx="5076190" cy="0"/>
                <wp:wrapNone/>
                <wp:docPr id="1285" name="128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96096;width:399.70pt;" id="128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25" w:after="0" w:lineRule="exact" w:line="363"/>
        <w:ind w:right="0" w:left="4086" w:firstLine="0"/>
        <w:snapToGrid w:val="0"/>
        <w:textAlignment w:val="auto"/>
        <w:tabs/>
        <w:rPr>
          <w:rFonts w:ascii="宋体" w:hAnsi="宋体" w:cs="宋体" w:eastAsia="宋体" w:hint="ascii"/>
          <w:sz w:val="29"/>
        </w:rPr>
      </w:pPr>
      <w:r>
        <w:rPr>
          <w:rFonts w:ascii="宋体" w:hAnsi="宋体" w:cs="宋体" w:eastAsia="宋体" w:hint="ascii"/>
          <w:sz w:val="29"/>
        </w:rPr>
        <w:t>中德科学中心</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中德科学中心（全称中德科学基金研究交流中心）是由自然科学基金委与德国科学</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基金会（</w:t>
      </w:r>
      <w:r>
        <w:rPr>
          <w:rFonts w:ascii="Times New Roman" w:hAnsi="Times New Roman" w:cs="Times New Roman" w:eastAsia="Times New Roman" w:hint="ascii"/>
          <w:sz w:val="21"/>
        </w:rPr>
        <w:t>DFG</w:t>
      </w:r>
      <w:r>
        <w:rPr>
          <w:rFonts w:ascii="宋体" w:hAnsi="宋体" w:cs="宋体" w:eastAsia="宋体" w:hint="ascii"/>
          <w:sz w:val="21"/>
        </w:rPr>
        <w:t>）共同成立，其主要任务是推动两国在自然科学、生命科学、医学、工程</w:t>
      </w:r>
      <w:r>
        <w:rPr>
          <w:rFonts w:ascii="宋体" w:hAnsi="宋体" w:cs="宋体" w:eastAsia="宋体" w:hint="ascii"/>
          <w:sz w:val="21"/>
          <w:spacing w:val="3"/>
        </w:rPr>
        <w:t>科学</w:t>
      </w:r>
      <w:r>
        <w:rPr>
          <w:rFonts w:ascii="宋体" w:hAnsi="宋体" w:cs="宋体" w:eastAsia="宋体" w:hint="ascii"/>
          <w:sz w:val="21"/>
        </w:rPr>
        <w:t>以</w:t>
      </w:r>
      <w:r>
        <w:rPr>
          <w:rFonts w:ascii="宋体" w:hAnsi="宋体" w:cs="宋体" w:eastAsia="宋体" w:hint="ascii"/>
          <w:sz w:val="21"/>
          <w:spacing w:val="3"/>
        </w:rPr>
        <w:t>及</w:t>
      </w:r>
      <w:r>
        <w:rPr>
          <w:rFonts w:ascii="宋体" w:hAnsi="宋体" w:cs="宋体" w:eastAsia="宋体" w:hint="ascii"/>
          <w:sz w:val="21"/>
        </w:rPr>
        <w:t>管</w:t>
      </w:r>
      <w:r>
        <w:rPr>
          <w:rFonts w:ascii="宋体" w:hAnsi="宋体" w:cs="宋体" w:eastAsia="宋体" w:hint="ascii"/>
          <w:sz w:val="21"/>
          <w:spacing w:val="3"/>
        </w:rPr>
        <w:t>理学</w:t>
      </w:r>
      <w:r>
        <w:rPr>
          <w:rFonts w:ascii="宋体" w:hAnsi="宋体" w:cs="宋体" w:eastAsia="宋体" w:hint="ascii"/>
          <w:sz w:val="21"/>
        </w:rPr>
        <w:t>领</w:t>
      </w:r>
      <w:r>
        <w:rPr>
          <w:rFonts w:ascii="宋体" w:hAnsi="宋体" w:cs="宋体" w:eastAsia="宋体" w:hint="ascii"/>
          <w:sz w:val="21"/>
          <w:spacing w:val="3"/>
        </w:rPr>
        <w:t>域</w:t>
      </w:r>
      <w:r>
        <w:rPr>
          <w:rFonts w:ascii="宋体" w:hAnsi="宋体" w:cs="宋体" w:eastAsia="宋体" w:hint="ascii"/>
          <w:sz w:val="21"/>
        </w:rPr>
        <w:t>内</w:t>
      </w:r>
      <w:r>
        <w:rPr>
          <w:rFonts w:ascii="宋体" w:hAnsi="宋体" w:cs="宋体" w:eastAsia="宋体" w:hint="ascii"/>
          <w:sz w:val="21"/>
          <w:spacing w:val="3"/>
        </w:rPr>
        <w:t>开展</w:t>
      </w:r>
      <w:r>
        <w:rPr>
          <w:rFonts w:ascii="宋体" w:hAnsi="宋体" w:cs="宋体" w:eastAsia="宋体" w:hint="ascii"/>
          <w:sz w:val="21"/>
        </w:rPr>
        <w:t>的</w:t>
      </w:r>
      <w:r>
        <w:rPr>
          <w:rFonts w:ascii="宋体" w:hAnsi="宋体" w:cs="宋体" w:eastAsia="宋体" w:hint="ascii"/>
          <w:sz w:val="21"/>
          <w:spacing w:val="3"/>
        </w:rPr>
        <w:t>合</w:t>
      </w:r>
      <w:r>
        <w:rPr>
          <w:rFonts w:ascii="宋体" w:hAnsi="宋体" w:cs="宋体" w:eastAsia="宋体" w:hint="ascii"/>
          <w:sz w:val="21"/>
        </w:rPr>
        <w:t>作</w:t>
      </w:r>
      <w:r>
        <w:rPr>
          <w:rFonts w:ascii="宋体" w:hAnsi="宋体" w:cs="宋体" w:eastAsia="宋体" w:hint="ascii"/>
          <w:sz w:val="21"/>
          <w:spacing w:val="3"/>
        </w:rPr>
        <w:t>与交</w:t>
      </w:r>
      <w:r>
        <w:rPr>
          <w:rFonts w:ascii="宋体" w:hAnsi="宋体" w:cs="宋体" w:eastAsia="宋体" w:hint="ascii"/>
          <w:sz w:val="21"/>
        </w:rPr>
        <w:t>流</w:t>
      </w:r>
      <w:r>
        <w:rPr>
          <w:rFonts w:ascii="宋体" w:hAnsi="宋体" w:cs="宋体" w:eastAsia="宋体" w:hint="ascii"/>
          <w:sz w:val="21"/>
          <w:spacing w:val="3"/>
        </w:rPr>
        <w:t>。</w:t>
      </w:r>
      <w:r>
        <w:rPr>
          <w:rFonts w:ascii="宋体" w:hAnsi="宋体" w:cs="宋体" w:eastAsia="宋体" w:hint="ascii"/>
          <w:sz w:val="21"/>
        </w:rPr>
        <w:t>双</w:t>
      </w:r>
      <w:r>
        <w:rPr>
          <w:rFonts w:ascii="宋体" w:hAnsi="宋体" w:cs="宋体" w:eastAsia="宋体" w:hint="ascii"/>
          <w:sz w:val="21"/>
          <w:spacing w:val="3"/>
        </w:rPr>
        <w:t>方为</w:t>
      </w:r>
      <w:r>
        <w:rPr>
          <w:rFonts w:ascii="宋体" w:hAnsi="宋体" w:cs="宋体" w:eastAsia="宋体" w:hint="ascii"/>
          <w:sz w:val="21"/>
        </w:rPr>
        <w:t>中</w:t>
      </w:r>
      <w:r>
        <w:rPr>
          <w:rFonts w:ascii="宋体" w:hAnsi="宋体" w:cs="宋体" w:eastAsia="宋体" w:hint="ascii"/>
          <w:sz w:val="21"/>
          <w:spacing w:val="3"/>
        </w:rPr>
        <w:t>德</w:t>
      </w:r>
      <w:r>
        <w:rPr>
          <w:rFonts w:ascii="宋体" w:hAnsi="宋体" w:cs="宋体" w:eastAsia="宋体" w:hint="ascii"/>
          <w:sz w:val="21"/>
        </w:rPr>
        <w:t>科</w:t>
      </w:r>
      <w:r>
        <w:rPr>
          <w:rFonts w:ascii="宋体" w:hAnsi="宋体" w:cs="宋体" w:eastAsia="宋体" w:hint="ascii"/>
          <w:sz w:val="21"/>
          <w:spacing w:val="3"/>
        </w:rPr>
        <w:t>学中</w:t>
      </w:r>
      <w:r>
        <w:rPr>
          <w:rFonts w:ascii="宋体" w:hAnsi="宋体" w:cs="宋体" w:eastAsia="宋体" w:hint="ascii"/>
          <w:sz w:val="21"/>
        </w:rPr>
        <w:t>心</w:t>
      </w:r>
      <w:r>
        <w:rPr>
          <w:rFonts w:ascii="宋体" w:hAnsi="宋体" w:cs="宋体" w:eastAsia="宋体" w:hint="ascii"/>
          <w:sz w:val="21"/>
          <w:spacing w:val="3"/>
        </w:rPr>
        <w:t>各</w:t>
      </w:r>
      <w:r>
        <w:rPr>
          <w:rFonts w:ascii="宋体" w:hAnsi="宋体" w:cs="宋体" w:eastAsia="宋体" w:hint="ascii"/>
          <w:sz w:val="21"/>
        </w:rPr>
        <w:t>提供</w:t>
      </w:r>
      <w:r>
        <w:rPr>
          <w:rFonts w:ascii="宋体" w:hAnsi="宋体" w:cs="宋体" w:eastAsia="宋体" w:hint="ascii"/>
          <w:sz w:val="21"/>
          <w:spacing w:val="-23"/>
        </w:rPr>
        <w:t xml:space="preserve"> </w:t>
      </w:r>
      <w:r>
        <w:rPr>
          <w:rFonts w:ascii="Times New Roman" w:hAnsi="Times New Roman" w:cs="Times New Roman" w:eastAsia="Times New Roman" w:hint="ascii"/>
          <w:sz w:val="21"/>
        </w:rPr>
        <w:t>50</w:t>
      </w:r>
      <w:r>
        <w:rPr>
          <w:rFonts w:ascii="Times New Roman" w:hAnsi="Times New Roman" w:cs="Times New Roman" w:eastAsia="Times New Roman" w:hint="ascii"/>
          <w:sz w:val="21"/>
          <w:spacing w:val="5"/>
        </w:rPr>
        <w:t>%</w:t>
      </w:r>
      <w:r>
        <w:rPr>
          <w:rFonts w:ascii="宋体" w:hAnsi="宋体" w:cs="宋体" w:eastAsia="宋体" w:hint="ascii"/>
          <w:sz w:val="21"/>
          <w:spacing w:val="3"/>
        </w:rPr>
        <w:t>的</w:t>
      </w:r>
      <w:r>
        <w:rPr>
          <w:rFonts w:ascii="宋体" w:hAnsi="宋体" w:cs="宋体" w:eastAsia="宋体" w:hint="ascii"/>
          <w:sz w:val="21"/>
        </w:rPr>
        <w:t>经</w:t>
      </w:r>
      <w:r>
        <w:rPr>
          <w:rFonts w:ascii="宋体" w:hAnsi="宋体" w:cs="宋体" w:eastAsia="宋体" w:hint="ascii"/>
          <w:sz w:val="21"/>
          <w:spacing w:val="3"/>
        </w:rPr>
        <w:t>费</w:t>
      </w:r>
      <w:r>
        <w:rPr>
          <w:rFonts w:ascii="宋体" w:hAnsi="宋体" w:cs="宋体" w:eastAsia="宋体" w:hint="ascii"/>
          <w:sz w:val="21"/>
        </w:rPr>
        <w:t>，</w: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7</w:t>
      </w:r>
      <w:r>
        <w:rPr>
          <w:rFonts w:ascii="宋体" w:hAnsi="宋体" w:cs="宋体" w:eastAsia="宋体" w:hint="ascii"/>
          <w:sz w:val="21"/>
        </w:rPr>
        <w:t>年度资金预算总额约</w:t>
      </w:r>
      <w:r>
        <w:rPr>
          <w:rFonts w:ascii="宋体" w:hAnsi="宋体" w:cs="宋体" w:eastAsia="宋体" w:hint="ascii"/>
          <w:sz w:val="21"/>
          <w:spacing w:val="26"/>
        </w:rPr>
        <w:t>为</w:t>
      </w:r>
      <w:r>
        <w:rPr>
          <w:rFonts w:ascii="Times New Roman" w:hAnsi="Times New Roman" w:cs="Times New Roman" w:eastAsia="Times New Roman" w:hint="ascii"/>
          <w:sz w:val="21"/>
        </w:rPr>
        <w:t>4 35</w:t>
      </w:r>
      <w:r>
        <w:rPr>
          <w:rFonts w:ascii="Times New Roman" w:hAnsi="Times New Roman" w:cs="Times New Roman" w:eastAsia="Times New Roman" w:hint="ascii"/>
          <w:sz w:val="21"/>
          <w:spacing w:val="52"/>
        </w:rPr>
        <w:t>0</w:t>
      </w:r>
      <w:r>
        <w:rPr>
          <w:rFonts w:ascii="宋体" w:hAnsi="宋体" w:cs="宋体" w:eastAsia="宋体" w:hint="ascii"/>
          <w:sz w:val="21"/>
        </w:rPr>
        <w:t>万元人民币。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中德科学中心的资金用于组织和资助中德两国大学和科研机构开展的合作研究和交</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流活动。为此，来自中德两国高校和科研单位的科学家均可向中德科学中心提出申请。</w:t>
      </w:r>
      <w:r>
        <w:rPr>
          <w:rFonts w:ascii="宋体" w:hAnsi="宋体" w:cs="宋体" w:eastAsia="宋体" w:hint="ascii"/>
          <w:sz w:val="21"/>
        </w:rPr>
        <w:t>由中德科学中心资助的项目不计入限项申请范围。</w:t>
      </w:r>
      <w:r>
        <w:rPr>
          <w:rFonts w:ascii="宋体" w:hAnsi="宋体" w:cs="宋体" w:eastAsia="宋体" w:hint="ascii"/>
          <w:sz w:val="21"/>
        </w:rPr>
        <w:t xml:space="preserve">中方申请人的基本条件是曾得到过国家自然科学基金项目的资助或基金项目主要参加者（年龄在 </w:t>
      </w:r>
      <w:r>
        <w:rPr>
          <w:rFonts w:ascii="Times New Roman" w:hAnsi="Times New Roman" w:cs="Times New Roman" w:eastAsia="Times New Roman" w:hint="ascii"/>
          <w:sz w:val="21"/>
        </w:rPr>
        <w:t xml:space="preserve">35 </w:t>
      </w:r>
      <w:r>
        <w:rPr>
          <w:rFonts w:ascii="宋体" w:hAnsi="宋体" w:cs="宋体" w:eastAsia="宋体" w:hint="ascii"/>
          <w:sz w:val="21"/>
        </w:rPr>
        <w:t>周岁以下、获得博士学位的青年科研人员不受此限</w:t>
      </w:r>
      <w:r>
        <w:rPr>
          <w:rFonts w:ascii="宋体" w:hAnsi="宋体" w:cs="宋体" w:eastAsia="宋体" w:hint="ascii"/>
          <w:sz w:val="21"/>
          <w:spacing w:val="-52"/>
        </w:rPr>
        <w:t>）</w:t>
      </w:r>
      <w:r>
        <w:rPr>
          <w:rFonts w:ascii="宋体" w:hAnsi="宋体" w:cs="宋体" w:eastAsia="宋体" w:hint="ascii"/>
          <w:sz w:val="21"/>
        </w:rPr>
        <w:t>。德方申请人也应符</w:t>
      </w:r>
      <w:r>
        <w:rPr>
          <w:rFonts w:ascii="宋体" w:hAnsi="宋体" w:cs="宋体" w:eastAsia="宋体" w:hint="ascii"/>
          <w:sz w:val="21"/>
          <w:spacing w:val="27"/>
        </w:rPr>
        <w:t>合</w:t>
      </w:r>
      <w:r>
        <w:rPr>
          <w:rFonts w:ascii="Times New Roman" w:hAnsi="Times New Roman" w:cs="Times New Roman" w:eastAsia="Times New Roman" w:hint="ascii"/>
          <w:sz w:val="21"/>
        </w:rPr>
        <w:t>DF</w:t>
      </w:r>
      <w:r>
        <w:rPr>
          <w:rFonts w:ascii="Times New Roman" w:hAnsi="Times New Roman" w:cs="Times New Roman" w:eastAsia="Times New Roman" w:hint="ascii"/>
          <w:sz w:val="21"/>
          <w:spacing w:val="52"/>
        </w:rPr>
        <w:t>G</w:t>
      </w:r>
      <w:r>
        <w:rPr>
          <w:rFonts w:ascii="宋体" w:hAnsi="宋体" w:cs="宋体" w:eastAsia="宋体" w:hint="ascii"/>
          <w:sz w:val="21"/>
        </w:rPr>
        <w:t>项目的有关规定。申请人可以随时提出申请，但要至少提</w:t>
      </w:r>
      <w:r>
        <w:rPr>
          <w:rFonts w:ascii="宋体" w:hAnsi="宋体" w:cs="宋体" w:eastAsia="宋体" w:hint="ascii"/>
          <w:sz w:val="21"/>
          <w:spacing w:val="27"/>
        </w:rPr>
        <w:t>前</w:t>
      </w:r>
      <w:r>
        <w:rPr>
          <w:rFonts w:ascii="Times New Roman" w:hAnsi="Times New Roman" w:cs="Times New Roman" w:eastAsia="Times New Roman" w:hint="ascii"/>
          <w:sz w:val="21"/>
          <w:spacing w:val="52"/>
        </w:rPr>
        <w:t>4</w:t>
      </w:r>
      <w:r>
        <w:rPr>
          <w:rFonts w:ascii="宋体" w:hAnsi="宋体" w:cs="宋体" w:eastAsia="宋体" w:hint="ascii"/>
          <w:sz w:val="21"/>
        </w:rPr>
        <w:t>个月递交。申请书必须用中英文或中德文填写，中外文</w:t>
      </w:r>
      <w:r>
        <w:rPr>
          <w:rFonts w:ascii="宋体" w:hAnsi="宋体" w:cs="宋体" w:eastAsia="宋体" w:hint="ascii"/>
          <w:sz w:val="21"/>
          <w:spacing w:val="3"/>
        </w:rPr>
        <w:t>内容必须</w:t>
      </w:r>
      <w:r>
        <w:rPr>
          <w:rFonts w:ascii="宋体" w:hAnsi="宋体" w:cs="宋体" w:eastAsia="宋体" w:hint="ascii"/>
          <w:sz w:val="21"/>
        </w:rPr>
        <w:t>一</w:t>
      </w:r>
      <w:r>
        <w:rPr>
          <w:rFonts w:ascii="宋体" w:hAnsi="宋体" w:cs="宋体" w:eastAsia="宋体" w:hint="ascii"/>
          <w:sz w:val="21"/>
          <w:spacing w:val="3"/>
        </w:rPr>
        <w:t>致。申请</w:t>
      </w:r>
      <w:r>
        <w:rPr>
          <w:rFonts w:ascii="宋体" w:hAnsi="宋体" w:cs="宋体" w:eastAsia="宋体" w:hint="ascii"/>
          <w:sz w:val="21"/>
        </w:rPr>
        <w:t>书</w:t>
      </w:r>
      <w:r>
        <w:rPr>
          <w:rFonts w:ascii="宋体" w:hAnsi="宋体" w:cs="宋体" w:eastAsia="宋体" w:hint="ascii"/>
          <w:sz w:val="21"/>
          <w:spacing w:val="3"/>
        </w:rPr>
        <w:t>应内容完</w:t>
      </w:r>
      <w:r>
        <w:rPr>
          <w:rFonts w:ascii="宋体" w:hAnsi="宋体" w:cs="宋体" w:eastAsia="宋体" w:hint="ascii"/>
          <w:sz w:val="21"/>
        </w:rPr>
        <w:t>整</w:t>
      </w:r>
      <w:r>
        <w:rPr>
          <w:rFonts w:ascii="宋体" w:hAnsi="宋体" w:cs="宋体" w:eastAsia="宋体" w:hint="ascii"/>
          <w:sz w:val="21"/>
          <w:spacing w:val="3"/>
        </w:rPr>
        <w:t>、材料齐</w:t>
      </w:r>
      <w:r>
        <w:rPr>
          <w:rFonts w:ascii="宋体" w:hAnsi="宋体" w:cs="宋体" w:eastAsia="宋体" w:hint="ascii"/>
          <w:sz w:val="21"/>
        </w:rPr>
        <w:t>备</w:t>
      </w:r>
      <w:r>
        <w:rPr>
          <w:rFonts w:ascii="宋体" w:hAnsi="宋体" w:cs="宋体" w:eastAsia="宋体" w:hint="ascii"/>
          <w:sz w:val="21"/>
          <w:spacing w:val="3"/>
        </w:rPr>
        <w:t>。应说明</w:t>
      </w:r>
      <w:r>
        <w:rPr>
          <w:rFonts w:ascii="宋体" w:hAnsi="宋体" w:cs="宋体" w:eastAsia="宋体" w:hint="ascii"/>
          <w:sz w:val="21"/>
        </w:rPr>
        <w:t>申</w:t>
      </w:r>
      <w:r>
        <w:rPr>
          <w:rFonts w:ascii="宋体" w:hAnsi="宋体" w:cs="宋体" w:eastAsia="宋体" w:hint="ascii"/>
          <w:sz w:val="21"/>
          <w:spacing w:val="3"/>
        </w:rPr>
        <w:t>请题目、</w:t>
      </w:r>
      <w:r>
        <w:rPr>
          <w:rFonts w:ascii="宋体" w:hAnsi="宋体" w:cs="宋体" w:eastAsia="宋体" w:hint="ascii"/>
          <w:sz w:val="21"/>
        </w:rPr>
        <w:t>申</w:t>
      </w:r>
      <w:r>
        <w:rPr>
          <w:rFonts w:ascii="宋体" w:hAnsi="宋体" w:cs="宋体" w:eastAsia="宋体" w:hint="ascii"/>
          <w:sz w:val="21"/>
          <w:spacing w:val="3"/>
        </w:rPr>
        <w:t>请内容、学</w:t>
      </w:r>
      <w:r>
        <w:rPr>
          <w:rFonts w:ascii="宋体" w:hAnsi="宋体" w:cs="宋体" w:eastAsia="宋体" w:hint="ascii"/>
          <w:sz w:val="21"/>
          <w:spacing w:val="4"/>
        </w:rPr>
        <w:t>术</w:t>
      </w:r>
      <w:r>
        <w:rPr>
          <w:rFonts w:ascii="宋体" w:hAnsi="宋体" w:cs="宋体" w:eastAsia="宋体" w:hint="ascii"/>
          <w:sz w:val="21"/>
        </w:rPr>
        <w:t>意义、学术目的、参加者简况和具体联系方式、详细日程安排、资金支出内容和双方资金分配方案等。涉及人员费用应该依据中德科学中心规定和资助标准执行（请浏览网站公布的标准</w:t>
      </w:r>
      <w:r>
        <w:rPr>
          <w:rFonts w:ascii="宋体" w:hAnsi="宋体" w:cs="宋体" w:eastAsia="宋体" w:hint="ascii"/>
          <w:sz w:val="21"/>
          <w:spacing w:val="-51"/>
        </w:rPr>
        <w:t>）</w:t>
      </w:r>
      <w:r>
        <w:rPr>
          <w:rFonts w:ascii="宋体" w:hAnsi="宋体" w:cs="宋体" w:eastAsia="宋体" w:hint="ascii"/>
          <w:sz w:val="21"/>
        </w:rPr>
        <w:t>。申请书可以在中德科学中心网站下载填写，直接递交给中德科学中心（纸</w:t>
      </w:r>
      <w:r>
        <w:rPr>
          <w:rFonts w:ascii="宋体" w:hAnsi="宋体" w:cs="宋体" w:eastAsia="宋体" w:hint="ascii"/>
          <w:sz w:val="21"/>
          <w:spacing w:val="-2"/>
        </w:rPr>
        <w:t>质文本各</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2"/>
        </w:rPr>
        <w:t>8</w:t>
      </w:r>
      <w:r>
        <w:rPr>
          <w:rFonts w:ascii="Times New Roman" w:hAnsi="Times New Roman" w:cs="Times New Roman" w:eastAsia="Times New Roman" w:hint="ascii"/>
          <w:sz w:val="21"/>
          <w:spacing w:val="-15"/>
        </w:rPr>
        <w:t xml:space="preserve"> </w:t>
      </w:r>
      <w:r>
        <w:rPr>
          <w:rFonts w:ascii="宋体" w:hAnsi="宋体" w:cs="宋体" w:eastAsia="宋体" w:hint="ascii"/>
          <w:sz w:val="21"/>
          <w:spacing w:val="-2"/>
        </w:rPr>
        <w:t>份，电子</w:t>
      </w:r>
      <w:r>
        <w:rPr>
          <w:rFonts w:ascii="宋体" w:hAnsi="宋体" w:cs="宋体" w:eastAsia="宋体" w:hint="ascii"/>
          <w:sz w:val="21"/>
          <w:spacing w:val="-1"/>
        </w:rPr>
        <w:t>版</w:t>
      </w:r>
      <w:r>
        <w:rPr>
          <w:rFonts w:ascii="宋体" w:hAnsi="宋体" w:cs="宋体" w:eastAsia="宋体" w:hint="ascii"/>
          <w:sz w:val="21"/>
          <w:spacing w:val="-14"/>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
        </w:rPr>
        <w:t>份</w:t>
      </w:r>
      <w:r>
        <w:rPr>
          <w:rFonts w:ascii="宋体" w:hAnsi="宋体" w:cs="宋体" w:eastAsia="宋体" w:hint="ascii"/>
          <w:sz w:val="21"/>
          <w:spacing w:val="-53"/>
        </w:rPr>
        <w:t>）</w:t>
      </w:r>
      <w:r>
        <w:rPr>
          <w:rFonts w:ascii="宋体" w:hAnsi="宋体" w:cs="宋体" w:eastAsia="宋体" w:hint="ascii"/>
          <w:sz w:val="21"/>
          <w:spacing w:val="-1"/>
        </w:rPr>
        <w:t>。申请书将由中德双方共同评审，中德科学中心根据评审</w:t>
      </w:r>
      <w:r>
        <w:rPr>
          <w:rFonts w:ascii="宋体" w:hAnsi="宋体" w:cs="宋体" w:eastAsia="宋体" w:hint="ascii"/>
          <w:sz w:val="21"/>
        </w:rPr>
        <w:t xml:space="preserve"> </w:t>
      </w:r>
      <w:r>
        <w:rPr>
          <w:rFonts w:ascii="宋体" w:hAnsi="宋体" w:cs="宋体" w:eastAsia="宋体" w:hint="ascii"/>
          <w:sz w:val="21"/>
          <w:spacing w:val="9"/>
        </w:rPr>
        <w:t>意</w:t>
      </w:r>
      <w:r>
        <w:rPr>
          <w:rFonts w:ascii="宋体" w:hAnsi="宋体" w:cs="宋体" w:eastAsia="宋体" w:hint="ascii"/>
          <w:sz w:val="21"/>
          <w:spacing w:val="8"/>
        </w:rPr>
        <w:t>见</w:t>
      </w:r>
      <w:r>
        <w:rPr>
          <w:rFonts w:ascii="宋体" w:hAnsi="宋体" w:cs="宋体" w:eastAsia="宋体" w:hint="ascii"/>
          <w:sz w:val="21"/>
          <w:spacing w:val="9"/>
        </w:rPr>
        <w:t>决</w:t>
      </w:r>
      <w:r>
        <w:rPr>
          <w:rFonts w:ascii="宋体" w:hAnsi="宋体" w:cs="宋体" w:eastAsia="宋体" w:hint="ascii"/>
          <w:sz w:val="21"/>
          <w:spacing w:val="8"/>
        </w:rPr>
        <w:t>定</w:t>
      </w:r>
      <w:r>
        <w:rPr>
          <w:rFonts w:ascii="宋体" w:hAnsi="宋体" w:cs="宋体" w:eastAsia="宋体" w:hint="ascii"/>
          <w:sz w:val="21"/>
          <w:spacing w:val="9"/>
        </w:rPr>
        <w:t>是</w:t>
      </w:r>
      <w:r>
        <w:rPr>
          <w:rFonts w:ascii="宋体" w:hAnsi="宋体" w:cs="宋体" w:eastAsia="宋体" w:hint="ascii"/>
          <w:sz w:val="21"/>
          <w:spacing w:val="10"/>
        </w:rPr>
        <w:t>否</w:t>
      </w:r>
      <w:r>
        <w:rPr>
          <w:rFonts w:ascii="宋体" w:hAnsi="宋体" w:cs="宋体" w:eastAsia="宋体" w:hint="ascii"/>
          <w:sz w:val="21"/>
          <w:spacing w:val="9"/>
        </w:rPr>
        <w:t>予</w:t>
      </w:r>
      <w:r>
        <w:rPr>
          <w:rFonts w:ascii="宋体" w:hAnsi="宋体" w:cs="宋体" w:eastAsia="宋体" w:hint="ascii"/>
          <w:sz w:val="21"/>
          <w:spacing w:val="10"/>
        </w:rPr>
        <w:t>以</w:t>
      </w:r>
      <w:r>
        <w:rPr>
          <w:rFonts w:ascii="宋体" w:hAnsi="宋体" w:cs="宋体" w:eastAsia="宋体" w:hint="ascii"/>
          <w:sz w:val="21"/>
          <w:spacing w:val="9"/>
        </w:rPr>
        <w:t>资助</w:t>
      </w:r>
      <w:r>
        <w:rPr>
          <w:rFonts w:ascii="宋体" w:hAnsi="宋体" w:cs="宋体" w:eastAsia="宋体" w:hint="ascii"/>
          <w:sz w:val="21"/>
          <w:spacing w:val="10"/>
        </w:rPr>
        <w:t>。</w:t>
      </w:r>
      <w:r>
        <w:rPr>
          <w:rFonts w:ascii="宋体" w:hAnsi="宋体" w:cs="宋体" w:eastAsia="宋体" w:hint="ascii"/>
          <w:sz w:val="21"/>
          <w:spacing w:val="9"/>
        </w:rPr>
        <w:t>有</w:t>
      </w:r>
      <w:r>
        <w:rPr>
          <w:rFonts w:ascii="宋体" w:hAnsi="宋体" w:cs="宋体" w:eastAsia="宋体" w:hint="ascii"/>
          <w:sz w:val="21"/>
          <w:spacing w:val="10"/>
        </w:rPr>
        <w:t>关</w:t>
      </w:r>
      <w:r>
        <w:rPr>
          <w:rFonts w:ascii="宋体" w:hAnsi="宋体" w:cs="宋体" w:eastAsia="宋体" w:hint="ascii"/>
          <w:sz w:val="21"/>
          <w:spacing w:val="9"/>
        </w:rPr>
        <w:t>具体</w:t>
      </w:r>
      <w:r>
        <w:rPr>
          <w:rFonts w:ascii="宋体" w:hAnsi="宋体" w:cs="宋体" w:eastAsia="宋体" w:hint="ascii"/>
          <w:sz w:val="21"/>
          <w:spacing w:val="10"/>
        </w:rPr>
        <w:t>要</w:t>
      </w:r>
      <w:r>
        <w:rPr>
          <w:rFonts w:ascii="宋体" w:hAnsi="宋体" w:cs="宋体" w:eastAsia="宋体" w:hint="ascii"/>
          <w:sz w:val="21"/>
          <w:spacing w:val="9"/>
        </w:rPr>
        <w:t>求</w:t>
      </w:r>
      <w:r>
        <w:rPr>
          <w:rFonts w:ascii="宋体" w:hAnsi="宋体" w:cs="宋体" w:eastAsia="宋体" w:hint="ascii"/>
          <w:sz w:val="21"/>
          <w:spacing w:val="10"/>
        </w:rPr>
        <w:t>和</w:t>
      </w:r>
      <w:r>
        <w:rPr>
          <w:rFonts w:ascii="宋体" w:hAnsi="宋体" w:cs="宋体" w:eastAsia="宋体" w:hint="ascii"/>
          <w:sz w:val="21"/>
          <w:spacing w:val="9"/>
        </w:rPr>
        <w:t>相关</w:t>
      </w:r>
      <w:r>
        <w:rPr>
          <w:rFonts w:ascii="宋体" w:hAnsi="宋体" w:cs="宋体" w:eastAsia="宋体" w:hint="ascii"/>
          <w:sz w:val="21"/>
          <w:spacing w:val="10"/>
        </w:rPr>
        <w:t>内</w:t>
      </w:r>
      <w:r>
        <w:rPr>
          <w:rFonts w:ascii="宋体" w:hAnsi="宋体" w:cs="宋体" w:eastAsia="宋体" w:hint="ascii"/>
          <w:sz w:val="21"/>
          <w:spacing w:val="9"/>
        </w:rPr>
        <w:t>容</w:t>
      </w:r>
      <w:r>
        <w:rPr>
          <w:rFonts w:ascii="宋体" w:hAnsi="宋体" w:cs="宋体" w:eastAsia="宋体" w:hint="ascii"/>
          <w:sz w:val="21"/>
          <w:spacing w:val="10"/>
        </w:rPr>
        <w:t>，</w:t>
      </w:r>
      <w:r>
        <w:rPr>
          <w:rFonts w:ascii="宋体" w:hAnsi="宋体" w:cs="宋体" w:eastAsia="宋体" w:hint="ascii"/>
          <w:sz w:val="21"/>
          <w:spacing w:val="9"/>
        </w:rPr>
        <w:t>请查</w:t>
      </w:r>
      <w:r>
        <w:rPr>
          <w:rFonts w:ascii="宋体" w:hAnsi="宋体" w:cs="宋体" w:eastAsia="宋体" w:hint="ascii"/>
          <w:sz w:val="21"/>
          <w:spacing w:val="10"/>
        </w:rPr>
        <w:t>阅</w:t>
      </w:r>
      <w:r>
        <w:rPr>
          <w:rFonts w:ascii="宋体" w:hAnsi="宋体" w:cs="宋体" w:eastAsia="宋体" w:hint="ascii"/>
          <w:sz w:val="21"/>
          <w:spacing w:val="9"/>
        </w:rPr>
        <w:t>中</w:t>
      </w:r>
      <w:r>
        <w:rPr>
          <w:rFonts w:ascii="宋体" w:hAnsi="宋体" w:cs="宋体" w:eastAsia="宋体" w:hint="ascii"/>
          <w:sz w:val="21"/>
          <w:spacing w:val="10"/>
        </w:rPr>
        <w:t>德</w:t>
      </w:r>
      <w:r>
        <w:rPr>
          <w:rFonts w:ascii="宋体" w:hAnsi="宋体" w:cs="宋体" w:eastAsia="宋体" w:hint="ascii"/>
          <w:sz w:val="21"/>
          <w:spacing w:val="9"/>
        </w:rPr>
        <w:t>科学</w:t>
      </w:r>
      <w:r>
        <w:rPr>
          <w:rFonts w:ascii="宋体" w:hAnsi="宋体" w:cs="宋体" w:eastAsia="宋体" w:hint="ascii"/>
          <w:sz w:val="21"/>
          <w:spacing w:val="10"/>
        </w:rPr>
        <w:t>中</w:t>
      </w:r>
      <w:r>
        <w:rPr>
          <w:rFonts w:ascii="宋体" w:hAnsi="宋体" w:cs="宋体" w:eastAsia="宋体" w:hint="ascii"/>
          <w:sz w:val="21"/>
          <w:spacing w:val="9"/>
        </w:rPr>
        <w:t>心</w:t>
      </w:r>
      <w:r>
        <w:rPr>
          <w:rFonts w:ascii="宋体" w:hAnsi="宋体" w:cs="宋体" w:eastAsia="宋体" w:hint="ascii"/>
          <w:sz w:val="21"/>
          <w:spacing w:val="10"/>
        </w:rPr>
        <w:t>网页</w:t>
      </w:r>
      <w:r>
        <w:rPr>
          <w:rFonts w:ascii="宋体" w:hAnsi="宋体" w:cs="宋体" w:eastAsia="宋体" w:hint="ascii"/>
          <w:sz w:val="21"/>
        </w:rPr>
        <w:t>：</w: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ht</w:t>
      </w:r>
      <w:r>
        <w:rPr>
          <w:rFonts w:ascii="Times New Roman" w:hAnsi="Times New Roman" w:cs="Times New Roman" w:eastAsia="Times New Roman" w:hint="ascii"/>
          <w:sz w:val="21"/>
          <w:spacing w:val="-1"/>
        </w:rPr>
        <w:t>t</w:t>
      </w:r>
      <w:r>
        <w:rPr>
          <w:rFonts w:ascii="Times New Roman" w:hAnsi="Times New Roman" w:cs="Times New Roman" w:eastAsia="Times New Roman" w:hint="ascii"/>
          <w:sz w:val="21"/>
        </w:rPr>
        <w:t>p</w:t>
      </w:r>
      <w:r>
        <w:rPr>
          <w:rFonts w:ascii="Times New Roman" w:hAnsi="Times New Roman" w:cs="Times New Roman" w:eastAsia="Times New Roman" w:hint="ascii"/>
          <w:sz w:val="21"/>
          <w:spacing w:val="-1"/>
        </w:rPr>
        <w:t>:</w:t>
      </w:r>
      <w:r>
        <w:rPr>
          <w:rFonts w:ascii="Times New Roman" w:hAnsi="Times New Roman" w:cs="Times New Roman" w:eastAsia="Times New Roman" w:hint="ascii"/>
          <w:sz w:val="21"/>
        </w:rPr>
        <w:t>//ww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.s</w:t>
      </w:r>
      <w:r>
        <w:rPr>
          <w:rFonts w:ascii="Times New Roman" w:hAnsi="Times New Roman" w:cs="Times New Roman" w:eastAsia="Times New Roman" w:hint="ascii"/>
          <w:sz w:val="21"/>
          <w:spacing w:val="-1"/>
        </w:rPr>
        <w:t>i</w:t>
      </w:r>
      <w:r>
        <w:rPr>
          <w:rFonts w:ascii="Times New Roman" w:hAnsi="Times New Roman" w:cs="Times New Roman" w:eastAsia="Times New Roman" w:hint="ascii"/>
          <w:sz w:val="21"/>
        </w:rPr>
        <w:t>noger</w:t>
      </w:r>
      <w:r>
        <w:rPr>
          <w:rFonts w:ascii="Times New Roman" w:hAnsi="Times New Roman" w:cs="Times New Roman" w:eastAsia="Times New Roman" w:hint="ascii"/>
          <w:sz w:val="21"/>
          <w:spacing w:val="-3"/>
        </w:rPr>
        <w:t>m</w:t>
      </w:r>
      <w:r>
        <w:rPr>
          <w:rFonts w:ascii="Times New Roman" w:hAnsi="Times New Roman" w:cs="Times New Roman" w:eastAsia="Times New Roman" w:hint="ascii"/>
          <w:sz w:val="21"/>
        </w:rPr>
        <w:t>anscience.o</w:t>
      </w:r>
      <w:r>
        <w:rPr>
          <w:rFonts w:ascii="Times New Roman" w:hAnsi="Times New Roman" w:cs="Times New Roman" w:eastAsia="Times New Roman" w:hint="ascii"/>
          <w:sz w:val="21"/>
          <w:spacing w:val="-4"/>
        </w:rPr>
        <w:t>r</w:t>
      </w:r>
      <w:r>
        <w:rPr>
          <w:rFonts w:ascii="Times New Roman" w:hAnsi="Times New Roman" w:cs="Times New Roman" w:eastAsia="Times New Roman" w:hint="ascii"/>
          <w:sz w:val="21"/>
        </w:rPr>
        <w:t>g.cn</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中德科学中心资助的项目类型包括：</w:t>
      </w:r>
    </w:p>
    <w:p>
      <w:pPr>
        <w:autoSpaceDE w:val="0"/>
        <w:autoSpaceDN w:val="0"/>
        <w:jc w:val="left"/>
        <w:spacing w:before="49" w:after="0" w:lineRule="auto" w:line="240"/>
        <w:ind w:right="0" w:left="1649" w:hanging="263"/>
        <w:snapToGrid w:val="0"/>
        <w:textAlignment w:val="auto"/>
        <w:tabs>
          <w:tab w:val="left" w:leader="none" w:pos="1648"/>
        </w:tabs>
        <w:numPr>
          <w:ilvl w:val="0"/>
          <w:numId w:val="303"/>
        </w:numPr>
        <w:rPr>
          <w:rFonts w:ascii="Times New Roman" w:hAnsi="Times New Roman" w:cs="Times New Roman" w:eastAsia="Times New Roman" w:hint="ascii"/>
          <w:sz w:val="21"/>
        </w:rPr>
      </w:pPr>
      <w:r>
        <w:rPr>
          <w:rFonts w:ascii="宋体" w:hAnsi="宋体" w:cs="宋体" w:eastAsia="宋体" w:hint="ascii"/>
          <w:sz w:val="21"/>
        </w:rPr>
        <w:t>双边学术会议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资助中德科学家针对某一研究领域前沿科学问题组织召开的双边学术研讨会。研讨</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会的主要目的是开展学术交流、探讨科学前沿，并酝酿和促成双边合作研究项目。举办地可在中国或德国。派出方最多</w:t>
      </w:r>
      <w:r>
        <w:rPr>
          <w:rFonts w:ascii="宋体" w:hAnsi="宋体" w:cs="宋体" w:eastAsia="宋体" w:hint="ascii"/>
          <w:sz w:val="21"/>
          <w:spacing w:val="26"/>
        </w:rPr>
        <w:t>至</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5</w:t>
      </w:r>
      <w:r>
        <w:rPr>
          <w:rFonts w:ascii="宋体" w:hAnsi="宋体" w:cs="宋体" w:eastAsia="宋体" w:hint="ascii"/>
          <w:sz w:val="21"/>
        </w:rPr>
        <w:t>人但不得少</w:t>
      </w:r>
      <w:r>
        <w:rPr>
          <w:rFonts w:ascii="宋体" w:hAnsi="宋体" w:cs="宋体" w:eastAsia="宋体" w:hint="ascii"/>
          <w:sz w:val="21"/>
          <w:spacing w:val="26"/>
        </w:rPr>
        <w:t>于</w:t>
      </w:r>
      <w:r>
        <w:rPr>
          <w:rFonts w:ascii="Times New Roman" w:hAnsi="Times New Roman" w:cs="Times New Roman" w:eastAsia="Times New Roman" w:hint="ascii"/>
          <w:sz w:val="21"/>
          <w:spacing w:val="52"/>
        </w:rPr>
        <w:t>8</w:t>
      </w:r>
      <w:r>
        <w:rPr>
          <w:rFonts w:ascii="宋体" w:hAnsi="宋体" w:cs="宋体" w:eastAsia="宋体" w:hint="ascii"/>
          <w:sz w:val="21"/>
        </w:rPr>
        <w:t>人，接待方最多</w:t>
      </w:r>
      <w:r>
        <w:rPr>
          <w:rFonts w:ascii="宋体" w:hAnsi="宋体" w:cs="宋体" w:eastAsia="宋体" w:hint="ascii"/>
          <w:sz w:val="21"/>
          <w:spacing w:val="26"/>
        </w:rPr>
        <w:t>至</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2"/>
        </w:rPr>
        <w:t>5</w:t>
      </w:r>
      <w:r>
        <w:rPr>
          <w:rFonts w:ascii="宋体" w:hAnsi="宋体" w:cs="宋体" w:eastAsia="宋体" w:hint="ascii"/>
          <w:sz w:val="21"/>
        </w:rPr>
        <w:t xml:space="preserve">人，但不得少于派出方人数。参会代表应代表本国相关领域的学术水平，分别来自不同大学或科研单位。来自同一单位的代表人数不能超过所在方人数的 </w:t>
      </w:r>
      <w:r>
        <w:rPr>
          <w:rFonts w:ascii="Times New Roman" w:hAnsi="Times New Roman" w:cs="Times New Roman" w:eastAsia="Times New Roman" w:hint="ascii"/>
          <w:sz w:val="21"/>
        </w:rPr>
        <w:t>1/3</w:t>
      </w:r>
      <w:r>
        <w:rPr>
          <w:rFonts w:ascii="宋体" w:hAnsi="宋体" w:cs="宋体" w:eastAsia="宋体" w:hint="ascii"/>
          <w:sz w:val="21"/>
        </w:rPr>
        <w:t>。中德科学中心承担双方所有正式与会者的国际旅费和食宿交通费、会议材料费等会议费用。中德科学中心不资助</w:t>
      </w:r>
      <w:r>
        <w:rPr>
          <w:rFonts w:ascii="宋体" w:hAnsi="宋体" w:cs="宋体" w:eastAsia="宋体" w:hint="ascii"/>
          <w:sz w:val="21"/>
          <w:spacing w:val="3"/>
        </w:rPr>
        <w:t>来自</w:t>
      </w:r>
      <w:r>
        <w:rPr>
          <w:rFonts w:ascii="宋体" w:hAnsi="宋体" w:cs="宋体" w:eastAsia="宋体" w:hint="ascii"/>
          <w:sz w:val="21"/>
        </w:rPr>
        <w:t>管</w:t>
      </w:r>
      <w:r>
        <w:rPr>
          <w:rFonts w:ascii="宋体" w:hAnsi="宋体" w:cs="宋体" w:eastAsia="宋体" w:hint="ascii"/>
          <w:sz w:val="21"/>
          <w:spacing w:val="3"/>
        </w:rPr>
        <w:t>理</w:t>
      </w:r>
      <w:r>
        <w:rPr>
          <w:rFonts w:ascii="宋体" w:hAnsi="宋体" w:cs="宋体" w:eastAsia="宋体" w:hint="ascii"/>
          <w:sz w:val="21"/>
        </w:rPr>
        <w:t>部</w:t>
      </w:r>
      <w:r>
        <w:rPr>
          <w:rFonts w:ascii="宋体" w:hAnsi="宋体" w:cs="宋体" w:eastAsia="宋体" w:hint="ascii"/>
          <w:sz w:val="21"/>
          <w:spacing w:val="3"/>
        </w:rPr>
        <w:t>门和</w:t>
      </w:r>
      <w:r>
        <w:rPr>
          <w:rFonts w:ascii="宋体" w:hAnsi="宋体" w:cs="宋体" w:eastAsia="宋体" w:hint="ascii"/>
          <w:sz w:val="21"/>
        </w:rPr>
        <w:t>企</w:t>
      </w:r>
      <w:r>
        <w:rPr>
          <w:rFonts w:ascii="宋体" w:hAnsi="宋体" w:cs="宋体" w:eastAsia="宋体" w:hint="ascii"/>
          <w:sz w:val="21"/>
          <w:spacing w:val="3"/>
        </w:rPr>
        <w:t>业</w:t>
      </w:r>
      <w:r>
        <w:rPr>
          <w:rFonts w:ascii="宋体" w:hAnsi="宋体" w:cs="宋体" w:eastAsia="宋体" w:hint="ascii"/>
          <w:sz w:val="21"/>
        </w:rPr>
        <w:t>界</w:t>
      </w:r>
      <w:r>
        <w:rPr>
          <w:rFonts w:ascii="宋体" w:hAnsi="宋体" w:cs="宋体" w:eastAsia="宋体" w:hint="ascii"/>
          <w:sz w:val="21"/>
          <w:spacing w:val="3"/>
        </w:rPr>
        <w:t>及研</w:t>
      </w:r>
      <w:r>
        <w:rPr>
          <w:rFonts w:ascii="宋体" w:hAnsi="宋体" w:cs="宋体" w:eastAsia="宋体" w:hint="ascii"/>
          <w:sz w:val="21"/>
        </w:rPr>
        <w:t>究</w:t>
      </w:r>
      <w:r>
        <w:rPr>
          <w:rFonts w:ascii="宋体" w:hAnsi="宋体" w:cs="宋体" w:eastAsia="宋体" w:hint="ascii"/>
          <w:sz w:val="21"/>
          <w:spacing w:val="3"/>
        </w:rPr>
        <w:t>生</w:t>
      </w:r>
      <w:r>
        <w:rPr>
          <w:rFonts w:ascii="宋体" w:hAnsi="宋体" w:cs="宋体" w:eastAsia="宋体" w:hint="ascii"/>
          <w:sz w:val="21"/>
        </w:rPr>
        <w:t>代</w:t>
      </w:r>
      <w:r>
        <w:rPr>
          <w:rFonts w:ascii="宋体" w:hAnsi="宋体" w:cs="宋体" w:eastAsia="宋体" w:hint="ascii"/>
          <w:sz w:val="21"/>
          <w:spacing w:val="3"/>
        </w:rPr>
        <w:t>表。</w:t>
      </w:r>
      <w:r>
        <w:rPr>
          <w:rFonts w:ascii="宋体" w:hAnsi="宋体" w:cs="宋体" w:eastAsia="宋体" w:hint="ascii"/>
          <w:sz w:val="21"/>
        </w:rPr>
        <w:t>会</w:t>
      </w:r>
      <w:r>
        <w:rPr>
          <w:rFonts w:ascii="宋体" w:hAnsi="宋体" w:cs="宋体" w:eastAsia="宋体" w:hint="ascii"/>
          <w:sz w:val="21"/>
          <w:spacing w:val="3"/>
        </w:rPr>
        <w:t>议</w:t>
      </w:r>
      <w:r>
        <w:rPr>
          <w:rFonts w:ascii="宋体" w:hAnsi="宋体" w:cs="宋体" w:eastAsia="宋体" w:hint="ascii"/>
          <w:sz w:val="21"/>
        </w:rPr>
        <w:t>可</w:t>
      </w:r>
      <w:r>
        <w:rPr>
          <w:rFonts w:ascii="宋体" w:hAnsi="宋体" w:cs="宋体" w:eastAsia="宋体" w:hint="ascii"/>
          <w:sz w:val="21"/>
          <w:spacing w:val="3"/>
        </w:rPr>
        <w:t>邀请</w:t>
      </w:r>
      <w:r>
        <w:rPr>
          <w:rFonts w:ascii="宋体" w:hAnsi="宋体" w:cs="宋体" w:eastAsia="宋体" w:hint="ascii"/>
          <w:sz w:val="21"/>
        </w:rPr>
        <w:t>不</w:t>
      </w:r>
      <w:r>
        <w:rPr>
          <w:rFonts w:ascii="宋体" w:hAnsi="宋体" w:cs="宋体" w:eastAsia="宋体" w:hint="ascii"/>
          <w:sz w:val="21"/>
          <w:spacing w:val="3"/>
        </w:rPr>
        <w:t>超</w:t>
      </w:r>
      <w:r>
        <w:rPr>
          <w:rFonts w:ascii="宋体" w:hAnsi="宋体" w:cs="宋体" w:eastAsia="宋体" w:hint="ascii"/>
          <w:sz w:val="21"/>
        </w:rPr>
        <w:t>过</w:t>
      </w:r>
      <w:r>
        <w:rPr>
          <w:rFonts w:ascii="宋体" w:hAnsi="宋体" w:cs="宋体" w:eastAsia="宋体" w:hint="ascii"/>
          <w:sz w:val="21"/>
          <w:spacing w:val="3"/>
        </w:rPr>
        <w:t>派出</w:t>
      </w:r>
      <w:r>
        <w:rPr>
          <w:rFonts w:ascii="宋体" w:hAnsi="宋体" w:cs="宋体" w:eastAsia="宋体" w:hint="ascii"/>
          <w:sz w:val="21"/>
        </w:rPr>
        <w:t>方</w:t>
      </w:r>
      <w:r>
        <w:rPr>
          <w:rFonts w:ascii="宋体" w:hAnsi="宋体" w:cs="宋体" w:eastAsia="宋体" w:hint="ascii"/>
          <w:sz w:val="21"/>
          <w:spacing w:val="3"/>
        </w:rPr>
        <w:t>人</w:t>
      </w:r>
      <w:r>
        <w:rPr>
          <w:rFonts w:ascii="宋体" w:hAnsi="宋体" w:cs="宋体" w:eastAsia="宋体" w:hint="ascii"/>
          <w:sz w:val="21"/>
        </w:rPr>
        <w:t>数</w:t>
      </w:r>
      <w:r>
        <w:rPr>
          <w:rFonts w:ascii="宋体" w:hAnsi="宋体" w:cs="宋体" w:eastAsia="宋体" w:hint="ascii"/>
          <w:sz w:val="21"/>
          <w:spacing w:val="-24"/>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
        </w:rPr>
        <w:t>%</w:t>
      </w:r>
      <w:r>
        <w:rPr>
          <w:rFonts w:ascii="宋体" w:hAnsi="宋体" w:cs="宋体" w:eastAsia="宋体" w:hint="ascii"/>
          <w:sz w:val="21"/>
          <w:spacing w:val="3"/>
        </w:rPr>
        <w:t>的第</w:t>
      </w:r>
      <w:r>
        <w:rPr>
          <w:rFonts w:ascii="宋体" w:hAnsi="宋体" w:cs="宋体" w:eastAsia="宋体" w:hint="ascii"/>
          <w:sz w:val="21"/>
        </w:rPr>
        <w:t>三</w:t>
      </w:r>
      <w:r>
        <w:rPr>
          <w:rFonts w:ascii="宋体" w:hAnsi="宋体" w:cs="宋体" w:eastAsia="宋体" w:hint="ascii"/>
          <w:sz w:val="21"/>
          <w:spacing w:val="3"/>
        </w:rPr>
        <w:t>国</w:t>
      </w:r>
      <w:r>
        <w:rPr>
          <w:rFonts w:ascii="宋体" w:hAnsi="宋体" w:cs="宋体" w:eastAsia="宋体" w:hint="ascii"/>
          <w:sz w:val="21"/>
        </w:rPr>
        <w:t>科研人员作为正式代表参会并为其提供有关费用。</w:t>
      </w:r>
    </w:p>
    <w:p>
      <w:pPr>
        <w:autoSpaceDE w:val="0"/>
        <w:autoSpaceDN w:val="0"/>
        <w:jc w:val="left"/>
        <w:spacing w:before="40" w:after="0" w:lineRule="auto" w:line="240"/>
        <w:ind w:right="0" w:left="1649" w:hanging="263"/>
        <w:snapToGrid w:val="0"/>
        <w:textAlignment w:val="auto"/>
        <w:tabs>
          <w:tab w:val="left" w:leader="none" w:pos="1648"/>
        </w:tabs>
        <w:numPr>
          <w:ilvl w:val="0"/>
          <w:numId w:val="303"/>
        </w:numPr>
        <w:rPr>
          <w:rFonts w:ascii="Times New Roman" w:hAnsi="Times New Roman" w:cs="Times New Roman" w:eastAsia="Times New Roman" w:hint="ascii"/>
          <w:sz w:val="21"/>
        </w:rPr>
      </w:pPr>
      <w:r>
        <w:rPr>
          <w:rFonts w:ascii="宋体" w:hAnsi="宋体" w:cs="宋体" w:eastAsia="宋体" w:hint="ascii"/>
          <w:sz w:val="21"/>
        </w:rPr>
        <w:t>中德合作研究小组</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中德双方科学家在共同感兴趣的领域，以合作研究小组的形式组织和开展形式多样</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的学术交流</w:t>
      </w:r>
      <w:r>
        <w:rPr>
          <w:rFonts w:ascii="宋体" w:hAnsi="宋体" w:cs="宋体" w:eastAsia="宋体" w:hint="ascii"/>
          <w:sz w:val="21"/>
        </w:rPr>
        <w:t>活动。本项目资助在中德合作研究小组的框架下，中德科学家在原有的合作</w:t>
      </w:r>
      <w:r>
        <w:rPr>
          <w:rFonts w:ascii="宋体" w:hAnsi="宋体" w:cs="宋体" w:eastAsia="宋体" w:hint="ascii"/>
          <w:sz w:val="21"/>
          <w:spacing w:val="-1"/>
        </w:rPr>
        <w:t>基础上，开</w:t>
      </w:r>
      <w:r>
        <w:rPr>
          <w:rFonts w:ascii="宋体" w:hAnsi="宋体" w:cs="宋体" w:eastAsia="宋体" w:hint="ascii"/>
          <w:sz w:val="21"/>
        </w:rPr>
        <w:t>展深入的合作与交流，并筹划更大的合作项目。中德合作研究小组资助内容</w:t>
      </w:r>
      <w:r>
        <w:rPr>
          <w:rFonts w:ascii="宋体" w:hAnsi="宋体" w:cs="宋体" w:eastAsia="宋体" w:hint="ascii"/>
          <w:sz w:val="21"/>
          <w:spacing w:val="3"/>
        </w:rPr>
        <w:t>为双边研</w:t>
      </w:r>
      <w:r>
        <w:rPr>
          <w:rFonts w:ascii="宋体" w:hAnsi="宋体" w:cs="宋体" w:eastAsia="宋体" w:hint="ascii"/>
          <w:sz w:val="21"/>
        </w:rPr>
        <w:t>讨</w:t>
      </w:r>
      <w:r>
        <w:rPr>
          <w:rFonts w:ascii="宋体" w:hAnsi="宋体" w:cs="宋体" w:eastAsia="宋体" w:hint="ascii"/>
          <w:sz w:val="21"/>
          <w:spacing w:val="3"/>
        </w:rPr>
        <w:t>会、人员</w:t>
      </w:r>
      <w:r>
        <w:rPr>
          <w:rFonts w:ascii="宋体" w:hAnsi="宋体" w:cs="宋体" w:eastAsia="宋体" w:hint="ascii"/>
          <w:sz w:val="21"/>
        </w:rPr>
        <w:t>短</w:t>
      </w:r>
      <w:r>
        <w:rPr>
          <w:rFonts w:ascii="宋体" w:hAnsi="宋体" w:cs="宋体" w:eastAsia="宋体" w:hint="ascii"/>
          <w:sz w:val="21"/>
          <w:spacing w:val="3"/>
        </w:rPr>
        <w:t>期互访、</w:t>
      </w:r>
      <w:r>
        <w:rPr>
          <w:rFonts w:ascii="宋体" w:hAnsi="宋体" w:cs="宋体" w:eastAsia="宋体" w:hint="ascii"/>
          <w:sz w:val="21"/>
        </w:rPr>
        <w:t>合</w:t>
      </w:r>
      <w:r>
        <w:rPr>
          <w:rFonts w:ascii="宋体" w:hAnsi="宋体" w:cs="宋体" w:eastAsia="宋体" w:hint="ascii"/>
          <w:sz w:val="21"/>
          <w:spacing w:val="3"/>
        </w:rPr>
        <w:t>作研究、</w:t>
      </w:r>
      <w:r>
        <w:rPr>
          <w:rFonts w:ascii="宋体" w:hAnsi="宋体" w:cs="宋体" w:eastAsia="宋体" w:hint="ascii"/>
          <w:sz w:val="21"/>
        </w:rPr>
        <w:t>出</w:t>
      </w:r>
      <w:r>
        <w:rPr>
          <w:rFonts w:ascii="宋体" w:hAnsi="宋体" w:cs="宋体" w:eastAsia="宋体" w:hint="ascii"/>
          <w:sz w:val="21"/>
          <w:spacing w:val="3"/>
        </w:rPr>
        <w:t>版物等，</w:t>
      </w:r>
      <w:r>
        <w:rPr>
          <w:rFonts w:ascii="宋体" w:hAnsi="宋体" w:cs="宋体" w:eastAsia="宋体" w:hint="ascii"/>
          <w:sz w:val="21"/>
        </w:rPr>
        <w:t>为</w:t>
      </w:r>
      <w:r>
        <w:rPr>
          <w:rFonts w:ascii="宋体" w:hAnsi="宋体" w:cs="宋体" w:eastAsia="宋体" w:hint="ascii"/>
          <w:sz w:val="21"/>
          <w:spacing w:val="3"/>
        </w:rPr>
        <w:t>此资助耗</w:t>
      </w:r>
      <w:r>
        <w:rPr>
          <w:rFonts w:ascii="宋体" w:hAnsi="宋体" w:cs="宋体" w:eastAsia="宋体" w:hint="ascii"/>
          <w:sz w:val="21"/>
        </w:rPr>
        <w:t>材</w:t>
      </w:r>
      <w:r>
        <w:rPr>
          <w:rFonts w:ascii="宋体" w:hAnsi="宋体" w:cs="宋体" w:eastAsia="宋体" w:hint="ascii"/>
          <w:sz w:val="21"/>
          <w:spacing w:val="3"/>
        </w:rPr>
        <w:t>费、人员交</w:t>
      </w:r>
      <w:r>
        <w:rPr>
          <w:rFonts w:ascii="宋体" w:hAnsi="宋体" w:cs="宋体" w:eastAsia="宋体" w:hint="ascii"/>
          <w:sz w:val="21"/>
          <w:spacing w:val="4"/>
        </w:rPr>
        <w:t>流</w:t>
      </w:r>
      <w:r>
        <w:rPr>
          <w:rFonts w:ascii="宋体" w:hAnsi="宋体" w:cs="宋体" w:eastAsia="宋体" w:hint="ascii"/>
          <w:sz w:val="21"/>
        </w:rPr>
        <w:t>经</w:t>
      </w:r>
    </w:p>
    <w:p>
      <w:pPr>
        <w:autoSpaceDE w:val="0"/>
        <w:autoSpaceDN w:val="0"/>
        <w:jc w:val="left"/>
        <w:spacing w:before="433"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费、出</w:t>
      </w:r>
      <w:r>
        <w:rPr>
          <w:rFonts w:ascii="宋体" w:hAnsi="宋体" w:cs="宋体" w:eastAsia="宋体" w:hint="ascii"/>
          <w:sz w:val="21"/>
        </w:rPr>
        <w:t>版费、会议费等。申请人可以参考中德科学中心的资助标准，但中德科学中心不</w:t>
      </w:r>
      <w:r>
        <w:rPr>
          <w:rFonts w:ascii="宋体" w:hAnsi="宋体" w:cs="宋体" w:eastAsia="宋体" w:hint="ascii"/>
          <w:sz w:val="21"/>
          <w:spacing w:val="-1"/>
        </w:rPr>
        <w:t>提供人</w:t>
      </w:r>
      <w:r>
        <w:rPr>
          <w:rFonts w:ascii="宋体" w:hAnsi="宋体" w:cs="宋体" w:eastAsia="宋体" w:hint="ascii"/>
          <w:sz w:val="21"/>
        </w:rPr>
        <w:t>员工资。申请人必须是中德科学中心资助过的会议参加者或者是合作研究项目承</w:t>
      </w:r>
      <w:r>
        <w:rPr>
          <w:rFonts w:ascii="宋体" w:hAnsi="宋体" w:cs="宋体" w:eastAsia="宋体" w:hint="ascii"/>
          <w:sz w:val="21"/>
          <w:spacing w:val="-1"/>
        </w:rPr>
        <w:t>担者，有</w:t>
      </w:r>
      <w:r>
        <w:rPr>
          <w:rFonts w:ascii="宋体" w:hAnsi="宋体" w:cs="宋体" w:eastAsia="宋体" w:hint="ascii"/>
          <w:sz w:val="21"/>
        </w:rPr>
        <w:t>良好的合作基础和合作经历。资助期限</w:t>
      </w:r>
      <w:r>
        <w:rPr>
          <w:rFonts w:ascii="宋体" w:hAnsi="宋体" w:cs="宋体" w:eastAsia="宋体" w:hint="ascii"/>
          <w:sz w:val="21"/>
          <w:spacing w:val="27"/>
        </w:rPr>
        <w:t>为</w:t>
      </w:r>
      <w:r>
        <w:rPr>
          <w:rFonts w:ascii="Times New Roman" w:hAnsi="Times New Roman" w:cs="Times New Roman" w:eastAsia="Times New Roman" w:hint="ascii"/>
          <w:sz w:val="21"/>
          <w:spacing w:val="52"/>
        </w:rPr>
        <w:t>3</w:t>
      </w:r>
      <w:r>
        <w:rPr>
          <w:rFonts w:ascii="宋体" w:hAnsi="宋体" w:cs="宋体" w:eastAsia="宋体" w:hint="ascii"/>
          <w:sz w:val="21"/>
        </w:rPr>
        <w:t>年，不能延长，资助资金为最高至</w:t>
      </w:r>
      <w:r>
        <w:rPr>
          <w:rFonts w:ascii="宋体" w:hAnsi="宋体" w:cs="宋体" w:eastAsia="宋体" w:hint="ascii"/>
          <w:sz w:val="21"/>
        </w:rPr>
        <mc:AlternateContent>
          <mc:Choice Requires="wps">
            <w:drawing>
              <wp:anchor distL="0" distR="0" distT="0" distB="0" simplePos="0" behindDoc="1" relativeHeight="257" locked="0" layoutInCell="1" allowOverlap="1">
                <wp:simplePos x="0" y="0"/>
                <wp:positionH relativeFrom="page">
                  <wp:posOffset>938530</wp:posOffset>
                </wp:positionH>
                <wp:positionV relativeFrom="page">
                  <wp:posOffset>805815</wp:posOffset>
                </wp:positionV>
                <wp:extent cx="5076190" cy="0"/>
                <wp:wrapNone/>
                <wp:docPr id="1286" name="128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95072;width:399.70pt;" id="128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3</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52"/>
        </w:rPr>
        <w:t>0</w:t>
      </w:r>
      <w:r>
        <w:rPr>
          <w:rFonts w:ascii="宋体" w:hAnsi="宋体" w:cs="宋体" w:eastAsia="宋体" w:hint="ascii"/>
          <w:sz w:val="21"/>
        </w:rPr>
        <w:t>万人民币或等值欧元。</w:t>
      </w:r>
    </w:p>
    <w:p>
      <w:pPr>
        <w:autoSpaceDE w:val="0"/>
        <w:autoSpaceDN w:val="0"/>
        <w:jc w:val="left"/>
        <w:spacing w:before="57" w:after="0" w:lineRule="auto" w:line="240"/>
        <w:ind w:right="0" w:left="1649" w:hanging="263"/>
        <w:snapToGrid w:val="0"/>
        <w:textAlignment w:val="auto"/>
        <w:tabs>
          <w:tab w:val="left" w:leader="none" w:pos="1648"/>
        </w:tabs>
        <w:numPr>
          <w:ilvl w:val="0"/>
          <w:numId w:val="303"/>
        </w:numPr>
        <w:rPr>
          <w:rFonts w:ascii="Times New Roman" w:hAnsi="Times New Roman" w:cs="Times New Roman" w:eastAsia="Times New Roman" w:hint="ascii"/>
          <w:sz w:val="21"/>
        </w:rPr>
      </w:pPr>
      <w:r>
        <w:rPr>
          <w:rFonts w:ascii="宋体" w:hAnsi="宋体" w:cs="宋体" w:eastAsia="宋体" w:hint="ascii"/>
          <w:sz w:val="21"/>
        </w:rPr>
        <w:t>青年科学家系列资助计划</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）短期讲习班</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短期讲习班的目的是向中德青年科学家传授某一专业领域先进的科研方法、技术及</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其应用</w:t>
      </w:r>
      <w:r>
        <w:rPr>
          <w:rFonts w:ascii="宋体" w:hAnsi="宋体" w:cs="宋体" w:eastAsia="宋体" w:hint="ascii"/>
          <w:sz w:val="21"/>
        </w:rPr>
        <w:t>，针对某一特定研究领域内的实际问题进行培训和讨论。中德科学中心可资助来</w:t>
      </w:r>
      <w:r>
        <w:rPr>
          <w:rFonts w:ascii="宋体" w:hAnsi="宋体" w:cs="宋体" w:eastAsia="宋体" w:hint="ascii"/>
          <w:sz w:val="21"/>
          <w:spacing w:val="-1"/>
        </w:rPr>
        <w:t>自两国</w:t>
      </w:r>
      <w:r>
        <w:rPr>
          <w:rFonts w:ascii="宋体" w:hAnsi="宋体" w:cs="宋体" w:eastAsia="宋体" w:hint="ascii"/>
          <w:sz w:val="21"/>
        </w:rPr>
        <w:t xml:space="preserve">的 </w:t>
      </w:r>
      <w:r>
        <w:rPr>
          <w:rFonts w:ascii="Times New Roman" w:hAnsi="Times New Roman" w:cs="Times New Roman" w:eastAsia="Times New Roman" w:hint="ascii"/>
          <w:sz w:val="21"/>
        </w:rPr>
        <w:t>4</w:t>
      </w:r>
      <w:r>
        <w:rPr>
          <w:rFonts w:ascii="宋体" w:hAnsi="宋体" w:cs="宋体" w:eastAsia="宋体" w:hint="ascii"/>
          <w:sz w:val="21"/>
        </w:rPr>
        <w:t>～</w:t>
      </w:r>
      <w:r>
        <w:rPr>
          <w:rFonts w:ascii="Times New Roman" w:hAnsi="Times New Roman" w:cs="Times New Roman" w:eastAsia="Times New Roman" w:hint="ascii"/>
          <w:sz w:val="21"/>
        </w:rPr>
        <w:t xml:space="preserve">6 </w:t>
      </w:r>
      <w:r>
        <w:rPr>
          <w:rFonts w:ascii="宋体" w:hAnsi="宋体" w:cs="宋体" w:eastAsia="宋体" w:hint="ascii"/>
          <w:sz w:val="21"/>
        </w:rPr>
        <w:t>名科研人员担任授课老师，双方申请人必须是受资助的授课老师。参加</w:t>
      </w:r>
      <w:r>
        <w:rPr>
          <w:rFonts w:ascii="宋体" w:hAnsi="宋体" w:cs="宋体" w:eastAsia="宋体" w:hint="ascii"/>
          <w:sz w:val="21"/>
          <w:spacing w:val="-1"/>
        </w:rPr>
        <w:t>者主要</w:t>
      </w:r>
      <w:r>
        <w:rPr>
          <w:rFonts w:ascii="宋体" w:hAnsi="宋体" w:cs="宋体" w:eastAsia="宋体" w:hint="ascii"/>
          <w:sz w:val="21"/>
        </w:rPr>
        <w:t>是来自中德两国的大学生、研究生或青年科研人员。参加者的人数视讲习班的要</w:t>
      </w:r>
      <w:r>
        <w:rPr>
          <w:rFonts w:ascii="宋体" w:hAnsi="宋体" w:cs="宋体" w:eastAsia="宋体" w:hint="ascii"/>
          <w:sz w:val="21"/>
          <w:spacing w:val="-1"/>
        </w:rPr>
        <w:t>求和条</w:t>
      </w:r>
      <w:r>
        <w:rPr>
          <w:rFonts w:ascii="宋体" w:hAnsi="宋体" w:cs="宋体" w:eastAsia="宋体" w:hint="ascii"/>
          <w:sz w:val="21"/>
        </w:rPr>
        <w:t xml:space="preserve">件（如设备和实验室容量）而定，但最多不超过 </w:t>
      </w:r>
      <w:r>
        <w:rPr>
          <w:rFonts w:ascii="Times New Roman" w:hAnsi="Times New Roman" w:cs="Times New Roman" w:eastAsia="Times New Roman" w:hint="ascii"/>
          <w:sz w:val="21"/>
        </w:rPr>
        <w:t xml:space="preserve">40 </w:t>
      </w:r>
      <w:r>
        <w:rPr>
          <w:rFonts w:ascii="宋体" w:hAnsi="宋体" w:cs="宋体" w:eastAsia="宋体" w:hint="ascii"/>
          <w:sz w:val="21"/>
        </w:rPr>
        <w:t>人，其中派出方的人数不超</w:t>
      </w:r>
      <w:r>
        <w:rPr>
          <w:rFonts w:ascii="宋体" w:hAnsi="宋体" w:cs="宋体" w:eastAsia="宋体" w:hint="ascii"/>
          <w:sz w:val="21"/>
          <w:spacing w:val="25"/>
        </w:rPr>
        <w:t>过</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1"/>
        </w:rPr>
        <w:t>5</w:t>
      </w:r>
      <w:r>
        <w:rPr>
          <w:rFonts w:ascii="宋体" w:hAnsi="宋体" w:cs="宋体" w:eastAsia="宋体" w:hint="ascii"/>
          <w:sz w:val="21"/>
        </w:rPr>
        <w:t>人，接待方不超</w:t>
      </w:r>
      <w:r>
        <w:rPr>
          <w:rFonts w:ascii="宋体" w:hAnsi="宋体" w:cs="宋体" w:eastAsia="宋体" w:hint="ascii"/>
          <w:sz w:val="21"/>
          <w:spacing w:val="26"/>
        </w:rPr>
        <w:t>过</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2"/>
        </w:rPr>
        <w:t>5</w:t>
      </w:r>
      <w:r>
        <w:rPr>
          <w:rFonts w:ascii="宋体" w:hAnsi="宋体" w:cs="宋体" w:eastAsia="宋体" w:hint="ascii"/>
          <w:sz w:val="21"/>
        </w:rPr>
        <w:t>人。举办地可在中国或德国。中德科学中心资助的短期讲习</w:t>
      </w:r>
      <w:r>
        <w:rPr>
          <w:rFonts w:ascii="宋体" w:hAnsi="宋体" w:cs="宋体" w:eastAsia="宋体" w:hint="ascii"/>
          <w:sz w:val="21"/>
          <w:spacing w:val="-2"/>
        </w:rPr>
        <w:t>班一般为</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2"/>
        </w:rPr>
        <w:t>14</w:t>
      </w:r>
      <w:r>
        <w:rPr>
          <w:rFonts w:ascii="Times New Roman" w:hAnsi="Times New Roman" w:cs="Times New Roman" w:eastAsia="Times New Roman" w:hint="ascii"/>
          <w:sz w:val="21"/>
          <w:spacing w:val="-15"/>
        </w:rPr>
        <w:t xml:space="preserve"> </w:t>
      </w:r>
      <w:r>
        <w:rPr>
          <w:rFonts w:ascii="宋体" w:hAnsi="宋体" w:cs="宋体" w:eastAsia="宋体" w:hint="ascii"/>
          <w:sz w:val="21"/>
          <w:spacing w:val="-2"/>
        </w:rPr>
        <w:t>天以内，其中包括抵</w:t>
      </w:r>
      <w:r>
        <w:rPr>
          <w:rFonts w:ascii="宋体" w:hAnsi="宋体" w:cs="宋体" w:eastAsia="宋体" w:hint="ascii"/>
          <w:sz w:val="21"/>
          <w:spacing w:val="-1"/>
        </w:rPr>
        <w:t>离各</w:t>
      </w:r>
      <w:r>
        <w:rPr>
          <w:rFonts w:ascii="宋体" w:hAnsi="宋体" w:cs="宋体" w:eastAsia="宋体" w:hint="ascii"/>
          <w:sz w:val="21"/>
          <w:spacing w:val="-14"/>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
        </w:rPr>
        <w:t>天。资助内容包括国际国内旅费、当地食宿交</w:t>
      </w:r>
      <w:r>
        <w:rPr>
          <w:rFonts w:ascii="宋体" w:hAnsi="宋体" w:cs="宋体" w:eastAsia="宋体" w:hint="ascii"/>
          <w:sz w:val="21"/>
        </w:rPr>
        <w:t xml:space="preserve"> 通费、会议材料、学术考察费等。</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）林岛项目及林岛项目后续资助</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林岛项目：中德科学中心与林岛诺贝尔奖得主大会基金会合作，每年资助约 </w:t>
      </w:r>
      <w:r>
        <w:rPr>
          <w:rFonts w:ascii="Times New Roman" w:hAnsi="Times New Roman" w:cs="Times New Roman" w:eastAsia="Times New Roman" w:hint="ascii"/>
          <w:sz w:val="21"/>
        </w:rPr>
        <w:t xml:space="preserve">30 </w:t>
      </w:r>
      <w:r>
        <w:rPr>
          <w:rFonts w:ascii="宋体" w:hAnsi="宋体" w:cs="宋体" w:eastAsia="宋体" w:hint="ascii"/>
          <w:sz w:val="21"/>
        </w:rPr>
        <w:t>名</w:t>
      </w:r>
    </w:p>
    <w:p>
      <w:pPr>
        <w:autoSpaceDE w:val="0"/>
        <w:autoSpaceDN w:val="0"/>
        <w:jc w:val="right"/>
        <w:spacing w:before="10" w:after="0" w:lineRule="exact" w:line="312"/>
        <w:ind w:right="974" w:left="861" w:firstLine="0"/>
        <w:snapToGrid w:val="0"/>
        <w:textAlignment w:val="auto"/>
        <w:tabs/>
        <w:rPr>
          <w:rFonts w:ascii="宋体" w:hAnsi="宋体" w:cs="宋体" w:eastAsia="宋体" w:hint="ascii"/>
          <w:sz w:val="21"/>
        </w:rPr>
      </w:pPr>
      <w:r>
        <w:rPr>
          <w:rFonts w:ascii="宋体" w:hAnsi="宋体" w:cs="宋体" w:eastAsia="宋体" w:hint="ascii"/>
          <w:sz w:val="21"/>
          <w:spacing w:val="-1"/>
        </w:rPr>
        <w:t>（另有</w:t>
      </w:r>
      <w:r>
        <w:rPr>
          <w:rFonts w:ascii="宋体" w:hAnsi="宋体" w:cs="宋体" w:eastAsia="宋体" w:hint="ascii"/>
          <w:sz w:val="21"/>
        </w:rPr>
        <w:t xml:space="preserve"> </w:t>
      </w:r>
      <w:r>
        <w:rPr>
          <w:rFonts w:ascii="Times New Roman" w:hAnsi="Times New Roman" w:cs="Times New Roman" w:eastAsia="Times New Roman" w:hint="ascii"/>
          <w:sz w:val="21"/>
        </w:rPr>
        <w:t xml:space="preserve">15 </w:t>
      </w:r>
      <w:r>
        <w:rPr>
          <w:rFonts w:ascii="宋体" w:hAnsi="宋体" w:cs="宋体" w:eastAsia="宋体" w:hint="ascii"/>
          <w:sz w:val="21"/>
        </w:rPr>
        <w:t>名经济学）</w:t>
      </w:r>
      <w:r>
        <w:rPr>
          <w:rFonts w:ascii="Times New Roman" w:hAnsi="Times New Roman" w:cs="Times New Roman" w:eastAsia="Times New Roman" w:hint="ascii"/>
          <w:sz w:val="21"/>
        </w:rPr>
        <w:t xml:space="preserve">35 </w:t>
      </w:r>
      <w:r>
        <w:rPr>
          <w:rFonts w:ascii="宋体" w:hAnsi="宋体" w:cs="宋体" w:eastAsia="宋体" w:hint="ascii"/>
          <w:sz w:val="21"/>
        </w:rPr>
        <w:t>周岁以下的中国优秀博士生前往德国林岛参加诺贝尔奖得主学术大会，会后安排访问德国相关大学和科研机构。获得邀请参加大会的学生从全国范围内挑选，申请人必须由所在单位推荐，由中德评审专家经过函评和面试决定是否入选。林岛项目后续资助：获得博士学位的林岛项目受资助者，如果已被国内大学和科研</w:t>
      </w:r>
    </w:p>
    <w:p>
      <w:pPr>
        <w:autoSpaceDE w:val="0"/>
        <w:autoSpaceDN w:val="0"/>
        <w:jc w:val="both"/>
        <w:spacing w:before="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机构录用，</w:t>
      </w:r>
      <w:r>
        <w:rPr>
          <w:rFonts w:ascii="宋体" w:hAnsi="宋体" w:cs="宋体" w:eastAsia="宋体" w:hint="ascii"/>
          <w:sz w:val="21"/>
          <w:spacing w:val="-3"/>
        </w:rPr>
        <w:t>在征</w:t>
      </w:r>
      <w:r>
        <w:rPr>
          <w:rFonts w:ascii="宋体" w:hAnsi="宋体" w:cs="宋体" w:eastAsia="宋体" w:hint="ascii"/>
          <w:sz w:val="21"/>
          <w:spacing w:val="-2"/>
        </w:rPr>
        <w:t>得本单位同意情况下，可向中心提出在德进行为期不超</w:t>
      </w:r>
      <w:r>
        <w:rPr>
          <w:rFonts w:ascii="宋体" w:hAnsi="宋体" w:cs="宋体" w:eastAsia="宋体" w:hint="ascii"/>
          <w:sz w:val="21"/>
        </w:rPr>
        <w:t>过</w:t>
      </w:r>
      <w:r>
        <w:rPr>
          <w:rFonts w:ascii="宋体" w:hAnsi="宋体" w:cs="宋体" w:eastAsia="宋体" w:hint="ascii"/>
          <w:sz w:val="21"/>
          <w:spacing w:val="-21"/>
        </w:rPr>
        <w:t xml:space="preserve"> </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0"/>
        </w:rPr>
        <w:t xml:space="preserve"> </w:t>
      </w:r>
      <w:r>
        <w:rPr>
          <w:rFonts w:ascii="宋体" w:hAnsi="宋体" w:cs="宋体" w:eastAsia="宋体" w:hint="ascii"/>
          <w:sz w:val="21"/>
          <w:spacing w:val="-2"/>
        </w:rPr>
        <w:t>个月的</w:t>
      </w:r>
      <w:r>
        <w:rPr>
          <w:rFonts w:ascii="宋体" w:hAnsi="宋体" w:cs="宋体" w:eastAsia="宋体" w:hint="ascii"/>
          <w:sz w:val="21"/>
          <w:spacing w:val="-1"/>
        </w:rPr>
        <w:t>研</w:t>
      </w:r>
      <w:r>
        <w:rPr>
          <w:rFonts w:ascii="宋体" w:hAnsi="宋体" w:cs="宋体" w:eastAsia="宋体" w:hint="ascii"/>
          <w:sz w:val="21"/>
        </w:rPr>
        <w:t>究</w:t>
      </w:r>
      <w:r>
        <w:rPr>
          <w:rFonts w:ascii="宋体" w:hAnsi="宋体" w:cs="宋体" w:eastAsia="宋体" w:hint="ascii"/>
          <w:sz w:val="21"/>
          <w:spacing w:val="-2"/>
        </w:rPr>
        <w:t>访问的申请。中德科学中心可资助一次中德往返国际旅费、在德期间停留费和保险费</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）德国优秀青年小组长来华访问</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这是中德科学中心为德国优秀青年科学家设立的资助，目前主要面向德国科学基金</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rPr>
        <w:t>会设</w:t>
      </w:r>
      <w:r>
        <w:rPr>
          <w:rFonts w:ascii="宋体" w:hAnsi="宋体" w:cs="宋体" w:eastAsia="宋体" w:hint="ascii"/>
          <w:sz w:val="21"/>
          <w:spacing w:val="-1"/>
        </w:rPr>
        <w:t>立</w:t>
      </w:r>
      <w:r>
        <w:rPr>
          <w:rFonts w:ascii="宋体" w:hAnsi="宋体" w:cs="宋体" w:eastAsia="宋体" w:hint="ascii"/>
          <w:sz w:val="21"/>
        </w:rPr>
        <w:t>的</w:t>
      </w:r>
      <w:r>
        <w:rPr>
          <w:rFonts w:ascii="宋体" w:hAnsi="宋体" w:cs="宋体" w:eastAsia="宋体" w:hint="ascii"/>
          <w:sz w:val="21"/>
          <w:spacing w:val="-1"/>
        </w:rPr>
        <w:t>艾</w:t>
      </w:r>
      <w:r>
        <w:rPr>
          <w:rFonts w:ascii="宋体" w:hAnsi="宋体" w:cs="宋体" w:eastAsia="宋体" w:hint="ascii"/>
          <w:sz w:val="21"/>
        </w:rPr>
        <w:t>米</w:t>
      </w:r>
      <w:r>
        <w:rPr>
          <w:rFonts w:ascii="宋体" w:hAnsi="宋体" w:cs="宋体" w:eastAsia="宋体" w:hint="ascii"/>
          <w:sz w:val="21"/>
          <w:spacing w:val="1"/>
        </w:rPr>
        <w:t>-</w:t>
      </w:r>
      <w:r>
        <w:rPr>
          <w:rFonts w:ascii="宋体" w:hAnsi="宋体" w:cs="宋体" w:eastAsia="宋体" w:hint="ascii"/>
          <w:sz w:val="21"/>
        </w:rPr>
        <w:t>努特（</w:t>
      </w:r>
      <w:r>
        <w:rPr>
          <w:rFonts w:ascii="Times New Roman" w:hAnsi="Times New Roman" w:cs="Times New Roman" w:eastAsia="Times New Roman" w:hint="ascii"/>
          <w:sz w:val="21"/>
          <w:spacing w:val="-2"/>
        </w:rPr>
        <w:t>E</w:t>
      </w:r>
      <w:r>
        <w:rPr>
          <w:rFonts w:ascii="Times New Roman" w:hAnsi="Times New Roman" w:cs="Times New Roman" w:eastAsia="Times New Roman" w:hint="ascii"/>
          <w:sz w:val="21"/>
        </w:rPr>
        <w:t>m</w:t>
      </w:r>
      <w:r>
        <w:rPr>
          <w:rFonts w:ascii="Times New Roman" w:hAnsi="Times New Roman" w:cs="Times New Roman" w:eastAsia="Times New Roman" w:hint="ascii"/>
          <w:sz w:val="21"/>
          <w:spacing w:val="-2"/>
        </w:rPr>
        <w:t>m</w:t>
      </w:r>
      <w:r>
        <w:rPr>
          <w:rFonts w:ascii="Times New Roman" w:hAnsi="Times New Roman" w:cs="Times New Roman" w:eastAsia="Times New Roman" w:hint="ascii"/>
          <w:sz w:val="21"/>
        </w:rPr>
        <w:t>y</w:t>
      </w:r>
      <w:r>
        <w:rPr>
          <w:rFonts w:ascii="Times New Roman" w:hAnsi="Times New Roman" w:cs="Times New Roman" w:eastAsia="Times New Roman" w:hint="ascii"/>
          <w:sz w:val="21"/>
          <w:spacing w:val="52"/>
        </w:rPr>
        <w:t xml:space="preserve"> </w:t>
      </w:r>
      <w:r>
        <w:rPr>
          <w:rFonts w:ascii="Times New Roman" w:hAnsi="Times New Roman" w:cs="Times New Roman" w:eastAsia="Times New Roman" w:hint="ascii"/>
          <w:sz w:val="21"/>
        </w:rPr>
        <w:t>Noether</w:t>
      </w:r>
      <w:r>
        <w:rPr>
          <w:rFonts w:ascii="宋体" w:hAnsi="宋体" w:cs="宋体" w:eastAsia="宋体" w:hint="ascii"/>
          <w:sz w:val="21"/>
        </w:rPr>
        <w:t>）奖</w:t>
      </w:r>
      <w:r>
        <w:rPr>
          <w:rFonts w:ascii="宋体" w:hAnsi="宋体" w:cs="宋体" w:eastAsia="宋体" w:hint="ascii"/>
          <w:sz w:val="21"/>
          <w:spacing w:val="-9"/>
        </w:rPr>
        <w:t>获</w:t>
      </w:r>
      <w:r>
        <w:rPr>
          <w:rFonts w:ascii="宋体" w:hAnsi="宋体" w:cs="宋体" w:eastAsia="宋体" w:hint="ascii"/>
          <w:sz w:val="21"/>
        </w:rPr>
        <w:t>得者和具有同等水平的其他奖项获得者，如</w:t>
      </w:r>
      <w:r>
        <w:rPr>
          <w:rFonts w:ascii="Times New Roman" w:hAnsi="Times New Roman" w:cs="Times New Roman" w:eastAsia="Times New Roman" w:hint="ascii"/>
          <w:sz w:val="21"/>
          <w:spacing w:val="-2"/>
        </w:rPr>
        <w:t>SFB</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2"/>
        </w:rPr>
        <w:t>优秀青年科学家小组带头人、</w:t>
      </w:r>
      <w:r>
        <w:rPr>
          <w:rFonts w:ascii="宋体" w:hAnsi="宋体" w:cs="宋体" w:eastAsia="宋体" w:hint="ascii"/>
          <w:sz w:val="21"/>
          <w:spacing w:val="-1"/>
        </w:rPr>
        <w:t>欧洲研究理事会</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1"/>
        </w:rPr>
        <w:t>Starting</w:t>
      </w:r>
      <w:r>
        <w:rPr>
          <w:rFonts w:ascii="Times New Roman" w:hAnsi="Times New Roman" w:cs="Times New Roman" w:eastAsia="Times New Roman" w:hint="ascii"/>
          <w:sz w:val="21"/>
          <w:spacing w:val="52"/>
        </w:rPr>
        <w:t xml:space="preserve"> </w:t>
      </w:r>
      <w:r>
        <w:rPr>
          <w:rFonts w:ascii="Times New Roman" w:hAnsi="Times New Roman" w:cs="Times New Roman" w:eastAsia="Times New Roman" w:hint="ascii"/>
          <w:sz w:val="21"/>
          <w:spacing w:val="-1"/>
        </w:rPr>
        <w:t>Grants</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1"/>
        </w:rPr>
        <w:t>项目获奖者、大众基</w:t>
      </w:r>
      <w:r>
        <w:rPr>
          <w:rFonts w:ascii="宋体" w:hAnsi="宋体" w:cs="宋体" w:eastAsia="宋体" w:hint="ascii"/>
          <w:sz w:val="21"/>
        </w:rPr>
        <w:t xml:space="preserve"> 金会 </w:t>
      </w:r>
      <w:r>
        <w:rPr>
          <w:rFonts w:ascii="Times New Roman" w:hAnsi="Times New Roman" w:cs="Times New Roman" w:eastAsia="Times New Roman" w:hint="ascii"/>
          <w:sz w:val="21"/>
        </w:rPr>
        <w:t>Lichtenbe</w:t>
      </w:r>
      <w:r>
        <w:rPr>
          <w:rFonts w:ascii="Times New Roman" w:hAnsi="Times New Roman" w:cs="Times New Roman" w:eastAsia="Times New Roman" w:hint="ascii"/>
          <w:sz w:val="21"/>
          <w:spacing w:val="-5"/>
        </w:rPr>
        <w:t>r</w:t>
      </w:r>
      <w:r>
        <w:rPr>
          <w:rFonts w:ascii="Times New Roman" w:hAnsi="Times New Roman" w:cs="Times New Roman" w:eastAsia="Times New Roman" w:hint="ascii"/>
          <w:sz w:val="21"/>
        </w:rPr>
        <w:t xml:space="preserve">g </w:t>
      </w:r>
      <w:r>
        <w:rPr>
          <w:rFonts w:ascii="宋体" w:hAnsi="宋体" w:cs="宋体" w:eastAsia="宋体" w:hint="ascii"/>
          <w:sz w:val="21"/>
        </w:rPr>
        <w:t>教授职位资助项目的获奖者以及青年小组负责人。主要资助青年科学</w:t>
      </w:r>
      <w:r>
        <w:rPr>
          <w:rFonts w:ascii="宋体" w:hAnsi="宋体" w:cs="宋体" w:eastAsia="宋体" w:hint="ascii"/>
          <w:sz w:val="21"/>
          <w:spacing w:val="-1"/>
        </w:rPr>
        <w:t>家来华</w:t>
      </w:r>
      <w:r>
        <w:rPr>
          <w:rFonts w:ascii="宋体" w:hAnsi="宋体" w:cs="宋体" w:eastAsia="宋体" w:hint="ascii"/>
          <w:sz w:val="21"/>
        </w:rPr>
        <w:t>进行学术访问和研究工作，或者与所选择的中国合作伙伴探讨和开拓双边科学合</w:t>
      </w:r>
      <w:r>
        <w:rPr>
          <w:rFonts w:ascii="宋体" w:hAnsi="宋体" w:cs="宋体" w:eastAsia="宋体" w:hint="ascii"/>
          <w:sz w:val="21"/>
          <w:spacing w:val="-1"/>
        </w:rPr>
        <w:t>作。资</w:t>
      </w:r>
      <w:r>
        <w:rPr>
          <w:rFonts w:ascii="宋体" w:hAnsi="宋体" w:cs="宋体" w:eastAsia="宋体" w:hint="ascii"/>
          <w:sz w:val="21"/>
        </w:rPr>
        <w:t>助内容包括国际国内旅费和在华停留费。如果进行短期学术访问，原则上期限不超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2</w:t>
      </w:r>
      <w:r>
        <w:rPr>
          <w:rFonts w:ascii="宋体" w:hAnsi="宋体" w:cs="宋体" w:eastAsia="宋体" w:hint="ascii"/>
          <w:sz w:val="21"/>
        </w:rPr>
        <w:t>周，在华停留不超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3</w:t>
      </w:r>
      <w:r>
        <w:rPr>
          <w:rFonts w:ascii="宋体" w:hAnsi="宋体" w:cs="宋体" w:eastAsia="宋体" w:hint="ascii"/>
          <w:sz w:val="21"/>
        </w:rPr>
        <w:t>个城市，而且有接待单位和接待人。</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）青年科学家论坛</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中德科学中心为中德两国青年科学家提供一个认识本学科领域内取得成就的科学家</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并与其深入探讨科研工作的机会。原则上每次会议可邀请双方不超过</w:t>
      </w:r>
      <w:r>
        <w:rPr>
          <w:rFonts w:ascii="宋体" w:hAnsi="宋体" w:cs="宋体" w:eastAsia="宋体" w:hint="ascii"/>
          <w:sz w:val="21"/>
          <w:spacing w:val="-18"/>
        </w:rPr>
        <w:t xml:space="preserve"> </w:t>
      </w:r>
      <w:r>
        <w:rPr>
          <w:rFonts w:ascii="Times New Roman" w:hAnsi="Times New Roman" w:cs="Times New Roman" w:eastAsia="Times New Roman" w:hint="ascii"/>
          <w:sz w:val="21"/>
        </w:rPr>
        <w:t>40</w:t>
      </w:r>
      <w:r>
        <w:rPr>
          <w:rFonts w:ascii="Times New Roman" w:hAnsi="Times New Roman" w:cs="Times New Roman" w:eastAsia="Times New Roman" w:hint="ascii"/>
          <w:sz w:val="21"/>
          <w:spacing w:val="-17"/>
        </w:rPr>
        <w:t xml:space="preserve"> </w:t>
      </w:r>
      <w:r>
        <w:rPr>
          <w:rFonts w:ascii="宋体" w:hAnsi="宋体" w:cs="宋体" w:eastAsia="宋体" w:hint="ascii"/>
          <w:sz w:val="21"/>
        </w:rPr>
        <w:t>名、年龄在</w:t>
      </w:r>
      <w:r>
        <w:rPr>
          <w:rFonts w:ascii="宋体" w:hAnsi="宋体" w:cs="宋体" w:eastAsia="宋体" w:hint="ascii"/>
          <w:sz w:val="21"/>
          <w:spacing w:val="-17"/>
        </w:rPr>
        <w:t xml:space="preserve"> </w:t>
      </w:r>
      <w:r>
        <w:rPr>
          <w:rFonts w:ascii="Times New Roman" w:hAnsi="Times New Roman" w:cs="Times New Roman" w:eastAsia="Times New Roman" w:hint="ascii"/>
          <w:sz w:val="21"/>
        </w:rPr>
        <w:t xml:space="preserve">40 </w:t>
      </w:r>
      <w:r>
        <w:rPr>
          <w:rFonts w:ascii="宋体" w:hAnsi="宋体" w:cs="宋体" w:eastAsia="宋体" w:hint="ascii"/>
          <w:sz w:val="21"/>
          <w:spacing w:val="-1"/>
        </w:rPr>
        <w:t>周岁以</w:t>
      </w:r>
      <w:r>
        <w:rPr>
          <w:rFonts w:ascii="宋体" w:hAnsi="宋体" w:cs="宋体" w:eastAsia="宋体" w:hint="ascii"/>
          <w:sz w:val="21"/>
        </w:rPr>
        <w:t>下的青年科学家以及根据活动规模所确定的双方各一名资深科学家共同参加，旅</w:t>
      </w:r>
      <w:r>
        <w:rPr>
          <w:rFonts w:ascii="宋体" w:hAnsi="宋体" w:cs="宋体" w:eastAsia="宋体" w:hint="ascii"/>
          <w:sz w:val="21"/>
          <w:spacing w:val="-1"/>
        </w:rPr>
        <w:t>行方</w:t>
      </w:r>
      <w:r>
        <w:rPr>
          <w:rFonts w:ascii="宋体" w:hAnsi="宋体" w:cs="宋体" w:eastAsia="宋体" w:hint="ascii"/>
          <w:sz w:val="21"/>
        </w:rPr>
        <w:t>不超</w:t>
      </w:r>
      <w:r>
        <w:rPr>
          <w:rFonts w:ascii="宋体" w:hAnsi="宋体" w:cs="宋体" w:eastAsia="宋体" w:hint="ascii"/>
          <w:sz w:val="21"/>
          <w:spacing w:val="26"/>
        </w:rPr>
        <w:t>过</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5</w:t>
      </w:r>
      <w:r>
        <w:rPr>
          <w:rFonts w:ascii="宋体" w:hAnsi="宋体" w:cs="宋体" w:eastAsia="宋体" w:hint="ascii"/>
          <w:sz w:val="21"/>
        </w:rPr>
        <w:t>名，接待方不超</w:t>
      </w:r>
      <w:r>
        <w:rPr>
          <w:rFonts w:ascii="宋体" w:hAnsi="宋体" w:cs="宋体" w:eastAsia="宋体" w:hint="ascii"/>
          <w:sz w:val="21"/>
          <w:spacing w:val="26"/>
        </w:rPr>
        <w:t>过</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2"/>
        </w:rPr>
        <w:t>5</w:t>
      </w:r>
      <w:r>
        <w:rPr>
          <w:rFonts w:ascii="宋体" w:hAnsi="宋体" w:cs="宋体" w:eastAsia="宋体" w:hint="ascii"/>
          <w:sz w:val="21"/>
        </w:rPr>
        <w:t>名。资助内容包括国际旅费、国内旅费、当地食宿交通费以及会议材料费等。</w:t>
      </w:r>
    </w:p>
    <w:p>
      <w:pPr>
        <w:autoSpaceDE w:val="0"/>
        <w:autoSpaceDN w:val="0"/>
        <w:jc w:val="left"/>
        <w:spacing w:before="40" w:after="0" w:lineRule="auto" w:line="240"/>
        <w:ind w:right="0" w:left="1649" w:hanging="263"/>
        <w:snapToGrid w:val="0"/>
        <w:textAlignment w:val="auto"/>
        <w:tabs>
          <w:tab w:val="left" w:leader="none" w:pos="1648"/>
        </w:tabs>
        <w:numPr>
          <w:ilvl w:val="0"/>
          <w:numId w:val="303"/>
        </w:numPr>
        <w:rPr>
          <w:rFonts w:ascii="Times New Roman" w:hAnsi="Times New Roman" w:cs="Times New Roman" w:eastAsia="Times New Roman" w:hint="ascii"/>
          <w:sz w:val="21"/>
        </w:rPr>
      </w:pPr>
      <w:r>
        <w:rPr>
          <w:rFonts w:ascii="宋体" w:hAnsi="宋体" w:cs="宋体" w:eastAsia="宋体" w:hint="ascii"/>
          <w:sz w:val="21"/>
        </w:rPr>
        <w:t>前期筹划活动</w:t>
      </w:r>
    </w:p>
    <w:p>
      <w:pPr>
        <w:autoSpaceDE w:val="0"/>
        <w:autoSpaceDN w:val="0"/>
        <w:jc w:val="both"/>
        <w:spacing w:before="17" w:after="0" w:lineRule="exact" w:line="312"/>
        <w:ind w:right="974"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资助中德科研人员为筹划一个会议或者一个项目而进行的学术访问</w:t>
      </w:r>
      <w:r>
        <w:rPr>
          <w:rFonts w:ascii="宋体" w:hAnsi="宋体" w:cs="宋体" w:eastAsia="宋体" w:hint="ascii"/>
          <w:sz w:val="21"/>
        </w:rPr>
        <w:t xml:space="preserve">。资助人数为 </w:t>
      </w:r>
      <w:r>
        <w:rPr>
          <w:rFonts w:ascii="Times New Roman" w:hAnsi="Times New Roman" w:cs="Times New Roman" w:eastAsia="Times New Roman" w:hint="ascii"/>
          <w:sz w:val="21"/>
        </w:rPr>
        <w:t xml:space="preserve">1 </w:t>
      </w:r>
      <w:r>
        <w:rPr>
          <w:rFonts w:ascii="宋体" w:hAnsi="宋体" w:cs="宋体" w:eastAsia="宋体" w:hint="ascii"/>
          <w:sz w:val="21"/>
        </w:rPr>
        <w:t>人，时间不超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5</w:t>
      </w:r>
      <w:r>
        <w:rPr>
          <w:rFonts w:ascii="宋体" w:hAnsi="宋体" w:cs="宋体" w:eastAsia="宋体" w:hint="ascii"/>
          <w:sz w:val="21"/>
        </w:rPr>
        <w:t>天。</w:t>
      </w:r>
    </w:p>
    <w:p>
      <w:pPr>
        <w:autoSpaceDE w:val="0"/>
        <w:autoSpaceDN w:val="0"/>
        <w:jc w:val="left"/>
        <w:spacing w:before="27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111" w:firstLine="0"/>
        <w:snapToGrid w:val="0"/>
        <w:textAlignment w:val="auto"/>
        <w:tabs/>
        <w:rPr>
          <w:rFonts w:ascii="宋体" w:hAnsi="宋体" w:cs="宋体" w:eastAsia="宋体" w:hint="ascii"/>
          <w:sz w:val="19"/>
        </w:rPr>
      </w:pPr>
      <w:r>
        <w:rPr>
          <w:rFonts w:ascii="宋体" w:hAnsi="宋体" w:cs="宋体" w:eastAsia="宋体" w:hint="ascii"/>
          <w:sz w:val="19"/>
        </w:rPr>
        <w:t>国际（地区）合作研究与交流项目</w:t>
      </w:r>
    </w:p>
    <w:p>
      <w:pPr>
        <w:autoSpaceDE w:val="0"/>
        <w:autoSpaceDN w:val="0"/>
        <w:jc w:val="left"/>
        <w:spacing w:before="297" w:after="0" w:lineRule="auto" w:line="240"/>
        <w:ind w:right="0" w:left="1649" w:hanging="263"/>
        <w:snapToGrid w:val="0"/>
        <w:textAlignment w:val="auto"/>
        <w:tabs>
          <w:tab w:val="left" w:leader="none" w:pos="1648"/>
        </w:tabs>
        <w:numPr>
          <w:ilvl w:val="0"/>
          <w:numId w:val="303"/>
        </w:numPr>
        <w:rPr>
          <w:rFonts w:ascii="Times New Roman" w:hAnsi="Times New Roman" w:cs="Times New Roman" w:eastAsia="Times New Roman" w:hint="ascii"/>
          <w:sz w:val="21"/>
        </w:rPr>
      </w:pPr>
      <w:r>
        <w:rPr>
          <w:rFonts w:ascii="宋体" w:hAnsi="宋体" w:cs="宋体" w:eastAsia="宋体" w:hint="ascii"/>
          <w:sz w:val="21"/>
        </w:rPr>
        <w:t>人员交流资助计划</w:t>
      </w:r>
      <w:r>
        <w:rPr>
          <w:rFonts w:ascii="宋体" w:hAnsi="宋体" w:cs="宋体" w:eastAsia="宋体" w:hint="ascii"/>
          <w:sz w:val="21"/>
        </w:rPr>
        <mc:AlternateContent>
          <mc:Choice Requires="wps">
            <w:drawing>
              <wp:anchor distL="0" distR="0" distT="0" distB="0" simplePos="0" behindDoc="1" relativeHeight="258" locked="0" layoutInCell="1" allowOverlap="1">
                <wp:simplePos x="0" y="0"/>
                <wp:positionH relativeFrom="page">
                  <wp:posOffset>938530</wp:posOffset>
                </wp:positionH>
                <wp:positionV relativeFrom="page">
                  <wp:posOffset>819150</wp:posOffset>
                </wp:positionV>
                <wp:extent cx="5076190" cy="0"/>
                <wp:wrapNone/>
                <wp:docPr id="1287" name="128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94048;width:399.70pt;" id="128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各类基金项目</w:t>
      </w:r>
      <w:r>
        <w:rPr>
          <w:rFonts w:ascii="宋体" w:hAnsi="宋体" w:cs="宋体" w:eastAsia="宋体" w:hint="ascii"/>
          <w:sz w:val="21"/>
        </w:rPr>
        <w:t>在研承担者或刚结题的承担者可以申请人员交流资助计划。具体申请规则将在近期网上公布。</w:t>
      </w:r>
    </w:p>
    <w:p>
      <w:pPr>
        <w:autoSpaceDE w:val="0"/>
        <w:autoSpaceDN w:val="0"/>
        <w:jc w:val="left"/>
        <w:spacing w:before="425" w:after="0" w:lineRule="exact" w:line="363"/>
        <w:ind w:right="0" w:left="3216" w:firstLine="0"/>
        <w:snapToGrid w:val="0"/>
        <w:textAlignment w:val="auto"/>
        <w:tabs/>
        <w:rPr>
          <w:rFonts w:ascii="宋体" w:hAnsi="宋体" w:cs="宋体" w:eastAsia="宋体" w:hint="ascii"/>
          <w:sz w:val="29"/>
        </w:rPr>
      </w:pPr>
      <w:r>
        <w:rPr>
          <w:rFonts w:ascii="宋体" w:hAnsi="宋体" w:cs="宋体" w:eastAsia="宋体" w:hint="ascii"/>
          <w:sz w:val="29"/>
        </w:rPr>
        <w:t>外国青年学者研究基金项目</w:t>
      </w:r>
    </w:p>
    <w:p>
      <w:pPr>
        <w:autoSpaceDE w:val="0"/>
        <w:autoSpaceDN w:val="0"/>
        <w:jc w:val="left"/>
        <w:spacing w:before="3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外国青年学者研究基金项目支持外国青年学者在科学基金资助范围内自主选题，在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中国内地开</w:t>
      </w:r>
      <w:r>
        <w:rPr>
          <w:rFonts w:ascii="宋体" w:hAnsi="宋体" w:cs="宋体" w:eastAsia="宋体" w:hint="ascii"/>
          <w:sz w:val="21"/>
        </w:rPr>
        <w:t>展基础研究工作，旨在促进外国青年学者与中国学者之间开展长期、稳定的学术合作与交流。</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项目负责人可以根据研究工作的需要提出一次延续资助的申请。</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申请人应当具备以下条件：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）申请当</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日未</w:t>
      </w:r>
      <w:r>
        <w:rPr>
          <w:rFonts w:ascii="宋体" w:hAnsi="宋体" w:cs="宋体" w:eastAsia="宋体" w:hint="ascii"/>
          <w:sz w:val="21"/>
          <w:spacing w:val="26"/>
        </w:rPr>
        <w:t>满</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52"/>
        </w:rPr>
        <w:t>0</w:t>
      </w:r>
      <w:r>
        <w:rPr>
          <w:rFonts w:ascii="宋体" w:hAnsi="宋体" w:cs="宋体" w:eastAsia="宋体" w:hint="ascii"/>
          <w:sz w:val="21"/>
        </w:rPr>
        <w:t>周岁</w:t>
      </w:r>
      <w:r>
        <w:rPr>
          <w:rFonts w:ascii="Times New Roman" w:hAnsi="Times New Roman" w:cs="Times New Roman" w:eastAsia="Times New Roman" w:hint="ascii"/>
          <w:sz w:val="21"/>
        </w:rPr>
        <w:t>[197</w:t>
      </w:r>
      <w:r>
        <w:rPr>
          <w:rFonts w:ascii="Times New Roman" w:hAnsi="Times New Roman" w:cs="Times New Roman" w:eastAsia="Times New Roman" w:hint="ascii"/>
          <w:sz w:val="21"/>
          <w:spacing w:val="52"/>
        </w:rPr>
        <w:t>8</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日（含）以后出生</w:t>
      </w:r>
      <w:r>
        <w:rPr>
          <w:rFonts w:ascii="Times New Roman" w:hAnsi="Times New Roman" w:cs="Times New Roman" w:eastAsia="Times New Roman" w:hint="ascii"/>
          <w:sz w:val="21"/>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）具有博士学位；</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）具有从事基础研究或者博士后研究工作经历；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）保证资助期内在依托单位开展研究工作；</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）确保在中国工作期间遵守中国法律法规及科学基金的各项管理规定。</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依托单位应当具备以下条件：</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）依托单</w:t>
      </w:r>
      <w:r>
        <w:rPr>
          <w:rFonts w:ascii="宋体" w:hAnsi="宋体" w:cs="宋体" w:eastAsia="宋体" w:hint="ascii"/>
          <w:sz w:val="21"/>
        </w:rPr>
        <w:t>位应当指定联系人，负责向申请人提供政策咨询，协助项目资金使用等方面的管理工作。</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）依托单位应当与申请人签订协议书。协议书应当包括以下内容：①研究的课题</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名称以及预期</w:t>
      </w:r>
      <w:r>
        <w:rPr>
          <w:rFonts w:ascii="宋体" w:hAnsi="宋体" w:cs="宋体" w:eastAsia="宋体" w:hint="ascii"/>
          <w:sz w:val="21"/>
        </w:rPr>
        <w:t>目标；②依托单位提供申请人项目实施期间的生活待遇以及所必需的工作</w:t>
      </w:r>
      <w:r>
        <w:rPr>
          <w:rFonts w:ascii="宋体" w:hAnsi="宋体" w:cs="宋体" w:eastAsia="宋体" w:hint="ascii"/>
          <w:sz w:val="21"/>
          <w:spacing w:val="-1"/>
        </w:rPr>
        <w:t>条件；③知识</w:t>
      </w:r>
      <w:r>
        <w:rPr>
          <w:rFonts w:ascii="宋体" w:hAnsi="宋体" w:cs="宋体" w:eastAsia="宋体" w:hint="ascii"/>
          <w:sz w:val="21"/>
        </w:rPr>
        <w:t>产权归属的约定；④明确申请人在依托单位的工作时间，并保证在项目资助期内在依托单位工作。</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获得资助的项</w:t>
      </w:r>
      <w:r>
        <w:rPr>
          <w:rFonts w:ascii="宋体" w:hAnsi="宋体" w:cs="宋体" w:eastAsia="宋体" w:hint="ascii"/>
          <w:sz w:val="21"/>
        </w:rPr>
        <w:t>目，在资助期内取得良好工作进展且有继续开展研究工作需求的，可以申请延续资助。</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2"/>
        </w:rPr>
        <w:t>7</w:t>
      </w:r>
      <w:r>
        <w:rPr>
          <w:rFonts w:ascii="宋体" w:hAnsi="宋体" w:cs="宋体" w:eastAsia="宋体" w:hint="ascii"/>
          <w:sz w:val="21"/>
        </w:rPr>
        <w:t>年度，共资助外国青年学</w:t>
      </w:r>
      <w:r>
        <w:rPr>
          <w:rFonts w:ascii="宋体" w:hAnsi="宋体" w:cs="宋体" w:eastAsia="宋体" w:hint="ascii"/>
          <w:sz w:val="21"/>
          <w:spacing w:val="26"/>
        </w:rPr>
        <w:t>者</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52"/>
        </w:rPr>
        <w:t>5</w:t>
      </w:r>
      <w:r>
        <w:rPr>
          <w:rFonts w:ascii="宋体" w:hAnsi="宋体" w:cs="宋体" w:eastAsia="宋体" w:hint="ascii"/>
          <w:sz w:val="21"/>
        </w:rPr>
        <w:t>位，资助直接费</w:t>
      </w:r>
      <w:r>
        <w:rPr>
          <w:rFonts w:ascii="宋体" w:hAnsi="宋体" w:cs="宋体" w:eastAsia="宋体" w:hint="ascii"/>
          <w:sz w:val="21"/>
          <w:spacing w:val="26"/>
        </w:rPr>
        <w:t>用</w:t>
      </w:r>
      <w:r>
        <w:rPr>
          <w:rFonts w:ascii="Times New Roman" w:hAnsi="Times New Roman" w:cs="Times New Roman" w:eastAsia="Times New Roman" w:hint="ascii"/>
          <w:sz w:val="21"/>
        </w:rPr>
        <w:t>4 50</w:t>
      </w:r>
      <w:r>
        <w:rPr>
          <w:rFonts w:ascii="Times New Roman" w:hAnsi="Times New Roman" w:cs="Times New Roman" w:eastAsia="Times New Roman" w:hint="ascii"/>
          <w:sz w:val="21"/>
          <w:spacing w:val="52"/>
        </w:rPr>
        <w:t>0</w:t>
      </w:r>
      <w:r>
        <w:rPr>
          <w:rFonts w:ascii="宋体" w:hAnsi="宋体" w:cs="宋体" w:eastAsia="宋体" w:hint="ascii"/>
          <w:sz w:val="21"/>
        </w:rPr>
        <w:t>万元，其</w:t>
      </w:r>
      <w:r>
        <w:rPr>
          <w:rFonts w:ascii="宋体" w:hAnsi="宋体" w:cs="宋体" w:eastAsia="宋体" w:hint="ascii"/>
          <w:sz w:val="21"/>
          <w:spacing w:val="26"/>
        </w:rPr>
        <w:t>中</w:t>
      </w:r>
      <w:r>
        <w:rPr>
          <w:rFonts w:ascii="Times New Roman" w:hAnsi="Times New Roman" w:cs="Times New Roman" w:eastAsia="Times New Roman" w:hint="ascii"/>
          <w:sz w:val="21"/>
          <w:spacing w:val="52"/>
        </w:rPr>
        <w:t>9</w:t>
      </w:r>
      <w:r>
        <w:rPr>
          <w:rFonts w:ascii="宋体" w:hAnsi="宋体" w:cs="宋体" w:eastAsia="宋体" w:hint="ascii"/>
          <w:sz w:val="21"/>
        </w:rPr>
        <w:t>位外国</w:t>
      </w:r>
    </w:p>
    <w:p>
      <w:pPr>
        <w:autoSpaceDE w:val="0"/>
        <w:autoSpaceDN w:val="0"/>
        <w:jc w:val="both"/>
        <w:spacing w:before="17"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青年学者获得延续资助。</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1"/>
        </w:rPr>
        <w:t xml:space="preserve"> </w:t>
      </w:r>
      <w:r>
        <w:rPr>
          <w:rFonts w:ascii="宋体" w:hAnsi="宋体" w:cs="宋体" w:eastAsia="宋体" w:hint="ascii"/>
          <w:sz w:val="21"/>
        </w:rPr>
        <w:t>年度拟资助</w:t>
      </w:r>
      <w:r>
        <w:rPr>
          <w:rFonts w:ascii="宋体" w:hAnsi="宋体" w:cs="宋体" w:eastAsia="宋体" w:hint="ascii"/>
          <w:sz w:val="21"/>
          <w:spacing w:val="-21"/>
        </w:rPr>
        <w:t xml:space="preserve"> </w:t>
      </w:r>
      <w:r>
        <w:rPr>
          <w:rFonts w:ascii="Times New Roman" w:hAnsi="Times New Roman" w:cs="Times New Roman" w:eastAsia="Times New Roman" w:hint="ascii"/>
          <w:sz w:val="21"/>
        </w:rPr>
        <w:t>150</w:t>
      </w:r>
      <w:r>
        <w:rPr>
          <w:rFonts w:ascii="Times New Roman" w:hAnsi="Times New Roman" w:cs="Times New Roman" w:eastAsia="Times New Roman" w:hint="ascii"/>
          <w:sz w:val="21"/>
          <w:spacing w:val="-21"/>
        </w:rPr>
        <w:t xml:space="preserve"> </w:t>
      </w:r>
      <w:r>
        <w:rPr>
          <w:rFonts w:ascii="宋体" w:hAnsi="宋体" w:cs="宋体" w:eastAsia="宋体" w:hint="ascii"/>
          <w:sz w:val="21"/>
        </w:rPr>
        <w:t>位、延续资助</w:t>
      </w:r>
      <w:r>
        <w:rPr>
          <w:rFonts w:ascii="宋体" w:hAnsi="宋体" w:cs="宋体" w:eastAsia="宋体" w:hint="ascii"/>
          <w:sz w:val="21"/>
          <w:spacing w:val="-21"/>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21"/>
        </w:rPr>
        <w:t xml:space="preserve"> </w:t>
      </w:r>
      <w:r>
        <w:rPr>
          <w:rFonts w:ascii="宋体" w:hAnsi="宋体" w:cs="宋体" w:eastAsia="宋体" w:hint="ascii"/>
          <w:sz w:val="21"/>
        </w:rPr>
        <w:t>位外国青年学者，资助直接费用</w:t>
      </w:r>
      <w:r>
        <w:rPr>
          <w:rFonts w:ascii="宋体" w:hAnsi="宋体" w:cs="宋体" w:eastAsia="宋体" w:hint="ascii"/>
          <w:sz w:val="21"/>
          <w:spacing w:val="26"/>
        </w:rPr>
        <w:t>约</w:t>
      </w:r>
      <w:r>
        <w:rPr>
          <w:rFonts w:ascii="Times New Roman" w:hAnsi="Times New Roman" w:cs="Times New Roman" w:eastAsia="Times New Roman" w:hint="ascii"/>
          <w:sz w:val="21"/>
        </w:rPr>
        <w:t>4 50</w:t>
      </w:r>
      <w:r>
        <w:rPr>
          <w:rFonts w:ascii="Times New Roman" w:hAnsi="Times New Roman" w:cs="Times New Roman" w:eastAsia="Times New Roman" w:hint="ascii"/>
          <w:sz w:val="21"/>
          <w:spacing w:val="52"/>
        </w:rPr>
        <w:t>0</w:t>
      </w:r>
      <w:r>
        <w:rPr>
          <w:rFonts w:ascii="宋体" w:hAnsi="宋体" w:cs="宋体" w:eastAsia="宋体" w:hint="ascii"/>
          <w:sz w:val="21"/>
        </w:rPr>
        <w:t>万元。</w:t>
      </w:r>
    </w:p>
    <w:p>
      <w:pPr>
        <w:autoSpaceDE w:val="0"/>
        <w:autoSpaceDN w:val="0"/>
        <w:jc w:val="both"/>
        <w:spacing w:before="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资助期限：</w:t>
      </w:r>
      <w:r>
        <w:rPr>
          <w:rFonts w:ascii="宋体" w:hAnsi="宋体" w:cs="宋体" w:eastAsia="宋体" w:hint="ascii"/>
          <w:sz w:val="21"/>
        </w:rPr>
        <w:t>分为两类，一年期或两年期，资助直接费用分别为一年</w:t>
      </w:r>
      <w:r>
        <w:rPr>
          <w:rFonts w:ascii="宋体" w:hAnsi="宋体" w:cs="宋体" w:eastAsia="宋体" w:hint="ascii"/>
          <w:sz w:val="21"/>
          <w:spacing w:val="-14"/>
        </w:rPr>
        <w:t xml:space="preserve"> </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14"/>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项和两</w:t>
      </w:r>
      <w:r>
        <w:rPr>
          <w:rFonts w:ascii="宋体" w:hAnsi="宋体" w:cs="宋体" w:eastAsia="宋体" w:hint="ascii"/>
          <w:sz w:val="21"/>
          <w:spacing w:val="26"/>
        </w:rPr>
        <w:t>年</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申报程序：</w:t>
      </w:r>
    </w:p>
    <w:p>
      <w:pPr>
        <w:autoSpaceDE w:val="0"/>
        <w:autoSpaceDN w:val="0"/>
        <w:jc w:val="both"/>
        <w:spacing w:before="1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申请人登录科</w:t>
      </w:r>
      <w:r>
        <w:rPr>
          <w:rFonts w:ascii="宋体" w:hAnsi="宋体" w:cs="宋体" w:eastAsia="宋体" w:hint="ascii"/>
          <w:sz w:val="21"/>
        </w:rPr>
        <w:t>学基金网络信息系统在线填报申请书，同时在线提交以下附件材料电子版：</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）申请人与依托单位签订的协议；</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）不超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5</w:t>
      </w:r>
      <w:r>
        <w:rPr>
          <w:rFonts w:ascii="宋体" w:hAnsi="宋体" w:cs="宋体" w:eastAsia="宋体" w:hint="ascii"/>
          <w:sz w:val="21"/>
        </w:rPr>
        <w:t>篇代表性论文的首页。</w:t>
      </w:r>
    </w:p>
    <w:p>
      <w:pPr>
        <w:autoSpaceDE w:val="0"/>
        <w:autoSpaceDN w:val="0"/>
        <w:jc w:val="both"/>
        <w:spacing w:before="1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 xml:space="preserve">关于 </w:t>
      </w:r>
      <w:r>
        <w:rPr>
          <w:rFonts w:ascii="Times New Roman" w:hAnsi="Times New Roman" w:cs="Times New Roman" w:eastAsia="Times New Roman" w:hint="ascii"/>
          <w:sz w:val="21"/>
          <w:spacing w:val="-1"/>
        </w:rPr>
        <w:t xml:space="preserve">2018 </w:t>
      </w:r>
      <w:r>
        <w:rPr>
          <w:rFonts w:ascii="宋体" w:hAnsi="宋体" w:cs="宋体" w:eastAsia="宋体" w:hint="ascii"/>
          <w:sz w:val="21"/>
        </w:rPr>
        <w:t>年度项目的申请及延续申请等具体事项和申报要求，请参阅自然科学基金委网站中的“外国青年学者研究基金专版</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网址：</w:t>
      </w:r>
      <w:r>
        <w:rPr>
          <w:rFonts w:ascii="Times New Roman" w:hAnsi="Times New Roman" w:cs="Times New Roman" w:eastAsia="Times New Roman" w:hint="ascii"/>
          <w:sz w:val="21"/>
        </w:rPr>
        <w:t>http://ww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.cn/nsfc/cen/gjhz/jjzb/index.html</w:t>
      </w:r>
    </w:p>
    <w:p>
      <w:pPr>
        <w:autoSpaceDE w:val="0"/>
        <w:autoSpaceDN w:val="0"/>
        <w:jc w:val="left"/>
        <w:spacing w:before="443"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3396" w:firstLine="0"/>
        <w:snapToGrid w:val="0"/>
        <w:textAlignment w:val="auto"/>
        <w:tabs/>
        <w:rPr>
          <w:rFonts w:ascii="宋体" w:hAnsi="宋体" w:cs="宋体" w:eastAsia="宋体" w:hint="ascii"/>
          <w:sz w:val="52"/>
        </w:rPr>
      </w:pPr>
      <w:r>
        <w:rPr>
          <w:rFonts w:ascii="宋体" w:hAnsi="宋体" w:cs="宋体" w:eastAsia="宋体" w:hint="ascii"/>
          <w:sz w:val="52"/>
        </w:rPr>
        <w:t>联合基金项目</w:t>
      </w:r>
      <w:r>
        <w:rPr>
          <w:rFonts w:ascii="宋体" w:hAnsi="宋体" w:cs="宋体" w:eastAsia="宋体" w:hint="ascii"/>
          <w:sz w:val="52"/>
        </w:rPr>
        <mc:AlternateContent>
          <mc:Choice Requires="wps">
            <w:drawing>
              <wp:anchor distL="0" distR="0" distT="0" distB="0" simplePos="0" behindDoc="1" relativeHeight="259" locked="0" layoutInCell="1" allowOverlap="1">
                <wp:simplePos x="0" y="0"/>
                <wp:positionH relativeFrom="page">
                  <wp:posOffset>938530</wp:posOffset>
                </wp:positionH>
                <wp:positionV relativeFrom="page">
                  <wp:posOffset>805815</wp:posOffset>
                </wp:positionV>
                <wp:extent cx="5076190" cy="0"/>
                <wp:wrapNone/>
                <wp:docPr id="1288" name="128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93024;width:399.70pt;" id="1288"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260" locked="0" layoutInCell="1" allowOverlap="1">
                <wp:simplePos x="0" y="0"/>
                <wp:positionH relativeFrom="page">
                  <wp:posOffset>236220</wp:posOffset>
                </wp:positionH>
                <wp:positionV relativeFrom="page">
                  <wp:posOffset>251460</wp:posOffset>
                </wp:positionV>
                <wp:extent cx="6484620" cy="624840"/>
                <wp:wrapNone/>
                <wp:docPr id="1289" name="1289"/>
                <wp:cNvGraphicFramePr/>
                <a:graphic>
                  <a:graphicData uri="http://schemas.microsoft.com/office/word/2010/wordprocessingShape">
                    <wps:wsp>
                      <wps:cNvSpPr/>
                      <wps:spPr>
                        <a:xfrm>
                          <a:off x="0" y="0"/>
                          <a:ext cx="6484620" cy="62484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60pt;mso-position-vertical:absolute;mso-position-vertical-relative:page;margin-top:19.80pt;z-index:-251392000;width:510.60pt;height:49.20pt;" id="1289" coordsize="10212,984" stroked="f" fillcolor="#ffffff" opacity="0f">
                <v:stroke endcap="round"/>
                <v:fill opacity="0f"/>
                <w10:wrap anchorx="page" anchory="page" side="both"/>
              </v:rect>
            </w:pict>
          </mc:Fallback>
        </mc:AlternateContent>
      </w:r>
    </w:p>
    <w:p>
      <w:pPr>
        <w:autoSpaceDE w:val="0"/>
        <w:autoSpaceDN w:val="0"/>
        <w:jc w:val="both"/>
        <w:spacing w:before="398" w:after="0" w:lineRule="exact" w:line="371"/>
        <w:ind w:right="974" w:left="966" w:firstLine="480"/>
        <w:snapToGrid w:val="0"/>
        <w:textAlignment w:val="auto"/>
        <w:tabs/>
        <w:rPr>
          <w:rFonts w:ascii="宋体" w:hAnsi="宋体" w:cs="宋体" w:eastAsia="宋体" w:hint="ascii"/>
        </w:rPr>
      </w:pPr>
      <w:r>
        <w:rPr>
          <w:rFonts w:ascii="宋体" w:hAnsi="宋体" w:cs="宋体" w:eastAsia="宋体" w:hint="ascii"/>
        </w:rPr>
        <w:t>自然科学基金委与有关部门、地方政府和企业共同投入经费设立联合基金，在商定的科学与技术领域内共同支持基础研究。</w:t>
      </w:r>
    </w:p>
    <w:p>
      <w:pPr>
        <w:autoSpaceDE w:val="0"/>
        <w:autoSpaceDN w:val="0"/>
        <w:jc w:val="left"/>
        <w:spacing w:before="5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联合基金旨在发挥科学基金的导向作用，引导与整合社会资源投入基础</w:t>
      </w:r>
    </w:p>
    <w:p>
      <w:pPr>
        <w:autoSpaceDE w:val="0"/>
        <w:autoSpaceDN w:val="0"/>
        <w:jc w:val="both"/>
        <w:spacing w:before="13" w:after="0" w:lineRule="exact" w:line="371"/>
        <w:ind w:right="974" w:left="966" w:firstLine="0"/>
        <w:snapToGrid w:val="0"/>
        <w:textAlignment w:val="auto"/>
        <w:tabs/>
        <w:rPr>
          <w:rFonts w:ascii="宋体" w:hAnsi="宋体" w:cs="宋体" w:eastAsia="宋体" w:hint="ascii"/>
        </w:rPr>
      </w:pPr>
      <w:r>
        <w:rPr>
          <w:rFonts w:ascii="宋体" w:hAnsi="宋体" w:cs="宋体" w:eastAsia="宋体" w:hint="ascii"/>
        </w:rPr>
        <w:t>研究，促进有关部门、企业、地区与高等学校和科学研究机构的合作，培养科学与技术人才，推动我国相关领域、行业、区域自主创新能力的提升。</w:t>
      </w:r>
    </w:p>
    <w:p>
      <w:pPr>
        <w:autoSpaceDE w:val="0"/>
        <w:autoSpaceDN w:val="0"/>
        <w:jc w:val="both"/>
        <w:spacing w:before="0" w:after="0" w:lineRule="exact" w:line="370"/>
        <w:ind w:right="974" w:left="846" w:firstLine="600"/>
        <w:snapToGrid w:val="0"/>
        <w:textAlignment w:val="auto"/>
        <w:tabs/>
        <w:rPr>
          <w:rFonts w:ascii="宋体" w:hAnsi="宋体" w:cs="宋体" w:eastAsia="宋体" w:hint="ascii"/>
        </w:rPr>
      </w:pPr>
      <w:r>
        <w:rPr>
          <w:rFonts w:ascii="宋体" w:hAnsi="宋体" w:cs="宋体" w:eastAsia="宋体" w:hint="ascii"/>
          <w:spacing w:val="-2"/>
        </w:rPr>
        <w:t>联合基</w:t>
      </w:r>
      <w:r>
        <w:rPr>
          <w:rFonts w:ascii="宋体" w:hAnsi="宋体" w:cs="宋体" w:eastAsia="宋体" w:hint="ascii"/>
          <w:spacing w:val="-1"/>
        </w:rPr>
        <w:t>金是自然科学基金的组成部分，有关项目申请、评审和管理按照</w:t>
      </w:r>
      <w:r>
        <w:rPr>
          <w:rFonts w:ascii="宋体" w:hAnsi="宋体" w:cs="宋体" w:eastAsia="宋体" w:hint="ascii"/>
        </w:rPr>
        <w:t xml:space="preserve"> </w:t>
      </w:r>
      <w:r>
        <w:rPr>
          <w:rFonts w:ascii="宋体" w:hAnsi="宋体" w:cs="宋体" w:eastAsia="宋体" w:hint="ascii"/>
          <w:spacing w:val="2"/>
        </w:rPr>
        <w:t>《条例</w:t>
      </w:r>
      <w:r>
        <w:rPr>
          <w:rFonts w:ascii="宋体" w:hAnsi="宋体" w:cs="宋体" w:eastAsia="宋体" w:hint="ascii"/>
          <w:spacing w:val="-58"/>
        </w:rPr>
        <w:t>》</w:t>
      </w:r>
      <w:r>
        <w:rPr>
          <w:rFonts w:ascii="宋体" w:hAnsi="宋体" w:cs="宋体" w:eastAsia="宋体" w:hint="ascii"/>
          <w:spacing w:val="-59"/>
        </w:rPr>
        <w:t>、</w:t>
      </w:r>
      <w:r>
        <w:rPr>
          <w:rFonts w:ascii="宋体" w:hAnsi="宋体" w:cs="宋体" w:eastAsia="宋体" w:hint="ascii"/>
          <w:spacing w:val="2"/>
        </w:rPr>
        <w:t>《国家自</w:t>
      </w:r>
      <w:r>
        <w:rPr>
          <w:rFonts w:ascii="宋体" w:hAnsi="宋体" w:cs="宋体" w:eastAsia="宋体" w:hint="ascii"/>
          <w:spacing w:val="3"/>
        </w:rPr>
        <w:t>然科学基金资助项目</w:t>
      </w:r>
      <w:r>
        <w:rPr>
          <w:rFonts w:ascii="宋体" w:hAnsi="宋体" w:cs="宋体" w:eastAsia="宋体" w:hint="ascii"/>
        </w:rPr>
        <w:t>资</w:t>
      </w:r>
      <w:r>
        <w:rPr>
          <w:rFonts w:ascii="宋体" w:hAnsi="宋体" w:cs="宋体" w:eastAsia="宋体" w:hint="ascii"/>
          <w:spacing w:val="3"/>
        </w:rPr>
        <w:t>金管理办法》及《国家自然科学</w:t>
      </w:r>
      <w:r>
        <w:rPr>
          <w:rFonts w:ascii="宋体" w:hAnsi="宋体" w:cs="宋体" w:eastAsia="宋体" w:hint="ascii"/>
        </w:rPr>
        <w:t>基</w:t>
      </w:r>
    </w:p>
    <w:p>
      <w:pPr>
        <w:autoSpaceDE w:val="0"/>
        <w:autoSpaceDN w:val="0"/>
        <w:jc w:val="left"/>
        <w:spacing w:before="57"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金联合基金项目管理办法》等相关管理办法执行。</w:t>
      </w:r>
    </w:p>
    <w:p>
      <w:pPr>
        <w:autoSpaceDE w:val="0"/>
        <w:autoSpaceDN w:val="0"/>
        <w:jc w:val="left"/>
        <w:spacing w:before="70"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本《指南》发布的联合基金包</w:t>
      </w:r>
      <w:r>
        <w:rPr>
          <w:rFonts w:ascii="宋体" w:hAnsi="宋体" w:cs="宋体" w:eastAsia="宋体" w:hint="ascii"/>
          <w:spacing w:val="31"/>
        </w:rPr>
        <w:t>括</w:t>
      </w:r>
      <w:r>
        <w:rPr>
          <w:rFonts w:ascii="Times New Roman" w:hAnsi="Times New Roman" w:cs="Times New Roman" w:eastAsia="Times New Roman" w:hint="ascii"/>
        </w:rPr>
        <w:t>NSAF</w:t>
      </w:r>
      <w:r>
        <w:rPr>
          <w:rFonts w:ascii="Times New Roman" w:hAnsi="Times New Roman" w:cs="Times New Roman" w:eastAsia="Times New Roman" w:hint="ascii"/>
          <w:spacing w:val="-29"/>
        </w:rPr>
        <w:t xml:space="preserve"> </w:t>
      </w:r>
      <w:r>
        <w:rPr>
          <w:rFonts w:ascii="宋体" w:hAnsi="宋体" w:cs="宋体" w:eastAsia="宋体" w:hint="ascii"/>
        </w:rPr>
        <w:t>联合基金、天文联合基金、大科</w:t>
      </w:r>
    </w:p>
    <w:p>
      <w:pPr>
        <w:autoSpaceDE w:val="0"/>
        <w:autoSpaceDN w:val="0"/>
        <w:jc w:val="both"/>
        <w:spacing w:before="13" w:after="0" w:lineRule="exact" w:line="371"/>
        <w:ind w:right="974" w:left="966" w:firstLine="0"/>
        <w:snapToGrid w:val="0"/>
        <w:textAlignment w:val="auto"/>
        <w:tabs/>
        <w:rPr>
          <w:rFonts w:ascii="宋体" w:hAnsi="宋体" w:cs="宋体" w:eastAsia="宋体" w:hint="ascii"/>
          <w:b w:val="1"/>
        </w:rPr>
      </w:pPr>
      <w:r>
        <w:rPr>
          <w:rFonts w:ascii="宋体" w:hAnsi="宋体" w:cs="宋体" w:eastAsia="宋体" w:hint="ascii"/>
          <w:spacing w:val="-2"/>
        </w:rPr>
        <w:t>学</w:t>
      </w:r>
      <w:r>
        <w:rPr>
          <w:rFonts w:ascii="宋体" w:hAnsi="宋体" w:cs="宋体" w:eastAsia="宋体" w:hint="ascii"/>
          <w:spacing w:val="-1"/>
        </w:rPr>
        <w:t>装置科学研究联合基金、钢铁联合研究基金、民航联合研究基金、</w:t>
      </w:r>
      <w:r>
        <w:rPr>
          <w:rFonts w:ascii="Times New Roman" w:hAnsi="Times New Roman" w:cs="Times New Roman" w:eastAsia="Times New Roman" w:hint="ascii"/>
          <w:spacing w:val="-1"/>
        </w:rPr>
        <w:t>NSFC</w:t>
      </w:r>
      <w:r>
        <w:rPr>
          <w:rFonts w:ascii="宋体" w:hAnsi="宋体" w:cs="宋体" w:eastAsia="宋体" w:hint="ascii"/>
          <w:spacing w:val="-1"/>
        </w:rPr>
        <w:t>-</w:t>
      </w:r>
      <w:r>
        <w:rPr>
          <w:rFonts w:ascii="宋体" w:hAnsi="宋体" w:cs="宋体" w:eastAsia="宋体" w:hint="ascii"/>
        </w:rPr>
        <w:t xml:space="preserve"> </w:t>
      </w:r>
      <w:r>
        <w:rPr>
          <w:rFonts w:ascii="宋体" w:hAnsi="宋体" w:cs="宋体" w:eastAsia="宋体" w:hint="ascii"/>
        </w:rPr>
        <w:t>通用技术基础研究联合基金、中国汽车产业创新发展联合基金、雅砻江联合基金、智能电网联合基金、</w:t>
      </w:r>
      <w:r>
        <w:rPr>
          <w:rFonts w:ascii="Times New Roman" w:hAnsi="Times New Roman" w:cs="Times New Roman" w:eastAsia="Times New Roman" w:hint="ascii"/>
        </w:rPr>
        <w:t>NSFC</w:t>
      </w:r>
      <w:r>
        <w:rPr>
          <w:rFonts w:ascii="宋体" w:hAnsi="宋体" w:cs="宋体" w:eastAsia="宋体" w:hint="ascii"/>
          <w:spacing w:val="11"/>
        </w:rPr>
        <w:t>-</w:t>
      </w:r>
      <w:r>
        <w:rPr>
          <w:rFonts w:ascii="宋体" w:hAnsi="宋体" w:cs="宋体" w:eastAsia="宋体" w:hint="ascii"/>
        </w:rPr>
        <w:t>广东联合基金、</w:t>
      </w:r>
      <w:r>
        <w:rPr>
          <w:rFonts w:ascii="Times New Roman" w:hAnsi="Times New Roman" w:cs="Times New Roman" w:eastAsia="Times New Roman" w:hint="ascii"/>
        </w:rPr>
        <w:t>NSFC</w:t>
      </w:r>
      <w:r>
        <w:rPr>
          <w:rFonts w:ascii="宋体" w:hAnsi="宋体" w:cs="宋体" w:eastAsia="宋体" w:hint="ascii"/>
          <w:spacing w:val="12"/>
        </w:rPr>
        <w:t>-</w:t>
      </w:r>
      <w:r>
        <w:rPr>
          <w:rFonts w:ascii="宋体" w:hAnsi="宋体" w:cs="宋体" w:eastAsia="宋体" w:hint="ascii"/>
        </w:rPr>
        <w:t>云南联合基金</w:t>
      </w:r>
      <w:r>
        <w:rPr>
          <w:rFonts w:ascii="宋体" w:hAnsi="宋体" w:cs="宋体" w:eastAsia="宋体" w:hint="ascii"/>
          <w:spacing w:val="-10"/>
        </w:rPr>
        <w:t>、</w:t>
      </w:r>
      <w:r>
        <w:rPr>
          <w:rFonts w:ascii="Times New Roman" w:hAnsi="Times New Roman" w:cs="Times New Roman" w:eastAsia="Times New Roman" w:hint="ascii"/>
        </w:rPr>
        <w:t>NSFC</w:t>
      </w:r>
      <w:r>
        <w:rPr>
          <w:rFonts w:ascii="宋体" w:hAnsi="宋体" w:cs="宋体" w:eastAsia="宋体" w:hint="ascii"/>
        </w:rPr>
        <w:t>-</w:t>
      </w:r>
      <w:r>
        <w:rPr>
          <w:rFonts w:ascii="宋体" w:hAnsi="宋体" w:cs="宋体" w:eastAsia="宋体" w:hint="ascii"/>
        </w:rPr>
        <w:t>新疆联合基金、</w:t>
      </w:r>
      <w:r>
        <w:rPr>
          <w:rFonts w:ascii="Times New Roman" w:hAnsi="Times New Roman" w:cs="Times New Roman" w:eastAsia="Times New Roman" w:hint="ascii"/>
        </w:rPr>
        <w:t>NSFC</w:t>
      </w:r>
      <w:r>
        <w:rPr>
          <w:rFonts w:ascii="宋体" w:hAnsi="宋体" w:cs="宋体" w:eastAsia="宋体" w:hint="ascii"/>
        </w:rPr>
        <w:t>-</w:t>
      </w:r>
      <w:r>
        <w:rPr>
          <w:rFonts w:ascii="宋体" w:hAnsi="宋体" w:cs="宋体" w:eastAsia="宋体" w:hint="ascii"/>
        </w:rPr>
        <w:t>河南联合基金、促进海峡两岸科技合作联合基金、</w:t>
      </w:r>
      <w:r>
        <w:rPr>
          <w:rFonts w:ascii="Times New Roman" w:hAnsi="Times New Roman" w:cs="Times New Roman" w:eastAsia="Times New Roman" w:hint="ascii"/>
        </w:rPr>
        <w:t>NSFC</w:t>
      </w:r>
      <w:r>
        <w:rPr>
          <w:rFonts w:ascii="宋体" w:hAnsi="宋体" w:cs="宋体" w:eastAsia="宋体" w:hint="ascii"/>
        </w:rPr>
        <w:t>-山东联合基金、</w:t>
      </w:r>
      <w:r>
        <w:rPr>
          <w:rFonts w:ascii="Times New Roman" w:hAnsi="Times New Roman" w:cs="Times New Roman" w:eastAsia="Times New Roman" w:hint="ascii"/>
        </w:rPr>
        <w:t>NSFC</w:t>
      </w:r>
      <w:r>
        <w:rPr>
          <w:rFonts w:ascii="宋体" w:hAnsi="宋体" w:cs="宋体" w:eastAsia="宋体" w:hint="ascii"/>
        </w:rPr>
        <w:t>-</w:t>
      </w:r>
      <w:r>
        <w:rPr>
          <w:rFonts w:ascii="宋体" w:hAnsi="宋体" w:cs="宋体" w:eastAsia="宋体" w:hint="ascii"/>
        </w:rPr>
        <w:t>辽宁联合基金、</w:t>
      </w:r>
      <w:r>
        <w:rPr>
          <w:rFonts w:ascii="Times New Roman" w:hAnsi="Times New Roman" w:cs="Times New Roman" w:eastAsia="Times New Roman" w:hint="ascii"/>
        </w:rPr>
        <w:t>NSFC</w:t>
      </w:r>
      <w:r>
        <w:rPr>
          <w:rFonts w:ascii="宋体" w:hAnsi="宋体" w:cs="宋体" w:eastAsia="宋体" w:hint="ascii"/>
        </w:rPr>
        <w:t>-</w:t>
      </w:r>
      <w:r>
        <w:rPr>
          <w:rFonts w:ascii="宋体" w:hAnsi="宋体" w:cs="宋体" w:eastAsia="宋体" w:hint="ascii"/>
        </w:rPr>
        <w:t>浙江两化融合联合基金、</w:t>
      </w:r>
      <w:r>
        <w:rPr>
          <w:rFonts w:ascii="Times New Roman" w:hAnsi="Times New Roman" w:cs="Times New Roman" w:eastAsia="Times New Roman" w:hint="ascii"/>
        </w:rPr>
        <w:t>NSFC</w:t>
      </w:r>
      <w:r>
        <w:rPr>
          <w:rFonts w:ascii="宋体" w:hAnsi="宋体" w:cs="宋体" w:eastAsia="宋体" w:hint="ascii"/>
          <w:spacing w:val="11"/>
        </w:rPr>
        <w:t>-</w:t>
      </w:r>
      <w:r>
        <w:rPr>
          <w:rFonts w:ascii="宋体" w:hAnsi="宋体" w:cs="宋体" w:eastAsia="宋体" w:hint="ascii"/>
        </w:rPr>
        <w:t>山西煤基低碳联合基金、</w:t>
      </w:r>
      <w:r>
        <w:rPr>
          <w:rFonts w:ascii="Times New Roman" w:hAnsi="Times New Roman" w:cs="Times New Roman" w:eastAsia="Times New Roman" w:hint="ascii"/>
        </w:rPr>
        <w:t>NSFC</w:t>
      </w:r>
      <w:r>
        <w:rPr>
          <w:rFonts w:ascii="宋体" w:hAnsi="宋体" w:cs="宋体" w:eastAsia="宋体" w:hint="ascii"/>
          <w:spacing w:val="11"/>
        </w:rPr>
        <w:t>-</w:t>
      </w:r>
      <w:r>
        <w:rPr>
          <w:rFonts w:ascii="宋体" w:hAnsi="宋体" w:cs="宋体" w:eastAsia="宋体" w:hint="ascii"/>
        </w:rPr>
        <w:t>广东大数据科学中心项目</w:t>
      </w:r>
      <w:r>
        <w:rPr>
          <w:rFonts w:ascii="宋体" w:hAnsi="宋体" w:cs="宋体" w:eastAsia="宋体" w:hint="ascii"/>
          <w:spacing w:val="-12"/>
        </w:rPr>
        <w:t>及</w:t>
      </w:r>
      <w:r>
        <w:rPr>
          <w:rFonts w:ascii="Times New Roman" w:hAnsi="Times New Roman" w:cs="Times New Roman" w:eastAsia="Times New Roman" w:hint="ascii"/>
          <w:spacing w:val="-2"/>
        </w:rPr>
        <w:t>NSF</w:t>
      </w:r>
      <w:r>
        <w:rPr>
          <w:rFonts w:ascii="Times New Roman" w:hAnsi="Times New Roman" w:cs="Times New Roman" w:eastAsia="Times New Roman" w:hint="ascii"/>
          <w:spacing w:val="-1"/>
        </w:rPr>
        <w:t>C</w:t>
      </w:r>
      <w:r>
        <w:rPr>
          <w:rFonts w:ascii="宋体" w:hAnsi="宋体" w:cs="宋体" w:eastAsia="宋体" w:hint="ascii"/>
          <w:spacing w:val="-1"/>
        </w:rPr>
        <w:t>-</w:t>
      </w:r>
      <w:r>
        <w:rPr>
          <w:rFonts w:ascii="宋体" w:hAnsi="宋体" w:cs="宋体" w:eastAsia="宋体" w:hint="ascii"/>
          <w:spacing w:val="-1"/>
        </w:rPr>
        <w:t>深圳机器人基础研究中心项目等。</w:t>
      </w:r>
      <w:r>
        <w:rPr>
          <w:rFonts w:ascii="宋体" w:hAnsi="宋体" w:cs="宋体" w:eastAsia="宋体" w:hint="ascii"/>
          <w:spacing w:val="-1"/>
        </w:rPr>
        <w:t>其他联合基金指南将陆续在自然科</w:t>
      </w:r>
      <w:r>
        <w:rPr>
          <w:rFonts w:ascii="宋体" w:hAnsi="宋体" w:cs="宋体" w:eastAsia="宋体" w:hint="ascii"/>
        </w:rPr>
        <w:t xml:space="preserve"> 学基金委网站上发布</w:t>
      </w:r>
      <w:r>
        <w:rPr>
          <w:rFonts w:ascii="宋体" w:hAnsi="宋体" w:cs="宋体" w:eastAsia="宋体" w:hint="ascii"/>
          <w:b w:val="1"/>
        </w:rPr>
        <w:t>。</w:t>
      </w:r>
    </w:p>
    <w:p>
      <w:pPr>
        <w:autoSpaceDE w:val="0"/>
        <w:autoSpaceDN w:val="0"/>
        <w:jc w:val="left"/>
        <w:spacing w:before="51"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联合基金项目申请人应当具备以下条件：</w:t>
      </w:r>
    </w:p>
    <w:p>
      <w:pPr>
        <w:autoSpaceDE w:val="0"/>
        <w:autoSpaceDN w:val="0"/>
        <w:jc w:val="left"/>
        <w:spacing w:before="70"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）具有承担基础研究课题或者其他从事基础研究的经历；</w:t>
      </w:r>
    </w:p>
    <w:p>
      <w:pPr>
        <w:autoSpaceDE w:val="0"/>
        <w:autoSpaceDN w:val="0"/>
        <w:jc w:val="left"/>
        <w:spacing w:before="71"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）具有高级专业技术职务（职称）或者具有博士学位；</w:t>
      </w:r>
    </w:p>
    <w:p>
      <w:pPr>
        <w:autoSpaceDE w:val="0"/>
        <w:autoSpaceDN w:val="0"/>
        <w:jc w:val="left"/>
        <w:spacing w:before="70"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）年度项目指南规定的其他条件。</w:t>
      </w:r>
    </w:p>
    <w:p>
      <w:pPr>
        <w:autoSpaceDE w:val="0"/>
        <w:autoSpaceDN w:val="0"/>
        <w:jc w:val="both"/>
        <w:spacing w:before="13" w:after="0" w:lineRule="exact" w:line="371"/>
        <w:ind w:right="974" w:left="966" w:firstLine="480"/>
        <w:snapToGrid w:val="0"/>
        <w:textAlignment w:val="auto"/>
        <w:tabs/>
        <w:rPr>
          <w:rFonts w:ascii="宋体" w:hAnsi="宋体" w:cs="宋体" w:eastAsia="宋体" w:hint="ascii"/>
        </w:rPr>
      </w:pPr>
      <w:r>
        <w:rPr>
          <w:rFonts w:ascii="宋体" w:hAnsi="宋体" w:cs="宋体" w:eastAsia="宋体" w:hint="ascii"/>
        </w:rPr>
        <w:t>联合基金项目取得的研究成果，应当按照年度项目指南标明联合基金名称和项目批准号。</w:t>
      </w:r>
    </w:p>
    <w:p>
      <w:pPr>
        <w:autoSpaceDE w:val="0"/>
        <w:autoSpaceDN w:val="0"/>
        <w:jc w:val="left"/>
        <w:spacing w:before="5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申请人应当按照本《指南》相关联合基金的要求和联合基金项目申请书</w:t>
      </w:r>
    </w:p>
    <w:p>
      <w:pPr>
        <w:autoSpaceDE w:val="0"/>
        <w:autoSpaceDN w:val="0"/>
        <w:jc w:val="both"/>
        <w:spacing w:before="13" w:after="0" w:lineRule="exact" w:line="371"/>
        <w:ind w:right="974" w:left="966" w:firstLine="0"/>
        <w:snapToGrid w:val="0"/>
        <w:textAlignment w:val="auto"/>
        <w:tabs/>
        <w:rPr>
          <w:rFonts w:ascii="宋体" w:hAnsi="宋体" w:cs="宋体" w:eastAsia="宋体" w:hint="ascii"/>
        </w:rPr>
      </w:pPr>
      <w:r>
        <w:rPr>
          <w:rFonts w:ascii="宋体" w:hAnsi="宋体" w:cs="宋体" w:eastAsia="宋体" w:hint="ascii"/>
        </w:rPr>
        <w:t>撰写提纲撰写申请书。申请书的资助类别选择“联合基金项目</w:t>
      </w:r>
      <w:r>
        <w:rPr>
          <w:rFonts w:ascii="宋体" w:hAnsi="宋体" w:cs="宋体" w:eastAsia="宋体" w:hint="ascii"/>
          <w:spacing w:val="-60"/>
        </w:rPr>
        <w:t>”</w:t>
      </w:r>
      <w:r>
        <w:rPr>
          <w:rFonts w:ascii="宋体" w:hAnsi="宋体" w:cs="宋体" w:eastAsia="宋体" w:hint="ascii"/>
        </w:rPr>
        <w:t>，亚类说</w:t>
      </w:r>
      <w:r>
        <w:rPr>
          <w:rFonts w:ascii="宋体" w:hAnsi="宋体" w:cs="宋体" w:eastAsia="宋体" w:hint="ascii"/>
          <w:spacing w:val="-6"/>
        </w:rPr>
        <w:t>明</w:t>
      </w:r>
      <w:r>
        <w:rPr>
          <w:rFonts w:ascii="宋体" w:hAnsi="宋体" w:cs="宋体" w:eastAsia="宋体" w:hint="ascii"/>
        </w:rPr>
        <w:t>选择“培育项目”或“重点支持项目”或“本地青年人才培养专项”或“中心项目”或“集成项目</w:t>
      </w:r>
      <w:r>
        <w:rPr>
          <w:rFonts w:ascii="宋体" w:hAnsi="宋体" w:cs="宋体" w:eastAsia="宋体" w:hint="ascii"/>
          <w:spacing w:val="-60"/>
        </w:rPr>
        <w:t>”</w:t>
      </w:r>
      <w:r>
        <w:rPr>
          <w:rFonts w:ascii="宋体" w:hAnsi="宋体" w:cs="宋体" w:eastAsia="宋体" w:hint="ascii"/>
        </w:rPr>
        <w:t>，附注说明选择相应的联合基金名称。</w:t>
      </w:r>
    </w:p>
    <w:p>
      <w:pPr>
        <w:autoSpaceDE w:val="0"/>
        <w:autoSpaceDN w:val="0"/>
        <w:jc w:val="left"/>
        <w:spacing w:before="582"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67"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培育项目和重点支持项目合作研究单位的数量不得超</w:t>
      </w:r>
      <w:r>
        <w:rPr>
          <w:rFonts w:ascii="宋体" w:hAnsi="宋体" w:cs="宋体" w:eastAsia="宋体" w:hint="ascii"/>
          <w:spacing w:val="30"/>
        </w:rPr>
        <w:t>过</w:t>
      </w:r>
      <w:r>
        <w:rPr>
          <w:rFonts w:ascii="Times New Roman" w:hAnsi="Times New Roman" w:cs="Times New Roman" w:eastAsia="Times New Roman" w:hint="ascii"/>
          <w:spacing w:val="60"/>
        </w:rPr>
        <w:t>2</w:t>
      </w:r>
      <w:r>
        <w:rPr>
          <w:rFonts w:ascii="宋体" w:hAnsi="宋体" w:cs="宋体" w:eastAsia="宋体" w:hint="ascii"/>
        </w:rPr>
        <w:t>个。</w:t>
      </w:r>
      <w:r>
        <w:rPr>
          <w:rFonts w:ascii="宋体" w:hAnsi="宋体" w:cs="宋体" w:eastAsia="宋体" w:hint="ascii"/>
        </w:rPr>
        <mc:AlternateContent>
          <mc:Choice Requires="wps">
            <w:drawing>
              <wp:anchor distL="0" distR="0" distT="0" distB="0" simplePos="0" behindDoc="1" relativeHeight="261" locked="0" layoutInCell="1" allowOverlap="1">
                <wp:simplePos x="0" y="0"/>
                <wp:positionH relativeFrom="page">
                  <wp:posOffset>938530</wp:posOffset>
                </wp:positionH>
                <wp:positionV relativeFrom="page">
                  <wp:posOffset>819150</wp:posOffset>
                </wp:positionV>
                <wp:extent cx="5076190" cy="0"/>
                <wp:wrapNone/>
                <wp:docPr id="1290" name="129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90976;width:399.70pt;" id="129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71"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培育项目资助期限</w:t>
      </w:r>
      <w:r>
        <w:rPr>
          <w:rFonts w:ascii="宋体" w:hAnsi="宋体" w:cs="宋体" w:eastAsia="宋体" w:hint="ascii"/>
          <w:spacing w:val="30"/>
        </w:rPr>
        <w:t>为</w:t>
      </w:r>
      <w:r>
        <w:rPr>
          <w:rFonts w:ascii="Times New Roman" w:hAnsi="Times New Roman" w:cs="Times New Roman" w:eastAsia="Times New Roman" w:hint="ascii"/>
          <w:spacing w:val="60"/>
        </w:rPr>
        <w:t>3</w:t>
      </w:r>
      <w:r>
        <w:rPr>
          <w:rFonts w:ascii="宋体" w:hAnsi="宋体" w:cs="宋体" w:eastAsia="宋体" w:hint="ascii"/>
        </w:rPr>
        <w:t>年，申请书中资助期限应填写“</w:t>
      </w:r>
      <w:r>
        <w:rPr>
          <w:rFonts w:ascii="Times New Roman" w:hAnsi="Times New Roman" w:cs="Times New Roman" w:eastAsia="Times New Roman" w:hint="ascii"/>
        </w:rPr>
        <w:t>201</w:t>
      </w:r>
      <w:r>
        <w:rPr>
          <w:rFonts w:ascii="Times New Roman" w:hAnsi="Times New Roman" w:cs="Times New Roman" w:eastAsia="Times New Roman" w:hint="ascii"/>
          <w:spacing w:val="60"/>
        </w:rPr>
        <w:t>9</w:t>
      </w:r>
      <w:r>
        <w:rPr>
          <w:rFonts w:ascii="宋体" w:hAnsi="宋体" w:cs="宋体" w:eastAsia="宋体" w:hint="ascii"/>
          <w:spacing w:val="30"/>
        </w:rPr>
        <w:t>年</w:t>
      </w:r>
      <w:r>
        <w:rPr>
          <w:rFonts w:ascii="Times New Roman" w:hAnsi="Times New Roman" w:cs="Times New Roman" w:eastAsia="Times New Roman" w:hint="ascii"/>
          <w:spacing w:val="60"/>
        </w:rPr>
        <w:t>1</w:t>
      </w:r>
      <w:r>
        <w:rPr>
          <w:rFonts w:ascii="宋体" w:hAnsi="宋体" w:cs="宋体" w:eastAsia="宋体" w:hint="ascii"/>
          <w:spacing w:val="30"/>
        </w:rPr>
        <w:t>月</w:t>
      </w:r>
      <w:r>
        <w:rPr>
          <w:rFonts w:ascii="Times New Roman" w:hAnsi="Times New Roman" w:cs="Times New Roman" w:eastAsia="Times New Roman" w:hint="ascii"/>
          <w:spacing w:val="60"/>
        </w:rPr>
        <w:t>1</w:t>
      </w:r>
      <w:r>
        <w:rPr>
          <w:rFonts w:ascii="宋体" w:hAnsi="宋体" w:cs="宋体" w:eastAsia="宋体" w:hint="ascii"/>
        </w:rPr>
        <w:t>日</w:t>
      </w:r>
    </w:p>
    <w:p>
      <w:pPr>
        <w:autoSpaceDE w:val="0"/>
        <w:autoSpaceDN w:val="0"/>
        <w:jc w:val="both"/>
        <w:spacing w:before="14" w:after="0" w:lineRule="exact" w:line="370"/>
        <w:ind w:right="963" w:left="966" w:firstLine="0"/>
        <w:snapToGrid w:val="0"/>
        <w:textAlignment w:val="auto"/>
        <w:tabs/>
        <w:rPr>
          <w:rFonts w:ascii="宋体" w:hAnsi="宋体" w:cs="宋体" w:eastAsia="宋体" w:hint="ascii"/>
        </w:rPr>
      </w:pPr>
      <w:r>
        <w:rPr>
          <w:rFonts w:ascii="宋体" w:hAnsi="宋体" w:cs="宋体" w:eastAsia="宋体" w:hint="ascii"/>
          <w:spacing w:val="-2"/>
        </w:rPr>
        <w:t>至</w:t>
      </w:r>
      <w:r>
        <w:rPr>
          <w:rFonts w:ascii="宋体" w:hAnsi="宋体" w:cs="宋体" w:eastAsia="宋体" w:hint="ascii"/>
          <w:spacing w:val="-28"/>
        </w:rPr>
        <w:t xml:space="preserve"> </w:t>
      </w:r>
      <w:r>
        <w:rPr>
          <w:rFonts w:ascii="Times New Roman" w:hAnsi="Times New Roman" w:cs="Times New Roman" w:eastAsia="Times New Roman" w:hint="ascii"/>
          <w:spacing w:val="-2"/>
        </w:rPr>
        <w:t>2021</w:t>
      </w:r>
      <w:r>
        <w:rPr>
          <w:rFonts w:ascii="Times New Roman" w:hAnsi="Times New Roman" w:cs="Times New Roman" w:eastAsia="Times New Roman" w:hint="ascii"/>
          <w:spacing w:val="-28"/>
        </w:rPr>
        <w:t xml:space="preserve"> </w:t>
      </w:r>
      <w:r>
        <w:rPr>
          <w:rFonts w:ascii="宋体" w:hAnsi="宋体" w:cs="宋体" w:eastAsia="宋体" w:hint="ascii"/>
          <w:spacing w:val="-2"/>
        </w:rPr>
        <w:t>年</w:t>
      </w:r>
      <w:r>
        <w:rPr>
          <w:rFonts w:ascii="宋体" w:hAnsi="宋体" w:cs="宋体" w:eastAsia="宋体" w:hint="ascii"/>
          <w:spacing w:val="-28"/>
        </w:rPr>
        <w:t xml:space="preserve"> </w:t>
      </w:r>
      <w:r>
        <w:rPr>
          <w:rFonts w:ascii="Times New Roman" w:hAnsi="Times New Roman" w:cs="Times New Roman" w:eastAsia="Times New Roman" w:hint="ascii"/>
          <w:spacing w:val="-2"/>
        </w:rPr>
        <w:t>12</w:t>
      </w:r>
      <w:r>
        <w:rPr>
          <w:rFonts w:ascii="Times New Roman" w:hAnsi="Times New Roman" w:cs="Times New Roman" w:eastAsia="Times New Roman" w:hint="ascii"/>
          <w:spacing w:val="-28"/>
        </w:rPr>
        <w:t xml:space="preserve"> </w:t>
      </w:r>
      <w:r>
        <w:rPr>
          <w:rFonts w:ascii="宋体" w:hAnsi="宋体" w:cs="宋体" w:eastAsia="宋体" w:hint="ascii"/>
          <w:spacing w:val="-2"/>
        </w:rPr>
        <w:t>月</w:t>
      </w:r>
      <w:r>
        <w:rPr>
          <w:rFonts w:ascii="宋体" w:hAnsi="宋体" w:cs="宋体" w:eastAsia="宋体" w:hint="ascii"/>
          <w:spacing w:val="-28"/>
        </w:rPr>
        <w:t xml:space="preserve"> </w:t>
      </w:r>
      <w:r>
        <w:rPr>
          <w:rFonts w:ascii="Times New Roman" w:hAnsi="Times New Roman" w:cs="Times New Roman" w:eastAsia="Times New Roman" w:hint="ascii"/>
          <w:spacing w:val="-2"/>
        </w:rPr>
        <w:t>31</w:t>
      </w:r>
      <w:r>
        <w:rPr>
          <w:rFonts w:ascii="Times New Roman" w:hAnsi="Times New Roman" w:cs="Times New Roman" w:eastAsia="Times New Roman" w:hint="ascii"/>
          <w:spacing w:val="-28"/>
        </w:rPr>
        <w:t xml:space="preserve"> </w:t>
      </w:r>
      <w:r>
        <w:rPr>
          <w:rFonts w:ascii="宋体" w:hAnsi="宋体" w:cs="宋体" w:eastAsia="宋体" w:hint="ascii"/>
          <w:spacing w:val="-2"/>
        </w:rPr>
        <w:t>日</w:t>
      </w:r>
      <w:r>
        <w:rPr>
          <w:rFonts w:ascii="宋体" w:hAnsi="宋体" w:cs="宋体" w:eastAsia="宋体" w:hint="ascii"/>
          <w:spacing w:val="-62"/>
        </w:rPr>
        <w:t>”</w:t>
      </w:r>
      <w:r>
        <w:rPr>
          <w:rFonts w:ascii="宋体" w:hAnsi="宋体" w:cs="宋体" w:eastAsia="宋体" w:hint="ascii"/>
          <w:spacing w:val="-2"/>
        </w:rPr>
        <w:t>。重点支持项</w:t>
      </w:r>
      <w:r>
        <w:rPr>
          <w:rFonts w:ascii="宋体" w:hAnsi="宋体" w:cs="宋体" w:eastAsia="宋体" w:hint="ascii"/>
          <w:spacing w:val="-1"/>
        </w:rPr>
        <w:t>目资助期限为</w:t>
      </w:r>
      <w:r>
        <w:rPr>
          <w:rFonts w:ascii="宋体" w:hAnsi="宋体" w:cs="宋体" w:eastAsia="宋体" w:hint="ascii"/>
          <w:spacing w:val="-27"/>
        </w:rPr>
        <w:t xml:space="preserve"> </w:t>
      </w:r>
      <w:r>
        <w:rPr>
          <w:rFonts w:ascii="Times New Roman" w:hAnsi="Times New Roman" w:cs="Times New Roman" w:eastAsia="Times New Roman" w:hint="ascii"/>
          <w:spacing w:val="-1"/>
        </w:rPr>
        <w:t>4</w:t>
      </w:r>
      <w:r>
        <w:rPr>
          <w:rFonts w:ascii="Times New Roman" w:hAnsi="Times New Roman" w:cs="Times New Roman" w:eastAsia="Times New Roman" w:hint="ascii"/>
          <w:spacing w:val="-27"/>
        </w:rPr>
        <w:t xml:space="preserve"> </w:t>
      </w:r>
      <w:r>
        <w:rPr>
          <w:rFonts w:ascii="宋体" w:hAnsi="宋体" w:cs="宋体" w:eastAsia="宋体" w:hint="ascii"/>
          <w:spacing w:val="-1"/>
        </w:rPr>
        <w:t>年，申请书中资助期限</w:t>
      </w:r>
      <w:r>
        <w:rPr>
          <w:rFonts w:ascii="宋体" w:hAnsi="宋体" w:cs="宋体" w:eastAsia="宋体" w:hint="ascii"/>
        </w:rPr>
        <w:t xml:space="preserve"> 应填写“</w:t>
      </w:r>
      <w:r>
        <w:rPr>
          <w:rFonts w:ascii="Times New Roman" w:hAnsi="Times New Roman" w:cs="Times New Roman" w:eastAsia="Times New Roman" w:hint="ascii"/>
        </w:rPr>
        <w:t>201</w:t>
      </w:r>
      <w:r>
        <w:rPr>
          <w:rFonts w:ascii="Times New Roman" w:hAnsi="Times New Roman" w:cs="Times New Roman" w:eastAsia="Times New Roman" w:hint="ascii"/>
          <w:spacing w:val="60"/>
        </w:rPr>
        <w:t>9</w:t>
      </w:r>
      <w:r>
        <w:rPr>
          <w:rFonts w:ascii="宋体" w:hAnsi="宋体" w:cs="宋体" w:eastAsia="宋体" w:hint="ascii"/>
          <w:spacing w:val="30"/>
        </w:rPr>
        <w:t>年</w:t>
      </w:r>
      <w:r>
        <w:rPr>
          <w:rFonts w:ascii="Times New Roman" w:hAnsi="Times New Roman" w:cs="Times New Roman" w:eastAsia="Times New Roman" w:hint="ascii"/>
          <w:spacing w:val="60"/>
        </w:rPr>
        <w:t>1</w:t>
      </w:r>
      <w:r>
        <w:rPr>
          <w:rFonts w:ascii="宋体" w:hAnsi="宋体" w:cs="宋体" w:eastAsia="宋体" w:hint="ascii"/>
          <w:spacing w:val="30"/>
        </w:rPr>
        <w:t>月</w:t>
      </w:r>
      <w:r>
        <w:rPr>
          <w:rFonts w:ascii="Times New Roman" w:hAnsi="Times New Roman" w:cs="Times New Roman" w:eastAsia="Times New Roman" w:hint="ascii"/>
          <w:spacing w:val="60"/>
        </w:rPr>
        <w:t>1</w:t>
      </w:r>
      <w:r>
        <w:rPr>
          <w:rFonts w:ascii="宋体" w:hAnsi="宋体" w:cs="宋体" w:eastAsia="宋体" w:hint="ascii"/>
        </w:rPr>
        <w:t>日</w:t>
      </w:r>
      <w:r>
        <w:rPr>
          <w:rFonts w:ascii="宋体" w:hAnsi="宋体" w:cs="宋体" w:eastAsia="宋体" w:hint="ascii"/>
          <w:spacing w:val="30"/>
        </w:rPr>
        <w:t>至</w:t>
      </w:r>
      <w:r>
        <w:rPr>
          <w:rFonts w:ascii="Times New Roman" w:hAnsi="Times New Roman" w:cs="Times New Roman" w:eastAsia="Times New Roman" w:hint="ascii"/>
        </w:rPr>
        <w:t>202</w:t>
      </w:r>
      <w:r>
        <w:rPr>
          <w:rFonts w:ascii="Times New Roman" w:hAnsi="Times New Roman" w:cs="Times New Roman" w:eastAsia="Times New Roman" w:hint="ascii"/>
          <w:spacing w:val="60"/>
        </w:rPr>
        <w:t>2</w:t>
      </w:r>
      <w:r>
        <w:rPr>
          <w:rFonts w:ascii="宋体" w:hAnsi="宋体" w:cs="宋体" w:eastAsia="宋体" w:hint="ascii"/>
          <w:spacing w:val="30"/>
        </w:rPr>
        <w:t>年</w:t>
      </w:r>
      <w:r>
        <w:rPr>
          <w:rFonts w:ascii="Times New Roman" w:hAnsi="Times New Roman" w:cs="Times New Roman" w:eastAsia="Times New Roman" w:hint="ascii"/>
        </w:rPr>
        <w:t>1</w:t>
      </w:r>
      <w:r>
        <w:rPr>
          <w:rFonts w:ascii="Times New Roman" w:hAnsi="Times New Roman" w:cs="Times New Roman" w:eastAsia="Times New Roman" w:hint="ascii"/>
          <w:spacing w:val="60"/>
        </w:rPr>
        <w:t>2</w:t>
      </w:r>
      <w:r>
        <w:rPr>
          <w:rFonts w:ascii="宋体" w:hAnsi="宋体" w:cs="宋体" w:eastAsia="宋体" w:hint="ascii"/>
          <w:spacing w:val="30"/>
        </w:rPr>
        <w:t>月</w:t>
      </w:r>
      <w:r>
        <w:rPr>
          <w:rFonts w:ascii="Times New Roman" w:hAnsi="Times New Roman" w:cs="Times New Roman" w:eastAsia="Times New Roman" w:hint="ascii"/>
        </w:rPr>
        <w:t>3</w:t>
      </w:r>
      <w:r>
        <w:rPr>
          <w:rFonts w:ascii="Times New Roman" w:hAnsi="Times New Roman" w:cs="Times New Roman" w:eastAsia="Times New Roman" w:hint="ascii"/>
          <w:spacing w:val="60"/>
        </w:rPr>
        <w:t>1</w:t>
      </w:r>
      <w:r>
        <w:rPr>
          <w:rFonts w:ascii="宋体" w:hAnsi="宋体" w:cs="宋体" w:eastAsia="宋体" w:hint="ascii"/>
        </w:rPr>
        <w:t>日</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1100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65" w:after="0" w:lineRule="auto" w:line="240"/>
        <w:ind w:right="0" w:left="3652"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NSA</w:t>
      </w:r>
      <w:r>
        <w:rPr>
          <w:rFonts w:ascii="Times New Roman" w:hAnsi="Times New Roman" w:cs="Times New Roman" w:eastAsia="Times New Roman" w:hint="ascii"/>
          <w:b w:val="1"/>
          <w:sz w:val="38"/>
          <w:spacing w:val="94"/>
        </w:rPr>
        <w:t>F</w:t>
      </w:r>
      <w:r>
        <w:rPr>
          <w:rFonts w:ascii="宋体" w:hAnsi="宋体" w:cs="宋体" w:eastAsia="宋体" w:hint="ascii"/>
          <w:sz w:val="38"/>
        </w:rPr>
        <w:t>联合基金</w:t>
      </w:r>
      <w:r>
        <w:rPr>
          <w:rFonts w:ascii="宋体" w:hAnsi="宋体" w:cs="宋体" w:eastAsia="宋体" w:hint="ascii"/>
          <w:sz w:val="38"/>
        </w:rPr>
        <mc:AlternateContent>
          <mc:Choice Requires="wps">
            <w:drawing>
              <wp:anchor distL="0" distR="0" distT="0" distB="0" simplePos="0" behindDoc="1" relativeHeight="262" locked="0" layoutInCell="1" allowOverlap="1">
                <wp:simplePos x="0" y="0"/>
                <wp:positionH relativeFrom="page">
                  <wp:posOffset>938530</wp:posOffset>
                </wp:positionH>
                <wp:positionV relativeFrom="page">
                  <wp:posOffset>805815</wp:posOffset>
                </wp:positionV>
                <wp:extent cx="5076190" cy="0"/>
                <wp:wrapNone/>
                <wp:docPr id="1291" name="129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89952;width:399.70pt;" id="129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3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自然科学基金委与中国工程物理研究院共同设立的 </w:t>
      </w:r>
      <w:r>
        <w:rPr>
          <w:rFonts w:ascii="Times New Roman" w:hAnsi="Times New Roman" w:cs="Times New Roman" w:eastAsia="Times New Roman" w:hint="ascii"/>
          <w:sz w:val="21"/>
        </w:rPr>
        <w:t xml:space="preserve">NSAF </w:t>
      </w:r>
      <w:r>
        <w:rPr>
          <w:rFonts w:ascii="宋体" w:hAnsi="宋体" w:cs="宋体" w:eastAsia="宋体" w:hint="ascii"/>
          <w:sz w:val="21"/>
        </w:rPr>
        <w:t>联合基金，旨在引导国</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内相关领域的科研人</w:t>
      </w:r>
      <w:r>
        <w:rPr>
          <w:rFonts w:ascii="宋体" w:hAnsi="宋体" w:cs="宋体" w:eastAsia="宋体" w:hint="ascii"/>
          <w:sz w:val="21"/>
        </w:rPr>
        <w:t>员参与国家安全相关的基础研究，开拓新的研究方向，发现新</w:t>
      </w:r>
      <w:r>
        <w:rPr>
          <w:rFonts w:ascii="宋体" w:hAnsi="宋体" w:cs="宋体" w:eastAsia="宋体" w:hint="ascii"/>
          <w:sz w:val="21"/>
          <w:spacing w:val="-6"/>
        </w:rPr>
        <w:t>现</w:t>
      </w:r>
      <w:r>
        <w:rPr>
          <w:rFonts w:ascii="宋体" w:hAnsi="宋体" w:cs="宋体" w:eastAsia="宋体" w:hint="ascii"/>
          <w:sz w:val="21"/>
        </w:rPr>
        <w:t>象、新规律，提升国防科技创新能力，为国防科技领域培养所需的青年科技人才。</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spacing w:val="4"/>
        </w:rPr>
        <w:t>本</w:t>
      </w:r>
      <w:r>
        <w:rPr>
          <w:rFonts w:ascii="宋体" w:hAnsi="宋体" w:cs="宋体" w:eastAsia="宋体" w:hint="ascii"/>
          <w:sz w:val="21"/>
          <w:spacing w:val="3"/>
        </w:rPr>
        <w:t>联</w:t>
      </w:r>
      <w:r>
        <w:rPr>
          <w:rFonts w:ascii="宋体" w:hAnsi="宋体" w:cs="宋体" w:eastAsia="宋体" w:hint="ascii"/>
          <w:sz w:val="21"/>
          <w:spacing w:val="4"/>
        </w:rPr>
        <w:t>合</w:t>
      </w:r>
      <w:r>
        <w:rPr>
          <w:rFonts w:ascii="宋体" w:hAnsi="宋体" w:cs="宋体" w:eastAsia="宋体" w:hint="ascii"/>
          <w:sz w:val="21"/>
          <w:spacing w:val="3"/>
        </w:rPr>
        <w:t>基</w:t>
      </w:r>
      <w:r>
        <w:rPr>
          <w:rFonts w:ascii="宋体" w:hAnsi="宋体" w:cs="宋体" w:eastAsia="宋体" w:hint="ascii"/>
          <w:sz w:val="21"/>
        </w:rPr>
        <w:t>金</w:t>
      </w:r>
      <w:r>
        <w:rPr>
          <w:rFonts w:ascii="宋体" w:hAnsi="宋体" w:cs="宋体" w:eastAsia="宋体" w:hint="ascii"/>
          <w:sz w:val="21"/>
          <w:spacing w:val="3"/>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3"/>
        </w:rPr>
        <w:t xml:space="preserve"> </w:t>
      </w:r>
      <w:r>
        <w:rPr>
          <w:rFonts w:ascii="宋体" w:hAnsi="宋体" w:cs="宋体" w:eastAsia="宋体" w:hint="ascii"/>
          <w:sz w:val="21"/>
          <w:spacing w:val="4"/>
        </w:rPr>
        <w:t>年</w:t>
      </w:r>
      <w:r>
        <w:rPr>
          <w:rFonts w:ascii="宋体" w:hAnsi="宋体" w:cs="宋体" w:eastAsia="宋体" w:hint="ascii"/>
          <w:sz w:val="21"/>
          <w:spacing w:val="3"/>
        </w:rPr>
        <w:t>度拟</w:t>
      </w:r>
      <w:r>
        <w:rPr>
          <w:rFonts w:ascii="宋体" w:hAnsi="宋体" w:cs="宋体" w:eastAsia="宋体" w:hint="ascii"/>
          <w:sz w:val="21"/>
          <w:spacing w:val="4"/>
        </w:rPr>
        <w:t>资</w:t>
      </w:r>
      <w:r>
        <w:rPr>
          <w:rFonts w:ascii="宋体" w:hAnsi="宋体" w:cs="宋体" w:eastAsia="宋体" w:hint="ascii"/>
          <w:sz w:val="21"/>
          <w:spacing w:val="3"/>
        </w:rPr>
        <w:t>助</w:t>
      </w:r>
      <w:r>
        <w:rPr>
          <w:rFonts w:ascii="宋体" w:hAnsi="宋体" w:cs="宋体" w:eastAsia="宋体" w:hint="ascii"/>
          <w:sz w:val="21"/>
          <w:spacing w:val="4"/>
        </w:rPr>
        <w:t>“</w:t>
      </w:r>
      <w:r>
        <w:rPr>
          <w:rFonts w:ascii="宋体" w:hAnsi="宋体" w:cs="宋体" w:eastAsia="宋体" w:hint="ascii"/>
          <w:sz w:val="21"/>
          <w:spacing w:val="3"/>
        </w:rPr>
        <w:t>重点</w:t>
      </w:r>
      <w:r>
        <w:rPr>
          <w:rFonts w:ascii="宋体" w:hAnsi="宋体" w:cs="宋体" w:eastAsia="宋体" w:hint="ascii"/>
          <w:sz w:val="21"/>
          <w:spacing w:val="4"/>
        </w:rPr>
        <w:t>支</w:t>
      </w:r>
      <w:r>
        <w:rPr>
          <w:rFonts w:ascii="宋体" w:hAnsi="宋体" w:cs="宋体" w:eastAsia="宋体" w:hint="ascii"/>
          <w:sz w:val="21"/>
          <w:spacing w:val="3"/>
        </w:rPr>
        <w:t>持</w:t>
      </w:r>
      <w:r>
        <w:rPr>
          <w:rFonts w:ascii="宋体" w:hAnsi="宋体" w:cs="宋体" w:eastAsia="宋体" w:hint="ascii"/>
          <w:sz w:val="21"/>
          <w:spacing w:val="4"/>
        </w:rPr>
        <w:t>项</w:t>
      </w:r>
      <w:r>
        <w:rPr>
          <w:rFonts w:ascii="宋体" w:hAnsi="宋体" w:cs="宋体" w:eastAsia="宋体" w:hint="ascii"/>
          <w:sz w:val="21"/>
          <w:spacing w:val="3"/>
        </w:rPr>
        <w:t>目”</w:t>
      </w:r>
      <w:r>
        <w:rPr>
          <w:rFonts w:ascii="宋体" w:hAnsi="宋体" w:cs="宋体" w:eastAsia="宋体" w:hint="ascii"/>
          <w:sz w:val="21"/>
          <w:spacing w:val="4"/>
        </w:rPr>
        <w:t>和</w:t>
      </w:r>
      <w:r>
        <w:rPr>
          <w:rFonts w:ascii="宋体" w:hAnsi="宋体" w:cs="宋体" w:eastAsia="宋体" w:hint="ascii"/>
          <w:sz w:val="21"/>
          <w:spacing w:val="3"/>
        </w:rPr>
        <w:t>“</w:t>
      </w:r>
      <w:r>
        <w:rPr>
          <w:rFonts w:ascii="宋体" w:hAnsi="宋体" w:cs="宋体" w:eastAsia="宋体" w:hint="ascii"/>
          <w:sz w:val="21"/>
          <w:spacing w:val="4"/>
        </w:rPr>
        <w:t>培</w:t>
      </w:r>
      <w:r>
        <w:rPr>
          <w:rFonts w:ascii="宋体" w:hAnsi="宋体" w:cs="宋体" w:eastAsia="宋体" w:hint="ascii"/>
          <w:sz w:val="21"/>
          <w:spacing w:val="3"/>
        </w:rPr>
        <w:t>育项</w:t>
      </w:r>
      <w:r>
        <w:rPr>
          <w:rFonts w:ascii="宋体" w:hAnsi="宋体" w:cs="宋体" w:eastAsia="宋体" w:hint="ascii"/>
          <w:sz w:val="21"/>
          <w:spacing w:val="4"/>
        </w:rPr>
        <w:t>目</w:t>
      </w:r>
      <w:r>
        <w:rPr>
          <w:rFonts w:ascii="宋体" w:hAnsi="宋体" w:cs="宋体" w:eastAsia="宋体" w:hint="ascii"/>
          <w:sz w:val="21"/>
          <w:spacing w:val="3"/>
        </w:rPr>
        <w:t>”</w:t>
      </w:r>
      <w:r>
        <w:rPr>
          <w:rFonts w:ascii="宋体" w:hAnsi="宋体" w:cs="宋体" w:eastAsia="宋体" w:hint="ascii"/>
          <w:sz w:val="21"/>
          <w:spacing w:val="4"/>
        </w:rPr>
        <w:t>两</w:t>
      </w:r>
      <w:r>
        <w:rPr>
          <w:rFonts w:ascii="宋体" w:hAnsi="宋体" w:cs="宋体" w:eastAsia="宋体" w:hint="ascii"/>
          <w:sz w:val="21"/>
          <w:spacing w:val="3"/>
        </w:rPr>
        <w:t>类项</w:t>
      </w:r>
      <w:r>
        <w:rPr>
          <w:rFonts w:ascii="宋体" w:hAnsi="宋体" w:cs="宋体" w:eastAsia="宋体" w:hint="ascii"/>
          <w:sz w:val="21"/>
          <w:spacing w:val="4"/>
        </w:rPr>
        <w:t>目。其</w:t>
      </w:r>
      <w:r>
        <w:rPr>
          <w:rFonts w:ascii="宋体" w:hAnsi="宋体" w:cs="宋体" w:eastAsia="宋体" w:hint="ascii"/>
          <w:sz w:val="21"/>
        </w:rPr>
        <w:t>中</w:t>
      </w:r>
    </w:p>
    <w:p>
      <w:pPr>
        <w:autoSpaceDE w:val="0"/>
        <w:autoSpaceDN w:val="0"/>
        <w:jc w:val="right"/>
        <w:spacing w:before="10" w:after="0" w:lineRule="exact" w:line="312"/>
        <w:ind w:right="977" w:left="861" w:firstLine="0"/>
        <w:snapToGrid w:val="0"/>
        <w:textAlignment w:val="auto"/>
        <w:tabs/>
        <w:rPr>
          <w:rFonts w:ascii="宋体" w:hAnsi="宋体" w:cs="宋体" w:eastAsia="宋体" w:hint="ascii"/>
          <w:sz w:val="21"/>
        </w:rPr>
      </w:pPr>
      <w:r>
        <w:rPr>
          <w:rFonts w:ascii="宋体" w:hAnsi="宋体" w:cs="宋体" w:eastAsia="宋体" w:hint="ascii"/>
          <w:sz w:val="21"/>
          <w:spacing w:val="-1"/>
        </w:rPr>
        <w:t>“重点支持项目”方向</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1"/>
        </w:rPr>
        <w:t>9</w:t>
      </w:r>
      <w:r>
        <w:rPr>
          <w:rFonts w:ascii="Times New Roman" w:hAnsi="Times New Roman" w:cs="Times New Roman" w:eastAsia="Times New Roman" w:hint="ascii"/>
          <w:sz w:val="21"/>
          <w:spacing w:val="-15"/>
        </w:rPr>
        <w:t xml:space="preserve"> </w:t>
      </w:r>
      <w:r>
        <w:rPr>
          <w:rFonts w:ascii="宋体" w:hAnsi="宋体" w:cs="宋体" w:eastAsia="宋体" w:hint="ascii"/>
          <w:sz w:val="21"/>
          <w:spacing w:val="-1"/>
        </w:rPr>
        <w:t>个，直接费用平均资助强度</w:t>
      </w:r>
      <w:r>
        <w:rPr>
          <w:rFonts w:ascii="宋体" w:hAnsi="宋体" w:cs="宋体" w:eastAsia="宋体" w:hint="ascii"/>
          <w:sz w:val="21"/>
          <w:spacing w:val="-15"/>
        </w:rPr>
        <w:t xml:space="preserve"> </w:t>
      </w:r>
      <w:r>
        <w:rPr>
          <w:rFonts w:ascii="Times New Roman" w:hAnsi="Times New Roman" w:cs="Times New Roman" w:eastAsia="Times New Roman" w:hint="ascii"/>
          <w:sz w:val="21"/>
          <w:spacing w:val="-1"/>
        </w:rPr>
        <w:t>240</w:t>
      </w:r>
      <w:r>
        <w:rPr>
          <w:rFonts w:ascii="Times New Roman" w:hAnsi="Times New Roman" w:cs="Times New Roman" w:eastAsia="Times New Roman" w:hint="ascii"/>
          <w:sz w:val="21"/>
          <w:spacing w:val="-15"/>
        </w:rPr>
        <w:t xml:space="preserve"> </w:t>
      </w:r>
      <w:r>
        <w:rPr>
          <w:rFonts w:ascii="宋体" w:hAnsi="宋体" w:cs="宋体" w:eastAsia="宋体" w:hint="ascii"/>
          <w:sz w:val="21"/>
          <w:spacing w:val="-1"/>
        </w:rPr>
        <w:t>万</w:t>
      </w:r>
      <w:r>
        <w:rPr>
          <w:rFonts w:ascii="宋体" w:hAnsi="宋体" w:cs="宋体" w:eastAsia="宋体" w:hint="ascii"/>
          <w:sz w:val="21"/>
          <w:spacing w:val="-1"/>
        </w:rPr>
        <w:t>～</w:t>
      </w:r>
      <w:r>
        <w:rPr>
          <w:rFonts w:ascii="Times New Roman" w:hAnsi="Times New Roman" w:cs="Times New Roman" w:eastAsia="Times New Roman" w:hint="ascii"/>
          <w:sz w:val="21"/>
        </w:rPr>
        <w:t>300</w:t>
      </w:r>
      <w:r>
        <w:rPr>
          <w:rFonts w:ascii="Times New Roman" w:hAnsi="Times New Roman" w:cs="Times New Roman" w:eastAsia="Times New Roman" w:hint="ascii"/>
          <w:sz w:val="21"/>
          <w:spacing w:val="-14"/>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13"/>
        </w:rPr>
        <w:t xml:space="preserve"> </w:t>
      </w:r>
      <w:r>
        <w:rPr>
          <w:rFonts w:ascii="Times New Roman" w:hAnsi="Times New Roman" w:cs="Times New Roman" w:eastAsia="Times New Roman" w:hint="ascii"/>
          <w:sz w:val="21"/>
        </w:rPr>
        <w:t xml:space="preserve">4 </w:t>
      </w:r>
      <w:r>
        <w:rPr>
          <w:rFonts w:ascii="宋体" w:hAnsi="宋体" w:cs="宋体" w:eastAsia="宋体" w:hint="ascii"/>
          <w:sz w:val="21"/>
        </w:rPr>
        <w:t>年，</w:t>
      </w:r>
      <w:r>
        <w:rPr>
          <w:rFonts w:ascii="宋体" w:hAnsi="宋体" w:cs="宋体" w:eastAsia="宋体" w:hint="ascii"/>
          <w:sz w:val="21"/>
          <w:spacing w:val="26"/>
        </w:rPr>
        <w:t>即</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9</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2</w:t>
      </w:r>
      <w:r>
        <w:rPr>
          <w:rFonts w:ascii="宋体" w:hAnsi="宋体" w:cs="宋体" w:eastAsia="宋体" w:hint="ascii"/>
          <w:sz w:val="21"/>
          <w:spacing w:val="26"/>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spacing w:val="27"/>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52"/>
        </w:rPr>
        <w:t>；</w:t>
      </w:r>
      <w:r>
        <w:rPr>
          <w:rFonts w:ascii="宋体" w:hAnsi="宋体" w:cs="宋体" w:eastAsia="宋体" w:hint="ascii"/>
          <w:sz w:val="21"/>
        </w:rPr>
        <w:t>“培育项目”包</w:t>
      </w:r>
      <w:r>
        <w:rPr>
          <w:rFonts w:ascii="宋体" w:hAnsi="宋体" w:cs="宋体" w:eastAsia="宋体" w:hint="ascii"/>
          <w:sz w:val="21"/>
          <w:spacing w:val="26"/>
        </w:rPr>
        <w:t>括</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3</w:t>
      </w:r>
      <w:r>
        <w:rPr>
          <w:rFonts w:ascii="宋体" w:hAnsi="宋体" w:cs="宋体" w:eastAsia="宋体" w:hint="ascii"/>
          <w:sz w:val="21"/>
        </w:rPr>
        <w:t>个鼓励研究方向和</w: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9"/>
        </w:rPr>
        <w:t xml:space="preserve"> </w:t>
      </w:r>
      <w:r>
        <w:rPr>
          <w:rFonts w:ascii="宋体" w:hAnsi="宋体" w:cs="宋体" w:eastAsia="宋体" w:hint="ascii"/>
          <w:sz w:val="21"/>
        </w:rPr>
        <w:t>个明确目标课题，直接费用平均资助强度约</w:t>
      </w:r>
      <w:r>
        <w:rPr>
          <w:rFonts w:ascii="宋体" w:hAnsi="宋体" w:cs="宋体" w:eastAsia="宋体" w:hint="ascii"/>
          <w:sz w:val="21"/>
          <w:spacing w:val="-19"/>
        </w:rPr>
        <w:t xml:space="preserve"> </w:t>
      </w:r>
      <w:r>
        <w:rPr>
          <w:rFonts w:ascii="Times New Roman" w:hAnsi="Times New Roman" w:cs="Times New Roman" w:eastAsia="Times New Roman" w:hint="ascii"/>
          <w:sz w:val="21"/>
        </w:rPr>
        <w:t>65</w:t>
      </w:r>
      <w:r>
        <w:rPr>
          <w:rFonts w:ascii="Times New Roman" w:hAnsi="Times New Roman" w:cs="Times New Roman" w:eastAsia="Times New Roman" w:hint="ascii"/>
          <w:sz w:val="21"/>
          <w:spacing w:val="-19"/>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19"/>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19"/>
        </w:rPr>
        <w:t xml:space="preserve"> </w:t>
      </w:r>
      <w:r>
        <w:rPr>
          <w:rFonts w:ascii="宋体" w:hAnsi="宋体" w:cs="宋体" w:eastAsia="宋体" w:hint="ascii"/>
          <w:sz w:val="21"/>
        </w:rPr>
        <w:t>年，即</w:t>
      </w:r>
      <w:r>
        <w:rPr>
          <w:rFonts w:ascii="宋体" w:hAnsi="宋体" w:cs="宋体" w:eastAsia="宋体" w:hint="ascii"/>
          <w:sz w:val="21"/>
          <w:spacing w:val="-19"/>
        </w:rPr>
        <w:t xml:space="preserve"> </w:t>
      </w:r>
      <w:r>
        <w:rPr>
          <w:rFonts w:ascii="Times New Roman" w:hAnsi="Times New Roman" w:cs="Times New Roman" w:eastAsia="Times New Roman" w:hint="ascii"/>
          <w:sz w:val="21"/>
        </w:rPr>
        <w:t>2019</w:t>
      </w:r>
      <w:r>
        <w:rPr>
          <w:rFonts w:ascii="Times New Roman" w:hAnsi="Times New Roman" w:cs="Times New Roman" w:eastAsia="Times New Roman" w:hint="ascii"/>
          <w:sz w:val="21"/>
          <w:spacing w:val="-19"/>
        </w:rPr>
        <w:t xml:space="preserve"> </w:t>
      </w:r>
      <w:r>
        <w:rPr>
          <w:rFonts w:ascii="宋体" w:hAnsi="宋体" w:cs="宋体" w:eastAsia="宋体" w:hint="ascii"/>
          <w:sz w:val="21"/>
        </w:rPr>
        <w:t>年</w:t>
      </w:r>
    </w:p>
    <w:p>
      <w:pPr>
        <w:autoSpaceDE w:val="0"/>
        <w:autoSpaceDN w:val="0"/>
        <w:jc w:val="left"/>
        <w:spacing w:before="57"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1</w:t>
      </w:r>
      <w:r>
        <w:rPr>
          <w:rFonts w:ascii="宋体" w:hAnsi="宋体" w:cs="宋体" w:eastAsia="宋体" w:hint="ascii"/>
          <w:sz w:val="21"/>
          <w:spacing w:val="26"/>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1</w:t>
      </w:r>
      <w:r>
        <w:rPr>
          <w:rFonts w:ascii="宋体" w:hAnsi="宋体" w:cs="宋体" w:eastAsia="宋体" w:hint="ascii"/>
          <w:sz w:val="21"/>
        </w:rPr>
        <w:t>日。</w:t>
      </w:r>
    </w:p>
    <w:p>
      <w:pPr>
        <w:autoSpaceDE w:val="0"/>
        <w:autoSpaceDN w:val="0"/>
        <w:jc w:val="left"/>
        <w:spacing w:before="181"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一、重点支持项目方向</w:t>
      </w:r>
    </w:p>
    <w:p>
      <w:pPr>
        <w:autoSpaceDE w:val="0"/>
        <w:autoSpaceDN w:val="0"/>
        <w:jc w:val="left"/>
        <w:spacing w:before="1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ZD1. </w:t>
      </w:r>
      <w:r>
        <w:rPr>
          <w:rFonts w:ascii="宋体" w:hAnsi="宋体" w:cs="宋体" w:eastAsia="宋体" w:hint="ascii"/>
          <w:sz w:val="21"/>
        </w:rPr>
        <w:t>自旋回波极化中子分析新方法的研究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ZD2. </w:t>
      </w:r>
      <w:r>
        <w:rPr>
          <w:rFonts w:ascii="宋体" w:hAnsi="宋体" w:cs="宋体" w:eastAsia="宋体" w:hint="ascii"/>
          <w:sz w:val="21"/>
        </w:rPr>
        <w:t>面向三维封装的多模态力电检测与可靠性诊断技术</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ZD3. </w:t>
      </w:r>
      <w:r>
        <w:rPr>
          <w:rFonts w:ascii="宋体" w:hAnsi="宋体" w:cs="宋体" w:eastAsia="宋体" w:hint="ascii"/>
          <w:sz w:val="21"/>
        </w:rPr>
        <w:t>多重瞬发辐射环境下化学膜性能退化机理及损伤行为研究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ZD4. </w:t>
      </w:r>
      <w:r>
        <w:rPr>
          <w:rFonts w:ascii="宋体" w:hAnsi="宋体" w:cs="宋体" w:eastAsia="宋体" w:hint="ascii"/>
          <w:sz w:val="21"/>
        </w:rPr>
        <w:t>基于大回旋谐波电子回旋脉塞</w:t>
      </w:r>
      <w:r>
        <w:rPr>
          <w:rFonts w:ascii="宋体" w:hAnsi="宋体" w:cs="宋体" w:eastAsia="宋体" w:hint="ascii"/>
          <w:sz w:val="21"/>
          <w:spacing w:val="26"/>
        </w:rPr>
        <w:t>的</w:t>
      </w:r>
      <w:r>
        <w:rPr>
          <w:rFonts w:ascii="Times New Roman" w:hAnsi="Times New Roman" w:cs="Times New Roman" w:eastAsia="Times New Roman" w:hint="ascii"/>
          <w:sz w:val="21"/>
        </w:rPr>
        <w:t>1TH</w:t>
      </w:r>
      <w:r>
        <w:rPr>
          <w:rFonts w:ascii="Times New Roman" w:hAnsi="Times New Roman" w:cs="Times New Roman" w:eastAsia="Times New Roman" w:hint="ascii"/>
          <w:sz w:val="21"/>
          <w:spacing w:val="52"/>
        </w:rPr>
        <w:t>z</w:t>
      </w:r>
      <w:r>
        <w:rPr>
          <w:rFonts w:ascii="宋体" w:hAnsi="宋体" w:cs="宋体" w:eastAsia="宋体" w:hint="ascii"/>
          <w:sz w:val="21"/>
        </w:rPr>
        <w:t>辐射源研究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ZD5. </w:t>
      </w:r>
      <w:r>
        <w:rPr>
          <w:rFonts w:ascii="宋体" w:hAnsi="宋体" w:cs="宋体" w:eastAsia="宋体" w:hint="ascii"/>
          <w:sz w:val="21"/>
        </w:rPr>
        <w:t>温稠密物质太赫兹波段电导率的实验和理论研究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ZD6. </w:t>
      </w:r>
      <w:r>
        <w:rPr>
          <w:rFonts w:ascii="宋体" w:hAnsi="宋体" w:cs="宋体" w:eastAsia="宋体" w:hint="ascii"/>
          <w:sz w:val="21"/>
        </w:rPr>
        <w:t>离子液体中镧系元素的配位化学及其痕量离子的萃取研究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ZD7. </w:t>
      </w:r>
      <w:r>
        <w:rPr>
          <w:rFonts w:ascii="宋体" w:hAnsi="宋体" w:cs="宋体" w:eastAsia="宋体" w:hint="ascii"/>
          <w:sz w:val="21"/>
        </w:rPr>
        <w:t>高能离子型全氮化合物的设计、合成与稳定化机制研究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ZD8. </w:t>
      </w:r>
      <w:r>
        <w:rPr>
          <w:rFonts w:ascii="宋体" w:hAnsi="宋体" w:cs="宋体" w:eastAsia="宋体" w:hint="ascii"/>
          <w:sz w:val="21"/>
        </w:rPr>
        <w:t>激光增材制造铍铝合金的成形性和组织演化机理研究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ZD9. </w:t>
      </w:r>
      <w:r>
        <w:rPr>
          <w:rFonts w:ascii="宋体" w:hAnsi="宋体" w:cs="宋体" w:eastAsia="宋体" w:hint="ascii"/>
          <w:sz w:val="21"/>
        </w:rPr>
        <w:t>极端条件下光纤材料微结构演变及暗化动力学过程研究</w:t>
      </w:r>
    </w:p>
    <w:p>
      <w:pPr>
        <w:autoSpaceDE w:val="0"/>
        <w:autoSpaceDN w:val="0"/>
        <w:jc w:val="both"/>
        <w:spacing w:before="17" w:after="0" w:lineRule="exact" w:line="312"/>
        <w:ind w:right="977" w:left="966" w:firstLine="420"/>
        <w:snapToGrid w:val="0"/>
        <w:textAlignment w:val="auto"/>
        <w:tabs/>
        <w:rPr>
          <w:rFonts w:ascii="宋体" w:hAnsi="宋体" w:cs="宋体" w:eastAsia="宋体" w:hint="ascii"/>
          <w:b w:val="1"/>
          <w:sz w:val="21"/>
        </w:rPr>
      </w:pPr>
      <w:r>
        <w:rPr>
          <w:rFonts w:ascii="宋体" w:hAnsi="宋体" w:cs="宋体" w:eastAsia="宋体" w:hint="ascii"/>
          <w:sz w:val="21"/>
          <w:spacing w:val="-2"/>
        </w:rPr>
        <w:t>注：中国工程物理研究院科研人员可以申请或参与</w:t>
      </w:r>
      <w:r>
        <w:rPr>
          <w:rFonts w:ascii="宋体" w:hAnsi="宋体" w:cs="宋体" w:eastAsia="宋体" w:hint="ascii"/>
          <w:sz w:val="21"/>
          <w:spacing w:val="-1"/>
        </w:rPr>
        <w:t>申请，并鼓</w:t>
      </w:r>
      <w:r>
        <w:rPr>
          <w:rFonts w:ascii="宋体" w:hAnsi="宋体" w:cs="宋体" w:eastAsia="宋体" w:hint="ascii"/>
          <w:sz w:val="21"/>
          <w:spacing w:val="25"/>
        </w:rPr>
        <w:t>励</w:t>
      </w:r>
      <w:r>
        <w:rPr>
          <w:rFonts w:ascii="Times New Roman" w:hAnsi="Times New Roman" w:cs="Times New Roman" w:eastAsia="Times New Roman" w:hint="ascii"/>
          <w:b w:val="1"/>
          <w:sz w:val="21"/>
          <w:spacing w:val="51"/>
        </w:rPr>
        <w:t>2</w:t>
      </w:r>
      <w:r>
        <w:rPr>
          <w:rFonts w:ascii="宋体" w:hAnsi="宋体" w:cs="宋体" w:eastAsia="宋体" w:hint="ascii"/>
          <w:sz w:val="21"/>
          <w:spacing w:val="25"/>
        </w:rPr>
        <w:t>或</w:t>
      </w:r>
      <w:r>
        <w:rPr>
          <w:rFonts w:ascii="Times New Roman" w:hAnsi="Times New Roman" w:cs="Times New Roman" w:eastAsia="Times New Roman" w:hint="ascii"/>
          <w:b w:val="1"/>
          <w:sz w:val="21"/>
          <w:spacing w:val="52"/>
        </w:rPr>
        <w:t>3</w:t>
      </w:r>
      <w:r>
        <w:rPr>
          <w:rFonts w:ascii="宋体" w:hAnsi="宋体" w:cs="宋体" w:eastAsia="宋体" w:hint="ascii"/>
          <w:sz w:val="21"/>
          <w:spacing w:val="-1"/>
        </w:rPr>
        <w:t>个单位合作</w:t>
      </w:r>
      <w:r>
        <w:rPr>
          <w:rFonts w:ascii="宋体" w:hAnsi="宋体" w:cs="宋体" w:eastAsia="宋体" w:hint="ascii"/>
          <w:sz w:val="21"/>
        </w:rPr>
        <w:t xml:space="preserve"> 开展研究</w:t>
      </w:r>
      <w:r>
        <w:rPr>
          <w:rFonts w:ascii="宋体" w:hAnsi="宋体" w:cs="宋体" w:eastAsia="宋体" w:hint="ascii"/>
          <w:b w:val="1"/>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二、培育项目方向和课题</w:t>
      </w:r>
    </w:p>
    <w:p>
      <w:pPr>
        <w:autoSpaceDE w:val="0"/>
        <w:autoSpaceDN w:val="0"/>
        <w:jc w:val="left"/>
        <w:spacing w:before="198"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鼓励研究方向</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GL1. </w:t>
      </w:r>
      <w:r>
        <w:rPr>
          <w:rFonts w:ascii="宋体" w:hAnsi="宋体" w:cs="宋体" w:eastAsia="宋体" w:hint="ascii"/>
          <w:sz w:val="21"/>
        </w:rPr>
        <w:t>高温高压条件下金属铌和铀的原子间相互作用势的构建与应用</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GL2. </w:t>
      </w:r>
      <w:r>
        <w:rPr>
          <w:rFonts w:ascii="宋体" w:hAnsi="宋体" w:cs="宋体" w:eastAsia="宋体" w:hint="ascii"/>
          <w:sz w:val="21"/>
        </w:rPr>
        <w:t>金属材料位错结构与力学响应的相场方法研究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GL3. </w:t>
      </w:r>
      <w:r>
        <w:rPr>
          <w:rFonts w:ascii="宋体" w:hAnsi="宋体" w:cs="宋体" w:eastAsia="宋体" w:hint="ascii"/>
          <w:sz w:val="21"/>
        </w:rPr>
        <w:t>绝热剪切失效的微介观组织演化及形成机制研究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GL4. </w:t>
      </w:r>
      <w:r>
        <w:rPr>
          <w:rFonts w:ascii="宋体" w:hAnsi="宋体" w:cs="宋体" w:eastAsia="宋体" w:hint="ascii"/>
          <w:sz w:val="21"/>
        </w:rPr>
        <w:t>高聚物粘结颗粒体裂纹萌生与自愈机理研究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GL5. </w:t>
      </w:r>
      <w:r>
        <w:rPr>
          <w:rFonts w:ascii="宋体" w:hAnsi="宋体" w:cs="宋体" w:eastAsia="宋体" w:hint="ascii"/>
          <w:sz w:val="21"/>
        </w:rPr>
        <w:t>真空中沿面闪络特性及其绝缘性能提升研究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GL6. </w:t>
      </w:r>
      <w:r>
        <w:rPr>
          <w:rFonts w:ascii="宋体" w:hAnsi="宋体" w:cs="宋体" w:eastAsia="宋体" w:hint="ascii"/>
          <w:sz w:val="21"/>
        </w:rPr>
        <w:t>快中子编码成像诊断技术应用研究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GL7. </w:t>
      </w:r>
      <w:r>
        <w:rPr>
          <w:rFonts w:ascii="宋体" w:hAnsi="宋体" w:cs="宋体" w:eastAsia="宋体" w:hint="ascii"/>
          <w:sz w:val="21"/>
        </w:rPr>
        <w:t>氮化镓电子器件三元氮化物新型栅介质及钝化介质研究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GL8. </w:t>
      </w:r>
      <w:r>
        <w:rPr>
          <w:rFonts w:ascii="宋体" w:hAnsi="宋体" w:cs="宋体" w:eastAsia="宋体" w:hint="ascii"/>
          <w:sz w:val="21"/>
        </w:rPr>
        <w:t>随机散射介质中的量子成像及图像传输研究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GL9. </w:t>
      </w:r>
      <w:r>
        <w:rPr>
          <w:rFonts w:ascii="宋体" w:hAnsi="宋体" w:cs="宋体" w:eastAsia="宋体" w:hint="ascii"/>
          <w:sz w:val="21"/>
        </w:rPr>
        <w:t>轻重介质混合问题的动理学研究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GL10. </w:t>
      </w:r>
      <w:r>
        <w:rPr>
          <w:rFonts w:ascii="宋体" w:hAnsi="宋体" w:cs="宋体" w:eastAsia="宋体" w:hint="ascii"/>
          <w:sz w:val="21"/>
        </w:rPr>
        <w:t>基于深度学习的函数型数据分析与处理</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GL</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rPr>
        <w:t xml:space="preserve">1. </w:t>
      </w:r>
      <w:r>
        <w:rPr>
          <w:rFonts w:ascii="宋体" w:hAnsi="宋体" w:cs="宋体" w:eastAsia="宋体" w:hint="ascii"/>
          <w:sz w:val="21"/>
        </w:rPr>
        <w:t>高氮金属配合物电荷转移效应与激光起爆特性关系研究</w:t>
      </w:r>
    </w:p>
    <w:p>
      <w:pPr>
        <w:autoSpaceDE w:val="0"/>
        <w:autoSpaceDN w:val="0"/>
        <w:jc w:val="left"/>
        <w:spacing w:before="5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GL12. </w:t>
      </w:r>
      <w:r>
        <w:rPr>
          <w:rFonts w:ascii="宋体" w:hAnsi="宋体" w:cs="宋体" w:eastAsia="宋体" w:hint="ascii"/>
          <w:sz w:val="21"/>
        </w:rPr>
        <w:t>多价态氧化物混合相光学常数的光谱分析研究</w:t>
      </w:r>
    </w:p>
    <w:p>
      <w:pPr>
        <w:autoSpaceDE w:val="0"/>
        <w:autoSpaceDN w:val="0"/>
        <w:jc w:val="left"/>
        <w:spacing w:before="297"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GL13. </w:t>
      </w:r>
      <w:r>
        <w:rPr>
          <w:rFonts w:ascii="宋体" w:hAnsi="宋体" w:cs="宋体" w:eastAsia="宋体" w:hint="ascii"/>
          <w:sz w:val="21"/>
        </w:rPr>
        <w:t>脉冲电流辅助铍热塑性变形过程中的电热效应研究</w:t>
      </w:r>
      <w:r>
        <w:rPr>
          <w:rFonts w:ascii="宋体" w:hAnsi="宋体" w:cs="宋体" w:eastAsia="宋体" w:hint="ascii"/>
          <w:sz w:val="21"/>
        </w:rPr>
        <mc:AlternateContent>
          <mc:Choice Requires="wps">
            <w:drawing>
              <wp:anchor distL="0" distR="0" distT="0" distB="0" simplePos="0" behindDoc="1" relativeHeight="263" locked="0" layoutInCell="1" allowOverlap="1">
                <wp:simplePos x="0" y="0"/>
                <wp:positionH relativeFrom="page">
                  <wp:posOffset>938530</wp:posOffset>
                </wp:positionH>
                <wp:positionV relativeFrom="page">
                  <wp:posOffset>819150</wp:posOffset>
                </wp:positionV>
                <wp:extent cx="5076190" cy="0"/>
                <wp:wrapNone/>
                <wp:docPr id="1292" name="129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88928;width:399.70pt;" id="129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注：中国工程物理研究院科研人员不能作为申请人，但可作为参加人</w:t>
      </w:r>
      <w:r>
        <w:rPr>
          <w:rFonts w:ascii="宋体" w:hAnsi="宋体" w:cs="宋体" w:eastAsia="宋体" w:hint="ascii"/>
          <w:b w:val="1"/>
          <w:sz w:val="21"/>
        </w:rPr>
        <w:t>。</w:t>
      </w:r>
    </w:p>
    <w:p>
      <w:pPr>
        <w:autoSpaceDE w:val="0"/>
        <w:autoSpaceDN w:val="0"/>
        <w:jc w:val="left"/>
        <w:spacing w:before="49"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2. </w:t>
      </w:r>
      <w:r>
        <w:rPr>
          <w:rFonts w:ascii="宋体" w:hAnsi="宋体" w:cs="宋体" w:eastAsia="宋体" w:hint="ascii"/>
          <w:sz w:val="21"/>
        </w:rPr>
        <w:t>明确目标课题</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spacing w:val="51"/>
        </w:rPr>
        <w:t>X</w:t>
      </w:r>
      <w:r>
        <w:rPr>
          <w:rFonts w:ascii="宋体" w:hAnsi="宋体" w:cs="宋体" w:eastAsia="宋体" w:hint="ascii"/>
          <w:sz w:val="21"/>
        </w:rPr>
        <w:t>射线图像分析中</w:t>
      </w:r>
      <w:r>
        <w:rPr>
          <w:rFonts w:ascii="宋体" w:hAnsi="宋体" w:cs="宋体" w:eastAsia="宋体" w:hint="ascii"/>
          <w:sz w:val="21"/>
          <w:spacing w:val="26"/>
        </w:rPr>
        <w:t>的</w:t>
      </w:r>
      <w:r>
        <w:rPr>
          <w:rFonts w:ascii="Times New Roman" w:hAnsi="Times New Roman" w:cs="Times New Roman" w:eastAsia="Times New Roman" w:hint="ascii"/>
          <w:sz w:val="21"/>
        </w:rPr>
        <w:t>MCMC-Bayesia</w:t>
      </w:r>
      <w:r>
        <w:rPr>
          <w:rFonts w:ascii="Times New Roman" w:hAnsi="Times New Roman" w:cs="Times New Roman" w:eastAsia="Times New Roman" w:hint="ascii"/>
          <w:sz w:val="21"/>
          <w:spacing w:val="52"/>
        </w:rPr>
        <w:t>n</w:t>
      </w:r>
      <w:r>
        <w:rPr>
          <w:rFonts w:ascii="宋体" w:hAnsi="宋体" w:cs="宋体" w:eastAsia="宋体" w:hint="ascii"/>
          <w:sz w:val="21"/>
        </w:rPr>
        <w:t>理论与计算方法研究；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AlO</w:t>
      </w:r>
      <w:r>
        <w:rPr>
          <w:rFonts w:ascii="Times New Roman" w:hAnsi="Times New Roman" w:cs="Times New Roman" w:eastAsia="Times New Roman" w:hint="ascii"/>
          <w:sz w:val="21"/>
          <w:spacing w:val="51"/>
        </w:rPr>
        <w:t>N</w:t>
      </w:r>
      <w:r>
        <w:rPr>
          <w:rFonts w:ascii="宋体" w:hAnsi="宋体" w:cs="宋体" w:eastAsia="宋体" w:hint="ascii"/>
          <w:sz w:val="21"/>
        </w:rPr>
        <w:t>透明陶瓷的阻抗匹配设计与冲击物性研究；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）高温高应变率下密排六方金属钛力学性质的晶体塑性研究；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w:t>
      </w:r>
      <w:r>
        <w:rPr>
          <w:rFonts w:ascii="Times New Roman" w:hAnsi="Times New Roman" w:cs="Times New Roman" w:eastAsia="Times New Roman" w:hint="ascii"/>
          <w:sz w:val="21"/>
        </w:rPr>
        <w:t>PB</w:t>
      </w:r>
      <w:r>
        <w:rPr>
          <w:rFonts w:ascii="Times New Roman" w:hAnsi="Times New Roman" w:cs="Times New Roman" w:eastAsia="Times New Roman" w:hint="ascii"/>
          <w:sz w:val="21"/>
          <w:spacing w:val="51"/>
        </w:rPr>
        <w:t>X</w:t>
      </w:r>
      <w:r>
        <w:rPr>
          <w:rFonts w:ascii="宋体" w:hAnsi="宋体" w:cs="宋体" w:eastAsia="宋体" w:hint="ascii"/>
          <w:sz w:val="21"/>
        </w:rPr>
        <w:t>炸药界面结合强度的疲劳演化机理研究；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）多气氛作用</w:t>
      </w:r>
      <w:r>
        <w:rPr>
          <w:rFonts w:ascii="宋体" w:hAnsi="宋体" w:cs="宋体" w:eastAsia="宋体" w:hint="ascii"/>
          <w:sz w:val="21"/>
          <w:spacing w:val="26"/>
        </w:rPr>
        <w:t>下</w:t>
      </w:r>
      <w:r>
        <w:rPr>
          <w:rFonts w:ascii="Times New Roman" w:hAnsi="Times New Roman" w:cs="Times New Roman" w:eastAsia="Times New Roman" w:hint="ascii"/>
          <w:sz w:val="21"/>
          <w:spacing w:val="-7"/>
        </w:rPr>
        <w:t>T</w:t>
      </w:r>
      <w:r>
        <w:rPr>
          <w:rFonts w:ascii="Times New Roman" w:hAnsi="Times New Roman" w:cs="Times New Roman" w:eastAsia="Times New Roman" w:hint="ascii"/>
          <w:sz w:val="21"/>
        </w:rPr>
        <w:t>i</w:t>
      </w:r>
      <w:r>
        <w:rPr>
          <w:rFonts w:ascii="Times New Roman" w:hAnsi="Times New Roman" w:cs="Times New Roman" w:eastAsia="Times New Roman" w:hint="ascii"/>
          <w:sz w:val="21"/>
          <w:spacing w:val="51"/>
        </w:rPr>
        <w:t>N</w:t>
      </w:r>
      <w:r>
        <w:rPr>
          <w:rFonts w:ascii="宋体" w:hAnsi="宋体" w:cs="宋体" w:eastAsia="宋体" w:hint="ascii"/>
          <w:sz w:val="21"/>
        </w:rPr>
        <w:t>涂层腐蚀失效过程的力</w:t>
      </w:r>
      <w:r>
        <w:rPr>
          <w:rFonts w:ascii="宋体" w:hAnsi="宋体" w:cs="宋体" w:eastAsia="宋体" w:hint="ascii"/>
          <w:sz w:val="21"/>
        </w:rPr>
        <w:t>-</w:t>
      </w:r>
      <w:r>
        <w:rPr>
          <w:rFonts w:ascii="宋体" w:hAnsi="宋体" w:cs="宋体" w:eastAsia="宋体" w:hint="ascii"/>
          <w:sz w:val="21"/>
        </w:rPr>
        <w:t>化学耦合机理研究；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）辐照条件下典型掺</w:t>
      </w:r>
      <w:r>
        <w:rPr>
          <w:rFonts w:ascii="宋体" w:hAnsi="宋体" w:cs="宋体" w:eastAsia="宋体" w:hint="ascii"/>
          <w:sz w:val="21"/>
          <w:spacing w:val="27"/>
        </w:rPr>
        <w:t>杂</w:t>
      </w:r>
      <w:r>
        <w:rPr>
          <w:rFonts w:ascii="Times New Roman" w:hAnsi="Times New Roman" w:cs="Times New Roman" w:eastAsia="Times New Roman" w:hint="ascii"/>
          <w:sz w:val="21"/>
        </w:rPr>
        <w:t>Ga</w:t>
      </w:r>
      <w:r>
        <w:rPr>
          <w:rFonts w:ascii="Times New Roman" w:hAnsi="Times New Roman" w:cs="Times New Roman" w:eastAsia="Times New Roman" w:hint="ascii"/>
          <w:sz w:val="21"/>
          <w:spacing w:val="51"/>
        </w:rPr>
        <w:t>N</w:t>
      </w:r>
      <w:r>
        <w:rPr>
          <w:rFonts w:ascii="宋体" w:hAnsi="宋体" w:cs="宋体" w:eastAsia="宋体" w:hint="ascii"/>
          <w:sz w:val="21"/>
        </w:rPr>
        <w:t>材料力学行为的多尺度模拟研究；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）面向动力学性能优化的多组件系统保结构布局设计方法研究；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）动态环境下精密齿轮传动机构多体动力学建模方法及动态特性研究；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）超精密气体静压轴承自激振动机理及抑制方法研究；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）基于超薄结构人工表面等离激元的太赫兹传感研究；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rPr>
        <w:t>）用于记录高速多幅体全息的光热折变玻璃的特性研究；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12</w:t>
      </w:r>
      <w:r>
        <w:rPr>
          <w:rFonts w:ascii="宋体" w:hAnsi="宋体" w:cs="宋体" w:eastAsia="宋体" w:hint="ascii"/>
          <w:sz w:val="21"/>
        </w:rPr>
        <w:t>）高空间分辨率的体布拉格光栅窄带滤波光谱成像技术；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）伴随粒子法高空间和快时间分辨的中子成像探测技术研究；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）独立局域网络用户异常行为检测模型研究；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15</w:t>
      </w:r>
      <w:r>
        <w:rPr>
          <w:rFonts w:ascii="宋体" w:hAnsi="宋体" w:cs="宋体" w:eastAsia="宋体" w:hint="ascii"/>
          <w:sz w:val="21"/>
        </w:rPr>
        <w:t>）微纳尺度摩擦驱动机理及应用研究；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16</w:t>
      </w:r>
      <w:r>
        <w:rPr>
          <w:rFonts w:ascii="宋体" w:hAnsi="宋体" w:cs="宋体" w:eastAsia="宋体" w:hint="ascii"/>
          <w:sz w:val="21"/>
        </w:rPr>
        <w:t>）结构可控的冷原子全息光波导的设计和应用研究；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17</w:t>
      </w:r>
      <w:r>
        <w:rPr>
          <w:rFonts w:ascii="宋体" w:hAnsi="宋体" w:cs="宋体" w:eastAsia="宋体" w:hint="ascii"/>
          <w:sz w:val="21"/>
        </w:rPr>
        <w:t>）室温盖革模式氮化</w:t>
      </w:r>
      <w:r>
        <w:rPr>
          <w:rFonts w:ascii="宋体" w:hAnsi="宋体" w:cs="宋体" w:eastAsia="宋体" w:hint="ascii"/>
          <w:sz w:val="21"/>
          <w:spacing w:val="27"/>
        </w:rPr>
        <w:t>物</w:t>
      </w:r>
      <w:r>
        <w:rPr>
          <w:rFonts w:ascii="Times New Roman" w:hAnsi="Times New Roman" w:cs="Times New Roman" w:eastAsia="Times New Roman" w:hint="ascii"/>
          <w:sz w:val="21"/>
        </w:rPr>
        <w:t>AP</w:t>
      </w:r>
      <w:r>
        <w:rPr>
          <w:rFonts w:ascii="Times New Roman" w:hAnsi="Times New Roman" w:cs="Times New Roman" w:eastAsia="Times New Roman" w:hint="ascii"/>
          <w:sz w:val="21"/>
          <w:spacing w:val="52"/>
        </w:rPr>
        <w:t>D</w:t>
      </w:r>
      <w:r>
        <w:rPr>
          <w:rFonts w:ascii="宋体" w:hAnsi="宋体" w:cs="宋体" w:eastAsia="宋体" w:hint="ascii"/>
          <w:sz w:val="21"/>
        </w:rPr>
        <w:t>低噪声单光子探测机理研究；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18</w:t>
      </w:r>
      <w:r>
        <w:rPr>
          <w:rFonts w:ascii="宋体" w:hAnsi="宋体" w:cs="宋体" w:eastAsia="宋体" w:hint="ascii"/>
          <w:sz w:val="21"/>
        </w:rPr>
        <w:t>）机动平台下扩展面目标宽角度雷达回波积累方法；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19</w:t>
      </w:r>
      <w:r>
        <w:rPr>
          <w:rFonts w:ascii="宋体" w:hAnsi="宋体" w:cs="宋体" w:eastAsia="宋体" w:hint="ascii"/>
          <w:sz w:val="21"/>
        </w:rPr>
        <w:t>）镍包覆碳纳米管复合薄膜的制备及电磁防护性能研究；</w:t>
      </w:r>
    </w:p>
    <w:p>
      <w:pPr>
        <w:autoSpaceDE w:val="0"/>
        <w:autoSpaceDN w:val="0"/>
        <w:jc w:val="left"/>
        <w:spacing w:before="5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20</w:t>
      </w:r>
      <w:r>
        <w:rPr>
          <w:rFonts w:ascii="宋体" w:hAnsi="宋体" w:cs="宋体" w:eastAsia="宋体" w:hint="ascii"/>
          <w:sz w:val="21"/>
        </w:rPr>
        <w:t>）数模混合电路系统时间效应的故障预测及健康管理方法研究；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21</w:t>
      </w:r>
      <w:r>
        <w:rPr>
          <w:rFonts w:ascii="宋体" w:hAnsi="宋体" w:cs="宋体" w:eastAsia="宋体" w:hint="ascii"/>
          <w:sz w:val="21"/>
        </w:rPr>
        <w:t>）伽马射线源的多模态高分辨率定量重建与增强现实；</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22</w:t>
      </w:r>
      <w:r>
        <w:rPr>
          <w:rFonts w:ascii="宋体" w:hAnsi="宋体" w:cs="宋体" w:eastAsia="宋体" w:hint="ascii"/>
          <w:sz w:val="21"/>
        </w:rPr>
        <w:t>）光学材料激光初始损伤的分子动力学模型研究；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23</w:t>
      </w:r>
      <w:r>
        <w:rPr>
          <w:rFonts w:ascii="宋体" w:hAnsi="宋体" w:cs="宋体" w:eastAsia="宋体" w:hint="ascii"/>
          <w:sz w:val="21"/>
        </w:rPr>
        <w:t>）用于核取证分析与核材料特征反演的算法研究；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24</w:t>
      </w:r>
      <w:r>
        <w:rPr>
          <w:rFonts w:ascii="宋体" w:hAnsi="宋体" w:cs="宋体" w:eastAsia="宋体" w:hint="ascii"/>
          <w:sz w:val="21"/>
        </w:rPr>
        <w:t>）中子诱发重核裂变后产物的演化规律及定量描述；</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25</w:t>
      </w:r>
      <w:r>
        <w:rPr>
          <w:rFonts w:ascii="宋体" w:hAnsi="宋体" w:cs="宋体" w:eastAsia="宋体" w:hint="ascii"/>
          <w:sz w:val="21"/>
        </w:rPr>
        <w:t>）凝聚炸药爆轰高分辨率自适应模拟方法研究；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26</w:t>
      </w:r>
      <w:r>
        <w:rPr>
          <w:rFonts w:ascii="宋体" w:hAnsi="宋体" w:cs="宋体" w:eastAsia="宋体" w:hint="ascii"/>
          <w:sz w:val="21"/>
        </w:rPr>
        <w:t>）高平均功率连续激光作用下光学元件表面缺陷热效应演化特性研究；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27</w:t>
      </w:r>
      <w:r>
        <w:rPr>
          <w:rFonts w:ascii="宋体" w:hAnsi="宋体" w:cs="宋体" w:eastAsia="宋体" w:hint="ascii"/>
          <w:sz w:val="21"/>
        </w:rPr>
        <w:t>）平板微流道流场</w:t>
      </w:r>
      <w:r>
        <w:rPr>
          <w:rFonts w:ascii="宋体" w:hAnsi="宋体" w:cs="宋体" w:eastAsia="宋体" w:hint="ascii"/>
          <w:sz w:val="21"/>
        </w:rPr>
        <w:t>-</w:t>
      </w:r>
      <w:r>
        <w:rPr>
          <w:rFonts w:ascii="宋体" w:hAnsi="宋体" w:cs="宋体" w:eastAsia="宋体" w:hint="ascii"/>
          <w:sz w:val="21"/>
        </w:rPr>
        <w:t>热</w:t>
      </w:r>
      <w:r>
        <w:rPr>
          <w:rFonts w:ascii="宋体" w:hAnsi="宋体" w:cs="宋体" w:eastAsia="宋体" w:hint="ascii"/>
          <w:sz w:val="21"/>
        </w:rPr>
        <w:t>-</w:t>
      </w:r>
      <w:r>
        <w:rPr>
          <w:rFonts w:ascii="宋体" w:hAnsi="宋体" w:cs="宋体" w:eastAsia="宋体" w:hint="ascii"/>
          <w:sz w:val="21"/>
        </w:rPr>
        <w:t>光耦合机理研究；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28</w:t>
      </w:r>
      <w:r>
        <w:rPr>
          <w:rFonts w:ascii="宋体" w:hAnsi="宋体" w:cs="宋体" w:eastAsia="宋体" w:hint="ascii"/>
          <w:sz w:val="21"/>
        </w:rPr>
        <w:t>）激光陶瓷材料单晶化机理研究；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29</w:t>
      </w:r>
      <w:r>
        <w:rPr>
          <w:rFonts w:ascii="宋体" w:hAnsi="宋体" w:cs="宋体" w:eastAsia="宋体" w:hint="ascii"/>
          <w:sz w:val="21"/>
        </w:rPr>
        <w:t>）脉冲功率半导体开关关键技术研究；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30</w:t>
      </w:r>
      <w:r>
        <w:rPr>
          <w:rFonts w:ascii="宋体" w:hAnsi="宋体" w:cs="宋体" w:eastAsia="宋体" w:hint="ascii"/>
          <w:sz w:val="21"/>
        </w:rPr>
        <w:t>）高击穿场强有机包覆纳米粒子</w:t>
      </w:r>
      <w:r>
        <w:rPr>
          <w:rFonts w:ascii="Times New Roman" w:hAnsi="Times New Roman" w:cs="Times New Roman" w:eastAsia="Times New Roman" w:hint="ascii"/>
          <w:sz w:val="21"/>
        </w:rPr>
        <w:t>/</w:t>
      </w:r>
      <w:r>
        <w:rPr>
          <w:rFonts w:ascii="宋体" w:hAnsi="宋体" w:cs="宋体" w:eastAsia="宋体" w:hint="ascii"/>
          <w:sz w:val="21"/>
        </w:rPr>
        <w:t>聚丙烯复合电介质的制备与击穿机理；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31</w:t>
      </w:r>
      <w:r>
        <w:rPr>
          <w:rFonts w:ascii="宋体" w:hAnsi="宋体" w:cs="宋体" w:eastAsia="宋体" w:hint="ascii"/>
          <w:sz w:val="21"/>
        </w:rPr>
        <w:t>）非谐晶格声子能谱的模拟研究；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32</w:t>
      </w:r>
      <w:r>
        <w:rPr>
          <w:rFonts w:ascii="宋体" w:hAnsi="宋体" w:cs="宋体" w:eastAsia="宋体" w:hint="ascii"/>
          <w:sz w:val="21"/>
        </w:rPr>
        <w:t>）新型含氟端羟基聚合物结构设计与交联网络调控研究；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33</w:t>
      </w:r>
      <w:r>
        <w:rPr>
          <w:rFonts w:ascii="宋体" w:hAnsi="宋体" w:cs="宋体" w:eastAsia="宋体" w:hint="ascii"/>
          <w:sz w:val="21"/>
        </w:rPr>
        <w:t>）电子封装材料用碳基助剂的导热阻燃协同机理研究；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34</w:t>
      </w:r>
      <w:r>
        <w:rPr>
          <w:rFonts w:ascii="宋体" w:hAnsi="宋体" w:cs="宋体" w:eastAsia="宋体" w:hint="ascii"/>
          <w:sz w:val="21"/>
        </w:rPr>
        <w:t>）轻质合金蜂窝</w:t>
      </w:r>
      <w:r>
        <w:rPr>
          <w:rFonts w:ascii="宋体" w:hAnsi="宋体" w:cs="宋体" w:eastAsia="宋体" w:hint="ascii"/>
          <w:sz w:val="21"/>
        </w:rPr>
        <w:t>-</w:t>
      </w:r>
      <w:r>
        <w:rPr>
          <w:rFonts w:ascii="宋体" w:hAnsi="宋体" w:cs="宋体" w:eastAsia="宋体" w:hint="ascii"/>
          <w:sz w:val="21"/>
        </w:rPr>
        <w:t>聚合物杂化材料减振机理研究；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35</w:t>
      </w:r>
      <w:r>
        <w:rPr>
          <w:rFonts w:ascii="宋体" w:hAnsi="宋体" w:cs="宋体" w:eastAsia="宋体" w:hint="ascii"/>
          <w:sz w:val="21"/>
        </w:rPr>
        <w:t>）严酷环境条件下锂离子电池及其关键材料的失效机制研究；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36</w:t>
      </w:r>
      <w:r>
        <w:rPr>
          <w:rFonts w:ascii="宋体" w:hAnsi="宋体" w:cs="宋体" w:eastAsia="宋体" w:hint="ascii"/>
          <w:sz w:val="21"/>
        </w:rPr>
        <w:t>）固态锂金属电池的负极改性及纳米结构电极</w:t>
      </w:r>
      <w:r>
        <w:rPr>
          <w:rFonts w:ascii="Times New Roman" w:hAnsi="Times New Roman" w:cs="Times New Roman" w:eastAsia="Times New Roman" w:hint="ascii"/>
          <w:sz w:val="21"/>
        </w:rPr>
        <w:t>/</w:t>
      </w:r>
      <w:r>
        <w:rPr>
          <w:rFonts w:ascii="宋体" w:hAnsi="宋体" w:cs="宋体" w:eastAsia="宋体" w:hint="ascii"/>
          <w:sz w:val="21"/>
        </w:rPr>
        <w:t>电解质界面研究；</w:t>
      </w:r>
    </w:p>
    <w:p>
      <w:pPr>
        <w:autoSpaceDE w:val="0"/>
        <w:autoSpaceDN w:val="0"/>
        <w:jc w:val="left"/>
        <w:spacing w:before="284"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37</w:t>
      </w:r>
      <w:r>
        <w:rPr>
          <w:rFonts w:ascii="宋体" w:hAnsi="宋体" w:cs="宋体" w:eastAsia="宋体" w:hint="ascii"/>
          <w:sz w:val="21"/>
        </w:rPr>
        <w:t>）外场作用</w:t>
      </w:r>
      <w:r>
        <w:rPr>
          <w:rFonts w:ascii="宋体" w:hAnsi="宋体" w:cs="宋体" w:eastAsia="宋体" w:hint="ascii"/>
          <w:sz w:val="21"/>
          <w:spacing w:val="27"/>
        </w:rPr>
        <w:t>下</w:t>
      </w:r>
      <w:r>
        <w:rPr>
          <w:rFonts w:ascii="Times New Roman" w:hAnsi="Times New Roman" w:cs="Times New Roman" w:eastAsia="Times New Roman" w:hint="ascii"/>
          <w:sz w:val="21"/>
        </w:rPr>
        <w:t>U-N</w:t>
      </w:r>
      <w:r>
        <w:rPr>
          <w:rFonts w:ascii="Times New Roman" w:hAnsi="Times New Roman" w:cs="Times New Roman" w:eastAsia="Times New Roman" w:hint="ascii"/>
          <w:sz w:val="21"/>
          <w:spacing w:val="52"/>
        </w:rPr>
        <w:t>b</w:t>
      </w:r>
      <w:r>
        <w:rPr>
          <w:rFonts w:ascii="宋体" w:hAnsi="宋体" w:cs="宋体" w:eastAsia="宋体" w:hint="ascii"/>
          <w:sz w:val="21"/>
        </w:rPr>
        <w:t>合金凝固组织演化机制和缺陷控制研究；</w:t>
      </w:r>
      <w:r>
        <w:rPr>
          <w:rFonts w:ascii="宋体" w:hAnsi="宋体" w:cs="宋体" w:eastAsia="宋体" w:hint="ascii"/>
          <w:sz w:val="21"/>
        </w:rPr>
        <mc:AlternateContent>
          <mc:Choice Requires="wps">
            <w:drawing>
              <wp:anchor distL="0" distR="0" distT="0" distB="0" simplePos="0" behindDoc="1" relativeHeight="264" locked="0" layoutInCell="1" allowOverlap="1">
                <wp:simplePos x="0" y="0"/>
                <wp:positionH relativeFrom="page">
                  <wp:posOffset>938530</wp:posOffset>
                </wp:positionH>
                <wp:positionV relativeFrom="page">
                  <wp:posOffset>805815</wp:posOffset>
                </wp:positionV>
                <wp:extent cx="5076190" cy="0"/>
                <wp:wrapNone/>
                <wp:docPr id="1293" name="129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87904;width:399.70pt;" id="129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38</w:t>
      </w:r>
      <w:r>
        <w:rPr>
          <w:rFonts w:ascii="宋体" w:hAnsi="宋体" w:cs="宋体" w:eastAsia="宋体" w:hint="ascii"/>
          <w:sz w:val="21"/>
        </w:rPr>
        <w:t>）氮化铀表面氧化机制的原位研究；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39</w:t>
      </w:r>
      <w:r>
        <w:rPr>
          <w:rFonts w:ascii="宋体" w:hAnsi="宋体" w:cs="宋体" w:eastAsia="宋体" w:hint="ascii"/>
          <w:sz w:val="21"/>
        </w:rPr>
        <w:t>）钚镓合金中氦泡形核生长及元素偏析的介观尺度模型研究；</w:t>
      </w:r>
    </w:p>
    <w:p>
      <w:pPr>
        <w:autoSpaceDE w:val="0"/>
        <w:autoSpaceDN w:val="0"/>
        <w:jc w:val="both"/>
        <w:spacing w:before="10" w:after="0" w:lineRule="exact" w:line="312"/>
        <w:ind w:right="1714"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40</w:t>
      </w:r>
      <w:r>
        <w:rPr>
          <w:rFonts w:ascii="宋体" w:hAnsi="宋体" w:cs="宋体" w:eastAsia="宋体" w:hint="ascii"/>
          <w:sz w:val="21"/>
          <w:spacing w:val="-1"/>
        </w:rPr>
        <w:t>）镍酸镧</w:t>
      </w:r>
      <w:r>
        <w:rPr>
          <w:rFonts w:ascii="宋体" w:hAnsi="宋体" w:cs="宋体" w:eastAsia="宋体" w:hint="ascii"/>
          <w:sz w:val="21"/>
        </w:rPr>
        <w:t>及锰酸镧多孔材料微观结构及其超高功率与大容量储能机制；（</w:t>
      </w:r>
      <w:r>
        <w:rPr>
          <w:rFonts w:ascii="Times New Roman" w:hAnsi="Times New Roman" w:cs="Times New Roman" w:eastAsia="Times New Roman" w:hint="ascii"/>
          <w:sz w:val="21"/>
        </w:rPr>
        <w:t>41</w:t>
      </w:r>
      <w:r>
        <w:rPr>
          <w:rFonts w:ascii="宋体" w:hAnsi="宋体" w:cs="宋体" w:eastAsia="宋体" w:hint="ascii"/>
          <w:sz w:val="21"/>
        </w:rPr>
        <w:t>）掺稀土离</w:t>
      </w:r>
      <w:r>
        <w:rPr>
          <w:rFonts w:ascii="宋体" w:hAnsi="宋体" w:cs="宋体" w:eastAsia="宋体" w:hint="ascii"/>
          <w:sz w:val="21"/>
          <w:spacing w:val="27"/>
        </w:rPr>
        <w:t>子</w:t>
      </w:r>
      <w:r>
        <w:rPr>
          <w:rFonts w:ascii="Times New Roman" w:hAnsi="Times New Roman" w:cs="Times New Roman" w:eastAsia="Times New Roman" w:hint="ascii"/>
          <w:sz w:val="21"/>
        </w:rPr>
        <w:t>Yb</w:t>
      </w:r>
      <w:r>
        <w:rPr>
          <w:rFonts w:ascii="宋体" w:hAnsi="宋体" w:cs="宋体" w:eastAsia="宋体" w:hint="ascii"/>
          <w:sz w:val="21"/>
        </w:rPr>
        <w:t>：</w:t>
      </w:r>
      <w:r>
        <w:rPr>
          <w:rFonts w:ascii="Times New Roman" w:hAnsi="Times New Roman" w:cs="Times New Roman" w:eastAsia="Times New Roman" w:hint="ascii"/>
          <w:sz w:val="21"/>
        </w:rPr>
        <w:t>CaF</w:t>
      </w:r>
      <w:r>
        <w:rPr>
          <w:rFonts w:ascii="Times New Roman" w:hAnsi="Times New Roman" w:cs="Times New Roman" w:eastAsia="Times New Roman" w:hint="ascii"/>
          <w:sz w:val="21"/>
          <w:vertAlign w:val="subscript"/>
          <w:spacing w:val="36"/>
        </w:rPr>
        <w:t>2</w:t>
      </w:r>
      <w:r>
        <w:rPr>
          <w:rFonts w:ascii="宋体" w:hAnsi="宋体" w:cs="宋体" w:eastAsia="宋体" w:hint="ascii"/>
          <w:sz w:val="21"/>
        </w:rPr>
        <w:t>激光晶体光谱调控技术研究；</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42</w:t>
      </w:r>
      <w:r>
        <w:rPr>
          <w:rFonts w:ascii="宋体" w:hAnsi="宋体" w:cs="宋体" w:eastAsia="宋体" w:hint="ascii"/>
          <w:sz w:val="21"/>
        </w:rPr>
        <w:t>）高功率窄线宽激光光纤放大系统的布里渊散射抑制技术研究。</w:t>
      </w:r>
    </w:p>
    <w:p>
      <w:pPr>
        <w:autoSpaceDE w:val="0"/>
        <w:autoSpaceDN w:val="0"/>
        <w:jc w:val="left"/>
        <w:spacing w:before="49" w:after="0" w:lineRule="exact" w:line="263"/>
        <w:ind w:right="0" w:left="1386" w:firstLine="0"/>
        <w:snapToGrid w:val="0"/>
        <w:textAlignment w:val="auto"/>
        <w:tabs/>
        <w:rPr>
          <w:rFonts w:ascii="宋体" w:hAnsi="宋体" w:cs="宋体" w:eastAsia="宋体" w:hint="ascii"/>
          <w:b w:val="1"/>
          <w:sz w:val="21"/>
        </w:rPr>
      </w:pPr>
      <w:r>
        <w:rPr>
          <w:rFonts w:ascii="宋体" w:hAnsi="宋体" w:cs="宋体" w:eastAsia="宋体" w:hint="ascii"/>
          <w:sz w:val="21"/>
        </w:rPr>
        <w:t>注：中国工程物理研究院科研人员不能作为申请人，但可作为参与者</w:t>
      </w:r>
      <w:r>
        <w:rPr>
          <w:rFonts w:ascii="宋体" w:hAnsi="宋体" w:cs="宋体" w:eastAsia="宋体" w:hint="ascii"/>
          <w:b w:val="1"/>
          <w:sz w:val="21"/>
        </w:rPr>
        <w:t>。</w:t>
      </w:r>
    </w:p>
    <w:p>
      <w:pPr>
        <w:autoSpaceDE w:val="0"/>
        <w:autoSpaceDN w:val="0"/>
        <w:jc w:val="both"/>
        <w:spacing w:before="10"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上列各</w:t>
      </w:r>
      <w:r>
        <w:rPr>
          <w:rFonts w:ascii="宋体" w:hAnsi="宋体" w:cs="宋体" w:eastAsia="宋体" w:hint="ascii"/>
          <w:sz w:val="21"/>
          <w:spacing w:val="-1"/>
        </w:rPr>
        <w:t>项的</w:t>
      </w:r>
      <w:r>
        <w:rPr>
          <w:rFonts w:ascii="宋体" w:hAnsi="宋体" w:cs="宋体" w:eastAsia="宋体" w:hint="ascii"/>
          <w:sz w:val="21"/>
        </w:rPr>
        <w:t>具体研</w:t>
      </w:r>
      <w:r>
        <w:rPr>
          <w:rFonts w:ascii="宋体" w:hAnsi="宋体" w:cs="宋体" w:eastAsia="宋体" w:hint="ascii"/>
          <w:sz w:val="21"/>
          <w:spacing w:val="-1"/>
        </w:rPr>
        <w:t>究内</w:t>
      </w:r>
      <w:r>
        <w:rPr>
          <w:rFonts w:ascii="宋体" w:hAnsi="宋体" w:cs="宋体" w:eastAsia="宋体" w:hint="ascii"/>
          <w:sz w:val="21"/>
        </w:rPr>
        <w:t>容、成</w:t>
      </w:r>
      <w:r>
        <w:rPr>
          <w:rFonts w:ascii="宋体" w:hAnsi="宋体" w:cs="宋体" w:eastAsia="宋体" w:hint="ascii"/>
          <w:sz w:val="21"/>
          <w:spacing w:val="-1"/>
        </w:rPr>
        <w:t>果形</w:t>
      </w:r>
      <w:r>
        <w:rPr>
          <w:rFonts w:ascii="宋体" w:hAnsi="宋体" w:cs="宋体" w:eastAsia="宋体" w:hint="ascii"/>
          <w:sz w:val="21"/>
        </w:rPr>
        <w:t>式等，</w:t>
      </w:r>
      <w:r>
        <w:rPr>
          <w:rFonts w:ascii="宋体" w:hAnsi="宋体" w:cs="宋体" w:eastAsia="宋体" w:hint="ascii"/>
          <w:sz w:val="21"/>
          <w:spacing w:val="-1"/>
        </w:rPr>
        <w:t>请参</w:t>
      </w:r>
      <w:r>
        <w:rPr>
          <w:rFonts w:ascii="宋体" w:hAnsi="宋体" w:cs="宋体" w:eastAsia="宋体" w:hint="ascii"/>
          <w:sz w:val="21"/>
        </w:rPr>
        <w:t>阅网页（</w:t>
      </w:r>
      <w:r>
        <w:rPr>
          <w:rFonts w:ascii="Times New Roman" w:hAnsi="Times New Roman" w:cs="Times New Roman" w:eastAsia="Times New Roman" w:hint="ascii"/>
          <w:sz w:val="21"/>
          <w:spacing w:val="-1"/>
        </w:rPr>
        <w:t>ht</w:t>
      </w:r>
      <w:r>
        <w:rPr>
          <w:rFonts w:ascii="Times New Roman" w:hAnsi="Times New Roman" w:cs="Times New Roman" w:eastAsia="Times New Roman" w:hint="ascii"/>
          <w:sz w:val="21"/>
        </w:rPr>
        <w:t>t</w:t>
      </w:r>
      <w:r>
        <w:rPr>
          <w:rFonts w:ascii="Times New Roman" w:hAnsi="Times New Roman" w:cs="Times New Roman" w:eastAsia="Times New Roman" w:hint="ascii"/>
          <w:sz w:val="21"/>
          <w:spacing w:val="-1"/>
        </w:rPr>
        <w:t>p:</w:t>
      </w:r>
      <w:r>
        <w:rPr>
          <w:rFonts w:ascii="Times New Roman" w:hAnsi="Times New Roman" w:cs="Times New Roman" w:eastAsia="Times New Roman" w:hint="ascii"/>
          <w:sz w:val="21"/>
        </w:rPr>
        <w:t>//ww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.ca</w:t>
      </w:r>
      <w:r>
        <w:rPr>
          <w:rFonts w:ascii="Times New Roman" w:hAnsi="Times New Roman" w:cs="Times New Roman" w:eastAsia="Times New Roman" w:hint="ascii"/>
          <w:sz w:val="21"/>
          <w:spacing w:val="-1"/>
        </w:rPr>
        <w:t>e</w:t>
      </w:r>
      <w:r>
        <w:rPr>
          <w:rFonts w:ascii="Times New Roman" w:hAnsi="Times New Roman" w:cs="Times New Roman" w:eastAsia="Times New Roman" w:hint="ascii"/>
          <w:sz w:val="21"/>
        </w:rPr>
        <w:t>p.</w:t>
      </w:r>
      <w:r>
        <w:rPr>
          <w:rFonts w:ascii="Times New Roman" w:hAnsi="Times New Roman" w:cs="Times New Roman" w:eastAsia="Times New Roman" w:hint="ascii"/>
          <w:sz w:val="21"/>
          <w:spacing w:val="-1"/>
        </w:rPr>
        <w:t>a</w:t>
      </w:r>
      <w:r>
        <w:rPr>
          <w:rFonts w:ascii="Times New Roman" w:hAnsi="Times New Roman" w:cs="Times New Roman" w:eastAsia="Times New Roman" w:hint="ascii"/>
          <w:sz w:val="21"/>
        </w:rPr>
        <w:t>c.</w:t>
      </w:r>
      <w:r>
        <w:rPr>
          <w:rFonts w:ascii="Times New Roman" w:hAnsi="Times New Roman" w:cs="Times New Roman" w:eastAsia="Times New Roman" w:hint="ascii"/>
          <w:sz w:val="21"/>
          <w:spacing w:val="-1"/>
        </w:rPr>
        <w:t>c</w:t>
      </w:r>
      <w:r>
        <w:rPr>
          <w:rFonts w:ascii="Times New Roman" w:hAnsi="Times New Roman" w:cs="Times New Roman" w:eastAsia="Times New Roman" w:hint="ascii"/>
          <w:sz w:val="21"/>
        </w:rPr>
        <w:t>n</w:t>
      </w:r>
      <w:r>
        <w:rPr>
          <w:rFonts w:ascii="宋体" w:hAnsi="宋体" w:cs="宋体" w:eastAsia="宋体" w:hint="ascii"/>
          <w:sz w:val="21"/>
        </w:rPr>
        <w:t>）相</w:t>
      </w:r>
      <w:r>
        <w:rPr>
          <w:rFonts w:ascii="宋体" w:hAnsi="宋体" w:cs="宋体" w:eastAsia="宋体" w:hint="ascii"/>
          <w:sz w:val="21"/>
          <w:spacing w:val="-2"/>
        </w:rPr>
        <w:t>关</w:t>
      </w:r>
      <w:r>
        <w:rPr>
          <w:rFonts w:ascii="宋体" w:hAnsi="宋体" w:cs="宋体" w:eastAsia="宋体" w:hint="ascii"/>
          <w:sz w:val="21"/>
        </w:rPr>
        <w:t>内容，或与中国工程物理研究院基金办公室联系。</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both"/>
        <w:spacing w:before="157"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）本联</w:t>
      </w:r>
      <w:r>
        <w:rPr>
          <w:rFonts w:ascii="宋体" w:hAnsi="宋体" w:cs="宋体" w:eastAsia="宋体" w:hint="ascii"/>
          <w:sz w:val="21"/>
        </w:rPr>
        <w:t>合基金项目由数理科学部负责受理申请并与中国工程物理研究院基金办共同组织评审。</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0"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）本联</w:t>
      </w:r>
      <w:r>
        <w:rPr>
          <w:rFonts w:ascii="宋体" w:hAnsi="宋体" w:cs="宋体" w:eastAsia="宋体" w:hint="ascii"/>
          <w:sz w:val="21"/>
        </w:rPr>
        <w:t>合基金项目与科学基金其他相关类型项目共同限项申请，限制申请和承担项目总数及其共同限项项目类型见本《指南》中的限项申请规定。</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）申请书资助类别选择</w:t>
      </w:r>
      <w:r>
        <w:rPr>
          <w:rFonts w:ascii="宋体" w:hAnsi="宋体" w:cs="宋体" w:eastAsia="宋体" w:hint="ascii"/>
          <w:sz w:val="21"/>
          <w:spacing w:val="-50"/>
        </w:rPr>
        <w:t>：</w:t>
      </w:r>
      <w:r>
        <w:rPr>
          <w:rFonts w:ascii="宋体" w:hAnsi="宋体" w:cs="宋体" w:eastAsia="宋体" w:hint="ascii"/>
          <w:sz w:val="21"/>
        </w:rPr>
        <w:t>“联合基金项目</w:t>
      </w:r>
      <w:r>
        <w:rPr>
          <w:rFonts w:ascii="宋体" w:hAnsi="宋体" w:cs="宋体" w:eastAsia="宋体" w:hint="ascii"/>
          <w:sz w:val="21"/>
          <w:spacing w:val="-51"/>
        </w:rPr>
        <w:t>”</w:t>
      </w:r>
      <w:r>
        <w:rPr>
          <w:rFonts w:ascii="宋体" w:hAnsi="宋体" w:cs="宋体" w:eastAsia="宋体" w:hint="ascii"/>
          <w:sz w:val="21"/>
        </w:rPr>
        <w:t>，亚类说明选择</w:t>
      </w:r>
      <w:r>
        <w:rPr>
          <w:rFonts w:ascii="宋体" w:hAnsi="宋体" w:cs="宋体" w:eastAsia="宋体" w:hint="ascii"/>
          <w:sz w:val="21"/>
          <w:spacing w:val="-51"/>
        </w:rPr>
        <w:t>：</w:t>
      </w:r>
      <w:r>
        <w:rPr>
          <w:rFonts w:ascii="宋体" w:hAnsi="宋体" w:cs="宋体" w:eastAsia="宋体" w:hint="ascii"/>
          <w:sz w:val="21"/>
        </w:rPr>
        <w:t>“培育项目”或“重</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点支持项目</w:t>
      </w:r>
      <w:r>
        <w:rPr>
          <w:rFonts w:ascii="宋体" w:hAnsi="宋体" w:cs="宋体" w:eastAsia="宋体" w:hint="ascii"/>
          <w:sz w:val="21"/>
          <w:spacing w:val="-53"/>
        </w:rPr>
        <w:t>”</w:t>
      </w:r>
      <w:r>
        <w:rPr>
          <w:rFonts w:ascii="宋体" w:hAnsi="宋体" w:cs="宋体" w:eastAsia="宋体" w:hint="ascii"/>
          <w:sz w:val="21"/>
        </w:rPr>
        <w:t>；附注说明选择</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NSAF</w:t>
      </w:r>
      <w:r>
        <w:rPr>
          <w:rFonts w:ascii="Times New Roman" w:hAnsi="Times New Roman" w:cs="Times New Roman" w:eastAsia="Times New Roman" w:hint="ascii"/>
          <w:sz w:val="21"/>
          <w:spacing w:val="-7"/>
        </w:rPr>
        <w:t xml:space="preserve"> </w:t>
      </w:r>
      <w:r>
        <w:rPr>
          <w:rFonts w:ascii="宋体" w:hAnsi="宋体" w:cs="宋体" w:eastAsia="宋体" w:hint="ascii"/>
          <w:sz w:val="21"/>
        </w:rPr>
        <w:t>联合基金</w:t>
      </w:r>
      <w:r>
        <w:rPr>
          <w:rFonts w:ascii="宋体" w:hAnsi="宋体" w:cs="宋体" w:eastAsia="宋体" w:hint="ascii"/>
          <w:sz w:val="21"/>
          <w:spacing w:val="-53"/>
        </w:rPr>
        <w:t>”</w:t>
      </w:r>
      <w:r>
        <w:rPr>
          <w:rFonts w:ascii="宋体" w:hAnsi="宋体" w:cs="宋体" w:eastAsia="宋体" w:hint="ascii"/>
          <w:sz w:val="21"/>
        </w:rPr>
        <w:t>，申请代码</w:t>
      </w:r>
      <w:r>
        <w:rPr>
          <w:rFonts w:ascii="宋体" w:hAnsi="宋体" w:cs="宋体" w:eastAsia="宋体" w:hint="ascii"/>
          <w:sz w:val="21"/>
          <w:spacing w:val="-7"/>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7"/>
        </w:rPr>
        <w:t xml:space="preserve"> </w:t>
      </w:r>
      <w:r>
        <w:rPr>
          <w:rFonts w:ascii="宋体" w:hAnsi="宋体" w:cs="宋体" w:eastAsia="宋体" w:hint="ascii"/>
          <w:sz w:val="21"/>
        </w:rPr>
        <w:t>须选择</w:t>
      </w:r>
      <w:r>
        <w:rPr>
          <w:rFonts w:ascii="宋体" w:hAnsi="宋体" w:cs="宋体" w:eastAsia="宋体" w:hint="ascii"/>
          <w:sz w:val="21"/>
          <w:spacing w:val="-6"/>
        </w:rPr>
        <w:t xml:space="preserve"> </w:t>
      </w:r>
      <w:r>
        <w:rPr>
          <w:rFonts w:ascii="Times New Roman" w:hAnsi="Times New Roman" w:cs="Times New Roman" w:eastAsia="Times New Roman" w:hint="ascii"/>
          <w:sz w:val="21"/>
        </w:rPr>
        <w:t>A06</w:t>
      </w:r>
      <w:r>
        <w:rPr>
          <w:rFonts w:ascii="宋体" w:hAnsi="宋体" w:cs="宋体" w:eastAsia="宋体" w:hint="ascii"/>
          <w:sz w:val="21"/>
        </w:rPr>
        <w:t>，申请代码</w:t>
      </w:r>
    </w:p>
    <w:p>
      <w:pPr>
        <w:autoSpaceDE w:val="0"/>
        <w:autoSpaceDN w:val="0"/>
        <w:jc w:val="left"/>
        <w:spacing w:before="49"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52"/>
        </w:rPr>
        <w:t>2</w:t>
      </w:r>
      <w:r>
        <w:rPr>
          <w:rFonts w:ascii="宋体" w:hAnsi="宋体" w:cs="宋体" w:eastAsia="宋体" w:hint="ascii"/>
          <w:sz w:val="21"/>
        </w:rPr>
        <w:t>按实际研究方向选择相应学科申请代码（</w:t>
      </w:r>
      <w:r>
        <w:rPr>
          <w:rFonts w:ascii="宋体" w:hAnsi="宋体" w:cs="宋体" w:eastAsia="宋体" w:hint="ascii"/>
          <w:sz w:val="21"/>
          <w:spacing w:val="27"/>
        </w:rPr>
        <w:t>如</w:t>
      </w:r>
      <w:r>
        <w:rPr>
          <w:rFonts w:ascii="Times New Roman" w:hAnsi="Times New Roman" w:cs="Times New Roman" w:eastAsia="Times New Roman" w:hint="ascii"/>
          <w:sz w:val="21"/>
        </w:rPr>
        <w:t>A040204</w:t>
      </w:r>
      <w:r>
        <w:rPr>
          <w:rFonts w:ascii="宋体" w:hAnsi="宋体" w:cs="宋体" w:eastAsia="宋体" w:hint="ascii"/>
          <w:sz w:val="21"/>
        </w:rPr>
        <w:t>、</w:t>
      </w:r>
      <w:r>
        <w:rPr>
          <w:rFonts w:ascii="Times New Roman" w:hAnsi="Times New Roman" w:cs="Times New Roman" w:eastAsia="Times New Roman" w:hint="ascii"/>
          <w:sz w:val="21"/>
        </w:rPr>
        <w:t>E02</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101</w:t>
      </w:r>
      <w:r>
        <w:rPr>
          <w:rFonts w:ascii="宋体" w:hAnsi="宋体" w:cs="宋体" w:eastAsia="宋体" w:hint="ascii"/>
          <w:sz w:val="21"/>
        </w:rPr>
        <w:t>、</w:t>
      </w:r>
      <w:r>
        <w:rPr>
          <w:rFonts w:ascii="Times New Roman" w:hAnsi="Times New Roman" w:cs="Times New Roman" w:eastAsia="Times New Roman" w:hint="ascii"/>
          <w:sz w:val="21"/>
        </w:rPr>
        <w:t>B03010</w:t>
      </w:r>
      <w:r>
        <w:rPr>
          <w:rFonts w:ascii="Times New Roman" w:hAnsi="Times New Roman" w:cs="Times New Roman" w:eastAsia="Times New Roman" w:hint="ascii"/>
          <w:sz w:val="21"/>
          <w:spacing w:val="52"/>
        </w:rPr>
        <w:t>6</w:t>
      </w:r>
      <w:r>
        <w:rPr>
          <w:rFonts w:ascii="宋体" w:hAnsi="宋体" w:cs="宋体" w:eastAsia="宋体" w:hint="ascii"/>
          <w:sz w:val="21"/>
        </w:rPr>
        <w:t>等</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rPr>
        <w:t xml:space="preserve">申请书正文开头应首先说明申请 </w:t>
      </w:r>
      <w:r>
        <w:rPr>
          <w:rFonts w:ascii="Times New Roman" w:hAnsi="Times New Roman" w:cs="Times New Roman" w:eastAsia="Times New Roman" w:hint="ascii"/>
          <w:sz w:val="21"/>
        </w:rPr>
        <w:t xml:space="preserve">NSAF </w:t>
      </w:r>
      <w:r>
        <w:rPr>
          <w:rFonts w:ascii="宋体" w:hAnsi="宋体" w:cs="宋体" w:eastAsia="宋体" w:hint="ascii"/>
          <w:sz w:val="21"/>
        </w:rPr>
        <w:t>联合基金中的“重点支持项目</w:t>
      </w:r>
      <w:r>
        <w:rPr>
          <w:rFonts w:ascii="宋体" w:hAnsi="宋体" w:cs="宋体" w:eastAsia="宋体" w:hint="ascii"/>
          <w:sz w:val="21"/>
          <w:spacing w:val="-52"/>
        </w:rPr>
        <w:t>”、</w:t>
      </w:r>
      <w:r>
        <w:rPr>
          <w:rFonts w:ascii="宋体" w:hAnsi="宋体" w:cs="宋体" w:eastAsia="宋体" w:hint="ascii"/>
          <w:sz w:val="21"/>
        </w:rPr>
        <w:t>“培育项</w:t>
      </w:r>
      <w:r>
        <w:rPr>
          <w:rFonts w:ascii="宋体" w:hAnsi="宋体" w:cs="宋体" w:eastAsia="宋体" w:hint="ascii"/>
          <w:sz w:val="21"/>
          <w:spacing w:val="3"/>
        </w:rPr>
        <w:t>目”中的</w:t>
      </w:r>
      <w:r>
        <w:rPr>
          <w:rFonts w:ascii="宋体" w:hAnsi="宋体" w:cs="宋体" w:eastAsia="宋体" w:hint="ascii"/>
          <w:sz w:val="21"/>
          <w:spacing w:val="2"/>
        </w:rPr>
        <w:t>重</w:t>
      </w:r>
      <w:r>
        <w:rPr>
          <w:rFonts w:ascii="宋体" w:hAnsi="宋体" w:cs="宋体" w:eastAsia="宋体" w:hint="ascii"/>
          <w:sz w:val="21"/>
          <w:spacing w:val="3"/>
        </w:rPr>
        <w:t>点支持项</w:t>
      </w:r>
      <w:r>
        <w:rPr>
          <w:rFonts w:ascii="宋体" w:hAnsi="宋体" w:cs="宋体" w:eastAsia="宋体" w:hint="ascii"/>
          <w:sz w:val="21"/>
          <w:spacing w:val="2"/>
        </w:rPr>
        <w:t>目</w:t>
      </w:r>
      <w:r>
        <w:rPr>
          <w:rFonts w:ascii="宋体" w:hAnsi="宋体" w:cs="宋体" w:eastAsia="宋体" w:hint="ascii"/>
          <w:sz w:val="21"/>
          <w:spacing w:val="3"/>
        </w:rPr>
        <w:t>、</w:t>
      </w:r>
      <w:r>
        <w:rPr>
          <w:rFonts w:ascii="宋体" w:hAnsi="宋体" w:cs="宋体" w:eastAsia="宋体" w:hint="ascii"/>
          <w:sz w:val="21"/>
          <w:spacing w:val="2"/>
        </w:rPr>
        <w:t>鼓励研</w:t>
      </w:r>
      <w:r>
        <w:rPr>
          <w:rFonts w:ascii="宋体" w:hAnsi="宋体" w:cs="宋体" w:eastAsia="宋体" w:hint="ascii"/>
          <w:sz w:val="21"/>
          <w:spacing w:val="1"/>
        </w:rPr>
        <w:t>究</w:t>
      </w:r>
      <w:r>
        <w:rPr>
          <w:rFonts w:ascii="宋体" w:hAnsi="宋体" w:cs="宋体" w:eastAsia="宋体" w:hint="ascii"/>
          <w:sz w:val="21"/>
          <w:spacing w:val="2"/>
        </w:rPr>
        <w:t>方向或明</w:t>
      </w:r>
      <w:r>
        <w:rPr>
          <w:rFonts w:ascii="宋体" w:hAnsi="宋体" w:cs="宋体" w:eastAsia="宋体" w:hint="ascii"/>
          <w:sz w:val="21"/>
          <w:spacing w:val="1"/>
        </w:rPr>
        <w:t>确</w:t>
      </w:r>
      <w:r>
        <w:rPr>
          <w:rFonts w:ascii="宋体" w:hAnsi="宋体" w:cs="宋体" w:eastAsia="宋体" w:hint="ascii"/>
          <w:sz w:val="21"/>
          <w:spacing w:val="2"/>
        </w:rPr>
        <w:t>目标课题</w:t>
      </w:r>
      <w:r>
        <w:rPr>
          <w:rFonts w:ascii="宋体" w:hAnsi="宋体" w:cs="宋体" w:eastAsia="宋体" w:hint="ascii"/>
          <w:sz w:val="21"/>
          <w:spacing w:val="1"/>
        </w:rPr>
        <w:t>相</w:t>
      </w:r>
      <w:r>
        <w:rPr>
          <w:rFonts w:ascii="宋体" w:hAnsi="宋体" w:cs="宋体" w:eastAsia="宋体" w:hint="ascii"/>
          <w:sz w:val="21"/>
          <w:spacing w:val="2"/>
        </w:rPr>
        <w:t>应条目的</w:t>
      </w:r>
      <w:r>
        <w:rPr>
          <w:rFonts w:ascii="宋体" w:hAnsi="宋体" w:cs="宋体" w:eastAsia="宋体" w:hint="ascii"/>
          <w:sz w:val="21"/>
        </w:rPr>
        <w:t>题</w:t>
      </w:r>
      <w:r>
        <w:rPr>
          <w:rFonts w:ascii="宋体" w:hAnsi="宋体" w:cs="宋体" w:eastAsia="宋体" w:hint="ascii"/>
          <w:sz w:val="21"/>
          <w:spacing w:val="2"/>
        </w:rPr>
        <w:t>目、内容，</w:t>
      </w:r>
      <w:r>
        <w:rPr>
          <w:rFonts w:ascii="宋体" w:hAnsi="宋体" w:cs="宋体" w:eastAsia="宋体" w:hint="ascii"/>
          <w:sz w:val="21"/>
          <w:spacing w:val="3"/>
        </w:rPr>
        <w:t>如</w:t>
      </w:r>
      <w:r>
        <w:rPr>
          <w:rFonts w:ascii="宋体" w:hAnsi="宋体" w:cs="宋体" w:eastAsia="宋体" w:hint="ascii"/>
          <w:sz w:val="21"/>
        </w:rPr>
        <w:t>：</w:t>
      </w:r>
      <w:r>
        <w:rPr>
          <w:rFonts w:ascii="Times New Roman" w:hAnsi="Times New Roman" w:cs="Times New Roman" w:eastAsia="Times New Roman" w:hint="ascii"/>
          <w:sz w:val="21"/>
        </w:rPr>
        <w:t>[</w:t>
      </w:r>
      <w:r>
        <w:rPr>
          <w:rFonts w:ascii="宋体" w:hAnsi="宋体" w:cs="宋体" w:eastAsia="宋体" w:hint="ascii"/>
          <w:sz w:val="21"/>
        </w:rPr>
        <w:t>本申请针</w:t>
      </w:r>
      <w:r>
        <w:rPr>
          <w:rFonts w:ascii="宋体" w:hAnsi="宋体" w:cs="宋体" w:eastAsia="宋体" w:hint="ascii"/>
          <w:sz w:val="21"/>
          <w:spacing w:val="-1"/>
        </w:rPr>
        <w:t>对</w:t>
      </w:r>
      <w:r>
        <w:rPr>
          <w:rFonts w:ascii="宋体" w:hAnsi="宋体" w:cs="宋体" w:eastAsia="宋体" w:hint="ascii"/>
          <w:sz w:val="21"/>
        </w:rPr>
        <w:t>“培育项</w:t>
      </w:r>
      <w:r>
        <w:rPr>
          <w:rFonts w:ascii="宋体" w:hAnsi="宋体" w:cs="宋体" w:eastAsia="宋体" w:hint="ascii"/>
          <w:sz w:val="21"/>
          <w:spacing w:val="-1"/>
        </w:rPr>
        <w:t>目</w:t>
      </w:r>
      <w:r>
        <w:rPr>
          <w:rFonts w:ascii="宋体" w:hAnsi="宋体" w:cs="宋体" w:eastAsia="宋体" w:hint="ascii"/>
          <w:sz w:val="21"/>
        </w:rPr>
        <w:t>”的明确</w:t>
      </w:r>
      <w:r>
        <w:rPr>
          <w:rFonts w:ascii="宋体" w:hAnsi="宋体" w:cs="宋体" w:eastAsia="宋体" w:hint="ascii"/>
          <w:sz w:val="21"/>
          <w:spacing w:val="-1"/>
        </w:rPr>
        <w:t>目</w:t>
      </w:r>
      <w:r>
        <w:rPr>
          <w:rFonts w:ascii="宋体" w:hAnsi="宋体" w:cs="宋体" w:eastAsia="宋体" w:hint="ascii"/>
          <w:sz w:val="21"/>
        </w:rPr>
        <w:t>标课题–（</w:t>
      </w:r>
      <w:r>
        <w:rPr>
          <w:rFonts w:ascii="Times New Roman" w:hAnsi="Times New Roman" w:cs="Times New Roman" w:eastAsia="Times New Roman" w:hint="ascii"/>
          <w:sz w:val="21"/>
        </w:rPr>
        <w:t>8</w:t>
      </w:r>
      <w:r>
        <w:rPr>
          <w:rFonts w:ascii="宋体" w:hAnsi="宋体" w:cs="宋体" w:eastAsia="宋体" w:hint="ascii"/>
          <w:sz w:val="21"/>
        </w:rPr>
        <w:t>）多响应</w:t>
      </w:r>
      <w:r>
        <w:rPr>
          <w:rFonts w:ascii="宋体" w:hAnsi="宋体" w:cs="宋体" w:eastAsia="宋体" w:hint="ascii"/>
          <w:sz w:val="21"/>
          <w:spacing w:val="-1"/>
        </w:rPr>
        <w:t>量</w:t>
      </w:r>
      <w:r>
        <w:rPr>
          <w:rFonts w:ascii="宋体" w:hAnsi="宋体" w:cs="宋体" w:eastAsia="宋体" w:hint="ascii"/>
          <w:sz w:val="21"/>
        </w:rPr>
        <w:t>模型预测</w:t>
      </w:r>
      <w:r>
        <w:rPr>
          <w:rFonts w:ascii="宋体" w:hAnsi="宋体" w:cs="宋体" w:eastAsia="宋体" w:hint="ascii"/>
          <w:sz w:val="21"/>
          <w:spacing w:val="-1"/>
        </w:rPr>
        <w:t>置</w:t>
      </w:r>
      <w:r>
        <w:rPr>
          <w:rFonts w:ascii="宋体" w:hAnsi="宋体" w:cs="宋体" w:eastAsia="宋体" w:hint="ascii"/>
          <w:sz w:val="21"/>
        </w:rPr>
        <w:t>信度评估</w:t>
      </w:r>
      <w:r>
        <w:rPr>
          <w:rFonts w:ascii="宋体" w:hAnsi="宋体" w:cs="宋体" w:eastAsia="宋体" w:hint="ascii"/>
          <w:sz w:val="21"/>
          <w:spacing w:val="-1"/>
        </w:rPr>
        <w:t>方</w:t>
      </w:r>
      <w:r>
        <w:rPr>
          <w:rFonts w:ascii="宋体" w:hAnsi="宋体" w:cs="宋体" w:eastAsia="宋体" w:hint="ascii"/>
          <w:sz w:val="21"/>
        </w:rPr>
        <w:t>法</w:t>
      </w:r>
      <w:r>
        <w:rPr>
          <w:rFonts w:ascii="宋体" w:hAnsi="宋体" w:cs="宋体" w:eastAsia="宋体" w:hint="ascii"/>
          <w:sz w:val="21"/>
          <w:spacing w:val="-2"/>
        </w:rPr>
        <w:t>研</w:t>
      </w:r>
      <w:r>
        <w:rPr>
          <w:rFonts w:ascii="宋体" w:hAnsi="宋体" w:cs="宋体" w:eastAsia="宋体" w:hint="ascii"/>
          <w:sz w:val="21"/>
        </w:rPr>
        <w:t>究动态环境下精密齿轮传动机构多体动力学建模方法及动态特性研究，……</w:t>
      </w:r>
      <w:r>
        <w:rPr>
          <w:rFonts w:ascii="Times New Roman" w:hAnsi="Times New Roman" w:cs="Times New Roman" w:eastAsia="Times New Roman" w:hint="ascii"/>
          <w:sz w:val="21"/>
        </w:rPr>
        <w:t>]</w:t>
      </w:r>
      <w:r>
        <w:rPr>
          <w:rFonts w:ascii="宋体" w:hAnsi="宋体" w:cs="宋体" w:eastAsia="宋体" w:hint="ascii"/>
          <w:sz w:val="21"/>
        </w:rPr>
        <w:t>，以便评审专家清楚了解申请人所针对的题目和内容。</w:t>
      </w:r>
    </w:p>
    <w:p>
      <w:pPr>
        <w:autoSpaceDE w:val="0"/>
        <w:autoSpaceDN w:val="0"/>
        <w:jc w:val="both"/>
        <w:spacing w:before="0" w:after="0" w:lineRule="exact" w:line="312"/>
        <w:ind w:right="976" w:left="861" w:firstLine="42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5</w:t>
      </w:r>
      <w:r>
        <w:rPr>
          <w:rFonts w:ascii="宋体" w:hAnsi="宋体" w:cs="宋体" w:eastAsia="宋体" w:hint="ascii"/>
          <w:sz w:val="21"/>
          <w:spacing w:val="-2"/>
        </w:rPr>
        <w:t>）中国工程物理研究院的科研人员不能作为申</w:t>
      </w:r>
      <w:r>
        <w:rPr>
          <w:rFonts w:ascii="宋体" w:hAnsi="宋体" w:cs="宋体" w:eastAsia="宋体" w:hint="ascii"/>
          <w:sz w:val="21"/>
          <w:spacing w:val="-1"/>
        </w:rPr>
        <w:t>请人但可作为项目组成员参与申请</w:t>
      </w:r>
      <w:r>
        <w:rPr>
          <w:rFonts w:ascii="宋体" w:hAnsi="宋体" w:cs="宋体" w:eastAsia="宋体" w:hint="ascii"/>
          <w:sz w:val="21"/>
        </w:rPr>
        <w:t xml:space="preserve"> </w:t>
      </w:r>
      <w:r>
        <w:rPr>
          <w:rFonts w:ascii="宋体" w:hAnsi="宋体" w:cs="宋体" w:eastAsia="宋体" w:hint="ascii"/>
          <w:sz w:val="21"/>
          <w:spacing w:val="-1"/>
        </w:rPr>
        <w:t>“培育项目</w:t>
      </w:r>
      <w:r>
        <w:rPr>
          <w:rFonts w:ascii="宋体" w:hAnsi="宋体" w:cs="宋体" w:eastAsia="宋体" w:hint="ascii"/>
          <w:sz w:val="21"/>
        </w:rPr>
        <w:t>”的鼓励研究方向和明确目标课题；可以申请或参与申请“重点支持项目</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并鼓</w:t>
      </w:r>
      <w:r>
        <w:rPr>
          <w:rFonts w:ascii="宋体" w:hAnsi="宋体" w:cs="宋体" w:eastAsia="宋体" w:hint="ascii"/>
          <w:sz w:val="21"/>
          <w:spacing w:val="26"/>
        </w:rPr>
        <w:t>励</w:t>
      </w:r>
      <w:r>
        <w:rPr>
          <w:rFonts w:ascii="Times New Roman" w:hAnsi="Times New Roman" w:cs="Times New Roman" w:eastAsia="Times New Roman" w:hint="ascii"/>
          <w:sz w:val="21"/>
          <w:spacing w:val="52"/>
        </w:rPr>
        <w:t>2</w:t>
      </w:r>
      <w:r>
        <w:rPr>
          <w:rFonts w:ascii="宋体" w:hAnsi="宋体" w:cs="宋体" w:eastAsia="宋体" w:hint="ascii"/>
          <w:sz w:val="21"/>
        </w:rPr>
        <w:t>个</w:t>
      </w:r>
      <w:r>
        <w:rPr>
          <w:rFonts w:ascii="宋体" w:hAnsi="宋体" w:cs="宋体" w:eastAsia="宋体" w:hint="ascii"/>
          <w:sz w:val="21"/>
          <w:spacing w:val="26"/>
        </w:rPr>
        <w:t>或</w:t>
      </w:r>
      <w:r>
        <w:rPr>
          <w:rFonts w:ascii="Times New Roman" w:hAnsi="Times New Roman" w:cs="Times New Roman" w:eastAsia="Times New Roman" w:hint="ascii"/>
          <w:sz w:val="21"/>
          <w:spacing w:val="52"/>
        </w:rPr>
        <w:t>3</w:t>
      </w:r>
      <w:r>
        <w:rPr>
          <w:rFonts w:ascii="宋体" w:hAnsi="宋体" w:cs="宋体" w:eastAsia="宋体" w:hint="ascii"/>
          <w:sz w:val="21"/>
        </w:rPr>
        <w:t>个单位优势互补、合作研究。</w:t>
      </w:r>
    </w:p>
    <w:p>
      <w:pPr>
        <w:autoSpaceDE w:val="0"/>
        <w:autoSpaceDN w:val="0"/>
        <w:jc w:val="both"/>
        <w:spacing w:before="10"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6</w:t>
      </w:r>
      <w:r>
        <w:rPr>
          <w:rFonts w:ascii="宋体" w:hAnsi="宋体" w:cs="宋体" w:eastAsia="宋体" w:hint="ascii"/>
          <w:sz w:val="21"/>
          <w:spacing w:val="-2"/>
        </w:rPr>
        <w:t>）项目申请的评审通过后，申请人及所在单位将</w:t>
      </w:r>
      <w:r>
        <w:rPr>
          <w:rFonts w:ascii="宋体" w:hAnsi="宋体" w:cs="宋体" w:eastAsia="宋体" w:hint="ascii"/>
          <w:sz w:val="21"/>
          <w:spacing w:val="-1"/>
        </w:rPr>
        <w:t>收到签订“</w:t>
      </w:r>
      <w:r>
        <w:rPr>
          <w:rFonts w:ascii="Times New Roman" w:hAnsi="Times New Roman" w:cs="Times New Roman" w:eastAsia="Times New Roman" w:hint="ascii"/>
          <w:sz w:val="21"/>
          <w:spacing w:val="-1"/>
        </w:rPr>
        <w:t>NSAF</w:t>
      </w:r>
      <w:r>
        <w:rPr>
          <w:rFonts w:ascii="Times New Roman" w:hAnsi="Times New Roman" w:cs="Times New Roman" w:eastAsia="Times New Roman" w:hint="ascii"/>
          <w:sz w:val="21"/>
          <w:spacing w:val="-6"/>
        </w:rPr>
        <w:t xml:space="preserve"> </w:t>
      </w:r>
      <w:r>
        <w:rPr>
          <w:rFonts w:ascii="宋体" w:hAnsi="宋体" w:cs="宋体" w:eastAsia="宋体" w:hint="ascii"/>
          <w:sz w:val="21"/>
          <w:spacing w:val="-1"/>
        </w:rPr>
        <w:t>联合基金资助</w:t>
      </w:r>
      <w:r>
        <w:rPr>
          <w:rFonts w:ascii="宋体" w:hAnsi="宋体" w:cs="宋体" w:eastAsia="宋体" w:hint="ascii"/>
          <w:sz w:val="21"/>
        </w:rPr>
        <w:t xml:space="preserve"> </w:t>
      </w:r>
      <w:r>
        <w:rPr>
          <w:rFonts w:ascii="宋体" w:hAnsi="宋体" w:cs="宋体" w:eastAsia="宋体" w:hint="ascii"/>
          <w:sz w:val="21"/>
          <w:spacing w:val="1"/>
        </w:rPr>
        <w:t>项目协议书”的通知。</w:t>
      </w:r>
      <w:r>
        <w:rPr>
          <w:rFonts w:ascii="宋体" w:hAnsi="宋体" w:cs="宋体" w:eastAsia="宋体" w:hint="ascii"/>
          <w:sz w:val="21"/>
        </w:rPr>
        <w:t>申请人接到通知后，应当及时与中国工程物理研究院基金办</w:t>
      </w:r>
      <w:r>
        <w:rPr>
          <w:rFonts w:ascii="宋体" w:hAnsi="宋体" w:cs="宋体" w:eastAsia="宋体" w:hint="ascii"/>
          <w:sz w:val="21"/>
          <w:spacing w:val="-6"/>
        </w:rPr>
        <w:t>联</w:t>
      </w:r>
      <w:r>
        <w:rPr>
          <w:rFonts w:ascii="宋体" w:hAnsi="宋体" w:cs="宋体" w:eastAsia="宋体" w:hint="ascii"/>
          <w:sz w:val="21"/>
        </w:rPr>
        <w:t>系，在通知规定的时间内完成协议书签订工作。</w:t>
      </w:r>
    </w:p>
    <w:p>
      <w:pPr>
        <w:autoSpaceDE w:val="0"/>
        <w:autoSpaceDN w:val="0"/>
        <w:jc w:val="both"/>
        <w:spacing w:before="0"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7</w:t>
      </w:r>
      <w:r>
        <w:rPr>
          <w:rFonts w:ascii="宋体" w:hAnsi="宋体" w:cs="宋体" w:eastAsia="宋体" w:hint="ascii"/>
          <w:sz w:val="21"/>
          <w:spacing w:val="-1"/>
        </w:rPr>
        <w:t>）承担</w:t>
      </w:r>
      <w:r>
        <w:rPr>
          <w:rFonts w:ascii="宋体" w:hAnsi="宋体" w:cs="宋体" w:eastAsia="宋体" w:hint="ascii"/>
          <w:sz w:val="21"/>
        </w:rPr>
        <w:t>本联合基金项目应当吸收中国工程物理研究院的青年科研人员作为参研青年参加研究工作，具体要求在“</w:t>
      </w:r>
      <w:r>
        <w:rPr>
          <w:rFonts w:ascii="Times New Roman" w:hAnsi="Times New Roman" w:cs="Times New Roman" w:eastAsia="Times New Roman" w:hint="ascii"/>
          <w:sz w:val="21"/>
        </w:rPr>
        <w:t>NSA</w:t>
      </w:r>
      <w:r>
        <w:rPr>
          <w:rFonts w:ascii="Times New Roman" w:hAnsi="Times New Roman" w:cs="Times New Roman" w:eastAsia="Times New Roman" w:hint="ascii"/>
          <w:sz w:val="21"/>
          <w:spacing w:val="53"/>
        </w:rPr>
        <w:t>F</w:t>
      </w:r>
      <w:r>
        <w:rPr>
          <w:rFonts w:ascii="宋体" w:hAnsi="宋体" w:cs="宋体" w:eastAsia="宋体" w:hint="ascii"/>
          <w:sz w:val="21"/>
        </w:rPr>
        <w:t>联合基金资助项目协议书”中落实。</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）资助项目在执行期间取得的研究成果，包括发表论文、专著、专利、奖励等，</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必须标注“国家自然科学基金委员会</w:t>
      </w:r>
      <w:r>
        <w:rPr>
          <w:rFonts w:ascii="宋体" w:hAnsi="宋体" w:cs="宋体" w:eastAsia="宋体" w:hint="ascii"/>
          <w:sz w:val="21"/>
          <w:spacing w:val="19"/>
        </w:rPr>
        <w:t>-</w:t>
      </w:r>
      <w:r>
        <w:rPr>
          <w:rFonts w:ascii="宋体" w:hAnsi="宋体" w:cs="宋体" w:eastAsia="宋体" w:hint="ascii"/>
          <w:sz w:val="21"/>
        </w:rPr>
        <w:t>中国工程物理研究</w:t>
      </w:r>
      <w:r>
        <w:rPr>
          <w:rFonts w:ascii="宋体" w:hAnsi="宋体" w:cs="宋体" w:eastAsia="宋体" w:hint="ascii"/>
          <w:sz w:val="21"/>
          <w:spacing w:val="-10"/>
        </w:rPr>
        <w:t>院</w:t>
      </w:r>
      <w:r>
        <w:rPr>
          <w:rFonts w:ascii="宋体" w:hAnsi="宋体" w:cs="宋体" w:eastAsia="宋体" w:hint="ascii"/>
          <w:sz w:val="21"/>
        </w:rPr>
        <w:t xml:space="preserve"> </w:t>
      </w:r>
      <w:r>
        <w:rPr>
          <w:rFonts w:ascii="Times New Roman" w:hAnsi="Times New Roman" w:cs="Times New Roman" w:eastAsia="Times New Roman" w:hint="ascii"/>
          <w:sz w:val="21"/>
        </w:rPr>
        <w:t xml:space="preserve">NSAF </w:t>
      </w:r>
      <w:r>
        <w:rPr>
          <w:rFonts w:ascii="宋体" w:hAnsi="宋体" w:cs="宋体" w:eastAsia="宋体" w:hint="ascii"/>
          <w:sz w:val="21"/>
        </w:rPr>
        <w:t>联合基金资</w:t>
      </w:r>
      <w:r>
        <w:rPr>
          <w:rFonts w:ascii="宋体" w:hAnsi="宋体" w:cs="宋体" w:eastAsia="宋体" w:hint="ascii"/>
          <w:sz w:val="21"/>
          <w:spacing w:val="-20"/>
        </w:rPr>
        <w:t>助</w:t>
      </w:r>
      <w:r>
        <w:rPr>
          <w:rFonts w:ascii="Times New Roman" w:hAnsi="Times New Roman" w:cs="Times New Roman" w:eastAsia="Times New Roman" w:hint="ascii"/>
          <w:sz w:val="21"/>
          <w:spacing w:val="-1"/>
        </w:rPr>
        <w:t>[No.U1230****</w:t>
      </w:r>
      <w:r>
        <w:rPr>
          <w:rFonts w:ascii="Times New Roman" w:hAnsi="Times New Roman" w:cs="Times New Roman" w:eastAsia="Times New Roman" w:hint="ascii"/>
          <w:sz w:val="21"/>
        </w:rPr>
        <w:t>*</w:t>
      </w:r>
      <w:r>
        <w:rPr>
          <w:rFonts w:ascii="宋体" w:hAnsi="宋体" w:cs="宋体" w:eastAsia="宋体" w:hint="ascii"/>
          <w:sz w:val="21"/>
        </w:rPr>
        <w:t>（即批准号）</w:t>
      </w:r>
      <w:r>
        <w:rPr>
          <w:rFonts w:ascii="Times New Roman" w:hAnsi="Times New Roman" w:cs="Times New Roman" w:eastAsia="Times New Roman" w:hint="ascii"/>
          <w:sz w:val="21"/>
        </w:rPr>
        <w:t>]</w:t>
      </w:r>
      <w:r>
        <w:rPr>
          <w:rFonts w:ascii="宋体" w:hAnsi="宋体" w:cs="宋体" w:eastAsia="宋体" w:hint="ascii"/>
          <w:sz w:val="21"/>
          <w:spacing w:val="-52"/>
        </w:rPr>
        <w:t>”</w:t>
      </w:r>
      <w:r>
        <w:rPr>
          <w:rFonts w:ascii="宋体" w:hAnsi="宋体" w:cs="宋体" w:eastAsia="宋体" w:hint="ascii"/>
          <w:sz w:val="21"/>
        </w:rPr>
        <w:t>，或“</w:t>
      </w:r>
      <w:r>
        <w:rPr>
          <w:rFonts w:ascii="Times New Roman" w:hAnsi="Times New Roman" w:cs="Times New Roman" w:eastAsia="Times New Roman" w:hint="ascii"/>
          <w:sz w:val="21"/>
        </w:rPr>
        <w:t>Supported</w:t>
      </w:r>
      <w:r>
        <w:rPr>
          <w:rFonts w:ascii="Times New Roman" w:hAnsi="Times New Roman" w:cs="Times New Roman" w:eastAsia="Times New Roman" w:hint="ascii"/>
          <w:sz w:val="21"/>
          <w:spacing w:val="50"/>
        </w:rPr>
        <w:t xml:space="preserve"> </w:t>
      </w:r>
      <w:r>
        <w:rPr>
          <w:rFonts w:ascii="Times New Roman" w:hAnsi="Times New Roman" w:cs="Times New Roman" w:eastAsia="Times New Roman" w:hint="ascii"/>
          <w:sz w:val="21"/>
        </w:rPr>
        <w:t>by</w:t>
      </w:r>
      <w:r>
        <w:rPr>
          <w:rFonts w:ascii="Times New Roman" w:hAnsi="Times New Roman" w:cs="Times New Roman" w:eastAsia="Times New Roman" w:hint="ascii"/>
          <w:sz w:val="21"/>
          <w:spacing w:val="50"/>
        </w:rPr>
        <w:t xml:space="preserve"> </w:t>
      </w:r>
      <w:r>
        <w:rPr>
          <w:rFonts w:ascii="Times New Roman" w:hAnsi="Times New Roman" w:cs="Times New Roman" w:eastAsia="Times New Roman" w:hint="ascii"/>
          <w:sz w:val="21"/>
        </w:rPr>
        <w:t>NSAF</w:t>
      </w:r>
      <w:r>
        <w:rPr>
          <w:rFonts w:ascii="宋体" w:hAnsi="宋体" w:cs="宋体" w:eastAsia="宋体" w:hint="ascii"/>
          <w:sz w:val="21"/>
          <w:spacing w:val="-52"/>
        </w:rPr>
        <w:t>”</w:t>
      </w:r>
      <w:r>
        <w:rPr>
          <w:rFonts w:ascii="宋体" w:hAnsi="宋体" w:cs="宋体" w:eastAsia="宋体" w:hint="ascii"/>
          <w:sz w:val="21"/>
        </w:rPr>
        <w:t>，并按照协议中要求的“成果形式”向中国工程物理研究院提供结题资料。</w:t>
      </w:r>
    </w:p>
    <w:p>
      <w:pPr>
        <w:autoSpaceDE w:val="0"/>
        <w:autoSpaceDN w:val="0"/>
        <w:jc w:val="both"/>
        <w:spacing w:before="0"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9</w:t>
      </w:r>
      <w:r>
        <w:rPr>
          <w:rFonts w:ascii="宋体" w:hAnsi="宋体" w:cs="宋体" w:eastAsia="宋体" w:hint="ascii"/>
          <w:sz w:val="21"/>
          <w:spacing w:val="-1"/>
        </w:rPr>
        <w:t>）中国</w:t>
      </w:r>
      <w:r>
        <w:rPr>
          <w:rFonts w:ascii="宋体" w:hAnsi="宋体" w:cs="宋体" w:eastAsia="宋体" w:hint="ascii"/>
          <w:sz w:val="21"/>
        </w:rPr>
        <w:t>工程物理研究院和自然科学基金委将根据年度进展和结题报告材料，组织多种形式的跟踪检查和结题审查。</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）申请人可以向中国工程物理研究院基金办了解相关课题的需求背景和要求。</w:t>
      </w:r>
    </w:p>
    <w:p>
      <w:pPr>
        <w:autoSpaceDE w:val="0"/>
        <w:autoSpaceDN w:val="0"/>
        <w:jc w:val="left"/>
        <w:spacing w:before="28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联合基金项目</w:t>
      </w:r>
      <w:rPr>
        <w:rFonts w:ascii="宋体" w:hAnsi="宋体" w:cs="宋体" w:eastAsia="宋体" w:hint="ascii"/>
        <w:sz w:val="19"/>
      </w:rP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四、联系方式</w:t>
      </w:r>
      <w:r>
        <w:rPr>
          <w:rFonts w:ascii="宋体" w:hAnsi="宋体" w:cs="宋体" w:eastAsia="宋体" w:hint="ascii"/>
        </w:rPr>
        <mc:AlternateContent>
          <mc:Choice Requires="wps">
            <w:drawing>
              <wp:anchor distL="0" distR="0" distT="0" distB="0" simplePos="0" behindDoc="1" relativeHeight="265" locked="0" layoutInCell="1" allowOverlap="1">
                <wp:simplePos x="0" y="0"/>
                <wp:positionH relativeFrom="page">
                  <wp:posOffset>938530</wp:posOffset>
                </wp:positionH>
                <wp:positionV relativeFrom="page">
                  <wp:posOffset>819150</wp:posOffset>
                </wp:positionV>
                <wp:extent cx="5076190" cy="0"/>
                <wp:wrapNone/>
                <wp:docPr id="1294" name="129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86880;width:399.70pt;" id="129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8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国家自然科学基金委员会数理科学部</w:t>
      </w:r>
    </w:p>
    <w:p>
      <w:pPr>
        <w:autoSpaceDE w:val="0"/>
        <w:autoSpaceDN w:val="0"/>
        <w:jc w:val="left"/>
        <w:spacing w:before="3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58"/>
        </w:rPr>
        <w:t xml:space="preserve"> </w:t>
      </w:r>
      <w:r>
        <w:rPr>
          <w:rFonts w:ascii="宋体" w:hAnsi="宋体" w:cs="宋体" w:eastAsia="宋体" w:hint="ascii"/>
          <w:sz w:val="21"/>
        </w:rPr>
        <w:t>址：北京市海淀区双清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w:t>
      </w:r>
    </w:p>
    <w:p>
      <w:pPr>
        <w:autoSpaceDE w:val="0"/>
        <w:autoSpaceDN w:val="0"/>
        <w:jc w:val="left"/>
        <w:spacing w:before="38"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3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人：蒲</w:t>
      </w:r>
      <w:r>
        <w:rPr>
          <w:rFonts w:ascii="宋体" w:hAnsi="宋体" w:cs="宋体" w:eastAsia="宋体" w:hint="ascii"/>
          <w:sz w:val="21"/>
          <w:spacing w:val="52"/>
        </w:rPr>
        <w:t xml:space="preserve"> </w:t>
      </w:r>
      <w:r>
        <w:rPr>
          <w:rFonts w:ascii="宋体" w:hAnsi="宋体" w:cs="宋体" w:eastAsia="宋体" w:hint="ascii"/>
          <w:sz w:val="21"/>
        </w:rPr>
        <w:t>钔</w:t>
      </w:r>
      <w:r>
        <w:rPr>
          <w:rFonts w:ascii="宋体" w:hAnsi="宋体" w:cs="宋体" w:eastAsia="宋体" w:hint="ascii"/>
          <w:sz w:val="21"/>
          <w:spacing w:val="52"/>
        </w:rPr>
        <w:t xml:space="preserve"> </w:t>
      </w:r>
      <w:r>
        <w:rPr>
          <w:rFonts w:ascii="宋体" w:hAnsi="宋体" w:cs="宋体" w:eastAsia="宋体" w:hint="ascii"/>
          <w:sz w:val="21"/>
        </w:rPr>
        <w:t>李会红</w:t>
      </w:r>
    </w:p>
    <w:p>
      <w:pPr>
        <w:autoSpaceDE w:val="0"/>
        <w:autoSpaceDN w:val="0"/>
        <w:jc w:val="left"/>
        <w:spacing w:before="38"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电</w:t>
      </w:r>
      <w:r>
        <w:rPr>
          <w:rFonts w:ascii="宋体" w:hAnsi="宋体" w:cs="宋体" w:eastAsia="宋体" w:hint="ascii"/>
          <w:sz w:val="21"/>
          <w:spacing w:val="157"/>
        </w:rPr>
        <w:t xml:space="preserve"> </w:t>
      </w:r>
      <w:r>
        <w:rPr>
          <w:rFonts w:ascii="宋体" w:hAnsi="宋体" w:cs="宋体" w:eastAsia="宋体" w:hint="ascii"/>
          <w:sz w:val="21"/>
          <w:spacing w:val="-1"/>
        </w:rPr>
        <w:t>话：</w:t>
      </w:r>
      <w:r>
        <w:rPr>
          <w:rFonts w:ascii="Times New Roman" w:hAnsi="Times New Roman" w:cs="Times New Roman" w:eastAsia="Times New Roman" w:hint="ascii"/>
          <w:sz w:val="21"/>
          <w:spacing w:val="-1"/>
        </w:rPr>
        <w:t>010</w:t>
      </w:r>
      <w:r>
        <w:rPr>
          <w:rFonts w:ascii="宋体" w:hAnsi="宋体" w:cs="宋体" w:eastAsia="宋体" w:hint="ascii"/>
          <w:sz w:val="21"/>
          <w:spacing w:val="-1"/>
        </w:rPr>
        <w:t>-</w:t>
      </w:r>
      <w:r>
        <w:rPr>
          <w:rFonts w:ascii="Times New Roman" w:hAnsi="Times New Roman" w:cs="Times New Roman" w:eastAsia="Times New Roman" w:hint="ascii"/>
          <w:sz w:val="21"/>
        </w:rPr>
        <w:t>62327182</w:t>
      </w:r>
      <w:r>
        <w:rPr>
          <w:rFonts w:ascii="宋体" w:hAnsi="宋体" w:cs="宋体" w:eastAsia="宋体" w:hint="ascii"/>
          <w:sz w:val="21"/>
        </w:rPr>
        <w:t>，</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62325069</w:t>
      </w:r>
    </w:p>
    <w:p>
      <w:pPr>
        <w:autoSpaceDE w:val="0"/>
        <w:autoSpaceDN w:val="0"/>
        <w:jc w:val="left"/>
        <w:spacing w:before="38"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phy-2@nsfc.go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p>
    <w:p>
      <w:pPr>
        <w:autoSpaceDE w:val="0"/>
        <w:autoSpaceDN w:val="0"/>
        <w:jc w:val="left"/>
        <w:spacing w:before="909"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中国工程物理研究院基金办公室</w:t>
      </w:r>
    </w:p>
    <w:p>
      <w:pPr>
        <w:autoSpaceDE w:val="0"/>
        <w:autoSpaceDN w:val="0"/>
        <w:jc w:val="both"/>
        <w:spacing w:before="8" w:after="0" w:lineRule="exact" w:line="300"/>
        <w:ind w:right="1176"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址：四</w:t>
      </w:r>
      <w:r>
        <w:rPr>
          <w:rFonts w:ascii="宋体" w:hAnsi="宋体" w:cs="宋体" w:eastAsia="宋体" w:hint="ascii"/>
          <w:sz w:val="21"/>
        </w:rPr>
        <w:t>川绵</w:t>
      </w:r>
      <w:r>
        <w:rPr>
          <w:rFonts w:ascii="宋体" w:hAnsi="宋体" w:cs="宋体" w:eastAsia="宋体" w:hint="ascii"/>
          <w:sz w:val="21"/>
          <w:spacing w:val="26"/>
        </w:rPr>
        <w:t>阳</w:t>
      </w:r>
      <w:r>
        <w:rPr>
          <w:rFonts w:ascii="Times New Roman" w:hAnsi="Times New Roman" w:cs="Times New Roman" w:eastAsia="Times New Roman" w:hint="ascii"/>
          <w:sz w:val="21"/>
        </w:rPr>
        <w:t>91</w:t>
      </w:r>
      <w:r>
        <w:rPr>
          <w:rFonts w:ascii="Times New Roman" w:hAnsi="Times New Roman" w:cs="Times New Roman" w:eastAsia="Times New Roman" w:hint="ascii"/>
          <w:sz w:val="21"/>
          <w:spacing w:val="52"/>
        </w:rPr>
        <w:t>9</w:t>
      </w:r>
      <w:r>
        <w:rPr>
          <w:rFonts w:ascii="宋体" w:hAnsi="宋体" w:cs="宋体" w:eastAsia="宋体" w:hint="ascii"/>
          <w:sz w:val="21"/>
        </w:rPr>
        <w:t>信</w:t>
      </w:r>
      <w:r>
        <w:rPr>
          <w:rFonts w:ascii="宋体" w:hAnsi="宋体" w:cs="宋体" w:eastAsia="宋体" w:hint="ascii"/>
          <w:sz w:val="21"/>
          <w:spacing w:val="26"/>
        </w:rPr>
        <w:t>箱</w:t>
      </w:r>
      <w:r>
        <w:rPr>
          <w:rFonts w:ascii="Times New Roman" w:hAnsi="Times New Roman" w:cs="Times New Roman" w:eastAsia="Times New Roman" w:hint="ascii"/>
          <w:sz w:val="21"/>
          <w:spacing w:val="52"/>
        </w:rPr>
        <w:t>6</w:t>
      </w:r>
      <w:r>
        <w:rPr>
          <w:rFonts w:ascii="宋体" w:hAnsi="宋体" w:cs="宋体" w:eastAsia="宋体" w:hint="ascii"/>
          <w:sz w:val="21"/>
        </w:rPr>
        <w:t>分箱邮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621900</w:t>
      </w:r>
    </w:p>
    <w:p>
      <w:pPr>
        <w:autoSpaceDE w:val="0"/>
        <w:autoSpaceDN w:val="0"/>
        <w:jc w:val="left"/>
        <w:spacing w:before="3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人：王</w:t>
      </w:r>
      <w:r>
        <w:rPr>
          <w:rFonts w:ascii="宋体" w:hAnsi="宋体" w:cs="宋体" w:eastAsia="宋体" w:hint="ascii"/>
          <w:sz w:val="21"/>
          <w:spacing w:val="52"/>
        </w:rPr>
        <w:t xml:space="preserve"> </w:t>
      </w:r>
      <w:r>
        <w:rPr>
          <w:rFonts w:ascii="宋体" w:hAnsi="宋体" w:cs="宋体" w:eastAsia="宋体" w:hint="ascii"/>
          <w:sz w:val="21"/>
        </w:rPr>
        <w:t>娜</w:t>
      </w:r>
      <w:r>
        <w:rPr>
          <w:rFonts w:ascii="宋体" w:hAnsi="宋体" w:cs="宋体" w:eastAsia="宋体" w:hint="ascii"/>
          <w:sz w:val="21"/>
          <w:spacing w:val="52"/>
        </w:rPr>
        <w:t xml:space="preserve"> </w:t>
      </w:r>
      <w:r>
        <w:rPr>
          <w:rFonts w:ascii="宋体" w:hAnsi="宋体" w:cs="宋体" w:eastAsia="宋体" w:hint="ascii"/>
          <w:sz w:val="21"/>
        </w:rPr>
        <w:t>刘冬燕</w:t>
      </w:r>
    </w:p>
    <w:p>
      <w:pPr>
        <w:autoSpaceDE w:val="0"/>
        <w:autoSpaceDN w:val="0"/>
        <w:jc w:val="both"/>
        <w:spacing w:before="8" w:after="0" w:lineRule="exact" w:line="300"/>
        <w:ind w:right="978" w:left="0" w:firstLine="0"/>
        <w:snapToGrid w:val="0"/>
        <w:textAlignment w:val="auto"/>
        <w:tabs/>
        <w:sectPr>
          <w:type w:val="continuous"/>
          <w:pgSz w:w="10940" w:h="15080" w:orient="portrait"/>
          <w:pgMar w:top="508" w:right="508" w:bottom="508" w:left="508" w:header="0" w:footer="0" w:gutter="0"/>
          <w:cols w:num="2" w:space="0" w:equalWidth="0">
            <w:col w:w="5165" w:space="223"/>
            <w:col w:w="4536"/>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31"/>
        </w:rPr>
        <w:t xml:space="preserve"> </w:t>
      </w:r>
      <w:r>
        <w:rPr>
          <w:rFonts w:ascii="宋体" w:hAnsi="宋体" w:cs="宋体" w:eastAsia="宋体" w:hint="ascii"/>
          <w:sz w:val="21"/>
          <w:spacing w:val="-8"/>
        </w:rPr>
        <w:t>话：</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9"/>
        </w:rPr>
        <w:t>8</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9"/>
        </w:rPr>
        <w:t>6</w:t>
      </w:r>
      <w:r>
        <w:rPr>
          <w:rFonts w:ascii="宋体" w:hAnsi="宋体" w:cs="宋体" w:eastAsia="宋体" w:hint="ascii"/>
          <w:sz w:val="21"/>
          <w:spacing w:val="-7"/>
        </w:rPr>
        <w:t>-</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7"/>
        </w:rPr>
        <w:t>4</w:t>
      </w:r>
      <w:r>
        <w:rPr>
          <w:rFonts w:ascii="Times New Roman" w:hAnsi="Times New Roman" w:cs="Times New Roman" w:eastAsia="Times New Roman" w:hint="ascii"/>
          <w:sz w:val="21"/>
          <w:spacing w:val="-9"/>
        </w:rPr>
        <w:t>8</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9"/>
        </w:rPr>
        <w:t>3</w:t>
      </w:r>
      <w:r>
        <w:rPr>
          <w:rFonts w:ascii="Times New Roman" w:hAnsi="Times New Roman" w:cs="Times New Roman" w:eastAsia="Times New Roman" w:hint="ascii"/>
          <w:sz w:val="21"/>
          <w:spacing w:val="-7"/>
        </w:rPr>
        <w:t>5</w:t>
      </w:r>
      <w:r>
        <w:rPr>
          <w:rFonts w:ascii="Times New Roman" w:hAnsi="Times New Roman" w:cs="Times New Roman" w:eastAsia="Times New Roman" w:hint="ascii"/>
          <w:sz w:val="21"/>
          <w:spacing w:val="-9"/>
        </w:rPr>
        <w:t>9</w:t>
      </w:r>
      <w:r>
        <w:rPr>
          <w:rFonts w:ascii="宋体" w:hAnsi="宋体" w:cs="宋体" w:eastAsia="宋体" w:hint="ascii"/>
          <w:sz w:val="21"/>
          <w:spacing w:val="-8"/>
        </w:rPr>
        <w:t>，</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9"/>
        </w:rPr>
        <w:t>8</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9"/>
        </w:rPr>
        <w:t>6</w:t>
      </w:r>
      <w:r>
        <w:rPr>
          <w:rFonts w:ascii="宋体" w:hAnsi="宋体" w:cs="宋体" w:eastAsia="宋体" w:hint="ascii"/>
          <w:sz w:val="21"/>
          <w:spacing w:val="-7"/>
        </w:rPr>
        <w:t>-</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6"/>
        </w:rPr>
        <w:t>4</w:t>
      </w:r>
      <w:r>
        <w:rPr>
          <w:rFonts w:ascii="Times New Roman" w:hAnsi="Times New Roman" w:cs="Times New Roman" w:eastAsia="Times New Roman" w:hint="ascii"/>
          <w:sz w:val="21"/>
          <w:spacing w:val="-8"/>
        </w:rPr>
        <w:t>8</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8"/>
        </w:rPr>
        <w:t>7</w:t>
      </w:r>
      <w:r>
        <w:rPr>
          <w:rFonts w:ascii="Times New Roman" w:hAnsi="Times New Roman" w:cs="Times New Roman" w:eastAsia="Times New Roman" w:hint="ascii"/>
          <w:sz w:val="21"/>
          <w:spacing w:val="-6"/>
        </w:rPr>
        <w:t>2</w:t>
      </w:r>
      <w:r>
        <w:rPr>
          <w:rFonts w:ascii="Times New Roman" w:hAnsi="Times New Roman" w:cs="Times New Roman" w:eastAsia="Times New Roman" w:hint="ascii"/>
          <w:sz w:val="21"/>
          <w:spacing w:val="-1"/>
        </w:rPr>
        <w:t>8</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wangna@caep.cn</w:t>
      </w:r>
      <w:rPr>
        <w:rFonts w:ascii="Times New Roman" w:hAnsi="Times New Roman" w:cs="Times New Roman" w:eastAsia="Times New Roman" w:hint="ascii"/>
        <w:sz w:val="21"/>
      </w:rPr>
    </w:p>
    <w:p>
      <w:pPr>
        <w:autoSpaceDE w:val="0"/>
        <w:autoSpaceDN w:val="0"/>
        <w:jc w:val="left"/>
        <w:spacing w:before="335" w:after="0" w:lineRule="exact" w:line="475"/>
        <w:ind w:right="0" w:left="3816" w:firstLine="0"/>
        <w:snapToGrid w:val="0"/>
        <w:textAlignment w:val="auto"/>
        <w:tabs/>
        <w:rPr>
          <w:rFonts w:ascii="宋体" w:hAnsi="宋体" w:cs="宋体" w:eastAsia="宋体" w:hint="ascii"/>
          <w:sz w:val="38"/>
        </w:rPr>
      </w:pPr>
      <w:r>
        <w:rPr>
          <w:rFonts w:ascii="宋体" w:hAnsi="宋体" w:cs="宋体" w:eastAsia="宋体" w:hint="ascii"/>
          <w:sz w:val="38"/>
        </w:rPr>
        <w:t>天文联合基金</w:t>
      </w:r>
    </w:p>
    <w:p>
      <w:pPr>
        <w:autoSpaceDE w:val="0"/>
        <w:autoSpaceDN w:val="0"/>
        <w:jc w:val="left"/>
        <w:spacing w:before="30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自然科学基金委与中国科学院共同设立天文联合基金，面向全国高等院校和科研机</w:t>
      </w:r>
    </w:p>
    <w:p>
      <w:pPr>
        <w:autoSpaceDE w:val="0"/>
        <w:autoSpaceDN w:val="0"/>
        <w:jc w:val="left"/>
        <w:spacing w:before="8"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构（尤其是非天文单位</w:t>
      </w:r>
      <w:r>
        <w:rPr>
          <w:rFonts w:ascii="宋体" w:hAnsi="宋体" w:cs="宋体" w:eastAsia="宋体" w:hint="ascii"/>
          <w:sz w:val="21"/>
          <w:spacing w:val="-51"/>
        </w:rPr>
        <w:t>）</w:t>
      </w:r>
      <w:r>
        <w:rPr>
          <w:rFonts w:ascii="宋体" w:hAnsi="宋体" w:cs="宋体" w:eastAsia="宋体" w:hint="ascii"/>
          <w:sz w:val="21"/>
        </w:rPr>
        <w:t>，利用科学基金评审、资助和管理系统的优势，充分发挥中国科学院在天文学研究领域已建成的国家研究平台（实测基地）的功能和作用，促进高等院校和其他科研机构的研究人员有效利用这些设施开展天文研究，发展天文技术方法，进一步提升这些研究平台的观测能力，培养相关领域高素质人才，提升我国天文学研究的创新能力和国际学术地位，使我国天文学研究更好地服务于国家战略需求。</w: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本联合基金资助项目类型包括“培育项目”和“重点支持项目</w:t>
      </w:r>
      <w:r>
        <w:rPr>
          <w:rFonts w:ascii="宋体" w:hAnsi="宋体" w:cs="宋体" w:eastAsia="宋体" w:hint="ascii"/>
          <w:sz w:val="21"/>
          <w:spacing w:val="-51"/>
        </w:rPr>
        <w:t>”</w:t>
      </w:r>
      <w:r>
        <w:rPr>
          <w:rFonts w:ascii="宋体" w:hAnsi="宋体" w:cs="宋体" w:eastAsia="宋体" w:hint="ascii"/>
          <w:sz w:val="21"/>
        </w:rPr>
        <w:t>。申请人可围绕下</w:t>
      </w:r>
    </w:p>
    <w:p>
      <w:pPr>
        <w:autoSpaceDE w:val="0"/>
        <w:autoSpaceDN w:val="0"/>
        <w:jc w:val="left"/>
        <w:spacing w:before="8"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述</w:t>
      </w:r>
      <w:r>
        <w:rPr>
          <w:rFonts w:ascii="宋体" w:hAnsi="宋体" w:cs="宋体" w:eastAsia="宋体" w:hint="ascii"/>
          <w:sz w:val="21"/>
          <w:spacing w:val="3"/>
        </w:rPr>
        <w:t xml:space="preserve"> </w:t>
      </w:r>
      <w:r>
        <w:rPr>
          <w:rFonts w:ascii="Times New Roman" w:hAnsi="Times New Roman" w:cs="Times New Roman" w:eastAsia="Times New Roman" w:hint="ascii"/>
          <w:sz w:val="21"/>
          <w:spacing w:val="7"/>
        </w:rPr>
        <w:t>1</w:t>
      </w:r>
      <w:r>
        <w:rPr>
          <w:rFonts w:ascii="宋体" w:hAnsi="宋体" w:cs="宋体" w:eastAsia="宋体" w:hint="ascii"/>
          <w:sz w:val="21"/>
          <w:spacing w:val="3"/>
        </w:rPr>
        <w:t>～</w:t>
      </w:r>
      <w:r>
        <w:rPr>
          <w:rFonts w:ascii="Times New Roman" w:hAnsi="Times New Roman" w:cs="Times New Roman" w:eastAsia="Times New Roman" w:hint="ascii"/>
          <w:sz w:val="21"/>
        </w:rPr>
        <w:t xml:space="preserve">6 </w:t>
      </w:r>
      <w:r>
        <w:rPr>
          <w:rFonts w:ascii="宋体" w:hAnsi="宋体" w:cs="宋体" w:eastAsia="宋体" w:hint="ascii"/>
          <w:sz w:val="21"/>
        </w:rPr>
        <w:t>方</w:t>
      </w:r>
      <w:r>
        <w:rPr>
          <w:rFonts w:ascii="宋体" w:hAnsi="宋体" w:cs="宋体" w:eastAsia="宋体" w:hint="ascii"/>
          <w:sz w:val="21"/>
          <w:spacing w:val="3"/>
        </w:rPr>
        <w:t>面内的重</w:t>
      </w:r>
      <w:r>
        <w:rPr>
          <w:rFonts w:ascii="宋体" w:hAnsi="宋体" w:cs="宋体" w:eastAsia="宋体" w:hint="ascii"/>
          <w:sz w:val="21"/>
        </w:rPr>
        <w:t>要</w:t>
      </w:r>
      <w:r>
        <w:rPr>
          <w:rFonts w:ascii="宋体" w:hAnsi="宋体" w:cs="宋体" w:eastAsia="宋体" w:hint="ascii"/>
          <w:sz w:val="21"/>
          <w:spacing w:val="3"/>
        </w:rPr>
        <w:t>科学问题</w:t>
      </w:r>
      <w:r>
        <w:rPr>
          <w:rFonts w:ascii="宋体" w:hAnsi="宋体" w:cs="宋体" w:eastAsia="宋体" w:hint="ascii"/>
          <w:sz w:val="21"/>
        </w:rPr>
        <w:t>，</w:t>
      </w:r>
      <w:r>
        <w:rPr>
          <w:rFonts w:ascii="宋体" w:hAnsi="宋体" w:cs="宋体" w:eastAsia="宋体" w:hint="ascii"/>
          <w:sz w:val="21"/>
          <w:spacing w:val="3"/>
        </w:rPr>
        <w:t>自主确定</w:t>
      </w:r>
      <w:r>
        <w:rPr>
          <w:rFonts w:ascii="宋体" w:hAnsi="宋体" w:cs="宋体" w:eastAsia="宋体" w:hint="ascii"/>
          <w:sz w:val="21"/>
        </w:rPr>
        <w:t>项</w:t>
      </w:r>
      <w:r>
        <w:rPr>
          <w:rFonts w:ascii="宋体" w:hAnsi="宋体" w:cs="宋体" w:eastAsia="宋体" w:hint="ascii"/>
          <w:sz w:val="21"/>
          <w:spacing w:val="3"/>
        </w:rPr>
        <w:t>目名称、</w:t>
      </w:r>
      <w:r>
        <w:rPr>
          <w:rFonts w:ascii="宋体" w:hAnsi="宋体" w:cs="宋体" w:eastAsia="宋体" w:hint="ascii"/>
          <w:sz w:val="21"/>
        </w:rPr>
        <w:t>研</w:t>
      </w:r>
      <w:r>
        <w:rPr>
          <w:rFonts w:ascii="宋体" w:hAnsi="宋体" w:cs="宋体" w:eastAsia="宋体" w:hint="ascii"/>
          <w:sz w:val="21"/>
          <w:spacing w:val="3"/>
        </w:rPr>
        <w:t>究内容、</w:t>
      </w:r>
      <w:r>
        <w:rPr>
          <w:rFonts w:ascii="宋体" w:hAnsi="宋体" w:cs="宋体" w:eastAsia="宋体" w:hint="ascii"/>
          <w:sz w:val="21"/>
        </w:rPr>
        <w:t>研</w:t>
      </w:r>
      <w:r>
        <w:rPr>
          <w:rFonts w:ascii="宋体" w:hAnsi="宋体" w:cs="宋体" w:eastAsia="宋体" w:hint="ascii"/>
          <w:sz w:val="21"/>
          <w:spacing w:val="3"/>
        </w:rPr>
        <w:t>究方案和资</w:t>
      </w:r>
      <w:r>
        <w:rPr>
          <w:rFonts w:ascii="宋体" w:hAnsi="宋体" w:cs="宋体" w:eastAsia="宋体" w:hint="ascii"/>
          <w:sz w:val="21"/>
          <w:spacing w:val="4"/>
        </w:rPr>
        <w:t>金</w:t>
      </w:r>
      <w:r>
        <w:rPr>
          <w:rFonts w:ascii="宋体" w:hAnsi="宋体" w:cs="宋体" w:eastAsia="宋体" w:hint="ascii"/>
          <w:sz w:val="21"/>
        </w:rPr>
        <w:t xml:space="preserve">预算；其中，第 </w:t>
      </w:r>
      <w:r>
        <w:rPr>
          <w:rFonts w:ascii="Times New Roman" w:hAnsi="Times New Roman" w:cs="Times New Roman" w:eastAsia="Times New Roman" w:hint="ascii"/>
          <w:sz w:val="21"/>
        </w:rPr>
        <w:t xml:space="preserve">6 </w:t>
      </w:r>
      <w:r>
        <w:rPr>
          <w:rFonts w:ascii="宋体" w:hAnsi="宋体" w:cs="宋体" w:eastAsia="宋体" w:hint="ascii"/>
          <w:sz w:val="21"/>
        </w:rPr>
        <w:t>个方面的内容仅受理“培育项目”申请。</w:t>
      </w:r>
      <w:r>
        <w:rPr>
          <w:rFonts w:ascii="Times New Roman" w:hAnsi="Times New Roman" w:cs="Times New Roman" w:eastAsia="Times New Roman" w:hint="ascii"/>
          <w:sz w:val="21"/>
        </w:rPr>
        <w:t xml:space="preserve">2018 </w:t>
      </w:r>
      <w:r>
        <w:rPr>
          <w:rFonts w:ascii="宋体" w:hAnsi="宋体" w:cs="宋体" w:eastAsia="宋体" w:hint="ascii"/>
          <w:sz w:val="21"/>
        </w:rPr>
        <w:t>年度拟资助“重点支持项目”</w:t>
      </w:r>
      <w:r>
        <w:rPr>
          <w:rFonts w:ascii="Times New Roman" w:hAnsi="Times New Roman" w:cs="Times New Roman" w:eastAsia="Times New Roman" w:hint="ascii"/>
          <w:sz w:val="21"/>
        </w:rPr>
        <w:t>6</w:t>
      </w:r>
      <w:r>
        <w:rPr>
          <w:rFonts w:ascii="宋体" w:hAnsi="宋体" w:cs="宋体" w:eastAsia="宋体" w:hint="ascii"/>
          <w:sz w:val="21"/>
        </w:rPr>
        <w:t>～</w:t>
      </w:r>
      <w:r>
        <w:rPr>
          <w:rFonts w:ascii="Times New Roman" w:hAnsi="Times New Roman" w:cs="Times New Roman" w:eastAsia="Times New Roman" w:hint="ascii"/>
          <w:sz w:val="21"/>
          <w:spacing w:val="52"/>
        </w:rPr>
        <w:t>9</w:t>
      </w:r>
      <w:r>
        <w:rPr>
          <w:rFonts w:ascii="宋体" w:hAnsi="宋体" w:cs="宋体" w:eastAsia="宋体" w:hint="ascii"/>
          <w:sz w:val="21"/>
        </w:rPr>
        <w:t>项。</w: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本联合基金作为科学基金的组成部分，项目的申请、评审和管理，按照《国家自然</w:t>
      </w:r>
    </w:p>
    <w:p>
      <w:pPr>
        <w:autoSpaceDE w:val="0"/>
        <w:autoSpaceDN w:val="0"/>
        <w:jc w:val="both"/>
        <w:spacing w:before="8"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科学基金联合基金项目管理办法》和国家自然科学基金委员会</w:t>
      </w:r>
      <w:r>
        <w:rPr>
          <w:rFonts w:ascii="宋体" w:hAnsi="宋体" w:cs="宋体" w:eastAsia="宋体" w:hint="ascii"/>
          <w:sz w:val="21"/>
        </w:rPr>
        <w:t>-</w:t>
      </w:r>
      <w:r>
        <w:rPr>
          <w:rFonts w:ascii="宋体" w:hAnsi="宋体" w:cs="宋体" w:eastAsia="宋体" w:hint="ascii"/>
          <w:sz w:val="21"/>
        </w:rPr>
        <w:t>中国科学院天文联合基金协议执行。</w:t>
      </w:r>
      <w:r>
        <w:rPr>
          <w:rFonts w:ascii="Times New Roman" w:hAnsi="Times New Roman" w:cs="Times New Roman" w:eastAsia="Times New Roman" w:hint="ascii"/>
          <w:sz w:val="21"/>
        </w:rPr>
        <w:t xml:space="preserve">2018 </w:t>
      </w:r>
      <w:r>
        <w:rPr>
          <w:rFonts w:ascii="宋体" w:hAnsi="宋体" w:cs="宋体" w:eastAsia="宋体" w:hint="ascii"/>
          <w:sz w:val="21"/>
        </w:rPr>
        <w:t xml:space="preserve">年度“培育项目”直接费用平均资助强度约 </w:t>
      </w:r>
      <w:r>
        <w:rPr>
          <w:rFonts w:ascii="Times New Roman" w:hAnsi="Times New Roman" w:cs="Times New Roman" w:eastAsia="Times New Roman" w:hint="ascii"/>
          <w:sz w:val="21"/>
        </w:rPr>
        <w:t xml:space="preserve">50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22"/>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3"/>
        </w:rPr>
        <w:t xml:space="preserve"> </w:t>
      </w:r>
      <w:r>
        <w:rPr>
          <w:rFonts w:ascii="宋体" w:hAnsi="宋体" w:cs="宋体" w:eastAsia="宋体" w:hint="ascii"/>
          <w:sz w:val="21"/>
        </w:rPr>
        <w:t>年，即</w:t>
      </w:r>
      <w:r>
        <w:rPr>
          <w:rFonts w:ascii="宋体" w:hAnsi="宋体" w:cs="宋体" w:eastAsia="宋体" w:hint="ascii"/>
          <w:sz w:val="21"/>
          <w:spacing w:val="-23"/>
        </w:rPr>
        <w:t xml:space="preserve"> </w:t>
      </w:r>
      <w:r>
        <w:rPr>
          <w:rFonts w:ascii="Times New Roman" w:hAnsi="Times New Roman" w:cs="Times New Roman" w:eastAsia="Times New Roman" w:hint="ascii"/>
          <w:sz w:val="21"/>
        </w:rPr>
        <w:t>2019</w:t>
      </w:r>
      <w:r>
        <w:rPr>
          <w:rFonts w:ascii="Times New Roman" w:hAnsi="Times New Roman" w:cs="Times New Roman" w:eastAsia="Times New Roman" w:hint="ascii"/>
          <w:sz w:val="21"/>
          <w:spacing w:val="-23"/>
        </w:rPr>
        <w:t xml:space="preserve"> </w:t>
      </w:r>
      <w:r>
        <w:rPr>
          <w:rFonts w:ascii="宋体" w:hAnsi="宋体" w:cs="宋体" w:eastAsia="宋体" w:hint="ascii"/>
          <w:sz w:val="21"/>
        </w:rPr>
        <w:t>年</w:t>
      </w:r>
      <w:r>
        <w:rPr>
          <w:rFonts w:ascii="宋体" w:hAnsi="宋体" w:cs="宋体" w:eastAsia="宋体" w:hint="ascii"/>
          <w:sz w:val="21"/>
          <w:spacing w:val="-2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3"/>
        </w:rPr>
        <w:t xml:space="preserve"> </w:t>
      </w:r>
      <w:r>
        <w:rPr>
          <w:rFonts w:ascii="宋体" w:hAnsi="宋体" w:cs="宋体" w:eastAsia="宋体" w:hint="ascii"/>
          <w:sz w:val="21"/>
        </w:rPr>
        <w:t>月</w:t>
      </w:r>
      <w:r>
        <w:rPr>
          <w:rFonts w:ascii="宋体" w:hAnsi="宋体" w:cs="宋体" w:eastAsia="宋体" w:hint="ascii"/>
          <w:sz w:val="21"/>
          <w:spacing w:val="-2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2"/>
        </w:rPr>
        <w:t xml:space="preserve"> </w:t>
      </w:r>
      <w:r>
        <w:rPr>
          <w:rFonts w:ascii="宋体" w:hAnsi="宋体" w:cs="宋体" w:eastAsia="宋体" w:hint="ascii"/>
          <w:sz w:val="21"/>
        </w:rPr>
        <w:t>日至</w:t>
      </w:r>
      <w:r>
        <w:rPr>
          <w:rFonts w:ascii="宋体" w:hAnsi="宋体" w:cs="宋体" w:eastAsia="宋体" w:hint="ascii"/>
          <w:sz w:val="21"/>
          <w:spacing w:val="-23"/>
        </w:rPr>
        <w:t xml:space="preserve"> </w:t>
      </w:r>
      <w:r>
        <w:rPr>
          <w:rFonts w:ascii="Times New Roman" w:hAnsi="Times New Roman" w:cs="Times New Roman" w:eastAsia="Times New Roman" w:hint="ascii"/>
          <w:sz w:val="21"/>
        </w:rPr>
        <w:t>2021</w:t>
      </w:r>
      <w:r>
        <w:rPr>
          <w:rFonts w:ascii="Times New Roman" w:hAnsi="Times New Roman" w:cs="Times New Roman" w:eastAsia="Times New Roman" w:hint="ascii"/>
          <w:sz w:val="21"/>
          <w:spacing w:val="-23"/>
        </w:rPr>
        <w:t xml:space="preserve"> </w:t>
      </w:r>
      <w:r>
        <w:rPr>
          <w:rFonts w:ascii="宋体" w:hAnsi="宋体" w:cs="宋体" w:eastAsia="宋体" w:hint="ascii"/>
          <w:sz w:val="21"/>
        </w:rPr>
        <w:t>年</w:t>
      </w:r>
      <w:r>
        <w:rPr>
          <w:rFonts w:ascii="宋体" w:hAnsi="宋体" w:cs="宋体" w:eastAsia="宋体" w:hint="ascii"/>
          <w:sz w:val="21"/>
          <w:spacing w:val="-22"/>
        </w:rPr>
        <w:t xml:space="preserve"> </w:t>
      </w:r>
      <w:r>
        <w:rPr>
          <w:rFonts w:ascii="Times New Roman" w:hAnsi="Times New Roman" w:cs="Times New Roman" w:eastAsia="Times New Roman" w:hint="ascii"/>
          <w:sz w:val="21"/>
        </w:rPr>
        <w:t>12</w:t>
      </w:r>
      <w:r>
        <w:rPr>
          <w:rFonts w:ascii="Times New Roman" w:hAnsi="Times New Roman" w:cs="Times New Roman" w:eastAsia="Times New Roman" w:hint="ascii"/>
          <w:sz w:val="21"/>
          <w:spacing w:val="-23"/>
        </w:rPr>
        <w:t xml:space="preserve"> </w:t>
      </w:r>
      <w:r>
        <w:rPr>
          <w:rFonts w:ascii="宋体" w:hAnsi="宋体" w:cs="宋体" w:eastAsia="宋体" w:hint="ascii"/>
          <w:sz w:val="21"/>
        </w:rPr>
        <w:t>月</w:t>
      </w:r>
      <w:r>
        <w:rPr>
          <w:rFonts w:ascii="宋体" w:hAnsi="宋体" w:cs="宋体" w:eastAsia="宋体" w:hint="ascii"/>
          <w:sz w:val="21"/>
          <w:spacing w:val="-22"/>
        </w:rPr>
        <w:t xml:space="preserve"> </w:t>
      </w:r>
      <w:r>
        <w:rPr>
          <w:rFonts w:ascii="Times New Roman" w:hAnsi="Times New Roman" w:cs="Times New Roman" w:eastAsia="Times New Roman" w:hint="ascii"/>
          <w:sz w:val="21"/>
        </w:rPr>
        <w:t>31</w:t>
      </w:r>
      <w:r>
        <w:rPr>
          <w:rFonts w:ascii="Times New Roman" w:hAnsi="Times New Roman" w:cs="Times New Roman" w:eastAsia="Times New Roman" w:hint="ascii"/>
          <w:sz w:val="21"/>
          <w:spacing w:val="-23"/>
        </w:rPr>
        <w:t xml:space="preserve"> </w:t>
      </w:r>
      <w:r>
        <w:rPr>
          <w:rFonts w:ascii="宋体" w:hAnsi="宋体" w:cs="宋体" w:eastAsia="宋体" w:hint="ascii"/>
          <w:sz w:val="21"/>
        </w:rPr>
        <w:t>日</w:t>
      </w:r>
      <w:r>
        <w:rPr>
          <w:rFonts w:ascii="宋体" w:hAnsi="宋体" w:cs="宋体" w:eastAsia="宋体" w:hint="ascii"/>
          <w:sz w:val="21"/>
          <w:spacing w:val="-52"/>
        </w:rPr>
        <w:t>；</w:t>
      </w:r>
      <w:r>
        <w:rPr>
          <w:rFonts w:ascii="宋体" w:hAnsi="宋体" w:cs="宋体" w:eastAsia="宋体" w:hint="ascii"/>
          <w:sz w:val="21"/>
        </w:rPr>
        <w:t>“重点支持项目”直接费用平均资助强度</w:t>
      </w:r>
      <w:r>
        <w:rPr>
          <w:rFonts w:ascii="宋体" w:hAnsi="宋体" w:cs="宋体" w:eastAsia="宋体" w:hint="ascii"/>
          <w:sz w:val="21"/>
          <w:spacing w:val="26"/>
        </w:rPr>
        <w:t>约</w:t>
      </w:r>
      <w:r>
        <w:rPr>
          <w:rFonts w:ascii="Times New Roman" w:hAnsi="Times New Roman" w:cs="Times New Roman" w:eastAsia="Times New Roman" w:hint="ascii"/>
          <w:sz w:val="21"/>
        </w:rPr>
        <w:t>25</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4</w:t>
      </w:r>
      <w:r>
        <w:rPr>
          <w:rFonts w:ascii="宋体" w:hAnsi="宋体" w:cs="宋体" w:eastAsia="宋体" w:hint="ascii"/>
          <w:sz w:val="21"/>
        </w:rPr>
        <w:t>年，</w:t>
      </w:r>
      <w:r>
        <w:rPr>
          <w:rFonts w:ascii="宋体" w:hAnsi="宋体" w:cs="宋体" w:eastAsia="宋体" w:hint="ascii"/>
          <w:sz w:val="21"/>
          <w:spacing w:val="26"/>
        </w:rPr>
        <w:t>即</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9</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2</w:t>
      </w:r>
      <w:r>
        <w:rPr>
          <w:rFonts w:ascii="宋体" w:hAnsi="宋体" w:cs="宋体" w:eastAsia="宋体" w:hint="ascii"/>
          <w:sz w:val="21"/>
          <w:spacing w:val="27"/>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1</w:t>
      </w:r>
      <w:r>
        <w:rPr>
          <w:rFonts w:ascii="宋体" w:hAnsi="宋体" w:cs="宋体" w:eastAsia="宋体" w:hint="ascii"/>
          <w:sz w:val="21"/>
        </w:rPr>
        <w:t>日。</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年度主要受理以</w:t>
      </w:r>
      <w:r>
        <w:rPr>
          <w:rFonts w:ascii="宋体" w:hAnsi="宋体" w:cs="宋体" w:eastAsia="宋体" w:hint="ascii"/>
          <w:spacing w:val="30"/>
        </w:rPr>
        <w:t>下</w:t>
      </w:r>
      <w:r>
        <w:rPr>
          <w:rFonts w:ascii="Times New Roman" w:hAnsi="Times New Roman" w:cs="Times New Roman" w:eastAsia="Times New Roman" w:hint="ascii"/>
          <w:b w:val="1"/>
          <w:spacing w:val="60"/>
        </w:rPr>
        <w:t>6</w:t>
      </w:r>
      <w:r>
        <w:rPr>
          <w:rFonts w:ascii="宋体" w:hAnsi="宋体" w:cs="宋体" w:eastAsia="宋体" w:hint="ascii"/>
        </w:rPr>
        <w:t>个方面的申请</w:t>
      </w:r>
    </w:p>
    <w:p>
      <w:pPr>
        <w:autoSpaceDE w:val="0"/>
        <w:autoSpaceDN w:val="0"/>
        <w:jc w:val="left"/>
        <w:spacing w:before="19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）中国科学院天文台系统以外科研机构和高等院校的科研人员，利用中国科学院</w:t>
      </w:r>
    </w:p>
    <w:p>
      <w:pPr>
        <w:autoSpaceDE w:val="0"/>
        <w:autoSpaceDN w:val="0"/>
        <w:jc w:val="left"/>
        <w:spacing w:before="8" w:after="0" w:lineRule="exact" w:line="304"/>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天文台系统所属的各波段的天文观测设备和由这些设备获得的数据资料开展的宇宙学、星系、恒星、太阳和太阳系以及基本天文等领域的观测和理论研</w:t>
      </w:r>
      <w:r>
        <w:rPr>
          <w:rFonts w:ascii="宋体" w:hAnsi="宋体" w:cs="宋体" w:eastAsia="宋体" w:hint="ascii"/>
          <w:sz w:val="21"/>
          <w:spacing w:val="26"/>
        </w:rPr>
        <w:t>究</w:t>
      </w:r>
      <w:r>
        <w:rPr>
          <w:rFonts w:ascii="Times New Roman" w:hAnsi="Times New Roman" w:cs="Times New Roman" w:eastAsia="Times New Roman" w:hint="ascii"/>
          <w:sz w:val="21"/>
          <w:spacing w:val="54"/>
        </w:rPr>
        <w:t>[</w:t>
      </w:r>
      <w:r>
        <w:rPr>
          <w:rFonts w:ascii="宋体" w:hAnsi="宋体" w:cs="宋体" w:eastAsia="宋体" w:hint="ascii"/>
          <w:sz w:val="21"/>
        </w:rPr>
        <w:t>中国科学院天文台</w:t>
      </w:r>
      <w:r>
        <w:rPr>
          <w:rFonts w:ascii="宋体" w:hAnsi="宋体" w:cs="宋体" w:eastAsia="宋体" w:hint="ascii"/>
          <w:sz w:val="21"/>
          <w:spacing w:val="5"/>
        </w:rPr>
        <w:t>系</w:t>
      </w:r>
      <w:r>
        <w:rPr>
          <w:rFonts w:ascii="宋体" w:hAnsi="宋体" w:cs="宋体" w:eastAsia="宋体" w:hint="ascii"/>
          <w:sz w:val="21"/>
          <w:spacing w:val="6"/>
        </w:rPr>
        <w:t>统</w:t>
      </w:r>
      <w:r>
        <w:rPr>
          <w:rFonts w:ascii="宋体" w:hAnsi="宋体" w:cs="宋体" w:eastAsia="宋体" w:hint="ascii"/>
          <w:sz w:val="21"/>
          <w:spacing w:val="5"/>
        </w:rPr>
        <w:t>的研究人</w:t>
      </w:r>
      <w:r>
        <w:rPr>
          <w:rFonts w:ascii="宋体" w:hAnsi="宋体" w:cs="宋体" w:eastAsia="宋体" w:hint="ascii"/>
          <w:sz w:val="21"/>
          <w:spacing w:val="6"/>
        </w:rPr>
        <w:t>员</w:t>
      </w:r>
      <w:r>
        <w:rPr>
          <w:rFonts w:ascii="宋体" w:hAnsi="宋体" w:cs="宋体" w:eastAsia="宋体" w:hint="ascii"/>
          <w:sz w:val="21"/>
          <w:spacing w:val="5"/>
        </w:rPr>
        <w:t>不能作为</w:t>
      </w:r>
      <w:r>
        <w:rPr>
          <w:rFonts w:ascii="宋体" w:hAnsi="宋体" w:cs="宋体" w:eastAsia="宋体" w:hint="ascii"/>
          <w:sz w:val="21"/>
          <w:spacing w:val="6"/>
        </w:rPr>
        <w:t>申</w:t>
      </w:r>
      <w:r>
        <w:rPr>
          <w:rFonts w:ascii="宋体" w:hAnsi="宋体" w:cs="宋体" w:eastAsia="宋体" w:hint="ascii"/>
          <w:sz w:val="21"/>
          <w:spacing w:val="5"/>
        </w:rPr>
        <w:t>请人申请</w:t>
      </w:r>
      <w:r>
        <w:rPr>
          <w:rFonts w:ascii="宋体" w:hAnsi="宋体" w:cs="宋体" w:eastAsia="宋体" w:hint="ascii"/>
          <w:sz w:val="21"/>
          <w:spacing w:val="6"/>
        </w:rPr>
        <w:t>此</w:t>
      </w:r>
      <w:r>
        <w:rPr>
          <w:rFonts w:ascii="宋体" w:hAnsi="宋体" w:cs="宋体" w:eastAsia="宋体" w:hint="ascii"/>
          <w:sz w:val="21"/>
          <w:spacing w:val="5"/>
        </w:rPr>
        <w:t>方面内容</w:t>
      </w:r>
      <w:r>
        <w:rPr>
          <w:rFonts w:ascii="宋体" w:hAnsi="宋体" w:cs="宋体" w:eastAsia="宋体" w:hint="ascii"/>
          <w:sz w:val="21"/>
          <w:spacing w:val="6"/>
        </w:rPr>
        <w:t>（</w:t>
      </w:r>
      <w:r>
        <w:rPr>
          <w:rFonts w:ascii="宋体" w:hAnsi="宋体" w:cs="宋体" w:eastAsia="宋体" w:hint="ascii"/>
          <w:sz w:val="21"/>
          <w:spacing w:val="5"/>
        </w:rPr>
        <w:t>依</w:t>
      </w:r>
      <w:r>
        <w:rPr>
          <w:rFonts w:ascii="宋体" w:hAnsi="宋体" w:cs="宋体" w:eastAsia="宋体" w:hint="ascii"/>
          <w:sz w:val="21"/>
        </w:rPr>
        <w:t>托</w:t>
      </w:r>
      <w:r>
        <w:rPr>
          <w:rFonts w:ascii="宋体" w:hAnsi="宋体" w:cs="宋体" w:eastAsia="宋体" w:hint="ascii"/>
          <w:sz w:val="21"/>
          <w:spacing w:val="6"/>
        </w:rPr>
        <w:t xml:space="preserve"> </w:t>
      </w:r>
      <w:r>
        <w:rPr>
          <w:rFonts w:ascii="Times New Roman" w:hAnsi="Times New Roman" w:cs="Times New Roman" w:eastAsia="Times New Roman" w:hint="ascii"/>
          <w:sz w:val="21"/>
          <w:spacing w:val="-17"/>
        </w:rPr>
        <w:t>F</w:t>
      </w:r>
      <w:r>
        <w:rPr>
          <w:rFonts w:ascii="Times New Roman" w:hAnsi="Times New Roman" w:cs="Times New Roman" w:eastAsia="Times New Roman" w:hint="ascii"/>
          <w:sz w:val="21"/>
        </w:rPr>
        <w:t>AS</w:t>
      </w:r>
      <w:r>
        <w:rPr>
          <w:rFonts w:ascii="Times New Roman" w:hAnsi="Times New Roman" w:cs="Times New Roman" w:eastAsia="Times New Roman" w:hint="ascii"/>
          <w:sz w:val="21"/>
          <w:spacing w:val="11"/>
        </w:rPr>
        <w:t>T</w:t>
      </w:r>
      <w:r>
        <w:rPr>
          <w:rFonts w:ascii="宋体" w:hAnsi="宋体" w:cs="宋体" w:eastAsia="宋体" w:hint="ascii"/>
          <w:sz w:val="21"/>
          <w:spacing w:val="6"/>
        </w:rPr>
        <w:t>、</w:t>
      </w:r>
      <w:r>
        <w:rPr>
          <w:rFonts w:ascii="Times New Roman" w:hAnsi="Times New Roman" w:cs="Times New Roman" w:eastAsia="Times New Roman" w:hint="ascii"/>
          <w:sz w:val="21"/>
        </w:rPr>
        <w:t>LHAASO</w:t>
      </w:r>
      <w:r>
        <w:rPr>
          <w:rFonts w:ascii="Times New Roman" w:hAnsi="Times New Roman" w:cs="Times New Roman" w:eastAsia="Times New Roman" w:hint="ascii"/>
          <w:sz w:val="21"/>
          <w:spacing w:val="6"/>
        </w:rPr>
        <w:t xml:space="preserve"> </w:t>
      </w:r>
      <w:r>
        <w:rPr>
          <w:rFonts w:ascii="宋体" w:hAnsi="宋体" w:cs="宋体" w:eastAsia="宋体" w:hint="ascii"/>
          <w:sz w:val="21"/>
          <w:spacing w:val="6"/>
        </w:rPr>
        <w:t>的</w:t>
      </w:r>
      <w:r>
        <w:rPr>
          <w:rFonts w:ascii="宋体" w:hAnsi="宋体" w:cs="宋体" w:eastAsia="宋体" w:hint="ascii"/>
          <w:sz w:val="21"/>
          <w:spacing w:val="5"/>
        </w:rPr>
        <w:t>申请</w:t>
      </w:r>
      <w:r>
        <w:rPr>
          <w:rFonts w:ascii="宋体" w:hAnsi="宋体" w:cs="宋体" w:eastAsia="宋体" w:hint="ascii"/>
          <w:sz w:val="21"/>
        </w:rPr>
        <w:t>除外</w:t>
      </w:r>
      <w:r>
        <w:rPr>
          <w:rFonts w:ascii="宋体" w:hAnsi="宋体" w:cs="宋体" w:eastAsia="宋体" w:hint="ascii"/>
          <w:sz w:val="21"/>
          <w:spacing w:val="-52"/>
        </w:rPr>
        <w:t>）</w:t>
      </w:r>
      <w:r>
        <w:rPr>
          <w:rFonts w:ascii="宋体" w:hAnsi="宋体" w:cs="宋体" w:eastAsia="宋体" w:hint="ascii"/>
          <w:sz w:val="21"/>
        </w:rPr>
        <w:t>，但可以作为主要参与者参与申请</w:t>
      </w:r>
      <w:r>
        <w:rPr>
          <w:rFonts w:ascii="Times New Roman" w:hAnsi="Times New Roman" w:cs="Times New Roman" w:eastAsia="Times New Roman" w:hint="ascii"/>
          <w:sz w:val="21"/>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A0901</w:t>
      </w:r>
      <w:r>
        <w:rPr>
          <w:rFonts w:ascii="宋体" w:hAnsi="宋体" w:cs="宋体" w:eastAsia="宋体" w:hint="ascii"/>
          <w:sz w:val="21"/>
        </w:rPr>
        <w:t>。</w:t>
      </w:r>
    </w:p>
    <w:p>
      <w:pPr>
        <w:autoSpaceDE w:val="0"/>
        <w:autoSpaceDN w:val="0"/>
        <w:jc w:val="both"/>
        <w:spacing w:before="0" w:after="0" w:lineRule="exact" w:line="305"/>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）围绕拟</w:t>
      </w:r>
      <w:r>
        <w:rPr>
          <w:rFonts w:ascii="宋体" w:hAnsi="宋体" w:cs="宋体" w:eastAsia="宋体" w:hint="ascii"/>
          <w:sz w:val="21"/>
        </w:rPr>
        <w:t>建空间项目开展的天文探测技术研究，包括空间天文探测新技术、新方法的研究和天文卫星关键技术的前期预先研究等，申请代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A0902</w:t>
      </w:r>
      <w:r>
        <w:rPr>
          <w:rFonts w:ascii="宋体" w:hAnsi="宋体" w:cs="宋体" w:eastAsia="宋体" w:hint="ascii"/>
          <w:sz w:val="21"/>
        </w:rPr>
        <w:t>。</w:t>
      </w:r>
    </w:p>
    <w:p>
      <w:pPr>
        <w:autoSpaceDE w:val="0"/>
        <w:autoSpaceDN w:val="0"/>
        <w:jc w:val="left"/>
        <w:spacing w:before="33" w:after="0" w:lineRule="exact" w:line="263"/>
        <w:ind w:right="0" w:left="128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）与天文探测相关的高能、紫外、光学、红外和射电技术方法，包括</w:t>
      </w:r>
      <w:r>
        <w:rPr>
          <w:rFonts w:ascii="宋体" w:hAnsi="宋体" w:cs="宋体" w:eastAsia="宋体" w:hint="ascii"/>
          <w:sz w:val="21"/>
          <w:spacing w:val="-23"/>
        </w:rPr>
        <w:t xml:space="preserve"> </w:t>
      </w:r>
      <w:r>
        <w:rPr>
          <w:rFonts w:ascii="Times New Roman" w:hAnsi="Times New Roman" w:cs="Times New Roman" w:eastAsia="Times New Roman" w:hint="ascii"/>
          <w:sz w:val="21"/>
        </w:rPr>
        <w:t>X</w:t>
      </w:r>
      <w:r>
        <w:rPr>
          <w:rFonts w:ascii="Times New Roman" w:hAnsi="Times New Roman" w:cs="Times New Roman" w:eastAsia="Times New Roman" w:hint="ascii"/>
          <w:sz w:val="21"/>
          <w:spacing w:val="-24"/>
        </w:rPr>
        <w:t xml:space="preserve"> </w:t>
      </w:r>
      <w:r>
        <w:rPr>
          <w:rFonts w:ascii="宋体" w:hAnsi="宋体" w:cs="宋体" w:eastAsia="宋体" w:hint="ascii"/>
          <w:sz w:val="21"/>
        </w:rPr>
        <w:t>射线和</w:t>
      </w:r>
      <w:r>
        <w:rPr>
          <w:rFonts w:ascii="宋体" w:hAnsi="宋体" w:cs="宋体" w:eastAsia="宋体" w:hint="ascii"/>
          <w:sz w:val="21"/>
          <w:spacing w:val="-23"/>
        </w:rPr>
        <w:t xml:space="preserve"> </w:t>
      </w:r>
      <w:r>
        <w:rPr>
          <w:rFonts w:ascii="Times New Roman" w:hAnsi="Times New Roman" w:cs="Times New Roman" w:eastAsia="Times New Roman" w:hint="ascii"/>
          <w:sz w:val="21"/>
        </w:rPr>
        <w:t>γ</w:t>
      </w:r>
    </w:p>
    <w:p>
      <w:pPr>
        <w:autoSpaceDE w:val="0"/>
        <w:autoSpaceDN w:val="0"/>
        <w:jc w:val="left"/>
        <w:spacing w:before="7" w:after="0" w:lineRule="exact" w:line="305"/>
        <w:ind w:right="963" w:left="966" w:firstLine="0"/>
        <w:snapToGrid w:val="0"/>
        <w:textAlignment w:val="auto"/>
        <w:tabs/>
        <w:rPr>
          <w:rFonts w:ascii="宋体" w:hAnsi="宋体" w:cs="宋体" w:eastAsia="宋体" w:hint="ascii"/>
          <w:sz w:val="21"/>
        </w:rPr>
      </w:pPr>
      <w:r>
        <w:rPr>
          <w:rFonts w:ascii="宋体" w:hAnsi="宋体" w:cs="宋体" w:eastAsia="宋体" w:hint="ascii"/>
          <w:sz w:val="21"/>
        </w:rPr>
        <w:t>成像技术及高分辨探测器技术（位置分辨和能量分辨</w:t>
      </w:r>
      <w:r>
        <w:rPr>
          <w:rFonts w:ascii="宋体" w:hAnsi="宋体" w:cs="宋体" w:eastAsia="宋体" w:hint="ascii"/>
          <w:sz w:val="21"/>
          <w:spacing w:val="-51"/>
        </w:rPr>
        <w:t>）</w:t>
      </w:r>
      <w:r>
        <w:rPr>
          <w:rFonts w:ascii="宋体" w:hAnsi="宋体" w:cs="宋体" w:eastAsia="宋体" w:hint="ascii"/>
          <w:sz w:val="21"/>
        </w:rPr>
        <w:t>、偏振测量技术、微弱光电子信号探测及存储和传输技术，与天文望远镜相关的高能、光学、红外和无线电技术，自动控制技术和精密机械技术等，申请代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A0903</w:t>
      </w:r>
      <w:r>
        <w:rPr>
          <w:rFonts w:ascii="宋体" w:hAnsi="宋体" w:cs="宋体" w:eastAsia="宋体" w:hint="ascii"/>
          <w:sz w:val="21"/>
        </w:rPr>
        <w:t>。</w:t>
      </w:r>
    </w:p>
    <w:p>
      <w:pPr>
        <w:autoSpaceDE w:val="0"/>
        <w:autoSpaceDN w:val="0"/>
        <w:jc w:val="left"/>
        <w:spacing w:before="463"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189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）为解决重大天文项目所面临的数据、计算和信息提取等问题而开展的应用基础</w:t>
      </w:r>
      <w:r>
        <w:rPr>
          <w:rFonts w:ascii="宋体" w:hAnsi="宋体" w:cs="宋体" w:eastAsia="宋体" w:hint="ascii"/>
          <w:sz w:val="21"/>
        </w:rPr>
        <mc:AlternateContent>
          <mc:Choice Requires="wps">
            <w:drawing>
              <wp:anchor distL="0" distR="0" distT="0" distB="0" simplePos="0" behindDoc="1" relativeHeight="266" locked="0" layoutInCell="1" allowOverlap="1">
                <wp:simplePos x="0" y="0"/>
                <wp:positionH relativeFrom="page">
                  <wp:posOffset>938530</wp:posOffset>
                </wp:positionH>
                <wp:positionV relativeFrom="page">
                  <wp:posOffset>805815</wp:posOffset>
                </wp:positionV>
                <wp:extent cx="5076190" cy="0"/>
                <wp:wrapNone/>
                <wp:docPr id="1295" name="129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85856;width:399.70pt;" id="129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12"/>
        <w:ind w:right="967" w:left="966" w:firstLine="0"/>
        <w:snapToGrid w:val="0"/>
        <w:textAlignment w:val="auto"/>
        <w:tabs/>
        <w:rPr>
          <w:rFonts w:ascii="宋体" w:hAnsi="宋体" w:cs="宋体" w:eastAsia="宋体" w:hint="ascii"/>
          <w:sz w:val="21"/>
        </w:rPr>
      </w:pPr>
      <w:r>
        <w:rPr>
          <w:rFonts w:ascii="宋体" w:hAnsi="宋体" w:cs="宋体" w:eastAsia="宋体" w:hint="ascii"/>
          <w:sz w:val="21"/>
        </w:rPr>
        <w:t>性研究，包括海量天文数据存储与共享、数据挖掘、高性能计算及虚拟天文台技术等，申请代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A0904</w:t>
      </w:r>
      <w:r>
        <w:rPr>
          <w:rFonts w:ascii="宋体" w:hAnsi="宋体" w:cs="宋体" w:eastAsia="宋体" w:hint="ascii"/>
          <w:sz w:val="21"/>
        </w:rPr>
        <w:t>。</w:t>
      </w:r>
    </w:p>
    <w:p>
      <w:pPr>
        <w:autoSpaceDE w:val="0"/>
        <w:autoSpaceDN w:val="0"/>
        <w:jc w:val="both"/>
        <w:spacing w:before="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）基本天文学（天体测量和天体力学）方法在满足国家战略需求应用中产生的关键科学问题，申请代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A0905</w:t>
      </w:r>
      <w:r>
        <w:rPr>
          <w:rFonts w:ascii="宋体" w:hAnsi="宋体" w:cs="宋体" w:eastAsia="宋体" w:hint="ascii"/>
          <w:sz w:val="21"/>
        </w:rPr>
        <w:t>。</w:t>
      </w:r>
    </w:p>
    <w:p>
      <w:pPr>
        <w:autoSpaceDE w:val="0"/>
        <w:autoSpaceDN w:val="0"/>
        <w:jc w:val="both"/>
        <w:spacing w:before="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6"/>
        </w:rPr>
        <w:t>6</w:t>
      </w:r>
      <w:r>
        <w:rPr>
          <w:rFonts w:ascii="宋体" w:hAnsi="宋体" w:cs="宋体" w:eastAsia="宋体" w:hint="ascii"/>
          <w:sz w:val="21"/>
          <w:spacing w:val="1"/>
        </w:rPr>
        <w:t>）围绕拟建大型天文观</w:t>
      </w:r>
      <w:r>
        <w:rPr>
          <w:rFonts w:ascii="宋体" w:hAnsi="宋体" w:cs="宋体" w:eastAsia="宋体" w:hint="ascii"/>
          <w:sz w:val="21"/>
        </w:rPr>
        <w:t>测设备的科学问题和技术方案而开展的预研究，具体</w:t>
      </w:r>
      <w:r>
        <w:rPr>
          <w:rFonts w:ascii="宋体" w:hAnsi="宋体" w:cs="宋体" w:eastAsia="宋体" w:hint="ascii"/>
          <w:sz w:val="21"/>
          <w:spacing w:val="-6"/>
        </w:rPr>
        <w:t>包</w:t>
      </w:r>
      <w:r>
        <w:rPr>
          <w:rFonts w:ascii="宋体" w:hAnsi="宋体" w:cs="宋体" w:eastAsia="宋体" w:hint="ascii"/>
          <w:sz w:val="21"/>
        </w:rPr>
        <w:t>括：根据将要开展的前沿科学问题，对拟建观测设备的技术方案进行论证，明确设备的技术指标；根据拟建观测设备的能力，对其科学目标进行论证（此方面内容仅受理“培育项目”申请</w:t>
      </w:r>
      <w:r>
        <w:rPr>
          <w:rFonts w:ascii="宋体" w:hAnsi="宋体" w:cs="宋体" w:eastAsia="宋体" w:hint="ascii"/>
          <w:sz w:val="21"/>
          <w:spacing w:val="-52"/>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A0906</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二、申请注意事项</w:t>
      </w:r>
    </w:p>
    <w:p>
      <w:pPr>
        <w:autoSpaceDE w:val="0"/>
        <w:autoSpaceDN w:val="0"/>
        <w:jc w:val="left"/>
        <w:spacing w:before="1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）申请人在填写申请书前，应当认真阅读《指南》相关部分内容，了解有关管理</w:t>
      </w:r>
    </w:p>
    <w:p>
      <w:pPr>
        <w:autoSpaceDE w:val="0"/>
        <w:autoSpaceDN w:val="0"/>
        <w:jc w:val="both"/>
        <w:spacing w:before="10" w:after="0" w:lineRule="exact" w:line="312"/>
        <w:ind w:right="967" w:left="966" w:firstLine="0"/>
        <w:snapToGrid w:val="0"/>
        <w:textAlignment w:val="auto"/>
        <w:tabs/>
        <w:rPr>
          <w:rFonts w:ascii="宋体" w:hAnsi="宋体" w:cs="宋体" w:eastAsia="宋体" w:hint="ascii"/>
          <w:sz w:val="21"/>
        </w:rPr>
      </w:pPr>
      <w:r>
        <w:rPr>
          <w:rFonts w:ascii="宋体" w:hAnsi="宋体" w:cs="宋体" w:eastAsia="宋体" w:hint="ascii"/>
          <w:sz w:val="21"/>
        </w:rPr>
        <w:t>办法、要求、责任和限项规定等。详细情况请到自然科学基金委网</w:t>
      </w:r>
      <w:r>
        <w:rPr>
          <w:rFonts w:ascii="宋体" w:hAnsi="宋体" w:cs="宋体" w:eastAsia="宋体" w:hint="ascii"/>
          <w:sz w:val="21"/>
          <w:spacing w:val="-10"/>
        </w:rPr>
        <w:t>站</w:t>
      </w:r>
      <w:r>
        <w:rPr>
          <w:rFonts w:ascii="宋体" w:hAnsi="宋体" w:cs="宋体" w:eastAsia="宋体" w:hint="ascii"/>
          <w:sz w:val="21"/>
        </w:rPr>
        <w:t xml:space="preserve"> </w:t>
      </w:r>
      <w:r>
        <w:rPr>
          <w:rFonts w:ascii="Times New Roman" w:hAnsi="Times New Roman" w:cs="Times New Roman" w:eastAsia="Times New Roman" w:hint="ascii"/>
          <w:sz w:val="21"/>
        </w:rPr>
        <w:t>http://ww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 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w:t>
      </w:r>
      <w:r>
        <w:rPr>
          <w:rFonts w:ascii="Times New Roman" w:hAnsi="Times New Roman" w:cs="Times New Roman" w:eastAsia="Times New Roman" w:hint="ascii"/>
          <w:sz w:val="21"/>
          <w:spacing w:val="53"/>
        </w:rPr>
        <w:t>n</w:t>
      </w:r>
      <w:r>
        <w:rPr>
          <w:rFonts w:ascii="宋体" w:hAnsi="宋体" w:cs="宋体" w:eastAsia="宋体" w:hint="ascii"/>
          <w:sz w:val="21"/>
        </w:rPr>
        <w:t>查阅或与数理科学部天文科学处联系。</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）本联合基金同等条件下优先支持中国科学院天文台系统以外研究机构和高等院</w:t>
      </w:r>
    </w:p>
    <w:p>
      <w:pPr>
        <w:autoSpaceDE w:val="0"/>
        <w:autoSpaceDN w:val="0"/>
        <w:jc w:val="both"/>
        <w:spacing w:before="10" w:after="0" w:lineRule="exact" w:line="312"/>
        <w:ind w:right="967"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校科研人员申请的项目，鼓励天文领域以外的研究人员与天文领域的研究人员开展合作研究。中国科学院天文台系统的科研人员不能作为申请人申请第 </w:t>
      </w:r>
      <w:r>
        <w:rPr>
          <w:rFonts w:ascii="Times New Roman" w:hAnsi="Times New Roman" w:cs="Times New Roman" w:eastAsia="Times New Roman" w:hint="ascii"/>
          <w:sz w:val="21"/>
        </w:rPr>
        <w:t xml:space="preserve">1 </w:t>
      </w:r>
      <w:r>
        <w:rPr>
          <w:rFonts w:ascii="宋体" w:hAnsi="宋体" w:cs="宋体" w:eastAsia="宋体" w:hint="ascii"/>
          <w:sz w:val="21"/>
        </w:rPr>
        <w:t>个方面的研究工作</w:t>
      </w:r>
    </w:p>
    <w:p>
      <w:pPr>
        <w:autoSpaceDE w:val="0"/>
        <w:autoSpaceDN w:val="0"/>
        <w:jc w:val="left"/>
        <w:spacing w:before="40"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（依</w:t>
      </w:r>
      <w:r>
        <w:rPr>
          <w:rFonts w:ascii="宋体" w:hAnsi="宋体" w:cs="宋体" w:eastAsia="宋体" w:hint="ascii"/>
          <w:sz w:val="21"/>
          <w:spacing w:val="27"/>
        </w:rPr>
        <w:t>托</w:t>
      </w:r>
      <w:r>
        <w:rPr>
          <w:rFonts w:ascii="Times New Roman" w:hAnsi="Times New Roman" w:cs="Times New Roman" w:eastAsia="Times New Roman" w:hint="ascii"/>
          <w:sz w:val="21"/>
          <w:spacing w:val="-16"/>
        </w:rPr>
        <w:t>F</w:t>
      </w:r>
      <w:r>
        <w:rPr>
          <w:rFonts w:ascii="Times New Roman" w:hAnsi="Times New Roman" w:cs="Times New Roman" w:eastAsia="Times New Roman" w:hint="ascii"/>
          <w:sz w:val="21"/>
        </w:rPr>
        <w:t>AST</w:t>
      </w:r>
      <w:r>
        <w:rPr>
          <w:rFonts w:ascii="宋体" w:hAnsi="宋体" w:cs="宋体" w:eastAsia="宋体" w:hint="ascii"/>
          <w:sz w:val="21"/>
        </w:rPr>
        <w:t>、</w:t>
      </w:r>
      <w:r>
        <w:rPr>
          <w:rFonts w:ascii="Times New Roman" w:hAnsi="Times New Roman" w:cs="Times New Roman" w:eastAsia="Times New Roman" w:hint="ascii"/>
          <w:sz w:val="21"/>
        </w:rPr>
        <w:t>LHAAS</w:t>
      </w:r>
      <w:r>
        <w:rPr>
          <w:rFonts w:ascii="Times New Roman" w:hAnsi="Times New Roman" w:cs="Times New Roman" w:eastAsia="Times New Roman" w:hint="ascii"/>
          <w:sz w:val="21"/>
          <w:spacing w:val="53"/>
        </w:rPr>
        <w:t>O</w:t>
      </w:r>
      <w:r>
        <w:rPr>
          <w:rFonts w:ascii="宋体" w:hAnsi="宋体" w:cs="宋体" w:eastAsia="宋体" w:hint="ascii"/>
          <w:sz w:val="21"/>
        </w:rPr>
        <w:t>的申请除外</w:t>
      </w:r>
      <w:r>
        <w:rPr>
          <w:rFonts w:ascii="宋体" w:hAnsi="宋体" w:cs="宋体" w:eastAsia="宋体" w:hint="ascii"/>
          <w:sz w:val="21"/>
          <w:spacing w:val="-53"/>
        </w:rPr>
        <w:t>）</w:t>
      </w:r>
      <w:r>
        <w:rPr>
          <w:rFonts w:ascii="宋体" w:hAnsi="宋体" w:cs="宋体" w:eastAsia="宋体" w:hint="ascii"/>
          <w:sz w:val="21"/>
        </w:rPr>
        <w:t>，但可作为申请人申请其他方面的研究工作。</w:t>
      </w:r>
    </w:p>
    <w:p>
      <w:pPr>
        <w:autoSpaceDE w:val="0"/>
        <w:autoSpaceDN w:val="0"/>
        <w:jc w:val="both"/>
        <w:spacing w:before="1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w:t>
      </w:r>
      <w:r>
        <w:rPr>
          <w:rFonts w:ascii="宋体" w:hAnsi="宋体" w:cs="宋体" w:eastAsia="宋体" w:hint="ascii"/>
          <w:sz w:val="21"/>
          <w:spacing w:val="-5"/>
        </w:rPr>
        <w:t>项目申请应当符合《指南》的范围与</w:t>
      </w:r>
      <w:r>
        <w:rPr>
          <w:rFonts w:ascii="宋体" w:hAnsi="宋体" w:cs="宋体" w:eastAsia="宋体" w:hint="ascii"/>
          <w:sz w:val="21"/>
          <w:spacing w:val="-4"/>
        </w:rPr>
        <w:t>要求，项目名称、具体研究方案、研究内</w:t>
      </w:r>
      <w:r>
        <w:rPr>
          <w:rFonts w:ascii="宋体" w:hAnsi="宋体" w:cs="宋体" w:eastAsia="宋体" w:hint="ascii"/>
          <w:sz w:val="21"/>
          <w:spacing w:val="-1"/>
        </w:rPr>
        <w:t>容</w:t>
      </w:r>
      <w:r>
        <w:rPr>
          <w:rFonts w:ascii="宋体" w:hAnsi="宋体" w:cs="宋体" w:eastAsia="宋体" w:hint="ascii"/>
          <w:sz w:val="21"/>
        </w:rPr>
        <w:t xml:space="preserve"> </w:t>
      </w:r>
      <w:r>
        <w:rPr>
          <w:rFonts w:ascii="宋体" w:hAnsi="宋体" w:cs="宋体" w:eastAsia="宋体" w:hint="ascii"/>
          <w:sz w:val="21"/>
          <w:spacing w:val="-3"/>
        </w:rPr>
        <w:t>和目</w:t>
      </w:r>
      <w:r>
        <w:rPr>
          <w:rFonts w:ascii="宋体" w:hAnsi="宋体" w:cs="宋体" w:eastAsia="宋体" w:hint="ascii"/>
          <w:sz w:val="21"/>
          <w:spacing w:val="-4"/>
        </w:rPr>
        <w:t>标</w:t>
      </w:r>
      <w:r>
        <w:rPr>
          <w:rFonts w:ascii="宋体" w:hAnsi="宋体" w:cs="宋体" w:eastAsia="宋体" w:hint="ascii"/>
          <w:sz w:val="21"/>
          <w:spacing w:val="-3"/>
        </w:rPr>
        <w:t>等</w:t>
      </w:r>
      <w:r>
        <w:rPr>
          <w:rFonts w:ascii="宋体" w:hAnsi="宋体" w:cs="宋体" w:eastAsia="宋体" w:hint="ascii"/>
          <w:sz w:val="21"/>
          <w:spacing w:val="-4"/>
        </w:rPr>
        <w:t>由</w:t>
      </w:r>
      <w:r>
        <w:rPr>
          <w:rFonts w:ascii="宋体" w:hAnsi="宋体" w:cs="宋体" w:eastAsia="宋体" w:hint="ascii"/>
          <w:sz w:val="21"/>
          <w:spacing w:val="-3"/>
        </w:rPr>
        <w:t>申请</w:t>
      </w:r>
      <w:r>
        <w:rPr>
          <w:rFonts w:ascii="宋体" w:hAnsi="宋体" w:cs="宋体" w:eastAsia="宋体" w:hint="ascii"/>
          <w:sz w:val="21"/>
          <w:spacing w:val="-4"/>
        </w:rPr>
        <w:t>人</w:t>
      </w:r>
      <w:r>
        <w:rPr>
          <w:rFonts w:ascii="宋体" w:hAnsi="宋体" w:cs="宋体" w:eastAsia="宋体" w:hint="ascii"/>
          <w:sz w:val="21"/>
          <w:spacing w:val="-3"/>
        </w:rPr>
        <w:t>提</w:t>
      </w:r>
      <w:r>
        <w:rPr>
          <w:rFonts w:ascii="宋体" w:hAnsi="宋体" w:cs="宋体" w:eastAsia="宋体" w:hint="ascii"/>
          <w:sz w:val="21"/>
          <w:spacing w:val="-4"/>
        </w:rPr>
        <w:t>出</w:t>
      </w:r>
      <w:r>
        <w:rPr>
          <w:rFonts w:ascii="宋体" w:hAnsi="宋体" w:cs="宋体" w:eastAsia="宋体" w:hint="ascii"/>
          <w:sz w:val="21"/>
          <w:spacing w:val="-3"/>
        </w:rPr>
        <w:t>，鼓</w:t>
      </w:r>
      <w:r>
        <w:rPr>
          <w:rFonts w:ascii="宋体" w:hAnsi="宋体" w:cs="宋体" w:eastAsia="宋体" w:hint="ascii"/>
          <w:sz w:val="21"/>
          <w:spacing w:val="-4"/>
        </w:rPr>
        <w:t>励</w:t>
      </w:r>
      <w:r>
        <w:rPr>
          <w:rFonts w:ascii="宋体" w:hAnsi="宋体" w:cs="宋体" w:eastAsia="宋体" w:hint="ascii"/>
          <w:sz w:val="21"/>
          <w:spacing w:val="-2"/>
        </w:rPr>
        <w:t>申</w:t>
      </w:r>
      <w:r>
        <w:rPr>
          <w:rFonts w:ascii="宋体" w:hAnsi="宋体" w:cs="宋体" w:eastAsia="宋体" w:hint="ascii"/>
          <w:sz w:val="21"/>
          <w:spacing w:val="-3"/>
        </w:rPr>
        <w:t>请</w:t>
      </w:r>
      <w:r>
        <w:rPr>
          <w:rFonts w:ascii="宋体" w:hAnsi="宋体" w:cs="宋体" w:eastAsia="宋体" w:hint="ascii"/>
          <w:sz w:val="21"/>
          <w:spacing w:val="-2"/>
        </w:rPr>
        <w:t>人提</w:t>
      </w:r>
      <w:r>
        <w:rPr>
          <w:rFonts w:ascii="宋体" w:hAnsi="宋体" w:cs="宋体" w:eastAsia="宋体" w:hint="ascii"/>
          <w:sz w:val="21"/>
          <w:spacing w:val="-3"/>
        </w:rPr>
        <w:t>出</w:t>
      </w:r>
      <w:r>
        <w:rPr>
          <w:rFonts w:ascii="宋体" w:hAnsi="宋体" w:cs="宋体" w:eastAsia="宋体" w:hint="ascii"/>
          <w:sz w:val="21"/>
          <w:spacing w:val="-2"/>
        </w:rPr>
        <w:t>具</w:t>
      </w:r>
      <w:r>
        <w:rPr>
          <w:rFonts w:ascii="宋体" w:hAnsi="宋体" w:cs="宋体" w:eastAsia="宋体" w:hint="ascii"/>
          <w:sz w:val="21"/>
          <w:spacing w:val="-3"/>
        </w:rPr>
        <w:t>有</w:t>
      </w:r>
      <w:r>
        <w:rPr>
          <w:rFonts w:ascii="宋体" w:hAnsi="宋体" w:cs="宋体" w:eastAsia="宋体" w:hint="ascii"/>
          <w:sz w:val="21"/>
          <w:spacing w:val="-2"/>
        </w:rPr>
        <w:t>创新</w:t>
      </w:r>
      <w:r>
        <w:rPr>
          <w:rFonts w:ascii="宋体" w:hAnsi="宋体" w:cs="宋体" w:eastAsia="宋体" w:hint="ascii"/>
          <w:sz w:val="21"/>
          <w:spacing w:val="-3"/>
        </w:rPr>
        <w:t>学</w:t>
      </w:r>
      <w:r>
        <w:rPr>
          <w:rFonts w:ascii="宋体" w:hAnsi="宋体" w:cs="宋体" w:eastAsia="宋体" w:hint="ascii"/>
          <w:sz w:val="21"/>
          <w:spacing w:val="-2"/>
        </w:rPr>
        <w:t>术</w:t>
      </w:r>
      <w:r>
        <w:rPr>
          <w:rFonts w:ascii="宋体" w:hAnsi="宋体" w:cs="宋体" w:eastAsia="宋体" w:hint="ascii"/>
          <w:sz w:val="21"/>
          <w:spacing w:val="-3"/>
        </w:rPr>
        <w:t>思</w:t>
      </w:r>
      <w:r>
        <w:rPr>
          <w:rFonts w:ascii="宋体" w:hAnsi="宋体" w:cs="宋体" w:eastAsia="宋体" w:hint="ascii"/>
          <w:sz w:val="21"/>
          <w:spacing w:val="-2"/>
        </w:rPr>
        <w:t>想的</w:t>
      </w:r>
      <w:r>
        <w:rPr>
          <w:rFonts w:ascii="宋体" w:hAnsi="宋体" w:cs="宋体" w:eastAsia="宋体" w:hint="ascii"/>
          <w:sz w:val="21"/>
          <w:spacing w:val="-3"/>
        </w:rPr>
        <w:t>研</w:t>
      </w:r>
      <w:r>
        <w:rPr>
          <w:rFonts w:ascii="宋体" w:hAnsi="宋体" w:cs="宋体" w:eastAsia="宋体" w:hint="ascii"/>
          <w:sz w:val="21"/>
          <w:spacing w:val="-2"/>
        </w:rPr>
        <w:t>究</w:t>
      </w:r>
      <w:r>
        <w:rPr>
          <w:rFonts w:ascii="宋体" w:hAnsi="宋体" w:cs="宋体" w:eastAsia="宋体" w:hint="ascii"/>
          <w:sz w:val="21"/>
          <w:spacing w:val="-3"/>
        </w:rPr>
        <w:t>方</w:t>
      </w:r>
      <w:r>
        <w:rPr>
          <w:rFonts w:ascii="宋体" w:hAnsi="宋体" w:cs="宋体" w:eastAsia="宋体" w:hint="ascii"/>
          <w:sz w:val="21"/>
          <w:spacing w:val="-2"/>
        </w:rPr>
        <w:t>案。</w:t>
      </w:r>
      <w:r>
        <w:rPr>
          <w:rFonts w:ascii="宋体" w:hAnsi="宋体" w:cs="宋体" w:eastAsia="宋体" w:hint="ascii"/>
          <w:sz w:val="21"/>
          <w:spacing w:val="-3"/>
        </w:rPr>
        <w:t>申</w:t>
      </w:r>
      <w:r>
        <w:rPr>
          <w:rFonts w:ascii="宋体" w:hAnsi="宋体" w:cs="宋体" w:eastAsia="宋体" w:hint="ascii"/>
          <w:sz w:val="21"/>
          <w:spacing w:val="-2"/>
        </w:rPr>
        <w:t>请</w:t>
      </w:r>
      <w:r>
        <w:rPr>
          <w:rFonts w:ascii="宋体" w:hAnsi="宋体" w:cs="宋体" w:eastAsia="宋体" w:hint="ascii"/>
          <w:sz w:val="21"/>
          <w:spacing w:val="-3"/>
        </w:rPr>
        <w:t>书资</w:t>
      </w:r>
      <w:r>
        <w:rPr>
          <w:rFonts w:ascii="宋体" w:hAnsi="宋体" w:cs="宋体" w:eastAsia="宋体" w:hint="ascii"/>
          <w:sz w:val="21"/>
          <w:spacing w:val="-2"/>
        </w:rPr>
        <w:t>助</w:t>
      </w:r>
      <w:r>
        <w:rPr>
          <w:rFonts w:ascii="宋体" w:hAnsi="宋体" w:cs="宋体" w:eastAsia="宋体" w:hint="ascii"/>
          <w:sz w:val="21"/>
          <w:spacing w:val="-3"/>
        </w:rPr>
        <w:t>类</w:t>
      </w:r>
      <w:r>
        <w:rPr>
          <w:rFonts w:ascii="宋体" w:hAnsi="宋体" w:cs="宋体" w:eastAsia="宋体" w:hint="ascii"/>
          <w:sz w:val="21"/>
        </w:rPr>
        <w:t>别</w:t>
      </w:r>
    </w:p>
    <w:p>
      <w:pPr>
        <w:autoSpaceDE w:val="0"/>
        <w:autoSpaceDN w:val="0"/>
        <w:jc w:val="right"/>
        <w:spacing w:before="0" w:after="0" w:lineRule="exact" w:line="312"/>
        <w:ind w:right="967" w:left="861" w:firstLine="104"/>
        <w:snapToGrid w:val="0"/>
        <w:textAlignment w:val="auto"/>
        <w:tabs/>
        <w:rPr>
          <w:rFonts w:ascii="宋体" w:hAnsi="宋体" w:cs="宋体" w:eastAsia="宋体" w:hint="ascii"/>
          <w:sz w:val="21"/>
        </w:rPr>
      </w:pPr>
      <w:r>
        <w:rPr>
          <w:rFonts w:ascii="宋体" w:hAnsi="宋体" w:cs="宋体" w:eastAsia="宋体" w:hint="ascii"/>
          <w:sz w:val="21"/>
          <w:spacing w:val="-2"/>
        </w:rPr>
        <w:t>选择“联合基金项目</w:t>
      </w:r>
      <w:r>
        <w:rPr>
          <w:rFonts w:ascii="宋体" w:hAnsi="宋体" w:cs="宋体" w:eastAsia="宋体" w:hint="ascii"/>
          <w:sz w:val="21"/>
          <w:spacing w:val="-52"/>
        </w:rPr>
        <w:t>”</w:t>
      </w:r>
      <w:r>
        <w:rPr>
          <w:rFonts w:ascii="宋体" w:hAnsi="宋体" w:cs="宋体" w:eastAsia="宋体" w:hint="ascii"/>
          <w:sz w:val="21"/>
          <w:spacing w:val="-2"/>
        </w:rPr>
        <w:t>，亚类说明选择“培</w:t>
      </w:r>
      <w:r>
        <w:rPr>
          <w:rFonts w:ascii="宋体" w:hAnsi="宋体" w:cs="宋体" w:eastAsia="宋体" w:hint="ascii"/>
          <w:sz w:val="21"/>
          <w:spacing w:val="-1"/>
        </w:rPr>
        <w:t>育项目”或“重点支持项目</w:t>
      </w:r>
      <w:r>
        <w:rPr>
          <w:rFonts w:ascii="宋体" w:hAnsi="宋体" w:cs="宋体" w:eastAsia="宋体" w:hint="ascii"/>
          <w:sz w:val="21"/>
          <w:spacing w:val="-51"/>
        </w:rPr>
        <w:t>”</w:t>
      </w:r>
      <w:r>
        <w:rPr>
          <w:rFonts w:ascii="宋体" w:hAnsi="宋体" w:cs="宋体" w:eastAsia="宋体" w:hint="ascii"/>
          <w:sz w:val="21"/>
          <w:spacing w:val="-1"/>
        </w:rPr>
        <w:t>，附注说明选择</w:t>
      </w:r>
      <w:r>
        <w:rPr>
          <w:rFonts w:ascii="宋体" w:hAnsi="宋体" w:cs="宋体" w:eastAsia="宋体" w:hint="ascii"/>
          <w:sz w:val="21"/>
        </w:rPr>
        <w:t xml:space="preserve"> </w:t>
      </w:r>
      <w:r>
        <w:rPr>
          <w:rFonts w:ascii="宋体" w:hAnsi="宋体" w:cs="宋体" w:eastAsia="宋体" w:hint="ascii"/>
          <w:sz w:val="21"/>
          <w:spacing w:val="-6"/>
        </w:rPr>
        <w:t>“天文联合基金</w:t>
      </w:r>
      <w:r>
        <w:rPr>
          <w:rFonts w:ascii="宋体" w:hAnsi="宋体" w:cs="宋体" w:eastAsia="宋体" w:hint="ascii"/>
          <w:sz w:val="21"/>
          <w:spacing w:val="-56"/>
        </w:rPr>
        <w:t>”</w:t>
      </w:r>
      <w:r>
        <w:rPr>
          <w:rFonts w:ascii="宋体" w:hAnsi="宋体" w:cs="宋体" w:eastAsia="宋体" w:hint="ascii"/>
          <w:sz w:val="21"/>
          <w:spacing w:val="-6"/>
        </w:rPr>
        <w:t>。</w:t>
      </w:r>
      <w:r>
        <w:rPr>
          <w:rFonts w:ascii="宋体" w:hAnsi="宋体" w:cs="宋体" w:eastAsia="宋体" w:hint="ascii"/>
          <w:sz w:val="21"/>
          <w:spacing w:val="-6"/>
        </w:rPr>
        <w:t>申请代</w:t>
      </w:r>
      <w:r>
        <w:rPr>
          <w:rFonts w:ascii="宋体" w:hAnsi="宋体" w:cs="宋体" w:eastAsia="宋体" w:hint="ascii"/>
          <w:sz w:val="21"/>
          <w:spacing w:val="-2"/>
        </w:rPr>
        <w:t>码</w:t>
      </w:r>
      <w:r>
        <w:rPr>
          <w:rFonts w:ascii="宋体" w:hAnsi="宋体" w:cs="宋体" w:eastAsia="宋体" w:hint="ascii"/>
          <w:sz w:val="21"/>
          <w:spacing w:val="-20"/>
        </w:rPr>
        <w:t xml:space="preserve"> </w:t>
      </w:r>
      <w:r>
        <w:rPr>
          <w:rFonts w:ascii="Times New Roman" w:hAnsi="Times New Roman" w:cs="Times New Roman" w:eastAsia="Times New Roman" w:hint="ascii"/>
          <w:b w:val="1"/>
          <w:sz w:val="21"/>
          <w:spacing w:val="-1"/>
        </w:rPr>
        <w:t>1</w:t>
      </w:r>
      <w:r>
        <w:rPr>
          <w:rFonts w:ascii="Times New Roman" w:hAnsi="Times New Roman" w:cs="Times New Roman" w:eastAsia="Times New Roman" w:hint="ascii"/>
          <w:b w:val="1"/>
          <w:sz w:val="21"/>
          <w:spacing w:val="-17"/>
        </w:rPr>
        <w:t xml:space="preserve"> </w:t>
      </w:r>
      <w:r>
        <w:rPr>
          <w:rFonts w:ascii="宋体" w:hAnsi="宋体" w:cs="宋体" w:eastAsia="宋体" w:hint="ascii"/>
          <w:sz w:val="21"/>
          <w:spacing w:val="-5"/>
        </w:rPr>
        <w:t>必须从《指南》规定</w:t>
      </w:r>
      <w:r>
        <w:rPr>
          <w:rFonts w:ascii="宋体" w:hAnsi="宋体" w:cs="宋体" w:eastAsia="宋体" w:hint="ascii"/>
          <w:sz w:val="21"/>
          <w:spacing w:val="-1"/>
        </w:rPr>
        <w:t>的</w:t>
      </w:r>
      <w:r>
        <w:rPr>
          <w:rFonts w:ascii="宋体" w:hAnsi="宋体" w:cs="宋体" w:eastAsia="宋体" w:hint="ascii"/>
          <w:sz w:val="21"/>
          <w:spacing w:val="-19"/>
        </w:rPr>
        <w:t xml:space="preserve"> </w:t>
      </w:r>
      <w:r>
        <w:rPr>
          <w:rFonts w:ascii="Times New Roman" w:hAnsi="Times New Roman" w:cs="Times New Roman" w:eastAsia="Times New Roman" w:hint="ascii"/>
          <w:b w:val="1"/>
          <w:sz w:val="21"/>
          <w:spacing w:val="-1"/>
        </w:rPr>
        <w:t>6</w:t>
      </w:r>
      <w:r>
        <w:rPr>
          <w:rFonts w:ascii="Times New Roman" w:hAnsi="Times New Roman" w:cs="Times New Roman" w:eastAsia="Times New Roman" w:hint="ascii"/>
          <w:b w:val="1"/>
          <w:sz w:val="21"/>
          <w:spacing w:val="-17"/>
        </w:rPr>
        <w:t xml:space="preserve"> </w:t>
      </w:r>
      <w:r>
        <w:rPr>
          <w:rFonts w:ascii="宋体" w:hAnsi="宋体" w:cs="宋体" w:eastAsia="宋体" w:hint="ascii"/>
          <w:sz w:val="21"/>
          <w:spacing w:val="-5"/>
        </w:rPr>
        <w:t>个方面的重要科学问题所对应的</w:t>
      </w:r>
      <w:r>
        <w:rPr>
          <w:rFonts w:ascii="宋体" w:hAnsi="宋体" w:cs="宋体" w:eastAsia="宋体" w:hint="ascii"/>
          <w:sz w:val="21"/>
          <w:spacing w:val="-1"/>
        </w:rPr>
        <w:t>代</w:t>
      </w:r>
      <w:r>
        <w:rPr>
          <w:rFonts w:ascii="宋体" w:hAnsi="宋体" w:cs="宋体" w:eastAsia="宋体" w:hint="ascii"/>
          <w:sz w:val="21"/>
        </w:rPr>
        <w:t xml:space="preserve"> </w:t>
      </w:r>
      <w:r>
        <w:rPr>
          <w:rFonts w:ascii="宋体" w:hAnsi="宋体" w:cs="宋体" w:eastAsia="宋体" w:hint="ascii"/>
          <w:sz w:val="21"/>
          <w:spacing w:val="-4"/>
        </w:rPr>
        <w:t>码中选择（</w:t>
      </w:r>
      <w:r>
        <w:rPr>
          <w:rFonts w:ascii="宋体" w:hAnsi="宋体" w:cs="宋体" w:eastAsia="宋体" w:hint="ascii"/>
          <w:sz w:val="21"/>
          <w:spacing w:val="23"/>
        </w:rPr>
        <w:t>如</w:t>
      </w:r>
      <w:r>
        <w:rPr>
          <w:rFonts w:ascii="Times New Roman" w:hAnsi="Times New Roman" w:cs="Times New Roman" w:eastAsia="Times New Roman" w:hint="ascii"/>
          <w:b w:val="1"/>
          <w:sz w:val="21"/>
          <w:spacing w:val="-5"/>
        </w:rPr>
        <w:t>A0</w:t>
      </w:r>
      <w:r>
        <w:rPr>
          <w:rFonts w:ascii="Times New Roman" w:hAnsi="Times New Roman" w:cs="Times New Roman" w:eastAsia="Times New Roman" w:hint="ascii"/>
          <w:b w:val="1"/>
          <w:sz w:val="21"/>
          <w:spacing w:val="-3"/>
        </w:rPr>
        <w:t>9</w:t>
      </w:r>
      <w:r>
        <w:rPr>
          <w:rFonts w:ascii="Times New Roman" w:hAnsi="Times New Roman" w:cs="Times New Roman" w:eastAsia="Times New Roman" w:hint="ascii"/>
          <w:b w:val="1"/>
          <w:sz w:val="21"/>
          <w:spacing w:val="-4"/>
        </w:rPr>
        <w:t>01</w:t>
      </w:r>
      <w:r>
        <w:rPr>
          <w:rFonts w:ascii="宋体" w:hAnsi="宋体" w:cs="宋体" w:eastAsia="宋体" w:hint="ascii"/>
          <w:b w:val="1"/>
          <w:sz w:val="21"/>
          <w:spacing w:val="-3"/>
        </w:rPr>
        <w:t>、</w:t>
      </w:r>
      <w:r>
        <w:rPr>
          <w:rFonts w:ascii="Times New Roman" w:hAnsi="Times New Roman" w:cs="Times New Roman" w:eastAsia="Times New Roman" w:hint="ascii"/>
          <w:b w:val="1"/>
          <w:sz w:val="21"/>
          <w:spacing w:val="-4"/>
        </w:rPr>
        <w:t>A09</w:t>
      </w:r>
      <w:r>
        <w:rPr>
          <w:rFonts w:ascii="Times New Roman" w:hAnsi="Times New Roman" w:cs="Times New Roman" w:eastAsia="Times New Roman" w:hint="ascii"/>
          <w:b w:val="1"/>
          <w:sz w:val="21"/>
          <w:spacing w:val="-3"/>
        </w:rPr>
        <w:t>0</w:t>
      </w:r>
      <w:r>
        <w:rPr>
          <w:rFonts w:ascii="Times New Roman" w:hAnsi="Times New Roman" w:cs="Times New Roman" w:eastAsia="Times New Roman" w:hint="ascii"/>
          <w:b w:val="1"/>
          <w:sz w:val="21"/>
          <w:spacing w:val="48"/>
        </w:rPr>
        <w:t>6</w:t>
      </w:r>
      <w:r>
        <w:rPr>
          <w:rFonts w:ascii="宋体" w:hAnsi="宋体" w:cs="宋体" w:eastAsia="宋体" w:hint="ascii"/>
          <w:sz w:val="21"/>
          <w:spacing w:val="-4"/>
        </w:rPr>
        <w:t>等</w:t>
      </w:r>
      <w:r>
        <w:rPr>
          <w:rFonts w:ascii="宋体" w:hAnsi="宋体" w:cs="宋体" w:eastAsia="宋体" w:hint="ascii"/>
          <w:sz w:val="21"/>
          <w:spacing w:val="-54"/>
        </w:rPr>
        <w:t>）</w:t>
      </w:r>
      <w:r>
        <w:rPr>
          <w:rFonts w:ascii="宋体" w:hAnsi="宋体" w:cs="宋体" w:eastAsia="宋体" w:hint="ascii"/>
          <w:sz w:val="21"/>
          <w:spacing w:val="-4"/>
        </w:rPr>
        <w:t>；申请代</w:t>
      </w:r>
      <w:r>
        <w:rPr>
          <w:rFonts w:ascii="宋体" w:hAnsi="宋体" w:cs="宋体" w:eastAsia="宋体" w:hint="ascii"/>
          <w:sz w:val="21"/>
          <w:spacing w:val="23"/>
        </w:rPr>
        <w:t>码</w:t>
      </w:r>
      <w:r>
        <w:rPr>
          <w:rFonts w:ascii="Times New Roman" w:hAnsi="Times New Roman" w:cs="Times New Roman" w:eastAsia="Times New Roman" w:hint="ascii"/>
          <w:b w:val="1"/>
          <w:sz w:val="21"/>
          <w:spacing w:val="47"/>
        </w:rPr>
        <w:t>2</w:t>
      </w:r>
      <w:r>
        <w:rPr>
          <w:rFonts w:ascii="宋体" w:hAnsi="宋体" w:cs="宋体" w:eastAsia="宋体" w:hint="ascii"/>
          <w:sz w:val="21"/>
          <w:spacing w:val="-4"/>
        </w:rPr>
        <w:t>根据项目内容或方向选择相应学科的申请</w:t>
      </w:r>
      <w:r>
        <w:rPr>
          <w:rFonts w:ascii="宋体" w:hAnsi="宋体" w:cs="宋体" w:eastAsia="宋体" w:hint="ascii"/>
          <w:sz w:val="21"/>
        </w:rPr>
        <w:t>代</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4"/>
        </w:rPr>
        <w:t>码（</w:t>
      </w:r>
      <w:r>
        <w:rPr>
          <w:rFonts w:ascii="宋体" w:hAnsi="宋体" w:cs="宋体" w:eastAsia="宋体" w:hint="ascii"/>
          <w:sz w:val="21"/>
          <w:spacing w:val="22"/>
        </w:rPr>
        <w:t>如</w:t>
      </w:r>
      <w:r>
        <w:rPr>
          <w:rFonts w:ascii="Times New Roman" w:hAnsi="Times New Roman" w:cs="Times New Roman" w:eastAsia="Times New Roman" w:hint="ascii"/>
          <w:b w:val="1"/>
          <w:sz w:val="21"/>
          <w:spacing w:val="-4"/>
        </w:rPr>
        <w:t>A0</w:t>
      </w:r>
      <w:r>
        <w:rPr>
          <w:rFonts w:ascii="Times New Roman" w:hAnsi="Times New Roman" w:cs="Times New Roman" w:eastAsia="Times New Roman" w:hint="ascii"/>
          <w:b w:val="1"/>
          <w:sz w:val="21"/>
          <w:spacing w:val="-3"/>
        </w:rPr>
        <w:t>3</w:t>
      </w:r>
      <w:r>
        <w:rPr>
          <w:rFonts w:ascii="Times New Roman" w:hAnsi="Times New Roman" w:cs="Times New Roman" w:eastAsia="Times New Roman" w:hint="ascii"/>
          <w:b w:val="1"/>
          <w:sz w:val="21"/>
          <w:spacing w:val="-4"/>
        </w:rPr>
        <w:t>0101</w:t>
      </w:r>
      <w:r>
        <w:rPr>
          <w:rFonts w:ascii="宋体" w:hAnsi="宋体" w:cs="宋体" w:eastAsia="宋体" w:hint="ascii"/>
          <w:b w:val="1"/>
          <w:sz w:val="21"/>
          <w:spacing w:val="-3"/>
        </w:rPr>
        <w:t>、</w:t>
      </w:r>
      <w:r>
        <w:rPr>
          <w:rFonts w:ascii="Times New Roman" w:hAnsi="Times New Roman" w:cs="Times New Roman" w:eastAsia="Times New Roman" w:hint="ascii"/>
          <w:b w:val="1"/>
          <w:sz w:val="21"/>
          <w:spacing w:val="-4"/>
        </w:rPr>
        <w:t>A0308</w:t>
      </w:r>
      <w:r>
        <w:rPr>
          <w:rFonts w:ascii="Times New Roman" w:hAnsi="Times New Roman" w:cs="Times New Roman" w:eastAsia="Times New Roman" w:hint="ascii"/>
          <w:b w:val="1"/>
          <w:sz w:val="21"/>
          <w:spacing w:val="-3"/>
        </w:rPr>
        <w:t>0</w:t>
      </w:r>
      <w:r>
        <w:rPr>
          <w:rFonts w:ascii="Times New Roman" w:hAnsi="Times New Roman" w:cs="Times New Roman" w:eastAsia="Times New Roman" w:hint="ascii"/>
          <w:b w:val="1"/>
          <w:sz w:val="21"/>
          <w:spacing w:val="46"/>
        </w:rPr>
        <w:t>1</w:t>
      </w:r>
      <w:r>
        <w:rPr>
          <w:rFonts w:ascii="宋体" w:hAnsi="宋体" w:cs="宋体" w:eastAsia="宋体" w:hint="ascii"/>
          <w:sz w:val="21"/>
          <w:spacing w:val="-4"/>
        </w:rPr>
        <w:t>等</w:t>
      </w:r>
      <w:r>
        <w:rPr>
          <w:rFonts w:ascii="宋体" w:hAnsi="宋体" w:cs="宋体" w:eastAsia="宋体" w:hint="ascii"/>
          <w:sz w:val="21"/>
          <w:spacing w:val="-54"/>
        </w:rPr>
        <w:t>）</w:t>
      </w:r>
      <w:r>
        <w:rPr>
          <w:rFonts w:ascii="宋体" w:hAnsi="宋体" w:cs="宋体" w:eastAsia="宋体" w:hint="ascii"/>
          <w:sz w:val="21"/>
        </w:rPr>
        <w:t>。</w:t>
      </w:r>
    </w:p>
    <w:p>
      <w:pPr>
        <w:autoSpaceDE w:val="0"/>
        <w:autoSpaceDN w:val="0"/>
        <w:jc w:val="both"/>
        <w:spacing w:before="1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4</w:t>
      </w:r>
      <w:r>
        <w:rPr>
          <w:rFonts w:ascii="宋体" w:hAnsi="宋体" w:cs="宋体" w:eastAsia="宋体" w:hint="ascii"/>
          <w:sz w:val="21"/>
          <w:spacing w:val="-2"/>
        </w:rPr>
        <w:t>）</w:t>
      </w:r>
      <w:r>
        <w:rPr>
          <w:rFonts w:ascii="宋体" w:hAnsi="宋体" w:cs="宋体" w:eastAsia="宋体" w:hint="ascii"/>
          <w:sz w:val="21"/>
          <w:spacing w:val="-2"/>
        </w:rPr>
        <w:t>选择</w:t>
      </w:r>
      <w:r>
        <w:rPr>
          <w:rFonts w:ascii="宋体" w:hAnsi="宋体" w:cs="宋体" w:eastAsia="宋体" w:hint="ascii"/>
          <w:sz w:val="21"/>
          <w:spacing w:val="25"/>
        </w:rPr>
        <w:t>第</w:t>
      </w:r>
      <w:r>
        <w:rPr>
          <w:rFonts w:ascii="Times New Roman" w:hAnsi="Times New Roman" w:cs="Times New Roman" w:eastAsia="Times New Roman" w:hint="ascii"/>
          <w:b w:val="1"/>
          <w:sz w:val="21"/>
          <w:spacing w:val="-2"/>
        </w:rPr>
        <w:t>1</w:t>
      </w:r>
      <w:r>
        <w:rPr>
          <w:rFonts w:ascii="Times New Roman" w:hAnsi="Times New Roman" w:cs="Times New Roman" w:eastAsia="Times New Roman" w:hint="ascii"/>
          <w:b w:val="1"/>
          <w:sz w:val="21"/>
          <w:spacing w:val="-27"/>
        </w:rPr>
        <w:t xml:space="preserve"> </w:t>
      </w:r>
      <w:r>
        <w:rPr>
          <w:rFonts w:ascii="宋体" w:hAnsi="宋体" w:cs="宋体" w:eastAsia="宋体" w:hint="ascii"/>
          <w:sz w:val="21"/>
          <w:spacing w:val="-2"/>
        </w:rPr>
        <w:t>个方面重要科学问题（</w:t>
      </w:r>
      <w:r>
        <w:rPr>
          <w:rFonts w:ascii="宋体" w:hAnsi="宋体" w:cs="宋体" w:eastAsia="宋体" w:hint="ascii"/>
          <w:sz w:val="21"/>
          <w:spacing w:val="-1"/>
        </w:rPr>
        <w:t>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spacing w:val="-1"/>
        </w:rPr>
        <w:t>选择</w:t>
      </w:r>
      <w:r>
        <w:rPr>
          <w:rFonts w:ascii="宋体" w:hAnsi="宋体" w:cs="宋体" w:eastAsia="宋体" w:hint="ascii"/>
          <w:sz w:val="21"/>
          <w:spacing w:val="-26"/>
        </w:rPr>
        <w:t xml:space="preserve"> </w:t>
      </w:r>
      <w:r>
        <w:rPr>
          <w:rFonts w:ascii="Times New Roman" w:hAnsi="Times New Roman" w:cs="Times New Roman" w:eastAsia="Times New Roman" w:hint="ascii"/>
          <w:b w:val="1"/>
          <w:sz w:val="21"/>
          <w:spacing w:val="-1"/>
        </w:rPr>
        <w:t>A0901</w:t>
      </w:r>
      <w:r>
        <w:rPr>
          <w:rFonts w:ascii="宋体" w:hAnsi="宋体" w:cs="宋体" w:eastAsia="宋体" w:hint="ascii"/>
          <w:sz w:val="21"/>
          <w:spacing w:val="-1"/>
        </w:rPr>
        <w:t>）的申请，申请书正文</w:t>
      </w:r>
      <w:r>
        <w:rPr>
          <w:rFonts w:ascii="宋体" w:hAnsi="宋体" w:cs="宋体" w:eastAsia="宋体" w:hint="ascii"/>
          <w:sz w:val="21"/>
        </w:rPr>
        <w:t xml:space="preserve"> 开头应当首先说明所利用的中国科学院天文台系统所属天文观测设备的名称，并说明这些设备和由这些设备获得的数据资料与本申请的关系，未说明的项目申请将不予受理。</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w:t>
      </w:r>
      <w:r>
        <w:rPr>
          <w:rFonts w:ascii="Times New Roman" w:hAnsi="Times New Roman" w:cs="Times New Roman" w:eastAsia="Times New Roman" w:hint="ascii"/>
          <w:sz w:val="21"/>
        </w:rPr>
        <w:t>“</w:t>
      </w:r>
      <w:r>
        <w:rPr>
          <w:rFonts w:ascii="宋体" w:hAnsi="宋体" w:cs="宋体" w:eastAsia="宋体" w:hint="ascii"/>
          <w:sz w:val="21"/>
        </w:rPr>
        <w:t>重点支持项目</w:t>
      </w:r>
      <w:r>
        <w:rPr>
          <w:rFonts w:ascii="Times New Roman" w:hAnsi="Times New Roman" w:cs="Times New Roman" w:eastAsia="Times New Roman" w:hint="ascii"/>
          <w:sz w:val="21"/>
        </w:rPr>
        <w:t>”</w:t>
      </w:r>
      <w:r>
        <w:rPr>
          <w:rFonts w:ascii="宋体" w:hAnsi="宋体" w:cs="宋体" w:eastAsia="宋体" w:hint="ascii"/>
          <w:sz w:val="21"/>
        </w:rPr>
        <w:t>申请人应当具有高级专业技术职务（职称</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）本联合基金项目与科学基金其他相关项目类型共同限项申请，限制申请和承担项目总数及其共同限项项目类型见本《指南》中的限项申请规定。</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）资助项目在执行期间取得的研究成果，包括发表论文、专著、专利、奖励等，</w:t>
      </w:r>
    </w:p>
    <w:p>
      <w:pPr>
        <w:autoSpaceDE w:val="0"/>
        <w:autoSpaceDN w:val="0"/>
        <w:jc w:val="right"/>
        <w:spacing w:before="10" w:after="0" w:lineRule="exact" w:line="312"/>
        <w:ind w:right="967" w:left="86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必须标注“国家自然科学基金委员会</w:t>
      </w:r>
      <w:r>
        <w:rPr>
          <w:rFonts w:ascii="Times New Roman" w:hAnsi="Times New Roman" w:cs="Times New Roman" w:eastAsia="Times New Roman" w:hint="ascii"/>
          <w:sz w:val="21"/>
        </w:rPr>
        <w:t>–</w:t>
      </w:r>
      <w:r>
        <w:rPr>
          <w:rFonts w:ascii="宋体" w:hAnsi="宋体" w:cs="宋体" w:eastAsia="宋体" w:hint="ascii"/>
          <w:sz w:val="21"/>
        </w:rPr>
        <w:t xml:space="preserve">中国科学院天文联合基金资助 </w:t>
      </w:r>
      <w:r>
        <w:rPr>
          <w:rFonts w:ascii="Times New Roman" w:hAnsi="Times New Roman" w:cs="Times New Roman" w:eastAsia="Times New Roman" w:hint="ascii"/>
          <w:sz w:val="21"/>
        </w:rPr>
        <w:t>XXXXXXXX</w:t>
      </w:r>
      <w:r>
        <w:rPr>
          <w:rFonts w:ascii="宋体" w:hAnsi="宋体" w:cs="宋体" w:eastAsia="宋体" w:hint="ascii"/>
          <w:sz w:val="21"/>
        </w:rPr>
        <w:t>（项目批准号</w:t>
      </w:r>
      <w:r>
        <w:rPr>
          <w:rFonts w:ascii="宋体" w:hAnsi="宋体" w:cs="宋体" w:eastAsia="宋体" w:hint="ascii"/>
          <w:sz w:val="21"/>
          <w:spacing w:val="-52"/>
        </w:rPr>
        <w:t>）</w:t>
      </w:r>
      <w:r>
        <w:rPr>
          <w:rFonts w:ascii="宋体" w:hAnsi="宋体" w:cs="宋体" w:eastAsia="宋体" w:hint="ascii"/>
          <w:sz w:val="21"/>
          <w:spacing w:val="-53"/>
        </w:rPr>
        <w:t>”</w:t>
      </w:r>
      <w:r>
        <w:rPr>
          <w:rFonts w:ascii="宋体" w:hAnsi="宋体" w:cs="宋体" w:eastAsia="宋体" w:hint="ascii"/>
          <w:sz w:val="21"/>
        </w:rPr>
        <w:t>，英文标注“</w:t>
      </w:r>
      <w:r>
        <w:rPr>
          <w:rFonts w:ascii="Times New Roman" w:hAnsi="Times New Roman" w:cs="Times New Roman" w:eastAsia="Times New Roman" w:hint="ascii"/>
          <w:sz w:val="21"/>
        </w:rPr>
        <w:t>This</w:t>
      </w:r>
      <w:r>
        <w:rPr>
          <w:rFonts w:ascii="Times New Roman" w:hAnsi="Times New Roman" w:cs="Times New Roman" w:eastAsia="Times New Roman" w:hint="ascii"/>
          <w:sz w:val="21"/>
          <w:spacing w:val="20"/>
        </w:rPr>
        <w:t xml:space="preserve"> </w:t>
      </w:r>
      <w:r>
        <w:rPr>
          <w:rFonts w:ascii="Times New Roman" w:hAnsi="Times New Roman" w:cs="Times New Roman" w:eastAsia="Times New Roman" w:hint="ascii"/>
          <w:sz w:val="21"/>
        </w:rPr>
        <w:t>work</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is</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supported</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by</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the</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Joint</w:t>
      </w:r>
      <w:r>
        <w:rPr>
          <w:rFonts w:ascii="Times New Roman" w:hAnsi="Times New Roman" w:cs="Times New Roman" w:eastAsia="Times New Roman" w:hint="ascii"/>
          <w:sz w:val="21"/>
          <w:spacing w:val="20"/>
        </w:rPr>
        <w:t xml:space="preserve"> </w:t>
      </w:r>
      <w:r>
        <w:rPr>
          <w:rFonts w:ascii="Times New Roman" w:hAnsi="Times New Roman" w:cs="Times New Roman" w:eastAsia="Times New Roman" w:hint="ascii"/>
          <w:sz w:val="21"/>
        </w:rPr>
        <w:t>Research</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Fund</w:t>
      </w:r>
      <w:r>
        <w:rPr>
          <w:rFonts w:ascii="Times New Roman" w:hAnsi="Times New Roman" w:cs="Times New Roman" w:eastAsia="Times New Roman" w:hint="ascii"/>
          <w:sz w:val="21"/>
          <w:spacing w:val="19"/>
        </w:rPr>
        <w:t xml:space="preserve"> </w:t>
      </w:r>
      <w:r>
        <w:rPr>
          <w:rFonts w:ascii="Times New Roman" w:hAnsi="Times New Roman" w:cs="Times New Roman" w:eastAsia="Times New Roman" w:hint="ascii"/>
          <w:sz w:val="21"/>
        </w:rPr>
        <w:t>in</w:t>
      </w:r>
      <w:r>
        <w:rPr>
          <w:rFonts w:ascii="Times New Roman" w:hAnsi="Times New Roman" w:cs="Times New Roman" w:eastAsia="Times New Roman" w:hint="ascii"/>
          <w:sz w:val="21"/>
          <w:spacing w:val="20"/>
        </w:rPr>
        <w:t xml:space="preserve"> </w:t>
      </w:r>
      <w:r>
        <w:rPr>
          <w:rFonts w:ascii="Times New Roman" w:hAnsi="Times New Roman" w:cs="Times New Roman" w:eastAsia="Times New Roman" w:hint="ascii"/>
          <w:sz w:val="21"/>
        </w:rPr>
        <w:t xml:space="preserve">Astronomy </w:t>
      </w:r>
      <w:r>
        <w:rPr>
          <w:rFonts w:ascii="宋体" w:hAnsi="宋体" w:cs="宋体" w:eastAsia="宋体" w:hint="ascii"/>
          <w:sz w:val="21"/>
          <w:spacing w:val="21"/>
        </w:rPr>
        <w:t>（</w:t>
      </w:r>
      <w:r>
        <w:rPr>
          <w:rFonts w:ascii="Times New Roman" w:hAnsi="Times New Roman" w:cs="Times New Roman" w:eastAsia="Times New Roman" w:hint="ascii"/>
          <w:sz w:val="21"/>
          <w:spacing w:val="-1"/>
        </w:rPr>
        <w:t>XXXXXXX</w:t>
      </w:r>
      <w:r>
        <w:rPr>
          <w:rFonts w:ascii="Times New Roman" w:hAnsi="Times New Roman" w:cs="Times New Roman" w:eastAsia="Times New Roman" w:hint="ascii"/>
          <w:sz w:val="21"/>
          <w:spacing w:val="42"/>
        </w:rPr>
        <w:t>X</w:t>
      </w:r>
      <w:r>
        <w:rPr>
          <w:rFonts w:ascii="宋体" w:hAnsi="宋体" w:cs="宋体" w:eastAsia="宋体" w:hint="ascii"/>
          <w:sz w:val="21"/>
          <w:spacing w:val="22"/>
        </w:rPr>
        <w:t>）</w:t>
      </w:r>
      <w:r>
        <w:rPr>
          <w:rFonts w:ascii="Times New Roman" w:hAnsi="Times New Roman" w:cs="Times New Roman" w:eastAsia="Times New Roman" w:hint="ascii"/>
          <w:sz w:val="21"/>
        </w:rPr>
        <w:t>under</w:t>
      </w:r>
      <w:r>
        <w:rPr>
          <w:rFonts w:ascii="Times New Roman" w:hAnsi="Times New Roman" w:cs="Times New Roman" w:eastAsia="Times New Roman" w:hint="ascii"/>
          <w:sz w:val="21"/>
          <w:spacing w:val="95"/>
        </w:rPr>
        <w:t xml:space="preserve"> </w:t>
      </w:r>
      <w:r>
        <w:rPr>
          <w:rFonts w:ascii="Times New Roman" w:hAnsi="Times New Roman" w:cs="Times New Roman" w:eastAsia="Times New Roman" w:hint="ascii"/>
          <w:sz w:val="21"/>
        </w:rPr>
        <w:t>cooperative</w:t>
      </w:r>
      <w:r>
        <w:rPr>
          <w:rFonts w:ascii="Times New Roman" w:hAnsi="Times New Roman" w:cs="Times New Roman" w:eastAsia="Times New Roman" w:hint="ascii"/>
          <w:sz w:val="21"/>
          <w:spacing w:val="94"/>
        </w:rPr>
        <w:t xml:space="preserve"> </w:t>
      </w:r>
      <w:r>
        <w:rPr>
          <w:rFonts w:ascii="Times New Roman" w:hAnsi="Times New Roman" w:cs="Times New Roman" w:eastAsia="Times New Roman" w:hint="ascii"/>
          <w:sz w:val="21"/>
        </w:rPr>
        <w:t>agreement</w:t>
      </w:r>
      <w:r>
        <w:rPr>
          <w:rFonts w:ascii="Times New Roman" w:hAnsi="Times New Roman" w:cs="Times New Roman" w:eastAsia="Times New Roman" w:hint="ascii"/>
          <w:sz w:val="21"/>
          <w:spacing w:val="95"/>
        </w:rPr>
        <w:t xml:space="preserve"> </w:t>
      </w:r>
      <w:r>
        <w:rPr>
          <w:rFonts w:ascii="Times New Roman" w:hAnsi="Times New Roman" w:cs="Times New Roman" w:eastAsia="Times New Roman" w:hint="ascii"/>
          <w:sz w:val="21"/>
        </w:rPr>
        <w:t>between</w:t>
      </w:r>
      <w:r>
        <w:rPr>
          <w:rFonts w:ascii="Times New Roman" w:hAnsi="Times New Roman" w:cs="Times New Roman" w:eastAsia="Times New Roman" w:hint="ascii"/>
          <w:sz w:val="21"/>
          <w:spacing w:val="95"/>
        </w:rPr>
        <w:t xml:space="preserve"> </w:t>
      </w:r>
      <w:r>
        <w:rPr>
          <w:rFonts w:ascii="Times New Roman" w:hAnsi="Times New Roman" w:cs="Times New Roman" w:eastAsia="Times New Roman" w:hint="ascii"/>
          <w:sz w:val="21"/>
        </w:rPr>
        <w:t>the</w:t>
      </w:r>
      <w:r>
        <w:rPr>
          <w:rFonts w:ascii="Times New Roman" w:hAnsi="Times New Roman" w:cs="Times New Roman" w:eastAsia="Times New Roman" w:hint="ascii"/>
          <w:sz w:val="21"/>
          <w:spacing w:val="95"/>
        </w:rPr>
        <w:t xml:space="preserve"> </w:t>
      </w:r>
      <w:r>
        <w:rPr>
          <w:rFonts w:ascii="Times New Roman" w:hAnsi="Times New Roman" w:cs="Times New Roman" w:eastAsia="Times New Roman" w:hint="ascii"/>
          <w:sz w:val="21"/>
        </w:rPr>
        <w:t>National</w:t>
      </w:r>
      <w:r>
        <w:rPr>
          <w:rFonts w:ascii="Times New Roman" w:hAnsi="Times New Roman" w:cs="Times New Roman" w:eastAsia="Times New Roman" w:hint="ascii"/>
          <w:sz w:val="21"/>
          <w:spacing w:val="95"/>
        </w:rPr>
        <w:t xml:space="preserve"> </w:t>
      </w:r>
      <w:r>
        <w:rPr>
          <w:rFonts w:ascii="Times New Roman" w:hAnsi="Times New Roman" w:cs="Times New Roman" w:eastAsia="Times New Roman" w:hint="ascii"/>
          <w:sz w:val="21"/>
        </w:rPr>
        <w:t>Natural</w:t>
      </w:r>
      <w:r>
        <w:rPr>
          <w:rFonts w:ascii="Times New Roman" w:hAnsi="Times New Roman" w:cs="Times New Roman" w:eastAsia="Times New Roman" w:hint="ascii"/>
          <w:sz w:val="21"/>
          <w:spacing w:val="95"/>
        </w:rPr>
        <w:t xml:space="preserve"> </w:t>
      </w:r>
      <w:r>
        <w:rPr>
          <w:rFonts w:ascii="Times New Roman" w:hAnsi="Times New Roman" w:cs="Times New Roman" w:eastAsia="Times New Roman" w:hint="ascii"/>
          <w:sz w:val="21"/>
        </w:rPr>
        <w:t>Science</w: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Foundation of China</w:t>
      </w:r>
      <w:r>
        <w:rPr>
          <w:rFonts w:ascii="宋体" w:hAnsi="宋体" w:cs="宋体" w:eastAsia="宋体" w:hint="ascii"/>
          <w:sz w:val="21"/>
        </w:rPr>
        <w:t>（</w:t>
      </w:r>
      <w:r>
        <w:rPr>
          <w:rFonts w:ascii="Times New Roman" w:hAnsi="Times New Roman" w:cs="Times New Roman" w:eastAsia="Times New Roman" w:hint="ascii"/>
          <w:sz w:val="21"/>
        </w:rPr>
        <w:t>NSFC</w:t>
      </w:r>
      <w:r>
        <w:rPr>
          <w:rFonts w:ascii="宋体" w:hAnsi="宋体" w:cs="宋体" w:eastAsia="宋体" w:hint="ascii"/>
          <w:sz w:val="21"/>
        </w:rPr>
        <w:t>）</w:t>
      </w:r>
      <w:r>
        <w:rPr>
          <w:rFonts w:ascii="Times New Roman" w:hAnsi="Times New Roman" w:cs="Times New Roman" w:eastAsia="Times New Roman" w:hint="ascii"/>
          <w:sz w:val="21"/>
        </w:rPr>
        <w:t>and Chinese</w:t>
      </w:r>
      <w:r>
        <w:rPr>
          <w:rFonts w:ascii="Times New Roman" w:hAnsi="Times New Roman" w:cs="Times New Roman" w:eastAsia="Times New Roman" w:hint="ascii"/>
          <w:sz w:val="21"/>
          <w:spacing w:val="-11"/>
        </w:rPr>
        <w:t xml:space="preserve"> </w:t>
      </w:r>
      <w:r>
        <w:rPr>
          <w:rFonts w:ascii="Times New Roman" w:hAnsi="Times New Roman" w:cs="Times New Roman" w:eastAsia="Times New Roman" w:hint="ascii"/>
          <w:sz w:val="21"/>
        </w:rPr>
        <w:t>Academy of Sciences</w:t>
      </w:r>
      <w:r>
        <w:rPr>
          <w:rFonts w:ascii="宋体" w:hAnsi="宋体" w:cs="宋体" w:eastAsia="宋体" w:hint="ascii"/>
          <w:sz w:val="21"/>
        </w:rPr>
        <w:t>（</w:t>
      </w:r>
      <w:r>
        <w:rPr>
          <w:rFonts w:ascii="Times New Roman" w:hAnsi="Times New Roman" w:cs="Times New Roman" w:eastAsia="Times New Roman" w:hint="ascii"/>
          <w:sz w:val="21"/>
        </w:rPr>
        <w:t>CAS</w:t>
      </w:r>
      <w:r>
        <w:rPr>
          <w:rFonts w:ascii="宋体" w:hAnsi="宋体" w:cs="宋体" w:eastAsia="宋体" w:hint="ascii"/>
          <w:sz w:val="21"/>
        </w:rPr>
        <w:t>）</w:t>
      </w:r>
      <w:r>
        <w:rPr>
          <w:rFonts w:ascii="Times New Roman" w:hAnsi="Times New Roman" w:cs="Times New Roman" w:eastAsia="Times New Roman" w:hint="ascii"/>
          <w:sz w:val="21"/>
        </w:rPr>
        <w:t>.</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7"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w:t>
      </w:r>
      <w:r>
        <w:rPr>
          <w:rFonts w:ascii="Times New Roman" w:hAnsi="Times New Roman" w:cs="Times New Roman" w:eastAsia="Times New Roman" w:hint="ascii"/>
          <w:sz w:val="21"/>
        </w:rPr>
        <w:t xml:space="preserve">2017 </w:t>
      </w:r>
      <w:r>
        <w:rPr>
          <w:rFonts w:ascii="宋体" w:hAnsi="宋体" w:cs="宋体" w:eastAsia="宋体" w:hint="ascii"/>
          <w:sz w:val="21"/>
        </w:rPr>
        <w:t xml:space="preserve">年度申请中存在的问题：①申请代码 </w:t>
      </w:r>
      <w:r>
        <w:rPr>
          <w:rFonts w:ascii="Times New Roman" w:hAnsi="Times New Roman" w:cs="Times New Roman" w:eastAsia="Times New Roman" w:hint="ascii"/>
          <w:sz w:val="21"/>
        </w:rPr>
        <w:t xml:space="preserve">2 </w:t>
      </w:r>
      <w:r>
        <w:rPr>
          <w:rFonts w:ascii="宋体" w:hAnsi="宋体" w:cs="宋体" w:eastAsia="宋体" w:hint="ascii"/>
          <w:sz w:val="21"/>
        </w:rPr>
        <w:t>未按照指南要求填写（</w:t>
      </w:r>
      <w:r>
        <w:rPr>
          <w:rFonts w:ascii="Times New Roman" w:hAnsi="Times New Roman" w:cs="Times New Roman" w:eastAsia="Times New Roman" w:hint="ascii"/>
          <w:sz w:val="21"/>
        </w:rPr>
        <w:t>A0901</w:t>
      </w:r>
      <w:r>
        <w:rPr>
          <w:rFonts w:ascii="宋体" w:hAnsi="宋体" w:cs="宋体" w:eastAsia="宋体" w:hint="ascii"/>
          <w:sz w:val="21"/>
        </w:rPr>
        <w:t>～</w:t>
      </w:r>
      <w:r>
        <w:rPr>
          <w:rFonts w:ascii="Times New Roman" w:hAnsi="Times New Roman" w:cs="Times New Roman" w:eastAsia="Times New Roman" w:hint="ascii"/>
          <w:sz w:val="21"/>
        </w:rPr>
        <w:t>A0906</w:t>
      </w:r>
      <w:r>
        <w:rPr>
          <w:rFonts w:ascii="Times New Roman" w:hAnsi="Times New Roman" w:cs="Times New Roman" w:eastAsia="Times New Roman" w:hint="ascii"/>
          <w:sz w:val="21"/>
          <w:spacing w:val="-16"/>
        </w:rPr>
        <w:t xml:space="preserve"> </w:t>
      </w:r>
      <w:r>
        <w:rPr>
          <w:rFonts w:ascii="宋体" w:hAnsi="宋体" w:cs="宋体" w:eastAsia="宋体" w:hint="ascii"/>
          <w:sz w:val="21"/>
        </w:rPr>
        <w:t>不是学科代码，申请代码</w:t>
      </w:r>
      <w:r>
        <w:rPr>
          <w:rFonts w:ascii="宋体" w:hAnsi="宋体" w:cs="宋体" w:eastAsia="宋体" w:hint="ascii"/>
          <w:sz w:val="21"/>
          <w:spacing w:val="-15"/>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6"/>
        </w:rPr>
        <w:t xml:space="preserve"> </w:t>
      </w:r>
      <w:r>
        <w:rPr>
          <w:rFonts w:ascii="宋体" w:hAnsi="宋体" w:cs="宋体" w:eastAsia="宋体" w:hint="ascii"/>
          <w:sz w:val="21"/>
        </w:rPr>
        <w:t>不能选择</w:t>
      </w:r>
      <w:r>
        <w:rPr>
          <w:rFonts w:ascii="宋体" w:hAnsi="宋体" w:cs="宋体" w:eastAsia="宋体" w:hint="ascii"/>
          <w:sz w:val="21"/>
          <w:spacing w:val="-52"/>
        </w:rPr>
        <w:t>）</w:t>
      </w:r>
      <w:r>
        <w:rPr>
          <w:rFonts w:ascii="宋体" w:hAnsi="宋体" w:cs="宋体" w:eastAsia="宋体" w:hint="ascii"/>
          <w:sz w:val="21"/>
        </w:rPr>
        <w:t>；②研究内容不属于天文联合基金</w:t>
      </w:r>
      <w:r>
        <w:rPr>
          <w:rFonts w:ascii="宋体" w:hAnsi="宋体" w:cs="宋体" w:eastAsia="宋体" w:hint="ascii"/>
          <w:sz w:val="21"/>
          <w:spacing w:val="-15"/>
        </w:rPr>
        <w:t xml:space="preserve"> </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16"/>
        </w:rPr>
        <w:t xml:space="preserve"> </w:t>
      </w:r>
      <w:r>
        <w:rPr>
          <w:rFonts w:ascii="宋体" w:hAnsi="宋体" w:cs="宋体" w:eastAsia="宋体" w:hint="ascii"/>
          <w:sz w:val="21"/>
        </w:rPr>
        <w:t>个方面的重要科学问题的资助范围；③申请</w:t>
      </w:r>
      <w:r>
        <w:rPr>
          <w:rFonts w:ascii="宋体" w:hAnsi="宋体" w:cs="宋体" w:eastAsia="宋体" w:hint="ascii"/>
          <w:sz w:val="21"/>
          <w:spacing w:val="27"/>
        </w:rPr>
        <w:t>第</w:t>
      </w:r>
      <w:r>
        <w:rPr>
          <w:rFonts w:ascii="Times New Roman" w:hAnsi="Times New Roman" w:cs="Times New Roman" w:eastAsia="Times New Roman" w:hint="ascii"/>
          <w:sz w:val="21"/>
          <w:spacing w:val="52"/>
        </w:rPr>
        <w:t>1</w:t>
      </w:r>
      <w:r>
        <w:rPr>
          <w:rFonts w:ascii="宋体" w:hAnsi="宋体" w:cs="宋体" w:eastAsia="宋体" w:hint="ascii"/>
          <w:sz w:val="21"/>
        </w:rPr>
        <w:t>个方面的申请书正文开头没有说明所使用的中科院天文设备的名称。</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三、联系方式</w:t>
      </w:r>
      <w:r>
        <w:rPr>
          <w:rFonts w:ascii="宋体" w:hAnsi="宋体" w:cs="宋体" w:eastAsia="宋体" w:hint="ascii"/>
        </w:rPr>
        <mc:AlternateContent>
          <mc:Choice Requires="wps">
            <w:drawing>
              <wp:anchor distL="0" distR="0" distT="0" distB="0" simplePos="0" behindDoc="1" relativeHeight="267" locked="0" layoutInCell="1" allowOverlap="1">
                <wp:simplePos x="0" y="0"/>
                <wp:positionH relativeFrom="page">
                  <wp:posOffset>938530</wp:posOffset>
                </wp:positionH>
                <wp:positionV relativeFrom="page">
                  <wp:posOffset>819150</wp:posOffset>
                </wp:positionV>
                <wp:extent cx="5076190" cy="0"/>
                <wp:wrapNone/>
                <wp:docPr id="1296" name="129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84832;width:399.70pt;" id="129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国家自然科学基金委员会数理科学部</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52"/>
        </w:rPr>
        <w:t xml:space="preserve"> </w:t>
      </w:r>
      <w:r>
        <w:rPr>
          <w:rFonts w:ascii="宋体" w:hAnsi="宋体" w:cs="宋体" w:eastAsia="宋体" w:hint="ascii"/>
          <w:sz w:val="21"/>
        </w:rPr>
        <w:t>址：北京市海淀区双清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52"/>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联系人：刘</w:t>
      </w:r>
      <w:r>
        <w:rPr>
          <w:rFonts w:ascii="宋体" w:hAnsi="宋体" w:cs="宋体" w:eastAsia="宋体" w:hint="ascii"/>
          <w:sz w:val="21"/>
          <w:spacing w:val="52"/>
        </w:rPr>
        <w:t xml:space="preserve"> </w:t>
      </w:r>
      <w:r>
        <w:rPr>
          <w:rFonts w:ascii="宋体" w:hAnsi="宋体" w:cs="宋体" w:eastAsia="宋体" w:hint="ascii"/>
          <w:sz w:val="21"/>
        </w:rPr>
        <w:t>强</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52"/>
        </w:rPr>
        <w:t xml:space="preserve"> </w:t>
      </w:r>
      <w:r>
        <w:rPr>
          <w:rFonts w:ascii="宋体" w:hAnsi="宋体" w:cs="宋体" w:eastAsia="宋体" w:hint="ascii"/>
          <w:sz w:val="21"/>
        </w:rPr>
        <w:t>话：</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62325940</w:t>
      </w:r>
    </w:p>
    <w:p>
      <w:pPr>
        <w:autoSpaceDE w:val="0"/>
        <w:autoSpaceDN w:val="0"/>
        <w:jc w:val="left"/>
        <w:spacing w:before="190" w:after="0" w:lineRule="exact" w:line="475"/>
        <w:ind w:right="0" w:left="2486" w:firstLine="0"/>
        <w:snapToGrid w:val="0"/>
        <w:textAlignment w:val="auto"/>
        <w:tabs/>
        <w:rPr>
          <w:rFonts w:ascii="宋体" w:hAnsi="宋体" w:cs="宋体" w:eastAsia="宋体" w:hint="ascii"/>
          <w:sz w:val="38"/>
        </w:rPr>
      </w:pPr>
      <w:r>
        <w:rPr>
          <w:rFonts w:ascii="宋体" w:hAnsi="宋体" w:cs="宋体" w:eastAsia="宋体" w:hint="ascii"/>
          <w:sz w:val="38"/>
        </w:rPr>
        <w:t>大科学装置科学研究联合基金</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自然科学基金委与中国科学院共同设立大科学装置科学研究联合基金，旨在利用科</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学基金评审</w:t>
      </w:r>
      <w:r>
        <w:rPr>
          <w:rFonts w:ascii="宋体" w:hAnsi="宋体" w:cs="宋体" w:eastAsia="宋体" w:hint="ascii"/>
          <w:sz w:val="21"/>
        </w:rPr>
        <w:t>、资助和管理系统的优势，更好地吸引和组织全国高等院校和科研机构的力</w:t>
      </w:r>
      <w:r>
        <w:rPr>
          <w:rFonts w:ascii="宋体" w:hAnsi="宋体" w:cs="宋体" w:eastAsia="宋体" w:hint="ascii"/>
          <w:sz w:val="21"/>
          <w:spacing w:val="-1"/>
        </w:rPr>
        <w:t>量，充分利</w:t>
      </w:r>
      <w:r>
        <w:rPr>
          <w:rFonts w:ascii="宋体" w:hAnsi="宋体" w:cs="宋体" w:eastAsia="宋体" w:hint="ascii"/>
          <w:sz w:val="21"/>
        </w:rPr>
        <w:t>用中国科学院承建的国家大科学装置为综合研究平台，开展学科前沿研究、</w:t>
      </w:r>
      <w:r>
        <w:rPr>
          <w:rFonts w:ascii="宋体" w:hAnsi="宋体" w:cs="宋体" w:eastAsia="宋体" w:hint="ascii"/>
          <w:sz w:val="21"/>
          <w:spacing w:val="-1"/>
        </w:rPr>
        <w:t>多学科以及</w:t>
      </w:r>
      <w:r>
        <w:rPr>
          <w:rFonts w:ascii="宋体" w:hAnsi="宋体" w:cs="宋体" w:eastAsia="宋体" w:hint="ascii"/>
          <w:sz w:val="21"/>
        </w:rPr>
        <w:t>综合交叉领域研究，培养大科学装置科学研究人才，开拓新的研究方向，发</w:t>
      </w:r>
      <w:r>
        <w:rPr>
          <w:rFonts w:ascii="宋体" w:hAnsi="宋体" w:cs="宋体" w:eastAsia="宋体" w:hint="ascii"/>
          <w:sz w:val="21"/>
          <w:spacing w:val="-1"/>
        </w:rPr>
        <w:t>挥大科学装</w:t>
      </w:r>
      <w:r>
        <w:rPr>
          <w:rFonts w:ascii="宋体" w:hAnsi="宋体" w:cs="宋体" w:eastAsia="宋体" w:hint="ascii"/>
          <w:sz w:val="21"/>
        </w:rPr>
        <w:t>置的综合平台效能，促进开放和交流，提升我国基础科学自主创新能力，在</w:t>
      </w:r>
      <w:r>
        <w:rPr>
          <w:rFonts w:ascii="宋体" w:hAnsi="宋体" w:cs="宋体" w:eastAsia="宋体" w:hint="ascii"/>
          <w:sz w:val="21"/>
          <w:spacing w:val="-1"/>
        </w:rPr>
        <w:t>前沿科学领</w:t>
      </w:r>
      <w:r>
        <w:rPr>
          <w:rFonts w:ascii="宋体" w:hAnsi="宋体" w:cs="宋体" w:eastAsia="宋体" w:hint="ascii"/>
          <w:sz w:val="21"/>
        </w:rPr>
        <w:t>域、多学科交叉研究领域的源头创新能力和国际学术地位，使我国基础科学研究更好地服务于国家战略需求。</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本联合基金作为科学基金的组成部分，项目的申请、评审和管理，按照《国家自然</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科学基金联合基金项目管理办法》和自然科学基金委</w:t>
      </w:r>
      <w:r>
        <w:rPr>
          <w:rFonts w:ascii="Times New Roman" w:hAnsi="Times New Roman" w:cs="Times New Roman" w:eastAsia="Times New Roman" w:hint="ascii"/>
          <w:sz w:val="21"/>
        </w:rPr>
        <w:t>–</w:t>
      </w:r>
      <w:r>
        <w:rPr>
          <w:rFonts w:ascii="宋体" w:hAnsi="宋体" w:cs="宋体" w:eastAsia="宋体" w:hint="ascii"/>
          <w:sz w:val="21"/>
        </w:rPr>
        <w:t>中国科学院大科学装置科学研究联合基金协议执行。依托的大科学装置是：北京正负电子对撞机及北京同步辐射装置、兰州重离子加速器与冷却储存环装置、上海光源装置（包括蛋白质设施五线六站</w:t>
      </w:r>
      <w:r>
        <w:rPr>
          <w:rFonts w:ascii="宋体" w:hAnsi="宋体" w:cs="宋体" w:eastAsia="宋体" w:hint="ascii"/>
          <w:sz w:val="21"/>
          <w:spacing w:val="-51"/>
        </w:rPr>
        <w:t>）</w:t>
      </w:r>
      <w:r>
        <w:rPr>
          <w:rFonts w:ascii="宋体" w:hAnsi="宋体" w:cs="宋体" w:eastAsia="宋体" w:hint="ascii"/>
          <w:sz w:val="21"/>
        </w:rPr>
        <w:t>、合肥同步辐射装置、合肥稳态强磁场装置、中国散裂中子源装置。</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本联合基金资助项目类型包括“培育项目”和“重点支持项目”两类。</w:t>
      </w:r>
      <w:r>
        <w:rPr>
          <w:rFonts w:ascii="Times New Roman" w:hAnsi="Times New Roman" w:cs="Times New Roman" w:eastAsia="Times New Roman" w:hint="ascii"/>
          <w:sz w:val="21"/>
        </w:rPr>
        <w:t xml:space="preserve">2018 </w:t>
      </w:r>
      <w:r>
        <w:rPr>
          <w:rFonts w:ascii="宋体" w:hAnsi="宋体" w:cs="宋体" w:eastAsia="宋体" w:hint="ascii"/>
          <w:sz w:val="21"/>
        </w:rPr>
        <w:t>年度</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资</w:t>
      </w:r>
      <w:r>
        <w:rPr>
          <w:rFonts w:ascii="宋体" w:hAnsi="宋体" w:cs="宋体" w:eastAsia="宋体" w:hint="ascii"/>
          <w:sz w:val="21"/>
        </w:rPr>
        <w:t xml:space="preserve">助“重点支持项目”直接费用平均资助强度为 </w:t>
      </w:r>
      <w:r>
        <w:rPr>
          <w:rFonts w:ascii="Times New Roman" w:hAnsi="Times New Roman" w:cs="Times New Roman" w:eastAsia="Times New Roman" w:hint="ascii"/>
          <w:sz w:val="21"/>
        </w:rPr>
        <w:t xml:space="preserve">240 </w:t>
      </w:r>
      <w:r>
        <w:rPr>
          <w:rFonts w:ascii="宋体" w:hAnsi="宋体" w:cs="宋体" w:eastAsia="宋体" w:hint="ascii"/>
          <w:sz w:val="21"/>
        </w:rPr>
        <w:t>万</w:t>
      </w:r>
      <w:r>
        <w:rPr>
          <w:rFonts w:ascii="宋体" w:hAnsi="宋体" w:cs="宋体" w:eastAsia="宋体" w:hint="ascii"/>
          <w:sz w:val="21"/>
        </w:rPr>
        <w:t>～</w:t>
      </w:r>
      <w:r>
        <w:rPr>
          <w:rFonts w:ascii="Times New Roman" w:hAnsi="Times New Roman" w:cs="Times New Roman" w:eastAsia="Times New Roman" w:hint="ascii"/>
          <w:sz w:val="21"/>
        </w:rPr>
        <w:t xml:space="preserve">260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 xml:space="preserve">项，资助期限为 </w:t>
      </w:r>
      <w:r>
        <w:rPr>
          <w:rFonts w:ascii="Times New Roman" w:hAnsi="Times New Roman" w:cs="Times New Roman" w:eastAsia="Times New Roman" w:hint="ascii"/>
          <w:sz w:val="21"/>
        </w:rPr>
        <w:t xml:space="preserve">4 </w:t>
      </w:r>
      <w:r>
        <w:rPr>
          <w:rFonts w:ascii="宋体" w:hAnsi="宋体" w:cs="宋体" w:eastAsia="宋体" w:hint="ascii"/>
          <w:sz w:val="21"/>
          <w:spacing w:val="-2"/>
        </w:rPr>
        <w:t>年，即</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2"/>
        </w:rPr>
        <w:t>2019</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1"/>
        </w:rPr>
        <w:t>年</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1"/>
        </w:rPr>
        <w:t>月</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1"/>
        </w:rPr>
        <w:t>日至</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1"/>
        </w:rPr>
        <w:t>2022</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1"/>
        </w:rPr>
        <w:t>年</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1"/>
        </w:rPr>
        <w:t>12</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1"/>
        </w:rPr>
        <w:t>月</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1"/>
        </w:rPr>
        <w:t>31</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1"/>
        </w:rPr>
        <w:t>日</w:t>
      </w:r>
      <w:r>
        <w:rPr>
          <w:rFonts w:ascii="宋体" w:hAnsi="宋体" w:cs="宋体" w:eastAsia="宋体" w:hint="ascii"/>
          <w:sz w:val="21"/>
          <w:spacing w:val="-54"/>
        </w:rPr>
        <w:t>；</w:t>
      </w:r>
      <w:r>
        <w:rPr>
          <w:rFonts w:ascii="宋体" w:hAnsi="宋体" w:cs="宋体" w:eastAsia="宋体" w:hint="ascii"/>
          <w:sz w:val="21"/>
          <w:spacing w:val="-1"/>
        </w:rPr>
        <w:t>“培育项目”直接费用平均资助强度不</w:t>
      </w:r>
      <w:r>
        <w:rPr>
          <w:rFonts w:ascii="宋体" w:hAnsi="宋体" w:cs="宋体" w:eastAsia="宋体" w:hint="ascii"/>
          <w:sz w:val="21"/>
        </w:rPr>
        <w:t xml:space="preserve"> 少</w:t>
      </w:r>
      <w:r>
        <w:rPr>
          <w:rFonts w:ascii="宋体" w:hAnsi="宋体" w:cs="宋体" w:eastAsia="宋体" w:hint="ascii"/>
          <w:sz w:val="21"/>
          <w:spacing w:val="26"/>
        </w:rPr>
        <w:t>于</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52"/>
        </w:rPr>
        <w:t>4</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3</w:t>
      </w:r>
      <w:r>
        <w:rPr>
          <w:rFonts w:ascii="宋体" w:hAnsi="宋体" w:cs="宋体" w:eastAsia="宋体" w:hint="ascii"/>
          <w:sz w:val="21"/>
        </w:rPr>
        <w:t>年，</w:t>
      </w:r>
      <w:r>
        <w:rPr>
          <w:rFonts w:ascii="宋体" w:hAnsi="宋体" w:cs="宋体" w:eastAsia="宋体" w:hint="ascii"/>
          <w:sz w:val="21"/>
          <w:spacing w:val="26"/>
        </w:rPr>
        <w:t>即</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9</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1</w:t>
      </w:r>
      <w:r>
        <w:rPr>
          <w:rFonts w:ascii="宋体" w:hAnsi="宋体" w:cs="宋体" w:eastAsia="宋体" w:hint="ascii"/>
          <w:sz w:val="21"/>
          <w:spacing w:val="26"/>
        </w:rPr>
        <w:t>年</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2</w:t>
      </w:r>
      <w:r>
        <w:rPr>
          <w:rFonts w:ascii="宋体" w:hAnsi="宋体" w:cs="宋体" w:eastAsia="宋体" w:hint="ascii"/>
          <w:sz w:val="21"/>
          <w:spacing w:val="26"/>
        </w:rPr>
        <w:t>月</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1</w:t>
      </w:r>
      <w:r>
        <w:rPr>
          <w:rFonts w:ascii="宋体" w:hAnsi="宋体" w:cs="宋体" w:eastAsia="宋体" w:hint="ascii"/>
          <w:sz w:val="21"/>
        </w:rPr>
        <w:t>日。</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一、主要支</w:t>
      </w:r>
      <w:r>
        <w:rPr>
          <w:rFonts w:ascii="宋体" w:hAnsi="宋体" w:cs="宋体" w:eastAsia="宋体" w:hint="ascii"/>
          <w:spacing w:val="30"/>
        </w:rPr>
        <w:t>持</w:t>
      </w:r>
      <w:r>
        <w:rPr>
          <w:rFonts w:ascii="Times New Roman" w:hAnsi="Times New Roman" w:cs="Times New Roman" w:eastAsia="Times New Roman" w:hint="ascii"/>
          <w:b w:val="1"/>
          <w:spacing w:val="60"/>
        </w:rPr>
        <w:t>3</w:t>
      </w:r>
      <w:r>
        <w:rPr>
          <w:rFonts w:ascii="宋体" w:hAnsi="宋体" w:cs="宋体" w:eastAsia="宋体" w:hint="ascii"/>
        </w:rPr>
        <w:t>个方面研究</w:t>
      </w:r>
    </w:p>
    <w:p>
      <w:pPr>
        <w:autoSpaceDE w:val="0"/>
        <w:autoSpaceDN w:val="0"/>
        <w:jc w:val="both"/>
        <w:spacing w:before="158"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）基于平</w:t>
      </w:r>
      <w:r>
        <w:rPr>
          <w:rFonts w:ascii="宋体" w:hAnsi="宋体" w:cs="宋体" w:eastAsia="宋体" w:hint="ascii"/>
          <w:sz w:val="21"/>
        </w:rPr>
        <w:t>台装置的研究工作，重点支持物质科学、信息科学、生命科学、材料科学、能源科学、环境科学等领域和学科交叉前沿问题的研究，开拓新的研究方向；</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）基于</w:t>
      </w:r>
      <w:r>
        <w:rPr>
          <w:rFonts w:ascii="宋体" w:hAnsi="宋体" w:cs="宋体" w:eastAsia="宋体" w:hint="ascii"/>
          <w:sz w:val="21"/>
          <w:spacing w:val="-7"/>
        </w:rPr>
        <w:t>专</w:t>
      </w:r>
      <w:r>
        <w:rPr>
          <w:rFonts w:ascii="宋体" w:hAnsi="宋体" w:cs="宋体" w:eastAsia="宋体" w:hint="ascii"/>
          <w:sz w:val="21"/>
        </w:rPr>
        <w:t>用装置的研究工作，如北京正负电子对撞机上北京谱仪Ⅲ</w:t>
      </w:r>
      <w:r>
        <w:rPr>
          <w:rFonts w:ascii="宋体" w:hAnsi="宋体" w:cs="宋体" w:eastAsia="宋体" w:hint="ascii"/>
          <w:sz w:val="21"/>
        </w:rPr>
        <w:t>（</w:t>
      </w:r>
      <w:r>
        <w:rPr>
          <w:rFonts w:ascii="Times New Roman" w:hAnsi="Times New Roman" w:cs="Times New Roman" w:eastAsia="Times New Roman" w:hint="ascii"/>
          <w:sz w:val="21"/>
        </w:rPr>
        <w:t>BES</w:t>
      </w:r>
      <w:r>
        <w:rPr>
          <w:rFonts w:ascii="宋体" w:hAnsi="宋体" w:cs="宋体" w:eastAsia="宋体" w:hint="ascii"/>
          <w:sz w:val="21"/>
        </w:rPr>
        <w:t>Ⅲ</w:t>
      </w:r>
      <w:r>
        <w:rPr>
          <w:rFonts w:ascii="宋体" w:hAnsi="宋体" w:cs="宋体" w:eastAsia="宋体" w:hint="ascii"/>
          <w:sz w:val="21"/>
        </w:rPr>
        <w:t>）</w:t>
      </w:r>
      <w:r>
        <w:rPr>
          <w:rFonts w:ascii="宋体" w:hAnsi="宋体" w:cs="宋体" w:eastAsia="宋体" w:hint="ascii"/>
          <w:sz w:val="21"/>
        </w:rPr>
        <w:t>的高能物理研究、兰州重离子加速器冷却储存环装置的核物理研究等；</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）提升大</w:t>
      </w:r>
      <w:r>
        <w:rPr>
          <w:rFonts w:ascii="宋体" w:hAnsi="宋体" w:cs="宋体" w:eastAsia="宋体" w:hint="ascii"/>
          <w:sz w:val="21"/>
        </w:rPr>
        <w:t>科学装置研究能力的实验技术、方法及小型专用仪器发展研究和关键技术研究。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年度资助的主要研究领域</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培育项目</w:t>
      </w:r>
    </w:p>
    <w:p>
      <w:pPr>
        <w:autoSpaceDE w:val="0"/>
        <w:autoSpaceDN w:val="0"/>
        <w:jc w:val="both"/>
        <w:spacing w:before="1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同步辐射、中子散射和稳态强磁场在物理、化学、生命、医学、环境、材料、</w:t>
      </w:r>
      <w:r>
        <w:rPr>
          <w:rFonts w:ascii="宋体" w:hAnsi="宋体" w:cs="宋体" w:eastAsia="宋体" w:hint="ascii"/>
          <w:sz w:val="21"/>
          <w:spacing w:val="-6"/>
        </w:rPr>
        <w:t>能</w:t>
      </w:r>
      <w:r>
        <w:rPr>
          <w:rFonts w:ascii="宋体" w:hAnsi="宋体" w:cs="宋体" w:eastAsia="宋体" w:hint="ascii"/>
          <w:sz w:val="21"/>
        </w:rPr>
        <w:t xml:space="preserve"> 源、地学、农业、计量学、微电子及微机械等领域及学科交叉前沿问题的研究；</w:t>
      </w:r>
      <w:r>
        <w:rPr>
          <w:rFonts w:ascii="Times New Roman" w:hAnsi="Times New Roman" w:cs="Times New Roman" w:eastAsia="Times New Roman" w:hint="ascii"/>
          <w:sz w:val="21"/>
        </w:rPr>
        <w:t>BES</w:t>
      </w:r>
      <w:r>
        <w:rPr>
          <w:rFonts w:ascii="宋体" w:hAnsi="宋体" w:cs="宋体" w:eastAsia="宋体" w:hint="ascii"/>
          <w:sz w:val="21"/>
        </w:rPr>
        <w:t>Ⅲ</w:t>
      </w:r>
    </w:p>
    <w:p>
      <w:pPr>
        <w:autoSpaceDE w:val="0"/>
        <w:autoSpaceDN w:val="0"/>
        <w:jc w:val="left"/>
        <w:spacing w:before="282"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7"/>
        </w:rPr>
        <w:t>上</w:t>
      </w:r>
      <w:r>
        <w:rPr>
          <w:rFonts w:ascii="Symbol" w:hAnsi="Symbol" w:cs="Symbol" w:eastAsia="Symbol" w:hint="ascii"/>
          <w:i w:val="1"/>
          <w:sz w:val="21"/>
          <w:spacing w:val="-1"/>
        </w:rPr>
        <w:t></w:t>
      </w:r>
      <w:r>
        <w:rPr>
          <w:rFonts w:ascii="Times New Roman" w:hAnsi="Times New Roman" w:cs="Times New Roman" w:eastAsia="Times New Roman" w:hint="ascii"/>
          <w:sz w:val="21"/>
        </w:rPr>
        <w:t>-</w:t>
      </w:r>
      <w:r>
        <w:rPr>
          <w:rFonts w:ascii="宋体" w:hAnsi="宋体" w:cs="宋体" w:eastAsia="宋体" w:hint="ascii"/>
          <w:sz w:val="21"/>
        </w:rPr>
        <w:t>粲物</w:t>
      </w:r>
      <w:r>
        <w:rPr>
          <w:rFonts w:ascii="宋体" w:hAnsi="宋体" w:cs="宋体" w:eastAsia="宋体" w:hint="ascii"/>
          <w:sz w:val="21"/>
          <w:spacing w:val="-1"/>
        </w:rPr>
        <w:t>理</w:t>
      </w:r>
      <w:r>
        <w:rPr>
          <w:rFonts w:ascii="宋体" w:hAnsi="宋体" w:cs="宋体" w:eastAsia="宋体" w:hint="ascii"/>
          <w:sz w:val="21"/>
        </w:rPr>
        <w:t>实验研究</w:t>
      </w:r>
      <w:r>
        <w:rPr>
          <w:rFonts w:ascii="宋体" w:hAnsi="宋体" w:cs="宋体" w:eastAsia="宋体" w:hint="ascii"/>
          <w:sz w:val="21"/>
          <w:spacing w:val="-1"/>
        </w:rPr>
        <w:t>及</w:t>
      </w:r>
      <w:r>
        <w:rPr>
          <w:rFonts w:ascii="宋体" w:hAnsi="宋体" w:cs="宋体" w:eastAsia="宋体" w:hint="ascii"/>
          <w:sz w:val="21"/>
        </w:rPr>
        <w:t>有关软件</w:t>
      </w:r>
      <w:r>
        <w:rPr>
          <w:rFonts w:ascii="宋体" w:hAnsi="宋体" w:cs="宋体" w:eastAsia="宋体" w:hint="ascii"/>
          <w:sz w:val="21"/>
          <w:spacing w:val="-1"/>
        </w:rPr>
        <w:t>与</w:t>
      </w:r>
      <w:r>
        <w:rPr>
          <w:rFonts w:ascii="宋体" w:hAnsi="宋体" w:cs="宋体" w:eastAsia="宋体" w:hint="ascii"/>
          <w:sz w:val="21"/>
        </w:rPr>
        <w:t>数据分析</w:t>
      </w:r>
      <w:r>
        <w:rPr>
          <w:rFonts w:ascii="宋体" w:hAnsi="宋体" w:cs="宋体" w:eastAsia="宋体" w:hint="ascii"/>
          <w:sz w:val="21"/>
          <w:spacing w:val="-1"/>
        </w:rPr>
        <w:t>基</w:t>
      </w:r>
      <w:r>
        <w:rPr>
          <w:rFonts w:ascii="宋体" w:hAnsi="宋体" w:cs="宋体" w:eastAsia="宋体" w:hint="ascii"/>
          <w:sz w:val="21"/>
        </w:rPr>
        <w:t>础方法研</w:t>
      </w:r>
      <w:r>
        <w:rPr>
          <w:rFonts w:ascii="宋体" w:hAnsi="宋体" w:cs="宋体" w:eastAsia="宋体" w:hint="ascii"/>
          <w:sz w:val="21"/>
          <w:spacing w:val="-1"/>
        </w:rPr>
        <w:t>究</w:t>
      </w:r>
      <w:r>
        <w:rPr>
          <w:rFonts w:ascii="宋体" w:hAnsi="宋体" w:cs="宋体" w:eastAsia="宋体" w:hint="ascii"/>
          <w:sz w:val="21"/>
        </w:rPr>
        <w:t>；兰州重</w:t>
      </w:r>
      <w:r>
        <w:rPr>
          <w:rFonts w:ascii="宋体" w:hAnsi="宋体" w:cs="宋体" w:eastAsia="宋体" w:hint="ascii"/>
          <w:sz w:val="21"/>
          <w:spacing w:val="-1"/>
        </w:rPr>
        <w:t>离</w:t>
      </w:r>
      <w:r>
        <w:rPr>
          <w:rFonts w:ascii="宋体" w:hAnsi="宋体" w:cs="宋体" w:eastAsia="宋体" w:hint="ascii"/>
          <w:sz w:val="21"/>
        </w:rPr>
        <w:t>子加速器</w:t>
      </w:r>
      <w:r>
        <w:rPr>
          <w:rFonts w:ascii="宋体" w:hAnsi="宋体" w:cs="宋体" w:eastAsia="宋体" w:hint="ascii"/>
          <w:sz w:val="21"/>
          <w:spacing w:val="-1"/>
        </w:rPr>
        <w:t>与</w:t>
      </w:r>
      <w:r>
        <w:rPr>
          <w:rFonts w:ascii="宋体" w:hAnsi="宋体" w:cs="宋体" w:eastAsia="宋体" w:hint="ascii"/>
          <w:sz w:val="21"/>
        </w:rPr>
        <w:t>冷却</w:t>
      </w:r>
      <w:r>
        <w:rPr>
          <w:rFonts w:ascii="宋体" w:hAnsi="宋体" w:cs="宋体" w:eastAsia="宋体" w:hint="ascii"/>
          <w:sz w:val="21"/>
          <w:spacing w:val="-2"/>
        </w:rPr>
        <w:t>储</w:t>
      </w:r>
      <w:r>
        <w:rPr>
          <w:rFonts w:ascii="宋体" w:hAnsi="宋体" w:cs="宋体" w:eastAsia="宋体" w:hint="ascii"/>
          <w:sz w:val="21"/>
          <w:spacing w:val="-1"/>
        </w:rPr>
        <w:t>存环上</w:t>
      </w:r>
      <w:r>
        <w:rPr>
          <w:rFonts w:ascii="宋体" w:hAnsi="宋体" w:cs="宋体" w:eastAsia="宋体" w:hint="ascii"/>
          <w:sz w:val="21"/>
        </w:rPr>
        <w:t xml:space="preserve">的核物理实验研究及重离子应用基础研究；离子束在生命、医学、材料和半导体缺陷工程领域的研究；光束线的新技术和方法学研究；先进 </w:t>
      </w:r>
      <w:r>
        <w:rPr>
          <w:rFonts w:ascii="Times New Roman" w:hAnsi="Times New Roman" w:cs="Times New Roman" w:eastAsia="Times New Roman" w:hint="ascii"/>
          <w:sz w:val="21"/>
        </w:rPr>
        <w:t xml:space="preserve">X </w:t>
      </w:r>
      <w:r>
        <w:rPr>
          <w:rFonts w:ascii="宋体" w:hAnsi="宋体" w:cs="宋体" w:eastAsia="宋体" w:hint="ascii"/>
          <w:sz w:val="21"/>
        </w:rPr>
        <w:t>射线探测器的关键技术</w:t>
      </w:r>
      <w:r>
        <w:rPr>
          <w:rFonts w:ascii="宋体" w:hAnsi="宋体" w:cs="宋体" w:eastAsia="宋体" w:hint="ascii"/>
          <w:sz w:val="21"/>
          <w:spacing w:val="-1"/>
        </w:rPr>
        <w:t>研究；</w:t>
      </w:r>
      <w:r>
        <w:rPr>
          <w:rFonts w:ascii="宋体" w:hAnsi="宋体" w:cs="宋体" w:eastAsia="宋体" w:hint="ascii"/>
          <w:sz w:val="21"/>
        </w:rPr>
        <w:t>粒子加速器和粒子探测器的关键技术、方法和设备的研究；稳态强磁场磁共振技术、功能材料制备新方法研究。</w:t>
      </w:r>
      <w:r>
        <w:rPr>
          <w:rFonts w:ascii="宋体" w:hAnsi="宋体" w:cs="宋体" w:eastAsia="宋体" w:hint="ascii"/>
          <w:sz w:val="21"/>
        </w:rPr>
        <mc:AlternateContent>
          <mc:Choice Requires="wps">
            <w:drawing>
              <wp:anchor distL="0" distR="0" distT="0" distB="0" simplePos="0" behindDoc="1" relativeHeight="268" locked="0" layoutInCell="1" allowOverlap="1">
                <wp:simplePos x="0" y="0"/>
                <wp:positionH relativeFrom="page">
                  <wp:posOffset>938530</wp:posOffset>
                </wp:positionH>
                <wp:positionV relativeFrom="page">
                  <wp:posOffset>805815</wp:posOffset>
                </wp:positionV>
                <wp:extent cx="5076190" cy="0"/>
                <wp:wrapNone/>
                <wp:docPr id="1297" name="129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83808;width:399.70pt;" id="129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重点支持项目</w:t>
      </w:r>
    </w:p>
    <w:p>
      <w:pPr>
        <w:autoSpaceDE w:val="0"/>
        <w:autoSpaceDN w:val="0"/>
        <w:jc w:val="both"/>
        <w:spacing w:before="8" w:after="0" w:lineRule="exact" w:line="312"/>
        <w:ind w:right="974"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宋体" w:hAnsi="宋体" w:cs="宋体" w:eastAsia="宋体" w:hint="ascii"/>
          <w:sz w:val="21"/>
          <w:spacing w:val="-1"/>
        </w:rPr>
        <w:t>重</w:t>
      </w:r>
      <w:r>
        <w:rPr>
          <w:rFonts w:ascii="宋体" w:hAnsi="宋体" w:cs="宋体" w:eastAsia="宋体" w:hint="ascii"/>
          <w:sz w:val="21"/>
        </w:rPr>
        <w:t>点</w:t>
      </w:r>
      <w:r>
        <w:rPr>
          <w:rFonts w:ascii="宋体" w:hAnsi="宋体" w:cs="宋体" w:eastAsia="宋体" w:hint="ascii"/>
          <w:sz w:val="21"/>
          <w:spacing w:val="-1"/>
        </w:rPr>
        <w:t>支</w:t>
      </w:r>
      <w:r>
        <w:rPr>
          <w:rFonts w:ascii="宋体" w:hAnsi="宋体" w:cs="宋体" w:eastAsia="宋体" w:hint="ascii"/>
          <w:sz w:val="21"/>
        </w:rPr>
        <w:t>持</w:t>
      </w:r>
      <w:r>
        <w:rPr>
          <w:rFonts w:ascii="宋体" w:hAnsi="宋体" w:cs="宋体" w:eastAsia="宋体" w:hint="ascii"/>
          <w:sz w:val="21"/>
          <w:spacing w:val="-1"/>
        </w:rPr>
        <w:t>项</w:t>
      </w:r>
      <w:r>
        <w:rPr>
          <w:rFonts w:ascii="宋体" w:hAnsi="宋体" w:cs="宋体" w:eastAsia="宋体" w:hint="ascii"/>
          <w:sz w:val="21"/>
        </w:rPr>
        <w:t>目”</w:t>
      </w:r>
      <w:r>
        <w:rPr>
          <w:rFonts w:ascii="宋体" w:hAnsi="宋体" w:cs="宋体" w:eastAsia="宋体" w:hint="ascii"/>
          <w:sz w:val="21"/>
          <w:spacing w:val="-1"/>
        </w:rPr>
        <w:t>研</w:t>
      </w:r>
      <w:r>
        <w:rPr>
          <w:rFonts w:ascii="宋体" w:hAnsi="宋体" w:cs="宋体" w:eastAsia="宋体" w:hint="ascii"/>
          <w:sz w:val="21"/>
        </w:rPr>
        <w:t>究</w:t>
      </w:r>
      <w:r>
        <w:rPr>
          <w:rFonts w:ascii="宋体" w:hAnsi="宋体" w:cs="宋体" w:eastAsia="宋体" w:hint="ascii"/>
          <w:sz w:val="21"/>
          <w:spacing w:val="-1"/>
        </w:rPr>
        <w:t>领</w:t>
      </w:r>
      <w:r>
        <w:rPr>
          <w:rFonts w:ascii="宋体" w:hAnsi="宋体" w:cs="宋体" w:eastAsia="宋体" w:hint="ascii"/>
          <w:sz w:val="21"/>
        </w:rPr>
        <w:t>域多</w:t>
      </w:r>
      <w:r>
        <w:rPr>
          <w:rFonts w:ascii="宋体" w:hAnsi="宋体" w:cs="宋体" w:eastAsia="宋体" w:hint="ascii"/>
          <w:sz w:val="21"/>
          <w:spacing w:val="-1"/>
        </w:rPr>
        <w:t>于</w:t>
      </w:r>
      <w:r>
        <w:rPr>
          <w:rFonts w:ascii="宋体" w:hAnsi="宋体" w:cs="宋体" w:eastAsia="宋体" w:hint="ascii"/>
          <w:sz w:val="21"/>
        </w:rPr>
        <w:t>实</w:t>
      </w:r>
      <w:r>
        <w:rPr>
          <w:rFonts w:ascii="宋体" w:hAnsi="宋体" w:cs="宋体" w:eastAsia="宋体" w:hint="ascii"/>
          <w:sz w:val="21"/>
          <w:spacing w:val="-1"/>
        </w:rPr>
        <w:t>际</w:t>
      </w:r>
      <w:r>
        <w:rPr>
          <w:rFonts w:ascii="宋体" w:hAnsi="宋体" w:cs="宋体" w:eastAsia="宋体" w:hint="ascii"/>
          <w:sz w:val="21"/>
        </w:rPr>
        <w:t>资助</w:t>
      </w:r>
      <w:r>
        <w:rPr>
          <w:rFonts w:ascii="宋体" w:hAnsi="宋体" w:cs="宋体" w:eastAsia="宋体" w:hint="ascii"/>
          <w:sz w:val="21"/>
          <w:spacing w:val="-1"/>
        </w:rPr>
        <w:t>项</w:t>
      </w:r>
      <w:r>
        <w:rPr>
          <w:rFonts w:ascii="宋体" w:hAnsi="宋体" w:cs="宋体" w:eastAsia="宋体" w:hint="ascii"/>
          <w:sz w:val="21"/>
        </w:rPr>
        <w:t>目</w:t>
      </w:r>
      <w:r>
        <w:rPr>
          <w:rFonts w:ascii="宋体" w:hAnsi="宋体" w:cs="宋体" w:eastAsia="宋体" w:hint="ascii"/>
          <w:sz w:val="21"/>
          <w:spacing w:val="-1"/>
        </w:rPr>
        <w:t>数</w:t>
      </w:r>
      <w:r>
        <w:rPr>
          <w:rFonts w:ascii="宋体" w:hAnsi="宋体" w:cs="宋体" w:eastAsia="宋体" w:hint="ascii"/>
          <w:sz w:val="21"/>
        </w:rPr>
        <w:t>量，</w:t>
      </w:r>
      <w:r>
        <w:rPr>
          <w:rFonts w:ascii="宋体" w:hAnsi="宋体" w:cs="宋体" w:eastAsia="宋体" w:hint="ascii"/>
          <w:sz w:val="21"/>
          <w:spacing w:val="-1"/>
        </w:rPr>
        <w:t>申</w:t>
      </w:r>
      <w:r>
        <w:rPr>
          <w:rFonts w:ascii="宋体" w:hAnsi="宋体" w:cs="宋体" w:eastAsia="宋体" w:hint="ascii"/>
          <w:sz w:val="21"/>
        </w:rPr>
        <w:t>请</w:t>
      </w:r>
      <w:r>
        <w:rPr>
          <w:rFonts w:ascii="宋体" w:hAnsi="宋体" w:cs="宋体" w:eastAsia="宋体" w:hint="ascii"/>
          <w:sz w:val="21"/>
          <w:spacing w:val="-1"/>
        </w:rPr>
        <w:t>人</w:t>
      </w:r>
      <w:r>
        <w:rPr>
          <w:rFonts w:ascii="宋体" w:hAnsi="宋体" w:cs="宋体" w:eastAsia="宋体" w:hint="ascii"/>
          <w:sz w:val="21"/>
        </w:rPr>
        <w:t>可根</w:t>
      </w:r>
      <w:r>
        <w:rPr>
          <w:rFonts w:ascii="宋体" w:hAnsi="宋体" w:cs="宋体" w:eastAsia="宋体" w:hint="ascii"/>
          <w:sz w:val="21"/>
          <w:spacing w:val="-1"/>
        </w:rPr>
        <w:t>据</w:t>
      </w:r>
      <w:r>
        <w:rPr>
          <w:rFonts w:ascii="宋体" w:hAnsi="宋体" w:cs="宋体" w:eastAsia="宋体" w:hint="ascii"/>
          <w:sz w:val="21"/>
        </w:rPr>
        <w:t>以</w:t>
      </w:r>
      <w:r>
        <w:rPr>
          <w:rFonts w:ascii="宋体" w:hAnsi="宋体" w:cs="宋体" w:eastAsia="宋体" w:hint="ascii"/>
          <w:sz w:val="21"/>
          <w:spacing w:val="-1"/>
        </w:rPr>
        <w:t>下</w:t>
      </w:r>
      <w:r>
        <w:rPr>
          <w:rFonts w:ascii="宋体" w:hAnsi="宋体" w:cs="宋体" w:eastAsia="宋体" w:hint="ascii"/>
          <w:sz w:val="21"/>
        </w:rPr>
        <w:t>研究</w:t>
      </w:r>
      <w:r>
        <w:rPr>
          <w:rFonts w:ascii="宋体" w:hAnsi="宋体" w:cs="宋体" w:eastAsia="宋体" w:hint="ascii"/>
          <w:sz w:val="21"/>
          <w:spacing w:val="-1"/>
        </w:rPr>
        <w:t>领</w:t>
      </w:r>
      <w:r>
        <w:rPr>
          <w:rFonts w:ascii="宋体" w:hAnsi="宋体" w:cs="宋体" w:eastAsia="宋体" w:hint="ascii"/>
          <w:sz w:val="21"/>
        </w:rPr>
        <w:t>域</w:t>
      </w:r>
      <w:r>
        <w:rPr>
          <w:rFonts w:ascii="宋体" w:hAnsi="宋体" w:cs="宋体" w:eastAsia="宋体" w:hint="ascii"/>
          <w:sz w:val="21"/>
          <w:spacing w:val="-4"/>
        </w:rPr>
        <w:t>自</w:t>
      </w:r>
      <w:r>
        <w:rPr>
          <w:rFonts w:ascii="宋体" w:hAnsi="宋体" w:cs="宋体" w:eastAsia="宋体" w:hint="ascii"/>
          <w:sz w:val="21"/>
        </w:rPr>
        <w:t xml:space="preserve"> </w:t>
      </w:r>
      <w:r>
        <w:rPr>
          <w:rFonts w:ascii="宋体" w:hAnsi="宋体" w:cs="宋体" w:eastAsia="宋体" w:hint="ascii"/>
          <w:sz w:val="21"/>
          <w:spacing w:val="-1"/>
        </w:rPr>
        <w:t>主确定</w:t>
      </w:r>
      <w:r>
        <w:rPr>
          <w:rFonts w:ascii="宋体" w:hAnsi="宋体" w:cs="宋体" w:eastAsia="宋体" w:hint="ascii"/>
          <w:sz w:val="21"/>
        </w:rPr>
        <w:t>项目名称、研究内容和研究方案等。鼓励申请人与各装置所在实验室的研究人员开展合作研究。</w:t>
      </w:r>
    </w:p>
    <w:p>
      <w:pPr>
        <w:autoSpaceDE w:val="0"/>
        <w:autoSpaceDN w:val="0"/>
        <w:jc w:val="left"/>
        <w:spacing w:before="30" w:after="0" w:lineRule="auto" w:line="240"/>
        <w:ind w:right="0" w:left="1649" w:hanging="263"/>
        <w:snapToGrid w:val="0"/>
        <w:textAlignment w:val="auto"/>
        <w:tabs>
          <w:tab w:val="left" w:leader="none" w:pos="1648"/>
        </w:tabs>
        <w:numPr>
          <w:ilvl w:val="0"/>
          <w:numId w:val="304"/>
        </w:numPr>
        <w:rPr>
          <w:rFonts w:ascii="Times New Roman" w:hAnsi="Times New Roman" w:cs="Times New Roman" w:eastAsia="Times New Roman" w:hint="ascii"/>
          <w:sz w:val="21"/>
        </w:rPr>
      </w:pPr>
      <w:r>
        <w:rPr>
          <w:rFonts w:ascii="宋体" w:hAnsi="宋体" w:cs="宋体" w:eastAsia="宋体" w:hint="ascii"/>
          <w:sz w:val="21"/>
        </w:rPr>
        <w:t>基于同步辐射装置的科学问题研究</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）环境污染物的转化及生物学效应；</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）生物大分子结构、功能与动态过程；</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）细胞与生物组织精细结构；</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）复杂材料的结构、功能与物性；</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）能源材料的结构与性能；</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）新型催化剂及催化机理；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）极端条件下物质结构与物性。</w:t>
      </w:r>
    </w:p>
    <w:p>
      <w:pPr>
        <w:autoSpaceDE w:val="0"/>
        <w:autoSpaceDN w:val="0"/>
        <w:jc w:val="left"/>
        <w:spacing w:before="40" w:after="0" w:lineRule="auto" w:line="240"/>
        <w:ind w:right="0" w:left="1649" w:hanging="263"/>
        <w:snapToGrid w:val="0"/>
        <w:textAlignment w:val="auto"/>
        <w:tabs>
          <w:tab w:val="left" w:leader="none" w:pos="1648"/>
        </w:tabs>
        <w:numPr>
          <w:ilvl w:val="0"/>
          <w:numId w:val="304"/>
        </w:numPr>
        <w:rPr>
          <w:rFonts w:ascii="Times New Roman" w:hAnsi="Times New Roman" w:cs="Times New Roman" w:eastAsia="Times New Roman" w:hint="ascii"/>
          <w:sz w:val="21"/>
        </w:rPr>
      </w:pPr>
      <w:r>
        <w:rPr>
          <w:rFonts w:ascii="宋体" w:hAnsi="宋体" w:cs="宋体" w:eastAsia="宋体" w:hint="ascii"/>
          <w:sz w:val="21"/>
        </w:rPr>
        <w:t>基于稳态强磁场装置的科学问题研究</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）强磁场下（≥</w:t>
      </w:r>
      <w:r>
        <w:rPr>
          <w:rFonts w:ascii="Times New Roman" w:hAnsi="Times New Roman" w:cs="Times New Roman" w:eastAsia="Times New Roman" w:hint="ascii"/>
          <w:sz w:val="21"/>
        </w:rPr>
        <w:t>20T</w:t>
      </w:r>
      <w:r>
        <w:rPr>
          <w:rFonts w:ascii="宋体" w:hAnsi="宋体" w:cs="宋体" w:eastAsia="宋体" w:hint="ascii"/>
          <w:sz w:val="21"/>
        </w:rPr>
        <w:t>）的关联体系材料的物性研究；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）强磁场下（≥</w:t>
      </w:r>
      <w:r>
        <w:rPr>
          <w:rFonts w:ascii="Times New Roman" w:hAnsi="Times New Roman" w:cs="Times New Roman" w:eastAsia="Times New Roman" w:hint="ascii"/>
          <w:sz w:val="21"/>
        </w:rPr>
        <w:t>20T</w:t>
      </w:r>
      <w:r>
        <w:rPr>
          <w:rFonts w:ascii="宋体" w:hAnsi="宋体" w:cs="宋体" w:eastAsia="宋体" w:hint="ascii"/>
          <w:sz w:val="21"/>
        </w:rPr>
        <w:t>）的化学合成、材料制备及性能；</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）基于强场磁共振谱学与成像的生命活动相关机制研究。</w:t>
      </w:r>
    </w:p>
    <w:p>
      <w:pPr>
        <w:autoSpaceDE w:val="0"/>
        <w:autoSpaceDN w:val="0"/>
        <w:jc w:val="left"/>
        <w:spacing w:before="40" w:after="0" w:lineRule="auto" w:line="240"/>
        <w:ind w:right="0" w:left="1649" w:hanging="263"/>
        <w:snapToGrid w:val="0"/>
        <w:textAlignment w:val="auto"/>
        <w:tabs>
          <w:tab w:val="left" w:leader="none" w:pos="1648"/>
        </w:tabs>
        <w:numPr>
          <w:ilvl w:val="0"/>
          <w:numId w:val="304"/>
        </w:numPr>
        <w:rPr>
          <w:rFonts w:ascii="Times New Roman" w:hAnsi="Times New Roman" w:cs="Times New Roman" w:eastAsia="Times New Roman" w:hint="ascii"/>
          <w:sz w:val="21"/>
        </w:rPr>
      </w:pPr>
      <w:r>
        <w:rPr>
          <w:rFonts w:ascii="宋体" w:hAnsi="宋体" w:cs="宋体" w:eastAsia="宋体" w:hint="ascii"/>
          <w:sz w:val="21"/>
        </w:rPr>
        <w:t>基于中国散裂中子源装置的科学问题研究</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）新能源材料、磁性材料、功能材料和结构材料的结构与性能；</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）软物质大分子结构与性能；</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）新型催化剂及催化过程；</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）材料及元器件的辐照效应。</w:t>
      </w:r>
    </w:p>
    <w:p>
      <w:pPr>
        <w:autoSpaceDE w:val="0"/>
        <w:autoSpaceDN w:val="0"/>
        <w:jc w:val="left"/>
        <w:spacing w:before="40" w:after="0" w:lineRule="auto" w:line="240"/>
        <w:ind w:right="0" w:left="1649" w:hanging="263"/>
        <w:snapToGrid w:val="0"/>
        <w:textAlignment w:val="auto"/>
        <w:tabs>
          <w:tab w:val="left" w:leader="none" w:pos="1648"/>
        </w:tabs>
        <w:numPr>
          <w:ilvl w:val="0"/>
          <w:numId w:val="304"/>
        </w:numPr>
        <w:rPr>
          <w:rFonts w:ascii="Times New Roman" w:hAnsi="Times New Roman" w:cs="Times New Roman" w:eastAsia="Times New Roman" w:hint="ascii"/>
          <w:sz w:val="21"/>
        </w:rPr>
      </w:pPr>
      <w:r>
        <w:rPr>
          <w:rFonts w:ascii="宋体" w:hAnsi="宋体" w:cs="宋体" w:eastAsia="宋体" w:hint="ascii"/>
          <w:sz w:val="21"/>
        </w:rPr>
        <w:t>基</w:t>
      </w:r>
      <w:r>
        <w:rPr>
          <w:rFonts w:ascii="宋体" w:hAnsi="宋体" w:cs="宋体" w:eastAsia="宋体" w:hint="ascii"/>
          <w:sz w:val="21"/>
          <w:spacing w:val="26"/>
        </w:rPr>
        <w:t>于</w:t>
      </w:r>
      <w:r>
        <w:rPr>
          <w:rFonts w:ascii="Times New Roman" w:hAnsi="Times New Roman" w:cs="Times New Roman" w:eastAsia="Times New Roman" w:hint="ascii"/>
          <w:b w:val="1"/>
          <w:sz w:val="21"/>
        </w:rPr>
        <w:t>BEPCI</w:t>
      </w:r>
      <w:r>
        <w:rPr>
          <w:rFonts w:ascii="Times New Roman" w:hAnsi="Times New Roman" w:cs="Times New Roman" w:eastAsia="Times New Roman" w:hint="ascii"/>
          <w:b w:val="1"/>
          <w:sz w:val="21"/>
          <w:spacing w:val="52"/>
        </w:rPr>
        <w:t>I</w:t>
      </w:r>
      <w:r>
        <w:rPr>
          <w:rFonts w:ascii="宋体" w:hAnsi="宋体" w:cs="宋体" w:eastAsia="宋体" w:hint="ascii"/>
          <w:sz w:val="21"/>
          <w:spacing w:val="27"/>
        </w:rPr>
        <w:t>和</w:t>
      </w:r>
      <w:r>
        <w:rPr>
          <w:rFonts w:ascii="Times New Roman" w:hAnsi="Times New Roman" w:cs="Times New Roman" w:eastAsia="Times New Roman" w:hint="ascii"/>
          <w:b w:val="1"/>
          <w:sz w:val="21"/>
        </w:rPr>
        <w:t>HIRF</w:t>
      </w:r>
      <w:r>
        <w:rPr>
          <w:rFonts w:ascii="Times New Roman" w:hAnsi="Times New Roman" w:cs="Times New Roman" w:eastAsia="Times New Roman" w:hint="ascii"/>
          <w:b w:val="1"/>
          <w:sz w:val="21"/>
          <w:spacing w:val="52"/>
        </w:rPr>
        <w:t>L</w:t>
      </w:r>
      <w:r>
        <w:rPr>
          <w:rFonts w:ascii="宋体" w:hAnsi="宋体" w:cs="宋体" w:eastAsia="宋体" w:hint="ascii"/>
          <w:sz w:val="21"/>
        </w:rPr>
        <w:t>的前沿物理和拓展研究</w:t>
      </w:r>
    </w:p>
    <w:p>
      <w:pPr>
        <w:autoSpaceDE w:val="0"/>
        <w:autoSpaceDN w:val="0"/>
        <w:jc w:val="left"/>
        <w:spacing w:before="53" w:after="0" w:lineRule="auto" w:line="240"/>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w:t>
      </w:r>
      <w:r>
        <w:rPr>
          <w:rFonts w:ascii="Symbol" w:hAnsi="Symbol" w:cs="Symbol" w:eastAsia="Symbol" w:hint="ascii"/>
          <w:i w:val="1"/>
          <w:sz w:val="21"/>
          <w:spacing w:val="22"/>
        </w:rPr>
        <w:t></w:t>
      </w:r>
      <w:r>
        <w:rPr>
          <w:rFonts w:ascii="Times New Roman" w:hAnsi="Times New Roman" w:cs="Times New Roman" w:eastAsia="Times New Roman" w:hint="ascii"/>
          <w:sz w:val="21"/>
        </w:rPr>
        <w:t>-</w:t>
      </w:r>
      <w:r>
        <w:rPr>
          <w:rFonts w:ascii="宋体" w:hAnsi="宋体" w:cs="宋体" w:eastAsia="宋体" w:hint="ascii"/>
          <w:sz w:val="21"/>
        </w:rPr>
        <w:t>粲能区新共振态和强子谱学研究；</w:t>
      </w:r>
    </w:p>
    <w:p>
      <w:pPr>
        <w:autoSpaceDE w:val="0"/>
        <w:autoSpaceDN w:val="0"/>
        <w:jc w:val="left"/>
        <w:spacing w:before="55" w:after="0" w:lineRule="auto" w:line="240"/>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w:t>
      </w:r>
      <w:r>
        <w:rPr>
          <w:rFonts w:ascii="Symbol" w:hAnsi="Symbol" w:cs="Symbol" w:eastAsia="Symbol" w:hint="ascii"/>
          <w:i w:val="1"/>
          <w:sz w:val="21"/>
          <w:spacing w:val="22"/>
        </w:rPr>
        <w:t></w:t>
      </w:r>
      <w:r>
        <w:rPr>
          <w:rFonts w:ascii="Times New Roman" w:hAnsi="Times New Roman" w:cs="Times New Roman" w:eastAsia="Times New Roman" w:hint="ascii"/>
          <w:sz w:val="21"/>
        </w:rPr>
        <w:t>-</w:t>
      </w:r>
      <w:r>
        <w:rPr>
          <w:rFonts w:ascii="宋体" w:hAnsi="宋体" w:cs="宋体" w:eastAsia="宋体" w:hint="ascii"/>
          <w:sz w:val="21"/>
        </w:rPr>
        <w:t>粲能区电弱过程和稀有过程研究；</w:t>
      </w:r>
    </w:p>
    <w:p>
      <w:pPr>
        <w:autoSpaceDE w:val="0"/>
        <w:autoSpaceDN w:val="0"/>
        <w:jc w:val="left"/>
        <w:spacing w:before="5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）奇特核反应与结构的研究；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）重离子物理与精细谱学；</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）重离子辐照效应。</w:t>
      </w:r>
    </w:p>
    <w:p>
      <w:pPr>
        <w:autoSpaceDE w:val="0"/>
        <w:autoSpaceDN w:val="0"/>
        <w:jc w:val="left"/>
        <w:spacing w:before="40" w:after="0" w:lineRule="auto" w:line="240"/>
        <w:ind w:right="0" w:left="1649" w:hanging="263"/>
        <w:snapToGrid w:val="0"/>
        <w:textAlignment w:val="auto"/>
        <w:tabs>
          <w:tab w:val="left" w:leader="none" w:pos="1648"/>
        </w:tabs>
        <w:numPr>
          <w:ilvl w:val="0"/>
          <w:numId w:val="304"/>
        </w:numPr>
        <w:rPr>
          <w:rFonts w:ascii="Times New Roman" w:hAnsi="Times New Roman" w:cs="Times New Roman" w:eastAsia="Times New Roman" w:hint="ascii"/>
          <w:sz w:val="21"/>
        </w:rPr>
      </w:pPr>
      <w:r>
        <w:rPr>
          <w:rFonts w:ascii="宋体" w:hAnsi="宋体" w:cs="宋体" w:eastAsia="宋体" w:hint="ascii"/>
          <w:sz w:val="21"/>
        </w:rPr>
        <w:t>依托装置的新原理、新方法与关键技术</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HIRF</w:t>
      </w:r>
      <w:r>
        <w:rPr>
          <w:rFonts w:ascii="Times New Roman" w:hAnsi="Times New Roman" w:cs="Times New Roman" w:eastAsia="Times New Roman" w:hint="ascii"/>
          <w:sz w:val="21"/>
          <w:spacing w:val="52"/>
        </w:rPr>
        <w:t>L</w:t>
      </w:r>
      <w:r>
        <w:rPr>
          <w:rFonts w:ascii="宋体" w:hAnsi="宋体" w:cs="宋体" w:eastAsia="宋体" w:hint="ascii"/>
          <w:sz w:val="21"/>
        </w:rPr>
        <w:t>实验新方法、新技术；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）光束线站实验方法、关键技术与器件；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）中子散射的新型实验方法、关键技术、样品环境与器件；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）成像的新理论、新方法；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）加速器新原理、新方法、新技术及关键部件；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）探测器与电子学关键技术；</w:t>
      </w:r>
    </w:p>
    <w:p>
      <w:pPr>
        <w:autoSpaceDE w:val="0"/>
        <w:autoSpaceDN w:val="0"/>
        <w:jc w:val="left"/>
        <w:spacing w:before="35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）实验数据分析、处理方法与软件；</w:t>
      </w:r>
      <w:r>
        <w:rPr>
          <w:rFonts w:ascii="宋体" w:hAnsi="宋体" w:cs="宋体" w:eastAsia="宋体" w:hint="ascii"/>
          <w:sz w:val="21"/>
        </w:rPr>
        <mc:AlternateContent>
          <mc:Choice Requires="wps">
            <w:drawing>
              <wp:anchor distL="0" distR="0" distT="0" distB="0" simplePos="0" behindDoc="1" relativeHeight="269" locked="0" layoutInCell="1" allowOverlap="1">
                <wp:simplePos x="0" y="0"/>
                <wp:positionH relativeFrom="page">
                  <wp:posOffset>938530</wp:posOffset>
                </wp:positionH>
                <wp:positionV relativeFrom="page">
                  <wp:posOffset>819150</wp:posOffset>
                </wp:positionV>
                <wp:extent cx="5076190" cy="0"/>
                <wp:wrapNone/>
                <wp:docPr id="1298" name="129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82784;width:399.70pt;" id="129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）强磁场下材料的表征及测量新方法、新技术；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）先进光源的新理论和关键技术；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）散裂中子源高功率靶站的新原理、新方法和关键技术。</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left"/>
        <w:spacing w:before="18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）申请人在撰写申请书前，应当认真阅读《指南》相关部分内容，了解有关管理</w:t>
      </w:r>
    </w:p>
    <w:p>
      <w:pPr>
        <w:autoSpaceDE w:val="0"/>
        <w:autoSpaceDN w:val="0"/>
        <w:jc w:val="both"/>
        <w:spacing w:before="8"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办法、要求、责任和限项规定等。详细情况请登录自然</w:t>
      </w:r>
      <w:r>
        <w:rPr>
          <w:rFonts w:ascii="宋体" w:hAnsi="宋体" w:cs="宋体" w:eastAsia="宋体" w:hint="ascii"/>
          <w:sz w:val="21"/>
        </w:rPr>
        <w:t>科学基金委网站</w:t>
      </w:r>
      <w:r>
        <w:rPr>
          <w:rFonts w:ascii="宋体" w:hAnsi="宋体" w:cs="宋体" w:eastAsia="宋体" w:hint="ascii"/>
          <w:sz w:val="21"/>
          <w:spacing w:val="-16"/>
        </w:rPr>
        <w:t xml:space="preserve"> </w:t>
      </w:r>
      <w:r>
        <w:rPr>
          <w:rFonts w:ascii="Times New Roman" w:hAnsi="Times New Roman" w:cs="Times New Roman" w:eastAsia="Times New Roman" w:hint="ascii"/>
          <w:sz w:val="21"/>
        </w:rPr>
        <w:t>http://ww</w:t>
      </w:r>
      <w:r>
        <w:rPr>
          <w:rFonts w:ascii="Times New Roman" w:hAnsi="Times New Roman" w:cs="Times New Roman" w:eastAsia="Times New Roman" w:hint="ascii"/>
          <w:sz w:val="21"/>
          <w:spacing w:val="-14"/>
        </w:rPr>
        <w:t>w</w:t>
      </w:r>
      <w:r>
        <w:rPr>
          <w:rFonts w:ascii="Times New Roman" w:hAnsi="Times New Roman" w:cs="Times New Roman" w:eastAsia="Times New Roman" w:hint="ascii"/>
          <w:sz w:val="21"/>
        </w:rPr>
        <w:t>.nsfc. 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w:t>
      </w:r>
      <w:r>
        <w:rPr>
          <w:rFonts w:ascii="Times New Roman" w:hAnsi="Times New Roman" w:cs="Times New Roman" w:eastAsia="Times New Roman" w:hint="ascii"/>
          <w:sz w:val="21"/>
          <w:spacing w:val="52"/>
        </w:rPr>
        <w:t>n</w:t>
      </w:r>
      <w:r>
        <w:rPr>
          <w:rFonts w:ascii="宋体" w:hAnsi="宋体" w:cs="宋体" w:eastAsia="宋体" w:hint="ascii"/>
          <w:sz w:val="21"/>
        </w:rPr>
        <w:t>查阅或与数理科学部物理科学一处、物理科学二处联系。</w:t>
      </w:r>
    </w:p>
    <w:p>
      <w:pPr>
        <w:autoSpaceDE w:val="0"/>
        <w:autoSpaceDN w:val="0"/>
        <w:jc w:val="both"/>
        <w:spacing w:before="0" w:after="0" w:lineRule="exact" w:line="30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）本联合</w:t>
      </w:r>
      <w:r>
        <w:rPr>
          <w:rFonts w:ascii="宋体" w:hAnsi="宋体" w:cs="宋体" w:eastAsia="宋体" w:hint="ascii"/>
          <w:sz w:val="21"/>
        </w:rPr>
        <w:t>基金同等条件下优先支持中国科学院系统以外研究人员的项目申请，鼓励中国科学院系统以外研究人员与中国科学院研究人员开展合作研究。</w:t>
      </w:r>
    </w:p>
    <w:p>
      <w:pPr>
        <w:autoSpaceDE w:val="0"/>
        <w:autoSpaceDN w:val="0"/>
        <w:jc w:val="both"/>
        <w:spacing w:before="0" w:after="0" w:lineRule="exact" w:line="30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）项目申</w:t>
      </w:r>
      <w:r>
        <w:rPr>
          <w:rFonts w:ascii="宋体" w:hAnsi="宋体" w:cs="宋体" w:eastAsia="宋体" w:hint="ascii"/>
          <w:sz w:val="21"/>
        </w:rPr>
        <w:t>请应当符合《指南》的范围与要求，项目名称、具体研究方案、研究内容和目标等由申请人提出，鼓励申请人提出具有创新学术思想的研究方案。</w:t>
      </w:r>
    </w:p>
    <w:p>
      <w:pPr>
        <w:autoSpaceDE w:val="0"/>
        <w:autoSpaceDN w:val="0"/>
        <w:jc w:val="left"/>
        <w:spacing w:before="3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申请“重点支持项目”时，应当根据 </w:t>
      </w:r>
      <w:r>
        <w:rPr>
          <w:rFonts w:ascii="Times New Roman" w:hAnsi="Times New Roman" w:cs="Times New Roman" w:eastAsia="Times New Roman" w:hint="ascii"/>
          <w:sz w:val="21"/>
        </w:rPr>
        <w:t xml:space="preserve">2018 </w:t>
      </w:r>
      <w:r>
        <w:rPr>
          <w:rFonts w:ascii="宋体" w:hAnsi="宋体" w:cs="宋体" w:eastAsia="宋体" w:hint="ascii"/>
          <w:sz w:val="21"/>
        </w:rPr>
        <w:t>年度资助的主要研究领域确定具体的项</w:t>
      </w:r>
    </w:p>
    <w:p>
      <w:pPr>
        <w:autoSpaceDE w:val="0"/>
        <w:autoSpaceDN w:val="0"/>
        <w:jc w:val="left"/>
        <w:spacing w:before="8"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目名称，并在申请书正文开头说明所针对的研究领域名称。如：</w:t>
      </w:r>
      <w:r>
        <w:rPr>
          <w:rFonts w:ascii="Times New Roman" w:hAnsi="Times New Roman" w:cs="Times New Roman" w:eastAsia="Times New Roman" w:hint="ascii"/>
          <w:sz w:val="21"/>
        </w:rPr>
        <w:t>[</w:t>
      </w:r>
      <w:r>
        <w:rPr>
          <w:rFonts w:ascii="宋体" w:hAnsi="宋体" w:cs="宋体" w:eastAsia="宋体" w:hint="ascii"/>
          <w:sz w:val="21"/>
        </w:rPr>
        <w:t>本申请针对重点支持项目—</w:t>
      </w:r>
      <w:r>
        <w:rPr>
          <w:rFonts w:ascii="宋体" w:hAnsi="宋体" w:cs="宋体" w:eastAsia="宋体" w:hint="ascii"/>
          <w:sz w:val="21"/>
          <w:spacing w:val="-50"/>
        </w:rPr>
        <w:t>“</w:t>
      </w: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）能源材料的结构与性能”提出，……</w:t>
      </w:r>
      <w:r>
        <w:rPr>
          <w:rFonts w:ascii="Times New Roman" w:hAnsi="Times New Roman" w:cs="Times New Roman" w:eastAsia="Times New Roman" w:hint="ascii"/>
          <w:sz w:val="21"/>
        </w:rPr>
        <w:t>]</w:t>
      </w:r>
      <w:r>
        <w:rPr>
          <w:rFonts w:ascii="宋体" w:hAnsi="宋体" w:cs="宋体" w:eastAsia="宋体" w:hint="ascii"/>
          <w:sz w:val="21"/>
        </w:rPr>
        <w:t>，以便评审专家清楚了解申请人所针对的领域方向。</w:t>
      </w:r>
    </w:p>
    <w:p>
      <w:pPr>
        <w:autoSpaceDE w:val="0"/>
        <w:autoSpaceDN w:val="0"/>
        <w:jc w:val="both"/>
        <w:spacing w:before="0" w:after="0" w:lineRule="exact" w:line="30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）申请人</w:t>
      </w:r>
      <w:r>
        <w:rPr>
          <w:rFonts w:ascii="宋体" w:hAnsi="宋体" w:cs="宋体" w:eastAsia="宋体" w:hint="ascii"/>
          <w:sz w:val="21"/>
        </w:rPr>
        <w:t>申请本联合基金前，应当与相关装置所在实验室进行沟通，充分了解拟依托大装置的性能、状态和用户时间分配情况等。</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1"/>
        </w:rPr>
        <w:t>5</w:t>
      </w:r>
      <w:r>
        <w:rPr>
          <w:rFonts w:ascii="宋体" w:hAnsi="宋体" w:cs="宋体" w:eastAsia="宋体" w:hint="ascii"/>
          <w:sz w:val="21"/>
        </w:rPr>
        <w:t>）</w:t>
      </w:r>
      <w:r>
        <w:rPr>
          <w:rFonts w:ascii="宋体" w:hAnsi="宋体" w:cs="宋体" w:eastAsia="宋体" w:hint="ascii"/>
          <w:sz w:val="21"/>
          <w:spacing w:val="-2"/>
        </w:rPr>
        <w:t>申</w:t>
      </w:r>
      <w:r>
        <w:rPr>
          <w:rFonts w:ascii="宋体" w:hAnsi="宋体" w:cs="宋体" w:eastAsia="宋体" w:hint="ascii"/>
          <w:sz w:val="21"/>
          <w:spacing w:val="-1"/>
        </w:rPr>
        <w:t>请</w:t>
      </w:r>
      <w:r>
        <w:rPr>
          <w:rFonts w:ascii="宋体" w:hAnsi="宋体" w:cs="宋体" w:eastAsia="宋体" w:hint="ascii"/>
          <w:sz w:val="21"/>
          <w:spacing w:val="-2"/>
        </w:rPr>
        <w:t>书</w:t>
      </w:r>
      <w:r>
        <w:rPr>
          <w:rFonts w:ascii="宋体" w:hAnsi="宋体" w:cs="宋体" w:eastAsia="宋体" w:hint="ascii"/>
          <w:sz w:val="21"/>
          <w:spacing w:val="-1"/>
        </w:rPr>
        <w:t>的</w:t>
      </w:r>
      <w:r>
        <w:rPr>
          <w:rFonts w:ascii="宋体" w:hAnsi="宋体" w:cs="宋体" w:eastAsia="宋体" w:hint="ascii"/>
          <w:sz w:val="21"/>
          <w:spacing w:val="-2"/>
        </w:rPr>
        <w:t>资</w:t>
      </w:r>
      <w:r>
        <w:rPr>
          <w:rFonts w:ascii="宋体" w:hAnsi="宋体" w:cs="宋体" w:eastAsia="宋体" w:hint="ascii"/>
          <w:sz w:val="21"/>
          <w:spacing w:val="-1"/>
        </w:rPr>
        <w:t>助</w:t>
      </w:r>
      <w:r>
        <w:rPr>
          <w:rFonts w:ascii="宋体" w:hAnsi="宋体" w:cs="宋体" w:eastAsia="宋体" w:hint="ascii"/>
          <w:sz w:val="21"/>
          <w:spacing w:val="-2"/>
        </w:rPr>
        <w:t>类别</w:t>
      </w:r>
      <w:r>
        <w:rPr>
          <w:rFonts w:ascii="宋体" w:hAnsi="宋体" w:cs="宋体" w:eastAsia="宋体" w:hint="ascii"/>
          <w:sz w:val="21"/>
          <w:spacing w:val="-1"/>
        </w:rPr>
        <w:t>选</w:t>
      </w:r>
      <w:r>
        <w:rPr>
          <w:rFonts w:ascii="宋体" w:hAnsi="宋体" w:cs="宋体" w:eastAsia="宋体" w:hint="ascii"/>
          <w:sz w:val="21"/>
          <w:spacing w:val="-2"/>
        </w:rPr>
        <w:t>择</w:t>
      </w:r>
      <w:r>
        <w:rPr>
          <w:rFonts w:ascii="宋体" w:hAnsi="宋体" w:cs="宋体" w:eastAsia="宋体" w:hint="ascii"/>
          <w:sz w:val="21"/>
          <w:spacing w:val="-1"/>
        </w:rPr>
        <w:t>“</w:t>
      </w:r>
      <w:r>
        <w:rPr>
          <w:rFonts w:ascii="宋体" w:hAnsi="宋体" w:cs="宋体" w:eastAsia="宋体" w:hint="ascii"/>
          <w:sz w:val="21"/>
          <w:spacing w:val="-2"/>
        </w:rPr>
        <w:t>联合</w:t>
      </w:r>
      <w:r>
        <w:rPr>
          <w:rFonts w:ascii="宋体" w:hAnsi="宋体" w:cs="宋体" w:eastAsia="宋体" w:hint="ascii"/>
          <w:sz w:val="21"/>
          <w:spacing w:val="-1"/>
        </w:rPr>
        <w:t>基</w:t>
      </w:r>
      <w:r>
        <w:rPr>
          <w:rFonts w:ascii="宋体" w:hAnsi="宋体" w:cs="宋体" w:eastAsia="宋体" w:hint="ascii"/>
          <w:sz w:val="21"/>
          <w:spacing w:val="-2"/>
        </w:rPr>
        <w:t>金</w:t>
      </w:r>
      <w:r>
        <w:rPr>
          <w:rFonts w:ascii="宋体" w:hAnsi="宋体" w:cs="宋体" w:eastAsia="宋体" w:hint="ascii"/>
          <w:sz w:val="21"/>
          <w:spacing w:val="-1"/>
        </w:rPr>
        <w:t>项</w:t>
      </w:r>
      <w:r>
        <w:rPr>
          <w:rFonts w:ascii="宋体" w:hAnsi="宋体" w:cs="宋体" w:eastAsia="宋体" w:hint="ascii"/>
          <w:sz w:val="21"/>
          <w:spacing w:val="-2"/>
        </w:rPr>
        <w:t>目</w:t>
      </w:r>
      <w:r>
        <w:rPr>
          <w:rFonts w:ascii="宋体" w:hAnsi="宋体" w:cs="宋体" w:eastAsia="宋体" w:hint="ascii"/>
          <w:sz w:val="21"/>
          <w:spacing w:val="-53"/>
        </w:rPr>
        <w:t>”</w:t>
      </w:r>
      <w:r>
        <w:rPr>
          <w:rFonts w:ascii="宋体" w:hAnsi="宋体" w:cs="宋体" w:eastAsia="宋体" w:hint="ascii"/>
          <w:sz w:val="21"/>
          <w:spacing w:val="-2"/>
        </w:rPr>
        <w:t>，</w:t>
      </w:r>
      <w:r>
        <w:rPr>
          <w:rFonts w:ascii="宋体" w:hAnsi="宋体" w:cs="宋体" w:eastAsia="宋体" w:hint="ascii"/>
          <w:sz w:val="21"/>
          <w:spacing w:val="-1"/>
        </w:rPr>
        <w:t>亚</w:t>
      </w:r>
      <w:r>
        <w:rPr>
          <w:rFonts w:ascii="宋体" w:hAnsi="宋体" w:cs="宋体" w:eastAsia="宋体" w:hint="ascii"/>
          <w:sz w:val="21"/>
          <w:spacing w:val="-2"/>
        </w:rPr>
        <w:t>类</w:t>
      </w:r>
      <w:r>
        <w:rPr>
          <w:rFonts w:ascii="宋体" w:hAnsi="宋体" w:cs="宋体" w:eastAsia="宋体" w:hint="ascii"/>
          <w:sz w:val="21"/>
          <w:spacing w:val="-1"/>
        </w:rPr>
        <w:t>说</w:t>
      </w:r>
      <w:r>
        <w:rPr>
          <w:rFonts w:ascii="宋体" w:hAnsi="宋体" w:cs="宋体" w:eastAsia="宋体" w:hint="ascii"/>
          <w:sz w:val="21"/>
          <w:spacing w:val="-2"/>
        </w:rPr>
        <w:t>明选</w:t>
      </w:r>
      <w:r>
        <w:rPr>
          <w:rFonts w:ascii="宋体" w:hAnsi="宋体" w:cs="宋体" w:eastAsia="宋体" w:hint="ascii"/>
          <w:sz w:val="21"/>
          <w:spacing w:val="-1"/>
        </w:rPr>
        <w:t>择</w:t>
      </w:r>
      <w:r>
        <w:rPr>
          <w:rFonts w:ascii="宋体" w:hAnsi="宋体" w:cs="宋体" w:eastAsia="宋体" w:hint="ascii"/>
          <w:sz w:val="21"/>
          <w:spacing w:val="-2"/>
        </w:rPr>
        <w:t>“</w:t>
      </w:r>
      <w:r>
        <w:rPr>
          <w:rFonts w:ascii="宋体" w:hAnsi="宋体" w:cs="宋体" w:eastAsia="宋体" w:hint="ascii"/>
          <w:sz w:val="21"/>
          <w:spacing w:val="-1"/>
        </w:rPr>
        <w:t>培</w:t>
      </w:r>
      <w:r>
        <w:rPr>
          <w:rFonts w:ascii="宋体" w:hAnsi="宋体" w:cs="宋体" w:eastAsia="宋体" w:hint="ascii"/>
          <w:sz w:val="21"/>
          <w:spacing w:val="-2"/>
        </w:rPr>
        <w:t>育项</w:t>
      </w:r>
      <w:r>
        <w:rPr>
          <w:rFonts w:ascii="宋体" w:hAnsi="宋体" w:cs="宋体" w:eastAsia="宋体" w:hint="ascii"/>
          <w:sz w:val="21"/>
        </w:rPr>
        <w:t>目</w:t>
      </w:r>
      <w:r>
        <w:rPr>
          <w:rFonts w:ascii="宋体" w:hAnsi="宋体" w:cs="宋体" w:eastAsia="宋体" w:hint="ascii"/>
          <w:sz w:val="21"/>
          <w:spacing w:val="-2"/>
        </w:rPr>
        <w:t>”</w:t>
      </w:r>
      <w:r>
        <w:rPr>
          <w:rFonts w:ascii="宋体" w:hAnsi="宋体" w:cs="宋体" w:eastAsia="宋体" w:hint="ascii"/>
          <w:sz w:val="21"/>
        </w:rPr>
        <w:t>或</w:t>
      </w:r>
      <w:r>
        <w:rPr>
          <w:rFonts w:ascii="宋体" w:hAnsi="宋体" w:cs="宋体" w:eastAsia="宋体" w:hint="ascii"/>
          <w:sz w:val="21"/>
          <w:spacing w:val="-2"/>
        </w:rPr>
        <w:t>“重</w:t>
      </w:r>
      <w:r>
        <w:rPr>
          <w:rFonts w:ascii="宋体" w:hAnsi="宋体" w:cs="宋体" w:eastAsia="宋体" w:hint="ascii"/>
          <w:sz w:val="21"/>
        </w:rPr>
        <w:t>点</w:t>
      </w:r>
    </w:p>
    <w:p>
      <w:pPr>
        <w:autoSpaceDE w:val="0"/>
        <w:autoSpaceDN w:val="0"/>
        <w:jc w:val="both"/>
        <w:spacing w:before="8"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2"/>
        </w:rPr>
        <w:t>支持项目</w:t>
      </w:r>
      <w:r>
        <w:rPr>
          <w:rFonts w:ascii="宋体" w:hAnsi="宋体" w:cs="宋体" w:eastAsia="宋体" w:hint="ascii"/>
          <w:sz w:val="21"/>
          <w:spacing w:val="-54"/>
        </w:rPr>
        <w:t>”</w:t>
      </w:r>
      <w:r>
        <w:rPr>
          <w:rFonts w:ascii="宋体" w:hAnsi="宋体" w:cs="宋体" w:eastAsia="宋体" w:hint="ascii"/>
          <w:sz w:val="21"/>
          <w:spacing w:val="-2"/>
        </w:rPr>
        <w:t>，</w:t>
      </w:r>
      <w:r>
        <w:rPr>
          <w:rFonts w:ascii="宋体" w:hAnsi="宋体" w:cs="宋体" w:eastAsia="宋体" w:hint="ascii"/>
          <w:sz w:val="21"/>
          <w:spacing w:val="-1"/>
        </w:rPr>
        <w:t>附注说明</w:t>
      </w:r>
      <w:r>
        <w:rPr>
          <w:rFonts w:ascii="宋体" w:hAnsi="宋体" w:cs="宋体" w:eastAsia="宋体" w:hint="ascii"/>
          <w:sz w:val="21"/>
          <w:spacing w:val="-2"/>
        </w:rPr>
        <w:t>选</w:t>
      </w:r>
      <w:r>
        <w:rPr>
          <w:rFonts w:ascii="宋体" w:hAnsi="宋体" w:cs="宋体" w:eastAsia="宋体" w:hint="ascii"/>
          <w:sz w:val="21"/>
          <w:spacing w:val="-1"/>
        </w:rPr>
        <w:t>择“大科</w:t>
      </w:r>
      <w:r>
        <w:rPr>
          <w:rFonts w:ascii="宋体" w:hAnsi="宋体" w:cs="宋体" w:eastAsia="宋体" w:hint="ascii"/>
          <w:sz w:val="21"/>
          <w:spacing w:val="-2"/>
        </w:rPr>
        <w:t>学</w:t>
      </w:r>
      <w:r>
        <w:rPr>
          <w:rFonts w:ascii="宋体" w:hAnsi="宋体" w:cs="宋体" w:eastAsia="宋体" w:hint="ascii"/>
          <w:sz w:val="21"/>
          <w:spacing w:val="-1"/>
        </w:rPr>
        <w:t>装置联合</w:t>
      </w:r>
      <w:r>
        <w:rPr>
          <w:rFonts w:ascii="宋体" w:hAnsi="宋体" w:cs="宋体" w:eastAsia="宋体" w:hint="ascii"/>
          <w:sz w:val="21"/>
          <w:spacing w:val="-2"/>
        </w:rPr>
        <w:t>基</w:t>
      </w:r>
      <w:r>
        <w:rPr>
          <w:rFonts w:ascii="宋体" w:hAnsi="宋体" w:cs="宋体" w:eastAsia="宋体" w:hint="ascii"/>
          <w:sz w:val="21"/>
          <w:spacing w:val="-1"/>
        </w:rPr>
        <w:t>金</w:t>
      </w:r>
      <w:r>
        <w:rPr>
          <w:rFonts w:ascii="宋体" w:hAnsi="宋体" w:cs="宋体" w:eastAsia="宋体" w:hint="ascii"/>
          <w:sz w:val="21"/>
          <w:spacing w:val="-53"/>
        </w:rPr>
        <w:t>”</w:t>
      </w:r>
      <w:r>
        <w:rPr>
          <w:rFonts w:ascii="宋体" w:hAnsi="宋体" w:cs="宋体" w:eastAsia="宋体" w:hint="ascii"/>
          <w:sz w:val="21"/>
          <w:spacing w:val="-1"/>
        </w:rPr>
        <w:t>。申请</w:t>
      </w:r>
      <w:r>
        <w:rPr>
          <w:rFonts w:ascii="宋体" w:hAnsi="宋体" w:cs="宋体" w:eastAsia="宋体" w:hint="ascii"/>
          <w:sz w:val="21"/>
          <w:spacing w:val="-2"/>
        </w:rPr>
        <w:t>代</w:t>
      </w:r>
      <w:r>
        <w:rPr>
          <w:rFonts w:ascii="宋体" w:hAnsi="宋体" w:cs="宋体" w:eastAsia="宋体" w:hint="ascii"/>
          <w:sz w:val="21"/>
        </w:rPr>
        <w:t>码</w:t>
      </w:r>
      <w:r>
        <w:rPr>
          <w:rFonts w:ascii="宋体" w:hAnsi="宋体" w:cs="宋体" w:eastAsia="宋体" w:hint="ascii"/>
          <w:sz w:val="21"/>
          <w:spacing w:val="-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
        </w:rPr>
        <w:t xml:space="preserve"> </w:t>
      </w:r>
      <w:r>
        <w:rPr>
          <w:rFonts w:ascii="宋体" w:hAnsi="宋体" w:cs="宋体" w:eastAsia="宋体" w:hint="ascii"/>
          <w:sz w:val="21"/>
          <w:spacing w:val="-1"/>
        </w:rPr>
        <w:t>根据</w:t>
      </w:r>
      <w:r>
        <w:rPr>
          <w:rFonts w:ascii="宋体" w:hAnsi="宋体" w:cs="宋体" w:eastAsia="宋体" w:hint="ascii"/>
          <w:sz w:val="21"/>
          <w:spacing w:val="-2"/>
        </w:rPr>
        <w:t>所</w:t>
      </w:r>
      <w:r>
        <w:rPr>
          <w:rFonts w:ascii="宋体" w:hAnsi="宋体" w:cs="宋体" w:eastAsia="宋体" w:hint="ascii"/>
          <w:sz w:val="21"/>
          <w:spacing w:val="-1"/>
        </w:rPr>
        <w:t>依托的大</w:t>
      </w:r>
      <w:r>
        <w:rPr>
          <w:rFonts w:ascii="宋体" w:hAnsi="宋体" w:cs="宋体" w:eastAsia="宋体" w:hint="ascii"/>
          <w:sz w:val="21"/>
          <w:spacing w:val="-2"/>
        </w:rPr>
        <w:t>科</w:t>
      </w:r>
      <w:r>
        <w:rPr>
          <w:rFonts w:ascii="宋体" w:hAnsi="宋体" w:cs="宋体" w:eastAsia="宋体" w:hint="ascii"/>
          <w:sz w:val="21"/>
          <w:spacing w:val="-1"/>
        </w:rPr>
        <w:t>学</w:t>
      </w:r>
      <w:r>
        <w:rPr>
          <w:rFonts w:ascii="宋体" w:hAnsi="宋体" w:cs="宋体" w:eastAsia="宋体" w:hint="ascii"/>
          <w:sz w:val="21"/>
        </w:rPr>
        <w:t>装</w:t>
      </w:r>
      <w:r>
        <w:rPr>
          <w:rFonts w:ascii="宋体" w:hAnsi="宋体" w:cs="宋体" w:eastAsia="宋体" w:hint="ascii"/>
          <w:sz w:val="21"/>
          <w:spacing w:val="-2"/>
        </w:rPr>
        <w:t>置进</w:t>
      </w:r>
      <w:r>
        <w:rPr>
          <w:rFonts w:ascii="宋体" w:hAnsi="宋体" w:cs="宋体" w:eastAsia="宋体" w:hint="ascii"/>
          <w:sz w:val="21"/>
          <w:spacing w:val="-3"/>
        </w:rPr>
        <w:t>行</w:t>
      </w:r>
      <w:r>
        <w:rPr>
          <w:rFonts w:ascii="宋体" w:hAnsi="宋体" w:cs="宋体" w:eastAsia="宋体" w:hint="ascii"/>
          <w:sz w:val="21"/>
          <w:spacing w:val="-2"/>
        </w:rPr>
        <w:t>选</w:t>
      </w:r>
      <w:r>
        <w:rPr>
          <w:rFonts w:ascii="宋体" w:hAnsi="宋体" w:cs="宋体" w:eastAsia="宋体" w:hint="ascii"/>
          <w:sz w:val="21"/>
          <w:spacing w:val="-3"/>
        </w:rPr>
        <w:t>择</w:t>
      </w:r>
      <w:r>
        <w:rPr>
          <w:rFonts w:ascii="宋体" w:hAnsi="宋体" w:cs="宋体" w:eastAsia="宋体" w:hint="ascii"/>
          <w:sz w:val="21"/>
          <w:spacing w:val="-2"/>
        </w:rPr>
        <w:t>：</w:t>
      </w:r>
      <w:r>
        <w:rPr>
          <w:rFonts w:ascii="Times New Roman" w:hAnsi="Times New Roman" w:cs="Times New Roman" w:eastAsia="Times New Roman" w:hint="ascii"/>
          <w:sz w:val="21"/>
          <w:spacing w:val="-4"/>
        </w:rPr>
        <w:t>A080</w:t>
      </w:r>
      <w:r>
        <w:rPr>
          <w:rFonts w:ascii="Times New Roman" w:hAnsi="Times New Roman" w:cs="Times New Roman" w:eastAsia="Times New Roman" w:hint="ascii"/>
          <w:sz w:val="21"/>
          <w:spacing w:val="-2"/>
        </w:rPr>
        <w:t>1</w:t>
      </w:r>
      <w:r>
        <w:rPr>
          <w:rFonts w:ascii="宋体" w:hAnsi="宋体" w:cs="宋体" w:eastAsia="宋体" w:hint="ascii"/>
          <w:sz w:val="21"/>
          <w:spacing w:val="-2"/>
        </w:rPr>
        <w:t>（</w:t>
      </w:r>
      <w:r>
        <w:rPr>
          <w:rFonts w:ascii="宋体" w:hAnsi="宋体" w:cs="宋体" w:eastAsia="宋体" w:hint="ascii"/>
          <w:sz w:val="21"/>
          <w:spacing w:val="-3"/>
        </w:rPr>
        <w:t>北</w:t>
      </w:r>
      <w:r>
        <w:rPr>
          <w:rFonts w:ascii="宋体" w:hAnsi="宋体" w:cs="宋体" w:eastAsia="宋体" w:hint="ascii"/>
          <w:sz w:val="21"/>
          <w:spacing w:val="-2"/>
        </w:rPr>
        <w:t>京</w:t>
      </w:r>
      <w:r>
        <w:rPr>
          <w:rFonts w:ascii="宋体" w:hAnsi="宋体" w:cs="宋体" w:eastAsia="宋体" w:hint="ascii"/>
          <w:sz w:val="21"/>
          <w:spacing w:val="-1"/>
        </w:rPr>
        <w:t>正</w:t>
      </w:r>
      <w:r>
        <w:rPr>
          <w:rFonts w:ascii="宋体" w:hAnsi="宋体" w:cs="宋体" w:eastAsia="宋体" w:hint="ascii"/>
          <w:sz w:val="21"/>
          <w:spacing w:val="-2"/>
        </w:rPr>
        <w:t>负</w:t>
      </w:r>
      <w:r>
        <w:rPr>
          <w:rFonts w:ascii="宋体" w:hAnsi="宋体" w:cs="宋体" w:eastAsia="宋体" w:hint="ascii"/>
          <w:sz w:val="21"/>
          <w:spacing w:val="-1"/>
        </w:rPr>
        <w:t>电</w:t>
      </w:r>
      <w:r>
        <w:rPr>
          <w:rFonts w:ascii="宋体" w:hAnsi="宋体" w:cs="宋体" w:eastAsia="宋体" w:hint="ascii"/>
          <w:sz w:val="21"/>
          <w:spacing w:val="-2"/>
        </w:rPr>
        <w:t>子</w:t>
      </w:r>
      <w:r>
        <w:rPr>
          <w:rFonts w:ascii="宋体" w:hAnsi="宋体" w:cs="宋体" w:eastAsia="宋体" w:hint="ascii"/>
          <w:sz w:val="21"/>
          <w:spacing w:val="-1"/>
        </w:rPr>
        <w:t>对撞机</w:t>
      </w:r>
      <w:r>
        <w:rPr>
          <w:rFonts w:ascii="宋体" w:hAnsi="宋体" w:cs="宋体" w:eastAsia="宋体" w:hint="ascii"/>
          <w:sz w:val="21"/>
          <w:spacing w:val="-53"/>
        </w:rPr>
        <w:t>）</w:t>
      </w:r>
      <w:r>
        <w:rPr>
          <w:rFonts w:ascii="宋体" w:hAnsi="宋体" w:cs="宋体" w:eastAsia="宋体" w:hint="ascii"/>
          <w:sz w:val="21"/>
          <w:spacing w:val="-1"/>
        </w:rPr>
        <w:t>、</w:t>
      </w:r>
      <w:r>
        <w:rPr>
          <w:rFonts w:ascii="Times New Roman" w:hAnsi="Times New Roman" w:cs="Times New Roman" w:eastAsia="Times New Roman" w:hint="ascii"/>
          <w:sz w:val="21"/>
          <w:spacing w:val="-3"/>
        </w:rPr>
        <w:t>A080</w:t>
      </w:r>
      <w:r>
        <w:rPr>
          <w:rFonts w:ascii="Times New Roman" w:hAnsi="Times New Roman" w:cs="Times New Roman" w:eastAsia="Times New Roman" w:hint="ascii"/>
          <w:sz w:val="21"/>
          <w:spacing w:val="-1"/>
        </w:rPr>
        <w:t>2</w:t>
      </w:r>
      <w:r>
        <w:rPr>
          <w:rFonts w:ascii="宋体" w:hAnsi="宋体" w:cs="宋体" w:eastAsia="宋体" w:hint="ascii"/>
          <w:sz w:val="21"/>
          <w:spacing w:val="-1"/>
        </w:rPr>
        <w:t>（</w:t>
      </w:r>
      <w:r>
        <w:rPr>
          <w:rFonts w:ascii="宋体" w:hAnsi="宋体" w:cs="宋体" w:eastAsia="宋体" w:hint="ascii"/>
          <w:sz w:val="21"/>
          <w:spacing w:val="-2"/>
        </w:rPr>
        <w:t>上</w:t>
      </w:r>
      <w:r>
        <w:rPr>
          <w:rFonts w:ascii="宋体" w:hAnsi="宋体" w:cs="宋体" w:eastAsia="宋体" w:hint="ascii"/>
          <w:sz w:val="21"/>
          <w:spacing w:val="-1"/>
        </w:rPr>
        <w:t>海</w:t>
      </w:r>
      <w:r>
        <w:rPr>
          <w:rFonts w:ascii="宋体" w:hAnsi="宋体" w:cs="宋体" w:eastAsia="宋体" w:hint="ascii"/>
          <w:sz w:val="21"/>
          <w:spacing w:val="-2"/>
        </w:rPr>
        <w:t>光</w:t>
      </w:r>
      <w:r>
        <w:rPr>
          <w:rFonts w:ascii="宋体" w:hAnsi="宋体" w:cs="宋体" w:eastAsia="宋体" w:hint="ascii"/>
          <w:sz w:val="21"/>
          <w:spacing w:val="-1"/>
        </w:rPr>
        <w:t>源</w:t>
      </w:r>
      <w:r>
        <w:rPr>
          <w:rFonts w:ascii="宋体" w:hAnsi="宋体" w:cs="宋体" w:eastAsia="宋体" w:hint="ascii"/>
          <w:sz w:val="21"/>
          <w:spacing w:val="-53"/>
        </w:rPr>
        <w:t>）</w:t>
      </w:r>
      <w:r>
        <w:rPr>
          <w:rFonts w:ascii="宋体" w:hAnsi="宋体" w:cs="宋体" w:eastAsia="宋体" w:hint="ascii"/>
          <w:sz w:val="21"/>
          <w:spacing w:val="-1"/>
        </w:rPr>
        <w:t>、</w:t>
      </w:r>
      <w:r>
        <w:rPr>
          <w:rFonts w:ascii="Times New Roman" w:hAnsi="Times New Roman" w:cs="Times New Roman" w:eastAsia="Times New Roman" w:hint="ascii"/>
          <w:sz w:val="21"/>
          <w:spacing w:val="-3"/>
        </w:rPr>
        <w:t>A080</w:t>
      </w:r>
      <w:r>
        <w:rPr>
          <w:rFonts w:ascii="Times New Roman" w:hAnsi="Times New Roman" w:cs="Times New Roman" w:eastAsia="Times New Roman" w:hint="ascii"/>
          <w:sz w:val="21"/>
          <w:spacing w:val="-1"/>
        </w:rPr>
        <w:t>3</w:t>
      </w:r>
      <w:r>
        <w:rPr>
          <w:rFonts w:ascii="宋体" w:hAnsi="宋体" w:cs="宋体" w:eastAsia="宋体" w:hint="ascii"/>
          <w:sz w:val="21"/>
          <w:spacing w:val="-1"/>
        </w:rPr>
        <w:t>（兰州重离子</w:t>
      </w:r>
      <w:r>
        <w:rPr>
          <w:rFonts w:ascii="宋体" w:hAnsi="宋体" w:cs="宋体" w:eastAsia="宋体" w:hint="ascii"/>
          <w:sz w:val="21"/>
        </w:rPr>
        <w:t xml:space="preserve"> 加速</w:t>
      </w:r>
      <w:r>
        <w:rPr>
          <w:rFonts w:ascii="宋体" w:hAnsi="宋体" w:cs="宋体" w:eastAsia="宋体" w:hint="ascii"/>
          <w:sz w:val="21"/>
          <w:spacing w:val="-1"/>
        </w:rPr>
        <w:t>器</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spacing w:val="-2"/>
        </w:rPr>
        <w:t>A</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2"/>
        </w:rPr>
        <w:t>80</w:t>
      </w:r>
      <w:r>
        <w:rPr>
          <w:rFonts w:ascii="Times New Roman" w:hAnsi="Times New Roman" w:cs="Times New Roman" w:eastAsia="Times New Roman" w:hint="ascii"/>
          <w:sz w:val="21"/>
        </w:rPr>
        <w:t>4</w:t>
      </w:r>
      <w:r>
        <w:rPr>
          <w:rFonts w:ascii="宋体" w:hAnsi="宋体" w:cs="宋体" w:eastAsia="宋体" w:hint="ascii"/>
          <w:sz w:val="21"/>
          <w:spacing w:val="-1"/>
        </w:rPr>
        <w:t>（</w:t>
      </w:r>
      <w:r>
        <w:rPr>
          <w:rFonts w:ascii="宋体" w:hAnsi="宋体" w:cs="宋体" w:eastAsia="宋体" w:hint="ascii"/>
          <w:sz w:val="21"/>
        </w:rPr>
        <w:t>合</w:t>
      </w:r>
      <w:r>
        <w:rPr>
          <w:rFonts w:ascii="宋体" w:hAnsi="宋体" w:cs="宋体" w:eastAsia="宋体" w:hint="ascii"/>
          <w:sz w:val="21"/>
          <w:spacing w:val="-1"/>
        </w:rPr>
        <w:t>肥同</w:t>
      </w:r>
      <w:r>
        <w:rPr>
          <w:rFonts w:ascii="宋体" w:hAnsi="宋体" w:cs="宋体" w:eastAsia="宋体" w:hint="ascii"/>
          <w:sz w:val="21"/>
        </w:rPr>
        <w:t>步辐</w:t>
      </w:r>
      <w:r>
        <w:rPr>
          <w:rFonts w:ascii="宋体" w:hAnsi="宋体" w:cs="宋体" w:eastAsia="宋体" w:hint="ascii"/>
          <w:sz w:val="21"/>
          <w:spacing w:val="-1"/>
        </w:rPr>
        <w:t>射</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spacing w:val="-2"/>
        </w:rPr>
        <w:t>A</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2"/>
        </w:rPr>
        <w:t>80</w:t>
      </w:r>
      <w:r>
        <w:rPr>
          <w:rFonts w:ascii="Times New Roman" w:hAnsi="Times New Roman" w:cs="Times New Roman" w:eastAsia="Times New Roman" w:hint="ascii"/>
          <w:sz w:val="21"/>
        </w:rPr>
        <w:t>5</w:t>
      </w:r>
      <w:r>
        <w:rPr>
          <w:rFonts w:ascii="宋体" w:hAnsi="宋体" w:cs="宋体" w:eastAsia="宋体" w:hint="ascii"/>
          <w:sz w:val="21"/>
          <w:spacing w:val="-1"/>
        </w:rPr>
        <w:t>（</w:t>
      </w:r>
      <w:r>
        <w:rPr>
          <w:rFonts w:ascii="宋体" w:hAnsi="宋体" w:cs="宋体" w:eastAsia="宋体" w:hint="ascii"/>
          <w:sz w:val="21"/>
        </w:rPr>
        <w:t>稳</w:t>
      </w:r>
      <w:r>
        <w:rPr>
          <w:rFonts w:ascii="宋体" w:hAnsi="宋体" w:cs="宋体" w:eastAsia="宋体" w:hint="ascii"/>
          <w:sz w:val="21"/>
          <w:spacing w:val="-1"/>
        </w:rPr>
        <w:t>态强</w:t>
      </w:r>
      <w:r>
        <w:rPr>
          <w:rFonts w:ascii="宋体" w:hAnsi="宋体" w:cs="宋体" w:eastAsia="宋体" w:hint="ascii"/>
          <w:sz w:val="21"/>
        </w:rPr>
        <w:t>磁场</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spacing w:val="-2"/>
        </w:rPr>
        <w:t>A08</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rPr>
        <w:t>6</w:t>
      </w:r>
      <w:r>
        <w:rPr>
          <w:rFonts w:ascii="宋体" w:hAnsi="宋体" w:cs="宋体" w:eastAsia="宋体" w:hint="ascii"/>
          <w:sz w:val="21"/>
        </w:rPr>
        <w:t>（</w:t>
      </w:r>
      <w:r>
        <w:rPr>
          <w:rFonts w:ascii="宋体" w:hAnsi="宋体" w:cs="宋体" w:eastAsia="宋体" w:hint="ascii"/>
          <w:sz w:val="21"/>
          <w:spacing w:val="-1"/>
        </w:rPr>
        <w:t>中</w:t>
      </w:r>
      <w:r>
        <w:rPr>
          <w:rFonts w:ascii="宋体" w:hAnsi="宋体" w:cs="宋体" w:eastAsia="宋体" w:hint="ascii"/>
          <w:sz w:val="21"/>
        </w:rPr>
        <w:t>国散裂中子源</w:t>
      </w:r>
      <w:r>
        <w:rPr>
          <w:rFonts w:ascii="宋体" w:hAnsi="宋体" w:cs="宋体" w:eastAsia="宋体" w:hint="ascii"/>
          <w:sz w:val="21"/>
          <w:spacing w:val="-51"/>
        </w:rPr>
        <w:t>）</w:t>
      </w:r>
      <w:r>
        <w:rPr>
          <w:rFonts w:ascii="宋体" w:hAnsi="宋体" w:cs="宋体" w:eastAsia="宋体" w:hint="ascii"/>
          <w:sz w:val="21"/>
        </w:rPr>
        <w:t>；</w:t>
      </w:r>
      <w:r>
        <w:rPr>
          <w:rFonts w:ascii="宋体" w:hAnsi="宋体" w:cs="宋体" w:eastAsia="宋体" w:hint="ascii"/>
          <w:sz w:val="21"/>
          <w:spacing w:val="-3"/>
        </w:rPr>
        <w:t>对于申请</w:t>
      </w:r>
      <w:r>
        <w:rPr>
          <w:rFonts w:ascii="宋体" w:hAnsi="宋体" w:cs="宋体" w:eastAsia="宋体" w:hint="ascii"/>
          <w:sz w:val="21"/>
          <w:spacing w:val="-4"/>
        </w:rPr>
        <w:t>使</w:t>
      </w:r>
      <w:r>
        <w:rPr>
          <w:rFonts w:ascii="宋体" w:hAnsi="宋体" w:cs="宋体" w:eastAsia="宋体" w:hint="ascii"/>
          <w:sz w:val="21"/>
          <w:spacing w:val="-3"/>
        </w:rPr>
        <w:t>用两个以</w:t>
      </w:r>
      <w:r>
        <w:rPr>
          <w:rFonts w:ascii="宋体" w:hAnsi="宋体" w:cs="宋体" w:eastAsia="宋体" w:hint="ascii"/>
          <w:sz w:val="21"/>
          <w:spacing w:val="-4"/>
        </w:rPr>
        <w:t>上</w:t>
      </w:r>
      <w:r>
        <w:rPr>
          <w:rFonts w:ascii="宋体" w:hAnsi="宋体" w:cs="宋体" w:eastAsia="宋体" w:hint="ascii"/>
          <w:sz w:val="21"/>
          <w:spacing w:val="-3"/>
        </w:rPr>
        <w:t>装置的项</w:t>
      </w:r>
      <w:r>
        <w:rPr>
          <w:rFonts w:ascii="宋体" w:hAnsi="宋体" w:cs="宋体" w:eastAsia="宋体" w:hint="ascii"/>
          <w:sz w:val="21"/>
          <w:spacing w:val="-4"/>
        </w:rPr>
        <w:t>目</w:t>
      </w:r>
      <w:r>
        <w:rPr>
          <w:rFonts w:ascii="宋体" w:hAnsi="宋体" w:cs="宋体" w:eastAsia="宋体" w:hint="ascii"/>
          <w:sz w:val="21"/>
          <w:spacing w:val="-3"/>
        </w:rPr>
        <w:t>，请选择主</w:t>
      </w:r>
      <w:r>
        <w:rPr>
          <w:rFonts w:ascii="宋体" w:hAnsi="宋体" w:cs="宋体" w:eastAsia="宋体" w:hint="ascii"/>
          <w:sz w:val="21"/>
          <w:spacing w:val="-2"/>
        </w:rPr>
        <w:t>要使用装</w:t>
      </w:r>
      <w:r>
        <w:rPr>
          <w:rFonts w:ascii="宋体" w:hAnsi="宋体" w:cs="宋体" w:eastAsia="宋体" w:hint="ascii"/>
          <w:sz w:val="21"/>
          <w:spacing w:val="-3"/>
        </w:rPr>
        <w:t>置</w:t>
      </w:r>
      <w:r>
        <w:rPr>
          <w:rFonts w:ascii="宋体" w:hAnsi="宋体" w:cs="宋体" w:eastAsia="宋体" w:hint="ascii"/>
          <w:sz w:val="21"/>
          <w:spacing w:val="-2"/>
        </w:rPr>
        <w:t>的申请代</w:t>
      </w:r>
      <w:r>
        <w:rPr>
          <w:rFonts w:ascii="宋体" w:hAnsi="宋体" w:cs="宋体" w:eastAsia="宋体" w:hint="ascii"/>
          <w:sz w:val="21"/>
          <w:spacing w:val="-3"/>
        </w:rPr>
        <w:t>码</w:t>
      </w:r>
      <w:r>
        <w:rPr>
          <w:rFonts w:ascii="宋体" w:hAnsi="宋体" w:cs="宋体" w:eastAsia="宋体" w:hint="ascii"/>
          <w:sz w:val="21"/>
          <w:spacing w:val="-2"/>
        </w:rPr>
        <w:t>；申请代</w:t>
      </w:r>
      <w:r>
        <w:rPr>
          <w:rFonts w:ascii="宋体" w:hAnsi="宋体" w:cs="宋体" w:eastAsia="宋体" w:hint="ascii"/>
          <w:sz w:val="21"/>
          <w:spacing w:val="-1"/>
        </w:rPr>
        <w:t>码</w:t>
      </w:r>
      <w:r>
        <w:rPr>
          <w:rFonts w:ascii="宋体" w:hAnsi="宋体" w:cs="宋体" w:eastAsia="宋体" w:hint="ascii"/>
          <w:sz w:val="21"/>
          <w:spacing w:val="-4"/>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2"/>
        </w:rPr>
        <w:t xml:space="preserve"> </w:t>
      </w:r>
      <w:r>
        <w:rPr>
          <w:rFonts w:ascii="宋体" w:hAnsi="宋体" w:cs="宋体" w:eastAsia="宋体" w:hint="ascii"/>
          <w:sz w:val="21"/>
          <w:spacing w:val="-2"/>
        </w:rPr>
        <w:t>根</w:t>
      </w:r>
      <w:r>
        <w:rPr>
          <w:rFonts w:ascii="宋体" w:hAnsi="宋体" w:cs="宋体" w:eastAsia="宋体" w:hint="ascii"/>
          <w:sz w:val="21"/>
          <w:spacing w:val="-1"/>
        </w:rPr>
        <w:t>据</w:t>
      </w:r>
      <w:r>
        <w:rPr>
          <w:rFonts w:ascii="宋体" w:hAnsi="宋体" w:cs="宋体" w:eastAsia="宋体" w:hint="ascii"/>
          <w:sz w:val="21"/>
        </w:rPr>
        <w:t xml:space="preserve"> </w:t>
      </w:r>
      <w:r>
        <w:rPr>
          <w:rFonts w:ascii="宋体" w:hAnsi="宋体" w:cs="宋体" w:eastAsia="宋体" w:hint="ascii"/>
          <w:sz w:val="21"/>
          <w:spacing w:val="-2"/>
        </w:rPr>
        <w:t>实际研究方向必须选择相应学科的申请代码（</w:t>
      </w:r>
      <w:r>
        <w:rPr>
          <w:rFonts w:ascii="宋体" w:hAnsi="宋体" w:cs="宋体" w:eastAsia="宋体" w:hint="ascii"/>
          <w:sz w:val="21"/>
          <w:spacing w:val="24"/>
        </w:rPr>
        <w:t>如</w:t>
      </w:r>
      <w:r>
        <w:rPr>
          <w:rFonts w:ascii="Times New Roman" w:hAnsi="Times New Roman" w:cs="Times New Roman" w:eastAsia="Times New Roman" w:hint="ascii"/>
          <w:sz w:val="21"/>
          <w:spacing w:val="-2"/>
        </w:rPr>
        <w:t>A04020</w:t>
      </w:r>
      <w:r>
        <w:rPr>
          <w:rFonts w:ascii="Times New Roman" w:hAnsi="Times New Roman" w:cs="Times New Roman" w:eastAsia="Times New Roman" w:hint="ascii"/>
          <w:sz w:val="21"/>
          <w:spacing w:val="-3"/>
        </w:rPr>
        <w:t>4</w:t>
      </w:r>
      <w:r>
        <w:rPr>
          <w:rFonts w:ascii="宋体" w:hAnsi="宋体" w:cs="宋体" w:eastAsia="宋体" w:hint="ascii"/>
          <w:sz w:val="21"/>
          <w:spacing w:val="-2"/>
        </w:rPr>
        <w:t>、</w:t>
      </w:r>
      <w:r>
        <w:rPr>
          <w:rFonts w:ascii="Times New Roman" w:hAnsi="Times New Roman" w:cs="Times New Roman" w:eastAsia="Times New Roman" w:hint="ascii"/>
          <w:sz w:val="21"/>
          <w:spacing w:val="-2"/>
        </w:rPr>
        <w:t>E02</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2"/>
        </w:rPr>
        <w:t>1</w:t>
      </w:r>
      <w:r>
        <w:rPr>
          <w:rFonts w:ascii="宋体" w:hAnsi="宋体" w:cs="宋体" w:eastAsia="宋体" w:hint="ascii"/>
          <w:sz w:val="21"/>
          <w:spacing w:val="-2"/>
        </w:rPr>
        <w:t>、</w:t>
      </w:r>
      <w:r>
        <w:rPr>
          <w:rFonts w:ascii="Times New Roman" w:hAnsi="Times New Roman" w:cs="Times New Roman" w:eastAsia="Times New Roman" w:hint="ascii"/>
          <w:sz w:val="21"/>
          <w:spacing w:val="-2"/>
        </w:rPr>
        <w:t>B03010</w:t>
      </w:r>
      <w:r>
        <w:rPr>
          <w:rFonts w:ascii="Times New Roman" w:hAnsi="Times New Roman" w:cs="Times New Roman" w:eastAsia="Times New Roman" w:hint="ascii"/>
          <w:sz w:val="21"/>
          <w:spacing w:val="50"/>
        </w:rPr>
        <w:t>6</w:t>
      </w:r>
      <w:r>
        <w:rPr>
          <w:rFonts w:ascii="宋体" w:hAnsi="宋体" w:cs="宋体" w:eastAsia="宋体" w:hint="ascii"/>
          <w:sz w:val="21"/>
          <w:spacing w:val="-2"/>
        </w:rPr>
        <w:t>等</w:t>
      </w:r>
      <w:r>
        <w:rPr>
          <w:rFonts w:ascii="宋体" w:hAnsi="宋体" w:cs="宋体" w:eastAsia="宋体" w:hint="ascii"/>
          <w:sz w:val="21"/>
          <w:spacing w:val="-54"/>
        </w:rPr>
        <w:t>）</w:t>
      </w:r>
      <w:r>
        <w:rPr>
          <w:rFonts w:ascii="宋体" w:hAnsi="宋体" w:cs="宋体" w:eastAsia="宋体" w:hint="ascii"/>
          <w:sz w:val="21"/>
        </w:rPr>
        <w:t>。</w:t>
      </w:r>
    </w:p>
    <w:p>
      <w:pPr>
        <w:autoSpaceDE w:val="0"/>
        <w:autoSpaceDN w:val="0"/>
        <w:jc w:val="both"/>
        <w:spacing w:before="0" w:after="0" w:lineRule="exact" w:line="30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6</w:t>
      </w:r>
      <w:r>
        <w:rPr>
          <w:rFonts w:ascii="宋体" w:hAnsi="宋体" w:cs="宋体" w:eastAsia="宋体" w:hint="ascii"/>
          <w:sz w:val="21"/>
          <w:spacing w:val="-1"/>
        </w:rPr>
        <w:t>）申请人</w:t>
      </w:r>
      <w:r>
        <w:rPr>
          <w:rFonts w:ascii="宋体" w:hAnsi="宋体" w:cs="宋体" w:eastAsia="宋体" w:hint="ascii"/>
          <w:sz w:val="21"/>
        </w:rPr>
        <w:t>应当在申请书中详细说明所需装置的使用时间。本联合基金将保证获资助项目实际所需装置的使用时间。</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）资助项目在执行期间取得的研究成果，包括发表论文、专著、专利、奖励等，</w:t>
      </w:r>
    </w:p>
    <w:p>
      <w:pPr>
        <w:autoSpaceDE w:val="0"/>
        <w:autoSpaceDN w:val="0"/>
        <w:jc w:val="left"/>
        <w:spacing w:before="3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必须标注“国家自然科学基金委员会</w:t>
      </w:r>
      <w:r>
        <w:rPr>
          <w:rFonts w:ascii="宋体" w:hAnsi="宋体" w:cs="宋体" w:eastAsia="宋体" w:hint="ascii"/>
          <w:sz w:val="21"/>
        </w:rPr>
        <w:t>-</w:t>
      </w:r>
      <w:r>
        <w:rPr>
          <w:rFonts w:ascii="宋体" w:hAnsi="宋体" w:cs="宋体" w:eastAsia="宋体" w:hint="ascii"/>
          <w:sz w:val="21"/>
        </w:rPr>
        <w:t>中国科学院大科学装置科学研究联合基金资助</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8" w:after="0" w:lineRule="exact" w:line="30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9</w:t>
      </w:r>
      <w:r>
        <w:rPr>
          <w:rFonts w:ascii="宋体" w:hAnsi="宋体" w:cs="宋体" w:eastAsia="宋体" w:hint="ascii"/>
          <w:sz w:val="21"/>
          <w:spacing w:val="-1"/>
        </w:rPr>
        <w:t>）本联合</w:t>
      </w:r>
      <w:r>
        <w:rPr>
          <w:rFonts w:ascii="宋体" w:hAnsi="宋体" w:cs="宋体" w:eastAsia="宋体" w:hint="ascii"/>
          <w:sz w:val="21"/>
        </w:rPr>
        <w:t>基金项目与科学基金其他相关类型项目共同限项申请，限制申请和承担项目总数及其共同限项项目类型见本《指南》中的限项申请规定。</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）本联合基金项目由数理科学部负责受理申请并组织评审。</w:t>
      </w:r>
    </w:p>
    <w:p>
      <w:pPr>
        <w:autoSpaceDE w:val="0"/>
        <w:autoSpaceDN w:val="0"/>
        <w:jc w:val="left"/>
        <w:spacing w:before="17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四、联系方式</w:t>
      </w:r>
    </w:p>
    <w:p>
      <w:pPr>
        <w:autoSpaceDE w:val="0"/>
        <w:autoSpaceDN w:val="0"/>
        <w:jc w:val="left"/>
        <w:spacing w:before="18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 xml:space="preserve">1. </w:t>
      </w:r>
      <w:r>
        <w:rPr>
          <w:rFonts w:ascii="宋体" w:hAnsi="宋体" w:cs="宋体" w:eastAsia="宋体" w:hint="ascii"/>
          <w:sz w:val="21"/>
        </w:rPr>
        <w:t>国家自然科学基金委员会数理科学部</w:t>
      </w:r>
    </w:p>
    <w:p>
      <w:pPr>
        <w:autoSpaceDE w:val="0"/>
        <w:autoSpaceDN w:val="0"/>
        <w:jc w:val="left"/>
        <w:spacing w:before="45"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地</w:t>
      </w:r>
      <w:r>
        <w:rPr>
          <w:rFonts w:ascii="宋体" w:hAnsi="宋体" w:cs="宋体" w:eastAsia="宋体" w:hint="ascii"/>
          <w:sz w:val="21"/>
          <w:spacing w:val="52"/>
        </w:rPr>
        <w:t xml:space="preserve"> </w:t>
      </w:r>
      <w:r>
        <w:rPr>
          <w:rFonts w:ascii="宋体" w:hAnsi="宋体" w:cs="宋体" w:eastAsia="宋体" w:hint="ascii"/>
          <w:sz w:val="21"/>
        </w:rPr>
        <w:t>址：北京市海淀区双清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w:t>
      </w:r>
      <w:r>
        <w:rPr>
          <w:rFonts w:ascii="Times New Roman" w:hAnsi="Times New Roman" w:cs="Times New Roman" w:eastAsia="Times New Roman" w:hint="ascii"/>
          <w:sz w:val="21"/>
        </w:rPr>
        <w:t>100085</w:t>
      </w:r>
    </w:p>
    <w:p>
      <w:pPr>
        <w:autoSpaceDE w:val="0"/>
        <w:autoSpaceDN w:val="0"/>
        <w:jc w:val="left"/>
        <w:spacing w:before="38"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联系人：物理科学二处 蒲</w:t>
      </w:r>
      <w:r>
        <w:rPr>
          <w:rFonts w:ascii="宋体" w:hAnsi="宋体" w:cs="宋体" w:eastAsia="宋体" w:hint="ascii"/>
          <w:sz w:val="21"/>
          <w:spacing w:val="52"/>
        </w:rPr>
        <w:t xml:space="preserve"> </w:t>
      </w:r>
      <w:r>
        <w:rPr>
          <w:rFonts w:ascii="宋体" w:hAnsi="宋体" w:cs="宋体" w:eastAsia="宋体" w:hint="ascii"/>
          <w:sz w:val="21"/>
        </w:rPr>
        <w:t>钔</w:t>
      </w:r>
      <w:r>
        <w:rPr>
          <w:rFonts w:ascii="宋体" w:hAnsi="宋体" w:cs="宋体" w:eastAsia="宋体" w:hint="ascii"/>
          <w:sz w:val="21"/>
          <w:spacing w:val="53"/>
        </w:rPr>
        <w:t xml:space="preserve"> </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62327182</w:t>
      </w:r>
      <w:r>
        <w:rPr>
          <w:rFonts w:ascii="宋体" w:hAnsi="宋体" w:cs="宋体" w:eastAsia="宋体" w:hint="ascii"/>
          <w:sz w:val="21"/>
        </w:rPr>
        <w:t>，李会红</w:t>
      </w:r>
      <w:r>
        <w:rPr>
          <w:rFonts w:ascii="宋体" w:hAnsi="宋体" w:cs="宋体" w:eastAsia="宋体" w:hint="ascii"/>
          <w:sz w:val="21"/>
          <w:spacing w:val="52"/>
        </w:rPr>
        <w:t xml:space="preserve"> </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62325069</w:t>
      </w:r>
    </w:p>
    <w:p>
      <w:pPr>
        <w:autoSpaceDE w:val="0"/>
        <w:autoSpaceDN w:val="0"/>
        <w:jc w:val="left"/>
        <w:spacing w:before="38" w:after="0" w:lineRule="exact" w:line="263"/>
        <w:ind w:right="0" w:left="222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物理科学一处 倪培根</w:t>
      </w:r>
      <w:r>
        <w:rPr>
          <w:rFonts w:ascii="宋体" w:hAnsi="宋体" w:cs="宋体" w:eastAsia="宋体" w:hint="ascii"/>
          <w:sz w:val="21"/>
          <w:spacing w:val="52"/>
        </w:rPr>
        <w:t xml:space="preserve"> </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62325055</w:t>
      </w:r>
    </w:p>
    <w:p>
      <w:pPr>
        <w:autoSpaceDE w:val="0"/>
        <w:autoSpaceDN w:val="0"/>
        <w:jc w:val="left"/>
        <w:spacing w:before="38" w:after="0" w:lineRule="exact" w:line="263"/>
        <w:ind w:right="0" w:left="222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综合与战略规划处 张攀峰</w:t>
      </w:r>
      <w:r>
        <w:rPr>
          <w:rFonts w:ascii="宋体" w:hAnsi="宋体" w:cs="宋体" w:eastAsia="宋体" w:hint="ascii"/>
          <w:sz w:val="21"/>
          <w:spacing w:val="53"/>
        </w:rPr>
        <w:t xml:space="preserve"> </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623269</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rPr>
        <w:t>1</w:t>
      </w:r>
    </w:p>
    <w:p>
      <w:pPr>
        <w:autoSpaceDE w:val="0"/>
        <w:autoSpaceDN w:val="0"/>
        <w:jc w:val="left"/>
        <w:spacing w:before="35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649" w:hanging="263"/>
        <w:snapToGrid w:val="0"/>
        <w:textAlignment w:val="auto"/>
        <w:tabs>
          <w:tab w:val="left" w:leader="none" w:pos="1648"/>
        </w:tabs>
        <w:numPr>
          <w:ilvl w:val="0"/>
          <w:numId w:val="305"/>
        </w:numPr>
        <w:rPr>
          <w:rFonts w:ascii="Times New Roman" w:hAnsi="Times New Roman" w:cs="Times New Roman" w:eastAsia="Times New Roman" w:hint="ascii"/>
          <w:sz w:val="21"/>
        </w:rPr>
      </w:pPr>
      <w:r>
        <w:rPr>
          <w:rFonts w:ascii="宋体" w:hAnsi="宋体" w:cs="宋体" w:eastAsia="宋体" w:hint="ascii"/>
          <w:sz w:val="21"/>
        </w:rPr>
        <w:t>北京正负电子对撞机及北京同步辐射装置（申请代</w:t>
      </w:r>
      <w:r>
        <w:rPr>
          <w:rFonts w:ascii="宋体" w:hAnsi="宋体" w:cs="宋体" w:eastAsia="宋体" w:hint="ascii"/>
          <w:sz w:val="21"/>
          <w:spacing w:val="26"/>
        </w:rPr>
        <w:t>码</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A0801</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70" locked="0" layoutInCell="1" allowOverlap="1">
                <wp:simplePos x="0" y="0"/>
                <wp:positionH relativeFrom="page">
                  <wp:posOffset>938530</wp:posOffset>
                </wp:positionH>
                <wp:positionV relativeFrom="page">
                  <wp:posOffset>805815</wp:posOffset>
                </wp:positionV>
                <wp:extent cx="5076190" cy="0"/>
                <wp:wrapNone/>
                <wp:docPr id="1299" name="129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81760;width:399.70pt;" id="129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联系人：徐殿斗</w:t>
      </w:r>
      <w:r>
        <w:rPr>
          <w:rFonts w:ascii="宋体" w:hAnsi="宋体" w:cs="宋体" w:eastAsia="宋体" w:hint="ascii"/>
          <w:sz w:val="21"/>
          <w:spacing w:val="52"/>
        </w:rPr>
        <w:t xml:space="preserve"> </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88234618</w:t>
      </w:r>
    </w:p>
    <w:p>
      <w:pPr>
        <w:autoSpaceDE w:val="0"/>
        <w:autoSpaceDN w:val="0"/>
        <w:jc w:val="left"/>
        <w:spacing w:before="49" w:after="0" w:lineRule="auto" w:line="240"/>
        <w:ind w:right="0" w:left="1649" w:hanging="263"/>
        <w:snapToGrid w:val="0"/>
        <w:textAlignment w:val="auto"/>
        <w:tabs>
          <w:tab w:val="left" w:leader="none" w:pos="1648"/>
        </w:tabs>
        <w:numPr>
          <w:ilvl w:val="0"/>
          <w:numId w:val="305"/>
        </w:numPr>
        <w:rPr>
          <w:rFonts w:ascii="Times New Roman" w:hAnsi="Times New Roman" w:cs="Times New Roman" w:eastAsia="Times New Roman" w:hint="ascii"/>
          <w:sz w:val="21"/>
        </w:rPr>
      </w:pPr>
      <w:r>
        <w:rPr>
          <w:rFonts w:ascii="宋体" w:hAnsi="宋体" w:cs="宋体" w:eastAsia="宋体" w:hint="ascii"/>
          <w:sz w:val="21"/>
        </w:rPr>
        <w:t>上海光源装置（申请代</w:t>
      </w:r>
      <w:r>
        <w:rPr>
          <w:rFonts w:ascii="宋体" w:hAnsi="宋体" w:cs="宋体" w:eastAsia="宋体" w:hint="ascii"/>
          <w:sz w:val="21"/>
          <w:spacing w:val="26"/>
        </w:rPr>
        <w:t>码</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A0802</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 xml:space="preserve">联系人：李景烨 </w:t>
      </w:r>
      <w:r>
        <w:rPr>
          <w:rFonts w:ascii="Times New Roman" w:hAnsi="Times New Roman" w:cs="Times New Roman" w:eastAsia="Times New Roman" w:hint="ascii"/>
          <w:sz w:val="21"/>
        </w:rPr>
        <w:t>021</w:t>
      </w:r>
      <w:r>
        <w:rPr>
          <w:rFonts w:ascii="宋体" w:hAnsi="宋体" w:cs="宋体" w:eastAsia="宋体" w:hint="ascii"/>
          <w:sz w:val="21"/>
        </w:rPr>
        <w:t>-</w:t>
      </w:r>
      <w:r>
        <w:rPr>
          <w:rFonts w:ascii="Times New Roman" w:hAnsi="Times New Roman" w:cs="Times New Roman" w:eastAsia="Times New Roman" w:hint="ascii"/>
          <w:sz w:val="21"/>
        </w:rPr>
        <w:t>59554934</w:t>
      </w:r>
    </w:p>
    <w:p>
      <w:pPr>
        <w:autoSpaceDE w:val="0"/>
        <w:autoSpaceDN w:val="0"/>
        <w:jc w:val="left"/>
        <w:spacing w:before="49" w:after="0" w:lineRule="auto" w:line="240"/>
        <w:ind w:right="0" w:left="1649" w:hanging="263"/>
        <w:snapToGrid w:val="0"/>
        <w:textAlignment w:val="auto"/>
        <w:tabs>
          <w:tab w:val="left" w:leader="none" w:pos="1648"/>
        </w:tabs>
        <w:numPr>
          <w:ilvl w:val="0"/>
          <w:numId w:val="305"/>
        </w:numPr>
        <w:rPr>
          <w:rFonts w:ascii="Times New Roman" w:hAnsi="Times New Roman" w:cs="Times New Roman" w:eastAsia="Times New Roman" w:hint="ascii"/>
          <w:sz w:val="21"/>
        </w:rPr>
      </w:pPr>
      <w:r>
        <w:rPr>
          <w:rFonts w:ascii="宋体" w:hAnsi="宋体" w:cs="宋体" w:eastAsia="宋体" w:hint="ascii"/>
          <w:sz w:val="21"/>
        </w:rPr>
        <w:t>兰州重离子加速器与冷却储存环装置（申请代</w:t>
      </w:r>
      <w:r>
        <w:rPr>
          <w:rFonts w:ascii="宋体" w:hAnsi="宋体" w:cs="宋体" w:eastAsia="宋体" w:hint="ascii"/>
          <w:sz w:val="21"/>
          <w:spacing w:val="26"/>
        </w:rPr>
        <w:t>码</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A0803</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 xml:space="preserve">联系人：胡正国 </w:t>
      </w:r>
      <w:r>
        <w:rPr>
          <w:rFonts w:ascii="Times New Roman" w:hAnsi="Times New Roman" w:cs="Times New Roman" w:eastAsia="Times New Roman" w:hint="ascii"/>
          <w:sz w:val="21"/>
        </w:rPr>
        <w:t>0931</w:t>
      </w:r>
      <w:r>
        <w:rPr>
          <w:rFonts w:ascii="宋体" w:hAnsi="宋体" w:cs="宋体" w:eastAsia="宋体" w:hint="ascii"/>
          <w:sz w:val="21"/>
        </w:rPr>
        <w:t>-</w:t>
      </w:r>
      <w:r>
        <w:rPr>
          <w:rFonts w:ascii="Times New Roman" w:hAnsi="Times New Roman" w:cs="Times New Roman" w:eastAsia="Times New Roman" w:hint="ascii"/>
          <w:sz w:val="21"/>
        </w:rPr>
        <w:t>4969202</w:t>
      </w:r>
    </w:p>
    <w:p>
      <w:pPr>
        <w:autoSpaceDE w:val="0"/>
        <w:autoSpaceDN w:val="0"/>
        <w:jc w:val="left"/>
        <w:spacing w:before="49" w:after="0" w:lineRule="auto" w:line="240"/>
        <w:ind w:right="0" w:left="1649" w:hanging="263"/>
        <w:snapToGrid w:val="0"/>
        <w:textAlignment w:val="auto"/>
        <w:tabs>
          <w:tab w:val="left" w:leader="none" w:pos="1648"/>
        </w:tabs>
        <w:numPr>
          <w:ilvl w:val="0"/>
          <w:numId w:val="305"/>
        </w:numPr>
        <w:rPr>
          <w:rFonts w:ascii="Times New Roman" w:hAnsi="Times New Roman" w:cs="Times New Roman" w:eastAsia="Times New Roman" w:hint="ascii"/>
          <w:sz w:val="21"/>
        </w:rPr>
      </w:pPr>
      <w:r>
        <w:rPr>
          <w:rFonts w:ascii="宋体" w:hAnsi="宋体" w:cs="宋体" w:eastAsia="宋体" w:hint="ascii"/>
          <w:sz w:val="21"/>
        </w:rPr>
        <w:t>合肥同步辐射装置（申请代</w:t>
      </w:r>
      <w:r>
        <w:rPr>
          <w:rFonts w:ascii="宋体" w:hAnsi="宋体" w:cs="宋体" w:eastAsia="宋体" w:hint="ascii"/>
          <w:sz w:val="21"/>
          <w:spacing w:val="26"/>
        </w:rPr>
        <w:t>码</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A0804</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联系人：余</w:t>
      </w:r>
      <w:r>
        <w:rPr>
          <w:rFonts w:ascii="宋体" w:hAnsi="宋体" w:cs="宋体" w:eastAsia="宋体" w:hint="ascii"/>
          <w:sz w:val="21"/>
          <w:spacing w:val="52"/>
        </w:rPr>
        <w:t xml:space="preserve"> </w:t>
      </w:r>
      <w:r>
        <w:rPr>
          <w:rFonts w:ascii="宋体" w:hAnsi="宋体" w:cs="宋体" w:eastAsia="宋体" w:hint="ascii"/>
          <w:sz w:val="21"/>
        </w:rPr>
        <w:t>芹</w:t>
      </w:r>
      <w:r>
        <w:rPr>
          <w:rFonts w:ascii="宋体" w:hAnsi="宋体" w:cs="宋体" w:eastAsia="宋体" w:hint="ascii"/>
          <w:sz w:val="21"/>
          <w:spacing w:val="53"/>
        </w:rPr>
        <w:t xml:space="preserve"> </w:t>
      </w:r>
      <w:r>
        <w:rPr>
          <w:rFonts w:ascii="Times New Roman" w:hAnsi="Times New Roman" w:cs="Times New Roman" w:eastAsia="Times New Roman" w:hint="ascii"/>
          <w:sz w:val="21"/>
        </w:rPr>
        <w:t>0551</w:t>
      </w:r>
      <w:r>
        <w:rPr>
          <w:rFonts w:ascii="宋体" w:hAnsi="宋体" w:cs="宋体" w:eastAsia="宋体" w:hint="ascii"/>
          <w:sz w:val="21"/>
        </w:rPr>
        <w:t>-</w:t>
      </w:r>
      <w:r>
        <w:rPr>
          <w:rFonts w:ascii="Times New Roman" w:hAnsi="Times New Roman" w:cs="Times New Roman" w:eastAsia="Times New Roman" w:hint="ascii"/>
          <w:sz w:val="21"/>
        </w:rPr>
        <w:t>63602034</w:t>
      </w:r>
    </w:p>
    <w:p>
      <w:pPr>
        <w:autoSpaceDE w:val="0"/>
        <w:autoSpaceDN w:val="0"/>
        <w:jc w:val="left"/>
        <w:spacing w:before="49" w:after="0" w:lineRule="auto" w:line="240"/>
        <w:ind w:right="0" w:left="1649" w:hanging="263"/>
        <w:snapToGrid w:val="0"/>
        <w:textAlignment w:val="auto"/>
        <w:tabs>
          <w:tab w:val="left" w:leader="none" w:pos="1648"/>
        </w:tabs>
        <w:numPr>
          <w:ilvl w:val="0"/>
          <w:numId w:val="305"/>
        </w:numPr>
        <w:rPr>
          <w:rFonts w:ascii="Times New Roman" w:hAnsi="Times New Roman" w:cs="Times New Roman" w:eastAsia="Times New Roman" w:hint="ascii"/>
          <w:sz w:val="21"/>
        </w:rPr>
      </w:pPr>
      <w:r>
        <w:rPr>
          <w:rFonts w:ascii="宋体" w:hAnsi="宋体" w:cs="宋体" w:eastAsia="宋体" w:hint="ascii"/>
          <w:sz w:val="21"/>
        </w:rPr>
        <w:t>稳态强磁场装置（申请代</w:t>
      </w:r>
      <w:r>
        <w:rPr>
          <w:rFonts w:ascii="宋体" w:hAnsi="宋体" w:cs="宋体" w:eastAsia="宋体" w:hint="ascii"/>
          <w:sz w:val="21"/>
          <w:spacing w:val="26"/>
        </w:rPr>
        <w:t>码</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A0805</w:t>
      </w:r>
      <w:r>
        <w:rPr>
          <w:rFonts w:ascii="宋体" w:hAnsi="宋体" w:cs="宋体" w:eastAsia="宋体" w:hint="ascii"/>
          <w:sz w:val="21"/>
        </w:rPr>
        <w:t>）</w:t>
      </w:r>
    </w:p>
    <w:p>
      <w:pPr>
        <w:autoSpaceDE w:val="0"/>
        <w:autoSpaceDN w:val="0"/>
        <w:jc w:val="left"/>
        <w:spacing w:before="57" w:after="0" w:lineRule="exact" w:line="263"/>
        <w:ind w:right="0" w:left="138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联系人：邵淑芳</w:t>
      </w:r>
      <w:r>
        <w:rPr>
          <w:rFonts w:ascii="宋体" w:hAnsi="宋体" w:cs="宋体" w:eastAsia="宋体" w:hint="ascii"/>
          <w:sz w:val="21"/>
          <w:spacing w:val="52"/>
        </w:rPr>
        <w:t xml:space="preserve"> </w:t>
      </w:r>
      <w:r>
        <w:rPr>
          <w:rFonts w:ascii="Times New Roman" w:hAnsi="Times New Roman" w:cs="Times New Roman" w:eastAsia="Times New Roman" w:hint="ascii"/>
          <w:sz w:val="21"/>
        </w:rPr>
        <w:t>0551</w:t>
      </w:r>
      <w:r>
        <w:rPr>
          <w:rFonts w:ascii="宋体" w:hAnsi="宋体" w:cs="宋体" w:eastAsia="宋体" w:hint="ascii"/>
          <w:sz w:val="21"/>
        </w:rPr>
        <w:t>-</w:t>
      </w:r>
      <w:r>
        <w:rPr>
          <w:rFonts w:ascii="Times New Roman" w:hAnsi="Times New Roman" w:cs="Times New Roman" w:eastAsia="Times New Roman" w:hint="ascii"/>
          <w:sz w:val="21"/>
        </w:rPr>
        <w:t>65591005</w:t>
      </w:r>
    </w:p>
    <w:p>
      <w:pPr>
        <w:autoSpaceDE w:val="0"/>
        <w:autoSpaceDN w:val="0"/>
        <w:jc w:val="left"/>
        <w:spacing w:before="49" w:after="0" w:lineRule="auto" w:line="240"/>
        <w:ind w:right="0" w:left="1648" w:hanging="263"/>
        <w:snapToGrid w:val="0"/>
        <w:textAlignment w:val="auto"/>
        <w:tabs>
          <w:tab w:val="left" w:leader="none" w:pos="1648"/>
        </w:tabs>
        <w:numPr>
          <w:ilvl w:val="0"/>
          <w:numId w:val="305"/>
        </w:numPr>
        <w:rPr>
          <w:rFonts w:ascii="Times New Roman" w:hAnsi="Times New Roman" w:cs="Times New Roman" w:eastAsia="Times New Roman" w:hint="ascii"/>
          <w:sz w:val="21"/>
        </w:rPr>
      </w:pPr>
      <w:r>
        <w:rPr>
          <w:rFonts w:ascii="宋体" w:hAnsi="宋体" w:cs="宋体" w:eastAsia="宋体" w:hint="ascii"/>
          <w:sz w:val="21"/>
        </w:rPr>
        <w:t>中国散裂中子源装置（申请代</w:t>
      </w:r>
      <w:r>
        <w:rPr>
          <w:rFonts w:ascii="宋体" w:hAnsi="宋体" w:cs="宋体" w:eastAsia="宋体" w:hint="ascii"/>
          <w:sz w:val="21"/>
          <w:spacing w:val="26"/>
        </w:rPr>
        <w:t>码</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A0806</w:t>
      </w:r>
      <w:r>
        <w:rPr>
          <w:rFonts w:ascii="宋体" w:hAnsi="宋体" w:cs="宋体" w:eastAsia="宋体" w:hint="ascii"/>
          <w:sz w:val="21"/>
        </w:rPr>
        <w:t>）</w:t>
      </w:r>
    </w:p>
    <w:p>
      <w:pPr>
        <w:autoSpaceDE w:val="0"/>
        <w:autoSpaceDN w:val="0"/>
        <w:jc w:val="left"/>
        <w:spacing w:before="57" w:after="0" w:lineRule="exact" w:line="263"/>
        <w:ind w:right="0" w:left="138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联系人：程</w:t>
      </w:r>
      <w:r>
        <w:rPr>
          <w:rFonts w:ascii="宋体" w:hAnsi="宋体" w:cs="宋体" w:eastAsia="宋体" w:hint="ascii"/>
          <w:sz w:val="21"/>
          <w:spacing w:val="52"/>
        </w:rPr>
        <w:t xml:space="preserve"> </w:t>
      </w:r>
      <w:r>
        <w:rPr>
          <w:rFonts w:ascii="宋体" w:hAnsi="宋体" w:cs="宋体" w:eastAsia="宋体" w:hint="ascii"/>
          <w:sz w:val="21"/>
        </w:rPr>
        <w:t>贺</w:t>
      </w:r>
      <w:r>
        <w:rPr>
          <w:rFonts w:ascii="宋体" w:hAnsi="宋体" w:cs="宋体" w:eastAsia="宋体" w:hint="ascii"/>
          <w:sz w:val="21"/>
          <w:spacing w:val="53"/>
        </w:rPr>
        <w:t xml:space="preserve"> </w:t>
      </w:r>
      <w:r>
        <w:rPr>
          <w:rFonts w:ascii="Times New Roman" w:hAnsi="Times New Roman" w:cs="Times New Roman" w:eastAsia="Times New Roman" w:hint="ascii"/>
          <w:sz w:val="21"/>
        </w:rPr>
        <w:t>0769</w:t>
      </w:r>
      <w:r>
        <w:rPr>
          <w:rFonts w:ascii="宋体" w:hAnsi="宋体" w:cs="宋体" w:eastAsia="宋体" w:hint="ascii"/>
          <w:sz w:val="21"/>
        </w:rPr>
        <w:t>-</w:t>
      </w:r>
      <w:r>
        <w:rPr>
          <w:rFonts w:ascii="Times New Roman" w:hAnsi="Times New Roman" w:cs="Times New Roman" w:eastAsia="Times New Roman" w:hint="ascii"/>
          <w:sz w:val="21"/>
        </w:rPr>
        <w:t>89156310</w:t>
      </w:r>
    </w:p>
    <w:p>
      <w:pPr>
        <w:autoSpaceDE w:val="0"/>
        <w:autoSpaceDN w:val="0"/>
        <w:jc w:val="left"/>
        <w:spacing w:before="345" w:after="0" w:lineRule="exact" w:line="475"/>
        <w:ind w:right="0" w:left="3436" w:firstLine="0"/>
        <w:snapToGrid w:val="0"/>
        <w:textAlignment w:val="auto"/>
        <w:tabs/>
        <w:rPr>
          <w:rFonts w:ascii="宋体" w:hAnsi="宋体" w:cs="宋体" w:eastAsia="宋体" w:hint="ascii"/>
          <w:sz w:val="38"/>
        </w:rPr>
      </w:pPr>
      <w:r>
        <w:rPr>
          <w:rFonts w:ascii="宋体" w:hAnsi="宋体" w:cs="宋体" w:eastAsia="宋体" w:hint="ascii"/>
          <w:sz w:val="38"/>
        </w:rPr>
        <w:t>钢铁联合研究基金</w:t>
      </w:r>
    </w:p>
    <w:p>
      <w:pPr>
        <w:autoSpaceDE w:val="0"/>
        <w:autoSpaceDN w:val="0"/>
        <w:jc w:val="left"/>
        <w:spacing w:before="332"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钢铁联合研究基金由自然科学基金委和中国宝武钢铁集团有限公司共同设立，旨在</w:t>
      </w:r>
    </w:p>
    <w:p>
      <w:pPr>
        <w:autoSpaceDE w:val="0"/>
        <w:autoSpaceDN w:val="0"/>
        <w:jc w:val="both"/>
        <w:spacing w:before="13" w:after="0" w:lineRule="exact" w:line="330"/>
        <w:ind w:right="966" w:left="966" w:firstLine="0"/>
        <w:snapToGrid w:val="0"/>
        <w:textAlignment w:val="auto"/>
        <w:tabs/>
        <w:rPr>
          <w:rFonts w:ascii="宋体" w:hAnsi="宋体" w:cs="宋体" w:eastAsia="宋体" w:hint="ascii"/>
          <w:sz w:val="21"/>
        </w:rPr>
      </w:pPr>
      <w:r>
        <w:rPr>
          <w:rFonts w:ascii="宋体" w:hAnsi="宋体" w:cs="宋体" w:eastAsia="宋体" w:hint="ascii"/>
          <w:sz w:val="21"/>
        </w:rPr>
        <w:t>紧密结合我国钢铁工业的重大问题和发展战略，开展前瞻性、创新性的研究，促进知识创新和技术创新的结合，通过科技创新带动冶金与材料新技术、新产品的研究开发，提升传</w:t>
      </w:r>
      <w:r>
        <w:rPr>
          <w:rFonts w:ascii="宋体" w:hAnsi="宋体" w:cs="宋体" w:eastAsia="宋体" w:hint="ascii"/>
          <w:sz w:val="21"/>
          <w:spacing w:val="-1"/>
        </w:rPr>
        <w:t>统</w:t>
      </w:r>
      <w:r>
        <w:rPr>
          <w:rFonts w:ascii="宋体" w:hAnsi="宋体" w:cs="宋体" w:eastAsia="宋体" w:hint="ascii"/>
          <w:sz w:val="21"/>
        </w:rPr>
        <w:t>产</w:t>
      </w:r>
      <w:r>
        <w:rPr>
          <w:rFonts w:ascii="宋体" w:hAnsi="宋体" w:cs="宋体" w:eastAsia="宋体" w:hint="ascii"/>
          <w:sz w:val="21"/>
          <w:spacing w:val="-1"/>
        </w:rPr>
        <w:t>业</w:t>
      </w:r>
      <w:r>
        <w:rPr>
          <w:rFonts w:ascii="宋体" w:hAnsi="宋体" w:cs="宋体" w:eastAsia="宋体" w:hint="ascii"/>
          <w:sz w:val="21"/>
        </w:rPr>
        <w:t>，提</w:t>
      </w:r>
      <w:r>
        <w:rPr>
          <w:rFonts w:ascii="宋体" w:hAnsi="宋体" w:cs="宋体" w:eastAsia="宋体" w:hint="ascii"/>
          <w:sz w:val="21"/>
          <w:spacing w:val="-1"/>
        </w:rPr>
        <w:t>高</w:t>
      </w:r>
      <w:r>
        <w:rPr>
          <w:rFonts w:ascii="宋体" w:hAnsi="宋体" w:cs="宋体" w:eastAsia="宋体" w:hint="ascii"/>
          <w:sz w:val="21"/>
        </w:rPr>
        <w:t>我</w:t>
      </w:r>
      <w:r>
        <w:rPr>
          <w:rFonts w:ascii="宋体" w:hAnsi="宋体" w:cs="宋体" w:eastAsia="宋体" w:hint="ascii"/>
          <w:sz w:val="21"/>
          <w:spacing w:val="-1"/>
        </w:rPr>
        <w:t>国</w:t>
      </w:r>
      <w:r>
        <w:rPr>
          <w:rFonts w:ascii="宋体" w:hAnsi="宋体" w:cs="宋体" w:eastAsia="宋体" w:hint="ascii"/>
          <w:sz w:val="21"/>
        </w:rPr>
        <w:t>钢铁</w:t>
      </w:r>
      <w:r>
        <w:rPr>
          <w:rFonts w:ascii="宋体" w:hAnsi="宋体" w:cs="宋体" w:eastAsia="宋体" w:hint="ascii"/>
          <w:sz w:val="21"/>
          <w:spacing w:val="-1"/>
        </w:rPr>
        <w:t>工</w:t>
      </w:r>
      <w:r>
        <w:rPr>
          <w:rFonts w:ascii="宋体" w:hAnsi="宋体" w:cs="宋体" w:eastAsia="宋体" w:hint="ascii"/>
          <w:sz w:val="21"/>
        </w:rPr>
        <w:t>业</w:t>
      </w:r>
      <w:r>
        <w:rPr>
          <w:rFonts w:ascii="宋体" w:hAnsi="宋体" w:cs="宋体" w:eastAsia="宋体" w:hint="ascii"/>
          <w:sz w:val="21"/>
          <w:spacing w:val="-1"/>
        </w:rPr>
        <w:t>竞</w:t>
      </w:r>
      <w:r>
        <w:rPr>
          <w:rFonts w:ascii="宋体" w:hAnsi="宋体" w:cs="宋体" w:eastAsia="宋体" w:hint="ascii"/>
          <w:sz w:val="21"/>
        </w:rPr>
        <w:t>争力。</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1"/>
        </w:rPr>
        <w:t xml:space="preserve"> </w:t>
      </w:r>
      <w:r>
        <w:rPr>
          <w:rFonts w:ascii="宋体" w:hAnsi="宋体" w:cs="宋体" w:eastAsia="宋体" w:hint="ascii"/>
          <w:sz w:val="21"/>
        </w:rPr>
        <w:t>年度</w:t>
      </w:r>
      <w:r>
        <w:rPr>
          <w:rFonts w:ascii="宋体" w:hAnsi="宋体" w:cs="宋体" w:eastAsia="宋体" w:hint="ascii"/>
          <w:sz w:val="21"/>
          <w:spacing w:val="-1"/>
        </w:rPr>
        <w:t>是</w:t>
      </w:r>
      <w:r>
        <w:rPr>
          <w:rFonts w:ascii="宋体" w:hAnsi="宋体" w:cs="宋体" w:eastAsia="宋体" w:hint="ascii"/>
          <w:sz w:val="21"/>
        </w:rPr>
        <w:t>第</w:t>
      </w:r>
      <w:r>
        <w:rPr>
          <w:rFonts w:ascii="宋体" w:hAnsi="宋体" w:cs="宋体" w:eastAsia="宋体" w:hint="ascii"/>
          <w:sz w:val="21"/>
          <w:spacing w:val="-1"/>
        </w:rPr>
        <w:t>五</w:t>
      </w:r>
      <w:r>
        <w:rPr>
          <w:rFonts w:ascii="宋体" w:hAnsi="宋体" w:cs="宋体" w:eastAsia="宋体" w:hint="ascii"/>
          <w:sz w:val="21"/>
        </w:rPr>
        <w:t>期协</w:t>
      </w:r>
      <w:r>
        <w:rPr>
          <w:rFonts w:ascii="宋体" w:hAnsi="宋体" w:cs="宋体" w:eastAsia="宋体" w:hint="ascii"/>
          <w:sz w:val="21"/>
          <w:spacing w:val="-1"/>
        </w:rPr>
        <w:t>议</w:t>
      </w:r>
      <w:r>
        <w:rPr>
          <w:rFonts w:ascii="宋体" w:hAnsi="宋体" w:cs="宋体" w:eastAsia="宋体" w:hint="ascii"/>
          <w:sz w:val="21"/>
        </w:rPr>
        <w:t>的</w:t>
      </w:r>
      <w:r>
        <w:rPr>
          <w:rFonts w:ascii="宋体" w:hAnsi="宋体" w:cs="宋体" w:eastAsia="宋体" w:hint="ascii"/>
          <w:sz w:val="21"/>
          <w:spacing w:val="-1"/>
        </w:rPr>
        <w:t>第</w:t>
      </w:r>
      <w:r>
        <w:rPr>
          <w:rFonts w:ascii="宋体" w:hAnsi="宋体" w:cs="宋体" w:eastAsia="宋体" w:hint="ascii"/>
          <w:sz w:val="21"/>
        </w:rPr>
        <w:t>四年</w:t>
      </w:r>
      <w:r>
        <w:rPr>
          <w:rFonts w:ascii="宋体" w:hAnsi="宋体" w:cs="宋体" w:eastAsia="宋体" w:hint="ascii"/>
          <w:sz w:val="21"/>
          <w:spacing w:val="-1"/>
        </w:rPr>
        <w:t>，</w:t>
      </w:r>
      <w:r>
        <w:rPr>
          <w:rFonts w:ascii="宋体" w:hAnsi="宋体" w:cs="宋体" w:eastAsia="宋体" w:hint="ascii"/>
          <w:sz w:val="21"/>
        </w:rPr>
        <w:t>其</w:t>
      </w:r>
      <w:r>
        <w:rPr>
          <w:rFonts w:ascii="宋体" w:hAnsi="宋体" w:cs="宋体" w:eastAsia="宋体" w:hint="ascii"/>
          <w:sz w:val="21"/>
          <w:spacing w:val="-1"/>
        </w:rPr>
        <w:t>中</w:t>
      </w:r>
      <w:r>
        <w:rPr>
          <w:rFonts w:ascii="宋体" w:hAnsi="宋体" w:cs="宋体" w:eastAsia="宋体" w:hint="ascii"/>
          <w:sz w:val="21"/>
        </w:rPr>
        <w:t>“</w:t>
      </w:r>
      <w:r>
        <w:rPr>
          <w:rFonts w:ascii="宋体" w:hAnsi="宋体" w:cs="宋体" w:eastAsia="宋体" w:hint="ascii"/>
          <w:sz w:val="21"/>
          <w:spacing w:val="-4"/>
        </w:rPr>
        <w:t>培</w:t>
      </w:r>
      <w:r>
        <w:rPr>
          <w:rFonts w:ascii="宋体" w:hAnsi="宋体" w:cs="宋体" w:eastAsia="宋体" w:hint="ascii"/>
          <w:sz w:val="21"/>
        </w:rPr>
        <w:t>育项目”直接费用资助强度为</w:t>
      </w:r>
      <w:r>
        <w:rPr>
          <w:rFonts w:ascii="宋体" w:hAnsi="宋体" w:cs="宋体" w:eastAsia="宋体" w:hint="ascii"/>
          <w:sz w:val="21"/>
          <w:spacing w:val="-16"/>
        </w:rPr>
        <w:t xml:space="preserve"> </w:t>
      </w:r>
      <w:r>
        <w:rPr>
          <w:rFonts w:ascii="Times New Roman" w:hAnsi="Times New Roman" w:cs="Times New Roman" w:eastAsia="Times New Roman" w:hint="ascii"/>
          <w:sz w:val="21"/>
        </w:rPr>
        <w:t>50</w:t>
      </w:r>
      <w:r>
        <w:rPr>
          <w:rFonts w:ascii="Times New Roman" w:hAnsi="Times New Roman" w:cs="Times New Roman" w:eastAsia="Times New Roman" w:hint="ascii"/>
          <w:sz w:val="21"/>
          <w:spacing w:val="-17"/>
        </w:rPr>
        <w:t xml:space="preserve"> </w:t>
      </w:r>
      <w:r>
        <w:rPr>
          <w:rFonts w:ascii="宋体" w:hAnsi="宋体" w:cs="宋体" w:eastAsia="宋体" w:hint="ascii"/>
          <w:sz w:val="21"/>
        </w:rPr>
        <w:t>万</w:t>
      </w:r>
      <w:r>
        <w:rPr>
          <w:rFonts w:ascii="宋体" w:hAnsi="宋体" w:cs="宋体" w:eastAsia="宋体" w:hint="ascii"/>
          <w:sz w:val="21"/>
        </w:rPr>
        <w:t>～</w:t>
      </w:r>
      <w:r>
        <w:rPr>
          <w:rFonts w:ascii="Times New Roman" w:hAnsi="Times New Roman" w:cs="Times New Roman" w:eastAsia="Times New Roman" w:hint="ascii"/>
          <w:sz w:val="21"/>
        </w:rPr>
        <w:t>80</w:t>
      </w:r>
      <w:r>
        <w:rPr>
          <w:rFonts w:ascii="Times New Roman" w:hAnsi="Times New Roman" w:cs="Times New Roman" w:eastAsia="Times New Roman" w:hint="ascii"/>
          <w:sz w:val="21"/>
          <w:spacing w:val="-1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16"/>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16"/>
        </w:rPr>
        <w:t xml:space="preserve"> </w:t>
      </w:r>
      <w:r>
        <w:rPr>
          <w:rFonts w:ascii="宋体" w:hAnsi="宋体" w:cs="宋体" w:eastAsia="宋体" w:hint="ascii"/>
          <w:sz w:val="21"/>
        </w:rPr>
        <w:t>年</w:t>
      </w:r>
      <w:r>
        <w:rPr>
          <w:rFonts w:ascii="宋体" w:hAnsi="宋体" w:cs="宋体" w:eastAsia="宋体" w:hint="ascii"/>
          <w:sz w:val="21"/>
          <w:spacing w:val="-52"/>
        </w:rPr>
        <w:t>；</w:t>
      </w:r>
      <w:r>
        <w:rPr>
          <w:rFonts w:ascii="宋体" w:hAnsi="宋体" w:cs="宋体" w:eastAsia="宋体" w:hint="ascii"/>
          <w:sz w:val="21"/>
        </w:rPr>
        <w:t>“重点支持项目”直接费用资助强度</w:t>
      </w:r>
      <w:r>
        <w:rPr>
          <w:rFonts w:ascii="宋体" w:hAnsi="宋体" w:cs="宋体" w:eastAsia="宋体" w:hint="ascii"/>
          <w:sz w:val="21"/>
          <w:spacing w:val="26"/>
        </w:rPr>
        <w:t>为</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万</w:t>
      </w:r>
      <w:r>
        <w:rPr>
          <w:rFonts w:ascii="宋体" w:hAnsi="宋体" w:cs="宋体" w:eastAsia="宋体" w:hint="ascii"/>
          <w:sz w:val="21"/>
        </w:rPr>
        <w:t>～</w:t>
      </w:r>
      <w:r>
        <w:rPr>
          <w:rFonts w:ascii="Times New Roman" w:hAnsi="Times New Roman" w:cs="Times New Roman" w:eastAsia="Times New Roman" w:hint="ascii"/>
          <w:sz w:val="21"/>
        </w:rPr>
        <w:t>35</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w:t>
      </w:r>
      <w:r>
        <w:rPr>
          <w:rFonts w:ascii="宋体" w:hAnsi="宋体" w:cs="宋体" w:eastAsia="宋体" w:hint="ascii"/>
          <w:sz w:val="21"/>
          <w:spacing w:val="26"/>
        </w:rPr>
        <w:t>限</w:t>
      </w:r>
      <w:r>
        <w:rPr>
          <w:rFonts w:ascii="Times New Roman" w:hAnsi="Times New Roman" w:cs="Times New Roman" w:eastAsia="Times New Roman" w:hint="ascii"/>
          <w:sz w:val="21"/>
          <w:spacing w:val="52"/>
        </w:rPr>
        <w:t>4</w:t>
      </w:r>
      <w:r>
        <w:rPr>
          <w:rFonts w:ascii="宋体" w:hAnsi="宋体" w:cs="宋体" w:eastAsia="宋体" w:hint="ascii"/>
          <w:sz w:val="21"/>
        </w:rPr>
        <w:t>年。</w:t>
      </w:r>
    </w:p>
    <w:p>
      <w:pPr>
        <w:autoSpaceDE w:val="0"/>
        <w:autoSpaceDN w:val="0"/>
        <w:jc w:val="both"/>
        <w:spacing w:before="0" w:after="0" w:lineRule="exact" w:line="330"/>
        <w:ind w:right="966" w:left="966" w:firstLine="396"/>
        <w:snapToGrid w:val="0"/>
        <w:textAlignment w:val="auto"/>
        <w:tabs/>
        <w:rPr>
          <w:rFonts w:ascii="宋体" w:hAnsi="宋体" w:cs="宋体" w:eastAsia="宋体" w:hint="ascii"/>
          <w:sz w:val="21"/>
        </w:rPr>
      </w:pPr>
      <w:r>
        <w:rPr>
          <w:rFonts w:ascii="宋体" w:hAnsi="宋体" w:cs="宋体" w:eastAsia="宋体" w:hint="ascii"/>
          <w:sz w:val="21"/>
          <w:spacing w:val="-7"/>
        </w:rPr>
        <w:t>本联合基金面向全国，重点资助我国钢铁工业发展迫切需要的</w:t>
      </w:r>
      <w:r>
        <w:rPr>
          <w:rFonts w:ascii="宋体" w:hAnsi="宋体" w:cs="宋体" w:eastAsia="宋体" w:hint="ascii"/>
          <w:sz w:val="21"/>
          <w:spacing w:val="-6"/>
        </w:rPr>
        <w:t>冶金新技术及有关工艺</w:t>
      </w:r>
      <w:r>
        <w:rPr>
          <w:rFonts w:ascii="宋体" w:hAnsi="宋体" w:cs="宋体" w:eastAsia="宋体" w:hint="ascii"/>
          <w:sz w:val="21"/>
          <w:spacing w:val="-1"/>
        </w:rPr>
        <w:t>、</w:t>
      </w:r>
      <w:r>
        <w:rPr>
          <w:rFonts w:ascii="宋体" w:hAnsi="宋体" w:cs="宋体" w:eastAsia="宋体" w:hint="ascii"/>
          <w:sz w:val="21"/>
        </w:rPr>
        <w:t xml:space="preserve"> </w:t>
      </w:r>
      <w:r>
        <w:rPr>
          <w:rFonts w:ascii="宋体" w:hAnsi="宋体" w:cs="宋体" w:eastAsia="宋体" w:hint="ascii"/>
          <w:sz w:val="21"/>
          <w:spacing w:val="-6"/>
        </w:rPr>
        <w:t>材料、能源、环境、装备、信息等方面具有重要科学意义和应用价值的基础研究项目</w:t>
      </w:r>
      <w:r>
        <w:rPr>
          <w:rFonts w:ascii="宋体" w:hAnsi="宋体" w:cs="宋体" w:eastAsia="宋体" w:hint="ascii"/>
          <w:sz w:val="21"/>
        </w:rPr>
        <w:t>。</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本联合基金的申请、评审和管理按照《国家自然科学基金联合基金项目管理办法》</w:t>
      </w:r>
    </w:p>
    <w:p>
      <w:pPr>
        <w:autoSpaceDE w:val="0"/>
        <w:autoSpaceDN w:val="0"/>
        <w:jc w:val="both"/>
        <w:spacing w:before="13" w:after="0" w:lineRule="exact" w:line="330"/>
        <w:ind w:right="966" w:left="966" w:firstLine="0"/>
        <w:snapToGrid w:val="0"/>
        <w:textAlignment w:val="auto"/>
        <w:tabs/>
        <w:rPr>
          <w:rFonts w:ascii="宋体" w:hAnsi="宋体" w:cs="宋体" w:eastAsia="宋体" w:hint="ascii"/>
          <w:sz w:val="21"/>
        </w:rPr>
      </w:pPr>
      <w:r>
        <w:rPr>
          <w:rFonts w:ascii="宋体" w:hAnsi="宋体" w:cs="宋体" w:eastAsia="宋体" w:hint="ascii"/>
          <w:sz w:val="21"/>
        </w:rPr>
        <w:t>执行。自然科学基金委和中国宝武钢铁集团有限公司共同管理，自然科学基金委工程与材料科学部负责受理并组织评审。</w:t>
      </w:r>
    </w:p>
    <w:p>
      <w:pPr>
        <w:autoSpaceDE w:val="0"/>
        <w:autoSpaceDN w:val="0"/>
        <w:jc w:val="both"/>
        <w:spacing w:before="0" w:after="0" w:lineRule="exact" w:line="330"/>
        <w:ind w:right="966" w:left="966" w:firstLine="420"/>
        <w:snapToGrid w:val="0"/>
        <w:textAlignment w:val="auto"/>
        <w:tabs/>
        <w:rPr>
          <w:rFonts w:ascii="宋体" w:hAnsi="宋体" w:cs="宋体" w:eastAsia="宋体" w:hint="ascii"/>
          <w:sz w:val="21"/>
        </w:rPr>
      </w:pPr>
      <w:r>
        <w:rPr>
          <w:rFonts w:ascii="宋体" w:hAnsi="宋体" w:cs="宋体" w:eastAsia="宋体" w:hint="ascii"/>
          <w:sz w:val="21"/>
        </w:rPr>
        <w:t>本联合基金提倡学科交叉和产、学、研结合，优先支持青年科技人才，鼓励非冶金系统高等院校和研究机构申请，并鼓励进一步争取其他渠道经费的联合资助。</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年度培育项目鼓励方向</w:t>
      </w:r>
    </w:p>
    <w:p>
      <w:pPr>
        <w:autoSpaceDE w:val="0"/>
        <w:autoSpaceDN w:val="0"/>
        <w:jc w:val="left"/>
        <w:spacing w:before="1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）高炉炼铁与煤气化耦合联产工艺技术基础理论；</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）干法协同脱除高炉煤气中硫和氯的机理；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）钢渣</w:t>
      </w:r>
      <w:r>
        <w:rPr>
          <w:rFonts w:ascii="Times New Roman" w:hAnsi="Times New Roman" w:cs="Times New Roman" w:eastAsia="Times New Roman" w:hint="ascii"/>
          <w:sz w:val="21"/>
        </w:rPr>
        <w:t>/</w:t>
      </w:r>
      <w:r>
        <w:rPr>
          <w:rFonts w:ascii="宋体" w:hAnsi="宋体" w:cs="宋体" w:eastAsia="宋体" w:hint="ascii"/>
          <w:sz w:val="21"/>
        </w:rPr>
        <w:t>污泥耦合流态化处理技术及相关基础理论；</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）高铝钢连铸坯表面纵裂纹形成机理及控制；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）高品质钢连铸坯凝固组织与碳偏析形貌本构关系；</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）超高强钢汽车车身结构件低残余应力制造基础及应用；</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）超高强韧结构用无缝钢管的设计及焊接区域的组织调控方法；</w:t>
      </w:r>
    </w:p>
    <w:p>
      <w:pPr>
        <w:autoSpaceDE w:val="0"/>
        <w:autoSpaceDN w:val="0"/>
        <w:jc w:val="left"/>
        <w:spacing w:before="52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）高温高压油气井特殊螺纹环境密封性评估与设计方法；</w:t>
      </w:r>
      <w:r>
        <w:rPr>
          <w:rFonts w:ascii="宋体" w:hAnsi="宋体" w:cs="宋体" w:eastAsia="宋体" w:hint="ascii"/>
          <w:sz w:val="21"/>
        </w:rPr>
        <mc:AlternateContent>
          <mc:Choice Requires="wps">
            <w:drawing>
              <wp:anchor distL="0" distR="0" distT="0" distB="0" simplePos="0" behindDoc="1" relativeHeight="271" locked="0" layoutInCell="1" allowOverlap="1">
                <wp:simplePos x="0" y="0"/>
                <wp:positionH relativeFrom="page">
                  <wp:posOffset>938530</wp:posOffset>
                </wp:positionH>
                <wp:positionV relativeFrom="page">
                  <wp:posOffset>819150</wp:posOffset>
                </wp:positionV>
                <wp:extent cx="5076190" cy="0"/>
                <wp:wrapNone/>
                <wp:docPr id="1300" name="130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80736;width:399.70pt;" id="130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）闪速加热对高强韧冷轧带钢组织性能影响机理；</w:t>
      </w:r>
    </w:p>
    <w:p>
      <w:pPr>
        <w:autoSpaceDE w:val="0"/>
        <w:autoSpaceDN w:val="0"/>
        <w:jc w:val="left"/>
        <w:spacing w:before="49"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10</w:t>
      </w:r>
      <w:r>
        <w:rPr>
          <w:rFonts w:ascii="宋体" w:hAnsi="宋体" w:cs="宋体" w:eastAsia="宋体" w:hint="ascii"/>
          <w:sz w:val="21"/>
        </w:rPr>
        <w:t>）节镍型亚稳态奥氏体不锈钢韧化机制；</w:t>
      </w:r>
    </w:p>
    <w:p>
      <w:pPr>
        <w:autoSpaceDE w:val="0"/>
        <w:autoSpaceDN w:val="0"/>
        <w:jc w:val="left"/>
        <w:spacing w:before="49"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5"/>
        </w:rPr>
        <w:t>1</w:t>
      </w:r>
      <w:r>
        <w:rPr>
          <w:rFonts w:ascii="Times New Roman" w:hAnsi="Times New Roman" w:cs="Times New Roman" w:eastAsia="Times New Roman" w:hint="ascii"/>
          <w:sz w:val="21"/>
        </w:rPr>
        <w:t>1</w:t>
      </w:r>
      <w:r>
        <w:rPr>
          <w:rFonts w:ascii="宋体" w:hAnsi="宋体" w:cs="宋体" w:eastAsia="宋体" w:hint="ascii"/>
          <w:sz w:val="21"/>
        </w:rPr>
        <w:t>）高硅电工钢微合金化、定向凝固及控制轧制成形基础理论；</w:t>
      </w:r>
    </w:p>
    <w:p>
      <w:pPr>
        <w:autoSpaceDE w:val="0"/>
        <w:autoSpaceDN w:val="0"/>
        <w:jc w:val="both"/>
        <w:spacing w:before="10" w:after="0" w:lineRule="exact" w:line="312"/>
        <w:ind w:right="982" w:left="966" w:firstLine="322"/>
        <w:snapToGrid w:val="0"/>
        <w:textAlignment w:val="auto"/>
        <w:tabs/>
        <w:rPr>
          <w:rFonts w:ascii="宋体" w:hAnsi="宋体" w:cs="宋体" w:eastAsia="宋体" w:hint="ascii"/>
          <w:sz w:val="21"/>
        </w:rPr>
      </w:pPr>
      <w:r>
        <w:rPr>
          <w:rFonts w:ascii="宋体" w:hAnsi="宋体" w:cs="宋体" w:eastAsia="宋体" w:hint="ascii"/>
          <w:sz w:val="21"/>
          <w:spacing w:val="3"/>
        </w:rPr>
        <w:t>（</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spacing w:val="8"/>
        </w:rPr>
        <w:t>2</w:t>
      </w:r>
      <w:r>
        <w:rPr>
          <w:rFonts w:ascii="宋体" w:hAnsi="宋体" w:cs="宋体" w:eastAsia="宋体" w:hint="ascii"/>
          <w:sz w:val="21"/>
          <w:spacing w:val="3"/>
        </w:rPr>
        <w:t>）</w:t>
      </w:r>
      <w:r>
        <w:rPr>
          <w:rFonts w:ascii="宋体" w:hAnsi="宋体" w:cs="宋体" w:eastAsia="宋体" w:hint="ascii"/>
          <w:sz w:val="21"/>
          <w:spacing w:val="1"/>
        </w:rPr>
        <w:t>基</w:t>
      </w:r>
      <w:r>
        <w:rPr>
          <w:rFonts w:ascii="宋体" w:hAnsi="宋体" w:cs="宋体" w:eastAsia="宋体" w:hint="ascii"/>
          <w:sz w:val="21"/>
          <w:spacing w:val="2"/>
        </w:rPr>
        <w:t>于</w:t>
      </w:r>
      <w:r>
        <w:rPr>
          <w:rFonts w:ascii="宋体" w:hAnsi="宋体" w:cs="宋体" w:eastAsia="宋体" w:hint="ascii"/>
          <w:sz w:val="21"/>
          <w:spacing w:val="1"/>
        </w:rPr>
        <w:t>低</w:t>
      </w:r>
      <w:r>
        <w:rPr>
          <w:rFonts w:ascii="宋体" w:hAnsi="宋体" w:cs="宋体" w:eastAsia="宋体" w:hint="ascii"/>
          <w:sz w:val="21"/>
          <w:spacing w:val="2"/>
        </w:rPr>
        <w:t>能</w:t>
      </w:r>
      <w:r>
        <w:rPr>
          <w:rFonts w:ascii="宋体" w:hAnsi="宋体" w:cs="宋体" w:eastAsia="宋体" w:hint="ascii"/>
          <w:sz w:val="21"/>
          <w:spacing w:val="1"/>
        </w:rPr>
        <w:t>界</w:t>
      </w:r>
      <w:r>
        <w:rPr>
          <w:rFonts w:ascii="宋体" w:hAnsi="宋体" w:cs="宋体" w:eastAsia="宋体" w:hint="ascii"/>
          <w:sz w:val="21"/>
          <w:spacing w:val="2"/>
        </w:rPr>
        <w:t>面</w:t>
      </w:r>
      <w:r>
        <w:rPr>
          <w:rFonts w:ascii="宋体" w:hAnsi="宋体" w:cs="宋体" w:eastAsia="宋体" w:hint="ascii"/>
          <w:sz w:val="21"/>
          <w:spacing w:val="1"/>
        </w:rPr>
        <w:t>调控</w:t>
      </w:r>
      <w:r>
        <w:rPr>
          <w:rFonts w:ascii="宋体" w:hAnsi="宋体" w:cs="宋体" w:eastAsia="宋体" w:hint="ascii"/>
          <w:sz w:val="21"/>
          <w:spacing w:val="2"/>
        </w:rPr>
        <w:t>的</w:t>
      </w:r>
      <w:r>
        <w:rPr>
          <w:rFonts w:ascii="宋体" w:hAnsi="宋体" w:cs="宋体" w:eastAsia="宋体" w:hint="ascii"/>
          <w:sz w:val="21"/>
          <w:spacing w:val="1"/>
        </w:rPr>
        <w:t>强</w:t>
      </w:r>
      <w:r>
        <w:rPr>
          <w:rFonts w:ascii="宋体" w:hAnsi="宋体" w:cs="宋体" w:eastAsia="宋体" w:hint="ascii"/>
          <w:sz w:val="21"/>
          <w:spacing w:val="2"/>
        </w:rPr>
        <w:t>有</w:t>
      </w:r>
      <w:r>
        <w:rPr>
          <w:rFonts w:ascii="宋体" w:hAnsi="宋体" w:cs="宋体" w:eastAsia="宋体" w:hint="ascii"/>
          <w:sz w:val="21"/>
          <w:spacing w:val="1"/>
        </w:rPr>
        <w:t>序析</w:t>
      </w:r>
      <w:r>
        <w:rPr>
          <w:rFonts w:ascii="宋体" w:hAnsi="宋体" w:cs="宋体" w:eastAsia="宋体" w:hint="ascii"/>
          <w:sz w:val="21"/>
          <w:spacing w:val="2"/>
        </w:rPr>
        <w:t>出</w:t>
      </w:r>
      <w:r>
        <w:rPr>
          <w:rFonts w:ascii="宋体" w:hAnsi="宋体" w:cs="宋体" w:eastAsia="宋体" w:hint="ascii"/>
          <w:sz w:val="21"/>
          <w:spacing w:val="1"/>
        </w:rPr>
        <w:t>增</w:t>
      </w:r>
      <w:r>
        <w:rPr>
          <w:rFonts w:ascii="宋体" w:hAnsi="宋体" w:cs="宋体" w:eastAsia="宋体" w:hint="ascii"/>
          <w:sz w:val="21"/>
          <w:spacing w:val="2"/>
        </w:rPr>
        <w:t>强</w:t>
      </w:r>
      <w:r>
        <w:rPr>
          <w:rFonts w:ascii="宋体" w:hAnsi="宋体" w:cs="宋体" w:eastAsia="宋体" w:hint="ascii"/>
          <w:sz w:val="21"/>
          <w:spacing w:val="1"/>
        </w:rPr>
        <w:t>超高</w:t>
      </w:r>
      <w:r>
        <w:rPr>
          <w:rFonts w:ascii="宋体" w:hAnsi="宋体" w:cs="宋体" w:eastAsia="宋体" w:hint="ascii"/>
          <w:sz w:val="21"/>
          <w:spacing w:val="2"/>
        </w:rPr>
        <w:t>强</w:t>
      </w:r>
      <w:r>
        <w:rPr>
          <w:rFonts w:ascii="宋体" w:hAnsi="宋体" w:cs="宋体" w:eastAsia="宋体" w:hint="ascii"/>
          <w:sz w:val="21"/>
          <w:spacing w:val="1"/>
        </w:rPr>
        <w:t>钢</w:t>
      </w:r>
      <w:r>
        <w:rPr>
          <w:rFonts w:ascii="宋体" w:hAnsi="宋体" w:cs="宋体" w:eastAsia="宋体" w:hint="ascii"/>
          <w:sz w:val="21"/>
          <w:spacing w:val="2"/>
        </w:rPr>
        <w:t>铁</w:t>
      </w:r>
      <w:r>
        <w:rPr>
          <w:rFonts w:ascii="宋体" w:hAnsi="宋体" w:cs="宋体" w:eastAsia="宋体" w:hint="ascii"/>
          <w:sz w:val="21"/>
          <w:spacing w:val="1"/>
        </w:rPr>
        <w:t>材料</w:t>
      </w:r>
      <w:r>
        <w:rPr>
          <w:rFonts w:ascii="宋体" w:hAnsi="宋体" w:cs="宋体" w:eastAsia="宋体" w:hint="ascii"/>
          <w:sz w:val="21"/>
          <w:spacing w:val="2"/>
        </w:rPr>
        <w:t>的</w:t>
      </w:r>
      <w:r>
        <w:rPr>
          <w:rFonts w:ascii="宋体" w:hAnsi="宋体" w:cs="宋体" w:eastAsia="宋体" w:hint="ascii"/>
          <w:sz w:val="21"/>
          <w:spacing w:val="1"/>
        </w:rPr>
        <w:t>合</w:t>
      </w:r>
      <w:r>
        <w:rPr>
          <w:rFonts w:ascii="宋体" w:hAnsi="宋体" w:cs="宋体" w:eastAsia="宋体" w:hint="ascii"/>
          <w:sz w:val="21"/>
          <w:spacing w:val="2"/>
        </w:rPr>
        <w:t>金</w:t>
      </w:r>
      <w:r>
        <w:rPr>
          <w:rFonts w:ascii="宋体" w:hAnsi="宋体" w:cs="宋体" w:eastAsia="宋体" w:hint="ascii"/>
          <w:sz w:val="21"/>
          <w:spacing w:val="1"/>
        </w:rPr>
        <w:t>设计</w:t>
      </w:r>
      <w:r>
        <w:rPr>
          <w:rFonts w:ascii="宋体" w:hAnsi="宋体" w:cs="宋体" w:eastAsia="宋体" w:hint="ascii"/>
          <w:sz w:val="21"/>
          <w:spacing w:val="2"/>
        </w:rPr>
        <w:t>及</w:t>
      </w:r>
      <w:r>
        <w:rPr>
          <w:rFonts w:ascii="宋体" w:hAnsi="宋体" w:cs="宋体" w:eastAsia="宋体" w:hint="ascii"/>
          <w:sz w:val="21"/>
          <w:spacing w:val="1"/>
        </w:rPr>
        <w:t>强</w:t>
      </w:r>
      <w:r>
        <w:rPr>
          <w:rFonts w:ascii="宋体" w:hAnsi="宋体" w:cs="宋体" w:eastAsia="宋体" w:hint="ascii"/>
          <w:sz w:val="21"/>
          <w:spacing w:val="2"/>
        </w:rPr>
        <w:t>韧</w:t>
      </w:r>
      <w:r>
        <w:rPr>
          <w:rFonts w:ascii="宋体" w:hAnsi="宋体" w:cs="宋体" w:eastAsia="宋体" w:hint="ascii"/>
          <w:sz w:val="21"/>
          <w:spacing w:val="-6"/>
        </w:rPr>
        <w:t>化</w:t>
      </w:r>
      <w:r>
        <w:rPr>
          <w:rFonts w:ascii="宋体" w:hAnsi="宋体" w:cs="宋体" w:eastAsia="宋体" w:hint="ascii"/>
          <w:sz w:val="21"/>
        </w:rPr>
        <w:t>机制；</w:t>
      </w:r>
    </w:p>
    <w:p>
      <w:pPr>
        <w:autoSpaceDE w:val="0"/>
        <w:autoSpaceDN w:val="0"/>
        <w:jc w:val="left"/>
        <w:spacing w:before="40"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13</w:t>
      </w:r>
      <w:r>
        <w:rPr>
          <w:rFonts w:ascii="宋体" w:hAnsi="宋体" w:cs="宋体" w:eastAsia="宋体" w:hint="ascii"/>
          <w:sz w:val="21"/>
        </w:rPr>
        <w:t>）包装材覆膜铁用薄膜关键技术基础；</w:t>
      </w:r>
    </w:p>
    <w:p>
      <w:pPr>
        <w:autoSpaceDE w:val="0"/>
        <w:autoSpaceDN w:val="0"/>
        <w:jc w:val="left"/>
        <w:spacing w:before="49"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14</w:t>
      </w:r>
      <w:r>
        <w:rPr>
          <w:rFonts w:ascii="宋体" w:hAnsi="宋体" w:cs="宋体" w:eastAsia="宋体" w:hint="ascii"/>
          <w:sz w:val="21"/>
        </w:rPr>
        <w:t>）板带材生产过程的多工序关键运行指标综合协调优化。</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年度重点支持项目领域</w:t>
      </w:r>
    </w:p>
    <w:p>
      <w:pPr>
        <w:autoSpaceDE w:val="0"/>
        <w:autoSpaceDN w:val="0"/>
        <w:jc w:val="both"/>
        <w:spacing w:before="157"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）新型功能化冶金耐火材料制备、夹杂物在钢渣</w:t>
      </w:r>
      <w:r>
        <w:rPr>
          <w:rFonts w:ascii="Times New Roman" w:hAnsi="Times New Roman" w:cs="Times New Roman" w:eastAsia="Times New Roman" w:hint="ascii"/>
          <w:sz w:val="21"/>
        </w:rPr>
        <w:t>/</w:t>
      </w:r>
      <w:r>
        <w:rPr>
          <w:rFonts w:ascii="宋体" w:hAnsi="宋体" w:cs="宋体" w:eastAsia="宋体" w:hint="ascii"/>
          <w:sz w:val="21"/>
        </w:rPr>
        <w:t>钢与耐火材料界面的关键基础科学问题（申请代</w:t>
      </w:r>
      <w:r>
        <w:rPr>
          <w:rFonts w:ascii="宋体" w:hAnsi="宋体" w:cs="宋体" w:eastAsia="宋体" w:hint="ascii"/>
          <w:sz w:val="21"/>
          <w:spacing w:val="26"/>
        </w:rPr>
        <w:t>码</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E042202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）热轧高温氧化控制用表面改性材料研发及应用基础（申请代</w:t>
      </w:r>
      <w:r>
        <w:rPr>
          <w:rFonts w:ascii="宋体" w:hAnsi="宋体" w:cs="宋体" w:eastAsia="宋体" w:hint="ascii"/>
          <w:sz w:val="21"/>
          <w:spacing w:val="26"/>
        </w:rPr>
        <w:t>码</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E0412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4"/>
        </w:rPr>
        <w:t>3</w:t>
      </w:r>
      <w:r>
        <w:rPr>
          <w:rFonts w:ascii="宋体" w:hAnsi="宋体" w:cs="宋体" w:eastAsia="宋体" w:hint="ascii"/>
          <w:sz w:val="21"/>
          <w:spacing w:val="1"/>
        </w:rPr>
        <w:t>）热轧无缝钢管在线控制冷却机制及形变</w:t>
      </w:r>
      <w:r>
        <w:rPr>
          <w:rFonts w:ascii="Times New Roman" w:hAnsi="Times New Roman" w:cs="Times New Roman" w:eastAsia="Times New Roman" w:hint="ascii"/>
          <w:sz w:val="21"/>
          <w:spacing w:val="4"/>
        </w:rPr>
        <w:t>/</w:t>
      </w:r>
      <w:r>
        <w:rPr>
          <w:rFonts w:ascii="宋体" w:hAnsi="宋体" w:cs="宋体" w:eastAsia="宋体" w:hint="ascii"/>
          <w:sz w:val="21"/>
          <w:spacing w:val="1"/>
        </w:rPr>
        <w:t>相变一体化在线组织调控（申请代</w:t>
      </w:r>
      <w:r>
        <w:rPr>
          <w:rFonts w:ascii="宋体" w:hAnsi="宋体" w:cs="宋体" w:eastAsia="宋体" w:hint="ascii"/>
          <w:sz w:val="21"/>
          <w:spacing w:val="-3"/>
        </w:rPr>
        <w:t>码</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E0416</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8" w:left="861" w:firstLine="42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）超超临</w:t>
      </w:r>
      <w:r>
        <w:rPr>
          <w:rFonts w:ascii="宋体" w:hAnsi="宋体" w:cs="宋体" w:eastAsia="宋体" w:hint="ascii"/>
          <w:sz w:val="21"/>
        </w:rPr>
        <w:t>界燃煤电站用奥氏体耐热钢中非金属组元对析出相演变的交互作用机理（申请代</w:t>
      </w:r>
      <w:r>
        <w:rPr>
          <w:rFonts w:ascii="宋体" w:hAnsi="宋体" w:cs="宋体" w:eastAsia="宋体" w:hint="ascii"/>
          <w:sz w:val="21"/>
          <w:spacing w:val="26"/>
        </w:rPr>
        <w:t>码</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E0104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）钢铁冶金全过程多污染物协同控制机理（申请代</w:t>
      </w:r>
      <w:r>
        <w:rPr>
          <w:rFonts w:ascii="宋体" w:hAnsi="宋体" w:cs="宋体" w:eastAsia="宋体" w:hint="ascii"/>
          <w:sz w:val="21"/>
          <w:spacing w:val="26"/>
        </w:rPr>
        <w:t>码</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E0420</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）钢铁工业新工艺、新技术领域自由申请重点项目（申请代</w:t>
      </w:r>
      <w:r>
        <w:rPr>
          <w:rFonts w:ascii="宋体" w:hAnsi="宋体" w:cs="宋体" w:eastAsia="宋体" w:hint="ascii"/>
          <w:sz w:val="21"/>
          <w:spacing w:val="26"/>
        </w:rPr>
        <w:t>码</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E0422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）钢铁工业相关能源和环保领域自由申请重点项目（申请代</w:t>
      </w:r>
      <w:r>
        <w:rPr>
          <w:rFonts w:ascii="宋体" w:hAnsi="宋体" w:cs="宋体" w:eastAsia="宋体" w:hint="ascii"/>
          <w:sz w:val="21"/>
          <w:spacing w:val="26"/>
        </w:rPr>
        <w:t>码</w:t>
      </w:r>
      <w:r>
        <w:rPr>
          <w:rFonts w:ascii="Times New Roman" w:hAnsi="Times New Roman" w:cs="Times New Roman" w:eastAsia="Times New Roman" w:hint="ascii"/>
          <w:sz w:val="21"/>
        </w:rPr>
        <w:t>2</w:t>
      </w:r>
      <w:r>
        <w:rPr>
          <w:rFonts w:ascii="宋体" w:hAnsi="宋体" w:cs="宋体" w:eastAsia="宋体" w:hint="ascii"/>
          <w:sz w:val="21"/>
        </w:rPr>
        <w:t>：</w:t>
      </w:r>
      <w:r>
        <w:rPr>
          <w:rFonts w:ascii="Times New Roman" w:hAnsi="Times New Roman" w:cs="Times New Roman" w:eastAsia="Times New Roman" w:hint="ascii"/>
          <w:sz w:val="21"/>
        </w:rPr>
        <w:t>E0414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根据申请与评审情况，从上述领域中选</w:t>
      </w:r>
      <w:r>
        <w:rPr>
          <w:rFonts w:ascii="宋体" w:hAnsi="宋体" w:cs="宋体" w:eastAsia="宋体" w:hint="ascii"/>
          <w:sz w:val="21"/>
          <w:spacing w:val="26"/>
        </w:rPr>
        <w:t>出</w:t>
      </w:r>
      <w:r>
        <w:rPr>
          <w:rFonts w:ascii="Times New Roman" w:hAnsi="Times New Roman" w:cs="Times New Roman" w:eastAsia="Times New Roman" w:hint="ascii"/>
          <w:sz w:val="21"/>
        </w:rPr>
        <w:t>5</w:t>
      </w:r>
      <w:r>
        <w:rPr>
          <w:rFonts w:ascii="宋体" w:hAnsi="宋体" w:cs="宋体" w:eastAsia="宋体" w:hint="ascii"/>
          <w:sz w:val="21"/>
        </w:rPr>
        <w:t>～</w:t>
      </w:r>
      <w:r>
        <w:rPr>
          <w:rFonts w:ascii="Times New Roman" w:hAnsi="Times New Roman" w:cs="Times New Roman" w:eastAsia="Times New Roman" w:hint="ascii"/>
          <w:sz w:val="21"/>
          <w:spacing w:val="52"/>
        </w:rPr>
        <w:t>8</w:t>
      </w:r>
      <w:r>
        <w:rPr>
          <w:rFonts w:ascii="宋体" w:hAnsi="宋体" w:cs="宋体" w:eastAsia="宋体" w:hint="ascii"/>
          <w:sz w:val="21"/>
        </w:rPr>
        <w:t>个重点项目予以资助。</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left"/>
        <w:spacing w:before="1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）申请项目应当符合本《指南》研究领域范围与要求，申请书资助类别选择“联</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合基金项目</w:t>
      </w:r>
      <w:r>
        <w:rPr>
          <w:rFonts w:ascii="宋体" w:hAnsi="宋体" w:cs="宋体" w:eastAsia="宋体" w:hint="ascii"/>
          <w:sz w:val="21"/>
          <w:spacing w:val="-52"/>
        </w:rPr>
        <w:t>”</w:t>
      </w:r>
      <w:r>
        <w:rPr>
          <w:rFonts w:ascii="宋体" w:hAnsi="宋体" w:cs="宋体" w:eastAsia="宋体" w:hint="ascii"/>
          <w:sz w:val="21"/>
        </w:rPr>
        <w:t>，亚类说明选择“培育项目”或“重点支持项目</w:t>
      </w:r>
      <w:r>
        <w:rPr>
          <w:rFonts w:ascii="宋体" w:hAnsi="宋体" w:cs="宋体" w:eastAsia="宋体" w:hint="ascii"/>
          <w:sz w:val="21"/>
          <w:spacing w:val="-52"/>
        </w:rPr>
        <w:t>”</w:t>
      </w:r>
      <w:r>
        <w:rPr>
          <w:rFonts w:ascii="宋体" w:hAnsi="宋体" w:cs="宋体" w:eastAsia="宋体" w:hint="ascii"/>
          <w:sz w:val="21"/>
        </w:rPr>
        <w:t>，附注说明选择“钢铁联合研究基金</w:t>
      </w:r>
      <w:r>
        <w:rPr>
          <w:rFonts w:ascii="宋体" w:hAnsi="宋体" w:cs="宋体" w:eastAsia="宋体" w:hint="ascii"/>
          <w:sz w:val="21"/>
          <w:spacing w:val="-53"/>
        </w:rPr>
        <w:t>”</w:t>
      </w:r>
      <w:r>
        <w:rPr>
          <w:rFonts w:ascii="宋体" w:hAnsi="宋体" w:cs="宋体" w:eastAsia="宋体" w:hint="ascii"/>
          <w:sz w:val="21"/>
        </w:rPr>
        <w:t>；申请代码</w:t>
      </w:r>
      <w:r>
        <w:rPr>
          <w:rFonts w:ascii="宋体" w:hAnsi="宋体" w:cs="宋体" w:eastAsia="宋体" w:hint="ascii"/>
          <w:sz w:val="21"/>
          <w:spacing w:val="-1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6"/>
        </w:rPr>
        <w:t xml:space="preserve"> </w:t>
      </w:r>
      <w:r>
        <w:rPr>
          <w:rFonts w:ascii="宋体" w:hAnsi="宋体" w:cs="宋体" w:eastAsia="宋体" w:hint="ascii"/>
          <w:sz w:val="21"/>
        </w:rPr>
        <w:t>必须填写“</w:t>
      </w:r>
      <w:r>
        <w:rPr>
          <w:rFonts w:ascii="Times New Roman" w:hAnsi="Times New Roman" w:cs="Times New Roman" w:eastAsia="Times New Roman" w:hint="ascii"/>
          <w:sz w:val="21"/>
        </w:rPr>
        <w:t>E04</w:t>
      </w:r>
      <w:r>
        <w:rPr>
          <w:rFonts w:ascii="宋体" w:hAnsi="宋体" w:cs="宋体" w:eastAsia="宋体" w:hint="ascii"/>
          <w:sz w:val="21"/>
          <w:spacing w:val="-52"/>
        </w:rPr>
        <w:t>”</w:t>
      </w:r>
      <w:r>
        <w:rPr>
          <w:rFonts w:ascii="宋体" w:hAnsi="宋体" w:cs="宋体" w:eastAsia="宋体" w:hint="ascii"/>
          <w:sz w:val="21"/>
        </w:rPr>
        <w:t>，申请代码</w:t>
      </w:r>
      <w:r>
        <w:rPr>
          <w:rFonts w:ascii="宋体" w:hAnsi="宋体" w:cs="宋体" w:eastAsia="宋体" w:hint="ascii"/>
          <w:sz w:val="21"/>
          <w:spacing w:val="-1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6"/>
        </w:rPr>
        <w:t xml:space="preserve"> </w:t>
      </w:r>
      <w:r>
        <w:rPr>
          <w:rFonts w:ascii="宋体" w:hAnsi="宋体" w:cs="宋体" w:eastAsia="宋体" w:hint="ascii"/>
          <w:sz w:val="21"/>
        </w:rPr>
        <w:t>根据项目研究领域自行选择相应的申请代码（重点支持项目按照指南要求填写</w:t>
      </w:r>
      <w:r>
        <w:rPr>
          <w:rFonts w:ascii="宋体" w:hAnsi="宋体" w:cs="宋体" w:eastAsia="宋体" w:hint="ascii"/>
          <w:sz w:val="21"/>
          <w:spacing w:val="-50"/>
        </w:rPr>
        <w:t>）</w:t>
      </w:r>
      <w:r>
        <w:rPr>
          <w:rFonts w:ascii="宋体" w:hAnsi="宋体" w:cs="宋体" w:eastAsia="宋体" w:hint="ascii"/>
          <w:sz w:val="21"/>
        </w:rPr>
        <w:t>。请特别注意研究期限必须符合《指南》要求。</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）申请本</w:t>
      </w:r>
      <w:r>
        <w:rPr>
          <w:rFonts w:ascii="宋体" w:hAnsi="宋体" w:cs="宋体" w:eastAsia="宋体" w:hint="ascii"/>
          <w:sz w:val="21"/>
        </w:rPr>
        <w:t>联合基金的“重点支持项目”的申请人应当具有高级专业技术职务（职称</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）本联合</w:t>
      </w:r>
      <w:r>
        <w:rPr>
          <w:rFonts w:ascii="宋体" w:hAnsi="宋体" w:cs="宋体" w:eastAsia="宋体" w:hint="ascii"/>
          <w:sz w:val="21"/>
        </w:rPr>
        <w:t>基金项目与科学基金其他相关类型项目共同限项申请，限制申请和承担项目总数及其共同限项项目类型见本《指南》中的限项申请规定。</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）凡与中</w:t>
      </w:r>
      <w:r>
        <w:rPr>
          <w:rFonts w:ascii="宋体" w:hAnsi="宋体" w:cs="宋体" w:eastAsia="宋体" w:hint="ascii"/>
          <w:sz w:val="21"/>
        </w:rPr>
        <w:t>国宝武钢铁集团有限公司下属单位联合申请的项目，应当在中国宝武钢铁集团有限公司科技创新部备案。</w:t>
      </w:r>
    </w:p>
    <w:p>
      <w:pPr>
        <w:autoSpaceDE w:val="0"/>
        <w:autoSpaceDN w:val="0"/>
        <w:jc w:val="left"/>
        <w:spacing w:before="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）项目获资助后，资助项目形成的有关论文、专著、研究报告、软件、专利及鉴定、获奖、成果报道等，应当标注“国家自然科学基金委员会</w:t>
      </w:r>
      <w:r>
        <w:rPr>
          <w:rFonts w:ascii="宋体" w:hAnsi="宋体" w:cs="宋体" w:eastAsia="宋体" w:hint="ascii"/>
          <w:sz w:val="21"/>
        </w:rPr>
        <w:t>-</w:t>
      </w:r>
      <w:r>
        <w:rPr>
          <w:rFonts w:ascii="宋体" w:hAnsi="宋体" w:cs="宋体" w:eastAsia="宋体" w:hint="ascii"/>
          <w:sz w:val="21"/>
        </w:rPr>
        <w:t>中国宝武钢铁集团有限</w:t>
      </w:r>
      <w:r>
        <w:rPr>
          <w:rFonts w:ascii="宋体" w:hAnsi="宋体" w:cs="宋体" w:eastAsia="宋体" w:hint="ascii"/>
          <w:sz w:val="21"/>
          <w:spacing w:val="-2"/>
        </w:rPr>
        <w:t>公司钢铁联合研究基金资助（</w:t>
      </w:r>
      <w:r>
        <w:rPr>
          <w:rFonts w:ascii="宋体" w:hAnsi="宋体" w:cs="宋体" w:eastAsia="宋体" w:hint="ascii"/>
          <w:sz w:val="21"/>
          <w:spacing w:val="-1"/>
        </w:rPr>
        <w:t>项目批准号</w:t>
      </w:r>
      <w:r>
        <w:rPr>
          <w:rFonts w:ascii="宋体" w:hAnsi="宋体" w:cs="宋体" w:eastAsia="宋体" w:hint="ascii"/>
          <w:sz w:val="21"/>
          <w:spacing w:val="-53"/>
        </w:rPr>
        <w:t>）”</w:t>
      </w:r>
      <w:r>
        <w:rPr>
          <w:rFonts w:ascii="宋体" w:hAnsi="宋体" w:cs="宋体" w:eastAsia="宋体" w:hint="ascii"/>
          <w:sz w:val="21"/>
          <w:spacing w:val="-1"/>
        </w:rPr>
        <w:t>，如涉及中国宝武钢铁集团有限公司有关生</w:t>
      </w:r>
      <w:r>
        <w:rPr>
          <w:rFonts w:ascii="宋体" w:hAnsi="宋体" w:cs="宋体" w:eastAsia="宋体" w:hint="ascii"/>
          <w:sz w:val="21"/>
        </w:rPr>
        <w:t xml:space="preserve"> 产和技术秘密，应当经中国宝武钢铁集团有限公司审查同意。</w:t>
      </w:r>
    </w:p>
    <w:p>
      <w:pPr>
        <w:autoSpaceDE w:val="0"/>
        <w:autoSpaceDN w:val="0"/>
        <w:jc w:val="left"/>
        <w:spacing w:before="590"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四、联系方式</w:t>
      </w:r>
      <w:r>
        <w:rPr>
          <w:rFonts w:ascii="宋体" w:hAnsi="宋体" w:cs="宋体" w:eastAsia="宋体" w:hint="ascii"/>
        </w:rPr>
        <mc:AlternateContent>
          <mc:Choice Requires="wps">
            <w:drawing>
              <wp:anchor distL="0" distR="0" distT="0" distB="0" simplePos="0" behindDoc="1" relativeHeight="272" locked="0" layoutInCell="1" allowOverlap="1">
                <wp:simplePos x="0" y="0"/>
                <wp:positionH relativeFrom="page">
                  <wp:posOffset>938530</wp:posOffset>
                </wp:positionH>
                <wp:positionV relativeFrom="page">
                  <wp:posOffset>805815</wp:posOffset>
                </wp:positionV>
                <wp:extent cx="5076190" cy="0"/>
                <wp:wrapNone/>
                <wp:docPr id="1301" name="130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79712;width:399.70pt;" id="130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07" w:after="0" w:lineRule="exact" w:line="250"/>
        <w:ind w:right="0" w:left="1372"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0"/>
        </w:rPr>
      </w:pPr>
      <w:r>
        <w:rPr>
          <w:rFonts w:ascii="宋体" w:hAnsi="宋体" w:cs="宋体" w:eastAsia="宋体" w:hint="ascii"/>
          <w:sz w:val="20"/>
          <w:spacing w:val="-3"/>
        </w:rPr>
        <w:t>国家自然科学基金委员会工程与材料科学</w:t>
      </w:r>
      <w:r>
        <w:rPr>
          <w:rFonts w:ascii="宋体" w:hAnsi="宋体" w:cs="宋体" w:eastAsia="宋体" w:hint="ascii"/>
          <w:sz w:val="20"/>
        </w:rPr>
        <w:t>部</w:t>
      </w:r>
      <w:r>
        <w:rPr>
          <w:rFonts w:ascii="宋体" w:hAnsi="宋体" w:cs="宋体" w:eastAsia="宋体" w:hint="ascii"/>
          <w:sz w:val="20"/>
          <w:spacing w:val="23"/>
        </w:rPr>
        <w:t xml:space="preserve"> </w:t>
      </w:r>
      <w:r>
        <w:rPr>
          <w:rFonts w:ascii="宋体" w:hAnsi="宋体" w:cs="宋体" w:eastAsia="宋体" w:hint="ascii"/>
          <w:sz w:val="20"/>
          <w:spacing w:val="-3"/>
        </w:rPr>
        <w:t>中国宝武钢铁集团有限公司科技创新</w:t>
      </w:r>
      <w:r>
        <w:rPr>
          <w:rFonts w:ascii="宋体" w:hAnsi="宋体" w:cs="宋体" w:eastAsia="宋体" w:hint="ascii"/>
          <w:sz w:val="20"/>
        </w:rPr>
        <w:t>部</w:t>
      </w:r>
      <w:rPr>
        <w:rFonts w:ascii="宋体" w:hAnsi="宋体" w:cs="宋体" w:eastAsia="宋体" w:hint="ascii"/>
        <w:sz w:val="20"/>
      </w:rPr>
    </w:p>
    <w:p>
      <w:pPr>
        <w:autoSpaceDE w:val="0"/>
        <w:autoSpaceDN w:val="0"/>
        <w:jc w:val="both"/>
        <w:spacing w:before="12" w:after="0" w:lineRule="exact" w:line="312"/>
        <w:ind w:right="0" w:left="1372"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spacing w:val="-1"/>
        </w:rPr>
        <w:t>地</w:t>
      </w:r>
      <w:r>
        <w:rPr>
          <w:rFonts w:ascii="宋体" w:hAnsi="宋体" w:cs="宋体" w:eastAsia="宋体" w:hint="ascii"/>
          <w:sz w:val="20"/>
          <w:spacing w:val="136"/>
        </w:rPr>
        <w:t xml:space="preserve"> </w:t>
      </w:r>
      <w:r>
        <w:rPr>
          <w:rFonts w:ascii="宋体" w:hAnsi="宋体" w:cs="宋体" w:eastAsia="宋体" w:hint="ascii"/>
          <w:sz w:val="20"/>
          <w:spacing w:val="-4"/>
        </w:rPr>
        <w:t>址：北京</w:t>
      </w:r>
      <w:r>
        <w:rPr>
          <w:rFonts w:ascii="宋体" w:hAnsi="宋体" w:cs="宋体" w:eastAsia="宋体" w:hint="ascii"/>
          <w:sz w:val="20"/>
          <w:spacing w:val="-3"/>
        </w:rPr>
        <w:t>海淀区双清</w:t>
      </w:r>
      <w:r>
        <w:rPr>
          <w:rFonts w:ascii="宋体" w:hAnsi="宋体" w:cs="宋体" w:eastAsia="宋体" w:hint="ascii"/>
          <w:sz w:val="20"/>
          <w:spacing w:val="21"/>
        </w:rPr>
        <w:t>路</w:t>
      </w:r>
      <w:r>
        <w:rPr>
          <w:rFonts w:ascii="Times New Roman" w:hAnsi="Times New Roman" w:cs="Times New Roman" w:eastAsia="Times New Roman" w:hint="ascii"/>
          <w:sz w:val="20"/>
        </w:rPr>
        <w:t>8</w:t>
      </w:r>
      <w:r>
        <w:rPr>
          <w:rFonts w:ascii="Times New Roman" w:hAnsi="Times New Roman" w:cs="Times New Roman" w:eastAsia="Times New Roman" w:hint="ascii"/>
          <w:sz w:val="20"/>
          <w:spacing w:val="44"/>
        </w:rPr>
        <w:t>3</w:t>
      </w:r>
      <w:r>
        <w:rPr>
          <w:rFonts w:ascii="宋体" w:hAnsi="宋体" w:cs="宋体" w:eastAsia="宋体" w:hint="ascii"/>
          <w:sz w:val="20"/>
        </w:rPr>
        <w:t>号邮</w:t>
      </w:r>
      <w:r>
        <w:rPr>
          <w:rFonts w:ascii="宋体" w:hAnsi="宋体" w:cs="宋体" w:eastAsia="宋体" w:hint="ascii"/>
          <w:sz w:val="20"/>
          <w:spacing w:val="137"/>
        </w:rPr>
        <w:t xml:space="preserve"> </w:t>
      </w:r>
      <w:r>
        <w:rPr>
          <w:rFonts w:ascii="宋体" w:hAnsi="宋体" w:cs="宋体" w:eastAsia="宋体" w:hint="ascii"/>
          <w:sz w:val="20"/>
          <w:spacing w:val="-3"/>
        </w:rPr>
        <w:t>编：</w:t>
      </w:r>
      <w:r>
        <w:rPr>
          <w:rFonts w:ascii="Times New Roman" w:hAnsi="Times New Roman" w:cs="Times New Roman" w:eastAsia="Times New Roman" w:hint="ascii"/>
          <w:sz w:val="20"/>
          <w:spacing w:val="-3"/>
        </w:rPr>
        <w:t>100</w:t>
      </w:r>
      <w:r>
        <w:rPr>
          <w:rFonts w:ascii="Times New Roman" w:hAnsi="Times New Roman" w:cs="Times New Roman" w:eastAsia="Times New Roman" w:hint="ascii"/>
          <w:sz w:val="20"/>
          <w:spacing w:val="-4"/>
        </w:rPr>
        <w:t>0</w:t>
      </w:r>
      <w:r>
        <w:rPr>
          <w:rFonts w:ascii="Times New Roman" w:hAnsi="Times New Roman" w:cs="Times New Roman" w:eastAsia="Times New Roman" w:hint="ascii"/>
          <w:sz w:val="20"/>
          <w:spacing w:val="-3"/>
        </w:rPr>
        <w:t>8</w:t>
      </w:r>
      <w:r>
        <w:rPr>
          <w:rFonts w:ascii="Times New Roman" w:hAnsi="Times New Roman" w:cs="Times New Roman" w:eastAsia="Times New Roman" w:hint="ascii"/>
          <w:sz w:val="20"/>
        </w:rPr>
        <w:t>5</w:t>
      </w:r>
    </w:p>
    <w:p>
      <w:pPr>
        <w:autoSpaceDE w:val="0"/>
        <w:autoSpaceDN w:val="0"/>
        <w:jc w:val="left"/>
        <w:spacing w:before="50" w:after="0" w:lineRule="exact" w:line="250"/>
        <w:ind w:right="0" w:left="1372" w:firstLine="0"/>
        <w:snapToGrid w:val="0"/>
        <w:textAlignment w:val="auto"/>
        <w:tabs/>
        <w:rPr>
          <w:rFonts w:ascii="宋体" w:hAnsi="宋体" w:cs="宋体" w:eastAsia="宋体" w:hint="ascii"/>
          <w:sz w:val="20"/>
        </w:rPr>
      </w:pPr>
      <w:r>
        <w:rPr>
          <w:rFonts w:ascii="宋体" w:hAnsi="宋体" w:cs="宋体" w:eastAsia="宋体" w:hint="ascii"/>
          <w:sz w:val="20"/>
        </w:rPr>
        <w:t>联</w:t>
      </w:r>
      <w:r>
        <w:rPr>
          <w:rFonts w:ascii="宋体" w:hAnsi="宋体" w:cs="宋体" w:eastAsia="宋体" w:hint="ascii"/>
          <w:sz w:val="20"/>
          <w:spacing w:val="-6"/>
        </w:rPr>
        <w:t xml:space="preserve"> </w:t>
      </w:r>
      <w:r>
        <w:rPr>
          <w:rFonts w:ascii="宋体" w:hAnsi="宋体" w:cs="宋体" w:eastAsia="宋体" w:hint="ascii"/>
          <w:sz w:val="20"/>
        </w:rPr>
        <w:t>系</w:t>
      </w:r>
      <w:r>
        <w:rPr>
          <w:rFonts w:ascii="宋体" w:hAnsi="宋体" w:cs="宋体" w:eastAsia="宋体" w:hint="ascii"/>
          <w:sz w:val="20"/>
          <w:spacing w:val="-7"/>
        </w:rPr>
        <w:t xml:space="preserve"> </w:t>
      </w:r>
      <w:r>
        <w:rPr>
          <w:rFonts w:ascii="宋体" w:hAnsi="宋体" w:cs="宋体" w:eastAsia="宋体" w:hint="ascii"/>
          <w:sz w:val="20"/>
          <w:spacing w:val="-3"/>
        </w:rPr>
        <w:t>人：孙宏</w:t>
      </w:r>
      <w:r>
        <w:rPr>
          <w:rFonts w:ascii="宋体" w:hAnsi="宋体" w:cs="宋体" w:eastAsia="宋体" w:hint="ascii"/>
          <w:sz w:val="20"/>
        </w:rPr>
        <w:t>伟</w:t>
      </w:r>
    </w:p>
    <w:p>
      <w:pPr>
        <w:autoSpaceDE w:val="0"/>
        <w:autoSpaceDN w:val="0"/>
        <w:jc w:val="both"/>
        <w:spacing w:before="12" w:after="0" w:lineRule="exact" w:line="312"/>
        <w:ind w:right="46" w:left="1372"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spacing w:val="-2"/>
        </w:rPr>
        <w:t>电</w:t>
      </w:r>
      <w:r>
        <w:rPr>
          <w:rFonts w:ascii="宋体" w:hAnsi="宋体" w:cs="宋体" w:eastAsia="宋体" w:hint="ascii"/>
          <w:sz w:val="20"/>
          <w:spacing w:val="135"/>
        </w:rPr>
        <w:t xml:space="preserve"> </w:t>
      </w:r>
      <w:r>
        <w:rPr>
          <w:rFonts w:ascii="宋体" w:hAnsi="宋体" w:cs="宋体" w:eastAsia="宋体" w:hint="ascii"/>
          <w:sz w:val="20"/>
          <w:spacing w:val="-5"/>
        </w:rPr>
        <w:t>话：</w:t>
      </w:r>
      <w:r>
        <w:rPr>
          <w:rFonts w:ascii="Times New Roman" w:hAnsi="Times New Roman" w:cs="Times New Roman" w:eastAsia="Times New Roman" w:hint="ascii"/>
          <w:sz w:val="20"/>
          <w:spacing w:val="-5"/>
        </w:rPr>
        <w:t>010</w:t>
      </w:r>
      <w:r>
        <w:rPr>
          <w:rFonts w:ascii="宋体" w:hAnsi="宋体" w:cs="宋体" w:eastAsia="宋体" w:hint="ascii"/>
          <w:sz w:val="20"/>
          <w:spacing w:val="-6"/>
        </w:rPr>
        <w:t>-</w:t>
      </w:r>
      <w:r>
        <w:rPr>
          <w:rFonts w:ascii="Times New Roman" w:hAnsi="Times New Roman" w:cs="Times New Roman" w:eastAsia="Times New Roman" w:hint="ascii"/>
          <w:sz w:val="20"/>
          <w:spacing w:val="-5"/>
        </w:rPr>
        <w:t>623</w:t>
      </w:r>
      <w:r>
        <w:rPr>
          <w:rFonts w:ascii="Times New Roman" w:hAnsi="Times New Roman" w:cs="Times New Roman" w:eastAsia="Times New Roman" w:hint="ascii"/>
          <w:sz w:val="20"/>
          <w:spacing w:val="-6"/>
        </w:rPr>
        <w:t>2</w:t>
      </w:r>
      <w:r>
        <w:rPr>
          <w:rFonts w:ascii="Times New Roman" w:hAnsi="Times New Roman" w:cs="Times New Roman" w:eastAsia="Times New Roman" w:hint="ascii"/>
          <w:sz w:val="20"/>
          <w:spacing w:val="-5"/>
        </w:rPr>
        <w:t>7136</w:t>
      </w:r>
      <w:r>
        <w:rPr>
          <w:rFonts w:ascii="Times New Roman" w:hAnsi="Times New Roman" w:cs="Times New Roman" w:eastAsia="Times New Roman" w:hint="ascii"/>
          <w:sz w:val="20"/>
          <w:spacing w:val="-6"/>
        </w:rPr>
        <w:t>/</w:t>
      </w:r>
      <w:r>
        <w:rPr>
          <w:rFonts w:ascii="Times New Roman" w:hAnsi="Times New Roman" w:cs="Times New Roman" w:eastAsia="Times New Roman" w:hint="ascii"/>
          <w:sz w:val="20"/>
          <w:spacing w:val="-5"/>
        </w:rPr>
        <w:t>623283</w:t>
      </w:r>
      <w:r>
        <w:rPr>
          <w:rFonts w:ascii="Times New Roman" w:hAnsi="Times New Roman" w:cs="Times New Roman" w:eastAsia="Times New Roman" w:hint="ascii"/>
          <w:sz w:val="20"/>
          <w:spacing w:val="-4"/>
        </w:rPr>
        <w:t>3</w:t>
      </w:r>
      <w:r>
        <w:rPr>
          <w:rFonts w:ascii="Times New Roman" w:hAnsi="Times New Roman" w:cs="Times New Roman" w:eastAsia="Times New Roman" w:hint="ascii"/>
          <w:sz w:val="20"/>
          <w:spacing w:val="-1"/>
        </w:rPr>
        <w:t>7</w:t>
      </w:r>
      <w:r>
        <w:rPr>
          <w:rFonts w:ascii="Times New Roman" w:hAnsi="Times New Roman" w:cs="Times New Roman" w:eastAsia="Times New Roman" w:hint="ascii"/>
          <w:sz w:val="20"/>
        </w:rPr>
        <w:t xml:space="preserve"> </w:t>
      </w:r>
      <w:r>
        <w:rPr>
          <w:rFonts w:ascii="宋体" w:hAnsi="宋体" w:cs="宋体" w:eastAsia="宋体" w:hint="ascii"/>
          <w:sz w:val="20"/>
        </w:rPr>
        <w:t>传</w:t>
      </w:r>
      <w:r>
        <w:rPr>
          <w:rFonts w:ascii="宋体" w:hAnsi="宋体" w:cs="宋体" w:eastAsia="宋体" w:hint="ascii"/>
          <w:sz w:val="20"/>
          <w:spacing w:val="137"/>
        </w:rPr>
        <w:t xml:space="preserve"> </w:t>
      </w:r>
      <w:r>
        <w:rPr>
          <w:rFonts w:ascii="宋体" w:hAnsi="宋体" w:cs="宋体" w:eastAsia="宋体" w:hint="ascii"/>
          <w:sz w:val="20"/>
          <w:spacing w:val="-3"/>
        </w:rPr>
        <w:t>真：</w:t>
      </w:r>
      <w:r>
        <w:rPr>
          <w:rFonts w:ascii="Times New Roman" w:hAnsi="Times New Roman" w:cs="Times New Roman" w:eastAsia="Times New Roman" w:hint="ascii"/>
          <w:sz w:val="20"/>
          <w:spacing w:val="-3"/>
        </w:rPr>
        <w:t>010</w:t>
      </w:r>
      <w:r>
        <w:rPr>
          <w:rFonts w:ascii="宋体" w:hAnsi="宋体" w:cs="宋体" w:eastAsia="宋体" w:hint="ascii"/>
          <w:sz w:val="20"/>
          <w:spacing w:val="-4"/>
        </w:rPr>
        <w:t>-</w:t>
      </w:r>
      <w:r>
        <w:rPr>
          <w:rFonts w:ascii="Times New Roman" w:hAnsi="Times New Roman" w:cs="Times New Roman" w:eastAsia="Times New Roman" w:hint="ascii"/>
          <w:sz w:val="20"/>
          <w:spacing w:val="-3"/>
        </w:rPr>
        <w:t>623</w:t>
      </w:r>
      <w:r>
        <w:rPr>
          <w:rFonts w:ascii="Times New Roman" w:hAnsi="Times New Roman" w:cs="Times New Roman" w:eastAsia="Times New Roman" w:hint="ascii"/>
          <w:sz w:val="20"/>
          <w:spacing w:val="-4"/>
        </w:rPr>
        <w:t>2</w:t>
      </w:r>
      <w:r>
        <w:rPr>
          <w:rFonts w:ascii="Times New Roman" w:hAnsi="Times New Roman" w:cs="Times New Roman" w:eastAsia="Times New Roman" w:hint="ascii"/>
          <w:sz w:val="20"/>
          <w:spacing w:val="-3"/>
        </w:rPr>
        <w:t>713</w:t>
      </w:r>
      <w:r>
        <w:rPr>
          <w:rFonts w:ascii="Times New Roman" w:hAnsi="Times New Roman" w:cs="Times New Roman" w:eastAsia="Times New Roman" w:hint="ascii"/>
          <w:sz w:val="20"/>
        </w:rPr>
        <w:t>3</w:t>
      </w:r>
    </w:p>
    <w:p>
      <w:pPr>
        <w:autoSpaceDE w:val="0"/>
        <w:autoSpaceDN w:val="0"/>
        <w:jc w:val="left"/>
        <w:spacing w:before="50" w:after="0" w:lineRule="exact" w:line="250"/>
        <w:ind w:right="0" w:left="1372"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spacing w:val="-3"/>
        </w:rPr>
        <w:t>电子邮件：</w:t>
      </w:r>
      <w:r>
        <w:rPr>
          <w:rFonts w:ascii="Times New Roman" w:hAnsi="Times New Roman" w:cs="Times New Roman" w:eastAsia="Times New Roman" w:hint="ascii"/>
          <w:sz w:val="20"/>
          <w:spacing w:val="-3"/>
        </w:rPr>
        <w:t>e</w:t>
      </w:r>
      <w:r>
        <w:rPr>
          <w:rFonts w:ascii="Times New Roman" w:hAnsi="Times New Roman" w:cs="Times New Roman" w:eastAsia="Times New Roman" w:hint="ascii"/>
          <w:sz w:val="20"/>
          <w:spacing w:val="-2"/>
        </w:rPr>
        <w:t>4</w:t>
      </w:r>
      <w:r>
        <w:rPr>
          <w:rFonts w:ascii="Times New Roman" w:hAnsi="Times New Roman" w:cs="Times New Roman" w:eastAsia="Times New Roman" w:hint="ascii"/>
          <w:sz w:val="20"/>
          <w:spacing w:val="-6"/>
        </w:rPr>
        <w:t>m</w:t>
      </w:r>
      <w:r>
        <w:rPr>
          <w:rFonts w:ascii="Times New Roman" w:hAnsi="Times New Roman" w:cs="Times New Roman" w:eastAsia="Times New Roman" w:hint="ascii"/>
          <w:sz w:val="20"/>
          <w:spacing w:val="-3"/>
        </w:rPr>
        <w:t>@nsfc.go</w:t>
      </w:r>
      <w:r>
        <w:rPr>
          <w:rFonts w:ascii="Times New Roman" w:hAnsi="Times New Roman" w:cs="Times New Roman" w:eastAsia="Times New Roman" w:hint="ascii"/>
          <w:sz w:val="20"/>
          <w:spacing w:val="-16"/>
        </w:rPr>
        <w:t>v</w:t>
      </w:r>
      <w:r>
        <w:rPr>
          <w:rFonts w:ascii="Times New Roman" w:hAnsi="Times New Roman" w:cs="Times New Roman" w:eastAsia="Times New Roman" w:hint="ascii"/>
          <w:sz w:val="20"/>
          <w:spacing w:val="-3"/>
        </w:rPr>
        <w:t>.c</w:t>
      </w:r>
      <w:r>
        <w:rPr>
          <w:rFonts w:ascii="Times New Roman" w:hAnsi="Times New Roman" w:cs="Times New Roman" w:eastAsia="Times New Roman" w:hint="ascii"/>
          <w:sz w:val="20"/>
        </w:rPr>
        <w:t>n</w:t>
      </w:r>
    </w:p>
    <w:p>
      <w:pPr>
        <w:autoSpaceDE w:val="0"/>
        <w:autoSpaceDN w:val="0"/>
        <w:jc w:val="left"/>
        <w:spacing w:before="62" w:after="0" w:lineRule="exact" w:line="250"/>
        <w:ind w:right="0" w:left="0" w:firstLine="0"/>
        <w:snapToGrid w:val="0"/>
        <w:textAlignment w:val="auto"/>
        <w:tabs/>
        <w:rPr>
          <w:rFonts w:ascii="宋体" w:hAnsi="宋体" w:cs="宋体" w:eastAsia="宋体" w:hint="ascii"/>
          <w:sz w:val="20"/>
        </w:rPr>
      </w:pPr>
      <w:r>
        <w:rPr>
          <w:rFonts w:ascii="Times New Roman" w:hAnsi="Times New Roman" w:cs="Times New Roman" w:eastAsia="Times New Roman" w:hint="ascii"/>
          <w:sz w:val="20"/>
        </w:rPr>
        <w:br w:type="column"/>
      </w:r>
      <w:r>
        <w:rPr>
          <w:rFonts w:ascii="宋体" w:hAnsi="宋体" w:cs="宋体" w:eastAsia="宋体" w:hint="ascii"/>
          <w:sz w:val="20"/>
        </w:rPr>
        <w:t>地</w:t>
      </w:r>
      <w:r>
        <w:rPr>
          <w:rFonts w:ascii="宋体" w:hAnsi="宋体" w:cs="宋体" w:eastAsia="宋体" w:hint="ascii"/>
          <w:sz w:val="20"/>
          <w:spacing w:val="138"/>
        </w:rPr>
        <w:t xml:space="preserve"> </w:t>
      </w:r>
      <w:r>
        <w:rPr>
          <w:rFonts w:ascii="宋体" w:hAnsi="宋体" w:cs="宋体" w:eastAsia="宋体" w:hint="ascii"/>
          <w:sz w:val="20"/>
          <w:spacing w:val="-3"/>
        </w:rPr>
        <w:t>址：上海市浦东新区世博大</w:t>
      </w:r>
      <w:r>
        <w:rPr>
          <w:rFonts w:ascii="宋体" w:hAnsi="宋体" w:cs="宋体" w:eastAsia="宋体" w:hint="ascii"/>
          <w:sz w:val="20"/>
          <w:spacing w:val="21"/>
        </w:rPr>
        <w:t>道</w:t>
      </w:r>
      <w:r>
        <w:rPr>
          <w:rFonts w:ascii="Times New Roman" w:hAnsi="Times New Roman" w:cs="Times New Roman" w:eastAsia="Times New Roman" w:hint="ascii"/>
          <w:sz w:val="20"/>
        </w:rPr>
        <w:t>185</w:t>
      </w:r>
      <w:r>
        <w:rPr>
          <w:rFonts w:ascii="Times New Roman" w:hAnsi="Times New Roman" w:cs="Times New Roman" w:eastAsia="Times New Roman" w:hint="ascii"/>
          <w:sz w:val="20"/>
          <w:spacing w:val="45"/>
        </w:rPr>
        <w:t>9</w:t>
      </w:r>
      <w:r>
        <w:rPr>
          <w:rFonts w:ascii="宋体" w:hAnsi="宋体" w:cs="宋体" w:eastAsia="宋体" w:hint="ascii"/>
          <w:sz w:val="20"/>
        </w:rPr>
        <w:t>号</w:t>
      </w:r>
    </w:p>
    <w:p>
      <w:pPr>
        <w:autoSpaceDE w:val="0"/>
        <w:autoSpaceDN w:val="0"/>
        <w:jc w:val="both"/>
        <w:spacing w:before="12" w:after="0" w:lineRule="exact" w:line="312"/>
        <w:ind w:right="2482" w:left="0" w:firstLine="965"/>
        <w:snapToGrid w:val="0"/>
        <w:textAlignment w:val="auto"/>
        <w:tabs/>
        <w:rPr>
          <w:rFonts w:ascii="Times New Roman" w:hAnsi="Times New Roman" w:cs="Times New Roman" w:eastAsia="Times New Roman" w:hint="ascii"/>
          <w:sz w:val="20"/>
        </w:rPr>
      </w:pPr>
      <w:r>
        <w:rPr>
          <w:rFonts w:ascii="宋体" w:hAnsi="宋体" w:cs="宋体" w:eastAsia="宋体" w:hint="ascii"/>
          <w:sz w:val="20"/>
          <w:spacing w:val="-14"/>
        </w:rPr>
        <w:t>宝武</w:t>
      </w:r>
      <w:r>
        <w:rPr>
          <w:rFonts w:ascii="宋体" w:hAnsi="宋体" w:cs="宋体" w:eastAsia="宋体" w:hint="ascii"/>
          <w:sz w:val="20"/>
          <w:spacing w:val="-13"/>
        </w:rPr>
        <w:t>大</w:t>
      </w:r>
      <w:r>
        <w:rPr>
          <w:rFonts w:ascii="宋体" w:hAnsi="宋体" w:cs="宋体" w:eastAsia="宋体" w:hint="ascii"/>
          <w:sz w:val="20"/>
          <w:spacing w:val="11"/>
        </w:rPr>
        <w:t>厦</w:t>
      </w:r>
      <w:r>
        <w:rPr>
          <w:rFonts w:ascii="Times New Roman" w:hAnsi="Times New Roman" w:cs="Times New Roman" w:eastAsia="Times New Roman" w:hint="ascii"/>
          <w:sz w:val="20"/>
          <w:spacing w:val="-10"/>
        </w:rPr>
        <w:t>1</w:t>
      </w:r>
      <w:r>
        <w:rPr>
          <w:rFonts w:ascii="Times New Roman" w:hAnsi="Times New Roman" w:cs="Times New Roman" w:eastAsia="Times New Roman" w:hint="ascii"/>
          <w:sz w:val="20"/>
          <w:spacing w:val="35"/>
        </w:rPr>
        <w:t>9</w:t>
      </w:r>
      <w:r>
        <w:rPr>
          <w:rFonts w:ascii="宋体" w:hAnsi="宋体" w:cs="宋体" w:eastAsia="宋体" w:hint="ascii"/>
          <w:sz w:val="20"/>
          <w:spacing w:val="-10"/>
        </w:rPr>
        <w:t>楼</w:t>
      </w:r>
      <w:r>
        <w:rPr>
          <w:rFonts w:ascii="宋体" w:hAnsi="宋体" w:cs="宋体" w:eastAsia="宋体" w:hint="ascii"/>
          <w:sz w:val="20"/>
        </w:rPr>
        <w:t xml:space="preserve"> 邮</w:t>
      </w:r>
      <w:r>
        <w:rPr>
          <w:rFonts w:ascii="宋体" w:hAnsi="宋体" w:cs="宋体" w:eastAsia="宋体" w:hint="ascii"/>
          <w:sz w:val="20"/>
          <w:spacing w:val="138"/>
        </w:rPr>
        <w:t xml:space="preserve"> </w:t>
      </w:r>
      <w:r>
        <w:rPr>
          <w:rFonts w:ascii="宋体" w:hAnsi="宋体" w:cs="宋体" w:eastAsia="宋体" w:hint="ascii"/>
          <w:sz w:val="20"/>
          <w:spacing w:val="-3"/>
        </w:rPr>
        <w:t>编：</w:t>
      </w:r>
      <w:r>
        <w:rPr>
          <w:rFonts w:ascii="Times New Roman" w:hAnsi="Times New Roman" w:cs="Times New Roman" w:eastAsia="Times New Roman" w:hint="ascii"/>
          <w:sz w:val="20"/>
          <w:spacing w:val="-3"/>
        </w:rPr>
        <w:t>2</w:t>
      </w:r>
      <w:r>
        <w:rPr>
          <w:rFonts w:ascii="Times New Roman" w:hAnsi="Times New Roman" w:cs="Times New Roman" w:eastAsia="Times New Roman" w:hint="ascii"/>
          <w:sz w:val="20"/>
          <w:spacing w:val="-4"/>
        </w:rPr>
        <w:t>0</w:t>
      </w:r>
      <w:r>
        <w:rPr>
          <w:rFonts w:ascii="Times New Roman" w:hAnsi="Times New Roman" w:cs="Times New Roman" w:eastAsia="Times New Roman" w:hint="ascii"/>
          <w:sz w:val="20"/>
          <w:spacing w:val="-3"/>
        </w:rPr>
        <w:t>012</w:t>
      </w:r>
      <w:r>
        <w:rPr>
          <w:rFonts w:ascii="Times New Roman" w:hAnsi="Times New Roman" w:cs="Times New Roman" w:eastAsia="Times New Roman" w:hint="ascii"/>
          <w:sz w:val="20"/>
        </w:rPr>
        <w:t>6</w:t>
      </w:r>
    </w:p>
    <w:p>
      <w:pPr>
        <w:autoSpaceDE w:val="0"/>
        <w:autoSpaceDN w:val="0"/>
        <w:jc w:val="left"/>
        <w:spacing w:before="50" w:after="0" w:lineRule="exact" w:line="250"/>
        <w:ind w:right="0" w:left="0" w:firstLine="0"/>
        <w:snapToGrid w:val="0"/>
        <w:textAlignment w:val="auto"/>
        <w:tabs/>
        <w:rPr>
          <w:rFonts w:ascii="宋体" w:hAnsi="宋体" w:cs="宋体" w:eastAsia="宋体" w:hint="ascii"/>
          <w:sz w:val="20"/>
        </w:rPr>
      </w:pPr>
      <w:r>
        <w:rPr>
          <w:rFonts w:ascii="宋体" w:hAnsi="宋体" w:cs="宋体" w:eastAsia="宋体" w:hint="ascii"/>
          <w:sz w:val="20"/>
        </w:rPr>
        <w:t>联</w:t>
      </w:r>
      <w:r>
        <w:rPr>
          <w:rFonts w:ascii="宋体" w:hAnsi="宋体" w:cs="宋体" w:eastAsia="宋体" w:hint="ascii"/>
          <w:sz w:val="20"/>
          <w:spacing w:val="-6"/>
        </w:rPr>
        <w:t xml:space="preserve"> </w:t>
      </w:r>
      <w:r>
        <w:rPr>
          <w:rFonts w:ascii="宋体" w:hAnsi="宋体" w:cs="宋体" w:eastAsia="宋体" w:hint="ascii"/>
          <w:sz w:val="20"/>
        </w:rPr>
        <w:t>系</w:t>
      </w:r>
      <w:r>
        <w:rPr>
          <w:rFonts w:ascii="宋体" w:hAnsi="宋体" w:cs="宋体" w:eastAsia="宋体" w:hint="ascii"/>
          <w:sz w:val="20"/>
          <w:spacing w:val="-6"/>
        </w:rPr>
        <w:t xml:space="preserve"> </w:t>
      </w:r>
      <w:r>
        <w:rPr>
          <w:rFonts w:ascii="宋体" w:hAnsi="宋体" w:cs="宋体" w:eastAsia="宋体" w:hint="ascii"/>
          <w:sz w:val="20"/>
          <w:spacing w:val="-3"/>
        </w:rPr>
        <w:t>人：汪正</w:t>
      </w:r>
      <w:r>
        <w:rPr>
          <w:rFonts w:ascii="宋体" w:hAnsi="宋体" w:cs="宋体" w:eastAsia="宋体" w:hint="ascii"/>
          <w:sz w:val="20"/>
        </w:rPr>
        <w:t>洁</w:t>
      </w:r>
    </w:p>
    <w:p>
      <w:pPr>
        <w:autoSpaceDE w:val="0"/>
        <w:autoSpaceDN w:val="0"/>
        <w:jc w:val="left"/>
        <w:spacing w:before="62" w:after="0" w:lineRule="exact" w:line="250"/>
        <w:ind w:right="0" w:left="0"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rPr>
        <w:t>电</w:t>
      </w:r>
      <w:r>
        <w:rPr>
          <w:rFonts w:ascii="宋体" w:hAnsi="宋体" w:cs="宋体" w:eastAsia="宋体" w:hint="ascii"/>
          <w:sz w:val="20"/>
          <w:spacing w:val="138"/>
        </w:rPr>
        <w:t xml:space="preserve"> </w:t>
      </w:r>
      <w:r>
        <w:rPr>
          <w:rFonts w:ascii="宋体" w:hAnsi="宋体" w:cs="宋体" w:eastAsia="宋体" w:hint="ascii"/>
          <w:sz w:val="20"/>
          <w:spacing w:val="-3"/>
        </w:rPr>
        <w:t>话：</w:t>
      </w:r>
      <w:r>
        <w:rPr>
          <w:rFonts w:ascii="Times New Roman" w:hAnsi="Times New Roman" w:cs="Times New Roman" w:eastAsia="Times New Roman" w:hint="ascii"/>
          <w:sz w:val="20"/>
          <w:spacing w:val="-3"/>
        </w:rPr>
        <w:t>0</w:t>
      </w:r>
      <w:r>
        <w:rPr>
          <w:rFonts w:ascii="Times New Roman" w:hAnsi="Times New Roman" w:cs="Times New Roman" w:eastAsia="Times New Roman" w:hint="ascii"/>
          <w:sz w:val="20"/>
          <w:spacing w:val="-4"/>
        </w:rPr>
        <w:t>2</w:t>
      </w:r>
      <w:r>
        <w:rPr>
          <w:rFonts w:ascii="Times New Roman" w:hAnsi="Times New Roman" w:cs="Times New Roman" w:eastAsia="Times New Roman" w:hint="ascii"/>
          <w:sz w:val="20"/>
          <w:spacing w:val="-3"/>
        </w:rPr>
        <w:t>1</w:t>
      </w:r>
      <w:r>
        <w:rPr>
          <w:rFonts w:ascii="宋体" w:hAnsi="宋体" w:cs="宋体" w:eastAsia="宋体" w:hint="ascii"/>
          <w:sz w:val="20"/>
          <w:spacing w:val="-3"/>
        </w:rPr>
        <w:t>-</w:t>
      </w:r>
      <w:r>
        <w:rPr>
          <w:rFonts w:ascii="Times New Roman" w:hAnsi="Times New Roman" w:cs="Times New Roman" w:eastAsia="Times New Roman" w:hint="ascii"/>
          <w:sz w:val="20"/>
          <w:spacing w:val="-3"/>
        </w:rPr>
        <w:t>20658</w:t>
      </w:r>
      <w:r>
        <w:rPr>
          <w:rFonts w:ascii="Times New Roman" w:hAnsi="Times New Roman" w:cs="Times New Roman" w:eastAsia="Times New Roman" w:hint="ascii"/>
          <w:sz w:val="20"/>
          <w:spacing w:val="-4"/>
        </w:rPr>
        <w:t>8</w:t>
      </w:r>
      <w:r>
        <w:rPr>
          <w:rFonts w:ascii="Times New Roman" w:hAnsi="Times New Roman" w:cs="Times New Roman" w:eastAsia="Times New Roman" w:hint="ascii"/>
          <w:sz w:val="20"/>
          <w:spacing w:val="-3"/>
        </w:rPr>
        <w:t>7</w:t>
      </w:r>
      <w:r>
        <w:rPr>
          <w:rFonts w:ascii="Times New Roman" w:hAnsi="Times New Roman" w:cs="Times New Roman" w:eastAsia="Times New Roman" w:hint="ascii"/>
          <w:sz w:val="20"/>
        </w:rPr>
        <w:t>0</w:t>
      </w:r>
    </w:p>
    <w:p>
      <w:pPr>
        <w:autoSpaceDE w:val="0"/>
        <w:autoSpaceDN w:val="0"/>
        <w:jc w:val="left"/>
        <w:spacing w:before="62" w:after="0" w:lineRule="exact" w:line="250"/>
        <w:ind w:right="0" w:left="0" w:firstLine="0"/>
        <w:snapToGrid w:val="0"/>
        <w:textAlignment w:val="auto"/>
        <w:tabs/>
        <w:sectPr>
          <w:type w:val="continuous"/>
          <w:pgSz w:w="10940" w:h="15080" w:orient="portrait"/>
          <w:pgMar w:top="508" w:right="508" w:bottom="508" w:left="508" w:header="0" w:footer="0" w:gutter="0"/>
          <w:cols w:num="2" w:space="0" w:equalWidth="0">
            <w:col w:w="4378" w:space="832"/>
            <w:col w:w="471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0"/>
        </w:rPr>
      </w:pPr>
      <w:r>
        <w:rPr>
          <w:rFonts w:ascii="宋体" w:hAnsi="宋体" w:cs="宋体" w:eastAsia="宋体" w:hint="ascii"/>
          <w:sz w:val="20"/>
          <w:spacing w:val="-3"/>
        </w:rPr>
        <w:t>电子邮件：</w:t>
      </w:r>
      <w:r>
        <w:rPr>
          <w:rFonts w:ascii="Times New Roman" w:hAnsi="Times New Roman" w:cs="Times New Roman" w:eastAsia="Times New Roman" w:hint="ascii"/>
          <w:sz w:val="20"/>
          <w:spacing w:val="-3"/>
        </w:rPr>
        <w:t>wangzj@baowugroup.c</w:t>
      </w:r>
      <w:r>
        <w:rPr>
          <w:rFonts w:ascii="Times New Roman" w:hAnsi="Times New Roman" w:cs="Times New Roman" w:eastAsia="Times New Roman" w:hint="ascii"/>
          <w:sz w:val="20"/>
          <w:spacing w:val="-2"/>
        </w:rPr>
        <w:t>o</w:t>
      </w:r>
      <w:r>
        <w:rPr>
          <w:rFonts w:ascii="Times New Roman" w:hAnsi="Times New Roman" w:cs="Times New Roman" w:eastAsia="Times New Roman" w:hint="ascii"/>
          <w:sz w:val="20"/>
        </w:rPr>
        <w:t>m</w:t>
      </w:r>
      <w:rPr>
        <w:rFonts w:ascii="Times New Roman" w:hAnsi="Times New Roman" w:cs="Times New Roman" w:eastAsia="Times New Roman" w:hint="ascii"/>
        <w:sz w:val="20"/>
      </w:rPr>
    </w:p>
    <w:p>
      <w:pPr>
        <w:autoSpaceDE w:val="0"/>
        <w:autoSpaceDN w:val="0"/>
        <w:jc w:val="left"/>
        <w:spacing w:before="505" w:after="0" w:lineRule="exact" w:line="475"/>
        <w:ind w:right="0" w:left="3436" w:firstLine="0"/>
        <w:snapToGrid w:val="0"/>
        <w:textAlignment w:val="auto"/>
        <w:tabs/>
        <w:rPr>
          <w:rFonts w:ascii="宋体" w:hAnsi="宋体" w:cs="宋体" w:eastAsia="宋体" w:hint="ascii"/>
          <w:sz w:val="38"/>
        </w:rPr>
      </w:pPr>
      <w:r>
        <w:rPr>
          <w:rFonts w:ascii="宋体" w:hAnsi="宋体" w:cs="宋体" w:eastAsia="宋体" w:hint="ascii"/>
          <w:sz w:val="38"/>
        </w:rPr>
        <w:t>民航联合研究基金</w:t>
      </w:r>
    </w:p>
    <w:p>
      <w:pPr>
        <w:autoSpaceDE w:val="0"/>
        <w:autoSpaceDN w:val="0"/>
        <w:jc w:val="left"/>
        <w:spacing w:before="324"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民航联合</w:t>
      </w:r>
      <w:r>
        <w:rPr>
          <w:rFonts w:ascii="宋体" w:hAnsi="宋体" w:cs="宋体" w:eastAsia="宋体" w:hint="ascii"/>
          <w:sz w:val="21"/>
        </w:rPr>
        <w:t>研</w:t>
      </w:r>
      <w:r>
        <w:rPr>
          <w:rFonts w:ascii="宋体" w:hAnsi="宋体" w:cs="宋体" w:eastAsia="宋体" w:hint="ascii"/>
          <w:sz w:val="21"/>
          <w:spacing w:val="3"/>
        </w:rPr>
        <w:t>究基金由</w:t>
      </w:r>
      <w:r>
        <w:rPr>
          <w:rFonts w:ascii="宋体" w:hAnsi="宋体" w:cs="宋体" w:eastAsia="宋体" w:hint="ascii"/>
          <w:sz w:val="21"/>
        </w:rPr>
        <w:t>自</w:t>
      </w:r>
      <w:r>
        <w:rPr>
          <w:rFonts w:ascii="宋体" w:hAnsi="宋体" w:cs="宋体" w:eastAsia="宋体" w:hint="ascii"/>
          <w:sz w:val="21"/>
          <w:spacing w:val="3"/>
        </w:rPr>
        <w:t>然科学基</w:t>
      </w:r>
      <w:r>
        <w:rPr>
          <w:rFonts w:ascii="宋体" w:hAnsi="宋体" w:cs="宋体" w:eastAsia="宋体" w:hint="ascii"/>
          <w:sz w:val="21"/>
        </w:rPr>
        <w:t>金</w:t>
      </w:r>
      <w:r>
        <w:rPr>
          <w:rFonts w:ascii="宋体" w:hAnsi="宋体" w:cs="宋体" w:eastAsia="宋体" w:hint="ascii"/>
          <w:sz w:val="21"/>
          <w:spacing w:val="3"/>
        </w:rPr>
        <w:t>委和中国</w:t>
      </w:r>
      <w:r>
        <w:rPr>
          <w:rFonts w:ascii="宋体" w:hAnsi="宋体" w:cs="宋体" w:eastAsia="宋体" w:hint="ascii"/>
          <w:sz w:val="21"/>
        </w:rPr>
        <w:t>民</w:t>
      </w:r>
      <w:r>
        <w:rPr>
          <w:rFonts w:ascii="宋体" w:hAnsi="宋体" w:cs="宋体" w:eastAsia="宋体" w:hint="ascii"/>
          <w:sz w:val="21"/>
          <w:spacing w:val="3"/>
        </w:rPr>
        <w:t>用航空局</w:t>
      </w:r>
      <w:r>
        <w:rPr>
          <w:rFonts w:ascii="宋体" w:hAnsi="宋体" w:cs="宋体" w:eastAsia="宋体" w:hint="ascii"/>
          <w:sz w:val="21"/>
        </w:rPr>
        <w:t>共</w:t>
      </w:r>
      <w:r>
        <w:rPr>
          <w:rFonts w:ascii="宋体" w:hAnsi="宋体" w:cs="宋体" w:eastAsia="宋体" w:hint="ascii"/>
          <w:sz w:val="21"/>
          <w:spacing w:val="3"/>
        </w:rPr>
        <w:t>同设立。</w:t>
      </w:r>
      <w:r>
        <w:rPr>
          <w:rFonts w:ascii="宋体" w:hAnsi="宋体" w:cs="宋体" w:eastAsia="宋体" w:hint="ascii"/>
          <w:sz w:val="21"/>
        </w:rPr>
        <w:t>本</w:t>
      </w:r>
      <w:r>
        <w:rPr>
          <w:rFonts w:ascii="宋体" w:hAnsi="宋体" w:cs="宋体" w:eastAsia="宋体" w:hint="ascii"/>
          <w:sz w:val="21"/>
          <w:spacing w:val="3"/>
        </w:rPr>
        <w:t>联合基</w:t>
      </w:r>
      <w:r>
        <w:rPr>
          <w:rFonts w:ascii="宋体" w:hAnsi="宋体" w:cs="宋体" w:eastAsia="宋体" w:hint="ascii"/>
          <w:sz w:val="21"/>
          <w:spacing w:val="4"/>
        </w:rPr>
        <w:t>金</w:t>
      </w:r>
      <w:r>
        <w:rPr>
          <w:rFonts w:ascii="宋体" w:hAnsi="宋体" w:cs="宋体" w:eastAsia="宋体" w:hint="ascii"/>
          <w:sz w:val="21"/>
        </w:rPr>
        <w:t>面</w:t>
      </w:r>
    </w:p>
    <w:p>
      <w:pPr>
        <w:autoSpaceDE w:val="0"/>
        <w:autoSpaceDN w:val="0"/>
        <w:jc w:val="both"/>
        <w:spacing w:before="12" w:after="0" w:lineRule="exact" w:line="320"/>
        <w:ind w:right="979"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向全国，旨在更多</w:t>
      </w:r>
      <w:r>
        <w:rPr>
          <w:rFonts w:ascii="宋体" w:hAnsi="宋体" w:cs="宋体" w:eastAsia="宋体" w:hint="ascii"/>
          <w:sz w:val="21"/>
        </w:rPr>
        <w:t>地吸引全国范围内的科学技术人员参与以我国民航事业可持续发</w:t>
      </w:r>
      <w:r>
        <w:rPr>
          <w:rFonts w:ascii="宋体" w:hAnsi="宋体" w:cs="宋体" w:eastAsia="宋体" w:hint="ascii"/>
          <w:sz w:val="21"/>
          <w:spacing w:val="-6"/>
        </w:rPr>
        <w:t>展</w:t>
      </w:r>
      <w:r>
        <w:rPr>
          <w:rFonts w:ascii="宋体" w:hAnsi="宋体" w:cs="宋体" w:eastAsia="宋体" w:hint="ascii"/>
          <w:sz w:val="21"/>
          <w:spacing w:val="1"/>
        </w:rPr>
        <w:t>为背景的基础研究</w:t>
      </w:r>
      <w:r>
        <w:rPr>
          <w:rFonts w:ascii="宋体" w:hAnsi="宋体" w:cs="宋体" w:eastAsia="宋体" w:hint="ascii"/>
          <w:sz w:val="21"/>
        </w:rPr>
        <w:t>，培养一批高水平行业科技人才，提升我国民航科技源头自主创</w:t>
      </w:r>
      <w:r>
        <w:rPr>
          <w:rFonts w:ascii="宋体" w:hAnsi="宋体" w:cs="宋体" w:eastAsia="宋体" w:hint="ascii"/>
          <w:sz w:val="21"/>
          <w:spacing w:val="-6"/>
        </w:rPr>
        <w:t>新</w:t>
      </w:r>
      <w:r>
        <w:rPr>
          <w:rFonts w:ascii="宋体" w:hAnsi="宋体" w:cs="宋体" w:eastAsia="宋体" w:hint="ascii"/>
          <w:sz w:val="21"/>
          <w:spacing w:val="1"/>
        </w:rPr>
        <w:t>能力，促进知识创</w:t>
      </w:r>
      <w:r>
        <w:rPr>
          <w:rFonts w:ascii="宋体" w:hAnsi="宋体" w:cs="宋体" w:eastAsia="宋体" w:hint="ascii"/>
          <w:sz w:val="21"/>
        </w:rPr>
        <w:t>新与技术创新的结合，为实现民航事业从大国走向强国的跨越作</w:t>
      </w:r>
      <w:r>
        <w:rPr>
          <w:rFonts w:ascii="宋体" w:hAnsi="宋体" w:cs="宋体" w:eastAsia="宋体" w:hint="ascii"/>
          <w:sz w:val="21"/>
          <w:spacing w:val="-6"/>
        </w:rPr>
        <w:t>出</w:t>
      </w:r>
      <w:r>
        <w:rPr>
          <w:rFonts w:ascii="宋体" w:hAnsi="宋体" w:cs="宋体" w:eastAsia="宋体" w:hint="ascii"/>
          <w:sz w:val="21"/>
        </w:rPr>
        <w:t>贡献。</w:t>
      </w:r>
    </w:p>
    <w:p>
      <w:pPr>
        <w:autoSpaceDE w:val="0"/>
        <w:autoSpaceDN w:val="0"/>
        <w:jc w:val="both"/>
        <w:spacing w:before="0" w:after="0" w:lineRule="exact" w:line="319"/>
        <w:ind w:right="979" w:left="966" w:firstLine="428"/>
        <w:snapToGrid w:val="0"/>
        <w:textAlignment w:val="auto"/>
        <w:tabs/>
        <w:rPr>
          <w:rFonts w:ascii="宋体" w:hAnsi="宋体" w:cs="宋体" w:eastAsia="宋体" w:hint="ascii"/>
          <w:sz w:val="21"/>
        </w:rPr>
      </w:pPr>
      <w:r>
        <w:rPr>
          <w:rFonts w:ascii="宋体" w:hAnsi="宋体" w:cs="宋体" w:eastAsia="宋体" w:hint="ascii"/>
          <w:sz w:val="21"/>
          <w:spacing w:val="1"/>
        </w:rPr>
        <w:t>民航联合</w:t>
      </w:r>
      <w:r>
        <w:rPr>
          <w:rFonts w:ascii="宋体" w:hAnsi="宋体" w:cs="宋体" w:eastAsia="宋体" w:hint="ascii"/>
          <w:sz w:val="21"/>
        </w:rPr>
        <w:t>研究基金是国家自然科学基金的组成部分，面向全国，鼓励民航系统</w:t>
      </w:r>
      <w:r>
        <w:rPr>
          <w:rFonts w:ascii="宋体" w:hAnsi="宋体" w:cs="宋体" w:eastAsia="宋体" w:hint="ascii"/>
          <w:sz w:val="21"/>
          <w:spacing w:val="-6"/>
        </w:rPr>
        <w:t>内</w:t>
      </w:r>
      <w:r>
        <w:rPr>
          <w:rFonts w:ascii="宋体" w:hAnsi="宋体" w:cs="宋体" w:eastAsia="宋体" w:hint="ascii"/>
          <w:sz w:val="21"/>
        </w:rPr>
        <w:t>外的研究人员开展实质性的合作研究。</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w:t>
      </w:r>
      <w:r>
        <w:rPr>
          <w:rFonts w:ascii="Times New Roman" w:hAnsi="Times New Roman" w:cs="Times New Roman" w:eastAsia="Times New Roman" w:hint="ascii"/>
          <w:b w:val="1"/>
        </w:rPr>
        <w:t>201</w:t>
      </w:r>
      <w:r>
        <w:rPr>
          <w:rFonts w:ascii="Times New Roman" w:hAnsi="Times New Roman" w:cs="Times New Roman" w:eastAsia="Times New Roman" w:hint="ascii"/>
          <w:b w:val="1"/>
          <w:spacing w:val="60"/>
        </w:rPr>
        <w:t>8</w:t>
      </w:r>
      <w:r>
        <w:rPr>
          <w:rFonts w:ascii="宋体" w:hAnsi="宋体" w:cs="宋体" w:eastAsia="宋体" w:hint="ascii"/>
        </w:rPr>
        <w:t>年度资助计划、资助领域和研究方向</w:t>
      </w:r>
    </w:p>
    <w:p>
      <w:pPr>
        <w:autoSpaceDE w:val="0"/>
        <w:autoSpaceDN w:val="0"/>
        <w:jc w:val="left"/>
        <w:spacing w:before="203"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本联合基</w:t>
      </w:r>
      <w:r>
        <w:rPr>
          <w:rFonts w:ascii="宋体" w:hAnsi="宋体" w:cs="宋体" w:eastAsia="宋体" w:hint="ascii"/>
          <w:sz w:val="21"/>
        </w:rPr>
        <w:t>金</w:t>
      </w:r>
      <w:r>
        <w:rPr>
          <w:rFonts w:ascii="宋体" w:hAnsi="宋体" w:cs="宋体" w:eastAsia="宋体" w:hint="ascii"/>
          <w:sz w:val="21"/>
          <w:spacing w:val="4"/>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3"/>
        </w:rPr>
        <w:t xml:space="preserve"> </w:t>
      </w:r>
      <w:r>
        <w:rPr>
          <w:rFonts w:ascii="宋体" w:hAnsi="宋体" w:cs="宋体" w:eastAsia="宋体" w:hint="ascii"/>
          <w:sz w:val="21"/>
          <w:spacing w:val="3"/>
        </w:rPr>
        <w:t>年度计划安排重点支持项</w:t>
      </w:r>
      <w:r>
        <w:rPr>
          <w:rFonts w:ascii="宋体" w:hAnsi="宋体" w:cs="宋体" w:eastAsia="宋体" w:hint="ascii"/>
          <w:sz w:val="21"/>
        </w:rPr>
        <w:t>目</w:t>
      </w:r>
      <w:r>
        <w:rPr>
          <w:rFonts w:ascii="宋体" w:hAnsi="宋体" w:cs="宋体" w:eastAsia="宋体" w:hint="ascii"/>
          <w:sz w:val="21"/>
          <w:spacing w:val="-22"/>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项，直接费用的平均资助强</w:t>
      </w:r>
      <w:r>
        <w:rPr>
          <w:rFonts w:ascii="宋体" w:hAnsi="宋体" w:cs="宋体" w:eastAsia="宋体" w:hint="ascii"/>
          <w:sz w:val="21"/>
        </w:rPr>
        <w:t>度为</w:t>
      </w:r>
    </w:p>
    <w:p>
      <w:pPr>
        <w:autoSpaceDE w:val="0"/>
        <w:autoSpaceDN w:val="0"/>
        <w:jc w:val="both"/>
        <w:spacing w:before="12" w:after="0" w:lineRule="exact" w:line="320"/>
        <w:ind w:right="979"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2"/>
        </w:rPr>
        <w:t>21</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22"/>
        </w:rPr>
        <w:t xml:space="preserve"> </w:t>
      </w:r>
      <w:r>
        <w:rPr>
          <w:rFonts w:ascii="宋体" w:hAnsi="宋体" w:cs="宋体" w:eastAsia="宋体" w:hint="ascii"/>
          <w:sz w:val="21"/>
          <w:spacing w:val="1"/>
        </w:rPr>
        <w:t>万</w:t>
      </w:r>
      <w:r>
        <w:rPr>
          <w:rFonts w:ascii="宋体" w:hAnsi="宋体" w:cs="宋体" w:eastAsia="宋体" w:hint="ascii"/>
          <w:sz w:val="21"/>
          <w:spacing w:val="2"/>
        </w:rPr>
        <w:t>元</w:t>
      </w:r>
      <w:r>
        <w:rPr>
          <w:rFonts w:ascii="Times New Roman" w:hAnsi="Times New Roman" w:cs="Times New Roman" w:eastAsia="Times New Roman" w:hint="ascii"/>
          <w:sz w:val="21"/>
          <w:spacing w:val="6"/>
        </w:rPr>
        <w:t>/</w:t>
      </w:r>
      <w:r>
        <w:rPr>
          <w:rFonts w:ascii="宋体" w:hAnsi="宋体" w:cs="宋体" w:eastAsia="宋体" w:hint="ascii"/>
          <w:sz w:val="21"/>
          <w:spacing w:val="1"/>
        </w:rPr>
        <w:t>项，</w:t>
      </w:r>
      <w:r>
        <w:rPr>
          <w:rFonts w:ascii="宋体" w:hAnsi="宋体" w:cs="宋体" w:eastAsia="宋体" w:hint="ascii"/>
          <w:sz w:val="21"/>
          <w:spacing w:val="2"/>
        </w:rPr>
        <w:t>资</w:t>
      </w:r>
      <w:r>
        <w:rPr>
          <w:rFonts w:ascii="宋体" w:hAnsi="宋体" w:cs="宋体" w:eastAsia="宋体" w:hint="ascii"/>
          <w:sz w:val="21"/>
          <w:spacing w:val="1"/>
        </w:rPr>
        <w:t>助期限</w:t>
      </w:r>
      <w:r>
        <w:rPr>
          <w:rFonts w:ascii="宋体" w:hAnsi="宋体" w:cs="宋体" w:eastAsia="宋体" w:hint="ascii"/>
          <w:sz w:val="21"/>
          <w:spacing w:val="-3"/>
        </w:rPr>
        <w:t>为</w:t>
      </w:r>
      <w:r>
        <w:rPr>
          <w:rFonts w:ascii="宋体" w:hAnsi="宋体" w:cs="宋体" w:eastAsia="宋体" w:hint="ascii"/>
          <w:sz w:val="21"/>
          <w:spacing w:val="-24"/>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2"/>
        </w:rPr>
        <w:t>年</w:t>
      </w:r>
      <w:r>
        <w:rPr>
          <w:rFonts w:ascii="宋体" w:hAnsi="宋体" w:cs="宋体" w:eastAsia="宋体" w:hint="ascii"/>
          <w:sz w:val="21"/>
          <w:spacing w:val="1"/>
        </w:rPr>
        <w:t>，申请</w:t>
      </w:r>
      <w:r>
        <w:rPr>
          <w:rFonts w:ascii="宋体" w:hAnsi="宋体" w:cs="宋体" w:eastAsia="宋体" w:hint="ascii"/>
          <w:sz w:val="21"/>
          <w:spacing w:val="2"/>
        </w:rPr>
        <w:t>书</w:t>
      </w:r>
      <w:r>
        <w:rPr>
          <w:rFonts w:ascii="宋体" w:hAnsi="宋体" w:cs="宋体" w:eastAsia="宋体" w:hint="ascii"/>
          <w:sz w:val="21"/>
          <w:spacing w:val="1"/>
        </w:rPr>
        <w:t>中资助期</w:t>
      </w:r>
      <w:r>
        <w:rPr>
          <w:rFonts w:ascii="宋体" w:hAnsi="宋体" w:cs="宋体" w:eastAsia="宋体" w:hint="ascii"/>
          <w:sz w:val="21"/>
          <w:spacing w:val="2"/>
        </w:rPr>
        <w:t>限</w:t>
      </w:r>
      <w:r>
        <w:rPr>
          <w:rFonts w:ascii="宋体" w:hAnsi="宋体" w:cs="宋体" w:eastAsia="宋体" w:hint="ascii"/>
          <w:sz w:val="21"/>
          <w:spacing w:val="1"/>
        </w:rPr>
        <w:t>应填写</w:t>
      </w:r>
      <w:r>
        <w:rPr>
          <w:rFonts w:ascii="宋体" w:hAnsi="宋体" w:cs="宋体" w:eastAsia="宋体" w:hint="ascii"/>
          <w:sz w:val="21"/>
          <w:spacing w:val="2"/>
        </w:rPr>
        <w:t>“</w:t>
      </w:r>
      <w:r>
        <w:rPr>
          <w:rFonts w:ascii="Times New Roman" w:hAnsi="Times New Roman" w:cs="Times New Roman" w:eastAsia="Times New Roman" w:hint="ascii"/>
          <w:sz w:val="21"/>
          <w:spacing w:val="2"/>
        </w:rPr>
        <w:t>201</w:t>
      </w:r>
      <w:r>
        <w:rPr>
          <w:rFonts w:ascii="Times New Roman" w:hAnsi="Times New Roman" w:cs="Times New Roman" w:eastAsia="Times New Roman" w:hint="ascii"/>
          <w:sz w:val="21"/>
        </w:rPr>
        <w:t>9</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3"/>
        </w:rPr>
        <w:t>年</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3"/>
        </w:rPr>
        <w:t>月</w:t>
      </w:r>
      <w:r>
        <w:rPr>
          <w:rFonts w:ascii="宋体" w:hAnsi="宋体" w:cs="宋体" w:eastAsia="宋体" w:hint="ascii"/>
          <w:sz w:val="21"/>
          <w:spacing w:val="-2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2"/>
        </w:rPr>
        <w:t>日</w:t>
      </w:r>
      <w:r>
        <w:rPr>
          <w:rFonts w:ascii="宋体" w:hAnsi="宋体" w:cs="宋体" w:eastAsia="宋体" w:hint="ascii"/>
          <w:sz w:val="21"/>
          <w:spacing w:val="-3"/>
        </w:rPr>
        <w:t>至</w:t>
      </w:r>
      <w:r>
        <w:rPr>
          <w:rFonts w:ascii="宋体" w:hAnsi="宋体" w:cs="宋体" w:eastAsia="宋体" w:hint="ascii"/>
          <w:sz w:val="21"/>
          <w:spacing w:val="-24"/>
        </w:rPr>
        <w:t xml:space="preserve"> </w:t>
      </w:r>
      <w:r>
        <w:rPr>
          <w:rFonts w:ascii="Times New Roman" w:hAnsi="Times New Roman" w:cs="Times New Roman" w:eastAsia="Times New Roman" w:hint="ascii"/>
          <w:sz w:val="21"/>
          <w:spacing w:val="2"/>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2"/>
        </w:rPr>
        <w:t>2</w:t>
      </w:r>
      <w:r>
        <w:rPr>
          <w:rFonts w:ascii="Times New Roman" w:hAnsi="Times New Roman" w:cs="Times New Roman" w:eastAsia="Times New Roman" w:hint="ascii"/>
          <w:sz w:val="21"/>
        </w:rPr>
        <w:t xml:space="preserve">2 </w:t>
      </w:r>
      <w:r>
        <w:rPr>
          <w:rFonts w:ascii="宋体" w:hAnsi="宋体" w:cs="宋体" w:eastAsia="宋体" w:hint="ascii"/>
          <w:sz w:val="21"/>
          <w:spacing w:val="-3"/>
        </w:rPr>
        <w:t>年</w:t>
      </w:r>
      <w:r>
        <w:rPr>
          <w:rFonts w:ascii="宋体" w:hAnsi="宋体" w:cs="宋体" w:eastAsia="宋体" w:hint="ascii"/>
          <w:sz w:val="21"/>
          <w:spacing w:val="-19"/>
        </w:rPr>
        <w:t xml:space="preserve"> </w:t>
      </w:r>
      <w:r>
        <w:rPr>
          <w:rFonts w:ascii="Times New Roman" w:hAnsi="Times New Roman" w:cs="Times New Roman" w:eastAsia="Times New Roman" w:hint="ascii"/>
          <w:sz w:val="21"/>
        </w:rPr>
        <w:t>12</w:t>
      </w:r>
      <w:r>
        <w:rPr>
          <w:rFonts w:ascii="Times New Roman" w:hAnsi="Times New Roman" w:cs="Times New Roman" w:eastAsia="Times New Roman" w:hint="ascii"/>
          <w:sz w:val="21"/>
          <w:spacing w:val="-20"/>
        </w:rPr>
        <w:t xml:space="preserve"> </w:t>
      </w:r>
      <w:r>
        <w:rPr>
          <w:rFonts w:ascii="宋体" w:hAnsi="宋体" w:cs="宋体" w:eastAsia="宋体" w:hint="ascii"/>
          <w:sz w:val="21"/>
          <w:spacing w:val="-3"/>
        </w:rPr>
        <w:t>月</w:t>
      </w:r>
      <w:r>
        <w:rPr>
          <w:rFonts w:ascii="宋体" w:hAnsi="宋体" w:cs="宋体" w:eastAsia="宋体" w:hint="ascii"/>
          <w:sz w:val="21"/>
          <w:spacing w:val="-19"/>
        </w:rPr>
        <w:t xml:space="preserve"> </w:t>
      </w:r>
      <w:r>
        <w:rPr>
          <w:rFonts w:ascii="Times New Roman" w:hAnsi="Times New Roman" w:cs="Times New Roman" w:eastAsia="Times New Roman" w:hint="ascii"/>
          <w:sz w:val="21"/>
        </w:rPr>
        <w:t>31</w:t>
      </w:r>
      <w:r>
        <w:rPr>
          <w:rFonts w:ascii="Times New Roman" w:hAnsi="Times New Roman" w:cs="Times New Roman" w:eastAsia="Times New Roman" w:hint="ascii"/>
          <w:sz w:val="21"/>
          <w:spacing w:val="-20"/>
        </w:rPr>
        <w:t xml:space="preserve"> </w:t>
      </w:r>
      <w:r>
        <w:rPr>
          <w:rFonts w:ascii="宋体" w:hAnsi="宋体" w:cs="宋体" w:eastAsia="宋体" w:hint="ascii"/>
          <w:sz w:val="21"/>
          <w:spacing w:val="6"/>
        </w:rPr>
        <w:t>日</w:t>
      </w:r>
      <w:r>
        <w:rPr>
          <w:rFonts w:ascii="宋体" w:hAnsi="宋体" w:cs="宋体" w:eastAsia="宋体" w:hint="ascii"/>
          <w:sz w:val="21"/>
          <w:spacing w:val="-47"/>
        </w:rPr>
        <w:t>”</w:t>
      </w:r>
      <w:r>
        <w:rPr>
          <w:rFonts w:ascii="宋体" w:hAnsi="宋体" w:cs="宋体" w:eastAsia="宋体" w:hint="ascii"/>
          <w:sz w:val="21"/>
          <w:spacing w:val="6"/>
        </w:rPr>
        <w:t>；培育项目直接费用的平均资助强度</w:t>
      </w:r>
      <w:r>
        <w:rPr>
          <w:rFonts w:ascii="宋体" w:hAnsi="宋体" w:cs="宋体" w:eastAsia="宋体" w:hint="ascii"/>
          <w:sz w:val="21"/>
          <w:spacing w:val="-3"/>
        </w:rPr>
        <w:t>为</w:t>
      </w:r>
      <w:r>
        <w:rPr>
          <w:rFonts w:ascii="宋体" w:hAnsi="宋体" w:cs="宋体" w:eastAsia="宋体" w:hint="ascii"/>
          <w:sz w:val="21"/>
          <w:spacing w:val="-19"/>
        </w:rPr>
        <w:t xml:space="preserve"> </w:t>
      </w:r>
      <w:r>
        <w:rPr>
          <w:rFonts w:ascii="Times New Roman" w:hAnsi="Times New Roman" w:cs="Times New Roman" w:eastAsia="Times New Roman" w:hint="ascii"/>
          <w:sz w:val="21"/>
        </w:rPr>
        <w:t>40</w:t>
      </w:r>
      <w:r>
        <w:rPr>
          <w:rFonts w:ascii="Times New Roman" w:hAnsi="Times New Roman" w:cs="Times New Roman" w:eastAsia="Times New Roman" w:hint="ascii"/>
          <w:sz w:val="21"/>
          <w:spacing w:val="-20"/>
        </w:rPr>
        <w:t xml:space="preserve"> </w:t>
      </w:r>
      <w:r>
        <w:rPr>
          <w:rFonts w:ascii="宋体" w:hAnsi="宋体" w:cs="宋体" w:eastAsia="宋体" w:hint="ascii"/>
          <w:sz w:val="21"/>
          <w:spacing w:val="6"/>
        </w:rPr>
        <w:t>万</w:t>
      </w:r>
      <w:r>
        <w:rPr>
          <w:rFonts w:ascii="宋体" w:hAnsi="宋体" w:cs="宋体" w:eastAsia="宋体" w:hint="ascii"/>
          <w:sz w:val="21"/>
          <w:spacing w:val="7"/>
        </w:rPr>
        <w:t>元</w:t>
      </w:r>
      <w:r>
        <w:rPr>
          <w:rFonts w:ascii="Times New Roman" w:hAnsi="Times New Roman" w:cs="Times New Roman" w:eastAsia="Times New Roman" w:hint="ascii"/>
          <w:sz w:val="21"/>
          <w:spacing w:val="15"/>
        </w:rPr>
        <w:t>/</w:t>
      </w:r>
      <w:r>
        <w:rPr>
          <w:rFonts w:ascii="宋体" w:hAnsi="宋体" w:cs="宋体" w:eastAsia="宋体" w:hint="ascii"/>
          <w:sz w:val="21"/>
          <w:spacing w:val="6"/>
        </w:rPr>
        <w:t>项，资助期限</w:t>
      </w:r>
      <w:r>
        <w:rPr>
          <w:rFonts w:ascii="宋体" w:hAnsi="宋体" w:cs="宋体" w:eastAsia="宋体" w:hint="ascii"/>
          <w:sz w:val="21"/>
          <w:spacing w:val="-3"/>
        </w:rPr>
        <w:t>为</w:t>
      </w:r>
      <w:r>
        <w:rPr>
          <w:rFonts w:ascii="宋体" w:hAnsi="宋体" w:cs="宋体" w:eastAsia="宋体" w:hint="ascii"/>
          <w:sz w:val="21"/>
          <w:spacing w:val="-19"/>
        </w:rPr>
        <w:t xml:space="preserve"> </w:t>
      </w:r>
      <w:r>
        <w:rPr>
          <w:rFonts w:ascii="Times New Roman" w:hAnsi="Times New Roman" w:cs="Times New Roman" w:eastAsia="Times New Roman" w:hint="ascii"/>
          <w:sz w:val="21"/>
        </w:rPr>
        <w:t xml:space="preserve">3 </w:t>
      </w:r>
      <w:r>
        <w:rPr>
          <w:rFonts w:ascii="宋体" w:hAnsi="宋体" w:cs="宋体" w:eastAsia="宋体" w:hint="ascii"/>
          <w:sz w:val="21"/>
          <w:spacing w:val="3"/>
        </w:rPr>
        <w:t>年，申请书中资助期限应填写</w:t>
      </w:r>
      <w:r>
        <w:rPr>
          <w:rFonts w:ascii="宋体" w:hAnsi="宋体" w:cs="宋体" w:eastAsia="宋体" w:hint="ascii"/>
          <w:sz w:val="21"/>
          <w:spacing w:val="4"/>
        </w:rPr>
        <w:t>“</w:t>
      </w:r>
      <w:r>
        <w:rPr>
          <w:rFonts w:ascii="Times New Roman" w:hAnsi="Times New Roman" w:cs="Times New Roman" w:eastAsia="Times New Roman" w:hint="ascii"/>
          <w:sz w:val="21"/>
          <w:spacing w:val="3"/>
        </w:rPr>
        <w:t>20</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spacing w:val="1"/>
        </w:rPr>
        <w:t>9</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2"/>
        </w:rPr>
        <w:t>年</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月</w:t>
      </w:r>
      <w:r>
        <w:rPr>
          <w:rFonts w:ascii="宋体" w:hAnsi="宋体" w:cs="宋体" w:eastAsia="宋体" w:hint="ascii"/>
          <w:sz w:val="21"/>
          <w:spacing w:val="-2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2"/>
        </w:rPr>
        <w:t>日</w:t>
      </w:r>
      <w:r>
        <w:rPr>
          <w:rFonts w:ascii="宋体" w:hAnsi="宋体" w:cs="宋体" w:eastAsia="宋体" w:hint="ascii"/>
          <w:sz w:val="21"/>
          <w:spacing w:val="-3"/>
        </w:rPr>
        <w:t>至</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2"/>
        </w:rPr>
        <w:t>202</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年</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2"/>
        </w:rPr>
        <w:t>1</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月</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2"/>
        </w:rPr>
        <w:t>3</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spacing w:val="3"/>
        </w:rPr>
        <w:t>日</w:t>
      </w:r>
      <w:r>
        <w:rPr>
          <w:rFonts w:ascii="宋体" w:hAnsi="宋体" w:cs="宋体" w:eastAsia="宋体" w:hint="ascii"/>
          <w:sz w:val="21"/>
          <w:spacing w:val="-52"/>
        </w:rPr>
        <w:t>”</w:t>
      </w:r>
      <w:r>
        <w:rPr>
          <w:rFonts w:ascii="宋体" w:hAnsi="宋体" w:cs="宋体" w:eastAsia="宋体" w:hint="ascii"/>
          <w:sz w:val="21"/>
          <w:spacing w:val="2"/>
        </w:rPr>
        <w:t>。培育项</w:t>
      </w:r>
      <w:r>
        <w:rPr>
          <w:rFonts w:ascii="宋体" w:hAnsi="宋体" w:cs="宋体" w:eastAsia="宋体" w:hint="ascii"/>
          <w:sz w:val="21"/>
          <w:spacing w:val="-6"/>
        </w:rPr>
        <w:t>目</w:t>
      </w:r>
      <w:r>
        <w:rPr>
          <w:rFonts w:ascii="宋体" w:hAnsi="宋体" w:cs="宋体" w:eastAsia="宋体" w:hint="ascii"/>
          <w:sz w:val="21"/>
          <w:spacing w:val="3"/>
        </w:rPr>
        <w:t>资助民航科技可持续</w:t>
      </w:r>
      <w:r>
        <w:rPr>
          <w:rFonts w:ascii="宋体" w:hAnsi="宋体" w:cs="宋体" w:eastAsia="宋体" w:hint="ascii"/>
          <w:sz w:val="21"/>
          <w:spacing w:val="4"/>
        </w:rPr>
        <w:t>发展中的有关科学问题和新技术研究，优先资</w:t>
      </w:r>
      <w:r>
        <w:rPr>
          <w:rFonts w:ascii="宋体" w:hAnsi="宋体" w:cs="宋体" w:eastAsia="宋体" w:hint="ascii"/>
          <w:sz w:val="21"/>
        </w:rPr>
        <w:t>助</w:t>
      </w:r>
      <w:r>
        <w:rPr>
          <w:rFonts w:ascii="宋体" w:hAnsi="宋体" w:cs="宋体" w:eastAsia="宋体" w:hint="ascii"/>
          <w:sz w:val="21"/>
          <w:spacing w:val="-22"/>
        </w:rPr>
        <w:t xml:space="preserve"> </w:t>
      </w:r>
      <w:r>
        <w:rPr>
          <w:rFonts w:ascii="Times New Roman" w:hAnsi="Times New Roman" w:cs="Times New Roman" w:eastAsia="Times New Roman" w:hint="ascii"/>
          <w:sz w:val="21"/>
        </w:rPr>
        <w:t>35</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4"/>
        </w:rPr>
        <w:t>岁（</w:t>
      </w:r>
      <w:r>
        <w:rPr>
          <w:rFonts w:ascii="Times New Roman" w:hAnsi="Times New Roman" w:cs="Times New Roman" w:eastAsia="Times New Roman" w:hint="ascii"/>
          <w:sz w:val="21"/>
        </w:rPr>
        <w:t>1983</w:t>
      </w:r>
      <w:r>
        <w:rPr>
          <w:rFonts w:ascii="Times New Roman" w:hAnsi="Times New Roman" w:cs="Times New Roman" w:eastAsia="Times New Roman" w:hint="ascii"/>
          <w:sz w:val="21"/>
          <w:spacing w:val="-23"/>
        </w:rPr>
        <w:t xml:space="preserve"> </w:t>
      </w:r>
      <w:r>
        <w:rPr>
          <w:rFonts w:ascii="宋体" w:hAnsi="宋体" w:cs="宋体" w:eastAsia="宋体" w:hint="ascii"/>
          <w:sz w:val="21"/>
        </w:rPr>
        <w:t>年</w:t>
      </w:r>
    </w:p>
    <w:p>
      <w:pPr>
        <w:autoSpaceDE w:val="0"/>
        <w:autoSpaceDN w:val="0"/>
        <w:jc w:val="both"/>
        <w:spacing w:before="0" w:after="0" w:lineRule="exact" w:line="319"/>
        <w:ind w:right="979"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月</w:t>
      </w:r>
      <w:r>
        <w:rPr>
          <w:rFonts w:ascii="宋体" w:hAnsi="宋体" w:cs="宋体" w:eastAsia="宋体" w:hint="ascii"/>
          <w:sz w:val="21"/>
          <w:spacing w:val="-2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6"/>
        </w:rPr>
        <w:t xml:space="preserve"> </w:t>
      </w:r>
      <w:r>
        <w:rPr>
          <w:rFonts w:ascii="宋体" w:hAnsi="宋体" w:cs="宋体" w:eastAsia="宋体" w:hint="ascii"/>
          <w:sz w:val="21"/>
        </w:rPr>
        <w:t>日之后出生）以下的青年学者，资助项目数根据申请和评审情况确定。</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6"/>
        </w:rPr>
        <w:t>年</w:t>
      </w:r>
      <w:r>
        <w:rPr>
          <w:rFonts w:ascii="宋体" w:hAnsi="宋体" w:cs="宋体" w:eastAsia="宋体" w:hint="ascii"/>
          <w:sz w:val="21"/>
        </w:rPr>
        <w:t xml:space="preserve"> 主要受理以下研究领域的重点支持项目和培育项目的申请。</w:t>
      </w:r>
    </w:p>
    <w:p>
      <w:pPr>
        <w:autoSpaceDE w:val="0"/>
        <w:autoSpaceDN w:val="0"/>
        <w:jc w:val="left"/>
        <w:spacing w:before="46"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培育项目</w:t>
      </w:r>
    </w:p>
    <w:p>
      <w:pPr>
        <w:autoSpaceDE w:val="0"/>
        <w:autoSpaceDN w:val="0"/>
        <w:jc w:val="both"/>
        <w:spacing w:before="20" w:after="0" w:lineRule="exact" w:line="319"/>
        <w:ind w:right="979" w:left="966" w:firstLine="322"/>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）民用</w:t>
      </w:r>
      <w:r>
        <w:rPr>
          <w:rFonts w:ascii="宋体" w:hAnsi="宋体" w:cs="宋体" w:eastAsia="宋体" w:hint="ascii"/>
          <w:sz w:val="21"/>
        </w:rPr>
        <w:t>航空智能交通与信息安全，国家空域资源管理理论与方法，新航行系</w:t>
      </w:r>
      <w:r>
        <w:rPr>
          <w:rFonts w:ascii="宋体" w:hAnsi="宋体" w:cs="宋体" w:eastAsia="宋体" w:hint="ascii"/>
          <w:sz w:val="21"/>
          <w:spacing w:val="-6"/>
        </w:rPr>
        <w:t>统</w:t>
      </w:r>
      <w:r>
        <w:rPr>
          <w:rFonts w:ascii="宋体" w:hAnsi="宋体" w:cs="宋体" w:eastAsia="宋体" w:hint="ascii"/>
          <w:sz w:val="21"/>
        </w:rPr>
        <w:t>理论与技术，客货流、航班流、空管流量等系统仿真与验证；</w:t>
      </w:r>
    </w:p>
    <w:p>
      <w:pPr>
        <w:autoSpaceDE w:val="0"/>
        <w:autoSpaceDN w:val="0"/>
        <w:jc w:val="left"/>
        <w:spacing w:before="47"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）机场感知理论与技术，航空公司运营信息化理论与技术；</w:t>
      </w:r>
    </w:p>
    <w:p>
      <w:pPr>
        <w:autoSpaceDE w:val="0"/>
        <w:autoSpaceDN w:val="0"/>
        <w:jc w:val="both"/>
        <w:spacing w:before="13" w:after="0" w:lineRule="exact" w:line="319"/>
        <w:ind w:right="979" w:left="966" w:firstLine="322"/>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）航空</w:t>
      </w:r>
      <w:r>
        <w:rPr>
          <w:rFonts w:ascii="宋体" w:hAnsi="宋体" w:cs="宋体" w:eastAsia="宋体" w:hint="ascii"/>
          <w:sz w:val="21"/>
        </w:rPr>
        <w:t>犯罪预防控制理论与技术，非正常条件航空突发事件应急协同决策方</w:t>
      </w:r>
      <w:r>
        <w:rPr>
          <w:rFonts w:ascii="宋体" w:hAnsi="宋体" w:cs="宋体" w:eastAsia="宋体" w:hint="ascii"/>
          <w:sz w:val="21"/>
          <w:spacing w:val="-6"/>
        </w:rPr>
        <w:t>法</w:t>
      </w:r>
      <w:r>
        <w:rPr>
          <w:rFonts w:ascii="宋体" w:hAnsi="宋体" w:cs="宋体" w:eastAsia="宋体" w:hint="ascii"/>
          <w:sz w:val="21"/>
        </w:rPr>
        <w:t>优化与实现；</w:t>
      </w:r>
    </w:p>
    <w:p>
      <w:pPr>
        <w:autoSpaceDE w:val="0"/>
        <w:autoSpaceDN w:val="0"/>
        <w:jc w:val="both"/>
        <w:spacing w:before="0" w:after="0" w:lineRule="exact" w:line="320"/>
        <w:ind w:right="979" w:left="966" w:firstLine="322"/>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）民用</w:t>
      </w:r>
      <w:r>
        <w:rPr>
          <w:rFonts w:ascii="宋体" w:hAnsi="宋体" w:cs="宋体" w:eastAsia="宋体" w:hint="ascii"/>
          <w:sz w:val="21"/>
        </w:rPr>
        <w:t>航空系统可靠性与安全性理论与方法，航空安全科学理论，航空安全</w:t>
      </w:r>
      <w:r>
        <w:rPr>
          <w:rFonts w:ascii="宋体" w:hAnsi="宋体" w:cs="宋体" w:eastAsia="宋体" w:hint="ascii"/>
          <w:sz w:val="21"/>
          <w:spacing w:val="-6"/>
        </w:rPr>
        <w:t>检</w:t>
      </w:r>
      <w:r>
        <w:rPr>
          <w:rFonts w:ascii="宋体" w:hAnsi="宋体" w:cs="宋体" w:eastAsia="宋体" w:hint="ascii"/>
          <w:sz w:val="21"/>
        </w:rPr>
        <w:t>查新技术与方法，飞机运维新材料新工艺及其检测理论与技术；</w:t>
      </w:r>
    </w:p>
    <w:p>
      <w:pPr>
        <w:autoSpaceDE w:val="0"/>
        <w:autoSpaceDN w:val="0"/>
        <w:jc w:val="left"/>
        <w:spacing w:before="45"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）民航运输服务品质优化设计与仿真，航空医学理论与方法。</w:t>
      </w:r>
    </w:p>
    <w:p>
      <w:pPr>
        <w:autoSpaceDE w:val="0"/>
        <w:autoSpaceDN w:val="0"/>
        <w:jc w:val="left"/>
        <w:spacing w:before="420"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2. </w:t>
      </w:r>
      <w:r>
        <w:rPr>
          <w:rFonts w:ascii="宋体" w:hAnsi="宋体" w:cs="宋体" w:eastAsia="宋体" w:hint="ascii"/>
          <w:sz w:val="21"/>
        </w:rPr>
        <w:t>重点支持项目</w:t>
      </w:r>
      <w:r>
        <w:rPr>
          <w:rFonts w:ascii="宋体" w:hAnsi="宋体" w:cs="宋体" w:eastAsia="宋体" w:hint="ascii"/>
          <w:sz w:val="21"/>
        </w:rPr>
        <mc:AlternateContent>
          <mc:Choice Requires="wps">
            <w:drawing>
              <wp:anchor distL="0" distR="0" distT="0" distB="0" simplePos="0" behindDoc="1" relativeHeight="273" locked="0" layoutInCell="1" allowOverlap="1">
                <wp:simplePos x="0" y="0"/>
                <wp:positionH relativeFrom="page">
                  <wp:posOffset>938530</wp:posOffset>
                </wp:positionH>
                <wp:positionV relativeFrom="page">
                  <wp:posOffset>819150</wp:posOffset>
                </wp:positionV>
                <wp:extent cx="5076190" cy="0"/>
                <wp:wrapNone/>
                <wp:docPr id="1302" name="130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78688;width:399.70pt;" id="130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）民用航空器表面超疏水涂层防冰基础理论及技术研究；</w:t>
      </w:r>
    </w:p>
    <w:p>
      <w:pPr>
        <w:autoSpaceDE w:val="0"/>
        <w:autoSpaceDN w:val="0"/>
        <w:jc w:val="left"/>
        <w:spacing w:before="58"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）基于多源数据的飞行风险时空分析与预警关键技术研究；</w:t>
      </w:r>
    </w:p>
    <w:p>
      <w:pPr>
        <w:autoSpaceDE w:val="0"/>
        <w:autoSpaceDN w:val="0"/>
        <w:jc w:val="left"/>
        <w:spacing w:before="58"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）机场净空区非合作无人机目标监视的关键技术研究；</w:t>
      </w:r>
    </w:p>
    <w:p>
      <w:pPr>
        <w:autoSpaceDE w:val="0"/>
        <w:autoSpaceDN w:val="0"/>
        <w:jc w:val="left"/>
        <w:spacing w:before="57"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）永冻土环境机场跑道道基稳定性与控制关键技术研究。</w:t>
      </w:r>
    </w:p>
    <w:p>
      <w:pPr>
        <w:autoSpaceDE w:val="0"/>
        <w:autoSpaceDN w:val="0"/>
        <w:jc w:val="left"/>
        <w:spacing w:before="17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二、申报要求及注意事项</w:t>
      </w:r>
    </w:p>
    <w:p>
      <w:pPr>
        <w:autoSpaceDE w:val="0"/>
        <w:autoSpaceDN w:val="0"/>
        <w:jc w:val="both"/>
        <w:spacing w:before="156" w:after="0" w:lineRule="exact" w:line="320"/>
        <w:ind w:right="981" w:left="966" w:firstLine="322"/>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）本联</w:t>
      </w:r>
      <w:r>
        <w:rPr>
          <w:rFonts w:ascii="宋体" w:hAnsi="宋体" w:cs="宋体" w:eastAsia="宋体" w:hint="ascii"/>
          <w:sz w:val="21"/>
        </w:rPr>
        <w:t>合基金项目申请、评审和管理按照《国家自然科学基金联合基金项目</w:t>
      </w:r>
      <w:r>
        <w:rPr>
          <w:rFonts w:ascii="宋体" w:hAnsi="宋体" w:cs="宋体" w:eastAsia="宋体" w:hint="ascii"/>
          <w:sz w:val="21"/>
          <w:spacing w:val="-6"/>
        </w:rPr>
        <w:t>管</w:t>
      </w:r>
      <w:r>
        <w:rPr>
          <w:rFonts w:ascii="宋体" w:hAnsi="宋体" w:cs="宋体" w:eastAsia="宋体" w:hint="ascii"/>
          <w:sz w:val="21"/>
        </w:rPr>
        <w:t>理办法》执行。</w:t>
      </w:r>
    </w:p>
    <w:p>
      <w:pPr>
        <w:autoSpaceDE w:val="0"/>
        <w:autoSpaceDN w:val="0"/>
        <w:jc w:val="left"/>
        <w:spacing w:before="0" w:after="0" w:lineRule="exact" w:line="319"/>
        <w:ind w:right="964" w:left="859" w:firstLine="428"/>
        <w:snapToGrid w:val="0"/>
        <w:textAlignment w:val="auto"/>
        <w:tabs/>
        <w:rPr>
          <w:rFonts w:ascii="宋体" w:hAnsi="宋体" w:cs="宋体" w:eastAsia="宋体" w:hint="ascii"/>
          <w:sz w:val="21"/>
        </w:rPr>
      </w:pPr>
      <w:r>
        <w:rPr>
          <w:rFonts w:ascii="宋体" w:hAnsi="宋体" w:cs="宋体" w:eastAsia="宋体" w:hint="ascii"/>
          <w:sz w:val="21"/>
          <w:spacing w:val="5"/>
        </w:rPr>
        <w:t>（</w:t>
      </w:r>
      <w:r>
        <w:rPr>
          <w:rFonts w:ascii="Times New Roman" w:hAnsi="Times New Roman" w:cs="Times New Roman" w:eastAsia="Times New Roman" w:hint="ascii"/>
          <w:sz w:val="21"/>
          <w:spacing w:val="7"/>
        </w:rPr>
        <w:t>2</w:t>
      </w:r>
      <w:r>
        <w:rPr>
          <w:rFonts w:ascii="宋体" w:hAnsi="宋体" w:cs="宋体" w:eastAsia="宋体" w:hint="ascii"/>
          <w:sz w:val="21"/>
          <w:spacing w:val="4"/>
        </w:rPr>
        <w:t>）申请项目应当</w:t>
      </w:r>
      <w:r>
        <w:rPr>
          <w:rFonts w:ascii="宋体" w:hAnsi="宋体" w:cs="宋体" w:eastAsia="宋体" w:hint="ascii"/>
          <w:sz w:val="21"/>
          <w:spacing w:val="5"/>
        </w:rPr>
        <w:t>符</w:t>
      </w:r>
      <w:r>
        <w:rPr>
          <w:rFonts w:ascii="宋体" w:hAnsi="宋体" w:cs="宋体" w:eastAsia="宋体" w:hint="ascii"/>
          <w:sz w:val="21"/>
          <w:spacing w:val="4"/>
        </w:rPr>
        <w:t>合本《指</w:t>
      </w:r>
      <w:r>
        <w:rPr>
          <w:rFonts w:ascii="宋体" w:hAnsi="宋体" w:cs="宋体" w:eastAsia="宋体" w:hint="ascii"/>
          <w:sz w:val="21"/>
          <w:spacing w:val="5"/>
        </w:rPr>
        <w:t>南</w:t>
      </w:r>
      <w:r>
        <w:rPr>
          <w:rFonts w:ascii="宋体" w:hAnsi="宋体" w:cs="宋体" w:eastAsia="宋体" w:hint="ascii"/>
          <w:sz w:val="21"/>
          <w:spacing w:val="4"/>
        </w:rPr>
        <w:t>》研究领</w:t>
      </w:r>
      <w:r>
        <w:rPr>
          <w:rFonts w:ascii="宋体" w:hAnsi="宋体" w:cs="宋体" w:eastAsia="宋体" w:hint="ascii"/>
          <w:sz w:val="21"/>
          <w:spacing w:val="5"/>
        </w:rPr>
        <w:t>域范围与要</w:t>
      </w:r>
      <w:r>
        <w:rPr>
          <w:rFonts w:ascii="宋体" w:hAnsi="宋体" w:cs="宋体" w:eastAsia="宋体" w:hint="ascii"/>
          <w:sz w:val="21"/>
          <w:spacing w:val="6"/>
        </w:rPr>
        <w:t>求</w:t>
      </w:r>
      <w:r>
        <w:rPr>
          <w:rFonts w:ascii="宋体" w:hAnsi="宋体" w:cs="宋体" w:eastAsia="宋体" w:hint="ascii"/>
          <w:sz w:val="21"/>
          <w:spacing w:val="5"/>
        </w:rPr>
        <w:t>。申请书</w:t>
      </w:r>
      <w:r>
        <w:rPr>
          <w:rFonts w:ascii="宋体" w:hAnsi="宋体" w:cs="宋体" w:eastAsia="宋体" w:hint="ascii"/>
          <w:sz w:val="21"/>
          <w:spacing w:val="6"/>
        </w:rPr>
        <w:t>资</w:t>
      </w:r>
      <w:r>
        <w:rPr>
          <w:rFonts w:ascii="宋体" w:hAnsi="宋体" w:cs="宋体" w:eastAsia="宋体" w:hint="ascii"/>
          <w:sz w:val="21"/>
          <w:spacing w:val="5"/>
        </w:rPr>
        <w:t>助类别</w:t>
      </w:r>
      <w:r>
        <w:rPr>
          <w:rFonts w:ascii="宋体" w:hAnsi="宋体" w:cs="宋体" w:eastAsia="宋体" w:hint="ascii"/>
          <w:sz w:val="21"/>
          <w:spacing w:val="6"/>
        </w:rPr>
        <w:t>选</w:t>
      </w:r>
      <w:r>
        <w:rPr>
          <w:rFonts w:ascii="宋体" w:hAnsi="宋体" w:cs="宋体" w:eastAsia="宋体" w:hint="ascii"/>
          <w:sz w:val="21"/>
          <w:spacing w:val="-1"/>
        </w:rPr>
        <w:t>择</w:t>
      </w:r>
      <w:r>
        <w:rPr>
          <w:rFonts w:ascii="宋体" w:hAnsi="宋体" w:cs="宋体" w:eastAsia="宋体" w:hint="ascii"/>
          <w:sz w:val="21"/>
        </w:rPr>
        <w:t xml:space="preserve"> </w:t>
      </w:r>
      <w:r>
        <w:rPr>
          <w:rFonts w:ascii="宋体" w:hAnsi="宋体" w:cs="宋体" w:eastAsia="宋体" w:hint="ascii"/>
          <w:sz w:val="21"/>
          <w:spacing w:val="5"/>
        </w:rPr>
        <w:t>“联</w:t>
      </w:r>
      <w:r>
        <w:rPr>
          <w:rFonts w:ascii="宋体" w:hAnsi="宋体" w:cs="宋体" w:eastAsia="宋体" w:hint="ascii"/>
          <w:sz w:val="21"/>
          <w:spacing w:val="6"/>
        </w:rPr>
        <w:t>合</w:t>
      </w:r>
      <w:r>
        <w:rPr>
          <w:rFonts w:ascii="宋体" w:hAnsi="宋体" w:cs="宋体" w:eastAsia="宋体" w:hint="ascii"/>
          <w:sz w:val="21"/>
          <w:spacing w:val="5"/>
        </w:rPr>
        <w:t>基金项目</w:t>
      </w:r>
      <w:r>
        <w:rPr>
          <w:rFonts w:ascii="宋体" w:hAnsi="宋体" w:cs="宋体" w:eastAsia="宋体" w:hint="ascii"/>
          <w:sz w:val="21"/>
          <w:spacing w:val="-48"/>
        </w:rPr>
        <w:t>”</w:t>
      </w:r>
      <w:r>
        <w:rPr>
          <w:rFonts w:ascii="宋体" w:hAnsi="宋体" w:cs="宋体" w:eastAsia="宋体" w:hint="ascii"/>
          <w:sz w:val="21"/>
          <w:spacing w:val="5"/>
        </w:rPr>
        <w:t>，</w:t>
      </w:r>
      <w:r>
        <w:rPr>
          <w:rFonts w:ascii="宋体" w:hAnsi="宋体" w:cs="宋体" w:eastAsia="宋体" w:hint="ascii"/>
          <w:sz w:val="21"/>
          <w:spacing w:val="6"/>
        </w:rPr>
        <w:t>亚类</w:t>
      </w:r>
      <w:r>
        <w:rPr>
          <w:rFonts w:ascii="宋体" w:hAnsi="宋体" w:cs="宋体" w:eastAsia="宋体" w:hint="ascii"/>
          <w:sz w:val="21"/>
          <w:spacing w:val="7"/>
        </w:rPr>
        <w:t>说</w:t>
      </w:r>
      <w:r>
        <w:rPr>
          <w:rFonts w:ascii="宋体" w:hAnsi="宋体" w:cs="宋体" w:eastAsia="宋体" w:hint="ascii"/>
          <w:sz w:val="21"/>
          <w:spacing w:val="6"/>
        </w:rPr>
        <w:t>明选择“</w:t>
      </w:r>
      <w:r>
        <w:rPr>
          <w:rFonts w:ascii="宋体" w:hAnsi="宋体" w:cs="宋体" w:eastAsia="宋体" w:hint="ascii"/>
          <w:sz w:val="21"/>
          <w:spacing w:val="7"/>
        </w:rPr>
        <w:t>培</w:t>
      </w:r>
      <w:r>
        <w:rPr>
          <w:rFonts w:ascii="宋体" w:hAnsi="宋体" w:cs="宋体" w:eastAsia="宋体" w:hint="ascii"/>
          <w:sz w:val="21"/>
          <w:spacing w:val="6"/>
        </w:rPr>
        <w:t>育项目”</w:t>
      </w:r>
      <w:r>
        <w:rPr>
          <w:rFonts w:ascii="宋体" w:hAnsi="宋体" w:cs="宋体" w:eastAsia="宋体" w:hint="ascii"/>
          <w:sz w:val="21"/>
          <w:spacing w:val="7"/>
        </w:rPr>
        <w:t>或</w:t>
      </w:r>
      <w:r>
        <w:rPr>
          <w:rFonts w:ascii="宋体" w:hAnsi="宋体" w:cs="宋体" w:eastAsia="宋体" w:hint="ascii"/>
          <w:sz w:val="21"/>
          <w:spacing w:val="6"/>
        </w:rPr>
        <w:t>“重点支</w:t>
      </w:r>
      <w:r>
        <w:rPr>
          <w:rFonts w:ascii="宋体" w:hAnsi="宋体" w:cs="宋体" w:eastAsia="宋体" w:hint="ascii"/>
          <w:sz w:val="21"/>
          <w:spacing w:val="7"/>
        </w:rPr>
        <w:t>持</w:t>
      </w:r>
      <w:r>
        <w:rPr>
          <w:rFonts w:ascii="宋体" w:hAnsi="宋体" w:cs="宋体" w:eastAsia="宋体" w:hint="ascii"/>
          <w:sz w:val="21"/>
          <w:spacing w:val="6"/>
        </w:rPr>
        <w:t>项目</w:t>
      </w:r>
      <w:r>
        <w:rPr>
          <w:rFonts w:ascii="宋体" w:hAnsi="宋体" w:cs="宋体" w:eastAsia="宋体" w:hint="ascii"/>
          <w:sz w:val="21"/>
          <w:spacing w:val="-47"/>
        </w:rPr>
        <w:t>”</w:t>
      </w:r>
      <w:r>
        <w:rPr>
          <w:rFonts w:ascii="宋体" w:hAnsi="宋体" w:cs="宋体" w:eastAsia="宋体" w:hint="ascii"/>
          <w:sz w:val="21"/>
          <w:spacing w:val="6"/>
        </w:rPr>
        <w:t>，</w:t>
      </w:r>
      <w:r>
        <w:rPr>
          <w:rFonts w:ascii="宋体" w:hAnsi="宋体" w:cs="宋体" w:eastAsia="宋体" w:hint="ascii"/>
          <w:sz w:val="21"/>
          <w:spacing w:val="7"/>
        </w:rPr>
        <w:t>附</w:t>
      </w:r>
      <w:r>
        <w:rPr>
          <w:rFonts w:ascii="宋体" w:hAnsi="宋体" w:cs="宋体" w:eastAsia="宋体" w:hint="ascii"/>
          <w:sz w:val="21"/>
          <w:spacing w:val="6"/>
        </w:rPr>
        <w:t>注说明</w:t>
      </w:r>
      <w:r>
        <w:rPr>
          <w:rFonts w:ascii="宋体" w:hAnsi="宋体" w:cs="宋体" w:eastAsia="宋体" w:hint="ascii"/>
          <w:sz w:val="21"/>
          <w:spacing w:val="7"/>
        </w:rPr>
        <w:t>选</w:t>
      </w:r>
      <w:r>
        <w:rPr>
          <w:rFonts w:ascii="宋体" w:hAnsi="宋体" w:cs="宋体" w:eastAsia="宋体" w:hint="ascii"/>
          <w:sz w:val="21"/>
          <w:spacing w:val="-1"/>
        </w:rPr>
        <w:t>择</w:t>
      </w:r>
      <w:r>
        <w:rPr>
          <w:rFonts w:ascii="宋体" w:hAnsi="宋体" w:cs="宋体" w:eastAsia="宋体" w:hint="ascii"/>
          <w:sz w:val="21"/>
        </w:rPr>
        <w:t xml:space="preserve"> </w:t>
      </w:r>
      <w:r>
        <w:rPr>
          <w:rFonts w:ascii="宋体" w:hAnsi="宋体" w:cs="宋体" w:eastAsia="宋体" w:hint="ascii"/>
          <w:sz w:val="21"/>
          <w:spacing w:val="3"/>
        </w:rPr>
        <w:t>“</w:t>
      </w:r>
      <w:r>
        <w:rPr>
          <w:rFonts w:ascii="宋体" w:hAnsi="宋体" w:cs="宋体" w:eastAsia="宋体" w:hint="ascii"/>
          <w:sz w:val="21"/>
        </w:rPr>
        <w:t>民航</w:t>
      </w:r>
      <w:r>
        <w:rPr>
          <w:rFonts w:ascii="宋体" w:hAnsi="宋体" w:cs="宋体" w:eastAsia="宋体" w:hint="ascii"/>
          <w:sz w:val="21"/>
          <w:spacing w:val="3"/>
        </w:rPr>
        <w:t>联</w:t>
      </w:r>
      <w:r>
        <w:rPr>
          <w:rFonts w:ascii="宋体" w:hAnsi="宋体" w:cs="宋体" w:eastAsia="宋体" w:hint="ascii"/>
          <w:sz w:val="21"/>
        </w:rPr>
        <w:t>合研</w:t>
      </w:r>
      <w:r>
        <w:rPr>
          <w:rFonts w:ascii="宋体" w:hAnsi="宋体" w:cs="宋体" w:eastAsia="宋体" w:hint="ascii"/>
          <w:sz w:val="21"/>
          <w:spacing w:val="3"/>
        </w:rPr>
        <w:t>究</w:t>
      </w:r>
      <w:r>
        <w:rPr>
          <w:rFonts w:ascii="宋体" w:hAnsi="宋体" w:cs="宋体" w:eastAsia="宋体" w:hint="ascii"/>
          <w:sz w:val="21"/>
        </w:rPr>
        <w:t>基金</w:t>
      </w:r>
      <w:r>
        <w:rPr>
          <w:rFonts w:ascii="宋体" w:hAnsi="宋体" w:cs="宋体" w:eastAsia="宋体" w:hint="ascii"/>
          <w:sz w:val="21"/>
          <w:spacing w:val="-50"/>
        </w:rPr>
        <w:t>”</w:t>
      </w:r>
      <w:r>
        <w:rPr>
          <w:rFonts w:ascii="宋体" w:hAnsi="宋体" w:cs="宋体" w:eastAsia="宋体" w:hint="ascii"/>
          <w:sz w:val="21"/>
        </w:rPr>
        <w:t>；申</w:t>
      </w:r>
      <w:r>
        <w:rPr>
          <w:rFonts w:ascii="宋体" w:hAnsi="宋体" w:cs="宋体" w:eastAsia="宋体" w:hint="ascii"/>
          <w:sz w:val="21"/>
          <w:spacing w:val="3"/>
        </w:rPr>
        <w:t>请</w:t>
      </w:r>
      <w:r>
        <w:rPr>
          <w:rFonts w:ascii="宋体" w:hAnsi="宋体" w:cs="宋体" w:eastAsia="宋体" w:hint="ascii"/>
          <w:sz w:val="21"/>
        </w:rPr>
        <w:t>代码</w:t>
      </w:r>
      <w:r>
        <w:rPr>
          <w:rFonts w:ascii="宋体" w:hAnsi="宋体" w:cs="宋体" w:eastAsia="宋体" w:hint="ascii"/>
          <w:sz w:val="21"/>
          <w:spacing w:val="-2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必须</w:t>
      </w:r>
      <w:r>
        <w:rPr>
          <w:rFonts w:ascii="宋体" w:hAnsi="宋体" w:cs="宋体" w:eastAsia="宋体" w:hint="ascii"/>
          <w:sz w:val="21"/>
        </w:rPr>
        <w:t>填</w:t>
      </w:r>
      <w:r>
        <w:rPr>
          <w:rFonts w:ascii="宋体" w:hAnsi="宋体" w:cs="宋体" w:eastAsia="宋体" w:hint="ascii"/>
          <w:sz w:val="21"/>
          <w:spacing w:val="3"/>
        </w:rPr>
        <w:t>写“</w:t>
      </w:r>
      <w:r>
        <w:rPr>
          <w:rFonts w:ascii="Times New Roman" w:hAnsi="Times New Roman" w:cs="Times New Roman" w:eastAsia="Times New Roman" w:hint="ascii"/>
          <w:sz w:val="21"/>
        </w:rPr>
        <w:t>F01</w:t>
      </w:r>
      <w:r>
        <w:rPr>
          <w:rFonts w:ascii="宋体" w:hAnsi="宋体" w:cs="宋体" w:eastAsia="宋体" w:hint="ascii"/>
          <w:sz w:val="21"/>
          <w:spacing w:val="-50"/>
        </w:rPr>
        <w:t>”</w:t>
      </w:r>
      <w:r>
        <w:rPr>
          <w:rFonts w:ascii="宋体" w:hAnsi="宋体" w:cs="宋体" w:eastAsia="宋体" w:hint="ascii"/>
          <w:sz w:val="21"/>
        </w:rPr>
        <w:t>，申</w:t>
      </w:r>
      <w:r>
        <w:rPr>
          <w:rFonts w:ascii="宋体" w:hAnsi="宋体" w:cs="宋体" w:eastAsia="宋体" w:hint="ascii"/>
          <w:sz w:val="21"/>
          <w:spacing w:val="3"/>
        </w:rPr>
        <w:t>请</w:t>
      </w:r>
      <w:r>
        <w:rPr>
          <w:rFonts w:ascii="宋体" w:hAnsi="宋体" w:cs="宋体" w:eastAsia="宋体" w:hint="ascii"/>
          <w:sz w:val="21"/>
        </w:rPr>
        <w:t>代码</w:t>
      </w:r>
      <w:r>
        <w:rPr>
          <w:rFonts w:ascii="宋体" w:hAnsi="宋体" w:cs="宋体" w:eastAsia="宋体" w:hint="ascii"/>
          <w:sz w:val="21"/>
          <w:spacing w:val="-23"/>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4"/>
        </w:rPr>
        <w:t xml:space="preserve"> </w:t>
      </w:r>
      <w:r>
        <w:rPr>
          <w:rFonts w:ascii="宋体" w:hAnsi="宋体" w:cs="宋体" w:eastAsia="宋体" w:hint="ascii"/>
          <w:sz w:val="21"/>
          <w:spacing w:val="3"/>
        </w:rPr>
        <w:t>根</w:t>
      </w:r>
      <w:r>
        <w:rPr>
          <w:rFonts w:ascii="宋体" w:hAnsi="宋体" w:cs="宋体" w:eastAsia="宋体" w:hint="ascii"/>
          <w:sz w:val="21"/>
        </w:rPr>
        <w:t>据</w:t>
      </w:r>
      <w:r>
        <w:rPr>
          <w:rFonts w:ascii="宋体" w:hAnsi="宋体" w:cs="宋体" w:eastAsia="宋体" w:hint="ascii"/>
          <w:sz w:val="21"/>
          <w:spacing w:val="3"/>
        </w:rPr>
        <w:t>项</w:t>
      </w:r>
      <w:r>
        <w:rPr>
          <w:rFonts w:ascii="宋体" w:hAnsi="宋体" w:cs="宋体" w:eastAsia="宋体" w:hint="ascii"/>
          <w:sz w:val="21"/>
        </w:rPr>
        <w:t>目</w:t>
      </w:r>
      <w:r>
        <w:rPr>
          <w:rFonts w:ascii="宋体" w:hAnsi="宋体" w:cs="宋体" w:eastAsia="宋体" w:hint="ascii"/>
          <w:sz w:val="21"/>
          <w:spacing w:val="3"/>
        </w:rPr>
        <w:t>研</w:t>
      </w:r>
      <w:r>
        <w:rPr>
          <w:rFonts w:ascii="宋体" w:hAnsi="宋体" w:cs="宋体" w:eastAsia="宋体" w:hint="ascii"/>
          <w:sz w:val="21"/>
        </w:rPr>
        <w:t>究</w:t>
      </w:r>
      <w:r>
        <w:rPr>
          <w:rFonts w:ascii="宋体" w:hAnsi="宋体" w:cs="宋体" w:eastAsia="宋体" w:hint="ascii"/>
          <w:sz w:val="21"/>
          <w:spacing w:val="3"/>
        </w:rPr>
        <w:t>所</w:t>
      </w:r>
      <w:r>
        <w:rPr>
          <w:rFonts w:ascii="宋体" w:hAnsi="宋体" w:cs="宋体" w:eastAsia="宋体" w:hint="ascii"/>
          <w:sz w:val="21"/>
        </w:rPr>
        <w:t>涉及</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的领域自行选择相应的申请代码。</w:t>
      </w:r>
    </w:p>
    <w:p>
      <w:pPr>
        <w:autoSpaceDE w:val="0"/>
        <w:autoSpaceDN w:val="0"/>
        <w:jc w:val="both"/>
        <w:spacing w:before="10" w:after="0" w:lineRule="exact" w:line="320"/>
        <w:ind w:right="964" w:left="859" w:firstLine="428"/>
        <w:snapToGrid w:val="0"/>
        <w:textAlignment w:val="auto"/>
        <w:tabs/>
        <w:rPr>
          <w:rFonts w:ascii="宋体" w:hAnsi="宋体" w:cs="宋体" w:eastAsia="宋体" w:hint="ascii"/>
          <w:sz w:val="21"/>
        </w:rPr>
      </w:pPr>
      <w:r>
        <w:rPr>
          <w:rFonts w:ascii="宋体" w:hAnsi="宋体" w:cs="宋体" w:eastAsia="宋体" w:hint="ascii"/>
          <w:sz w:val="21"/>
          <w:spacing w:val="5"/>
        </w:rPr>
        <w:t>（</w:t>
      </w:r>
      <w:r>
        <w:rPr>
          <w:rFonts w:ascii="Times New Roman" w:hAnsi="Times New Roman" w:cs="Times New Roman" w:eastAsia="Times New Roman" w:hint="ascii"/>
          <w:sz w:val="21"/>
          <w:spacing w:val="10"/>
        </w:rPr>
        <w:t>3</w:t>
      </w:r>
      <w:r>
        <w:rPr>
          <w:rFonts w:ascii="宋体" w:hAnsi="宋体" w:cs="宋体" w:eastAsia="宋体" w:hint="ascii"/>
          <w:sz w:val="21"/>
          <w:spacing w:val="4"/>
        </w:rPr>
        <w:t>）申请本联合</w:t>
      </w:r>
      <w:r>
        <w:rPr>
          <w:rFonts w:ascii="宋体" w:hAnsi="宋体" w:cs="宋体" w:eastAsia="宋体" w:hint="ascii"/>
          <w:sz w:val="21"/>
          <w:spacing w:val="3"/>
        </w:rPr>
        <w:t>基</w:t>
      </w:r>
      <w:r>
        <w:rPr>
          <w:rFonts w:ascii="宋体" w:hAnsi="宋体" w:cs="宋体" w:eastAsia="宋体" w:hint="ascii"/>
          <w:sz w:val="21"/>
          <w:spacing w:val="4"/>
        </w:rPr>
        <w:t>金</w:t>
      </w:r>
      <w:r>
        <w:rPr>
          <w:rFonts w:ascii="宋体" w:hAnsi="宋体" w:cs="宋体" w:eastAsia="宋体" w:hint="ascii"/>
          <w:sz w:val="21"/>
          <w:spacing w:val="3"/>
        </w:rPr>
        <w:t>的“重点</w:t>
      </w:r>
      <w:r>
        <w:rPr>
          <w:rFonts w:ascii="宋体" w:hAnsi="宋体" w:cs="宋体" w:eastAsia="宋体" w:hint="ascii"/>
          <w:sz w:val="21"/>
          <w:spacing w:val="4"/>
        </w:rPr>
        <w:t>支</w:t>
      </w:r>
      <w:r>
        <w:rPr>
          <w:rFonts w:ascii="宋体" w:hAnsi="宋体" w:cs="宋体" w:eastAsia="宋体" w:hint="ascii"/>
          <w:sz w:val="21"/>
          <w:spacing w:val="3"/>
        </w:rPr>
        <w:t>持项目”</w:t>
      </w:r>
      <w:r>
        <w:rPr>
          <w:rFonts w:ascii="宋体" w:hAnsi="宋体" w:cs="宋体" w:eastAsia="宋体" w:hint="ascii"/>
          <w:sz w:val="21"/>
          <w:spacing w:val="4"/>
        </w:rPr>
        <w:t>的</w:t>
      </w:r>
      <w:r>
        <w:rPr>
          <w:rFonts w:ascii="宋体" w:hAnsi="宋体" w:cs="宋体" w:eastAsia="宋体" w:hint="ascii"/>
          <w:sz w:val="21"/>
          <w:spacing w:val="3"/>
        </w:rPr>
        <w:t>申请人应</w:t>
      </w:r>
      <w:r>
        <w:rPr>
          <w:rFonts w:ascii="宋体" w:hAnsi="宋体" w:cs="宋体" w:eastAsia="宋体" w:hint="ascii"/>
          <w:sz w:val="21"/>
          <w:spacing w:val="4"/>
        </w:rPr>
        <w:t>当</w:t>
      </w:r>
      <w:r>
        <w:rPr>
          <w:rFonts w:ascii="宋体" w:hAnsi="宋体" w:cs="宋体" w:eastAsia="宋体" w:hint="ascii"/>
          <w:sz w:val="21"/>
          <w:spacing w:val="3"/>
        </w:rPr>
        <w:t>具有高级</w:t>
      </w:r>
      <w:r>
        <w:rPr>
          <w:rFonts w:ascii="宋体" w:hAnsi="宋体" w:cs="宋体" w:eastAsia="宋体" w:hint="ascii"/>
          <w:sz w:val="21"/>
          <w:spacing w:val="4"/>
        </w:rPr>
        <w:t>专</w:t>
      </w:r>
      <w:r>
        <w:rPr>
          <w:rFonts w:ascii="宋体" w:hAnsi="宋体" w:cs="宋体" w:eastAsia="宋体" w:hint="ascii"/>
          <w:sz w:val="21"/>
          <w:spacing w:val="3"/>
        </w:rPr>
        <w:t>业技术</w:t>
      </w:r>
      <w:r>
        <w:rPr>
          <w:rFonts w:ascii="宋体" w:hAnsi="宋体" w:cs="宋体" w:eastAsia="宋体" w:hint="ascii"/>
          <w:sz w:val="21"/>
          <w:spacing w:val="4"/>
        </w:rPr>
        <w:t>职</w:t>
      </w:r>
      <w:r>
        <w:rPr>
          <w:rFonts w:ascii="宋体" w:hAnsi="宋体" w:cs="宋体" w:eastAsia="宋体" w:hint="ascii"/>
          <w:sz w:val="21"/>
          <w:spacing w:val="-6"/>
        </w:rPr>
        <w:t>务</w:t>
      </w:r>
      <w:r>
        <w:rPr>
          <w:rFonts w:ascii="宋体" w:hAnsi="宋体" w:cs="宋体" w:eastAsia="宋体" w:hint="ascii"/>
          <w:sz w:val="21"/>
        </w:rPr>
        <w:t>（职称</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9"/>
        <w:ind w:right="981" w:left="966" w:firstLine="322"/>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）本联</w:t>
      </w:r>
      <w:r>
        <w:rPr>
          <w:rFonts w:ascii="宋体" w:hAnsi="宋体" w:cs="宋体" w:eastAsia="宋体" w:hint="ascii"/>
          <w:sz w:val="21"/>
        </w:rPr>
        <w:t>合基金项目与科学基金其他相关类型项目共同限项申请，限制申请和</w:t>
      </w:r>
      <w:r>
        <w:rPr>
          <w:rFonts w:ascii="宋体" w:hAnsi="宋体" w:cs="宋体" w:eastAsia="宋体" w:hint="ascii"/>
          <w:sz w:val="21"/>
          <w:spacing w:val="-6"/>
        </w:rPr>
        <w:t>承</w:t>
      </w:r>
      <w:r>
        <w:rPr>
          <w:rFonts w:ascii="宋体" w:hAnsi="宋体" w:cs="宋体" w:eastAsia="宋体" w:hint="ascii"/>
          <w:sz w:val="21"/>
        </w:rPr>
        <w:t>担项目总数及其共同限项项目类型见本《指南》中的限项申请规定。</w:t>
      </w:r>
    </w:p>
    <w:p>
      <w:pPr>
        <w:autoSpaceDE w:val="0"/>
        <w:autoSpaceDN w:val="0"/>
        <w:jc w:val="left"/>
        <w:spacing w:before="1" w:after="0" w:lineRule="exact" w:line="320"/>
        <w:ind w:right="964" w:left="966" w:firstLine="322"/>
        <w:snapToGrid w:val="0"/>
        <w:textAlignment w:val="auto"/>
        <w:tabs/>
        <w:rPr>
          <w:rFonts w:ascii="宋体" w:hAnsi="宋体" w:cs="宋体" w:eastAsia="宋体" w:hint="ascii"/>
          <w:sz w:val="21"/>
        </w:rPr>
      </w:pPr>
      <w:r>
        <w:rPr>
          <w:rFonts w:ascii="宋体" w:hAnsi="宋体" w:cs="宋体" w:eastAsia="宋体" w:hint="ascii"/>
          <w:sz w:val="21"/>
          <w:spacing w:val="6"/>
        </w:rPr>
        <w:t>（</w:t>
      </w:r>
      <w:r>
        <w:rPr>
          <w:rFonts w:ascii="Times New Roman" w:hAnsi="Times New Roman" w:cs="Times New Roman" w:eastAsia="Times New Roman" w:hint="ascii"/>
          <w:sz w:val="21"/>
          <w:spacing w:val="9"/>
        </w:rPr>
        <w:t>5</w:t>
      </w:r>
      <w:r>
        <w:rPr>
          <w:rFonts w:ascii="宋体" w:hAnsi="宋体" w:cs="宋体" w:eastAsia="宋体" w:hint="ascii"/>
          <w:sz w:val="21"/>
          <w:spacing w:val="6"/>
        </w:rPr>
        <w:t>）资助项目在执</w:t>
      </w:r>
      <w:r>
        <w:rPr>
          <w:rFonts w:ascii="宋体" w:hAnsi="宋体" w:cs="宋体" w:eastAsia="宋体" w:hint="ascii"/>
          <w:sz w:val="21"/>
          <w:spacing w:val="7"/>
        </w:rPr>
        <w:t>行</w:t>
      </w:r>
      <w:r>
        <w:rPr>
          <w:rFonts w:ascii="宋体" w:hAnsi="宋体" w:cs="宋体" w:eastAsia="宋体" w:hint="ascii"/>
          <w:sz w:val="21"/>
          <w:spacing w:val="6"/>
        </w:rPr>
        <w:t>期间形成</w:t>
      </w:r>
      <w:r>
        <w:rPr>
          <w:rFonts w:ascii="宋体" w:hAnsi="宋体" w:cs="宋体" w:eastAsia="宋体" w:hint="ascii"/>
          <w:sz w:val="21"/>
          <w:spacing w:val="7"/>
        </w:rPr>
        <w:t>的</w:t>
      </w:r>
      <w:r>
        <w:rPr>
          <w:rFonts w:ascii="宋体" w:hAnsi="宋体" w:cs="宋体" w:eastAsia="宋体" w:hint="ascii"/>
          <w:sz w:val="21"/>
          <w:spacing w:val="6"/>
        </w:rPr>
        <w:t>有关论文</w:t>
      </w:r>
      <w:r>
        <w:rPr>
          <w:rFonts w:ascii="宋体" w:hAnsi="宋体" w:cs="宋体" w:eastAsia="宋体" w:hint="ascii"/>
          <w:sz w:val="21"/>
          <w:spacing w:val="7"/>
        </w:rPr>
        <w:t>、</w:t>
      </w:r>
      <w:r>
        <w:rPr>
          <w:rFonts w:ascii="宋体" w:hAnsi="宋体" w:cs="宋体" w:eastAsia="宋体" w:hint="ascii"/>
          <w:sz w:val="21"/>
          <w:spacing w:val="6"/>
        </w:rPr>
        <w:t>专著、研</w:t>
      </w:r>
      <w:r>
        <w:rPr>
          <w:rFonts w:ascii="宋体" w:hAnsi="宋体" w:cs="宋体" w:eastAsia="宋体" w:hint="ascii"/>
          <w:sz w:val="21"/>
          <w:spacing w:val="7"/>
        </w:rPr>
        <w:t>究</w:t>
      </w:r>
      <w:r>
        <w:rPr>
          <w:rFonts w:ascii="宋体" w:hAnsi="宋体" w:cs="宋体" w:eastAsia="宋体" w:hint="ascii"/>
          <w:sz w:val="21"/>
          <w:spacing w:val="6"/>
        </w:rPr>
        <w:t>报告、软</w:t>
      </w:r>
      <w:r>
        <w:rPr>
          <w:rFonts w:ascii="宋体" w:hAnsi="宋体" w:cs="宋体" w:eastAsia="宋体" w:hint="ascii"/>
          <w:sz w:val="21"/>
          <w:spacing w:val="7"/>
        </w:rPr>
        <w:t>件</w:t>
      </w:r>
      <w:r>
        <w:rPr>
          <w:rFonts w:ascii="宋体" w:hAnsi="宋体" w:cs="宋体" w:eastAsia="宋体" w:hint="ascii"/>
          <w:sz w:val="21"/>
          <w:spacing w:val="6"/>
        </w:rPr>
        <w:t>、专利</w:t>
      </w:r>
      <w:r>
        <w:rPr>
          <w:rFonts w:ascii="宋体" w:hAnsi="宋体" w:cs="宋体" w:eastAsia="宋体" w:hint="ascii"/>
          <w:sz w:val="21"/>
          <w:spacing w:val="7"/>
        </w:rPr>
        <w:t>及</w:t>
      </w:r>
      <w:r>
        <w:rPr>
          <w:rFonts w:ascii="宋体" w:hAnsi="宋体" w:cs="宋体" w:eastAsia="宋体" w:hint="ascii"/>
          <w:sz w:val="21"/>
        </w:rPr>
        <w:t>鉴</w:t>
      </w:r>
      <w:r>
        <w:rPr>
          <w:rFonts w:ascii="宋体" w:hAnsi="宋体" w:cs="宋体" w:eastAsia="宋体" w:hint="ascii"/>
          <w:sz w:val="21"/>
          <w:spacing w:val="5"/>
        </w:rPr>
        <w:t>定</w:t>
      </w:r>
      <w:r>
        <w:rPr>
          <w:rFonts w:ascii="宋体" w:hAnsi="宋体" w:cs="宋体" w:eastAsia="宋体" w:hint="ascii"/>
          <w:sz w:val="21"/>
          <w:spacing w:val="4"/>
        </w:rPr>
        <w:t>、获奖、</w:t>
      </w:r>
      <w:r>
        <w:rPr>
          <w:rFonts w:ascii="宋体" w:hAnsi="宋体" w:cs="宋体" w:eastAsia="宋体" w:hint="ascii"/>
          <w:sz w:val="21"/>
          <w:spacing w:val="5"/>
        </w:rPr>
        <w:t>成</w:t>
      </w:r>
      <w:r>
        <w:rPr>
          <w:rFonts w:ascii="宋体" w:hAnsi="宋体" w:cs="宋体" w:eastAsia="宋体" w:hint="ascii"/>
          <w:sz w:val="21"/>
          <w:spacing w:val="4"/>
        </w:rPr>
        <w:t>果报道等</w:t>
      </w:r>
      <w:r>
        <w:rPr>
          <w:rFonts w:ascii="宋体" w:hAnsi="宋体" w:cs="宋体" w:eastAsia="宋体" w:hint="ascii"/>
          <w:sz w:val="21"/>
          <w:spacing w:val="5"/>
        </w:rPr>
        <w:t>，</w:t>
      </w:r>
      <w:r>
        <w:rPr>
          <w:rFonts w:ascii="宋体" w:hAnsi="宋体" w:cs="宋体" w:eastAsia="宋体" w:hint="ascii"/>
          <w:sz w:val="21"/>
          <w:spacing w:val="4"/>
        </w:rPr>
        <w:t>应当注明</w:t>
      </w:r>
      <w:r>
        <w:rPr>
          <w:rFonts w:ascii="宋体" w:hAnsi="宋体" w:cs="宋体" w:eastAsia="宋体" w:hint="ascii"/>
          <w:sz w:val="21"/>
          <w:spacing w:val="5"/>
        </w:rPr>
        <w:t>“</w:t>
      </w:r>
      <w:r>
        <w:rPr>
          <w:rFonts w:ascii="宋体" w:hAnsi="宋体" w:cs="宋体" w:eastAsia="宋体" w:hint="ascii"/>
          <w:sz w:val="21"/>
          <w:spacing w:val="4"/>
        </w:rPr>
        <w:t>国家自然</w:t>
      </w:r>
      <w:r>
        <w:rPr>
          <w:rFonts w:ascii="宋体" w:hAnsi="宋体" w:cs="宋体" w:eastAsia="宋体" w:hint="ascii"/>
          <w:sz w:val="21"/>
          <w:spacing w:val="5"/>
        </w:rPr>
        <w:t>科</w:t>
      </w:r>
      <w:r>
        <w:rPr>
          <w:rFonts w:ascii="宋体" w:hAnsi="宋体" w:cs="宋体" w:eastAsia="宋体" w:hint="ascii"/>
          <w:sz w:val="21"/>
          <w:spacing w:val="4"/>
        </w:rPr>
        <w:t>学基金委</w:t>
      </w:r>
      <w:r>
        <w:rPr>
          <w:rFonts w:ascii="宋体" w:hAnsi="宋体" w:cs="宋体" w:eastAsia="宋体" w:hint="ascii"/>
          <w:sz w:val="21"/>
          <w:spacing w:val="5"/>
        </w:rPr>
        <w:t>员会</w:t>
      </w:r>
      <w:r>
        <w:rPr>
          <w:rFonts w:ascii="MS Mincho" w:hAnsi="MS Mincho" w:cs="MS Mincho" w:eastAsia="MS Mincho" w:hint="ascii"/>
          <w:sz w:val="21"/>
          <w:spacing w:val="5"/>
        </w:rPr>
        <w:t>−</w:t>
      </w:r>
      <w:r>
        <w:rPr>
          <w:rFonts w:ascii="宋体" w:hAnsi="宋体" w:cs="宋体" w:eastAsia="宋体" w:hint="ascii"/>
          <w:sz w:val="21"/>
          <w:spacing w:val="4"/>
        </w:rPr>
        <w:t>中国民</w:t>
      </w:r>
      <w:r>
        <w:rPr>
          <w:rFonts w:ascii="宋体" w:hAnsi="宋体" w:cs="宋体" w:eastAsia="宋体" w:hint="ascii"/>
          <w:sz w:val="21"/>
          <w:spacing w:val="5"/>
        </w:rPr>
        <w:t>用</w:t>
      </w:r>
      <w:r>
        <w:rPr>
          <w:rFonts w:ascii="宋体" w:hAnsi="宋体" w:cs="宋体" w:eastAsia="宋体" w:hint="ascii"/>
          <w:sz w:val="21"/>
          <w:spacing w:val="4"/>
        </w:rPr>
        <w:t>航空</w:t>
      </w:r>
      <w:r>
        <w:rPr>
          <w:rFonts w:ascii="宋体" w:hAnsi="宋体" w:cs="宋体" w:eastAsia="宋体" w:hint="ascii"/>
          <w:sz w:val="21"/>
          <w:spacing w:val="5"/>
        </w:rPr>
        <w:t>局民</w:t>
      </w:r>
      <w:r>
        <w:rPr>
          <w:rFonts w:ascii="宋体" w:hAnsi="宋体" w:cs="宋体" w:eastAsia="宋体" w:hint="ascii"/>
          <w:sz w:val="21"/>
        </w:rPr>
        <w:t>航联合研究基金资助（项目批准号</w:t>
      </w:r>
      <w:r>
        <w:rPr>
          <w:rFonts w:ascii="宋体" w:hAnsi="宋体" w:cs="宋体" w:eastAsia="宋体" w:hint="ascii"/>
          <w:sz w:val="21"/>
          <w:spacing w:val="-51"/>
        </w:rPr>
        <w:t>）</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5" w:after="0" w:lineRule="exact" w:line="263"/>
        <w:ind w:right="0" w:left="1287"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）根据联合基金第四期协议的有关规定，</w:t>
      </w:r>
      <w:r>
        <w:rPr>
          <w:rFonts w:ascii="Times New Roman" w:hAnsi="Times New Roman" w:cs="Times New Roman" w:eastAsia="Times New Roman" w:hint="ascii"/>
          <w:sz w:val="21"/>
        </w:rPr>
        <w:t>2019</w:t>
      </w:r>
      <w:r>
        <w:rPr>
          <w:rFonts w:ascii="Times New Roman" w:hAnsi="Times New Roman" w:cs="Times New Roman" w:eastAsia="Times New Roman" w:hint="ascii"/>
          <w:sz w:val="21"/>
          <w:spacing w:val="-20"/>
        </w:rPr>
        <w:t xml:space="preserve"> </w:t>
      </w:r>
      <w:r>
        <w:rPr>
          <w:rFonts w:ascii="宋体" w:hAnsi="宋体" w:cs="宋体" w:eastAsia="宋体" w:hint="ascii"/>
          <w:sz w:val="21"/>
        </w:rPr>
        <w:t>年度“重点支持项目”研究领域</w:t>
      </w:r>
    </w:p>
    <w:p>
      <w:pPr>
        <w:autoSpaceDE w:val="0"/>
        <w:autoSpaceDN w:val="0"/>
        <w:jc w:val="both"/>
        <w:spacing w:before="13" w:after="0" w:lineRule="exact" w:line="319"/>
        <w:ind w:right="981"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spacing w:val="1"/>
        </w:rPr>
        <w:t>建议，将由中国</w:t>
      </w:r>
      <w:r>
        <w:rPr>
          <w:rFonts w:ascii="宋体" w:hAnsi="宋体" w:cs="宋体" w:eastAsia="宋体" w:hint="ascii"/>
          <w:sz w:val="21"/>
        </w:rPr>
        <w:t>民用航空局根据行业发展需求提出，联合基金管理办公室组织专家</w:t>
      </w:r>
      <w:r>
        <w:rPr>
          <w:rFonts w:ascii="宋体" w:hAnsi="宋体" w:cs="宋体" w:eastAsia="宋体" w:hint="ascii"/>
          <w:sz w:val="21"/>
          <w:spacing w:val="-6"/>
        </w:rPr>
        <w:t>进</w:t>
      </w:r>
      <w:r>
        <w:rPr>
          <w:rFonts w:ascii="宋体" w:hAnsi="宋体" w:cs="宋体" w:eastAsia="宋体" w:hint="ascii"/>
          <w:sz w:val="21"/>
        </w:rPr>
        <w:t>行论证。</w:t>
      </w:r>
      <w:rPr>
        <w:rFonts w:ascii="宋体" w:hAnsi="宋体" w:cs="宋体" w:eastAsia="宋体" w:hint="ascii"/>
        <w:sz w:val="21"/>
      </w:rP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三、联系方式</w:t>
      </w:r>
    </w:p>
    <w:p>
      <w:pPr>
        <w:autoSpaceDE w:val="0"/>
        <w:autoSpaceDN w:val="0"/>
        <w:jc w:val="left"/>
        <w:spacing w:before="20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w:t>
      </w:r>
    </w:p>
    <w:p>
      <w:pPr>
        <w:autoSpaceDE w:val="0"/>
        <w:autoSpaceDN w:val="0"/>
        <w:jc w:val="left"/>
        <w:spacing w:before="5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信息科学部</w:t>
      </w:r>
    </w:p>
    <w:p>
      <w:pPr>
        <w:autoSpaceDE w:val="0"/>
        <w:autoSpaceDN w:val="0"/>
        <w:jc w:val="both"/>
        <w:spacing w:before="13" w:after="0" w:lineRule="exact" w:line="319"/>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4"/>
        </w:rPr>
        <w:t>地</w:t>
      </w:r>
      <w:r>
        <w:rPr>
          <w:rFonts w:ascii="宋体" w:hAnsi="宋体" w:cs="宋体" w:eastAsia="宋体" w:hint="ascii"/>
          <w:sz w:val="21"/>
          <w:spacing w:val="154"/>
        </w:rPr>
        <w:t xml:space="preserve"> </w:t>
      </w:r>
      <w:r>
        <w:rPr>
          <w:rFonts w:ascii="宋体" w:hAnsi="宋体" w:cs="宋体" w:eastAsia="宋体" w:hint="ascii"/>
          <w:sz w:val="21"/>
          <w:spacing w:val="-4"/>
        </w:rPr>
        <w:t>址：</w:t>
      </w:r>
      <w:r>
        <w:rPr>
          <w:rFonts w:ascii="宋体" w:hAnsi="宋体" w:cs="宋体" w:eastAsia="宋体" w:hint="ascii"/>
          <w:sz w:val="21"/>
          <w:spacing w:val="-10"/>
        </w:rPr>
        <w:t>北京市海淀区双清</w:t>
      </w:r>
      <w:r>
        <w:rPr>
          <w:rFonts w:ascii="宋体" w:hAnsi="宋体" w:cs="宋体" w:eastAsia="宋体" w:hint="ascii"/>
          <w:sz w:val="21"/>
          <w:spacing w:val="13"/>
        </w:rPr>
        <w:t>路</w:t>
      </w:r>
      <w:r>
        <w:rPr>
          <w:rFonts w:ascii="Times New Roman" w:hAnsi="Times New Roman" w:cs="Times New Roman" w:eastAsia="Times New Roman" w:hint="ascii"/>
          <w:sz w:val="21"/>
          <w:spacing w:val="-9"/>
        </w:rPr>
        <w:t>8</w:t>
      </w:r>
      <w:r>
        <w:rPr>
          <w:rFonts w:ascii="Times New Roman" w:hAnsi="Times New Roman" w:cs="Times New Roman" w:eastAsia="Times New Roman" w:hint="ascii"/>
          <w:sz w:val="21"/>
          <w:spacing w:val="35"/>
        </w:rPr>
        <w:t>3</w:t>
      </w:r>
      <w:r>
        <w:rPr>
          <w:rFonts w:ascii="宋体" w:hAnsi="宋体" w:cs="宋体" w:eastAsia="宋体" w:hint="ascii"/>
          <w:sz w:val="21"/>
          <w:spacing w:val="-4"/>
        </w:rPr>
        <w:t>号</w:t>
      </w:r>
      <w:r>
        <w:rPr>
          <w:rFonts w:ascii="宋体" w:hAnsi="宋体" w:cs="宋体" w:eastAsia="宋体" w:hint="ascii"/>
          <w:sz w:val="21"/>
        </w:rPr>
        <w:t xml:space="preserve"> 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人：宋朝晖</w:t>
      </w:r>
    </w:p>
    <w:p>
      <w:pPr>
        <w:autoSpaceDE w:val="0"/>
        <w:autoSpaceDN w:val="0"/>
        <w:jc w:val="left"/>
        <w:spacing w:before="58"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58"/>
        </w:rPr>
        <w:t xml:space="preserve"> </w:t>
      </w:r>
      <w:r>
        <w:rPr>
          <w:rFonts w:ascii="宋体" w:hAnsi="宋体" w:cs="宋体" w:eastAsia="宋体" w:hint="ascii"/>
          <w:sz w:val="21"/>
        </w:rPr>
        <w:t>话：</w:t>
      </w:r>
      <w:r>
        <w:rPr>
          <w:rFonts w:ascii="Times New Roman" w:hAnsi="Times New Roman" w:cs="Times New Roman" w:eastAsia="Times New Roman" w:hint="ascii"/>
          <w:sz w:val="21"/>
        </w:rPr>
        <w:t>010</w:t>
      </w:r>
      <w:r>
        <w:rPr>
          <w:rFonts w:ascii="MS Mincho" w:hAnsi="MS Mincho" w:cs="MS Mincho" w:eastAsia="MS Mincho" w:hint="ascii"/>
          <w:sz w:val="21"/>
        </w:rPr>
        <w:t>−</w:t>
      </w:r>
      <w:r>
        <w:rPr>
          <w:rFonts w:ascii="Times New Roman" w:hAnsi="Times New Roman" w:cs="Times New Roman" w:eastAsia="Times New Roman" w:hint="ascii"/>
          <w:sz w:val="21"/>
        </w:rPr>
        <w:t>62327147</w:t>
      </w:r>
    </w:p>
    <w:p>
      <w:pPr>
        <w:autoSpaceDE w:val="0"/>
        <w:autoSpaceDN w:val="0"/>
        <w:jc w:val="left"/>
        <w:spacing w:before="57"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songzh@nsfc.go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p>
    <w:p>
      <w:pPr>
        <w:autoSpaceDE w:val="0"/>
        <w:autoSpaceDN w:val="0"/>
        <w:jc w:val="left"/>
        <w:spacing w:before="668"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中国民用航空局</w:t>
      </w:r>
    </w:p>
    <w:p>
      <w:pPr>
        <w:autoSpaceDE w:val="0"/>
        <w:autoSpaceDN w:val="0"/>
        <w:jc w:val="left"/>
        <w:spacing w:before="58"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人事科教司</w:t>
      </w:r>
    </w:p>
    <w:p>
      <w:pPr>
        <w:autoSpaceDE w:val="0"/>
        <w:autoSpaceDN w:val="0"/>
        <w:jc w:val="both"/>
        <w:spacing w:before="13" w:after="0" w:lineRule="exact" w:line="319"/>
        <w:ind w:right="1173"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址：北</w:t>
      </w:r>
      <w:r>
        <w:rPr>
          <w:rFonts w:ascii="宋体" w:hAnsi="宋体" w:cs="宋体" w:eastAsia="宋体" w:hint="ascii"/>
          <w:sz w:val="21"/>
        </w:rPr>
        <w:t>京东四西大</w:t>
      </w:r>
      <w:r>
        <w:rPr>
          <w:rFonts w:ascii="宋体" w:hAnsi="宋体" w:cs="宋体" w:eastAsia="宋体" w:hint="ascii"/>
          <w:sz w:val="21"/>
          <w:spacing w:val="26"/>
        </w:rPr>
        <w:t>街</w:t>
      </w:r>
      <w:r>
        <w:rPr>
          <w:rFonts w:ascii="Times New Roman" w:hAnsi="Times New Roman" w:cs="Times New Roman" w:eastAsia="Times New Roman" w:hint="ascii"/>
          <w:sz w:val="21"/>
        </w:rPr>
        <w:t>15</w:t>
      </w:r>
      <w:r>
        <w:rPr>
          <w:rFonts w:ascii="Times New Roman" w:hAnsi="Times New Roman" w:cs="Times New Roman" w:eastAsia="Times New Roman" w:hint="ascii"/>
          <w:sz w:val="21"/>
          <w:spacing w:val="52"/>
        </w:rPr>
        <w:t>5</w:t>
      </w:r>
      <w:r>
        <w:rPr>
          <w:rFonts w:ascii="宋体" w:hAnsi="宋体" w:cs="宋体" w:eastAsia="宋体" w:hint="ascii"/>
          <w:sz w:val="21"/>
        </w:rPr>
        <w:t>号邮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100710</w:t>
      </w:r>
    </w:p>
    <w:p>
      <w:pPr>
        <w:autoSpaceDE w:val="0"/>
        <w:autoSpaceDN w:val="0"/>
        <w:jc w:val="left"/>
        <w:spacing w:before="47"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人：许</w:t>
      </w:r>
      <w:r>
        <w:rPr>
          <w:rFonts w:ascii="宋体" w:hAnsi="宋体" w:cs="宋体" w:eastAsia="宋体" w:hint="ascii"/>
          <w:sz w:val="21"/>
          <w:spacing w:val="53"/>
        </w:rPr>
        <w:t xml:space="preserve"> </w:t>
      </w:r>
      <w:r>
        <w:rPr>
          <w:rFonts w:ascii="宋体" w:hAnsi="宋体" w:cs="宋体" w:eastAsia="宋体" w:hint="ascii"/>
          <w:sz w:val="21"/>
        </w:rPr>
        <w:t>洪</w:t>
      </w:r>
    </w:p>
    <w:p>
      <w:pPr>
        <w:autoSpaceDE w:val="0"/>
        <w:autoSpaceDN w:val="0"/>
        <w:jc w:val="left"/>
        <w:spacing w:before="58"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58"/>
        </w:rPr>
        <w:t xml:space="preserve"> </w:t>
      </w:r>
      <w:r>
        <w:rPr>
          <w:rFonts w:ascii="宋体" w:hAnsi="宋体" w:cs="宋体" w:eastAsia="宋体" w:hint="ascii"/>
          <w:sz w:val="21"/>
        </w:rPr>
        <w:t>话：</w:t>
      </w:r>
      <w:r>
        <w:rPr>
          <w:rFonts w:ascii="Times New Roman" w:hAnsi="Times New Roman" w:cs="Times New Roman" w:eastAsia="Times New Roman" w:hint="ascii"/>
          <w:sz w:val="21"/>
        </w:rPr>
        <w:t>010</w:t>
      </w:r>
      <w:r>
        <w:rPr>
          <w:rFonts w:ascii="MS Mincho" w:hAnsi="MS Mincho" w:cs="MS Mincho" w:eastAsia="MS Mincho" w:hint="ascii"/>
          <w:sz w:val="21"/>
        </w:rPr>
        <w:t>−</w:t>
      </w:r>
      <w:r>
        <w:rPr>
          <w:rFonts w:ascii="Times New Roman" w:hAnsi="Times New Roman" w:cs="Times New Roman" w:eastAsia="Times New Roman" w:hint="ascii"/>
          <w:sz w:val="21"/>
        </w:rPr>
        <w:t>64092631</w:t>
      </w:r>
    </w:p>
    <w:p>
      <w:pPr>
        <w:autoSpaceDE w:val="0"/>
        <w:autoSpaceDN w:val="0"/>
        <w:jc w:val="left"/>
        <w:spacing w:before="57" w:after="0" w:lineRule="exact" w:line="263"/>
        <w:ind w:right="0" w:left="0" w:firstLine="0"/>
        <w:snapToGrid w:val="0"/>
        <w:textAlignment w:val="auto"/>
        <w:tabs/>
        <w:sectPr>
          <w:type w:val="continuous"/>
          <w:pgSz w:w="10940" w:h="15080" w:orient="portrait"/>
          <w:pgMar w:top="508" w:right="508" w:bottom="508" w:left="508" w:header="0" w:footer="0" w:gutter="0"/>
          <w:cols w:num="2" w:space="0" w:equalWidth="0">
            <w:col w:w="4718" w:space="883"/>
            <w:col w:w="4323"/>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xuhong@caac.go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rPr>
        <w:rFonts w:ascii="Times New Roman" w:hAnsi="Times New Roman" w:cs="Times New Roman" w:eastAsia="Times New Roman" w:hint="ascii"/>
        <w:sz w:val="21"/>
      </w:rPr>
    </w:p>
    <w:p>
      <w:pPr>
        <w:autoSpaceDE w:val="0"/>
        <w:autoSpaceDN w:val="0"/>
        <w:jc w:val="left"/>
        <w:spacing w:before="493" w:after="0" w:lineRule="auto" w:line="240"/>
        <w:ind w:right="0" w:left="2070"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position w:val="2"/>
          <w:spacing w:val="31"/>
        </w:rPr>
        <w:t>-</w:t>
      </w:r>
      <w:r>
        <w:rPr>
          <w:rFonts w:ascii="宋体" w:hAnsi="宋体" w:cs="宋体" w:eastAsia="宋体" w:hint="ascii"/>
          <w:sz w:val="38"/>
        </w:rPr>
        <w:t>通用技术基础研究联合基金</w:t>
      </w:r>
    </w:p>
    <w:p>
      <w:pPr>
        <w:autoSpaceDE w:val="0"/>
        <w:autoSpaceDN w:val="0"/>
        <w:jc w:val="both"/>
        <w:spacing w:before="290" w:after="0" w:lineRule="exact" w:line="320"/>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自然</w:t>
      </w:r>
      <w:r>
        <w:rPr>
          <w:rFonts w:ascii="宋体" w:hAnsi="宋体" w:cs="宋体" w:eastAsia="宋体" w:hint="ascii"/>
          <w:sz w:val="21"/>
          <w:spacing w:val="-1"/>
        </w:rPr>
        <w:t>科</w:t>
      </w:r>
      <w:r>
        <w:rPr>
          <w:rFonts w:ascii="宋体" w:hAnsi="宋体" w:cs="宋体" w:eastAsia="宋体" w:hint="ascii"/>
          <w:sz w:val="21"/>
        </w:rPr>
        <w:t>学</w:t>
      </w:r>
      <w:r>
        <w:rPr>
          <w:rFonts w:ascii="宋体" w:hAnsi="宋体" w:cs="宋体" w:eastAsia="宋体" w:hint="ascii"/>
          <w:sz w:val="21"/>
          <w:spacing w:val="-1"/>
        </w:rPr>
        <w:t>基</w:t>
      </w:r>
      <w:r>
        <w:rPr>
          <w:rFonts w:ascii="宋体" w:hAnsi="宋体" w:cs="宋体" w:eastAsia="宋体" w:hint="ascii"/>
          <w:sz w:val="21"/>
        </w:rPr>
        <w:t>金委</w:t>
      </w:r>
      <w:r>
        <w:rPr>
          <w:rFonts w:ascii="宋体" w:hAnsi="宋体" w:cs="宋体" w:eastAsia="宋体" w:hint="ascii"/>
          <w:sz w:val="21"/>
          <w:spacing w:val="-1"/>
        </w:rPr>
        <w:t>与</w:t>
      </w:r>
      <w:r>
        <w:rPr>
          <w:rFonts w:ascii="宋体" w:hAnsi="宋体" w:cs="宋体" w:eastAsia="宋体" w:hint="ascii"/>
          <w:sz w:val="21"/>
        </w:rPr>
        <w:t>中</w:t>
      </w:r>
      <w:r>
        <w:rPr>
          <w:rFonts w:ascii="宋体" w:hAnsi="宋体" w:cs="宋体" w:eastAsia="宋体" w:hint="ascii"/>
          <w:sz w:val="21"/>
          <w:spacing w:val="-1"/>
        </w:rPr>
        <w:t>国</w:t>
      </w:r>
      <w:r>
        <w:rPr>
          <w:rFonts w:ascii="宋体" w:hAnsi="宋体" w:cs="宋体" w:eastAsia="宋体" w:hint="ascii"/>
          <w:sz w:val="21"/>
        </w:rPr>
        <w:t>通用</w:t>
      </w:r>
      <w:r>
        <w:rPr>
          <w:rFonts w:ascii="宋体" w:hAnsi="宋体" w:cs="宋体" w:eastAsia="宋体" w:hint="ascii"/>
          <w:sz w:val="21"/>
          <w:spacing w:val="-1"/>
        </w:rPr>
        <w:t>技</w:t>
      </w:r>
      <w:r>
        <w:rPr>
          <w:rFonts w:ascii="宋体" w:hAnsi="宋体" w:cs="宋体" w:eastAsia="宋体" w:hint="ascii"/>
          <w:sz w:val="21"/>
        </w:rPr>
        <w:t>术</w:t>
      </w:r>
      <w:r>
        <w:rPr>
          <w:rFonts w:ascii="宋体" w:hAnsi="宋体" w:cs="宋体" w:eastAsia="宋体" w:hint="ascii"/>
          <w:sz w:val="21"/>
          <w:spacing w:val="-1"/>
        </w:rPr>
        <w:t>研</w:t>
      </w:r>
      <w:r>
        <w:rPr>
          <w:rFonts w:ascii="宋体" w:hAnsi="宋体" w:cs="宋体" w:eastAsia="宋体" w:hint="ascii"/>
          <w:sz w:val="21"/>
        </w:rPr>
        <w:t>究院</w:t>
      </w:r>
      <w:r>
        <w:rPr>
          <w:rFonts w:ascii="宋体" w:hAnsi="宋体" w:cs="宋体" w:eastAsia="宋体" w:hint="ascii"/>
          <w:sz w:val="21"/>
          <w:spacing w:val="-2"/>
        </w:rPr>
        <w:t>自</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rPr>
        <w:t>015</w:t>
      </w:r>
      <w:r>
        <w:rPr>
          <w:rFonts w:ascii="Times New Roman" w:hAnsi="Times New Roman" w:cs="Times New Roman" w:eastAsia="Times New Roman" w:hint="ascii"/>
          <w:sz w:val="21"/>
          <w:spacing w:val="-26"/>
        </w:rPr>
        <w:t xml:space="preserve"> </w:t>
      </w:r>
      <w:r>
        <w:rPr>
          <w:rFonts w:ascii="宋体" w:hAnsi="宋体" w:cs="宋体" w:eastAsia="宋体" w:hint="ascii"/>
          <w:sz w:val="21"/>
        </w:rPr>
        <w:t>年起</w:t>
      </w:r>
      <w:r>
        <w:rPr>
          <w:rFonts w:ascii="宋体" w:hAnsi="宋体" w:cs="宋体" w:eastAsia="宋体" w:hint="ascii"/>
          <w:sz w:val="21"/>
          <w:spacing w:val="-1"/>
        </w:rPr>
        <w:t>共</w:t>
      </w:r>
      <w:r>
        <w:rPr>
          <w:rFonts w:ascii="宋体" w:hAnsi="宋体" w:cs="宋体" w:eastAsia="宋体" w:hint="ascii"/>
          <w:sz w:val="21"/>
        </w:rPr>
        <w:t>同</w:t>
      </w:r>
      <w:r>
        <w:rPr>
          <w:rFonts w:ascii="宋体" w:hAnsi="宋体" w:cs="宋体" w:eastAsia="宋体" w:hint="ascii"/>
          <w:sz w:val="21"/>
          <w:spacing w:val="-1"/>
        </w:rPr>
        <w:t>设</w:t>
      </w:r>
      <w:r>
        <w:rPr>
          <w:rFonts w:ascii="宋体" w:hAnsi="宋体" w:cs="宋体" w:eastAsia="宋体" w:hint="ascii"/>
          <w:sz w:val="21"/>
        </w:rPr>
        <w:t>立联</w:t>
      </w:r>
      <w:r>
        <w:rPr>
          <w:rFonts w:ascii="宋体" w:hAnsi="宋体" w:cs="宋体" w:eastAsia="宋体" w:hint="ascii"/>
          <w:sz w:val="21"/>
          <w:spacing w:val="-1"/>
        </w:rPr>
        <w:t>合</w:t>
      </w:r>
      <w:r>
        <w:rPr>
          <w:rFonts w:ascii="宋体" w:hAnsi="宋体" w:cs="宋体" w:eastAsia="宋体" w:hint="ascii"/>
          <w:sz w:val="21"/>
        </w:rPr>
        <w:t>基</w:t>
      </w:r>
      <w:r>
        <w:rPr>
          <w:rFonts w:ascii="宋体" w:hAnsi="宋体" w:cs="宋体" w:eastAsia="宋体" w:hint="ascii"/>
          <w:sz w:val="21"/>
          <w:spacing w:val="-1"/>
        </w:rPr>
        <w:t>金</w:t>
      </w:r>
      <w:r>
        <w:rPr>
          <w:rFonts w:ascii="宋体" w:hAnsi="宋体" w:cs="宋体" w:eastAsia="宋体" w:hint="ascii"/>
          <w:sz w:val="21"/>
        </w:rPr>
        <w:t>（以</w:t>
      </w:r>
      <w:r>
        <w:rPr>
          <w:rFonts w:ascii="宋体" w:hAnsi="宋体" w:cs="宋体" w:eastAsia="宋体" w:hint="ascii"/>
          <w:sz w:val="21"/>
          <w:spacing w:val="-1"/>
        </w:rPr>
        <w:t>下</w:t>
      </w:r>
      <w:r>
        <w:rPr>
          <w:rFonts w:ascii="宋体" w:hAnsi="宋体" w:cs="宋体" w:eastAsia="宋体" w:hint="ascii"/>
          <w:sz w:val="21"/>
        </w:rPr>
        <w:t>简</w:t>
      </w:r>
      <w:r>
        <w:rPr>
          <w:rFonts w:ascii="宋体" w:hAnsi="宋体" w:cs="宋体" w:eastAsia="宋体" w:hint="ascii"/>
          <w:sz w:val="21"/>
          <w:spacing w:val="-4"/>
        </w:rPr>
        <w:t>称</w:t>
      </w:r>
      <w:r>
        <w:rPr>
          <w:rFonts w:ascii="Times New Roman" w:hAnsi="Times New Roman" w:cs="Times New Roman" w:eastAsia="Times New Roman" w:hint="ascii"/>
          <w:sz w:val="21"/>
          <w:spacing w:val="-1"/>
        </w:rPr>
        <w:t>NSFC</w:t>
      </w:r>
      <w:r>
        <w:rPr>
          <w:rFonts w:ascii="宋体" w:hAnsi="宋体" w:cs="宋体" w:eastAsia="宋体" w:hint="ascii"/>
          <w:sz w:val="21"/>
          <w:spacing w:val="9"/>
        </w:rPr>
        <w:t>-</w:t>
      </w:r>
      <w:r>
        <w:rPr>
          <w:rFonts w:ascii="宋体" w:hAnsi="宋体" w:cs="宋体" w:eastAsia="宋体" w:hint="ascii"/>
          <w:sz w:val="21"/>
          <w:spacing w:val="5"/>
        </w:rPr>
        <w:t>通</w:t>
      </w:r>
      <w:r>
        <w:rPr>
          <w:rFonts w:ascii="宋体" w:hAnsi="宋体" w:cs="宋体" w:eastAsia="宋体" w:hint="ascii"/>
          <w:sz w:val="21"/>
          <w:spacing w:val="4"/>
        </w:rPr>
        <w:t>用</w:t>
      </w:r>
      <w:r>
        <w:rPr>
          <w:rFonts w:ascii="宋体" w:hAnsi="宋体" w:cs="宋体" w:eastAsia="宋体" w:hint="ascii"/>
          <w:sz w:val="21"/>
          <w:spacing w:val="5"/>
        </w:rPr>
        <w:t>技术基础</w:t>
      </w:r>
      <w:r>
        <w:rPr>
          <w:rFonts w:ascii="宋体" w:hAnsi="宋体" w:cs="宋体" w:eastAsia="宋体" w:hint="ascii"/>
          <w:sz w:val="21"/>
          <w:spacing w:val="4"/>
        </w:rPr>
        <w:t>研</w:t>
      </w:r>
      <w:r>
        <w:rPr>
          <w:rFonts w:ascii="宋体" w:hAnsi="宋体" w:cs="宋体" w:eastAsia="宋体" w:hint="ascii"/>
          <w:sz w:val="21"/>
          <w:spacing w:val="5"/>
        </w:rPr>
        <w:t>究联合基金</w:t>
      </w:r>
      <w:r>
        <w:rPr>
          <w:rFonts w:ascii="宋体" w:hAnsi="宋体" w:cs="宋体" w:eastAsia="宋体" w:hint="ascii"/>
          <w:sz w:val="21"/>
          <w:spacing w:val="-49"/>
        </w:rPr>
        <w:t>）</w:t>
      </w:r>
      <w:r>
        <w:rPr>
          <w:rFonts w:ascii="宋体" w:hAnsi="宋体" w:cs="宋体" w:eastAsia="宋体" w:hint="ascii"/>
          <w:sz w:val="21"/>
          <w:spacing w:val="5"/>
        </w:rPr>
        <w:t>，旨在吸</w:t>
      </w:r>
      <w:r>
        <w:rPr>
          <w:rFonts w:ascii="宋体" w:hAnsi="宋体" w:cs="宋体" w:eastAsia="宋体" w:hint="ascii"/>
          <w:sz w:val="21"/>
          <w:spacing w:val="4"/>
        </w:rPr>
        <w:t>引</w:t>
      </w:r>
      <w:r>
        <w:rPr>
          <w:rFonts w:ascii="宋体" w:hAnsi="宋体" w:cs="宋体" w:eastAsia="宋体" w:hint="ascii"/>
          <w:sz w:val="21"/>
          <w:spacing w:val="5"/>
        </w:rPr>
        <w:t>和凝聚全</w:t>
      </w:r>
      <w:r>
        <w:rPr>
          <w:rFonts w:ascii="宋体" w:hAnsi="宋体" w:cs="宋体" w:eastAsia="宋体" w:hint="ascii"/>
          <w:sz w:val="21"/>
          <w:spacing w:val="4"/>
        </w:rPr>
        <w:t>国</w:t>
      </w:r>
      <w:r>
        <w:rPr>
          <w:rFonts w:ascii="宋体" w:hAnsi="宋体" w:cs="宋体" w:eastAsia="宋体" w:hint="ascii"/>
          <w:sz w:val="21"/>
          <w:spacing w:val="5"/>
        </w:rPr>
        <w:t>各地优秀</w:t>
      </w:r>
      <w:r>
        <w:rPr>
          <w:rFonts w:ascii="宋体" w:hAnsi="宋体" w:cs="宋体" w:eastAsia="宋体" w:hint="ascii"/>
          <w:sz w:val="21"/>
          <w:spacing w:val="4"/>
        </w:rPr>
        <w:t>科</w:t>
      </w:r>
      <w:r>
        <w:rPr>
          <w:rFonts w:ascii="宋体" w:hAnsi="宋体" w:cs="宋体" w:eastAsia="宋体" w:hint="ascii"/>
          <w:sz w:val="21"/>
          <w:spacing w:val="5"/>
        </w:rPr>
        <w:t>学家和科</w:t>
      </w:r>
      <w:r>
        <w:rPr>
          <w:rFonts w:ascii="宋体" w:hAnsi="宋体" w:cs="宋体" w:eastAsia="宋体" w:hint="ascii"/>
          <w:sz w:val="21"/>
          <w:spacing w:val="4"/>
        </w:rPr>
        <w:t>研</w:t>
      </w:r>
      <w:r>
        <w:rPr>
          <w:rFonts w:ascii="宋体" w:hAnsi="宋体" w:cs="宋体" w:eastAsia="宋体" w:hint="ascii"/>
          <w:sz w:val="21"/>
        </w:rPr>
        <w:t>团</w:t>
      </w:r>
    </w:p>
    <w:p>
      <w:pPr>
        <w:autoSpaceDE w:val="0"/>
        <w:autoSpaceDN w:val="0"/>
        <w:jc w:val="left"/>
        <w:spacing w:before="350"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0"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78" w:after="0" w:lineRule="exact" w:line="319"/>
        <w:ind w:right="975" w:left="0" w:firstLine="0"/>
        <w:snapToGrid w:val="0"/>
        <w:textAlignment w:val="auto"/>
        <w:tabs/>
        <w:rPr>
          <w:rFonts w:ascii="宋体" w:hAnsi="宋体" w:cs="宋体" w:eastAsia="宋体" w:hint="ascii"/>
          <w:sz w:val="21"/>
        </w:rPr>
      </w:pPr>
      <w:r>
        <w:rPr>
          <w:rFonts w:ascii="宋体" w:hAnsi="宋体" w:cs="宋体" w:eastAsia="宋体" w:hint="ascii"/>
          <w:sz w:val="21"/>
          <w:spacing w:val="-1"/>
        </w:rPr>
        <w:t>队，发挥</w:t>
      </w:r>
      <w:r>
        <w:rPr>
          <w:rFonts w:ascii="宋体" w:hAnsi="宋体" w:cs="宋体" w:eastAsia="宋体" w:hint="ascii"/>
          <w:sz w:val="21"/>
        </w:rPr>
        <w:t>社会力量的作用，重点解决中国通用技术研究院在服务国家、履行职能工作中</w:t>
      </w:r>
      <w:r>
        <w:rPr>
          <w:rFonts w:ascii="宋体" w:hAnsi="宋体" w:cs="宋体" w:eastAsia="宋体" w:hint="ascii"/>
          <w:sz w:val="21"/>
          <w:spacing w:val="-1"/>
        </w:rPr>
        <w:t>遇到的具</w:t>
      </w:r>
      <w:r>
        <w:rPr>
          <w:rFonts w:ascii="宋体" w:hAnsi="宋体" w:cs="宋体" w:eastAsia="宋体" w:hint="ascii"/>
          <w:sz w:val="21"/>
        </w:rPr>
        <w:t>有共性的、基础性的重大科学问题和关键技术问题，促进相关领域的科技发展和人才队伍建设。</w:t>
      </w:r>
      <w:r>
        <w:rPr>
          <w:rFonts w:ascii="宋体" w:hAnsi="宋体" w:cs="宋体" w:eastAsia="宋体" w:hint="ascii"/>
          <w:sz w:val="21"/>
        </w:rPr>
        <mc:AlternateContent>
          <mc:Choice Requires="wps">
            <w:drawing>
              <wp:anchor distL="0" distR="0" distT="0" distB="0" simplePos="0" behindDoc="1" relativeHeight="274" locked="0" layoutInCell="1" allowOverlap="1">
                <wp:simplePos x="0" y="0"/>
                <wp:positionH relativeFrom="page">
                  <wp:posOffset>938530</wp:posOffset>
                </wp:positionH>
                <wp:positionV relativeFrom="page">
                  <wp:posOffset>805815</wp:posOffset>
                </wp:positionV>
                <wp:extent cx="5076190" cy="0"/>
                <wp:wrapNone/>
                <wp:docPr id="1303" name="130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77664;width:399.70pt;" id="130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8"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通用技术基础研究联合基金</w:t>
      </w:r>
      <w:r>
        <w:rPr>
          <w:rFonts w:ascii="宋体" w:hAnsi="宋体" w:cs="宋体" w:eastAsia="宋体" w:hint="ascii"/>
          <w:sz w:val="21"/>
          <w:spacing w:val="-24"/>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3"/>
        </w:rPr>
        <w:t xml:space="preserve"> </w:t>
      </w:r>
      <w:r>
        <w:rPr>
          <w:rFonts w:ascii="宋体" w:hAnsi="宋体" w:cs="宋体" w:eastAsia="宋体" w:hint="ascii"/>
          <w:sz w:val="21"/>
        </w:rPr>
        <w:t>年度接收以下研究领域的重点支持项目和</w:t>
      </w:r>
    </w:p>
    <w:p>
      <w:pPr>
        <w:autoSpaceDE w:val="0"/>
        <w:autoSpaceDN w:val="0"/>
        <w:jc w:val="left"/>
        <w:spacing w:before="64"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培育项目申请。其中重点支持项目直接费用平均资助强度为</w:t>
      </w:r>
      <w:r>
        <w:rPr>
          <w:rFonts w:ascii="宋体" w:hAnsi="宋体" w:cs="宋体" w:eastAsia="宋体" w:hint="ascii"/>
          <w:sz w:val="21"/>
          <w:spacing w:val="-23"/>
        </w:rPr>
        <w:t xml:space="preserve"> </w:t>
      </w:r>
      <w:r>
        <w:rPr>
          <w:rFonts w:ascii="Times New Roman" w:hAnsi="Times New Roman" w:cs="Times New Roman" w:eastAsia="Times New Roman" w:hint="ascii"/>
          <w:sz w:val="21"/>
        </w:rPr>
        <w:t>260</w:t>
      </w:r>
      <w:r>
        <w:rPr>
          <w:rFonts w:ascii="Times New Roman" w:hAnsi="Times New Roman" w:cs="Times New Roman" w:eastAsia="Times New Roman" w:hint="ascii"/>
          <w:sz w:val="21"/>
          <w:spacing w:val="-23"/>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p>
    <w:p>
      <w:pPr>
        <w:autoSpaceDE w:val="0"/>
        <w:autoSpaceDN w:val="0"/>
        <w:jc w:val="both"/>
        <w:spacing w:before="12" w:after="0" w:lineRule="exact" w:line="320"/>
        <w:ind w:right="975"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年，对于创新性、系统性强的项目，资助强度可酌情增加；培育项目直接费用平均资助强度</w:t>
      </w:r>
      <w:r>
        <w:rPr>
          <w:rFonts w:ascii="宋体" w:hAnsi="宋体" w:cs="宋体" w:eastAsia="宋体" w:hint="ascii"/>
          <w:sz w:val="21"/>
          <w:spacing w:val="-25"/>
        </w:rPr>
        <w:t xml:space="preserve"> </w:t>
      </w:r>
      <w:r>
        <w:rPr>
          <w:rFonts w:ascii="Times New Roman" w:hAnsi="Times New Roman" w:cs="Times New Roman" w:eastAsia="Times New Roman" w:hint="ascii"/>
          <w:sz w:val="21"/>
        </w:rPr>
        <w:t>70</w:t>
      </w:r>
      <w:r>
        <w:rPr>
          <w:rFonts w:ascii="Times New Roman" w:hAnsi="Times New Roman" w:cs="Times New Roman" w:eastAsia="Times New Roman" w:hint="ascii"/>
          <w:sz w:val="21"/>
          <w:spacing w:val="-26"/>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25"/>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26"/>
        </w:rPr>
        <w:t xml:space="preserve"> </w:t>
      </w:r>
      <w:r>
        <w:rPr>
          <w:rFonts w:ascii="宋体" w:hAnsi="宋体" w:cs="宋体" w:eastAsia="宋体" w:hint="ascii"/>
          <w:sz w:val="21"/>
        </w:rPr>
        <w:t>年。</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通用技术基础研究联合基金面向全国，欢迎符合条件的科学技术人员按照本《指南》范围和要求提出申请。</w:t>
      </w:r>
    </w:p>
    <w:p>
      <w:pPr>
        <w:autoSpaceDE w:val="0"/>
        <w:autoSpaceDN w:val="0"/>
        <w:jc w:val="left"/>
        <w:spacing w:before="164" w:after="0" w:lineRule="exact" w:line="300"/>
        <w:ind w:right="0" w:left="420" w:firstLine="0"/>
        <w:snapToGrid w:val="0"/>
        <w:textAlignment w:val="auto"/>
        <w:tabs/>
        <w:rPr>
          <w:rFonts w:ascii="宋体" w:hAnsi="宋体" w:cs="宋体" w:eastAsia="宋体" w:hint="ascii"/>
        </w:rPr>
      </w:pPr>
      <w:r>
        <w:rPr>
          <w:rFonts w:ascii="宋体" w:hAnsi="宋体" w:cs="宋体" w:eastAsia="宋体" w:hint="ascii"/>
        </w:rPr>
        <w:t>一、重点支持项目</w:t>
      </w:r>
    </w:p>
    <w:p>
      <w:pPr>
        <w:autoSpaceDE w:val="0"/>
        <w:autoSpaceDN w:val="0"/>
        <w:jc w:val="left"/>
        <w:spacing w:before="19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行为大数据模式识别理论及方法（申请代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F060301</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海量多源异构数据的使用授权与鉴权体系研究（申请代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F020204</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数据共享应用的块数据基础理论及体系结构设计（申请代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F020204</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复杂环境下语音数据的说话人识别及关键词检索（申请代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F060306</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基于信息融合的精准身份识别方法（申请代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F0603</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抗统计分析的高安全信息隐藏方法（申请代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F020603</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区块链数据隐蔽传输与利用技术（申请代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F020605</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虚拟身份隐藏与数字痕迹擦除及利用方法（申请代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F020603</w:t>
      </w:r>
      <w:r>
        <w:rPr>
          <w:rFonts w:ascii="宋体" w:hAnsi="宋体" w:cs="宋体" w:eastAsia="宋体" w:hint="ascii"/>
          <w:sz w:val="21"/>
        </w:rPr>
        <w:t>）</w:t>
      </w:r>
    </w:p>
    <w:p>
      <w:pPr>
        <w:autoSpaceDE w:val="0"/>
        <w:autoSpaceDN w:val="0"/>
        <w:jc w:val="left"/>
        <w:spacing w:before="57" w:after="0" w:lineRule="auto" w:line="240"/>
        <w:ind w:right="0" w:left="683" w:hanging="105"/>
        <w:snapToGrid w:val="0"/>
        <w:textAlignment w:val="auto"/>
        <w:tabs>
          <w:tab w:val="left" w:leader="none" w:pos="683"/>
        </w:tabs>
        <w:numPr>
          <w:ilvl w:val="0"/>
          <w:numId w:val="306"/>
        </w:numPr>
        <w:rPr>
          <w:rFonts w:ascii="Times New Roman" w:hAnsi="Times New Roman" w:cs="Times New Roman" w:eastAsia="Times New Roman" w:hint="ascii"/>
          <w:sz w:val="21"/>
        </w:rPr>
      </w:pPr>
      <w:r>
        <w:rPr>
          <w:rFonts w:ascii="宋体" w:hAnsi="宋体" w:cs="宋体" w:eastAsia="宋体" w:hint="ascii"/>
          <w:sz w:val="21"/>
        </w:rPr>
        <w:t>卫星通信信号分析与信道隐蔽通信技术（申请代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F010603</w:t>
      </w:r>
      <w:r>
        <w:rPr>
          <w:rFonts w:ascii="宋体" w:hAnsi="宋体" w:cs="宋体" w:eastAsia="宋体" w:hint="ascii"/>
          <w:sz w:val="21"/>
        </w:rPr>
        <w:t>）</w:t>
      </w:r>
    </w:p>
    <w:p>
      <w:pPr>
        <w:autoSpaceDE w:val="0"/>
        <w:autoSpaceDN w:val="0"/>
        <w:jc w:val="both"/>
        <w:spacing w:before="57" w:after="0" w:lineRule="auto" w:line="293"/>
        <w:ind w:right="1271"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
        </w:rPr>
        <w:t>10</w:t>
      </w:r>
      <w:r>
        <w:rPr>
          <w:rFonts w:ascii="Times New Roman" w:hAnsi="Times New Roman" w:cs="Times New Roman" w:eastAsia="Times New Roman" w:hint="ascii"/>
          <w:b w:val="1"/>
          <w:sz w:val="21"/>
        </w:rPr>
        <w:t>.</w:t>
      </w:r>
      <w:r>
        <w:rPr>
          <w:rFonts w:ascii="Times New Roman" w:hAnsi="Times New Roman" w:cs="Times New Roman" w:eastAsia="Times New Roman" w:hint="ascii"/>
          <w:b w:val="1"/>
          <w:sz w:val="21"/>
          <w:spacing w:val="-1"/>
        </w:rPr>
        <w:t xml:space="preserve"> </w:t>
      </w:r>
      <w:r>
        <w:rPr>
          <w:rFonts w:ascii="宋体" w:hAnsi="宋体" w:cs="宋体" w:eastAsia="宋体" w:hint="ascii"/>
          <w:sz w:val="21"/>
          <w:spacing w:val="-1"/>
        </w:rPr>
        <w:t>基于漏洞数据</w:t>
      </w:r>
      <w:r>
        <w:rPr>
          <w:rFonts w:ascii="宋体" w:hAnsi="宋体" w:cs="宋体" w:eastAsia="宋体" w:hint="ascii"/>
          <w:sz w:val="21"/>
        </w:rPr>
        <w:t>集的漏洞特征库分析与预测方法（申请代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F020605</w:t>
      </w:r>
      <w:r>
        <w:rPr>
          <w:rFonts w:ascii="宋体" w:hAnsi="宋体" w:cs="宋体" w:eastAsia="宋体" w:hint="ascii"/>
          <w:sz w:val="21"/>
        </w:rPr>
        <w:t>）</w:t>
      </w:r>
      <w:r>
        <w:rPr>
          <w:rFonts w:ascii="Times New Roman" w:hAnsi="Times New Roman" w:cs="Times New Roman" w:eastAsia="Times New Roman" w:hint="ascii"/>
          <w:b w:val="1"/>
          <w:sz w:val="21"/>
          <w:spacing w:val="-11"/>
        </w:rPr>
        <w:t>1</w:t>
      </w:r>
      <w:r>
        <w:rPr>
          <w:rFonts w:ascii="Times New Roman" w:hAnsi="Times New Roman" w:cs="Times New Roman" w:eastAsia="Times New Roman" w:hint="ascii"/>
          <w:b w:val="1"/>
          <w:sz w:val="21"/>
        </w:rPr>
        <w:t xml:space="preserve">1. </w:t>
      </w:r>
      <w:r>
        <w:rPr>
          <w:rFonts w:ascii="宋体" w:hAnsi="宋体" w:cs="宋体" w:eastAsia="宋体" w:hint="ascii"/>
          <w:sz w:val="21"/>
        </w:rPr>
        <w:t>网络异常行为检测技术及判定方法（申请代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F020707</w:t>
      </w:r>
      <w:r>
        <w:rPr>
          <w:rFonts w:ascii="宋体" w:hAnsi="宋体" w:cs="宋体" w:eastAsia="宋体" w:hint="ascii"/>
          <w:sz w:val="21"/>
        </w:rPr>
        <w:t>）</w:t>
      </w:r>
    </w:p>
    <w:p>
      <w:pPr>
        <w:autoSpaceDE w:val="0"/>
        <w:autoSpaceDN w:val="0"/>
        <w:jc w:val="left"/>
        <w:spacing w:before="0" w:after="0" w:lineRule="auto" w:line="240"/>
        <w:ind w:right="0" w:left="787" w:hanging="367"/>
        <w:snapToGrid w:val="0"/>
        <w:textAlignment w:val="auto"/>
        <w:tabs>
          <w:tab w:val="left" w:leader="none" w:pos="787"/>
        </w:tabs>
        <w:numPr>
          <w:ilvl w:val="0"/>
          <w:numId w:val="307"/>
        </w:numPr>
        <w:rPr>
          <w:rFonts w:ascii="Times New Roman" w:hAnsi="Times New Roman" w:cs="Times New Roman" w:eastAsia="Times New Roman" w:hint="ascii"/>
          <w:sz w:val="21"/>
          <w:spacing w:val="1"/>
        </w:rPr>
      </w:pPr>
      <w:r>
        <w:rPr>
          <w:rFonts w:ascii="宋体" w:hAnsi="宋体" w:cs="宋体" w:eastAsia="宋体" w:hint="ascii"/>
          <w:sz w:val="21"/>
        </w:rPr>
        <w:t>面向特定领域的文本语义分析关键技术（申请代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F060405</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307"/>
        </w:numPr>
        <w:rPr>
          <w:rFonts w:ascii="Times New Roman" w:hAnsi="Times New Roman" w:cs="Times New Roman" w:eastAsia="Times New Roman" w:hint="ascii"/>
          <w:sz w:val="21"/>
          <w:spacing w:val="1"/>
        </w:rPr>
      </w:pPr>
      <w:r>
        <w:rPr>
          <w:rFonts w:ascii="宋体" w:hAnsi="宋体" w:cs="宋体" w:eastAsia="宋体" w:hint="ascii"/>
          <w:sz w:val="21"/>
        </w:rPr>
        <w:t>口令猜测理论模型与实际应用研究（申请代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F020601</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307"/>
        </w:numPr>
        <w:rPr>
          <w:rFonts w:ascii="Times New Roman" w:hAnsi="Times New Roman" w:cs="Times New Roman" w:eastAsia="Times New Roman" w:hint="ascii"/>
          <w:sz w:val="21"/>
          <w:spacing w:val="1"/>
        </w:rPr>
      </w:pPr>
      <w:r>
        <w:rPr>
          <w:rFonts w:ascii="宋体" w:hAnsi="宋体" w:cs="宋体" w:eastAsia="宋体" w:hint="ascii"/>
          <w:sz w:val="21"/>
        </w:rPr>
        <w:t>复杂场景下视觉智能探测及解析关键技术研究（申请代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F060307</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307"/>
        </w:numPr>
        <w:rPr>
          <w:rFonts w:ascii="Times New Roman" w:hAnsi="Times New Roman" w:cs="Times New Roman" w:eastAsia="Times New Roman" w:hint="ascii"/>
          <w:sz w:val="21"/>
          <w:spacing w:val="1"/>
        </w:rPr>
      </w:pPr>
      <w:r>
        <w:rPr>
          <w:rFonts w:ascii="宋体" w:hAnsi="宋体" w:cs="宋体" w:eastAsia="宋体" w:hint="ascii"/>
          <w:sz w:val="21"/>
        </w:rPr>
        <w:t>基于开放知识网络的特定目标隐含线索发现研究（申请代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F020604</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307"/>
        </w:numPr>
        <w:rPr>
          <w:rFonts w:ascii="Times New Roman" w:hAnsi="Times New Roman" w:cs="Times New Roman" w:eastAsia="Times New Roman" w:hint="ascii"/>
          <w:sz w:val="21"/>
          <w:spacing w:val="1"/>
        </w:rPr>
      </w:pPr>
      <w:r>
        <w:rPr>
          <w:rFonts w:ascii="宋体" w:hAnsi="宋体" w:cs="宋体" w:eastAsia="宋体" w:hint="ascii"/>
          <w:sz w:val="21"/>
          <w:spacing w:val="-5"/>
        </w:rPr>
        <w:t>面向跨组织异构计算资源的计算密集型数据分析方法（申请代</w:t>
      </w:r>
      <w:r>
        <w:rPr>
          <w:rFonts w:ascii="宋体" w:hAnsi="宋体" w:cs="宋体" w:eastAsia="宋体" w:hint="ascii"/>
          <w:sz w:val="21"/>
          <w:spacing w:val="20"/>
        </w:rPr>
        <w:t>码</w:t>
      </w:r>
      <w:r>
        <w:rPr>
          <w:rFonts w:ascii="Times New Roman" w:hAnsi="Times New Roman" w:cs="Times New Roman" w:eastAsia="Times New Roman" w:hint="ascii"/>
          <w:b w:val="1"/>
          <w:sz w:val="21"/>
          <w:spacing w:val="45"/>
        </w:rPr>
        <w:t>1</w:t>
      </w:r>
      <w:r>
        <w:rPr>
          <w:rFonts w:ascii="宋体" w:hAnsi="宋体" w:cs="宋体" w:eastAsia="宋体" w:hint="ascii"/>
          <w:sz w:val="21"/>
          <w:spacing w:val="-5"/>
        </w:rPr>
        <w:t>选</w:t>
      </w:r>
      <w:r>
        <w:rPr>
          <w:rFonts w:ascii="宋体" w:hAnsi="宋体" w:cs="宋体" w:eastAsia="宋体" w:hint="ascii"/>
          <w:sz w:val="21"/>
          <w:spacing w:val="20"/>
        </w:rPr>
        <w:t>择</w:t>
      </w:r>
      <w:r>
        <w:rPr>
          <w:rFonts w:ascii="Times New Roman" w:hAnsi="Times New Roman" w:cs="Times New Roman" w:eastAsia="Times New Roman" w:hint="ascii"/>
          <w:b w:val="1"/>
          <w:sz w:val="21"/>
          <w:spacing w:val="-6"/>
        </w:rPr>
        <w:t>F</w:t>
      </w:r>
      <w:r>
        <w:rPr>
          <w:rFonts w:ascii="Times New Roman" w:hAnsi="Times New Roman" w:cs="Times New Roman" w:eastAsia="Times New Roman" w:hint="ascii"/>
          <w:b w:val="1"/>
          <w:sz w:val="21"/>
        </w:rPr>
        <w:t>0</w:t>
      </w:r>
      <w:r>
        <w:rPr>
          <w:rFonts w:ascii="Times New Roman" w:hAnsi="Times New Roman" w:cs="Times New Roman" w:eastAsia="Times New Roman" w:hint="ascii"/>
          <w:b w:val="1"/>
          <w:sz w:val="21"/>
          <w:spacing w:val="-6"/>
        </w:rPr>
        <w:t>2</w:t>
      </w:r>
      <w:r>
        <w:rPr>
          <w:rFonts w:ascii="Times New Roman" w:hAnsi="Times New Roman" w:cs="Times New Roman" w:eastAsia="Times New Roman" w:hint="ascii"/>
          <w:b w:val="1"/>
          <w:sz w:val="21"/>
        </w:rPr>
        <w:t>0</w:t>
      </w:r>
      <w:r>
        <w:rPr>
          <w:rFonts w:ascii="Times New Roman" w:hAnsi="Times New Roman" w:cs="Times New Roman" w:eastAsia="Times New Roman" w:hint="ascii"/>
          <w:b w:val="1"/>
          <w:sz w:val="21"/>
          <w:spacing w:val="-6"/>
        </w:rPr>
        <w:t>30</w:t>
      </w:r>
      <w:r>
        <w:rPr>
          <w:rFonts w:ascii="Times New Roman" w:hAnsi="Times New Roman" w:cs="Times New Roman" w:eastAsia="Times New Roman" w:hint="ascii"/>
          <w:b w:val="1"/>
          <w:sz w:val="21"/>
          <w:spacing w:val="-5"/>
        </w:rPr>
        <w:t>5</w:t>
      </w:r>
      <w:r>
        <w:rPr>
          <w:rFonts w:ascii="宋体" w:hAnsi="宋体" w:cs="宋体" w:eastAsia="宋体" w:hint="ascii"/>
          <w:sz w:val="21"/>
        </w:rPr>
        <w:t>）</w:t>
      </w:r>
    </w:p>
    <w:p>
      <w:pPr>
        <w:autoSpaceDE w:val="0"/>
        <w:autoSpaceDN w:val="0"/>
        <w:jc w:val="left"/>
        <w:spacing w:before="57"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
        </w:rPr>
        <w:t>17</w:t>
      </w:r>
      <w:r>
        <w:rPr>
          <w:rFonts w:ascii="Times New Roman" w:hAnsi="Times New Roman" w:cs="Times New Roman" w:eastAsia="Times New Roman" w:hint="ascii"/>
          <w:b w:val="1"/>
          <w:sz w:val="21"/>
        </w:rPr>
        <w:t>.</w:t>
      </w:r>
      <w:r>
        <w:rPr>
          <w:rFonts w:ascii="Times New Roman" w:hAnsi="Times New Roman" w:cs="Times New Roman" w:eastAsia="Times New Roman" w:hint="ascii"/>
          <w:b w:val="1"/>
          <w:sz w:val="21"/>
          <w:spacing w:val="80"/>
        </w:rPr>
        <w:t xml:space="preserve"> </w:t>
      </w:r>
      <w:r>
        <w:rPr>
          <w:rFonts w:ascii="Times New Roman" w:hAnsi="Times New Roman" w:cs="Times New Roman" w:eastAsia="Times New Roman" w:hint="ascii"/>
          <w:b w:val="1"/>
          <w:sz w:val="21"/>
        </w:rPr>
        <w:t>SWIF</w:t>
      </w:r>
      <w:r>
        <w:rPr>
          <w:rFonts w:ascii="Times New Roman" w:hAnsi="Times New Roman" w:cs="Times New Roman" w:eastAsia="Times New Roman" w:hint="ascii"/>
          <w:b w:val="1"/>
          <w:sz w:val="21"/>
          <w:spacing w:val="52"/>
        </w:rPr>
        <w:t>T</w:t>
      </w:r>
      <w:r>
        <w:rPr>
          <w:rFonts w:ascii="宋体" w:hAnsi="宋体" w:cs="宋体" w:eastAsia="宋体" w:hint="ascii"/>
          <w:sz w:val="21"/>
        </w:rPr>
        <w:t>系统和区块链攻击行为检测与防范研究（申请代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F020705</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基于知识的智能机器翻译技术（申请代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F060404</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自主网络安全通信协议关键技术（申请代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F020702</w:t>
      </w:r>
      <w:r>
        <w:rPr>
          <w:rFonts w:ascii="宋体" w:hAnsi="宋体" w:cs="宋体" w:eastAsia="宋体" w:hint="ascii"/>
          <w:sz w:val="21"/>
        </w:rPr>
        <w:t>）</w:t>
      </w:r>
    </w:p>
    <w:p>
      <w:pPr>
        <w:autoSpaceDE w:val="0"/>
        <w:autoSpaceDN w:val="0"/>
        <w:jc w:val="left"/>
        <w:spacing w:before="57" w:after="0" w:lineRule="auto" w:line="240"/>
        <w:ind w:right="0" w:left="787" w:hanging="367"/>
        <w:snapToGrid w:val="0"/>
        <w:textAlignment w:val="auto"/>
        <w:tabs>
          <w:tab w:val="left" w:leader="none" w:pos="787"/>
        </w:tabs>
        <w:numPr>
          <w:ilvl w:val="0"/>
          <w:numId w:val="146"/>
        </w:numPr>
        <w:rPr>
          <w:rFonts w:ascii="Times New Roman" w:hAnsi="Times New Roman" w:cs="Times New Roman" w:eastAsia="Times New Roman" w:hint="ascii"/>
          <w:sz w:val="21"/>
          <w:spacing w:val="1"/>
        </w:rPr>
      </w:pPr>
      <w:r>
        <w:rPr>
          <w:rFonts w:ascii="宋体" w:hAnsi="宋体" w:cs="宋体" w:eastAsia="宋体" w:hint="ascii"/>
          <w:sz w:val="21"/>
        </w:rPr>
        <w:t>大数据环境下的网络元数据智能提取与分析（申请代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F020204</w:t>
      </w:r>
      <w:r>
        <w:rPr>
          <w:rFonts w:ascii="宋体" w:hAnsi="宋体" w:cs="宋体" w:eastAsia="宋体" w:hint="ascii"/>
          <w:sz w:val="21"/>
        </w:rPr>
        <w:t>）</w:t>
      </w:r>
    </w:p>
    <w:p>
      <w:pPr>
        <w:autoSpaceDE w:val="0"/>
        <w:autoSpaceDN w:val="0"/>
        <w:jc w:val="left"/>
        <w:spacing w:before="181" w:after="0" w:lineRule="exact" w:line="300"/>
        <w:ind w:right="0" w:left="420" w:firstLine="0"/>
        <w:snapToGrid w:val="0"/>
        <w:textAlignment w:val="auto"/>
        <w:tabs/>
        <w:rPr>
          <w:rFonts w:ascii="宋体" w:hAnsi="宋体" w:cs="宋体" w:eastAsia="宋体" w:hint="ascii"/>
        </w:rPr>
      </w:pPr>
      <w:r>
        <w:rPr>
          <w:rFonts w:ascii="宋体" w:hAnsi="宋体" w:cs="宋体" w:eastAsia="宋体" w:hint="ascii"/>
        </w:rPr>
        <w:t>二、培育项目</w:t>
      </w:r>
    </w:p>
    <w:p>
      <w:pPr>
        <w:autoSpaceDE w:val="0"/>
        <w:autoSpaceDN w:val="0"/>
        <w:jc w:val="left"/>
        <w:spacing w:before="198" w:after="0" w:lineRule="auto" w:line="240"/>
        <w:ind w:right="0" w:left="683" w:hanging="263"/>
        <w:snapToGrid w:val="0"/>
        <w:textAlignment w:val="auto"/>
        <w:tabs>
          <w:tab w:val="left" w:leader="none" w:pos="683"/>
        </w:tabs>
        <w:numPr>
          <w:ilvl w:val="0"/>
          <w:numId w:val="308"/>
        </w:numPr>
        <w:rPr>
          <w:rFonts w:ascii="Times New Roman" w:hAnsi="Times New Roman" w:cs="Times New Roman" w:eastAsia="Times New Roman" w:hint="ascii"/>
          <w:sz w:val="21"/>
        </w:rPr>
      </w:pPr>
      <w:r>
        <w:rPr>
          <w:rFonts w:ascii="宋体" w:hAnsi="宋体" w:cs="宋体" w:eastAsia="宋体" w:hint="ascii"/>
          <w:sz w:val="21"/>
        </w:rPr>
        <w:t>面向多维多层大数据的可视化技术（申请代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F020508</w:t>
      </w:r>
      <w:r>
        <w:rPr>
          <w:rFonts w:ascii="宋体" w:hAnsi="宋体" w:cs="宋体" w:eastAsia="宋体" w:hint="ascii"/>
          <w:sz w:val="21"/>
        </w:rPr>
        <w:t>）</w:t>
      </w:r>
    </w:p>
    <w:p>
      <w:pPr>
        <w:autoSpaceDE w:val="0"/>
        <w:autoSpaceDN w:val="0"/>
        <w:jc w:val="both"/>
        <w:spacing w:before="17" w:after="0" w:lineRule="exact" w:line="312"/>
        <w:ind w:right="975" w:left="0" w:firstLine="420"/>
        <w:snapToGrid w:val="0"/>
        <w:textAlignment w:val="auto"/>
        <w:tabs/>
        <w:rPr>
          <w:rFonts w:ascii="宋体" w:hAnsi="宋体" w:cs="宋体" w:eastAsia="宋体" w:hint="ascii"/>
          <w:sz w:val="21"/>
        </w:rPr>
      </w:pPr>
      <w:r>
        <w:rPr>
          <w:rFonts w:ascii="宋体" w:hAnsi="宋体" w:cs="宋体" w:eastAsia="宋体" w:hint="ascii"/>
          <w:sz w:val="21"/>
          <w:spacing w:val="-1"/>
        </w:rPr>
        <w:t>研究如何</w:t>
      </w:r>
      <w:r>
        <w:rPr>
          <w:rFonts w:ascii="宋体" w:hAnsi="宋体" w:cs="宋体" w:eastAsia="宋体" w:hint="ascii"/>
          <w:sz w:val="21"/>
        </w:rPr>
        <w:t>通过可视化技术对多维多层数据进行综合集成，揭示大数据所蕴含的系统隐藏关系、深层次结构和运行机制。</w:t>
      </w:r>
    </w:p>
    <w:p>
      <w:pPr>
        <w:autoSpaceDE w:val="0"/>
        <w:autoSpaceDN w:val="0"/>
        <w:jc w:val="left"/>
        <w:spacing w:before="40" w:after="0" w:lineRule="auto" w:line="240"/>
        <w:ind w:right="0" w:left="683" w:hanging="263"/>
        <w:snapToGrid w:val="0"/>
        <w:textAlignment w:val="auto"/>
        <w:tabs>
          <w:tab w:val="left" w:leader="none" w:pos="683"/>
        </w:tabs>
        <w:numPr>
          <w:ilvl w:val="0"/>
          <w:numId w:val="308"/>
        </w:numPr>
        <w:rPr>
          <w:rFonts w:ascii="Times New Roman" w:hAnsi="Times New Roman" w:cs="Times New Roman" w:eastAsia="Times New Roman" w:hint="ascii"/>
          <w:sz w:val="21"/>
        </w:rPr>
      </w:pPr>
      <w:r>
        <w:rPr>
          <w:rFonts w:ascii="宋体" w:hAnsi="宋体" w:cs="宋体" w:eastAsia="宋体" w:hint="ascii"/>
          <w:sz w:val="21"/>
        </w:rPr>
        <w:t>基于大数据的社会行为预测理论和关键技术（申请代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F020204</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研究基于大数据的数据融合、关联分析、行为统计等方法，对自然人的宏观社会行</w:t>
      </w:r>
    </w:p>
    <w:p>
      <w:pPr>
        <w:autoSpaceDE w:val="0"/>
        <w:autoSpaceDN w:val="0"/>
        <w:jc w:val="left"/>
        <w:spacing w:before="4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为进行建模和仿真，构建相关理论模型和应用场景，在此基础上研究社会行为的推演和</w:t>
      </w:r>
    </w:p>
    <w:p>
      <w:pPr>
        <w:autoSpaceDE w:val="0"/>
        <w:autoSpaceDN w:val="0"/>
        <w:jc w:val="left"/>
        <w:spacing w:before="542" w:after="0" w:lineRule="exact" w:line="225"/>
        <w:ind w:right="0" w:left="0" w:firstLine="0"/>
        <w:snapToGrid w:val="0"/>
        <w:textAlignment w:val="auto"/>
        <w:tabs/>
        <w:sectPr>
          <w:pgSz w:w="10940" w:h="15080" w:orient="portrait"/>
          <w:pgMar w:top="508" w:right="508" w:bottom="508" w:left="1474"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856"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预测技术。</w:t>
      </w:r>
      <w:r>
        <w:rPr>
          <w:rFonts w:ascii="宋体" w:hAnsi="宋体" w:cs="宋体" w:eastAsia="宋体" w:hint="ascii"/>
          <w:sz w:val="21"/>
        </w:rPr>
        <mc:AlternateContent>
          <mc:Choice Requires="wps">
            <w:drawing>
              <wp:anchor distL="0" distR="0" distT="0" distB="0" simplePos="0" behindDoc="1" relativeHeight="275" locked="0" layoutInCell="1" allowOverlap="1">
                <wp:simplePos x="0" y="0"/>
                <wp:positionH relativeFrom="page">
                  <wp:posOffset>938530</wp:posOffset>
                </wp:positionH>
                <wp:positionV relativeFrom="page">
                  <wp:posOffset>819150</wp:posOffset>
                </wp:positionV>
                <wp:extent cx="5076190" cy="0"/>
                <wp:wrapNone/>
                <wp:docPr id="1304" name="130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76640;width:399.70pt;" id="130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3</w:t>
      </w:r>
      <w:r>
        <w:rPr>
          <w:rFonts w:ascii="宋体" w:hAnsi="宋体" w:cs="宋体" w:eastAsia="宋体" w:hint="ascii"/>
          <w:sz w:val="21"/>
        </w:rPr>
        <w:t>．面向特定业务领域的机器阅读及优化方法（申请代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F060405</w:t>
      </w:r>
      <w:r>
        <w:rPr>
          <w:rFonts w:ascii="宋体" w:hAnsi="宋体" w:cs="宋体" w:eastAsia="宋体" w:hint="ascii"/>
          <w:sz w:val="21"/>
        </w:rPr>
        <w:t>）</w:t>
      </w:r>
    </w:p>
    <w:p>
      <w:pPr>
        <w:autoSpaceDE w:val="0"/>
        <w:autoSpaceDN w:val="0"/>
        <w:jc w:val="both"/>
        <w:spacing w:before="17" w:after="0" w:lineRule="exact" w:line="312"/>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1"/>
        </w:rPr>
        <w:t>根据特定业务</w:t>
      </w:r>
      <w:r>
        <w:rPr>
          <w:rFonts w:ascii="宋体" w:hAnsi="宋体" w:cs="宋体" w:eastAsia="宋体" w:hint="ascii"/>
          <w:sz w:val="21"/>
        </w:rPr>
        <w:t>领域需要，研究高效率的文本数据机器阅读及优化方法，从海量文本数据中自动抽取关键要素和逻辑关系，形成知识图谱。</w:t>
      </w:r>
    </w:p>
    <w:p>
      <w:pPr>
        <w:autoSpaceDE w:val="0"/>
        <w:autoSpaceDN w:val="0"/>
        <w:jc w:val="left"/>
        <w:spacing w:before="40" w:after="0" w:lineRule="auto" w:line="240"/>
        <w:ind w:right="0" w:left="683" w:hanging="263"/>
        <w:snapToGrid w:val="0"/>
        <w:textAlignment w:val="auto"/>
        <w:tabs>
          <w:tab w:val="left" w:leader="none" w:pos="683"/>
        </w:tabs>
        <w:numPr>
          <w:ilvl w:val="0"/>
          <w:numId w:val="155"/>
        </w:numPr>
        <w:rPr>
          <w:rFonts w:ascii="Times New Roman" w:hAnsi="Times New Roman" w:cs="Times New Roman" w:eastAsia="Times New Roman" w:hint="ascii"/>
          <w:sz w:val="21"/>
        </w:rPr>
      </w:pPr>
      <w:r>
        <w:rPr>
          <w:rFonts w:ascii="宋体" w:hAnsi="宋体" w:cs="宋体" w:eastAsia="宋体" w:hint="ascii"/>
          <w:sz w:val="21"/>
        </w:rPr>
        <w:t>多源异构数据处理与智能推送（申请代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F020204</w:t>
      </w:r>
      <w:r>
        <w:rPr>
          <w:rFonts w:ascii="宋体" w:hAnsi="宋体" w:cs="宋体" w:eastAsia="宋体" w:hint="ascii"/>
          <w:sz w:val="21"/>
        </w:rPr>
        <w:t>）</w:t>
      </w:r>
    </w:p>
    <w:p>
      <w:pPr>
        <w:autoSpaceDE w:val="0"/>
        <w:autoSpaceDN w:val="0"/>
        <w:jc w:val="both"/>
        <w:spacing w:before="17" w:after="0" w:lineRule="exact" w:line="312"/>
        <w:ind w:right="978" w:left="0" w:firstLine="420"/>
        <w:snapToGrid w:val="0"/>
        <w:textAlignment w:val="auto"/>
        <w:tabs/>
        <w:rPr>
          <w:rFonts w:ascii="宋体" w:hAnsi="宋体" w:cs="宋体" w:eastAsia="宋体" w:hint="ascii"/>
          <w:sz w:val="21"/>
        </w:rPr>
      </w:pPr>
      <w:r>
        <w:rPr>
          <w:rFonts w:ascii="宋体" w:hAnsi="宋体" w:cs="宋体" w:eastAsia="宋体" w:hint="ascii"/>
          <w:sz w:val="21"/>
          <w:spacing w:val="-1"/>
        </w:rPr>
        <w:t>研究特定人物</w:t>
      </w:r>
      <w:r>
        <w:rPr>
          <w:rFonts w:ascii="宋体" w:hAnsi="宋体" w:cs="宋体" w:eastAsia="宋体" w:hint="ascii"/>
          <w:sz w:val="21"/>
        </w:rPr>
        <w:t>数据的知识图谱构建、挖掘与关联分析；敏感数据同态加密传输处理与内容安全保护方法；基于数据推送的预警机制与响应技术。</w:t>
      </w:r>
    </w:p>
    <w:p>
      <w:pPr>
        <w:autoSpaceDE w:val="0"/>
        <w:autoSpaceDN w:val="0"/>
        <w:jc w:val="left"/>
        <w:spacing w:before="40" w:after="0" w:lineRule="auto" w:line="240"/>
        <w:ind w:right="0" w:left="683" w:hanging="263"/>
        <w:snapToGrid w:val="0"/>
        <w:textAlignment w:val="auto"/>
        <w:tabs>
          <w:tab w:val="left" w:leader="none" w:pos="683"/>
        </w:tabs>
        <w:numPr>
          <w:ilvl w:val="0"/>
          <w:numId w:val="155"/>
        </w:numPr>
        <w:rPr>
          <w:rFonts w:ascii="Times New Roman" w:hAnsi="Times New Roman" w:cs="Times New Roman" w:eastAsia="Times New Roman" w:hint="ascii"/>
          <w:sz w:val="21"/>
        </w:rPr>
      </w:pPr>
      <w:r>
        <w:rPr>
          <w:rFonts w:ascii="宋体" w:hAnsi="宋体" w:cs="宋体" w:eastAsia="宋体" w:hint="ascii"/>
          <w:sz w:val="21"/>
        </w:rPr>
        <w:t>网络环境下人工智能系统安全技术与方法（申请代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F060610</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研究面向攻击语境下的深度学习系统安全问题，提出网络环境下深度学习系统的可</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信安全属性</w:t>
      </w:r>
      <w:r>
        <w:rPr>
          <w:rFonts w:ascii="宋体" w:hAnsi="宋体" w:cs="宋体" w:eastAsia="宋体" w:hint="ascii"/>
          <w:sz w:val="21"/>
        </w:rPr>
        <w:t>，设计并实现面向典型深度学习系统的安全属性测试与验证方法，提供具有可证明能力的深度学习安全保障技术与方法。</w:t>
      </w:r>
    </w:p>
    <w:p>
      <w:pPr>
        <w:autoSpaceDE w:val="0"/>
        <w:autoSpaceDN w:val="0"/>
        <w:jc w:val="left"/>
        <w:spacing w:before="40" w:after="0" w:lineRule="auto" w:line="240"/>
        <w:ind w:right="0" w:left="683" w:hanging="263"/>
        <w:snapToGrid w:val="0"/>
        <w:textAlignment w:val="auto"/>
        <w:tabs>
          <w:tab w:val="left" w:leader="none" w:pos="683"/>
        </w:tabs>
        <w:numPr>
          <w:ilvl w:val="0"/>
          <w:numId w:val="155"/>
        </w:numPr>
        <w:rPr>
          <w:rFonts w:ascii="Times New Roman" w:hAnsi="Times New Roman" w:cs="Times New Roman" w:eastAsia="Times New Roman" w:hint="ascii"/>
          <w:sz w:val="21"/>
        </w:rPr>
      </w:pPr>
      <w:r>
        <w:rPr>
          <w:rFonts w:ascii="宋体" w:hAnsi="宋体" w:cs="宋体" w:eastAsia="宋体" w:hint="ascii"/>
          <w:sz w:val="21"/>
        </w:rPr>
        <w:t>机器学习分类器的安全缺陷分析（申请代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F0602</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研究常见机器学习分类器的安全威胁分析，以绕开攻击为核心建立相应的安全缺陷</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模型；研究</w:t>
      </w:r>
      <w:r>
        <w:rPr>
          <w:rFonts w:ascii="宋体" w:hAnsi="宋体" w:cs="宋体" w:eastAsia="宋体" w:hint="ascii"/>
          <w:sz w:val="21"/>
        </w:rPr>
        <w:t>针对机器学习分类器的攻击方法，主要为对抗样本生成的方法；研究机器学习分类器安全增强方法，提升分类器的健壮性和检测对抗样本的能力。</w:t>
      </w:r>
    </w:p>
    <w:p>
      <w:pPr>
        <w:autoSpaceDE w:val="0"/>
        <w:autoSpaceDN w:val="0"/>
        <w:jc w:val="left"/>
        <w:spacing w:before="40" w:after="0" w:lineRule="auto" w:line="240"/>
        <w:ind w:right="0" w:left="683" w:hanging="263"/>
        <w:snapToGrid w:val="0"/>
        <w:textAlignment w:val="auto"/>
        <w:tabs>
          <w:tab w:val="left" w:leader="none" w:pos="683"/>
        </w:tabs>
        <w:numPr>
          <w:ilvl w:val="0"/>
          <w:numId w:val="155"/>
        </w:numPr>
        <w:rPr>
          <w:rFonts w:ascii="Times New Roman" w:hAnsi="Times New Roman" w:cs="Times New Roman" w:eastAsia="Times New Roman" w:hint="ascii"/>
          <w:sz w:val="21"/>
        </w:rPr>
      </w:pPr>
      <w:r>
        <w:rPr>
          <w:rFonts w:ascii="宋体" w:hAnsi="宋体" w:cs="宋体" w:eastAsia="宋体" w:hint="ascii"/>
          <w:sz w:val="21"/>
        </w:rPr>
        <w:t>基于多尺度流分析的隐蔽信道检测模型和技术（申请代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F010203</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研究特定目标网络中，根据隐蔽通信的信宿特点和通信行为特点，利用数据流，建</w:t>
      </w:r>
    </w:p>
    <w:p>
      <w:pPr>
        <w:autoSpaceDE w:val="0"/>
        <w:autoSpaceDN w:val="0"/>
        <w:jc w:val="both"/>
        <w:spacing w:before="10" w:after="0" w:lineRule="exact" w:line="312"/>
        <w:ind w:right="963" w:left="0" w:firstLine="0"/>
        <w:snapToGrid w:val="0"/>
        <w:textAlignment w:val="auto"/>
        <w:tabs/>
        <w:rPr>
          <w:rFonts w:ascii="宋体" w:hAnsi="宋体" w:cs="宋体" w:eastAsia="宋体" w:hint="ascii"/>
          <w:sz w:val="21"/>
        </w:rPr>
      </w:pPr>
      <w:r>
        <w:rPr>
          <w:rFonts w:ascii="宋体" w:hAnsi="宋体" w:cs="宋体" w:eastAsia="宋体" w:hint="ascii"/>
          <w:sz w:val="21"/>
        </w:rPr>
        <w:t>立描</w:t>
      </w:r>
      <w:r>
        <w:rPr>
          <w:rFonts w:ascii="宋体" w:hAnsi="宋体" w:cs="宋体" w:eastAsia="宋体" w:hint="ascii"/>
          <w:sz w:val="21"/>
          <w:spacing w:val="-1"/>
        </w:rPr>
        <w:t>述</w:t>
      </w:r>
      <w:r>
        <w:rPr>
          <w:rFonts w:ascii="宋体" w:hAnsi="宋体" w:cs="宋体" w:eastAsia="宋体" w:hint="ascii"/>
          <w:sz w:val="21"/>
        </w:rPr>
        <w:t>信</w:t>
      </w:r>
      <w:r>
        <w:rPr>
          <w:rFonts w:ascii="宋体" w:hAnsi="宋体" w:cs="宋体" w:eastAsia="宋体" w:hint="ascii"/>
          <w:sz w:val="21"/>
          <w:spacing w:val="-1"/>
        </w:rPr>
        <w:t xml:space="preserve">宿 </w:t>
      </w:r>
      <w:r>
        <w:rPr>
          <w:rFonts w:ascii="Times New Roman" w:hAnsi="Times New Roman" w:cs="Times New Roman" w:eastAsia="Times New Roman" w:hint="ascii"/>
          <w:sz w:val="21"/>
        </w:rPr>
        <w:t>IP</w:t>
      </w:r>
      <w:r>
        <w:rPr>
          <w:rFonts w:ascii="Times New Roman" w:hAnsi="Times New Roman" w:cs="Times New Roman" w:eastAsia="Times New Roman" w:hint="ascii"/>
          <w:sz w:val="21"/>
          <w:spacing w:val="-1"/>
        </w:rPr>
        <w:t xml:space="preserve"> </w:t>
      </w:r>
      <w:r>
        <w:rPr>
          <w:rFonts w:ascii="宋体" w:hAnsi="宋体" w:cs="宋体" w:eastAsia="宋体" w:hint="ascii"/>
          <w:sz w:val="21"/>
        </w:rPr>
        <w:t>可疑度</w:t>
      </w:r>
      <w:r>
        <w:rPr>
          <w:rFonts w:ascii="宋体" w:hAnsi="宋体" w:cs="宋体" w:eastAsia="宋体" w:hint="ascii"/>
          <w:sz w:val="21"/>
          <w:spacing w:val="-1"/>
        </w:rPr>
        <w:t>的</w:t>
      </w:r>
      <w:r>
        <w:rPr>
          <w:rFonts w:ascii="宋体" w:hAnsi="宋体" w:cs="宋体" w:eastAsia="宋体" w:hint="ascii"/>
          <w:sz w:val="21"/>
        </w:rPr>
        <w:t>模型</w:t>
      </w:r>
      <w:r>
        <w:rPr>
          <w:rFonts w:ascii="宋体" w:hAnsi="宋体" w:cs="宋体" w:eastAsia="宋体" w:hint="ascii"/>
          <w:sz w:val="21"/>
          <w:spacing w:val="-1"/>
        </w:rPr>
        <w:t>，</w:t>
      </w:r>
      <w:r>
        <w:rPr>
          <w:rFonts w:ascii="宋体" w:hAnsi="宋体" w:cs="宋体" w:eastAsia="宋体" w:hint="ascii"/>
          <w:sz w:val="21"/>
        </w:rPr>
        <w:t>以</w:t>
      </w:r>
      <w:r>
        <w:rPr>
          <w:rFonts w:ascii="宋体" w:hAnsi="宋体" w:cs="宋体" w:eastAsia="宋体" w:hint="ascii"/>
          <w:sz w:val="21"/>
          <w:spacing w:val="-1"/>
        </w:rPr>
        <w:t>及</w:t>
      </w:r>
      <w:r>
        <w:rPr>
          <w:rFonts w:ascii="宋体" w:hAnsi="宋体" w:cs="宋体" w:eastAsia="宋体" w:hint="ascii"/>
          <w:sz w:val="21"/>
        </w:rPr>
        <w:t>结合</w:t>
      </w:r>
      <w:r>
        <w:rPr>
          <w:rFonts w:ascii="宋体" w:hAnsi="宋体" w:cs="宋体" w:eastAsia="宋体" w:hint="ascii"/>
          <w:sz w:val="21"/>
          <w:spacing w:val="-1"/>
        </w:rPr>
        <w:t>多</w:t>
      </w:r>
      <w:r>
        <w:rPr>
          <w:rFonts w:ascii="宋体" w:hAnsi="宋体" w:cs="宋体" w:eastAsia="宋体" w:hint="ascii"/>
          <w:sz w:val="21"/>
        </w:rPr>
        <w:t>时</w:t>
      </w:r>
      <w:r>
        <w:rPr>
          <w:rFonts w:ascii="宋体" w:hAnsi="宋体" w:cs="宋体" w:eastAsia="宋体" w:hint="ascii"/>
          <w:sz w:val="21"/>
          <w:spacing w:val="-1"/>
        </w:rPr>
        <w:t>间</w:t>
      </w:r>
      <w:r>
        <w:rPr>
          <w:rFonts w:ascii="宋体" w:hAnsi="宋体" w:cs="宋体" w:eastAsia="宋体" w:hint="ascii"/>
          <w:sz w:val="21"/>
        </w:rPr>
        <w:t>尺度</w:t>
      </w:r>
      <w:r>
        <w:rPr>
          <w:rFonts w:ascii="宋体" w:hAnsi="宋体" w:cs="宋体" w:eastAsia="宋体" w:hint="ascii"/>
          <w:sz w:val="21"/>
          <w:spacing w:val="-1"/>
        </w:rPr>
        <w:t>上</w:t>
      </w:r>
      <w:r>
        <w:rPr>
          <w:rFonts w:ascii="宋体" w:hAnsi="宋体" w:cs="宋体" w:eastAsia="宋体" w:hint="ascii"/>
          <w:sz w:val="21"/>
        </w:rPr>
        <w:t>的</w:t>
      </w:r>
      <w:r>
        <w:rPr>
          <w:rFonts w:ascii="宋体" w:hAnsi="宋体" w:cs="宋体" w:eastAsia="宋体" w:hint="ascii"/>
          <w:sz w:val="21"/>
          <w:spacing w:val="-1"/>
        </w:rPr>
        <w:t>流</w:t>
      </w:r>
      <w:r>
        <w:rPr>
          <w:rFonts w:ascii="宋体" w:hAnsi="宋体" w:cs="宋体" w:eastAsia="宋体" w:hint="ascii"/>
          <w:sz w:val="21"/>
        </w:rPr>
        <w:t>特性</w:t>
      </w:r>
      <w:r>
        <w:rPr>
          <w:rFonts w:ascii="宋体" w:hAnsi="宋体" w:cs="宋体" w:eastAsia="宋体" w:hint="ascii"/>
          <w:sz w:val="21"/>
          <w:spacing w:val="-1"/>
        </w:rPr>
        <w:t>分</w:t>
      </w:r>
      <w:r>
        <w:rPr>
          <w:rFonts w:ascii="宋体" w:hAnsi="宋体" w:cs="宋体" w:eastAsia="宋体" w:hint="ascii"/>
          <w:sz w:val="21"/>
        </w:rPr>
        <w:t>析</w:t>
      </w:r>
      <w:r>
        <w:rPr>
          <w:rFonts w:ascii="宋体" w:hAnsi="宋体" w:cs="宋体" w:eastAsia="宋体" w:hint="ascii"/>
          <w:sz w:val="21"/>
          <w:spacing w:val="-1"/>
        </w:rPr>
        <w:t>，</w:t>
      </w:r>
      <w:r>
        <w:rPr>
          <w:rFonts w:ascii="宋体" w:hAnsi="宋体" w:cs="宋体" w:eastAsia="宋体" w:hint="ascii"/>
          <w:sz w:val="21"/>
        </w:rPr>
        <w:t>实现</w:t>
      </w:r>
      <w:r>
        <w:rPr>
          <w:rFonts w:ascii="宋体" w:hAnsi="宋体" w:cs="宋体" w:eastAsia="宋体" w:hint="ascii"/>
          <w:sz w:val="21"/>
          <w:spacing w:val="-1"/>
        </w:rPr>
        <w:t>对</w:t>
      </w:r>
      <w:r>
        <w:rPr>
          <w:rFonts w:ascii="宋体" w:hAnsi="宋体" w:cs="宋体" w:eastAsia="宋体" w:hint="ascii"/>
          <w:sz w:val="21"/>
        </w:rPr>
        <w:t>网</w:t>
      </w:r>
      <w:r>
        <w:rPr>
          <w:rFonts w:ascii="宋体" w:hAnsi="宋体" w:cs="宋体" w:eastAsia="宋体" w:hint="ascii"/>
          <w:sz w:val="21"/>
          <w:spacing w:val="-1"/>
        </w:rPr>
        <w:t>络</w:t>
      </w:r>
      <w:r>
        <w:rPr>
          <w:rFonts w:ascii="宋体" w:hAnsi="宋体" w:cs="宋体" w:eastAsia="宋体" w:hint="ascii"/>
          <w:sz w:val="21"/>
        </w:rPr>
        <w:t>隐</w:t>
      </w:r>
      <w:r>
        <w:rPr>
          <w:rFonts w:ascii="宋体" w:hAnsi="宋体" w:cs="宋体" w:eastAsia="宋体" w:hint="ascii"/>
          <w:sz w:val="21"/>
          <w:spacing w:val="-2"/>
        </w:rPr>
        <w:t>蔽</w:t>
      </w:r>
      <w:r>
        <w:rPr>
          <w:rFonts w:ascii="宋体" w:hAnsi="宋体" w:cs="宋体" w:eastAsia="宋体" w:hint="ascii"/>
          <w:sz w:val="21"/>
        </w:rPr>
        <w:t>通信的检测等技术。</w:t>
      </w:r>
    </w:p>
    <w:p>
      <w:pPr>
        <w:autoSpaceDE w:val="0"/>
        <w:autoSpaceDN w:val="0"/>
        <w:jc w:val="left"/>
        <w:spacing w:before="40" w:after="0" w:lineRule="auto" w:line="240"/>
        <w:ind w:right="0" w:left="683" w:hanging="263"/>
        <w:snapToGrid w:val="0"/>
        <w:textAlignment w:val="auto"/>
        <w:tabs>
          <w:tab w:val="left" w:leader="none" w:pos="683"/>
        </w:tabs>
        <w:numPr>
          <w:ilvl w:val="0"/>
          <w:numId w:val="155"/>
        </w:numPr>
        <w:rPr>
          <w:rFonts w:ascii="Times New Roman" w:hAnsi="Times New Roman" w:cs="Times New Roman" w:eastAsia="Times New Roman" w:hint="ascii"/>
          <w:sz w:val="21"/>
        </w:rPr>
      </w:pPr>
      <w:r>
        <w:rPr>
          <w:rFonts w:ascii="宋体" w:hAnsi="宋体" w:cs="宋体" w:eastAsia="宋体" w:hint="ascii"/>
          <w:sz w:val="21"/>
        </w:rPr>
        <w:t>面向物联网等设备的长距离侧信道分析（申请代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F010202</w:t>
      </w:r>
      <w:r>
        <w:rPr>
          <w:rFonts w:ascii="宋体" w:hAnsi="宋体" w:cs="宋体" w:eastAsia="宋体" w:hint="ascii"/>
          <w:sz w:val="21"/>
        </w:rPr>
        <w:t>）</w:t>
      </w:r>
    </w:p>
    <w:p>
      <w:pPr>
        <w:autoSpaceDE w:val="0"/>
        <w:autoSpaceDN w:val="0"/>
        <w:jc w:val="both"/>
        <w:spacing w:before="17" w:after="0" w:lineRule="exact" w:line="312"/>
        <w:ind w:right="986" w:left="0" w:firstLine="436"/>
        <w:snapToGrid w:val="0"/>
        <w:textAlignment w:val="auto"/>
        <w:tabs/>
        <w:rPr>
          <w:rFonts w:ascii="宋体" w:hAnsi="宋体" w:cs="宋体" w:eastAsia="宋体" w:hint="ascii"/>
          <w:sz w:val="21"/>
        </w:rPr>
      </w:pPr>
      <w:r>
        <w:rPr>
          <w:rFonts w:ascii="宋体" w:hAnsi="宋体" w:cs="宋体" w:eastAsia="宋体" w:hint="ascii"/>
          <w:sz w:val="21"/>
          <w:spacing w:val="5"/>
        </w:rPr>
        <w:t>研</w:t>
      </w:r>
      <w:r>
        <w:rPr>
          <w:rFonts w:ascii="宋体" w:hAnsi="宋体" w:cs="宋体" w:eastAsia="宋体" w:hint="ascii"/>
          <w:sz w:val="21"/>
          <w:spacing w:val="4"/>
        </w:rPr>
        <w:t>究声</w:t>
      </w:r>
      <w:r>
        <w:rPr>
          <w:rFonts w:ascii="宋体" w:hAnsi="宋体" w:cs="宋体" w:eastAsia="宋体" w:hint="ascii"/>
          <w:sz w:val="21"/>
          <w:spacing w:val="5"/>
        </w:rPr>
        <w:t>音</w:t>
      </w:r>
      <w:r>
        <w:rPr>
          <w:rFonts w:ascii="宋体" w:hAnsi="宋体" w:cs="宋体" w:eastAsia="宋体" w:hint="ascii"/>
          <w:sz w:val="21"/>
          <w:spacing w:val="4"/>
        </w:rPr>
        <w:t>、</w:t>
      </w:r>
      <w:r>
        <w:rPr>
          <w:rFonts w:ascii="宋体" w:hAnsi="宋体" w:cs="宋体" w:eastAsia="宋体" w:hint="ascii"/>
          <w:sz w:val="21"/>
          <w:spacing w:val="5"/>
        </w:rPr>
        <w:t>设</w:t>
      </w:r>
      <w:r>
        <w:rPr>
          <w:rFonts w:ascii="宋体" w:hAnsi="宋体" w:cs="宋体" w:eastAsia="宋体" w:hint="ascii"/>
          <w:sz w:val="21"/>
          <w:spacing w:val="4"/>
        </w:rPr>
        <w:t>备外</w:t>
      </w:r>
      <w:r>
        <w:rPr>
          <w:rFonts w:ascii="宋体" w:hAnsi="宋体" w:cs="宋体" w:eastAsia="宋体" w:hint="ascii"/>
          <w:sz w:val="21"/>
          <w:spacing w:val="5"/>
        </w:rPr>
        <w:t>壳</w:t>
      </w:r>
      <w:r>
        <w:rPr>
          <w:rFonts w:ascii="宋体" w:hAnsi="宋体" w:cs="宋体" w:eastAsia="宋体" w:hint="ascii"/>
          <w:sz w:val="21"/>
          <w:spacing w:val="4"/>
        </w:rPr>
        <w:t>电</w:t>
      </w:r>
      <w:r>
        <w:rPr>
          <w:rFonts w:ascii="宋体" w:hAnsi="宋体" w:cs="宋体" w:eastAsia="宋体" w:hint="ascii"/>
          <w:sz w:val="21"/>
          <w:spacing w:val="5"/>
        </w:rPr>
        <w:t>势</w:t>
      </w:r>
      <w:r>
        <w:rPr>
          <w:rFonts w:ascii="宋体" w:hAnsi="宋体" w:cs="宋体" w:eastAsia="宋体" w:hint="ascii"/>
          <w:sz w:val="21"/>
          <w:spacing w:val="4"/>
        </w:rPr>
        <w:t>、时</w:t>
      </w:r>
      <w:r>
        <w:rPr>
          <w:rFonts w:ascii="宋体" w:hAnsi="宋体" w:cs="宋体" w:eastAsia="宋体" w:hint="ascii"/>
          <w:sz w:val="21"/>
          <w:spacing w:val="5"/>
        </w:rPr>
        <w:t>耗</w:t>
      </w:r>
      <w:r>
        <w:rPr>
          <w:rFonts w:ascii="宋体" w:hAnsi="宋体" w:cs="宋体" w:eastAsia="宋体" w:hint="ascii"/>
          <w:sz w:val="21"/>
          <w:spacing w:val="4"/>
        </w:rPr>
        <w:t>、</w:t>
      </w:r>
      <w:r>
        <w:rPr>
          <w:rFonts w:ascii="Times New Roman" w:hAnsi="Times New Roman" w:cs="Times New Roman" w:eastAsia="Times New Roman" w:hint="ascii"/>
          <w:sz w:val="21"/>
          <w:spacing w:val="-13"/>
        </w:rPr>
        <w:t>W</w:t>
      </w:r>
      <w:r>
        <w:rPr>
          <w:rFonts w:ascii="Times New Roman" w:hAnsi="Times New Roman" w:cs="Times New Roman" w:eastAsia="Times New Roman" w:hint="ascii"/>
          <w:sz w:val="21"/>
        </w:rPr>
        <w:t>eb</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5"/>
        </w:rPr>
        <w:t>应</w:t>
      </w:r>
      <w:r>
        <w:rPr>
          <w:rFonts w:ascii="宋体" w:hAnsi="宋体" w:cs="宋体" w:eastAsia="宋体" w:hint="ascii"/>
          <w:sz w:val="21"/>
          <w:spacing w:val="4"/>
        </w:rPr>
        <w:t>用等</w:t>
      </w:r>
      <w:r>
        <w:rPr>
          <w:rFonts w:ascii="宋体" w:hAnsi="宋体" w:cs="宋体" w:eastAsia="宋体" w:hint="ascii"/>
          <w:sz w:val="21"/>
          <w:spacing w:val="5"/>
        </w:rPr>
        <w:t>新</w:t>
      </w:r>
      <w:r>
        <w:rPr>
          <w:rFonts w:ascii="宋体" w:hAnsi="宋体" w:cs="宋体" w:eastAsia="宋体" w:hint="ascii"/>
          <w:sz w:val="21"/>
          <w:spacing w:val="4"/>
        </w:rPr>
        <w:t>型侧</w:t>
      </w:r>
      <w:r>
        <w:rPr>
          <w:rFonts w:ascii="宋体" w:hAnsi="宋体" w:cs="宋体" w:eastAsia="宋体" w:hint="ascii"/>
          <w:sz w:val="21"/>
          <w:spacing w:val="5"/>
        </w:rPr>
        <w:t>信</w:t>
      </w:r>
      <w:r>
        <w:rPr>
          <w:rFonts w:ascii="宋体" w:hAnsi="宋体" w:cs="宋体" w:eastAsia="宋体" w:hint="ascii"/>
          <w:sz w:val="21"/>
          <w:spacing w:val="4"/>
        </w:rPr>
        <w:t>道</w:t>
      </w:r>
      <w:r>
        <w:rPr>
          <w:rFonts w:ascii="宋体" w:hAnsi="宋体" w:cs="宋体" w:eastAsia="宋体" w:hint="ascii"/>
          <w:sz w:val="21"/>
          <w:spacing w:val="5"/>
        </w:rPr>
        <w:t>信</w:t>
      </w:r>
      <w:r>
        <w:rPr>
          <w:rFonts w:ascii="宋体" w:hAnsi="宋体" w:cs="宋体" w:eastAsia="宋体" w:hint="ascii"/>
          <w:sz w:val="21"/>
          <w:spacing w:val="4"/>
        </w:rPr>
        <w:t>号采</w:t>
      </w:r>
      <w:r>
        <w:rPr>
          <w:rFonts w:ascii="宋体" w:hAnsi="宋体" w:cs="宋体" w:eastAsia="宋体" w:hint="ascii"/>
          <w:sz w:val="21"/>
          <w:spacing w:val="5"/>
        </w:rPr>
        <w:t>集</w:t>
      </w:r>
      <w:r>
        <w:rPr>
          <w:rFonts w:ascii="宋体" w:hAnsi="宋体" w:cs="宋体" w:eastAsia="宋体" w:hint="ascii"/>
          <w:sz w:val="21"/>
          <w:spacing w:val="4"/>
        </w:rPr>
        <w:t>和</w:t>
      </w:r>
      <w:r>
        <w:rPr>
          <w:rFonts w:ascii="宋体" w:hAnsi="宋体" w:cs="宋体" w:eastAsia="宋体" w:hint="ascii"/>
          <w:sz w:val="21"/>
          <w:spacing w:val="5"/>
        </w:rPr>
        <w:t>处</w:t>
      </w:r>
      <w:r>
        <w:rPr>
          <w:rFonts w:ascii="宋体" w:hAnsi="宋体" w:cs="宋体" w:eastAsia="宋体" w:hint="ascii"/>
          <w:sz w:val="21"/>
          <w:spacing w:val="4"/>
        </w:rPr>
        <w:t>理</w:t>
      </w:r>
      <w:r>
        <w:rPr>
          <w:rFonts w:ascii="宋体" w:hAnsi="宋体" w:cs="宋体" w:eastAsia="宋体" w:hint="ascii"/>
          <w:sz w:val="21"/>
          <w:spacing w:val="-7"/>
        </w:rPr>
        <w:t>技</w:t>
      </w:r>
      <w:r>
        <w:rPr>
          <w:rFonts w:ascii="宋体" w:hAnsi="宋体" w:cs="宋体" w:eastAsia="宋体" w:hint="ascii"/>
          <w:sz w:val="21"/>
        </w:rPr>
        <w:t xml:space="preserve"> </w:t>
      </w:r>
      <w:r>
        <w:rPr>
          <w:rFonts w:ascii="宋体" w:hAnsi="宋体" w:cs="宋体" w:eastAsia="宋体" w:hint="ascii"/>
          <w:sz w:val="21"/>
          <w:spacing w:val="4"/>
        </w:rPr>
        <w:t>术，利用</w:t>
      </w:r>
      <w:r>
        <w:rPr>
          <w:rFonts w:ascii="宋体" w:hAnsi="宋体" w:cs="宋体" w:eastAsia="宋体" w:hint="ascii"/>
          <w:sz w:val="21"/>
          <w:spacing w:val="3"/>
        </w:rPr>
        <w:t>统</w:t>
      </w:r>
      <w:r>
        <w:rPr>
          <w:rFonts w:ascii="宋体" w:hAnsi="宋体" w:cs="宋体" w:eastAsia="宋体" w:hint="ascii"/>
          <w:sz w:val="21"/>
          <w:spacing w:val="4"/>
        </w:rPr>
        <w:t>计方法的</w:t>
      </w:r>
      <w:r>
        <w:rPr>
          <w:rFonts w:ascii="宋体" w:hAnsi="宋体" w:cs="宋体" w:eastAsia="宋体" w:hint="ascii"/>
          <w:sz w:val="21"/>
          <w:spacing w:val="3"/>
        </w:rPr>
        <w:t>侧信道分析</w:t>
      </w:r>
      <w:r>
        <w:rPr>
          <w:rFonts w:ascii="宋体" w:hAnsi="宋体" w:cs="宋体" w:eastAsia="宋体" w:hint="ascii"/>
          <w:sz w:val="21"/>
          <w:spacing w:val="2"/>
        </w:rPr>
        <w:t>技</w:t>
      </w:r>
      <w:r>
        <w:rPr>
          <w:rFonts w:ascii="宋体" w:hAnsi="宋体" w:cs="宋体" w:eastAsia="宋体" w:hint="ascii"/>
          <w:sz w:val="21"/>
          <w:spacing w:val="3"/>
        </w:rPr>
        <w:t>术，以及</w:t>
      </w:r>
      <w:r>
        <w:rPr>
          <w:rFonts w:ascii="宋体" w:hAnsi="宋体" w:cs="宋体" w:eastAsia="宋体" w:hint="ascii"/>
          <w:sz w:val="21"/>
          <w:spacing w:val="2"/>
        </w:rPr>
        <w:t>利</w:t>
      </w:r>
      <w:r>
        <w:rPr>
          <w:rFonts w:ascii="宋体" w:hAnsi="宋体" w:cs="宋体" w:eastAsia="宋体" w:hint="ascii"/>
          <w:sz w:val="21"/>
          <w:spacing w:val="3"/>
        </w:rPr>
        <w:t>用物联网</w:t>
      </w:r>
      <w:r>
        <w:rPr>
          <w:rFonts w:ascii="宋体" w:hAnsi="宋体" w:cs="宋体" w:eastAsia="宋体" w:hint="ascii"/>
          <w:sz w:val="21"/>
          <w:spacing w:val="2"/>
        </w:rPr>
        <w:t>等</w:t>
      </w:r>
      <w:r>
        <w:rPr>
          <w:rFonts w:ascii="宋体" w:hAnsi="宋体" w:cs="宋体" w:eastAsia="宋体" w:hint="ascii"/>
          <w:sz w:val="21"/>
          <w:spacing w:val="3"/>
        </w:rPr>
        <w:t>设备脆弱</w:t>
      </w:r>
      <w:r>
        <w:rPr>
          <w:rFonts w:ascii="宋体" w:hAnsi="宋体" w:cs="宋体" w:eastAsia="宋体" w:hint="ascii"/>
          <w:sz w:val="21"/>
          <w:spacing w:val="2"/>
        </w:rPr>
        <w:t>性</w:t>
      </w:r>
      <w:r>
        <w:rPr>
          <w:rFonts w:ascii="宋体" w:hAnsi="宋体" w:cs="宋体" w:eastAsia="宋体" w:hint="ascii"/>
          <w:sz w:val="21"/>
          <w:spacing w:val="3"/>
        </w:rPr>
        <w:t>的长距离</w:t>
      </w:r>
      <w:r>
        <w:rPr>
          <w:rFonts w:ascii="宋体" w:hAnsi="宋体" w:cs="宋体" w:eastAsia="宋体" w:hint="ascii"/>
          <w:sz w:val="21"/>
          <w:spacing w:val="2"/>
        </w:rPr>
        <w:t>侧</w:t>
      </w:r>
      <w:r>
        <w:rPr>
          <w:rFonts w:ascii="宋体" w:hAnsi="宋体" w:cs="宋体" w:eastAsia="宋体" w:hint="ascii"/>
          <w:sz w:val="21"/>
          <w:spacing w:val="-6"/>
        </w:rPr>
        <w:t>信</w:t>
      </w:r>
      <w:r>
        <w:rPr>
          <w:rFonts w:ascii="宋体" w:hAnsi="宋体" w:cs="宋体" w:eastAsia="宋体" w:hint="ascii"/>
          <w:sz w:val="21"/>
          <w:spacing w:val="4"/>
        </w:rPr>
        <w:t>道利用技术</w:t>
      </w:r>
      <w:r>
        <w:rPr>
          <w:rFonts w:ascii="宋体" w:hAnsi="宋体" w:cs="宋体" w:eastAsia="宋体" w:hint="ascii"/>
          <w:sz w:val="21"/>
        </w:rPr>
        <w:t>。</w:t>
      </w:r>
    </w:p>
    <w:p>
      <w:pPr>
        <w:autoSpaceDE w:val="0"/>
        <w:autoSpaceDN w:val="0"/>
        <w:jc w:val="left"/>
        <w:spacing w:before="40" w:after="0" w:lineRule="auto" w:line="240"/>
        <w:ind w:right="0" w:left="683" w:hanging="263"/>
        <w:snapToGrid w:val="0"/>
        <w:textAlignment w:val="auto"/>
        <w:tabs>
          <w:tab w:val="left" w:leader="none" w:pos="683"/>
        </w:tabs>
        <w:numPr>
          <w:ilvl w:val="0"/>
          <w:numId w:val="155"/>
        </w:numPr>
        <w:rPr>
          <w:rFonts w:ascii="Times New Roman" w:hAnsi="Times New Roman" w:cs="Times New Roman" w:eastAsia="Times New Roman" w:hint="ascii"/>
          <w:sz w:val="21"/>
        </w:rPr>
      </w:pPr>
      <w:r>
        <w:rPr>
          <w:rFonts w:ascii="宋体" w:hAnsi="宋体" w:cs="宋体" w:eastAsia="宋体" w:hint="ascii"/>
          <w:sz w:val="21"/>
        </w:rPr>
        <w:t>量子密钥分发技术的实际安全性分析方法研究（申请代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F020601</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spacing w:val="3"/>
        </w:rPr>
        <w:t>基</w:t>
      </w:r>
      <w:r>
        <w:rPr>
          <w:rFonts w:ascii="宋体" w:hAnsi="宋体" w:cs="宋体" w:eastAsia="宋体" w:hint="ascii"/>
          <w:sz w:val="21"/>
        </w:rPr>
        <w:t>于</w:t>
      </w:r>
      <w:r>
        <w:rPr>
          <w:rFonts w:ascii="宋体" w:hAnsi="宋体" w:cs="宋体" w:eastAsia="宋体" w:hint="ascii"/>
          <w:sz w:val="21"/>
          <w:spacing w:val="3"/>
        </w:rPr>
        <w:t>量</w:t>
      </w:r>
      <w:r>
        <w:rPr>
          <w:rFonts w:ascii="宋体" w:hAnsi="宋体" w:cs="宋体" w:eastAsia="宋体" w:hint="ascii"/>
          <w:sz w:val="21"/>
        </w:rPr>
        <w:t>子密</w:t>
      </w:r>
      <w:r>
        <w:rPr>
          <w:rFonts w:ascii="宋体" w:hAnsi="宋体" w:cs="宋体" w:eastAsia="宋体" w:hint="ascii"/>
          <w:sz w:val="21"/>
          <w:spacing w:val="3"/>
        </w:rPr>
        <w:t>钥</w:t>
      </w:r>
      <w:r>
        <w:rPr>
          <w:rFonts w:ascii="宋体" w:hAnsi="宋体" w:cs="宋体" w:eastAsia="宋体" w:hint="ascii"/>
          <w:sz w:val="21"/>
        </w:rPr>
        <w:t>分</w:t>
      </w:r>
      <w:r>
        <w:rPr>
          <w:rFonts w:ascii="宋体" w:hAnsi="宋体" w:cs="宋体" w:eastAsia="宋体" w:hint="ascii"/>
          <w:sz w:val="21"/>
          <w:spacing w:val="3"/>
        </w:rPr>
        <w:t>发（</w:t>
      </w:r>
      <w:r>
        <w:rPr>
          <w:rFonts w:ascii="Times New Roman" w:hAnsi="Times New Roman" w:cs="Times New Roman" w:eastAsia="Times New Roman" w:hint="ascii"/>
          <w:sz w:val="21"/>
        </w:rPr>
        <w:t>QKD</w:t>
      </w:r>
      <w:r>
        <w:rPr>
          <w:rFonts w:ascii="宋体" w:hAnsi="宋体" w:cs="宋体" w:eastAsia="宋体" w:hint="ascii"/>
          <w:sz w:val="21"/>
          <w:spacing w:val="3"/>
        </w:rPr>
        <w:t>）技术</w:t>
      </w:r>
      <w:r>
        <w:rPr>
          <w:rFonts w:ascii="宋体" w:hAnsi="宋体" w:cs="宋体" w:eastAsia="宋体" w:hint="ascii"/>
          <w:sz w:val="21"/>
        </w:rPr>
        <w:t>的</w:t>
      </w:r>
      <w:r>
        <w:rPr>
          <w:rFonts w:ascii="宋体" w:hAnsi="宋体" w:cs="宋体" w:eastAsia="宋体" w:hint="ascii"/>
          <w:sz w:val="21"/>
          <w:spacing w:val="3"/>
        </w:rPr>
        <w:t>理</w:t>
      </w:r>
      <w:r>
        <w:rPr>
          <w:rFonts w:ascii="宋体" w:hAnsi="宋体" w:cs="宋体" w:eastAsia="宋体" w:hint="ascii"/>
          <w:sz w:val="21"/>
        </w:rPr>
        <w:t>论</w:t>
      </w:r>
      <w:r>
        <w:rPr>
          <w:rFonts w:ascii="宋体" w:hAnsi="宋体" w:cs="宋体" w:eastAsia="宋体" w:hint="ascii"/>
          <w:sz w:val="21"/>
          <w:spacing w:val="3"/>
        </w:rPr>
        <w:t>安</w:t>
      </w:r>
      <w:r>
        <w:rPr>
          <w:rFonts w:ascii="宋体" w:hAnsi="宋体" w:cs="宋体" w:eastAsia="宋体" w:hint="ascii"/>
          <w:sz w:val="21"/>
        </w:rPr>
        <w:t>全性</w:t>
      </w:r>
      <w:r>
        <w:rPr>
          <w:rFonts w:ascii="宋体" w:hAnsi="宋体" w:cs="宋体" w:eastAsia="宋体" w:hint="ascii"/>
          <w:sz w:val="21"/>
          <w:spacing w:val="3"/>
        </w:rPr>
        <w:t>，</w:t>
      </w:r>
      <w:r>
        <w:rPr>
          <w:rFonts w:ascii="宋体" w:hAnsi="宋体" w:cs="宋体" w:eastAsia="宋体" w:hint="ascii"/>
          <w:sz w:val="21"/>
        </w:rPr>
        <w:t>从</w:t>
      </w:r>
      <w:r>
        <w:rPr>
          <w:rFonts w:ascii="宋体" w:hAnsi="宋体" w:cs="宋体" w:eastAsia="宋体" w:hint="ascii"/>
          <w:sz w:val="21"/>
          <w:spacing w:val="3"/>
        </w:rPr>
        <w:t>实</w:t>
      </w:r>
      <w:r>
        <w:rPr>
          <w:rFonts w:ascii="宋体" w:hAnsi="宋体" w:cs="宋体" w:eastAsia="宋体" w:hint="ascii"/>
          <w:sz w:val="21"/>
        </w:rPr>
        <w:t>际攻</w:t>
      </w:r>
      <w:r>
        <w:rPr>
          <w:rFonts w:ascii="宋体" w:hAnsi="宋体" w:cs="宋体" w:eastAsia="宋体" w:hint="ascii"/>
          <w:sz w:val="21"/>
          <w:spacing w:val="3"/>
        </w:rPr>
        <w:t>击</w:t>
      </w:r>
      <w:r>
        <w:rPr>
          <w:rFonts w:ascii="宋体" w:hAnsi="宋体" w:cs="宋体" w:eastAsia="宋体" w:hint="ascii"/>
          <w:sz w:val="21"/>
        </w:rPr>
        <w:t>复</w:t>
      </w:r>
      <w:r>
        <w:rPr>
          <w:rFonts w:ascii="宋体" w:hAnsi="宋体" w:cs="宋体" w:eastAsia="宋体" w:hint="ascii"/>
          <w:sz w:val="21"/>
          <w:spacing w:val="3"/>
        </w:rPr>
        <w:t>杂</w:t>
      </w:r>
      <w:r>
        <w:rPr>
          <w:rFonts w:ascii="宋体" w:hAnsi="宋体" w:cs="宋体" w:eastAsia="宋体" w:hint="ascii"/>
          <w:sz w:val="21"/>
        </w:rPr>
        <w:t>性角</w:t>
      </w:r>
      <w:r>
        <w:rPr>
          <w:rFonts w:ascii="宋体" w:hAnsi="宋体" w:cs="宋体" w:eastAsia="宋体" w:hint="ascii"/>
          <w:sz w:val="21"/>
          <w:spacing w:val="3"/>
        </w:rPr>
        <w:t>度</w:t>
      </w:r>
      <w:r>
        <w:rPr>
          <w:rFonts w:ascii="宋体" w:hAnsi="宋体" w:cs="宋体" w:eastAsia="宋体" w:hint="ascii"/>
          <w:sz w:val="21"/>
        </w:rPr>
        <w:t>，</w:t>
      </w:r>
      <w:r>
        <w:rPr>
          <w:rFonts w:ascii="宋体" w:hAnsi="宋体" w:cs="宋体" w:eastAsia="宋体" w:hint="ascii"/>
          <w:sz w:val="21"/>
          <w:spacing w:val="3"/>
        </w:rPr>
        <w:t>研</w:t>
      </w:r>
      <w:r>
        <w:rPr>
          <w:rFonts w:ascii="宋体" w:hAnsi="宋体" w:cs="宋体" w:eastAsia="宋体" w:hint="ascii"/>
          <w:sz w:val="21"/>
        </w:rPr>
        <w:t>究量</w:t>
      </w:r>
    </w:p>
    <w:p>
      <w:pPr>
        <w:autoSpaceDE w:val="0"/>
        <w:autoSpaceDN w:val="0"/>
        <w:jc w:val="both"/>
        <w:spacing w:before="10" w:after="0" w:lineRule="exact" w:line="312"/>
        <w:ind w:right="979" w:left="0" w:firstLine="0"/>
        <w:snapToGrid w:val="0"/>
        <w:textAlignment w:val="auto"/>
        <w:tabs/>
        <w:rPr>
          <w:rFonts w:ascii="宋体" w:hAnsi="宋体" w:cs="宋体" w:eastAsia="宋体" w:hint="ascii"/>
          <w:sz w:val="21"/>
        </w:rPr>
      </w:pPr>
      <w:r>
        <w:rPr>
          <w:rFonts w:ascii="宋体" w:hAnsi="宋体" w:cs="宋体" w:eastAsia="宋体" w:hint="ascii"/>
          <w:sz w:val="21"/>
          <w:spacing w:val="-1"/>
        </w:rPr>
        <w:t>子信道、探</w:t>
      </w:r>
      <w:r>
        <w:rPr>
          <w:rFonts w:ascii="宋体" w:hAnsi="宋体" w:cs="宋体" w:eastAsia="宋体" w:hint="ascii"/>
          <w:sz w:val="21"/>
        </w:rPr>
        <w:t>测器的安全缺陷测试方法；从输出数据的不可区分性角度，研究后处理算法以</w:t>
      </w:r>
      <w:r>
        <w:rPr>
          <w:rFonts w:ascii="宋体" w:hAnsi="宋体" w:cs="宋体" w:eastAsia="宋体" w:hint="ascii"/>
          <w:sz w:val="21"/>
          <w:spacing w:val="27"/>
        </w:rPr>
        <w:t>及</w:t>
      </w:r>
      <w:r>
        <w:rPr>
          <w:rFonts w:ascii="Times New Roman" w:hAnsi="Times New Roman" w:cs="Times New Roman" w:eastAsia="Times New Roman" w:hint="ascii"/>
          <w:sz w:val="21"/>
        </w:rPr>
        <w:t>QK</w:t>
      </w:r>
      <w:r>
        <w:rPr>
          <w:rFonts w:ascii="Times New Roman" w:hAnsi="Times New Roman" w:cs="Times New Roman" w:eastAsia="Times New Roman" w:hint="ascii"/>
          <w:sz w:val="21"/>
          <w:spacing w:val="52"/>
        </w:rPr>
        <w:t>D</w:t>
      </w:r>
      <w:r>
        <w:rPr>
          <w:rFonts w:ascii="宋体" w:hAnsi="宋体" w:cs="宋体" w:eastAsia="宋体" w:hint="ascii"/>
          <w:sz w:val="21"/>
        </w:rPr>
        <w:t>系统组合应用情况下的安全性分析方法。</w:t>
      </w:r>
    </w:p>
    <w:p>
      <w:pPr>
        <w:autoSpaceDE w:val="0"/>
        <w:autoSpaceDN w:val="0"/>
        <w:jc w:val="left"/>
        <w:spacing w:before="40" w:after="0" w:lineRule="auto" w:line="240"/>
        <w:ind w:right="0" w:left="789" w:hanging="105"/>
        <w:snapToGrid w:val="0"/>
        <w:textAlignment w:val="auto"/>
        <w:tabs>
          <w:tab w:val="left" w:leader="none" w:pos="787"/>
        </w:tabs>
        <w:numPr>
          <w:ilvl w:val="0"/>
          <w:numId w:val="306"/>
        </w:numPr>
        <w:rPr>
          <w:rFonts w:ascii="Times New Roman" w:hAnsi="Times New Roman" w:cs="Times New Roman" w:eastAsia="Times New Roman" w:hint="ascii"/>
          <w:sz w:val="21"/>
          <w:spacing w:val="1"/>
        </w:rPr>
      </w:pPr>
      <w:r>
        <w:rPr>
          <w:rFonts w:ascii="宋体" w:hAnsi="宋体" w:cs="宋体" w:eastAsia="宋体" w:hint="ascii"/>
          <w:sz w:val="21"/>
        </w:rPr>
        <w:t>二进制代码协同智能分析关键技术（申请代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F0202</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研究不确定环境下二进制代码函数特征提取和匹配方法，常用逆向分析工具分析调</w:t>
      </w:r>
    </w:p>
    <w:p>
      <w:pPr>
        <w:autoSpaceDE w:val="0"/>
        <w:autoSpaceDN w:val="0"/>
        <w:jc w:val="left"/>
        <w:spacing w:before="10" w:after="0" w:lineRule="exact" w:line="312"/>
        <w:ind w:right="963" w:left="0" w:firstLine="0"/>
        <w:snapToGrid w:val="0"/>
        <w:textAlignment w:val="auto"/>
        <w:tabs/>
        <w:rPr>
          <w:rFonts w:ascii="宋体" w:hAnsi="宋体" w:cs="宋体" w:eastAsia="宋体" w:hint="ascii"/>
          <w:sz w:val="21"/>
        </w:rPr>
      </w:pPr>
      <w:r>
        <w:rPr>
          <w:rFonts w:ascii="宋体" w:hAnsi="宋体" w:cs="宋体" w:eastAsia="宋体" w:hint="ascii"/>
          <w:sz w:val="21"/>
          <w:spacing w:val="3"/>
        </w:rPr>
        <w:t>试信息的</w:t>
      </w:r>
      <w:r>
        <w:rPr>
          <w:rFonts w:ascii="宋体" w:hAnsi="宋体" w:cs="宋体" w:eastAsia="宋体" w:hint="ascii"/>
          <w:sz w:val="21"/>
        </w:rPr>
        <w:t>提</w:t>
      </w:r>
      <w:r>
        <w:rPr>
          <w:rFonts w:ascii="宋体" w:hAnsi="宋体" w:cs="宋体" w:eastAsia="宋体" w:hint="ascii"/>
          <w:sz w:val="21"/>
          <w:spacing w:val="3"/>
        </w:rPr>
        <w:t>取和注入</w:t>
      </w:r>
      <w:r>
        <w:rPr>
          <w:rFonts w:ascii="宋体" w:hAnsi="宋体" w:cs="宋体" w:eastAsia="宋体" w:hint="ascii"/>
          <w:sz w:val="21"/>
        </w:rPr>
        <w:t>技</w:t>
      </w:r>
      <w:r>
        <w:rPr>
          <w:rFonts w:ascii="宋体" w:hAnsi="宋体" w:cs="宋体" w:eastAsia="宋体" w:hint="ascii"/>
          <w:sz w:val="21"/>
          <w:spacing w:val="3"/>
        </w:rPr>
        <w:t>术，代码</w:t>
      </w:r>
      <w:r>
        <w:rPr>
          <w:rFonts w:ascii="宋体" w:hAnsi="宋体" w:cs="宋体" w:eastAsia="宋体" w:hint="ascii"/>
          <w:sz w:val="21"/>
        </w:rPr>
        <w:t>动</w:t>
      </w:r>
      <w:r>
        <w:rPr>
          <w:rFonts w:ascii="宋体" w:hAnsi="宋体" w:cs="宋体" w:eastAsia="宋体" w:hint="ascii"/>
          <w:sz w:val="21"/>
          <w:spacing w:val="3"/>
        </w:rPr>
        <w:t>态执行路</w:t>
      </w:r>
      <w:r>
        <w:rPr>
          <w:rFonts w:ascii="宋体" w:hAnsi="宋体" w:cs="宋体" w:eastAsia="宋体" w:hint="ascii"/>
          <w:sz w:val="21"/>
        </w:rPr>
        <w:t>径</w:t>
      </w:r>
      <w:r>
        <w:rPr>
          <w:rFonts w:ascii="宋体" w:hAnsi="宋体" w:cs="宋体" w:eastAsia="宋体" w:hint="ascii"/>
          <w:sz w:val="21"/>
          <w:spacing w:val="3"/>
        </w:rPr>
        <w:t>的跟踪技</w:t>
      </w:r>
      <w:r>
        <w:rPr>
          <w:rFonts w:ascii="宋体" w:hAnsi="宋体" w:cs="宋体" w:eastAsia="宋体" w:hint="ascii"/>
          <w:sz w:val="21"/>
        </w:rPr>
        <w:t>术</w:t>
      </w:r>
      <w:r>
        <w:rPr>
          <w:rFonts w:ascii="宋体" w:hAnsi="宋体" w:cs="宋体" w:eastAsia="宋体" w:hint="ascii"/>
          <w:sz w:val="21"/>
          <w:spacing w:val="3"/>
        </w:rPr>
        <w:t>，建立恶</w:t>
      </w:r>
      <w:r>
        <w:rPr>
          <w:rFonts w:ascii="宋体" w:hAnsi="宋体" w:cs="宋体" w:eastAsia="宋体" w:hint="ascii"/>
          <w:sz w:val="21"/>
        </w:rPr>
        <w:t>意</w:t>
      </w:r>
      <w:r>
        <w:rPr>
          <w:rFonts w:ascii="宋体" w:hAnsi="宋体" w:cs="宋体" w:eastAsia="宋体" w:hint="ascii"/>
          <w:sz w:val="21"/>
          <w:spacing w:val="3"/>
        </w:rPr>
        <w:t>软件函数调</w:t>
      </w:r>
      <w:r>
        <w:rPr>
          <w:rFonts w:ascii="宋体" w:hAnsi="宋体" w:cs="宋体" w:eastAsia="宋体" w:hint="ascii"/>
          <w:sz w:val="21"/>
          <w:spacing w:val="4"/>
        </w:rPr>
        <w:t>用</w:t>
      </w:r>
      <w:r>
        <w:rPr>
          <w:rFonts w:ascii="宋体" w:hAnsi="宋体" w:cs="宋体" w:eastAsia="宋体" w:hint="ascii"/>
          <w:sz w:val="21"/>
        </w:rPr>
        <w:t>和</w:t>
      </w:r>
      <w:r>
        <w:rPr>
          <w:rFonts w:ascii="Times New Roman" w:hAnsi="Times New Roman" w:cs="Times New Roman" w:eastAsia="Times New Roman" w:hint="ascii"/>
          <w:sz w:val="21"/>
          <w:spacing w:val="-2"/>
        </w:rPr>
        <w:t>API</w:t>
      </w:r>
      <w:r>
        <w:rPr>
          <w:rFonts w:ascii="Times New Roman" w:hAnsi="Times New Roman" w:cs="Times New Roman" w:eastAsia="Times New Roman" w:hint="ascii"/>
          <w:sz w:val="21"/>
          <w:spacing w:val="-13"/>
        </w:rPr>
        <w:t xml:space="preserve"> </w:t>
      </w:r>
      <w:r>
        <w:rPr>
          <w:rFonts w:ascii="宋体" w:hAnsi="宋体" w:cs="宋体" w:eastAsia="宋体" w:hint="ascii"/>
          <w:sz w:val="21"/>
          <w:spacing w:val="-2"/>
        </w:rPr>
        <w:t>调用轨迹库，建立协同</w:t>
      </w:r>
      <w:r>
        <w:rPr>
          <w:rFonts w:ascii="宋体" w:hAnsi="宋体" w:cs="宋体" w:eastAsia="宋体" w:hint="ascii"/>
          <w:sz w:val="21"/>
          <w:spacing w:val="-1"/>
        </w:rPr>
        <w:t>逆向分析工作机制和共享知识库，实现恶意代码逆向分析自</w:t>
      </w:r>
      <w:r>
        <w:rPr>
          <w:rFonts w:ascii="宋体" w:hAnsi="宋体" w:cs="宋体" w:eastAsia="宋体" w:hint="ascii"/>
          <w:sz w:val="21"/>
        </w:rPr>
        <w:t xml:space="preserve"> 动化、智能化。</w:t>
      </w:r>
    </w:p>
    <w:p>
      <w:pPr>
        <w:autoSpaceDE w:val="0"/>
        <w:autoSpaceDN w:val="0"/>
        <w:jc w:val="both"/>
        <w:spacing w:before="0" w:after="0" w:lineRule="exact" w:line="312"/>
        <w:ind w:right="963" w:left="0" w:firstLine="42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3"/>
        </w:rPr>
        <w:t>1</w:t>
      </w:r>
      <w:r>
        <w:rPr>
          <w:rFonts w:ascii="Times New Roman" w:hAnsi="Times New Roman" w:cs="Times New Roman" w:eastAsia="Times New Roman" w:hint="ascii"/>
          <w:b w:val="1"/>
          <w:sz w:val="21"/>
          <w:spacing w:val="-2"/>
        </w:rPr>
        <w:t xml:space="preserve">1. </w:t>
      </w:r>
      <w:r>
        <w:rPr>
          <w:rFonts w:ascii="宋体" w:hAnsi="宋体" w:cs="宋体" w:eastAsia="宋体" w:hint="ascii"/>
          <w:sz w:val="21"/>
          <w:spacing w:val="-2"/>
        </w:rPr>
        <w:t>无先验知识的虚拟化平台</w:t>
      </w:r>
      <w:r>
        <w:rPr>
          <w:rFonts w:ascii="宋体" w:hAnsi="宋体" w:cs="宋体" w:eastAsia="宋体" w:hint="ascii"/>
          <w:sz w:val="21"/>
          <w:spacing w:val="-1"/>
        </w:rPr>
        <w:t>内核层恶意行为深度检测与动态防御（申请代码</w:t>
      </w:r>
      <w:r>
        <w:rPr>
          <w:rFonts w:ascii="宋体" w:hAnsi="宋体" w:cs="宋体" w:eastAsia="宋体" w:hint="ascii"/>
          <w:sz w:val="21"/>
          <w:spacing w:val="-11"/>
        </w:rPr>
        <w:t xml:space="preserve"> </w:t>
      </w:r>
      <w:r>
        <w:rPr>
          <w:rFonts w:ascii="Times New Roman" w:hAnsi="Times New Roman" w:cs="Times New Roman" w:eastAsia="Times New Roman" w:hint="ascii"/>
          <w:b w:val="1"/>
          <w:sz w:val="21"/>
          <w:spacing w:val="-1"/>
        </w:rPr>
        <w:t>1</w:t>
      </w:r>
      <w:r>
        <w:rPr>
          <w:rFonts w:ascii="Times New Roman" w:hAnsi="Times New Roman" w:cs="Times New Roman" w:eastAsia="Times New Roman" w:hint="ascii"/>
          <w:b w:val="1"/>
          <w:sz w:val="21"/>
          <w:spacing w:val="-11"/>
        </w:rPr>
        <w:t xml:space="preserve"> </w:t>
      </w:r>
      <w:r>
        <w:rPr>
          <w:rFonts w:ascii="宋体" w:hAnsi="宋体" w:cs="宋体" w:eastAsia="宋体" w:hint="ascii"/>
          <w:sz w:val="21"/>
          <w:spacing w:val="-1"/>
        </w:rPr>
        <w:t>选</w:t>
      </w:r>
      <w:r>
        <w:rPr>
          <w:rFonts w:ascii="宋体" w:hAnsi="宋体" w:cs="宋体" w:eastAsia="宋体" w:hint="ascii"/>
          <w:sz w:val="21"/>
        </w:rPr>
        <w:t xml:space="preserve"> </w:t>
      </w:r>
      <w:r>
        <w:rPr>
          <w:rFonts w:ascii="宋体" w:hAnsi="宋体" w:cs="宋体" w:eastAsia="宋体" w:hint="ascii"/>
          <w:sz w:val="21"/>
          <w:spacing w:val="27"/>
        </w:rPr>
        <w:t>择</w:t>
      </w:r>
      <w:r>
        <w:rPr>
          <w:rFonts w:ascii="Times New Roman" w:hAnsi="Times New Roman" w:cs="Times New Roman" w:eastAsia="Times New Roman" w:hint="ascii"/>
          <w:b w:val="1"/>
          <w:sz w:val="21"/>
        </w:rPr>
        <w:t>F020303</w:t>
      </w:r>
      <w:r>
        <w:rPr>
          <w:rFonts w:ascii="宋体" w:hAnsi="宋体" w:cs="宋体" w:eastAsia="宋体" w:hint="ascii"/>
          <w:sz w:val="21"/>
        </w:rPr>
        <w:t>）</w:t>
      </w:r>
    </w:p>
    <w:p>
      <w:pPr>
        <w:autoSpaceDE w:val="0"/>
        <w:autoSpaceDN w:val="0"/>
        <w:jc w:val="left"/>
        <w:spacing w:before="40"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研究虚拟机被污染环境下无准确先验知识的内核层恶意行为检测方法，研究维持动</w:t>
      </w:r>
    </w:p>
    <w:p>
      <w:pPr>
        <w:autoSpaceDE w:val="0"/>
        <w:autoSpaceDN w:val="0"/>
        <w:jc w:val="both"/>
        <w:spacing w:before="10" w:after="0" w:lineRule="exact" w:line="312"/>
        <w:ind w:right="978" w:left="0" w:firstLine="0"/>
        <w:snapToGrid w:val="0"/>
        <w:textAlignment w:val="auto"/>
        <w:tabs/>
        <w:rPr>
          <w:rFonts w:ascii="宋体" w:hAnsi="宋体" w:cs="宋体" w:eastAsia="宋体" w:hint="ascii"/>
          <w:sz w:val="21"/>
        </w:rPr>
      </w:pPr>
      <w:r>
        <w:rPr>
          <w:rFonts w:ascii="宋体" w:hAnsi="宋体" w:cs="宋体" w:eastAsia="宋体" w:hint="ascii"/>
          <w:sz w:val="21"/>
          <w:spacing w:val="-1"/>
        </w:rPr>
        <w:t>态数据完整</w:t>
      </w:r>
      <w:r>
        <w:rPr>
          <w:rFonts w:ascii="宋体" w:hAnsi="宋体" w:cs="宋体" w:eastAsia="宋体" w:hint="ascii"/>
          <w:sz w:val="21"/>
        </w:rPr>
        <w:t>性的内核层攻击动态防御方法，并在多类型操作系统和多类型虚拟机监控器上实现兼容和扩展。</w:t>
      </w:r>
    </w:p>
    <w:p>
      <w:pPr>
        <w:autoSpaceDE w:val="0"/>
        <w:autoSpaceDN w:val="0"/>
        <w:jc w:val="left"/>
        <w:spacing w:before="40" w:after="0" w:lineRule="auto" w:line="240"/>
        <w:ind w:right="0" w:left="420"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spacing w:val="1"/>
        </w:rPr>
        <w:t>12</w:t>
      </w:r>
      <w:r>
        <w:rPr>
          <w:rFonts w:ascii="Times New Roman" w:hAnsi="Times New Roman" w:cs="Times New Roman" w:eastAsia="Times New Roman" w:hint="ascii"/>
          <w:b w:val="1"/>
          <w:sz w:val="21"/>
        </w:rPr>
        <w:t>.</w:t>
      </w:r>
      <w:r>
        <w:rPr>
          <w:rFonts w:ascii="Times New Roman" w:hAnsi="Times New Roman" w:cs="Times New Roman" w:eastAsia="Times New Roman" w:hint="ascii"/>
          <w:b w:val="1"/>
          <w:sz w:val="21"/>
          <w:spacing w:val="-1"/>
        </w:rPr>
        <w:t xml:space="preserve"> </w:t>
      </w:r>
      <w:r>
        <w:rPr>
          <w:rFonts w:ascii="宋体" w:hAnsi="宋体" w:cs="宋体" w:eastAsia="宋体" w:hint="ascii"/>
          <w:sz w:val="21"/>
        </w:rPr>
        <w:t>基于深度学习的跨域视频目标检测与识别（申请代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F060307</w:t>
      </w:r>
      <w:r>
        <w:rPr>
          <w:rFonts w:ascii="宋体" w:hAnsi="宋体" w:cs="宋体" w:eastAsia="宋体" w:hint="ascii"/>
          <w:sz w:val="21"/>
        </w:rPr>
        <w:t>）</w:t>
      </w:r>
    </w:p>
    <w:p>
      <w:pPr>
        <w:autoSpaceDE w:val="0"/>
        <w:autoSpaceDN w:val="0"/>
        <w:jc w:val="left"/>
        <w:spacing w:before="57" w:after="0" w:lineRule="exact" w:line="263"/>
        <w:ind w:right="0" w:left="420" w:firstLine="0"/>
        <w:snapToGrid w:val="0"/>
        <w:textAlignment w:val="auto"/>
        <w:tabs/>
        <w:rPr>
          <w:rFonts w:ascii="宋体" w:hAnsi="宋体" w:cs="宋体" w:eastAsia="宋体" w:hint="ascii"/>
          <w:sz w:val="21"/>
        </w:rPr>
      </w:pPr>
      <w:r>
        <w:rPr>
          <w:rFonts w:ascii="宋体" w:hAnsi="宋体" w:cs="宋体" w:eastAsia="宋体" w:hint="ascii"/>
          <w:sz w:val="21"/>
        </w:rPr>
        <w:t>研究基于深度学习的理论与技术，结合半监督学习及迁移学习机制，以提高视频目</w:t>
      </w:r>
    </w:p>
    <w:p>
      <w:pPr>
        <w:autoSpaceDE w:val="0"/>
        <w:autoSpaceDN w:val="0"/>
        <w:jc w:val="left"/>
        <w:spacing w:before="284" w:after="0" w:lineRule="exact" w:line="225"/>
        <w:ind w:right="0" w:left="7366" w:firstLine="0"/>
        <w:snapToGrid w:val="0"/>
        <w:textAlignment w:val="auto"/>
        <w:tabs/>
        <w:sectPr>
          <w:pgSz w:w="10940" w:h="15080" w:orient="portrait"/>
          <w:pgMar w:top="508" w:right="508" w:bottom="508" w:left="1473"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199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标检测与识别系统在实际应用中的适应能力。</w:t>
      </w:r>
      <w:r>
        <w:rPr>
          <w:rFonts w:ascii="宋体" w:hAnsi="宋体" w:cs="宋体" w:eastAsia="宋体" w:hint="ascii"/>
          <w:sz w:val="21"/>
        </w:rPr>
        <mc:AlternateContent>
          <mc:Choice Requires="wps">
            <w:drawing>
              <wp:anchor distL="0" distR="0" distT="0" distB="0" simplePos="0" behindDoc="1" relativeHeight="276" locked="0" layoutInCell="1" allowOverlap="1">
                <wp:simplePos x="0" y="0"/>
                <wp:positionH relativeFrom="page">
                  <wp:posOffset>938530</wp:posOffset>
                </wp:positionH>
                <wp:positionV relativeFrom="page">
                  <wp:posOffset>805815</wp:posOffset>
                </wp:positionV>
                <wp:extent cx="5076190" cy="0"/>
                <wp:wrapNone/>
                <wp:docPr id="1305" name="130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75616;width:399.70pt;" id="130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auto" w:line="240"/>
        <w:ind w:right="0" w:left="1386" w:firstLine="0"/>
        <w:snapToGrid w:val="0"/>
        <w:textAlignment w:val="auto"/>
        <w:tabs>
          <w:tab w:val="left" w:leader="none" w:pos="1753"/>
        </w:tabs>
        <w:numPr>
          <w:ilvl w:val="0"/>
          <w:numId w:val="309"/>
        </w:numPr>
        <w:rPr>
          <w:rFonts w:ascii="Times New Roman" w:hAnsi="Times New Roman" w:cs="Times New Roman" w:eastAsia="Times New Roman" w:hint="ascii"/>
          <w:sz w:val="21"/>
          <w:spacing w:val="1"/>
        </w:rPr>
      </w:pPr>
      <w:r>
        <w:rPr>
          <w:rFonts w:ascii="宋体" w:hAnsi="宋体" w:cs="宋体" w:eastAsia="宋体" w:hint="ascii"/>
          <w:sz w:val="21"/>
        </w:rPr>
        <w:t>通信链路加密数据深度分析（申请代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F010203</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针对通信链路加密数据，研究深度辨识、识别聚类、协议分析等技术。</w:t>
      </w:r>
    </w:p>
    <w:p>
      <w:pPr>
        <w:autoSpaceDE w:val="0"/>
        <w:autoSpaceDN w:val="0"/>
        <w:jc w:val="left"/>
        <w:spacing w:before="49" w:after="0" w:lineRule="auto" w:line="240"/>
        <w:ind w:right="0" w:left="1386" w:firstLine="0"/>
        <w:snapToGrid w:val="0"/>
        <w:textAlignment w:val="auto"/>
        <w:tabs>
          <w:tab w:val="left" w:leader="none" w:pos="1753"/>
        </w:tabs>
        <w:numPr>
          <w:ilvl w:val="0"/>
          <w:numId w:val="309"/>
        </w:numPr>
        <w:rPr>
          <w:rFonts w:ascii="Times New Roman" w:hAnsi="Times New Roman" w:cs="Times New Roman" w:eastAsia="Times New Roman" w:hint="ascii"/>
          <w:sz w:val="21"/>
          <w:spacing w:val="1"/>
        </w:rPr>
      </w:pPr>
      <w:r>
        <w:rPr>
          <w:rFonts w:ascii="宋体" w:hAnsi="宋体" w:cs="宋体" w:eastAsia="宋体" w:hint="ascii"/>
          <w:sz w:val="21"/>
        </w:rPr>
        <w:t>基于通用数据库的数据加密（申请代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F020601</w:t>
      </w:r>
      <w:r>
        <w:rPr>
          <w:rFonts w:ascii="宋体" w:hAnsi="宋体" w:cs="宋体" w:eastAsia="宋体" w:hint="ascii"/>
          <w:sz w:val="21"/>
        </w:rPr>
        <w:t>）</w:t>
      </w:r>
    </w:p>
    <w:p>
      <w:pPr>
        <w:autoSpaceDE w:val="0"/>
        <w:autoSpaceDN w:val="0"/>
        <w:jc w:val="both"/>
        <w:spacing w:before="1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研究基于</w:t>
      </w:r>
      <w:r>
        <w:rPr>
          <w:rFonts w:ascii="宋体" w:hAnsi="宋体" w:cs="宋体" w:eastAsia="宋体" w:hint="ascii"/>
          <w:sz w:val="21"/>
        </w:rPr>
        <w:t>通用数据库的透明加密，数据库密文索引处理，数据库加密密钥的分配与管理，基于同态加密的数据库应用，数据库入侵检测分析等技术和方法。</w:t>
      </w:r>
    </w:p>
    <w:p>
      <w:pPr>
        <w:autoSpaceDE w:val="0"/>
        <w:autoSpaceDN w:val="0"/>
        <w:jc w:val="left"/>
        <w:spacing w:before="40" w:after="0" w:lineRule="auto" w:line="240"/>
        <w:ind w:right="0" w:left="1386" w:firstLine="0"/>
        <w:snapToGrid w:val="0"/>
        <w:textAlignment w:val="auto"/>
        <w:tabs>
          <w:tab w:val="left" w:leader="none" w:pos="1753"/>
        </w:tabs>
        <w:numPr>
          <w:ilvl w:val="0"/>
          <w:numId w:val="309"/>
        </w:numPr>
        <w:rPr>
          <w:rFonts w:ascii="Times New Roman" w:hAnsi="Times New Roman" w:cs="Times New Roman" w:eastAsia="Times New Roman" w:hint="ascii"/>
          <w:sz w:val="21"/>
          <w:spacing w:val="1"/>
        </w:rPr>
      </w:pPr>
      <w:r>
        <w:rPr>
          <w:rFonts w:ascii="宋体" w:hAnsi="宋体" w:cs="宋体" w:eastAsia="宋体" w:hint="ascii"/>
          <w:sz w:val="21"/>
        </w:rPr>
        <w:t>网络流量中漏洞利用程序的识别和分类（申请代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F020705</w:t>
      </w:r>
      <w:r>
        <w:rPr>
          <w:rFonts w:ascii="宋体" w:hAnsi="宋体" w:cs="宋体" w:eastAsia="宋体" w:hint="ascii"/>
          <w:sz w:val="21"/>
        </w:rPr>
        <w:t>）</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研究网络流量中漏洞利用程序的快速识别、分类和特征快速提取方法；构建漏洞攻</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击数据库，进行攻击程</w:t>
      </w:r>
      <w:r>
        <w:rPr>
          <w:rFonts w:ascii="宋体" w:hAnsi="宋体" w:cs="宋体" w:eastAsia="宋体" w:hint="ascii"/>
          <w:sz w:val="21"/>
        </w:rPr>
        <w:t>序的漏洞识别；针对未知漏洞利用程序，研究快速构造蜜罐</w:t>
      </w:r>
      <w:r>
        <w:rPr>
          <w:rFonts w:ascii="宋体" w:hAnsi="宋体" w:cs="宋体" w:eastAsia="宋体" w:hint="ascii"/>
          <w:sz w:val="21"/>
          <w:spacing w:val="-6"/>
        </w:rPr>
        <w:t>环</w:t>
      </w:r>
      <w:r>
        <w:rPr>
          <w:rFonts w:ascii="宋体" w:hAnsi="宋体" w:cs="宋体" w:eastAsia="宋体" w:hint="ascii"/>
          <w:sz w:val="21"/>
        </w:rPr>
        <w:t>境、自动化特征分析和关键要素提取等方法。</w:t>
      </w:r>
    </w:p>
    <w:p>
      <w:pPr>
        <w:autoSpaceDE w:val="0"/>
        <w:autoSpaceDN w:val="0"/>
        <w:jc w:val="both"/>
        <w:spacing w:before="0" w:after="0" w:lineRule="exact" w:line="312"/>
        <w:ind w:right="976" w:left="1386" w:firstLine="0"/>
        <w:snapToGrid w:val="0"/>
        <w:textAlignment w:val="auto"/>
        <w:tabs>
          <w:tab w:val="left" w:leader="none" w:pos="1753"/>
        </w:tabs>
        <w:numPr>
          <w:ilvl w:val="0"/>
          <w:numId w:val="309"/>
        </w:numPr>
        <w:rPr>
          <w:rFonts w:ascii="Times New Roman" w:hAnsi="Times New Roman" w:cs="Times New Roman" w:eastAsia="Times New Roman" w:hint="ascii"/>
          <w:sz w:val="21"/>
          <w:spacing w:val="1"/>
        </w:rPr>
      </w:pPr>
      <w:r>
        <w:rPr>
          <w:rFonts w:ascii="宋体" w:hAnsi="宋体" w:cs="宋体" w:eastAsia="宋体" w:hint="ascii"/>
          <w:sz w:val="21"/>
          <w:spacing w:val="-6"/>
        </w:rPr>
        <w:t>基于</w:t>
      </w:r>
      <w:r>
        <w:rPr>
          <w:rFonts w:ascii="宋体" w:hAnsi="宋体" w:cs="宋体" w:eastAsia="宋体" w:hint="ascii"/>
          <w:sz w:val="21"/>
          <w:spacing w:val="-5"/>
        </w:rPr>
        <w:t>序列分析的工控系统恶意软件识别及预警技术研究（申请代</w:t>
      </w:r>
      <w:r>
        <w:rPr>
          <w:rFonts w:ascii="宋体" w:hAnsi="宋体" w:cs="宋体" w:eastAsia="宋体" w:hint="ascii"/>
          <w:sz w:val="21"/>
          <w:spacing w:val="20"/>
        </w:rPr>
        <w:t>码</w:t>
      </w:r>
      <w:r>
        <w:rPr>
          <w:rFonts w:ascii="Times New Roman" w:hAnsi="Times New Roman" w:cs="Times New Roman" w:eastAsia="Times New Roman" w:hint="ascii"/>
          <w:b w:val="1"/>
          <w:sz w:val="21"/>
          <w:spacing w:val="45"/>
        </w:rPr>
        <w:t>1</w:t>
      </w:r>
      <w:r>
        <w:rPr>
          <w:rFonts w:ascii="宋体" w:hAnsi="宋体" w:cs="宋体" w:eastAsia="宋体" w:hint="ascii"/>
          <w:sz w:val="21"/>
          <w:spacing w:val="-5"/>
        </w:rPr>
        <w:t>选</w:t>
      </w:r>
      <w:r>
        <w:rPr>
          <w:rFonts w:ascii="宋体" w:hAnsi="宋体" w:cs="宋体" w:eastAsia="宋体" w:hint="ascii"/>
          <w:sz w:val="21"/>
          <w:spacing w:val="20"/>
        </w:rPr>
        <w:t>择</w:t>
      </w:r>
      <w:r>
        <w:rPr>
          <w:rFonts w:ascii="Times New Roman" w:hAnsi="Times New Roman" w:cs="Times New Roman" w:eastAsia="Times New Roman" w:hint="ascii"/>
          <w:b w:val="1"/>
          <w:sz w:val="21"/>
          <w:spacing w:val="-5"/>
        </w:rPr>
        <w:t>F02</w:t>
      </w:r>
      <w:r>
        <w:rPr>
          <w:rFonts w:ascii="Times New Roman" w:hAnsi="Times New Roman" w:cs="Times New Roman" w:eastAsia="Times New Roman" w:hint="ascii"/>
          <w:b w:val="1"/>
          <w:sz w:val="21"/>
        </w:rPr>
        <w:t>0</w:t>
      </w:r>
      <w:r>
        <w:rPr>
          <w:rFonts w:ascii="Times New Roman" w:hAnsi="Times New Roman" w:cs="Times New Roman" w:eastAsia="Times New Roman" w:hint="ascii"/>
          <w:b w:val="1"/>
          <w:sz w:val="21"/>
          <w:spacing w:val="-5"/>
        </w:rPr>
        <w:t>2</w:t>
      </w:r>
      <w:r>
        <w:rPr>
          <w:rFonts w:ascii="宋体" w:hAnsi="宋体" w:cs="宋体" w:eastAsia="宋体" w:hint="ascii"/>
          <w:sz w:val="21"/>
        </w:rPr>
        <w:t>）</w:t>
      </w:r>
      <w:r>
        <w:rPr>
          <w:rFonts w:ascii="宋体" w:hAnsi="宋体" w:cs="宋体" w:eastAsia="宋体" w:hint="ascii"/>
          <w:sz w:val="21"/>
          <w:spacing w:val="-1"/>
        </w:rPr>
        <w:t>基于工控</w:t>
      </w:r>
      <w:r>
        <w:rPr>
          <w:rFonts w:ascii="宋体" w:hAnsi="宋体" w:cs="宋体" w:eastAsia="宋体" w:hint="ascii"/>
          <w:sz w:val="21"/>
        </w:rPr>
        <w:t>系统恶意软件数据集，建立威胁语义模型并分析提取威胁信息，形成调用</w:t>
      </w:r>
    </w:p>
    <w:p>
      <w:pPr>
        <w:autoSpaceDE w:val="0"/>
        <w:autoSpaceDN w:val="0"/>
        <w:jc w:val="both"/>
        <w:spacing w:before="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序列特征</w:t>
      </w:r>
      <w:r>
        <w:rPr>
          <w:rFonts w:ascii="宋体" w:hAnsi="宋体" w:cs="宋体" w:eastAsia="宋体" w:hint="ascii"/>
          <w:sz w:val="21"/>
        </w:rPr>
        <w:t>库，构建基于序列分析、具有时间跨越特点的长短期记忆模型，采用卷积神经网络提取工控系统恶意软件行为的深度特征，研究工控系统恶意软件威胁预警方法。</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both"/>
        <w:spacing w:before="157"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rPr>
        <w:t>1</w:t>
      </w:r>
      <w:r>
        <w:rPr>
          <w:rFonts w:ascii="宋体" w:hAnsi="宋体" w:cs="宋体" w:eastAsia="宋体" w:hint="ascii"/>
          <w:sz w:val="21"/>
          <w:spacing w:val="-2"/>
        </w:rPr>
        <w:t>）</w:t>
      </w:r>
      <w:r>
        <w:rPr>
          <w:rFonts w:ascii="宋体" w:hAnsi="宋体" w:cs="宋体" w:eastAsia="宋体" w:hint="ascii"/>
          <w:sz w:val="21"/>
          <w:spacing w:val="1"/>
        </w:rPr>
        <w:t>申</w:t>
      </w:r>
      <w:r>
        <w:rPr>
          <w:rFonts w:ascii="宋体" w:hAnsi="宋体" w:cs="宋体" w:eastAsia="宋体" w:hint="ascii"/>
          <w:sz w:val="21"/>
        </w:rPr>
        <w:t>请人</w:t>
      </w:r>
      <w:r>
        <w:rPr>
          <w:rFonts w:ascii="宋体" w:hAnsi="宋体" w:cs="宋体" w:eastAsia="宋体" w:hint="ascii"/>
          <w:sz w:val="21"/>
          <w:spacing w:val="1"/>
        </w:rPr>
        <w:t>在</w:t>
      </w:r>
      <w:r>
        <w:rPr>
          <w:rFonts w:ascii="宋体" w:hAnsi="宋体" w:cs="宋体" w:eastAsia="宋体" w:hint="ascii"/>
          <w:sz w:val="21"/>
        </w:rPr>
        <w:t>申报</w:t>
      </w:r>
      <w:r>
        <w:rPr>
          <w:rFonts w:ascii="宋体" w:hAnsi="宋体" w:cs="宋体" w:eastAsia="宋体" w:hint="ascii"/>
          <w:sz w:val="21"/>
          <w:spacing w:val="1"/>
        </w:rPr>
        <w:t>前</w:t>
      </w:r>
      <w:r>
        <w:rPr>
          <w:rFonts w:ascii="宋体" w:hAnsi="宋体" w:cs="宋体" w:eastAsia="宋体" w:hint="ascii"/>
          <w:sz w:val="21"/>
        </w:rPr>
        <w:t>应</w:t>
      </w:r>
      <w:r>
        <w:rPr>
          <w:rFonts w:ascii="宋体" w:hAnsi="宋体" w:cs="宋体" w:eastAsia="宋体" w:hint="ascii"/>
          <w:sz w:val="21"/>
          <w:spacing w:val="1"/>
        </w:rPr>
        <w:t>向</w:t>
      </w:r>
      <w:r>
        <w:rPr>
          <w:rFonts w:ascii="宋体" w:hAnsi="宋体" w:cs="宋体" w:eastAsia="宋体" w:hint="ascii"/>
          <w:sz w:val="21"/>
        </w:rPr>
        <w:t>中国</w:t>
      </w:r>
      <w:r>
        <w:rPr>
          <w:rFonts w:ascii="宋体" w:hAnsi="宋体" w:cs="宋体" w:eastAsia="宋体" w:hint="ascii"/>
          <w:sz w:val="21"/>
          <w:spacing w:val="1"/>
        </w:rPr>
        <w:t>通</w:t>
      </w:r>
      <w:r>
        <w:rPr>
          <w:rFonts w:ascii="宋体" w:hAnsi="宋体" w:cs="宋体" w:eastAsia="宋体" w:hint="ascii"/>
          <w:sz w:val="21"/>
        </w:rPr>
        <w:t>用</w:t>
      </w:r>
      <w:r>
        <w:rPr>
          <w:rFonts w:ascii="宋体" w:hAnsi="宋体" w:cs="宋体" w:eastAsia="宋体" w:hint="ascii"/>
          <w:sz w:val="21"/>
          <w:spacing w:val="1"/>
        </w:rPr>
        <w:t>技</w:t>
      </w:r>
      <w:r>
        <w:rPr>
          <w:rFonts w:ascii="宋体" w:hAnsi="宋体" w:cs="宋体" w:eastAsia="宋体" w:hint="ascii"/>
          <w:sz w:val="21"/>
        </w:rPr>
        <w:t>术研</w:t>
      </w:r>
      <w:r>
        <w:rPr>
          <w:rFonts w:ascii="宋体" w:hAnsi="宋体" w:cs="宋体" w:eastAsia="宋体" w:hint="ascii"/>
          <w:sz w:val="21"/>
          <w:spacing w:val="1"/>
        </w:rPr>
        <w:t>究</w:t>
      </w:r>
      <w:r>
        <w:rPr>
          <w:rFonts w:ascii="宋体" w:hAnsi="宋体" w:cs="宋体" w:eastAsia="宋体" w:hint="ascii"/>
          <w:sz w:val="21"/>
        </w:rPr>
        <w:t>院</w:t>
      </w:r>
      <w:r>
        <w:rPr>
          <w:rFonts w:ascii="宋体" w:hAnsi="宋体" w:cs="宋体" w:eastAsia="宋体" w:hint="ascii"/>
          <w:sz w:val="21"/>
          <w:spacing w:val="1"/>
        </w:rPr>
        <w:t>基</w:t>
      </w:r>
      <w:r>
        <w:rPr>
          <w:rFonts w:ascii="宋体" w:hAnsi="宋体" w:cs="宋体" w:eastAsia="宋体" w:hint="ascii"/>
          <w:sz w:val="21"/>
        </w:rPr>
        <w:t>金办</w:t>
      </w:r>
      <w:r>
        <w:rPr>
          <w:rFonts w:ascii="宋体" w:hAnsi="宋体" w:cs="宋体" w:eastAsia="宋体" w:hint="ascii"/>
          <w:sz w:val="21"/>
          <w:spacing w:val="1"/>
        </w:rPr>
        <w:t>了</w:t>
      </w:r>
      <w:r>
        <w:rPr>
          <w:rFonts w:ascii="宋体" w:hAnsi="宋体" w:cs="宋体" w:eastAsia="宋体" w:hint="ascii"/>
          <w:sz w:val="21"/>
        </w:rPr>
        <w:t>解</w:t>
      </w:r>
      <w:r>
        <w:rPr>
          <w:rFonts w:ascii="宋体" w:hAnsi="宋体" w:cs="宋体" w:eastAsia="宋体" w:hint="ascii"/>
          <w:sz w:val="21"/>
          <w:spacing w:val="1"/>
        </w:rPr>
        <w:t>相</w:t>
      </w:r>
      <w:r>
        <w:rPr>
          <w:rFonts w:ascii="宋体" w:hAnsi="宋体" w:cs="宋体" w:eastAsia="宋体" w:hint="ascii"/>
          <w:sz w:val="21"/>
        </w:rPr>
        <w:t>关课</w:t>
      </w:r>
      <w:r>
        <w:rPr>
          <w:rFonts w:ascii="宋体" w:hAnsi="宋体" w:cs="宋体" w:eastAsia="宋体" w:hint="ascii"/>
          <w:sz w:val="21"/>
          <w:spacing w:val="1"/>
        </w:rPr>
        <w:t>题</w:t>
      </w:r>
      <w:r>
        <w:rPr>
          <w:rFonts w:ascii="宋体" w:hAnsi="宋体" w:cs="宋体" w:eastAsia="宋体" w:hint="ascii"/>
          <w:sz w:val="21"/>
        </w:rPr>
        <w:t>的</w:t>
      </w:r>
      <w:r>
        <w:rPr>
          <w:rFonts w:ascii="宋体" w:hAnsi="宋体" w:cs="宋体" w:eastAsia="宋体" w:hint="ascii"/>
          <w:sz w:val="21"/>
          <w:spacing w:val="1"/>
        </w:rPr>
        <w:t>需</w:t>
      </w:r>
      <w:r>
        <w:rPr>
          <w:rFonts w:ascii="宋体" w:hAnsi="宋体" w:cs="宋体" w:eastAsia="宋体" w:hint="ascii"/>
          <w:sz w:val="21"/>
        </w:rPr>
        <w:t>求背景</w:t>
      </w:r>
      <w:r>
        <w:rPr>
          <w:rFonts w:ascii="宋体" w:hAnsi="宋体" w:cs="宋体" w:eastAsia="宋体" w:hint="ascii"/>
          <w:sz w:val="21"/>
          <w:spacing w:val="-6"/>
        </w:rPr>
        <w:t>和</w:t>
      </w:r>
      <w:r>
        <w:rPr>
          <w:rFonts w:ascii="宋体" w:hAnsi="宋体" w:cs="宋体" w:eastAsia="宋体" w:hint="ascii"/>
          <w:sz w:val="21"/>
          <w:spacing w:val="3"/>
        </w:rPr>
        <w:t>要求</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）重点支持项目申请人应当具有高级专业技术职务（职称</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）申请书正文开头应首先说明申请本联合基金中的重点支持项目或培育项目相应</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rPr>
        <w:t>的研究方向名称，如：</w:t>
      </w:r>
      <w:r>
        <w:rPr>
          <w:rFonts w:ascii="Times New Roman" w:hAnsi="Times New Roman" w:cs="Times New Roman" w:eastAsia="Times New Roman" w:hint="ascii"/>
          <w:sz w:val="21"/>
        </w:rPr>
        <w:t>[</w:t>
      </w:r>
      <w:r>
        <w:rPr>
          <w:rFonts w:ascii="宋体" w:hAnsi="宋体" w:cs="宋体" w:eastAsia="宋体" w:hint="ascii"/>
          <w:sz w:val="21"/>
        </w:rPr>
        <w:t>本申请针对“重点支持项目”</w:t>
      </w:r>
      <w:r>
        <w:rPr>
          <w:rFonts w:ascii="MS Mincho" w:hAnsi="MS Mincho" w:cs="MS Mincho" w:eastAsia="MS Mincho" w:hint="ascii"/>
          <w:sz w:val="21"/>
        </w:rPr>
        <w:t>−</w:t>
      </w:r>
      <w:r>
        <w:rPr>
          <w:rFonts w:ascii="Times New Roman" w:hAnsi="Times New Roman" w:cs="Times New Roman" w:eastAsia="Times New Roman" w:hint="ascii"/>
          <w:sz w:val="21"/>
        </w:rPr>
        <w:t>1.</w:t>
      </w:r>
      <w:r>
        <w:rPr>
          <w:rFonts w:ascii="宋体" w:hAnsi="宋体" w:cs="宋体" w:eastAsia="宋体" w:hint="ascii"/>
          <w:sz w:val="21"/>
        </w:rPr>
        <w:t>行为大数据模式识别理论及方法撰写，……。</w:t>
      </w:r>
      <w:r>
        <w:rPr>
          <w:rFonts w:ascii="Times New Roman" w:hAnsi="Times New Roman" w:cs="Times New Roman" w:eastAsia="Times New Roman" w:hint="ascii"/>
          <w:sz w:val="21"/>
        </w:rPr>
        <w:t>]</w:t>
      </w:r>
      <w:r>
        <w:rPr>
          <w:rFonts w:ascii="宋体" w:hAnsi="宋体" w:cs="宋体" w:eastAsia="宋体" w:hint="ascii"/>
          <w:sz w:val="21"/>
        </w:rPr>
        <w:t>，以便评审专家清楚了解申请人所针对的研究题目和内容。</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）申请书资助类别选择“联合基金项目</w:t>
      </w:r>
      <w:r>
        <w:rPr>
          <w:rFonts w:ascii="宋体" w:hAnsi="宋体" w:cs="宋体" w:eastAsia="宋体" w:hint="ascii"/>
          <w:sz w:val="21"/>
          <w:spacing w:val="-50"/>
        </w:rPr>
        <w:t>”</w:t>
      </w:r>
      <w:r>
        <w:rPr>
          <w:rFonts w:ascii="宋体" w:hAnsi="宋体" w:cs="宋体" w:eastAsia="宋体" w:hint="ascii"/>
          <w:sz w:val="21"/>
        </w:rPr>
        <w:t>，亚类说明选择“培育项目”或“重点</w:t>
      </w:r>
    </w:p>
    <w:p>
      <w:pPr>
        <w:autoSpaceDE w:val="0"/>
        <w:autoSpaceDN w:val="0"/>
        <w:jc w:val="both"/>
        <w:spacing w:before="10" w:after="0" w:lineRule="exact" w:line="312"/>
        <w:ind w:right="976" w:left="861" w:firstLine="104"/>
        <w:snapToGrid w:val="0"/>
        <w:textAlignment w:val="auto"/>
        <w:tabs/>
        <w:rPr>
          <w:rFonts w:ascii="宋体" w:hAnsi="宋体" w:cs="宋体" w:eastAsia="宋体" w:hint="ascii"/>
          <w:sz w:val="21"/>
        </w:rPr>
      </w:pPr>
      <w:r>
        <w:rPr>
          <w:rFonts w:ascii="宋体" w:hAnsi="宋体" w:cs="宋体" w:eastAsia="宋体" w:hint="ascii"/>
          <w:sz w:val="21"/>
          <w:spacing w:val="-1"/>
        </w:rPr>
        <w:t>支持项目</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通用技术基础研究联合基金</w:t>
      </w:r>
      <w:r>
        <w:rPr>
          <w:rFonts w:ascii="宋体" w:hAnsi="宋体" w:cs="宋体" w:eastAsia="宋体" w:hint="ascii"/>
          <w:sz w:val="21"/>
          <w:spacing w:val="-52"/>
        </w:rPr>
        <w:t>”</w:t>
      </w:r>
      <w:r>
        <w:rPr>
          <w:rFonts w:ascii="宋体" w:hAnsi="宋体" w:cs="宋体" w:eastAsia="宋体" w:hint="ascii"/>
          <w:sz w:val="21"/>
        </w:rPr>
        <w:t>，申请代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1</w:t>
      </w:r>
      <w:r>
        <w:rPr>
          <w:rFonts w:ascii="宋体" w:hAnsi="宋体" w:cs="宋体" w:eastAsia="宋体" w:hint="ascii"/>
          <w:sz w:val="21"/>
        </w:rPr>
        <w:t>必须按本《指南》要求选择。</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）本联合基金面向全国，项目申请书中主要参与者应当有中国通用技术研究院科</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研人员。</w:t>
      </w:r>
      <w:r>
        <w:rPr>
          <w:rFonts w:ascii="宋体" w:hAnsi="宋体" w:cs="宋体" w:eastAsia="宋体" w:hint="ascii"/>
          <w:sz w:val="21"/>
        </w:rPr>
        <w:t>对于合作研究项目，应当在申请书中明确合作各方的合作内容、主要分工等有关问题。</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）申请项目应当符合本《指南》的资助范围与要求。项目名称、具体研究方案、</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研究内容</w:t>
      </w:r>
      <w:r>
        <w:rPr>
          <w:rFonts w:ascii="宋体" w:hAnsi="宋体" w:cs="宋体" w:eastAsia="宋体" w:hint="ascii"/>
          <w:sz w:val="21"/>
        </w:rPr>
        <w:t>和目标等由申请人提出，要求申请人按照培育项目或重点支持项目申请书撰写</w:t>
      </w:r>
      <w:r>
        <w:rPr>
          <w:rFonts w:ascii="宋体" w:hAnsi="宋体" w:cs="宋体" w:eastAsia="宋体" w:hint="ascii"/>
          <w:sz w:val="21"/>
          <w:spacing w:val="-1"/>
        </w:rPr>
        <w:t>提纲撰写</w:t>
      </w:r>
      <w:r>
        <w:rPr>
          <w:rFonts w:ascii="宋体" w:hAnsi="宋体" w:cs="宋体" w:eastAsia="宋体" w:hint="ascii"/>
          <w:sz w:val="21"/>
        </w:rPr>
        <w:t>申请书。如果申请人已经承担与本联合基金相关的国家其他科技计划项目，应</w:t>
      </w:r>
      <w:r>
        <w:rPr>
          <w:rFonts w:ascii="宋体" w:hAnsi="宋体" w:cs="宋体" w:eastAsia="宋体" w:hint="ascii"/>
          <w:sz w:val="21"/>
          <w:spacing w:val="-1"/>
        </w:rPr>
        <w:t>当在申请</w:t>
      </w:r>
      <w:r>
        <w:rPr>
          <w:rFonts w:ascii="宋体" w:hAnsi="宋体" w:cs="宋体" w:eastAsia="宋体" w:hint="ascii"/>
          <w:sz w:val="21"/>
        </w:rPr>
        <w:t>书正文的“研究基础与工作条件”部分论述申请项目与其他相关项目的区别与联系。</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）申请项目评审通过后，申请人及所在单位将收到签订“</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通用技术基础研</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究联合基</w:t>
      </w:r>
      <w:r>
        <w:rPr>
          <w:rFonts w:ascii="宋体" w:hAnsi="宋体" w:cs="宋体" w:eastAsia="宋体" w:hint="ascii"/>
          <w:sz w:val="21"/>
        </w:rPr>
        <w:t>金资助项目协议书”的通知。申请人接到通知后，应当及时与中国通用技术研究院基金办联系，在通知规定的时间内完成协议书签订工作。</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）资助项目在执行期间取得的研究成果，包括发表论文、专著、专利、奖励等，</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必须标注</w:t>
      </w:r>
      <w:r>
        <w:rPr>
          <w:rFonts w:ascii="宋体" w:hAnsi="宋体" w:cs="宋体" w:eastAsia="宋体" w:hint="ascii"/>
          <w:sz w:val="21"/>
        </w:rPr>
        <w:t>“</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通用技术基础研究联合基金”资助，并按照协议书中要求的“成果形式”向中国通用技术研究院提供结题材料。</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联合基金项目</w:t>
      </w:r>
      <w:rPr>
        <w:rFonts w:ascii="宋体" w:hAnsi="宋体" w:cs="宋体" w:eastAsia="宋体" w:hint="ascii"/>
        <w:sz w:val="19"/>
      </w:rP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四、联系方式</w:t>
      </w:r>
      <w:r>
        <w:rPr>
          <w:rFonts w:ascii="宋体" w:hAnsi="宋体" w:cs="宋体" w:eastAsia="宋体" w:hint="ascii"/>
        </w:rPr>
        <mc:AlternateContent>
          <mc:Choice Requires="wps">
            <w:drawing>
              <wp:anchor distL="0" distR="0" distT="0" distB="0" simplePos="0" behindDoc="1" relativeHeight="277" locked="0" layoutInCell="1" allowOverlap="1">
                <wp:simplePos x="0" y="0"/>
                <wp:positionH relativeFrom="page">
                  <wp:posOffset>938530</wp:posOffset>
                </wp:positionH>
                <wp:positionV relativeFrom="page">
                  <wp:posOffset>819150</wp:posOffset>
                </wp:positionV>
                <wp:extent cx="5076190" cy="0"/>
                <wp:wrapNone/>
                <wp:docPr id="1306" name="130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74592;width:399.70pt;" id="130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国家自然科学基金委员会计划局</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58"/>
        </w:rPr>
        <w:t xml:space="preserve"> </w:t>
      </w:r>
      <w:r>
        <w:rPr>
          <w:rFonts w:ascii="宋体" w:hAnsi="宋体" w:cs="宋体" w:eastAsia="宋体" w:hint="ascii"/>
          <w:sz w:val="21"/>
        </w:rPr>
        <w:t>址：北京市海淀区双清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人：雷</w:t>
      </w:r>
      <w:r>
        <w:rPr>
          <w:rFonts w:ascii="宋体" w:hAnsi="宋体" w:cs="宋体" w:eastAsia="宋体" w:hint="ascii"/>
          <w:sz w:val="21"/>
          <w:spacing w:val="53"/>
        </w:rPr>
        <w:t xml:space="preserve"> </w:t>
      </w:r>
      <w:r>
        <w:rPr>
          <w:rFonts w:ascii="宋体" w:hAnsi="宋体" w:cs="宋体" w:eastAsia="宋体" w:hint="ascii"/>
          <w:sz w:val="21"/>
        </w:rPr>
        <w:t>蓉</w:t>
      </w:r>
      <w:r>
        <w:rPr>
          <w:rFonts w:ascii="宋体" w:hAnsi="宋体" w:cs="宋体" w:eastAsia="宋体" w:hint="ascii"/>
          <w:sz w:val="21"/>
          <w:spacing w:val="52"/>
        </w:rPr>
        <w:t xml:space="preserve"> </w:t>
      </w:r>
      <w:r>
        <w:rPr>
          <w:rFonts w:ascii="宋体" w:hAnsi="宋体" w:cs="宋体" w:eastAsia="宋体" w:hint="ascii"/>
          <w:sz w:val="21"/>
        </w:rPr>
        <w:t>王</w:t>
      </w:r>
      <w:r>
        <w:rPr>
          <w:rFonts w:ascii="宋体" w:hAnsi="宋体" w:cs="宋体" w:eastAsia="宋体" w:hint="ascii"/>
          <w:sz w:val="21"/>
          <w:spacing w:val="53"/>
        </w:rPr>
        <w:t xml:space="preserve"> </w:t>
      </w:r>
      <w:r>
        <w:rPr>
          <w:rFonts w:ascii="宋体" w:hAnsi="宋体" w:cs="宋体" w:eastAsia="宋体" w:hint="ascii"/>
          <w:sz w:val="21"/>
        </w:rPr>
        <w:t>岩</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电</w:t>
      </w:r>
      <w:r>
        <w:rPr>
          <w:rFonts w:ascii="宋体" w:hAnsi="宋体" w:cs="宋体" w:eastAsia="宋体" w:hint="ascii"/>
          <w:sz w:val="21"/>
          <w:spacing w:val="157"/>
        </w:rPr>
        <w:t xml:space="preserve"> </w:t>
      </w:r>
      <w:r>
        <w:rPr>
          <w:rFonts w:ascii="宋体" w:hAnsi="宋体" w:cs="宋体" w:eastAsia="宋体" w:hint="ascii"/>
          <w:sz w:val="21"/>
          <w:spacing w:val="-1"/>
        </w:rPr>
        <w:t>话：</w:t>
      </w:r>
      <w:r>
        <w:rPr>
          <w:rFonts w:ascii="Times New Roman" w:hAnsi="Times New Roman" w:cs="Times New Roman" w:eastAsia="Times New Roman" w:hint="ascii"/>
          <w:sz w:val="21"/>
          <w:spacing w:val="-1"/>
        </w:rPr>
        <w:t>010</w:t>
      </w:r>
      <w:r>
        <w:rPr>
          <w:rFonts w:ascii="MS Mincho" w:hAnsi="MS Mincho" w:cs="MS Mincho" w:eastAsia="MS Mincho" w:hint="ascii"/>
          <w:sz w:val="21"/>
          <w:spacing w:val="-1"/>
        </w:rPr>
        <w:t>−</w:t>
      </w:r>
      <w:r>
        <w:rPr>
          <w:rFonts w:ascii="Times New Roman" w:hAnsi="Times New Roman" w:cs="Times New Roman" w:eastAsia="Times New Roman" w:hint="ascii"/>
          <w:sz w:val="21"/>
        </w:rPr>
        <w:t>62328484</w:t>
      </w:r>
      <w:r>
        <w:rPr>
          <w:rFonts w:ascii="宋体" w:hAnsi="宋体" w:cs="宋体" w:eastAsia="宋体" w:hint="ascii"/>
          <w:sz w:val="21"/>
        </w:rPr>
        <w:t>，</w:t>
      </w:r>
      <w:r>
        <w:rPr>
          <w:rFonts w:ascii="Times New Roman" w:hAnsi="Times New Roman" w:cs="Times New Roman" w:eastAsia="Times New Roman" w:hint="ascii"/>
          <w:sz w:val="21"/>
        </w:rPr>
        <w:t>010</w:t>
      </w:r>
      <w:r>
        <w:rPr>
          <w:rFonts w:ascii="MS Mincho" w:hAnsi="MS Mincho" w:cs="MS Mincho" w:eastAsia="MS Mincho" w:hint="ascii"/>
          <w:sz w:val="21"/>
        </w:rPr>
        <w:t>−</w:t>
      </w:r>
      <w:r>
        <w:rPr>
          <w:rFonts w:ascii="Times New Roman" w:hAnsi="Times New Roman" w:cs="Times New Roman" w:eastAsia="Times New Roman" w:hint="ascii"/>
          <w:sz w:val="21"/>
        </w:rPr>
        <w:t>62327015</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leirong@nsfc.go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p>
    <w:p>
      <w:pPr>
        <w:autoSpaceDE w:val="0"/>
        <w:autoSpaceDN w:val="0"/>
        <w:jc w:val="left"/>
        <w:spacing w:before="63" w:after="0" w:lineRule="auto" w:line="240"/>
        <w:ind w:right="0" w:left="2436"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rPr>
        <w:t>wangyan@nsfc.go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p>
    <w:p>
      <w:pPr>
        <w:autoSpaceDE w:val="0"/>
        <w:autoSpaceDN w:val="0"/>
        <w:jc w:val="left"/>
        <w:spacing w:before="918"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中国通用技术研究院基金办</w:t>
      </w:r>
    </w:p>
    <w:p>
      <w:pPr>
        <w:autoSpaceDE w:val="0"/>
        <w:autoSpaceDN w:val="0"/>
        <w:jc w:val="both"/>
        <w:spacing w:before="10" w:after="0" w:lineRule="exact" w:line="312"/>
        <w:ind w:right="99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址：北京</w:t>
      </w:r>
      <w:r>
        <w:rPr>
          <w:rFonts w:ascii="宋体" w:hAnsi="宋体" w:cs="宋体" w:eastAsia="宋体" w:hint="ascii"/>
          <w:sz w:val="21"/>
          <w:spacing w:val="26"/>
        </w:rPr>
        <w:t>市</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2"/>
        </w:rPr>
        <w:t>3</w:t>
      </w:r>
      <w:r>
        <w:rPr>
          <w:rFonts w:ascii="宋体" w:hAnsi="宋体" w:cs="宋体" w:eastAsia="宋体" w:hint="ascii"/>
          <w:sz w:val="21"/>
        </w:rPr>
        <w:t>信</w:t>
      </w:r>
      <w:r>
        <w:rPr>
          <w:rFonts w:ascii="宋体" w:hAnsi="宋体" w:cs="宋体" w:eastAsia="宋体" w:hint="ascii"/>
          <w:sz w:val="21"/>
          <w:spacing w:val="26"/>
        </w:rPr>
        <w:t>箱</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2"/>
        </w:rPr>
        <w:t>2</w:t>
      </w:r>
      <w:r>
        <w:rPr>
          <w:rFonts w:ascii="宋体" w:hAnsi="宋体" w:cs="宋体" w:eastAsia="宋体" w:hint="ascii"/>
          <w:sz w:val="21"/>
        </w:rPr>
        <w:t>分箱邮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100091</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人：殷</w:t>
      </w:r>
      <w:r>
        <w:rPr>
          <w:rFonts w:ascii="宋体" w:hAnsi="宋体" w:cs="宋体" w:eastAsia="宋体" w:hint="ascii"/>
          <w:sz w:val="21"/>
          <w:spacing w:val="53"/>
        </w:rPr>
        <w:t xml:space="preserve"> </w:t>
      </w:r>
      <w:r>
        <w:rPr>
          <w:rFonts w:ascii="宋体" w:hAnsi="宋体" w:cs="宋体" w:eastAsia="宋体" w:hint="ascii"/>
          <w:sz w:val="21"/>
        </w:rPr>
        <w:t>俊</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58"/>
        </w:rPr>
        <w:t xml:space="preserve"> </w:t>
      </w:r>
      <w:r>
        <w:rPr>
          <w:rFonts w:ascii="宋体" w:hAnsi="宋体" w:cs="宋体" w:eastAsia="宋体" w:hint="ascii"/>
          <w:sz w:val="21"/>
        </w:rPr>
        <w:t>话：</w:t>
      </w:r>
      <w:r>
        <w:rPr>
          <w:rFonts w:ascii="Times New Roman" w:hAnsi="Times New Roman" w:cs="Times New Roman" w:eastAsia="Times New Roman" w:hint="ascii"/>
          <w:sz w:val="21"/>
        </w:rPr>
        <w:t>010</w:t>
      </w:r>
      <w:r>
        <w:rPr>
          <w:rFonts w:ascii="MS Mincho" w:hAnsi="MS Mincho" w:cs="MS Mincho" w:eastAsia="MS Mincho" w:hint="ascii"/>
          <w:sz w:val="21"/>
        </w:rPr>
        <w:t>−</w:t>
      </w:r>
      <w:r>
        <w:rPr>
          <w:rFonts w:ascii="Times New Roman" w:hAnsi="Times New Roman" w:cs="Times New Roman" w:eastAsia="Times New Roman" w:hint="ascii"/>
          <w:sz w:val="21"/>
        </w:rPr>
        <w:t>62871250</w:t>
      </w:r>
    </w:p>
    <w:p>
      <w:pPr>
        <w:autoSpaceDE w:val="0"/>
        <w:autoSpaceDN w:val="0"/>
        <w:jc w:val="left"/>
        <w:spacing w:before="49" w:after="0" w:lineRule="exact" w:line="263"/>
        <w:ind w:right="0" w:left="0" w:firstLine="0"/>
        <w:snapToGrid w:val="0"/>
        <w:textAlignment w:val="auto"/>
        <w:tabs/>
        <w:sectPr>
          <w:type w:val="continuous"/>
          <w:pgSz w:w="10940" w:h="15080" w:orient="portrait"/>
          <w:pgMar w:top="508" w:right="508" w:bottom="508" w:left="508" w:header="0" w:footer="0" w:gutter="0"/>
          <w:cols w:num="2" w:space="0" w:equalWidth="0">
            <w:col w:w="5165" w:space="620"/>
            <w:col w:w="4139"/>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nsfc_lhjjin@163.com</w:t>
      </w:r>
      <w:rPr>
        <w:rFonts w:ascii="Times New Roman" w:hAnsi="Times New Roman" w:cs="Times New Roman" w:eastAsia="Times New Roman" w:hint="ascii"/>
        <w:sz w:val="21"/>
      </w:rPr>
    </w:p>
    <w:p>
      <w:pPr>
        <w:autoSpaceDE w:val="0"/>
        <w:autoSpaceDN w:val="0"/>
        <w:jc w:val="left"/>
        <w:spacing w:before="509" w:after="0" w:lineRule="exact" w:line="475"/>
        <w:ind w:right="0" w:left="2296" w:firstLine="0"/>
        <w:snapToGrid w:val="0"/>
        <w:textAlignment w:val="auto"/>
        <w:tabs/>
        <w:rPr>
          <w:rFonts w:ascii="宋体" w:hAnsi="宋体" w:cs="宋体" w:eastAsia="宋体" w:hint="ascii"/>
          <w:sz w:val="38"/>
        </w:rPr>
      </w:pPr>
      <w:r>
        <w:rPr>
          <w:rFonts w:ascii="宋体" w:hAnsi="宋体" w:cs="宋体" w:eastAsia="宋体" w:hint="ascii"/>
          <w:sz w:val="38"/>
        </w:rPr>
        <w:t>中国汽车产业创新发展联合基金</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中国汽车产业创新发展联合基金由自然科学基金委、中国汽车工业协会和国内八家</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汽车企业，即</w:t>
      </w:r>
      <w:r>
        <w:rPr>
          <w:rFonts w:ascii="宋体" w:hAnsi="宋体" w:cs="宋体" w:eastAsia="宋体" w:hint="ascii"/>
          <w:sz w:val="21"/>
        </w:rPr>
        <w:t>中国第一汽车集团公司、东风汽车公司、上海汽车集团股份有限公司、重</w:t>
      </w:r>
      <w:r>
        <w:rPr>
          <w:rFonts w:ascii="宋体" w:hAnsi="宋体" w:cs="宋体" w:eastAsia="宋体" w:hint="ascii"/>
          <w:sz w:val="21"/>
          <w:spacing w:val="-1"/>
        </w:rPr>
        <w:t>庆长安汽车股</w:t>
      </w:r>
      <w:r>
        <w:rPr>
          <w:rFonts w:ascii="宋体" w:hAnsi="宋体" w:cs="宋体" w:eastAsia="宋体" w:hint="ascii"/>
          <w:sz w:val="21"/>
        </w:rPr>
        <w:t>份有限公司、广州汽车集团股份有限公司、华晨汽车集团控股有限公司、</w:t>
      </w:r>
      <w:r>
        <w:rPr>
          <w:rFonts w:ascii="宋体" w:hAnsi="宋体" w:cs="宋体" w:eastAsia="宋体" w:hint="ascii"/>
          <w:sz w:val="21"/>
          <w:spacing w:val="-1"/>
        </w:rPr>
        <w:t>安徽江淮汽车</w:t>
      </w:r>
      <w:r>
        <w:rPr>
          <w:rFonts w:ascii="宋体" w:hAnsi="宋体" w:cs="宋体" w:eastAsia="宋体" w:hint="ascii"/>
          <w:sz w:val="21"/>
        </w:rPr>
        <w:t>集团股份有限公司和中国重型汽车集团有限公司共同设立，旨在发挥国家</w:t>
      </w:r>
      <w:r>
        <w:rPr>
          <w:rFonts w:ascii="宋体" w:hAnsi="宋体" w:cs="宋体" w:eastAsia="宋体" w:hint="ascii"/>
          <w:sz w:val="21"/>
          <w:spacing w:val="-1"/>
        </w:rPr>
        <w:t>自然科学基金</w:t>
      </w:r>
      <w:r>
        <w:rPr>
          <w:rFonts w:ascii="宋体" w:hAnsi="宋体" w:cs="宋体" w:eastAsia="宋体" w:hint="ascii"/>
          <w:sz w:val="21"/>
        </w:rPr>
        <w:t>的导向和协调作用，促进政产学研用相结合，吸引和汇聚全国相关研究领</w:t>
      </w:r>
      <w:r>
        <w:rPr>
          <w:rFonts w:ascii="宋体" w:hAnsi="宋体" w:cs="宋体" w:eastAsia="宋体" w:hint="ascii"/>
          <w:sz w:val="21"/>
          <w:spacing w:val="-1"/>
        </w:rPr>
        <w:t>域的优秀人才</w:t>
      </w:r>
      <w:r>
        <w:rPr>
          <w:rFonts w:ascii="宋体" w:hAnsi="宋体" w:cs="宋体" w:eastAsia="宋体" w:hint="ascii"/>
          <w:sz w:val="21"/>
        </w:rPr>
        <w:t>开展以我国汽车行业发展为背景的相关领域的重大基础研究工作，推动行业的可持续发展和自主创新能力的提升。</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中国汽车产业创新发展联合基金 </w:t>
      </w:r>
      <w:r>
        <w:rPr>
          <w:rFonts w:ascii="Times New Roman" w:hAnsi="Times New Roman" w:cs="Times New Roman" w:eastAsia="Times New Roman" w:hint="ascii"/>
          <w:sz w:val="21"/>
        </w:rPr>
        <w:t xml:space="preserve">2018 </w:t>
      </w:r>
      <w:r>
        <w:rPr>
          <w:rFonts w:ascii="宋体" w:hAnsi="宋体" w:cs="宋体" w:eastAsia="宋体" w:hint="ascii"/>
          <w:sz w:val="21"/>
        </w:rPr>
        <w:t>年度接收以下方向的重点支持项目申请，直</w:t>
      </w:r>
    </w:p>
    <w:p>
      <w:pPr>
        <w:autoSpaceDE w:val="0"/>
        <w:autoSpaceDN w:val="0"/>
        <w:jc w:val="both"/>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接费用平均资助强度为</w:t>
      </w:r>
      <w:r>
        <w:rPr>
          <w:rFonts w:ascii="宋体" w:hAnsi="宋体" w:cs="宋体" w:eastAsia="宋体" w:hint="ascii"/>
          <w:sz w:val="21"/>
          <w:spacing w:val="-7"/>
        </w:rPr>
        <w:t xml:space="preserve"> </w:t>
      </w:r>
      <w:r>
        <w:rPr>
          <w:rFonts w:ascii="Times New Roman" w:hAnsi="Times New Roman" w:cs="Times New Roman" w:eastAsia="Times New Roman" w:hint="ascii"/>
          <w:sz w:val="21"/>
        </w:rPr>
        <w:t>250</w:t>
      </w:r>
      <w:r>
        <w:rPr>
          <w:rFonts w:ascii="Times New Roman" w:hAnsi="Times New Roman" w:cs="Times New Roman" w:eastAsia="Times New Roman" w:hint="ascii"/>
          <w:sz w:val="21"/>
          <w:spacing w:val="-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7"/>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7"/>
        </w:rPr>
        <w:t xml:space="preserve"> </w:t>
      </w:r>
      <w:r>
        <w:rPr>
          <w:rFonts w:ascii="宋体" w:hAnsi="宋体" w:cs="宋体" w:eastAsia="宋体" w:hint="ascii"/>
          <w:sz w:val="21"/>
        </w:rPr>
        <w:t>年。中国汽车产业创新发展联合基金面向全国，欢迎符合条件的科学技术人员按照本《指南》范围和要求提出申请。</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一、智能化方向</w:t>
      </w:r>
    </w:p>
    <w:p>
      <w:pPr>
        <w:autoSpaceDE w:val="0"/>
        <w:autoSpaceDN w:val="0"/>
        <w:jc w:val="left"/>
        <w:spacing w:before="198" w:after="0" w:lineRule="auto" w:line="240"/>
        <w:ind w:right="0" w:left="1649" w:hanging="263"/>
        <w:snapToGrid w:val="0"/>
        <w:textAlignment w:val="auto"/>
        <w:tabs>
          <w:tab w:val="left" w:leader="none" w:pos="1648"/>
        </w:tabs>
        <w:numPr>
          <w:ilvl w:val="0"/>
          <w:numId w:val="310"/>
        </w:numPr>
        <w:rPr>
          <w:rFonts w:ascii="Times New Roman" w:hAnsi="Times New Roman" w:cs="Times New Roman" w:eastAsia="Times New Roman" w:hint="ascii"/>
          <w:sz w:val="21"/>
        </w:rPr>
      </w:pPr>
      <w:r>
        <w:rPr>
          <w:rFonts w:ascii="宋体" w:hAnsi="宋体" w:cs="宋体" w:eastAsia="宋体" w:hint="ascii"/>
          <w:sz w:val="21"/>
        </w:rPr>
        <w:t>车辆动力学最优控制理论与技术（申请代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F0301</w:t>
      </w:r>
      <w:r>
        <w:rPr>
          <w:rFonts w:ascii="宋体" w:hAnsi="宋体" w:cs="宋体" w:eastAsia="宋体" w:hint="ascii"/>
          <w:sz w:val="21"/>
        </w:rPr>
        <w:t>）</w:t>
      </w:r>
    </w:p>
    <w:p>
      <w:pPr>
        <w:autoSpaceDE w:val="0"/>
        <w:autoSpaceDN w:val="0"/>
        <w:jc w:val="left"/>
        <w:spacing w:before="57" w:after="0" w:lineRule="auto" w:line="240"/>
        <w:ind w:right="0" w:left="1649" w:hanging="263"/>
        <w:snapToGrid w:val="0"/>
        <w:textAlignment w:val="auto"/>
        <w:tabs>
          <w:tab w:val="left" w:leader="none" w:pos="1648"/>
        </w:tabs>
        <w:numPr>
          <w:ilvl w:val="0"/>
          <w:numId w:val="310"/>
        </w:numPr>
        <w:rPr>
          <w:rFonts w:ascii="Times New Roman" w:hAnsi="Times New Roman" w:cs="Times New Roman" w:eastAsia="Times New Roman" w:hint="ascii"/>
          <w:sz w:val="21"/>
        </w:rPr>
      </w:pPr>
      <w:r>
        <w:rPr>
          <w:rFonts w:ascii="宋体" w:hAnsi="宋体" w:cs="宋体" w:eastAsia="宋体" w:hint="ascii"/>
          <w:sz w:val="21"/>
        </w:rPr>
        <w:t>智能网联柴油车燃烧与后处理系统多目标协调优化（申请代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F0304</w:t>
      </w:r>
      <w:r>
        <w:rPr>
          <w:rFonts w:ascii="宋体" w:hAnsi="宋体" w:cs="宋体" w:eastAsia="宋体" w:hint="ascii"/>
          <w:sz w:val="21"/>
        </w:rPr>
        <w:t>）</w:t>
      </w:r>
    </w:p>
    <w:p>
      <w:pPr>
        <w:autoSpaceDE w:val="0"/>
        <w:autoSpaceDN w:val="0"/>
        <w:jc w:val="left"/>
        <w:spacing w:before="57" w:after="0" w:lineRule="auto" w:line="240"/>
        <w:ind w:right="0" w:left="1649" w:hanging="263"/>
        <w:snapToGrid w:val="0"/>
        <w:textAlignment w:val="auto"/>
        <w:tabs>
          <w:tab w:val="left" w:leader="none" w:pos="1648"/>
        </w:tabs>
        <w:numPr>
          <w:ilvl w:val="0"/>
          <w:numId w:val="310"/>
        </w:numPr>
        <w:rPr>
          <w:rFonts w:ascii="Times New Roman" w:hAnsi="Times New Roman" w:cs="Times New Roman" w:eastAsia="Times New Roman" w:hint="ascii"/>
          <w:sz w:val="21"/>
        </w:rPr>
      </w:pPr>
      <w:r>
        <w:rPr>
          <w:rFonts w:ascii="宋体" w:hAnsi="宋体" w:cs="宋体" w:eastAsia="宋体" w:hint="ascii"/>
          <w:sz w:val="21"/>
        </w:rPr>
        <w:t>智能汽车多传感器信息融合技术研究（申请代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F030612</w:t>
      </w:r>
      <w:r>
        <w:rPr>
          <w:rFonts w:ascii="宋体" w:hAnsi="宋体" w:cs="宋体" w:eastAsia="宋体" w:hint="ascii"/>
          <w:sz w:val="21"/>
        </w:rPr>
        <w:t>）</w:t>
      </w:r>
    </w:p>
    <w:p>
      <w:pPr>
        <w:autoSpaceDE w:val="0"/>
        <w:autoSpaceDN w:val="0"/>
        <w:jc w:val="left"/>
        <w:spacing w:before="57" w:after="0" w:lineRule="auto" w:line="240"/>
        <w:ind w:right="0" w:left="1649" w:hanging="263"/>
        <w:snapToGrid w:val="0"/>
        <w:textAlignment w:val="auto"/>
        <w:tabs>
          <w:tab w:val="left" w:leader="none" w:pos="1648"/>
        </w:tabs>
        <w:numPr>
          <w:ilvl w:val="0"/>
          <w:numId w:val="310"/>
        </w:numPr>
        <w:rPr>
          <w:rFonts w:ascii="Times New Roman" w:hAnsi="Times New Roman" w:cs="Times New Roman" w:eastAsia="Times New Roman" w:hint="ascii"/>
          <w:sz w:val="21"/>
        </w:rPr>
      </w:pPr>
      <w:r>
        <w:rPr>
          <w:rFonts w:ascii="宋体" w:hAnsi="宋体" w:cs="宋体" w:eastAsia="宋体" w:hint="ascii"/>
          <w:sz w:val="21"/>
        </w:rPr>
        <w:t>智能汽车复杂环境感知理解理论与方法（申请代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F0603</w:t>
      </w:r>
      <w:r>
        <w:rPr>
          <w:rFonts w:ascii="宋体" w:hAnsi="宋体" w:cs="宋体" w:eastAsia="宋体" w:hint="ascii"/>
          <w:sz w:val="21"/>
        </w:rPr>
        <w:t>）</w:t>
      </w:r>
    </w:p>
    <w:p>
      <w:pPr>
        <w:autoSpaceDE w:val="0"/>
        <w:autoSpaceDN w:val="0"/>
        <w:jc w:val="left"/>
        <w:spacing w:before="57" w:after="0" w:lineRule="auto" w:line="240"/>
        <w:ind w:right="0" w:left="1649" w:hanging="263"/>
        <w:snapToGrid w:val="0"/>
        <w:textAlignment w:val="auto"/>
        <w:tabs>
          <w:tab w:val="left" w:leader="none" w:pos="1648"/>
        </w:tabs>
        <w:numPr>
          <w:ilvl w:val="0"/>
          <w:numId w:val="310"/>
        </w:numPr>
        <w:rPr>
          <w:rFonts w:ascii="Times New Roman" w:hAnsi="Times New Roman" w:cs="Times New Roman" w:eastAsia="Times New Roman" w:hint="ascii"/>
          <w:sz w:val="21"/>
        </w:rPr>
      </w:pPr>
      <w:r>
        <w:rPr>
          <w:rFonts w:ascii="宋体" w:hAnsi="宋体" w:cs="宋体" w:eastAsia="宋体" w:hint="ascii"/>
          <w:sz w:val="21"/>
        </w:rPr>
        <w:t>基于路况预测的电动汽车智能能量管理（申请代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F0606</w:t>
      </w:r>
      <w:r>
        <w:rPr>
          <w:rFonts w:ascii="宋体" w:hAnsi="宋体" w:cs="宋体" w:eastAsia="宋体" w:hint="ascii"/>
          <w:sz w:val="21"/>
        </w:rPr>
        <w:t>）</w:t>
      </w:r>
    </w:p>
    <w:p>
      <w:pPr>
        <w:autoSpaceDE w:val="0"/>
        <w:autoSpaceDN w:val="0"/>
        <w:jc w:val="left"/>
        <w:spacing w:before="57" w:after="0" w:lineRule="auto" w:line="240"/>
        <w:ind w:right="0" w:left="1648" w:hanging="263"/>
        <w:snapToGrid w:val="0"/>
        <w:textAlignment w:val="auto"/>
        <w:tabs>
          <w:tab w:val="left" w:leader="none" w:pos="1648"/>
        </w:tabs>
        <w:numPr>
          <w:ilvl w:val="0"/>
          <w:numId w:val="310"/>
        </w:numPr>
        <w:rPr>
          <w:rFonts w:ascii="Times New Roman" w:hAnsi="Times New Roman" w:cs="Times New Roman" w:eastAsia="Times New Roman" w:hint="ascii"/>
          <w:sz w:val="21"/>
        </w:rPr>
      </w:pPr>
      <w:r>
        <w:rPr>
          <w:rFonts w:ascii="宋体" w:hAnsi="宋体" w:cs="宋体" w:eastAsia="宋体" w:hint="ascii"/>
          <w:sz w:val="21"/>
        </w:rPr>
        <w:t>融合多源信息的汽车智能悬架设计理论与方法（申请代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F0606</w:t>
      </w:r>
      <w:r>
        <w:rPr>
          <w:rFonts w:ascii="宋体" w:hAnsi="宋体" w:cs="宋体" w:eastAsia="宋体" w:hint="ascii"/>
          <w:sz w:val="21"/>
        </w:rPr>
        <w:t>）</w:t>
      </w:r>
    </w:p>
    <w:p>
      <w:pPr>
        <w:autoSpaceDE w:val="0"/>
        <w:autoSpaceDN w:val="0"/>
        <w:jc w:val="left"/>
        <w:spacing w:before="57" w:after="0" w:lineRule="auto" w:line="240"/>
        <w:ind w:right="0" w:left="1648" w:hanging="263"/>
        <w:snapToGrid w:val="0"/>
        <w:textAlignment w:val="auto"/>
        <w:tabs>
          <w:tab w:val="left" w:leader="none" w:pos="1648"/>
        </w:tabs>
        <w:numPr>
          <w:ilvl w:val="0"/>
          <w:numId w:val="310"/>
        </w:numPr>
        <w:rPr>
          <w:rFonts w:ascii="Times New Roman" w:hAnsi="Times New Roman" w:cs="Times New Roman" w:eastAsia="Times New Roman" w:hint="ascii"/>
          <w:sz w:val="21"/>
        </w:rPr>
      </w:pPr>
      <w:r>
        <w:rPr>
          <w:rFonts w:ascii="宋体" w:hAnsi="宋体" w:cs="宋体" w:eastAsia="宋体" w:hint="ascii"/>
          <w:sz w:val="21"/>
        </w:rPr>
        <w:t>动力电池智能管理的信息物理融合云系统（申请代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F0304</w:t>
      </w:r>
      <w:r>
        <w:rPr>
          <w:rFonts w:ascii="宋体" w:hAnsi="宋体" w:cs="宋体" w:eastAsia="宋体" w:hint="ascii"/>
          <w:sz w:val="21"/>
        </w:rPr>
        <w:t>）</w:t>
      </w:r>
    </w:p>
    <w:p>
      <w:pPr>
        <w:autoSpaceDE w:val="0"/>
        <w:autoSpaceDN w:val="0"/>
        <w:jc w:val="left"/>
        <w:spacing w:before="181"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二、轻量化方向</w:t>
      </w:r>
    </w:p>
    <w:p>
      <w:pPr>
        <w:autoSpaceDE w:val="0"/>
        <w:autoSpaceDN w:val="0"/>
        <w:jc w:val="left"/>
        <w:spacing w:before="197" w:after="0" w:lineRule="auto" w:line="240"/>
        <w:ind w:right="0" w:left="966" w:firstLine="420"/>
        <w:snapToGrid w:val="0"/>
        <w:textAlignment w:val="auto"/>
        <w:tabs>
          <w:tab w:val="left" w:leader="none" w:pos="1648"/>
        </w:tabs>
        <w:numPr>
          <w:ilvl w:val="0"/>
          <w:numId w:val="311"/>
        </w:numPr>
        <w:rPr>
          <w:rFonts w:ascii="Times New Roman" w:hAnsi="Times New Roman" w:cs="Times New Roman" w:eastAsia="Times New Roman" w:hint="ascii"/>
          <w:sz w:val="21"/>
        </w:rPr>
      </w:pPr>
      <w:r>
        <w:rPr>
          <w:rFonts w:ascii="宋体" w:hAnsi="宋体" w:cs="宋体" w:eastAsia="宋体" w:hint="ascii"/>
          <w:sz w:val="21"/>
          <w:spacing w:val="-5"/>
        </w:rPr>
        <w:t>高强高韧汽车钢组织与性能调控研究（申请代</w:t>
      </w:r>
      <w:r>
        <w:rPr>
          <w:rFonts w:ascii="宋体" w:hAnsi="宋体" w:cs="宋体" w:eastAsia="宋体" w:hint="ascii"/>
          <w:sz w:val="21"/>
          <w:spacing w:val="20"/>
        </w:rPr>
        <w:t>码</w:t>
      </w:r>
      <w:r>
        <w:rPr>
          <w:rFonts w:ascii="Times New Roman" w:hAnsi="Times New Roman" w:cs="Times New Roman" w:eastAsia="Times New Roman" w:hint="ascii"/>
          <w:b w:val="1"/>
          <w:sz w:val="21"/>
          <w:spacing w:val="44"/>
        </w:rPr>
        <w:t>1</w:t>
      </w:r>
      <w:r>
        <w:rPr>
          <w:rFonts w:ascii="宋体" w:hAnsi="宋体" w:cs="宋体" w:eastAsia="宋体" w:hint="ascii"/>
          <w:sz w:val="21"/>
          <w:spacing w:val="-5"/>
        </w:rPr>
        <w:t>选</w:t>
      </w:r>
      <w:r>
        <w:rPr>
          <w:rFonts w:ascii="宋体" w:hAnsi="宋体" w:cs="宋体" w:eastAsia="宋体" w:hint="ascii"/>
          <w:sz w:val="21"/>
          <w:spacing w:val="20"/>
        </w:rPr>
        <w:t>择</w:t>
      </w:r>
      <w:r>
        <w:rPr>
          <w:rFonts w:ascii="Times New Roman" w:hAnsi="Times New Roman" w:cs="Times New Roman" w:eastAsia="Times New Roman" w:hint="ascii"/>
          <w:b w:val="1"/>
          <w:sz w:val="21"/>
          <w:spacing w:val="-6"/>
        </w:rPr>
        <w:t>E0</w:t>
      </w:r>
      <w:r>
        <w:rPr>
          <w:rFonts w:ascii="Times New Roman" w:hAnsi="Times New Roman" w:cs="Times New Roman" w:eastAsia="Times New Roman" w:hint="ascii"/>
          <w:b w:val="1"/>
          <w:sz w:val="21"/>
          <w:spacing w:val="45"/>
        </w:rPr>
        <w:t>4</w:t>
      </w:r>
      <w:r>
        <w:rPr>
          <w:rFonts w:ascii="宋体" w:hAnsi="宋体" w:cs="宋体" w:eastAsia="宋体" w:hint="ascii"/>
          <w:sz w:val="21"/>
          <w:spacing w:val="20"/>
        </w:rPr>
        <w:t>或</w:t>
      </w:r>
      <w:r>
        <w:rPr>
          <w:rFonts w:ascii="Times New Roman" w:hAnsi="Times New Roman" w:cs="Times New Roman" w:eastAsia="Times New Roman" w:hint="ascii"/>
          <w:b w:val="1"/>
          <w:sz w:val="21"/>
          <w:spacing w:val="-6"/>
        </w:rPr>
        <w:t>E0</w:t>
      </w:r>
      <w:r>
        <w:rPr>
          <w:rFonts w:ascii="Times New Roman" w:hAnsi="Times New Roman" w:cs="Times New Roman" w:eastAsia="Times New Roman" w:hint="ascii"/>
          <w:b w:val="1"/>
          <w:sz w:val="21"/>
          <w:spacing w:val="45"/>
        </w:rPr>
        <w:t>1</w:t>
      </w:r>
      <w:r>
        <w:rPr>
          <w:rFonts w:ascii="宋体" w:hAnsi="宋体" w:cs="宋体" w:eastAsia="宋体" w:hint="ascii"/>
          <w:sz w:val="21"/>
          <w:spacing w:val="-5"/>
        </w:rPr>
        <w:t>的下属代码</w:t>
      </w:r>
      <w:r>
        <w:rPr>
          <w:rFonts w:ascii="宋体" w:hAnsi="宋体" w:cs="宋体" w:eastAsia="宋体" w:hint="ascii"/>
          <w:sz w:val="21"/>
        </w:rPr>
        <w:t>）</w:t>
      </w:r>
    </w:p>
    <w:p>
      <w:pPr>
        <w:autoSpaceDE w:val="0"/>
        <w:autoSpaceDN w:val="0"/>
        <w:jc w:val="both"/>
        <w:spacing w:before="17" w:after="0" w:lineRule="exact" w:line="312"/>
        <w:ind w:right="963" w:left="966" w:firstLine="420"/>
        <w:snapToGrid w:val="0"/>
        <w:textAlignment w:val="auto"/>
        <w:tabs>
          <w:tab w:val="left" w:leader="none" w:pos="1648"/>
        </w:tabs>
        <w:numPr>
          <w:ilvl w:val="0"/>
          <w:numId w:val="311"/>
        </w:numPr>
        <w:rPr>
          <w:rFonts w:ascii="Times New Roman" w:hAnsi="Times New Roman" w:cs="Times New Roman" w:eastAsia="Times New Roman" w:hint="ascii"/>
          <w:sz w:val="21"/>
        </w:rPr>
      </w:pPr>
      <w:r>
        <w:rPr>
          <w:rFonts w:ascii="宋体" w:hAnsi="宋体" w:cs="宋体" w:eastAsia="宋体" w:hint="ascii"/>
          <w:sz w:val="21"/>
          <w:spacing w:val="-1"/>
        </w:rPr>
        <w:t>乘用车底盘用高强高韧铝合金组织性</w:t>
      </w:r>
      <w:r>
        <w:rPr>
          <w:rFonts w:ascii="宋体" w:hAnsi="宋体" w:cs="宋体" w:eastAsia="宋体" w:hint="ascii"/>
          <w:sz w:val="21"/>
        </w:rPr>
        <w:t xml:space="preserve">能调控与关键技术（申请代码 </w:t>
      </w:r>
      <w:r>
        <w:rPr>
          <w:rFonts w:ascii="Times New Roman" w:hAnsi="Times New Roman" w:cs="Times New Roman" w:eastAsia="Times New Roman" w:hint="ascii"/>
          <w:b w:val="1"/>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b w:val="1"/>
          <w:sz w:val="21"/>
        </w:rPr>
        <w:t xml:space="preserve">E01 </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4</w:t>
      </w:r>
      <w:r>
        <w:rPr>
          <w:rFonts w:ascii="宋体" w:hAnsi="宋体" w:cs="宋体" w:eastAsia="宋体" w:hint="ascii"/>
          <w:sz w:val="21"/>
        </w:rPr>
        <w:t>的下属代码）</w:t>
      </w:r>
    </w:p>
    <w:p>
      <w:pPr>
        <w:autoSpaceDE w:val="0"/>
        <w:autoSpaceDN w:val="0"/>
        <w:jc w:val="left"/>
        <w:spacing w:before="40" w:after="0" w:lineRule="auto" w:line="240"/>
        <w:ind w:right="0" w:left="966" w:firstLine="420"/>
        <w:snapToGrid w:val="0"/>
        <w:textAlignment w:val="auto"/>
        <w:tabs>
          <w:tab w:val="left" w:leader="none" w:pos="1648"/>
        </w:tabs>
        <w:numPr>
          <w:ilvl w:val="0"/>
          <w:numId w:val="311"/>
        </w:numPr>
        <w:rPr>
          <w:rFonts w:ascii="Times New Roman" w:hAnsi="Times New Roman" w:cs="Times New Roman" w:eastAsia="Times New Roman" w:hint="ascii"/>
          <w:sz w:val="21"/>
        </w:rPr>
      </w:pPr>
      <w:r>
        <w:rPr>
          <w:rFonts w:ascii="宋体" w:hAnsi="宋体" w:cs="宋体" w:eastAsia="宋体" w:hint="ascii"/>
          <w:sz w:val="21"/>
          <w:spacing w:val="-5"/>
        </w:rPr>
        <w:t>汽车用超高强度钢产业化应用基础研究（申请代</w:t>
      </w:r>
      <w:r>
        <w:rPr>
          <w:rFonts w:ascii="宋体" w:hAnsi="宋体" w:cs="宋体" w:eastAsia="宋体" w:hint="ascii"/>
          <w:sz w:val="21"/>
          <w:spacing w:val="20"/>
        </w:rPr>
        <w:t>码</w:t>
      </w:r>
      <w:r>
        <w:rPr>
          <w:rFonts w:ascii="Times New Roman" w:hAnsi="Times New Roman" w:cs="Times New Roman" w:eastAsia="Times New Roman" w:hint="ascii"/>
          <w:b w:val="1"/>
          <w:sz w:val="21"/>
          <w:spacing w:val="45"/>
        </w:rPr>
        <w:t>1</w:t>
      </w:r>
      <w:r>
        <w:rPr>
          <w:rFonts w:ascii="宋体" w:hAnsi="宋体" w:cs="宋体" w:eastAsia="宋体" w:hint="ascii"/>
          <w:sz w:val="21"/>
          <w:spacing w:val="-5"/>
        </w:rPr>
        <w:t>选</w:t>
      </w:r>
      <w:r>
        <w:rPr>
          <w:rFonts w:ascii="宋体" w:hAnsi="宋体" w:cs="宋体" w:eastAsia="宋体" w:hint="ascii"/>
          <w:sz w:val="21"/>
          <w:spacing w:val="20"/>
        </w:rPr>
        <w:t>择</w:t>
      </w:r>
      <w:r>
        <w:rPr>
          <w:rFonts w:ascii="Times New Roman" w:hAnsi="Times New Roman" w:cs="Times New Roman" w:eastAsia="Times New Roman" w:hint="ascii"/>
          <w:b w:val="1"/>
          <w:sz w:val="21"/>
          <w:spacing w:val="-6"/>
        </w:rPr>
        <w:t>E0</w:t>
      </w:r>
      <w:r>
        <w:rPr>
          <w:rFonts w:ascii="Times New Roman" w:hAnsi="Times New Roman" w:cs="Times New Roman" w:eastAsia="Times New Roman" w:hint="ascii"/>
          <w:b w:val="1"/>
          <w:sz w:val="21"/>
          <w:spacing w:val="45"/>
        </w:rPr>
        <w:t>4</w:t>
      </w:r>
      <w:r>
        <w:rPr>
          <w:rFonts w:ascii="宋体" w:hAnsi="宋体" w:cs="宋体" w:eastAsia="宋体" w:hint="ascii"/>
          <w:sz w:val="21"/>
          <w:spacing w:val="20"/>
        </w:rPr>
        <w:t>或</w:t>
      </w:r>
      <w:r>
        <w:rPr>
          <w:rFonts w:ascii="Times New Roman" w:hAnsi="Times New Roman" w:cs="Times New Roman" w:eastAsia="Times New Roman" w:hint="ascii"/>
          <w:b w:val="1"/>
          <w:sz w:val="21"/>
          <w:spacing w:val="-6"/>
        </w:rPr>
        <w:t>E</w:t>
      </w:r>
      <w:r>
        <w:rPr>
          <w:rFonts w:ascii="Times New Roman" w:hAnsi="Times New Roman" w:cs="Times New Roman" w:eastAsia="Times New Roman" w:hint="ascii"/>
          <w:b w:val="1"/>
          <w:sz w:val="21"/>
        </w:rPr>
        <w:t>0</w:t>
      </w:r>
      <w:r>
        <w:rPr>
          <w:rFonts w:ascii="Times New Roman" w:hAnsi="Times New Roman" w:cs="Times New Roman" w:eastAsia="Times New Roman" w:hint="ascii"/>
          <w:b w:val="1"/>
          <w:sz w:val="21"/>
          <w:spacing w:val="45"/>
        </w:rPr>
        <w:t>1</w:t>
      </w:r>
      <w:r>
        <w:rPr>
          <w:rFonts w:ascii="宋体" w:hAnsi="宋体" w:cs="宋体" w:eastAsia="宋体" w:hint="ascii"/>
          <w:sz w:val="21"/>
          <w:spacing w:val="-5"/>
        </w:rPr>
        <w:t>的下属代码</w:t>
      </w:r>
      <w:r>
        <w:rPr>
          <w:rFonts w:ascii="宋体" w:hAnsi="宋体" w:cs="宋体" w:eastAsia="宋体" w:hint="ascii"/>
          <w:sz w:val="21"/>
        </w:rPr>
        <w:t>）</w:t>
      </w:r>
    </w:p>
    <w:p>
      <w:pPr>
        <w:autoSpaceDE w:val="0"/>
        <w:autoSpaceDN w:val="0"/>
        <w:jc w:val="left"/>
        <w:spacing w:before="57" w:after="0" w:lineRule="auto" w:line="240"/>
        <w:ind w:right="0" w:left="966" w:firstLine="420"/>
        <w:snapToGrid w:val="0"/>
        <w:textAlignment w:val="auto"/>
        <w:tabs>
          <w:tab w:val="left" w:leader="none" w:pos="1653"/>
        </w:tabs>
        <w:numPr>
          <w:ilvl w:val="0"/>
          <w:numId w:val="311"/>
        </w:numPr>
        <w:rPr>
          <w:rFonts w:ascii="Times New Roman" w:hAnsi="Times New Roman" w:cs="Times New Roman" w:eastAsia="Times New Roman" w:hint="ascii"/>
          <w:sz w:val="21"/>
        </w:rPr>
      </w:pPr>
      <w:r>
        <w:rPr>
          <w:rFonts w:ascii="宋体" w:hAnsi="宋体" w:cs="宋体" w:eastAsia="宋体" w:hint="ascii"/>
          <w:sz w:val="21"/>
        </w:rPr>
        <w:t>高性能纤维增强复合材料汽车零部件低成本制造、服役性能与材料结构</w:t>
      </w:r>
      <w:r>
        <w:rPr>
          <w:rFonts w:ascii="宋体" w:hAnsi="宋体" w:cs="宋体" w:eastAsia="宋体" w:hint="ascii"/>
          <w:sz w:val="21"/>
          <w:spacing w:val="3"/>
        </w:rPr>
        <w:t>调控</w:t>
      </w:r>
      <w:r>
        <w:rPr>
          <w:rFonts w:ascii="宋体" w:hAnsi="宋体" w:cs="宋体" w:eastAsia="宋体" w:hint="ascii"/>
          <w:sz w:val="21"/>
        </w:rPr>
        <w:t>研</w:t>
      </w:r>
    </w:p>
    <w:p>
      <w:pPr>
        <w:autoSpaceDE w:val="0"/>
        <w:autoSpaceDN w:val="0"/>
        <w:jc w:val="left"/>
        <w:spacing w:before="299"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E02</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3</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5</w:t>
      </w:r>
      <w:r>
        <w:rPr>
          <w:rFonts w:ascii="宋体" w:hAnsi="宋体" w:cs="宋体" w:eastAsia="宋体" w:hint="ascii"/>
          <w:sz w:val="21"/>
        </w:rPr>
        <w:t>的下属代码）</w:t>
      </w:r>
      <w:r>
        <w:rPr>
          <w:rFonts w:ascii="宋体" w:hAnsi="宋体" w:cs="宋体" w:eastAsia="宋体" w:hint="ascii"/>
          <w:sz w:val="21"/>
        </w:rPr>
        <mc:AlternateContent>
          <mc:Choice Requires="wps">
            <w:drawing>
              <wp:anchor distL="0" distR="0" distT="0" distB="0" simplePos="0" behindDoc="1" relativeHeight="278" locked="0" layoutInCell="1" allowOverlap="1">
                <wp:simplePos x="0" y="0"/>
                <wp:positionH relativeFrom="page">
                  <wp:posOffset>938530</wp:posOffset>
                </wp:positionH>
                <wp:positionV relativeFrom="page">
                  <wp:posOffset>805815</wp:posOffset>
                </wp:positionV>
                <wp:extent cx="5076190" cy="0"/>
                <wp:wrapNone/>
                <wp:docPr id="1307" name="130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73568;width:399.70pt;" id="130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49" w:after="0" w:lineRule="auto" w:line="293"/>
        <w:ind w:right="964" w:left="966" w:firstLine="420"/>
        <w:snapToGrid w:val="0"/>
        <w:textAlignment w:val="auto"/>
        <w:tabs>
          <w:tab w:val="left" w:leader="none" w:pos="1662"/>
        </w:tabs>
        <w:numPr>
          <w:ilvl w:val="0"/>
          <w:numId w:val="311"/>
        </w:numPr>
        <w:rPr>
          <w:rFonts w:ascii="Times New Roman" w:hAnsi="Times New Roman" w:cs="Times New Roman" w:eastAsia="Times New Roman" w:hint="ascii"/>
          <w:sz w:val="21"/>
        </w:rPr>
      </w:pPr>
      <w:r>
        <w:rPr>
          <w:rFonts w:ascii="宋体" w:hAnsi="宋体" w:cs="宋体" w:eastAsia="宋体" w:hint="ascii"/>
          <w:sz w:val="21"/>
          <w:spacing w:val="1"/>
        </w:rPr>
        <w:t>车</w:t>
      </w:r>
      <w:r>
        <w:rPr>
          <w:rFonts w:ascii="宋体" w:hAnsi="宋体" w:cs="宋体" w:eastAsia="宋体" w:hint="ascii"/>
          <w:sz w:val="21"/>
          <w:spacing w:val="2"/>
        </w:rPr>
        <w:t>身</w:t>
      </w:r>
      <w:r>
        <w:rPr>
          <w:rFonts w:ascii="宋体" w:hAnsi="宋体" w:cs="宋体" w:eastAsia="宋体" w:hint="ascii"/>
          <w:sz w:val="21"/>
          <w:spacing w:val="1"/>
        </w:rPr>
        <w:t>碳纤</w:t>
      </w:r>
      <w:r>
        <w:rPr>
          <w:rFonts w:ascii="宋体" w:hAnsi="宋体" w:cs="宋体" w:eastAsia="宋体" w:hint="ascii"/>
          <w:sz w:val="21"/>
          <w:spacing w:val="2"/>
        </w:rPr>
        <w:t>维</w:t>
      </w:r>
      <w:r>
        <w:rPr>
          <w:rFonts w:ascii="宋体" w:hAnsi="宋体" w:cs="宋体" w:eastAsia="宋体" w:hint="ascii"/>
          <w:sz w:val="21"/>
          <w:spacing w:val="1"/>
        </w:rPr>
        <w:t>复</w:t>
      </w:r>
      <w:r>
        <w:rPr>
          <w:rFonts w:ascii="宋体" w:hAnsi="宋体" w:cs="宋体" w:eastAsia="宋体" w:hint="ascii"/>
          <w:sz w:val="21"/>
          <w:spacing w:val="2"/>
        </w:rPr>
        <w:t>合</w:t>
      </w:r>
      <w:r>
        <w:rPr>
          <w:rFonts w:ascii="宋体" w:hAnsi="宋体" w:cs="宋体" w:eastAsia="宋体" w:hint="ascii"/>
          <w:sz w:val="21"/>
          <w:spacing w:val="1"/>
        </w:rPr>
        <w:t>材</w:t>
      </w:r>
      <w:r>
        <w:rPr>
          <w:rFonts w:ascii="宋体" w:hAnsi="宋体" w:cs="宋体" w:eastAsia="宋体" w:hint="ascii"/>
          <w:sz w:val="21"/>
          <w:spacing w:val="2"/>
        </w:rPr>
        <w:t>料</w:t>
      </w:r>
      <w:r>
        <w:rPr>
          <w:rFonts w:ascii="Times New Roman" w:hAnsi="Times New Roman" w:cs="Times New Roman" w:eastAsia="Times New Roman" w:hint="ascii"/>
          <w:b w:val="1"/>
          <w:sz w:val="21"/>
          <w:spacing w:val="13"/>
        </w:rPr>
        <w:t>/</w:t>
      </w:r>
      <w:r>
        <w:rPr>
          <w:rFonts w:ascii="宋体" w:hAnsi="宋体" w:cs="宋体" w:eastAsia="宋体" w:hint="ascii"/>
          <w:sz w:val="21"/>
          <w:spacing w:val="2"/>
        </w:rPr>
        <w:t>铝</w:t>
      </w:r>
      <w:r>
        <w:rPr>
          <w:rFonts w:ascii="宋体" w:hAnsi="宋体" w:cs="宋体" w:eastAsia="宋体" w:hint="ascii"/>
          <w:sz w:val="21"/>
          <w:spacing w:val="1"/>
        </w:rPr>
        <w:t>合</w:t>
      </w:r>
      <w:r>
        <w:rPr>
          <w:rFonts w:ascii="宋体" w:hAnsi="宋体" w:cs="宋体" w:eastAsia="宋体" w:hint="ascii"/>
          <w:sz w:val="21"/>
          <w:spacing w:val="2"/>
        </w:rPr>
        <w:t>金</w:t>
      </w:r>
      <w:r>
        <w:rPr>
          <w:rFonts w:ascii="宋体" w:hAnsi="宋体" w:cs="宋体" w:eastAsia="宋体" w:hint="ascii"/>
          <w:sz w:val="21"/>
          <w:spacing w:val="1"/>
        </w:rPr>
        <w:t>粘铆</w:t>
      </w:r>
      <w:r>
        <w:rPr>
          <w:rFonts w:ascii="宋体" w:hAnsi="宋体" w:cs="宋体" w:eastAsia="宋体" w:hint="ascii"/>
          <w:sz w:val="21"/>
          <w:spacing w:val="2"/>
        </w:rPr>
        <w:t>连</w:t>
      </w:r>
      <w:r>
        <w:rPr>
          <w:rFonts w:ascii="宋体" w:hAnsi="宋体" w:cs="宋体" w:eastAsia="宋体" w:hint="ascii"/>
          <w:sz w:val="21"/>
          <w:spacing w:val="1"/>
        </w:rPr>
        <w:t>接</w:t>
      </w:r>
      <w:r>
        <w:rPr>
          <w:rFonts w:ascii="宋体" w:hAnsi="宋体" w:cs="宋体" w:eastAsia="宋体" w:hint="ascii"/>
          <w:sz w:val="21"/>
          <w:spacing w:val="2"/>
        </w:rPr>
        <w:t>结</w:t>
      </w:r>
      <w:r>
        <w:rPr>
          <w:rFonts w:ascii="宋体" w:hAnsi="宋体" w:cs="宋体" w:eastAsia="宋体" w:hint="ascii"/>
          <w:sz w:val="21"/>
          <w:spacing w:val="1"/>
        </w:rPr>
        <w:t>构服</w:t>
      </w:r>
      <w:r>
        <w:rPr>
          <w:rFonts w:ascii="宋体" w:hAnsi="宋体" w:cs="宋体" w:eastAsia="宋体" w:hint="ascii"/>
          <w:sz w:val="21"/>
          <w:spacing w:val="2"/>
        </w:rPr>
        <w:t>役</w:t>
      </w:r>
      <w:r>
        <w:rPr>
          <w:rFonts w:ascii="宋体" w:hAnsi="宋体" w:cs="宋体" w:eastAsia="宋体" w:hint="ascii"/>
          <w:sz w:val="21"/>
          <w:spacing w:val="1"/>
        </w:rPr>
        <w:t>性</w:t>
      </w:r>
      <w:r>
        <w:rPr>
          <w:rFonts w:ascii="宋体" w:hAnsi="宋体" w:cs="宋体" w:eastAsia="宋体" w:hint="ascii"/>
          <w:sz w:val="21"/>
          <w:spacing w:val="2"/>
        </w:rPr>
        <w:t>能</w:t>
      </w:r>
      <w:r>
        <w:rPr>
          <w:rFonts w:ascii="宋体" w:hAnsi="宋体" w:cs="宋体" w:eastAsia="宋体" w:hint="ascii"/>
          <w:sz w:val="21"/>
          <w:spacing w:val="1"/>
        </w:rPr>
        <w:t>研究</w:t>
      </w:r>
      <w:r>
        <w:rPr>
          <w:rFonts w:ascii="宋体" w:hAnsi="宋体" w:cs="宋体" w:eastAsia="宋体" w:hint="ascii"/>
          <w:sz w:val="21"/>
          <w:spacing w:val="2"/>
        </w:rPr>
        <w:t>（</w:t>
      </w:r>
      <w:r>
        <w:rPr>
          <w:rFonts w:ascii="宋体" w:hAnsi="宋体" w:cs="宋体" w:eastAsia="宋体" w:hint="ascii"/>
          <w:sz w:val="21"/>
          <w:spacing w:val="1"/>
        </w:rPr>
        <w:t>申</w:t>
      </w:r>
      <w:r>
        <w:rPr>
          <w:rFonts w:ascii="宋体" w:hAnsi="宋体" w:cs="宋体" w:eastAsia="宋体" w:hint="ascii"/>
          <w:sz w:val="21"/>
          <w:spacing w:val="2"/>
        </w:rPr>
        <w:t>请</w:t>
      </w:r>
      <w:r>
        <w:rPr>
          <w:rFonts w:ascii="宋体" w:hAnsi="宋体" w:cs="宋体" w:eastAsia="宋体" w:hint="ascii"/>
          <w:sz w:val="21"/>
          <w:spacing w:val="1"/>
        </w:rPr>
        <w:t>代</w:t>
      </w:r>
      <w:r>
        <w:rPr>
          <w:rFonts w:ascii="宋体" w:hAnsi="宋体" w:cs="宋体" w:eastAsia="宋体" w:hint="ascii"/>
          <w:sz w:val="21"/>
          <w:spacing w:val="-5"/>
        </w:rPr>
        <w:t>码</w:t>
      </w:r>
      <w:r>
        <w:rPr>
          <w:rFonts w:ascii="宋体" w:hAnsi="宋体" w:cs="宋体" w:eastAsia="宋体" w:hint="ascii"/>
          <w:sz w:val="21"/>
          <w:spacing w:val="1"/>
        </w:rPr>
        <w:t xml:space="preserve"> </w:t>
      </w:r>
      <w:r>
        <w:rPr>
          <w:rFonts w:ascii="Times New Roman" w:hAnsi="Times New Roman" w:cs="Times New Roman" w:eastAsia="Times New Roman" w:hint="ascii"/>
          <w:b w:val="1"/>
          <w:sz w:val="21"/>
        </w:rPr>
        <w:t>1</w:t>
      </w:r>
      <w:r>
        <w:rPr>
          <w:rFonts w:ascii="Times New Roman" w:hAnsi="Times New Roman" w:cs="Times New Roman" w:eastAsia="Times New Roman" w:hint="ascii"/>
          <w:b w:val="1"/>
          <w:sz w:val="21"/>
          <w:spacing w:val="1"/>
        </w:rPr>
        <w:t xml:space="preserve"> </w:t>
      </w:r>
      <w:r>
        <w:rPr>
          <w:rFonts w:ascii="宋体" w:hAnsi="宋体" w:cs="宋体" w:eastAsia="宋体" w:hint="ascii"/>
          <w:sz w:val="21"/>
        </w:rPr>
        <w:t>选</w:t>
      </w:r>
      <w:r>
        <w:rPr>
          <w:rFonts w:ascii="宋体" w:hAnsi="宋体" w:cs="宋体" w:eastAsia="宋体" w:hint="ascii"/>
          <w:sz w:val="21"/>
          <w:spacing w:val="-11"/>
        </w:rPr>
        <w:t>择</w:t>
      </w:r>
      <w:r>
        <w:rPr>
          <w:rFonts w:ascii="Times New Roman" w:hAnsi="Times New Roman" w:cs="Times New Roman" w:eastAsia="Times New Roman" w:hint="ascii"/>
          <w:b w:val="1"/>
          <w:sz w:val="21"/>
        </w:rPr>
        <w:t>E05</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2</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3</w:t>
      </w:r>
      <w:r>
        <w:rPr>
          <w:rFonts w:ascii="宋体" w:hAnsi="宋体" w:cs="宋体" w:eastAsia="宋体" w:hint="ascii"/>
          <w:sz w:val="21"/>
        </w:rPr>
        <w:t>的下属代码）</w:t>
      </w:r>
    </w:p>
    <w:p>
      <w:pPr>
        <w:autoSpaceDE w:val="0"/>
        <w:autoSpaceDN w:val="0"/>
        <w:jc w:val="left"/>
        <w:spacing w:before="0" w:after="0" w:lineRule="auto" w:line="240"/>
        <w:ind w:right="0" w:left="966" w:firstLine="420"/>
        <w:snapToGrid w:val="0"/>
        <w:textAlignment w:val="auto"/>
        <w:tabs>
          <w:tab w:val="left" w:leader="none" w:pos="1648"/>
        </w:tabs>
        <w:numPr>
          <w:ilvl w:val="0"/>
          <w:numId w:val="311"/>
        </w:numPr>
        <w:rPr>
          <w:rFonts w:ascii="Times New Roman" w:hAnsi="Times New Roman" w:cs="Times New Roman" w:eastAsia="Times New Roman" w:hint="ascii"/>
          <w:b w:val="1"/>
          <w:sz w:val="21"/>
        </w:rPr>
      </w:pPr>
      <w:r>
        <w:rPr>
          <w:rFonts w:ascii="宋体" w:hAnsi="宋体" w:cs="宋体" w:eastAsia="宋体" w:hint="ascii"/>
          <w:sz w:val="21"/>
        </w:rPr>
        <w:t>多材料汽车车身结构轻量化设计方法研究（申请代码</w:t>
      </w:r>
      <w:r>
        <w:rPr>
          <w:rFonts w:ascii="宋体" w:hAnsi="宋体" w:cs="宋体" w:eastAsia="宋体" w:hint="ascii"/>
          <w:sz w:val="21"/>
          <w:spacing w:val="-5"/>
        </w:rPr>
        <w:t xml:space="preserve"> </w:t>
      </w:r>
      <w:r>
        <w:rPr>
          <w:rFonts w:ascii="Times New Roman" w:hAnsi="Times New Roman" w:cs="Times New Roman" w:eastAsia="Times New Roman" w:hint="ascii"/>
          <w:b w:val="1"/>
          <w:sz w:val="21"/>
        </w:rPr>
        <w:t>1</w:t>
      </w:r>
      <w:r>
        <w:rPr>
          <w:rFonts w:ascii="Times New Roman" w:hAnsi="Times New Roman" w:cs="Times New Roman" w:eastAsia="Times New Roman" w:hint="ascii"/>
          <w:b w:val="1"/>
          <w:sz w:val="21"/>
          <w:spacing w:val="-5"/>
        </w:rPr>
        <w:t xml:space="preserve"> </w:t>
      </w:r>
      <w:r>
        <w:rPr>
          <w:rFonts w:ascii="宋体" w:hAnsi="宋体" w:cs="宋体" w:eastAsia="宋体" w:hint="ascii"/>
          <w:sz w:val="21"/>
        </w:rPr>
        <w:t>选择</w:t>
      </w:r>
      <w:r>
        <w:rPr>
          <w:rFonts w:ascii="宋体" w:hAnsi="宋体" w:cs="宋体" w:eastAsia="宋体" w:hint="ascii"/>
          <w:sz w:val="21"/>
          <w:spacing w:val="-5"/>
        </w:rPr>
        <w:t xml:space="preserve"> </w:t>
      </w:r>
      <w:r>
        <w:rPr>
          <w:rFonts w:ascii="Times New Roman" w:hAnsi="Times New Roman" w:cs="Times New Roman" w:eastAsia="Times New Roman" w:hint="ascii"/>
          <w:b w:val="1"/>
          <w:sz w:val="21"/>
        </w:rPr>
        <w:t>E02</w:t>
      </w:r>
      <w:r>
        <w:rPr>
          <w:rFonts w:ascii="宋体" w:hAnsi="宋体" w:cs="宋体" w:eastAsia="宋体" w:hint="ascii"/>
          <w:sz w:val="21"/>
        </w:rPr>
        <w:t>、</w:t>
      </w:r>
      <w:r>
        <w:rPr>
          <w:rFonts w:ascii="Times New Roman" w:hAnsi="Times New Roman" w:cs="Times New Roman" w:eastAsia="Times New Roman" w:hint="ascii"/>
          <w:b w:val="1"/>
          <w:sz w:val="21"/>
        </w:rPr>
        <w:t>E03</w:t>
      </w:r>
      <w:r>
        <w:rPr>
          <w:rFonts w:ascii="Times New Roman" w:hAnsi="Times New Roman" w:cs="Times New Roman" w:eastAsia="Times New Roman" w:hint="ascii"/>
          <w:b w:val="1"/>
          <w:sz w:val="21"/>
          <w:spacing w:val="-5"/>
        </w:rPr>
        <w:t xml:space="preserve"> </w:t>
      </w:r>
      <w:r>
        <w:rPr>
          <w:rFonts w:ascii="宋体" w:hAnsi="宋体" w:cs="宋体" w:eastAsia="宋体" w:hint="ascii"/>
          <w:sz w:val="21"/>
        </w:rPr>
        <w:t>或</w:t>
      </w:r>
      <w:r>
        <w:rPr>
          <w:rFonts w:ascii="宋体" w:hAnsi="宋体" w:cs="宋体" w:eastAsia="宋体" w:hint="ascii"/>
          <w:sz w:val="21"/>
          <w:spacing w:val="-5"/>
        </w:rPr>
        <w:t xml:space="preserve"> </w:t>
      </w:r>
      <w:r>
        <w:rPr>
          <w:rFonts w:ascii="Times New Roman" w:hAnsi="Times New Roman" w:cs="Times New Roman" w:eastAsia="Times New Roman" w:hint="ascii"/>
          <w:b w:val="1"/>
          <w:sz w:val="21"/>
        </w:rPr>
        <w:t>E05</w:t>
      </w:r>
    </w:p>
    <w:p>
      <w:pPr>
        <w:autoSpaceDE w:val="0"/>
        <w:autoSpaceDN w:val="0"/>
        <w:jc w:val="left"/>
        <w:spacing w:before="5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的下属代码）</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三、电动化方向</w:t>
      </w:r>
    </w:p>
    <w:p>
      <w:pPr>
        <w:autoSpaceDE w:val="0"/>
        <w:autoSpaceDN w:val="0"/>
        <w:jc w:val="both"/>
        <w:spacing w:before="157" w:after="0" w:lineRule="exact" w:line="312"/>
        <w:ind w:right="964" w:left="966" w:firstLine="420"/>
        <w:snapToGrid w:val="0"/>
        <w:textAlignment w:val="auto"/>
        <w:tabs>
          <w:tab w:val="left" w:leader="none" w:pos="1648"/>
        </w:tabs>
        <w:numPr>
          <w:ilvl w:val="0"/>
          <w:numId w:val="312"/>
        </w:numPr>
        <w:rPr>
          <w:rFonts w:ascii="Times New Roman" w:hAnsi="Times New Roman" w:cs="Times New Roman" w:eastAsia="Times New Roman" w:hint="ascii"/>
          <w:sz w:val="21"/>
        </w:rPr>
      </w:pPr>
      <w:r>
        <w:rPr>
          <w:rFonts w:ascii="宋体" w:hAnsi="宋体" w:cs="宋体" w:eastAsia="宋体" w:hint="ascii"/>
          <w:sz w:val="21"/>
          <w:spacing w:val="-1"/>
        </w:rPr>
        <w:t>大尺寸单体动力电池及系统设计方法研究（申请代码</w:t>
      </w:r>
      <w:r>
        <w:rPr>
          <w:rFonts w:ascii="宋体" w:hAnsi="宋体" w:cs="宋体" w:eastAsia="宋体" w:hint="ascii"/>
          <w:sz w:val="21"/>
          <w:spacing w:val="-6"/>
        </w:rPr>
        <w:t xml:space="preserve"> </w:t>
      </w:r>
      <w:r>
        <w:rPr>
          <w:rFonts w:ascii="Times New Roman" w:hAnsi="Times New Roman" w:cs="Times New Roman" w:eastAsia="Times New Roman" w:hint="ascii"/>
          <w:b w:val="1"/>
          <w:sz w:val="21"/>
          <w:spacing w:val="-1"/>
        </w:rPr>
        <w:t>1</w:t>
      </w:r>
      <w:r>
        <w:rPr>
          <w:rFonts w:ascii="Times New Roman" w:hAnsi="Times New Roman" w:cs="Times New Roman" w:eastAsia="Times New Roman" w:hint="ascii"/>
          <w:b w:val="1"/>
          <w:sz w:val="21"/>
          <w:spacing w:val="-6"/>
        </w:rPr>
        <w:t xml:space="preserve"> </w:t>
      </w:r>
      <w:r>
        <w:rPr>
          <w:rFonts w:ascii="宋体" w:hAnsi="宋体" w:cs="宋体" w:eastAsia="宋体" w:hint="ascii"/>
          <w:sz w:val="21"/>
          <w:spacing w:val="-1"/>
        </w:rPr>
        <w:t>选</w:t>
      </w:r>
      <w:r>
        <w:rPr>
          <w:rFonts w:ascii="宋体" w:hAnsi="宋体" w:cs="宋体" w:eastAsia="宋体" w:hint="ascii"/>
          <w:sz w:val="21"/>
        </w:rPr>
        <w:t>择</w:t>
      </w:r>
      <w:r>
        <w:rPr>
          <w:rFonts w:ascii="宋体" w:hAnsi="宋体" w:cs="宋体" w:eastAsia="宋体" w:hint="ascii"/>
          <w:sz w:val="21"/>
          <w:spacing w:val="-5"/>
        </w:rPr>
        <w:t xml:space="preserve"> </w:t>
      </w:r>
      <w:r>
        <w:rPr>
          <w:rFonts w:ascii="Times New Roman" w:hAnsi="Times New Roman" w:cs="Times New Roman" w:eastAsia="Times New Roman" w:hint="ascii"/>
          <w:b w:val="1"/>
          <w:sz w:val="21"/>
        </w:rPr>
        <w:t>E06</w:t>
      </w:r>
      <w:r>
        <w:rPr>
          <w:rFonts w:ascii="宋体" w:hAnsi="宋体" w:cs="宋体" w:eastAsia="宋体" w:hint="ascii"/>
          <w:sz w:val="21"/>
        </w:rPr>
        <w:t>、</w:t>
      </w:r>
      <w:r>
        <w:rPr>
          <w:rFonts w:ascii="Times New Roman" w:hAnsi="Times New Roman" w:cs="Times New Roman" w:eastAsia="Times New Roman" w:hint="ascii"/>
          <w:b w:val="1"/>
          <w:sz w:val="21"/>
        </w:rPr>
        <w:t>E07</w:t>
      </w:r>
      <w:r>
        <w:rPr>
          <w:rFonts w:ascii="Times New Roman" w:hAnsi="Times New Roman" w:cs="Times New Roman" w:eastAsia="Times New Roman" w:hint="ascii"/>
          <w:b w:val="1"/>
          <w:sz w:val="21"/>
          <w:spacing w:val="-5"/>
        </w:rPr>
        <w:t xml:space="preserve"> </w:t>
      </w:r>
      <w:r>
        <w:rPr>
          <w:rFonts w:ascii="宋体" w:hAnsi="宋体" w:cs="宋体" w:eastAsia="宋体" w:hint="ascii"/>
          <w:sz w:val="21"/>
        </w:rPr>
        <w:t>或</w:t>
      </w:r>
      <w:r>
        <w:rPr>
          <w:rFonts w:ascii="宋体" w:hAnsi="宋体" w:cs="宋体" w:eastAsia="宋体" w:hint="ascii"/>
          <w:sz w:val="21"/>
          <w:spacing w:val="-5"/>
        </w:rPr>
        <w:t xml:space="preserve"> </w:t>
      </w:r>
      <w:r>
        <w:rPr>
          <w:rFonts w:ascii="Times New Roman" w:hAnsi="Times New Roman" w:cs="Times New Roman" w:eastAsia="Times New Roman" w:hint="ascii"/>
          <w:b w:val="1"/>
          <w:sz w:val="21"/>
        </w:rPr>
        <w:t xml:space="preserve">E05 </w:t>
      </w:r>
      <w:r>
        <w:rPr>
          <w:rFonts w:ascii="宋体" w:hAnsi="宋体" w:cs="宋体" w:eastAsia="宋体" w:hint="ascii"/>
          <w:sz w:val="21"/>
        </w:rPr>
        <w:t>的下属代码）</w:t>
      </w:r>
    </w:p>
    <w:p>
      <w:pPr>
        <w:autoSpaceDE w:val="0"/>
        <w:autoSpaceDN w:val="0"/>
        <w:jc w:val="both"/>
        <w:spacing w:before="40" w:after="0" w:lineRule="auto" w:line="293"/>
        <w:ind w:right="964" w:left="966" w:firstLine="420"/>
        <w:snapToGrid w:val="0"/>
        <w:textAlignment w:val="auto"/>
        <w:tabs>
          <w:tab w:val="left" w:leader="none" w:pos="1656"/>
        </w:tabs>
        <w:numPr>
          <w:ilvl w:val="0"/>
          <w:numId w:val="312"/>
        </w:numPr>
        <w:rPr>
          <w:rFonts w:ascii="Times New Roman" w:hAnsi="Times New Roman" w:cs="Times New Roman" w:eastAsia="Times New Roman" w:hint="ascii"/>
          <w:sz w:val="21"/>
        </w:rPr>
      </w:pPr>
      <w:r>
        <w:rPr>
          <w:rFonts w:ascii="宋体" w:hAnsi="宋体" w:cs="宋体" w:eastAsia="宋体" w:hint="ascii"/>
          <w:sz w:val="21"/>
        </w:rPr>
        <w:t>多轴分布式驱动串联混合动力重型汽车底盘关键技术研究（申请代</w:t>
      </w:r>
      <w:r>
        <w:rPr>
          <w:rFonts w:ascii="宋体" w:hAnsi="宋体" w:cs="宋体" w:eastAsia="宋体" w:hint="ascii"/>
          <w:sz w:val="21"/>
          <w:spacing w:val="-4"/>
        </w:rPr>
        <w:t>码</w:t>
      </w:r>
      <w:r>
        <w:rPr>
          <w:rFonts w:ascii="宋体" w:hAnsi="宋体" w:cs="宋体" w:eastAsia="宋体" w:hint="ascii"/>
          <w:sz w:val="21"/>
        </w:rPr>
        <w:t xml:space="preserve"> </w:t>
      </w:r>
      <w:r>
        <w:rPr>
          <w:rFonts w:ascii="Times New Roman" w:hAnsi="Times New Roman" w:cs="Times New Roman" w:eastAsia="Times New Roman" w:hint="ascii"/>
          <w:b w:val="1"/>
          <w:sz w:val="21"/>
        </w:rPr>
        <w:t xml:space="preserve">1 </w:t>
      </w:r>
      <w:r>
        <w:rPr>
          <w:rFonts w:ascii="宋体" w:hAnsi="宋体" w:cs="宋体" w:eastAsia="宋体" w:hint="ascii"/>
          <w:sz w:val="21"/>
        </w:rPr>
        <w:t>选</w:t>
      </w:r>
      <w:r>
        <w:rPr>
          <w:rFonts w:ascii="宋体" w:hAnsi="宋体" w:cs="宋体" w:eastAsia="宋体" w:hint="ascii"/>
          <w:sz w:val="21"/>
          <w:spacing w:val="-8"/>
        </w:rPr>
        <w:t>择</w:t>
      </w:r>
      <w:r>
        <w:rPr>
          <w:rFonts w:ascii="宋体" w:hAnsi="宋体" w:cs="宋体" w:eastAsia="宋体" w:hint="ascii"/>
          <w:sz w:val="21"/>
        </w:rPr>
        <w:t xml:space="preserve"> </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5</w:t>
      </w:r>
      <w:r>
        <w:rPr>
          <w:rFonts w:ascii="宋体" w:hAnsi="宋体" w:cs="宋体" w:eastAsia="宋体" w:hint="ascii"/>
          <w:sz w:val="21"/>
        </w:rPr>
        <w:t>的下属代码）</w:t>
      </w:r>
    </w:p>
    <w:p>
      <w:pPr>
        <w:autoSpaceDE w:val="0"/>
        <w:autoSpaceDN w:val="0"/>
        <w:jc w:val="left"/>
        <w:spacing w:before="0" w:after="0" w:lineRule="auto" w:line="240"/>
        <w:ind w:right="0" w:left="966" w:firstLine="420"/>
        <w:snapToGrid w:val="0"/>
        <w:textAlignment w:val="auto"/>
        <w:tabs>
          <w:tab w:val="left" w:leader="none" w:pos="1648"/>
        </w:tabs>
        <w:numPr>
          <w:ilvl w:val="0"/>
          <w:numId w:val="312"/>
        </w:numPr>
        <w:rPr>
          <w:rFonts w:ascii="Times New Roman" w:hAnsi="Times New Roman" w:cs="Times New Roman" w:eastAsia="Times New Roman" w:hint="ascii"/>
          <w:sz w:val="21"/>
        </w:rPr>
      </w:pPr>
      <w:r>
        <w:rPr>
          <w:rFonts w:ascii="宋体" w:hAnsi="宋体" w:cs="宋体" w:eastAsia="宋体" w:hint="ascii"/>
          <w:sz w:val="21"/>
          <w:spacing w:val="-5"/>
        </w:rPr>
        <w:t>基于载荷谱的电动汽车传动系统寿命预测研究（申请代</w:t>
      </w:r>
      <w:r>
        <w:rPr>
          <w:rFonts w:ascii="宋体" w:hAnsi="宋体" w:cs="宋体" w:eastAsia="宋体" w:hint="ascii"/>
          <w:sz w:val="21"/>
          <w:spacing w:val="20"/>
        </w:rPr>
        <w:t>码</w:t>
      </w:r>
      <w:r>
        <w:rPr>
          <w:rFonts w:ascii="Times New Roman" w:hAnsi="Times New Roman" w:cs="Times New Roman" w:eastAsia="Times New Roman" w:hint="ascii"/>
          <w:b w:val="1"/>
          <w:sz w:val="21"/>
          <w:spacing w:val="44"/>
        </w:rPr>
        <w:t>1</w:t>
      </w:r>
      <w:r>
        <w:rPr>
          <w:rFonts w:ascii="宋体" w:hAnsi="宋体" w:cs="宋体" w:eastAsia="宋体" w:hint="ascii"/>
          <w:sz w:val="21"/>
          <w:spacing w:val="-5"/>
        </w:rPr>
        <w:t>选</w:t>
      </w:r>
      <w:r>
        <w:rPr>
          <w:rFonts w:ascii="宋体" w:hAnsi="宋体" w:cs="宋体" w:eastAsia="宋体" w:hint="ascii"/>
          <w:sz w:val="21"/>
          <w:spacing w:val="20"/>
        </w:rPr>
        <w:t>择</w:t>
      </w:r>
      <w:r>
        <w:rPr>
          <w:rFonts w:ascii="Times New Roman" w:hAnsi="Times New Roman" w:cs="Times New Roman" w:eastAsia="Times New Roman" w:hint="ascii"/>
          <w:b w:val="1"/>
          <w:sz w:val="21"/>
          <w:spacing w:val="-6"/>
        </w:rPr>
        <w:t>E0</w:t>
      </w:r>
      <w:r>
        <w:rPr>
          <w:rFonts w:ascii="Times New Roman" w:hAnsi="Times New Roman" w:cs="Times New Roman" w:eastAsia="Times New Roman" w:hint="ascii"/>
          <w:b w:val="1"/>
          <w:sz w:val="21"/>
          <w:spacing w:val="45"/>
        </w:rPr>
        <w:t>5</w:t>
      </w:r>
      <w:r>
        <w:rPr>
          <w:rFonts w:ascii="宋体" w:hAnsi="宋体" w:cs="宋体" w:eastAsia="宋体" w:hint="ascii"/>
          <w:sz w:val="21"/>
          <w:spacing w:val="-5"/>
        </w:rPr>
        <w:t>的下属代码</w:t>
      </w:r>
      <w:r>
        <w:rPr>
          <w:rFonts w:ascii="宋体" w:hAnsi="宋体" w:cs="宋体" w:eastAsia="宋体" w:hint="ascii"/>
          <w:sz w:val="21"/>
        </w:rPr>
        <w:t>）</w:t>
      </w:r>
    </w:p>
    <w:p>
      <w:pPr>
        <w:autoSpaceDE w:val="0"/>
        <w:autoSpaceDN w:val="0"/>
        <w:jc w:val="both"/>
        <w:spacing w:before="57" w:after="0" w:lineRule="auto" w:line="293"/>
        <w:ind w:right="964" w:left="966" w:firstLine="420"/>
        <w:snapToGrid w:val="0"/>
        <w:textAlignment w:val="auto"/>
        <w:tabs>
          <w:tab w:val="left" w:leader="none" w:pos="1656"/>
        </w:tabs>
        <w:numPr>
          <w:ilvl w:val="0"/>
          <w:numId w:val="312"/>
        </w:numPr>
        <w:rPr>
          <w:rFonts w:ascii="Times New Roman" w:hAnsi="Times New Roman" w:cs="Times New Roman" w:eastAsia="Times New Roman" w:hint="ascii"/>
          <w:sz w:val="21"/>
        </w:rPr>
      </w:pPr>
      <w:r>
        <w:rPr>
          <w:rFonts w:ascii="宋体" w:hAnsi="宋体" w:cs="宋体" w:eastAsia="宋体" w:hint="ascii"/>
          <w:sz w:val="21"/>
        </w:rPr>
        <w:t>高比能量固态锂动力电池的界面构建及电荷传输机制研究（申请代</w:t>
      </w:r>
      <w:r>
        <w:rPr>
          <w:rFonts w:ascii="宋体" w:hAnsi="宋体" w:cs="宋体" w:eastAsia="宋体" w:hint="ascii"/>
          <w:sz w:val="21"/>
          <w:spacing w:val="-4"/>
        </w:rPr>
        <w:t>码</w:t>
      </w:r>
      <w:r>
        <w:rPr>
          <w:rFonts w:ascii="宋体" w:hAnsi="宋体" w:cs="宋体" w:eastAsia="宋体" w:hint="ascii"/>
          <w:sz w:val="21"/>
        </w:rPr>
        <w:t xml:space="preserve"> </w:t>
      </w:r>
      <w:r>
        <w:rPr>
          <w:rFonts w:ascii="Times New Roman" w:hAnsi="Times New Roman" w:cs="Times New Roman" w:eastAsia="Times New Roman" w:hint="ascii"/>
          <w:b w:val="1"/>
          <w:sz w:val="21"/>
        </w:rPr>
        <w:t xml:space="preserve">1 </w:t>
      </w:r>
      <w:r>
        <w:rPr>
          <w:rFonts w:ascii="宋体" w:hAnsi="宋体" w:cs="宋体" w:eastAsia="宋体" w:hint="ascii"/>
          <w:sz w:val="21"/>
        </w:rPr>
        <w:t>选</w:t>
      </w:r>
      <w:r>
        <w:rPr>
          <w:rFonts w:ascii="宋体" w:hAnsi="宋体" w:cs="宋体" w:eastAsia="宋体" w:hint="ascii"/>
          <w:sz w:val="21"/>
          <w:spacing w:val="-8"/>
        </w:rPr>
        <w:t>择</w:t>
      </w:r>
      <w:r>
        <w:rPr>
          <w:rFonts w:ascii="宋体" w:hAnsi="宋体" w:cs="宋体" w:eastAsia="宋体" w:hint="ascii"/>
          <w:sz w:val="21"/>
        </w:rPr>
        <w:t xml:space="preserve"> </w:t>
      </w:r>
      <w:r>
        <w:rPr>
          <w:rFonts w:ascii="Times New Roman" w:hAnsi="Times New Roman" w:cs="Times New Roman" w:eastAsia="Times New Roman" w:hint="ascii"/>
          <w:b w:val="1"/>
          <w:sz w:val="21"/>
        </w:rPr>
        <w:t>E02</w:t>
      </w:r>
      <w:r>
        <w:rPr>
          <w:rFonts w:ascii="宋体" w:hAnsi="宋体" w:cs="宋体" w:eastAsia="宋体" w:hint="ascii"/>
          <w:sz w:val="21"/>
        </w:rPr>
        <w:t>、</w:t>
      </w:r>
      <w:r>
        <w:rPr>
          <w:rFonts w:ascii="Times New Roman" w:hAnsi="Times New Roman" w:cs="Times New Roman" w:eastAsia="Times New Roman" w:hint="ascii"/>
          <w:b w:val="1"/>
          <w:sz w:val="21"/>
        </w:rPr>
        <w:t>E03</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6</w:t>
      </w:r>
      <w:r>
        <w:rPr>
          <w:rFonts w:ascii="宋体" w:hAnsi="宋体" w:cs="宋体" w:eastAsia="宋体" w:hint="ascii"/>
          <w:sz w:val="21"/>
          <w:spacing w:val="27"/>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7</w:t>
      </w:r>
      <w:r>
        <w:rPr>
          <w:rFonts w:ascii="宋体" w:hAnsi="宋体" w:cs="宋体" w:eastAsia="宋体" w:hint="ascii"/>
          <w:sz w:val="21"/>
        </w:rPr>
        <w:t>的下属代码）</w:t>
      </w:r>
    </w:p>
    <w:p>
      <w:pPr>
        <w:autoSpaceDE w:val="0"/>
        <w:autoSpaceDN w:val="0"/>
        <w:jc w:val="left"/>
        <w:spacing w:before="0" w:after="0" w:lineRule="auto" w:line="240"/>
        <w:ind w:right="0" w:left="966" w:firstLine="420"/>
        <w:snapToGrid w:val="0"/>
        <w:textAlignment w:val="auto"/>
        <w:tabs>
          <w:tab w:val="left" w:leader="none" w:pos="1648"/>
        </w:tabs>
        <w:numPr>
          <w:ilvl w:val="0"/>
          <w:numId w:val="312"/>
        </w:numPr>
        <w:rPr>
          <w:rFonts w:ascii="Times New Roman" w:hAnsi="Times New Roman" w:cs="Times New Roman" w:eastAsia="Times New Roman" w:hint="ascii"/>
          <w:b w:val="1"/>
          <w:sz w:val="21"/>
        </w:rPr>
      </w:pPr>
      <w:r>
        <w:rPr>
          <w:rFonts w:ascii="宋体" w:hAnsi="宋体" w:cs="宋体" w:eastAsia="宋体" w:hint="ascii"/>
          <w:sz w:val="21"/>
        </w:rPr>
        <w:t xml:space="preserve">车用动力电池系统热场分布、热传输机理及热管理研究（申请代码 </w:t>
      </w:r>
      <w:r>
        <w:rPr>
          <w:rFonts w:ascii="Times New Roman" w:hAnsi="Times New Roman" w:cs="Times New Roman" w:eastAsia="Times New Roman" w:hint="ascii"/>
          <w:b w:val="1"/>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b w:val="1"/>
          <w:sz w:val="21"/>
        </w:rPr>
        <w:t>E06</w:t>
      </w:r>
    </w:p>
    <w:p>
      <w:pPr>
        <w:autoSpaceDE w:val="0"/>
        <w:autoSpaceDN w:val="0"/>
        <w:jc w:val="left"/>
        <w:spacing w:before="5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2</w:t>
      </w:r>
      <w:r>
        <w:rPr>
          <w:rFonts w:ascii="宋体" w:hAnsi="宋体" w:cs="宋体" w:eastAsia="宋体" w:hint="ascii"/>
          <w:sz w:val="21"/>
        </w:rPr>
        <w:t>的下属代码）</w:t>
      </w:r>
    </w:p>
    <w:p>
      <w:pPr>
        <w:autoSpaceDE w:val="0"/>
        <w:autoSpaceDN w:val="0"/>
        <w:jc w:val="both"/>
        <w:spacing w:before="10" w:after="0" w:lineRule="exact" w:line="312"/>
        <w:ind w:right="964" w:left="966" w:firstLine="420"/>
        <w:snapToGrid w:val="0"/>
        <w:textAlignment w:val="auto"/>
        <w:tabs>
          <w:tab w:val="left" w:leader="none" w:pos="1648"/>
        </w:tabs>
        <w:numPr>
          <w:ilvl w:val="0"/>
          <w:numId w:val="312"/>
        </w:numPr>
        <w:rPr>
          <w:rFonts w:ascii="Times New Roman" w:hAnsi="Times New Roman" w:cs="Times New Roman" w:eastAsia="Times New Roman" w:hint="ascii"/>
          <w:sz w:val="21"/>
        </w:rPr>
      </w:pPr>
      <w:r>
        <w:rPr>
          <w:rFonts w:ascii="宋体" w:hAnsi="宋体" w:cs="宋体" w:eastAsia="宋体" w:hint="ascii"/>
          <w:sz w:val="21"/>
        </w:rPr>
        <w:t>车用燃料电池电堆运行状态模拟及测试技术研究（申请代码</w:t>
      </w:r>
      <w:r>
        <w:rPr>
          <w:rFonts w:ascii="宋体" w:hAnsi="宋体" w:cs="宋体" w:eastAsia="宋体" w:hint="ascii"/>
          <w:sz w:val="21"/>
          <w:spacing w:val="-11"/>
        </w:rPr>
        <w:t xml:space="preserve"> </w:t>
      </w:r>
      <w:r>
        <w:rPr>
          <w:rFonts w:ascii="Times New Roman" w:hAnsi="Times New Roman" w:cs="Times New Roman" w:eastAsia="Times New Roman" w:hint="ascii"/>
          <w:b w:val="1"/>
          <w:sz w:val="21"/>
        </w:rPr>
        <w:t>1</w:t>
      </w:r>
      <w:r>
        <w:rPr>
          <w:rFonts w:ascii="Times New Roman" w:hAnsi="Times New Roman" w:cs="Times New Roman" w:eastAsia="Times New Roman" w:hint="ascii"/>
          <w:b w:val="1"/>
          <w:sz w:val="21"/>
          <w:spacing w:val="-11"/>
        </w:rPr>
        <w:t xml:space="preserve"> </w:t>
      </w:r>
      <w:r>
        <w:rPr>
          <w:rFonts w:ascii="宋体" w:hAnsi="宋体" w:cs="宋体" w:eastAsia="宋体" w:hint="ascii"/>
          <w:sz w:val="21"/>
        </w:rPr>
        <w:t>选择</w:t>
      </w:r>
      <w:r>
        <w:rPr>
          <w:rFonts w:ascii="宋体" w:hAnsi="宋体" w:cs="宋体" w:eastAsia="宋体" w:hint="ascii"/>
          <w:sz w:val="21"/>
          <w:spacing w:val="-11"/>
        </w:rPr>
        <w:t xml:space="preserve"> </w:t>
      </w:r>
      <w:r>
        <w:rPr>
          <w:rFonts w:ascii="Times New Roman" w:hAnsi="Times New Roman" w:cs="Times New Roman" w:eastAsia="Times New Roman" w:hint="ascii"/>
          <w:b w:val="1"/>
          <w:sz w:val="21"/>
        </w:rPr>
        <w:t>E06</w:t>
      </w:r>
      <w:r>
        <w:rPr>
          <w:rFonts w:ascii="Times New Roman" w:hAnsi="Times New Roman" w:cs="Times New Roman" w:eastAsia="Times New Roman" w:hint="ascii"/>
          <w:b w:val="1"/>
          <w:sz w:val="21"/>
          <w:spacing w:val="-11"/>
        </w:rPr>
        <w:t xml:space="preserve"> </w:t>
      </w:r>
      <w:r>
        <w:rPr>
          <w:rFonts w:ascii="宋体" w:hAnsi="宋体" w:cs="宋体" w:eastAsia="宋体" w:hint="ascii"/>
          <w:sz w:val="21"/>
        </w:rPr>
        <w:t>的下属代码）</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1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0" w:after="0" w:lineRule="exact" w:line="312"/>
        <w:ind w:right="964"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w:t>
      </w:r>
      <w:r>
        <w:rPr>
          <w:rFonts w:ascii="宋体" w:hAnsi="宋体" w:cs="宋体" w:eastAsia="宋体" w:hint="ascii"/>
          <w:sz w:val="21"/>
          <w:spacing w:val="-5"/>
        </w:rPr>
        <w:t>申请书中的资助类</w:t>
      </w:r>
      <w:r>
        <w:rPr>
          <w:rFonts w:ascii="宋体" w:hAnsi="宋体" w:cs="宋体" w:eastAsia="宋体" w:hint="ascii"/>
          <w:sz w:val="21"/>
          <w:spacing w:val="-6"/>
        </w:rPr>
        <w:t>别</w:t>
      </w:r>
      <w:r>
        <w:rPr>
          <w:rFonts w:ascii="宋体" w:hAnsi="宋体" w:cs="宋体" w:eastAsia="宋体" w:hint="ascii"/>
          <w:sz w:val="21"/>
          <w:spacing w:val="-5"/>
        </w:rPr>
        <w:t>选择</w:t>
      </w:r>
      <w:r>
        <w:rPr>
          <w:rFonts w:ascii="宋体" w:hAnsi="宋体" w:cs="宋体" w:eastAsia="宋体" w:hint="ascii"/>
          <w:sz w:val="21"/>
          <w:spacing w:val="-4"/>
        </w:rPr>
        <w:t>“联合</w:t>
      </w:r>
      <w:r>
        <w:rPr>
          <w:rFonts w:ascii="宋体" w:hAnsi="宋体" w:cs="宋体" w:eastAsia="宋体" w:hint="ascii"/>
          <w:sz w:val="21"/>
          <w:spacing w:val="-5"/>
        </w:rPr>
        <w:t>基</w:t>
      </w:r>
      <w:r>
        <w:rPr>
          <w:rFonts w:ascii="宋体" w:hAnsi="宋体" w:cs="宋体" w:eastAsia="宋体" w:hint="ascii"/>
          <w:sz w:val="21"/>
          <w:spacing w:val="-4"/>
        </w:rPr>
        <w:t>金项目</w:t>
      </w:r>
      <w:r>
        <w:rPr>
          <w:rFonts w:ascii="宋体" w:hAnsi="宋体" w:cs="宋体" w:eastAsia="宋体" w:hint="ascii"/>
          <w:sz w:val="21"/>
          <w:spacing w:val="-54"/>
        </w:rPr>
        <w:t>”</w:t>
      </w:r>
      <w:r>
        <w:rPr>
          <w:rFonts w:ascii="宋体" w:hAnsi="宋体" w:cs="宋体" w:eastAsia="宋体" w:hint="ascii"/>
          <w:sz w:val="21"/>
          <w:spacing w:val="-4"/>
        </w:rPr>
        <w:t>，</w:t>
      </w:r>
      <w:r>
        <w:rPr>
          <w:rFonts w:ascii="宋体" w:hAnsi="宋体" w:cs="宋体" w:eastAsia="宋体" w:hint="ascii"/>
          <w:sz w:val="21"/>
          <w:spacing w:val="-5"/>
        </w:rPr>
        <w:t>亚</w:t>
      </w:r>
      <w:r>
        <w:rPr>
          <w:rFonts w:ascii="宋体" w:hAnsi="宋体" w:cs="宋体" w:eastAsia="宋体" w:hint="ascii"/>
          <w:sz w:val="21"/>
          <w:spacing w:val="-4"/>
        </w:rPr>
        <w:t>类说明选择</w:t>
      </w:r>
      <w:r>
        <w:rPr>
          <w:rFonts w:ascii="宋体" w:hAnsi="宋体" w:cs="宋体" w:eastAsia="宋体" w:hint="ascii"/>
          <w:sz w:val="21"/>
          <w:spacing w:val="-5"/>
        </w:rPr>
        <w:t>“</w:t>
      </w:r>
      <w:r>
        <w:rPr>
          <w:rFonts w:ascii="宋体" w:hAnsi="宋体" w:cs="宋体" w:eastAsia="宋体" w:hint="ascii"/>
          <w:sz w:val="21"/>
          <w:spacing w:val="-4"/>
        </w:rPr>
        <w:t>重点支持项</w:t>
      </w:r>
      <w:r>
        <w:rPr>
          <w:rFonts w:ascii="宋体" w:hAnsi="宋体" w:cs="宋体" w:eastAsia="宋体" w:hint="ascii"/>
          <w:sz w:val="21"/>
          <w:spacing w:val="-5"/>
        </w:rPr>
        <w:t>目</w:t>
      </w:r>
      <w:r>
        <w:rPr>
          <w:rFonts w:ascii="宋体" w:hAnsi="宋体" w:cs="宋体" w:eastAsia="宋体" w:hint="ascii"/>
          <w:sz w:val="21"/>
          <w:spacing w:val="-54"/>
        </w:rPr>
        <w:t>”</w:t>
      </w:r>
      <w:r>
        <w:rPr>
          <w:rFonts w:ascii="宋体" w:hAnsi="宋体" w:cs="宋体" w:eastAsia="宋体" w:hint="ascii"/>
          <w:sz w:val="21"/>
          <w:spacing w:val="-4"/>
        </w:rPr>
        <w:t>，</w:t>
      </w:r>
      <w:r>
        <w:rPr>
          <w:rFonts w:ascii="宋体" w:hAnsi="宋体" w:cs="宋体" w:eastAsia="宋体" w:hint="ascii"/>
          <w:sz w:val="21"/>
          <w:spacing w:val="-1"/>
        </w:rPr>
        <w:t>附</w:t>
      </w:r>
      <w:r>
        <w:rPr>
          <w:rFonts w:ascii="宋体" w:hAnsi="宋体" w:cs="宋体" w:eastAsia="宋体" w:hint="ascii"/>
          <w:sz w:val="21"/>
        </w:rPr>
        <w:t xml:space="preserve"> </w:t>
      </w:r>
      <w:r>
        <w:rPr>
          <w:rFonts w:ascii="宋体" w:hAnsi="宋体" w:cs="宋体" w:eastAsia="宋体" w:hint="ascii"/>
          <w:sz w:val="21"/>
          <w:spacing w:val="-5"/>
        </w:rPr>
        <w:t>注说明选择“中国汽车产业创新发展联合基金</w:t>
      </w:r>
      <w:r>
        <w:rPr>
          <w:rFonts w:ascii="宋体" w:hAnsi="宋体" w:cs="宋体" w:eastAsia="宋体" w:hint="ascii"/>
          <w:sz w:val="21"/>
          <w:spacing w:val="-55"/>
        </w:rPr>
        <w:t>”</w:t>
      </w:r>
      <w:r>
        <w:rPr>
          <w:rFonts w:ascii="宋体" w:hAnsi="宋体" w:cs="宋体" w:eastAsia="宋体" w:hint="ascii"/>
          <w:sz w:val="21"/>
          <w:spacing w:val="-5"/>
        </w:rPr>
        <w:t>；申请代</w:t>
      </w:r>
      <w:r>
        <w:rPr>
          <w:rFonts w:ascii="宋体" w:hAnsi="宋体" w:cs="宋体" w:eastAsia="宋体" w:hint="ascii"/>
          <w:sz w:val="21"/>
          <w:spacing w:val="20"/>
        </w:rPr>
        <w:t>码</w:t>
      </w:r>
      <w:r>
        <w:rPr>
          <w:rFonts w:ascii="Times New Roman" w:hAnsi="Times New Roman" w:cs="Times New Roman" w:eastAsia="Times New Roman" w:hint="ascii"/>
          <w:sz w:val="21"/>
          <w:spacing w:val="45"/>
        </w:rPr>
        <w:t>1</w:t>
      </w:r>
      <w:r>
        <w:rPr>
          <w:rFonts w:ascii="宋体" w:hAnsi="宋体" w:cs="宋体" w:eastAsia="宋体" w:hint="ascii"/>
          <w:sz w:val="21"/>
          <w:spacing w:val="-5"/>
        </w:rPr>
        <w:t>必须按本《指南》要求选择</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）中国汽车产业创新发展联合基金面向全国，鼓励高校科研院所与汽车企业联合</w:t>
      </w:r>
    </w:p>
    <w:p>
      <w:pPr>
        <w:autoSpaceDE w:val="0"/>
        <w:autoSpaceDN w:val="0"/>
        <w:jc w:val="right"/>
        <w:spacing w:before="10" w:after="0" w:lineRule="exact" w:line="312"/>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申请项目。对于合作研究项目，应在申请书中明确合作各方的合作内容、主要分工等。（</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0" w:after="0" w:lineRule="exact" w:line="312"/>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研究内容和目标等由申请人提出，要求申请人按照重点支持项目申请书撰写提纲撰写申请书。如果申请人已经承担与本联合基金相关的国家其他科技计划项目，应当在申请书正文的“研究基础与工作条件”部分论述申请项目与其他相关项目的区别与联系。</w:t>
      </w:r>
    </w:p>
    <w:p>
      <w:pPr>
        <w:autoSpaceDE w:val="0"/>
        <w:autoSpaceDN w:val="0"/>
        <w:jc w:val="left"/>
        <w:spacing w:before="164" w:after="0" w:lineRule="exact" w:line="300"/>
        <w:ind w:right="0" w:left="138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rPr>
      </w:pPr>
      <w:r>
        <w:rPr>
          <w:rFonts w:ascii="宋体" w:hAnsi="宋体" w:cs="宋体" w:eastAsia="宋体" w:hint="ascii"/>
        </w:rPr>
        <w:t>联系方式</w:t>
      </w:r>
      <w:rPr>
        <w:rFonts w:ascii="宋体" w:hAnsi="宋体" w:cs="宋体" w:eastAsia="宋体" w:hint="ascii"/>
      </w:rPr>
    </w:p>
    <w:p>
      <w:pPr>
        <w:autoSpaceDE w:val="0"/>
        <w:autoSpaceDN w:val="0"/>
        <w:jc w:val="left"/>
        <w:spacing w:before="198"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spacing w:val="-5"/>
        </w:rPr>
        <w:t>国家自然科学基金委员会计划</w:t>
      </w:r>
      <w:r>
        <w:rPr>
          <w:rFonts w:ascii="宋体" w:hAnsi="宋体" w:cs="宋体" w:eastAsia="宋体" w:hint="ascii"/>
          <w:sz w:val="21"/>
        </w:rPr>
        <w:t>局</w:t>
      </w:r>
    </w:p>
    <w:p>
      <w:pPr>
        <w:autoSpaceDE w:val="0"/>
        <w:autoSpaceDN w:val="0"/>
        <w:jc w:val="left"/>
        <w:spacing w:before="49"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32"/>
        </w:rPr>
        <w:t xml:space="preserve"> </w:t>
      </w:r>
      <w:r>
        <w:rPr>
          <w:rFonts w:ascii="宋体" w:hAnsi="宋体" w:cs="宋体" w:eastAsia="宋体" w:hint="ascii"/>
          <w:sz w:val="21"/>
          <w:spacing w:val="-5"/>
        </w:rPr>
        <w:t>址：北京市海淀区双清</w:t>
      </w:r>
      <w:r>
        <w:rPr>
          <w:rFonts w:ascii="宋体" w:hAnsi="宋体" w:cs="宋体" w:eastAsia="宋体" w:hint="ascii"/>
          <w:sz w:val="21"/>
          <w:spacing w:val="20"/>
        </w:rPr>
        <w:t>路</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45"/>
        </w:rPr>
        <w:t>3</w:t>
      </w:r>
      <w:r>
        <w:rPr>
          <w:rFonts w:ascii="宋体" w:hAnsi="宋体" w:cs="宋体" w:eastAsia="宋体" w:hint="ascii"/>
          <w:sz w:val="21"/>
        </w:rPr>
        <w:t>号</w:t>
      </w:r>
    </w:p>
    <w:p>
      <w:pPr>
        <w:autoSpaceDE w:val="0"/>
        <w:autoSpaceDN w:val="0"/>
        <w:jc w:val="left"/>
        <w:spacing w:before="49" w:after="0" w:lineRule="exact" w:line="263"/>
        <w:ind w:right="0" w:left="136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10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08</w:t>
      </w:r>
      <w:r>
        <w:rPr>
          <w:rFonts w:ascii="Times New Roman" w:hAnsi="Times New Roman" w:cs="Times New Roman" w:eastAsia="Times New Roman" w:hint="ascii"/>
          <w:sz w:val="21"/>
        </w:rPr>
        <w:t>5</w:t>
      </w:r>
    </w:p>
    <w:p>
      <w:pPr>
        <w:autoSpaceDE w:val="0"/>
        <w:autoSpaceDN w:val="0"/>
        <w:jc w:val="left"/>
        <w:spacing w:before="49"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雷</w:t>
      </w:r>
      <w:r>
        <w:rPr>
          <w:rFonts w:ascii="宋体" w:hAnsi="宋体" w:cs="宋体" w:eastAsia="宋体" w:hint="ascii"/>
          <w:sz w:val="21"/>
          <w:spacing w:val="42"/>
        </w:rPr>
        <w:t xml:space="preserve"> </w:t>
      </w:r>
      <w:r>
        <w:rPr>
          <w:rFonts w:ascii="宋体" w:hAnsi="宋体" w:cs="宋体" w:eastAsia="宋体" w:hint="ascii"/>
          <w:sz w:val="21"/>
        </w:rPr>
        <w:t>蓉</w:t>
      </w:r>
      <w:r>
        <w:rPr>
          <w:rFonts w:ascii="宋体" w:hAnsi="宋体" w:cs="宋体" w:eastAsia="宋体" w:hint="ascii"/>
          <w:sz w:val="21"/>
          <w:spacing w:val="38"/>
        </w:rPr>
        <w:t xml:space="preserve"> </w:t>
      </w:r>
      <w:r>
        <w:rPr>
          <w:rFonts w:ascii="宋体" w:hAnsi="宋体" w:cs="宋体" w:eastAsia="宋体" w:hint="ascii"/>
          <w:sz w:val="21"/>
        </w:rPr>
        <w:t>王</w:t>
      </w:r>
      <w:r>
        <w:rPr>
          <w:rFonts w:ascii="宋体" w:hAnsi="宋体" w:cs="宋体" w:eastAsia="宋体" w:hint="ascii"/>
          <w:sz w:val="21"/>
          <w:spacing w:val="43"/>
        </w:rPr>
        <w:t xml:space="preserve"> </w:t>
      </w:r>
      <w:r>
        <w:rPr>
          <w:rFonts w:ascii="宋体" w:hAnsi="宋体" w:cs="宋体" w:eastAsia="宋体" w:hint="ascii"/>
          <w:sz w:val="21"/>
        </w:rPr>
        <w:t>岩</w:t>
      </w:r>
    </w:p>
    <w:p>
      <w:pPr>
        <w:autoSpaceDE w:val="0"/>
        <w:autoSpaceDN w:val="0"/>
        <w:jc w:val="both"/>
        <w:spacing w:before="10" w:after="0" w:lineRule="exact" w:line="312"/>
        <w:ind w:right="0" w:left="136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3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01</w:t>
      </w:r>
      <w:r>
        <w:rPr>
          <w:rFonts w:ascii="Times New Roman" w:hAnsi="Times New Roman" w:cs="Times New Roman" w:eastAsia="Times New Roman" w:hint="ascii"/>
          <w:sz w:val="21"/>
          <w:spacing w:val="-6"/>
        </w:rPr>
        <w:t>0</w:t>
      </w:r>
      <w:r>
        <w:rPr>
          <w:rFonts w:ascii="宋体" w:hAnsi="宋体" w:cs="宋体" w:eastAsia="宋体" w:hint="ascii"/>
          <w:sz w:val="21"/>
          <w:spacing w:val="-7"/>
        </w:rPr>
        <w:t>-</w:t>
      </w:r>
      <w:r>
        <w:rPr>
          <w:rFonts w:ascii="Times New Roman" w:hAnsi="Times New Roman" w:cs="Times New Roman" w:eastAsia="Times New Roman" w:hint="ascii"/>
          <w:sz w:val="21"/>
          <w:spacing w:val="-7"/>
        </w:rPr>
        <w:t>6</w:t>
      </w:r>
      <w:r>
        <w:rPr>
          <w:rFonts w:ascii="Times New Roman" w:hAnsi="Times New Roman" w:cs="Times New Roman" w:eastAsia="Times New Roman" w:hint="ascii"/>
          <w:sz w:val="21"/>
          <w:spacing w:val="-6"/>
        </w:rPr>
        <w:t>2</w:t>
      </w:r>
      <w:r>
        <w:rPr>
          <w:rFonts w:ascii="Times New Roman" w:hAnsi="Times New Roman" w:cs="Times New Roman" w:eastAsia="Times New Roman" w:hint="ascii"/>
          <w:sz w:val="21"/>
          <w:spacing w:val="-7"/>
        </w:rPr>
        <w:t>32</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7"/>
        </w:rPr>
        <w:t>484</w:t>
      </w:r>
      <w:r>
        <w:rPr>
          <w:rFonts w:ascii="宋体" w:hAnsi="宋体" w:cs="宋体" w:eastAsia="宋体" w:hint="ascii"/>
          <w:sz w:val="21"/>
          <w:spacing w:val="-7"/>
        </w:rPr>
        <w:t>，</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10</w:t>
      </w:r>
      <w:r>
        <w:rPr>
          <w:rFonts w:ascii="宋体" w:hAnsi="宋体" w:cs="宋体" w:eastAsia="宋体" w:hint="ascii"/>
          <w:sz w:val="21"/>
          <w:spacing w:val="-6"/>
        </w:rPr>
        <w:t>-</w:t>
      </w:r>
      <w:r>
        <w:rPr>
          <w:rFonts w:ascii="Times New Roman" w:hAnsi="Times New Roman" w:cs="Times New Roman" w:eastAsia="Times New Roman" w:hint="ascii"/>
          <w:sz w:val="21"/>
          <w:spacing w:val="-7"/>
        </w:rPr>
        <w:t>62</w:t>
      </w:r>
      <w:r>
        <w:rPr>
          <w:rFonts w:ascii="Times New Roman" w:hAnsi="Times New Roman" w:cs="Times New Roman" w:eastAsia="Times New Roman" w:hint="ascii"/>
          <w:sz w:val="21"/>
          <w:spacing w:val="-6"/>
        </w:rPr>
        <w:t>3</w:t>
      </w:r>
      <w:r>
        <w:rPr>
          <w:rFonts w:ascii="Times New Roman" w:hAnsi="Times New Roman" w:cs="Times New Roman" w:eastAsia="Times New Roman" w:hint="ascii"/>
          <w:sz w:val="21"/>
          <w:spacing w:val="-7"/>
        </w:rPr>
        <w:t>27</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2"/>
        </w:rPr>
        <w:t>5</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6"/>
        </w:rPr>
        <w:t>l</w:t>
      </w:r>
      <w:r>
        <w:rPr>
          <w:rFonts w:ascii="Times New Roman" w:hAnsi="Times New Roman" w:cs="Times New Roman" w:eastAsia="Times New Roman" w:hint="ascii"/>
          <w:sz w:val="21"/>
          <w:spacing w:val="-4"/>
        </w:rPr>
        <w:t>e</w:t>
      </w:r>
      <w:r>
        <w:rPr>
          <w:rFonts w:ascii="Times New Roman" w:hAnsi="Times New Roman" w:cs="Times New Roman" w:eastAsia="Times New Roman" w:hint="ascii"/>
          <w:sz w:val="21"/>
          <w:spacing w:val="-6"/>
        </w:rPr>
        <w:t>i</w:t>
      </w:r>
      <w:r>
        <w:rPr>
          <w:rFonts w:ascii="Times New Roman" w:hAnsi="Times New Roman" w:cs="Times New Roman" w:eastAsia="Times New Roman" w:hint="ascii"/>
          <w:sz w:val="21"/>
          <w:spacing w:val="-5"/>
        </w:rPr>
        <w:t>r</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nsfc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5"/>
        </w:rPr>
        <w:t>go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2364"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spacing w:val="-6"/>
        </w:rPr>
        <w:t>w</w:t>
      </w:r>
      <w:r>
        <w:rPr>
          <w:rFonts w:ascii="Times New Roman" w:hAnsi="Times New Roman" w:cs="Times New Roman" w:eastAsia="Times New Roman" w:hint="ascii"/>
          <w:sz w:val="21"/>
          <w:spacing w:val="-4"/>
        </w:rPr>
        <w:t>a</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y</w:t>
      </w:r>
      <w:r>
        <w:rPr>
          <w:rFonts w:ascii="Times New Roman" w:hAnsi="Times New Roman" w:cs="Times New Roman" w:eastAsia="Times New Roman" w:hint="ascii"/>
          <w:sz w:val="21"/>
          <w:spacing w:val="-6"/>
        </w:rPr>
        <w:t>a</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6"/>
        </w:rPr>
        <w:t>f</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198"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spacing w:val="-5"/>
        </w:rPr>
        <w:t>中国汽车工业协会技术</w:t>
      </w:r>
      <w:r>
        <w:rPr>
          <w:rFonts w:ascii="宋体" w:hAnsi="宋体" w:cs="宋体" w:eastAsia="宋体" w:hint="ascii"/>
          <w:sz w:val="21"/>
        </w:rPr>
        <w:t>部</w:t>
      </w:r>
    </w:p>
    <w:p>
      <w:pPr>
        <w:autoSpaceDE w:val="0"/>
        <w:autoSpaceDN w:val="0"/>
        <w:jc w:val="both"/>
        <w:spacing w:before="10" w:after="0" w:lineRule="exact" w:line="312"/>
        <w:ind w:right="1065"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31"/>
        </w:rPr>
        <w:t xml:space="preserve"> </w:t>
      </w:r>
      <w:r>
        <w:rPr>
          <w:rFonts w:ascii="宋体" w:hAnsi="宋体" w:cs="宋体" w:eastAsia="宋体" w:hint="ascii"/>
          <w:sz w:val="21"/>
          <w:spacing w:val="-6"/>
        </w:rPr>
        <w:t>址：北</w:t>
      </w:r>
      <w:r>
        <w:rPr>
          <w:rFonts w:ascii="宋体" w:hAnsi="宋体" w:cs="宋体" w:eastAsia="宋体" w:hint="ascii"/>
          <w:sz w:val="21"/>
          <w:spacing w:val="-5"/>
        </w:rPr>
        <w:t>京市西城区三里河</w:t>
      </w:r>
      <w:r>
        <w:rPr>
          <w:rFonts w:ascii="宋体" w:hAnsi="宋体" w:cs="宋体" w:eastAsia="宋体" w:hint="ascii"/>
          <w:sz w:val="21"/>
          <w:spacing w:val="20"/>
        </w:rPr>
        <w:t>路</w:t>
      </w:r>
      <w:r>
        <w:rPr>
          <w:rFonts w:ascii="Times New Roman" w:hAnsi="Times New Roman" w:cs="Times New Roman" w:eastAsia="Times New Roman" w:hint="ascii"/>
          <w:sz w:val="21"/>
          <w:spacing w:val="-5"/>
        </w:rPr>
        <w:t>4</w:t>
      </w:r>
      <w:r>
        <w:rPr>
          <w:rFonts w:ascii="Times New Roman" w:hAnsi="Times New Roman" w:cs="Times New Roman" w:eastAsia="Times New Roman" w:hint="ascii"/>
          <w:sz w:val="21"/>
          <w:spacing w:val="45"/>
        </w:rPr>
        <w:t>6</w:t>
      </w:r>
      <w:r>
        <w:rPr>
          <w:rFonts w:ascii="宋体" w:hAnsi="宋体" w:cs="宋体" w:eastAsia="宋体" w:hint="ascii"/>
          <w:sz w:val="21"/>
        </w:rPr>
        <w:t>号邮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10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82</w:t>
      </w:r>
      <w:r>
        <w:rPr>
          <w:rFonts w:ascii="Times New Roman" w:hAnsi="Times New Roman" w:cs="Times New Roman" w:eastAsia="Times New Roman" w:hint="ascii"/>
          <w:sz w:val="21"/>
        </w:rPr>
        <w:t>3</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吴</w:t>
      </w:r>
      <w:r>
        <w:rPr>
          <w:rFonts w:ascii="宋体" w:hAnsi="宋体" w:cs="宋体" w:eastAsia="宋体" w:hint="ascii"/>
          <w:sz w:val="21"/>
          <w:spacing w:val="37"/>
        </w:rPr>
        <w:t xml:space="preserve"> </w:t>
      </w:r>
      <w:r>
        <w:rPr>
          <w:rFonts w:ascii="宋体" w:hAnsi="宋体" w:cs="宋体" w:eastAsia="宋体" w:hint="ascii"/>
          <w:sz w:val="21"/>
        </w:rPr>
        <w:t>昊</w:t>
      </w:r>
      <w:r>
        <w:rPr>
          <w:rFonts w:ascii="宋体" w:hAnsi="宋体" w:cs="宋体" w:eastAsia="宋体" w:hint="ascii"/>
          <w:sz w:val="21"/>
          <w:spacing w:val="38"/>
        </w:rPr>
        <w:t xml:space="preserve"> </w:t>
      </w:r>
      <w:r>
        <w:rPr>
          <w:rFonts w:ascii="宋体" w:hAnsi="宋体" w:cs="宋体" w:eastAsia="宋体" w:hint="ascii"/>
          <w:sz w:val="21"/>
        </w:rPr>
        <w:t>王</w:t>
      </w:r>
      <w:r>
        <w:rPr>
          <w:rFonts w:ascii="宋体" w:hAnsi="宋体" w:cs="宋体" w:eastAsia="宋体" w:hint="ascii"/>
          <w:sz w:val="21"/>
          <w:spacing w:val="38"/>
        </w:rPr>
        <w:t xml:space="preserve"> </w:t>
      </w:r>
      <w:r>
        <w:rPr>
          <w:rFonts w:ascii="宋体" w:hAnsi="宋体" w:cs="宋体" w:eastAsia="宋体" w:hint="ascii"/>
          <w:sz w:val="21"/>
        </w:rPr>
        <w:t>耀</w:t>
      </w:r>
    </w:p>
    <w:p>
      <w:pPr>
        <w:autoSpaceDE w:val="0"/>
        <w:autoSpaceDN w:val="0"/>
        <w:jc w:val="both"/>
        <w:spacing w:before="10" w:after="0" w:lineRule="exact" w:line="312"/>
        <w:ind w:right="97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3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01</w:t>
      </w:r>
      <w:r>
        <w:rPr>
          <w:rFonts w:ascii="Times New Roman" w:hAnsi="Times New Roman" w:cs="Times New Roman" w:eastAsia="Times New Roman" w:hint="ascii"/>
          <w:sz w:val="21"/>
          <w:spacing w:val="-6"/>
        </w:rPr>
        <w:t>0</w:t>
      </w:r>
      <w:r>
        <w:rPr>
          <w:rFonts w:ascii="宋体" w:hAnsi="宋体" w:cs="宋体" w:eastAsia="宋体" w:hint="ascii"/>
          <w:sz w:val="21"/>
          <w:spacing w:val="-7"/>
        </w:rPr>
        <w:t>-</w:t>
      </w:r>
      <w:r>
        <w:rPr>
          <w:rFonts w:ascii="Times New Roman" w:hAnsi="Times New Roman" w:cs="Times New Roman" w:eastAsia="Times New Roman" w:hint="ascii"/>
          <w:sz w:val="21"/>
          <w:spacing w:val="-7"/>
        </w:rPr>
        <w:t>6</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7"/>
        </w:rPr>
        <w:t>59</w:t>
      </w:r>
      <w:r>
        <w:rPr>
          <w:rFonts w:ascii="Times New Roman" w:hAnsi="Times New Roman" w:cs="Times New Roman" w:eastAsia="Times New Roman" w:hint="ascii"/>
          <w:sz w:val="21"/>
          <w:spacing w:val="-6"/>
        </w:rPr>
        <w:t>4</w:t>
      </w:r>
      <w:r>
        <w:rPr>
          <w:rFonts w:ascii="Times New Roman" w:hAnsi="Times New Roman" w:cs="Times New Roman" w:eastAsia="Times New Roman" w:hint="ascii"/>
          <w:sz w:val="21"/>
          <w:spacing w:val="-7"/>
        </w:rPr>
        <w:t>906</w:t>
      </w:r>
      <w:r>
        <w:rPr>
          <w:rFonts w:ascii="宋体" w:hAnsi="宋体" w:cs="宋体" w:eastAsia="宋体" w:hint="ascii"/>
          <w:sz w:val="21"/>
          <w:spacing w:val="-7"/>
        </w:rPr>
        <w:t>，</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10</w:t>
      </w:r>
      <w:r>
        <w:rPr>
          <w:rFonts w:ascii="宋体" w:hAnsi="宋体" w:cs="宋体" w:eastAsia="宋体" w:hint="ascii"/>
          <w:sz w:val="21"/>
          <w:spacing w:val="-6"/>
        </w:rPr>
        <w:t>-</w:t>
      </w:r>
      <w:r>
        <w:rPr>
          <w:rFonts w:ascii="Times New Roman" w:hAnsi="Times New Roman" w:cs="Times New Roman" w:eastAsia="Times New Roman" w:hint="ascii"/>
          <w:sz w:val="21"/>
          <w:spacing w:val="-7"/>
        </w:rPr>
        <w:t>68</w:t>
      </w:r>
      <w:r>
        <w:rPr>
          <w:rFonts w:ascii="Times New Roman" w:hAnsi="Times New Roman" w:cs="Times New Roman" w:eastAsia="Times New Roman" w:hint="ascii"/>
          <w:sz w:val="21"/>
          <w:spacing w:val="-6"/>
        </w:rPr>
        <w:t>5</w:t>
      </w:r>
      <w:r>
        <w:rPr>
          <w:rFonts w:ascii="Times New Roman" w:hAnsi="Times New Roman" w:cs="Times New Roman" w:eastAsia="Times New Roman" w:hint="ascii"/>
          <w:sz w:val="21"/>
          <w:spacing w:val="-7"/>
        </w:rPr>
        <w:t>94</w:t>
      </w:r>
      <w:r>
        <w:rPr>
          <w:rFonts w:ascii="Times New Roman" w:hAnsi="Times New Roman" w:cs="Times New Roman" w:eastAsia="Times New Roman" w:hint="ascii"/>
          <w:sz w:val="21"/>
          <w:spacing w:val="-6"/>
        </w:rPr>
        <w:t>9</w:t>
      </w:r>
      <w:r>
        <w:rPr>
          <w:rFonts w:ascii="Times New Roman" w:hAnsi="Times New Roman" w:cs="Times New Roman" w:eastAsia="Times New Roman" w:hint="ascii"/>
          <w:sz w:val="21"/>
          <w:spacing w:val="-7"/>
        </w:rPr>
        <w:t>7</w:t>
      </w:r>
      <w:r>
        <w:rPr>
          <w:rFonts w:ascii="Times New Roman" w:hAnsi="Times New Roman" w:cs="Times New Roman" w:eastAsia="Times New Roman" w:hint="ascii"/>
          <w:sz w:val="21"/>
          <w:spacing w:val="-2"/>
        </w:rPr>
        <w:t>7</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宋体" w:hAnsi="宋体" w:cs="宋体" w:eastAsia="宋体" w:hint="ascii"/>
          <w:sz w:val="21"/>
          <w:spacing w:val="-4"/>
        </w:rPr>
        <w:t>：</w:t>
      </w:r>
      <w:r>
        <w:rPr>
          <w:rFonts w:ascii="Times New Roman" w:hAnsi="Times New Roman" w:cs="Times New Roman" w:eastAsia="Times New Roman" w:hint="ascii"/>
          <w:sz w:val="21"/>
          <w:spacing w:val="-5"/>
        </w:rPr>
        <w:t>w</w:t>
      </w:r>
      <w:r>
        <w:rPr>
          <w:rFonts w:ascii="Times New Roman" w:hAnsi="Times New Roman" w:cs="Times New Roman" w:eastAsia="Times New Roman" w:hint="ascii"/>
          <w:sz w:val="21"/>
          <w:spacing w:val="-4"/>
        </w:rPr>
        <w:t>u</w:t>
      </w:r>
      <w:r>
        <w:rPr>
          <w:rFonts w:ascii="Times New Roman" w:hAnsi="Times New Roman" w:cs="Times New Roman" w:eastAsia="Times New Roman" w:hint="ascii"/>
          <w:sz w:val="21"/>
          <w:spacing w:val="-5"/>
        </w:rPr>
        <w:t>ha</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5"/>
        </w:rPr>
        <w:t>@caa</w:t>
      </w:r>
      <w:r>
        <w:rPr>
          <w:rFonts w:ascii="Times New Roman" w:hAnsi="Times New Roman" w:cs="Times New Roman" w:eastAsia="Times New Roman" w:hint="ascii"/>
          <w:sz w:val="21"/>
          <w:spacing w:val="-7"/>
        </w:rPr>
        <w:t>m</w:t>
      </w:r>
      <w:r>
        <w:rPr>
          <w:rFonts w:ascii="Times New Roman" w:hAnsi="Times New Roman" w:cs="Times New Roman" w:eastAsia="Times New Roman" w:hint="ascii"/>
          <w:sz w:val="21"/>
          <w:spacing w:val="-5"/>
        </w:rPr>
        <w:t>.</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9"/>
        </w:rPr>
        <w:t>r</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1046" w:firstLine="0"/>
        <w:snapToGrid w:val="0"/>
        <w:textAlignment w:val="auto"/>
        <w:tabs/>
        <w:sectPr>
          <w:type w:val="continuous"/>
          <w:pgSz w:w="10940" w:h="15080" w:orient="portrait"/>
          <w:pgMar w:top="508" w:right="508" w:bottom="508" w:left="508" w:header="0" w:footer="0" w:gutter="0"/>
          <w:cols w:num="2" w:space="0" w:equalWidth="0">
            <w:col w:w="4950" w:space="418"/>
            <w:col w:w="4556"/>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Times New Roman" w:hAnsi="Times New Roman" w:cs="Times New Roman" w:eastAsia="Times New Roman" w:hint="ascii"/>
          <w:sz w:val="21"/>
          <w:spacing w:val="-6"/>
        </w:rPr>
        <w:t>w</w:t>
      </w:r>
      <w:r>
        <w:rPr>
          <w:rFonts w:ascii="Times New Roman" w:hAnsi="Times New Roman" w:cs="Times New Roman" w:eastAsia="Times New Roman" w:hint="ascii"/>
          <w:sz w:val="21"/>
          <w:spacing w:val="-4"/>
        </w:rPr>
        <w:t>a</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y</w:t>
      </w:r>
      <w:r>
        <w:rPr>
          <w:rFonts w:ascii="Times New Roman" w:hAnsi="Times New Roman" w:cs="Times New Roman" w:eastAsia="Times New Roman" w:hint="ascii"/>
          <w:sz w:val="21"/>
          <w:spacing w:val="-6"/>
        </w:rPr>
        <w:t>a</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5"/>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spacing w:val="-4"/>
        </w:rPr>
        <w:t>aa</w:t>
      </w:r>
      <w:r>
        <w:rPr>
          <w:rFonts w:ascii="Times New Roman" w:hAnsi="Times New Roman" w:cs="Times New Roman" w:eastAsia="Times New Roman" w:hint="ascii"/>
          <w:sz w:val="21"/>
          <w:spacing w:val="-6"/>
        </w:rPr>
        <w:t>m</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10"/>
        </w:rPr>
        <w:t>r</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rPr>
        <w:t>n</w:t>
      </w:r>
      <w:rPr>
        <w:rFonts w:ascii="Times New Roman" w:hAnsi="Times New Roman" w:cs="Times New Roman" w:eastAsia="Times New Roman" w:hint="ascii"/>
        <w:sz w:val="21"/>
      </w:rPr>
    </w:p>
    <w:p>
      <w:pPr>
        <w:autoSpaceDE w:val="0"/>
        <w:autoSpaceDN w:val="0"/>
        <w:jc w:val="left"/>
        <w:spacing w:before="609"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438" w:after="0" w:lineRule="exact" w:line="475"/>
        <w:ind w:right="0" w:left="3626" w:firstLine="0"/>
        <w:snapToGrid w:val="0"/>
        <w:textAlignment w:val="auto"/>
        <w:tabs/>
        <w:rPr>
          <w:rFonts w:ascii="宋体" w:hAnsi="宋体" w:cs="宋体" w:eastAsia="宋体" w:hint="ascii"/>
          <w:sz w:val="38"/>
        </w:rPr>
      </w:pPr>
      <w:r>
        <w:rPr>
          <w:rFonts w:ascii="宋体" w:hAnsi="宋体" w:cs="宋体" w:eastAsia="宋体" w:hint="ascii"/>
          <w:sz w:val="38"/>
        </w:rPr>
        <w:t>雅砻江联合基金</w:t>
      </w:r>
      <w:r>
        <w:rPr>
          <w:rFonts w:ascii="宋体" w:hAnsi="宋体" w:cs="宋体" w:eastAsia="宋体" w:hint="ascii"/>
          <w:sz w:val="38"/>
        </w:rPr>
        <mc:AlternateContent>
          <mc:Choice Requires="wps">
            <w:drawing>
              <wp:anchor distL="0" distR="0" distT="0" distB="0" simplePos="0" behindDoc="1" relativeHeight="279" locked="0" layoutInCell="1" allowOverlap="1">
                <wp:simplePos x="0" y="0"/>
                <wp:positionH relativeFrom="page">
                  <wp:posOffset>938530</wp:posOffset>
                </wp:positionH>
                <wp:positionV relativeFrom="page">
                  <wp:posOffset>819150</wp:posOffset>
                </wp:positionV>
                <wp:extent cx="5076190" cy="0"/>
                <wp:wrapNone/>
                <wp:docPr id="1308" name="130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72544;width:399.70pt;" id="130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318" w:after="0" w:lineRule="exact" w:line="263"/>
        <w:ind w:right="0" w:left="1394"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自然科学基金委与雅砻江流域水电开发有限公司（以下简称雅砻江公司）自</w:t>
      </w:r>
      <w:r>
        <w:rPr>
          <w:rFonts w:ascii="宋体" w:hAnsi="宋体" w:cs="宋体" w:eastAsia="宋体" w:hint="ascii"/>
          <w:sz w:val="21"/>
          <w:spacing w:val="-15"/>
        </w:rPr>
        <w:t xml:space="preserve"> </w:t>
      </w:r>
      <w:r>
        <w:rPr>
          <w:rFonts w:ascii="Times New Roman" w:hAnsi="Times New Roman" w:cs="Times New Roman" w:eastAsia="Times New Roman" w:hint="ascii"/>
          <w:sz w:val="21"/>
        </w:rPr>
        <w:t>2017</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年</w:t>
      </w:r>
      <w:r>
        <w:rPr>
          <w:rFonts w:ascii="宋体" w:hAnsi="宋体" w:cs="宋体" w:eastAsia="宋体" w:hint="ascii"/>
          <w:sz w:val="21"/>
        </w:rPr>
        <w:t>至</w:t>
      </w:r>
      <w:r>
        <w:rPr>
          <w:rFonts w:ascii="宋体" w:hAnsi="宋体" w:cs="宋体" w:eastAsia="宋体" w:hint="ascii"/>
          <w:sz w:val="21"/>
          <w:spacing w:val="-13"/>
        </w:rPr>
        <w:t xml:space="preserve"> </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6"/>
        </w:rPr>
        <w:t>9</w:t>
      </w:r>
      <w:r>
        <w:rPr>
          <w:rFonts w:ascii="宋体" w:hAnsi="宋体" w:cs="宋体" w:eastAsia="宋体" w:hint="ascii"/>
          <w:sz w:val="21"/>
        </w:rPr>
        <w:t>年共同设立第二期“国家自然科学基金委员会</w:t>
      </w:r>
      <w:r>
        <w:rPr>
          <w:rFonts w:ascii="宋体" w:hAnsi="宋体" w:cs="宋体" w:eastAsia="宋体" w:hint="ascii"/>
          <w:sz w:val="21"/>
        </w:rPr>
        <w:t>-</w:t>
      </w:r>
      <w:r>
        <w:rPr>
          <w:rFonts w:ascii="宋体" w:hAnsi="宋体" w:cs="宋体" w:eastAsia="宋体" w:hint="ascii"/>
          <w:sz w:val="21"/>
        </w:rPr>
        <w:t>雅砻江流域水电开发有限公司</w:t>
      </w:r>
      <w:r>
        <w:rPr>
          <w:rFonts w:ascii="宋体" w:hAnsi="宋体" w:cs="宋体" w:eastAsia="宋体" w:hint="ascii"/>
          <w:sz w:val="21"/>
          <w:spacing w:val="3"/>
        </w:rPr>
        <w:t>雅砻江联</w:t>
      </w:r>
      <w:r>
        <w:rPr>
          <w:rFonts w:ascii="宋体" w:hAnsi="宋体" w:cs="宋体" w:eastAsia="宋体" w:hint="ascii"/>
          <w:sz w:val="21"/>
        </w:rPr>
        <w:t>合</w:t>
      </w:r>
      <w:r>
        <w:rPr>
          <w:rFonts w:ascii="宋体" w:hAnsi="宋体" w:cs="宋体" w:eastAsia="宋体" w:hint="ascii"/>
          <w:sz w:val="21"/>
          <w:spacing w:val="3"/>
        </w:rPr>
        <w:t>基金</w:t>
      </w:r>
      <w:r>
        <w:rPr>
          <w:rFonts w:ascii="宋体" w:hAnsi="宋体" w:cs="宋体" w:eastAsia="宋体" w:hint="ascii"/>
          <w:sz w:val="21"/>
          <w:spacing w:val="-50"/>
        </w:rPr>
        <w:t>”</w:t>
      </w:r>
      <w:r>
        <w:rPr>
          <w:rFonts w:ascii="宋体" w:hAnsi="宋体" w:cs="宋体" w:eastAsia="宋体" w:hint="ascii"/>
          <w:sz w:val="21"/>
          <w:spacing w:val="3"/>
        </w:rPr>
        <w:t>（以</w:t>
      </w:r>
      <w:r>
        <w:rPr>
          <w:rFonts w:ascii="宋体" w:hAnsi="宋体" w:cs="宋体" w:eastAsia="宋体" w:hint="ascii"/>
          <w:sz w:val="21"/>
        </w:rPr>
        <w:t>下</w:t>
      </w:r>
      <w:r>
        <w:rPr>
          <w:rFonts w:ascii="宋体" w:hAnsi="宋体" w:cs="宋体" w:eastAsia="宋体" w:hint="ascii"/>
          <w:sz w:val="21"/>
          <w:spacing w:val="3"/>
        </w:rPr>
        <w:t>简称雅砻</w:t>
      </w:r>
      <w:r>
        <w:rPr>
          <w:rFonts w:ascii="宋体" w:hAnsi="宋体" w:cs="宋体" w:eastAsia="宋体" w:hint="ascii"/>
          <w:sz w:val="21"/>
        </w:rPr>
        <w:t>江</w:t>
      </w:r>
      <w:r>
        <w:rPr>
          <w:rFonts w:ascii="宋体" w:hAnsi="宋体" w:cs="宋体" w:eastAsia="宋体" w:hint="ascii"/>
          <w:sz w:val="21"/>
          <w:spacing w:val="3"/>
        </w:rPr>
        <w:t>联合基金</w:t>
      </w:r>
      <w:r>
        <w:rPr>
          <w:rFonts w:ascii="宋体" w:hAnsi="宋体" w:cs="宋体" w:eastAsia="宋体" w:hint="ascii"/>
          <w:sz w:val="21"/>
          <w:spacing w:val="-50"/>
        </w:rPr>
        <w:t>）</w:t>
      </w:r>
      <w:r>
        <w:rPr>
          <w:rFonts w:ascii="宋体" w:hAnsi="宋体" w:cs="宋体" w:eastAsia="宋体" w:hint="ascii"/>
          <w:sz w:val="21"/>
        </w:rPr>
        <w:t>，</w:t>
      </w:r>
      <w:r>
        <w:rPr>
          <w:rFonts w:ascii="宋体" w:hAnsi="宋体" w:cs="宋体" w:eastAsia="宋体" w:hint="ascii"/>
          <w:sz w:val="21"/>
          <w:spacing w:val="3"/>
        </w:rPr>
        <w:t>旨在发挥</w:t>
      </w:r>
      <w:r>
        <w:rPr>
          <w:rFonts w:ascii="宋体" w:hAnsi="宋体" w:cs="宋体" w:eastAsia="宋体" w:hint="ascii"/>
          <w:sz w:val="21"/>
        </w:rPr>
        <w:t>国</w:t>
      </w:r>
      <w:r>
        <w:rPr>
          <w:rFonts w:ascii="宋体" w:hAnsi="宋体" w:cs="宋体" w:eastAsia="宋体" w:hint="ascii"/>
          <w:sz w:val="21"/>
          <w:spacing w:val="3"/>
        </w:rPr>
        <w:t>家自然科</w:t>
      </w:r>
      <w:r>
        <w:rPr>
          <w:rFonts w:ascii="宋体" w:hAnsi="宋体" w:cs="宋体" w:eastAsia="宋体" w:hint="ascii"/>
          <w:sz w:val="21"/>
        </w:rPr>
        <w:t>学</w:t>
      </w:r>
      <w:r>
        <w:rPr>
          <w:rFonts w:ascii="宋体" w:hAnsi="宋体" w:cs="宋体" w:eastAsia="宋体" w:hint="ascii"/>
          <w:sz w:val="21"/>
          <w:spacing w:val="3"/>
        </w:rPr>
        <w:t>基金的导</w:t>
      </w:r>
      <w:r>
        <w:rPr>
          <w:rFonts w:ascii="宋体" w:hAnsi="宋体" w:cs="宋体" w:eastAsia="宋体" w:hint="ascii"/>
          <w:sz w:val="21"/>
        </w:rPr>
        <w:t>向作用，结合国家战略需求，提升我国清洁可再生能源及深地基础科学的自主创新能力，促进基础研究的重要成果在雅砻江流域风光水互补清洁能源示范基地建设和中国锦屏地下实验室研究中的应用，为解决我国清洁可再生能源开发利用和深地基础科学所面临的重大关键问题提供科学依据和技术支撑，培养一批相关科技人才。</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雅砻江联合基</w:t>
      </w:r>
      <w:r>
        <w:rPr>
          <w:rFonts w:ascii="宋体" w:hAnsi="宋体" w:cs="宋体" w:eastAsia="宋体" w:hint="ascii"/>
          <w:sz w:val="21"/>
          <w:spacing w:val="13"/>
        </w:rPr>
        <w:t>金</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26"/>
        </w:rPr>
        <w:t>8</w:t>
      </w:r>
      <w:r>
        <w:rPr>
          <w:rFonts w:ascii="宋体" w:hAnsi="宋体" w:cs="宋体" w:eastAsia="宋体" w:hint="ascii"/>
          <w:sz w:val="21"/>
        </w:rPr>
        <w:t>年度接收下</w:t>
      </w:r>
      <w:r>
        <w:rPr>
          <w:rFonts w:ascii="宋体" w:hAnsi="宋体" w:cs="宋体" w:eastAsia="宋体" w:hint="ascii"/>
          <w:sz w:val="21"/>
          <w:spacing w:val="13"/>
        </w:rPr>
        <w:t>述</w:t>
      </w:r>
      <w:r>
        <w:rPr>
          <w:rFonts w:ascii="Times New Roman" w:hAnsi="Times New Roman" w:cs="Times New Roman" w:eastAsia="Times New Roman" w:hint="ascii"/>
          <w:sz w:val="21"/>
          <w:spacing w:val="26"/>
        </w:rPr>
        <w:t>3</w:t>
      </w:r>
      <w:r>
        <w:rPr>
          <w:rFonts w:ascii="宋体" w:hAnsi="宋体" w:cs="宋体" w:eastAsia="宋体" w:hint="ascii"/>
          <w:sz w:val="21"/>
        </w:rPr>
        <w:t>个研究领域的重点支持项目和培育项目申请，</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其中重点支持项目直接费用平均资助强度</w:t>
      </w:r>
      <w:r>
        <w:rPr>
          <w:rFonts w:ascii="宋体" w:hAnsi="宋体" w:cs="宋体" w:eastAsia="宋体" w:hint="ascii"/>
          <w:sz w:val="21"/>
          <w:spacing w:val="14"/>
        </w:rPr>
        <w:t>为</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28"/>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w:t>
      </w:r>
      <w:r>
        <w:rPr>
          <w:rFonts w:ascii="宋体" w:hAnsi="宋体" w:cs="宋体" w:eastAsia="宋体" w:hint="ascii"/>
          <w:sz w:val="21"/>
          <w:spacing w:val="14"/>
        </w:rPr>
        <w:t>限</w:t>
      </w:r>
      <w:r>
        <w:rPr>
          <w:rFonts w:ascii="Times New Roman" w:hAnsi="Times New Roman" w:cs="Times New Roman" w:eastAsia="Times New Roman" w:hint="ascii"/>
          <w:sz w:val="21"/>
          <w:spacing w:val="28"/>
        </w:rPr>
        <w:t>4</w:t>
      </w:r>
      <w:r>
        <w:rPr>
          <w:rFonts w:ascii="宋体" w:hAnsi="宋体" w:cs="宋体" w:eastAsia="宋体" w:hint="ascii"/>
          <w:sz w:val="21"/>
        </w:rPr>
        <w:t>年。培育项目直接费用平均资助强度</w:t>
      </w:r>
      <w:r>
        <w:rPr>
          <w:rFonts w:ascii="宋体" w:hAnsi="宋体" w:cs="宋体" w:eastAsia="宋体" w:hint="ascii"/>
          <w:sz w:val="21"/>
          <w:spacing w:val="17"/>
        </w:rPr>
        <w:t>为</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33"/>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w:t>
      </w:r>
      <w:r>
        <w:rPr>
          <w:rFonts w:ascii="宋体" w:hAnsi="宋体" w:cs="宋体" w:eastAsia="宋体" w:hint="ascii"/>
          <w:sz w:val="21"/>
          <w:spacing w:val="17"/>
        </w:rPr>
        <w:t>限</w:t>
      </w:r>
      <w:r>
        <w:rPr>
          <w:rFonts w:ascii="Times New Roman" w:hAnsi="Times New Roman" w:cs="Times New Roman" w:eastAsia="Times New Roman" w:hint="ascii"/>
          <w:sz w:val="21"/>
          <w:spacing w:val="33"/>
        </w:rPr>
        <w:t>3</w:t>
      </w:r>
      <w:r>
        <w:rPr>
          <w:rFonts w:ascii="宋体" w:hAnsi="宋体" w:cs="宋体" w:eastAsia="宋体" w:hint="ascii"/>
          <w:sz w:val="21"/>
        </w:rPr>
        <w:t>年。雅砻江联合基金面向全国，欢迎全国符合条件的科学技术人员按照本《指南》范围和要求提出申请。</w:t>
      </w:r>
    </w:p>
    <w:p>
      <w:pPr>
        <w:autoSpaceDE w:val="0"/>
        <w:autoSpaceDN w:val="0"/>
        <w:jc w:val="left"/>
        <w:spacing w:before="15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spacing w:val="3"/>
        </w:rPr>
        <w:t>一、风、光、水互补清洁可再生能</w:t>
      </w:r>
      <w:r>
        <w:rPr>
          <w:rFonts w:ascii="宋体" w:hAnsi="宋体" w:cs="宋体" w:eastAsia="宋体" w:hint="ascii"/>
          <w:spacing w:val="4"/>
        </w:rPr>
        <w:t>源</w:t>
      </w:r>
      <w:r>
        <w:rPr>
          <w:rFonts w:ascii="宋体" w:hAnsi="宋体" w:cs="宋体" w:eastAsia="宋体" w:hint="ascii"/>
          <w:spacing w:val="3"/>
        </w:rPr>
        <w:t>开发技术研究（申请代</w:t>
      </w:r>
      <w:r>
        <w:rPr>
          <w:rFonts w:ascii="宋体" w:hAnsi="宋体" w:cs="宋体" w:eastAsia="宋体" w:hint="ascii"/>
        </w:rPr>
        <w:t>码</w:t>
      </w:r>
      <w:r>
        <w:rPr>
          <w:rFonts w:ascii="宋体" w:hAnsi="宋体" w:cs="宋体" w:eastAsia="宋体" w:hint="ascii"/>
          <w:spacing w:val="3"/>
        </w:rPr>
        <w:t xml:space="preserve"> </w:t>
      </w:r>
      <w:r>
        <w:rPr>
          <w:rFonts w:ascii="Times New Roman" w:hAnsi="Times New Roman" w:cs="Times New Roman" w:eastAsia="Times New Roman" w:hint="ascii"/>
          <w:b w:val="1"/>
        </w:rPr>
        <w:t>1</w:t>
      </w:r>
      <w:r>
        <w:rPr>
          <w:rFonts w:ascii="Times New Roman" w:hAnsi="Times New Roman" w:cs="Times New Roman" w:eastAsia="Times New Roman" w:hint="ascii"/>
          <w:b w:val="1"/>
          <w:spacing w:val="4"/>
        </w:rPr>
        <w:t xml:space="preserve"> </w:t>
      </w:r>
      <w:r>
        <w:rPr>
          <w:rFonts w:ascii="宋体" w:hAnsi="宋体" w:cs="宋体" w:eastAsia="宋体" w:hint="ascii"/>
          <w:spacing w:val="3"/>
        </w:rPr>
        <w:t>选</w:t>
      </w:r>
      <w:r>
        <w:rPr>
          <w:rFonts w:ascii="宋体" w:hAnsi="宋体" w:cs="宋体" w:eastAsia="宋体" w:hint="ascii"/>
        </w:rPr>
        <w:t>择</w:t>
      </w:r>
    </w:p>
    <w:p>
      <w:pPr>
        <w:autoSpaceDE w:val="0"/>
        <w:autoSpaceDN w:val="0"/>
        <w:jc w:val="left"/>
        <w:spacing w:before="0"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E05</w:t>
      </w:r>
      <w:r>
        <w:rPr>
          <w:rFonts w:ascii="宋体" w:hAnsi="宋体" w:cs="宋体" w:eastAsia="宋体" w:hint="ascii"/>
        </w:rPr>
        <w:t>、</w:t>
      </w:r>
      <w:r>
        <w:rPr>
          <w:rFonts w:ascii="Times New Roman" w:hAnsi="Times New Roman" w:cs="Times New Roman" w:eastAsia="Times New Roman" w:hint="ascii"/>
          <w:b w:val="1"/>
        </w:rPr>
        <w:t>E06</w:t>
      </w:r>
      <w:r>
        <w:rPr>
          <w:rFonts w:ascii="宋体" w:hAnsi="宋体" w:cs="宋体" w:eastAsia="宋体" w:hint="ascii"/>
        </w:rPr>
        <w:t>、</w:t>
      </w:r>
      <w:r>
        <w:rPr>
          <w:rFonts w:ascii="Times New Roman" w:hAnsi="Times New Roman" w:cs="Times New Roman" w:eastAsia="Times New Roman" w:hint="ascii"/>
          <w:b w:val="1"/>
        </w:rPr>
        <w:t>E0</w:t>
      </w:r>
      <w:r>
        <w:rPr>
          <w:rFonts w:ascii="Times New Roman" w:hAnsi="Times New Roman" w:cs="Times New Roman" w:eastAsia="Times New Roman" w:hint="ascii"/>
          <w:b w:val="1"/>
          <w:spacing w:val="60"/>
        </w:rPr>
        <w:t>7</w:t>
      </w:r>
      <w:r>
        <w:rPr>
          <w:rFonts w:ascii="宋体" w:hAnsi="宋体" w:cs="宋体" w:eastAsia="宋体" w:hint="ascii"/>
          <w:spacing w:val="30"/>
        </w:rPr>
        <w:t>或</w:t>
      </w:r>
      <w:r>
        <w:rPr>
          <w:rFonts w:ascii="Times New Roman" w:hAnsi="Times New Roman" w:cs="Times New Roman" w:eastAsia="Times New Roman" w:hint="ascii"/>
          <w:b w:val="1"/>
        </w:rPr>
        <w:t>E0</w:t>
      </w:r>
      <w:r>
        <w:rPr>
          <w:rFonts w:ascii="Times New Roman" w:hAnsi="Times New Roman" w:cs="Times New Roman" w:eastAsia="Times New Roman" w:hint="ascii"/>
          <w:b w:val="1"/>
          <w:spacing w:val="60"/>
        </w:rPr>
        <w:t>9</w:t>
      </w:r>
      <w:r>
        <w:rPr>
          <w:rFonts w:ascii="宋体" w:hAnsi="宋体" w:cs="宋体" w:eastAsia="宋体" w:hint="ascii"/>
        </w:rPr>
        <w:t>的下属代码）</w:t>
      </w:r>
    </w:p>
    <w:p>
      <w:pPr>
        <w:autoSpaceDE w:val="0"/>
        <w:autoSpaceDN w:val="0"/>
        <w:jc w:val="left"/>
        <w:spacing w:before="163" w:after="0" w:lineRule="exact" w:line="312"/>
        <w:ind w:right="963" w:left="1386" w:firstLine="0"/>
        <w:snapToGrid w:val="0"/>
        <w:textAlignment w:val="auto"/>
        <w:tabs>
          <w:tab w:val="left" w:leader="none" w:pos="1648"/>
        </w:tabs>
        <w:numPr>
          <w:ilvl w:val="0"/>
          <w:numId w:val="313"/>
        </w:numPr>
        <w:rPr>
          <w:rFonts w:ascii="Times New Roman" w:hAnsi="Times New Roman" w:cs="Times New Roman" w:eastAsia="Times New Roman" w:hint="ascii"/>
          <w:sz w:val="21"/>
        </w:rPr>
      </w:pPr>
      <w:r>
        <w:rPr>
          <w:rFonts w:ascii="宋体" w:hAnsi="宋体" w:cs="宋体" w:eastAsia="宋体" w:hint="ascii"/>
          <w:sz w:val="21"/>
          <w:spacing w:val="-2"/>
        </w:rPr>
        <w:t>流域风、光、水多能互补示范基地全生命周期、智能化运行维护和远程集中控</w:t>
      </w:r>
      <w:r>
        <w:rPr>
          <w:rFonts w:ascii="宋体" w:hAnsi="宋体" w:cs="宋体" w:eastAsia="宋体" w:hint="ascii"/>
          <w:sz w:val="21"/>
        </w:rPr>
        <w:t>制</w:t>
      </w:r>
      <w:r>
        <w:rPr>
          <w:rFonts w:ascii="宋体" w:hAnsi="宋体" w:cs="宋体" w:eastAsia="宋体" w:hint="ascii"/>
          <w:sz w:val="21"/>
        </w:rPr>
        <w:t>结合雅砻江流域风、光、水互补清洁能源示范基地建设，综合运用物联网、大数据</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等技术实现示范基地的全生命周期、智能化运行维护和远程集中控制。研究内容包括：</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）流域风、光、水发电系统全生命周期管理理论与技术方法研究；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）流域风、光、水多能互补智能化运行维护理论与方法研究；</w:t>
      </w:r>
    </w:p>
    <w:p>
      <w:pPr>
        <w:autoSpaceDE w:val="0"/>
        <w:autoSpaceDN w:val="0"/>
        <w:jc w:val="right"/>
        <w:spacing w:before="10" w:after="0" w:lineRule="exact" w:line="312"/>
        <w:ind w:right="978" w:left="110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）以流域集控中心为核心的流域风光水电站远程、联合、集中控制的关键技术。本方向受理“培育项目”和“重点支持项目”的申请。其中“重点支持项目”申请</w:t>
      </w:r>
    </w:p>
    <w:p>
      <w:pPr>
        <w:autoSpaceDE w:val="0"/>
        <w:autoSpaceDN w:val="0"/>
        <w:jc w:val="both"/>
        <w:spacing w:before="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书中需包含但不限于上述（</w:t>
      </w:r>
      <w:r>
        <w:rPr>
          <w:rFonts w:ascii="Times New Roman" w:hAnsi="Times New Roman" w:cs="Times New Roman" w:eastAsia="Times New Roman" w:hint="ascii"/>
          <w:sz w:val="21"/>
        </w:rPr>
        <w:t>1</w:t>
      </w:r>
      <w:r>
        <w:rPr>
          <w:rFonts w:ascii="宋体" w:hAnsi="宋体" w:cs="宋体" w:eastAsia="宋体" w:hint="ascii"/>
          <w:sz w:val="21"/>
        </w:rPr>
        <w:t>）和（</w:t>
      </w:r>
      <w:r>
        <w:rPr>
          <w:rFonts w:ascii="Times New Roman" w:hAnsi="Times New Roman" w:cs="Times New Roman" w:eastAsia="Times New Roman" w:hint="ascii"/>
          <w:sz w:val="21"/>
        </w:rPr>
        <w:t>2</w:t>
      </w:r>
      <w:r>
        <w:rPr>
          <w:rFonts w:ascii="宋体" w:hAnsi="宋体" w:cs="宋体" w:eastAsia="宋体" w:hint="ascii"/>
          <w:sz w:val="21"/>
        </w:rPr>
        <w:t>）两个方面的研究内容</w:t>
      </w:r>
      <w:r>
        <w:rPr>
          <w:rFonts w:ascii="宋体" w:hAnsi="宋体" w:cs="宋体" w:eastAsia="宋体" w:hint="ascii"/>
          <w:sz w:val="21"/>
          <w:spacing w:val="-53"/>
        </w:rPr>
        <w:t>；</w:t>
      </w:r>
      <w:r>
        <w:rPr>
          <w:rFonts w:ascii="宋体" w:hAnsi="宋体" w:cs="宋体" w:eastAsia="宋体" w:hint="ascii"/>
          <w:sz w:val="21"/>
        </w:rPr>
        <w:t>“培育项目”只受理上述第（</w:t>
      </w:r>
      <w:r>
        <w:rPr>
          <w:rFonts w:ascii="Times New Roman" w:hAnsi="Times New Roman" w:cs="Times New Roman" w:eastAsia="Times New Roman" w:hint="ascii"/>
          <w:sz w:val="21"/>
        </w:rPr>
        <w:t>3</w:t>
      </w:r>
      <w:r>
        <w:rPr>
          <w:rFonts w:ascii="宋体" w:hAnsi="宋体" w:cs="宋体" w:eastAsia="宋体" w:hint="ascii"/>
          <w:sz w:val="21"/>
        </w:rPr>
        <w:t>）方面的研究内容。</w:t>
      </w:r>
    </w:p>
    <w:p>
      <w:pPr>
        <w:autoSpaceDE w:val="0"/>
        <w:autoSpaceDN w:val="0"/>
        <w:jc w:val="left"/>
        <w:spacing w:before="34" w:after="0" w:lineRule="auto" w:line="240"/>
        <w:ind w:right="0" w:left="1386" w:firstLine="0"/>
        <w:snapToGrid w:val="0"/>
        <w:textAlignment w:val="auto"/>
        <w:tabs>
          <w:tab w:val="left" w:leader="none" w:pos="1648"/>
        </w:tabs>
        <w:numPr>
          <w:ilvl w:val="0"/>
          <w:numId w:val="313"/>
        </w:numPr>
        <w:rPr>
          <w:rFonts w:ascii="Times New Roman" w:hAnsi="Times New Roman" w:cs="Times New Roman" w:eastAsia="Times New Roman" w:hint="ascii"/>
          <w:sz w:val="21"/>
        </w:rPr>
      </w:pPr>
      <w:r>
        <w:rPr>
          <w:rFonts w:ascii="宋体" w:hAnsi="宋体" w:cs="宋体" w:eastAsia="宋体" w:hint="ascii"/>
          <w:sz w:val="21"/>
        </w:rPr>
        <w:t>区域用电需求预测方法及多种清洁可再生能源消纳模式研究</w:t>
      </w:r>
    </w:p>
    <w:p>
      <w:pPr>
        <w:autoSpaceDE w:val="0"/>
        <w:autoSpaceDN w:val="0"/>
        <w:jc w:val="left"/>
        <w:spacing w:before="5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结合雅砻江流域风、光、水互补清洁能源示范基地电量消纳的各受电地区情况，开</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展不同时间</w:t>
      </w:r>
      <w:r>
        <w:rPr>
          <w:rFonts w:ascii="宋体" w:hAnsi="宋体" w:cs="宋体" w:eastAsia="宋体" w:hint="ascii"/>
          <w:sz w:val="21"/>
        </w:rPr>
        <w:t>尺度下的区域用电需求预测方法，以及风、光、水多种清洁可再生能源发电企业参与不同受电地区电力市场的消纳模式和交易策略等的研究。研究内容包括：</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）开展受电区不同时间尺度下的用电需求预测；</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）研究风</w:t>
      </w:r>
      <w:r>
        <w:rPr>
          <w:rFonts w:ascii="宋体" w:hAnsi="宋体" w:cs="宋体" w:eastAsia="宋体" w:hint="ascii"/>
          <w:sz w:val="21"/>
        </w:rPr>
        <w:t>、光、水多种清洁可再生能源发电企业参与电力市场的消纳模式及交易策略；</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）风、光</w:t>
      </w:r>
      <w:r>
        <w:rPr>
          <w:rFonts w:ascii="宋体" w:hAnsi="宋体" w:cs="宋体" w:eastAsia="宋体" w:hint="ascii"/>
          <w:sz w:val="21"/>
        </w:rPr>
        <w:t>、水互补清洁可再生能源在复杂发、输、变、配、用条件下，跨区域、长距离电力输送关键技术研究。</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本方向不受理</w:t>
      </w:r>
      <w:r>
        <w:rPr>
          <w:rFonts w:ascii="宋体" w:hAnsi="宋体" w:cs="宋体" w:eastAsia="宋体" w:hint="ascii"/>
          <w:sz w:val="21"/>
        </w:rPr>
        <w:t>“培育项目”申请，仅受理“重点支持项目”申请。其中“重点支持项目”申请书中需包含但不限于上述（</w:t>
      </w:r>
      <w:r>
        <w:rPr>
          <w:rFonts w:ascii="Times New Roman" w:hAnsi="Times New Roman" w:cs="Times New Roman" w:eastAsia="Times New Roman" w:hint="ascii"/>
          <w:sz w:val="21"/>
        </w:rPr>
        <w:t>1</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）和（</w:t>
      </w:r>
      <w:r>
        <w:rPr>
          <w:rFonts w:ascii="Times New Roman" w:hAnsi="Times New Roman" w:cs="Times New Roman" w:eastAsia="Times New Roman" w:hint="ascii"/>
          <w:sz w:val="21"/>
        </w:rPr>
        <w:t>3</w:t>
      </w:r>
      <w:r>
        <w:rPr>
          <w:rFonts w:ascii="宋体" w:hAnsi="宋体" w:cs="宋体" w:eastAsia="宋体" w:hint="ascii"/>
          <w:sz w:val="21"/>
        </w:rPr>
        <w:t>）三个方面的内容。</w:t>
      </w:r>
    </w:p>
    <w:p>
      <w:pPr>
        <w:autoSpaceDE w:val="0"/>
        <w:autoSpaceDN w:val="0"/>
        <w:jc w:val="left"/>
        <w:spacing w:before="34" w:after="0" w:lineRule="auto" w:line="240"/>
        <w:ind w:right="0" w:left="1386" w:firstLine="0"/>
        <w:snapToGrid w:val="0"/>
        <w:textAlignment w:val="auto"/>
        <w:tabs>
          <w:tab w:val="left" w:leader="none" w:pos="1648"/>
        </w:tabs>
        <w:numPr>
          <w:ilvl w:val="0"/>
          <w:numId w:val="313"/>
        </w:numPr>
        <w:rPr>
          <w:rFonts w:ascii="Times New Roman" w:hAnsi="Times New Roman" w:cs="Times New Roman" w:eastAsia="Times New Roman" w:hint="ascii"/>
          <w:sz w:val="21"/>
        </w:rPr>
      </w:pPr>
      <w:r>
        <w:rPr>
          <w:rFonts w:ascii="宋体" w:hAnsi="宋体" w:cs="宋体" w:eastAsia="宋体" w:hint="ascii"/>
          <w:sz w:val="21"/>
        </w:rPr>
        <w:t>雅砻江流域风电场优化选址、风资源测量、评估及机组设备选型方法研究</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针对雅砻江风、光、水互补示范基地高海拔地区复杂地形，开展风电场优化选址、</w:t>
      </w:r>
    </w:p>
    <w:p>
      <w:pPr>
        <w:autoSpaceDE w:val="0"/>
        <w:autoSpaceDN w:val="0"/>
        <w:jc w:val="left"/>
        <w:spacing w:before="32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风资源测量、评估及机组设备选型研究。研究内容包括：</w:t>
      </w:r>
      <w:r>
        <w:rPr>
          <w:rFonts w:ascii="宋体" w:hAnsi="宋体" w:cs="宋体" w:eastAsia="宋体" w:hint="ascii"/>
          <w:sz w:val="21"/>
        </w:rPr>
        <mc:AlternateContent>
          <mc:Choice Requires="wps">
            <w:drawing>
              <wp:anchor distL="0" distR="0" distT="0" distB="0" simplePos="0" behindDoc="1" relativeHeight="280" locked="0" layoutInCell="1" allowOverlap="1">
                <wp:simplePos x="0" y="0"/>
                <wp:positionH relativeFrom="page">
                  <wp:posOffset>938530</wp:posOffset>
                </wp:positionH>
                <wp:positionV relativeFrom="page">
                  <wp:posOffset>805815</wp:posOffset>
                </wp:positionV>
                <wp:extent cx="5076190" cy="0"/>
                <wp:wrapNone/>
                <wp:docPr id="1309" name="130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71520;width:399.70pt;" id="130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）雅砻江流域风电场风能资源测量与评估研究；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）雅砻江流域风能资源多尺度耦合评估方法研究；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）雅砻江流域风电场优化选址、机组设备选型研究。</w:t>
      </w:r>
    </w:p>
    <w:p>
      <w:pPr>
        <w:autoSpaceDE w:val="0"/>
        <w:autoSpaceDN w:val="0"/>
        <w:jc w:val="both"/>
        <w:spacing w:before="10" w:after="0" w:lineRule="exact" w:line="312"/>
        <w:ind w:right="971" w:left="966" w:firstLine="420"/>
        <w:snapToGrid w:val="0"/>
        <w:textAlignment w:val="auto"/>
        <w:tabs/>
        <w:rPr>
          <w:rFonts w:ascii="宋体" w:hAnsi="宋体" w:cs="宋体" w:eastAsia="宋体" w:hint="ascii"/>
          <w:sz w:val="21"/>
        </w:rPr>
      </w:pPr>
      <w:r>
        <w:rPr>
          <w:rFonts w:ascii="宋体" w:hAnsi="宋体" w:cs="宋体" w:eastAsia="宋体" w:hint="ascii"/>
          <w:sz w:val="21"/>
        </w:rPr>
        <w:t>本方</w:t>
      </w:r>
      <w:r>
        <w:rPr>
          <w:rFonts w:ascii="宋体" w:hAnsi="宋体" w:cs="宋体" w:eastAsia="宋体" w:hint="ascii"/>
          <w:sz w:val="21"/>
          <w:spacing w:val="-1"/>
        </w:rPr>
        <w:t>向</w:t>
      </w:r>
      <w:r>
        <w:rPr>
          <w:rFonts w:ascii="宋体" w:hAnsi="宋体" w:cs="宋体" w:eastAsia="宋体" w:hint="ascii"/>
          <w:sz w:val="21"/>
        </w:rPr>
        <w:t>仅</w:t>
      </w:r>
      <w:r>
        <w:rPr>
          <w:rFonts w:ascii="宋体" w:hAnsi="宋体" w:cs="宋体" w:eastAsia="宋体" w:hint="ascii"/>
          <w:sz w:val="21"/>
          <w:spacing w:val="-1"/>
        </w:rPr>
        <w:t>受</w:t>
      </w:r>
      <w:r>
        <w:rPr>
          <w:rFonts w:ascii="宋体" w:hAnsi="宋体" w:cs="宋体" w:eastAsia="宋体" w:hint="ascii"/>
          <w:sz w:val="21"/>
        </w:rPr>
        <w:t>理“</w:t>
      </w:r>
      <w:r>
        <w:rPr>
          <w:rFonts w:ascii="宋体" w:hAnsi="宋体" w:cs="宋体" w:eastAsia="宋体" w:hint="ascii"/>
          <w:sz w:val="21"/>
          <w:spacing w:val="-1"/>
        </w:rPr>
        <w:t>培</w:t>
      </w:r>
      <w:r>
        <w:rPr>
          <w:rFonts w:ascii="宋体" w:hAnsi="宋体" w:cs="宋体" w:eastAsia="宋体" w:hint="ascii"/>
          <w:sz w:val="21"/>
        </w:rPr>
        <w:t>育</w:t>
      </w:r>
      <w:r>
        <w:rPr>
          <w:rFonts w:ascii="宋体" w:hAnsi="宋体" w:cs="宋体" w:eastAsia="宋体" w:hint="ascii"/>
          <w:sz w:val="21"/>
          <w:spacing w:val="-1"/>
        </w:rPr>
        <w:t>项</w:t>
      </w:r>
      <w:r>
        <w:rPr>
          <w:rFonts w:ascii="宋体" w:hAnsi="宋体" w:cs="宋体" w:eastAsia="宋体" w:hint="ascii"/>
          <w:sz w:val="21"/>
        </w:rPr>
        <w:t>目”</w:t>
      </w:r>
      <w:r>
        <w:rPr>
          <w:rFonts w:ascii="宋体" w:hAnsi="宋体" w:cs="宋体" w:eastAsia="宋体" w:hint="ascii"/>
          <w:sz w:val="21"/>
          <w:spacing w:val="-1"/>
        </w:rPr>
        <w:t>申</w:t>
      </w:r>
      <w:r>
        <w:rPr>
          <w:rFonts w:ascii="宋体" w:hAnsi="宋体" w:cs="宋体" w:eastAsia="宋体" w:hint="ascii"/>
          <w:sz w:val="21"/>
        </w:rPr>
        <w:t>请</w:t>
      </w:r>
      <w:r>
        <w:rPr>
          <w:rFonts w:ascii="宋体" w:hAnsi="宋体" w:cs="宋体" w:eastAsia="宋体" w:hint="ascii"/>
          <w:sz w:val="21"/>
          <w:spacing w:val="-1"/>
        </w:rPr>
        <w:t>，</w:t>
      </w:r>
      <w:r>
        <w:rPr>
          <w:rFonts w:ascii="宋体" w:hAnsi="宋体" w:cs="宋体" w:eastAsia="宋体" w:hint="ascii"/>
          <w:sz w:val="21"/>
        </w:rPr>
        <w:t>不受</w:t>
      </w:r>
      <w:r>
        <w:rPr>
          <w:rFonts w:ascii="宋体" w:hAnsi="宋体" w:cs="宋体" w:eastAsia="宋体" w:hint="ascii"/>
          <w:sz w:val="21"/>
          <w:spacing w:val="-1"/>
        </w:rPr>
        <w:t>理</w:t>
      </w:r>
      <w:r>
        <w:rPr>
          <w:rFonts w:ascii="宋体" w:hAnsi="宋体" w:cs="宋体" w:eastAsia="宋体" w:hint="ascii"/>
          <w:sz w:val="21"/>
        </w:rPr>
        <w:t>“</w:t>
      </w:r>
      <w:r>
        <w:rPr>
          <w:rFonts w:ascii="宋体" w:hAnsi="宋体" w:cs="宋体" w:eastAsia="宋体" w:hint="ascii"/>
          <w:sz w:val="21"/>
          <w:spacing w:val="-1"/>
        </w:rPr>
        <w:t>重</w:t>
      </w:r>
      <w:r>
        <w:rPr>
          <w:rFonts w:ascii="宋体" w:hAnsi="宋体" w:cs="宋体" w:eastAsia="宋体" w:hint="ascii"/>
          <w:sz w:val="21"/>
        </w:rPr>
        <w:t>点支</w:t>
      </w:r>
      <w:r>
        <w:rPr>
          <w:rFonts w:ascii="宋体" w:hAnsi="宋体" w:cs="宋体" w:eastAsia="宋体" w:hint="ascii"/>
          <w:sz w:val="21"/>
          <w:spacing w:val="-1"/>
        </w:rPr>
        <w:t>持</w:t>
      </w:r>
      <w:r>
        <w:rPr>
          <w:rFonts w:ascii="宋体" w:hAnsi="宋体" w:cs="宋体" w:eastAsia="宋体" w:hint="ascii"/>
          <w:sz w:val="21"/>
        </w:rPr>
        <w:t>项</w:t>
      </w:r>
      <w:r>
        <w:rPr>
          <w:rFonts w:ascii="宋体" w:hAnsi="宋体" w:cs="宋体" w:eastAsia="宋体" w:hint="ascii"/>
          <w:sz w:val="21"/>
          <w:spacing w:val="-1"/>
        </w:rPr>
        <w:t>目</w:t>
      </w:r>
      <w:r>
        <w:rPr>
          <w:rFonts w:ascii="宋体" w:hAnsi="宋体" w:cs="宋体" w:eastAsia="宋体" w:hint="ascii"/>
          <w:sz w:val="21"/>
        </w:rPr>
        <w:t>”申请</w:t>
      </w:r>
      <w:r>
        <w:rPr>
          <w:rFonts w:ascii="宋体" w:hAnsi="宋体" w:cs="宋体" w:eastAsia="宋体" w:hint="ascii"/>
          <w:sz w:val="21"/>
          <w:spacing w:val="-54"/>
        </w:rPr>
        <w:t>。</w:t>
      </w:r>
      <w:r>
        <w:rPr>
          <w:rFonts w:ascii="宋体" w:hAnsi="宋体" w:cs="宋体" w:eastAsia="宋体" w:hint="ascii"/>
          <w:sz w:val="21"/>
        </w:rPr>
        <w:t>“</w:t>
      </w:r>
      <w:r>
        <w:rPr>
          <w:rFonts w:ascii="宋体" w:hAnsi="宋体" w:cs="宋体" w:eastAsia="宋体" w:hint="ascii"/>
          <w:sz w:val="21"/>
          <w:spacing w:val="-1"/>
        </w:rPr>
        <w:t>培</w:t>
      </w:r>
      <w:r>
        <w:rPr>
          <w:rFonts w:ascii="宋体" w:hAnsi="宋体" w:cs="宋体" w:eastAsia="宋体" w:hint="ascii"/>
          <w:sz w:val="21"/>
        </w:rPr>
        <w:t>育项</w:t>
      </w:r>
      <w:r>
        <w:rPr>
          <w:rFonts w:ascii="宋体" w:hAnsi="宋体" w:cs="宋体" w:eastAsia="宋体" w:hint="ascii"/>
          <w:sz w:val="21"/>
          <w:spacing w:val="-1"/>
        </w:rPr>
        <w:t>目</w:t>
      </w:r>
      <w:r>
        <w:rPr>
          <w:rFonts w:ascii="宋体" w:hAnsi="宋体" w:cs="宋体" w:eastAsia="宋体" w:hint="ascii"/>
          <w:sz w:val="21"/>
        </w:rPr>
        <w:t>”</w:t>
      </w:r>
      <w:r>
        <w:rPr>
          <w:rFonts w:ascii="宋体" w:hAnsi="宋体" w:cs="宋体" w:eastAsia="宋体" w:hint="ascii"/>
          <w:sz w:val="21"/>
          <w:spacing w:val="-4"/>
        </w:rPr>
        <w:t>仅</w:t>
      </w:r>
      <w:r>
        <w:rPr>
          <w:rFonts w:ascii="宋体" w:hAnsi="宋体" w:cs="宋体" w:eastAsia="宋体" w:hint="ascii"/>
          <w:sz w:val="21"/>
        </w:rPr>
        <w:t>受理上述（</w:t>
      </w:r>
      <w:r>
        <w:rPr>
          <w:rFonts w:ascii="Times New Roman" w:hAnsi="Times New Roman" w:cs="Times New Roman" w:eastAsia="Times New Roman" w:hint="ascii"/>
          <w:sz w:val="21"/>
        </w:rPr>
        <w:t>1</w:t>
      </w:r>
      <w:r>
        <w:rPr>
          <w:rFonts w:ascii="宋体" w:hAnsi="宋体" w:cs="宋体" w:eastAsia="宋体" w:hint="ascii"/>
          <w:sz w:val="21"/>
        </w:rPr>
        <w:t>）或（</w:t>
      </w:r>
      <w:r>
        <w:rPr>
          <w:rFonts w:ascii="Times New Roman" w:hAnsi="Times New Roman" w:cs="Times New Roman" w:eastAsia="Times New Roman" w:hint="ascii"/>
          <w:sz w:val="21"/>
        </w:rPr>
        <w:t>2</w:t>
      </w:r>
      <w:r>
        <w:rPr>
          <w:rFonts w:ascii="宋体" w:hAnsi="宋体" w:cs="宋体" w:eastAsia="宋体" w:hint="ascii"/>
          <w:sz w:val="21"/>
        </w:rPr>
        <w:t>）或（</w:t>
      </w:r>
      <w:r>
        <w:rPr>
          <w:rFonts w:ascii="Times New Roman" w:hAnsi="Times New Roman" w:cs="Times New Roman" w:eastAsia="Times New Roman" w:hint="ascii"/>
          <w:sz w:val="21"/>
        </w:rPr>
        <w:t>3</w:t>
      </w:r>
      <w:r>
        <w:rPr>
          <w:rFonts w:ascii="宋体" w:hAnsi="宋体" w:cs="宋体" w:eastAsia="宋体" w:hint="ascii"/>
          <w:sz w:val="21"/>
        </w:rPr>
        <w:t>）方面研究内容的申请。</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二、高坝工程建设和流域梯级电站长期安全经济运行（申请代码</w:t>
      </w:r>
      <w:r>
        <w:rPr>
          <w:rFonts w:ascii="宋体" w:hAnsi="宋体" w:cs="宋体" w:eastAsia="宋体" w:hint="ascii"/>
          <w:spacing w:val="-15"/>
        </w:rPr>
        <w:t xml:space="preserve"> </w:t>
      </w:r>
      <w:r>
        <w:rPr>
          <w:rFonts w:ascii="Times New Roman" w:hAnsi="Times New Roman" w:cs="Times New Roman" w:eastAsia="Times New Roman" w:hint="ascii"/>
          <w:b w:val="1"/>
        </w:rPr>
        <w:t>1</w:t>
      </w:r>
      <w:r>
        <w:rPr>
          <w:rFonts w:ascii="Times New Roman" w:hAnsi="Times New Roman" w:cs="Times New Roman" w:eastAsia="Times New Roman" w:hint="ascii"/>
          <w:b w:val="1"/>
          <w:spacing w:val="-14"/>
        </w:rPr>
        <w:t xml:space="preserve"> </w:t>
      </w:r>
      <w:r>
        <w:rPr>
          <w:rFonts w:ascii="宋体" w:hAnsi="宋体" w:cs="宋体" w:eastAsia="宋体" w:hint="ascii"/>
        </w:rPr>
        <w:t>选择</w:t>
      </w:r>
    </w:p>
    <w:p>
      <w:pPr>
        <w:autoSpaceDE w:val="0"/>
        <w:autoSpaceDN w:val="0"/>
        <w:jc w:val="left"/>
        <w:spacing w:before="12"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w:t>
      </w:r>
      <w:r>
        <w:rPr>
          <w:rFonts w:ascii="Times New Roman" w:hAnsi="Times New Roman" w:cs="Times New Roman" w:eastAsia="Times New Roman" w:hint="ascii"/>
          <w:b w:val="1"/>
          <w:spacing w:val="60"/>
        </w:rPr>
        <w:t>9</w:t>
      </w:r>
      <w:r>
        <w:rPr>
          <w:rFonts w:ascii="宋体" w:hAnsi="宋体" w:cs="宋体" w:eastAsia="宋体" w:hint="ascii"/>
        </w:rPr>
        <w:t>的下属代码）</w:t>
      </w:r>
    </w:p>
    <w:p>
      <w:pPr>
        <w:autoSpaceDE w:val="0"/>
        <w:autoSpaceDN w:val="0"/>
        <w:jc w:val="left"/>
        <w:spacing w:before="205" w:after="0" w:lineRule="auto" w:line="240"/>
        <w:ind w:right="0" w:left="1649" w:hanging="263"/>
        <w:snapToGrid w:val="0"/>
        <w:textAlignment w:val="auto"/>
        <w:tabs>
          <w:tab w:val="left" w:leader="none" w:pos="1648"/>
        </w:tabs>
        <w:numPr>
          <w:ilvl w:val="0"/>
          <w:numId w:val="314"/>
        </w:numPr>
        <w:rPr>
          <w:rFonts w:ascii="Times New Roman" w:hAnsi="Times New Roman" w:cs="Times New Roman" w:eastAsia="Times New Roman" w:hint="ascii"/>
          <w:sz w:val="21"/>
        </w:rPr>
      </w:pPr>
      <w:r>
        <w:rPr>
          <w:rFonts w:ascii="宋体" w:hAnsi="宋体" w:cs="宋体" w:eastAsia="宋体" w:hint="ascii"/>
          <w:sz w:val="21"/>
        </w:rPr>
        <w:t>特高土心墙堆石坝土料冻融性能演变规律及其机理研究</w:t>
      </w:r>
    </w:p>
    <w:p>
      <w:pPr>
        <w:autoSpaceDE w:val="0"/>
        <w:autoSpaceDN w:val="0"/>
        <w:jc w:val="both"/>
        <w:spacing w:before="17" w:after="0" w:lineRule="exact" w:line="312"/>
        <w:ind w:right="971"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结合</w:t>
      </w:r>
      <w:r>
        <w:rPr>
          <w:rFonts w:ascii="宋体" w:hAnsi="宋体" w:cs="宋体" w:eastAsia="宋体" w:hint="ascii"/>
          <w:sz w:val="21"/>
        </w:rPr>
        <w:t>雅砻江中游两河口电站，研究不同条件下冻融土料对大坝渗透稳定、变形稳定等方面的影响。研究内容包括：</w:t>
      </w:r>
    </w:p>
    <w:p>
      <w:pPr>
        <w:autoSpaceDE w:val="0"/>
        <w:autoSpaceDN w:val="0"/>
        <w:jc w:val="both"/>
        <w:spacing w:before="0" w:after="0" w:lineRule="exact" w:line="312"/>
        <w:ind w:right="971"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w:t>
      </w:r>
      <w:r>
        <w:rPr>
          <w:rFonts w:ascii="宋体" w:hAnsi="宋体" w:cs="宋体" w:eastAsia="宋体" w:hint="ascii"/>
          <w:sz w:val="21"/>
        </w:rPr>
        <w:t>研究心墙（与岸坡）接触黏土和砾石土料在不同压实状态下，经过冻融循环后的微细观结构变化、力学特性变化及渗透性能变化的规律及其机理；</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w:t>
      </w:r>
      <w:r>
        <w:rPr>
          <w:rFonts w:ascii="宋体" w:hAnsi="宋体" w:cs="宋体" w:eastAsia="宋体" w:hint="ascii"/>
          <w:sz w:val="21"/>
          <w:spacing w:val="-3"/>
        </w:rPr>
        <w:t>研究</w:t>
      </w:r>
      <w:r>
        <w:rPr>
          <w:rFonts w:ascii="宋体" w:hAnsi="宋体" w:cs="宋体" w:eastAsia="宋体" w:hint="ascii"/>
          <w:sz w:val="21"/>
          <w:spacing w:val="-4"/>
        </w:rPr>
        <w:t>冻</w:t>
      </w:r>
      <w:r>
        <w:rPr>
          <w:rFonts w:ascii="宋体" w:hAnsi="宋体" w:cs="宋体" w:eastAsia="宋体" w:hint="ascii"/>
          <w:sz w:val="21"/>
          <w:spacing w:val="-3"/>
        </w:rPr>
        <w:t>融损伤后再压实的心墙（与岸坡）接触黏土和砾石土料的微细观结构、</w:t>
      </w:r>
      <w:r>
        <w:rPr>
          <w:rFonts w:ascii="宋体" w:hAnsi="宋体" w:cs="宋体" w:eastAsia="宋体" w:hint="ascii"/>
          <w:sz w:val="21"/>
        </w:rPr>
        <w:t>渗</w:t>
      </w:r>
    </w:p>
    <w:p>
      <w:pPr>
        <w:autoSpaceDE w:val="0"/>
        <w:autoSpaceDN w:val="0"/>
        <w:jc w:val="both"/>
        <w:spacing w:before="10"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4"/>
        </w:rPr>
        <w:t>透性</w:t>
      </w:r>
      <w:r>
        <w:rPr>
          <w:rFonts w:ascii="宋体" w:hAnsi="宋体" w:cs="宋体" w:eastAsia="宋体" w:hint="ascii"/>
          <w:sz w:val="21"/>
          <w:spacing w:val="-5"/>
        </w:rPr>
        <w:t>能</w:t>
      </w:r>
      <w:r>
        <w:rPr>
          <w:rFonts w:ascii="宋体" w:hAnsi="宋体" w:cs="宋体" w:eastAsia="宋体" w:hint="ascii"/>
          <w:sz w:val="21"/>
          <w:spacing w:val="-4"/>
        </w:rPr>
        <w:t>和</w:t>
      </w:r>
      <w:r>
        <w:rPr>
          <w:rFonts w:ascii="宋体" w:hAnsi="宋体" w:cs="宋体" w:eastAsia="宋体" w:hint="ascii"/>
          <w:sz w:val="21"/>
          <w:spacing w:val="-5"/>
        </w:rPr>
        <w:t>力学</w:t>
      </w:r>
      <w:r>
        <w:rPr>
          <w:rFonts w:ascii="宋体" w:hAnsi="宋体" w:cs="宋体" w:eastAsia="宋体" w:hint="ascii"/>
          <w:sz w:val="21"/>
          <w:spacing w:val="-4"/>
        </w:rPr>
        <w:t>特性</w:t>
      </w:r>
      <w:r>
        <w:rPr>
          <w:rFonts w:ascii="宋体" w:hAnsi="宋体" w:cs="宋体" w:eastAsia="宋体" w:hint="ascii"/>
          <w:sz w:val="21"/>
          <w:spacing w:val="-5"/>
        </w:rPr>
        <w:t>，</w:t>
      </w:r>
      <w:r>
        <w:rPr>
          <w:rFonts w:ascii="宋体" w:hAnsi="宋体" w:cs="宋体" w:eastAsia="宋体" w:hint="ascii"/>
          <w:sz w:val="21"/>
          <w:spacing w:val="-4"/>
        </w:rPr>
        <w:t>并</w:t>
      </w:r>
      <w:r>
        <w:rPr>
          <w:rFonts w:ascii="宋体" w:hAnsi="宋体" w:cs="宋体" w:eastAsia="宋体" w:hint="ascii"/>
          <w:sz w:val="21"/>
          <w:spacing w:val="-5"/>
        </w:rPr>
        <w:t>开展</w:t>
      </w:r>
      <w:r>
        <w:rPr>
          <w:rFonts w:ascii="宋体" w:hAnsi="宋体" w:cs="宋体" w:eastAsia="宋体" w:hint="ascii"/>
          <w:sz w:val="21"/>
          <w:spacing w:val="-4"/>
        </w:rPr>
        <w:t>提高</w:t>
      </w:r>
      <w:r>
        <w:rPr>
          <w:rFonts w:ascii="宋体" w:hAnsi="宋体" w:cs="宋体" w:eastAsia="宋体" w:hint="ascii"/>
          <w:sz w:val="21"/>
          <w:spacing w:val="-5"/>
        </w:rPr>
        <w:t>或</w:t>
      </w:r>
      <w:r>
        <w:rPr>
          <w:rFonts w:ascii="宋体" w:hAnsi="宋体" w:cs="宋体" w:eastAsia="宋体" w:hint="ascii"/>
          <w:sz w:val="21"/>
          <w:spacing w:val="-4"/>
        </w:rPr>
        <w:t>恢</w:t>
      </w:r>
      <w:r>
        <w:rPr>
          <w:rFonts w:ascii="宋体" w:hAnsi="宋体" w:cs="宋体" w:eastAsia="宋体" w:hint="ascii"/>
          <w:sz w:val="21"/>
          <w:spacing w:val="-5"/>
        </w:rPr>
        <w:t>复冻</w:t>
      </w:r>
      <w:r>
        <w:rPr>
          <w:rFonts w:ascii="宋体" w:hAnsi="宋体" w:cs="宋体" w:eastAsia="宋体" w:hint="ascii"/>
          <w:sz w:val="21"/>
          <w:spacing w:val="-4"/>
        </w:rPr>
        <w:t>融损</w:t>
      </w:r>
      <w:r>
        <w:rPr>
          <w:rFonts w:ascii="宋体" w:hAnsi="宋体" w:cs="宋体" w:eastAsia="宋体" w:hint="ascii"/>
          <w:sz w:val="21"/>
          <w:spacing w:val="-5"/>
        </w:rPr>
        <w:t>伤</w:t>
      </w:r>
      <w:r>
        <w:rPr>
          <w:rFonts w:ascii="宋体" w:hAnsi="宋体" w:cs="宋体" w:eastAsia="宋体" w:hint="ascii"/>
          <w:sz w:val="21"/>
          <w:spacing w:val="-4"/>
        </w:rPr>
        <w:t>后</w:t>
      </w:r>
      <w:r>
        <w:rPr>
          <w:rFonts w:ascii="宋体" w:hAnsi="宋体" w:cs="宋体" w:eastAsia="宋体" w:hint="ascii"/>
          <w:sz w:val="21"/>
          <w:spacing w:val="-5"/>
        </w:rPr>
        <w:t>土料</w:t>
      </w:r>
      <w:r>
        <w:rPr>
          <w:rFonts w:ascii="宋体" w:hAnsi="宋体" w:cs="宋体" w:eastAsia="宋体" w:hint="ascii"/>
          <w:sz w:val="21"/>
          <w:spacing w:val="-4"/>
        </w:rPr>
        <w:t>的渗</w:t>
      </w:r>
      <w:r>
        <w:rPr>
          <w:rFonts w:ascii="宋体" w:hAnsi="宋体" w:cs="宋体" w:eastAsia="宋体" w:hint="ascii"/>
          <w:sz w:val="21"/>
          <w:spacing w:val="-5"/>
        </w:rPr>
        <w:t>透</w:t>
      </w:r>
      <w:r>
        <w:rPr>
          <w:rFonts w:ascii="宋体" w:hAnsi="宋体" w:cs="宋体" w:eastAsia="宋体" w:hint="ascii"/>
          <w:sz w:val="21"/>
          <w:spacing w:val="-3"/>
        </w:rPr>
        <w:t>性</w:t>
      </w:r>
      <w:r>
        <w:rPr>
          <w:rFonts w:ascii="宋体" w:hAnsi="宋体" w:cs="宋体" w:eastAsia="宋体" w:hint="ascii"/>
          <w:sz w:val="21"/>
          <w:spacing w:val="-4"/>
        </w:rPr>
        <w:t>能和</w:t>
      </w:r>
      <w:r>
        <w:rPr>
          <w:rFonts w:ascii="宋体" w:hAnsi="宋体" w:cs="宋体" w:eastAsia="宋体" w:hint="ascii"/>
          <w:sz w:val="21"/>
          <w:spacing w:val="-3"/>
        </w:rPr>
        <w:t>力学</w:t>
      </w:r>
      <w:r>
        <w:rPr>
          <w:rFonts w:ascii="宋体" w:hAnsi="宋体" w:cs="宋体" w:eastAsia="宋体" w:hint="ascii"/>
          <w:sz w:val="21"/>
          <w:spacing w:val="-4"/>
        </w:rPr>
        <w:t>特</w:t>
      </w:r>
      <w:r>
        <w:rPr>
          <w:rFonts w:ascii="宋体" w:hAnsi="宋体" w:cs="宋体" w:eastAsia="宋体" w:hint="ascii"/>
          <w:sz w:val="21"/>
          <w:spacing w:val="-3"/>
        </w:rPr>
        <w:t>性</w:t>
      </w:r>
      <w:r>
        <w:rPr>
          <w:rFonts w:ascii="宋体" w:hAnsi="宋体" w:cs="宋体" w:eastAsia="宋体" w:hint="ascii"/>
          <w:sz w:val="21"/>
          <w:spacing w:val="-4"/>
        </w:rPr>
        <w:t>的再</w:t>
      </w:r>
      <w:r>
        <w:rPr>
          <w:rFonts w:ascii="宋体" w:hAnsi="宋体" w:cs="宋体" w:eastAsia="宋体" w:hint="ascii"/>
          <w:sz w:val="21"/>
          <w:spacing w:val="-3"/>
        </w:rPr>
        <w:t>压实</w:t>
      </w:r>
      <w:r>
        <w:rPr>
          <w:rFonts w:ascii="宋体" w:hAnsi="宋体" w:cs="宋体" w:eastAsia="宋体" w:hint="ascii"/>
          <w:sz w:val="21"/>
          <w:spacing w:val="-1"/>
        </w:rPr>
        <w:t>措</w:t>
      </w:r>
      <w:r>
        <w:rPr>
          <w:rFonts w:ascii="宋体" w:hAnsi="宋体" w:cs="宋体" w:eastAsia="宋体" w:hint="ascii"/>
          <w:sz w:val="21"/>
        </w:rPr>
        <w:t xml:space="preserve"> </w:t>
      </w:r>
      <w:r>
        <w:rPr>
          <w:rFonts w:ascii="宋体" w:hAnsi="宋体" w:cs="宋体" w:eastAsia="宋体" w:hint="ascii"/>
          <w:sz w:val="21"/>
          <w:spacing w:val="-3"/>
        </w:rPr>
        <w:t>施研究</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）研究大面积土料冻融状态快速综合判断新体系（包括理论、指标和方法等</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1" w:left="861" w:firstLine="524"/>
        <w:snapToGrid w:val="0"/>
        <w:textAlignment w:val="auto"/>
        <w:tabs/>
        <w:rPr>
          <w:rFonts w:ascii="宋体" w:hAnsi="宋体" w:cs="宋体" w:eastAsia="宋体" w:hint="ascii"/>
          <w:sz w:val="21"/>
        </w:rPr>
      </w:pPr>
      <w:r>
        <w:rPr>
          <w:rFonts w:ascii="宋体" w:hAnsi="宋体" w:cs="宋体" w:eastAsia="宋体" w:hint="ascii"/>
          <w:sz w:val="21"/>
        </w:rPr>
        <w:t>本方</w:t>
      </w:r>
      <w:r>
        <w:rPr>
          <w:rFonts w:ascii="宋体" w:hAnsi="宋体" w:cs="宋体" w:eastAsia="宋体" w:hint="ascii"/>
          <w:sz w:val="21"/>
          <w:spacing w:val="-1"/>
        </w:rPr>
        <w:t>向</w:t>
      </w:r>
      <w:r>
        <w:rPr>
          <w:rFonts w:ascii="宋体" w:hAnsi="宋体" w:cs="宋体" w:eastAsia="宋体" w:hint="ascii"/>
          <w:sz w:val="21"/>
        </w:rPr>
        <w:t>不</w:t>
      </w:r>
      <w:r>
        <w:rPr>
          <w:rFonts w:ascii="宋体" w:hAnsi="宋体" w:cs="宋体" w:eastAsia="宋体" w:hint="ascii"/>
          <w:sz w:val="21"/>
          <w:spacing w:val="-1"/>
        </w:rPr>
        <w:t>受</w:t>
      </w:r>
      <w:r>
        <w:rPr>
          <w:rFonts w:ascii="宋体" w:hAnsi="宋体" w:cs="宋体" w:eastAsia="宋体" w:hint="ascii"/>
          <w:sz w:val="21"/>
        </w:rPr>
        <w:t>理“</w:t>
      </w:r>
      <w:r>
        <w:rPr>
          <w:rFonts w:ascii="宋体" w:hAnsi="宋体" w:cs="宋体" w:eastAsia="宋体" w:hint="ascii"/>
          <w:sz w:val="21"/>
          <w:spacing w:val="-1"/>
        </w:rPr>
        <w:t>培</w:t>
      </w:r>
      <w:r>
        <w:rPr>
          <w:rFonts w:ascii="宋体" w:hAnsi="宋体" w:cs="宋体" w:eastAsia="宋体" w:hint="ascii"/>
          <w:sz w:val="21"/>
        </w:rPr>
        <w:t>育</w:t>
      </w:r>
      <w:r>
        <w:rPr>
          <w:rFonts w:ascii="宋体" w:hAnsi="宋体" w:cs="宋体" w:eastAsia="宋体" w:hint="ascii"/>
          <w:sz w:val="21"/>
          <w:spacing w:val="-1"/>
        </w:rPr>
        <w:t>项</w:t>
      </w:r>
      <w:r>
        <w:rPr>
          <w:rFonts w:ascii="宋体" w:hAnsi="宋体" w:cs="宋体" w:eastAsia="宋体" w:hint="ascii"/>
          <w:sz w:val="21"/>
        </w:rPr>
        <w:t>目”</w:t>
      </w:r>
      <w:r>
        <w:rPr>
          <w:rFonts w:ascii="宋体" w:hAnsi="宋体" w:cs="宋体" w:eastAsia="宋体" w:hint="ascii"/>
          <w:sz w:val="21"/>
          <w:spacing w:val="-1"/>
        </w:rPr>
        <w:t>申</w:t>
      </w:r>
      <w:r>
        <w:rPr>
          <w:rFonts w:ascii="宋体" w:hAnsi="宋体" w:cs="宋体" w:eastAsia="宋体" w:hint="ascii"/>
          <w:sz w:val="21"/>
        </w:rPr>
        <w:t>请</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重点</w:t>
      </w:r>
      <w:r>
        <w:rPr>
          <w:rFonts w:ascii="宋体" w:hAnsi="宋体" w:cs="宋体" w:eastAsia="宋体" w:hint="ascii"/>
          <w:sz w:val="21"/>
          <w:spacing w:val="-1"/>
        </w:rPr>
        <w:t>支</w:t>
      </w:r>
      <w:r>
        <w:rPr>
          <w:rFonts w:ascii="宋体" w:hAnsi="宋体" w:cs="宋体" w:eastAsia="宋体" w:hint="ascii"/>
          <w:sz w:val="21"/>
        </w:rPr>
        <w:t>持</w:t>
      </w:r>
      <w:r>
        <w:rPr>
          <w:rFonts w:ascii="宋体" w:hAnsi="宋体" w:cs="宋体" w:eastAsia="宋体" w:hint="ascii"/>
          <w:sz w:val="21"/>
          <w:spacing w:val="-1"/>
        </w:rPr>
        <w:t>项</w:t>
      </w:r>
      <w:r>
        <w:rPr>
          <w:rFonts w:ascii="宋体" w:hAnsi="宋体" w:cs="宋体" w:eastAsia="宋体" w:hint="ascii"/>
          <w:sz w:val="21"/>
        </w:rPr>
        <w:t>目”</w:t>
      </w:r>
      <w:r>
        <w:rPr>
          <w:rFonts w:ascii="宋体" w:hAnsi="宋体" w:cs="宋体" w:eastAsia="宋体" w:hint="ascii"/>
          <w:sz w:val="21"/>
          <w:spacing w:val="-1"/>
        </w:rPr>
        <w:t>申</w:t>
      </w:r>
      <w:r>
        <w:rPr>
          <w:rFonts w:ascii="宋体" w:hAnsi="宋体" w:cs="宋体" w:eastAsia="宋体" w:hint="ascii"/>
          <w:sz w:val="21"/>
        </w:rPr>
        <w:t>请</w:t>
      </w:r>
      <w:r>
        <w:rPr>
          <w:rFonts w:ascii="宋体" w:hAnsi="宋体" w:cs="宋体" w:eastAsia="宋体" w:hint="ascii"/>
          <w:sz w:val="21"/>
          <w:spacing w:val="-1"/>
        </w:rPr>
        <w:t>书</w:t>
      </w:r>
      <w:r>
        <w:rPr>
          <w:rFonts w:ascii="宋体" w:hAnsi="宋体" w:cs="宋体" w:eastAsia="宋体" w:hint="ascii"/>
          <w:sz w:val="21"/>
        </w:rPr>
        <w:t>中需</w:t>
      </w:r>
      <w:r>
        <w:rPr>
          <w:rFonts w:ascii="宋体" w:hAnsi="宋体" w:cs="宋体" w:eastAsia="宋体" w:hint="ascii"/>
          <w:sz w:val="21"/>
          <w:spacing w:val="-1"/>
        </w:rPr>
        <w:t>包</w:t>
      </w:r>
      <w:r>
        <w:rPr>
          <w:rFonts w:ascii="宋体" w:hAnsi="宋体" w:cs="宋体" w:eastAsia="宋体" w:hint="ascii"/>
          <w:sz w:val="21"/>
        </w:rPr>
        <w:t>含</w:t>
      </w:r>
      <w:r>
        <w:rPr>
          <w:rFonts w:ascii="宋体" w:hAnsi="宋体" w:cs="宋体" w:eastAsia="宋体" w:hint="ascii"/>
          <w:sz w:val="21"/>
          <w:spacing w:val="-1"/>
        </w:rPr>
        <w:t>但</w:t>
      </w:r>
      <w:r>
        <w:rPr>
          <w:rFonts w:ascii="宋体" w:hAnsi="宋体" w:cs="宋体" w:eastAsia="宋体" w:hint="ascii"/>
          <w:sz w:val="21"/>
        </w:rPr>
        <w:t>不限</w:t>
      </w:r>
      <w:r>
        <w:rPr>
          <w:rFonts w:ascii="宋体" w:hAnsi="宋体" w:cs="宋体" w:eastAsia="宋体" w:hint="ascii"/>
          <w:sz w:val="21"/>
          <w:spacing w:val="-1"/>
        </w:rPr>
        <w:t>于</w:t>
      </w:r>
      <w:r>
        <w:rPr>
          <w:rFonts w:ascii="宋体" w:hAnsi="宋体" w:cs="宋体" w:eastAsia="宋体" w:hint="ascii"/>
          <w:sz w:val="21"/>
        </w:rPr>
        <w:t>上</w:t>
      </w:r>
      <w:r>
        <w:rPr>
          <w:rFonts w:ascii="宋体" w:hAnsi="宋体" w:cs="宋体" w:eastAsia="宋体" w:hint="ascii"/>
          <w:sz w:val="21"/>
          <w:spacing w:val="-4"/>
        </w:rPr>
        <w:t>述</w:t>
      </w: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）和（</w:t>
      </w:r>
      <w:r>
        <w:rPr>
          <w:rFonts w:ascii="Times New Roman" w:hAnsi="Times New Roman" w:cs="Times New Roman" w:eastAsia="Times New Roman" w:hint="ascii"/>
          <w:sz w:val="21"/>
        </w:rPr>
        <w:t>3</w:t>
      </w:r>
      <w:r>
        <w:rPr>
          <w:rFonts w:ascii="宋体" w:hAnsi="宋体" w:cs="宋体" w:eastAsia="宋体" w:hint="ascii"/>
          <w:sz w:val="21"/>
        </w:rPr>
        <w:t>）三个方面的研究内容。</w:t>
      </w:r>
    </w:p>
    <w:p>
      <w:pPr>
        <w:autoSpaceDE w:val="0"/>
        <w:autoSpaceDN w:val="0"/>
        <w:jc w:val="left"/>
        <w:spacing w:before="40" w:after="0" w:lineRule="auto" w:line="240"/>
        <w:ind w:right="0" w:left="1649" w:hanging="263"/>
        <w:snapToGrid w:val="0"/>
        <w:textAlignment w:val="auto"/>
        <w:tabs>
          <w:tab w:val="left" w:leader="none" w:pos="1648"/>
        </w:tabs>
        <w:numPr>
          <w:ilvl w:val="0"/>
          <w:numId w:val="314"/>
        </w:numPr>
        <w:rPr>
          <w:rFonts w:ascii="Times New Roman" w:hAnsi="Times New Roman" w:cs="Times New Roman" w:eastAsia="Times New Roman" w:hint="ascii"/>
          <w:sz w:val="21"/>
        </w:rPr>
      </w:pPr>
      <w:r>
        <w:rPr>
          <w:rFonts w:ascii="宋体" w:hAnsi="宋体" w:cs="宋体" w:eastAsia="宋体" w:hint="ascii"/>
          <w:sz w:val="21"/>
        </w:rPr>
        <w:t>特高土心墙堆石坝长期变形特性和开裂机理研究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利用近年来多</w:t>
      </w:r>
      <w:r>
        <w:rPr>
          <w:rFonts w:ascii="宋体" w:hAnsi="宋体" w:cs="宋体" w:eastAsia="宋体" w:hint="ascii"/>
          <w:sz w:val="21"/>
          <w:spacing w:val="27"/>
        </w:rPr>
        <w:t>座</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米级高土石坝裂缝和长期变形情况，结合两河口工程坝料室内</w:t>
      </w:r>
    </w:p>
    <w:p>
      <w:pPr>
        <w:autoSpaceDE w:val="0"/>
        <w:autoSpaceDN w:val="0"/>
        <w:jc w:val="both"/>
        <w:spacing w:before="10"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试验</w:t>
      </w:r>
      <w:r>
        <w:rPr>
          <w:rFonts w:ascii="宋体" w:hAnsi="宋体" w:cs="宋体" w:eastAsia="宋体" w:hint="ascii"/>
          <w:sz w:val="21"/>
        </w:rPr>
        <w:t>和施工期现场监测成果，开展特高土心墙堆石坝长期变形特性和开裂机理研究，提出相应的预控措施。主要研究内容包括：</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）研</w:t>
      </w:r>
      <w:r>
        <w:rPr>
          <w:rFonts w:ascii="宋体" w:hAnsi="宋体" w:cs="宋体" w:eastAsia="宋体" w:hint="ascii"/>
          <w:sz w:val="21"/>
          <w:spacing w:val="26"/>
        </w:rPr>
        <w:t>究</w:t>
      </w:r>
      <w:r>
        <w:rPr>
          <w:rFonts w:ascii="Times New Roman" w:hAnsi="Times New Roman" w:cs="Times New Roman" w:eastAsia="Times New Roman" w:hint="ascii"/>
          <w:sz w:val="21"/>
        </w:rPr>
        <w:t>20</w:t>
      </w:r>
      <w:r>
        <w:rPr>
          <w:rFonts w:ascii="Times New Roman" w:hAnsi="Times New Roman" w:cs="Times New Roman" w:eastAsia="Times New Roman" w:hint="ascii"/>
          <w:sz w:val="21"/>
          <w:spacing w:val="52"/>
        </w:rPr>
        <w:t>0</w:t>
      </w:r>
      <w:r>
        <w:rPr>
          <w:rFonts w:ascii="宋体" w:hAnsi="宋体" w:cs="宋体" w:eastAsia="宋体" w:hint="ascii"/>
          <w:sz w:val="21"/>
        </w:rPr>
        <w:t>米级高土石坝长期变形规律和开裂机理；</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）针对坝料颗粒破碎对长期变形的影响，开展堆石料新型本构关系研究；</w:t>
      </w:r>
    </w:p>
    <w:p>
      <w:pPr>
        <w:autoSpaceDE w:val="0"/>
        <w:autoSpaceDN w:val="0"/>
        <w:jc w:val="both"/>
        <w:spacing w:before="10" w:after="0" w:lineRule="exact" w:line="312"/>
        <w:ind w:right="971"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w:t>
      </w:r>
      <w:r>
        <w:rPr>
          <w:rFonts w:ascii="宋体" w:hAnsi="宋体" w:cs="宋体" w:eastAsia="宋体" w:hint="ascii"/>
          <w:sz w:val="21"/>
        </w:rPr>
        <w:t>研究两河口土心墙堆石坝全生命周期应力变形规律，预测坝体纵向开裂、心墙拱效应、流变稳定期及最终变形状况，并提出相应的控制措施。</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本方向受理“培育项目”和“重点支持项目”申请，其中“重点支持项目”申请书</w:t>
      </w:r>
    </w:p>
    <w:p>
      <w:pPr>
        <w:autoSpaceDE w:val="0"/>
        <w:autoSpaceDN w:val="0"/>
        <w:jc w:val="both"/>
        <w:spacing w:before="10" w:after="0" w:lineRule="exact" w:line="312"/>
        <w:ind w:right="97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需包含</w:t>
      </w:r>
      <w:r>
        <w:rPr>
          <w:rFonts w:ascii="宋体" w:hAnsi="宋体" w:cs="宋体" w:eastAsia="宋体" w:hint="ascii"/>
          <w:sz w:val="21"/>
        </w:rPr>
        <w:t>但不限于上述（</w:t>
      </w:r>
      <w:r>
        <w:rPr>
          <w:rFonts w:ascii="Times New Roman" w:hAnsi="Times New Roman" w:cs="Times New Roman" w:eastAsia="Times New Roman" w:hint="ascii"/>
          <w:sz w:val="21"/>
        </w:rPr>
        <w:t>1</w:t>
      </w:r>
      <w:r>
        <w:rPr>
          <w:rFonts w:ascii="宋体" w:hAnsi="宋体" w:cs="宋体" w:eastAsia="宋体" w:hint="ascii"/>
          <w:sz w:val="21"/>
        </w:rPr>
        <w:t>）和（</w:t>
      </w:r>
      <w:r>
        <w:rPr>
          <w:rFonts w:ascii="Times New Roman" w:hAnsi="Times New Roman" w:cs="Times New Roman" w:eastAsia="Times New Roman" w:hint="ascii"/>
          <w:sz w:val="21"/>
        </w:rPr>
        <w:t>3</w:t>
      </w:r>
      <w:r>
        <w:rPr>
          <w:rFonts w:ascii="宋体" w:hAnsi="宋体" w:cs="宋体" w:eastAsia="宋体" w:hint="ascii"/>
          <w:sz w:val="21"/>
        </w:rPr>
        <w:t>）两个方面的研究内容</w:t>
      </w:r>
      <w:r>
        <w:rPr>
          <w:rFonts w:ascii="宋体" w:hAnsi="宋体" w:cs="宋体" w:eastAsia="宋体" w:hint="ascii"/>
          <w:sz w:val="21"/>
          <w:spacing w:val="-52"/>
        </w:rPr>
        <w:t>；</w:t>
      </w:r>
      <w:r>
        <w:rPr>
          <w:rFonts w:ascii="宋体" w:hAnsi="宋体" w:cs="宋体" w:eastAsia="宋体" w:hint="ascii"/>
          <w:sz w:val="21"/>
        </w:rPr>
        <w:t>“培育项目”仅受理上述（</w:t>
      </w:r>
      <w:r>
        <w:rPr>
          <w:rFonts w:ascii="Times New Roman" w:hAnsi="Times New Roman" w:cs="Times New Roman" w:eastAsia="Times New Roman" w:hint="ascii"/>
          <w:sz w:val="21"/>
        </w:rPr>
        <w:t>2</w:t>
      </w:r>
      <w:r>
        <w:rPr>
          <w:rFonts w:ascii="宋体" w:hAnsi="宋体" w:cs="宋体" w:eastAsia="宋体" w:hint="ascii"/>
          <w:sz w:val="21"/>
        </w:rPr>
        <w:t>）方面研究内容的申请。</w:t>
      </w:r>
    </w:p>
    <w:p>
      <w:pPr>
        <w:autoSpaceDE w:val="0"/>
        <w:autoSpaceDN w:val="0"/>
        <w:jc w:val="left"/>
        <w:spacing w:before="40" w:after="0" w:lineRule="auto" w:line="240"/>
        <w:ind w:right="0" w:left="1649" w:hanging="263"/>
        <w:snapToGrid w:val="0"/>
        <w:textAlignment w:val="auto"/>
        <w:tabs>
          <w:tab w:val="left" w:leader="none" w:pos="1648"/>
        </w:tabs>
        <w:numPr>
          <w:ilvl w:val="0"/>
          <w:numId w:val="314"/>
        </w:numPr>
        <w:rPr>
          <w:rFonts w:ascii="Times New Roman" w:hAnsi="Times New Roman" w:cs="Times New Roman" w:eastAsia="Times New Roman" w:hint="ascii"/>
          <w:sz w:val="21"/>
        </w:rPr>
      </w:pPr>
      <w:r>
        <w:rPr>
          <w:rFonts w:ascii="宋体" w:hAnsi="宋体" w:cs="宋体" w:eastAsia="宋体" w:hint="ascii"/>
          <w:sz w:val="21"/>
        </w:rPr>
        <w:t>流域梯级电站区间来水预报方案及电站间流量传播规律研究</w:t>
      </w:r>
    </w:p>
    <w:p>
      <w:pPr>
        <w:autoSpaceDE w:val="0"/>
        <w:autoSpaceDN w:val="0"/>
        <w:jc w:val="both"/>
        <w:spacing w:before="17" w:after="0" w:lineRule="exact" w:line="312"/>
        <w:ind w:right="971"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随着</w:t>
      </w:r>
      <w:r>
        <w:rPr>
          <w:rFonts w:ascii="宋体" w:hAnsi="宋体" w:cs="宋体" w:eastAsia="宋体" w:hint="ascii"/>
          <w:sz w:val="21"/>
        </w:rPr>
        <w:t>雅砻江流域梯级电站建成，各电站流量传播方式及区间来水的不确定性成为影响电站群安全、经济运行的主要因素。研究内容包括：</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）流域梯级电站间流量传播方式研究；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）流域梯级电站区间来水预报方法研究。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）流域梯级电站区间支流电站运行对下游电站安全经济运行的影响研究。</w:t>
      </w:r>
    </w:p>
    <w:p>
      <w:pPr>
        <w:autoSpaceDE w:val="0"/>
        <w:autoSpaceDN w:val="0"/>
        <w:jc w:val="both"/>
        <w:spacing w:before="10" w:after="0" w:lineRule="exact" w:line="312"/>
        <w:ind w:right="971"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本方</w:t>
      </w:r>
      <w:r>
        <w:rPr>
          <w:rFonts w:ascii="宋体" w:hAnsi="宋体" w:cs="宋体" w:eastAsia="宋体" w:hint="ascii"/>
          <w:sz w:val="21"/>
        </w:rPr>
        <w:t>向不受理“培育项目”申请，仅受理“重点支持项目”申请。其中“重点支持项目”申请书中需包含但不限于上述（</w:t>
      </w:r>
      <w:r>
        <w:rPr>
          <w:rFonts w:ascii="Times New Roman" w:hAnsi="Times New Roman" w:cs="Times New Roman" w:eastAsia="Times New Roman" w:hint="ascii"/>
          <w:sz w:val="21"/>
        </w:rPr>
        <w:t>1</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）和（</w:t>
      </w:r>
      <w:r>
        <w:rPr>
          <w:rFonts w:ascii="Times New Roman" w:hAnsi="Times New Roman" w:cs="Times New Roman" w:eastAsia="Times New Roman" w:hint="ascii"/>
          <w:sz w:val="21"/>
        </w:rPr>
        <w:t>3</w:t>
      </w:r>
      <w:r>
        <w:rPr>
          <w:rFonts w:ascii="宋体" w:hAnsi="宋体" w:cs="宋体" w:eastAsia="宋体" w:hint="ascii"/>
          <w:sz w:val="21"/>
        </w:rPr>
        <w:t>）三个方面的研究内容。</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三、深地基础科学</w:t>
      </w:r>
      <w:r>
        <w:rPr>
          <w:rFonts w:ascii="宋体" w:hAnsi="宋体" w:cs="宋体" w:eastAsia="宋体" w:hint="ascii"/>
        </w:rPr>
        <mc:AlternateContent>
          <mc:Choice Requires="wps">
            <w:drawing>
              <wp:anchor distL="0" distR="0" distT="0" distB="0" simplePos="0" behindDoc="1" relativeHeight="281" locked="0" layoutInCell="1" allowOverlap="1">
                <wp:simplePos x="0" y="0"/>
                <wp:positionH relativeFrom="page">
                  <wp:posOffset>938530</wp:posOffset>
                </wp:positionH>
                <wp:positionV relativeFrom="page">
                  <wp:posOffset>819150</wp:posOffset>
                </wp:positionV>
                <wp:extent cx="5076190" cy="0"/>
                <wp:wrapNone/>
                <wp:docPr id="1310" name="131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70496;width:399.70pt;" id="131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91" w:after="0" w:lineRule="auto" w:line="285"/>
        <w:ind w:right="977" w:left="966" w:firstLine="420"/>
        <w:snapToGrid w:val="0"/>
        <w:textAlignment w:val="auto"/>
        <w:tabs>
          <w:tab w:val="left" w:leader="none" w:pos="1651"/>
        </w:tabs>
        <w:numPr>
          <w:ilvl w:val="0"/>
          <w:numId w:val="315"/>
        </w:numPr>
        <w:rPr>
          <w:rFonts w:ascii="Times New Roman" w:hAnsi="Times New Roman" w:cs="Times New Roman" w:eastAsia="Times New Roman" w:hint="ascii"/>
          <w:b w:val="1"/>
          <w:sz w:val="21"/>
        </w:rPr>
      </w:pPr>
      <w:r>
        <w:rPr>
          <w:rFonts w:ascii="宋体" w:hAnsi="宋体" w:cs="宋体" w:eastAsia="宋体" w:hint="ascii"/>
          <w:sz w:val="21"/>
        </w:rPr>
        <w:t>极深地下实验室环境辐射本底</w:t>
      </w:r>
      <w:r>
        <w:rPr>
          <w:rFonts w:ascii="Times New Roman" w:hAnsi="Times New Roman" w:cs="Times New Roman" w:eastAsia="Times New Roman" w:hint="ascii"/>
          <w:b w:val="1"/>
          <w:sz w:val="21"/>
        </w:rPr>
        <w:t>/</w:t>
      </w:r>
      <w:r>
        <w:rPr>
          <w:rFonts w:ascii="宋体" w:hAnsi="宋体" w:cs="宋体" w:eastAsia="宋体" w:hint="ascii"/>
          <w:sz w:val="21"/>
        </w:rPr>
        <w:t xml:space="preserve">先进探测技术研究（申请代码 </w:t>
      </w:r>
      <w:r>
        <w:rPr>
          <w:rFonts w:ascii="Times New Roman" w:hAnsi="Times New Roman" w:cs="Times New Roman" w:eastAsia="Times New Roman" w:hint="ascii"/>
          <w:b w:val="1"/>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b w:val="1"/>
          <w:sz w:val="21"/>
        </w:rPr>
        <w:t xml:space="preserve">A0505 </w:t>
      </w:r>
      <w:r>
        <w:rPr>
          <w:rFonts w:ascii="宋体" w:hAnsi="宋体" w:cs="宋体" w:eastAsia="宋体" w:hint="ascii"/>
          <w:sz w:val="21"/>
        </w:rPr>
        <w:t>或</w:t>
      </w:r>
      <w:r>
        <w:rPr>
          <w:rFonts w:ascii="Times New Roman" w:hAnsi="Times New Roman" w:cs="Times New Roman" w:eastAsia="Times New Roman" w:hint="ascii"/>
          <w:b w:val="1"/>
          <w:sz w:val="21"/>
        </w:rPr>
        <w:t>A020</w:t>
      </w:r>
      <w:r>
        <w:rPr>
          <w:rFonts w:ascii="Times New Roman" w:hAnsi="Times New Roman" w:cs="Times New Roman" w:eastAsia="Times New Roman" w:hint="ascii"/>
          <w:b w:val="1"/>
          <w:sz w:val="21"/>
          <w:spacing w:val="52"/>
        </w:rPr>
        <w:t>3</w:t>
      </w:r>
      <w:r>
        <w:rPr>
          <w:rFonts w:ascii="宋体" w:hAnsi="宋体" w:cs="宋体" w:eastAsia="宋体" w:hint="ascii"/>
          <w:sz w:val="21"/>
        </w:rPr>
        <w:t>的下属代码）</w:t>
      </w:r>
    </w:p>
    <w:p>
      <w:pPr>
        <w:autoSpaceDE w:val="0"/>
        <w:autoSpaceDN w:val="0"/>
        <w:jc w:val="left"/>
        <w:spacing w:before="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基于中国锦屏地下实验室开展暗物质、无中微子双贝塔衰变等极低本底物理实验，</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研究地下实验</w:t>
      </w:r>
      <w:r>
        <w:rPr>
          <w:rFonts w:ascii="宋体" w:hAnsi="宋体" w:cs="宋体" w:eastAsia="宋体" w:hint="ascii"/>
          <w:sz w:val="21"/>
        </w:rPr>
        <w:t>室环境伽马、中子、带电粒子及空气氡浓度测量与控制技术，为有效评估环境辐射本底对极低本底物理实验的影响提供支撑。研究内容可从以下选取：</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π大空间就地伽马能谱测量技术研究；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）低本底环境中子能谱测量技术研究；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）极低本底氡浓度测量技术研究；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）低温吸附降氡技术研究；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）先进探测技术研究。</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本方向不受理“培育项目”申请，仅受理“重点支持项目”申请。</w:t>
      </w:r>
    </w:p>
    <w:p>
      <w:pPr>
        <w:autoSpaceDE w:val="0"/>
        <w:autoSpaceDN w:val="0"/>
        <w:jc w:val="both"/>
        <w:spacing w:before="10" w:after="0" w:lineRule="exact" w:line="312"/>
        <w:ind w:right="978" w:left="966" w:firstLine="420"/>
        <w:snapToGrid w:val="0"/>
        <w:textAlignment w:val="auto"/>
        <w:tabs>
          <w:tab w:val="left" w:leader="none" w:pos="1651"/>
        </w:tabs>
        <w:numPr>
          <w:ilvl w:val="0"/>
          <w:numId w:val="315"/>
        </w:numPr>
        <w:rPr>
          <w:rFonts w:ascii="Times New Roman" w:hAnsi="Times New Roman" w:cs="Times New Roman" w:eastAsia="Times New Roman" w:hint="ascii"/>
          <w:b w:val="1"/>
          <w:sz w:val="21"/>
        </w:rPr>
      </w:pPr>
      <w:r>
        <w:rPr>
          <w:rFonts w:ascii="宋体" w:hAnsi="宋体" w:cs="宋体" w:eastAsia="宋体" w:hint="ascii"/>
          <w:sz w:val="21"/>
        </w:rPr>
        <w:t xml:space="preserve">深部断层活化规律与洞室稳定性评价和环境评价（申请代码 </w:t>
      </w:r>
      <w:r>
        <w:rPr>
          <w:rFonts w:ascii="Times New Roman" w:hAnsi="Times New Roman" w:cs="Times New Roman" w:eastAsia="Times New Roman" w:hint="ascii"/>
          <w:b w:val="1"/>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b w:val="1"/>
          <w:sz w:val="21"/>
        </w:rPr>
        <w:t>E09</w:t>
      </w:r>
      <w:r>
        <w:rPr>
          <w:rFonts w:ascii="宋体" w:hAnsi="宋体" w:cs="宋体" w:eastAsia="宋体" w:hint="ascii"/>
          <w:sz w:val="21"/>
        </w:rPr>
        <w:t>、</w:t>
      </w:r>
      <w:r>
        <w:rPr>
          <w:rFonts w:ascii="Times New Roman" w:hAnsi="Times New Roman" w:cs="Times New Roman" w:eastAsia="Times New Roman" w:hint="ascii"/>
          <w:b w:val="1"/>
          <w:sz w:val="21"/>
        </w:rPr>
        <w:t xml:space="preserve">A05 </w:t>
      </w:r>
      <w:r>
        <w:rPr>
          <w:rFonts w:ascii="宋体" w:hAnsi="宋体" w:cs="宋体" w:eastAsia="宋体" w:hint="ascii"/>
          <w:sz w:val="21"/>
          <w:spacing w:val="27"/>
        </w:rPr>
        <w:t>或</w:t>
      </w:r>
      <w:r>
        <w:rPr>
          <w:rFonts w:ascii="Times New Roman" w:hAnsi="Times New Roman" w:cs="Times New Roman" w:eastAsia="Times New Roman" w:hint="ascii"/>
          <w:b w:val="1"/>
          <w:sz w:val="21"/>
        </w:rPr>
        <w:t>A0</w:t>
      </w:r>
      <w:r>
        <w:rPr>
          <w:rFonts w:ascii="Times New Roman" w:hAnsi="Times New Roman" w:cs="Times New Roman" w:eastAsia="Times New Roman" w:hint="ascii"/>
          <w:b w:val="1"/>
          <w:sz w:val="21"/>
          <w:spacing w:val="52"/>
        </w:rPr>
        <w:t>2</w:t>
      </w:r>
      <w:r>
        <w:rPr>
          <w:rFonts w:ascii="宋体" w:hAnsi="宋体" w:cs="宋体" w:eastAsia="宋体" w:hint="ascii"/>
          <w:sz w:val="21"/>
        </w:rPr>
        <w:t>的下属代码）</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针对长期运行的锦屏极深地下实验室和深部水工隧洞群（简称洞室</w:t>
      </w:r>
      <w:r>
        <w:rPr>
          <w:rFonts w:ascii="宋体" w:hAnsi="宋体" w:cs="宋体" w:eastAsia="宋体" w:hint="ascii"/>
          <w:sz w:val="21"/>
          <w:spacing w:val="-51"/>
        </w:rPr>
        <w:t>）</w:t>
      </w:r>
      <w:r>
        <w:rPr>
          <w:rFonts w:ascii="宋体" w:hAnsi="宋体" w:cs="宋体" w:eastAsia="宋体" w:hint="ascii"/>
          <w:sz w:val="21"/>
        </w:rPr>
        <w:t>，研究深部地</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质断裂的演化规律，</w:t>
      </w:r>
      <w:r>
        <w:rPr>
          <w:rFonts w:ascii="宋体" w:hAnsi="宋体" w:cs="宋体" w:eastAsia="宋体" w:hint="ascii"/>
          <w:sz w:val="21"/>
        </w:rPr>
        <w:t>为深部地下实验室、水工隧洞群工程安全和生存环境评价提供</w:t>
      </w:r>
      <w:r>
        <w:rPr>
          <w:rFonts w:ascii="宋体" w:hAnsi="宋体" w:cs="宋体" w:eastAsia="宋体" w:hint="ascii"/>
          <w:sz w:val="21"/>
          <w:spacing w:val="-6"/>
        </w:rPr>
        <w:t>依</w:t>
      </w:r>
      <w:r>
        <w:rPr>
          <w:rFonts w:ascii="宋体" w:hAnsi="宋体" w:cs="宋体" w:eastAsia="宋体" w:hint="ascii"/>
          <w:sz w:val="21"/>
        </w:rPr>
        <w:t>据，研究内容可从以下选取：</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）动力扰动下深部地质断裂演化规律的监测与识别；</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）深部洞室氡释放与迁移的地质力学分析及洞室氡浓度长期变化规律；</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）深部洞</w:t>
      </w:r>
      <w:r>
        <w:rPr>
          <w:rFonts w:ascii="宋体" w:hAnsi="宋体" w:cs="宋体" w:eastAsia="宋体" w:hint="ascii"/>
          <w:sz w:val="21"/>
        </w:rPr>
        <w:t>室围岩结构的力学响应、破裂演化与断裂活性、氡浓度等环境因素变化的相关性及表征；</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）基于地质断裂演化特性的深部洞室群稳定性评价方法。</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本方向不受理“培育项目”申请，仅受理“重点支持项目”申请。</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both"/>
        <w:spacing w:before="157" w:after="0" w:lineRule="exact" w:line="312"/>
        <w:ind w:right="873" w:left="861" w:firstLine="42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5"/>
        </w:rPr>
        <w:t>1</w:t>
      </w:r>
      <w:r>
        <w:rPr>
          <w:rFonts w:ascii="宋体" w:hAnsi="宋体" w:cs="宋体" w:eastAsia="宋体" w:hint="ascii"/>
          <w:sz w:val="21"/>
          <w:spacing w:val="-53"/>
        </w:rPr>
        <w:t>）</w:t>
      </w:r>
      <w:r>
        <w:rPr>
          <w:rFonts w:ascii="宋体" w:hAnsi="宋体" w:cs="宋体" w:eastAsia="宋体" w:hint="ascii"/>
          <w:sz w:val="21"/>
        </w:rPr>
        <w:t>“培育项目”申请人应当具有高级专业技术职务（职称）或者具有博士学位</w:t>
      </w:r>
      <w:r>
        <w:rPr>
          <w:rFonts w:ascii="宋体" w:hAnsi="宋体" w:cs="宋体" w:eastAsia="宋体" w:hint="ascii"/>
          <w:sz w:val="21"/>
          <w:spacing w:val="-6"/>
        </w:rPr>
        <w:t>；</w:t>
      </w:r>
      <w:r>
        <w:rPr>
          <w:rFonts w:ascii="宋体" w:hAnsi="宋体" w:cs="宋体" w:eastAsia="宋体" w:hint="ascii"/>
          <w:sz w:val="21"/>
        </w:rPr>
        <w:t xml:space="preserve"> “重点支持项目”申请人应当具有高级专业技术职务（职称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w:t>
      </w:r>
      <w:r>
        <w:rPr>
          <w:rFonts w:ascii="宋体" w:hAnsi="宋体" w:cs="宋体" w:eastAsia="宋体" w:hint="ascii"/>
          <w:sz w:val="21"/>
          <w:spacing w:val="5"/>
        </w:rPr>
        <w:t>申请</w:t>
      </w:r>
      <w:r>
        <w:rPr>
          <w:rFonts w:ascii="宋体" w:hAnsi="宋体" w:cs="宋体" w:eastAsia="宋体" w:hint="ascii"/>
          <w:sz w:val="21"/>
          <w:spacing w:val="4"/>
        </w:rPr>
        <w:t>书</w:t>
      </w:r>
      <w:r>
        <w:rPr>
          <w:rFonts w:ascii="宋体" w:hAnsi="宋体" w:cs="宋体" w:eastAsia="宋体" w:hint="ascii"/>
          <w:sz w:val="21"/>
          <w:spacing w:val="5"/>
        </w:rPr>
        <w:t>资助类别</w:t>
      </w:r>
      <w:r>
        <w:rPr>
          <w:rFonts w:ascii="宋体" w:hAnsi="宋体" w:cs="宋体" w:eastAsia="宋体" w:hint="ascii"/>
          <w:sz w:val="21"/>
          <w:spacing w:val="4"/>
        </w:rPr>
        <w:t>选</w:t>
      </w:r>
      <w:r>
        <w:rPr>
          <w:rFonts w:ascii="宋体" w:hAnsi="宋体" w:cs="宋体" w:eastAsia="宋体" w:hint="ascii"/>
          <w:sz w:val="21"/>
          <w:spacing w:val="5"/>
        </w:rPr>
        <w:t>择“联合</w:t>
      </w:r>
      <w:r>
        <w:rPr>
          <w:rFonts w:ascii="宋体" w:hAnsi="宋体" w:cs="宋体" w:eastAsia="宋体" w:hint="ascii"/>
          <w:sz w:val="21"/>
          <w:spacing w:val="4"/>
        </w:rPr>
        <w:t>基</w:t>
      </w:r>
      <w:r>
        <w:rPr>
          <w:rFonts w:ascii="宋体" w:hAnsi="宋体" w:cs="宋体" w:eastAsia="宋体" w:hint="ascii"/>
          <w:sz w:val="21"/>
          <w:spacing w:val="5"/>
        </w:rPr>
        <w:t>金项目</w:t>
      </w:r>
      <w:r>
        <w:rPr>
          <w:rFonts w:ascii="宋体" w:hAnsi="宋体" w:cs="宋体" w:eastAsia="宋体" w:hint="ascii"/>
          <w:sz w:val="21"/>
          <w:spacing w:val="-49"/>
        </w:rPr>
        <w:t>”</w:t>
      </w:r>
      <w:r>
        <w:rPr>
          <w:rFonts w:ascii="宋体" w:hAnsi="宋体" w:cs="宋体" w:eastAsia="宋体" w:hint="ascii"/>
          <w:sz w:val="21"/>
          <w:spacing w:val="5"/>
        </w:rPr>
        <w:t>，</w:t>
      </w:r>
      <w:r>
        <w:rPr>
          <w:rFonts w:ascii="宋体" w:hAnsi="宋体" w:cs="宋体" w:eastAsia="宋体" w:hint="ascii"/>
          <w:sz w:val="21"/>
          <w:spacing w:val="4"/>
        </w:rPr>
        <w:t>亚</w:t>
      </w:r>
      <w:r>
        <w:rPr>
          <w:rFonts w:ascii="宋体" w:hAnsi="宋体" w:cs="宋体" w:eastAsia="宋体" w:hint="ascii"/>
          <w:sz w:val="21"/>
          <w:spacing w:val="5"/>
        </w:rPr>
        <w:t>类说明选</w:t>
      </w:r>
      <w:r>
        <w:rPr>
          <w:rFonts w:ascii="宋体" w:hAnsi="宋体" w:cs="宋体" w:eastAsia="宋体" w:hint="ascii"/>
          <w:sz w:val="21"/>
          <w:spacing w:val="4"/>
        </w:rPr>
        <w:t>择</w:t>
      </w:r>
      <w:r>
        <w:rPr>
          <w:rFonts w:ascii="宋体" w:hAnsi="宋体" w:cs="宋体" w:eastAsia="宋体" w:hint="ascii"/>
          <w:sz w:val="21"/>
          <w:spacing w:val="5"/>
        </w:rPr>
        <w:t>“培育项</w:t>
      </w:r>
      <w:r>
        <w:rPr>
          <w:rFonts w:ascii="宋体" w:hAnsi="宋体" w:cs="宋体" w:eastAsia="宋体" w:hint="ascii"/>
          <w:sz w:val="21"/>
          <w:spacing w:val="4"/>
        </w:rPr>
        <w:t>目</w:t>
      </w:r>
      <w:r>
        <w:rPr>
          <w:rFonts w:ascii="宋体" w:hAnsi="宋体" w:cs="宋体" w:eastAsia="宋体" w:hint="ascii"/>
          <w:sz w:val="21"/>
          <w:spacing w:val="5"/>
        </w:rPr>
        <w:t>”或“</w:t>
      </w:r>
      <w:r>
        <w:rPr>
          <w:rFonts w:ascii="宋体" w:hAnsi="宋体" w:cs="宋体" w:eastAsia="宋体" w:hint="ascii"/>
          <w:sz w:val="21"/>
        </w:rPr>
        <w:t>重</w:t>
      </w:r>
    </w:p>
    <w:p>
      <w:pPr>
        <w:autoSpaceDE w:val="0"/>
        <w:autoSpaceDN w:val="0"/>
        <w:jc w:val="both"/>
        <w:spacing w:before="10" w:after="0" w:lineRule="exact" w:line="312"/>
        <w:ind w:right="984"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点</w:t>
      </w:r>
      <w:r>
        <w:rPr>
          <w:rFonts w:ascii="宋体" w:hAnsi="宋体" w:cs="宋体" w:eastAsia="宋体" w:hint="ascii"/>
          <w:sz w:val="21"/>
          <w:spacing w:val="3"/>
        </w:rPr>
        <w:t>支</w:t>
      </w:r>
      <w:r>
        <w:rPr>
          <w:rFonts w:ascii="宋体" w:hAnsi="宋体" w:cs="宋体" w:eastAsia="宋体" w:hint="ascii"/>
          <w:sz w:val="21"/>
          <w:spacing w:val="2"/>
        </w:rPr>
        <w:t>持项目</w:t>
      </w:r>
      <w:r>
        <w:rPr>
          <w:rFonts w:ascii="宋体" w:hAnsi="宋体" w:cs="宋体" w:eastAsia="宋体" w:hint="ascii"/>
          <w:sz w:val="21"/>
          <w:spacing w:val="-52"/>
        </w:rPr>
        <w:t>”</w:t>
      </w:r>
      <w:r>
        <w:rPr>
          <w:rFonts w:ascii="宋体" w:hAnsi="宋体" w:cs="宋体" w:eastAsia="宋体" w:hint="ascii"/>
          <w:sz w:val="21"/>
          <w:spacing w:val="2"/>
        </w:rPr>
        <w:t>，</w:t>
      </w:r>
      <w:r>
        <w:rPr>
          <w:rFonts w:ascii="宋体" w:hAnsi="宋体" w:cs="宋体" w:eastAsia="宋体" w:hint="ascii"/>
          <w:sz w:val="21"/>
          <w:spacing w:val="3"/>
        </w:rPr>
        <w:t>附</w:t>
      </w:r>
      <w:r>
        <w:rPr>
          <w:rFonts w:ascii="宋体" w:hAnsi="宋体" w:cs="宋体" w:eastAsia="宋体" w:hint="ascii"/>
          <w:sz w:val="21"/>
          <w:spacing w:val="2"/>
        </w:rPr>
        <w:t>注说明选</w:t>
      </w:r>
      <w:r>
        <w:rPr>
          <w:rFonts w:ascii="宋体" w:hAnsi="宋体" w:cs="宋体" w:eastAsia="宋体" w:hint="ascii"/>
          <w:sz w:val="21"/>
          <w:spacing w:val="3"/>
        </w:rPr>
        <w:t>择</w:t>
      </w:r>
      <w:r>
        <w:rPr>
          <w:rFonts w:ascii="宋体" w:hAnsi="宋体" w:cs="宋体" w:eastAsia="宋体" w:hint="ascii"/>
          <w:sz w:val="21"/>
          <w:spacing w:val="2"/>
        </w:rPr>
        <w:t>“雅砻</w:t>
      </w:r>
      <w:r>
        <w:rPr>
          <w:rFonts w:ascii="宋体" w:hAnsi="宋体" w:cs="宋体" w:eastAsia="宋体" w:hint="ascii"/>
          <w:sz w:val="21"/>
          <w:spacing w:val="1"/>
        </w:rPr>
        <w:t>江</w:t>
      </w:r>
      <w:r>
        <w:rPr>
          <w:rFonts w:ascii="宋体" w:hAnsi="宋体" w:cs="宋体" w:eastAsia="宋体" w:hint="ascii"/>
          <w:sz w:val="21"/>
          <w:spacing w:val="2"/>
        </w:rPr>
        <w:t>联</w:t>
      </w:r>
      <w:r>
        <w:rPr>
          <w:rFonts w:ascii="宋体" w:hAnsi="宋体" w:cs="宋体" w:eastAsia="宋体" w:hint="ascii"/>
          <w:sz w:val="21"/>
          <w:spacing w:val="1"/>
        </w:rPr>
        <w:t>合基金</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spacing w:val="2"/>
        </w:rPr>
        <w:t>申</w:t>
      </w:r>
      <w:r>
        <w:rPr>
          <w:rFonts w:ascii="宋体" w:hAnsi="宋体" w:cs="宋体" w:eastAsia="宋体" w:hint="ascii"/>
          <w:sz w:val="21"/>
          <w:spacing w:val="1"/>
        </w:rPr>
        <w:t>请代</w:t>
      </w:r>
      <w:r>
        <w:rPr>
          <w:rFonts w:ascii="宋体" w:hAnsi="宋体" w:cs="宋体" w:eastAsia="宋体" w:hint="ascii"/>
          <w:sz w:val="21"/>
          <w:spacing w:val="-3"/>
        </w:rPr>
        <w:t>码</w:t>
      </w:r>
      <w:r>
        <w:rPr>
          <w:rFonts w:ascii="宋体" w:hAnsi="宋体" w:cs="宋体" w:eastAsia="宋体" w:hint="ascii"/>
          <w:sz w:val="21"/>
          <w:spacing w:val="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
        </w:rPr>
        <w:t xml:space="preserve"> </w:t>
      </w:r>
      <w:r>
        <w:rPr>
          <w:rFonts w:ascii="宋体" w:hAnsi="宋体" w:cs="宋体" w:eastAsia="宋体" w:hint="ascii"/>
          <w:sz w:val="21"/>
          <w:spacing w:val="2"/>
        </w:rPr>
        <w:t>必</w:t>
      </w:r>
      <w:r>
        <w:rPr>
          <w:rFonts w:ascii="宋体" w:hAnsi="宋体" w:cs="宋体" w:eastAsia="宋体" w:hint="ascii"/>
          <w:sz w:val="21"/>
          <w:spacing w:val="1"/>
        </w:rPr>
        <w:t>须按本《</w:t>
      </w:r>
      <w:r>
        <w:rPr>
          <w:rFonts w:ascii="宋体" w:hAnsi="宋体" w:cs="宋体" w:eastAsia="宋体" w:hint="ascii"/>
          <w:sz w:val="21"/>
          <w:spacing w:val="2"/>
        </w:rPr>
        <w:t>指</w:t>
      </w:r>
      <w:r>
        <w:rPr>
          <w:rFonts w:ascii="宋体" w:hAnsi="宋体" w:cs="宋体" w:eastAsia="宋体" w:hint="ascii"/>
          <w:sz w:val="21"/>
          <w:spacing w:val="1"/>
        </w:rPr>
        <w:t>南</w:t>
      </w:r>
      <w:r>
        <w:rPr>
          <w:rFonts w:ascii="宋体" w:hAnsi="宋体" w:cs="宋体" w:eastAsia="宋体" w:hint="ascii"/>
          <w:sz w:val="21"/>
          <w:spacing w:val="2"/>
        </w:rPr>
        <w:t>》</w:t>
      </w:r>
      <w:r>
        <w:rPr>
          <w:rFonts w:ascii="宋体" w:hAnsi="宋体" w:cs="宋体" w:eastAsia="宋体" w:hint="ascii"/>
          <w:sz w:val="21"/>
          <w:spacing w:val="-6"/>
        </w:rPr>
        <w:t>要</w:t>
      </w:r>
      <w:r>
        <w:rPr>
          <w:rFonts w:ascii="宋体" w:hAnsi="宋体" w:cs="宋体" w:eastAsia="宋体" w:hint="ascii"/>
          <w:sz w:val="21"/>
          <w:spacing w:val="3"/>
        </w:rPr>
        <w:t>求选择</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w:t>
      </w:r>
      <w:r>
        <w:rPr>
          <w:rFonts w:ascii="宋体" w:hAnsi="宋体" w:cs="宋体" w:eastAsia="宋体" w:hint="ascii"/>
          <w:sz w:val="21"/>
          <w:spacing w:val="3"/>
        </w:rPr>
        <w:t>本联合基</w:t>
      </w:r>
      <w:r>
        <w:rPr>
          <w:rFonts w:ascii="宋体" w:hAnsi="宋体" w:cs="宋体" w:eastAsia="宋体" w:hint="ascii"/>
          <w:sz w:val="21"/>
          <w:spacing w:val="4"/>
        </w:rPr>
        <w:t>金</w:t>
      </w:r>
      <w:r>
        <w:rPr>
          <w:rFonts w:ascii="宋体" w:hAnsi="宋体" w:cs="宋体" w:eastAsia="宋体" w:hint="ascii"/>
          <w:sz w:val="21"/>
          <w:spacing w:val="3"/>
        </w:rPr>
        <w:t>面向全国</w:t>
      </w:r>
      <w:r>
        <w:rPr>
          <w:rFonts w:ascii="宋体" w:hAnsi="宋体" w:cs="宋体" w:eastAsia="宋体" w:hint="ascii"/>
          <w:sz w:val="21"/>
          <w:spacing w:val="4"/>
        </w:rPr>
        <w:t>，</w:t>
      </w:r>
      <w:r>
        <w:rPr>
          <w:rFonts w:ascii="宋体" w:hAnsi="宋体" w:cs="宋体" w:eastAsia="宋体" w:hint="ascii"/>
          <w:sz w:val="21"/>
          <w:spacing w:val="3"/>
        </w:rPr>
        <w:t>为更好地</w:t>
      </w:r>
      <w:r>
        <w:rPr>
          <w:rFonts w:ascii="宋体" w:hAnsi="宋体" w:cs="宋体" w:eastAsia="宋体" w:hint="ascii"/>
          <w:sz w:val="21"/>
          <w:spacing w:val="4"/>
        </w:rPr>
        <w:t>结</w:t>
      </w:r>
      <w:r>
        <w:rPr>
          <w:rFonts w:ascii="宋体" w:hAnsi="宋体" w:cs="宋体" w:eastAsia="宋体" w:hint="ascii"/>
          <w:sz w:val="21"/>
          <w:spacing w:val="3"/>
        </w:rPr>
        <w:t>合雅砻江</w:t>
      </w:r>
      <w:r>
        <w:rPr>
          <w:rFonts w:ascii="宋体" w:hAnsi="宋体" w:cs="宋体" w:eastAsia="宋体" w:hint="ascii"/>
          <w:sz w:val="21"/>
          <w:spacing w:val="4"/>
        </w:rPr>
        <w:t>清</w:t>
      </w:r>
      <w:r>
        <w:rPr>
          <w:rFonts w:ascii="宋体" w:hAnsi="宋体" w:cs="宋体" w:eastAsia="宋体" w:hint="ascii"/>
          <w:sz w:val="21"/>
          <w:spacing w:val="3"/>
        </w:rPr>
        <w:t>洁可再生</w:t>
      </w:r>
      <w:r>
        <w:rPr>
          <w:rFonts w:ascii="宋体" w:hAnsi="宋体" w:cs="宋体" w:eastAsia="宋体" w:hint="ascii"/>
          <w:sz w:val="21"/>
          <w:spacing w:val="4"/>
        </w:rPr>
        <w:t>能</w:t>
      </w:r>
      <w:r>
        <w:rPr>
          <w:rFonts w:ascii="宋体" w:hAnsi="宋体" w:cs="宋体" w:eastAsia="宋体" w:hint="ascii"/>
          <w:sz w:val="21"/>
          <w:spacing w:val="3"/>
        </w:rPr>
        <w:t>源开发及</w:t>
      </w:r>
      <w:r>
        <w:rPr>
          <w:rFonts w:ascii="宋体" w:hAnsi="宋体" w:cs="宋体" w:eastAsia="宋体" w:hint="ascii"/>
          <w:sz w:val="21"/>
          <w:spacing w:val="4"/>
        </w:rPr>
        <w:t>深</w:t>
      </w:r>
      <w:r>
        <w:rPr>
          <w:rFonts w:ascii="宋体" w:hAnsi="宋体" w:cs="宋体" w:eastAsia="宋体" w:hint="ascii"/>
          <w:sz w:val="21"/>
          <w:spacing w:val="3"/>
        </w:rPr>
        <w:t>地基</w:t>
      </w:r>
      <w:r>
        <w:rPr>
          <w:rFonts w:ascii="宋体" w:hAnsi="宋体" w:cs="宋体" w:eastAsia="宋体" w:hint="ascii"/>
          <w:sz w:val="21"/>
        </w:rPr>
        <w:t>础</w:t>
      </w:r>
    </w:p>
    <w:p>
      <w:pPr>
        <w:autoSpaceDE w:val="0"/>
        <w:autoSpaceDN w:val="0"/>
        <w:jc w:val="left"/>
        <w:spacing w:before="10" w:after="0" w:lineRule="exact" w:line="312"/>
        <w:ind w:right="873" w:left="966" w:firstLine="0"/>
        <w:snapToGrid w:val="0"/>
        <w:textAlignment w:val="auto"/>
        <w:tabs/>
        <w:rPr>
          <w:rFonts w:ascii="宋体" w:hAnsi="宋体" w:cs="宋体" w:eastAsia="宋体" w:hint="ascii"/>
          <w:sz w:val="21"/>
        </w:rPr>
      </w:pPr>
      <w:r>
        <w:rPr>
          <w:rFonts w:ascii="宋体" w:hAnsi="宋体" w:cs="宋体" w:eastAsia="宋体" w:hint="ascii"/>
          <w:sz w:val="21"/>
          <w:spacing w:val="3"/>
        </w:rPr>
        <w:t>科学研究</w:t>
      </w:r>
      <w:r>
        <w:rPr>
          <w:rFonts w:ascii="宋体" w:hAnsi="宋体" w:cs="宋体" w:eastAsia="宋体" w:hint="ascii"/>
          <w:sz w:val="21"/>
        </w:rPr>
        <w:t>的</w:t>
      </w:r>
      <w:r>
        <w:rPr>
          <w:rFonts w:ascii="宋体" w:hAnsi="宋体" w:cs="宋体" w:eastAsia="宋体" w:hint="ascii"/>
          <w:sz w:val="21"/>
          <w:spacing w:val="3"/>
        </w:rPr>
        <w:t>实际，实</w:t>
      </w:r>
      <w:r>
        <w:rPr>
          <w:rFonts w:ascii="宋体" w:hAnsi="宋体" w:cs="宋体" w:eastAsia="宋体" w:hint="ascii"/>
          <w:sz w:val="21"/>
        </w:rPr>
        <w:t>现</w:t>
      </w:r>
      <w:r>
        <w:rPr>
          <w:rFonts w:ascii="宋体" w:hAnsi="宋体" w:cs="宋体" w:eastAsia="宋体" w:hint="ascii"/>
          <w:sz w:val="21"/>
          <w:spacing w:val="3"/>
        </w:rPr>
        <w:t>数据和资</w:t>
      </w:r>
      <w:r>
        <w:rPr>
          <w:rFonts w:ascii="宋体" w:hAnsi="宋体" w:cs="宋体" w:eastAsia="宋体" w:hint="ascii"/>
          <w:sz w:val="21"/>
        </w:rPr>
        <w:t>源</w:t>
      </w:r>
      <w:r>
        <w:rPr>
          <w:rFonts w:ascii="宋体" w:hAnsi="宋体" w:cs="宋体" w:eastAsia="宋体" w:hint="ascii"/>
          <w:sz w:val="21"/>
          <w:spacing w:val="3"/>
        </w:rPr>
        <w:t>共享，保</w:t>
      </w:r>
      <w:r>
        <w:rPr>
          <w:rFonts w:ascii="宋体" w:hAnsi="宋体" w:cs="宋体" w:eastAsia="宋体" w:hint="ascii"/>
          <w:sz w:val="21"/>
        </w:rPr>
        <w:t>证</w:t>
      </w:r>
      <w:r>
        <w:rPr>
          <w:rFonts w:ascii="宋体" w:hAnsi="宋体" w:cs="宋体" w:eastAsia="宋体" w:hint="ascii"/>
          <w:sz w:val="21"/>
          <w:spacing w:val="3"/>
        </w:rPr>
        <w:t>项目的顺</w:t>
      </w:r>
      <w:r>
        <w:rPr>
          <w:rFonts w:ascii="宋体" w:hAnsi="宋体" w:cs="宋体" w:eastAsia="宋体" w:hint="ascii"/>
          <w:sz w:val="21"/>
        </w:rPr>
        <w:t>利</w:t>
      </w:r>
      <w:r>
        <w:rPr>
          <w:rFonts w:ascii="宋体" w:hAnsi="宋体" w:cs="宋体" w:eastAsia="宋体" w:hint="ascii"/>
          <w:sz w:val="21"/>
          <w:spacing w:val="3"/>
        </w:rPr>
        <w:t>进行，鼓</w:t>
      </w:r>
      <w:r>
        <w:rPr>
          <w:rFonts w:ascii="宋体" w:hAnsi="宋体" w:cs="宋体" w:eastAsia="宋体" w:hint="ascii"/>
          <w:sz w:val="21"/>
        </w:rPr>
        <w:t>励</w:t>
      </w:r>
      <w:r>
        <w:rPr>
          <w:rFonts w:ascii="宋体" w:hAnsi="宋体" w:cs="宋体" w:eastAsia="宋体" w:hint="ascii"/>
          <w:sz w:val="21"/>
          <w:spacing w:val="3"/>
        </w:rPr>
        <w:t>申请单位</w:t>
      </w:r>
      <w:r>
        <w:rPr>
          <w:rFonts w:ascii="宋体" w:hAnsi="宋体" w:cs="宋体" w:eastAsia="宋体" w:hint="ascii"/>
          <w:sz w:val="21"/>
        </w:rPr>
        <w:t>与</w:t>
      </w:r>
      <w:r>
        <w:rPr>
          <w:rFonts w:ascii="宋体" w:hAnsi="宋体" w:cs="宋体" w:eastAsia="宋体" w:hint="ascii"/>
          <w:sz w:val="21"/>
          <w:spacing w:val="3"/>
        </w:rPr>
        <w:t>雅</w:t>
      </w:r>
      <w:r>
        <w:rPr>
          <w:rFonts w:ascii="宋体" w:hAnsi="宋体" w:cs="宋体" w:eastAsia="宋体" w:hint="ascii"/>
          <w:sz w:val="21"/>
        </w:rPr>
        <w:t>砻</w:t>
      </w:r>
      <w:r>
        <w:rPr>
          <w:rFonts w:ascii="宋体" w:hAnsi="宋体" w:cs="宋体" w:eastAsia="宋体" w:hint="ascii"/>
          <w:sz w:val="21"/>
          <w:spacing w:val="6"/>
        </w:rPr>
        <w:t>江公司开展合作。对于合作申请的研究项目，应在申请书中明确合作各方的合作</w:t>
      </w:r>
      <w:r>
        <w:rPr>
          <w:rFonts w:ascii="宋体" w:hAnsi="宋体" w:cs="宋体" w:eastAsia="宋体" w:hint="ascii"/>
          <w:sz w:val="21"/>
        </w:rPr>
        <w:t>内</w:t>
      </w:r>
      <w:r>
        <w:rPr>
          <w:rFonts w:ascii="宋体" w:hAnsi="宋体" w:cs="宋体" w:eastAsia="宋体" w:hint="ascii"/>
          <w:sz w:val="21"/>
          <w:spacing w:val="3"/>
        </w:rPr>
        <w:t>容、主要</w:t>
      </w:r>
      <w:r>
        <w:rPr>
          <w:rFonts w:ascii="宋体" w:hAnsi="宋体" w:cs="宋体" w:eastAsia="宋体" w:hint="ascii"/>
          <w:sz w:val="21"/>
        </w:rPr>
        <w:t>分</w:t>
      </w:r>
      <w:r>
        <w:rPr>
          <w:rFonts w:ascii="宋体" w:hAnsi="宋体" w:cs="宋体" w:eastAsia="宋体" w:hint="ascii"/>
          <w:sz w:val="21"/>
          <w:spacing w:val="3"/>
        </w:rPr>
        <w:t>工等。申</w:t>
      </w:r>
      <w:r>
        <w:rPr>
          <w:rFonts w:ascii="宋体" w:hAnsi="宋体" w:cs="宋体" w:eastAsia="宋体" w:hint="ascii"/>
          <w:sz w:val="21"/>
        </w:rPr>
        <w:t>请</w:t>
      </w:r>
      <w:r>
        <w:rPr>
          <w:rFonts w:ascii="宋体" w:hAnsi="宋体" w:cs="宋体" w:eastAsia="宋体" w:hint="ascii"/>
          <w:sz w:val="21"/>
          <w:spacing w:val="3"/>
        </w:rPr>
        <w:t>单位如需</w:t>
      </w:r>
      <w:r>
        <w:rPr>
          <w:rFonts w:ascii="宋体" w:hAnsi="宋体" w:cs="宋体" w:eastAsia="宋体" w:hint="ascii"/>
          <w:sz w:val="21"/>
        </w:rPr>
        <w:t>了</w:t>
      </w:r>
      <w:r>
        <w:rPr>
          <w:rFonts w:ascii="宋体" w:hAnsi="宋体" w:cs="宋体" w:eastAsia="宋体" w:hint="ascii"/>
          <w:sz w:val="21"/>
          <w:spacing w:val="3"/>
        </w:rPr>
        <w:t>解项目依</w:t>
      </w:r>
      <w:r>
        <w:rPr>
          <w:rFonts w:ascii="宋体" w:hAnsi="宋体" w:cs="宋体" w:eastAsia="宋体" w:hint="ascii"/>
          <w:sz w:val="21"/>
        </w:rPr>
        <w:t>托</w:t>
      </w:r>
      <w:r>
        <w:rPr>
          <w:rFonts w:ascii="宋体" w:hAnsi="宋体" w:cs="宋体" w:eastAsia="宋体" w:hint="ascii"/>
          <w:sz w:val="21"/>
          <w:spacing w:val="3"/>
        </w:rPr>
        <w:t>工程的相</w:t>
      </w:r>
      <w:r>
        <w:rPr>
          <w:rFonts w:ascii="宋体" w:hAnsi="宋体" w:cs="宋体" w:eastAsia="宋体" w:hint="ascii"/>
          <w:sz w:val="21"/>
        </w:rPr>
        <w:t>关</w:t>
      </w:r>
      <w:r>
        <w:rPr>
          <w:rFonts w:ascii="宋体" w:hAnsi="宋体" w:cs="宋体" w:eastAsia="宋体" w:hint="ascii"/>
          <w:sz w:val="21"/>
          <w:spacing w:val="3"/>
        </w:rPr>
        <w:t>背景资料</w:t>
      </w:r>
      <w:r>
        <w:rPr>
          <w:rFonts w:ascii="宋体" w:hAnsi="宋体" w:cs="宋体" w:eastAsia="宋体" w:hint="ascii"/>
          <w:sz w:val="21"/>
        </w:rPr>
        <w:t>，</w:t>
      </w:r>
      <w:r>
        <w:rPr>
          <w:rFonts w:ascii="宋体" w:hAnsi="宋体" w:cs="宋体" w:eastAsia="宋体" w:hint="ascii"/>
          <w:sz w:val="21"/>
          <w:spacing w:val="3"/>
        </w:rPr>
        <w:t>请与雅砻</w:t>
      </w:r>
      <w:r>
        <w:rPr>
          <w:rFonts w:ascii="宋体" w:hAnsi="宋体" w:cs="宋体" w:eastAsia="宋体" w:hint="ascii"/>
          <w:sz w:val="21"/>
        </w:rPr>
        <w:t>江</w:t>
      </w:r>
      <w:r>
        <w:rPr>
          <w:rFonts w:ascii="宋体" w:hAnsi="宋体" w:cs="宋体" w:eastAsia="宋体" w:hint="ascii"/>
          <w:sz w:val="21"/>
          <w:spacing w:val="3"/>
        </w:rPr>
        <w:t>公</w:t>
      </w:r>
      <w:r>
        <w:rPr>
          <w:rFonts w:ascii="宋体" w:hAnsi="宋体" w:cs="宋体" w:eastAsia="宋体" w:hint="ascii"/>
          <w:sz w:val="21"/>
        </w:rPr>
        <w:t>司联系。</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研究内容和目</w:t>
      </w:r>
      <w:r>
        <w:rPr>
          <w:rFonts w:ascii="宋体" w:hAnsi="宋体" w:cs="宋体" w:eastAsia="宋体" w:hint="ascii"/>
          <w:sz w:val="21"/>
        </w:rPr>
        <w:t>标等由申请人提出，要求申请人按照培育项目或重点支持项目申请书撰写</w:t>
      </w:r>
      <w:r>
        <w:rPr>
          <w:rFonts w:ascii="宋体" w:hAnsi="宋体" w:cs="宋体" w:eastAsia="宋体" w:hint="ascii"/>
          <w:sz w:val="21"/>
          <w:spacing w:val="-1"/>
        </w:rPr>
        <w:t>提纲撰写申请</w:t>
      </w:r>
      <w:r>
        <w:rPr>
          <w:rFonts w:ascii="宋体" w:hAnsi="宋体" w:cs="宋体" w:eastAsia="宋体" w:hint="ascii"/>
          <w:sz w:val="21"/>
        </w:rPr>
        <w:t>书。如果申请人已经承担与本联合基金相关的国家其他科技计划项目，应</w:t>
      </w:r>
    </w:p>
    <w:p>
      <w:pPr>
        <w:autoSpaceDE w:val="0"/>
        <w:autoSpaceDN w:val="0"/>
        <w:jc w:val="left"/>
        <w:spacing w:before="294"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8"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spacing w:val="-1"/>
        </w:rPr>
        <w:t>当在申请书正</w:t>
      </w:r>
      <w:r>
        <w:rPr>
          <w:rFonts w:ascii="宋体" w:hAnsi="宋体" w:cs="宋体" w:eastAsia="宋体" w:hint="ascii"/>
          <w:sz w:val="21"/>
        </w:rPr>
        <w:t>文的“研究基础与工作条件”部分论述申请项目与其他相关项目的区别与联系。</w:t>
      </w:r>
      <w:r>
        <w:rPr>
          <w:rFonts w:ascii="宋体" w:hAnsi="宋体" w:cs="宋体" w:eastAsia="宋体" w:hint="ascii"/>
          <w:sz w:val="21"/>
        </w:rPr>
        <mc:AlternateContent>
          <mc:Choice Requires="wps">
            <w:drawing>
              <wp:anchor distL="0" distR="0" distT="0" distB="0" simplePos="0" behindDoc="1" relativeHeight="282" locked="0" layoutInCell="1" allowOverlap="1">
                <wp:simplePos x="0" y="0"/>
                <wp:positionH relativeFrom="page">
                  <wp:posOffset>938530</wp:posOffset>
                </wp:positionH>
                <wp:positionV relativeFrom="page">
                  <wp:posOffset>805815</wp:posOffset>
                </wp:positionV>
                <wp:extent cx="5076190" cy="0"/>
                <wp:wrapNone/>
                <wp:docPr id="1311" name="131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69472;width:399.70pt;" id="1311" coordsize="7994,0" strokeweight="0.50pt" strokecolor="#231f20" fillcolor="#auto" opacity="0f" from="0.00pt, 0.00pt" to="399.70pt, 0.00pt">
                <v:stroke endcap="round"/>
                <v:fill opacity="0f"/>
                <w10:wrap anchorx="page" anchory="page" side="both"/>
              </v:line>
            </w:pict>
          </mc:Fallback>
        </mc:AlternateContent>
      </w:r>
      <w:rPr>
        <w:rFonts w:ascii="宋体" w:hAnsi="宋体" w:cs="宋体" w:eastAsia="宋体" w:hint="ascii"/>
        <w:sz w:val="21"/>
      </w:rP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w:t>
      </w:r>
    </w:p>
    <w:p>
      <w:pPr>
        <w:autoSpaceDE w:val="0"/>
        <w:autoSpaceDN w:val="0"/>
        <w:jc w:val="both"/>
        <w:spacing w:before="10" w:after="0" w:lineRule="exact" w:line="312"/>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址：北京</w:t>
      </w:r>
      <w:r>
        <w:rPr>
          <w:rFonts w:ascii="宋体" w:hAnsi="宋体" w:cs="宋体" w:eastAsia="宋体" w:hint="ascii"/>
          <w:sz w:val="21"/>
        </w:rPr>
        <w:t>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人：雷</w:t>
      </w:r>
      <w:r>
        <w:rPr>
          <w:rFonts w:ascii="宋体" w:hAnsi="宋体" w:cs="宋体" w:eastAsia="宋体" w:hint="ascii"/>
          <w:sz w:val="21"/>
          <w:spacing w:val="53"/>
        </w:rPr>
        <w:t xml:space="preserve"> </w:t>
      </w:r>
      <w:r>
        <w:rPr>
          <w:rFonts w:ascii="宋体" w:hAnsi="宋体" w:cs="宋体" w:eastAsia="宋体" w:hint="ascii"/>
          <w:sz w:val="21"/>
        </w:rPr>
        <w:t>蓉</w:t>
      </w:r>
      <w:r>
        <w:rPr>
          <w:rFonts w:ascii="宋体" w:hAnsi="宋体" w:cs="宋体" w:eastAsia="宋体" w:hint="ascii"/>
          <w:sz w:val="21"/>
          <w:spacing w:val="52"/>
        </w:rPr>
        <w:t xml:space="preserve"> </w:t>
      </w:r>
      <w:r>
        <w:rPr>
          <w:rFonts w:ascii="宋体" w:hAnsi="宋体" w:cs="宋体" w:eastAsia="宋体" w:hint="ascii"/>
          <w:sz w:val="21"/>
        </w:rPr>
        <w:t>王</w:t>
      </w:r>
      <w:r>
        <w:rPr>
          <w:rFonts w:ascii="宋体" w:hAnsi="宋体" w:cs="宋体" w:eastAsia="宋体" w:hint="ascii"/>
          <w:sz w:val="21"/>
          <w:spacing w:val="52"/>
        </w:rPr>
        <w:t xml:space="preserve"> </w:t>
      </w:r>
      <w:r>
        <w:rPr>
          <w:rFonts w:ascii="宋体" w:hAnsi="宋体" w:cs="宋体" w:eastAsia="宋体" w:hint="ascii"/>
          <w:sz w:val="21"/>
        </w:rPr>
        <w:t>岩</w:t>
      </w:r>
    </w:p>
    <w:p>
      <w:pPr>
        <w:autoSpaceDE w:val="0"/>
        <w:autoSpaceDN w:val="0"/>
        <w:jc w:val="both"/>
        <w:spacing w:before="10" w:after="0" w:lineRule="exact" w:line="312"/>
        <w:ind w:right="105"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55"/>
        </w:rPr>
        <w:t xml:space="preserve"> </w:t>
      </w:r>
      <w:r>
        <w:rPr>
          <w:rFonts w:ascii="宋体" w:hAnsi="宋体" w:cs="宋体" w:eastAsia="宋体" w:hint="ascii"/>
          <w:sz w:val="21"/>
          <w:spacing w:val="-3"/>
        </w:rPr>
        <w:t>话</w:t>
      </w:r>
      <w:r>
        <w:rPr>
          <w:rFonts w:ascii="宋体" w:hAnsi="宋体" w:cs="宋体" w:eastAsia="宋体" w:hint="ascii"/>
          <w:sz w:val="21"/>
          <w:spacing w:val="-2"/>
        </w:rPr>
        <w:t>：</w:t>
      </w:r>
      <w:r>
        <w:rPr>
          <w:rFonts w:ascii="Times New Roman" w:hAnsi="Times New Roman" w:cs="Times New Roman" w:eastAsia="Times New Roman" w:hint="ascii"/>
          <w:sz w:val="21"/>
          <w:spacing w:val="-2"/>
        </w:rPr>
        <w:t>010</w:t>
      </w:r>
      <w:r>
        <w:rPr>
          <w:rFonts w:ascii="宋体" w:hAnsi="宋体" w:cs="宋体" w:eastAsia="宋体" w:hint="ascii"/>
          <w:sz w:val="21"/>
          <w:spacing w:val="-2"/>
        </w:rPr>
        <w:t>-</w:t>
      </w:r>
      <w:r>
        <w:rPr>
          <w:rFonts w:ascii="Times New Roman" w:hAnsi="Times New Roman" w:cs="Times New Roman" w:eastAsia="Times New Roman" w:hint="ascii"/>
          <w:sz w:val="21"/>
          <w:spacing w:val="-2"/>
        </w:rPr>
        <w:t>62328484</w:t>
      </w:r>
      <w:r>
        <w:rPr>
          <w:rFonts w:ascii="宋体" w:hAnsi="宋体" w:cs="宋体" w:eastAsia="宋体" w:hint="ascii"/>
          <w:sz w:val="21"/>
          <w:spacing w:val="-2"/>
        </w:rPr>
        <w:t>，</w:t>
      </w:r>
      <w:r>
        <w:rPr>
          <w:rFonts w:ascii="Times New Roman" w:hAnsi="Times New Roman" w:cs="Times New Roman" w:eastAsia="Times New Roman" w:hint="ascii"/>
          <w:sz w:val="21"/>
          <w:spacing w:val="-2"/>
        </w:rPr>
        <w:t>62327015</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leirong@nsfc.go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p>
    <w:p>
      <w:pPr>
        <w:autoSpaceDE w:val="0"/>
        <w:autoSpaceDN w:val="0"/>
        <w:jc w:val="left"/>
        <w:spacing w:before="54" w:after="0" w:lineRule="auto" w:line="240"/>
        <w:ind w:right="0" w:left="2437"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rPr>
        <w:t>wangyan@nsfc.go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p>
    <w:p>
      <w:pPr>
        <w:autoSpaceDE w:val="0"/>
        <w:autoSpaceDN w:val="0"/>
        <w:jc w:val="left"/>
        <w:spacing w:before="661"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雅砻江流域水电开发有限公司</w:t>
      </w:r>
    </w:p>
    <w:p>
      <w:pPr>
        <w:autoSpaceDE w:val="0"/>
        <w:autoSpaceDN w:val="0"/>
        <w:jc w:val="left"/>
        <w:spacing w:before="4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58"/>
        </w:rPr>
        <w:t xml:space="preserve"> </w:t>
      </w:r>
      <w:r>
        <w:rPr>
          <w:rFonts w:ascii="宋体" w:hAnsi="宋体" w:cs="宋体" w:eastAsia="宋体" w:hint="ascii"/>
          <w:sz w:val="21"/>
        </w:rPr>
        <w:t>址：成都市双林</w:t>
      </w:r>
      <w:r>
        <w:rPr>
          <w:rFonts w:ascii="宋体" w:hAnsi="宋体" w:cs="宋体" w:eastAsia="宋体" w:hint="ascii"/>
          <w:sz w:val="21"/>
          <w:spacing w:val="26"/>
        </w:rPr>
        <w:t>路</w:t>
      </w:r>
      <w:r>
        <w:rPr>
          <w:rFonts w:ascii="Times New Roman" w:hAnsi="Times New Roman" w:cs="Times New Roman" w:eastAsia="Times New Roman" w:hint="ascii"/>
          <w:sz w:val="21"/>
        </w:rPr>
        <w:t>28</w:t>
      </w:r>
      <w:r>
        <w:rPr>
          <w:rFonts w:ascii="Times New Roman" w:hAnsi="Times New Roman" w:cs="Times New Roman" w:eastAsia="Times New Roman" w:hint="ascii"/>
          <w:sz w:val="21"/>
          <w:spacing w:val="52"/>
        </w:rPr>
        <w:t>8</w:t>
      </w:r>
      <w:r>
        <w:rPr>
          <w:rFonts w:ascii="宋体" w:hAnsi="宋体" w:cs="宋体" w:eastAsia="宋体" w:hint="ascii"/>
          <w:sz w:val="21"/>
        </w:rPr>
        <w:t>号</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610051</w:t>
      </w:r>
    </w:p>
    <w:p>
      <w:pPr>
        <w:autoSpaceDE w:val="0"/>
        <w:autoSpaceDN w:val="0"/>
        <w:jc w:val="left"/>
        <w:spacing w:before="4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人：周济芳</w:t>
      </w:r>
      <w:r>
        <w:rPr>
          <w:rFonts w:ascii="宋体" w:hAnsi="宋体" w:cs="宋体" w:eastAsia="宋体" w:hint="ascii"/>
          <w:sz w:val="21"/>
          <w:spacing w:val="53"/>
        </w:rPr>
        <w:t xml:space="preserve"> </w:t>
      </w:r>
      <w:r>
        <w:rPr>
          <w:rFonts w:ascii="宋体" w:hAnsi="宋体" w:cs="宋体" w:eastAsia="宋体" w:hint="ascii"/>
          <w:sz w:val="21"/>
        </w:rPr>
        <w:t>杜成波</w:t>
      </w:r>
    </w:p>
    <w:p>
      <w:pPr>
        <w:autoSpaceDE w:val="0"/>
        <w:autoSpaceDN w:val="0"/>
        <w:jc w:val="both"/>
        <w:spacing w:before="10" w:after="0" w:lineRule="exact" w:line="312"/>
        <w:ind w:right="1134"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55"/>
        </w:rPr>
        <w:t xml:space="preserve"> </w:t>
      </w:r>
      <w:r>
        <w:rPr>
          <w:rFonts w:ascii="宋体" w:hAnsi="宋体" w:cs="宋体" w:eastAsia="宋体" w:hint="ascii"/>
          <w:sz w:val="21"/>
          <w:spacing w:val="-3"/>
        </w:rPr>
        <w:t>话</w:t>
      </w:r>
      <w:r>
        <w:rPr>
          <w:rFonts w:ascii="宋体" w:hAnsi="宋体" w:cs="宋体" w:eastAsia="宋体" w:hint="ascii"/>
          <w:sz w:val="21"/>
          <w:spacing w:val="-2"/>
        </w:rPr>
        <w:t>：</w:t>
      </w:r>
      <w:r>
        <w:rPr>
          <w:rFonts w:ascii="Times New Roman" w:hAnsi="Times New Roman" w:cs="Times New Roman" w:eastAsia="Times New Roman" w:hint="ascii"/>
          <w:sz w:val="21"/>
          <w:spacing w:val="-2"/>
        </w:rPr>
        <w:t>028</w:t>
      </w:r>
      <w:r>
        <w:rPr>
          <w:rFonts w:ascii="宋体" w:hAnsi="宋体" w:cs="宋体" w:eastAsia="宋体" w:hint="ascii"/>
          <w:sz w:val="21"/>
          <w:spacing w:val="-2"/>
        </w:rPr>
        <w:t>-</w:t>
      </w:r>
      <w:r>
        <w:rPr>
          <w:rFonts w:ascii="Times New Roman" w:hAnsi="Times New Roman" w:cs="Times New Roman" w:eastAsia="Times New Roman" w:hint="ascii"/>
          <w:sz w:val="21"/>
          <w:spacing w:val="-2"/>
        </w:rPr>
        <w:t>82907149</w:t>
      </w:r>
      <w:r>
        <w:rPr>
          <w:rFonts w:ascii="宋体" w:hAnsi="宋体" w:cs="宋体" w:eastAsia="宋体" w:hint="ascii"/>
          <w:sz w:val="21"/>
          <w:spacing w:val="-2"/>
        </w:rPr>
        <w:t>，</w:t>
      </w:r>
      <w:r>
        <w:rPr>
          <w:rFonts w:ascii="Times New Roman" w:hAnsi="Times New Roman" w:cs="Times New Roman" w:eastAsia="Times New Roman" w:hint="ascii"/>
          <w:sz w:val="21"/>
          <w:spacing w:val="-2"/>
        </w:rPr>
        <w:t>82907008</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zhoujifang@ylhdc.com.cn</w:t>
      </w:r>
    </w:p>
    <w:p>
      <w:pPr>
        <w:autoSpaceDE w:val="0"/>
        <w:autoSpaceDN w:val="0"/>
        <w:jc w:val="left"/>
        <w:spacing w:before="54" w:after="0" w:lineRule="auto" w:line="240"/>
        <w:ind w:right="0" w:left="1050" w:firstLine="0"/>
        <w:snapToGrid w:val="0"/>
        <w:textAlignment w:val="auto"/>
        <w:tabs/>
        <w:sectPr>
          <w:type w:val="continuous"/>
          <w:pgSz w:w="10940" w:h="15080" w:orient="portrait"/>
          <w:pgMar w:top="508" w:right="508" w:bottom="508" w:left="508" w:header="0" w:footer="0" w:gutter="0"/>
          <w:cols w:num="2" w:space="0" w:equalWidth="0">
            <w:col w:w="4850" w:space="581"/>
            <w:col w:w="4493"/>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Times New Roman" w:hAnsi="Times New Roman" w:cs="Times New Roman" w:eastAsia="Times New Roman" w:hint="ascii"/>
          <w:sz w:val="21"/>
        </w:rPr>
        <w:t>duchengbo@ylhdc.com.cn</w:t>
      </w:r>
      <w:rPr>
        <w:rFonts w:ascii="Times New Roman" w:hAnsi="Times New Roman" w:cs="Times New Roman" w:eastAsia="Times New Roman" w:hint="ascii"/>
        <w:sz w:val="21"/>
      </w:rPr>
    </w:p>
    <w:p>
      <w:pPr>
        <w:autoSpaceDE w:val="0"/>
        <w:autoSpaceDN w:val="0"/>
        <w:jc w:val="left"/>
        <w:spacing w:before="509" w:after="0" w:lineRule="exact" w:line="475"/>
        <w:ind w:right="0" w:left="3436" w:firstLine="0"/>
        <w:snapToGrid w:val="0"/>
        <w:textAlignment w:val="auto"/>
        <w:tabs/>
        <w:rPr>
          <w:rFonts w:ascii="宋体" w:hAnsi="宋体" w:cs="宋体" w:eastAsia="宋体" w:hint="ascii"/>
          <w:sz w:val="38"/>
        </w:rPr>
      </w:pPr>
      <w:r>
        <w:rPr>
          <w:rFonts w:ascii="宋体" w:hAnsi="宋体" w:cs="宋体" w:eastAsia="宋体" w:hint="ascii"/>
          <w:sz w:val="38"/>
        </w:rPr>
        <w:t>智能电网联合基金</w:t>
      </w:r>
    </w:p>
    <w:p>
      <w:pPr>
        <w:autoSpaceDE w:val="0"/>
        <w:autoSpaceDN w:val="0"/>
        <w:jc w:val="left"/>
        <w:spacing w:before="318"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w:t>
      </w:r>
      <w:r>
        <w:rPr>
          <w:rFonts w:ascii="宋体" w:hAnsi="宋体" w:cs="宋体" w:eastAsia="宋体" w:hint="ascii"/>
          <w:sz w:val="21"/>
        </w:rPr>
        <w:t>-</w:t>
      </w:r>
      <w:r>
        <w:rPr>
          <w:rFonts w:ascii="宋体" w:hAnsi="宋体" w:cs="宋体" w:eastAsia="宋体" w:hint="ascii"/>
          <w:sz w:val="21"/>
        </w:rPr>
        <w:t>国家电网公司智能电网联合基金（以下简称智能电网联</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合基金</w:t>
      </w:r>
      <w:r>
        <w:rPr>
          <w:rFonts w:ascii="宋体" w:hAnsi="宋体" w:cs="宋体" w:eastAsia="宋体" w:hint="ascii"/>
          <w:sz w:val="21"/>
        </w:rPr>
        <w:t>）由自然科学基金委和国家电网公司共同设立，旨在发挥国家自然科学基金的导</w:t>
      </w:r>
      <w:r>
        <w:rPr>
          <w:rFonts w:ascii="宋体" w:hAnsi="宋体" w:cs="宋体" w:eastAsia="宋体" w:hint="ascii"/>
          <w:sz w:val="21"/>
          <w:spacing w:val="-1"/>
        </w:rPr>
        <w:t>向作用</w:t>
      </w:r>
      <w:r>
        <w:rPr>
          <w:rFonts w:ascii="宋体" w:hAnsi="宋体" w:cs="宋体" w:eastAsia="宋体" w:hint="ascii"/>
          <w:sz w:val="21"/>
        </w:rPr>
        <w:t>，促进产学研结合，吸引和汇聚全国相关研究领域的优秀人才开展面向国家能源战略需求的基础前沿技术研究，提升我国电力工业的自主创新能力和核心竞争力。</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智能电网联合基金 </w:t>
      </w:r>
      <w:r>
        <w:rPr>
          <w:rFonts w:ascii="Times New Roman" w:hAnsi="Times New Roman" w:cs="Times New Roman" w:eastAsia="Times New Roman" w:hint="ascii"/>
          <w:sz w:val="21"/>
        </w:rPr>
        <w:t xml:space="preserve">2018 </w:t>
      </w:r>
      <w:r>
        <w:rPr>
          <w:rFonts w:ascii="宋体" w:hAnsi="宋体" w:cs="宋体" w:eastAsia="宋体" w:hint="ascii"/>
          <w:sz w:val="21"/>
        </w:rPr>
        <w:t>年度接收下述领域的集成项目或重点支持项目申请。其中</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集成项目直接</w:t>
      </w:r>
      <w:r>
        <w:rPr>
          <w:rFonts w:ascii="宋体" w:hAnsi="宋体" w:cs="宋体" w:eastAsia="宋体" w:hint="ascii"/>
          <w:sz w:val="21"/>
        </w:rPr>
        <w:t xml:space="preserve">费用平均资助强度为 </w:t>
      </w:r>
      <w:r>
        <w:rPr>
          <w:rFonts w:ascii="Times New Roman" w:hAnsi="Times New Roman" w:cs="Times New Roman" w:eastAsia="Times New Roman" w:hint="ascii"/>
          <w:sz w:val="21"/>
        </w:rPr>
        <w:t xml:space="preserve">1 500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 xml:space="preserve">项，资助期限为 </w:t>
      </w:r>
      <w:r>
        <w:rPr>
          <w:rFonts w:ascii="Times New Roman" w:hAnsi="Times New Roman" w:cs="Times New Roman" w:eastAsia="Times New Roman" w:hint="ascii"/>
          <w:sz w:val="21"/>
        </w:rPr>
        <w:t xml:space="preserve">4 </w:t>
      </w:r>
      <w:r>
        <w:rPr>
          <w:rFonts w:ascii="宋体" w:hAnsi="宋体" w:cs="宋体" w:eastAsia="宋体" w:hint="ascii"/>
          <w:sz w:val="21"/>
        </w:rPr>
        <w:t>年；重点支持项目直接费用平均资助强度</w:t>
      </w:r>
      <w:r>
        <w:rPr>
          <w:rFonts w:ascii="宋体" w:hAnsi="宋体" w:cs="宋体" w:eastAsia="宋体" w:hint="ascii"/>
          <w:sz w:val="21"/>
          <w:spacing w:val="26"/>
        </w:rPr>
        <w:t>为</w:t>
      </w:r>
      <w:r>
        <w:rPr>
          <w:rFonts w:ascii="Times New Roman" w:hAnsi="Times New Roman" w:cs="Times New Roman" w:eastAsia="Times New Roman" w:hint="ascii"/>
          <w:sz w:val="21"/>
        </w:rPr>
        <w:t>30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4</w:t>
      </w:r>
      <w:r>
        <w:rPr>
          <w:rFonts w:ascii="宋体" w:hAnsi="宋体" w:cs="宋体" w:eastAsia="宋体" w:hint="ascii"/>
          <w:sz w:val="21"/>
        </w:rPr>
        <w:t>年。</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一、集成项目</w:t>
      </w:r>
    </w:p>
    <w:p>
      <w:pPr>
        <w:autoSpaceDE w:val="0"/>
        <w:autoSpaceDN w:val="0"/>
        <w:jc w:val="both"/>
        <w:spacing w:before="158" w:after="0" w:lineRule="exact" w:line="312"/>
        <w:ind w:right="974"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申请人</w:t>
      </w:r>
      <w:r>
        <w:rPr>
          <w:rFonts w:ascii="宋体" w:hAnsi="宋体" w:cs="宋体" w:eastAsia="宋体" w:hint="ascii"/>
          <w:sz w:val="21"/>
        </w:rPr>
        <w:t>可选择下列三个研究方向中的任意一个研究方向提出申请，自主确定项目名称、研究方案等，细化研究内容。</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研究方向一：基于数字仿真的大电网人工智能分析方法研究</w:t>
      </w:r>
    </w:p>
    <w:p>
      <w:pPr>
        <w:autoSpaceDE w:val="0"/>
        <w:autoSpaceDN w:val="0"/>
        <w:jc w:val="both"/>
        <w:spacing w:before="157" w:after="0" w:lineRule="exact" w:line="312"/>
        <w:ind w:right="974"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将电网分析的领域知识、专家经验转化为专业</w:t>
      </w:r>
      <w:r>
        <w:rPr>
          <w:rFonts w:ascii="宋体" w:hAnsi="宋体" w:cs="宋体" w:eastAsia="宋体" w:hint="ascii"/>
          <w:sz w:val="21"/>
          <w:spacing w:val="-1"/>
        </w:rPr>
        <w:t>智能，扩展仿真分析研究的范围和深</w:t>
      </w:r>
      <w:r>
        <w:rPr>
          <w:rFonts w:ascii="宋体" w:hAnsi="宋体" w:cs="宋体" w:eastAsia="宋体" w:hint="ascii"/>
          <w:sz w:val="21"/>
        </w:rPr>
        <w:t xml:space="preserve"> </w:t>
      </w:r>
      <w:r>
        <w:rPr>
          <w:rFonts w:ascii="宋体" w:hAnsi="宋体" w:cs="宋体" w:eastAsia="宋体" w:hint="ascii"/>
          <w:sz w:val="21"/>
          <w:spacing w:val="-1"/>
        </w:rPr>
        <w:t>度，推</w:t>
      </w:r>
      <w:r>
        <w:rPr>
          <w:rFonts w:ascii="宋体" w:hAnsi="宋体" w:cs="宋体" w:eastAsia="宋体" w:hint="ascii"/>
          <w:sz w:val="21"/>
        </w:rPr>
        <w:t>动大电网运行方式制定、安全稳定特性分析和措施制定的人工智能化，有效提升工作效率、避免人为错误、提高分析精度。</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科学目标：</w:t>
      </w:r>
      <w:r>
        <w:rPr>
          <w:rFonts w:ascii="宋体" w:hAnsi="宋体" w:cs="宋体" w:eastAsia="宋体" w:hint="ascii"/>
          <w:sz w:val="21"/>
        </w:rPr>
        <w:t>基于大电网仿真计算相关数据，综合运用大数据</w:t>
      </w:r>
      <w:r>
        <w:rPr>
          <w:rFonts w:ascii="宋体" w:hAnsi="宋体" w:cs="宋体" w:eastAsia="宋体" w:hint="ascii"/>
          <w:sz w:val="21"/>
          <w:spacing w:val="-5"/>
        </w:rPr>
        <w:t xml:space="preserve"> </w:t>
      </w:r>
      <w:r>
        <w:rPr>
          <w:rFonts w:ascii="Times New Roman" w:hAnsi="Times New Roman" w:cs="Times New Roman" w:eastAsia="Times New Roman" w:hint="ascii"/>
          <w:sz w:val="21"/>
        </w:rPr>
        <w:t>AI</w:t>
      </w:r>
      <w:r>
        <w:rPr>
          <w:rFonts w:ascii="宋体" w:hAnsi="宋体" w:cs="宋体" w:eastAsia="宋体" w:hint="ascii"/>
          <w:sz w:val="21"/>
        </w:rPr>
        <w:t>、跨媒体</w:t>
      </w:r>
      <w:r>
        <w:rPr>
          <w:rFonts w:ascii="宋体" w:hAnsi="宋体" w:cs="宋体" w:eastAsia="宋体" w:hint="ascii"/>
          <w:sz w:val="21"/>
          <w:spacing w:val="-5"/>
        </w:rPr>
        <w:t xml:space="preserve"> </w:t>
      </w:r>
      <w:r>
        <w:rPr>
          <w:rFonts w:ascii="Times New Roman" w:hAnsi="Times New Roman" w:cs="Times New Roman" w:eastAsia="Times New Roman" w:hint="ascii"/>
          <w:sz w:val="21"/>
        </w:rPr>
        <w:t>AI</w:t>
      </w:r>
      <w:r>
        <w:rPr>
          <w:rFonts w:ascii="宋体" w:hAnsi="宋体" w:cs="宋体" w:eastAsia="宋体" w:hint="ascii"/>
          <w:sz w:val="21"/>
        </w:rPr>
        <w:t>、人机</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 xml:space="preserve">混合 </w:t>
      </w:r>
      <w:r>
        <w:rPr>
          <w:rFonts w:ascii="Times New Roman" w:hAnsi="Times New Roman" w:cs="Times New Roman" w:eastAsia="Times New Roman" w:hint="ascii"/>
          <w:sz w:val="21"/>
          <w:spacing w:val="-1"/>
        </w:rPr>
        <w:t>AI</w:t>
      </w:r>
      <w:r>
        <w:rPr>
          <w:rFonts w:ascii="Times New Roman" w:hAnsi="Times New Roman" w:cs="Times New Roman" w:eastAsia="Times New Roman" w:hint="ascii"/>
          <w:sz w:val="21"/>
          <w:spacing w:val="-4"/>
        </w:rPr>
        <w:t xml:space="preserve"> </w:t>
      </w:r>
      <w:r>
        <w:rPr>
          <w:rFonts w:ascii="宋体" w:hAnsi="宋体" w:cs="宋体" w:eastAsia="宋体" w:hint="ascii"/>
          <w:sz w:val="21"/>
          <w:spacing w:val="-1"/>
        </w:rPr>
        <w:t>等</w:t>
      </w:r>
      <w:r>
        <w:rPr>
          <w:rFonts w:ascii="宋体" w:hAnsi="宋体" w:cs="宋体" w:eastAsia="宋体" w:hint="ascii"/>
          <w:sz w:val="21"/>
        </w:rPr>
        <w:t>人工智能方法，深入研究大电网仿真分析知识表达、知识推理及知识服务等</w:t>
      </w:r>
      <w:r>
        <w:rPr>
          <w:rFonts w:ascii="宋体" w:hAnsi="宋体" w:cs="宋体" w:eastAsia="宋体" w:hint="ascii"/>
          <w:sz w:val="21"/>
          <w:spacing w:val="-1"/>
        </w:rPr>
        <w:t>关键问</w:t>
      </w:r>
      <w:r>
        <w:rPr>
          <w:rFonts w:ascii="宋体" w:hAnsi="宋体" w:cs="宋体" w:eastAsia="宋体" w:hint="ascii"/>
          <w:sz w:val="21"/>
        </w:rPr>
        <w:t>题；提出大电网仿真分析领域知识的人工智能建模方法，实现专家知识经验的有</w:t>
      </w:r>
      <w:r>
        <w:rPr>
          <w:rFonts w:ascii="宋体" w:hAnsi="宋体" w:cs="宋体" w:eastAsia="宋体" w:hint="ascii"/>
          <w:sz w:val="21"/>
          <w:spacing w:val="-1"/>
        </w:rPr>
        <w:t>效表达</w:t>
      </w:r>
      <w:r>
        <w:rPr>
          <w:rFonts w:ascii="宋体" w:hAnsi="宋体" w:cs="宋体" w:eastAsia="宋体" w:hint="ascii"/>
          <w:sz w:val="21"/>
        </w:rPr>
        <w:t>、推理应用，以及算法融合；攻克高维多模态复杂时空关联的大电网仿真计算知</w:t>
      </w:r>
      <w:r>
        <w:rPr>
          <w:rFonts w:ascii="宋体" w:hAnsi="宋体" w:cs="宋体" w:eastAsia="宋体" w:hint="ascii"/>
          <w:sz w:val="21"/>
          <w:spacing w:val="-1"/>
        </w:rPr>
        <w:t>识挖掘</w:t>
      </w:r>
      <w:r>
        <w:rPr>
          <w:rFonts w:ascii="宋体" w:hAnsi="宋体" w:cs="宋体" w:eastAsia="宋体" w:hint="ascii"/>
          <w:sz w:val="21"/>
        </w:rPr>
        <w:t>难题，实现电网运行新知识的智能发现；综合利用领域知识、关联规则、专家行</w:t>
      </w:r>
      <w:r>
        <w:rPr>
          <w:rFonts w:ascii="宋体" w:hAnsi="宋体" w:cs="宋体" w:eastAsia="宋体" w:hint="ascii"/>
          <w:sz w:val="21"/>
          <w:spacing w:val="-1"/>
        </w:rPr>
        <w:t>为信息</w:t>
      </w:r>
      <w:r>
        <w:rPr>
          <w:rFonts w:ascii="宋体" w:hAnsi="宋体" w:cs="宋体" w:eastAsia="宋体" w:hint="ascii"/>
          <w:sz w:val="21"/>
        </w:rPr>
        <w:t>，以及数字仿真计算，提出具备自主学习能力的、大电网仿真结果分析与计算调整的人工智能模型和算法，实现高效、精确的大电网智能分析。主要研究内容：</w:t>
      </w:r>
    </w:p>
    <w:p>
      <w:pPr>
        <w:autoSpaceDE w:val="0"/>
        <w:autoSpaceDN w:val="0"/>
        <w:jc w:val="left"/>
        <w:spacing w:before="594"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auto" w:line="240"/>
        <w:ind w:right="0" w:left="1649" w:hanging="263"/>
        <w:snapToGrid w:val="0"/>
        <w:textAlignment w:val="auto"/>
        <w:tabs>
          <w:tab w:val="left" w:leader="none" w:pos="1648"/>
        </w:tabs>
        <w:numPr>
          <w:ilvl w:val="0"/>
          <w:numId w:val="316"/>
        </w:numPr>
        <w:rPr>
          <w:rFonts w:ascii="Times New Roman" w:hAnsi="Times New Roman" w:cs="Times New Roman" w:eastAsia="Times New Roman" w:hint="ascii"/>
          <w:sz w:val="21"/>
        </w:rPr>
      </w:pPr>
      <w:r>
        <w:rPr>
          <w:rFonts w:ascii="宋体" w:hAnsi="宋体" w:cs="宋体" w:eastAsia="宋体" w:hint="ascii"/>
          <w:sz w:val="21"/>
        </w:rPr>
        <w:t>大电网仿真分析知识经验的人工智能建模和应用方法</w:t>
      </w:r>
      <w:r>
        <w:rPr>
          <w:rFonts w:ascii="宋体" w:hAnsi="宋体" w:cs="宋体" w:eastAsia="宋体" w:hint="ascii"/>
          <w:sz w:val="21"/>
        </w:rPr>
        <mc:AlternateContent>
          <mc:Choice Requires="wps">
            <w:drawing>
              <wp:anchor distL="0" distR="0" distT="0" distB="0" simplePos="0" behindDoc="1" relativeHeight="283" locked="0" layoutInCell="1" allowOverlap="1">
                <wp:simplePos x="0" y="0"/>
                <wp:positionH relativeFrom="page">
                  <wp:posOffset>938530</wp:posOffset>
                </wp:positionH>
                <wp:positionV relativeFrom="page">
                  <wp:posOffset>819150</wp:posOffset>
                </wp:positionV>
                <wp:extent cx="5076190" cy="0"/>
                <wp:wrapNone/>
                <wp:docPr id="1312" name="131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68448;width:399.70pt;" id="131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研究大电网仿真分析知识经验的形式化模型和自主建模技术，提出与知识模型相适</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合的推理应用</w:t>
      </w:r>
      <w:r>
        <w:rPr>
          <w:rFonts w:ascii="宋体" w:hAnsi="宋体" w:cs="宋体" w:eastAsia="宋体" w:hint="ascii"/>
          <w:sz w:val="21"/>
        </w:rPr>
        <w:t>方法；研究在人工智能模型和算法中融合仿真分析知识经验的方法。为使用领域先验知识经验智能化的解决大电网仿真分析问题奠定基础。</w:t>
      </w:r>
    </w:p>
    <w:p>
      <w:pPr>
        <w:autoSpaceDE w:val="0"/>
        <w:autoSpaceDN w:val="0"/>
        <w:jc w:val="left"/>
        <w:spacing w:before="40" w:after="0" w:lineRule="auto" w:line="240"/>
        <w:ind w:right="0" w:left="1649" w:hanging="263"/>
        <w:snapToGrid w:val="0"/>
        <w:textAlignment w:val="auto"/>
        <w:tabs>
          <w:tab w:val="left" w:leader="none" w:pos="1648"/>
        </w:tabs>
        <w:numPr>
          <w:ilvl w:val="0"/>
          <w:numId w:val="316"/>
        </w:numPr>
        <w:rPr>
          <w:rFonts w:ascii="Times New Roman" w:hAnsi="Times New Roman" w:cs="Times New Roman" w:eastAsia="Times New Roman" w:hint="ascii"/>
          <w:sz w:val="21"/>
        </w:rPr>
      </w:pPr>
      <w:r>
        <w:rPr>
          <w:rFonts w:ascii="宋体" w:hAnsi="宋体" w:cs="宋体" w:eastAsia="宋体" w:hint="ascii"/>
          <w:sz w:val="21"/>
        </w:rPr>
        <w:t>大电网仿真分析知识发现</w:t>
      </w:r>
    </w:p>
    <w:p>
      <w:pPr>
        <w:autoSpaceDE w:val="0"/>
        <w:autoSpaceDN w:val="0"/>
        <w:jc w:val="left"/>
        <w:spacing w:before="57"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研究面向</w:t>
      </w:r>
      <w:r>
        <w:rPr>
          <w:rFonts w:ascii="宋体" w:hAnsi="宋体" w:cs="宋体" w:eastAsia="宋体" w:hint="ascii"/>
          <w:sz w:val="21"/>
        </w:rPr>
        <w:t>大</w:t>
      </w:r>
      <w:r>
        <w:rPr>
          <w:rFonts w:ascii="宋体" w:hAnsi="宋体" w:cs="宋体" w:eastAsia="宋体" w:hint="ascii"/>
          <w:sz w:val="21"/>
          <w:spacing w:val="3"/>
        </w:rPr>
        <w:t>电网仿真</w:t>
      </w:r>
      <w:r>
        <w:rPr>
          <w:rFonts w:ascii="宋体" w:hAnsi="宋体" w:cs="宋体" w:eastAsia="宋体" w:hint="ascii"/>
          <w:sz w:val="21"/>
        </w:rPr>
        <w:t>分</w:t>
      </w:r>
      <w:r>
        <w:rPr>
          <w:rFonts w:ascii="宋体" w:hAnsi="宋体" w:cs="宋体" w:eastAsia="宋体" w:hint="ascii"/>
          <w:sz w:val="21"/>
          <w:spacing w:val="3"/>
        </w:rPr>
        <w:t>析的海量</w:t>
      </w:r>
      <w:r>
        <w:rPr>
          <w:rFonts w:ascii="宋体" w:hAnsi="宋体" w:cs="宋体" w:eastAsia="宋体" w:hint="ascii"/>
          <w:sz w:val="21"/>
        </w:rPr>
        <w:t>高</w:t>
      </w:r>
      <w:r>
        <w:rPr>
          <w:rFonts w:ascii="宋体" w:hAnsi="宋体" w:cs="宋体" w:eastAsia="宋体" w:hint="ascii"/>
          <w:sz w:val="21"/>
          <w:spacing w:val="3"/>
        </w:rPr>
        <w:t>维多模态</w:t>
      </w:r>
      <w:r>
        <w:rPr>
          <w:rFonts w:ascii="宋体" w:hAnsi="宋体" w:cs="宋体" w:eastAsia="宋体" w:hint="ascii"/>
          <w:sz w:val="21"/>
        </w:rPr>
        <w:t>复</w:t>
      </w:r>
      <w:r>
        <w:rPr>
          <w:rFonts w:ascii="宋体" w:hAnsi="宋体" w:cs="宋体" w:eastAsia="宋体" w:hint="ascii"/>
          <w:sz w:val="21"/>
          <w:spacing w:val="3"/>
        </w:rPr>
        <w:t>杂时空关</w:t>
      </w:r>
      <w:r>
        <w:rPr>
          <w:rFonts w:ascii="宋体" w:hAnsi="宋体" w:cs="宋体" w:eastAsia="宋体" w:hint="ascii"/>
          <w:sz w:val="21"/>
        </w:rPr>
        <w:t>联</w:t>
      </w:r>
      <w:r>
        <w:rPr>
          <w:rFonts w:ascii="宋体" w:hAnsi="宋体" w:cs="宋体" w:eastAsia="宋体" w:hint="ascii"/>
          <w:sz w:val="21"/>
          <w:spacing w:val="3"/>
        </w:rPr>
        <w:t>数据关联</w:t>
      </w:r>
      <w:r>
        <w:rPr>
          <w:rFonts w:ascii="宋体" w:hAnsi="宋体" w:cs="宋体" w:eastAsia="宋体" w:hint="ascii"/>
          <w:sz w:val="21"/>
        </w:rPr>
        <w:t>关</w:t>
      </w:r>
      <w:r>
        <w:rPr>
          <w:rFonts w:ascii="宋体" w:hAnsi="宋体" w:cs="宋体" w:eastAsia="宋体" w:hint="ascii"/>
          <w:sz w:val="21"/>
          <w:spacing w:val="3"/>
        </w:rPr>
        <w:t>系人机</w:t>
      </w:r>
      <w:r>
        <w:rPr>
          <w:rFonts w:ascii="宋体" w:hAnsi="宋体" w:cs="宋体" w:eastAsia="宋体" w:hint="ascii"/>
          <w:sz w:val="21"/>
          <w:spacing w:val="4"/>
        </w:rPr>
        <w:t>融</w:t>
      </w:r>
      <w:r>
        <w:rPr>
          <w:rFonts w:ascii="宋体" w:hAnsi="宋体" w:cs="宋体" w:eastAsia="宋体" w:hint="ascii"/>
          <w:sz w:val="21"/>
        </w:rPr>
        <w:t>合</w:t>
      </w:r>
    </w:p>
    <w:p>
      <w:pPr>
        <w:autoSpaceDE w:val="0"/>
        <w:autoSpaceDN w:val="0"/>
        <w:jc w:val="both"/>
        <w:spacing w:before="10" w:after="0" w:lineRule="exact" w:line="312"/>
        <w:ind w:right="98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挖掘方法，提出</w:t>
      </w:r>
      <w:r>
        <w:rPr>
          <w:rFonts w:ascii="宋体" w:hAnsi="宋体" w:cs="宋体" w:eastAsia="宋体" w:hint="ascii"/>
          <w:sz w:val="21"/>
        </w:rPr>
        <w:t>关联关系的应用方法，突破大电网潮流自动调整、安全稳定边界、</w:t>
      </w:r>
      <w:r>
        <w:rPr>
          <w:rFonts w:ascii="宋体" w:hAnsi="宋体" w:cs="宋体" w:eastAsia="宋体" w:hint="ascii"/>
          <w:sz w:val="21"/>
          <w:spacing w:val="-6"/>
        </w:rPr>
        <w:t>影</w:t>
      </w:r>
      <w:r>
        <w:rPr>
          <w:rFonts w:ascii="宋体" w:hAnsi="宋体" w:cs="宋体" w:eastAsia="宋体" w:hint="ascii"/>
          <w:sz w:val="21"/>
          <w:spacing w:val="1"/>
        </w:rPr>
        <w:t>响稳定性的关键</w:t>
      </w:r>
      <w:r>
        <w:rPr>
          <w:rFonts w:ascii="宋体" w:hAnsi="宋体" w:cs="宋体" w:eastAsia="宋体" w:hint="ascii"/>
          <w:sz w:val="21"/>
        </w:rPr>
        <w:t>因素等内在特性的挖掘、应用难题；研究面向大电网运行关联关系</w:t>
      </w:r>
      <w:r>
        <w:rPr>
          <w:rFonts w:ascii="宋体" w:hAnsi="宋体" w:cs="宋体" w:eastAsia="宋体" w:hint="ascii"/>
          <w:sz w:val="21"/>
          <w:spacing w:val="-6"/>
        </w:rPr>
        <w:t>的</w:t>
      </w:r>
      <w:r>
        <w:rPr>
          <w:rFonts w:ascii="宋体" w:hAnsi="宋体" w:cs="宋体" w:eastAsia="宋体" w:hint="ascii"/>
          <w:sz w:val="21"/>
          <w:spacing w:val="1"/>
        </w:rPr>
        <w:t>知识提取方法，</w:t>
      </w:r>
      <w:r>
        <w:rPr>
          <w:rFonts w:ascii="宋体" w:hAnsi="宋体" w:cs="宋体" w:eastAsia="宋体" w:hint="ascii"/>
          <w:sz w:val="21"/>
        </w:rPr>
        <w:t>为特定电网运行新规律、新知识的发现和大电网运行通用知识的提</w:t>
      </w:r>
      <w:r>
        <w:rPr>
          <w:rFonts w:ascii="宋体" w:hAnsi="宋体" w:cs="宋体" w:eastAsia="宋体" w:hint="ascii"/>
          <w:sz w:val="21"/>
          <w:spacing w:val="-6"/>
        </w:rPr>
        <w:t>炼</w:t>
      </w:r>
      <w:r>
        <w:rPr>
          <w:rFonts w:ascii="宋体" w:hAnsi="宋体" w:cs="宋体" w:eastAsia="宋体" w:hint="ascii"/>
          <w:sz w:val="21"/>
        </w:rPr>
        <w:t>提供支撑。</w:t>
      </w:r>
    </w:p>
    <w:p>
      <w:pPr>
        <w:autoSpaceDE w:val="0"/>
        <w:autoSpaceDN w:val="0"/>
        <w:jc w:val="left"/>
        <w:spacing w:before="40" w:after="0" w:lineRule="auto" w:line="240"/>
        <w:ind w:right="0" w:left="1649" w:hanging="263"/>
        <w:snapToGrid w:val="0"/>
        <w:textAlignment w:val="auto"/>
        <w:tabs>
          <w:tab w:val="left" w:leader="none" w:pos="1648"/>
        </w:tabs>
        <w:numPr>
          <w:ilvl w:val="0"/>
          <w:numId w:val="316"/>
        </w:numPr>
        <w:rPr>
          <w:rFonts w:ascii="Times New Roman" w:hAnsi="Times New Roman" w:cs="Times New Roman" w:eastAsia="Times New Roman" w:hint="ascii"/>
          <w:sz w:val="21"/>
        </w:rPr>
      </w:pPr>
      <w:r>
        <w:rPr>
          <w:rFonts w:ascii="宋体" w:hAnsi="宋体" w:cs="宋体" w:eastAsia="宋体" w:hint="ascii"/>
          <w:sz w:val="21"/>
        </w:rPr>
        <w:t>大电网潮流方式智能分析与调整</w:t>
      </w:r>
    </w:p>
    <w:p>
      <w:pPr>
        <w:autoSpaceDE w:val="0"/>
        <w:autoSpaceDN w:val="0"/>
        <w:jc w:val="left"/>
        <w:spacing w:before="57" w:after="0" w:lineRule="exact" w:line="263"/>
        <w:ind w:right="0" w:left="1362" w:firstLine="0"/>
        <w:snapToGrid w:val="0"/>
        <w:textAlignment w:val="auto"/>
        <w:tabs/>
        <w:rPr>
          <w:rFonts w:ascii="宋体" w:hAnsi="宋体" w:cs="宋体" w:eastAsia="宋体" w:hint="ascii"/>
          <w:sz w:val="21"/>
        </w:rPr>
      </w:pPr>
      <w:r>
        <w:rPr>
          <w:rFonts w:ascii="宋体" w:hAnsi="宋体" w:cs="宋体" w:eastAsia="宋体" w:hint="ascii"/>
          <w:sz w:val="21"/>
          <w:spacing w:val="-5"/>
        </w:rPr>
        <w:t>研究大电网潮流方式和专家调整行为样本集的自主生成方法；研究具备自主学习能力</w:t>
      </w:r>
      <w:r>
        <w:rPr>
          <w:rFonts w:ascii="宋体" w:hAnsi="宋体" w:cs="宋体" w:eastAsia="宋体" w:hint="ascii"/>
          <w:sz w:val="21"/>
        </w:rPr>
        <w:t>的</w:t>
      </w:r>
    </w:p>
    <w:p>
      <w:pPr>
        <w:autoSpaceDE w:val="0"/>
        <w:autoSpaceDN w:val="0"/>
        <w:jc w:val="both"/>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7"/>
        </w:rPr>
        <w:t>大电网潮流计算收敛、智能分析，以及潮流状态调整的算法</w:t>
      </w:r>
      <w:r>
        <w:rPr>
          <w:rFonts w:ascii="宋体" w:hAnsi="宋体" w:cs="宋体" w:eastAsia="宋体" w:hint="ascii"/>
          <w:sz w:val="21"/>
          <w:spacing w:val="-6"/>
        </w:rPr>
        <w:t>，实现潮流方式的智能生成；</w:t>
      </w:r>
      <w:r>
        <w:rPr>
          <w:rFonts w:ascii="宋体" w:hAnsi="宋体" w:cs="宋体" w:eastAsia="宋体" w:hint="ascii"/>
          <w:sz w:val="21"/>
          <w:spacing w:val="-1"/>
        </w:rPr>
        <w:t>构</w:t>
      </w:r>
      <w:r>
        <w:rPr>
          <w:rFonts w:ascii="宋体" w:hAnsi="宋体" w:cs="宋体" w:eastAsia="宋体" w:hint="ascii"/>
          <w:sz w:val="21"/>
        </w:rPr>
        <w:t xml:space="preserve"> </w:t>
      </w:r>
      <w:r>
        <w:rPr>
          <w:rFonts w:ascii="宋体" w:hAnsi="宋体" w:cs="宋体" w:eastAsia="宋体" w:hint="ascii"/>
          <w:sz w:val="21"/>
          <w:spacing w:val="-6"/>
        </w:rPr>
        <w:t>建基于数字仿真的大电网潮流人工智能分析原型系统，充分验证、完善各项研究成果</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16"/>
        </w:numPr>
        <w:rPr>
          <w:rFonts w:ascii="Times New Roman" w:hAnsi="Times New Roman" w:cs="Times New Roman" w:eastAsia="Times New Roman" w:hint="ascii"/>
          <w:sz w:val="21"/>
        </w:rPr>
      </w:pPr>
      <w:r>
        <w:rPr>
          <w:rFonts w:ascii="宋体" w:hAnsi="宋体" w:cs="宋体" w:eastAsia="宋体" w:hint="ascii"/>
          <w:sz w:val="21"/>
        </w:rPr>
        <w:t>大电网稳定性智能分析与控制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研究大电网安全稳定分析和控制策略样本集的自主生成方法；研究大电网机电暂态</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过程的稳定性判别、</w:t>
      </w:r>
      <w:r>
        <w:rPr>
          <w:rFonts w:ascii="宋体" w:hAnsi="宋体" w:cs="宋体" w:eastAsia="宋体" w:hint="ascii"/>
          <w:sz w:val="21"/>
        </w:rPr>
        <w:t>主导失稳模式识别、薄弱环节定位，以及关键故障搜索的智能</w:t>
      </w:r>
      <w:r>
        <w:rPr>
          <w:rFonts w:ascii="宋体" w:hAnsi="宋体" w:cs="宋体" w:eastAsia="宋体" w:hint="ascii"/>
          <w:sz w:val="21"/>
          <w:spacing w:val="-6"/>
        </w:rPr>
        <w:t>方</w:t>
      </w:r>
      <w:r>
        <w:rPr>
          <w:rFonts w:ascii="宋体" w:hAnsi="宋体" w:cs="宋体" w:eastAsia="宋体" w:hint="ascii"/>
          <w:sz w:val="21"/>
          <w:spacing w:val="-1"/>
        </w:rPr>
        <w:t>法，建立大</w:t>
      </w:r>
      <w:r>
        <w:rPr>
          <w:rFonts w:ascii="宋体" w:hAnsi="宋体" w:cs="宋体" w:eastAsia="宋体" w:hint="ascii"/>
          <w:sz w:val="21"/>
        </w:rPr>
        <w:t>电网安全稳定性人工智能综合分析体系；研究具备自主学习能力的安全稳定</w:t>
      </w:r>
      <w:r>
        <w:rPr>
          <w:rFonts w:ascii="宋体" w:hAnsi="宋体" w:cs="宋体" w:eastAsia="宋体" w:hint="ascii"/>
          <w:sz w:val="21"/>
          <w:spacing w:val="-1"/>
        </w:rPr>
        <w:t>计算调整方</w:t>
      </w:r>
      <w:r>
        <w:rPr>
          <w:rFonts w:ascii="宋体" w:hAnsi="宋体" w:cs="宋体" w:eastAsia="宋体" w:hint="ascii"/>
          <w:sz w:val="21"/>
        </w:rPr>
        <w:t>法，突破大电网安全稳定策略智能生成难题；构建基于数字仿真的大电网稳定性智能分析与控制原型系统，充分验证、完善各项研究成果。</w:t>
      </w:r>
    </w:p>
    <w:p>
      <w:pPr>
        <w:autoSpaceDE w:val="0"/>
        <w:autoSpaceDN w:val="0"/>
        <w:jc w:val="left"/>
        <w:spacing w:before="164" w:after="0" w:lineRule="exact" w:line="300"/>
        <w:ind w:right="0" w:left="1430" w:firstLine="0"/>
        <w:snapToGrid w:val="0"/>
        <w:textAlignment w:val="auto"/>
        <w:tabs/>
        <w:rPr>
          <w:rFonts w:ascii="宋体" w:hAnsi="宋体" w:cs="宋体" w:eastAsia="宋体" w:hint="ascii"/>
        </w:rPr>
      </w:pPr>
      <w:r>
        <w:rPr>
          <w:rFonts w:ascii="宋体" w:hAnsi="宋体" w:cs="宋体" w:eastAsia="宋体" w:hint="ascii"/>
          <w:spacing w:val="-4"/>
        </w:rPr>
        <w:t>研究方向二：电力电子化电力系统</w:t>
      </w:r>
      <w:r>
        <w:rPr>
          <w:rFonts w:ascii="宋体" w:hAnsi="宋体" w:cs="宋体" w:eastAsia="宋体" w:hint="ascii"/>
          <w:spacing w:val="-3"/>
        </w:rPr>
        <w:t>多</w:t>
      </w:r>
      <w:r>
        <w:rPr>
          <w:rFonts w:ascii="宋体" w:hAnsi="宋体" w:cs="宋体" w:eastAsia="宋体" w:hint="ascii"/>
          <w:spacing w:val="-4"/>
        </w:rPr>
        <w:t>尺度非线性耦合振荡基础理论研</w:t>
      </w:r>
      <w:r>
        <w:rPr>
          <w:rFonts w:ascii="宋体" w:hAnsi="宋体" w:cs="宋体" w:eastAsia="宋体" w:hint="ascii"/>
        </w:rPr>
        <w:t>究</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电力电子化装备的规模化应用导致了由装备动态特性所决定的系统动态过程演化机</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理的深刻变革</w:t>
      </w:r>
      <w:r>
        <w:rPr>
          <w:rFonts w:ascii="宋体" w:hAnsi="宋体" w:cs="宋体" w:eastAsia="宋体" w:hint="ascii"/>
          <w:sz w:val="21"/>
        </w:rPr>
        <w:t>，提出了对新一代电力电子化电力系统振荡问题基础理论和关键技术创新的迫切需求。</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科学目标：</w:t>
      </w:r>
      <w:r>
        <w:rPr>
          <w:rFonts w:ascii="宋体" w:hAnsi="宋体" w:cs="宋体" w:eastAsia="宋体" w:hint="ascii"/>
          <w:sz w:val="21"/>
        </w:rPr>
        <w:t>面向电力电子化电力系统中装备多尺度非线性动态特性、网络多尺度非</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线性动态特性</w:t>
      </w:r>
      <w:r>
        <w:rPr>
          <w:rFonts w:ascii="宋体" w:hAnsi="宋体" w:cs="宋体" w:eastAsia="宋体" w:hint="ascii"/>
          <w:sz w:val="21"/>
        </w:rPr>
        <w:t>，以及装备间多尺度并行和串行耦合相互作用特性等影响系统状态演化过</w:t>
      </w:r>
      <w:r>
        <w:rPr>
          <w:rFonts w:ascii="宋体" w:hAnsi="宋体" w:cs="宋体" w:eastAsia="宋体" w:hint="ascii"/>
          <w:sz w:val="21"/>
          <w:spacing w:val="-1"/>
        </w:rPr>
        <w:t>程的规律性等</w:t>
      </w:r>
      <w:r>
        <w:rPr>
          <w:rFonts w:ascii="宋体" w:hAnsi="宋体" w:cs="宋体" w:eastAsia="宋体" w:hint="ascii"/>
          <w:sz w:val="21"/>
        </w:rPr>
        <w:t>三个科学问题，融合数学、力学及信息学科在多尺度非线性问题的建模和</w:t>
      </w:r>
      <w:r>
        <w:rPr>
          <w:rFonts w:ascii="宋体" w:hAnsi="宋体" w:cs="宋体" w:eastAsia="宋体" w:hint="ascii"/>
          <w:sz w:val="21"/>
          <w:spacing w:val="-1"/>
        </w:rPr>
        <w:t>分析领域的研</w:t>
      </w:r>
      <w:r>
        <w:rPr>
          <w:rFonts w:ascii="宋体" w:hAnsi="宋体" w:cs="宋体" w:eastAsia="宋体" w:hint="ascii"/>
          <w:sz w:val="21"/>
        </w:rPr>
        <w:t>究进展，实现以下四个科学目标：基于对系统状态演化过程影响的物理本</w:t>
      </w:r>
      <w:r>
        <w:rPr>
          <w:rFonts w:ascii="宋体" w:hAnsi="宋体" w:cs="宋体" w:eastAsia="宋体" w:hint="ascii"/>
          <w:sz w:val="21"/>
          <w:spacing w:val="-1"/>
        </w:rPr>
        <w:t>质，提出多尺</w:t>
      </w:r>
      <w:r>
        <w:rPr>
          <w:rFonts w:ascii="宋体" w:hAnsi="宋体" w:cs="宋体" w:eastAsia="宋体" w:hint="ascii"/>
          <w:sz w:val="21"/>
        </w:rPr>
        <w:t>度装备特性、网络特性及装备间相互作用特性描述的基本概念体系；建立</w:t>
      </w:r>
      <w:r>
        <w:rPr>
          <w:rFonts w:ascii="宋体" w:hAnsi="宋体" w:cs="宋体" w:eastAsia="宋体" w:hint="ascii"/>
          <w:sz w:val="21"/>
          <w:spacing w:val="-1"/>
        </w:rPr>
        <w:t>系统多尺度状</w:t>
      </w:r>
      <w:r>
        <w:rPr>
          <w:rFonts w:ascii="宋体" w:hAnsi="宋体" w:cs="宋体" w:eastAsia="宋体" w:hint="ascii"/>
          <w:sz w:val="21"/>
        </w:rPr>
        <w:t>态演化过程受装备特性、网络特性及装备间相互作用特性等影响的规律性</w:t>
      </w:r>
      <w:r>
        <w:rPr>
          <w:rFonts w:ascii="宋体" w:hAnsi="宋体" w:cs="宋体" w:eastAsia="宋体" w:hint="ascii"/>
          <w:sz w:val="21"/>
          <w:spacing w:val="-1"/>
        </w:rPr>
        <w:t>的基本理论体</w:t>
      </w:r>
      <w:r>
        <w:rPr>
          <w:rFonts w:ascii="宋体" w:hAnsi="宋体" w:cs="宋体" w:eastAsia="宋体" w:hint="ascii"/>
          <w:sz w:val="21"/>
        </w:rPr>
        <w:t>系；发展电力电子化多尺度时变幅频交流系统状态演化分析的基本方法；</w:t>
      </w:r>
      <w:r>
        <w:rPr>
          <w:rFonts w:ascii="宋体" w:hAnsi="宋体" w:cs="宋体" w:eastAsia="宋体" w:hint="ascii"/>
          <w:sz w:val="21"/>
          <w:spacing w:val="-1"/>
        </w:rPr>
        <w:t>基于装备特性</w:t>
      </w:r>
      <w:r>
        <w:rPr>
          <w:rFonts w:ascii="宋体" w:hAnsi="宋体" w:cs="宋体" w:eastAsia="宋体" w:hint="ascii"/>
          <w:sz w:val="21"/>
        </w:rPr>
        <w:t>关键要素的优化，突破电力电子化电力系统振荡控制的关键技术。主要研究内容：</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多尺度控制下装备动态特性的形成机理与统一建模理论和方法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研究可再生能源发电等电力电子化装备的机电和控制结构，建立基于机电能量存储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元件及相应控</w:t>
      </w:r>
      <w:r>
        <w:rPr>
          <w:rFonts w:ascii="宋体" w:hAnsi="宋体" w:cs="宋体" w:eastAsia="宋体" w:hint="ascii"/>
          <w:sz w:val="21"/>
        </w:rPr>
        <w:t>制器响应时间尺度的装备多尺度嵌套模型；研究多时间尺度激励下装备动</w:t>
      </w:r>
      <w:r>
        <w:rPr>
          <w:rFonts w:ascii="宋体" w:hAnsi="宋体" w:cs="宋体" w:eastAsia="宋体" w:hint="ascii"/>
          <w:sz w:val="21"/>
          <w:spacing w:val="-1"/>
        </w:rPr>
        <w:t>态特性受不同</w:t>
      </w:r>
      <w:r>
        <w:rPr>
          <w:rFonts w:ascii="宋体" w:hAnsi="宋体" w:cs="宋体" w:eastAsia="宋体" w:hint="ascii"/>
          <w:sz w:val="21"/>
        </w:rPr>
        <w:t>时间尺度机电和控制结构影响的解析化分析方法；基于系统状态演化过程</w:t>
      </w:r>
      <w:r>
        <w:rPr>
          <w:rFonts w:ascii="宋体" w:hAnsi="宋体" w:cs="宋体" w:eastAsia="宋体" w:hint="ascii"/>
          <w:sz w:val="21"/>
          <w:spacing w:val="-1"/>
        </w:rPr>
        <w:t>受装备动态特</w:t>
      </w:r>
      <w:r>
        <w:rPr>
          <w:rFonts w:ascii="宋体" w:hAnsi="宋体" w:cs="宋体" w:eastAsia="宋体" w:hint="ascii"/>
          <w:sz w:val="21"/>
        </w:rPr>
        <w:t>性影响的本质和要素，提出装备动态特性描述的概念和方法，揭示其对系</w:t>
      </w:r>
    </w:p>
    <w:p>
      <w:pPr>
        <w:autoSpaceDE w:val="0"/>
        <w:autoSpaceDN w:val="0"/>
        <w:jc w:val="left"/>
        <w:spacing w:before="27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统状态演化过程影响的规律性。</w:t>
      </w:r>
      <w:r>
        <w:rPr>
          <w:rFonts w:ascii="宋体" w:hAnsi="宋体" w:cs="宋体" w:eastAsia="宋体" w:hint="ascii"/>
          <w:sz w:val="21"/>
        </w:rPr>
        <mc:AlternateContent>
          <mc:Choice Requires="wps">
            <w:drawing>
              <wp:anchor distL="0" distR="0" distT="0" distB="0" simplePos="0" behindDoc="1" relativeHeight="284" locked="0" layoutInCell="1" allowOverlap="1">
                <wp:simplePos x="0" y="0"/>
                <wp:positionH relativeFrom="page">
                  <wp:posOffset>938530</wp:posOffset>
                </wp:positionH>
                <wp:positionV relativeFrom="page">
                  <wp:posOffset>805815</wp:posOffset>
                </wp:positionV>
                <wp:extent cx="5076190" cy="0"/>
                <wp:wrapNone/>
                <wp:docPr id="1313" name="131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67424;width:399.70pt;" id="131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auto" w:line="240"/>
        <w:ind w:right="0" w:left="1649" w:hanging="263"/>
        <w:snapToGrid w:val="0"/>
        <w:textAlignment w:val="auto"/>
        <w:tabs>
          <w:tab w:val="left" w:leader="none" w:pos="1648"/>
        </w:tabs>
        <w:numPr>
          <w:ilvl w:val="0"/>
          <w:numId w:val="317"/>
        </w:numPr>
        <w:rPr>
          <w:rFonts w:ascii="Times New Roman" w:hAnsi="Times New Roman" w:cs="Times New Roman" w:eastAsia="Times New Roman" w:hint="ascii"/>
          <w:sz w:val="21"/>
        </w:rPr>
      </w:pPr>
      <w:r>
        <w:rPr>
          <w:rFonts w:ascii="宋体" w:hAnsi="宋体" w:cs="宋体" w:eastAsia="宋体" w:hint="ascii"/>
          <w:sz w:val="21"/>
        </w:rPr>
        <w:t>电力电子化装备群动态特性的聚合机理与统一建模理论和方法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基于可再生能源发电场群内装备间的关联特征，研究装备群复杂机电和控制结构的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多尺度聚合</w:t>
      </w:r>
      <w:r>
        <w:rPr>
          <w:rFonts w:ascii="宋体" w:hAnsi="宋体" w:cs="宋体" w:eastAsia="宋体" w:hint="ascii"/>
          <w:sz w:val="21"/>
        </w:rPr>
        <w:t>机理与嵌套方法；研究多时间尺度激励下装备群动态特性受不同装备不同时</w:t>
      </w:r>
      <w:r>
        <w:rPr>
          <w:rFonts w:ascii="宋体" w:hAnsi="宋体" w:cs="宋体" w:eastAsia="宋体" w:hint="ascii"/>
          <w:sz w:val="21"/>
          <w:spacing w:val="-1"/>
        </w:rPr>
        <w:t>间尺度机电</w:t>
      </w:r>
      <w:r>
        <w:rPr>
          <w:rFonts w:ascii="宋体" w:hAnsi="宋体" w:cs="宋体" w:eastAsia="宋体" w:hint="ascii"/>
          <w:sz w:val="21"/>
        </w:rPr>
        <w:t>和控制结构影响的解析化分析方法；基于系统状态演化过程受装备群动态特</w:t>
      </w:r>
      <w:r>
        <w:rPr>
          <w:rFonts w:ascii="宋体" w:hAnsi="宋体" w:cs="宋体" w:eastAsia="宋体" w:hint="ascii"/>
          <w:sz w:val="21"/>
          <w:spacing w:val="-1"/>
        </w:rPr>
        <w:t>性影响的本</w:t>
      </w:r>
      <w:r>
        <w:rPr>
          <w:rFonts w:ascii="宋体" w:hAnsi="宋体" w:cs="宋体" w:eastAsia="宋体" w:hint="ascii"/>
          <w:sz w:val="21"/>
        </w:rPr>
        <w:t>质和要素，提出装备群动态特性描述的概念和方法，揭示其对系统状态演化过程影响的规律性。</w:t>
      </w:r>
    </w:p>
    <w:p>
      <w:pPr>
        <w:autoSpaceDE w:val="0"/>
        <w:autoSpaceDN w:val="0"/>
        <w:jc w:val="left"/>
        <w:spacing w:before="40" w:after="0" w:lineRule="auto" w:line="240"/>
        <w:ind w:right="0" w:left="1649" w:hanging="263"/>
        <w:snapToGrid w:val="0"/>
        <w:textAlignment w:val="auto"/>
        <w:tabs>
          <w:tab w:val="left" w:leader="none" w:pos="1648"/>
        </w:tabs>
        <w:numPr>
          <w:ilvl w:val="0"/>
          <w:numId w:val="317"/>
        </w:numPr>
        <w:rPr>
          <w:rFonts w:ascii="Times New Roman" w:hAnsi="Times New Roman" w:cs="Times New Roman" w:eastAsia="Times New Roman" w:hint="ascii"/>
          <w:sz w:val="21"/>
        </w:rPr>
      </w:pPr>
      <w:r>
        <w:rPr>
          <w:rFonts w:ascii="宋体" w:hAnsi="宋体" w:cs="宋体" w:eastAsia="宋体" w:hint="ascii"/>
          <w:sz w:val="21"/>
        </w:rPr>
        <w:t>多尺度激励下网络动态特性的形成机理与统一建模理论和方法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研究对象网络的物理层次和结构，建立基于网络中能量存储元件响应时间尺度的网</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络多尺度嵌</w:t>
      </w:r>
      <w:r>
        <w:rPr>
          <w:rFonts w:ascii="宋体" w:hAnsi="宋体" w:cs="宋体" w:eastAsia="宋体" w:hint="ascii"/>
          <w:sz w:val="21"/>
        </w:rPr>
        <w:t>套模型；研究多时间尺度激励下网络动态特性受不同时间尺度网络能量存储</w:t>
      </w:r>
      <w:r>
        <w:rPr>
          <w:rFonts w:ascii="宋体" w:hAnsi="宋体" w:cs="宋体" w:eastAsia="宋体" w:hint="ascii"/>
          <w:sz w:val="21"/>
          <w:spacing w:val="-1"/>
        </w:rPr>
        <w:t>元件嵌套结</w:t>
      </w:r>
      <w:r>
        <w:rPr>
          <w:rFonts w:ascii="宋体" w:hAnsi="宋体" w:cs="宋体" w:eastAsia="宋体" w:hint="ascii"/>
          <w:sz w:val="21"/>
        </w:rPr>
        <w:t>构影响的解析化分析方法；基于系统状态演化过程受网络动态特性影响的本</w:t>
      </w:r>
      <w:r>
        <w:rPr>
          <w:rFonts w:ascii="宋体" w:hAnsi="宋体" w:cs="宋体" w:eastAsia="宋体" w:hint="ascii"/>
          <w:sz w:val="21"/>
          <w:spacing w:val="-1"/>
        </w:rPr>
        <w:t>质和要素，</w:t>
      </w:r>
      <w:r>
        <w:rPr>
          <w:rFonts w:ascii="宋体" w:hAnsi="宋体" w:cs="宋体" w:eastAsia="宋体" w:hint="ascii"/>
          <w:sz w:val="21"/>
        </w:rPr>
        <w:t>提出网络动态特性描述的概念和方法，揭示其对系统状态演化过程影响的规律性。</w:t>
      </w:r>
    </w:p>
    <w:p>
      <w:pPr>
        <w:autoSpaceDE w:val="0"/>
        <w:autoSpaceDN w:val="0"/>
        <w:jc w:val="left"/>
        <w:spacing w:before="40" w:after="0" w:lineRule="auto" w:line="240"/>
        <w:ind w:right="0" w:left="1649" w:hanging="263"/>
        <w:snapToGrid w:val="0"/>
        <w:textAlignment w:val="auto"/>
        <w:tabs>
          <w:tab w:val="left" w:leader="none" w:pos="1648"/>
        </w:tabs>
        <w:numPr>
          <w:ilvl w:val="0"/>
          <w:numId w:val="317"/>
        </w:numPr>
        <w:rPr>
          <w:rFonts w:ascii="Times New Roman" w:hAnsi="Times New Roman" w:cs="Times New Roman" w:eastAsia="Times New Roman" w:hint="ascii"/>
          <w:sz w:val="21"/>
        </w:rPr>
      </w:pPr>
      <w:r>
        <w:rPr>
          <w:rFonts w:ascii="宋体" w:hAnsi="宋体" w:cs="宋体" w:eastAsia="宋体" w:hint="ascii"/>
          <w:sz w:val="21"/>
        </w:rPr>
        <w:t>耦合装备间并行及串行相互作用机理与系统稳定分析理论和方法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研究装备的机电和控制结构与网络的电气结构在系统不同时间尺度动态过程中的关</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联性，构建</w:t>
      </w:r>
      <w:r>
        <w:rPr>
          <w:rFonts w:ascii="宋体" w:hAnsi="宋体" w:cs="宋体" w:eastAsia="宋体" w:hint="ascii"/>
          <w:sz w:val="21"/>
        </w:rPr>
        <w:t>含装备和网络的系统多尺度嵌套模型；研究系统的状态演化过程受装备间多</w:t>
      </w:r>
      <w:r>
        <w:rPr>
          <w:rFonts w:ascii="宋体" w:hAnsi="宋体" w:cs="宋体" w:eastAsia="宋体" w:hint="ascii"/>
          <w:sz w:val="21"/>
          <w:spacing w:val="-1"/>
        </w:rPr>
        <w:t>尺度并行和</w:t>
      </w:r>
      <w:r>
        <w:rPr>
          <w:rFonts w:ascii="宋体" w:hAnsi="宋体" w:cs="宋体" w:eastAsia="宋体" w:hint="ascii"/>
          <w:sz w:val="21"/>
        </w:rPr>
        <w:t>串行相互作用影响的解析化分析方法；基于并行和串行相互作用对系统多尺</w:t>
      </w:r>
      <w:r>
        <w:rPr>
          <w:rFonts w:ascii="宋体" w:hAnsi="宋体" w:cs="宋体" w:eastAsia="宋体" w:hint="ascii"/>
          <w:sz w:val="21"/>
          <w:spacing w:val="-1"/>
        </w:rPr>
        <w:t>度状态演化</w:t>
      </w:r>
      <w:r>
        <w:rPr>
          <w:rFonts w:ascii="宋体" w:hAnsi="宋体" w:cs="宋体" w:eastAsia="宋体" w:hint="ascii"/>
          <w:sz w:val="21"/>
        </w:rPr>
        <w:t>过程影响的本质和要素，提出并行和串行相互作用描述的概念和方法，揭示其对系统状态演化过程影响的规律性。</w:t>
      </w:r>
    </w:p>
    <w:p>
      <w:pPr>
        <w:autoSpaceDE w:val="0"/>
        <w:autoSpaceDN w:val="0"/>
        <w:jc w:val="left"/>
        <w:spacing w:before="40" w:after="0" w:lineRule="auto" w:line="240"/>
        <w:ind w:right="0" w:left="1649" w:hanging="263"/>
        <w:snapToGrid w:val="0"/>
        <w:textAlignment w:val="auto"/>
        <w:tabs>
          <w:tab w:val="left" w:leader="none" w:pos="1648"/>
        </w:tabs>
        <w:numPr>
          <w:ilvl w:val="0"/>
          <w:numId w:val="317"/>
        </w:numPr>
        <w:rPr>
          <w:rFonts w:ascii="Times New Roman" w:hAnsi="Times New Roman" w:cs="Times New Roman" w:eastAsia="Times New Roman" w:hint="ascii"/>
          <w:sz w:val="21"/>
        </w:rPr>
      </w:pPr>
      <w:r>
        <w:rPr>
          <w:rFonts w:ascii="宋体" w:hAnsi="宋体" w:cs="宋体" w:eastAsia="宋体" w:hint="ascii"/>
          <w:sz w:val="21"/>
        </w:rPr>
        <w:t>耦合装备间动态特性的协调性机理与系统稳定控制理论和方法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基于典型的网络结构和特性，研究在系统稳定目标下可再生能源发电、直流输电、</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常规发电等</w:t>
      </w:r>
      <w:r>
        <w:rPr>
          <w:rFonts w:ascii="宋体" w:hAnsi="宋体" w:cs="宋体" w:eastAsia="宋体" w:hint="ascii"/>
          <w:sz w:val="21"/>
        </w:rPr>
        <w:t>多样化装备动态特性的协调性机理；研究可协调性与网络上多样化装备动态</w:t>
      </w:r>
      <w:r>
        <w:rPr>
          <w:rFonts w:ascii="宋体" w:hAnsi="宋体" w:cs="宋体" w:eastAsia="宋体" w:hint="ascii"/>
          <w:sz w:val="21"/>
          <w:spacing w:val="-1"/>
        </w:rPr>
        <w:t>特性间关系</w:t>
      </w:r>
      <w:r>
        <w:rPr>
          <w:rFonts w:ascii="宋体" w:hAnsi="宋体" w:cs="宋体" w:eastAsia="宋体" w:hint="ascii"/>
          <w:sz w:val="21"/>
        </w:rPr>
        <w:t>的解析化分析方法；提出基于装备动态特性中关键要素优化的电力电子化电力系统振荡控制关键技术。</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研究方向三：电力变压器多参量自适应保护与安全运行基础研究。</w: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揭示暂态激</w:t>
      </w:r>
      <w:r>
        <w:rPr>
          <w:rFonts w:ascii="宋体" w:hAnsi="宋体" w:cs="宋体" w:eastAsia="宋体" w:hint="ascii"/>
          <w:sz w:val="21"/>
        </w:rPr>
        <w:t>励下变压器特征参量关联机理，发展电力变压器保护新的理论和方法，实现变压器的主动安全保护，提升变压器与电网协同安全运行水平。</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科学目标：</w:t>
      </w:r>
      <w:r>
        <w:rPr>
          <w:rFonts w:ascii="宋体" w:hAnsi="宋体" w:cs="宋体" w:eastAsia="宋体" w:hint="ascii"/>
          <w:sz w:val="21"/>
        </w:rPr>
        <w:t>通过电气、力学、化学、仪器仪表等多学科交叉融合，掌握变压器暂态</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特征参量时</w:t>
      </w:r>
      <w:r>
        <w:rPr>
          <w:rFonts w:ascii="宋体" w:hAnsi="宋体" w:cs="宋体" w:eastAsia="宋体" w:hint="ascii"/>
          <w:sz w:val="21"/>
        </w:rPr>
        <w:t>空分布及关联规律，在变压器多参量自适应保护和安全运行的原理和方法创</w:t>
      </w:r>
      <w:r>
        <w:rPr>
          <w:rFonts w:ascii="宋体" w:hAnsi="宋体" w:cs="宋体" w:eastAsia="宋体" w:hint="ascii"/>
          <w:sz w:val="21"/>
          <w:spacing w:val="-1"/>
        </w:rPr>
        <w:t>新上取得突</w:t>
      </w:r>
      <w:r>
        <w:rPr>
          <w:rFonts w:ascii="宋体" w:hAnsi="宋体" w:cs="宋体" w:eastAsia="宋体" w:hint="ascii"/>
          <w:sz w:val="21"/>
        </w:rPr>
        <w:t>破，着重解决变压器特征参量的高可靠性无源感知方法、变压器保护的多参</w:t>
      </w:r>
      <w:r>
        <w:rPr>
          <w:rFonts w:ascii="宋体" w:hAnsi="宋体" w:cs="宋体" w:eastAsia="宋体" w:hint="ascii"/>
          <w:sz w:val="21"/>
          <w:spacing w:val="-1"/>
        </w:rPr>
        <w:t>量融合及自</w:t>
      </w:r>
      <w:r>
        <w:rPr>
          <w:rFonts w:ascii="宋体" w:hAnsi="宋体" w:cs="宋体" w:eastAsia="宋体" w:hint="ascii"/>
          <w:sz w:val="21"/>
        </w:rPr>
        <w:t>适应机制、支撑系统安全的变压器多参量主动安全保护方法，创建融合变压</w:t>
      </w:r>
      <w:r>
        <w:rPr>
          <w:rFonts w:ascii="宋体" w:hAnsi="宋体" w:cs="宋体" w:eastAsia="宋体" w:hint="ascii"/>
          <w:sz w:val="21"/>
          <w:spacing w:val="-1"/>
        </w:rPr>
        <w:t>器保护与智</w:t>
      </w:r>
      <w:r>
        <w:rPr>
          <w:rFonts w:ascii="宋体" w:hAnsi="宋体" w:cs="宋体" w:eastAsia="宋体" w:hint="ascii"/>
          <w:sz w:val="21"/>
        </w:rPr>
        <w:t>能监测融合的仿真模拟与实验研究平台，为解决大型电力变压器保护技术的理论缺陷和瓶颈问题提供理论和技术支撑。主要研究内容：</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变压器暂态特征参量时空分布及关联规律</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建立变压器场路耦合电磁暂态分析模型，研究电压突变引起的主磁通和匝间故障引</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起的漏磁通的变化及</w:t>
      </w:r>
      <w:r>
        <w:rPr>
          <w:rFonts w:ascii="宋体" w:hAnsi="宋体" w:cs="宋体" w:eastAsia="宋体" w:hint="ascii"/>
          <w:sz w:val="21"/>
        </w:rPr>
        <w:t>时空分布规律；建立变压器内部电弧故障驱动的非电参量分析</w:t>
      </w:r>
      <w:r>
        <w:rPr>
          <w:rFonts w:ascii="宋体" w:hAnsi="宋体" w:cs="宋体" w:eastAsia="宋体" w:hint="ascii"/>
          <w:sz w:val="21"/>
          <w:spacing w:val="-6"/>
        </w:rPr>
        <w:t>模</w:t>
      </w:r>
      <w:r>
        <w:rPr>
          <w:rFonts w:ascii="宋体" w:hAnsi="宋体" w:cs="宋体" w:eastAsia="宋体" w:hint="ascii"/>
          <w:sz w:val="21"/>
          <w:spacing w:val="-1"/>
        </w:rPr>
        <w:t>型，研究故</w:t>
      </w:r>
      <w:r>
        <w:rPr>
          <w:rFonts w:ascii="宋体" w:hAnsi="宋体" w:cs="宋体" w:eastAsia="宋体" w:hint="ascii"/>
          <w:sz w:val="21"/>
        </w:rPr>
        <w:t>障过程中的游离特征气体、压力、流速等参量的时空分布规律；建立外部短</w:t>
      </w:r>
      <w:r>
        <w:rPr>
          <w:rFonts w:ascii="宋体" w:hAnsi="宋体" w:cs="宋体" w:eastAsia="宋体" w:hint="ascii"/>
          <w:sz w:val="21"/>
          <w:spacing w:val="-1"/>
        </w:rPr>
        <w:t>路电流冲击</w:t>
      </w:r>
      <w:r>
        <w:rPr>
          <w:rFonts w:ascii="宋体" w:hAnsi="宋体" w:cs="宋体" w:eastAsia="宋体" w:hint="ascii"/>
          <w:sz w:val="21"/>
        </w:rPr>
        <w:t>下非电参量分析模型，研究压力、流速等参量时空分布规律；探索内部故障</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及外部扰动下的变压器暂态电量与非电量等多参量的特征差异性规律与关联性规律。</w:t>
      </w:r>
      <w:r>
        <w:rPr>
          <w:rFonts w:ascii="宋体" w:hAnsi="宋体" w:cs="宋体" w:eastAsia="宋体" w:hint="ascii"/>
          <w:sz w:val="21"/>
        </w:rPr>
        <mc:AlternateContent>
          <mc:Choice Requires="wps">
            <w:drawing>
              <wp:anchor distL="0" distR="0" distT="0" distB="0" simplePos="0" behindDoc="1" relativeHeight="285" locked="0" layoutInCell="1" allowOverlap="1">
                <wp:simplePos x="0" y="0"/>
                <wp:positionH relativeFrom="page">
                  <wp:posOffset>938530</wp:posOffset>
                </wp:positionH>
                <wp:positionV relativeFrom="page">
                  <wp:posOffset>819150</wp:posOffset>
                </wp:positionV>
                <wp:extent cx="5076190" cy="0"/>
                <wp:wrapNone/>
                <wp:docPr id="1314" name="131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66400;width:399.70pt;" id="131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auto" w:line="240"/>
        <w:ind w:right="0" w:left="1649" w:hanging="263"/>
        <w:snapToGrid w:val="0"/>
        <w:textAlignment w:val="auto"/>
        <w:tabs>
          <w:tab w:val="left" w:leader="none" w:pos="1648"/>
        </w:tabs>
        <w:numPr>
          <w:ilvl w:val="0"/>
          <w:numId w:val="318"/>
        </w:numPr>
        <w:rPr>
          <w:rFonts w:ascii="Times New Roman" w:hAnsi="Times New Roman" w:cs="Times New Roman" w:eastAsia="Times New Roman" w:hint="ascii"/>
          <w:sz w:val="21"/>
        </w:rPr>
      </w:pPr>
      <w:r>
        <w:rPr>
          <w:rFonts w:ascii="宋体" w:hAnsi="宋体" w:cs="宋体" w:eastAsia="宋体" w:hint="ascii"/>
          <w:sz w:val="21"/>
        </w:rPr>
        <w:t>面向新型变压器保护原理的故障信息感知技术</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研究变压器漏磁、压力、游离特征气体、流速等特征参量的长寿命、高可靠性无源</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传感技术；</w:t>
      </w:r>
      <w:r>
        <w:rPr>
          <w:rFonts w:ascii="宋体" w:hAnsi="宋体" w:cs="宋体" w:eastAsia="宋体" w:hint="ascii"/>
          <w:sz w:val="21"/>
        </w:rPr>
        <w:t>研究传感器的安全性、可靠性、长效性的试验方法和评价准则；研究多物理</w:t>
      </w:r>
      <w:r>
        <w:rPr>
          <w:rFonts w:ascii="宋体" w:hAnsi="宋体" w:cs="宋体" w:eastAsia="宋体" w:hint="ascii"/>
          <w:sz w:val="21"/>
          <w:spacing w:val="-1"/>
        </w:rPr>
        <w:t>场对传感器</w:t>
      </w:r>
      <w:r>
        <w:rPr>
          <w:rFonts w:ascii="宋体" w:hAnsi="宋体" w:cs="宋体" w:eastAsia="宋体" w:hint="ascii"/>
          <w:sz w:val="21"/>
        </w:rPr>
        <w:t>信号采集、传递过程的干扰机理及抗干扰方法；研究传感器空间分布对测量效率的影响规律及优化布置方案；研究传感器的测量误差及修正方法。</w:t>
      </w:r>
    </w:p>
    <w:p>
      <w:pPr>
        <w:autoSpaceDE w:val="0"/>
        <w:autoSpaceDN w:val="0"/>
        <w:jc w:val="left"/>
        <w:spacing w:before="40" w:after="0" w:lineRule="auto" w:line="240"/>
        <w:ind w:right="0" w:left="1649" w:hanging="263"/>
        <w:snapToGrid w:val="0"/>
        <w:textAlignment w:val="auto"/>
        <w:tabs>
          <w:tab w:val="left" w:leader="none" w:pos="1648"/>
        </w:tabs>
        <w:numPr>
          <w:ilvl w:val="0"/>
          <w:numId w:val="318"/>
        </w:numPr>
        <w:rPr>
          <w:rFonts w:ascii="Times New Roman" w:hAnsi="Times New Roman" w:cs="Times New Roman" w:eastAsia="Times New Roman" w:hint="ascii"/>
          <w:sz w:val="21"/>
        </w:rPr>
      </w:pPr>
      <w:r>
        <w:rPr>
          <w:rFonts w:ascii="宋体" w:hAnsi="宋体" w:cs="宋体" w:eastAsia="宋体" w:hint="ascii"/>
          <w:sz w:val="21"/>
        </w:rPr>
        <w:t>变压器多参量自适应保护原理及方法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研究基于主磁通信息的差动保护和基于漏磁变化规律的匝间故障保护原理，研究电</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气参数与磁通信息融</w:t>
      </w:r>
      <w:r>
        <w:rPr>
          <w:rFonts w:ascii="宋体" w:hAnsi="宋体" w:cs="宋体" w:eastAsia="宋体" w:hint="ascii"/>
          <w:sz w:val="21"/>
        </w:rPr>
        <w:t>合的变压器电量主保护方法；研究数字式压力保护、瓦斯保护</w:t>
      </w:r>
      <w:r>
        <w:rPr>
          <w:rFonts w:ascii="宋体" w:hAnsi="宋体" w:cs="宋体" w:eastAsia="宋体" w:hint="ascii"/>
          <w:sz w:val="21"/>
          <w:spacing w:val="-6"/>
        </w:rPr>
        <w:t>原</w:t>
      </w:r>
      <w:r>
        <w:rPr>
          <w:rFonts w:ascii="宋体" w:hAnsi="宋体" w:cs="宋体" w:eastAsia="宋体" w:hint="ascii"/>
          <w:sz w:val="21"/>
          <w:spacing w:val="-1"/>
        </w:rPr>
        <w:t>理，研究压</w:t>
      </w:r>
      <w:r>
        <w:rPr>
          <w:rFonts w:ascii="宋体" w:hAnsi="宋体" w:cs="宋体" w:eastAsia="宋体" w:hint="ascii"/>
          <w:sz w:val="21"/>
        </w:rPr>
        <w:t>力、流速、游离特征气体等多参量融合的变压器数字式非电量保护方法；探</w:t>
      </w:r>
      <w:r>
        <w:rPr>
          <w:rFonts w:ascii="宋体" w:hAnsi="宋体" w:cs="宋体" w:eastAsia="宋体" w:hint="ascii"/>
          <w:sz w:val="21"/>
          <w:spacing w:val="-1"/>
        </w:rPr>
        <w:t>索电量与非</w:t>
      </w:r>
      <w:r>
        <w:rPr>
          <w:rFonts w:ascii="宋体" w:hAnsi="宋体" w:cs="宋体" w:eastAsia="宋体" w:hint="ascii"/>
          <w:sz w:val="21"/>
        </w:rPr>
        <w:t>电量特征参量融合以及多参量保护对智能电网复杂工况自适应的机制，构建变压器多参量融合的自适应保护方案。</w:t>
      </w:r>
    </w:p>
    <w:p>
      <w:pPr>
        <w:autoSpaceDE w:val="0"/>
        <w:autoSpaceDN w:val="0"/>
        <w:jc w:val="left"/>
        <w:spacing w:before="40" w:after="0" w:lineRule="auto" w:line="240"/>
        <w:ind w:right="0" w:left="1649" w:hanging="263"/>
        <w:snapToGrid w:val="0"/>
        <w:textAlignment w:val="auto"/>
        <w:tabs>
          <w:tab w:val="left" w:leader="none" w:pos="1648"/>
        </w:tabs>
        <w:numPr>
          <w:ilvl w:val="0"/>
          <w:numId w:val="318"/>
        </w:numPr>
        <w:rPr>
          <w:rFonts w:ascii="Times New Roman" w:hAnsi="Times New Roman" w:cs="Times New Roman" w:eastAsia="Times New Roman" w:hint="ascii"/>
          <w:sz w:val="21"/>
        </w:rPr>
      </w:pPr>
      <w:r>
        <w:rPr>
          <w:rFonts w:ascii="宋体" w:hAnsi="宋体" w:cs="宋体" w:eastAsia="宋体" w:hint="ascii"/>
          <w:sz w:val="21"/>
        </w:rPr>
        <w:t>变压器安全裕度估计与主动安全保护方法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探索变压器在谐波、偏磁等异常工况下的热特性演化规律；建立基于漏磁通量的绕</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组变形判别</w:t>
      </w:r>
      <w:r>
        <w:rPr>
          <w:rFonts w:ascii="宋体" w:hAnsi="宋体" w:cs="宋体" w:eastAsia="宋体" w:hint="ascii"/>
          <w:sz w:val="21"/>
        </w:rPr>
        <w:t>模型以及基于游离特征气体的故障诊断模型，研究以绕组热点温度、漏磁、</w:t>
      </w:r>
      <w:r>
        <w:rPr>
          <w:rFonts w:ascii="宋体" w:hAnsi="宋体" w:cs="宋体" w:eastAsia="宋体" w:hint="ascii"/>
          <w:sz w:val="21"/>
          <w:spacing w:val="-1"/>
        </w:rPr>
        <w:t>游离特征气</w:t>
      </w:r>
      <w:r>
        <w:rPr>
          <w:rFonts w:ascii="宋体" w:hAnsi="宋体" w:cs="宋体" w:eastAsia="宋体" w:hint="ascii"/>
          <w:sz w:val="21"/>
        </w:rPr>
        <w:t>体以及离线可靠性评估结果等多参量融合的变压器动态安全裕度估计方法；</w:t>
      </w:r>
      <w:r>
        <w:rPr>
          <w:rFonts w:ascii="宋体" w:hAnsi="宋体" w:cs="宋体" w:eastAsia="宋体" w:hint="ascii"/>
          <w:sz w:val="21"/>
          <w:spacing w:val="-1"/>
        </w:rPr>
        <w:t>建立变压器</w:t>
      </w:r>
      <w:r>
        <w:rPr>
          <w:rFonts w:ascii="宋体" w:hAnsi="宋体" w:cs="宋体" w:eastAsia="宋体" w:hint="ascii"/>
          <w:sz w:val="21"/>
        </w:rPr>
        <w:t>过载安全耐受时间在线估计模型，研究支撑系统安全的变压器多参量融合的主动安全保护方法，实现电网紧急状态下变压器与系统协同安全控制能力的提升。</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二、重点支持项目</w:t>
      </w:r>
    </w:p>
    <w:p>
      <w:pPr>
        <w:autoSpaceDE w:val="0"/>
        <w:autoSpaceDN w:val="0"/>
        <w:jc w:val="both"/>
        <w:spacing w:before="157"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申请人可在下</w:t>
      </w:r>
      <w:r>
        <w:rPr>
          <w:rFonts w:ascii="宋体" w:hAnsi="宋体" w:cs="宋体" w:eastAsia="宋体" w:hint="ascii"/>
          <w:sz w:val="21"/>
          <w:spacing w:val="27"/>
        </w:rPr>
        <w:t>列</w:t>
      </w:r>
      <w:r>
        <w:rPr>
          <w:rFonts w:ascii="Times New Roman" w:hAnsi="Times New Roman" w:cs="Times New Roman" w:eastAsia="Times New Roman" w:hint="ascii"/>
          <w:sz w:val="21"/>
          <w:spacing w:val="52"/>
        </w:rPr>
        <w:t>8</w:t>
      </w:r>
      <w:r>
        <w:rPr>
          <w:rFonts w:ascii="宋体" w:hAnsi="宋体" w:cs="宋体" w:eastAsia="宋体" w:hint="ascii"/>
          <w:sz w:val="21"/>
        </w:rPr>
        <w:t>个研究方向提出申请，自主确定项目名称、研究内容和研究方案等。研究领域和研究方向如下：</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1.</w:t>
      </w:r>
      <w:r>
        <w:rPr>
          <w:rFonts w:ascii="宋体" w:hAnsi="宋体" w:cs="宋体" w:eastAsia="宋体" w:hint="ascii"/>
          <w:sz w:val="21"/>
        </w:rPr>
        <w:t>“广泛互联、智能互动、灵活柔性、安全可控”的新一代电力系统基础问题</w:t>
      </w:r>
    </w:p>
    <w:p>
      <w:pPr>
        <w:autoSpaceDE w:val="0"/>
        <w:autoSpaceDN w:val="0"/>
        <w:jc w:val="left"/>
        <w:spacing w:before="57" w:after="0" w:lineRule="auto" w:line="240"/>
        <w:ind w:right="0" w:left="1649" w:hanging="263"/>
        <w:snapToGrid w:val="0"/>
        <w:textAlignment w:val="auto"/>
        <w:tabs>
          <w:tab w:val="left" w:leader="none" w:pos="1648"/>
        </w:tabs>
        <w:numPr>
          <w:ilvl w:val="0"/>
          <w:numId w:val="319"/>
        </w:numPr>
        <w:rPr>
          <w:rFonts w:ascii="Times New Roman" w:hAnsi="Times New Roman" w:cs="Times New Roman" w:eastAsia="Times New Roman" w:hint="ascii"/>
          <w:sz w:val="21"/>
        </w:rPr>
      </w:pPr>
      <w:r>
        <w:rPr>
          <w:rFonts w:ascii="宋体" w:hAnsi="宋体" w:cs="宋体" w:eastAsia="宋体" w:hint="ascii"/>
          <w:sz w:val="21"/>
        </w:rPr>
        <w:t>多能互补系统规划及运行</w:t>
      </w:r>
    </w:p>
    <w:p>
      <w:pPr>
        <w:autoSpaceDE w:val="0"/>
        <w:autoSpaceDN w:val="0"/>
        <w:jc w:val="left"/>
        <w:spacing w:before="47" w:after="0" w:lineRule="auto" w:line="240"/>
        <w:ind w:right="0" w:left="1649" w:hanging="263"/>
        <w:snapToGrid w:val="0"/>
        <w:textAlignment w:val="auto"/>
        <w:tabs>
          <w:tab w:val="left" w:leader="none" w:pos="1648"/>
        </w:tabs>
        <w:numPr>
          <w:ilvl w:val="0"/>
          <w:numId w:val="319"/>
        </w:numPr>
        <w:rPr>
          <w:rFonts w:ascii="Times New Roman" w:hAnsi="Times New Roman" w:cs="Times New Roman" w:eastAsia="Times New Roman" w:hint="ascii"/>
          <w:sz w:val="21"/>
        </w:rPr>
      </w:pPr>
      <w:r>
        <w:rPr>
          <w:rFonts w:ascii="宋体" w:hAnsi="宋体" w:cs="宋体" w:eastAsia="宋体" w:hint="ascii"/>
          <w:sz w:val="21"/>
        </w:rPr>
        <w:t>绝缘状态监测与评估理论及方法</w:t>
      </w:r>
    </w:p>
    <w:p>
      <w:pPr>
        <w:autoSpaceDE w:val="0"/>
        <w:autoSpaceDN w:val="0"/>
        <w:jc w:val="left"/>
        <w:spacing w:before="45" w:after="0" w:lineRule="auto" w:line="240"/>
        <w:ind w:right="0" w:left="1649" w:hanging="263"/>
        <w:snapToGrid w:val="0"/>
        <w:textAlignment w:val="auto"/>
        <w:tabs>
          <w:tab w:val="left" w:leader="none" w:pos="1648"/>
        </w:tabs>
        <w:numPr>
          <w:ilvl w:val="0"/>
          <w:numId w:val="319"/>
        </w:numPr>
        <w:rPr>
          <w:rFonts w:ascii="Times New Roman" w:hAnsi="Times New Roman" w:cs="Times New Roman" w:eastAsia="Times New Roman" w:hint="ascii"/>
          <w:sz w:val="21"/>
        </w:rPr>
      </w:pPr>
      <w:r>
        <w:rPr>
          <w:rFonts w:ascii="宋体" w:hAnsi="宋体" w:cs="宋体" w:eastAsia="宋体" w:hint="ascii"/>
          <w:sz w:val="21"/>
        </w:rPr>
        <w:t>智能配电系统形态特征分析与协调规划理论</w:t>
      </w:r>
    </w:p>
    <w:p>
      <w:pPr>
        <w:autoSpaceDE w:val="0"/>
        <w:autoSpaceDN w:val="0"/>
        <w:jc w:val="left"/>
        <w:spacing w:before="45" w:after="0" w:lineRule="auto" w:line="240"/>
        <w:ind w:right="0" w:left="1649" w:hanging="263"/>
        <w:snapToGrid w:val="0"/>
        <w:textAlignment w:val="auto"/>
        <w:tabs>
          <w:tab w:val="left" w:leader="none" w:pos="1648"/>
        </w:tabs>
        <w:numPr>
          <w:ilvl w:val="0"/>
          <w:numId w:val="319"/>
        </w:numPr>
        <w:rPr>
          <w:rFonts w:ascii="Times New Roman" w:hAnsi="Times New Roman" w:cs="Times New Roman" w:eastAsia="Times New Roman" w:hint="ascii"/>
          <w:sz w:val="21"/>
        </w:rPr>
      </w:pPr>
      <w:r>
        <w:rPr>
          <w:rFonts w:ascii="宋体" w:hAnsi="宋体" w:cs="宋体" w:eastAsia="宋体" w:hint="ascii"/>
          <w:sz w:val="21"/>
        </w:rPr>
        <w:t>输电线路用高导电导体、电气设备用铁磁材料及电接触材料</w:t>
      </w:r>
    </w:p>
    <w:p>
      <w:pPr>
        <w:autoSpaceDE w:val="0"/>
        <w:autoSpaceDN w:val="0"/>
        <w:jc w:val="left"/>
        <w:spacing w:before="45" w:after="0" w:lineRule="auto" w:line="240"/>
        <w:ind w:right="0" w:left="1649" w:hanging="263"/>
        <w:snapToGrid w:val="0"/>
        <w:textAlignment w:val="auto"/>
        <w:tabs>
          <w:tab w:val="left" w:leader="none" w:pos="1648"/>
        </w:tabs>
        <w:numPr>
          <w:ilvl w:val="0"/>
          <w:numId w:val="319"/>
        </w:numPr>
        <w:rPr>
          <w:rFonts w:ascii="Times New Roman" w:hAnsi="Times New Roman" w:cs="Times New Roman" w:eastAsia="Times New Roman" w:hint="ascii"/>
          <w:sz w:val="21"/>
        </w:rPr>
      </w:pPr>
      <w:r>
        <w:rPr>
          <w:rFonts w:ascii="宋体" w:hAnsi="宋体" w:cs="宋体" w:eastAsia="宋体" w:hint="ascii"/>
          <w:sz w:val="21"/>
        </w:rPr>
        <w:t>电力储能用电池全寿命周期衰减和安全特性评估原理及方法</w:t>
      </w:r>
    </w:p>
    <w:p>
      <w:pPr>
        <w:autoSpaceDE w:val="0"/>
        <w:autoSpaceDN w:val="0"/>
        <w:jc w:val="left"/>
        <w:spacing w:before="45" w:after="0" w:lineRule="auto" w:line="240"/>
        <w:ind w:right="0" w:left="1649" w:hanging="263"/>
        <w:snapToGrid w:val="0"/>
        <w:textAlignment w:val="auto"/>
        <w:tabs>
          <w:tab w:val="left" w:leader="none" w:pos="1648"/>
        </w:tabs>
        <w:numPr>
          <w:ilvl w:val="0"/>
          <w:numId w:val="319"/>
        </w:numPr>
        <w:rPr>
          <w:rFonts w:ascii="Times New Roman" w:hAnsi="Times New Roman" w:cs="Times New Roman" w:eastAsia="Times New Roman" w:hint="ascii"/>
          <w:sz w:val="21"/>
        </w:rPr>
      </w:pPr>
      <w:r>
        <w:rPr>
          <w:rFonts w:ascii="宋体" w:hAnsi="宋体" w:cs="宋体" w:eastAsia="宋体" w:hint="ascii"/>
          <w:sz w:val="21"/>
        </w:rPr>
        <w:t>直流输电用新型电力电子装备基础性研究</w:t>
      </w:r>
    </w:p>
    <w:p>
      <w:pPr>
        <w:autoSpaceDE w:val="0"/>
        <w:autoSpaceDN w:val="0"/>
        <w:jc w:val="left"/>
        <w:spacing w:before="45" w:after="0" w:lineRule="auto" w:line="240"/>
        <w:ind w:right="0" w:left="1649" w:hanging="263"/>
        <w:snapToGrid w:val="0"/>
        <w:textAlignment w:val="auto"/>
        <w:tabs>
          <w:tab w:val="left" w:leader="none" w:pos="1648"/>
        </w:tabs>
        <w:numPr>
          <w:ilvl w:val="0"/>
          <w:numId w:val="319"/>
        </w:numPr>
        <w:rPr>
          <w:rFonts w:ascii="Times New Roman" w:hAnsi="Times New Roman" w:cs="Times New Roman" w:eastAsia="Times New Roman" w:hint="ascii"/>
          <w:sz w:val="21"/>
        </w:rPr>
      </w:pPr>
      <w:r>
        <w:rPr>
          <w:rFonts w:ascii="宋体" w:hAnsi="宋体" w:cs="宋体" w:eastAsia="宋体" w:hint="ascii"/>
          <w:sz w:val="21"/>
        </w:rPr>
        <w:t>复杂电磁环境下电力智能设备失效机理及电磁干扰抑制方法</w:t>
      </w:r>
    </w:p>
    <w:p>
      <w:pPr>
        <w:autoSpaceDE w:val="0"/>
        <w:autoSpaceDN w:val="0"/>
        <w:jc w:val="left"/>
        <w:spacing w:before="17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19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1"/>
        </w:rPr>
        <w:t>2</w:t>
      </w:r>
      <w:r>
        <w:rPr>
          <w:rFonts w:ascii="宋体" w:hAnsi="宋体" w:cs="宋体" w:eastAsia="宋体" w:hint="ascii"/>
          <w:sz w:val="21"/>
        </w:rPr>
        <w:t>）</w:t>
      </w:r>
      <w:r>
        <w:rPr>
          <w:rFonts w:ascii="宋体" w:hAnsi="宋体" w:cs="宋体" w:eastAsia="宋体" w:hint="ascii"/>
          <w:sz w:val="21"/>
          <w:spacing w:val="-2"/>
        </w:rPr>
        <w:t>申</w:t>
      </w:r>
      <w:r>
        <w:rPr>
          <w:rFonts w:ascii="宋体" w:hAnsi="宋体" w:cs="宋体" w:eastAsia="宋体" w:hint="ascii"/>
          <w:sz w:val="21"/>
          <w:spacing w:val="-1"/>
        </w:rPr>
        <w:t>请</w:t>
      </w:r>
      <w:r>
        <w:rPr>
          <w:rFonts w:ascii="宋体" w:hAnsi="宋体" w:cs="宋体" w:eastAsia="宋体" w:hint="ascii"/>
          <w:sz w:val="21"/>
          <w:spacing w:val="-2"/>
        </w:rPr>
        <w:t>书</w:t>
      </w:r>
      <w:r>
        <w:rPr>
          <w:rFonts w:ascii="宋体" w:hAnsi="宋体" w:cs="宋体" w:eastAsia="宋体" w:hint="ascii"/>
          <w:sz w:val="21"/>
          <w:spacing w:val="-1"/>
        </w:rPr>
        <w:t>资</w:t>
      </w:r>
      <w:r>
        <w:rPr>
          <w:rFonts w:ascii="宋体" w:hAnsi="宋体" w:cs="宋体" w:eastAsia="宋体" w:hint="ascii"/>
          <w:sz w:val="21"/>
          <w:spacing w:val="-2"/>
        </w:rPr>
        <w:t>助</w:t>
      </w:r>
      <w:r>
        <w:rPr>
          <w:rFonts w:ascii="宋体" w:hAnsi="宋体" w:cs="宋体" w:eastAsia="宋体" w:hint="ascii"/>
          <w:sz w:val="21"/>
          <w:spacing w:val="-1"/>
        </w:rPr>
        <w:t>类</w:t>
      </w:r>
      <w:r>
        <w:rPr>
          <w:rFonts w:ascii="宋体" w:hAnsi="宋体" w:cs="宋体" w:eastAsia="宋体" w:hint="ascii"/>
          <w:sz w:val="21"/>
          <w:spacing w:val="-2"/>
        </w:rPr>
        <w:t>别选</w:t>
      </w:r>
      <w:r>
        <w:rPr>
          <w:rFonts w:ascii="宋体" w:hAnsi="宋体" w:cs="宋体" w:eastAsia="宋体" w:hint="ascii"/>
          <w:sz w:val="21"/>
          <w:spacing w:val="-1"/>
        </w:rPr>
        <w:t>择</w:t>
      </w:r>
      <w:r>
        <w:rPr>
          <w:rFonts w:ascii="宋体" w:hAnsi="宋体" w:cs="宋体" w:eastAsia="宋体" w:hint="ascii"/>
          <w:sz w:val="21"/>
          <w:spacing w:val="-2"/>
        </w:rPr>
        <w:t>“</w:t>
      </w:r>
      <w:r>
        <w:rPr>
          <w:rFonts w:ascii="宋体" w:hAnsi="宋体" w:cs="宋体" w:eastAsia="宋体" w:hint="ascii"/>
          <w:sz w:val="21"/>
          <w:spacing w:val="-1"/>
        </w:rPr>
        <w:t>联</w:t>
      </w:r>
      <w:r>
        <w:rPr>
          <w:rFonts w:ascii="宋体" w:hAnsi="宋体" w:cs="宋体" w:eastAsia="宋体" w:hint="ascii"/>
          <w:sz w:val="21"/>
          <w:spacing w:val="-2"/>
        </w:rPr>
        <w:t>合基</w:t>
      </w:r>
      <w:r>
        <w:rPr>
          <w:rFonts w:ascii="宋体" w:hAnsi="宋体" w:cs="宋体" w:eastAsia="宋体" w:hint="ascii"/>
          <w:sz w:val="21"/>
          <w:spacing w:val="-1"/>
        </w:rPr>
        <w:t>金</w:t>
      </w:r>
      <w:r>
        <w:rPr>
          <w:rFonts w:ascii="宋体" w:hAnsi="宋体" w:cs="宋体" w:eastAsia="宋体" w:hint="ascii"/>
          <w:sz w:val="21"/>
          <w:spacing w:val="-2"/>
        </w:rPr>
        <w:t>项</w:t>
      </w:r>
      <w:r>
        <w:rPr>
          <w:rFonts w:ascii="宋体" w:hAnsi="宋体" w:cs="宋体" w:eastAsia="宋体" w:hint="ascii"/>
          <w:sz w:val="21"/>
          <w:spacing w:val="-1"/>
        </w:rPr>
        <w:t>目</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spacing w:val="-2"/>
        </w:rPr>
        <w:t>亚</w:t>
      </w:r>
      <w:r>
        <w:rPr>
          <w:rFonts w:ascii="宋体" w:hAnsi="宋体" w:cs="宋体" w:eastAsia="宋体" w:hint="ascii"/>
          <w:sz w:val="21"/>
          <w:spacing w:val="-1"/>
        </w:rPr>
        <w:t>类</w:t>
      </w:r>
      <w:r>
        <w:rPr>
          <w:rFonts w:ascii="宋体" w:hAnsi="宋体" w:cs="宋体" w:eastAsia="宋体" w:hint="ascii"/>
          <w:sz w:val="21"/>
          <w:spacing w:val="-2"/>
        </w:rPr>
        <w:t>说</w:t>
      </w:r>
      <w:r>
        <w:rPr>
          <w:rFonts w:ascii="宋体" w:hAnsi="宋体" w:cs="宋体" w:eastAsia="宋体" w:hint="ascii"/>
          <w:sz w:val="21"/>
          <w:spacing w:val="-1"/>
        </w:rPr>
        <w:t>明</w:t>
      </w:r>
      <w:r>
        <w:rPr>
          <w:rFonts w:ascii="宋体" w:hAnsi="宋体" w:cs="宋体" w:eastAsia="宋体" w:hint="ascii"/>
          <w:sz w:val="21"/>
          <w:spacing w:val="-2"/>
        </w:rPr>
        <w:t>选择</w:t>
      </w:r>
      <w:r>
        <w:rPr>
          <w:rFonts w:ascii="宋体" w:hAnsi="宋体" w:cs="宋体" w:eastAsia="宋体" w:hint="ascii"/>
          <w:sz w:val="21"/>
          <w:spacing w:val="-1"/>
        </w:rPr>
        <w:t>“</w:t>
      </w:r>
      <w:r>
        <w:rPr>
          <w:rFonts w:ascii="宋体" w:hAnsi="宋体" w:cs="宋体" w:eastAsia="宋体" w:hint="ascii"/>
          <w:sz w:val="21"/>
          <w:spacing w:val="-2"/>
        </w:rPr>
        <w:t>集</w:t>
      </w:r>
      <w:r>
        <w:rPr>
          <w:rFonts w:ascii="宋体" w:hAnsi="宋体" w:cs="宋体" w:eastAsia="宋体" w:hint="ascii"/>
          <w:sz w:val="21"/>
          <w:spacing w:val="-1"/>
        </w:rPr>
        <w:t>成</w:t>
      </w:r>
      <w:r>
        <w:rPr>
          <w:rFonts w:ascii="宋体" w:hAnsi="宋体" w:cs="宋体" w:eastAsia="宋体" w:hint="ascii"/>
          <w:sz w:val="21"/>
          <w:spacing w:val="-2"/>
        </w:rPr>
        <w:t>项目</w:t>
      </w:r>
      <w:r>
        <w:rPr>
          <w:rFonts w:ascii="宋体" w:hAnsi="宋体" w:cs="宋体" w:eastAsia="宋体" w:hint="ascii"/>
          <w:sz w:val="21"/>
        </w:rPr>
        <w:t>”</w:t>
      </w:r>
      <w:r>
        <w:rPr>
          <w:rFonts w:ascii="宋体" w:hAnsi="宋体" w:cs="宋体" w:eastAsia="宋体" w:hint="ascii"/>
          <w:sz w:val="21"/>
          <w:spacing w:val="-2"/>
        </w:rPr>
        <w:t>或</w:t>
      </w:r>
      <w:r>
        <w:rPr>
          <w:rFonts w:ascii="宋体" w:hAnsi="宋体" w:cs="宋体" w:eastAsia="宋体" w:hint="ascii"/>
          <w:sz w:val="21"/>
        </w:rPr>
        <w:t>“</w:t>
      </w:r>
      <w:r>
        <w:rPr>
          <w:rFonts w:ascii="宋体" w:hAnsi="宋体" w:cs="宋体" w:eastAsia="宋体" w:hint="ascii"/>
          <w:sz w:val="21"/>
          <w:spacing w:val="-2"/>
        </w:rPr>
        <w:t>重点</w:t>
      </w:r>
      <w:r>
        <w:rPr>
          <w:rFonts w:ascii="宋体" w:hAnsi="宋体" w:cs="宋体" w:eastAsia="宋体" w:hint="ascii"/>
          <w:sz w:val="21"/>
        </w:rPr>
        <w:t>支</w:t>
      </w:r>
    </w:p>
    <w:p>
      <w:pPr>
        <w:autoSpaceDE w:val="0"/>
        <w:autoSpaceDN w:val="0"/>
        <w:jc w:val="both"/>
        <w:spacing w:before="9" w:after="0" w:lineRule="exact" w:line="306"/>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3"/>
        </w:rPr>
        <w:t>持</w:t>
      </w:r>
      <w:r>
        <w:rPr>
          <w:rFonts w:ascii="宋体" w:hAnsi="宋体" w:cs="宋体" w:eastAsia="宋体" w:hint="ascii"/>
          <w:sz w:val="21"/>
          <w:spacing w:val="-2"/>
        </w:rPr>
        <w:t>项</w:t>
      </w:r>
      <w:r>
        <w:rPr>
          <w:rFonts w:ascii="宋体" w:hAnsi="宋体" w:cs="宋体" w:eastAsia="宋体" w:hint="ascii"/>
          <w:sz w:val="21"/>
          <w:spacing w:val="-3"/>
        </w:rPr>
        <w:t>目</w:t>
      </w:r>
      <w:r>
        <w:rPr>
          <w:rFonts w:ascii="宋体" w:hAnsi="宋体" w:cs="宋体" w:eastAsia="宋体" w:hint="ascii"/>
          <w:sz w:val="21"/>
          <w:spacing w:val="-54"/>
        </w:rPr>
        <w:t>”</w:t>
      </w:r>
      <w:r>
        <w:rPr>
          <w:rFonts w:ascii="宋体" w:hAnsi="宋体" w:cs="宋体" w:eastAsia="宋体" w:hint="ascii"/>
          <w:sz w:val="21"/>
          <w:spacing w:val="-2"/>
        </w:rPr>
        <w:t>，</w:t>
      </w:r>
      <w:r>
        <w:rPr>
          <w:rFonts w:ascii="宋体" w:hAnsi="宋体" w:cs="宋体" w:eastAsia="宋体" w:hint="ascii"/>
          <w:sz w:val="21"/>
          <w:spacing w:val="-3"/>
        </w:rPr>
        <w:t>附注</w:t>
      </w:r>
      <w:r>
        <w:rPr>
          <w:rFonts w:ascii="宋体" w:hAnsi="宋体" w:cs="宋体" w:eastAsia="宋体" w:hint="ascii"/>
          <w:sz w:val="21"/>
          <w:spacing w:val="-2"/>
        </w:rPr>
        <w:t>说</w:t>
      </w:r>
      <w:r>
        <w:rPr>
          <w:rFonts w:ascii="宋体" w:hAnsi="宋体" w:cs="宋体" w:eastAsia="宋体" w:hint="ascii"/>
          <w:sz w:val="21"/>
          <w:spacing w:val="-3"/>
        </w:rPr>
        <w:t>明选择“</w:t>
      </w:r>
      <w:r>
        <w:rPr>
          <w:rFonts w:ascii="宋体" w:hAnsi="宋体" w:cs="宋体" w:eastAsia="宋体" w:hint="ascii"/>
          <w:sz w:val="21"/>
          <w:spacing w:val="-2"/>
        </w:rPr>
        <w:t>智</w:t>
      </w:r>
      <w:r>
        <w:rPr>
          <w:rFonts w:ascii="宋体" w:hAnsi="宋体" w:cs="宋体" w:eastAsia="宋体" w:hint="ascii"/>
          <w:sz w:val="21"/>
          <w:spacing w:val="-3"/>
        </w:rPr>
        <w:t>能电网联</w:t>
      </w:r>
      <w:r>
        <w:rPr>
          <w:rFonts w:ascii="宋体" w:hAnsi="宋体" w:cs="宋体" w:eastAsia="宋体" w:hint="ascii"/>
          <w:sz w:val="21"/>
          <w:spacing w:val="-2"/>
        </w:rPr>
        <w:t>合</w:t>
      </w:r>
      <w:r>
        <w:rPr>
          <w:rFonts w:ascii="宋体" w:hAnsi="宋体" w:cs="宋体" w:eastAsia="宋体" w:hint="ascii"/>
          <w:sz w:val="21"/>
          <w:spacing w:val="-3"/>
        </w:rPr>
        <w:t>基金</w:t>
      </w:r>
      <w:r>
        <w:rPr>
          <w:rFonts w:ascii="宋体" w:hAnsi="宋体" w:cs="宋体" w:eastAsia="宋体" w:hint="ascii"/>
          <w:sz w:val="21"/>
          <w:spacing w:val="-54"/>
        </w:rPr>
        <w:t>”</w:t>
      </w:r>
      <w:r>
        <w:rPr>
          <w:rFonts w:ascii="宋体" w:hAnsi="宋体" w:cs="宋体" w:eastAsia="宋体" w:hint="ascii"/>
          <w:sz w:val="21"/>
          <w:spacing w:val="-3"/>
        </w:rPr>
        <w:t>。</w:t>
      </w:r>
      <w:r>
        <w:rPr>
          <w:rFonts w:ascii="宋体" w:hAnsi="宋体" w:cs="宋体" w:eastAsia="宋体" w:hint="ascii"/>
          <w:sz w:val="21"/>
          <w:spacing w:val="-2"/>
        </w:rPr>
        <w:t>申</w:t>
      </w:r>
      <w:r>
        <w:rPr>
          <w:rFonts w:ascii="宋体" w:hAnsi="宋体" w:cs="宋体" w:eastAsia="宋体" w:hint="ascii"/>
          <w:sz w:val="21"/>
          <w:spacing w:val="-1"/>
        </w:rPr>
        <w:t>请</w:t>
      </w:r>
      <w:r>
        <w:rPr>
          <w:rFonts w:ascii="宋体" w:hAnsi="宋体" w:cs="宋体" w:eastAsia="宋体" w:hint="ascii"/>
          <w:sz w:val="21"/>
          <w:spacing w:val="-2"/>
        </w:rPr>
        <w:t>代码必须</w:t>
      </w:r>
      <w:r>
        <w:rPr>
          <w:rFonts w:ascii="宋体" w:hAnsi="宋体" w:cs="宋体" w:eastAsia="宋体" w:hint="ascii"/>
          <w:sz w:val="21"/>
          <w:spacing w:val="-1"/>
        </w:rPr>
        <w:t>选</w:t>
      </w:r>
      <w:r>
        <w:rPr>
          <w:rFonts w:ascii="宋体" w:hAnsi="宋体" w:cs="宋体" w:eastAsia="宋体" w:hint="ascii"/>
          <w:sz w:val="21"/>
          <w:spacing w:val="-2"/>
        </w:rPr>
        <w:t>择工程与</w:t>
      </w:r>
      <w:r>
        <w:rPr>
          <w:rFonts w:ascii="宋体" w:hAnsi="宋体" w:cs="宋体" w:eastAsia="宋体" w:hint="ascii"/>
          <w:sz w:val="21"/>
          <w:spacing w:val="-1"/>
        </w:rPr>
        <w:t>材</w:t>
      </w:r>
      <w:r>
        <w:rPr>
          <w:rFonts w:ascii="宋体" w:hAnsi="宋体" w:cs="宋体" w:eastAsia="宋体" w:hint="ascii"/>
          <w:sz w:val="21"/>
          <w:spacing w:val="-2"/>
        </w:rPr>
        <w:t>料科学部</w:t>
      </w:r>
      <w:r>
        <w:rPr>
          <w:rFonts w:ascii="宋体" w:hAnsi="宋体" w:cs="宋体" w:eastAsia="宋体" w:hint="ascii"/>
          <w:sz w:val="21"/>
          <w:spacing w:val="-1"/>
        </w:rPr>
        <w:t>（</w:t>
      </w:r>
      <w:r>
        <w:rPr>
          <w:rFonts w:ascii="Times New Roman" w:hAnsi="Times New Roman" w:cs="Times New Roman" w:eastAsia="Times New Roman" w:hint="ascii"/>
          <w:sz w:val="21"/>
        </w:rPr>
        <w:t xml:space="preserve">E </w:t>
      </w:r>
      <w:r>
        <w:rPr>
          <w:rFonts w:ascii="宋体" w:hAnsi="宋体" w:cs="宋体" w:eastAsia="宋体" w:hint="ascii"/>
          <w:sz w:val="21"/>
          <w:spacing w:val="-2"/>
        </w:rPr>
        <w:t>开头）或信息科学部（</w:t>
      </w:r>
      <w:r>
        <w:rPr>
          <w:rFonts w:ascii="Times New Roman" w:hAnsi="Times New Roman" w:cs="Times New Roman" w:eastAsia="Times New Roman" w:hint="ascii"/>
          <w:sz w:val="21"/>
          <w:spacing w:val="49"/>
        </w:rPr>
        <w:t>F</w:t>
      </w:r>
      <w:r>
        <w:rPr>
          <w:rFonts w:ascii="宋体" w:hAnsi="宋体" w:cs="宋体" w:eastAsia="宋体" w:hint="ascii"/>
          <w:sz w:val="21"/>
          <w:spacing w:val="-2"/>
        </w:rPr>
        <w:t>开头）所属代码</w:t>
      </w:r>
      <w:r>
        <w:rPr>
          <w:rFonts w:ascii="宋体" w:hAnsi="宋体" w:cs="宋体" w:eastAsia="宋体" w:hint="ascii"/>
          <w:sz w:val="21"/>
        </w:rPr>
        <w:t>。</w:t>
      </w:r>
    </w:p>
    <w:p>
      <w:pPr>
        <w:autoSpaceDE w:val="0"/>
        <w:autoSpaceDN w:val="0"/>
        <w:jc w:val="left"/>
        <w:spacing w:before="3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申请书正文开头应先说明申请本联合基金中“集成项目”或“重点支持项目”相应</w:t>
      </w:r>
    </w:p>
    <w:p>
      <w:pPr>
        <w:autoSpaceDE w:val="0"/>
        <w:autoSpaceDN w:val="0"/>
        <w:jc w:val="both"/>
        <w:spacing w:before="9" w:after="0" w:lineRule="exact" w:line="306"/>
        <w:ind w:right="978" w:left="966" w:firstLine="0"/>
        <w:snapToGrid w:val="0"/>
        <w:textAlignment w:val="auto"/>
        <w:tabs/>
        <w:rPr>
          <w:rFonts w:ascii="宋体" w:hAnsi="宋体" w:cs="宋体" w:eastAsia="宋体" w:hint="ascii"/>
          <w:sz w:val="21"/>
        </w:rPr>
      </w:pPr>
      <w:r>
        <w:rPr>
          <w:rFonts w:ascii="宋体" w:hAnsi="宋体" w:cs="宋体" w:eastAsia="宋体" w:hint="ascii"/>
          <w:sz w:val="21"/>
        </w:rPr>
        <w:t>的研究方向名称，如：</w:t>
      </w:r>
      <w:r>
        <w:rPr>
          <w:rFonts w:ascii="宋体" w:hAnsi="宋体" w:cs="宋体" w:eastAsia="宋体" w:hint="ascii"/>
          <w:sz w:val="21"/>
          <w:spacing w:val="-45"/>
        </w:rPr>
        <w:t>[</w:t>
      </w:r>
      <w:r>
        <w:rPr>
          <w:rFonts w:ascii="宋体" w:hAnsi="宋体" w:cs="宋体" w:eastAsia="宋体" w:hint="ascii"/>
          <w:sz w:val="21"/>
        </w:rPr>
        <w:t>本申请针对“重点支持项目”</w:t>
      </w: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“广泛互联、智能互动、灵活柔性、安全可控”的新一代电力系统基础问题撰写</w:t>
      </w:r>
      <w:r>
        <w:rPr>
          <w:rFonts w:ascii="宋体" w:hAnsi="宋体" w:cs="宋体" w:eastAsia="宋体" w:hint="ascii"/>
          <w:sz w:val="21"/>
          <w:spacing w:val="-44"/>
        </w:rPr>
        <w:t>]</w:t>
      </w:r>
      <w:r>
        <w:rPr>
          <w:rFonts w:ascii="宋体" w:hAnsi="宋体" w:cs="宋体" w:eastAsia="宋体" w:hint="ascii"/>
          <w:sz w:val="21"/>
        </w:rPr>
        <w:t>，以便评审专家清楚了解申请人所</w:t>
      </w:r>
    </w:p>
    <w:p>
      <w:pPr>
        <w:autoSpaceDE w:val="0"/>
        <w:autoSpaceDN w:val="0"/>
        <w:jc w:val="left"/>
        <w:spacing w:before="392"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209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针对的研究题目和内容。</w:t>
      </w:r>
      <w:r>
        <w:rPr>
          <w:rFonts w:ascii="宋体" w:hAnsi="宋体" w:cs="宋体" w:eastAsia="宋体" w:hint="ascii"/>
          <w:sz w:val="21"/>
        </w:rPr>
        <mc:AlternateContent>
          <mc:Choice Requires="wps">
            <w:drawing>
              <wp:anchor distL="0" distR="0" distT="0" distB="0" simplePos="0" behindDoc="1" relativeHeight="286" locked="0" layoutInCell="1" allowOverlap="1">
                <wp:simplePos x="0" y="0"/>
                <wp:positionH relativeFrom="page">
                  <wp:posOffset>938530</wp:posOffset>
                </wp:positionH>
                <wp:positionV relativeFrom="page">
                  <wp:posOffset>805815</wp:posOffset>
                </wp:positionV>
                <wp:extent cx="5076190" cy="0"/>
                <wp:wrapNone/>
                <wp:docPr id="1315" name="131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65376;width:399.70pt;" id="131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）本联合基金面向全国，欢迎符合条件的科学技术人员按照本《指南》范围和要</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b w:val="1"/>
          <w:sz w:val="21"/>
        </w:rPr>
      </w:pPr>
      <w:r>
        <w:rPr>
          <w:rFonts w:ascii="宋体" w:hAnsi="宋体" w:cs="宋体" w:eastAsia="宋体" w:hint="ascii"/>
          <w:sz w:val="21"/>
          <w:spacing w:val="1"/>
        </w:rPr>
        <w:t>求提出申请。申请人</w:t>
      </w:r>
      <w:r>
        <w:rPr>
          <w:rFonts w:ascii="宋体" w:hAnsi="宋体" w:cs="宋体" w:eastAsia="宋体" w:hint="ascii"/>
          <w:sz w:val="21"/>
        </w:rPr>
        <w:t>应对我国能源电力领域的重要基础研究问题和实际需求有深刻</w:t>
      </w:r>
      <w:r>
        <w:rPr>
          <w:rFonts w:ascii="宋体" w:hAnsi="宋体" w:cs="宋体" w:eastAsia="宋体" w:hint="ascii"/>
          <w:sz w:val="21"/>
          <w:spacing w:val="-6"/>
        </w:rPr>
        <w:t>理</w:t>
      </w:r>
      <w:r>
        <w:rPr>
          <w:rFonts w:ascii="宋体" w:hAnsi="宋体" w:cs="宋体" w:eastAsia="宋体" w:hint="ascii"/>
          <w:sz w:val="21"/>
          <w:spacing w:val="-1"/>
        </w:rPr>
        <w:t>解，把握“</w:t>
      </w:r>
      <w:r>
        <w:rPr>
          <w:rFonts w:ascii="宋体" w:hAnsi="宋体" w:cs="宋体" w:eastAsia="宋体" w:hint="ascii"/>
          <w:sz w:val="21"/>
        </w:rPr>
        <w:t>智能电网联合基金”的定位，紧密围绕电网的实际问题和需求，凝练科学问</w:t>
      </w:r>
      <w:r>
        <w:rPr>
          <w:rFonts w:ascii="宋体" w:hAnsi="宋体" w:cs="宋体" w:eastAsia="宋体" w:hint="ascii"/>
          <w:sz w:val="21"/>
          <w:spacing w:val="-1"/>
        </w:rPr>
        <w:t>题，聚焦研</w:t>
      </w:r>
      <w:r>
        <w:rPr>
          <w:rFonts w:ascii="宋体" w:hAnsi="宋体" w:cs="宋体" w:eastAsia="宋体" w:hint="ascii"/>
          <w:sz w:val="21"/>
        </w:rPr>
        <w:t>究方向，鼓励与国家电网公司系统单位联合申报项目。对于合作申请的研究</w:t>
      </w:r>
      <w:r>
        <w:rPr>
          <w:rFonts w:ascii="宋体" w:hAnsi="宋体" w:cs="宋体" w:eastAsia="宋体" w:hint="ascii"/>
          <w:sz w:val="21"/>
          <w:spacing w:val="-1"/>
        </w:rPr>
        <w:t>项目，应在</w:t>
      </w:r>
      <w:r>
        <w:rPr>
          <w:rFonts w:ascii="宋体" w:hAnsi="宋体" w:cs="宋体" w:eastAsia="宋体" w:hint="ascii"/>
          <w:sz w:val="21"/>
        </w:rPr>
        <w:t>申请书中明确合作各方的合作内容、主要分工等。</w:t>
      </w:r>
      <w:r>
        <w:rPr>
          <w:rFonts w:ascii="宋体" w:hAnsi="宋体" w:cs="宋体" w:eastAsia="宋体" w:hint="ascii"/>
          <w:sz w:val="21"/>
        </w:rPr>
        <w:t>重点支持项目合作研究单位不得超</w:t>
      </w:r>
      <w:r>
        <w:rPr>
          <w:rFonts w:ascii="宋体" w:hAnsi="宋体" w:cs="宋体" w:eastAsia="宋体" w:hint="ascii"/>
          <w:sz w:val="21"/>
          <w:spacing w:val="26"/>
        </w:rPr>
        <w:t>过</w:t>
      </w:r>
      <w:r>
        <w:rPr>
          <w:rFonts w:ascii="Times New Roman" w:hAnsi="Times New Roman" w:cs="Times New Roman" w:eastAsia="Times New Roman" w:hint="ascii"/>
          <w:b w:val="1"/>
          <w:sz w:val="21"/>
          <w:spacing w:val="52"/>
        </w:rPr>
        <w:t>2</w:t>
      </w:r>
      <w:r>
        <w:rPr>
          <w:rFonts w:ascii="宋体" w:hAnsi="宋体" w:cs="宋体" w:eastAsia="宋体" w:hint="ascii"/>
          <w:sz w:val="21"/>
        </w:rPr>
        <w:t>个，集成项目合作研究单位不得超</w:t>
      </w:r>
      <w:r>
        <w:rPr>
          <w:rFonts w:ascii="宋体" w:hAnsi="宋体" w:cs="宋体" w:eastAsia="宋体" w:hint="ascii"/>
          <w:sz w:val="21"/>
          <w:spacing w:val="26"/>
        </w:rPr>
        <w:t>过</w:t>
      </w:r>
      <w:r>
        <w:rPr>
          <w:rFonts w:ascii="Times New Roman" w:hAnsi="Times New Roman" w:cs="Times New Roman" w:eastAsia="Times New Roman" w:hint="ascii"/>
          <w:b w:val="1"/>
          <w:sz w:val="21"/>
          <w:spacing w:val="52"/>
        </w:rPr>
        <w:t>3</w:t>
      </w:r>
      <w:r>
        <w:rPr>
          <w:rFonts w:ascii="宋体" w:hAnsi="宋体" w:cs="宋体" w:eastAsia="宋体" w:hint="ascii"/>
          <w:sz w:val="21"/>
        </w:rPr>
        <w:t>个</w:t>
      </w:r>
      <w:r>
        <w:rPr>
          <w:rFonts w:ascii="宋体" w:hAnsi="宋体" w:cs="宋体" w:eastAsia="宋体" w:hint="ascii"/>
          <w:b w:val="1"/>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研究内容和</w:t>
      </w:r>
      <w:r>
        <w:rPr>
          <w:rFonts w:ascii="宋体" w:hAnsi="宋体" w:cs="宋体" w:eastAsia="宋体" w:hint="ascii"/>
          <w:sz w:val="21"/>
        </w:rPr>
        <w:t>目标等由申请人提出，要求申请人按照重点支持项目申请书撰写提纲撰写申</w:t>
      </w:r>
      <w:r>
        <w:rPr>
          <w:rFonts w:ascii="宋体" w:hAnsi="宋体" w:cs="宋体" w:eastAsia="宋体" w:hint="ascii"/>
          <w:sz w:val="21"/>
          <w:spacing w:val="-1"/>
        </w:rPr>
        <w:t>请书。如果</w:t>
      </w:r>
      <w:r>
        <w:rPr>
          <w:rFonts w:ascii="宋体" w:hAnsi="宋体" w:cs="宋体" w:eastAsia="宋体" w:hint="ascii"/>
          <w:sz w:val="21"/>
        </w:rPr>
        <w:t>申请人已经承担与本联合基金相关的国家其他科技计划项目，应当在申请书正文的“研究基础与工作条件”部分论述申请项目与其他相关项目的区别与联系。</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）资助项目在执行期间取得的研究成果，包括发表论文、专著、专利、奖励等，</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rPr>
        <w:t>必须标注“国家自然科学基金委员会</w:t>
      </w:r>
      <w:r>
        <w:rPr>
          <w:rFonts w:ascii="宋体" w:hAnsi="宋体" w:cs="宋体" w:eastAsia="宋体" w:hint="ascii"/>
          <w:sz w:val="21"/>
        </w:rPr>
        <w:t>-</w:t>
      </w:r>
      <w:r>
        <w:rPr>
          <w:rFonts w:ascii="宋体" w:hAnsi="宋体" w:cs="宋体" w:eastAsia="宋体" w:hint="ascii"/>
          <w:sz w:val="21"/>
        </w:rPr>
        <w:t>国家电网公司智能电网联合基金”资助。如涉及国家电网公司有关生产和技术秘密，需经国家电网公司审查同意。</w:t>
      </w:r>
    </w:p>
    <w:p>
      <w:pPr>
        <w:autoSpaceDE w:val="0"/>
        <w:autoSpaceDN w:val="0"/>
        <w:jc w:val="both"/>
        <w:spacing w:before="0" w:after="0" w:lineRule="exact" w:line="312"/>
        <w:ind w:right="977" w:left="966" w:firstLine="316"/>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6</w:t>
      </w:r>
      <w:r>
        <w:rPr>
          <w:rFonts w:ascii="宋体" w:hAnsi="宋体" w:cs="宋体" w:eastAsia="宋体" w:hint="ascii"/>
          <w:sz w:val="21"/>
          <w:spacing w:val="-1"/>
        </w:rPr>
        <w:t>）凡与国</w:t>
      </w:r>
      <w:r>
        <w:rPr>
          <w:rFonts w:ascii="宋体" w:hAnsi="宋体" w:cs="宋体" w:eastAsia="宋体" w:hint="ascii"/>
          <w:sz w:val="21"/>
        </w:rPr>
        <w:t>家电网公司系统单位联合申请的项目，由牵头或参与项目的国家电网公司系统单位负责在国家电网公司科技部备案。</w:t>
      </w:r>
      <w:rPr>
        <w:rFonts w:ascii="宋体" w:hAnsi="宋体" w:cs="宋体" w:eastAsia="宋体" w:hint="ascii"/>
        <w:sz w:val="21"/>
      </w:rP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p>
    <w:p>
      <w:pPr>
        <w:autoSpaceDE w:val="0"/>
        <w:autoSpaceDN w:val="0"/>
        <w:jc w:val="left"/>
        <w:spacing w:before="197" w:after="0" w:lineRule="exact" w:line="263"/>
        <w:ind w:right="0" w:left="1387"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w:t>
      </w:r>
    </w:p>
    <w:p>
      <w:pPr>
        <w:autoSpaceDE w:val="0"/>
        <w:autoSpaceDN w:val="0"/>
        <w:jc w:val="left"/>
        <w:spacing w:before="49" w:after="0" w:lineRule="exact" w:line="263"/>
        <w:ind w:right="0" w:left="1352"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32"/>
        </w:rPr>
        <w:t xml:space="preserve"> </w:t>
      </w:r>
      <w:r>
        <w:rPr>
          <w:rFonts w:ascii="宋体" w:hAnsi="宋体" w:cs="宋体" w:eastAsia="宋体" w:hint="ascii"/>
          <w:sz w:val="21"/>
          <w:spacing w:val="-5"/>
        </w:rPr>
        <w:t>址：北京市海淀区双清</w:t>
      </w:r>
      <w:r>
        <w:rPr>
          <w:rFonts w:ascii="宋体" w:hAnsi="宋体" w:cs="宋体" w:eastAsia="宋体" w:hint="ascii"/>
          <w:sz w:val="21"/>
          <w:spacing w:val="20"/>
        </w:rPr>
        <w:t>路</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45"/>
        </w:rPr>
        <w:t>3</w:t>
      </w:r>
      <w:r>
        <w:rPr>
          <w:rFonts w:ascii="宋体" w:hAnsi="宋体" w:cs="宋体" w:eastAsia="宋体" w:hint="ascii"/>
          <w:sz w:val="21"/>
        </w:rPr>
        <w:t>号</w:t>
      </w:r>
    </w:p>
    <w:p>
      <w:pPr>
        <w:autoSpaceDE w:val="0"/>
        <w:autoSpaceDN w:val="0"/>
        <w:jc w:val="left"/>
        <w:spacing w:before="49" w:after="0" w:lineRule="exact" w:line="263"/>
        <w:ind w:right="0" w:left="1352"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1</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00</w:t>
      </w:r>
      <w:r>
        <w:rPr>
          <w:rFonts w:ascii="Times New Roman" w:hAnsi="Times New Roman" w:cs="Times New Roman" w:eastAsia="Times New Roman" w:hint="ascii"/>
          <w:sz w:val="21"/>
        </w:rPr>
        <w:t>85</w:t>
      </w:r>
    </w:p>
    <w:p>
      <w:pPr>
        <w:autoSpaceDE w:val="0"/>
        <w:autoSpaceDN w:val="0"/>
        <w:jc w:val="left"/>
        <w:spacing w:before="49" w:after="0" w:lineRule="exact" w:line="263"/>
        <w:ind w:right="0" w:left="1352"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雷</w:t>
      </w:r>
      <w:r>
        <w:rPr>
          <w:rFonts w:ascii="宋体" w:hAnsi="宋体" w:cs="宋体" w:eastAsia="宋体" w:hint="ascii"/>
          <w:sz w:val="21"/>
          <w:spacing w:val="43"/>
        </w:rPr>
        <w:t xml:space="preserve"> </w:t>
      </w:r>
      <w:r>
        <w:rPr>
          <w:rFonts w:ascii="宋体" w:hAnsi="宋体" w:cs="宋体" w:eastAsia="宋体" w:hint="ascii"/>
          <w:sz w:val="21"/>
        </w:rPr>
        <w:t>蓉</w:t>
      </w:r>
      <w:r>
        <w:rPr>
          <w:rFonts w:ascii="宋体" w:hAnsi="宋体" w:cs="宋体" w:eastAsia="宋体" w:hint="ascii"/>
          <w:sz w:val="21"/>
          <w:spacing w:val="42"/>
        </w:rPr>
        <w:t xml:space="preserve"> </w:t>
      </w:r>
      <w:r>
        <w:rPr>
          <w:rFonts w:ascii="宋体" w:hAnsi="宋体" w:cs="宋体" w:eastAsia="宋体" w:hint="ascii"/>
          <w:sz w:val="21"/>
        </w:rPr>
        <w:t>王</w:t>
      </w:r>
      <w:r>
        <w:rPr>
          <w:rFonts w:ascii="宋体" w:hAnsi="宋体" w:cs="宋体" w:eastAsia="宋体" w:hint="ascii"/>
          <w:sz w:val="21"/>
          <w:spacing w:val="42"/>
        </w:rPr>
        <w:t xml:space="preserve"> </w:t>
      </w:r>
      <w:r>
        <w:rPr>
          <w:rFonts w:ascii="宋体" w:hAnsi="宋体" w:cs="宋体" w:eastAsia="宋体" w:hint="ascii"/>
          <w:sz w:val="21"/>
        </w:rPr>
        <w:t>岩</w:t>
      </w:r>
    </w:p>
    <w:p>
      <w:pPr>
        <w:autoSpaceDE w:val="0"/>
        <w:autoSpaceDN w:val="0"/>
        <w:jc w:val="both"/>
        <w:spacing w:before="10" w:after="0" w:lineRule="exact" w:line="312"/>
        <w:ind w:right="0" w:left="1347"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3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7"/>
        </w:rPr>
        <w:t>0</w:t>
      </w:r>
      <w:r>
        <w:rPr>
          <w:rFonts w:ascii="宋体" w:hAnsi="宋体" w:cs="宋体" w:eastAsia="宋体" w:hint="ascii"/>
          <w:sz w:val="21"/>
          <w:spacing w:val="-7"/>
        </w:rPr>
        <w:t>-</w:t>
      </w:r>
      <w:r>
        <w:rPr>
          <w:rFonts w:ascii="Times New Roman" w:hAnsi="Times New Roman" w:cs="Times New Roman" w:eastAsia="Times New Roman" w:hint="ascii"/>
          <w:sz w:val="21"/>
          <w:spacing w:val="-6"/>
        </w:rPr>
        <w:t>6</w:t>
      </w:r>
      <w:r>
        <w:rPr>
          <w:rFonts w:ascii="Times New Roman" w:hAnsi="Times New Roman" w:cs="Times New Roman" w:eastAsia="Times New Roman" w:hint="ascii"/>
          <w:sz w:val="21"/>
          <w:spacing w:val="-7"/>
        </w:rPr>
        <w:t>23</w:t>
      </w:r>
      <w:r>
        <w:rPr>
          <w:rFonts w:ascii="Times New Roman" w:hAnsi="Times New Roman" w:cs="Times New Roman" w:eastAsia="Times New Roman" w:hint="ascii"/>
          <w:sz w:val="21"/>
          <w:spacing w:val="-6"/>
        </w:rPr>
        <w:t>2</w:t>
      </w:r>
      <w:r>
        <w:rPr>
          <w:rFonts w:ascii="Times New Roman" w:hAnsi="Times New Roman" w:cs="Times New Roman" w:eastAsia="Times New Roman" w:hint="ascii"/>
          <w:sz w:val="21"/>
          <w:spacing w:val="-7"/>
        </w:rPr>
        <w:t>84</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7"/>
        </w:rPr>
        <w:t>4</w:t>
      </w:r>
      <w:r>
        <w:rPr>
          <w:rFonts w:ascii="宋体" w:hAnsi="宋体" w:cs="宋体" w:eastAsia="宋体" w:hint="ascii"/>
          <w:sz w:val="21"/>
          <w:spacing w:val="-7"/>
        </w:rPr>
        <w:t>，</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7"/>
        </w:rPr>
        <w:t>0</w:t>
      </w:r>
      <w:r>
        <w:rPr>
          <w:rFonts w:ascii="宋体" w:hAnsi="宋体" w:cs="宋体" w:eastAsia="宋体" w:hint="ascii"/>
          <w:sz w:val="21"/>
          <w:spacing w:val="-7"/>
        </w:rPr>
        <w:t>-</w:t>
      </w:r>
      <w:r>
        <w:rPr>
          <w:rFonts w:ascii="Times New Roman" w:hAnsi="Times New Roman" w:cs="Times New Roman" w:eastAsia="Times New Roman" w:hint="ascii"/>
          <w:sz w:val="21"/>
          <w:spacing w:val="-6"/>
        </w:rPr>
        <w:t>6</w:t>
      </w:r>
      <w:r>
        <w:rPr>
          <w:rFonts w:ascii="Times New Roman" w:hAnsi="Times New Roman" w:cs="Times New Roman" w:eastAsia="Times New Roman" w:hint="ascii"/>
          <w:sz w:val="21"/>
          <w:spacing w:val="-7"/>
        </w:rPr>
        <w:t>23</w:t>
      </w:r>
      <w:r>
        <w:rPr>
          <w:rFonts w:ascii="Times New Roman" w:hAnsi="Times New Roman" w:cs="Times New Roman" w:eastAsia="Times New Roman" w:hint="ascii"/>
          <w:sz w:val="21"/>
          <w:spacing w:val="-6"/>
        </w:rPr>
        <w:t>270</w:t>
      </w:r>
      <w:r>
        <w:rPr>
          <w:rFonts w:ascii="Times New Roman" w:hAnsi="Times New Roman" w:cs="Times New Roman" w:eastAsia="Times New Roman" w:hint="ascii"/>
          <w:sz w:val="21"/>
          <w:spacing w:val="-5"/>
        </w:rPr>
        <w:t>1</w:t>
      </w: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6"/>
        </w:rPr>
        <w:t>l</w:t>
      </w:r>
      <w:r>
        <w:rPr>
          <w:rFonts w:ascii="Times New Roman" w:hAnsi="Times New Roman" w:cs="Times New Roman" w:eastAsia="Times New Roman" w:hint="ascii"/>
          <w:sz w:val="21"/>
          <w:spacing w:val="-4"/>
        </w:rPr>
        <w:t>ei</w:t>
      </w:r>
      <w:r>
        <w:rPr>
          <w:rFonts w:ascii="Times New Roman" w:hAnsi="Times New Roman" w:cs="Times New Roman" w:eastAsia="Times New Roman" w:hint="ascii"/>
          <w:sz w:val="21"/>
          <w:spacing w:val="-6"/>
        </w:rPr>
        <w:t>r</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4"/>
        </w:rPr>
        <w:t>f</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5"/>
        </w:rPr>
        <w:t>go</w:t>
      </w:r>
      <w:r>
        <w:rPr>
          <w:rFonts w:ascii="Times New Roman" w:hAnsi="Times New Roman" w:cs="Times New Roman" w:eastAsia="Times New Roman" w:hint="ascii"/>
          <w:sz w:val="21"/>
          <w:spacing w:val="-17"/>
        </w:rPr>
        <w:t>v</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2349"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spacing w:val="-5"/>
        </w:rPr>
        <w:t>w</w:t>
      </w:r>
      <w:r>
        <w:rPr>
          <w:rFonts w:ascii="Times New Roman" w:hAnsi="Times New Roman" w:cs="Times New Roman" w:eastAsia="Times New Roman" w:hint="ascii"/>
          <w:sz w:val="21"/>
          <w:spacing w:val="-4"/>
        </w:rPr>
        <w:t>a</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y</w:t>
      </w:r>
      <w:r>
        <w:rPr>
          <w:rFonts w:ascii="Times New Roman" w:hAnsi="Times New Roman" w:cs="Times New Roman" w:eastAsia="Times New Roman" w:hint="ascii"/>
          <w:sz w:val="21"/>
          <w:spacing w:val="-4"/>
        </w:rPr>
        <w:t>an</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6"/>
        </w:rPr>
        <w:t>f</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661"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spacing w:val="-5"/>
        </w:rPr>
        <w:t>国家电网公司科技</w:t>
      </w:r>
      <w:r>
        <w:rPr>
          <w:rFonts w:ascii="宋体" w:hAnsi="宋体" w:cs="宋体" w:eastAsia="宋体" w:hint="ascii"/>
          <w:sz w:val="21"/>
        </w:rPr>
        <w:t>部</w:t>
      </w:r>
    </w:p>
    <w:p>
      <w:pPr>
        <w:autoSpaceDE w:val="0"/>
        <w:autoSpaceDN w:val="0"/>
        <w:jc w:val="both"/>
        <w:spacing w:before="10" w:after="0" w:lineRule="exact" w:line="312"/>
        <w:ind w:right="924"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07"/>
        </w:rPr>
        <w:t xml:space="preserve"> </w:t>
      </w:r>
      <w:r>
        <w:rPr>
          <w:rFonts w:ascii="宋体" w:hAnsi="宋体" w:cs="宋体" w:eastAsia="宋体" w:hint="ascii"/>
          <w:sz w:val="21"/>
          <w:spacing w:val="-11"/>
        </w:rPr>
        <w:t>址：北京</w:t>
      </w:r>
      <w:r>
        <w:rPr>
          <w:rFonts w:ascii="宋体" w:hAnsi="宋体" w:cs="宋体" w:eastAsia="宋体" w:hint="ascii"/>
          <w:sz w:val="21"/>
          <w:spacing w:val="-10"/>
        </w:rPr>
        <w:t>市西城区宣武门内大</w:t>
      </w:r>
      <w:r>
        <w:rPr>
          <w:rFonts w:ascii="宋体" w:hAnsi="宋体" w:cs="宋体" w:eastAsia="宋体" w:hint="ascii"/>
          <w:sz w:val="21"/>
          <w:spacing w:val="14"/>
        </w:rPr>
        <w:t>街</w:t>
      </w:r>
      <w:r>
        <w:rPr>
          <w:rFonts w:ascii="Times New Roman" w:hAnsi="Times New Roman" w:cs="Times New Roman" w:eastAsia="Times New Roman" w:hint="ascii"/>
          <w:sz w:val="21"/>
          <w:spacing w:val="37"/>
        </w:rPr>
        <w:t>8</w:t>
      </w:r>
      <w:r>
        <w:rPr>
          <w:rFonts w:ascii="宋体" w:hAnsi="宋体" w:cs="宋体" w:eastAsia="宋体" w:hint="ascii"/>
          <w:sz w:val="21"/>
        </w:rPr>
        <w:t>号邮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10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03</w:t>
      </w:r>
      <w:r>
        <w:rPr>
          <w:rFonts w:ascii="Times New Roman" w:hAnsi="Times New Roman" w:cs="Times New Roman" w:eastAsia="Times New Roman" w:hint="ascii"/>
          <w:sz w:val="21"/>
        </w:rPr>
        <w:t>1</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周</w:t>
      </w:r>
      <w:r>
        <w:rPr>
          <w:rFonts w:ascii="宋体" w:hAnsi="宋体" w:cs="宋体" w:eastAsia="宋体" w:hint="ascii"/>
          <w:sz w:val="21"/>
          <w:spacing w:val="37"/>
        </w:rPr>
        <w:t xml:space="preserve"> </w:t>
      </w:r>
      <w:r>
        <w:rPr>
          <w:rFonts w:ascii="宋体" w:hAnsi="宋体" w:cs="宋体" w:eastAsia="宋体" w:hint="ascii"/>
          <w:sz w:val="21"/>
        </w:rPr>
        <w:t>翔</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32"/>
        </w:rPr>
        <w:t xml:space="preserve"> </w:t>
      </w:r>
      <w:r>
        <w:rPr>
          <w:rFonts w:ascii="宋体" w:hAnsi="宋体" w:cs="宋体" w:eastAsia="宋体" w:hint="ascii"/>
          <w:sz w:val="21"/>
          <w:spacing w:val="-5"/>
        </w:rPr>
        <w:t>话：</w:t>
      </w:r>
      <w:r>
        <w:rPr>
          <w:rFonts w:ascii="Times New Roman" w:hAnsi="Times New Roman" w:cs="Times New Roman" w:eastAsia="Times New Roman" w:hint="ascii"/>
          <w:sz w:val="21"/>
          <w:spacing w:val="-5"/>
        </w:rPr>
        <w:t>01</w:t>
      </w:r>
      <w:r>
        <w:rPr>
          <w:rFonts w:ascii="Times New Roman" w:hAnsi="Times New Roman" w:cs="Times New Roman" w:eastAsia="Times New Roman" w:hint="ascii"/>
          <w:sz w:val="21"/>
          <w:spacing w:val="-4"/>
        </w:rPr>
        <w:t>0</w:t>
      </w:r>
      <w:r>
        <w:rPr>
          <w:rFonts w:ascii="宋体" w:hAnsi="宋体" w:cs="宋体" w:eastAsia="宋体" w:hint="ascii"/>
          <w:sz w:val="21"/>
          <w:spacing w:val="-5"/>
        </w:rPr>
        <w:t>-</w:t>
      </w:r>
      <w:r>
        <w:rPr>
          <w:rFonts w:ascii="Times New Roman" w:hAnsi="Times New Roman" w:cs="Times New Roman" w:eastAsia="Times New Roman" w:hint="ascii"/>
          <w:sz w:val="21"/>
          <w:spacing w:val="-5"/>
        </w:rPr>
        <w:t>6</w:t>
      </w:r>
      <w:r>
        <w:rPr>
          <w:rFonts w:ascii="Times New Roman" w:hAnsi="Times New Roman" w:cs="Times New Roman" w:eastAsia="Times New Roman" w:hint="ascii"/>
          <w:sz w:val="21"/>
          <w:spacing w:val="-4"/>
        </w:rPr>
        <w:t>6</w:t>
      </w:r>
      <w:r>
        <w:rPr>
          <w:rFonts w:ascii="Times New Roman" w:hAnsi="Times New Roman" w:cs="Times New Roman" w:eastAsia="Times New Roman" w:hint="ascii"/>
          <w:sz w:val="21"/>
          <w:spacing w:val="-5"/>
        </w:rPr>
        <w:t>59</w:t>
      </w:r>
      <w:r>
        <w:rPr>
          <w:rFonts w:ascii="Times New Roman" w:hAnsi="Times New Roman" w:cs="Times New Roman" w:eastAsia="Times New Roman" w:hint="ascii"/>
          <w:sz w:val="21"/>
          <w:spacing w:val="-4"/>
        </w:rPr>
        <w:t>7</w:t>
      </w:r>
      <w:r>
        <w:rPr>
          <w:rFonts w:ascii="Times New Roman" w:hAnsi="Times New Roman" w:cs="Times New Roman" w:eastAsia="Times New Roman" w:hint="ascii"/>
          <w:sz w:val="21"/>
          <w:spacing w:val="-5"/>
        </w:rPr>
        <w:t>85</w:t>
      </w:r>
      <w:r>
        <w:rPr>
          <w:rFonts w:ascii="Times New Roman" w:hAnsi="Times New Roman" w:cs="Times New Roman" w:eastAsia="Times New Roman" w:hint="ascii"/>
          <w:sz w:val="21"/>
        </w:rPr>
        <w:t>9</w:t>
      </w:r>
    </w:p>
    <w:p>
      <w:pPr>
        <w:autoSpaceDE w:val="0"/>
        <w:autoSpaceDN w:val="0"/>
        <w:jc w:val="left"/>
        <w:spacing w:before="49" w:after="0" w:lineRule="exact" w:line="263"/>
        <w:ind w:right="0" w:left="0" w:firstLine="0"/>
        <w:snapToGrid w:val="0"/>
        <w:textAlignment w:val="auto"/>
        <w:tabs/>
        <w:sectPr>
          <w:type w:val="continuous"/>
          <w:pgSz w:w="10940" w:h="15080" w:orient="portrait"/>
          <w:pgMar w:top="508" w:right="508" w:bottom="508" w:left="508" w:header="0" w:footer="0" w:gutter="0"/>
          <w:cols w:num="2" w:space="0" w:equalWidth="0">
            <w:col w:w="4938" w:space="471"/>
            <w:col w:w="4515"/>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spacing w:val="-5"/>
        </w:rPr>
        <w:t>电子邮件：</w:t>
      </w:r>
      <w:r>
        <w:rPr>
          <w:rFonts w:ascii="Times New Roman" w:hAnsi="Times New Roman" w:cs="Times New Roman" w:eastAsia="Times New Roman" w:hint="ascii"/>
          <w:sz w:val="21"/>
          <w:spacing w:val="-4"/>
        </w:rPr>
        <w:t>j</w:t>
      </w:r>
      <w:r>
        <w:rPr>
          <w:rFonts w:ascii="Times New Roman" w:hAnsi="Times New Roman" w:cs="Times New Roman" w:eastAsia="Times New Roman" w:hint="ascii"/>
          <w:sz w:val="21"/>
          <w:spacing w:val="-6"/>
        </w:rPr>
        <w:t>s</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spacing w:val="-4"/>
        </w:rPr>
        <w:t>2</w:t>
      </w:r>
      <w:r>
        <w:rPr>
          <w:rFonts w:ascii="Times New Roman" w:hAnsi="Times New Roman" w:cs="Times New Roman" w:eastAsia="Times New Roman" w:hint="ascii"/>
          <w:sz w:val="21"/>
          <w:spacing w:val="-5"/>
        </w:rPr>
        <w:t>@sg</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7"/>
        </w:rPr>
        <w:t>m</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rPr>
        <w:t>n</w:t>
      </w:r>
      <w:rPr>
        <w:rFonts w:ascii="Times New Roman" w:hAnsi="Times New Roman" w:cs="Times New Roman" w:eastAsia="Times New Roman" w:hint="ascii"/>
        <w:sz w:val="21"/>
      </w:rPr>
    </w:p>
    <w:p>
      <w:pPr>
        <w:autoSpaceDE w:val="0"/>
        <w:autoSpaceDN w:val="0"/>
        <w:jc w:val="left"/>
        <w:spacing w:before="509" w:after="0" w:lineRule="auto" w:line="240"/>
        <w:ind w:right="0" w:left="3210"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spacing w:val="31"/>
        </w:rPr>
        <w:t>-</w:t>
      </w:r>
      <w:r>
        <w:rPr>
          <w:rFonts w:ascii="宋体" w:hAnsi="宋体" w:cs="宋体" w:eastAsia="宋体" w:hint="ascii"/>
          <w:sz w:val="38"/>
        </w:rPr>
        <w:t>广东联合基金</w:t>
      </w:r>
    </w:p>
    <w:p>
      <w:pPr>
        <w:autoSpaceDE w:val="0"/>
        <w:autoSpaceDN w:val="0"/>
        <w:jc w:val="right"/>
        <w:spacing w:before="291" w:after="0" w:lineRule="exact" w:line="312"/>
        <w:ind w:right="976" w:left="861" w:firstLine="524"/>
        <w:snapToGrid w:val="0"/>
        <w:textAlignment w:val="auto"/>
        <w:tabs/>
        <w:rPr>
          <w:rFonts w:ascii="宋体" w:hAnsi="宋体" w:cs="宋体" w:eastAsia="宋体" w:hint="ascii"/>
          <w:sz w:val="21"/>
        </w:rPr>
      </w:pPr>
      <w:r>
        <w:rPr>
          <w:rFonts w:ascii="宋体" w:hAnsi="宋体" w:cs="宋体" w:eastAsia="宋体" w:hint="ascii"/>
          <w:sz w:val="21"/>
          <w:spacing w:val="-2"/>
        </w:rPr>
        <w:t xml:space="preserve">自然科学基金委与广东省人民政府自 </w:t>
      </w:r>
      <w:r>
        <w:rPr>
          <w:rFonts w:ascii="Times New Roman" w:hAnsi="Times New Roman" w:cs="Times New Roman" w:eastAsia="Times New Roman" w:hint="ascii"/>
          <w:sz w:val="21"/>
          <w:spacing w:val="-2"/>
        </w:rPr>
        <w:t>2016</w:t>
      </w:r>
      <w:r>
        <w:rPr>
          <w:rFonts w:ascii="Times New Roman" w:hAnsi="Times New Roman" w:cs="Times New Roman" w:eastAsia="Times New Roman" w:hint="ascii"/>
          <w:sz w:val="21"/>
          <w:spacing w:val="-1"/>
        </w:rPr>
        <w:t xml:space="preserve"> </w:t>
      </w:r>
      <w:r>
        <w:rPr>
          <w:rFonts w:ascii="宋体" w:hAnsi="宋体" w:cs="宋体" w:eastAsia="宋体" w:hint="ascii"/>
          <w:sz w:val="21"/>
          <w:spacing w:val="-1"/>
        </w:rPr>
        <w:t>年</w:t>
      </w:r>
      <w:r>
        <w:rPr>
          <w:rFonts w:ascii="宋体" w:hAnsi="宋体" w:cs="宋体" w:eastAsia="宋体" w:hint="ascii"/>
          <w:sz w:val="21"/>
          <w:spacing w:val="-1"/>
        </w:rPr>
        <w:t xml:space="preserve">至 </w:t>
      </w:r>
      <w:r>
        <w:rPr>
          <w:rFonts w:ascii="Times New Roman" w:hAnsi="Times New Roman" w:cs="Times New Roman" w:eastAsia="Times New Roman" w:hint="ascii"/>
          <w:sz w:val="21"/>
          <w:spacing w:val="-1"/>
        </w:rPr>
        <w:t xml:space="preserve">2020 </w:t>
      </w:r>
      <w:r>
        <w:rPr>
          <w:rFonts w:ascii="宋体" w:hAnsi="宋体" w:cs="宋体" w:eastAsia="宋体" w:hint="ascii"/>
          <w:sz w:val="21"/>
          <w:spacing w:val="-1"/>
        </w:rPr>
        <w:t>年共同设立第三期联合基金</w:t>
      </w:r>
      <w:r>
        <w:rPr>
          <w:rFonts w:ascii="宋体" w:hAnsi="宋体" w:cs="宋体" w:eastAsia="宋体" w:hint="ascii"/>
          <w:sz w:val="21"/>
        </w:rPr>
        <w:t xml:space="preserve"> （以下简称 </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广东联合基金</w:t>
      </w:r>
      <w:r>
        <w:rPr>
          <w:rFonts w:ascii="宋体" w:hAnsi="宋体" w:cs="宋体" w:eastAsia="宋体" w:hint="ascii"/>
          <w:sz w:val="21"/>
          <w:spacing w:val="-52"/>
        </w:rPr>
        <w:t>）</w:t>
      </w:r>
      <w:r>
        <w:rPr>
          <w:rFonts w:ascii="宋体" w:hAnsi="宋体" w:cs="宋体" w:eastAsia="宋体" w:hint="ascii"/>
          <w:sz w:val="21"/>
        </w:rPr>
        <w:t>，旨在发挥国家自然科学基金的导向作用，吸引和汇聚全国优秀科学家，重点解决广东省及周边区域经济社会、科技战略发展的重大科学问题和关键技术问题，带动广东省科技发展和人才队伍的建设，提升在广东地区高等院校</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和科研院所的自主创新能力和国际竞争力，促进广东省经济和社会可持续发展。</w:t>
      </w:r>
    </w:p>
    <w:p>
      <w:pPr>
        <w:autoSpaceDE w:val="0"/>
        <w:autoSpaceDN w:val="0"/>
        <w:jc w:val="both"/>
        <w:spacing w:before="10" w:after="0" w:lineRule="exact" w:line="312"/>
        <w:ind w:right="976"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宋体" w:hAnsi="宋体" w:cs="宋体" w:eastAsia="宋体" w:hint="ascii"/>
          <w:sz w:val="21"/>
          <w:spacing w:val="8"/>
        </w:rPr>
        <w:t>-</w:t>
      </w:r>
      <w:r>
        <w:rPr>
          <w:rFonts w:ascii="宋体" w:hAnsi="宋体" w:cs="宋体" w:eastAsia="宋体" w:hint="ascii"/>
          <w:sz w:val="21"/>
        </w:rPr>
        <w:t>广东联合基</w:t>
      </w:r>
      <w:r>
        <w:rPr>
          <w:rFonts w:ascii="宋体" w:hAnsi="宋体" w:cs="宋体" w:eastAsia="宋体" w:hint="ascii"/>
          <w:sz w:val="21"/>
          <w:spacing w:val="-4"/>
        </w:rPr>
        <w:t>金</w:t>
      </w:r>
      <w:r>
        <w:rPr>
          <w:rFonts w:ascii="宋体" w:hAnsi="宋体" w:cs="宋体" w:eastAsia="宋体" w:hint="ascii"/>
          <w:sz w:val="21"/>
        </w:rPr>
        <w:t xml:space="preserve"> </w:t>
      </w:r>
      <w:r>
        <w:rPr>
          <w:rFonts w:ascii="Times New Roman" w:hAnsi="Times New Roman" w:cs="Times New Roman" w:eastAsia="Times New Roman" w:hint="ascii"/>
          <w:sz w:val="21"/>
        </w:rPr>
        <w:t xml:space="preserve">2018 </w:t>
      </w:r>
      <w:r>
        <w:rPr>
          <w:rFonts w:ascii="宋体" w:hAnsi="宋体" w:cs="宋体" w:eastAsia="宋体" w:hint="ascii"/>
          <w:sz w:val="21"/>
        </w:rPr>
        <w:t>年度接收下述研究领域的重点支持项目或集成项目</w:t>
      </w:r>
      <w:r>
        <w:rPr>
          <w:rFonts w:ascii="宋体" w:hAnsi="宋体" w:cs="宋体" w:eastAsia="宋体" w:hint="ascii"/>
          <w:sz w:val="21"/>
          <w:spacing w:val="-7"/>
        </w:rPr>
        <w:t>申</w:t>
      </w:r>
      <w:r>
        <w:rPr>
          <w:rFonts w:ascii="宋体" w:hAnsi="宋体" w:cs="宋体" w:eastAsia="宋体" w:hint="ascii"/>
          <w:sz w:val="21"/>
        </w:rPr>
        <w:t xml:space="preserve"> </w:t>
      </w:r>
      <w:r>
        <w:rPr>
          <w:rFonts w:ascii="宋体" w:hAnsi="宋体" w:cs="宋体" w:eastAsia="宋体" w:hint="ascii"/>
          <w:sz w:val="21"/>
          <w:spacing w:val="-1"/>
        </w:rPr>
        <w:t>请。其中重</w:t>
      </w:r>
      <w:r>
        <w:rPr>
          <w:rFonts w:ascii="宋体" w:hAnsi="宋体" w:cs="宋体" w:eastAsia="宋体" w:hint="ascii"/>
          <w:sz w:val="21"/>
        </w:rPr>
        <w:t>点支持项目直接费用平均资助强度约为</w:t>
      </w:r>
      <w:r>
        <w:rPr>
          <w:rFonts w:ascii="宋体" w:hAnsi="宋体" w:cs="宋体" w:eastAsia="宋体" w:hint="ascii"/>
          <w:sz w:val="21"/>
          <w:spacing w:val="-7"/>
        </w:rPr>
        <w:t xml:space="preserve"> </w:t>
      </w:r>
      <w:r>
        <w:rPr>
          <w:rFonts w:ascii="Times New Roman" w:hAnsi="Times New Roman" w:cs="Times New Roman" w:eastAsia="Times New Roman" w:hint="ascii"/>
          <w:sz w:val="21"/>
        </w:rPr>
        <w:t>300</w:t>
      </w:r>
      <w:r>
        <w:rPr>
          <w:rFonts w:ascii="Times New Roman" w:hAnsi="Times New Roman" w:cs="Times New Roman" w:eastAsia="Times New Roman" w:hint="ascii"/>
          <w:sz w:val="21"/>
          <w:spacing w:val="-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7"/>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7"/>
        </w:rPr>
        <w:t xml:space="preserve"> </w:t>
      </w:r>
      <w:r>
        <w:rPr>
          <w:rFonts w:ascii="宋体" w:hAnsi="宋体" w:cs="宋体" w:eastAsia="宋体" w:hint="ascii"/>
          <w:sz w:val="21"/>
        </w:rPr>
        <w:t>年；集</w:t>
      </w:r>
      <w:r>
        <w:rPr>
          <w:rFonts w:ascii="宋体" w:hAnsi="宋体" w:cs="宋体" w:eastAsia="宋体" w:hint="ascii"/>
          <w:sz w:val="21"/>
          <w:spacing w:val="-1"/>
        </w:rPr>
        <w:t>成项目直接费用</w:t>
      </w:r>
      <w:r>
        <w:rPr>
          <w:rFonts w:ascii="宋体" w:hAnsi="宋体" w:cs="宋体" w:eastAsia="宋体" w:hint="ascii"/>
          <w:sz w:val="21"/>
        </w:rPr>
        <w:t xml:space="preserve">平均资助强度约为 </w:t>
      </w:r>
      <w:r>
        <w:rPr>
          <w:rFonts w:ascii="Times New Roman" w:hAnsi="Times New Roman" w:cs="Times New Roman" w:eastAsia="Times New Roman" w:hint="ascii"/>
          <w:sz w:val="21"/>
        </w:rPr>
        <w:t xml:space="preserve">1 400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 xml:space="preserve">项，资助期限为 </w:t>
      </w:r>
      <w:r>
        <w:rPr>
          <w:rFonts w:ascii="Times New Roman" w:hAnsi="Times New Roman" w:cs="Times New Roman" w:eastAsia="Times New Roman" w:hint="ascii"/>
          <w:sz w:val="21"/>
        </w:rPr>
        <w:t xml:space="preserve">4 </w:t>
      </w:r>
      <w:r>
        <w:rPr>
          <w:rFonts w:ascii="宋体" w:hAnsi="宋体" w:cs="宋体" w:eastAsia="宋体" w:hint="ascii"/>
          <w:sz w:val="21"/>
        </w:rPr>
        <w:t>年。</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广东联合基金面向全国，欢迎符合条件的科学技术人员按照本《指南》范围和要求提出申请。</w:t>
      </w:r>
    </w:p>
    <w:p>
      <w:pPr>
        <w:autoSpaceDE w:val="0"/>
        <w:autoSpaceDN w:val="0"/>
        <w:jc w:val="left"/>
        <w:spacing w:before="592"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一、集成项目</w:t>
      </w:r>
      <w:r>
        <w:rPr>
          <w:rFonts w:ascii="宋体" w:hAnsi="宋体" w:cs="宋体" w:eastAsia="宋体" w:hint="ascii"/>
        </w:rPr>
        <mc:AlternateContent>
          <mc:Choice Requires="wps">
            <w:drawing>
              <wp:anchor distL="0" distR="0" distT="0" distB="0" simplePos="0" behindDoc="1" relativeHeight="287" locked="0" layoutInCell="1" allowOverlap="1">
                <wp:simplePos x="0" y="0"/>
                <wp:positionH relativeFrom="page">
                  <wp:posOffset>938530</wp:posOffset>
                </wp:positionH>
                <wp:positionV relativeFrom="page">
                  <wp:posOffset>819150</wp:posOffset>
                </wp:positionV>
                <wp:extent cx="5076190" cy="0"/>
                <wp:wrapNone/>
                <wp:docPr id="1316" name="131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64352;width:399.70pt;" id="131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7"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（一）智能信息处理与新一代通信领域（申请代</w:t>
      </w:r>
      <w:r>
        <w:rPr>
          <w:rFonts w:ascii="宋体" w:hAnsi="宋体" w:cs="宋体" w:eastAsia="宋体" w:hint="ascii"/>
          <w:spacing w:val="30"/>
        </w:rPr>
        <w:t>码</w:t>
      </w:r>
      <w:r>
        <w:rPr>
          <w:rFonts w:ascii="宋体" w:hAnsi="宋体" w:cs="宋体" w:eastAsia="宋体" w:hint="ascii"/>
          <w:spacing w:val="56"/>
        </w:rPr>
        <w:t>1</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2"/>
        </w:rPr>
        <w:t>L</w:t>
      </w:r>
      <w:r>
        <w:rPr>
          <w:rFonts w:ascii="宋体" w:hAnsi="宋体" w:cs="宋体" w:eastAsia="宋体" w:hint="ascii"/>
        </w:rPr>
        <w:t>05）</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量子模拟前沿基础研究（申请代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52"/>
        </w:rPr>
        <w:t>5</w:t>
      </w:r>
      <w:r>
        <w:rPr>
          <w:rFonts w:ascii="宋体" w:hAnsi="宋体" w:cs="宋体" w:eastAsia="宋体" w:hint="ascii"/>
          <w:sz w:val="21"/>
        </w:rPr>
        <w:t>下属代码）</w:t>
      </w:r>
    </w:p>
    <w:p>
      <w:pPr>
        <w:autoSpaceDE w:val="0"/>
        <w:autoSpaceDN w:val="0"/>
        <w:jc w:val="both"/>
        <w:spacing w:before="1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围绕量子模拟</w:t>
      </w:r>
      <w:r>
        <w:rPr>
          <w:rFonts w:ascii="宋体" w:hAnsi="宋体" w:cs="宋体" w:eastAsia="宋体" w:hint="ascii"/>
          <w:sz w:val="21"/>
        </w:rPr>
        <w:t>同时开展理论和实验研究，特别是利用特定可控量子体系（超导量子线路、冷原子光晶格体系以及核磁共振体系）实现量子模拟。主要研究内容：</w:t>
      </w:r>
    </w:p>
    <w:p>
      <w:pPr>
        <w:autoSpaceDE w:val="0"/>
        <w:autoSpaceDN w:val="0"/>
        <w:jc w:val="left"/>
        <w:spacing w:before="40" w:after="0" w:lineRule="auto" w:line="240"/>
        <w:ind w:right="0" w:left="1649" w:hanging="263"/>
        <w:snapToGrid w:val="0"/>
        <w:textAlignment w:val="auto"/>
        <w:tabs>
          <w:tab w:val="left" w:leader="none" w:pos="1648"/>
        </w:tabs>
        <w:numPr>
          <w:ilvl w:val="0"/>
          <w:numId w:val="320"/>
        </w:numPr>
        <w:rPr>
          <w:rFonts w:ascii="Times New Roman" w:hAnsi="Times New Roman" w:cs="Times New Roman" w:eastAsia="Times New Roman" w:hint="ascii"/>
          <w:sz w:val="21"/>
        </w:rPr>
      </w:pPr>
      <w:r>
        <w:rPr>
          <w:rFonts w:ascii="宋体" w:hAnsi="宋体" w:cs="宋体" w:eastAsia="宋体" w:hint="ascii"/>
          <w:sz w:val="21"/>
        </w:rPr>
        <w:t>基于热力学过程的量子模拟理论研究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以量子物理和信息科学的互补关系为研究对象，探索基于量子信息的热力学极限和</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应用，以及</w:t>
      </w:r>
      <w:r>
        <w:rPr>
          <w:rFonts w:ascii="宋体" w:hAnsi="宋体" w:cs="宋体" w:eastAsia="宋体" w:hint="ascii"/>
          <w:sz w:val="21"/>
        </w:rPr>
        <w:t>量子系统的计算复杂性；探究香农熵和诺依曼熵在热力学中所扮演的角色；</w:t>
      </w:r>
      <w:r>
        <w:rPr>
          <w:rFonts w:ascii="宋体" w:hAnsi="宋体" w:cs="宋体" w:eastAsia="宋体" w:hint="ascii"/>
          <w:sz w:val="21"/>
          <w:spacing w:val="-1"/>
        </w:rPr>
        <w:t>研究量子相</w:t>
      </w:r>
      <w:r>
        <w:rPr>
          <w:rFonts w:ascii="宋体" w:hAnsi="宋体" w:cs="宋体" w:eastAsia="宋体" w:hint="ascii"/>
          <w:sz w:val="21"/>
        </w:rPr>
        <w:t>干性和纠缠对信息与能量转化的影响；研究伊辛自旋玻璃等凝聚态物理模型</w:t>
      </w:r>
      <w:r>
        <w:rPr>
          <w:rFonts w:ascii="宋体" w:hAnsi="宋体" w:cs="宋体" w:eastAsia="宋体" w:hint="ascii"/>
          <w:sz w:val="21"/>
          <w:spacing w:val="-1"/>
        </w:rPr>
        <w:t>的量子模拟</w:t>
      </w:r>
      <w:r>
        <w:rPr>
          <w:rFonts w:ascii="宋体" w:hAnsi="宋体" w:cs="宋体" w:eastAsia="宋体" w:hint="ascii"/>
          <w:sz w:val="21"/>
        </w:rPr>
        <w:t>方案；判断各类物理问题的计算复杂性；探索图灵机去模拟量子计算机所需的资源等。</w:t>
      </w:r>
    </w:p>
    <w:p>
      <w:pPr>
        <w:autoSpaceDE w:val="0"/>
        <w:autoSpaceDN w:val="0"/>
        <w:jc w:val="left"/>
        <w:spacing w:before="40" w:after="0" w:lineRule="auto" w:line="240"/>
        <w:ind w:right="0" w:left="1649" w:hanging="263"/>
        <w:snapToGrid w:val="0"/>
        <w:textAlignment w:val="auto"/>
        <w:tabs>
          <w:tab w:val="left" w:leader="none" w:pos="1648"/>
        </w:tabs>
        <w:numPr>
          <w:ilvl w:val="0"/>
          <w:numId w:val="320"/>
        </w:numPr>
        <w:rPr>
          <w:rFonts w:ascii="Times New Roman" w:hAnsi="Times New Roman" w:cs="Times New Roman" w:eastAsia="Times New Roman" w:hint="ascii"/>
          <w:sz w:val="21"/>
        </w:rPr>
      </w:pPr>
      <w:r>
        <w:rPr>
          <w:rFonts w:ascii="宋体" w:hAnsi="宋体" w:cs="宋体" w:eastAsia="宋体" w:hint="ascii"/>
          <w:sz w:val="21"/>
        </w:rPr>
        <w:t>基于超导量子线路的量子模拟实验研究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以超导量子比特和相关控制电路为研究对象，研究量子谐振电路与 </w:t>
      </w:r>
      <w:r>
        <w:rPr>
          <w:rFonts w:ascii="Times New Roman" w:hAnsi="Times New Roman" w:cs="Times New Roman" w:eastAsia="Times New Roman" w:hint="ascii"/>
          <w:sz w:val="21"/>
        </w:rPr>
        <w:t xml:space="preserve">transmon </w:t>
      </w:r>
      <w:r>
        <w:rPr>
          <w:rFonts w:ascii="宋体" w:hAnsi="宋体" w:cs="宋体" w:eastAsia="宋体" w:hint="ascii"/>
          <w:sz w:val="21"/>
        </w:rPr>
        <w:t>量子</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比特的耦合，</w:t>
      </w:r>
      <w:r>
        <w:rPr>
          <w:rFonts w:ascii="宋体" w:hAnsi="宋体" w:cs="宋体" w:eastAsia="宋体" w:hint="ascii"/>
          <w:sz w:val="21"/>
        </w:rPr>
        <w:t>通过外加可编程的微波脉冲信号实现对单个比特的操控和信息读取；利用</w:t>
      </w:r>
      <w:r>
        <w:rPr>
          <w:rFonts w:ascii="宋体" w:hAnsi="宋体" w:cs="宋体" w:eastAsia="宋体" w:hint="ascii"/>
          <w:sz w:val="21"/>
          <w:spacing w:val="-1"/>
        </w:rPr>
        <w:t>量子谐振腔实</w:t>
      </w:r>
      <w:r>
        <w:rPr>
          <w:rFonts w:ascii="宋体" w:hAnsi="宋体" w:cs="宋体" w:eastAsia="宋体" w:hint="ascii"/>
          <w:sz w:val="21"/>
        </w:rPr>
        <w:t>现两个及以上量子比特的耦合，实现两个量子比特的纠缠态及简单的量子</w:t>
      </w:r>
      <w:r>
        <w:rPr>
          <w:rFonts w:ascii="宋体" w:hAnsi="宋体" w:cs="宋体" w:eastAsia="宋体" w:hint="ascii"/>
          <w:sz w:val="21"/>
          <w:spacing w:val="-1"/>
        </w:rPr>
        <w:t>逻辑门操作；</w:t>
      </w:r>
      <w:r>
        <w:rPr>
          <w:rFonts w:ascii="宋体" w:hAnsi="宋体" w:cs="宋体" w:eastAsia="宋体" w:hint="ascii"/>
          <w:sz w:val="21"/>
        </w:rPr>
        <w:t>研究诸如分子光谱、量子少体系统、任意相互作用的伊辛模型、拓扑量子</w:t>
      </w:r>
      <w:r>
        <w:rPr>
          <w:rFonts w:ascii="宋体" w:hAnsi="宋体" w:cs="宋体" w:eastAsia="宋体" w:hint="ascii"/>
          <w:sz w:val="21"/>
          <w:spacing w:val="-1"/>
        </w:rPr>
        <w:t>比特操控等问</w:t>
      </w:r>
      <w:r>
        <w:rPr>
          <w:rFonts w:ascii="宋体" w:hAnsi="宋体" w:cs="宋体" w:eastAsia="宋体" w:hint="ascii"/>
          <w:sz w:val="21"/>
        </w:rPr>
        <w:t>题在超导电路系统上的量子模拟实验实现；混合型超导量子比特的制备和表征。</w:t>
      </w:r>
    </w:p>
    <w:p>
      <w:pPr>
        <w:autoSpaceDE w:val="0"/>
        <w:autoSpaceDN w:val="0"/>
        <w:jc w:val="left"/>
        <w:spacing w:before="40" w:after="0" w:lineRule="auto" w:line="240"/>
        <w:ind w:right="0" w:left="1649" w:hanging="263"/>
        <w:snapToGrid w:val="0"/>
        <w:textAlignment w:val="auto"/>
        <w:tabs>
          <w:tab w:val="left" w:leader="none" w:pos="1648"/>
        </w:tabs>
        <w:numPr>
          <w:ilvl w:val="0"/>
          <w:numId w:val="320"/>
        </w:numPr>
        <w:rPr>
          <w:rFonts w:ascii="Times New Roman" w:hAnsi="Times New Roman" w:cs="Times New Roman" w:eastAsia="Times New Roman" w:hint="ascii"/>
          <w:sz w:val="21"/>
        </w:rPr>
      </w:pPr>
      <w:r>
        <w:rPr>
          <w:rFonts w:ascii="宋体" w:hAnsi="宋体" w:cs="宋体" w:eastAsia="宋体" w:hint="ascii"/>
          <w:sz w:val="21"/>
        </w:rPr>
        <w:t>基于超冷原子光晶格系统的量子操控和量子模拟实验研究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以超冷原子光晶格系统为研究对象，搭建相关实验平台；研究量子相干操控技术，</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实现可控量子</w:t>
      </w:r>
      <w:r>
        <w:rPr>
          <w:rFonts w:ascii="宋体" w:hAnsi="宋体" w:cs="宋体" w:eastAsia="宋体" w:hint="ascii"/>
          <w:sz w:val="21"/>
        </w:rPr>
        <w:t>比特阵列；研究诸如金属绝缘体相变、分数化粒子、拓扑量子现象、拓扑量子计算、规范场理论等具有重要科学及应用价值的物理问题。</w:t>
      </w:r>
    </w:p>
    <w:p>
      <w:pPr>
        <w:autoSpaceDE w:val="0"/>
        <w:autoSpaceDN w:val="0"/>
        <w:jc w:val="left"/>
        <w:spacing w:before="40" w:after="0" w:lineRule="auto" w:line="240"/>
        <w:ind w:right="0" w:left="1649" w:hanging="263"/>
        <w:snapToGrid w:val="0"/>
        <w:textAlignment w:val="auto"/>
        <w:tabs>
          <w:tab w:val="left" w:leader="none" w:pos="1648"/>
        </w:tabs>
        <w:numPr>
          <w:ilvl w:val="0"/>
          <w:numId w:val="320"/>
        </w:numPr>
        <w:rPr>
          <w:rFonts w:ascii="Times New Roman" w:hAnsi="Times New Roman" w:cs="Times New Roman" w:eastAsia="Times New Roman" w:hint="ascii"/>
          <w:sz w:val="21"/>
        </w:rPr>
      </w:pPr>
      <w:r>
        <w:rPr>
          <w:rFonts w:ascii="宋体" w:hAnsi="宋体" w:cs="宋体" w:eastAsia="宋体" w:hint="ascii"/>
          <w:sz w:val="21"/>
        </w:rPr>
        <w:t>基于核磁共振系统的操控技术和量子模拟实验研究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以核自旋的系综体系为研究对象，开展实验平台搭建、高比特量子处理器制备、操</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2"/>
        </w:rPr>
        <w:t>控技术优化、量子模拟实验</w:t>
      </w:r>
      <w:r>
        <w:rPr>
          <w:rFonts w:ascii="宋体" w:hAnsi="宋体" w:cs="宋体" w:eastAsia="宋体" w:hint="ascii"/>
          <w:sz w:val="21"/>
          <w:spacing w:val="-1"/>
        </w:rPr>
        <w:t xml:space="preserve">等工作。寻找 </w:t>
      </w:r>
      <w:r>
        <w:rPr>
          <w:rFonts w:ascii="Times New Roman" w:hAnsi="Times New Roman" w:cs="Times New Roman" w:eastAsia="Times New Roman" w:hint="ascii"/>
          <w:sz w:val="21"/>
          <w:spacing w:val="-1"/>
        </w:rPr>
        <w:t>10</w:t>
      </w:r>
      <w:r>
        <w:rPr>
          <w:rFonts w:ascii="宋体" w:hAnsi="宋体" w:cs="宋体" w:eastAsia="宋体" w:hint="ascii"/>
          <w:sz w:val="21"/>
          <w:spacing w:val="-1"/>
        </w:rPr>
        <w:t>～</w:t>
      </w:r>
      <w:r>
        <w:rPr>
          <w:rFonts w:ascii="Times New Roman" w:hAnsi="Times New Roman" w:cs="Times New Roman" w:eastAsia="Times New Roman" w:hint="ascii"/>
          <w:sz w:val="21"/>
          <w:spacing w:val="-1"/>
        </w:rPr>
        <w:t xml:space="preserve">20 </w:t>
      </w:r>
      <w:r>
        <w:rPr>
          <w:rFonts w:ascii="宋体" w:hAnsi="宋体" w:cs="宋体" w:eastAsia="宋体" w:hint="ascii"/>
          <w:sz w:val="21"/>
          <w:spacing w:val="-1"/>
        </w:rPr>
        <w:t>量子比特数的系综核自旋样品；发展</w:t>
      </w:r>
      <w:r>
        <w:rPr>
          <w:rFonts w:ascii="宋体" w:hAnsi="宋体" w:cs="宋体" w:eastAsia="宋体" w:hint="ascii"/>
          <w:sz w:val="21"/>
        </w:rPr>
        <w:t xml:space="preserve"> 和完善高精度、低噪声、自容错的相干控制和反馈控制技术；利用核磁共振平台的比特数目和操控优势，开展高量子比特和高复杂度的量子模拟实验研究。</w:t>
      </w:r>
    </w:p>
    <w:p>
      <w:pPr>
        <w:autoSpaceDE w:val="0"/>
        <w:autoSpaceDN w:val="0"/>
        <w:jc w:val="both"/>
        <w:spacing w:before="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本联合集成项目应同时包含上</w:t>
      </w:r>
      <w:r>
        <w:rPr>
          <w:rFonts w:ascii="宋体" w:hAnsi="宋体" w:cs="宋体" w:eastAsia="宋体" w:hint="ascii"/>
          <w:sz w:val="21"/>
          <w:spacing w:val="27"/>
        </w:rPr>
        <w:t>述</w:t>
      </w:r>
      <w:r>
        <w:rPr>
          <w:rFonts w:ascii="Times New Roman" w:hAnsi="Times New Roman" w:cs="Times New Roman" w:eastAsia="Times New Roman" w:hint="ascii"/>
          <w:sz w:val="21"/>
          <w:spacing w:val="52"/>
        </w:rPr>
        <w:t>4</w:t>
      </w:r>
      <w:r>
        <w:rPr>
          <w:rFonts w:ascii="宋体" w:hAnsi="宋体" w:cs="宋体" w:eastAsia="宋体" w:hint="ascii"/>
          <w:sz w:val="21"/>
        </w:rPr>
        <w:t>个研究内容，紧密围绕项目主题“量子模拟”开展深入和系统研究，研究成果应包括原理、方法、技术及专利等。</w:t>
      </w:r>
    </w:p>
    <w:p>
      <w:pPr>
        <w:autoSpaceDE w:val="0"/>
        <w:autoSpaceDN w:val="0"/>
        <w:jc w:val="left"/>
        <w:spacing w:before="16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（二）人口与健康领域（申请代</w:t>
      </w:r>
      <w:r>
        <w:rPr>
          <w:rFonts w:ascii="宋体" w:hAnsi="宋体" w:cs="宋体" w:eastAsia="宋体" w:hint="ascii"/>
          <w:spacing w:val="30"/>
        </w:rPr>
        <w:t>码</w:t>
      </w:r>
      <w:r>
        <w:rPr>
          <w:rFonts w:ascii="宋体" w:hAnsi="宋体" w:cs="宋体" w:eastAsia="宋体" w:hint="ascii"/>
          <w:spacing w:val="56"/>
        </w:rPr>
        <w:t>1</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2"/>
        </w:rPr>
        <w:t>L</w:t>
      </w:r>
      <w:r>
        <w:rPr>
          <w:rFonts w:ascii="宋体" w:hAnsi="宋体" w:cs="宋体" w:eastAsia="宋体" w:hint="ascii"/>
        </w:rPr>
        <w:t>02）</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重大神经退行性疾病神经元死亡机理及再生修复（申请代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H09</w:t>
      </w:r>
      <w:r>
        <w:rPr>
          <w:rFonts w:ascii="宋体" w:hAnsi="宋体" w:cs="宋体" w:eastAsia="宋体" w:hint="ascii"/>
          <w:sz w:val="21"/>
        </w:rPr>
        <w:t>）</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围绕脑科学重大问题，以脑疾病中的重大神经退行性疾病为重点，综合多学科开展</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集成研究，</w:t>
      </w:r>
      <w:r>
        <w:rPr>
          <w:rFonts w:ascii="宋体" w:hAnsi="宋体" w:cs="宋体" w:eastAsia="宋体" w:hint="ascii"/>
          <w:sz w:val="21"/>
        </w:rPr>
        <w:t>揭示退行性疾病中的神经元死亡及神经炎症的机理、阐明关键致病蛋白传播</w:t>
      </w:r>
      <w:r>
        <w:rPr>
          <w:rFonts w:ascii="宋体" w:hAnsi="宋体" w:cs="宋体" w:eastAsia="宋体" w:hint="ascii"/>
          <w:sz w:val="21"/>
          <w:spacing w:val="-1"/>
        </w:rPr>
        <w:t>的机制、探</w:t>
      </w:r>
      <w:r>
        <w:rPr>
          <w:rFonts w:ascii="宋体" w:hAnsi="宋体" w:cs="宋体" w:eastAsia="宋体" w:hint="ascii"/>
          <w:sz w:val="21"/>
        </w:rPr>
        <w:t>索神经元再生修复方法、建立临床高灵敏度检测特定神经元密度及功能的分</w:t>
      </w:r>
      <w:r>
        <w:rPr>
          <w:rFonts w:ascii="宋体" w:hAnsi="宋体" w:cs="宋体" w:eastAsia="宋体" w:hint="ascii"/>
          <w:sz w:val="21"/>
          <w:spacing w:val="-1"/>
        </w:rPr>
        <w:t>子影像技术</w:t>
      </w:r>
      <w:r>
        <w:rPr>
          <w:rFonts w:ascii="宋体" w:hAnsi="宋体" w:cs="宋体" w:eastAsia="宋体" w:hint="ascii"/>
          <w:sz w:val="21"/>
        </w:rPr>
        <w:t>，为重大神经退行性疾病的早诊、干预及多功能重建提供理论依据及技术支撑。主要研究内容：</w:t>
      </w:r>
    </w:p>
    <w:p>
      <w:pPr>
        <w:autoSpaceDE w:val="0"/>
        <w:autoSpaceDN w:val="0"/>
        <w:jc w:val="left"/>
        <w:spacing w:before="436" w:after="0" w:lineRule="exact" w:line="225"/>
        <w:ind w:right="0" w:left="8338"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649" w:hanging="263"/>
        <w:snapToGrid w:val="0"/>
        <w:textAlignment w:val="auto"/>
        <w:tabs>
          <w:tab w:val="left" w:leader="none" w:pos="1648"/>
        </w:tabs>
        <w:numPr>
          <w:ilvl w:val="0"/>
          <w:numId w:val="321"/>
        </w:numPr>
        <w:rPr>
          <w:rFonts w:ascii="Times New Roman" w:hAnsi="Times New Roman" w:cs="Times New Roman" w:eastAsia="Times New Roman" w:hint="ascii"/>
          <w:sz w:val="21"/>
        </w:rPr>
      </w:pPr>
      <w:r>
        <w:rPr>
          <w:rFonts w:ascii="宋体" w:hAnsi="宋体" w:cs="宋体" w:eastAsia="宋体" w:hint="ascii"/>
          <w:sz w:val="21"/>
        </w:rPr>
        <w:t>重大神经退行性疾病神经元选择性、进行性死亡的关键机制</w:t>
      </w:r>
      <w:r>
        <w:rPr>
          <w:rFonts w:ascii="宋体" w:hAnsi="宋体" w:cs="宋体" w:eastAsia="宋体" w:hint="ascii"/>
          <w:sz w:val="21"/>
        </w:rPr>
        <mc:AlternateContent>
          <mc:Choice Requires="wps">
            <w:drawing>
              <wp:anchor distL="0" distR="0" distT="0" distB="0" simplePos="0" behindDoc="1" relativeHeight="288" locked="0" layoutInCell="1" allowOverlap="1">
                <wp:simplePos x="0" y="0"/>
                <wp:positionH relativeFrom="page">
                  <wp:posOffset>938530</wp:posOffset>
                </wp:positionH>
                <wp:positionV relativeFrom="page">
                  <wp:posOffset>805815</wp:posOffset>
                </wp:positionV>
                <wp:extent cx="5076190" cy="0"/>
                <wp:wrapNone/>
                <wp:docPr id="1317" name="131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63328;width:399.70pt;" id="131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从基因</w:t>
      </w:r>
      <w:r>
        <w:rPr>
          <w:rFonts w:ascii="宋体" w:hAnsi="宋体" w:cs="宋体" w:eastAsia="宋体" w:hint="ascii"/>
          <w:sz w:val="21"/>
        </w:rPr>
        <w:t>-</w:t>
      </w:r>
      <w:r>
        <w:rPr>
          <w:rFonts w:ascii="宋体" w:hAnsi="宋体" w:cs="宋体" w:eastAsia="宋体" w:hint="ascii"/>
          <w:sz w:val="21"/>
        </w:rPr>
        <w:t>基因、基因</w:t>
      </w:r>
      <w:r>
        <w:rPr>
          <w:rFonts w:ascii="宋体" w:hAnsi="宋体" w:cs="宋体" w:eastAsia="宋体" w:hint="ascii"/>
          <w:sz w:val="21"/>
        </w:rPr>
        <w:t>-</w:t>
      </w:r>
      <w:r>
        <w:rPr>
          <w:rFonts w:ascii="宋体" w:hAnsi="宋体" w:cs="宋体" w:eastAsia="宋体" w:hint="ascii"/>
          <w:sz w:val="21"/>
        </w:rPr>
        <w:t>环境相互作用入手，重点围绕自噬调控</w:t>
      </w:r>
      <w:r>
        <w:rPr>
          <w:rFonts w:ascii="Times New Roman" w:hAnsi="Times New Roman" w:cs="Times New Roman" w:eastAsia="Times New Roman" w:hint="ascii"/>
          <w:sz w:val="21"/>
        </w:rPr>
        <w:t>/</w:t>
      </w:r>
      <w:r>
        <w:rPr>
          <w:rFonts w:ascii="宋体" w:hAnsi="宋体" w:cs="宋体" w:eastAsia="宋体" w:hint="ascii"/>
          <w:sz w:val="21"/>
        </w:rPr>
        <w:t>蛋白降解系统异常、</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轴突运</w:t>
      </w:r>
      <w:r>
        <w:rPr>
          <w:rFonts w:ascii="宋体" w:hAnsi="宋体" w:cs="宋体" w:eastAsia="宋体" w:hint="ascii"/>
          <w:sz w:val="21"/>
        </w:rPr>
        <w:t>输障碍和线粒体功能紊乱，解析神经元选择性、进行性死亡的机制及关键分子，确立若干神经保护治疗靶标。</w:t>
      </w:r>
    </w:p>
    <w:p>
      <w:pPr>
        <w:autoSpaceDE w:val="0"/>
        <w:autoSpaceDN w:val="0"/>
        <w:jc w:val="left"/>
        <w:spacing w:before="40" w:after="0" w:lineRule="auto" w:line="240"/>
        <w:ind w:right="0" w:left="1649" w:hanging="263"/>
        <w:snapToGrid w:val="0"/>
        <w:textAlignment w:val="auto"/>
        <w:tabs>
          <w:tab w:val="left" w:leader="none" w:pos="1648"/>
        </w:tabs>
        <w:numPr>
          <w:ilvl w:val="0"/>
          <w:numId w:val="321"/>
        </w:numPr>
        <w:rPr>
          <w:rFonts w:ascii="Times New Roman" w:hAnsi="Times New Roman" w:cs="Times New Roman" w:eastAsia="Times New Roman" w:hint="ascii"/>
          <w:sz w:val="21"/>
        </w:rPr>
      </w:pPr>
      <w:r>
        <w:rPr>
          <w:rFonts w:ascii="宋体" w:hAnsi="宋体" w:cs="宋体" w:eastAsia="宋体" w:hint="ascii"/>
          <w:sz w:val="21"/>
        </w:rPr>
        <w:t>重大神经退行性疾病的神经炎症机制和作用</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探索胶质细胞在重大神经退行性疾病神经元死亡和再生修复过程中的作用和机理，</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rPr>
        <w:t>发现与此过程密切相关的胶质细胞的受体、配体、信号转导通路</w:t>
      </w:r>
      <w:r>
        <w:rPr>
          <w:rFonts w:ascii="Times New Roman" w:hAnsi="Times New Roman" w:cs="Times New Roman" w:eastAsia="Times New Roman" w:hint="ascii"/>
          <w:sz w:val="21"/>
        </w:rPr>
        <w:t>/</w:t>
      </w:r>
      <w:r>
        <w:rPr>
          <w:rFonts w:ascii="宋体" w:hAnsi="宋体" w:cs="宋体" w:eastAsia="宋体" w:hint="ascii"/>
          <w:sz w:val="21"/>
        </w:rPr>
        <w:t>网络和调控因子，解</w:t>
      </w:r>
      <w:r>
        <w:rPr>
          <w:rFonts w:ascii="宋体" w:hAnsi="宋体" w:cs="宋体" w:eastAsia="宋体" w:hint="ascii"/>
          <w:sz w:val="21"/>
          <w:spacing w:val="-1"/>
        </w:rPr>
        <w:t>析不同</w:t>
      </w:r>
      <w:r>
        <w:rPr>
          <w:rFonts w:ascii="宋体" w:hAnsi="宋体" w:cs="宋体" w:eastAsia="宋体" w:hint="ascii"/>
          <w:sz w:val="21"/>
        </w:rPr>
        <w:t>类型神经细胞之间以及与免疫细胞之间的相互作用本质。分析胞体与轴突末梢所在脑区神经炎症的表型及作用差异。</w:t>
      </w:r>
    </w:p>
    <w:p>
      <w:pPr>
        <w:autoSpaceDE w:val="0"/>
        <w:autoSpaceDN w:val="0"/>
        <w:jc w:val="left"/>
        <w:spacing w:before="40" w:after="0" w:lineRule="auto" w:line="240"/>
        <w:ind w:right="0" w:left="1649" w:hanging="263"/>
        <w:snapToGrid w:val="0"/>
        <w:textAlignment w:val="auto"/>
        <w:tabs>
          <w:tab w:val="left" w:leader="none" w:pos="1648"/>
        </w:tabs>
        <w:numPr>
          <w:ilvl w:val="0"/>
          <w:numId w:val="321"/>
        </w:numPr>
        <w:rPr>
          <w:rFonts w:ascii="Times New Roman" w:hAnsi="Times New Roman" w:cs="Times New Roman" w:eastAsia="Times New Roman" w:hint="ascii"/>
          <w:sz w:val="21"/>
        </w:rPr>
      </w:pPr>
      <w:r>
        <w:rPr>
          <w:rFonts w:ascii="宋体" w:hAnsi="宋体" w:cs="宋体" w:eastAsia="宋体" w:hint="ascii"/>
          <w:sz w:val="21"/>
        </w:rPr>
        <w:t>神经退行性疾病致病蛋白“朊蛋白样”传播机制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研究神经退行性疾病致病蛋白在外周</w:t>
      </w:r>
      <w:r>
        <w:rPr>
          <w:rFonts w:ascii="宋体" w:hAnsi="宋体" w:cs="宋体" w:eastAsia="宋体" w:hint="ascii"/>
          <w:sz w:val="21"/>
        </w:rPr>
        <w:t>-</w:t>
      </w:r>
      <w:r>
        <w:rPr>
          <w:rFonts w:ascii="宋体" w:hAnsi="宋体" w:cs="宋体" w:eastAsia="宋体" w:hint="ascii"/>
          <w:sz w:val="21"/>
        </w:rPr>
        <w:t>中枢、细胞</w:t>
      </w:r>
      <w:r>
        <w:rPr>
          <w:rFonts w:ascii="宋体" w:hAnsi="宋体" w:cs="宋体" w:eastAsia="宋体" w:hint="ascii"/>
          <w:sz w:val="21"/>
        </w:rPr>
        <w:t>-</w:t>
      </w:r>
      <w:r>
        <w:rPr>
          <w:rFonts w:ascii="宋体" w:hAnsi="宋体" w:cs="宋体" w:eastAsia="宋体" w:hint="ascii"/>
          <w:sz w:val="21"/>
        </w:rPr>
        <w:t>细胞间“朊蛋白样”传播的分子</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机制，</w:t>
      </w:r>
      <w:r>
        <w:rPr>
          <w:rFonts w:ascii="宋体" w:hAnsi="宋体" w:cs="宋体" w:eastAsia="宋体" w:hint="ascii"/>
          <w:sz w:val="21"/>
        </w:rPr>
        <w:t>明确致病蛋白“朊蛋白样”传播在疾病发病及病程进展中的作用，研究基于阻断致病蛋白聚集和传播的新型神经退行性疾病干预方法。</w:t>
      </w:r>
    </w:p>
    <w:p>
      <w:pPr>
        <w:autoSpaceDE w:val="0"/>
        <w:autoSpaceDN w:val="0"/>
        <w:jc w:val="left"/>
        <w:spacing w:before="40" w:after="0" w:lineRule="auto" w:line="240"/>
        <w:ind w:right="0" w:left="1649" w:hanging="263"/>
        <w:snapToGrid w:val="0"/>
        <w:textAlignment w:val="auto"/>
        <w:tabs>
          <w:tab w:val="left" w:leader="none" w:pos="1648"/>
        </w:tabs>
        <w:numPr>
          <w:ilvl w:val="0"/>
          <w:numId w:val="321"/>
        </w:numPr>
        <w:rPr>
          <w:rFonts w:ascii="Times New Roman" w:hAnsi="Times New Roman" w:cs="Times New Roman" w:eastAsia="Times New Roman" w:hint="ascii"/>
          <w:sz w:val="21"/>
        </w:rPr>
      </w:pPr>
      <w:r>
        <w:rPr>
          <w:rFonts w:ascii="宋体" w:hAnsi="宋体" w:cs="宋体" w:eastAsia="宋体" w:hint="ascii"/>
          <w:sz w:val="21"/>
        </w:rPr>
        <w:t>胶质细胞介导神经元再生修复研究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利用表观遗传学，基因组学及蛋白质组学、生物信息学等技术绘制星形胶质细胞重</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编程为</w:t>
      </w:r>
      <w:r>
        <w:rPr>
          <w:rFonts w:ascii="宋体" w:hAnsi="宋体" w:cs="宋体" w:eastAsia="宋体" w:hint="ascii"/>
          <w:sz w:val="21"/>
        </w:rPr>
        <w:t>功能性神经元的分子网络，研究若干关键因子及建立稳定、高效的重编程方法；研究“单分子多靶点”化合物或筛选小分子化合物组合物促进神经元原位再生。</w:t>
      </w:r>
    </w:p>
    <w:p>
      <w:pPr>
        <w:autoSpaceDE w:val="0"/>
        <w:autoSpaceDN w:val="0"/>
        <w:jc w:val="left"/>
        <w:spacing w:before="40" w:after="0" w:lineRule="auto" w:line="240"/>
        <w:ind w:right="0" w:left="1649" w:hanging="263"/>
        <w:snapToGrid w:val="0"/>
        <w:textAlignment w:val="auto"/>
        <w:tabs>
          <w:tab w:val="left" w:leader="none" w:pos="1648"/>
        </w:tabs>
        <w:numPr>
          <w:ilvl w:val="0"/>
          <w:numId w:val="321"/>
        </w:numPr>
        <w:rPr>
          <w:rFonts w:ascii="Times New Roman" w:hAnsi="Times New Roman" w:cs="Times New Roman" w:eastAsia="Times New Roman" w:hint="ascii"/>
          <w:sz w:val="21"/>
        </w:rPr>
      </w:pPr>
      <w:r>
        <w:rPr>
          <w:rFonts w:ascii="宋体" w:hAnsi="宋体" w:cs="宋体" w:eastAsia="宋体" w:hint="ascii"/>
          <w:sz w:val="21"/>
        </w:rPr>
        <w:t>在体神经元数目及功能变化的动态监测体系研究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针对病程不同阶段，发展生物相容性高的分子成像探针，建立特定神经元密度及功</w:t>
      </w:r>
    </w:p>
    <w:p>
      <w:pPr>
        <w:autoSpaceDE w:val="0"/>
        <w:autoSpaceDN w:val="0"/>
        <w:jc w:val="both"/>
        <w:spacing w:before="10" w:after="0" w:lineRule="exact" w:line="312"/>
        <w:ind w:right="974"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能的在</w:t>
      </w:r>
      <w:r>
        <w:rPr>
          <w:rFonts w:ascii="宋体" w:hAnsi="宋体" w:cs="宋体" w:eastAsia="宋体" w:hint="ascii"/>
          <w:sz w:val="21"/>
        </w:rPr>
        <w:t>体精确定位和定量的监测方法，研究各病程中特定神经元时空动态演变，探索分</w:t>
      </w:r>
      <w:r>
        <w:rPr>
          <w:rFonts w:ascii="宋体" w:hAnsi="宋体" w:cs="宋体" w:eastAsia="宋体" w:hint="ascii"/>
          <w:sz w:val="21"/>
          <w:spacing w:val="1"/>
        </w:rPr>
        <w:t>子特异成像与神经元变性</w:t>
      </w:r>
      <w:r>
        <w:rPr>
          <w:rFonts w:ascii="宋体" w:hAnsi="宋体" w:cs="宋体" w:eastAsia="宋体" w:hint="ascii"/>
          <w:sz w:val="21"/>
        </w:rPr>
        <w:t>死亡程度、神经递质浓度变化、病理分期与临床分期的相</w:t>
      </w:r>
      <w:r>
        <w:rPr>
          <w:rFonts w:ascii="宋体" w:hAnsi="宋体" w:cs="宋体" w:eastAsia="宋体" w:hint="ascii"/>
          <w:sz w:val="21"/>
          <w:spacing w:val="-6"/>
        </w:rPr>
        <w:t>关</w:t>
      </w:r>
      <w:r>
        <w:rPr>
          <w:rFonts w:ascii="宋体" w:hAnsi="宋体" w:cs="宋体" w:eastAsia="宋体" w:hint="ascii"/>
          <w:sz w:val="21"/>
        </w:rPr>
        <w:t>性，建立客观、准确的神经元功能动态监测及早期诊断体系。</w:t>
      </w:r>
    </w:p>
    <w:p>
      <w:pPr>
        <w:autoSpaceDE w:val="0"/>
        <w:autoSpaceDN w:val="0"/>
        <w:jc w:val="both"/>
        <w:spacing w:before="0" w:after="0" w:lineRule="exact" w:line="312"/>
        <w:ind w:right="974"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本联合基</w:t>
      </w:r>
      <w:r>
        <w:rPr>
          <w:rFonts w:ascii="宋体" w:hAnsi="宋体" w:cs="宋体" w:eastAsia="宋体" w:hint="ascii"/>
          <w:sz w:val="21"/>
        </w:rPr>
        <w:t>金集成项目应同时包含上</w:t>
      </w:r>
      <w:r>
        <w:rPr>
          <w:rFonts w:ascii="宋体" w:hAnsi="宋体" w:cs="宋体" w:eastAsia="宋体" w:hint="ascii"/>
          <w:sz w:val="21"/>
          <w:spacing w:val="27"/>
        </w:rPr>
        <w:t>述</w:t>
      </w:r>
      <w:r>
        <w:rPr>
          <w:rFonts w:ascii="Times New Roman" w:hAnsi="Times New Roman" w:cs="Times New Roman" w:eastAsia="Times New Roman" w:hint="ascii"/>
          <w:sz w:val="21"/>
          <w:spacing w:val="52"/>
        </w:rPr>
        <w:t>5</w:t>
      </w:r>
      <w:r>
        <w:rPr>
          <w:rFonts w:ascii="宋体" w:hAnsi="宋体" w:cs="宋体" w:eastAsia="宋体" w:hint="ascii"/>
          <w:sz w:val="21"/>
        </w:rPr>
        <w:t>个研究内容，紧密围绕项目主题开展深入系统的研究，研究成果包括论著、专著和专利等。</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二、重点支持项目</w:t>
      </w:r>
    </w:p>
    <w:p>
      <w:pPr>
        <w:autoSpaceDE w:val="0"/>
        <w:autoSpaceDN w:val="0"/>
        <w:jc w:val="left"/>
        <w:spacing w:before="167"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（一）智能信息处理与新一代通信领域（申请代</w:t>
      </w:r>
      <w:r>
        <w:rPr>
          <w:rFonts w:ascii="宋体" w:hAnsi="宋体" w:cs="宋体" w:eastAsia="宋体" w:hint="ascii"/>
          <w:spacing w:val="30"/>
        </w:rPr>
        <w:t>码</w:t>
      </w:r>
      <w:r>
        <w:rPr>
          <w:rFonts w:ascii="宋体" w:hAnsi="宋体" w:cs="宋体" w:eastAsia="宋体" w:hint="ascii"/>
          <w:spacing w:val="56"/>
        </w:rPr>
        <w:t>1</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2"/>
        </w:rPr>
        <w:t>L</w:t>
      </w:r>
      <w:r>
        <w:rPr>
          <w:rFonts w:ascii="宋体" w:hAnsi="宋体" w:cs="宋体" w:eastAsia="宋体" w:hint="ascii"/>
        </w:rPr>
        <w:t>05）</w:t>
      </w:r>
    </w:p>
    <w:p>
      <w:pPr>
        <w:autoSpaceDE w:val="0"/>
        <w:autoSpaceDN w:val="0"/>
        <w:jc w:val="left"/>
        <w:spacing w:before="197" w:after="0" w:lineRule="auto" w:line="240"/>
        <w:ind w:right="0" w:left="966" w:firstLine="420"/>
        <w:snapToGrid w:val="0"/>
        <w:textAlignment w:val="auto"/>
        <w:tabs>
          <w:tab w:val="left" w:leader="none" w:pos="1648"/>
        </w:tabs>
        <w:numPr>
          <w:ilvl w:val="0"/>
          <w:numId w:val="322"/>
        </w:numPr>
        <w:rPr>
          <w:rFonts w:ascii="Times New Roman" w:hAnsi="Times New Roman" w:cs="Times New Roman" w:eastAsia="Times New Roman" w:hint="ascii"/>
          <w:sz w:val="21"/>
        </w:rPr>
      </w:pPr>
      <w:r>
        <w:rPr>
          <w:rFonts w:ascii="宋体" w:hAnsi="宋体" w:cs="宋体" w:eastAsia="宋体" w:hint="ascii"/>
          <w:sz w:val="21"/>
        </w:rPr>
        <w:t>网络信息智能处理技术（申请代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52"/>
        </w:rPr>
        <w:t>6</w:t>
      </w:r>
      <w:r>
        <w:rPr>
          <w:rFonts w:ascii="宋体" w:hAnsi="宋体" w:cs="宋体" w:eastAsia="宋体" w:hint="ascii"/>
          <w:sz w:val="21"/>
          <w:spacing w:val="27"/>
        </w:rPr>
        <w:t>或</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52"/>
        </w:rPr>
        <w:t>2</w:t>
      </w:r>
      <w:r>
        <w:rPr>
          <w:rFonts w:ascii="宋体" w:hAnsi="宋体" w:cs="宋体" w:eastAsia="宋体" w:hint="ascii"/>
          <w:sz w:val="21"/>
        </w:rPr>
        <w:t>的下属代码）</w:t>
      </w:r>
    </w:p>
    <w:p>
      <w:pPr>
        <w:autoSpaceDE w:val="0"/>
        <w:autoSpaceDN w:val="0"/>
        <w:jc w:val="both"/>
        <w:spacing w:before="17" w:after="0" w:lineRule="exact" w:line="312"/>
        <w:ind w:right="974"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围绕广</w:t>
      </w:r>
      <w:r>
        <w:rPr>
          <w:rFonts w:ascii="宋体" w:hAnsi="宋体" w:cs="宋体" w:eastAsia="宋体" w:hint="ascii"/>
          <w:sz w:val="21"/>
        </w:rPr>
        <w:t>东省在智能计算、智能信息处理、人工智能及应用领域的发展需求，开展相关基础研究。主要研究方向包括：</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）面向大数据应用的通信理论与边缘计算方法；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）智能计算与通信一体化理论与关键技术；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）面向信息安全的智能处理芯片；</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）人工智能应用与智能信息处理关键技术；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）人工智能驱动的优化与控制。</w:t>
      </w:r>
    </w:p>
    <w:p>
      <w:pPr>
        <w:autoSpaceDE w:val="0"/>
        <w:autoSpaceDN w:val="0"/>
        <w:jc w:val="left"/>
        <w:spacing w:before="49" w:after="0" w:lineRule="auto" w:line="240"/>
        <w:ind w:right="0" w:left="966" w:firstLine="420"/>
        <w:snapToGrid w:val="0"/>
        <w:textAlignment w:val="auto"/>
        <w:tabs>
          <w:tab w:val="left" w:leader="none" w:pos="1648"/>
        </w:tabs>
        <w:numPr>
          <w:ilvl w:val="0"/>
          <w:numId w:val="322"/>
        </w:numPr>
        <w:rPr>
          <w:rFonts w:ascii="Times New Roman" w:hAnsi="Times New Roman" w:cs="Times New Roman" w:eastAsia="Times New Roman" w:hint="ascii"/>
          <w:sz w:val="21"/>
        </w:rPr>
      </w:pPr>
      <w:r>
        <w:rPr>
          <w:rFonts w:ascii="宋体" w:hAnsi="宋体" w:cs="宋体" w:eastAsia="宋体" w:hint="ascii"/>
          <w:sz w:val="21"/>
        </w:rPr>
        <w:t>新一代通信系统理论与网络技术（申请代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52"/>
        </w:rPr>
        <w:t>1</w:t>
      </w:r>
      <w:r>
        <w:rPr>
          <w:rFonts w:ascii="宋体" w:hAnsi="宋体" w:cs="宋体" w:eastAsia="宋体" w:hint="ascii"/>
          <w:sz w:val="21"/>
          <w:spacing w:val="27"/>
        </w:rPr>
        <w:t>或</w:t>
      </w:r>
      <w:r>
        <w:rPr>
          <w:rFonts w:ascii="Times New Roman" w:hAnsi="Times New Roman" w:cs="Times New Roman" w:eastAsia="Times New Roman" w:hint="ascii"/>
          <w:b w:val="1"/>
          <w:sz w:val="21"/>
        </w:rPr>
        <w:t>F0</w:t>
      </w:r>
      <w:r>
        <w:rPr>
          <w:rFonts w:ascii="Times New Roman" w:hAnsi="Times New Roman" w:cs="Times New Roman" w:eastAsia="Times New Roman" w:hint="ascii"/>
          <w:b w:val="1"/>
          <w:sz w:val="21"/>
          <w:spacing w:val="52"/>
        </w:rPr>
        <w:t>5</w:t>
      </w:r>
      <w:r>
        <w:rPr>
          <w:rFonts w:ascii="宋体" w:hAnsi="宋体" w:cs="宋体" w:eastAsia="宋体" w:hint="ascii"/>
          <w:sz w:val="21"/>
        </w:rPr>
        <w:t>的下属代码）</w:t>
      </w:r>
    </w:p>
    <w:p>
      <w:pPr>
        <w:autoSpaceDE w:val="0"/>
        <w:autoSpaceDN w:val="0"/>
        <w:jc w:val="both"/>
        <w:spacing w:before="17" w:after="0" w:lineRule="exact" w:line="312"/>
        <w:ind w:right="974"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面向广</w:t>
      </w:r>
      <w:r>
        <w:rPr>
          <w:rFonts w:ascii="宋体" w:hAnsi="宋体" w:cs="宋体" w:eastAsia="宋体" w:hint="ascii"/>
          <w:sz w:val="21"/>
        </w:rPr>
        <w:t>东地区新一代通信技术发展的重大需求，围绕具有产业前景的通信与网络技术、先进电子器件、射频技术领域开展基础理论与应用研究。主要研究方向：</w:t>
      </w:r>
    </w:p>
    <w:p>
      <w:pPr>
        <w:autoSpaceDE w:val="0"/>
        <w:autoSpaceDN w:val="0"/>
        <w:jc w:val="left"/>
        <w:spacing w:before="433"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）面向新一代移动通信的高能效传输；</w:t>
      </w:r>
      <w:r>
        <w:rPr>
          <w:rFonts w:ascii="宋体" w:hAnsi="宋体" w:cs="宋体" w:eastAsia="宋体" w:hint="ascii"/>
          <w:sz w:val="21"/>
        </w:rPr>
        <mc:AlternateContent>
          <mc:Choice Requires="wps">
            <w:drawing>
              <wp:anchor distL="0" distR="0" distT="0" distB="0" simplePos="0" behindDoc="1" relativeHeight="289" locked="0" layoutInCell="1" allowOverlap="1">
                <wp:simplePos x="0" y="0"/>
                <wp:positionH relativeFrom="page">
                  <wp:posOffset>938530</wp:posOffset>
                </wp:positionH>
                <wp:positionV relativeFrom="page">
                  <wp:posOffset>819150</wp:posOffset>
                </wp:positionV>
                <wp:extent cx="5076190" cy="0"/>
                <wp:wrapNone/>
                <wp:docPr id="1318" name="131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62304;width:399.70pt;" id="131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）无线通信中的能量传输机制与频谱共享；</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）光波导器件研制与光通信。</w:t>
      </w:r>
    </w:p>
    <w:p>
      <w:pPr>
        <w:autoSpaceDE w:val="0"/>
        <w:autoSpaceDN w:val="0"/>
        <w:jc w:val="both"/>
        <w:spacing w:before="10" w:after="0" w:lineRule="exact" w:line="312"/>
        <w:ind w:right="963" w:left="966" w:firstLine="420"/>
        <w:snapToGrid w:val="0"/>
        <w:textAlignment w:val="auto"/>
        <w:tabs>
          <w:tab w:val="left" w:leader="none" w:pos="1648"/>
        </w:tabs>
        <w:numPr>
          <w:ilvl w:val="0"/>
          <w:numId w:val="322"/>
        </w:numPr>
        <w:rPr>
          <w:rFonts w:ascii="Times New Roman" w:hAnsi="Times New Roman" w:cs="Times New Roman" w:eastAsia="Times New Roman" w:hint="ascii"/>
          <w:sz w:val="21"/>
        </w:rPr>
      </w:pPr>
      <w:r>
        <w:rPr>
          <w:rFonts w:ascii="宋体" w:hAnsi="宋体" w:cs="宋体" w:eastAsia="宋体" w:hint="ascii"/>
          <w:sz w:val="21"/>
          <w:spacing w:val="-1"/>
        </w:rPr>
        <w:t>面</w:t>
      </w:r>
      <w:r>
        <w:rPr>
          <w:rFonts w:ascii="宋体" w:hAnsi="宋体" w:cs="宋体" w:eastAsia="宋体" w:hint="ascii"/>
          <w:sz w:val="21"/>
        </w:rPr>
        <w:t>向行业应用的物联网通信理论与技术（申请代码</w:t>
      </w:r>
      <w:r>
        <w:rPr>
          <w:rFonts w:ascii="宋体" w:hAnsi="宋体" w:cs="宋体" w:eastAsia="宋体" w:hint="ascii"/>
          <w:sz w:val="21"/>
          <w:spacing w:val="-10"/>
        </w:rPr>
        <w:t xml:space="preserve"> </w:t>
      </w:r>
      <w:r>
        <w:rPr>
          <w:rFonts w:ascii="Times New Roman" w:hAnsi="Times New Roman" w:cs="Times New Roman" w:eastAsia="Times New Roman" w:hint="ascii"/>
          <w:b w:val="1"/>
          <w:sz w:val="21"/>
        </w:rPr>
        <w:t>2</w:t>
      </w:r>
      <w:r>
        <w:rPr>
          <w:rFonts w:ascii="Times New Roman" w:hAnsi="Times New Roman" w:cs="Times New Roman" w:eastAsia="Times New Roman" w:hint="ascii"/>
          <w:b w:val="1"/>
          <w:sz w:val="21"/>
          <w:spacing w:val="-10"/>
        </w:rPr>
        <w:t xml:space="preserve"> </w:t>
      </w:r>
      <w:r>
        <w:rPr>
          <w:rFonts w:ascii="宋体" w:hAnsi="宋体" w:cs="宋体" w:eastAsia="宋体" w:hint="ascii"/>
          <w:sz w:val="21"/>
        </w:rPr>
        <w:t>选择</w:t>
      </w:r>
      <w:r>
        <w:rPr>
          <w:rFonts w:ascii="宋体" w:hAnsi="宋体" w:cs="宋体" w:eastAsia="宋体" w:hint="ascii"/>
          <w:sz w:val="21"/>
          <w:spacing w:val="-9"/>
        </w:rPr>
        <w:t xml:space="preserve"> </w:t>
      </w:r>
      <w:r>
        <w:rPr>
          <w:rFonts w:ascii="Times New Roman" w:hAnsi="Times New Roman" w:cs="Times New Roman" w:eastAsia="Times New Roman" w:hint="ascii"/>
          <w:b w:val="1"/>
          <w:sz w:val="21"/>
        </w:rPr>
        <w:t>F01</w:t>
      </w:r>
      <w:r>
        <w:rPr>
          <w:rFonts w:ascii="宋体" w:hAnsi="宋体" w:cs="宋体" w:eastAsia="宋体" w:hint="ascii"/>
          <w:sz w:val="21"/>
        </w:rPr>
        <w:t>、</w:t>
      </w:r>
      <w:r>
        <w:rPr>
          <w:rFonts w:ascii="Times New Roman" w:hAnsi="Times New Roman" w:cs="Times New Roman" w:eastAsia="Times New Roman" w:hint="ascii"/>
          <w:b w:val="1"/>
          <w:sz w:val="21"/>
        </w:rPr>
        <w:t>F02</w:t>
      </w:r>
      <w:r>
        <w:rPr>
          <w:rFonts w:ascii="Times New Roman" w:hAnsi="Times New Roman" w:cs="Times New Roman" w:eastAsia="Times New Roman" w:hint="ascii"/>
          <w:b w:val="1"/>
          <w:sz w:val="21"/>
          <w:spacing w:val="-10"/>
        </w:rPr>
        <w:t xml:space="preserve"> </w:t>
      </w:r>
      <w:r>
        <w:rPr>
          <w:rFonts w:ascii="宋体" w:hAnsi="宋体" w:cs="宋体" w:eastAsia="宋体" w:hint="ascii"/>
          <w:sz w:val="21"/>
        </w:rPr>
        <w:t>或</w:t>
      </w:r>
      <w:r>
        <w:rPr>
          <w:rFonts w:ascii="宋体" w:hAnsi="宋体" w:cs="宋体" w:eastAsia="宋体" w:hint="ascii"/>
          <w:sz w:val="21"/>
          <w:spacing w:val="-9"/>
        </w:rPr>
        <w:t xml:space="preserve"> </w:t>
      </w:r>
      <w:r>
        <w:rPr>
          <w:rFonts w:ascii="Times New Roman" w:hAnsi="Times New Roman" w:cs="Times New Roman" w:eastAsia="Times New Roman" w:hint="ascii"/>
          <w:b w:val="1"/>
          <w:sz w:val="21"/>
        </w:rPr>
        <w:t>F03</w:t>
      </w:r>
      <w:r>
        <w:rPr>
          <w:rFonts w:ascii="Times New Roman" w:hAnsi="Times New Roman" w:cs="Times New Roman" w:eastAsia="Times New Roman" w:hint="ascii"/>
          <w:b w:val="1"/>
          <w:sz w:val="21"/>
          <w:spacing w:val="-10"/>
        </w:rPr>
        <w:t xml:space="preserve"> </w:t>
      </w:r>
      <w:r>
        <w:rPr>
          <w:rFonts w:ascii="宋体" w:hAnsi="宋体" w:cs="宋体" w:eastAsia="宋体" w:hint="ascii"/>
          <w:sz w:val="21"/>
        </w:rPr>
        <w:t>的下属代码）</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围绕物联网通</w:t>
      </w:r>
      <w:r>
        <w:rPr>
          <w:rFonts w:ascii="宋体" w:hAnsi="宋体" w:cs="宋体" w:eastAsia="宋体" w:hint="ascii"/>
          <w:sz w:val="21"/>
        </w:rPr>
        <w:t>信发展过程中的关键共性科学问题，开展关于物联网终端设备、信息安全、软件定义物联网及物联网通信等新一代物联网理论与关键技术的研究。</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）低功耗物联网终端设备及信息安全；</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）面向大数据场景的软件定义物联网；</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）面向行业应用的物联网信息传输与接入方法；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）面向智能制造的工业互联网技术与应用。</w:t>
      </w:r>
    </w:p>
    <w:p>
      <w:pPr>
        <w:autoSpaceDE w:val="0"/>
        <w:autoSpaceDN w:val="0"/>
        <w:jc w:val="left"/>
        <w:spacing w:before="17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（二）人口与健康领域（申请代</w:t>
      </w:r>
      <w:r>
        <w:rPr>
          <w:rFonts w:ascii="宋体" w:hAnsi="宋体" w:cs="宋体" w:eastAsia="宋体" w:hint="ascii"/>
          <w:spacing w:val="30"/>
        </w:rPr>
        <w:t>码</w:t>
      </w:r>
      <w:r>
        <w:rPr>
          <w:rFonts w:ascii="宋体" w:hAnsi="宋体" w:cs="宋体" w:eastAsia="宋体" w:hint="ascii"/>
          <w:spacing w:val="56"/>
        </w:rPr>
        <w:t>1</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2"/>
        </w:rPr>
        <w:t>L</w:t>
      </w:r>
      <w:r>
        <w:rPr>
          <w:rFonts w:ascii="宋体" w:hAnsi="宋体" w:cs="宋体" w:eastAsia="宋体" w:hint="ascii"/>
        </w:rPr>
        <w:t>02）</w:t>
      </w:r>
    </w:p>
    <w:p>
      <w:pPr>
        <w:autoSpaceDE w:val="0"/>
        <w:autoSpaceDN w:val="0"/>
        <w:jc w:val="left"/>
        <w:spacing w:before="197" w:after="0" w:lineRule="auto" w:line="240"/>
        <w:ind w:right="0" w:left="1649" w:hanging="263"/>
        <w:snapToGrid w:val="0"/>
        <w:textAlignment w:val="auto"/>
        <w:tabs>
          <w:tab w:val="left" w:leader="none" w:pos="1648"/>
        </w:tabs>
        <w:numPr>
          <w:ilvl w:val="0"/>
          <w:numId w:val="323"/>
        </w:numPr>
        <w:rPr>
          <w:rFonts w:ascii="Times New Roman" w:hAnsi="Times New Roman" w:cs="Times New Roman" w:eastAsia="Times New Roman" w:hint="ascii"/>
          <w:sz w:val="21"/>
        </w:rPr>
      </w:pPr>
      <w:r>
        <w:rPr>
          <w:rFonts w:ascii="宋体" w:hAnsi="宋体" w:cs="宋体" w:eastAsia="宋体" w:hint="ascii"/>
          <w:sz w:val="21"/>
        </w:rPr>
        <w:t>华南重大疾病的发生机制、流行规律及新型检测原理与方法</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）病原感染及免疫的分子机制研究</w:t>
      </w:r>
      <w:r>
        <w:rPr>
          <w:rFonts w:ascii="宋体" w:hAnsi="宋体" w:cs="宋体" w:eastAsia="宋体" w:hint="ascii"/>
          <w:b w:val="1"/>
          <w:sz w:val="21"/>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H10</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）影像组学在疾病早期诊断与转归中的研究（申请代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H18</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）内分泌系统肿瘤的发生机制与预警（申请代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H16</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）基于基因组、宏基因组等多组学的疾病发生机制研究（申请代码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5"/>
        </w:rPr>
        <w:t xml:space="preserve"> </w:t>
      </w:r>
      <w:r>
        <w:rPr>
          <w:rFonts w:ascii="Times New Roman" w:hAnsi="Times New Roman" w:cs="Times New Roman" w:eastAsia="Times New Roman" w:hint="ascii"/>
          <w:sz w:val="21"/>
        </w:rPr>
        <w:t>H</w:t>
      </w:r>
      <w:r>
        <w:rPr>
          <w:rFonts w:ascii="Times New Roman" w:hAnsi="Times New Roman" w:cs="Times New Roman" w:eastAsia="Times New Roman" w:hint="ascii"/>
          <w:sz w:val="21"/>
          <w:spacing w:val="-6"/>
        </w:rPr>
        <w:t xml:space="preserve"> </w:t>
      </w:r>
      <w:r>
        <w:rPr>
          <w:rFonts w:ascii="宋体" w:hAnsi="宋体" w:cs="宋体" w:eastAsia="宋体" w:hint="ascii"/>
          <w:sz w:val="21"/>
        </w:rPr>
        <w:t>代码下对应系统疾病的申请代码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23"/>
        </w:numPr>
        <w:rPr>
          <w:rFonts w:ascii="Times New Roman" w:hAnsi="Times New Roman" w:cs="Times New Roman" w:eastAsia="Times New Roman" w:hint="ascii"/>
          <w:sz w:val="21"/>
        </w:rPr>
      </w:pPr>
      <w:r>
        <w:rPr>
          <w:rFonts w:ascii="宋体" w:hAnsi="宋体" w:cs="宋体" w:eastAsia="宋体" w:hint="ascii"/>
          <w:sz w:val="21"/>
        </w:rPr>
        <w:t>生物医药</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）基于新结构、新靶点的创新药物研发（申请代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H30</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）免疫、</w:t>
      </w:r>
      <w:r>
        <w:rPr>
          <w:rFonts w:ascii="宋体" w:hAnsi="宋体" w:cs="宋体" w:eastAsia="宋体" w:hint="ascii"/>
          <w:sz w:val="21"/>
        </w:rPr>
        <w:t>基因、细胞治疗等现代生物医药技术的研发（申请代码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5"/>
        </w:rPr>
        <w:t xml:space="preserve"> </w:t>
      </w:r>
      <w:r>
        <w:rPr>
          <w:rFonts w:ascii="Times New Roman" w:hAnsi="Times New Roman" w:cs="Times New Roman" w:eastAsia="Times New Roman" w:hint="ascii"/>
          <w:sz w:val="21"/>
        </w:rPr>
        <w:t>H</w:t>
      </w:r>
      <w:r>
        <w:rPr>
          <w:rFonts w:ascii="Times New Roman" w:hAnsi="Times New Roman" w:cs="Times New Roman" w:eastAsia="Times New Roman" w:hint="ascii"/>
          <w:sz w:val="21"/>
          <w:spacing w:val="-7"/>
        </w:rPr>
        <w:t xml:space="preserve"> </w:t>
      </w:r>
      <w:r>
        <w:rPr>
          <w:rFonts w:ascii="宋体" w:hAnsi="宋体" w:cs="宋体" w:eastAsia="宋体" w:hint="ascii"/>
          <w:sz w:val="21"/>
        </w:rPr>
        <w:t>代码下对应系统疾病的申请代码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）华南道地中药材、南海海洋药用生物的作用机制及现代化评价（申请代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2</w:t>
      </w:r>
      <w:r>
        <w:rPr>
          <w:rFonts w:ascii="宋体" w:hAnsi="宋体" w:cs="宋体" w:eastAsia="宋体" w:hint="ascii"/>
          <w:sz w:val="21"/>
        </w:rPr>
        <w:t>华南道地中药材选</w:t>
      </w:r>
      <w:r>
        <w:rPr>
          <w:rFonts w:ascii="宋体" w:hAnsi="宋体" w:cs="宋体" w:eastAsia="宋体" w:hint="ascii"/>
          <w:sz w:val="21"/>
          <w:spacing w:val="27"/>
        </w:rPr>
        <w:t>择</w:t>
      </w:r>
      <w:r>
        <w:rPr>
          <w:rFonts w:ascii="Times New Roman" w:hAnsi="Times New Roman" w:cs="Times New Roman" w:eastAsia="Times New Roman" w:hint="ascii"/>
          <w:sz w:val="21"/>
        </w:rPr>
        <w:t>H28</w:t>
      </w:r>
      <w:r>
        <w:rPr>
          <w:rFonts w:ascii="宋体" w:hAnsi="宋体" w:cs="宋体" w:eastAsia="宋体" w:hint="ascii"/>
          <w:sz w:val="21"/>
        </w:rPr>
        <w:t>，南海海洋药用生物选</w:t>
      </w:r>
      <w:r>
        <w:rPr>
          <w:rFonts w:ascii="宋体" w:hAnsi="宋体" w:cs="宋体" w:eastAsia="宋体" w:hint="ascii"/>
          <w:sz w:val="21"/>
          <w:spacing w:val="27"/>
        </w:rPr>
        <w:t>择</w:t>
      </w:r>
      <w:r>
        <w:rPr>
          <w:rFonts w:ascii="Times New Roman" w:hAnsi="Times New Roman" w:cs="Times New Roman" w:eastAsia="Times New Roman" w:hint="ascii"/>
          <w:sz w:val="21"/>
        </w:rPr>
        <w:t>H30</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（三）先进材料与智能精密制造领域（申请代</w:t>
      </w:r>
      <w:r>
        <w:rPr>
          <w:rFonts w:ascii="宋体" w:hAnsi="宋体" w:cs="宋体" w:eastAsia="宋体" w:hint="ascii"/>
          <w:spacing w:val="30"/>
        </w:rPr>
        <w:t>码</w:t>
      </w:r>
      <w:r>
        <w:rPr>
          <w:rFonts w:ascii="宋体" w:hAnsi="宋体" w:cs="宋体" w:eastAsia="宋体" w:hint="ascii"/>
          <w:spacing w:val="56"/>
        </w:rPr>
        <w:t>1</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2"/>
        </w:rPr>
        <w:t>L</w:t>
      </w:r>
      <w:r>
        <w:rPr>
          <w:rFonts w:ascii="宋体" w:hAnsi="宋体" w:cs="宋体" w:eastAsia="宋体" w:hint="ascii"/>
        </w:rPr>
        <w:t>04）</w:t>
      </w:r>
    </w:p>
    <w:p>
      <w:pPr>
        <w:autoSpaceDE w:val="0"/>
        <w:autoSpaceDN w:val="0"/>
        <w:jc w:val="left"/>
        <w:spacing w:before="197" w:after="0" w:lineRule="auto" w:line="240"/>
        <w:ind w:right="0" w:left="1386" w:firstLine="0"/>
        <w:snapToGrid w:val="0"/>
        <w:textAlignment w:val="auto"/>
        <w:tabs>
          <w:tab w:val="left" w:leader="none" w:pos="1648"/>
        </w:tabs>
        <w:numPr>
          <w:ilvl w:val="0"/>
          <w:numId w:val="324"/>
        </w:numPr>
        <w:rPr>
          <w:rFonts w:ascii="Times New Roman" w:hAnsi="Times New Roman" w:cs="Times New Roman" w:eastAsia="Times New Roman" w:hint="ascii"/>
          <w:sz w:val="21"/>
        </w:rPr>
      </w:pPr>
      <w:r>
        <w:rPr>
          <w:rFonts w:ascii="宋体" w:hAnsi="宋体" w:cs="宋体" w:eastAsia="宋体" w:hint="ascii"/>
          <w:sz w:val="21"/>
        </w:rPr>
        <w:t>新型功能材料（申请代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E01</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2</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3</w:t>
      </w:r>
      <w:r>
        <w:rPr>
          <w:rFonts w:ascii="宋体" w:hAnsi="宋体" w:cs="宋体" w:eastAsia="宋体" w:hint="ascii"/>
          <w:sz w:val="21"/>
        </w:rPr>
        <w:t>的下属代码）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）面向显示、照明、通信的新型电子材料与器件；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）面向新能源汽车、电子信息的高性能储能材料与技术；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）新型生物医用材料；</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）发光与光子材料及器件制备的新原理、新工艺。</w:t>
      </w:r>
    </w:p>
    <w:p>
      <w:pPr>
        <w:autoSpaceDE w:val="0"/>
        <w:autoSpaceDN w:val="0"/>
        <w:jc w:val="both"/>
        <w:spacing w:before="10" w:after="0" w:lineRule="exact" w:line="312"/>
        <w:ind w:right="1066" w:left="1386" w:firstLine="0"/>
        <w:snapToGrid w:val="0"/>
        <w:textAlignment w:val="auto"/>
        <w:tabs>
          <w:tab w:val="left" w:leader="none" w:pos="1648"/>
        </w:tabs>
        <w:numPr>
          <w:ilvl w:val="0"/>
          <w:numId w:val="324"/>
        </w:numPr>
        <w:rPr>
          <w:rFonts w:ascii="Times New Roman" w:hAnsi="Times New Roman" w:cs="Times New Roman" w:eastAsia="Times New Roman" w:hint="ascii"/>
          <w:sz w:val="21"/>
        </w:rPr>
      </w:pPr>
      <w:r>
        <w:rPr>
          <w:rFonts w:ascii="宋体" w:hAnsi="宋体" w:cs="宋体" w:eastAsia="宋体" w:hint="ascii"/>
          <w:sz w:val="21"/>
          <w:spacing w:val="-1"/>
        </w:rPr>
        <w:t>高性能基</w:t>
      </w:r>
      <w:r>
        <w:rPr>
          <w:rFonts w:ascii="宋体" w:hAnsi="宋体" w:cs="宋体" w:eastAsia="宋体" w:hint="ascii"/>
          <w:sz w:val="21"/>
        </w:rPr>
        <w:t>础材料（申请代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E01</w:t>
      </w:r>
      <w:r>
        <w:rPr>
          <w:rFonts w:ascii="宋体" w:hAnsi="宋体" w:cs="宋体" w:eastAsia="宋体" w:hint="ascii"/>
          <w:sz w:val="21"/>
        </w:rPr>
        <w:t>、</w:t>
      </w:r>
      <w:r>
        <w:rPr>
          <w:rFonts w:ascii="Times New Roman" w:hAnsi="Times New Roman" w:cs="Times New Roman" w:eastAsia="Times New Roman" w:hint="ascii"/>
          <w:b w:val="1"/>
          <w:sz w:val="21"/>
        </w:rPr>
        <w:t>E02</w:t>
      </w:r>
      <w:r>
        <w:rPr>
          <w:rFonts w:ascii="宋体" w:hAnsi="宋体" w:cs="宋体" w:eastAsia="宋体" w:hint="ascii"/>
          <w:sz w:val="21"/>
        </w:rPr>
        <w:t>、</w:t>
      </w:r>
      <w:r>
        <w:rPr>
          <w:rFonts w:ascii="Times New Roman" w:hAnsi="Times New Roman" w:cs="Times New Roman" w:eastAsia="Times New Roman" w:hint="ascii"/>
          <w:b w:val="1"/>
          <w:sz w:val="21"/>
        </w:rPr>
        <w:t>E03</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8</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9</w:t>
      </w:r>
      <w:r>
        <w:rPr>
          <w:rFonts w:ascii="宋体" w:hAnsi="宋体" w:cs="宋体" w:eastAsia="宋体" w:hint="ascii"/>
          <w:sz w:val="21"/>
        </w:rPr>
        <w:t>的下属代码）</w:t>
      </w:r>
      <w:r>
        <w:rPr>
          <w:rFonts w:ascii="宋体" w:hAnsi="宋体" w:cs="宋体" w:eastAsia="宋体" w:hint="ascii"/>
          <w:sz w:val="21"/>
        </w:rPr>
        <w:t>针对高性能基础材料开展基础科学问题和应用技术研究。主要研究方向：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）海洋工程用高性能高分子材料及其复合材料；</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）先进金属材料制备与加工；</w:t>
      </w:r>
    </w:p>
    <w:p>
      <w:pPr>
        <w:autoSpaceDE w:val="0"/>
        <w:autoSpaceDN w:val="0"/>
        <w:jc w:val="left"/>
        <w:spacing w:before="28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）表面防护用新型精细化工材料；</w:t>
      </w:r>
      <w:r>
        <w:rPr>
          <w:rFonts w:ascii="宋体" w:hAnsi="宋体" w:cs="宋体" w:eastAsia="宋体" w:hint="ascii"/>
          <w:sz w:val="21"/>
        </w:rPr>
        <mc:AlternateContent>
          <mc:Choice Requires="wps">
            <w:drawing>
              <wp:anchor distL="0" distR="0" distT="0" distB="0" simplePos="0" behindDoc="1" relativeHeight="290" locked="0" layoutInCell="1" allowOverlap="1">
                <wp:simplePos x="0" y="0"/>
                <wp:positionH relativeFrom="page">
                  <wp:posOffset>938530</wp:posOffset>
                </wp:positionH>
                <wp:positionV relativeFrom="page">
                  <wp:posOffset>805815</wp:posOffset>
                </wp:positionV>
                <wp:extent cx="5076190" cy="0"/>
                <wp:wrapNone/>
                <wp:docPr id="1319" name="131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61280;width:399.70pt;" id="131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）高性能节能与智能建筑通用材料。</w:t>
      </w:r>
    </w:p>
    <w:p>
      <w:pPr>
        <w:autoSpaceDE w:val="0"/>
        <w:autoSpaceDN w:val="0"/>
        <w:jc w:val="left"/>
        <w:spacing w:before="49" w:after="0" w:lineRule="auto" w:line="240"/>
        <w:ind w:right="0" w:left="1386" w:firstLine="0"/>
        <w:snapToGrid w:val="0"/>
        <w:textAlignment w:val="auto"/>
        <w:tabs>
          <w:tab w:val="left" w:leader="none" w:pos="1648"/>
        </w:tabs>
        <w:numPr>
          <w:ilvl w:val="0"/>
          <w:numId w:val="324"/>
        </w:numPr>
        <w:rPr>
          <w:rFonts w:ascii="Times New Roman" w:hAnsi="Times New Roman" w:cs="Times New Roman" w:eastAsia="Times New Roman" w:hint="ascii"/>
          <w:sz w:val="21"/>
        </w:rPr>
      </w:pPr>
      <w:r>
        <w:rPr>
          <w:rFonts w:ascii="宋体" w:hAnsi="宋体" w:cs="宋体" w:eastAsia="宋体" w:hint="ascii"/>
          <w:sz w:val="21"/>
        </w:rPr>
        <w:t>智能精密制造（申请代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5</w:t>
      </w:r>
      <w:r>
        <w:rPr>
          <w:rFonts w:ascii="宋体" w:hAnsi="宋体" w:cs="宋体" w:eastAsia="宋体" w:hint="ascii"/>
          <w:sz w:val="21"/>
        </w:rPr>
        <w:t>的下属代码）</w:t>
      </w:r>
    </w:p>
    <w:p>
      <w:pPr>
        <w:autoSpaceDE w:val="0"/>
        <w:autoSpaceDN w:val="0"/>
        <w:jc w:val="both"/>
        <w:spacing w:before="17" w:after="0" w:lineRule="exact" w:line="312"/>
        <w:ind w:right="967" w:left="966" w:firstLine="404"/>
        <w:snapToGrid w:val="0"/>
        <w:textAlignment w:val="auto"/>
        <w:tabs/>
        <w:rPr>
          <w:rFonts w:ascii="宋体" w:hAnsi="宋体" w:cs="宋体" w:eastAsia="宋体" w:hint="ascii"/>
          <w:sz w:val="21"/>
        </w:rPr>
      </w:pPr>
      <w:r>
        <w:rPr>
          <w:rFonts w:ascii="宋体" w:hAnsi="宋体" w:cs="宋体" w:eastAsia="宋体" w:hint="ascii"/>
          <w:sz w:val="21"/>
          <w:spacing w:val="-4"/>
        </w:rPr>
        <w:t>针对广东</w:t>
      </w:r>
      <w:r>
        <w:rPr>
          <w:rFonts w:ascii="宋体" w:hAnsi="宋体" w:cs="宋体" w:eastAsia="宋体" w:hint="ascii"/>
          <w:sz w:val="21"/>
          <w:spacing w:val="-5"/>
        </w:rPr>
        <w:t>省</w:t>
      </w:r>
      <w:r>
        <w:rPr>
          <w:rFonts w:ascii="宋体" w:hAnsi="宋体" w:cs="宋体" w:eastAsia="宋体" w:hint="ascii"/>
          <w:sz w:val="21"/>
          <w:spacing w:val="-4"/>
        </w:rPr>
        <w:t>战略新兴</w:t>
      </w:r>
      <w:r>
        <w:rPr>
          <w:rFonts w:ascii="宋体" w:hAnsi="宋体" w:cs="宋体" w:eastAsia="宋体" w:hint="ascii"/>
          <w:sz w:val="21"/>
          <w:spacing w:val="-5"/>
        </w:rPr>
        <w:t>产</w:t>
      </w:r>
      <w:r>
        <w:rPr>
          <w:rFonts w:ascii="宋体" w:hAnsi="宋体" w:cs="宋体" w:eastAsia="宋体" w:hint="ascii"/>
          <w:sz w:val="21"/>
          <w:spacing w:val="-4"/>
        </w:rPr>
        <w:t>业与精密</w:t>
      </w:r>
      <w:r>
        <w:rPr>
          <w:rFonts w:ascii="宋体" w:hAnsi="宋体" w:cs="宋体" w:eastAsia="宋体" w:hint="ascii"/>
          <w:sz w:val="21"/>
          <w:spacing w:val="-5"/>
        </w:rPr>
        <w:t>制</w:t>
      </w:r>
      <w:r>
        <w:rPr>
          <w:rFonts w:ascii="宋体" w:hAnsi="宋体" w:cs="宋体" w:eastAsia="宋体" w:hint="ascii"/>
          <w:sz w:val="21"/>
          <w:spacing w:val="-4"/>
        </w:rPr>
        <w:t>造的发展</w:t>
      </w:r>
      <w:r>
        <w:rPr>
          <w:rFonts w:ascii="宋体" w:hAnsi="宋体" w:cs="宋体" w:eastAsia="宋体" w:hint="ascii"/>
          <w:sz w:val="21"/>
          <w:spacing w:val="-5"/>
        </w:rPr>
        <w:t>趋</w:t>
      </w:r>
      <w:r>
        <w:rPr>
          <w:rFonts w:ascii="宋体" w:hAnsi="宋体" w:cs="宋体" w:eastAsia="宋体" w:hint="ascii"/>
          <w:sz w:val="21"/>
          <w:spacing w:val="-4"/>
        </w:rPr>
        <w:t>势和前瞻</w:t>
      </w:r>
      <w:r>
        <w:rPr>
          <w:rFonts w:ascii="宋体" w:hAnsi="宋体" w:cs="宋体" w:eastAsia="宋体" w:hint="ascii"/>
          <w:sz w:val="21"/>
          <w:spacing w:val="-5"/>
        </w:rPr>
        <w:t>性</w:t>
      </w:r>
      <w:r>
        <w:rPr>
          <w:rFonts w:ascii="宋体" w:hAnsi="宋体" w:cs="宋体" w:eastAsia="宋体" w:hint="ascii"/>
          <w:sz w:val="21"/>
          <w:spacing w:val="-4"/>
        </w:rPr>
        <w:t>需求，开</w:t>
      </w:r>
      <w:r>
        <w:rPr>
          <w:rFonts w:ascii="宋体" w:hAnsi="宋体" w:cs="宋体" w:eastAsia="宋体" w:hint="ascii"/>
          <w:sz w:val="21"/>
          <w:spacing w:val="-5"/>
        </w:rPr>
        <w:t>展</w:t>
      </w:r>
      <w:r>
        <w:rPr>
          <w:rFonts w:ascii="宋体" w:hAnsi="宋体" w:cs="宋体" w:eastAsia="宋体" w:hint="ascii"/>
          <w:sz w:val="21"/>
          <w:spacing w:val="-4"/>
        </w:rPr>
        <w:t>精密加</w:t>
      </w:r>
      <w:r>
        <w:rPr>
          <w:rFonts w:ascii="宋体" w:hAnsi="宋体" w:cs="宋体" w:eastAsia="宋体" w:hint="ascii"/>
          <w:sz w:val="21"/>
          <w:spacing w:val="-3"/>
        </w:rPr>
        <w:t>工</w:t>
      </w:r>
      <w:r>
        <w:rPr>
          <w:rFonts w:ascii="宋体" w:hAnsi="宋体" w:cs="宋体" w:eastAsia="宋体" w:hint="ascii"/>
          <w:sz w:val="21"/>
          <w:spacing w:val="-4"/>
        </w:rPr>
        <w:t>、微</w:t>
      </w:r>
      <w:r>
        <w:rPr>
          <w:rFonts w:ascii="宋体" w:hAnsi="宋体" w:cs="宋体" w:eastAsia="宋体" w:hint="ascii"/>
          <w:sz w:val="21"/>
          <w:spacing w:val="-1"/>
        </w:rPr>
        <w:t>纳</w:t>
      </w:r>
      <w:r>
        <w:rPr>
          <w:rFonts w:ascii="宋体" w:hAnsi="宋体" w:cs="宋体" w:eastAsia="宋体" w:hint="ascii"/>
          <w:sz w:val="21"/>
        </w:rPr>
        <w:t xml:space="preserve"> </w:t>
      </w:r>
      <w:r>
        <w:rPr>
          <w:rFonts w:ascii="宋体" w:hAnsi="宋体" w:cs="宋体" w:eastAsia="宋体" w:hint="ascii"/>
          <w:sz w:val="21"/>
          <w:spacing w:val="-4"/>
        </w:rPr>
        <w:t>加工和智能装备所涉及的制造新技术、新方法和新理论等前沿科学研究。主要研究方向</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）先进材料表面微纳结构的精密加工及性能作用机制；</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）光</w:t>
      </w:r>
      <w:r>
        <w:rPr>
          <w:rFonts w:ascii="Times New Roman" w:hAnsi="Times New Roman" w:cs="Times New Roman" w:eastAsia="Times New Roman" w:hint="ascii"/>
          <w:sz w:val="21"/>
        </w:rPr>
        <w:t>/</w:t>
      </w:r>
      <w:r>
        <w:rPr>
          <w:rFonts w:ascii="宋体" w:hAnsi="宋体" w:cs="宋体" w:eastAsia="宋体" w:hint="ascii"/>
          <w:sz w:val="21"/>
        </w:rPr>
        <w:t>微电子智能精密制造装备共性关键技术；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）多场辅助精密加工理论及关键技术；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）工业机器人关键零部件精密制造新方法。</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20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4" w:after="0" w:lineRule="exact" w:line="325"/>
        <w:ind w:right="967"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w:t>
      </w:r>
      <w:r>
        <w:rPr>
          <w:rFonts w:ascii="宋体" w:hAnsi="宋体" w:cs="宋体" w:eastAsia="宋体" w:hint="ascii"/>
          <w:sz w:val="21"/>
          <w:spacing w:val="-4"/>
        </w:rPr>
        <w:t>申请书资助类</w:t>
      </w:r>
      <w:r>
        <w:rPr>
          <w:rFonts w:ascii="宋体" w:hAnsi="宋体" w:cs="宋体" w:eastAsia="宋体" w:hint="ascii"/>
          <w:sz w:val="21"/>
          <w:spacing w:val="-3"/>
        </w:rPr>
        <w:t>别选</w:t>
      </w:r>
      <w:r>
        <w:rPr>
          <w:rFonts w:ascii="宋体" w:hAnsi="宋体" w:cs="宋体" w:eastAsia="宋体" w:hint="ascii"/>
          <w:sz w:val="21"/>
          <w:spacing w:val="-4"/>
        </w:rPr>
        <w:t>择“联</w:t>
      </w:r>
      <w:r>
        <w:rPr>
          <w:rFonts w:ascii="宋体" w:hAnsi="宋体" w:cs="宋体" w:eastAsia="宋体" w:hint="ascii"/>
          <w:sz w:val="21"/>
          <w:spacing w:val="-3"/>
        </w:rPr>
        <w:t>合基</w:t>
      </w:r>
      <w:r>
        <w:rPr>
          <w:rFonts w:ascii="宋体" w:hAnsi="宋体" w:cs="宋体" w:eastAsia="宋体" w:hint="ascii"/>
          <w:sz w:val="21"/>
          <w:spacing w:val="-4"/>
        </w:rPr>
        <w:t>金项</w:t>
      </w:r>
      <w:r>
        <w:rPr>
          <w:rFonts w:ascii="宋体" w:hAnsi="宋体" w:cs="宋体" w:eastAsia="宋体" w:hint="ascii"/>
          <w:sz w:val="21"/>
          <w:spacing w:val="-3"/>
        </w:rPr>
        <w:t>目</w:t>
      </w:r>
      <w:r>
        <w:rPr>
          <w:rFonts w:ascii="宋体" w:hAnsi="宋体" w:cs="宋体" w:eastAsia="宋体" w:hint="ascii"/>
          <w:sz w:val="21"/>
          <w:spacing w:val="-53"/>
        </w:rPr>
        <w:t>”</w:t>
      </w:r>
      <w:r>
        <w:rPr>
          <w:rFonts w:ascii="宋体" w:hAnsi="宋体" w:cs="宋体" w:eastAsia="宋体" w:hint="ascii"/>
          <w:sz w:val="21"/>
          <w:spacing w:val="-3"/>
        </w:rPr>
        <w:t>，</w:t>
      </w:r>
      <w:r>
        <w:rPr>
          <w:rFonts w:ascii="宋体" w:hAnsi="宋体" w:cs="宋体" w:eastAsia="宋体" w:hint="ascii"/>
          <w:sz w:val="21"/>
          <w:spacing w:val="-2"/>
        </w:rPr>
        <w:t>亚</w:t>
      </w:r>
      <w:r>
        <w:rPr>
          <w:rFonts w:ascii="宋体" w:hAnsi="宋体" w:cs="宋体" w:eastAsia="宋体" w:hint="ascii"/>
          <w:sz w:val="21"/>
          <w:spacing w:val="-3"/>
        </w:rPr>
        <w:t>类说明</w:t>
      </w:r>
      <w:r>
        <w:rPr>
          <w:rFonts w:ascii="宋体" w:hAnsi="宋体" w:cs="宋体" w:eastAsia="宋体" w:hint="ascii"/>
          <w:sz w:val="21"/>
          <w:spacing w:val="-2"/>
        </w:rPr>
        <w:t>选择</w:t>
      </w:r>
      <w:r>
        <w:rPr>
          <w:rFonts w:ascii="宋体" w:hAnsi="宋体" w:cs="宋体" w:eastAsia="宋体" w:hint="ascii"/>
          <w:sz w:val="21"/>
          <w:spacing w:val="-3"/>
        </w:rPr>
        <w:t>“重点</w:t>
      </w:r>
      <w:r>
        <w:rPr>
          <w:rFonts w:ascii="宋体" w:hAnsi="宋体" w:cs="宋体" w:eastAsia="宋体" w:hint="ascii"/>
          <w:sz w:val="21"/>
          <w:spacing w:val="-2"/>
        </w:rPr>
        <w:t>支持</w:t>
      </w:r>
      <w:r>
        <w:rPr>
          <w:rFonts w:ascii="宋体" w:hAnsi="宋体" w:cs="宋体" w:eastAsia="宋体" w:hint="ascii"/>
          <w:sz w:val="21"/>
          <w:spacing w:val="-3"/>
        </w:rPr>
        <w:t>项目</w:t>
      </w:r>
      <w:r>
        <w:rPr>
          <w:rFonts w:ascii="宋体" w:hAnsi="宋体" w:cs="宋体" w:eastAsia="宋体" w:hint="ascii"/>
          <w:sz w:val="21"/>
          <w:spacing w:val="-1"/>
        </w:rPr>
        <w:t>”或“集</w:t>
      </w:r>
      <w:r>
        <w:rPr>
          <w:rFonts w:ascii="宋体" w:hAnsi="宋体" w:cs="宋体" w:eastAsia="宋体" w:hint="ascii"/>
          <w:sz w:val="21"/>
        </w:rPr>
        <w:t xml:space="preserve"> </w:t>
      </w:r>
      <w:r>
        <w:rPr>
          <w:rFonts w:ascii="宋体" w:hAnsi="宋体" w:cs="宋体" w:eastAsia="宋体" w:hint="ascii"/>
          <w:sz w:val="21"/>
          <w:spacing w:val="-3"/>
        </w:rPr>
        <w:t>成项目</w:t>
      </w:r>
      <w:r>
        <w:rPr>
          <w:rFonts w:ascii="宋体" w:hAnsi="宋体" w:cs="宋体" w:eastAsia="宋体" w:hint="ascii"/>
          <w:sz w:val="21"/>
          <w:spacing w:val="-54"/>
        </w:rPr>
        <w:t>”</w:t>
      </w:r>
      <w:r>
        <w:rPr>
          <w:rFonts w:ascii="宋体" w:hAnsi="宋体" w:cs="宋体" w:eastAsia="宋体" w:hint="ascii"/>
          <w:sz w:val="21"/>
          <w:spacing w:val="-3"/>
        </w:rPr>
        <w:t>，附注说明选择“</w:t>
      </w:r>
      <w:r>
        <w:rPr>
          <w:rFonts w:ascii="Times New Roman" w:hAnsi="Times New Roman" w:cs="Times New Roman" w:eastAsia="Times New Roman" w:hint="ascii"/>
          <w:sz w:val="21"/>
          <w:spacing w:val="-3"/>
        </w:rPr>
        <w:t>NS</w:t>
      </w:r>
      <w:r>
        <w:rPr>
          <w:rFonts w:ascii="Times New Roman" w:hAnsi="Times New Roman" w:cs="Times New Roman" w:eastAsia="Times New Roman" w:hint="ascii"/>
          <w:sz w:val="21"/>
          <w:spacing w:val="-4"/>
        </w:rPr>
        <w:t>F</w:t>
      </w:r>
      <w:r>
        <w:rPr>
          <w:rFonts w:ascii="Times New Roman" w:hAnsi="Times New Roman" w:cs="Times New Roman" w:eastAsia="Times New Roman" w:hint="ascii"/>
          <w:sz w:val="21"/>
          <w:spacing w:val="-3"/>
        </w:rPr>
        <w:t>C</w:t>
      </w:r>
      <w:r>
        <w:rPr>
          <w:rFonts w:ascii="宋体" w:hAnsi="宋体" w:cs="宋体" w:eastAsia="宋体" w:hint="ascii"/>
          <w:sz w:val="21"/>
          <w:spacing w:val="-3"/>
        </w:rPr>
        <w:t>-</w:t>
      </w:r>
      <w:r>
        <w:rPr>
          <w:rFonts w:ascii="宋体" w:hAnsi="宋体" w:cs="宋体" w:eastAsia="宋体" w:hint="ascii"/>
          <w:sz w:val="21"/>
          <w:spacing w:val="-3"/>
        </w:rPr>
        <w:t>广东</w:t>
      </w:r>
      <w:r>
        <w:rPr>
          <w:rFonts w:ascii="宋体" w:hAnsi="宋体" w:cs="宋体" w:eastAsia="宋体" w:hint="ascii"/>
          <w:sz w:val="21"/>
          <w:spacing w:val="-2"/>
        </w:rPr>
        <w:t>联</w:t>
      </w:r>
      <w:r>
        <w:rPr>
          <w:rFonts w:ascii="宋体" w:hAnsi="宋体" w:cs="宋体" w:eastAsia="宋体" w:hint="ascii"/>
          <w:sz w:val="21"/>
          <w:spacing w:val="-3"/>
        </w:rPr>
        <w:t>合基金</w:t>
      </w:r>
      <w:r>
        <w:rPr>
          <w:rFonts w:ascii="宋体" w:hAnsi="宋体" w:cs="宋体" w:eastAsia="宋体" w:hint="ascii"/>
          <w:sz w:val="21"/>
          <w:spacing w:val="-54"/>
        </w:rPr>
        <w:t>”</w:t>
      </w:r>
      <w:r>
        <w:rPr>
          <w:rFonts w:ascii="宋体" w:hAnsi="宋体" w:cs="宋体" w:eastAsia="宋体" w:hint="ascii"/>
          <w:sz w:val="21"/>
          <w:spacing w:val="-3"/>
        </w:rPr>
        <w:t>。申请代码必须按本《指南》要求选择</w:t>
      </w:r>
      <w:r>
        <w:rPr>
          <w:rFonts w:ascii="宋体" w:hAnsi="宋体" w:cs="宋体" w:eastAsia="宋体" w:hint="ascii"/>
          <w:sz w:val="21"/>
        </w:rPr>
        <w:t>。</w:t>
      </w:r>
    </w:p>
    <w:p>
      <w:pPr>
        <w:autoSpaceDE w:val="0"/>
        <w:autoSpaceDN w:val="0"/>
        <w:jc w:val="left"/>
        <w:spacing w:before="5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）本联合基金面向全国，鼓励申请人与广东省境内具有一定研究实力和研究条件</w:t>
      </w:r>
    </w:p>
    <w:p>
      <w:pPr>
        <w:autoSpaceDE w:val="0"/>
        <w:autoSpaceDN w:val="0"/>
        <w:jc w:val="both"/>
        <w:spacing w:before="14" w:after="0" w:lineRule="exact" w:line="325"/>
        <w:ind w:right="967" w:left="966" w:firstLine="0"/>
        <w:snapToGrid w:val="0"/>
        <w:textAlignment w:val="auto"/>
        <w:tabs/>
        <w:rPr>
          <w:rFonts w:ascii="宋体" w:hAnsi="宋体" w:cs="宋体" w:eastAsia="宋体" w:hint="ascii"/>
          <w:b w:val="1"/>
          <w:sz w:val="21"/>
        </w:rPr>
      </w:pPr>
      <w:r>
        <w:rPr>
          <w:rFonts w:ascii="宋体" w:hAnsi="宋体" w:cs="宋体" w:eastAsia="宋体" w:hint="ascii"/>
          <w:sz w:val="21"/>
        </w:rPr>
        <w:t>的高等院校或研究机构开展合作研究。对于合作研究项目，应当在申请书中明确合作各方的合作内容、主要分工等。</w:t>
      </w:r>
      <w:r>
        <w:rPr>
          <w:rFonts w:ascii="宋体" w:hAnsi="宋体" w:cs="宋体" w:eastAsia="宋体" w:hint="ascii"/>
          <w:sz w:val="21"/>
        </w:rPr>
        <w:t>重点支持项目合作研究单位不得超</w:t>
      </w:r>
      <w:r>
        <w:rPr>
          <w:rFonts w:ascii="宋体" w:hAnsi="宋体" w:cs="宋体" w:eastAsia="宋体" w:hint="ascii"/>
          <w:sz w:val="21"/>
          <w:spacing w:val="27"/>
        </w:rPr>
        <w:t>过</w:t>
      </w:r>
      <w:r>
        <w:rPr>
          <w:rFonts w:ascii="Times New Roman" w:hAnsi="Times New Roman" w:cs="Times New Roman" w:eastAsia="Times New Roman" w:hint="ascii"/>
          <w:b w:val="1"/>
          <w:sz w:val="21"/>
          <w:spacing w:val="52"/>
        </w:rPr>
        <w:t>2</w:t>
      </w:r>
      <w:r>
        <w:rPr>
          <w:rFonts w:ascii="宋体" w:hAnsi="宋体" w:cs="宋体" w:eastAsia="宋体" w:hint="ascii"/>
          <w:sz w:val="21"/>
        </w:rPr>
        <w:t>个，集成项目合作研究单位不得超</w:t>
      </w:r>
      <w:r>
        <w:rPr>
          <w:rFonts w:ascii="宋体" w:hAnsi="宋体" w:cs="宋体" w:eastAsia="宋体" w:hint="ascii"/>
          <w:sz w:val="21"/>
          <w:spacing w:val="26"/>
        </w:rPr>
        <w:t>过</w:t>
      </w:r>
      <w:r>
        <w:rPr>
          <w:rFonts w:ascii="Times New Roman" w:hAnsi="Times New Roman" w:cs="Times New Roman" w:eastAsia="Times New Roman" w:hint="ascii"/>
          <w:b w:val="1"/>
          <w:sz w:val="21"/>
          <w:spacing w:val="52"/>
        </w:rPr>
        <w:t>3</w:t>
      </w:r>
      <w:r>
        <w:rPr>
          <w:rFonts w:ascii="宋体" w:hAnsi="宋体" w:cs="宋体" w:eastAsia="宋体" w:hint="ascii"/>
          <w:sz w:val="21"/>
        </w:rPr>
        <w:t>个</w:t>
      </w:r>
      <w:r>
        <w:rPr>
          <w:rFonts w:ascii="宋体" w:hAnsi="宋体" w:cs="宋体" w:eastAsia="宋体" w:hint="ascii"/>
          <w:b w:val="1"/>
          <w:sz w:val="21"/>
        </w:rPr>
        <w:t>。</w:t>
      </w:r>
    </w:p>
    <w:p>
      <w:pPr>
        <w:autoSpaceDE w:val="0"/>
        <w:autoSpaceDN w:val="0"/>
        <w:jc w:val="left"/>
        <w:spacing w:before="5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2" w:after="0" w:lineRule="exact" w:line="326"/>
        <w:ind w:right="967" w:left="966" w:firstLine="0"/>
        <w:snapToGrid w:val="0"/>
        <w:textAlignment w:val="auto"/>
        <w:tabs/>
        <w:rPr>
          <w:rFonts w:ascii="宋体" w:hAnsi="宋体" w:cs="宋体" w:eastAsia="宋体" w:hint="ascii"/>
          <w:sz w:val="21"/>
        </w:rPr>
      </w:pPr>
      <w:r>
        <w:rPr>
          <w:rFonts w:ascii="宋体" w:hAnsi="宋体" w:cs="宋体" w:eastAsia="宋体" w:hint="ascii"/>
          <w:sz w:val="21"/>
        </w:rPr>
        <w:t>研究内容和目标等由申请人提出，要求申请人按照重点支持项目申请书撰写提纲撰写申请书。如果申请人已经承担与本联合基金相关的国家其他科技计划项目，应当在申请书正文的“研究基础与工作条件”部分论述申请项目与其他相关项目的区别与联系。</w:t>
      </w:r>
    </w:p>
    <w:p>
      <w:pPr>
        <w:autoSpaceDE w:val="0"/>
        <w:autoSpaceDN w:val="0"/>
        <w:jc w:val="left"/>
        <w:spacing w:before="164" w:after="0" w:lineRule="exact" w:line="300"/>
        <w:ind w:right="0" w:left="138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rPr>
      </w:pPr>
      <w:r>
        <w:rPr>
          <w:rFonts w:ascii="宋体" w:hAnsi="宋体" w:cs="宋体" w:eastAsia="宋体" w:hint="ascii"/>
        </w:rPr>
        <w:t>联系方式</w:t>
      </w:r>
      <w:rPr>
        <w:rFonts w:ascii="宋体" w:hAnsi="宋体" w:cs="宋体" w:eastAsia="宋体" w:hint="ascii"/>
      </w:rPr>
    </w:p>
    <w:p>
      <w:pPr>
        <w:autoSpaceDE w:val="0"/>
        <w:autoSpaceDN w:val="0"/>
        <w:jc w:val="left"/>
        <w:spacing w:before="198"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spacing w:val="-5"/>
        </w:rPr>
        <w:t>国家自然科学基金委员会计划</w:t>
      </w:r>
      <w:r>
        <w:rPr>
          <w:rFonts w:ascii="宋体" w:hAnsi="宋体" w:cs="宋体" w:eastAsia="宋体" w:hint="ascii"/>
          <w:sz w:val="21"/>
        </w:rPr>
        <w:t>局</w:t>
      </w:r>
    </w:p>
    <w:p>
      <w:pPr>
        <w:autoSpaceDE w:val="0"/>
        <w:autoSpaceDN w:val="0"/>
        <w:jc w:val="left"/>
        <w:spacing w:before="49"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32"/>
        </w:rPr>
        <w:t xml:space="preserve"> </w:t>
      </w:r>
      <w:r>
        <w:rPr>
          <w:rFonts w:ascii="宋体" w:hAnsi="宋体" w:cs="宋体" w:eastAsia="宋体" w:hint="ascii"/>
          <w:sz w:val="21"/>
          <w:spacing w:val="-5"/>
        </w:rPr>
        <w:t>址：北京市海淀区双清</w:t>
      </w:r>
      <w:r>
        <w:rPr>
          <w:rFonts w:ascii="宋体" w:hAnsi="宋体" w:cs="宋体" w:eastAsia="宋体" w:hint="ascii"/>
          <w:sz w:val="21"/>
          <w:spacing w:val="20"/>
        </w:rPr>
        <w:t>路</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45"/>
        </w:rPr>
        <w:t>3</w:t>
      </w:r>
      <w:r>
        <w:rPr>
          <w:rFonts w:ascii="宋体" w:hAnsi="宋体" w:cs="宋体" w:eastAsia="宋体" w:hint="ascii"/>
          <w:sz w:val="21"/>
        </w:rPr>
        <w:t>号</w:t>
      </w:r>
    </w:p>
    <w:p>
      <w:pPr>
        <w:autoSpaceDE w:val="0"/>
        <w:autoSpaceDN w:val="0"/>
        <w:jc w:val="left"/>
        <w:spacing w:before="49" w:after="0" w:lineRule="exact" w:line="263"/>
        <w:ind w:right="0" w:left="136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10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08</w:t>
      </w:r>
      <w:r>
        <w:rPr>
          <w:rFonts w:ascii="Times New Roman" w:hAnsi="Times New Roman" w:cs="Times New Roman" w:eastAsia="Times New Roman" w:hint="ascii"/>
          <w:sz w:val="21"/>
        </w:rPr>
        <w:t>5</w:t>
      </w:r>
    </w:p>
    <w:p>
      <w:pPr>
        <w:autoSpaceDE w:val="0"/>
        <w:autoSpaceDN w:val="0"/>
        <w:jc w:val="left"/>
        <w:spacing w:before="49"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雷</w:t>
      </w:r>
      <w:r>
        <w:rPr>
          <w:rFonts w:ascii="宋体" w:hAnsi="宋体" w:cs="宋体" w:eastAsia="宋体" w:hint="ascii"/>
          <w:sz w:val="21"/>
          <w:spacing w:val="37"/>
        </w:rPr>
        <w:t xml:space="preserve"> </w:t>
      </w:r>
      <w:r>
        <w:rPr>
          <w:rFonts w:ascii="宋体" w:hAnsi="宋体" w:cs="宋体" w:eastAsia="宋体" w:hint="ascii"/>
          <w:sz w:val="21"/>
        </w:rPr>
        <w:t>蓉</w:t>
      </w:r>
      <w:r>
        <w:rPr>
          <w:rFonts w:ascii="宋体" w:hAnsi="宋体" w:cs="宋体" w:eastAsia="宋体" w:hint="ascii"/>
          <w:sz w:val="21"/>
          <w:spacing w:val="38"/>
        </w:rPr>
        <w:t xml:space="preserve"> </w:t>
      </w:r>
      <w:r>
        <w:rPr>
          <w:rFonts w:ascii="宋体" w:hAnsi="宋体" w:cs="宋体" w:eastAsia="宋体" w:hint="ascii"/>
          <w:sz w:val="21"/>
        </w:rPr>
        <w:t>王</w:t>
      </w:r>
      <w:r>
        <w:rPr>
          <w:rFonts w:ascii="宋体" w:hAnsi="宋体" w:cs="宋体" w:eastAsia="宋体" w:hint="ascii"/>
          <w:sz w:val="21"/>
          <w:spacing w:val="38"/>
        </w:rPr>
        <w:t xml:space="preserve"> </w:t>
      </w:r>
      <w:r>
        <w:rPr>
          <w:rFonts w:ascii="宋体" w:hAnsi="宋体" w:cs="宋体" w:eastAsia="宋体" w:hint="ascii"/>
          <w:sz w:val="21"/>
        </w:rPr>
        <w:t>岩</w:t>
      </w:r>
    </w:p>
    <w:p>
      <w:pPr>
        <w:autoSpaceDE w:val="0"/>
        <w:autoSpaceDN w:val="0"/>
        <w:jc w:val="both"/>
        <w:spacing w:before="10" w:after="0" w:lineRule="exact" w:line="312"/>
        <w:ind w:right="0" w:left="136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3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01</w:t>
      </w:r>
      <w:r>
        <w:rPr>
          <w:rFonts w:ascii="Times New Roman" w:hAnsi="Times New Roman" w:cs="Times New Roman" w:eastAsia="Times New Roman" w:hint="ascii"/>
          <w:sz w:val="21"/>
          <w:spacing w:val="-6"/>
        </w:rPr>
        <w:t>0</w:t>
      </w:r>
      <w:r>
        <w:rPr>
          <w:rFonts w:ascii="宋体" w:hAnsi="宋体" w:cs="宋体" w:eastAsia="宋体" w:hint="ascii"/>
          <w:sz w:val="21"/>
          <w:spacing w:val="-7"/>
        </w:rPr>
        <w:t>-</w:t>
      </w:r>
      <w:r>
        <w:rPr>
          <w:rFonts w:ascii="Times New Roman" w:hAnsi="Times New Roman" w:cs="Times New Roman" w:eastAsia="Times New Roman" w:hint="ascii"/>
          <w:sz w:val="21"/>
          <w:spacing w:val="-7"/>
        </w:rPr>
        <w:t>6</w:t>
      </w:r>
      <w:r>
        <w:rPr>
          <w:rFonts w:ascii="Times New Roman" w:hAnsi="Times New Roman" w:cs="Times New Roman" w:eastAsia="Times New Roman" w:hint="ascii"/>
          <w:sz w:val="21"/>
          <w:spacing w:val="-6"/>
        </w:rPr>
        <w:t>2</w:t>
      </w:r>
      <w:r>
        <w:rPr>
          <w:rFonts w:ascii="Times New Roman" w:hAnsi="Times New Roman" w:cs="Times New Roman" w:eastAsia="Times New Roman" w:hint="ascii"/>
          <w:sz w:val="21"/>
          <w:spacing w:val="-7"/>
        </w:rPr>
        <w:t>32</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7"/>
        </w:rPr>
        <w:t>484</w:t>
      </w:r>
      <w:r>
        <w:rPr>
          <w:rFonts w:ascii="宋体" w:hAnsi="宋体" w:cs="宋体" w:eastAsia="宋体" w:hint="ascii"/>
          <w:sz w:val="21"/>
          <w:spacing w:val="-7"/>
        </w:rPr>
        <w:t>，</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10</w:t>
      </w:r>
      <w:r>
        <w:rPr>
          <w:rFonts w:ascii="宋体" w:hAnsi="宋体" w:cs="宋体" w:eastAsia="宋体" w:hint="ascii"/>
          <w:sz w:val="21"/>
          <w:spacing w:val="-6"/>
        </w:rPr>
        <w:t>-</w:t>
      </w:r>
      <w:r>
        <w:rPr>
          <w:rFonts w:ascii="Times New Roman" w:hAnsi="Times New Roman" w:cs="Times New Roman" w:eastAsia="Times New Roman" w:hint="ascii"/>
          <w:sz w:val="21"/>
          <w:spacing w:val="-7"/>
        </w:rPr>
        <w:t>62</w:t>
      </w:r>
      <w:r>
        <w:rPr>
          <w:rFonts w:ascii="Times New Roman" w:hAnsi="Times New Roman" w:cs="Times New Roman" w:eastAsia="Times New Roman" w:hint="ascii"/>
          <w:sz w:val="21"/>
          <w:spacing w:val="-6"/>
        </w:rPr>
        <w:t>3</w:t>
      </w:r>
      <w:r>
        <w:rPr>
          <w:rFonts w:ascii="Times New Roman" w:hAnsi="Times New Roman" w:cs="Times New Roman" w:eastAsia="Times New Roman" w:hint="ascii"/>
          <w:sz w:val="21"/>
          <w:spacing w:val="-7"/>
        </w:rPr>
        <w:t>27</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2"/>
        </w:rPr>
        <w:t>5</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6"/>
        </w:rPr>
        <w:t>l</w:t>
      </w:r>
      <w:r>
        <w:rPr>
          <w:rFonts w:ascii="Times New Roman" w:hAnsi="Times New Roman" w:cs="Times New Roman" w:eastAsia="Times New Roman" w:hint="ascii"/>
          <w:sz w:val="21"/>
          <w:spacing w:val="-4"/>
        </w:rPr>
        <w:t>e</w:t>
      </w:r>
      <w:r>
        <w:rPr>
          <w:rFonts w:ascii="Times New Roman" w:hAnsi="Times New Roman" w:cs="Times New Roman" w:eastAsia="Times New Roman" w:hint="ascii"/>
          <w:sz w:val="21"/>
          <w:spacing w:val="-6"/>
        </w:rPr>
        <w:t>i</w:t>
      </w:r>
      <w:r>
        <w:rPr>
          <w:rFonts w:ascii="Times New Roman" w:hAnsi="Times New Roman" w:cs="Times New Roman" w:eastAsia="Times New Roman" w:hint="ascii"/>
          <w:sz w:val="21"/>
          <w:spacing w:val="-5"/>
        </w:rPr>
        <w:t>r</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nsfc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5"/>
        </w:rPr>
        <w:t>go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2364"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spacing w:val="-6"/>
        </w:rPr>
        <w:t>w</w:t>
      </w:r>
      <w:r>
        <w:rPr>
          <w:rFonts w:ascii="Times New Roman" w:hAnsi="Times New Roman" w:cs="Times New Roman" w:eastAsia="Times New Roman" w:hint="ascii"/>
          <w:sz w:val="21"/>
          <w:spacing w:val="-4"/>
        </w:rPr>
        <w:t>a</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y</w:t>
      </w:r>
      <w:r>
        <w:rPr>
          <w:rFonts w:ascii="Times New Roman" w:hAnsi="Times New Roman" w:cs="Times New Roman" w:eastAsia="Times New Roman" w:hint="ascii"/>
          <w:sz w:val="21"/>
          <w:spacing w:val="-6"/>
        </w:rPr>
        <w:t>a</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6"/>
        </w:rPr>
        <w:t>f</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198"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spacing w:val="-5"/>
        </w:rPr>
        <w:t>广东省科学技术</w:t>
      </w:r>
      <w:r>
        <w:rPr>
          <w:rFonts w:ascii="宋体" w:hAnsi="宋体" w:cs="宋体" w:eastAsia="宋体" w:hint="ascii"/>
          <w:sz w:val="21"/>
        </w:rPr>
        <w:t>厅</w:t>
      </w:r>
    </w:p>
    <w:p>
      <w:pPr>
        <w:autoSpaceDE w:val="0"/>
        <w:autoSpaceDN w:val="0"/>
        <w:jc w:val="both"/>
        <w:spacing w:before="10" w:after="0" w:lineRule="exact" w:line="312"/>
        <w:ind w:right="1174"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31"/>
        </w:rPr>
        <w:t xml:space="preserve"> </w:t>
      </w:r>
      <w:r>
        <w:rPr>
          <w:rFonts w:ascii="宋体" w:hAnsi="宋体" w:cs="宋体" w:eastAsia="宋体" w:hint="ascii"/>
          <w:sz w:val="21"/>
          <w:spacing w:val="-6"/>
        </w:rPr>
        <w:t>址：广</w:t>
      </w:r>
      <w:r>
        <w:rPr>
          <w:rFonts w:ascii="宋体" w:hAnsi="宋体" w:cs="宋体" w:eastAsia="宋体" w:hint="ascii"/>
          <w:sz w:val="21"/>
          <w:spacing w:val="-5"/>
        </w:rPr>
        <w:t>州市越秀区连新</w:t>
      </w:r>
      <w:r>
        <w:rPr>
          <w:rFonts w:ascii="宋体" w:hAnsi="宋体" w:cs="宋体" w:eastAsia="宋体" w:hint="ascii"/>
          <w:sz w:val="21"/>
          <w:spacing w:val="20"/>
        </w:rPr>
        <w:t>路</w:t>
      </w:r>
      <w:r>
        <w:rPr>
          <w:rFonts w:ascii="Times New Roman" w:hAnsi="Times New Roman" w:cs="Times New Roman" w:eastAsia="Times New Roman" w:hint="ascii"/>
          <w:sz w:val="21"/>
          <w:spacing w:val="-5"/>
        </w:rPr>
        <w:t>17</w:t>
      </w:r>
      <w:r>
        <w:rPr>
          <w:rFonts w:ascii="Times New Roman" w:hAnsi="Times New Roman" w:cs="Times New Roman" w:eastAsia="Times New Roman" w:hint="ascii"/>
          <w:sz w:val="21"/>
          <w:spacing w:val="45"/>
        </w:rPr>
        <w:t>1</w:t>
      </w:r>
      <w:r>
        <w:rPr>
          <w:rFonts w:ascii="宋体" w:hAnsi="宋体" w:cs="宋体" w:eastAsia="宋体" w:hint="ascii"/>
          <w:sz w:val="21"/>
        </w:rPr>
        <w:t>号邮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51</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03</w:t>
      </w:r>
      <w:r>
        <w:rPr>
          <w:rFonts w:ascii="Times New Roman" w:hAnsi="Times New Roman" w:cs="Times New Roman" w:eastAsia="Times New Roman" w:hint="ascii"/>
          <w:sz w:val="21"/>
        </w:rPr>
        <w:t>3</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人：段依</w:t>
      </w:r>
      <w:r>
        <w:rPr>
          <w:rFonts w:ascii="宋体" w:hAnsi="宋体" w:cs="宋体" w:eastAsia="宋体" w:hint="ascii"/>
          <w:sz w:val="21"/>
        </w:rPr>
        <w:t>竺</w:t>
      </w:r>
      <w:r>
        <w:rPr>
          <w:rFonts w:ascii="宋体" w:hAnsi="宋体" w:cs="宋体" w:eastAsia="宋体" w:hint="ascii"/>
          <w:sz w:val="21"/>
          <w:spacing w:val="37"/>
        </w:rPr>
        <w:t xml:space="preserve"> </w:t>
      </w:r>
      <w:r>
        <w:rPr>
          <w:rFonts w:ascii="宋体" w:hAnsi="宋体" w:cs="宋体" w:eastAsia="宋体" w:hint="ascii"/>
          <w:sz w:val="21"/>
          <w:spacing w:val="-5"/>
        </w:rPr>
        <w:t>钟自</w:t>
      </w:r>
      <w:r>
        <w:rPr>
          <w:rFonts w:ascii="宋体" w:hAnsi="宋体" w:cs="宋体" w:eastAsia="宋体" w:hint="ascii"/>
          <w:sz w:val="21"/>
        </w:rPr>
        <w:t>然</w:t>
      </w:r>
    </w:p>
    <w:p>
      <w:pPr>
        <w:autoSpaceDE w:val="0"/>
        <w:autoSpaceDN w:val="0"/>
        <w:jc w:val="both"/>
        <w:spacing w:before="10" w:after="0" w:lineRule="exact" w:line="312"/>
        <w:ind w:right="979"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3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02</w:t>
      </w:r>
      <w:r>
        <w:rPr>
          <w:rFonts w:ascii="Times New Roman" w:hAnsi="Times New Roman" w:cs="Times New Roman" w:eastAsia="Times New Roman" w:hint="ascii"/>
          <w:sz w:val="21"/>
          <w:spacing w:val="-6"/>
        </w:rPr>
        <w:t>0</w:t>
      </w:r>
      <w:r>
        <w:rPr>
          <w:rFonts w:ascii="宋体" w:hAnsi="宋体" w:cs="宋体" w:eastAsia="宋体" w:hint="ascii"/>
          <w:sz w:val="21"/>
          <w:spacing w:val="-7"/>
        </w:rPr>
        <w:t>-</w:t>
      </w:r>
      <w:r>
        <w:rPr>
          <w:rFonts w:ascii="Times New Roman" w:hAnsi="Times New Roman" w:cs="Times New Roman" w:eastAsia="Times New Roman" w:hint="ascii"/>
          <w:sz w:val="21"/>
          <w:spacing w:val="-7"/>
        </w:rPr>
        <w:t>8</w:t>
      </w:r>
      <w:r>
        <w:rPr>
          <w:rFonts w:ascii="Times New Roman" w:hAnsi="Times New Roman" w:cs="Times New Roman" w:eastAsia="Times New Roman" w:hint="ascii"/>
          <w:sz w:val="21"/>
          <w:spacing w:val="-6"/>
        </w:rPr>
        <w:t>3</w:t>
      </w:r>
      <w:r>
        <w:rPr>
          <w:rFonts w:ascii="Times New Roman" w:hAnsi="Times New Roman" w:cs="Times New Roman" w:eastAsia="Times New Roman" w:hint="ascii"/>
          <w:sz w:val="21"/>
          <w:spacing w:val="-7"/>
        </w:rPr>
        <w:t>16</w:t>
      </w:r>
      <w:r>
        <w:rPr>
          <w:rFonts w:ascii="Times New Roman" w:hAnsi="Times New Roman" w:cs="Times New Roman" w:eastAsia="Times New Roman" w:hint="ascii"/>
          <w:sz w:val="21"/>
          <w:spacing w:val="-6"/>
        </w:rPr>
        <w:t>3</w:t>
      </w:r>
      <w:r>
        <w:rPr>
          <w:rFonts w:ascii="Times New Roman" w:hAnsi="Times New Roman" w:cs="Times New Roman" w:eastAsia="Times New Roman" w:hint="ascii"/>
          <w:sz w:val="21"/>
          <w:spacing w:val="-7"/>
        </w:rPr>
        <w:t>335</w:t>
      </w:r>
      <w:r>
        <w:rPr>
          <w:rFonts w:ascii="宋体" w:hAnsi="宋体" w:cs="宋体" w:eastAsia="宋体" w:hint="ascii"/>
          <w:sz w:val="21"/>
          <w:spacing w:val="-7"/>
        </w:rPr>
        <w:t>，</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20</w:t>
      </w:r>
      <w:r>
        <w:rPr>
          <w:rFonts w:ascii="宋体" w:hAnsi="宋体" w:cs="宋体" w:eastAsia="宋体" w:hint="ascii"/>
          <w:sz w:val="21"/>
          <w:spacing w:val="-6"/>
        </w:rPr>
        <w:t>-</w:t>
      </w:r>
      <w:r>
        <w:rPr>
          <w:rFonts w:ascii="Times New Roman" w:hAnsi="Times New Roman" w:cs="Times New Roman" w:eastAsia="Times New Roman" w:hint="ascii"/>
          <w:sz w:val="21"/>
          <w:spacing w:val="-7"/>
        </w:rPr>
        <w:t>83</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7"/>
        </w:rPr>
        <w:t>63</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7"/>
        </w:rPr>
        <w:t>3</w:t>
      </w:r>
      <w:r>
        <w:rPr>
          <w:rFonts w:ascii="Times New Roman" w:hAnsi="Times New Roman" w:cs="Times New Roman" w:eastAsia="Times New Roman" w:hint="ascii"/>
          <w:sz w:val="21"/>
          <w:spacing w:val="-2"/>
        </w:rPr>
        <w:t>5</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5"/>
        </w:rPr>
        <w:t>dua</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yiz</w:t>
      </w:r>
      <w:r>
        <w:rPr>
          <w:rFonts w:ascii="Times New Roman" w:hAnsi="Times New Roman" w:cs="Times New Roman" w:eastAsia="Times New Roman" w:hint="ascii"/>
          <w:sz w:val="21"/>
          <w:spacing w:val="-4"/>
        </w:rPr>
        <w:t>hu</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5"/>
        </w:rPr>
        <w:t>g</w:t>
      </w:r>
      <w:r>
        <w:rPr>
          <w:rFonts w:ascii="Times New Roman" w:hAnsi="Times New Roman" w:cs="Times New Roman" w:eastAsia="Times New Roman" w:hint="ascii"/>
          <w:sz w:val="21"/>
          <w:spacing w:val="-4"/>
        </w:rPr>
        <w:t>d</w:t>
      </w:r>
      <w:r>
        <w:rPr>
          <w:rFonts w:ascii="Times New Roman" w:hAnsi="Times New Roman" w:cs="Times New Roman" w:eastAsia="Times New Roman" w:hint="ascii"/>
          <w:sz w:val="21"/>
          <w:spacing w:val="-5"/>
        </w:rPr>
        <w:t>te.c</w:t>
      </w:r>
      <w:r>
        <w:rPr>
          <w:rFonts w:ascii="Times New Roman" w:hAnsi="Times New Roman" w:cs="Times New Roman" w:eastAsia="Times New Roman" w:hint="ascii"/>
          <w:sz w:val="21"/>
        </w:rPr>
        <w:t>n</w:t>
      </w:r>
    </w:p>
    <w:p>
      <w:pPr>
        <w:autoSpaceDE w:val="0"/>
        <w:autoSpaceDN w:val="0"/>
        <w:jc w:val="left"/>
        <w:spacing w:before="54" w:after="0" w:lineRule="auto" w:line="240"/>
        <w:ind w:right="0" w:left="1045" w:firstLine="0"/>
        <w:snapToGrid w:val="0"/>
        <w:textAlignment w:val="auto"/>
        <w:tabs/>
        <w:sectPr>
          <w:type w:val="continuous"/>
          <w:pgSz w:w="10940" w:h="15080" w:orient="portrait"/>
          <w:pgMar w:top="508" w:right="508" w:bottom="508" w:left="508" w:header="0" w:footer="0" w:gutter="0"/>
          <w:cols w:num="2" w:space="0" w:equalWidth="0">
            <w:col w:w="4950" w:space="410"/>
            <w:col w:w="456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Times New Roman" w:hAnsi="Times New Roman" w:cs="Times New Roman" w:eastAsia="Times New Roman" w:hint="ascii"/>
          <w:sz w:val="21"/>
          <w:spacing w:val="-6"/>
        </w:rPr>
        <w:t>z</w:t>
      </w:r>
      <w:r>
        <w:rPr>
          <w:rFonts w:ascii="Times New Roman" w:hAnsi="Times New Roman" w:cs="Times New Roman" w:eastAsia="Times New Roman" w:hint="ascii"/>
          <w:sz w:val="21"/>
          <w:spacing w:val="-4"/>
        </w:rPr>
        <w:t>h</w:t>
      </w:r>
      <w:r>
        <w:rPr>
          <w:rFonts w:ascii="Times New Roman" w:hAnsi="Times New Roman" w:cs="Times New Roman" w:eastAsia="Times New Roman" w:hint="ascii"/>
          <w:sz w:val="21"/>
          <w:spacing w:val="-5"/>
        </w:rPr>
        <w:t>on</w:t>
      </w:r>
      <w:r>
        <w:rPr>
          <w:rFonts w:ascii="Times New Roman" w:hAnsi="Times New Roman" w:cs="Times New Roman" w:eastAsia="Times New Roman" w:hint="ascii"/>
          <w:sz w:val="21"/>
          <w:spacing w:val="-4"/>
        </w:rPr>
        <w:t>gz</w:t>
      </w:r>
      <w:r>
        <w:rPr>
          <w:rFonts w:ascii="Times New Roman" w:hAnsi="Times New Roman" w:cs="Times New Roman" w:eastAsia="Times New Roman" w:hint="ascii"/>
          <w:sz w:val="21"/>
          <w:spacing w:val="-5"/>
        </w:rPr>
        <w:t>r</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gd</w:t>
      </w:r>
      <w:r>
        <w:rPr>
          <w:rFonts w:ascii="Times New Roman" w:hAnsi="Times New Roman" w:cs="Times New Roman" w:eastAsia="Times New Roman" w:hint="ascii"/>
          <w:sz w:val="21"/>
          <w:spacing w:val="-6"/>
        </w:rPr>
        <w:t>st</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rPr>
        <w:rFonts w:ascii="Times New Roman" w:hAnsi="Times New Roman" w:cs="Times New Roman" w:eastAsia="Times New Roman" w:hint="ascii"/>
        <w:sz w:val="21"/>
      </w:rPr>
    </w:p>
    <w:p>
      <w:pPr>
        <w:autoSpaceDE w:val="0"/>
        <w:autoSpaceDN w:val="0"/>
        <w:jc w:val="left"/>
        <w:spacing w:before="489" w:after="0" w:lineRule="auto" w:line="240"/>
        <w:ind w:right="0" w:left="3210"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position w:val="2"/>
          <w:spacing w:val="31"/>
        </w:rPr>
        <w:t>-</w:t>
      </w:r>
      <w:r>
        <w:rPr>
          <w:rFonts w:ascii="宋体" w:hAnsi="宋体" w:cs="宋体" w:eastAsia="宋体" w:hint="ascii"/>
          <w:sz w:val="38"/>
        </w:rPr>
        <w:t>云南联合基金</w:t>
      </w:r>
    </w:p>
    <w:p>
      <w:pPr>
        <w:autoSpaceDE w:val="0"/>
        <w:autoSpaceDN w:val="0"/>
        <w:jc w:val="left"/>
        <w:spacing w:before="33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自然科学基金委与云南省人民政府共同设立联合基金（以下简称 </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云南联合</w:t>
      </w:r>
    </w:p>
    <w:p>
      <w:pPr>
        <w:autoSpaceDE w:val="0"/>
        <w:autoSpaceDN w:val="0"/>
        <w:jc w:val="both"/>
        <w:spacing w:before="10" w:after="0" w:lineRule="exact" w:line="312"/>
        <w:ind w:right="975" w:left="966" w:firstLine="0"/>
        <w:snapToGrid w:val="0"/>
        <w:textAlignment w:val="auto"/>
        <w:tabs/>
        <w:rPr>
          <w:rFonts w:ascii="宋体" w:hAnsi="宋体" w:cs="宋体" w:eastAsia="宋体" w:hint="ascii"/>
          <w:sz w:val="21"/>
        </w:rPr>
      </w:pPr>
      <w:r>
        <w:rPr>
          <w:rFonts w:ascii="宋体" w:hAnsi="宋体" w:cs="宋体" w:eastAsia="宋体" w:hint="ascii"/>
          <w:sz w:val="21"/>
        </w:rPr>
        <w:t>基金</w:t>
      </w:r>
      <w:r>
        <w:rPr>
          <w:rFonts w:ascii="宋体" w:hAnsi="宋体" w:cs="宋体" w:eastAsia="宋体" w:hint="ascii"/>
          <w:sz w:val="21"/>
          <w:spacing w:val="-52"/>
        </w:rPr>
        <w:t>）</w:t>
      </w:r>
      <w:r>
        <w:rPr>
          <w:rFonts w:ascii="宋体" w:hAnsi="宋体" w:cs="宋体" w:eastAsia="宋体" w:hint="ascii"/>
          <w:sz w:val="21"/>
        </w:rPr>
        <w:t>，旨在贯彻《国家创新驱动发展战略纲要》和全国科技创新大会精神，充分发挥</w:t>
      </w:r>
      <w:r>
        <w:rPr>
          <w:rFonts w:ascii="宋体" w:hAnsi="宋体" w:cs="宋体" w:eastAsia="宋体" w:hint="ascii"/>
          <w:sz w:val="21"/>
          <w:spacing w:val="-1"/>
        </w:rPr>
        <w:t>国家自然</w:t>
      </w:r>
      <w:r>
        <w:rPr>
          <w:rFonts w:ascii="宋体" w:hAnsi="宋体" w:cs="宋体" w:eastAsia="宋体" w:hint="ascii"/>
          <w:sz w:val="21"/>
        </w:rPr>
        <w:t>科学基金的导向作用，吸引和集聚全国的优秀科技人才，围绕云南省及周边地</w:t>
      </w:r>
    </w:p>
    <w:p>
      <w:pPr>
        <w:autoSpaceDE w:val="0"/>
        <w:autoSpaceDN w:val="0"/>
        <w:jc w:val="left"/>
        <w:spacing w:before="438"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both"/>
        <w:spacing w:before="257" w:after="0" w:lineRule="exact" w:line="312"/>
        <w:ind w:right="978" w:left="965" w:firstLine="0"/>
        <w:snapToGrid w:val="0"/>
        <w:textAlignment w:val="auto"/>
        <w:tabs/>
        <w:rPr>
          <w:rFonts w:ascii="宋体" w:hAnsi="宋体" w:cs="宋体" w:eastAsia="宋体" w:hint="ascii"/>
          <w:sz w:val="21"/>
        </w:rPr>
      </w:pPr>
      <w:r>
        <w:rPr>
          <w:rFonts w:ascii="宋体" w:hAnsi="宋体" w:cs="宋体" w:eastAsia="宋体" w:hint="ascii"/>
          <w:sz w:val="21"/>
          <w:spacing w:val="-1"/>
        </w:rPr>
        <w:t>区经济、社</w:t>
      </w:r>
      <w:r>
        <w:rPr>
          <w:rFonts w:ascii="宋体" w:hAnsi="宋体" w:cs="宋体" w:eastAsia="宋体" w:hint="ascii"/>
          <w:sz w:val="21"/>
        </w:rPr>
        <w:t>会、科技发展的重大科学问题和关键技术问题开展基础研究，带动云南省的</w:t>
      </w:r>
      <w:r>
        <w:rPr>
          <w:rFonts w:ascii="宋体" w:hAnsi="宋体" w:cs="宋体" w:eastAsia="宋体" w:hint="ascii"/>
          <w:sz w:val="21"/>
          <w:spacing w:val="-1"/>
        </w:rPr>
        <w:t>科技发展和</w:t>
      </w:r>
      <w:r>
        <w:rPr>
          <w:rFonts w:ascii="宋体" w:hAnsi="宋体" w:cs="宋体" w:eastAsia="宋体" w:hint="ascii"/>
          <w:sz w:val="21"/>
        </w:rPr>
        <w:t>人才队伍的建设，提升在滇高等院校和科研院所的自主创新能力和国际竞争力，促进云南省经济和社会可持续发展。</w:t>
      </w:r>
      <w:r>
        <w:rPr>
          <w:rFonts w:ascii="宋体" w:hAnsi="宋体" w:cs="宋体" w:eastAsia="宋体" w:hint="ascii"/>
          <w:sz w:val="21"/>
        </w:rPr>
        <mc:AlternateContent>
          <mc:Choice Requires="wps">
            <w:drawing>
              <wp:anchor distL="0" distR="0" distT="0" distB="0" simplePos="0" behindDoc="1" relativeHeight="291" locked="0" layoutInCell="1" allowOverlap="1">
                <wp:simplePos x="0" y="0"/>
                <wp:positionH relativeFrom="page">
                  <wp:posOffset>938530</wp:posOffset>
                </wp:positionH>
                <wp:positionV relativeFrom="page">
                  <wp:posOffset>819150</wp:posOffset>
                </wp:positionV>
                <wp:extent cx="5076190" cy="0"/>
                <wp:wrapNone/>
                <wp:docPr id="1320" name="132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60256;width:399.70pt;" id="132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云南联合基金</w:t>
      </w:r>
      <w:r>
        <w:rPr>
          <w:rFonts w:ascii="宋体" w:hAnsi="宋体" w:cs="宋体" w:eastAsia="宋体" w:hint="ascii"/>
          <w:sz w:val="21"/>
          <w:spacing w:val="-24"/>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5"/>
        </w:rPr>
        <w:t xml:space="preserve"> </w:t>
      </w:r>
      <w:r>
        <w:rPr>
          <w:rFonts w:ascii="宋体" w:hAnsi="宋体" w:cs="宋体" w:eastAsia="宋体" w:hint="ascii"/>
          <w:sz w:val="21"/>
        </w:rPr>
        <w:t>年度接收以下研究领域的重点支持项目申请，直接费用</w:t>
      </w:r>
    </w:p>
    <w:p>
      <w:pPr>
        <w:autoSpaceDE w:val="0"/>
        <w:autoSpaceDN w:val="0"/>
        <w:jc w:val="both"/>
        <w:spacing w:before="17" w:after="0" w:lineRule="exact" w:line="312"/>
        <w:ind w:right="978" w:left="965" w:firstLine="0"/>
        <w:snapToGrid w:val="0"/>
        <w:textAlignment w:val="auto"/>
        <w:tabs/>
        <w:rPr>
          <w:rFonts w:ascii="宋体" w:hAnsi="宋体" w:cs="宋体" w:eastAsia="宋体" w:hint="ascii"/>
          <w:sz w:val="21"/>
        </w:rPr>
      </w:pPr>
      <w:r>
        <w:rPr>
          <w:rFonts w:ascii="宋体" w:hAnsi="宋体" w:cs="宋体" w:eastAsia="宋体" w:hint="ascii"/>
          <w:sz w:val="21"/>
        </w:rPr>
        <w:t>平均资助强</w:t>
      </w:r>
      <w:r>
        <w:rPr>
          <w:rFonts w:ascii="宋体" w:hAnsi="宋体" w:cs="宋体" w:eastAsia="宋体" w:hint="ascii"/>
          <w:sz w:val="21"/>
          <w:spacing w:val="26"/>
        </w:rPr>
        <w:t>度</w:t>
      </w:r>
      <w:r>
        <w:rPr>
          <w:rFonts w:ascii="Times New Roman" w:hAnsi="Times New Roman" w:cs="Times New Roman" w:eastAsia="Times New Roman" w:hint="ascii"/>
          <w:sz w:val="21"/>
        </w:rPr>
        <w:t>24</w:t>
      </w:r>
      <w:r>
        <w:rPr>
          <w:rFonts w:ascii="Times New Roman" w:hAnsi="Times New Roman" w:cs="Times New Roman" w:eastAsia="Times New Roman" w:hint="ascii"/>
          <w:sz w:val="21"/>
          <w:spacing w:val="53"/>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53"/>
        </w:rPr>
        <w:t>（</w:t>
      </w:r>
      <w:r>
        <w:rPr>
          <w:rFonts w:ascii="宋体" w:hAnsi="宋体" w:cs="宋体" w:eastAsia="宋体" w:hint="ascii"/>
          <w:sz w:val="21"/>
        </w:rPr>
        <w:t>“一带一路背景下南亚东南亚区域合作与可持续发展战略研</w:t>
      </w:r>
      <w:r>
        <w:rPr>
          <w:rFonts w:ascii="宋体" w:hAnsi="宋体" w:cs="宋体" w:eastAsia="宋体" w:hint="ascii"/>
          <w:sz w:val="21"/>
          <w:spacing w:val="-1"/>
        </w:rPr>
        <w:t>究”方向</w:t>
      </w:r>
      <w:r>
        <w:rPr>
          <w:rFonts w:ascii="宋体" w:hAnsi="宋体" w:cs="宋体" w:eastAsia="宋体" w:hint="ascii"/>
          <w:sz w:val="21"/>
        </w:rPr>
        <w:t>的直接费用平均资助强度</w:t>
      </w:r>
      <w:r>
        <w:rPr>
          <w:rFonts w:ascii="宋体" w:hAnsi="宋体" w:cs="宋体" w:eastAsia="宋体" w:hint="ascii"/>
          <w:sz w:val="21"/>
          <w:spacing w:val="-15"/>
        </w:rPr>
        <w:t xml:space="preserve"> </w:t>
      </w:r>
      <w:r>
        <w:rPr>
          <w:rFonts w:ascii="Times New Roman" w:hAnsi="Times New Roman" w:cs="Times New Roman" w:eastAsia="Times New Roman" w:hint="ascii"/>
          <w:sz w:val="21"/>
        </w:rPr>
        <w:t>100</w:t>
      </w:r>
      <w:r>
        <w:rPr>
          <w:rFonts w:ascii="Times New Roman" w:hAnsi="Times New Roman" w:cs="Times New Roman" w:eastAsia="Times New Roman" w:hint="ascii"/>
          <w:sz w:val="21"/>
          <w:spacing w:val="-15"/>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53"/>
        </w:rPr>
        <w:t>）</w:t>
      </w:r>
      <w:r>
        <w:rPr>
          <w:rFonts w:ascii="宋体" w:hAnsi="宋体" w:cs="宋体" w:eastAsia="宋体" w:hint="ascii"/>
          <w:sz w:val="21"/>
        </w:rPr>
        <w:t>，资助期</w:t>
      </w:r>
      <w:r>
        <w:rPr>
          <w:rFonts w:ascii="宋体" w:hAnsi="宋体" w:cs="宋体" w:eastAsia="宋体" w:hint="ascii"/>
          <w:sz w:val="21"/>
          <w:spacing w:val="26"/>
        </w:rPr>
        <w:t>限</w:t>
      </w:r>
      <w:r>
        <w:rPr>
          <w:rFonts w:ascii="Times New Roman" w:hAnsi="Times New Roman" w:cs="Times New Roman" w:eastAsia="Times New Roman" w:hint="ascii"/>
          <w:sz w:val="21"/>
          <w:spacing w:val="52"/>
        </w:rPr>
        <w:t>4</w:t>
      </w:r>
      <w:r>
        <w:rPr>
          <w:rFonts w:ascii="宋体" w:hAnsi="宋体" w:cs="宋体" w:eastAsia="宋体" w:hint="ascii"/>
          <w:sz w:val="21"/>
        </w:rPr>
        <w:t>年。</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云南联合基金面向全国，欢迎符合条件的科学技术人员按照本《指南》范围和要求提出项目申请。</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一、生物多样性保护领域（申请代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L06</w:t>
      </w:r>
      <w:r>
        <w:rPr>
          <w:rFonts w:ascii="宋体" w:hAnsi="宋体" w:cs="宋体" w:eastAsia="宋体" w:hint="ascii"/>
        </w:rPr>
        <w:t>）</w:t>
      </w:r>
    </w:p>
    <w:p>
      <w:pPr>
        <w:autoSpaceDE w:val="0"/>
        <w:autoSpaceDN w:val="0"/>
        <w:jc w:val="left"/>
        <w:spacing w:before="205" w:after="0" w:lineRule="auto" w:line="240"/>
        <w:ind w:right="0" w:left="1649" w:hanging="263"/>
        <w:snapToGrid w:val="0"/>
        <w:textAlignment w:val="auto"/>
        <w:tabs>
          <w:tab w:val="left" w:leader="none" w:pos="1648"/>
        </w:tabs>
        <w:numPr>
          <w:ilvl w:val="0"/>
          <w:numId w:val="325"/>
        </w:numPr>
        <w:rPr>
          <w:rFonts w:ascii="Times New Roman" w:hAnsi="Times New Roman" w:cs="Times New Roman" w:eastAsia="Times New Roman" w:hint="ascii"/>
          <w:sz w:val="21"/>
        </w:rPr>
      </w:pPr>
      <w:r>
        <w:rPr>
          <w:rFonts w:ascii="宋体" w:hAnsi="宋体" w:cs="宋体" w:eastAsia="宋体" w:hint="ascii"/>
          <w:sz w:val="21"/>
        </w:rPr>
        <w:t>生物多样性</w:t>
      </w:r>
    </w:p>
    <w:p>
      <w:pPr>
        <w:autoSpaceDE w:val="0"/>
        <w:autoSpaceDN w:val="0"/>
        <w:jc w:val="both"/>
        <w:spacing w:before="19" w:after="0" w:lineRule="exact" w:line="324"/>
        <w:ind w:right="978" w:left="965" w:firstLine="420"/>
        <w:snapToGrid w:val="0"/>
        <w:textAlignment w:val="auto"/>
        <w:tabs/>
        <w:rPr>
          <w:rFonts w:ascii="宋体" w:hAnsi="宋体" w:cs="宋体" w:eastAsia="宋体" w:hint="ascii"/>
          <w:sz w:val="21"/>
        </w:rPr>
      </w:pPr>
      <w:r>
        <w:rPr>
          <w:rFonts w:ascii="宋体" w:hAnsi="宋体" w:cs="宋体" w:eastAsia="宋体" w:hint="ascii"/>
          <w:sz w:val="21"/>
          <w:spacing w:val="-1"/>
        </w:rPr>
        <w:t>针对云南高原</w:t>
      </w:r>
      <w:r>
        <w:rPr>
          <w:rFonts w:ascii="宋体" w:hAnsi="宋体" w:cs="宋体" w:eastAsia="宋体" w:hint="ascii"/>
          <w:sz w:val="21"/>
        </w:rPr>
        <w:t>重要动植物及微生物的生物类群多样性，开展分子、遗传、物种和生态系统多样性的研究。主要研究方向：</w:t>
      </w:r>
    </w:p>
    <w:p>
      <w:pPr>
        <w:autoSpaceDE w:val="0"/>
        <w:autoSpaceDN w:val="0"/>
        <w:jc w:val="both"/>
        <w:spacing w:before="0" w:after="0" w:lineRule="exact" w:line="324"/>
        <w:ind w:right="963" w:left="965"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 xml:space="preserve">）云南特色生物资源的调查、评估和保护（申请代码 </w:t>
      </w:r>
      <w:r>
        <w:rPr>
          <w:rFonts w:ascii="Times New Roman" w:hAnsi="Times New Roman" w:cs="Times New Roman" w:eastAsia="Times New Roman" w:hint="ascii"/>
          <w:sz w:val="21"/>
        </w:rPr>
        <w:t xml:space="preserve">2 </w:t>
      </w:r>
      <w:r>
        <w:rPr>
          <w:rFonts w:ascii="宋体" w:hAnsi="宋体" w:cs="宋体" w:eastAsia="宋体" w:hint="ascii"/>
          <w:sz w:val="21"/>
        </w:rPr>
        <w:t xml:space="preserve">选择 </w:t>
      </w:r>
      <w:r>
        <w:rPr>
          <w:rFonts w:ascii="Times New Roman" w:hAnsi="Times New Roman" w:cs="Times New Roman" w:eastAsia="Times New Roman" w:hint="ascii"/>
          <w:sz w:val="21"/>
        </w:rPr>
        <w:t>C0101</w:t>
      </w:r>
      <w:r>
        <w:rPr>
          <w:rFonts w:ascii="宋体" w:hAnsi="宋体" w:cs="宋体" w:eastAsia="宋体" w:hint="ascii"/>
          <w:sz w:val="21"/>
        </w:rPr>
        <w:t>、</w:t>
      </w:r>
      <w:r>
        <w:rPr>
          <w:rFonts w:ascii="Times New Roman" w:hAnsi="Times New Roman" w:cs="Times New Roman" w:eastAsia="Times New Roman" w:hint="ascii"/>
          <w:sz w:val="21"/>
        </w:rPr>
        <w:t xml:space="preserve">C0206 </w:t>
      </w:r>
      <w:r>
        <w:rPr>
          <w:rFonts w:ascii="宋体" w:hAnsi="宋体" w:cs="宋体" w:eastAsia="宋体" w:hint="ascii"/>
          <w:sz w:val="21"/>
        </w:rPr>
        <w:t>或</w:t>
      </w:r>
      <w:r>
        <w:rPr>
          <w:rFonts w:ascii="Times New Roman" w:hAnsi="Times New Roman" w:cs="Times New Roman" w:eastAsia="Times New Roman" w:hint="ascii"/>
          <w:sz w:val="21"/>
        </w:rPr>
        <w:t>C0404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24"/>
        <w:ind w:right="1157"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3"/>
        </w:rPr>
        <w:t>2</w:t>
      </w:r>
      <w:r>
        <w:rPr>
          <w:rFonts w:ascii="宋体" w:hAnsi="宋体" w:cs="宋体" w:eastAsia="宋体" w:hint="ascii"/>
          <w:sz w:val="21"/>
          <w:spacing w:val="-2"/>
        </w:rPr>
        <w:t>）</w:t>
      </w:r>
      <w:r>
        <w:rPr>
          <w:rFonts w:ascii="宋体" w:hAnsi="宋体" w:cs="宋体" w:eastAsia="宋体" w:hint="ascii"/>
          <w:sz w:val="21"/>
          <w:spacing w:val="-6"/>
        </w:rPr>
        <w:t>中国西南山地生物多样性形成格局和适应性演化</w:t>
      </w:r>
      <w:r>
        <w:rPr>
          <w:rFonts w:ascii="宋体" w:hAnsi="宋体" w:cs="宋体" w:eastAsia="宋体" w:hint="ascii"/>
          <w:sz w:val="21"/>
          <w:spacing w:val="-5"/>
        </w:rPr>
        <w:t>（申请代</w:t>
      </w:r>
      <w:r>
        <w:rPr>
          <w:rFonts w:ascii="宋体" w:hAnsi="宋体" w:cs="宋体" w:eastAsia="宋体" w:hint="ascii"/>
          <w:sz w:val="21"/>
          <w:spacing w:val="21"/>
        </w:rPr>
        <w:t>码</w:t>
      </w:r>
      <w:r>
        <w:rPr>
          <w:rFonts w:ascii="Times New Roman" w:hAnsi="Times New Roman" w:cs="Times New Roman" w:eastAsia="Times New Roman" w:hint="ascii"/>
          <w:sz w:val="21"/>
          <w:spacing w:val="45"/>
        </w:rPr>
        <w:t>2</w:t>
      </w:r>
      <w:r>
        <w:rPr>
          <w:rFonts w:ascii="宋体" w:hAnsi="宋体" w:cs="宋体" w:eastAsia="宋体" w:hint="ascii"/>
          <w:sz w:val="21"/>
          <w:spacing w:val="-5"/>
        </w:rPr>
        <w:t>选</w:t>
      </w:r>
      <w:r>
        <w:rPr>
          <w:rFonts w:ascii="宋体" w:hAnsi="宋体" w:cs="宋体" w:eastAsia="宋体" w:hint="ascii"/>
          <w:sz w:val="21"/>
          <w:spacing w:val="21"/>
        </w:rPr>
        <w:t>择</w:t>
      </w:r>
      <w:r>
        <w:rPr>
          <w:rFonts w:ascii="Times New Roman" w:hAnsi="Times New Roman" w:cs="Times New Roman" w:eastAsia="Times New Roman" w:hint="ascii"/>
          <w:sz w:val="21"/>
          <w:spacing w:val="-5"/>
        </w:rPr>
        <w:t>C031</w:t>
      </w:r>
      <w:r>
        <w:rPr>
          <w:rFonts w:ascii="Times New Roman" w:hAnsi="Times New Roman" w:cs="Times New Roman" w:eastAsia="Times New Roman" w:hint="ascii"/>
          <w:sz w:val="21"/>
          <w:spacing w:val="-4"/>
        </w:rPr>
        <w:t>2</w:t>
      </w:r>
      <w:r>
        <w:rPr>
          <w:rFonts w:ascii="Times New Roman" w:hAnsi="Times New Roman" w:cs="Times New Roman" w:eastAsia="Times New Roman" w:hint="ascii"/>
          <w:sz w:val="21"/>
          <w:spacing w:val="-5"/>
        </w:rPr>
        <w:t>01</w:t>
      </w:r>
      <w:r>
        <w:rPr>
          <w:rFonts w:ascii="宋体" w:hAnsi="宋体" w:cs="宋体" w:eastAsia="宋体" w:hint="ascii"/>
          <w:sz w:val="21"/>
          <w:spacing w:val="-56"/>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3</w:t>
      </w:r>
      <w:r>
        <w:rPr>
          <w:rFonts w:ascii="宋体" w:hAnsi="宋体" w:cs="宋体" w:eastAsia="宋体" w:hint="ascii"/>
          <w:sz w:val="21"/>
        </w:rPr>
        <w:t>）云南山地物种互作和维持机制（申请代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C030502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24"/>
        <w:ind w:right="1100"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）云南</w:t>
      </w:r>
      <w:r>
        <w:rPr>
          <w:rFonts w:ascii="宋体" w:hAnsi="宋体" w:cs="宋体" w:eastAsia="宋体" w:hint="ascii"/>
          <w:sz w:val="21"/>
        </w:rPr>
        <w:t>区域珍稀濒危物种生物多样性的综合保护（申请代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C031202</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）云南外来物种的入侵机制及防控机理（申请代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C0304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auto" w:line="240"/>
        <w:ind w:right="0" w:left="1648" w:hanging="263"/>
        <w:snapToGrid w:val="0"/>
        <w:textAlignment w:val="auto"/>
        <w:tabs>
          <w:tab w:val="left" w:leader="none" w:pos="1648"/>
        </w:tabs>
        <w:numPr>
          <w:ilvl w:val="0"/>
          <w:numId w:val="325"/>
        </w:numPr>
        <w:rPr>
          <w:rFonts w:ascii="Times New Roman" w:hAnsi="Times New Roman" w:cs="Times New Roman" w:eastAsia="Times New Roman" w:hint="ascii"/>
          <w:sz w:val="21"/>
        </w:rPr>
      </w:pPr>
      <w:r>
        <w:rPr>
          <w:rFonts w:ascii="宋体" w:hAnsi="宋体" w:cs="宋体" w:eastAsia="宋体" w:hint="ascii"/>
          <w:sz w:val="21"/>
        </w:rPr>
        <w:t>农林生物资源</w:t>
      </w:r>
    </w:p>
    <w:p>
      <w:pPr>
        <w:autoSpaceDE w:val="0"/>
        <w:autoSpaceDN w:val="0"/>
        <w:jc w:val="left"/>
        <w:spacing w:before="69" w:after="0" w:lineRule="exact" w:line="263"/>
        <w:ind w:right="0" w:left="1385"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left"/>
        <w:spacing w:before="5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）云南特色动物重要经济性状的遗传基础（申请代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C1701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9"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）云南特</w:t>
      </w:r>
      <w:r>
        <w:rPr>
          <w:rFonts w:ascii="宋体" w:hAnsi="宋体" w:cs="宋体" w:eastAsia="宋体" w:hint="ascii"/>
          <w:sz w:val="21"/>
        </w:rPr>
        <w:t>色植物（农作物、林木、园艺作物）种质资源挖掘及重要经济性状的遗传解析（申请代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C130</w:t>
      </w:r>
      <w:r>
        <w:rPr>
          <w:rFonts w:ascii="Times New Roman" w:hAnsi="Times New Roman" w:cs="Times New Roman" w:eastAsia="Times New Roman" w:hint="ascii"/>
          <w:sz w:val="21"/>
          <w:spacing w:val="52"/>
        </w:rPr>
        <w:t>4</w:t>
      </w:r>
      <w:r>
        <w:rPr>
          <w:rFonts w:ascii="宋体" w:hAnsi="宋体" w:cs="宋体" w:eastAsia="宋体" w:hint="ascii"/>
          <w:sz w:val="21"/>
        </w:rPr>
        <w:t>或</w:t>
      </w:r>
      <w:r>
        <w:rPr>
          <w:rFonts w:ascii="宋体" w:hAnsi="宋体" w:cs="宋体" w:eastAsia="宋体" w:hint="ascii"/>
          <w:sz w:val="21"/>
          <w:spacing w:val="26"/>
        </w:rPr>
        <w:t>者</w:t>
      </w:r>
      <w:r>
        <w:rPr>
          <w:rFonts w:ascii="Times New Roman" w:hAnsi="Times New Roman" w:cs="Times New Roman" w:eastAsia="Times New Roman" w:hint="ascii"/>
          <w:sz w:val="21"/>
        </w:rPr>
        <w:t>C1610/C16</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rPr>
        <w:t>1/C161</w:t>
      </w:r>
      <w:r>
        <w:rPr>
          <w:rFonts w:ascii="Times New Roman" w:hAnsi="Times New Roman" w:cs="Times New Roman" w:eastAsia="Times New Roman" w:hint="ascii"/>
          <w:sz w:val="21"/>
          <w:spacing w:val="52"/>
        </w:rPr>
        <w:t>2</w:t>
      </w:r>
      <w:r>
        <w:rPr>
          <w:rFonts w:ascii="宋体" w:hAnsi="宋体" w:cs="宋体" w:eastAsia="宋体" w:hint="ascii"/>
          <w:sz w:val="21"/>
        </w:rPr>
        <w:t>或</w:t>
      </w:r>
      <w:r>
        <w:rPr>
          <w:rFonts w:ascii="宋体" w:hAnsi="宋体" w:cs="宋体" w:eastAsia="宋体" w:hint="ascii"/>
          <w:sz w:val="21"/>
          <w:spacing w:val="26"/>
        </w:rPr>
        <w:t>者</w:t>
      </w:r>
      <w:r>
        <w:rPr>
          <w:rFonts w:ascii="Times New Roman" w:hAnsi="Times New Roman" w:cs="Times New Roman" w:eastAsia="Times New Roman" w:hint="ascii"/>
          <w:sz w:val="21"/>
        </w:rPr>
        <w:t>C1501/C1502/C1503</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1520"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）云南农田生态系统多样性功能及维持机制（申请代</w:t>
      </w:r>
      <w:r>
        <w:rPr>
          <w:rFonts w:ascii="宋体" w:hAnsi="宋体" w:cs="宋体" w:eastAsia="宋体" w:hint="ascii"/>
          <w:sz w:val="21"/>
          <w:spacing w:val="24"/>
        </w:rPr>
        <w:t>码</w:t>
      </w:r>
      <w:r>
        <w:rPr>
          <w:rFonts w:ascii="Times New Roman" w:hAnsi="Times New Roman" w:cs="Times New Roman" w:eastAsia="Times New Roman" w:hint="ascii"/>
          <w:sz w:val="21"/>
          <w:spacing w:val="51"/>
        </w:rPr>
        <w:t>2</w:t>
      </w:r>
      <w:r>
        <w:rPr>
          <w:rFonts w:ascii="宋体" w:hAnsi="宋体" w:cs="宋体" w:eastAsia="宋体" w:hint="ascii"/>
          <w:sz w:val="21"/>
          <w:spacing w:val="-1"/>
        </w:rPr>
        <w:t>选</w:t>
      </w:r>
      <w:r>
        <w:rPr>
          <w:rFonts w:ascii="宋体" w:hAnsi="宋体" w:cs="宋体" w:eastAsia="宋体" w:hint="ascii"/>
          <w:sz w:val="21"/>
          <w:spacing w:val="26"/>
        </w:rPr>
        <w:t>择</w:t>
      </w:r>
      <w:r>
        <w:rPr>
          <w:rFonts w:ascii="Times New Roman" w:hAnsi="Times New Roman" w:cs="Times New Roman" w:eastAsia="Times New Roman" w:hint="ascii"/>
          <w:sz w:val="21"/>
          <w:spacing w:val="-1"/>
        </w:rPr>
        <w:t>C030601</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 xml:space="preserve"> </w:t>
      </w: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）云南</w:t>
      </w:r>
      <w:r>
        <w:rPr>
          <w:rFonts w:ascii="宋体" w:hAnsi="宋体" w:cs="宋体" w:eastAsia="宋体" w:hint="ascii"/>
          <w:sz w:val="21"/>
        </w:rPr>
        <w:t>重要药用植物种质发掘及连作障碍机理（申请代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C0206</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二、人口与健康领域（申请代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L02</w:t>
      </w:r>
      <w:r>
        <w:rPr>
          <w:rFonts w:ascii="宋体" w:hAnsi="宋体" w:cs="宋体" w:eastAsia="宋体" w:hint="ascii"/>
        </w:rPr>
        <w:t>）</w:t>
      </w:r>
    </w:p>
    <w:p>
      <w:pPr>
        <w:autoSpaceDE w:val="0"/>
        <w:autoSpaceDN w:val="0"/>
        <w:jc w:val="left"/>
        <w:spacing w:before="157" w:after="0" w:lineRule="exact" w:line="312"/>
        <w:ind w:right="963"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spacing w:val="-4"/>
        </w:rPr>
        <w:t>利用云南特色资源，针对人类重大疾病的天然活性物质发现与疫苗研发的基础研</w:t>
      </w:r>
      <w:r>
        <w:rPr>
          <w:rFonts w:ascii="宋体" w:hAnsi="宋体" w:cs="宋体" w:eastAsia="宋体" w:hint="ascii"/>
          <w:sz w:val="21"/>
        </w:rPr>
        <w:t>究</w:t>
      </w:r>
      <w:r>
        <w:rPr>
          <w:rFonts w:ascii="宋体" w:hAnsi="宋体" w:cs="宋体" w:eastAsia="宋体" w:hint="ascii"/>
          <w:sz w:val="21"/>
        </w:rPr>
        <w:t>针对危害人类重大疾病，立足云南特色资源优势，开展动植物活性物质的发现、结</w:t>
      </w:r>
    </w:p>
    <w:p>
      <w:pPr>
        <w:autoSpaceDE w:val="0"/>
        <w:autoSpaceDN w:val="0"/>
        <w:jc w:val="both"/>
        <w:spacing w:before="0" w:after="0" w:lineRule="exact" w:line="312"/>
        <w:ind w:right="978" w:left="965" w:firstLine="0"/>
        <w:snapToGrid w:val="0"/>
        <w:textAlignment w:val="auto"/>
        <w:tabs/>
        <w:rPr>
          <w:rFonts w:ascii="宋体" w:hAnsi="宋体" w:cs="宋体" w:eastAsia="宋体" w:hint="ascii"/>
          <w:sz w:val="21"/>
        </w:rPr>
      </w:pPr>
      <w:r>
        <w:rPr>
          <w:rFonts w:ascii="宋体" w:hAnsi="宋体" w:cs="宋体" w:eastAsia="宋体" w:hint="ascii"/>
          <w:sz w:val="21"/>
          <w:spacing w:val="1"/>
        </w:rPr>
        <w:t>构与功能、作用机制</w:t>
      </w:r>
      <w:r>
        <w:rPr>
          <w:rFonts w:ascii="宋体" w:hAnsi="宋体" w:cs="宋体" w:eastAsia="宋体" w:hint="ascii"/>
          <w:sz w:val="21"/>
        </w:rPr>
        <w:t>、生物合成与合成生物学等研究，以及创新性疫苗研发的基础</w:t>
      </w:r>
      <w:r>
        <w:rPr>
          <w:rFonts w:ascii="宋体" w:hAnsi="宋体" w:cs="宋体" w:eastAsia="宋体" w:hint="ascii"/>
          <w:sz w:val="21"/>
          <w:spacing w:val="-6"/>
        </w:rPr>
        <w:t>研</w:t>
      </w:r>
      <w:r>
        <w:rPr>
          <w:rFonts w:ascii="宋体" w:hAnsi="宋体" w:cs="宋体" w:eastAsia="宋体" w:hint="ascii"/>
          <w:sz w:val="21"/>
        </w:rPr>
        <w:t>究。主要研究方向：</w:t>
      </w:r>
    </w:p>
    <w:p>
      <w:pPr>
        <w:autoSpaceDE w:val="0"/>
        <w:autoSpaceDN w:val="0"/>
        <w:jc w:val="both"/>
        <w:spacing w:before="0" w:after="0" w:lineRule="exact" w:line="312"/>
        <w:ind w:right="978"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）基于云</w:t>
      </w:r>
      <w:r>
        <w:rPr>
          <w:rFonts w:ascii="宋体" w:hAnsi="宋体" w:cs="宋体" w:eastAsia="宋体" w:hint="ascii"/>
          <w:sz w:val="21"/>
        </w:rPr>
        <w:t>南特色资源新型天然活性物质的发现、结构功能及药理机制研究（申请代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H31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8"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）跨境传</w:t>
      </w:r>
      <w:r>
        <w:rPr>
          <w:rFonts w:ascii="宋体" w:hAnsi="宋体" w:cs="宋体" w:eastAsia="宋体" w:hint="ascii"/>
          <w:sz w:val="21"/>
        </w:rPr>
        <w:t>播病原体疫苗菌毒株选育、保护性免疫原及毒力因子研究与评价（申请代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H19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1509"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）云南特色民族医药和中药的药效物质基础研究（申</w:t>
      </w:r>
      <w:r>
        <w:rPr>
          <w:rFonts w:ascii="宋体" w:hAnsi="宋体" w:cs="宋体" w:eastAsia="宋体" w:hint="ascii"/>
          <w:sz w:val="21"/>
          <w:spacing w:val="-1"/>
        </w:rPr>
        <w:t>请代</w:t>
      </w:r>
      <w:r>
        <w:rPr>
          <w:rFonts w:ascii="宋体" w:hAnsi="宋体" w:cs="宋体" w:eastAsia="宋体" w:hint="ascii"/>
          <w:sz w:val="21"/>
          <w:spacing w:val="25"/>
        </w:rPr>
        <w:t>码</w:t>
      </w:r>
      <w:r>
        <w:rPr>
          <w:rFonts w:ascii="Times New Roman" w:hAnsi="Times New Roman" w:cs="Times New Roman" w:eastAsia="Times New Roman" w:hint="ascii"/>
          <w:sz w:val="21"/>
          <w:spacing w:val="51"/>
        </w:rPr>
        <w:t>2</w:t>
      </w:r>
      <w:r>
        <w:rPr>
          <w:rFonts w:ascii="宋体" w:hAnsi="宋体" w:cs="宋体" w:eastAsia="宋体" w:hint="ascii"/>
          <w:sz w:val="21"/>
          <w:spacing w:val="-1"/>
        </w:rPr>
        <w:t>选</w:t>
      </w:r>
      <w:r>
        <w:rPr>
          <w:rFonts w:ascii="宋体" w:hAnsi="宋体" w:cs="宋体" w:eastAsia="宋体" w:hint="ascii"/>
          <w:sz w:val="21"/>
          <w:spacing w:val="25"/>
        </w:rPr>
        <w:t>择</w:t>
      </w:r>
      <w:r>
        <w:rPr>
          <w:rFonts w:ascii="Times New Roman" w:hAnsi="Times New Roman" w:cs="Times New Roman" w:eastAsia="Times New Roman" w:hint="ascii"/>
          <w:sz w:val="21"/>
          <w:spacing w:val="-1"/>
        </w:rPr>
        <w:t>H28</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4</w:t>
      </w:r>
      <w:r>
        <w:rPr>
          <w:rFonts w:ascii="宋体" w:hAnsi="宋体" w:cs="宋体" w:eastAsia="宋体" w:hint="ascii"/>
          <w:sz w:val="21"/>
        </w:rPr>
        <w:t>）云南特色药用动植物持续利用的基础研究（申请代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H30</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 xml:space="preserve">）云南重要药用生物资源中活性成分的生物合成与合成生物学研究（申请代码 </w:t>
      </w:r>
      <w:r>
        <w:rPr>
          <w:rFonts w:ascii="Times New Roman" w:hAnsi="Times New Roman" w:cs="Times New Roman" w:eastAsia="Times New Roman" w:hint="ascii"/>
          <w:sz w:val="21"/>
        </w:rPr>
        <w:t>2</w:t>
      </w:r>
    </w:p>
    <w:p>
      <w:pPr>
        <w:autoSpaceDE w:val="0"/>
        <w:autoSpaceDN w:val="0"/>
        <w:jc w:val="left"/>
        <w:spacing w:before="46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H30</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92" locked="0" layoutInCell="1" allowOverlap="1">
                <wp:simplePos x="0" y="0"/>
                <wp:positionH relativeFrom="page">
                  <wp:posOffset>938530</wp:posOffset>
                </wp:positionH>
                <wp:positionV relativeFrom="page">
                  <wp:posOffset>805815</wp:posOffset>
                </wp:positionV>
                <wp:extent cx="5076190" cy="0"/>
                <wp:wrapNone/>
                <wp:docPr id="1321" name="132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59232;width:399.70pt;" id="132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8"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2. </w:t>
      </w:r>
      <w:r>
        <w:rPr>
          <w:rFonts w:ascii="宋体" w:hAnsi="宋体" w:cs="宋体" w:eastAsia="宋体" w:hint="ascii"/>
          <w:sz w:val="21"/>
        </w:rPr>
        <w:t>云南地区高发病和重大疾病发病机制及防治的基础研究</w:t>
      </w:r>
    </w:p>
    <w:p>
      <w:pPr>
        <w:autoSpaceDE w:val="0"/>
        <w:autoSpaceDN w:val="0"/>
        <w:jc w:val="left"/>
        <w:spacing w:before="6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针对云南地区高发病、慢性病及重大传染性疾病，严重危害云南省及周边地区的虫</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媒热带病和</w:t>
      </w:r>
      <w:r>
        <w:rPr>
          <w:rFonts w:ascii="宋体" w:hAnsi="宋体" w:cs="宋体" w:eastAsia="宋体" w:hint="ascii"/>
          <w:sz w:val="21"/>
        </w:rPr>
        <w:t>寄生虫病，开展流行病学特征、发病机理与防治、动物疾病模型构建等多层面的研究，以及传染病与毒品成瘾的相关基础研究。主要研究方向：</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）云南地</w:t>
      </w:r>
      <w:r>
        <w:rPr>
          <w:rFonts w:ascii="宋体" w:hAnsi="宋体" w:cs="宋体" w:eastAsia="宋体" w:hint="ascii"/>
          <w:sz w:val="21"/>
        </w:rPr>
        <w:t>区高发病、地方病及慢性病的基础研究（申请代码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6"/>
        </w:rPr>
        <w:t xml:space="preserve"> </w:t>
      </w:r>
      <w:r>
        <w:rPr>
          <w:rFonts w:ascii="Times New Roman" w:hAnsi="Times New Roman" w:cs="Times New Roman" w:eastAsia="Times New Roman" w:hint="ascii"/>
          <w:sz w:val="21"/>
        </w:rPr>
        <w:t>H</w:t>
      </w:r>
      <w:r>
        <w:rPr>
          <w:rFonts w:ascii="Times New Roman" w:hAnsi="Times New Roman" w:cs="Times New Roman" w:eastAsia="Times New Roman" w:hint="ascii"/>
          <w:sz w:val="21"/>
          <w:spacing w:val="-6"/>
        </w:rPr>
        <w:t xml:space="preserve"> </w:t>
      </w:r>
      <w:r>
        <w:rPr>
          <w:rFonts w:ascii="宋体" w:hAnsi="宋体" w:cs="宋体" w:eastAsia="宋体" w:hint="ascii"/>
          <w:sz w:val="21"/>
        </w:rPr>
        <w:t>代码下对应系统疾病的申请代码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）云南及</w:t>
      </w:r>
      <w:r>
        <w:rPr>
          <w:rFonts w:ascii="宋体" w:hAnsi="宋体" w:cs="宋体" w:eastAsia="宋体" w:hint="ascii"/>
          <w:sz w:val="21"/>
        </w:rPr>
        <w:t>周边地区以虫（鼠）媒热带病为代表的重大传染病的流行规律、发病机理与防治的基础研究（申请代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H19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）云南特</w:t>
      </w:r>
      <w:r>
        <w:rPr>
          <w:rFonts w:ascii="宋体" w:hAnsi="宋体" w:cs="宋体" w:eastAsia="宋体" w:hint="ascii"/>
          <w:sz w:val="21"/>
        </w:rPr>
        <w:t>色动物疾病模型构建与相关基础研究（申请代码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6"/>
        </w:rPr>
        <w:t xml:space="preserve"> </w:t>
      </w:r>
      <w:r>
        <w:rPr>
          <w:rFonts w:ascii="Times New Roman" w:hAnsi="Times New Roman" w:cs="Times New Roman" w:eastAsia="Times New Roman" w:hint="ascii"/>
          <w:sz w:val="21"/>
        </w:rPr>
        <w:t>H</w:t>
      </w:r>
      <w:r>
        <w:rPr>
          <w:rFonts w:ascii="Times New Roman" w:hAnsi="Times New Roman" w:cs="Times New Roman" w:eastAsia="Times New Roman" w:hint="ascii"/>
          <w:sz w:val="21"/>
          <w:spacing w:val="-6"/>
        </w:rPr>
        <w:t xml:space="preserve"> </w:t>
      </w:r>
      <w:r>
        <w:rPr>
          <w:rFonts w:ascii="宋体" w:hAnsi="宋体" w:cs="宋体" w:eastAsia="宋体" w:hint="ascii"/>
          <w:sz w:val="21"/>
        </w:rPr>
        <w:t>代码下对应系统疾病的申请代码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）利用云</w:t>
      </w:r>
      <w:r>
        <w:rPr>
          <w:rFonts w:ascii="宋体" w:hAnsi="宋体" w:cs="宋体" w:eastAsia="宋体" w:hint="ascii"/>
          <w:sz w:val="21"/>
        </w:rPr>
        <w:t>南特色动物开展干细胞相关应用基础研究（申请代码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5"/>
        </w:rPr>
        <w:t xml:space="preserve"> </w:t>
      </w:r>
      <w:r>
        <w:rPr>
          <w:rFonts w:ascii="Times New Roman" w:hAnsi="Times New Roman" w:cs="Times New Roman" w:eastAsia="Times New Roman" w:hint="ascii"/>
          <w:sz w:val="21"/>
        </w:rPr>
        <w:t>H</w:t>
      </w:r>
      <w:r>
        <w:rPr>
          <w:rFonts w:ascii="Times New Roman" w:hAnsi="Times New Roman" w:cs="Times New Roman" w:eastAsia="Times New Roman" w:hint="ascii"/>
          <w:sz w:val="21"/>
          <w:spacing w:val="-7"/>
        </w:rPr>
        <w:t xml:space="preserve"> </w:t>
      </w:r>
      <w:r>
        <w:rPr>
          <w:rFonts w:ascii="宋体" w:hAnsi="宋体" w:cs="宋体" w:eastAsia="宋体" w:hint="ascii"/>
          <w:sz w:val="21"/>
        </w:rPr>
        <w:t>代码下对应系统疾病的申请代码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三、资源与环境领域（申请代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L03</w:t>
      </w:r>
      <w:r>
        <w:rPr>
          <w:rFonts w:ascii="宋体" w:hAnsi="宋体" w:cs="宋体" w:eastAsia="宋体" w:hint="ascii"/>
        </w:rPr>
        <w:t>）</w:t>
      </w:r>
    </w:p>
    <w:p>
      <w:pPr>
        <w:autoSpaceDE w:val="0"/>
        <w:autoSpaceDN w:val="0"/>
        <w:jc w:val="left"/>
        <w:spacing w:before="197" w:after="0" w:lineRule="auto" w:line="240"/>
        <w:ind w:right="0" w:left="1649" w:hanging="263"/>
        <w:snapToGrid w:val="0"/>
        <w:textAlignment w:val="auto"/>
        <w:tabs>
          <w:tab w:val="left" w:leader="none" w:pos="1648"/>
        </w:tabs>
        <w:numPr>
          <w:ilvl w:val="0"/>
          <w:numId w:val="326"/>
        </w:numPr>
        <w:rPr>
          <w:rFonts w:ascii="Times New Roman" w:hAnsi="Times New Roman" w:cs="Times New Roman" w:eastAsia="Times New Roman" w:hint="ascii"/>
          <w:sz w:val="21"/>
        </w:rPr>
      </w:pPr>
      <w:r>
        <w:rPr>
          <w:rFonts w:ascii="宋体" w:hAnsi="宋体" w:cs="宋体" w:eastAsia="宋体" w:hint="ascii"/>
          <w:sz w:val="21"/>
        </w:rPr>
        <w:t>云南地球环境演变与生物协同演化</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云南地质历史复杂，特别是青藏高原隆升对云南的地形、地貌和气候都产生了深刻</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的影响，造就了云南</w:t>
      </w:r>
      <w:r>
        <w:rPr>
          <w:rFonts w:ascii="宋体" w:hAnsi="宋体" w:cs="宋体" w:eastAsia="宋体" w:hint="ascii"/>
          <w:sz w:val="21"/>
        </w:rPr>
        <w:t>复杂多样的地球环境，也深刻影响了古今生物格局。对此深入</w:t>
      </w:r>
      <w:r>
        <w:rPr>
          <w:rFonts w:ascii="宋体" w:hAnsi="宋体" w:cs="宋体" w:eastAsia="宋体" w:hint="ascii"/>
          <w:sz w:val="21"/>
          <w:spacing w:val="-6"/>
        </w:rPr>
        <w:t>研</w:t>
      </w:r>
      <w:r>
        <w:rPr>
          <w:rFonts w:ascii="宋体" w:hAnsi="宋体" w:cs="宋体" w:eastAsia="宋体" w:hint="ascii"/>
          <w:sz w:val="21"/>
        </w:rPr>
        <w:t>究，有助于揭示地球环境演变与生物协调演化重大理论问题。主要研究方向：</w:t>
      </w:r>
    </w:p>
    <w:p>
      <w:pPr>
        <w:autoSpaceDE w:val="0"/>
        <w:autoSpaceDN w:val="0"/>
        <w:jc w:val="left"/>
        <w:spacing w:before="0" w:after="0" w:lineRule="exact" w:line="312"/>
        <w:ind w:right="1119" w:left="128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）云南关键地质时期生物群及其对环境变化的响应（申请代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D02</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）云南河流、湖泊和湿地系统演变过程与生物协调演化（申请代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D01</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7"/>
        </w:rPr>
        <w:t>或</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1142"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）山地自</w:t>
      </w:r>
      <w:r>
        <w:rPr>
          <w:rFonts w:ascii="宋体" w:hAnsi="宋体" w:cs="宋体" w:eastAsia="宋体" w:hint="ascii"/>
          <w:sz w:val="21"/>
        </w:rPr>
        <w:t>然资源垂直分布格局与人类宜居性基础研究（申请代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1</w:t>
      </w:r>
      <w:r>
        <w:rPr>
          <w:rFonts w:ascii="宋体" w:hAnsi="宋体" w:cs="宋体" w:eastAsia="宋体" w:hint="ascii"/>
          <w:sz w:val="21"/>
        </w:rPr>
        <w:t>或</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）云南重要生态系统对全球变化的响应与适应（申请代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1</w:t>
      </w:r>
      <w:r>
        <w:rPr>
          <w:rFonts w:ascii="宋体" w:hAnsi="宋体" w:cs="宋体" w:eastAsia="宋体" w:hint="ascii"/>
          <w:sz w:val="21"/>
          <w:spacing w:val="27"/>
        </w:rPr>
        <w:t>或</w:t>
      </w:r>
      <w:r>
        <w:rPr>
          <w:rFonts w:ascii="Times New Roman" w:hAnsi="Times New Roman" w:cs="Times New Roman" w:eastAsia="Times New Roman" w:hint="ascii"/>
          <w:sz w:val="21"/>
        </w:rPr>
        <w:t>D05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auto" w:line="240"/>
        <w:ind w:right="0" w:left="1649" w:hanging="263"/>
        <w:snapToGrid w:val="0"/>
        <w:textAlignment w:val="auto"/>
        <w:tabs>
          <w:tab w:val="left" w:leader="none" w:pos="1648"/>
        </w:tabs>
        <w:numPr>
          <w:ilvl w:val="0"/>
          <w:numId w:val="326"/>
        </w:numPr>
        <w:rPr>
          <w:rFonts w:ascii="Times New Roman" w:hAnsi="Times New Roman" w:cs="Times New Roman" w:eastAsia="Times New Roman" w:hint="ascii"/>
          <w:sz w:val="21"/>
        </w:rPr>
      </w:pPr>
      <w:r>
        <w:rPr>
          <w:rFonts w:ascii="宋体" w:hAnsi="宋体" w:cs="宋体" w:eastAsia="宋体" w:hint="ascii"/>
          <w:sz w:val="21"/>
        </w:rPr>
        <w:t>云南重要矿产成矿机理与环境污染治理的基础研究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遏制高原湖泊富营养化，防控土壤重金属污染，修复废弃矿区和开采迹地，关注新</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兴污染物的</w:t>
      </w:r>
      <w:r>
        <w:rPr>
          <w:rFonts w:ascii="宋体" w:hAnsi="宋体" w:cs="宋体" w:eastAsia="宋体" w:hint="ascii"/>
          <w:sz w:val="21"/>
        </w:rPr>
        <w:t>影响，是云南环境污染治理的优先重点领域，但长期基础研究薄弱，科研积</w:t>
      </w:r>
      <w:r>
        <w:rPr>
          <w:rFonts w:ascii="宋体" w:hAnsi="宋体" w:cs="宋体" w:eastAsia="宋体" w:hint="ascii"/>
          <w:sz w:val="21"/>
          <w:spacing w:val="-1"/>
        </w:rPr>
        <w:t>累不足，影</w:t>
      </w:r>
      <w:r>
        <w:rPr>
          <w:rFonts w:ascii="宋体" w:hAnsi="宋体" w:cs="宋体" w:eastAsia="宋体" w:hint="ascii"/>
          <w:sz w:val="21"/>
        </w:rPr>
        <w:t>响对上述问题的破解。针对上述重点问题及其关键环节开展研究，剖析环境</w:t>
      </w:r>
      <w:r>
        <w:rPr>
          <w:rFonts w:ascii="宋体" w:hAnsi="宋体" w:cs="宋体" w:eastAsia="宋体" w:hint="ascii"/>
          <w:sz w:val="21"/>
          <w:spacing w:val="-1"/>
        </w:rPr>
        <w:t>过程，掌握</w:t>
      </w:r>
      <w:r>
        <w:rPr>
          <w:rFonts w:ascii="宋体" w:hAnsi="宋体" w:cs="宋体" w:eastAsia="宋体" w:hint="ascii"/>
          <w:sz w:val="21"/>
        </w:rPr>
        <w:t>作用机理，明晰持久效应，构建防治理论，为云南重大现实环境问题的解决提供科学支持。主要研究方向：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）重要矿产成矿机理与找矿新方法（申请代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D02</w:t>
      </w:r>
      <w:r>
        <w:rPr>
          <w:rFonts w:ascii="宋体" w:hAnsi="宋体" w:cs="宋体" w:eastAsia="宋体" w:hint="ascii"/>
          <w:sz w:val="21"/>
        </w:rPr>
        <w:t>、</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3</w:t>
      </w:r>
      <w:r>
        <w:rPr>
          <w:rFonts w:ascii="宋体" w:hAnsi="宋体" w:cs="宋体" w:eastAsia="宋体" w:hint="ascii"/>
          <w:sz w:val="21"/>
          <w:spacing w:val="27"/>
        </w:rPr>
        <w:t>或</w:t>
      </w:r>
      <w:r>
        <w:rPr>
          <w:rFonts w:ascii="Times New Roman" w:hAnsi="Times New Roman" w:cs="Times New Roman" w:eastAsia="Times New Roman" w:hint="ascii"/>
          <w:sz w:val="21"/>
        </w:rPr>
        <w:t>D04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1089"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）重要矿产</w:t>
      </w:r>
      <w:r>
        <w:rPr>
          <w:rFonts w:ascii="宋体" w:hAnsi="宋体" w:cs="宋体" w:eastAsia="宋体" w:hint="ascii"/>
          <w:sz w:val="21"/>
        </w:rPr>
        <w:t>资源开采利用的环境风险防控与修复机制（申请代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）高原湖泊污染机理与流域调控机制（申请代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26"/>
        </w:numPr>
        <w:rPr>
          <w:rFonts w:ascii="Times New Roman" w:hAnsi="Times New Roman" w:cs="Times New Roman" w:eastAsia="Times New Roman" w:hint="ascii"/>
          <w:sz w:val="21"/>
        </w:rPr>
      </w:pPr>
      <w:r>
        <w:rPr>
          <w:rFonts w:ascii="宋体" w:hAnsi="宋体" w:cs="宋体" w:eastAsia="宋体" w:hint="ascii"/>
          <w:sz w:val="21"/>
        </w:rPr>
        <w:t>云南气象地质灾害的基础研究</w:t>
      </w:r>
    </w:p>
    <w:p>
      <w:pPr>
        <w:autoSpaceDE w:val="0"/>
        <w:autoSpaceDN w:val="0"/>
        <w:jc w:val="left"/>
        <w:spacing w:before="57"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云南是世</w:t>
      </w:r>
      <w:r>
        <w:rPr>
          <w:rFonts w:ascii="宋体" w:hAnsi="宋体" w:cs="宋体" w:eastAsia="宋体" w:hint="ascii"/>
          <w:sz w:val="21"/>
        </w:rPr>
        <w:t>界</w:t>
      </w:r>
      <w:r>
        <w:rPr>
          <w:rFonts w:ascii="宋体" w:hAnsi="宋体" w:cs="宋体" w:eastAsia="宋体" w:hint="ascii"/>
          <w:sz w:val="21"/>
          <w:spacing w:val="3"/>
        </w:rPr>
        <w:t>上最强季</w:t>
      </w:r>
      <w:r>
        <w:rPr>
          <w:rFonts w:ascii="宋体" w:hAnsi="宋体" w:cs="宋体" w:eastAsia="宋体" w:hint="ascii"/>
          <w:sz w:val="21"/>
        </w:rPr>
        <w:t>风</w:t>
      </w:r>
      <w:r>
        <w:rPr>
          <w:rFonts w:ascii="宋体" w:hAnsi="宋体" w:cs="宋体" w:eastAsia="宋体" w:hint="ascii"/>
          <w:sz w:val="21"/>
          <w:spacing w:val="3"/>
        </w:rPr>
        <w:t>交汇区之</w:t>
      </w:r>
      <w:r>
        <w:rPr>
          <w:rFonts w:ascii="宋体" w:hAnsi="宋体" w:cs="宋体" w:eastAsia="宋体" w:hint="ascii"/>
          <w:sz w:val="21"/>
        </w:rPr>
        <w:t>一</w:t>
      </w:r>
      <w:r>
        <w:rPr>
          <w:rFonts w:ascii="宋体" w:hAnsi="宋体" w:cs="宋体" w:eastAsia="宋体" w:hint="ascii"/>
          <w:sz w:val="21"/>
          <w:spacing w:val="3"/>
        </w:rPr>
        <w:t>，断裂构</w:t>
      </w:r>
      <w:r>
        <w:rPr>
          <w:rFonts w:ascii="宋体" w:hAnsi="宋体" w:cs="宋体" w:eastAsia="宋体" w:hint="ascii"/>
          <w:sz w:val="21"/>
        </w:rPr>
        <w:t>造</w:t>
      </w:r>
      <w:r>
        <w:rPr>
          <w:rFonts w:ascii="宋体" w:hAnsi="宋体" w:cs="宋体" w:eastAsia="宋体" w:hint="ascii"/>
          <w:sz w:val="21"/>
          <w:spacing w:val="3"/>
        </w:rPr>
        <w:t>发育，极</w:t>
      </w:r>
      <w:r>
        <w:rPr>
          <w:rFonts w:ascii="宋体" w:hAnsi="宋体" w:cs="宋体" w:eastAsia="宋体" w:hint="ascii"/>
          <w:sz w:val="21"/>
        </w:rPr>
        <w:t>端</w:t>
      </w:r>
      <w:r>
        <w:rPr>
          <w:rFonts w:ascii="宋体" w:hAnsi="宋体" w:cs="宋体" w:eastAsia="宋体" w:hint="ascii"/>
          <w:sz w:val="21"/>
          <w:spacing w:val="3"/>
        </w:rPr>
        <w:t>气象、水</w:t>
      </w:r>
      <w:r>
        <w:rPr>
          <w:rFonts w:ascii="宋体" w:hAnsi="宋体" w:cs="宋体" w:eastAsia="宋体" w:hint="ascii"/>
          <w:sz w:val="21"/>
        </w:rPr>
        <w:t>文</w:t>
      </w:r>
      <w:r>
        <w:rPr>
          <w:rFonts w:ascii="宋体" w:hAnsi="宋体" w:cs="宋体" w:eastAsia="宋体" w:hint="ascii"/>
          <w:sz w:val="21"/>
          <w:spacing w:val="3"/>
        </w:rPr>
        <w:t>和地质</w:t>
      </w:r>
      <w:r>
        <w:rPr>
          <w:rFonts w:ascii="宋体" w:hAnsi="宋体" w:cs="宋体" w:eastAsia="宋体" w:hint="ascii"/>
          <w:sz w:val="21"/>
          <w:spacing w:val="4"/>
        </w:rPr>
        <w:t>灾</w:t>
      </w:r>
      <w:r>
        <w:rPr>
          <w:rFonts w:ascii="宋体" w:hAnsi="宋体" w:cs="宋体" w:eastAsia="宋体" w:hint="ascii"/>
          <w:sz w:val="21"/>
        </w:rPr>
        <w:t>害</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频发，破碎的地形</w:t>
      </w:r>
      <w:r>
        <w:rPr>
          <w:rFonts w:ascii="宋体" w:hAnsi="宋体" w:cs="宋体" w:eastAsia="宋体" w:hint="ascii"/>
          <w:sz w:val="21"/>
        </w:rPr>
        <w:t>及人为干扰加剧了各类灾害的影响和损失。开展该领域气象水文</w:t>
      </w:r>
      <w:r>
        <w:rPr>
          <w:rFonts w:ascii="宋体" w:hAnsi="宋体" w:cs="宋体" w:eastAsia="宋体" w:hint="ascii"/>
          <w:sz w:val="21"/>
          <w:spacing w:val="-6"/>
        </w:rPr>
        <w:t>地</w:t>
      </w:r>
      <w:r>
        <w:rPr>
          <w:rFonts w:ascii="宋体" w:hAnsi="宋体" w:cs="宋体" w:eastAsia="宋体" w:hint="ascii"/>
          <w:sz w:val="21"/>
          <w:spacing w:val="1"/>
        </w:rPr>
        <w:t>质灾害的基础研究，</w:t>
      </w:r>
      <w:r>
        <w:rPr>
          <w:rFonts w:ascii="宋体" w:hAnsi="宋体" w:cs="宋体" w:eastAsia="宋体" w:hint="ascii"/>
          <w:sz w:val="21"/>
        </w:rPr>
        <w:t>对云南减灾防灾、保障云南经济社会发展等具有重要意义。主</w:t>
      </w:r>
      <w:r>
        <w:rPr>
          <w:rFonts w:ascii="宋体" w:hAnsi="宋体" w:cs="宋体" w:eastAsia="宋体" w:hint="ascii"/>
          <w:sz w:val="21"/>
          <w:spacing w:val="-6"/>
        </w:rPr>
        <w:t>要</w:t>
      </w:r>
      <w:r>
        <w:rPr>
          <w:rFonts w:ascii="宋体" w:hAnsi="宋体" w:cs="宋体" w:eastAsia="宋体" w:hint="ascii"/>
          <w:sz w:val="21"/>
        </w:rPr>
        <w:t>研究方向：</w:t>
      </w:r>
    </w:p>
    <w:p>
      <w:pPr>
        <w:autoSpaceDE w:val="0"/>
        <w:autoSpaceDN w:val="0"/>
        <w:jc w:val="left"/>
        <w:spacing w:before="26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）云南极端天气事件的发生机理及其预测的研究（申请代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D05</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93" locked="0" layoutInCell="1" allowOverlap="1">
                <wp:simplePos x="0" y="0"/>
                <wp:positionH relativeFrom="page">
                  <wp:posOffset>938530</wp:posOffset>
                </wp:positionH>
                <wp:positionV relativeFrom="page">
                  <wp:posOffset>819150</wp:posOffset>
                </wp:positionV>
                <wp:extent cx="5076190" cy="0"/>
                <wp:wrapNone/>
                <wp:docPr id="1322" name="132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58208;width:399.70pt;" id="132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）云南强震、滑坡、泥石流等重大地质灾害的成因与防控（申请代码</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D04 </w:t>
      </w:r>
      <w:r>
        <w:rPr>
          <w:rFonts w:ascii="宋体" w:hAnsi="宋体" w:cs="宋体" w:eastAsia="宋体" w:hint="ascii"/>
          <w:sz w:val="21"/>
          <w:spacing w:val="27"/>
        </w:rPr>
        <w:t>或</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四、矿产资源综合利用与新材料领域（申请代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L07</w:t>
      </w:r>
      <w:r>
        <w:rPr>
          <w:rFonts w:ascii="宋体" w:hAnsi="宋体" w:cs="宋体" w:eastAsia="宋体" w:hint="ascii"/>
        </w:rPr>
        <w:t>）</w:t>
      </w:r>
    </w:p>
    <w:p>
      <w:pPr>
        <w:autoSpaceDE w:val="0"/>
        <w:autoSpaceDN w:val="0"/>
        <w:jc w:val="both"/>
        <w:spacing w:before="157" w:after="0" w:lineRule="exact" w:line="306"/>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以云南省优势</w:t>
      </w:r>
      <w:r>
        <w:rPr>
          <w:rFonts w:ascii="宋体" w:hAnsi="宋体" w:cs="宋体" w:eastAsia="宋体" w:hint="ascii"/>
          <w:sz w:val="21"/>
        </w:rPr>
        <w:t>矿产资源和二次资源综合利用，以及重点材料产业发展的重大需求为导向，围绕原理、方法和前沿技术开展基础科学研究，解决关键科学问题。</w:t>
      </w:r>
    </w:p>
    <w:p>
      <w:pPr>
        <w:autoSpaceDE w:val="0"/>
        <w:autoSpaceDN w:val="0"/>
        <w:jc w:val="left"/>
        <w:spacing w:before="30" w:after="0" w:lineRule="auto" w:line="240"/>
        <w:ind w:right="0" w:left="1649" w:hanging="263"/>
        <w:snapToGrid w:val="0"/>
        <w:textAlignment w:val="auto"/>
        <w:tabs>
          <w:tab w:val="left" w:leader="none" w:pos="1648"/>
        </w:tabs>
        <w:numPr>
          <w:ilvl w:val="0"/>
          <w:numId w:val="327"/>
        </w:numPr>
        <w:rPr>
          <w:rFonts w:ascii="Times New Roman" w:hAnsi="Times New Roman" w:cs="Times New Roman" w:eastAsia="Times New Roman" w:hint="ascii"/>
          <w:sz w:val="21"/>
        </w:rPr>
      </w:pPr>
      <w:r>
        <w:rPr>
          <w:rFonts w:ascii="宋体" w:hAnsi="宋体" w:cs="宋体" w:eastAsia="宋体" w:hint="ascii"/>
          <w:sz w:val="21"/>
        </w:rPr>
        <w:t>矿产资源及二次资源综合利用</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both"/>
        <w:spacing w:before="9" w:after="0" w:lineRule="exact" w:line="306"/>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）云南特色金属矿产资源的绿色高效分选新方法及其</w:t>
      </w:r>
      <w:r>
        <w:rPr>
          <w:rFonts w:ascii="宋体" w:hAnsi="宋体" w:cs="宋体" w:eastAsia="宋体" w:hint="ascii"/>
          <w:sz w:val="21"/>
        </w:rPr>
        <w:t xml:space="preserve">富集机制研究（申请代码 </w:t>
      </w:r>
      <w:r>
        <w:rPr>
          <w:rFonts w:ascii="Times New Roman" w:hAnsi="Times New Roman" w:cs="Times New Roman" w:eastAsia="Times New Roman" w:hint="ascii"/>
          <w:sz w:val="21"/>
        </w:rPr>
        <w:t xml:space="preserve">2 </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6"/>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）云南有</w:t>
      </w:r>
      <w:r>
        <w:rPr>
          <w:rFonts w:ascii="宋体" w:hAnsi="宋体" w:cs="宋体" w:eastAsia="宋体" w:hint="ascii"/>
          <w:sz w:val="21"/>
        </w:rPr>
        <w:t>色金属及伴生资源高效清洁冶金新原理、新方法与新技术研究（申请代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6"/>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）云南特色矿产资源选冶及材料加工废弃物的资源化</w:t>
      </w:r>
      <w:r>
        <w:rPr>
          <w:rFonts w:ascii="宋体" w:hAnsi="宋体" w:cs="宋体" w:eastAsia="宋体" w:hint="ascii"/>
          <w:sz w:val="21"/>
        </w:rPr>
        <w:t>研究（申请代码</w:t>
      </w:r>
      <w:r>
        <w:rPr>
          <w:rFonts w:ascii="宋体" w:hAnsi="宋体" w:cs="宋体" w:eastAsia="宋体" w:hint="ascii"/>
          <w:sz w:val="21"/>
          <w:spacing w:val="-2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2"/>
        </w:rPr>
        <w:t xml:space="preserve"> </w:t>
      </w:r>
      <w:r>
        <w:rPr>
          <w:rFonts w:ascii="宋体" w:hAnsi="宋体" w:cs="宋体" w:eastAsia="宋体" w:hint="ascii"/>
          <w:sz w:val="21"/>
        </w:rPr>
        <w:t>选择</w:t>
      </w:r>
      <w:r>
        <w:rPr>
          <w:rFonts w:ascii="宋体" w:hAnsi="宋体" w:cs="宋体" w:eastAsia="宋体" w:hint="ascii"/>
          <w:sz w:val="21"/>
          <w:spacing w:val="-21"/>
        </w:rPr>
        <w:t xml:space="preserve"> </w:t>
      </w:r>
      <w:r>
        <w:rPr>
          <w:rFonts w:ascii="Times New Roman" w:hAnsi="Times New Roman" w:cs="Times New Roman" w:eastAsia="Times New Roman" w:hint="ascii"/>
          <w:sz w:val="21"/>
        </w:rPr>
        <w:t xml:space="preserve">E04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06"/>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rPr>
        <w:t>4</w:t>
      </w:r>
      <w:r>
        <w:rPr>
          <w:rFonts w:ascii="宋体" w:hAnsi="宋体" w:cs="宋体" w:eastAsia="宋体" w:hint="ascii"/>
          <w:sz w:val="21"/>
        </w:rPr>
        <w:t>）废催化剂贵金属回收新原理、新方法、新技术研究（申请代码</w:t>
      </w:r>
      <w:r>
        <w:rPr>
          <w:rFonts w:ascii="宋体" w:hAnsi="宋体" w:cs="宋体" w:eastAsia="宋体" w:hint="ascii"/>
          <w:sz w:val="21"/>
          <w:spacing w:val="-3"/>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3"/>
        </w:rPr>
        <w:t xml:space="preserve"> </w:t>
      </w:r>
      <w:r>
        <w:rPr>
          <w:rFonts w:ascii="宋体" w:hAnsi="宋体" w:cs="宋体" w:eastAsia="宋体" w:hint="ascii"/>
          <w:sz w:val="21"/>
        </w:rPr>
        <w:t xml:space="preserve">选择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3"/>
        </w:rPr>
        <w:t xml:space="preserve"> </w:t>
      </w:r>
      <w:r>
        <w:rPr>
          <w:rFonts w:ascii="宋体" w:hAnsi="宋体" w:cs="宋体" w:eastAsia="宋体" w:hint="ascii"/>
          <w:sz w:val="21"/>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6" w:after="0" w:lineRule="auto" w:line="240"/>
        <w:ind w:right="0" w:left="1649" w:hanging="263"/>
        <w:snapToGrid w:val="0"/>
        <w:textAlignment w:val="auto"/>
        <w:tabs>
          <w:tab w:val="left" w:leader="none" w:pos="1648"/>
        </w:tabs>
        <w:numPr>
          <w:ilvl w:val="0"/>
          <w:numId w:val="327"/>
        </w:numPr>
        <w:rPr>
          <w:rFonts w:ascii="Times New Roman" w:hAnsi="Times New Roman" w:cs="Times New Roman" w:eastAsia="Times New Roman" w:hint="ascii"/>
          <w:sz w:val="21"/>
        </w:rPr>
      </w:pPr>
      <w:r>
        <w:rPr>
          <w:rFonts w:ascii="宋体" w:hAnsi="宋体" w:cs="宋体" w:eastAsia="宋体" w:hint="ascii"/>
          <w:sz w:val="21"/>
        </w:rPr>
        <w:t>稀有</w:t>
      </w:r>
      <w:r>
        <w:rPr>
          <w:rFonts w:ascii="宋体" w:hAnsi="宋体" w:cs="宋体" w:eastAsia="宋体" w:hint="ascii"/>
          <w:sz w:val="21"/>
          <w:spacing w:val="-47"/>
        </w:rPr>
        <w:t>/</w:t>
      </w:r>
      <w:r>
        <w:rPr>
          <w:rFonts w:ascii="宋体" w:hAnsi="宋体" w:cs="宋体" w:eastAsia="宋体" w:hint="ascii"/>
          <w:sz w:val="21"/>
        </w:rPr>
        <w:t>稀贵金属材料设计、制备与表征</w:t>
      </w:r>
    </w:p>
    <w:p>
      <w:pPr>
        <w:autoSpaceDE w:val="0"/>
        <w:autoSpaceDN w:val="0"/>
        <w:jc w:val="left"/>
        <w:spacing w:before="5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both"/>
        <w:spacing w:before="1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）稀有</w:t>
      </w:r>
      <w:r>
        <w:rPr>
          <w:rFonts w:ascii="Times New Roman" w:hAnsi="Times New Roman" w:cs="Times New Roman" w:eastAsia="Times New Roman" w:hint="ascii"/>
          <w:sz w:val="21"/>
        </w:rPr>
        <w:t>/</w:t>
      </w:r>
      <w:r>
        <w:rPr>
          <w:rFonts w:ascii="宋体" w:hAnsi="宋体" w:cs="宋体" w:eastAsia="宋体" w:hint="ascii"/>
          <w:sz w:val="21"/>
        </w:rPr>
        <w:t>稀贵金属新材料设计与应用基础研究（申请代码</w:t>
      </w:r>
      <w:r>
        <w:rPr>
          <w:rFonts w:ascii="宋体" w:hAnsi="宋体" w:cs="宋体" w:eastAsia="宋体" w:hint="ascii"/>
          <w:sz w:val="21"/>
          <w:spacing w:val="-18"/>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7"/>
        </w:rPr>
        <w:t xml:space="preserve"> </w:t>
      </w:r>
      <w:r>
        <w:rPr>
          <w:rFonts w:ascii="宋体" w:hAnsi="宋体" w:cs="宋体" w:eastAsia="宋体" w:hint="ascii"/>
          <w:sz w:val="21"/>
        </w:rPr>
        <w:t>选择</w:t>
      </w:r>
      <w:r>
        <w:rPr>
          <w:rFonts w:ascii="宋体" w:hAnsi="宋体" w:cs="宋体" w:eastAsia="宋体" w:hint="ascii"/>
          <w:sz w:val="21"/>
          <w:spacing w:val="-17"/>
        </w:rPr>
        <w:t xml:space="preserve"> </w:t>
      </w:r>
      <w:r>
        <w:rPr>
          <w:rFonts w:ascii="Times New Roman" w:hAnsi="Times New Roman" w:cs="Times New Roman" w:eastAsia="Times New Roman" w:hint="ascii"/>
          <w:sz w:val="21"/>
        </w:rPr>
        <w:t>E01</w:t>
      </w:r>
      <w:r>
        <w:rPr>
          <w:rFonts w:ascii="Times New Roman" w:hAnsi="Times New Roman" w:cs="Times New Roman" w:eastAsia="Times New Roman" w:hint="ascii"/>
          <w:sz w:val="21"/>
          <w:spacing w:val="-18"/>
        </w:rPr>
        <w:t xml:space="preserve"> </w:t>
      </w:r>
      <w:r>
        <w:rPr>
          <w:rFonts w:ascii="宋体" w:hAnsi="宋体" w:cs="宋体" w:eastAsia="宋体" w:hint="ascii"/>
          <w:sz w:val="21"/>
        </w:rPr>
        <w:t>或</w:t>
      </w:r>
      <w:r>
        <w:rPr>
          <w:rFonts w:ascii="宋体" w:hAnsi="宋体" w:cs="宋体" w:eastAsia="宋体" w:hint="ascii"/>
          <w:sz w:val="21"/>
          <w:spacing w:val="-17"/>
        </w:rPr>
        <w:t xml:space="preserve">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18"/>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 xml:space="preserve">）硅、锗、铟、镓高纯材料及其化合物制备技术研究（申请代码 </w:t>
      </w:r>
      <w:r>
        <w:rPr>
          <w:rFonts w:ascii="Times New Roman" w:hAnsi="Times New Roman" w:cs="Times New Roman" w:eastAsia="Times New Roman" w:hint="ascii"/>
          <w:sz w:val="21"/>
        </w:rPr>
        <w:t xml:space="preserve">2 </w:t>
      </w:r>
      <w:r>
        <w:rPr>
          <w:rFonts w:ascii="宋体" w:hAnsi="宋体" w:cs="宋体" w:eastAsia="宋体" w:hint="ascii"/>
          <w:sz w:val="21"/>
        </w:rPr>
        <w:t xml:space="preserve">选择 </w:t>
      </w:r>
      <w:r>
        <w:rPr>
          <w:rFonts w:ascii="Times New Roman" w:hAnsi="Times New Roman" w:cs="Times New Roman" w:eastAsia="Times New Roman" w:hint="ascii"/>
          <w:sz w:val="21"/>
        </w:rPr>
        <w:t>E01</w:t>
      </w:r>
      <w:r>
        <w:rPr>
          <w:rFonts w:ascii="宋体" w:hAnsi="宋体" w:cs="宋体" w:eastAsia="宋体" w:hint="ascii"/>
          <w:sz w:val="21"/>
        </w:rPr>
        <w:t>、</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30" w:after="0" w:lineRule="auto" w:line="240"/>
        <w:ind w:right="0" w:left="1649" w:hanging="263"/>
        <w:snapToGrid w:val="0"/>
        <w:textAlignment w:val="auto"/>
        <w:tabs>
          <w:tab w:val="left" w:leader="none" w:pos="1648"/>
        </w:tabs>
        <w:numPr>
          <w:ilvl w:val="0"/>
          <w:numId w:val="327"/>
        </w:numPr>
        <w:rPr>
          <w:rFonts w:ascii="Times New Roman" w:hAnsi="Times New Roman" w:cs="Times New Roman" w:eastAsia="Times New Roman" w:hint="ascii"/>
          <w:sz w:val="21"/>
        </w:rPr>
      </w:pPr>
      <w:r>
        <w:rPr>
          <w:rFonts w:ascii="宋体" w:hAnsi="宋体" w:cs="宋体" w:eastAsia="宋体" w:hint="ascii"/>
          <w:sz w:val="21"/>
        </w:rPr>
        <w:t>能源与环境材料</w:t>
      </w:r>
    </w:p>
    <w:p>
      <w:pPr>
        <w:autoSpaceDE w:val="0"/>
        <w:autoSpaceDN w:val="0"/>
        <w:jc w:val="left"/>
        <w:spacing w:before="5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both"/>
        <w:spacing w:before="1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）基于云南优势资源的新型储能材料及器件研究（申请代码</w:t>
      </w:r>
      <w:r>
        <w:rPr>
          <w:rFonts w:ascii="宋体" w:hAnsi="宋体" w:cs="宋体" w:eastAsia="宋体" w:hint="ascii"/>
          <w:sz w:val="21"/>
          <w:spacing w:val="-7"/>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8"/>
        </w:rPr>
        <w:t xml:space="preserve"> </w:t>
      </w:r>
      <w:r>
        <w:rPr>
          <w:rFonts w:ascii="宋体" w:hAnsi="宋体" w:cs="宋体" w:eastAsia="宋体" w:hint="ascii"/>
          <w:sz w:val="21"/>
        </w:rPr>
        <w:t>选择</w:t>
      </w:r>
      <w:r>
        <w:rPr>
          <w:rFonts w:ascii="宋体" w:hAnsi="宋体" w:cs="宋体" w:eastAsia="宋体" w:hint="ascii"/>
          <w:sz w:val="21"/>
          <w:spacing w:val="-7"/>
        </w:rPr>
        <w:t xml:space="preserve"> </w:t>
      </w:r>
      <w:r>
        <w:rPr>
          <w:rFonts w:ascii="Times New Roman" w:hAnsi="Times New Roman" w:cs="Times New Roman" w:eastAsia="Times New Roman" w:hint="ascii"/>
          <w:sz w:val="21"/>
        </w:rPr>
        <w:t>E01</w:t>
      </w:r>
      <w:r>
        <w:rPr>
          <w:rFonts w:ascii="宋体" w:hAnsi="宋体" w:cs="宋体" w:eastAsia="宋体" w:hint="ascii"/>
          <w:sz w:val="21"/>
        </w:rPr>
        <w:t>、</w:t>
      </w:r>
      <w:r>
        <w:rPr>
          <w:rFonts w:ascii="Times New Roman" w:hAnsi="Times New Roman" w:cs="Times New Roman" w:eastAsia="Times New Roman" w:hint="ascii"/>
          <w:sz w:val="21"/>
        </w:rPr>
        <w:t>E02</w:t>
      </w:r>
      <w:r>
        <w:rPr>
          <w:rFonts w:ascii="宋体" w:hAnsi="宋体" w:cs="宋体" w:eastAsia="宋体" w:hint="ascii"/>
          <w:sz w:val="21"/>
        </w:rPr>
        <w:t>、</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spacing w:val="-1"/>
        </w:rPr>
        <w:t>）</w:t>
      </w:r>
      <w:r>
        <w:rPr>
          <w:rFonts w:ascii="宋体" w:hAnsi="宋体" w:cs="宋体" w:eastAsia="宋体" w:hint="ascii"/>
          <w:sz w:val="21"/>
        </w:rPr>
        <w:t>基</w:t>
      </w:r>
      <w:r>
        <w:rPr>
          <w:rFonts w:ascii="宋体" w:hAnsi="宋体" w:cs="宋体" w:eastAsia="宋体" w:hint="ascii"/>
          <w:sz w:val="21"/>
          <w:spacing w:val="-1"/>
        </w:rPr>
        <w:t>于云</w:t>
      </w:r>
      <w:r>
        <w:rPr>
          <w:rFonts w:ascii="宋体" w:hAnsi="宋体" w:cs="宋体" w:eastAsia="宋体" w:hint="ascii"/>
          <w:sz w:val="21"/>
        </w:rPr>
        <w:t>南优</w:t>
      </w:r>
      <w:r>
        <w:rPr>
          <w:rFonts w:ascii="宋体" w:hAnsi="宋体" w:cs="宋体" w:eastAsia="宋体" w:hint="ascii"/>
          <w:sz w:val="21"/>
          <w:spacing w:val="-1"/>
        </w:rPr>
        <w:t>势</w:t>
      </w:r>
      <w:r>
        <w:rPr>
          <w:rFonts w:ascii="宋体" w:hAnsi="宋体" w:cs="宋体" w:eastAsia="宋体" w:hint="ascii"/>
          <w:sz w:val="21"/>
        </w:rPr>
        <w:t>资</w:t>
      </w:r>
      <w:r>
        <w:rPr>
          <w:rFonts w:ascii="宋体" w:hAnsi="宋体" w:cs="宋体" w:eastAsia="宋体" w:hint="ascii"/>
          <w:sz w:val="21"/>
          <w:spacing w:val="-1"/>
        </w:rPr>
        <w:t>源</w:t>
      </w:r>
      <w:r>
        <w:rPr>
          <w:rFonts w:ascii="宋体" w:hAnsi="宋体" w:cs="宋体" w:eastAsia="宋体" w:hint="ascii"/>
          <w:sz w:val="21"/>
        </w:rPr>
        <w:t>的新</w:t>
      </w:r>
      <w:r>
        <w:rPr>
          <w:rFonts w:ascii="宋体" w:hAnsi="宋体" w:cs="宋体" w:eastAsia="宋体" w:hint="ascii"/>
          <w:sz w:val="21"/>
          <w:spacing w:val="-1"/>
        </w:rPr>
        <w:t>型</w:t>
      </w:r>
      <w:r>
        <w:rPr>
          <w:rFonts w:ascii="宋体" w:hAnsi="宋体" w:cs="宋体" w:eastAsia="宋体" w:hint="ascii"/>
          <w:sz w:val="21"/>
        </w:rPr>
        <w:t>高</w:t>
      </w:r>
      <w:r>
        <w:rPr>
          <w:rFonts w:ascii="宋体" w:hAnsi="宋体" w:cs="宋体" w:eastAsia="宋体" w:hint="ascii"/>
          <w:sz w:val="21"/>
          <w:spacing w:val="-1"/>
        </w:rPr>
        <w:t>效</w:t>
      </w:r>
      <w:r>
        <w:rPr>
          <w:rFonts w:ascii="宋体" w:hAnsi="宋体" w:cs="宋体" w:eastAsia="宋体" w:hint="ascii"/>
          <w:sz w:val="21"/>
        </w:rPr>
        <w:t>太阳</w:t>
      </w:r>
      <w:r>
        <w:rPr>
          <w:rFonts w:ascii="宋体" w:hAnsi="宋体" w:cs="宋体" w:eastAsia="宋体" w:hint="ascii"/>
          <w:sz w:val="21"/>
          <w:spacing w:val="-1"/>
        </w:rPr>
        <w:t>能</w:t>
      </w:r>
      <w:r>
        <w:rPr>
          <w:rFonts w:ascii="宋体" w:hAnsi="宋体" w:cs="宋体" w:eastAsia="宋体" w:hint="ascii"/>
          <w:sz w:val="21"/>
        </w:rPr>
        <w:t>电</w:t>
      </w:r>
      <w:r>
        <w:rPr>
          <w:rFonts w:ascii="宋体" w:hAnsi="宋体" w:cs="宋体" w:eastAsia="宋体" w:hint="ascii"/>
          <w:sz w:val="21"/>
          <w:spacing w:val="-1"/>
        </w:rPr>
        <w:t>池</w:t>
      </w:r>
      <w:r>
        <w:rPr>
          <w:rFonts w:ascii="宋体" w:hAnsi="宋体" w:cs="宋体" w:eastAsia="宋体" w:hint="ascii"/>
          <w:sz w:val="21"/>
        </w:rPr>
        <w:t>材料</w:t>
      </w:r>
      <w:r>
        <w:rPr>
          <w:rFonts w:ascii="宋体" w:hAnsi="宋体" w:cs="宋体" w:eastAsia="宋体" w:hint="ascii"/>
          <w:sz w:val="21"/>
          <w:spacing w:val="-1"/>
        </w:rPr>
        <w:t>与</w:t>
      </w:r>
      <w:r>
        <w:rPr>
          <w:rFonts w:ascii="宋体" w:hAnsi="宋体" w:cs="宋体" w:eastAsia="宋体" w:hint="ascii"/>
          <w:sz w:val="21"/>
        </w:rPr>
        <w:t>器</w:t>
      </w:r>
      <w:r>
        <w:rPr>
          <w:rFonts w:ascii="宋体" w:hAnsi="宋体" w:cs="宋体" w:eastAsia="宋体" w:hint="ascii"/>
          <w:sz w:val="21"/>
          <w:spacing w:val="-1"/>
        </w:rPr>
        <w:t>件</w:t>
      </w:r>
      <w:r>
        <w:rPr>
          <w:rFonts w:ascii="宋体" w:hAnsi="宋体" w:cs="宋体" w:eastAsia="宋体" w:hint="ascii"/>
          <w:sz w:val="21"/>
        </w:rPr>
        <w:t>研究</w:t>
      </w:r>
      <w:r>
        <w:rPr>
          <w:rFonts w:ascii="宋体" w:hAnsi="宋体" w:cs="宋体" w:eastAsia="宋体" w:hint="ascii"/>
          <w:sz w:val="21"/>
          <w:spacing w:val="-1"/>
        </w:rPr>
        <w:t>（</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代</w:t>
      </w:r>
      <w:r>
        <w:rPr>
          <w:rFonts w:ascii="宋体" w:hAnsi="宋体" w:cs="宋体" w:eastAsia="宋体" w:hint="ascii"/>
          <w:sz w:val="21"/>
          <w:spacing w:val="-3"/>
        </w:rPr>
        <w:t>码</w:t>
      </w:r>
      <w:r>
        <w:rPr>
          <w:rFonts w:ascii="宋体" w:hAnsi="宋体" w:cs="宋体" w:eastAsia="宋体" w:hint="ascii"/>
          <w:sz w:val="2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 xml:space="preserve"> </w:t>
      </w:r>
      <w:r>
        <w:rPr>
          <w:rFonts w:ascii="宋体" w:hAnsi="宋体" w:cs="宋体" w:eastAsia="宋体" w:hint="ascii"/>
          <w:sz w:val="21"/>
        </w:rPr>
        <w:t>选择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55" w:after="0" w:lineRule="exact" w:line="312"/>
        <w:ind w:right="978" w:left="966" w:firstLine="480"/>
        <w:snapToGrid w:val="0"/>
        <w:textAlignment w:val="auto"/>
        <w:tabs/>
        <w:rPr>
          <w:rFonts w:ascii="宋体" w:hAnsi="宋体" w:cs="宋体" w:eastAsia="宋体" w:hint="ascii"/>
        </w:rPr>
      </w:pPr>
      <w:r>
        <w:rPr>
          <w:rFonts w:ascii="宋体" w:hAnsi="宋体" w:cs="宋体" w:eastAsia="宋体" w:hint="ascii"/>
        </w:rPr>
        <w:t>五、一带一路背景下南亚东南亚区域合作与可持续发展战略研究（申请代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G0</w:t>
      </w:r>
      <w:r>
        <w:rPr>
          <w:rFonts w:ascii="Times New Roman" w:hAnsi="Times New Roman" w:cs="Times New Roman" w:eastAsia="Times New Roman" w:hint="ascii"/>
          <w:b w:val="1"/>
          <w:spacing w:val="60"/>
        </w:rPr>
        <w:t>3</w:t>
      </w:r>
      <w:r>
        <w:rPr>
          <w:rFonts w:ascii="宋体" w:hAnsi="宋体" w:cs="宋体" w:eastAsia="宋体" w:hint="ascii"/>
          <w:spacing w:val="30"/>
        </w:rPr>
        <w:t>或</w:t>
      </w:r>
      <w:r>
        <w:rPr>
          <w:rFonts w:ascii="Times New Roman" w:hAnsi="Times New Roman" w:cs="Times New Roman" w:eastAsia="Times New Roman" w:hint="ascii"/>
          <w:b w:val="1"/>
        </w:rPr>
        <w:t>G04</w:t>
      </w:r>
      <w:r>
        <w:rPr>
          <w:rFonts w:ascii="宋体" w:hAnsi="宋体" w:cs="宋体" w:eastAsia="宋体" w:hint="ascii"/>
        </w:rPr>
        <w:t>）</w:t>
      </w:r>
    </w:p>
    <w:p>
      <w:pPr>
        <w:autoSpaceDE w:val="0"/>
        <w:autoSpaceDN w:val="0"/>
        <w:jc w:val="left"/>
        <w:spacing w:before="20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主动融入和服务国家“一带一路”战略，贯彻落实习近平总书记考察云南重要讲话</w:t>
      </w:r>
    </w:p>
    <w:p>
      <w:pPr>
        <w:autoSpaceDE w:val="0"/>
        <w:autoSpaceDN w:val="0"/>
        <w:jc w:val="both"/>
        <w:spacing w:before="14" w:after="0" w:lineRule="exact" w:line="325"/>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提出的“三</w:t>
      </w:r>
      <w:r>
        <w:rPr>
          <w:rFonts w:ascii="宋体" w:hAnsi="宋体" w:cs="宋体" w:eastAsia="宋体" w:hint="ascii"/>
          <w:sz w:val="21"/>
        </w:rPr>
        <w:t>个定位”战略目标，围绕云南省建设面向南亚东南亚科技辐射中心的需求，</w:t>
      </w:r>
      <w:r>
        <w:rPr>
          <w:rFonts w:ascii="宋体" w:hAnsi="宋体" w:cs="宋体" w:eastAsia="宋体" w:hint="ascii"/>
          <w:sz w:val="21"/>
          <w:spacing w:val="-1"/>
        </w:rPr>
        <w:t>重点针对与</w:t>
      </w:r>
      <w:r>
        <w:rPr>
          <w:rFonts w:ascii="宋体" w:hAnsi="宋体" w:cs="宋体" w:eastAsia="宋体" w:hint="ascii"/>
          <w:sz w:val="21"/>
        </w:rPr>
        <w:t>南亚东南亚区域经济贸易、科技创新和金融服务等，开展基础性、前瞻性和交叉性研究。</w:t>
      </w:r>
    </w:p>
    <w:p>
      <w:pPr>
        <w:autoSpaceDE w:val="0"/>
        <w:autoSpaceDN w:val="0"/>
        <w:jc w:val="both"/>
        <w:spacing w:before="2" w:after="0" w:lineRule="exact" w:line="325"/>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1.</w:t>
      </w:r>
      <w:r>
        <w:rPr>
          <w:rFonts w:ascii="Times New Roman" w:hAnsi="Times New Roman" w:cs="Times New Roman" w:eastAsia="Times New Roman" w:hint="ascii"/>
          <w:b w:val="1"/>
          <w:sz w:val="21"/>
          <w:spacing w:val="2"/>
        </w:rPr>
        <w:t xml:space="preserve"> </w:t>
      </w:r>
      <w:r>
        <w:rPr>
          <w:rFonts w:ascii="宋体" w:hAnsi="宋体" w:cs="宋体" w:eastAsia="宋体" w:hint="ascii"/>
          <w:sz w:val="21"/>
        </w:rPr>
        <w:t xml:space="preserve">云南省面向南亚东南亚国际产能合作模式与区域价值链提升研究（申请代码 </w:t>
      </w:r>
      <w:r>
        <w:rPr>
          <w:rFonts w:ascii="Times New Roman" w:hAnsi="Times New Roman" w:cs="Times New Roman" w:eastAsia="Times New Roman" w:hint="ascii"/>
          <w:b w:val="1"/>
          <w:sz w:val="21"/>
        </w:rPr>
        <w:t xml:space="preserve">2 </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G0309</w:t>
      </w:r>
      <w:r>
        <w:rPr>
          <w:rFonts w:ascii="宋体" w:hAnsi="宋体" w:cs="宋体" w:eastAsia="宋体" w:hint="ascii"/>
          <w:sz w:val="21"/>
        </w:rPr>
        <w:t>）</w:t>
      </w:r>
    </w:p>
    <w:p>
      <w:pPr>
        <w:autoSpaceDE w:val="0"/>
        <w:autoSpaceDN w:val="0"/>
        <w:jc w:val="left"/>
        <w:spacing w:before="4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研究内容包括：云南企业与南亚东南亚国家通过推进国际产能合作带动我国技术、</w:t>
      </w:r>
    </w:p>
    <w:p>
      <w:pPr>
        <w:autoSpaceDE w:val="0"/>
        <w:autoSpaceDN w:val="0"/>
        <w:jc w:val="left"/>
        <w:spacing w:before="28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标准、服务</w:t>
      </w:r>
      <w:r>
        <w:rPr>
          <w:rFonts w:ascii="宋体" w:hAnsi="宋体" w:cs="宋体" w:eastAsia="宋体" w:hint="ascii"/>
          <w:sz w:val="21"/>
        </w:rPr>
        <w:t>走出去，提升海外投资水平的机制与路径研究；拓展国际产能合作新领域、</w:t>
      </w:r>
      <w:r>
        <w:rPr>
          <w:rFonts w:ascii="宋体" w:hAnsi="宋体" w:cs="宋体" w:eastAsia="宋体" w:hint="ascii"/>
          <w:sz w:val="21"/>
          <w:spacing w:val="-1"/>
        </w:rPr>
        <w:t>新内容、新</w:t>
      </w:r>
      <w:r>
        <w:rPr>
          <w:rFonts w:ascii="宋体" w:hAnsi="宋体" w:cs="宋体" w:eastAsia="宋体" w:hint="ascii"/>
          <w:sz w:val="21"/>
        </w:rPr>
        <w:t>空间研究；云南省生物产业在全球价值链的位置，向南亚东南亚扩散生物产</w:t>
      </w:r>
      <w:r>
        <w:rPr>
          <w:rFonts w:ascii="宋体" w:hAnsi="宋体" w:cs="宋体" w:eastAsia="宋体" w:hint="ascii"/>
          <w:sz w:val="21"/>
          <w:spacing w:val="-1"/>
        </w:rPr>
        <w:t>业和转移生</w:t>
      </w:r>
      <w:r>
        <w:rPr>
          <w:rFonts w:ascii="宋体" w:hAnsi="宋体" w:cs="宋体" w:eastAsia="宋体" w:hint="ascii"/>
          <w:sz w:val="21"/>
        </w:rPr>
        <w:t>物技术延伸产业链的机制与实现路径；国际产能合作中产业链环节的整体上移研究；国际产能合作中的全球价值链治理及其跃迁研究。</w:t>
      </w:r>
      <w:r>
        <w:rPr>
          <w:rFonts w:ascii="宋体" w:hAnsi="宋体" w:cs="宋体" w:eastAsia="宋体" w:hint="ascii"/>
          <w:sz w:val="21"/>
        </w:rPr>
        <mc:AlternateContent>
          <mc:Choice Requires="wps">
            <w:drawing>
              <wp:anchor distL="0" distR="0" distT="0" distB="0" simplePos="0" behindDoc="1" relativeHeight="294" locked="0" layoutInCell="1" allowOverlap="1">
                <wp:simplePos x="0" y="0"/>
                <wp:positionH relativeFrom="page">
                  <wp:posOffset>938530</wp:posOffset>
                </wp:positionH>
                <wp:positionV relativeFrom="page">
                  <wp:posOffset>805815</wp:posOffset>
                </wp:positionV>
                <wp:extent cx="5076190" cy="0"/>
                <wp:wrapNone/>
                <wp:docPr id="1323" name="132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57184;width:399.70pt;" id="132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30"/>
        <w:ind w:right="977" w:left="966" w:firstLine="420"/>
        <w:snapToGrid w:val="0"/>
        <w:textAlignment w:val="auto"/>
        <w:tabs>
          <w:tab w:val="left" w:leader="none" w:pos="1653"/>
        </w:tabs>
        <w:numPr>
          <w:ilvl w:val="0"/>
          <w:numId w:val="328"/>
        </w:numPr>
        <w:rPr>
          <w:rFonts w:ascii="Times New Roman" w:hAnsi="Times New Roman" w:cs="Times New Roman" w:eastAsia="Times New Roman" w:hint="ascii"/>
          <w:sz w:val="21"/>
        </w:rPr>
      </w:pPr>
      <w:r>
        <w:rPr>
          <w:rFonts w:ascii="宋体" w:hAnsi="宋体" w:cs="宋体" w:eastAsia="宋体" w:hint="ascii"/>
          <w:sz w:val="21"/>
        </w:rPr>
        <w:t>基于异质性多主体的云南与周边国家金融合作动态演化规律与变革管理（申请 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b w:val="1"/>
          <w:sz w:val="21"/>
        </w:rPr>
        <w:t>G0306</w:t>
      </w:r>
      <w:r>
        <w:rPr>
          <w:rFonts w:ascii="宋体" w:hAnsi="宋体" w:cs="宋体" w:eastAsia="宋体" w:hint="ascii"/>
          <w:sz w:val="21"/>
        </w:rPr>
        <w:t>）</w:t>
      </w:r>
    </w:p>
    <w:p>
      <w:pPr>
        <w:autoSpaceDE w:val="0"/>
        <w:autoSpaceDN w:val="0"/>
        <w:jc w:val="left"/>
        <w:spacing w:before="54"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以“一带</w:t>
      </w:r>
      <w:r>
        <w:rPr>
          <w:rFonts w:ascii="宋体" w:hAnsi="宋体" w:cs="宋体" w:eastAsia="宋体" w:hint="ascii"/>
          <w:sz w:val="21"/>
        </w:rPr>
        <w:t>一</w:t>
      </w:r>
      <w:r>
        <w:rPr>
          <w:rFonts w:ascii="宋体" w:hAnsi="宋体" w:cs="宋体" w:eastAsia="宋体" w:hint="ascii"/>
          <w:sz w:val="21"/>
          <w:spacing w:val="3"/>
        </w:rPr>
        <w:t>路”战略</w:t>
      </w:r>
      <w:r>
        <w:rPr>
          <w:rFonts w:ascii="宋体" w:hAnsi="宋体" w:cs="宋体" w:eastAsia="宋体" w:hint="ascii"/>
          <w:sz w:val="21"/>
        </w:rPr>
        <w:t>为</w:t>
      </w:r>
      <w:r>
        <w:rPr>
          <w:rFonts w:ascii="宋体" w:hAnsi="宋体" w:cs="宋体" w:eastAsia="宋体" w:hint="ascii"/>
          <w:sz w:val="21"/>
          <w:spacing w:val="3"/>
        </w:rPr>
        <w:t>背景，结</w:t>
      </w:r>
      <w:r>
        <w:rPr>
          <w:rFonts w:ascii="宋体" w:hAnsi="宋体" w:cs="宋体" w:eastAsia="宋体" w:hint="ascii"/>
          <w:sz w:val="21"/>
        </w:rPr>
        <w:t>合</w:t>
      </w:r>
      <w:r>
        <w:rPr>
          <w:rFonts w:ascii="宋体" w:hAnsi="宋体" w:cs="宋体" w:eastAsia="宋体" w:hint="ascii"/>
          <w:sz w:val="21"/>
          <w:spacing w:val="3"/>
        </w:rPr>
        <w:t>云南沿边</w:t>
      </w:r>
      <w:r>
        <w:rPr>
          <w:rFonts w:ascii="宋体" w:hAnsi="宋体" w:cs="宋体" w:eastAsia="宋体" w:hint="ascii"/>
          <w:sz w:val="21"/>
        </w:rPr>
        <w:t>开</w:t>
      </w:r>
      <w:r>
        <w:rPr>
          <w:rFonts w:ascii="宋体" w:hAnsi="宋体" w:cs="宋体" w:eastAsia="宋体" w:hint="ascii"/>
          <w:sz w:val="21"/>
          <w:spacing w:val="3"/>
        </w:rPr>
        <w:t>放的区位</w:t>
      </w:r>
      <w:r>
        <w:rPr>
          <w:rFonts w:ascii="宋体" w:hAnsi="宋体" w:cs="宋体" w:eastAsia="宋体" w:hint="ascii"/>
          <w:sz w:val="21"/>
        </w:rPr>
        <w:t>优</w:t>
      </w:r>
      <w:r>
        <w:rPr>
          <w:rFonts w:ascii="宋体" w:hAnsi="宋体" w:cs="宋体" w:eastAsia="宋体" w:hint="ascii"/>
          <w:sz w:val="21"/>
          <w:spacing w:val="3"/>
        </w:rPr>
        <w:t>势，针对</w:t>
      </w:r>
      <w:r>
        <w:rPr>
          <w:rFonts w:ascii="宋体" w:hAnsi="宋体" w:cs="宋体" w:eastAsia="宋体" w:hint="ascii"/>
          <w:sz w:val="21"/>
        </w:rPr>
        <w:t>云</w:t>
      </w:r>
      <w:r>
        <w:rPr>
          <w:rFonts w:ascii="宋体" w:hAnsi="宋体" w:cs="宋体" w:eastAsia="宋体" w:hint="ascii"/>
          <w:sz w:val="21"/>
          <w:spacing w:val="3"/>
        </w:rPr>
        <w:t>南建设</w:t>
      </w:r>
      <w:r>
        <w:rPr>
          <w:rFonts w:ascii="宋体" w:hAnsi="宋体" w:cs="宋体" w:eastAsia="宋体" w:hint="ascii"/>
          <w:sz w:val="21"/>
          <w:spacing w:val="4"/>
        </w:rPr>
        <w:t>“</w:t>
      </w:r>
      <w:r>
        <w:rPr>
          <w:rFonts w:ascii="宋体" w:hAnsi="宋体" w:cs="宋体" w:eastAsia="宋体" w:hint="ascii"/>
          <w:sz w:val="21"/>
        </w:rPr>
        <w:t>沿</w:t>
      </w:r>
    </w:p>
    <w:p>
      <w:pPr>
        <w:autoSpaceDE w:val="0"/>
        <w:autoSpaceDN w:val="0"/>
        <w:jc w:val="both"/>
        <w:spacing w:before="13"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边金融综合改革试验</w:t>
      </w:r>
      <w:r>
        <w:rPr>
          <w:rFonts w:ascii="宋体" w:hAnsi="宋体" w:cs="宋体" w:eastAsia="宋体" w:hint="ascii"/>
          <w:sz w:val="21"/>
        </w:rPr>
        <w:t>区”国家战略实施中，云南与周边国家经济金融发展的不平衡</w:t>
      </w:r>
      <w:r>
        <w:rPr>
          <w:rFonts w:ascii="宋体" w:hAnsi="宋体" w:cs="宋体" w:eastAsia="宋体" w:hint="ascii"/>
          <w:sz w:val="21"/>
          <w:spacing w:val="-6"/>
        </w:rPr>
        <w:t>性</w:t>
      </w:r>
      <w:r>
        <w:rPr>
          <w:rFonts w:ascii="宋体" w:hAnsi="宋体" w:cs="宋体" w:eastAsia="宋体" w:hint="ascii"/>
          <w:sz w:val="21"/>
          <w:spacing w:val="1"/>
        </w:rPr>
        <w:t>所导致的区域金融合</w:t>
      </w:r>
      <w:r>
        <w:rPr>
          <w:rFonts w:ascii="宋体" w:hAnsi="宋体" w:cs="宋体" w:eastAsia="宋体" w:hint="ascii"/>
          <w:sz w:val="21"/>
        </w:rPr>
        <w:t>作瓶颈，综合运用系统动力学、网络演化博弈和国际经济学的</w:t>
      </w:r>
      <w:r>
        <w:rPr>
          <w:rFonts w:ascii="宋体" w:hAnsi="宋体" w:cs="宋体" w:eastAsia="宋体" w:hint="ascii"/>
          <w:sz w:val="21"/>
          <w:spacing w:val="-6"/>
        </w:rPr>
        <w:t>理</w:t>
      </w:r>
      <w:r>
        <w:rPr>
          <w:rFonts w:ascii="宋体" w:hAnsi="宋体" w:cs="宋体" w:eastAsia="宋体" w:hint="ascii"/>
          <w:sz w:val="21"/>
          <w:spacing w:val="1"/>
        </w:rPr>
        <w:t>论与方法，分析云南</w:t>
      </w:r>
      <w:r>
        <w:rPr>
          <w:rFonts w:ascii="宋体" w:hAnsi="宋体" w:cs="宋体" w:eastAsia="宋体" w:hint="ascii"/>
          <w:sz w:val="21"/>
        </w:rPr>
        <w:t>与周边国家金融发展的异质性多主体特征及其对区域金融合作</w:t>
      </w:r>
      <w:r>
        <w:rPr>
          <w:rFonts w:ascii="宋体" w:hAnsi="宋体" w:cs="宋体" w:eastAsia="宋体" w:hint="ascii"/>
          <w:sz w:val="21"/>
          <w:spacing w:val="-6"/>
        </w:rPr>
        <w:t>的</w:t>
      </w:r>
      <w:r>
        <w:rPr>
          <w:rFonts w:ascii="宋体" w:hAnsi="宋体" w:cs="宋体" w:eastAsia="宋体" w:hint="ascii"/>
          <w:sz w:val="21"/>
          <w:spacing w:val="1"/>
        </w:rPr>
        <w:t>影响机理和动态作用</w:t>
      </w:r>
      <w:r>
        <w:rPr>
          <w:rFonts w:ascii="宋体" w:hAnsi="宋体" w:cs="宋体" w:eastAsia="宋体" w:hint="ascii"/>
          <w:sz w:val="21"/>
        </w:rPr>
        <w:t>机制。研究异质性多主体动态演化环境下，该区域跨境金融基</w:t>
      </w:r>
      <w:r>
        <w:rPr>
          <w:rFonts w:ascii="宋体" w:hAnsi="宋体" w:cs="宋体" w:eastAsia="宋体" w:hint="ascii"/>
          <w:sz w:val="21"/>
          <w:spacing w:val="-6"/>
        </w:rPr>
        <w:t>础</w:t>
      </w:r>
      <w:r>
        <w:rPr>
          <w:rFonts w:ascii="宋体" w:hAnsi="宋体" w:cs="宋体" w:eastAsia="宋体" w:hint="ascii"/>
          <w:sz w:val="21"/>
          <w:spacing w:val="1"/>
        </w:rPr>
        <w:t>设施连通、人民币与</w:t>
      </w:r>
      <w:r>
        <w:rPr>
          <w:rFonts w:ascii="宋体" w:hAnsi="宋体" w:cs="宋体" w:eastAsia="宋体" w:hint="ascii"/>
          <w:sz w:val="21"/>
        </w:rPr>
        <w:t>云南周边国家货币区域性外汇市场培育和跨境金融风险防控。</w:t>
      </w:r>
      <w:r>
        <w:rPr>
          <w:rFonts w:ascii="宋体" w:hAnsi="宋体" w:cs="宋体" w:eastAsia="宋体" w:hint="ascii"/>
          <w:sz w:val="21"/>
          <w:spacing w:val="-6"/>
        </w:rPr>
        <w:t>揭</w:t>
      </w:r>
      <w:r>
        <w:rPr>
          <w:rFonts w:ascii="宋体" w:hAnsi="宋体" w:cs="宋体" w:eastAsia="宋体" w:hint="ascii"/>
          <w:sz w:val="21"/>
          <w:spacing w:val="1"/>
        </w:rPr>
        <w:t>示非对称区域金融合</w:t>
      </w:r>
      <w:r>
        <w:rPr>
          <w:rFonts w:ascii="宋体" w:hAnsi="宋体" w:cs="宋体" w:eastAsia="宋体" w:hint="ascii"/>
          <w:sz w:val="21"/>
        </w:rPr>
        <w:t>作共生系统发展的机理、路径与模式。提出云南与周边国家金</w:t>
      </w:r>
      <w:r>
        <w:rPr>
          <w:rFonts w:ascii="宋体" w:hAnsi="宋体" w:cs="宋体" w:eastAsia="宋体" w:hint="ascii"/>
          <w:sz w:val="21"/>
          <w:spacing w:val="-6"/>
        </w:rPr>
        <w:t>融</w:t>
      </w:r>
      <w:r>
        <w:rPr>
          <w:rFonts w:ascii="宋体" w:hAnsi="宋体" w:cs="宋体" w:eastAsia="宋体" w:hint="ascii"/>
          <w:sz w:val="21"/>
          <w:spacing w:val="1"/>
        </w:rPr>
        <w:t>合作的宏观演化规律</w:t>
      </w:r>
      <w:r>
        <w:rPr>
          <w:rFonts w:ascii="宋体" w:hAnsi="宋体" w:cs="宋体" w:eastAsia="宋体" w:hint="ascii"/>
          <w:sz w:val="21"/>
        </w:rPr>
        <w:t>和变革管理措施。为“一带一路”沿线国家和地区的国际经济</w:t>
      </w:r>
      <w:r>
        <w:rPr>
          <w:rFonts w:ascii="宋体" w:hAnsi="宋体" w:cs="宋体" w:eastAsia="宋体" w:hint="ascii"/>
          <w:sz w:val="21"/>
          <w:spacing w:val="-6"/>
        </w:rPr>
        <w:t>金</w:t>
      </w:r>
      <w:r>
        <w:rPr>
          <w:rFonts w:ascii="宋体" w:hAnsi="宋体" w:cs="宋体" w:eastAsia="宋体" w:hint="ascii"/>
          <w:sz w:val="21"/>
        </w:rPr>
        <w:t>融合作提供借鉴。</w:t>
      </w:r>
    </w:p>
    <w:p>
      <w:pPr>
        <w:autoSpaceDE w:val="0"/>
        <w:autoSpaceDN w:val="0"/>
        <w:jc w:val="both"/>
        <w:spacing w:before="50" w:after="0" w:lineRule="auto" w:line="306"/>
        <w:ind w:right="977" w:left="966" w:firstLine="420"/>
        <w:snapToGrid w:val="0"/>
        <w:textAlignment w:val="auto"/>
        <w:tabs>
          <w:tab w:val="left" w:leader="none" w:pos="1656"/>
        </w:tabs>
        <w:numPr>
          <w:ilvl w:val="0"/>
          <w:numId w:val="328"/>
        </w:numPr>
        <w:rPr>
          <w:rFonts w:ascii="Times New Roman" w:hAnsi="Times New Roman" w:cs="Times New Roman" w:eastAsia="Times New Roman" w:hint="ascii"/>
          <w:sz w:val="21"/>
        </w:rPr>
      </w:pPr>
      <w:r>
        <w:rPr>
          <w:rFonts w:ascii="宋体" w:hAnsi="宋体" w:cs="宋体" w:eastAsia="宋体" w:hint="ascii"/>
          <w:sz w:val="21"/>
        </w:rPr>
        <w:t>中国面向南亚、东南亚科技辐射与科技创新中心建设研究（申请代</w:t>
      </w:r>
      <w:r>
        <w:rPr>
          <w:rFonts w:ascii="宋体" w:hAnsi="宋体" w:cs="宋体" w:eastAsia="宋体" w:hint="ascii"/>
          <w:sz w:val="21"/>
          <w:spacing w:val="-4"/>
        </w:rPr>
        <w:t>码</w:t>
      </w:r>
      <w:r>
        <w:rPr>
          <w:rFonts w:ascii="宋体" w:hAnsi="宋体" w:cs="宋体" w:eastAsia="宋体" w:hint="ascii"/>
          <w:sz w:val="21"/>
        </w:rPr>
        <w:t xml:space="preserve"> </w:t>
      </w:r>
      <w:r>
        <w:rPr>
          <w:rFonts w:ascii="Times New Roman" w:hAnsi="Times New Roman" w:cs="Times New Roman" w:eastAsia="Times New Roman" w:hint="ascii"/>
          <w:b w:val="1"/>
          <w:sz w:val="21"/>
        </w:rPr>
        <w:t xml:space="preserve">2 </w:t>
      </w:r>
      <w:r>
        <w:rPr>
          <w:rFonts w:ascii="宋体" w:hAnsi="宋体" w:cs="宋体" w:eastAsia="宋体" w:hint="ascii"/>
          <w:sz w:val="21"/>
        </w:rPr>
        <w:t>选</w:t>
      </w:r>
      <w:r>
        <w:rPr>
          <w:rFonts w:ascii="宋体" w:hAnsi="宋体" w:cs="宋体" w:eastAsia="宋体" w:hint="ascii"/>
          <w:sz w:val="21"/>
          <w:spacing w:val="-8"/>
        </w:rPr>
        <w:t>择</w:t>
      </w:r>
      <w:r>
        <w:rPr>
          <w:rFonts w:ascii="宋体" w:hAnsi="宋体" w:cs="宋体" w:eastAsia="宋体" w:hint="ascii"/>
          <w:sz w:val="21"/>
        </w:rPr>
        <w:t xml:space="preserve"> </w:t>
      </w:r>
      <w:r>
        <w:rPr>
          <w:rFonts w:ascii="Times New Roman" w:hAnsi="Times New Roman" w:cs="Times New Roman" w:eastAsia="Times New Roman" w:hint="ascii"/>
          <w:b w:val="1"/>
          <w:sz w:val="21"/>
        </w:rPr>
        <w:t>G0406</w:t>
      </w:r>
      <w:r>
        <w:rPr>
          <w:rFonts w:ascii="宋体" w:hAnsi="宋体" w:cs="宋体" w:eastAsia="宋体" w:hint="ascii"/>
          <w:sz w:val="21"/>
        </w:rPr>
        <w:t>）</w:t>
      </w:r>
    </w:p>
    <w:p>
      <w:pPr>
        <w:autoSpaceDE w:val="0"/>
        <w:autoSpaceDN w:val="0"/>
        <w:jc w:val="left"/>
        <w:spacing w:before="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研究内容包括：南亚、东南亚国家科技资源数据库建设，国别科技发展水平与科技</w:t>
      </w:r>
    </w:p>
    <w:p>
      <w:pPr>
        <w:autoSpaceDE w:val="0"/>
        <w:autoSpaceDN w:val="0"/>
        <w:jc w:val="both"/>
        <w:spacing w:before="14" w:after="0" w:lineRule="exact" w:line="325"/>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贡献率测度</w:t>
      </w:r>
      <w:r>
        <w:rPr>
          <w:rFonts w:ascii="宋体" w:hAnsi="宋体" w:cs="宋体" w:eastAsia="宋体" w:hint="ascii"/>
          <w:sz w:val="21"/>
        </w:rPr>
        <w:t>，科技合作需求及影响因素；科技合作机制设计与合作路径创新，农业技术</w:t>
      </w:r>
      <w:r>
        <w:rPr>
          <w:rFonts w:ascii="宋体" w:hAnsi="宋体" w:cs="宋体" w:eastAsia="宋体" w:hint="ascii"/>
          <w:sz w:val="21"/>
          <w:spacing w:val="-1"/>
        </w:rPr>
        <w:t>推广、技术</w:t>
      </w:r>
      <w:r>
        <w:rPr>
          <w:rFonts w:ascii="宋体" w:hAnsi="宋体" w:cs="宋体" w:eastAsia="宋体" w:hint="ascii"/>
          <w:sz w:val="21"/>
        </w:rPr>
        <w:t>援助、技术交易服务贸易、科技成果跨国转化应用等科技合作方式的实施瓶</w:t>
      </w:r>
      <w:r>
        <w:rPr>
          <w:rFonts w:ascii="宋体" w:hAnsi="宋体" w:cs="宋体" w:eastAsia="宋体" w:hint="ascii"/>
          <w:sz w:val="21"/>
          <w:spacing w:val="-1"/>
        </w:rPr>
        <w:t>颈及解决方</w:t>
      </w:r>
      <w:r>
        <w:rPr>
          <w:rFonts w:ascii="宋体" w:hAnsi="宋体" w:cs="宋体" w:eastAsia="宋体" w:hint="ascii"/>
          <w:sz w:val="21"/>
        </w:rPr>
        <w:t>案；云南面向南亚东南亚的科技辐射能力、辐射重点领域、重点国别及阶段性布局；基于南亚东南亚科技合作需求的科技创新中心建设思路、重点及对策。</w:t>
      </w:r>
    </w:p>
    <w:p>
      <w:pPr>
        <w:autoSpaceDE w:val="0"/>
        <w:autoSpaceDN w:val="0"/>
        <w:jc w:val="both"/>
        <w:spacing w:before="53" w:after="0" w:lineRule="auto" w:line="307"/>
        <w:ind w:right="977" w:left="966" w:firstLine="420"/>
        <w:snapToGrid w:val="0"/>
        <w:textAlignment w:val="auto"/>
        <w:tabs>
          <w:tab w:val="left" w:leader="none" w:pos="1656"/>
        </w:tabs>
        <w:numPr>
          <w:ilvl w:val="0"/>
          <w:numId w:val="328"/>
        </w:numPr>
        <w:rPr>
          <w:rFonts w:ascii="Times New Roman" w:hAnsi="Times New Roman" w:cs="Times New Roman" w:eastAsia="Times New Roman" w:hint="ascii"/>
          <w:sz w:val="21"/>
        </w:rPr>
      </w:pPr>
      <w:r>
        <w:rPr>
          <w:rFonts w:ascii="宋体" w:hAnsi="宋体" w:cs="宋体" w:eastAsia="宋体" w:hint="ascii"/>
          <w:sz w:val="21"/>
        </w:rPr>
        <w:t>大数据环境下的跨境民族文化融合理论、方法与实现路径（申请代</w:t>
      </w:r>
      <w:r>
        <w:rPr>
          <w:rFonts w:ascii="宋体" w:hAnsi="宋体" w:cs="宋体" w:eastAsia="宋体" w:hint="ascii"/>
          <w:sz w:val="21"/>
          <w:spacing w:val="-4"/>
        </w:rPr>
        <w:t>码</w:t>
      </w:r>
      <w:r>
        <w:rPr>
          <w:rFonts w:ascii="宋体" w:hAnsi="宋体" w:cs="宋体" w:eastAsia="宋体" w:hint="ascii"/>
          <w:sz w:val="21"/>
        </w:rPr>
        <w:t xml:space="preserve"> </w:t>
      </w:r>
      <w:r>
        <w:rPr>
          <w:rFonts w:ascii="Times New Roman" w:hAnsi="Times New Roman" w:cs="Times New Roman" w:eastAsia="Times New Roman" w:hint="ascii"/>
          <w:b w:val="1"/>
          <w:sz w:val="21"/>
        </w:rPr>
        <w:t xml:space="preserve">2 </w:t>
      </w:r>
      <w:r>
        <w:rPr>
          <w:rFonts w:ascii="宋体" w:hAnsi="宋体" w:cs="宋体" w:eastAsia="宋体" w:hint="ascii"/>
          <w:sz w:val="21"/>
        </w:rPr>
        <w:t>选</w:t>
      </w:r>
      <w:r>
        <w:rPr>
          <w:rFonts w:ascii="宋体" w:hAnsi="宋体" w:cs="宋体" w:eastAsia="宋体" w:hint="ascii"/>
          <w:sz w:val="21"/>
          <w:spacing w:val="-8"/>
        </w:rPr>
        <w:t>择</w:t>
      </w:r>
      <w:r>
        <w:rPr>
          <w:rFonts w:ascii="宋体" w:hAnsi="宋体" w:cs="宋体" w:eastAsia="宋体" w:hint="ascii"/>
          <w:sz w:val="21"/>
        </w:rPr>
        <w:t xml:space="preserve"> </w:t>
      </w:r>
      <w:r>
        <w:rPr>
          <w:rFonts w:ascii="Times New Roman" w:hAnsi="Times New Roman" w:cs="Times New Roman" w:eastAsia="Times New Roman" w:hint="ascii"/>
          <w:b w:val="1"/>
          <w:sz w:val="21"/>
        </w:rPr>
        <w:t>G0408</w:t>
      </w:r>
      <w:r>
        <w:rPr>
          <w:rFonts w:ascii="宋体" w:hAnsi="宋体" w:cs="宋体" w:eastAsia="宋体" w:hint="ascii"/>
          <w:sz w:val="21"/>
        </w:rPr>
        <w:t>）</w:t>
      </w:r>
    </w:p>
    <w:p>
      <w:pPr>
        <w:autoSpaceDE w:val="0"/>
        <w:autoSpaceDN w:val="0"/>
        <w:jc w:val="left"/>
        <w:spacing w:before="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研究内容包括：云南边疆跨境民族文化大数据获取、融合与检索技术；面向跨境民</w:t>
      </w:r>
    </w:p>
    <w:p>
      <w:pPr>
        <w:autoSpaceDE w:val="0"/>
        <w:autoSpaceDN w:val="0"/>
        <w:jc w:val="both"/>
        <w:spacing w:before="12" w:after="0" w:lineRule="exact" w:line="326"/>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族文化融合</w:t>
      </w:r>
      <w:r>
        <w:rPr>
          <w:rFonts w:ascii="宋体" w:hAnsi="宋体" w:cs="宋体" w:eastAsia="宋体" w:hint="ascii"/>
          <w:sz w:val="21"/>
        </w:rPr>
        <w:t>的大数据关联分析、推理决策和知识图谱构建理论与方法；大数据驱动的多</w:t>
      </w:r>
      <w:r>
        <w:rPr>
          <w:rFonts w:ascii="宋体" w:hAnsi="宋体" w:cs="宋体" w:eastAsia="宋体" w:hint="ascii"/>
          <w:sz w:val="21"/>
          <w:spacing w:val="-1"/>
        </w:rPr>
        <w:t>模态民族媒</w:t>
      </w:r>
      <w:r>
        <w:rPr>
          <w:rFonts w:ascii="宋体" w:hAnsi="宋体" w:cs="宋体" w:eastAsia="宋体" w:hint="ascii"/>
          <w:sz w:val="21"/>
        </w:rPr>
        <w:t>体计算与认知计算、民族文化数字化保护关键技术；面向南亚东南亚的多民族媒体信息服务、民族舆情演化规律和引导机制，以及多民族文化融合的实现路径。</w:t>
      </w:r>
    </w:p>
    <w:p>
      <w:pPr>
        <w:autoSpaceDE w:val="0"/>
        <w:autoSpaceDN w:val="0"/>
        <w:jc w:val="left"/>
        <w:spacing w:before="50" w:after="0" w:lineRule="auto" w:line="240"/>
        <w:ind w:right="0" w:left="966" w:firstLine="420"/>
        <w:snapToGrid w:val="0"/>
        <w:textAlignment w:val="auto"/>
        <w:tabs>
          <w:tab w:val="left" w:leader="none" w:pos="1653"/>
        </w:tabs>
        <w:numPr>
          <w:ilvl w:val="0"/>
          <w:numId w:val="328"/>
        </w:numPr>
        <w:rPr>
          <w:rFonts w:ascii="Times New Roman" w:hAnsi="Times New Roman" w:cs="Times New Roman" w:eastAsia="Times New Roman" w:hint="ascii"/>
          <w:b w:val="1"/>
          <w:sz w:val="21"/>
        </w:rPr>
      </w:pPr>
      <w:r>
        <w:rPr>
          <w:rFonts w:ascii="宋体" w:hAnsi="宋体" w:cs="宋体" w:eastAsia="宋体" w:hint="ascii"/>
          <w:sz w:val="21"/>
        </w:rPr>
        <w:t>云南面向南亚东南亚的区域经济合作路径、模式与实现机制研究（申请</w:t>
      </w:r>
      <w:r>
        <w:rPr>
          <w:rFonts w:ascii="宋体" w:hAnsi="宋体" w:cs="宋体" w:eastAsia="宋体" w:hint="ascii"/>
          <w:sz w:val="21"/>
          <w:spacing w:val="3"/>
        </w:rPr>
        <w:t>代</w:t>
      </w:r>
      <w:r>
        <w:rPr>
          <w:rFonts w:ascii="宋体" w:hAnsi="宋体" w:cs="宋体" w:eastAsia="宋体" w:hint="ascii"/>
          <w:sz w:val="21"/>
        </w:rPr>
        <w:t>码</w:t>
      </w:r>
      <w:r>
        <w:rPr>
          <w:rFonts w:ascii="宋体" w:hAnsi="宋体" w:cs="宋体" w:eastAsia="宋体" w:hint="ascii"/>
          <w:sz w:val="21"/>
          <w:spacing w:val="3"/>
        </w:rPr>
        <w:t xml:space="preserve"> </w:t>
      </w:r>
      <w:r>
        <w:rPr>
          <w:rFonts w:ascii="Times New Roman" w:hAnsi="Times New Roman" w:cs="Times New Roman" w:eastAsia="Times New Roman" w:hint="ascii"/>
          <w:b w:val="1"/>
          <w:sz w:val="21"/>
        </w:rPr>
        <w:t>2</w:t>
      </w:r>
    </w:p>
    <w:p>
      <w:pPr>
        <w:autoSpaceDE w:val="0"/>
        <w:autoSpaceDN w:val="0"/>
        <w:jc w:val="left"/>
        <w:spacing w:before="71"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G0309</w:t>
      </w:r>
      <w:r>
        <w:rPr>
          <w:rFonts w:ascii="宋体" w:hAnsi="宋体" w:cs="宋体" w:eastAsia="宋体" w:hint="ascii"/>
          <w:sz w:val="21"/>
        </w:rPr>
        <w:t>）</w:t>
      </w:r>
    </w:p>
    <w:p>
      <w:pPr>
        <w:autoSpaceDE w:val="0"/>
        <w:autoSpaceDN w:val="0"/>
        <w:jc w:val="left"/>
        <w:spacing w:before="64"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在“一带一路”战略背景下，云南要成为面向南亚东南亚经济辐射中心，首先需要</w:t>
      </w:r>
    </w:p>
    <w:p>
      <w:pPr>
        <w:autoSpaceDE w:val="0"/>
        <w:autoSpaceDN w:val="0"/>
        <w:jc w:val="right"/>
        <w:spacing w:before="12" w:after="0" w:lineRule="exact" w:line="326"/>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明确云南省</w:t>
      </w:r>
      <w:r>
        <w:rPr>
          <w:rFonts w:ascii="宋体" w:hAnsi="宋体" w:cs="宋体" w:eastAsia="宋体" w:hint="ascii"/>
          <w:sz w:val="21"/>
        </w:rPr>
        <w:t>经济与南亚东南亚经济体之间的关联关系，从而找到有利于实现协同发展的合作路径（如双边或多边贸易合作、区域产业链的构建与优化等</w:t>
      </w:r>
      <w:r>
        <w:rPr>
          <w:rFonts w:ascii="宋体" w:hAnsi="宋体" w:cs="宋体" w:eastAsia="宋体" w:hint="ascii"/>
          <w:sz w:val="21"/>
          <w:spacing w:val="-51"/>
        </w:rPr>
        <w:t>）</w:t>
      </w:r>
      <w:r>
        <w:rPr>
          <w:rFonts w:ascii="宋体" w:hAnsi="宋体" w:cs="宋体" w:eastAsia="宋体" w:hint="ascii"/>
          <w:sz w:val="21"/>
        </w:rPr>
        <w:t>；其次，云南与南亚</w:t>
      </w:r>
      <w:r>
        <w:rPr>
          <w:rFonts w:ascii="宋体" w:hAnsi="宋体" w:cs="宋体" w:eastAsia="宋体" w:hint="ascii"/>
          <w:sz w:val="21"/>
          <w:spacing w:val="-1"/>
        </w:rPr>
        <w:t>东南亚经济</w:t>
      </w:r>
      <w:r>
        <w:rPr>
          <w:rFonts w:ascii="宋体" w:hAnsi="宋体" w:cs="宋体" w:eastAsia="宋体" w:hint="ascii"/>
          <w:sz w:val="21"/>
        </w:rPr>
        <w:t>合作模式需以在经济上实现“双赢”为根本，但是经济合作的成功与否要受</w:t>
      </w:r>
      <w:r>
        <w:rPr>
          <w:rFonts w:ascii="宋体" w:hAnsi="宋体" w:cs="宋体" w:eastAsia="宋体" w:hint="ascii"/>
          <w:sz w:val="21"/>
          <w:spacing w:val="-1"/>
        </w:rPr>
        <w:t>到政策和制</w:t>
      </w:r>
      <w:r>
        <w:rPr>
          <w:rFonts w:ascii="宋体" w:hAnsi="宋体" w:cs="宋体" w:eastAsia="宋体" w:hint="ascii"/>
          <w:sz w:val="21"/>
        </w:rPr>
        <w:t>度环境等因素的影响，潜在的合作模式需要以有效的实现机制作为驱动力。本选题是基础研究与应用研究的结合。首先，明确云南省经济与南亚东南亚经济体</w:t>
      </w:r>
    </w:p>
    <w:p>
      <w:pPr>
        <w:autoSpaceDE w:val="0"/>
        <w:autoSpaceDN w:val="0"/>
        <w:jc w:val="left"/>
        <w:spacing w:before="5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之间的关联关系（包括商品流、产业竞争性与互补性、区域产业链关系、经济系统互动</w:t>
      </w:r>
    </w:p>
    <w:p>
      <w:pPr>
        <w:autoSpaceDE w:val="0"/>
        <w:autoSpaceDN w:val="0"/>
        <w:jc w:val="left"/>
        <w:spacing w:before="405"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both"/>
        <w:spacing w:before="245" w:after="0" w:lineRule="exact" w:line="326"/>
        <w:ind w:right="964" w:left="966" w:firstLine="0"/>
        <w:snapToGrid w:val="0"/>
        <w:textAlignment w:val="auto"/>
        <w:tabs/>
        <w:rPr>
          <w:rFonts w:ascii="宋体" w:hAnsi="宋体" w:cs="宋体" w:eastAsia="宋体" w:hint="ascii"/>
          <w:sz w:val="21"/>
        </w:rPr>
      </w:pPr>
      <w:r>
        <w:rPr>
          <w:rFonts w:ascii="宋体" w:hAnsi="宋体" w:cs="宋体" w:eastAsia="宋体" w:hint="ascii"/>
          <w:sz w:val="21"/>
        </w:rPr>
        <w:t>关系等）是基础研究，它是选择合作路径的出发点；其次，合作模式及其实现机制是应用研究，将回答经济合作从何入手和如何推进的问题，研究结果将为推进云南与南亚东南亚经济合作提供决策依据。</w:t>
      </w:r>
      <w:r>
        <w:rPr>
          <w:rFonts w:ascii="宋体" w:hAnsi="宋体" w:cs="宋体" w:eastAsia="宋体" w:hint="ascii"/>
          <w:sz w:val="21"/>
        </w:rPr>
        <mc:AlternateContent>
          <mc:Choice Requires="wps">
            <w:drawing>
              <wp:anchor distL="0" distR="0" distT="0" distB="0" simplePos="0" behindDoc="1" relativeHeight="295" locked="0" layoutInCell="1" allowOverlap="1">
                <wp:simplePos x="0" y="0"/>
                <wp:positionH relativeFrom="page">
                  <wp:posOffset>938530</wp:posOffset>
                </wp:positionH>
                <wp:positionV relativeFrom="page">
                  <wp:posOffset>819150</wp:posOffset>
                </wp:positionV>
                <wp:extent cx="5076190" cy="0"/>
                <wp:wrapNone/>
                <wp:docPr id="1324" name="132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56160;width:399.70pt;" id="132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20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2" w:after="0" w:lineRule="exact" w:line="324"/>
        <w:ind w:right="964"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）申请书资助类别选择“联合基金项目</w:t>
      </w:r>
      <w:r>
        <w:rPr>
          <w:rFonts w:ascii="宋体" w:hAnsi="宋体" w:cs="宋体" w:eastAsia="宋体" w:hint="ascii"/>
          <w:sz w:val="21"/>
          <w:spacing w:val="-52"/>
        </w:rPr>
        <w:t>”</w:t>
      </w:r>
      <w:r>
        <w:rPr>
          <w:rFonts w:ascii="宋体" w:hAnsi="宋体" w:cs="宋体" w:eastAsia="宋体" w:hint="ascii"/>
          <w:sz w:val="21"/>
        </w:rPr>
        <w:t>，亚类说明选择“重点支持项目</w:t>
      </w:r>
      <w:r>
        <w:rPr>
          <w:rFonts w:ascii="宋体" w:hAnsi="宋体" w:cs="宋体" w:eastAsia="宋体" w:hint="ascii"/>
          <w:sz w:val="21"/>
          <w:spacing w:val="-52"/>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云南联合基金</w:t>
      </w:r>
      <w:r>
        <w:rPr>
          <w:rFonts w:ascii="宋体" w:hAnsi="宋体" w:cs="宋体" w:eastAsia="宋体" w:hint="ascii"/>
          <w:sz w:val="21"/>
          <w:spacing w:val="-52"/>
        </w:rPr>
        <w:t>”</w:t>
      </w:r>
      <w:r>
        <w:rPr>
          <w:rFonts w:ascii="宋体" w:hAnsi="宋体" w:cs="宋体" w:eastAsia="宋体" w:hint="ascii"/>
          <w:sz w:val="21"/>
        </w:rPr>
        <w:t>。申请代码必须按本《指南》要求选择。</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）本联合基金面向全国，鼓励申请人与云南省境内具有一定研究实力和研究条件</w:t>
      </w:r>
    </w:p>
    <w:p>
      <w:pPr>
        <w:autoSpaceDE w:val="0"/>
        <w:autoSpaceDN w:val="0"/>
        <w:jc w:val="both"/>
        <w:spacing w:before="12" w:after="0" w:lineRule="exact" w:line="324"/>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的高等院校或研究机构开展合作研究。对于合作研究项目，应当在申请书中明确合作各方的合作内容、主要分工等。</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2" w:after="0" w:lineRule="exact" w:line="324"/>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研究内容和目标等由申请人提出，要求申请人按照重点支持项目申请书撰写提纲撰写申请书。如果申请人已经承担与本联合基金相关的国家其他科技计划项目，应当在申请书正文的“研究基础与工作条件”部分论述申请项目与其他相关项目的区别与联系。</w:t>
      </w:r>
    </w:p>
    <w:p>
      <w:pPr>
        <w:autoSpaceDE w:val="0"/>
        <w:autoSpaceDN w:val="0"/>
        <w:jc w:val="left"/>
        <w:spacing w:before="166" w:after="0" w:lineRule="exact" w:line="300"/>
        <w:ind w:right="0" w:left="138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rPr>
      </w:pPr>
      <w:r>
        <w:rPr>
          <w:rFonts w:ascii="宋体" w:hAnsi="宋体" w:cs="宋体" w:eastAsia="宋体" w:hint="ascii"/>
        </w:rPr>
        <w:t>联系方式</w:t>
      </w:r>
      <w:rPr>
        <w:rFonts w:ascii="宋体" w:hAnsi="宋体" w:cs="宋体" w:eastAsia="宋体" w:hint="ascii"/>
      </w:rPr>
    </w:p>
    <w:p>
      <w:pPr>
        <w:autoSpaceDE w:val="0"/>
        <w:autoSpaceDN w:val="0"/>
        <w:jc w:val="left"/>
        <w:spacing w:before="197" w:after="0" w:lineRule="exact" w:line="263"/>
        <w:ind w:right="0" w:left="1350" w:firstLine="0"/>
        <w:snapToGrid w:val="0"/>
        <w:textAlignment w:val="auto"/>
        <w:tabs/>
        <w:rPr>
          <w:rFonts w:ascii="宋体" w:hAnsi="宋体" w:cs="宋体" w:eastAsia="宋体" w:hint="ascii"/>
          <w:sz w:val="21"/>
        </w:rPr>
      </w:pPr>
      <w:r>
        <w:rPr>
          <w:rFonts w:ascii="宋体" w:hAnsi="宋体" w:cs="宋体" w:eastAsia="宋体" w:hint="ascii"/>
          <w:sz w:val="21"/>
          <w:spacing w:val="-5"/>
        </w:rPr>
        <w:t>国家自然科学基金委员会信息科学</w:t>
      </w:r>
      <w:r>
        <w:rPr>
          <w:rFonts w:ascii="宋体" w:hAnsi="宋体" w:cs="宋体" w:eastAsia="宋体" w:hint="ascii"/>
          <w:sz w:val="21"/>
        </w:rPr>
        <w:t>部</w:t>
      </w:r>
    </w:p>
    <w:p>
      <w:pPr>
        <w:autoSpaceDE w:val="0"/>
        <w:autoSpaceDN w:val="0"/>
        <w:jc w:val="left"/>
        <w:spacing w:before="49" w:after="0" w:lineRule="exact" w:line="263"/>
        <w:ind w:right="0" w:left="1350"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32"/>
        </w:rPr>
        <w:t xml:space="preserve"> </w:t>
      </w:r>
      <w:r>
        <w:rPr>
          <w:rFonts w:ascii="宋体" w:hAnsi="宋体" w:cs="宋体" w:eastAsia="宋体" w:hint="ascii"/>
          <w:sz w:val="21"/>
          <w:spacing w:val="-5"/>
        </w:rPr>
        <w:t>址：北京市海淀区双清</w:t>
      </w:r>
      <w:r>
        <w:rPr>
          <w:rFonts w:ascii="宋体" w:hAnsi="宋体" w:cs="宋体" w:eastAsia="宋体" w:hint="ascii"/>
          <w:sz w:val="21"/>
          <w:spacing w:val="20"/>
        </w:rPr>
        <w:t>路</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45"/>
        </w:rPr>
        <w:t>3</w:t>
      </w:r>
      <w:r>
        <w:rPr>
          <w:rFonts w:ascii="宋体" w:hAnsi="宋体" w:cs="宋体" w:eastAsia="宋体" w:hint="ascii"/>
          <w:sz w:val="21"/>
        </w:rPr>
        <w:t>号</w:t>
      </w:r>
    </w:p>
    <w:p>
      <w:pPr>
        <w:autoSpaceDE w:val="0"/>
        <w:autoSpaceDN w:val="0"/>
        <w:jc w:val="left"/>
        <w:spacing w:before="49" w:after="0" w:lineRule="exact" w:line="263"/>
        <w:ind w:right="0" w:left="135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1</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00</w:t>
      </w:r>
      <w:r>
        <w:rPr>
          <w:rFonts w:ascii="Times New Roman" w:hAnsi="Times New Roman" w:cs="Times New Roman" w:eastAsia="Times New Roman" w:hint="ascii"/>
          <w:sz w:val="21"/>
        </w:rPr>
        <w:t>85</w:t>
      </w:r>
    </w:p>
    <w:p>
      <w:pPr>
        <w:autoSpaceDE w:val="0"/>
        <w:autoSpaceDN w:val="0"/>
        <w:jc w:val="left"/>
        <w:spacing w:before="49" w:after="0" w:lineRule="exact" w:line="263"/>
        <w:ind w:right="0" w:left="1350"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雷</w:t>
      </w:r>
      <w:r>
        <w:rPr>
          <w:rFonts w:ascii="宋体" w:hAnsi="宋体" w:cs="宋体" w:eastAsia="宋体" w:hint="ascii"/>
          <w:sz w:val="21"/>
          <w:spacing w:val="37"/>
        </w:rPr>
        <w:t xml:space="preserve"> </w:t>
      </w:r>
      <w:r>
        <w:rPr>
          <w:rFonts w:ascii="宋体" w:hAnsi="宋体" w:cs="宋体" w:eastAsia="宋体" w:hint="ascii"/>
          <w:sz w:val="21"/>
        </w:rPr>
        <w:t>蓉</w:t>
      </w:r>
      <w:r>
        <w:rPr>
          <w:rFonts w:ascii="宋体" w:hAnsi="宋体" w:cs="宋体" w:eastAsia="宋体" w:hint="ascii"/>
          <w:sz w:val="21"/>
          <w:spacing w:val="38"/>
        </w:rPr>
        <w:t xml:space="preserve"> </w:t>
      </w:r>
      <w:r>
        <w:rPr>
          <w:rFonts w:ascii="宋体" w:hAnsi="宋体" w:cs="宋体" w:eastAsia="宋体" w:hint="ascii"/>
          <w:sz w:val="21"/>
        </w:rPr>
        <w:t>王</w:t>
      </w:r>
      <w:r>
        <w:rPr>
          <w:rFonts w:ascii="宋体" w:hAnsi="宋体" w:cs="宋体" w:eastAsia="宋体" w:hint="ascii"/>
          <w:sz w:val="21"/>
          <w:spacing w:val="38"/>
        </w:rPr>
        <w:t xml:space="preserve"> </w:t>
      </w:r>
      <w:r>
        <w:rPr>
          <w:rFonts w:ascii="宋体" w:hAnsi="宋体" w:cs="宋体" w:eastAsia="宋体" w:hint="ascii"/>
          <w:sz w:val="21"/>
        </w:rPr>
        <w:t>岩</w:t>
      </w:r>
    </w:p>
    <w:p>
      <w:pPr>
        <w:autoSpaceDE w:val="0"/>
        <w:autoSpaceDN w:val="0"/>
        <w:jc w:val="both"/>
        <w:spacing w:before="10" w:after="0" w:lineRule="exact" w:line="312"/>
        <w:ind w:right="0" w:left="135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21"/>
        </w:rPr>
        <w:t xml:space="preserve"> </w:t>
      </w:r>
      <w:r>
        <w:rPr>
          <w:rFonts w:ascii="宋体" w:hAnsi="宋体" w:cs="宋体" w:eastAsia="宋体" w:hint="ascii"/>
          <w:sz w:val="21"/>
          <w:spacing w:val="-9"/>
        </w:rPr>
        <w:t>话</w:t>
      </w:r>
      <w:r>
        <w:rPr>
          <w:rFonts w:ascii="宋体" w:hAnsi="宋体" w:cs="宋体" w:eastAsia="宋体" w:hint="ascii"/>
          <w:sz w:val="21"/>
          <w:spacing w:val="-2"/>
        </w:rPr>
        <w:t>：</w:t>
      </w:r>
      <w:r>
        <w:rPr>
          <w:rFonts w:ascii="宋体" w:hAnsi="宋体" w:cs="宋体" w:eastAsia="宋体" w:hint="ascii"/>
          <w:sz w:val="21"/>
          <w:spacing w:val="-16"/>
        </w:rPr>
        <w:t xml:space="preserve"> </w:t>
      </w:r>
      <w:r>
        <w:rPr>
          <w:rFonts w:ascii="Times New Roman" w:hAnsi="Times New Roman" w:cs="Times New Roman" w:eastAsia="Times New Roman" w:hint="ascii"/>
          <w:sz w:val="21"/>
          <w:spacing w:val="-9"/>
        </w:rPr>
        <w:t>010</w:t>
      </w:r>
      <w:r>
        <w:rPr>
          <w:rFonts w:ascii="宋体" w:hAnsi="宋体" w:cs="宋体" w:eastAsia="宋体" w:hint="ascii"/>
          <w:sz w:val="21"/>
          <w:spacing w:val="-10"/>
        </w:rPr>
        <w:t>-</w:t>
      </w:r>
      <w:r>
        <w:rPr>
          <w:rFonts w:ascii="Times New Roman" w:hAnsi="Times New Roman" w:cs="Times New Roman" w:eastAsia="Times New Roman" w:hint="ascii"/>
          <w:sz w:val="21"/>
          <w:spacing w:val="-9"/>
        </w:rPr>
        <w:t>62</w:t>
      </w:r>
      <w:r>
        <w:rPr>
          <w:rFonts w:ascii="Times New Roman" w:hAnsi="Times New Roman" w:cs="Times New Roman" w:eastAsia="Times New Roman" w:hint="ascii"/>
          <w:sz w:val="21"/>
          <w:spacing w:val="-10"/>
        </w:rPr>
        <w:t>3</w:t>
      </w:r>
      <w:r>
        <w:rPr>
          <w:rFonts w:ascii="Times New Roman" w:hAnsi="Times New Roman" w:cs="Times New Roman" w:eastAsia="Times New Roman" w:hint="ascii"/>
          <w:sz w:val="21"/>
          <w:spacing w:val="-9"/>
        </w:rPr>
        <w:t>28</w:t>
      </w:r>
      <w:r>
        <w:rPr>
          <w:rFonts w:ascii="Times New Roman" w:hAnsi="Times New Roman" w:cs="Times New Roman" w:eastAsia="Times New Roman" w:hint="ascii"/>
          <w:sz w:val="21"/>
          <w:spacing w:val="-10"/>
        </w:rPr>
        <w:t>4</w:t>
      </w:r>
      <w:r>
        <w:rPr>
          <w:rFonts w:ascii="Times New Roman" w:hAnsi="Times New Roman" w:cs="Times New Roman" w:eastAsia="Times New Roman" w:hint="ascii"/>
          <w:sz w:val="21"/>
          <w:spacing w:val="-8"/>
        </w:rPr>
        <w:t>8</w:t>
      </w:r>
      <w:r>
        <w:rPr>
          <w:rFonts w:ascii="Times New Roman" w:hAnsi="Times New Roman" w:cs="Times New Roman" w:eastAsia="Times New Roman" w:hint="ascii"/>
          <w:sz w:val="21"/>
          <w:spacing w:val="-9"/>
        </w:rPr>
        <w:t>4</w:t>
      </w:r>
      <w:r>
        <w:rPr>
          <w:rFonts w:ascii="宋体" w:hAnsi="宋体" w:cs="宋体" w:eastAsia="宋体" w:hint="ascii"/>
          <w:sz w:val="21"/>
          <w:spacing w:val="-8"/>
        </w:rPr>
        <w:t>，</w:t>
      </w:r>
      <w:r>
        <w:rPr>
          <w:rFonts w:ascii="Times New Roman" w:hAnsi="Times New Roman" w:cs="Times New Roman" w:eastAsia="Times New Roman" w:hint="ascii"/>
          <w:sz w:val="21"/>
          <w:spacing w:val="-8"/>
        </w:rPr>
        <w:t>0</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spacing w:val="-8"/>
        </w:rPr>
        <w:t>0</w:t>
      </w:r>
      <w:r>
        <w:rPr>
          <w:rFonts w:ascii="宋体" w:hAnsi="宋体" w:cs="宋体" w:eastAsia="宋体" w:hint="ascii"/>
          <w:sz w:val="21"/>
          <w:spacing w:val="-8"/>
        </w:rPr>
        <w:t>-</w:t>
      </w:r>
      <w:r>
        <w:rPr>
          <w:rFonts w:ascii="Times New Roman" w:hAnsi="Times New Roman" w:cs="Times New Roman" w:eastAsia="Times New Roman" w:hint="ascii"/>
          <w:sz w:val="21"/>
          <w:spacing w:val="-9"/>
        </w:rPr>
        <w:t>6</w:t>
      </w:r>
      <w:r>
        <w:rPr>
          <w:rFonts w:ascii="Times New Roman" w:hAnsi="Times New Roman" w:cs="Times New Roman" w:eastAsia="Times New Roman" w:hint="ascii"/>
          <w:sz w:val="21"/>
          <w:spacing w:val="-8"/>
        </w:rPr>
        <w:t>23</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8"/>
        </w:rPr>
        <w:t>7</w:t>
      </w:r>
      <w:r>
        <w:rPr>
          <w:rFonts w:ascii="Times New Roman" w:hAnsi="Times New Roman" w:cs="Times New Roman" w:eastAsia="Times New Roman" w:hint="ascii"/>
          <w:sz w:val="21"/>
          <w:spacing w:val="-9"/>
        </w:rPr>
        <w:t>0</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6"/>
        </w:rPr>
        <w:t>l</w:t>
      </w:r>
      <w:r>
        <w:rPr>
          <w:rFonts w:ascii="Times New Roman" w:hAnsi="Times New Roman" w:cs="Times New Roman" w:eastAsia="Times New Roman" w:hint="ascii"/>
          <w:sz w:val="21"/>
          <w:spacing w:val="-4"/>
        </w:rPr>
        <w:t>ei</w:t>
      </w:r>
      <w:r>
        <w:rPr>
          <w:rFonts w:ascii="Times New Roman" w:hAnsi="Times New Roman" w:cs="Times New Roman" w:eastAsia="Times New Roman" w:hint="ascii"/>
          <w:sz w:val="21"/>
          <w:spacing w:val="-6"/>
        </w:rPr>
        <w:t>r</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4"/>
        </w:rPr>
        <w:t>f</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5"/>
        </w:rPr>
        <w:t>go</w:t>
      </w:r>
      <w:r>
        <w:rPr>
          <w:rFonts w:ascii="Times New Roman" w:hAnsi="Times New Roman" w:cs="Times New Roman" w:eastAsia="Times New Roman" w:hint="ascii"/>
          <w:sz w:val="21"/>
          <w:spacing w:val="-17"/>
        </w:rPr>
        <w:t>v</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2347"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spacing w:val="-5"/>
        </w:rPr>
        <w:t>w</w:t>
      </w:r>
      <w:r>
        <w:rPr>
          <w:rFonts w:ascii="Times New Roman" w:hAnsi="Times New Roman" w:cs="Times New Roman" w:eastAsia="Times New Roman" w:hint="ascii"/>
          <w:sz w:val="21"/>
          <w:spacing w:val="-4"/>
        </w:rPr>
        <w:t>a</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y</w:t>
      </w:r>
      <w:r>
        <w:rPr>
          <w:rFonts w:ascii="Times New Roman" w:hAnsi="Times New Roman" w:cs="Times New Roman" w:eastAsia="Times New Roman" w:hint="ascii"/>
          <w:sz w:val="21"/>
          <w:spacing w:val="-4"/>
        </w:rPr>
        <w:t>an</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6"/>
        </w:rPr>
        <w:t>f</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197"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spacing w:val="-5"/>
        </w:rPr>
        <w:t>云南省科技</w:t>
      </w:r>
      <w:r>
        <w:rPr>
          <w:rFonts w:ascii="宋体" w:hAnsi="宋体" w:cs="宋体" w:eastAsia="宋体" w:hint="ascii"/>
          <w:sz w:val="21"/>
        </w:rPr>
        <w:t>厅</w:t>
      </w:r>
    </w:p>
    <w:p>
      <w:pPr>
        <w:autoSpaceDE w:val="0"/>
        <w:autoSpaceDN w:val="0"/>
        <w:jc w:val="both"/>
        <w:spacing w:before="10" w:after="0" w:lineRule="exact" w:line="312"/>
        <w:ind w:right="91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31"/>
        </w:rPr>
        <w:t xml:space="preserve"> </w:t>
      </w:r>
      <w:r>
        <w:rPr>
          <w:rFonts w:ascii="宋体" w:hAnsi="宋体" w:cs="宋体" w:eastAsia="宋体" w:hint="ascii"/>
          <w:sz w:val="21"/>
          <w:spacing w:val="-6"/>
        </w:rPr>
        <w:t>址：</w:t>
      </w:r>
      <w:r>
        <w:rPr>
          <w:rFonts w:ascii="宋体" w:hAnsi="宋体" w:cs="宋体" w:eastAsia="宋体" w:hint="ascii"/>
          <w:sz w:val="21"/>
          <w:spacing w:val="-5"/>
        </w:rPr>
        <w:t>昆明市北京</w:t>
      </w:r>
      <w:r>
        <w:rPr>
          <w:rFonts w:ascii="宋体" w:hAnsi="宋体" w:cs="宋体" w:eastAsia="宋体" w:hint="ascii"/>
          <w:sz w:val="21"/>
          <w:spacing w:val="20"/>
        </w:rPr>
        <w:t>路</w:t>
      </w:r>
      <w:r>
        <w:rPr>
          <w:rFonts w:ascii="Times New Roman" w:hAnsi="Times New Roman" w:cs="Times New Roman" w:eastAsia="Times New Roman" w:hint="ascii"/>
          <w:sz w:val="21"/>
          <w:spacing w:val="-7"/>
        </w:rPr>
        <w:t>5</w:t>
      </w:r>
      <w:r>
        <w:rPr>
          <w:rFonts w:ascii="Times New Roman" w:hAnsi="Times New Roman" w:cs="Times New Roman" w:eastAsia="Times New Roman" w:hint="ascii"/>
          <w:sz w:val="21"/>
          <w:spacing w:val="-5"/>
        </w:rPr>
        <w:t>4</w:t>
      </w:r>
      <w:r>
        <w:rPr>
          <w:rFonts w:ascii="Times New Roman" w:hAnsi="Times New Roman" w:cs="Times New Roman" w:eastAsia="Times New Roman" w:hint="ascii"/>
          <w:sz w:val="21"/>
          <w:spacing w:val="45"/>
        </w:rPr>
        <w:t>2</w:t>
      </w:r>
      <w:r>
        <w:rPr>
          <w:rFonts w:ascii="宋体" w:hAnsi="宋体" w:cs="宋体" w:eastAsia="宋体" w:hint="ascii"/>
          <w:sz w:val="21"/>
          <w:spacing w:val="-5"/>
        </w:rPr>
        <w:t>号省科技大</w:t>
      </w:r>
      <w:r>
        <w:rPr>
          <w:rFonts w:ascii="宋体" w:hAnsi="宋体" w:cs="宋体" w:eastAsia="宋体" w:hint="ascii"/>
          <w:sz w:val="21"/>
        </w:rPr>
        <w:t>楼邮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65</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05</w:t>
      </w:r>
      <w:r>
        <w:rPr>
          <w:rFonts w:ascii="Times New Roman" w:hAnsi="Times New Roman" w:cs="Times New Roman" w:eastAsia="Times New Roman" w:hint="ascii"/>
          <w:sz w:val="21"/>
        </w:rPr>
        <w:t>1</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人：张红</w:t>
      </w:r>
      <w:r>
        <w:rPr>
          <w:rFonts w:ascii="宋体" w:hAnsi="宋体" w:cs="宋体" w:eastAsia="宋体" w:hint="ascii"/>
          <w:sz w:val="21"/>
        </w:rPr>
        <w:t>云</w:t>
      </w:r>
      <w:r>
        <w:rPr>
          <w:rFonts w:ascii="宋体" w:hAnsi="宋体" w:cs="宋体" w:eastAsia="宋体" w:hint="ascii"/>
          <w:sz w:val="21"/>
          <w:spacing w:val="37"/>
        </w:rPr>
        <w:t xml:space="preserve"> </w:t>
      </w:r>
      <w:r>
        <w:rPr>
          <w:rFonts w:ascii="宋体" w:hAnsi="宋体" w:cs="宋体" w:eastAsia="宋体" w:hint="ascii"/>
          <w:sz w:val="21"/>
          <w:spacing w:val="-5"/>
        </w:rPr>
        <w:t>普丽</w:t>
      </w:r>
      <w:r>
        <w:rPr>
          <w:rFonts w:ascii="宋体" w:hAnsi="宋体" w:cs="宋体" w:eastAsia="宋体" w:hint="ascii"/>
          <w:sz w:val="21"/>
        </w:rPr>
        <w:t>娜</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32"/>
        </w:rPr>
        <w:t xml:space="preserve"> </w:t>
      </w:r>
      <w:r>
        <w:rPr>
          <w:rFonts w:ascii="宋体" w:hAnsi="宋体" w:cs="宋体" w:eastAsia="宋体" w:hint="ascii"/>
          <w:sz w:val="21"/>
          <w:spacing w:val="-5"/>
        </w:rPr>
        <w:t>话：</w:t>
      </w:r>
      <w:r>
        <w:rPr>
          <w:rFonts w:ascii="Times New Roman" w:hAnsi="Times New Roman" w:cs="Times New Roman" w:eastAsia="Times New Roman" w:hint="ascii"/>
          <w:sz w:val="21"/>
          <w:spacing w:val="-5"/>
        </w:rPr>
        <w:t>08</w:t>
      </w:r>
      <w:r>
        <w:rPr>
          <w:rFonts w:ascii="Times New Roman" w:hAnsi="Times New Roman" w:cs="Times New Roman" w:eastAsia="Times New Roman" w:hint="ascii"/>
          <w:sz w:val="21"/>
          <w:spacing w:val="-4"/>
        </w:rPr>
        <w:t>7</w:t>
      </w:r>
      <w:r>
        <w:rPr>
          <w:rFonts w:ascii="Times New Roman" w:hAnsi="Times New Roman" w:cs="Times New Roman" w:eastAsia="Times New Roman" w:hint="ascii"/>
          <w:sz w:val="21"/>
          <w:spacing w:val="-5"/>
        </w:rPr>
        <w:t>1</w:t>
      </w:r>
      <w:r>
        <w:rPr>
          <w:rFonts w:ascii="宋体" w:hAnsi="宋体" w:cs="宋体" w:eastAsia="宋体" w:hint="ascii"/>
          <w:sz w:val="21"/>
          <w:spacing w:val="-5"/>
        </w:rPr>
        <w:t>-</w:t>
      </w:r>
      <w:r>
        <w:rPr>
          <w:rFonts w:ascii="Times New Roman" w:hAnsi="Times New Roman" w:cs="Times New Roman" w:eastAsia="Times New Roman" w:hint="ascii"/>
          <w:sz w:val="21"/>
          <w:spacing w:val="-4"/>
        </w:rPr>
        <w:t>6</w:t>
      </w:r>
      <w:r>
        <w:rPr>
          <w:rFonts w:ascii="Times New Roman" w:hAnsi="Times New Roman" w:cs="Times New Roman" w:eastAsia="Times New Roman" w:hint="ascii"/>
          <w:sz w:val="21"/>
          <w:spacing w:val="-5"/>
        </w:rPr>
        <w:t>31</w:t>
      </w:r>
      <w:r>
        <w:rPr>
          <w:rFonts w:ascii="Times New Roman" w:hAnsi="Times New Roman" w:cs="Times New Roman" w:eastAsia="Times New Roman" w:hint="ascii"/>
          <w:sz w:val="21"/>
          <w:spacing w:val="-4"/>
        </w:rPr>
        <w:t>4</w:t>
      </w:r>
      <w:r>
        <w:rPr>
          <w:rFonts w:ascii="Times New Roman" w:hAnsi="Times New Roman" w:cs="Times New Roman" w:eastAsia="Times New Roman" w:hint="ascii"/>
          <w:sz w:val="21"/>
          <w:spacing w:val="-5"/>
        </w:rPr>
        <w:t>09</w:t>
      </w:r>
      <w:r>
        <w:rPr>
          <w:rFonts w:ascii="Times New Roman" w:hAnsi="Times New Roman" w:cs="Times New Roman" w:eastAsia="Times New Roman" w:hint="ascii"/>
          <w:sz w:val="21"/>
          <w:spacing w:val="-4"/>
        </w:rPr>
        <w:t>4</w:t>
      </w:r>
      <w:r>
        <w:rPr>
          <w:rFonts w:ascii="Times New Roman" w:hAnsi="Times New Roman" w:cs="Times New Roman" w:eastAsia="Times New Roman" w:hint="ascii"/>
          <w:sz w:val="21"/>
        </w:rPr>
        <w:t>1</w:t>
      </w:r>
    </w:p>
    <w:p>
      <w:pPr>
        <w:autoSpaceDE w:val="0"/>
        <w:autoSpaceDN w:val="0"/>
        <w:jc w:val="left"/>
        <w:spacing w:before="49" w:after="0" w:lineRule="exact" w:line="263"/>
        <w:ind w:right="0" w:left="0" w:firstLine="0"/>
        <w:snapToGrid w:val="0"/>
        <w:textAlignment w:val="auto"/>
        <w:tabs/>
        <w:sectPr>
          <w:type w:val="continuous"/>
          <w:pgSz w:w="10940" w:h="15080" w:orient="portrait"/>
          <w:pgMar w:top="508" w:right="508" w:bottom="508" w:left="508" w:header="0" w:footer="0" w:gutter="0"/>
          <w:cols w:num="2" w:space="0" w:equalWidth="0">
            <w:col w:w="4948" w:space="277"/>
            <w:col w:w="4700"/>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spacing w:val="-5"/>
        </w:rPr>
        <w:t>电子邮件</w:t>
      </w:r>
      <w:r>
        <w:rPr>
          <w:rFonts w:ascii="宋体" w:hAnsi="宋体" w:cs="宋体" w:eastAsia="宋体" w:hint="ascii"/>
          <w:sz w:val="21"/>
          <w:spacing w:val="-4"/>
        </w:rPr>
        <w:t>：</w:t>
      </w:r>
      <w:r>
        <w:rPr>
          <w:rFonts w:ascii="Times New Roman" w:hAnsi="Times New Roman" w:cs="Times New Roman" w:eastAsia="Times New Roman" w:hint="ascii"/>
          <w:sz w:val="21"/>
          <w:spacing w:val="-7"/>
        </w:rPr>
        <w:t>y</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rPr>
        <w:t>k</w:t>
      </w:r>
      <w:r>
        <w:rPr>
          <w:rFonts w:ascii="Times New Roman" w:hAnsi="Times New Roman" w:cs="Times New Roman" w:eastAsia="Times New Roman" w:hint="ascii"/>
          <w:sz w:val="21"/>
          <w:spacing w:val="-6"/>
        </w:rPr>
        <w:t>j</w:t>
      </w:r>
      <w:r>
        <w:rPr>
          <w:rFonts w:ascii="Times New Roman" w:hAnsi="Times New Roman" w:cs="Times New Roman" w:eastAsia="Times New Roman" w:hint="ascii"/>
          <w:sz w:val="21"/>
          <w:spacing w:val="-5"/>
        </w:rPr>
        <w:t>jcc@12</w:t>
      </w:r>
      <w:r>
        <w:rPr>
          <w:rFonts w:ascii="Times New Roman" w:hAnsi="Times New Roman" w:cs="Times New Roman" w:eastAsia="Times New Roman" w:hint="ascii"/>
          <w:sz w:val="21"/>
        </w:rPr>
        <w:t>6</w:t>
      </w:r>
      <w:r>
        <w:rPr>
          <w:rFonts w:ascii="Times New Roman" w:hAnsi="Times New Roman" w:cs="Times New Roman" w:eastAsia="Times New Roman" w:hint="ascii"/>
          <w:sz w:val="21"/>
          <w:spacing w:val="-5"/>
        </w:rPr>
        <w:t>.co</w:t>
      </w:r>
      <w:r>
        <w:rPr>
          <w:rFonts w:ascii="Times New Roman" w:hAnsi="Times New Roman" w:cs="Times New Roman" w:eastAsia="Times New Roman" w:hint="ascii"/>
          <w:sz w:val="21"/>
        </w:rPr>
        <w:t>m</w:t>
      </w:r>
      <w:rPr>
        <w:rFonts w:ascii="Times New Roman" w:hAnsi="Times New Roman" w:cs="Times New Roman" w:eastAsia="Times New Roman" w:hint="ascii"/>
        <w:sz w:val="21"/>
      </w:rPr>
    </w:p>
    <w:p>
      <w:pPr>
        <w:autoSpaceDE w:val="0"/>
        <w:autoSpaceDN w:val="0"/>
        <w:jc w:val="left"/>
        <w:spacing w:before="489" w:after="0" w:lineRule="auto" w:line="240"/>
        <w:ind w:right="0" w:left="3210"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position w:val="2"/>
          <w:spacing w:val="31"/>
        </w:rPr>
        <w:t>-</w:t>
      </w:r>
      <w:r>
        <w:rPr>
          <w:rFonts w:ascii="宋体" w:hAnsi="宋体" w:cs="宋体" w:eastAsia="宋体" w:hint="ascii"/>
          <w:sz w:val="38"/>
        </w:rPr>
        <w:t>新疆联合基金</w:t>
      </w:r>
    </w:p>
    <w:p>
      <w:pPr>
        <w:autoSpaceDE w:val="0"/>
        <w:autoSpaceDN w:val="0"/>
        <w:jc w:val="left"/>
        <w:spacing w:before="32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自然科学基金委和新疆维吾尔自治区人民政府</w:t>
      </w:r>
      <w:r>
        <w:rPr>
          <w:rFonts w:ascii="宋体" w:hAnsi="宋体" w:cs="宋体" w:eastAsia="宋体" w:hint="ascii"/>
          <w:sz w:val="21"/>
          <w:spacing w:val="26"/>
        </w:rPr>
        <w:t>自</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6</w:t>
      </w:r>
      <w:r>
        <w:rPr>
          <w:rFonts w:ascii="宋体" w:hAnsi="宋体" w:cs="宋体" w:eastAsia="宋体" w:hint="ascii"/>
          <w:sz w:val="21"/>
        </w:rPr>
        <w:t>年</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0</w:t>
      </w:r>
      <w:r>
        <w:rPr>
          <w:rFonts w:ascii="宋体" w:hAnsi="宋体" w:cs="宋体" w:eastAsia="宋体" w:hint="ascii"/>
          <w:sz w:val="21"/>
        </w:rPr>
        <w:t>年共同设立第二期</w:t>
      </w:r>
    </w:p>
    <w:p>
      <w:pPr>
        <w:autoSpaceDE w:val="0"/>
        <w:autoSpaceDN w:val="0"/>
        <w:jc w:val="left"/>
        <w:spacing w:before="8" w:after="0" w:lineRule="exact" w:line="30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 xml:space="preserve">联合基金（以下简称 </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新疆联合基金</w:t>
      </w:r>
      <w:r>
        <w:rPr>
          <w:rFonts w:ascii="宋体" w:hAnsi="宋体" w:cs="宋体" w:eastAsia="宋体" w:hint="ascii"/>
          <w:sz w:val="21"/>
          <w:spacing w:val="-52"/>
        </w:rPr>
        <w:t>）</w:t>
      </w:r>
      <w:r>
        <w:rPr>
          <w:rFonts w:ascii="宋体" w:hAnsi="宋体" w:cs="宋体" w:eastAsia="宋体" w:hint="ascii"/>
          <w:sz w:val="21"/>
        </w:rPr>
        <w:t>，旨在贯彻全国科教援疆工作会议精神，充分发挥国家自然科学基金的导向作用，吸引和集聚一批扎根新疆的优秀科学家，推动新疆的科技发展和人才队伍建设，提升新疆高等院校和科研院所的创新能力，促进新疆经济和社会可持续发展。</w:t>
      </w:r>
    </w:p>
    <w:p>
      <w:pPr>
        <w:autoSpaceDE w:val="0"/>
        <w:autoSpaceDN w:val="0"/>
        <w:jc w:val="left"/>
        <w:spacing w:before="30" w:after="0" w:lineRule="auto" w:line="240"/>
        <w:ind w:right="0" w:left="1377"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3"/>
        </w:rPr>
        <w:t>N</w:t>
      </w:r>
      <w:r>
        <w:rPr>
          <w:rFonts w:ascii="Times New Roman" w:hAnsi="Times New Roman" w:cs="Times New Roman" w:eastAsia="Times New Roman" w:hint="ascii"/>
          <w:sz w:val="21"/>
          <w:spacing w:val="-2"/>
        </w:rPr>
        <w:t>S</w:t>
      </w:r>
      <w:r>
        <w:rPr>
          <w:rFonts w:ascii="Times New Roman" w:hAnsi="Times New Roman" w:cs="Times New Roman" w:eastAsia="Times New Roman" w:hint="ascii"/>
          <w:sz w:val="21"/>
          <w:spacing w:val="-3"/>
        </w:rPr>
        <w:t>F</w:t>
      </w:r>
      <w:r>
        <w:rPr>
          <w:rFonts w:ascii="Times New Roman" w:hAnsi="Times New Roman" w:cs="Times New Roman" w:eastAsia="Times New Roman" w:hint="ascii"/>
          <w:sz w:val="21"/>
          <w:spacing w:val="-2"/>
        </w:rPr>
        <w:t>C</w:t>
      </w:r>
      <w:r>
        <w:rPr>
          <w:rFonts w:ascii="宋体" w:hAnsi="宋体" w:cs="宋体" w:eastAsia="宋体" w:hint="ascii"/>
          <w:sz w:val="21"/>
          <w:spacing w:val="-2"/>
        </w:rPr>
        <w:t>-</w:t>
      </w:r>
      <w:r>
        <w:rPr>
          <w:rFonts w:ascii="宋体" w:hAnsi="宋体" w:cs="宋体" w:eastAsia="宋体" w:hint="ascii"/>
          <w:sz w:val="21"/>
          <w:spacing w:val="-2"/>
        </w:rPr>
        <w:t>新疆联合基</w:t>
      </w:r>
      <w:r>
        <w:rPr>
          <w:rFonts w:ascii="宋体" w:hAnsi="宋体" w:cs="宋体" w:eastAsia="宋体" w:hint="ascii"/>
          <w:sz w:val="21"/>
        </w:rPr>
        <w:t>金</w:t>
      </w:r>
      <w:r>
        <w:rPr>
          <w:rFonts w:ascii="宋体" w:hAnsi="宋体" w:cs="宋体" w:eastAsia="宋体" w:hint="ascii"/>
          <w:sz w:val="21"/>
          <w:spacing w:val="-23"/>
        </w:rPr>
        <w:t xml:space="preserve"> </w:t>
      </w:r>
      <w:r>
        <w:rPr>
          <w:rFonts w:ascii="Times New Roman" w:hAnsi="Times New Roman" w:cs="Times New Roman" w:eastAsia="Times New Roman" w:hint="ascii"/>
          <w:sz w:val="21"/>
          <w:spacing w:val="-2"/>
        </w:rPr>
        <w:t>20</w:t>
      </w:r>
      <w:r>
        <w:rPr>
          <w:rFonts w:ascii="Times New Roman" w:hAnsi="Times New Roman" w:cs="Times New Roman" w:eastAsia="Times New Roman" w:hint="ascii"/>
          <w:sz w:val="21"/>
          <w:spacing w:val="-3"/>
        </w:rPr>
        <w:t>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22"/>
        </w:rPr>
        <w:t xml:space="preserve"> </w:t>
      </w:r>
      <w:r>
        <w:rPr>
          <w:rFonts w:ascii="宋体" w:hAnsi="宋体" w:cs="宋体" w:eastAsia="宋体" w:hint="ascii"/>
          <w:sz w:val="21"/>
          <w:spacing w:val="-2"/>
        </w:rPr>
        <w:t>年度接收下</w:t>
      </w:r>
      <w:r>
        <w:rPr>
          <w:rFonts w:ascii="宋体" w:hAnsi="宋体" w:cs="宋体" w:eastAsia="宋体" w:hint="ascii"/>
          <w:sz w:val="21"/>
        </w:rPr>
        <w:t>述</w:t>
      </w:r>
      <w:r>
        <w:rPr>
          <w:rFonts w:ascii="宋体" w:hAnsi="宋体" w:cs="宋体" w:eastAsia="宋体" w:hint="ascii"/>
          <w:sz w:val="21"/>
          <w:spacing w:val="-22"/>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2"/>
        </w:rPr>
        <w:t xml:space="preserve"> </w:t>
      </w:r>
      <w:r>
        <w:rPr>
          <w:rFonts w:ascii="宋体" w:hAnsi="宋体" w:cs="宋体" w:eastAsia="宋体" w:hint="ascii"/>
          <w:sz w:val="21"/>
          <w:spacing w:val="-2"/>
        </w:rPr>
        <w:t>个研究领域的培育项目、重点支持项目</w:t>
      </w:r>
      <w:r>
        <w:rPr>
          <w:rFonts w:ascii="宋体" w:hAnsi="宋体" w:cs="宋体" w:eastAsia="宋体" w:hint="ascii"/>
          <w:sz w:val="21"/>
        </w:rPr>
        <w:t>、</w:t>
      </w:r>
    </w:p>
    <w:p>
      <w:pPr>
        <w:autoSpaceDE w:val="0"/>
        <w:autoSpaceDN w:val="0"/>
        <w:jc w:val="left"/>
        <w:spacing w:before="15" w:after="0" w:lineRule="exact" w:line="300"/>
        <w:ind w:right="963" w:left="96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本地青年人才培养专项项目申请。其中培育项目直接费用平均资助强度</w:t>
      </w:r>
      <w:r>
        <w:rPr>
          <w:rFonts w:ascii="宋体" w:hAnsi="宋体" w:cs="宋体" w:eastAsia="宋体" w:hint="ascii"/>
          <w:sz w:val="21"/>
        </w:rPr>
        <w:t>为</w:t>
      </w:r>
      <w:r>
        <w:rPr>
          <w:rFonts w:ascii="宋体" w:hAnsi="宋体" w:cs="宋体" w:eastAsia="宋体" w:hint="ascii"/>
          <w:sz w:val="21"/>
          <w:spacing w:val="-2"/>
        </w:rPr>
        <w:t xml:space="preserve"> </w:t>
      </w:r>
      <w:r>
        <w:rPr>
          <w:rFonts w:ascii="Times New Roman" w:hAnsi="Times New Roman" w:cs="Times New Roman" w:eastAsia="Times New Roman" w:hint="ascii"/>
          <w:sz w:val="21"/>
          <w:spacing w:val="-2"/>
        </w:rPr>
        <w:t>6</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1"/>
        </w:rPr>
        <w:t xml:space="preserve"> </w:t>
      </w:r>
      <w:r>
        <w:rPr>
          <w:rFonts w:ascii="宋体" w:hAnsi="宋体" w:cs="宋体" w:eastAsia="宋体" w:hint="ascii"/>
          <w:sz w:val="21"/>
          <w:spacing w:val="-1"/>
        </w:rPr>
        <w:t>万元</w:t>
      </w:r>
      <w:r>
        <w:rPr>
          <w:rFonts w:ascii="Times New Roman" w:hAnsi="Times New Roman" w:cs="Times New Roman" w:eastAsia="Times New Roman" w:hint="ascii"/>
          <w:sz w:val="21"/>
        </w:rPr>
        <w:t>/</w:t>
      </w:r>
      <w:r>
        <w:rPr>
          <w:rFonts w:ascii="宋体" w:hAnsi="宋体" w:cs="宋体" w:eastAsia="宋体" w:hint="ascii"/>
          <w:sz w:val="21"/>
        </w:rPr>
        <w:t>项，</w:t>
      </w:r>
      <w:r>
        <w:rPr>
          <w:rFonts w:ascii="宋体" w:hAnsi="宋体" w:cs="宋体" w:eastAsia="宋体" w:hint="ascii"/>
          <w:sz w:val="21"/>
          <w:spacing w:val="-1"/>
        </w:rPr>
        <w:t>资助</w:t>
      </w:r>
      <w:r>
        <w:rPr>
          <w:rFonts w:ascii="宋体" w:hAnsi="宋体" w:cs="宋体" w:eastAsia="宋体" w:hint="ascii"/>
          <w:sz w:val="21"/>
        </w:rPr>
        <w:t>期限为</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53"/>
        </w:rPr>
        <w:t>3</w:t>
      </w:r>
      <w:r>
        <w:rPr>
          <w:rFonts w:ascii="宋体" w:hAnsi="宋体" w:cs="宋体" w:eastAsia="宋体" w:hint="ascii"/>
          <w:sz w:val="21"/>
        </w:rPr>
        <w:t xml:space="preserve">年；重点支持项目直接费用平均资助强度为 </w:t>
      </w:r>
      <w:r>
        <w:rPr>
          <w:rFonts w:ascii="Times New Roman" w:hAnsi="Times New Roman" w:cs="Times New Roman" w:eastAsia="Times New Roman" w:hint="ascii"/>
          <w:sz w:val="21"/>
        </w:rPr>
        <w:t xml:space="preserve">280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 xml:space="preserve">项，资助期限为 </w:t>
      </w:r>
      <w:r>
        <w:rPr>
          <w:rFonts w:ascii="Times New Roman" w:hAnsi="Times New Roman" w:cs="Times New Roman" w:eastAsia="Times New Roman" w:hint="ascii"/>
          <w:sz w:val="21"/>
        </w:rPr>
        <w:t xml:space="preserve">4 </w:t>
      </w:r>
      <w:r>
        <w:rPr>
          <w:rFonts w:ascii="宋体" w:hAnsi="宋体" w:cs="宋体" w:eastAsia="宋体" w:hint="ascii"/>
          <w:sz w:val="21"/>
        </w:rPr>
        <w:t>年。本地青年人才培养专项项目支持在基础研究方面已取得突出成绩的新疆地区科学技</w:t>
      </w:r>
      <w:r>
        <w:rPr>
          <w:rFonts w:ascii="宋体" w:hAnsi="宋体" w:cs="宋体" w:eastAsia="宋体" w:hint="ascii"/>
          <w:sz w:val="21"/>
          <w:spacing w:val="-1"/>
        </w:rPr>
        <w:t>术人员根据本《指南》范围自主选题开展创新研究。每</w:t>
      </w:r>
      <w:r>
        <w:rPr>
          <w:rFonts w:ascii="宋体" w:hAnsi="宋体" w:cs="宋体" w:eastAsia="宋体" w:hint="ascii"/>
          <w:sz w:val="21"/>
        </w:rPr>
        <w:t xml:space="preserve">个研究领域支持不超过 </w:t>
      </w:r>
      <w:r>
        <w:rPr>
          <w:rFonts w:ascii="Times New Roman" w:hAnsi="Times New Roman" w:cs="Times New Roman" w:eastAsia="Times New Roman" w:hint="ascii"/>
          <w:sz w:val="21"/>
        </w:rPr>
        <w:t xml:space="preserve">2 </w:t>
      </w:r>
      <w:r>
        <w:rPr>
          <w:rFonts w:ascii="宋体" w:hAnsi="宋体" w:cs="宋体" w:eastAsia="宋体" w:hint="ascii"/>
          <w:sz w:val="21"/>
        </w:rPr>
        <w:t xml:space="preserve">位 </w:t>
      </w:r>
      <w:r>
        <w:rPr>
          <w:rFonts w:ascii="Times New Roman" w:hAnsi="Times New Roman" w:cs="Times New Roman" w:eastAsia="Times New Roman" w:hint="ascii"/>
          <w:sz w:val="21"/>
        </w:rPr>
        <w:t xml:space="preserve">45 </w:t>
      </w:r>
      <w:r>
        <w:rPr>
          <w:rFonts w:ascii="宋体" w:hAnsi="宋体" w:cs="宋体" w:eastAsia="宋体" w:hint="ascii"/>
          <w:sz w:val="21"/>
        </w:rPr>
        <w:t xml:space="preserve">周岁以下的本地有潜力的青年人才，直接费用资助强度为 </w:t>
      </w:r>
      <w:r>
        <w:rPr>
          <w:rFonts w:ascii="Times New Roman" w:hAnsi="Times New Roman" w:cs="Times New Roman" w:eastAsia="Times New Roman" w:hint="ascii"/>
          <w:sz w:val="21"/>
        </w:rPr>
        <w:t xml:space="preserve">90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 xml:space="preserve">项，资助期限为 </w:t>
      </w:r>
      <w:r>
        <w:rPr>
          <w:rFonts w:ascii="Times New Roman" w:hAnsi="Times New Roman" w:cs="Times New Roman" w:eastAsia="Times New Roman" w:hint="ascii"/>
          <w:sz w:val="21"/>
        </w:rPr>
        <w:t>4</w:t>
      </w:r>
    </w:p>
    <w:p>
      <w:pPr>
        <w:autoSpaceDE w:val="0"/>
        <w:autoSpaceDN w:val="0"/>
        <w:jc w:val="left"/>
        <w:spacing w:before="262"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219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94" w:after="0" w:lineRule="exact" w:line="300"/>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年。</w:t>
      </w:r>
      <w:r>
        <w:rPr>
          <w:rFonts w:ascii="Times New Roman" w:hAnsi="Times New Roman" w:cs="Times New Roman" w:eastAsia="Times New Roman" w:hint="ascii"/>
          <w:sz w:val="21"/>
          <w:spacing w:val="-1"/>
        </w:rPr>
        <w:t>NSF</w:t>
      </w:r>
      <w:r>
        <w:rPr>
          <w:rFonts w:ascii="Times New Roman" w:hAnsi="Times New Roman" w:cs="Times New Roman" w:eastAsia="Times New Roman" w:hint="ascii"/>
          <w:sz w:val="21"/>
        </w:rPr>
        <w:t>C</w:t>
      </w:r>
      <w:r>
        <w:rPr>
          <w:rFonts w:ascii="宋体" w:hAnsi="宋体" w:cs="宋体" w:eastAsia="宋体" w:hint="ascii"/>
          <w:sz w:val="21"/>
        </w:rPr>
        <w:t>-</w:t>
      </w:r>
      <w:r>
        <w:rPr>
          <w:rFonts w:ascii="宋体" w:hAnsi="宋体" w:cs="宋体" w:eastAsia="宋体" w:hint="ascii"/>
          <w:sz w:val="21"/>
        </w:rPr>
        <w:t>新疆联合基金面向全国，是科技援疆的一个平台。欢迎符合条件的科学技术人员按照本《指南》范围和要求提出项目申请。</w:t>
      </w:r>
      <w:r>
        <w:rPr>
          <w:rFonts w:ascii="宋体" w:hAnsi="宋体" w:cs="宋体" w:eastAsia="宋体" w:hint="ascii"/>
          <w:sz w:val="21"/>
        </w:rPr>
        <mc:AlternateContent>
          <mc:Choice Requires="wps">
            <w:drawing>
              <wp:anchor distL="0" distR="0" distT="0" distB="0" simplePos="0" behindDoc="1" relativeHeight="296" locked="0" layoutInCell="1" allowOverlap="1">
                <wp:simplePos x="0" y="0"/>
                <wp:positionH relativeFrom="page">
                  <wp:posOffset>938530</wp:posOffset>
                </wp:positionH>
                <wp:positionV relativeFrom="page">
                  <wp:posOffset>805815</wp:posOffset>
                </wp:positionV>
                <wp:extent cx="5076190" cy="0"/>
                <wp:wrapNone/>
                <wp:docPr id="1325" name="132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55136;width:399.70pt;" id="132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一、农业及生物多样性与生物资源（申请代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L10</w:t>
      </w:r>
      <w:r>
        <w:rPr>
          <w:rFonts w:ascii="宋体" w:hAnsi="宋体" w:cs="宋体" w:eastAsia="宋体" w:hint="ascii"/>
        </w:rPr>
        <w:t>）</w:t>
      </w:r>
    </w:p>
    <w:p>
      <w:pPr>
        <w:autoSpaceDE w:val="0"/>
        <w:autoSpaceDN w:val="0"/>
        <w:jc w:val="left"/>
        <w:spacing w:before="197" w:after="0" w:lineRule="auto" w:line="240"/>
        <w:ind w:right="0" w:left="1649" w:hanging="263"/>
        <w:snapToGrid w:val="0"/>
        <w:textAlignment w:val="auto"/>
        <w:tabs>
          <w:tab w:val="left" w:leader="none" w:pos="1648"/>
        </w:tabs>
        <w:numPr>
          <w:ilvl w:val="0"/>
          <w:numId w:val="329"/>
        </w:numPr>
        <w:rPr>
          <w:rFonts w:ascii="Times New Roman" w:hAnsi="Times New Roman" w:cs="Times New Roman" w:eastAsia="Times New Roman" w:hint="ascii"/>
          <w:sz w:val="21"/>
        </w:rPr>
      </w:pPr>
      <w:r>
        <w:rPr>
          <w:rFonts w:ascii="宋体" w:hAnsi="宋体" w:cs="宋体" w:eastAsia="宋体" w:hint="ascii"/>
          <w:sz w:val="21"/>
        </w:rPr>
        <w:t>农业</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）新疆主要作物抗逆种质资源的基础研究（申请代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C1304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spacing w:val="-1"/>
        </w:rPr>
        <w:t>）</w:t>
      </w:r>
      <w:r>
        <w:rPr>
          <w:rFonts w:ascii="宋体" w:hAnsi="宋体" w:cs="宋体" w:eastAsia="宋体" w:hint="ascii"/>
          <w:sz w:val="21"/>
        </w:rPr>
        <w:t>新</w:t>
      </w:r>
      <w:r>
        <w:rPr>
          <w:rFonts w:ascii="宋体" w:hAnsi="宋体" w:cs="宋体" w:eastAsia="宋体" w:hint="ascii"/>
          <w:sz w:val="21"/>
          <w:spacing w:val="-1"/>
        </w:rPr>
        <w:t>疆主</w:t>
      </w:r>
      <w:r>
        <w:rPr>
          <w:rFonts w:ascii="宋体" w:hAnsi="宋体" w:cs="宋体" w:eastAsia="宋体" w:hint="ascii"/>
          <w:sz w:val="21"/>
        </w:rPr>
        <w:t>要作</w:t>
      </w:r>
      <w:r>
        <w:rPr>
          <w:rFonts w:ascii="宋体" w:hAnsi="宋体" w:cs="宋体" w:eastAsia="宋体" w:hint="ascii"/>
          <w:sz w:val="21"/>
          <w:spacing w:val="-1"/>
        </w:rPr>
        <w:t>物</w:t>
      </w:r>
      <w:r>
        <w:rPr>
          <w:rFonts w:ascii="宋体" w:hAnsi="宋体" w:cs="宋体" w:eastAsia="宋体" w:hint="ascii"/>
          <w:sz w:val="21"/>
        </w:rPr>
        <w:t>和</w:t>
      </w:r>
      <w:r>
        <w:rPr>
          <w:rFonts w:ascii="宋体" w:hAnsi="宋体" w:cs="宋体" w:eastAsia="宋体" w:hint="ascii"/>
          <w:sz w:val="21"/>
          <w:spacing w:val="-1"/>
        </w:rPr>
        <w:t>特</w:t>
      </w:r>
      <w:r>
        <w:rPr>
          <w:rFonts w:ascii="宋体" w:hAnsi="宋体" w:cs="宋体" w:eastAsia="宋体" w:hint="ascii"/>
          <w:sz w:val="21"/>
        </w:rPr>
        <w:t>色植</w:t>
      </w:r>
      <w:r>
        <w:rPr>
          <w:rFonts w:ascii="宋体" w:hAnsi="宋体" w:cs="宋体" w:eastAsia="宋体" w:hint="ascii"/>
          <w:sz w:val="21"/>
          <w:spacing w:val="-1"/>
        </w:rPr>
        <w:t>物</w:t>
      </w:r>
      <w:r>
        <w:rPr>
          <w:rFonts w:ascii="宋体" w:hAnsi="宋体" w:cs="宋体" w:eastAsia="宋体" w:hint="ascii"/>
          <w:sz w:val="21"/>
        </w:rPr>
        <w:t>水</w:t>
      </w:r>
      <w:r>
        <w:rPr>
          <w:rFonts w:ascii="宋体" w:hAnsi="宋体" w:cs="宋体" w:eastAsia="宋体" w:hint="ascii"/>
          <w:sz w:val="21"/>
          <w:spacing w:val="-1"/>
        </w:rPr>
        <w:t>分</w:t>
      </w:r>
      <w:r>
        <w:rPr>
          <w:rFonts w:ascii="宋体" w:hAnsi="宋体" w:cs="宋体" w:eastAsia="宋体" w:hint="ascii"/>
          <w:sz w:val="21"/>
        </w:rPr>
        <w:t>及养</w:t>
      </w:r>
      <w:r>
        <w:rPr>
          <w:rFonts w:ascii="宋体" w:hAnsi="宋体" w:cs="宋体" w:eastAsia="宋体" w:hint="ascii"/>
          <w:sz w:val="21"/>
          <w:spacing w:val="-1"/>
        </w:rPr>
        <w:t>分</w:t>
      </w:r>
      <w:r>
        <w:rPr>
          <w:rFonts w:ascii="宋体" w:hAnsi="宋体" w:cs="宋体" w:eastAsia="宋体" w:hint="ascii"/>
          <w:sz w:val="21"/>
        </w:rPr>
        <w:t>高</w:t>
      </w:r>
      <w:r>
        <w:rPr>
          <w:rFonts w:ascii="宋体" w:hAnsi="宋体" w:cs="宋体" w:eastAsia="宋体" w:hint="ascii"/>
          <w:sz w:val="21"/>
          <w:spacing w:val="-1"/>
        </w:rPr>
        <w:t>效</w:t>
      </w:r>
      <w:r>
        <w:rPr>
          <w:rFonts w:ascii="宋体" w:hAnsi="宋体" w:cs="宋体" w:eastAsia="宋体" w:hint="ascii"/>
          <w:sz w:val="21"/>
        </w:rPr>
        <w:t>利用</w:t>
      </w:r>
      <w:r>
        <w:rPr>
          <w:rFonts w:ascii="宋体" w:hAnsi="宋体" w:cs="宋体" w:eastAsia="宋体" w:hint="ascii"/>
          <w:sz w:val="21"/>
          <w:spacing w:val="-1"/>
        </w:rPr>
        <w:t>的</w:t>
      </w:r>
      <w:r>
        <w:rPr>
          <w:rFonts w:ascii="宋体" w:hAnsi="宋体" w:cs="宋体" w:eastAsia="宋体" w:hint="ascii"/>
          <w:sz w:val="21"/>
        </w:rPr>
        <w:t>基</w:t>
      </w:r>
      <w:r>
        <w:rPr>
          <w:rFonts w:ascii="宋体" w:hAnsi="宋体" w:cs="宋体" w:eastAsia="宋体" w:hint="ascii"/>
          <w:sz w:val="21"/>
          <w:spacing w:val="-1"/>
        </w:rPr>
        <w:t>础</w:t>
      </w:r>
      <w:r>
        <w:rPr>
          <w:rFonts w:ascii="宋体" w:hAnsi="宋体" w:cs="宋体" w:eastAsia="宋体" w:hint="ascii"/>
          <w:sz w:val="21"/>
        </w:rPr>
        <w:t>研究</w:t>
      </w:r>
      <w:r>
        <w:rPr>
          <w:rFonts w:ascii="宋体" w:hAnsi="宋体" w:cs="宋体" w:eastAsia="宋体" w:hint="ascii"/>
          <w:sz w:val="21"/>
          <w:spacing w:val="-1"/>
        </w:rPr>
        <w:t>（</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代</w:t>
      </w:r>
      <w:r>
        <w:rPr>
          <w:rFonts w:ascii="宋体" w:hAnsi="宋体" w:cs="宋体" w:eastAsia="宋体" w:hint="ascii"/>
          <w:sz w:val="21"/>
          <w:spacing w:val="-3"/>
        </w:rPr>
        <w:t>码</w:t>
      </w:r>
      <w:r>
        <w:rPr>
          <w:rFonts w:ascii="宋体" w:hAnsi="宋体" w:cs="宋体" w:eastAsia="宋体" w:hint="ascii"/>
          <w:sz w:val="2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 xml:space="preserve"> </w:t>
      </w:r>
      <w:r>
        <w:rPr>
          <w:rFonts w:ascii="宋体" w:hAnsi="宋体" w:cs="宋体" w:eastAsia="宋体" w:hint="ascii"/>
          <w:sz w:val="21"/>
        </w:rPr>
        <w:t>选择</w:t>
      </w:r>
      <w:r>
        <w:rPr>
          <w:rFonts w:ascii="Times New Roman" w:hAnsi="Times New Roman" w:cs="Times New Roman" w:eastAsia="Times New Roman" w:hint="ascii"/>
          <w:sz w:val="21"/>
        </w:rPr>
        <w:t>C1507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）新疆特色林果品质与风味形成的基础研究（申请代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C1501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）新疆外来入侵生物种群扩张与入侵机制（申请代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C1702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）新疆畜禽重要疫病病原学与致病机制（申请代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C1805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6" w:after="0" w:lineRule="auto" w:line="240"/>
        <w:ind w:right="0" w:left="1649" w:hanging="263"/>
        <w:snapToGrid w:val="0"/>
        <w:textAlignment w:val="auto"/>
        <w:tabs>
          <w:tab w:val="left" w:leader="none" w:pos="1648"/>
        </w:tabs>
        <w:numPr>
          <w:ilvl w:val="0"/>
          <w:numId w:val="329"/>
        </w:numPr>
        <w:rPr>
          <w:rFonts w:ascii="Times New Roman" w:hAnsi="Times New Roman" w:cs="Times New Roman" w:eastAsia="Times New Roman" w:hint="ascii"/>
          <w:sz w:val="21"/>
        </w:rPr>
      </w:pPr>
      <w:r>
        <w:rPr>
          <w:rFonts w:ascii="宋体" w:hAnsi="宋体" w:cs="宋体" w:eastAsia="宋体" w:hint="ascii"/>
          <w:sz w:val="21"/>
        </w:rPr>
        <w:t>生物多样性与生物资源</w:t>
      </w:r>
    </w:p>
    <w:p>
      <w:pPr>
        <w:autoSpaceDE w:val="0"/>
        <w:autoSpaceDN w:val="0"/>
        <w:jc w:val="left"/>
        <w:spacing w:before="5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）新疆荒漠植物适应逆境的生理与分子机制（申请代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C020406</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5"/>
        </w:rPr>
        <w:t>2</w:t>
      </w:r>
      <w:r>
        <w:rPr>
          <w:rFonts w:ascii="宋体" w:hAnsi="宋体" w:cs="宋体" w:eastAsia="宋体" w:hint="ascii"/>
          <w:sz w:val="21"/>
        </w:rPr>
        <w:t>）土壤盐碱化对自然植被的影响以及盐碱土改良的基础研究（申请代</w:t>
      </w:r>
      <w:r>
        <w:rPr>
          <w:rFonts w:ascii="宋体" w:hAnsi="宋体" w:cs="宋体" w:eastAsia="宋体" w:hint="ascii"/>
          <w:sz w:val="21"/>
          <w:spacing w:val="-3"/>
        </w:rPr>
        <w:t>码</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rPr>
        <w:t>选</w:t>
      </w:r>
      <w:r>
        <w:rPr>
          <w:rFonts w:ascii="宋体" w:hAnsi="宋体" w:cs="宋体" w:eastAsia="宋体" w:hint="ascii"/>
          <w:sz w:val="21"/>
          <w:spacing w:val="-6"/>
        </w:rPr>
        <w:t>择</w:t>
      </w:r>
      <w:r>
        <w:rPr>
          <w:rFonts w:ascii="Times New Roman" w:hAnsi="Times New Roman" w:cs="Times New Roman" w:eastAsia="Times New Roman" w:hint="ascii"/>
          <w:sz w:val="21"/>
        </w:rPr>
        <w:t>C03</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1041"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）新疆</w:t>
      </w:r>
      <w:r>
        <w:rPr>
          <w:rFonts w:ascii="宋体" w:hAnsi="宋体" w:cs="宋体" w:eastAsia="宋体" w:hint="ascii"/>
          <w:sz w:val="21"/>
        </w:rPr>
        <w:t>绿洲益</w:t>
      </w:r>
      <w:r>
        <w:rPr>
          <w:rFonts w:ascii="Times New Roman" w:hAnsi="Times New Roman" w:cs="Times New Roman" w:eastAsia="Times New Roman" w:hint="ascii"/>
          <w:sz w:val="21"/>
        </w:rPr>
        <w:t>/</w:t>
      </w:r>
      <w:r>
        <w:rPr>
          <w:rFonts w:ascii="宋体" w:hAnsi="宋体" w:cs="宋体" w:eastAsia="宋体" w:hint="ascii"/>
          <w:sz w:val="21"/>
        </w:rPr>
        <w:t>害虫的多样性及其生物学特性研究（申请代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C040501</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）新疆大型真菌多样性及其与生境的关系（申请代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C010103</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）新疆特殊生态系统中生物共存与群落维持机制（申请代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C0305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二、水资源与矿产资源（申请代</w:t>
      </w:r>
      <w:r>
        <w:rPr>
          <w:rFonts w:ascii="宋体" w:hAnsi="宋体" w:cs="宋体" w:eastAsia="宋体" w:hint="ascii"/>
          <w:spacing w:val="30"/>
        </w:rPr>
        <w:t>码</w:t>
      </w:r>
      <w:r>
        <w:rPr>
          <w:rFonts w:ascii="宋体" w:hAnsi="宋体" w:cs="宋体" w:eastAsia="宋体" w:hint="ascii"/>
        </w:rPr>
        <w:t>1</w:t>
      </w:r>
      <w:r>
        <w:rPr>
          <w:rFonts w:ascii="宋体" w:hAnsi="宋体" w:cs="宋体" w:eastAsia="宋体" w:hint="ascii"/>
          <w:spacing w:val="-23"/>
        </w:rPr>
        <w:t xml:space="preserve"> </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3"/>
        </w:rPr>
        <w:t>L08</w:t>
      </w:r>
      <w:r>
        <w:rPr>
          <w:rFonts w:ascii="宋体" w:hAnsi="宋体" w:cs="宋体" w:eastAsia="宋体" w:hint="ascii"/>
        </w:rPr>
        <w:t>）</w:t>
      </w:r>
    </w:p>
    <w:p>
      <w:pPr>
        <w:autoSpaceDE w:val="0"/>
        <w:autoSpaceDN w:val="0"/>
        <w:jc w:val="left"/>
        <w:spacing w:before="203" w:after="0" w:lineRule="auto" w:line="240"/>
        <w:ind w:right="0" w:left="1649" w:hanging="263"/>
        <w:snapToGrid w:val="0"/>
        <w:textAlignment w:val="auto"/>
        <w:tabs>
          <w:tab w:val="left" w:leader="none" w:pos="1648"/>
        </w:tabs>
        <w:numPr>
          <w:ilvl w:val="0"/>
          <w:numId w:val="330"/>
        </w:numPr>
        <w:rPr>
          <w:rFonts w:ascii="Times New Roman" w:hAnsi="Times New Roman" w:cs="Times New Roman" w:eastAsia="Times New Roman" w:hint="ascii"/>
          <w:sz w:val="21"/>
        </w:rPr>
      </w:pPr>
      <w:r>
        <w:rPr>
          <w:rFonts w:ascii="宋体" w:hAnsi="宋体" w:cs="宋体" w:eastAsia="宋体" w:hint="ascii"/>
          <w:sz w:val="21"/>
        </w:rPr>
        <w:t>水资源研究</w:t>
      </w:r>
    </w:p>
    <w:p>
      <w:pPr>
        <w:autoSpaceDE w:val="0"/>
        <w:autoSpaceDN w:val="0"/>
        <w:jc w:val="both"/>
        <w:spacing w:before="19" w:after="0" w:lineRule="exact" w:line="312"/>
        <w:ind w:right="1608" w:left="1281" w:firstLine="104"/>
        <w:snapToGrid w:val="0"/>
        <w:textAlignment w:val="auto"/>
        <w:tabs/>
        <w:rPr>
          <w:rFonts w:ascii="宋体" w:hAnsi="宋体" w:cs="宋体" w:eastAsia="宋体" w:hint="ascii"/>
          <w:sz w:val="21"/>
        </w:rPr>
      </w:pPr>
      <w:r>
        <w:rPr>
          <w:rFonts w:ascii="宋体" w:hAnsi="宋体" w:cs="宋体" w:eastAsia="宋体" w:hint="ascii"/>
          <w:sz w:val="21"/>
          <w:spacing w:val="-1"/>
        </w:rPr>
        <w:t>围绕新疆水资</w:t>
      </w:r>
      <w:r>
        <w:rPr>
          <w:rFonts w:ascii="宋体" w:hAnsi="宋体" w:cs="宋体" w:eastAsia="宋体" w:hint="ascii"/>
          <w:sz w:val="21"/>
        </w:rPr>
        <w:t>源安全保障需求，开展水资源和水环境基础及应用基础研究。（</w:t>
      </w:r>
      <w:r>
        <w:rPr>
          <w:rFonts w:ascii="Times New Roman" w:hAnsi="Times New Roman" w:cs="Times New Roman" w:eastAsia="Times New Roman" w:hint="ascii"/>
          <w:sz w:val="21"/>
        </w:rPr>
        <w:t>1</w:t>
      </w:r>
      <w:r>
        <w:rPr>
          <w:rFonts w:ascii="宋体" w:hAnsi="宋体" w:cs="宋体" w:eastAsia="宋体" w:hint="ascii"/>
          <w:sz w:val="21"/>
        </w:rPr>
        <w:t>）荒漠</w:t>
      </w:r>
      <w:r>
        <w:rPr>
          <w:rFonts w:ascii="宋体" w:hAnsi="宋体" w:cs="宋体" w:eastAsia="宋体" w:hint="ascii"/>
          <w:sz w:val="21"/>
        </w:rPr>
        <w:t>-</w:t>
      </w:r>
      <w:r>
        <w:rPr>
          <w:rFonts w:ascii="宋体" w:hAnsi="宋体" w:cs="宋体" w:eastAsia="宋体" w:hint="ascii"/>
          <w:sz w:val="21"/>
        </w:rPr>
        <w:t>绿洲系统水资源转化过程与高效利用（申请代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）区（流）域水资源优化配置及适应性调控模式（申请代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5"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11"/>
        </w:rPr>
        <w:t>3</w:t>
      </w:r>
      <w:r>
        <w:rPr>
          <w:rFonts w:ascii="宋体" w:hAnsi="宋体" w:cs="宋体" w:eastAsia="宋体" w:hint="ascii"/>
          <w:sz w:val="21"/>
          <w:spacing w:val="1"/>
        </w:rPr>
        <w:t>）</w:t>
      </w:r>
      <w:r>
        <w:rPr>
          <w:rFonts w:ascii="宋体" w:hAnsi="宋体" w:cs="宋体" w:eastAsia="宋体" w:hint="ascii"/>
          <w:sz w:val="21"/>
          <w:spacing w:val="2"/>
        </w:rPr>
        <w:t>中</w:t>
      </w:r>
      <w:r>
        <w:rPr>
          <w:rFonts w:ascii="宋体" w:hAnsi="宋体" w:cs="宋体" w:eastAsia="宋体" w:hint="ascii"/>
          <w:sz w:val="21"/>
          <w:spacing w:val="1"/>
        </w:rPr>
        <w:t>亚水</w:t>
      </w:r>
      <w:r>
        <w:rPr>
          <w:rFonts w:ascii="宋体" w:hAnsi="宋体" w:cs="宋体" w:eastAsia="宋体" w:hint="ascii"/>
          <w:sz w:val="21"/>
          <w:spacing w:val="2"/>
        </w:rPr>
        <w:t>土</w:t>
      </w:r>
      <w:r>
        <w:rPr>
          <w:rFonts w:ascii="宋体" w:hAnsi="宋体" w:cs="宋体" w:eastAsia="宋体" w:hint="ascii"/>
          <w:sz w:val="21"/>
          <w:spacing w:val="1"/>
        </w:rPr>
        <w:t>资源</w:t>
      </w:r>
      <w:r>
        <w:rPr>
          <w:rFonts w:ascii="宋体" w:hAnsi="宋体" w:cs="宋体" w:eastAsia="宋体" w:hint="ascii"/>
          <w:sz w:val="21"/>
          <w:spacing w:val="2"/>
        </w:rPr>
        <w:t>开</w:t>
      </w:r>
      <w:r>
        <w:rPr>
          <w:rFonts w:ascii="宋体" w:hAnsi="宋体" w:cs="宋体" w:eastAsia="宋体" w:hint="ascii"/>
          <w:sz w:val="21"/>
          <w:spacing w:val="1"/>
        </w:rPr>
        <w:t>发</w:t>
      </w:r>
      <w:r>
        <w:rPr>
          <w:rFonts w:ascii="宋体" w:hAnsi="宋体" w:cs="宋体" w:eastAsia="宋体" w:hint="ascii"/>
          <w:sz w:val="21"/>
          <w:spacing w:val="2"/>
        </w:rPr>
        <w:t>和</w:t>
      </w:r>
      <w:r>
        <w:rPr>
          <w:rFonts w:ascii="宋体" w:hAnsi="宋体" w:cs="宋体" w:eastAsia="宋体" w:hint="ascii"/>
          <w:sz w:val="21"/>
          <w:spacing w:val="1"/>
        </w:rPr>
        <w:t>重大</w:t>
      </w:r>
      <w:r>
        <w:rPr>
          <w:rFonts w:ascii="宋体" w:hAnsi="宋体" w:cs="宋体" w:eastAsia="宋体" w:hint="ascii"/>
          <w:sz w:val="21"/>
          <w:spacing w:val="2"/>
        </w:rPr>
        <w:t>基</w:t>
      </w:r>
      <w:r>
        <w:rPr>
          <w:rFonts w:ascii="宋体" w:hAnsi="宋体" w:cs="宋体" w:eastAsia="宋体" w:hint="ascii"/>
          <w:sz w:val="21"/>
          <w:spacing w:val="1"/>
        </w:rPr>
        <w:t>础</w:t>
      </w:r>
      <w:r>
        <w:rPr>
          <w:rFonts w:ascii="宋体" w:hAnsi="宋体" w:cs="宋体" w:eastAsia="宋体" w:hint="ascii"/>
          <w:sz w:val="21"/>
          <w:spacing w:val="2"/>
        </w:rPr>
        <w:t>设</w:t>
      </w:r>
      <w:r>
        <w:rPr>
          <w:rFonts w:ascii="宋体" w:hAnsi="宋体" w:cs="宋体" w:eastAsia="宋体" w:hint="ascii"/>
          <w:sz w:val="21"/>
          <w:spacing w:val="1"/>
        </w:rPr>
        <w:t>施建</w:t>
      </w:r>
      <w:r>
        <w:rPr>
          <w:rFonts w:ascii="宋体" w:hAnsi="宋体" w:cs="宋体" w:eastAsia="宋体" w:hint="ascii"/>
          <w:sz w:val="21"/>
          <w:spacing w:val="2"/>
        </w:rPr>
        <w:t>设</w:t>
      </w:r>
      <w:r>
        <w:rPr>
          <w:rFonts w:ascii="宋体" w:hAnsi="宋体" w:cs="宋体" w:eastAsia="宋体" w:hint="ascii"/>
          <w:sz w:val="21"/>
          <w:spacing w:val="1"/>
        </w:rPr>
        <w:t>的</w:t>
      </w:r>
      <w:r>
        <w:rPr>
          <w:rFonts w:ascii="宋体" w:hAnsi="宋体" w:cs="宋体" w:eastAsia="宋体" w:hint="ascii"/>
          <w:sz w:val="21"/>
          <w:spacing w:val="2"/>
        </w:rPr>
        <w:t>生</w:t>
      </w:r>
      <w:r>
        <w:rPr>
          <w:rFonts w:ascii="宋体" w:hAnsi="宋体" w:cs="宋体" w:eastAsia="宋体" w:hint="ascii"/>
          <w:sz w:val="21"/>
          <w:spacing w:val="1"/>
        </w:rPr>
        <w:t>态环</w:t>
      </w:r>
      <w:r>
        <w:rPr>
          <w:rFonts w:ascii="宋体" w:hAnsi="宋体" w:cs="宋体" w:eastAsia="宋体" w:hint="ascii"/>
          <w:sz w:val="21"/>
          <w:spacing w:val="2"/>
        </w:rPr>
        <w:t>境</w:t>
      </w:r>
      <w:r>
        <w:rPr>
          <w:rFonts w:ascii="宋体" w:hAnsi="宋体" w:cs="宋体" w:eastAsia="宋体" w:hint="ascii"/>
          <w:sz w:val="21"/>
          <w:spacing w:val="1"/>
        </w:rPr>
        <w:t>效</w:t>
      </w:r>
      <w:r>
        <w:rPr>
          <w:rFonts w:ascii="宋体" w:hAnsi="宋体" w:cs="宋体" w:eastAsia="宋体" w:hint="ascii"/>
          <w:sz w:val="21"/>
          <w:spacing w:val="2"/>
        </w:rPr>
        <w:t>应</w:t>
      </w:r>
      <w:r>
        <w:rPr>
          <w:rFonts w:ascii="宋体" w:hAnsi="宋体" w:cs="宋体" w:eastAsia="宋体" w:hint="ascii"/>
          <w:sz w:val="21"/>
          <w:spacing w:val="1"/>
        </w:rPr>
        <w:t>（申</w:t>
      </w:r>
      <w:r>
        <w:rPr>
          <w:rFonts w:ascii="宋体" w:hAnsi="宋体" w:cs="宋体" w:eastAsia="宋体" w:hint="ascii"/>
          <w:sz w:val="21"/>
          <w:spacing w:val="2"/>
        </w:rPr>
        <w:t>请</w:t>
      </w:r>
      <w:r>
        <w:rPr>
          <w:rFonts w:ascii="宋体" w:hAnsi="宋体" w:cs="宋体" w:eastAsia="宋体" w:hint="ascii"/>
          <w:sz w:val="21"/>
          <w:spacing w:val="1"/>
        </w:rPr>
        <w:t>代</w:t>
      </w:r>
      <w:r>
        <w:rPr>
          <w:rFonts w:ascii="宋体" w:hAnsi="宋体" w:cs="宋体" w:eastAsia="宋体" w:hint="ascii"/>
          <w:sz w:val="21"/>
          <w:spacing w:val="-5"/>
        </w:rPr>
        <w:t>码</w:t>
      </w:r>
      <w:r>
        <w:rPr>
          <w:rFonts w:ascii="宋体" w:hAnsi="宋体" w:cs="宋体" w:eastAsia="宋体" w:hint="ascii"/>
          <w:sz w:val="21"/>
          <w:spacing w:val="-24"/>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1"/>
        </w:rPr>
        <w:t>选</w:t>
      </w:r>
      <w:r>
        <w:rPr>
          <w:rFonts w:ascii="宋体" w:hAnsi="宋体" w:cs="宋体" w:eastAsia="宋体" w:hint="ascii"/>
          <w:sz w:val="21"/>
          <w:spacing w:val="-10"/>
        </w:rPr>
        <w:t>择</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）不同节水灌溉模式对干旱区农田</w:t>
      </w:r>
      <w:r>
        <w:rPr>
          <w:rFonts w:ascii="宋体" w:hAnsi="宋体" w:cs="宋体" w:eastAsia="宋体" w:hint="ascii"/>
          <w:sz w:val="21"/>
        </w:rPr>
        <w:t>-</w:t>
      </w:r>
      <w:r>
        <w:rPr>
          <w:rFonts w:ascii="宋体" w:hAnsi="宋体" w:cs="宋体" w:eastAsia="宋体" w:hint="ascii"/>
          <w:sz w:val="21"/>
        </w:rPr>
        <w:t>生态系统影响过程与效应（申请代码</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rPr>
        <w:t>选择</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6" w:after="0" w:lineRule="auto" w:line="240"/>
        <w:ind w:right="0" w:left="1649" w:hanging="263"/>
        <w:snapToGrid w:val="0"/>
        <w:textAlignment w:val="auto"/>
        <w:tabs>
          <w:tab w:val="left" w:leader="none" w:pos="1648"/>
        </w:tabs>
        <w:numPr>
          <w:ilvl w:val="0"/>
          <w:numId w:val="330"/>
        </w:numPr>
        <w:rPr>
          <w:rFonts w:ascii="Times New Roman" w:hAnsi="Times New Roman" w:cs="Times New Roman" w:eastAsia="Times New Roman" w:hint="ascii"/>
          <w:sz w:val="21"/>
        </w:rPr>
      </w:pPr>
      <w:r>
        <w:rPr>
          <w:rFonts w:ascii="宋体" w:hAnsi="宋体" w:cs="宋体" w:eastAsia="宋体" w:hint="ascii"/>
          <w:sz w:val="21"/>
        </w:rPr>
        <w:t>矿产资源研究</w:t>
      </w:r>
    </w:p>
    <w:p>
      <w:pPr>
        <w:autoSpaceDE w:val="0"/>
        <w:autoSpaceDN w:val="0"/>
        <w:jc w:val="both"/>
        <w:spacing w:before="19" w:after="0" w:lineRule="exact" w:line="312"/>
        <w:ind w:right="975"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围绕我国</w:t>
      </w:r>
      <w:r>
        <w:rPr>
          <w:rFonts w:ascii="宋体" w:hAnsi="宋体" w:cs="宋体" w:eastAsia="宋体" w:hint="ascii"/>
          <w:sz w:val="21"/>
        </w:rPr>
        <w:t>资源安全和西部矿产基地建设的需求，针对新疆及邻区优势矿产资源，开展新疆重点矿产资源成矿规律与预测、矿产开采环境效应及修复研究。</w:t>
      </w:r>
    </w:p>
    <w:p>
      <w:pPr>
        <w:autoSpaceDE w:val="0"/>
        <w:autoSpaceDN w:val="0"/>
        <w:jc w:val="both"/>
        <w:spacing w:before="0" w:after="0" w:lineRule="exact" w:line="312"/>
        <w:ind w:right="975"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）新疆重点矿区深部结构三维解析、成矿规律与成矿预测（申请代码</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5"/>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D02 </w:t>
      </w:r>
      <w:r>
        <w:rPr>
          <w:rFonts w:ascii="宋体" w:hAnsi="宋体" w:cs="宋体" w:eastAsia="宋体" w:hint="ascii"/>
          <w:sz w:val="21"/>
          <w:spacing w:val="27"/>
        </w:rPr>
        <w:t>或</w:t>
      </w:r>
      <w:r>
        <w:rPr>
          <w:rFonts w:ascii="Times New Roman" w:hAnsi="Times New Roman" w:cs="Times New Roman" w:eastAsia="Times New Roman" w:hint="ascii"/>
          <w:sz w:val="21"/>
        </w:rPr>
        <w:t>D03</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1415"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）新疆超低渗透油藏开采关键技术（申请代</w:t>
      </w:r>
      <w:r>
        <w:rPr>
          <w:rFonts w:ascii="宋体" w:hAnsi="宋体" w:cs="宋体" w:eastAsia="宋体" w:hint="ascii"/>
          <w:sz w:val="21"/>
          <w:spacing w:val="24"/>
        </w:rPr>
        <w:t>码</w:t>
      </w:r>
      <w:r>
        <w:rPr>
          <w:rFonts w:ascii="Times New Roman" w:hAnsi="Times New Roman" w:cs="Times New Roman" w:eastAsia="Times New Roman" w:hint="ascii"/>
          <w:sz w:val="21"/>
          <w:spacing w:val="50"/>
        </w:rPr>
        <w:t>2</w:t>
      </w:r>
      <w:r>
        <w:rPr>
          <w:rFonts w:ascii="宋体" w:hAnsi="宋体" w:cs="宋体" w:eastAsia="宋体" w:hint="ascii"/>
          <w:sz w:val="21"/>
          <w:spacing w:val="-2"/>
        </w:rPr>
        <w:t>选</w:t>
      </w:r>
      <w:r>
        <w:rPr>
          <w:rFonts w:ascii="宋体" w:hAnsi="宋体" w:cs="宋体" w:eastAsia="宋体" w:hint="ascii"/>
          <w:sz w:val="21"/>
          <w:spacing w:val="25"/>
        </w:rPr>
        <w:t>择</w:t>
      </w:r>
      <w:r>
        <w:rPr>
          <w:rFonts w:ascii="Times New Roman" w:hAnsi="Times New Roman" w:cs="Times New Roman" w:eastAsia="Times New Roman" w:hint="ascii"/>
          <w:sz w:val="21"/>
          <w:spacing w:val="-2"/>
        </w:rPr>
        <w:t>D0</w:t>
      </w:r>
      <w:r>
        <w:rPr>
          <w:rFonts w:ascii="Times New Roman" w:hAnsi="Times New Roman" w:cs="Times New Roman" w:eastAsia="Times New Roman" w:hint="ascii"/>
          <w:sz w:val="21"/>
          <w:spacing w:val="50"/>
        </w:rPr>
        <w:t>2</w:t>
      </w:r>
      <w:r>
        <w:rPr>
          <w:rFonts w:ascii="宋体" w:hAnsi="宋体" w:cs="宋体" w:eastAsia="宋体" w:hint="ascii"/>
          <w:sz w:val="21"/>
          <w:spacing w:val="25"/>
        </w:rPr>
        <w:t>或</w:t>
      </w:r>
      <w:r>
        <w:rPr>
          <w:rFonts w:ascii="Times New Roman" w:hAnsi="Times New Roman" w:cs="Times New Roman" w:eastAsia="Times New Roman" w:hint="ascii"/>
          <w:sz w:val="21"/>
          <w:spacing w:val="-1"/>
        </w:rPr>
        <w:t>D0</w:t>
      </w:r>
      <w:r>
        <w:rPr>
          <w:rFonts w:ascii="Times New Roman" w:hAnsi="Times New Roman" w:cs="Times New Roman" w:eastAsia="Times New Roman" w:hint="ascii"/>
          <w:sz w:val="21"/>
          <w:spacing w:val="51"/>
        </w:rPr>
        <w:t>3</w:t>
      </w:r>
      <w:r>
        <w:rPr>
          <w:rFonts w:ascii="宋体" w:hAnsi="宋体" w:cs="宋体" w:eastAsia="宋体" w:hint="ascii"/>
          <w:sz w:val="21"/>
          <w:spacing w:val="25"/>
        </w:rPr>
        <w:t>或</w:t>
      </w:r>
      <w:r>
        <w:rPr>
          <w:rFonts w:ascii="Times New Roman" w:hAnsi="Times New Roman" w:cs="Times New Roman" w:eastAsia="Times New Roman" w:hint="ascii"/>
          <w:sz w:val="21"/>
          <w:spacing w:val="-1"/>
        </w:rPr>
        <w:t>D04</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3</w:t>
      </w:r>
      <w:r>
        <w:rPr>
          <w:rFonts w:ascii="宋体" w:hAnsi="宋体" w:cs="宋体" w:eastAsia="宋体" w:hint="ascii"/>
          <w:sz w:val="21"/>
        </w:rPr>
        <w:t>）区域矿产资源开发利用环境效应与绿色修复（申请代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D07</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三、人口与健康（申请代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L02</w:t>
      </w:r>
      <w:r>
        <w:rPr>
          <w:rFonts w:ascii="宋体" w:hAnsi="宋体" w:cs="宋体" w:eastAsia="宋体" w:hint="ascii"/>
        </w:rPr>
        <w:t>）</w:t>
      </w:r>
    </w:p>
    <w:p>
      <w:pPr>
        <w:autoSpaceDE w:val="0"/>
        <w:autoSpaceDN w:val="0"/>
        <w:jc w:val="both"/>
        <w:spacing w:before="156" w:after="0" w:lineRule="exact" w:line="320"/>
        <w:ind w:right="975"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）新疆</w:t>
      </w:r>
      <w:r>
        <w:rPr>
          <w:rFonts w:ascii="宋体" w:hAnsi="宋体" w:cs="宋体" w:eastAsia="宋体" w:hint="ascii"/>
          <w:sz w:val="21"/>
        </w:rPr>
        <w:t>高发人畜共患传染性疾病的流行病学、发病机理、诊疗及防治的研究（申请代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H19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25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both"/>
        <w:spacing w:before="252" w:after="0" w:lineRule="exact" w:line="319"/>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）新疆地区肥胖和相关代谢性疾病的病因学、发病机制及干预研究（</w:t>
      </w:r>
      <w:r>
        <w:rPr>
          <w:rFonts w:ascii="宋体" w:hAnsi="宋体" w:cs="宋体" w:eastAsia="宋体" w:hint="ascii"/>
          <w:sz w:val="21"/>
        </w:rPr>
        <w:t xml:space="preserve">申请代码 </w:t>
      </w:r>
      <w:r>
        <w:rPr>
          <w:rFonts w:ascii="Times New Roman" w:hAnsi="Times New Roman" w:cs="Times New Roman" w:eastAsia="Times New Roman" w:hint="ascii"/>
          <w:sz w:val="21"/>
        </w:rPr>
        <w:t xml:space="preserve">2 </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H07</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298" locked="0" layoutInCell="1" allowOverlap="1">
                <wp:simplePos x="0" y="0"/>
                <wp:positionH relativeFrom="page">
                  <wp:posOffset>938530</wp:posOffset>
                </wp:positionH>
                <wp:positionV relativeFrom="page">
                  <wp:posOffset>819150</wp:posOffset>
                </wp:positionV>
                <wp:extent cx="5076190" cy="0"/>
                <wp:wrapNone/>
                <wp:docPr id="1326" name="132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53088;width:399.70pt;" id="132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0" w:after="0" w:lineRule="exact" w:line="320"/>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）宫颈癌</w:t>
      </w:r>
      <w:r>
        <w:rPr>
          <w:rFonts w:ascii="宋体" w:hAnsi="宋体" w:cs="宋体" w:eastAsia="宋体" w:hint="ascii"/>
          <w:sz w:val="21"/>
        </w:rPr>
        <w:t>及血液肿瘤的表观遗传机制、基因分型、靶向治疗与免疫预防（申请代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宫颈癌选</w:t>
      </w:r>
      <w:r>
        <w:rPr>
          <w:rFonts w:ascii="宋体" w:hAnsi="宋体" w:cs="宋体" w:eastAsia="宋体" w:hint="ascii"/>
          <w:sz w:val="21"/>
          <w:spacing w:val="27"/>
        </w:rPr>
        <w:t>择</w:t>
      </w:r>
      <w:r>
        <w:rPr>
          <w:rFonts w:ascii="Times New Roman" w:hAnsi="Times New Roman" w:cs="Times New Roman" w:eastAsia="Times New Roman" w:hint="ascii"/>
          <w:sz w:val="21"/>
        </w:rPr>
        <w:t>H16</w:t>
      </w:r>
      <w:r>
        <w:rPr>
          <w:rFonts w:ascii="宋体" w:hAnsi="宋体" w:cs="宋体" w:eastAsia="宋体" w:hint="ascii"/>
          <w:sz w:val="21"/>
        </w:rPr>
        <w:t>，血液肿瘤选</w:t>
      </w:r>
      <w:r>
        <w:rPr>
          <w:rFonts w:ascii="宋体" w:hAnsi="宋体" w:cs="宋体" w:eastAsia="宋体" w:hint="ascii"/>
          <w:sz w:val="21"/>
          <w:spacing w:val="27"/>
        </w:rPr>
        <w:t>择</w:t>
      </w:r>
      <w:r>
        <w:rPr>
          <w:rFonts w:ascii="Times New Roman" w:hAnsi="Times New Roman" w:cs="Times New Roman" w:eastAsia="Times New Roman" w:hint="ascii"/>
          <w:sz w:val="21"/>
        </w:rPr>
        <w:t>H08</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20"/>
        <w:ind w:right="1509"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4</w:t>
      </w:r>
      <w:r>
        <w:rPr>
          <w:rFonts w:ascii="宋体" w:hAnsi="宋体" w:cs="宋体" w:eastAsia="宋体" w:hint="ascii"/>
          <w:sz w:val="21"/>
          <w:spacing w:val="-2"/>
        </w:rPr>
        <w:t>）复杂性疾病的维医分型及维药干预的基础研究（申</w:t>
      </w:r>
      <w:r>
        <w:rPr>
          <w:rFonts w:ascii="宋体" w:hAnsi="宋体" w:cs="宋体" w:eastAsia="宋体" w:hint="ascii"/>
          <w:sz w:val="21"/>
          <w:spacing w:val="-1"/>
        </w:rPr>
        <w:t>请代</w:t>
      </w:r>
      <w:r>
        <w:rPr>
          <w:rFonts w:ascii="宋体" w:hAnsi="宋体" w:cs="宋体" w:eastAsia="宋体" w:hint="ascii"/>
          <w:sz w:val="21"/>
          <w:spacing w:val="25"/>
        </w:rPr>
        <w:t>码</w:t>
      </w:r>
      <w:r>
        <w:rPr>
          <w:rFonts w:ascii="Times New Roman" w:hAnsi="Times New Roman" w:cs="Times New Roman" w:eastAsia="Times New Roman" w:hint="ascii"/>
          <w:sz w:val="21"/>
          <w:spacing w:val="51"/>
        </w:rPr>
        <w:t>2</w:t>
      </w:r>
      <w:r>
        <w:rPr>
          <w:rFonts w:ascii="宋体" w:hAnsi="宋体" w:cs="宋体" w:eastAsia="宋体" w:hint="ascii"/>
          <w:sz w:val="21"/>
          <w:spacing w:val="-1"/>
        </w:rPr>
        <w:t>选</w:t>
      </w:r>
      <w:r>
        <w:rPr>
          <w:rFonts w:ascii="宋体" w:hAnsi="宋体" w:cs="宋体" w:eastAsia="宋体" w:hint="ascii"/>
          <w:sz w:val="21"/>
          <w:spacing w:val="25"/>
        </w:rPr>
        <w:t>择</w:t>
      </w:r>
      <w:r>
        <w:rPr>
          <w:rFonts w:ascii="Times New Roman" w:hAnsi="Times New Roman" w:cs="Times New Roman" w:eastAsia="Times New Roman" w:hint="ascii"/>
          <w:sz w:val="21"/>
          <w:spacing w:val="-1"/>
        </w:rPr>
        <w:t>H27</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5</w:t>
      </w:r>
      <w:r>
        <w:rPr>
          <w:rFonts w:ascii="宋体" w:hAnsi="宋体" w:cs="宋体" w:eastAsia="宋体" w:hint="ascii"/>
          <w:sz w:val="21"/>
        </w:rPr>
        <w:t>）新疆地区小儿脑瘫的流行病学研究（申请代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H09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9"/>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spacing w:val="-1"/>
        </w:rPr>
        <w:t>）</w:t>
      </w:r>
      <w:r>
        <w:rPr>
          <w:rFonts w:ascii="宋体" w:hAnsi="宋体" w:cs="宋体" w:eastAsia="宋体" w:hint="ascii"/>
          <w:sz w:val="21"/>
        </w:rPr>
        <w:t>新</w:t>
      </w:r>
      <w:r>
        <w:rPr>
          <w:rFonts w:ascii="宋体" w:hAnsi="宋体" w:cs="宋体" w:eastAsia="宋体" w:hint="ascii"/>
          <w:sz w:val="21"/>
          <w:spacing w:val="-1"/>
        </w:rPr>
        <w:t>疆地</w:t>
      </w:r>
      <w:r>
        <w:rPr>
          <w:rFonts w:ascii="宋体" w:hAnsi="宋体" w:cs="宋体" w:eastAsia="宋体" w:hint="ascii"/>
          <w:sz w:val="21"/>
        </w:rPr>
        <w:t>区结</w:t>
      </w:r>
      <w:r>
        <w:rPr>
          <w:rFonts w:ascii="宋体" w:hAnsi="宋体" w:cs="宋体" w:eastAsia="宋体" w:hint="ascii"/>
          <w:sz w:val="21"/>
          <w:spacing w:val="-1"/>
        </w:rPr>
        <w:t>核</w:t>
      </w:r>
      <w:r>
        <w:rPr>
          <w:rFonts w:ascii="宋体" w:hAnsi="宋体" w:cs="宋体" w:eastAsia="宋体" w:hint="ascii"/>
          <w:sz w:val="21"/>
        </w:rPr>
        <w:t>病</w:t>
      </w:r>
      <w:r>
        <w:rPr>
          <w:rFonts w:ascii="宋体" w:hAnsi="宋体" w:cs="宋体" w:eastAsia="宋体" w:hint="ascii"/>
          <w:sz w:val="21"/>
          <w:spacing w:val="-1"/>
        </w:rPr>
        <w:t>分</w:t>
      </w:r>
      <w:r>
        <w:rPr>
          <w:rFonts w:ascii="宋体" w:hAnsi="宋体" w:cs="宋体" w:eastAsia="宋体" w:hint="ascii"/>
          <w:sz w:val="21"/>
        </w:rPr>
        <w:t>子流</w:t>
      </w:r>
      <w:r>
        <w:rPr>
          <w:rFonts w:ascii="宋体" w:hAnsi="宋体" w:cs="宋体" w:eastAsia="宋体" w:hint="ascii"/>
          <w:sz w:val="21"/>
          <w:spacing w:val="-1"/>
        </w:rPr>
        <w:t>行</w:t>
      </w:r>
      <w:r>
        <w:rPr>
          <w:rFonts w:ascii="宋体" w:hAnsi="宋体" w:cs="宋体" w:eastAsia="宋体" w:hint="ascii"/>
          <w:sz w:val="21"/>
        </w:rPr>
        <w:t>病</w:t>
      </w:r>
      <w:r>
        <w:rPr>
          <w:rFonts w:ascii="宋体" w:hAnsi="宋体" w:cs="宋体" w:eastAsia="宋体" w:hint="ascii"/>
          <w:sz w:val="21"/>
          <w:spacing w:val="-1"/>
        </w:rPr>
        <w:t>学</w:t>
      </w:r>
      <w:r>
        <w:rPr>
          <w:rFonts w:ascii="宋体" w:hAnsi="宋体" w:cs="宋体" w:eastAsia="宋体" w:hint="ascii"/>
          <w:sz w:val="21"/>
        </w:rPr>
        <w:t>及耐</w:t>
      </w:r>
      <w:r>
        <w:rPr>
          <w:rFonts w:ascii="宋体" w:hAnsi="宋体" w:cs="宋体" w:eastAsia="宋体" w:hint="ascii"/>
          <w:sz w:val="21"/>
          <w:spacing w:val="-1"/>
        </w:rPr>
        <w:t>药</w:t>
      </w:r>
      <w:r>
        <w:rPr>
          <w:rFonts w:ascii="宋体" w:hAnsi="宋体" w:cs="宋体" w:eastAsia="宋体" w:hint="ascii"/>
          <w:sz w:val="21"/>
        </w:rPr>
        <w:t>结</w:t>
      </w:r>
      <w:r>
        <w:rPr>
          <w:rFonts w:ascii="宋体" w:hAnsi="宋体" w:cs="宋体" w:eastAsia="宋体" w:hint="ascii"/>
          <w:sz w:val="21"/>
          <w:spacing w:val="-1"/>
        </w:rPr>
        <w:t>核</w:t>
      </w:r>
      <w:r>
        <w:rPr>
          <w:rFonts w:ascii="宋体" w:hAnsi="宋体" w:cs="宋体" w:eastAsia="宋体" w:hint="ascii"/>
          <w:sz w:val="21"/>
        </w:rPr>
        <w:t>病基</w:t>
      </w:r>
      <w:r>
        <w:rPr>
          <w:rFonts w:ascii="宋体" w:hAnsi="宋体" w:cs="宋体" w:eastAsia="宋体" w:hint="ascii"/>
          <w:sz w:val="21"/>
          <w:spacing w:val="-1"/>
        </w:rPr>
        <w:t>因</w:t>
      </w:r>
      <w:r>
        <w:rPr>
          <w:rFonts w:ascii="宋体" w:hAnsi="宋体" w:cs="宋体" w:eastAsia="宋体" w:hint="ascii"/>
          <w:sz w:val="21"/>
        </w:rPr>
        <w:t>变</w:t>
      </w:r>
      <w:r>
        <w:rPr>
          <w:rFonts w:ascii="宋体" w:hAnsi="宋体" w:cs="宋体" w:eastAsia="宋体" w:hint="ascii"/>
          <w:sz w:val="21"/>
          <w:spacing w:val="-1"/>
        </w:rPr>
        <w:t>异</w:t>
      </w:r>
      <w:r>
        <w:rPr>
          <w:rFonts w:ascii="宋体" w:hAnsi="宋体" w:cs="宋体" w:eastAsia="宋体" w:hint="ascii"/>
          <w:sz w:val="21"/>
        </w:rPr>
        <w:t>研究</w:t>
      </w:r>
      <w:r>
        <w:rPr>
          <w:rFonts w:ascii="宋体" w:hAnsi="宋体" w:cs="宋体" w:eastAsia="宋体" w:hint="ascii"/>
          <w:sz w:val="21"/>
          <w:spacing w:val="-1"/>
        </w:rPr>
        <w:t>（</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代</w:t>
      </w:r>
      <w:r>
        <w:rPr>
          <w:rFonts w:ascii="宋体" w:hAnsi="宋体" w:cs="宋体" w:eastAsia="宋体" w:hint="ascii"/>
          <w:sz w:val="21"/>
          <w:spacing w:val="-3"/>
        </w:rPr>
        <w:t>码</w:t>
      </w:r>
      <w:r>
        <w:rPr>
          <w:rFonts w:ascii="宋体" w:hAnsi="宋体" w:cs="宋体" w:eastAsia="宋体" w:hint="ascii"/>
          <w:sz w:val="2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 xml:space="preserve"> </w:t>
      </w:r>
      <w:r>
        <w:rPr>
          <w:rFonts w:ascii="宋体" w:hAnsi="宋体" w:cs="宋体" w:eastAsia="宋体" w:hint="ascii"/>
          <w:sz w:val="21"/>
        </w:rPr>
        <w:t>选择</w:t>
      </w:r>
      <w:r>
        <w:rPr>
          <w:rFonts w:ascii="Times New Roman" w:hAnsi="Times New Roman" w:cs="Times New Roman" w:eastAsia="Times New Roman" w:hint="ascii"/>
          <w:sz w:val="21"/>
        </w:rPr>
        <w:t>H19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四、信息安全（申请代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L05</w:t>
      </w:r>
      <w:r>
        <w:rPr>
          <w:rFonts w:ascii="宋体" w:hAnsi="宋体" w:cs="宋体" w:eastAsia="宋体" w:hint="ascii"/>
        </w:rPr>
        <w:t>）</w:t>
      </w:r>
    </w:p>
    <w:p>
      <w:pPr>
        <w:autoSpaceDE w:val="0"/>
        <w:autoSpaceDN w:val="0"/>
        <w:jc w:val="left"/>
        <w:spacing w:before="156" w:after="0" w:lineRule="exact" w:line="320"/>
        <w:ind w:right="963"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）基于多媒体信息的多语种内容识别与理解技术研究（申请代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F02</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w:t>
      </w:r>
      <w:r>
        <w:rPr>
          <w:rFonts w:ascii="宋体" w:hAnsi="宋体" w:cs="宋体" w:eastAsia="宋体" w:hint="ascii"/>
          <w:sz w:val="21"/>
          <w:spacing w:val="-3"/>
        </w:rPr>
        <w:t>公共</w:t>
      </w:r>
      <w:r>
        <w:rPr>
          <w:rFonts w:ascii="宋体" w:hAnsi="宋体" w:cs="宋体" w:eastAsia="宋体" w:hint="ascii"/>
          <w:sz w:val="21"/>
          <w:spacing w:val="-4"/>
        </w:rPr>
        <w:t>安</w:t>
      </w:r>
      <w:r>
        <w:rPr>
          <w:rFonts w:ascii="宋体" w:hAnsi="宋体" w:cs="宋体" w:eastAsia="宋体" w:hint="ascii"/>
          <w:sz w:val="21"/>
          <w:spacing w:val="-3"/>
        </w:rPr>
        <w:t>全领域的多源数据感知、融合及分析技术研究（申请代</w:t>
      </w:r>
      <w:r>
        <w:rPr>
          <w:rFonts w:ascii="宋体" w:hAnsi="宋体" w:cs="宋体" w:eastAsia="宋体" w:hint="ascii"/>
          <w:sz w:val="21"/>
          <w:spacing w:val="22"/>
        </w:rPr>
        <w:t>码</w:t>
      </w:r>
      <w:r>
        <w:rPr>
          <w:rFonts w:ascii="Times New Roman" w:hAnsi="Times New Roman" w:cs="Times New Roman" w:eastAsia="Times New Roman" w:hint="ascii"/>
          <w:sz w:val="21"/>
          <w:spacing w:val="47"/>
        </w:rPr>
        <w:t>2</w:t>
      </w:r>
      <w:r>
        <w:rPr>
          <w:rFonts w:ascii="宋体" w:hAnsi="宋体" w:cs="宋体" w:eastAsia="宋体" w:hint="ascii"/>
          <w:sz w:val="21"/>
          <w:spacing w:val="-3"/>
        </w:rPr>
        <w:t>选</w:t>
      </w:r>
      <w:r>
        <w:rPr>
          <w:rFonts w:ascii="宋体" w:hAnsi="宋体" w:cs="宋体" w:eastAsia="宋体" w:hint="ascii"/>
          <w:sz w:val="21"/>
          <w:spacing w:val="23"/>
        </w:rPr>
        <w:t>择</w:t>
      </w:r>
      <w:r>
        <w:rPr>
          <w:rFonts w:ascii="Times New Roman" w:hAnsi="Times New Roman" w:cs="Times New Roman" w:eastAsia="Times New Roman" w:hint="ascii"/>
          <w:sz w:val="21"/>
        </w:rPr>
        <w:t>F02</w:t>
      </w:r>
      <w:r>
        <w:rPr>
          <w:rFonts w:ascii="宋体" w:hAnsi="宋体" w:cs="宋体" w:eastAsia="宋体" w:hint="ascii"/>
          <w:sz w:val="21"/>
          <w:spacing w:val="-54"/>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）面向公共安全的生物特征识别技术研究（申请代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）量子远程传态过程中的信息安全研究（申请代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）面向公共安全的视频信息处理技术研究（申请代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right"/>
        <w:spacing w:before="156" w:after="0" w:lineRule="exact" w:line="320"/>
        <w:ind w:right="963" w:left="966" w:firstLine="306"/>
        <w:snapToGrid w:val="0"/>
        <w:textAlignment w:val="auto"/>
        <w:tabs/>
        <w:rPr>
          <w:rFonts w:ascii="宋体" w:hAnsi="宋体" w:cs="宋体" w:eastAsia="宋体" w:hint="ascii"/>
          <w:sz w:val="21"/>
        </w:rPr>
      </w:pPr>
      <w:r>
        <w:rPr>
          <w:rFonts w:ascii="宋体" w:hAnsi="宋体" w:cs="宋体" w:eastAsia="宋体" w:hint="ascii"/>
          <w:sz w:val="21"/>
          <w:spacing w:val="-4"/>
        </w:rPr>
        <w:t>（</w:t>
      </w:r>
      <w:r>
        <w:rPr>
          <w:rFonts w:ascii="Times New Roman" w:hAnsi="Times New Roman" w:cs="Times New Roman" w:eastAsia="Times New Roman" w:hint="ascii"/>
          <w:sz w:val="21"/>
          <w:spacing w:val="-3"/>
        </w:rPr>
        <w:t>1</w:t>
      </w:r>
      <w:r>
        <w:rPr>
          <w:rFonts w:ascii="宋体" w:hAnsi="宋体" w:cs="宋体" w:eastAsia="宋体" w:hint="ascii"/>
          <w:sz w:val="21"/>
          <w:spacing w:val="-4"/>
        </w:rPr>
        <w:t>）本联</w:t>
      </w:r>
      <w:r>
        <w:rPr>
          <w:rFonts w:ascii="宋体" w:hAnsi="宋体" w:cs="宋体" w:eastAsia="宋体" w:hint="ascii"/>
          <w:sz w:val="21"/>
          <w:spacing w:val="-5"/>
        </w:rPr>
        <w:t>合</w:t>
      </w:r>
      <w:r>
        <w:rPr>
          <w:rFonts w:ascii="宋体" w:hAnsi="宋体" w:cs="宋体" w:eastAsia="宋体" w:hint="ascii"/>
          <w:sz w:val="21"/>
          <w:spacing w:val="-4"/>
        </w:rPr>
        <w:t>基</w:t>
      </w:r>
      <w:r>
        <w:rPr>
          <w:rFonts w:ascii="宋体" w:hAnsi="宋体" w:cs="宋体" w:eastAsia="宋体" w:hint="ascii"/>
          <w:sz w:val="21"/>
          <w:spacing w:val="-5"/>
        </w:rPr>
        <w:t>金</w:t>
      </w:r>
      <w:r>
        <w:rPr>
          <w:rFonts w:ascii="宋体" w:hAnsi="宋体" w:cs="宋体" w:eastAsia="宋体" w:hint="ascii"/>
          <w:sz w:val="21"/>
          <w:spacing w:val="-4"/>
        </w:rPr>
        <w:t>重</w:t>
      </w:r>
      <w:r>
        <w:rPr>
          <w:rFonts w:ascii="宋体" w:hAnsi="宋体" w:cs="宋体" w:eastAsia="宋体" w:hint="ascii"/>
          <w:sz w:val="21"/>
          <w:spacing w:val="-5"/>
        </w:rPr>
        <w:t>点</w:t>
      </w:r>
      <w:r>
        <w:rPr>
          <w:rFonts w:ascii="宋体" w:hAnsi="宋体" w:cs="宋体" w:eastAsia="宋体" w:hint="ascii"/>
          <w:sz w:val="21"/>
          <w:spacing w:val="-4"/>
        </w:rPr>
        <w:t>支</w:t>
      </w:r>
      <w:r>
        <w:rPr>
          <w:rFonts w:ascii="宋体" w:hAnsi="宋体" w:cs="宋体" w:eastAsia="宋体" w:hint="ascii"/>
          <w:sz w:val="21"/>
          <w:spacing w:val="-5"/>
        </w:rPr>
        <w:t>持</w:t>
      </w:r>
      <w:r>
        <w:rPr>
          <w:rFonts w:ascii="宋体" w:hAnsi="宋体" w:cs="宋体" w:eastAsia="宋体" w:hint="ascii"/>
          <w:sz w:val="21"/>
          <w:spacing w:val="-4"/>
        </w:rPr>
        <w:t>项</w:t>
      </w:r>
      <w:r>
        <w:rPr>
          <w:rFonts w:ascii="宋体" w:hAnsi="宋体" w:cs="宋体" w:eastAsia="宋体" w:hint="ascii"/>
          <w:sz w:val="21"/>
          <w:spacing w:val="-5"/>
        </w:rPr>
        <w:t>目</w:t>
      </w:r>
      <w:r>
        <w:rPr>
          <w:rFonts w:ascii="宋体" w:hAnsi="宋体" w:cs="宋体" w:eastAsia="宋体" w:hint="ascii"/>
          <w:sz w:val="21"/>
          <w:spacing w:val="-4"/>
        </w:rPr>
        <w:t>和</w:t>
      </w:r>
      <w:r>
        <w:rPr>
          <w:rFonts w:ascii="宋体" w:hAnsi="宋体" w:cs="宋体" w:eastAsia="宋体" w:hint="ascii"/>
          <w:sz w:val="21"/>
          <w:spacing w:val="-5"/>
        </w:rPr>
        <w:t>本</w:t>
      </w:r>
      <w:r>
        <w:rPr>
          <w:rFonts w:ascii="宋体" w:hAnsi="宋体" w:cs="宋体" w:eastAsia="宋体" w:hint="ascii"/>
          <w:sz w:val="21"/>
          <w:spacing w:val="-4"/>
        </w:rPr>
        <w:t>地</w:t>
      </w:r>
      <w:r>
        <w:rPr>
          <w:rFonts w:ascii="宋体" w:hAnsi="宋体" w:cs="宋体" w:eastAsia="宋体" w:hint="ascii"/>
          <w:sz w:val="21"/>
          <w:spacing w:val="-5"/>
        </w:rPr>
        <w:t>青</w:t>
      </w:r>
      <w:r>
        <w:rPr>
          <w:rFonts w:ascii="宋体" w:hAnsi="宋体" w:cs="宋体" w:eastAsia="宋体" w:hint="ascii"/>
          <w:sz w:val="21"/>
          <w:spacing w:val="-4"/>
        </w:rPr>
        <w:t>年</w:t>
      </w:r>
      <w:r>
        <w:rPr>
          <w:rFonts w:ascii="宋体" w:hAnsi="宋体" w:cs="宋体" w:eastAsia="宋体" w:hint="ascii"/>
          <w:sz w:val="21"/>
          <w:spacing w:val="-5"/>
        </w:rPr>
        <w:t>人</w:t>
      </w:r>
      <w:r>
        <w:rPr>
          <w:rFonts w:ascii="宋体" w:hAnsi="宋体" w:cs="宋体" w:eastAsia="宋体" w:hint="ascii"/>
          <w:sz w:val="21"/>
          <w:spacing w:val="-4"/>
        </w:rPr>
        <w:t>才</w:t>
      </w:r>
      <w:r>
        <w:rPr>
          <w:rFonts w:ascii="宋体" w:hAnsi="宋体" w:cs="宋体" w:eastAsia="宋体" w:hint="ascii"/>
          <w:sz w:val="21"/>
          <w:spacing w:val="-5"/>
        </w:rPr>
        <w:t>培</w:t>
      </w:r>
      <w:r>
        <w:rPr>
          <w:rFonts w:ascii="宋体" w:hAnsi="宋体" w:cs="宋体" w:eastAsia="宋体" w:hint="ascii"/>
          <w:sz w:val="21"/>
          <w:spacing w:val="-4"/>
        </w:rPr>
        <w:t>养</w:t>
      </w:r>
      <w:r>
        <w:rPr>
          <w:rFonts w:ascii="宋体" w:hAnsi="宋体" w:cs="宋体" w:eastAsia="宋体" w:hint="ascii"/>
          <w:sz w:val="21"/>
          <w:spacing w:val="-5"/>
        </w:rPr>
        <w:t>专</w:t>
      </w:r>
      <w:r>
        <w:rPr>
          <w:rFonts w:ascii="宋体" w:hAnsi="宋体" w:cs="宋体" w:eastAsia="宋体" w:hint="ascii"/>
          <w:sz w:val="21"/>
          <w:spacing w:val="-4"/>
        </w:rPr>
        <w:t>项</w:t>
      </w:r>
      <w:r>
        <w:rPr>
          <w:rFonts w:ascii="宋体" w:hAnsi="宋体" w:cs="宋体" w:eastAsia="宋体" w:hint="ascii"/>
          <w:sz w:val="21"/>
          <w:spacing w:val="-5"/>
        </w:rPr>
        <w:t>项</w:t>
      </w:r>
      <w:r>
        <w:rPr>
          <w:rFonts w:ascii="宋体" w:hAnsi="宋体" w:cs="宋体" w:eastAsia="宋体" w:hint="ascii"/>
          <w:sz w:val="21"/>
          <w:spacing w:val="-3"/>
        </w:rPr>
        <w:t>目</w:t>
      </w:r>
      <w:r>
        <w:rPr>
          <w:rFonts w:ascii="宋体" w:hAnsi="宋体" w:cs="宋体" w:eastAsia="宋体" w:hint="ascii"/>
          <w:sz w:val="21"/>
          <w:spacing w:val="-4"/>
        </w:rPr>
        <w:t>的</w:t>
      </w:r>
      <w:r>
        <w:rPr>
          <w:rFonts w:ascii="宋体" w:hAnsi="宋体" w:cs="宋体" w:eastAsia="宋体" w:hint="ascii"/>
          <w:sz w:val="21"/>
          <w:spacing w:val="-3"/>
        </w:rPr>
        <w:t>申</w:t>
      </w:r>
      <w:r>
        <w:rPr>
          <w:rFonts w:ascii="宋体" w:hAnsi="宋体" w:cs="宋体" w:eastAsia="宋体" w:hint="ascii"/>
          <w:sz w:val="21"/>
          <w:spacing w:val="-4"/>
        </w:rPr>
        <w:t>请</w:t>
      </w:r>
      <w:r>
        <w:rPr>
          <w:rFonts w:ascii="宋体" w:hAnsi="宋体" w:cs="宋体" w:eastAsia="宋体" w:hint="ascii"/>
          <w:sz w:val="21"/>
          <w:spacing w:val="-3"/>
        </w:rPr>
        <w:t>人</w:t>
      </w:r>
      <w:r>
        <w:rPr>
          <w:rFonts w:ascii="宋体" w:hAnsi="宋体" w:cs="宋体" w:eastAsia="宋体" w:hint="ascii"/>
          <w:sz w:val="21"/>
          <w:spacing w:val="-4"/>
        </w:rPr>
        <w:t>应</w:t>
      </w:r>
      <w:r>
        <w:rPr>
          <w:rFonts w:ascii="宋体" w:hAnsi="宋体" w:cs="宋体" w:eastAsia="宋体" w:hint="ascii"/>
          <w:sz w:val="21"/>
          <w:spacing w:val="-3"/>
        </w:rPr>
        <w:t>当</w:t>
      </w:r>
      <w:r>
        <w:rPr>
          <w:rFonts w:ascii="宋体" w:hAnsi="宋体" w:cs="宋体" w:eastAsia="宋体" w:hint="ascii"/>
          <w:sz w:val="21"/>
          <w:spacing w:val="-4"/>
        </w:rPr>
        <w:t>具</w:t>
      </w:r>
      <w:r>
        <w:rPr>
          <w:rFonts w:ascii="宋体" w:hAnsi="宋体" w:cs="宋体" w:eastAsia="宋体" w:hint="ascii"/>
          <w:sz w:val="21"/>
          <w:spacing w:val="-3"/>
        </w:rPr>
        <w:t>有</w:t>
      </w:r>
      <w:r>
        <w:rPr>
          <w:rFonts w:ascii="宋体" w:hAnsi="宋体" w:cs="宋体" w:eastAsia="宋体" w:hint="ascii"/>
          <w:sz w:val="21"/>
          <w:spacing w:val="-4"/>
        </w:rPr>
        <w:t>高</w:t>
      </w:r>
      <w:r>
        <w:rPr>
          <w:rFonts w:ascii="宋体" w:hAnsi="宋体" w:cs="宋体" w:eastAsia="宋体" w:hint="ascii"/>
          <w:sz w:val="21"/>
          <w:spacing w:val="-3"/>
        </w:rPr>
        <w:t>级</w:t>
      </w:r>
      <w:r>
        <w:rPr>
          <w:rFonts w:ascii="宋体" w:hAnsi="宋体" w:cs="宋体" w:eastAsia="宋体" w:hint="ascii"/>
          <w:sz w:val="21"/>
          <w:spacing w:val="-1"/>
        </w:rPr>
        <w:t>专</w:t>
      </w:r>
      <w:r>
        <w:rPr>
          <w:rFonts w:ascii="宋体" w:hAnsi="宋体" w:cs="宋体" w:eastAsia="宋体" w:hint="ascii"/>
          <w:sz w:val="21"/>
        </w:rPr>
        <w:t xml:space="preserve"> </w:t>
      </w:r>
      <w:r>
        <w:rPr>
          <w:rFonts w:ascii="宋体" w:hAnsi="宋体" w:cs="宋体" w:eastAsia="宋体" w:hint="ascii"/>
          <w:sz w:val="21"/>
          <w:spacing w:val="-6"/>
        </w:rPr>
        <w:t>业技术职务（职称</w:t>
      </w:r>
      <w:r>
        <w:rPr>
          <w:rFonts w:ascii="宋体" w:hAnsi="宋体" w:cs="宋体" w:eastAsia="宋体" w:hint="ascii"/>
          <w:sz w:val="21"/>
          <w:spacing w:val="-57"/>
        </w:rPr>
        <w:t>）</w:t>
      </w:r>
      <w:r>
        <w:rPr>
          <w:rFonts w:ascii="宋体" w:hAnsi="宋体" w:cs="宋体" w:eastAsia="宋体" w:hint="ascii"/>
          <w:sz w:val="21"/>
          <w:spacing w:val="-6"/>
        </w:rPr>
        <w:t>；培育项目</w:t>
      </w:r>
      <w:r>
        <w:rPr>
          <w:rFonts w:ascii="宋体" w:hAnsi="宋体" w:cs="宋体" w:eastAsia="宋体" w:hint="ascii"/>
          <w:sz w:val="21"/>
          <w:spacing w:val="-5"/>
        </w:rPr>
        <w:t>申请人应当具有高级专业技术职务（职称）或者博士学位</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2</w:t>
      </w:r>
      <w:r>
        <w:rPr>
          <w:rFonts w:ascii="宋体" w:hAnsi="宋体" w:cs="宋体" w:eastAsia="宋体" w:hint="ascii"/>
          <w:sz w:val="21"/>
        </w:rPr>
        <w:t>）申请书资助类别选择“联合基金项目</w:t>
      </w:r>
      <w:r>
        <w:rPr>
          <w:rFonts w:ascii="宋体" w:hAnsi="宋体" w:cs="宋体" w:eastAsia="宋体" w:hint="ascii"/>
          <w:sz w:val="21"/>
          <w:spacing w:val="-51"/>
        </w:rPr>
        <w:t>”</w:t>
      </w:r>
      <w:r>
        <w:rPr>
          <w:rFonts w:ascii="宋体" w:hAnsi="宋体" w:cs="宋体" w:eastAsia="宋体" w:hint="ascii"/>
          <w:sz w:val="21"/>
        </w:rPr>
        <w:t>，亚类说明选择“培育项目</w:t>
      </w:r>
      <w:r>
        <w:rPr>
          <w:rFonts w:ascii="宋体" w:hAnsi="宋体" w:cs="宋体" w:eastAsia="宋体" w:hint="ascii"/>
          <w:sz w:val="21"/>
          <w:spacing w:val="-51"/>
        </w:rPr>
        <w:t>”、</w:t>
      </w:r>
      <w:r>
        <w:rPr>
          <w:rFonts w:ascii="宋体" w:hAnsi="宋体" w:cs="宋体" w:eastAsia="宋体" w:hint="ascii"/>
          <w:sz w:val="21"/>
        </w:rPr>
        <w:t>“重点支</w:t>
      </w:r>
    </w:p>
    <w:p>
      <w:pPr>
        <w:autoSpaceDE w:val="0"/>
        <w:autoSpaceDN w:val="0"/>
        <w:jc w:val="left"/>
        <w:spacing w:before="45"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持项目”或“本地青年人才培养专项</w:t>
      </w:r>
      <w:r>
        <w:rPr>
          <w:rFonts w:ascii="宋体" w:hAnsi="宋体" w:cs="宋体" w:eastAsia="宋体" w:hint="ascii"/>
          <w:sz w:val="21"/>
          <w:spacing w:val="-52"/>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新疆联合基金</w:t>
      </w:r>
      <w:r>
        <w:rPr>
          <w:rFonts w:ascii="宋体" w:hAnsi="宋体" w:cs="宋体" w:eastAsia="宋体" w:hint="ascii"/>
          <w:sz w:val="21"/>
          <w:spacing w:val="-52"/>
        </w:rPr>
        <w:t>”</w:t>
      </w:r>
      <w:r>
        <w:rPr>
          <w:rFonts w:ascii="宋体" w:hAnsi="宋体" w:cs="宋体" w:eastAsia="宋体" w:hint="ascii"/>
          <w:sz w:val="21"/>
        </w:rPr>
        <w:t>。申请代</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码必须按本《指南》要求选择。</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）新疆以外省份依托单位申请本联合基金培育项目和重点支持项目应当有新疆本</w:t>
      </w:r>
    </w:p>
    <w:p>
      <w:pPr>
        <w:autoSpaceDE w:val="0"/>
        <w:autoSpaceDN w:val="0"/>
        <w:jc w:val="both"/>
        <w:spacing w:before="12" w:after="0" w:lineRule="exact" w:line="32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地单位的参与，鼓励</w:t>
      </w:r>
      <w:r>
        <w:rPr>
          <w:rFonts w:ascii="宋体" w:hAnsi="宋体" w:cs="宋体" w:eastAsia="宋体" w:hint="ascii"/>
          <w:sz w:val="21"/>
        </w:rPr>
        <w:t>新疆的依托单位与其他省份单位合作申请项目。对于合作研究</w:t>
      </w:r>
      <w:r>
        <w:rPr>
          <w:rFonts w:ascii="宋体" w:hAnsi="宋体" w:cs="宋体" w:eastAsia="宋体" w:hint="ascii"/>
          <w:sz w:val="21"/>
          <w:spacing w:val="-6"/>
        </w:rPr>
        <w:t>项</w:t>
      </w:r>
      <w:r>
        <w:rPr>
          <w:rFonts w:ascii="宋体" w:hAnsi="宋体" w:cs="宋体" w:eastAsia="宋体" w:hint="ascii"/>
          <w:sz w:val="21"/>
        </w:rPr>
        <w:t>目，应在申请书中明确合作各方的合作内容、主要分工等。</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本地青年人才培养专项项目的申请人除具备本《指南》中规定的申请条件外，还应</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当具备以下条件：</w:t>
      </w:r>
    </w:p>
    <w:p>
      <w:pPr>
        <w:autoSpaceDE w:val="0"/>
        <w:autoSpaceDN w:val="0"/>
        <w:jc w:val="left"/>
        <w:spacing w:before="58"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1</w:t>
      </w:r>
      <w:r>
        <w:rPr>
          <w:rFonts w:ascii="宋体" w:hAnsi="宋体" w:cs="宋体" w:eastAsia="宋体" w:hint="ascii"/>
          <w:sz w:val="21"/>
        </w:rPr>
        <w:t>）所在依托单位位于新疆维吾尔自治区境内；</w:t>
      </w:r>
    </w:p>
    <w:p>
      <w:pPr>
        <w:autoSpaceDE w:val="0"/>
        <w:autoSpaceDN w:val="0"/>
        <w:jc w:val="left"/>
        <w:spacing w:before="64"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2</w:t>
      </w:r>
      <w:r>
        <w:rPr>
          <w:rFonts w:ascii="宋体" w:hAnsi="宋体" w:cs="宋体" w:eastAsia="宋体" w:hint="ascii"/>
          <w:sz w:val="21"/>
        </w:rPr>
        <w:t>）申请当</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日未</w:t>
      </w:r>
      <w:r>
        <w:rPr>
          <w:rFonts w:ascii="宋体" w:hAnsi="宋体" w:cs="宋体" w:eastAsia="宋体" w:hint="ascii"/>
          <w:sz w:val="21"/>
          <w:spacing w:val="26"/>
        </w:rPr>
        <w:t>满</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52"/>
        </w:rPr>
        <w:t>5</w:t>
      </w:r>
      <w:r>
        <w:rPr>
          <w:rFonts w:ascii="宋体" w:hAnsi="宋体" w:cs="宋体" w:eastAsia="宋体" w:hint="ascii"/>
          <w:sz w:val="21"/>
        </w:rPr>
        <w:t>周</w:t>
      </w:r>
      <w:r>
        <w:rPr>
          <w:rFonts w:ascii="宋体" w:hAnsi="宋体" w:cs="宋体" w:eastAsia="宋体" w:hint="ascii"/>
          <w:sz w:val="21"/>
          <w:spacing w:val="26"/>
        </w:rPr>
        <w:t>岁</w:t>
      </w:r>
      <w:r>
        <w:rPr>
          <w:rFonts w:ascii="Times New Roman" w:hAnsi="Times New Roman" w:cs="Times New Roman" w:eastAsia="Times New Roman" w:hint="ascii"/>
          <w:sz w:val="21"/>
        </w:rPr>
        <w:t>[ 197</w:t>
      </w:r>
      <w:r>
        <w:rPr>
          <w:rFonts w:ascii="Times New Roman" w:hAnsi="Times New Roman" w:cs="Times New Roman" w:eastAsia="Times New Roman" w:hint="ascii"/>
          <w:sz w:val="21"/>
          <w:spacing w:val="52"/>
        </w:rPr>
        <w:t>3</w:t>
      </w:r>
      <w:r>
        <w:rPr>
          <w:rFonts w:ascii="宋体" w:hAnsi="宋体" w:cs="宋体" w:eastAsia="宋体" w:hint="ascii"/>
          <w:sz w:val="21"/>
          <w:spacing w:val="26"/>
        </w:rPr>
        <w:t>年</w:t>
      </w:r>
      <w:r>
        <w:rPr>
          <w:rFonts w:ascii="Times New Roman" w:hAnsi="Times New Roman" w:cs="Times New Roman" w:eastAsia="Times New Roman" w:hint="ascii"/>
          <w:sz w:val="21"/>
          <w:spacing w:val="52"/>
        </w:rPr>
        <w:t>1</w:t>
      </w:r>
      <w:r>
        <w:rPr>
          <w:rFonts w:ascii="宋体" w:hAnsi="宋体" w:cs="宋体" w:eastAsia="宋体" w:hint="ascii"/>
          <w:sz w:val="21"/>
          <w:spacing w:val="26"/>
        </w:rPr>
        <w:t>月</w:t>
      </w:r>
      <w:r>
        <w:rPr>
          <w:rFonts w:ascii="Times New Roman" w:hAnsi="Times New Roman" w:cs="Times New Roman" w:eastAsia="Times New Roman" w:hint="ascii"/>
          <w:sz w:val="21"/>
          <w:spacing w:val="52"/>
        </w:rPr>
        <w:t>1</w:t>
      </w:r>
      <w:r>
        <w:rPr>
          <w:rFonts w:ascii="宋体" w:hAnsi="宋体" w:cs="宋体" w:eastAsia="宋体" w:hint="ascii"/>
          <w:sz w:val="21"/>
        </w:rPr>
        <w:t>日（含）以后出生</w:t>
      </w:r>
      <w:r>
        <w:rPr>
          <w:rFonts w:ascii="Times New Roman" w:hAnsi="Times New Roman" w:cs="Times New Roman" w:eastAsia="Times New Roman" w:hint="ascii"/>
          <w:sz w:val="21"/>
        </w:rPr>
        <w:t>]</w:t>
      </w:r>
      <w:r>
        <w:rPr>
          <w:rFonts w:ascii="宋体" w:hAnsi="宋体" w:cs="宋体" w:eastAsia="宋体" w:hint="ascii"/>
          <w:sz w:val="21"/>
        </w:rPr>
        <w:t>；</w:t>
      </w:r>
    </w:p>
    <w:p>
      <w:pPr>
        <w:autoSpaceDE w:val="0"/>
        <w:autoSpaceDN w:val="0"/>
        <w:jc w:val="left"/>
        <w:spacing w:before="65"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3</w:t>
      </w:r>
      <w:r>
        <w:rPr>
          <w:rFonts w:ascii="宋体" w:hAnsi="宋体" w:cs="宋体" w:eastAsia="宋体" w:hint="ascii"/>
          <w:sz w:val="21"/>
        </w:rPr>
        <w:t>）保证资助期内每年在依托单位从事研究工作的时间</w:t>
      </w:r>
      <w:r>
        <w:rPr>
          <w:rFonts w:ascii="宋体" w:hAnsi="宋体" w:cs="宋体" w:eastAsia="宋体" w:hint="ascii"/>
          <w:sz w:val="21"/>
          <w:spacing w:val="26"/>
        </w:rPr>
        <w:t>在</w:t>
      </w:r>
      <w:r>
        <w:rPr>
          <w:rFonts w:ascii="Times New Roman" w:hAnsi="Times New Roman" w:cs="Times New Roman" w:eastAsia="Times New Roman" w:hint="ascii"/>
          <w:sz w:val="21"/>
          <w:spacing w:val="52"/>
        </w:rPr>
        <w:t>9</w:t>
      </w:r>
      <w:r>
        <w:rPr>
          <w:rFonts w:ascii="宋体" w:hAnsi="宋体" w:cs="宋体" w:eastAsia="宋体" w:hint="ascii"/>
          <w:sz w:val="21"/>
        </w:rPr>
        <w:t>个月以上。</w:t>
      </w:r>
    </w:p>
    <w:p>
      <w:pPr>
        <w:autoSpaceDE w:val="0"/>
        <w:autoSpaceDN w:val="0"/>
        <w:jc w:val="both"/>
        <w:spacing w:before="20" w:after="0" w:lineRule="exact" w:line="319"/>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本地青年人才</w:t>
      </w:r>
      <w:r>
        <w:rPr>
          <w:rFonts w:ascii="宋体" w:hAnsi="宋体" w:cs="宋体" w:eastAsia="宋体" w:hint="ascii"/>
          <w:sz w:val="21"/>
        </w:rPr>
        <w:t>培养专项项目主要考察申请人本人的学术水平及创新潜力，撰写申请书时不填写“主要参与者</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）申请项目应符合本《指南》的资助范围与要求。项目名称、具体研究方案、研</w:t>
      </w:r>
    </w:p>
    <w:p>
      <w:pPr>
        <w:autoSpaceDE w:val="0"/>
        <w:autoSpaceDN w:val="0"/>
        <w:jc w:val="both"/>
        <w:spacing w:before="13" w:after="0" w:lineRule="exact" w:line="319"/>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究内容和目</w:t>
      </w:r>
      <w:r>
        <w:rPr>
          <w:rFonts w:ascii="宋体" w:hAnsi="宋体" w:cs="宋体" w:eastAsia="宋体" w:hint="ascii"/>
          <w:sz w:val="21"/>
        </w:rPr>
        <w:t>标等由申请人提出，要求申请人分别按照培育项目、重点支持项目和本地青</w:t>
      </w:r>
      <w:r>
        <w:rPr>
          <w:rFonts w:ascii="宋体" w:hAnsi="宋体" w:cs="宋体" w:eastAsia="宋体" w:hint="ascii"/>
          <w:sz w:val="21"/>
          <w:spacing w:val="-1"/>
        </w:rPr>
        <w:t>年人才培养</w:t>
      </w:r>
      <w:r>
        <w:rPr>
          <w:rFonts w:ascii="宋体" w:hAnsi="宋体" w:cs="宋体" w:eastAsia="宋体" w:hint="ascii"/>
          <w:sz w:val="21"/>
        </w:rPr>
        <w:t>专项项目申请书撰写提纲撰写申请书。如果申请人已经承担与本联合基金相</w:t>
      </w:r>
      <w:r>
        <w:rPr>
          <w:rFonts w:ascii="宋体" w:hAnsi="宋体" w:cs="宋体" w:eastAsia="宋体" w:hint="ascii"/>
          <w:sz w:val="21"/>
          <w:spacing w:val="-1"/>
        </w:rPr>
        <w:t>关的国家其</w:t>
      </w:r>
      <w:r>
        <w:rPr>
          <w:rFonts w:ascii="宋体" w:hAnsi="宋体" w:cs="宋体" w:eastAsia="宋体" w:hint="ascii"/>
          <w:sz w:val="21"/>
        </w:rPr>
        <w:t>他科技计划项目，应当在申请书正文的“研究基础与工作条件”部分论述申请项目与其他相关项目的区别与联系。</w:t>
      </w:r>
    </w:p>
    <w:p>
      <w:pPr>
        <w:autoSpaceDE w:val="0"/>
        <w:autoSpaceDN w:val="0"/>
        <w:jc w:val="left"/>
        <w:spacing w:before="647"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r>
        <w:rPr>
          <w:rFonts w:ascii="宋体" w:hAnsi="宋体" w:cs="宋体" w:eastAsia="宋体" w:hint="ascii"/>
        </w:rPr>
        <mc:AlternateContent>
          <mc:Choice Requires="wps">
            <w:drawing>
              <wp:anchor distL="0" distR="0" distT="0" distB="0" simplePos="0" behindDoc="1" relativeHeight="299" locked="0" layoutInCell="1" allowOverlap="1">
                <wp:simplePos x="0" y="0"/>
                <wp:positionH relativeFrom="page">
                  <wp:posOffset>938530</wp:posOffset>
                </wp:positionH>
                <wp:positionV relativeFrom="page">
                  <wp:posOffset>805815</wp:posOffset>
                </wp:positionV>
                <wp:extent cx="5076190" cy="0"/>
                <wp:wrapNone/>
                <wp:docPr id="1327" name="132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52064;width:399.70pt;" id="132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07" w:after="0" w:lineRule="exact" w:line="250"/>
        <w:ind w:right="0" w:left="1372" w:firstLine="0"/>
        <w:snapToGrid w:val="0"/>
        <w:textAlignment w:val="auto"/>
        <w:tabs/>
        <w:rPr>
          <w:rFonts w:ascii="宋体" w:hAnsi="宋体" w:cs="宋体" w:eastAsia="宋体" w:hint="ascii"/>
          <w:sz w:val="20"/>
        </w:rPr>
      </w:pPr>
      <w:r>
        <w:rPr>
          <w:rFonts w:ascii="宋体" w:hAnsi="宋体" w:cs="宋体" w:eastAsia="宋体" w:hint="ascii"/>
          <w:sz w:val="20"/>
        </w:rPr>
        <w:t>国家自然科学基金委员会计划局</w:t>
      </w:r>
    </w:p>
    <w:p>
      <w:pPr>
        <w:autoSpaceDE w:val="0"/>
        <w:autoSpaceDN w:val="0"/>
        <w:jc w:val="left"/>
        <w:spacing w:before="62" w:after="0" w:lineRule="exact" w:line="250"/>
        <w:ind w:right="0" w:left="1372" w:firstLine="0"/>
        <w:snapToGrid w:val="0"/>
        <w:textAlignment w:val="auto"/>
        <w:tabs/>
        <w:rPr>
          <w:rFonts w:ascii="宋体" w:hAnsi="宋体" w:cs="宋体" w:eastAsia="宋体" w:hint="ascii"/>
          <w:sz w:val="20"/>
        </w:rPr>
      </w:pPr>
      <w:r>
        <w:rPr>
          <w:rFonts w:ascii="宋体" w:hAnsi="宋体" w:cs="宋体" w:eastAsia="宋体" w:hint="ascii"/>
          <w:sz w:val="20"/>
        </w:rPr>
        <w:t>地</w:t>
      </w:r>
      <w:r>
        <w:rPr>
          <w:rFonts w:ascii="宋体" w:hAnsi="宋体" w:cs="宋体" w:eastAsia="宋体" w:hint="ascii"/>
          <w:sz w:val="20"/>
          <w:spacing w:val="150"/>
        </w:rPr>
        <w:t xml:space="preserve"> </w:t>
      </w:r>
      <w:r>
        <w:rPr>
          <w:rFonts w:ascii="宋体" w:hAnsi="宋体" w:cs="宋体" w:eastAsia="宋体" w:hint="ascii"/>
          <w:sz w:val="20"/>
        </w:rPr>
        <w:t>址：北京市海淀区双清</w:t>
      </w:r>
      <w:r>
        <w:rPr>
          <w:rFonts w:ascii="宋体" w:hAnsi="宋体" w:cs="宋体" w:eastAsia="宋体" w:hint="ascii"/>
          <w:sz w:val="20"/>
          <w:spacing w:val="25"/>
        </w:rPr>
        <w:t>路</w:t>
      </w:r>
      <w:r>
        <w:rPr>
          <w:rFonts w:ascii="Times New Roman" w:hAnsi="Times New Roman" w:cs="Times New Roman" w:eastAsia="Times New Roman" w:hint="ascii"/>
          <w:sz w:val="20"/>
        </w:rPr>
        <w:t>8</w:t>
      </w:r>
      <w:r>
        <w:rPr>
          <w:rFonts w:ascii="Times New Roman" w:hAnsi="Times New Roman" w:cs="Times New Roman" w:eastAsia="Times New Roman" w:hint="ascii"/>
          <w:sz w:val="20"/>
          <w:spacing w:val="50"/>
        </w:rPr>
        <w:t>3</w:t>
      </w:r>
      <w:r>
        <w:rPr>
          <w:rFonts w:ascii="宋体" w:hAnsi="宋体" w:cs="宋体" w:eastAsia="宋体" w:hint="ascii"/>
          <w:sz w:val="20"/>
        </w:rPr>
        <w:t>号</w:t>
      </w:r>
    </w:p>
    <w:p>
      <w:pPr>
        <w:autoSpaceDE w:val="0"/>
        <w:autoSpaceDN w:val="0"/>
        <w:jc w:val="left"/>
        <w:spacing w:before="62" w:after="0" w:lineRule="exact" w:line="250"/>
        <w:ind w:right="0" w:left="1372"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rPr>
        <w:t>邮</w:t>
      </w:r>
      <w:r>
        <w:rPr>
          <w:rFonts w:ascii="宋体" w:hAnsi="宋体" w:cs="宋体" w:eastAsia="宋体" w:hint="ascii"/>
          <w:sz w:val="20"/>
          <w:spacing w:val="150"/>
        </w:rPr>
        <w:t xml:space="preserve"> </w:t>
      </w:r>
      <w:r>
        <w:rPr>
          <w:rFonts w:ascii="宋体" w:hAnsi="宋体" w:cs="宋体" w:eastAsia="宋体" w:hint="ascii"/>
          <w:sz w:val="20"/>
        </w:rPr>
        <w:t>编：</w:t>
      </w:r>
      <w:r>
        <w:rPr>
          <w:rFonts w:ascii="Times New Roman" w:hAnsi="Times New Roman" w:cs="Times New Roman" w:eastAsia="Times New Roman" w:hint="ascii"/>
          <w:sz w:val="20"/>
        </w:rPr>
        <w:t>100085</w:t>
      </w:r>
    </w:p>
    <w:p>
      <w:pPr>
        <w:autoSpaceDE w:val="0"/>
        <w:autoSpaceDN w:val="0"/>
        <w:jc w:val="left"/>
        <w:spacing w:before="62" w:after="0" w:lineRule="exact" w:line="250"/>
        <w:ind w:right="0" w:left="1372" w:firstLine="0"/>
        <w:snapToGrid w:val="0"/>
        <w:textAlignment w:val="auto"/>
        <w:tabs/>
        <w:rPr>
          <w:rFonts w:ascii="宋体" w:hAnsi="宋体" w:cs="宋体" w:eastAsia="宋体" w:hint="ascii"/>
          <w:sz w:val="20"/>
        </w:rPr>
      </w:pPr>
      <w:r>
        <w:rPr>
          <w:rFonts w:ascii="宋体" w:hAnsi="宋体" w:cs="宋体" w:eastAsia="宋体" w:hint="ascii"/>
          <w:sz w:val="20"/>
        </w:rPr>
        <w:t>联 系 人：雷</w:t>
      </w:r>
      <w:r>
        <w:rPr>
          <w:rFonts w:ascii="宋体" w:hAnsi="宋体" w:cs="宋体" w:eastAsia="宋体" w:hint="ascii"/>
          <w:sz w:val="20"/>
          <w:spacing w:val="50"/>
        </w:rPr>
        <w:t xml:space="preserve"> </w:t>
      </w:r>
      <w:r>
        <w:rPr>
          <w:rFonts w:ascii="宋体" w:hAnsi="宋体" w:cs="宋体" w:eastAsia="宋体" w:hint="ascii"/>
          <w:sz w:val="20"/>
        </w:rPr>
        <w:t>蓉</w:t>
      </w:r>
      <w:r>
        <w:rPr>
          <w:rFonts w:ascii="宋体" w:hAnsi="宋体" w:cs="宋体" w:eastAsia="宋体" w:hint="ascii"/>
          <w:sz w:val="20"/>
          <w:spacing w:val="50"/>
        </w:rPr>
        <w:t xml:space="preserve"> </w:t>
      </w:r>
      <w:r>
        <w:rPr>
          <w:rFonts w:ascii="宋体" w:hAnsi="宋体" w:cs="宋体" w:eastAsia="宋体" w:hint="ascii"/>
          <w:sz w:val="20"/>
        </w:rPr>
        <w:t>王</w:t>
      </w:r>
      <w:r>
        <w:rPr>
          <w:rFonts w:ascii="宋体" w:hAnsi="宋体" w:cs="宋体" w:eastAsia="宋体" w:hint="ascii"/>
          <w:sz w:val="20"/>
          <w:spacing w:val="50"/>
        </w:rPr>
        <w:t xml:space="preserve"> </w:t>
      </w:r>
      <w:r>
        <w:rPr>
          <w:rFonts w:ascii="宋体" w:hAnsi="宋体" w:cs="宋体" w:eastAsia="宋体" w:hint="ascii"/>
          <w:sz w:val="20"/>
        </w:rPr>
        <w:t>岩</w:t>
      </w:r>
    </w:p>
    <w:p>
      <w:pPr>
        <w:autoSpaceDE w:val="0"/>
        <w:autoSpaceDN w:val="0"/>
        <w:jc w:val="both"/>
        <w:spacing w:before="12" w:after="0" w:lineRule="exact" w:line="312"/>
        <w:ind w:right="0" w:left="1372"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spacing w:val="-2"/>
        </w:rPr>
        <w:t>电</w:t>
      </w:r>
      <w:r>
        <w:rPr>
          <w:rFonts w:ascii="宋体" w:hAnsi="宋体" w:cs="宋体" w:eastAsia="宋体" w:hint="ascii"/>
          <w:sz w:val="20"/>
          <w:spacing w:val="148"/>
        </w:rPr>
        <w:t xml:space="preserve"> </w:t>
      </w:r>
      <w:r>
        <w:rPr>
          <w:rFonts w:ascii="宋体" w:hAnsi="宋体" w:cs="宋体" w:eastAsia="宋体" w:hint="ascii"/>
          <w:sz w:val="20"/>
          <w:spacing w:val="-2"/>
        </w:rPr>
        <w:t>话：</w:t>
      </w:r>
      <w:r>
        <w:rPr>
          <w:rFonts w:ascii="Times New Roman" w:hAnsi="Times New Roman" w:cs="Times New Roman" w:eastAsia="Times New Roman" w:hint="ascii"/>
          <w:sz w:val="20"/>
          <w:spacing w:val="-2"/>
        </w:rPr>
        <w:t>010</w:t>
      </w:r>
      <w:r>
        <w:rPr>
          <w:rFonts w:ascii="宋体" w:hAnsi="宋体" w:cs="宋体" w:eastAsia="宋体" w:hint="ascii"/>
          <w:sz w:val="20"/>
          <w:spacing w:val="-2"/>
        </w:rPr>
        <w:t>-</w:t>
      </w:r>
      <w:r>
        <w:rPr>
          <w:rFonts w:ascii="Times New Roman" w:hAnsi="Times New Roman" w:cs="Times New Roman" w:eastAsia="Times New Roman" w:hint="ascii"/>
          <w:sz w:val="20"/>
          <w:spacing w:val="-2"/>
        </w:rPr>
        <w:t>62328484</w:t>
      </w:r>
      <w:r>
        <w:rPr>
          <w:rFonts w:ascii="宋体" w:hAnsi="宋体" w:cs="宋体" w:eastAsia="宋体" w:hint="ascii"/>
          <w:sz w:val="20"/>
          <w:spacing w:val="-2"/>
        </w:rPr>
        <w:t>，</w:t>
      </w:r>
      <w:r>
        <w:rPr>
          <w:rFonts w:ascii="Times New Roman" w:hAnsi="Times New Roman" w:cs="Times New Roman" w:eastAsia="Times New Roman" w:hint="ascii"/>
          <w:sz w:val="20"/>
          <w:spacing w:val="-2"/>
        </w:rPr>
        <w:t>010</w:t>
      </w:r>
      <w:r>
        <w:rPr>
          <w:rFonts w:ascii="宋体" w:hAnsi="宋体" w:cs="宋体" w:eastAsia="宋体" w:hint="ascii"/>
          <w:sz w:val="20"/>
          <w:spacing w:val="-2"/>
        </w:rPr>
        <w:t>-</w:t>
      </w:r>
      <w:r>
        <w:rPr>
          <w:rFonts w:ascii="Times New Roman" w:hAnsi="Times New Roman" w:cs="Times New Roman" w:eastAsia="Times New Roman" w:hint="ascii"/>
          <w:sz w:val="20"/>
          <w:spacing w:val="-2"/>
        </w:rPr>
        <w:t>6</w:t>
      </w:r>
      <w:r>
        <w:rPr>
          <w:rFonts w:ascii="Times New Roman" w:hAnsi="Times New Roman" w:cs="Times New Roman" w:eastAsia="Times New Roman" w:hint="ascii"/>
          <w:sz w:val="20"/>
          <w:spacing w:val="-1"/>
        </w:rPr>
        <w:t>2327015</w:t>
      </w:r>
      <w:r>
        <w:rPr>
          <w:rFonts w:ascii="Times New Roman" w:hAnsi="Times New Roman" w:cs="Times New Roman" w:eastAsia="Times New Roman" w:hint="ascii"/>
          <w:sz w:val="20"/>
        </w:rPr>
        <w:t xml:space="preserve"> </w:t>
      </w:r>
      <w:r>
        <w:rPr>
          <w:rFonts w:ascii="宋体" w:hAnsi="宋体" w:cs="宋体" w:eastAsia="宋体" w:hint="ascii"/>
          <w:sz w:val="20"/>
        </w:rPr>
        <w:t>电子邮件：</w:t>
      </w:r>
      <w:r>
        <w:rPr>
          <w:rFonts w:ascii="Times New Roman" w:hAnsi="Times New Roman" w:cs="Times New Roman" w:eastAsia="Times New Roman" w:hint="ascii"/>
          <w:sz w:val="20"/>
        </w:rPr>
        <w:t>leirong@nsfc.go</w:t>
      </w:r>
      <w:r>
        <w:rPr>
          <w:rFonts w:ascii="Times New Roman" w:hAnsi="Times New Roman" w:cs="Times New Roman" w:eastAsia="Times New Roman" w:hint="ascii"/>
          <w:sz w:val="20"/>
          <w:spacing w:val="-14"/>
        </w:rPr>
        <w:t>v</w:t>
      </w:r>
      <w:r>
        <w:rPr>
          <w:rFonts w:ascii="Times New Roman" w:hAnsi="Times New Roman" w:cs="Times New Roman" w:eastAsia="Times New Roman" w:hint="ascii"/>
          <w:sz w:val="20"/>
        </w:rPr>
        <w:t>.cn</w:t>
      </w:r>
    </w:p>
    <w:p>
      <w:pPr>
        <w:autoSpaceDE w:val="0"/>
        <w:autoSpaceDN w:val="0"/>
        <w:jc w:val="left"/>
        <w:spacing w:before="63" w:after="0" w:lineRule="auto" w:line="240"/>
        <w:ind w:right="0" w:left="2372" w:firstLine="0"/>
        <w:snapToGrid w:val="0"/>
        <w:textAlignment w:val="auto"/>
        <w:tabs/>
        <w:rPr>
          <w:rFonts w:ascii="Times New Roman" w:hAnsi="Times New Roman" w:cs="Times New Roman" w:eastAsia="Times New Roman" w:hint="ascii"/>
          <w:sz w:val="20"/>
        </w:rPr>
      </w:pPr>
      <w:r>
        <w:rPr>
          <w:rFonts w:ascii="Times New Roman" w:hAnsi="Times New Roman" w:cs="Times New Roman" w:eastAsia="Times New Roman" w:hint="ascii"/>
          <w:sz w:val="20"/>
        </w:rPr>
        <w:t>wangyan@nsfc.go</w:t>
      </w:r>
      <w:r>
        <w:rPr>
          <w:rFonts w:ascii="Times New Roman" w:hAnsi="Times New Roman" w:cs="Times New Roman" w:eastAsia="Times New Roman" w:hint="ascii"/>
          <w:sz w:val="20"/>
          <w:spacing w:val="-12"/>
        </w:rPr>
        <w:t>v</w:t>
      </w:r>
      <w:r>
        <w:rPr>
          <w:rFonts w:ascii="Times New Roman" w:hAnsi="Times New Roman" w:cs="Times New Roman" w:eastAsia="Times New Roman" w:hint="ascii"/>
          <w:sz w:val="20"/>
        </w:rPr>
        <w:t>.cn</w:t>
      </w:r>
    </w:p>
    <w:p>
      <w:pPr>
        <w:autoSpaceDE w:val="0"/>
        <w:autoSpaceDN w:val="0"/>
        <w:jc w:val="left"/>
        <w:spacing w:before="955" w:after="0" w:lineRule="exact" w:line="250"/>
        <w:ind w:right="0" w:left="0" w:firstLine="0"/>
        <w:snapToGrid w:val="0"/>
        <w:textAlignment w:val="auto"/>
        <w:tabs/>
        <w:rPr>
          <w:rFonts w:ascii="宋体" w:hAnsi="宋体" w:cs="宋体" w:eastAsia="宋体" w:hint="ascii"/>
          <w:sz w:val="20"/>
        </w:rPr>
      </w:pPr>
      <w:r>
        <w:rPr>
          <w:rFonts w:ascii="Times New Roman" w:hAnsi="Times New Roman" w:cs="Times New Roman" w:eastAsia="Times New Roman" w:hint="ascii"/>
          <w:sz w:val="20"/>
        </w:rPr>
        <w:br w:type="column"/>
      </w:r>
      <w:r>
        <w:rPr>
          <w:rFonts w:ascii="宋体" w:hAnsi="宋体" w:cs="宋体" w:eastAsia="宋体" w:hint="ascii"/>
          <w:sz w:val="20"/>
        </w:rPr>
        <w:t>新疆维吾尔自治区科技厅</w:t>
      </w:r>
    </w:p>
    <w:p>
      <w:pPr>
        <w:autoSpaceDE w:val="0"/>
        <w:autoSpaceDN w:val="0"/>
        <w:jc w:val="left"/>
        <w:spacing w:before="62" w:after="0" w:lineRule="exact" w:line="250"/>
        <w:ind w:right="0" w:left="0" w:firstLine="0"/>
        <w:snapToGrid w:val="0"/>
        <w:textAlignment w:val="auto"/>
        <w:tabs/>
        <w:rPr>
          <w:rFonts w:ascii="宋体" w:hAnsi="宋体" w:cs="宋体" w:eastAsia="宋体" w:hint="ascii"/>
          <w:sz w:val="20"/>
        </w:rPr>
      </w:pPr>
      <w:r>
        <w:rPr>
          <w:rFonts w:ascii="宋体" w:hAnsi="宋体" w:cs="宋体" w:eastAsia="宋体" w:hint="ascii"/>
          <w:sz w:val="20"/>
        </w:rPr>
        <w:t>地</w:t>
      </w:r>
      <w:r>
        <w:rPr>
          <w:rFonts w:ascii="宋体" w:hAnsi="宋体" w:cs="宋体" w:eastAsia="宋体" w:hint="ascii"/>
          <w:sz w:val="20"/>
          <w:spacing w:val="151"/>
        </w:rPr>
        <w:t xml:space="preserve"> </w:t>
      </w:r>
      <w:r>
        <w:rPr>
          <w:rFonts w:ascii="宋体" w:hAnsi="宋体" w:cs="宋体" w:eastAsia="宋体" w:hint="ascii"/>
          <w:sz w:val="20"/>
        </w:rPr>
        <w:t>址：乌鲁木齐市北京南</w:t>
      </w:r>
      <w:r>
        <w:rPr>
          <w:rFonts w:ascii="宋体" w:hAnsi="宋体" w:cs="宋体" w:eastAsia="宋体" w:hint="ascii"/>
          <w:sz w:val="20"/>
          <w:spacing w:val="25"/>
        </w:rPr>
        <w:t>路</w:t>
      </w:r>
      <w:r>
        <w:rPr>
          <w:rFonts w:ascii="Times New Roman" w:hAnsi="Times New Roman" w:cs="Times New Roman" w:eastAsia="Times New Roman" w:hint="ascii"/>
          <w:sz w:val="20"/>
        </w:rPr>
        <w:t>4</w:t>
      </w:r>
      <w:r>
        <w:rPr>
          <w:rFonts w:ascii="Times New Roman" w:hAnsi="Times New Roman" w:cs="Times New Roman" w:eastAsia="Times New Roman" w:hint="ascii"/>
          <w:sz w:val="20"/>
          <w:spacing w:val="50"/>
        </w:rPr>
        <w:t>0</w:t>
      </w:r>
      <w:r>
        <w:rPr>
          <w:rFonts w:ascii="宋体" w:hAnsi="宋体" w:cs="宋体" w:eastAsia="宋体" w:hint="ascii"/>
          <w:sz w:val="20"/>
        </w:rPr>
        <w:t>号</w:t>
      </w:r>
      <w:r>
        <w:rPr>
          <w:rFonts w:ascii="宋体" w:hAnsi="宋体" w:cs="宋体" w:eastAsia="宋体" w:hint="ascii"/>
          <w:sz w:val="20"/>
          <w:spacing w:val="25"/>
        </w:rPr>
        <w:t>附</w:t>
      </w:r>
      <w:r>
        <w:rPr>
          <w:rFonts w:ascii="Times New Roman" w:hAnsi="Times New Roman" w:cs="Times New Roman" w:eastAsia="Times New Roman" w:hint="ascii"/>
          <w:sz w:val="20"/>
          <w:spacing w:val="50"/>
        </w:rPr>
        <w:t>7</w:t>
      </w:r>
      <w:r>
        <w:rPr>
          <w:rFonts w:ascii="宋体" w:hAnsi="宋体" w:cs="宋体" w:eastAsia="宋体" w:hint="ascii"/>
          <w:sz w:val="20"/>
        </w:rPr>
        <w:t>号</w:t>
      </w:r>
    </w:p>
    <w:p>
      <w:pPr>
        <w:autoSpaceDE w:val="0"/>
        <w:autoSpaceDN w:val="0"/>
        <w:jc w:val="left"/>
        <w:spacing w:before="62" w:after="0" w:lineRule="exact" w:line="250"/>
        <w:ind w:right="0" w:left="0"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rPr>
        <w:t>邮</w:t>
      </w:r>
      <w:r>
        <w:rPr>
          <w:rFonts w:ascii="宋体" w:hAnsi="宋体" w:cs="宋体" w:eastAsia="宋体" w:hint="ascii"/>
          <w:sz w:val="20"/>
          <w:spacing w:val="151"/>
        </w:rPr>
        <w:t xml:space="preserve"> </w:t>
      </w:r>
      <w:r>
        <w:rPr>
          <w:rFonts w:ascii="宋体" w:hAnsi="宋体" w:cs="宋体" w:eastAsia="宋体" w:hint="ascii"/>
          <w:sz w:val="20"/>
        </w:rPr>
        <w:t>编：</w:t>
      </w:r>
      <w:r>
        <w:rPr>
          <w:rFonts w:ascii="Times New Roman" w:hAnsi="Times New Roman" w:cs="Times New Roman" w:eastAsia="Times New Roman" w:hint="ascii"/>
          <w:sz w:val="20"/>
        </w:rPr>
        <w:t>8300</w:t>
      </w:r>
      <w:r>
        <w:rPr>
          <w:rFonts w:ascii="Times New Roman" w:hAnsi="Times New Roman" w:cs="Times New Roman" w:eastAsia="Times New Roman" w:hint="ascii"/>
          <w:sz w:val="20"/>
          <w:spacing w:val="-8"/>
        </w:rPr>
        <w:t>1</w:t>
      </w:r>
      <w:r>
        <w:rPr>
          <w:rFonts w:ascii="Times New Roman" w:hAnsi="Times New Roman" w:cs="Times New Roman" w:eastAsia="Times New Roman" w:hint="ascii"/>
          <w:sz w:val="20"/>
        </w:rPr>
        <w:t>1</w:t>
      </w:r>
    </w:p>
    <w:p>
      <w:pPr>
        <w:autoSpaceDE w:val="0"/>
        <w:autoSpaceDN w:val="0"/>
        <w:jc w:val="left"/>
        <w:spacing w:before="62" w:after="0" w:lineRule="exact" w:line="250"/>
        <w:ind w:right="0" w:left="0" w:firstLine="0"/>
        <w:snapToGrid w:val="0"/>
        <w:textAlignment w:val="auto"/>
        <w:tabs/>
        <w:rPr>
          <w:rFonts w:ascii="宋体" w:hAnsi="宋体" w:cs="宋体" w:eastAsia="宋体" w:hint="ascii"/>
          <w:sz w:val="20"/>
        </w:rPr>
      </w:pPr>
      <w:r>
        <w:rPr>
          <w:rFonts w:ascii="宋体" w:hAnsi="宋体" w:cs="宋体" w:eastAsia="宋体" w:hint="ascii"/>
          <w:sz w:val="20"/>
        </w:rPr>
        <w:t>联 系 人：宋春红</w:t>
      </w:r>
    </w:p>
    <w:p>
      <w:pPr>
        <w:autoSpaceDE w:val="0"/>
        <w:autoSpaceDN w:val="0"/>
        <w:jc w:val="left"/>
        <w:spacing w:before="62" w:after="0" w:lineRule="exact" w:line="250"/>
        <w:ind w:right="0" w:left="0"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rPr>
        <w:t>电</w:t>
      </w:r>
      <w:r>
        <w:rPr>
          <w:rFonts w:ascii="宋体" w:hAnsi="宋体" w:cs="宋体" w:eastAsia="宋体" w:hint="ascii"/>
          <w:sz w:val="20"/>
          <w:spacing w:val="151"/>
        </w:rPr>
        <w:t xml:space="preserve"> </w:t>
      </w:r>
      <w:r>
        <w:rPr>
          <w:rFonts w:ascii="宋体" w:hAnsi="宋体" w:cs="宋体" w:eastAsia="宋体" w:hint="ascii"/>
          <w:sz w:val="20"/>
        </w:rPr>
        <w:t>话：</w:t>
      </w:r>
      <w:r>
        <w:rPr>
          <w:rFonts w:ascii="Times New Roman" w:hAnsi="Times New Roman" w:cs="Times New Roman" w:eastAsia="Times New Roman" w:hint="ascii"/>
          <w:sz w:val="20"/>
        </w:rPr>
        <w:t>0991</w:t>
      </w:r>
      <w:r>
        <w:rPr>
          <w:rFonts w:ascii="宋体" w:hAnsi="宋体" w:cs="宋体" w:eastAsia="宋体" w:hint="ascii"/>
          <w:sz w:val="20"/>
        </w:rPr>
        <w:t>-</w:t>
      </w:r>
      <w:r>
        <w:rPr>
          <w:rFonts w:ascii="Times New Roman" w:hAnsi="Times New Roman" w:cs="Times New Roman" w:eastAsia="Times New Roman" w:hint="ascii"/>
          <w:sz w:val="20"/>
        </w:rPr>
        <w:t>3839326</w:t>
      </w:r>
    </w:p>
    <w:p>
      <w:pPr>
        <w:autoSpaceDE w:val="0"/>
        <w:autoSpaceDN w:val="0"/>
        <w:jc w:val="left"/>
        <w:spacing w:before="62" w:after="0" w:lineRule="exact" w:line="250"/>
        <w:ind w:right="0" w:left="0" w:firstLine="0"/>
        <w:snapToGrid w:val="0"/>
        <w:textAlignment w:val="auto"/>
        <w:tabs/>
        <w:sectPr>
          <w:type w:val="continuous"/>
          <w:pgSz w:w="10940" w:h="15080" w:orient="portrait"/>
          <w:pgMar w:top="508" w:right="508" w:bottom="508" w:left="508" w:header="0" w:footer="0" w:gutter="0"/>
          <w:cols w:num="2" w:space="0" w:equalWidth="0">
            <w:col w:w="4972" w:space="208"/>
            <w:col w:w="474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0"/>
        </w:rPr>
      </w:pPr>
      <w:r>
        <w:rPr>
          <w:rFonts w:ascii="宋体" w:hAnsi="宋体" w:cs="宋体" w:eastAsia="宋体" w:hint="ascii"/>
          <w:sz w:val="20"/>
        </w:rPr>
        <w:t>电子邮件：</w:t>
      </w:r>
      <w:r>
        <w:rPr>
          <w:rFonts w:ascii="Times New Roman" w:hAnsi="Times New Roman" w:cs="Times New Roman" w:eastAsia="Times New Roman" w:hint="ascii"/>
          <w:sz w:val="20"/>
        </w:rPr>
        <w:t>602809213@qq.com</w:t>
      </w:r>
      <w:rPr>
        <w:rFonts w:ascii="Times New Roman" w:hAnsi="Times New Roman" w:cs="Times New Roman" w:eastAsia="Times New Roman" w:hint="ascii"/>
        <w:sz w:val="20"/>
      </w:rPr>
    </w:p>
    <w:p>
      <w:pPr>
        <w:autoSpaceDE w:val="0"/>
        <w:autoSpaceDN w:val="0"/>
        <w:jc w:val="left"/>
        <w:spacing w:before="491" w:after="0" w:lineRule="auto" w:line="240"/>
        <w:ind w:right="0" w:left="3210"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position w:val="2"/>
          <w:spacing w:val="31"/>
        </w:rPr>
        <w:t>-</w:t>
      </w:r>
      <w:r>
        <w:rPr>
          <w:rFonts w:ascii="宋体" w:hAnsi="宋体" w:cs="宋体" w:eastAsia="宋体" w:hint="ascii"/>
          <w:sz w:val="38"/>
        </w:rPr>
        <w:t>河南联合基金</w:t>
      </w:r>
    </w:p>
    <w:p>
      <w:pPr>
        <w:autoSpaceDE w:val="0"/>
        <w:autoSpaceDN w:val="0"/>
        <w:jc w:val="left"/>
        <w:spacing w:before="33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国家自然科学基金委员会与河南省人民政府</w:t>
      </w:r>
      <w:r>
        <w:rPr>
          <w:rFonts w:ascii="宋体" w:hAnsi="宋体" w:cs="宋体" w:eastAsia="宋体" w:hint="ascii"/>
          <w:sz w:val="21"/>
          <w:spacing w:val="26"/>
        </w:rPr>
        <w:t>自</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6</w:t>
      </w:r>
      <w:r>
        <w:rPr>
          <w:rFonts w:ascii="宋体" w:hAnsi="宋体" w:cs="宋体" w:eastAsia="宋体" w:hint="ascii"/>
          <w:sz w:val="21"/>
        </w:rPr>
        <w:t>年</w:t>
      </w:r>
      <w:r>
        <w:rPr>
          <w:rFonts w:ascii="宋体" w:hAnsi="宋体" w:cs="宋体" w:eastAsia="宋体" w:hint="ascii"/>
          <w:sz w:val="21"/>
          <w:spacing w:val="27"/>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0</w:t>
      </w:r>
      <w:r>
        <w:rPr>
          <w:rFonts w:ascii="宋体" w:hAnsi="宋体" w:cs="宋体" w:eastAsia="宋体" w:hint="ascii"/>
          <w:sz w:val="21"/>
        </w:rPr>
        <w:t>年共同设立第二期联</w:t>
      </w:r>
    </w:p>
    <w:p>
      <w:pPr>
        <w:autoSpaceDE w:val="0"/>
        <w:autoSpaceDN w:val="0"/>
        <w:jc w:val="both"/>
        <w:spacing w:before="12" w:after="0" w:lineRule="exact" w:line="320"/>
        <w:ind w:right="975" w:left="966" w:firstLine="0"/>
        <w:snapToGrid w:val="0"/>
        <w:textAlignment w:val="auto"/>
        <w:tabs/>
        <w:rPr>
          <w:rFonts w:ascii="宋体" w:hAnsi="宋体" w:cs="宋体" w:eastAsia="宋体" w:hint="ascii"/>
          <w:sz w:val="21"/>
        </w:rPr>
      </w:pPr>
      <w:r>
        <w:rPr>
          <w:rFonts w:ascii="宋体" w:hAnsi="宋体" w:cs="宋体" w:eastAsia="宋体" w:hint="ascii"/>
          <w:sz w:val="21"/>
        </w:rPr>
        <w:t>合基金（</w:t>
      </w:r>
      <w:r>
        <w:rPr>
          <w:rFonts w:ascii="宋体" w:hAnsi="宋体" w:cs="宋体" w:eastAsia="宋体" w:hint="ascii"/>
          <w:sz w:val="21"/>
          <w:spacing w:val="-7"/>
        </w:rPr>
        <w:t>以</w:t>
      </w:r>
      <w:r>
        <w:rPr>
          <w:rFonts w:ascii="宋体" w:hAnsi="宋体" w:cs="宋体" w:eastAsia="宋体" w:hint="ascii"/>
          <w:sz w:val="21"/>
        </w:rPr>
        <w:t xml:space="preserve">下简称 </w:t>
      </w:r>
      <w:r>
        <w:rPr>
          <w:rFonts w:ascii="Times New Roman" w:hAnsi="Times New Roman" w:cs="Times New Roman" w:eastAsia="Times New Roman" w:hint="ascii"/>
          <w:sz w:val="21"/>
        </w:rPr>
        <w:t>NSFC-</w:t>
      </w:r>
      <w:r>
        <w:rPr>
          <w:rFonts w:ascii="宋体" w:hAnsi="宋体" w:cs="宋体" w:eastAsia="宋体" w:hint="ascii"/>
          <w:sz w:val="21"/>
        </w:rPr>
        <w:t>河南联合基金</w:t>
      </w:r>
      <w:r>
        <w:rPr>
          <w:rFonts w:ascii="宋体" w:hAnsi="宋体" w:cs="宋体" w:eastAsia="宋体" w:hint="ascii"/>
          <w:sz w:val="21"/>
          <w:spacing w:val="-53"/>
        </w:rPr>
        <w:t>）</w:t>
      </w:r>
      <w:r>
        <w:rPr>
          <w:rFonts w:ascii="宋体" w:hAnsi="宋体" w:cs="宋体" w:eastAsia="宋体" w:hint="ascii"/>
          <w:sz w:val="21"/>
        </w:rPr>
        <w:t>，旨在发挥国家自然科学基金的导向作用，吸</w:t>
      </w:r>
      <w:r>
        <w:rPr>
          <w:rFonts w:ascii="宋体" w:hAnsi="宋体" w:cs="宋体" w:eastAsia="宋体" w:hint="ascii"/>
          <w:sz w:val="21"/>
          <w:spacing w:val="-1"/>
        </w:rPr>
        <w:t>引和汇聚</w:t>
      </w:r>
      <w:r>
        <w:rPr>
          <w:rFonts w:ascii="宋体" w:hAnsi="宋体" w:cs="宋体" w:eastAsia="宋体" w:hint="ascii"/>
          <w:sz w:val="21"/>
        </w:rPr>
        <w:t>全国各地优秀科学家，解决河南省及周边区域经济、社会、科技战略发展的重</w:t>
      </w:r>
      <w:r>
        <w:rPr>
          <w:rFonts w:ascii="宋体" w:hAnsi="宋体" w:cs="宋体" w:eastAsia="宋体" w:hint="ascii"/>
          <w:sz w:val="21"/>
          <w:spacing w:val="-1"/>
        </w:rPr>
        <w:t>大科学问</w:t>
      </w:r>
      <w:r>
        <w:rPr>
          <w:rFonts w:ascii="宋体" w:hAnsi="宋体" w:cs="宋体" w:eastAsia="宋体" w:hint="ascii"/>
          <w:sz w:val="21"/>
        </w:rPr>
        <w:t>题和关键技术问题，为河南地区吸引、培养和集聚一批一流的科技人才，逐步提升河南地区高等院校和科研院所的科技创新能力，推动河南经济社会可持续发展。</w:t>
      </w:r>
    </w:p>
    <w:p>
      <w:pPr>
        <w:autoSpaceDE w:val="0"/>
        <w:autoSpaceDN w:val="0"/>
        <w:jc w:val="left"/>
        <w:spacing w:before="45"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Times New Roman" w:hAnsi="Times New Roman" w:cs="Times New Roman" w:eastAsia="Times New Roman" w:hint="ascii"/>
          <w:sz w:val="21"/>
          <w:spacing w:val="5"/>
        </w:rPr>
        <w:t>-</w:t>
      </w:r>
      <w:r>
        <w:rPr>
          <w:rFonts w:ascii="宋体" w:hAnsi="宋体" w:cs="宋体" w:eastAsia="宋体" w:hint="ascii"/>
          <w:sz w:val="21"/>
        </w:rPr>
        <w:t>河南联合基金</w:t>
      </w:r>
      <w:r>
        <w:rPr>
          <w:rFonts w:ascii="宋体" w:hAnsi="宋体" w:cs="宋体" w:eastAsia="宋体" w:hint="ascii"/>
          <w:sz w:val="21"/>
          <w:spacing w:val="-24"/>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24"/>
        </w:rPr>
        <w:t xml:space="preserve"> </w:t>
      </w:r>
      <w:r>
        <w:rPr>
          <w:rFonts w:ascii="宋体" w:hAnsi="宋体" w:cs="宋体" w:eastAsia="宋体" w:hint="ascii"/>
          <w:sz w:val="21"/>
        </w:rPr>
        <w:t>年度接收以下</w:t>
      </w:r>
      <w:r>
        <w:rPr>
          <w:rFonts w:ascii="宋体" w:hAnsi="宋体" w:cs="宋体" w:eastAsia="宋体" w:hint="ascii"/>
          <w:sz w:val="21"/>
          <w:spacing w:val="-24"/>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5"/>
        </w:rPr>
        <w:t xml:space="preserve"> </w:t>
      </w:r>
      <w:r>
        <w:rPr>
          <w:rFonts w:ascii="宋体" w:hAnsi="宋体" w:cs="宋体" w:eastAsia="宋体" w:hint="ascii"/>
          <w:sz w:val="21"/>
        </w:rPr>
        <w:t>个研究领域的培育项目和重点支持项目</w:t>
      </w:r>
    </w:p>
    <w:p>
      <w:pPr>
        <w:autoSpaceDE w:val="0"/>
        <w:autoSpaceDN w:val="0"/>
        <w:jc w:val="both"/>
        <w:spacing w:before="17" w:after="0" w:lineRule="exact" w:line="320"/>
        <w:ind w:right="975" w:left="966" w:firstLine="0"/>
        <w:snapToGrid w:val="0"/>
        <w:textAlignment w:val="auto"/>
        <w:tabs/>
        <w:rPr>
          <w:rFonts w:ascii="宋体" w:hAnsi="宋体" w:cs="宋体" w:eastAsia="宋体" w:hint="ascii"/>
          <w:sz w:val="21"/>
        </w:rPr>
      </w:pPr>
      <w:r>
        <w:rPr>
          <w:rFonts w:ascii="宋体" w:hAnsi="宋体" w:cs="宋体" w:eastAsia="宋体" w:hint="ascii"/>
          <w:sz w:val="21"/>
        </w:rPr>
        <w:t>申请。其中培育项目直接费用平均资助强度为</w:t>
      </w:r>
      <w:r>
        <w:rPr>
          <w:rFonts w:ascii="宋体" w:hAnsi="宋体" w:cs="宋体" w:eastAsia="宋体" w:hint="ascii"/>
          <w:sz w:val="21"/>
          <w:spacing w:val="-26"/>
        </w:rPr>
        <w:t xml:space="preserve"> </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53"/>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53"/>
        </w:rPr>
        <w:t>3</w:t>
      </w:r>
      <w:r>
        <w:rPr>
          <w:rFonts w:ascii="宋体" w:hAnsi="宋体" w:cs="宋体" w:eastAsia="宋体" w:hint="ascii"/>
          <w:sz w:val="21"/>
        </w:rPr>
        <w:t>年；重点支持项目直接费用平均资助强度为</w:t>
      </w:r>
      <w:r>
        <w:rPr>
          <w:rFonts w:ascii="宋体" w:hAnsi="宋体" w:cs="宋体" w:eastAsia="宋体" w:hint="ascii"/>
          <w:sz w:val="21"/>
          <w:spacing w:val="-26"/>
        </w:rPr>
        <w:t xml:space="preserve"> </w:t>
      </w:r>
      <w:r>
        <w:rPr>
          <w:rFonts w:ascii="Times New Roman" w:hAnsi="Times New Roman" w:cs="Times New Roman" w:eastAsia="Times New Roman" w:hint="ascii"/>
          <w:sz w:val="21"/>
        </w:rPr>
        <w:t>220</w:t>
      </w:r>
      <w:r>
        <w:rPr>
          <w:rFonts w:ascii="Times New Roman" w:hAnsi="Times New Roman" w:cs="Times New Roman" w:eastAsia="Times New Roman" w:hint="ascii"/>
          <w:sz w:val="21"/>
          <w:spacing w:val="-2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26"/>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27"/>
        </w:rPr>
        <w:t xml:space="preserve"> </w:t>
      </w:r>
      <w:r>
        <w:rPr>
          <w:rFonts w:ascii="宋体" w:hAnsi="宋体" w:cs="宋体" w:eastAsia="宋体" w:hint="ascii"/>
          <w:sz w:val="21"/>
        </w:rPr>
        <w:t>年。欢迎全国符合条件的科学技术人员按照本《指南》范围和要求提出申请。</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一、生物与农业领域（申请代</w:t>
      </w:r>
      <w:r>
        <w:rPr>
          <w:rFonts w:ascii="宋体" w:hAnsi="宋体" w:cs="宋体" w:eastAsia="宋体" w:hint="ascii"/>
          <w:spacing w:val="30"/>
        </w:rPr>
        <w:t>码</w:t>
      </w:r>
      <w:r>
        <w:rPr>
          <w:rFonts w:ascii="宋体" w:hAnsi="宋体" w:cs="宋体" w:eastAsia="宋体" w:hint="ascii"/>
        </w:rPr>
        <w:t>1</w:t>
      </w:r>
      <w:r>
        <w:rPr>
          <w:rFonts w:ascii="宋体" w:hAnsi="宋体" w:cs="宋体" w:eastAsia="宋体" w:hint="ascii"/>
          <w:spacing w:val="-23"/>
        </w:rPr>
        <w:t xml:space="preserve"> </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3"/>
        </w:rPr>
        <w:t>L15</w:t>
      </w:r>
      <w:r>
        <w:rPr>
          <w:rFonts w:ascii="宋体" w:hAnsi="宋体" w:cs="宋体" w:eastAsia="宋体" w:hint="ascii"/>
        </w:rPr>
        <w:t>）</w:t>
      </w:r>
    </w:p>
    <w:p>
      <w:pPr>
        <w:autoSpaceDE w:val="0"/>
        <w:autoSpaceDN w:val="0"/>
        <w:jc w:val="left"/>
        <w:spacing w:before="198" w:after="0" w:lineRule="auto" w:line="240"/>
        <w:ind w:right="0" w:left="1649" w:hanging="263"/>
        <w:snapToGrid w:val="0"/>
        <w:textAlignment w:val="auto"/>
        <w:tabs>
          <w:tab w:val="left" w:leader="none" w:pos="1648"/>
        </w:tabs>
        <w:numPr>
          <w:ilvl w:val="0"/>
          <w:numId w:val="331"/>
        </w:numPr>
        <w:rPr>
          <w:rFonts w:ascii="Times New Roman" w:hAnsi="Times New Roman" w:cs="Times New Roman" w:eastAsia="Times New Roman" w:hint="ascii"/>
          <w:sz w:val="21"/>
        </w:rPr>
      </w:pPr>
      <w:r>
        <w:rPr>
          <w:rFonts w:ascii="宋体" w:hAnsi="宋体" w:cs="宋体" w:eastAsia="宋体" w:hint="ascii"/>
          <w:sz w:val="21"/>
        </w:rPr>
        <w:t>重点支持项目</w:t>
      </w:r>
    </w:p>
    <w:p>
      <w:pPr>
        <w:autoSpaceDE w:val="0"/>
        <w:autoSpaceDN w:val="0"/>
        <w:jc w:val="left"/>
        <w:spacing w:before="6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spacing w:val="3"/>
        </w:rPr>
        <w:t>以河</w:t>
      </w:r>
      <w:r>
        <w:rPr>
          <w:rFonts w:ascii="宋体" w:hAnsi="宋体" w:cs="宋体" w:eastAsia="宋体" w:hint="ascii"/>
          <w:sz w:val="21"/>
          <w:spacing w:val="4"/>
        </w:rPr>
        <w:t>南</w:t>
      </w:r>
      <w:r>
        <w:rPr>
          <w:rFonts w:ascii="宋体" w:hAnsi="宋体" w:cs="宋体" w:eastAsia="宋体" w:hint="ascii"/>
          <w:sz w:val="21"/>
          <w:spacing w:val="3"/>
        </w:rPr>
        <w:t>主要农林</w:t>
      </w:r>
      <w:r>
        <w:rPr>
          <w:rFonts w:ascii="宋体" w:hAnsi="宋体" w:cs="宋体" w:eastAsia="宋体" w:hint="ascii"/>
          <w:sz w:val="21"/>
          <w:spacing w:val="4"/>
        </w:rPr>
        <w:t>生</w:t>
      </w:r>
      <w:r>
        <w:rPr>
          <w:rFonts w:ascii="宋体" w:hAnsi="宋体" w:cs="宋体" w:eastAsia="宋体" w:hint="ascii"/>
          <w:sz w:val="21"/>
          <w:spacing w:val="3"/>
        </w:rPr>
        <w:t>物为研究</w:t>
      </w:r>
      <w:r>
        <w:rPr>
          <w:rFonts w:ascii="宋体" w:hAnsi="宋体" w:cs="宋体" w:eastAsia="宋体" w:hint="ascii"/>
          <w:sz w:val="21"/>
          <w:spacing w:val="4"/>
        </w:rPr>
        <w:t>对</w:t>
      </w:r>
      <w:r>
        <w:rPr>
          <w:rFonts w:ascii="宋体" w:hAnsi="宋体" w:cs="宋体" w:eastAsia="宋体" w:hint="ascii"/>
          <w:sz w:val="21"/>
          <w:spacing w:val="3"/>
        </w:rPr>
        <w:t>象，开展</w:t>
      </w:r>
      <w:r>
        <w:rPr>
          <w:rFonts w:ascii="宋体" w:hAnsi="宋体" w:cs="宋体" w:eastAsia="宋体" w:hint="ascii"/>
          <w:sz w:val="21"/>
          <w:spacing w:val="4"/>
        </w:rPr>
        <w:t>主</w:t>
      </w:r>
      <w:r>
        <w:rPr>
          <w:rFonts w:ascii="宋体" w:hAnsi="宋体" w:cs="宋体" w:eastAsia="宋体" w:hint="ascii"/>
          <w:sz w:val="21"/>
          <w:spacing w:val="3"/>
        </w:rPr>
        <w:t>要农作物</w:t>
      </w:r>
      <w:r>
        <w:rPr>
          <w:rFonts w:ascii="宋体" w:hAnsi="宋体" w:cs="宋体" w:eastAsia="宋体" w:hint="ascii"/>
          <w:sz w:val="21"/>
          <w:spacing w:val="4"/>
        </w:rPr>
        <w:t>虫</w:t>
      </w:r>
      <w:r>
        <w:rPr>
          <w:rFonts w:ascii="宋体" w:hAnsi="宋体" w:cs="宋体" w:eastAsia="宋体" w:hint="ascii"/>
          <w:sz w:val="21"/>
          <w:spacing w:val="3"/>
        </w:rPr>
        <w:t>害的成灾</w:t>
      </w:r>
      <w:r>
        <w:rPr>
          <w:rFonts w:ascii="宋体" w:hAnsi="宋体" w:cs="宋体" w:eastAsia="宋体" w:hint="ascii"/>
          <w:sz w:val="21"/>
          <w:spacing w:val="4"/>
        </w:rPr>
        <w:t>机</w:t>
      </w:r>
      <w:r>
        <w:rPr>
          <w:rFonts w:ascii="宋体" w:hAnsi="宋体" w:cs="宋体" w:eastAsia="宋体" w:hint="ascii"/>
          <w:sz w:val="21"/>
          <w:spacing w:val="3"/>
        </w:rPr>
        <w:t>理及控制</w:t>
      </w:r>
      <w:r>
        <w:rPr>
          <w:rFonts w:ascii="宋体" w:hAnsi="宋体" w:cs="宋体" w:eastAsia="宋体" w:hint="ascii"/>
          <w:sz w:val="21"/>
          <w:spacing w:val="4"/>
        </w:rPr>
        <w:t>、</w:t>
      </w:r>
      <w:r>
        <w:rPr>
          <w:rFonts w:ascii="宋体" w:hAnsi="宋体" w:cs="宋体" w:eastAsia="宋体" w:hint="ascii"/>
          <w:sz w:val="21"/>
          <w:spacing w:val="3"/>
        </w:rPr>
        <w:t>小</w:t>
      </w:r>
      <w:r>
        <w:rPr>
          <w:rFonts w:ascii="宋体" w:hAnsi="宋体" w:cs="宋体" w:eastAsia="宋体" w:hint="ascii"/>
          <w:sz w:val="21"/>
        </w:rPr>
        <w:t>麦</w:t>
      </w:r>
    </w:p>
    <w:p>
      <w:pPr>
        <w:autoSpaceDE w:val="0"/>
        <w:autoSpaceDN w:val="0"/>
        <w:jc w:val="left"/>
        <w:spacing w:before="57" w:after="0" w:lineRule="exact" w:line="263"/>
        <w:ind w:right="0" w:left="861" w:firstLine="0"/>
        <w:snapToGrid w:val="0"/>
        <w:textAlignment w:val="auto"/>
        <w:tabs/>
        <w:rPr>
          <w:rFonts w:ascii="宋体" w:hAnsi="宋体" w:cs="宋体" w:eastAsia="宋体" w:hint="ascii"/>
          <w:sz w:val="21"/>
        </w:rPr>
      </w:pPr>
      <w:r>
        <w:rPr>
          <w:rFonts w:ascii="宋体" w:hAnsi="宋体" w:cs="宋体" w:eastAsia="宋体" w:hint="ascii"/>
          <w:sz w:val="21"/>
        </w:rPr>
        <w:t>“小作物”等作物性状调控、林木病虫害、特色生物类种进化及适应机制等方面的基础</w:t>
      </w:r>
    </w:p>
    <w:p>
      <w:pPr>
        <w:autoSpaceDE w:val="0"/>
        <w:autoSpaceDN w:val="0"/>
        <w:jc w:val="left"/>
        <w:spacing w:before="5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研究；围绕畜禽健康养殖，开展畜禽源抗菌肽相关的基础研究。主要研究方向：</w:t>
      </w:r>
    </w:p>
    <w:p>
      <w:pPr>
        <w:autoSpaceDE w:val="0"/>
        <w:autoSpaceDN w:val="0"/>
        <w:jc w:val="both"/>
        <w:spacing w:before="13" w:after="0" w:lineRule="exact" w:line="319"/>
        <w:ind w:right="97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7"/>
        </w:rPr>
        <w:t>1</w:t>
      </w:r>
      <w:r>
        <w:rPr>
          <w:rFonts w:ascii="宋体" w:hAnsi="宋体" w:cs="宋体" w:eastAsia="宋体" w:hint="ascii"/>
          <w:sz w:val="21"/>
        </w:rPr>
        <w:t>）河南</w:t>
      </w:r>
      <w:r>
        <w:rPr>
          <w:rFonts w:ascii="宋体" w:hAnsi="宋体" w:cs="宋体" w:eastAsia="宋体" w:hint="ascii"/>
          <w:sz w:val="21"/>
          <w:spacing w:val="-1"/>
        </w:rPr>
        <w:t>主</w:t>
      </w:r>
      <w:r>
        <w:rPr>
          <w:rFonts w:ascii="宋体" w:hAnsi="宋体" w:cs="宋体" w:eastAsia="宋体" w:hint="ascii"/>
          <w:sz w:val="21"/>
        </w:rPr>
        <w:t>要农作物</w:t>
      </w:r>
      <w:r>
        <w:rPr>
          <w:rFonts w:ascii="宋体" w:hAnsi="宋体" w:cs="宋体" w:eastAsia="宋体" w:hint="ascii"/>
          <w:sz w:val="21"/>
          <w:spacing w:val="-1"/>
        </w:rPr>
        <w:t>重</w:t>
      </w:r>
      <w:r>
        <w:rPr>
          <w:rFonts w:ascii="宋体" w:hAnsi="宋体" w:cs="宋体" w:eastAsia="宋体" w:hint="ascii"/>
          <w:sz w:val="21"/>
        </w:rPr>
        <w:t>要病虫害</w:t>
      </w:r>
      <w:r>
        <w:rPr>
          <w:rFonts w:ascii="宋体" w:hAnsi="宋体" w:cs="宋体" w:eastAsia="宋体" w:hint="ascii"/>
          <w:sz w:val="21"/>
          <w:spacing w:val="-1"/>
        </w:rPr>
        <w:t>发</w:t>
      </w:r>
      <w:r>
        <w:rPr>
          <w:rFonts w:ascii="宋体" w:hAnsi="宋体" w:cs="宋体" w:eastAsia="宋体" w:hint="ascii"/>
          <w:sz w:val="21"/>
        </w:rPr>
        <w:t>生规律及</w:t>
      </w:r>
      <w:r>
        <w:rPr>
          <w:rFonts w:ascii="宋体" w:hAnsi="宋体" w:cs="宋体" w:eastAsia="宋体" w:hint="ascii"/>
          <w:sz w:val="21"/>
          <w:spacing w:val="-1"/>
        </w:rPr>
        <w:t>防</w:t>
      </w:r>
      <w:r>
        <w:rPr>
          <w:rFonts w:ascii="宋体" w:hAnsi="宋体" w:cs="宋体" w:eastAsia="宋体" w:hint="ascii"/>
          <w:sz w:val="21"/>
        </w:rPr>
        <w:t>治的研究</w:t>
      </w:r>
      <w:r>
        <w:rPr>
          <w:rFonts w:ascii="宋体" w:hAnsi="宋体" w:cs="宋体" w:eastAsia="宋体" w:hint="ascii"/>
          <w:sz w:val="21"/>
          <w:spacing w:val="-1"/>
        </w:rPr>
        <w:t>（</w:t>
      </w:r>
      <w:r>
        <w:rPr>
          <w:rFonts w:ascii="宋体" w:hAnsi="宋体" w:cs="宋体" w:eastAsia="宋体" w:hint="ascii"/>
          <w:sz w:val="21"/>
        </w:rPr>
        <w:t>申请代</w:t>
      </w:r>
      <w:r>
        <w:rPr>
          <w:rFonts w:ascii="宋体" w:hAnsi="宋体" w:cs="宋体" w:eastAsia="宋体" w:hint="ascii"/>
          <w:sz w:val="21"/>
          <w:spacing w:val="-4"/>
        </w:rPr>
        <w:t>码</w:t>
      </w:r>
      <w:r>
        <w:rPr>
          <w:rFonts w:ascii="宋体" w:hAnsi="宋体" w:cs="宋体" w:eastAsia="宋体" w:hint="ascii"/>
          <w:sz w:val="21"/>
          <w:spacing w:val="-27"/>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7"/>
        </w:rPr>
        <w:t xml:space="preserve"> </w:t>
      </w:r>
      <w:r>
        <w:rPr>
          <w:rFonts w:ascii="宋体" w:hAnsi="宋体" w:cs="宋体" w:eastAsia="宋体" w:hint="ascii"/>
          <w:sz w:val="21"/>
        </w:rPr>
        <w:t>选</w:t>
      </w:r>
      <w:r>
        <w:rPr>
          <w:rFonts w:ascii="宋体" w:hAnsi="宋体" w:cs="宋体" w:eastAsia="宋体" w:hint="ascii"/>
          <w:sz w:val="21"/>
          <w:spacing w:val="-4"/>
        </w:rPr>
        <w:t>择</w:t>
      </w:r>
      <w:r>
        <w:rPr>
          <w:rFonts w:ascii="宋体" w:hAnsi="宋体" w:cs="宋体" w:eastAsia="宋体" w:hint="ascii"/>
          <w:sz w:val="21"/>
          <w:spacing w:val="-27"/>
        </w:rPr>
        <w:t xml:space="preserve"> </w:t>
      </w:r>
      <w:r>
        <w:rPr>
          <w:rFonts w:ascii="Times New Roman" w:hAnsi="Times New Roman" w:cs="Times New Roman" w:eastAsia="Times New Roman" w:hint="ascii"/>
          <w:sz w:val="21"/>
        </w:rPr>
        <w:t xml:space="preserve">C1401 </w:t>
      </w:r>
      <w:r>
        <w:rPr>
          <w:rFonts w:ascii="宋体" w:hAnsi="宋体" w:cs="宋体" w:eastAsia="宋体" w:hint="ascii"/>
          <w:sz w:val="21"/>
          <w:spacing w:val="26"/>
        </w:rPr>
        <w:t>或</w:t>
      </w:r>
      <w:r>
        <w:rPr>
          <w:rFonts w:ascii="Times New Roman" w:hAnsi="Times New Roman" w:cs="Times New Roman" w:eastAsia="Times New Roman" w:hint="ascii"/>
          <w:sz w:val="21"/>
        </w:rPr>
        <w:t>C1402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）小麦、玉米优良品质形成的分子机理（申请代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C1304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）河南主要林木病害发生的分子基础（申请代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C1609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20"/>
        <w:ind w:right="1043" w:left="1288" w:hanging="7"/>
        <w:snapToGrid w:val="0"/>
        <w:textAlignment w:val="auto"/>
        <w:tabs/>
        <w:rPr>
          <w:rFonts w:ascii="宋体" w:hAnsi="宋体" w:cs="宋体" w:eastAsia="宋体" w:hint="ascii"/>
          <w:sz w:val="21"/>
        </w:rPr>
      </w:pPr>
      <w:r>
        <w:rPr>
          <w:rFonts w:ascii="宋体" w:hAnsi="宋体" w:cs="宋体" w:eastAsia="宋体" w:hint="ascii"/>
          <w:sz w:val="21"/>
          <w:spacing w:val="-4"/>
        </w:rPr>
        <w:t>（</w:t>
      </w:r>
      <w:r>
        <w:rPr>
          <w:rFonts w:ascii="Times New Roman" w:hAnsi="Times New Roman" w:cs="Times New Roman" w:eastAsia="Times New Roman" w:hint="ascii"/>
          <w:sz w:val="21"/>
          <w:spacing w:val="-4"/>
        </w:rPr>
        <w:t>4</w:t>
      </w:r>
      <w:r>
        <w:rPr>
          <w:rFonts w:ascii="宋体" w:hAnsi="宋体" w:cs="宋体" w:eastAsia="宋体" w:hint="ascii"/>
          <w:sz w:val="21"/>
          <w:spacing w:val="-4"/>
        </w:rPr>
        <w:t>）河南主要“小作物”产量相关性状调控的分子机制（</w:t>
      </w:r>
      <w:r>
        <w:rPr>
          <w:rFonts w:ascii="宋体" w:hAnsi="宋体" w:cs="宋体" w:eastAsia="宋体" w:hint="ascii"/>
          <w:sz w:val="21"/>
          <w:spacing w:val="-3"/>
        </w:rPr>
        <w:t>申请代</w:t>
      </w:r>
      <w:r>
        <w:rPr>
          <w:rFonts w:ascii="宋体" w:hAnsi="宋体" w:cs="宋体" w:eastAsia="宋体" w:hint="ascii"/>
          <w:sz w:val="21"/>
          <w:spacing w:val="22"/>
        </w:rPr>
        <w:t>码</w:t>
      </w:r>
      <w:r>
        <w:rPr>
          <w:rFonts w:ascii="Times New Roman" w:hAnsi="Times New Roman" w:cs="Times New Roman" w:eastAsia="Times New Roman" w:hint="ascii"/>
          <w:sz w:val="21"/>
          <w:spacing w:val="48"/>
        </w:rPr>
        <w:t>2</w:t>
      </w:r>
      <w:r>
        <w:rPr>
          <w:rFonts w:ascii="宋体" w:hAnsi="宋体" w:cs="宋体" w:eastAsia="宋体" w:hint="ascii"/>
          <w:sz w:val="21"/>
          <w:spacing w:val="-3"/>
        </w:rPr>
        <w:t>选</w:t>
      </w:r>
      <w:r>
        <w:rPr>
          <w:rFonts w:ascii="宋体" w:hAnsi="宋体" w:cs="宋体" w:eastAsia="宋体" w:hint="ascii"/>
          <w:sz w:val="21"/>
          <w:spacing w:val="23"/>
        </w:rPr>
        <w:t>择</w:t>
      </w:r>
      <w:r>
        <w:rPr>
          <w:rFonts w:ascii="Times New Roman" w:hAnsi="Times New Roman" w:cs="Times New Roman" w:eastAsia="Times New Roman" w:hint="ascii"/>
          <w:sz w:val="21"/>
          <w:spacing w:val="-3"/>
        </w:rPr>
        <w:t>C130</w:t>
      </w:r>
      <w:r>
        <w:rPr>
          <w:rFonts w:ascii="Times New Roman" w:hAnsi="Times New Roman" w:cs="Times New Roman" w:eastAsia="Times New Roman" w:hint="ascii"/>
          <w:sz w:val="21"/>
          <w:spacing w:val="-4"/>
        </w:rPr>
        <w:t>4</w:t>
      </w:r>
      <w:r>
        <w:rPr>
          <w:rFonts w:ascii="宋体" w:hAnsi="宋体" w:cs="宋体" w:eastAsia="宋体" w:hint="ascii"/>
          <w:sz w:val="21"/>
          <w:spacing w:val="-55"/>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5</w:t>
      </w:r>
      <w:r>
        <w:rPr>
          <w:rFonts w:ascii="宋体" w:hAnsi="宋体" w:cs="宋体" w:eastAsia="宋体" w:hint="ascii"/>
          <w:sz w:val="21"/>
        </w:rPr>
        <w:t>）畜禽营养与免疫调控的基础研究（申请代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C1701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）太行山生物多样性及其形成的机制研究（申请代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C031201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）多用途牡丹重要经济性状的遗传和分子调控机制（申请代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C1503</w:t>
      </w:r>
      <w:r>
        <w:rPr>
          <w:rFonts w:ascii="宋体" w:hAnsi="宋体" w:cs="宋体" w:eastAsia="宋体" w:hint="ascii"/>
          <w:sz w:val="21"/>
        </w:rPr>
        <w:t>）</w:t>
      </w:r>
    </w:p>
    <w:p>
      <w:pPr>
        <w:autoSpaceDE w:val="0"/>
        <w:autoSpaceDN w:val="0"/>
        <w:jc w:val="left"/>
        <w:spacing w:before="49" w:after="0" w:lineRule="auto" w:line="240"/>
        <w:ind w:right="0" w:left="1649" w:hanging="263"/>
        <w:snapToGrid w:val="0"/>
        <w:textAlignment w:val="auto"/>
        <w:tabs>
          <w:tab w:val="left" w:leader="none" w:pos="1648"/>
        </w:tabs>
        <w:numPr>
          <w:ilvl w:val="0"/>
          <w:numId w:val="331"/>
        </w:numPr>
        <w:rPr>
          <w:rFonts w:ascii="Times New Roman" w:hAnsi="Times New Roman" w:cs="Times New Roman" w:eastAsia="Times New Roman" w:hint="ascii"/>
          <w:sz w:val="21"/>
        </w:rPr>
      </w:pP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选择生命科学部申请代码）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河南省重要和特色农业生物优异种质的发掘、研究、创新、利用以及遗传改良理论</w:t>
      </w:r>
    </w:p>
    <w:p>
      <w:pPr>
        <w:autoSpaceDE w:val="0"/>
        <w:autoSpaceDN w:val="0"/>
        <w:jc w:val="left"/>
        <w:spacing w:before="450"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与技术创新</w:t>
      </w:r>
      <w:r>
        <w:rPr>
          <w:rFonts w:ascii="宋体" w:hAnsi="宋体" w:cs="宋体" w:eastAsia="宋体" w:hint="ascii"/>
          <w:sz w:val="21"/>
        </w:rPr>
        <w:t>；主要农业生物重要性状形成的生理、遗传与分子机理解析；农业有害生物</w:t>
      </w:r>
      <w:r>
        <w:rPr>
          <w:rFonts w:ascii="宋体" w:hAnsi="宋体" w:cs="宋体" w:eastAsia="宋体" w:hint="ascii"/>
          <w:sz w:val="21"/>
          <w:spacing w:val="-1"/>
        </w:rPr>
        <w:t>发生、流行</w:t>
      </w:r>
      <w:r>
        <w:rPr>
          <w:rFonts w:ascii="宋体" w:hAnsi="宋体" w:cs="宋体" w:eastAsia="宋体" w:hint="ascii"/>
          <w:sz w:val="21"/>
        </w:rPr>
        <w:t>和致灾规律与绿色防控理论研究；农业生物与环境相互作用及防灾减灾理论</w:t>
      </w:r>
      <w:r>
        <w:rPr>
          <w:rFonts w:ascii="宋体" w:hAnsi="宋体" w:cs="宋体" w:eastAsia="宋体" w:hint="ascii"/>
          <w:sz w:val="21"/>
          <w:spacing w:val="-1"/>
        </w:rPr>
        <w:t>研究；植物</w:t>
      </w:r>
      <w:r>
        <w:rPr>
          <w:rFonts w:ascii="宋体" w:hAnsi="宋体" w:cs="宋体" w:eastAsia="宋体" w:hint="ascii"/>
          <w:sz w:val="21"/>
        </w:rPr>
        <w:t>种植资源及其利用；农田土壤污染修复研究；作物养分高效利用的生物学机</w:t>
      </w:r>
      <w:r>
        <w:rPr>
          <w:rFonts w:ascii="宋体" w:hAnsi="宋体" w:cs="宋体" w:eastAsia="宋体" w:hint="ascii"/>
          <w:sz w:val="21"/>
          <w:spacing w:val="-1"/>
        </w:rPr>
        <w:t>制；动物重</w:t>
      </w:r>
      <w:r>
        <w:rPr>
          <w:rFonts w:ascii="宋体" w:hAnsi="宋体" w:cs="宋体" w:eastAsia="宋体" w:hint="ascii"/>
          <w:sz w:val="21"/>
        </w:rPr>
        <w:t>大疫病致病机理与防控技术研究；食品加工、保鲜、储运与质量安全控制关键技术研究；优异畜禽资源的遗传解析，畜禽营养物质代谢及其调控机制。</w:t>
      </w:r>
      <w:r>
        <w:rPr>
          <w:rFonts w:ascii="宋体" w:hAnsi="宋体" w:cs="宋体" w:eastAsia="宋体" w:hint="ascii"/>
          <w:sz w:val="21"/>
        </w:rPr>
        <mc:AlternateContent>
          <mc:Choice Requires="wps">
            <w:drawing>
              <wp:anchor distL="0" distR="0" distT="0" distB="0" simplePos="0" behindDoc="1" relativeHeight="300" locked="0" layoutInCell="1" allowOverlap="1">
                <wp:simplePos x="0" y="0"/>
                <wp:positionH relativeFrom="page">
                  <wp:posOffset>938530</wp:posOffset>
                </wp:positionH>
                <wp:positionV relativeFrom="page">
                  <wp:posOffset>819150</wp:posOffset>
                </wp:positionV>
                <wp:extent cx="5076190" cy="0"/>
                <wp:wrapNone/>
                <wp:docPr id="1328" name="132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51040;width:399.70pt;" id="132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二、人口与健康领域（申请代</w:t>
      </w:r>
      <w:r>
        <w:rPr>
          <w:rFonts w:ascii="宋体" w:hAnsi="宋体" w:cs="宋体" w:eastAsia="宋体" w:hint="ascii"/>
          <w:spacing w:val="30"/>
        </w:rPr>
        <w:t>码</w:t>
      </w:r>
      <w:r>
        <w:rPr>
          <w:rFonts w:ascii="宋体" w:hAnsi="宋体" w:cs="宋体" w:eastAsia="宋体" w:hint="ascii"/>
        </w:rPr>
        <w:t>1</w:t>
      </w:r>
      <w:r>
        <w:rPr>
          <w:rFonts w:ascii="宋体" w:hAnsi="宋体" w:cs="宋体" w:eastAsia="宋体" w:hint="ascii"/>
          <w:spacing w:val="7"/>
        </w:rPr>
        <w:t xml:space="preserve"> </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3"/>
        </w:rPr>
        <w:t>L02</w:t>
      </w:r>
      <w:r>
        <w:rPr>
          <w:rFonts w:ascii="宋体" w:hAnsi="宋体" w:cs="宋体" w:eastAsia="宋体" w:hint="ascii"/>
        </w:rPr>
        <w:t>）</w:t>
      </w:r>
    </w:p>
    <w:p>
      <w:pPr>
        <w:autoSpaceDE w:val="0"/>
        <w:autoSpaceDN w:val="0"/>
        <w:jc w:val="left"/>
        <w:spacing w:before="197" w:after="0" w:lineRule="auto" w:line="240"/>
        <w:ind w:right="0" w:left="1649" w:hanging="263"/>
        <w:snapToGrid w:val="0"/>
        <w:textAlignment w:val="auto"/>
        <w:tabs>
          <w:tab w:val="left" w:leader="none" w:pos="1648"/>
        </w:tabs>
        <w:numPr>
          <w:ilvl w:val="0"/>
          <w:numId w:val="332"/>
        </w:numPr>
        <w:rPr>
          <w:rFonts w:ascii="Times New Roman" w:hAnsi="Times New Roman" w:cs="Times New Roman" w:eastAsia="Times New Roman" w:hint="ascii"/>
          <w:sz w:val="21"/>
        </w:rPr>
      </w:pPr>
      <w:r>
        <w:rPr>
          <w:rFonts w:ascii="宋体" w:hAnsi="宋体" w:cs="宋体" w:eastAsia="宋体" w:hint="ascii"/>
          <w:sz w:val="21"/>
        </w:rPr>
        <w:t>重点支持项目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围绕高致盲性眼病、食管癌、精神分裂症、重症肌无力、急性心梗、艾滋病等河南</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地区高发和</w:t>
      </w:r>
      <w:r>
        <w:rPr>
          <w:rFonts w:ascii="宋体" w:hAnsi="宋体" w:cs="宋体" w:eastAsia="宋体" w:hint="ascii"/>
          <w:sz w:val="21"/>
        </w:rPr>
        <w:t>重大疾病，探索发病诊断、治疗和预防机制，寻求有效治疗的新靶点、新药</w:t>
      </w:r>
      <w:r>
        <w:rPr>
          <w:rFonts w:ascii="宋体" w:hAnsi="宋体" w:cs="宋体" w:eastAsia="宋体" w:hint="ascii"/>
          <w:sz w:val="21"/>
          <w:spacing w:val="-1"/>
        </w:rPr>
        <w:t>物，以及防</w:t>
      </w:r>
      <w:r>
        <w:rPr>
          <w:rFonts w:ascii="宋体" w:hAnsi="宋体" w:cs="宋体" w:eastAsia="宋体" w:hint="ascii"/>
          <w:sz w:val="21"/>
        </w:rPr>
        <w:t>治的新方案，开展相关的基础及临床基础研究；利用河南中医药资源，开展豫产中药特色研究。主要研究方向：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）免疫性眼部疾病的发病机制研究（申请代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H12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1299"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）食管癌肿</w:t>
      </w:r>
      <w:r>
        <w:rPr>
          <w:rFonts w:ascii="宋体" w:hAnsi="宋体" w:cs="宋体" w:eastAsia="宋体" w:hint="ascii"/>
          <w:sz w:val="21"/>
        </w:rPr>
        <w:t>瘤微环境影响免疫治疗的关键机制研究（申请代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H16</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）精神分裂症中遗传与环境交互作用及机制研究（申请代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H09</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）重症肌无力发病机制及临床干预研究（申请代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H06</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）外泌体调控心肌梗死的损伤修复机制研究（申请代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1083"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6</w:t>
      </w:r>
      <w:r>
        <w:rPr>
          <w:rFonts w:ascii="宋体" w:hAnsi="宋体" w:cs="宋体" w:eastAsia="宋体" w:hint="ascii"/>
          <w:sz w:val="21"/>
          <w:spacing w:val="-2"/>
        </w:rPr>
        <w:t>）</w:t>
      </w:r>
      <w:r>
        <w:rPr>
          <w:rFonts w:ascii="宋体" w:hAnsi="宋体" w:cs="宋体" w:eastAsia="宋体" w:hint="ascii"/>
          <w:sz w:val="21"/>
          <w:spacing w:val="-8"/>
        </w:rPr>
        <w:t>生物靶向药物防治急性心梗后心肌细胞损伤</w:t>
      </w:r>
      <w:r>
        <w:rPr>
          <w:rFonts w:ascii="宋体" w:hAnsi="宋体" w:cs="宋体" w:eastAsia="宋体" w:hint="ascii"/>
          <w:sz w:val="21"/>
          <w:spacing w:val="-7"/>
        </w:rPr>
        <w:t>的基础研究（申请代</w:t>
      </w:r>
      <w:r>
        <w:rPr>
          <w:rFonts w:ascii="宋体" w:hAnsi="宋体" w:cs="宋体" w:eastAsia="宋体" w:hint="ascii"/>
          <w:sz w:val="21"/>
          <w:spacing w:val="18"/>
        </w:rPr>
        <w:t>码</w:t>
      </w:r>
      <w:r>
        <w:rPr>
          <w:rFonts w:ascii="Times New Roman" w:hAnsi="Times New Roman" w:cs="Times New Roman" w:eastAsia="Times New Roman" w:hint="ascii"/>
          <w:sz w:val="21"/>
          <w:spacing w:val="42"/>
        </w:rPr>
        <w:t>2</w:t>
      </w:r>
      <w:r>
        <w:rPr>
          <w:rFonts w:ascii="宋体" w:hAnsi="宋体" w:cs="宋体" w:eastAsia="宋体" w:hint="ascii"/>
          <w:sz w:val="21"/>
          <w:spacing w:val="-7"/>
        </w:rPr>
        <w:t>选</w:t>
      </w:r>
      <w:r>
        <w:rPr>
          <w:rFonts w:ascii="宋体" w:hAnsi="宋体" w:cs="宋体" w:eastAsia="宋体" w:hint="ascii"/>
          <w:sz w:val="21"/>
          <w:spacing w:val="17"/>
        </w:rPr>
        <w:t>择</w:t>
      </w:r>
      <w:r>
        <w:rPr>
          <w:rFonts w:ascii="Times New Roman" w:hAnsi="Times New Roman" w:cs="Times New Roman" w:eastAsia="Times New Roman" w:hint="ascii"/>
          <w:sz w:val="21"/>
          <w:spacing w:val="-7"/>
        </w:rPr>
        <w:t>H0</w:t>
      </w:r>
      <w:r>
        <w:rPr>
          <w:rFonts w:ascii="Times New Roman" w:hAnsi="Times New Roman" w:cs="Times New Roman" w:eastAsia="Times New Roman" w:hint="ascii"/>
          <w:sz w:val="21"/>
          <w:spacing w:val="-8"/>
        </w:rPr>
        <w:t>2</w:t>
      </w:r>
      <w:r>
        <w:rPr>
          <w:rFonts w:ascii="宋体" w:hAnsi="宋体" w:cs="宋体" w:eastAsia="宋体" w:hint="ascii"/>
          <w:sz w:val="21"/>
          <w:spacing w:val="-56"/>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7</w:t>
      </w:r>
      <w:r>
        <w:rPr>
          <w:rFonts w:ascii="宋体" w:hAnsi="宋体" w:cs="宋体" w:eastAsia="宋体" w:hint="ascii"/>
          <w:sz w:val="21"/>
        </w:rPr>
        <w:t>）新型抗艾滋病药物的设计、合成及作用机制研究（申请代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H30</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）功能性红细胞的生成与机制研究（申请代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H08</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）豫产道地药材外用功能及机制研究（申请代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H28</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auto" w:line="240"/>
        <w:ind w:right="0" w:left="1649" w:hanging="263"/>
        <w:snapToGrid w:val="0"/>
        <w:textAlignment w:val="auto"/>
        <w:tabs>
          <w:tab w:val="left" w:leader="none" w:pos="1648"/>
        </w:tabs>
        <w:numPr>
          <w:ilvl w:val="0"/>
          <w:numId w:val="332"/>
        </w:numPr>
        <w:rPr>
          <w:rFonts w:ascii="Times New Roman" w:hAnsi="Times New Roman" w:cs="Times New Roman" w:eastAsia="Times New Roman" w:hint="ascii"/>
          <w:sz w:val="21"/>
        </w:rPr>
      </w:pP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选择医学科学部申请代码）</w:t>
      </w:r>
    </w:p>
    <w:p>
      <w:pPr>
        <w:autoSpaceDE w:val="0"/>
        <w:autoSpaceDN w:val="0"/>
        <w:jc w:val="left"/>
        <w:spacing w:before="57"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河南地区</w:t>
      </w:r>
      <w:r>
        <w:rPr>
          <w:rFonts w:ascii="宋体" w:hAnsi="宋体" w:cs="宋体" w:eastAsia="宋体" w:hint="ascii"/>
          <w:sz w:val="21"/>
        </w:rPr>
        <w:t>常</w:t>
      </w:r>
      <w:r>
        <w:rPr>
          <w:rFonts w:ascii="宋体" w:hAnsi="宋体" w:cs="宋体" w:eastAsia="宋体" w:hint="ascii"/>
          <w:sz w:val="21"/>
          <w:spacing w:val="3"/>
        </w:rPr>
        <w:t>见病、重</w:t>
      </w:r>
      <w:r>
        <w:rPr>
          <w:rFonts w:ascii="宋体" w:hAnsi="宋体" w:cs="宋体" w:eastAsia="宋体" w:hint="ascii"/>
          <w:sz w:val="21"/>
        </w:rPr>
        <w:t>大</w:t>
      </w:r>
      <w:r>
        <w:rPr>
          <w:rFonts w:ascii="宋体" w:hAnsi="宋体" w:cs="宋体" w:eastAsia="宋体" w:hint="ascii"/>
          <w:sz w:val="21"/>
          <w:spacing w:val="3"/>
        </w:rPr>
        <w:t>疾病及慢</w:t>
      </w:r>
      <w:r>
        <w:rPr>
          <w:rFonts w:ascii="宋体" w:hAnsi="宋体" w:cs="宋体" w:eastAsia="宋体" w:hint="ascii"/>
          <w:sz w:val="21"/>
        </w:rPr>
        <w:t>性</w:t>
      </w:r>
      <w:r>
        <w:rPr>
          <w:rFonts w:ascii="宋体" w:hAnsi="宋体" w:cs="宋体" w:eastAsia="宋体" w:hint="ascii"/>
          <w:sz w:val="21"/>
          <w:spacing w:val="3"/>
        </w:rPr>
        <w:t>非传染性</w:t>
      </w:r>
      <w:r>
        <w:rPr>
          <w:rFonts w:ascii="宋体" w:hAnsi="宋体" w:cs="宋体" w:eastAsia="宋体" w:hint="ascii"/>
          <w:sz w:val="21"/>
        </w:rPr>
        <w:t>疾</w:t>
      </w:r>
      <w:r>
        <w:rPr>
          <w:rFonts w:ascii="宋体" w:hAnsi="宋体" w:cs="宋体" w:eastAsia="宋体" w:hint="ascii"/>
          <w:sz w:val="21"/>
          <w:spacing w:val="3"/>
        </w:rPr>
        <w:t>病的诊断</w:t>
      </w:r>
      <w:r>
        <w:rPr>
          <w:rFonts w:ascii="宋体" w:hAnsi="宋体" w:cs="宋体" w:eastAsia="宋体" w:hint="ascii"/>
          <w:sz w:val="21"/>
        </w:rPr>
        <w:t>、</w:t>
      </w:r>
      <w:r>
        <w:rPr>
          <w:rFonts w:ascii="宋体" w:hAnsi="宋体" w:cs="宋体" w:eastAsia="宋体" w:hint="ascii"/>
          <w:sz w:val="21"/>
          <w:spacing w:val="3"/>
        </w:rPr>
        <w:t>治疗及防</w:t>
      </w:r>
      <w:r>
        <w:rPr>
          <w:rFonts w:ascii="宋体" w:hAnsi="宋体" w:cs="宋体" w:eastAsia="宋体" w:hint="ascii"/>
          <w:sz w:val="21"/>
        </w:rPr>
        <w:t>治</w:t>
      </w:r>
      <w:r>
        <w:rPr>
          <w:rFonts w:ascii="宋体" w:hAnsi="宋体" w:cs="宋体" w:eastAsia="宋体" w:hint="ascii"/>
          <w:sz w:val="21"/>
          <w:spacing w:val="3"/>
        </w:rPr>
        <w:t>机理研</w:t>
      </w:r>
      <w:r>
        <w:rPr>
          <w:rFonts w:ascii="宋体" w:hAnsi="宋体" w:cs="宋体" w:eastAsia="宋体" w:hint="ascii"/>
          <w:sz w:val="21"/>
          <w:spacing w:val="4"/>
        </w:rPr>
        <w:t>究</w:t>
      </w:r>
      <w:r>
        <w:rPr>
          <w:rFonts w:ascii="宋体" w:hAnsi="宋体" w:cs="宋体" w:eastAsia="宋体" w:hint="ascii"/>
          <w:sz w:val="21"/>
        </w:rPr>
        <w:t>；</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8"/>
        </w:rPr>
        <w:t>恶性肿</w:t>
      </w:r>
      <w:r>
        <w:rPr>
          <w:rFonts w:ascii="宋体" w:hAnsi="宋体" w:cs="宋体" w:eastAsia="宋体" w:hint="ascii"/>
          <w:sz w:val="21"/>
          <w:spacing w:val="6"/>
        </w:rPr>
        <w:t>瘤</w:t>
      </w:r>
      <w:r>
        <w:rPr>
          <w:rFonts w:ascii="宋体" w:hAnsi="宋体" w:cs="宋体" w:eastAsia="宋体" w:hint="ascii"/>
          <w:sz w:val="21"/>
          <w:spacing w:val="5"/>
        </w:rPr>
        <w:t>耐</w:t>
      </w:r>
      <w:r>
        <w:rPr>
          <w:rFonts w:ascii="宋体" w:hAnsi="宋体" w:cs="宋体" w:eastAsia="宋体" w:hint="ascii"/>
          <w:sz w:val="21"/>
          <w:spacing w:val="6"/>
        </w:rPr>
        <w:t>药的遗传</w:t>
      </w:r>
      <w:r>
        <w:rPr>
          <w:rFonts w:ascii="宋体" w:hAnsi="宋体" w:cs="宋体" w:eastAsia="宋体" w:hint="ascii"/>
          <w:sz w:val="21"/>
          <w:spacing w:val="5"/>
        </w:rPr>
        <w:t>学</w:t>
      </w:r>
      <w:r>
        <w:rPr>
          <w:rFonts w:ascii="宋体" w:hAnsi="宋体" w:cs="宋体" w:eastAsia="宋体" w:hint="ascii"/>
          <w:sz w:val="21"/>
          <w:spacing w:val="6"/>
        </w:rPr>
        <w:t>与表观遗</w:t>
      </w:r>
      <w:r>
        <w:rPr>
          <w:rFonts w:ascii="宋体" w:hAnsi="宋体" w:cs="宋体" w:eastAsia="宋体" w:hint="ascii"/>
          <w:sz w:val="21"/>
          <w:spacing w:val="5"/>
        </w:rPr>
        <w:t>传</w:t>
      </w:r>
      <w:r>
        <w:rPr>
          <w:rFonts w:ascii="宋体" w:hAnsi="宋体" w:cs="宋体" w:eastAsia="宋体" w:hint="ascii"/>
          <w:sz w:val="21"/>
          <w:spacing w:val="6"/>
        </w:rPr>
        <w:t>学机制研</w:t>
      </w:r>
      <w:r>
        <w:rPr>
          <w:rFonts w:ascii="宋体" w:hAnsi="宋体" w:cs="宋体" w:eastAsia="宋体" w:hint="ascii"/>
          <w:sz w:val="21"/>
          <w:spacing w:val="5"/>
        </w:rPr>
        <w:t>究</w:t>
      </w:r>
      <w:r>
        <w:rPr>
          <w:rFonts w:ascii="宋体" w:hAnsi="宋体" w:cs="宋体" w:eastAsia="宋体" w:hint="ascii"/>
          <w:sz w:val="21"/>
          <w:spacing w:val="6"/>
        </w:rPr>
        <w:t>；干细胞</w:t>
      </w:r>
      <w:r>
        <w:rPr>
          <w:rFonts w:ascii="宋体" w:hAnsi="宋体" w:cs="宋体" w:eastAsia="宋体" w:hint="ascii"/>
          <w:sz w:val="21"/>
          <w:spacing w:val="5"/>
        </w:rPr>
        <w:t>在</w:t>
      </w:r>
      <w:r>
        <w:rPr>
          <w:rFonts w:ascii="宋体" w:hAnsi="宋体" w:cs="宋体" w:eastAsia="宋体" w:hint="ascii"/>
          <w:sz w:val="21"/>
          <w:spacing w:val="6"/>
        </w:rPr>
        <w:t>相关疾病</w:t>
      </w:r>
      <w:r>
        <w:rPr>
          <w:rFonts w:ascii="宋体" w:hAnsi="宋体" w:cs="宋体" w:eastAsia="宋体" w:hint="ascii"/>
          <w:sz w:val="21"/>
          <w:spacing w:val="5"/>
        </w:rPr>
        <w:t>中</w:t>
      </w:r>
      <w:r>
        <w:rPr>
          <w:rFonts w:ascii="宋体" w:hAnsi="宋体" w:cs="宋体" w:eastAsia="宋体" w:hint="ascii"/>
          <w:sz w:val="21"/>
          <w:spacing w:val="6"/>
        </w:rPr>
        <w:t>的诊治应</w:t>
      </w:r>
      <w:r>
        <w:rPr>
          <w:rFonts w:ascii="宋体" w:hAnsi="宋体" w:cs="宋体" w:eastAsia="宋体" w:hint="ascii"/>
          <w:sz w:val="21"/>
          <w:spacing w:val="5"/>
        </w:rPr>
        <w:t>用</w:t>
      </w:r>
      <w:r>
        <w:rPr>
          <w:rFonts w:ascii="宋体" w:hAnsi="宋体" w:cs="宋体" w:eastAsia="宋体" w:hint="ascii"/>
          <w:sz w:val="21"/>
        </w:rPr>
        <w:t>研究；生殖系统、围产医学领域的基础研究和临床基础研究；器官损伤、修复及移植等机</w:t>
      </w:r>
      <w:r>
        <w:rPr>
          <w:rFonts w:ascii="宋体" w:hAnsi="宋体" w:cs="宋体" w:eastAsia="宋体" w:hint="ascii"/>
          <w:sz w:val="21"/>
          <w:spacing w:val="3"/>
        </w:rPr>
        <w:t>制的研究</w:t>
      </w:r>
      <w:r>
        <w:rPr>
          <w:rFonts w:ascii="宋体" w:hAnsi="宋体" w:cs="宋体" w:eastAsia="宋体" w:hint="ascii"/>
          <w:sz w:val="21"/>
        </w:rPr>
        <w:t>；</w:t>
      </w:r>
      <w:r>
        <w:rPr>
          <w:rFonts w:ascii="宋体" w:hAnsi="宋体" w:cs="宋体" w:eastAsia="宋体" w:hint="ascii"/>
          <w:sz w:val="21"/>
          <w:spacing w:val="3"/>
        </w:rPr>
        <w:t>病原体传</w:t>
      </w:r>
      <w:r>
        <w:rPr>
          <w:rFonts w:ascii="宋体" w:hAnsi="宋体" w:cs="宋体" w:eastAsia="宋体" w:hint="ascii"/>
          <w:sz w:val="21"/>
        </w:rPr>
        <w:t>播</w:t>
      </w:r>
      <w:r>
        <w:rPr>
          <w:rFonts w:ascii="宋体" w:hAnsi="宋体" w:cs="宋体" w:eastAsia="宋体" w:hint="ascii"/>
          <w:sz w:val="21"/>
          <w:spacing w:val="3"/>
        </w:rPr>
        <w:t>、变异规</w:t>
      </w:r>
      <w:r>
        <w:rPr>
          <w:rFonts w:ascii="宋体" w:hAnsi="宋体" w:cs="宋体" w:eastAsia="宋体" w:hint="ascii"/>
          <w:sz w:val="21"/>
        </w:rPr>
        <w:t>律</w:t>
      </w:r>
      <w:r>
        <w:rPr>
          <w:rFonts w:ascii="宋体" w:hAnsi="宋体" w:cs="宋体" w:eastAsia="宋体" w:hint="ascii"/>
          <w:sz w:val="21"/>
          <w:spacing w:val="3"/>
        </w:rPr>
        <w:t>和致病机</w:t>
      </w:r>
      <w:r>
        <w:rPr>
          <w:rFonts w:ascii="宋体" w:hAnsi="宋体" w:cs="宋体" w:eastAsia="宋体" w:hint="ascii"/>
          <w:sz w:val="21"/>
        </w:rPr>
        <w:t>理</w:t>
      </w:r>
      <w:r>
        <w:rPr>
          <w:rFonts w:ascii="宋体" w:hAnsi="宋体" w:cs="宋体" w:eastAsia="宋体" w:hint="ascii"/>
          <w:sz w:val="21"/>
          <w:spacing w:val="3"/>
        </w:rPr>
        <w:t>；创新药</w:t>
      </w:r>
      <w:r>
        <w:rPr>
          <w:rFonts w:ascii="宋体" w:hAnsi="宋体" w:cs="宋体" w:eastAsia="宋体" w:hint="ascii"/>
          <w:sz w:val="21"/>
        </w:rPr>
        <w:t>物</w:t>
      </w:r>
      <w:r>
        <w:rPr>
          <w:rFonts w:ascii="宋体" w:hAnsi="宋体" w:cs="宋体" w:eastAsia="宋体" w:hint="ascii"/>
          <w:sz w:val="21"/>
          <w:spacing w:val="3"/>
        </w:rPr>
        <w:t>设计、合</w:t>
      </w:r>
      <w:r>
        <w:rPr>
          <w:rFonts w:ascii="宋体" w:hAnsi="宋体" w:cs="宋体" w:eastAsia="宋体" w:hint="ascii"/>
          <w:sz w:val="21"/>
        </w:rPr>
        <w:t>成</w:t>
      </w:r>
      <w:r>
        <w:rPr>
          <w:rFonts w:ascii="宋体" w:hAnsi="宋体" w:cs="宋体" w:eastAsia="宋体" w:hint="ascii"/>
          <w:sz w:val="21"/>
          <w:spacing w:val="3"/>
        </w:rPr>
        <w:t>、作用机理</w:t>
      </w:r>
      <w:r>
        <w:rPr>
          <w:rFonts w:ascii="宋体" w:hAnsi="宋体" w:cs="宋体" w:eastAsia="宋体" w:hint="ascii"/>
          <w:sz w:val="21"/>
          <w:spacing w:val="4"/>
        </w:rPr>
        <w:t>及</w:t>
      </w:r>
      <w:r>
        <w:rPr>
          <w:rFonts w:ascii="宋体" w:hAnsi="宋体" w:cs="宋体" w:eastAsia="宋体" w:hint="ascii"/>
          <w:sz w:val="21"/>
        </w:rPr>
        <w:t>应用；河南特色中药资源领域的生态、特征及分子机制研究；中西医结合防治重大、疑难疾病研究。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三、新材料与先进制造领域（申请代</w:t>
      </w:r>
      <w:r>
        <w:rPr>
          <w:rFonts w:ascii="宋体" w:hAnsi="宋体" w:cs="宋体" w:eastAsia="宋体" w:hint="ascii"/>
          <w:spacing w:val="30"/>
        </w:rPr>
        <w:t>码</w:t>
      </w:r>
      <w:r>
        <w:rPr>
          <w:rFonts w:ascii="宋体" w:hAnsi="宋体" w:cs="宋体" w:eastAsia="宋体" w:hint="ascii"/>
        </w:rPr>
        <w:t>1</w:t>
      </w:r>
      <w:r>
        <w:rPr>
          <w:rFonts w:ascii="宋体" w:hAnsi="宋体" w:cs="宋体" w:eastAsia="宋体" w:hint="ascii"/>
          <w:spacing w:val="7"/>
        </w:rPr>
        <w:t xml:space="preserve"> </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3"/>
        </w:rPr>
        <w:t>L04</w:t>
      </w:r>
      <w:r>
        <w:rPr>
          <w:rFonts w:ascii="宋体" w:hAnsi="宋体" w:cs="宋体" w:eastAsia="宋体" w:hint="ascii"/>
        </w:rPr>
        <w:t>）</w:t>
      </w:r>
    </w:p>
    <w:p>
      <w:pPr>
        <w:autoSpaceDE w:val="0"/>
        <w:autoSpaceDN w:val="0"/>
        <w:jc w:val="left"/>
        <w:spacing w:before="1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重点支持项目</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围绕河南特色资源有效利用、科技及产业发展需求，开展镁合金、钼合金材料，电</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池催化材料</w:t>
      </w:r>
      <w:r>
        <w:rPr>
          <w:rFonts w:ascii="宋体" w:hAnsi="宋体" w:cs="宋体" w:eastAsia="宋体" w:hint="ascii"/>
          <w:sz w:val="21"/>
        </w:rPr>
        <w:t>，硼基、铜基材料，耐火材料等先进材料制备与性能研究，以及高端装备关键零部件极限寿命制造理论与方法研究等相关基础研究。主要研究方向：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）全降解镁合金血管支架材料研究（申请代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）配位分子基高效燃料电池催化材料研究（申请代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3"/>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E01</w:t>
      </w:r>
      <w:r>
        <w:rPr>
          <w:rFonts w:ascii="宋体" w:hAnsi="宋体" w:cs="宋体" w:eastAsia="宋体" w:hint="ascii"/>
          <w:sz w:val="21"/>
        </w:rPr>
        <w:t>、</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3"/>
        </w:rPr>
        <w:t>2</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）硼基材料制备、结构与性能研究（申请代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）力</w:t>
      </w:r>
      <w:r>
        <w:rPr>
          <w:rFonts w:ascii="宋体" w:hAnsi="宋体" w:cs="宋体" w:eastAsia="宋体" w:hint="ascii"/>
          <w:sz w:val="21"/>
        </w:rPr>
        <w:t>-</w:t>
      </w:r>
      <w:r>
        <w:rPr>
          <w:rFonts w:ascii="宋体" w:hAnsi="宋体" w:cs="宋体" w:eastAsia="宋体" w:hint="ascii"/>
          <w:sz w:val="21"/>
        </w:rPr>
        <w:t>热</w:t>
      </w:r>
      <w:r>
        <w:rPr>
          <w:rFonts w:ascii="宋体" w:hAnsi="宋体" w:cs="宋体" w:eastAsia="宋体" w:hint="ascii"/>
          <w:sz w:val="21"/>
        </w:rPr>
        <w:t>-</w:t>
      </w:r>
      <w:r>
        <w:rPr>
          <w:rFonts w:ascii="宋体" w:hAnsi="宋体" w:cs="宋体" w:eastAsia="宋体" w:hint="ascii"/>
          <w:sz w:val="21"/>
        </w:rPr>
        <w:t xml:space="preserve">电性能匹配的铜基复合材料研究（申请代码 </w:t>
      </w:r>
      <w:r>
        <w:rPr>
          <w:rFonts w:ascii="Times New Roman" w:hAnsi="Times New Roman" w:cs="Times New Roman" w:eastAsia="Times New Roman" w:hint="ascii"/>
          <w:sz w:val="21"/>
        </w:rPr>
        <w:t xml:space="preserve">2 </w:t>
      </w:r>
      <w:r>
        <w:rPr>
          <w:rFonts w:ascii="宋体" w:hAnsi="宋体" w:cs="宋体" w:eastAsia="宋体" w:hint="ascii"/>
          <w:sz w:val="21"/>
        </w:rPr>
        <w:t>选择</w:t>
      </w:r>
      <w:r>
        <w:rPr>
          <w:rFonts w:ascii="宋体" w:hAnsi="宋体" w:cs="宋体" w:eastAsia="宋体" w:hint="ascii"/>
          <w:sz w:val="21"/>
          <w:spacing w:val="-25"/>
        </w:rPr>
        <w:t xml:space="preserve"> </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3"/>
        </w:rPr>
        <w:t>1</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4"/>
        </w:rPr>
        <w:t>2</w:t>
      </w:r>
      <w:r>
        <w:rPr>
          <w:rFonts w:ascii="宋体" w:hAnsi="宋体" w:cs="宋体" w:eastAsia="宋体" w:hint="ascii"/>
          <w:sz w:val="21"/>
        </w:rPr>
        <w:t>的下属</w:t>
      </w:r>
    </w:p>
    <w:p>
      <w:pPr>
        <w:autoSpaceDE w:val="0"/>
        <w:autoSpaceDN w:val="0"/>
        <w:jc w:val="left"/>
        <w:spacing w:before="28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代码</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301" locked="0" layoutInCell="1" allowOverlap="1">
                <wp:simplePos x="0" y="0"/>
                <wp:positionH relativeFrom="page">
                  <wp:posOffset>938530</wp:posOffset>
                </wp:positionH>
                <wp:positionV relativeFrom="page">
                  <wp:posOffset>805815</wp:posOffset>
                </wp:positionV>
                <wp:extent cx="5076190" cy="0"/>
                <wp:wrapNone/>
                <wp:docPr id="1329" name="132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50016;width:399.70pt;" id="132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rPr>
        <w:t>5</w:t>
      </w:r>
      <w:r>
        <w:rPr>
          <w:rFonts w:ascii="宋体" w:hAnsi="宋体" w:cs="宋体" w:eastAsia="宋体" w:hint="ascii"/>
          <w:sz w:val="21"/>
          <w:spacing w:val="1"/>
        </w:rPr>
        <w:t>）</w:t>
      </w:r>
      <w:r>
        <w:rPr>
          <w:rFonts w:ascii="宋体" w:hAnsi="宋体" w:cs="宋体" w:eastAsia="宋体" w:hint="ascii"/>
          <w:sz w:val="21"/>
          <w:spacing w:val="-1"/>
        </w:rPr>
        <w:t>耐磨损耐冲蚀钼合金强化机理及性能研究（申请代</w:t>
      </w:r>
      <w:r>
        <w:rPr>
          <w:rFonts w:ascii="宋体" w:hAnsi="宋体" w:cs="宋体" w:eastAsia="宋体" w:hint="ascii"/>
          <w:sz w:val="21"/>
          <w:spacing w:val="25"/>
        </w:rPr>
        <w:t>码</w:t>
      </w:r>
      <w:r>
        <w:rPr>
          <w:rFonts w:ascii="Times New Roman" w:hAnsi="Times New Roman" w:cs="Times New Roman" w:eastAsia="Times New Roman" w:hint="ascii"/>
          <w:sz w:val="21"/>
          <w:spacing w:val="51"/>
        </w:rPr>
        <w:t>2</w:t>
      </w:r>
      <w:r>
        <w:rPr>
          <w:rFonts w:ascii="宋体" w:hAnsi="宋体" w:cs="宋体" w:eastAsia="宋体" w:hint="ascii"/>
          <w:sz w:val="21"/>
          <w:spacing w:val="-1"/>
        </w:rPr>
        <w:t>选</w:t>
      </w:r>
      <w:r>
        <w:rPr>
          <w:rFonts w:ascii="宋体" w:hAnsi="宋体" w:cs="宋体" w:eastAsia="宋体" w:hint="ascii"/>
          <w:sz w:val="21"/>
          <w:spacing w:val="25"/>
        </w:rPr>
        <w:t>择</w:t>
      </w:r>
      <w:r>
        <w:rPr>
          <w:rFonts w:ascii="Times New Roman" w:hAnsi="Times New Roman" w:cs="Times New Roman" w:eastAsia="Times New Roman" w:hint="ascii"/>
          <w:sz w:val="21"/>
          <w:spacing w:val="-2"/>
        </w:rPr>
        <w:t>E0</w:t>
      </w:r>
      <w:r>
        <w:rPr>
          <w:rFonts w:ascii="Times New Roman" w:hAnsi="Times New Roman" w:cs="Times New Roman" w:eastAsia="Times New Roman" w:hint="ascii"/>
          <w:sz w:val="21"/>
          <w:spacing w:val="51"/>
        </w:rPr>
        <w:t>1</w:t>
      </w:r>
      <w:r>
        <w:rPr>
          <w:rFonts w:ascii="宋体" w:hAnsi="宋体" w:cs="宋体" w:eastAsia="宋体" w:hint="ascii"/>
          <w:sz w:val="21"/>
          <w:spacing w:val="25"/>
        </w:rPr>
        <w:t>或</w:t>
      </w:r>
      <w:r>
        <w:rPr>
          <w:rFonts w:ascii="Times New Roman" w:hAnsi="Times New Roman" w:cs="Times New Roman" w:eastAsia="Times New Roman" w:hint="ascii"/>
          <w:sz w:val="21"/>
          <w:spacing w:val="-2"/>
        </w:rPr>
        <w:t>E0</w:t>
      </w:r>
      <w:r>
        <w:rPr>
          <w:rFonts w:ascii="Times New Roman" w:hAnsi="Times New Roman" w:cs="Times New Roman" w:eastAsia="Times New Roman" w:hint="ascii"/>
          <w:sz w:val="21"/>
          <w:spacing w:val="50"/>
        </w:rPr>
        <w:t>4</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6"/>
        </w:rPr>
        <w:t>6</w:t>
      </w:r>
      <w:r>
        <w:rPr>
          <w:rFonts w:ascii="宋体" w:hAnsi="宋体" w:cs="宋体" w:eastAsia="宋体" w:hint="ascii"/>
          <w:sz w:val="21"/>
          <w:spacing w:val="1"/>
        </w:rPr>
        <w:t>）高端装备关</w:t>
      </w:r>
      <w:r>
        <w:rPr>
          <w:rFonts w:ascii="宋体" w:hAnsi="宋体" w:cs="宋体" w:eastAsia="宋体" w:hint="ascii"/>
          <w:sz w:val="21"/>
        </w:rPr>
        <w:t>键零部件的极限寿命设计与制造研究（申请代</w:t>
      </w:r>
      <w:r>
        <w:rPr>
          <w:rFonts w:ascii="宋体" w:hAnsi="宋体" w:cs="宋体" w:eastAsia="宋体" w:hint="ascii"/>
          <w:sz w:val="21"/>
          <w:spacing w:val="-3"/>
        </w:rPr>
        <w:t>码</w:t>
      </w:r>
      <w:r>
        <w:rPr>
          <w:rFonts w:ascii="宋体" w:hAnsi="宋体" w:cs="宋体" w:eastAsia="宋体" w:hint="ascii"/>
          <w:sz w:val="21"/>
          <w:spacing w:val="-27"/>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7"/>
        </w:rPr>
        <w:t xml:space="preserve"> </w:t>
      </w:r>
      <w:r>
        <w:rPr>
          <w:rFonts w:ascii="宋体" w:hAnsi="宋体" w:cs="宋体" w:eastAsia="宋体" w:hint="ascii"/>
          <w:sz w:val="21"/>
        </w:rPr>
        <w:t>选</w:t>
      </w:r>
      <w:r>
        <w:rPr>
          <w:rFonts w:ascii="宋体" w:hAnsi="宋体" w:cs="宋体" w:eastAsia="宋体" w:hint="ascii"/>
          <w:sz w:val="21"/>
          <w:spacing w:val="-3"/>
        </w:rPr>
        <w:t>择</w:t>
      </w:r>
      <w:r>
        <w:rPr>
          <w:rFonts w:ascii="宋体" w:hAnsi="宋体" w:cs="宋体" w:eastAsia="宋体" w:hint="ascii"/>
          <w:sz w:val="21"/>
          <w:spacing w:val="-26"/>
        </w:rPr>
        <w:t xml:space="preserve">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27"/>
        </w:rPr>
        <w:t xml:space="preserve"> </w:t>
      </w:r>
      <w:r>
        <w:rPr>
          <w:rFonts w:ascii="宋体" w:hAnsi="宋体" w:cs="宋体" w:eastAsia="宋体" w:hint="ascii"/>
          <w:sz w:val="21"/>
        </w:rPr>
        <w:t>的</w:t>
      </w:r>
      <w:r>
        <w:rPr>
          <w:rFonts w:ascii="宋体" w:hAnsi="宋体" w:cs="宋体" w:eastAsia="宋体" w:hint="ascii"/>
          <w:sz w:val="21"/>
          <w:spacing w:val="-6"/>
        </w:rPr>
        <w:t>下</w:t>
      </w:r>
      <w:r>
        <w:rPr>
          <w:rFonts w:ascii="宋体" w:hAnsi="宋体" w:cs="宋体" w:eastAsia="宋体" w:hint="ascii"/>
          <w:sz w:val="21"/>
        </w:rPr>
        <w:t>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）节能近红外陶瓷涂层耐火材料研究（申请代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3"/>
        </w:rPr>
        <w:t>2</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7"/>
        </w:rPr>
        <w:t>8</w:t>
      </w:r>
      <w:r>
        <w:rPr>
          <w:rFonts w:ascii="宋体" w:hAnsi="宋体" w:cs="宋体" w:eastAsia="宋体" w:hint="ascii"/>
          <w:sz w:val="21"/>
        </w:rPr>
        <w:t>）等离子体辅助沉积石墨烯薄膜制备与应用的基础研究（申请代</w:t>
      </w:r>
      <w:r>
        <w:rPr>
          <w:rFonts w:ascii="宋体" w:hAnsi="宋体" w:cs="宋体" w:eastAsia="宋体" w:hint="ascii"/>
          <w:sz w:val="21"/>
          <w:spacing w:val="-3"/>
        </w:rPr>
        <w:t>码</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rPr>
        <w:t>选</w:t>
      </w:r>
      <w:r>
        <w:rPr>
          <w:rFonts w:ascii="宋体" w:hAnsi="宋体" w:cs="宋体" w:eastAsia="宋体" w:hint="ascii"/>
          <w:sz w:val="21"/>
          <w:spacing w:val="-3"/>
        </w:rPr>
        <w:t>择</w:t>
      </w:r>
      <w:r>
        <w:rPr>
          <w:rFonts w:ascii="宋体" w:hAnsi="宋体" w:cs="宋体" w:eastAsia="宋体" w:hint="ascii"/>
          <w:sz w:val="21"/>
          <w:spacing w:val="-25"/>
        </w:rPr>
        <w:t xml:space="preserve"> </w:t>
      </w:r>
      <w:r>
        <w:rPr>
          <w:rFonts w:ascii="Times New Roman" w:hAnsi="Times New Roman" w:cs="Times New Roman" w:eastAsia="Times New Roman" w:hint="ascii"/>
          <w:sz w:val="21"/>
        </w:rPr>
        <w:t xml:space="preserve">E01 </w:t>
      </w:r>
      <w:r>
        <w:rPr>
          <w:rFonts w:ascii="宋体" w:hAnsi="宋体" w:cs="宋体" w:eastAsia="宋体" w:hint="ascii"/>
          <w:sz w:val="21"/>
        </w:rPr>
        <w:t>的下属代码）</w: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2. </w:t>
      </w: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选择工程与材料科学部申请代码）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围绕河南特色优势产业，开展新型功能化纳米材料、有机高分子材料、无机非金属</w:t>
      </w:r>
    </w:p>
    <w:p>
      <w:pPr>
        <w:autoSpaceDE w:val="0"/>
        <w:autoSpaceDN w:val="0"/>
        <w:jc w:val="both"/>
        <w:spacing w:before="10" w:after="0" w:lineRule="exact" w:line="312"/>
        <w:ind w:right="96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材料、有色金属材料、复合材料</w:t>
      </w:r>
      <w:r>
        <w:rPr>
          <w:rFonts w:ascii="宋体" w:hAnsi="宋体" w:cs="宋体" w:eastAsia="宋体" w:hint="ascii"/>
          <w:sz w:val="21"/>
        </w:rPr>
        <w:t>、新能源材料、超硬材料等关键基础材料的设计、</w:t>
      </w:r>
      <w:r>
        <w:rPr>
          <w:rFonts w:ascii="宋体" w:hAnsi="宋体" w:cs="宋体" w:eastAsia="宋体" w:hint="ascii"/>
          <w:sz w:val="21"/>
          <w:spacing w:val="-6"/>
        </w:rPr>
        <w:t>制</w:t>
      </w:r>
      <w:r>
        <w:rPr>
          <w:rFonts w:ascii="宋体" w:hAnsi="宋体" w:cs="宋体" w:eastAsia="宋体" w:hint="ascii"/>
          <w:sz w:val="21"/>
        </w:rPr>
        <w:t>备、复合及改性优化的理化基础、关键技术和组织控制的应用基础研究；非金属矿产品的深加工和资源循环利用；异相异质结构材料、盐资源综合利用；先进精密成形或加工技术；机械表面</w:t>
      </w:r>
      <w:r>
        <w:rPr>
          <w:rFonts w:ascii="Times New Roman" w:hAnsi="Times New Roman" w:cs="Times New Roman" w:eastAsia="Times New Roman" w:hint="ascii"/>
          <w:sz w:val="21"/>
        </w:rPr>
        <w:t>/</w:t>
      </w:r>
      <w:r>
        <w:rPr>
          <w:rFonts w:ascii="宋体" w:hAnsi="宋体" w:cs="宋体" w:eastAsia="宋体" w:hint="ascii"/>
          <w:sz w:val="21"/>
        </w:rPr>
        <w:t>界面功能设计与性能调控；高效精密加工的理论、技术、方法；智能</w:t>
      </w:r>
      <w:r>
        <w:rPr>
          <w:rFonts w:ascii="宋体" w:hAnsi="宋体" w:cs="宋体" w:eastAsia="宋体" w:hint="ascii"/>
          <w:sz w:val="21"/>
          <w:spacing w:val="1"/>
        </w:rPr>
        <w:t>制造的新原理、新模式、新系统</w:t>
      </w:r>
      <w:r>
        <w:rPr>
          <w:rFonts w:ascii="宋体" w:hAnsi="宋体" w:cs="宋体" w:eastAsia="宋体" w:hint="ascii"/>
          <w:sz w:val="21"/>
        </w:rPr>
        <w:t>、新装备；增材制造、再制造与激光制造；齿轮、</w:t>
      </w:r>
      <w:r>
        <w:rPr>
          <w:rFonts w:ascii="宋体" w:hAnsi="宋体" w:cs="宋体" w:eastAsia="宋体" w:hint="ascii"/>
          <w:sz w:val="21"/>
          <w:spacing w:val="-6"/>
        </w:rPr>
        <w:t>轴</w:t>
      </w:r>
      <w:r>
        <w:rPr>
          <w:rFonts w:ascii="宋体" w:hAnsi="宋体" w:cs="宋体" w:eastAsia="宋体" w:hint="ascii"/>
          <w:sz w:val="21"/>
        </w:rPr>
        <w:t>承、电主轴等核心零部件可靠性设计制造基础理论和技术；先进电气设备制造与安全运行基础理论和技术；高耗能领域节能技术与装备等关键科学问题研究。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四、电子信息领域（申请代</w:t>
      </w:r>
      <w:r>
        <w:rPr>
          <w:rFonts w:ascii="宋体" w:hAnsi="宋体" w:cs="宋体" w:eastAsia="宋体" w:hint="ascii"/>
          <w:spacing w:val="30"/>
        </w:rPr>
        <w:t>码</w:t>
      </w:r>
      <w:r>
        <w:rPr>
          <w:rFonts w:ascii="宋体" w:hAnsi="宋体" w:cs="宋体" w:eastAsia="宋体" w:hint="ascii"/>
        </w:rPr>
        <w:t>1</w:t>
      </w:r>
      <w:r>
        <w:rPr>
          <w:rFonts w:ascii="宋体" w:hAnsi="宋体" w:cs="宋体" w:eastAsia="宋体" w:hint="ascii"/>
          <w:spacing w:val="7"/>
        </w:rPr>
        <w:t xml:space="preserve"> </w:t>
      </w:r>
      <w:r>
        <w:rPr>
          <w:rFonts w:ascii="宋体" w:hAnsi="宋体" w:cs="宋体" w:eastAsia="宋体" w:hint="ascii"/>
        </w:rPr>
        <w:t>选</w:t>
      </w:r>
      <w:r>
        <w:rPr>
          <w:rFonts w:ascii="宋体" w:hAnsi="宋体" w:cs="宋体" w:eastAsia="宋体" w:hint="ascii"/>
          <w:spacing w:val="30"/>
        </w:rPr>
        <w:t>择</w:t>
      </w:r>
      <w:r>
        <w:rPr>
          <w:rFonts w:ascii="宋体" w:hAnsi="宋体" w:cs="宋体" w:eastAsia="宋体" w:hint="ascii"/>
          <w:spacing w:val="13"/>
        </w:rPr>
        <w:t>L05</w:t>
      </w:r>
      <w:r>
        <w:rPr>
          <w:rFonts w:ascii="宋体" w:hAnsi="宋体" w:cs="宋体" w:eastAsia="宋体" w:hint="ascii"/>
        </w:rPr>
        <w:t>）</w:t>
      </w:r>
    </w:p>
    <w:p>
      <w:pPr>
        <w:autoSpaceDE w:val="0"/>
        <w:autoSpaceDN w:val="0"/>
        <w:jc w:val="left"/>
        <w:spacing w:before="197" w:after="0" w:lineRule="auto" w:line="240"/>
        <w:ind w:right="0" w:left="1649" w:hanging="263"/>
        <w:snapToGrid w:val="0"/>
        <w:textAlignment w:val="auto"/>
        <w:tabs>
          <w:tab w:val="left" w:leader="none" w:pos="1648"/>
        </w:tabs>
        <w:numPr>
          <w:ilvl w:val="0"/>
          <w:numId w:val="333"/>
        </w:numPr>
        <w:rPr>
          <w:rFonts w:ascii="Times New Roman" w:hAnsi="Times New Roman" w:cs="Times New Roman" w:eastAsia="Times New Roman" w:hint="ascii"/>
          <w:sz w:val="21"/>
        </w:rPr>
      </w:pPr>
      <w:r>
        <w:rPr>
          <w:rFonts w:ascii="宋体" w:hAnsi="宋体" w:cs="宋体" w:eastAsia="宋体" w:hint="ascii"/>
          <w:sz w:val="21"/>
        </w:rPr>
        <w:t>重点支持项目。</w:t>
      </w:r>
    </w:p>
    <w:p>
      <w:pPr>
        <w:autoSpaceDE w:val="0"/>
        <w:autoSpaceDN w:val="0"/>
        <w:jc w:val="both"/>
        <w:spacing w:before="17" w:after="0" w:lineRule="exact" w:line="312"/>
        <w:ind w:right="967" w:left="966" w:firstLine="420"/>
        <w:snapToGrid w:val="0"/>
        <w:textAlignment w:val="auto"/>
        <w:tabs/>
        <w:rPr>
          <w:rFonts w:ascii="宋体" w:hAnsi="宋体" w:cs="宋体" w:eastAsia="宋体" w:hint="ascii"/>
          <w:sz w:val="21"/>
        </w:rPr>
      </w:pPr>
      <w:r>
        <w:rPr>
          <w:rFonts w:ascii="宋体" w:hAnsi="宋体" w:cs="宋体" w:eastAsia="宋体" w:hint="ascii"/>
          <w:sz w:val="21"/>
        </w:rPr>
        <w:t>面向智能检测、现代通信、网络安全、智慧医疗、新型电子器件等领域技术需求，开展信息技术基础理论与关键技术研究。</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w:t>
      </w:r>
    </w:p>
    <w:p>
      <w:pPr>
        <w:autoSpaceDE w:val="0"/>
        <w:autoSpaceDN w:val="0"/>
        <w:jc w:val="both"/>
        <w:spacing w:before="10" w:after="0" w:lineRule="exact" w:line="312"/>
        <w:ind w:right="1071"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）金属冶</w:t>
      </w:r>
      <w:r>
        <w:rPr>
          <w:rFonts w:ascii="宋体" w:hAnsi="宋体" w:cs="宋体" w:eastAsia="宋体" w:hint="ascii"/>
          <w:sz w:val="21"/>
        </w:rPr>
        <w:t>炼过程中在线辐射测温理论与关键技术研究（申请代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1"/>
        </w:rPr>
        <w:t>5</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）云计算环境内生安全防御理论与方法研究（申请代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1281"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）多媒体隐蔽通信的行为发现与主体定位研究（申请</w:t>
      </w:r>
      <w:r>
        <w:rPr>
          <w:rFonts w:ascii="宋体" w:hAnsi="宋体" w:cs="宋体" w:eastAsia="宋体" w:hint="ascii"/>
          <w:sz w:val="21"/>
          <w:spacing w:val="-1"/>
        </w:rPr>
        <w:t>代</w:t>
      </w:r>
      <w:r>
        <w:rPr>
          <w:rFonts w:ascii="宋体" w:hAnsi="宋体" w:cs="宋体" w:eastAsia="宋体" w:hint="ascii"/>
          <w:sz w:val="21"/>
          <w:spacing w:val="25"/>
        </w:rPr>
        <w:t>码</w:t>
      </w:r>
      <w:r>
        <w:rPr>
          <w:rFonts w:ascii="Times New Roman" w:hAnsi="Times New Roman" w:cs="Times New Roman" w:eastAsia="Times New Roman" w:hint="ascii"/>
          <w:sz w:val="21"/>
          <w:spacing w:val="51"/>
        </w:rPr>
        <w:t>2</w:t>
      </w:r>
      <w:r>
        <w:rPr>
          <w:rFonts w:ascii="宋体" w:hAnsi="宋体" w:cs="宋体" w:eastAsia="宋体" w:hint="ascii"/>
          <w:sz w:val="21"/>
          <w:spacing w:val="-1"/>
        </w:rPr>
        <w:t>选</w:t>
      </w:r>
      <w:r>
        <w:rPr>
          <w:rFonts w:ascii="宋体" w:hAnsi="宋体" w:cs="宋体" w:eastAsia="宋体" w:hint="ascii"/>
          <w:sz w:val="21"/>
          <w:spacing w:val="26"/>
        </w:rPr>
        <w:t>择</w:t>
      </w:r>
      <w:r>
        <w:rPr>
          <w:rFonts w:ascii="Times New Roman" w:hAnsi="Times New Roman" w:cs="Times New Roman" w:eastAsia="Times New Roman" w:hint="ascii"/>
          <w:sz w:val="21"/>
          <w:spacing w:val="-1"/>
        </w:rPr>
        <w:t>F01020</w:t>
      </w:r>
      <w:r>
        <w:rPr>
          <w:rFonts w:ascii="Times New Roman" w:hAnsi="Times New Roman" w:cs="Times New Roman" w:eastAsia="Times New Roman" w:hint="ascii"/>
          <w:sz w:val="21"/>
          <w:spacing w:val="51"/>
        </w:rPr>
        <w:t>3</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4</w:t>
      </w:r>
      <w:r>
        <w:rPr>
          <w:rFonts w:ascii="宋体" w:hAnsi="宋体" w:cs="宋体" w:eastAsia="宋体" w:hint="ascii"/>
          <w:sz w:val="21"/>
        </w:rPr>
        <w:t>）食管癌早期诊断的生物信息研究（申请代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F012</w:t>
      </w:r>
      <w:r>
        <w:rPr>
          <w:rFonts w:ascii="Times New Roman" w:hAnsi="Times New Roman" w:cs="Times New Roman" w:eastAsia="Times New Roman" w:hint="ascii"/>
          <w:sz w:val="21"/>
          <w:spacing w:val="52"/>
        </w:rPr>
        <w:t>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）自驱动高性能气敏传感器的关键技术研究（申请代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F012</w:t>
      </w:r>
      <w:r>
        <w:rPr>
          <w:rFonts w:ascii="Times New Roman" w:hAnsi="Times New Roman" w:cs="Times New Roman" w:eastAsia="Times New Roman" w:hint="ascii"/>
          <w:sz w:val="21"/>
          <w:spacing w:val="52"/>
        </w:rPr>
        <w:t>3</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9" w:after="0" w:lineRule="auto" w:line="240"/>
        <w:ind w:right="0" w:left="1649" w:hanging="263"/>
        <w:snapToGrid w:val="0"/>
        <w:textAlignment w:val="auto"/>
        <w:tabs>
          <w:tab w:val="left" w:leader="none" w:pos="1648"/>
        </w:tabs>
        <w:numPr>
          <w:ilvl w:val="0"/>
          <w:numId w:val="333"/>
        </w:numPr>
        <w:rPr>
          <w:rFonts w:ascii="Times New Roman" w:hAnsi="Times New Roman" w:cs="Times New Roman" w:eastAsia="Times New Roman" w:hint="ascii"/>
          <w:sz w:val="21"/>
        </w:rPr>
      </w:pP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2</w:t>
      </w:r>
      <w:r>
        <w:rPr>
          <w:rFonts w:ascii="宋体" w:hAnsi="宋体" w:cs="宋体" w:eastAsia="宋体" w:hint="ascii"/>
          <w:sz w:val="21"/>
        </w:rPr>
        <w:t>选择信息科学部申请代码）</w:t>
      </w:r>
    </w:p>
    <w:p>
      <w:pPr>
        <w:autoSpaceDE w:val="0"/>
        <w:autoSpaceDN w:val="0"/>
        <w:jc w:val="left"/>
        <w:spacing w:before="57" w:after="0" w:lineRule="exact" w:line="263"/>
        <w:ind w:right="0" w:left="1377" w:firstLine="0"/>
        <w:snapToGrid w:val="0"/>
        <w:textAlignment w:val="auto"/>
        <w:tabs/>
        <w:rPr>
          <w:rFonts w:ascii="宋体" w:hAnsi="宋体" w:cs="宋体" w:eastAsia="宋体" w:hint="ascii"/>
          <w:sz w:val="21"/>
        </w:rPr>
      </w:pPr>
      <w:r>
        <w:rPr>
          <w:rFonts w:ascii="宋体" w:hAnsi="宋体" w:cs="宋体" w:eastAsia="宋体" w:hint="ascii"/>
          <w:sz w:val="21"/>
          <w:spacing w:val="-1"/>
        </w:rPr>
        <w:t>可</w:t>
      </w:r>
      <w:r>
        <w:rPr>
          <w:rFonts w:ascii="宋体" w:hAnsi="宋体" w:cs="宋体" w:eastAsia="宋体" w:hint="ascii"/>
          <w:sz w:val="21"/>
          <w:spacing w:val="-2"/>
        </w:rPr>
        <w:t>信系统</w:t>
      </w:r>
      <w:r>
        <w:rPr>
          <w:rFonts w:ascii="宋体" w:hAnsi="宋体" w:cs="宋体" w:eastAsia="宋体" w:hint="ascii"/>
          <w:sz w:val="21"/>
          <w:spacing w:val="-3"/>
        </w:rPr>
        <w:t>与</w:t>
      </w:r>
      <w:r>
        <w:rPr>
          <w:rFonts w:ascii="宋体" w:hAnsi="宋体" w:cs="宋体" w:eastAsia="宋体" w:hint="ascii"/>
          <w:sz w:val="21"/>
          <w:spacing w:val="-2"/>
        </w:rPr>
        <w:t>网</w:t>
      </w:r>
      <w:r>
        <w:rPr>
          <w:rFonts w:ascii="宋体" w:hAnsi="宋体" w:cs="宋体" w:eastAsia="宋体" w:hint="ascii"/>
          <w:sz w:val="21"/>
          <w:spacing w:val="-3"/>
        </w:rPr>
        <w:t>络</w:t>
      </w:r>
      <w:r>
        <w:rPr>
          <w:rFonts w:ascii="宋体" w:hAnsi="宋体" w:cs="宋体" w:eastAsia="宋体" w:hint="ascii"/>
          <w:sz w:val="21"/>
          <w:spacing w:val="-2"/>
        </w:rPr>
        <w:t>安</w:t>
      </w:r>
      <w:r>
        <w:rPr>
          <w:rFonts w:ascii="宋体" w:hAnsi="宋体" w:cs="宋体" w:eastAsia="宋体" w:hint="ascii"/>
          <w:sz w:val="21"/>
          <w:spacing w:val="-3"/>
        </w:rPr>
        <w:t>全</w:t>
      </w:r>
      <w:r>
        <w:rPr>
          <w:rFonts w:ascii="宋体" w:hAnsi="宋体" w:cs="宋体" w:eastAsia="宋体" w:hint="ascii"/>
          <w:sz w:val="21"/>
          <w:spacing w:val="-2"/>
        </w:rPr>
        <w:t>；</w:t>
      </w:r>
      <w:r>
        <w:rPr>
          <w:rFonts w:ascii="宋体" w:hAnsi="宋体" w:cs="宋体" w:eastAsia="宋体" w:hint="ascii"/>
          <w:sz w:val="21"/>
          <w:spacing w:val="-3"/>
        </w:rPr>
        <w:t>基</w:t>
      </w:r>
      <w:r>
        <w:rPr>
          <w:rFonts w:ascii="宋体" w:hAnsi="宋体" w:cs="宋体" w:eastAsia="宋体" w:hint="ascii"/>
          <w:sz w:val="21"/>
          <w:spacing w:val="-2"/>
        </w:rPr>
        <w:t>于</w:t>
      </w:r>
      <w:r>
        <w:rPr>
          <w:rFonts w:ascii="宋体" w:hAnsi="宋体" w:cs="宋体" w:eastAsia="宋体" w:hint="ascii"/>
          <w:sz w:val="21"/>
          <w:spacing w:val="-3"/>
        </w:rPr>
        <w:t>云</w:t>
      </w:r>
      <w:r>
        <w:rPr>
          <w:rFonts w:ascii="宋体" w:hAnsi="宋体" w:cs="宋体" w:eastAsia="宋体" w:hint="ascii"/>
          <w:sz w:val="21"/>
          <w:spacing w:val="-2"/>
        </w:rPr>
        <w:t>计</w:t>
      </w:r>
      <w:r>
        <w:rPr>
          <w:rFonts w:ascii="宋体" w:hAnsi="宋体" w:cs="宋体" w:eastAsia="宋体" w:hint="ascii"/>
          <w:sz w:val="21"/>
          <w:spacing w:val="-3"/>
        </w:rPr>
        <w:t>算</w:t>
      </w:r>
      <w:r>
        <w:rPr>
          <w:rFonts w:ascii="宋体" w:hAnsi="宋体" w:cs="宋体" w:eastAsia="宋体" w:hint="ascii"/>
          <w:sz w:val="21"/>
          <w:spacing w:val="-2"/>
        </w:rPr>
        <w:t>的</w:t>
      </w:r>
      <w:r>
        <w:rPr>
          <w:rFonts w:ascii="宋体" w:hAnsi="宋体" w:cs="宋体" w:eastAsia="宋体" w:hint="ascii"/>
          <w:sz w:val="21"/>
          <w:spacing w:val="-3"/>
        </w:rPr>
        <w:t>大</w:t>
      </w:r>
      <w:r>
        <w:rPr>
          <w:rFonts w:ascii="宋体" w:hAnsi="宋体" w:cs="宋体" w:eastAsia="宋体" w:hint="ascii"/>
          <w:sz w:val="21"/>
          <w:spacing w:val="-2"/>
        </w:rPr>
        <w:t>数</w:t>
      </w:r>
      <w:r>
        <w:rPr>
          <w:rFonts w:ascii="宋体" w:hAnsi="宋体" w:cs="宋体" w:eastAsia="宋体" w:hint="ascii"/>
          <w:sz w:val="21"/>
          <w:spacing w:val="-3"/>
        </w:rPr>
        <w:t>据</w:t>
      </w:r>
      <w:r>
        <w:rPr>
          <w:rFonts w:ascii="宋体" w:hAnsi="宋体" w:cs="宋体" w:eastAsia="宋体" w:hint="ascii"/>
          <w:sz w:val="21"/>
          <w:spacing w:val="-2"/>
        </w:rPr>
        <w:t>并</w:t>
      </w:r>
      <w:r>
        <w:rPr>
          <w:rFonts w:ascii="宋体" w:hAnsi="宋体" w:cs="宋体" w:eastAsia="宋体" w:hint="ascii"/>
          <w:sz w:val="21"/>
          <w:spacing w:val="-3"/>
        </w:rPr>
        <w:t>行</w:t>
      </w:r>
      <w:r>
        <w:rPr>
          <w:rFonts w:ascii="宋体" w:hAnsi="宋体" w:cs="宋体" w:eastAsia="宋体" w:hint="ascii"/>
          <w:sz w:val="21"/>
          <w:spacing w:val="-2"/>
        </w:rPr>
        <w:t>处</w:t>
      </w:r>
      <w:r>
        <w:rPr>
          <w:rFonts w:ascii="宋体" w:hAnsi="宋体" w:cs="宋体" w:eastAsia="宋体" w:hint="ascii"/>
          <w:sz w:val="21"/>
          <w:spacing w:val="-3"/>
        </w:rPr>
        <w:t>理</w:t>
      </w:r>
      <w:r>
        <w:rPr>
          <w:rFonts w:ascii="宋体" w:hAnsi="宋体" w:cs="宋体" w:eastAsia="宋体" w:hint="ascii"/>
          <w:sz w:val="21"/>
          <w:spacing w:val="-2"/>
        </w:rPr>
        <w:t>技</w:t>
      </w:r>
      <w:r>
        <w:rPr>
          <w:rFonts w:ascii="宋体" w:hAnsi="宋体" w:cs="宋体" w:eastAsia="宋体" w:hint="ascii"/>
          <w:sz w:val="21"/>
          <w:spacing w:val="-3"/>
        </w:rPr>
        <w:t>术</w:t>
      </w:r>
      <w:r>
        <w:rPr>
          <w:rFonts w:ascii="宋体" w:hAnsi="宋体" w:cs="宋体" w:eastAsia="宋体" w:hint="ascii"/>
          <w:sz w:val="21"/>
          <w:spacing w:val="-2"/>
        </w:rPr>
        <w:t>；</w:t>
      </w:r>
      <w:r>
        <w:rPr>
          <w:rFonts w:ascii="宋体" w:hAnsi="宋体" w:cs="宋体" w:eastAsia="宋体" w:hint="ascii"/>
          <w:sz w:val="21"/>
          <w:spacing w:val="-3"/>
        </w:rPr>
        <w:t>基</w:t>
      </w:r>
      <w:r>
        <w:rPr>
          <w:rFonts w:ascii="宋体" w:hAnsi="宋体" w:cs="宋体" w:eastAsia="宋体" w:hint="ascii"/>
          <w:sz w:val="21"/>
          <w:spacing w:val="-2"/>
        </w:rPr>
        <w:t>于</w:t>
      </w:r>
      <w:r>
        <w:rPr>
          <w:rFonts w:ascii="宋体" w:hAnsi="宋体" w:cs="宋体" w:eastAsia="宋体" w:hint="ascii"/>
          <w:sz w:val="21"/>
          <w:spacing w:val="-3"/>
        </w:rPr>
        <w:t>深</w:t>
      </w:r>
      <w:r>
        <w:rPr>
          <w:rFonts w:ascii="宋体" w:hAnsi="宋体" w:cs="宋体" w:eastAsia="宋体" w:hint="ascii"/>
          <w:sz w:val="21"/>
          <w:spacing w:val="-2"/>
        </w:rPr>
        <w:t>度</w:t>
      </w:r>
      <w:r>
        <w:rPr>
          <w:rFonts w:ascii="宋体" w:hAnsi="宋体" w:cs="宋体" w:eastAsia="宋体" w:hint="ascii"/>
          <w:sz w:val="21"/>
          <w:spacing w:val="-3"/>
        </w:rPr>
        <w:t>学</w:t>
      </w:r>
      <w:r>
        <w:rPr>
          <w:rFonts w:ascii="宋体" w:hAnsi="宋体" w:cs="宋体" w:eastAsia="宋体" w:hint="ascii"/>
          <w:sz w:val="21"/>
          <w:spacing w:val="-2"/>
        </w:rPr>
        <w:t>习</w:t>
      </w:r>
      <w:r>
        <w:rPr>
          <w:rFonts w:ascii="宋体" w:hAnsi="宋体" w:cs="宋体" w:eastAsia="宋体" w:hint="ascii"/>
          <w:sz w:val="21"/>
          <w:spacing w:val="-3"/>
        </w:rPr>
        <w:t>的</w:t>
      </w:r>
      <w:r>
        <w:rPr>
          <w:rFonts w:ascii="宋体" w:hAnsi="宋体" w:cs="宋体" w:eastAsia="宋体" w:hint="ascii"/>
          <w:sz w:val="21"/>
          <w:spacing w:val="-2"/>
        </w:rPr>
        <w:t>知</w:t>
      </w:r>
      <w:r>
        <w:rPr>
          <w:rFonts w:ascii="宋体" w:hAnsi="宋体" w:cs="宋体" w:eastAsia="宋体" w:hint="ascii"/>
          <w:sz w:val="21"/>
          <w:spacing w:val="-3"/>
        </w:rPr>
        <w:t>识</w:t>
      </w:r>
      <w:r>
        <w:rPr>
          <w:rFonts w:ascii="宋体" w:hAnsi="宋体" w:cs="宋体" w:eastAsia="宋体" w:hint="ascii"/>
          <w:sz w:val="21"/>
          <w:spacing w:val="-2"/>
        </w:rPr>
        <w:t>挖</w:t>
      </w:r>
      <w:r>
        <w:rPr>
          <w:rFonts w:ascii="宋体" w:hAnsi="宋体" w:cs="宋体" w:eastAsia="宋体" w:hint="ascii"/>
          <w:sz w:val="21"/>
        </w:rPr>
        <w:t>掘</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与智能分析方法与技术研究；模式识别理论与方法；机器视觉及视频理论与新技术；网</w:t>
      </w:r>
    </w:p>
    <w:p>
      <w:pPr>
        <w:autoSpaceDE w:val="0"/>
        <w:autoSpaceDN w:val="0"/>
        <w:jc w:val="both"/>
        <w:spacing w:before="10" w:after="0" w:lineRule="exact" w:line="312"/>
        <w:ind w:right="967" w:left="966" w:firstLine="0"/>
        <w:snapToGrid w:val="0"/>
        <w:textAlignment w:val="auto"/>
        <w:tabs/>
        <w:rPr>
          <w:rFonts w:ascii="宋体" w:hAnsi="宋体" w:cs="宋体" w:eastAsia="宋体" w:hint="ascii"/>
          <w:sz w:val="21"/>
        </w:rPr>
      </w:pPr>
      <w:r>
        <w:rPr>
          <w:rFonts w:ascii="宋体" w:hAnsi="宋体" w:cs="宋体" w:eastAsia="宋体" w:hint="ascii"/>
          <w:sz w:val="21"/>
        </w:rPr>
        <w:t>络通信与计算的协同理论与方法；物联网与智慧城市感知技术；电磁波探测理论和新技术；地理空间信息技术；多源信息的传递、融合、转换的新理论与新方法；光通信与光</w:t>
      </w:r>
      <w:r>
        <w:rPr>
          <w:rFonts w:ascii="宋体" w:hAnsi="宋体" w:cs="宋体" w:eastAsia="宋体" w:hint="ascii"/>
          <w:sz w:val="21"/>
          <w:spacing w:val="-3"/>
        </w:rPr>
        <w:t>传感器</w:t>
      </w:r>
      <w:r>
        <w:rPr>
          <w:rFonts w:ascii="宋体" w:hAnsi="宋体" w:cs="宋体" w:eastAsia="宋体" w:hint="ascii"/>
          <w:sz w:val="21"/>
          <w:spacing w:val="-4"/>
        </w:rPr>
        <w:t>件</w:t>
      </w:r>
      <w:r>
        <w:rPr>
          <w:rFonts w:ascii="宋体" w:hAnsi="宋体" w:cs="宋体" w:eastAsia="宋体" w:hint="ascii"/>
          <w:sz w:val="21"/>
          <w:spacing w:val="-5"/>
        </w:rPr>
        <w:t>的</w:t>
      </w:r>
      <w:r>
        <w:rPr>
          <w:rFonts w:ascii="宋体" w:hAnsi="宋体" w:cs="宋体" w:eastAsia="宋体" w:hint="ascii"/>
          <w:sz w:val="21"/>
          <w:spacing w:val="-4"/>
        </w:rPr>
        <w:t>系</w:t>
      </w:r>
      <w:r>
        <w:rPr>
          <w:rFonts w:ascii="宋体" w:hAnsi="宋体" w:cs="宋体" w:eastAsia="宋体" w:hint="ascii"/>
          <w:sz w:val="21"/>
          <w:spacing w:val="-5"/>
        </w:rPr>
        <w:t>统理</w:t>
      </w:r>
      <w:r>
        <w:rPr>
          <w:rFonts w:ascii="宋体" w:hAnsi="宋体" w:cs="宋体" w:eastAsia="宋体" w:hint="ascii"/>
          <w:sz w:val="21"/>
          <w:spacing w:val="-4"/>
        </w:rPr>
        <w:t>论</w:t>
      </w:r>
      <w:r>
        <w:rPr>
          <w:rFonts w:ascii="宋体" w:hAnsi="宋体" w:cs="宋体" w:eastAsia="宋体" w:hint="ascii"/>
          <w:sz w:val="21"/>
          <w:spacing w:val="-5"/>
        </w:rPr>
        <w:t>与新</w:t>
      </w:r>
      <w:r>
        <w:rPr>
          <w:rFonts w:ascii="宋体" w:hAnsi="宋体" w:cs="宋体" w:eastAsia="宋体" w:hint="ascii"/>
          <w:sz w:val="21"/>
          <w:spacing w:val="-4"/>
        </w:rPr>
        <w:t>技</w:t>
      </w:r>
      <w:r>
        <w:rPr>
          <w:rFonts w:ascii="宋体" w:hAnsi="宋体" w:cs="宋体" w:eastAsia="宋体" w:hint="ascii"/>
          <w:sz w:val="21"/>
          <w:spacing w:val="-5"/>
        </w:rPr>
        <w:t>术；</w:t>
      </w:r>
      <w:r>
        <w:rPr>
          <w:rFonts w:ascii="宋体" w:hAnsi="宋体" w:cs="宋体" w:eastAsia="宋体" w:hint="ascii"/>
          <w:sz w:val="21"/>
          <w:spacing w:val="-4"/>
        </w:rPr>
        <w:t>新</w:t>
      </w:r>
      <w:r>
        <w:rPr>
          <w:rFonts w:ascii="宋体" w:hAnsi="宋体" w:cs="宋体" w:eastAsia="宋体" w:hint="ascii"/>
          <w:sz w:val="21"/>
          <w:spacing w:val="-5"/>
        </w:rPr>
        <w:t>型半</w:t>
      </w:r>
      <w:r>
        <w:rPr>
          <w:rFonts w:ascii="宋体" w:hAnsi="宋体" w:cs="宋体" w:eastAsia="宋体" w:hint="ascii"/>
          <w:sz w:val="21"/>
          <w:spacing w:val="-4"/>
        </w:rPr>
        <w:t>导</w:t>
      </w:r>
      <w:r>
        <w:rPr>
          <w:rFonts w:ascii="宋体" w:hAnsi="宋体" w:cs="宋体" w:eastAsia="宋体" w:hint="ascii"/>
          <w:sz w:val="21"/>
          <w:spacing w:val="-5"/>
        </w:rPr>
        <w:t>体材</w:t>
      </w:r>
      <w:r>
        <w:rPr>
          <w:rFonts w:ascii="宋体" w:hAnsi="宋体" w:cs="宋体" w:eastAsia="宋体" w:hint="ascii"/>
          <w:sz w:val="21"/>
          <w:spacing w:val="-4"/>
        </w:rPr>
        <w:t>料</w:t>
      </w:r>
      <w:r>
        <w:rPr>
          <w:rFonts w:ascii="宋体" w:hAnsi="宋体" w:cs="宋体" w:eastAsia="宋体" w:hint="ascii"/>
          <w:sz w:val="21"/>
          <w:spacing w:val="-5"/>
        </w:rPr>
        <w:t>与器</w:t>
      </w:r>
      <w:r>
        <w:rPr>
          <w:rFonts w:ascii="宋体" w:hAnsi="宋体" w:cs="宋体" w:eastAsia="宋体" w:hint="ascii"/>
          <w:sz w:val="21"/>
          <w:spacing w:val="-3"/>
        </w:rPr>
        <w:t>件</w:t>
      </w:r>
      <w:r>
        <w:rPr>
          <w:rFonts w:ascii="宋体" w:hAnsi="宋体" w:cs="宋体" w:eastAsia="宋体" w:hint="ascii"/>
          <w:sz w:val="21"/>
          <w:spacing w:val="-4"/>
        </w:rPr>
        <w:t>；非</w:t>
      </w:r>
      <w:r>
        <w:rPr>
          <w:rFonts w:ascii="宋体" w:hAnsi="宋体" w:cs="宋体" w:eastAsia="宋体" w:hint="ascii"/>
          <w:sz w:val="21"/>
          <w:spacing w:val="-3"/>
        </w:rPr>
        <w:t>线</w:t>
      </w:r>
      <w:r>
        <w:rPr>
          <w:rFonts w:ascii="宋体" w:hAnsi="宋体" w:cs="宋体" w:eastAsia="宋体" w:hint="ascii"/>
          <w:sz w:val="21"/>
          <w:spacing w:val="-4"/>
        </w:rPr>
        <w:t>性系</w:t>
      </w:r>
      <w:r>
        <w:rPr>
          <w:rFonts w:ascii="宋体" w:hAnsi="宋体" w:cs="宋体" w:eastAsia="宋体" w:hint="ascii"/>
          <w:sz w:val="21"/>
          <w:spacing w:val="-3"/>
        </w:rPr>
        <w:t>统</w:t>
      </w:r>
      <w:r>
        <w:rPr>
          <w:rFonts w:ascii="宋体" w:hAnsi="宋体" w:cs="宋体" w:eastAsia="宋体" w:hint="ascii"/>
          <w:sz w:val="21"/>
          <w:spacing w:val="-4"/>
        </w:rPr>
        <w:t>与系</w:t>
      </w:r>
      <w:r>
        <w:rPr>
          <w:rFonts w:ascii="宋体" w:hAnsi="宋体" w:cs="宋体" w:eastAsia="宋体" w:hint="ascii"/>
          <w:sz w:val="21"/>
          <w:spacing w:val="-3"/>
        </w:rPr>
        <w:t>统</w:t>
      </w:r>
      <w:r>
        <w:rPr>
          <w:rFonts w:ascii="宋体" w:hAnsi="宋体" w:cs="宋体" w:eastAsia="宋体" w:hint="ascii"/>
          <w:sz w:val="21"/>
          <w:spacing w:val="-4"/>
        </w:rPr>
        <w:t>优化</w:t>
      </w:r>
      <w:r>
        <w:rPr>
          <w:rFonts w:ascii="宋体" w:hAnsi="宋体" w:cs="宋体" w:eastAsia="宋体" w:hint="ascii"/>
          <w:sz w:val="21"/>
          <w:spacing w:val="-3"/>
        </w:rPr>
        <w:t>理</w:t>
      </w:r>
      <w:r>
        <w:rPr>
          <w:rFonts w:ascii="宋体" w:hAnsi="宋体" w:cs="宋体" w:eastAsia="宋体" w:hint="ascii"/>
          <w:sz w:val="21"/>
          <w:spacing w:val="-4"/>
        </w:rPr>
        <w:t>论与</w:t>
      </w:r>
      <w:r>
        <w:rPr>
          <w:rFonts w:ascii="宋体" w:hAnsi="宋体" w:cs="宋体" w:eastAsia="宋体" w:hint="ascii"/>
          <w:sz w:val="21"/>
          <w:spacing w:val="-1"/>
        </w:rPr>
        <w:t>新</w:t>
      </w:r>
      <w:r>
        <w:rPr>
          <w:rFonts w:ascii="宋体" w:hAnsi="宋体" w:cs="宋体" w:eastAsia="宋体" w:hint="ascii"/>
          <w:sz w:val="21"/>
        </w:rPr>
        <w:t xml:space="preserve"> </w:t>
      </w:r>
      <w:r>
        <w:rPr>
          <w:rFonts w:ascii="宋体" w:hAnsi="宋体" w:cs="宋体" w:eastAsia="宋体" w:hint="ascii"/>
          <w:sz w:val="21"/>
          <w:spacing w:val="-4"/>
        </w:rPr>
        <w:t>技</w:t>
      </w:r>
      <w:r>
        <w:rPr>
          <w:rFonts w:ascii="宋体" w:hAnsi="宋体" w:cs="宋体" w:eastAsia="宋体" w:hint="ascii"/>
          <w:sz w:val="21"/>
          <w:spacing w:val="-2"/>
        </w:rPr>
        <w:t>术；智能制造相关理论与新技术；软件工程新理论新方法；智能优化理论与方法等</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both"/>
        <w:spacing w:before="157" w:after="0" w:lineRule="exact" w:line="312"/>
        <w:ind w:right="96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）本联合基金培育项目申请人应当具有高级专业技术职务（职称）或者具有博士学位，所在依托单位必须位于河南省境内。</w:t>
      </w:r>
    </w:p>
    <w:p>
      <w:pPr>
        <w:autoSpaceDE w:val="0"/>
        <w:autoSpaceDN w:val="0"/>
        <w:jc w:val="left"/>
        <w:spacing w:before="27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重点支持项目申请人应当具有高级专业技术职务（职称</w:t>
      </w:r>
      <w:r>
        <w:rPr>
          <w:rFonts w:ascii="宋体" w:hAnsi="宋体" w:cs="宋体" w:eastAsia="宋体" w:hint="ascii"/>
          <w:sz w:val="21"/>
          <w:spacing w:val="-51"/>
        </w:rPr>
        <w:t>）</w:t>
      </w:r>
      <w:r>
        <w:rPr>
          <w:rFonts w:ascii="宋体" w:hAnsi="宋体" w:cs="宋体" w:eastAsia="宋体" w:hint="ascii"/>
          <w:sz w:val="21"/>
        </w:rPr>
        <w:t>，面向全国，河南省以外</w:t>
      </w:r>
      <w:r>
        <w:rPr>
          <w:rFonts w:ascii="宋体" w:hAnsi="宋体" w:cs="宋体" w:eastAsia="宋体" w:hint="ascii"/>
          <w:sz w:val="21"/>
        </w:rPr>
        <mc:AlternateContent>
          <mc:Choice Requires="wps">
            <w:drawing>
              <wp:anchor distL="0" distR="0" distT="0" distB="0" simplePos="0" behindDoc="1" relativeHeight="302" locked="0" layoutInCell="1" allowOverlap="1">
                <wp:simplePos x="0" y="0"/>
                <wp:positionH relativeFrom="page">
                  <wp:posOffset>938530</wp:posOffset>
                </wp:positionH>
                <wp:positionV relativeFrom="page">
                  <wp:posOffset>819150</wp:posOffset>
                </wp:positionV>
                <wp:extent cx="5076190" cy="0"/>
                <wp:wrapNone/>
                <wp:docPr id="1330" name="133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48992;width:399.70pt;" id="133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3" w:after="0" w:lineRule="exact" w:line="330"/>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的依托单位申请项目应当与河南省境内单位合作。对于合作申请的研究项目，应在申请书中明确合作各方的合作内容、主要分工等。</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）申请书正文开头应首先说明申请本联合基金中的重点支持项目相应的研究方向</w:t>
      </w:r>
    </w:p>
    <w:p>
      <w:pPr>
        <w:autoSpaceDE w:val="0"/>
        <w:autoSpaceDN w:val="0"/>
        <w:jc w:val="both"/>
        <w:spacing w:before="13" w:after="0" w:lineRule="exact" w:line="330"/>
        <w:ind w:right="964" w:left="966" w:firstLine="0"/>
        <w:snapToGrid w:val="0"/>
        <w:textAlignment w:val="auto"/>
        <w:tabs/>
        <w:rPr>
          <w:rFonts w:ascii="宋体" w:hAnsi="宋体" w:cs="宋体" w:eastAsia="宋体" w:hint="ascii"/>
          <w:sz w:val="21"/>
        </w:rPr>
      </w:pPr>
      <w:r>
        <w:rPr>
          <w:rFonts w:ascii="宋体" w:hAnsi="宋体" w:cs="宋体" w:eastAsia="宋体" w:hint="ascii"/>
          <w:sz w:val="21"/>
        </w:rPr>
        <w:t>名称，如：</w:t>
      </w:r>
      <w:r>
        <w:rPr>
          <w:rFonts w:ascii="Times New Roman" w:hAnsi="Times New Roman" w:cs="Times New Roman" w:eastAsia="Times New Roman" w:hint="ascii"/>
          <w:sz w:val="21"/>
        </w:rPr>
        <w:t>[</w:t>
      </w:r>
      <w:r>
        <w:rPr>
          <w:rFonts w:ascii="宋体" w:hAnsi="宋体" w:cs="宋体" w:eastAsia="宋体" w:hint="ascii"/>
          <w:sz w:val="21"/>
        </w:rPr>
        <w:t>本申请针对“重点支持项目”</w:t>
      </w:r>
      <w:r>
        <w:rPr>
          <w:rFonts w:ascii="宋体" w:hAnsi="宋体" w:cs="宋体" w:eastAsia="宋体" w:hint="ascii"/>
          <w:sz w:val="20"/>
        </w:rPr>
        <w:t>-</w:t>
      </w:r>
      <w:r>
        <w:rPr>
          <w:rFonts w:ascii="宋体" w:hAnsi="宋体" w:cs="宋体" w:eastAsia="宋体" w:hint="ascii"/>
          <w:sz w:val="21"/>
        </w:rPr>
        <w:t>生物与农业领域（</w:t>
      </w:r>
      <w:r>
        <w:rPr>
          <w:rFonts w:ascii="Times New Roman" w:hAnsi="Times New Roman" w:cs="Times New Roman" w:eastAsia="Times New Roman" w:hint="ascii"/>
          <w:sz w:val="21"/>
        </w:rPr>
        <w:t>1</w:t>
      </w:r>
      <w:r>
        <w:rPr>
          <w:rFonts w:ascii="宋体" w:hAnsi="宋体" w:cs="宋体" w:eastAsia="宋体" w:hint="ascii"/>
          <w:sz w:val="21"/>
          <w:spacing w:val="-53"/>
        </w:rPr>
        <w:t>）</w:t>
      </w:r>
      <w:r>
        <w:rPr>
          <w:rFonts w:ascii="宋体" w:hAnsi="宋体" w:cs="宋体" w:eastAsia="宋体" w:hint="ascii"/>
          <w:sz w:val="21"/>
        </w:rPr>
        <w:t>“河南主要农作物重要病虫害发生规律及防治的研究”撰写，……。</w:t>
      </w:r>
      <w:r>
        <w:rPr>
          <w:rFonts w:ascii="Times New Roman" w:hAnsi="Times New Roman" w:cs="Times New Roman" w:eastAsia="Times New Roman" w:hint="ascii"/>
          <w:sz w:val="21"/>
        </w:rPr>
        <w:t>]</w:t>
      </w:r>
      <w:r>
        <w:rPr>
          <w:rFonts w:ascii="宋体" w:hAnsi="宋体" w:cs="宋体" w:eastAsia="宋体" w:hint="ascii"/>
          <w:sz w:val="21"/>
        </w:rPr>
        <w:t>，以便评审专家清楚了解申请人所针对的研究题目和内容。</w:t>
      </w:r>
    </w:p>
    <w:p>
      <w:pPr>
        <w:autoSpaceDE w:val="0"/>
        <w:autoSpaceDN w:val="0"/>
        <w:jc w:val="both"/>
        <w:spacing w:before="0" w:after="0" w:lineRule="exact" w:line="330"/>
        <w:ind w:right="964" w:left="861" w:firstLine="42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9"/>
        </w:rPr>
        <w:t>3</w:t>
      </w:r>
      <w:r>
        <w:rPr>
          <w:rFonts w:ascii="宋体" w:hAnsi="宋体" w:cs="宋体" w:eastAsia="宋体" w:hint="ascii"/>
          <w:sz w:val="21"/>
          <w:spacing w:val="1"/>
        </w:rPr>
        <w:t>）</w:t>
      </w:r>
      <w:r>
        <w:rPr>
          <w:rFonts w:ascii="宋体" w:hAnsi="宋体" w:cs="宋体" w:eastAsia="宋体" w:hint="ascii"/>
          <w:sz w:val="21"/>
          <w:spacing w:val="2"/>
        </w:rPr>
        <w:t>申</w:t>
      </w:r>
      <w:r>
        <w:rPr>
          <w:rFonts w:ascii="宋体" w:hAnsi="宋体" w:cs="宋体" w:eastAsia="宋体" w:hint="ascii"/>
          <w:sz w:val="21"/>
          <w:spacing w:val="1"/>
        </w:rPr>
        <w:t>请书</w:t>
      </w:r>
      <w:r>
        <w:rPr>
          <w:rFonts w:ascii="宋体" w:hAnsi="宋体" w:cs="宋体" w:eastAsia="宋体" w:hint="ascii"/>
          <w:sz w:val="21"/>
          <w:spacing w:val="2"/>
        </w:rPr>
        <w:t>中的</w:t>
      </w:r>
      <w:r>
        <w:rPr>
          <w:rFonts w:ascii="宋体" w:hAnsi="宋体" w:cs="宋体" w:eastAsia="宋体" w:hint="ascii"/>
          <w:sz w:val="21"/>
          <w:spacing w:val="1"/>
        </w:rPr>
        <w:t>资</w:t>
      </w:r>
      <w:r>
        <w:rPr>
          <w:rFonts w:ascii="宋体" w:hAnsi="宋体" w:cs="宋体" w:eastAsia="宋体" w:hint="ascii"/>
          <w:sz w:val="21"/>
          <w:spacing w:val="2"/>
        </w:rPr>
        <w:t>助</w:t>
      </w:r>
      <w:r>
        <w:rPr>
          <w:rFonts w:ascii="宋体" w:hAnsi="宋体" w:cs="宋体" w:eastAsia="宋体" w:hint="ascii"/>
          <w:sz w:val="21"/>
          <w:spacing w:val="1"/>
        </w:rPr>
        <w:t>类</w:t>
      </w:r>
      <w:r>
        <w:rPr>
          <w:rFonts w:ascii="宋体" w:hAnsi="宋体" w:cs="宋体" w:eastAsia="宋体" w:hint="ascii"/>
          <w:sz w:val="21"/>
          <w:spacing w:val="2"/>
        </w:rPr>
        <w:t>别选</w:t>
      </w:r>
      <w:r>
        <w:rPr>
          <w:rFonts w:ascii="宋体" w:hAnsi="宋体" w:cs="宋体" w:eastAsia="宋体" w:hint="ascii"/>
          <w:sz w:val="21"/>
          <w:spacing w:val="1"/>
        </w:rPr>
        <w:t>择</w:t>
      </w:r>
      <w:r>
        <w:rPr>
          <w:rFonts w:ascii="宋体" w:hAnsi="宋体" w:cs="宋体" w:eastAsia="宋体" w:hint="ascii"/>
          <w:sz w:val="21"/>
          <w:spacing w:val="2"/>
        </w:rPr>
        <w:t>“</w:t>
      </w:r>
      <w:r>
        <w:rPr>
          <w:rFonts w:ascii="宋体" w:hAnsi="宋体" w:cs="宋体" w:eastAsia="宋体" w:hint="ascii"/>
          <w:sz w:val="21"/>
          <w:spacing w:val="1"/>
        </w:rPr>
        <w:t>联</w:t>
      </w:r>
      <w:r>
        <w:rPr>
          <w:rFonts w:ascii="宋体" w:hAnsi="宋体" w:cs="宋体" w:eastAsia="宋体" w:hint="ascii"/>
          <w:sz w:val="21"/>
          <w:spacing w:val="2"/>
        </w:rPr>
        <w:t>合基</w:t>
      </w:r>
      <w:r>
        <w:rPr>
          <w:rFonts w:ascii="宋体" w:hAnsi="宋体" w:cs="宋体" w:eastAsia="宋体" w:hint="ascii"/>
          <w:sz w:val="21"/>
          <w:spacing w:val="1"/>
        </w:rPr>
        <w:t>金</w:t>
      </w:r>
      <w:r>
        <w:rPr>
          <w:rFonts w:ascii="宋体" w:hAnsi="宋体" w:cs="宋体" w:eastAsia="宋体" w:hint="ascii"/>
          <w:sz w:val="21"/>
          <w:spacing w:val="2"/>
        </w:rPr>
        <w:t>项目</w:t>
      </w:r>
      <w:r>
        <w:rPr>
          <w:rFonts w:ascii="宋体" w:hAnsi="宋体" w:cs="宋体" w:eastAsia="宋体" w:hint="ascii"/>
          <w:sz w:val="21"/>
          <w:spacing w:val="-52"/>
        </w:rPr>
        <w:t>”</w:t>
      </w:r>
      <w:r>
        <w:rPr>
          <w:rFonts w:ascii="宋体" w:hAnsi="宋体" w:cs="宋体" w:eastAsia="宋体" w:hint="ascii"/>
          <w:sz w:val="21"/>
          <w:spacing w:val="2"/>
        </w:rPr>
        <w:t>，亚</w:t>
      </w:r>
      <w:r>
        <w:rPr>
          <w:rFonts w:ascii="宋体" w:hAnsi="宋体" w:cs="宋体" w:eastAsia="宋体" w:hint="ascii"/>
          <w:sz w:val="21"/>
          <w:spacing w:val="1"/>
        </w:rPr>
        <w:t>类</w:t>
      </w:r>
      <w:r>
        <w:rPr>
          <w:rFonts w:ascii="宋体" w:hAnsi="宋体" w:cs="宋体" w:eastAsia="宋体" w:hint="ascii"/>
          <w:sz w:val="21"/>
          <w:spacing w:val="2"/>
        </w:rPr>
        <w:t>说</w:t>
      </w:r>
      <w:r>
        <w:rPr>
          <w:rFonts w:ascii="宋体" w:hAnsi="宋体" w:cs="宋体" w:eastAsia="宋体" w:hint="ascii"/>
          <w:sz w:val="21"/>
          <w:spacing w:val="1"/>
        </w:rPr>
        <w:t>明</w:t>
      </w:r>
      <w:r>
        <w:rPr>
          <w:rFonts w:ascii="宋体" w:hAnsi="宋体" w:cs="宋体" w:eastAsia="宋体" w:hint="ascii"/>
          <w:sz w:val="21"/>
          <w:spacing w:val="2"/>
        </w:rPr>
        <w:t>选择</w:t>
      </w:r>
      <w:r>
        <w:rPr>
          <w:rFonts w:ascii="宋体" w:hAnsi="宋体" w:cs="宋体" w:eastAsia="宋体" w:hint="ascii"/>
          <w:sz w:val="21"/>
          <w:spacing w:val="1"/>
        </w:rPr>
        <w:t>“</w:t>
      </w:r>
      <w:r>
        <w:rPr>
          <w:rFonts w:ascii="宋体" w:hAnsi="宋体" w:cs="宋体" w:eastAsia="宋体" w:hint="ascii"/>
          <w:sz w:val="21"/>
          <w:spacing w:val="2"/>
        </w:rPr>
        <w:t>培</w:t>
      </w:r>
      <w:r>
        <w:rPr>
          <w:rFonts w:ascii="宋体" w:hAnsi="宋体" w:cs="宋体" w:eastAsia="宋体" w:hint="ascii"/>
          <w:sz w:val="21"/>
          <w:spacing w:val="1"/>
        </w:rPr>
        <w:t>育</w:t>
      </w:r>
      <w:r>
        <w:rPr>
          <w:rFonts w:ascii="宋体" w:hAnsi="宋体" w:cs="宋体" w:eastAsia="宋体" w:hint="ascii"/>
          <w:sz w:val="21"/>
          <w:spacing w:val="2"/>
        </w:rPr>
        <w:t>项目”</w:t>
      </w:r>
      <w:r>
        <w:rPr>
          <w:rFonts w:ascii="宋体" w:hAnsi="宋体" w:cs="宋体" w:eastAsia="宋体" w:hint="ascii"/>
          <w:sz w:val="21"/>
          <w:spacing w:val="-6"/>
        </w:rPr>
        <w:t>或</w:t>
      </w:r>
      <w:r>
        <w:rPr>
          <w:rFonts w:ascii="宋体" w:hAnsi="宋体" w:cs="宋体" w:eastAsia="宋体" w:hint="ascii"/>
          <w:sz w:val="21"/>
        </w:rPr>
        <w:t xml:space="preserve"> “重点支持项目</w:t>
      </w:r>
      <w:r>
        <w:rPr>
          <w:rFonts w:ascii="宋体" w:hAnsi="宋体" w:cs="宋体" w:eastAsia="宋体" w:hint="ascii"/>
          <w:sz w:val="21"/>
          <w:spacing w:val="-50"/>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河南联合基金</w:t>
      </w:r>
      <w:r>
        <w:rPr>
          <w:rFonts w:ascii="宋体" w:hAnsi="宋体" w:cs="宋体" w:eastAsia="宋体" w:hint="ascii"/>
          <w:sz w:val="21"/>
          <w:spacing w:val="-51"/>
        </w:rPr>
        <w:t>”</w:t>
      </w:r>
      <w:r>
        <w:rPr>
          <w:rFonts w:ascii="宋体" w:hAnsi="宋体" w:cs="宋体" w:eastAsia="宋体" w:hint="ascii"/>
          <w:sz w:val="21"/>
        </w:rPr>
        <w:t>；申请代码必须按本指南要求</w:t>
      </w:r>
    </w:p>
    <w:p>
      <w:pPr>
        <w:autoSpaceDE w:val="0"/>
        <w:autoSpaceDN w:val="0"/>
        <w:jc w:val="left"/>
        <w:spacing w:before="5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选择。</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3" w:after="0" w:lineRule="exact" w:line="330"/>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研究内容和目标等由申请人提出。要求申请人分别按照培育项目和重点支持项目申请书撰写提纲撰写申请书。</w:t>
      </w:r>
    </w:p>
    <w:p>
      <w:pPr>
        <w:autoSpaceDE w:val="0"/>
        <w:autoSpaceDN w:val="0"/>
        <w:jc w:val="both"/>
        <w:spacing w:before="0" w:after="0" w:lineRule="exact" w:line="330"/>
        <w:ind w:right="964" w:left="966" w:firstLine="42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rPr>
        <w:t>如果申请人已经承担与本联合基金相关的国家其他科技计划项目，应当在申请书正文的“研究基础与工作条件”部分论述申请项目与其他相关项目的区别与联系。</w:t>
      </w:r>
      <w:rPr>
        <w:rFonts w:ascii="宋体" w:hAnsi="宋体" w:cs="宋体" w:eastAsia="宋体" w:hint="ascii"/>
        <w:sz w:val="21"/>
      </w:rP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p>
    <w:p>
      <w:pPr>
        <w:autoSpaceDE w:val="0"/>
        <w:autoSpaceDN w:val="0"/>
        <w:jc w:val="left"/>
        <w:spacing w:before="207" w:after="0" w:lineRule="exact" w:line="250"/>
        <w:ind w:right="0" w:left="1395" w:firstLine="0"/>
        <w:snapToGrid w:val="0"/>
        <w:textAlignment w:val="auto"/>
        <w:tabs/>
        <w:rPr>
          <w:rFonts w:ascii="宋体" w:hAnsi="宋体" w:cs="宋体" w:eastAsia="宋体" w:hint="ascii"/>
          <w:sz w:val="20"/>
        </w:rPr>
      </w:pPr>
      <w:r>
        <w:rPr>
          <w:rFonts w:ascii="宋体" w:hAnsi="宋体" w:cs="宋体" w:eastAsia="宋体" w:hint="ascii"/>
          <w:sz w:val="20"/>
          <w:spacing w:val="-4"/>
        </w:rPr>
        <w:t>国家自然科学基金委员会计划</w:t>
      </w:r>
      <w:r>
        <w:rPr>
          <w:rFonts w:ascii="宋体" w:hAnsi="宋体" w:cs="宋体" w:eastAsia="宋体" w:hint="ascii"/>
          <w:sz w:val="20"/>
        </w:rPr>
        <w:t>局</w:t>
      </w:r>
    </w:p>
    <w:p>
      <w:pPr>
        <w:autoSpaceDE w:val="0"/>
        <w:autoSpaceDN w:val="0"/>
        <w:jc w:val="left"/>
        <w:spacing w:before="62" w:after="0" w:lineRule="exact" w:line="250"/>
        <w:ind w:right="0" w:left="1395" w:firstLine="0"/>
        <w:snapToGrid w:val="0"/>
        <w:textAlignment w:val="auto"/>
        <w:tabs/>
        <w:rPr>
          <w:rFonts w:ascii="宋体" w:hAnsi="宋体" w:cs="宋体" w:eastAsia="宋体" w:hint="ascii"/>
          <w:sz w:val="20"/>
        </w:rPr>
      </w:pPr>
      <w:r>
        <w:rPr>
          <w:rFonts w:ascii="宋体" w:hAnsi="宋体" w:cs="宋体" w:eastAsia="宋体" w:hint="ascii"/>
          <w:sz w:val="20"/>
        </w:rPr>
        <w:t>地</w:t>
      </w:r>
      <w:r>
        <w:rPr>
          <w:rFonts w:ascii="宋体" w:hAnsi="宋体" w:cs="宋体" w:eastAsia="宋体" w:hint="ascii"/>
          <w:sz w:val="20"/>
          <w:spacing w:val="138"/>
        </w:rPr>
        <w:t xml:space="preserve"> </w:t>
      </w:r>
      <w:r>
        <w:rPr>
          <w:rFonts w:ascii="宋体" w:hAnsi="宋体" w:cs="宋体" w:eastAsia="宋体" w:hint="ascii"/>
          <w:sz w:val="20"/>
          <w:spacing w:val="-4"/>
        </w:rPr>
        <w:t>址：北京市海淀区双清</w:t>
      </w:r>
      <w:r>
        <w:rPr>
          <w:rFonts w:ascii="宋体" w:hAnsi="宋体" w:cs="宋体" w:eastAsia="宋体" w:hint="ascii"/>
          <w:sz w:val="20"/>
          <w:spacing w:val="21"/>
        </w:rPr>
        <w:t>路</w:t>
      </w:r>
      <w:r>
        <w:rPr>
          <w:rFonts w:ascii="Times New Roman" w:hAnsi="Times New Roman" w:cs="Times New Roman" w:eastAsia="Times New Roman" w:hint="ascii"/>
          <w:sz w:val="20"/>
        </w:rPr>
        <w:t>8</w:t>
      </w:r>
      <w:r>
        <w:rPr>
          <w:rFonts w:ascii="Times New Roman" w:hAnsi="Times New Roman" w:cs="Times New Roman" w:eastAsia="Times New Roman" w:hint="ascii"/>
          <w:sz w:val="20"/>
          <w:spacing w:val="43"/>
        </w:rPr>
        <w:t>3</w:t>
      </w:r>
      <w:r>
        <w:rPr>
          <w:rFonts w:ascii="宋体" w:hAnsi="宋体" w:cs="宋体" w:eastAsia="宋体" w:hint="ascii"/>
          <w:sz w:val="20"/>
        </w:rPr>
        <w:t>号</w:t>
      </w:r>
    </w:p>
    <w:p>
      <w:pPr>
        <w:autoSpaceDE w:val="0"/>
        <w:autoSpaceDN w:val="0"/>
        <w:jc w:val="left"/>
        <w:spacing w:before="62" w:after="0" w:lineRule="exact" w:line="250"/>
        <w:ind w:right="0" w:left="1395"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rPr>
        <w:t>邮</w:t>
      </w:r>
      <w:r>
        <w:rPr>
          <w:rFonts w:ascii="宋体" w:hAnsi="宋体" w:cs="宋体" w:eastAsia="宋体" w:hint="ascii"/>
          <w:sz w:val="20"/>
          <w:spacing w:val="138"/>
        </w:rPr>
        <w:t xml:space="preserve"> </w:t>
      </w:r>
      <w:r>
        <w:rPr>
          <w:rFonts w:ascii="宋体" w:hAnsi="宋体" w:cs="宋体" w:eastAsia="宋体" w:hint="ascii"/>
          <w:sz w:val="20"/>
          <w:spacing w:val="-4"/>
        </w:rPr>
        <w:t>编</w:t>
      </w:r>
      <w:r>
        <w:rPr>
          <w:rFonts w:ascii="宋体" w:hAnsi="宋体" w:cs="宋体" w:eastAsia="宋体" w:hint="ascii"/>
          <w:sz w:val="20"/>
          <w:spacing w:val="-3"/>
        </w:rPr>
        <w:t>：</w:t>
      </w:r>
      <w:r>
        <w:rPr>
          <w:rFonts w:ascii="Times New Roman" w:hAnsi="Times New Roman" w:cs="Times New Roman" w:eastAsia="Times New Roman" w:hint="ascii"/>
          <w:sz w:val="20"/>
          <w:spacing w:val="-4"/>
        </w:rPr>
        <w:t>10008</w:t>
      </w:r>
      <w:r>
        <w:rPr>
          <w:rFonts w:ascii="Times New Roman" w:hAnsi="Times New Roman" w:cs="Times New Roman" w:eastAsia="Times New Roman" w:hint="ascii"/>
          <w:sz w:val="20"/>
        </w:rPr>
        <w:t>5</w:t>
      </w:r>
    </w:p>
    <w:p>
      <w:pPr>
        <w:autoSpaceDE w:val="0"/>
        <w:autoSpaceDN w:val="0"/>
        <w:jc w:val="left"/>
        <w:spacing w:before="62" w:after="0" w:lineRule="exact" w:line="250"/>
        <w:ind w:right="0" w:left="1395" w:firstLine="0"/>
        <w:snapToGrid w:val="0"/>
        <w:textAlignment w:val="auto"/>
        <w:tabs/>
        <w:rPr>
          <w:rFonts w:ascii="宋体" w:hAnsi="宋体" w:cs="宋体" w:eastAsia="宋体" w:hint="ascii"/>
          <w:sz w:val="20"/>
        </w:rPr>
      </w:pPr>
      <w:r>
        <w:rPr>
          <w:rFonts w:ascii="宋体" w:hAnsi="宋体" w:cs="宋体" w:eastAsia="宋体" w:hint="ascii"/>
          <w:sz w:val="20"/>
        </w:rPr>
        <w:t>联</w:t>
      </w:r>
      <w:r>
        <w:rPr>
          <w:rFonts w:ascii="宋体" w:hAnsi="宋体" w:cs="宋体" w:eastAsia="宋体" w:hint="ascii"/>
          <w:sz w:val="20"/>
          <w:spacing w:val="-8"/>
        </w:rPr>
        <w:t xml:space="preserve"> </w:t>
      </w:r>
      <w:r>
        <w:rPr>
          <w:rFonts w:ascii="宋体" w:hAnsi="宋体" w:cs="宋体" w:eastAsia="宋体" w:hint="ascii"/>
          <w:sz w:val="20"/>
        </w:rPr>
        <w:t>系</w:t>
      </w:r>
      <w:r>
        <w:rPr>
          <w:rFonts w:ascii="宋体" w:hAnsi="宋体" w:cs="宋体" w:eastAsia="宋体" w:hint="ascii"/>
          <w:sz w:val="20"/>
          <w:spacing w:val="-8"/>
        </w:rPr>
        <w:t xml:space="preserve"> </w:t>
      </w:r>
      <w:r>
        <w:rPr>
          <w:rFonts w:ascii="宋体" w:hAnsi="宋体" w:cs="宋体" w:eastAsia="宋体" w:hint="ascii"/>
          <w:sz w:val="20"/>
          <w:spacing w:val="-4"/>
        </w:rPr>
        <w:t>人：</w:t>
      </w:r>
      <w:r>
        <w:rPr>
          <w:rFonts w:ascii="宋体" w:hAnsi="宋体" w:cs="宋体" w:eastAsia="宋体" w:hint="ascii"/>
          <w:sz w:val="20"/>
        </w:rPr>
        <w:t>雷</w:t>
      </w:r>
      <w:r>
        <w:rPr>
          <w:rFonts w:ascii="宋体" w:hAnsi="宋体" w:cs="宋体" w:eastAsia="宋体" w:hint="ascii"/>
          <w:sz w:val="20"/>
          <w:spacing w:val="42"/>
        </w:rPr>
        <w:t xml:space="preserve"> </w:t>
      </w:r>
      <w:r>
        <w:rPr>
          <w:rFonts w:ascii="宋体" w:hAnsi="宋体" w:cs="宋体" w:eastAsia="宋体" w:hint="ascii"/>
          <w:sz w:val="20"/>
        </w:rPr>
        <w:t>蓉</w:t>
      </w:r>
      <w:r>
        <w:rPr>
          <w:rFonts w:ascii="宋体" w:hAnsi="宋体" w:cs="宋体" w:eastAsia="宋体" w:hint="ascii"/>
          <w:sz w:val="20"/>
          <w:spacing w:val="38"/>
        </w:rPr>
        <w:t xml:space="preserve"> </w:t>
      </w:r>
      <w:r>
        <w:rPr>
          <w:rFonts w:ascii="宋体" w:hAnsi="宋体" w:cs="宋体" w:eastAsia="宋体" w:hint="ascii"/>
          <w:sz w:val="20"/>
        </w:rPr>
        <w:t>王</w:t>
      </w:r>
      <w:r>
        <w:rPr>
          <w:rFonts w:ascii="宋体" w:hAnsi="宋体" w:cs="宋体" w:eastAsia="宋体" w:hint="ascii"/>
          <w:sz w:val="20"/>
          <w:spacing w:val="42"/>
        </w:rPr>
        <w:t xml:space="preserve"> </w:t>
      </w:r>
      <w:r>
        <w:rPr>
          <w:rFonts w:ascii="宋体" w:hAnsi="宋体" w:cs="宋体" w:eastAsia="宋体" w:hint="ascii"/>
          <w:sz w:val="20"/>
        </w:rPr>
        <w:t>岩</w:t>
      </w:r>
    </w:p>
    <w:p>
      <w:pPr>
        <w:autoSpaceDE w:val="0"/>
        <w:autoSpaceDN w:val="0"/>
        <w:jc w:val="both"/>
        <w:spacing w:before="12" w:after="0" w:lineRule="exact" w:line="312"/>
        <w:ind w:right="0" w:left="1386"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spacing w:val="-2"/>
        </w:rPr>
        <w:t>电</w:t>
      </w:r>
      <w:r>
        <w:rPr>
          <w:rFonts w:ascii="宋体" w:hAnsi="宋体" w:cs="宋体" w:eastAsia="宋体" w:hint="ascii"/>
          <w:sz w:val="20"/>
          <w:spacing w:val="136"/>
        </w:rPr>
        <w:t xml:space="preserve"> </w:t>
      </w:r>
      <w:r>
        <w:rPr>
          <w:rFonts w:ascii="宋体" w:hAnsi="宋体" w:cs="宋体" w:eastAsia="宋体" w:hint="ascii"/>
          <w:sz w:val="20"/>
          <w:spacing w:val="-6"/>
        </w:rPr>
        <w:t>话</w:t>
      </w:r>
      <w:r>
        <w:rPr>
          <w:rFonts w:ascii="宋体" w:hAnsi="宋体" w:cs="宋体" w:eastAsia="宋体" w:hint="ascii"/>
          <w:sz w:val="20"/>
          <w:spacing w:val="-5"/>
        </w:rPr>
        <w:t>：</w:t>
      </w:r>
      <w:r>
        <w:rPr>
          <w:rFonts w:ascii="Times New Roman" w:hAnsi="Times New Roman" w:cs="Times New Roman" w:eastAsia="Times New Roman" w:hint="ascii"/>
          <w:sz w:val="20"/>
          <w:spacing w:val="-6"/>
        </w:rPr>
        <w:t>010</w:t>
      </w:r>
      <w:r>
        <w:rPr>
          <w:rFonts w:ascii="宋体" w:hAnsi="宋体" w:cs="宋体" w:eastAsia="宋体" w:hint="ascii"/>
          <w:sz w:val="20"/>
          <w:spacing w:val="-6"/>
        </w:rPr>
        <w:t>-</w:t>
      </w:r>
      <w:r>
        <w:rPr>
          <w:rFonts w:ascii="Times New Roman" w:hAnsi="Times New Roman" w:cs="Times New Roman" w:eastAsia="Times New Roman" w:hint="ascii"/>
          <w:sz w:val="20"/>
          <w:spacing w:val="-6"/>
        </w:rPr>
        <w:t>62328</w:t>
      </w:r>
      <w:r>
        <w:rPr>
          <w:rFonts w:ascii="Times New Roman" w:hAnsi="Times New Roman" w:cs="Times New Roman" w:eastAsia="Times New Roman" w:hint="ascii"/>
          <w:sz w:val="20"/>
          <w:spacing w:val="-7"/>
        </w:rPr>
        <w:t>4</w:t>
      </w:r>
      <w:r>
        <w:rPr>
          <w:rFonts w:ascii="Times New Roman" w:hAnsi="Times New Roman" w:cs="Times New Roman" w:eastAsia="Times New Roman" w:hint="ascii"/>
          <w:sz w:val="20"/>
          <w:spacing w:val="-6"/>
        </w:rPr>
        <w:t>8</w:t>
      </w:r>
      <w:r>
        <w:rPr>
          <w:rFonts w:ascii="Times New Roman" w:hAnsi="Times New Roman" w:cs="Times New Roman" w:eastAsia="Times New Roman" w:hint="ascii"/>
          <w:sz w:val="20"/>
          <w:spacing w:val="-5"/>
        </w:rPr>
        <w:t>4</w:t>
      </w:r>
      <w:r>
        <w:rPr>
          <w:rFonts w:ascii="宋体" w:hAnsi="宋体" w:cs="宋体" w:eastAsia="宋体" w:hint="ascii"/>
          <w:sz w:val="20"/>
          <w:spacing w:val="-4"/>
        </w:rPr>
        <w:t>，</w:t>
      </w:r>
      <w:r>
        <w:rPr>
          <w:rFonts w:ascii="Times New Roman" w:hAnsi="Times New Roman" w:cs="Times New Roman" w:eastAsia="Times New Roman" w:hint="ascii"/>
          <w:sz w:val="20"/>
          <w:spacing w:val="-5"/>
        </w:rPr>
        <w:t>010</w:t>
      </w:r>
      <w:r>
        <w:rPr>
          <w:rFonts w:ascii="宋体" w:hAnsi="宋体" w:cs="宋体" w:eastAsia="宋体" w:hint="ascii"/>
          <w:sz w:val="20"/>
          <w:spacing w:val="-5"/>
        </w:rPr>
        <w:t>-</w:t>
      </w:r>
      <w:r>
        <w:rPr>
          <w:rFonts w:ascii="Times New Roman" w:hAnsi="Times New Roman" w:cs="Times New Roman" w:eastAsia="Times New Roman" w:hint="ascii"/>
          <w:sz w:val="20"/>
          <w:spacing w:val="-5"/>
        </w:rPr>
        <w:t>623</w:t>
      </w:r>
      <w:r>
        <w:rPr>
          <w:rFonts w:ascii="Times New Roman" w:hAnsi="Times New Roman" w:cs="Times New Roman" w:eastAsia="Times New Roman" w:hint="ascii"/>
          <w:sz w:val="20"/>
          <w:spacing w:val="-6"/>
        </w:rPr>
        <w:t>2</w:t>
      </w:r>
      <w:r>
        <w:rPr>
          <w:rFonts w:ascii="Times New Roman" w:hAnsi="Times New Roman" w:cs="Times New Roman" w:eastAsia="Times New Roman" w:hint="ascii"/>
          <w:sz w:val="20"/>
          <w:spacing w:val="-5"/>
        </w:rPr>
        <w:t>701</w:t>
      </w:r>
      <w:r>
        <w:rPr>
          <w:rFonts w:ascii="Times New Roman" w:hAnsi="Times New Roman" w:cs="Times New Roman" w:eastAsia="Times New Roman" w:hint="ascii"/>
          <w:sz w:val="20"/>
          <w:spacing w:val="-1"/>
        </w:rPr>
        <w:t>5</w:t>
      </w:r>
      <w:r>
        <w:rPr>
          <w:rFonts w:ascii="Times New Roman" w:hAnsi="Times New Roman" w:cs="Times New Roman" w:eastAsia="Times New Roman" w:hint="ascii"/>
          <w:sz w:val="20"/>
        </w:rPr>
        <w:t xml:space="preserve"> </w:t>
      </w:r>
      <w:r>
        <w:rPr>
          <w:rFonts w:ascii="宋体" w:hAnsi="宋体" w:cs="宋体" w:eastAsia="宋体" w:hint="ascii"/>
          <w:sz w:val="20"/>
          <w:spacing w:val="-4"/>
        </w:rPr>
        <w:t>电子邮件</w:t>
      </w:r>
      <w:r>
        <w:rPr>
          <w:rFonts w:ascii="宋体" w:hAnsi="宋体" w:cs="宋体" w:eastAsia="宋体" w:hint="ascii"/>
          <w:sz w:val="20"/>
          <w:spacing w:val="-3"/>
        </w:rPr>
        <w:t>：</w:t>
      </w:r>
      <w:r>
        <w:rPr>
          <w:rFonts w:ascii="Times New Roman" w:hAnsi="Times New Roman" w:cs="Times New Roman" w:eastAsia="Times New Roman" w:hint="ascii"/>
          <w:sz w:val="20"/>
          <w:spacing w:val="-4"/>
        </w:rPr>
        <w:t>le</w:t>
      </w:r>
      <w:r>
        <w:rPr>
          <w:rFonts w:ascii="Times New Roman" w:hAnsi="Times New Roman" w:cs="Times New Roman" w:eastAsia="Times New Roman" w:hint="ascii"/>
          <w:sz w:val="20"/>
          <w:spacing w:val="-5"/>
        </w:rPr>
        <w:t>i</w:t>
      </w:r>
      <w:r>
        <w:rPr>
          <w:rFonts w:ascii="Times New Roman" w:hAnsi="Times New Roman" w:cs="Times New Roman" w:eastAsia="Times New Roman" w:hint="ascii"/>
          <w:sz w:val="20"/>
          <w:spacing w:val="-4"/>
        </w:rPr>
        <w:t>rong@nsfc.g</w:t>
      </w:r>
      <w:r>
        <w:rPr>
          <w:rFonts w:ascii="Times New Roman" w:hAnsi="Times New Roman" w:cs="Times New Roman" w:eastAsia="Times New Roman" w:hint="ascii"/>
          <w:sz w:val="20"/>
          <w:spacing w:val="-3"/>
        </w:rPr>
        <w:t>o</w:t>
      </w:r>
      <w:r>
        <w:rPr>
          <w:rFonts w:ascii="Times New Roman" w:hAnsi="Times New Roman" w:cs="Times New Roman" w:eastAsia="Times New Roman" w:hint="ascii"/>
          <w:sz w:val="20"/>
          <w:spacing w:val="-17"/>
        </w:rPr>
        <w:t>v</w:t>
      </w:r>
      <w:r>
        <w:rPr>
          <w:rFonts w:ascii="Times New Roman" w:hAnsi="Times New Roman" w:cs="Times New Roman" w:eastAsia="Times New Roman" w:hint="ascii"/>
          <w:sz w:val="20"/>
          <w:spacing w:val="-4"/>
        </w:rPr>
        <w:t>.c</w:t>
      </w:r>
      <w:r>
        <w:rPr>
          <w:rFonts w:ascii="Times New Roman" w:hAnsi="Times New Roman" w:cs="Times New Roman" w:eastAsia="Times New Roman" w:hint="ascii"/>
          <w:sz w:val="20"/>
        </w:rPr>
        <w:t>n</w:t>
      </w:r>
    </w:p>
    <w:p>
      <w:pPr>
        <w:autoSpaceDE w:val="0"/>
        <w:autoSpaceDN w:val="0"/>
        <w:jc w:val="left"/>
        <w:spacing w:before="63" w:after="0" w:lineRule="auto" w:line="240"/>
        <w:ind w:right="0" w:left="2402" w:firstLine="0"/>
        <w:snapToGrid w:val="0"/>
        <w:textAlignment w:val="auto"/>
        <w:tabs/>
        <w:rPr>
          <w:rFonts w:ascii="Times New Roman" w:hAnsi="Times New Roman" w:cs="Times New Roman" w:eastAsia="Times New Roman" w:hint="ascii"/>
          <w:sz w:val="20"/>
        </w:rPr>
      </w:pPr>
      <w:r>
        <w:rPr>
          <w:rFonts w:ascii="Times New Roman" w:hAnsi="Times New Roman" w:cs="Times New Roman" w:eastAsia="Times New Roman" w:hint="ascii"/>
          <w:sz w:val="20"/>
          <w:spacing w:val="-4"/>
        </w:rPr>
        <w:t>wan</w:t>
      </w:r>
      <w:r>
        <w:rPr>
          <w:rFonts w:ascii="Times New Roman" w:hAnsi="Times New Roman" w:cs="Times New Roman" w:eastAsia="Times New Roman" w:hint="ascii"/>
          <w:sz w:val="20"/>
          <w:spacing w:val="-3"/>
        </w:rPr>
        <w:t>g</w:t>
      </w:r>
      <w:r>
        <w:rPr>
          <w:rFonts w:ascii="Times New Roman" w:hAnsi="Times New Roman" w:cs="Times New Roman" w:eastAsia="Times New Roman" w:hint="ascii"/>
          <w:sz w:val="20"/>
          <w:spacing w:val="-4"/>
        </w:rPr>
        <w:t>yan@</w:t>
      </w:r>
      <w:r>
        <w:rPr>
          <w:rFonts w:ascii="Times New Roman" w:hAnsi="Times New Roman" w:cs="Times New Roman" w:eastAsia="Times New Roman" w:hint="ascii"/>
          <w:sz w:val="20"/>
          <w:spacing w:val="-3"/>
        </w:rPr>
        <w:t>n</w:t>
      </w:r>
      <w:r>
        <w:rPr>
          <w:rFonts w:ascii="Times New Roman" w:hAnsi="Times New Roman" w:cs="Times New Roman" w:eastAsia="Times New Roman" w:hint="ascii"/>
          <w:sz w:val="20"/>
          <w:spacing w:val="-5"/>
        </w:rPr>
        <w:t>s</w:t>
      </w:r>
      <w:r>
        <w:rPr>
          <w:rFonts w:ascii="Times New Roman" w:hAnsi="Times New Roman" w:cs="Times New Roman" w:eastAsia="Times New Roman" w:hint="ascii"/>
          <w:sz w:val="20"/>
          <w:spacing w:val="-4"/>
        </w:rPr>
        <w:t>fc.go</w:t>
      </w:r>
      <w:r>
        <w:rPr>
          <w:rFonts w:ascii="Times New Roman" w:hAnsi="Times New Roman" w:cs="Times New Roman" w:eastAsia="Times New Roman" w:hint="ascii"/>
          <w:sz w:val="20"/>
          <w:spacing w:val="-17"/>
        </w:rPr>
        <w:t>v</w:t>
      </w:r>
      <w:r>
        <w:rPr>
          <w:rFonts w:ascii="Times New Roman" w:hAnsi="Times New Roman" w:cs="Times New Roman" w:eastAsia="Times New Roman" w:hint="ascii"/>
          <w:sz w:val="20"/>
          <w:spacing w:val="-4"/>
        </w:rPr>
        <w:t>.c</w:t>
      </w:r>
      <w:r>
        <w:rPr>
          <w:rFonts w:ascii="Times New Roman" w:hAnsi="Times New Roman" w:cs="Times New Roman" w:eastAsia="Times New Roman" w:hint="ascii"/>
          <w:sz w:val="20"/>
        </w:rPr>
        <w:t>n</w:t>
      </w:r>
    </w:p>
    <w:p>
      <w:pPr>
        <w:autoSpaceDE w:val="0"/>
        <w:autoSpaceDN w:val="0"/>
        <w:jc w:val="left"/>
        <w:spacing w:before="671" w:after="0" w:lineRule="exact" w:line="250"/>
        <w:ind w:right="0" w:left="0" w:firstLine="0"/>
        <w:snapToGrid w:val="0"/>
        <w:textAlignment w:val="auto"/>
        <w:tabs/>
        <w:rPr>
          <w:rFonts w:ascii="宋体" w:hAnsi="宋体" w:cs="宋体" w:eastAsia="宋体" w:hint="ascii"/>
          <w:sz w:val="20"/>
        </w:rPr>
      </w:pPr>
      <w:r>
        <w:rPr>
          <w:rFonts w:ascii="Times New Roman" w:hAnsi="Times New Roman" w:cs="Times New Roman" w:eastAsia="Times New Roman" w:hint="ascii"/>
          <w:sz w:val="20"/>
        </w:rPr>
        <w:br w:type="column"/>
      </w:r>
      <w:r>
        <w:rPr>
          <w:rFonts w:ascii="宋体" w:hAnsi="宋体" w:cs="宋体" w:eastAsia="宋体" w:hint="ascii"/>
          <w:sz w:val="20"/>
          <w:spacing w:val="-4"/>
        </w:rPr>
        <w:t>河南省科技</w:t>
      </w:r>
      <w:r>
        <w:rPr>
          <w:rFonts w:ascii="宋体" w:hAnsi="宋体" w:cs="宋体" w:eastAsia="宋体" w:hint="ascii"/>
          <w:sz w:val="20"/>
        </w:rPr>
        <w:t>厅</w:t>
      </w:r>
    </w:p>
    <w:p>
      <w:pPr>
        <w:autoSpaceDE w:val="0"/>
        <w:autoSpaceDN w:val="0"/>
        <w:jc w:val="left"/>
        <w:spacing w:before="62" w:after="0" w:lineRule="exact" w:line="250"/>
        <w:ind w:right="0" w:left="0" w:firstLine="0"/>
        <w:snapToGrid w:val="0"/>
        <w:textAlignment w:val="auto"/>
        <w:tabs/>
        <w:rPr>
          <w:rFonts w:ascii="宋体" w:hAnsi="宋体" w:cs="宋体" w:eastAsia="宋体" w:hint="ascii"/>
          <w:sz w:val="20"/>
        </w:rPr>
      </w:pPr>
      <w:r>
        <w:rPr>
          <w:rFonts w:ascii="宋体" w:hAnsi="宋体" w:cs="宋体" w:eastAsia="宋体" w:hint="ascii"/>
          <w:sz w:val="20"/>
        </w:rPr>
        <w:t>地</w:t>
      </w:r>
      <w:r>
        <w:rPr>
          <w:rFonts w:ascii="宋体" w:hAnsi="宋体" w:cs="宋体" w:eastAsia="宋体" w:hint="ascii"/>
          <w:sz w:val="20"/>
          <w:spacing w:val="138"/>
        </w:rPr>
        <w:t xml:space="preserve"> </w:t>
      </w:r>
      <w:r>
        <w:rPr>
          <w:rFonts w:ascii="宋体" w:hAnsi="宋体" w:cs="宋体" w:eastAsia="宋体" w:hint="ascii"/>
          <w:sz w:val="20"/>
          <w:spacing w:val="-4"/>
        </w:rPr>
        <w:t>址：郑州市花园</w:t>
      </w:r>
      <w:r>
        <w:rPr>
          <w:rFonts w:ascii="宋体" w:hAnsi="宋体" w:cs="宋体" w:eastAsia="宋体" w:hint="ascii"/>
          <w:sz w:val="20"/>
          <w:spacing w:val="21"/>
        </w:rPr>
        <w:t>路</w:t>
      </w:r>
      <w:r>
        <w:rPr>
          <w:rFonts w:ascii="Times New Roman" w:hAnsi="Times New Roman" w:cs="Times New Roman" w:eastAsia="Times New Roman" w:hint="ascii"/>
          <w:sz w:val="20"/>
          <w:spacing w:val="-5"/>
        </w:rPr>
        <w:t>2</w:t>
      </w:r>
      <w:r>
        <w:rPr>
          <w:rFonts w:ascii="Times New Roman" w:hAnsi="Times New Roman" w:cs="Times New Roman" w:eastAsia="Times New Roman" w:hint="ascii"/>
          <w:sz w:val="20"/>
          <w:spacing w:val="44"/>
        </w:rPr>
        <w:t>7</w:t>
      </w:r>
      <w:r>
        <w:rPr>
          <w:rFonts w:ascii="宋体" w:hAnsi="宋体" w:cs="宋体" w:eastAsia="宋体" w:hint="ascii"/>
          <w:sz w:val="20"/>
        </w:rPr>
        <w:t>号</w:t>
      </w:r>
    </w:p>
    <w:p>
      <w:pPr>
        <w:autoSpaceDE w:val="0"/>
        <w:autoSpaceDN w:val="0"/>
        <w:jc w:val="left"/>
        <w:spacing w:before="62" w:after="0" w:lineRule="exact" w:line="250"/>
        <w:ind w:right="0" w:left="0" w:firstLine="0"/>
        <w:snapToGrid w:val="0"/>
        <w:textAlignment w:val="auto"/>
        <w:tabs/>
        <w:rPr>
          <w:rFonts w:ascii="Times New Roman" w:hAnsi="Times New Roman" w:cs="Times New Roman" w:eastAsia="Times New Roman" w:hint="ascii"/>
          <w:sz w:val="20"/>
        </w:rPr>
      </w:pPr>
      <w:r>
        <w:rPr>
          <w:rFonts w:ascii="宋体" w:hAnsi="宋体" w:cs="宋体" w:eastAsia="宋体" w:hint="ascii"/>
          <w:sz w:val="20"/>
        </w:rPr>
        <w:t>邮</w:t>
      </w:r>
      <w:r>
        <w:rPr>
          <w:rFonts w:ascii="宋体" w:hAnsi="宋体" w:cs="宋体" w:eastAsia="宋体" w:hint="ascii"/>
          <w:sz w:val="20"/>
          <w:spacing w:val="138"/>
        </w:rPr>
        <w:t xml:space="preserve"> </w:t>
      </w:r>
      <w:r>
        <w:rPr>
          <w:rFonts w:ascii="宋体" w:hAnsi="宋体" w:cs="宋体" w:eastAsia="宋体" w:hint="ascii"/>
          <w:sz w:val="20"/>
          <w:spacing w:val="-4"/>
        </w:rPr>
        <w:t>编</w:t>
      </w:r>
      <w:r>
        <w:rPr>
          <w:rFonts w:ascii="宋体" w:hAnsi="宋体" w:cs="宋体" w:eastAsia="宋体" w:hint="ascii"/>
          <w:sz w:val="20"/>
          <w:spacing w:val="-3"/>
        </w:rPr>
        <w:t>：</w:t>
      </w:r>
      <w:r>
        <w:rPr>
          <w:rFonts w:ascii="Times New Roman" w:hAnsi="Times New Roman" w:cs="Times New Roman" w:eastAsia="Times New Roman" w:hint="ascii"/>
          <w:sz w:val="20"/>
          <w:spacing w:val="-4"/>
        </w:rPr>
        <w:t>4</w:t>
      </w:r>
      <w:r>
        <w:rPr>
          <w:rFonts w:ascii="Times New Roman" w:hAnsi="Times New Roman" w:cs="Times New Roman" w:eastAsia="Times New Roman" w:hint="ascii"/>
          <w:sz w:val="20"/>
          <w:spacing w:val="-5"/>
        </w:rPr>
        <w:t>5</w:t>
      </w:r>
      <w:r>
        <w:rPr>
          <w:rFonts w:ascii="Times New Roman" w:hAnsi="Times New Roman" w:cs="Times New Roman" w:eastAsia="Times New Roman" w:hint="ascii"/>
          <w:sz w:val="20"/>
          <w:spacing w:val="-4"/>
        </w:rPr>
        <w:t>000</w:t>
      </w:r>
      <w:r>
        <w:rPr>
          <w:rFonts w:ascii="Times New Roman" w:hAnsi="Times New Roman" w:cs="Times New Roman" w:eastAsia="Times New Roman" w:hint="ascii"/>
          <w:sz w:val="20"/>
        </w:rPr>
        <w:t>8</w:t>
      </w:r>
    </w:p>
    <w:p>
      <w:pPr>
        <w:autoSpaceDE w:val="0"/>
        <w:autoSpaceDN w:val="0"/>
        <w:jc w:val="left"/>
        <w:spacing w:before="62" w:after="0" w:lineRule="exact" w:line="250"/>
        <w:ind w:right="0" w:left="0" w:firstLine="0"/>
        <w:snapToGrid w:val="0"/>
        <w:textAlignment w:val="auto"/>
        <w:tabs/>
        <w:rPr>
          <w:rFonts w:ascii="宋体" w:hAnsi="宋体" w:cs="宋体" w:eastAsia="宋体" w:hint="ascii"/>
          <w:sz w:val="20"/>
        </w:rPr>
      </w:pPr>
      <w:r>
        <w:rPr>
          <w:rFonts w:ascii="宋体" w:hAnsi="宋体" w:cs="宋体" w:eastAsia="宋体" w:hint="ascii"/>
          <w:sz w:val="20"/>
        </w:rPr>
        <w:t>联</w:t>
      </w:r>
      <w:r>
        <w:rPr>
          <w:rFonts w:ascii="宋体" w:hAnsi="宋体" w:cs="宋体" w:eastAsia="宋体" w:hint="ascii"/>
          <w:sz w:val="20"/>
          <w:spacing w:val="-8"/>
        </w:rPr>
        <w:t xml:space="preserve"> </w:t>
      </w:r>
      <w:r>
        <w:rPr>
          <w:rFonts w:ascii="宋体" w:hAnsi="宋体" w:cs="宋体" w:eastAsia="宋体" w:hint="ascii"/>
          <w:sz w:val="20"/>
        </w:rPr>
        <w:t>系</w:t>
      </w:r>
      <w:r>
        <w:rPr>
          <w:rFonts w:ascii="宋体" w:hAnsi="宋体" w:cs="宋体" w:eastAsia="宋体" w:hint="ascii"/>
          <w:sz w:val="20"/>
          <w:spacing w:val="-8"/>
        </w:rPr>
        <w:t xml:space="preserve"> </w:t>
      </w:r>
      <w:r>
        <w:rPr>
          <w:rFonts w:ascii="宋体" w:hAnsi="宋体" w:cs="宋体" w:eastAsia="宋体" w:hint="ascii"/>
          <w:sz w:val="20"/>
          <w:spacing w:val="-4"/>
        </w:rPr>
        <w:t>人：杨梦</w:t>
      </w:r>
      <w:r>
        <w:rPr>
          <w:rFonts w:ascii="宋体" w:hAnsi="宋体" w:cs="宋体" w:eastAsia="宋体" w:hint="ascii"/>
          <w:sz w:val="20"/>
        </w:rPr>
        <w:t>琳</w:t>
      </w:r>
    </w:p>
    <w:p>
      <w:pPr>
        <w:autoSpaceDE w:val="0"/>
        <w:autoSpaceDN w:val="0"/>
        <w:jc w:val="both"/>
        <w:spacing w:before="12" w:after="0" w:lineRule="exact" w:line="312"/>
        <w:ind w:right="1064" w:left="0" w:firstLine="0"/>
        <w:snapToGrid w:val="0"/>
        <w:textAlignment w:val="auto"/>
        <w:tabs/>
        <w:sectPr>
          <w:type w:val="continuous"/>
          <w:pgSz w:w="10940" w:h="15080" w:orient="portrait"/>
          <w:pgMar w:top="508" w:right="508" w:bottom="508" w:left="508" w:header="0" w:footer="0" w:gutter="0"/>
          <w:cols w:num="2" w:space="0" w:equalWidth="0">
            <w:col w:w="4855" w:space="352"/>
            <w:col w:w="4716"/>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0"/>
        </w:rPr>
      </w:pPr>
      <w:r>
        <w:rPr>
          <w:rFonts w:ascii="宋体" w:hAnsi="宋体" w:cs="宋体" w:eastAsia="宋体" w:hint="ascii"/>
          <w:sz w:val="20"/>
          <w:spacing w:val="-2"/>
        </w:rPr>
        <w:t>电</w:t>
      </w:r>
      <w:r>
        <w:rPr>
          <w:rFonts w:ascii="宋体" w:hAnsi="宋体" w:cs="宋体" w:eastAsia="宋体" w:hint="ascii"/>
          <w:sz w:val="20"/>
          <w:spacing w:val="136"/>
        </w:rPr>
        <w:t xml:space="preserve"> </w:t>
      </w:r>
      <w:r>
        <w:rPr>
          <w:rFonts w:ascii="宋体" w:hAnsi="宋体" w:cs="宋体" w:eastAsia="宋体" w:hint="ascii"/>
          <w:sz w:val="20"/>
          <w:spacing w:val="-6"/>
        </w:rPr>
        <w:t>话</w:t>
      </w:r>
      <w:r>
        <w:rPr>
          <w:rFonts w:ascii="宋体" w:hAnsi="宋体" w:cs="宋体" w:eastAsia="宋体" w:hint="ascii"/>
          <w:sz w:val="20"/>
          <w:spacing w:val="-5"/>
        </w:rPr>
        <w:t>：</w:t>
      </w:r>
      <w:r>
        <w:rPr>
          <w:rFonts w:ascii="Times New Roman" w:hAnsi="Times New Roman" w:cs="Times New Roman" w:eastAsia="Times New Roman" w:hint="ascii"/>
          <w:sz w:val="20"/>
          <w:spacing w:val="-6"/>
        </w:rPr>
        <w:t>0</w:t>
      </w:r>
      <w:r>
        <w:rPr>
          <w:rFonts w:ascii="Times New Roman" w:hAnsi="Times New Roman" w:cs="Times New Roman" w:eastAsia="Times New Roman" w:hint="ascii"/>
          <w:sz w:val="20"/>
          <w:spacing w:val="-7"/>
        </w:rPr>
        <w:t>3</w:t>
      </w:r>
      <w:r>
        <w:rPr>
          <w:rFonts w:ascii="Times New Roman" w:hAnsi="Times New Roman" w:cs="Times New Roman" w:eastAsia="Times New Roman" w:hint="ascii"/>
          <w:sz w:val="20"/>
          <w:spacing w:val="-6"/>
        </w:rPr>
        <w:t>71</w:t>
      </w:r>
      <w:r>
        <w:rPr>
          <w:rFonts w:ascii="宋体" w:hAnsi="宋体" w:cs="宋体" w:eastAsia="宋体" w:hint="ascii"/>
          <w:sz w:val="20"/>
          <w:spacing w:val="-6"/>
        </w:rPr>
        <w:t>-</w:t>
      </w:r>
      <w:r>
        <w:rPr>
          <w:rFonts w:ascii="Times New Roman" w:hAnsi="Times New Roman" w:cs="Times New Roman" w:eastAsia="Times New Roman" w:hint="ascii"/>
          <w:sz w:val="20"/>
          <w:spacing w:val="-6"/>
        </w:rPr>
        <w:t>65950292</w:t>
      </w:r>
      <w:r>
        <w:rPr>
          <w:rFonts w:ascii="宋体" w:hAnsi="宋体" w:cs="宋体" w:eastAsia="宋体" w:hint="ascii"/>
          <w:sz w:val="20"/>
          <w:spacing w:val="-5"/>
        </w:rPr>
        <w:t>，</w:t>
      </w:r>
      <w:r>
        <w:rPr>
          <w:rFonts w:ascii="Times New Roman" w:hAnsi="Times New Roman" w:cs="Times New Roman" w:eastAsia="Times New Roman" w:hint="ascii"/>
          <w:sz w:val="20"/>
          <w:spacing w:val="-6"/>
        </w:rPr>
        <w:t>0371</w:t>
      </w:r>
      <w:r>
        <w:rPr>
          <w:rFonts w:ascii="宋体" w:hAnsi="宋体" w:cs="宋体" w:eastAsia="宋体" w:hint="ascii"/>
          <w:sz w:val="20"/>
          <w:spacing w:val="-5"/>
        </w:rPr>
        <w:t>-</w:t>
      </w:r>
      <w:r>
        <w:rPr>
          <w:rFonts w:ascii="Times New Roman" w:hAnsi="Times New Roman" w:cs="Times New Roman" w:eastAsia="Times New Roman" w:hint="ascii"/>
          <w:sz w:val="20"/>
          <w:spacing w:val="-5"/>
        </w:rPr>
        <w:t>8623</w:t>
      </w:r>
      <w:r>
        <w:rPr>
          <w:rFonts w:ascii="Times New Roman" w:hAnsi="Times New Roman" w:cs="Times New Roman" w:eastAsia="Times New Roman" w:hint="ascii"/>
          <w:sz w:val="20"/>
          <w:spacing w:val="-6"/>
        </w:rPr>
        <w:t>0</w:t>
      </w:r>
      <w:r>
        <w:rPr>
          <w:rFonts w:ascii="Times New Roman" w:hAnsi="Times New Roman" w:cs="Times New Roman" w:eastAsia="Times New Roman" w:hint="ascii"/>
          <w:sz w:val="20"/>
          <w:spacing w:val="-5"/>
        </w:rPr>
        <w:t>69</w:t>
      </w:r>
      <w:r>
        <w:rPr>
          <w:rFonts w:ascii="Times New Roman" w:hAnsi="Times New Roman" w:cs="Times New Roman" w:eastAsia="Times New Roman" w:hint="ascii"/>
          <w:sz w:val="20"/>
          <w:spacing w:val="-1"/>
        </w:rPr>
        <w:t>8</w:t>
      </w:r>
      <w:r>
        <w:rPr>
          <w:rFonts w:ascii="Times New Roman" w:hAnsi="Times New Roman" w:cs="Times New Roman" w:eastAsia="Times New Roman" w:hint="ascii"/>
          <w:sz w:val="20"/>
        </w:rPr>
        <w:t xml:space="preserve"> </w:t>
      </w:r>
      <w:r>
        <w:rPr>
          <w:rFonts w:ascii="宋体" w:hAnsi="宋体" w:cs="宋体" w:eastAsia="宋体" w:hint="ascii"/>
          <w:sz w:val="20"/>
          <w:spacing w:val="-4"/>
        </w:rPr>
        <w:t>电子邮件</w:t>
      </w:r>
      <w:r>
        <w:rPr>
          <w:rFonts w:ascii="宋体" w:hAnsi="宋体" w:cs="宋体" w:eastAsia="宋体" w:hint="ascii"/>
          <w:sz w:val="20"/>
          <w:spacing w:val="-3"/>
        </w:rPr>
        <w:t>：</w:t>
      </w:r>
      <w:r>
        <w:rPr>
          <w:rFonts w:ascii="Times New Roman" w:hAnsi="Times New Roman" w:cs="Times New Roman" w:eastAsia="Times New Roman" w:hint="ascii"/>
          <w:sz w:val="20"/>
          <w:spacing w:val="-4"/>
        </w:rPr>
        <w:t>hn</w:t>
      </w:r>
      <w:r>
        <w:rPr>
          <w:rFonts w:ascii="Times New Roman" w:hAnsi="Times New Roman" w:cs="Times New Roman" w:eastAsia="Times New Roman" w:hint="ascii"/>
          <w:sz w:val="20"/>
          <w:spacing w:val="-6"/>
        </w:rPr>
        <w:t>s</w:t>
      </w:r>
      <w:r>
        <w:rPr>
          <w:rFonts w:ascii="Times New Roman" w:hAnsi="Times New Roman" w:cs="Times New Roman" w:eastAsia="Times New Roman" w:hint="ascii"/>
          <w:sz w:val="20"/>
          <w:spacing w:val="-4"/>
        </w:rPr>
        <w:t>lhjj@163.c</w:t>
      </w:r>
      <w:r>
        <w:rPr>
          <w:rFonts w:ascii="Times New Roman" w:hAnsi="Times New Roman" w:cs="Times New Roman" w:eastAsia="Times New Roman" w:hint="ascii"/>
          <w:sz w:val="20"/>
          <w:spacing w:val="-3"/>
        </w:rPr>
        <w:t>o</w:t>
      </w:r>
      <w:r>
        <w:rPr>
          <w:rFonts w:ascii="Times New Roman" w:hAnsi="Times New Roman" w:cs="Times New Roman" w:eastAsia="Times New Roman" w:hint="ascii"/>
          <w:sz w:val="20"/>
        </w:rPr>
        <w:t>m</w:t>
      </w:r>
      <w:rPr>
        <w:rFonts w:ascii="Times New Roman" w:hAnsi="Times New Roman" w:cs="Times New Roman" w:eastAsia="Times New Roman" w:hint="ascii"/>
        <w:sz w:val="20"/>
      </w:rPr>
    </w:p>
    <w:p>
      <w:pPr>
        <w:autoSpaceDE w:val="0"/>
        <w:autoSpaceDN w:val="0"/>
        <w:jc w:val="left"/>
        <w:spacing w:before="512" w:after="0" w:lineRule="exact" w:line="475"/>
        <w:ind w:right="0" w:left="2296" w:firstLine="0"/>
        <w:snapToGrid w:val="0"/>
        <w:textAlignment w:val="auto"/>
        <w:tabs/>
        <w:rPr>
          <w:rFonts w:ascii="宋体" w:hAnsi="宋体" w:cs="宋体" w:eastAsia="宋体" w:hint="ascii"/>
          <w:sz w:val="38"/>
        </w:rPr>
      </w:pPr>
      <w:r>
        <w:rPr>
          <w:rFonts w:ascii="宋体" w:hAnsi="宋体" w:cs="宋体" w:eastAsia="宋体" w:hint="ascii"/>
          <w:sz w:val="38"/>
        </w:rPr>
        <w:t>促进海峡两岸科技合作联合基金</w:t>
      </w:r>
    </w:p>
    <w:p>
      <w:pPr>
        <w:autoSpaceDE w:val="0"/>
        <w:autoSpaceDN w:val="0"/>
        <w:jc w:val="left"/>
        <w:spacing w:before="33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自然科学基金委和福建省人民政府</w:t>
      </w:r>
      <w:r>
        <w:rPr>
          <w:rFonts w:ascii="宋体" w:hAnsi="宋体" w:cs="宋体" w:eastAsia="宋体" w:hint="ascii"/>
          <w:sz w:val="21"/>
          <w:spacing w:val="26"/>
        </w:rPr>
        <w:t>自</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6</w:t>
      </w:r>
      <w:r>
        <w:rPr>
          <w:rFonts w:ascii="宋体" w:hAnsi="宋体" w:cs="宋体" w:eastAsia="宋体" w:hint="ascii"/>
          <w:sz w:val="21"/>
        </w:rPr>
        <w:t>年</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0</w:t>
      </w:r>
      <w:r>
        <w:rPr>
          <w:rFonts w:ascii="宋体" w:hAnsi="宋体" w:cs="宋体" w:eastAsia="宋体" w:hint="ascii"/>
          <w:sz w:val="21"/>
        </w:rPr>
        <w:t>年共同设立第二期“促进海峡</w:t>
      </w:r>
    </w:p>
    <w:p>
      <w:pPr>
        <w:autoSpaceDE w:val="0"/>
        <w:autoSpaceDN w:val="0"/>
        <w:jc w:val="left"/>
        <w:spacing w:before="13" w:after="0" w:lineRule="exact" w:line="330"/>
        <w:ind w:right="963" w:left="966" w:firstLine="0"/>
        <w:snapToGrid w:val="0"/>
        <w:textAlignment w:val="auto"/>
        <w:tabs/>
        <w:rPr>
          <w:rFonts w:ascii="宋体" w:hAnsi="宋体" w:cs="宋体" w:eastAsia="宋体" w:hint="ascii"/>
          <w:sz w:val="21"/>
        </w:rPr>
      </w:pPr>
      <w:r>
        <w:rPr>
          <w:rFonts w:ascii="宋体" w:hAnsi="宋体" w:cs="宋体" w:eastAsia="宋体" w:hint="ascii"/>
          <w:sz w:val="21"/>
        </w:rPr>
        <w:t>两岸科技合作联合基金</w:t>
      </w:r>
      <w:r>
        <w:rPr>
          <w:rFonts w:ascii="宋体" w:hAnsi="宋体" w:cs="宋体" w:eastAsia="宋体" w:hint="ascii"/>
          <w:sz w:val="21"/>
          <w:spacing w:val="-51"/>
        </w:rPr>
        <w:t>”</w:t>
      </w:r>
      <w:r>
        <w:rPr>
          <w:rFonts w:ascii="宋体" w:hAnsi="宋体" w:cs="宋体" w:eastAsia="宋体" w:hint="ascii"/>
          <w:sz w:val="21"/>
        </w:rPr>
        <w:t>，旨在发挥科学基金的导向作用，进一步吸引和聚集海峡两岸科学家开展科技合作，重点解决福建及台湾地区共同关心的重大科学问题和关键技术问题，带动人才队伍建设，提升海峡两岸经济区的科技创新能力，促进区域经济与社会的可持续发展。</w:t>
      </w:r>
    </w:p>
    <w:p>
      <w:pPr>
        <w:autoSpaceDE w:val="0"/>
        <w:autoSpaceDN w:val="0"/>
        <w:jc w:val="left"/>
        <w:spacing w:before="54" w:after="0" w:lineRule="exact" w:line="263"/>
        <w:ind w:right="0" w:left="1398" w:firstLine="0"/>
        <w:snapToGrid w:val="0"/>
        <w:textAlignment w:val="auto"/>
        <w:tabs/>
        <w:rPr>
          <w:rFonts w:ascii="宋体" w:hAnsi="宋体" w:cs="宋体" w:eastAsia="宋体" w:hint="ascii"/>
          <w:sz w:val="21"/>
        </w:rPr>
      </w:pPr>
      <w:r>
        <w:rPr>
          <w:rFonts w:ascii="宋体" w:hAnsi="宋体" w:cs="宋体" w:eastAsia="宋体" w:hint="ascii"/>
          <w:sz w:val="21"/>
          <w:spacing w:val="3"/>
        </w:rPr>
        <w:t>促进海峡两岸科技合作联合基</w:t>
      </w:r>
      <w:r>
        <w:rPr>
          <w:rFonts w:ascii="宋体" w:hAnsi="宋体" w:cs="宋体" w:eastAsia="宋体" w:hint="ascii"/>
          <w:sz w:val="21"/>
        </w:rPr>
        <w:t>金</w:t>
      </w:r>
      <w:r>
        <w:rPr>
          <w:rFonts w:ascii="宋体" w:hAnsi="宋体" w:cs="宋体" w:eastAsia="宋体" w:hint="ascii"/>
          <w:sz w:val="21"/>
          <w:spacing w:val="-10"/>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12"/>
        </w:rPr>
        <w:t xml:space="preserve"> </w:t>
      </w:r>
      <w:r>
        <w:rPr>
          <w:rFonts w:ascii="宋体" w:hAnsi="宋体" w:cs="宋体" w:eastAsia="宋体" w:hint="ascii"/>
          <w:sz w:val="21"/>
          <w:spacing w:val="3"/>
        </w:rPr>
        <w:t>年度接收以</w:t>
      </w:r>
      <w:r>
        <w:rPr>
          <w:rFonts w:ascii="宋体" w:hAnsi="宋体" w:cs="宋体" w:eastAsia="宋体" w:hint="ascii"/>
          <w:sz w:val="21"/>
        </w:rPr>
        <w:t>下</w:t>
      </w:r>
      <w:r>
        <w:rPr>
          <w:rFonts w:ascii="宋体" w:hAnsi="宋体" w:cs="宋体" w:eastAsia="宋体" w:hint="ascii"/>
          <w:sz w:val="21"/>
          <w:spacing w:val="-10"/>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13"/>
        </w:rPr>
        <w:t xml:space="preserve"> </w:t>
      </w:r>
      <w:r>
        <w:rPr>
          <w:rFonts w:ascii="宋体" w:hAnsi="宋体" w:cs="宋体" w:eastAsia="宋体" w:hint="ascii"/>
          <w:sz w:val="21"/>
          <w:spacing w:val="3"/>
        </w:rPr>
        <w:t>个研究领域的重点支持</w:t>
      </w:r>
      <w:r>
        <w:rPr>
          <w:rFonts w:ascii="宋体" w:hAnsi="宋体" w:cs="宋体" w:eastAsia="宋体" w:hint="ascii"/>
          <w:sz w:val="21"/>
        </w:rPr>
        <w:t>项</w:t>
      </w:r>
    </w:p>
    <w:p>
      <w:pPr>
        <w:autoSpaceDE w:val="0"/>
        <w:autoSpaceDN w:val="0"/>
        <w:jc w:val="both"/>
        <w:spacing w:before="13" w:after="0" w:lineRule="exact" w:line="330"/>
        <w:ind w:right="983"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目申请，直接费用平均</w:t>
      </w:r>
      <w:r>
        <w:rPr>
          <w:rFonts w:ascii="宋体" w:hAnsi="宋体" w:cs="宋体" w:eastAsia="宋体" w:hint="ascii"/>
          <w:sz w:val="21"/>
        </w:rPr>
        <w:t>资助强度</w:t>
      </w:r>
      <w:r>
        <w:rPr>
          <w:rFonts w:ascii="宋体" w:hAnsi="宋体" w:cs="宋体" w:eastAsia="宋体" w:hint="ascii"/>
          <w:sz w:val="21"/>
          <w:spacing w:val="-3"/>
        </w:rPr>
        <w:t>约</w:t>
      </w:r>
      <w:r>
        <w:rPr>
          <w:rFonts w:ascii="宋体" w:hAnsi="宋体" w:cs="宋体" w:eastAsia="宋体" w:hint="ascii"/>
          <w:sz w:val="21"/>
          <w:spacing w:val="-8"/>
        </w:rPr>
        <w:t xml:space="preserve"> </w:t>
      </w:r>
      <w:r>
        <w:rPr>
          <w:rFonts w:ascii="Times New Roman" w:hAnsi="Times New Roman" w:cs="Times New Roman" w:eastAsia="Times New Roman" w:hint="ascii"/>
          <w:sz w:val="21"/>
          <w:spacing w:val="3"/>
        </w:rPr>
        <w:t>28</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9"/>
        </w:rPr>
        <w:t xml:space="preserve"> </w:t>
      </w:r>
      <w:r>
        <w:rPr>
          <w:rFonts w:ascii="宋体" w:hAnsi="宋体" w:cs="宋体" w:eastAsia="宋体" w:hint="ascii"/>
          <w:sz w:val="21"/>
        </w:rPr>
        <w:t>万</w:t>
      </w:r>
      <w:r>
        <w:rPr>
          <w:rFonts w:ascii="宋体" w:hAnsi="宋体" w:cs="宋体" w:eastAsia="宋体" w:hint="ascii"/>
          <w:sz w:val="21"/>
          <w:spacing w:val="1"/>
        </w:rPr>
        <w:t>元</w:t>
      </w:r>
      <w:r>
        <w:rPr>
          <w:rFonts w:ascii="Times New Roman" w:hAnsi="Times New Roman" w:cs="Times New Roman" w:eastAsia="Times New Roman" w:hint="ascii"/>
          <w:sz w:val="21"/>
          <w:spacing w:val="2"/>
        </w:rPr>
        <w:t>/</w:t>
      </w:r>
      <w:r>
        <w:rPr>
          <w:rFonts w:ascii="宋体" w:hAnsi="宋体" w:cs="宋体" w:eastAsia="宋体" w:hint="ascii"/>
          <w:sz w:val="21"/>
        </w:rPr>
        <w:t>项，资助期</w:t>
      </w:r>
      <w:r>
        <w:rPr>
          <w:rFonts w:ascii="宋体" w:hAnsi="宋体" w:cs="宋体" w:eastAsia="宋体" w:hint="ascii"/>
          <w:sz w:val="21"/>
          <w:spacing w:val="-3"/>
        </w:rPr>
        <w:t>限</w:t>
      </w:r>
      <w:r>
        <w:rPr>
          <w:rFonts w:ascii="宋体" w:hAnsi="宋体" w:cs="宋体" w:eastAsia="宋体" w:hint="ascii"/>
          <w:sz w:val="21"/>
          <w:spacing w:val="-8"/>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9"/>
        </w:rPr>
        <w:t xml:space="preserve"> </w:t>
      </w:r>
      <w:r>
        <w:rPr>
          <w:rFonts w:ascii="宋体" w:hAnsi="宋体" w:cs="宋体" w:eastAsia="宋体" w:hint="ascii"/>
          <w:sz w:val="21"/>
        </w:rPr>
        <w:t>年。促进海峡两岸科</w:t>
      </w:r>
      <w:r>
        <w:rPr>
          <w:rFonts w:ascii="宋体" w:hAnsi="宋体" w:cs="宋体" w:eastAsia="宋体" w:hint="ascii"/>
          <w:sz w:val="21"/>
          <w:spacing w:val="-6"/>
        </w:rPr>
        <w:t>技</w:t>
      </w:r>
      <w:r>
        <w:rPr>
          <w:rFonts w:ascii="宋体" w:hAnsi="宋体" w:cs="宋体" w:eastAsia="宋体" w:hint="ascii"/>
          <w:sz w:val="21"/>
          <w:spacing w:val="4"/>
        </w:rPr>
        <w:t>合作联合</w:t>
      </w:r>
      <w:r>
        <w:rPr>
          <w:rFonts w:ascii="宋体" w:hAnsi="宋体" w:cs="宋体" w:eastAsia="宋体" w:hint="ascii"/>
          <w:sz w:val="21"/>
          <w:spacing w:val="3"/>
        </w:rPr>
        <w:t>基</w:t>
      </w:r>
      <w:r>
        <w:rPr>
          <w:rFonts w:ascii="宋体" w:hAnsi="宋体" w:cs="宋体" w:eastAsia="宋体" w:hint="ascii"/>
          <w:sz w:val="21"/>
          <w:spacing w:val="4"/>
        </w:rPr>
        <w:t>金面向全</w:t>
      </w:r>
      <w:r>
        <w:rPr>
          <w:rFonts w:ascii="宋体" w:hAnsi="宋体" w:cs="宋体" w:eastAsia="宋体" w:hint="ascii"/>
          <w:sz w:val="21"/>
          <w:spacing w:val="3"/>
        </w:rPr>
        <w:t>国，欢迎符</w:t>
      </w:r>
      <w:r>
        <w:rPr>
          <w:rFonts w:ascii="宋体" w:hAnsi="宋体" w:cs="宋体" w:eastAsia="宋体" w:hint="ascii"/>
          <w:sz w:val="21"/>
          <w:spacing w:val="2"/>
        </w:rPr>
        <w:t>合</w:t>
      </w:r>
      <w:r>
        <w:rPr>
          <w:rFonts w:ascii="宋体" w:hAnsi="宋体" w:cs="宋体" w:eastAsia="宋体" w:hint="ascii"/>
          <w:sz w:val="21"/>
          <w:spacing w:val="3"/>
        </w:rPr>
        <w:t>条件的科</w:t>
      </w:r>
      <w:r>
        <w:rPr>
          <w:rFonts w:ascii="宋体" w:hAnsi="宋体" w:cs="宋体" w:eastAsia="宋体" w:hint="ascii"/>
          <w:sz w:val="21"/>
          <w:spacing w:val="2"/>
        </w:rPr>
        <w:t>学</w:t>
      </w:r>
      <w:r>
        <w:rPr>
          <w:rFonts w:ascii="宋体" w:hAnsi="宋体" w:cs="宋体" w:eastAsia="宋体" w:hint="ascii"/>
          <w:sz w:val="21"/>
          <w:spacing w:val="3"/>
        </w:rPr>
        <w:t>技术人员</w:t>
      </w:r>
      <w:r>
        <w:rPr>
          <w:rFonts w:ascii="宋体" w:hAnsi="宋体" w:cs="宋体" w:eastAsia="宋体" w:hint="ascii"/>
          <w:sz w:val="21"/>
          <w:spacing w:val="2"/>
        </w:rPr>
        <w:t>按</w:t>
      </w:r>
      <w:r>
        <w:rPr>
          <w:rFonts w:ascii="宋体" w:hAnsi="宋体" w:cs="宋体" w:eastAsia="宋体" w:hint="ascii"/>
          <w:sz w:val="21"/>
          <w:spacing w:val="3"/>
        </w:rPr>
        <w:t>照本《指</w:t>
      </w:r>
      <w:r>
        <w:rPr>
          <w:rFonts w:ascii="宋体" w:hAnsi="宋体" w:cs="宋体" w:eastAsia="宋体" w:hint="ascii"/>
          <w:sz w:val="21"/>
          <w:spacing w:val="2"/>
        </w:rPr>
        <w:t>南</w:t>
      </w:r>
      <w:r>
        <w:rPr>
          <w:rFonts w:ascii="宋体" w:hAnsi="宋体" w:cs="宋体" w:eastAsia="宋体" w:hint="ascii"/>
          <w:sz w:val="21"/>
          <w:spacing w:val="3"/>
        </w:rPr>
        <w:t>》范围</w:t>
      </w:r>
      <w:r>
        <w:rPr>
          <w:rFonts w:ascii="宋体" w:hAnsi="宋体" w:cs="宋体" w:eastAsia="宋体" w:hint="ascii"/>
          <w:sz w:val="21"/>
          <w:spacing w:val="4"/>
        </w:rPr>
        <w:t>和</w:t>
      </w:r>
      <w:r>
        <w:rPr>
          <w:rFonts w:ascii="宋体" w:hAnsi="宋体" w:cs="宋体" w:eastAsia="宋体" w:hint="ascii"/>
          <w:sz w:val="21"/>
          <w:spacing w:val="3"/>
        </w:rPr>
        <w:t>要</w:t>
      </w:r>
      <w:r>
        <w:rPr>
          <w:rFonts w:ascii="宋体" w:hAnsi="宋体" w:cs="宋体" w:eastAsia="宋体" w:hint="ascii"/>
          <w:sz w:val="21"/>
          <w:spacing w:val="-6"/>
        </w:rPr>
        <w:t>求</w:t>
      </w:r>
      <w:r>
        <w:rPr>
          <w:rFonts w:ascii="宋体" w:hAnsi="宋体" w:cs="宋体" w:eastAsia="宋体" w:hint="ascii"/>
          <w:sz w:val="21"/>
          <w:spacing w:val="3"/>
        </w:rPr>
        <w:t>提出申请</w:t>
      </w:r>
      <w:r>
        <w:rPr>
          <w:rFonts w:ascii="宋体" w:hAnsi="宋体" w:cs="宋体" w:eastAsia="宋体" w:hint="ascii"/>
          <w:sz w:val="21"/>
        </w:rPr>
        <w:t>。</w:t>
      </w:r>
    </w:p>
    <w:p>
      <w:pPr>
        <w:autoSpaceDE w:val="0"/>
        <w:autoSpaceDN w:val="0"/>
        <w:jc w:val="left"/>
        <w:spacing w:before="484"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449"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一、农业领域（申请代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L01</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303" locked="0" layoutInCell="1" allowOverlap="1">
                <wp:simplePos x="0" y="0"/>
                <wp:positionH relativeFrom="page">
                  <wp:posOffset>938530</wp:posOffset>
                </wp:positionH>
                <wp:positionV relativeFrom="page">
                  <wp:posOffset>805815</wp:posOffset>
                </wp:positionV>
                <wp:extent cx="5076190" cy="0"/>
                <wp:wrapNone/>
                <wp:docPr id="1331" name="133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47968;width:399.70pt;" id="133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57" w:after="0" w:lineRule="exact" w:line="300"/>
        <w:ind w:right="97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5"/>
        </w:rPr>
        <w:t>1</w:t>
      </w:r>
      <w:r>
        <w:rPr>
          <w:rFonts w:ascii="宋体" w:hAnsi="宋体" w:cs="宋体" w:eastAsia="宋体" w:hint="ascii"/>
          <w:sz w:val="21"/>
        </w:rPr>
        <w:t>）闽台主要农作物、园艺作物重要性状形成的分子机理研究（申请代</w:t>
      </w:r>
      <w:r>
        <w:rPr>
          <w:rFonts w:ascii="宋体" w:hAnsi="宋体" w:cs="宋体" w:eastAsia="宋体" w:hint="ascii"/>
          <w:sz w:val="21"/>
          <w:spacing w:val="-3"/>
        </w:rPr>
        <w:t>码</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rPr>
        <w:t>选</w:t>
      </w:r>
      <w:r>
        <w:rPr>
          <w:rFonts w:ascii="宋体" w:hAnsi="宋体" w:cs="宋体" w:eastAsia="宋体" w:hint="ascii"/>
          <w:sz w:val="21"/>
          <w:spacing w:val="-6"/>
        </w:rPr>
        <w:t>择</w:t>
      </w:r>
      <w:r>
        <w:rPr>
          <w:rFonts w:ascii="Times New Roman" w:hAnsi="Times New Roman" w:cs="Times New Roman" w:eastAsia="Times New Roman" w:hint="ascii"/>
          <w:sz w:val="21"/>
        </w:rPr>
        <w:t>C1304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7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）闽台重要作物有害生物传播、致害及生态防控机制（申请代码</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5"/>
        </w:rPr>
        <w:t xml:space="preserve"> </w:t>
      </w:r>
      <w:r>
        <w:rPr>
          <w:rFonts w:ascii="宋体" w:hAnsi="宋体" w:cs="宋体" w:eastAsia="宋体" w:hint="ascii"/>
          <w:sz w:val="21"/>
        </w:rPr>
        <w:t>选择</w:t>
      </w:r>
      <w:r>
        <w:rPr>
          <w:rFonts w:ascii="宋体" w:hAnsi="宋体" w:cs="宋体" w:eastAsia="宋体" w:hint="ascii"/>
          <w:sz w:val="21"/>
          <w:spacing w:val="-26"/>
        </w:rPr>
        <w:t xml:space="preserve"> </w:t>
      </w:r>
      <w:r>
        <w:rPr>
          <w:rFonts w:ascii="Times New Roman" w:hAnsi="Times New Roman" w:cs="Times New Roman" w:eastAsia="Times New Roman" w:hint="ascii"/>
          <w:sz w:val="21"/>
        </w:rPr>
        <w:t>C14</w:t>
      </w:r>
      <w:r>
        <w:rPr>
          <w:rFonts w:ascii="Times New Roman" w:hAnsi="Times New Roman" w:cs="Times New Roman" w:eastAsia="Times New Roman" w:hint="ascii"/>
          <w:sz w:val="21"/>
          <w:spacing w:val="-26"/>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）闽台特色水产生物重要性状形成的遗传解析及分子育种的基础研究（申请代码</w:t>
      </w:r>
    </w:p>
    <w:p>
      <w:pPr>
        <w:autoSpaceDE w:val="0"/>
        <w:autoSpaceDN w:val="0"/>
        <w:jc w:val="left"/>
        <w:spacing w:before="38"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C1902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）闽台重要养殖动物（畜禽、水产）的病害发生机理及防控技术研究（申请代码</w:t>
      </w:r>
    </w:p>
    <w:p>
      <w:pPr>
        <w:autoSpaceDE w:val="0"/>
        <w:autoSpaceDN w:val="0"/>
        <w:jc w:val="left"/>
        <w:spacing w:before="38"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C180</w:t>
      </w:r>
      <w:r>
        <w:rPr>
          <w:rFonts w:ascii="Times New Roman" w:hAnsi="Times New Roman" w:cs="Times New Roman" w:eastAsia="Times New Roman" w:hint="ascii"/>
          <w:sz w:val="21"/>
          <w:spacing w:val="52"/>
        </w:rPr>
        <w:t>5</w:t>
      </w:r>
      <w:r>
        <w:rPr>
          <w:rFonts w:ascii="宋体" w:hAnsi="宋体" w:cs="宋体" w:eastAsia="宋体" w:hint="ascii"/>
          <w:sz w:val="21"/>
          <w:spacing w:val="27"/>
        </w:rPr>
        <w:t>或</w:t>
      </w:r>
      <w:r>
        <w:rPr>
          <w:rFonts w:ascii="Times New Roman" w:hAnsi="Times New Roman" w:cs="Times New Roman" w:eastAsia="Times New Roman" w:hint="ascii"/>
          <w:sz w:val="21"/>
        </w:rPr>
        <w:t>C1906</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5" w:after="0" w:lineRule="exact" w:line="300"/>
        <w:ind w:right="97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5"/>
        </w:rPr>
        <w:t>5</w:t>
      </w:r>
      <w:r>
        <w:rPr>
          <w:rFonts w:ascii="宋体" w:hAnsi="宋体" w:cs="宋体" w:eastAsia="宋体" w:hint="ascii"/>
          <w:sz w:val="21"/>
        </w:rPr>
        <w:t>）闽台特色植物和海洋生物有效成分确定及利用的基础研究（申请代</w:t>
      </w:r>
      <w:r>
        <w:rPr>
          <w:rFonts w:ascii="宋体" w:hAnsi="宋体" w:cs="宋体" w:eastAsia="宋体" w:hint="ascii"/>
          <w:sz w:val="21"/>
          <w:spacing w:val="-3"/>
        </w:rPr>
        <w:t>码</w:t>
      </w:r>
      <w:r>
        <w:rPr>
          <w:rFonts w:ascii="宋体" w:hAnsi="宋体" w:cs="宋体" w:eastAsia="宋体" w:hint="ascii"/>
          <w:sz w:val="21"/>
          <w:spacing w:val="-26"/>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rPr>
        <w:t>选</w:t>
      </w:r>
      <w:r>
        <w:rPr>
          <w:rFonts w:ascii="宋体" w:hAnsi="宋体" w:cs="宋体" w:eastAsia="宋体" w:hint="ascii"/>
          <w:sz w:val="21"/>
          <w:spacing w:val="-6"/>
        </w:rPr>
        <w:t>择</w:t>
      </w:r>
      <w:r>
        <w:rPr>
          <w:rFonts w:ascii="Times New Roman" w:hAnsi="Times New Roman" w:cs="Times New Roman" w:eastAsia="Times New Roman" w:hint="ascii"/>
          <w:sz w:val="21"/>
        </w:rPr>
        <w:t>C2004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）闽台特色茶叶加工的生物学基础研究（申请代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C2005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二、资源与环境领域（申请代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L03</w:t>
      </w:r>
      <w:r>
        <w:rPr>
          <w:rFonts w:ascii="宋体" w:hAnsi="宋体" w:cs="宋体" w:eastAsia="宋体" w:hint="ascii"/>
        </w:rPr>
        <w:t>）</w:t>
      </w:r>
    </w:p>
    <w:p>
      <w:pPr>
        <w:autoSpaceDE w:val="0"/>
        <w:autoSpaceDN w:val="0"/>
        <w:jc w:val="left"/>
        <w:spacing w:before="169" w:after="0" w:lineRule="exact" w:line="305"/>
        <w:ind w:right="975"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w:t>
      </w:r>
      <w:r>
        <w:rPr>
          <w:rFonts w:ascii="宋体" w:hAnsi="宋体" w:cs="宋体" w:eastAsia="宋体" w:hint="ascii"/>
          <w:sz w:val="21"/>
          <w:spacing w:val="-4"/>
        </w:rPr>
        <w:t>闽台森林生态系统格局、过程与环境效应（申请代</w:t>
      </w:r>
      <w:r>
        <w:rPr>
          <w:rFonts w:ascii="宋体" w:hAnsi="宋体" w:cs="宋体" w:eastAsia="宋体" w:hint="ascii"/>
          <w:sz w:val="21"/>
          <w:spacing w:val="22"/>
        </w:rPr>
        <w:t>码</w:t>
      </w:r>
      <w:r>
        <w:rPr>
          <w:rFonts w:ascii="Times New Roman" w:hAnsi="Times New Roman" w:cs="Times New Roman" w:eastAsia="Times New Roman" w:hint="ascii"/>
          <w:sz w:val="21"/>
          <w:spacing w:val="46"/>
        </w:rPr>
        <w:t>2</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46"/>
        </w:rPr>
        <w:t>1</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宋体" w:hAnsi="宋体" w:cs="宋体" w:eastAsia="宋体" w:hint="ascii"/>
          <w:sz w:val="21"/>
          <w:spacing w:val="2"/>
        </w:rPr>
        <w:t>（</w:t>
      </w:r>
      <w:r>
        <w:rPr>
          <w:rFonts w:ascii="Times New Roman" w:hAnsi="Times New Roman" w:cs="Times New Roman" w:eastAsia="Times New Roman" w:hint="ascii"/>
          <w:sz w:val="21"/>
          <w:spacing w:val="4"/>
        </w:rPr>
        <w:t>2</w:t>
      </w:r>
      <w:r>
        <w:rPr>
          <w:rFonts w:ascii="宋体" w:hAnsi="宋体" w:cs="宋体" w:eastAsia="宋体" w:hint="ascii"/>
          <w:sz w:val="21"/>
          <w:spacing w:val="2"/>
        </w:rPr>
        <w:t>）闽</w:t>
      </w:r>
      <w:r>
        <w:rPr>
          <w:rFonts w:ascii="宋体" w:hAnsi="宋体" w:cs="宋体" w:eastAsia="宋体" w:hint="ascii"/>
          <w:sz w:val="21"/>
          <w:spacing w:val="3"/>
        </w:rPr>
        <w:t>台区域环境典型污染物迁移转化规律、生态效应及修复（申请代</w:t>
      </w:r>
      <w:r>
        <w:rPr>
          <w:rFonts w:ascii="宋体" w:hAnsi="宋体" w:cs="宋体" w:eastAsia="宋体" w:hint="ascii"/>
          <w:sz w:val="21"/>
        </w:rPr>
        <w:t>码</w:t>
      </w:r>
      <w:r>
        <w:rPr>
          <w:rFonts w:ascii="宋体" w:hAnsi="宋体" w:cs="宋体" w:eastAsia="宋体" w:hint="ascii"/>
          <w:sz w:val="21"/>
          <w:spacing w:val="-23"/>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3"/>
        </w:rPr>
        <w:t xml:space="preserve"> </w:t>
      </w:r>
      <w:r>
        <w:rPr>
          <w:rFonts w:ascii="宋体" w:hAnsi="宋体" w:cs="宋体" w:eastAsia="宋体" w:hint="ascii"/>
          <w:sz w:val="21"/>
          <w:spacing w:val="3"/>
        </w:rPr>
        <w:t>选</w:t>
      </w:r>
      <w:r>
        <w:rPr>
          <w:rFonts w:ascii="宋体" w:hAnsi="宋体" w:cs="宋体" w:eastAsia="宋体" w:hint="ascii"/>
          <w:sz w:val="21"/>
        </w:rPr>
        <w:t>择</w:t>
      </w:r>
    </w:p>
    <w:p>
      <w:pPr>
        <w:autoSpaceDE w:val="0"/>
        <w:autoSpaceDN w:val="0"/>
        <w:jc w:val="left"/>
        <w:spacing w:before="29"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5" w:after="0" w:lineRule="exact" w:line="300"/>
        <w:ind w:right="975" w:left="128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w:t>
      </w:r>
      <w:r>
        <w:rPr>
          <w:rFonts w:ascii="宋体" w:hAnsi="宋体" w:cs="宋体" w:eastAsia="宋体" w:hint="ascii"/>
          <w:sz w:val="21"/>
          <w:spacing w:val="-4"/>
        </w:rPr>
        <w:t>闽台资源环境承载力与区域发展耦合机制（申请代</w:t>
      </w:r>
      <w:r>
        <w:rPr>
          <w:rFonts w:ascii="宋体" w:hAnsi="宋体" w:cs="宋体" w:eastAsia="宋体" w:hint="ascii"/>
          <w:sz w:val="21"/>
          <w:spacing w:val="22"/>
        </w:rPr>
        <w:t>码</w:t>
      </w:r>
      <w:r>
        <w:rPr>
          <w:rFonts w:ascii="Times New Roman" w:hAnsi="Times New Roman" w:cs="Times New Roman" w:eastAsia="Times New Roman" w:hint="ascii"/>
          <w:sz w:val="21"/>
          <w:spacing w:val="46"/>
        </w:rPr>
        <w:t>2</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46"/>
        </w:rPr>
        <w:t>1</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）台湾海</w:t>
      </w:r>
      <w:r>
        <w:rPr>
          <w:rFonts w:ascii="宋体" w:hAnsi="宋体" w:cs="宋体" w:eastAsia="宋体" w:hint="ascii"/>
          <w:sz w:val="21"/>
        </w:rPr>
        <w:t>峡典型海洋生态系统演变过程及其资源环境效应（申请代码</w:t>
      </w:r>
      <w:r>
        <w:rPr>
          <w:rFonts w:ascii="宋体" w:hAnsi="宋体" w:cs="宋体" w:eastAsia="宋体" w:hint="ascii"/>
          <w:sz w:val="21"/>
          <w:spacing w:val="-25"/>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25"/>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D06</w:t>
      </w:r>
    </w:p>
    <w:p>
      <w:pPr>
        <w:autoSpaceDE w:val="0"/>
        <w:autoSpaceDN w:val="0"/>
        <w:jc w:val="left"/>
        <w:spacing w:before="3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8" w:after="0" w:lineRule="exact" w:line="300"/>
        <w:ind w:right="975"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5</w:t>
      </w:r>
      <w:r>
        <w:rPr>
          <w:rFonts w:ascii="宋体" w:hAnsi="宋体" w:cs="宋体" w:eastAsia="宋体" w:hint="ascii"/>
          <w:sz w:val="21"/>
          <w:spacing w:val="-1"/>
        </w:rPr>
        <w:t>）闽台</w:t>
      </w:r>
      <w:r>
        <w:rPr>
          <w:rFonts w:ascii="宋体" w:hAnsi="宋体" w:cs="宋体" w:eastAsia="宋体" w:hint="ascii"/>
          <w:sz w:val="21"/>
        </w:rPr>
        <w:t>特色海洋生物资源养护及亚热带海洋牧场构建的基础研究（申请代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75"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6</w:t>
      </w:r>
      <w:r>
        <w:rPr>
          <w:rFonts w:ascii="宋体" w:hAnsi="宋体" w:cs="宋体" w:eastAsia="宋体" w:hint="ascii"/>
          <w:sz w:val="21"/>
          <w:spacing w:val="-1"/>
        </w:rPr>
        <w:t>）闽台地区重要灾害形成机理及其环境效应（申请代码</w:t>
      </w:r>
      <w:r>
        <w:rPr>
          <w:rFonts w:ascii="宋体" w:hAnsi="宋体" w:cs="宋体" w:eastAsia="宋体" w:hint="ascii"/>
          <w:sz w:val="21"/>
          <w:spacing w:val="-25"/>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26"/>
        </w:rPr>
        <w:t xml:space="preserve"> </w:t>
      </w:r>
      <w:r>
        <w:rPr>
          <w:rFonts w:ascii="宋体" w:hAnsi="宋体" w:cs="宋体" w:eastAsia="宋体" w:hint="ascii"/>
          <w:sz w:val="21"/>
          <w:spacing w:val="-1"/>
        </w:rPr>
        <w:t>选择</w:t>
      </w:r>
      <w:r>
        <w:rPr>
          <w:rFonts w:ascii="宋体" w:hAnsi="宋体" w:cs="宋体" w:eastAsia="宋体" w:hint="ascii"/>
          <w:sz w:val="21"/>
          <w:spacing w:val="-25"/>
        </w:rPr>
        <w:t xml:space="preserve"> </w:t>
      </w:r>
      <w:r>
        <w:rPr>
          <w:rFonts w:ascii="Times New Roman" w:hAnsi="Times New Roman" w:cs="Times New Roman" w:eastAsia="Times New Roman" w:hint="ascii"/>
          <w:sz w:val="21"/>
        </w:rPr>
        <w:t>D05</w:t>
      </w:r>
      <w:r>
        <w:rPr>
          <w:rFonts w:ascii="宋体" w:hAnsi="宋体" w:cs="宋体" w:eastAsia="宋体" w:hint="ascii"/>
          <w:sz w:val="21"/>
        </w:rPr>
        <w:t>、</w:t>
      </w:r>
      <w:r>
        <w:rPr>
          <w:rFonts w:ascii="Times New Roman" w:hAnsi="Times New Roman" w:cs="Times New Roman" w:eastAsia="Times New Roman" w:hint="ascii"/>
          <w:sz w:val="21"/>
        </w:rPr>
        <w:t>D06</w:t>
      </w:r>
      <w:r>
        <w:rPr>
          <w:rFonts w:ascii="Times New Roman" w:hAnsi="Times New Roman" w:cs="Times New Roman" w:eastAsia="Times New Roman" w:hint="ascii"/>
          <w:sz w:val="21"/>
          <w:spacing w:val="-25"/>
        </w:rPr>
        <w:t xml:space="preserve"> </w:t>
      </w:r>
      <w:r>
        <w:rPr>
          <w:rFonts w:ascii="宋体" w:hAnsi="宋体" w:cs="宋体" w:eastAsia="宋体" w:hint="ascii"/>
          <w:sz w:val="21"/>
        </w:rPr>
        <w:t>或</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D07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三、新材料与先进制造领域（申请代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L04</w:t>
      </w:r>
      <w:r>
        <w:rPr>
          <w:rFonts w:ascii="宋体" w:hAnsi="宋体" w:cs="宋体" w:eastAsia="宋体" w:hint="ascii"/>
        </w:rPr>
        <w:t>）</w:t>
      </w:r>
    </w:p>
    <w:p>
      <w:pPr>
        <w:autoSpaceDE w:val="0"/>
        <w:autoSpaceDN w:val="0"/>
        <w:jc w:val="both"/>
        <w:spacing w:before="157" w:after="0" w:lineRule="exact" w:line="300"/>
        <w:ind w:right="975"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）能源</w:t>
      </w:r>
      <w:r>
        <w:rPr>
          <w:rFonts w:ascii="Times New Roman" w:hAnsi="Times New Roman" w:cs="Times New Roman" w:eastAsia="Times New Roman" w:hint="ascii"/>
          <w:sz w:val="21"/>
          <w:spacing w:val="-1"/>
        </w:rPr>
        <w:t>/</w:t>
      </w:r>
      <w:r>
        <w:rPr>
          <w:rFonts w:ascii="宋体" w:hAnsi="宋体" w:cs="宋体" w:eastAsia="宋体" w:hint="ascii"/>
          <w:sz w:val="21"/>
          <w:spacing w:val="-1"/>
        </w:rPr>
        <w:t>信息功能材料的设计、制备和应用基础研究（申请代码</w:t>
      </w:r>
      <w:r>
        <w:rPr>
          <w:rFonts w:ascii="宋体" w:hAnsi="宋体" w:cs="宋体" w:eastAsia="宋体" w:hint="ascii"/>
          <w:sz w:val="21"/>
          <w:spacing w:val="-18"/>
        </w:rPr>
        <w:t xml:space="preserve"> </w:t>
      </w: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8"/>
        </w:rPr>
        <w:t xml:space="preserve"> </w:t>
      </w:r>
      <w:r>
        <w:rPr>
          <w:rFonts w:ascii="宋体" w:hAnsi="宋体" w:cs="宋体" w:eastAsia="宋体" w:hint="ascii"/>
          <w:sz w:val="21"/>
          <w:spacing w:val="-1"/>
        </w:rPr>
        <w:t>选</w:t>
      </w:r>
      <w:r>
        <w:rPr>
          <w:rFonts w:ascii="宋体" w:hAnsi="宋体" w:cs="宋体" w:eastAsia="宋体" w:hint="ascii"/>
          <w:sz w:val="21"/>
        </w:rPr>
        <w:t>择</w:t>
      </w:r>
      <w:r>
        <w:rPr>
          <w:rFonts w:ascii="宋体" w:hAnsi="宋体" w:cs="宋体" w:eastAsia="宋体" w:hint="ascii"/>
          <w:sz w:val="21"/>
          <w:spacing w:val="-16"/>
        </w:rPr>
        <w:t xml:space="preserve"> </w:t>
      </w:r>
      <w:r>
        <w:rPr>
          <w:rFonts w:ascii="Times New Roman" w:hAnsi="Times New Roman" w:cs="Times New Roman" w:eastAsia="Times New Roman" w:hint="ascii"/>
          <w:sz w:val="21"/>
        </w:rPr>
        <w:t>E01</w:t>
      </w:r>
      <w:r>
        <w:rPr>
          <w:rFonts w:ascii="宋体" w:hAnsi="宋体" w:cs="宋体" w:eastAsia="宋体" w:hint="ascii"/>
          <w:sz w:val="21"/>
        </w:rPr>
        <w:t>、</w:t>
      </w:r>
      <w:r>
        <w:rPr>
          <w:rFonts w:ascii="Times New Roman" w:hAnsi="Times New Roman" w:cs="Times New Roman" w:eastAsia="Times New Roman" w:hint="ascii"/>
          <w:sz w:val="21"/>
        </w:rPr>
        <w:t xml:space="preserve">E02 </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0" w:after="0" w:lineRule="exact" w:line="300"/>
        <w:ind w:right="975"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1"/>
        </w:rPr>
        <w:t>2</w:t>
      </w:r>
      <w:r>
        <w:rPr>
          <w:rFonts w:ascii="宋体" w:hAnsi="宋体" w:cs="宋体" w:eastAsia="宋体" w:hint="ascii"/>
          <w:sz w:val="21"/>
        </w:rPr>
        <w:t>）</w:t>
      </w:r>
      <w:r>
        <w:rPr>
          <w:rFonts w:ascii="宋体" w:hAnsi="宋体" w:cs="宋体" w:eastAsia="宋体" w:hint="ascii"/>
          <w:sz w:val="21"/>
          <w:spacing w:val="-4"/>
        </w:rPr>
        <w:t>海洋工程装备材料研究（申请代</w:t>
      </w:r>
      <w:r>
        <w:rPr>
          <w:rFonts w:ascii="宋体" w:hAnsi="宋体" w:cs="宋体" w:eastAsia="宋体" w:hint="ascii"/>
          <w:sz w:val="21"/>
          <w:spacing w:val="22"/>
        </w:rPr>
        <w:t>码</w:t>
      </w:r>
      <w:r>
        <w:rPr>
          <w:rFonts w:ascii="Times New Roman" w:hAnsi="Times New Roman" w:cs="Times New Roman" w:eastAsia="Times New Roman" w:hint="ascii"/>
          <w:sz w:val="21"/>
          <w:spacing w:val="45"/>
        </w:rPr>
        <w:t>2</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4"/>
        </w:rPr>
        <w:t>E01</w:t>
      </w:r>
      <w:r>
        <w:rPr>
          <w:rFonts w:ascii="宋体" w:hAnsi="宋体" w:cs="宋体" w:eastAsia="宋体" w:hint="ascii"/>
          <w:sz w:val="21"/>
          <w:spacing w:val="-4"/>
        </w:rPr>
        <w:t>、</w:t>
      </w:r>
      <w:r>
        <w:rPr>
          <w:rFonts w:ascii="Times New Roman" w:hAnsi="Times New Roman" w:cs="Times New Roman" w:eastAsia="Times New Roman" w:hint="ascii"/>
          <w:sz w:val="21"/>
          <w:spacing w:val="-4"/>
        </w:rPr>
        <w:t>E02</w:t>
      </w:r>
      <w:r>
        <w:rPr>
          <w:rFonts w:ascii="宋体" w:hAnsi="宋体" w:cs="宋体" w:eastAsia="宋体" w:hint="ascii"/>
          <w:sz w:val="21"/>
          <w:spacing w:val="-4"/>
        </w:rPr>
        <w:t>、</w:t>
      </w:r>
      <w:r>
        <w:rPr>
          <w:rFonts w:ascii="Times New Roman" w:hAnsi="Times New Roman" w:cs="Times New Roman" w:eastAsia="Times New Roman" w:hint="ascii"/>
          <w:sz w:val="21"/>
          <w:spacing w:val="-4"/>
        </w:rPr>
        <w:t>E0</w:t>
      </w:r>
      <w:r>
        <w:rPr>
          <w:rFonts w:ascii="Times New Roman" w:hAnsi="Times New Roman" w:cs="Times New Roman" w:eastAsia="Times New Roman" w:hint="ascii"/>
          <w:sz w:val="21"/>
          <w:spacing w:val="46"/>
        </w:rPr>
        <w:t>3</w:t>
      </w:r>
      <w:r>
        <w:rPr>
          <w:rFonts w:ascii="宋体" w:hAnsi="宋体" w:cs="宋体" w:eastAsia="宋体" w:hint="ascii"/>
          <w:sz w:val="21"/>
          <w:spacing w:val="22"/>
        </w:rPr>
        <w:t>或</w:t>
      </w:r>
      <w:r>
        <w:rPr>
          <w:rFonts w:ascii="Times New Roman" w:hAnsi="Times New Roman" w:cs="Times New Roman" w:eastAsia="Times New Roman" w:hint="ascii"/>
          <w:sz w:val="21"/>
          <w:spacing w:val="-4"/>
        </w:rPr>
        <w:t>E0</w:t>
      </w:r>
      <w:r>
        <w:rPr>
          <w:rFonts w:ascii="Times New Roman" w:hAnsi="Times New Roman" w:cs="Times New Roman" w:eastAsia="Times New Roman" w:hint="ascii"/>
          <w:sz w:val="21"/>
          <w:spacing w:val="46"/>
        </w:rPr>
        <w:t>8</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）轻质高强合金</w:t>
      </w:r>
      <w:r>
        <w:rPr>
          <w:rFonts w:ascii="Times New Roman" w:hAnsi="Times New Roman" w:cs="Times New Roman" w:eastAsia="Times New Roman" w:hint="ascii"/>
          <w:sz w:val="21"/>
        </w:rPr>
        <w:t>/</w:t>
      </w:r>
      <w:r>
        <w:rPr>
          <w:rFonts w:ascii="宋体" w:hAnsi="宋体" w:cs="宋体" w:eastAsia="宋体" w:hint="ascii"/>
          <w:sz w:val="21"/>
        </w:rPr>
        <w:t>金属玻璃及稀土材料表界面设计、控制与应用基础研究（申请</w:t>
      </w:r>
    </w:p>
    <w:p>
      <w:pPr>
        <w:autoSpaceDE w:val="0"/>
        <w:autoSpaceDN w:val="0"/>
        <w:jc w:val="left"/>
        <w:spacing w:before="3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E01</w:t>
      </w:r>
      <w:r>
        <w:rPr>
          <w:rFonts w:ascii="宋体" w:hAnsi="宋体" w:cs="宋体" w:eastAsia="宋体" w:hint="ascii"/>
          <w:sz w:val="21"/>
        </w:rPr>
        <w:t>、</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8" w:after="0" w:lineRule="exact" w:line="300"/>
        <w:ind w:right="1456"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）生物质</w:t>
      </w:r>
      <w:r>
        <w:rPr>
          <w:rFonts w:ascii="宋体" w:hAnsi="宋体" w:cs="宋体" w:eastAsia="宋体" w:hint="ascii"/>
          <w:sz w:val="21"/>
        </w:rPr>
        <w:t>材料高值化利用研究（申请代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）石墨烯及其复合材料研究（申请代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75"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6</w:t>
      </w:r>
      <w:r>
        <w:rPr>
          <w:rFonts w:ascii="宋体" w:hAnsi="宋体" w:cs="宋体" w:eastAsia="宋体" w:hint="ascii"/>
          <w:sz w:val="21"/>
          <w:spacing w:val="-1"/>
        </w:rPr>
        <w:t>）工业</w:t>
      </w:r>
      <w:r>
        <w:rPr>
          <w:rFonts w:ascii="宋体" w:hAnsi="宋体" w:cs="宋体" w:eastAsia="宋体" w:hint="ascii"/>
          <w:sz w:val="21"/>
        </w:rPr>
        <w:t>机器人精密驱动</w:t>
      </w:r>
      <w:r>
        <w:rPr>
          <w:rFonts w:ascii="Times New Roman" w:hAnsi="Times New Roman" w:cs="Times New Roman" w:eastAsia="Times New Roman" w:hint="ascii"/>
          <w:sz w:val="21"/>
        </w:rPr>
        <w:t>/</w:t>
      </w:r>
      <w:r>
        <w:rPr>
          <w:rFonts w:ascii="宋体" w:hAnsi="宋体" w:cs="宋体" w:eastAsia="宋体" w:hint="ascii"/>
          <w:sz w:val="21"/>
        </w:rPr>
        <w:t>传动系统新原理、新方法（申请代码</w:t>
      </w:r>
      <w:r>
        <w:rPr>
          <w:rFonts w:ascii="宋体" w:hAnsi="宋体" w:cs="宋体" w:eastAsia="宋体" w:hint="ascii"/>
          <w:sz w:val="21"/>
          <w:spacing w:val="-10"/>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0"/>
        </w:rPr>
        <w:t xml:space="preserve"> </w:t>
      </w:r>
      <w:r>
        <w:rPr>
          <w:rFonts w:ascii="宋体" w:hAnsi="宋体" w:cs="宋体" w:eastAsia="宋体" w:hint="ascii"/>
          <w:sz w:val="21"/>
        </w:rPr>
        <w:t>选择</w:t>
      </w:r>
      <w:r>
        <w:rPr>
          <w:rFonts w:ascii="宋体" w:hAnsi="宋体" w:cs="宋体" w:eastAsia="宋体" w:hint="ascii"/>
          <w:sz w:val="21"/>
          <w:spacing w:val="-10"/>
        </w:rPr>
        <w:t xml:space="preserve">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10"/>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w:t>
      </w:r>
      <w:r>
        <w:rPr>
          <w:rFonts w:ascii="宋体" w:hAnsi="宋体" w:cs="宋体" w:eastAsia="宋体" w:hint="ascii"/>
          <w:sz w:val="21"/>
          <w:spacing w:val="-6"/>
        </w:rPr>
        <w:t>脆性材料复杂曲面制造基础和成形原理研究（申请代</w:t>
      </w:r>
      <w:r>
        <w:rPr>
          <w:rFonts w:ascii="宋体" w:hAnsi="宋体" w:cs="宋体" w:eastAsia="宋体" w:hint="ascii"/>
          <w:sz w:val="21"/>
          <w:spacing w:val="19"/>
        </w:rPr>
        <w:t>码</w:t>
      </w:r>
      <w:r>
        <w:rPr>
          <w:rFonts w:ascii="Times New Roman" w:hAnsi="Times New Roman" w:cs="Times New Roman" w:eastAsia="Times New Roman" w:hint="ascii"/>
          <w:sz w:val="21"/>
          <w:spacing w:val="43"/>
        </w:rPr>
        <w:t>2</w:t>
      </w:r>
      <w:r>
        <w:rPr>
          <w:rFonts w:ascii="宋体" w:hAnsi="宋体" w:cs="宋体" w:eastAsia="宋体" w:hint="ascii"/>
          <w:sz w:val="21"/>
          <w:spacing w:val="-6"/>
        </w:rPr>
        <w:t>选</w:t>
      </w:r>
      <w:r>
        <w:rPr>
          <w:rFonts w:ascii="宋体" w:hAnsi="宋体" w:cs="宋体" w:eastAsia="宋体" w:hint="ascii"/>
          <w:sz w:val="21"/>
          <w:spacing w:val="19"/>
        </w:rPr>
        <w:t>择</w:t>
      </w:r>
      <w:r>
        <w:rPr>
          <w:rFonts w:ascii="Times New Roman" w:hAnsi="Times New Roman" w:cs="Times New Roman" w:eastAsia="Times New Roman" w:hint="ascii"/>
          <w:sz w:val="21"/>
          <w:spacing w:val="-7"/>
        </w:rPr>
        <w:t>E</w:t>
      </w:r>
      <w:r>
        <w:rPr>
          <w:rFonts w:ascii="Times New Roman" w:hAnsi="Times New Roman" w:cs="Times New Roman" w:eastAsia="Times New Roman" w:hint="ascii"/>
          <w:sz w:val="21"/>
          <w:spacing w:val="-5"/>
        </w:rPr>
        <w:t>0</w:t>
      </w:r>
      <w:r>
        <w:rPr>
          <w:rFonts w:ascii="Times New Roman" w:hAnsi="Times New Roman" w:cs="Times New Roman" w:eastAsia="Times New Roman" w:hint="ascii"/>
          <w:sz w:val="21"/>
          <w:spacing w:val="43"/>
        </w:rPr>
        <w:t>5</w:t>
      </w:r>
      <w:r>
        <w:rPr>
          <w:rFonts w:ascii="宋体" w:hAnsi="宋体" w:cs="宋体" w:eastAsia="宋体" w:hint="ascii"/>
          <w:sz w:val="21"/>
          <w:spacing w:val="-6"/>
        </w:rPr>
        <w:t>的下属代码</w:t>
      </w:r>
      <w:r>
        <w:rPr>
          <w:rFonts w:ascii="宋体" w:hAnsi="宋体" w:cs="宋体" w:eastAsia="宋体" w:hint="ascii"/>
          <w:sz w:val="21"/>
          <w:spacing w:val="-55"/>
        </w:rPr>
        <w:t>）</w:t>
      </w:r>
      <w:r>
        <w:rPr>
          <w:rFonts w:ascii="宋体" w:hAnsi="宋体" w:cs="宋体" w:eastAsia="宋体" w:hint="ascii"/>
          <w:sz w:val="21"/>
        </w:rPr>
        <w:t>；</w:t>
      </w:r>
    </w:p>
    <w:p>
      <w:pPr>
        <w:autoSpaceDE w:val="0"/>
        <w:autoSpaceDN w:val="0"/>
        <w:jc w:val="left"/>
        <w:spacing w:before="17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四、电子信息领域（申请代</w:t>
      </w:r>
      <w:r>
        <w:rPr>
          <w:rFonts w:ascii="宋体" w:hAnsi="宋体" w:cs="宋体" w:eastAsia="宋体" w:hint="ascii"/>
          <w:spacing w:val="30"/>
        </w:rPr>
        <w:t>码</w:t>
      </w:r>
      <w:r>
        <w:rPr>
          <w:rFonts w:ascii="Times New Roman" w:hAnsi="Times New Roman" w:cs="Times New Roman" w:eastAsia="Times New Roman" w:hint="ascii"/>
          <w:b w:val="1"/>
          <w:spacing w:val="60"/>
        </w:rPr>
        <w:t>1</w:t>
      </w:r>
      <w:r>
        <w:rPr>
          <w:rFonts w:ascii="宋体" w:hAnsi="宋体" w:cs="宋体" w:eastAsia="宋体" w:hint="ascii"/>
        </w:rPr>
        <w:t>选</w:t>
      </w:r>
      <w:r>
        <w:rPr>
          <w:rFonts w:ascii="宋体" w:hAnsi="宋体" w:cs="宋体" w:eastAsia="宋体" w:hint="ascii"/>
          <w:spacing w:val="30"/>
        </w:rPr>
        <w:t>择</w:t>
      </w:r>
      <w:r>
        <w:rPr>
          <w:rFonts w:ascii="Times New Roman" w:hAnsi="Times New Roman" w:cs="Times New Roman" w:eastAsia="Times New Roman" w:hint="ascii"/>
          <w:b w:val="1"/>
        </w:rPr>
        <w:t>L05</w:t>
      </w:r>
      <w:r>
        <w:rPr>
          <w:rFonts w:ascii="宋体" w:hAnsi="宋体" w:cs="宋体" w:eastAsia="宋体" w:hint="ascii"/>
        </w:rPr>
        <w:t>）</w:t>
      </w:r>
    </w:p>
    <w:p>
      <w:pPr>
        <w:autoSpaceDE w:val="0"/>
        <w:autoSpaceDN w:val="0"/>
        <w:jc w:val="left"/>
        <w:spacing w:before="20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）微纳光电调控技术及其应用的基础研究（申请代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F0502</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0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52" w:after="0" w:lineRule="exact" w:line="319"/>
        <w:ind w:right="1364"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）大数据智能分析与安全预警理论及其应用研究（申请代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F02</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）生物医学快速成像及图像处理理论与技术研究（申请代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）目标动态监测及三维重建理论与应用的研究（申请代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F06</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304" locked="0" layoutInCell="1" allowOverlap="1">
                <wp:simplePos x="0" y="0"/>
                <wp:positionH relativeFrom="page">
                  <wp:posOffset>938530</wp:posOffset>
                </wp:positionH>
                <wp:positionV relativeFrom="page">
                  <wp:posOffset>819150</wp:posOffset>
                </wp:positionV>
                <wp:extent cx="5076190" cy="0"/>
                <wp:wrapNone/>
                <wp:docPr id="1332" name="133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46944;width:399.70pt;" id="133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2" w:after="0" w:lineRule="exact" w:line="319"/>
        <w:ind w:right="964"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spacing w:val="-1"/>
        </w:rPr>
        <w:t>）</w:t>
      </w:r>
      <w:r>
        <w:rPr>
          <w:rFonts w:ascii="宋体" w:hAnsi="宋体" w:cs="宋体" w:eastAsia="宋体" w:hint="ascii"/>
          <w:sz w:val="21"/>
        </w:rPr>
        <w:t>大</w:t>
      </w:r>
      <w:r>
        <w:rPr>
          <w:rFonts w:ascii="宋体" w:hAnsi="宋体" w:cs="宋体" w:eastAsia="宋体" w:hint="ascii"/>
          <w:sz w:val="21"/>
          <w:spacing w:val="-1"/>
        </w:rPr>
        <w:t>规模</w:t>
      </w:r>
      <w:r>
        <w:rPr>
          <w:rFonts w:ascii="宋体" w:hAnsi="宋体" w:cs="宋体" w:eastAsia="宋体" w:hint="ascii"/>
          <w:sz w:val="21"/>
        </w:rPr>
        <w:t>信息</w:t>
      </w:r>
      <w:r>
        <w:rPr>
          <w:rFonts w:ascii="宋体" w:hAnsi="宋体" w:cs="宋体" w:eastAsia="宋体" w:hint="ascii"/>
          <w:sz w:val="21"/>
          <w:spacing w:val="-1"/>
        </w:rPr>
        <w:t>网</w:t>
      </w:r>
      <w:r>
        <w:rPr>
          <w:rFonts w:ascii="宋体" w:hAnsi="宋体" w:cs="宋体" w:eastAsia="宋体" w:hint="ascii"/>
          <w:sz w:val="21"/>
        </w:rPr>
        <w:t>络</w:t>
      </w:r>
      <w:r>
        <w:rPr>
          <w:rFonts w:ascii="宋体" w:hAnsi="宋体" w:cs="宋体" w:eastAsia="宋体" w:hint="ascii"/>
          <w:sz w:val="21"/>
          <w:spacing w:val="-1"/>
        </w:rPr>
        <w:t>的</w:t>
      </w:r>
      <w:r>
        <w:rPr>
          <w:rFonts w:ascii="宋体" w:hAnsi="宋体" w:cs="宋体" w:eastAsia="宋体" w:hint="ascii"/>
          <w:sz w:val="21"/>
        </w:rPr>
        <w:t>故障</w:t>
      </w:r>
      <w:r>
        <w:rPr>
          <w:rFonts w:ascii="宋体" w:hAnsi="宋体" w:cs="宋体" w:eastAsia="宋体" w:hint="ascii"/>
          <w:sz w:val="21"/>
          <w:spacing w:val="-1"/>
        </w:rPr>
        <w:t>诊</w:t>
      </w:r>
      <w:r>
        <w:rPr>
          <w:rFonts w:ascii="宋体" w:hAnsi="宋体" w:cs="宋体" w:eastAsia="宋体" w:hint="ascii"/>
          <w:sz w:val="21"/>
        </w:rPr>
        <w:t>断</w:t>
      </w:r>
      <w:r>
        <w:rPr>
          <w:rFonts w:ascii="宋体" w:hAnsi="宋体" w:cs="宋体" w:eastAsia="宋体" w:hint="ascii"/>
          <w:sz w:val="21"/>
          <w:spacing w:val="-1"/>
        </w:rPr>
        <w:t>和</w:t>
      </w:r>
      <w:r>
        <w:rPr>
          <w:rFonts w:ascii="宋体" w:hAnsi="宋体" w:cs="宋体" w:eastAsia="宋体" w:hint="ascii"/>
          <w:sz w:val="21"/>
        </w:rPr>
        <w:t>可靠</w:t>
      </w:r>
      <w:r>
        <w:rPr>
          <w:rFonts w:ascii="宋体" w:hAnsi="宋体" w:cs="宋体" w:eastAsia="宋体" w:hint="ascii"/>
          <w:sz w:val="21"/>
          <w:spacing w:val="-1"/>
        </w:rPr>
        <w:t>性</w:t>
      </w:r>
      <w:r>
        <w:rPr>
          <w:rFonts w:ascii="宋体" w:hAnsi="宋体" w:cs="宋体" w:eastAsia="宋体" w:hint="ascii"/>
          <w:sz w:val="21"/>
        </w:rPr>
        <w:t>理</w:t>
      </w:r>
      <w:r>
        <w:rPr>
          <w:rFonts w:ascii="宋体" w:hAnsi="宋体" w:cs="宋体" w:eastAsia="宋体" w:hint="ascii"/>
          <w:sz w:val="21"/>
          <w:spacing w:val="-1"/>
        </w:rPr>
        <w:t>论</w:t>
      </w:r>
      <w:r>
        <w:rPr>
          <w:rFonts w:ascii="宋体" w:hAnsi="宋体" w:cs="宋体" w:eastAsia="宋体" w:hint="ascii"/>
          <w:sz w:val="21"/>
        </w:rPr>
        <w:t>及其</w:t>
      </w:r>
      <w:r>
        <w:rPr>
          <w:rFonts w:ascii="宋体" w:hAnsi="宋体" w:cs="宋体" w:eastAsia="宋体" w:hint="ascii"/>
          <w:sz w:val="21"/>
          <w:spacing w:val="-1"/>
        </w:rPr>
        <w:t>应</w:t>
      </w:r>
      <w:r>
        <w:rPr>
          <w:rFonts w:ascii="宋体" w:hAnsi="宋体" w:cs="宋体" w:eastAsia="宋体" w:hint="ascii"/>
          <w:sz w:val="21"/>
        </w:rPr>
        <w:t>用</w:t>
      </w:r>
      <w:r>
        <w:rPr>
          <w:rFonts w:ascii="宋体" w:hAnsi="宋体" w:cs="宋体" w:eastAsia="宋体" w:hint="ascii"/>
          <w:sz w:val="21"/>
          <w:spacing w:val="-1"/>
        </w:rPr>
        <w:t>的</w:t>
      </w:r>
      <w:r>
        <w:rPr>
          <w:rFonts w:ascii="宋体" w:hAnsi="宋体" w:cs="宋体" w:eastAsia="宋体" w:hint="ascii"/>
          <w:sz w:val="21"/>
        </w:rPr>
        <w:t>研究</w:t>
      </w:r>
      <w:r>
        <w:rPr>
          <w:rFonts w:ascii="宋体" w:hAnsi="宋体" w:cs="宋体" w:eastAsia="宋体" w:hint="ascii"/>
          <w:sz w:val="21"/>
          <w:spacing w:val="-1"/>
        </w:rPr>
        <w:t>（</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代</w:t>
      </w:r>
      <w:r>
        <w:rPr>
          <w:rFonts w:ascii="宋体" w:hAnsi="宋体" w:cs="宋体" w:eastAsia="宋体" w:hint="ascii"/>
          <w:sz w:val="21"/>
          <w:spacing w:val="-3"/>
        </w:rPr>
        <w:t>码</w:t>
      </w:r>
      <w:r>
        <w:rPr>
          <w:rFonts w:ascii="宋体" w:hAnsi="宋体" w:cs="宋体" w:eastAsia="宋体" w:hint="ascii"/>
          <w:sz w:val="21"/>
        </w:rPr>
        <w:t xml:space="preserve"> </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1"/>
        </w:rPr>
        <w:t xml:space="preserve"> </w:t>
      </w:r>
      <w:r>
        <w:rPr>
          <w:rFonts w:ascii="宋体" w:hAnsi="宋体" w:cs="宋体" w:eastAsia="宋体" w:hint="ascii"/>
          <w:sz w:val="21"/>
        </w:rPr>
        <w:t>选择</w:t>
      </w:r>
      <w:r>
        <w:rPr>
          <w:rFonts w:ascii="Times New Roman" w:hAnsi="Times New Roman" w:cs="Times New Roman" w:eastAsia="Times New Roman" w:hint="ascii"/>
          <w:sz w:val="21"/>
        </w:rPr>
        <w:t>F03</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）近海及水下无线通信与网络的基础研究（申请代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2</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20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3" w:after="0" w:lineRule="exact" w:line="319"/>
        <w:ind w:right="964"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）申请书资助类别选择“联合基金项目</w:t>
      </w:r>
      <w:r>
        <w:rPr>
          <w:rFonts w:ascii="宋体" w:hAnsi="宋体" w:cs="宋体" w:eastAsia="宋体" w:hint="ascii"/>
          <w:sz w:val="21"/>
          <w:spacing w:val="-52"/>
        </w:rPr>
        <w:t>”</w:t>
      </w:r>
      <w:r>
        <w:rPr>
          <w:rFonts w:ascii="宋体" w:hAnsi="宋体" w:cs="宋体" w:eastAsia="宋体" w:hint="ascii"/>
          <w:sz w:val="21"/>
        </w:rPr>
        <w:t>，亚类说明选择“重点支持项目</w:t>
      </w:r>
      <w:r>
        <w:rPr>
          <w:rFonts w:ascii="宋体" w:hAnsi="宋体" w:cs="宋体" w:eastAsia="宋体" w:hint="ascii"/>
          <w:sz w:val="21"/>
          <w:spacing w:val="-52"/>
        </w:rPr>
        <w:t>”</w:t>
      </w:r>
      <w:r>
        <w:rPr>
          <w:rFonts w:ascii="宋体" w:hAnsi="宋体" w:cs="宋体" w:eastAsia="宋体" w:hint="ascii"/>
          <w:sz w:val="21"/>
        </w:rPr>
        <w:t>，附注说明选择“促进海峡两岸科技合作联合基金</w:t>
      </w:r>
      <w:r>
        <w:rPr>
          <w:rFonts w:ascii="宋体" w:hAnsi="宋体" w:cs="宋体" w:eastAsia="宋体" w:hint="ascii"/>
          <w:sz w:val="21"/>
          <w:spacing w:val="-52"/>
        </w:rPr>
        <w:t>”</w:t>
      </w:r>
      <w:r>
        <w:rPr>
          <w:rFonts w:ascii="宋体" w:hAnsi="宋体" w:cs="宋体" w:eastAsia="宋体" w:hint="ascii"/>
          <w:sz w:val="21"/>
        </w:rPr>
        <w:t>。申请代码必须按本《指南》要求选择。</w:t>
      </w:r>
    </w:p>
    <w:p>
      <w:pPr>
        <w:autoSpaceDE w:val="0"/>
        <w:autoSpaceDN w:val="0"/>
        <w:jc w:val="left"/>
        <w:spacing w:before="4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）本联合基金面向全国。所有申请项目中应当有台湾方面的科技人员参与，其中</w:t>
      </w:r>
    </w:p>
    <w:p>
      <w:pPr>
        <w:autoSpaceDE w:val="0"/>
        <w:autoSpaceDN w:val="0"/>
        <w:jc w:val="both"/>
        <w:spacing w:before="10" w:after="0" w:lineRule="exact" w:line="312"/>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福建以外省份依托单位申请本联合基金还应当有福建省境内单位的参与；鼓励福建省内依托单位与其他省份单位合作申请项目。对于合作研究项目，应在申请书中明确合作各方的合作内容、主要分工等。</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0" w:after="0" w:lineRule="exact" w:line="312"/>
        <w:ind w:right="964"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rPr>
        <w:t>研究内容和目标等由申请人提出，要求申请人按照重点支持项目申请书撰写提纲撰写申请书。如果申请人已经承担与本联合基金相关的国家其他科技计划项目，应当在申请书正文的“研究基础与工作条件”部分论述申请项目与其他相关项目的区别与联系。</w:t>
      </w:r>
      <w:rPr>
        <w:rFonts w:ascii="宋体" w:hAnsi="宋体" w:cs="宋体" w:eastAsia="宋体" w:hint="ascii"/>
        <w:sz w:val="21"/>
      </w:rP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国家自然科学基金委员会计划局</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57"/>
        </w:rPr>
        <w:t xml:space="preserve"> </w:t>
      </w:r>
      <w:r>
        <w:rPr>
          <w:rFonts w:ascii="宋体" w:hAnsi="宋体" w:cs="宋体" w:eastAsia="宋体" w:hint="ascii"/>
          <w:sz w:val="21"/>
        </w:rPr>
        <w:t>址：北京市海淀区双清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57"/>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人：雷</w:t>
      </w:r>
      <w:r>
        <w:rPr>
          <w:rFonts w:ascii="宋体" w:hAnsi="宋体" w:cs="宋体" w:eastAsia="宋体" w:hint="ascii"/>
          <w:sz w:val="21"/>
          <w:spacing w:val="53"/>
        </w:rPr>
        <w:t xml:space="preserve"> </w:t>
      </w:r>
      <w:r>
        <w:rPr>
          <w:rFonts w:ascii="宋体" w:hAnsi="宋体" w:cs="宋体" w:eastAsia="宋体" w:hint="ascii"/>
          <w:sz w:val="21"/>
        </w:rPr>
        <w:t>蓉</w:t>
      </w:r>
      <w:r>
        <w:rPr>
          <w:rFonts w:ascii="宋体" w:hAnsi="宋体" w:cs="宋体" w:eastAsia="宋体" w:hint="ascii"/>
          <w:sz w:val="21"/>
          <w:spacing w:val="53"/>
        </w:rPr>
        <w:t xml:space="preserve"> </w:t>
      </w:r>
      <w:r>
        <w:rPr>
          <w:rFonts w:ascii="宋体" w:hAnsi="宋体" w:cs="宋体" w:eastAsia="宋体" w:hint="ascii"/>
          <w:sz w:val="21"/>
        </w:rPr>
        <w:t>王</w:t>
      </w:r>
      <w:r>
        <w:rPr>
          <w:rFonts w:ascii="宋体" w:hAnsi="宋体" w:cs="宋体" w:eastAsia="宋体" w:hint="ascii"/>
          <w:sz w:val="21"/>
          <w:spacing w:val="52"/>
        </w:rPr>
        <w:t xml:space="preserve"> </w:t>
      </w:r>
      <w:r>
        <w:rPr>
          <w:rFonts w:ascii="宋体" w:hAnsi="宋体" w:cs="宋体" w:eastAsia="宋体" w:hint="ascii"/>
          <w:sz w:val="21"/>
        </w:rPr>
        <w:t>岩</w:t>
      </w:r>
    </w:p>
    <w:p>
      <w:pPr>
        <w:autoSpaceDE w:val="0"/>
        <w:autoSpaceDN w:val="0"/>
        <w:jc w:val="both"/>
        <w:spacing w:before="10" w:after="0" w:lineRule="exact" w:line="312"/>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55"/>
        </w:rPr>
        <w:t xml:space="preserve"> </w:t>
      </w:r>
      <w:r>
        <w:rPr>
          <w:rFonts w:ascii="宋体" w:hAnsi="宋体" w:cs="宋体" w:eastAsia="宋体" w:hint="ascii"/>
          <w:sz w:val="21"/>
          <w:spacing w:val="-2"/>
        </w:rPr>
        <w:t>话：</w:t>
      </w:r>
      <w:r>
        <w:rPr>
          <w:rFonts w:ascii="Times New Roman" w:hAnsi="Times New Roman" w:cs="Times New Roman" w:eastAsia="Times New Roman" w:hint="ascii"/>
          <w:sz w:val="21"/>
          <w:spacing w:val="-2"/>
        </w:rPr>
        <w:t>010</w:t>
      </w:r>
      <w:r>
        <w:rPr>
          <w:rFonts w:ascii="宋体" w:hAnsi="宋体" w:cs="宋体" w:eastAsia="宋体" w:hint="ascii"/>
          <w:sz w:val="21"/>
          <w:spacing w:val="-2"/>
        </w:rPr>
        <w:t>-</w:t>
      </w:r>
      <w:r>
        <w:rPr>
          <w:rFonts w:ascii="Times New Roman" w:hAnsi="Times New Roman" w:cs="Times New Roman" w:eastAsia="Times New Roman" w:hint="ascii"/>
          <w:sz w:val="21"/>
          <w:spacing w:val="-2"/>
        </w:rPr>
        <w:t>62328484</w:t>
      </w:r>
      <w:r>
        <w:rPr>
          <w:rFonts w:ascii="宋体" w:hAnsi="宋体" w:cs="宋体" w:eastAsia="宋体" w:hint="ascii"/>
          <w:sz w:val="21"/>
          <w:spacing w:val="-2"/>
        </w:rPr>
        <w:t>，</w:t>
      </w:r>
      <w:r>
        <w:rPr>
          <w:rFonts w:ascii="Times New Roman" w:hAnsi="Times New Roman" w:cs="Times New Roman" w:eastAsia="Times New Roman" w:hint="ascii"/>
          <w:sz w:val="21"/>
          <w:spacing w:val="-2"/>
        </w:rPr>
        <w:t>010</w:t>
      </w:r>
      <w:r>
        <w:rPr>
          <w:rFonts w:ascii="宋体" w:hAnsi="宋体" w:cs="宋体" w:eastAsia="宋体" w:hint="ascii"/>
          <w:sz w:val="21"/>
          <w:spacing w:val="-2"/>
        </w:rPr>
        <w:t>-</w:t>
      </w:r>
      <w:r>
        <w:rPr>
          <w:rFonts w:ascii="Times New Roman" w:hAnsi="Times New Roman" w:cs="Times New Roman" w:eastAsia="Times New Roman" w:hint="ascii"/>
          <w:sz w:val="21"/>
          <w:spacing w:val="-2"/>
        </w:rPr>
        <w:t>6232</w:t>
      </w:r>
      <w:r>
        <w:rPr>
          <w:rFonts w:ascii="Times New Roman" w:hAnsi="Times New Roman" w:cs="Times New Roman" w:eastAsia="Times New Roman" w:hint="ascii"/>
          <w:sz w:val="21"/>
          <w:spacing w:val="-1"/>
        </w:rPr>
        <w:t>7015</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leirong@nsfc.go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p>
    <w:p>
      <w:pPr>
        <w:autoSpaceDE w:val="0"/>
        <w:autoSpaceDN w:val="0"/>
        <w:jc w:val="left"/>
        <w:spacing w:before="54" w:after="0" w:lineRule="auto" w:line="240"/>
        <w:ind w:right="0" w:left="2437"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rPr>
        <w:t>wangyan@nsfc.go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p>
    <w:p>
      <w:pPr>
        <w:autoSpaceDE w:val="0"/>
        <w:autoSpaceDN w:val="0"/>
        <w:jc w:val="left"/>
        <w:spacing w:before="661"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福建省科技厅</w:t>
      </w:r>
    </w:p>
    <w:p>
      <w:pPr>
        <w:autoSpaceDE w:val="0"/>
        <w:autoSpaceDN w:val="0"/>
        <w:jc w:val="both"/>
        <w:spacing w:before="10" w:after="0" w:lineRule="exact" w:line="312"/>
        <w:ind w:right="1102"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6"/>
        </w:rPr>
        <w:t xml:space="preserve"> </w:t>
      </w:r>
      <w:r>
        <w:rPr>
          <w:rFonts w:ascii="宋体" w:hAnsi="宋体" w:cs="宋体" w:eastAsia="宋体" w:hint="ascii"/>
          <w:sz w:val="21"/>
          <w:spacing w:val="-1"/>
        </w:rPr>
        <w:t>址：</w:t>
      </w:r>
      <w:r>
        <w:rPr>
          <w:rFonts w:ascii="宋体" w:hAnsi="宋体" w:cs="宋体" w:eastAsia="宋体" w:hint="ascii"/>
          <w:sz w:val="21"/>
        </w:rPr>
        <w:t>福州市北环西</w:t>
      </w:r>
      <w:r>
        <w:rPr>
          <w:rFonts w:ascii="宋体" w:hAnsi="宋体" w:cs="宋体" w:eastAsia="宋体" w:hint="ascii"/>
          <w:sz w:val="21"/>
          <w:spacing w:val="26"/>
        </w:rPr>
        <w:t>路</w:t>
      </w:r>
      <w:r>
        <w:rPr>
          <w:rFonts w:ascii="Times New Roman" w:hAnsi="Times New Roman" w:cs="Times New Roman" w:eastAsia="Times New Roman" w:hint="ascii"/>
          <w:sz w:val="21"/>
        </w:rPr>
        <w:t>10</w:t>
      </w:r>
      <w:r>
        <w:rPr>
          <w:rFonts w:ascii="Times New Roman" w:hAnsi="Times New Roman" w:cs="Times New Roman" w:eastAsia="Times New Roman" w:hint="ascii"/>
          <w:sz w:val="21"/>
          <w:spacing w:val="52"/>
        </w:rPr>
        <w:t>8</w:t>
      </w:r>
      <w:r>
        <w:rPr>
          <w:rFonts w:ascii="宋体" w:hAnsi="宋体" w:cs="宋体" w:eastAsia="宋体" w:hint="ascii"/>
          <w:sz w:val="21"/>
        </w:rPr>
        <w:t>号邮</w:t>
      </w:r>
      <w:r>
        <w:rPr>
          <w:rFonts w:ascii="宋体" w:hAnsi="宋体" w:cs="宋体" w:eastAsia="宋体" w:hint="ascii"/>
          <w:sz w:val="21"/>
          <w:spacing w:val="157"/>
        </w:rPr>
        <w:t xml:space="preserve"> </w:t>
      </w:r>
      <w:r>
        <w:rPr>
          <w:rFonts w:ascii="宋体" w:hAnsi="宋体" w:cs="宋体" w:eastAsia="宋体" w:hint="ascii"/>
          <w:sz w:val="21"/>
        </w:rPr>
        <w:t>编：</w:t>
      </w:r>
      <w:r>
        <w:rPr>
          <w:rFonts w:ascii="Times New Roman" w:hAnsi="Times New Roman" w:cs="Times New Roman" w:eastAsia="Times New Roman" w:hint="ascii"/>
          <w:sz w:val="21"/>
        </w:rPr>
        <w:t>350003</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人：陈</w:t>
      </w:r>
      <w:r>
        <w:rPr>
          <w:rFonts w:ascii="宋体" w:hAnsi="宋体" w:cs="宋体" w:eastAsia="宋体" w:hint="ascii"/>
          <w:sz w:val="21"/>
          <w:spacing w:val="53"/>
        </w:rPr>
        <w:t xml:space="preserve"> </w:t>
      </w:r>
      <w:r>
        <w:rPr>
          <w:rFonts w:ascii="宋体" w:hAnsi="宋体" w:cs="宋体" w:eastAsia="宋体" w:hint="ascii"/>
          <w:sz w:val="21"/>
        </w:rPr>
        <w:t>虔</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57"/>
        </w:rPr>
        <w:t xml:space="preserve"> </w:t>
      </w:r>
      <w:r>
        <w:rPr>
          <w:rFonts w:ascii="宋体" w:hAnsi="宋体" w:cs="宋体" w:eastAsia="宋体" w:hint="ascii"/>
          <w:sz w:val="21"/>
        </w:rPr>
        <w:t>话：</w:t>
      </w:r>
      <w:r>
        <w:rPr>
          <w:rFonts w:ascii="Times New Roman" w:hAnsi="Times New Roman" w:cs="Times New Roman" w:eastAsia="Times New Roman" w:hint="ascii"/>
          <w:sz w:val="21"/>
        </w:rPr>
        <w:t>0591</w:t>
      </w:r>
      <w:r>
        <w:rPr>
          <w:rFonts w:ascii="宋体" w:hAnsi="宋体" w:cs="宋体" w:eastAsia="宋体" w:hint="ascii"/>
          <w:sz w:val="21"/>
        </w:rPr>
        <w:t>-</w:t>
      </w:r>
      <w:r>
        <w:rPr>
          <w:rFonts w:ascii="Times New Roman" w:hAnsi="Times New Roman" w:cs="Times New Roman" w:eastAsia="Times New Roman" w:hint="ascii"/>
          <w:sz w:val="21"/>
        </w:rPr>
        <w:t>87861593</w:t>
      </w:r>
    </w:p>
    <w:p>
      <w:pPr>
        <w:autoSpaceDE w:val="0"/>
        <w:autoSpaceDN w:val="0"/>
        <w:jc w:val="left"/>
        <w:spacing w:before="49" w:after="0" w:lineRule="exact" w:line="263"/>
        <w:ind w:right="0" w:left="0" w:firstLine="0"/>
        <w:snapToGrid w:val="0"/>
        <w:textAlignment w:val="auto"/>
        <w:tabs/>
        <w:sectPr>
          <w:type w:val="continuous"/>
          <w:pgSz w:w="10940" w:h="15080" w:orient="portrait"/>
          <w:pgMar w:top="508" w:right="508" w:bottom="508" w:left="508" w:header="0" w:footer="0" w:gutter="0"/>
          <w:cols w:num="2" w:space="0" w:equalWidth="0">
            <w:col w:w="5164" w:space="508"/>
            <w:col w:w="4252"/>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chenqian@fjkjt.go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rPr>
        <w:rFonts w:ascii="Times New Roman" w:hAnsi="Times New Roman" w:cs="Times New Roman" w:eastAsia="Times New Roman" w:hint="ascii"/>
        <w:sz w:val="21"/>
      </w:rPr>
    </w:p>
    <w:p>
      <w:pPr>
        <w:autoSpaceDE w:val="0"/>
        <w:autoSpaceDN w:val="0"/>
        <w:jc w:val="left"/>
        <w:spacing w:before="509" w:after="0" w:lineRule="auto" w:line="240"/>
        <w:ind w:right="0" w:left="3210"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spacing w:val="31"/>
        </w:rPr>
        <w:t>-</w:t>
      </w:r>
      <w:r>
        <w:rPr>
          <w:rFonts w:ascii="宋体" w:hAnsi="宋体" w:cs="宋体" w:eastAsia="宋体" w:hint="ascii"/>
          <w:sz w:val="38"/>
        </w:rPr>
        <w:t>山东联合基金</w:t>
      </w:r>
    </w:p>
    <w:p>
      <w:pPr>
        <w:autoSpaceDE w:val="0"/>
        <w:autoSpaceDN w:val="0"/>
        <w:jc w:val="left"/>
        <w:spacing w:before="326"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rPr>
        <w:t>自然科学基金委与山东省人民政府自</w:t>
      </w:r>
      <w:r>
        <w:rPr>
          <w:rFonts w:ascii="宋体" w:hAnsi="宋体" w:cs="宋体" w:eastAsia="宋体" w:hint="ascii"/>
          <w:sz w:val="21"/>
          <w:spacing w:val="-15"/>
        </w:rPr>
        <w:t xml:space="preserve"> </w:t>
      </w:r>
      <w:r>
        <w:rPr>
          <w:rFonts w:ascii="Times New Roman" w:hAnsi="Times New Roman" w:cs="Times New Roman" w:eastAsia="Times New Roman" w:hint="ascii"/>
          <w:sz w:val="21"/>
        </w:rPr>
        <w:t>2017</w:t>
      </w:r>
      <w:r>
        <w:rPr>
          <w:rFonts w:ascii="Times New Roman" w:hAnsi="Times New Roman" w:cs="Times New Roman" w:eastAsia="Times New Roman" w:hint="ascii"/>
          <w:sz w:val="21"/>
          <w:spacing w:val="-17"/>
        </w:rPr>
        <w:t xml:space="preserve"> </w:t>
      </w:r>
      <w:r>
        <w:rPr>
          <w:rFonts w:ascii="宋体" w:hAnsi="宋体" w:cs="宋体" w:eastAsia="宋体" w:hint="ascii"/>
          <w:sz w:val="21"/>
        </w:rPr>
        <w:t>年至</w:t>
      </w:r>
      <w:r>
        <w:rPr>
          <w:rFonts w:ascii="宋体" w:hAnsi="宋体" w:cs="宋体" w:eastAsia="宋体" w:hint="ascii"/>
          <w:sz w:val="21"/>
          <w:spacing w:val="-15"/>
        </w:rPr>
        <w:t xml:space="preserve"> </w:t>
      </w:r>
      <w:r>
        <w:rPr>
          <w:rFonts w:ascii="Times New Roman" w:hAnsi="Times New Roman" w:cs="Times New Roman" w:eastAsia="Times New Roman" w:hint="ascii"/>
          <w:sz w:val="21"/>
        </w:rPr>
        <w:t>2021</w:t>
      </w:r>
      <w:r>
        <w:rPr>
          <w:rFonts w:ascii="Times New Roman" w:hAnsi="Times New Roman" w:cs="Times New Roman" w:eastAsia="Times New Roman" w:hint="ascii"/>
          <w:sz w:val="21"/>
          <w:spacing w:val="-17"/>
        </w:rPr>
        <w:t xml:space="preserve"> </w:t>
      </w:r>
      <w:r>
        <w:rPr>
          <w:rFonts w:ascii="宋体" w:hAnsi="宋体" w:cs="宋体" w:eastAsia="宋体" w:hint="ascii"/>
          <w:sz w:val="21"/>
        </w:rPr>
        <w:t>年共同设立第二期“国家自</w:t>
      </w:r>
    </w:p>
    <w:p>
      <w:pPr>
        <w:autoSpaceDE w:val="0"/>
        <w:autoSpaceDN w:val="0"/>
        <w:jc w:val="both"/>
        <w:spacing w:before="8" w:after="0" w:lineRule="exact" w:line="304"/>
        <w:ind w:right="982"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然科学基金委</w:t>
      </w:r>
      <w:r>
        <w:rPr>
          <w:rFonts w:ascii="宋体" w:hAnsi="宋体" w:cs="宋体" w:eastAsia="宋体" w:hint="ascii"/>
          <w:sz w:val="21"/>
        </w:rPr>
        <w:t>员会</w:t>
      </w:r>
      <w:r>
        <w:rPr>
          <w:rFonts w:ascii="宋体" w:hAnsi="宋体" w:cs="宋体" w:eastAsia="宋体" w:hint="ascii"/>
          <w:sz w:val="21"/>
          <w:spacing w:val="3"/>
        </w:rPr>
        <w:t>-</w:t>
      </w:r>
      <w:r>
        <w:rPr>
          <w:rFonts w:ascii="宋体" w:hAnsi="宋体" w:cs="宋体" w:eastAsia="宋体" w:hint="ascii"/>
          <w:sz w:val="21"/>
        </w:rPr>
        <w:t>山东省人民政府联合基金</w:t>
      </w:r>
      <w:r>
        <w:rPr>
          <w:rFonts w:ascii="宋体" w:hAnsi="宋体" w:cs="宋体" w:eastAsia="宋体" w:hint="ascii"/>
          <w:sz w:val="21"/>
          <w:spacing w:val="-54"/>
        </w:rPr>
        <w:t>”</w:t>
      </w:r>
      <w:r>
        <w:rPr>
          <w:rFonts w:ascii="宋体" w:hAnsi="宋体" w:cs="宋体" w:eastAsia="宋体" w:hint="ascii"/>
          <w:sz w:val="21"/>
        </w:rPr>
        <w:t>（以下简</w:t>
      </w:r>
      <w:r>
        <w:rPr>
          <w:rFonts w:ascii="宋体" w:hAnsi="宋体" w:cs="宋体" w:eastAsia="宋体" w:hint="ascii"/>
          <w:sz w:val="21"/>
          <w:spacing w:val="-3"/>
        </w:rPr>
        <w:t>称</w:t>
      </w:r>
      <w:r>
        <w:rPr>
          <w:rFonts w:ascii="宋体" w:hAnsi="宋体" w:cs="宋体" w:eastAsia="宋体" w:hint="ascii"/>
          <w:sz w:val="21"/>
          <w:spacing w:val="1"/>
        </w:rPr>
        <w:t xml:space="preserve"> </w:t>
      </w:r>
      <w:r>
        <w:rPr>
          <w:rFonts w:ascii="Times New Roman" w:hAnsi="Times New Roman" w:cs="Times New Roman" w:eastAsia="Times New Roman" w:hint="ascii"/>
          <w:sz w:val="21"/>
          <w:spacing w:val="1"/>
        </w:rPr>
        <w:t>N</w:t>
      </w:r>
      <w:r>
        <w:rPr>
          <w:rFonts w:ascii="Times New Roman" w:hAnsi="Times New Roman" w:cs="Times New Roman" w:eastAsia="Times New Roman" w:hint="ascii"/>
          <w:sz w:val="21"/>
          <w:spacing w:val="2"/>
        </w:rPr>
        <w:t>S</w:t>
      </w:r>
      <w:r>
        <w:rPr>
          <w:rFonts w:ascii="Times New Roman" w:hAnsi="Times New Roman" w:cs="Times New Roman" w:eastAsia="Times New Roman" w:hint="ascii"/>
          <w:sz w:val="21"/>
        </w:rPr>
        <w:t>FC</w:t>
      </w:r>
      <w:r>
        <w:rPr>
          <w:rFonts w:ascii="宋体" w:hAnsi="宋体" w:cs="宋体" w:eastAsia="宋体" w:hint="ascii"/>
          <w:sz w:val="21"/>
          <w:spacing w:val="4"/>
        </w:rPr>
        <w:t>-</w:t>
      </w:r>
      <w:r>
        <w:rPr>
          <w:rFonts w:ascii="宋体" w:hAnsi="宋体" w:cs="宋体" w:eastAsia="宋体" w:hint="ascii"/>
          <w:sz w:val="21"/>
        </w:rPr>
        <w:t>山东联合基金</w:t>
      </w:r>
      <w:r>
        <w:rPr>
          <w:rFonts w:ascii="宋体" w:hAnsi="宋体" w:cs="宋体" w:eastAsia="宋体" w:hint="ascii"/>
          <w:sz w:val="21"/>
          <w:spacing w:val="-54"/>
        </w:rPr>
        <w:t>）</w:t>
      </w:r>
      <w:r>
        <w:rPr>
          <w:rFonts w:ascii="宋体" w:hAnsi="宋体" w:cs="宋体" w:eastAsia="宋体" w:hint="ascii"/>
          <w:sz w:val="21"/>
        </w:rPr>
        <w:t>，</w:t>
      </w:r>
      <w:r>
        <w:rPr>
          <w:rFonts w:ascii="宋体" w:hAnsi="宋体" w:cs="宋体" w:eastAsia="宋体" w:hint="ascii"/>
          <w:sz w:val="21"/>
          <w:spacing w:val="-6"/>
        </w:rPr>
        <w:t>旨</w:t>
      </w:r>
      <w:r>
        <w:rPr>
          <w:rFonts w:ascii="宋体" w:hAnsi="宋体" w:cs="宋体" w:eastAsia="宋体" w:hint="ascii"/>
          <w:sz w:val="21"/>
          <w:spacing w:val="1"/>
        </w:rPr>
        <w:t>在发挥国家自</w:t>
      </w:r>
      <w:r>
        <w:rPr>
          <w:rFonts w:ascii="宋体" w:hAnsi="宋体" w:cs="宋体" w:eastAsia="宋体" w:hint="ascii"/>
          <w:sz w:val="21"/>
        </w:rPr>
        <w:t>然科学基金的导向作用，吸引和汇聚全国优秀科学家，聚焦推动山东</w:t>
      </w:r>
      <w:r>
        <w:rPr>
          <w:rFonts w:ascii="宋体" w:hAnsi="宋体" w:cs="宋体" w:eastAsia="宋体" w:hint="ascii"/>
          <w:sz w:val="21"/>
          <w:spacing w:val="-6"/>
        </w:rPr>
        <w:t>半</w:t>
      </w:r>
      <w:r>
        <w:rPr>
          <w:rFonts w:ascii="宋体" w:hAnsi="宋体" w:cs="宋体" w:eastAsia="宋体" w:hint="ascii"/>
          <w:sz w:val="21"/>
          <w:spacing w:val="1"/>
        </w:rPr>
        <w:t>岛自主创新示</w:t>
      </w:r>
      <w:r>
        <w:rPr>
          <w:rFonts w:ascii="宋体" w:hAnsi="宋体" w:cs="宋体" w:eastAsia="宋体" w:hint="ascii"/>
          <w:sz w:val="21"/>
        </w:rPr>
        <w:t>范区和黄河三角洲农业高新技术产业示范区建设，围绕山东省及周边</w:t>
      </w:r>
      <w:r>
        <w:rPr>
          <w:rFonts w:ascii="宋体" w:hAnsi="宋体" w:cs="宋体" w:eastAsia="宋体" w:hint="ascii"/>
          <w:sz w:val="21"/>
          <w:spacing w:val="-6"/>
        </w:rPr>
        <w:t>地</w:t>
      </w:r>
      <w:r>
        <w:rPr>
          <w:rFonts w:ascii="宋体" w:hAnsi="宋体" w:cs="宋体" w:eastAsia="宋体" w:hint="ascii"/>
          <w:sz w:val="21"/>
          <w:spacing w:val="1"/>
        </w:rPr>
        <w:t>区经济、社会</w:t>
      </w:r>
      <w:r>
        <w:rPr>
          <w:rFonts w:ascii="宋体" w:hAnsi="宋体" w:cs="宋体" w:eastAsia="宋体" w:hint="ascii"/>
          <w:sz w:val="21"/>
        </w:rPr>
        <w:t>、科技发展的重大科学和关键技术问题开展基础研究，带动山东省的</w:t>
      </w:r>
      <w:r>
        <w:rPr>
          <w:rFonts w:ascii="宋体" w:hAnsi="宋体" w:cs="宋体" w:eastAsia="宋体" w:hint="ascii"/>
          <w:sz w:val="21"/>
          <w:spacing w:val="-6"/>
        </w:rPr>
        <w:t>科</w:t>
      </w:r>
      <w:r>
        <w:rPr>
          <w:rFonts w:ascii="宋体" w:hAnsi="宋体" w:cs="宋体" w:eastAsia="宋体" w:hint="ascii"/>
          <w:sz w:val="21"/>
          <w:spacing w:val="1"/>
        </w:rPr>
        <w:t>技发展和人才队</w:t>
      </w:r>
      <w:r>
        <w:rPr>
          <w:rFonts w:ascii="宋体" w:hAnsi="宋体" w:cs="宋体" w:eastAsia="宋体" w:hint="ascii"/>
          <w:sz w:val="21"/>
        </w:rPr>
        <w:t>伍建设，提升区域自主创新能力和国际竞争力，促进山东省经济和</w:t>
      </w:r>
      <w:r>
        <w:rPr>
          <w:rFonts w:ascii="宋体" w:hAnsi="宋体" w:cs="宋体" w:eastAsia="宋体" w:hint="ascii"/>
          <w:sz w:val="21"/>
          <w:spacing w:val="-6"/>
        </w:rPr>
        <w:t>社</w:t>
      </w:r>
      <w:r>
        <w:rPr>
          <w:rFonts w:ascii="宋体" w:hAnsi="宋体" w:cs="宋体" w:eastAsia="宋体" w:hint="ascii"/>
          <w:sz w:val="21"/>
        </w:rPr>
        <w:t>会可持续发展。</w:t>
      </w:r>
    </w:p>
    <w:p>
      <w:pPr>
        <w:autoSpaceDE w:val="0"/>
        <w:autoSpaceDN w:val="0"/>
        <w:jc w:val="left"/>
        <w:spacing w:before="272"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山东联合基金</w:t>
      </w:r>
      <w:r>
        <w:rPr>
          <w:rFonts w:ascii="宋体" w:hAnsi="宋体" w:cs="宋体" w:eastAsia="宋体" w:hint="ascii"/>
          <w:sz w:val="21"/>
          <w:spacing w:val="-13"/>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13"/>
        </w:rPr>
        <w:t xml:space="preserve"> </w:t>
      </w:r>
      <w:r>
        <w:rPr>
          <w:rFonts w:ascii="宋体" w:hAnsi="宋体" w:cs="宋体" w:eastAsia="宋体" w:hint="ascii"/>
          <w:sz w:val="21"/>
        </w:rPr>
        <w:t>年度接收下述</w:t>
      </w:r>
      <w:r>
        <w:rPr>
          <w:rFonts w:ascii="宋体" w:hAnsi="宋体" w:cs="宋体" w:eastAsia="宋体" w:hint="ascii"/>
          <w:sz w:val="21"/>
          <w:spacing w:val="-13"/>
        </w:rPr>
        <w:t xml:space="preserve"> </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13"/>
        </w:rPr>
        <w:t xml:space="preserve"> </w:t>
      </w:r>
      <w:r>
        <w:rPr>
          <w:rFonts w:ascii="宋体" w:hAnsi="宋体" w:cs="宋体" w:eastAsia="宋体" w:hint="ascii"/>
          <w:sz w:val="21"/>
        </w:rPr>
        <w:t>个研究领域的重点支持项目申请，直接</w:t>
      </w:r>
      <w:r>
        <w:rPr>
          <w:rFonts w:ascii="宋体" w:hAnsi="宋体" w:cs="宋体" w:eastAsia="宋体" w:hint="ascii"/>
          <w:sz w:val="21"/>
        </w:rPr>
        <mc:AlternateContent>
          <mc:Choice Requires="wps">
            <w:drawing>
              <wp:anchor distL="0" distR="0" distT="0" distB="0" simplePos="0" behindDoc="1" relativeHeight="305" locked="0" layoutInCell="1" allowOverlap="1">
                <wp:simplePos x="0" y="0"/>
                <wp:positionH relativeFrom="page">
                  <wp:posOffset>938530</wp:posOffset>
                </wp:positionH>
                <wp:positionV relativeFrom="page">
                  <wp:posOffset>805815</wp:posOffset>
                </wp:positionV>
                <wp:extent cx="5076190" cy="0"/>
                <wp:wrapNone/>
                <wp:docPr id="1333" name="133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45920;width:399.70pt;" id="133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7" w:after="0" w:lineRule="exact" w:line="312"/>
        <w:ind w:right="968" w:left="966" w:firstLine="0"/>
        <w:snapToGrid w:val="0"/>
        <w:textAlignment w:val="auto"/>
        <w:tabs/>
        <w:rPr>
          <w:rFonts w:ascii="宋体" w:hAnsi="宋体" w:cs="宋体" w:eastAsia="宋体" w:hint="ascii"/>
          <w:sz w:val="21"/>
        </w:rPr>
      </w:pPr>
      <w:r>
        <w:rPr>
          <w:rFonts w:ascii="宋体" w:hAnsi="宋体" w:cs="宋体" w:eastAsia="宋体" w:hint="ascii"/>
          <w:sz w:val="21"/>
        </w:rPr>
        <w:t>费用平均资助强度</w:t>
      </w:r>
      <w:r>
        <w:rPr>
          <w:rFonts w:ascii="宋体" w:hAnsi="宋体" w:cs="宋体" w:eastAsia="宋体" w:hint="ascii"/>
          <w:sz w:val="21"/>
          <w:spacing w:val="-7"/>
        </w:rPr>
        <w:t xml:space="preserve"> </w:t>
      </w:r>
      <w:r>
        <w:rPr>
          <w:rFonts w:ascii="Times New Roman" w:hAnsi="Times New Roman" w:cs="Times New Roman" w:eastAsia="Times New Roman" w:hint="ascii"/>
          <w:sz w:val="21"/>
        </w:rPr>
        <w:t>300</w:t>
      </w:r>
      <w:r>
        <w:rPr>
          <w:rFonts w:ascii="Times New Roman" w:hAnsi="Times New Roman" w:cs="Times New Roman" w:eastAsia="Times New Roman" w:hint="ascii"/>
          <w:sz w:val="21"/>
          <w:spacing w:val="-8"/>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7"/>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8"/>
        </w:rPr>
        <w:t xml:space="preserve"> </w:t>
      </w:r>
      <w:r>
        <w:rPr>
          <w:rFonts w:ascii="宋体" w:hAnsi="宋体" w:cs="宋体" w:eastAsia="宋体" w:hint="ascii"/>
          <w:sz w:val="21"/>
        </w:rPr>
        <w:t>年。</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山东联合基金面向全国，欢迎全国符合条件的科学技术人员按照本《指南》范围和要求提出申请。</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一、地球科学领域</w:t>
      </w:r>
    </w:p>
    <w:p>
      <w:pPr>
        <w:autoSpaceDE w:val="0"/>
        <w:autoSpaceDN w:val="0"/>
        <w:jc w:val="left"/>
        <w:spacing w:before="197" w:after="0" w:lineRule="auto" w:line="240"/>
        <w:ind w:right="0" w:left="1649" w:hanging="263"/>
        <w:snapToGrid w:val="0"/>
        <w:textAlignment w:val="auto"/>
        <w:tabs>
          <w:tab w:val="left" w:leader="none" w:pos="1648"/>
        </w:tabs>
        <w:numPr>
          <w:ilvl w:val="0"/>
          <w:numId w:val="334"/>
        </w:numPr>
        <w:rPr>
          <w:rFonts w:ascii="Times New Roman" w:hAnsi="Times New Roman" w:cs="Times New Roman" w:eastAsia="Times New Roman" w:hint="ascii"/>
          <w:sz w:val="21"/>
        </w:rPr>
      </w:pPr>
      <w:r>
        <w:rPr>
          <w:rFonts w:ascii="宋体" w:hAnsi="宋体" w:cs="宋体" w:eastAsia="宋体" w:hint="ascii"/>
          <w:sz w:val="21"/>
        </w:rPr>
        <w:t>黄河三角洲盐碱地改良</w: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土壤盐碱化是制约黄河三角洲高效生态农业发展的主要因素。围绕黄河三角洲盐碱</w:t>
      </w:r>
    </w:p>
    <w:p>
      <w:pPr>
        <w:autoSpaceDE w:val="0"/>
        <w:autoSpaceDN w:val="0"/>
        <w:jc w:val="both"/>
        <w:spacing w:before="8" w:after="0" w:lineRule="exact" w:line="300"/>
        <w:ind w:right="968" w:left="966" w:firstLine="0"/>
        <w:snapToGrid w:val="0"/>
        <w:textAlignment w:val="auto"/>
        <w:tabs/>
        <w:rPr>
          <w:rFonts w:ascii="宋体" w:hAnsi="宋体" w:cs="宋体" w:eastAsia="宋体" w:hint="ascii"/>
          <w:sz w:val="21"/>
        </w:rPr>
      </w:pPr>
      <w:r>
        <w:rPr>
          <w:rFonts w:ascii="宋体" w:hAnsi="宋体" w:cs="宋体" w:eastAsia="宋体" w:hint="ascii"/>
          <w:sz w:val="21"/>
        </w:rPr>
        <w:t>地综合治理与利用，开展利用工程、农艺、生物和化学等技术手段改良盐碱地的机理与关键技术研究，为保障粮食安全、生态安全奠定地力基础。主要研究方向：</w:t>
      </w:r>
    </w:p>
    <w:p>
      <w:pPr>
        <w:autoSpaceDE w:val="0"/>
        <w:autoSpaceDN w:val="0"/>
        <w:jc w:val="both"/>
        <w:spacing w:before="0" w:after="0" w:lineRule="exact" w:line="300"/>
        <w:ind w:right="1246"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）微生物</w:t>
      </w:r>
      <w:r>
        <w:rPr>
          <w:rFonts w:ascii="宋体" w:hAnsi="宋体" w:cs="宋体" w:eastAsia="宋体" w:hint="ascii"/>
          <w:sz w:val="21"/>
        </w:rPr>
        <w:t>改良盐碱地的机理与关键技术（申请代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）黄河三角洲盐碱农田养分增效机理（申请代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rPr>
        <w:t>3</w:t>
      </w:r>
      <w:r>
        <w:rPr>
          <w:rFonts w:ascii="宋体" w:hAnsi="宋体" w:cs="宋体" w:eastAsia="宋体" w:hint="ascii"/>
          <w:sz w:val="21"/>
        </w:rPr>
        <w:t>）黄河三角洲区域盐渍土可溶物迁移机制、效应及调控技术研究（申请代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rPr>
        <w:t>4</w:t>
      </w:r>
      <w:r>
        <w:rPr>
          <w:rFonts w:ascii="宋体" w:hAnsi="宋体" w:cs="宋体" w:eastAsia="宋体" w:hint="ascii"/>
          <w:sz w:val="21"/>
        </w:rPr>
        <w:t>）黄河三角洲盐碱地水</w:t>
      </w:r>
      <w:r>
        <w:rPr>
          <w:rFonts w:ascii="宋体" w:hAnsi="宋体" w:cs="宋体" w:eastAsia="宋体" w:hint="ascii"/>
          <w:sz w:val="21"/>
        </w:rPr>
        <w:t>-</w:t>
      </w:r>
      <w:r>
        <w:rPr>
          <w:rFonts w:ascii="宋体" w:hAnsi="宋体" w:cs="宋体" w:eastAsia="宋体" w:hint="ascii"/>
          <w:sz w:val="21"/>
        </w:rPr>
        <w:t>肥</w:t>
      </w:r>
      <w:r>
        <w:rPr>
          <w:rFonts w:ascii="宋体" w:hAnsi="宋体" w:cs="宋体" w:eastAsia="宋体" w:hint="ascii"/>
          <w:sz w:val="21"/>
        </w:rPr>
        <w:t>-</w:t>
      </w:r>
      <w:r>
        <w:rPr>
          <w:rFonts w:ascii="宋体" w:hAnsi="宋体" w:cs="宋体" w:eastAsia="宋体" w:hint="ascii"/>
          <w:sz w:val="21"/>
        </w:rPr>
        <w:t>盐一体化综合治理与技术模式研究（申请代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1</w:t>
      </w:r>
      <w:r>
        <w:rPr>
          <w:rFonts w:ascii="宋体" w:hAnsi="宋体" w:cs="宋体" w:eastAsia="宋体" w:hint="ascii"/>
          <w:sz w:val="21"/>
        </w:rPr>
        <w:t>选择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5</w:t>
      </w:r>
      <w:r>
        <w:rPr>
          <w:rFonts w:ascii="宋体" w:hAnsi="宋体" w:cs="宋体" w:eastAsia="宋体" w:hint="ascii"/>
          <w:sz w:val="21"/>
          <w:spacing w:val="-1"/>
        </w:rPr>
        <w:t>）黄河三角洲盐碱地作物生态学与农业生态系统优化研究（申</w:t>
      </w:r>
      <w:r>
        <w:rPr>
          <w:rFonts w:ascii="宋体" w:hAnsi="宋体" w:cs="宋体" w:eastAsia="宋体" w:hint="ascii"/>
          <w:sz w:val="21"/>
        </w:rPr>
        <w:t>请代码</w:t>
      </w:r>
      <w:r>
        <w:rPr>
          <w:rFonts w:ascii="宋体" w:hAnsi="宋体" w:cs="宋体" w:eastAsia="宋体" w:hint="ascii"/>
          <w:sz w:val="21"/>
          <w:spacing w:val="-2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D01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34"/>
        </w:numPr>
        <w:rPr>
          <w:rFonts w:ascii="Times New Roman" w:hAnsi="Times New Roman" w:cs="Times New Roman" w:eastAsia="Times New Roman" w:hint="ascii"/>
          <w:sz w:val="21"/>
        </w:rPr>
      </w:pPr>
      <w:r>
        <w:rPr>
          <w:rFonts w:ascii="宋体" w:hAnsi="宋体" w:cs="宋体" w:eastAsia="宋体" w:hint="ascii"/>
          <w:sz w:val="21"/>
        </w:rPr>
        <w:t>黄河三角洲湿地生态保护机制</w:t>
      </w:r>
    </w:p>
    <w:p>
      <w:pPr>
        <w:autoSpaceDE w:val="0"/>
        <w:autoSpaceDN w:val="0"/>
        <w:jc w:val="left"/>
        <w:spacing w:before="4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黄河三角洲湿地具有重要的生态功能，但生态环境脆弱。围绕该区域资源开发利用</w:t>
      </w:r>
    </w:p>
    <w:p>
      <w:pPr>
        <w:autoSpaceDE w:val="0"/>
        <w:autoSpaceDN w:val="0"/>
        <w:jc w:val="both"/>
        <w:spacing w:before="8" w:after="0" w:lineRule="exact" w:line="300"/>
        <w:ind w:right="968" w:left="966" w:firstLine="0"/>
        <w:snapToGrid w:val="0"/>
        <w:textAlignment w:val="auto"/>
        <w:tabs/>
        <w:rPr>
          <w:rFonts w:ascii="宋体" w:hAnsi="宋体" w:cs="宋体" w:eastAsia="宋体" w:hint="ascii"/>
          <w:sz w:val="21"/>
        </w:rPr>
      </w:pPr>
      <w:r>
        <w:rPr>
          <w:rFonts w:ascii="宋体" w:hAnsi="宋体" w:cs="宋体" w:eastAsia="宋体" w:hint="ascii"/>
          <w:sz w:val="21"/>
        </w:rPr>
        <w:t>以及生态环境保护，开展多尺度生态系统的研究，为黄河三角洲湿地的开发与保护提供科技支撑。主要研究方向：</w:t>
      </w:r>
    </w:p>
    <w:p>
      <w:pPr>
        <w:autoSpaceDE w:val="0"/>
        <w:autoSpaceDN w:val="0"/>
        <w:jc w:val="left"/>
        <w:spacing w:before="0" w:after="0" w:lineRule="exact" w:line="300"/>
        <w:ind w:right="968"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）黄河三角洲土壤污染生态修复机制研究（申请代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）黄河三角洲人工林退化生态系统的修复（申请代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spacing w:val="1"/>
        </w:rPr>
        <w:t>3</w:t>
      </w:r>
      <w:r>
        <w:rPr>
          <w:rFonts w:ascii="宋体" w:hAnsi="宋体" w:cs="宋体" w:eastAsia="宋体" w:hint="ascii"/>
          <w:sz w:val="21"/>
        </w:rPr>
        <w:t>）</w:t>
      </w:r>
      <w:r>
        <w:rPr>
          <w:rFonts w:ascii="宋体" w:hAnsi="宋体" w:cs="宋体" w:eastAsia="宋体" w:hint="ascii"/>
          <w:sz w:val="21"/>
          <w:spacing w:val="-3"/>
        </w:rPr>
        <w:t>黄河</w:t>
      </w:r>
      <w:r>
        <w:rPr>
          <w:rFonts w:ascii="宋体" w:hAnsi="宋体" w:cs="宋体" w:eastAsia="宋体" w:hint="ascii"/>
          <w:sz w:val="21"/>
          <w:spacing w:val="-4"/>
        </w:rPr>
        <w:t>三</w:t>
      </w:r>
      <w:r>
        <w:rPr>
          <w:rFonts w:ascii="宋体" w:hAnsi="宋体" w:cs="宋体" w:eastAsia="宋体" w:hint="ascii"/>
          <w:sz w:val="21"/>
          <w:spacing w:val="-3"/>
        </w:rPr>
        <w:t>角</w:t>
      </w:r>
      <w:r>
        <w:rPr>
          <w:rFonts w:ascii="宋体" w:hAnsi="宋体" w:cs="宋体" w:eastAsia="宋体" w:hint="ascii"/>
          <w:sz w:val="21"/>
          <w:spacing w:val="-4"/>
        </w:rPr>
        <w:t>洲</w:t>
      </w:r>
      <w:r>
        <w:rPr>
          <w:rFonts w:ascii="宋体" w:hAnsi="宋体" w:cs="宋体" w:eastAsia="宋体" w:hint="ascii"/>
          <w:sz w:val="21"/>
          <w:spacing w:val="-3"/>
        </w:rPr>
        <w:t>湿</w:t>
      </w:r>
      <w:r>
        <w:rPr>
          <w:rFonts w:ascii="宋体" w:hAnsi="宋体" w:cs="宋体" w:eastAsia="宋体" w:hint="ascii"/>
          <w:sz w:val="21"/>
          <w:spacing w:val="-4"/>
        </w:rPr>
        <w:t>地</w:t>
      </w:r>
      <w:r>
        <w:rPr>
          <w:rFonts w:ascii="宋体" w:hAnsi="宋体" w:cs="宋体" w:eastAsia="宋体" w:hint="ascii"/>
          <w:sz w:val="21"/>
          <w:spacing w:val="-3"/>
        </w:rPr>
        <w:t>退化</w:t>
      </w:r>
      <w:r>
        <w:rPr>
          <w:rFonts w:ascii="宋体" w:hAnsi="宋体" w:cs="宋体" w:eastAsia="宋体" w:hint="ascii"/>
          <w:sz w:val="21"/>
          <w:spacing w:val="-2"/>
        </w:rPr>
        <w:t>与</w:t>
      </w:r>
      <w:r>
        <w:rPr>
          <w:rFonts w:ascii="宋体" w:hAnsi="宋体" w:cs="宋体" w:eastAsia="宋体" w:hint="ascii"/>
          <w:sz w:val="21"/>
          <w:spacing w:val="-3"/>
        </w:rPr>
        <w:t>生</w:t>
      </w:r>
      <w:r>
        <w:rPr>
          <w:rFonts w:ascii="宋体" w:hAnsi="宋体" w:cs="宋体" w:eastAsia="宋体" w:hint="ascii"/>
          <w:sz w:val="21"/>
          <w:spacing w:val="-2"/>
        </w:rPr>
        <w:t>态</w:t>
      </w:r>
      <w:r>
        <w:rPr>
          <w:rFonts w:ascii="宋体" w:hAnsi="宋体" w:cs="宋体" w:eastAsia="宋体" w:hint="ascii"/>
          <w:sz w:val="21"/>
          <w:spacing w:val="-3"/>
        </w:rPr>
        <w:t>保</w:t>
      </w:r>
      <w:r>
        <w:rPr>
          <w:rFonts w:ascii="宋体" w:hAnsi="宋体" w:cs="宋体" w:eastAsia="宋体" w:hint="ascii"/>
          <w:sz w:val="21"/>
          <w:spacing w:val="-2"/>
        </w:rPr>
        <w:t>护</w:t>
      </w:r>
      <w:r>
        <w:rPr>
          <w:rFonts w:ascii="宋体" w:hAnsi="宋体" w:cs="宋体" w:eastAsia="宋体" w:hint="ascii"/>
          <w:sz w:val="21"/>
          <w:spacing w:val="-3"/>
        </w:rPr>
        <w:t>机</w:t>
      </w:r>
      <w:r>
        <w:rPr>
          <w:rFonts w:ascii="宋体" w:hAnsi="宋体" w:cs="宋体" w:eastAsia="宋体" w:hint="ascii"/>
          <w:sz w:val="21"/>
          <w:spacing w:val="-2"/>
        </w:rPr>
        <w:t>制</w:t>
      </w:r>
      <w:r>
        <w:rPr>
          <w:rFonts w:ascii="宋体" w:hAnsi="宋体" w:cs="宋体" w:eastAsia="宋体" w:hint="ascii"/>
          <w:sz w:val="21"/>
          <w:spacing w:val="-3"/>
        </w:rPr>
        <w:t>研</w:t>
      </w:r>
      <w:r>
        <w:rPr>
          <w:rFonts w:ascii="宋体" w:hAnsi="宋体" w:cs="宋体" w:eastAsia="宋体" w:hint="ascii"/>
          <w:sz w:val="21"/>
          <w:spacing w:val="-2"/>
        </w:rPr>
        <w:t>究</w:t>
      </w:r>
      <w:r>
        <w:rPr>
          <w:rFonts w:ascii="宋体" w:hAnsi="宋体" w:cs="宋体" w:eastAsia="宋体" w:hint="ascii"/>
          <w:sz w:val="21"/>
          <w:spacing w:val="-3"/>
        </w:rPr>
        <w:t>（</w:t>
      </w:r>
      <w:r>
        <w:rPr>
          <w:rFonts w:ascii="宋体" w:hAnsi="宋体" w:cs="宋体" w:eastAsia="宋体" w:hint="ascii"/>
          <w:sz w:val="21"/>
          <w:spacing w:val="-2"/>
        </w:rPr>
        <w:t>申</w:t>
      </w:r>
      <w:r>
        <w:rPr>
          <w:rFonts w:ascii="宋体" w:hAnsi="宋体" w:cs="宋体" w:eastAsia="宋体" w:hint="ascii"/>
          <w:sz w:val="21"/>
          <w:spacing w:val="-3"/>
        </w:rPr>
        <w:t>请</w:t>
      </w:r>
      <w:r>
        <w:rPr>
          <w:rFonts w:ascii="宋体" w:hAnsi="宋体" w:cs="宋体" w:eastAsia="宋体" w:hint="ascii"/>
          <w:sz w:val="21"/>
          <w:spacing w:val="-2"/>
        </w:rPr>
        <w:t>代</w:t>
      </w:r>
      <w:r>
        <w:rPr>
          <w:rFonts w:ascii="宋体" w:hAnsi="宋体" w:cs="宋体" w:eastAsia="宋体" w:hint="ascii"/>
          <w:sz w:val="21"/>
        </w:rPr>
        <w:t>码</w:t>
      </w:r>
      <w:r>
        <w:rPr>
          <w:rFonts w:ascii="宋体" w:hAnsi="宋体" w:cs="宋体" w:eastAsia="宋体" w:hint="ascii"/>
          <w:sz w:val="21"/>
          <w:spacing w:val="-4"/>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
        </w:rPr>
        <w:t xml:space="preserve"> </w:t>
      </w:r>
      <w:r>
        <w:rPr>
          <w:rFonts w:ascii="宋体" w:hAnsi="宋体" w:cs="宋体" w:eastAsia="宋体" w:hint="ascii"/>
          <w:sz w:val="21"/>
          <w:spacing w:val="-3"/>
        </w:rPr>
        <w:t>选</w:t>
      </w:r>
      <w:r>
        <w:rPr>
          <w:rFonts w:ascii="宋体" w:hAnsi="宋体" w:cs="宋体" w:eastAsia="宋体" w:hint="ascii"/>
          <w:sz w:val="21"/>
          <w:spacing w:val="22"/>
        </w:rPr>
        <w:t>择</w:t>
      </w:r>
      <w:r>
        <w:rPr>
          <w:rFonts w:ascii="Times New Roman" w:hAnsi="Times New Roman" w:cs="Times New Roman" w:eastAsia="Times New Roman" w:hint="ascii"/>
          <w:sz w:val="21"/>
          <w:spacing w:val="-4"/>
        </w:rPr>
        <w:t>D0</w:t>
      </w:r>
      <w:r>
        <w:rPr>
          <w:rFonts w:ascii="Times New Roman" w:hAnsi="Times New Roman" w:cs="Times New Roman" w:eastAsia="Times New Roman" w:hint="ascii"/>
          <w:sz w:val="21"/>
          <w:spacing w:val="47"/>
        </w:rPr>
        <w:t>1</w:t>
      </w:r>
      <w:r>
        <w:rPr>
          <w:rFonts w:ascii="宋体" w:hAnsi="宋体" w:cs="宋体" w:eastAsia="宋体" w:hint="ascii"/>
          <w:sz w:val="21"/>
          <w:spacing w:val="22"/>
        </w:rPr>
        <w:t>或</w:t>
      </w:r>
      <w:r>
        <w:rPr>
          <w:rFonts w:ascii="Times New Roman" w:hAnsi="Times New Roman" w:cs="Times New Roman" w:eastAsia="Times New Roman" w:hint="ascii"/>
          <w:sz w:val="21"/>
          <w:spacing w:val="-5"/>
        </w:rPr>
        <w:t>D0</w:t>
      </w:r>
      <w:r>
        <w:rPr>
          <w:rFonts w:ascii="Times New Roman" w:hAnsi="Times New Roman" w:cs="Times New Roman" w:eastAsia="Times New Roman" w:hint="ascii"/>
          <w:sz w:val="21"/>
          <w:spacing w:val="47"/>
        </w:rPr>
        <w:t>7</w:t>
      </w:r>
      <w:r>
        <w:rPr>
          <w:rFonts w:ascii="宋体" w:hAnsi="宋体" w:cs="宋体" w:eastAsia="宋体" w:hint="ascii"/>
          <w:sz w:val="21"/>
          <w:spacing w:val="-2"/>
        </w:rPr>
        <w:t>的</w:t>
      </w:r>
      <w:r>
        <w:rPr>
          <w:rFonts w:ascii="宋体" w:hAnsi="宋体" w:cs="宋体" w:eastAsia="宋体" w:hint="ascii"/>
          <w:sz w:val="21"/>
          <w:spacing w:val="-3"/>
        </w:rPr>
        <w:t>下</w:t>
      </w:r>
      <w:r>
        <w:rPr>
          <w:rFonts w:ascii="宋体" w:hAnsi="宋体" w:cs="宋体" w:eastAsia="宋体" w:hint="ascii"/>
          <w:sz w:val="21"/>
        </w:rPr>
        <w:t>属</w:t>
      </w:r>
    </w:p>
    <w:p>
      <w:pPr>
        <w:autoSpaceDE w:val="0"/>
        <w:autoSpaceDN w:val="0"/>
        <w:jc w:val="left"/>
        <w:spacing w:before="3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4"/>
        </w:rPr>
        <w:t>代码</w:t>
      </w:r>
      <w:r>
        <w:rPr>
          <w:rFonts w:ascii="宋体" w:hAnsi="宋体" w:cs="宋体" w:eastAsia="宋体" w:hint="ascii"/>
          <w:sz w:val="21"/>
          <w:spacing w:val="-55"/>
        </w:rPr>
        <w:t>）</w:t>
      </w:r>
      <w:r>
        <w:rPr>
          <w:rFonts w:ascii="宋体" w:hAnsi="宋体" w:cs="宋体" w:eastAsia="宋体" w:hint="ascii"/>
          <w:sz w:val="21"/>
        </w:rPr>
        <w:t>；</w:t>
      </w:r>
    </w:p>
    <w:p>
      <w:pPr>
        <w:autoSpaceDE w:val="0"/>
        <w:autoSpaceDN w:val="0"/>
        <w:jc w:val="both"/>
        <w:spacing w:before="8"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spacing w:val="-1"/>
        </w:rPr>
        <w:t>）</w:t>
      </w:r>
      <w:r>
        <w:rPr>
          <w:rFonts w:ascii="宋体" w:hAnsi="宋体" w:cs="宋体" w:eastAsia="宋体" w:hint="ascii"/>
          <w:sz w:val="21"/>
        </w:rPr>
        <w:t>黄</w:t>
      </w:r>
      <w:r>
        <w:rPr>
          <w:rFonts w:ascii="宋体" w:hAnsi="宋体" w:cs="宋体" w:eastAsia="宋体" w:hint="ascii"/>
          <w:sz w:val="21"/>
          <w:spacing w:val="-1"/>
        </w:rPr>
        <w:t>河三</w:t>
      </w:r>
      <w:r>
        <w:rPr>
          <w:rFonts w:ascii="宋体" w:hAnsi="宋体" w:cs="宋体" w:eastAsia="宋体" w:hint="ascii"/>
          <w:sz w:val="21"/>
        </w:rPr>
        <w:t>角洲</w:t>
      </w:r>
      <w:r>
        <w:rPr>
          <w:rFonts w:ascii="宋体" w:hAnsi="宋体" w:cs="宋体" w:eastAsia="宋体" w:hint="ascii"/>
          <w:sz w:val="21"/>
          <w:spacing w:val="-1"/>
        </w:rPr>
        <w:t>典</w:t>
      </w:r>
      <w:r>
        <w:rPr>
          <w:rFonts w:ascii="宋体" w:hAnsi="宋体" w:cs="宋体" w:eastAsia="宋体" w:hint="ascii"/>
          <w:sz w:val="21"/>
        </w:rPr>
        <w:t>型</w:t>
      </w:r>
      <w:r>
        <w:rPr>
          <w:rFonts w:ascii="宋体" w:hAnsi="宋体" w:cs="宋体" w:eastAsia="宋体" w:hint="ascii"/>
          <w:sz w:val="21"/>
          <w:spacing w:val="-1"/>
        </w:rPr>
        <w:t>河</w:t>
      </w:r>
      <w:r>
        <w:rPr>
          <w:rFonts w:ascii="宋体" w:hAnsi="宋体" w:cs="宋体" w:eastAsia="宋体" w:hint="ascii"/>
          <w:sz w:val="21"/>
        </w:rPr>
        <w:t>口生</w:t>
      </w:r>
      <w:r>
        <w:rPr>
          <w:rFonts w:ascii="宋体" w:hAnsi="宋体" w:cs="宋体" w:eastAsia="宋体" w:hint="ascii"/>
          <w:sz w:val="21"/>
          <w:spacing w:val="-1"/>
        </w:rPr>
        <w:t>态</w:t>
      </w:r>
      <w:r>
        <w:rPr>
          <w:rFonts w:ascii="宋体" w:hAnsi="宋体" w:cs="宋体" w:eastAsia="宋体" w:hint="ascii"/>
          <w:sz w:val="21"/>
        </w:rPr>
        <w:t>系</w:t>
      </w:r>
      <w:r>
        <w:rPr>
          <w:rFonts w:ascii="宋体" w:hAnsi="宋体" w:cs="宋体" w:eastAsia="宋体" w:hint="ascii"/>
          <w:sz w:val="21"/>
          <w:spacing w:val="-1"/>
        </w:rPr>
        <w:t>统</w:t>
      </w:r>
      <w:r>
        <w:rPr>
          <w:rFonts w:ascii="宋体" w:hAnsi="宋体" w:cs="宋体" w:eastAsia="宋体" w:hint="ascii"/>
          <w:sz w:val="21"/>
        </w:rPr>
        <w:t>重构</w:t>
      </w:r>
      <w:r>
        <w:rPr>
          <w:rFonts w:ascii="宋体" w:hAnsi="宋体" w:cs="宋体" w:eastAsia="宋体" w:hint="ascii"/>
          <w:sz w:val="21"/>
          <w:spacing w:val="-1"/>
        </w:rPr>
        <w:t>及</w:t>
      </w:r>
      <w:r>
        <w:rPr>
          <w:rFonts w:ascii="宋体" w:hAnsi="宋体" w:cs="宋体" w:eastAsia="宋体" w:hint="ascii"/>
          <w:sz w:val="21"/>
        </w:rPr>
        <w:t>其</w:t>
      </w:r>
      <w:r>
        <w:rPr>
          <w:rFonts w:ascii="宋体" w:hAnsi="宋体" w:cs="宋体" w:eastAsia="宋体" w:hint="ascii"/>
          <w:sz w:val="21"/>
          <w:spacing w:val="-1"/>
        </w:rPr>
        <w:t>资</w:t>
      </w:r>
      <w:r>
        <w:rPr>
          <w:rFonts w:ascii="宋体" w:hAnsi="宋体" w:cs="宋体" w:eastAsia="宋体" w:hint="ascii"/>
          <w:sz w:val="21"/>
        </w:rPr>
        <w:t>源环</w:t>
      </w:r>
      <w:r>
        <w:rPr>
          <w:rFonts w:ascii="宋体" w:hAnsi="宋体" w:cs="宋体" w:eastAsia="宋体" w:hint="ascii"/>
          <w:sz w:val="21"/>
          <w:spacing w:val="-1"/>
        </w:rPr>
        <w:t>境</w:t>
      </w:r>
      <w:r>
        <w:rPr>
          <w:rFonts w:ascii="宋体" w:hAnsi="宋体" w:cs="宋体" w:eastAsia="宋体" w:hint="ascii"/>
          <w:sz w:val="21"/>
        </w:rPr>
        <w:t>效</w:t>
      </w:r>
      <w:r>
        <w:rPr>
          <w:rFonts w:ascii="宋体" w:hAnsi="宋体" w:cs="宋体" w:eastAsia="宋体" w:hint="ascii"/>
          <w:sz w:val="21"/>
          <w:spacing w:val="-1"/>
        </w:rPr>
        <w:t>应</w:t>
      </w:r>
      <w:r>
        <w:rPr>
          <w:rFonts w:ascii="宋体" w:hAnsi="宋体" w:cs="宋体" w:eastAsia="宋体" w:hint="ascii"/>
          <w:sz w:val="21"/>
        </w:rPr>
        <w:t>研究</w:t>
      </w:r>
      <w:r>
        <w:rPr>
          <w:rFonts w:ascii="宋体" w:hAnsi="宋体" w:cs="宋体" w:eastAsia="宋体" w:hint="ascii"/>
          <w:sz w:val="21"/>
          <w:spacing w:val="-1"/>
        </w:rPr>
        <w:t>（</w:t>
      </w:r>
      <w:r>
        <w:rPr>
          <w:rFonts w:ascii="宋体" w:hAnsi="宋体" w:cs="宋体" w:eastAsia="宋体" w:hint="ascii"/>
          <w:sz w:val="21"/>
        </w:rPr>
        <w:t>申</w:t>
      </w:r>
      <w:r>
        <w:rPr>
          <w:rFonts w:ascii="宋体" w:hAnsi="宋体" w:cs="宋体" w:eastAsia="宋体" w:hint="ascii"/>
          <w:sz w:val="21"/>
          <w:spacing w:val="-1"/>
        </w:rPr>
        <w:t>请</w:t>
      </w:r>
      <w:r>
        <w:rPr>
          <w:rFonts w:ascii="宋体" w:hAnsi="宋体" w:cs="宋体" w:eastAsia="宋体" w:hint="ascii"/>
          <w:sz w:val="21"/>
        </w:rPr>
        <w:t>代</w:t>
      </w:r>
      <w:r>
        <w:rPr>
          <w:rFonts w:ascii="宋体" w:hAnsi="宋体" w:cs="宋体" w:eastAsia="宋体" w:hint="ascii"/>
          <w:sz w:val="21"/>
          <w:spacing w:val="-3"/>
        </w:rPr>
        <w:t>码</w:t>
      </w:r>
      <w:r>
        <w:rPr>
          <w:rFonts w:ascii="宋体" w:hAnsi="宋体" w:cs="宋体" w:eastAsia="宋体" w:hint="ascii"/>
          <w:sz w:val="21"/>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
        </w:rPr>
        <w:t xml:space="preserve"> </w:t>
      </w:r>
      <w:r>
        <w:rPr>
          <w:rFonts w:ascii="宋体" w:hAnsi="宋体" w:cs="宋体" w:eastAsia="宋体" w:hint="ascii"/>
          <w:sz w:val="21"/>
        </w:rPr>
        <w:t>选择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1</w:t>
      </w:r>
      <w:r>
        <w:rPr>
          <w:rFonts w:ascii="宋体" w:hAnsi="宋体" w:cs="宋体" w:eastAsia="宋体" w:hint="ascii"/>
          <w:sz w:val="21"/>
          <w:spacing w:val="27"/>
        </w:rPr>
        <w:t>或</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5" w:after="0" w:lineRule="auto" w:line="240"/>
        <w:ind w:right="0" w:left="1649" w:hanging="263"/>
        <w:snapToGrid w:val="0"/>
        <w:textAlignment w:val="auto"/>
        <w:tabs>
          <w:tab w:val="left" w:leader="none" w:pos="1648"/>
        </w:tabs>
        <w:numPr>
          <w:ilvl w:val="0"/>
          <w:numId w:val="334"/>
        </w:numPr>
        <w:rPr>
          <w:rFonts w:ascii="Times New Roman" w:hAnsi="Times New Roman" w:cs="Times New Roman" w:eastAsia="Times New Roman" w:hint="ascii"/>
          <w:sz w:val="21"/>
        </w:rPr>
      </w:pPr>
      <w:r>
        <w:rPr>
          <w:rFonts w:ascii="宋体" w:hAnsi="宋体" w:cs="宋体" w:eastAsia="宋体" w:hint="ascii"/>
          <w:sz w:val="21"/>
        </w:rPr>
        <w:t>山东近海环境与生态</w:t>
      </w:r>
    </w:p>
    <w:p>
      <w:pPr>
        <w:autoSpaceDE w:val="0"/>
        <w:autoSpaceDN w:val="0"/>
        <w:jc w:val="both"/>
        <w:spacing w:before="19" w:after="0" w:lineRule="exact" w:line="300"/>
        <w:ind w:right="96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围绕山东省近海海洋生态与环境保护、</w:t>
      </w:r>
      <w:r>
        <w:rPr>
          <w:rFonts w:ascii="宋体" w:hAnsi="宋体" w:cs="宋体" w:eastAsia="宋体" w:hint="ascii"/>
          <w:sz w:val="21"/>
          <w:spacing w:val="-1"/>
        </w:rPr>
        <w:t>海洋开发的重大需求，深入研究海洋地质环</w:t>
      </w:r>
      <w:r>
        <w:rPr>
          <w:rFonts w:ascii="宋体" w:hAnsi="宋体" w:cs="宋体" w:eastAsia="宋体" w:hint="ascii"/>
          <w:sz w:val="21"/>
        </w:rPr>
        <w:t xml:space="preserve"> 境、近海生态系统演变及灾害防控，为山东近海生态环境保护与资源的合理开发提供科学支撑。主要研究方向：</w:t>
      </w:r>
    </w:p>
    <w:p>
      <w:pPr>
        <w:autoSpaceDE w:val="0"/>
        <w:autoSpaceDN w:val="0"/>
        <w:jc w:val="both"/>
        <w:spacing w:before="0"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）黄河三角洲地形地貌演变特征及其动力机制与环境效应（申</w:t>
      </w:r>
      <w:r>
        <w:rPr>
          <w:rFonts w:ascii="宋体" w:hAnsi="宋体" w:cs="宋体" w:eastAsia="宋体" w:hint="ascii"/>
          <w:sz w:val="21"/>
        </w:rPr>
        <w:t>请代码</w:t>
      </w:r>
      <w:r>
        <w:rPr>
          <w:rFonts w:ascii="宋体" w:hAnsi="宋体" w:cs="宋体" w:eastAsia="宋体" w:hint="ascii"/>
          <w:sz w:val="21"/>
          <w:spacing w:val="-2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D02 </w:t>
      </w:r>
      <w:r>
        <w:rPr>
          <w:rFonts w:ascii="宋体" w:hAnsi="宋体" w:cs="宋体" w:eastAsia="宋体" w:hint="ascii"/>
          <w:sz w:val="21"/>
          <w:spacing w:val="27"/>
        </w:rPr>
        <w:t>或</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 xml:space="preserve">）山东海岸带和近海污染物的行为过程与环境效应（申请代码 </w:t>
      </w:r>
      <w:r>
        <w:rPr>
          <w:rFonts w:ascii="Times New Roman" w:hAnsi="Times New Roman" w:cs="Times New Roman" w:eastAsia="Times New Roman" w:hint="ascii"/>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sz w:val="21"/>
        </w:rPr>
        <w:t xml:space="preserve">D01 </w:t>
      </w:r>
      <w:r>
        <w:rPr>
          <w:rFonts w:ascii="宋体" w:hAnsi="宋体" w:cs="宋体" w:eastAsia="宋体" w:hint="ascii"/>
          <w:sz w:val="21"/>
        </w:rPr>
        <w:t>或</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rPr>
        <w:t>3</w:t>
      </w:r>
      <w:r>
        <w:rPr>
          <w:rFonts w:ascii="宋体" w:hAnsi="宋体" w:cs="宋体" w:eastAsia="宋体" w:hint="ascii"/>
          <w:sz w:val="21"/>
        </w:rPr>
        <w:t>）人类活动对海域环境与生态过程的影响与调控机制（申请代码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5"/>
        </w:rPr>
        <w:t xml:space="preserve"> </w:t>
      </w:r>
      <w:r>
        <w:rPr>
          <w:rFonts w:ascii="Times New Roman" w:hAnsi="Times New Roman" w:cs="Times New Roman" w:eastAsia="Times New Roman" w:hint="ascii"/>
          <w:sz w:val="21"/>
        </w:rPr>
        <w:t>D01</w:t>
      </w:r>
      <w:r>
        <w:rPr>
          <w:rFonts w:ascii="Times New Roman" w:hAnsi="Times New Roman" w:cs="Times New Roman" w:eastAsia="Times New Roman" w:hint="ascii"/>
          <w:sz w:val="21"/>
          <w:spacing w:val="-6"/>
        </w:rPr>
        <w:t xml:space="preserve"> </w:t>
      </w:r>
      <w:r>
        <w:rPr>
          <w:rFonts w:ascii="宋体" w:hAnsi="宋体" w:cs="宋体" w:eastAsia="宋体" w:hint="ascii"/>
          <w:sz w:val="21"/>
        </w:rPr>
        <w:t>或</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00"/>
        <w:ind w:right="96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rPr>
        <w:t>）山东海岸带典型灾害发生与治理机制研究（申请代码</w:t>
      </w:r>
      <w:r>
        <w:rPr>
          <w:rFonts w:ascii="宋体" w:hAnsi="宋体" w:cs="宋体" w:eastAsia="宋体" w:hint="ascii"/>
          <w:sz w:val="21"/>
          <w:spacing w:val="-1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6"/>
        </w:rPr>
        <w:t xml:space="preserve"> </w:t>
      </w:r>
      <w:r>
        <w:rPr>
          <w:rFonts w:ascii="宋体" w:hAnsi="宋体" w:cs="宋体" w:eastAsia="宋体" w:hint="ascii"/>
          <w:sz w:val="21"/>
        </w:rPr>
        <w:t>选择</w:t>
      </w:r>
      <w:r>
        <w:rPr>
          <w:rFonts w:ascii="宋体" w:hAnsi="宋体" w:cs="宋体" w:eastAsia="宋体" w:hint="ascii"/>
          <w:sz w:val="21"/>
          <w:spacing w:val="-16"/>
        </w:rPr>
        <w:t xml:space="preserve"> </w:t>
      </w:r>
      <w:r>
        <w:rPr>
          <w:rFonts w:ascii="Times New Roman" w:hAnsi="Times New Roman" w:cs="Times New Roman" w:eastAsia="Times New Roman" w:hint="ascii"/>
          <w:sz w:val="21"/>
        </w:rPr>
        <w:t>D01</w:t>
      </w:r>
      <w:r>
        <w:rPr>
          <w:rFonts w:ascii="Times New Roman" w:hAnsi="Times New Roman" w:cs="Times New Roman" w:eastAsia="Times New Roman" w:hint="ascii"/>
          <w:sz w:val="21"/>
          <w:spacing w:val="-17"/>
        </w:rPr>
        <w:t xml:space="preserve"> </w:t>
      </w:r>
      <w:r>
        <w:rPr>
          <w:rFonts w:ascii="宋体" w:hAnsi="宋体" w:cs="宋体" w:eastAsia="宋体" w:hint="ascii"/>
          <w:sz w:val="21"/>
        </w:rPr>
        <w:t>或</w:t>
      </w:r>
      <w:r>
        <w:rPr>
          <w:rFonts w:ascii="宋体" w:hAnsi="宋体" w:cs="宋体" w:eastAsia="宋体" w:hint="ascii"/>
          <w:sz w:val="21"/>
          <w:spacing w:val="-16"/>
        </w:rPr>
        <w:t xml:space="preserve"> </w:t>
      </w:r>
      <w:r>
        <w:rPr>
          <w:rFonts w:ascii="Times New Roman" w:hAnsi="Times New Roman" w:cs="Times New Roman" w:eastAsia="Times New Roman" w:hint="ascii"/>
          <w:sz w:val="21"/>
        </w:rPr>
        <w:t>D06</w:t>
      </w:r>
      <w:r>
        <w:rPr>
          <w:rFonts w:ascii="Times New Roman" w:hAnsi="Times New Roman" w:cs="Times New Roman" w:eastAsia="Times New Roman" w:hint="ascii"/>
          <w:sz w:val="21"/>
          <w:spacing w:val="-17"/>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）海洋生态环境原位实时监测技术（申请代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37"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auto" w:line="240"/>
        <w:ind w:right="0" w:left="1649" w:hanging="263"/>
        <w:snapToGrid w:val="0"/>
        <w:textAlignment w:val="auto"/>
        <w:tabs>
          <w:tab w:val="left" w:leader="none" w:pos="1648"/>
        </w:tabs>
        <w:numPr>
          <w:ilvl w:val="0"/>
          <w:numId w:val="334"/>
        </w:numPr>
        <w:rPr>
          <w:rFonts w:ascii="Times New Roman" w:hAnsi="Times New Roman" w:cs="Times New Roman" w:eastAsia="Times New Roman" w:hint="ascii"/>
          <w:sz w:val="21"/>
        </w:rPr>
      </w:pPr>
      <w:r>
        <w:rPr>
          <w:rFonts w:ascii="宋体" w:hAnsi="宋体" w:cs="宋体" w:eastAsia="宋体" w:hint="ascii"/>
          <w:sz w:val="21"/>
        </w:rPr>
        <w:t>山东特色矿产资源</w:t>
      </w:r>
      <w:r>
        <w:rPr>
          <w:rFonts w:ascii="宋体" w:hAnsi="宋体" w:cs="宋体" w:eastAsia="宋体" w:hint="ascii"/>
          <w:sz w:val="21"/>
        </w:rPr>
        <mc:AlternateContent>
          <mc:Choice Requires="wps">
            <w:drawing>
              <wp:anchor distL="0" distR="0" distT="0" distB="0" simplePos="0" behindDoc="1" relativeHeight="306" locked="0" layoutInCell="1" allowOverlap="1">
                <wp:simplePos x="0" y="0"/>
                <wp:positionH relativeFrom="page">
                  <wp:posOffset>938530</wp:posOffset>
                </wp:positionH>
                <wp:positionV relativeFrom="page">
                  <wp:posOffset>819150</wp:posOffset>
                </wp:positionV>
                <wp:extent cx="5076190" cy="0"/>
                <wp:wrapNone/>
                <wp:docPr id="1334" name="133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44896;width:399.70pt;" id="133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7"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山东</w:t>
      </w:r>
      <w:r>
        <w:rPr>
          <w:rFonts w:ascii="宋体" w:hAnsi="宋体" w:cs="宋体" w:eastAsia="宋体" w:hint="ascii"/>
          <w:sz w:val="21"/>
          <w:spacing w:val="2"/>
        </w:rPr>
        <w:t>省</w:t>
      </w:r>
      <w:r>
        <w:rPr>
          <w:rFonts w:ascii="宋体" w:hAnsi="宋体" w:cs="宋体" w:eastAsia="宋体" w:hint="ascii"/>
          <w:sz w:val="21"/>
          <w:spacing w:val="1"/>
        </w:rPr>
        <w:t>及其近海</w:t>
      </w:r>
      <w:r>
        <w:rPr>
          <w:rFonts w:ascii="宋体" w:hAnsi="宋体" w:cs="宋体" w:eastAsia="宋体" w:hint="ascii"/>
          <w:sz w:val="21"/>
          <w:spacing w:val="2"/>
        </w:rPr>
        <w:t>蕴</w:t>
      </w:r>
      <w:r>
        <w:rPr>
          <w:rFonts w:ascii="宋体" w:hAnsi="宋体" w:cs="宋体" w:eastAsia="宋体" w:hint="ascii"/>
          <w:sz w:val="21"/>
          <w:spacing w:val="1"/>
        </w:rPr>
        <w:t>含着丰富</w:t>
      </w:r>
      <w:r>
        <w:rPr>
          <w:rFonts w:ascii="宋体" w:hAnsi="宋体" w:cs="宋体" w:eastAsia="宋体" w:hint="ascii"/>
          <w:sz w:val="21"/>
          <w:spacing w:val="2"/>
        </w:rPr>
        <w:t>的</w:t>
      </w:r>
      <w:r>
        <w:rPr>
          <w:rFonts w:ascii="宋体" w:hAnsi="宋体" w:cs="宋体" w:eastAsia="宋体" w:hint="ascii"/>
          <w:sz w:val="21"/>
          <w:spacing w:val="1"/>
        </w:rPr>
        <w:t>矿产资源</w:t>
      </w:r>
      <w:r>
        <w:rPr>
          <w:rFonts w:ascii="宋体" w:hAnsi="宋体" w:cs="宋体" w:eastAsia="宋体" w:hint="ascii"/>
          <w:sz w:val="21"/>
          <w:spacing w:val="2"/>
        </w:rPr>
        <w:t>，</w:t>
      </w:r>
      <w:r>
        <w:rPr>
          <w:rFonts w:ascii="宋体" w:hAnsi="宋体" w:cs="宋体" w:eastAsia="宋体" w:hint="ascii"/>
          <w:sz w:val="21"/>
          <w:spacing w:val="1"/>
        </w:rPr>
        <w:t>具有</w:t>
      </w:r>
      <w:r>
        <w:rPr>
          <w:rFonts w:ascii="宋体" w:hAnsi="宋体" w:cs="宋体" w:eastAsia="宋体" w:hint="ascii"/>
          <w:sz w:val="21"/>
          <w:spacing w:val="2"/>
        </w:rPr>
        <w:t>广阔</w:t>
      </w:r>
      <w:r>
        <w:rPr>
          <w:rFonts w:ascii="宋体" w:hAnsi="宋体" w:cs="宋体" w:eastAsia="宋体" w:hint="ascii"/>
          <w:sz w:val="21"/>
          <w:spacing w:val="3"/>
        </w:rPr>
        <w:t>的</w:t>
      </w:r>
      <w:r>
        <w:rPr>
          <w:rFonts w:ascii="宋体" w:hAnsi="宋体" w:cs="宋体" w:eastAsia="宋体" w:hint="ascii"/>
          <w:sz w:val="21"/>
          <w:spacing w:val="2"/>
        </w:rPr>
        <w:t>发展空间</w:t>
      </w:r>
      <w:r>
        <w:rPr>
          <w:rFonts w:ascii="宋体" w:hAnsi="宋体" w:cs="宋体" w:eastAsia="宋体" w:hint="ascii"/>
          <w:sz w:val="21"/>
          <w:spacing w:val="3"/>
        </w:rPr>
        <w:t>。</w:t>
      </w:r>
      <w:r>
        <w:rPr>
          <w:rFonts w:ascii="宋体" w:hAnsi="宋体" w:cs="宋体" w:eastAsia="宋体" w:hint="ascii"/>
          <w:sz w:val="21"/>
          <w:spacing w:val="2"/>
        </w:rPr>
        <w:t>围绕山东</w:t>
      </w:r>
      <w:r>
        <w:rPr>
          <w:rFonts w:ascii="宋体" w:hAnsi="宋体" w:cs="宋体" w:eastAsia="宋体" w:hint="ascii"/>
          <w:sz w:val="21"/>
          <w:spacing w:val="3"/>
        </w:rPr>
        <w:t>近</w:t>
      </w:r>
      <w:r>
        <w:rPr>
          <w:rFonts w:ascii="宋体" w:hAnsi="宋体" w:cs="宋体" w:eastAsia="宋体" w:hint="ascii"/>
          <w:sz w:val="21"/>
          <w:spacing w:val="2"/>
        </w:rPr>
        <w:t>海</w:t>
      </w:r>
      <w:r>
        <w:rPr>
          <w:rFonts w:ascii="宋体" w:hAnsi="宋体" w:cs="宋体" w:eastAsia="宋体" w:hint="ascii"/>
          <w:sz w:val="21"/>
          <w:spacing w:val="-1"/>
        </w:rPr>
        <w:t>金</w:t>
      </w:r>
      <w:r>
        <w:rPr>
          <w:rFonts w:ascii="宋体" w:hAnsi="宋体" w:cs="宋体" w:eastAsia="宋体" w:hint="ascii"/>
          <w:sz w:val="21"/>
        </w:rPr>
        <w:t xml:space="preserve"> 矿、地下卤水、油气等特色矿产资源的形成机理和高效、安全开采等，开展资源形成机理基础理论与勘探开发技术方面的研究，为资源的合理开发与产业发展提供科技支撑。主要研究方向：</w:t>
      </w:r>
    </w:p>
    <w:p>
      <w:pPr>
        <w:autoSpaceDE w:val="0"/>
        <w:autoSpaceDN w:val="0"/>
        <w:jc w:val="both"/>
        <w:spacing w:before="0" w:after="0" w:lineRule="exact" w:line="312"/>
        <w:ind w:right="989"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）山东近海</w:t>
      </w:r>
      <w:r>
        <w:rPr>
          <w:rFonts w:ascii="宋体" w:hAnsi="宋体" w:cs="宋体" w:eastAsia="宋体" w:hint="ascii"/>
          <w:sz w:val="21"/>
        </w:rPr>
        <w:t>特色矿产资源形成机制（申请代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2</w:t>
      </w:r>
      <w:r>
        <w:rPr>
          <w:rFonts w:ascii="宋体" w:hAnsi="宋体" w:cs="宋体" w:eastAsia="宋体" w:hint="ascii"/>
          <w:sz w:val="21"/>
          <w:spacing w:val="27"/>
        </w:rPr>
        <w:t>或</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）山东特色矿产资源勘探与开采技术（申请代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2</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二、海洋材料、海洋工程与海洋装备领域</w:t>
      </w:r>
    </w:p>
    <w:p>
      <w:pPr>
        <w:autoSpaceDE w:val="0"/>
        <w:autoSpaceDN w:val="0"/>
        <w:jc w:val="left"/>
        <w:spacing w:before="197" w:after="0" w:lineRule="auto" w:line="240"/>
        <w:ind w:right="0" w:left="1649" w:hanging="263"/>
        <w:snapToGrid w:val="0"/>
        <w:textAlignment w:val="auto"/>
        <w:tabs>
          <w:tab w:val="left" w:leader="none" w:pos="1648"/>
        </w:tabs>
        <w:numPr>
          <w:ilvl w:val="0"/>
          <w:numId w:val="335"/>
        </w:numPr>
        <w:rPr>
          <w:rFonts w:ascii="Times New Roman" w:hAnsi="Times New Roman" w:cs="Times New Roman" w:eastAsia="Times New Roman" w:hint="ascii"/>
          <w:sz w:val="21"/>
        </w:rPr>
      </w:pPr>
      <w:r>
        <w:rPr>
          <w:rFonts w:ascii="宋体" w:hAnsi="宋体" w:cs="宋体" w:eastAsia="宋体" w:hint="ascii"/>
          <w:sz w:val="21"/>
        </w:rPr>
        <w:t>海洋材料</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海洋环境下各类材料是进行海洋开发与保护的基础。围绕海洋环境下工程建设与资</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源开发对关键</w:t>
      </w:r>
      <w:r>
        <w:rPr>
          <w:rFonts w:ascii="宋体" w:hAnsi="宋体" w:cs="宋体" w:eastAsia="宋体" w:hint="ascii"/>
          <w:sz w:val="21"/>
        </w:rPr>
        <w:t>基础材料的需求，开展用于海洋工程装备、海洋工程建筑以及海洋监测、</w:t>
      </w:r>
      <w:r>
        <w:rPr>
          <w:rFonts w:ascii="宋体" w:hAnsi="宋体" w:cs="宋体" w:eastAsia="宋体" w:hint="ascii"/>
          <w:sz w:val="21"/>
          <w:spacing w:val="-1"/>
        </w:rPr>
        <w:t>资源利用等不</w:t>
      </w:r>
      <w:r>
        <w:rPr>
          <w:rFonts w:ascii="宋体" w:hAnsi="宋体" w:cs="宋体" w:eastAsia="宋体" w:hint="ascii"/>
          <w:sz w:val="21"/>
        </w:rPr>
        <w:t>同用途的新材料设计、制备与应用基础研究，有效解决制约我国海洋装备研制和海洋工程开发、海洋资源利用过程中的材料瓶颈问题。主要研究方向：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）高性能金属材料及其海洋环境适应性（申请代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 xml:space="preserve">）高耐久性海洋工程材料的设计及制备（申请代码 </w:t>
      </w:r>
      <w:r>
        <w:rPr>
          <w:rFonts w:ascii="Times New Roman" w:hAnsi="Times New Roman" w:cs="Times New Roman" w:eastAsia="Times New Roman" w:hint="ascii"/>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sz w:val="21"/>
        </w:rPr>
        <w:t>E01</w:t>
      </w:r>
      <w:r>
        <w:rPr>
          <w:rFonts w:ascii="宋体" w:hAnsi="宋体" w:cs="宋体" w:eastAsia="宋体" w:hint="ascii"/>
          <w:sz w:val="21"/>
        </w:rPr>
        <w:t>、</w:t>
      </w:r>
      <w:r>
        <w:rPr>
          <w:rFonts w:ascii="Times New Roman" w:hAnsi="Times New Roman" w:cs="Times New Roman" w:eastAsia="Times New Roman" w:hint="ascii"/>
          <w:sz w:val="21"/>
        </w:rPr>
        <w:t>E02</w:t>
      </w:r>
      <w:r>
        <w:rPr>
          <w:rFonts w:ascii="宋体" w:hAnsi="宋体" w:cs="宋体" w:eastAsia="宋体" w:hint="ascii"/>
          <w:sz w:val="21"/>
        </w:rPr>
        <w:t>、</w:t>
      </w:r>
      <w:r>
        <w:rPr>
          <w:rFonts w:ascii="Times New Roman" w:hAnsi="Times New Roman" w:cs="Times New Roman" w:eastAsia="Times New Roman" w:hint="ascii"/>
          <w:sz w:val="21"/>
        </w:rPr>
        <w:t xml:space="preserve">E08 </w:t>
      </w:r>
      <w:r>
        <w:rPr>
          <w:rFonts w:ascii="宋体" w:hAnsi="宋体" w:cs="宋体" w:eastAsia="宋体" w:hint="ascii"/>
          <w:sz w:val="21"/>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9</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）海洋防腐防污材料及</w:t>
      </w:r>
      <w:r>
        <w:rPr>
          <w:rFonts w:ascii="宋体" w:hAnsi="宋体" w:cs="宋体" w:eastAsia="宋体" w:hint="ascii"/>
          <w:sz w:val="21"/>
          <w:spacing w:val="-1"/>
        </w:rPr>
        <w:t>其应用（申请代码</w:t>
      </w:r>
      <w:r>
        <w:rPr>
          <w:rFonts w:ascii="宋体" w:hAnsi="宋体" w:cs="宋体" w:eastAsia="宋体" w:hint="ascii"/>
          <w:sz w:val="21"/>
          <w:spacing w:val="-17"/>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18"/>
        </w:rPr>
        <w:t xml:space="preserve"> </w:t>
      </w:r>
      <w:r>
        <w:rPr>
          <w:rFonts w:ascii="宋体" w:hAnsi="宋体" w:cs="宋体" w:eastAsia="宋体" w:hint="ascii"/>
          <w:sz w:val="21"/>
          <w:spacing w:val="-1"/>
        </w:rPr>
        <w:t>选择</w:t>
      </w:r>
      <w:r>
        <w:rPr>
          <w:rFonts w:ascii="宋体" w:hAnsi="宋体" w:cs="宋体" w:eastAsia="宋体" w:hint="ascii"/>
          <w:sz w:val="21"/>
          <w:spacing w:val="-17"/>
        </w:rPr>
        <w:t xml:space="preserve"> </w:t>
      </w:r>
      <w:r>
        <w:rPr>
          <w:rFonts w:ascii="Times New Roman" w:hAnsi="Times New Roman" w:cs="Times New Roman" w:eastAsia="Times New Roman" w:hint="ascii"/>
          <w:sz w:val="21"/>
          <w:spacing w:val="-1"/>
        </w:rPr>
        <w:t>E01</w:t>
      </w:r>
      <w:r>
        <w:rPr>
          <w:rFonts w:ascii="宋体" w:hAnsi="宋体" w:cs="宋体" w:eastAsia="宋体" w:hint="ascii"/>
          <w:sz w:val="21"/>
          <w:spacing w:val="-1"/>
        </w:rPr>
        <w:t>、</w:t>
      </w:r>
      <w:r>
        <w:rPr>
          <w:rFonts w:ascii="Times New Roman" w:hAnsi="Times New Roman" w:cs="Times New Roman" w:eastAsia="Times New Roman" w:hint="ascii"/>
          <w:sz w:val="21"/>
          <w:spacing w:val="-1"/>
        </w:rPr>
        <w:t>E02</w:t>
      </w:r>
      <w:r>
        <w:rPr>
          <w:rFonts w:ascii="宋体" w:hAnsi="宋体" w:cs="宋体" w:eastAsia="宋体" w:hint="ascii"/>
          <w:sz w:val="21"/>
          <w:spacing w:val="-1"/>
        </w:rPr>
        <w:t>、</w:t>
      </w:r>
      <w:r>
        <w:rPr>
          <w:rFonts w:ascii="Times New Roman" w:hAnsi="Times New Roman" w:cs="Times New Roman" w:eastAsia="Times New Roman" w:hint="ascii"/>
          <w:sz w:val="21"/>
          <w:spacing w:val="-1"/>
        </w:rPr>
        <w:t>E03</w:t>
      </w:r>
      <w:r>
        <w:rPr>
          <w:rFonts w:ascii="Times New Roman" w:hAnsi="Times New Roman" w:cs="Times New Roman" w:eastAsia="Times New Roman" w:hint="ascii"/>
          <w:sz w:val="21"/>
          <w:spacing w:val="-18"/>
        </w:rPr>
        <w:t xml:space="preserve"> </w:t>
      </w:r>
      <w:r>
        <w:rPr>
          <w:rFonts w:ascii="宋体" w:hAnsi="宋体" w:cs="宋体" w:eastAsia="宋体" w:hint="ascii"/>
          <w:sz w:val="21"/>
          <w:spacing w:val="-1"/>
        </w:rPr>
        <w:t>或</w:t>
      </w:r>
      <w:r>
        <w:rPr>
          <w:rFonts w:ascii="宋体" w:hAnsi="宋体" w:cs="宋体" w:eastAsia="宋体" w:hint="ascii"/>
          <w:sz w:val="21"/>
          <w:spacing w:val="-17"/>
        </w:rPr>
        <w:t xml:space="preserve"> </w:t>
      </w:r>
      <w:r>
        <w:rPr>
          <w:rFonts w:ascii="Times New Roman" w:hAnsi="Times New Roman" w:cs="Times New Roman" w:eastAsia="Times New Roman" w:hint="ascii"/>
          <w:sz w:val="21"/>
          <w:spacing w:val="-1"/>
        </w:rPr>
        <w:t>E09</w:t>
      </w:r>
      <w:r>
        <w:rPr>
          <w:rFonts w:ascii="Times New Roman" w:hAnsi="Times New Roman" w:cs="Times New Roman" w:eastAsia="Times New Roman" w:hint="ascii"/>
          <w:sz w:val="21"/>
          <w:spacing w:val="-18"/>
        </w:rPr>
        <w:t xml:space="preserve"> </w:t>
      </w:r>
      <w:r>
        <w:rPr>
          <w:rFonts w:ascii="宋体" w:hAnsi="宋体" w:cs="宋体" w:eastAsia="宋体" w:hint="ascii"/>
          <w:sz w:val="21"/>
          <w:spacing w:val="-1"/>
        </w:rPr>
        <w:t>的下属</w:t>
      </w:r>
      <w:r>
        <w:rPr>
          <w:rFonts w:ascii="宋体" w:hAnsi="宋体" w:cs="宋体" w:eastAsia="宋体" w:hint="ascii"/>
          <w:sz w:val="21"/>
        </w:rPr>
        <w:t xml:space="preserve"> 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1173"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2"/>
        </w:rPr>
        <w:t>4</w:t>
      </w:r>
      <w:r>
        <w:rPr>
          <w:rFonts w:ascii="宋体" w:hAnsi="宋体" w:cs="宋体" w:eastAsia="宋体" w:hint="ascii"/>
          <w:sz w:val="21"/>
          <w:spacing w:val="-1"/>
        </w:rPr>
        <w:t>）</w:t>
      </w:r>
      <w:r>
        <w:rPr>
          <w:rFonts w:ascii="宋体" w:hAnsi="宋体" w:cs="宋体" w:eastAsia="宋体" w:hint="ascii"/>
          <w:sz w:val="21"/>
          <w:spacing w:val="-5"/>
        </w:rPr>
        <w:t>海洋分析</w:t>
      </w:r>
      <w:r>
        <w:rPr>
          <w:rFonts w:ascii="宋体" w:hAnsi="宋体" w:cs="宋体" w:eastAsia="宋体" w:hint="ascii"/>
          <w:sz w:val="21"/>
          <w:spacing w:val="-4"/>
        </w:rPr>
        <w:t>传感仪器关键材料（申请代</w:t>
      </w:r>
      <w:r>
        <w:rPr>
          <w:rFonts w:ascii="宋体" w:hAnsi="宋体" w:cs="宋体" w:eastAsia="宋体" w:hint="ascii"/>
          <w:sz w:val="21"/>
          <w:spacing w:val="22"/>
        </w:rPr>
        <w:t>码</w:t>
      </w:r>
      <w:r>
        <w:rPr>
          <w:rFonts w:ascii="Times New Roman" w:hAnsi="Times New Roman" w:cs="Times New Roman" w:eastAsia="Times New Roman" w:hint="ascii"/>
          <w:sz w:val="21"/>
          <w:spacing w:val="46"/>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4"/>
        </w:rPr>
        <w:t>E01</w:t>
      </w:r>
      <w:r>
        <w:rPr>
          <w:rFonts w:ascii="宋体" w:hAnsi="宋体" w:cs="宋体" w:eastAsia="宋体" w:hint="ascii"/>
          <w:sz w:val="21"/>
          <w:spacing w:val="-4"/>
        </w:rPr>
        <w:t>、</w:t>
      </w:r>
      <w:r>
        <w:rPr>
          <w:rFonts w:ascii="Times New Roman" w:hAnsi="Times New Roman" w:cs="Times New Roman" w:eastAsia="Times New Roman" w:hint="ascii"/>
          <w:sz w:val="21"/>
          <w:spacing w:val="-4"/>
        </w:rPr>
        <w:t>E0</w:t>
      </w:r>
      <w:r>
        <w:rPr>
          <w:rFonts w:ascii="Times New Roman" w:hAnsi="Times New Roman" w:cs="Times New Roman" w:eastAsia="Times New Roman" w:hint="ascii"/>
          <w:sz w:val="21"/>
          <w:spacing w:val="46"/>
        </w:rPr>
        <w:t>2</w:t>
      </w:r>
      <w:r>
        <w:rPr>
          <w:rFonts w:ascii="宋体" w:hAnsi="宋体" w:cs="宋体" w:eastAsia="宋体" w:hint="ascii"/>
          <w:sz w:val="21"/>
          <w:spacing w:val="22"/>
        </w:rPr>
        <w:t>或</w:t>
      </w:r>
      <w:r>
        <w:rPr>
          <w:rFonts w:ascii="Times New Roman" w:hAnsi="Times New Roman" w:cs="Times New Roman" w:eastAsia="Times New Roman" w:hint="ascii"/>
          <w:sz w:val="21"/>
          <w:spacing w:val="-5"/>
        </w:rPr>
        <w:t>E</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46"/>
        </w:rPr>
        <w:t>3</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）海水淡化用低压高效膜材料与组件（学科代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35"/>
        </w:numPr>
        <w:rPr>
          <w:rFonts w:ascii="Times New Roman" w:hAnsi="Times New Roman" w:cs="Times New Roman" w:eastAsia="Times New Roman" w:hint="ascii"/>
          <w:sz w:val="21"/>
        </w:rPr>
      </w:pPr>
      <w:r>
        <w:rPr>
          <w:rFonts w:ascii="宋体" w:hAnsi="宋体" w:cs="宋体" w:eastAsia="宋体" w:hint="ascii"/>
          <w:sz w:val="21"/>
        </w:rPr>
        <w:t>海洋工程</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复杂多变的海洋环境给海洋工程施工带来了巨大挑战。围绕山东省海洋工程施工的</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需求，开展海底隧道、海岸工程中现代工程技术相关的应用基础研究。主要研究方向：</w:t>
      </w:r>
    </w:p>
    <w:p>
      <w:pPr>
        <w:autoSpaceDE w:val="0"/>
        <w:autoSpaceDN w:val="0"/>
        <w:jc w:val="left"/>
        <w:spacing w:before="10" w:after="0" w:lineRule="exact" w:line="312"/>
        <w:ind w:right="1016"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1"/>
        </w:rPr>
        <w:t>1</w:t>
      </w:r>
      <w:r>
        <w:rPr>
          <w:rFonts w:ascii="宋体" w:hAnsi="宋体" w:cs="宋体" w:eastAsia="宋体" w:hint="ascii"/>
          <w:sz w:val="21"/>
        </w:rPr>
        <w:t>）</w:t>
      </w:r>
      <w:r>
        <w:rPr>
          <w:rFonts w:ascii="宋体" w:hAnsi="宋体" w:cs="宋体" w:eastAsia="宋体" w:hint="ascii"/>
          <w:sz w:val="21"/>
          <w:spacing w:val="-4"/>
        </w:rPr>
        <w:t>海底隧道施工与运营安全技术（申请代</w:t>
      </w:r>
      <w:r>
        <w:rPr>
          <w:rFonts w:ascii="宋体" w:hAnsi="宋体" w:cs="宋体" w:eastAsia="宋体" w:hint="ascii"/>
          <w:sz w:val="21"/>
          <w:spacing w:val="22"/>
        </w:rPr>
        <w:t>码</w:t>
      </w:r>
      <w:r>
        <w:rPr>
          <w:rFonts w:ascii="Times New Roman" w:hAnsi="Times New Roman" w:cs="Times New Roman" w:eastAsia="Times New Roman" w:hint="ascii"/>
          <w:sz w:val="21"/>
          <w:spacing w:val="45"/>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6"/>
        </w:rPr>
        <w:t>E</w:t>
      </w:r>
      <w:r>
        <w:rPr>
          <w:rFonts w:ascii="Times New Roman" w:hAnsi="Times New Roman" w:cs="Times New Roman" w:eastAsia="Times New Roman" w:hint="ascii"/>
          <w:sz w:val="21"/>
          <w:spacing w:val="-4"/>
        </w:rPr>
        <w:t>04</w:t>
      </w:r>
      <w:r>
        <w:rPr>
          <w:rFonts w:ascii="宋体" w:hAnsi="宋体" w:cs="宋体" w:eastAsia="宋体" w:hint="ascii"/>
          <w:sz w:val="21"/>
          <w:spacing w:val="-4"/>
        </w:rPr>
        <w:t>、</w:t>
      </w:r>
      <w:r>
        <w:rPr>
          <w:rFonts w:ascii="Times New Roman" w:hAnsi="Times New Roman" w:cs="Times New Roman" w:eastAsia="Times New Roman" w:hint="ascii"/>
          <w:sz w:val="21"/>
          <w:spacing w:val="-5"/>
        </w:rPr>
        <w:t>E</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4"/>
        </w:rPr>
        <w:t>8</w:t>
      </w:r>
      <w:r>
        <w:rPr>
          <w:rFonts w:ascii="宋体" w:hAnsi="宋体" w:cs="宋体" w:eastAsia="宋体" w:hint="ascii"/>
          <w:sz w:val="21"/>
          <w:spacing w:val="-4"/>
        </w:rPr>
        <w:t>、</w:t>
      </w:r>
      <w:r>
        <w:rPr>
          <w:rFonts w:ascii="Times New Roman" w:hAnsi="Times New Roman" w:cs="Times New Roman" w:eastAsia="Times New Roman" w:hint="ascii"/>
          <w:sz w:val="21"/>
          <w:spacing w:val="-4"/>
        </w:rPr>
        <w:t>E0</w:t>
      </w:r>
      <w:r>
        <w:rPr>
          <w:rFonts w:ascii="Times New Roman" w:hAnsi="Times New Roman" w:cs="Times New Roman" w:eastAsia="Times New Roman" w:hint="ascii"/>
          <w:sz w:val="21"/>
          <w:spacing w:val="46"/>
        </w:rPr>
        <w:t>9</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spacing w:val="-1"/>
        </w:rPr>
        <w:t>2</w:t>
      </w:r>
      <w:r>
        <w:rPr>
          <w:rFonts w:ascii="宋体" w:hAnsi="宋体" w:cs="宋体" w:eastAsia="宋体" w:hint="ascii"/>
          <w:sz w:val="21"/>
        </w:rPr>
        <w:t>）</w:t>
      </w:r>
      <w:r>
        <w:rPr>
          <w:rFonts w:ascii="宋体" w:hAnsi="宋体" w:cs="宋体" w:eastAsia="宋体" w:hint="ascii"/>
          <w:sz w:val="21"/>
          <w:spacing w:val="-4"/>
        </w:rPr>
        <w:t>海岸工程环境灾害及防灾减灾对策（申请代</w:t>
      </w:r>
      <w:r>
        <w:rPr>
          <w:rFonts w:ascii="宋体" w:hAnsi="宋体" w:cs="宋体" w:eastAsia="宋体" w:hint="ascii"/>
          <w:sz w:val="21"/>
          <w:spacing w:val="22"/>
        </w:rPr>
        <w:t>码</w:t>
      </w:r>
      <w:r>
        <w:rPr>
          <w:rFonts w:ascii="Times New Roman" w:hAnsi="Times New Roman" w:cs="Times New Roman" w:eastAsia="Times New Roman" w:hint="ascii"/>
          <w:sz w:val="21"/>
          <w:spacing w:val="46"/>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4"/>
        </w:rPr>
        <w:t>E04</w:t>
      </w:r>
      <w:r>
        <w:rPr>
          <w:rFonts w:ascii="宋体" w:hAnsi="宋体" w:cs="宋体" w:eastAsia="宋体" w:hint="ascii"/>
          <w:sz w:val="21"/>
          <w:spacing w:val="-4"/>
        </w:rPr>
        <w:t>、</w:t>
      </w:r>
      <w:r>
        <w:rPr>
          <w:rFonts w:ascii="Times New Roman" w:hAnsi="Times New Roman" w:cs="Times New Roman" w:eastAsia="Times New Roman" w:hint="ascii"/>
          <w:sz w:val="21"/>
          <w:spacing w:val="-5"/>
        </w:rPr>
        <w:t>E</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46"/>
        </w:rPr>
        <w:t>9</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spacing w:val="-1"/>
        </w:rPr>
        <w:t>3</w:t>
      </w:r>
      <w:r>
        <w:rPr>
          <w:rFonts w:ascii="宋体" w:hAnsi="宋体" w:cs="宋体" w:eastAsia="宋体" w:hint="ascii"/>
          <w:sz w:val="21"/>
        </w:rPr>
        <w:t>）</w:t>
      </w:r>
      <w:r>
        <w:rPr>
          <w:rFonts w:ascii="宋体" w:hAnsi="宋体" w:cs="宋体" w:eastAsia="宋体" w:hint="ascii"/>
          <w:sz w:val="21"/>
          <w:spacing w:val="-4"/>
        </w:rPr>
        <w:t>深海油气井筒高效构建与控制（申请代</w:t>
      </w:r>
      <w:r>
        <w:rPr>
          <w:rFonts w:ascii="宋体" w:hAnsi="宋体" w:cs="宋体" w:eastAsia="宋体" w:hint="ascii"/>
          <w:sz w:val="21"/>
          <w:spacing w:val="22"/>
        </w:rPr>
        <w:t>码</w:t>
      </w:r>
      <w:r>
        <w:rPr>
          <w:rFonts w:ascii="Times New Roman" w:hAnsi="Times New Roman" w:cs="Times New Roman" w:eastAsia="Times New Roman" w:hint="ascii"/>
          <w:sz w:val="21"/>
          <w:spacing w:val="45"/>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6"/>
        </w:rPr>
        <w:t>E</w:t>
      </w:r>
      <w:r>
        <w:rPr>
          <w:rFonts w:ascii="Times New Roman" w:hAnsi="Times New Roman" w:cs="Times New Roman" w:eastAsia="Times New Roman" w:hint="ascii"/>
          <w:sz w:val="21"/>
          <w:spacing w:val="-4"/>
        </w:rPr>
        <w:t>05</w:t>
      </w:r>
      <w:r>
        <w:rPr>
          <w:rFonts w:ascii="宋体" w:hAnsi="宋体" w:cs="宋体" w:eastAsia="宋体" w:hint="ascii"/>
          <w:sz w:val="21"/>
          <w:spacing w:val="-4"/>
        </w:rPr>
        <w:t>、</w:t>
      </w:r>
      <w:r>
        <w:rPr>
          <w:rFonts w:ascii="Times New Roman" w:hAnsi="Times New Roman" w:cs="Times New Roman" w:eastAsia="Times New Roman" w:hint="ascii"/>
          <w:sz w:val="21"/>
          <w:spacing w:val="-5"/>
        </w:rPr>
        <w:t>E</w:t>
      </w:r>
      <w:r>
        <w:rPr>
          <w:rFonts w:ascii="Times New Roman" w:hAnsi="Times New Roman" w:cs="Times New Roman" w:eastAsia="Times New Roman" w:hint="ascii"/>
          <w:sz w:val="21"/>
          <w:spacing w:val="-3"/>
        </w:rPr>
        <w:t>0</w:t>
      </w:r>
      <w:r>
        <w:rPr>
          <w:rFonts w:ascii="Times New Roman" w:hAnsi="Times New Roman" w:cs="Times New Roman" w:eastAsia="Times New Roman" w:hint="ascii"/>
          <w:sz w:val="21"/>
          <w:spacing w:val="-4"/>
        </w:rPr>
        <w:t>8</w:t>
      </w:r>
      <w:r>
        <w:rPr>
          <w:rFonts w:ascii="宋体" w:hAnsi="宋体" w:cs="宋体" w:eastAsia="宋体" w:hint="ascii"/>
          <w:sz w:val="21"/>
          <w:spacing w:val="-4"/>
        </w:rPr>
        <w:t>、</w:t>
      </w:r>
      <w:r>
        <w:rPr>
          <w:rFonts w:ascii="Times New Roman" w:hAnsi="Times New Roman" w:cs="Times New Roman" w:eastAsia="Times New Roman" w:hint="ascii"/>
          <w:sz w:val="21"/>
          <w:spacing w:val="-4"/>
        </w:rPr>
        <w:t>E0</w:t>
      </w:r>
      <w:r>
        <w:rPr>
          <w:rFonts w:ascii="Times New Roman" w:hAnsi="Times New Roman" w:cs="Times New Roman" w:eastAsia="Times New Roman" w:hint="ascii"/>
          <w:sz w:val="21"/>
          <w:spacing w:val="46"/>
        </w:rPr>
        <w:t>9</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）海洋结</w:t>
      </w:r>
      <w:r>
        <w:rPr>
          <w:rFonts w:ascii="宋体" w:hAnsi="宋体" w:cs="宋体" w:eastAsia="宋体" w:hint="ascii"/>
          <w:sz w:val="21"/>
        </w:rPr>
        <w:t>构物安全性与风险分析（申请代码</w:t>
      </w:r>
      <w:r>
        <w:rPr>
          <w:rFonts w:ascii="宋体" w:hAnsi="宋体" w:cs="宋体" w:eastAsia="宋体" w:hint="ascii"/>
          <w:sz w:val="21"/>
          <w:spacing w:val="-2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E04</w:t>
      </w:r>
      <w:r>
        <w:rPr>
          <w:rFonts w:ascii="宋体" w:hAnsi="宋体" w:cs="宋体" w:eastAsia="宋体" w:hint="ascii"/>
          <w:sz w:val="21"/>
        </w:rPr>
        <w:t>、</w:t>
      </w:r>
      <w:r>
        <w:rPr>
          <w:rFonts w:ascii="Times New Roman" w:hAnsi="Times New Roman" w:cs="Times New Roman" w:eastAsia="Times New Roman" w:hint="ascii"/>
          <w:sz w:val="21"/>
        </w:rPr>
        <w:t>E05</w:t>
      </w:r>
      <w:r>
        <w:rPr>
          <w:rFonts w:ascii="宋体" w:hAnsi="宋体" w:cs="宋体" w:eastAsia="宋体" w:hint="ascii"/>
          <w:sz w:val="21"/>
        </w:rPr>
        <w:t>、</w:t>
      </w:r>
      <w:r>
        <w:rPr>
          <w:rFonts w:ascii="Times New Roman" w:hAnsi="Times New Roman" w:cs="Times New Roman" w:eastAsia="Times New Roman" w:hint="ascii"/>
          <w:sz w:val="21"/>
        </w:rPr>
        <w:t>E08</w:t>
      </w:r>
      <w:r>
        <w:rPr>
          <w:rFonts w:ascii="宋体" w:hAnsi="宋体" w:cs="宋体" w:eastAsia="宋体" w:hint="ascii"/>
          <w:sz w:val="21"/>
        </w:rPr>
        <w:t>、</w:t>
      </w:r>
      <w:r>
        <w:rPr>
          <w:rFonts w:ascii="Times New Roman" w:hAnsi="Times New Roman" w:cs="Times New Roman" w:eastAsia="Times New Roman" w:hint="ascii"/>
          <w:sz w:val="21"/>
        </w:rPr>
        <w:t>E09</w:t>
      </w:r>
      <w:r>
        <w:rPr>
          <w:rFonts w:ascii="Times New Roman" w:hAnsi="Times New Roman" w:cs="Times New Roman" w:eastAsia="Times New Roman" w:hint="ascii"/>
          <w:sz w:val="21"/>
          <w:spacing w:val="-25"/>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35"/>
        </w:numPr>
        <w:rPr>
          <w:rFonts w:ascii="Times New Roman" w:hAnsi="Times New Roman" w:cs="Times New Roman" w:eastAsia="Times New Roman" w:hint="ascii"/>
          <w:sz w:val="21"/>
        </w:rPr>
      </w:pPr>
      <w:r>
        <w:rPr>
          <w:rFonts w:ascii="宋体" w:hAnsi="宋体" w:cs="宋体" w:eastAsia="宋体" w:hint="ascii"/>
          <w:sz w:val="21"/>
        </w:rPr>
        <w:t>海洋装备</w:t>
      </w:r>
    </w:p>
    <w:p>
      <w:pPr>
        <w:autoSpaceDE w:val="0"/>
        <w:autoSpaceDN w:val="0"/>
        <w:jc w:val="left"/>
        <w:spacing w:before="57" w:after="0" w:lineRule="exact" w:line="263"/>
        <w:ind w:right="0" w:left="1394" w:firstLine="0"/>
        <w:snapToGrid w:val="0"/>
        <w:textAlignment w:val="auto"/>
        <w:tabs/>
        <w:rPr>
          <w:rFonts w:ascii="宋体" w:hAnsi="宋体" w:cs="宋体" w:eastAsia="宋体" w:hint="ascii"/>
          <w:sz w:val="21"/>
        </w:rPr>
      </w:pPr>
      <w:r>
        <w:rPr>
          <w:rFonts w:ascii="宋体" w:hAnsi="宋体" w:cs="宋体" w:eastAsia="宋体" w:hint="ascii"/>
          <w:sz w:val="21"/>
          <w:spacing w:val="3"/>
        </w:rPr>
        <w:t>海洋开发</w:t>
      </w:r>
      <w:r>
        <w:rPr>
          <w:rFonts w:ascii="宋体" w:hAnsi="宋体" w:cs="宋体" w:eastAsia="宋体" w:hint="ascii"/>
          <w:sz w:val="21"/>
        </w:rPr>
        <w:t>装</w:t>
      </w:r>
      <w:r>
        <w:rPr>
          <w:rFonts w:ascii="宋体" w:hAnsi="宋体" w:cs="宋体" w:eastAsia="宋体" w:hint="ascii"/>
          <w:sz w:val="21"/>
          <w:spacing w:val="3"/>
        </w:rPr>
        <w:t>备水平体</w:t>
      </w:r>
      <w:r>
        <w:rPr>
          <w:rFonts w:ascii="宋体" w:hAnsi="宋体" w:cs="宋体" w:eastAsia="宋体" w:hint="ascii"/>
          <w:sz w:val="21"/>
        </w:rPr>
        <w:t>现</w:t>
      </w:r>
      <w:r>
        <w:rPr>
          <w:rFonts w:ascii="宋体" w:hAnsi="宋体" w:cs="宋体" w:eastAsia="宋体" w:hint="ascii"/>
          <w:sz w:val="21"/>
          <w:spacing w:val="3"/>
        </w:rPr>
        <w:t>国家海洋</w:t>
      </w:r>
      <w:r>
        <w:rPr>
          <w:rFonts w:ascii="宋体" w:hAnsi="宋体" w:cs="宋体" w:eastAsia="宋体" w:hint="ascii"/>
          <w:sz w:val="21"/>
        </w:rPr>
        <w:t>开</w:t>
      </w:r>
      <w:r>
        <w:rPr>
          <w:rFonts w:ascii="宋体" w:hAnsi="宋体" w:cs="宋体" w:eastAsia="宋体" w:hint="ascii"/>
          <w:sz w:val="21"/>
          <w:spacing w:val="3"/>
        </w:rPr>
        <w:t>发的实力</w:t>
      </w:r>
      <w:r>
        <w:rPr>
          <w:rFonts w:ascii="宋体" w:hAnsi="宋体" w:cs="宋体" w:eastAsia="宋体" w:hint="ascii"/>
          <w:sz w:val="21"/>
        </w:rPr>
        <w:t>。</w:t>
      </w:r>
      <w:r>
        <w:rPr>
          <w:rFonts w:ascii="宋体" w:hAnsi="宋体" w:cs="宋体" w:eastAsia="宋体" w:hint="ascii"/>
          <w:sz w:val="21"/>
          <w:spacing w:val="3"/>
        </w:rPr>
        <w:t>围绕海洋</w:t>
      </w:r>
      <w:r>
        <w:rPr>
          <w:rFonts w:ascii="宋体" w:hAnsi="宋体" w:cs="宋体" w:eastAsia="宋体" w:hint="ascii"/>
          <w:sz w:val="21"/>
        </w:rPr>
        <w:t>油</w:t>
      </w:r>
      <w:r>
        <w:rPr>
          <w:rFonts w:ascii="宋体" w:hAnsi="宋体" w:cs="宋体" w:eastAsia="宋体" w:hint="ascii"/>
          <w:sz w:val="21"/>
          <w:spacing w:val="3"/>
        </w:rPr>
        <w:t>气开采、</w:t>
      </w:r>
      <w:r>
        <w:rPr>
          <w:rFonts w:ascii="宋体" w:hAnsi="宋体" w:cs="宋体" w:eastAsia="宋体" w:hint="ascii"/>
          <w:sz w:val="21"/>
        </w:rPr>
        <w:t>海</w:t>
      </w:r>
      <w:r>
        <w:rPr>
          <w:rFonts w:ascii="宋体" w:hAnsi="宋体" w:cs="宋体" w:eastAsia="宋体" w:hint="ascii"/>
          <w:sz w:val="21"/>
          <w:spacing w:val="3"/>
        </w:rPr>
        <w:t>洋可再</w:t>
      </w:r>
      <w:r>
        <w:rPr>
          <w:rFonts w:ascii="宋体" w:hAnsi="宋体" w:cs="宋体" w:eastAsia="宋体" w:hint="ascii"/>
          <w:sz w:val="21"/>
          <w:spacing w:val="4"/>
        </w:rPr>
        <w:t>生</w:t>
      </w:r>
      <w:r>
        <w:rPr>
          <w:rFonts w:ascii="宋体" w:hAnsi="宋体" w:cs="宋体" w:eastAsia="宋体" w:hint="ascii"/>
          <w:sz w:val="21"/>
        </w:rPr>
        <w:t>能</w:t>
      </w:r>
    </w:p>
    <w:p>
      <w:pPr>
        <w:autoSpaceDE w:val="0"/>
        <w:autoSpaceDN w:val="0"/>
        <w:jc w:val="both"/>
        <w:spacing w:before="10" w:after="0" w:lineRule="exact" w:line="312"/>
        <w:ind w:right="981"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源高效利用、海</w:t>
      </w:r>
      <w:r>
        <w:rPr>
          <w:rFonts w:ascii="宋体" w:hAnsi="宋体" w:cs="宋体" w:eastAsia="宋体" w:hint="ascii"/>
          <w:sz w:val="21"/>
        </w:rPr>
        <w:t>水淡化等对海洋装备的重大需求，开展关键共性技术的研究，为掌</w:t>
      </w:r>
      <w:r>
        <w:rPr>
          <w:rFonts w:ascii="宋体" w:hAnsi="宋体" w:cs="宋体" w:eastAsia="宋体" w:hint="ascii"/>
          <w:sz w:val="21"/>
          <w:spacing w:val="-6"/>
        </w:rPr>
        <w:t>握</w:t>
      </w:r>
      <w:r>
        <w:rPr>
          <w:rFonts w:ascii="宋体" w:hAnsi="宋体" w:cs="宋体" w:eastAsia="宋体" w:hint="ascii"/>
          <w:sz w:val="21"/>
          <w:spacing w:val="1"/>
        </w:rPr>
        <w:t>海洋开发和海洋</w:t>
      </w:r>
      <w:r>
        <w:rPr>
          <w:rFonts w:ascii="宋体" w:hAnsi="宋体" w:cs="宋体" w:eastAsia="宋体" w:hint="ascii"/>
          <w:sz w:val="21"/>
        </w:rPr>
        <w:t>资源利用装备核心技术、突破自主化设计与制造瓶颈提供支撑。主</w:t>
      </w:r>
      <w:r>
        <w:rPr>
          <w:rFonts w:ascii="宋体" w:hAnsi="宋体" w:cs="宋体" w:eastAsia="宋体" w:hint="ascii"/>
          <w:sz w:val="21"/>
          <w:spacing w:val="-6"/>
        </w:rPr>
        <w:t>要</w:t>
      </w:r>
      <w:r>
        <w:rPr>
          <w:rFonts w:ascii="宋体" w:hAnsi="宋体" w:cs="宋体" w:eastAsia="宋体" w:hint="ascii"/>
          <w:sz w:val="21"/>
        </w:rPr>
        <w:t>研究方向：</w:t>
      </w:r>
    </w:p>
    <w:p>
      <w:pPr>
        <w:autoSpaceDE w:val="0"/>
        <w:autoSpaceDN w:val="0"/>
        <w:jc w:val="both"/>
        <w:spacing w:before="0" w:after="0" w:lineRule="exact" w:line="312"/>
        <w:ind w:right="1456"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）海洋油</w:t>
      </w:r>
      <w:r>
        <w:rPr>
          <w:rFonts w:ascii="宋体" w:hAnsi="宋体" w:cs="宋体" w:eastAsia="宋体" w:hint="ascii"/>
          <w:sz w:val="21"/>
        </w:rPr>
        <w:t>气开采平台关键技术（申请代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9</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）深海运载与作业装备（申请代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9</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0" w:after="0" w:lineRule="exact" w:line="312"/>
        <w:ind w:right="1066"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）海洋深水柔性管制造关键技术（申请代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9</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）海水淡化核心装置与设备（学科代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E05</w:t>
      </w:r>
      <w:r>
        <w:rPr>
          <w:rFonts w:ascii="宋体" w:hAnsi="宋体" w:cs="宋体" w:eastAsia="宋体" w:hint="ascii"/>
          <w:sz w:val="21"/>
        </w:rPr>
        <w:t>、</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6</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 xml:space="preserve">）可再生海洋能捕获、供给与传输关键技术（申请代码 </w:t>
      </w:r>
      <w:r>
        <w:rPr>
          <w:rFonts w:ascii="Times New Roman" w:hAnsi="Times New Roman" w:cs="Times New Roman" w:eastAsia="Times New Roman" w:hint="ascii"/>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sz w:val="21"/>
        </w:rPr>
        <w:t>E05</w:t>
      </w:r>
      <w:r>
        <w:rPr>
          <w:rFonts w:ascii="宋体" w:hAnsi="宋体" w:cs="宋体" w:eastAsia="宋体" w:hint="ascii"/>
          <w:sz w:val="21"/>
        </w:rPr>
        <w:t>、</w:t>
      </w:r>
      <w:r>
        <w:rPr>
          <w:rFonts w:ascii="Times New Roman" w:hAnsi="Times New Roman" w:cs="Times New Roman" w:eastAsia="Times New Roman" w:hint="ascii"/>
          <w:sz w:val="21"/>
        </w:rPr>
        <w:t>E06</w:t>
      </w:r>
      <w:r>
        <w:rPr>
          <w:rFonts w:ascii="宋体" w:hAnsi="宋体" w:cs="宋体" w:eastAsia="宋体" w:hint="ascii"/>
          <w:sz w:val="21"/>
        </w:rPr>
        <w:t>、</w:t>
      </w:r>
      <w:r>
        <w:rPr>
          <w:rFonts w:ascii="Times New Roman" w:hAnsi="Times New Roman" w:cs="Times New Roman" w:eastAsia="Times New Roman" w:hint="ascii"/>
          <w:sz w:val="21"/>
        </w:rPr>
        <w:t>E07</w:t>
      </w:r>
    </w:p>
    <w:p>
      <w:pPr>
        <w:autoSpaceDE w:val="0"/>
        <w:autoSpaceDN w:val="0"/>
        <w:jc w:val="left"/>
        <w:spacing w:before="28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229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307" locked="0" layoutInCell="1" allowOverlap="1">
                <wp:simplePos x="0" y="0"/>
                <wp:positionH relativeFrom="page">
                  <wp:posOffset>938530</wp:posOffset>
                </wp:positionH>
                <wp:positionV relativeFrom="page">
                  <wp:posOffset>805815</wp:posOffset>
                </wp:positionV>
                <wp:extent cx="5076190" cy="0"/>
                <wp:wrapNone/>
                <wp:docPr id="1335" name="133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43872;width:399.70pt;" id="133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三、信息领域</w:t>
      </w:r>
    </w:p>
    <w:p>
      <w:pPr>
        <w:autoSpaceDE w:val="0"/>
        <w:autoSpaceDN w:val="0"/>
        <w:jc w:val="left"/>
        <w:spacing w:before="197" w:after="0" w:lineRule="auto" w:line="240"/>
        <w:ind w:right="0" w:left="1649" w:hanging="263"/>
        <w:snapToGrid w:val="0"/>
        <w:textAlignment w:val="auto"/>
        <w:tabs>
          <w:tab w:val="left" w:leader="none" w:pos="1648"/>
        </w:tabs>
        <w:numPr>
          <w:ilvl w:val="0"/>
          <w:numId w:val="336"/>
        </w:numPr>
        <w:rPr>
          <w:rFonts w:ascii="Times New Roman" w:hAnsi="Times New Roman" w:cs="Times New Roman" w:eastAsia="Times New Roman" w:hint="ascii"/>
          <w:sz w:val="21"/>
        </w:rPr>
      </w:pPr>
      <w:r>
        <w:rPr>
          <w:rFonts w:ascii="宋体" w:hAnsi="宋体" w:cs="宋体" w:eastAsia="宋体" w:hint="ascii"/>
          <w:sz w:val="21"/>
        </w:rPr>
        <w:t>系统建模与控制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系统建模与控制是高效利用检</w:t>
      </w:r>
      <w:r>
        <w:rPr>
          <w:rFonts w:ascii="Times New Roman" w:hAnsi="Times New Roman" w:cs="Times New Roman" w:eastAsia="Times New Roman" w:hint="ascii"/>
          <w:sz w:val="21"/>
        </w:rPr>
        <w:t>/</w:t>
      </w:r>
      <w:r>
        <w:rPr>
          <w:rFonts w:ascii="宋体" w:hAnsi="宋体" w:cs="宋体" w:eastAsia="宋体" w:hint="ascii"/>
          <w:sz w:val="21"/>
        </w:rPr>
        <w:t>观测数据、实现数据驱动的核心。围绕海洋开发、</w:t>
      </w:r>
    </w:p>
    <w:p>
      <w:pPr>
        <w:autoSpaceDE w:val="0"/>
        <w:autoSpaceDN w:val="0"/>
        <w:jc w:val="both"/>
        <w:spacing w:before="10" w:after="0" w:lineRule="exact" w:line="312"/>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观测与计算应用中对</w:t>
      </w:r>
      <w:r>
        <w:rPr>
          <w:rFonts w:ascii="宋体" w:hAnsi="宋体" w:cs="宋体" w:eastAsia="宋体" w:hint="ascii"/>
          <w:sz w:val="21"/>
        </w:rPr>
        <w:t>系统建模与控制技术的重大需求，重点开展海洋生态环境建模</w:t>
      </w:r>
      <w:r>
        <w:rPr>
          <w:rFonts w:ascii="宋体" w:hAnsi="宋体" w:cs="宋体" w:eastAsia="宋体" w:hint="ascii"/>
          <w:sz w:val="21"/>
          <w:spacing w:val="-6"/>
        </w:rPr>
        <w:t>分</w:t>
      </w:r>
      <w:r>
        <w:rPr>
          <w:rFonts w:ascii="宋体" w:hAnsi="宋体" w:cs="宋体" w:eastAsia="宋体" w:hint="ascii"/>
          <w:sz w:val="21"/>
          <w:spacing w:val="-1"/>
        </w:rPr>
        <w:t>析、信息处</w:t>
      </w:r>
      <w:r>
        <w:rPr>
          <w:rFonts w:ascii="宋体" w:hAnsi="宋体" w:cs="宋体" w:eastAsia="宋体" w:hint="ascii"/>
          <w:sz w:val="21"/>
        </w:rPr>
        <w:t>理系统核心控制系统与算法的应用基础研究，实现海洋观测与开发活动的智能化、精准化、实时化。主要研究方向：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）海洋信息的分形理论分析及预报（申请代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0" w:after="0" w:lineRule="exact" w:line="312"/>
        <w:ind w:right="977"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w:t>
      </w:r>
      <w:r>
        <w:rPr>
          <w:rFonts w:ascii="宋体" w:hAnsi="宋体" w:cs="宋体" w:eastAsia="宋体" w:hint="ascii"/>
          <w:sz w:val="21"/>
          <w:spacing w:val="-4"/>
        </w:rPr>
        <w:t>水下作业机器人核心控制系统理论与技术（申请代</w:t>
      </w:r>
      <w:r>
        <w:rPr>
          <w:rFonts w:ascii="宋体" w:hAnsi="宋体" w:cs="宋体" w:eastAsia="宋体" w:hint="ascii"/>
          <w:sz w:val="21"/>
          <w:spacing w:val="22"/>
        </w:rPr>
        <w:t>码</w:t>
      </w:r>
      <w:r>
        <w:rPr>
          <w:rFonts w:ascii="Times New Roman" w:hAnsi="Times New Roman" w:cs="Times New Roman" w:eastAsia="Times New Roman" w:hint="ascii"/>
          <w:sz w:val="21"/>
          <w:spacing w:val="46"/>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46"/>
        </w:rPr>
        <w:t>3</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w:t>
      </w:r>
      <w:r>
        <w:rPr>
          <w:rFonts w:ascii="宋体" w:hAnsi="宋体" w:cs="宋体" w:eastAsia="宋体" w:hint="ascii"/>
          <w:sz w:val="21"/>
          <w:spacing w:val="-4"/>
        </w:rPr>
        <w:t>基于海洋领域应用的超算模型与关键算法（申请代</w:t>
      </w:r>
      <w:r>
        <w:rPr>
          <w:rFonts w:ascii="宋体" w:hAnsi="宋体" w:cs="宋体" w:eastAsia="宋体" w:hint="ascii"/>
          <w:sz w:val="21"/>
          <w:spacing w:val="22"/>
        </w:rPr>
        <w:t>码</w:t>
      </w:r>
      <w:r>
        <w:rPr>
          <w:rFonts w:ascii="Times New Roman" w:hAnsi="Times New Roman" w:cs="Times New Roman" w:eastAsia="Times New Roman" w:hint="ascii"/>
          <w:sz w:val="21"/>
          <w:spacing w:val="46"/>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46"/>
        </w:rPr>
        <w:t>3</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）大数据</w:t>
      </w:r>
      <w:r>
        <w:rPr>
          <w:rFonts w:ascii="宋体" w:hAnsi="宋体" w:cs="宋体" w:eastAsia="宋体" w:hint="ascii"/>
          <w:sz w:val="21"/>
        </w:rPr>
        <w:t>、人工智能在海洋油气勘探开发领域应用的重要模型与关键算法（申请</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2</w:t>
      </w:r>
      <w:r>
        <w:rPr>
          <w:rFonts w:ascii="宋体" w:hAnsi="宋体" w:cs="宋体" w:eastAsia="宋体" w:hint="ascii"/>
          <w:sz w:val="21"/>
        </w:rPr>
        <w:t>或</w:t>
      </w:r>
      <w:r>
        <w:rPr>
          <w:rFonts w:ascii="宋体" w:hAnsi="宋体" w:cs="宋体" w:eastAsia="宋体" w:hint="ascii"/>
          <w:sz w:val="21"/>
          <w:spacing w:val="27"/>
        </w:rPr>
        <w:t>者</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9" w:after="0" w:lineRule="auto" w:line="240"/>
        <w:ind w:right="0" w:left="1649" w:hanging="263"/>
        <w:snapToGrid w:val="0"/>
        <w:textAlignment w:val="auto"/>
        <w:tabs>
          <w:tab w:val="left" w:leader="none" w:pos="1648"/>
        </w:tabs>
        <w:numPr>
          <w:ilvl w:val="0"/>
          <w:numId w:val="336"/>
        </w:numPr>
        <w:rPr>
          <w:rFonts w:ascii="Times New Roman" w:hAnsi="Times New Roman" w:cs="Times New Roman" w:eastAsia="Times New Roman" w:hint="ascii"/>
          <w:sz w:val="21"/>
        </w:rPr>
      </w:pPr>
      <w:r>
        <w:rPr>
          <w:rFonts w:ascii="宋体" w:hAnsi="宋体" w:cs="宋体" w:eastAsia="宋体" w:hint="ascii"/>
          <w:sz w:val="21"/>
        </w:rPr>
        <w:t>信息传感与交换</w:t>
      </w:r>
    </w:p>
    <w:p>
      <w:pPr>
        <w:autoSpaceDE w:val="0"/>
        <w:autoSpaceDN w:val="0"/>
        <w:jc w:val="left"/>
        <w:spacing w:before="7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信息传感与交换和传感技术是海洋仪器装备的核心技术部分。针对海洋监测、海洋</w:t>
      </w:r>
    </w:p>
    <w:p>
      <w:pPr>
        <w:autoSpaceDE w:val="0"/>
        <w:autoSpaceDN w:val="0"/>
        <w:jc w:val="both"/>
        <w:spacing w:before="13"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仪器装备等方面的重</w:t>
      </w:r>
      <w:r>
        <w:rPr>
          <w:rFonts w:ascii="宋体" w:hAnsi="宋体" w:cs="宋体" w:eastAsia="宋体" w:hint="ascii"/>
          <w:sz w:val="21"/>
        </w:rPr>
        <w:t>大需求，开展水声阵列信号处理、海洋环境传感采集与传输等</w:t>
      </w:r>
      <w:r>
        <w:rPr>
          <w:rFonts w:ascii="宋体" w:hAnsi="宋体" w:cs="宋体" w:eastAsia="宋体" w:hint="ascii"/>
          <w:sz w:val="21"/>
          <w:spacing w:val="-6"/>
        </w:rPr>
        <w:t>研</w:t>
      </w:r>
      <w:r>
        <w:rPr>
          <w:rFonts w:ascii="宋体" w:hAnsi="宋体" w:cs="宋体" w:eastAsia="宋体" w:hint="ascii"/>
          <w:sz w:val="21"/>
        </w:rPr>
        <w:t>究，为提升海洋装备技术水平、提高海洋观测能力提供科技支撑。主要研究方向：</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）水声能转换与阵列空时处理技术（申请代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3" w:after="0" w:lineRule="exact" w:line="330"/>
        <w:ind w:right="1071"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2</w:t>
      </w:r>
      <w:r>
        <w:rPr>
          <w:rFonts w:ascii="宋体" w:hAnsi="宋体" w:cs="宋体" w:eastAsia="宋体" w:hint="ascii"/>
          <w:sz w:val="21"/>
          <w:spacing w:val="-2"/>
        </w:rPr>
        <w:t>）深海潜水器环境感知、导航与路径规划（申请代</w:t>
      </w:r>
      <w:r>
        <w:rPr>
          <w:rFonts w:ascii="宋体" w:hAnsi="宋体" w:cs="宋体" w:eastAsia="宋体" w:hint="ascii"/>
          <w:sz w:val="21"/>
          <w:spacing w:val="25"/>
        </w:rPr>
        <w:t>码</w:t>
      </w:r>
      <w:r>
        <w:rPr>
          <w:rFonts w:ascii="Times New Roman" w:hAnsi="Times New Roman" w:cs="Times New Roman" w:eastAsia="Times New Roman" w:hint="ascii"/>
          <w:sz w:val="21"/>
          <w:spacing w:val="51"/>
        </w:rPr>
        <w:t>1</w:t>
      </w:r>
      <w:r>
        <w:rPr>
          <w:rFonts w:ascii="宋体" w:hAnsi="宋体" w:cs="宋体" w:eastAsia="宋体" w:hint="ascii"/>
          <w:sz w:val="21"/>
          <w:spacing w:val="-1"/>
        </w:rPr>
        <w:t>选</w:t>
      </w:r>
      <w:r>
        <w:rPr>
          <w:rFonts w:ascii="宋体" w:hAnsi="宋体" w:cs="宋体" w:eastAsia="宋体" w:hint="ascii"/>
          <w:sz w:val="21"/>
          <w:spacing w:val="26"/>
        </w:rPr>
        <w:t>择</w:t>
      </w:r>
      <w:r>
        <w:rPr>
          <w:rFonts w:ascii="Times New Roman" w:hAnsi="Times New Roman" w:cs="Times New Roman" w:eastAsia="Times New Roman" w:hint="ascii"/>
          <w:sz w:val="21"/>
          <w:spacing w:val="-1"/>
        </w:rPr>
        <w:t>F0</w:t>
      </w:r>
      <w:r>
        <w:rPr>
          <w:rFonts w:ascii="Times New Roman" w:hAnsi="Times New Roman" w:cs="Times New Roman" w:eastAsia="Times New Roman" w:hint="ascii"/>
          <w:sz w:val="21"/>
          <w:spacing w:val="51"/>
        </w:rPr>
        <w:t>3</w:t>
      </w:r>
      <w:r>
        <w:rPr>
          <w:rFonts w:ascii="宋体" w:hAnsi="宋体" w:cs="宋体" w:eastAsia="宋体" w:hint="ascii"/>
          <w:sz w:val="21"/>
          <w:spacing w:val="-1"/>
        </w:rPr>
        <w:t>的下属代码</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3</w:t>
      </w:r>
      <w:r>
        <w:rPr>
          <w:rFonts w:ascii="宋体" w:hAnsi="宋体" w:cs="宋体" w:eastAsia="宋体" w:hint="ascii"/>
          <w:sz w:val="21"/>
        </w:rPr>
        <w:t>）海洋环境下新型传感器（申请代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F012</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30"/>
        <w:ind w:right="1142"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w:t>
      </w:r>
      <w:r>
        <w:rPr>
          <w:rFonts w:ascii="宋体" w:hAnsi="宋体" w:cs="宋体" w:eastAsia="宋体" w:hint="ascii"/>
          <w:sz w:val="21"/>
          <w:spacing w:val="-5"/>
        </w:rPr>
        <w:t>水下装备数据采集</w:t>
      </w:r>
      <w:r>
        <w:rPr>
          <w:rFonts w:ascii="宋体" w:hAnsi="宋体" w:cs="宋体" w:eastAsia="宋体" w:hint="ascii"/>
          <w:sz w:val="21"/>
          <w:spacing w:val="-4"/>
        </w:rPr>
        <w:t>与传输技术（申请代</w:t>
      </w:r>
      <w:r>
        <w:rPr>
          <w:rFonts w:ascii="宋体" w:hAnsi="宋体" w:cs="宋体" w:eastAsia="宋体" w:hint="ascii"/>
          <w:sz w:val="21"/>
          <w:spacing w:val="22"/>
        </w:rPr>
        <w:t>码</w:t>
      </w:r>
      <w:r>
        <w:rPr>
          <w:rFonts w:ascii="Times New Roman" w:hAnsi="Times New Roman" w:cs="Times New Roman" w:eastAsia="Times New Roman" w:hint="ascii"/>
          <w:sz w:val="21"/>
          <w:spacing w:val="45"/>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5"/>
        </w:rPr>
        <w:t>F</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11"/>
        </w:rPr>
        <w:t>11</w:t>
      </w:r>
      <w:r>
        <w:rPr>
          <w:rFonts w:ascii="Times New Roman" w:hAnsi="Times New Roman" w:cs="Times New Roman" w:eastAsia="Times New Roman" w:hint="ascii"/>
          <w:sz w:val="21"/>
          <w:spacing w:val="46"/>
        </w:rPr>
        <w:t>1</w:t>
      </w:r>
      <w:r>
        <w:rPr>
          <w:rFonts w:ascii="宋体" w:hAnsi="宋体" w:cs="宋体" w:eastAsia="宋体" w:hint="ascii"/>
          <w:sz w:val="21"/>
          <w:spacing w:val="22"/>
        </w:rPr>
        <w:t>或</w:t>
      </w:r>
      <w:r>
        <w:rPr>
          <w:rFonts w:ascii="Times New Roman" w:hAnsi="Times New Roman" w:cs="Times New Roman" w:eastAsia="Times New Roman" w:hint="ascii"/>
          <w:sz w:val="21"/>
          <w:spacing w:val="-5"/>
        </w:rPr>
        <w:t>F0</w:t>
      </w:r>
      <w:r>
        <w:rPr>
          <w:rFonts w:ascii="Times New Roman" w:hAnsi="Times New Roman" w:cs="Times New Roman" w:eastAsia="Times New Roman" w:hint="ascii"/>
          <w:sz w:val="21"/>
          <w:spacing w:val="-11"/>
        </w:rPr>
        <w:t>1</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46"/>
        </w:rPr>
        <w:t>3</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）复杂海洋地质环境信息探测技术（申请代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131</w:t>
      </w:r>
      <w:r>
        <w:rPr>
          <w:rFonts w:ascii="Times New Roman" w:hAnsi="Times New Roman" w:cs="Times New Roman" w:eastAsia="Times New Roman" w:hint="ascii"/>
          <w:sz w:val="21"/>
          <w:spacing w:val="52"/>
        </w:rPr>
        <w:t>0</w:t>
      </w:r>
      <w:r>
        <w:rPr>
          <w:rFonts w:ascii="宋体" w:hAnsi="宋体" w:cs="宋体" w:eastAsia="宋体" w:hint="ascii"/>
          <w:sz w:val="21"/>
          <w:spacing w:val="27"/>
        </w:rPr>
        <w:t>或</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rPr>
        <w:t>1405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21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3" w:after="0" w:lineRule="exact" w:line="330"/>
        <w:ind w:right="977"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）申请书资</w:t>
      </w:r>
      <w:r>
        <w:rPr>
          <w:rFonts w:ascii="宋体" w:hAnsi="宋体" w:cs="宋体" w:eastAsia="宋体" w:hint="ascii"/>
          <w:sz w:val="21"/>
        </w:rPr>
        <w:t>助类别选择“联合基金项目</w:t>
      </w:r>
      <w:r>
        <w:rPr>
          <w:rFonts w:ascii="宋体" w:hAnsi="宋体" w:cs="宋体" w:eastAsia="宋体" w:hint="ascii"/>
          <w:sz w:val="21"/>
          <w:spacing w:val="-52"/>
        </w:rPr>
        <w:t>”</w:t>
      </w:r>
      <w:r>
        <w:rPr>
          <w:rFonts w:ascii="宋体" w:hAnsi="宋体" w:cs="宋体" w:eastAsia="宋体" w:hint="ascii"/>
          <w:sz w:val="21"/>
        </w:rPr>
        <w:t>，亚类说明选择“重点支持项目</w:t>
      </w:r>
      <w:r>
        <w:rPr>
          <w:rFonts w:ascii="宋体" w:hAnsi="宋体" w:cs="宋体" w:eastAsia="宋体" w:hint="ascii"/>
          <w:sz w:val="21"/>
          <w:spacing w:val="-52"/>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山东联合基金</w:t>
      </w:r>
      <w:r>
        <w:rPr>
          <w:rFonts w:ascii="宋体" w:hAnsi="宋体" w:cs="宋体" w:eastAsia="宋体" w:hint="ascii"/>
          <w:sz w:val="21"/>
          <w:spacing w:val="-52"/>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必须按本《指南》要求选择。</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）本联合基金面向全国，鼓励申请人与山东省境内具有一定研究实力和研究条件</w:t>
      </w:r>
    </w:p>
    <w:p>
      <w:pPr>
        <w:autoSpaceDE w:val="0"/>
        <w:autoSpaceDN w:val="0"/>
        <w:jc w:val="both"/>
        <w:spacing w:before="13" w:after="0" w:lineRule="exact" w:line="330"/>
        <w:ind w:right="977"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的高等院校</w:t>
      </w:r>
      <w:r>
        <w:rPr>
          <w:rFonts w:ascii="宋体" w:hAnsi="宋体" w:cs="宋体" w:eastAsia="宋体" w:hint="ascii"/>
          <w:sz w:val="21"/>
        </w:rPr>
        <w:t>或研究机构开展合作研究。对于合作研究项目，应当在申请书中明确合作各方的合作内容、主要分工等。</w:t>
      </w:r>
    </w:p>
    <w:p>
      <w:pPr>
        <w:autoSpaceDE w:val="0"/>
        <w:autoSpaceDN w:val="0"/>
        <w:jc w:val="both"/>
        <w:spacing w:before="0" w:after="0" w:lineRule="exact" w:line="312"/>
        <w:ind w:right="977"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8"/>
        </w:rPr>
        <w:t>4</w:t>
      </w:r>
      <w:r>
        <w:rPr>
          <w:rFonts w:ascii="宋体" w:hAnsi="宋体" w:cs="宋体" w:eastAsia="宋体" w:hint="ascii"/>
          <w:sz w:val="21"/>
        </w:rPr>
        <w:t>）</w:t>
      </w:r>
      <w:r>
        <w:rPr>
          <w:rFonts w:ascii="宋体" w:hAnsi="宋体" w:cs="宋体" w:eastAsia="宋体" w:hint="ascii"/>
          <w:sz w:val="21"/>
          <w:spacing w:val="4"/>
        </w:rPr>
        <w:t>申</w:t>
      </w:r>
      <w:r>
        <w:rPr>
          <w:rFonts w:ascii="宋体" w:hAnsi="宋体" w:cs="宋体" w:eastAsia="宋体" w:hint="ascii"/>
          <w:sz w:val="21"/>
          <w:spacing w:val="3"/>
        </w:rPr>
        <w:t>请项</w:t>
      </w:r>
      <w:r>
        <w:rPr>
          <w:rFonts w:ascii="宋体" w:hAnsi="宋体" w:cs="宋体" w:eastAsia="宋体" w:hint="ascii"/>
          <w:sz w:val="21"/>
          <w:spacing w:val="4"/>
        </w:rPr>
        <w:t>目应</w:t>
      </w:r>
      <w:r>
        <w:rPr>
          <w:rFonts w:ascii="宋体" w:hAnsi="宋体" w:cs="宋体" w:eastAsia="宋体" w:hint="ascii"/>
          <w:sz w:val="21"/>
          <w:spacing w:val="3"/>
        </w:rPr>
        <w:t>当</w:t>
      </w:r>
      <w:r>
        <w:rPr>
          <w:rFonts w:ascii="宋体" w:hAnsi="宋体" w:cs="宋体" w:eastAsia="宋体" w:hint="ascii"/>
          <w:sz w:val="21"/>
          <w:spacing w:val="4"/>
        </w:rPr>
        <w:t>符</w:t>
      </w:r>
      <w:r>
        <w:rPr>
          <w:rFonts w:ascii="宋体" w:hAnsi="宋体" w:cs="宋体" w:eastAsia="宋体" w:hint="ascii"/>
          <w:sz w:val="21"/>
          <w:spacing w:val="3"/>
        </w:rPr>
        <w:t>合</w:t>
      </w:r>
      <w:r>
        <w:rPr>
          <w:rFonts w:ascii="宋体" w:hAnsi="宋体" w:cs="宋体" w:eastAsia="宋体" w:hint="ascii"/>
          <w:sz w:val="21"/>
          <w:spacing w:val="4"/>
        </w:rPr>
        <w:t>本《</w:t>
      </w:r>
      <w:r>
        <w:rPr>
          <w:rFonts w:ascii="宋体" w:hAnsi="宋体" w:cs="宋体" w:eastAsia="宋体" w:hint="ascii"/>
          <w:sz w:val="21"/>
          <w:spacing w:val="3"/>
        </w:rPr>
        <w:t>指</w:t>
      </w:r>
      <w:r>
        <w:rPr>
          <w:rFonts w:ascii="宋体" w:hAnsi="宋体" w:cs="宋体" w:eastAsia="宋体" w:hint="ascii"/>
          <w:sz w:val="21"/>
          <w:spacing w:val="4"/>
        </w:rPr>
        <w:t>南</w:t>
      </w:r>
      <w:r>
        <w:rPr>
          <w:rFonts w:ascii="宋体" w:hAnsi="宋体" w:cs="宋体" w:eastAsia="宋体" w:hint="ascii"/>
          <w:sz w:val="21"/>
          <w:spacing w:val="3"/>
        </w:rPr>
        <w:t>》</w:t>
      </w:r>
      <w:r>
        <w:rPr>
          <w:rFonts w:ascii="宋体" w:hAnsi="宋体" w:cs="宋体" w:eastAsia="宋体" w:hint="ascii"/>
          <w:sz w:val="21"/>
          <w:spacing w:val="4"/>
        </w:rPr>
        <w:t>的资</w:t>
      </w:r>
      <w:r>
        <w:rPr>
          <w:rFonts w:ascii="宋体" w:hAnsi="宋体" w:cs="宋体" w:eastAsia="宋体" w:hint="ascii"/>
          <w:sz w:val="21"/>
          <w:spacing w:val="3"/>
        </w:rPr>
        <w:t>助</w:t>
      </w:r>
      <w:r>
        <w:rPr>
          <w:rFonts w:ascii="宋体" w:hAnsi="宋体" w:cs="宋体" w:eastAsia="宋体" w:hint="ascii"/>
          <w:sz w:val="21"/>
          <w:spacing w:val="4"/>
        </w:rPr>
        <w:t>范</w:t>
      </w:r>
      <w:r>
        <w:rPr>
          <w:rFonts w:ascii="宋体" w:hAnsi="宋体" w:cs="宋体" w:eastAsia="宋体" w:hint="ascii"/>
          <w:sz w:val="21"/>
          <w:spacing w:val="3"/>
        </w:rPr>
        <w:t>围</w:t>
      </w:r>
      <w:r>
        <w:rPr>
          <w:rFonts w:ascii="宋体" w:hAnsi="宋体" w:cs="宋体" w:eastAsia="宋体" w:hint="ascii"/>
          <w:sz w:val="21"/>
          <w:spacing w:val="4"/>
        </w:rPr>
        <w:t>与要</w:t>
      </w:r>
      <w:r>
        <w:rPr>
          <w:rFonts w:ascii="宋体" w:hAnsi="宋体" w:cs="宋体" w:eastAsia="宋体" w:hint="ascii"/>
          <w:sz w:val="21"/>
          <w:spacing w:val="3"/>
        </w:rPr>
        <w:t>求</w:t>
      </w:r>
      <w:r>
        <w:rPr>
          <w:rFonts w:ascii="宋体" w:hAnsi="宋体" w:cs="宋体" w:eastAsia="宋体" w:hint="ascii"/>
          <w:sz w:val="21"/>
          <w:spacing w:val="4"/>
        </w:rPr>
        <w:t>。</w:t>
      </w:r>
      <w:r>
        <w:rPr>
          <w:rFonts w:ascii="宋体" w:hAnsi="宋体" w:cs="宋体" w:eastAsia="宋体" w:hint="ascii"/>
          <w:sz w:val="21"/>
          <w:spacing w:val="3"/>
        </w:rPr>
        <w:t>项</w:t>
      </w:r>
      <w:r>
        <w:rPr>
          <w:rFonts w:ascii="宋体" w:hAnsi="宋体" w:cs="宋体" w:eastAsia="宋体" w:hint="ascii"/>
          <w:sz w:val="21"/>
          <w:spacing w:val="4"/>
        </w:rPr>
        <w:t>目名</w:t>
      </w:r>
      <w:r>
        <w:rPr>
          <w:rFonts w:ascii="宋体" w:hAnsi="宋体" w:cs="宋体" w:eastAsia="宋体" w:hint="ascii"/>
          <w:sz w:val="21"/>
          <w:spacing w:val="3"/>
        </w:rPr>
        <w:t>称</w:t>
      </w:r>
      <w:r>
        <w:rPr>
          <w:rFonts w:ascii="宋体" w:hAnsi="宋体" w:cs="宋体" w:eastAsia="宋体" w:hint="ascii"/>
          <w:sz w:val="21"/>
          <w:spacing w:val="4"/>
        </w:rPr>
        <w:t>、</w:t>
      </w:r>
      <w:r>
        <w:rPr>
          <w:rFonts w:ascii="宋体" w:hAnsi="宋体" w:cs="宋体" w:eastAsia="宋体" w:hint="ascii"/>
          <w:sz w:val="21"/>
          <w:spacing w:val="3"/>
        </w:rPr>
        <w:t>具</w:t>
      </w:r>
      <w:r>
        <w:rPr>
          <w:rFonts w:ascii="宋体" w:hAnsi="宋体" w:cs="宋体" w:eastAsia="宋体" w:hint="ascii"/>
          <w:sz w:val="21"/>
          <w:spacing w:val="4"/>
        </w:rPr>
        <w:t>体研</w:t>
      </w:r>
      <w:r>
        <w:rPr>
          <w:rFonts w:ascii="宋体" w:hAnsi="宋体" w:cs="宋体" w:eastAsia="宋体" w:hint="ascii"/>
          <w:sz w:val="21"/>
          <w:spacing w:val="3"/>
        </w:rPr>
        <w:t>究</w:t>
      </w:r>
      <w:r>
        <w:rPr>
          <w:rFonts w:ascii="宋体" w:hAnsi="宋体" w:cs="宋体" w:eastAsia="宋体" w:hint="ascii"/>
          <w:sz w:val="21"/>
          <w:spacing w:val="-6"/>
        </w:rPr>
        <w:t>方</w:t>
      </w:r>
      <w:r>
        <w:rPr>
          <w:rFonts w:ascii="宋体" w:hAnsi="宋体" w:cs="宋体" w:eastAsia="宋体" w:hint="ascii"/>
          <w:sz w:val="21"/>
          <w:spacing w:val="1"/>
        </w:rPr>
        <w:t>案、研究内容和目标</w:t>
      </w:r>
      <w:r>
        <w:rPr>
          <w:rFonts w:ascii="宋体" w:hAnsi="宋体" w:cs="宋体" w:eastAsia="宋体" w:hint="ascii"/>
          <w:sz w:val="21"/>
        </w:rPr>
        <w:t>等由申请人提出，要求申请人按照重点支持项目申请书撰写提</w:t>
      </w:r>
      <w:r>
        <w:rPr>
          <w:rFonts w:ascii="宋体" w:hAnsi="宋体" w:cs="宋体" w:eastAsia="宋体" w:hint="ascii"/>
          <w:sz w:val="21"/>
          <w:spacing w:val="-6"/>
        </w:rPr>
        <w:t>纲</w:t>
      </w:r>
      <w:r>
        <w:rPr>
          <w:rFonts w:ascii="宋体" w:hAnsi="宋体" w:cs="宋体" w:eastAsia="宋体" w:hint="ascii"/>
          <w:sz w:val="21"/>
          <w:spacing w:val="1"/>
        </w:rPr>
        <w:t>撰写申请书。如果申</w:t>
      </w:r>
      <w:r>
        <w:rPr>
          <w:rFonts w:ascii="宋体" w:hAnsi="宋体" w:cs="宋体" w:eastAsia="宋体" w:hint="ascii"/>
          <w:sz w:val="21"/>
        </w:rPr>
        <w:t>请人已经承担与本联合基金相关的国家其他科技计划项目，应</w:t>
      </w:r>
      <w:r>
        <w:rPr>
          <w:rFonts w:ascii="宋体" w:hAnsi="宋体" w:cs="宋体" w:eastAsia="宋体" w:hint="ascii"/>
          <w:sz w:val="21"/>
          <w:spacing w:val="-6"/>
        </w:rPr>
        <w:t>当</w:t>
      </w:r>
      <w:r>
        <w:rPr>
          <w:rFonts w:ascii="宋体" w:hAnsi="宋体" w:cs="宋体" w:eastAsia="宋体" w:hint="ascii"/>
          <w:sz w:val="21"/>
          <w:spacing w:val="1"/>
        </w:rPr>
        <w:t>在申请书正文的“研</w:t>
      </w:r>
      <w:r>
        <w:rPr>
          <w:rFonts w:ascii="宋体" w:hAnsi="宋体" w:cs="宋体" w:eastAsia="宋体" w:hint="ascii"/>
          <w:sz w:val="21"/>
        </w:rPr>
        <w:t>究基础与工作条件”部分论述申请项目与其他相关项目的区别</w:t>
      </w:r>
      <w:r>
        <w:rPr>
          <w:rFonts w:ascii="宋体" w:hAnsi="宋体" w:cs="宋体" w:eastAsia="宋体" w:hint="ascii"/>
          <w:sz w:val="21"/>
          <w:spacing w:val="-6"/>
        </w:rPr>
        <w:t>与</w:t>
      </w:r>
      <w:r>
        <w:rPr>
          <w:rFonts w:ascii="宋体" w:hAnsi="宋体" w:cs="宋体" w:eastAsia="宋体" w:hint="ascii"/>
          <w:sz w:val="21"/>
        </w:rPr>
        <w:t>联系。</w:t>
      </w:r>
    </w:p>
    <w:p>
      <w:pPr>
        <w:autoSpaceDE w:val="0"/>
        <w:autoSpaceDN w:val="0"/>
        <w:jc w:val="left"/>
        <w:spacing w:before="1274"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联合基金项目</w:t>
      </w:r>
      <w:rPr>
        <w:rFonts w:ascii="宋体" w:hAnsi="宋体" w:cs="宋体" w:eastAsia="宋体" w:hint="ascii"/>
        <w:sz w:val="19"/>
      </w:rP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r>
        <w:rPr>
          <w:rFonts w:ascii="宋体" w:hAnsi="宋体" w:cs="宋体" w:eastAsia="宋体" w:hint="ascii"/>
        </w:rPr>
        <mc:AlternateContent>
          <mc:Choice Requires="wps">
            <w:drawing>
              <wp:anchor distL="0" distR="0" distT="0" distB="0" simplePos="0" behindDoc="1" relativeHeight="308" locked="0" layoutInCell="1" allowOverlap="1">
                <wp:simplePos x="0" y="0"/>
                <wp:positionH relativeFrom="page">
                  <wp:posOffset>938530</wp:posOffset>
                </wp:positionH>
                <wp:positionV relativeFrom="page">
                  <wp:posOffset>819150</wp:posOffset>
                </wp:positionV>
                <wp:extent cx="5076190" cy="0"/>
                <wp:wrapNone/>
                <wp:docPr id="1336" name="133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42848;width:399.70pt;" id="133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w:t>
      </w:r>
    </w:p>
    <w:p>
      <w:pPr>
        <w:autoSpaceDE w:val="0"/>
        <w:autoSpaceDN w:val="0"/>
        <w:jc w:val="both"/>
        <w:spacing w:before="10" w:after="0" w:lineRule="exact" w:line="312"/>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址：北京</w:t>
      </w:r>
      <w:r>
        <w:rPr>
          <w:rFonts w:ascii="宋体" w:hAnsi="宋体" w:cs="宋体" w:eastAsia="宋体" w:hint="ascii"/>
          <w:sz w:val="21"/>
        </w:rPr>
        <w:t>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人：雷</w:t>
      </w:r>
      <w:r>
        <w:rPr>
          <w:rFonts w:ascii="宋体" w:hAnsi="宋体" w:cs="宋体" w:eastAsia="宋体" w:hint="ascii"/>
          <w:sz w:val="21"/>
          <w:spacing w:val="53"/>
        </w:rPr>
        <w:t xml:space="preserve"> </w:t>
      </w:r>
      <w:r>
        <w:rPr>
          <w:rFonts w:ascii="宋体" w:hAnsi="宋体" w:cs="宋体" w:eastAsia="宋体" w:hint="ascii"/>
          <w:sz w:val="21"/>
        </w:rPr>
        <w:t>蓉</w:t>
      </w:r>
      <w:r>
        <w:rPr>
          <w:rFonts w:ascii="宋体" w:hAnsi="宋体" w:cs="宋体" w:eastAsia="宋体" w:hint="ascii"/>
          <w:sz w:val="21"/>
          <w:spacing w:val="53"/>
        </w:rPr>
        <w:t xml:space="preserve"> </w:t>
      </w:r>
      <w:r>
        <w:rPr>
          <w:rFonts w:ascii="宋体" w:hAnsi="宋体" w:cs="宋体" w:eastAsia="宋体" w:hint="ascii"/>
          <w:sz w:val="21"/>
        </w:rPr>
        <w:t>王</w:t>
      </w:r>
      <w:r>
        <w:rPr>
          <w:rFonts w:ascii="宋体" w:hAnsi="宋体" w:cs="宋体" w:eastAsia="宋体" w:hint="ascii"/>
          <w:sz w:val="21"/>
          <w:spacing w:val="52"/>
        </w:rPr>
        <w:t xml:space="preserve"> </w:t>
      </w:r>
      <w:r>
        <w:rPr>
          <w:rFonts w:ascii="宋体" w:hAnsi="宋体" w:cs="宋体" w:eastAsia="宋体" w:hint="ascii"/>
          <w:sz w:val="21"/>
        </w:rPr>
        <w:t>岩</w:t>
      </w:r>
    </w:p>
    <w:p>
      <w:pPr>
        <w:autoSpaceDE w:val="0"/>
        <w:autoSpaceDN w:val="0"/>
        <w:jc w:val="both"/>
        <w:spacing w:before="10" w:after="0" w:lineRule="exact" w:line="312"/>
        <w:ind w:right="105"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55"/>
        </w:rPr>
        <w:t xml:space="preserve"> </w:t>
      </w:r>
      <w:r>
        <w:rPr>
          <w:rFonts w:ascii="宋体" w:hAnsi="宋体" w:cs="宋体" w:eastAsia="宋体" w:hint="ascii"/>
          <w:sz w:val="21"/>
          <w:spacing w:val="-3"/>
        </w:rPr>
        <w:t>话</w:t>
      </w:r>
      <w:r>
        <w:rPr>
          <w:rFonts w:ascii="宋体" w:hAnsi="宋体" w:cs="宋体" w:eastAsia="宋体" w:hint="ascii"/>
          <w:sz w:val="21"/>
          <w:spacing w:val="-2"/>
        </w:rPr>
        <w:t>：</w:t>
      </w:r>
      <w:r>
        <w:rPr>
          <w:rFonts w:ascii="Times New Roman" w:hAnsi="Times New Roman" w:cs="Times New Roman" w:eastAsia="Times New Roman" w:hint="ascii"/>
          <w:sz w:val="21"/>
          <w:spacing w:val="-2"/>
        </w:rPr>
        <w:t>010</w:t>
      </w:r>
      <w:r>
        <w:rPr>
          <w:rFonts w:ascii="宋体" w:hAnsi="宋体" w:cs="宋体" w:eastAsia="宋体" w:hint="ascii"/>
          <w:sz w:val="21"/>
          <w:spacing w:val="-2"/>
        </w:rPr>
        <w:t>-</w:t>
      </w:r>
      <w:r>
        <w:rPr>
          <w:rFonts w:ascii="Times New Roman" w:hAnsi="Times New Roman" w:cs="Times New Roman" w:eastAsia="Times New Roman" w:hint="ascii"/>
          <w:sz w:val="21"/>
          <w:spacing w:val="-2"/>
        </w:rPr>
        <w:t>62328484</w:t>
      </w:r>
      <w:r>
        <w:rPr>
          <w:rFonts w:ascii="宋体" w:hAnsi="宋体" w:cs="宋体" w:eastAsia="宋体" w:hint="ascii"/>
          <w:sz w:val="21"/>
          <w:spacing w:val="-2"/>
        </w:rPr>
        <w:t>，</w:t>
      </w:r>
      <w:r>
        <w:rPr>
          <w:rFonts w:ascii="Times New Roman" w:hAnsi="Times New Roman" w:cs="Times New Roman" w:eastAsia="Times New Roman" w:hint="ascii"/>
          <w:sz w:val="21"/>
          <w:spacing w:val="-2"/>
        </w:rPr>
        <w:t>62327015</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leirong@nsfc.go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p>
    <w:p>
      <w:pPr>
        <w:autoSpaceDE w:val="0"/>
        <w:autoSpaceDN w:val="0"/>
        <w:jc w:val="left"/>
        <w:spacing w:before="54" w:after="0" w:lineRule="auto" w:line="240"/>
        <w:ind w:right="0" w:left="2437"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rPr>
        <w:t>wangyan@nsfc.go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p>
    <w:p>
      <w:pPr>
        <w:autoSpaceDE w:val="0"/>
        <w:autoSpaceDN w:val="0"/>
        <w:jc w:val="left"/>
        <w:spacing w:before="918"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山东省科技厅</w:t>
      </w:r>
    </w:p>
    <w:p>
      <w:pPr>
        <w:autoSpaceDE w:val="0"/>
        <w:autoSpaceDN w:val="0"/>
        <w:jc w:val="both"/>
        <w:spacing w:before="10" w:after="0" w:lineRule="exact" w:line="312"/>
        <w:ind w:right="964"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址：济</w:t>
      </w:r>
      <w:r>
        <w:rPr>
          <w:rFonts w:ascii="宋体" w:hAnsi="宋体" w:cs="宋体" w:eastAsia="宋体" w:hint="ascii"/>
          <w:sz w:val="21"/>
        </w:rPr>
        <w:t>南市高新区舜华</w:t>
      </w:r>
      <w:r>
        <w:rPr>
          <w:rFonts w:ascii="宋体" w:hAnsi="宋体" w:cs="宋体" w:eastAsia="宋体" w:hint="ascii"/>
          <w:sz w:val="21"/>
          <w:spacing w:val="26"/>
        </w:rPr>
        <w:t>路</w:t>
      </w:r>
      <w:r>
        <w:rPr>
          <w:rFonts w:ascii="Times New Roman" w:hAnsi="Times New Roman" w:cs="Times New Roman" w:eastAsia="Times New Roman" w:hint="ascii"/>
          <w:sz w:val="21"/>
        </w:rPr>
        <w:t>60</w:t>
      </w:r>
      <w:r>
        <w:rPr>
          <w:rFonts w:ascii="Times New Roman" w:hAnsi="Times New Roman" w:cs="Times New Roman" w:eastAsia="Times New Roman" w:hint="ascii"/>
          <w:sz w:val="21"/>
          <w:spacing w:val="52"/>
        </w:rPr>
        <w:t>7</w:t>
      </w:r>
      <w:r>
        <w:rPr>
          <w:rFonts w:ascii="宋体" w:hAnsi="宋体" w:cs="宋体" w:eastAsia="宋体" w:hint="ascii"/>
          <w:sz w:val="21"/>
        </w:rPr>
        <w:t>号邮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250101</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人：张</w:t>
      </w:r>
      <w:r>
        <w:rPr>
          <w:rFonts w:ascii="宋体" w:hAnsi="宋体" w:cs="宋体" w:eastAsia="宋体" w:hint="ascii"/>
          <w:sz w:val="21"/>
          <w:spacing w:val="53"/>
        </w:rPr>
        <w:t xml:space="preserve"> </w:t>
      </w:r>
      <w:r>
        <w:rPr>
          <w:rFonts w:ascii="宋体" w:hAnsi="宋体" w:cs="宋体" w:eastAsia="宋体" w:hint="ascii"/>
          <w:sz w:val="21"/>
        </w:rPr>
        <w:t>骏</w:t>
      </w:r>
      <w:r>
        <w:rPr>
          <w:rFonts w:ascii="宋体" w:hAnsi="宋体" w:cs="宋体" w:eastAsia="宋体" w:hint="ascii"/>
          <w:sz w:val="21"/>
          <w:spacing w:val="53"/>
        </w:rPr>
        <w:t xml:space="preserve"> </w:t>
      </w:r>
      <w:r>
        <w:rPr>
          <w:rFonts w:ascii="宋体" w:hAnsi="宋体" w:cs="宋体" w:eastAsia="宋体" w:hint="ascii"/>
          <w:sz w:val="21"/>
        </w:rPr>
        <w:t>陈成刚</w:t>
      </w:r>
    </w:p>
    <w:p>
      <w:pPr>
        <w:autoSpaceDE w:val="0"/>
        <w:autoSpaceDN w:val="0"/>
        <w:jc w:val="both"/>
        <w:spacing w:before="10" w:after="0" w:lineRule="exact" w:line="312"/>
        <w:ind w:right="1070" w:left="0" w:firstLine="0"/>
        <w:snapToGrid w:val="0"/>
        <w:textAlignment w:val="auto"/>
        <w:tabs/>
        <w:sectPr>
          <w:type w:val="continuous"/>
          <w:pgSz w:w="10940" w:h="15080" w:orient="portrait"/>
          <w:pgMar w:top="508" w:right="508" w:bottom="508" w:left="508" w:header="0" w:footer="0" w:gutter="0"/>
          <w:cols w:num="2" w:space="0" w:equalWidth="0">
            <w:col w:w="4850" w:space="540"/>
            <w:col w:w="453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55"/>
        </w:rPr>
        <w:t xml:space="preserve"> </w:t>
      </w:r>
      <w:r>
        <w:rPr>
          <w:rFonts w:ascii="宋体" w:hAnsi="宋体" w:cs="宋体" w:eastAsia="宋体" w:hint="ascii"/>
          <w:sz w:val="21"/>
          <w:spacing w:val="-2"/>
        </w:rPr>
        <w:t>话：</w:t>
      </w:r>
      <w:r>
        <w:rPr>
          <w:rFonts w:ascii="Times New Roman" w:hAnsi="Times New Roman" w:cs="Times New Roman" w:eastAsia="Times New Roman" w:hint="ascii"/>
          <w:sz w:val="21"/>
          <w:spacing w:val="-2"/>
        </w:rPr>
        <w:t>0531</w:t>
      </w:r>
      <w:r>
        <w:rPr>
          <w:rFonts w:ascii="宋体" w:hAnsi="宋体" w:cs="宋体" w:eastAsia="宋体" w:hint="ascii"/>
          <w:sz w:val="21"/>
          <w:spacing w:val="-2"/>
        </w:rPr>
        <w:t>-</w:t>
      </w:r>
      <w:r>
        <w:rPr>
          <w:rFonts w:ascii="Times New Roman" w:hAnsi="Times New Roman" w:cs="Times New Roman" w:eastAsia="Times New Roman" w:hint="ascii"/>
          <w:sz w:val="21"/>
          <w:spacing w:val="-2"/>
        </w:rPr>
        <w:t>66777026</w:t>
      </w:r>
      <w:r>
        <w:rPr>
          <w:rFonts w:ascii="宋体" w:hAnsi="宋体" w:cs="宋体" w:eastAsia="宋体" w:hint="ascii"/>
          <w:sz w:val="21"/>
          <w:spacing w:val="-2"/>
        </w:rPr>
        <w:t>，</w:t>
      </w:r>
      <w:r>
        <w:rPr>
          <w:rFonts w:ascii="Times New Roman" w:hAnsi="Times New Roman" w:cs="Times New Roman" w:eastAsia="Times New Roman" w:hint="ascii"/>
          <w:sz w:val="21"/>
          <w:spacing w:val="-2"/>
        </w:rPr>
        <w:t>66777035</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chen250101@163.com</w:t>
      </w:r>
      <w:rPr>
        <w:rFonts w:ascii="Times New Roman" w:hAnsi="Times New Roman" w:cs="Times New Roman" w:eastAsia="Times New Roman" w:hint="ascii"/>
        <w:sz w:val="21"/>
      </w:rPr>
    </w:p>
    <w:p>
      <w:pPr>
        <w:autoSpaceDE w:val="0"/>
        <w:autoSpaceDN w:val="0"/>
        <w:jc w:val="left"/>
        <w:spacing w:before="489" w:after="0" w:lineRule="auto" w:line="240"/>
        <w:ind w:right="0" w:left="3210"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position w:val="2"/>
          <w:spacing w:val="31"/>
        </w:rPr>
        <w:t>-</w:t>
      </w:r>
      <w:r>
        <w:rPr>
          <w:rFonts w:ascii="宋体" w:hAnsi="宋体" w:cs="宋体" w:eastAsia="宋体" w:hint="ascii"/>
          <w:sz w:val="38"/>
        </w:rPr>
        <w:t>辽宁联合基金</w:t>
      </w:r>
    </w:p>
    <w:p>
      <w:pPr>
        <w:autoSpaceDE w:val="0"/>
        <w:autoSpaceDN w:val="0"/>
        <w:jc w:val="left"/>
        <w:spacing w:before="33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自然科学基金委与辽宁省人民政府</w:t>
      </w:r>
      <w:r>
        <w:rPr>
          <w:rFonts w:ascii="宋体" w:hAnsi="宋体" w:cs="宋体" w:eastAsia="宋体" w:hint="ascii"/>
          <w:sz w:val="21"/>
          <w:spacing w:val="26"/>
        </w:rPr>
        <w:t>自</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5</w:t>
      </w:r>
      <w:r>
        <w:rPr>
          <w:rFonts w:ascii="宋体" w:hAnsi="宋体" w:cs="宋体" w:eastAsia="宋体" w:hint="ascii"/>
          <w:sz w:val="21"/>
        </w:rPr>
        <w:t>年</w:t>
      </w:r>
      <w:r>
        <w:rPr>
          <w:rFonts w:ascii="宋体" w:hAnsi="宋体" w:cs="宋体" w:eastAsia="宋体" w:hint="ascii"/>
          <w:sz w:val="21"/>
          <w:spacing w:val="26"/>
        </w:rPr>
        <w:t>至</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9</w:t>
      </w:r>
      <w:r>
        <w:rPr>
          <w:rFonts w:ascii="宋体" w:hAnsi="宋体" w:cs="宋体" w:eastAsia="宋体" w:hint="ascii"/>
          <w:sz w:val="21"/>
        </w:rPr>
        <w:t>年共同设立国家自然科学基金</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委员会</w:t>
      </w:r>
      <w:r>
        <w:rPr>
          <w:rFonts w:ascii="MS Mincho" w:hAnsi="MS Mincho" w:cs="MS Mincho" w:eastAsia="MS Mincho" w:hint="ascii"/>
          <w:sz w:val="21"/>
        </w:rPr>
        <w:t>−</w:t>
      </w:r>
      <w:r>
        <w:rPr>
          <w:rFonts w:ascii="宋体" w:hAnsi="宋体" w:cs="宋体" w:eastAsia="宋体" w:hint="ascii"/>
          <w:sz w:val="21"/>
        </w:rPr>
        <w:t xml:space="preserve">辽宁省人民政府联合基金（以下简称 </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辽宁联合基金</w:t>
      </w:r>
      <w:r>
        <w:rPr>
          <w:rFonts w:ascii="宋体" w:hAnsi="宋体" w:cs="宋体" w:eastAsia="宋体" w:hint="ascii"/>
          <w:sz w:val="21"/>
          <w:spacing w:val="-51"/>
        </w:rPr>
        <w:t>）</w:t>
      </w:r>
      <w:r>
        <w:rPr>
          <w:rFonts w:ascii="宋体" w:hAnsi="宋体" w:cs="宋体" w:eastAsia="宋体" w:hint="ascii"/>
          <w:sz w:val="21"/>
        </w:rPr>
        <w:t>，旨在充分发挥国家自然科学基金的导向作用，进一步吸引、培养和集聚一批一流的科技人才，重点解决辽宁产业发展中的重大科学和关键共性技术问题，全面提升辽宁的自主创新能力，推动老工业基地振兴。</w:t>
      </w:r>
    </w:p>
    <w:p>
      <w:pPr>
        <w:autoSpaceDE w:val="0"/>
        <w:autoSpaceDN w:val="0"/>
        <w:jc w:val="left"/>
        <w:spacing w:before="54"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辽宁联合基金</w:t>
      </w:r>
      <w:r>
        <w:rPr>
          <w:rFonts w:ascii="宋体" w:hAnsi="宋体" w:cs="宋体" w:eastAsia="宋体" w:hint="ascii"/>
          <w:sz w:val="21"/>
          <w:spacing w:val="-13"/>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13"/>
        </w:rPr>
        <w:t xml:space="preserve"> </w:t>
      </w:r>
      <w:r>
        <w:rPr>
          <w:rFonts w:ascii="宋体" w:hAnsi="宋体" w:cs="宋体" w:eastAsia="宋体" w:hint="ascii"/>
          <w:sz w:val="21"/>
        </w:rPr>
        <w:t>年度接收下述</w:t>
      </w:r>
      <w:r>
        <w:rPr>
          <w:rFonts w:ascii="宋体" w:hAnsi="宋体" w:cs="宋体" w:eastAsia="宋体" w:hint="ascii"/>
          <w:sz w:val="21"/>
          <w:spacing w:val="-13"/>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13"/>
        </w:rPr>
        <w:t xml:space="preserve"> </w:t>
      </w:r>
      <w:r>
        <w:rPr>
          <w:rFonts w:ascii="宋体" w:hAnsi="宋体" w:cs="宋体" w:eastAsia="宋体" w:hint="ascii"/>
          <w:sz w:val="21"/>
        </w:rPr>
        <w:t>个研究领域的重点支持项目申请，直接</w:t>
      </w:r>
    </w:p>
    <w:p>
      <w:pPr>
        <w:autoSpaceDE w:val="0"/>
        <w:autoSpaceDN w:val="0"/>
        <w:jc w:val="both"/>
        <w:spacing w:before="21" w:after="0" w:lineRule="exact" w:line="330"/>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费用平均资</w:t>
      </w:r>
      <w:r>
        <w:rPr>
          <w:rFonts w:ascii="宋体" w:hAnsi="宋体" w:cs="宋体" w:eastAsia="宋体" w:hint="ascii"/>
          <w:sz w:val="21"/>
        </w:rPr>
        <w:t>助强度</w:t>
      </w:r>
      <w:r>
        <w:rPr>
          <w:rFonts w:ascii="宋体" w:hAnsi="宋体" w:cs="宋体" w:eastAsia="宋体" w:hint="ascii"/>
          <w:sz w:val="21"/>
          <w:spacing w:val="-7"/>
        </w:rPr>
        <w:t xml:space="preserve"> </w:t>
      </w:r>
      <w:r>
        <w:rPr>
          <w:rFonts w:ascii="Times New Roman" w:hAnsi="Times New Roman" w:cs="Times New Roman" w:eastAsia="Times New Roman" w:hint="ascii"/>
          <w:sz w:val="21"/>
        </w:rPr>
        <w:t>250</w:t>
      </w:r>
      <w:r>
        <w:rPr>
          <w:rFonts w:ascii="Times New Roman" w:hAnsi="Times New Roman" w:cs="Times New Roman" w:eastAsia="Times New Roman" w:hint="ascii"/>
          <w:sz w:val="21"/>
          <w:spacing w:val="-8"/>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7"/>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8"/>
        </w:rPr>
        <w:t xml:space="preserve"> </w:t>
      </w:r>
      <w:r>
        <w:rPr>
          <w:rFonts w:ascii="宋体" w:hAnsi="宋体" w:cs="宋体" w:eastAsia="宋体" w:hint="ascii"/>
          <w:sz w:val="21"/>
        </w:rPr>
        <w:t>年。</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辽宁联合基金面向全国，欢迎全国符合条件的科学技术人员按照本《指南》范围和要求提出申请。</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一、先进装备制造领域</w:t>
      </w:r>
    </w:p>
    <w:p>
      <w:pPr>
        <w:autoSpaceDE w:val="0"/>
        <w:autoSpaceDN w:val="0"/>
        <w:jc w:val="both"/>
        <w:spacing w:before="158" w:after="0" w:lineRule="exact" w:line="330"/>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结合辽宁装备制造业发展需求，围绕大型输变电装备</w:t>
      </w:r>
      <w:r>
        <w:rPr>
          <w:rFonts w:ascii="宋体" w:hAnsi="宋体" w:cs="宋体" w:eastAsia="宋体" w:hint="ascii"/>
          <w:sz w:val="21"/>
          <w:spacing w:val="-1"/>
        </w:rPr>
        <w:t>、大型工程机械、高档数控机</w:t>
      </w:r>
      <w:r>
        <w:rPr>
          <w:rFonts w:ascii="宋体" w:hAnsi="宋体" w:cs="宋体" w:eastAsia="宋体" w:hint="ascii"/>
          <w:sz w:val="21"/>
        </w:rPr>
        <w:t xml:space="preserve"> </w:t>
      </w:r>
      <w:r>
        <w:rPr>
          <w:rFonts w:ascii="宋体" w:hAnsi="宋体" w:cs="宋体" w:eastAsia="宋体" w:hint="ascii"/>
          <w:sz w:val="21"/>
          <w:spacing w:val="-1"/>
        </w:rPr>
        <w:t>床、航空装</w:t>
      </w:r>
      <w:r>
        <w:rPr>
          <w:rFonts w:ascii="宋体" w:hAnsi="宋体" w:cs="宋体" w:eastAsia="宋体" w:hint="ascii"/>
          <w:sz w:val="21"/>
        </w:rPr>
        <w:t>备等典型产品，开展产品创新设计理论与方法基础研究，促进辽宁省高端装备自主创新能力提升。主要研究方向：</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）特高压变压器密封失效机理（申请代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3" w:after="0" w:lineRule="exact" w:line="330"/>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）高超速飞行器增材制造结构多功能协同优化设计理论和方法（申请代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1</w:t>
      </w:r>
      <w:r>
        <w:rPr>
          <w:rFonts w:ascii="宋体" w:hAnsi="宋体" w:cs="宋体" w:eastAsia="宋体" w:hint="ascii"/>
          <w:sz w:val="21"/>
        </w:rPr>
        <w:t>选择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）精密机床动态精度设计理论与方法（申请代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3" w:after="0" w:lineRule="exact" w:line="330"/>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）特大型滚动轴承加工中热</w:t>
      </w:r>
      <w:r>
        <w:rPr>
          <w:rFonts w:ascii="Times New Roman" w:hAnsi="Times New Roman" w:cs="Times New Roman" w:eastAsia="Times New Roman" w:hint="ascii"/>
          <w:sz w:val="21"/>
        </w:rPr>
        <w:t>/</w:t>
      </w:r>
      <w:r>
        <w:rPr>
          <w:rFonts w:ascii="宋体" w:hAnsi="宋体" w:cs="宋体" w:eastAsia="宋体" w:hint="ascii"/>
          <w:sz w:val="21"/>
        </w:rPr>
        <w:t>力耦合机制及调控方法（申请代码</w:t>
      </w:r>
      <w:r>
        <w:rPr>
          <w:rFonts w:ascii="宋体" w:hAnsi="宋体" w:cs="宋体" w:eastAsia="宋体" w:hint="ascii"/>
          <w:sz w:val="21"/>
          <w:spacing w:val="-10"/>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0"/>
        </w:rPr>
        <w:t xml:space="preserve"> </w:t>
      </w:r>
      <w:r>
        <w:rPr>
          <w:rFonts w:ascii="宋体" w:hAnsi="宋体" w:cs="宋体" w:eastAsia="宋体" w:hint="ascii"/>
          <w:sz w:val="21"/>
        </w:rPr>
        <w:t>选择</w:t>
      </w:r>
      <w:r>
        <w:rPr>
          <w:rFonts w:ascii="宋体" w:hAnsi="宋体" w:cs="宋体" w:eastAsia="宋体" w:hint="ascii"/>
          <w:sz w:val="21"/>
          <w:spacing w:val="-9"/>
        </w:rPr>
        <w:t xml:space="preserve">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10"/>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0" w:after="0" w:lineRule="exact" w:line="330"/>
        <w:ind w:right="963" w:left="1281"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w:t>
      </w:r>
      <w:r>
        <w:rPr>
          <w:rFonts w:ascii="宋体" w:hAnsi="宋体" w:cs="宋体" w:eastAsia="宋体" w:hint="ascii"/>
          <w:sz w:val="21"/>
          <w:spacing w:val="-6"/>
        </w:rPr>
        <w:t>大型离心压缩机振动机理与智能诊断（申请代</w:t>
      </w:r>
      <w:r>
        <w:rPr>
          <w:rFonts w:ascii="宋体" w:hAnsi="宋体" w:cs="宋体" w:eastAsia="宋体" w:hint="ascii"/>
          <w:sz w:val="21"/>
          <w:spacing w:val="19"/>
        </w:rPr>
        <w:t>码</w:t>
      </w:r>
      <w:r>
        <w:rPr>
          <w:rFonts w:ascii="Times New Roman" w:hAnsi="Times New Roman" w:cs="Times New Roman" w:eastAsia="Times New Roman" w:hint="ascii"/>
          <w:sz w:val="21"/>
          <w:spacing w:val="43"/>
        </w:rPr>
        <w:t>1</w:t>
      </w:r>
      <w:r>
        <w:rPr>
          <w:rFonts w:ascii="宋体" w:hAnsi="宋体" w:cs="宋体" w:eastAsia="宋体" w:hint="ascii"/>
          <w:sz w:val="21"/>
          <w:spacing w:val="-6"/>
        </w:rPr>
        <w:t>选</w:t>
      </w:r>
      <w:r>
        <w:rPr>
          <w:rFonts w:ascii="宋体" w:hAnsi="宋体" w:cs="宋体" w:eastAsia="宋体" w:hint="ascii"/>
          <w:sz w:val="21"/>
          <w:spacing w:val="19"/>
        </w:rPr>
        <w:t>择</w:t>
      </w:r>
      <w:r>
        <w:rPr>
          <w:rFonts w:ascii="Times New Roman" w:hAnsi="Times New Roman" w:cs="Times New Roman" w:eastAsia="Times New Roman" w:hint="ascii"/>
          <w:sz w:val="21"/>
          <w:spacing w:val="-6"/>
        </w:rPr>
        <w:t>E0</w:t>
      </w:r>
      <w:r>
        <w:rPr>
          <w:rFonts w:ascii="Times New Roman" w:hAnsi="Times New Roman" w:cs="Times New Roman" w:eastAsia="Times New Roman" w:hint="ascii"/>
          <w:sz w:val="21"/>
          <w:spacing w:val="44"/>
        </w:rPr>
        <w:t>5</w:t>
      </w:r>
      <w:r>
        <w:rPr>
          <w:rFonts w:ascii="宋体" w:hAnsi="宋体" w:cs="宋体" w:eastAsia="宋体" w:hint="ascii"/>
          <w:sz w:val="21"/>
          <w:spacing w:val="19"/>
        </w:rPr>
        <w:t>或</w:t>
      </w:r>
      <w:r>
        <w:rPr>
          <w:rFonts w:ascii="Times New Roman" w:hAnsi="Times New Roman" w:cs="Times New Roman" w:eastAsia="Times New Roman" w:hint="ascii"/>
          <w:sz w:val="21"/>
          <w:spacing w:val="-7"/>
        </w:rPr>
        <w:t>E</w:t>
      </w:r>
      <w:r>
        <w:rPr>
          <w:rFonts w:ascii="Times New Roman" w:hAnsi="Times New Roman" w:cs="Times New Roman" w:eastAsia="Times New Roman" w:hint="ascii"/>
          <w:sz w:val="21"/>
          <w:spacing w:val="-5"/>
        </w:rPr>
        <w:t>0</w:t>
      </w:r>
      <w:r>
        <w:rPr>
          <w:rFonts w:ascii="Times New Roman" w:hAnsi="Times New Roman" w:cs="Times New Roman" w:eastAsia="Times New Roman" w:hint="ascii"/>
          <w:sz w:val="21"/>
          <w:spacing w:val="43"/>
        </w:rPr>
        <w:t>6</w:t>
      </w:r>
      <w:r>
        <w:rPr>
          <w:rFonts w:ascii="宋体" w:hAnsi="宋体" w:cs="宋体" w:eastAsia="宋体" w:hint="ascii"/>
          <w:sz w:val="21"/>
          <w:spacing w:val="-6"/>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 xml:space="preserve">）高速重载永磁传动装备运行状态实时感知与智能调控（申请代码 </w:t>
      </w:r>
      <w:r>
        <w:rPr>
          <w:rFonts w:ascii="Times New Roman" w:hAnsi="Times New Roman" w:cs="Times New Roman" w:eastAsia="Times New Roman" w:hint="ascii"/>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sz w:val="21"/>
        </w:rPr>
        <w:t>E05</w:t>
      </w:r>
    </w:p>
    <w:p>
      <w:pPr>
        <w:autoSpaceDE w:val="0"/>
        <w:autoSpaceDN w:val="0"/>
        <w:jc w:val="left"/>
        <w:spacing w:before="5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3" w:after="0" w:lineRule="exact" w:line="330"/>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7</w:t>
      </w:r>
      <w:r>
        <w:rPr>
          <w:rFonts w:ascii="宋体" w:hAnsi="宋体" w:cs="宋体" w:eastAsia="宋体" w:hint="ascii"/>
          <w:sz w:val="21"/>
          <w:spacing w:val="-1"/>
        </w:rPr>
        <w:t>）超大型钛合金复杂构件铸造结构及组织缺陷控制（申</w:t>
      </w:r>
      <w:r>
        <w:rPr>
          <w:rFonts w:ascii="宋体" w:hAnsi="宋体" w:cs="宋体" w:eastAsia="宋体" w:hint="ascii"/>
          <w:sz w:val="21"/>
        </w:rPr>
        <w:t>请代码</w:t>
      </w:r>
      <w:r>
        <w:rPr>
          <w:rFonts w:ascii="宋体" w:hAnsi="宋体" w:cs="宋体" w:eastAsia="宋体" w:hint="ascii"/>
          <w:sz w:val="21"/>
          <w:spacing w:val="-7"/>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8"/>
        </w:rPr>
        <w:t xml:space="preserve"> </w:t>
      </w:r>
      <w:r>
        <w:rPr>
          <w:rFonts w:ascii="宋体" w:hAnsi="宋体" w:cs="宋体" w:eastAsia="宋体" w:hint="ascii"/>
          <w:sz w:val="21"/>
        </w:rPr>
        <w:t>选择</w:t>
      </w:r>
      <w:r>
        <w:rPr>
          <w:rFonts w:ascii="宋体" w:hAnsi="宋体" w:cs="宋体" w:eastAsia="宋体" w:hint="ascii"/>
          <w:sz w:val="21"/>
          <w:spacing w:val="-7"/>
        </w:rPr>
        <w:t xml:space="preserve"> </w:t>
      </w:r>
      <w:r>
        <w:rPr>
          <w:rFonts w:ascii="Times New Roman" w:hAnsi="Times New Roman" w:cs="Times New Roman" w:eastAsia="Times New Roman" w:hint="ascii"/>
          <w:sz w:val="21"/>
        </w:rPr>
        <w:t>E01</w:t>
      </w:r>
      <w:r>
        <w:rPr>
          <w:rFonts w:ascii="宋体" w:hAnsi="宋体" w:cs="宋体" w:eastAsia="宋体" w:hint="ascii"/>
          <w:sz w:val="21"/>
        </w:rPr>
        <w:t>、</w:t>
      </w:r>
      <w:r>
        <w:rPr>
          <w:rFonts w:ascii="Times New Roman" w:hAnsi="Times New Roman" w:cs="Times New Roman" w:eastAsia="Times New Roman" w:hint="ascii"/>
          <w:sz w:val="21"/>
        </w:rPr>
        <w:t xml:space="preserve">E04 </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）高性能复杂结构砂型激光</w:t>
      </w:r>
      <w:r>
        <w:rPr>
          <w:rFonts w:ascii="宋体" w:hAnsi="宋体" w:cs="宋体" w:eastAsia="宋体" w:hint="ascii"/>
          <w:sz w:val="21"/>
          <w:spacing w:val="-13"/>
        </w:rPr>
        <w:t xml:space="preserve"> </w:t>
      </w:r>
      <w:r>
        <w:rPr>
          <w:rFonts w:ascii="Times New Roman" w:hAnsi="Times New Roman" w:cs="Times New Roman" w:eastAsia="Times New Roman" w:hint="ascii"/>
          <w:sz w:val="21"/>
        </w:rPr>
        <w:t>3D</w:t>
      </w:r>
      <w:r>
        <w:rPr>
          <w:rFonts w:ascii="Times New Roman" w:hAnsi="Times New Roman" w:cs="Times New Roman" w:eastAsia="Times New Roman" w:hint="ascii"/>
          <w:sz w:val="21"/>
          <w:spacing w:val="-16"/>
        </w:rPr>
        <w:t xml:space="preserve"> </w:t>
      </w:r>
      <w:r>
        <w:rPr>
          <w:rFonts w:ascii="宋体" w:hAnsi="宋体" w:cs="宋体" w:eastAsia="宋体" w:hint="ascii"/>
          <w:sz w:val="21"/>
        </w:rPr>
        <w:t>打印理论与方法（申请代码</w:t>
      </w:r>
      <w:r>
        <w:rPr>
          <w:rFonts w:ascii="宋体" w:hAnsi="宋体" w:cs="宋体" w:eastAsia="宋体" w:hint="ascii"/>
          <w:sz w:val="21"/>
          <w:spacing w:val="-1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5"/>
        </w:rPr>
        <w:t xml:space="preserve"> </w:t>
      </w:r>
      <w:r>
        <w:rPr>
          <w:rFonts w:ascii="宋体" w:hAnsi="宋体" w:cs="宋体" w:eastAsia="宋体" w:hint="ascii"/>
          <w:sz w:val="21"/>
        </w:rPr>
        <w:t>选择</w:t>
      </w:r>
      <w:r>
        <w:rPr>
          <w:rFonts w:ascii="宋体" w:hAnsi="宋体" w:cs="宋体" w:eastAsia="宋体" w:hint="ascii"/>
          <w:sz w:val="21"/>
          <w:spacing w:val="-14"/>
        </w:rPr>
        <w:t xml:space="preserve">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15"/>
        </w:rPr>
        <w:t xml:space="preserve"> </w:t>
      </w:r>
      <w:r>
        <w:rPr>
          <w:rFonts w:ascii="宋体" w:hAnsi="宋体" w:cs="宋体" w:eastAsia="宋体" w:hint="ascii"/>
          <w:sz w:val="21"/>
        </w:rPr>
        <w:t>的下属</w:t>
      </w:r>
    </w:p>
    <w:p>
      <w:pPr>
        <w:autoSpaceDE w:val="0"/>
        <w:autoSpaceDN w:val="0"/>
        <w:jc w:val="left"/>
        <w:spacing w:before="281"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代码</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309" locked="0" layoutInCell="1" allowOverlap="1">
                <wp:simplePos x="0" y="0"/>
                <wp:positionH relativeFrom="page">
                  <wp:posOffset>938530</wp:posOffset>
                </wp:positionH>
                <wp:positionV relativeFrom="page">
                  <wp:posOffset>805815</wp:posOffset>
                </wp:positionV>
                <wp:extent cx="5076190" cy="0"/>
                <wp:wrapNone/>
                <wp:docPr id="1337" name="133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41824;width:399.70pt;" id="133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9</w:t>
      </w:r>
      <w:r>
        <w:rPr>
          <w:rFonts w:ascii="宋体" w:hAnsi="宋体" w:cs="宋体" w:eastAsia="宋体" w:hint="ascii"/>
          <w:sz w:val="21"/>
        </w:rPr>
        <w:t>）集成电路装备物料运输调度与优化方法（申请代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8"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二、新材料领域</w:t>
      </w:r>
    </w:p>
    <w:p>
      <w:pPr>
        <w:autoSpaceDE w:val="0"/>
        <w:autoSpaceDN w:val="0"/>
        <w:jc w:val="left"/>
        <w:spacing w:before="211"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围绕辽宁特色产业及高端装备和新能源技术等对新材料的迫切需求，发展先进结构</w:t>
      </w:r>
    </w:p>
    <w:p>
      <w:pPr>
        <w:autoSpaceDE w:val="0"/>
        <w:autoSpaceDN w:val="0"/>
        <w:jc w:val="both"/>
        <w:spacing w:before="13" w:after="0" w:lineRule="exact" w:line="330"/>
        <w:ind w:right="965" w:left="966" w:firstLine="0"/>
        <w:snapToGrid w:val="0"/>
        <w:textAlignment w:val="auto"/>
        <w:tabs/>
        <w:rPr>
          <w:rFonts w:ascii="宋体" w:hAnsi="宋体" w:cs="宋体" w:eastAsia="宋体" w:hint="ascii"/>
          <w:sz w:val="21"/>
        </w:rPr>
      </w:pPr>
      <w:r>
        <w:rPr>
          <w:rFonts w:ascii="宋体" w:hAnsi="宋体" w:cs="宋体" w:eastAsia="宋体" w:hint="ascii"/>
          <w:sz w:val="21"/>
        </w:rPr>
        <w:t>材料技术，重点包括高品质钢、高温合金、高性能纤维、非晶材料、膜材料、含硼材料等，促进材料技术提升与产业升级。主要研究方向：</w:t>
      </w:r>
    </w:p>
    <w:p>
      <w:pPr>
        <w:autoSpaceDE w:val="0"/>
        <w:autoSpaceDN w:val="0"/>
        <w:jc w:val="left"/>
        <w:spacing w:before="0" w:after="0" w:lineRule="exact" w:line="330"/>
        <w:ind w:right="965"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）复合铁焦低碳炼铁炉料新技术基础研究（申请代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）超高强度汽车钢板相变行为及组织调控（申请代码</w:t>
      </w:r>
      <w:r>
        <w:rPr>
          <w:rFonts w:ascii="宋体" w:hAnsi="宋体" w:cs="宋体" w:eastAsia="宋体" w:hint="ascii"/>
          <w:sz w:val="21"/>
          <w:spacing w:val="-1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3"/>
        </w:rPr>
        <w:t xml:space="preserve"> </w:t>
      </w:r>
      <w:r>
        <w:rPr>
          <w:rFonts w:ascii="宋体" w:hAnsi="宋体" w:cs="宋体" w:eastAsia="宋体" w:hint="ascii"/>
          <w:sz w:val="21"/>
        </w:rPr>
        <w:t>选择</w:t>
      </w:r>
      <w:r>
        <w:rPr>
          <w:rFonts w:ascii="宋体" w:hAnsi="宋体" w:cs="宋体" w:eastAsia="宋体" w:hint="ascii"/>
          <w:sz w:val="21"/>
          <w:spacing w:val="-12"/>
        </w:rPr>
        <w:t xml:space="preserve">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13"/>
        </w:rPr>
        <w:t xml:space="preserve"> </w:t>
      </w:r>
      <w:r>
        <w:rPr>
          <w:rFonts w:ascii="宋体" w:hAnsi="宋体" w:cs="宋体" w:eastAsia="宋体" w:hint="ascii"/>
          <w:sz w:val="21"/>
        </w:rPr>
        <w:t>或</w:t>
      </w:r>
      <w:r>
        <w:rPr>
          <w:rFonts w:ascii="宋体" w:hAnsi="宋体" w:cs="宋体" w:eastAsia="宋体" w:hint="ascii"/>
          <w:sz w:val="21"/>
          <w:spacing w:val="-12"/>
        </w:rPr>
        <w:t xml:space="preserve"> </w:t>
      </w:r>
      <w:r>
        <w:rPr>
          <w:rFonts w:ascii="Times New Roman" w:hAnsi="Times New Roman" w:cs="Times New Roman" w:eastAsia="Times New Roman" w:hint="ascii"/>
          <w:sz w:val="21"/>
        </w:rPr>
        <w:t>E01</w:t>
      </w:r>
      <w:r>
        <w:rPr>
          <w:rFonts w:ascii="Times New Roman" w:hAnsi="Times New Roman" w:cs="Times New Roman" w:eastAsia="Times New Roman" w:hint="ascii"/>
          <w:sz w:val="21"/>
          <w:spacing w:val="-13"/>
        </w:rPr>
        <w:t xml:space="preserve"> </w:t>
      </w:r>
      <w:r>
        <w:rPr>
          <w:rFonts w:ascii="宋体" w:hAnsi="宋体" w:cs="宋体" w:eastAsia="宋体" w:hint="ascii"/>
          <w:sz w:val="21"/>
        </w:rPr>
        <w:t>的下属</w:t>
      </w:r>
    </w:p>
    <w:p>
      <w:pPr>
        <w:autoSpaceDE w:val="0"/>
        <w:autoSpaceDN w:val="0"/>
        <w:jc w:val="left"/>
        <w:spacing w:before="5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）核用含硼无机材料结构和性能调控（申请代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3" w:after="0" w:lineRule="exact" w:line="330"/>
        <w:ind w:right="965"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1"/>
        </w:rPr>
        <w:t>4</w:t>
      </w:r>
      <w:r>
        <w:rPr>
          <w:rFonts w:ascii="宋体" w:hAnsi="宋体" w:cs="宋体" w:eastAsia="宋体" w:hint="ascii"/>
          <w:sz w:val="21"/>
        </w:rPr>
        <w:t>）</w:t>
      </w:r>
      <w:r>
        <w:rPr>
          <w:rFonts w:ascii="宋体" w:hAnsi="宋体" w:cs="宋体" w:eastAsia="宋体" w:hint="ascii"/>
          <w:sz w:val="21"/>
          <w:spacing w:val="-4"/>
        </w:rPr>
        <w:t>液流电池多孔离子传导膜材料研究（申请代</w:t>
      </w:r>
      <w:r>
        <w:rPr>
          <w:rFonts w:ascii="宋体" w:hAnsi="宋体" w:cs="宋体" w:eastAsia="宋体" w:hint="ascii"/>
          <w:sz w:val="21"/>
          <w:spacing w:val="22"/>
        </w:rPr>
        <w:t>码</w:t>
      </w:r>
      <w:r>
        <w:rPr>
          <w:rFonts w:ascii="Times New Roman" w:hAnsi="Times New Roman" w:cs="Times New Roman" w:eastAsia="Times New Roman" w:hint="ascii"/>
          <w:sz w:val="21"/>
          <w:spacing w:val="46"/>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4"/>
        </w:rPr>
        <w:t>E0</w:t>
      </w:r>
      <w:r>
        <w:rPr>
          <w:rFonts w:ascii="Times New Roman" w:hAnsi="Times New Roman" w:cs="Times New Roman" w:eastAsia="Times New Roman" w:hint="ascii"/>
          <w:sz w:val="21"/>
          <w:spacing w:val="46"/>
        </w:rPr>
        <w:t>2</w:t>
      </w:r>
      <w:r>
        <w:rPr>
          <w:rFonts w:ascii="宋体" w:hAnsi="宋体" w:cs="宋体" w:eastAsia="宋体" w:hint="ascii"/>
          <w:sz w:val="21"/>
          <w:spacing w:val="22"/>
        </w:rPr>
        <w:t>或</w:t>
      </w:r>
      <w:r>
        <w:rPr>
          <w:rFonts w:ascii="Times New Roman" w:hAnsi="Times New Roman" w:cs="Times New Roman" w:eastAsia="Times New Roman" w:hint="ascii"/>
          <w:sz w:val="21"/>
          <w:spacing w:val="-4"/>
        </w:rPr>
        <w:t>E0</w:t>
      </w:r>
      <w:r>
        <w:rPr>
          <w:rFonts w:ascii="Times New Roman" w:hAnsi="Times New Roman" w:cs="Times New Roman" w:eastAsia="Times New Roman" w:hint="ascii"/>
          <w:sz w:val="21"/>
          <w:spacing w:val="46"/>
        </w:rPr>
        <w:t>3</w:t>
      </w:r>
      <w:r>
        <w:rPr>
          <w:rFonts w:ascii="宋体" w:hAnsi="宋体" w:cs="宋体" w:eastAsia="宋体" w:hint="ascii"/>
          <w:sz w:val="21"/>
          <w:spacing w:val="-4"/>
        </w:rPr>
        <w:t>的下属代码</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）非晶复合材料流变成形与动态力学行为（申请代码</w:t>
      </w:r>
      <w:r>
        <w:rPr>
          <w:rFonts w:ascii="宋体" w:hAnsi="宋体" w:cs="宋体" w:eastAsia="宋体" w:hint="ascii"/>
          <w:sz w:val="21"/>
          <w:spacing w:val="-1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3"/>
        </w:rPr>
        <w:t xml:space="preserve"> </w:t>
      </w:r>
      <w:r>
        <w:rPr>
          <w:rFonts w:ascii="宋体" w:hAnsi="宋体" w:cs="宋体" w:eastAsia="宋体" w:hint="ascii"/>
          <w:sz w:val="21"/>
        </w:rPr>
        <w:t>选择</w:t>
      </w:r>
      <w:r>
        <w:rPr>
          <w:rFonts w:ascii="宋体" w:hAnsi="宋体" w:cs="宋体" w:eastAsia="宋体" w:hint="ascii"/>
          <w:sz w:val="21"/>
          <w:spacing w:val="-12"/>
        </w:rPr>
        <w:t xml:space="preserve"> </w:t>
      </w:r>
      <w:r>
        <w:rPr>
          <w:rFonts w:ascii="Times New Roman" w:hAnsi="Times New Roman" w:cs="Times New Roman" w:eastAsia="Times New Roman" w:hint="ascii"/>
          <w:sz w:val="21"/>
        </w:rPr>
        <w:t>E01</w:t>
      </w:r>
      <w:r>
        <w:rPr>
          <w:rFonts w:ascii="Times New Roman" w:hAnsi="Times New Roman" w:cs="Times New Roman" w:eastAsia="Times New Roman" w:hint="ascii"/>
          <w:sz w:val="21"/>
          <w:spacing w:val="-13"/>
        </w:rPr>
        <w:t xml:space="preserve"> </w:t>
      </w:r>
      <w:r>
        <w:rPr>
          <w:rFonts w:ascii="宋体" w:hAnsi="宋体" w:cs="宋体" w:eastAsia="宋体" w:hint="ascii"/>
          <w:sz w:val="21"/>
        </w:rPr>
        <w:t>或</w:t>
      </w:r>
      <w:r>
        <w:rPr>
          <w:rFonts w:ascii="宋体" w:hAnsi="宋体" w:cs="宋体" w:eastAsia="宋体" w:hint="ascii"/>
          <w:sz w:val="21"/>
          <w:spacing w:val="-12"/>
        </w:rPr>
        <w:t xml:space="preserve"> </w:t>
      </w:r>
      <w:r>
        <w:rPr>
          <w:rFonts w:ascii="Times New Roman" w:hAnsi="Times New Roman" w:cs="Times New Roman" w:eastAsia="Times New Roman" w:hint="ascii"/>
          <w:sz w:val="21"/>
        </w:rPr>
        <w:t>E02</w:t>
      </w:r>
      <w:r>
        <w:rPr>
          <w:rFonts w:ascii="Times New Roman" w:hAnsi="Times New Roman" w:cs="Times New Roman" w:eastAsia="Times New Roman" w:hint="ascii"/>
          <w:sz w:val="21"/>
          <w:spacing w:val="-13"/>
        </w:rPr>
        <w:t xml:space="preserve"> </w:t>
      </w:r>
      <w:r>
        <w:rPr>
          <w:rFonts w:ascii="宋体" w:hAnsi="宋体" w:cs="宋体" w:eastAsia="宋体" w:hint="ascii"/>
          <w:sz w:val="21"/>
        </w:rPr>
        <w:t>的下属</w:t>
      </w:r>
    </w:p>
    <w:p>
      <w:pPr>
        <w:autoSpaceDE w:val="0"/>
        <w:autoSpaceDN w:val="0"/>
        <w:jc w:val="left"/>
        <w:spacing w:before="5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6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）超薄晶圆划片新技术研究（申请代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3" w:after="0" w:lineRule="exact" w:line="330"/>
        <w:ind w:right="983" w:left="966" w:firstLine="316"/>
        <w:snapToGrid w:val="0"/>
        <w:textAlignment w:val="auto"/>
        <w:tabs/>
        <w:rPr>
          <w:rFonts w:ascii="宋体" w:hAnsi="宋体" w:cs="宋体" w:eastAsia="宋体" w:hint="ascii"/>
          <w:sz w:val="21"/>
        </w:rPr>
      </w:pPr>
      <w:r>
        <w:rPr>
          <w:rFonts w:ascii="宋体" w:hAnsi="宋体" w:cs="宋体" w:eastAsia="宋体" w:hint="ascii"/>
          <w:sz w:val="21"/>
          <w:spacing w:val="-3"/>
        </w:rPr>
        <w:t>（</w:t>
      </w:r>
      <w:r>
        <w:rPr>
          <w:rFonts w:ascii="Times New Roman" w:hAnsi="Times New Roman" w:cs="Times New Roman" w:eastAsia="Times New Roman" w:hint="ascii"/>
          <w:sz w:val="21"/>
        </w:rPr>
        <w:t>7</w:t>
      </w:r>
      <w:r>
        <w:rPr>
          <w:rFonts w:ascii="宋体" w:hAnsi="宋体" w:cs="宋体" w:eastAsia="宋体" w:hint="ascii"/>
          <w:sz w:val="21"/>
          <w:spacing w:val="-3"/>
        </w:rPr>
        <w:t>）</w:t>
      </w:r>
      <w:r>
        <w:rPr>
          <w:rFonts w:ascii="宋体" w:hAnsi="宋体" w:cs="宋体" w:eastAsia="宋体" w:hint="ascii"/>
          <w:sz w:val="21"/>
        </w:rPr>
        <w:t>生物基聚酰</w:t>
      </w:r>
      <w:r>
        <w:rPr>
          <w:rFonts w:ascii="宋体" w:hAnsi="宋体" w:cs="宋体" w:eastAsia="宋体" w:hint="ascii"/>
          <w:sz w:val="21"/>
          <w:spacing w:val="-3"/>
        </w:rPr>
        <w:t>胺</w:t>
      </w:r>
      <w:r>
        <w:rPr>
          <w:rFonts w:ascii="宋体" w:hAnsi="宋体" w:cs="宋体" w:eastAsia="宋体" w:hint="ascii"/>
          <w:sz w:val="21"/>
          <w:spacing w:val="-17"/>
        </w:rPr>
        <w:t xml:space="preserve"> </w:t>
      </w:r>
      <w:r>
        <w:rPr>
          <w:rFonts w:ascii="Times New Roman" w:hAnsi="Times New Roman" w:cs="Times New Roman" w:eastAsia="Times New Roman" w:hint="ascii"/>
          <w:sz w:val="21"/>
        </w:rPr>
        <w:t>56</w:t>
      </w:r>
      <w:r>
        <w:rPr>
          <w:rFonts w:ascii="Times New Roman" w:hAnsi="Times New Roman" w:cs="Times New Roman" w:eastAsia="Times New Roman" w:hint="ascii"/>
          <w:sz w:val="21"/>
          <w:spacing w:val="-19"/>
        </w:rPr>
        <w:t xml:space="preserve"> </w:t>
      </w:r>
      <w:r>
        <w:rPr>
          <w:rFonts w:ascii="宋体" w:hAnsi="宋体" w:cs="宋体" w:eastAsia="宋体" w:hint="ascii"/>
          <w:sz w:val="21"/>
        </w:rPr>
        <w:t>纤维聚集态结构与性能研究（申请代</w:t>
      </w:r>
      <w:r>
        <w:rPr>
          <w:rFonts w:ascii="宋体" w:hAnsi="宋体" w:cs="宋体" w:eastAsia="宋体" w:hint="ascii"/>
          <w:sz w:val="21"/>
          <w:spacing w:val="-3"/>
        </w:rPr>
        <w:t>码</w:t>
      </w:r>
      <w:r>
        <w:rPr>
          <w:rFonts w:ascii="宋体" w:hAnsi="宋体" w:cs="宋体" w:eastAsia="宋体" w:hint="ascii"/>
          <w:sz w:val="21"/>
          <w:spacing w:val="-17"/>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9"/>
        </w:rPr>
        <w:t xml:space="preserve"> </w:t>
      </w:r>
      <w:r>
        <w:rPr>
          <w:rFonts w:ascii="宋体" w:hAnsi="宋体" w:cs="宋体" w:eastAsia="宋体" w:hint="ascii"/>
          <w:sz w:val="21"/>
        </w:rPr>
        <w:t>选</w:t>
      </w:r>
      <w:r>
        <w:rPr>
          <w:rFonts w:ascii="宋体" w:hAnsi="宋体" w:cs="宋体" w:eastAsia="宋体" w:hint="ascii"/>
          <w:sz w:val="21"/>
          <w:spacing w:val="-3"/>
        </w:rPr>
        <w:t>择</w:t>
      </w:r>
      <w:r>
        <w:rPr>
          <w:rFonts w:ascii="宋体" w:hAnsi="宋体" w:cs="宋体" w:eastAsia="宋体" w:hint="ascii"/>
          <w:sz w:val="21"/>
          <w:spacing w:val="-17"/>
        </w:rPr>
        <w:t xml:space="preserve"> </w:t>
      </w:r>
      <w:r>
        <w:rPr>
          <w:rFonts w:ascii="Times New Roman" w:hAnsi="Times New Roman" w:cs="Times New Roman" w:eastAsia="Times New Roman" w:hint="ascii"/>
          <w:sz w:val="21"/>
        </w:rPr>
        <w:t>E03</w:t>
      </w:r>
      <w:r>
        <w:rPr>
          <w:rFonts w:ascii="Times New Roman" w:hAnsi="Times New Roman" w:cs="Times New Roman" w:eastAsia="Times New Roman" w:hint="ascii"/>
          <w:sz w:val="21"/>
          <w:spacing w:val="-19"/>
        </w:rPr>
        <w:t xml:space="preserve"> </w:t>
      </w:r>
      <w:r>
        <w:rPr>
          <w:rFonts w:ascii="宋体" w:hAnsi="宋体" w:cs="宋体" w:eastAsia="宋体" w:hint="ascii"/>
          <w:sz w:val="21"/>
        </w:rPr>
        <w:t>的下</w:t>
      </w:r>
      <w:r>
        <w:rPr>
          <w:rFonts w:ascii="宋体" w:hAnsi="宋体" w:cs="宋体" w:eastAsia="宋体" w:hint="ascii"/>
          <w:sz w:val="21"/>
          <w:spacing w:val="-6"/>
        </w:rPr>
        <w:t>属</w:t>
      </w:r>
      <w:r>
        <w:rPr>
          <w:rFonts w:ascii="宋体" w:hAnsi="宋体" w:cs="宋体" w:eastAsia="宋体" w:hint="ascii"/>
          <w:sz w:val="21"/>
        </w:rPr>
        <w:t xml:space="preserve"> </w:t>
      </w:r>
      <w:r>
        <w:rPr>
          <w:rFonts w:ascii="宋体" w:hAnsi="宋体" w:cs="宋体" w:eastAsia="宋体" w:hint="ascii"/>
          <w:sz w:val="21"/>
          <w:spacing w:val="3"/>
        </w:rPr>
        <w:t>代码</w:t>
      </w:r>
      <w:r>
        <w:rPr>
          <w:rFonts w:ascii="宋体" w:hAnsi="宋体" w:cs="宋体" w:eastAsia="宋体" w:hint="ascii"/>
          <w:sz w:val="21"/>
          <w:spacing w:val="-51"/>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三、信息技术领域</w:t>
      </w:r>
    </w:p>
    <w:p>
      <w:pPr>
        <w:autoSpaceDE w:val="0"/>
        <w:autoSpaceDN w:val="0"/>
        <w:jc w:val="both"/>
        <w:spacing w:before="158" w:after="0" w:lineRule="exact" w:line="330"/>
        <w:ind w:right="965"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围</w:t>
      </w:r>
      <w:r>
        <w:rPr>
          <w:rFonts w:ascii="宋体" w:hAnsi="宋体" w:cs="宋体" w:eastAsia="宋体" w:hint="ascii"/>
          <w:sz w:val="21"/>
          <w:spacing w:val="-2"/>
        </w:rPr>
        <w:t>绕面向智能制造的认知无线网、车联网和工</w:t>
      </w:r>
      <w:r>
        <w:rPr>
          <w:rFonts w:ascii="宋体" w:hAnsi="宋体" w:cs="宋体" w:eastAsia="宋体" w:hint="ascii"/>
          <w:sz w:val="21"/>
          <w:spacing w:val="-1"/>
        </w:rPr>
        <w:t>业信息安全等辽宁省信息产业发展需</w:t>
      </w:r>
      <w:r>
        <w:rPr>
          <w:rFonts w:ascii="宋体" w:hAnsi="宋体" w:cs="宋体" w:eastAsia="宋体" w:hint="ascii"/>
          <w:sz w:val="21"/>
        </w:rPr>
        <w:t xml:space="preserve"> </w:t>
      </w:r>
      <w:r>
        <w:rPr>
          <w:rFonts w:ascii="宋体" w:hAnsi="宋体" w:cs="宋体" w:eastAsia="宋体" w:hint="ascii"/>
          <w:sz w:val="21"/>
          <w:spacing w:val="-5"/>
        </w:rPr>
        <w:t>求，</w:t>
      </w:r>
      <w:r>
        <w:rPr>
          <w:rFonts w:ascii="宋体" w:hAnsi="宋体" w:cs="宋体" w:eastAsia="宋体" w:hint="ascii"/>
          <w:sz w:val="21"/>
          <w:spacing w:val="-7"/>
        </w:rPr>
        <w:t>开展射</w:t>
      </w:r>
      <w:r>
        <w:rPr>
          <w:rFonts w:ascii="宋体" w:hAnsi="宋体" w:cs="宋体" w:eastAsia="宋体" w:hint="ascii"/>
          <w:sz w:val="21"/>
          <w:spacing w:val="-8"/>
        </w:rPr>
        <w:t>频</w:t>
      </w:r>
      <w:r>
        <w:rPr>
          <w:rFonts w:ascii="宋体" w:hAnsi="宋体" w:cs="宋体" w:eastAsia="宋体" w:hint="ascii"/>
          <w:sz w:val="21"/>
          <w:spacing w:val="-7"/>
        </w:rPr>
        <w:t>信道资源动态认知、移动环境与多模态网络交互机理、</w:t>
      </w:r>
      <w:r>
        <w:rPr>
          <w:rFonts w:ascii="宋体" w:hAnsi="宋体" w:cs="宋体" w:eastAsia="宋体" w:hint="ascii"/>
          <w:sz w:val="21"/>
          <w:spacing w:val="-6"/>
        </w:rPr>
        <w:t>多维度工业信息安全</w:t>
      </w:r>
      <w:r>
        <w:rPr>
          <w:rFonts w:ascii="宋体" w:hAnsi="宋体" w:cs="宋体" w:eastAsia="宋体" w:hint="ascii"/>
          <w:sz w:val="21"/>
          <w:spacing w:val="-1"/>
        </w:rPr>
        <w:t>管</w:t>
      </w:r>
      <w:r>
        <w:rPr>
          <w:rFonts w:ascii="宋体" w:hAnsi="宋体" w:cs="宋体" w:eastAsia="宋体" w:hint="ascii"/>
          <w:sz w:val="21"/>
        </w:rPr>
        <w:t xml:space="preserve"> </w:t>
      </w:r>
      <w:r>
        <w:rPr>
          <w:rFonts w:ascii="宋体" w:hAnsi="宋体" w:cs="宋体" w:eastAsia="宋体" w:hint="ascii"/>
          <w:sz w:val="21"/>
          <w:spacing w:val="-6"/>
        </w:rPr>
        <w:t>控等基础理论和关键技术研究，提升辽宁省工业互联网的自主创新能力。主要研究方向为</w:t>
      </w:r>
      <w:r>
        <w:rPr>
          <w:rFonts w:ascii="宋体" w:hAnsi="宋体" w:cs="宋体" w:eastAsia="宋体" w:hint="ascii"/>
          <w:sz w:val="21"/>
        </w:rPr>
        <w:t>：</w:t>
      </w:r>
    </w:p>
    <w:p>
      <w:pPr>
        <w:autoSpaceDE w:val="0"/>
        <w:autoSpaceDN w:val="0"/>
        <w:jc w:val="both"/>
        <w:spacing w:before="0" w:after="0" w:lineRule="exact" w:line="330"/>
        <w:ind w:right="1124"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）制造过程</w:t>
      </w:r>
      <w:r>
        <w:rPr>
          <w:rFonts w:ascii="宋体" w:hAnsi="宋体" w:cs="宋体" w:eastAsia="宋体" w:hint="ascii"/>
          <w:sz w:val="21"/>
        </w:rPr>
        <w:t>与物流的认知无线网络关键技术研究（申请代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F010208</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）网联汽车群体智能决策理论与方法研究（申请代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F0308</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5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）多模态医学影像识别分析方法与关键技术研究（申请代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F0125</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3" w:after="0" w:lineRule="exact" w:line="330"/>
        <w:ind w:right="988" w:left="1281" w:firstLine="0"/>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4</w:t>
      </w:r>
      <w:r>
        <w:rPr>
          <w:rFonts w:ascii="宋体" w:hAnsi="宋体" w:cs="宋体" w:eastAsia="宋体" w:hint="ascii"/>
          <w:sz w:val="21"/>
          <w:spacing w:val="-2"/>
        </w:rPr>
        <w:t>）</w:t>
      </w:r>
      <w:r>
        <w:rPr>
          <w:rFonts w:ascii="宋体" w:hAnsi="宋体" w:cs="宋体" w:eastAsia="宋体" w:hint="ascii"/>
          <w:sz w:val="21"/>
          <w:spacing w:val="-9"/>
        </w:rPr>
        <w:t>城市智能交通与区域物流系统调度新方法</w:t>
      </w:r>
      <w:r>
        <w:rPr>
          <w:rFonts w:ascii="宋体" w:hAnsi="宋体" w:cs="宋体" w:eastAsia="宋体" w:hint="ascii"/>
          <w:sz w:val="21"/>
          <w:spacing w:val="-8"/>
        </w:rPr>
        <w:t>及新模式研究（申请代</w:t>
      </w:r>
      <w:r>
        <w:rPr>
          <w:rFonts w:ascii="宋体" w:hAnsi="宋体" w:cs="宋体" w:eastAsia="宋体" w:hint="ascii"/>
          <w:sz w:val="21"/>
          <w:spacing w:val="17"/>
        </w:rPr>
        <w:t>码</w:t>
      </w:r>
      <w:r>
        <w:rPr>
          <w:rFonts w:ascii="Times New Roman" w:hAnsi="Times New Roman" w:cs="Times New Roman" w:eastAsia="Times New Roman" w:hint="ascii"/>
          <w:sz w:val="21"/>
          <w:spacing w:val="40"/>
        </w:rPr>
        <w:t>1</w:t>
      </w:r>
      <w:r>
        <w:rPr>
          <w:rFonts w:ascii="宋体" w:hAnsi="宋体" w:cs="宋体" w:eastAsia="宋体" w:hint="ascii"/>
          <w:sz w:val="21"/>
          <w:spacing w:val="-8"/>
        </w:rPr>
        <w:t>选</w:t>
      </w:r>
      <w:r>
        <w:rPr>
          <w:rFonts w:ascii="宋体" w:hAnsi="宋体" w:cs="宋体" w:eastAsia="宋体" w:hint="ascii"/>
          <w:sz w:val="21"/>
          <w:spacing w:val="17"/>
        </w:rPr>
        <w:t>择</w:t>
      </w:r>
      <w:r>
        <w:rPr>
          <w:rFonts w:ascii="Times New Roman" w:hAnsi="Times New Roman" w:cs="Times New Roman" w:eastAsia="Times New Roman" w:hint="ascii"/>
          <w:sz w:val="21"/>
          <w:spacing w:val="-8"/>
        </w:rPr>
        <w:t>F0304</w:t>
      </w:r>
      <w:r>
        <w:rPr>
          <w:rFonts w:ascii="宋体" w:hAnsi="宋体" w:cs="宋体" w:eastAsia="宋体" w:hint="ascii"/>
          <w:sz w:val="21"/>
          <w:spacing w:val="-57"/>
        </w:rPr>
        <w:t>）</w:t>
      </w:r>
      <w:r>
        <w:rPr>
          <w:rFonts w:ascii="宋体" w:hAnsi="宋体" w:cs="宋体" w:eastAsia="宋体" w:hint="ascii"/>
          <w:sz w:val="21"/>
          <w:spacing w:val="-1"/>
        </w:rPr>
        <w:t>；</w:t>
      </w:r>
      <w:r>
        <w:rPr>
          <w:rFonts w:ascii="宋体" w:hAnsi="宋体" w:cs="宋体" w:eastAsia="宋体" w:hint="ascii"/>
          <w:sz w:val="21"/>
        </w:rPr>
        <w:t xml:space="preserve"> （</w:t>
      </w:r>
      <w:r>
        <w:rPr>
          <w:rFonts w:ascii="Times New Roman" w:hAnsi="Times New Roman" w:cs="Times New Roman" w:eastAsia="Times New Roman" w:hint="ascii"/>
          <w:sz w:val="21"/>
        </w:rPr>
        <w:t>5</w:t>
      </w:r>
      <w:r>
        <w:rPr>
          <w:rFonts w:ascii="宋体" w:hAnsi="宋体" w:cs="宋体" w:eastAsia="宋体" w:hint="ascii"/>
          <w:sz w:val="21"/>
        </w:rPr>
        <w:t>）协同翻译方法及关键技术研究（申请代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F0604</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30"/>
        <w:ind w:right="965"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）机床业工程设计与产品数据外包管理基础理论与关键技术研究（申请代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F0308</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四、农业领域</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主要研究方向为：</w:t>
      </w:r>
    </w:p>
    <w:p>
      <w:pPr>
        <w:autoSpaceDE w:val="0"/>
        <w:autoSpaceDN w:val="0"/>
        <w:jc w:val="left"/>
        <w:spacing w:before="6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）北方海区水产动物病害发生机制研究（申请代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C1906</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3" w:after="0" w:lineRule="exact" w:line="330"/>
        <w:ind w:right="1157"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2"/>
        </w:rPr>
        <w:t>2</w:t>
      </w:r>
      <w:r>
        <w:rPr>
          <w:rFonts w:ascii="宋体" w:hAnsi="宋体" w:cs="宋体" w:eastAsia="宋体" w:hint="ascii"/>
          <w:sz w:val="21"/>
          <w:spacing w:val="-1"/>
        </w:rPr>
        <w:t>）</w:t>
      </w:r>
      <w:r>
        <w:rPr>
          <w:rFonts w:ascii="宋体" w:hAnsi="宋体" w:cs="宋体" w:eastAsia="宋体" w:hint="ascii"/>
          <w:sz w:val="21"/>
          <w:spacing w:val="-5"/>
        </w:rPr>
        <w:t>畜禽重</w:t>
      </w:r>
      <w:r>
        <w:rPr>
          <w:rFonts w:ascii="宋体" w:hAnsi="宋体" w:cs="宋体" w:eastAsia="宋体" w:hint="ascii"/>
          <w:sz w:val="21"/>
          <w:spacing w:val="-4"/>
        </w:rPr>
        <w:t>要疫病流行病学、发病机制及防治基础研究（申请代</w:t>
      </w:r>
      <w:r>
        <w:rPr>
          <w:rFonts w:ascii="宋体" w:hAnsi="宋体" w:cs="宋体" w:eastAsia="宋体" w:hint="ascii"/>
          <w:sz w:val="21"/>
          <w:spacing w:val="22"/>
        </w:rPr>
        <w:t>码</w:t>
      </w:r>
      <w:r>
        <w:rPr>
          <w:rFonts w:ascii="Times New Roman" w:hAnsi="Times New Roman" w:cs="Times New Roman" w:eastAsia="Times New Roman" w:hint="ascii"/>
          <w:sz w:val="21"/>
          <w:spacing w:val="45"/>
        </w:rPr>
        <w:t>1</w:t>
      </w:r>
      <w:r>
        <w:rPr>
          <w:rFonts w:ascii="宋体" w:hAnsi="宋体" w:cs="宋体" w:eastAsia="宋体" w:hint="ascii"/>
          <w:sz w:val="21"/>
          <w:spacing w:val="-4"/>
        </w:rPr>
        <w:t>选</w:t>
      </w:r>
      <w:r>
        <w:rPr>
          <w:rFonts w:ascii="宋体" w:hAnsi="宋体" w:cs="宋体" w:eastAsia="宋体" w:hint="ascii"/>
          <w:sz w:val="21"/>
          <w:spacing w:val="22"/>
        </w:rPr>
        <w:t>择</w:t>
      </w:r>
      <w:r>
        <w:rPr>
          <w:rFonts w:ascii="Times New Roman" w:hAnsi="Times New Roman" w:cs="Times New Roman" w:eastAsia="Times New Roman" w:hint="ascii"/>
          <w:sz w:val="21"/>
          <w:spacing w:val="-4"/>
        </w:rPr>
        <w:t>C1805</w:t>
      </w:r>
      <w:r>
        <w:rPr>
          <w:rFonts w:ascii="宋体" w:hAnsi="宋体" w:cs="宋体" w:eastAsia="宋体" w:hint="ascii"/>
          <w:sz w:val="21"/>
          <w:spacing w:val="-55"/>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）辽宁森林生物多样性及其利用的基础研究（申请代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C031201</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30"/>
        <w:ind w:right="1055"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2"/>
        </w:rPr>
        <w:t>4</w:t>
      </w:r>
      <w:r>
        <w:rPr>
          <w:rFonts w:ascii="宋体" w:hAnsi="宋体" w:cs="宋体" w:eastAsia="宋体" w:hint="ascii"/>
          <w:sz w:val="21"/>
          <w:spacing w:val="-1"/>
        </w:rPr>
        <w:t>）</w:t>
      </w:r>
      <w:r>
        <w:rPr>
          <w:rFonts w:ascii="宋体" w:hAnsi="宋体" w:cs="宋体" w:eastAsia="宋体" w:hint="ascii"/>
          <w:sz w:val="21"/>
          <w:spacing w:val="-4"/>
        </w:rPr>
        <w:t>辽东湾</w:t>
      </w:r>
      <w:r>
        <w:rPr>
          <w:rFonts w:ascii="宋体" w:hAnsi="宋体" w:cs="宋体" w:eastAsia="宋体" w:hint="ascii"/>
          <w:sz w:val="21"/>
          <w:spacing w:val="-3"/>
        </w:rPr>
        <w:t>海产品贮藏与加工的基础研究（申请代</w:t>
      </w:r>
      <w:r>
        <w:rPr>
          <w:rFonts w:ascii="宋体" w:hAnsi="宋体" w:cs="宋体" w:eastAsia="宋体" w:hint="ascii"/>
          <w:sz w:val="21"/>
          <w:spacing w:val="22"/>
        </w:rPr>
        <w:t>码</w:t>
      </w:r>
      <w:r>
        <w:rPr>
          <w:rFonts w:ascii="Times New Roman" w:hAnsi="Times New Roman" w:cs="Times New Roman" w:eastAsia="Times New Roman" w:hint="ascii"/>
          <w:sz w:val="21"/>
          <w:spacing w:val="47"/>
        </w:rPr>
        <w:t>1</w:t>
      </w:r>
      <w:r>
        <w:rPr>
          <w:rFonts w:ascii="宋体" w:hAnsi="宋体" w:cs="宋体" w:eastAsia="宋体" w:hint="ascii"/>
          <w:sz w:val="21"/>
          <w:spacing w:val="-3"/>
        </w:rPr>
        <w:t>选</w:t>
      </w:r>
      <w:r>
        <w:rPr>
          <w:rFonts w:ascii="宋体" w:hAnsi="宋体" w:cs="宋体" w:eastAsia="宋体" w:hint="ascii"/>
          <w:sz w:val="21"/>
          <w:spacing w:val="23"/>
        </w:rPr>
        <w:t>择</w:t>
      </w:r>
      <w:r>
        <w:rPr>
          <w:rFonts w:ascii="Times New Roman" w:hAnsi="Times New Roman" w:cs="Times New Roman" w:eastAsia="Times New Roman" w:hint="ascii"/>
          <w:sz w:val="21"/>
          <w:spacing w:val="-3"/>
        </w:rPr>
        <w:t>C2</w:t>
      </w:r>
      <w:r>
        <w:rPr>
          <w:rFonts w:ascii="Times New Roman" w:hAnsi="Times New Roman" w:cs="Times New Roman" w:eastAsia="Times New Roman" w:hint="ascii"/>
          <w:sz w:val="21"/>
          <w:spacing w:val="-2"/>
        </w:rPr>
        <w:t>0</w:t>
      </w:r>
      <w:r>
        <w:rPr>
          <w:rFonts w:ascii="Times New Roman" w:hAnsi="Times New Roman" w:cs="Times New Roman" w:eastAsia="Times New Roman" w:hint="ascii"/>
          <w:sz w:val="21"/>
          <w:spacing w:val="-3"/>
        </w:rPr>
        <w:t>050</w:t>
      </w:r>
      <w:r>
        <w:rPr>
          <w:rFonts w:ascii="Times New Roman" w:hAnsi="Times New Roman" w:cs="Times New Roman" w:eastAsia="Times New Roman" w:hint="ascii"/>
          <w:sz w:val="21"/>
          <w:spacing w:val="47"/>
        </w:rPr>
        <w:t>3</w:t>
      </w:r>
      <w:r>
        <w:rPr>
          <w:rFonts w:ascii="宋体" w:hAnsi="宋体" w:cs="宋体" w:eastAsia="宋体" w:hint="ascii"/>
          <w:sz w:val="21"/>
          <w:spacing w:val="22"/>
        </w:rPr>
        <w:t>或</w:t>
      </w:r>
      <w:r>
        <w:rPr>
          <w:rFonts w:ascii="Times New Roman" w:hAnsi="Times New Roman" w:cs="Times New Roman" w:eastAsia="Times New Roman" w:hint="ascii"/>
          <w:sz w:val="21"/>
          <w:spacing w:val="-3"/>
        </w:rPr>
        <w:t>C20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3"/>
        </w:rPr>
        <w:t>603</w:t>
      </w:r>
      <w:r>
        <w:rPr>
          <w:rFonts w:ascii="宋体" w:hAnsi="宋体" w:cs="宋体" w:eastAsia="宋体" w:hint="ascii"/>
          <w:sz w:val="21"/>
          <w:spacing w:val="-54"/>
        </w:rPr>
        <w:t>）</w:t>
      </w: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）玉米适宜机械收获的重要性状遗传基础研究（申请代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C130403</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7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42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r>
        <w:rPr>
          <w:rFonts w:ascii="宋体" w:hAnsi="宋体" w:cs="宋体" w:eastAsia="宋体" w:hint="ascii"/>
        </w:rPr>
        <mc:AlternateContent>
          <mc:Choice Requires="wps">
            <w:drawing>
              <wp:anchor distL="0" distR="0" distT="0" distB="0" simplePos="0" behindDoc="1" relativeHeight="310" locked="0" layoutInCell="1" allowOverlap="1">
                <wp:simplePos x="0" y="0"/>
                <wp:positionH relativeFrom="page">
                  <wp:posOffset>938530</wp:posOffset>
                </wp:positionH>
                <wp:positionV relativeFrom="page">
                  <wp:posOffset>819150</wp:posOffset>
                </wp:positionV>
                <wp:extent cx="5076190" cy="0"/>
                <wp:wrapNone/>
                <wp:docPr id="1338" name="133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40800;width:399.70pt;" id="133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20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3" w:after="0" w:lineRule="exact" w:line="319"/>
        <w:ind w:right="964"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）申请书资助类别选择“联合基金项目</w:t>
      </w:r>
      <w:r>
        <w:rPr>
          <w:rFonts w:ascii="宋体" w:hAnsi="宋体" w:cs="宋体" w:eastAsia="宋体" w:hint="ascii"/>
          <w:sz w:val="21"/>
          <w:spacing w:val="-52"/>
        </w:rPr>
        <w:t>”</w:t>
      </w:r>
      <w:r>
        <w:rPr>
          <w:rFonts w:ascii="宋体" w:hAnsi="宋体" w:cs="宋体" w:eastAsia="宋体" w:hint="ascii"/>
          <w:sz w:val="21"/>
        </w:rPr>
        <w:t>，亚类说明选择“重点支持项目</w:t>
      </w:r>
      <w:r>
        <w:rPr>
          <w:rFonts w:ascii="宋体" w:hAnsi="宋体" w:cs="宋体" w:eastAsia="宋体" w:hint="ascii"/>
          <w:sz w:val="21"/>
          <w:spacing w:val="-52"/>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辽宁联合基金</w:t>
      </w:r>
      <w:r>
        <w:rPr>
          <w:rFonts w:ascii="宋体" w:hAnsi="宋体" w:cs="宋体" w:eastAsia="宋体" w:hint="ascii"/>
          <w:sz w:val="21"/>
          <w:spacing w:val="-52"/>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必须按本《指南》要求选择。</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）本联合基金面向全国，鼓励申请人与辽宁省境内具有一定研究实力和研究条件</w:t>
      </w:r>
    </w:p>
    <w:p>
      <w:pPr>
        <w:autoSpaceDE w:val="0"/>
        <w:autoSpaceDN w:val="0"/>
        <w:jc w:val="both"/>
        <w:spacing w:before="13" w:after="0" w:lineRule="exact" w:line="319"/>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的高等院校或研究机构开展合作研究。对于合作研究项目，应当在申请书中明确合作各方的合作内容、主要分工等。</w:t>
      </w:r>
    </w:p>
    <w:p>
      <w:pPr>
        <w:autoSpaceDE w:val="0"/>
        <w:autoSpaceDN w:val="0"/>
        <w:jc w:val="left"/>
        <w:spacing w:before="4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3" w:after="0" w:lineRule="exact" w:line="319"/>
        <w:ind w:right="964"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rPr>
        <w:t>研究内容和目标等由申请人提出，要求申请人按照重点支持项目申请书撰写提纲撰写申请书。如果申请人已经承担与本联合基金相关的国家其他科技计划项目，应当在申请书正文的“研究基础与工作条件”部分论述申请项目与其他相关项目的区别与联系。</w:t>
      </w:r>
      <w:rPr>
        <w:rFonts w:ascii="宋体" w:hAnsi="宋体" w:cs="宋体" w:eastAsia="宋体" w:hint="ascii"/>
        <w:sz w:val="21"/>
      </w:rPr>
    </w:p>
    <w:p>
      <w:pPr>
        <w:autoSpaceDE w:val="0"/>
        <w:autoSpaceDN w:val="0"/>
        <w:jc w:val="left"/>
        <w:spacing w:before="167"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国家自然科学基金委员会计划局</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57"/>
        </w:rPr>
        <w:t xml:space="preserve"> </w:t>
      </w:r>
      <w:r>
        <w:rPr>
          <w:rFonts w:ascii="宋体" w:hAnsi="宋体" w:cs="宋体" w:eastAsia="宋体" w:hint="ascii"/>
          <w:sz w:val="21"/>
        </w:rPr>
        <w:t>址：北京市海淀区双清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57"/>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9"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人：雷</w:t>
      </w:r>
      <w:r>
        <w:rPr>
          <w:rFonts w:ascii="宋体" w:hAnsi="宋体" w:cs="宋体" w:eastAsia="宋体" w:hint="ascii"/>
          <w:sz w:val="21"/>
          <w:spacing w:val="53"/>
        </w:rPr>
        <w:t xml:space="preserve"> </w:t>
      </w:r>
      <w:r>
        <w:rPr>
          <w:rFonts w:ascii="宋体" w:hAnsi="宋体" w:cs="宋体" w:eastAsia="宋体" w:hint="ascii"/>
          <w:sz w:val="21"/>
        </w:rPr>
        <w:t>蓉</w:t>
      </w:r>
      <w:r>
        <w:rPr>
          <w:rFonts w:ascii="宋体" w:hAnsi="宋体" w:cs="宋体" w:eastAsia="宋体" w:hint="ascii"/>
          <w:sz w:val="21"/>
          <w:spacing w:val="52"/>
        </w:rPr>
        <w:t xml:space="preserve"> </w:t>
      </w:r>
      <w:r>
        <w:rPr>
          <w:rFonts w:ascii="宋体" w:hAnsi="宋体" w:cs="宋体" w:eastAsia="宋体" w:hint="ascii"/>
          <w:sz w:val="21"/>
        </w:rPr>
        <w:t>王</w:t>
      </w:r>
      <w:r>
        <w:rPr>
          <w:rFonts w:ascii="宋体" w:hAnsi="宋体" w:cs="宋体" w:eastAsia="宋体" w:hint="ascii"/>
          <w:sz w:val="21"/>
          <w:spacing w:val="52"/>
        </w:rPr>
        <w:t xml:space="preserve"> </w:t>
      </w:r>
      <w:r>
        <w:rPr>
          <w:rFonts w:ascii="宋体" w:hAnsi="宋体" w:cs="宋体" w:eastAsia="宋体" w:hint="ascii"/>
          <w:sz w:val="21"/>
        </w:rPr>
        <w:t>岩</w:t>
      </w:r>
    </w:p>
    <w:p>
      <w:pPr>
        <w:autoSpaceDE w:val="0"/>
        <w:autoSpaceDN w:val="0"/>
        <w:jc w:val="both"/>
        <w:spacing w:before="10" w:after="0" w:lineRule="exact" w:line="312"/>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55"/>
        </w:rPr>
        <w:t xml:space="preserve"> </w:t>
      </w:r>
      <w:r>
        <w:rPr>
          <w:rFonts w:ascii="宋体" w:hAnsi="宋体" w:cs="宋体" w:eastAsia="宋体" w:hint="ascii"/>
          <w:sz w:val="21"/>
          <w:spacing w:val="-2"/>
        </w:rPr>
        <w:t>话：</w:t>
      </w:r>
      <w:r>
        <w:rPr>
          <w:rFonts w:ascii="Times New Roman" w:hAnsi="Times New Roman" w:cs="Times New Roman" w:eastAsia="Times New Roman" w:hint="ascii"/>
          <w:sz w:val="21"/>
          <w:spacing w:val="-2"/>
        </w:rPr>
        <w:t>010</w:t>
      </w:r>
      <w:r>
        <w:rPr>
          <w:rFonts w:ascii="宋体" w:hAnsi="宋体" w:cs="宋体" w:eastAsia="宋体" w:hint="ascii"/>
          <w:sz w:val="21"/>
          <w:spacing w:val="-2"/>
        </w:rPr>
        <w:t>-</w:t>
      </w:r>
      <w:r>
        <w:rPr>
          <w:rFonts w:ascii="Times New Roman" w:hAnsi="Times New Roman" w:cs="Times New Roman" w:eastAsia="Times New Roman" w:hint="ascii"/>
          <w:sz w:val="21"/>
          <w:spacing w:val="-2"/>
        </w:rPr>
        <w:t>62328484</w:t>
      </w:r>
      <w:r>
        <w:rPr>
          <w:rFonts w:ascii="宋体" w:hAnsi="宋体" w:cs="宋体" w:eastAsia="宋体" w:hint="ascii"/>
          <w:sz w:val="21"/>
          <w:spacing w:val="-2"/>
        </w:rPr>
        <w:t>，</w:t>
      </w:r>
      <w:r>
        <w:rPr>
          <w:rFonts w:ascii="Times New Roman" w:hAnsi="Times New Roman" w:cs="Times New Roman" w:eastAsia="Times New Roman" w:hint="ascii"/>
          <w:sz w:val="21"/>
          <w:spacing w:val="-2"/>
        </w:rPr>
        <w:t>010</w:t>
      </w:r>
      <w:r>
        <w:rPr>
          <w:rFonts w:ascii="宋体" w:hAnsi="宋体" w:cs="宋体" w:eastAsia="宋体" w:hint="ascii"/>
          <w:sz w:val="21"/>
          <w:spacing w:val="-2"/>
        </w:rPr>
        <w:t>-</w:t>
      </w:r>
      <w:r>
        <w:rPr>
          <w:rFonts w:ascii="Times New Roman" w:hAnsi="Times New Roman" w:cs="Times New Roman" w:eastAsia="Times New Roman" w:hint="ascii"/>
          <w:sz w:val="21"/>
          <w:spacing w:val="-2"/>
        </w:rPr>
        <w:t>6232</w:t>
      </w:r>
      <w:r>
        <w:rPr>
          <w:rFonts w:ascii="Times New Roman" w:hAnsi="Times New Roman" w:cs="Times New Roman" w:eastAsia="Times New Roman" w:hint="ascii"/>
          <w:sz w:val="21"/>
          <w:spacing w:val="-1"/>
        </w:rPr>
        <w:t>7015</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leirong@nsfc.go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p>
    <w:p>
      <w:pPr>
        <w:autoSpaceDE w:val="0"/>
        <w:autoSpaceDN w:val="0"/>
        <w:jc w:val="left"/>
        <w:spacing w:before="54" w:after="0" w:lineRule="auto" w:line="240"/>
        <w:ind w:right="0" w:left="2437"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rPr>
        <w:t>wangyan@nsfc.go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p>
    <w:p>
      <w:pPr>
        <w:autoSpaceDE w:val="0"/>
        <w:autoSpaceDN w:val="0"/>
        <w:jc w:val="left"/>
        <w:spacing w:before="663"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辽宁省科技厅发展计划处</w:t>
      </w:r>
    </w:p>
    <w:p>
      <w:pPr>
        <w:autoSpaceDE w:val="0"/>
        <w:autoSpaceDN w:val="0"/>
        <w:jc w:val="both"/>
        <w:spacing w:before="10" w:after="0" w:lineRule="exact" w:line="312"/>
        <w:ind w:right="1014"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6"/>
        </w:rPr>
        <w:t xml:space="preserve"> </w:t>
      </w:r>
      <w:r>
        <w:rPr>
          <w:rFonts w:ascii="宋体" w:hAnsi="宋体" w:cs="宋体" w:eastAsia="宋体" w:hint="ascii"/>
          <w:sz w:val="21"/>
          <w:spacing w:val="-1"/>
        </w:rPr>
        <w:t>址：辽</w:t>
      </w:r>
      <w:r>
        <w:rPr>
          <w:rFonts w:ascii="宋体" w:hAnsi="宋体" w:cs="宋体" w:eastAsia="宋体" w:hint="ascii"/>
          <w:sz w:val="21"/>
        </w:rPr>
        <w:t>宁省沈阳市三好</w:t>
      </w:r>
      <w:r>
        <w:rPr>
          <w:rFonts w:ascii="宋体" w:hAnsi="宋体" w:cs="宋体" w:eastAsia="宋体" w:hint="ascii"/>
          <w:sz w:val="21"/>
          <w:spacing w:val="26"/>
        </w:rPr>
        <w:t>街</w:t>
      </w:r>
      <w:r>
        <w:rPr>
          <w:rFonts w:ascii="Times New Roman" w:hAnsi="Times New Roman" w:cs="Times New Roman" w:eastAsia="Times New Roman" w:hint="ascii"/>
          <w:sz w:val="21"/>
        </w:rPr>
        <w:t>2</w:t>
      </w:r>
      <w:r>
        <w:rPr>
          <w:rFonts w:ascii="Times New Roman" w:hAnsi="Times New Roman" w:cs="Times New Roman" w:eastAsia="Times New Roman" w:hint="ascii"/>
          <w:sz w:val="21"/>
          <w:spacing w:val="52"/>
        </w:rPr>
        <w:t>4</w:t>
      </w:r>
      <w:r>
        <w:rPr>
          <w:rFonts w:ascii="宋体" w:hAnsi="宋体" w:cs="宋体" w:eastAsia="宋体" w:hint="ascii"/>
          <w:sz w:val="21"/>
        </w:rPr>
        <w:t>号邮</w:t>
      </w:r>
      <w:r>
        <w:rPr>
          <w:rFonts w:ascii="宋体" w:hAnsi="宋体" w:cs="宋体" w:eastAsia="宋体" w:hint="ascii"/>
          <w:sz w:val="21"/>
          <w:spacing w:val="157"/>
        </w:rPr>
        <w:t xml:space="preserve"> </w:t>
      </w:r>
      <w:r>
        <w:rPr>
          <w:rFonts w:ascii="宋体" w:hAnsi="宋体" w:cs="宋体" w:eastAsia="宋体" w:hint="ascii"/>
          <w:sz w:val="21"/>
        </w:rPr>
        <w:t>编：</w:t>
      </w:r>
      <w:r>
        <w:rPr>
          <w:rFonts w:ascii="Times New Roman" w:hAnsi="Times New Roman" w:cs="Times New Roman" w:eastAsia="Times New Roman" w:hint="ascii"/>
          <w:sz w:val="21"/>
          <w:spacing w:val="-8"/>
        </w:rPr>
        <w:t>1</w:t>
      </w:r>
      <w:r>
        <w:rPr>
          <w:rFonts w:ascii="Times New Roman" w:hAnsi="Times New Roman" w:cs="Times New Roman" w:eastAsia="Times New Roman" w:hint="ascii"/>
          <w:sz w:val="21"/>
        </w:rPr>
        <w:t>10004</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人：刘</w:t>
      </w:r>
      <w:r>
        <w:rPr>
          <w:rFonts w:ascii="宋体" w:hAnsi="宋体" w:cs="宋体" w:eastAsia="宋体" w:hint="ascii"/>
          <w:sz w:val="21"/>
          <w:spacing w:val="53"/>
        </w:rPr>
        <w:t xml:space="preserve"> </w:t>
      </w:r>
      <w:r>
        <w:rPr>
          <w:rFonts w:ascii="宋体" w:hAnsi="宋体" w:cs="宋体" w:eastAsia="宋体" w:hint="ascii"/>
          <w:sz w:val="21"/>
        </w:rPr>
        <w:t>佳</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57"/>
        </w:rPr>
        <w:t xml:space="preserve"> </w:t>
      </w:r>
      <w:r>
        <w:rPr>
          <w:rFonts w:ascii="宋体" w:hAnsi="宋体" w:cs="宋体" w:eastAsia="宋体" w:hint="ascii"/>
          <w:sz w:val="21"/>
        </w:rPr>
        <w:t>话：</w:t>
      </w:r>
      <w:r>
        <w:rPr>
          <w:rFonts w:ascii="Times New Roman" w:hAnsi="Times New Roman" w:cs="Times New Roman" w:eastAsia="Times New Roman" w:hint="ascii"/>
          <w:sz w:val="21"/>
        </w:rPr>
        <w:t>024</w:t>
      </w:r>
      <w:r>
        <w:rPr>
          <w:rFonts w:ascii="宋体" w:hAnsi="宋体" w:cs="宋体" w:eastAsia="宋体" w:hint="ascii"/>
          <w:sz w:val="21"/>
        </w:rPr>
        <w:t>-</w:t>
      </w:r>
      <w:r>
        <w:rPr>
          <w:rFonts w:ascii="Times New Roman" w:hAnsi="Times New Roman" w:cs="Times New Roman" w:eastAsia="Times New Roman" w:hint="ascii"/>
          <w:sz w:val="21"/>
        </w:rPr>
        <w:t>23983330</w:t>
      </w:r>
    </w:p>
    <w:p>
      <w:pPr>
        <w:autoSpaceDE w:val="0"/>
        <w:autoSpaceDN w:val="0"/>
        <w:jc w:val="left"/>
        <w:spacing w:before="49" w:after="0" w:lineRule="exact" w:line="263"/>
        <w:ind w:right="0" w:left="0" w:firstLine="0"/>
        <w:snapToGrid w:val="0"/>
        <w:textAlignment w:val="auto"/>
        <w:tabs/>
        <w:sectPr>
          <w:type w:val="continuous"/>
          <w:pgSz w:w="10940" w:h="15080" w:orient="portrait"/>
          <w:pgMar w:top="508" w:right="508" w:bottom="508" w:left="508" w:header="0" w:footer="0" w:gutter="0"/>
          <w:cols w:num="2" w:space="0" w:equalWidth="0">
            <w:col w:w="5164" w:space="281"/>
            <w:col w:w="4479"/>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liujia@lninfo.go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rPr>
        <w:rFonts w:ascii="Times New Roman" w:hAnsi="Times New Roman" w:cs="Times New Roman" w:eastAsia="Times New Roman" w:hint="ascii"/>
        <w:sz w:val="21"/>
      </w:rPr>
    </w:p>
    <w:p>
      <w:pPr>
        <w:autoSpaceDE w:val="0"/>
        <w:autoSpaceDN w:val="0"/>
        <w:jc w:val="left"/>
        <w:spacing w:before="664" w:after="0" w:lineRule="auto" w:line="240"/>
        <w:ind w:right="0" w:left="2449"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spacing w:val="31"/>
        </w:rPr>
        <w:t>-</w:t>
      </w:r>
      <w:r>
        <w:rPr>
          <w:rFonts w:ascii="宋体" w:hAnsi="宋体" w:cs="宋体" w:eastAsia="宋体" w:hint="ascii"/>
          <w:sz w:val="38"/>
        </w:rPr>
        <w:t>浙江两化融合联合基金</w:t>
      </w:r>
    </w:p>
    <w:p>
      <w:pPr>
        <w:autoSpaceDE w:val="0"/>
        <w:autoSpaceDN w:val="0"/>
        <w:jc w:val="both"/>
        <w:spacing w:before="290" w:after="0" w:lineRule="exact" w:line="320"/>
        <w:ind w:right="963" w:left="861" w:firstLine="524"/>
        <w:snapToGrid w:val="0"/>
        <w:textAlignment w:val="auto"/>
        <w:tabs/>
        <w:rPr>
          <w:rFonts w:ascii="宋体" w:hAnsi="宋体" w:cs="宋体" w:eastAsia="宋体" w:hint="ascii"/>
          <w:sz w:val="21"/>
        </w:rPr>
      </w:pPr>
      <w:r>
        <w:rPr>
          <w:rFonts w:ascii="宋体" w:hAnsi="宋体" w:cs="宋体" w:eastAsia="宋体" w:hint="ascii"/>
          <w:sz w:val="21"/>
          <w:spacing w:val="-2"/>
        </w:rPr>
        <w:t>自然科学基金委与浙江省人民政府</w:t>
      </w:r>
      <w:r>
        <w:rPr>
          <w:rFonts w:ascii="宋体" w:hAnsi="宋体" w:cs="宋体" w:eastAsia="宋体" w:hint="ascii"/>
          <w:sz w:val="21"/>
          <w:spacing w:val="25"/>
        </w:rPr>
        <w:t>自</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spacing w:val="51"/>
        </w:rPr>
        <w:t>5</w:t>
      </w:r>
      <w:r>
        <w:rPr>
          <w:rFonts w:ascii="宋体" w:hAnsi="宋体" w:cs="宋体" w:eastAsia="宋体" w:hint="ascii"/>
          <w:sz w:val="21"/>
          <w:spacing w:val="-1"/>
        </w:rPr>
        <w:t>年</w:t>
      </w:r>
      <w:r>
        <w:rPr>
          <w:rFonts w:ascii="宋体" w:hAnsi="宋体" w:cs="宋体" w:eastAsia="宋体" w:hint="ascii"/>
          <w:sz w:val="21"/>
          <w:spacing w:val="25"/>
        </w:rPr>
        <w:t>至</w:t>
      </w:r>
      <w:r>
        <w:rPr>
          <w:rFonts w:ascii="Times New Roman" w:hAnsi="Times New Roman" w:cs="Times New Roman" w:eastAsia="Times New Roman" w:hint="ascii"/>
          <w:sz w:val="21"/>
          <w:spacing w:val="-1"/>
        </w:rPr>
        <w:t>201</w:t>
      </w:r>
      <w:r>
        <w:rPr>
          <w:rFonts w:ascii="Times New Roman" w:hAnsi="Times New Roman" w:cs="Times New Roman" w:eastAsia="Times New Roman" w:hint="ascii"/>
          <w:sz w:val="21"/>
          <w:spacing w:val="51"/>
        </w:rPr>
        <w:t>9</w:t>
      </w:r>
      <w:r>
        <w:rPr>
          <w:rFonts w:ascii="宋体" w:hAnsi="宋体" w:cs="宋体" w:eastAsia="宋体" w:hint="ascii"/>
          <w:sz w:val="21"/>
          <w:spacing w:val="-1"/>
        </w:rPr>
        <w:t>年共同设立两化融合联合基金</w:t>
      </w:r>
      <w:r>
        <w:rPr>
          <w:rFonts w:ascii="宋体" w:hAnsi="宋体" w:cs="宋体" w:eastAsia="宋体" w:hint="ascii"/>
          <w:sz w:val="21"/>
        </w:rPr>
        <w:t xml:space="preserve"> （以下简称 </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浙江两化融合联合基金</w:t>
      </w:r>
      <w:r>
        <w:rPr>
          <w:rFonts w:ascii="宋体" w:hAnsi="宋体" w:cs="宋体" w:eastAsia="宋体" w:hint="ascii"/>
          <w:sz w:val="21"/>
          <w:spacing w:val="-51"/>
        </w:rPr>
        <w:t>）</w:t>
      </w:r>
      <w:r>
        <w:rPr>
          <w:rFonts w:ascii="宋体" w:hAnsi="宋体" w:cs="宋体" w:eastAsia="宋体" w:hint="ascii"/>
          <w:sz w:val="21"/>
        </w:rPr>
        <w:t>，旨在吸引和凝聚全国各地优秀科学家，结</w:t>
      </w:r>
    </w:p>
    <w:p>
      <w:pPr>
        <w:autoSpaceDE w:val="0"/>
        <w:autoSpaceDN w:val="0"/>
        <w:jc w:val="left"/>
        <w:spacing w:before="0" w:after="0" w:lineRule="exact" w:line="319"/>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合国家战略发展需求，重点解决浙江两化深度融合国家示范区及周边区域经济、社会、科技未来发展在工业化与信息化深度融合领域中具有共性的重大科学问题和关键技术问题，促进区域的科技发展和人才队伍建设。</w:t>
      </w:r>
    </w:p>
    <w:p>
      <w:pPr>
        <w:autoSpaceDE w:val="0"/>
        <w:autoSpaceDN w:val="0"/>
        <w:jc w:val="left"/>
        <w:spacing w:before="49" w:after="0" w:lineRule="auto" w:line="240"/>
        <w:ind w:right="0" w:left="1398"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spacing w:val="3"/>
        </w:rPr>
        <w:t>浙江两化融合联合基</w:t>
      </w:r>
      <w:r>
        <w:rPr>
          <w:rFonts w:ascii="宋体" w:hAnsi="宋体" w:cs="宋体" w:eastAsia="宋体" w:hint="ascii"/>
          <w:sz w:val="21"/>
        </w:rPr>
        <w:t>金</w:t>
      </w:r>
      <w:r>
        <w:rPr>
          <w:rFonts w:ascii="宋体" w:hAnsi="宋体" w:cs="宋体" w:eastAsia="宋体" w:hint="ascii"/>
          <w:sz w:val="21"/>
          <w:spacing w:val="-9"/>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11"/>
        </w:rPr>
        <w:t xml:space="preserve"> </w:t>
      </w:r>
      <w:r>
        <w:rPr>
          <w:rFonts w:ascii="宋体" w:hAnsi="宋体" w:cs="宋体" w:eastAsia="宋体" w:hint="ascii"/>
          <w:sz w:val="21"/>
          <w:spacing w:val="3"/>
        </w:rPr>
        <w:t>年度接收下</w:t>
      </w:r>
      <w:r>
        <w:rPr>
          <w:rFonts w:ascii="宋体" w:hAnsi="宋体" w:cs="宋体" w:eastAsia="宋体" w:hint="ascii"/>
          <w:sz w:val="21"/>
        </w:rPr>
        <w:t>述</w:t>
      </w:r>
      <w:r>
        <w:rPr>
          <w:rFonts w:ascii="宋体" w:hAnsi="宋体" w:cs="宋体" w:eastAsia="宋体" w:hint="ascii"/>
          <w:sz w:val="21"/>
          <w:spacing w:val="-9"/>
        </w:rPr>
        <w:t xml:space="preserve"> </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11"/>
        </w:rPr>
        <w:t xml:space="preserve"> </w:t>
      </w:r>
      <w:r>
        <w:rPr>
          <w:rFonts w:ascii="宋体" w:hAnsi="宋体" w:cs="宋体" w:eastAsia="宋体" w:hint="ascii"/>
          <w:sz w:val="21"/>
          <w:spacing w:val="3"/>
        </w:rPr>
        <w:t>个研究领域的重点支持项</w:t>
      </w:r>
      <w:r>
        <w:rPr>
          <w:rFonts w:ascii="宋体" w:hAnsi="宋体" w:cs="宋体" w:eastAsia="宋体" w:hint="ascii"/>
          <w:sz w:val="21"/>
        </w:rPr>
        <w:t>目</w:t>
      </w:r>
    </w:p>
    <w:p>
      <w:pPr>
        <w:autoSpaceDE w:val="0"/>
        <w:autoSpaceDN w:val="0"/>
        <w:jc w:val="left"/>
        <w:spacing w:before="17" w:after="0" w:lineRule="exact" w:line="320"/>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3"/>
        </w:rPr>
        <w:t>申请，直接费用平均资助强度</w:t>
      </w:r>
      <w:r>
        <w:rPr>
          <w:rFonts w:ascii="宋体" w:hAnsi="宋体" w:cs="宋体" w:eastAsia="宋体" w:hint="ascii"/>
          <w:sz w:val="21"/>
        </w:rPr>
        <w:t>为</w:t>
      </w:r>
      <w:r>
        <w:rPr>
          <w:rFonts w:ascii="宋体" w:hAnsi="宋体" w:cs="宋体" w:eastAsia="宋体" w:hint="ascii"/>
          <w:sz w:val="21"/>
          <w:spacing w:val="-3"/>
        </w:rPr>
        <w:t xml:space="preserve"> </w:t>
      </w:r>
      <w:r>
        <w:rPr>
          <w:rFonts w:ascii="Times New Roman" w:hAnsi="Times New Roman" w:cs="Times New Roman" w:eastAsia="Times New Roman" w:hint="ascii"/>
          <w:sz w:val="21"/>
        </w:rPr>
        <w:t>210</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3"/>
        </w:rPr>
        <w:t>万</w:t>
      </w:r>
      <w:r>
        <w:rPr>
          <w:rFonts w:ascii="宋体" w:hAnsi="宋体" w:cs="宋体" w:eastAsia="宋体" w:hint="ascii"/>
          <w:sz w:val="21"/>
          <w:spacing w:val="4"/>
        </w:rPr>
        <w:t>元</w:t>
      </w:r>
      <w:r>
        <w:rPr>
          <w:rFonts w:ascii="Times New Roman" w:hAnsi="Times New Roman" w:cs="Times New Roman" w:eastAsia="Times New Roman" w:hint="ascii"/>
          <w:sz w:val="21"/>
        </w:rPr>
        <w:t>/</w:t>
      </w:r>
      <w:r>
        <w:rPr>
          <w:rFonts w:ascii="宋体" w:hAnsi="宋体" w:cs="宋体" w:eastAsia="宋体" w:hint="ascii"/>
          <w:sz w:val="21"/>
          <w:spacing w:val="3"/>
        </w:rPr>
        <w:t>项，资助期限</w:t>
      </w:r>
      <w:r>
        <w:rPr>
          <w:rFonts w:ascii="宋体" w:hAnsi="宋体" w:cs="宋体" w:eastAsia="宋体" w:hint="ascii"/>
          <w:sz w:val="21"/>
        </w:rPr>
        <w:t>为</w:t>
      </w:r>
      <w:r>
        <w:rPr>
          <w:rFonts w:ascii="宋体" w:hAnsi="宋体" w:cs="宋体" w:eastAsia="宋体" w:hint="ascii"/>
          <w:sz w:val="21"/>
          <w:spacing w:val="-4"/>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5"/>
        </w:rPr>
        <w:t xml:space="preserve"> </w:t>
      </w:r>
      <w:r>
        <w:rPr>
          <w:rFonts w:ascii="宋体" w:hAnsi="宋体" w:cs="宋体" w:eastAsia="宋体" w:hint="ascii"/>
          <w:sz w:val="21"/>
          <w:spacing w:val="3"/>
        </w:rPr>
        <w:t>年</w:t>
      </w:r>
      <w:r>
        <w:rPr>
          <w:rFonts w:ascii="宋体" w:hAnsi="宋体" w:cs="宋体" w:eastAsia="宋体" w:hint="ascii"/>
          <w:sz w:val="21"/>
          <w:spacing w:val="4"/>
        </w:rPr>
        <w:t>。</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spacing w:val="3"/>
        </w:rPr>
        <w:t>浙江两化</w:t>
      </w:r>
      <w:r>
        <w:rPr>
          <w:rFonts w:ascii="宋体" w:hAnsi="宋体" w:cs="宋体" w:eastAsia="宋体" w:hint="ascii"/>
          <w:sz w:val="21"/>
        </w:rPr>
        <w:t>融</w:t>
      </w:r>
      <w:r>
        <w:rPr>
          <w:rFonts w:ascii="宋体" w:hAnsi="宋体" w:cs="宋体" w:eastAsia="宋体" w:hint="ascii"/>
          <w:sz w:val="21"/>
          <w:spacing w:val="6"/>
        </w:rPr>
        <w:t>合联合基</w:t>
      </w:r>
      <w:r>
        <w:rPr>
          <w:rFonts w:ascii="宋体" w:hAnsi="宋体" w:cs="宋体" w:eastAsia="宋体" w:hint="ascii"/>
          <w:sz w:val="21"/>
          <w:spacing w:val="5"/>
        </w:rPr>
        <w:t>金</w:t>
      </w:r>
      <w:r>
        <w:rPr>
          <w:rFonts w:ascii="宋体" w:hAnsi="宋体" w:cs="宋体" w:eastAsia="宋体" w:hint="ascii"/>
          <w:sz w:val="21"/>
          <w:spacing w:val="6"/>
        </w:rPr>
        <w:t>面向全国</w:t>
      </w:r>
      <w:r>
        <w:rPr>
          <w:rFonts w:ascii="宋体" w:hAnsi="宋体" w:cs="宋体" w:eastAsia="宋体" w:hint="ascii"/>
          <w:sz w:val="21"/>
          <w:spacing w:val="5"/>
        </w:rPr>
        <w:t>，</w:t>
      </w:r>
      <w:r>
        <w:rPr>
          <w:rFonts w:ascii="宋体" w:hAnsi="宋体" w:cs="宋体" w:eastAsia="宋体" w:hint="ascii"/>
          <w:sz w:val="21"/>
          <w:spacing w:val="6"/>
        </w:rPr>
        <w:t>欢迎符合</w:t>
      </w:r>
      <w:r>
        <w:rPr>
          <w:rFonts w:ascii="宋体" w:hAnsi="宋体" w:cs="宋体" w:eastAsia="宋体" w:hint="ascii"/>
          <w:sz w:val="21"/>
          <w:spacing w:val="5"/>
        </w:rPr>
        <w:t>条</w:t>
      </w:r>
      <w:r>
        <w:rPr>
          <w:rFonts w:ascii="宋体" w:hAnsi="宋体" w:cs="宋体" w:eastAsia="宋体" w:hint="ascii"/>
          <w:sz w:val="21"/>
          <w:spacing w:val="6"/>
        </w:rPr>
        <w:t>件的科学</w:t>
      </w:r>
      <w:r>
        <w:rPr>
          <w:rFonts w:ascii="宋体" w:hAnsi="宋体" w:cs="宋体" w:eastAsia="宋体" w:hint="ascii"/>
          <w:sz w:val="21"/>
          <w:spacing w:val="5"/>
        </w:rPr>
        <w:t>技</w:t>
      </w:r>
      <w:r>
        <w:rPr>
          <w:rFonts w:ascii="宋体" w:hAnsi="宋体" w:cs="宋体" w:eastAsia="宋体" w:hint="ascii"/>
          <w:sz w:val="21"/>
          <w:spacing w:val="6"/>
        </w:rPr>
        <w:t>术人员按</w:t>
      </w:r>
      <w:r>
        <w:rPr>
          <w:rFonts w:ascii="宋体" w:hAnsi="宋体" w:cs="宋体" w:eastAsia="宋体" w:hint="ascii"/>
          <w:sz w:val="21"/>
          <w:spacing w:val="5"/>
        </w:rPr>
        <w:t>照</w:t>
      </w:r>
      <w:r>
        <w:rPr>
          <w:rFonts w:ascii="宋体" w:hAnsi="宋体" w:cs="宋体" w:eastAsia="宋体" w:hint="ascii"/>
          <w:sz w:val="21"/>
          <w:spacing w:val="6"/>
        </w:rPr>
        <w:t>本《指南</w:t>
      </w:r>
      <w:r>
        <w:rPr>
          <w:rFonts w:ascii="宋体" w:hAnsi="宋体" w:cs="宋体" w:eastAsia="宋体" w:hint="ascii"/>
          <w:sz w:val="21"/>
          <w:spacing w:val="5"/>
        </w:rPr>
        <w:t>》</w:t>
      </w:r>
      <w:r>
        <w:rPr>
          <w:rFonts w:ascii="宋体" w:hAnsi="宋体" w:cs="宋体" w:eastAsia="宋体" w:hint="ascii"/>
          <w:sz w:val="21"/>
          <w:spacing w:val="6"/>
        </w:rPr>
        <w:t>范围和</w:t>
      </w:r>
      <w:r>
        <w:rPr>
          <w:rFonts w:ascii="宋体" w:hAnsi="宋体" w:cs="宋体" w:eastAsia="宋体" w:hint="ascii"/>
          <w:sz w:val="21"/>
          <w:spacing w:val="7"/>
        </w:rPr>
        <w:t>要</w:t>
      </w:r>
      <w:r>
        <w:rPr>
          <w:rFonts w:ascii="宋体" w:hAnsi="宋体" w:cs="宋体" w:eastAsia="宋体" w:hint="ascii"/>
          <w:sz w:val="21"/>
          <w:spacing w:val="6"/>
        </w:rPr>
        <w:t>求</w:t>
      </w:r>
      <w:r>
        <w:rPr>
          <w:rFonts w:ascii="宋体" w:hAnsi="宋体" w:cs="宋体" w:eastAsia="宋体" w:hint="ascii"/>
          <w:sz w:val="21"/>
        </w:rPr>
        <w:t>提</w:t>
      </w:r>
      <w:r>
        <w:rPr>
          <w:rFonts w:ascii="宋体" w:hAnsi="宋体" w:cs="宋体" w:eastAsia="宋体" w:hint="ascii"/>
          <w:sz w:val="21"/>
          <w:spacing w:val="3"/>
        </w:rPr>
        <w:t>出申请</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一、高端工业自动化领域</w:t>
      </w:r>
    </w:p>
    <w:p>
      <w:pPr>
        <w:autoSpaceDE w:val="0"/>
        <w:autoSpaceDN w:val="0"/>
        <w:jc w:val="left"/>
        <w:spacing w:before="158"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针对浙江地区医药、化工、造纸、服装及装备制造等领域中两化深度融合需求，围绕“机器换人</w:t>
      </w:r>
      <w:r>
        <w:rPr>
          <w:rFonts w:ascii="宋体" w:hAnsi="宋体" w:cs="宋体" w:eastAsia="宋体" w:hint="ascii"/>
          <w:sz w:val="21"/>
          <w:spacing w:val="-50"/>
        </w:rPr>
        <w:t>”</w:t>
      </w:r>
      <w:r>
        <w:rPr>
          <w:rFonts w:ascii="宋体" w:hAnsi="宋体" w:cs="宋体" w:eastAsia="宋体" w:hint="ascii"/>
          <w:sz w:val="21"/>
        </w:rPr>
        <w:t>“智慧工厂”建设，重点研究高端工业自动化基础理论和关键技术，提</w:t>
      </w:r>
    </w:p>
    <w:p>
      <w:pPr>
        <w:autoSpaceDE w:val="0"/>
        <w:autoSpaceDN w:val="0"/>
        <w:jc w:val="left"/>
        <w:spacing w:before="287"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5" w:left="965" w:firstLine="0"/>
        <w:snapToGrid w:val="0"/>
        <w:textAlignment w:val="auto"/>
        <w:tabs/>
        <w:rPr>
          <w:rFonts w:ascii="宋体" w:hAnsi="宋体" w:cs="宋体" w:eastAsia="宋体" w:hint="ascii"/>
          <w:sz w:val="21"/>
        </w:rPr>
      </w:pPr>
      <w:r>
        <w:rPr>
          <w:rFonts w:ascii="宋体" w:hAnsi="宋体" w:cs="宋体" w:eastAsia="宋体" w:hint="ascii"/>
          <w:sz w:val="21"/>
          <w:spacing w:val="-1"/>
        </w:rPr>
        <w:t>升企业的</w:t>
      </w:r>
      <w:r>
        <w:rPr>
          <w:rFonts w:ascii="宋体" w:hAnsi="宋体" w:cs="宋体" w:eastAsia="宋体" w:hint="ascii"/>
          <w:sz w:val="21"/>
        </w:rPr>
        <w:t>自动化、智能化和网络化水平，实现从浙江制造向浙江创造的跨越。主要研究方向：</w:t>
      </w:r>
      <w:r>
        <w:rPr>
          <w:rFonts w:ascii="宋体" w:hAnsi="宋体" w:cs="宋体" w:eastAsia="宋体" w:hint="ascii"/>
          <w:sz w:val="21"/>
        </w:rPr>
        <mc:AlternateContent>
          <mc:Choice Requires="wps">
            <w:drawing>
              <wp:anchor distL="0" distR="0" distT="0" distB="0" simplePos="0" behindDoc="1" relativeHeight="311" locked="0" layoutInCell="1" allowOverlap="1">
                <wp:simplePos x="0" y="0"/>
                <wp:positionH relativeFrom="page">
                  <wp:posOffset>938530</wp:posOffset>
                </wp:positionH>
                <wp:positionV relativeFrom="page">
                  <wp:posOffset>805815</wp:posOffset>
                </wp:positionV>
                <wp:extent cx="5076190" cy="0"/>
                <wp:wrapNone/>
                <wp:docPr id="1339" name="133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39776;width:399.70pt;" id="133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）燃煤电厂运行过程智能控制与优化（申请代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二、工业信息物理融合系统领域</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根据浙江省中小企业多、工业数据分散并且具有异构、不确定、关联耦合、时空分</w:t>
      </w:r>
    </w:p>
    <w:p>
      <w:pPr>
        <w:autoSpaceDE w:val="0"/>
        <w:autoSpaceDN w:val="0"/>
        <w:jc w:val="both"/>
        <w:spacing w:before="10" w:after="0" w:lineRule="exact" w:line="312"/>
        <w:ind w:right="975" w:left="965" w:firstLine="0"/>
        <w:snapToGrid w:val="0"/>
        <w:textAlignment w:val="auto"/>
        <w:tabs/>
        <w:rPr>
          <w:rFonts w:ascii="宋体" w:hAnsi="宋体" w:cs="宋体" w:eastAsia="宋体" w:hint="ascii"/>
          <w:sz w:val="21"/>
        </w:rPr>
      </w:pPr>
      <w:r>
        <w:rPr>
          <w:rFonts w:ascii="宋体" w:hAnsi="宋体" w:cs="宋体" w:eastAsia="宋体" w:hint="ascii"/>
          <w:sz w:val="21"/>
          <w:spacing w:val="-1"/>
        </w:rPr>
        <w:t>布复杂等</w:t>
      </w:r>
      <w:r>
        <w:rPr>
          <w:rFonts w:ascii="宋体" w:hAnsi="宋体" w:cs="宋体" w:eastAsia="宋体" w:hint="ascii"/>
          <w:sz w:val="21"/>
        </w:rPr>
        <w:t>特点，围绕浙江省工业产业转型升级、加速两化深度融合的需求，开展工业信</w:t>
      </w:r>
      <w:r>
        <w:rPr>
          <w:rFonts w:ascii="宋体" w:hAnsi="宋体" w:cs="宋体" w:eastAsia="宋体" w:hint="ascii"/>
          <w:sz w:val="21"/>
          <w:spacing w:val="-1"/>
        </w:rPr>
        <w:t>息物理融</w:t>
      </w:r>
      <w:r>
        <w:rPr>
          <w:rFonts w:ascii="宋体" w:hAnsi="宋体" w:cs="宋体" w:eastAsia="宋体" w:hint="ascii"/>
          <w:sz w:val="21"/>
        </w:rPr>
        <w:t>合系统的基础理论和关键技术研究，全面提升浙江省工业生产的智能化水平。主要研究方向：</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1"/>
        </w:rPr>
        <w:t>1</w:t>
      </w:r>
      <w:r>
        <w:rPr>
          <w:rFonts w:ascii="宋体" w:hAnsi="宋体" w:cs="宋体" w:eastAsia="宋体" w:hint="ascii"/>
          <w:sz w:val="21"/>
          <w:spacing w:val="-2"/>
        </w:rPr>
        <w:t>）</w:t>
      </w:r>
      <w:r>
        <w:rPr>
          <w:rFonts w:ascii="宋体" w:hAnsi="宋体" w:cs="宋体" w:eastAsia="宋体" w:hint="ascii"/>
          <w:sz w:val="21"/>
        </w:rPr>
        <w:t>海洋观测网信息融合基础理论与关键技术研究（申请代</w:t>
      </w:r>
      <w:r>
        <w:rPr>
          <w:rFonts w:ascii="宋体" w:hAnsi="宋体" w:cs="宋体" w:eastAsia="宋体" w:hint="ascii"/>
          <w:sz w:val="21"/>
          <w:spacing w:val="-2"/>
        </w:rPr>
        <w:t>码</w:t>
      </w:r>
      <w:r>
        <w:rPr>
          <w:rFonts w:ascii="宋体" w:hAnsi="宋体" w:cs="宋体" w:eastAsia="宋体" w:hint="ascii"/>
          <w:sz w:val="21"/>
          <w:spacing w:val="-17"/>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9"/>
        </w:rPr>
        <w:t xml:space="preserve"> </w:t>
      </w:r>
      <w:r>
        <w:rPr>
          <w:rFonts w:ascii="宋体" w:hAnsi="宋体" w:cs="宋体" w:eastAsia="宋体" w:hint="ascii"/>
          <w:sz w:val="21"/>
        </w:rPr>
        <w:t>选</w:t>
      </w:r>
      <w:r>
        <w:rPr>
          <w:rFonts w:ascii="宋体" w:hAnsi="宋体" w:cs="宋体" w:eastAsia="宋体" w:hint="ascii"/>
          <w:sz w:val="21"/>
          <w:spacing w:val="-2"/>
        </w:rPr>
        <w:t>择</w:t>
      </w:r>
      <w:r>
        <w:rPr>
          <w:rFonts w:ascii="宋体" w:hAnsi="宋体" w:cs="宋体" w:eastAsia="宋体" w:hint="ascii"/>
          <w:sz w:val="21"/>
          <w:spacing w:val="-17"/>
        </w:rPr>
        <w:t xml:space="preserve"> </w:t>
      </w:r>
      <w:r>
        <w:rPr>
          <w:rFonts w:ascii="Times New Roman" w:hAnsi="Times New Roman" w:cs="Times New Roman" w:eastAsia="Times New Roman" w:hint="ascii"/>
          <w:sz w:val="21"/>
          <w:spacing w:val="2"/>
        </w:rPr>
        <w:t>F0</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8"/>
        </w:rPr>
        <w:t xml:space="preserve"> </w:t>
      </w:r>
      <w:r>
        <w:rPr>
          <w:rFonts w:ascii="宋体" w:hAnsi="宋体" w:cs="宋体" w:eastAsia="宋体" w:hint="ascii"/>
          <w:sz w:val="21"/>
        </w:rPr>
        <w:t>的下</w:t>
      </w:r>
      <w:r>
        <w:rPr>
          <w:rFonts w:ascii="宋体" w:hAnsi="宋体" w:cs="宋体" w:eastAsia="宋体" w:hint="ascii"/>
          <w:sz w:val="21"/>
          <w:spacing w:val="-4"/>
        </w:rPr>
        <w:t>属</w:t>
      </w:r>
      <w:r>
        <w:rPr>
          <w:rFonts w:ascii="宋体" w:hAnsi="宋体" w:cs="宋体" w:eastAsia="宋体" w:hint="ascii"/>
          <w:sz w:val="21"/>
        </w:rPr>
        <w:t xml:space="preserve"> 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 xml:space="preserve">）面向食品质量检测的红外集成传感芯片关键技术研究（申请代码 </w:t>
      </w:r>
      <w:r>
        <w:rPr>
          <w:rFonts w:ascii="Times New Roman" w:hAnsi="Times New Roman" w:cs="Times New Roman" w:eastAsia="Times New Roman" w:hint="ascii"/>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sz w:val="21"/>
        </w:rPr>
        <w:t xml:space="preserve">F05 </w:t>
      </w:r>
      <w:r>
        <w:rPr>
          <w:rFonts w:ascii="宋体" w:hAnsi="宋体" w:cs="宋体" w:eastAsia="宋体" w:hint="ascii"/>
          <w:sz w:val="21"/>
        </w:rPr>
        <w:t>的下属学科</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w:t>
      </w:r>
      <w:r>
        <w:rPr>
          <w:rFonts w:ascii="Times New Roman" w:hAnsi="Times New Roman" w:cs="Times New Roman" w:eastAsia="Times New Roman" w:hint="ascii"/>
          <w:sz w:val="21"/>
          <w:spacing w:val="-1"/>
        </w:rPr>
        <w:t>5G</w:t>
      </w:r>
      <w:r>
        <w:rPr>
          <w:rFonts w:ascii="Times New Roman" w:hAnsi="Times New Roman" w:cs="Times New Roman" w:eastAsia="Times New Roman" w:hint="ascii"/>
          <w:sz w:val="21"/>
          <w:spacing w:val="-9"/>
        </w:rPr>
        <w:t xml:space="preserve"> </w:t>
      </w:r>
      <w:r>
        <w:rPr>
          <w:rFonts w:ascii="宋体" w:hAnsi="宋体" w:cs="宋体" w:eastAsia="宋体" w:hint="ascii"/>
          <w:sz w:val="21"/>
        </w:rPr>
        <w:t>可重构高能效毫米波前端一体化设计理论及关键技术研究（申请代码</w:t>
      </w:r>
      <w:r>
        <w:rPr>
          <w:rFonts w:ascii="宋体" w:hAnsi="宋体" w:cs="宋体" w:eastAsia="宋体" w:hint="ascii"/>
          <w:sz w:val="21"/>
          <w:spacing w:val="-7"/>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8"/>
        </w:rPr>
        <w:t xml:space="preserve"> </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 xml:space="preserve">）基于移动通信卫星星座系统的海洋通信关键技术研究（申请代码 </w:t>
      </w:r>
      <w:r>
        <w:rPr>
          <w:rFonts w:ascii="Times New Roman" w:hAnsi="Times New Roman" w:cs="Times New Roman" w:eastAsia="Times New Roman" w:hint="ascii"/>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sz w:val="21"/>
        </w:rPr>
        <w:t xml:space="preserve">F01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5</w:t>
      </w:r>
      <w:r>
        <w:rPr>
          <w:rFonts w:ascii="宋体" w:hAnsi="宋体" w:cs="宋体" w:eastAsia="宋体" w:hint="ascii"/>
          <w:sz w:val="21"/>
          <w:spacing w:val="-1"/>
        </w:rPr>
        <w:t>）面向</w:t>
      </w:r>
      <w:r>
        <w:rPr>
          <w:rFonts w:ascii="宋体" w:hAnsi="宋体" w:cs="宋体" w:eastAsia="宋体" w:hint="ascii"/>
          <w:sz w:val="21"/>
        </w:rPr>
        <w:t>实时可靠信息传输的软件定义网络机理与关键技术研究（申请代</w:t>
      </w:r>
      <w:r>
        <w:rPr>
          <w:rFonts w:ascii="宋体" w:hAnsi="宋体" w:cs="宋体" w:eastAsia="宋体" w:hint="ascii"/>
          <w:sz w:val="21"/>
          <w:spacing w:val="27"/>
        </w:rPr>
        <w:t>码</w:t>
      </w:r>
      <w:r>
        <w:rPr>
          <w:rFonts w:ascii="Times New Roman" w:hAnsi="Times New Roman" w:cs="Times New Roman" w:eastAsia="Times New Roman" w:hint="ascii"/>
          <w:sz w:val="21"/>
          <w:spacing w:val="52"/>
        </w:rPr>
        <w:t>1</w:t>
      </w:r>
      <w:r>
        <w:rPr>
          <w:rFonts w:ascii="宋体" w:hAnsi="宋体" w:cs="宋体" w:eastAsia="宋体" w:hint="ascii"/>
          <w:sz w:val="21"/>
        </w:rPr>
        <w:t>选择</w:t>
      </w: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2</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三、智能制造领域</w:t>
      </w:r>
    </w:p>
    <w:p>
      <w:pPr>
        <w:autoSpaceDE w:val="0"/>
        <w:autoSpaceDN w:val="0"/>
        <w:jc w:val="both"/>
        <w:spacing w:before="157" w:after="0" w:lineRule="exact" w:line="312"/>
        <w:ind w:right="975" w:left="965" w:firstLine="420"/>
        <w:snapToGrid w:val="0"/>
        <w:textAlignment w:val="auto"/>
        <w:tabs/>
        <w:rPr>
          <w:rFonts w:ascii="宋体" w:hAnsi="宋体" w:cs="宋体" w:eastAsia="宋体" w:hint="ascii"/>
          <w:sz w:val="21"/>
        </w:rPr>
      </w:pPr>
      <w:r>
        <w:rPr>
          <w:rFonts w:ascii="宋体" w:hAnsi="宋体" w:cs="宋体" w:eastAsia="宋体" w:hint="ascii"/>
          <w:sz w:val="21"/>
          <w:spacing w:val="1"/>
        </w:rPr>
        <w:t>围绕浙</w:t>
      </w:r>
      <w:r>
        <w:rPr>
          <w:rFonts w:ascii="宋体" w:hAnsi="宋体" w:cs="宋体" w:eastAsia="宋体" w:hint="ascii"/>
          <w:sz w:val="21"/>
        </w:rPr>
        <w:t>江地区制</w:t>
      </w:r>
      <w:r>
        <w:rPr>
          <w:rFonts w:ascii="宋体" w:hAnsi="宋体" w:cs="宋体" w:eastAsia="宋体" w:hint="ascii"/>
          <w:sz w:val="21"/>
          <w:spacing w:val="1"/>
        </w:rPr>
        <w:t>造</w:t>
      </w:r>
      <w:r>
        <w:rPr>
          <w:rFonts w:ascii="宋体" w:hAnsi="宋体" w:cs="宋体" w:eastAsia="宋体" w:hint="ascii"/>
          <w:sz w:val="21"/>
        </w:rPr>
        <w:t>业变革与</w:t>
      </w:r>
      <w:r>
        <w:rPr>
          <w:rFonts w:ascii="宋体" w:hAnsi="宋体" w:cs="宋体" w:eastAsia="宋体" w:hint="ascii"/>
          <w:sz w:val="21"/>
          <w:spacing w:val="1"/>
        </w:rPr>
        <w:t>发</w:t>
      </w:r>
      <w:r>
        <w:rPr>
          <w:rFonts w:ascii="宋体" w:hAnsi="宋体" w:cs="宋体" w:eastAsia="宋体" w:hint="ascii"/>
          <w:sz w:val="21"/>
        </w:rPr>
        <w:t>展的重大</w:t>
      </w:r>
      <w:r>
        <w:rPr>
          <w:rFonts w:ascii="宋体" w:hAnsi="宋体" w:cs="宋体" w:eastAsia="宋体" w:hint="ascii"/>
          <w:sz w:val="21"/>
          <w:spacing w:val="1"/>
        </w:rPr>
        <w:t>需</w:t>
      </w:r>
      <w:r>
        <w:rPr>
          <w:rFonts w:ascii="宋体" w:hAnsi="宋体" w:cs="宋体" w:eastAsia="宋体" w:hint="ascii"/>
          <w:sz w:val="21"/>
        </w:rPr>
        <w:t>求，以浙</w:t>
      </w:r>
      <w:r>
        <w:rPr>
          <w:rFonts w:ascii="宋体" w:hAnsi="宋体" w:cs="宋体" w:eastAsia="宋体" w:hint="ascii"/>
          <w:sz w:val="21"/>
          <w:spacing w:val="1"/>
        </w:rPr>
        <w:t>江</w:t>
      </w:r>
      <w:r>
        <w:rPr>
          <w:rFonts w:ascii="宋体" w:hAnsi="宋体" w:cs="宋体" w:eastAsia="宋体" w:hint="ascii"/>
          <w:sz w:val="21"/>
        </w:rPr>
        <w:t>装备制造</w:t>
      </w:r>
      <w:r>
        <w:rPr>
          <w:rFonts w:ascii="宋体" w:hAnsi="宋体" w:cs="宋体" w:eastAsia="宋体" w:hint="ascii"/>
          <w:sz w:val="21"/>
          <w:spacing w:val="1"/>
        </w:rPr>
        <w:t>、</w:t>
      </w:r>
      <w:r>
        <w:rPr>
          <w:rFonts w:ascii="宋体" w:hAnsi="宋体" w:cs="宋体" w:eastAsia="宋体" w:hint="ascii"/>
          <w:sz w:val="21"/>
        </w:rPr>
        <w:t>轻工、纺</w:t>
      </w:r>
      <w:r>
        <w:rPr>
          <w:rFonts w:ascii="宋体" w:hAnsi="宋体" w:cs="宋体" w:eastAsia="宋体" w:hint="ascii"/>
          <w:sz w:val="21"/>
          <w:spacing w:val="1"/>
        </w:rPr>
        <w:t>织</w:t>
      </w:r>
      <w:r>
        <w:rPr>
          <w:rFonts w:ascii="宋体" w:hAnsi="宋体" w:cs="宋体" w:eastAsia="宋体" w:hint="ascii"/>
          <w:sz w:val="21"/>
        </w:rPr>
        <w:t>、</w:t>
      </w:r>
      <w:r>
        <w:rPr>
          <w:rFonts w:ascii="宋体" w:hAnsi="宋体" w:cs="宋体" w:eastAsia="宋体" w:hint="ascii"/>
          <w:sz w:val="21"/>
          <w:spacing w:val="-6"/>
        </w:rPr>
        <w:t>化</w:t>
      </w:r>
      <w:r>
        <w:rPr>
          <w:rFonts w:ascii="宋体" w:hAnsi="宋体" w:cs="宋体" w:eastAsia="宋体" w:hint="ascii"/>
          <w:sz w:val="21"/>
          <w:spacing w:val="1"/>
        </w:rPr>
        <w:t>工、医药、电力、建材</w:t>
      </w:r>
      <w:r>
        <w:rPr>
          <w:rFonts w:ascii="宋体" w:hAnsi="宋体" w:cs="宋体" w:eastAsia="宋体" w:hint="ascii"/>
          <w:sz w:val="21"/>
        </w:rPr>
        <w:t>、冶金、汽车、船舶、物流等行业为着力点，以高新技术为</w:t>
      </w:r>
      <w:r>
        <w:rPr>
          <w:rFonts w:ascii="宋体" w:hAnsi="宋体" w:cs="宋体" w:eastAsia="宋体" w:hint="ascii"/>
          <w:sz w:val="21"/>
          <w:spacing w:val="-6"/>
        </w:rPr>
        <w:t>引</w:t>
      </w:r>
      <w:r>
        <w:rPr>
          <w:rFonts w:ascii="宋体" w:hAnsi="宋体" w:cs="宋体" w:eastAsia="宋体" w:hint="ascii"/>
          <w:sz w:val="21"/>
          <w:spacing w:val="-1"/>
        </w:rPr>
        <w:t>领，以工</w:t>
      </w:r>
      <w:r>
        <w:rPr>
          <w:rFonts w:ascii="宋体" w:hAnsi="宋体" w:cs="宋体" w:eastAsia="宋体" w:hint="ascii"/>
          <w:sz w:val="21"/>
        </w:rPr>
        <w:t>业化和信息化深度融合为手段，重点研究面向网络协同设计、制造与服务、智</w:t>
      </w:r>
      <w:r>
        <w:rPr>
          <w:rFonts w:ascii="宋体" w:hAnsi="宋体" w:cs="宋体" w:eastAsia="宋体" w:hint="ascii"/>
          <w:sz w:val="21"/>
          <w:spacing w:val="-1"/>
        </w:rPr>
        <w:t>能工业机</w:t>
      </w:r>
      <w:r>
        <w:rPr>
          <w:rFonts w:ascii="宋体" w:hAnsi="宋体" w:cs="宋体" w:eastAsia="宋体" w:hint="ascii"/>
          <w:sz w:val="21"/>
        </w:rPr>
        <w:t>器人、智能装备、智能基础件等智能制造的关键理论与技术，推动浙江省装备制造业从生产过程到元件到装备的数字化、网络化、智能化升级。主要研究方向：</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）工业燃气</w:t>
      </w:r>
      <w:r>
        <w:rPr>
          <w:rFonts w:ascii="宋体" w:hAnsi="宋体" w:cs="宋体" w:eastAsia="宋体" w:hint="ascii"/>
          <w:sz w:val="21"/>
        </w:rPr>
        <w:t>轮机在线监测及其安全运行关键技术研究（申请代码</w:t>
      </w:r>
      <w:r>
        <w:rPr>
          <w:rFonts w:ascii="宋体" w:hAnsi="宋体" w:cs="宋体" w:eastAsia="宋体" w:hint="ascii"/>
          <w:sz w:val="21"/>
          <w:spacing w:val="-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
        </w:rPr>
        <w:t xml:space="preserve"> </w:t>
      </w:r>
      <w:r>
        <w:rPr>
          <w:rFonts w:ascii="宋体" w:hAnsi="宋体" w:cs="宋体" w:eastAsia="宋体" w:hint="ascii"/>
          <w:sz w:val="21"/>
        </w:rPr>
        <w:t xml:space="preserve">选择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3"/>
        </w:rPr>
        <w:t xml:space="preserve"> </w:t>
      </w:r>
      <w:r>
        <w:rPr>
          <w:rFonts w:ascii="宋体" w:hAnsi="宋体" w:cs="宋体" w:eastAsia="宋体" w:hint="ascii"/>
          <w:sz w:val="21"/>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）高性能树脂基碳纤维复合材料构件成形工艺及性能调控（申请代</w:t>
      </w:r>
      <w:r>
        <w:rPr>
          <w:rFonts w:ascii="宋体" w:hAnsi="宋体" w:cs="宋体" w:eastAsia="宋体" w:hint="ascii"/>
          <w:sz w:val="21"/>
        </w:rPr>
        <w:t>码</w:t>
      </w:r>
      <w:r>
        <w:rPr>
          <w:rFonts w:ascii="宋体" w:hAnsi="宋体" w:cs="宋体" w:eastAsia="宋体" w:hint="ascii"/>
          <w:sz w:val="21"/>
          <w:spacing w:val="-21"/>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2"/>
        </w:rPr>
        <w:t xml:space="preserve"> </w:t>
      </w:r>
      <w:r>
        <w:rPr>
          <w:rFonts w:ascii="宋体" w:hAnsi="宋体" w:cs="宋体" w:eastAsia="宋体" w:hint="ascii"/>
          <w:sz w:val="21"/>
        </w:rPr>
        <w:t>选择</w:t>
      </w:r>
      <w:r>
        <w:rPr>
          <w:rFonts w:ascii="宋体" w:hAnsi="宋体" w:cs="宋体" w:eastAsia="宋体" w:hint="ascii"/>
          <w:sz w:val="21"/>
          <w:spacing w:val="-21"/>
        </w:rPr>
        <w:t xml:space="preserve"> </w:t>
      </w:r>
      <w:r>
        <w:rPr>
          <w:rFonts w:ascii="Times New Roman" w:hAnsi="Times New Roman" w:cs="Times New Roman" w:eastAsia="Times New Roman" w:hint="ascii"/>
          <w:sz w:val="21"/>
        </w:rPr>
        <w:t xml:space="preserve">E02 </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3</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）燃料电</w:t>
      </w:r>
      <w:r>
        <w:rPr>
          <w:rFonts w:ascii="宋体" w:hAnsi="宋体" w:cs="宋体" w:eastAsia="宋体" w:hint="ascii"/>
          <w:sz w:val="21"/>
        </w:rPr>
        <w:t>池现场制氢系统设计与制造研究（申请代码</w:t>
      </w:r>
      <w:r>
        <w:rPr>
          <w:rFonts w:ascii="宋体" w:hAnsi="宋体" w:cs="宋体" w:eastAsia="宋体" w:hint="ascii"/>
          <w:sz w:val="21"/>
          <w:spacing w:val="-1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3"/>
        </w:rPr>
        <w:t xml:space="preserve"> </w:t>
      </w:r>
      <w:r>
        <w:rPr>
          <w:rFonts w:ascii="宋体" w:hAnsi="宋体" w:cs="宋体" w:eastAsia="宋体" w:hint="ascii"/>
          <w:sz w:val="21"/>
        </w:rPr>
        <w:t>选择</w:t>
      </w:r>
      <w:r>
        <w:rPr>
          <w:rFonts w:ascii="宋体" w:hAnsi="宋体" w:cs="宋体" w:eastAsia="宋体" w:hint="ascii"/>
          <w:sz w:val="21"/>
          <w:spacing w:val="-12"/>
        </w:rPr>
        <w:t xml:space="preserve">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13"/>
        </w:rPr>
        <w:t xml:space="preserve"> </w:t>
      </w:r>
      <w:r>
        <w:rPr>
          <w:rFonts w:ascii="宋体" w:hAnsi="宋体" w:cs="宋体" w:eastAsia="宋体" w:hint="ascii"/>
          <w:sz w:val="21"/>
        </w:rPr>
        <w:t>或</w:t>
      </w:r>
      <w:r>
        <w:rPr>
          <w:rFonts w:ascii="宋体" w:hAnsi="宋体" w:cs="宋体" w:eastAsia="宋体" w:hint="ascii"/>
          <w:sz w:val="21"/>
          <w:spacing w:val="-12"/>
        </w:rPr>
        <w:t xml:space="preserve"> </w:t>
      </w:r>
      <w:r>
        <w:rPr>
          <w:rFonts w:ascii="Times New Roman" w:hAnsi="Times New Roman" w:cs="Times New Roman" w:eastAsia="Times New Roman" w:hint="ascii"/>
          <w:sz w:val="21"/>
        </w:rPr>
        <w:t>E06</w:t>
      </w:r>
      <w:r>
        <w:rPr>
          <w:rFonts w:ascii="Times New Roman" w:hAnsi="Times New Roman" w:cs="Times New Roman" w:eastAsia="Times New Roman" w:hint="ascii"/>
          <w:sz w:val="21"/>
          <w:spacing w:val="-13"/>
        </w:rPr>
        <w:t xml:space="preserve"> </w:t>
      </w:r>
      <w:r>
        <w:rPr>
          <w:rFonts w:ascii="宋体" w:hAnsi="宋体" w:cs="宋体" w:eastAsia="宋体" w:hint="ascii"/>
          <w:sz w:val="21"/>
        </w:rPr>
        <w:t>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）无机非金属材料精益生产及产品性能精确调控基础研究（申请代</w:t>
      </w:r>
      <w:r>
        <w:rPr>
          <w:rFonts w:ascii="宋体" w:hAnsi="宋体" w:cs="宋体" w:eastAsia="宋体" w:hint="ascii"/>
          <w:sz w:val="21"/>
        </w:rPr>
        <w:t>码</w:t>
      </w:r>
      <w:r>
        <w:rPr>
          <w:rFonts w:ascii="宋体" w:hAnsi="宋体" w:cs="宋体" w:eastAsia="宋体" w:hint="ascii"/>
          <w:sz w:val="21"/>
          <w:spacing w:val="-21"/>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2"/>
        </w:rPr>
        <w:t xml:space="preserve"> </w:t>
      </w:r>
      <w:r>
        <w:rPr>
          <w:rFonts w:ascii="宋体" w:hAnsi="宋体" w:cs="宋体" w:eastAsia="宋体" w:hint="ascii"/>
          <w:sz w:val="21"/>
        </w:rPr>
        <w:t>选择</w:t>
      </w:r>
      <w:r>
        <w:rPr>
          <w:rFonts w:ascii="宋体" w:hAnsi="宋体" w:cs="宋体" w:eastAsia="宋体" w:hint="ascii"/>
          <w:sz w:val="21"/>
          <w:spacing w:val="-21"/>
        </w:rPr>
        <w:t xml:space="preserve"> </w:t>
      </w:r>
      <w:r>
        <w:rPr>
          <w:rFonts w:ascii="Times New Roman" w:hAnsi="Times New Roman" w:cs="Times New Roman" w:eastAsia="Times New Roman" w:hint="ascii"/>
          <w:sz w:val="21"/>
        </w:rPr>
        <w:t xml:space="preserve">E02 </w:t>
      </w:r>
      <w:r>
        <w:rPr>
          <w:rFonts w:ascii="宋体" w:hAnsi="宋体" w:cs="宋体" w:eastAsia="宋体" w:hint="ascii"/>
          <w:sz w:val="21"/>
          <w:spacing w:val="27"/>
        </w:rPr>
        <w:t>及</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5</w:t>
      </w:r>
      <w:r>
        <w:rPr>
          <w:rFonts w:ascii="宋体" w:hAnsi="宋体" w:cs="宋体" w:eastAsia="宋体" w:hint="ascii"/>
          <w:sz w:val="21"/>
        </w:rPr>
        <w:t>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 xml:space="preserve">）高端轴承智能设计与制造关键技术及服役可靠性研究（申请代码 </w:t>
      </w:r>
      <w:r>
        <w:rPr>
          <w:rFonts w:ascii="Times New Roman" w:hAnsi="Times New Roman" w:cs="Times New Roman" w:eastAsia="Times New Roman" w:hint="ascii"/>
          <w:sz w:val="21"/>
        </w:rPr>
        <w:t xml:space="preserve">1 </w:t>
      </w:r>
      <w:r>
        <w:rPr>
          <w:rFonts w:ascii="宋体" w:hAnsi="宋体" w:cs="宋体" w:eastAsia="宋体" w:hint="ascii"/>
          <w:sz w:val="21"/>
        </w:rPr>
        <w:t xml:space="preserve">选择 </w:t>
      </w:r>
      <w:r>
        <w:rPr>
          <w:rFonts w:ascii="Times New Roman" w:hAnsi="Times New Roman" w:cs="Times New Roman" w:eastAsia="Times New Roman" w:hint="ascii"/>
          <w:sz w:val="21"/>
        </w:rPr>
        <w:t xml:space="preserve">E05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75" w:left="965"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6</w:t>
      </w:r>
      <w:r>
        <w:rPr>
          <w:rFonts w:ascii="宋体" w:hAnsi="宋体" w:cs="宋体" w:eastAsia="宋体" w:hint="ascii"/>
          <w:sz w:val="21"/>
          <w:spacing w:val="-1"/>
        </w:rPr>
        <w:t>）医疗手术机</w:t>
      </w:r>
      <w:r>
        <w:rPr>
          <w:rFonts w:ascii="宋体" w:hAnsi="宋体" w:cs="宋体" w:eastAsia="宋体" w:hint="ascii"/>
          <w:sz w:val="21"/>
        </w:rPr>
        <w:t>器人定位定向装置设计与导航系统研究（申请代码</w:t>
      </w:r>
      <w:r>
        <w:rPr>
          <w:rFonts w:ascii="宋体" w:hAnsi="宋体" w:cs="宋体" w:eastAsia="宋体" w:hint="ascii"/>
          <w:sz w:val="21"/>
          <w:spacing w:val="-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
        </w:rPr>
        <w:t xml:space="preserve"> </w:t>
      </w:r>
      <w:r>
        <w:rPr>
          <w:rFonts w:ascii="宋体" w:hAnsi="宋体" w:cs="宋体" w:eastAsia="宋体" w:hint="ascii"/>
          <w:sz w:val="21"/>
        </w:rPr>
        <w:t xml:space="preserve">选择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3"/>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7</w:t>
      </w:r>
      <w:r>
        <w:rPr>
          <w:rFonts w:ascii="宋体" w:hAnsi="宋体" w:cs="宋体" w:eastAsia="宋体" w:hint="ascii"/>
          <w:sz w:val="21"/>
        </w:rPr>
        <w:t>）飞行器全机数值模拟气动优化设计理论与方法研究（申请代码</w:t>
      </w:r>
      <w:r>
        <w:rPr>
          <w:rFonts w:ascii="宋体" w:hAnsi="宋体" w:cs="宋体" w:eastAsia="宋体" w:hint="ascii"/>
          <w:sz w:val="21"/>
          <w:spacing w:val="-3"/>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3"/>
        </w:rPr>
        <w:t xml:space="preserve"> </w:t>
      </w:r>
      <w:r>
        <w:rPr>
          <w:rFonts w:ascii="宋体" w:hAnsi="宋体" w:cs="宋体" w:eastAsia="宋体" w:hint="ascii"/>
          <w:sz w:val="21"/>
        </w:rPr>
        <w:t xml:space="preserve">选择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3"/>
        </w:rPr>
        <w:t xml:space="preserve"> </w:t>
      </w:r>
      <w:r>
        <w:rPr>
          <w:rFonts w:ascii="宋体" w:hAnsi="宋体" w:cs="宋体" w:eastAsia="宋体" w:hint="ascii"/>
          <w:sz w:val="21"/>
        </w:rPr>
        <w:t>的</w:t>
      </w:r>
    </w:p>
    <w:p>
      <w:pPr>
        <w:autoSpaceDE w:val="0"/>
        <w:autoSpaceDN w:val="0"/>
        <w:jc w:val="left"/>
        <w:spacing w:before="28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下属代码</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312" locked="0" layoutInCell="1" allowOverlap="1">
                <wp:simplePos x="0" y="0"/>
                <wp:positionH relativeFrom="page">
                  <wp:posOffset>938530</wp:posOffset>
                </wp:positionH>
                <wp:positionV relativeFrom="page">
                  <wp:posOffset>819150</wp:posOffset>
                </wp:positionV>
                <wp:extent cx="5076190" cy="0"/>
                <wp:wrapNone/>
                <wp:docPr id="1340" name="134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38752;width:399.70pt;" id="134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8</w:t>
      </w:r>
      <w:r>
        <w:rPr>
          <w:rFonts w:ascii="宋体" w:hAnsi="宋体" w:cs="宋体" w:eastAsia="宋体" w:hint="ascii"/>
          <w:sz w:val="21"/>
        </w:rPr>
        <w:t>）高频低功耗软磁材料研究（申请代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1</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四、智慧城市领域</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围绕浙江省城市建设智慧化及可持续发展的重大需求，研究智慧城市领域亟待重点</w:t>
      </w:r>
    </w:p>
    <w:p>
      <w:pPr>
        <w:autoSpaceDE w:val="0"/>
        <w:autoSpaceDN w:val="0"/>
        <w:jc w:val="both"/>
        <w:spacing w:before="10" w:after="0" w:lineRule="exact" w:line="312"/>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突破的基础理论与关键技术，应用互联网、大数据等信息技术手段提升城市的科学决策与现代化管理水平，构建以大数据、云计算与物联网为基础的城市智慧管理与服务网络体系，为智慧城市产业化提供技术支撑。主要研究方向：</w:t>
      </w:r>
    </w:p>
    <w:p>
      <w:pPr>
        <w:autoSpaceDE w:val="0"/>
        <w:autoSpaceDN w:val="0"/>
        <w:jc w:val="left"/>
        <w:spacing w:before="0" w:after="0" w:lineRule="exact" w:line="312"/>
        <w:ind w:right="964"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1"/>
        </w:rPr>
        <w:t>1</w:t>
      </w:r>
      <w:r>
        <w:rPr>
          <w:rFonts w:ascii="宋体" w:hAnsi="宋体" w:cs="宋体" w:eastAsia="宋体" w:hint="ascii"/>
          <w:sz w:val="21"/>
        </w:rPr>
        <w:t>）</w:t>
      </w:r>
      <w:r>
        <w:rPr>
          <w:rFonts w:ascii="宋体" w:hAnsi="宋体" w:cs="宋体" w:eastAsia="宋体" w:hint="ascii"/>
          <w:sz w:val="21"/>
          <w:spacing w:val="-2"/>
        </w:rPr>
        <w:t>医学影像智能分析技术与方法研究（申请代</w:t>
      </w:r>
      <w:r>
        <w:rPr>
          <w:rFonts w:ascii="宋体" w:hAnsi="宋体" w:cs="宋体" w:eastAsia="宋体" w:hint="ascii"/>
          <w:sz w:val="21"/>
          <w:spacing w:val="24"/>
        </w:rPr>
        <w:t>码</w:t>
      </w:r>
      <w:r>
        <w:rPr>
          <w:rFonts w:ascii="Times New Roman" w:hAnsi="Times New Roman" w:cs="Times New Roman" w:eastAsia="Times New Roman" w:hint="ascii"/>
          <w:sz w:val="21"/>
          <w:spacing w:val="50"/>
        </w:rPr>
        <w:t>1</w:t>
      </w:r>
      <w:r>
        <w:rPr>
          <w:rFonts w:ascii="宋体" w:hAnsi="宋体" w:cs="宋体" w:eastAsia="宋体" w:hint="ascii"/>
          <w:sz w:val="21"/>
          <w:spacing w:val="-2"/>
        </w:rPr>
        <w:t>选</w:t>
      </w:r>
      <w:r>
        <w:rPr>
          <w:rFonts w:ascii="宋体" w:hAnsi="宋体" w:cs="宋体" w:eastAsia="宋体" w:hint="ascii"/>
          <w:sz w:val="21"/>
          <w:spacing w:val="24"/>
        </w:rPr>
        <w:t>择</w:t>
      </w:r>
      <w:r>
        <w:rPr>
          <w:rFonts w:ascii="Times New Roman" w:hAnsi="Times New Roman" w:cs="Times New Roman" w:eastAsia="Times New Roman" w:hint="ascii"/>
          <w:sz w:val="21"/>
          <w:spacing w:val="-2"/>
        </w:rPr>
        <w:t>F0</w:t>
      </w:r>
      <w:r>
        <w:rPr>
          <w:rFonts w:ascii="Times New Roman" w:hAnsi="Times New Roman" w:cs="Times New Roman" w:eastAsia="Times New Roman" w:hint="ascii"/>
          <w:sz w:val="21"/>
          <w:spacing w:val="50"/>
        </w:rPr>
        <w:t>2</w:t>
      </w:r>
      <w:r>
        <w:rPr>
          <w:rFonts w:ascii="宋体" w:hAnsi="宋体" w:cs="宋体" w:eastAsia="宋体" w:hint="ascii"/>
          <w:sz w:val="21"/>
          <w:spacing w:val="24"/>
        </w:rPr>
        <w:t>或</w:t>
      </w:r>
      <w:r>
        <w:rPr>
          <w:rFonts w:ascii="Times New Roman" w:hAnsi="Times New Roman" w:cs="Times New Roman" w:eastAsia="Times New Roman" w:hint="ascii"/>
          <w:sz w:val="21"/>
          <w:spacing w:val="-2"/>
        </w:rPr>
        <w:t>F</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0"/>
        </w:rPr>
        <w:t>3</w:t>
      </w:r>
      <w:r>
        <w:rPr>
          <w:rFonts w:ascii="宋体" w:hAnsi="宋体" w:cs="宋体" w:eastAsia="宋体" w:hint="ascii"/>
          <w:sz w:val="21"/>
          <w:spacing w:val="-2"/>
        </w:rPr>
        <w:t>的下属代码</w:t>
      </w:r>
      <w:r>
        <w:rPr>
          <w:rFonts w:ascii="宋体" w:hAnsi="宋体" w:cs="宋体" w:eastAsia="宋体" w:hint="ascii"/>
          <w:sz w:val="21"/>
          <w:spacing w:val="-53"/>
        </w:rPr>
        <w:t>）</w:t>
      </w: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）城市森林资源智能监测与防护关键技术研究（申请代码</w:t>
      </w:r>
      <w:r>
        <w:rPr>
          <w:rFonts w:ascii="宋体" w:hAnsi="宋体" w:cs="宋体" w:eastAsia="宋体" w:hint="ascii"/>
          <w:sz w:val="21"/>
          <w:spacing w:val="-10"/>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1"/>
        </w:rPr>
        <w:t xml:space="preserve"> </w:t>
      </w:r>
      <w:r>
        <w:rPr>
          <w:rFonts w:ascii="宋体" w:hAnsi="宋体" w:cs="宋体" w:eastAsia="宋体" w:hint="ascii"/>
          <w:sz w:val="21"/>
        </w:rPr>
        <w:t>选择</w:t>
      </w:r>
      <w:r>
        <w:rPr>
          <w:rFonts w:ascii="宋体" w:hAnsi="宋体" w:cs="宋体" w:eastAsia="宋体" w:hint="ascii"/>
          <w:sz w:val="21"/>
          <w:spacing w:val="-10"/>
        </w:rPr>
        <w:t xml:space="preserve"> </w:t>
      </w:r>
      <w:r>
        <w:rPr>
          <w:rFonts w:ascii="Times New Roman" w:hAnsi="Times New Roman" w:cs="Times New Roman" w:eastAsia="Times New Roman" w:hint="ascii"/>
          <w:sz w:val="21"/>
        </w:rPr>
        <w:t>F01</w:t>
      </w:r>
      <w:r>
        <w:rPr>
          <w:rFonts w:ascii="Times New Roman" w:hAnsi="Times New Roman" w:cs="Times New Roman" w:eastAsia="Times New Roman" w:hint="ascii"/>
          <w:sz w:val="21"/>
          <w:spacing w:val="-11"/>
        </w:rPr>
        <w:t xml:space="preserve"> </w:t>
      </w:r>
      <w:r>
        <w:rPr>
          <w:rFonts w:ascii="宋体" w:hAnsi="宋体" w:cs="宋体" w:eastAsia="宋体" w:hint="ascii"/>
          <w:sz w:val="21"/>
        </w:rPr>
        <w:t>或</w:t>
      </w:r>
      <w:r>
        <w:rPr>
          <w:rFonts w:ascii="宋体" w:hAnsi="宋体" w:cs="宋体" w:eastAsia="宋体" w:hint="ascii"/>
          <w:sz w:val="21"/>
          <w:spacing w:val="-10"/>
        </w:rPr>
        <w:t xml:space="preserve"> </w:t>
      </w:r>
      <w:r>
        <w:rPr>
          <w:rFonts w:ascii="Times New Roman" w:hAnsi="Times New Roman" w:cs="Times New Roman" w:eastAsia="Times New Roman" w:hint="ascii"/>
          <w:sz w:val="21"/>
        </w:rPr>
        <w:t>F02</w:t>
      </w:r>
      <w:r>
        <w:rPr>
          <w:rFonts w:ascii="Times New Roman" w:hAnsi="Times New Roman" w:cs="Times New Roman" w:eastAsia="Times New Roman" w:hint="ascii"/>
          <w:sz w:val="21"/>
          <w:spacing w:val="-11"/>
        </w:rPr>
        <w:t xml:space="preserve"> </w:t>
      </w:r>
      <w:r>
        <w:rPr>
          <w:rFonts w:ascii="宋体" w:hAnsi="宋体" w:cs="宋体" w:eastAsia="宋体" w:hint="ascii"/>
          <w:sz w:val="21"/>
        </w:rPr>
        <w:t>或</w:t>
      </w:r>
    </w:p>
    <w:p>
      <w:pPr>
        <w:autoSpaceDE w:val="0"/>
        <w:autoSpaceDN w:val="0"/>
        <w:jc w:val="left"/>
        <w:spacing w:before="40"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F0</w:t>
      </w:r>
      <w:r>
        <w:rPr>
          <w:rFonts w:ascii="Times New Roman" w:hAnsi="Times New Roman" w:cs="Times New Roman" w:eastAsia="Times New Roman" w:hint="ascii"/>
          <w:sz w:val="21"/>
          <w:spacing w:val="52"/>
        </w:rPr>
        <w:t>3</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181"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五、智慧海洋领域</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智慧海洋是认知海洋、经略海洋和保护海洋的重要载体，围绕浙江省国家级海洋经</w:t>
      </w:r>
    </w:p>
    <w:p>
      <w:pPr>
        <w:autoSpaceDE w:val="0"/>
        <w:autoSpaceDN w:val="0"/>
        <w:jc w:val="both"/>
        <w:spacing w:before="10" w:after="0" w:lineRule="exact" w:line="312"/>
        <w:ind w:right="964" w:left="966" w:firstLine="0"/>
        <w:snapToGrid w:val="0"/>
        <w:textAlignment w:val="auto"/>
        <w:tabs/>
        <w:rPr>
          <w:rFonts w:ascii="宋体" w:hAnsi="宋体" w:cs="宋体" w:eastAsia="宋体" w:hint="ascii"/>
          <w:sz w:val="21"/>
        </w:rPr>
      </w:pPr>
      <w:r>
        <w:rPr>
          <w:rFonts w:ascii="宋体" w:hAnsi="宋体" w:cs="宋体" w:eastAsia="宋体" w:hint="ascii"/>
          <w:sz w:val="21"/>
        </w:rPr>
        <w:t>济示范区建设发展的重大需求，重点研究海洋环境保护、海洋资源探测、海洋监测及海洋信息智能处理等新原理、新技术、新方法，为解决海洋资源开发利用、海洋灾害预警预报、海洋环境保障等重大科学问题提供科学和技术支撑。主要研究方向：</w:t>
      </w:r>
    </w:p>
    <w:p>
      <w:pPr>
        <w:autoSpaceDE w:val="0"/>
        <w:autoSpaceDN w:val="0"/>
        <w:jc w:val="both"/>
        <w:spacing w:before="0" w:after="0" w:lineRule="exact" w:line="312"/>
        <w:ind w:right="964"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）近岸油品大规模污染治理及应急关键技术研究（申请</w:t>
      </w:r>
      <w:r>
        <w:rPr>
          <w:rFonts w:ascii="宋体" w:hAnsi="宋体" w:cs="宋体" w:eastAsia="宋体" w:hint="ascii"/>
          <w:sz w:val="21"/>
        </w:rPr>
        <w:t>代码</w:t>
      </w:r>
      <w:r>
        <w:rPr>
          <w:rFonts w:ascii="宋体" w:hAnsi="宋体" w:cs="宋体" w:eastAsia="宋体" w:hint="ascii"/>
          <w:sz w:val="21"/>
          <w:spacing w:val="-9"/>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0"/>
        </w:rPr>
        <w:t xml:space="preserve"> </w:t>
      </w:r>
      <w:r>
        <w:rPr>
          <w:rFonts w:ascii="宋体" w:hAnsi="宋体" w:cs="宋体" w:eastAsia="宋体" w:hint="ascii"/>
          <w:sz w:val="21"/>
        </w:rPr>
        <w:t>选择</w:t>
      </w:r>
      <w:r>
        <w:rPr>
          <w:rFonts w:ascii="宋体" w:hAnsi="宋体" w:cs="宋体" w:eastAsia="宋体" w:hint="ascii"/>
          <w:sz w:val="21"/>
          <w:spacing w:val="-9"/>
        </w:rPr>
        <w:t xml:space="preserve"> </w:t>
      </w:r>
      <w:r>
        <w:rPr>
          <w:rFonts w:ascii="Times New Roman" w:hAnsi="Times New Roman" w:cs="Times New Roman" w:eastAsia="Times New Roman" w:hint="ascii"/>
          <w:sz w:val="21"/>
        </w:rPr>
        <w:t>D03</w:t>
      </w:r>
      <w:r>
        <w:rPr>
          <w:rFonts w:ascii="Times New Roman" w:hAnsi="Times New Roman" w:cs="Times New Roman" w:eastAsia="Times New Roman" w:hint="ascii"/>
          <w:sz w:val="21"/>
          <w:spacing w:val="-9"/>
        </w:rPr>
        <w:t xml:space="preserve"> </w:t>
      </w:r>
      <w:r>
        <w:rPr>
          <w:rFonts w:ascii="宋体" w:hAnsi="宋体" w:cs="宋体" w:eastAsia="宋体" w:hint="ascii"/>
          <w:sz w:val="21"/>
        </w:rPr>
        <w:t>或</w:t>
      </w:r>
      <w:r>
        <w:rPr>
          <w:rFonts w:ascii="宋体" w:hAnsi="宋体" w:cs="宋体" w:eastAsia="宋体" w:hint="ascii"/>
          <w:sz w:val="21"/>
          <w:spacing w:val="-9"/>
        </w:rPr>
        <w:t xml:space="preserve"> </w:t>
      </w:r>
      <w:r>
        <w:rPr>
          <w:rFonts w:ascii="Times New Roman" w:hAnsi="Times New Roman" w:cs="Times New Roman" w:eastAsia="Times New Roman" w:hint="ascii"/>
          <w:sz w:val="21"/>
        </w:rPr>
        <w:t xml:space="preserve">D06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89" w:left="1281" w:firstLine="0"/>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）海洋地震</w:t>
      </w:r>
      <w:r>
        <w:rPr>
          <w:rFonts w:ascii="宋体" w:hAnsi="宋体" w:cs="宋体" w:eastAsia="宋体" w:hint="ascii"/>
          <w:sz w:val="21"/>
        </w:rPr>
        <w:t>监测及其组网技术研究（申请代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4</w:t>
      </w:r>
      <w:r>
        <w:rPr>
          <w:rFonts w:ascii="宋体" w:hAnsi="宋体" w:cs="宋体" w:eastAsia="宋体" w:hint="ascii"/>
          <w:sz w:val="21"/>
          <w:spacing w:val="27"/>
        </w:rPr>
        <w:t>或</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）深远海智能化增养殖技术研究（申请代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6</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w:t>
      </w:r>
      <w:r>
        <w:rPr>
          <w:rFonts w:ascii="宋体" w:hAnsi="宋体" w:cs="宋体" w:eastAsia="宋体" w:hint="ascii"/>
          <w:sz w:val="21"/>
          <w:spacing w:val="-3"/>
        </w:rPr>
        <w:t>群岛</w:t>
      </w:r>
      <w:r>
        <w:rPr>
          <w:rFonts w:ascii="宋体" w:hAnsi="宋体" w:cs="宋体" w:eastAsia="宋体" w:hint="ascii"/>
          <w:sz w:val="21"/>
          <w:spacing w:val="-4"/>
        </w:rPr>
        <w:t>环</w:t>
      </w:r>
      <w:r>
        <w:rPr>
          <w:rFonts w:ascii="宋体" w:hAnsi="宋体" w:cs="宋体" w:eastAsia="宋体" w:hint="ascii"/>
          <w:sz w:val="21"/>
          <w:spacing w:val="-3"/>
        </w:rPr>
        <w:t>境下的空海地通信一体化网络研究（申请代</w:t>
      </w:r>
      <w:r>
        <w:rPr>
          <w:rFonts w:ascii="宋体" w:hAnsi="宋体" w:cs="宋体" w:eastAsia="宋体" w:hint="ascii"/>
          <w:sz w:val="21"/>
          <w:spacing w:val="22"/>
        </w:rPr>
        <w:t>码</w:t>
      </w:r>
      <w:r>
        <w:rPr>
          <w:rFonts w:ascii="Times New Roman" w:hAnsi="Times New Roman" w:cs="Times New Roman" w:eastAsia="Times New Roman" w:hint="ascii"/>
          <w:sz w:val="21"/>
          <w:spacing w:val="47"/>
        </w:rPr>
        <w:t>1</w:t>
      </w:r>
      <w:r>
        <w:rPr>
          <w:rFonts w:ascii="宋体" w:hAnsi="宋体" w:cs="宋体" w:eastAsia="宋体" w:hint="ascii"/>
          <w:sz w:val="21"/>
          <w:spacing w:val="-3"/>
        </w:rPr>
        <w:t>选</w:t>
      </w:r>
      <w:r>
        <w:rPr>
          <w:rFonts w:ascii="宋体" w:hAnsi="宋体" w:cs="宋体" w:eastAsia="宋体" w:hint="ascii"/>
          <w:sz w:val="21"/>
          <w:spacing w:val="23"/>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47"/>
        </w:rPr>
        <w:t>6</w:t>
      </w:r>
      <w:r>
        <w:rPr>
          <w:rFonts w:ascii="宋体" w:hAnsi="宋体" w:cs="宋体" w:eastAsia="宋体" w:hint="ascii"/>
          <w:sz w:val="21"/>
          <w:spacing w:val="-3"/>
        </w:rPr>
        <w:t>的下属代码</w:t>
      </w:r>
      <w:r>
        <w:rPr>
          <w:rFonts w:ascii="宋体" w:hAnsi="宋体" w:cs="宋体" w:eastAsia="宋体" w:hint="ascii"/>
          <w:sz w:val="21"/>
          <w:spacing w:val="-54"/>
        </w:rPr>
        <w:t>）</w:t>
      </w:r>
      <w:r>
        <w:rPr>
          <w:rFonts w:ascii="宋体" w:hAnsi="宋体" w:cs="宋体" w:eastAsia="宋体" w:hint="ascii"/>
          <w:sz w:val="21"/>
        </w:rPr>
        <w:t>。</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19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0" w:after="0" w:lineRule="exact" w:line="312"/>
        <w:ind w:right="964"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）申请书资助类别选择“联合基金项目</w:t>
      </w:r>
      <w:r>
        <w:rPr>
          <w:rFonts w:ascii="宋体" w:hAnsi="宋体" w:cs="宋体" w:eastAsia="宋体" w:hint="ascii"/>
          <w:sz w:val="21"/>
          <w:spacing w:val="-52"/>
        </w:rPr>
        <w:t>”</w:t>
      </w:r>
      <w:r>
        <w:rPr>
          <w:rFonts w:ascii="宋体" w:hAnsi="宋体" w:cs="宋体" w:eastAsia="宋体" w:hint="ascii"/>
          <w:sz w:val="21"/>
        </w:rPr>
        <w:t>，亚类说明选择“重点支持项目</w:t>
      </w:r>
      <w:r>
        <w:rPr>
          <w:rFonts w:ascii="宋体" w:hAnsi="宋体" w:cs="宋体" w:eastAsia="宋体" w:hint="ascii"/>
          <w:sz w:val="21"/>
          <w:spacing w:val="-52"/>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浙江两化融合联合基金</w:t>
      </w:r>
      <w:r>
        <w:rPr>
          <w:rFonts w:ascii="宋体" w:hAnsi="宋体" w:cs="宋体" w:eastAsia="宋体" w:hint="ascii"/>
          <w:sz w:val="21"/>
          <w:spacing w:val="-52"/>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必须按本《指南》要求选择。</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）本联合基金面向全国，鼓励申请人与浙江省内具有一定研究实力和研究条件的</w:t>
      </w:r>
    </w:p>
    <w:p>
      <w:pPr>
        <w:autoSpaceDE w:val="0"/>
        <w:autoSpaceDN w:val="0"/>
        <w:jc w:val="both"/>
        <w:spacing w:before="10" w:after="0" w:lineRule="exact" w:line="312"/>
        <w:ind w:right="964" w:left="966" w:firstLine="0"/>
        <w:snapToGrid w:val="0"/>
        <w:textAlignment w:val="auto"/>
        <w:tabs/>
        <w:rPr>
          <w:rFonts w:ascii="宋体" w:hAnsi="宋体" w:cs="宋体" w:eastAsia="宋体" w:hint="ascii"/>
          <w:sz w:val="21"/>
        </w:rPr>
      </w:pPr>
      <w:r>
        <w:rPr>
          <w:rFonts w:ascii="宋体" w:hAnsi="宋体" w:cs="宋体" w:eastAsia="宋体" w:hint="ascii"/>
          <w:sz w:val="21"/>
        </w:rPr>
        <w:t>高等院校或研究机构开展合作研究。对于合作研究项目，应当在申请书中明确合作各方的合作内容、主要分工等有关问题。</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）申请项目应当符合本《指南》的资助范围与要求。项目名称、具体研究方案、</w:t>
      </w:r>
    </w:p>
    <w:p>
      <w:pPr>
        <w:autoSpaceDE w:val="0"/>
        <w:autoSpaceDN w:val="0"/>
        <w:jc w:val="both"/>
        <w:spacing w:before="10" w:after="0" w:lineRule="exact" w:line="312"/>
        <w:ind w:right="964" w:left="966" w:firstLine="0"/>
        <w:snapToGrid w:val="0"/>
        <w:textAlignment w:val="auto"/>
        <w:tabs/>
        <w:rPr>
          <w:rFonts w:ascii="宋体" w:hAnsi="宋体" w:cs="宋体" w:eastAsia="宋体" w:hint="ascii"/>
          <w:sz w:val="21"/>
        </w:rPr>
      </w:pPr>
      <w:r>
        <w:rPr>
          <w:rFonts w:ascii="宋体" w:hAnsi="宋体" w:cs="宋体" w:eastAsia="宋体" w:hint="ascii"/>
          <w:sz w:val="21"/>
        </w:rPr>
        <w:t>研究内容和目标等由申请人提出，要求申请人按照重点支持项目申请书撰写提纲撰写申请书。如果申请人已经承担与本联合基金相关的国家其他科技计划项目，应当在申请书正文的“研究基础与工作条件”部分论述申请项目与其他相关项目的区别与联系。</w:t>
      </w:r>
    </w:p>
    <w:p>
      <w:pPr>
        <w:autoSpaceDE w:val="0"/>
        <w:autoSpaceDN w:val="0"/>
        <w:jc w:val="left"/>
        <w:spacing w:before="164" w:after="0" w:lineRule="exact" w:line="300"/>
        <w:ind w:right="0" w:left="138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rPr>
      </w:pPr>
      <w:r>
        <w:rPr>
          <w:rFonts w:ascii="宋体" w:hAnsi="宋体" w:cs="宋体" w:eastAsia="宋体" w:hint="ascii"/>
        </w:rPr>
        <w:t>联系方式</w:t>
      </w:r>
      <w:rPr>
        <w:rFonts w:ascii="宋体" w:hAnsi="宋体" w:cs="宋体" w:eastAsia="宋体" w:hint="ascii"/>
      </w:rPr>
    </w:p>
    <w:p>
      <w:pPr>
        <w:autoSpaceDE w:val="0"/>
        <w:autoSpaceDN w:val="0"/>
        <w:jc w:val="left"/>
        <w:spacing w:before="197" w:after="0" w:lineRule="exact" w:line="263"/>
        <w:ind w:right="0" w:left="1362" w:firstLine="0"/>
        <w:snapToGrid w:val="0"/>
        <w:textAlignment w:val="auto"/>
        <w:tabs/>
        <w:rPr>
          <w:rFonts w:ascii="宋体" w:hAnsi="宋体" w:cs="宋体" w:eastAsia="宋体" w:hint="ascii"/>
          <w:sz w:val="21"/>
        </w:rPr>
      </w:pPr>
      <w:r>
        <w:rPr>
          <w:rFonts w:ascii="宋体" w:hAnsi="宋体" w:cs="宋体" w:eastAsia="宋体" w:hint="ascii"/>
          <w:sz w:val="21"/>
          <w:spacing w:val="-6"/>
        </w:rPr>
        <w:t>国家自然科学基金委员会计划</w:t>
      </w:r>
      <w:r>
        <w:rPr>
          <w:rFonts w:ascii="宋体" w:hAnsi="宋体" w:cs="宋体" w:eastAsia="宋体" w:hint="ascii"/>
          <w:sz w:val="21"/>
        </w:rPr>
        <w:t>局</w:t>
      </w:r>
    </w:p>
    <w:p>
      <w:pPr>
        <w:autoSpaceDE w:val="0"/>
        <w:autoSpaceDN w:val="0"/>
        <w:jc w:val="both"/>
        <w:spacing w:before="10" w:after="0" w:lineRule="exact" w:line="312"/>
        <w:ind w:right="0" w:left="1362"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4"/>
        </w:rPr>
        <w:t>地</w:t>
      </w:r>
      <w:r>
        <w:rPr>
          <w:rFonts w:ascii="宋体" w:hAnsi="宋体" w:cs="宋体" w:eastAsia="宋体" w:hint="ascii"/>
          <w:sz w:val="21"/>
          <w:spacing w:val="135"/>
        </w:rPr>
        <w:t xml:space="preserve"> </w:t>
      </w:r>
      <w:r>
        <w:rPr>
          <w:rFonts w:ascii="宋体" w:hAnsi="宋体" w:cs="宋体" w:eastAsia="宋体" w:hint="ascii"/>
          <w:sz w:val="21"/>
          <w:spacing w:val="-10"/>
        </w:rPr>
        <w:t>址：北京市海淀区双清</w:t>
      </w:r>
      <w:r>
        <w:rPr>
          <w:rFonts w:ascii="宋体" w:hAnsi="宋体" w:cs="宋体" w:eastAsia="宋体" w:hint="ascii"/>
          <w:sz w:val="21"/>
          <w:spacing w:val="15"/>
        </w:rPr>
        <w:t>路</w:t>
      </w:r>
      <w:r>
        <w:rPr>
          <w:rFonts w:ascii="Times New Roman" w:hAnsi="Times New Roman" w:cs="Times New Roman" w:eastAsia="Times New Roman" w:hint="ascii"/>
          <w:sz w:val="21"/>
          <w:spacing w:val="-11"/>
        </w:rPr>
        <w:t>8</w:t>
      </w:r>
      <w:r>
        <w:rPr>
          <w:rFonts w:ascii="Times New Roman" w:hAnsi="Times New Roman" w:cs="Times New Roman" w:eastAsia="Times New Roman" w:hint="ascii"/>
          <w:sz w:val="21"/>
          <w:spacing w:val="40"/>
        </w:rPr>
        <w:t>3</w:t>
      </w:r>
      <w:r>
        <w:rPr>
          <w:rFonts w:ascii="宋体" w:hAnsi="宋体" w:cs="宋体" w:eastAsia="宋体" w:hint="ascii"/>
          <w:sz w:val="21"/>
          <w:spacing w:val="-3"/>
        </w:rPr>
        <w:t>号</w:t>
      </w:r>
      <w:r>
        <w:rPr>
          <w:rFonts w:ascii="宋体" w:hAnsi="宋体" w:cs="宋体" w:eastAsia="宋体" w:hint="ascii"/>
          <w:sz w:val="21"/>
        </w:rPr>
        <w:t xml:space="preserve"> 邮</w:t>
      </w:r>
      <w:r>
        <w:rPr>
          <w:rFonts w:ascii="宋体" w:hAnsi="宋体" w:cs="宋体" w:eastAsia="宋体" w:hint="ascii"/>
          <w:sz w:val="21"/>
          <w:spacing w:val="139"/>
        </w:rPr>
        <w:t xml:space="preserve"> </w:t>
      </w:r>
      <w:r>
        <w:rPr>
          <w:rFonts w:ascii="宋体" w:hAnsi="宋体" w:cs="宋体" w:eastAsia="宋体" w:hint="ascii"/>
          <w:sz w:val="21"/>
          <w:spacing w:val="-6"/>
        </w:rPr>
        <w:t>编：</w:t>
      </w:r>
      <w:r>
        <w:rPr>
          <w:rFonts w:ascii="Times New Roman" w:hAnsi="Times New Roman" w:cs="Times New Roman" w:eastAsia="Times New Roman" w:hint="ascii"/>
          <w:sz w:val="21"/>
          <w:spacing w:val="-5"/>
        </w:rPr>
        <w:t>1</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5"/>
        </w:rPr>
        <w:t>0</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rPr>
        <w:t>5</w:t>
      </w:r>
    </w:p>
    <w:p>
      <w:pPr>
        <w:autoSpaceDE w:val="0"/>
        <w:autoSpaceDN w:val="0"/>
        <w:jc w:val="left"/>
        <w:spacing w:before="197"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spacing w:val="-6"/>
        </w:rPr>
        <w:t>浙江省自然科学基金委员会办公</w:t>
      </w:r>
      <w:r>
        <w:rPr>
          <w:rFonts w:ascii="宋体" w:hAnsi="宋体" w:cs="宋体" w:eastAsia="宋体" w:hint="ascii"/>
          <w:sz w:val="21"/>
        </w:rPr>
        <w:t>室</w:t>
      </w:r>
    </w:p>
    <w:p>
      <w:pPr>
        <w:autoSpaceDE w:val="0"/>
        <w:autoSpaceDN w:val="0"/>
        <w:jc w:val="both"/>
        <w:spacing w:before="10" w:after="0" w:lineRule="exact" w:line="312"/>
        <w:ind w:right="1305" w:left="0" w:firstLine="0"/>
        <w:snapToGrid w:val="0"/>
        <w:textAlignment w:val="auto"/>
        <w:tabs/>
        <w:sectPr>
          <w:type w:val="continuous"/>
          <w:pgSz w:w="10940" w:h="15080" w:orient="portrait"/>
          <w:pgMar w:top="508" w:right="508" w:bottom="508" w:left="508" w:header="0" w:footer="0" w:gutter="0"/>
          <w:cols w:num="2" w:space="0" w:equalWidth="0">
            <w:col w:w="4640" w:space="610"/>
            <w:col w:w="467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spacing w:val="-4"/>
        </w:rPr>
        <w:t>地</w:t>
      </w:r>
      <w:r>
        <w:rPr>
          <w:rFonts w:ascii="宋体" w:hAnsi="宋体" w:cs="宋体" w:eastAsia="宋体" w:hint="ascii"/>
          <w:sz w:val="21"/>
          <w:spacing w:val="135"/>
        </w:rPr>
        <w:t xml:space="preserve"> </w:t>
      </w:r>
      <w:r>
        <w:rPr>
          <w:rFonts w:ascii="宋体" w:hAnsi="宋体" w:cs="宋体" w:eastAsia="宋体" w:hint="ascii"/>
          <w:sz w:val="21"/>
          <w:spacing w:val="-10"/>
        </w:rPr>
        <w:t>址：杭州市文一</w:t>
      </w:r>
      <w:r>
        <w:rPr>
          <w:rFonts w:ascii="宋体" w:hAnsi="宋体" w:cs="宋体" w:eastAsia="宋体" w:hint="ascii"/>
          <w:sz w:val="21"/>
          <w:spacing w:val="15"/>
        </w:rPr>
        <w:t>路</w:t>
      </w:r>
      <w:r>
        <w:rPr>
          <w:rFonts w:ascii="Times New Roman" w:hAnsi="Times New Roman" w:cs="Times New Roman" w:eastAsia="Times New Roman" w:hint="ascii"/>
          <w:sz w:val="21"/>
          <w:spacing w:val="-18"/>
        </w:rPr>
        <w:t>1</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spacing w:val="39"/>
        </w:rPr>
        <w:t>5</w:t>
      </w:r>
      <w:r>
        <w:rPr>
          <w:rFonts w:ascii="宋体" w:hAnsi="宋体" w:cs="宋体" w:eastAsia="宋体" w:hint="ascii"/>
          <w:sz w:val="21"/>
          <w:spacing w:val="-10"/>
        </w:rPr>
        <w:t>号实</w:t>
      </w:r>
      <w:r>
        <w:rPr>
          <w:rFonts w:ascii="宋体" w:hAnsi="宋体" w:cs="宋体" w:eastAsia="宋体" w:hint="ascii"/>
          <w:sz w:val="21"/>
          <w:spacing w:val="-9"/>
        </w:rPr>
        <w:t>验</w:t>
      </w:r>
      <w:r>
        <w:rPr>
          <w:rFonts w:ascii="宋体" w:hAnsi="宋体" w:cs="宋体" w:eastAsia="宋体" w:hint="ascii"/>
          <w:sz w:val="21"/>
          <w:spacing w:val="-3"/>
        </w:rPr>
        <w:t>楼</w:t>
      </w:r>
      <w:r>
        <w:rPr>
          <w:rFonts w:ascii="宋体" w:hAnsi="宋体" w:cs="宋体" w:eastAsia="宋体" w:hint="ascii"/>
          <w:sz w:val="21"/>
        </w:rPr>
        <w:t xml:space="preserve"> 邮</w:t>
      </w:r>
      <w:r>
        <w:rPr>
          <w:rFonts w:ascii="宋体" w:hAnsi="宋体" w:cs="宋体" w:eastAsia="宋体" w:hint="ascii"/>
          <w:sz w:val="21"/>
          <w:spacing w:val="139"/>
        </w:rPr>
        <w:t xml:space="preserve"> </w:t>
      </w:r>
      <w:r>
        <w:rPr>
          <w:rFonts w:ascii="宋体" w:hAnsi="宋体" w:cs="宋体" w:eastAsia="宋体" w:hint="ascii"/>
          <w:sz w:val="21"/>
          <w:spacing w:val="-6"/>
        </w:rPr>
        <w:t>编：</w:t>
      </w:r>
      <w:r>
        <w:rPr>
          <w:rFonts w:ascii="Times New Roman" w:hAnsi="Times New Roman" w:cs="Times New Roman" w:eastAsia="Times New Roman" w:hint="ascii"/>
          <w:sz w:val="21"/>
          <w:spacing w:val="-5"/>
        </w:rPr>
        <w:t>3</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5"/>
        </w:rPr>
        <w:t>0</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5"/>
        </w:rPr>
        <w:t>1</w:t>
      </w:r>
      <w:r>
        <w:rPr>
          <w:rFonts w:ascii="Times New Roman" w:hAnsi="Times New Roman" w:cs="Times New Roman" w:eastAsia="Times New Roman" w:hint="ascii"/>
          <w:sz w:val="21"/>
        </w:rPr>
        <w:t>2</w:t>
      </w:r>
      <w:rPr>
        <w:rFonts w:ascii="Times New Roman" w:hAnsi="Times New Roman" w:cs="Times New Roman" w:eastAsia="Times New Roman" w:hint="ascii"/>
        <w:sz w:val="21"/>
      </w:rPr>
    </w:p>
    <w:p>
      <w:pPr>
        <w:autoSpaceDE w:val="0"/>
        <w:autoSpaceDN w:val="0"/>
        <w:jc w:val="left"/>
        <w:spacing w:before="282"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81" w:after="0" w:lineRule="exact" w:line="263"/>
        <w:ind w:right="0" w:left="1362"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2"/>
        </w:rPr>
        <w:t xml:space="preserve"> </w:t>
      </w:r>
      <w:r>
        <w:rPr>
          <w:rFonts w:ascii="宋体" w:hAnsi="宋体" w:cs="宋体" w:eastAsia="宋体" w:hint="ascii"/>
          <w:sz w:val="21"/>
        </w:rPr>
        <w:t>系</w:t>
      </w:r>
      <w:r>
        <w:rPr>
          <w:rFonts w:ascii="宋体" w:hAnsi="宋体" w:cs="宋体" w:eastAsia="宋体" w:hint="ascii"/>
          <w:sz w:val="21"/>
          <w:spacing w:val="-12"/>
        </w:rPr>
        <w:t xml:space="preserve"> </w:t>
      </w:r>
      <w:r>
        <w:rPr>
          <w:rFonts w:ascii="宋体" w:hAnsi="宋体" w:cs="宋体" w:eastAsia="宋体" w:hint="ascii"/>
          <w:sz w:val="21"/>
          <w:spacing w:val="-6"/>
        </w:rPr>
        <w:t>人：</w:t>
      </w:r>
      <w:r>
        <w:rPr>
          <w:rFonts w:ascii="宋体" w:hAnsi="宋体" w:cs="宋体" w:eastAsia="宋体" w:hint="ascii"/>
          <w:sz w:val="21"/>
        </w:rPr>
        <w:t>雷</w:t>
      </w:r>
      <w:r>
        <w:rPr>
          <w:rFonts w:ascii="宋体" w:hAnsi="宋体" w:cs="宋体" w:eastAsia="宋体" w:hint="ascii"/>
          <w:sz w:val="21"/>
          <w:spacing w:val="34"/>
        </w:rPr>
        <w:t xml:space="preserve"> </w:t>
      </w:r>
      <w:r>
        <w:rPr>
          <w:rFonts w:ascii="宋体" w:hAnsi="宋体" w:cs="宋体" w:eastAsia="宋体" w:hint="ascii"/>
          <w:sz w:val="21"/>
        </w:rPr>
        <w:t>蓉</w:t>
      </w:r>
      <w:r>
        <w:rPr>
          <w:rFonts w:ascii="宋体" w:hAnsi="宋体" w:cs="宋体" w:eastAsia="宋体" w:hint="ascii"/>
          <w:sz w:val="21"/>
          <w:spacing w:val="40"/>
        </w:rPr>
        <w:t xml:space="preserve"> </w:t>
      </w:r>
      <w:r>
        <w:rPr>
          <w:rFonts w:ascii="宋体" w:hAnsi="宋体" w:cs="宋体" w:eastAsia="宋体" w:hint="ascii"/>
          <w:sz w:val="21"/>
        </w:rPr>
        <w:t>王</w:t>
      </w:r>
      <w:r>
        <w:rPr>
          <w:rFonts w:ascii="宋体" w:hAnsi="宋体" w:cs="宋体" w:eastAsia="宋体" w:hint="ascii"/>
          <w:sz w:val="21"/>
          <w:spacing w:val="35"/>
        </w:rPr>
        <w:t xml:space="preserve"> </w:t>
      </w:r>
      <w:r>
        <w:rPr>
          <w:rFonts w:ascii="宋体" w:hAnsi="宋体" w:cs="宋体" w:eastAsia="宋体" w:hint="ascii"/>
          <w:sz w:val="21"/>
        </w:rPr>
        <w:t>岩</w:t>
      </w:r>
      <w:r>
        <w:rPr>
          <w:rFonts w:ascii="宋体" w:hAnsi="宋体" w:cs="宋体" w:eastAsia="宋体" w:hint="ascii"/>
          <w:sz w:val="21"/>
        </w:rPr>
        <mc:AlternateContent>
          <mc:Choice Requires="wps">
            <w:drawing>
              <wp:anchor distL="0" distR="0" distT="0" distB="0" simplePos="0" behindDoc="1" relativeHeight="313" locked="0" layoutInCell="1" allowOverlap="1">
                <wp:simplePos x="0" y="0"/>
                <wp:positionH relativeFrom="page">
                  <wp:posOffset>938530</wp:posOffset>
                </wp:positionH>
                <wp:positionV relativeFrom="page">
                  <wp:posOffset>805815</wp:posOffset>
                </wp:positionV>
                <wp:extent cx="5076190" cy="0"/>
                <wp:wrapNone/>
                <wp:docPr id="1341" name="134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37728;width:399.70pt;" id="134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12"/>
        <w:ind w:right="0" w:left="1362"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37"/>
        </w:rPr>
        <w:t xml:space="preserve"> </w:t>
      </w:r>
      <w:r>
        <w:rPr>
          <w:rFonts w:ascii="宋体" w:hAnsi="宋体" w:cs="宋体" w:eastAsia="宋体" w:hint="ascii"/>
          <w:sz w:val="21"/>
          <w:spacing w:val="-8"/>
        </w:rPr>
        <w:t>话：</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spacing w:val="-7"/>
        </w:rPr>
        <w:t>0</w:t>
      </w:r>
      <w:r>
        <w:rPr>
          <w:rFonts w:ascii="宋体" w:hAnsi="宋体" w:cs="宋体" w:eastAsia="宋体" w:hint="ascii"/>
          <w:sz w:val="21"/>
          <w:spacing w:val="-9"/>
        </w:rPr>
        <w:t>-</w:t>
      </w:r>
      <w:r>
        <w:rPr>
          <w:rFonts w:ascii="Times New Roman" w:hAnsi="Times New Roman" w:cs="Times New Roman" w:eastAsia="Times New Roman" w:hint="ascii"/>
          <w:sz w:val="21"/>
          <w:spacing w:val="-7"/>
        </w:rPr>
        <w:t>6</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7"/>
        </w:rPr>
        <w:t>3</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7"/>
        </w:rPr>
        <w:t>8</w:t>
      </w:r>
      <w:r>
        <w:rPr>
          <w:rFonts w:ascii="Times New Roman" w:hAnsi="Times New Roman" w:cs="Times New Roman" w:eastAsia="Times New Roman" w:hint="ascii"/>
          <w:sz w:val="21"/>
          <w:spacing w:val="-9"/>
        </w:rPr>
        <w:t>4</w:t>
      </w:r>
      <w:r>
        <w:rPr>
          <w:rFonts w:ascii="Times New Roman" w:hAnsi="Times New Roman" w:cs="Times New Roman" w:eastAsia="Times New Roman" w:hint="ascii"/>
          <w:sz w:val="21"/>
          <w:spacing w:val="-7"/>
        </w:rPr>
        <w:t>8</w:t>
      </w:r>
      <w:r>
        <w:rPr>
          <w:rFonts w:ascii="Times New Roman" w:hAnsi="Times New Roman" w:cs="Times New Roman" w:eastAsia="Times New Roman" w:hint="ascii"/>
          <w:sz w:val="21"/>
          <w:spacing w:val="-9"/>
        </w:rPr>
        <w:t>4</w:t>
      </w:r>
      <w:r>
        <w:rPr>
          <w:rFonts w:ascii="宋体" w:hAnsi="宋体" w:cs="宋体" w:eastAsia="宋体" w:hint="ascii"/>
          <w:sz w:val="21"/>
          <w:spacing w:val="-8"/>
        </w:rPr>
        <w:t>，</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9"/>
        </w:rPr>
        <w:t>1</w:t>
      </w:r>
      <w:r>
        <w:rPr>
          <w:rFonts w:ascii="Times New Roman" w:hAnsi="Times New Roman" w:cs="Times New Roman" w:eastAsia="Times New Roman" w:hint="ascii"/>
          <w:sz w:val="21"/>
          <w:spacing w:val="-7"/>
        </w:rPr>
        <w:t>0</w:t>
      </w:r>
      <w:r>
        <w:rPr>
          <w:rFonts w:ascii="宋体" w:hAnsi="宋体" w:cs="宋体" w:eastAsia="宋体" w:hint="ascii"/>
          <w:sz w:val="21"/>
          <w:spacing w:val="-9"/>
        </w:rPr>
        <w:t>-</w:t>
      </w:r>
      <w:r>
        <w:rPr>
          <w:rFonts w:ascii="Times New Roman" w:hAnsi="Times New Roman" w:cs="Times New Roman" w:eastAsia="Times New Roman" w:hint="ascii"/>
          <w:sz w:val="21"/>
          <w:spacing w:val="-7"/>
        </w:rPr>
        <w:t>6</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6"/>
        </w:rPr>
        <w:t>3</w:t>
      </w:r>
      <w:r>
        <w:rPr>
          <w:rFonts w:ascii="Times New Roman" w:hAnsi="Times New Roman" w:cs="Times New Roman" w:eastAsia="Times New Roman" w:hint="ascii"/>
          <w:sz w:val="21"/>
          <w:spacing w:val="-8"/>
        </w:rPr>
        <w:t>2</w:t>
      </w:r>
      <w:r>
        <w:rPr>
          <w:rFonts w:ascii="Times New Roman" w:hAnsi="Times New Roman" w:cs="Times New Roman" w:eastAsia="Times New Roman" w:hint="ascii"/>
          <w:sz w:val="21"/>
          <w:spacing w:val="-6"/>
        </w:rPr>
        <w:t>7</w:t>
      </w:r>
      <w:r>
        <w:rPr>
          <w:rFonts w:ascii="Times New Roman" w:hAnsi="Times New Roman" w:cs="Times New Roman" w:eastAsia="Times New Roman" w:hint="ascii"/>
          <w:sz w:val="21"/>
          <w:spacing w:val="-8"/>
        </w:rPr>
        <w:t>0</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1"/>
        </w:rPr>
        <w:t>5</w:t>
      </w:r>
      <w:r>
        <w:rPr>
          <w:rFonts w:ascii="Times New Roman" w:hAnsi="Times New Roman" w:cs="Times New Roman" w:eastAsia="Times New Roman" w:hint="ascii"/>
          <w:sz w:val="21"/>
        </w:rPr>
        <w:t xml:space="preserve"> </w:t>
      </w:r>
      <w:r>
        <w:rPr>
          <w:rFonts w:ascii="宋体" w:hAnsi="宋体" w:cs="宋体" w:eastAsia="宋体" w:hint="ascii"/>
          <w:sz w:val="21"/>
          <w:spacing w:val="-6"/>
        </w:rPr>
        <w:t>电子邮件</w:t>
      </w:r>
      <w:r>
        <w:rPr>
          <w:rFonts w:ascii="宋体" w:hAnsi="宋体" w:cs="宋体" w:eastAsia="宋体" w:hint="ascii"/>
          <w:sz w:val="21"/>
          <w:spacing w:val="-5"/>
        </w:rPr>
        <w:t>：</w:t>
      </w:r>
      <w:r>
        <w:rPr>
          <w:rFonts w:ascii="Times New Roman" w:hAnsi="Times New Roman" w:cs="Times New Roman" w:eastAsia="Times New Roman" w:hint="ascii"/>
          <w:sz w:val="21"/>
          <w:spacing w:val="-7"/>
        </w:rPr>
        <w:t>l</w:t>
      </w:r>
      <w:r>
        <w:rPr>
          <w:rFonts w:ascii="Times New Roman" w:hAnsi="Times New Roman" w:cs="Times New Roman" w:eastAsia="Times New Roman" w:hint="ascii"/>
          <w:sz w:val="21"/>
          <w:spacing w:val="-6"/>
        </w:rPr>
        <w:t>e</w:t>
      </w:r>
      <w:r>
        <w:rPr>
          <w:rFonts w:ascii="Times New Roman" w:hAnsi="Times New Roman" w:cs="Times New Roman" w:eastAsia="Times New Roman" w:hint="ascii"/>
          <w:sz w:val="21"/>
          <w:spacing w:val="-7"/>
        </w:rPr>
        <w:t>i</w:t>
      </w:r>
      <w:r>
        <w:rPr>
          <w:rFonts w:ascii="Times New Roman" w:hAnsi="Times New Roman" w:cs="Times New Roman" w:eastAsia="Times New Roman" w:hint="ascii"/>
          <w:sz w:val="21"/>
          <w:spacing w:val="-6"/>
        </w:rPr>
        <w:t>rong</w:t>
      </w:r>
      <w:r>
        <w:rPr>
          <w:rFonts w:ascii="Times New Roman" w:hAnsi="Times New Roman" w:cs="Times New Roman" w:eastAsia="Times New Roman" w:hint="ascii"/>
          <w:sz w:val="21"/>
          <w:spacing w:val="-7"/>
        </w:rPr>
        <w:t>@</w:t>
      </w:r>
      <w:r>
        <w:rPr>
          <w:rFonts w:ascii="Times New Roman" w:hAnsi="Times New Roman" w:cs="Times New Roman" w:eastAsia="Times New Roman" w:hint="ascii"/>
          <w:sz w:val="21"/>
          <w:spacing w:val="-6"/>
        </w:rPr>
        <w:t>nsfc.</w:t>
      </w:r>
      <w:r>
        <w:rPr>
          <w:rFonts w:ascii="Times New Roman" w:hAnsi="Times New Roman" w:cs="Times New Roman" w:eastAsia="Times New Roman" w:hint="ascii"/>
          <w:sz w:val="21"/>
          <w:spacing w:val="-7"/>
        </w:rPr>
        <w:t>go</w:t>
      </w:r>
      <w:r>
        <w:rPr>
          <w:rFonts w:ascii="Times New Roman" w:hAnsi="Times New Roman" w:cs="Times New Roman" w:eastAsia="Times New Roman" w:hint="ascii"/>
          <w:sz w:val="21"/>
          <w:spacing w:val="-20"/>
        </w:rPr>
        <w:t>v</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2353"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spacing w:val="-6"/>
        </w:rPr>
        <w:t>w</w:t>
      </w:r>
      <w:r>
        <w:rPr>
          <w:rFonts w:ascii="Times New Roman" w:hAnsi="Times New Roman" w:cs="Times New Roman" w:eastAsia="Times New Roman" w:hint="ascii"/>
          <w:sz w:val="21"/>
          <w:spacing w:val="-7"/>
        </w:rPr>
        <w:t>a</w:t>
      </w:r>
      <w:r>
        <w:rPr>
          <w:rFonts w:ascii="Times New Roman" w:hAnsi="Times New Roman" w:cs="Times New Roman" w:eastAsia="Times New Roman" w:hint="ascii"/>
          <w:sz w:val="21"/>
          <w:spacing w:val="-6"/>
        </w:rPr>
        <w:t>ngyan</w:t>
      </w:r>
      <w:r>
        <w:rPr>
          <w:rFonts w:ascii="Times New Roman" w:hAnsi="Times New Roman" w:cs="Times New Roman" w:eastAsia="Times New Roman" w:hint="ascii"/>
          <w:sz w:val="21"/>
          <w:spacing w:val="-7"/>
        </w:rPr>
        <w:t>@</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6"/>
        </w:rPr>
        <w:t>sfc.go</w:t>
      </w:r>
      <w:r>
        <w:rPr>
          <w:rFonts w:ascii="Times New Roman" w:hAnsi="Times New Roman" w:cs="Times New Roman" w:eastAsia="Times New Roman" w:hint="ascii"/>
          <w:sz w:val="21"/>
          <w:spacing w:val="-20"/>
        </w:rPr>
        <w:t>v</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381"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联</w:t>
      </w:r>
      <w:r>
        <w:rPr>
          <w:rFonts w:ascii="宋体" w:hAnsi="宋体" w:cs="宋体" w:eastAsia="宋体" w:hint="ascii"/>
          <w:sz w:val="21"/>
          <w:spacing w:val="-12"/>
        </w:rPr>
        <w:t xml:space="preserve"> </w:t>
      </w:r>
      <w:r>
        <w:rPr>
          <w:rFonts w:ascii="宋体" w:hAnsi="宋体" w:cs="宋体" w:eastAsia="宋体" w:hint="ascii"/>
          <w:sz w:val="21"/>
        </w:rPr>
        <w:t>系</w:t>
      </w:r>
      <w:r>
        <w:rPr>
          <w:rFonts w:ascii="宋体" w:hAnsi="宋体" w:cs="宋体" w:eastAsia="宋体" w:hint="ascii"/>
          <w:sz w:val="21"/>
          <w:spacing w:val="-12"/>
        </w:rPr>
        <w:t xml:space="preserve"> </w:t>
      </w:r>
      <w:r>
        <w:rPr>
          <w:rFonts w:ascii="宋体" w:hAnsi="宋体" w:cs="宋体" w:eastAsia="宋体" w:hint="ascii"/>
          <w:sz w:val="21"/>
          <w:spacing w:val="-6"/>
        </w:rPr>
        <w:t>人：</w:t>
      </w:r>
      <w:r>
        <w:rPr>
          <w:rFonts w:ascii="宋体" w:hAnsi="宋体" w:cs="宋体" w:eastAsia="宋体" w:hint="ascii"/>
          <w:sz w:val="21"/>
        </w:rPr>
        <w:t>徐</w:t>
      </w:r>
      <w:r>
        <w:rPr>
          <w:rFonts w:ascii="宋体" w:hAnsi="宋体" w:cs="宋体" w:eastAsia="宋体" w:hint="ascii"/>
          <w:sz w:val="21"/>
          <w:spacing w:val="34"/>
        </w:rPr>
        <w:t xml:space="preserve"> </w:t>
      </w:r>
      <w:r>
        <w:rPr>
          <w:rFonts w:ascii="宋体" w:hAnsi="宋体" w:cs="宋体" w:eastAsia="宋体" w:hint="ascii"/>
          <w:sz w:val="21"/>
        </w:rPr>
        <w:t>敏</w:t>
      </w:r>
      <w:r>
        <w:rPr>
          <w:rFonts w:ascii="宋体" w:hAnsi="宋体" w:cs="宋体" w:eastAsia="宋体" w:hint="ascii"/>
          <w:sz w:val="21"/>
          <w:spacing w:val="40"/>
        </w:rPr>
        <w:t xml:space="preserve"> </w:t>
      </w:r>
      <w:r>
        <w:rPr>
          <w:rFonts w:ascii="宋体" w:hAnsi="宋体" w:cs="宋体" w:eastAsia="宋体" w:hint="ascii"/>
          <w:sz w:val="21"/>
          <w:spacing w:val="-6"/>
        </w:rPr>
        <w:t>吴正</w:t>
      </w:r>
      <w:r>
        <w:rPr>
          <w:rFonts w:ascii="宋体" w:hAnsi="宋体" w:cs="宋体" w:eastAsia="宋体" w:hint="ascii"/>
          <w:sz w:val="21"/>
        </w:rPr>
        <w:t>光</w:t>
      </w:r>
    </w:p>
    <w:p>
      <w:pPr>
        <w:autoSpaceDE w:val="0"/>
        <w:autoSpaceDN w:val="0"/>
        <w:jc w:val="both"/>
        <w:spacing w:before="10" w:after="0" w:lineRule="exact" w:line="312"/>
        <w:ind w:right="907"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37"/>
        </w:rPr>
        <w:t xml:space="preserve"> </w:t>
      </w:r>
      <w:r>
        <w:rPr>
          <w:rFonts w:ascii="宋体" w:hAnsi="宋体" w:cs="宋体" w:eastAsia="宋体" w:hint="ascii"/>
          <w:sz w:val="21"/>
          <w:spacing w:val="-8"/>
        </w:rPr>
        <w:t>话：</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9"/>
        </w:rPr>
        <w:t>5</w:t>
      </w:r>
      <w:r>
        <w:rPr>
          <w:rFonts w:ascii="Times New Roman" w:hAnsi="Times New Roman" w:cs="Times New Roman" w:eastAsia="Times New Roman" w:hint="ascii"/>
          <w:sz w:val="21"/>
          <w:spacing w:val="-7"/>
        </w:rPr>
        <w:t>7</w:t>
      </w:r>
      <w:r>
        <w:rPr>
          <w:rFonts w:ascii="Times New Roman" w:hAnsi="Times New Roman" w:cs="Times New Roman" w:eastAsia="Times New Roman" w:hint="ascii"/>
          <w:sz w:val="21"/>
          <w:spacing w:val="-9"/>
        </w:rPr>
        <w:t>1</w:t>
      </w:r>
      <w:r>
        <w:rPr>
          <w:rFonts w:ascii="宋体" w:hAnsi="宋体" w:cs="宋体" w:eastAsia="宋体" w:hint="ascii"/>
          <w:sz w:val="21"/>
          <w:spacing w:val="-7"/>
        </w:rPr>
        <w:t>-</w:t>
      </w:r>
      <w:r>
        <w:rPr>
          <w:rFonts w:ascii="Times New Roman" w:hAnsi="Times New Roman" w:cs="Times New Roman" w:eastAsia="Times New Roman" w:hint="ascii"/>
          <w:sz w:val="21"/>
          <w:spacing w:val="-9"/>
        </w:rPr>
        <w:t>8</w:t>
      </w:r>
      <w:r>
        <w:rPr>
          <w:rFonts w:ascii="Times New Roman" w:hAnsi="Times New Roman" w:cs="Times New Roman" w:eastAsia="Times New Roman" w:hint="ascii"/>
          <w:sz w:val="21"/>
          <w:spacing w:val="-7"/>
        </w:rPr>
        <w:t>8</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9"/>
        </w:rPr>
        <w:t>2</w:t>
      </w:r>
      <w:r>
        <w:rPr>
          <w:rFonts w:ascii="Times New Roman" w:hAnsi="Times New Roman" w:cs="Times New Roman" w:eastAsia="Times New Roman" w:hint="ascii"/>
          <w:sz w:val="21"/>
          <w:spacing w:val="-7"/>
        </w:rPr>
        <w:t>7</w:t>
      </w:r>
      <w:r>
        <w:rPr>
          <w:rFonts w:ascii="Times New Roman" w:hAnsi="Times New Roman" w:cs="Times New Roman" w:eastAsia="Times New Roman" w:hint="ascii"/>
          <w:sz w:val="21"/>
          <w:spacing w:val="-9"/>
        </w:rPr>
        <w:t>89</w:t>
      </w:r>
      <w:r>
        <w:rPr>
          <w:rFonts w:ascii="宋体" w:hAnsi="宋体" w:cs="宋体" w:eastAsia="宋体" w:hint="ascii"/>
          <w:sz w:val="21"/>
          <w:spacing w:val="-8"/>
        </w:rPr>
        <w:t>，</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9"/>
        </w:rPr>
        <w:t>5</w:t>
      </w:r>
      <w:r>
        <w:rPr>
          <w:rFonts w:ascii="Times New Roman" w:hAnsi="Times New Roman" w:cs="Times New Roman" w:eastAsia="Times New Roman" w:hint="ascii"/>
          <w:sz w:val="21"/>
          <w:spacing w:val="-7"/>
        </w:rPr>
        <w:t>7</w:t>
      </w:r>
      <w:r>
        <w:rPr>
          <w:rFonts w:ascii="Times New Roman" w:hAnsi="Times New Roman" w:cs="Times New Roman" w:eastAsia="Times New Roman" w:hint="ascii"/>
          <w:sz w:val="21"/>
          <w:spacing w:val="-8"/>
        </w:rPr>
        <w:t>1</w:t>
      </w:r>
      <w:r>
        <w:rPr>
          <w:rFonts w:ascii="宋体" w:hAnsi="宋体" w:cs="宋体" w:eastAsia="宋体" w:hint="ascii"/>
          <w:sz w:val="21"/>
          <w:spacing w:val="-6"/>
        </w:rPr>
        <w:t>-</w:t>
      </w:r>
      <w:r>
        <w:rPr>
          <w:rFonts w:ascii="Times New Roman" w:hAnsi="Times New Roman" w:cs="Times New Roman" w:eastAsia="Times New Roman" w:hint="ascii"/>
          <w:sz w:val="21"/>
          <w:spacing w:val="-8"/>
        </w:rPr>
        <w:t>8</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8"/>
        </w:rPr>
        <w:t>2</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8"/>
        </w:rPr>
        <w:t>2</w:t>
      </w:r>
      <w:r>
        <w:rPr>
          <w:rFonts w:ascii="Times New Roman" w:hAnsi="Times New Roman" w:cs="Times New Roman" w:eastAsia="Times New Roman" w:hint="ascii"/>
          <w:sz w:val="21"/>
          <w:spacing w:val="-6"/>
        </w:rPr>
        <w:t>7</w:t>
      </w:r>
      <w:r>
        <w:rPr>
          <w:rFonts w:ascii="Times New Roman" w:hAnsi="Times New Roman" w:cs="Times New Roman" w:eastAsia="Times New Roman" w:hint="ascii"/>
          <w:sz w:val="21"/>
          <w:spacing w:val="-8"/>
        </w:rPr>
        <w:t>8</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rPr>
        <w:t xml:space="preserve"> </w:t>
      </w:r>
      <w:r>
        <w:rPr>
          <w:rFonts w:ascii="宋体" w:hAnsi="宋体" w:cs="宋体" w:eastAsia="宋体" w:hint="ascii"/>
          <w:sz w:val="21"/>
          <w:spacing w:val="-6"/>
        </w:rPr>
        <w:t>电子邮件：</w:t>
      </w:r>
      <w:r>
        <w:rPr>
          <w:rFonts w:ascii="Times New Roman" w:hAnsi="Times New Roman" w:cs="Times New Roman" w:eastAsia="Times New Roman" w:hint="ascii"/>
          <w:sz w:val="21"/>
          <w:spacing w:val="-6"/>
        </w:rPr>
        <w:t>x</w:t>
      </w:r>
      <w:r>
        <w:rPr>
          <w:rFonts w:ascii="Times New Roman" w:hAnsi="Times New Roman" w:cs="Times New Roman" w:eastAsia="Times New Roman" w:hint="ascii"/>
          <w:sz w:val="21"/>
          <w:spacing w:val="-7"/>
        </w:rPr>
        <w:t>um</w:t>
      </w:r>
      <w:r>
        <w:rPr>
          <w:rFonts w:ascii="Times New Roman" w:hAnsi="Times New Roman" w:cs="Times New Roman" w:eastAsia="Times New Roman" w:hint="ascii"/>
          <w:sz w:val="21"/>
          <w:spacing w:val="-6"/>
        </w:rPr>
        <w:t>in@zjnsf.</w:t>
      </w:r>
      <w:r>
        <w:rPr>
          <w:rFonts w:ascii="Times New Roman" w:hAnsi="Times New Roman" w:cs="Times New Roman" w:eastAsia="Times New Roman" w:hint="ascii"/>
          <w:sz w:val="21"/>
          <w:spacing w:val="-7"/>
        </w:rPr>
        <w:t>go</w:t>
      </w:r>
      <w:r>
        <w:rPr>
          <w:rFonts w:ascii="Times New Roman" w:hAnsi="Times New Roman" w:cs="Times New Roman" w:eastAsia="Times New Roman" w:hint="ascii"/>
          <w:sz w:val="21"/>
          <w:spacing w:val="-20"/>
        </w:rPr>
        <w:t>v</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991" w:firstLine="0"/>
        <w:snapToGrid w:val="0"/>
        <w:textAlignment w:val="auto"/>
        <w:tabs/>
        <w:sectPr>
          <w:type w:val="continuous"/>
          <w:pgSz w:w="10940" w:h="15080" w:orient="portrait"/>
          <w:pgMar w:top="508" w:right="508" w:bottom="508" w:left="508" w:header="0" w:footer="0" w:gutter="0"/>
          <w:cols w:num="2" w:space="0" w:equalWidth="0">
            <w:col w:w="4932" w:space="317"/>
            <w:col w:w="467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Times New Roman" w:hAnsi="Times New Roman" w:cs="Times New Roman" w:eastAsia="Times New Roman" w:hint="ascii"/>
          <w:sz w:val="21"/>
          <w:spacing w:val="-8"/>
        </w:rPr>
        <w:t>w</w:t>
      </w:r>
      <w:r>
        <w:rPr>
          <w:rFonts w:ascii="Times New Roman" w:hAnsi="Times New Roman" w:cs="Times New Roman" w:eastAsia="Times New Roman" w:hint="ascii"/>
          <w:sz w:val="21"/>
          <w:spacing w:val="-5"/>
        </w:rPr>
        <w:t>u</w:t>
      </w:r>
      <w:r>
        <w:rPr>
          <w:rFonts w:ascii="Times New Roman" w:hAnsi="Times New Roman" w:cs="Times New Roman" w:eastAsia="Times New Roman" w:hint="ascii"/>
          <w:sz w:val="21"/>
          <w:spacing w:val="-6"/>
        </w:rPr>
        <w:t>z</w:t>
      </w:r>
      <w:r>
        <w:rPr>
          <w:rFonts w:ascii="Times New Roman" w:hAnsi="Times New Roman" w:cs="Times New Roman" w:eastAsia="Times New Roman" w:hint="ascii"/>
          <w:sz w:val="21"/>
          <w:spacing w:val="-7"/>
        </w:rPr>
        <w:t>h</w:t>
      </w:r>
      <w:r>
        <w:rPr>
          <w:rFonts w:ascii="Times New Roman" w:hAnsi="Times New Roman" w:cs="Times New Roman" w:eastAsia="Times New Roman" w:hint="ascii"/>
          <w:sz w:val="21"/>
          <w:spacing w:val="-6"/>
        </w:rPr>
        <w:t>e</w:t>
      </w:r>
      <w:r>
        <w:rPr>
          <w:rFonts w:ascii="Times New Roman" w:hAnsi="Times New Roman" w:cs="Times New Roman" w:eastAsia="Times New Roman" w:hint="ascii"/>
          <w:sz w:val="21"/>
          <w:spacing w:val="-7"/>
        </w:rPr>
        <w:t>n</w:t>
      </w:r>
      <w:r>
        <w:rPr>
          <w:rFonts w:ascii="Times New Roman" w:hAnsi="Times New Roman" w:cs="Times New Roman" w:eastAsia="Times New Roman" w:hint="ascii"/>
          <w:sz w:val="21"/>
          <w:spacing w:val="-6"/>
        </w:rPr>
        <w:t>g</w:t>
      </w:r>
      <w:r>
        <w:rPr>
          <w:rFonts w:ascii="Times New Roman" w:hAnsi="Times New Roman" w:cs="Times New Roman" w:eastAsia="Times New Roman" w:hint="ascii"/>
          <w:sz w:val="21"/>
          <w:spacing w:val="-7"/>
        </w:rPr>
        <w:t>g</w:t>
      </w:r>
      <w:r>
        <w:rPr>
          <w:rFonts w:ascii="Times New Roman" w:hAnsi="Times New Roman" w:cs="Times New Roman" w:eastAsia="Times New Roman" w:hint="ascii"/>
          <w:sz w:val="21"/>
          <w:spacing w:val="-6"/>
        </w:rPr>
        <w:t>u</w:t>
      </w:r>
      <w:r>
        <w:rPr>
          <w:rFonts w:ascii="Times New Roman" w:hAnsi="Times New Roman" w:cs="Times New Roman" w:eastAsia="Times New Roman" w:hint="ascii"/>
          <w:sz w:val="21"/>
          <w:spacing w:val="-7"/>
        </w:rPr>
        <w:t>a</w:t>
      </w:r>
      <w:r>
        <w:rPr>
          <w:rFonts w:ascii="Times New Roman" w:hAnsi="Times New Roman" w:cs="Times New Roman" w:eastAsia="Times New Roman" w:hint="ascii"/>
          <w:sz w:val="21"/>
          <w:spacing w:val="-6"/>
        </w:rPr>
        <w:t>n</w:t>
      </w:r>
      <w:r>
        <w:rPr>
          <w:rFonts w:ascii="Times New Roman" w:hAnsi="Times New Roman" w:cs="Times New Roman" w:eastAsia="Times New Roman" w:hint="ascii"/>
          <w:sz w:val="21"/>
          <w:spacing w:val="-7"/>
        </w:rPr>
        <w:t>g</w:t>
      </w:r>
      <w:r>
        <w:rPr>
          <w:rFonts w:ascii="Times New Roman" w:hAnsi="Times New Roman" w:cs="Times New Roman" w:eastAsia="Times New Roman" w:hint="ascii"/>
          <w:sz w:val="21"/>
          <w:spacing w:val="-6"/>
        </w:rPr>
        <w:t>@zjnsf.</w:t>
      </w:r>
      <w:r>
        <w:rPr>
          <w:rFonts w:ascii="Times New Roman" w:hAnsi="Times New Roman" w:cs="Times New Roman" w:eastAsia="Times New Roman" w:hint="ascii"/>
          <w:sz w:val="21"/>
          <w:spacing w:val="-7"/>
        </w:rPr>
        <w:t>go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7"/>
        </w:rPr>
        <w:t>c</w:t>
      </w:r>
      <w:r>
        <w:rPr>
          <w:rFonts w:ascii="Times New Roman" w:hAnsi="Times New Roman" w:cs="Times New Roman" w:eastAsia="Times New Roman" w:hint="ascii"/>
          <w:sz w:val="21"/>
        </w:rPr>
        <w:t>n</w:t>
      </w:r>
      <w:rPr>
        <w:rFonts w:ascii="Times New Roman" w:hAnsi="Times New Roman" w:cs="Times New Roman" w:eastAsia="Times New Roman" w:hint="ascii"/>
        <w:sz w:val="21"/>
      </w:rPr>
    </w:p>
    <w:p>
      <w:pPr>
        <w:autoSpaceDE w:val="0"/>
        <w:autoSpaceDN w:val="0"/>
        <w:jc w:val="left"/>
        <w:spacing w:before="675" w:after="0" w:lineRule="auto" w:line="240"/>
        <w:ind w:right="0" w:left="2449"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position w:val="2"/>
          <w:spacing w:val="31"/>
        </w:rPr>
        <w:t>-</w:t>
      </w:r>
      <w:r>
        <w:rPr>
          <w:rFonts w:ascii="宋体" w:hAnsi="宋体" w:cs="宋体" w:eastAsia="宋体" w:hint="ascii"/>
          <w:sz w:val="38"/>
        </w:rPr>
        <w:t>山西煤基低碳联合基金</w:t>
      </w:r>
    </w:p>
    <w:p>
      <w:pPr>
        <w:autoSpaceDE w:val="0"/>
        <w:autoSpaceDN w:val="0"/>
        <w:jc w:val="right"/>
        <w:spacing w:before="291" w:after="0" w:lineRule="exact" w:line="312"/>
        <w:ind w:right="976" w:left="861" w:firstLine="524"/>
        <w:snapToGrid w:val="0"/>
        <w:textAlignment w:val="auto"/>
        <w:tabs/>
        <w:rPr>
          <w:rFonts w:ascii="宋体" w:hAnsi="宋体" w:cs="宋体" w:eastAsia="宋体" w:hint="ascii"/>
          <w:sz w:val="21"/>
        </w:rPr>
      </w:pPr>
      <w:r>
        <w:rPr>
          <w:rFonts w:ascii="宋体" w:hAnsi="宋体" w:cs="宋体" w:eastAsia="宋体" w:hint="ascii"/>
          <w:sz w:val="21"/>
          <w:spacing w:val="-2"/>
        </w:rPr>
        <w:t>自然科学基金委与山西省人民政府</w:t>
      </w:r>
      <w:r>
        <w:rPr>
          <w:rFonts w:ascii="宋体" w:hAnsi="宋体" w:cs="宋体" w:eastAsia="宋体" w:hint="ascii"/>
          <w:sz w:val="21"/>
          <w:spacing w:val="24"/>
        </w:rPr>
        <w:t>自</w:t>
      </w:r>
      <w:r>
        <w:rPr>
          <w:rFonts w:ascii="Times New Roman" w:hAnsi="Times New Roman" w:cs="Times New Roman" w:eastAsia="Times New Roman" w:hint="ascii"/>
          <w:sz w:val="21"/>
          <w:spacing w:val="-2"/>
        </w:rPr>
        <w:t>201</w:t>
      </w:r>
      <w:r>
        <w:rPr>
          <w:rFonts w:ascii="Times New Roman" w:hAnsi="Times New Roman" w:cs="Times New Roman" w:eastAsia="Times New Roman" w:hint="ascii"/>
          <w:sz w:val="21"/>
          <w:spacing w:val="50"/>
        </w:rPr>
        <w:t>5</w:t>
      </w:r>
      <w:r>
        <w:rPr>
          <w:rFonts w:ascii="宋体" w:hAnsi="宋体" w:cs="宋体" w:eastAsia="宋体" w:hint="ascii"/>
          <w:sz w:val="21"/>
          <w:spacing w:val="-2"/>
        </w:rPr>
        <w:t>年</w:t>
      </w:r>
      <w:r>
        <w:rPr>
          <w:rFonts w:ascii="宋体" w:hAnsi="宋体" w:cs="宋体" w:eastAsia="宋体" w:hint="ascii"/>
          <w:sz w:val="21"/>
          <w:spacing w:val="24"/>
        </w:rPr>
        <w:t>至</w:t>
      </w:r>
      <w:r>
        <w:rPr>
          <w:rFonts w:ascii="Times New Roman" w:hAnsi="Times New Roman" w:cs="Times New Roman" w:eastAsia="Times New Roman" w:hint="ascii"/>
          <w:sz w:val="21"/>
          <w:spacing w:val="-2"/>
        </w:rPr>
        <w:t>20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51"/>
        </w:rPr>
        <w:t>9</w:t>
      </w:r>
      <w:r>
        <w:rPr>
          <w:rFonts w:ascii="宋体" w:hAnsi="宋体" w:cs="宋体" w:eastAsia="宋体" w:hint="ascii"/>
          <w:sz w:val="21"/>
          <w:spacing w:val="-1"/>
        </w:rPr>
        <w:t>年共同设立煤基低碳联合基金</w:t>
      </w:r>
      <w:r>
        <w:rPr>
          <w:rFonts w:ascii="宋体" w:hAnsi="宋体" w:cs="宋体" w:eastAsia="宋体" w:hint="ascii"/>
          <w:sz w:val="21"/>
        </w:rPr>
        <w:t xml:space="preserve"> （以下简称 </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山西煤基低碳联合基金</w:t>
      </w:r>
      <w:r>
        <w:rPr>
          <w:rFonts w:ascii="宋体" w:hAnsi="宋体" w:cs="宋体" w:eastAsia="宋体" w:hint="ascii"/>
          <w:sz w:val="21"/>
          <w:spacing w:val="-51"/>
        </w:rPr>
        <w:t>）</w:t>
      </w:r>
      <w:r>
        <w:rPr>
          <w:rFonts w:ascii="宋体" w:hAnsi="宋体" w:cs="宋体" w:eastAsia="宋体" w:hint="ascii"/>
          <w:sz w:val="21"/>
        </w:rPr>
        <w:t>，旨在吸引和凝聚全国各地优秀科学家，重点解决山西省煤基低碳领域具有共性的重大科学问题和关键技术问题，促进区域的科技</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发展和人才队伍建设。</w:t>
      </w:r>
    </w:p>
    <w:p>
      <w:pPr>
        <w:autoSpaceDE w:val="0"/>
        <w:autoSpaceDN w:val="0"/>
        <w:jc w:val="left"/>
        <w:spacing w:before="43"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山西煤基低碳联合基金</w:t>
      </w:r>
      <w:r>
        <w:rPr>
          <w:rFonts w:ascii="宋体" w:hAnsi="宋体" w:cs="宋体" w:eastAsia="宋体" w:hint="ascii"/>
          <w:sz w:val="21"/>
          <w:spacing w:val="-13"/>
        </w:rPr>
        <w:t xml:space="preserve"> </w:t>
      </w:r>
      <w:r>
        <w:rPr>
          <w:rFonts w:ascii="Times New Roman" w:hAnsi="Times New Roman" w:cs="Times New Roman" w:eastAsia="Times New Roman" w:hint="ascii"/>
          <w:sz w:val="21"/>
        </w:rPr>
        <w:t>2018</w:t>
      </w:r>
      <w:r>
        <w:rPr>
          <w:rFonts w:ascii="Times New Roman" w:hAnsi="Times New Roman" w:cs="Times New Roman" w:eastAsia="Times New Roman" w:hint="ascii"/>
          <w:sz w:val="21"/>
          <w:spacing w:val="-13"/>
        </w:rPr>
        <w:t xml:space="preserve"> </w:t>
      </w:r>
      <w:r>
        <w:rPr>
          <w:rFonts w:ascii="宋体" w:hAnsi="宋体" w:cs="宋体" w:eastAsia="宋体" w:hint="ascii"/>
          <w:sz w:val="21"/>
        </w:rPr>
        <w:t>年度接收下述</w:t>
      </w:r>
      <w:r>
        <w:rPr>
          <w:rFonts w:ascii="宋体" w:hAnsi="宋体" w:cs="宋体" w:eastAsia="宋体" w:hint="ascii"/>
          <w:sz w:val="21"/>
          <w:spacing w:val="-13"/>
        </w:rPr>
        <w:t xml:space="preserve"> </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13"/>
        </w:rPr>
        <w:t xml:space="preserve"> </w:t>
      </w:r>
      <w:r>
        <w:rPr>
          <w:rFonts w:ascii="宋体" w:hAnsi="宋体" w:cs="宋体" w:eastAsia="宋体" w:hint="ascii"/>
          <w:sz w:val="21"/>
        </w:rPr>
        <w:t>个研究领域的重点支持项目和</w:t>
      </w:r>
    </w:p>
    <w:p>
      <w:pPr>
        <w:autoSpaceDE w:val="0"/>
        <w:autoSpaceDN w:val="0"/>
        <w:jc w:val="both"/>
        <w:spacing w:before="16" w:after="0" w:lineRule="exact" w:line="304"/>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培育项目申请，</w:t>
      </w:r>
      <w:r>
        <w:rPr>
          <w:rFonts w:ascii="宋体" w:hAnsi="宋体" w:cs="宋体" w:eastAsia="宋体" w:hint="ascii"/>
          <w:sz w:val="21"/>
        </w:rPr>
        <w:t xml:space="preserve">其中重点支持项目直接费用平均资助强度为 </w:t>
      </w:r>
      <w:r>
        <w:rPr>
          <w:rFonts w:ascii="Times New Roman" w:hAnsi="Times New Roman" w:cs="Times New Roman" w:eastAsia="Times New Roman" w:hint="ascii"/>
          <w:sz w:val="21"/>
        </w:rPr>
        <w:t xml:space="preserve">290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 xml:space="preserve">项，资助期限 </w:t>
      </w:r>
      <w:r>
        <w:rPr>
          <w:rFonts w:ascii="Times New Roman" w:hAnsi="Times New Roman" w:cs="Times New Roman" w:eastAsia="Times New Roman" w:hint="ascii"/>
          <w:sz w:val="21"/>
        </w:rPr>
        <w:t xml:space="preserve">4 </w:t>
      </w:r>
      <w:r>
        <w:rPr>
          <w:rFonts w:ascii="宋体" w:hAnsi="宋体" w:cs="宋体" w:eastAsia="宋体" w:hint="ascii"/>
          <w:sz w:val="21"/>
          <w:spacing w:val="-2"/>
        </w:rPr>
        <w:t>年。培育项目直接费用平均资助强度为</w:t>
      </w:r>
      <w:r>
        <w:rPr>
          <w:rFonts w:ascii="宋体" w:hAnsi="宋体" w:cs="宋体" w:eastAsia="宋体" w:hint="ascii"/>
          <w:sz w:val="21"/>
          <w:spacing w:val="-22"/>
        </w:rPr>
        <w:t xml:space="preserve"> </w:t>
      </w:r>
      <w:r>
        <w:rPr>
          <w:rFonts w:ascii="Times New Roman" w:hAnsi="Times New Roman" w:cs="Times New Roman" w:eastAsia="Times New Roman" w:hint="ascii"/>
          <w:sz w:val="21"/>
          <w:spacing w:val="-2"/>
        </w:rPr>
        <w:t>7</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1"/>
        </w:rPr>
        <w:t>万元</w:t>
      </w:r>
      <w:r>
        <w:rPr>
          <w:rFonts w:ascii="Times New Roman" w:hAnsi="Times New Roman" w:cs="Times New Roman" w:eastAsia="Times New Roman" w:hint="ascii"/>
          <w:sz w:val="21"/>
          <w:spacing w:val="-1"/>
        </w:rPr>
        <w:t>/</w:t>
      </w:r>
      <w:r>
        <w:rPr>
          <w:rFonts w:ascii="宋体" w:hAnsi="宋体" w:cs="宋体" w:eastAsia="宋体" w:hint="ascii"/>
          <w:sz w:val="21"/>
          <w:spacing w:val="-1"/>
        </w:rPr>
        <w:t>项，资助期限</w:t>
      </w:r>
      <w:r>
        <w:rPr>
          <w:rFonts w:ascii="宋体" w:hAnsi="宋体" w:cs="宋体" w:eastAsia="宋体" w:hint="ascii"/>
          <w:sz w:val="21"/>
          <w:spacing w:val="-21"/>
        </w:rPr>
        <w:t xml:space="preserve"> </w:t>
      </w:r>
      <w:r>
        <w:rPr>
          <w:rFonts w:ascii="Times New Roman" w:hAnsi="Times New Roman" w:cs="Times New Roman" w:eastAsia="Times New Roman" w:hint="ascii"/>
          <w:sz w:val="21"/>
          <w:spacing w:val="-1"/>
        </w:rPr>
        <w:t>3</w:t>
      </w:r>
      <w:r>
        <w:rPr>
          <w:rFonts w:ascii="Times New Roman" w:hAnsi="Times New Roman" w:cs="Times New Roman" w:eastAsia="Times New Roman" w:hint="ascii"/>
          <w:sz w:val="21"/>
          <w:spacing w:val="-21"/>
        </w:rPr>
        <w:t xml:space="preserve"> </w:t>
      </w:r>
      <w:r>
        <w:rPr>
          <w:rFonts w:ascii="宋体" w:hAnsi="宋体" w:cs="宋体" w:eastAsia="宋体" w:hint="ascii"/>
          <w:sz w:val="21"/>
          <w:spacing w:val="-1"/>
        </w:rPr>
        <w:t>年。</w:t>
      </w:r>
      <w:r>
        <w:rPr>
          <w:rFonts w:ascii="Times New Roman" w:hAnsi="Times New Roman" w:cs="Times New Roman" w:eastAsia="Times New Roman" w:hint="ascii"/>
          <w:sz w:val="21"/>
          <w:spacing w:val="-1"/>
        </w:rPr>
        <w:t>NSFC</w:t>
      </w:r>
      <w:r>
        <w:rPr>
          <w:rFonts w:ascii="宋体" w:hAnsi="宋体" w:cs="宋体" w:eastAsia="宋体" w:hint="ascii"/>
          <w:sz w:val="21"/>
          <w:spacing w:val="-1"/>
        </w:rPr>
        <w:t>-</w:t>
      </w:r>
      <w:r>
        <w:rPr>
          <w:rFonts w:ascii="宋体" w:hAnsi="宋体" w:cs="宋体" w:eastAsia="宋体" w:hint="ascii"/>
          <w:sz w:val="21"/>
          <w:spacing w:val="-1"/>
        </w:rPr>
        <w:t>山西煤基低</w:t>
      </w:r>
      <w:r>
        <w:rPr>
          <w:rFonts w:ascii="宋体" w:hAnsi="宋体" w:cs="宋体" w:eastAsia="宋体" w:hint="ascii"/>
          <w:sz w:val="21"/>
        </w:rPr>
        <w:t xml:space="preserve"> </w:t>
      </w:r>
      <w:r>
        <w:rPr>
          <w:rFonts w:ascii="宋体" w:hAnsi="宋体" w:cs="宋体" w:eastAsia="宋体" w:hint="ascii"/>
          <w:sz w:val="21"/>
          <w:spacing w:val="-1"/>
        </w:rPr>
        <w:t>碳联合基</w:t>
      </w:r>
      <w:r>
        <w:rPr>
          <w:rFonts w:ascii="宋体" w:hAnsi="宋体" w:cs="宋体" w:eastAsia="宋体" w:hint="ascii"/>
          <w:sz w:val="21"/>
        </w:rPr>
        <w:t>金面向全国，欢迎全国符合条件的科学技术人员按照本《指南》范围和要求提出申请。</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一、新材料领域</w:t>
      </w:r>
    </w:p>
    <w:p>
      <w:pPr>
        <w:autoSpaceDE w:val="0"/>
        <w:autoSpaceDN w:val="0"/>
        <w:jc w:val="left"/>
        <w:spacing w:before="193" w:after="0" w:lineRule="auto" w:line="240"/>
        <w:ind w:right="0" w:left="1649" w:hanging="263"/>
        <w:snapToGrid w:val="0"/>
        <w:textAlignment w:val="auto"/>
        <w:tabs>
          <w:tab w:val="left" w:leader="none" w:pos="1648"/>
        </w:tabs>
        <w:numPr>
          <w:ilvl w:val="0"/>
          <w:numId w:val="337"/>
        </w:numPr>
        <w:rPr>
          <w:rFonts w:ascii="Times New Roman" w:hAnsi="Times New Roman" w:cs="Times New Roman" w:eastAsia="Times New Roman" w:hint="ascii"/>
          <w:sz w:val="21"/>
        </w:rPr>
      </w:pPr>
      <w:r>
        <w:rPr>
          <w:rFonts w:ascii="宋体" w:hAnsi="宋体" w:cs="宋体" w:eastAsia="宋体" w:hint="ascii"/>
          <w:sz w:val="21"/>
        </w:rPr>
        <w:t>重点支持项目</w:t>
      </w:r>
    </w:p>
    <w:p>
      <w:pPr>
        <w:autoSpaceDE w:val="0"/>
        <w:autoSpaceDN w:val="0"/>
        <w:jc w:val="both"/>
        <w:spacing w:before="16" w:after="0" w:lineRule="exact" w:line="308"/>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）高性</w:t>
      </w:r>
      <w:r>
        <w:rPr>
          <w:rFonts w:ascii="宋体" w:hAnsi="宋体" w:cs="宋体" w:eastAsia="宋体" w:hint="ascii"/>
          <w:sz w:val="21"/>
        </w:rPr>
        <w:t>能碳纤维</w:t>
      </w:r>
      <w:r>
        <w:rPr>
          <w:rFonts w:ascii="Times New Roman" w:hAnsi="Times New Roman" w:cs="Times New Roman" w:eastAsia="Times New Roman" w:hint="ascii"/>
          <w:sz w:val="21"/>
        </w:rPr>
        <w:t>/</w:t>
      </w:r>
      <w:r>
        <w:rPr>
          <w:rFonts w:ascii="宋体" w:hAnsi="宋体" w:cs="宋体" w:eastAsia="宋体" w:hint="ascii"/>
          <w:sz w:val="21"/>
        </w:rPr>
        <w:t>树脂复合材料制备基础研究（申请代码</w:t>
      </w:r>
      <w:r>
        <w:rPr>
          <w:rFonts w:ascii="宋体" w:hAnsi="宋体" w:cs="宋体" w:eastAsia="宋体" w:hint="ascii"/>
          <w:sz w:val="21"/>
          <w:spacing w:val="-18"/>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7"/>
        </w:rPr>
        <w:t xml:space="preserve"> </w:t>
      </w:r>
      <w:r>
        <w:rPr>
          <w:rFonts w:ascii="宋体" w:hAnsi="宋体" w:cs="宋体" w:eastAsia="宋体" w:hint="ascii"/>
          <w:sz w:val="21"/>
        </w:rPr>
        <w:t>选择</w:t>
      </w:r>
      <w:r>
        <w:rPr>
          <w:rFonts w:ascii="宋体" w:hAnsi="宋体" w:cs="宋体" w:eastAsia="宋体" w:hint="ascii"/>
          <w:sz w:val="21"/>
          <w:spacing w:val="-17"/>
        </w:rPr>
        <w:t xml:space="preserve"> </w:t>
      </w:r>
      <w:r>
        <w:rPr>
          <w:rFonts w:ascii="Times New Roman" w:hAnsi="Times New Roman" w:cs="Times New Roman" w:eastAsia="Times New Roman" w:hint="ascii"/>
          <w:sz w:val="21"/>
        </w:rPr>
        <w:t>E02</w:t>
      </w:r>
      <w:r>
        <w:rPr>
          <w:rFonts w:ascii="Times New Roman" w:hAnsi="Times New Roman" w:cs="Times New Roman" w:eastAsia="Times New Roman" w:hint="ascii"/>
          <w:sz w:val="21"/>
          <w:spacing w:val="-18"/>
        </w:rPr>
        <w:t xml:space="preserve"> </w:t>
      </w:r>
      <w:r>
        <w:rPr>
          <w:rFonts w:ascii="宋体" w:hAnsi="宋体" w:cs="宋体" w:eastAsia="宋体" w:hint="ascii"/>
          <w:sz w:val="21"/>
        </w:rPr>
        <w:t>或</w:t>
      </w:r>
      <w:r>
        <w:rPr>
          <w:rFonts w:ascii="宋体" w:hAnsi="宋体" w:cs="宋体" w:eastAsia="宋体" w:hint="ascii"/>
          <w:sz w:val="21"/>
          <w:spacing w:val="-17"/>
        </w:rPr>
        <w:t xml:space="preserve"> </w:t>
      </w:r>
      <w:r>
        <w:rPr>
          <w:rFonts w:ascii="Times New Roman" w:hAnsi="Times New Roman" w:cs="Times New Roman" w:eastAsia="Times New Roman" w:hint="ascii"/>
          <w:sz w:val="21"/>
        </w:rPr>
        <w:t>E03</w:t>
      </w:r>
      <w:r>
        <w:rPr>
          <w:rFonts w:ascii="Times New Roman" w:hAnsi="Times New Roman" w:cs="Times New Roman" w:eastAsia="Times New Roman" w:hint="ascii"/>
          <w:sz w:val="21"/>
          <w:spacing w:val="-18"/>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6"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）超级不锈钢组织调控及热加工基础研究（申请代码</w:t>
      </w:r>
      <w:r>
        <w:rPr>
          <w:rFonts w:ascii="宋体" w:hAnsi="宋体" w:cs="宋体" w:eastAsia="宋体" w:hint="ascii"/>
          <w:sz w:val="21"/>
          <w:spacing w:val="-1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3"/>
        </w:rPr>
        <w:t xml:space="preserve"> </w:t>
      </w:r>
      <w:r>
        <w:rPr>
          <w:rFonts w:ascii="宋体" w:hAnsi="宋体" w:cs="宋体" w:eastAsia="宋体" w:hint="ascii"/>
          <w:sz w:val="21"/>
        </w:rPr>
        <w:t>选择</w:t>
      </w:r>
      <w:r>
        <w:rPr>
          <w:rFonts w:ascii="宋体" w:hAnsi="宋体" w:cs="宋体" w:eastAsia="宋体" w:hint="ascii"/>
          <w:sz w:val="21"/>
          <w:spacing w:val="-12"/>
        </w:rPr>
        <w:t xml:space="preserve"> </w:t>
      </w:r>
      <w:r>
        <w:rPr>
          <w:rFonts w:ascii="Times New Roman" w:hAnsi="Times New Roman" w:cs="Times New Roman" w:eastAsia="Times New Roman" w:hint="ascii"/>
          <w:sz w:val="21"/>
        </w:rPr>
        <w:t>E01</w:t>
      </w:r>
      <w:r>
        <w:rPr>
          <w:rFonts w:ascii="Times New Roman" w:hAnsi="Times New Roman" w:cs="Times New Roman" w:eastAsia="Times New Roman" w:hint="ascii"/>
          <w:sz w:val="21"/>
          <w:spacing w:val="-13"/>
        </w:rPr>
        <w:t xml:space="preserve"> </w:t>
      </w:r>
      <w:r>
        <w:rPr>
          <w:rFonts w:ascii="宋体" w:hAnsi="宋体" w:cs="宋体" w:eastAsia="宋体" w:hint="ascii"/>
          <w:sz w:val="21"/>
        </w:rPr>
        <w:t>或</w:t>
      </w:r>
      <w:r>
        <w:rPr>
          <w:rFonts w:ascii="宋体" w:hAnsi="宋体" w:cs="宋体" w:eastAsia="宋体" w:hint="ascii"/>
          <w:sz w:val="21"/>
          <w:spacing w:val="-12"/>
        </w:rPr>
        <w:t xml:space="preserve">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13"/>
        </w:rPr>
        <w:t xml:space="preserve"> </w:t>
      </w:r>
      <w:r>
        <w:rPr>
          <w:rFonts w:ascii="宋体" w:hAnsi="宋体" w:cs="宋体" w:eastAsia="宋体" w:hint="ascii"/>
          <w:sz w:val="21"/>
        </w:rPr>
        <w:t>的下属</w:t>
      </w:r>
    </w:p>
    <w:p>
      <w:pPr>
        <w:autoSpaceDE w:val="0"/>
        <w:autoSpaceDN w:val="0"/>
        <w:jc w:val="left"/>
        <w:spacing w:before="46"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07"/>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）镁合金高强韧复杂构件形性一体化控制成形新原理、新方法研究</w:t>
      </w:r>
      <w:r>
        <w:rPr>
          <w:rFonts w:ascii="宋体" w:hAnsi="宋体" w:cs="宋体" w:eastAsia="宋体" w:hint="ascii"/>
          <w:sz w:val="21"/>
        </w:rPr>
        <w:t xml:space="preserve">（申请代码 </w:t>
      </w:r>
      <w:r>
        <w:rPr>
          <w:rFonts w:ascii="Times New Roman" w:hAnsi="Times New Roman" w:cs="Times New Roman" w:eastAsia="Times New Roman" w:hint="ascii"/>
          <w:sz w:val="21"/>
        </w:rPr>
        <w:t xml:space="preserve">1 </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1</w:t>
      </w:r>
      <w:r>
        <w:rPr>
          <w:rFonts w:ascii="宋体" w:hAnsi="宋体" w:cs="宋体" w:eastAsia="宋体" w:hint="ascii"/>
          <w:sz w:val="21"/>
          <w:spacing w:val="26"/>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7" w:after="0" w:lineRule="auto" w:line="240"/>
        <w:ind w:right="0" w:left="1649" w:hanging="263"/>
        <w:snapToGrid w:val="0"/>
        <w:textAlignment w:val="auto"/>
        <w:tabs>
          <w:tab w:val="left" w:leader="none" w:pos="1648"/>
        </w:tabs>
        <w:numPr>
          <w:ilvl w:val="0"/>
          <w:numId w:val="337"/>
        </w:numPr>
        <w:rPr>
          <w:rFonts w:ascii="Times New Roman" w:hAnsi="Times New Roman" w:cs="Times New Roman" w:eastAsia="Times New Roman" w:hint="ascii"/>
          <w:sz w:val="21"/>
        </w:rPr>
      </w:pP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E01</w:t>
      </w:r>
      <w:r>
        <w:rPr>
          <w:rFonts w:ascii="宋体" w:hAnsi="宋体" w:cs="宋体" w:eastAsia="宋体" w:hint="ascii"/>
          <w:sz w:val="21"/>
        </w:rPr>
        <w:t>、</w:t>
      </w:r>
      <w:r>
        <w:rPr>
          <w:rFonts w:ascii="Times New Roman" w:hAnsi="Times New Roman" w:cs="Times New Roman" w:eastAsia="Times New Roman" w:hint="ascii"/>
          <w:b w:val="1"/>
          <w:sz w:val="21"/>
        </w:rPr>
        <w:t>E02</w:t>
      </w:r>
      <w:r>
        <w:rPr>
          <w:rFonts w:ascii="宋体" w:hAnsi="宋体" w:cs="宋体" w:eastAsia="宋体" w:hint="ascii"/>
          <w:sz w:val="21"/>
        </w:rPr>
        <w:t>、</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3</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4</w:t>
      </w:r>
      <w:r>
        <w:rPr>
          <w:rFonts w:ascii="宋体" w:hAnsi="宋体" w:cs="宋体" w:eastAsia="宋体" w:hint="ascii"/>
          <w:sz w:val="21"/>
        </w:rPr>
        <w:t>的下属代码）</w:t>
      </w:r>
    </w:p>
    <w:p>
      <w:pPr>
        <w:autoSpaceDE w:val="0"/>
        <w:autoSpaceDN w:val="0"/>
        <w:jc w:val="left"/>
        <w:spacing w:before="53"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围绕高附加值碳基材料，开展其在能源器件、光电子器件、热管理元器件、高功率</w:t>
      </w:r>
    </w:p>
    <w:p>
      <w:pPr>
        <w:autoSpaceDE w:val="0"/>
        <w:autoSpaceDN w:val="0"/>
        <w:jc w:val="both"/>
        <w:spacing w:before="8" w:after="0" w:lineRule="exact" w:line="308"/>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密度电子</w:t>
      </w:r>
      <w:r>
        <w:rPr>
          <w:rFonts w:ascii="宋体" w:hAnsi="宋体" w:cs="宋体" w:eastAsia="宋体" w:hint="ascii"/>
          <w:sz w:val="21"/>
        </w:rPr>
        <w:t>元器件以及环境材料等方面应用的基础研究；围绕新型镁合金、铝合金、钛合</w:t>
      </w:r>
      <w:r>
        <w:rPr>
          <w:rFonts w:ascii="宋体" w:hAnsi="宋体" w:cs="宋体" w:eastAsia="宋体" w:hint="ascii"/>
          <w:sz w:val="21"/>
          <w:spacing w:val="-1"/>
        </w:rPr>
        <w:t>金等合金</w:t>
      </w:r>
      <w:r>
        <w:rPr>
          <w:rFonts w:ascii="宋体" w:hAnsi="宋体" w:cs="宋体" w:eastAsia="宋体" w:hint="ascii"/>
          <w:sz w:val="21"/>
        </w:rPr>
        <w:t>材料设计以及高强韧构件控形控性成形新原理、新方法，开展相关基础研究；</w:t>
      </w:r>
      <w:r>
        <w:rPr>
          <w:rFonts w:ascii="宋体" w:hAnsi="宋体" w:cs="宋体" w:eastAsia="宋体" w:hint="ascii"/>
          <w:sz w:val="21"/>
          <w:spacing w:val="-1"/>
        </w:rPr>
        <w:t>针对高性</w:t>
      </w:r>
      <w:r>
        <w:rPr>
          <w:rFonts w:ascii="宋体" w:hAnsi="宋体" w:cs="宋体" w:eastAsia="宋体" w:hint="ascii"/>
          <w:sz w:val="21"/>
        </w:rPr>
        <w:t>能稀土永磁材料重稀土减量化新技术和原理，开展相关基础研究；针对复杂苛刻腐蚀环境等特殊领域用新型不锈钢及镍基合金材料，开展相关基础研究。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二、节能环保</w:t>
      </w:r>
    </w:p>
    <w:p>
      <w:pPr>
        <w:autoSpaceDE w:val="0"/>
        <w:autoSpaceDN w:val="0"/>
        <w:jc w:val="left"/>
        <w:spacing w:before="1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重点项目</w:t>
      </w:r>
    </w:p>
    <w:p>
      <w:pPr>
        <w:autoSpaceDE w:val="0"/>
        <w:autoSpaceDN w:val="0"/>
        <w:jc w:val="both"/>
        <w:spacing w:before="17" w:after="0" w:lineRule="exact" w:line="312"/>
        <w:ind w:right="976"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）焦炉烟</w:t>
      </w:r>
      <w:r>
        <w:rPr>
          <w:rFonts w:ascii="宋体" w:hAnsi="宋体" w:cs="宋体" w:eastAsia="宋体" w:hint="ascii"/>
          <w:sz w:val="21"/>
        </w:rPr>
        <w:t>气多污染物分离与利用基础研究（申请代码</w:t>
      </w:r>
      <w:r>
        <w:rPr>
          <w:rFonts w:ascii="宋体" w:hAnsi="宋体" w:cs="宋体" w:eastAsia="宋体" w:hint="ascii"/>
          <w:sz w:val="21"/>
          <w:spacing w:val="-1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3"/>
        </w:rPr>
        <w:t xml:space="preserve"> </w:t>
      </w:r>
      <w:r>
        <w:rPr>
          <w:rFonts w:ascii="宋体" w:hAnsi="宋体" w:cs="宋体" w:eastAsia="宋体" w:hint="ascii"/>
          <w:sz w:val="21"/>
        </w:rPr>
        <w:t>选择</w:t>
      </w:r>
      <w:r>
        <w:rPr>
          <w:rFonts w:ascii="宋体" w:hAnsi="宋体" w:cs="宋体" w:eastAsia="宋体" w:hint="ascii"/>
          <w:sz w:val="21"/>
          <w:spacing w:val="-12"/>
        </w:rPr>
        <w:t xml:space="preserve">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13"/>
        </w:rPr>
        <w:t xml:space="preserve"> </w:t>
      </w:r>
      <w:r>
        <w:rPr>
          <w:rFonts w:ascii="宋体" w:hAnsi="宋体" w:cs="宋体" w:eastAsia="宋体" w:hint="ascii"/>
          <w:sz w:val="21"/>
        </w:rPr>
        <w:t>或</w:t>
      </w:r>
      <w:r>
        <w:rPr>
          <w:rFonts w:ascii="宋体" w:hAnsi="宋体" w:cs="宋体" w:eastAsia="宋体" w:hint="ascii"/>
          <w:sz w:val="21"/>
          <w:spacing w:val="-12"/>
        </w:rPr>
        <w:t xml:space="preserve"> </w:t>
      </w:r>
      <w:r>
        <w:rPr>
          <w:rFonts w:ascii="Times New Roman" w:hAnsi="Times New Roman" w:cs="Times New Roman" w:eastAsia="Times New Roman" w:hint="ascii"/>
          <w:sz w:val="21"/>
        </w:rPr>
        <w:t>E06</w:t>
      </w:r>
      <w:r>
        <w:rPr>
          <w:rFonts w:ascii="Times New Roman" w:hAnsi="Times New Roman" w:cs="Times New Roman" w:eastAsia="Times New Roman" w:hint="ascii"/>
          <w:sz w:val="21"/>
          <w:spacing w:val="-13"/>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）煤基固废资源化利用基础研究（申请代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2</w:t>
      </w:r>
      <w:r>
        <w:rPr>
          <w:rFonts w:ascii="宋体" w:hAnsi="宋体" w:cs="宋体" w:eastAsia="宋体" w:hint="ascii"/>
          <w:sz w:val="21"/>
          <w:spacing w:val="27"/>
        </w:rPr>
        <w:t>或</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2"/>
        </w:rPr>
        <w:t>4</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50"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both"/>
        <w:spacing w:before="257"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）低浓度煤层气</w:t>
      </w:r>
      <w:r>
        <w:rPr>
          <w:rFonts w:ascii="Times New Roman" w:hAnsi="Times New Roman" w:cs="Times New Roman" w:eastAsia="Times New Roman" w:hint="ascii"/>
          <w:sz w:val="21"/>
        </w:rPr>
        <w:t>/</w:t>
      </w:r>
      <w:r>
        <w:rPr>
          <w:rFonts w:ascii="宋体" w:hAnsi="宋体" w:cs="宋体" w:eastAsia="宋体" w:hint="ascii"/>
          <w:sz w:val="21"/>
        </w:rPr>
        <w:t>焦炉煤气资源化利用基础研究（申请代码</w:t>
      </w:r>
      <w:r>
        <w:rPr>
          <w:rFonts w:ascii="宋体" w:hAnsi="宋体" w:cs="宋体" w:eastAsia="宋体" w:hint="ascii"/>
          <w:sz w:val="21"/>
          <w:spacing w:val="-17"/>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8"/>
        </w:rPr>
        <w:t xml:space="preserve"> </w:t>
      </w:r>
      <w:r>
        <w:rPr>
          <w:rFonts w:ascii="宋体" w:hAnsi="宋体" w:cs="宋体" w:eastAsia="宋体" w:hint="ascii"/>
          <w:sz w:val="21"/>
        </w:rPr>
        <w:t>选择</w:t>
      </w:r>
      <w:r>
        <w:rPr>
          <w:rFonts w:ascii="宋体" w:hAnsi="宋体" w:cs="宋体" w:eastAsia="宋体" w:hint="ascii"/>
          <w:sz w:val="21"/>
          <w:spacing w:val="-17"/>
        </w:rPr>
        <w:t xml:space="preserve">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17"/>
        </w:rPr>
        <w:t xml:space="preserve"> </w:t>
      </w:r>
      <w:r>
        <w:rPr>
          <w:rFonts w:ascii="宋体" w:hAnsi="宋体" w:cs="宋体" w:eastAsia="宋体" w:hint="ascii"/>
          <w:sz w:val="21"/>
        </w:rPr>
        <w:t>或</w:t>
      </w:r>
      <w:r>
        <w:rPr>
          <w:rFonts w:ascii="宋体" w:hAnsi="宋体" w:cs="宋体" w:eastAsia="宋体" w:hint="ascii"/>
          <w:sz w:val="21"/>
          <w:spacing w:val="-17"/>
        </w:rPr>
        <w:t xml:space="preserve"> </w:t>
      </w:r>
      <w:r>
        <w:rPr>
          <w:rFonts w:ascii="Times New Roman" w:hAnsi="Times New Roman" w:cs="Times New Roman" w:eastAsia="Times New Roman" w:hint="ascii"/>
          <w:sz w:val="21"/>
        </w:rPr>
        <w:t>E06</w:t>
      </w:r>
      <w:r>
        <w:rPr>
          <w:rFonts w:ascii="Times New Roman" w:hAnsi="Times New Roman" w:cs="Times New Roman" w:eastAsia="Times New Roman" w:hint="ascii"/>
          <w:sz w:val="21"/>
          <w:spacing w:val="-18"/>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314" locked="0" layoutInCell="1" allowOverlap="1">
                <wp:simplePos x="0" y="0"/>
                <wp:positionH relativeFrom="page">
                  <wp:posOffset>938530</wp:posOffset>
                </wp:positionH>
                <wp:positionV relativeFrom="page">
                  <wp:posOffset>819150</wp:posOffset>
                </wp:positionV>
                <wp:extent cx="5076190" cy="0"/>
                <wp:wrapNone/>
                <wp:docPr id="1342" name="134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36704;width:399.70pt;" id="134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2. </w:t>
      </w: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4</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6</w:t>
      </w:r>
      <w:r>
        <w:rPr>
          <w:rFonts w:ascii="宋体" w:hAnsi="宋体" w:cs="宋体" w:eastAsia="宋体" w:hint="ascii"/>
          <w:sz w:val="21"/>
        </w:rPr>
        <w:t>下属代码）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针对煤炭生产和利用等资源型产业发展中的相关生态环境保护和节能降耗等问题，</w:t>
      </w:r>
    </w:p>
    <w:p>
      <w:pPr>
        <w:autoSpaceDE w:val="0"/>
        <w:autoSpaceDN w:val="0"/>
        <w:jc w:val="both"/>
        <w:spacing w:before="10" w:after="0" w:lineRule="exact" w:line="312"/>
        <w:ind w:right="985"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围绕能</w:t>
      </w:r>
      <w:r>
        <w:rPr>
          <w:rFonts w:ascii="宋体" w:hAnsi="宋体" w:cs="宋体" w:eastAsia="宋体" w:hint="ascii"/>
          <w:sz w:val="21"/>
        </w:rPr>
        <w:t>源高效利用、三废综合利用、碳减排、污染物控制等领域的重大技术需求，</w:t>
      </w:r>
      <w:r>
        <w:rPr>
          <w:rFonts w:ascii="宋体" w:hAnsi="宋体" w:cs="宋体" w:eastAsia="宋体" w:hint="ascii"/>
          <w:sz w:val="21"/>
          <w:spacing w:val="-6"/>
        </w:rPr>
        <w:t>开</w:t>
      </w:r>
      <w:r>
        <w:rPr>
          <w:rFonts w:ascii="宋体" w:hAnsi="宋体" w:cs="宋体" w:eastAsia="宋体" w:hint="ascii"/>
          <w:sz w:val="21"/>
          <w:spacing w:val="4"/>
        </w:rPr>
        <w:t>展污染物</w:t>
      </w:r>
      <w:r>
        <w:rPr>
          <w:rFonts w:ascii="宋体" w:hAnsi="宋体" w:cs="宋体" w:eastAsia="宋体" w:hint="ascii"/>
          <w:sz w:val="21"/>
          <w:spacing w:val="3"/>
        </w:rPr>
        <w:t>的</w:t>
      </w:r>
      <w:r>
        <w:rPr>
          <w:rFonts w:ascii="宋体" w:hAnsi="宋体" w:cs="宋体" w:eastAsia="宋体" w:hint="ascii"/>
          <w:sz w:val="21"/>
          <w:spacing w:val="4"/>
        </w:rPr>
        <w:t>形态演变</w:t>
      </w:r>
      <w:r>
        <w:rPr>
          <w:rFonts w:ascii="宋体" w:hAnsi="宋体" w:cs="宋体" w:eastAsia="宋体" w:hint="ascii"/>
          <w:sz w:val="21"/>
          <w:spacing w:val="3"/>
        </w:rPr>
        <w:t>和检测控制</w:t>
      </w:r>
      <w:r>
        <w:rPr>
          <w:rFonts w:ascii="宋体" w:hAnsi="宋体" w:cs="宋体" w:eastAsia="宋体" w:hint="ascii"/>
          <w:sz w:val="21"/>
          <w:spacing w:val="2"/>
        </w:rPr>
        <w:t>、</w:t>
      </w:r>
      <w:r>
        <w:rPr>
          <w:rFonts w:ascii="宋体" w:hAnsi="宋体" w:cs="宋体" w:eastAsia="宋体" w:hint="ascii"/>
          <w:sz w:val="21"/>
          <w:spacing w:val="3"/>
        </w:rPr>
        <w:t>资源循环</w:t>
      </w:r>
      <w:r>
        <w:rPr>
          <w:rFonts w:ascii="宋体" w:hAnsi="宋体" w:cs="宋体" w:eastAsia="宋体" w:hint="ascii"/>
          <w:sz w:val="21"/>
          <w:spacing w:val="2"/>
        </w:rPr>
        <w:t>、</w:t>
      </w:r>
      <w:r>
        <w:rPr>
          <w:rFonts w:ascii="宋体" w:hAnsi="宋体" w:cs="宋体" w:eastAsia="宋体" w:hint="ascii"/>
          <w:sz w:val="21"/>
          <w:spacing w:val="3"/>
        </w:rPr>
        <w:t>可再生能</w:t>
      </w:r>
      <w:r>
        <w:rPr>
          <w:rFonts w:ascii="宋体" w:hAnsi="宋体" w:cs="宋体" w:eastAsia="宋体" w:hint="ascii"/>
          <w:sz w:val="21"/>
          <w:spacing w:val="2"/>
        </w:rPr>
        <w:t>源</w:t>
      </w:r>
      <w:r>
        <w:rPr>
          <w:rFonts w:ascii="宋体" w:hAnsi="宋体" w:cs="宋体" w:eastAsia="宋体" w:hint="ascii"/>
          <w:sz w:val="21"/>
          <w:spacing w:val="3"/>
        </w:rPr>
        <w:t>高效利用</w:t>
      </w:r>
      <w:r>
        <w:rPr>
          <w:rFonts w:ascii="宋体" w:hAnsi="宋体" w:cs="宋体" w:eastAsia="宋体" w:hint="ascii"/>
          <w:sz w:val="21"/>
          <w:spacing w:val="2"/>
        </w:rPr>
        <w:t>环</w:t>
      </w:r>
      <w:r>
        <w:rPr>
          <w:rFonts w:ascii="宋体" w:hAnsi="宋体" w:cs="宋体" w:eastAsia="宋体" w:hint="ascii"/>
          <w:sz w:val="21"/>
          <w:spacing w:val="3"/>
        </w:rPr>
        <w:t>保大数据</w:t>
      </w:r>
      <w:r>
        <w:rPr>
          <w:rFonts w:ascii="宋体" w:hAnsi="宋体" w:cs="宋体" w:eastAsia="宋体" w:hint="ascii"/>
          <w:sz w:val="21"/>
          <w:spacing w:val="2"/>
        </w:rPr>
        <w:t>等</w:t>
      </w:r>
      <w:r>
        <w:rPr>
          <w:rFonts w:ascii="宋体" w:hAnsi="宋体" w:cs="宋体" w:eastAsia="宋体" w:hint="ascii"/>
          <w:sz w:val="21"/>
          <w:spacing w:val="-6"/>
        </w:rPr>
        <w:t>基</w:t>
      </w:r>
      <w:r>
        <w:rPr>
          <w:rFonts w:ascii="宋体" w:hAnsi="宋体" w:cs="宋体" w:eastAsia="宋体" w:hint="ascii"/>
          <w:sz w:val="21"/>
          <w:spacing w:val="4"/>
        </w:rPr>
        <w:t>础研究</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三、煤机装备领域</w:t>
      </w:r>
    </w:p>
    <w:p>
      <w:pPr>
        <w:autoSpaceDE w:val="0"/>
        <w:autoSpaceDN w:val="0"/>
        <w:jc w:val="left"/>
        <w:spacing w:before="197" w:after="0" w:lineRule="auto" w:line="240"/>
        <w:ind w:right="0" w:left="1649" w:hanging="263"/>
        <w:snapToGrid w:val="0"/>
        <w:textAlignment w:val="auto"/>
        <w:tabs>
          <w:tab w:val="left" w:leader="none" w:pos="1648"/>
        </w:tabs>
        <w:numPr>
          <w:ilvl w:val="0"/>
          <w:numId w:val="338"/>
        </w:numPr>
        <w:rPr>
          <w:rFonts w:ascii="Times New Roman" w:hAnsi="Times New Roman" w:cs="Times New Roman" w:eastAsia="Times New Roman" w:hint="ascii"/>
          <w:sz w:val="21"/>
        </w:rPr>
      </w:pPr>
      <w:r>
        <w:rPr>
          <w:rFonts w:ascii="宋体" w:hAnsi="宋体" w:cs="宋体" w:eastAsia="宋体" w:hint="ascii"/>
          <w:sz w:val="21"/>
        </w:rPr>
        <w:t>重点支持项目</w:t>
      </w:r>
    </w:p>
    <w:p>
      <w:pPr>
        <w:autoSpaceDE w:val="0"/>
        <w:autoSpaceDN w:val="0"/>
        <w:jc w:val="both"/>
        <w:spacing w:before="17"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1"/>
        </w:rPr>
        <w:t>）巷道掘进机精确制导基础理论与关键技术研究（</w:t>
      </w:r>
      <w:r>
        <w:rPr>
          <w:rFonts w:ascii="宋体" w:hAnsi="宋体" w:cs="宋体" w:eastAsia="宋体" w:hint="ascii"/>
          <w:sz w:val="21"/>
        </w:rPr>
        <w:t>申请代码</w:t>
      </w:r>
      <w:r>
        <w:rPr>
          <w:rFonts w:ascii="宋体" w:hAnsi="宋体" w:cs="宋体" w:eastAsia="宋体" w:hint="ascii"/>
          <w:sz w:val="21"/>
          <w:spacing w:val="-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
        </w:rPr>
        <w:t xml:space="preserve"> </w:t>
      </w:r>
      <w:r>
        <w:rPr>
          <w:rFonts w:ascii="宋体" w:hAnsi="宋体" w:cs="宋体" w:eastAsia="宋体" w:hint="ascii"/>
          <w:sz w:val="21"/>
        </w:rPr>
        <w:t>选择</w:t>
      </w:r>
      <w:r>
        <w:rPr>
          <w:rFonts w:ascii="宋体" w:hAnsi="宋体" w:cs="宋体" w:eastAsia="宋体" w:hint="ascii"/>
          <w:sz w:val="21"/>
          <w:spacing w:val="-4"/>
        </w:rPr>
        <w:t xml:space="preserve">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5"/>
        </w:rPr>
        <w:t xml:space="preserve"> </w:t>
      </w:r>
      <w:r>
        <w:rPr>
          <w:rFonts w:ascii="宋体" w:hAnsi="宋体" w:cs="宋体" w:eastAsia="宋体" w:hint="ascii"/>
          <w:sz w:val="21"/>
        </w:rPr>
        <w:t>或</w:t>
      </w:r>
      <w:r>
        <w:rPr>
          <w:rFonts w:ascii="宋体" w:hAnsi="宋体" w:cs="宋体" w:eastAsia="宋体" w:hint="ascii"/>
          <w:sz w:val="21"/>
          <w:spacing w:val="-5"/>
        </w:rPr>
        <w:t xml:space="preserve"> </w:t>
      </w:r>
      <w:r>
        <w:rPr>
          <w:rFonts w:ascii="Times New Roman" w:hAnsi="Times New Roman" w:cs="Times New Roman" w:eastAsia="Times New Roman" w:hint="ascii"/>
          <w:sz w:val="21"/>
        </w:rPr>
        <w:t xml:space="preserve">E05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）矿用特大型智能化挖掘机的基础研究（申请代码</w:t>
      </w:r>
      <w:r>
        <w:rPr>
          <w:rFonts w:ascii="宋体" w:hAnsi="宋体" w:cs="宋体" w:eastAsia="宋体" w:hint="ascii"/>
          <w:sz w:val="21"/>
          <w:spacing w:val="-12"/>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3"/>
        </w:rPr>
        <w:t xml:space="preserve"> </w:t>
      </w:r>
      <w:r>
        <w:rPr>
          <w:rFonts w:ascii="宋体" w:hAnsi="宋体" w:cs="宋体" w:eastAsia="宋体" w:hint="ascii"/>
          <w:sz w:val="21"/>
        </w:rPr>
        <w:t>选择</w:t>
      </w:r>
      <w:r>
        <w:rPr>
          <w:rFonts w:ascii="宋体" w:hAnsi="宋体" w:cs="宋体" w:eastAsia="宋体" w:hint="ascii"/>
          <w:sz w:val="21"/>
          <w:spacing w:val="-12"/>
        </w:rPr>
        <w:t xml:space="preserve"> </w:t>
      </w:r>
      <w:r>
        <w:rPr>
          <w:rFonts w:ascii="Times New Roman" w:hAnsi="Times New Roman" w:cs="Times New Roman" w:eastAsia="Times New Roman" w:hint="ascii"/>
          <w:sz w:val="21"/>
        </w:rPr>
        <w:t>E04</w:t>
      </w:r>
      <w:r>
        <w:rPr>
          <w:rFonts w:ascii="Times New Roman" w:hAnsi="Times New Roman" w:cs="Times New Roman" w:eastAsia="Times New Roman" w:hint="ascii"/>
          <w:sz w:val="21"/>
          <w:spacing w:val="-13"/>
        </w:rPr>
        <w:t xml:space="preserve"> </w:t>
      </w:r>
      <w:r>
        <w:rPr>
          <w:rFonts w:ascii="宋体" w:hAnsi="宋体" w:cs="宋体" w:eastAsia="宋体" w:hint="ascii"/>
          <w:sz w:val="21"/>
        </w:rPr>
        <w:t>或</w:t>
      </w:r>
      <w:r>
        <w:rPr>
          <w:rFonts w:ascii="宋体" w:hAnsi="宋体" w:cs="宋体" w:eastAsia="宋体" w:hint="ascii"/>
          <w:sz w:val="21"/>
          <w:spacing w:val="-12"/>
        </w:rPr>
        <w:t xml:space="preserve"> </w:t>
      </w:r>
      <w:r>
        <w:rPr>
          <w:rFonts w:ascii="Times New Roman" w:hAnsi="Times New Roman" w:cs="Times New Roman" w:eastAsia="Times New Roman" w:hint="ascii"/>
          <w:sz w:val="21"/>
        </w:rPr>
        <w:t>E05</w:t>
      </w:r>
      <w:r>
        <w:rPr>
          <w:rFonts w:ascii="Times New Roman" w:hAnsi="Times New Roman" w:cs="Times New Roman" w:eastAsia="Times New Roman" w:hint="ascii"/>
          <w:sz w:val="21"/>
          <w:spacing w:val="-13"/>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0" w:after="0" w:lineRule="exact" w:line="312"/>
        <w:ind w:right="963"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）井下高水基液压系统数字式关键元件的基础研究（</w:t>
      </w:r>
      <w:r>
        <w:rPr>
          <w:rFonts w:ascii="宋体" w:hAnsi="宋体" w:cs="宋体" w:eastAsia="宋体" w:hint="ascii"/>
          <w:sz w:val="21"/>
        </w:rPr>
        <w:t>申请代</w:t>
      </w:r>
      <w:r>
        <w:rPr>
          <w:rFonts w:ascii="宋体" w:hAnsi="宋体" w:cs="宋体" w:eastAsia="宋体" w:hint="ascii"/>
          <w:sz w:val="21"/>
          <w:spacing w:val="27"/>
        </w:rPr>
        <w:t>码</w:t>
      </w:r>
      <w:r>
        <w:rPr>
          <w:rFonts w:ascii="Times New Roman" w:hAnsi="Times New Roman" w:cs="Times New Roman" w:eastAsia="Times New Roman" w:hint="ascii"/>
          <w:sz w:val="21"/>
          <w:spacing w:val="53"/>
        </w:rPr>
        <w:t>1</w:t>
      </w:r>
      <w:r>
        <w:rPr>
          <w:rFonts w:ascii="宋体" w:hAnsi="宋体" w:cs="宋体" w:eastAsia="宋体" w:hint="ascii"/>
          <w:sz w:val="21"/>
        </w:rPr>
        <w:t>选择</w:t>
      </w:r>
      <w:r>
        <w:rPr>
          <w:rFonts w:ascii="宋体" w:hAnsi="宋体" w:cs="宋体" w:eastAsia="宋体" w:hint="ascii"/>
          <w:sz w:val="21"/>
          <w:spacing w:val="-25"/>
        </w:rPr>
        <w:t xml:space="preserve"> </w:t>
      </w:r>
      <w:r>
        <w:rPr>
          <w:rFonts w:ascii="Times New Roman" w:hAnsi="Times New Roman" w:cs="Times New Roman" w:eastAsia="Times New Roman" w:hint="ascii"/>
          <w:sz w:val="21"/>
        </w:rPr>
        <w:t>E0</w:t>
      </w:r>
      <w:r>
        <w:rPr>
          <w:rFonts w:ascii="Times New Roman" w:hAnsi="Times New Roman" w:cs="Times New Roman" w:eastAsia="Times New Roman" w:hint="ascii"/>
          <w:sz w:val="21"/>
          <w:spacing w:val="53"/>
        </w:rPr>
        <w:t>4</w:t>
      </w:r>
      <w:r>
        <w:rPr>
          <w:rFonts w:ascii="宋体" w:hAnsi="宋体" w:cs="宋体" w:eastAsia="宋体" w:hint="ascii"/>
          <w:sz w:val="21"/>
          <w:spacing w:val="27"/>
        </w:rPr>
        <w:t>或</w:t>
      </w:r>
      <w:r>
        <w:rPr>
          <w:rFonts w:ascii="Times New Roman" w:hAnsi="Times New Roman" w:cs="Times New Roman" w:eastAsia="Times New Roman" w:hint="ascii"/>
          <w:sz w:val="21"/>
        </w:rPr>
        <w:t xml:space="preserve">E05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38"/>
        </w:numPr>
        <w:rPr>
          <w:rFonts w:ascii="Times New Roman" w:hAnsi="Times New Roman" w:cs="Times New Roman" w:eastAsia="Times New Roman" w:hint="ascii"/>
          <w:sz w:val="21"/>
        </w:rPr>
      </w:pP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EO</w:t>
      </w:r>
      <w:r>
        <w:rPr>
          <w:rFonts w:ascii="Times New Roman" w:hAnsi="Times New Roman" w:cs="Times New Roman" w:eastAsia="Times New Roman" w:hint="ascii"/>
          <w:b w:val="1"/>
          <w:sz w:val="21"/>
          <w:spacing w:val="52"/>
        </w:rPr>
        <w:t>4</w:t>
      </w:r>
      <w:r>
        <w:rPr>
          <w:rFonts w:ascii="宋体" w:hAnsi="宋体" w:cs="宋体" w:eastAsia="宋体" w:hint="ascii"/>
          <w:sz w:val="21"/>
          <w:spacing w:val="26"/>
        </w:rPr>
        <w:t>或</w:t>
      </w:r>
      <w:r>
        <w:rPr>
          <w:rFonts w:ascii="Times New Roman" w:hAnsi="Times New Roman" w:cs="Times New Roman" w:eastAsia="Times New Roman" w:hint="ascii"/>
          <w:b w:val="1"/>
          <w:sz w:val="21"/>
        </w:rPr>
        <w:t>E0</w:t>
      </w:r>
      <w:r>
        <w:rPr>
          <w:rFonts w:ascii="Times New Roman" w:hAnsi="Times New Roman" w:cs="Times New Roman" w:eastAsia="Times New Roman" w:hint="ascii"/>
          <w:b w:val="1"/>
          <w:sz w:val="21"/>
          <w:spacing w:val="52"/>
        </w:rPr>
        <w:t>5</w:t>
      </w:r>
      <w:r>
        <w:rPr>
          <w:rFonts w:ascii="宋体" w:hAnsi="宋体" w:cs="宋体" w:eastAsia="宋体" w:hint="ascii"/>
          <w:sz w:val="21"/>
        </w:rPr>
        <w:t>下属代码）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针对煤矿安全、高效、绿色、智能开采的需求，围绕采、掘、运等生产环节的关键</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装备，开展</w:t>
      </w:r>
      <w:r>
        <w:rPr>
          <w:rFonts w:ascii="宋体" w:hAnsi="宋体" w:cs="宋体" w:eastAsia="宋体" w:hint="ascii"/>
          <w:sz w:val="21"/>
        </w:rPr>
        <w:t>新型智能传动装置及其监测、诊断、控制及制造方面的基础研究，为煤机装备的智能化发展奠定理论基础、提供前沿技术。</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四、煤与煤层气成矿成藏及开采</w:t>
      </w:r>
    </w:p>
    <w:p>
      <w:pPr>
        <w:autoSpaceDE w:val="0"/>
        <w:autoSpaceDN w:val="0"/>
        <w:jc w:val="left"/>
        <w:spacing w:before="197" w:after="0" w:lineRule="auto" w:line="240"/>
        <w:ind w:right="0" w:left="1649" w:hanging="263"/>
        <w:snapToGrid w:val="0"/>
        <w:textAlignment w:val="auto"/>
        <w:tabs>
          <w:tab w:val="left" w:leader="none" w:pos="1648"/>
        </w:tabs>
        <w:numPr>
          <w:ilvl w:val="0"/>
          <w:numId w:val="339"/>
        </w:numPr>
        <w:rPr>
          <w:rFonts w:ascii="Times New Roman" w:hAnsi="Times New Roman" w:cs="Times New Roman" w:eastAsia="Times New Roman" w:hint="ascii"/>
          <w:sz w:val="21"/>
        </w:rPr>
      </w:pPr>
      <w:r>
        <w:rPr>
          <w:rFonts w:ascii="宋体" w:hAnsi="宋体" w:cs="宋体" w:eastAsia="宋体" w:hint="ascii"/>
          <w:sz w:val="21"/>
        </w:rPr>
        <w:t>重点支持项目</w:t>
      </w:r>
    </w:p>
    <w:p>
      <w:pPr>
        <w:autoSpaceDE w:val="0"/>
        <w:autoSpaceDN w:val="0"/>
        <w:jc w:val="left"/>
        <w:spacing w:before="57"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）山西煤系气赋存机理及开采基础研究（申请代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2</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）山西中煤级煤层气储层多尺度特征及流体相互作用机制（申请代码</w:t>
      </w:r>
      <w:r>
        <w:rPr>
          <w:rFonts w:ascii="宋体" w:hAnsi="宋体" w:cs="宋体" w:eastAsia="宋体" w:hint="ascii"/>
          <w:sz w:val="21"/>
          <w:spacing w:val="-26"/>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26"/>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D02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）山西煤中</w:t>
      </w:r>
      <w:r>
        <w:rPr>
          <w:rFonts w:ascii="宋体" w:hAnsi="宋体" w:cs="宋体" w:eastAsia="宋体" w:hint="ascii"/>
          <w:sz w:val="21"/>
        </w:rPr>
        <w:t>锂、镓等伴生矿产赋存特征及成矿规律（申请代码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5"/>
        </w:rPr>
        <w:t xml:space="preserve"> </w:t>
      </w:r>
      <w:r>
        <w:rPr>
          <w:rFonts w:ascii="Times New Roman" w:hAnsi="Times New Roman" w:cs="Times New Roman" w:eastAsia="Times New Roman" w:hint="ascii"/>
          <w:sz w:val="21"/>
        </w:rPr>
        <w:t>D02</w:t>
      </w:r>
      <w:r>
        <w:rPr>
          <w:rFonts w:ascii="Times New Roman" w:hAnsi="Times New Roman" w:cs="Times New Roman" w:eastAsia="Times New Roman" w:hint="ascii"/>
          <w:sz w:val="21"/>
          <w:spacing w:val="-6"/>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）山西废弃矿井煤层气富集成藏规律（申请代</w:t>
      </w:r>
      <w:r>
        <w:rPr>
          <w:rFonts w:ascii="宋体" w:hAnsi="宋体" w:cs="宋体" w:eastAsia="宋体" w:hint="ascii"/>
          <w:sz w:val="21"/>
          <w:spacing w:val="26"/>
        </w:rPr>
        <w:t>码</w:t>
      </w:r>
      <w:r>
        <w:rPr>
          <w:rFonts w:ascii="Times New Roman" w:hAnsi="Times New Roman" w:cs="Times New Roman" w:eastAsia="Times New Roman" w:hint="ascii"/>
          <w:sz w:val="21"/>
          <w:spacing w:val="52"/>
        </w:rPr>
        <w:t>1</w:t>
      </w:r>
      <w:r>
        <w:rPr>
          <w:rFonts w:ascii="宋体" w:hAnsi="宋体" w:cs="宋体" w:eastAsia="宋体" w:hint="ascii"/>
          <w:sz w:val="21"/>
        </w:rPr>
        <w:t>选</w:t>
      </w:r>
      <w:r>
        <w:rPr>
          <w:rFonts w:ascii="宋体" w:hAnsi="宋体" w:cs="宋体" w:eastAsia="宋体" w:hint="ascii"/>
          <w:sz w:val="21"/>
          <w:spacing w:val="26"/>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2</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49" w:after="0" w:lineRule="auto" w:line="240"/>
        <w:ind w:right="0" w:left="1649" w:hanging="263"/>
        <w:snapToGrid w:val="0"/>
        <w:textAlignment w:val="auto"/>
        <w:tabs>
          <w:tab w:val="left" w:leader="none" w:pos="1648"/>
        </w:tabs>
        <w:numPr>
          <w:ilvl w:val="0"/>
          <w:numId w:val="339"/>
        </w:numPr>
        <w:rPr>
          <w:rFonts w:ascii="Times New Roman" w:hAnsi="Times New Roman" w:cs="Times New Roman" w:eastAsia="Times New Roman" w:hint="ascii"/>
          <w:sz w:val="21"/>
        </w:rPr>
      </w:pP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D0</w:t>
      </w:r>
      <w:r>
        <w:rPr>
          <w:rFonts w:ascii="Times New Roman" w:hAnsi="Times New Roman" w:cs="Times New Roman" w:eastAsia="Times New Roman" w:hint="ascii"/>
          <w:b w:val="1"/>
          <w:sz w:val="21"/>
          <w:spacing w:val="52"/>
        </w:rPr>
        <w:t>2</w:t>
      </w:r>
      <w:r>
        <w:rPr>
          <w:rFonts w:ascii="宋体" w:hAnsi="宋体" w:cs="宋体" w:eastAsia="宋体" w:hint="ascii"/>
          <w:sz w:val="21"/>
        </w:rPr>
        <w:t>的下属代码）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以满足山西省煤与煤层气安全绿色高效开采需求为目标，围绕煤与煤层气地质和地</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质微生物作用</w:t>
      </w:r>
      <w:r>
        <w:rPr>
          <w:rFonts w:ascii="宋体" w:hAnsi="宋体" w:cs="宋体" w:eastAsia="宋体" w:hint="ascii"/>
          <w:sz w:val="21"/>
        </w:rPr>
        <w:t>等方面，开展基础研究；围绕精细地质勘探和安全高效开采工艺与技术等方面，开展新理论、新技术、新方法研究。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五、矿区生态环境修复与灾害防治</w:t>
      </w:r>
    </w:p>
    <w:p>
      <w:pPr>
        <w:autoSpaceDE w:val="0"/>
        <w:autoSpaceDN w:val="0"/>
        <w:jc w:val="left"/>
        <w:spacing w:before="188"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1. </w:t>
      </w:r>
      <w:r>
        <w:rPr>
          <w:rFonts w:ascii="宋体" w:hAnsi="宋体" w:cs="宋体" w:eastAsia="宋体" w:hint="ascii"/>
          <w:sz w:val="21"/>
        </w:rPr>
        <w:t>重点支持项目</w:t>
      </w:r>
    </w:p>
    <w:p>
      <w:pPr>
        <w:autoSpaceDE w:val="0"/>
        <w:autoSpaceDN w:val="0"/>
        <w:jc w:val="both"/>
        <w:spacing w:before="15" w:after="0" w:lineRule="exact" w:line="300"/>
        <w:ind w:right="963"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）大型露井联采矿区地面灾害监测与预警（申请代码</w:t>
      </w:r>
      <w:r>
        <w:rPr>
          <w:rFonts w:ascii="宋体" w:hAnsi="宋体" w:cs="宋体" w:eastAsia="宋体" w:hint="ascii"/>
          <w:sz w:val="21"/>
          <w:spacing w:val="-1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17"/>
        </w:rPr>
        <w:t xml:space="preserve"> </w:t>
      </w:r>
      <w:r>
        <w:rPr>
          <w:rFonts w:ascii="宋体" w:hAnsi="宋体" w:cs="宋体" w:eastAsia="宋体" w:hint="ascii"/>
          <w:sz w:val="21"/>
        </w:rPr>
        <w:t>选择</w:t>
      </w:r>
      <w:r>
        <w:rPr>
          <w:rFonts w:ascii="宋体" w:hAnsi="宋体" w:cs="宋体" w:eastAsia="宋体" w:hint="ascii"/>
          <w:sz w:val="21"/>
          <w:spacing w:val="-16"/>
        </w:rPr>
        <w:t xml:space="preserve"> </w:t>
      </w:r>
      <w:r>
        <w:rPr>
          <w:rFonts w:ascii="Times New Roman" w:hAnsi="Times New Roman" w:cs="Times New Roman" w:eastAsia="Times New Roman" w:hint="ascii"/>
          <w:sz w:val="21"/>
        </w:rPr>
        <w:t>D01</w:t>
      </w:r>
      <w:r>
        <w:rPr>
          <w:rFonts w:ascii="Times New Roman" w:hAnsi="Times New Roman" w:cs="Times New Roman" w:eastAsia="Times New Roman" w:hint="ascii"/>
          <w:sz w:val="21"/>
          <w:spacing w:val="-17"/>
        </w:rPr>
        <w:t xml:space="preserve"> </w:t>
      </w:r>
      <w:r>
        <w:rPr>
          <w:rFonts w:ascii="宋体" w:hAnsi="宋体" w:cs="宋体" w:eastAsia="宋体" w:hint="ascii"/>
          <w:sz w:val="21"/>
        </w:rPr>
        <w:t>或</w:t>
      </w:r>
      <w:r>
        <w:rPr>
          <w:rFonts w:ascii="宋体" w:hAnsi="宋体" w:cs="宋体" w:eastAsia="宋体" w:hint="ascii"/>
          <w:sz w:val="21"/>
          <w:spacing w:val="-16"/>
        </w:rPr>
        <w:t xml:space="preserve"> </w:t>
      </w:r>
      <w:r>
        <w:rPr>
          <w:rFonts w:ascii="Times New Roman" w:hAnsi="Times New Roman" w:cs="Times New Roman" w:eastAsia="Times New Roman" w:hint="ascii"/>
          <w:sz w:val="21"/>
        </w:rPr>
        <w:t>D07</w:t>
      </w:r>
      <w:r>
        <w:rPr>
          <w:rFonts w:ascii="Times New Roman" w:hAnsi="Times New Roman" w:cs="Times New Roman" w:eastAsia="Times New Roman" w:hint="ascii"/>
          <w:sz w:val="21"/>
          <w:spacing w:val="-17"/>
        </w:rPr>
        <w:t xml:space="preserve"> </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）干旱半干旱矿区土壤重金属污染修复机制研究（申请代码</w:t>
      </w:r>
      <w:r>
        <w:rPr>
          <w:rFonts w:ascii="宋体" w:hAnsi="宋体" w:cs="宋体" w:eastAsia="宋体" w:hint="ascii"/>
          <w:sz w:val="21"/>
          <w:spacing w:val="-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6"/>
        </w:rPr>
        <w:t xml:space="preserve"> </w:t>
      </w:r>
      <w:r>
        <w:rPr>
          <w:rFonts w:ascii="宋体" w:hAnsi="宋体" w:cs="宋体" w:eastAsia="宋体" w:hint="ascii"/>
          <w:sz w:val="21"/>
        </w:rPr>
        <w:t>选择</w:t>
      </w:r>
      <w:r>
        <w:rPr>
          <w:rFonts w:ascii="宋体" w:hAnsi="宋体" w:cs="宋体" w:eastAsia="宋体" w:hint="ascii"/>
          <w:sz w:val="21"/>
          <w:spacing w:val="-6"/>
        </w:rPr>
        <w:t xml:space="preserve"> </w:t>
      </w:r>
      <w:r>
        <w:rPr>
          <w:rFonts w:ascii="Times New Roman" w:hAnsi="Times New Roman" w:cs="Times New Roman" w:eastAsia="Times New Roman" w:hint="ascii"/>
          <w:sz w:val="21"/>
        </w:rPr>
        <w:t>D07</w:t>
      </w:r>
      <w:r>
        <w:rPr>
          <w:rFonts w:ascii="Times New Roman" w:hAnsi="Times New Roman" w:cs="Times New Roman" w:eastAsia="Times New Roman" w:hint="ascii"/>
          <w:sz w:val="21"/>
          <w:spacing w:val="-6"/>
        </w:rPr>
        <w:t xml:space="preserve"> </w:t>
      </w:r>
      <w:r>
        <w:rPr>
          <w:rFonts w:ascii="宋体" w:hAnsi="宋体" w:cs="宋体" w:eastAsia="宋体" w:hint="ascii"/>
          <w:sz w:val="21"/>
        </w:rPr>
        <w:t>的下属</w:t>
      </w:r>
    </w:p>
    <w:p>
      <w:pPr>
        <w:autoSpaceDE w:val="0"/>
        <w:autoSpaceDN w:val="0"/>
        <w:jc w:val="left"/>
        <w:spacing w:before="335"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代码</w:t>
      </w:r>
      <w:r>
        <w:rPr>
          <w:rFonts w:ascii="宋体" w:hAnsi="宋体" w:cs="宋体" w:eastAsia="宋体" w:hint="ascii"/>
          <w:sz w:val="21"/>
          <w:spacing w:val="-52"/>
        </w:rPr>
        <w:t>）</w:t>
      </w:r>
      <w:r>
        <w:rPr>
          <w:rFonts w:ascii="宋体" w:hAnsi="宋体" w:cs="宋体" w:eastAsia="宋体" w:hint="ascii"/>
          <w:sz w:val="21"/>
        </w:rPr>
        <w:t>；</w:t>
      </w:r>
      <w:r>
        <w:rPr>
          <w:rFonts w:ascii="宋体" w:hAnsi="宋体" w:cs="宋体" w:eastAsia="宋体" w:hint="ascii"/>
          <w:sz w:val="21"/>
        </w:rPr>
        <mc:AlternateContent>
          <mc:Choice Requires="wps">
            <w:drawing>
              <wp:anchor distL="0" distR="0" distT="0" distB="0" simplePos="0" behindDoc="1" relativeHeight="315" locked="0" layoutInCell="1" allowOverlap="1">
                <wp:simplePos x="0" y="0"/>
                <wp:positionH relativeFrom="page">
                  <wp:posOffset>938530</wp:posOffset>
                </wp:positionH>
                <wp:positionV relativeFrom="page">
                  <wp:posOffset>805815</wp:posOffset>
                </wp:positionV>
                <wp:extent cx="5076190" cy="0"/>
                <wp:wrapNone/>
                <wp:docPr id="1343" name="134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35680;width:399.70pt;" id="134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8" w:after="0" w:lineRule="exact" w:line="300"/>
        <w:ind w:right="972"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3</w:t>
      </w:r>
      <w:r>
        <w:rPr>
          <w:rFonts w:ascii="宋体" w:hAnsi="宋体" w:cs="宋体" w:eastAsia="宋体" w:hint="ascii"/>
          <w:sz w:val="21"/>
          <w:spacing w:val="-1"/>
        </w:rPr>
        <w:t>）沁水煤田采空区高速交通基础设施安全监测与灾害防治（申请代</w:t>
      </w:r>
      <w:r>
        <w:rPr>
          <w:rFonts w:ascii="宋体" w:hAnsi="宋体" w:cs="宋体" w:eastAsia="宋体" w:hint="ascii"/>
          <w:sz w:val="21"/>
        </w:rPr>
        <w:t>码</w:t>
      </w:r>
      <w:r>
        <w:rPr>
          <w:rFonts w:ascii="宋体" w:hAnsi="宋体" w:cs="宋体" w:eastAsia="宋体" w:hint="ascii"/>
          <w:sz w:val="21"/>
          <w:spacing w:val="-25"/>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5"/>
        </w:rPr>
        <w:t xml:space="preserve"> </w:t>
      </w:r>
      <w:r>
        <w:rPr>
          <w:rFonts w:ascii="宋体" w:hAnsi="宋体" w:cs="宋体" w:eastAsia="宋体" w:hint="ascii"/>
          <w:sz w:val="21"/>
        </w:rPr>
        <w:t>选择</w:t>
      </w:r>
      <w:r>
        <w:rPr>
          <w:rFonts w:ascii="宋体" w:hAnsi="宋体" w:cs="宋体" w:eastAsia="宋体" w:hint="ascii"/>
          <w:sz w:val="21"/>
          <w:spacing w:val="-24"/>
        </w:rPr>
        <w:t xml:space="preserve"> </w:t>
      </w:r>
      <w:r>
        <w:rPr>
          <w:rFonts w:ascii="Times New Roman" w:hAnsi="Times New Roman" w:cs="Times New Roman" w:eastAsia="Times New Roman" w:hint="ascii"/>
          <w:sz w:val="21"/>
        </w:rPr>
        <w:t xml:space="preserve">D07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00"/>
        <w:ind w:right="972"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4</w:t>
      </w:r>
      <w:r>
        <w:rPr>
          <w:rFonts w:ascii="宋体" w:hAnsi="宋体" w:cs="宋体" w:eastAsia="宋体" w:hint="ascii"/>
          <w:sz w:val="21"/>
          <w:spacing w:val="-1"/>
        </w:rPr>
        <w:t>）山西省大型矿区煤炭开采生态受损及退化机理（申请代码</w:t>
      </w:r>
      <w:r>
        <w:rPr>
          <w:rFonts w:ascii="宋体" w:hAnsi="宋体" w:cs="宋体" w:eastAsia="宋体" w:hint="ascii"/>
          <w:sz w:val="21"/>
          <w:spacing w:val="-10"/>
        </w:rPr>
        <w:t xml:space="preserve"> </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spacing w:val="-10"/>
        </w:rPr>
        <w:t xml:space="preserve"> </w:t>
      </w:r>
      <w:r>
        <w:rPr>
          <w:rFonts w:ascii="宋体" w:hAnsi="宋体" w:cs="宋体" w:eastAsia="宋体" w:hint="ascii"/>
          <w:sz w:val="21"/>
        </w:rPr>
        <w:t>选择</w:t>
      </w:r>
      <w:r>
        <w:rPr>
          <w:rFonts w:ascii="宋体" w:hAnsi="宋体" w:cs="宋体" w:eastAsia="宋体" w:hint="ascii"/>
          <w:sz w:val="21"/>
          <w:spacing w:val="-9"/>
        </w:rPr>
        <w:t xml:space="preserve"> </w:t>
      </w:r>
      <w:r>
        <w:rPr>
          <w:rFonts w:ascii="Times New Roman" w:hAnsi="Times New Roman" w:cs="Times New Roman" w:eastAsia="Times New Roman" w:hint="ascii"/>
          <w:sz w:val="21"/>
        </w:rPr>
        <w:t>D01</w:t>
      </w:r>
      <w:r>
        <w:rPr>
          <w:rFonts w:ascii="Times New Roman" w:hAnsi="Times New Roman" w:cs="Times New Roman" w:eastAsia="Times New Roman" w:hint="ascii"/>
          <w:sz w:val="21"/>
          <w:spacing w:val="-9"/>
        </w:rPr>
        <w:t xml:space="preserve"> </w:t>
      </w:r>
      <w:r>
        <w:rPr>
          <w:rFonts w:ascii="宋体" w:hAnsi="宋体" w:cs="宋体" w:eastAsia="宋体" w:hint="ascii"/>
          <w:sz w:val="21"/>
        </w:rPr>
        <w:t>或</w:t>
      </w:r>
      <w:r>
        <w:rPr>
          <w:rFonts w:ascii="宋体" w:hAnsi="宋体" w:cs="宋体" w:eastAsia="宋体" w:hint="ascii"/>
          <w:sz w:val="21"/>
          <w:spacing w:val="-9"/>
        </w:rPr>
        <w:t xml:space="preserve"> </w:t>
      </w:r>
      <w:r>
        <w:rPr>
          <w:rFonts w:ascii="Times New Roman" w:hAnsi="Times New Roman" w:cs="Times New Roman" w:eastAsia="Times New Roman" w:hint="ascii"/>
          <w:sz w:val="21"/>
        </w:rPr>
        <w:t xml:space="preserve">D07 </w:t>
      </w:r>
      <w:r>
        <w:rPr>
          <w:rFonts w:ascii="宋体" w:hAnsi="宋体" w:cs="宋体" w:eastAsia="宋体" w:hint="ascii"/>
          <w:sz w:val="21"/>
        </w:rPr>
        <w:t>的下属代码</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0" w:after="0" w:lineRule="exact" w:line="300"/>
        <w:ind w:right="972" w:left="966" w:firstLine="316"/>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spacing w:val="5"/>
        </w:rPr>
        <w:t>5</w:t>
      </w:r>
      <w:r>
        <w:rPr>
          <w:rFonts w:ascii="宋体" w:hAnsi="宋体" w:cs="宋体" w:eastAsia="宋体" w:hint="ascii"/>
          <w:sz w:val="21"/>
        </w:rPr>
        <w:t>）干旱半干旱大型矿区生物多样性恢复与生态功能维持机制（申请代</w:t>
      </w:r>
      <w:r>
        <w:rPr>
          <w:rFonts w:ascii="宋体" w:hAnsi="宋体" w:cs="宋体" w:eastAsia="宋体" w:hint="ascii"/>
          <w:sz w:val="21"/>
          <w:spacing w:val="-3"/>
        </w:rPr>
        <w:t>码</w:t>
      </w:r>
      <w:r>
        <w:rPr>
          <w:rFonts w:ascii="宋体" w:hAnsi="宋体" w:cs="宋体" w:eastAsia="宋体" w:hint="ascii"/>
          <w:sz w:val="21"/>
          <w:spacing w:val="-26"/>
        </w:rPr>
        <w:t xml:space="preserve"> </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26"/>
        </w:rPr>
        <w:t xml:space="preserve"> </w:t>
      </w:r>
      <w:r>
        <w:rPr>
          <w:rFonts w:ascii="宋体" w:hAnsi="宋体" w:cs="宋体" w:eastAsia="宋体" w:hint="ascii"/>
          <w:sz w:val="21"/>
        </w:rPr>
        <w:t>选</w:t>
      </w:r>
      <w:r>
        <w:rPr>
          <w:rFonts w:ascii="宋体" w:hAnsi="宋体" w:cs="宋体" w:eastAsia="宋体" w:hint="ascii"/>
          <w:sz w:val="21"/>
          <w:spacing w:val="-6"/>
        </w:rPr>
        <w:t>择</w:t>
      </w:r>
      <w:r>
        <w:rPr>
          <w:rFonts w:ascii="Times New Roman" w:hAnsi="Times New Roman" w:cs="Times New Roman" w:eastAsia="Times New Roman" w:hint="ascii"/>
          <w:sz w:val="21"/>
        </w:rPr>
        <w:t>D0</w:t>
      </w:r>
      <w:r>
        <w:rPr>
          <w:rFonts w:ascii="Times New Roman" w:hAnsi="Times New Roman" w:cs="Times New Roman" w:eastAsia="Times New Roman" w:hint="ascii"/>
          <w:sz w:val="21"/>
          <w:spacing w:val="52"/>
        </w:rPr>
        <w:t>7</w:t>
      </w:r>
      <w:r>
        <w:rPr>
          <w:rFonts w:ascii="宋体" w:hAnsi="宋体" w:cs="宋体" w:eastAsia="宋体" w:hint="ascii"/>
          <w:sz w:val="21"/>
        </w:rPr>
        <w:t>的下属代码</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left"/>
        <w:spacing w:before="30"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b w:val="1"/>
          <w:sz w:val="21"/>
        </w:rPr>
        <w:t xml:space="preserve">2. </w:t>
      </w:r>
      <w:r>
        <w:rPr>
          <w:rFonts w:ascii="宋体" w:hAnsi="宋体" w:cs="宋体" w:eastAsia="宋体" w:hint="ascii"/>
          <w:sz w:val="21"/>
        </w:rPr>
        <w:t>培育项目（申请代</w:t>
      </w:r>
      <w:r>
        <w:rPr>
          <w:rFonts w:ascii="宋体" w:hAnsi="宋体" w:cs="宋体" w:eastAsia="宋体" w:hint="ascii"/>
          <w:sz w:val="21"/>
          <w:spacing w:val="26"/>
        </w:rPr>
        <w:t>码</w:t>
      </w:r>
      <w:r>
        <w:rPr>
          <w:rFonts w:ascii="Times New Roman" w:hAnsi="Times New Roman" w:cs="Times New Roman" w:eastAsia="Times New Roman" w:hint="ascii"/>
          <w:b w:val="1"/>
          <w:sz w:val="21"/>
          <w:spacing w:val="52"/>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b w:val="1"/>
          <w:sz w:val="21"/>
        </w:rPr>
        <w:t>D01</w:t>
      </w:r>
      <w:r>
        <w:rPr>
          <w:rFonts w:ascii="宋体" w:hAnsi="宋体" w:cs="宋体" w:eastAsia="宋体" w:hint="ascii"/>
          <w:sz w:val="21"/>
        </w:rPr>
        <w:t>、</w:t>
      </w:r>
      <w:r>
        <w:rPr>
          <w:rFonts w:ascii="Times New Roman" w:hAnsi="Times New Roman" w:cs="Times New Roman" w:eastAsia="Times New Roman" w:hint="ascii"/>
          <w:b w:val="1"/>
          <w:sz w:val="21"/>
        </w:rPr>
        <w:t>D0</w:t>
      </w:r>
      <w:r>
        <w:rPr>
          <w:rFonts w:ascii="Times New Roman" w:hAnsi="Times New Roman" w:cs="Times New Roman" w:eastAsia="Times New Roman" w:hint="ascii"/>
          <w:b w:val="1"/>
          <w:sz w:val="21"/>
          <w:spacing w:val="52"/>
        </w:rPr>
        <w:t>2</w:t>
      </w:r>
      <w:r>
        <w:rPr>
          <w:rFonts w:ascii="宋体" w:hAnsi="宋体" w:cs="宋体" w:eastAsia="宋体" w:hint="ascii"/>
          <w:sz w:val="21"/>
          <w:spacing w:val="27"/>
        </w:rPr>
        <w:t>或</w:t>
      </w:r>
      <w:r>
        <w:rPr>
          <w:rFonts w:ascii="Times New Roman" w:hAnsi="Times New Roman" w:cs="Times New Roman" w:eastAsia="Times New Roman" w:hint="ascii"/>
          <w:b w:val="1"/>
          <w:sz w:val="21"/>
        </w:rPr>
        <w:t>D0</w:t>
      </w:r>
      <w:r>
        <w:rPr>
          <w:rFonts w:ascii="Times New Roman" w:hAnsi="Times New Roman" w:cs="Times New Roman" w:eastAsia="Times New Roman" w:hint="ascii"/>
          <w:b w:val="1"/>
          <w:sz w:val="21"/>
          <w:spacing w:val="52"/>
        </w:rPr>
        <w:t>7</w:t>
      </w:r>
      <w:r>
        <w:rPr>
          <w:rFonts w:ascii="宋体" w:hAnsi="宋体" w:cs="宋体" w:eastAsia="宋体" w:hint="ascii"/>
          <w:sz w:val="21"/>
        </w:rPr>
        <w:t>的下属代码）</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针对煤炭长期高强度开采造成的生态退化问题，开展煤矿开采地表裂缝发育及坡体</w:t>
      </w:r>
    </w:p>
    <w:p>
      <w:pPr>
        <w:autoSpaceDE w:val="0"/>
        <w:autoSpaceDN w:val="0"/>
        <w:jc w:val="both"/>
        <w:spacing w:before="8" w:after="0" w:lineRule="exact" w:line="300"/>
        <w:ind w:right="972"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损害</w:t>
      </w:r>
      <w:r>
        <w:rPr>
          <w:rFonts w:ascii="宋体" w:hAnsi="宋体" w:cs="宋体" w:eastAsia="宋体" w:hint="ascii"/>
          <w:sz w:val="21"/>
        </w:rPr>
        <w:t>机理、矿区复垦土壤固碳增汇与有机质提升机制、矿区复垦土壤</w:t>
      </w:r>
      <w:r>
        <w:rPr>
          <w:rFonts w:ascii="宋体" w:hAnsi="宋体" w:cs="宋体" w:eastAsia="宋体" w:hint="ascii"/>
          <w:sz w:val="21"/>
        </w:rPr>
        <w:t>-</w:t>
      </w:r>
      <w:r>
        <w:rPr>
          <w:rFonts w:ascii="宋体" w:hAnsi="宋体" w:cs="宋体" w:eastAsia="宋体" w:hint="ascii"/>
          <w:sz w:val="21"/>
        </w:rPr>
        <w:t>微生物</w:t>
      </w:r>
      <w:r>
        <w:rPr>
          <w:rFonts w:ascii="宋体" w:hAnsi="宋体" w:cs="宋体" w:eastAsia="宋体" w:hint="ascii"/>
          <w:sz w:val="21"/>
        </w:rPr>
        <w:t>-</w:t>
      </w:r>
      <w:r>
        <w:rPr>
          <w:rFonts w:ascii="宋体" w:hAnsi="宋体" w:cs="宋体" w:eastAsia="宋体" w:hint="ascii"/>
          <w:sz w:val="21"/>
        </w:rPr>
        <w:t>植物互作</w:t>
      </w:r>
      <w:r>
        <w:rPr>
          <w:rFonts w:ascii="宋体" w:hAnsi="宋体" w:cs="宋体" w:eastAsia="宋体" w:hint="ascii"/>
          <w:sz w:val="21"/>
          <w:spacing w:val="-1"/>
        </w:rPr>
        <w:t>机理</w:t>
      </w:r>
      <w:r>
        <w:rPr>
          <w:rFonts w:ascii="宋体" w:hAnsi="宋体" w:cs="宋体" w:eastAsia="宋体" w:hint="ascii"/>
          <w:sz w:val="21"/>
        </w:rPr>
        <w:t>与效应、功能性微生物对矿区复垦土壤养分循环影响、矿区重建生态系统结构与功</w:t>
      </w:r>
      <w:r>
        <w:rPr>
          <w:rFonts w:ascii="宋体" w:hAnsi="宋体" w:cs="宋体" w:eastAsia="宋体" w:hint="ascii"/>
          <w:sz w:val="21"/>
          <w:spacing w:val="-1"/>
        </w:rPr>
        <w:t>能优</w:t>
      </w:r>
      <w:r>
        <w:rPr>
          <w:rFonts w:ascii="宋体" w:hAnsi="宋体" w:cs="宋体" w:eastAsia="宋体" w:hint="ascii"/>
          <w:sz w:val="21"/>
        </w:rPr>
        <w:t>化及调控、典型矿区生态系统服务的时空演变及驱动机制、高硫易燃矸石山堆积体自燃机理与阻燃机制等相关基础研究。</w:t>
      </w:r>
    </w:p>
    <w:p>
      <w:pPr>
        <w:autoSpaceDE w:val="0"/>
        <w:autoSpaceDN w:val="0"/>
        <w:jc w:val="left"/>
        <w:spacing w:before="15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both"/>
        <w:spacing w:before="155" w:after="0" w:lineRule="exact" w:line="300"/>
        <w:ind w:right="972"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1</w:t>
      </w:r>
      <w:r>
        <w:rPr>
          <w:rFonts w:ascii="宋体" w:hAnsi="宋体" w:cs="宋体" w:eastAsia="宋体" w:hint="ascii"/>
          <w:sz w:val="21"/>
          <w:spacing w:val="-53"/>
        </w:rPr>
        <w:t>）</w:t>
      </w:r>
      <w:r>
        <w:rPr>
          <w:rFonts w:ascii="宋体" w:hAnsi="宋体" w:cs="宋体" w:eastAsia="宋体" w:hint="ascii"/>
          <w:sz w:val="21"/>
          <w:spacing w:val="-1"/>
        </w:rPr>
        <w:t>“</w:t>
      </w:r>
      <w:r>
        <w:rPr>
          <w:rFonts w:ascii="宋体" w:hAnsi="宋体" w:cs="宋体" w:eastAsia="宋体" w:hint="ascii"/>
          <w:sz w:val="21"/>
        </w:rPr>
        <w:t>重点支持项目”申请人应当具有高级专业技术职务（职称</w:t>
      </w:r>
      <w:r>
        <w:rPr>
          <w:rFonts w:ascii="宋体" w:hAnsi="宋体" w:cs="宋体" w:eastAsia="宋体" w:hint="ascii"/>
          <w:sz w:val="21"/>
          <w:spacing w:val="-52"/>
        </w:rPr>
        <w:t>）</w:t>
      </w:r>
      <w:r>
        <w:rPr>
          <w:rFonts w:ascii="宋体" w:hAnsi="宋体" w:cs="宋体" w:eastAsia="宋体" w:hint="ascii"/>
          <w:sz w:val="21"/>
        </w:rPr>
        <w:t>；培育项目申请人应当具有高级专业技术职务（职称）或者具有博士学位。</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）申请书资助类别选择“联合基金项目</w:t>
      </w:r>
      <w:r>
        <w:rPr>
          <w:rFonts w:ascii="宋体" w:hAnsi="宋体" w:cs="宋体" w:eastAsia="宋体" w:hint="ascii"/>
          <w:sz w:val="21"/>
          <w:spacing w:val="-50"/>
        </w:rPr>
        <w:t>”</w:t>
      </w:r>
      <w:r>
        <w:rPr>
          <w:rFonts w:ascii="宋体" w:hAnsi="宋体" w:cs="宋体" w:eastAsia="宋体" w:hint="ascii"/>
          <w:sz w:val="21"/>
        </w:rPr>
        <w:t>，亚类说明选择“培育项目”或“重点</w:t>
      </w:r>
    </w:p>
    <w:p>
      <w:pPr>
        <w:autoSpaceDE w:val="0"/>
        <w:autoSpaceDN w:val="0"/>
        <w:jc w:val="both"/>
        <w:spacing w:before="8" w:after="0" w:lineRule="exact" w:line="300"/>
        <w:ind w:right="972"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支持</w:t>
      </w:r>
      <w:r>
        <w:rPr>
          <w:rFonts w:ascii="宋体" w:hAnsi="宋体" w:cs="宋体" w:eastAsia="宋体" w:hint="ascii"/>
          <w:sz w:val="21"/>
        </w:rPr>
        <w:t>项目</w:t>
      </w:r>
      <w:r>
        <w:rPr>
          <w:rFonts w:ascii="宋体" w:hAnsi="宋体" w:cs="宋体" w:eastAsia="宋体" w:hint="ascii"/>
          <w:sz w:val="21"/>
          <w:spacing w:val="-52"/>
        </w:rPr>
        <w:t>”</w:t>
      </w:r>
      <w:r>
        <w:rPr>
          <w:rFonts w:ascii="宋体" w:hAnsi="宋体" w:cs="宋体" w:eastAsia="宋体" w:hint="ascii"/>
          <w:sz w:val="21"/>
        </w:rPr>
        <w:t>，附注说明选择“</w:t>
      </w:r>
      <w:r>
        <w:rPr>
          <w:rFonts w:ascii="Times New Roman" w:hAnsi="Times New Roman" w:cs="Times New Roman" w:eastAsia="Times New Roman" w:hint="ascii"/>
          <w:sz w:val="21"/>
        </w:rPr>
        <w:t>NSFC</w:t>
      </w:r>
      <w:r>
        <w:rPr>
          <w:rFonts w:ascii="宋体" w:hAnsi="宋体" w:cs="宋体" w:eastAsia="宋体" w:hint="ascii"/>
          <w:sz w:val="21"/>
        </w:rPr>
        <w:t>-</w:t>
      </w:r>
      <w:r>
        <w:rPr>
          <w:rFonts w:ascii="宋体" w:hAnsi="宋体" w:cs="宋体" w:eastAsia="宋体" w:hint="ascii"/>
          <w:sz w:val="21"/>
        </w:rPr>
        <w:t>山西煤基低碳联合基金</w:t>
      </w:r>
      <w:r>
        <w:rPr>
          <w:rFonts w:ascii="宋体" w:hAnsi="宋体" w:cs="宋体" w:eastAsia="宋体" w:hint="ascii"/>
          <w:sz w:val="21"/>
          <w:spacing w:val="-53"/>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spacing w:val="53"/>
        </w:rPr>
        <w:t>1</w:t>
      </w:r>
      <w:r>
        <w:rPr>
          <w:rFonts w:ascii="宋体" w:hAnsi="宋体" w:cs="宋体" w:eastAsia="宋体" w:hint="ascii"/>
          <w:sz w:val="21"/>
        </w:rPr>
        <w:t>必须按本《指南》要求选择。</w:t>
      </w:r>
    </w:p>
    <w:p>
      <w:pPr>
        <w:autoSpaceDE w:val="0"/>
        <w:autoSpaceDN w:val="0"/>
        <w:jc w:val="both"/>
        <w:spacing w:before="0" w:after="0" w:lineRule="exact" w:line="300"/>
        <w:ind w:right="972" w:left="966" w:firstLine="316"/>
        <w:snapToGrid w:val="0"/>
        <w:textAlignment w:val="auto"/>
        <w:tabs/>
        <w:rPr>
          <w:rFonts w:ascii="宋体" w:hAnsi="宋体" w:cs="宋体" w:eastAsia="宋体" w:hint="ascii"/>
          <w:sz w:val="21"/>
        </w:rPr>
      </w:pPr>
      <w:r>
        <w:rPr>
          <w:rFonts w:ascii="宋体" w:hAnsi="宋体" w:cs="宋体" w:eastAsia="宋体" w:hint="ascii"/>
          <w:sz w:val="21"/>
          <w:spacing w:val="-2"/>
        </w:rPr>
        <w:t>（</w:t>
      </w:r>
      <w:r>
        <w:rPr>
          <w:rFonts w:ascii="Times New Roman" w:hAnsi="Times New Roman" w:cs="Times New Roman" w:eastAsia="Times New Roman" w:hint="ascii"/>
          <w:sz w:val="21"/>
          <w:spacing w:val="-2"/>
        </w:rPr>
        <w:t>3</w:t>
      </w:r>
      <w:r>
        <w:rPr>
          <w:rFonts w:ascii="宋体" w:hAnsi="宋体" w:cs="宋体" w:eastAsia="宋体" w:hint="ascii"/>
          <w:sz w:val="21"/>
          <w:spacing w:val="-2"/>
        </w:rPr>
        <w:t>）本联合基金面向全国，鼓励山西省以</w:t>
      </w:r>
      <w:r>
        <w:rPr>
          <w:rFonts w:ascii="宋体" w:hAnsi="宋体" w:cs="宋体" w:eastAsia="宋体" w:hint="ascii"/>
          <w:sz w:val="21"/>
          <w:spacing w:val="-1"/>
        </w:rPr>
        <w:t>外的依托单位与山西省境内单位合作申请</w:t>
      </w:r>
      <w:r>
        <w:rPr>
          <w:rFonts w:ascii="宋体" w:hAnsi="宋体" w:cs="宋体" w:eastAsia="宋体" w:hint="ascii"/>
          <w:sz w:val="21"/>
        </w:rPr>
        <w:t xml:space="preserve"> 项目。</w:t>
      </w:r>
      <w:r>
        <w:rPr>
          <w:rFonts w:ascii="宋体" w:hAnsi="宋体" w:cs="宋体" w:eastAsia="宋体" w:hint="ascii"/>
          <w:sz w:val="21"/>
          <w:spacing w:val="-4"/>
        </w:rPr>
        <w:t>对于合作申请的研究项目，应在申请书中明确合作各方的合作内容、主要分工等</w:t>
      </w:r>
      <w:r>
        <w:rPr>
          <w:rFonts w:ascii="宋体" w:hAnsi="宋体" w:cs="宋体" w:eastAsia="宋体" w:hint="ascii"/>
          <w:sz w:val="21"/>
        </w:rPr>
        <w:t>。</w:t>
      </w:r>
    </w:p>
    <w:p>
      <w:pPr>
        <w:autoSpaceDE w:val="0"/>
        <w:autoSpaceDN w:val="0"/>
        <w:jc w:val="left"/>
        <w:spacing w:before="3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w:t>
      </w:r>
      <w:r>
        <w:rPr>
          <w:rFonts w:ascii="宋体" w:hAnsi="宋体" w:cs="宋体" w:eastAsia="宋体" w:hint="ascii"/>
          <w:sz w:val="21"/>
          <w:spacing w:val="-3"/>
        </w:rPr>
        <w:t>申请</w:t>
      </w:r>
      <w:r>
        <w:rPr>
          <w:rFonts w:ascii="宋体" w:hAnsi="宋体" w:cs="宋体" w:eastAsia="宋体" w:hint="ascii"/>
          <w:sz w:val="21"/>
          <w:spacing w:val="-4"/>
        </w:rPr>
        <w:t>项</w:t>
      </w:r>
      <w:r>
        <w:rPr>
          <w:rFonts w:ascii="宋体" w:hAnsi="宋体" w:cs="宋体" w:eastAsia="宋体" w:hint="ascii"/>
          <w:sz w:val="21"/>
          <w:spacing w:val="-3"/>
        </w:rPr>
        <w:t>目应当符合本《指南》的资助范围与要求。项目名称、具体研究方案、</w:t>
      </w:r>
      <w:r>
        <w:rPr>
          <w:rFonts w:ascii="宋体" w:hAnsi="宋体" w:cs="宋体" w:eastAsia="宋体" w:hint="ascii"/>
          <w:sz w:val="21"/>
        </w:rPr>
        <w:t>研</w:t>
      </w:r>
    </w:p>
    <w:p>
      <w:pPr>
        <w:autoSpaceDE w:val="0"/>
        <w:autoSpaceDN w:val="0"/>
        <w:jc w:val="left"/>
        <w:spacing w:before="38"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究内</w:t>
      </w:r>
      <w:r>
        <w:rPr>
          <w:rFonts w:ascii="宋体" w:hAnsi="宋体" w:cs="宋体" w:eastAsia="宋体" w:hint="ascii"/>
          <w:sz w:val="21"/>
          <w:spacing w:val="-3"/>
        </w:rPr>
        <w:t>容</w:t>
      </w:r>
      <w:r>
        <w:rPr>
          <w:rFonts w:ascii="宋体" w:hAnsi="宋体" w:cs="宋体" w:eastAsia="宋体" w:hint="ascii"/>
          <w:sz w:val="21"/>
          <w:spacing w:val="-2"/>
        </w:rPr>
        <w:t>和</w:t>
      </w:r>
      <w:r>
        <w:rPr>
          <w:rFonts w:ascii="宋体" w:hAnsi="宋体" w:cs="宋体" w:eastAsia="宋体" w:hint="ascii"/>
          <w:sz w:val="21"/>
          <w:spacing w:val="-3"/>
        </w:rPr>
        <w:t>目标</w:t>
      </w:r>
      <w:r>
        <w:rPr>
          <w:rFonts w:ascii="宋体" w:hAnsi="宋体" w:cs="宋体" w:eastAsia="宋体" w:hint="ascii"/>
          <w:sz w:val="21"/>
          <w:spacing w:val="-2"/>
        </w:rPr>
        <w:t>等由</w:t>
      </w:r>
      <w:r>
        <w:rPr>
          <w:rFonts w:ascii="宋体" w:hAnsi="宋体" w:cs="宋体" w:eastAsia="宋体" w:hint="ascii"/>
          <w:sz w:val="21"/>
          <w:spacing w:val="-3"/>
        </w:rPr>
        <w:t>申</w:t>
      </w:r>
      <w:r>
        <w:rPr>
          <w:rFonts w:ascii="宋体" w:hAnsi="宋体" w:cs="宋体" w:eastAsia="宋体" w:hint="ascii"/>
          <w:sz w:val="21"/>
          <w:spacing w:val="-2"/>
        </w:rPr>
        <w:t>请</w:t>
      </w:r>
      <w:r>
        <w:rPr>
          <w:rFonts w:ascii="宋体" w:hAnsi="宋体" w:cs="宋体" w:eastAsia="宋体" w:hint="ascii"/>
          <w:sz w:val="21"/>
          <w:spacing w:val="-3"/>
        </w:rPr>
        <w:t>人提</w:t>
      </w:r>
      <w:r>
        <w:rPr>
          <w:rFonts w:ascii="宋体" w:hAnsi="宋体" w:cs="宋体" w:eastAsia="宋体" w:hint="ascii"/>
          <w:sz w:val="21"/>
          <w:spacing w:val="-2"/>
        </w:rPr>
        <w:t>出，</w:t>
      </w:r>
      <w:r>
        <w:rPr>
          <w:rFonts w:ascii="宋体" w:hAnsi="宋体" w:cs="宋体" w:eastAsia="宋体" w:hint="ascii"/>
          <w:sz w:val="21"/>
          <w:spacing w:val="-3"/>
        </w:rPr>
        <w:t>要</w:t>
      </w:r>
      <w:r>
        <w:rPr>
          <w:rFonts w:ascii="宋体" w:hAnsi="宋体" w:cs="宋体" w:eastAsia="宋体" w:hint="ascii"/>
          <w:sz w:val="21"/>
          <w:spacing w:val="-2"/>
        </w:rPr>
        <w:t>求</w:t>
      </w:r>
      <w:r>
        <w:rPr>
          <w:rFonts w:ascii="宋体" w:hAnsi="宋体" w:cs="宋体" w:eastAsia="宋体" w:hint="ascii"/>
          <w:sz w:val="21"/>
          <w:spacing w:val="-3"/>
        </w:rPr>
        <w:t>申请</w:t>
      </w:r>
      <w:r>
        <w:rPr>
          <w:rFonts w:ascii="宋体" w:hAnsi="宋体" w:cs="宋体" w:eastAsia="宋体" w:hint="ascii"/>
          <w:sz w:val="21"/>
          <w:spacing w:val="-2"/>
        </w:rPr>
        <w:t>人按</w:t>
      </w:r>
      <w:r>
        <w:rPr>
          <w:rFonts w:ascii="宋体" w:hAnsi="宋体" w:cs="宋体" w:eastAsia="宋体" w:hint="ascii"/>
          <w:sz w:val="21"/>
          <w:spacing w:val="-3"/>
        </w:rPr>
        <w:t>照</w:t>
      </w:r>
      <w:r>
        <w:rPr>
          <w:rFonts w:ascii="宋体" w:hAnsi="宋体" w:cs="宋体" w:eastAsia="宋体" w:hint="ascii"/>
          <w:sz w:val="21"/>
          <w:spacing w:val="-2"/>
        </w:rPr>
        <w:t>培</w:t>
      </w:r>
      <w:r>
        <w:rPr>
          <w:rFonts w:ascii="宋体" w:hAnsi="宋体" w:cs="宋体" w:eastAsia="宋体" w:hint="ascii"/>
          <w:sz w:val="21"/>
          <w:spacing w:val="-3"/>
        </w:rPr>
        <w:t>育项</w:t>
      </w:r>
      <w:r>
        <w:rPr>
          <w:rFonts w:ascii="宋体" w:hAnsi="宋体" w:cs="宋体" w:eastAsia="宋体" w:hint="ascii"/>
          <w:sz w:val="21"/>
          <w:spacing w:val="-2"/>
        </w:rPr>
        <w:t>目或</w:t>
      </w:r>
      <w:r>
        <w:rPr>
          <w:rFonts w:ascii="宋体" w:hAnsi="宋体" w:cs="宋体" w:eastAsia="宋体" w:hint="ascii"/>
          <w:sz w:val="21"/>
          <w:spacing w:val="-3"/>
        </w:rPr>
        <w:t>重</w:t>
      </w:r>
      <w:r>
        <w:rPr>
          <w:rFonts w:ascii="宋体" w:hAnsi="宋体" w:cs="宋体" w:eastAsia="宋体" w:hint="ascii"/>
          <w:sz w:val="21"/>
          <w:spacing w:val="-2"/>
        </w:rPr>
        <w:t>点</w:t>
      </w:r>
      <w:r>
        <w:rPr>
          <w:rFonts w:ascii="宋体" w:hAnsi="宋体" w:cs="宋体" w:eastAsia="宋体" w:hint="ascii"/>
          <w:sz w:val="21"/>
          <w:spacing w:val="-3"/>
        </w:rPr>
        <w:t>支持</w:t>
      </w:r>
      <w:r>
        <w:rPr>
          <w:rFonts w:ascii="宋体" w:hAnsi="宋体" w:cs="宋体" w:eastAsia="宋体" w:hint="ascii"/>
          <w:sz w:val="21"/>
          <w:spacing w:val="-2"/>
        </w:rPr>
        <w:t>项目</w:t>
      </w:r>
      <w:r>
        <w:rPr>
          <w:rFonts w:ascii="宋体" w:hAnsi="宋体" w:cs="宋体" w:eastAsia="宋体" w:hint="ascii"/>
          <w:sz w:val="21"/>
          <w:spacing w:val="-3"/>
        </w:rPr>
        <w:t>申</w:t>
      </w:r>
      <w:r>
        <w:rPr>
          <w:rFonts w:ascii="宋体" w:hAnsi="宋体" w:cs="宋体" w:eastAsia="宋体" w:hint="ascii"/>
          <w:sz w:val="21"/>
          <w:spacing w:val="-2"/>
        </w:rPr>
        <w:t>请</w:t>
      </w:r>
      <w:r>
        <w:rPr>
          <w:rFonts w:ascii="宋体" w:hAnsi="宋体" w:cs="宋体" w:eastAsia="宋体" w:hint="ascii"/>
          <w:sz w:val="21"/>
          <w:spacing w:val="-3"/>
        </w:rPr>
        <w:t>书撰</w:t>
      </w:r>
      <w:r>
        <w:rPr>
          <w:rFonts w:ascii="宋体" w:hAnsi="宋体" w:cs="宋体" w:eastAsia="宋体" w:hint="ascii"/>
          <w:sz w:val="21"/>
          <w:spacing w:val="-2"/>
        </w:rPr>
        <w:t>写提</w:t>
      </w:r>
      <w:r>
        <w:rPr>
          <w:rFonts w:ascii="宋体" w:hAnsi="宋体" w:cs="宋体" w:eastAsia="宋体" w:hint="ascii"/>
          <w:sz w:val="21"/>
        </w:rPr>
        <w:t>纲</w:t>
      </w:r>
    </w:p>
    <w:p>
      <w:pPr>
        <w:autoSpaceDE w:val="0"/>
        <w:autoSpaceDN w:val="0"/>
        <w:jc w:val="both"/>
        <w:spacing w:before="8" w:after="0" w:lineRule="exact" w:line="300"/>
        <w:ind w:right="972" w:left="966" w:firstLine="0"/>
        <w:snapToGrid w:val="0"/>
        <w:textAlignment w:val="auto"/>
        <w:tabs/>
        <w:rPr>
          <w:rFonts w:ascii="宋体" w:hAnsi="宋体" w:cs="宋体" w:eastAsia="宋体" w:hint="ascii"/>
          <w:sz w:val="21"/>
        </w:rPr>
      </w:pPr>
      <w:r>
        <w:rPr>
          <w:rFonts w:ascii="宋体" w:hAnsi="宋体" w:cs="宋体" w:eastAsia="宋体" w:hint="ascii"/>
          <w:sz w:val="21"/>
          <w:spacing w:val="-4"/>
        </w:rPr>
        <w:t>撰写</w:t>
      </w:r>
      <w:r>
        <w:rPr>
          <w:rFonts w:ascii="宋体" w:hAnsi="宋体" w:cs="宋体" w:eastAsia="宋体" w:hint="ascii"/>
          <w:sz w:val="21"/>
          <w:spacing w:val="-5"/>
        </w:rPr>
        <w:t>申</w:t>
      </w:r>
      <w:r>
        <w:rPr>
          <w:rFonts w:ascii="宋体" w:hAnsi="宋体" w:cs="宋体" w:eastAsia="宋体" w:hint="ascii"/>
          <w:sz w:val="21"/>
          <w:spacing w:val="-4"/>
        </w:rPr>
        <w:t>请</w:t>
      </w:r>
      <w:r>
        <w:rPr>
          <w:rFonts w:ascii="宋体" w:hAnsi="宋体" w:cs="宋体" w:eastAsia="宋体" w:hint="ascii"/>
          <w:sz w:val="21"/>
          <w:spacing w:val="-5"/>
        </w:rPr>
        <w:t>书。</w:t>
      </w:r>
      <w:r>
        <w:rPr>
          <w:rFonts w:ascii="宋体" w:hAnsi="宋体" w:cs="宋体" w:eastAsia="宋体" w:hint="ascii"/>
          <w:sz w:val="21"/>
          <w:spacing w:val="-4"/>
        </w:rPr>
        <w:t>如果</w:t>
      </w:r>
      <w:r>
        <w:rPr>
          <w:rFonts w:ascii="宋体" w:hAnsi="宋体" w:cs="宋体" w:eastAsia="宋体" w:hint="ascii"/>
          <w:sz w:val="21"/>
          <w:spacing w:val="-5"/>
        </w:rPr>
        <w:t>申</w:t>
      </w:r>
      <w:r>
        <w:rPr>
          <w:rFonts w:ascii="宋体" w:hAnsi="宋体" w:cs="宋体" w:eastAsia="宋体" w:hint="ascii"/>
          <w:sz w:val="21"/>
          <w:spacing w:val="-4"/>
        </w:rPr>
        <w:t>请</w:t>
      </w:r>
      <w:r>
        <w:rPr>
          <w:rFonts w:ascii="宋体" w:hAnsi="宋体" w:cs="宋体" w:eastAsia="宋体" w:hint="ascii"/>
          <w:sz w:val="21"/>
          <w:spacing w:val="-5"/>
        </w:rPr>
        <w:t>人已</w:t>
      </w:r>
      <w:r>
        <w:rPr>
          <w:rFonts w:ascii="宋体" w:hAnsi="宋体" w:cs="宋体" w:eastAsia="宋体" w:hint="ascii"/>
          <w:sz w:val="21"/>
          <w:spacing w:val="-4"/>
        </w:rPr>
        <w:t>经承</w:t>
      </w:r>
      <w:r>
        <w:rPr>
          <w:rFonts w:ascii="宋体" w:hAnsi="宋体" w:cs="宋体" w:eastAsia="宋体" w:hint="ascii"/>
          <w:sz w:val="21"/>
          <w:spacing w:val="-5"/>
        </w:rPr>
        <w:t>担</w:t>
      </w:r>
      <w:r>
        <w:rPr>
          <w:rFonts w:ascii="宋体" w:hAnsi="宋体" w:cs="宋体" w:eastAsia="宋体" w:hint="ascii"/>
          <w:sz w:val="21"/>
          <w:spacing w:val="-4"/>
        </w:rPr>
        <w:t>与</w:t>
      </w:r>
      <w:r>
        <w:rPr>
          <w:rFonts w:ascii="宋体" w:hAnsi="宋体" w:cs="宋体" w:eastAsia="宋体" w:hint="ascii"/>
          <w:sz w:val="21"/>
          <w:spacing w:val="-5"/>
        </w:rPr>
        <w:t>本联</w:t>
      </w:r>
      <w:r>
        <w:rPr>
          <w:rFonts w:ascii="宋体" w:hAnsi="宋体" w:cs="宋体" w:eastAsia="宋体" w:hint="ascii"/>
          <w:sz w:val="21"/>
          <w:spacing w:val="-4"/>
        </w:rPr>
        <w:t>合基</w:t>
      </w:r>
      <w:r>
        <w:rPr>
          <w:rFonts w:ascii="宋体" w:hAnsi="宋体" w:cs="宋体" w:eastAsia="宋体" w:hint="ascii"/>
          <w:sz w:val="21"/>
          <w:spacing w:val="-5"/>
        </w:rPr>
        <w:t>金</w:t>
      </w:r>
      <w:r>
        <w:rPr>
          <w:rFonts w:ascii="宋体" w:hAnsi="宋体" w:cs="宋体" w:eastAsia="宋体" w:hint="ascii"/>
          <w:sz w:val="21"/>
          <w:spacing w:val="-4"/>
        </w:rPr>
        <w:t>相</w:t>
      </w:r>
      <w:r>
        <w:rPr>
          <w:rFonts w:ascii="宋体" w:hAnsi="宋体" w:cs="宋体" w:eastAsia="宋体" w:hint="ascii"/>
          <w:sz w:val="21"/>
          <w:spacing w:val="-5"/>
        </w:rPr>
        <w:t>关的</w:t>
      </w:r>
      <w:r>
        <w:rPr>
          <w:rFonts w:ascii="宋体" w:hAnsi="宋体" w:cs="宋体" w:eastAsia="宋体" w:hint="ascii"/>
          <w:sz w:val="21"/>
          <w:spacing w:val="-4"/>
        </w:rPr>
        <w:t>国家</w:t>
      </w:r>
      <w:r>
        <w:rPr>
          <w:rFonts w:ascii="宋体" w:hAnsi="宋体" w:cs="宋体" w:eastAsia="宋体" w:hint="ascii"/>
          <w:sz w:val="21"/>
          <w:spacing w:val="-5"/>
        </w:rPr>
        <w:t>其</w:t>
      </w:r>
      <w:r>
        <w:rPr>
          <w:rFonts w:ascii="宋体" w:hAnsi="宋体" w:cs="宋体" w:eastAsia="宋体" w:hint="ascii"/>
          <w:sz w:val="21"/>
          <w:spacing w:val="-3"/>
        </w:rPr>
        <w:t>他</w:t>
      </w:r>
      <w:r>
        <w:rPr>
          <w:rFonts w:ascii="宋体" w:hAnsi="宋体" w:cs="宋体" w:eastAsia="宋体" w:hint="ascii"/>
          <w:sz w:val="21"/>
          <w:spacing w:val="-4"/>
        </w:rPr>
        <w:t>科技</w:t>
      </w:r>
      <w:r>
        <w:rPr>
          <w:rFonts w:ascii="宋体" w:hAnsi="宋体" w:cs="宋体" w:eastAsia="宋体" w:hint="ascii"/>
          <w:sz w:val="21"/>
          <w:spacing w:val="-3"/>
        </w:rPr>
        <w:t>计划</w:t>
      </w:r>
      <w:r>
        <w:rPr>
          <w:rFonts w:ascii="宋体" w:hAnsi="宋体" w:cs="宋体" w:eastAsia="宋体" w:hint="ascii"/>
          <w:sz w:val="21"/>
          <w:spacing w:val="-4"/>
        </w:rPr>
        <w:t>项</w:t>
      </w:r>
      <w:r>
        <w:rPr>
          <w:rFonts w:ascii="宋体" w:hAnsi="宋体" w:cs="宋体" w:eastAsia="宋体" w:hint="ascii"/>
          <w:sz w:val="21"/>
          <w:spacing w:val="-3"/>
        </w:rPr>
        <w:t>目</w:t>
      </w:r>
      <w:r>
        <w:rPr>
          <w:rFonts w:ascii="宋体" w:hAnsi="宋体" w:cs="宋体" w:eastAsia="宋体" w:hint="ascii"/>
          <w:sz w:val="21"/>
          <w:spacing w:val="-4"/>
        </w:rPr>
        <w:t>，应</w:t>
      </w:r>
      <w:r>
        <w:rPr>
          <w:rFonts w:ascii="宋体" w:hAnsi="宋体" w:cs="宋体" w:eastAsia="宋体" w:hint="ascii"/>
          <w:sz w:val="21"/>
          <w:spacing w:val="-3"/>
        </w:rPr>
        <w:t>当在</w:t>
      </w:r>
      <w:r>
        <w:rPr>
          <w:rFonts w:ascii="宋体" w:hAnsi="宋体" w:cs="宋体" w:eastAsia="宋体" w:hint="ascii"/>
          <w:sz w:val="21"/>
          <w:spacing w:val="-1"/>
        </w:rPr>
        <w:t>申</w:t>
      </w:r>
      <w:r>
        <w:rPr>
          <w:rFonts w:ascii="宋体" w:hAnsi="宋体" w:cs="宋体" w:eastAsia="宋体" w:hint="ascii"/>
          <w:sz w:val="21"/>
        </w:rPr>
        <w:t xml:space="preserve"> </w:t>
      </w:r>
      <w:r>
        <w:rPr>
          <w:rFonts w:ascii="宋体" w:hAnsi="宋体" w:cs="宋体" w:eastAsia="宋体" w:hint="ascii"/>
          <w:sz w:val="21"/>
          <w:spacing w:val="-3"/>
        </w:rPr>
        <w:t>请书正文的“研究基础与工作条件”部分论述申请项目与其他相关项目的区别与联系</w:t>
      </w:r>
      <w:r>
        <w:rPr>
          <w:rFonts w:ascii="宋体" w:hAnsi="宋体" w:cs="宋体" w:eastAsia="宋体" w:hint="ascii"/>
          <w:sz w:val="21"/>
        </w:rPr>
        <w:t>。</w:t>
      </w:r>
    </w:p>
    <w:p>
      <w:pPr>
        <w:autoSpaceDE w:val="0"/>
        <w:autoSpaceDN w:val="0"/>
        <w:jc w:val="left"/>
        <w:spacing w:before="164" w:after="0" w:lineRule="exact" w:line="300"/>
        <w:ind w:right="0" w:left="138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rPr>
      </w:pPr>
      <w:r>
        <w:rPr>
          <w:rFonts w:ascii="宋体" w:hAnsi="宋体" w:cs="宋体" w:eastAsia="宋体" w:hint="ascii"/>
        </w:rPr>
        <w:t>联系方式</w:t>
      </w:r>
      <w:rPr>
        <w:rFonts w:ascii="宋体" w:hAnsi="宋体" w:cs="宋体" w:eastAsia="宋体" w:hint="ascii"/>
      </w:rPr>
    </w:p>
    <w:p>
      <w:pPr>
        <w:autoSpaceDE w:val="0"/>
        <w:autoSpaceDN w:val="0"/>
        <w:jc w:val="left"/>
        <w:spacing w:before="198"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spacing w:val="-5"/>
        </w:rPr>
        <w:t>国家自然科学基金委员会计划</w:t>
      </w:r>
      <w:r>
        <w:rPr>
          <w:rFonts w:ascii="宋体" w:hAnsi="宋体" w:cs="宋体" w:eastAsia="宋体" w:hint="ascii"/>
          <w:sz w:val="21"/>
        </w:rPr>
        <w:t>局</w:t>
      </w:r>
    </w:p>
    <w:p>
      <w:pPr>
        <w:autoSpaceDE w:val="0"/>
        <w:autoSpaceDN w:val="0"/>
        <w:jc w:val="left"/>
        <w:spacing w:before="49"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43"/>
        </w:rPr>
        <w:t xml:space="preserve"> </w:t>
      </w:r>
      <w:r>
        <w:rPr>
          <w:rFonts w:ascii="宋体" w:hAnsi="宋体" w:cs="宋体" w:eastAsia="宋体" w:hint="ascii"/>
          <w:sz w:val="21"/>
          <w:spacing w:val="-5"/>
        </w:rPr>
        <w:t>址：北京市海淀区双清</w:t>
      </w:r>
      <w:r>
        <w:rPr>
          <w:rFonts w:ascii="宋体" w:hAnsi="宋体" w:cs="宋体" w:eastAsia="宋体" w:hint="ascii"/>
          <w:sz w:val="21"/>
          <w:spacing w:val="20"/>
        </w:rPr>
        <w:t>路</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45"/>
        </w:rPr>
        <w:t>3</w:t>
      </w:r>
      <w:r>
        <w:rPr>
          <w:rFonts w:ascii="宋体" w:hAnsi="宋体" w:cs="宋体" w:eastAsia="宋体" w:hint="ascii"/>
          <w:sz w:val="21"/>
        </w:rPr>
        <w:t>号</w:t>
      </w:r>
    </w:p>
    <w:p>
      <w:pPr>
        <w:autoSpaceDE w:val="0"/>
        <w:autoSpaceDN w:val="0"/>
        <w:jc w:val="left"/>
        <w:spacing w:before="49" w:after="0" w:lineRule="exact" w:line="263"/>
        <w:ind w:right="0" w:left="136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43"/>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10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08</w:t>
      </w:r>
      <w:r>
        <w:rPr>
          <w:rFonts w:ascii="Times New Roman" w:hAnsi="Times New Roman" w:cs="Times New Roman" w:eastAsia="Times New Roman" w:hint="ascii"/>
          <w:sz w:val="21"/>
        </w:rPr>
        <w:t>5</w:t>
      </w:r>
    </w:p>
    <w:p>
      <w:pPr>
        <w:autoSpaceDE w:val="0"/>
        <w:autoSpaceDN w:val="0"/>
        <w:jc w:val="left"/>
        <w:spacing w:before="49" w:after="0" w:lineRule="exact" w:line="263"/>
        <w:ind w:right="0" w:left="1365"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雷</w:t>
      </w:r>
      <w:r>
        <w:rPr>
          <w:rFonts w:ascii="宋体" w:hAnsi="宋体" w:cs="宋体" w:eastAsia="宋体" w:hint="ascii"/>
          <w:sz w:val="21"/>
          <w:spacing w:val="37"/>
        </w:rPr>
        <w:t xml:space="preserve"> </w:t>
      </w:r>
      <w:r>
        <w:rPr>
          <w:rFonts w:ascii="宋体" w:hAnsi="宋体" w:cs="宋体" w:eastAsia="宋体" w:hint="ascii"/>
          <w:sz w:val="21"/>
        </w:rPr>
        <w:t>蓉</w:t>
      </w:r>
      <w:r>
        <w:rPr>
          <w:rFonts w:ascii="宋体" w:hAnsi="宋体" w:cs="宋体" w:eastAsia="宋体" w:hint="ascii"/>
          <w:sz w:val="21"/>
          <w:spacing w:val="43"/>
        </w:rPr>
        <w:t xml:space="preserve"> </w:t>
      </w:r>
      <w:r>
        <w:rPr>
          <w:rFonts w:ascii="宋体" w:hAnsi="宋体" w:cs="宋体" w:eastAsia="宋体" w:hint="ascii"/>
          <w:sz w:val="21"/>
        </w:rPr>
        <w:t>王</w:t>
      </w:r>
      <w:r>
        <w:rPr>
          <w:rFonts w:ascii="宋体" w:hAnsi="宋体" w:cs="宋体" w:eastAsia="宋体" w:hint="ascii"/>
          <w:sz w:val="21"/>
          <w:spacing w:val="38"/>
        </w:rPr>
        <w:t xml:space="preserve"> </w:t>
      </w:r>
      <w:r>
        <w:rPr>
          <w:rFonts w:ascii="宋体" w:hAnsi="宋体" w:cs="宋体" w:eastAsia="宋体" w:hint="ascii"/>
          <w:sz w:val="21"/>
        </w:rPr>
        <w:t>岩</w:t>
      </w:r>
    </w:p>
    <w:p>
      <w:pPr>
        <w:autoSpaceDE w:val="0"/>
        <w:autoSpaceDN w:val="0"/>
        <w:jc w:val="both"/>
        <w:spacing w:before="10" w:after="0" w:lineRule="exact" w:line="312"/>
        <w:ind w:right="0" w:left="1365"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4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01</w:t>
      </w:r>
      <w:r>
        <w:rPr>
          <w:rFonts w:ascii="Times New Roman" w:hAnsi="Times New Roman" w:cs="Times New Roman" w:eastAsia="Times New Roman" w:hint="ascii"/>
          <w:sz w:val="21"/>
          <w:spacing w:val="-6"/>
        </w:rPr>
        <w:t>0</w:t>
      </w:r>
      <w:r>
        <w:rPr>
          <w:rFonts w:ascii="宋体" w:hAnsi="宋体" w:cs="宋体" w:eastAsia="宋体" w:hint="ascii"/>
          <w:sz w:val="21"/>
          <w:spacing w:val="-7"/>
        </w:rPr>
        <w:t>-</w:t>
      </w:r>
      <w:r>
        <w:rPr>
          <w:rFonts w:ascii="Times New Roman" w:hAnsi="Times New Roman" w:cs="Times New Roman" w:eastAsia="Times New Roman" w:hint="ascii"/>
          <w:sz w:val="21"/>
          <w:spacing w:val="-7"/>
        </w:rPr>
        <w:t>6</w:t>
      </w:r>
      <w:r>
        <w:rPr>
          <w:rFonts w:ascii="Times New Roman" w:hAnsi="Times New Roman" w:cs="Times New Roman" w:eastAsia="Times New Roman" w:hint="ascii"/>
          <w:sz w:val="21"/>
          <w:spacing w:val="-6"/>
        </w:rPr>
        <w:t>2</w:t>
      </w:r>
      <w:r>
        <w:rPr>
          <w:rFonts w:ascii="Times New Roman" w:hAnsi="Times New Roman" w:cs="Times New Roman" w:eastAsia="Times New Roman" w:hint="ascii"/>
          <w:sz w:val="21"/>
          <w:spacing w:val="-7"/>
        </w:rPr>
        <w:t>32</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7"/>
        </w:rPr>
        <w:t>484</w:t>
      </w:r>
      <w:r>
        <w:rPr>
          <w:rFonts w:ascii="宋体" w:hAnsi="宋体" w:cs="宋体" w:eastAsia="宋体" w:hint="ascii"/>
          <w:sz w:val="21"/>
          <w:spacing w:val="-7"/>
        </w:rPr>
        <w:t>，</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10</w:t>
      </w:r>
      <w:r>
        <w:rPr>
          <w:rFonts w:ascii="宋体" w:hAnsi="宋体" w:cs="宋体" w:eastAsia="宋体" w:hint="ascii"/>
          <w:sz w:val="21"/>
          <w:spacing w:val="-6"/>
        </w:rPr>
        <w:t>-</w:t>
      </w:r>
      <w:r>
        <w:rPr>
          <w:rFonts w:ascii="Times New Roman" w:hAnsi="Times New Roman" w:cs="Times New Roman" w:eastAsia="Times New Roman" w:hint="ascii"/>
          <w:sz w:val="21"/>
          <w:spacing w:val="-7"/>
        </w:rPr>
        <w:t>62</w:t>
      </w:r>
      <w:r>
        <w:rPr>
          <w:rFonts w:ascii="Times New Roman" w:hAnsi="Times New Roman" w:cs="Times New Roman" w:eastAsia="Times New Roman" w:hint="ascii"/>
          <w:sz w:val="21"/>
          <w:spacing w:val="-6"/>
        </w:rPr>
        <w:t>3</w:t>
      </w:r>
      <w:r>
        <w:rPr>
          <w:rFonts w:ascii="Times New Roman" w:hAnsi="Times New Roman" w:cs="Times New Roman" w:eastAsia="Times New Roman" w:hint="ascii"/>
          <w:sz w:val="21"/>
          <w:spacing w:val="-7"/>
        </w:rPr>
        <w:t>27</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w:t>
      </w:r>
      <w:r>
        <w:rPr>
          <w:rFonts w:ascii="Times New Roman" w:hAnsi="Times New Roman" w:cs="Times New Roman" w:eastAsia="Times New Roman" w:hint="ascii"/>
          <w:sz w:val="21"/>
          <w:spacing w:val="-2"/>
        </w:rPr>
        <w:t>5</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6"/>
        </w:rPr>
        <w:t>l</w:t>
      </w:r>
      <w:r>
        <w:rPr>
          <w:rFonts w:ascii="Times New Roman" w:hAnsi="Times New Roman" w:cs="Times New Roman" w:eastAsia="Times New Roman" w:hint="ascii"/>
          <w:sz w:val="21"/>
          <w:spacing w:val="-4"/>
        </w:rPr>
        <w:t>e</w:t>
      </w:r>
      <w:r>
        <w:rPr>
          <w:rFonts w:ascii="Times New Roman" w:hAnsi="Times New Roman" w:cs="Times New Roman" w:eastAsia="Times New Roman" w:hint="ascii"/>
          <w:sz w:val="21"/>
          <w:spacing w:val="-6"/>
        </w:rPr>
        <w:t>i</w:t>
      </w:r>
      <w:r>
        <w:rPr>
          <w:rFonts w:ascii="Times New Roman" w:hAnsi="Times New Roman" w:cs="Times New Roman" w:eastAsia="Times New Roman" w:hint="ascii"/>
          <w:sz w:val="21"/>
          <w:spacing w:val="-5"/>
        </w:rPr>
        <w:t>r</w:t>
      </w:r>
      <w:r>
        <w:rPr>
          <w:rFonts w:ascii="Times New Roman" w:hAnsi="Times New Roman" w:cs="Times New Roman" w:eastAsia="Times New Roman" w:hint="ascii"/>
          <w:sz w:val="21"/>
          <w:spacing w:val="-4"/>
        </w:rPr>
        <w:t>o</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nsfc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5"/>
        </w:rPr>
        <w:t>go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2367"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spacing w:val="-5"/>
        </w:rPr>
        <w:t>wan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ya</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sfc.</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rPr>
        <w:t>n</w:t>
      </w:r>
    </w:p>
    <w:p>
      <w:pPr>
        <w:autoSpaceDE w:val="0"/>
        <w:autoSpaceDN w:val="0"/>
        <w:jc w:val="left"/>
        <w:spacing w:before="198"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spacing w:val="-5"/>
        </w:rPr>
        <w:t>山西省科技</w:t>
      </w:r>
      <w:r>
        <w:rPr>
          <w:rFonts w:ascii="宋体" w:hAnsi="宋体" w:cs="宋体" w:eastAsia="宋体" w:hint="ascii"/>
          <w:sz w:val="21"/>
        </w:rPr>
        <w:t>厅</w:t>
      </w:r>
    </w:p>
    <w:p>
      <w:pPr>
        <w:autoSpaceDE w:val="0"/>
        <w:autoSpaceDN w:val="0"/>
        <w:jc w:val="left"/>
        <w:spacing w:before="4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43"/>
        </w:rPr>
        <w:t xml:space="preserve"> </w:t>
      </w:r>
      <w:r>
        <w:rPr>
          <w:rFonts w:ascii="宋体" w:hAnsi="宋体" w:cs="宋体" w:eastAsia="宋体" w:hint="ascii"/>
          <w:sz w:val="21"/>
          <w:spacing w:val="-5"/>
        </w:rPr>
        <w:t>址：太原市迎泽大</w:t>
      </w:r>
      <w:r>
        <w:rPr>
          <w:rFonts w:ascii="宋体" w:hAnsi="宋体" w:cs="宋体" w:eastAsia="宋体" w:hint="ascii"/>
          <w:sz w:val="21"/>
          <w:spacing w:val="20"/>
        </w:rPr>
        <w:t>街</w:t>
      </w:r>
      <w:r>
        <w:rPr>
          <w:rFonts w:ascii="Times New Roman" w:hAnsi="Times New Roman" w:cs="Times New Roman" w:eastAsia="Times New Roman" w:hint="ascii"/>
          <w:sz w:val="21"/>
          <w:spacing w:val="-5"/>
        </w:rPr>
        <w:t>36</w:t>
      </w:r>
      <w:r>
        <w:rPr>
          <w:rFonts w:ascii="Times New Roman" w:hAnsi="Times New Roman" w:cs="Times New Roman" w:eastAsia="Times New Roman" w:hint="ascii"/>
          <w:sz w:val="21"/>
          <w:spacing w:val="45"/>
        </w:rPr>
        <w:t>6</w:t>
      </w:r>
      <w:r>
        <w:rPr>
          <w:rFonts w:ascii="宋体" w:hAnsi="宋体" w:cs="宋体" w:eastAsia="宋体" w:hint="ascii"/>
          <w:sz w:val="21"/>
        </w:rPr>
        <w:t>号</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43"/>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03</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00</w:t>
      </w:r>
      <w:r>
        <w:rPr>
          <w:rFonts w:ascii="Times New Roman" w:hAnsi="Times New Roman" w:cs="Times New Roman" w:eastAsia="Times New Roman" w:hint="ascii"/>
          <w:sz w:val="21"/>
        </w:rPr>
        <w:t>1</w:t>
      </w:r>
    </w:p>
    <w:p>
      <w:pPr>
        <w:autoSpaceDE w:val="0"/>
        <w:autoSpaceDN w:val="0"/>
        <w:jc w:val="left"/>
        <w:spacing w:before="4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人：李国</w:t>
      </w:r>
      <w:r>
        <w:rPr>
          <w:rFonts w:ascii="宋体" w:hAnsi="宋体" w:cs="宋体" w:eastAsia="宋体" w:hint="ascii"/>
          <w:sz w:val="21"/>
        </w:rPr>
        <w:t>栋</w:t>
      </w:r>
      <w:r>
        <w:rPr>
          <w:rFonts w:ascii="宋体" w:hAnsi="宋体" w:cs="宋体" w:eastAsia="宋体" w:hint="ascii"/>
          <w:sz w:val="21"/>
          <w:spacing w:val="43"/>
        </w:rPr>
        <w:t xml:space="preserve"> </w:t>
      </w:r>
      <w:r>
        <w:rPr>
          <w:rFonts w:ascii="宋体" w:hAnsi="宋体" w:cs="宋体" w:eastAsia="宋体" w:hint="ascii"/>
          <w:sz w:val="21"/>
          <w:spacing w:val="-5"/>
        </w:rPr>
        <w:t>刘一</w:t>
      </w:r>
      <w:r>
        <w:rPr>
          <w:rFonts w:ascii="宋体" w:hAnsi="宋体" w:cs="宋体" w:eastAsia="宋体" w:hint="ascii"/>
          <w:sz w:val="21"/>
        </w:rPr>
        <w:t>鸣</w:t>
      </w:r>
    </w:p>
    <w:p>
      <w:pPr>
        <w:autoSpaceDE w:val="0"/>
        <w:autoSpaceDN w:val="0"/>
        <w:jc w:val="both"/>
        <w:spacing w:before="10" w:after="0" w:lineRule="exact" w:line="312"/>
        <w:ind w:right="1069" w:left="0" w:firstLine="0"/>
        <w:snapToGrid w:val="0"/>
        <w:textAlignment w:val="auto"/>
        <w:tabs/>
        <w:sectPr>
          <w:type w:val="continuous"/>
          <w:pgSz w:w="10940" w:h="15080" w:orient="portrait"/>
          <w:pgMar w:top="508" w:right="508" w:bottom="508" w:left="508" w:header="0" w:footer="0" w:gutter="0"/>
          <w:cols w:num="2" w:space="0" w:equalWidth="0">
            <w:col w:w="4971" w:space="279"/>
            <w:col w:w="467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宋体" w:hAnsi="宋体" w:cs="宋体" w:eastAsia="宋体" w:hint="ascii"/>
          <w:sz w:val="21"/>
          <w:spacing w:val="-3"/>
        </w:rPr>
        <w:t>电</w:t>
      </w:r>
      <w:r>
        <w:rPr>
          <w:rFonts w:ascii="宋体" w:hAnsi="宋体" w:cs="宋体" w:eastAsia="宋体" w:hint="ascii"/>
          <w:sz w:val="21"/>
          <w:spacing w:val="14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03</w:t>
      </w:r>
      <w:r>
        <w:rPr>
          <w:rFonts w:ascii="Times New Roman" w:hAnsi="Times New Roman" w:cs="Times New Roman" w:eastAsia="Times New Roman" w:hint="ascii"/>
          <w:sz w:val="21"/>
          <w:spacing w:val="-6"/>
        </w:rPr>
        <w:t>5</w:t>
      </w:r>
      <w:r>
        <w:rPr>
          <w:rFonts w:ascii="Times New Roman" w:hAnsi="Times New Roman" w:cs="Times New Roman" w:eastAsia="Times New Roman" w:hint="ascii"/>
          <w:sz w:val="21"/>
          <w:spacing w:val="-7"/>
        </w:rPr>
        <w:t>1</w:t>
      </w:r>
      <w:r>
        <w:rPr>
          <w:rFonts w:ascii="宋体" w:hAnsi="宋体" w:cs="宋体" w:eastAsia="宋体" w:hint="ascii"/>
          <w:sz w:val="21"/>
          <w:spacing w:val="-7"/>
        </w:rPr>
        <w:t>-</w:t>
      </w:r>
      <w:r>
        <w:rPr>
          <w:rFonts w:ascii="Times New Roman" w:hAnsi="Times New Roman" w:cs="Times New Roman" w:eastAsia="Times New Roman" w:hint="ascii"/>
          <w:sz w:val="21"/>
          <w:spacing w:val="-6"/>
        </w:rPr>
        <w:t>4</w:t>
      </w:r>
      <w:r>
        <w:rPr>
          <w:rFonts w:ascii="Times New Roman" w:hAnsi="Times New Roman" w:cs="Times New Roman" w:eastAsia="Times New Roman" w:hint="ascii"/>
          <w:sz w:val="21"/>
          <w:spacing w:val="-7"/>
        </w:rPr>
        <w:t>04</w:t>
      </w:r>
      <w:r>
        <w:rPr>
          <w:rFonts w:ascii="Times New Roman" w:hAnsi="Times New Roman" w:cs="Times New Roman" w:eastAsia="Times New Roman" w:hint="ascii"/>
          <w:sz w:val="21"/>
          <w:spacing w:val="-6"/>
        </w:rPr>
        <w:t>9</w:t>
      </w:r>
      <w:r>
        <w:rPr>
          <w:rFonts w:ascii="Times New Roman" w:hAnsi="Times New Roman" w:cs="Times New Roman" w:eastAsia="Times New Roman" w:hint="ascii"/>
          <w:sz w:val="21"/>
          <w:spacing w:val="-7"/>
        </w:rPr>
        <w:t>920</w:t>
      </w:r>
      <w:r>
        <w:rPr>
          <w:rFonts w:ascii="宋体" w:hAnsi="宋体" w:cs="宋体" w:eastAsia="宋体" w:hint="ascii"/>
          <w:sz w:val="21"/>
          <w:spacing w:val="-7"/>
        </w:rPr>
        <w:t>，</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35</w:t>
      </w:r>
      <w:r>
        <w:rPr>
          <w:rFonts w:ascii="Times New Roman" w:hAnsi="Times New Roman" w:cs="Times New Roman" w:eastAsia="Times New Roman" w:hint="ascii"/>
          <w:sz w:val="21"/>
          <w:spacing w:val="-6"/>
        </w:rPr>
        <w:t>1</w:t>
      </w:r>
      <w:r>
        <w:rPr>
          <w:rFonts w:ascii="宋体" w:hAnsi="宋体" w:cs="宋体" w:eastAsia="宋体" w:hint="ascii"/>
          <w:sz w:val="21"/>
          <w:spacing w:val="-7"/>
        </w:rPr>
        <w:t>-</w:t>
      </w:r>
      <w:r>
        <w:rPr>
          <w:rFonts w:ascii="Times New Roman" w:hAnsi="Times New Roman" w:cs="Times New Roman" w:eastAsia="Times New Roman" w:hint="ascii"/>
          <w:sz w:val="21"/>
          <w:spacing w:val="-7"/>
        </w:rPr>
        <w:t>4</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67</w:t>
      </w:r>
      <w:r>
        <w:rPr>
          <w:rFonts w:ascii="Times New Roman" w:hAnsi="Times New Roman" w:cs="Times New Roman" w:eastAsia="Times New Roman" w:hint="ascii"/>
          <w:sz w:val="21"/>
          <w:spacing w:val="-6"/>
        </w:rPr>
        <w:t>9</w:t>
      </w:r>
      <w:r>
        <w:rPr>
          <w:rFonts w:ascii="Times New Roman" w:hAnsi="Times New Roman" w:cs="Times New Roman" w:eastAsia="Times New Roman" w:hint="ascii"/>
          <w:sz w:val="21"/>
          <w:spacing w:val="-7"/>
        </w:rPr>
        <w:t>9</w:t>
      </w:r>
      <w:r>
        <w:rPr>
          <w:rFonts w:ascii="Times New Roman" w:hAnsi="Times New Roman" w:cs="Times New Roman" w:eastAsia="Times New Roman" w:hint="ascii"/>
          <w:sz w:val="21"/>
          <w:spacing w:val="-2"/>
        </w:rPr>
        <w:t>3</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5"/>
        </w:rPr>
        <w:t>sxskjtjcc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5"/>
        </w:rPr>
        <w:t>126.co</w:t>
      </w:r>
      <w:r>
        <w:rPr>
          <w:rFonts w:ascii="Times New Roman" w:hAnsi="Times New Roman" w:cs="Times New Roman" w:eastAsia="Times New Roman" w:hint="ascii"/>
          <w:sz w:val="21"/>
        </w:rPr>
        <w:t>m</w:t>
      </w:r>
      <w:rPr>
        <w:rFonts w:ascii="Times New Roman" w:hAnsi="Times New Roman" w:cs="Times New Roman" w:eastAsia="Times New Roman" w:hint="ascii"/>
        <w:sz w:val="21"/>
      </w:rPr>
    </w:p>
    <w:p>
      <w:pPr>
        <w:autoSpaceDE w:val="0"/>
        <w:autoSpaceDN w:val="0"/>
        <w:jc w:val="left"/>
        <w:spacing w:before="489" w:after="0" w:lineRule="auto" w:line="240"/>
        <w:ind w:right="0" w:left="1879"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rPr>
        <w:t>NSFC</w:t>
      </w:r>
      <w:r>
        <w:rPr>
          <w:rFonts w:ascii="宋体" w:hAnsi="宋体" w:cs="宋体" w:eastAsia="宋体" w:hint="ascii"/>
          <w:sz w:val="38"/>
          <w:position w:val="2"/>
          <w:spacing w:val="31"/>
        </w:rPr>
        <w:t>-</w:t>
      </w:r>
      <w:r>
        <w:rPr>
          <w:rFonts w:ascii="宋体" w:hAnsi="宋体" w:cs="宋体" w:eastAsia="宋体" w:hint="ascii"/>
          <w:sz w:val="38"/>
        </w:rPr>
        <w:t>广东大数据科学研究中心项目</w:t>
      </w:r>
    </w:p>
    <w:p>
      <w:pPr>
        <w:autoSpaceDE w:val="0"/>
        <w:autoSpaceDN w:val="0"/>
        <w:jc w:val="both"/>
        <w:spacing w:before="140" w:after="0" w:lineRule="exact" w:line="500"/>
        <w:ind w:right="978" w:left="966" w:firstLine="42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21"/>
          <w:spacing w:val="-1"/>
        </w:rPr>
        <w:t>自然科学基金</w:t>
      </w:r>
      <w:r>
        <w:rPr>
          <w:rFonts w:ascii="宋体" w:hAnsi="宋体" w:cs="宋体" w:eastAsia="宋体" w:hint="ascii"/>
          <w:sz w:val="21"/>
        </w:rPr>
        <w:t xml:space="preserve">委与广东省人民政府自 </w:t>
      </w:r>
      <w:r>
        <w:rPr>
          <w:rFonts w:ascii="Times New Roman" w:hAnsi="Times New Roman" w:cs="Times New Roman" w:eastAsia="Times New Roman" w:hint="ascii"/>
          <w:sz w:val="21"/>
        </w:rPr>
        <w:t xml:space="preserve">2015 </w:t>
      </w:r>
      <w:r>
        <w:rPr>
          <w:rFonts w:ascii="宋体" w:hAnsi="宋体" w:cs="宋体" w:eastAsia="宋体" w:hint="ascii"/>
          <w:sz w:val="21"/>
        </w:rPr>
        <w:t>年签署协议，共同设立大数据科学研究</w:t>
      </w:r>
      <w:r>
        <w:rPr>
          <w:rFonts w:ascii="宋体" w:hAnsi="宋体" w:cs="宋体" w:eastAsia="宋体" w:hint="ascii"/>
          <w:sz w:val="18"/>
        </w:rPr>
        <w:t>·</w:t>
      </w:r>
      <w:r>
        <w:rPr>
          <w:rFonts w:ascii="Times New Roman" w:hAnsi="Times New Roman" w:cs="Times New Roman" w:eastAsia="Times New Roman" w:hint="ascii"/>
          <w:sz w:val="18"/>
        </w:rPr>
        <w:t>238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57"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中心项目（以下简称大数据项目</w:t>
      </w:r>
      <w:r>
        <w:rPr>
          <w:rFonts w:ascii="宋体" w:hAnsi="宋体" w:cs="宋体" w:eastAsia="宋体" w:hint="ascii"/>
          <w:sz w:val="21"/>
          <w:spacing w:val="-51"/>
        </w:rPr>
        <w:t>）</w:t>
      </w:r>
      <w:r>
        <w:rPr>
          <w:rFonts w:ascii="宋体" w:hAnsi="宋体" w:cs="宋体" w:eastAsia="宋体" w:hint="ascii"/>
          <w:sz w:val="21"/>
        </w:rPr>
        <w:t>，旨在根据国家和广东省科技发展战略需要，充分发挥国家自然科学基金的导向作用以及广东省数据和计算资源的优势，引领全国大数据科学领域的基础研究，促进大数据产业的发展。</w:t>
      </w:r>
      <w:r>
        <w:rPr>
          <w:rFonts w:ascii="宋体" w:hAnsi="宋体" w:cs="宋体" w:eastAsia="宋体" w:hint="ascii"/>
          <w:sz w:val="21"/>
        </w:rPr>
        <mc:AlternateContent>
          <mc:Choice Requires="wps">
            <w:drawing>
              <wp:anchor distL="0" distR="0" distT="0" distB="0" simplePos="0" behindDoc="1" relativeHeight="316" locked="0" layoutInCell="1" allowOverlap="1">
                <wp:simplePos x="0" y="0"/>
                <wp:positionH relativeFrom="page">
                  <wp:posOffset>938530</wp:posOffset>
                </wp:positionH>
                <wp:positionV relativeFrom="page">
                  <wp:posOffset>819150</wp:posOffset>
                </wp:positionV>
                <wp:extent cx="5076190" cy="0"/>
                <wp:wrapNone/>
                <wp:docPr id="1344" name="134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34656;width:399.70pt;" id="134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大数据项目围绕“智慧城市”建设，设置智能交通、智慧医疗与健康、智慧安全、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智慧防灾、智</w:t>
      </w:r>
      <w:r>
        <w:rPr>
          <w:rFonts w:ascii="宋体" w:hAnsi="宋体" w:cs="宋体" w:eastAsia="宋体" w:hint="ascii"/>
          <w:sz w:val="21"/>
        </w:rPr>
        <w:t>慧金融、智慧教育和智慧管理等研究领域，汇聚国内大数据源头创新领域人才和科技资源，共同解决大数据科学领域的重大科学问题和技术问题。</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大数据项目以国家超级计算广州中心“天河二号”超级计算机为平台，强调学科交</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叉和强强联合</w:t>
      </w:r>
      <w:r>
        <w:rPr>
          <w:rFonts w:ascii="宋体" w:hAnsi="宋体" w:cs="宋体" w:eastAsia="宋体" w:hint="ascii"/>
          <w:sz w:val="21"/>
        </w:rPr>
        <w:t>，鼓励全国有大数据研究优势的依托单位与广东省高等院校和科研机构联合提出项目申请。</w:t>
      </w:r>
    </w:p>
    <w:p>
      <w:pPr>
        <w:autoSpaceDE w:val="0"/>
        <w:autoSpaceDN w:val="0"/>
        <w:jc w:val="both"/>
        <w:spacing w:before="0"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 xml:space="preserve">大数据项目 </w:t>
      </w:r>
      <w:r>
        <w:rPr>
          <w:rFonts w:ascii="Times New Roman" w:hAnsi="Times New Roman" w:cs="Times New Roman" w:eastAsia="Times New Roman" w:hint="ascii"/>
          <w:sz w:val="21"/>
        </w:rPr>
        <w:t xml:space="preserve">2018 </w:t>
      </w:r>
      <w:r>
        <w:rPr>
          <w:rFonts w:ascii="宋体" w:hAnsi="宋体" w:cs="宋体" w:eastAsia="宋体" w:hint="ascii"/>
          <w:sz w:val="21"/>
        </w:rPr>
        <w:t>年度接收下述领域的中心项目或重点支持项目申请。欢迎全国符合条件的科学技术人员按照本《指南》范围和要求提出申请。</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一、中心项目</w:t>
      </w:r>
    </w:p>
    <w:p>
      <w:pPr>
        <w:autoSpaceDE w:val="0"/>
        <w:autoSpaceDN w:val="0"/>
        <w:jc w:val="both"/>
        <w:spacing w:before="157" w:after="0" w:lineRule="exact" w:line="312"/>
        <w:ind w:right="963" w:left="966" w:firstLine="42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 xml:space="preserve">8 </w:t>
      </w:r>
      <w:r>
        <w:rPr>
          <w:rFonts w:ascii="宋体" w:hAnsi="宋体" w:cs="宋体" w:eastAsia="宋体" w:hint="ascii"/>
          <w:sz w:val="21"/>
          <w:spacing w:val="-1"/>
        </w:rPr>
        <w:t>年度针对以下四个领域资助中心项目，直接费用资助强</w:t>
      </w:r>
      <w:r>
        <w:rPr>
          <w:rFonts w:ascii="宋体" w:hAnsi="宋体" w:cs="宋体" w:eastAsia="宋体" w:hint="ascii"/>
          <w:sz w:val="21"/>
        </w:rPr>
        <w:t xml:space="preserve">度为 </w:t>
      </w:r>
      <w:r>
        <w:rPr>
          <w:rFonts w:ascii="Times New Roman" w:hAnsi="Times New Roman" w:cs="Times New Roman" w:eastAsia="Times New Roman" w:hint="ascii"/>
          <w:sz w:val="21"/>
        </w:rPr>
        <w:t xml:space="preserve">2 000 </w:t>
      </w:r>
      <w:r>
        <w:rPr>
          <w:rFonts w:ascii="宋体" w:hAnsi="宋体" w:cs="宋体" w:eastAsia="宋体" w:hint="ascii"/>
          <w:sz w:val="21"/>
        </w:rPr>
        <w:t>万</w:t>
      </w:r>
      <w:r>
        <w:rPr>
          <w:rFonts w:ascii="宋体" w:hAnsi="宋体" w:cs="宋体" w:eastAsia="宋体" w:hint="ascii"/>
          <w:sz w:val="21"/>
        </w:rPr>
        <w:t>～</w:t>
      </w:r>
      <w:r>
        <w:rPr>
          <w:rFonts w:ascii="Times New Roman" w:hAnsi="Times New Roman" w:cs="Times New Roman" w:eastAsia="Times New Roman" w:hint="ascii"/>
          <w:sz w:val="21"/>
        </w:rPr>
        <w:t xml:space="preserve">3 000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4</w:t>
      </w:r>
      <w:r>
        <w:rPr>
          <w:rFonts w:ascii="宋体" w:hAnsi="宋体" w:cs="宋体" w:eastAsia="宋体" w:hint="ascii"/>
          <w:sz w:val="21"/>
        </w:rPr>
        <w:t>年。</w:t>
      </w:r>
    </w:p>
    <w:p>
      <w:pPr>
        <w:autoSpaceDE w:val="0"/>
        <w:autoSpaceDN w:val="0"/>
        <w:jc w:val="both"/>
        <w:spacing w:before="0"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中心项目申请人应当是本领域高水平的学术带头人，</w:t>
      </w:r>
      <w:r>
        <w:rPr>
          <w:rFonts w:ascii="宋体" w:hAnsi="宋体" w:cs="宋体" w:eastAsia="宋体" w:hint="ascii"/>
          <w:sz w:val="21"/>
          <w:spacing w:val="-1"/>
        </w:rPr>
        <w:t>具有较强的组织管理和协调能</w:t>
      </w:r>
      <w:r>
        <w:rPr>
          <w:rFonts w:ascii="宋体" w:hAnsi="宋体" w:cs="宋体" w:eastAsia="宋体" w:hint="ascii"/>
          <w:sz w:val="21"/>
        </w:rPr>
        <w:t xml:space="preserve"> </w:t>
      </w:r>
      <w:r>
        <w:rPr>
          <w:rFonts w:ascii="宋体" w:hAnsi="宋体" w:cs="宋体" w:eastAsia="宋体" w:hint="ascii"/>
          <w:sz w:val="21"/>
          <w:spacing w:val="-1"/>
        </w:rPr>
        <w:t>力，有足够</w:t>
      </w:r>
      <w:r>
        <w:rPr>
          <w:rFonts w:ascii="宋体" w:hAnsi="宋体" w:cs="宋体" w:eastAsia="宋体" w:hint="ascii"/>
          <w:sz w:val="21"/>
        </w:rPr>
        <w:t>的时间和精力从事本项目的工作，并在项目的实施过程中起主导作用；主要</w:t>
      </w:r>
      <w:r>
        <w:rPr>
          <w:rFonts w:ascii="宋体" w:hAnsi="宋体" w:cs="宋体" w:eastAsia="宋体" w:hint="ascii"/>
          <w:sz w:val="21"/>
          <w:spacing w:val="-1"/>
        </w:rPr>
        <w:t>研究方向的</w:t>
      </w:r>
      <w:r>
        <w:rPr>
          <w:rFonts w:ascii="宋体" w:hAnsi="宋体" w:cs="宋体" w:eastAsia="宋体" w:hint="ascii"/>
          <w:sz w:val="21"/>
        </w:rPr>
        <w:t>负责人应为本领域有影响的学术带头人，学术思想活跃，研究成果显著；中心项目申请人应当是其</w:t>
      </w:r>
      <w:r>
        <w:rPr>
          <w:rFonts w:ascii="宋体" w:hAnsi="宋体" w:cs="宋体" w:eastAsia="宋体" w:hint="ascii"/>
          <w:sz w:val="21"/>
          <w:spacing w:val="26"/>
        </w:rPr>
        <w:t>中</w:t>
      </w:r>
      <w:r>
        <w:rPr>
          <w:rFonts w:ascii="Times New Roman" w:hAnsi="Times New Roman" w:cs="Times New Roman" w:eastAsia="Times New Roman" w:hint="ascii"/>
          <w:sz w:val="21"/>
          <w:spacing w:val="52"/>
        </w:rPr>
        <w:t>1</w:t>
      </w:r>
      <w:r>
        <w:rPr>
          <w:rFonts w:ascii="宋体" w:hAnsi="宋体" w:cs="宋体" w:eastAsia="宋体" w:hint="ascii"/>
          <w:sz w:val="21"/>
        </w:rPr>
        <w:t>个主要研究方向的负责人。</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每个中心项目的主要研究内容应当涵盖资助领域下的所有研究方向（资助领域一包</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含</w:t>
      </w:r>
      <w:r>
        <w:rPr>
          <w:rFonts w:ascii="宋体" w:hAnsi="宋体" w:cs="宋体" w:eastAsia="宋体" w:hint="ascii"/>
          <w:sz w:val="21"/>
          <w:spacing w:val="-14"/>
        </w:rPr>
        <w:t xml:space="preserve"> </w:t>
      </w:r>
      <w:r>
        <w:rPr>
          <w:rFonts w:ascii="Times New Roman" w:hAnsi="Times New Roman" w:cs="Times New Roman" w:eastAsia="Times New Roman" w:hint="ascii"/>
          <w:sz w:val="21"/>
          <w:spacing w:val="-1"/>
        </w:rPr>
        <w:t>6</w:t>
      </w:r>
      <w:r>
        <w:rPr>
          <w:rFonts w:ascii="Times New Roman" w:hAnsi="Times New Roman" w:cs="Times New Roman" w:eastAsia="Times New Roman" w:hint="ascii"/>
          <w:sz w:val="21"/>
          <w:spacing w:val="-14"/>
        </w:rPr>
        <w:t xml:space="preserve"> </w:t>
      </w:r>
      <w:r>
        <w:rPr>
          <w:rFonts w:ascii="宋体" w:hAnsi="宋体" w:cs="宋体" w:eastAsia="宋体" w:hint="ascii"/>
          <w:sz w:val="21"/>
          <w:spacing w:val="-1"/>
        </w:rPr>
        <w:t>个研究</w:t>
      </w:r>
      <w:r>
        <w:rPr>
          <w:rFonts w:ascii="宋体" w:hAnsi="宋体" w:cs="宋体" w:eastAsia="宋体" w:hint="ascii"/>
          <w:sz w:val="21"/>
        </w:rPr>
        <w:t>方向，其余资助领域包含</w:t>
      </w:r>
      <w:r>
        <w:rPr>
          <w:rFonts w:ascii="宋体" w:hAnsi="宋体" w:cs="宋体" w:eastAsia="宋体" w:hint="ascii"/>
          <w:sz w:val="21"/>
          <w:spacing w:val="-13"/>
        </w:rPr>
        <w:t xml:space="preserve"> </w:t>
      </w:r>
      <w:r>
        <w:rPr>
          <w:rFonts w:ascii="Times New Roman" w:hAnsi="Times New Roman" w:cs="Times New Roman" w:eastAsia="Times New Roman" w:hint="ascii"/>
          <w:sz w:val="21"/>
        </w:rPr>
        <w:t>5</w:t>
      </w:r>
      <w:r>
        <w:rPr>
          <w:rFonts w:ascii="Times New Roman" w:hAnsi="Times New Roman" w:cs="Times New Roman" w:eastAsia="Times New Roman" w:hint="ascii"/>
          <w:sz w:val="21"/>
          <w:spacing w:val="-13"/>
        </w:rPr>
        <w:t xml:space="preserve"> </w:t>
      </w:r>
      <w:r>
        <w:rPr>
          <w:rFonts w:ascii="宋体" w:hAnsi="宋体" w:cs="宋体" w:eastAsia="宋体" w:hint="ascii"/>
          <w:sz w:val="21"/>
        </w:rPr>
        <w:t>个研究方向</w:t>
      </w:r>
      <w:r>
        <w:rPr>
          <w:rFonts w:ascii="宋体" w:hAnsi="宋体" w:cs="宋体" w:eastAsia="宋体" w:hint="ascii"/>
          <w:sz w:val="21"/>
          <w:spacing w:val="-52"/>
        </w:rPr>
        <w:t>）</w:t>
      </w:r>
      <w:r>
        <w:rPr>
          <w:rFonts w:ascii="宋体" w:hAnsi="宋体" w:cs="宋体" w:eastAsia="宋体" w:hint="ascii"/>
          <w:sz w:val="21"/>
        </w:rPr>
        <w:t>。围绕研究目标，研究内容应相互</w:t>
      </w:r>
      <w:r>
        <w:rPr>
          <w:rFonts w:ascii="宋体" w:hAnsi="宋体" w:cs="宋体" w:eastAsia="宋体" w:hint="ascii"/>
          <w:sz w:val="21"/>
          <w:spacing w:val="1"/>
        </w:rPr>
        <w:t>关联，互为支撑。人</w:t>
      </w:r>
      <w:r>
        <w:rPr>
          <w:rFonts w:ascii="宋体" w:hAnsi="宋体" w:cs="宋体" w:eastAsia="宋体" w:hint="ascii"/>
          <w:sz w:val="21"/>
        </w:rPr>
        <w:t>员结构和规模合理，包括若干优秀的学术带头人、高素质研究</w:t>
      </w:r>
      <w:r>
        <w:rPr>
          <w:rFonts w:ascii="宋体" w:hAnsi="宋体" w:cs="宋体" w:eastAsia="宋体" w:hint="ascii"/>
          <w:sz w:val="21"/>
          <w:spacing w:val="-6"/>
        </w:rPr>
        <w:t>骨</w:t>
      </w:r>
      <w:r>
        <w:rPr>
          <w:rFonts w:ascii="宋体" w:hAnsi="宋体" w:cs="宋体" w:eastAsia="宋体" w:hint="ascii"/>
          <w:sz w:val="21"/>
          <w:spacing w:val="-1"/>
        </w:rPr>
        <w:t>干、高水平</w:t>
      </w:r>
      <w:r>
        <w:rPr>
          <w:rFonts w:ascii="宋体" w:hAnsi="宋体" w:cs="宋体" w:eastAsia="宋体" w:hint="ascii"/>
          <w:sz w:val="21"/>
        </w:rPr>
        <w:t>技术人员和精干的管理人员，在国内本领域中处于优势地位。合作研究单位数量根据实际情况确定。</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资助领域一：基于超算的大数据分析处理基础算法与编程支撑环境</w: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面向大数据分析与处理的各种应用需求，归纳具有共</w:t>
      </w:r>
      <w:r>
        <w:rPr>
          <w:rFonts w:ascii="宋体" w:hAnsi="宋体" w:cs="宋体" w:eastAsia="宋体" w:hint="ascii"/>
          <w:sz w:val="21"/>
          <w:spacing w:val="-1"/>
        </w:rPr>
        <w:t>性的大数据分析处理的基础算</w:t>
      </w:r>
      <w:r>
        <w:rPr>
          <w:rFonts w:ascii="宋体" w:hAnsi="宋体" w:cs="宋体" w:eastAsia="宋体" w:hint="ascii"/>
          <w:sz w:val="21"/>
        </w:rPr>
        <w:t xml:space="preserve"> </w:t>
      </w:r>
      <w:r>
        <w:rPr>
          <w:rFonts w:ascii="宋体" w:hAnsi="宋体" w:cs="宋体" w:eastAsia="宋体" w:hint="ascii"/>
          <w:sz w:val="21"/>
          <w:spacing w:val="-1"/>
        </w:rPr>
        <w:t>法，在新型分</w:t>
      </w:r>
      <w:r>
        <w:rPr>
          <w:rFonts w:ascii="宋体" w:hAnsi="宋体" w:cs="宋体" w:eastAsia="宋体" w:hint="ascii"/>
          <w:sz w:val="21"/>
        </w:rPr>
        <w:t>布并行计算环境下研究并提出具有原创性的计算方法和算法，提供易用的</w:t>
      </w:r>
      <w:r>
        <w:rPr>
          <w:rFonts w:ascii="宋体" w:hAnsi="宋体" w:cs="宋体" w:eastAsia="宋体" w:hint="ascii"/>
          <w:sz w:val="21"/>
          <w:spacing w:val="-1"/>
        </w:rPr>
        <w:t>大数据分析处</w:t>
      </w:r>
      <w:r>
        <w:rPr>
          <w:rFonts w:ascii="宋体" w:hAnsi="宋体" w:cs="宋体" w:eastAsia="宋体" w:hint="ascii"/>
          <w:sz w:val="21"/>
        </w:rPr>
        <w:t>理并行编程框架和高效的运行支撑服务平台，在“天河二号”超级计算机上实现大数据分析处理的并行算法库，并在线对外提供计算服务。主要研究方向：</w:t>
      </w:r>
    </w:p>
    <w:p>
      <w:pPr>
        <w:autoSpaceDE w:val="0"/>
        <w:autoSpaceDN w:val="0"/>
        <w:jc w:val="left"/>
        <w:spacing w:before="40" w:after="0" w:lineRule="auto" w:line="240"/>
        <w:ind w:right="0" w:left="1649" w:hanging="263"/>
        <w:snapToGrid w:val="0"/>
        <w:textAlignment w:val="auto"/>
        <w:tabs>
          <w:tab w:val="left" w:leader="none" w:pos="1648"/>
        </w:tabs>
        <w:numPr>
          <w:ilvl w:val="0"/>
          <w:numId w:val="340"/>
        </w:numPr>
        <w:rPr>
          <w:rFonts w:ascii="Times New Roman" w:hAnsi="Times New Roman" w:cs="Times New Roman" w:eastAsia="Times New Roman" w:hint="ascii"/>
          <w:sz w:val="21"/>
        </w:rPr>
      </w:pPr>
      <w:r>
        <w:rPr>
          <w:rFonts w:ascii="宋体" w:hAnsi="宋体" w:cs="宋体" w:eastAsia="宋体" w:hint="ascii"/>
          <w:sz w:val="21"/>
        </w:rPr>
        <w:t>大数据计算的基础算法与理论</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以建立大数据计算的基础算法与数学理论为目标，针对大数据基本计算问题，包括</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统计学基本计算、广义多体问题、图计算、大规模代数计算、大规模最优化问题、高维积分和比对等，提出适合于分布并行计算的新型可计算模型和方法，提</w:t>
      </w:r>
      <w:r>
        <w:rPr>
          <w:rFonts w:ascii="宋体" w:hAnsi="宋体" w:cs="宋体" w:eastAsia="宋体" w:hint="ascii"/>
          <w:sz w:val="21"/>
          <w:spacing w:val="27"/>
        </w:rPr>
        <w:t>出</w:t>
      </w:r>
      <w:r>
        <w:rPr>
          <w:rFonts w:ascii="Times New Roman" w:hAnsi="Times New Roman" w:cs="Times New Roman" w:eastAsia="Times New Roman" w:hint="ascii"/>
          <w:sz w:val="21"/>
          <w:spacing w:val="52"/>
        </w:rPr>
        <w:t>5</w:t>
      </w:r>
      <w:r>
        <w:rPr>
          <w:rFonts w:ascii="宋体" w:hAnsi="宋体" w:cs="宋体" w:eastAsia="宋体" w:hint="ascii"/>
          <w:sz w:val="21"/>
        </w:rPr>
        <w:t>个以上求解基本计算问题的新型高可扩展大数据计算基础算法，并建立这些算法的可行性、收敛性和误差可控制性理论。</w:t>
      </w:r>
    </w:p>
    <w:p>
      <w:pPr>
        <w:autoSpaceDE w:val="0"/>
        <w:autoSpaceDN w:val="0"/>
        <w:jc w:val="left"/>
        <w:spacing w:before="40" w:after="0" w:lineRule="auto" w:line="240"/>
        <w:ind w:right="0" w:left="1649" w:hanging="263"/>
        <w:snapToGrid w:val="0"/>
        <w:textAlignment w:val="auto"/>
        <w:tabs>
          <w:tab w:val="left" w:leader="none" w:pos="1648"/>
        </w:tabs>
        <w:numPr>
          <w:ilvl w:val="0"/>
          <w:numId w:val="340"/>
        </w:numPr>
        <w:rPr>
          <w:rFonts w:ascii="Times New Roman" w:hAnsi="Times New Roman" w:cs="Times New Roman" w:eastAsia="Times New Roman" w:hint="ascii"/>
          <w:sz w:val="21"/>
        </w:rPr>
      </w:pPr>
      <w:r>
        <w:rPr>
          <w:rFonts w:ascii="宋体" w:hAnsi="宋体" w:cs="宋体" w:eastAsia="宋体" w:hint="ascii"/>
          <w:sz w:val="21"/>
        </w:rPr>
        <w:t>大数据分析核心算法与理论分析</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面向高维巨量大数据的分析问题，研究分析核心算法及其分布并行实现技术，通过</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数据建模与计算，揭示大数据中所蕴含的结构、趋势、相关及其模式。研究设</w:t>
      </w:r>
      <w:r>
        <w:rPr>
          <w:rFonts w:ascii="宋体" w:hAnsi="宋体" w:cs="宋体" w:eastAsia="宋体" w:hint="ascii"/>
          <w:sz w:val="21"/>
          <w:spacing w:val="26"/>
        </w:rPr>
        <w:t>计</w:t>
      </w:r>
      <w:r>
        <w:rPr>
          <w:rFonts w:ascii="Times New Roman" w:hAnsi="Times New Roman" w:cs="Times New Roman" w:eastAsia="Times New Roman" w:hint="ascii"/>
          <w:sz w:val="21"/>
          <w:spacing w:val="53"/>
        </w:rPr>
        <w:t>5</w:t>
      </w:r>
      <w:r>
        <w:rPr>
          <w:rFonts w:ascii="宋体" w:hAnsi="宋体" w:cs="宋体" w:eastAsia="宋体" w:hint="ascii"/>
          <w:sz w:val="21"/>
        </w:rPr>
        <w:t>个以</w:t>
      </w:r>
    </w:p>
    <w:p>
      <w:pPr>
        <w:autoSpaceDE w:val="0"/>
        <w:autoSpaceDN w:val="0"/>
        <w:jc w:val="left"/>
        <w:spacing w:before="288"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239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上适应分</w:t>
      </w:r>
      <w:r>
        <w:rPr>
          <w:rFonts w:ascii="宋体" w:hAnsi="宋体" w:cs="宋体" w:eastAsia="宋体" w:hint="ascii"/>
          <w:sz w:val="21"/>
        </w:rPr>
        <w:t>布式并行计算环境的快速、高扩展性的大数据分析核心算法，如聚类算法、分</w:t>
      </w:r>
      <w:r>
        <w:rPr>
          <w:rFonts w:ascii="宋体" w:hAnsi="宋体" w:cs="宋体" w:eastAsia="宋体" w:hint="ascii"/>
          <w:sz w:val="21"/>
          <w:spacing w:val="1"/>
        </w:rPr>
        <w:t>类算法、回归算法、相</w:t>
      </w:r>
      <w:r>
        <w:rPr>
          <w:rFonts w:ascii="宋体" w:hAnsi="宋体" w:cs="宋体" w:eastAsia="宋体" w:hint="ascii"/>
          <w:sz w:val="21"/>
        </w:rPr>
        <w:t>关性分析算法、特征提取算法等，并建立这些分析算法的可</w:t>
      </w:r>
      <w:r>
        <w:rPr>
          <w:rFonts w:ascii="宋体" w:hAnsi="宋体" w:cs="宋体" w:eastAsia="宋体" w:hint="ascii"/>
          <w:sz w:val="21"/>
          <w:spacing w:val="-6"/>
        </w:rPr>
        <w:t>行</w:t>
      </w:r>
      <w:r>
        <w:rPr>
          <w:rFonts w:ascii="宋体" w:hAnsi="宋体" w:cs="宋体" w:eastAsia="宋体" w:hint="ascii"/>
          <w:sz w:val="21"/>
        </w:rPr>
        <w:t>性、可扩展性与误差可控性理论等。</w:t>
      </w:r>
      <w:r>
        <w:rPr>
          <w:rFonts w:ascii="宋体" w:hAnsi="宋体" w:cs="宋体" w:eastAsia="宋体" w:hint="ascii"/>
          <w:sz w:val="21"/>
        </w:rPr>
        <mc:AlternateContent>
          <mc:Choice Requires="wps">
            <w:drawing>
              <wp:anchor distL="0" distR="0" distT="0" distB="0" simplePos="0" behindDoc="1" relativeHeight="317" locked="0" layoutInCell="1" allowOverlap="1">
                <wp:simplePos x="0" y="0"/>
                <wp:positionH relativeFrom="page">
                  <wp:posOffset>938530</wp:posOffset>
                </wp:positionH>
                <wp:positionV relativeFrom="page">
                  <wp:posOffset>805815</wp:posOffset>
                </wp:positionV>
                <wp:extent cx="5076190" cy="0"/>
                <wp:wrapNone/>
                <wp:docPr id="1345" name="134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33632;width:399.70pt;" id="134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649" w:hanging="263"/>
        <w:snapToGrid w:val="0"/>
        <w:textAlignment w:val="auto"/>
        <w:tabs>
          <w:tab w:val="left" w:leader="none" w:pos="1648"/>
        </w:tabs>
        <w:numPr>
          <w:ilvl w:val="0"/>
          <w:numId w:val="340"/>
        </w:numPr>
        <w:rPr>
          <w:rFonts w:ascii="Times New Roman" w:hAnsi="Times New Roman" w:cs="Times New Roman" w:eastAsia="Times New Roman" w:hint="ascii"/>
          <w:sz w:val="21"/>
        </w:rPr>
      </w:pPr>
      <w:r>
        <w:rPr>
          <w:rFonts w:ascii="宋体" w:hAnsi="宋体" w:cs="宋体" w:eastAsia="宋体" w:hint="ascii"/>
          <w:sz w:val="21"/>
        </w:rPr>
        <w:t>大数据处理核心算法与理论分析</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以大数据科学计算方法和大数据分析核心算法为基础，研究大数据处理核心算法及</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其分布并</w:t>
      </w:r>
      <w:r>
        <w:rPr>
          <w:rFonts w:ascii="宋体" w:hAnsi="宋体" w:cs="宋体" w:eastAsia="宋体" w:hint="ascii"/>
          <w:sz w:val="21"/>
        </w:rPr>
        <w:t>行实现技术。大数据处理核心算法，如搜索、查询、排序、比对等，通过基于</w:t>
      </w:r>
      <w:r>
        <w:rPr>
          <w:rFonts w:ascii="宋体" w:hAnsi="宋体" w:cs="宋体" w:eastAsia="宋体" w:hint="ascii"/>
          <w:sz w:val="21"/>
          <w:spacing w:val="-2"/>
        </w:rPr>
        <w:t>计算逻辑的算法，实现数据的处理。研究设</w:t>
      </w:r>
      <w:r>
        <w:rPr>
          <w:rFonts w:ascii="宋体" w:hAnsi="宋体" w:cs="宋体" w:eastAsia="宋体" w:hint="ascii"/>
          <w:sz w:val="21"/>
          <w:spacing w:val="24"/>
        </w:rPr>
        <w:t>计</w:t>
      </w:r>
      <w:r>
        <w:rPr>
          <w:rFonts w:ascii="Times New Roman" w:hAnsi="Times New Roman" w:cs="Times New Roman" w:eastAsia="Times New Roman" w:hint="ascii"/>
          <w:sz w:val="21"/>
          <w:spacing w:val="52"/>
        </w:rPr>
        <w:t>5</w:t>
      </w:r>
      <w:r>
        <w:rPr>
          <w:rFonts w:ascii="宋体" w:hAnsi="宋体" w:cs="宋体" w:eastAsia="宋体" w:hint="ascii"/>
          <w:sz w:val="21"/>
          <w:spacing w:val="-1"/>
        </w:rPr>
        <w:t>个以上适于大规模分布并行计算环境下</w:t>
      </w:r>
      <w:r>
        <w:rPr>
          <w:rFonts w:ascii="宋体" w:hAnsi="宋体" w:cs="宋体" w:eastAsia="宋体" w:hint="ascii"/>
          <w:sz w:val="21"/>
        </w:rPr>
        <w:t xml:space="preserve"> 的高效高扩展大数据处理核心算法，并研究分析这些算法的正确性等。</w:t>
      </w:r>
    </w:p>
    <w:p>
      <w:pPr>
        <w:autoSpaceDE w:val="0"/>
        <w:autoSpaceDN w:val="0"/>
        <w:jc w:val="left"/>
        <w:spacing w:before="40" w:after="0" w:lineRule="auto" w:line="240"/>
        <w:ind w:right="0" w:left="1649" w:hanging="263"/>
        <w:snapToGrid w:val="0"/>
        <w:textAlignment w:val="auto"/>
        <w:tabs>
          <w:tab w:val="left" w:leader="none" w:pos="1648"/>
        </w:tabs>
        <w:numPr>
          <w:ilvl w:val="0"/>
          <w:numId w:val="340"/>
        </w:numPr>
        <w:rPr>
          <w:rFonts w:ascii="Times New Roman" w:hAnsi="Times New Roman" w:cs="Times New Roman" w:eastAsia="Times New Roman" w:hint="ascii"/>
          <w:sz w:val="21"/>
        </w:rPr>
      </w:pPr>
      <w:r>
        <w:rPr>
          <w:rFonts w:ascii="宋体" w:hAnsi="宋体" w:cs="宋体" w:eastAsia="宋体" w:hint="ascii"/>
          <w:sz w:val="21"/>
        </w:rPr>
        <w:t>大数据隐私保护分析核心算法与理论分析</w:t>
      </w:r>
    </w:p>
    <w:p>
      <w:pPr>
        <w:autoSpaceDE w:val="0"/>
        <w:autoSpaceDN w:val="0"/>
        <w:jc w:val="both"/>
        <w:spacing w:before="17" w:after="0" w:lineRule="exact" w:line="312"/>
        <w:ind w:right="976" w:left="966" w:firstLine="420"/>
        <w:snapToGrid w:val="0"/>
        <w:textAlignment w:val="auto"/>
        <w:tabs/>
        <w:rPr>
          <w:rFonts w:ascii="宋体" w:hAnsi="宋体" w:cs="宋体" w:eastAsia="宋体" w:hint="ascii"/>
          <w:sz w:val="21"/>
        </w:rPr>
      </w:pPr>
      <w:r>
        <w:rPr>
          <w:rFonts w:ascii="宋体" w:hAnsi="宋体" w:cs="宋体" w:eastAsia="宋体" w:hint="ascii"/>
          <w:sz w:val="21"/>
          <w:spacing w:val="-2"/>
        </w:rPr>
        <w:t>针对大数据隐私保护问题，研究大数据隐私保护</w:t>
      </w:r>
      <w:r>
        <w:rPr>
          <w:rFonts w:ascii="宋体" w:hAnsi="宋体" w:cs="宋体" w:eastAsia="宋体" w:hint="ascii"/>
          <w:sz w:val="21"/>
          <w:spacing w:val="-1"/>
        </w:rPr>
        <w:t>核心策略及分布并行实现算法与技</w:t>
      </w:r>
      <w:r>
        <w:rPr>
          <w:rFonts w:ascii="宋体" w:hAnsi="宋体" w:cs="宋体" w:eastAsia="宋体" w:hint="ascii"/>
          <w:sz w:val="21"/>
        </w:rPr>
        <w:t xml:space="preserve"> </w:t>
      </w:r>
      <w:r>
        <w:rPr>
          <w:rFonts w:ascii="宋体" w:hAnsi="宋体" w:cs="宋体" w:eastAsia="宋体" w:hint="ascii"/>
          <w:sz w:val="21"/>
          <w:spacing w:val="-1"/>
        </w:rPr>
        <w:t>术，研究设</w:t>
      </w:r>
      <w:r>
        <w:rPr>
          <w:rFonts w:ascii="宋体" w:hAnsi="宋体" w:cs="宋体" w:eastAsia="宋体" w:hint="ascii"/>
          <w:sz w:val="21"/>
          <w:spacing w:val="27"/>
        </w:rPr>
        <w:t>计</w:t>
      </w:r>
      <w:r>
        <w:rPr>
          <w:rFonts w:ascii="Times New Roman" w:hAnsi="Times New Roman" w:cs="Times New Roman" w:eastAsia="Times New Roman" w:hint="ascii"/>
          <w:sz w:val="21"/>
          <w:spacing w:val="52"/>
        </w:rPr>
        <w:t>5</w:t>
      </w:r>
      <w:r>
        <w:rPr>
          <w:rFonts w:ascii="宋体" w:hAnsi="宋体" w:cs="宋体" w:eastAsia="宋体" w:hint="ascii"/>
          <w:sz w:val="21"/>
        </w:rPr>
        <w:t>个以上适于并行计算环境的高效、高扩展性的大数据隐私保护分析核心算法，建立这些分析算法的可行性、可扩展性及可度量性理论等。</w:t>
      </w:r>
    </w:p>
    <w:p>
      <w:pPr>
        <w:autoSpaceDE w:val="0"/>
        <w:autoSpaceDN w:val="0"/>
        <w:jc w:val="left"/>
        <w:spacing w:before="40" w:after="0" w:lineRule="auto" w:line="240"/>
        <w:ind w:right="0" w:left="1649" w:hanging="263"/>
        <w:snapToGrid w:val="0"/>
        <w:textAlignment w:val="auto"/>
        <w:tabs>
          <w:tab w:val="left" w:leader="none" w:pos="1648"/>
        </w:tabs>
        <w:numPr>
          <w:ilvl w:val="0"/>
          <w:numId w:val="340"/>
        </w:numPr>
        <w:rPr>
          <w:rFonts w:ascii="Times New Roman" w:hAnsi="Times New Roman" w:cs="Times New Roman" w:eastAsia="Times New Roman" w:hint="ascii"/>
          <w:sz w:val="21"/>
        </w:rPr>
      </w:pPr>
      <w:r>
        <w:rPr>
          <w:rFonts w:ascii="宋体" w:hAnsi="宋体" w:cs="宋体" w:eastAsia="宋体" w:hint="ascii"/>
          <w:sz w:val="21"/>
        </w:rPr>
        <w:t>大数据计算的混合编程支撑环境与并行算法优化实现</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以大数据分析与处理的高效易用编程环境搭建与实现为目标，基于“天河二号”超</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级计算机</w:t>
      </w:r>
      <w:r>
        <w:rPr>
          <w:rFonts w:ascii="宋体" w:hAnsi="宋体" w:cs="宋体" w:eastAsia="宋体" w:hint="ascii"/>
          <w:sz w:val="21"/>
        </w:rPr>
        <w:t>，研究大数据分析与处理的并行编程模型，发掘异构多级并行性，设计易用的</w:t>
      </w:r>
      <w:r>
        <w:rPr>
          <w:rFonts w:ascii="宋体" w:hAnsi="宋体" w:cs="宋体" w:eastAsia="宋体" w:hint="ascii"/>
          <w:sz w:val="21"/>
          <w:spacing w:val="-1"/>
        </w:rPr>
        <w:t>混合并行</w:t>
      </w:r>
      <w:r>
        <w:rPr>
          <w:rFonts w:ascii="宋体" w:hAnsi="宋体" w:cs="宋体" w:eastAsia="宋体" w:hint="ascii"/>
          <w:sz w:val="21"/>
        </w:rPr>
        <w:t>编程框架；研究适应大数据分析处理任务的分布并行支撑环境关键技术，设计并优化大数据分析处理的异构并行算法，实现算法在并行计算机系统上的高效运行。</w:t>
      </w:r>
    </w:p>
    <w:p>
      <w:pPr>
        <w:autoSpaceDE w:val="0"/>
        <w:autoSpaceDN w:val="0"/>
        <w:jc w:val="left"/>
        <w:spacing w:before="40" w:after="0" w:lineRule="auto" w:line="240"/>
        <w:ind w:right="0" w:left="1649" w:hanging="263"/>
        <w:snapToGrid w:val="0"/>
        <w:textAlignment w:val="auto"/>
        <w:tabs>
          <w:tab w:val="left" w:leader="none" w:pos="1648"/>
        </w:tabs>
        <w:numPr>
          <w:ilvl w:val="0"/>
          <w:numId w:val="340"/>
        </w:numPr>
        <w:rPr>
          <w:rFonts w:ascii="Times New Roman" w:hAnsi="Times New Roman" w:cs="Times New Roman" w:eastAsia="Times New Roman" w:hint="ascii"/>
          <w:sz w:val="21"/>
        </w:rPr>
      </w:pPr>
      <w:r>
        <w:rPr>
          <w:rFonts w:ascii="宋体" w:hAnsi="宋体" w:cs="宋体" w:eastAsia="宋体" w:hint="ascii"/>
          <w:sz w:val="21"/>
        </w:rPr>
        <w:t>基于“天河二号”超级计算机的大数据分析处理服务平台及示范验证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基于“天河二号”超级计算机平台</w:t>
      </w:r>
      <w:r>
        <w:rPr>
          <w:rFonts w:ascii="宋体" w:hAnsi="宋体" w:cs="宋体" w:eastAsia="宋体" w:hint="ascii"/>
          <w:sz w:val="21"/>
          <w:spacing w:val="26"/>
        </w:rPr>
        <w:t>与</w:t>
      </w:r>
      <w:r>
        <w:rPr>
          <w:rFonts w:ascii="Times New Roman" w:hAnsi="Times New Roman" w:cs="Times New Roman" w:eastAsia="Times New Roman" w:hint="ascii"/>
          <w:sz w:val="21"/>
          <w:spacing w:val="52"/>
        </w:rPr>
        <w:t>1</w:t>
      </w:r>
      <w:r>
        <w:rPr>
          <w:rFonts w:ascii="宋体" w:hAnsi="宋体" w:cs="宋体" w:eastAsia="宋体" w:hint="ascii"/>
          <w:sz w:val="21"/>
          <w:spacing w:val="27"/>
        </w:rPr>
        <w:t>至</w:t>
      </w:r>
      <w:r>
        <w:rPr>
          <w:rFonts w:ascii="Times New Roman" w:hAnsi="Times New Roman" w:cs="Times New Roman" w:eastAsia="Times New Roman" w:hint="ascii"/>
          <w:sz w:val="21"/>
          <w:spacing w:val="52"/>
        </w:rPr>
        <w:t>5</w:t>
      </w:r>
      <w:r>
        <w:rPr>
          <w:rFonts w:ascii="宋体" w:hAnsi="宋体" w:cs="宋体" w:eastAsia="宋体" w:hint="ascii"/>
          <w:sz w:val="21"/>
        </w:rPr>
        <w:t>的研究成果，构建大数据计算基础算法</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库和大数</w:t>
      </w:r>
      <w:r>
        <w:rPr>
          <w:rFonts w:ascii="宋体" w:hAnsi="宋体" w:cs="宋体" w:eastAsia="宋体" w:hint="ascii"/>
          <w:sz w:val="21"/>
        </w:rPr>
        <w:t xml:space="preserve">据分析处理核心算法库；设计面向大数据分析与处理的服务支撑平台，支撑大数据分析处理的在线计算服务功能，实现大数据分析处理应用的高效运行；通过 </w:t>
      </w:r>
      <w:r>
        <w:rPr>
          <w:rFonts w:ascii="Times New Roman" w:hAnsi="Times New Roman" w:cs="Times New Roman" w:eastAsia="Times New Roman" w:hint="ascii"/>
          <w:sz w:val="21"/>
        </w:rPr>
        <w:t>1</w:t>
      </w:r>
      <w:r>
        <w:rPr>
          <w:rFonts w:ascii="宋体" w:hAnsi="宋体" w:cs="宋体" w:eastAsia="宋体" w:hint="ascii"/>
          <w:sz w:val="21"/>
        </w:rPr>
        <w:t>～</w:t>
      </w:r>
      <w:r>
        <w:rPr>
          <w:rFonts w:ascii="Times New Roman" w:hAnsi="Times New Roman" w:cs="Times New Roman" w:eastAsia="Times New Roman" w:hint="ascii"/>
          <w:sz w:val="21"/>
        </w:rPr>
        <w:t xml:space="preserve">2 </w:t>
      </w:r>
      <w:r>
        <w:rPr>
          <w:rFonts w:ascii="宋体" w:hAnsi="宋体" w:cs="宋体" w:eastAsia="宋体" w:hint="ascii"/>
          <w:sz w:val="21"/>
        </w:rPr>
        <w:t>个大数据分析处理示范应用对平台和算法进行验证和演示。</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资助领域二：基于大数据的区域海陆气环境预警预报关键技术</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为应对全球和区域气候和环境变化，面向地球系统科学发展前沿的各种需求，研究</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大气海洋</w:t>
      </w:r>
      <w:r>
        <w:rPr>
          <w:rFonts w:ascii="宋体" w:hAnsi="宋体" w:cs="宋体" w:eastAsia="宋体" w:hint="ascii"/>
          <w:sz w:val="21"/>
        </w:rPr>
        <w:t>环境大数据集成处理应用与传统数值模拟方法耦合的关键技术和算法，构建基</w:t>
      </w:r>
      <w:r>
        <w:rPr>
          <w:rFonts w:ascii="宋体" w:hAnsi="宋体" w:cs="宋体" w:eastAsia="宋体" w:hint="ascii"/>
          <w:sz w:val="21"/>
          <w:spacing w:val="-1"/>
        </w:rPr>
        <w:t>于四维时</w:t>
      </w:r>
      <w:r>
        <w:rPr>
          <w:rFonts w:ascii="宋体" w:hAnsi="宋体" w:cs="宋体" w:eastAsia="宋体" w:hint="ascii"/>
          <w:sz w:val="21"/>
        </w:rPr>
        <w:t>空大数据的区域灾害和环境智能预警预报系统，在“天河二号”超级计算机上</w:t>
      </w:r>
      <w:r>
        <w:rPr>
          <w:rFonts w:ascii="宋体" w:hAnsi="宋体" w:cs="宋体" w:eastAsia="宋体" w:hint="ascii"/>
          <w:sz w:val="21"/>
          <w:spacing w:val="-1"/>
        </w:rPr>
        <w:t>部署以粤</w:t>
      </w:r>
      <w:r>
        <w:rPr>
          <w:rFonts w:ascii="宋体" w:hAnsi="宋体" w:cs="宋体" w:eastAsia="宋体" w:hint="ascii"/>
          <w:sz w:val="21"/>
        </w:rPr>
        <w:t>港澳大湾区为典型区域的综合应用示范系统，提升对海陆气环境主要灾害致灾过程的认知程度以及监测预报能力。主要研究方向：</w:t>
      </w:r>
    </w:p>
    <w:p>
      <w:pPr>
        <w:autoSpaceDE w:val="0"/>
        <w:autoSpaceDN w:val="0"/>
        <w:jc w:val="left"/>
        <w:spacing w:before="40" w:after="0" w:lineRule="auto" w:line="240"/>
        <w:ind w:right="0" w:left="1649" w:hanging="263"/>
        <w:snapToGrid w:val="0"/>
        <w:textAlignment w:val="auto"/>
        <w:tabs>
          <w:tab w:val="left" w:leader="none" w:pos="1648"/>
        </w:tabs>
        <w:numPr>
          <w:ilvl w:val="0"/>
          <w:numId w:val="341"/>
        </w:numPr>
        <w:rPr>
          <w:rFonts w:ascii="Times New Roman" w:hAnsi="Times New Roman" w:cs="Times New Roman" w:eastAsia="Times New Roman" w:hint="ascii"/>
          <w:sz w:val="21"/>
        </w:rPr>
      </w:pPr>
      <w:r>
        <w:rPr>
          <w:rFonts w:ascii="宋体" w:hAnsi="宋体" w:cs="宋体" w:eastAsia="宋体" w:hint="ascii"/>
          <w:sz w:val="21"/>
        </w:rPr>
        <w:t>基于大数据的区域大气数值预报理论和技术研究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研究和设计与大数据分析技术相结合的高分辨率中尺度区域数值预报理论和方法，</w:t>
      </w:r>
    </w:p>
    <w:p>
      <w:pPr>
        <w:autoSpaceDE w:val="0"/>
        <w:autoSpaceDN w:val="0"/>
        <w:jc w:val="both"/>
        <w:spacing w:before="10" w:after="0" w:lineRule="exact" w:line="312"/>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包括大数</w:t>
      </w:r>
      <w:r>
        <w:rPr>
          <w:rFonts w:ascii="宋体" w:hAnsi="宋体" w:cs="宋体" w:eastAsia="宋体" w:hint="ascii"/>
          <w:sz w:val="21"/>
        </w:rPr>
        <w:t>据在大气数值模式中的参数化应用、人工智能参与参数化优选、观测敏感区估</w:t>
      </w:r>
      <w:r>
        <w:rPr>
          <w:rFonts w:ascii="宋体" w:hAnsi="宋体" w:cs="宋体" w:eastAsia="宋体" w:hint="ascii"/>
          <w:sz w:val="21"/>
          <w:spacing w:val="-1"/>
        </w:rPr>
        <w:t>算、观测</w:t>
      </w:r>
      <w:r>
        <w:rPr>
          <w:rFonts w:ascii="宋体" w:hAnsi="宋体" w:cs="宋体" w:eastAsia="宋体" w:hint="ascii"/>
          <w:sz w:val="21"/>
        </w:rPr>
        <w:t>误差调试、同化应用方案优化、临近和中期预报的尺度融合技术等问题。研究</w:t>
      </w:r>
      <w:r>
        <w:rPr>
          <w:rFonts w:ascii="宋体" w:hAnsi="宋体" w:cs="宋体" w:eastAsia="宋体" w:hint="ascii"/>
          <w:sz w:val="21"/>
          <w:spacing w:val="-1"/>
        </w:rPr>
        <w:t>并提</w:t>
      </w:r>
      <w:r>
        <w:rPr>
          <w:rFonts w:ascii="宋体" w:hAnsi="宋体" w:cs="宋体" w:eastAsia="宋体" w:hint="ascii"/>
          <w:sz w:val="21"/>
          <w:spacing w:val="26"/>
        </w:rPr>
        <w:t>出</w:t>
      </w:r>
      <w:r>
        <w:rPr>
          <w:rFonts w:ascii="Times New Roman" w:hAnsi="Times New Roman" w:cs="Times New Roman" w:eastAsia="Times New Roman" w:hint="ascii"/>
          <w:sz w:val="21"/>
          <w:spacing w:val="51"/>
        </w:rPr>
        <w:t>5</w:t>
      </w:r>
      <w:r>
        <w:rPr>
          <w:rFonts w:ascii="宋体" w:hAnsi="宋体" w:cs="宋体" w:eastAsia="宋体" w:hint="ascii"/>
          <w:sz w:val="21"/>
          <w:spacing w:val="-1"/>
        </w:rPr>
        <w:t>个</w:t>
      </w:r>
      <w:r>
        <w:rPr>
          <w:rFonts w:ascii="宋体" w:hAnsi="宋体" w:cs="宋体" w:eastAsia="宋体" w:hint="ascii"/>
          <w:sz w:val="21"/>
        </w:rPr>
        <w:t>以上解决大数据和大气数值预报相融合问题的新型高可扩展大数据计算基础算法，并建立这些算法的可行性、收敛性和误差可控制性理论。</w:t>
      </w:r>
    </w:p>
    <w:p>
      <w:pPr>
        <w:autoSpaceDE w:val="0"/>
        <w:autoSpaceDN w:val="0"/>
        <w:jc w:val="left"/>
        <w:spacing w:before="40" w:after="0" w:lineRule="auto" w:line="240"/>
        <w:ind w:right="0" w:left="1649" w:hanging="263"/>
        <w:snapToGrid w:val="0"/>
        <w:textAlignment w:val="auto"/>
        <w:tabs>
          <w:tab w:val="left" w:leader="none" w:pos="1648"/>
        </w:tabs>
        <w:numPr>
          <w:ilvl w:val="0"/>
          <w:numId w:val="341"/>
        </w:numPr>
        <w:rPr>
          <w:rFonts w:ascii="Times New Roman" w:hAnsi="Times New Roman" w:cs="Times New Roman" w:eastAsia="Times New Roman" w:hint="ascii"/>
          <w:sz w:val="21"/>
        </w:rPr>
      </w:pPr>
      <w:r>
        <w:rPr>
          <w:rFonts w:ascii="宋体" w:hAnsi="宋体" w:cs="宋体" w:eastAsia="宋体" w:hint="ascii"/>
          <w:sz w:val="21"/>
        </w:rPr>
        <w:t>近海海洋环境预报和海上安全保障预警</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面向历史观测和数值模拟大数据的再分析问题，研究以大数据处理技术为基础的高</w:t>
      </w:r>
    </w:p>
    <w:p>
      <w:pPr>
        <w:autoSpaceDE w:val="0"/>
        <w:autoSpaceDN w:val="0"/>
        <w:jc w:val="both"/>
        <w:spacing w:before="10" w:after="0" w:lineRule="exact" w:line="312"/>
        <w:ind w:right="976" w:left="96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3"/>
        </w:rPr>
        <w:t>分</w:t>
      </w:r>
      <w:r>
        <w:rPr>
          <w:rFonts w:ascii="宋体" w:hAnsi="宋体" w:cs="宋体" w:eastAsia="宋体" w:hint="ascii"/>
          <w:sz w:val="21"/>
          <w:spacing w:val="2"/>
        </w:rPr>
        <w:t>辨率</w:t>
      </w:r>
      <w:r>
        <w:rPr>
          <w:rFonts w:ascii="宋体" w:hAnsi="宋体" w:cs="宋体" w:eastAsia="宋体" w:hint="ascii"/>
          <w:sz w:val="21"/>
          <w:spacing w:val="3"/>
        </w:rPr>
        <w:t>海</w:t>
      </w:r>
      <w:r>
        <w:rPr>
          <w:rFonts w:ascii="宋体" w:hAnsi="宋体" w:cs="宋体" w:eastAsia="宋体" w:hint="ascii"/>
          <w:sz w:val="21"/>
          <w:spacing w:val="2"/>
        </w:rPr>
        <w:t>洋</w:t>
      </w:r>
      <w:r>
        <w:rPr>
          <w:rFonts w:ascii="宋体" w:hAnsi="宋体" w:cs="宋体" w:eastAsia="宋体" w:hint="ascii"/>
          <w:sz w:val="21"/>
          <w:spacing w:val="9"/>
        </w:rPr>
        <w:t>-</w:t>
      </w:r>
      <w:r>
        <w:rPr>
          <w:rFonts w:ascii="宋体" w:hAnsi="宋体" w:cs="宋体" w:eastAsia="宋体" w:hint="ascii"/>
          <w:sz w:val="21"/>
          <w:spacing w:val="3"/>
        </w:rPr>
        <w:t>大</w:t>
      </w:r>
      <w:r>
        <w:rPr>
          <w:rFonts w:ascii="宋体" w:hAnsi="宋体" w:cs="宋体" w:eastAsia="宋体" w:hint="ascii"/>
          <w:sz w:val="21"/>
          <w:spacing w:val="2"/>
        </w:rPr>
        <w:t>气双</w:t>
      </w:r>
      <w:r>
        <w:rPr>
          <w:rFonts w:ascii="宋体" w:hAnsi="宋体" w:cs="宋体" w:eastAsia="宋体" w:hint="ascii"/>
          <w:sz w:val="21"/>
          <w:spacing w:val="3"/>
        </w:rPr>
        <w:t>向</w:t>
      </w:r>
      <w:r>
        <w:rPr>
          <w:rFonts w:ascii="宋体" w:hAnsi="宋体" w:cs="宋体" w:eastAsia="宋体" w:hint="ascii"/>
          <w:sz w:val="21"/>
          <w:spacing w:val="2"/>
        </w:rPr>
        <w:t>耦合</w:t>
      </w:r>
      <w:r>
        <w:rPr>
          <w:rFonts w:ascii="宋体" w:hAnsi="宋体" w:cs="宋体" w:eastAsia="宋体" w:hint="ascii"/>
          <w:sz w:val="21"/>
          <w:spacing w:val="1"/>
        </w:rPr>
        <w:t>模式</w:t>
      </w:r>
      <w:r>
        <w:rPr>
          <w:rFonts w:ascii="宋体" w:hAnsi="宋体" w:cs="宋体" w:eastAsia="宋体" w:hint="ascii"/>
          <w:sz w:val="21"/>
          <w:spacing w:val="2"/>
        </w:rPr>
        <w:t>，</w:t>
      </w:r>
      <w:r>
        <w:rPr>
          <w:rFonts w:ascii="宋体" w:hAnsi="宋体" w:cs="宋体" w:eastAsia="宋体" w:hint="ascii"/>
          <w:sz w:val="21"/>
          <w:spacing w:val="1"/>
        </w:rPr>
        <w:t>揭</w:t>
      </w:r>
      <w:r>
        <w:rPr>
          <w:rFonts w:ascii="宋体" w:hAnsi="宋体" w:cs="宋体" w:eastAsia="宋体" w:hint="ascii"/>
          <w:sz w:val="21"/>
          <w:spacing w:val="2"/>
        </w:rPr>
        <w:t>示</w:t>
      </w:r>
      <w:r>
        <w:rPr>
          <w:rFonts w:ascii="宋体" w:hAnsi="宋体" w:cs="宋体" w:eastAsia="宋体" w:hint="ascii"/>
          <w:sz w:val="21"/>
          <w:spacing w:val="1"/>
        </w:rPr>
        <w:t>台风</w:t>
      </w:r>
      <w:r>
        <w:rPr>
          <w:rFonts w:ascii="宋体" w:hAnsi="宋体" w:cs="宋体" w:eastAsia="宋体" w:hint="ascii"/>
          <w:sz w:val="21"/>
          <w:spacing w:val="2"/>
        </w:rPr>
        <w:t>发</w:t>
      </w:r>
      <w:r>
        <w:rPr>
          <w:rFonts w:ascii="宋体" w:hAnsi="宋体" w:cs="宋体" w:eastAsia="宋体" w:hint="ascii"/>
          <w:sz w:val="21"/>
          <w:spacing w:val="1"/>
        </w:rPr>
        <w:t>展</w:t>
      </w:r>
      <w:r>
        <w:rPr>
          <w:rFonts w:ascii="宋体" w:hAnsi="宋体" w:cs="宋体" w:eastAsia="宋体" w:hint="ascii"/>
          <w:sz w:val="21"/>
          <w:spacing w:val="2"/>
        </w:rPr>
        <w:t>过</w:t>
      </w:r>
      <w:r>
        <w:rPr>
          <w:rFonts w:ascii="宋体" w:hAnsi="宋体" w:cs="宋体" w:eastAsia="宋体" w:hint="ascii"/>
          <w:sz w:val="21"/>
          <w:spacing w:val="1"/>
        </w:rPr>
        <w:t>程中</w:t>
      </w:r>
      <w:r>
        <w:rPr>
          <w:rFonts w:ascii="宋体" w:hAnsi="宋体" w:cs="宋体" w:eastAsia="宋体" w:hint="ascii"/>
          <w:sz w:val="21"/>
          <w:spacing w:val="2"/>
        </w:rPr>
        <w:t>海</w:t>
      </w:r>
      <w:r>
        <w:rPr>
          <w:rFonts w:ascii="宋体" w:hAnsi="宋体" w:cs="宋体" w:eastAsia="宋体" w:hint="ascii"/>
          <w:sz w:val="21"/>
          <w:spacing w:val="1"/>
        </w:rPr>
        <w:t>气</w:t>
      </w:r>
      <w:r>
        <w:rPr>
          <w:rFonts w:ascii="宋体" w:hAnsi="宋体" w:cs="宋体" w:eastAsia="宋体" w:hint="ascii"/>
          <w:sz w:val="21"/>
          <w:spacing w:val="2"/>
        </w:rPr>
        <w:t>及</w:t>
      </w:r>
      <w:r>
        <w:rPr>
          <w:rFonts w:ascii="宋体" w:hAnsi="宋体" w:cs="宋体" w:eastAsia="宋体" w:hint="ascii"/>
          <w:sz w:val="21"/>
          <w:spacing w:val="1"/>
        </w:rPr>
        <w:t>波流</w:t>
      </w:r>
      <w:r>
        <w:rPr>
          <w:rFonts w:ascii="宋体" w:hAnsi="宋体" w:cs="宋体" w:eastAsia="宋体" w:hint="ascii"/>
          <w:sz w:val="21"/>
          <w:spacing w:val="2"/>
        </w:rPr>
        <w:t>相</w:t>
      </w:r>
      <w:r>
        <w:rPr>
          <w:rFonts w:ascii="宋体" w:hAnsi="宋体" w:cs="宋体" w:eastAsia="宋体" w:hint="ascii"/>
          <w:sz w:val="21"/>
          <w:spacing w:val="1"/>
        </w:rPr>
        <w:t>互</w:t>
      </w:r>
      <w:r>
        <w:rPr>
          <w:rFonts w:ascii="宋体" w:hAnsi="宋体" w:cs="宋体" w:eastAsia="宋体" w:hint="ascii"/>
          <w:sz w:val="21"/>
          <w:spacing w:val="2"/>
        </w:rPr>
        <w:t>作</w:t>
      </w:r>
      <w:r>
        <w:rPr>
          <w:rFonts w:ascii="宋体" w:hAnsi="宋体" w:cs="宋体" w:eastAsia="宋体" w:hint="ascii"/>
          <w:sz w:val="21"/>
          <w:spacing w:val="1"/>
        </w:rPr>
        <w:t>用的物理</w:t>
      </w:r>
      <w:r>
        <w:rPr>
          <w:rFonts w:ascii="宋体" w:hAnsi="宋体" w:cs="宋体" w:eastAsia="宋体" w:hint="ascii"/>
          <w:sz w:val="21"/>
          <w:spacing w:val="-6"/>
        </w:rPr>
        <w:t>机</w:t>
      </w:r>
      <w:r>
        <w:rPr>
          <w:rFonts w:ascii="宋体" w:hAnsi="宋体" w:cs="宋体" w:eastAsia="宋体" w:hint="ascii"/>
          <w:sz w:val="21"/>
          <w:spacing w:val="-1"/>
        </w:rPr>
        <w:t>制，理解</w:t>
      </w:r>
      <w:r>
        <w:rPr>
          <w:rFonts w:ascii="宋体" w:hAnsi="宋体" w:cs="宋体" w:eastAsia="宋体" w:hint="ascii"/>
          <w:sz w:val="21"/>
        </w:rPr>
        <w:t xml:space="preserve">海洋气象灾害的形成机理，建立海上智能预警和安全保障系统。研究并提出 </w:t>
      </w:r>
      <w:r>
        <w:rPr>
          <w:rFonts w:ascii="Times New Roman" w:hAnsi="Times New Roman" w:cs="Times New Roman" w:eastAsia="Times New Roman" w:hint="ascii"/>
          <w:sz w:val="21"/>
        </w:rPr>
        <w:t>3</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both"/>
        <w:spacing w:before="257"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个利用大数据优化和改善海洋</w:t>
      </w:r>
      <w:r>
        <w:rPr>
          <w:rFonts w:ascii="宋体" w:hAnsi="宋体" w:cs="宋体" w:eastAsia="宋体" w:hint="ascii"/>
          <w:sz w:val="21"/>
        </w:rPr>
        <w:t>-</w:t>
      </w:r>
      <w:r>
        <w:rPr>
          <w:rFonts w:ascii="宋体" w:hAnsi="宋体" w:cs="宋体" w:eastAsia="宋体" w:hint="ascii"/>
          <w:sz w:val="21"/>
        </w:rPr>
        <w:t>大气耦合模式的高扩展性算法，并验证这些算法在实际应用中的合理性和可行性。</w:t>
      </w:r>
      <w:r>
        <w:rPr>
          <w:rFonts w:ascii="宋体" w:hAnsi="宋体" w:cs="宋体" w:eastAsia="宋体" w:hint="ascii"/>
          <w:sz w:val="21"/>
        </w:rPr>
        <mc:AlternateContent>
          <mc:Choice Requires="wps">
            <w:drawing>
              <wp:anchor distL="0" distR="0" distT="0" distB="0" simplePos="0" behindDoc="1" relativeHeight="318" locked="0" layoutInCell="1" allowOverlap="1">
                <wp:simplePos x="0" y="0"/>
                <wp:positionH relativeFrom="page">
                  <wp:posOffset>938530</wp:posOffset>
                </wp:positionH>
                <wp:positionV relativeFrom="page">
                  <wp:posOffset>819150</wp:posOffset>
                </wp:positionV>
                <wp:extent cx="5076190" cy="0"/>
                <wp:wrapNone/>
                <wp:docPr id="1346" name="134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32608;width:399.70pt;" id="134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649" w:hanging="263"/>
        <w:snapToGrid w:val="0"/>
        <w:textAlignment w:val="auto"/>
        <w:tabs>
          <w:tab w:val="left" w:leader="none" w:pos="1648"/>
        </w:tabs>
        <w:numPr>
          <w:ilvl w:val="0"/>
          <w:numId w:val="341"/>
        </w:numPr>
        <w:rPr>
          <w:rFonts w:ascii="Times New Roman" w:hAnsi="Times New Roman" w:cs="Times New Roman" w:eastAsia="Times New Roman" w:hint="ascii"/>
          <w:sz w:val="21"/>
        </w:rPr>
      </w:pPr>
      <w:r>
        <w:rPr>
          <w:rFonts w:ascii="宋体" w:hAnsi="宋体" w:cs="宋体" w:eastAsia="宋体" w:hint="ascii"/>
          <w:sz w:val="21"/>
        </w:rPr>
        <w:t>基于大数据技术和陆面过程模式的洪涝灾害预警预报研究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以陆面大数据为基础，研究发展大数据驱动的高分辨率陆面过程模式技术，如核心</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过程模拟与大数据分析处理的耦合，算法正确性验证，耦合过程理论解析，陆地洪涝灾害的实时模拟预警等问题。研究并提</w:t>
      </w:r>
      <w:r>
        <w:rPr>
          <w:rFonts w:ascii="宋体" w:hAnsi="宋体" w:cs="宋体" w:eastAsia="宋体" w:hint="ascii"/>
          <w:sz w:val="21"/>
          <w:spacing w:val="27"/>
        </w:rPr>
        <w:t>出</w:t>
      </w:r>
      <w:r>
        <w:rPr>
          <w:rFonts w:ascii="Times New Roman" w:hAnsi="Times New Roman" w:cs="Times New Roman" w:eastAsia="Times New Roman" w:hint="ascii"/>
          <w:sz w:val="21"/>
          <w:spacing w:val="52"/>
        </w:rPr>
        <w:t>5</w:t>
      </w:r>
      <w:r>
        <w:rPr>
          <w:rFonts w:ascii="宋体" w:hAnsi="宋体" w:cs="宋体" w:eastAsia="宋体" w:hint="ascii"/>
          <w:sz w:val="21"/>
        </w:rPr>
        <w:t>个利用大数据优化和改善陆面模式的高扩展性算法，并验证这些算法在模拟和灾害预警中的合理性、有效性和可行性。</w:t>
      </w:r>
    </w:p>
    <w:p>
      <w:pPr>
        <w:autoSpaceDE w:val="0"/>
        <w:autoSpaceDN w:val="0"/>
        <w:jc w:val="left"/>
        <w:spacing w:before="40" w:after="0" w:lineRule="auto" w:line="240"/>
        <w:ind w:right="0" w:left="1649" w:hanging="263"/>
        <w:snapToGrid w:val="0"/>
        <w:textAlignment w:val="auto"/>
        <w:tabs>
          <w:tab w:val="left" w:leader="none" w:pos="1648"/>
        </w:tabs>
        <w:numPr>
          <w:ilvl w:val="0"/>
          <w:numId w:val="341"/>
        </w:numPr>
        <w:rPr>
          <w:rFonts w:ascii="Times New Roman" w:hAnsi="Times New Roman" w:cs="Times New Roman" w:eastAsia="Times New Roman" w:hint="ascii"/>
          <w:sz w:val="21"/>
        </w:rPr>
      </w:pPr>
      <w:r>
        <w:rPr>
          <w:rFonts w:ascii="宋体" w:hAnsi="宋体" w:cs="宋体" w:eastAsia="宋体" w:hint="ascii"/>
          <w:sz w:val="21"/>
        </w:rPr>
        <w:t>基于数据分析的区域气候环境智能预警</w:t>
      </w:r>
    </w:p>
    <w:p>
      <w:pPr>
        <w:autoSpaceDE w:val="0"/>
        <w:autoSpaceDN w:val="0"/>
        <w:jc w:val="left"/>
        <w:spacing w:before="17"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集成</w:t>
      </w:r>
      <w:r>
        <w:rPr>
          <w:rFonts w:ascii="宋体" w:hAnsi="宋体" w:cs="宋体" w:eastAsia="宋体" w:hint="ascii"/>
          <w:sz w:val="21"/>
          <w:spacing w:val="2"/>
        </w:rPr>
        <w:t>基</w:t>
      </w:r>
      <w:r>
        <w:rPr>
          <w:rFonts w:ascii="宋体" w:hAnsi="宋体" w:cs="宋体" w:eastAsia="宋体" w:hint="ascii"/>
          <w:sz w:val="21"/>
          <w:spacing w:val="1"/>
        </w:rPr>
        <w:t>础地理、</w:t>
      </w:r>
      <w:r>
        <w:rPr>
          <w:rFonts w:ascii="宋体" w:hAnsi="宋体" w:cs="宋体" w:eastAsia="宋体" w:hint="ascii"/>
          <w:sz w:val="21"/>
          <w:spacing w:val="2"/>
        </w:rPr>
        <w:t>环</w:t>
      </w:r>
      <w:r>
        <w:rPr>
          <w:rFonts w:ascii="宋体" w:hAnsi="宋体" w:cs="宋体" w:eastAsia="宋体" w:hint="ascii"/>
          <w:sz w:val="21"/>
          <w:spacing w:val="1"/>
        </w:rPr>
        <w:t>境、社会</w:t>
      </w:r>
      <w:r>
        <w:rPr>
          <w:rFonts w:ascii="宋体" w:hAnsi="宋体" w:cs="宋体" w:eastAsia="宋体" w:hint="ascii"/>
          <w:sz w:val="21"/>
          <w:spacing w:val="2"/>
        </w:rPr>
        <w:t>经</w:t>
      </w:r>
      <w:r>
        <w:rPr>
          <w:rFonts w:ascii="宋体" w:hAnsi="宋体" w:cs="宋体" w:eastAsia="宋体" w:hint="ascii"/>
          <w:sz w:val="21"/>
          <w:spacing w:val="1"/>
        </w:rPr>
        <w:t>济等基础</w:t>
      </w:r>
      <w:r>
        <w:rPr>
          <w:rFonts w:ascii="宋体" w:hAnsi="宋体" w:cs="宋体" w:eastAsia="宋体" w:hint="ascii"/>
          <w:sz w:val="21"/>
          <w:spacing w:val="2"/>
        </w:rPr>
        <w:t>大</w:t>
      </w:r>
      <w:r>
        <w:rPr>
          <w:rFonts w:ascii="宋体" w:hAnsi="宋体" w:cs="宋体" w:eastAsia="宋体" w:hint="ascii"/>
          <w:sz w:val="21"/>
          <w:spacing w:val="1"/>
        </w:rPr>
        <w:t>数据</w:t>
      </w:r>
      <w:r>
        <w:rPr>
          <w:rFonts w:ascii="宋体" w:hAnsi="宋体" w:cs="宋体" w:eastAsia="宋体" w:hint="ascii"/>
          <w:sz w:val="21"/>
          <w:spacing w:val="2"/>
        </w:rPr>
        <w:t>，开</w:t>
      </w:r>
      <w:r>
        <w:rPr>
          <w:rFonts w:ascii="宋体" w:hAnsi="宋体" w:cs="宋体" w:eastAsia="宋体" w:hint="ascii"/>
          <w:sz w:val="21"/>
          <w:spacing w:val="3"/>
        </w:rPr>
        <w:t>展</w:t>
      </w:r>
      <w:r>
        <w:rPr>
          <w:rFonts w:ascii="宋体" w:hAnsi="宋体" w:cs="宋体" w:eastAsia="宋体" w:hint="ascii"/>
          <w:sz w:val="21"/>
          <w:spacing w:val="2"/>
        </w:rPr>
        <w:t>区域气候</w:t>
      </w:r>
      <w:r>
        <w:rPr>
          <w:rFonts w:ascii="宋体" w:hAnsi="宋体" w:cs="宋体" w:eastAsia="宋体" w:hint="ascii"/>
          <w:sz w:val="21"/>
          <w:spacing w:val="3"/>
        </w:rPr>
        <w:t>变</w:t>
      </w:r>
      <w:r>
        <w:rPr>
          <w:rFonts w:ascii="宋体" w:hAnsi="宋体" w:cs="宋体" w:eastAsia="宋体" w:hint="ascii"/>
          <w:sz w:val="21"/>
          <w:spacing w:val="2"/>
        </w:rPr>
        <w:t>化的情景</w:t>
      </w:r>
      <w:r>
        <w:rPr>
          <w:rFonts w:ascii="宋体" w:hAnsi="宋体" w:cs="宋体" w:eastAsia="宋体" w:hint="ascii"/>
          <w:sz w:val="21"/>
          <w:spacing w:val="3"/>
        </w:rPr>
        <w:t>模</w:t>
      </w:r>
      <w:r>
        <w:rPr>
          <w:rFonts w:ascii="宋体" w:hAnsi="宋体" w:cs="宋体" w:eastAsia="宋体" w:hint="ascii"/>
          <w:sz w:val="21"/>
          <w:spacing w:val="2"/>
        </w:rPr>
        <w:t>拟</w:t>
      </w:r>
      <w:r>
        <w:rPr>
          <w:rFonts w:ascii="宋体" w:hAnsi="宋体" w:cs="宋体" w:eastAsia="宋体" w:hint="ascii"/>
          <w:sz w:val="21"/>
          <w:spacing w:val="-1"/>
        </w:rPr>
        <w:t>研</w:t>
      </w:r>
      <w:r>
        <w:rPr>
          <w:rFonts w:ascii="宋体" w:hAnsi="宋体" w:cs="宋体" w:eastAsia="宋体" w:hint="ascii"/>
          <w:sz w:val="21"/>
        </w:rPr>
        <w:t xml:space="preserve"> 究，包括多源多尺度数据与多种模型的耦合方法、人类活动与城市环境问题、污染物实时高精度预报预警等问题。研究设</w:t>
      </w:r>
      <w:r>
        <w:rPr>
          <w:rFonts w:ascii="宋体" w:hAnsi="宋体" w:cs="宋体" w:eastAsia="宋体" w:hint="ascii"/>
          <w:sz w:val="21"/>
          <w:spacing w:val="27"/>
        </w:rPr>
        <w:t>计</w:t>
      </w:r>
      <w:r>
        <w:rPr>
          <w:rFonts w:ascii="Times New Roman" w:hAnsi="Times New Roman" w:cs="Times New Roman" w:eastAsia="Times New Roman" w:hint="ascii"/>
          <w:sz w:val="21"/>
          <w:spacing w:val="52"/>
        </w:rPr>
        <w:t>5</w:t>
      </w:r>
      <w:r>
        <w:rPr>
          <w:rFonts w:ascii="宋体" w:hAnsi="宋体" w:cs="宋体" w:eastAsia="宋体" w:hint="ascii"/>
          <w:sz w:val="21"/>
        </w:rPr>
        <w:t>个以上高扩展性的气候变化相关领域的大数据和深度学习算法，建立这些算法的定量评估。</w:t>
      </w:r>
    </w:p>
    <w:p>
      <w:pPr>
        <w:autoSpaceDE w:val="0"/>
        <w:autoSpaceDN w:val="0"/>
        <w:jc w:val="left"/>
        <w:spacing w:before="40" w:after="0" w:lineRule="auto" w:line="240"/>
        <w:ind w:right="0" w:left="1649" w:hanging="263"/>
        <w:snapToGrid w:val="0"/>
        <w:textAlignment w:val="auto"/>
        <w:tabs>
          <w:tab w:val="left" w:leader="none" w:pos="1648"/>
        </w:tabs>
        <w:numPr>
          <w:ilvl w:val="0"/>
          <w:numId w:val="341"/>
        </w:numPr>
        <w:rPr>
          <w:rFonts w:ascii="Times New Roman" w:hAnsi="Times New Roman" w:cs="Times New Roman" w:eastAsia="Times New Roman" w:hint="ascii"/>
          <w:sz w:val="21"/>
        </w:rPr>
      </w:pPr>
      <w:r>
        <w:rPr>
          <w:rFonts w:ascii="宋体" w:hAnsi="宋体" w:cs="宋体" w:eastAsia="宋体" w:hint="ascii"/>
          <w:sz w:val="21"/>
        </w:rPr>
        <w:t>基于“天河二号”超级计算机的大气海洋大数据服务平台及示范验证</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基于“天河二号”超级计算机平台</w:t>
      </w:r>
      <w:r>
        <w:rPr>
          <w:rFonts w:ascii="宋体" w:hAnsi="宋体" w:cs="宋体" w:eastAsia="宋体" w:hint="ascii"/>
          <w:sz w:val="21"/>
          <w:spacing w:val="26"/>
        </w:rPr>
        <w:t>与</w:t>
      </w:r>
      <w:r>
        <w:rPr>
          <w:rFonts w:ascii="Times New Roman" w:hAnsi="Times New Roman" w:cs="Times New Roman" w:eastAsia="Times New Roman" w:hint="ascii"/>
          <w:sz w:val="21"/>
          <w:spacing w:val="52"/>
        </w:rPr>
        <w:t>1</w:t>
      </w:r>
      <w:r>
        <w:rPr>
          <w:rFonts w:ascii="宋体" w:hAnsi="宋体" w:cs="宋体" w:eastAsia="宋体" w:hint="ascii"/>
          <w:sz w:val="21"/>
          <w:spacing w:val="27"/>
        </w:rPr>
        <w:t>至</w:t>
      </w:r>
      <w:r>
        <w:rPr>
          <w:rFonts w:ascii="Times New Roman" w:hAnsi="Times New Roman" w:cs="Times New Roman" w:eastAsia="Times New Roman" w:hint="ascii"/>
          <w:sz w:val="21"/>
          <w:spacing w:val="52"/>
        </w:rPr>
        <w:t>4</w:t>
      </w:r>
      <w:r>
        <w:rPr>
          <w:rFonts w:ascii="宋体" w:hAnsi="宋体" w:cs="宋体" w:eastAsia="宋体" w:hint="ascii"/>
          <w:sz w:val="21"/>
        </w:rPr>
        <w:t>的研究成果，构建大气海洋的大数据服</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务平台。构建大气海洋的大数据挖掘和同化算法的核心算法库、提供大气海洋大数据的</w:t>
      </w:r>
      <w:r>
        <w:rPr>
          <w:rFonts w:ascii="宋体" w:hAnsi="宋体" w:cs="宋体" w:eastAsia="宋体" w:hint="ascii"/>
          <w:sz w:val="21"/>
          <w:spacing w:val="-2"/>
        </w:rPr>
        <w:t>在线并行可视化服务、支撑</w:t>
      </w:r>
      <w:r>
        <w:rPr>
          <w:rFonts w:ascii="宋体" w:hAnsi="宋体" w:cs="宋体" w:eastAsia="宋体" w:hint="ascii"/>
          <w:sz w:val="21"/>
          <w:spacing w:val="-1"/>
        </w:rPr>
        <w:t xml:space="preserve">超高分辨率的数值预报系统。通过 </w:t>
      </w:r>
      <w:r>
        <w:rPr>
          <w:rFonts w:ascii="Times New Roman" w:hAnsi="Times New Roman" w:cs="Times New Roman" w:eastAsia="Times New Roman" w:hint="ascii"/>
          <w:sz w:val="21"/>
          <w:spacing w:val="-1"/>
        </w:rPr>
        <w:t>1</w:t>
      </w:r>
      <w:r>
        <w:rPr>
          <w:rFonts w:ascii="宋体" w:hAnsi="宋体" w:cs="宋体" w:eastAsia="宋体" w:hint="ascii"/>
          <w:sz w:val="21"/>
          <w:spacing w:val="-1"/>
        </w:rPr>
        <w:t>～</w:t>
      </w:r>
      <w:r>
        <w:rPr>
          <w:rFonts w:ascii="Times New Roman" w:hAnsi="Times New Roman" w:cs="Times New Roman" w:eastAsia="Times New Roman" w:hint="ascii"/>
          <w:sz w:val="21"/>
          <w:spacing w:val="-1"/>
        </w:rPr>
        <w:t xml:space="preserve">2 </w:t>
      </w:r>
      <w:r>
        <w:rPr>
          <w:rFonts w:ascii="宋体" w:hAnsi="宋体" w:cs="宋体" w:eastAsia="宋体" w:hint="ascii"/>
          <w:sz w:val="21"/>
          <w:spacing w:val="-1"/>
        </w:rPr>
        <w:t>个示范区域内的海</w:t>
      </w:r>
      <w:r>
        <w:rPr>
          <w:rFonts w:ascii="宋体" w:hAnsi="宋体" w:cs="宋体" w:eastAsia="宋体" w:hint="ascii"/>
          <w:sz w:val="21"/>
        </w:rPr>
        <w:t xml:space="preserve"> 陆气大数据的应用和研究成果，对平台和算法进行验证和演示。</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资助领域三：基于大数据的地方金融安全智能预警与防控系统</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面向防范和化解广东省的区域性系统性金融风险的重大现实需求，集成地方金融大</w:t>
      </w:r>
    </w:p>
    <w:p>
      <w:pPr>
        <w:autoSpaceDE w:val="0"/>
        <w:autoSpaceDN w:val="0"/>
        <w:jc w:val="left"/>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数据并构建地方金融安全的智能预警与防控系统，在地方金融大数据集成分析、地方金融系统运行的动态监测、区域性系统性风险的预警、防范与应急机制等方面取得重要突破。主要研究方向：</w:t>
      </w:r>
    </w:p>
    <w:p>
      <w:pPr>
        <w:autoSpaceDE w:val="0"/>
        <w:autoSpaceDN w:val="0"/>
        <w:jc w:val="left"/>
        <w:spacing w:before="0" w:after="0" w:lineRule="exact" w:line="312"/>
        <w:ind w:right="963" w:left="1386" w:firstLine="0"/>
        <w:snapToGrid w:val="0"/>
        <w:textAlignment w:val="auto"/>
        <w:tabs>
          <w:tab w:val="left" w:leader="none" w:pos="1648"/>
        </w:tabs>
        <w:numPr>
          <w:ilvl w:val="0"/>
          <w:numId w:val="342"/>
        </w:numPr>
        <w:rPr>
          <w:rFonts w:ascii="Times New Roman" w:hAnsi="Times New Roman" w:cs="Times New Roman" w:eastAsia="Times New Roman" w:hint="ascii"/>
          <w:sz w:val="21"/>
        </w:rPr>
      </w:pPr>
      <w:r>
        <w:rPr>
          <w:rFonts w:ascii="宋体" w:hAnsi="宋体" w:cs="宋体" w:eastAsia="宋体" w:hint="ascii"/>
          <w:sz w:val="21"/>
        </w:rPr>
        <w:t>基于大数据的地方金融系统的复杂网络特征及其区域性系统性的演化规律研究</w:t>
      </w:r>
      <w:r>
        <w:rPr>
          <w:rFonts w:ascii="宋体" w:hAnsi="宋体" w:cs="宋体" w:eastAsia="宋体" w:hint="ascii"/>
          <w:sz w:val="21"/>
        </w:rPr>
        <w:t>根据金融大数据分析地方经济金融系统的复杂网络特征及其与区域性系统性风险的</w:t>
      </w:r>
    </w:p>
    <w:p>
      <w:pPr>
        <w:autoSpaceDE w:val="0"/>
        <w:autoSpaceDN w:val="0"/>
        <w:jc w:val="left"/>
        <w:spacing w:before="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关联，探索区域性系统性风险在系统中的演化规律和传导机制，分析极端事件在地方金融系统的形成机理并设计应急机制。重点研究广东等地区突出的地方金融安全问题，包括地方债务、互联网金融平台、影子银行、房地产泡沫、国有企业高杠杆、各类地方金融机构及交易所违规经营、股债汇跨市场联动、境外金融冲击以及其他地方金融创新等方面存在的区域性系统性风险。</w:t>
      </w:r>
    </w:p>
    <w:p>
      <w:pPr>
        <w:autoSpaceDE w:val="0"/>
        <w:autoSpaceDN w:val="0"/>
        <w:jc w:val="left"/>
        <w:spacing w:before="40" w:after="0" w:lineRule="auto" w:line="240"/>
        <w:ind w:right="0" w:left="1386" w:firstLine="0"/>
        <w:snapToGrid w:val="0"/>
        <w:textAlignment w:val="auto"/>
        <w:tabs>
          <w:tab w:val="left" w:leader="none" w:pos="1648"/>
        </w:tabs>
        <w:numPr>
          <w:ilvl w:val="0"/>
          <w:numId w:val="342"/>
        </w:numPr>
        <w:rPr>
          <w:rFonts w:ascii="Times New Roman" w:hAnsi="Times New Roman" w:cs="Times New Roman" w:eastAsia="Times New Roman" w:hint="ascii"/>
          <w:sz w:val="21"/>
        </w:rPr>
      </w:pPr>
      <w:r>
        <w:rPr>
          <w:rFonts w:ascii="宋体" w:hAnsi="宋体" w:cs="宋体" w:eastAsia="宋体" w:hint="ascii"/>
          <w:sz w:val="21"/>
        </w:rPr>
        <w:t>地方金融大数据的集成分析及超算平台支持的关键技术研究</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集成政府、企业和网络开源的数据、金融系统数据以及智慧城市建设中的多源异构</w:t>
      </w:r>
    </w:p>
    <w:p>
      <w:pPr>
        <w:autoSpaceDE w:val="0"/>
        <w:autoSpaceDN w:val="0"/>
        <w:jc w:val="right"/>
        <w:spacing w:before="10" w:after="0" w:lineRule="exact" w:line="312"/>
        <w:ind w:right="978" w:left="861" w:firstLine="0"/>
        <w:snapToGrid w:val="0"/>
        <w:textAlignment w:val="auto"/>
        <w:tabs/>
        <w:rPr>
          <w:rFonts w:ascii="宋体" w:hAnsi="宋体" w:cs="宋体" w:eastAsia="宋体" w:hint="ascii"/>
          <w:sz w:val="21"/>
        </w:rPr>
      </w:pPr>
      <w:r>
        <w:rPr>
          <w:rFonts w:ascii="宋体" w:hAnsi="宋体" w:cs="宋体" w:eastAsia="宋体" w:hint="ascii"/>
          <w:sz w:val="21"/>
        </w:rPr>
        <w:t>数据，研究针对地方金融数据分析应用的高效算法，设计并实现基于“天河二号”超级计算机的多源异构大数据分析集成应用平台，包含地方金融安全大数据集成的程序接口</w:t>
      </w:r>
      <w:r>
        <w:rPr>
          <w:rFonts w:ascii="宋体" w:hAnsi="宋体" w:cs="宋体" w:eastAsia="宋体" w:hint="ascii"/>
          <w:sz w:val="21"/>
          <w:spacing w:val="-1"/>
        </w:rPr>
        <w:t>（支持多种</w:t>
      </w:r>
      <w:r>
        <w:rPr>
          <w:rFonts w:ascii="宋体" w:hAnsi="宋体" w:cs="宋体" w:eastAsia="宋体" w:hint="ascii"/>
          <w:sz w:val="21"/>
        </w:rPr>
        <w:t>编程语言</w:t>
      </w:r>
      <w:r>
        <w:rPr>
          <w:rFonts w:ascii="宋体" w:hAnsi="宋体" w:cs="宋体" w:eastAsia="宋体" w:hint="ascii"/>
          <w:sz w:val="21"/>
          <w:spacing w:val="-52"/>
        </w:rPr>
        <w:t>）</w:t>
      </w:r>
      <w:r>
        <w:rPr>
          <w:rFonts w:ascii="宋体" w:hAnsi="宋体" w:cs="宋体" w:eastAsia="宋体" w:hint="ascii"/>
          <w:sz w:val="21"/>
        </w:rPr>
        <w:t>、提</w:t>
      </w:r>
      <w:r>
        <w:rPr>
          <w:rFonts w:ascii="宋体" w:hAnsi="宋体" w:cs="宋体" w:eastAsia="宋体" w:hint="ascii"/>
          <w:sz w:val="21"/>
          <w:spacing w:val="26"/>
        </w:rPr>
        <w:t>供</w:t>
      </w:r>
      <w:r>
        <w:rPr>
          <w:rFonts w:ascii="Times New Roman" w:hAnsi="Times New Roman" w:cs="Times New Roman" w:eastAsia="Times New Roman" w:hint="ascii"/>
          <w:sz w:val="21"/>
          <w:spacing w:val="52"/>
        </w:rPr>
        <w:t>6</w:t>
      </w:r>
      <w:r>
        <w:rPr>
          <w:rFonts w:ascii="宋体" w:hAnsi="宋体" w:cs="宋体" w:eastAsia="宋体" w:hint="ascii"/>
          <w:sz w:val="21"/>
        </w:rPr>
        <w:t>类高性能通用大数据分析算法库</w:t>
      </w:r>
      <w:r>
        <w:rPr>
          <w:rFonts w:ascii="宋体" w:hAnsi="宋体" w:cs="宋体" w:eastAsia="宋体" w:hint="ascii"/>
          <w:sz w:val="21"/>
          <w:spacing w:val="26"/>
        </w:rPr>
        <w:t>和</w:t>
      </w:r>
      <w:r>
        <w:rPr>
          <w:rFonts w:ascii="Times New Roman" w:hAnsi="Times New Roman" w:cs="Times New Roman" w:eastAsia="Times New Roman" w:hint="ascii"/>
          <w:sz w:val="21"/>
          <w:spacing w:val="52"/>
        </w:rPr>
        <w:t>1</w:t>
      </w:r>
      <w:r>
        <w:rPr>
          <w:rFonts w:ascii="宋体" w:hAnsi="宋体" w:cs="宋体" w:eastAsia="宋体" w:hint="ascii"/>
          <w:sz w:val="21"/>
        </w:rPr>
        <w:t>个高性能并行计算调</w:t>
      </w:r>
    </w:p>
    <w:p>
      <w:pPr>
        <w:autoSpaceDE w:val="0"/>
        <w:autoSpaceDN w:val="0"/>
        <w:jc w:val="left"/>
        <w:spacing w:before="40"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rPr>
        <w:t>度管理系统。</w:t>
      </w:r>
    </w:p>
    <w:p>
      <w:pPr>
        <w:autoSpaceDE w:val="0"/>
        <w:autoSpaceDN w:val="0"/>
        <w:jc w:val="left"/>
        <w:spacing w:before="49" w:after="0" w:lineRule="auto" w:line="240"/>
        <w:ind w:right="0" w:left="1386" w:firstLine="0"/>
        <w:snapToGrid w:val="0"/>
        <w:textAlignment w:val="auto"/>
        <w:tabs>
          <w:tab w:val="left" w:leader="none" w:pos="1648"/>
        </w:tabs>
        <w:numPr>
          <w:ilvl w:val="0"/>
          <w:numId w:val="342"/>
        </w:numPr>
        <w:rPr>
          <w:rFonts w:ascii="Times New Roman" w:hAnsi="Times New Roman" w:cs="Times New Roman" w:eastAsia="Times New Roman" w:hint="ascii"/>
          <w:sz w:val="21"/>
        </w:rPr>
      </w:pPr>
      <w:r>
        <w:rPr>
          <w:rFonts w:ascii="宋体" w:hAnsi="宋体" w:cs="宋体" w:eastAsia="宋体" w:hint="ascii"/>
          <w:sz w:val="21"/>
        </w:rPr>
        <w:t>构建地方金融运行动态及区域性系统性风险的智能监测与预警系统</w:t>
      </w:r>
    </w:p>
    <w:p>
      <w:pPr>
        <w:autoSpaceDE w:val="0"/>
        <w:autoSpaceDN w:val="0"/>
        <w:jc w:val="both"/>
        <w:spacing w:before="17" w:after="0" w:lineRule="exact" w:line="312"/>
        <w:ind w:right="963" w:left="966" w:firstLine="420"/>
        <w:snapToGrid w:val="0"/>
        <w:textAlignment w:val="auto"/>
        <w:tabs/>
        <w:rPr>
          <w:rFonts w:ascii="宋体" w:hAnsi="宋体" w:cs="宋体" w:eastAsia="宋体" w:hint="ascii"/>
          <w:sz w:val="21"/>
        </w:rPr>
      </w:pPr>
      <w:r>
        <w:rPr>
          <w:rFonts w:ascii="宋体" w:hAnsi="宋体" w:cs="宋体" w:eastAsia="宋体" w:hint="ascii"/>
          <w:sz w:val="21"/>
        </w:rPr>
        <w:t>依托“天河二号”超级计算机的计算能力，构建地方金融运行的智能监测预警</w:t>
      </w:r>
      <w:r>
        <w:rPr>
          <w:rFonts w:ascii="宋体" w:hAnsi="宋体" w:cs="宋体" w:eastAsia="宋体" w:hint="ascii"/>
          <w:sz w:val="21"/>
          <w:spacing w:val="-6"/>
        </w:rPr>
        <w:t>系</w:t>
      </w:r>
      <w:r>
        <w:rPr>
          <w:rFonts w:ascii="宋体" w:hAnsi="宋体" w:cs="宋体" w:eastAsia="宋体" w:hint="ascii"/>
          <w:sz w:val="21"/>
        </w:rPr>
        <w:t xml:space="preserve"> 统。根据地方金融系统的复杂网络特征，利用地方金融大数据构建完整的日常监测指标</w:t>
      </w:r>
    </w:p>
    <w:p>
      <w:pPr>
        <w:autoSpaceDE w:val="0"/>
        <w:autoSpaceDN w:val="0"/>
        <w:jc w:val="left"/>
        <w:spacing w:before="276"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both"/>
        <w:spacing w:before="284"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体系，开发</w:t>
      </w:r>
      <w:r>
        <w:rPr>
          <w:rFonts w:ascii="宋体" w:hAnsi="宋体" w:cs="宋体" w:eastAsia="宋体" w:hint="ascii"/>
          <w:sz w:val="21"/>
        </w:rPr>
        <w:t>地方金融安全运行动态的智能监测系统。构建智能预警系统，建立异常事件</w:t>
      </w:r>
      <w:r>
        <w:rPr>
          <w:rFonts w:ascii="宋体" w:hAnsi="宋体" w:cs="宋体" w:eastAsia="宋体" w:hint="ascii"/>
          <w:sz w:val="21"/>
          <w:spacing w:val="-1"/>
        </w:rPr>
        <w:t>的预警系统</w:t>
      </w:r>
      <w:r>
        <w:rPr>
          <w:rFonts w:ascii="宋体" w:hAnsi="宋体" w:cs="宋体" w:eastAsia="宋体" w:hint="ascii"/>
          <w:sz w:val="21"/>
        </w:rPr>
        <w:t>和突发事件的应急机制，并依托“天河二号”超级计算机的计算能力实现快速响应，为政府及金融监管机构决策提供宏观指标和处置风险的可行方案。</w:t>
      </w:r>
      <w:r>
        <w:rPr>
          <w:rFonts w:ascii="宋体" w:hAnsi="宋体" w:cs="宋体" w:eastAsia="宋体" w:hint="ascii"/>
          <w:sz w:val="21"/>
        </w:rPr>
        <mc:AlternateContent>
          <mc:Choice Requires="wps">
            <w:drawing>
              <wp:anchor distL="0" distR="0" distT="0" distB="0" simplePos="0" behindDoc="1" relativeHeight="319" locked="0" layoutInCell="1" allowOverlap="1">
                <wp:simplePos x="0" y="0"/>
                <wp:positionH relativeFrom="page">
                  <wp:posOffset>938530</wp:posOffset>
                </wp:positionH>
                <wp:positionV relativeFrom="page">
                  <wp:posOffset>805815</wp:posOffset>
                </wp:positionV>
                <wp:extent cx="5076190" cy="0"/>
                <wp:wrapNone/>
                <wp:docPr id="1347" name="134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31584;width:399.70pt;" id="134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auto" w:line="240"/>
        <w:ind w:right="0" w:left="1386" w:firstLine="0"/>
        <w:snapToGrid w:val="0"/>
        <w:textAlignment w:val="auto"/>
        <w:tabs>
          <w:tab w:val="left" w:leader="none" w:pos="1648"/>
        </w:tabs>
        <w:numPr>
          <w:ilvl w:val="0"/>
          <w:numId w:val="342"/>
        </w:numPr>
        <w:rPr>
          <w:rFonts w:ascii="Times New Roman" w:hAnsi="Times New Roman" w:cs="Times New Roman" w:eastAsia="Times New Roman" w:hint="ascii"/>
          <w:sz w:val="21"/>
        </w:rPr>
      </w:pPr>
      <w:r>
        <w:rPr>
          <w:rFonts w:ascii="宋体" w:hAnsi="宋体" w:cs="宋体" w:eastAsia="宋体" w:hint="ascii"/>
          <w:sz w:val="21"/>
        </w:rPr>
        <w:t>构建“情景</w:t>
      </w:r>
      <w:r>
        <w:rPr>
          <w:rFonts w:ascii="宋体" w:hAnsi="宋体" w:cs="宋体" w:eastAsia="宋体" w:hint="ascii"/>
          <w:sz w:val="21"/>
        </w:rPr>
        <w:t>-</w:t>
      </w:r>
      <w:r>
        <w:rPr>
          <w:rFonts w:ascii="宋体" w:hAnsi="宋体" w:cs="宋体" w:eastAsia="宋体" w:hint="ascii"/>
          <w:sz w:val="21"/>
        </w:rPr>
        <w:t>应对”型区域性系统性风险智能防控系统</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利用“天河二号”超级计算机的超算能力，构建人工金融系统，通过计算实验反演</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出真实地方</w:t>
      </w:r>
      <w:r>
        <w:rPr>
          <w:rFonts w:ascii="宋体" w:hAnsi="宋体" w:cs="宋体" w:eastAsia="宋体" w:hint="ascii"/>
          <w:sz w:val="21"/>
        </w:rPr>
        <w:t>金融系统的已有风险情景，并进行系统校准；分析若干未来可能发生的风险</w:t>
      </w:r>
      <w:r>
        <w:rPr>
          <w:rFonts w:ascii="宋体" w:hAnsi="宋体" w:cs="宋体" w:eastAsia="宋体" w:hint="ascii"/>
          <w:sz w:val="21"/>
          <w:spacing w:val="-1"/>
        </w:rPr>
        <w:t>情景，研究</w:t>
      </w:r>
      <w:r>
        <w:rPr>
          <w:rFonts w:ascii="宋体" w:hAnsi="宋体" w:cs="宋体" w:eastAsia="宋体" w:hint="ascii"/>
          <w:sz w:val="21"/>
        </w:rPr>
        <w:t>区域性系统性风险的形成机理和传导机制；探讨可行的应对预案并在人工金融系统中验证其有效性。</w:t>
      </w:r>
    </w:p>
    <w:p>
      <w:pPr>
        <w:autoSpaceDE w:val="0"/>
        <w:autoSpaceDN w:val="0"/>
        <w:jc w:val="left"/>
        <w:spacing w:before="40" w:after="0" w:lineRule="auto" w:line="240"/>
        <w:ind w:right="0" w:left="1386" w:firstLine="0"/>
        <w:snapToGrid w:val="0"/>
        <w:textAlignment w:val="auto"/>
        <w:tabs>
          <w:tab w:val="left" w:leader="none" w:pos="1648"/>
        </w:tabs>
        <w:numPr>
          <w:ilvl w:val="0"/>
          <w:numId w:val="342"/>
        </w:numPr>
        <w:rPr>
          <w:rFonts w:ascii="Times New Roman" w:hAnsi="Times New Roman" w:cs="Times New Roman" w:eastAsia="Times New Roman" w:hint="ascii"/>
          <w:sz w:val="21"/>
        </w:rPr>
      </w:pPr>
      <w:r>
        <w:rPr>
          <w:rFonts w:ascii="宋体" w:hAnsi="宋体" w:cs="宋体" w:eastAsia="宋体" w:hint="ascii"/>
          <w:sz w:val="21"/>
        </w:rPr>
        <w:t>地方金融安全决策应用平台</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依托“天河二号”超级计算机平台，基</w:t>
      </w:r>
      <w:r>
        <w:rPr>
          <w:rFonts w:ascii="宋体" w:hAnsi="宋体" w:cs="宋体" w:eastAsia="宋体" w:hint="ascii"/>
          <w:sz w:val="21"/>
          <w:spacing w:val="26"/>
        </w:rPr>
        <w:t>于</w:t>
      </w:r>
      <w:r>
        <w:rPr>
          <w:rFonts w:ascii="Times New Roman" w:hAnsi="Times New Roman" w:cs="Times New Roman" w:eastAsia="Times New Roman" w:hint="ascii"/>
          <w:sz w:val="21"/>
          <w:spacing w:val="52"/>
        </w:rPr>
        <w:t>1</w:t>
      </w:r>
      <w:r>
        <w:rPr>
          <w:rFonts w:ascii="宋体" w:hAnsi="宋体" w:cs="宋体" w:eastAsia="宋体" w:hint="ascii"/>
          <w:sz w:val="21"/>
          <w:spacing w:val="26"/>
        </w:rPr>
        <w:t>至</w:t>
      </w:r>
      <w:r>
        <w:rPr>
          <w:rFonts w:ascii="Times New Roman" w:hAnsi="Times New Roman" w:cs="Times New Roman" w:eastAsia="Times New Roman" w:hint="ascii"/>
          <w:sz w:val="21"/>
          <w:spacing w:val="52"/>
        </w:rPr>
        <w:t>4</w:t>
      </w:r>
      <w:r>
        <w:rPr>
          <w:rFonts w:ascii="宋体" w:hAnsi="宋体" w:cs="宋体" w:eastAsia="宋体" w:hint="ascii"/>
          <w:sz w:val="21"/>
        </w:rPr>
        <w:t>的研究成果，尤其是整</w:t>
      </w:r>
      <w:r>
        <w:rPr>
          <w:rFonts w:ascii="宋体" w:hAnsi="宋体" w:cs="宋体" w:eastAsia="宋体" w:hint="ascii"/>
          <w:sz w:val="21"/>
          <w:spacing w:val="26"/>
        </w:rPr>
        <w:t>合</w:t>
      </w:r>
      <w:r>
        <w:rPr>
          <w:rFonts w:ascii="Times New Roman" w:hAnsi="Times New Roman" w:cs="Times New Roman" w:eastAsia="Times New Roman" w:hint="ascii"/>
          <w:sz w:val="21"/>
          <w:spacing w:val="52"/>
        </w:rPr>
        <w:t>3</w:t>
      </w:r>
      <w:r>
        <w:rPr>
          <w:rFonts w:ascii="宋体" w:hAnsi="宋体" w:cs="宋体" w:eastAsia="宋体" w:hint="ascii"/>
          <w:sz w:val="21"/>
          <w:spacing w:val="26"/>
        </w:rPr>
        <w:t>和</w:t>
      </w:r>
      <w:r>
        <w:rPr>
          <w:rFonts w:ascii="Times New Roman" w:hAnsi="Times New Roman" w:cs="Times New Roman" w:eastAsia="Times New Roman" w:hint="ascii"/>
          <w:sz w:val="21"/>
          <w:spacing w:val="52"/>
        </w:rPr>
        <w:t>4</w:t>
      </w:r>
      <w:r>
        <w:rPr>
          <w:rFonts w:ascii="宋体" w:hAnsi="宋体" w:cs="宋体" w:eastAsia="宋体" w:hint="ascii"/>
          <w:sz w:val="21"/>
        </w:rPr>
        <w:t>两</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大地方金融</w:t>
      </w:r>
      <w:r>
        <w:rPr>
          <w:rFonts w:ascii="宋体" w:hAnsi="宋体" w:cs="宋体" w:eastAsia="宋体" w:hint="ascii"/>
          <w:sz w:val="21"/>
        </w:rPr>
        <w:t>安全智能预警与防控系统，构建智慧金融支持的地方金融决策应用平台。在</w:t>
      </w:r>
      <w:r>
        <w:rPr>
          <w:rFonts w:ascii="宋体" w:hAnsi="宋体" w:cs="宋体" w:eastAsia="宋体" w:hint="ascii"/>
          <w:sz w:val="21"/>
          <w:spacing w:val="-1"/>
        </w:rPr>
        <w:t>突出的地方</w:t>
      </w:r>
      <w:r>
        <w:rPr>
          <w:rFonts w:ascii="宋体" w:hAnsi="宋体" w:cs="宋体" w:eastAsia="宋体" w:hint="ascii"/>
          <w:sz w:val="21"/>
        </w:rPr>
        <w:t>金融问题上提供示范应用，为地方金融安全的监测、预警和政策制定提供决策依据和决策场景。</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资助领域四：基于大数据的智慧交通基础理论与关键技术</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围绕“高效、绿色、分享”的新型、可持续城市交通发展模式，以国家超级计算广</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州中心“天</w:t>
      </w:r>
      <w:r>
        <w:rPr>
          <w:rFonts w:ascii="宋体" w:hAnsi="宋体" w:cs="宋体" w:eastAsia="宋体" w:hint="ascii"/>
          <w:sz w:val="21"/>
        </w:rPr>
        <w:t>河二号”超级计算机为平台，突破跨域全时交通数据关联与知识聚合、城市</w:t>
      </w:r>
      <w:r>
        <w:rPr>
          <w:rFonts w:ascii="宋体" w:hAnsi="宋体" w:cs="宋体" w:eastAsia="宋体" w:hint="ascii"/>
          <w:sz w:val="21"/>
          <w:spacing w:val="-1"/>
        </w:rPr>
        <w:t>交通出行规</w:t>
      </w:r>
      <w:r>
        <w:rPr>
          <w:rFonts w:ascii="宋体" w:hAnsi="宋体" w:cs="宋体" w:eastAsia="宋体" w:hint="ascii"/>
          <w:sz w:val="21"/>
        </w:rPr>
        <w:t>律挖掘与演化分析、复杂交通系统建模与决策优化等基础理论和关键技术，</w:t>
      </w:r>
      <w:r>
        <w:rPr>
          <w:rFonts w:ascii="宋体" w:hAnsi="宋体" w:cs="宋体" w:eastAsia="宋体" w:hint="ascii"/>
          <w:sz w:val="21"/>
          <w:spacing w:val="-1"/>
        </w:rPr>
        <w:t>实践千万级</w:t>
      </w:r>
      <w:r>
        <w:rPr>
          <w:rFonts w:ascii="宋体" w:hAnsi="宋体" w:cs="宋体" w:eastAsia="宋体" w:hint="ascii"/>
          <w:sz w:val="21"/>
        </w:rPr>
        <w:t>群体出行的需求感知、自主协同和智能决策，推动大数据支持的城市交通一体化协同与示范应用。</w:t>
      </w:r>
    </w:p>
    <w:p>
      <w:pPr>
        <w:autoSpaceDE w:val="0"/>
        <w:autoSpaceDN w:val="0"/>
        <w:jc w:val="left"/>
        <w:spacing w:before="40" w:after="0" w:lineRule="auto" w:line="240"/>
        <w:ind w:right="0" w:left="1649" w:hanging="263"/>
        <w:snapToGrid w:val="0"/>
        <w:textAlignment w:val="auto"/>
        <w:tabs>
          <w:tab w:val="left" w:leader="none" w:pos="1648"/>
        </w:tabs>
        <w:numPr>
          <w:ilvl w:val="0"/>
          <w:numId w:val="343"/>
        </w:numPr>
        <w:rPr>
          <w:rFonts w:ascii="Times New Roman" w:hAnsi="Times New Roman" w:cs="Times New Roman" w:eastAsia="Times New Roman" w:hint="ascii"/>
          <w:sz w:val="21"/>
        </w:rPr>
      </w:pPr>
      <w:r>
        <w:rPr>
          <w:rFonts w:ascii="宋体" w:hAnsi="宋体" w:cs="宋体" w:eastAsia="宋体" w:hint="ascii"/>
          <w:sz w:val="21"/>
        </w:rPr>
        <w:t>跨域全时交通数据关联与知识聚合</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针对交通大数据领域跨度大、时空尺度跨越大、动态稀疏等特点，研究多源异构交</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通大数据的</w:t>
      </w:r>
      <w:r>
        <w:rPr>
          <w:rFonts w:ascii="宋体" w:hAnsi="宋体" w:cs="宋体" w:eastAsia="宋体" w:hint="ascii"/>
          <w:sz w:val="21"/>
        </w:rPr>
        <w:t>表达与建模方法、交通大数据的一致性融合与质量增强方法以及大规模跨领域知识图谱学习理论与计算方法。突</w:t>
      </w:r>
      <w:r>
        <w:rPr>
          <w:rFonts w:ascii="宋体" w:hAnsi="宋体" w:cs="宋体" w:eastAsia="宋体" w:hint="ascii"/>
          <w:sz w:val="21"/>
          <w:spacing w:val="15"/>
        </w:rPr>
        <w:t>破</w:t>
      </w:r>
      <w:r>
        <w:rPr>
          <w:rFonts w:ascii="Times New Roman" w:hAnsi="Times New Roman" w:cs="Times New Roman" w:eastAsia="Times New Roman" w:hint="ascii"/>
          <w:sz w:val="21"/>
        </w:rPr>
        <w:t>P</w:t>
      </w:r>
      <w:r>
        <w:rPr>
          <w:rFonts w:ascii="Times New Roman" w:hAnsi="Times New Roman" w:cs="Times New Roman" w:eastAsia="Times New Roman" w:hint="ascii"/>
          <w:sz w:val="21"/>
          <w:spacing w:val="32"/>
        </w:rPr>
        <w:t>B</w:t>
      </w:r>
      <w:r>
        <w:rPr>
          <w:rFonts w:ascii="宋体" w:hAnsi="宋体" w:cs="宋体" w:eastAsia="宋体" w:hint="ascii"/>
          <w:sz w:val="21"/>
        </w:rPr>
        <w:t>级规模以上的时空多粒度、异质交通数据的</w:t>
      </w:r>
      <w:r>
        <w:rPr>
          <w:rFonts w:ascii="宋体" w:hAnsi="宋体" w:cs="宋体" w:eastAsia="宋体" w:hint="ascii"/>
          <w:sz w:val="21"/>
          <w:spacing w:val="-1"/>
        </w:rPr>
        <w:t>一致性融合</w:t>
      </w:r>
      <w:r>
        <w:rPr>
          <w:rFonts w:ascii="宋体" w:hAnsi="宋体" w:cs="宋体" w:eastAsia="宋体" w:hint="ascii"/>
          <w:sz w:val="21"/>
        </w:rPr>
        <w:t>方法以及数据质量评估与增强方法，实现千万级实体的交通知识图谱动态</w:t>
      </w:r>
      <w:r>
        <w:rPr>
          <w:rFonts w:ascii="宋体" w:hAnsi="宋体" w:cs="宋体" w:eastAsia="宋体" w:hint="ascii"/>
          <w:sz w:val="21"/>
        </w:rPr>
        <w:t>构建以及实时查询算法。</w:t>
      </w:r>
    </w:p>
    <w:p>
      <w:pPr>
        <w:autoSpaceDE w:val="0"/>
        <w:autoSpaceDN w:val="0"/>
        <w:jc w:val="left"/>
        <w:spacing w:before="40" w:after="0" w:lineRule="auto" w:line="240"/>
        <w:ind w:right="0" w:left="1649" w:hanging="263"/>
        <w:snapToGrid w:val="0"/>
        <w:textAlignment w:val="auto"/>
        <w:tabs>
          <w:tab w:val="left" w:leader="none" w:pos="1648"/>
        </w:tabs>
        <w:numPr>
          <w:ilvl w:val="0"/>
          <w:numId w:val="343"/>
        </w:numPr>
        <w:rPr>
          <w:rFonts w:ascii="Times New Roman" w:hAnsi="Times New Roman" w:cs="Times New Roman" w:eastAsia="Times New Roman" w:hint="ascii"/>
          <w:sz w:val="21"/>
        </w:rPr>
      </w:pPr>
      <w:r>
        <w:rPr>
          <w:rFonts w:ascii="宋体" w:hAnsi="宋体" w:cs="宋体" w:eastAsia="宋体" w:hint="ascii"/>
          <w:sz w:val="21"/>
        </w:rPr>
        <w:t>城市交通出行规律挖掘与演化分析</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针对城市交通系统动态性、随机性、多行为主体等特征，研究交通要素与交通特征</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内在关联机</w:t>
      </w:r>
      <w:r>
        <w:rPr>
          <w:rFonts w:ascii="宋体" w:hAnsi="宋体" w:cs="宋体" w:eastAsia="宋体" w:hint="ascii"/>
          <w:sz w:val="21"/>
        </w:rPr>
        <w:t>理、城市居民出行规律挖掘和预测方法以及出行规律的时间演化轨迹和反馈</w:t>
      </w:r>
      <w:r>
        <w:rPr>
          <w:rFonts w:ascii="宋体" w:hAnsi="宋体" w:cs="宋体" w:eastAsia="宋体" w:hint="ascii"/>
          <w:sz w:val="21"/>
          <w:spacing w:val="-1"/>
        </w:rPr>
        <w:t>演化模型，</w:t>
      </w:r>
      <w:r>
        <w:rPr>
          <w:rFonts w:ascii="宋体" w:hAnsi="宋体" w:cs="宋体" w:eastAsia="宋体" w:hint="ascii"/>
          <w:sz w:val="21"/>
        </w:rPr>
        <w:t>实现城市交通规律的动态更正和完善，在“天河二号”超级计算机上实现百</w:t>
      </w:r>
      <w:r>
        <w:rPr>
          <w:rFonts w:ascii="宋体" w:hAnsi="宋体" w:cs="宋体" w:eastAsia="宋体" w:hint="ascii"/>
          <w:sz w:val="21"/>
          <w:spacing w:val="-1"/>
        </w:rPr>
        <w:t>万级出行轨</w:t>
      </w:r>
      <w:r>
        <w:rPr>
          <w:rFonts w:ascii="宋体" w:hAnsi="宋体" w:cs="宋体" w:eastAsia="宋体" w:hint="ascii"/>
          <w:sz w:val="21"/>
        </w:rPr>
        <w:t>迹数据的实时处理、特征提取和规律知识的挖掘，创建城市交通出行大数据可视化分析平台。</w:t>
      </w:r>
    </w:p>
    <w:p>
      <w:pPr>
        <w:autoSpaceDE w:val="0"/>
        <w:autoSpaceDN w:val="0"/>
        <w:jc w:val="left"/>
        <w:spacing w:before="40" w:after="0" w:lineRule="auto" w:line="240"/>
        <w:ind w:right="0" w:left="1649" w:hanging="263"/>
        <w:snapToGrid w:val="0"/>
        <w:textAlignment w:val="auto"/>
        <w:tabs>
          <w:tab w:val="left" w:leader="none" w:pos="1648"/>
        </w:tabs>
        <w:numPr>
          <w:ilvl w:val="0"/>
          <w:numId w:val="343"/>
        </w:numPr>
        <w:rPr>
          <w:rFonts w:ascii="Times New Roman" w:hAnsi="Times New Roman" w:cs="Times New Roman" w:eastAsia="Times New Roman" w:hint="ascii"/>
          <w:sz w:val="21"/>
        </w:rPr>
      </w:pPr>
      <w:r>
        <w:rPr>
          <w:rFonts w:ascii="宋体" w:hAnsi="宋体" w:cs="宋体" w:eastAsia="宋体" w:hint="ascii"/>
          <w:sz w:val="21"/>
        </w:rPr>
        <w:t>交通环境耦合建模与决策优化</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针对交通系统运行与环境效益分离的问题，研究多种交通运行状态下交通与环境动</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态耦合机理</w:t>
      </w:r>
      <w:r>
        <w:rPr>
          <w:rFonts w:ascii="宋体" w:hAnsi="宋体" w:cs="宋体" w:eastAsia="宋体" w:hint="ascii"/>
          <w:sz w:val="21"/>
        </w:rPr>
        <w:t>，在“天河二号”超级计算机平台上实现交通流、能耗排放、安全风险等的</w:t>
      </w:r>
      <w:r>
        <w:rPr>
          <w:rFonts w:ascii="宋体" w:hAnsi="宋体" w:cs="宋体" w:eastAsia="宋体" w:hint="ascii"/>
          <w:sz w:val="21"/>
          <w:spacing w:val="-1"/>
        </w:rPr>
        <w:t>综合分析和</w:t>
      </w:r>
      <w:r>
        <w:rPr>
          <w:rFonts w:ascii="宋体" w:hAnsi="宋体" w:cs="宋体" w:eastAsia="宋体" w:hint="ascii"/>
          <w:sz w:val="21"/>
        </w:rPr>
        <w:t>预测，研究大数据驱动的交通及环境重大事件实时感知、辨识、预测、影响</w:t>
      </w:r>
      <w:r>
        <w:rPr>
          <w:rFonts w:ascii="宋体" w:hAnsi="宋体" w:cs="宋体" w:eastAsia="宋体" w:hint="ascii"/>
          <w:sz w:val="21"/>
          <w:spacing w:val="-1"/>
        </w:rPr>
        <w:t>分析和应急</w:t>
      </w:r>
      <w:r>
        <w:rPr>
          <w:rFonts w:ascii="宋体" w:hAnsi="宋体" w:cs="宋体" w:eastAsia="宋体" w:hint="ascii"/>
          <w:sz w:val="21"/>
        </w:rPr>
        <w:t>响应，基于交通与环境态势的系统协同决策与智能管控，基于车辆网数据、</w:t>
      </w:r>
      <w:r>
        <w:rPr>
          <w:rFonts w:ascii="宋体" w:hAnsi="宋体" w:cs="宋体" w:eastAsia="宋体" w:hint="ascii"/>
          <w:sz w:val="21"/>
          <w:spacing w:val="-1"/>
        </w:rPr>
        <w:t>道路交通检</w:t>
      </w:r>
      <w:r>
        <w:rPr>
          <w:rFonts w:ascii="宋体" w:hAnsi="宋体" w:cs="宋体" w:eastAsia="宋体" w:hint="ascii"/>
          <w:sz w:val="21"/>
        </w:rPr>
        <w:t>测数据和环境监测数据等实现万级以上路网节点规模的交通与环境动态决策与一体化的调控和优化。</w:t>
      </w:r>
    </w:p>
    <w:p>
      <w:pPr>
        <w:autoSpaceDE w:val="0"/>
        <w:autoSpaceDN w:val="0"/>
        <w:jc w:val="left"/>
        <w:spacing w:before="276"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left"/>
        <w:spacing w:before="297" w:after="0" w:lineRule="auto" w:line="240"/>
        <w:ind w:right="0" w:left="1649" w:hanging="263"/>
        <w:snapToGrid w:val="0"/>
        <w:textAlignment w:val="auto"/>
        <w:tabs>
          <w:tab w:val="left" w:leader="none" w:pos="1648"/>
        </w:tabs>
        <w:numPr>
          <w:ilvl w:val="0"/>
          <w:numId w:val="343"/>
        </w:numPr>
        <w:rPr>
          <w:rFonts w:ascii="Times New Roman" w:hAnsi="Times New Roman" w:cs="Times New Roman" w:eastAsia="Times New Roman" w:hint="ascii"/>
          <w:sz w:val="21"/>
        </w:rPr>
      </w:pPr>
      <w:r>
        <w:rPr>
          <w:rFonts w:ascii="宋体" w:hAnsi="宋体" w:cs="宋体" w:eastAsia="宋体" w:hint="ascii"/>
          <w:sz w:val="21"/>
        </w:rPr>
        <w:t>交通群智行为感知与自主协同服务</w:t>
      </w:r>
      <w:r>
        <w:rPr>
          <w:rFonts w:ascii="宋体" w:hAnsi="宋体" w:cs="宋体" w:eastAsia="宋体" w:hint="ascii"/>
          <w:sz w:val="21"/>
        </w:rPr>
        <mc:AlternateContent>
          <mc:Choice Requires="wps">
            <w:drawing>
              <wp:anchor distL="0" distR="0" distT="0" distB="0" simplePos="0" behindDoc="1" relativeHeight="321" locked="0" layoutInCell="1" allowOverlap="1">
                <wp:simplePos x="0" y="0"/>
                <wp:positionH relativeFrom="page">
                  <wp:posOffset>938530</wp:posOffset>
                </wp:positionH>
                <wp:positionV relativeFrom="page">
                  <wp:posOffset>819150</wp:posOffset>
                </wp:positionV>
                <wp:extent cx="5076190" cy="0"/>
                <wp:wrapNone/>
                <wp:docPr id="1348" name="134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29536;width:399.70pt;" id="134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57" w:after="0" w:lineRule="exact" w:line="263"/>
        <w:ind w:right="0" w:left="1374" w:firstLine="0"/>
        <w:snapToGrid w:val="0"/>
        <w:textAlignment w:val="auto"/>
        <w:tabs/>
        <w:rPr>
          <w:rFonts w:ascii="宋体" w:hAnsi="宋体" w:cs="宋体" w:eastAsia="宋体" w:hint="ascii"/>
          <w:sz w:val="21"/>
        </w:rPr>
      </w:pPr>
      <w:r>
        <w:rPr>
          <w:rFonts w:ascii="宋体" w:hAnsi="宋体" w:cs="宋体" w:eastAsia="宋体" w:hint="ascii"/>
          <w:sz w:val="21"/>
          <w:spacing w:val="-2"/>
        </w:rPr>
        <w:t>针对</w:t>
      </w:r>
      <w:r>
        <w:rPr>
          <w:rFonts w:ascii="宋体" w:hAnsi="宋体" w:cs="宋体" w:eastAsia="宋体" w:hint="ascii"/>
          <w:sz w:val="21"/>
          <w:spacing w:val="-3"/>
        </w:rPr>
        <w:t>城</w:t>
      </w:r>
      <w:r>
        <w:rPr>
          <w:rFonts w:ascii="宋体" w:hAnsi="宋体" w:cs="宋体" w:eastAsia="宋体" w:hint="ascii"/>
          <w:sz w:val="21"/>
          <w:spacing w:val="-2"/>
        </w:rPr>
        <w:t>市</w:t>
      </w:r>
      <w:r>
        <w:rPr>
          <w:rFonts w:ascii="宋体" w:hAnsi="宋体" w:cs="宋体" w:eastAsia="宋体" w:hint="ascii"/>
          <w:sz w:val="21"/>
          <w:spacing w:val="-3"/>
        </w:rPr>
        <w:t>大量</w:t>
      </w:r>
      <w:r>
        <w:rPr>
          <w:rFonts w:ascii="宋体" w:hAnsi="宋体" w:cs="宋体" w:eastAsia="宋体" w:hint="ascii"/>
          <w:sz w:val="21"/>
          <w:spacing w:val="-2"/>
        </w:rPr>
        <w:t>运力</w:t>
      </w:r>
      <w:r>
        <w:rPr>
          <w:rFonts w:ascii="宋体" w:hAnsi="宋体" w:cs="宋体" w:eastAsia="宋体" w:hint="ascii"/>
          <w:sz w:val="21"/>
          <w:spacing w:val="-3"/>
        </w:rPr>
        <w:t>和</w:t>
      </w:r>
      <w:r>
        <w:rPr>
          <w:rFonts w:ascii="宋体" w:hAnsi="宋体" w:cs="宋体" w:eastAsia="宋体" w:hint="ascii"/>
          <w:sz w:val="21"/>
          <w:spacing w:val="-2"/>
        </w:rPr>
        <w:t>交</w:t>
      </w:r>
      <w:r>
        <w:rPr>
          <w:rFonts w:ascii="宋体" w:hAnsi="宋体" w:cs="宋体" w:eastAsia="宋体" w:hint="ascii"/>
          <w:sz w:val="21"/>
          <w:spacing w:val="-3"/>
        </w:rPr>
        <w:t>通设</w:t>
      </w:r>
      <w:r>
        <w:rPr>
          <w:rFonts w:ascii="宋体" w:hAnsi="宋体" w:cs="宋体" w:eastAsia="宋体" w:hint="ascii"/>
          <w:sz w:val="21"/>
          <w:spacing w:val="-2"/>
        </w:rPr>
        <w:t>施设</w:t>
      </w:r>
      <w:r>
        <w:rPr>
          <w:rFonts w:ascii="宋体" w:hAnsi="宋体" w:cs="宋体" w:eastAsia="宋体" w:hint="ascii"/>
          <w:sz w:val="21"/>
          <w:spacing w:val="-3"/>
        </w:rPr>
        <w:t>备</w:t>
      </w:r>
      <w:r>
        <w:rPr>
          <w:rFonts w:ascii="宋体" w:hAnsi="宋体" w:cs="宋体" w:eastAsia="宋体" w:hint="ascii"/>
          <w:sz w:val="21"/>
          <w:spacing w:val="-2"/>
        </w:rPr>
        <w:t>闲</w:t>
      </w:r>
      <w:r>
        <w:rPr>
          <w:rFonts w:ascii="宋体" w:hAnsi="宋体" w:cs="宋体" w:eastAsia="宋体" w:hint="ascii"/>
          <w:sz w:val="21"/>
          <w:spacing w:val="-3"/>
        </w:rPr>
        <w:t>置、</w:t>
      </w:r>
      <w:r>
        <w:rPr>
          <w:rFonts w:ascii="宋体" w:hAnsi="宋体" w:cs="宋体" w:eastAsia="宋体" w:hint="ascii"/>
          <w:sz w:val="21"/>
          <w:spacing w:val="-2"/>
        </w:rPr>
        <w:t>利用</w:t>
      </w:r>
      <w:r>
        <w:rPr>
          <w:rFonts w:ascii="宋体" w:hAnsi="宋体" w:cs="宋体" w:eastAsia="宋体" w:hint="ascii"/>
          <w:sz w:val="21"/>
          <w:spacing w:val="-3"/>
        </w:rPr>
        <w:t>率</w:t>
      </w:r>
      <w:r>
        <w:rPr>
          <w:rFonts w:ascii="宋体" w:hAnsi="宋体" w:cs="宋体" w:eastAsia="宋体" w:hint="ascii"/>
          <w:sz w:val="21"/>
          <w:spacing w:val="-2"/>
        </w:rPr>
        <w:t>有</w:t>
      </w:r>
      <w:r>
        <w:rPr>
          <w:rFonts w:ascii="宋体" w:hAnsi="宋体" w:cs="宋体" w:eastAsia="宋体" w:hint="ascii"/>
          <w:sz w:val="21"/>
          <w:spacing w:val="-3"/>
        </w:rPr>
        <w:t>待提</w:t>
      </w:r>
      <w:r>
        <w:rPr>
          <w:rFonts w:ascii="宋体" w:hAnsi="宋体" w:cs="宋体" w:eastAsia="宋体" w:hint="ascii"/>
          <w:sz w:val="21"/>
          <w:spacing w:val="-2"/>
        </w:rPr>
        <w:t>高的</w:t>
      </w:r>
      <w:r>
        <w:rPr>
          <w:rFonts w:ascii="宋体" w:hAnsi="宋体" w:cs="宋体" w:eastAsia="宋体" w:hint="ascii"/>
          <w:sz w:val="21"/>
          <w:spacing w:val="-3"/>
        </w:rPr>
        <w:t>问</w:t>
      </w:r>
      <w:r>
        <w:rPr>
          <w:rFonts w:ascii="宋体" w:hAnsi="宋体" w:cs="宋体" w:eastAsia="宋体" w:hint="ascii"/>
          <w:sz w:val="21"/>
          <w:spacing w:val="-2"/>
        </w:rPr>
        <w:t>题</w:t>
      </w:r>
      <w:r>
        <w:rPr>
          <w:rFonts w:ascii="宋体" w:hAnsi="宋体" w:cs="宋体" w:eastAsia="宋体" w:hint="ascii"/>
          <w:sz w:val="21"/>
          <w:spacing w:val="-3"/>
        </w:rPr>
        <w:t>，研</w:t>
      </w:r>
      <w:r>
        <w:rPr>
          <w:rFonts w:ascii="宋体" w:hAnsi="宋体" w:cs="宋体" w:eastAsia="宋体" w:hint="ascii"/>
          <w:sz w:val="21"/>
          <w:spacing w:val="-2"/>
        </w:rPr>
        <w:t>究开</w:t>
      </w:r>
      <w:r>
        <w:rPr>
          <w:rFonts w:ascii="宋体" w:hAnsi="宋体" w:cs="宋体" w:eastAsia="宋体" w:hint="ascii"/>
          <w:sz w:val="21"/>
          <w:spacing w:val="-3"/>
        </w:rPr>
        <w:t>放</w:t>
      </w:r>
      <w:r>
        <w:rPr>
          <w:rFonts w:ascii="宋体" w:hAnsi="宋体" w:cs="宋体" w:eastAsia="宋体" w:hint="ascii"/>
          <w:sz w:val="21"/>
          <w:spacing w:val="-2"/>
        </w:rPr>
        <w:t>网络中</w:t>
      </w:r>
      <w:r>
        <w:rPr>
          <w:rFonts w:ascii="宋体" w:hAnsi="宋体" w:cs="宋体" w:eastAsia="宋体" w:hint="ascii"/>
          <w:sz w:val="21"/>
        </w:rPr>
        <w:t>的</w:t>
      </w:r>
    </w:p>
    <w:p>
      <w:pPr>
        <w:autoSpaceDE w:val="0"/>
        <w:autoSpaceDN w:val="0"/>
        <w:jc w:val="left"/>
        <w:spacing w:before="49" w:after="0" w:lineRule="exact" w:line="263"/>
        <w:ind w:right="0" w:left="966" w:firstLine="0"/>
        <w:snapToGrid w:val="0"/>
        <w:textAlignment w:val="auto"/>
        <w:tabs/>
        <w:rPr>
          <w:rFonts w:ascii="宋体" w:hAnsi="宋体" w:cs="宋体" w:eastAsia="宋体" w:hint="ascii"/>
          <w:sz w:val="21"/>
        </w:rPr>
      </w:pPr>
      <w:r>
        <w:rPr>
          <w:rFonts w:ascii="宋体" w:hAnsi="宋体" w:cs="宋体" w:eastAsia="宋体" w:hint="ascii"/>
          <w:sz w:val="21"/>
          <w:spacing w:val="-2"/>
        </w:rPr>
        <w:t>群体</w:t>
      </w:r>
      <w:r>
        <w:rPr>
          <w:rFonts w:ascii="宋体" w:hAnsi="宋体" w:cs="宋体" w:eastAsia="宋体" w:hint="ascii"/>
          <w:sz w:val="21"/>
          <w:spacing w:val="-3"/>
        </w:rPr>
        <w:t>出</w:t>
      </w:r>
      <w:r>
        <w:rPr>
          <w:rFonts w:ascii="宋体" w:hAnsi="宋体" w:cs="宋体" w:eastAsia="宋体" w:hint="ascii"/>
          <w:sz w:val="21"/>
          <w:spacing w:val="-2"/>
        </w:rPr>
        <w:t>行</w:t>
      </w:r>
      <w:r>
        <w:rPr>
          <w:rFonts w:ascii="宋体" w:hAnsi="宋体" w:cs="宋体" w:eastAsia="宋体" w:hint="ascii"/>
          <w:sz w:val="21"/>
          <w:spacing w:val="-3"/>
        </w:rPr>
        <w:t>模型</w:t>
      </w:r>
      <w:r>
        <w:rPr>
          <w:rFonts w:ascii="宋体" w:hAnsi="宋体" w:cs="宋体" w:eastAsia="宋体" w:hint="ascii"/>
          <w:sz w:val="21"/>
          <w:spacing w:val="-2"/>
        </w:rPr>
        <w:t>、多</w:t>
      </w:r>
      <w:r>
        <w:rPr>
          <w:rFonts w:ascii="宋体" w:hAnsi="宋体" w:cs="宋体" w:eastAsia="宋体" w:hint="ascii"/>
          <w:sz w:val="21"/>
          <w:spacing w:val="-3"/>
        </w:rPr>
        <w:t>种</w:t>
      </w:r>
      <w:r>
        <w:rPr>
          <w:rFonts w:ascii="宋体" w:hAnsi="宋体" w:cs="宋体" w:eastAsia="宋体" w:hint="ascii"/>
          <w:sz w:val="21"/>
          <w:spacing w:val="-2"/>
        </w:rPr>
        <w:t>资</w:t>
      </w:r>
      <w:r>
        <w:rPr>
          <w:rFonts w:ascii="宋体" w:hAnsi="宋体" w:cs="宋体" w:eastAsia="宋体" w:hint="ascii"/>
          <w:sz w:val="21"/>
          <w:spacing w:val="-3"/>
        </w:rPr>
        <w:t>源融</w:t>
      </w:r>
      <w:r>
        <w:rPr>
          <w:rFonts w:ascii="宋体" w:hAnsi="宋体" w:cs="宋体" w:eastAsia="宋体" w:hint="ascii"/>
          <w:sz w:val="21"/>
          <w:spacing w:val="-2"/>
        </w:rPr>
        <w:t>合和</w:t>
      </w:r>
      <w:r>
        <w:rPr>
          <w:rFonts w:ascii="宋体" w:hAnsi="宋体" w:cs="宋体" w:eastAsia="宋体" w:hint="ascii"/>
          <w:sz w:val="21"/>
          <w:spacing w:val="-3"/>
        </w:rPr>
        <w:t>配</w:t>
      </w:r>
      <w:r>
        <w:rPr>
          <w:rFonts w:ascii="宋体" w:hAnsi="宋体" w:cs="宋体" w:eastAsia="宋体" w:hint="ascii"/>
          <w:sz w:val="21"/>
          <w:spacing w:val="-2"/>
        </w:rPr>
        <w:t>置</w:t>
      </w:r>
      <w:r>
        <w:rPr>
          <w:rFonts w:ascii="宋体" w:hAnsi="宋体" w:cs="宋体" w:eastAsia="宋体" w:hint="ascii"/>
          <w:sz w:val="21"/>
          <w:spacing w:val="-3"/>
        </w:rPr>
        <w:t>优化</w:t>
      </w:r>
      <w:r>
        <w:rPr>
          <w:rFonts w:ascii="宋体" w:hAnsi="宋体" w:cs="宋体" w:eastAsia="宋体" w:hint="ascii"/>
          <w:sz w:val="21"/>
          <w:spacing w:val="-2"/>
        </w:rPr>
        <w:t>的理</w:t>
      </w:r>
      <w:r>
        <w:rPr>
          <w:rFonts w:ascii="宋体" w:hAnsi="宋体" w:cs="宋体" w:eastAsia="宋体" w:hint="ascii"/>
          <w:sz w:val="21"/>
          <w:spacing w:val="-3"/>
        </w:rPr>
        <w:t>论</w:t>
      </w:r>
      <w:r>
        <w:rPr>
          <w:rFonts w:ascii="宋体" w:hAnsi="宋体" w:cs="宋体" w:eastAsia="宋体" w:hint="ascii"/>
          <w:sz w:val="21"/>
          <w:spacing w:val="-2"/>
        </w:rPr>
        <w:t>和</w:t>
      </w:r>
      <w:r>
        <w:rPr>
          <w:rFonts w:ascii="宋体" w:hAnsi="宋体" w:cs="宋体" w:eastAsia="宋体" w:hint="ascii"/>
          <w:sz w:val="21"/>
          <w:spacing w:val="-3"/>
        </w:rPr>
        <w:t>方法</w:t>
      </w:r>
      <w:r>
        <w:rPr>
          <w:rFonts w:ascii="宋体" w:hAnsi="宋体" w:cs="宋体" w:eastAsia="宋体" w:hint="ascii"/>
          <w:sz w:val="21"/>
          <w:spacing w:val="-2"/>
        </w:rPr>
        <w:t>、人</w:t>
      </w:r>
      <w:r>
        <w:rPr>
          <w:rFonts w:ascii="MS Mincho" w:hAnsi="MS Mincho" w:cs="MS Mincho" w:eastAsia="MS Mincho" w:hint="ascii"/>
          <w:sz w:val="21"/>
          <w:spacing w:val="-2"/>
        </w:rPr>
        <w:t>−</w:t>
      </w:r>
      <w:r>
        <w:rPr>
          <w:rFonts w:ascii="宋体" w:hAnsi="宋体" w:cs="宋体" w:eastAsia="宋体" w:hint="ascii"/>
          <w:sz w:val="21"/>
          <w:spacing w:val="-3"/>
        </w:rPr>
        <w:t>车</w:t>
      </w:r>
      <w:r>
        <w:rPr>
          <w:rFonts w:ascii="MS Mincho" w:hAnsi="MS Mincho" w:cs="MS Mincho" w:eastAsia="MS Mincho" w:hint="ascii"/>
          <w:sz w:val="21"/>
          <w:spacing w:val="-2"/>
        </w:rPr>
        <w:t>−</w:t>
      </w:r>
      <w:r>
        <w:rPr>
          <w:rFonts w:ascii="宋体" w:hAnsi="宋体" w:cs="宋体" w:eastAsia="宋体" w:hint="ascii"/>
          <w:sz w:val="21"/>
          <w:spacing w:val="-4"/>
        </w:rPr>
        <w:t>路</w:t>
      </w:r>
      <w:r>
        <w:rPr>
          <w:rFonts w:ascii="宋体" w:hAnsi="宋体" w:cs="宋体" w:eastAsia="宋体" w:hint="ascii"/>
          <w:sz w:val="21"/>
          <w:spacing w:val="-3"/>
        </w:rPr>
        <w:t>互</w:t>
      </w:r>
      <w:r>
        <w:rPr>
          <w:rFonts w:ascii="宋体" w:hAnsi="宋体" w:cs="宋体" w:eastAsia="宋体" w:hint="ascii"/>
          <w:sz w:val="21"/>
          <w:spacing w:val="-2"/>
        </w:rPr>
        <w:t>联</w:t>
      </w:r>
      <w:r>
        <w:rPr>
          <w:rFonts w:ascii="宋体" w:hAnsi="宋体" w:cs="宋体" w:eastAsia="宋体" w:hint="ascii"/>
          <w:sz w:val="21"/>
          <w:spacing w:val="-3"/>
        </w:rPr>
        <w:t>系</w:t>
      </w:r>
      <w:r>
        <w:rPr>
          <w:rFonts w:ascii="宋体" w:hAnsi="宋体" w:cs="宋体" w:eastAsia="宋体" w:hint="ascii"/>
          <w:sz w:val="21"/>
          <w:spacing w:val="-2"/>
        </w:rPr>
        <w:t>统</w:t>
      </w:r>
      <w:r>
        <w:rPr>
          <w:rFonts w:ascii="宋体" w:hAnsi="宋体" w:cs="宋体" w:eastAsia="宋体" w:hint="ascii"/>
          <w:sz w:val="21"/>
          <w:spacing w:val="-3"/>
        </w:rPr>
        <w:t>中</w:t>
      </w:r>
      <w:r>
        <w:rPr>
          <w:rFonts w:ascii="宋体" w:hAnsi="宋体" w:cs="宋体" w:eastAsia="宋体" w:hint="ascii"/>
          <w:sz w:val="21"/>
          <w:spacing w:val="-2"/>
        </w:rPr>
        <w:t>群</w:t>
      </w:r>
      <w:r>
        <w:rPr>
          <w:rFonts w:ascii="宋体" w:hAnsi="宋体" w:cs="宋体" w:eastAsia="宋体" w:hint="ascii"/>
          <w:sz w:val="21"/>
          <w:spacing w:val="-3"/>
        </w:rPr>
        <w:t>体</w:t>
      </w:r>
      <w:r>
        <w:rPr>
          <w:rFonts w:ascii="宋体" w:hAnsi="宋体" w:cs="宋体" w:eastAsia="宋体" w:hint="ascii"/>
          <w:sz w:val="21"/>
          <w:spacing w:val="-2"/>
        </w:rPr>
        <w:t>智能</w:t>
      </w:r>
      <w:r>
        <w:rPr>
          <w:rFonts w:ascii="宋体" w:hAnsi="宋体" w:cs="宋体" w:eastAsia="宋体" w:hint="ascii"/>
          <w:sz w:val="21"/>
        </w:rPr>
        <w:t>涌</w:t>
      </w:r>
    </w:p>
    <w:p>
      <w:pPr>
        <w:autoSpaceDE w:val="0"/>
        <w:autoSpaceDN w:val="0"/>
        <w:jc w:val="both"/>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spacing w:val="-5"/>
        </w:rPr>
        <w:t>现</w:t>
      </w:r>
      <w:r>
        <w:rPr>
          <w:rFonts w:ascii="宋体" w:hAnsi="宋体" w:cs="宋体" w:eastAsia="宋体" w:hint="ascii"/>
          <w:sz w:val="21"/>
          <w:spacing w:val="-4"/>
        </w:rPr>
        <w:t>的</w:t>
      </w:r>
      <w:r>
        <w:rPr>
          <w:rFonts w:ascii="宋体" w:hAnsi="宋体" w:cs="宋体" w:eastAsia="宋体" w:hint="ascii"/>
          <w:sz w:val="21"/>
          <w:spacing w:val="-5"/>
        </w:rPr>
        <w:t>理</w:t>
      </w:r>
      <w:r>
        <w:rPr>
          <w:rFonts w:ascii="宋体" w:hAnsi="宋体" w:cs="宋体" w:eastAsia="宋体" w:hint="ascii"/>
          <w:sz w:val="21"/>
          <w:spacing w:val="-4"/>
        </w:rPr>
        <w:t>论</w:t>
      </w:r>
      <w:r>
        <w:rPr>
          <w:rFonts w:ascii="宋体" w:hAnsi="宋体" w:cs="宋体" w:eastAsia="宋体" w:hint="ascii"/>
          <w:sz w:val="21"/>
          <w:spacing w:val="-5"/>
        </w:rPr>
        <w:t>和</w:t>
      </w:r>
      <w:r>
        <w:rPr>
          <w:rFonts w:ascii="宋体" w:hAnsi="宋体" w:cs="宋体" w:eastAsia="宋体" w:hint="ascii"/>
          <w:sz w:val="21"/>
          <w:spacing w:val="-4"/>
        </w:rPr>
        <w:t>方</w:t>
      </w:r>
      <w:r>
        <w:rPr>
          <w:rFonts w:ascii="宋体" w:hAnsi="宋体" w:cs="宋体" w:eastAsia="宋体" w:hint="ascii"/>
          <w:sz w:val="21"/>
          <w:spacing w:val="-5"/>
        </w:rPr>
        <w:t>法</w:t>
      </w:r>
      <w:r>
        <w:rPr>
          <w:rFonts w:ascii="宋体" w:hAnsi="宋体" w:cs="宋体" w:eastAsia="宋体" w:hint="ascii"/>
          <w:sz w:val="21"/>
          <w:spacing w:val="-4"/>
        </w:rPr>
        <w:t>，</w:t>
      </w:r>
      <w:r>
        <w:rPr>
          <w:rFonts w:ascii="宋体" w:hAnsi="宋体" w:cs="宋体" w:eastAsia="宋体" w:hint="ascii"/>
          <w:sz w:val="21"/>
          <w:spacing w:val="-5"/>
        </w:rPr>
        <w:t>建</w:t>
      </w:r>
      <w:r>
        <w:rPr>
          <w:rFonts w:ascii="宋体" w:hAnsi="宋体" w:cs="宋体" w:eastAsia="宋体" w:hint="ascii"/>
          <w:sz w:val="21"/>
          <w:spacing w:val="-4"/>
        </w:rPr>
        <w:t>立人</w:t>
      </w:r>
      <w:r>
        <w:rPr>
          <w:rFonts w:ascii="宋体" w:hAnsi="宋体" w:cs="宋体" w:eastAsia="宋体" w:hint="ascii"/>
          <w:sz w:val="21"/>
          <w:spacing w:val="-5"/>
        </w:rPr>
        <w:t>机</w:t>
      </w:r>
      <w:r>
        <w:rPr>
          <w:rFonts w:ascii="宋体" w:hAnsi="宋体" w:cs="宋体" w:eastAsia="宋体" w:hint="ascii"/>
          <w:sz w:val="21"/>
          <w:spacing w:val="-4"/>
        </w:rPr>
        <w:t>自主</w:t>
      </w:r>
      <w:r>
        <w:rPr>
          <w:rFonts w:ascii="宋体" w:hAnsi="宋体" w:cs="宋体" w:eastAsia="宋体" w:hint="ascii"/>
          <w:sz w:val="21"/>
          <w:spacing w:val="-5"/>
        </w:rPr>
        <w:t>协</w:t>
      </w:r>
      <w:r>
        <w:rPr>
          <w:rFonts w:ascii="宋体" w:hAnsi="宋体" w:cs="宋体" w:eastAsia="宋体" w:hint="ascii"/>
          <w:sz w:val="21"/>
          <w:spacing w:val="-4"/>
        </w:rPr>
        <w:t>同</w:t>
      </w:r>
      <w:r>
        <w:rPr>
          <w:rFonts w:ascii="宋体" w:hAnsi="宋体" w:cs="宋体" w:eastAsia="宋体" w:hint="ascii"/>
          <w:sz w:val="21"/>
          <w:spacing w:val="-5"/>
        </w:rPr>
        <w:t>服务</w:t>
      </w:r>
      <w:r>
        <w:rPr>
          <w:rFonts w:ascii="宋体" w:hAnsi="宋体" w:cs="宋体" w:eastAsia="宋体" w:hint="ascii"/>
          <w:sz w:val="21"/>
          <w:spacing w:val="-4"/>
        </w:rPr>
        <w:t>的机</w:t>
      </w:r>
      <w:r>
        <w:rPr>
          <w:rFonts w:ascii="宋体" w:hAnsi="宋体" w:cs="宋体" w:eastAsia="宋体" w:hint="ascii"/>
          <w:sz w:val="21"/>
          <w:spacing w:val="-5"/>
        </w:rPr>
        <w:t>制</w:t>
      </w:r>
      <w:r>
        <w:rPr>
          <w:rFonts w:ascii="宋体" w:hAnsi="宋体" w:cs="宋体" w:eastAsia="宋体" w:hint="ascii"/>
          <w:sz w:val="21"/>
          <w:spacing w:val="-4"/>
        </w:rPr>
        <w:t>，</w:t>
      </w:r>
      <w:r>
        <w:rPr>
          <w:rFonts w:ascii="宋体" w:hAnsi="宋体" w:cs="宋体" w:eastAsia="宋体" w:hint="ascii"/>
          <w:sz w:val="21"/>
          <w:spacing w:val="-5"/>
        </w:rPr>
        <w:t>融</w:t>
      </w:r>
      <w:r>
        <w:rPr>
          <w:rFonts w:ascii="宋体" w:hAnsi="宋体" w:cs="宋体" w:eastAsia="宋体" w:hint="ascii"/>
          <w:sz w:val="21"/>
          <w:spacing w:val="-4"/>
        </w:rPr>
        <w:t>合</w:t>
      </w:r>
      <w:r>
        <w:rPr>
          <w:rFonts w:ascii="宋体" w:hAnsi="宋体" w:cs="宋体" w:eastAsia="宋体" w:hint="ascii"/>
          <w:sz w:val="21"/>
          <w:spacing w:val="-3"/>
        </w:rPr>
        <w:t>群体</w:t>
      </w:r>
      <w:r>
        <w:rPr>
          <w:rFonts w:ascii="宋体" w:hAnsi="宋体" w:cs="宋体" w:eastAsia="宋体" w:hint="ascii"/>
          <w:sz w:val="21"/>
          <w:spacing w:val="-4"/>
        </w:rPr>
        <w:t>智</w:t>
      </w:r>
      <w:r>
        <w:rPr>
          <w:rFonts w:ascii="宋体" w:hAnsi="宋体" w:cs="宋体" w:eastAsia="宋体" w:hint="ascii"/>
          <w:sz w:val="21"/>
          <w:spacing w:val="-3"/>
        </w:rPr>
        <w:t>慧</w:t>
      </w:r>
      <w:r>
        <w:rPr>
          <w:rFonts w:ascii="宋体" w:hAnsi="宋体" w:cs="宋体" w:eastAsia="宋体" w:hint="ascii"/>
          <w:sz w:val="21"/>
          <w:spacing w:val="-4"/>
        </w:rPr>
        <w:t>，优</w:t>
      </w:r>
      <w:r>
        <w:rPr>
          <w:rFonts w:ascii="宋体" w:hAnsi="宋体" w:cs="宋体" w:eastAsia="宋体" w:hint="ascii"/>
          <w:sz w:val="21"/>
          <w:spacing w:val="-3"/>
        </w:rPr>
        <w:t>化交</w:t>
      </w:r>
      <w:r>
        <w:rPr>
          <w:rFonts w:ascii="宋体" w:hAnsi="宋体" w:cs="宋体" w:eastAsia="宋体" w:hint="ascii"/>
          <w:sz w:val="21"/>
          <w:spacing w:val="-4"/>
        </w:rPr>
        <w:t>通</w:t>
      </w:r>
      <w:r>
        <w:rPr>
          <w:rFonts w:ascii="宋体" w:hAnsi="宋体" w:cs="宋体" w:eastAsia="宋体" w:hint="ascii"/>
          <w:sz w:val="21"/>
          <w:spacing w:val="-3"/>
        </w:rPr>
        <w:t>资</w:t>
      </w:r>
      <w:r>
        <w:rPr>
          <w:rFonts w:ascii="宋体" w:hAnsi="宋体" w:cs="宋体" w:eastAsia="宋体" w:hint="ascii"/>
          <w:sz w:val="21"/>
          <w:spacing w:val="-4"/>
        </w:rPr>
        <w:t>源配</w:t>
      </w:r>
      <w:r>
        <w:rPr>
          <w:rFonts w:ascii="宋体" w:hAnsi="宋体" w:cs="宋体" w:eastAsia="宋体" w:hint="ascii"/>
          <w:sz w:val="21"/>
          <w:spacing w:val="-3"/>
        </w:rPr>
        <w:t>置和</w:t>
      </w:r>
      <w:r>
        <w:rPr>
          <w:rFonts w:ascii="宋体" w:hAnsi="宋体" w:cs="宋体" w:eastAsia="宋体" w:hint="ascii"/>
          <w:sz w:val="21"/>
          <w:spacing w:val="-1"/>
        </w:rPr>
        <w:t>服</w:t>
      </w:r>
      <w:r>
        <w:rPr>
          <w:rFonts w:ascii="宋体" w:hAnsi="宋体" w:cs="宋体" w:eastAsia="宋体" w:hint="ascii"/>
          <w:sz w:val="21"/>
        </w:rPr>
        <w:t xml:space="preserve"> </w:t>
      </w:r>
      <w:r>
        <w:rPr>
          <w:rFonts w:ascii="宋体" w:hAnsi="宋体" w:cs="宋体" w:eastAsia="宋体" w:hint="ascii"/>
          <w:sz w:val="21"/>
          <w:spacing w:val="-3"/>
        </w:rPr>
        <w:t>务，在“天河二号”超级计算机平台上实现千万级人群的感知、融合协同以及自主服务</w:t>
      </w:r>
      <w:r>
        <w:rPr>
          <w:rFonts w:ascii="宋体" w:hAnsi="宋体" w:cs="宋体" w:eastAsia="宋体" w:hint="ascii"/>
          <w:sz w:val="21"/>
        </w:rPr>
        <w:t>。</w:t>
      </w:r>
    </w:p>
    <w:p>
      <w:pPr>
        <w:autoSpaceDE w:val="0"/>
        <w:autoSpaceDN w:val="0"/>
        <w:jc w:val="left"/>
        <w:spacing w:before="40" w:after="0" w:lineRule="auto" w:line="240"/>
        <w:ind w:right="0" w:left="1649" w:hanging="263"/>
        <w:snapToGrid w:val="0"/>
        <w:textAlignment w:val="auto"/>
        <w:tabs>
          <w:tab w:val="left" w:leader="none" w:pos="1648"/>
        </w:tabs>
        <w:numPr>
          <w:ilvl w:val="0"/>
          <w:numId w:val="343"/>
        </w:numPr>
        <w:rPr>
          <w:rFonts w:ascii="Times New Roman" w:hAnsi="Times New Roman" w:cs="Times New Roman" w:eastAsia="Times New Roman" w:hint="ascii"/>
          <w:sz w:val="21"/>
        </w:rPr>
      </w:pPr>
      <w:r>
        <w:rPr>
          <w:rFonts w:ascii="宋体" w:hAnsi="宋体" w:cs="宋体" w:eastAsia="宋体" w:hint="ascii"/>
          <w:sz w:val="21"/>
        </w:rPr>
        <w:t>基于大数据的城市交通一体化协同技术集成与综合应用示范</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设计典型城市交通一体化系统协同规划方案，分别研发面向大规模路网的城市交通</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系统多尺度、</w:t>
      </w:r>
      <w:r>
        <w:rPr>
          <w:rFonts w:ascii="宋体" w:hAnsi="宋体" w:cs="宋体" w:eastAsia="宋体" w:hint="ascii"/>
          <w:sz w:val="21"/>
        </w:rPr>
        <w:t>在线仿真平台，实现从政策、规划、交通子系统到个体信息服务系统的仿</w:t>
      </w:r>
      <w:r>
        <w:rPr>
          <w:rFonts w:ascii="宋体" w:hAnsi="宋体" w:cs="宋体" w:eastAsia="宋体" w:hint="ascii"/>
          <w:sz w:val="21"/>
          <w:spacing w:val="-1"/>
        </w:rPr>
        <w:t>真和评估，汇</w:t>
      </w:r>
      <w:r>
        <w:rPr>
          <w:rFonts w:ascii="宋体" w:hAnsi="宋体" w:cs="宋体" w:eastAsia="宋体" w:hint="ascii"/>
          <w:sz w:val="21"/>
        </w:rPr>
        <w:t>集交通大数据处理分析方面的研究成果，依托“天河二号”超级计算机，</w:t>
      </w:r>
      <w:r>
        <w:rPr>
          <w:rFonts w:ascii="宋体" w:hAnsi="宋体" w:cs="宋体" w:eastAsia="宋体" w:hint="ascii"/>
          <w:sz w:val="21"/>
          <w:spacing w:val="-1"/>
        </w:rPr>
        <w:t>在两个以上典</w:t>
      </w:r>
      <w:r>
        <w:rPr>
          <w:rFonts w:ascii="宋体" w:hAnsi="宋体" w:cs="宋体" w:eastAsia="宋体" w:hint="ascii"/>
          <w:sz w:val="21"/>
        </w:rPr>
        <w:t>型城市地区进行实际验证和应用示范，实践千万级群体出行的需求感知、自主协同和智能决策。</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二、重点支持项目</w:t>
      </w:r>
    </w:p>
    <w:p>
      <w:pPr>
        <w:autoSpaceDE w:val="0"/>
        <w:autoSpaceDN w:val="0"/>
        <w:jc w:val="left"/>
        <w:spacing w:before="197" w:after="0" w:lineRule="auto" w:line="240"/>
        <w:ind w:right="0" w:left="138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2</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 xml:space="preserve">8 </w:t>
      </w:r>
      <w:r>
        <w:rPr>
          <w:rFonts w:ascii="宋体" w:hAnsi="宋体" w:cs="宋体" w:eastAsia="宋体" w:hint="ascii"/>
          <w:sz w:val="21"/>
        </w:rPr>
        <w:t xml:space="preserve">年度针对下述领域的 </w:t>
      </w:r>
      <w:r>
        <w:rPr>
          <w:rFonts w:ascii="Times New Roman" w:hAnsi="Times New Roman" w:cs="Times New Roman" w:eastAsia="Times New Roman" w:hint="ascii"/>
          <w:sz w:val="21"/>
        </w:rPr>
        <w:t xml:space="preserve">5 </w:t>
      </w:r>
      <w:r>
        <w:rPr>
          <w:rFonts w:ascii="宋体" w:hAnsi="宋体" w:cs="宋体" w:eastAsia="宋体" w:hint="ascii"/>
          <w:sz w:val="21"/>
        </w:rPr>
        <w:t>个研究方向资助重点支持项目。直接费用资助强度为</w:t>
      </w:r>
    </w:p>
    <w:p>
      <w:pPr>
        <w:autoSpaceDE w:val="0"/>
        <w:autoSpaceDN w:val="0"/>
        <w:jc w:val="left"/>
        <w:spacing w:before="57" w:after="0" w:lineRule="auto" w:line="240"/>
        <w:ind w:right="0" w:left="966"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spacing w:val="1"/>
        </w:rPr>
        <w:t>4</w:t>
      </w:r>
      <w:r>
        <w:rPr>
          <w:rFonts w:ascii="Times New Roman" w:hAnsi="Times New Roman" w:cs="Times New Roman" w:eastAsia="Times New Roman" w:hint="ascii"/>
          <w:sz w:val="21"/>
          <w:spacing w:val="-1"/>
        </w:rPr>
        <w:t>0</w:t>
      </w:r>
      <w:r>
        <w:rPr>
          <w:rFonts w:ascii="Times New Roman" w:hAnsi="Times New Roman" w:cs="Times New Roman" w:eastAsia="Times New Roman" w:hint="ascii"/>
          <w:sz w:val="21"/>
          <w:spacing w:val="52"/>
        </w:rPr>
        <w:t>0</w:t>
      </w:r>
      <w:r>
        <w:rPr>
          <w:rFonts w:ascii="宋体" w:hAnsi="宋体" w:cs="宋体" w:eastAsia="宋体" w:hint="ascii"/>
          <w:sz w:val="21"/>
        </w:rPr>
        <w:t>万</w:t>
      </w:r>
      <w:r>
        <w:rPr>
          <w:rFonts w:ascii="宋体" w:hAnsi="宋体" w:cs="宋体" w:eastAsia="宋体" w:hint="ascii"/>
          <w:sz w:val="21"/>
        </w:rPr>
        <w:t>～</w:t>
      </w:r>
      <w:r>
        <w:rPr>
          <w:rFonts w:ascii="Times New Roman" w:hAnsi="Times New Roman" w:cs="Times New Roman" w:eastAsia="Times New Roman" w:hint="ascii"/>
          <w:sz w:val="21"/>
        </w:rPr>
        <w:t>60</w:t>
      </w:r>
      <w:r>
        <w:rPr>
          <w:rFonts w:ascii="Times New Roman" w:hAnsi="Times New Roman" w:cs="Times New Roman" w:eastAsia="Times New Roman" w:hint="ascii"/>
          <w:sz w:val="21"/>
          <w:spacing w:val="52"/>
        </w:rPr>
        <w:t>0</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w:t>
      </w:r>
      <w:r>
        <w:rPr>
          <w:rFonts w:ascii="宋体" w:hAnsi="宋体" w:cs="宋体" w:eastAsia="宋体" w:hint="ascii"/>
          <w:sz w:val="21"/>
          <w:spacing w:val="26"/>
        </w:rPr>
        <w:t>为</w:t>
      </w:r>
      <w:r>
        <w:rPr>
          <w:rFonts w:ascii="Times New Roman" w:hAnsi="Times New Roman" w:cs="Times New Roman" w:eastAsia="Times New Roman" w:hint="ascii"/>
          <w:sz w:val="21"/>
          <w:spacing w:val="52"/>
        </w:rPr>
        <w:t>4</w:t>
      </w:r>
      <w:r>
        <w:rPr>
          <w:rFonts w:ascii="宋体" w:hAnsi="宋体" w:cs="宋体" w:eastAsia="宋体" w:hint="ascii"/>
          <w:sz w:val="21"/>
        </w:rPr>
        <w:t>年。合作研究单位不得超</w:t>
      </w:r>
      <w:r>
        <w:rPr>
          <w:rFonts w:ascii="宋体" w:hAnsi="宋体" w:cs="宋体" w:eastAsia="宋体" w:hint="ascii"/>
          <w:sz w:val="21"/>
          <w:spacing w:val="26"/>
        </w:rPr>
        <w:t>过</w:t>
      </w:r>
      <w:r>
        <w:rPr>
          <w:rFonts w:ascii="Times New Roman" w:hAnsi="Times New Roman" w:cs="Times New Roman" w:eastAsia="Times New Roman" w:hint="ascii"/>
          <w:sz w:val="21"/>
          <w:spacing w:val="52"/>
        </w:rPr>
        <w:t>2</w:t>
      </w:r>
      <w:r>
        <w:rPr>
          <w:rFonts w:ascii="宋体" w:hAnsi="宋体" w:cs="宋体" w:eastAsia="宋体" w:hint="ascii"/>
          <w:sz w:val="21"/>
        </w:rPr>
        <w:t>个。</w:t>
      </w:r>
    </w:p>
    <w:p>
      <w:pPr>
        <w:autoSpaceDE w:val="0"/>
        <w:autoSpaceDN w:val="0"/>
        <w:jc w:val="left"/>
        <w:spacing w:before="5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重点支持项目申请人应当具有承担基础研究课题或者其他从事基础研究的经历；具</w:t>
      </w:r>
    </w:p>
    <w:p>
      <w:pPr>
        <w:autoSpaceDE w:val="0"/>
        <w:autoSpaceDN w:val="0"/>
        <w:jc w:val="both"/>
        <w:spacing w:before="10" w:after="0" w:lineRule="exact" w:line="312"/>
        <w:ind w:right="963" w:left="966" w:firstLine="0"/>
        <w:snapToGrid w:val="0"/>
        <w:textAlignment w:val="auto"/>
        <w:tabs/>
        <w:rPr>
          <w:rFonts w:ascii="宋体" w:hAnsi="宋体" w:cs="宋体" w:eastAsia="宋体" w:hint="ascii"/>
          <w:sz w:val="21"/>
        </w:rPr>
      </w:pPr>
      <w:r>
        <w:rPr>
          <w:rFonts w:ascii="宋体" w:hAnsi="宋体" w:cs="宋体" w:eastAsia="宋体" w:hint="ascii"/>
          <w:sz w:val="21"/>
        </w:rPr>
        <w:t>有高级专业技术职务（职称</w:t>
      </w:r>
      <w:r>
        <w:rPr>
          <w:rFonts w:ascii="宋体" w:hAnsi="宋体" w:cs="宋体" w:eastAsia="宋体" w:hint="ascii"/>
          <w:sz w:val="21"/>
          <w:spacing w:val="-52"/>
        </w:rPr>
        <w:t>）</w:t>
      </w:r>
      <w:r>
        <w:rPr>
          <w:rFonts w:ascii="宋体" w:hAnsi="宋体" w:cs="宋体" w:eastAsia="宋体" w:hint="ascii"/>
          <w:sz w:val="21"/>
        </w:rPr>
        <w:t>。在站博士后研究人员以及正在攻读研究生学位的人员不得申请。</w:t>
      </w:r>
    </w:p>
    <w:p>
      <w:pPr>
        <w:autoSpaceDE w:val="0"/>
        <w:autoSpaceDN w:val="0"/>
        <w:jc w:val="left"/>
        <w:spacing w:before="1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资助领域五：教育大数据分析与应用的基础理论与关键技术研究。</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面向我国从人口大国向人才强国发展的重大需求，围绕国家“推动信息技术与教育</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的融合创新</w:t>
      </w:r>
      <w:r>
        <w:rPr>
          <w:rFonts w:ascii="宋体" w:hAnsi="宋体" w:cs="宋体" w:eastAsia="宋体" w:hint="ascii"/>
          <w:sz w:val="21"/>
        </w:rPr>
        <w:t>发展”和“建设教育文化大数据”的发展战略，瞄准大数据在教育管理、教</w:t>
      </w:r>
      <w:r>
        <w:rPr>
          <w:rFonts w:ascii="宋体" w:hAnsi="宋体" w:cs="宋体" w:eastAsia="宋体" w:hint="ascii"/>
          <w:sz w:val="21"/>
          <w:spacing w:val="-1"/>
        </w:rPr>
        <w:t>学内容、教</w:t>
      </w:r>
      <w:r>
        <w:rPr>
          <w:rFonts w:ascii="宋体" w:hAnsi="宋体" w:cs="宋体" w:eastAsia="宋体" w:hint="ascii"/>
          <w:sz w:val="21"/>
        </w:rPr>
        <w:t>学手段、教学方法和教学评价等教育全过程中的分析与应用关键问题，汇聚</w:t>
      </w:r>
      <w:r>
        <w:rPr>
          <w:rFonts w:ascii="宋体" w:hAnsi="宋体" w:cs="宋体" w:eastAsia="宋体" w:hint="ascii"/>
          <w:sz w:val="21"/>
          <w:spacing w:val="-1"/>
        </w:rPr>
        <w:t>丰富的教育</w:t>
      </w:r>
      <w:r>
        <w:rPr>
          <w:rFonts w:ascii="宋体" w:hAnsi="宋体" w:cs="宋体" w:eastAsia="宋体" w:hint="ascii"/>
          <w:sz w:val="21"/>
        </w:rPr>
        <w:t>大数据，依托“天河二号”大规模计算平台，结合高性能计算技术从宏观、</w:t>
      </w:r>
      <w:r>
        <w:rPr>
          <w:rFonts w:ascii="宋体" w:hAnsi="宋体" w:cs="宋体" w:eastAsia="宋体" w:hint="ascii"/>
          <w:sz w:val="21"/>
          <w:spacing w:val="-1"/>
        </w:rPr>
        <w:t>中观、微观</w:t>
      </w:r>
      <w:r>
        <w:rPr>
          <w:rFonts w:ascii="宋体" w:hAnsi="宋体" w:cs="宋体" w:eastAsia="宋体" w:hint="ascii"/>
          <w:sz w:val="21"/>
        </w:rPr>
        <w:t>三个层面开展教育大数据分析与应用的基础理论与关键技术研究，实现教育</w:t>
      </w:r>
      <w:r>
        <w:rPr>
          <w:rFonts w:ascii="宋体" w:hAnsi="宋体" w:cs="宋体" w:eastAsia="宋体" w:hint="ascii"/>
          <w:sz w:val="21"/>
          <w:spacing w:val="-1"/>
        </w:rPr>
        <w:t>管理决策的</w:t>
      </w:r>
      <w:r>
        <w:rPr>
          <w:rFonts w:ascii="宋体" w:hAnsi="宋体" w:cs="宋体" w:eastAsia="宋体" w:hint="ascii"/>
          <w:sz w:val="21"/>
        </w:rPr>
        <w:t>科学化、教学内容和教学方式的个性化，以及教育评价的精准化发展。通过</w:t>
      </w:r>
      <w:r>
        <w:rPr>
          <w:rFonts w:ascii="宋体" w:hAnsi="宋体" w:cs="宋体" w:eastAsia="宋体" w:hint="ascii"/>
          <w:sz w:val="21"/>
          <w:spacing w:val="-1"/>
        </w:rPr>
        <w:t>对关键技术</w:t>
      </w:r>
      <w:r>
        <w:rPr>
          <w:rFonts w:ascii="宋体" w:hAnsi="宋体" w:cs="宋体" w:eastAsia="宋体" w:hint="ascii"/>
          <w:sz w:val="21"/>
        </w:rPr>
        <w:t>进行集成，基于“天河二号”超级计算机，构建面向特定学科领域的大规模</w:t>
      </w:r>
      <w:r>
        <w:rPr>
          <w:rFonts w:ascii="宋体" w:hAnsi="宋体" w:cs="宋体" w:eastAsia="宋体" w:hint="ascii"/>
          <w:sz w:val="21"/>
          <w:spacing w:val="-1"/>
        </w:rPr>
        <w:t>公共教育大</w:t>
      </w:r>
      <w:r>
        <w:rPr>
          <w:rFonts w:ascii="宋体" w:hAnsi="宋体" w:cs="宋体" w:eastAsia="宋体" w:hint="ascii"/>
          <w:sz w:val="21"/>
        </w:rPr>
        <w:t>数据服务平台。本领域从基础理论、方法技术和示范平台三个层面，包含以下五个研究方向：</w:t>
      </w:r>
    </w:p>
    <w:p>
      <w:pPr>
        <w:autoSpaceDE w:val="0"/>
        <w:autoSpaceDN w:val="0"/>
        <w:jc w:val="left"/>
        <w:spacing w:before="40" w:after="0" w:lineRule="auto" w:line="240"/>
        <w:ind w:right="0" w:left="1649" w:hanging="263"/>
        <w:snapToGrid w:val="0"/>
        <w:textAlignment w:val="auto"/>
        <w:tabs>
          <w:tab w:val="left" w:leader="none" w:pos="1648"/>
        </w:tabs>
        <w:numPr>
          <w:ilvl w:val="0"/>
          <w:numId w:val="344"/>
        </w:numPr>
        <w:rPr>
          <w:rFonts w:ascii="Times New Roman" w:hAnsi="Times New Roman" w:cs="Times New Roman" w:eastAsia="Times New Roman" w:hint="ascii"/>
          <w:sz w:val="21"/>
        </w:rPr>
      </w:pPr>
      <w:r>
        <w:rPr>
          <w:rFonts w:ascii="宋体" w:hAnsi="宋体" w:cs="宋体" w:eastAsia="宋体" w:hint="ascii"/>
          <w:sz w:val="21"/>
        </w:rPr>
        <w:t>大数据驱动的计算教育学理论与方法研究</w:t>
      </w:r>
    </w:p>
    <w:p>
      <w:pPr>
        <w:autoSpaceDE w:val="0"/>
        <w:autoSpaceDN w:val="0"/>
        <w:jc w:val="left"/>
        <w:spacing w:before="57" w:after="0" w:lineRule="auto" w:line="240"/>
        <w:ind w:right="0" w:left="1649" w:hanging="263"/>
        <w:snapToGrid w:val="0"/>
        <w:textAlignment w:val="auto"/>
        <w:tabs>
          <w:tab w:val="left" w:leader="none" w:pos="1648"/>
        </w:tabs>
        <w:numPr>
          <w:ilvl w:val="0"/>
          <w:numId w:val="344"/>
        </w:numPr>
        <w:rPr>
          <w:rFonts w:ascii="Times New Roman" w:hAnsi="Times New Roman" w:cs="Times New Roman" w:eastAsia="Times New Roman" w:hint="ascii"/>
          <w:sz w:val="21"/>
        </w:rPr>
      </w:pPr>
      <w:r>
        <w:rPr>
          <w:rFonts w:ascii="宋体" w:hAnsi="宋体" w:cs="宋体" w:eastAsia="宋体" w:hint="ascii"/>
          <w:sz w:val="21"/>
        </w:rPr>
        <w:t>教育大数据的获取、管理与知识构建方法研究</w:t>
      </w:r>
    </w:p>
    <w:p>
      <w:pPr>
        <w:autoSpaceDE w:val="0"/>
        <w:autoSpaceDN w:val="0"/>
        <w:jc w:val="left"/>
        <w:spacing w:before="57" w:after="0" w:lineRule="auto" w:line="240"/>
        <w:ind w:right="0" w:left="1649" w:hanging="263"/>
        <w:snapToGrid w:val="0"/>
        <w:textAlignment w:val="auto"/>
        <w:tabs>
          <w:tab w:val="left" w:leader="none" w:pos="1648"/>
        </w:tabs>
        <w:numPr>
          <w:ilvl w:val="0"/>
          <w:numId w:val="344"/>
        </w:numPr>
        <w:rPr>
          <w:rFonts w:ascii="Times New Roman" w:hAnsi="Times New Roman" w:cs="Times New Roman" w:eastAsia="Times New Roman" w:hint="ascii"/>
          <w:sz w:val="21"/>
        </w:rPr>
      </w:pPr>
      <w:r>
        <w:rPr>
          <w:rFonts w:ascii="宋体" w:hAnsi="宋体" w:cs="宋体" w:eastAsia="宋体" w:hint="ascii"/>
          <w:sz w:val="21"/>
        </w:rPr>
        <w:t>基于大数据的精准教学评价与学习行为预测方法研究</w:t>
      </w:r>
    </w:p>
    <w:p>
      <w:pPr>
        <w:autoSpaceDE w:val="0"/>
        <w:autoSpaceDN w:val="0"/>
        <w:jc w:val="left"/>
        <w:spacing w:before="57" w:after="0" w:lineRule="auto" w:line="240"/>
        <w:ind w:right="0" w:left="1649" w:hanging="263"/>
        <w:snapToGrid w:val="0"/>
        <w:textAlignment w:val="auto"/>
        <w:tabs>
          <w:tab w:val="left" w:leader="none" w:pos="1648"/>
        </w:tabs>
        <w:numPr>
          <w:ilvl w:val="0"/>
          <w:numId w:val="344"/>
        </w:numPr>
        <w:rPr>
          <w:rFonts w:ascii="Times New Roman" w:hAnsi="Times New Roman" w:cs="Times New Roman" w:eastAsia="Times New Roman" w:hint="ascii"/>
          <w:sz w:val="21"/>
        </w:rPr>
      </w:pPr>
      <w:r>
        <w:rPr>
          <w:rFonts w:ascii="宋体" w:hAnsi="宋体" w:cs="宋体" w:eastAsia="宋体" w:hint="ascii"/>
          <w:sz w:val="21"/>
        </w:rPr>
        <w:t>基于大数据的交互式个性化教学环境构建方法研究</w:t>
      </w:r>
    </w:p>
    <w:p>
      <w:pPr>
        <w:autoSpaceDE w:val="0"/>
        <w:autoSpaceDN w:val="0"/>
        <w:jc w:val="left"/>
        <w:spacing w:before="57" w:after="0" w:lineRule="auto" w:line="240"/>
        <w:ind w:right="0" w:left="1649" w:hanging="263"/>
        <w:snapToGrid w:val="0"/>
        <w:textAlignment w:val="auto"/>
        <w:tabs>
          <w:tab w:val="left" w:leader="none" w:pos="1648"/>
        </w:tabs>
        <w:numPr>
          <w:ilvl w:val="0"/>
          <w:numId w:val="344"/>
        </w:numPr>
        <w:rPr>
          <w:rFonts w:ascii="Times New Roman" w:hAnsi="Times New Roman" w:cs="Times New Roman" w:eastAsia="Times New Roman" w:hint="ascii"/>
          <w:sz w:val="21"/>
        </w:rPr>
      </w:pPr>
      <w:r>
        <w:rPr>
          <w:rFonts w:ascii="宋体" w:hAnsi="宋体" w:cs="宋体" w:eastAsia="宋体" w:hint="ascii"/>
          <w:sz w:val="21"/>
        </w:rPr>
        <w:t>基于“天河二号”超级计算机的教育大数据公共服务平台建设方法与技术研究</w:t>
      </w:r>
    </w:p>
    <w:p>
      <w:pPr>
        <w:autoSpaceDE w:val="0"/>
        <w:autoSpaceDN w:val="0"/>
        <w:jc w:val="left"/>
        <w:spacing w:before="181"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left"/>
        <w:spacing w:before="198"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both"/>
        <w:spacing w:before="10" w:after="0" w:lineRule="exact" w:line="312"/>
        <w:ind w:right="978" w:left="966" w:firstLine="316"/>
        <w:snapToGrid w:val="0"/>
        <w:textAlignment w:val="auto"/>
        <w:tabs/>
        <w:rPr>
          <w:rFonts w:ascii="宋体" w:hAnsi="宋体" w:cs="宋体" w:eastAsia="宋体" w:hint="ascii"/>
          <w:sz w:val="21"/>
        </w:rPr>
      </w:pPr>
      <w:r>
        <w:rPr>
          <w:rFonts w:ascii="宋体" w:hAnsi="宋体" w:cs="宋体" w:eastAsia="宋体" w:hint="ascii"/>
          <w:sz w:val="21"/>
          <w:spacing w:val="-1"/>
        </w:rPr>
        <w:t>（</w:t>
      </w:r>
      <w:r>
        <w:rPr>
          <w:rFonts w:ascii="Times New Roman" w:hAnsi="Times New Roman" w:cs="Times New Roman" w:eastAsia="Times New Roman" w:hint="ascii"/>
          <w:sz w:val="21"/>
          <w:spacing w:val="-1"/>
        </w:rPr>
        <w:t>2</w:t>
      </w:r>
      <w:r>
        <w:rPr>
          <w:rFonts w:ascii="宋体" w:hAnsi="宋体" w:cs="宋体" w:eastAsia="宋体" w:hint="ascii"/>
          <w:sz w:val="21"/>
          <w:spacing w:val="-1"/>
        </w:rPr>
        <w:t>）依托单</w:t>
      </w:r>
      <w:r>
        <w:rPr>
          <w:rFonts w:ascii="宋体" w:hAnsi="宋体" w:cs="宋体" w:eastAsia="宋体" w:hint="ascii"/>
          <w:sz w:val="21"/>
        </w:rPr>
        <w:t>位和合作研究单位应当拥有可共享的科研大数据集，具有良好的大数据研究基础。</w:t>
      </w:r>
    </w:p>
    <w:p>
      <w:pPr>
        <w:autoSpaceDE w:val="0"/>
        <w:autoSpaceDN w:val="0"/>
        <w:jc w:val="left"/>
        <w:spacing w:before="280"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）申请项目应当依托“天河二号”超级计算机开展研究，并将中山大学作为合作</w:t>
      </w:r>
      <w:r>
        <w:rPr>
          <w:rFonts w:ascii="宋体" w:hAnsi="宋体" w:cs="宋体" w:eastAsia="宋体" w:hint="ascii"/>
          <w:sz w:val="21"/>
        </w:rPr>
        <mc:AlternateContent>
          <mc:Choice Requires="wps">
            <w:drawing>
              <wp:anchor distL="0" distR="0" distT="0" distB="0" simplePos="0" behindDoc="1" relativeHeight="322" locked="0" layoutInCell="1" allowOverlap="1">
                <wp:simplePos x="0" y="0"/>
                <wp:positionH relativeFrom="page">
                  <wp:posOffset>938530</wp:posOffset>
                </wp:positionH>
                <wp:positionV relativeFrom="page">
                  <wp:posOffset>805815</wp:posOffset>
                </wp:positionV>
                <wp:extent cx="5076190" cy="0"/>
                <wp:wrapNone/>
                <wp:docPr id="1349" name="134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28512;width:399.70pt;" id="134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10" w:after="0" w:lineRule="exact" w:line="320"/>
        <w:ind w:right="975" w:left="966" w:firstLine="0"/>
        <w:snapToGrid w:val="0"/>
        <w:textAlignment w:val="auto"/>
        <w:tabs/>
        <w:rPr>
          <w:rFonts w:ascii="宋体" w:hAnsi="宋体" w:cs="宋体" w:eastAsia="宋体" w:hint="ascii"/>
          <w:sz w:val="21"/>
        </w:rPr>
      </w:pPr>
      <w:r>
        <w:rPr>
          <w:rFonts w:ascii="宋体" w:hAnsi="宋体" w:cs="宋体" w:eastAsia="宋体" w:hint="ascii"/>
          <w:sz w:val="21"/>
        </w:rPr>
        <w:t>研究单位之一（国家超级计算广州中心由中山大学管理</w:t>
      </w:r>
      <w:r>
        <w:rPr>
          <w:rFonts w:ascii="宋体" w:hAnsi="宋体" w:cs="宋体" w:eastAsia="宋体" w:hint="ascii"/>
          <w:sz w:val="21"/>
          <w:spacing w:val="-52"/>
        </w:rPr>
        <w:t>）</w:t>
      </w:r>
      <w:r>
        <w:rPr>
          <w:rFonts w:ascii="宋体" w:hAnsi="宋体" w:cs="宋体" w:eastAsia="宋体" w:hint="ascii"/>
          <w:sz w:val="21"/>
        </w:rPr>
        <w:t>；鼓励申请人与广东省境内具</w:t>
      </w:r>
      <w:r>
        <w:rPr>
          <w:rFonts w:ascii="宋体" w:hAnsi="宋体" w:cs="宋体" w:eastAsia="宋体" w:hint="ascii"/>
          <w:sz w:val="21"/>
          <w:spacing w:val="-1"/>
        </w:rPr>
        <w:t>有一定研</w:t>
      </w:r>
      <w:r>
        <w:rPr>
          <w:rFonts w:ascii="宋体" w:hAnsi="宋体" w:cs="宋体" w:eastAsia="宋体" w:hint="ascii"/>
          <w:sz w:val="21"/>
        </w:rPr>
        <w:t>究实力的高等院校及其附属医院或研究机构开展合作研究。项目申请书中应当</w:t>
      </w:r>
      <w:r>
        <w:rPr>
          <w:rFonts w:ascii="宋体" w:hAnsi="宋体" w:cs="宋体" w:eastAsia="宋体" w:hint="ascii"/>
          <w:sz w:val="21"/>
          <w:spacing w:val="-1"/>
        </w:rPr>
        <w:t>明确与合</w:t>
      </w:r>
      <w:r>
        <w:rPr>
          <w:rFonts w:ascii="宋体" w:hAnsi="宋体" w:cs="宋体" w:eastAsia="宋体" w:hint="ascii"/>
          <w:sz w:val="21"/>
        </w:rPr>
        <w:t>作研究单位的合作内容、主要分工和经费预算等。其中，中山大学作为合作研</w:t>
      </w:r>
      <w:r>
        <w:rPr>
          <w:rFonts w:ascii="宋体" w:hAnsi="宋体" w:cs="宋体" w:eastAsia="宋体" w:hint="ascii"/>
          <w:sz w:val="21"/>
          <w:spacing w:val="-1"/>
        </w:rPr>
        <w:t>究单位的</w:t>
      </w:r>
      <w:r>
        <w:rPr>
          <w:rFonts w:ascii="宋体" w:hAnsi="宋体" w:cs="宋体" w:eastAsia="宋体" w:hint="ascii"/>
          <w:sz w:val="21"/>
        </w:rPr>
        <w:t xml:space="preserve">经费，以及用于“天河二号”超级计算机开展计算的经费预算，合计不低于大数据项目经费的 </w:t>
      </w:r>
      <w:r>
        <w:rPr>
          <w:rFonts w:ascii="Times New Roman" w:hAnsi="Times New Roman" w:cs="Times New Roman" w:eastAsia="Times New Roman" w:hint="ascii"/>
          <w:sz w:val="21"/>
        </w:rPr>
        <w:t>50%</w:t>
      </w:r>
      <w:r>
        <w:rPr>
          <w:rFonts w:ascii="宋体" w:hAnsi="宋体" w:cs="宋体" w:eastAsia="宋体" w:hint="ascii"/>
          <w:sz w:val="21"/>
        </w:rPr>
        <w:t>。项目实施过程中产生的科学数据应当汇交至“天河二号”超级计算机上实施计算与科学研究；相关科学数据和研究成果应当开放共享。</w:t>
      </w:r>
    </w:p>
    <w:p>
      <w:pPr>
        <w:autoSpaceDE w:val="0"/>
        <w:autoSpaceDN w:val="0"/>
        <w:jc w:val="left"/>
        <w:spacing w:before="4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）申请书中的资助类别选择“联合基金项目</w:t>
      </w:r>
      <w:r>
        <w:rPr>
          <w:rFonts w:ascii="宋体" w:hAnsi="宋体" w:cs="宋体" w:eastAsia="宋体" w:hint="ascii"/>
          <w:sz w:val="21"/>
          <w:spacing w:val="-52"/>
        </w:rPr>
        <w:t>”</w:t>
      </w:r>
      <w:r>
        <w:rPr>
          <w:rFonts w:ascii="宋体" w:hAnsi="宋体" w:cs="宋体" w:eastAsia="宋体" w:hint="ascii"/>
          <w:sz w:val="21"/>
        </w:rPr>
        <w:t>，亚类说明选择“中心项目（</w:t>
      </w:r>
      <w:r>
        <w:rPr>
          <w:rFonts w:ascii="Times New Roman" w:hAnsi="Times New Roman" w:cs="Times New Roman" w:eastAsia="Times New Roman" w:hint="ascii"/>
          <w:sz w:val="21"/>
        </w:rPr>
        <w:t>X</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12" w:after="0" w:lineRule="exact" w:line="320"/>
        <w:ind w:right="975" w:left="966" w:firstLine="0"/>
        <w:snapToGrid w:val="0"/>
        <w:textAlignment w:val="auto"/>
        <w:tabs/>
        <w:rPr>
          <w:rFonts w:ascii="宋体" w:hAnsi="宋体" w:cs="宋体" w:eastAsia="宋体" w:hint="ascii"/>
          <w:sz w:val="21"/>
        </w:rPr>
      </w:pPr>
      <w:r>
        <w:rPr>
          <w:rFonts w:ascii="宋体" w:hAnsi="宋体" w:cs="宋体" w:eastAsia="宋体" w:hint="ascii"/>
          <w:sz w:val="21"/>
          <w:spacing w:val="4"/>
        </w:rPr>
        <w:t>或“</w:t>
      </w:r>
      <w:r>
        <w:rPr>
          <w:rFonts w:ascii="宋体" w:hAnsi="宋体" w:cs="宋体" w:eastAsia="宋体" w:hint="ascii"/>
          <w:sz w:val="21"/>
          <w:spacing w:val="3"/>
        </w:rPr>
        <w:t>重</w:t>
      </w:r>
      <w:r>
        <w:rPr>
          <w:rFonts w:ascii="宋体" w:hAnsi="宋体" w:cs="宋体" w:eastAsia="宋体" w:hint="ascii"/>
          <w:sz w:val="21"/>
          <w:spacing w:val="4"/>
        </w:rPr>
        <w:t>点</w:t>
      </w:r>
      <w:r>
        <w:rPr>
          <w:rFonts w:ascii="宋体" w:hAnsi="宋体" w:cs="宋体" w:eastAsia="宋体" w:hint="ascii"/>
          <w:sz w:val="21"/>
          <w:spacing w:val="3"/>
        </w:rPr>
        <w:t>支</w:t>
      </w:r>
      <w:r>
        <w:rPr>
          <w:rFonts w:ascii="宋体" w:hAnsi="宋体" w:cs="宋体" w:eastAsia="宋体" w:hint="ascii"/>
          <w:sz w:val="21"/>
          <w:spacing w:val="4"/>
        </w:rPr>
        <w:t>持项目</w:t>
      </w:r>
      <w:r>
        <w:rPr>
          <w:rFonts w:ascii="宋体" w:hAnsi="宋体" w:cs="宋体" w:eastAsia="宋体" w:hint="ascii"/>
          <w:sz w:val="21"/>
          <w:spacing w:val="-50"/>
        </w:rPr>
        <w:t>”</w:t>
      </w:r>
      <w:r>
        <w:rPr>
          <w:rFonts w:ascii="宋体" w:hAnsi="宋体" w:cs="宋体" w:eastAsia="宋体" w:hint="ascii"/>
          <w:sz w:val="21"/>
          <w:spacing w:val="4"/>
        </w:rPr>
        <w:t>，</w:t>
      </w:r>
      <w:r>
        <w:rPr>
          <w:rFonts w:ascii="宋体" w:hAnsi="宋体" w:cs="宋体" w:eastAsia="宋体" w:hint="ascii"/>
          <w:sz w:val="21"/>
          <w:spacing w:val="3"/>
        </w:rPr>
        <w:t>附</w:t>
      </w:r>
      <w:r>
        <w:rPr>
          <w:rFonts w:ascii="宋体" w:hAnsi="宋体" w:cs="宋体" w:eastAsia="宋体" w:hint="ascii"/>
          <w:sz w:val="21"/>
          <w:spacing w:val="4"/>
        </w:rPr>
        <w:t>注说</w:t>
      </w:r>
      <w:r>
        <w:rPr>
          <w:rFonts w:ascii="宋体" w:hAnsi="宋体" w:cs="宋体" w:eastAsia="宋体" w:hint="ascii"/>
          <w:sz w:val="21"/>
          <w:spacing w:val="3"/>
        </w:rPr>
        <w:t>明</w:t>
      </w:r>
      <w:r>
        <w:rPr>
          <w:rFonts w:ascii="宋体" w:hAnsi="宋体" w:cs="宋体" w:eastAsia="宋体" w:hint="ascii"/>
          <w:sz w:val="21"/>
          <w:spacing w:val="4"/>
        </w:rPr>
        <w:t>选</w:t>
      </w:r>
      <w:r>
        <w:rPr>
          <w:rFonts w:ascii="宋体" w:hAnsi="宋体" w:cs="宋体" w:eastAsia="宋体" w:hint="ascii"/>
          <w:sz w:val="21"/>
          <w:spacing w:val="3"/>
        </w:rPr>
        <w:t>择</w:t>
      </w:r>
      <w:r>
        <w:rPr>
          <w:rFonts w:ascii="宋体" w:hAnsi="宋体" w:cs="宋体" w:eastAsia="宋体" w:hint="ascii"/>
          <w:sz w:val="21"/>
          <w:spacing w:val="4"/>
        </w:rPr>
        <w:t>“</w:t>
      </w:r>
      <w:r>
        <w:rPr>
          <w:rFonts w:ascii="Times New Roman" w:hAnsi="Times New Roman" w:cs="Times New Roman" w:eastAsia="Times New Roman" w:hint="ascii"/>
          <w:sz w:val="21"/>
        </w:rPr>
        <w:t>NSFC</w:t>
      </w:r>
      <w:r>
        <w:rPr>
          <w:rFonts w:ascii="宋体" w:hAnsi="宋体" w:cs="宋体" w:eastAsia="宋体" w:hint="ascii"/>
          <w:sz w:val="21"/>
          <w:spacing w:val="9"/>
        </w:rPr>
        <w:t>-</w:t>
      </w:r>
      <w:r>
        <w:rPr>
          <w:rFonts w:ascii="宋体" w:hAnsi="宋体" w:cs="宋体" w:eastAsia="宋体" w:hint="ascii"/>
          <w:sz w:val="21"/>
          <w:spacing w:val="4"/>
        </w:rPr>
        <w:t>广东大</w:t>
      </w:r>
      <w:r>
        <w:rPr>
          <w:rFonts w:ascii="宋体" w:hAnsi="宋体" w:cs="宋体" w:eastAsia="宋体" w:hint="ascii"/>
          <w:sz w:val="21"/>
          <w:spacing w:val="3"/>
        </w:rPr>
        <w:t>数</w:t>
      </w:r>
      <w:r>
        <w:rPr>
          <w:rFonts w:ascii="宋体" w:hAnsi="宋体" w:cs="宋体" w:eastAsia="宋体" w:hint="ascii"/>
          <w:sz w:val="21"/>
          <w:spacing w:val="4"/>
        </w:rPr>
        <w:t>据</w:t>
      </w:r>
      <w:r>
        <w:rPr>
          <w:rFonts w:ascii="宋体" w:hAnsi="宋体" w:cs="宋体" w:eastAsia="宋体" w:hint="ascii"/>
          <w:sz w:val="21"/>
          <w:spacing w:val="3"/>
        </w:rPr>
        <w:t>科</w:t>
      </w:r>
      <w:r>
        <w:rPr>
          <w:rFonts w:ascii="宋体" w:hAnsi="宋体" w:cs="宋体" w:eastAsia="宋体" w:hint="ascii"/>
          <w:sz w:val="21"/>
          <w:spacing w:val="4"/>
        </w:rPr>
        <w:t>学中</w:t>
      </w:r>
      <w:r>
        <w:rPr>
          <w:rFonts w:ascii="宋体" w:hAnsi="宋体" w:cs="宋体" w:eastAsia="宋体" w:hint="ascii"/>
          <w:sz w:val="21"/>
          <w:spacing w:val="3"/>
        </w:rPr>
        <w:t>心</w:t>
      </w:r>
      <w:r>
        <w:rPr>
          <w:rFonts w:ascii="宋体" w:hAnsi="宋体" w:cs="宋体" w:eastAsia="宋体" w:hint="ascii"/>
          <w:sz w:val="21"/>
          <w:spacing w:val="4"/>
        </w:rPr>
        <w:t>项目</w:t>
      </w:r>
      <w:r>
        <w:rPr>
          <w:rFonts w:ascii="宋体" w:hAnsi="宋体" w:cs="宋体" w:eastAsia="宋体" w:hint="ascii"/>
          <w:sz w:val="21"/>
          <w:spacing w:val="-50"/>
        </w:rPr>
        <w:t>”</w:t>
      </w:r>
      <w:r>
        <w:rPr>
          <w:rFonts w:ascii="宋体" w:hAnsi="宋体" w:cs="宋体" w:eastAsia="宋体" w:hint="ascii"/>
          <w:sz w:val="21"/>
          <w:spacing w:val="-49"/>
        </w:rPr>
        <w:t>，</w:t>
      </w:r>
      <w:r>
        <w:rPr>
          <w:rFonts w:ascii="宋体" w:hAnsi="宋体" w:cs="宋体" w:eastAsia="宋体" w:hint="ascii"/>
          <w:sz w:val="21"/>
          <w:spacing w:val="4"/>
        </w:rPr>
        <w:t>“申</w:t>
      </w:r>
      <w:r>
        <w:rPr>
          <w:rFonts w:ascii="宋体" w:hAnsi="宋体" w:cs="宋体" w:eastAsia="宋体" w:hint="ascii"/>
          <w:sz w:val="21"/>
          <w:spacing w:val="3"/>
        </w:rPr>
        <w:t>请</w:t>
      </w:r>
      <w:r>
        <w:rPr>
          <w:rFonts w:ascii="宋体" w:hAnsi="宋体" w:cs="宋体" w:eastAsia="宋体" w:hint="ascii"/>
          <w:sz w:val="21"/>
          <w:spacing w:val="4"/>
        </w:rPr>
        <w:t>代</w:t>
      </w:r>
      <w:r>
        <w:rPr>
          <w:rFonts w:ascii="宋体" w:hAnsi="宋体" w:cs="宋体" w:eastAsia="宋体" w:hint="ascii"/>
          <w:sz w:val="21"/>
        </w:rPr>
        <w:t>码</w:t>
      </w:r>
      <w:r>
        <w:rPr>
          <w:rFonts w:ascii="Times New Roman" w:hAnsi="Times New Roman" w:cs="Times New Roman" w:eastAsia="Times New Roman" w:hint="ascii"/>
          <w:sz w:val="21"/>
        </w:rPr>
        <w:t>1</w:t>
      </w:r>
      <w:r>
        <w:rPr>
          <w:rFonts w:ascii="宋体" w:hAnsi="宋体" w:cs="宋体" w:eastAsia="宋体" w:hint="ascii"/>
          <w:sz w:val="21"/>
        </w:rPr>
        <w:t>”选</w:t>
      </w:r>
      <w:r>
        <w:rPr>
          <w:rFonts w:ascii="宋体" w:hAnsi="宋体" w:cs="宋体" w:eastAsia="宋体" w:hint="ascii"/>
          <w:sz w:val="21"/>
          <w:spacing w:val="27"/>
        </w:rPr>
        <w:t>择</w:t>
      </w:r>
      <w:r>
        <w:rPr>
          <w:rFonts w:ascii="Times New Roman" w:hAnsi="Times New Roman" w:cs="Times New Roman" w:eastAsia="Times New Roman" w:hint="ascii"/>
          <w:sz w:val="21"/>
        </w:rPr>
        <w:t>F02</w:t>
      </w:r>
      <w:r>
        <w:rPr>
          <w:rFonts w:ascii="宋体" w:hAnsi="宋体" w:cs="宋体" w:eastAsia="宋体" w:hint="ascii"/>
          <w:sz w:val="21"/>
          <w:spacing w:val="-53"/>
        </w:rPr>
        <w:t>，</w:t>
      </w:r>
      <w:r>
        <w:rPr>
          <w:rFonts w:ascii="宋体" w:hAnsi="宋体" w:cs="宋体" w:eastAsia="宋体" w:hint="ascii"/>
          <w:sz w:val="21"/>
        </w:rPr>
        <w:t>“申请代</w:t>
      </w:r>
      <w:r>
        <w:rPr>
          <w:rFonts w:ascii="宋体" w:hAnsi="宋体" w:cs="宋体" w:eastAsia="宋体" w:hint="ascii"/>
          <w:sz w:val="21"/>
          <w:spacing w:val="26"/>
        </w:rPr>
        <w:t>码</w:t>
      </w:r>
      <w:r>
        <w:rPr>
          <w:rFonts w:ascii="Times New Roman" w:hAnsi="Times New Roman" w:cs="Times New Roman" w:eastAsia="Times New Roman" w:hint="ascii"/>
          <w:sz w:val="21"/>
        </w:rPr>
        <w:t>2</w:t>
      </w:r>
      <w:r>
        <w:rPr>
          <w:rFonts w:ascii="宋体" w:hAnsi="宋体" w:cs="宋体" w:eastAsia="宋体" w:hint="ascii"/>
          <w:sz w:val="21"/>
        </w:rPr>
        <w:t>”根据项目研究领域自主选择相应的申请代码。</w:t>
      </w:r>
    </w:p>
    <w:p>
      <w:pPr>
        <w:autoSpaceDE w:val="0"/>
        <w:autoSpaceDN w:val="0"/>
        <w:jc w:val="left"/>
        <w:spacing w:before="45"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）申请项目应当符合本《指南》的资助范围与要求。项目名称、具体研究方案、</w:t>
      </w:r>
    </w:p>
    <w:p>
      <w:pPr>
        <w:autoSpaceDE w:val="0"/>
        <w:autoSpaceDN w:val="0"/>
        <w:jc w:val="both"/>
        <w:spacing w:before="12" w:after="0" w:lineRule="exact" w:line="320"/>
        <w:ind w:right="975"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rPr>
        <w:t>研究内容和目标等由申请人提出。报告正文应当按照“中心项目（</w:t>
      </w:r>
      <w:r>
        <w:rPr>
          <w:rFonts w:ascii="Times New Roman" w:hAnsi="Times New Roman" w:cs="Times New Roman" w:eastAsia="Times New Roman" w:hint="ascii"/>
          <w:sz w:val="21"/>
        </w:rPr>
        <w:t>X</w:t>
      </w:r>
      <w:r>
        <w:rPr>
          <w:rFonts w:ascii="宋体" w:hAnsi="宋体" w:cs="宋体" w:eastAsia="宋体" w:hint="ascii"/>
          <w:sz w:val="21"/>
          <w:spacing w:val="-52"/>
        </w:rPr>
        <w:t>）</w:t>
      </w:r>
      <w:r>
        <w:rPr>
          <w:rFonts w:ascii="宋体" w:hAnsi="宋体" w:cs="宋体" w:eastAsia="宋体" w:hint="ascii"/>
          <w:sz w:val="21"/>
        </w:rPr>
        <w:t>”或“重点支持</w:t>
      </w:r>
      <w:r>
        <w:rPr>
          <w:rFonts w:ascii="宋体" w:hAnsi="宋体" w:cs="宋体" w:eastAsia="宋体" w:hint="ascii"/>
          <w:sz w:val="21"/>
          <w:spacing w:val="-1"/>
        </w:rPr>
        <w:t>项目”申</w:t>
      </w:r>
      <w:r>
        <w:rPr>
          <w:rFonts w:ascii="宋体" w:hAnsi="宋体" w:cs="宋体" w:eastAsia="宋体" w:hint="ascii"/>
          <w:sz w:val="21"/>
        </w:rPr>
        <w:t>请书撰写提纲的要求撰写。如果申请人已经承担与大数据项目相关的国家其他</w:t>
      </w:r>
      <w:r>
        <w:rPr>
          <w:rFonts w:ascii="宋体" w:hAnsi="宋体" w:cs="宋体" w:eastAsia="宋体" w:hint="ascii"/>
          <w:sz w:val="21"/>
          <w:spacing w:val="-1"/>
        </w:rPr>
        <w:t>科技计划</w:t>
      </w:r>
      <w:r>
        <w:rPr>
          <w:rFonts w:ascii="宋体" w:hAnsi="宋体" w:cs="宋体" w:eastAsia="宋体" w:hint="ascii"/>
          <w:sz w:val="21"/>
        </w:rPr>
        <w:t>项目，应当在申请书正文的“研究基础与工作条件”部分论述申请项目与其他相关项目的区别与联系。</w:t>
      </w:r>
      <w:rPr>
        <w:rFonts w:ascii="宋体" w:hAnsi="宋体" w:cs="宋体" w:eastAsia="宋体" w:hint="ascii"/>
        <w:sz w:val="21"/>
      </w:rP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四、联系方式</w:t>
      </w:r>
    </w:p>
    <w:p>
      <w:pPr>
        <w:autoSpaceDE w:val="0"/>
        <w:autoSpaceDN w:val="0"/>
        <w:jc w:val="left"/>
        <w:spacing w:before="157" w:after="0" w:lineRule="exact" w:line="312"/>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国家自然科学基金委员会信息科学部</w:t>
      </w: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址：北京</w:t>
      </w:r>
      <w:r>
        <w:rPr>
          <w:rFonts w:ascii="宋体" w:hAnsi="宋体" w:cs="宋体" w:eastAsia="宋体" w:hint="ascii"/>
          <w:sz w:val="21"/>
        </w:rPr>
        <w:t>市海淀区双清</w:t>
      </w:r>
      <w:r>
        <w:rPr>
          <w:rFonts w:ascii="宋体" w:hAnsi="宋体" w:cs="宋体" w:eastAsia="宋体" w:hint="ascii"/>
          <w:sz w:val="21"/>
          <w:spacing w:val="26"/>
        </w:rPr>
        <w:t>路</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2"/>
        </w:rPr>
        <w:t>3</w:t>
      </w:r>
      <w:r>
        <w:rPr>
          <w:rFonts w:ascii="宋体" w:hAnsi="宋体" w:cs="宋体" w:eastAsia="宋体" w:hint="ascii"/>
          <w:sz w:val="21"/>
        </w:rPr>
        <w:t>号邮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100085</w:t>
      </w:r>
    </w:p>
    <w:p>
      <w:pPr>
        <w:autoSpaceDE w:val="0"/>
        <w:autoSpaceDN w:val="0"/>
        <w:jc w:val="left"/>
        <w:spacing w:before="40"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联 系 人：何</w:t>
      </w:r>
      <w:r>
        <w:rPr>
          <w:rFonts w:ascii="宋体" w:hAnsi="宋体" w:cs="宋体" w:eastAsia="宋体" w:hint="ascii"/>
          <w:sz w:val="21"/>
          <w:spacing w:val="53"/>
        </w:rPr>
        <w:t xml:space="preserve"> </w:t>
      </w:r>
      <w:r>
        <w:rPr>
          <w:rFonts w:ascii="宋体" w:hAnsi="宋体" w:cs="宋体" w:eastAsia="宋体" w:hint="ascii"/>
          <w:sz w:val="21"/>
        </w:rPr>
        <w:t>杰</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w:t>
      </w:r>
      <w:r>
        <w:rPr>
          <w:rFonts w:ascii="宋体" w:hAnsi="宋体" w:cs="宋体" w:eastAsia="宋体" w:hint="ascii"/>
          <w:sz w:val="21"/>
          <w:spacing w:val="158"/>
        </w:rPr>
        <w:t xml:space="preserve"> </w:t>
      </w:r>
      <w:r>
        <w:rPr>
          <w:rFonts w:ascii="宋体" w:hAnsi="宋体" w:cs="宋体" w:eastAsia="宋体" w:hint="ascii"/>
          <w:sz w:val="21"/>
        </w:rPr>
        <w:t>话：</w:t>
      </w:r>
      <w:r>
        <w:rPr>
          <w:rFonts w:ascii="Times New Roman" w:hAnsi="Times New Roman" w:cs="Times New Roman" w:eastAsia="Times New Roman" w:hint="ascii"/>
          <w:sz w:val="21"/>
        </w:rPr>
        <w:t>010</w:t>
      </w:r>
      <w:r>
        <w:rPr>
          <w:rFonts w:ascii="宋体" w:hAnsi="宋体" w:cs="宋体" w:eastAsia="宋体" w:hint="ascii"/>
          <w:sz w:val="21"/>
        </w:rPr>
        <w:t>-</w:t>
      </w:r>
      <w:r>
        <w:rPr>
          <w:rFonts w:ascii="Times New Roman" w:hAnsi="Times New Roman" w:cs="Times New Roman" w:eastAsia="Times New Roman" w:hint="ascii"/>
          <w:sz w:val="21"/>
        </w:rPr>
        <w:t>62327146</w:t>
      </w:r>
    </w:p>
    <w:p>
      <w:pPr>
        <w:autoSpaceDE w:val="0"/>
        <w:autoSpaceDN w:val="0"/>
        <w:jc w:val="left"/>
        <w:spacing w:before="49" w:after="0" w:lineRule="exact" w:line="263"/>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电子邮件：</w:t>
      </w:r>
      <w:r>
        <w:rPr>
          <w:rFonts w:ascii="Times New Roman" w:hAnsi="Times New Roman" w:cs="Times New Roman" w:eastAsia="Times New Roman" w:hint="ascii"/>
          <w:sz w:val="21"/>
        </w:rPr>
        <w:t>hejie@nsfc.go</w:t>
      </w:r>
      <w:r>
        <w:rPr>
          <w:rFonts w:ascii="Times New Roman" w:hAnsi="Times New Roman" w:cs="Times New Roman" w:eastAsia="Times New Roman" w:hint="ascii"/>
          <w:sz w:val="21"/>
          <w:spacing w:val="-14"/>
        </w:rPr>
        <w:t>v</w:t>
      </w:r>
      <w:r>
        <w:rPr>
          <w:rFonts w:ascii="Times New Roman" w:hAnsi="Times New Roman" w:cs="Times New Roman" w:eastAsia="Times New Roman" w:hint="ascii"/>
          <w:sz w:val="21"/>
        </w:rPr>
        <w:t>.cn</w:t>
      </w:r>
    </w:p>
    <w:p>
      <w:pPr>
        <w:autoSpaceDE w:val="0"/>
        <w:autoSpaceDN w:val="0"/>
        <w:jc w:val="left"/>
        <w:spacing w:before="661"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rPr>
        <w:t>广东省科学技术厅</w:t>
      </w:r>
    </w:p>
    <w:p>
      <w:pPr>
        <w:autoSpaceDE w:val="0"/>
        <w:autoSpaceDN w:val="0"/>
        <w:jc w:val="both"/>
        <w:spacing w:before="10" w:after="0" w:lineRule="exact" w:line="312"/>
        <w:ind w:right="1244"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1"/>
        </w:rPr>
        <w:t>地</w:t>
      </w:r>
      <w:r>
        <w:rPr>
          <w:rFonts w:ascii="宋体" w:hAnsi="宋体" w:cs="宋体" w:eastAsia="宋体" w:hint="ascii"/>
          <w:sz w:val="21"/>
          <w:spacing w:val="157"/>
        </w:rPr>
        <w:t xml:space="preserve"> </w:t>
      </w:r>
      <w:r>
        <w:rPr>
          <w:rFonts w:ascii="宋体" w:hAnsi="宋体" w:cs="宋体" w:eastAsia="宋体" w:hint="ascii"/>
          <w:sz w:val="21"/>
          <w:spacing w:val="-1"/>
        </w:rPr>
        <w:t>址：广</w:t>
      </w:r>
      <w:r>
        <w:rPr>
          <w:rFonts w:ascii="宋体" w:hAnsi="宋体" w:cs="宋体" w:eastAsia="宋体" w:hint="ascii"/>
          <w:sz w:val="21"/>
        </w:rPr>
        <w:t>州市越秀区连新</w:t>
      </w:r>
      <w:r>
        <w:rPr>
          <w:rFonts w:ascii="宋体" w:hAnsi="宋体" w:cs="宋体" w:eastAsia="宋体" w:hint="ascii"/>
          <w:sz w:val="21"/>
          <w:spacing w:val="26"/>
        </w:rPr>
        <w:t>路</w:t>
      </w:r>
      <w:r>
        <w:rPr>
          <w:rFonts w:ascii="Times New Roman" w:hAnsi="Times New Roman" w:cs="Times New Roman" w:eastAsia="Times New Roman" w:hint="ascii"/>
          <w:sz w:val="21"/>
        </w:rPr>
        <w:t>17</w:t>
      </w:r>
      <w:r>
        <w:rPr>
          <w:rFonts w:ascii="Times New Roman" w:hAnsi="Times New Roman" w:cs="Times New Roman" w:eastAsia="Times New Roman" w:hint="ascii"/>
          <w:sz w:val="21"/>
          <w:spacing w:val="52"/>
        </w:rPr>
        <w:t>1</w:t>
      </w:r>
      <w:r>
        <w:rPr>
          <w:rFonts w:ascii="宋体" w:hAnsi="宋体" w:cs="宋体" w:eastAsia="宋体" w:hint="ascii"/>
          <w:sz w:val="21"/>
        </w:rPr>
        <w:t>号邮</w:t>
      </w:r>
      <w:r>
        <w:rPr>
          <w:rFonts w:ascii="宋体" w:hAnsi="宋体" w:cs="宋体" w:eastAsia="宋体" w:hint="ascii"/>
          <w:sz w:val="21"/>
          <w:spacing w:val="158"/>
        </w:rPr>
        <w:t xml:space="preserve"> </w:t>
      </w:r>
      <w:r>
        <w:rPr>
          <w:rFonts w:ascii="宋体" w:hAnsi="宋体" w:cs="宋体" w:eastAsia="宋体" w:hint="ascii"/>
          <w:sz w:val="21"/>
        </w:rPr>
        <w:t>编：</w:t>
      </w:r>
      <w:r>
        <w:rPr>
          <w:rFonts w:ascii="Times New Roman" w:hAnsi="Times New Roman" w:cs="Times New Roman" w:eastAsia="Times New Roman" w:hint="ascii"/>
          <w:sz w:val="21"/>
        </w:rPr>
        <w:t>510033</w:t>
      </w:r>
    </w:p>
    <w:p>
      <w:pPr>
        <w:autoSpaceDE w:val="0"/>
        <w:autoSpaceDN w:val="0"/>
        <w:jc w:val="left"/>
        <w:spacing w:before="40"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 系 人：段依竺</w:t>
      </w:r>
      <w:r>
        <w:rPr>
          <w:rFonts w:ascii="宋体" w:hAnsi="宋体" w:cs="宋体" w:eastAsia="宋体" w:hint="ascii"/>
          <w:sz w:val="21"/>
          <w:spacing w:val="53"/>
        </w:rPr>
        <w:t xml:space="preserve"> </w:t>
      </w:r>
      <w:r>
        <w:rPr>
          <w:rFonts w:ascii="宋体" w:hAnsi="宋体" w:cs="宋体" w:eastAsia="宋体" w:hint="ascii"/>
          <w:sz w:val="21"/>
        </w:rPr>
        <w:t>钟自然</w:t>
      </w:r>
    </w:p>
    <w:p>
      <w:pPr>
        <w:autoSpaceDE w:val="0"/>
        <w:autoSpaceDN w:val="0"/>
        <w:jc w:val="both"/>
        <w:spacing w:before="10" w:after="0" w:lineRule="exact" w:line="312"/>
        <w:ind w:right="1035"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56"/>
        </w:rPr>
        <w:t xml:space="preserve"> </w:t>
      </w:r>
      <w:r>
        <w:rPr>
          <w:rFonts w:ascii="宋体" w:hAnsi="宋体" w:cs="宋体" w:eastAsia="宋体" w:hint="ascii"/>
          <w:sz w:val="21"/>
          <w:spacing w:val="-2"/>
        </w:rPr>
        <w:t>话：</w:t>
      </w:r>
      <w:r>
        <w:rPr>
          <w:rFonts w:ascii="Times New Roman" w:hAnsi="Times New Roman" w:cs="Times New Roman" w:eastAsia="Times New Roman" w:hint="ascii"/>
          <w:sz w:val="21"/>
          <w:spacing w:val="-2"/>
        </w:rPr>
        <w:t>020</w:t>
      </w:r>
      <w:r>
        <w:rPr>
          <w:rFonts w:ascii="宋体" w:hAnsi="宋体" w:cs="宋体" w:eastAsia="宋体" w:hint="ascii"/>
          <w:sz w:val="21"/>
          <w:spacing w:val="-2"/>
        </w:rPr>
        <w:t>-</w:t>
      </w:r>
      <w:r>
        <w:rPr>
          <w:rFonts w:ascii="Times New Roman" w:hAnsi="Times New Roman" w:cs="Times New Roman" w:eastAsia="Times New Roman" w:hint="ascii"/>
          <w:sz w:val="21"/>
          <w:spacing w:val="-2"/>
        </w:rPr>
        <w:t>83163335</w:t>
      </w:r>
      <w:r>
        <w:rPr>
          <w:rFonts w:ascii="宋体" w:hAnsi="宋体" w:cs="宋体" w:eastAsia="宋体" w:hint="ascii"/>
          <w:sz w:val="21"/>
          <w:spacing w:val="-2"/>
        </w:rPr>
        <w:t>，</w:t>
      </w:r>
      <w:r>
        <w:rPr>
          <w:rFonts w:ascii="Times New Roman" w:hAnsi="Times New Roman" w:cs="Times New Roman" w:eastAsia="Times New Roman" w:hint="ascii"/>
          <w:sz w:val="21"/>
          <w:spacing w:val="-2"/>
        </w:rPr>
        <w:t>020</w:t>
      </w:r>
      <w:r>
        <w:rPr>
          <w:rFonts w:ascii="宋体" w:hAnsi="宋体" w:cs="宋体" w:eastAsia="宋体" w:hint="ascii"/>
          <w:sz w:val="21"/>
          <w:spacing w:val="-2"/>
        </w:rPr>
        <w:t>-</w:t>
      </w:r>
      <w:r>
        <w:rPr>
          <w:rFonts w:ascii="Times New Roman" w:hAnsi="Times New Roman" w:cs="Times New Roman" w:eastAsia="Times New Roman" w:hint="ascii"/>
          <w:sz w:val="21"/>
          <w:spacing w:val="-2"/>
        </w:rPr>
        <w:t>831638</w:t>
      </w:r>
      <w:r>
        <w:rPr>
          <w:rFonts w:ascii="Times New Roman" w:hAnsi="Times New Roman" w:cs="Times New Roman" w:eastAsia="Times New Roman" w:hint="ascii"/>
          <w:sz w:val="21"/>
          <w:spacing w:val="-1"/>
        </w:rPr>
        <w:t>35</w:t>
      </w:r>
      <w:r>
        <w:rPr>
          <w:rFonts w:ascii="Times New Roman" w:hAnsi="Times New Roman" w:cs="Times New Roman" w:eastAsia="Times New Roman" w:hint="ascii"/>
          <w:sz w:val="21"/>
        </w:rPr>
        <w:t xml:space="preserve"> </w:t>
      </w:r>
      <w:r>
        <w:rPr>
          <w:rFonts w:ascii="宋体" w:hAnsi="宋体" w:cs="宋体" w:eastAsia="宋体" w:hint="ascii"/>
          <w:sz w:val="21"/>
        </w:rPr>
        <w:t>电子邮件：</w:t>
      </w:r>
      <w:r>
        <w:rPr>
          <w:rFonts w:ascii="Times New Roman" w:hAnsi="Times New Roman" w:cs="Times New Roman" w:eastAsia="Times New Roman" w:hint="ascii"/>
          <w:sz w:val="21"/>
        </w:rPr>
        <w:t>duanyizhu@gdte.cn</w:t>
      </w:r>
    </w:p>
    <w:p>
      <w:pPr>
        <w:autoSpaceDE w:val="0"/>
        <w:autoSpaceDN w:val="0"/>
        <w:jc w:val="left"/>
        <w:spacing w:before="54" w:after="0" w:lineRule="auto" w:line="240"/>
        <w:ind w:right="0" w:left="1051" w:firstLine="0"/>
        <w:snapToGrid w:val="0"/>
        <w:textAlignment w:val="auto"/>
        <w:tabs/>
        <w:sectPr>
          <w:type w:val="continuous"/>
          <w:pgSz w:w="10940" w:h="15080" w:orient="portrait"/>
          <w:pgMar w:top="508" w:right="508" w:bottom="508" w:left="508" w:header="0" w:footer="0" w:gutter="0"/>
          <w:cols w:num="2" w:space="0" w:equalWidth="0">
            <w:col w:w="4850" w:space="260"/>
            <w:col w:w="481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Times New Roman" w:hAnsi="Times New Roman" w:cs="Times New Roman" w:eastAsia="Times New Roman" w:hint="ascii"/>
          <w:sz w:val="21"/>
        </w:rPr>
        <w:t>zhongzr@gdstc.go</w:t>
      </w:r>
      <w:r>
        <w:rPr>
          <w:rFonts w:ascii="Times New Roman" w:hAnsi="Times New Roman" w:cs="Times New Roman" w:eastAsia="Times New Roman" w:hint="ascii"/>
          <w:sz w:val="21"/>
          <w:spacing w:val="-13"/>
        </w:rPr>
        <w:t>v</w:t>
      </w:r>
      <w:r>
        <w:rPr>
          <w:rFonts w:ascii="Times New Roman" w:hAnsi="Times New Roman" w:cs="Times New Roman" w:eastAsia="Times New Roman" w:hint="ascii"/>
          <w:sz w:val="21"/>
        </w:rPr>
        <w:t>.cn</w:t>
      </w:r>
      <w:rPr>
        <w:rFonts w:ascii="Times New Roman" w:hAnsi="Times New Roman" w:cs="Times New Roman" w:eastAsia="Times New Roman" w:hint="ascii"/>
        <w:sz w:val="21"/>
      </w:rPr>
    </w:p>
    <w:p>
      <w:pPr>
        <w:autoSpaceDE w:val="0"/>
        <w:autoSpaceDN w:val="0"/>
        <w:jc w:val="left"/>
        <w:spacing w:before="489" w:after="0" w:lineRule="auto" w:line="240"/>
        <w:ind w:right="0" w:left="1926" w:firstLine="0"/>
        <w:snapToGrid w:val="0"/>
        <w:textAlignment w:val="auto"/>
        <w:tabs/>
        <w:rPr>
          <w:rFonts w:ascii="宋体" w:hAnsi="宋体" w:cs="宋体" w:eastAsia="宋体" w:hint="ascii"/>
          <w:sz w:val="38"/>
        </w:rPr>
      </w:pPr>
      <w:r>
        <w:rPr>
          <w:rFonts w:ascii="Times New Roman" w:hAnsi="Times New Roman" w:cs="Times New Roman" w:eastAsia="Times New Roman" w:hint="ascii"/>
          <w:b w:val="1"/>
          <w:sz w:val="38"/>
          <w:spacing w:val="-3"/>
        </w:rPr>
        <w:t>NSFC</w:t>
      </w:r>
      <w:r>
        <w:rPr>
          <w:rFonts w:ascii="宋体" w:hAnsi="宋体" w:cs="宋体" w:eastAsia="宋体" w:hint="ascii"/>
          <w:sz w:val="38"/>
          <w:position w:val="2"/>
          <w:spacing w:val="30"/>
        </w:rPr>
        <w:t>-</w:t>
      </w:r>
      <w:r>
        <w:rPr>
          <w:rFonts w:ascii="宋体" w:hAnsi="宋体" w:cs="宋体" w:eastAsia="宋体" w:hint="ascii"/>
          <w:sz w:val="38"/>
          <w:spacing w:val="-3"/>
        </w:rPr>
        <w:t>深圳机器人基础研究中心项</w:t>
      </w:r>
      <w:r>
        <w:rPr>
          <w:rFonts w:ascii="宋体" w:hAnsi="宋体" w:cs="宋体" w:eastAsia="宋体" w:hint="ascii"/>
          <w:sz w:val="38"/>
        </w:rPr>
        <w:t>目</w:t>
      </w:r>
    </w:p>
    <w:p>
      <w:pPr>
        <w:autoSpaceDE w:val="0"/>
        <w:autoSpaceDN w:val="0"/>
        <w:jc w:val="left"/>
        <w:spacing w:before="33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自然科学基金委与深圳市人民政府</w:t>
      </w:r>
      <w:r>
        <w:rPr>
          <w:rFonts w:ascii="宋体" w:hAnsi="宋体" w:cs="宋体" w:eastAsia="宋体" w:hint="ascii"/>
          <w:sz w:val="21"/>
          <w:spacing w:val="26"/>
        </w:rPr>
        <w:t>自</w:t>
      </w:r>
      <w:r>
        <w:rPr>
          <w:rFonts w:ascii="Times New Roman" w:hAnsi="Times New Roman" w:cs="Times New Roman" w:eastAsia="Times New Roman" w:hint="ascii"/>
          <w:sz w:val="21"/>
        </w:rPr>
        <w:t>201</w:t>
      </w:r>
      <w:r>
        <w:rPr>
          <w:rFonts w:ascii="Times New Roman" w:hAnsi="Times New Roman" w:cs="Times New Roman" w:eastAsia="Times New Roman" w:hint="ascii"/>
          <w:sz w:val="21"/>
          <w:spacing w:val="52"/>
        </w:rPr>
        <w:t>6</w:t>
      </w:r>
      <w:r>
        <w:rPr>
          <w:rFonts w:ascii="宋体" w:hAnsi="宋体" w:cs="宋体" w:eastAsia="宋体" w:hint="ascii"/>
          <w:sz w:val="21"/>
        </w:rPr>
        <w:t>年</w:t>
      </w:r>
      <w:r>
        <w:rPr>
          <w:rFonts w:ascii="宋体" w:hAnsi="宋体" w:cs="宋体" w:eastAsia="宋体" w:hint="ascii"/>
          <w:sz w:val="21"/>
          <w:spacing w:val="26"/>
        </w:rPr>
        <w:t>至</w:t>
      </w:r>
      <w:r>
        <w:rPr>
          <w:rFonts w:ascii="Times New Roman" w:hAnsi="Times New Roman" w:cs="Times New Roman" w:eastAsia="Times New Roman" w:hint="ascii"/>
          <w:sz w:val="21"/>
        </w:rPr>
        <w:t>202</w:t>
      </w:r>
      <w:r>
        <w:rPr>
          <w:rFonts w:ascii="Times New Roman" w:hAnsi="Times New Roman" w:cs="Times New Roman" w:eastAsia="Times New Roman" w:hint="ascii"/>
          <w:sz w:val="21"/>
          <w:spacing w:val="52"/>
        </w:rPr>
        <w:t>0</w:t>
      </w:r>
      <w:r>
        <w:rPr>
          <w:rFonts w:ascii="宋体" w:hAnsi="宋体" w:cs="宋体" w:eastAsia="宋体" w:hint="ascii"/>
          <w:sz w:val="21"/>
        </w:rPr>
        <w:t>年共同设立机器人基础研究中</w:t>
      </w:r>
    </w:p>
    <w:p>
      <w:pPr>
        <w:autoSpaceDE w:val="0"/>
        <w:autoSpaceDN w:val="0"/>
        <w:jc w:val="both"/>
        <w:spacing w:before="12" w:after="0" w:lineRule="exact" w:line="320"/>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心项目（以下简称机器人中心项目</w:t>
      </w:r>
      <w:r>
        <w:rPr>
          <w:rFonts w:ascii="宋体" w:hAnsi="宋体" w:cs="宋体" w:eastAsia="宋体" w:hint="ascii"/>
          <w:sz w:val="21"/>
          <w:spacing w:val="-52"/>
        </w:rPr>
        <w:t>）</w:t>
      </w:r>
      <w:r>
        <w:rPr>
          <w:rFonts w:ascii="宋体" w:hAnsi="宋体" w:cs="宋体" w:eastAsia="宋体" w:hint="ascii"/>
          <w:sz w:val="21"/>
        </w:rPr>
        <w:t>，旨在发挥国家自然科学基金的导向作用，吸引和</w:t>
      </w:r>
      <w:r>
        <w:rPr>
          <w:rFonts w:ascii="宋体" w:hAnsi="宋体" w:cs="宋体" w:eastAsia="宋体" w:hint="ascii"/>
          <w:sz w:val="21"/>
          <w:spacing w:val="-1"/>
        </w:rPr>
        <w:t>汇聚全国</w:t>
      </w:r>
      <w:r>
        <w:rPr>
          <w:rFonts w:ascii="宋体" w:hAnsi="宋体" w:cs="宋体" w:eastAsia="宋体" w:hint="ascii"/>
          <w:sz w:val="21"/>
        </w:rPr>
        <w:t>机器人研究领域的优秀人才，共同解决机器人研究领域的前沿科学问题和关键技术问题，促进机器人产业健康快速发展。</w:t>
      </w:r>
    </w:p>
    <w:p>
      <w:pPr>
        <w:autoSpaceDE w:val="0"/>
        <w:autoSpaceDN w:val="0"/>
        <w:jc w:val="left"/>
        <w:spacing w:before="45"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 xml:space="preserve">机器人中心项目 </w:t>
      </w:r>
      <w:r>
        <w:rPr>
          <w:rFonts w:ascii="Times New Roman" w:hAnsi="Times New Roman" w:cs="Times New Roman" w:eastAsia="Times New Roman" w:hint="ascii"/>
          <w:sz w:val="21"/>
        </w:rPr>
        <w:t xml:space="preserve">2018 </w:t>
      </w:r>
      <w:r>
        <w:rPr>
          <w:rFonts w:ascii="宋体" w:hAnsi="宋体" w:cs="宋体" w:eastAsia="宋体" w:hint="ascii"/>
          <w:sz w:val="21"/>
        </w:rPr>
        <w:t>年度接收下述领域的重点支持项目申请，直接费用平均资助</w:t>
      </w:r>
    </w:p>
    <w:p>
      <w:pPr>
        <w:autoSpaceDE w:val="0"/>
        <w:autoSpaceDN w:val="0"/>
        <w:jc w:val="both"/>
        <w:spacing w:before="13" w:after="0" w:lineRule="exact" w:line="319"/>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强度约为</w:t>
      </w:r>
      <w:r>
        <w:rPr>
          <w:rFonts w:ascii="宋体" w:hAnsi="宋体" w:cs="宋体" w:eastAsia="宋体" w:hint="ascii"/>
          <w:sz w:val="21"/>
          <w:spacing w:val="-8"/>
        </w:rPr>
        <w:t xml:space="preserve"> </w:t>
      </w:r>
      <w:r>
        <w:rPr>
          <w:rFonts w:ascii="Times New Roman" w:hAnsi="Times New Roman" w:cs="Times New Roman" w:eastAsia="Times New Roman" w:hint="ascii"/>
          <w:sz w:val="21"/>
        </w:rPr>
        <w:t>300</w:t>
      </w:r>
      <w:r>
        <w:rPr>
          <w:rFonts w:ascii="Times New Roman" w:hAnsi="Times New Roman" w:cs="Times New Roman" w:eastAsia="Times New Roman" w:hint="ascii"/>
          <w:sz w:val="21"/>
          <w:spacing w:val="-7"/>
        </w:rPr>
        <w:t xml:space="preserve"> </w:t>
      </w:r>
      <w:r>
        <w:rPr>
          <w:rFonts w:ascii="宋体" w:hAnsi="宋体" w:cs="宋体" w:eastAsia="宋体" w:hint="ascii"/>
          <w:sz w:val="21"/>
        </w:rPr>
        <w:t>万元</w:t>
      </w:r>
      <w:r>
        <w:rPr>
          <w:rFonts w:ascii="Times New Roman" w:hAnsi="Times New Roman" w:cs="Times New Roman" w:eastAsia="Times New Roman" w:hint="ascii"/>
          <w:sz w:val="21"/>
        </w:rPr>
        <w:t>/</w:t>
      </w:r>
      <w:r>
        <w:rPr>
          <w:rFonts w:ascii="宋体" w:hAnsi="宋体" w:cs="宋体" w:eastAsia="宋体" w:hint="ascii"/>
          <w:sz w:val="21"/>
        </w:rPr>
        <w:t>项，资助期限为</w:t>
      </w:r>
      <w:r>
        <w:rPr>
          <w:rFonts w:ascii="宋体" w:hAnsi="宋体" w:cs="宋体" w:eastAsia="宋体" w:hint="ascii"/>
          <w:sz w:val="21"/>
          <w:spacing w:val="-7"/>
        </w:rPr>
        <w:t xml:space="preserve"> </w:t>
      </w:r>
      <w:r>
        <w:rPr>
          <w:rFonts w:ascii="Times New Roman" w:hAnsi="Times New Roman" w:cs="Times New Roman" w:eastAsia="Times New Roman" w:hint="ascii"/>
          <w:sz w:val="21"/>
        </w:rPr>
        <w:t>4</w:t>
      </w:r>
      <w:r>
        <w:rPr>
          <w:rFonts w:ascii="Times New Roman" w:hAnsi="Times New Roman" w:cs="Times New Roman" w:eastAsia="Times New Roman" w:hint="ascii"/>
          <w:sz w:val="21"/>
          <w:spacing w:val="-7"/>
        </w:rPr>
        <w:t xml:space="preserve"> </w:t>
      </w:r>
      <w:r>
        <w:rPr>
          <w:rFonts w:ascii="宋体" w:hAnsi="宋体" w:cs="宋体" w:eastAsia="宋体" w:hint="ascii"/>
          <w:sz w:val="21"/>
        </w:rPr>
        <w:t>年。机器人中心项目面向全国，欢迎符合条件的科学技术人员按照本《指南》范围和要求提出申请。</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一、机器人基础零部件、基础软件</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面向机器人产业发展的需求，研究驱动器、减速器、控制器、传感器、末端执行器</w:t>
      </w:r>
    </w:p>
    <w:p>
      <w:pPr>
        <w:autoSpaceDE w:val="0"/>
        <w:autoSpaceDN w:val="0"/>
        <w:jc w:val="left"/>
        <w:spacing w:before="432"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821" w:firstLine="0"/>
        <w:snapToGrid w:val="0"/>
        <w:textAlignment w:val="auto"/>
        <w:tabs/>
        <w:rPr>
          <w:rFonts w:ascii="宋体" w:hAnsi="宋体" w:cs="宋体" w:eastAsia="宋体" w:hint="ascii"/>
          <w:sz w:val="19"/>
        </w:rPr>
      </w:pPr>
      <w:r>
        <w:rPr>
          <w:rFonts w:ascii="宋体" w:hAnsi="宋体" w:cs="宋体" w:eastAsia="宋体" w:hint="ascii"/>
          <w:sz w:val="19"/>
        </w:rPr>
        <w:t>联合基金项目</w:t>
      </w:r>
    </w:p>
    <w:p>
      <w:pPr>
        <w:autoSpaceDE w:val="0"/>
        <w:autoSpaceDN w:val="0"/>
        <w:jc w:val="both"/>
        <w:spacing w:before="257"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等基础零部</w:t>
      </w:r>
      <w:r>
        <w:rPr>
          <w:rFonts w:ascii="宋体" w:hAnsi="宋体" w:cs="宋体" w:eastAsia="宋体" w:hint="ascii"/>
          <w:sz w:val="21"/>
        </w:rPr>
        <w:t>件的设计、制造和控制中的科学问题；以及机器人研究、应用所需的平台软件、数据库、云计算平台等。主要研究方向：</w:t>
      </w:r>
      <w:r>
        <w:rPr>
          <w:rFonts w:ascii="宋体" w:hAnsi="宋体" w:cs="宋体" w:eastAsia="宋体" w:hint="ascii"/>
          <w:sz w:val="21"/>
        </w:rPr>
        <mc:AlternateContent>
          <mc:Choice Requires="wps">
            <w:drawing>
              <wp:anchor distL="0" distR="0" distT="0" distB="0" simplePos="0" behindDoc="1" relativeHeight="323" locked="0" layoutInCell="1" allowOverlap="1">
                <wp:simplePos x="0" y="0"/>
                <wp:positionH relativeFrom="page">
                  <wp:posOffset>938530</wp:posOffset>
                </wp:positionH>
                <wp:positionV relativeFrom="page">
                  <wp:posOffset>819150</wp:posOffset>
                </wp:positionV>
                <wp:extent cx="5076190" cy="0"/>
                <wp:wrapNone/>
                <wp:docPr id="1350" name="135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27488;width:399.70pt;" id="135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）机器人驱动传动一体化关节关键技术与实现；</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）机器人灵巧手关键技术；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）机器人自主定位与避障感知器件关键技术；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）机器人智能电子皮肤关键技术；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）机器人视听信息处理芯片关键技术；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）面向机器人群体智能的云平台关键技术。</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二、机器人共性支撑技术</w:t>
      </w:r>
    </w:p>
    <w:p>
      <w:pPr>
        <w:autoSpaceDE w:val="0"/>
        <w:autoSpaceDN w:val="0"/>
        <w:jc w:val="both"/>
        <w:spacing w:before="157"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围绕机器人感</w:t>
      </w:r>
      <w:r>
        <w:rPr>
          <w:rFonts w:ascii="宋体" w:hAnsi="宋体" w:cs="宋体" w:eastAsia="宋体" w:hint="ascii"/>
          <w:sz w:val="21"/>
        </w:rPr>
        <w:t>知理解、人机交互、判断决策、执行控制等环节，研究机器人系统集成和应用所需的共性支撑技术。主要研究方向：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）机器人旋转机构耦合关键技术；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）动态环境中的人体动作识别理论与方法；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）机器人言语理解、人机交互理论与系统实现；</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）服务机器人的知识学习与验证；</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）室内移动机器人定位与导航关键技术。</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三、工业机器人</w:t>
      </w:r>
    </w:p>
    <w:p>
      <w:pPr>
        <w:autoSpaceDE w:val="0"/>
        <w:autoSpaceDN w:val="0"/>
        <w:jc w:val="left"/>
        <w:spacing w:before="197" w:after="0" w:lineRule="exact" w:line="263"/>
        <w:ind w:right="0" w:left="1386" w:firstLine="0"/>
        <w:snapToGrid w:val="0"/>
        <w:textAlignment w:val="auto"/>
        <w:tabs/>
        <w:rPr>
          <w:rFonts w:ascii="宋体" w:hAnsi="宋体" w:cs="宋体" w:eastAsia="宋体" w:hint="ascii"/>
          <w:sz w:val="21"/>
        </w:rPr>
      </w:pPr>
      <w:r>
        <w:rPr>
          <w:rFonts w:ascii="宋体" w:hAnsi="宋体" w:cs="宋体" w:eastAsia="宋体" w:hint="ascii"/>
          <w:sz w:val="21"/>
        </w:rPr>
        <w:t>围绕深圳市电子信息、智能装备、新能源等高新制造业的战略需求，研究可灵活操</w:t>
      </w:r>
    </w:p>
    <w:p>
      <w:pPr>
        <w:autoSpaceDE w:val="0"/>
        <w:autoSpaceDN w:val="0"/>
        <w:jc w:val="both"/>
        <w:spacing w:before="10" w:after="0" w:lineRule="exact" w:line="312"/>
        <w:ind w:right="978" w:left="966" w:firstLine="0"/>
        <w:snapToGrid w:val="0"/>
        <w:textAlignment w:val="auto"/>
        <w:tabs/>
        <w:rPr>
          <w:rFonts w:ascii="宋体" w:hAnsi="宋体" w:cs="宋体" w:eastAsia="宋体" w:hint="ascii"/>
          <w:sz w:val="21"/>
        </w:rPr>
      </w:pPr>
      <w:r>
        <w:rPr>
          <w:rFonts w:ascii="宋体" w:hAnsi="宋体" w:cs="宋体" w:eastAsia="宋体" w:hint="ascii"/>
          <w:sz w:val="21"/>
          <w:spacing w:val="-1"/>
        </w:rPr>
        <w:t>作配置的工</w:t>
      </w:r>
      <w:r>
        <w:rPr>
          <w:rFonts w:ascii="宋体" w:hAnsi="宋体" w:cs="宋体" w:eastAsia="宋体" w:hint="ascii"/>
          <w:sz w:val="21"/>
        </w:rPr>
        <w:t>业机器人关键技术，适应定制化、柔性、精确、快速的新型制造模式，推动工业机器人的普及。主要研究方向：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）磨抛机器人智能规划与控制关键技术；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）面</w:t>
      </w:r>
      <w:r>
        <w:rPr>
          <w:rFonts w:ascii="宋体" w:hAnsi="宋体" w:cs="宋体" w:eastAsia="宋体" w:hint="ascii"/>
          <w:sz w:val="21"/>
          <w:spacing w:val="26"/>
        </w:rPr>
        <w:t>向</w:t>
      </w:r>
      <w:r>
        <w:rPr>
          <w:rFonts w:ascii="Times New Roman" w:hAnsi="Times New Roman" w:cs="Times New Roman" w:eastAsia="Times New Roman" w:hint="ascii"/>
          <w:sz w:val="21"/>
        </w:rPr>
        <w:t>3</w:t>
      </w:r>
      <w:r>
        <w:rPr>
          <w:rFonts w:ascii="Times New Roman" w:hAnsi="Times New Roman" w:cs="Times New Roman" w:eastAsia="Times New Roman" w:hint="ascii"/>
          <w:sz w:val="21"/>
          <w:spacing w:val="52"/>
        </w:rPr>
        <w:t>C</w:t>
      </w:r>
      <w:r>
        <w:rPr>
          <w:rFonts w:ascii="宋体" w:hAnsi="宋体" w:cs="宋体" w:eastAsia="宋体" w:hint="ascii"/>
          <w:sz w:val="21"/>
        </w:rPr>
        <w:t>行业的工业机器人关键技术；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）多工业机器人协调控制方法；</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）面向建筑行业的工业机器人关键技术。</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四、医疗机器人</w:t>
      </w:r>
    </w:p>
    <w:p>
      <w:pPr>
        <w:autoSpaceDE w:val="0"/>
        <w:autoSpaceDN w:val="0"/>
        <w:jc w:val="both"/>
        <w:spacing w:before="158" w:after="0" w:lineRule="exact" w:line="312"/>
        <w:ind w:right="978"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围绕深圳市医</w:t>
      </w:r>
      <w:r>
        <w:rPr>
          <w:rFonts w:ascii="宋体" w:hAnsi="宋体" w:cs="宋体" w:eastAsia="宋体" w:hint="ascii"/>
          <w:sz w:val="21"/>
        </w:rPr>
        <w:t>疗服务等领域对于智能机器人的广泛需求，重点研究手术、康复等各类型的服务机器人。主要研究方向：</w:t>
      </w:r>
    </w:p>
    <w:p>
      <w:pPr>
        <w:autoSpaceDE w:val="0"/>
        <w:autoSpaceDN w:val="0"/>
        <w:jc w:val="left"/>
        <w:spacing w:before="40"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）可穿戴运动辅助机器人关键技术；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）外科手术与诊疗机器人关键技术；</w:t>
      </w:r>
    </w:p>
    <w:p>
      <w:pPr>
        <w:autoSpaceDE w:val="0"/>
        <w:autoSpaceDN w:val="0"/>
        <w:jc w:val="left"/>
        <w:spacing w:before="49"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）体内诊疗机器人关键技术。</w:t>
      </w:r>
    </w:p>
    <w:p>
      <w:pPr>
        <w:autoSpaceDE w:val="0"/>
        <w:autoSpaceDN w:val="0"/>
        <w:jc w:val="left"/>
        <w:spacing w:before="17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五、特种机器人</w:t>
      </w:r>
    </w:p>
    <w:p>
      <w:pPr>
        <w:autoSpaceDE w:val="0"/>
        <w:autoSpaceDN w:val="0"/>
        <w:jc w:val="left"/>
        <w:spacing w:before="158" w:after="0" w:lineRule="exact" w:line="304"/>
        <w:ind w:right="963" w:left="966" w:firstLine="420"/>
        <w:snapToGrid w:val="0"/>
        <w:textAlignment w:val="auto"/>
        <w:tabs/>
        <w:rPr>
          <w:rFonts w:ascii="宋体" w:hAnsi="宋体" w:cs="宋体" w:eastAsia="宋体" w:hint="ascii"/>
          <w:sz w:val="21"/>
        </w:rPr>
      </w:pPr>
      <w:r>
        <w:rPr>
          <w:rFonts w:ascii="宋体" w:hAnsi="宋体" w:cs="宋体" w:eastAsia="宋体" w:hint="ascii"/>
          <w:sz w:val="21"/>
          <w:spacing w:val="1"/>
        </w:rPr>
        <w:t>针对</w:t>
      </w:r>
      <w:r>
        <w:rPr>
          <w:rFonts w:ascii="宋体" w:hAnsi="宋体" w:cs="宋体" w:eastAsia="宋体" w:hint="ascii"/>
          <w:sz w:val="21"/>
          <w:spacing w:val="2"/>
        </w:rPr>
        <w:t>特</w:t>
      </w:r>
      <w:r>
        <w:rPr>
          <w:rFonts w:ascii="宋体" w:hAnsi="宋体" w:cs="宋体" w:eastAsia="宋体" w:hint="ascii"/>
          <w:sz w:val="21"/>
          <w:spacing w:val="1"/>
        </w:rPr>
        <w:t>殊条件下</w:t>
      </w:r>
      <w:r>
        <w:rPr>
          <w:rFonts w:ascii="宋体" w:hAnsi="宋体" w:cs="宋体" w:eastAsia="宋体" w:hint="ascii"/>
          <w:sz w:val="21"/>
          <w:spacing w:val="2"/>
        </w:rPr>
        <w:t>机</w:t>
      </w:r>
      <w:r>
        <w:rPr>
          <w:rFonts w:ascii="宋体" w:hAnsi="宋体" w:cs="宋体" w:eastAsia="宋体" w:hint="ascii"/>
          <w:sz w:val="21"/>
          <w:spacing w:val="1"/>
        </w:rPr>
        <w:t>器代替人</w:t>
      </w:r>
      <w:r>
        <w:rPr>
          <w:rFonts w:ascii="宋体" w:hAnsi="宋体" w:cs="宋体" w:eastAsia="宋体" w:hint="ascii"/>
          <w:sz w:val="21"/>
          <w:spacing w:val="2"/>
        </w:rPr>
        <w:t>作</w:t>
      </w:r>
      <w:r>
        <w:rPr>
          <w:rFonts w:ascii="宋体" w:hAnsi="宋体" w:cs="宋体" w:eastAsia="宋体" w:hint="ascii"/>
          <w:sz w:val="21"/>
          <w:spacing w:val="1"/>
        </w:rPr>
        <w:t>业的广泛</w:t>
      </w:r>
      <w:r>
        <w:rPr>
          <w:rFonts w:ascii="宋体" w:hAnsi="宋体" w:cs="宋体" w:eastAsia="宋体" w:hint="ascii"/>
          <w:sz w:val="21"/>
          <w:spacing w:val="2"/>
        </w:rPr>
        <w:t>需</w:t>
      </w:r>
      <w:r>
        <w:rPr>
          <w:rFonts w:ascii="宋体" w:hAnsi="宋体" w:cs="宋体" w:eastAsia="宋体" w:hint="ascii"/>
          <w:sz w:val="21"/>
          <w:spacing w:val="1"/>
        </w:rPr>
        <w:t>求，</w:t>
      </w:r>
      <w:r>
        <w:rPr>
          <w:rFonts w:ascii="宋体" w:hAnsi="宋体" w:cs="宋体" w:eastAsia="宋体" w:hint="ascii"/>
          <w:sz w:val="21"/>
          <w:spacing w:val="2"/>
        </w:rPr>
        <w:t>研究</w:t>
      </w:r>
      <w:r>
        <w:rPr>
          <w:rFonts w:ascii="宋体" w:hAnsi="宋体" w:cs="宋体" w:eastAsia="宋体" w:hint="ascii"/>
          <w:sz w:val="21"/>
          <w:spacing w:val="3"/>
        </w:rPr>
        <w:t>航</w:t>
      </w:r>
      <w:r>
        <w:rPr>
          <w:rFonts w:ascii="宋体" w:hAnsi="宋体" w:cs="宋体" w:eastAsia="宋体" w:hint="ascii"/>
          <w:sz w:val="21"/>
          <w:spacing w:val="2"/>
        </w:rPr>
        <w:t>空航天、</w:t>
      </w:r>
      <w:r>
        <w:rPr>
          <w:rFonts w:ascii="宋体" w:hAnsi="宋体" w:cs="宋体" w:eastAsia="宋体" w:hint="ascii"/>
          <w:sz w:val="21"/>
          <w:spacing w:val="3"/>
        </w:rPr>
        <w:t>海</w:t>
      </w:r>
      <w:r>
        <w:rPr>
          <w:rFonts w:ascii="宋体" w:hAnsi="宋体" w:cs="宋体" w:eastAsia="宋体" w:hint="ascii"/>
          <w:sz w:val="21"/>
          <w:spacing w:val="2"/>
        </w:rPr>
        <w:t>洋工程、</w:t>
      </w:r>
      <w:r>
        <w:rPr>
          <w:rFonts w:ascii="宋体" w:hAnsi="宋体" w:cs="宋体" w:eastAsia="宋体" w:hint="ascii"/>
          <w:sz w:val="21"/>
          <w:spacing w:val="3"/>
        </w:rPr>
        <w:t>能</w:t>
      </w:r>
      <w:r>
        <w:rPr>
          <w:rFonts w:ascii="宋体" w:hAnsi="宋体" w:cs="宋体" w:eastAsia="宋体" w:hint="ascii"/>
          <w:sz w:val="21"/>
          <w:spacing w:val="2"/>
        </w:rPr>
        <w:t>源</w:t>
      </w:r>
      <w:r>
        <w:rPr>
          <w:rFonts w:ascii="宋体" w:hAnsi="宋体" w:cs="宋体" w:eastAsia="宋体" w:hint="ascii"/>
          <w:sz w:val="21"/>
          <w:spacing w:val="-1"/>
        </w:rPr>
        <w:t>电</w:t>
      </w:r>
      <w:r>
        <w:rPr>
          <w:rFonts w:ascii="宋体" w:hAnsi="宋体" w:cs="宋体" w:eastAsia="宋体" w:hint="ascii"/>
          <w:sz w:val="21"/>
        </w:rPr>
        <w:t xml:space="preserve"> 力、防灾减灾等领域所需的机器人；研究无人机</w:t>
      </w:r>
      <w:r>
        <w:rPr>
          <w:rFonts w:ascii="Times New Roman" w:hAnsi="Times New Roman" w:cs="Times New Roman" w:eastAsia="Times New Roman" w:hint="ascii"/>
          <w:sz w:val="21"/>
        </w:rPr>
        <w:t>/</w:t>
      </w:r>
      <w:r>
        <w:rPr>
          <w:rFonts w:ascii="宋体" w:hAnsi="宋体" w:cs="宋体" w:eastAsia="宋体" w:hint="ascii"/>
          <w:sz w:val="21"/>
        </w:rPr>
        <w:t>船</w:t>
      </w:r>
      <w:r>
        <w:rPr>
          <w:rFonts w:ascii="Times New Roman" w:hAnsi="Times New Roman" w:cs="Times New Roman" w:eastAsia="Times New Roman" w:hint="ascii"/>
          <w:sz w:val="21"/>
        </w:rPr>
        <w:t>/</w:t>
      </w:r>
      <w:r>
        <w:rPr>
          <w:rFonts w:ascii="宋体" w:hAnsi="宋体" w:cs="宋体" w:eastAsia="宋体" w:hint="ascii"/>
          <w:sz w:val="21"/>
        </w:rPr>
        <w:t>车；面向前沿科学，研究新型特种机器人等，从而增强人类执行任务和探索未知的能力。主要研究方向：</w:t>
      </w:r>
    </w:p>
    <w:p>
      <w:pPr>
        <w:autoSpaceDE w:val="0"/>
        <w:autoSpaceDN w:val="0"/>
        <w:jc w:val="left"/>
        <w:spacing w:before="3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）海洋机器人感知与决策关键技术；</w:t>
      </w:r>
    </w:p>
    <w:p>
      <w:pPr>
        <w:autoSpaceDE w:val="0"/>
        <w:autoSpaceDN w:val="0"/>
        <w:jc w:val="left"/>
        <w:spacing w:before="322"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2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）空间机器人多臂协同理论与关键技术；</w:t>
      </w:r>
      <w:r>
        <w:rPr>
          <w:rFonts w:ascii="宋体" w:hAnsi="宋体" w:cs="宋体" w:eastAsia="宋体" w:hint="ascii"/>
          <w:sz w:val="21"/>
        </w:rPr>
        <mc:AlternateContent>
          <mc:Choice Requires="wps">
            <w:drawing>
              <wp:anchor distL="0" distR="0" distT="0" distB="0" simplePos="0" behindDoc="1" relativeHeight="324" locked="0" layoutInCell="1" allowOverlap="1">
                <wp:simplePos x="0" y="0"/>
                <wp:positionH relativeFrom="page">
                  <wp:posOffset>938530</wp:posOffset>
                </wp:positionH>
                <wp:positionV relativeFrom="page">
                  <wp:posOffset>805815</wp:posOffset>
                </wp:positionV>
                <wp:extent cx="5076190" cy="0"/>
                <wp:wrapNone/>
                <wp:docPr id="1351" name="135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26464;width:399.70pt;" id="135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）倾转旋翼变结构无人机关键技术；</w:t>
      </w:r>
    </w:p>
    <w:p>
      <w:pPr>
        <w:autoSpaceDE w:val="0"/>
        <w:autoSpaceDN w:val="0"/>
        <w:jc w:val="left"/>
        <w:spacing w:before="4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）无人车集群控制与协同关键技术；</w:t>
      </w:r>
    </w:p>
    <w:p>
      <w:pPr>
        <w:autoSpaceDE w:val="0"/>
        <w:autoSpaceDN w:val="0"/>
        <w:jc w:val="left"/>
        <w:spacing w:before="4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）核电冷源维护的机器人关键技术；</w:t>
      </w:r>
    </w:p>
    <w:p>
      <w:pPr>
        <w:autoSpaceDE w:val="0"/>
        <w:autoSpaceDN w:val="0"/>
        <w:jc w:val="left"/>
        <w:spacing w:before="4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6</w:t>
      </w:r>
      <w:r>
        <w:rPr>
          <w:rFonts w:ascii="宋体" w:hAnsi="宋体" w:cs="宋体" w:eastAsia="宋体" w:hint="ascii"/>
          <w:sz w:val="21"/>
        </w:rPr>
        <w:t>）微纳操作机器人关键技术。</w:t>
      </w:r>
    </w:p>
    <w:p>
      <w:pPr>
        <w:autoSpaceDE w:val="0"/>
        <w:autoSpaceDN w:val="0"/>
        <w:jc w:val="left"/>
        <w:spacing w:before="172"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申请注意事项</w:t>
      </w:r>
    </w:p>
    <w:p>
      <w:pPr>
        <w:autoSpaceDE w:val="0"/>
        <w:autoSpaceDN w:val="0"/>
        <w:jc w:val="left"/>
        <w:spacing w:before="19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rPr>
        <w:t>）申请人应当具有高级专业技术职务（职称</w:t>
      </w:r>
      <w:r>
        <w:rPr>
          <w:rFonts w:ascii="宋体" w:hAnsi="宋体" w:cs="宋体" w:eastAsia="宋体" w:hint="ascii"/>
          <w:sz w:val="21"/>
          <w:spacing w:val="-53"/>
        </w:rPr>
        <w:t>）</w:t>
      </w:r>
      <w:r>
        <w:rPr>
          <w:rFonts w:ascii="宋体" w:hAnsi="宋体" w:cs="宋体" w:eastAsia="宋体" w:hint="ascii"/>
          <w:sz w:val="21"/>
        </w:rPr>
        <w:t>。</w:t>
      </w:r>
    </w:p>
    <w:p>
      <w:pPr>
        <w:autoSpaceDE w:val="0"/>
        <w:autoSpaceDN w:val="0"/>
        <w:jc w:val="left"/>
        <w:spacing w:before="42"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2</w:t>
      </w:r>
      <w:r>
        <w:rPr>
          <w:rFonts w:ascii="宋体" w:hAnsi="宋体" w:cs="宋体" w:eastAsia="宋体" w:hint="ascii"/>
          <w:sz w:val="21"/>
        </w:rPr>
        <w:t>）申请书正文开头应首先说明申请本联合基金中的重点支持项目相应的研究方向</w:t>
      </w:r>
    </w:p>
    <w:p>
      <w:pPr>
        <w:autoSpaceDE w:val="0"/>
        <w:autoSpaceDN w:val="0"/>
        <w:jc w:val="both"/>
        <w:spacing w:before="8" w:after="0" w:lineRule="exact" w:line="304"/>
        <w:ind w:right="976" w:left="966" w:firstLine="0"/>
        <w:snapToGrid w:val="0"/>
        <w:textAlignment w:val="auto"/>
        <w:tabs/>
        <w:rPr>
          <w:rFonts w:ascii="宋体" w:hAnsi="宋体" w:cs="宋体" w:eastAsia="宋体" w:hint="ascii"/>
          <w:sz w:val="21"/>
        </w:rPr>
      </w:pPr>
      <w:r>
        <w:rPr>
          <w:rFonts w:ascii="宋体" w:hAnsi="宋体" w:cs="宋体" w:eastAsia="宋体" w:hint="ascii"/>
          <w:sz w:val="21"/>
        </w:rPr>
        <w:t>名称，如：</w:t>
      </w:r>
      <w:r>
        <w:rPr>
          <w:rFonts w:ascii="Times New Roman" w:hAnsi="Times New Roman" w:cs="Times New Roman" w:eastAsia="Times New Roman" w:hint="ascii"/>
          <w:sz w:val="21"/>
        </w:rPr>
        <w:t>[</w:t>
      </w:r>
      <w:r>
        <w:rPr>
          <w:rFonts w:ascii="宋体" w:hAnsi="宋体" w:cs="宋体" w:eastAsia="宋体" w:hint="ascii"/>
          <w:sz w:val="21"/>
        </w:rPr>
        <w:t>本申请针对“重点支持项目”</w:t>
      </w:r>
      <w:r>
        <w:rPr>
          <w:rFonts w:ascii="MS Mincho" w:hAnsi="MS Mincho" w:cs="MS Mincho" w:eastAsia="MS Mincho" w:hint="ascii"/>
          <w:sz w:val="21"/>
        </w:rPr>
        <w:t>−</w:t>
      </w:r>
      <w:r>
        <w:rPr>
          <w:rFonts w:ascii="宋体" w:hAnsi="宋体" w:cs="宋体" w:eastAsia="宋体" w:hint="ascii"/>
          <w:sz w:val="21"/>
        </w:rPr>
        <w:t>机器人基础零部件、基础软件</w:t>
      </w:r>
      <w:r>
        <w:rPr>
          <w:rFonts w:ascii="MS Mincho" w:hAnsi="MS Mincho" w:cs="MS Mincho" w:eastAsia="MS Mincho" w:hint="ascii"/>
          <w:sz w:val="21"/>
        </w:rPr>
        <w:t>−</w:t>
      </w:r>
      <w:r>
        <w:rPr>
          <w:rFonts w:ascii="宋体" w:hAnsi="宋体" w:cs="宋体" w:eastAsia="宋体" w:hint="ascii"/>
          <w:sz w:val="21"/>
        </w:rPr>
        <w:t>（</w:t>
      </w:r>
      <w:r>
        <w:rPr>
          <w:rFonts w:ascii="Times New Roman" w:hAnsi="Times New Roman" w:cs="Times New Roman" w:eastAsia="Times New Roman" w:hint="ascii"/>
          <w:sz w:val="21"/>
        </w:rPr>
        <w:t>1</w:t>
      </w:r>
      <w:r>
        <w:rPr>
          <w:rFonts w:ascii="宋体" w:hAnsi="宋体" w:cs="宋体" w:eastAsia="宋体" w:hint="ascii"/>
          <w:sz w:val="21"/>
          <w:spacing w:val="-52"/>
        </w:rPr>
        <w:t>）</w:t>
      </w:r>
      <w:r>
        <w:rPr>
          <w:rFonts w:ascii="宋体" w:hAnsi="宋体" w:cs="宋体" w:eastAsia="宋体" w:hint="ascii"/>
          <w:sz w:val="21"/>
        </w:rPr>
        <w:t>“机器人驱动传动一体化关节关键技术与实现”撰写，……。</w:t>
      </w:r>
      <w:r>
        <w:rPr>
          <w:rFonts w:ascii="Times New Roman" w:hAnsi="Times New Roman" w:cs="Times New Roman" w:eastAsia="Times New Roman" w:hint="ascii"/>
          <w:sz w:val="21"/>
        </w:rPr>
        <w:t>]</w:t>
      </w:r>
      <w:r>
        <w:rPr>
          <w:rFonts w:ascii="宋体" w:hAnsi="宋体" w:cs="宋体" w:eastAsia="宋体" w:hint="ascii"/>
          <w:sz w:val="21"/>
        </w:rPr>
        <w:t>，以便评审专家清楚了解申请人所针对的研究题目和内容。</w:t>
      </w:r>
    </w:p>
    <w:p>
      <w:pPr>
        <w:autoSpaceDE w:val="0"/>
        <w:autoSpaceDN w:val="0"/>
        <w:jc w:val="left"/>
        <w:spacing w:before="34"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3</w:t>
      </w:r>
      <w:r>
        <w:rPr>
          <w:rFonts w:ascii="宋体" w:hAnsi="宋体" w:cs="宋体" w:eastAsia="宋体" w:hint="ascii"/>
          <w:sz w:val="21"/>
        </w:rPr>
        <w:t>）申请书中的资助类别选择“联合基金项目</w:t>
      </w:r>
      <w:r>
        <w:rPr>
          <w:rFonts w:ascii="宋体" w:hAnsi="宋体" w:cs="宋体" w:eastAsia="宋体" w:hint="ascii"/>
          <w:sz w:val="21"/>
          <w:spacing w:val="-52"/>
        </w:rPr>
        <w:t>”</w:t>
      </w:r>
      <w:r>
        <w:rPr>
          <w:rFonts w:ascii="宋体" w:hAnsi="宋体" w:cs="宋体" w:eastAsia="宋体" w:hint="ascii"/>
          <w:sz w:val="21"/>
        </w:rPr>
        <w:t>，亚类说明选择“重点支持项目</w:t>
      </w:r>
      <w:r>
        <w:rPr>
          <w:rFonts w:ascii="宋体" w:hAnsi="宋体" w:cs="宋体" w:eastAsia="宋体" w:hint="ascii"/>
          <w:sz w:val="21"/>
          <w:spacing w:val="-52"/>
        </w:rPr>
        <w:t>”</w:t>
      </w:r>
      <w:r>
        <w:rPr>
          <w:rFonts w:ascii="宋体" w:hAnsi="宋体" w:cs="宋体" w:eastAsia="宋体" w:hint="ascii"/>
          <w:sz w:val="21"/>
        </w:rPr>
        <w:t>，</w:t>
      </w:r>
    </w:p>
    <w:p>
      <w:pPr>
        <w:autoSpaceDE w:val="0"/>
        <w:autoSpaceDN w:val="0"/>
        <w:jc w:val="both"/>
        <w:spacing w:before="7" w:after="0" w:lineRule="exact" w:line="305"/>
        <w:ind w:right="976" w:left="966" w:firstLine="0"/>
        <w:snapToGrid w:val="0"/>
        <w:textAlignment w:val="auto"/>
        <w:tabs/>
        <w:rPr>
          <w:rFonts w:ascii="宋体" w:hAnsi="宋体" w:cs="宋体" w:eastAsia="宋体" w:hint="ascii"/>
          <w:sz w:val="21"/>
        </w:rPr>
      </w:pPr>
      <w:r>
        <w:rPr>
          <w:rFonts w:ascii="宋体" w:hAnsi="宋体" w:cs="宋体" w:eastAsia="宋体" w:hint="ascii"/>
          <w:sz w:val="21"/>
        </w:rPr>
        <w:t>附注</w:t>
      </w:r>
      <w:r>
        <w:rPr>
          <w:rFonts w:ascii="宋体" w:hAnsi="宋体" w:cs="宋体" w:eastAsia="宋体" w:hint="ascii"/>
          <w:sz w:val="21"/>
          <w:spacing w:val="-1"/>
        </w:rPr>
        <w:t>说</w:t>
      </w:r>
      <w:r>
        <w:rPr>
          <w:rFonts w:ascii="宋体" w:hAnsi="宋体" w:cs="宋体" w:eastAsia="宋体" w:hint="ascii"/>
          <w:sz w:val="21"/>
        </w:rPr>
        <w:t>明</w:t>
      </w:r>
      <w:r>
        <w:rPr>
          <w:rFonts w:ascii="宋体" w:hAnsi="宋体" w:cs="宋体" w:eastAsia="宋体" w:hint="ascii"/>
          <w:sz w:val="21"/>
          <w:spacing w:val="-1"/>
        </w:rPr>
        <w:t>选</w:t>
      </w:r>
      <w:r>
        <w:rPr>
          <w:rFonts w:ascii="宋体" w:hAnsi="宋体" w:cs="宋体" w:eastAsia="宋体" w:hint="ascii"/>
          <w:sz w:val="21"/>
        </w:rPr>
        <w:t>择“</w:t>
      </w:r>
      <w:r>
        <w:rPr>
          <w:rFonts w:ascii="Times New Roman" w:hAnsi="Times New Roman" w:cs="Times New Roman" w:eastAsia="Times New Roman" w:hint="ascii"/>
          <w:sz w:val="21"/>
        </w:rPr>
        <w:t>NS</w:t>
      </w:r>
      <w:r>
        <w:rPr>
          <w:rFonts w:ascii="Times New Roman" w:hAnsi="Times New Roman" w:cs="Times New Roman" w:eastAsia="Times New Roman" w:hint="ascii"/>
          <w:sz w:val="21"/>
          <w:spacing w:val="-2"/>
        </w:rPr>
        <w:t>F</w:t>
      </w:r>
      <w:r>
        <w:rPr>
          <w:rFonts w:ascii="Times New Roman" w:hAnsi="Times New Roman" w:cs="Times New Roman" w:eastAsia="Times New Roman" w:hint="ascii"/>
          <w:sz w:val="21"/>
        </w:rPr>
        <w:t>C</w:t>
      </w:r>
      <w:r>
        <w:rPr>
          <w:rFonts w:ascii="宋体" w:hAnsi="宋体" w:cs="宋体" w:eastAsia="宋体" w:hint="ascii"/>
          <w:sz w:val="21"/>
          <w:spacing w:val="2"/>
        </w:rPr>
        <w:t>-</w:t>
      </w:r>
      <w:r>
        <w:rPr>
          <w:rFonts w:ascii="宋体" w:hAnsi="宋体" w:cs="宋体" w:eastAsia="宋体" w:hint="ascii"/>
          <w:sz w:val="21"/>
        </w:rPr>
        <w:t>深圳</w:t>
      </w:r>
      <w:r>
        <w:rPr>
          <w:rFonts w:ascii="宋体" w:hAnsi="宋体" w:cs="宋体" w:eastAsia="宋体" w:hint="ascii"/>
          <w:sz w:val="21"/>
          <w:spacing w:val="-1"/>
        </w:rPr>
        <w:t>机</w:t>
      </w:r>
      <w:r>
        <w:rPr>
          <w:rFonts w:ascii="宋体" w:hAnsi="宋体" w:cs="宋体" w:eastAsia="宋体" w:hint="ascii"/>
          <w:sz w:val="21"/>
        </w:rPr>
        <w:t>器</w:t>
      </w:r>
      <w:r>
        <w:rPr>
          <w:rFonts w:ascii="宋体" w:hAnsi="宋体" w:cs="宋体" w:eastAsia="宋体" w:hint="ascii"/>
          <w:sz w:val="21"/>
          <w:spacing w:val="-1"/>
        </w:rPr>
        <w:t>人</w:t>
      </w:r>
      <w:r>
        <w:rPr>
          <w:rFonts w:ascii="宋体" w:hAnsi="宋体" w:cs="宋体" w:eastAsia="宋体" w:hint="ascii"/>
          <w:sz w:val="21"/>
        </w:rPr>
        <w:t>基础</w:t>
      </w:r>
      <w:r>
        <w:rPr>
          <w:rFonts w:ascii="宋体" w:hAnsi="宋体" w:cs="宋体" w:eastAsia="宋体" w:hint="ascii"/>
          <w:sz w:val="21"/>
          <w:spacing w:val="-1"/>
        </w:rPr>
        <w:t>研</w:t>
      </w:r>
      <w:r>
        <w:rPr>
          <w:rFonts w:ascii="宋体" w:hAnsi="宋体" w:cs="宋体" w:eastAsia="宋体" w:hint="ascii"/>
          <w:sz w:val="21"/>
        </w:rPr>
        <w:t>究</w:t>
      </w:r>
      <w:r>
        <w:rPr>
          <w:rFonts w:ascii="宋体" w:hAnsi="宋体" w:cs="宋体" w:eastAsia="宋体" w:hint="ascii"/>
          <w:sz w:val="21"/>
          <w:spacing w:val="-1"/>
        </w:rPr>
        <w:t>中</w:t>
      </w:r>
      <w:r>
        <w:rPr>
          <w:rFonts w:ascii="宋体" w:hAnsi="宋体" w:cs="宋体" w:eastAsia="宋体" w:hint="ascii"/>
          <w:sz w:val="21"/>
        </w:rPr>
        <w:t>心项目</w:t>
      </w:r>
      <w:r>
        <w:rPr>
          <w:rFonts w:ascii="宋体" w:hAnsi="宋体" w:cs="宋体" w:eastAsia="宋体" w:hint="ascii"/>
          <w:sz w:val="21"/>
          <w:spacing w:val="-54"/>
        </w:rPr>
        <w:t>”</w:t>
      </w:r>
      <w:r>
        <w:rPr>
          <w:rFonts w:ascii="宋体" w:hAnsi="宋体" w:cs="宋体" w:eastAsia="宋体" w:hint="ascii"/>
          <w:sz w:val="21"/>
        </w:rPr>
        <w:t>；</w:t>
      </w:r>
      <w:r>
        <w:rPr>
          <w:rFonts w:ascii="宋体" w:hAnsi="宋体" w:cs="宋体" w:eastAsia="宋体" w:hint="ascii"/>
          <w:sz w:val="21"/>
          <w:spacing w:val="-1"/>
        </w:rPr>
        <w:t>申</w:t>
      </w:r>
      <w:r>
        <w:rPr>
          <w:rFonts w:ascii="宋体" w:hAnsi="宋体" w:cs="宋体" w:eastAsia="宋体" w:hint="ascii"/>
          <w:sz w:val="21"/>
        </w:rPr>
        <w:t>请代</w:t>
      </w:r>
      <w:r>
        <w:rPr>
          <w:rFonts w:ascii="宋体" w:hAnsi="宋体" w:cs="宋体" w:eastAsia="宋体" w:hint="ascii"/>
          <w:sz w:val="21"/>
          <w:spacing w:val="-1"/>
        </w:rPr>
        <w:t>码</w:t>
      </w:r>
      <w:r>
        <w:rPr>
          <w:rFonts w:ascii="宋体" w:hAnsi="宋体" w:cs="宋体" w:eastAsia="宋体" w:hint="ascii"/>
          <w:sz w:val="21"/>
        </w:rPr>
        <w:t>必</w:t>
      </w:r>
      <w:r>
        <w:rPr>
          <w:rFonts w:ascii="宋体" w:hAnsi="宋体" w:cs="宋体" w:eastAsia="宋体" w:hint="ascii"/>
          <w:sz w:val="21"/>
          <w:spacing w:val="-1"/>
        </w:rPr>
        <w:t>须</w:t>
      </w:r>
      <w:r>
        <w:rPr>
          <w:rFonts w:ascii="宋体" w:hAnsi="宋体" w:cs="宋体" w:eastAsia="宋体" w:hint="ascii"/>
          <w:sz w:val="21"/>
        </w:rPr>
        <w:t>选择</w:t>
      </w:r>
      <w:r>
        <w:rPr>
          <w:rFonts w:ascii="宋体" w:hAnsi="宋体" w:cs="宋体" w:eastAsia="宋体" w:hint="ascii"/>
          <w:sz w:val="21"/>
          <w:spacing w:val="-1"/>
        </w:rPr>
        <w:t>工</w:t>
      </w:r>
      <w:r>
        <w:rPr>
          <w:rFonts w:ascii="宋体" w:hAnsi="宋体" w:cs="宋体" w:eastAsia="宋体" w:hint="ascii"/>
          <w:sz w:val="21"/>
        </w:rPr>
        <w:t>程</w:t>
      </w:r>
      <w:r>
        <w:rPr>
          <w:rFonts w:ascii="宋体" w:hAnsi="宋体" w:cs="宋体" w:eastAsia="宋体" w:hint="ascii"/>
          <w:sz w:val="21"/>
          <w:spacing w:val="-1"/>
        </w:rPr>
        <w:t>与</w:t>
      </w:r>
      <w:r>
        <w:rPr>
          <w:rFonts w:ascii="宋体" w:hAnsi="宋体" w:cs="宋体" w:eastAsia="宋体" w:hint="ascii"/>
          <w:sz w:val="21"/>
        </w:rPr>
        <w:t>材</w:t>
      </w:r>
      <w:r>
        <w:rPr>
          <w:rFonts w:ascii="宋体" w:hAnsi="宋体" w:cs="宋体" w:eastAsia="宋体" w:hint="ascii"/>
          <w:sz w:val="21"/>
          <w:spacing w:val="-4"/>
        </w:rPr>
        <w:t>料</w:t>
      </w:r>
      <w:r>
        <w:rPr>
          <w:rFonts w:ascii="宋体" w:hAnsi="宋体" w:cs="宋体" w:eastAsia="宋体" w:hint="ascii"/>
          <w:sz w:val="21"/>
          <w:spacing w:val="-1"/>
        </w:rPr>
        <w:t>科学部（</w:t>
      </w:r>
      <w:r>
        <w:rPr>
          <w:rFonts w:ascii="Times New Roman" w:hAnsi="Times New Roman" w:cs="Times New Roman" w:eastAsia="Times New Roman" w:hint="ascii"/>
          <w:sz w:val="21"/>
        </w:rPr>
        <w:t>E</w:t>
      </w:r>
      <w:r>
        <w:rPr>
          <w:rFonts w:ascii="Times New Roman" w:hAnsi="Times New Roman" w:cs="Times New Roman" w:eastAsia="Times New Roman" w:hint="ascii"/>
          <w:sz w:val="21"/>
          <w:spacing w:val="-9"/>
        </w:rPr>
        <w:t xml:space="preserve"> </w:t>
      </w:r>
      <w:r>
        <w:rPr>
          <w:rFonts w:ascii="宋体" w:hAnsi="宋体" w:cs="宋体" w:eastAsia="宋体" w:hint="ascii"/>
          <w:sz w:val="21"/>
        </w:rPr>
        <w:t>开头）或信息科学部（</w:t>
      </w:r>
      <w:r>
        <w:rPr>
          <w:rFonts w:ascii="Times New Roman" w:hAnsi="Times New Roman" w:cs="Times New Roman" w:eastAsia="Times New Roman" w:hint="ascii"/>
          <w:sz w:val="21"/>
        </w:rPr>
        <w:t>F</w:t>
      </w:r>
      <w:r>
        <w:rPr>
          <w:rFonts w:ascii="Times New Roman" w:hAnsi="Times New Roman" w:cs="Times New Roman" w:eastAsia="Times New Roman" w:hint="ascii"/>
          <w:sz w:val="21"/>
          <w:spacing w:val="-9"/>
        </w:rPr>
        <w:t xml:space="preserve"> </w:t>
      </w:r>
      <w:r>
        <w:rPr>
          <w:rFonts w:ascii="宋体" w:hAnsi="宋体" w:cs="宋体" w:eastAsia="宋体" w:hint="ascii"/>
          <w:sz w:val="21"/>
        </w:rPr>
        <w:t>开头）所属代码。以上选择不准确或未选择的项目申请将不予受理。</w:t>
      </w:r>
    </w:p>
    <w:p>
      <w:pPr>
        <w:autoSpaceDE w:val="0"/>
        <w:autoSpaceDN w:val="0"/>
        <w:jc w:val="left"/>
        <w:spacing w:before="31"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4</w:t>
      </w:r>
      <w:r>
        <w:rPr>
          <w:rFonts w:ascii="宋体" w:hAnsi="宋体" w:cs="宋体" w:eastAsia="宋体" w:hint="ascii"/>
          <w:sz w:val="21"/>
        </w:rPr>
        <w:t>）机器人中心项目面向全国，深圳市以外的依托单位申请项目，应与深圳市境内</w:t>
      </w:r>
    </w:p>
    <w:p>
      <w:pPr>
        <w:autoSpaceDE w:val="0"/>
        <w:autoSpaceDN w:val="0"/>
        <w:jc w:val="both"/>
        <w:spacing w:before="9" w:after="0" w:lineRule="exact" w:line="304"/>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高等院校</w:t>
      </w:r>
      <w:r>
        <w:rPr>
          <w:rFonts w:ascii="宋体" w:hAnsi="宋体" w:cs="宋体" w:eastAsia="宋体" w:hint="ascii"/>
          <w:sz w:val="21"/>
        </w:rPr>
        <w:t>、研究机构或企业合作申请。对于合作研究项目，应在申请书中明确合作各方的合作内容、主要分工等。</w:t>
      </w:r>
    </w:p>
    <w:p>
      <w:pPr>
        <w:autoSpaceDE w:val="0"/>
        <w:autoSpaceDN w:val="0"/>
        <w:jc w:val="left"/>
        <w:spacing w:before="33" w:after="0" w:lineRule="exact" w:line="263"/>
        <w:ind w:right="0" w:left="1281" w:firstLine="0"/>
        <w:snapToGrid w:val="0"/>
        <w:textAlignment w:val="auto"/>
        <w:tabs/>
        <w:rPr>
          <w:rFonts w:ascii="宋体" w:hAnsi="宋体" w:cs="宋体" w:eastAsia="宋体" w:hint="ascii"/>
          <w:sz w:val="21"/>
        </w:rPr>
      </w:pPr>
      <w:r>
        <w:rPr>
          <w:rFonts w:ascii="宋体" w:hAnsi="宋体" w:cs="宋体" w:eastAsia="宋体" w:hint="ascii"/>
          <w:sz w:val="21"/>
        </w:rPr>
        <w:t>（</w:t>
      </w:r>
      <w:r>
        <w:rPr>
          <w:rFonts w:ascii="Times New Roman" w:hAnsi="Times New Roman" w:cs="Times New Roman" w:eastAsia="Times New Roman" w:hint="ascii"/>
          <w:sz w:val="21"/>
        </w:rPr>
        <w:t>5</w:t>
      </w:r>
      <w:r>
        <w:rPr>
          <w:rFonts w:ascii="宋体" w:hAnsi="宋体" w:cs="宋体" w:eastAsia="宋体" w:hint="ascii"/>
          <w:sz w:val="21"/>
        </w:rPr>
        <w:t>）申请项目应当符合本《指南》的资助范围与要求。项目名称、具体研究方案、</w:t>
      </w:r>
    </w:p>
    <w:p>
      <w:pPr>
        <w:autoSpaceDE w:val="0"/>
        <w:autoSpaceDN w:val="0"/>
        <w:jc w:val="both"/>
        <w:spacing w:before="9" w:after="0" w:lineRule="exact" w:line="304"/>
        <w:ind w:right="976" w:left="966" w:firstLine="0"/>
        <w:snapToGrid w:val="0"/>
        <w:textAlignment w:val="auto"/>
        <w:tabs/>
        <w:rPr>
          <w:rFonts w:ascii="宋体" w:hAnsi="宋体" w:cs="宋体" w:eastAsia="宋体" w:hint="ascii"/>
          <w:sz w:val="21"/>
        </w:rPr>
      </w:pPr>
      <w:r>
        <w:rPr>
          <w:rFonts w:ascii="宋体" w:hAnsi="宋体" w:cs="宋体" w:eastAsia="宋体" w:hint="ascii"/>
          <w:sz w:val="21"/>
          <w:spacing w:val="-1"/>
        </w:rPr>
        <w:t>研究内容</w:t>
      </w:r>
      <w:r>
        <w:rPr>
          <w:rFonts w:ascii="宋体" w:hAnsi="宋体" w:cs="宋体" w:eastAsia="宋体" w:hint="ascii"/>
          <w:sz w:val="21"/>
        </w:rPr>
        <w:t>和目标等由申请人提出，要求申请人按照重点支持项目申请书撰写提纲撰写申请书。</w:t>
      </w:r>
    </w:p>
    <w:p>
      <w:pPr>
        <w:autoSpaceDE w:val="0"/>
        <w:autoSpaceDN w:val="0"/>
        <w:jc w:val="both"/>
        <w:spacing w:before="0" w:after="0" w:lineRule="exact" w:line="305"/>
        <w:ind w:right="976" w:left="966" w:firstLine="42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21"/>
        </w:rPr>
      </w:pPr>
      <w:r>
        <w:rPr>
          <w:rFonts w:ascii="宋体" w:hAnsi="宋体" w:cs="宋体" w:eastAsia="宋体" w:hint="ascii"/>
          <w:sz w:val="21"/>
          <w:spacing w:val="-1"/>
        </w:rPr>
        <w:t>如果申请</w:t>
      </w:r>
      <w:r>
        <w:rPr>
          <w:rFonts w:ascii="宋体" w:hAnsi="宋体" w:cs="宋体" w:eastAsia="宋体" w:hint="ascii"/>
          <w:sz w:val="21"/>
        </w:rPr>
        <w:t>人已经承担与本联合基金相关的国家其他科技计划项目，应当在申请书正文的“研究基础与工作条件”部分论述申请项目与其他相关项目的区别与联系。</w:t>
      </w:r>
      <w:rPr>
        <w:rFonts w:ascii="宋体" w:hAnsi="宋体" w:cs="宋体" w:eastAsia="宋体" w:hint="ascii"/>
        <w:sz w:val="21"/>
      </w:rPr>
    </w:p>
    <w:p>
      <w:pPr>
        <w:autoSpaceDE w:val="0"/>
        <w:autoSpaceDN w:val="0"/>
        <w:jc w:val="left"/>
        <w:spacing w:before="163"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联系方式</w:t>
      </w:r>
    </w:p>
    <w:p>
      <w:pPr>
        <w:autoSpaceDE w:val="0"/>
        <w:autoSpaceDN w:val="0"/>
        <w:jc w:val="left"/>
        <w:spacing w:before="197" w:after="0" w:lineRule="exact" w:line="263"/>
        <w:ind w:right="0" w:left="1388" w:firstLine="0"/>
        <w:snapToGrid w:val="0"/>
        <w:textAlignment w:val="auto"/>
        <w:tabs/>
        <w:rPr>
          <w:rFonts w:ascii="宋体" w:hAnsi="宋体" w:cs="宋体" w:eastAsia="宋体" w:hint="ascii"/>
          <w:sz w:val="21"/>
        </w:rPr>
      </w:pPr>
      <w:r>
        <w:rPr>
          <w:rFonts w:ascii="宋体" w:hAnsi="宋体" w:cs="宋体" w:eastAsia="宋体" w:hint="ascii"/>
          <w:sz w:val="21"/>
          <w:spacing w:val="-5"/>
        </w:rPr>
        <w:t>国家自然科学基金委员会计划</w:t>
      </w:r>
      <w:r>
        <w:rPr>
          <w:rFonts w:ascii="宋体" w:hAnsi="宋体" w:cs="宋体" w:eastAsia="宋体" w:hint="ascii"/>
          <w:sz w:val="21"/>
        </w:rPr>
        <w:t>局</w:t>
      </w:r>
    </w:p>
    <w:p>
      <w:pPr>
        <w:autoSpaceDE w:val="0"/>
        <w:autoSpaceDN w:val="0"/>
        <w:jc w:val="left"/>
        <w:spacing w:before="49" w:after="0" w:lineRule="exact" w:line="263"/>
        <w:ind w:right="0" w:left="1388"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33"/>
        </w:rPr>
        <w:t xml:space="preserve"> </w:t>
      </w:r>
      <w:r>
        <w:rPr>
          <w:rFonts w:ascii="宋体" w:hAnsi="宋体" w:cs="宋体" w:eastAsia="宋体" w:hint="ascii"/>
          <w:sz w:val="21"/>
          <w:spacing w:val="-5"/>
        </w:rPr>
        <w:t>址：北京市海淀区双清</w:t>
      </w:r>
      <w:r>
        <w:rPr>
          <w:rFonts w:ascii="宋体" w:hAnsi="宋体" w:cs="宋体" w:eastAsia="宋体" w:hint="ascii"/>
          <w:sz w:val="21"/>
          <w:spacing w:val="20"/>
        </w:rPr>
        <w:t>路</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spacing w:val="45"/>
        </w:rPr>
        <w:t>3</w:t>
      </w:r>
      <w:r>
        <w:rPr>
          <w:rFonts w:ascii="宋体" w:hAnsi="宋体" w:cs="宋体" w:eastAsia="宋体" w:hint="ascii"/>
          <w:sz w:val="21"/>
        </w:rPr>
        <w:t>号</w:t>
      </w:r>
    </w:p>
    <w:p>
      <w:pPr>
        <w:autoSpaceDE w:val="0"/>
        <w:autoSpaceDN w:val="0"/>
        <w:jc w:val="left"/>
        <w:spacing w:before="49" w:after="0" w:lineRule="exact" w:line="263"/>
        <w:ind w:right="0" w:left="1388"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33"/>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rPr>
        <w:t>1</w:t>
      </w:r>
      <w:r>
        <w:rPr>
          <w:rFonts w:ascii="Times New Roman" w:hAnsi="Times New Roman" w:cs="Times New Roman" w:eastAsia="Times New Roman" w:hint="ascii"/>
          <w:sz w:val="21"/>
          <w:spacing w:val="-5"/>
        </w:rPr>
        <w:t>00</w:t>
      </w:r>
      <w:r>
        <w:rPr>
          <w:rFonts w:ascii="Times New Roman" w:hAnsi="Times New Roman" w:cs="Times New Roman" w:eastAsia="Times New Roman" w:hint="ascii"/>
          <w:sz w:val="21"/>
        </w:rPr>
        <w:t>0</w:t>
      </w:r>
      <w:r>
        <w:rPr>
          <w:rFonts w:ascii="Times New Roman" w:hAnsi="Times New Roman" w:cs="Times New Roman" w:eastAsia="Times New Roman" w:hint="ascii"/>
          <w:sz w:val="21"/>
          <w:spacing w:val="-5"/>
        </w:rPr>
        <w:t>8</w:t>
      </w:r>
      <w:r>
        <w:rPr>
          <w:rFonts w:ascii="Times New Roman" w:hAnsi="Times New Roman" w:cs="Times New Roman" w:eastAsia="Times New Roman" w:hint="ascii"/>
          <w:sz w:val="21"/>
        </w:rPr>
        <w:t>5</w:t>
      </w:r>
    </w:p>
    <w:p>
      <w:pPr>
        <w:autoSpaceDE w:val="0"/>
        <w:autoSpaceDN w:val="0"/>
        <w:jc w:val="left"/>
        <w:spacing w:before="49" w:after="0" w:lineRule="exact" w:line="263"/>
        <w:ind w:right="0" w:left="1388"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雷</w:t>
      </w:r>
      <w:r>
        <w:rPr>
          <w:rFonts w:ascii="宋体" w:hAnsi="宋体" w:cs="宋体" w:eastAsia="宋体" w:hint="ascii"/>
          <w:sz w:val="21"/>
          <w:spacing w:val="37"/>
        </w:rPr>
        <w:t xml:space="preserve"> </w:t>
      </w:r>
      <w:r>
        <w:rPr>
          <w:rFonts w:ascii="宋体" w:hAnsi="宋体" w:cs="宋体" w:eastAsia="宋体" w:hint="ascii"/>
          <w:sz w:val="21"/>
        </w:rPr>
        <w:t>蓉</w:t>
      </w:r>
      <w:r>
        <w:rPr>
          <w:rFonts w:ascii="宋体" w:hAnsi="宋体" w:cs="宋体" w:eastAsia="宋体" w:hint="ascii"/>
          <w:sz w:val="21"/>
          <w:spacing w:val="38"/>
        </w:rPr>
        <w:t xml:space="preserve"> </w:t>
      </w:r>
      <w:r>
        <w:rPr>
          <w:rFonts w:ascii="宋体" w:hAnsi="宋体" w:cs="宋体" w:eastAsia="宋体" w:hint="ascii"/>
          <w:sz w:val="21"/>
        </w:rPr>
        <w:t>王</w:t>
      </w:r>
      <w:r>
        <w:rPr>
          <w:rFonts w:ascii="宋体" w:hAnsi="宋体" w:cs="宋体" w:eastAsia="宋体" w:hint="ascii"/>
          <w:sz w:val="21"/>
          <w:spacing w:val="38"/>
        </w:rPr>
        <w:t xml:space="preserve"> </w:t>
      </w:r>
      <w:r>
        <w:rPr>
          <w:rFonts w:ascii="宋体" w:hAnsi="宋体" w:cs="宋体" w:eastAsia="宋体" w:hint="ascii"/>
          <w:sz w:val="21"/>
        </w:rPr>
        <w:t>岩</w:t>
      </w:r>
    </w:p>
    <w:p>
      <w:pPr>
        <w:autoSpaceDE w:val="0"/>
        <w:autoSpaceDN w:val="0"/>
        <w:jc w:val="both"/>
        <w:spacing w:before="10" w:after="0" w:lineRule="exact" w:line="312"/>
        <w:ind w:right="0" w:left="1386"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31"/>
        </w:rPr>
        <w:t xml:space="preserve"> </w:t>
      </w:r>
      <w:r>
        <w:rPr>
          <w:rFonts w:ascii="宋体" w:hAnsi="宋体" w:cs="宋体" w:eastAsia="宋体" w:hint="ascii"/>
          <w:sz w:val="21"/>
          <w:spacing w:val="-7"/>
        </w:rPr>
        <w:t>话</w:t>
      </w:r>
      <w:r>
        <w:rPr>
          <w:rFonts w:ascii="宋体" w:hAnsi="宋体" w:cs="宋体" w:eastAsia="宋体" w:hint="ascii"/>
          <w:sz w:val="21"/>
          <w:spacing w:val="17"/>
        </w:rPr>
        <w:t>：</w:t>
      </w:r>
      <w:r>
        <w:rPr>
          <w:rFonts w:ascii="Times New Roman" w:hAnsi="Times New Roman" w:cs="Times New Roman" w:eastAsia="Times New Roman" w:hint="ascii"/>
          <w:sz w:val="21"/>
          <w:spacing w:val="-6"/>
        </w:rPr>
        <w:t>0</w:t>
      </w:r>
      <w:r>
        <w:rPr>
          <w:rFonts w:ascii="Times New Roman" w:hAnsi="Times New Roman" w:cs="Times New Roman" w:eastAsia="Times New Roman" w:hint="ascii"/>
          <w:sz w:val="21"/>
          <w:spacing w:val="-7"/>
        </w:rPr>
        <w:t>10</w:t>
      </w:r>
      <w:r>
        <w:rPr>
          <w:rFonts w:ascii="宋体" w:hAnsi="宋体" w:cs="宋体" w:eastAsia="宋体" w:hint="ascii"/>
          <w:sz w:val="21"/>
          <w:spacing w:val="-6"/>
        </w:rPr>
        <w:t>-</w:t>
      </w:r>
      <w:r>
        <w:rPr>
          <w:rFonts w:ascii="Times New Roman" w:hAnsi="Times New Roman" w:cs="Times New Roman" w:eastAsia="Times New Roman" w:hint="ascii"/>
          <w:sz w:val="21"/>
          <w:spacing w:val="-7"/>
        </w:rPr>
        <w:t>62</w:t>
      </w:r>
      <w:r>
        <w:rPr>
          <w:rFonts w:ascii="Times New Roman" w:hAnsi="Times New Roman" w:cs="Times New Roman" w:eastAsia="Times New Roman" w:hint="ascii"/>
          <w:sz w:val="21"/>
          <w:spacing w:val="-6"/>
        </w:rPr>
        <w:t>3</w:t>
      </w:r>
      <w:r>
        <w:rPr>
          <w:rFonts w:ascii="Times New Roman" w:hAnsi="Times New Roman" w:cs="Times New Roman" w:eastAsia="Times New Roman" w:hint="ascii"/>
          <w:sz w:val="21"/>
          <w:spacing w:val="-7"/>
        </w:rPr>
        <w:t>28</w:t>
      </w:r>
      <w:r>
        <w:rPr>
          <w:rFonts w:ascii="Times New Roman" w:hAnsi="Times New Roman" w:cs="Times New Roman" w:eastAsia="Times New Roman" w:hint="ascii"/>
          <w:sz w:val="21"/>
          <w:spacing w:val="-6"/>
        </w:rPr>
        <w:t>4</w:t>
      </w:r>
      <w:r>
        <w:rPr>
          <w:rFonts w:ascii="Times New Roman" w:hAnsi="Times New Roman" w:cs="Times New Roman" w:eastAsia="Times New Roman" w:hint="ascii"/>
          <w:sz w:val="21"/>
          <w:spacing w:val="-7"/>
        </w:rPr>
        <w:t>84</w:t>
      </w:r>
      <w:r>
        <w:rPr>
          <w:rFonts w:ascii="宋体" w:hAnsi="宋体" w:cs="宋体" w:eastAsia="宋体" w:hint="ascii"/>
          <w:sz w:val="21"/>
          <w:spacing w:val="-7"/>
        </w:rPr>
        <w:t>，</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7"/>
        </w:rPr>
        <w:t>0</w:t>
      </w:r>
      <w:r>
        <w:rPr>
          <w:rFonts w:ascii="宋体" w:hAnsi="宋体" w:cs="宋体" w:eastAsia="宋体" w:hint="ascii"/>
          <w:sz w:val="21"/>
          <w:spacing w:val="-7"/>
        </w:rPr>
        <w:t>-</w:t>
      </w:r>
      <w:r>
        <w:rPr>
          <w:rFonts w:ascii="Times New Roman" w:hAnsi="Times New Roman" w:cs="Times New Roman" w:eastAsia="Times New Roman" w:hint="ascii"/>
          <w:sz w:val="21"/>
          <w:spacing w:val="-6"/>
        </w:rPr>
        <w:t>6</w:t>
      </w:r>
      <w:r>
        <w:rPr>
          <w:rFonts w:ascii="Times New Roman" w:hAnsi="Times New Roman" w:cs="Times New Roman" w:eastAsia="Times New Roman" w:hint="ascii"/>
          <w:sz w:val="21"/>
          <w:spacing w:val="-7"/>
        </w:rPr>
        <w:t>23</w:t>
      </w:r>
      <w:r>
        <w:rPr>
          <w:rFonts w:ascii="Times New Roman" w:hAnsi="Times New Roman" w:cs="Times New Roman" w:eastAsia="Times New Roman" w:hint="ascii"/>
          <w:sz w:val="21"/>
          <w:spacing w:val="-6"/>
        </w:rPr>
        <w:t>2</w:t>
      </w:r>
      <w:r>
        <w:rPr>
          <w:rFonts w:ascii="Times New Roman" w:hAnsi="Times New Roman" w:cs="Times New Roman" w:eastAsia="Times New Roman" w:hint="ascii"/>
          <w:sz w:val="21"/>
          <w:spacing w:val="-7"/>
        </w:rPr>
        <w:t>70</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2"/>
        </w:rPr>
        <w:t>5</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5"/>
        </w:rPr>
        <w:t>leiro</w:t>
      </w:r>
      <w:r>
        <w:rPr>
          <w:rFonts w:ascii="Times New Roman" w:hAnsi="Times New Roman" w:cs="Times New Roman" w:eastAsia="Times New Roman" w:hint="ascii"/>
          <w:sz w:val="21"/>
        </w:rPr>
        <w:t>n</w:t>
      </w:r>
      <w:r>
        <w:rPr>
          <w:rFonts w:ascii="Times New Roman" w:hAnsi="Times New Roman" w:cs="Times New Roman" w:eastAsia="Times New Roman" w:hint="ascii"/>
          <w:sz w:val="21"/>
          <w:spacing w:val="-5"/>
        </w:rPr>
        <w:t>g@</w:t>
      </w:r>
      <w:r>
        <w:rPr>
          <w:rFonts w:ascii="Times New Roman" w:hAnsi="Times New Roman" w:cs="Times New Roman" w:eastAsia="Times New Roman" w:hint="ascii"/>
          <w:sz w:val="21"/>
        </w:rPr>
        <w:t>n</w:t>
      </w:r>
      <w:r>
        <w:rPr>
          <w:rFonts w:ascii="Times New Roman" w:hAnsi="Times New Roman" w:cs="Times New Roman" w:eastAsia="Times New Roman" w:hint="ascii"/>
          <w:sz w:val="21"/>
          <w:spacing w:val="-5"/>
        </w:rPr>
        <w:t>sfc.go</w:t>
      </w:r>
      <w:r>
        <w:rPr>
          <w:rFonts w:ascii="Times New Roman" w:hAnsi="Times New Roman" w:cs="Times New Roman" w:eastAsia="Times New Roman" w:hint="ascii"/>
          <w:sz w:val="21"/>
          <w:spacing w:val="-17"/>
        </w:rPr>
        <w:t>v</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rPr>
        <w:t>n</w:t>
      </w:r>
    </w:p>
    <w:p>
      <w:pPr>
        <w:autoSpaceDE w:val="0"/>
        <w:autoSpaceDN w:val="0"/>
        <w:jc w:val="left"/>
        <w:spacing w:before="54" w:after="0" w:lineRule="auto" w:line="240"/>
        <w:ind w:right="0" w:left="2386" w:firstLine="0"/>
        <w:snapToGrid w:val="0"/>
        <w:textAlignment w:val="auto"/>
        <w:tabs/>
        <w:rPr>
          <w:rFonts w:ascii="Times New Roman" w:hAnsi="Times New Roman" w:cs="Times New Roman" w:eastAsia="Times New Roman" w:hint="ascii"/>
          <w:sz w:val="21"/>
        </w:rPr>
      </w:pPr>
      <w:r>
        <w:rPr>
          <w:rFonts w:ascii="Times New Roman" w:hAnsi="Times New Roman" w:cs="Times New Roman" w:eastAsia="Times New Roman" w:hint="ascii"/>
          <w:sz w:val="21"/>
          <w:spacing w:val="-5"/>
        </w:rPr>
        <w:t>w</w:t>
      </w:r>
      <w:r>
        <w:rPr>
          <w:rFonts w:ascii="Times New Roman" w:hAnsi="Times New Roman" w:cs="Times New Roman" w:eastAsia="Times New Roman" w:hint="ascii"/>
          <w:sz w:val="21"/>
          <w:spacing w:val="-4"/>
        </w:rPr>
        <w:t>a</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y</w:t>
      </w:r>
      <w:r>
        <w:rPr>
          <w:rFonts w:ascii="Times New Roman" w:hAnsi="Times New Roman" w:cs="Times New Roman" w:eastAsia="Times New Roman" w:hint="ascii"/>
          <w:sz w:val="21"/>
          <w:spacing w:val="-4"/>
        </w:rPr>
        <w:t>an</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6"/>
        </w:rPr>
        <w:t>f</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g</w:t>
      </w:r>
      <w:r>
        <w:rPr>
          <w:rFonts w:ascii="Times New Roman" w:hAnsi="Times New Roman" w:cs="Times New Roman" w:eastAsia="Times New Roman" w:hint="ascii"/>
          <w:sz w:val="21"/>
          <w:spacing w:val="-5"/>
        </w:rPr>
        <w:t>o</w:t>
      </w:r>
      <w:r>
        <w:rPr>
          <w:rFonts w:ascii="Times New Roman" w:hAnsi="Times New Roman" w:cs="Times New Roman" w:eastAsia="Times New Roman" w:hint="ascii"/>
          <w:sz w:val="21"/>
          <w:spacing w:val="-19"/>
        </w:rPr>
        <w:t>v</w:t>
      </w:r>
      <w:r>
        <w:rPr>
          <w:rFonts w:ascii="Times New Roman" w:hAnsi="Times New Roman" w:cs="Times New Roman" w:eastAsia="Times New Roman" w:hint="ascii"/>
          <w:sz w:val="21"/>
          <w:spacing w:val="-4"/>
        </w:rPr>
        <w:t>.</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p>
    <w:p>
      <w:pPr>
        <w:autoSpaceDE w:val="0"/>
        <w:autoSpaceDN w:val="0"/>
        <w:jc w:val="left"/>
        <w:spacing w:before="659" w:after="0" w:lineRule="exact" w:line="263"/>
        <w:ind w:right="0" w:left="0" w:firstLine="0"/>
        <w:snapToGrid w:val="0"/>
        <w:textAlignment w:val="auto"/>
        <w:tabs/>
        <w:rPr>
          <w:rFonts w:ascii="宋体" w:hAnsi="宋体" w:cs="宋体" w:eastAsia="宋体" w:hint="ascii"/>
          <w:sz w:val="21"/>
        </w:rPr>
      </w:pPr>
      <w:r>
        <w:rPr>
          <w:rFonts w:ascii="Times New Roman" w:hAnsi="Times New Roman" w:cs="Times New Roman" w:eastAsia="Times New Roman" w:hint="ascii"/>
          <w:sz w:val="21"/>
        </w:rPr>
        <w:br w:type="column"/>
      </w:r>
      <w:r>
        <w:rPr>
          <w:rFonts w:ascii="宋体" w:hAnsi="宋体" w:cs="宋体" w:eastAsia="宋体" w:hint="ascii"/>
          <w:sz w:val="21"/>
          <w:spacing w:val="-5"/>
        </w:rPr>
        <w:t>深圳市科技创新委员</w:t>
      </w:r>
      <w:r>
        <w:rPr>
          <w:rFonts w:ascii="宋体" w:hAnsi="宋体" w:cs="宋体" w:eastAsia="宋体" w:hint="ascii"/>
          <w:sz w:val="21"/>
        </w:rPr>
        <w:t>会</w:t>
      </w:r>
    </w:p>
    <w:p>
      <w:pPr>
        <w:autoSpaceDE w:val="0"/>
        <w:autoSpaceDN w:val="0"/>
        <w:jc w:val="left"/>
        <w:spacing w:before="4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地</w:t>
      </w:r>
      <w:r>
        <w:rPr>
          <w:rFonts w:ascii="宋体" w:hAnsi="宋体" w:cs="宋体" w:eastAsia="宋体" w:hint="ascii"/>
          <w:sz w:val="21"/>
          <w:spacing w:val="132"/>
        </w:rPr>
        <w:t xml:space="preserve"> </w:t>
      </w:r>
      <w:r>
        <w:rPr>
          <w:rFonts w:ascii="宋体" w:hAnsi="宋体" w:cs="宋体" w:eastAsia="宋体" w:hint="ascii"/>
          <w:sz w:val="21"/>
          <w:spacing w:val="-5"/>
        </w:rPr>
        <w:t>址：深圳市福中三</w:t>
      </w:r>
      <w:r>
        <w:rPr>
          <w:rFonts w:ascii="宋体" w:hAnsi="宋体" w:cs="宋体" w:eastAsia="宋体" w:hint="ascii"/>
          <w:sz w:val="21"/>
        </w:rPr>
        <w:t>路</w:t>
      </w:r>
    </w:p>
    <w:p>
      <w:pPr>
        <w:autoSpaceDE w:val="0"/>
        <w:autoSpaceDN w:val="0"/>
        <w:jc w:val="left"/>
        <w:spacing w:before="49" w:after="0" w:lineRule="exact" w:line="263"/>
        <w:ind w:right="0"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rPr>
        <w:t>邮</w:t>
      </w:r>
      <w:r>
        <w:rPr>
          <w:rFonts w:ascii="宋体" w:hAnsi="宋体" w:cs="宋体" w:eastAsia="宋体" w:hint="ascii"/>
          <w:sz w:val="21"/>
          <w:spacing w:val="132"/>
        </w:rPr>
        <w:t xml:space="preserve"> </w:t>
      </w:r>
      <w:r>
        <w:rPr>
          <w:rFonts w:ascii="宋体" w:hAnsi="宋体" w:cs="宋体" w:eastAsia="宋体" w:hint="ascii"/>
          <w:sz w:val="21"/>
          <w:spacing w:val="-5"/>
        </w:rPr>
        <w:t>编：</w:t>
      </w:r>
      <w:r>
        <w:rPr>
          <w:rFonts w:ascii="Times New Roman" w:hAnsi="Times New Roman" w:cs="Times New Roman" w:eastAsia="Times New Roman" w:hint="ascii"/>
          <w:sz w:val="21"/>
          <w:spacing w:val="-5"/>
        </w:rPr>
        <w:t>51</w:t>
      </w:r>
      <w:r>
        <w:rPr>
          <w:rFonts w:ascii="Times New Roman" w:hAnsi="Times New Roman" w:cs="Times New Roman" w:eastAsia="Times New Roman" w:hint="ascii"/>
          <w:sz w:val="21"/>
        </w:rPr>
        <w:t>8</w:t>
      </w:r>
      <w:r>
        <w:rPr>
          <w:rFonts w:ascii="Times New Roman" w:hAnsi="Times New Roman" w:cs="Times New Roman" w:eastAsia="Times New Roman" w:hint="ascii"/>
          <w:sz w:val="21"/>
          <w:spacing w:val="-5"/>
        </w:rPr>
        <w:t>03</w:t>
      </w:r>
      <w:r>
        <w:rPr>
          <w:rFonts w:ascii="Times New Roman" w:hAnsi="Times New Roman" w:cs="Times New Roman" w:eastAsia="Times New Roman" w:hint="ascii"/>
          <w:sz w:val="21"/>
        </w:rPr>
        <w:t>5</w:t>
      </w:r>
    </w:p>
    <w:p>
      <w:pPr>
        <w:autoSpaceDE w:val="0"/>
        <w:autoSpaceDN w:val="0"/>
        <w:jc w:val="left"/>
        <w:spacing w:before="49" w:after="0" w:lineRule="exact" w:line="263"/>
        <w:ind w:right="0" w:left="0" w:firstLine="0"/>
        <w:snapToGrid w:val="0"/>
        <w:textAlignment w:val="auto"/>
        <w:tabs/>
        <w:rPr>
          <w:rFonts w:ascii="宋体" w:hAnsi="宋体" w:cs="宋体" w:eastAsia="宋体" w:hint="ascii"/>
          <w:sz w:val="21"/>
        </w:rPr>
      </w:pPr>
      <w:r>
        <w:rPr>
          <w:rFonts w:ascii="宋体" w:hAnsi="宋体" w:cs="宋体" w:eastAsia="宋体" w:hint="ascii"/>
          <w:sz w:val="21"/>
        </w:rPr>
        <w:t>联</w:t>
      </w:r>
      <w:r>
        <w:rPr>
          <w:rFonts w:ascii="宋体" w:hAnsi="宋体" w:cs="宋体" w:eastAsia="宋体" w:hint="ascii"/>
          <w:sz w:val="21"/>
          <w:spacing w:val="-10"/>
        </w:rPr>
        <w:t xml:space="preserve"> </w:t>
      </w:r>
      <w:r>
        <w:rPr>
          <w:rFonts w:ascii="宋体" w:hAnsi="宋体" w:cs="宋体" w:eastAsia="宋体" w:hint="ascii"/>
          <w:sz w:val="21"/>
        </w:rPr>
        <w:t>系</w:t>
      </w:r>
      <w:r>
        <w:rPr>
          <w:rFonts w:ascii="宋体" w:hAnsi="宋体" w:cs="宋体" w:eastAsia="宋体" w:hint="ascii"/>
          <w:sz w:val="21"/>
          <w:spacing w:val="-10"/>
        </w:rPr>
        <w:t xml:space="preserve"> </w:t>
      </w:r>
      <w:r>
        <w:rPr>
          <w:rFonts w:ascii="宋体" w:hAnsi="宋体" w:cs="宋体" w:eastAsia="宋体" w:hint="ascii"/>
          <w:sz w:val="21"/>
          <w:spacing w:val="-5"/>
        </w:rPr>
        <w:t>人：</w:t>
      </w:r>
      <w:r>
        <w:rPr>
          <w:rFonts w:ascii="宋体" w:hAnsi="宋体" w:cs="宋体" w:eastAsia="宋体" w:hint="ascii"/>
          <w:sz w:val="21"/>
        </w:rPr>
        <w:t>张</w:t>
      </w:r>
      <w:r>
        <w:rPr>
          <w:rFonts w:ascii="宋体" w:hAnsi="宋体" w:cs="宋体" w:eastAsia="宋体" w:hint="ascii"/>
          <w:sz w:val="21"/>
          <w:spacing w:val="37"/>
        </w:rPr>
        <w:t xml:space="preserve"> </w:t>
      </w:r>
      <w:r>
        <w:rPr>
          <w:rFonts w:ascii="宋体" w:hAnsi="宋体" w:cs="宋体" w:eastAsia="宋体" w:hint="ascii"/>
          <w:sz w:val="21"/>
        </w:rPr>
        <w:t>钊</w:t>
      </w:r>
      <w:r>
        <w:rPr>
          <w:rFonts w:ascii="宋体" w:hAnsi="宋体" w:cs="宋体" w:eastAsia="宋体" w:hint="ascii"/>
          <w:sz w:val="21"/>
          <w:spacing w:val="38"/>
        </w:rPr>
        <w:t xml:space="preserve"> </w:t>
      </w:r>
      <w:r>
        <w:rPr>
          <w:rFonts w:ascii="宋体" w:hAnsi="宋体" w:cs="宋体" w:eastAsia="宋体" w:hint="ascii"/>
          <w:sz w:val="21"/>
        </w:rPr>
        <w:t>林</w:t>
      </w:r>
      <w:r>
        <w:rPr>
          <w:rFonts w:ascii="宋体" w:hAnsi="宋体" w:cs="宋体" w:eastAsia="宋体" w:hint="ascii"/>
          <w:sz w:val="21"/>
          <w:spacing w:val="38"/>
        </w:rPr>
        <w:t xml:space="preserve"> </w:t>
      </w:r>
      <w:r>
        <w:rPr>
          <w:rFonts w:ascii="宋体" w:hAnsi="宋体" w:cs="宋体" w:eastAsia="宋体" w:hint="ascii"/>
          <w:sz w:val="21"/>
        </w:rPr>
        <w:t>慧</w:t>
      </w:r>
    </w:p>
    <w:p>
      <w:pPr>
        <w:autoSpaceDE w:val="0"/>
        <w:autoSpaceDN w:val="0"/>
        <w:jc w:val="both"/>
        <w:spacing w:before="10" w:after="0" w:lineRule="exact" w:line="312"/>
        <w:ind w:right="818" w:left="0" w:firstLine="0"/>
        <w:snapToGrid w:val="0"/>
        <w:textAlignment w:val="auto"/>
        <w:tabs/>
        <w:rPr>
          <w:rFonts w:ascii="Times New Roman" w:hAnsi="Times New Roman" w:cs="Times New Roman" w:eastAsia="Times New Roman" w:hint="ascii"/>
          <w:sz w:val="21"/>
        </w:rPr>
      </w:pPr>
      <w:r>
        <w:rPr>
          <w:rFonts w:ascii="宋体" w:hAnsi="宋体" w:cs="宋体" w:eastAsia="宋体" w:hint="ascii"/>
          <w:sz w:val="21"/>
          <w:spacing w:val="-2"/>
        </w:rPr>
        <w:t>电</w:t>
      </w:r>
      <w:r>
        <w:rPr>
          <w:rFonts w:ascii="宋体" w:hAnsi="宋体" w:cs="宋体" w:eastAsia="宋体" w:hint="ascii"/>
          <w:sz w:val="21"/>
          <w:spacing w:val="130"/>
        </w:rPr>
        <w:t xml:space="preserve"> </w:t>
      </w:r>
      <w:r>
        <w:rPr>
          <w:rFonts w:ascii="宋体" w:hAnsi="宋体" w:cs="宋体" w:eastAsia="宋体" w:hint="ascii"/>
          <w:sz w:val="21"/>
          <w:spacing w:val="-7"/>
        </w:rPr>
        <w:t>话：</w:t>
      </w:r>
      <w:r>
        <w:rPr>
          <w:rFonts w:ascii="Times New Roman" w:hAnsi="Times New Roman" w:cs="Times New Roman" w:eastAsia="Times New Roman" w:hint="ascii"/>
          <w:sz w:val="21"/>
          <w:spacing w:val="-7"/>
        </w:rPr>
        <w:t>07</w:t>
      </w:r>
      <w:r>
        <w:rPr>
          <w:rFonts w:ascii="Times New Roman" w:hAnsi="Times New Roman" w:cs="Times New Roman" w:eastAsia="Times New Roman" w:hint="ascii"/>
          <w:sz w:val="21"/>
          <w:spacing w:val="-6"/>
        </w:rPr>
        <w:t>5</w:t>
      </w:r>
      <w:r>
        <w:rPr>
          <w:rFonts w:ascii="Times New Roman" w:hAnsi="Times New Roman" w:cs="Times New Roman" w:eastAsia="Times New Roman" w:hint="ascii"/>
          <w:sz w:val="21"/>
          <w:spacing w:val="-7"/>
        </w:rPr>
        <w:t>5</w:t>
      </w:r>
      <w:r>
        <w:rPr>
          <w:rFonts w:ascii="宋体" w:hAnsi="宋体" w:cs="宋体" w:eastAsia="宋体" w:hint="ascii"/>
          <w:sz w:val="21"/>
          <w:spacing w:val="-7"/>
        </w:rPr>
        <w:t>-</w:t>
      </w:r>
      <w:r>
        <w:rPr>
          <w:rFonts w:ascii="Times New Roman" w:hAnsi="Times New Roman" w:cs="Times New Roman" w:eastAsia="Times New Roman" w:hint="ascii"/>
          <w:sz w:val="21"/>
          <w:spacing w:val="-6"/>
        </w:rPr>
        <w:t>8</w:t>
      </w:r>
      <w:r>
        <w:rPr>
          <w:rFonts w:ascii="Times New Roman" w:hAnsi="Times New Roman" w:cs="Times New Roman" w:eastAsia="Times New Roman" w:hint="ascii"/>
          <w:sz w:val="21"/>
          <w:spacing w:val="-7"/>
        </w:rPr>
        <w:t>61</w:t>
      </w:r>
      <w:r>
        <w:rPr>
          <w:rFonts w:ascii="Times New Roman" w:hAnsi="Times New Roman" w:cs="Times New Roman" w:eastAsia="Times New Roman" w:hint="ascii"/>
          <w:sz w:val="21"/>
          <w:spacing w:val="-6"/>
        </w:rPr>
        <w:t>6</w:t>
      </w:r>
      <w:r>
        <w:rPr>
          <w:rFonts w:ascii="Times New Roman" w:hAnsi="Times New Roman" w:cs="Times New Roman" w:eastAsia="Times New Roman" w:hint="ascii"/>
          <w:sz w:val="21"/>
          <w:spacing w:val="-7"/>
        </w:rPr>
        <w:t>81</w:t>
      </w:r>
      <w:r>
        <w:rPr>
          <w:rFonts w:ascii="Times New Roman" w:hAnsi="Times New Roman" w:cs="Times New Roman" w:eastAsia="Times New Roman" w:hint="ascii"/>
          <w:sz w:val="21"/>
          <w:spacing w:val="-6"/>
        </w:rPr>
        <w:t>6</w:t>
      </w:r>
      <w:r>
        <w:rPr>
          <w:rFonts w:ascii="Times New Roman" w:hAnsi="Times New Roman" w:cs="Times New Roman" w:eastAsia="Times New Roman" w:hint="ascii"/>
          <w:sz w:val="21"/>
          <w:spacing w:val="-7"/>
        </w:rPr>
        <w:t>4</w:t>
      </w:r>
      <w:r>
        <w:rPr>
          <w:rFonts w:ascii="宋体" w:hAnsi="宋体" w:cs="宋体" w:eastAsia="宋体" w:hint="ascii"/>
          <w:sz w:val="21"/>
          <w:spacing w:val="-7"/>
        </w:rPr>
        <w:t>，</w:t>
      </w:r>
      <w:r>
        <w:rPr>
          <w:rFonts w:ascii="Times New Roman" w:hAnsi="Times New Roman" w:cs="Times New Roman" w:eastAsia="Times New Roman" w:hint="ascii"/>
          <w:sz w:val="21"/>
          <w:spacing w:val="-7"/>
        </w:rPr>
        <w:t>0</w:t>
      </w:r>
      <w:r>
        <w:rPr>
          <w:rFonts w:ascii="Times New Roman" w:hAnsi="Times New Roman" w:cs="Times New Roman" w:eastAsia="Times New Roman" w:hint="ascii"/>
          <w:sz w:val="21"/>
          <w:spacing w:val="-6"/>
        </w:rPr>
        <w:t>7</w:t>
      </w:r>
      <w:r>
        <w:rPr>
          <w:rFonts w:ascii="Times New Roman" w:hAnsi="Times New Roman" w:cs="Times New Roman" w:eastAsia="Times New Roman" w:hint="ascii"/>
          <w:sz w:val="21"/>
          <w:spacing w:val="-7"/>
        </w:rPr>
        <w:t>55</w:t>
      </w:r>
      <w:r>
        <w:rPr>
          <w:rFonts w:ascii="宋体" w:hAnsi="宋体" w:cs="宋体" w:eastAsia="宋体" w:hint="ascii"/>
          <w:sz w:val="21"/>
          <w:spacing w:val="-6"/>
        </w:rPr>
        <w:t>-</w:t>
      </w:r>
      <w:r>
        <w:rPr>
          <w:rFonts w:ascii="Times New Roman" w:hAnsi="Times New Roman" w:cs="Times New Roman" w:eastAsia="Times New Roman" w:hint="ascii"/>
          <w:sz w:val="21"/>
          <w:spacing w:val="-7"/>
        </w:rPr>
        <w:t>86</w:t>
      </w:r>
      <w:r>
        <w:rPr>
          <w:rFonts w:ascii="Times New Roman" w:hAnsi="Times New Roman" w:cs="Times New Roman" w:eastAsia="Times New Roman" w:hint="ascii"/>
          <w:sz w:val="21"/>
          <w:spacing w:val="-6"/>
        </w:rPr>
        <w:t>1</w:t>
      </w:r>
      <w:r>
        <w:rPr>
          <w:rFonts w:ascii="Times New Roman" w:hAnsi="Times New Roman" w:cs="Times New Roman" w:eastAsia="Times New Roman" w:hint="ascii"/>
          <w:sz w:val="21"/>
          <w:spacing w:val="-7"/>
        </w:rPr>
        <w:t>68</w:t>
      </w:r>
      <w:r>
        <w:rPr>
          <w:rFonts w:ascii="Times New Roman" w:hAnsi="Times New Roman" w:cs="Times New Roman" w:eastAsia="Times New Roman" w:hint="ascii"/>
          <w:sz w:val="21"/>
          <w:spacing w:val="-6"/>
        </w:rPr>
        <w:t>95</w:t>
      </w:r>
      <w:r>
        <w:rPr>
          <w:rFonts w:ascii="Times New Roman" w:hAnsi="Times New Roman" w:cs="Times New Roman" w:eastAsia="Times New Roman" w:hint="ascii"/>
          <w:sz w:val="21"/>
          <w:spacing w:val="-1"/>
        </w:rPr>
        <w:t>1</w:t>
      </w:r>
      <w:r>
        <w:rPr>
          <w:rFonts w:ascii="Times New Roman" w:hAnsi="Times New Roman" w:cs="Times New Roman" w:eastAsia="Times New Roman" w:hint="ascii"/>
          <w:sz w:val="21"/>
        </w:rPr>
        <w:t xml:space="preserve"> </w:t>
      </w:r>
      <w:r>
        <w:rPr>
          <w:rFonts w:ascii="宋体" w:hAnsi="宋体" w:cs="宋体" w:eastAsia="宋体" w:hint="ascii"/>
          <w:sz w:val="21"/>
          <w:spacing w:val="-5"/>
        </w:rPr>
        <w:t>电子邮件：</w:t>
      </w:r>
      <w:r>
        <w:rPr>
          <w:rFonts w:ascii="Times New Roman" w:hAnsi="Times New Roman" w:cs="Times New Roman" w:eastAsia="Times New Roman" w:hint="ascii"/>
          <w:sz w:val="21"/>
          <w:spacing w:val="-6"/>
        </w:rPr>
        <w:t>z</w:t>
      </w:r>
      <w:r>
        <w:rPr>
          <w:rFonts w:ascii="Times New Roman" w:hAnsi="Times New Roman" w:cs="Times New Roman" w:eastAsia="Times New Roman" w:hint="ascii"/>
          <w:sz w:val="21"/>
          <w:spacing w:val="-5"/>
        </w:rPr>
        <w:t>hangz@</w:t>
      </w:r>
      <w:r>
        <w:rPr>
          <w:rFonts w:ascii="Times New Roman" w:hAnsi="Times New Roman" w:cs="Times New Roman" w:eastAsia="Times New Roman" w:hint="ascii"/>
          <w:sz w:val="21"/>
          <w:spacing w:val="-6"/>
        </w:rPr>
        <w:t>s</w:t>
      </w:r>
      <w:r>
        <w:rPr>
          <w:rFonts w:ascii="Times New Roman" w:hAnsi="Times New Roman" w:cs="Times New Roman" w:eastAsia="Times New Roman" w:hint="ascii"/>
          <w:sz w:val="21"/>
          <w:spacing w:val="-5"/>
        </w:rPr>
        <w:t>z</w:t>
      </w:r>
      <w:r>
        <w:rPr>
          <w:rFonts w:ascii="Times New Roman" w:hAnsi="Times New Roman" w:cs="Times New Roman" w:eastAsia="Times New Roman" w:hint="ascii"/>
          <w:sz w:val="21"/>
          <w:spacing w:val="-6"/>
        </w:rPr>
        <w:t>i</w:t>
      </w:r>
      <w:r>
        <w:rPr>
          <w:rFonts w:ascii="Times New Roman" w:hAnsi="Times New Roman" w:cs="Times New Roman" w:eastAsia="Times New Roman" w:hint="ascii"/>
          <w:sz w:val="21"/>
          <w:spacing w:val="-5"/>
        </w:rPr>
        <w:t>c</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rPr>
        <w:t>n</w:t>
      </w:r>
      <w:r>
        <w:rPr>
          <w:rFonts w:ascii="Times New Roman" w:hAnsi="Times New Roman" w:cs="Times New Roman" w:eastAsia="Times New Roman" w:hint="ascii"/>
          <w:sz w:val="21"/>
          <w:spacing w:val="-6"/>
        </w:rPr>
        <w:t>e</w:t>
      </w:r>
      <w:r>
        <w:rPr>
          <w:rFonts w:ascii="Times New Roman" w:hAnsi="Times New Roman" w:cs="Times New Roman" w:eastAsia="Times New Roman" w:hint="ascii"/>
          <w:sz w:val="21"/>
        </w:rPr>
        <w:t>t</w:t>
      </w:r>
    </w:p>
    <w:p>
      <w:pPr>
        <w:autoSpaceDE w:val="0"/>
        <w:autoSpaceDN w:val="0"/>
        <w:jc w:val="left"/>
        <w:spacing w:before="54" w:after="0" w:lineRule="auto" w:line="240"/>
        <w:ind w:right="0" w:left="998" w:firstLine="0"/>
        <w:snapToGrid w:val="0"/>
        <w:textAlignment w:val="auto"/>
        <w:tabs/>
        <w:sectPr>
          <w:type w:val="continuous"/>
          <w:pgSz w:w="10940" w:h="15080" w:orient="portrait"/>
          <w:pgMar w:top="508" w:right="508" w:bottom="508" w:left="508" w:header="0" w:footer="0" w:gutter="0"/>
          <w:cols w:num="2" w:space="0" w:equalWidth="0">
            <w:col w:w="5022" w:space="298"/>
            <w:col w:w="4604"/>
          </w:cols>
          <w:docGrid w:type="default"/>
          <w:pgNumType w:fmt="decimal" w:start="0"/>
          <w:footnotePr>
            <w:pos w:val="sectEnd"/>
            <w:numStart w:val="0"/>
          </w:footnotePr>
          <w:endnotePr>
            <w:numFmt w:val="decimal"/>
            <w:numStart w:val="0"/>
          </w:endnotePr>
        </w:sectPr>
        <w:rPr>
          <w:rFonts w:ascii="Times New Roman" w:hAnsi="Times New Roman" w:cs="Times New Roman" w:eastAsia="Times New Roman" w:hint="ascii"/>
          <w:sz w:val="21"/>
        </w:rPr>
      </w:pPr>
      <w:r>
        <w:rPr>
          <w:rFonts w:ascii="Times New Roman" w:hAnsi="Times New Roman" w:cs="Times New Roman" w:eastAsia="Times New Roman" w:hint="ascii"/>
          <w:sz w:val="21"/>
          <w:spacing w:val="-6"/>
        </w:rPr>
        <w:t>li</w:t>
      </w:r>
      <w:r>
        <w:rPr>
          <w:rFonts w:ascii="Times New Roman" w:hAnsi="Times New Roman" w:cs="Times New Roman" w:eastAsia="Times New Roman" w:hint="ascii"/>
          <w:sz w:val="21"/>
          <w:spacing w:val="-5"/>
        </w:rPr>
        <w:t>n</w:t>
      </w:r>
      <w:r>
        <w:rPr>
          <w:rFonts w:ascii="Times New Roman" w:hAnsi="Times New Roman" w:cs="Times New Roman" w:eastAsia="Times New Roman" w:hint="ascii"/>
          <w:sz w:val="21"/>
          <w:spacing w:val="-4"/>
        </w:rPr>
        <w:t>h</w:t>
      </w:r>
      <w:r>
        <w:rPr>
          <w:rFonts w:ascii="Times New Roman" w:hAnsi="Times New Roman" w:cs="Times New Roman" w:eastAsia="Times New Roman" w:hint="ascii"/>
          <w:sz w:val="21"/>
          <w:spacing w:val="-5"/>
        </w:rPr>
        <w:t>@s</w:t>
      </w:r>
      <w:r>
        <w:rPr>
          <w:rFonts w:ascii="Times New Roman" w:hAnsi="Times New Roman" w:cs="Times New Roman" w:eastAsia="Times New Roman" w:hint="ascii"/>
          <w:sz w:val="21"/>
          <w:spacing w:val="-6"/>
        </w:rPr>
        <w:t>z</w:t>
      </w:r>
      <w:r>
        <w:rPr>
          <w:rFonts w:ascii="Times New Roman" w:hAnsi="Times New Roman" w:cs="Times New Roman" w:eastAsia="Times New Roman" w:hint="ascii"/>
          <w:sz w:val="21"/>
          <w:spacing w:val="-4"/>
        </w:rPr>
        <w:t>i</w:t>
      </w:r>
      <w:r>
        <w:rPr>
          <w:rFonts w:ascii="Times New Roman" w:hAnsi="Times New Roman" w:cs="Times New Roman" w:eastAsia="Times New Roman" w:hint="ascii"/>
          <w:sz w:val="21"/>
          <w:spacing w:val="-6"/>
        </w:rPr>
        <w:t>c</w:t>
      </w:r>
      <w:r>
        <w:rPr>
          <w:rFonts w:ascii="Times New Roman" w:hAnsi="Times New Roman" w:cs="Times New Roman" w:eastAsia="Times New Roman" w:hint="ascii"/>
          <w:sz w:val="21"/>
          <w:spacing w:val="-4"/>
        </w:rPr>
        <w:t>c</w:t>
      </w:r>
      <w:r>
        <w:rPr>
          <w:rFonts w:ascii="Times New Roman" w:hAnsi="Times New Roman" w:cs="Times New Roman" w:eastAsia="Times New Roman" w:hint="ascii"/>
          <w:sz w:val="21"/>
          <w:spacing w:val="-6"/>
        </w:rPr>
        <w:t>.</w:t>
      </w:r>
      <w:r>
        <w:rPr>
          <w:rFonts w:ascii="Times New Roman" w:hAnsi="Times New Roman" w:cs="Times New Roman" w:eastAsia="Times New Roman" w:hint="ascii"/>
          <w:sz w:val="21"/>
          <w:spacing w:val="-4"/>
        </w:rPr>
        <w:t>n</w:t>
      </w:r>
      <w:r>
        <w:rPr>
          <w:rFonts w:ascii="Times New Roman" w:hAnsi="Times New Roman" w:cs="Times New Roman" w:eastAsia="Times New Roman" w:hint="ascii"/>
          <w:sz w:val="21"/>
          <w:spacing w:val="-6"/>
        </w:rPr>
        <w:t>e</w:t>
      </w:r>
      <w:r>
        <w:rPr>
          <w:rFonts w:ascii="Times New Roman" w:hAnsi="Times New Roman" w:cs="Times New Roman" w:eastAsia="Times New Roman" w:hint="ascii"/>
          <w:sz w:val="21"/>
        </w:rPr>
        <w:t>t</w:t>
      </w:r>
      <w:rPr>
        <w:rFonts w:ascii="Times New Roman" w:hAnsi="Times New Roman" w:cs="Times New Roman" w:eastAsia="Times New Roman" w:hint="ascii"/>
        <w:sz w:val="21"/>
      </w:rPr>
    </w:p>
    <w:p>
      <w:pPr>
        <w:autoSpaceDE w:val="0"/>
        <w:autoSpaceDN w:val="0"/>
        <w:jc w:val="left"/>
        <w:spacing w:before="2337"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841" w:after="0" w:lineRule="exact" w:line="650"/>
        <w:ind w:right="0" w:left="2875" w:firstLine="0"/>
        <w:snapToGrid w:val="0"/>
        <w:textAlignment w:val="auto"/>
        <w:tabs/>
        <w:rPr>
          <w:rFonts w:ascii="宋体" w:hAnsi="宋体" w:cs="宋体" w:eastAsia="宋体" w:hint="ascii"/>
          <w:sz w:val="52"/>
        </w:rPr>
      </w:pPr>
      <w:r>
        <w:rPr>
          <w:rFonts w:ascii="宋体" w:hAnsi="宋体" w:cs="宋体" w:eastAsia="宋体" w:hint="ascii"/>
          <w:sz w:val="52"/>
        </w:rPr>
        <w:t>数学天元基金项目</w:t>
      </w:r>
      <w:r>
        <w:rPr>
          <w:rFonts w:ascii="宋体" w:hAnsi="宋体" w:cs="宋体" w:eastAsia="宋体" w:hint="ascii"/>
          <w:sz w:val="52"/>
        </w:rPr>
        <mc:AlternateContent>
          <mc:Choice Requires="wps">
            <w:drawing>
              <wp:anchor distL="0" distR="0" distT="0" distB="0" simplePos="0" behindDoc="1" relativeHeight="325" locked="0" layoutInCell="1" allowOverlap="1">
                <wp:simplePos x="0" y="0"/>
                <wp:positionH relativeFrom="page">
                  <wp:posOffset>938530</wp:posOffset>
                </wp:positionH>
                <wp:positionV relativeFrom="page">
                  <wp:posOffset>819150</wp:posOffset>
                </wp:positionV>
                <wp:extent cx="5076190" cy="0"/>
                <wp:wrapNone/>
                <wp:docPr id="1352" name="135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25440;width:399.70pt;" id="1352"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326" locked="0" layoutInCell="1" allowOverlap="1">
                <wp:simplePos x="0" y="0"/>
                <wp:positionH relativeFrom="page">
                  <wp:posOffset>278765</wp:posOffset>
                </wp:positionH>
                <wp:positionV relativeFrom="page">
                  <wp:posOffset>512445</wp:posOffset>
                </wp:positionV>
                <wp:extent cx="6339840" cy="480060"/>
                <wp:wrapNone/>
                <wp:docPr id="1353" name="1353"/>
                <wp:cNvGraphicFramePr/>
                <a:graphic>
                  <a:graphicData uri="http://schemas.microsoft.com/office/word/2010/wordprocessingShape">
                    <wps:wsp>
                      <wps:cNvSpPr/>
                      <wps:spPr>
                        <a:xfrm>
                          <a:off x="0" y="0"/>
                          <a:ext cx="6339840" cy="48006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1.95pt;mso-position-vertical:absolute;mso-position-vertical-relative:page;margin-top:40.35pt;z-index:-251324416;width:499.20pt;height:37.80pt;" id="1353" coordsize="9984,756" stroked="f" fillcolor="#ffffff" opacity="0f">
                <v:stroke endcap="round"/>
                <v:fill opacity="0f"/>
                <w10:wrap anchorx="page" anchory="page" side="both"/>
              </v:rect>
            </w:pict>
          </mc:Fallback>
        </mc:AlternateContent>
      </w:r>
    </w:p>
    <w:p>
      <w:pPr>
        <w:autoSpaceDE w:val="0"/>
        <w:autoSpaceDN w:val="0"/>
        <w:jc w:val="left"/>
        <w:spacing w:before="4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数学天元基金是为凝聚数学家集体智慧，探索符合数学特点和发展规律</w:t>
      </w:r>
    </w:p>
    <w:p>
      <w:pPr>
        <w:autoSpaceDE w:val="0"/>
        <w:autoSpaceDN w:val="0"/>
        <w:jc w:val="both"/>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的资助方式，推动建设数学强国而设立的专项科学基金。数学天元基金项目</w:t>
      </w:r>
      <w:r>
        <w:rPr>
          <w:rFonts w:ascii="宋体" w:hAnsi="宋体" w:cs="宋体" w:eastAsia="宋体" w:hint="ascii"/>
          <w:spacing w:val="2"/>
        </w:rPr>
        <w:t>支持科学技术人员结合数学学科特点</w:t>
      </w:r>
      <w:r>
        <w:rPr>
          <w:rFonts w:ascii="宋体" w:hAnsi="宋体" w:cs="宋体" w:eastAsia="宋体" w:hint="ascii"/>
          <w:spacing w:val="1"/>
        </w:rPr>
        <w:t>和需求，开展科学研究，培育青年</w:t>
      </w:r>
      <w:r>
        <w:rPr>
          <w:rFonts w:ascii="宋体" w:hAnsi="宋体" w:cs="宋体" w:eastAsia="宋体" w:hint="ascii"/>
          <w:spacing w:val="-8"/>
        </w:rPr>
        <w:t>人</w:t>
      </w:r>
      <w:r>
        <w:rPr>
          <w:rFonts w:ascii="宋体" w:hAnsi="宋体" w:cs="宋体" w:eastAsia="宋体" w:hint="ascii"/>
        </w:rPr>
        <w:t>才，促进学术交流，优化研究环境，传播数学文化，从而提升中国数学创新能力。</w:t>
      </w:r>
      <w:r>
        <w:rPr>
          <w:rFonts w:ascii="Times New Roman" w:hAnsi="Times New Roman" w:cs="Times New Roman" w:eastAsia="Times New Roman" w:hint="ascii"/>
        </w:rPr>
        <w:t>201</w:t>
      </w:r>
      <w:r>
        <w:rPr>
          <w:rFonts w:ascii="Times New Roman" w:hAnsi="Times New Roman" w:cs="Times New Roman" w:eastAsia="Times New Roman" w:hint="ascii"/>
          <w:spacing w:val="60"/>
        </w:rPr>
        <w:t>8</w:t>
      </w:r>
      <w:r>
        <w:rPr>
          <w:rFonts w:ascii="宋体" w:hAnsi="宋体" w:cs="宋体" w:eastAsia="宋体" w:hint="ascii"/>
        </w:rPr>
        <w:t>年度数学天元基金项目主要资助以</w:t>
      </w:r>
      <w:r>
        <w:rPr>
          <w:rFonts w:ascii="宋体" w:hAnsi="宋体" w:cs="宋体" w:eastAsia="宋体" w:hint="ascii"/>
          <w:spacing w:val="30"/>
        </w:rPr>
        <w:t>下</w:t>
      </w:r>
      <w:r>
        <w:rPr>
          <w:rFonts w:ascii="Times New Roman" w:hAnsi="Times New Roman" w:cs="Times New Roman" w:eastAsia="Times New Roman" w:hint="ascii"/>
          <w:spacing w:val="60"/>
        </w:rPr>
        <w:t>6</w:t>
      </w:r>
      <w:r>
        <w:rPr>
          <w:rFonts w:ascii="宋体" w:hAnsi="宋体" w:cs="宋体" w:eastAsia="宋体" w:hint="ascii"/>
        </w:rPr>
        <w:t>个类型。</w:t>
      </w:r>
    </w:p>
    <w:p>
      <w:pPr>
        <w:autoSpaceDE w:val="0"/>
        <w:autoSpaceDN w:val="0"/>
        <w:jc w:val="left"/>
        <w:spacing w:before="44" w:after="0" w:lineRule="auto" w:line="240"/>
        <w:ind w:right="0" w:left="1746" w:hanging="300"/>
        <w:snapToGrid w:val="0"/>
        <w:textAlignment w:val="auto"/>
        <w:tabs>
          <w:tab w:val="left" w:leader="none" w:pos="1746"/>
        </w:tabs>
        <w:numPr>
          <w:ilvl w:val="0"/>
          <w:numId w:val="345"/>
        </w:numPr>
        <w:rPr>
          <w:rFonts w:ascii="Times New Roman" w:hAnsi="Times New Roman" w:cs="Times New Roman" w:eastAsia="Times New Roman" w:hint="ascii"/>
        </w:rPr>
      </w:pPr>
      <w:r>
        <w:rPr>
          <w:rFonts w:ascii="宋体" w:hAnsi="宋体" w:cs="宋体" w:eastAsia="宋体" w:hint="ascii"/>
        </w:rPr>
        <w:t>天元数学中心项目</w:t>
      </w:r>
    </w:p>
    <w:p>
      <w:pPr>
        <w:autoSpaceDE w:val="0"/>
        <w:autoSpaceDN w:val="0"/>
        <w:jc w:val="left"/>
        <w:spacing w:before="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天元数学中心项目以构建交流平台促进合作与研究为主旨，针对若干数</w:t>
      </w:r>
    </w:p>
    <w:p>
      <w:pPr>
        <w:autoSpaceDE w:val="0"/>
        <w:autoSpaceDN w:val="0"/>
        <w:jc w:val="both"/>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学及其交叉领域或专题，通过多种形式的学术交流研讨活动，凝聚相关研究队伍，聚焦科学问题，深化国内外多领域专家间合作，培养青年学术骨干，</w:t>
      </w:r>
      <w:r>
        <w:rPr>
          <w:rFonts w:ascii="宋体" w:hAnsi="宋体" w:cs="宋体" w:eastAsia="宋体" w:hint="ascii"/>
          <w:spacing w:val="2"/>
        </w:rPr>
        <w:t>引导年轻人进入学科前沿，促进数学</w:t>
      </w:r>
      <w:r>
        <w:rPr>
          <w:rFonts w:ascii="宋体" w:hAnsi="宋体" w:cs="宋体" w:eastAsia="宋体" w:hint="ascii"/>
          <w:spacing w:val="1"/>
        </w:rPr>
        <w:t>与其他学科、数学各分支间的交叉</w:t>
      </w:r>
      <w:r>
        <w:rPr>
          <w:rFonts w:ascii="宋体" w:hAnsi="宋体" w:cs="宋体" w:eastAsia="宋体" w:hint="ascii"/>
          <w:spacing w:val="-8"/>
        </w:rPr>
        <w:t>融</w:t>
      </w:r>
      <w:r>
        <w:rPr>
          <w:rFonts w:ascii="宋体" w:hAnsi="宋体" w:cs="宋体" w:eastAsia="宋体" w:hint="ascii"/>
        </w:rPr>
        <w:t>合，提升我国相关领域或专题的整体研究水平，形成优势研究方向，推动数学学科发展。</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项目应立足大区域，面向全国，围绕数学及其应用的若干前沿领域和重</w:t>
      </w:r>
    </w:p>
    <w:p>
      <w:pPr>
        <w:autoSpaceDE w:val="0"/>
        <w:autoSpaceDN w:val="0"/>
        <w:jc w:val="both"/>
        <w:spacing w:before="10" w:after="0" w:lineRule="exact" w:line="356"/>
        <w:ind w:right="963" w:left="846" w:firstLine="120"/>
        <w:snapToGrid w:val="0"/>
        <w:textAlignment w:val="auto"/>
        <w:tabs/>
        <w:rPr>
          <w:rFonts w:ascii="宋体" w:hAnsi="宋体" w:cs="宋体" w:eastAsia="宋体" w:hint="ascii"/>
        </w:rPr>
      </w:pPr>
      <w:r>
        <w:rPr>
          <w:rFonts w:ascii="宋体" w:hAnsi="宋体" w:cs="宋体" w:eastAsia="宋体" w:hint="ascii"/>
          <w:spacing w:val="-1"/>
        </w:rPr>
        <w:t>要发展方向，组织、承担数学天元基金开展的各类学术活动。项</w:t>
      </w:r>
      <w:r>
        <w:rPr>
          <w:rFonts w:ascii="宋体" w:hAnsi="宋体" w:cs="宋体" w:eastAsia="宋体" w:hint="ascii"/>
        </w:rPr>
        <w:t>目名称应为 “天元数学××中心</w:t>
      </w:r>
      <w:r>
        <w:rPr>
          <w:rFonts w:ascii="宋体" w:hAnsi="宋体" w:cs="宋体" w:eastAsia="宋体" w:hint="ascii"/>
          <w:spacing w:val="-60"/>
        </w:rPr>
        <w:t>”</w:t>
      </w:r>
      <w:r>
        <w:rPr>
          <w:rFonts w:ascii="宋体" w:hAnsi="宋体" w:cs="宋体" w:eastAsia="宋体" w:hint="ascii"/>
        </w:rPr>
        <w:t>。申请书正文应包含项目的科学意义、内容范围、工作</w:t>
      </w:r>
    </w:p>
    <w:p>
      <w:pPr>
        <w:autoSpaceDE w:val="0"/>
        <w:autoSpaceDN w:val="0"/>
        <w:jc w:val="left"/>
        <w:spacing w:before="45" w:after="0" w:lineRule="exact" w:line="300"/>
        <w:ind w:right="0" w:left="966" w:firstLine="0"/>
        <w:snapToGrid w:val="0"/>
        <w:textAlignment w:val="auto"/>
        <w:tabs/>
        <w:rPr>
          <w:rFonts w:ascii="宋体" w:hAnsi="宋体" w:cs="宋体" w:eastAsia="宋体" w:hint="ascii"/>
        </w:rPr>
      </w:pPr>
      <w:r>
        <w:rPr>
          <w:rFonts w:ascii="宋体" w:hAnsi="宋体" w:cs="宋体" w:eastAsia="宋体" w:hint="ascii"/>
        </w:rPr>
        <w:t>计划、工作基础、开展学术交流的条件，可能的协作单位及人员情况。</w:t>
      </w:r>
    </w:p>
    <w:p>
      <w:pPr>
        <w:autoSpaceDE w:val="0"/>
        <w:autoSpaceDN w:val="0"/>
        <w:jc w:val="left"/>
        <w:spacing w:before="55" w:after="0" w:lineRule="auto" w:line="240"/>
        <w:ind w:right="0" w:left="1446" w:firstLine="0"/>
        <w:snapToGrid w:val="0"/>
        <w:textAlignment w:val="auto"/>
        <w:tabs/>
        <w:rPr>
          <w:rFonts w:ascii="宋体" w:hAnsi="宋体" w:cs="宋体" w:eastAsia="宋体" w:hint="ascii"/>
        </w:rPr>
      </w:pPr>
      <w:r>
        <w:rPr>
          <w:rFonts w:ascii="Times New Roman" w:hAnsi="Times New Roman" w:cs="Times New Roman" w:eastAsia="Times New Roman" w:hint="ascii"/>
        </w:rPr>
        <w:t>201</w:t>
      </w:r>
      <w:r>
        <w:rPr>
          <w:rFonts w:ascii="Times New Roman" w:hAnsi="Times New Roman" w:cs="Times New Roman" w:eastAsia="Times New Roman" w:hint="ascii"/>
          <w:spacing w:val="60"/>
        </w:rPr>
        <w:t>8</w:t>
      </w:r>
      <w:r>
        <w:rPr>
          <w:rFonts w:ascii="宋体" w:hAnsi="宋体" w:cs="宋体" w:eastAsia="宋体" w:hint="ascii"/>
        </w:rPr>
        <w:t>年度拟资</w:t>
      </w:r>
      <w:r>
        <w:rPr>
          <w:rFonts w:ascii="宋体" w:hAnsi="宋体" w:cs="宋体" w:eastAsia="宋体" w:hint="ascii"/>
          <w:spacing w:val="30"/>
        </w:rPr>
        <w:t>助</w:t>
      </w:r>
      <w:r>
        <w:rPr>
          <w:rFonts w:ascii="Times New Roman" w:hAnsi="Times New Roman" w:cs="Times New Roman" w:eastAsia="Times New Roman" w:hint="ascii"/>
          <w:spacing w:val="60"/>
        </w:rPr>
        <w:t>4</w:t>
      </w:r>
      <w:r>
        <w:rPr>
          <w:rFonts w:ascii="宋体" w:hAnsi="宋体" w:cs="宋体" w:eastAsia="宋体" w:hint="ascii"/>
        </w:rPr>
        <w:t>项左右，包括择优持续资助已资助项目的再次申请和</w:t>
      </w:r>
    </w:p>
    <w:p>
      <w:pPr>
        <w:autoSpaceDE w:val="0"/>
        <w:autoSpaceDN w:val="0"/>
        <w:jc w:val="both"/>
        <w:spacing w:before="19" w:after="0" w:lineRule="exact" w:line="356"/>
        <w:ind w:right="963" w:left="966" w:firstLine="0"/>
        <w:snapToGrid w:val="0"/>
        <w:textAlignment w:val="auto"/>
        <w:tabs/>
        <w:rPr>
          <w:rFonts w:ascii="宋体" w:hAnsi="宋体" w:cs="宋体" w:eastAsia="宋体" w:hint="ascii"/>
        </w:rPr>
      </w:pPr>
      <w:r>
        <w:rPr>
          <w:rFonts w:ascii="Times New Roman" w:hAnsi="Times New Roman" w:cs="Times New Roman" w:eastAsia="Times New Roman" w:hint="ascii"/>
          <w:spacing w:val="-1"/>
        </w:rPr>
        <w:t>1</w:t>
      </w:r>
      <w:r>
        <w:rPr>
          <w:rFonts w:ascii="宋体" w:hAnsi="宋体" w:cs="宋体" w:eastAsia="宋体" w:hint="ascii"/>
          <w:spacing w:val="-5"/>
        </w:rPr>
        <w:t>～</w:t>
      </w:r>
      <w:r>
        <w:rPr>
          <w:rFonts w:ascii="Times New Roman" w:hAnsi="Times New Roman" w:cs="Times New Roman" w:eastAsia="Times New Roman" w:hint="ascii"/>
          <w:spacing w:val="59"/>
        </w:rPr>
        <w:t>2</w:t>
      </w:r>
      <w:r>
        <w:rPr>
          <w:rFonts w:ascii="宋体" w:hAnsi="宋体" w:cs="宋体" w:eastAsia="宋体" w:hint="ascii"/>
          <w:spacing w:val="-5"/>
        </w:rPr>
        <w:t>项新</w:t>
      </w:r>
      <w:r>
        <w:rPr>
          <w:rFonts w:ascii="宋体" w:hAnsi="宋体" w:cs="宋体" w:eastAsia="宋体" w:hint="ascii"/>
          <w:spacing w:val="-4"/>
        </w:rPr>
        <w:t>增项目申请。</w:t>
      </w:r>
      <w:r>
        <w:rPr>
          <w:rFonts w:ascii="宋体" w:hAnsi="宋体" w:cs="宋体" w:eastAsia="宋体" w:hint="ascii"/>
          <w:spacing w:val="-3"/>
        </w:rPr>
        <w:t>持</w:t>
      </w:r>
      <w:r>
        <w:rPr>
          <w:rFonts w:ascii="宋体" w:hAnsi="宋体" w:cs="宋体" w:eastAsia="宋体" w:hint="ascii"/>
          <w:spacing w:val="-4"/>
        </w:rPr>
        <w:t>续资助项目中拟遴</w:t>
      </w:r>
      <w:r>
        <w:rPr>
          <w:rFonts w:ascii="宋体" w:hAnsi="宋体" w:cs="宋体" w:eastAsia="宋体" w:hint="ascii"/>
          <w:spacing w:val="28"/>
        </w:rPr>
        <w:t>选</w:t>
      </w:r>
      <w:r>
        <w:rPr>
          <w:rFonts w:ascii="Times New Roman" w:hAnsi="Times New Roman" w:cs="Times New Roman" w:eastAsia="Times New Roman" w:hint="ascii"/>
          <w:spacing w:val="61"/>
        </w:rPr>
        <w:t>1</w:t>
      </w:r>
      <w:r>
        <w:rPr>
          <w:rFonts w:ascii="宋体" w:hAnsi="宋体" w:cs="宋体" w:eastAsia="宋体" w:hint="ascii"/>
          <w:spacing w:val="-4"/>
        </w:rPr>
        <w:t>项申请，资助期限</w:t>
      </w:r>
      <w:r>
        <w:rPr>
          <w:rFonts w:ascii="宋体" w:hAnsi="宋体" w:cs="宋体" w:eastAsia="宋体" w:hint="ascii"/>
          <w:spacing w:val="28"/>
        </w:rPr>
        <w:t>为</w:t>
      </w:r>
      <w:r>
        <w:rPr>
          <w:rFonts w:ascii="Times New Roman" w:hAnsi="Times New Roman" w:cs="Times New Roman" w:eastAsia="Times New Roman" w:hint="ascii"/>
          <w:spacing w:val="61"/>
        </w:rPr>
        <w:t>4</w:t>
      </w:r>
      <w:r>
        <w:rPr>
          <w:rFonts w:ascii="宋体" w:hAnsi="宋体" w:cs="宋体" w:eastAsia="宋体" w:hint="ascii"/>
          <w:spacing w:val="-4"/>
        </w:rPr>
        <w:t>年，</w:t>
      </w:r>
      <w:r>
        <w:rPr>
          <w:rFonts w:ascii="宋体" w:hAnsi="宋体" w:cs="宋体" w:eastAsia="宋体" w:hint="ascii"/>
        </w:rPr>
        <w:t>资</w:t>
      </w:r>
      <w:r>
        <w:rPr>
          <w:rFonts w:ascii="宋体" w:hAnsi="宋体" w:cs="宋体" w:eastAsia="宋体" w:hint="ascii"/>
          <w:spacing w:val="-5"/>
        </w:rPr>
        <w:t>助</w:t>
      </w:r>
      <w:r>
        <w:rPr>
          <w:rFonts w:ascii="宋体" w:hAnsi="宋体" w:cs="宋体" w:eastAsia="宋体" w:hint="ascii"/>
          <w:spacing w:val="-3"/>
        </w:rPr>
        <w:t>强</w:t>
      </w:r>
      <w:r>
        <w:rPr>
          <w:rFonts w:ascii="宋体" w:hAnsi="宋体" w:cs="宋体" w:eastAsia="宋体" w:hint="ascii"/>
          <w:spacing w:val="-1"/>
        </w:rPr>
        <w:t>度</w:t>
      </w:r>
      <w:r>
        <w:rPr>
          <w:rFonts w:ascii="宋体" w:hAnsi="宋体" w:cs="宋体" w:eastAsia="宋体" w:hint="ascii"/>
          <w:spacing w:val="-23"/>
        </w:rPr>
        <w:t xml:space="preserve"> </w:t>
      </w:r>
      <w:r>
        <w:rPr>
          <w:rFonts w:ascii="Times New Roman" w:hAnsi="Times New Roman" w:cs="Times New Roman" w:eastAsia="Times New Roman" w:hint="ascii"/>
          <w:spacing w:val="-1"/>
        </w:rPr>
        <w:t>1</w:t>
      </w:r>
      <w:r>
        <w:rPr>
          <w:rFonts w:ascii="Times New Roman" w:hAnsi="Times New Roman" w:cs="Times New Roman" w:eastAsia="Times New Roman" w:hint="ascii"/>
          <w:spacing w:val="-4"/>
        </w:rPr>
        <w:t xml:space="preserve"> </w:t>
      </w:r>
      <w:r>
        <w:rPr>
          <w:rFonts w:ascii="Times New Roman" w:hAnsi="Times New Roman" w:cs="Times New Roman" w:eastAsia="Times New Roman" w:hint="ascii"/>
          <w:spacing w:val="-3"/>
        </w:rPr>
        <w:t>20</w:t>
      </w:r>
      <w:r>
        <w:rPr>
          <w:rFonts w:ascii="Times New Roman" w:hAnsi="Times New Roman" w:cs="Times New Roman" w:eastAsia="Times New Roman" w:hint="ascii"/>
          <w:spacing w:val="-1"/>
        </w:rPr>
        <w:t>0</w:t>
      </w:r>
      <w:r>
        <w:rPr>
          <w:rFonts w:ascii="Times New Roman" w:hAnsi="Times New Roman" w:cs="Times New Roman" w:eastAsia="Times New Roman" w:hint="ascii"/>
          <w:spacing w:val="-22"/>
        </w:rPr>
        <w:t xml:space="preserve"> </w:t>
      </w:r>
      <w:r>
        <w:rPr>
          <w:rFonts w:ascii="宋体" w:hAnsi="宋体" w:cs="宋体" w:eastAsia="宋体" w:hint="ascii"/>
          <w:spacing w:val="-3"/>
        </w:rPr>
        <w:t>万元</w:t>
      </w:r>
      <w:r>
        <w:rPr>
          <w:rFonts w:ascii="Times New Roman" w:hAnsi="Times New Roman" w:cs="Times New Roman" w:eastAsia="Times New Roman" w:hint="ascii"/>
          <w:spacing w:val="-3"/>
        </w:rPr>
        <w:t>/</w:t>
      </w:r>
      <w:r>
        <w:rPr>
          <w:rFonts w:ascii="宋体" w:hAnsi="宋体" w:cs="宋体" w:eastAsia="宋体" w:hint="ascii"/>
          <w:spacing w:val="-3"/>
        </w:rPr>
        <w:t>项左右。其余项目资助期限均</w:t>
      </w:r>
      <w:r>
        <w:rPr>
          <w:rFonts w:ascii="宋体" w:hAnsi="宋体" w:cs="宋体" w:eastAsia="宋体" w:hint="ascii"/>
          <w:spacing w:val="-1"/>
        </w:rPr>
        <w:t>为</w:t>
      </w:r>
      <w:r>
        <w:rPr>
          <w:rFonts w:ascii="宋体" w:hAnsi="宋体" w:cs="宋体" w:eastAsia="宋体" w:hint="ascii"/>
          <w:spacing w:val="-23"/>
        </w:rPr>
        <w:t xml:space="preserve"> </w:t>
      </w:r>
      <w:r>
        <w:rPr>
          <w:rFonts w:ascii="Times New Roman" w:hAnsi="Times New Roman" w:cs="Times New Roman" w:eastAsia="Times New Roman" w:hint="ascii"/>
          <w:spacing w:val="-1"/>
        </w:rPr>
        <w:t>1</w:t>
      </w:r>
      <w:r>
        <w:rPr>
          <w:rFonts w:ascii="Times New Roman" w:hAnsi="Times New Roman" w:cs="Times New Roman" w:eastAsia="Times New Roman" w:hint="ascii"/>
          <w:spacing w:val="-21"/>
        </w:rPr>
        <w:t xml:space="preserve"> </w:t>
      </w:r>
      <w:r>
        <w:rPr>
          <w:rFonts w:ascii="宋体" w:hAnsi="宋体" w:cs="宋体" w:eastAsia="宋体" w:hint="ascii"/>
          <w:spacing w:val="-3"/>
        </w:rPr>
        <w:t>年，资助</w:t>
      </w:r>
      <w:r>
        <w:rPr>
          <w:rFonts w:ascii="宋体" w:hAnsi="宋体" w:cs="宋体" w:eastAsia="宋体" w:hint="ascii"/>
          <w:spacing w:val="-2"/>
        </w:rPr>
        <w:t>强</w:t>
      </w:r>
      <w:r>
        <w:rPr>
          <w:rFonts w:ascii="宋体" w:hAnsi="宋体" w:cs="宋体" w:eastAsia="宋体" w:hint="ascii"/>
        </w:rPr>
        <w:t>度</w:t>
      </w:r>
      <w:r>
        <w:rPr>
          <w:rFonts w:ascii="宋体" w:hAnsi="宋体" w:cs="宋体" w:eastAsia="宋体" w:hint="ascii"/>
          <w:spacing w:val="-22"/>
        </w:rPr>
        <w:t xml:space="preserve"> </w:t>
      </w:r>
      <w:r>
        <w:rPr>
          <w:rFonts w:ascii="Times New Roman" w:hAnsi="Times New Roman" w:cs="Times New Roman" w:eastAsia="Times New Roman" w:hint="ascii"/>
          <w:spacing w:val="-2"/>
        </w:rPr>
        <w:t>30</w:t>
      </w:r>
      <w:r>
        <w:rPr>
          <w:rFonts w:ascii="Times New Roman" w:hAnsi="Times New Roman" w:cs="Times New Roman" w:eastAsia="Times New Roman" w:hint="ascii"/>
        </w:rPr>
        <w:t>0</w:t>
      </w:r>
      <w:r>
        <w:rPr>
          <w:rFonts w:ascii="Times New Roman" w:hAnsi="Times New Roman" w:cs="Times New Roman" w:eastAsia="Times New Roman" w:hint="ascii"/>
          <w:spacing w:val="-21"/>
        </w:rPr>
        <w:t xml:space="preserve"> </w:t>
      </w:r>
      <w:r>
        <w:rPr>
          <w:rFonts w:ascii="宋体" w:hAnsi="宋体" w:cs="宋体" w:eastAsia="宋体" w:hint="ascii"/>
          <w:spacing w:val="-2"/>
        </w:rPr>
        <w:t>万元</w:t>
      </w:r>
      <w:r>
        <w:rPr>
          <w:rFonts w:ascii="Times New Roman" w:hAnsi="Times New Roman" w:cs="Times New Roman" w:eastAsia="Times New Roman" w:hint="ascii"/>
        </w:rPr>
        <w:t xml:space="preserve">/ </w:t>
      </w:r>
      <w:r>
        <w:rPr>
          <w:rFonts w:ascii="宋体" w:hAnsi="宋体" w:cs="宋体" w:eastAsia="宋体" w:hint="ascii"/>
        </w:rPr>
        <w:t>项</w:t>
      </w:r>
      <w:r>
        <w:rPr>
          <w:rFonts w:ascii="宋体" w:hAnsi="宋体" w:cs="宋体" w:eastAsia="宋体" w:hint="ascii"/>
          <w:spacing w:val="-4"/>
        </w:rPr>
        <w:t>左右</w:t>
      </w:r>
      <w:r>
        <w:rPr>
          <w:rFonts w:ascii="宋体" w:hAnsi="宋体" w:cs="宋体" w:eastAsia="宋体" w:hint="ascii"/>
        </w:rPr>
        <w:t>。</w:t>
      </w:r>
    </w:p>
    <w:p>
      <w:pPr>
        <w:autoSpaceDE w:val="0"/>
        <w:autoSpaceDN w:val="0"/>
        <w:jc w:val="left"/>
        <w:spacing w:before="44" w:after="0" w:lineRule="auto" w:line="240"/>
        <w:ind w:right="0" w:left="1746" w:hanging="300"/>
        <w:snapToGrid w:val="0"/>
        <w:textAlignment w:val="auto"/>
        <w:tabs>
          <w:tab w:val="left" w:leader="none" w:pos="1746"/>
        </w:tabs>
        <w:numPr>
          <w:ilvl w:val="0"/>
          <w:numId w:val="345"/>
        </w:numPr>
        <w:rPr>
          <w:rFonts w:ascii="Times New Roman" w:hAnsi="Times New Roman" w:cs="Times New Roman" w:eastAsia="Times New Roman" w:hint="ascii"/>
        </w:rPr>
      </w:pPr>
      <w:r>
        <w:rPr>
          <w:rFonts w:ascii="宋体" w:hAnsi="宋体" w:cs="宋体" w:eastAsia="宋体" w:hint="ascii"/>
        </w:rPr>
        <w:t>天元数学交流项目</w:t>
      </w:r>
    </w:p>
    <w:p>
      <w:pPr>
        <w:autoSpaceDE w:val="0"/>
        <w:autoSpaceDN w:val="0"/>
        <w:jc w:val="left"/>
        <w:spacing w:before="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数学天元基金资助高水平的数学交流与研讨项目，旨在促进国内、国际</w:t>
      </w:r>
    </w:p>
    <w:p>
      <w:pPr>
        <w:autoSpaceDE w:val="0"/>
        <w:autoSpaceDN w:val="0"/>
        <w:jc w:val="both"/>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数学家就研究前沿领域的热点问题展开深度交流与合作。每个交流研讨项目应邀请若干国际著名数学家和国内数学研究处于前沿的学者参加，以学术报告与自由讨论相结合的形式进行。</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 xml:space="preserve">该类项目应由 </w:t>
      </w:r>
      <w:r>
        <w:rPr>
          <w:rFonts w:ascii="Times New Roman" w:hAnsi="Times New Roman" w:cs="Times New Roman" w:eastAsia="Times New Roman" w:hint="ascii"/>
        </w:rPr>
        <w:t>3</w:t>
      </w:r>
      <w:r>
        <w:rPr>
          <w:rFonts w:ascii="宋体" w:hAnsi="宋体" w:cs="宋体" w:eastAsia="宋体" w:hint="ascii"/>
        </w:rPr>
        <w:t>～</w:t>
      </w:r>
      <w:r>
        <w:rPr>
          <w:rFonts w:ascii="Times New Roman" w:hAnsi="Times New Roman" w:cs="Times New Roman" w:eastAsia="Times New Roman" w:hint="ascii"/>
        </w:rPr>
        <w:t xml:space="preserve">5 </w:t>
      </w:r>
      <w:r>
        <w:rPr>
          <w:rFonts w:ascii="宋体" w:hAnsi="宋体" w:cs="宋体" w:eastAsia="宋体" w:hint="ascii"/>
        </w:rPr>
        <w:t>位主要组织者组织实施，主要组织者须是本领域国</w:t>
      </w:r>
    </w:p>
    <w:p>
      <w:pPr>
        <w:autoSpaceDE w:val="0"/>
        <w:autoSpaceDN w:val="0"/>
        <w:jc w:val="both"/>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际知名专家。项目由一位拥有中国国籍并全职在国内依托单位工作的主要组织者提交申请，并需每位主要组织者的书面同意。交流项目参加人员不超过</w:t>
      </w:r>
    </w:p>
    <w:p>
      <w:pPr>
        <w:autoSpaceDE w:val="0"/>
        <w:autoSpaceDN w:val="0"/>
        <w:jc w:val="left"/>
        <w:spacing w:before="549"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293"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rPr>
        <w:t>5</w:t>
      </w:r>
      <w:r>
        <w:rPr>
          <w:rFonts w:ascii="Times New Roman" w:hAnsi="Times New Roman" w:cs="Times New Roman" w:eastAsia="Times New Roman" w:hint="ascii"/>
          <w:spacing w:val="60"/>
        </w:rPr>
        <w:t>0</w:t>
      </w:r>
      <w:r>
        <w:rPr>
          <w:rFonts w:ascii="宋体" w:hAnsi="宋体" w:cs="宋体" w:eastAsia="宋体" w:hint="ascii"/>
        </w:rPr>
        <w:t>人，时间</w:t>
      </w:r>
      <w:r>
        <w:rPr>
          <w:rFonts w:ascii="宋体" w:hAnsi="宋体" w:cs="宋体" w:eastAsia="宋体" w:hint="ascii"/>
          <w:spacing w:val="30"/>
        </w:rPr>
        <w:t>为</w:t>
      </w:r>
      <w:r>
        <w:rPr>
          <w:rFonts w:ascii="Times New Roman" w:hAnsi="Times New Roman" w:cs="Times New Roman" w:eastAsia="Times New Roman" w:hint="ascii"/>
          <w:spacing w:val="60"/>
        </w:rPr>
        <w:t>1</w:t>
      </w:r>
      <w:r>
        <w:rPr>
          <w:rFonts w:ascii="宋体" w:hAnsi="宋体" w:cs="宋体" w:eastAsia="宋体" w:hint="ascii"/>
        </w:rPr>
        <w:t>周左右。</w:t>
      </w:r>
      <w:r>
        <w:rPr>
          <w:rFonts w:ascii="宋体" w:hAnsi="宋体" w:cs="宋体" w:eastAsia="宋体" w:hint="ascii"/>
        </w:rPr>
        <mc:AlternateContent>
          <mc:Choice Requires="wps">
            <w:drawing>
              <wp:anchor distL="0" distR="0" distT="0" distB="0" simplePos="0" behindDoc="1" relativeHeight="327" locked="0" layoutInCell="1" allowOverlap="1">
                <wp:simplePos x="0" y="0"/>
                <wp:positionH relativeFrom="page">
                  <wp:posOffset>938530</wp:posOffset>
                </wp:positionH>
                <wp:positionV relativeFrom="page">
                  <wp:posOffset>805815</wp:posOffset>
                </wp:positionV>
                <wp:extent cx="5076190" cy="0"/>
                <wp:wrapNone/>
                <wp:docPr id="1354" name="135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23392;width:399.70pt;" id="135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申请人自选领域或专题，拟定的项目名称应包含“天元数学交流项目”</w:t>
      </w:r>
    </w:p>
    <w:p>
      <w:pPr>
        <w:autoSpaceDE w:val="0"/>
        <w:autoSpaceDN w:val="0"/>
        <w:jc w:val="both"/>
        <w:spacing w:before="12" w:after="0" w:lineRule="exact" w:line="355"/>
        <w:ind w:right="975" w:left="966" w:firstLine="0"/>
        <w:snapToGrid w:val="0"/>
        <w:textAlignment w:val="auto"/>
        <w:tabs/>
        <w:rPr>
          <w:rFonts w:ascii="宋体" w:hAnsi="宋体" w:cs="宋体" w:eastAsia="宋体" w:hint="ascii"/>
        </w:rPr>
      </w:pPr>
      <w:r>
        <w:rPr>
          <w:rFonts w:ascii="宋体" w:hAnsi="宋体" w:cs="宋体" w:eastAsia="宋体" w:hint="ascii"/>
          <w:spacing w:val="2"/>
        </w:rPr>
        <w:t>字样。申请书正文应包</w:t>
      </w:r>
      <w:r>
        <w:rPr>
          <w:rFonts w:ascii="宋体" w:hAnsi="宋体" w:cs="宋体" w:eastAsia="宋体" w:hint="ascii"/>
          <w:spacing w:val="1"/>
        </w:rPr>
        <w:t>含项目的科学意义、内容范围、交流目的、具体</w:t>
      </w:r>
      <w:r>
        <w:rPr>
          <w:rFonts w:ascii="宋体" w:hAnsi="宋体" w:cs="宋体" w:eastAsia="宋体" w:hint="ascii"/>
          <w:spacing w:val="-8"/>
        </w:rPr>
        <w:t>日</w:t>
      </w:r>
      <w:r>
        <w:rPr>
          <w:rFonts w:ascii="宋体" w:hAnsi="宋体" w:cs="宋体" w:eastAsia="宋体" w:hint="ascii"/>
        </w:rPr>
        <w:t>程、组织人员和参加交流人员初步名单。资助强度不超</w:t>
      </w:r>
      <w:r>
        <w:rPr>
          <w:rFonts w:ascii="宋体" w:hAnsi="宋体" w:cs="宋体" w:eastAsia="宋体" w:hint="ascii"/>
          <w:spacing w:val="30"/>
        </w:rPr>
        <w:t>过</w:t>
      </w:r>
      <w:r>
        <w:rPr>
          <w:rFonts w:ascii="Times New Roman" w:hAnsi="Times New Roman" w:cs="Times New Roman" w:eastAsia="Times New Roman" w:hint="ascii"/>
        </w:rPr>
        <w:t>3</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w:t>
      </w:r>
    </w:p>
    <w:p>
      <w:pPr>
        <w:autoSpaceDE w:val="0"/>
        <w:autoSpaceDN w:val="0"/>
        <w:jc w:val="left"/>
        <w:spacing w:before="45" w:after="0" w:lineRule="auto" w:line="240"/>
        <w:ind w:right="0" w:left="1746" w:hanging="300"/>
        <w:snapToGrid w:val="0"/>
        <w:textAlignment w:val="auto"/>
        <w:tabs>
          <w:tab w:val="left" w:leader="none" w:pos="1746"/>
        </w:tabs>
        <w:numPr>
          <w:ilvl w:val="0"/>
          <w:numId w:val="345"/>
        </w:numPr>
        <w:rPr>
          <w:rFonts w:ascii="Times New Roman" w:hAnsi="Times New Roman" w:cs="Times New Roman" w:eastAsia="Times New Roman" w:hint="ascii"/>
        </w:rPr>
      </w:pPr>
      <w:r>
        <w:rPr>
          <w:rFonts w:ascii="宋体" w:hAnsi="宋体" w:cs="宋体" w:eastAsia="宋体" w:hint="ascii"/>
        </w:rPr>
        <w:t>天元数学访问学者项目</w:t>
      </w:r>
    </w:p>
    <w:p>
      <w:pPr>
        <w:autoSpaceDE w:val="0"/>
        <w:autoSpaceDN w:val="0"/>
        <w:jc w:val="left"/>
        <w:spacing w:before="6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为促进中国数学研究水平的均衡发展，资助数学欠发达院校的优秀青年</w:t>
      </w:r>
    </w:p>
    <w:p>
      <w:pPr>
        <w:autoSpaceDE w:val="0"/>
        <w:autoSpaceDN w:val="0"/>
        <w:jc w:val="both"/>
        <w:spacing w:before="10" w:after="0" w:lineRule="exact" w:line="356"/>
        <w:ind w:right="975" w:left="966" w:firstLine="0"/>
        <w:snapToGrid w:val="0"/>
        <w:textAlignment w:val="auto"/>
        <w:tabs/>
        <w:rPr>
          <w:rFonts w:ascii="宋体" w:hAnsi="宋体" w:cs="宋体" w:eastAsia="宋体" w:hint="ascii"/>
        </w:rPr>
      </w:pPr>
      <w:r>
        <w:rPr>
          <w:rFonts w:ascii="宋体" w:hAnsi="宋体" w:cs="宋体" w:eastAsia="宋体" w:hint="ascii"/>
        </w:rPr>
        <w:t>数学学者到国内相关领域领军学者处开展合作研究活动。此类项目希望利用接收单位良好的数学研究基础和条件，为国内数学欠发达院校培养青年学术骨干，带动他们开展高水平研究工作，进一步促进国内兄弟院校之间的深入合作和交流，提升我国数学研究的整体水平。</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申报要求：</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）成对申请。申请须由访问学者与合作导师结对并各自提交申请书，</w:t>
      </w:r>
    </w:p>
    <w:p>
      <w:pPr>
        <w:autoSpaceDE w:val="0"/>
        <w:autoSpaceDN w:val="0"/>
        <w:jc w:val="both"/>
        <w:spacing w:before="10" w:after="0" w:lineRule="exact" w:line="356"/>
        <w:ind w:right="975" w:left="966" w:firstLine="0"/>
        <w:snapToGrid w:val="0"/>
        <w:textAlignment w:val="auto"/>
        <w:tabs/>
        <w:rPr>
          <w:rFonts w:ascii="宋体" w:hAnsi="宋体" w:cs="宋体" w:eastAsia="宋体" w:hint="ascii"/>
        </w:rPr>
      </w:pPr>
      <w:r>
        <w:rPr>
          <w:rFonts w:ascii="宋体" w:hAnsi="宋体" w:cs="宋体" w:eastAsia="宋体" w:hint="ascii"/>
        </w:rPr>
        <w:t>在申请书中互相将对方作为合作人员，签字并加盖合作单位公章。数学欠发达地区、数学欠发达高校的访问学者应为有潜力的优秀年轻教师，访问学者</w:t>
      </w:r>
      <w:r>
        <w:rPr>
          <w:rFonts w:ascii="宋体" w:hAnsi="宋体" w:cs="宋体" w:eastAsia="宋体" w:hint="ascii"/>
          <w:spacing w:val="-1"/>
        </w:rPr>
        <w:t>出生日期限</w:t>
      </w:r>
      <w:r>
        <w:rPr>
          <w:rFonts w:ascii="宋体" w:hAnsi="宋体" w:cs="宋体" w:eastAsia="宋体" w:hint="ascii"/>
          <w:spacing w:val="-15"/>
        </w:rPr>
        <w:t xml:space="preserve"> </w:t>
      </w:r>
      <w:r>
        <w:rPr>
          <w:rFonts w:ascii="Times New Roman" w:hAnsi="Times New Roman" w:cs="Times New Roman" w:eastAsia="Times New Roman" w:hint="ascii"/>
        </w:rPr>
        <w:t>1979</w:t>
      </w:r>
      <w:r>
        <w:rPr>
          <w:rFonts w:ascii="Times New Roman" w:hAnsi="Times New Roman" w:cs="Times New Roman" w:eastAsia="Times New Roman" w:hint="ascii"/>
          <w:spacing w:val="-15"/>
        </w:rPr>
        <w:t xml:space="preserve"> </w:t>
      </w:r>
      <w:r>
        <w:rPr>
          <w:rFonts w:ascii="宋体" w:hAnsi="宋体" w:cs="宋体" w:eastAsia="宋体" w:hint="ascii"/>
        </w:rPr>
        <w:t>年</w:t>
      </w:r>
      <w:r>
        <w:rPr>
          <w:rFonts w:ascii="宋体" w:hAnsi="宋体" w:cs="宋体" w:eastAsia="宋体" w:hint="ascii"/>
          <w:spacing w:val="-15"/>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15"/>
        </w:rPr>
        <w:t xml:space="preserve"> </w:t>
      </w:r>
      <w:r>
        <w:rPr>
          <w:rFonts w:ascii="宋体" w:hAnsi="宋体" w:cs="宋体" w:eastAsia="宋体" w:hint="ascii"/>
        </w:rPr>
        <w:t>月</w:t>
      </w:r>
      <w:r>
        <w:rPr>
          <w:rFonts w:ascii="宋体" w:hAnsi="宋体" w:cs="宋体" w:eastAsia="宋体" w:hint="ascii"/>
          <w:spacing w:val="-15"/>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14"/>
        </w:rPr>
        <w:t xml:space="preserve"> </w:t>
      </w:r>
      <w:r>
        <w:rPr>
          <w:rFonts w:ascii="宋体" w:hAnsi="宋体" w:cs="宋体" w:eastAsia="宋体" w:hint="ascii"/>
        </w:rPr>
        <w:t>日以后；合作导师应为国内相关数学领域的领军人物，具有较大国际影响，与访问学者无师生关系；访问学者与合作导师不在同一城市工作。申请书内容应包括项目意义、研究内容、工作计划、工作基础等，结对项目的名称和申请代码需一致。访问学者资助期内在接收单位访问时间不少</w:t>
      </w:r>
      <w:r>
        <w:rPr>
          <w:rFonts w:ascii="宋体" w:hAnsi="宋体" w:cs="宋体" w:eastAsia="宋体" w:hint="ascii"/>
          <w:spacing w:val="30"/>
        </w:rPr>
        <w:t>于</w:t>
      </w:r>
      <w:r>
        <w:rPr>
          <w:rFonts w:ascii="Times New Roman" w:hAnsi="Times New Roman" w:cs="Times New Roman" w:eastAsia="Times New Roman" w:hint="ascii"/>
          <w:spacing w:val="60"/>
        </w:rPr>
        <w:t>9</w:t>
      </w:r>
      <w:r>
        <w:rPr>
          <w:rFonts w:ascii="宋体" w:hAnsi="宋体" w:cs="宋体" w:eastAsia="宋体" w:hint="ascii"/>
        </w:rPr>
        <w:t>个月。</w:t>
      </w:r>
    </w:p>
    <w:p>
      <w:pPr>
        <w:autoSpaceDE w:val="0"/>
        <w:autoSpaceDN w:val="0"/>
        <w:jc w:val="left"/>
        <w:spacing w:before="43"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）签署承诺书作为附件。派出单位和接收单位双方各自出具承诺书，</w:t>
      </w:r>
    </w:p>
    <w:p>
      <w:pPr>
        <w:autoSpaceDE w:val="0"/>
        <w:autoSpaceDN w:val="0"/>
        <w:jc w:val="both"/>
        <w:spacing w:before="12" w:after="0" w:lineRule="exact" w:line="355"/>
        <w:ind w:right="975" w:left="966" w:firstLine="0"/>
        <w:snapToGrid w:val="0"/>
        <w:textAlignment w:val="auto"/>
        <w:tabs/>
        <w:rPr>
          <w:rFonts w:ascii="宋体" w:hAnsi="宋体" w:cs="宋体" w:eastAsia="宋体" w:hint="ascii"/>
        </w:rPr>
      </w:pPr>
      <w:r>
        <w:rPr>
          <w:rFonts w:ascii="宋体" w:hAnsi="宋体" w:cs="宋体" w:eastAsia="宋体" w:hint="ascii"/>
        </w:rPr>
        <w:t>并加盖依托单位二级单位公章。派出单位承诺书中明确承诺访问学者本项目访问期间待遇不变，脱产访问且不安排工作等事宜；接收单位承诺书中明确承诺访问学者本项目访问期间的工作和学习等保障，并在其访问期间对其进行切实管理和考核。</w:t>
      </w:r>
    </w:p>
    <w:p>
      <w:pPr>
        <w:autoSpaceDE w:val="0"/>
        <w:autoSpaceDN w:val="0"/>
        <w:jc w:val="both"/>
        <w:spacing w:before="1" w:after="0" w:lineRule="exact" w:line="356"/>
        <w:ind w:right="975"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）签署合作协议作为附件。访问学者和合作导师双方须就合作内容、经费支付及知识产权等问题达成一致，并签署合作协议。</w:t>
      </w:r>
    </w:p>
    <w:p>
      <w:pPr>
        <w:autoSpaceDE w:val="0"/>
        <w:autoSpaceDN w:val="0"/>
        <w:jc w:val="left"/>
        <w:spacing w:before="45"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资助强度：</w:t>
      </w:r>
      <w:r>
        <w:rPr>
          <w:rFonts w:ascii="宋体" w:hAnsi="宋体" w:cs="宋体" w:eastAsia="宋体" w:hint="ascii"/>
        </w:rPr>
        <w:t xml:space="preserve">合作导师申请项目 </w:t>
      </w:r>
      <w:r>
        <w:rPr>
          <w:rFonts w:ascii="Times New Roman" w:hAnsi="Times New Roman" w:cs="Times New Roman" w:eastAsia="Times New Roman" w:hint="ascii"/>
        </w:rPr>
        <w:t xml:space="preserve">20 </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项，主要用于提供访问学者必要</w:t>
      </w:r>
    </w:p>
    <w:p>
      <w:pPr>
        <w:autoSpaceDE w:val="0"/>
        <w:autoSpaceDN w:val="0"/>
        <w:jc w:val="both"/>
        <w:spacing w:before="10" w:after="0" w:lineRule="exact" w:line="356"/>
        <w:ind w:right="975" w:left="966" w:firstLine="0"/>
        <w:snapToGrid w:val="0"/>
        <w:textAlignment w:val="auto"/>
        <w:tabs/>
        <w:rPr>
          <w:rFonts w:ascii="宋体" w:hAnsi="宋体" w:cs="宋体" w:eastAsia="宋体" w:hint="ascii"/>
        </w:rPr>
      </w:pPr>
      <w:r>
        <w:rPr>
          <w:rFonts w:ascii="宋体" w:hAnsi="宋体" w:cs="宋体" w:eastAsia="宋体" w:hint="ascii"/>
          <w:spacing w:val="-1"/>
        </w:rPr>
        <w:t>的生活和工作保</w:t>
      </w:r>
      <w:r>
        <w:rPr>
          <w:rFonts w:ascii="宋体" w:hAnsi="宋体" w:cs="宋体" w:eastAsia="宋体" w:hint="ascii"/>
        </w:rPr>
        <w:t xml:space="preserve">障；访问学者申请项目 </w:t>
      </w:r>
      <w:r>
        <w:rPr>
          <w:rFonts w:ascii="Times New Roman" w:hAnsi="Times New Roman" w:cs="Times New Roman" w:eastAsia="Times New Roman" w:hint="ascii"/>
        </w:rPr>
        <w:t xml:space="preserve">10 </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项，主要用于补助访问学者派出单位及资助访问学者研究经费。</w:t>
      </w:r>
    </w:p>
    <w:p>
      <w:pPr>
        <w:autoSpaceDE w:val="0"/>
        <w:autoSpaceDN w:val="0"/>
        <w:jc w:val="left"/>
        <w:spacing w:before="45" w:after="0" w:lineRule="auto" w:line="240"/>
        <w:ind w:right="0" w:left="1746" w:hanging="300"/>
        <w:snapToGrid w:val="0"/>
        <w:textAlignment w:val="auto"/>
        <w:tabs>
          <w:tab w:val="left" w:leader="none" w:pos="1746"/>
        </w:tabs>
        <w:numPr>
          <w:ilvl w:val="0"/>
          <w:numId w:val="345"/>
        </w:numPr>
        <w:rPr>
          <w:rFonts w:ascii="Times New Roman" w:hAnsi="Times New Roman" w:cs="Times New Roman" w:eastAsia="Times New Roman" w:hint="ascii"/>
        </w:rPr>
      </w:pPr>
      <w:r>
        <w:rPr>
          <w:rFonts w:ascii="宋体" w:hAnsi="宋体" w:cs="宋体" w:eastAsia="宋体" w:hint="ascii"/>
        </w:rPr>
        <w:t>天元数学暑期学校项目</w:t>
      </w:r>
      <w:r>
        <w:rPr>
          <w:rFonts w:ascii="Times New Roman" w:hAnsi="Times New Roman" w:cs="Times New Roman" w:eastAsia="Times New Roman" w:hint="ascii"/>
          <w:b w:val="1"/>
        </w:rPr>
        <w:t>/</w:t>
      </w:r>
      <w:r>
        <w:rPr>
          <w:rFonts w:ascii="宋体" w:hAnsi="宋体" w:cs="宋体" w:eastAsia="宋体" w:hint="ascii"/>
        </w:rPr>
        <w:t>天元数学青年教师培训项目</w:t>
      </w:r>
    </w:p>
    <w:p>
      <w:pPr>
        <w:autoSpaceDE w:val="0"/>
        <w:autoSpaceDN w:val="0"/>
        <w:jc w:val="left"/>
        <w:spacing w:before="63"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天元数学暑期学校定位于为全国数学专业研究生和青年教师开设高质量</w:t>
      </w:r>
    </w:p>
    <w:p>
      <w:pPr>
        <w:autoSpaceDE w:val="0"/>
        <w:autoSpaceDN w:val="0"/>
        <w:jc w:val="both"/>
        <w:spacing w:before="11" w:after="0" w:lineRule="exact" w:line="356"/>
        <w:ind w:right="975" w:left="966" w:firstLine="0"/>
        <w:snapToGrid w:val="0"/>
        <w:textAlignment w:val="auto"/>
        <w:tabs/>
        <w:rPr>
          <w:rFonts w:ascii="宋体" w:hAnsi="宋体" w:cs="宋体" w:eastAsia="宋体" w:hint="ascii"/>
        </w:rPr>
      </w:pPr>
      <w:r>
        <w:rPr>
          <w:rFonts w:ascii="宋体" w:hAnsi="宋体" w:cs="宋体" w:eastAsia="宋体" w:hint="ascii"/>
          <w:spacing w:val="2"/>
        </w:rPr>
        <w:t>核心基础课程，以夯实</w:t>
      </w:r>
      <w:r>
        <w:rPr>
          <w:rFonts w:ascii="宋体" w:hAnsi="宋体" w:cs="宋体" w:eastAsia="宋体" w:hint="ascii"/>
          <w:spacing w:val="1"/>
        </w:rPr>
        <w:t>研究生和青年教师的数学基础。暑期学校分基础</w:t>
      </w:r>
      <w:r>
        <w:rPr>
          <w:rFonts w:ascii="宋体" w:hAnsi="宋体" w:cs="宋体" w:eastAsia="宋体" w:hint="ascii"/>
          <w:spacing w:val="-8"/>
        </w:rPr>
        <w:t>数</w:t>
      </w:r>
      <w:r>
        <w:rPr>
          <w:rFonts w:ascii="宋体" w:hAnsi="宋体" w:cs="宋体" w:eastAsia="宋体" w:hint="ascii"/>
        </w:rPr>
        <w:t>学、应用数学和统计</w:t>
      </w:r>
      <w:r>
        <w:rPr>
          <w:rFonts w:ascii="宋体" w:hAnsi="宋体" w:cs="宋体" w:eastAsia="宋体" w:hint="ascii"/>
          <w:spacing w:val="30"/>
        </w:rPr>
        <w:t>学</w:t>
      </w:r>
      <w:r>
        <w:rPr>
          <w:rFonts w:ascii="Times New Roman" w:hAnsi="Times New Roman" w:cs="Times New Roman" w:eastAsia="Times New Roman" w:hint="ascii"/>
          <w:spacing w:val="60"/>
        </w:rPr>
        <w:t>3</w:t>
      </w:r>
      <w:r>
        <w:rPr>
          <w:rFonts w:ascii="宋体" w:hAnsi="宋体" w:cs="宋体" w:eastAsia="宋体" w:hint="ascii"/>
        </w:rPr>
        <w:t>类分别开设。</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天元数学青年教师培训项目定位于为中西部和东北部地区的数学青年教</w:t>
      </w:r>
    </w:p>
    <w:p>
      <w:pPr>
        <w:autoSpaceDE w:val="0"/>
        <w:autoSpaceDN w:val="0"/>
        <w:jc w:val="left"/>
        <w:spacing w:before="385"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7441" w:firstLine="0"/>
        <w:snapToGrid w:val="0"/>
        <w:textAlignment w:val="auto"/>
        <w:tabs/>
        <w:rPr>
          <w:rFonts w:ascii="宋体" w:hAnsi="宋体" w:cs="宋体" w:eastAsia="宋体" w:hint="ascii"/>
          <w:sz w:val="19"/>
        </w:rPr>
      </w:pPr>
      <w:r>
        <w:rPr>
          <w:rFonts w:ascii="宋体" w:hAnsi="宋体" w:cs="宋体" w:eastAsia="宋体" w:hint="ascii"/>
          <w:sz w:val="19"/>
        </w:rPr>
        <w:t>数学天元基金项目</w:t>
      </w:r>
    </w:p>
    <w:p>
      <w:pPr>
        <w:autoSpaceDE w:val="0"/>
        <w:autoSpaceDN w:val="0"/>
        <w:jc w:val="both"/>
        <w:spacing w:before="22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师提供培训，以提高其数学科研能力与教学水平。培训项目分为数学类专业教师培训与非数学类专业教师培训两种，培训班面向中西部和东北部地区分区域开设。</w:t>
      </w:r>
      <w:r>
        <w:rPr>
          <w:rFonts w:ascii="宋体" w:hAnsi="宋体" w:cs="宋体" w:eastAsia="宋体" w:hint="ascii"/>
        </w:rPr>
        <mc:AlternateContent>
          <mc:Choice Requires="wps">
            <w:drawing>
              <wp:anchor distL="0" distR="0" distT="0" distB="0" simplePos="0" behindDoc="1" relativeHeight="328" locked="0" layoutInCell="1" allowOverlap="1">
                <wp:simplePos x="0" y="0"/>
                <wp:positionH relativeFrom="page">
                  <wp:posOffset>938530</wp:posOffset>
                </wp:positionH>
                <wp:positionV relativeFrom="page">
                  <wp:posOffset>819150</wp:posOffset>
                </wp:positionV>
                <wp:extent cx="5076190" cy="0"/>
                <wp:wrapNone/>
                <wp:docPr id="1355" name="135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22368;width:399.70pt;" id="135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4" w:after="0" w:lineRule="exact" w:line="300"/>
        <w:ind w:right="0" w:left="1434" w:firstLine="0"/>
        <w:snapToGrid w:val="0"/>
        <w:textAlignment w:val="auto"/>
        <w:tabs/>
        <w:rPr>
          <w:rFonts w:ascii="宋体" w:hAnsi="宋体" w:cs="宋体" w:eastAsia="宋体" w:hint="ascii"/>
        </w:rPr>
      </w:pPr>
      <w:r>
        <w:rPr>
          <w:rFonts w:ascii="宋体" w:hAnsi="宋体" w:cs="宋体" w:eastAsia="宋体" w:hint="ascii"/>
          <w:spacing w:val="-3"/>
        </w:rPr>
        <w:t>项目申请书中需明确课程名称、教学内容、授课教师、学员规模等计划</w:t>
      </w:r>
      <w:r>
        <w:rPr>
          <w:rFonts w:ascii="宋体" w:hAnsi="宋体" w:cs="宋体" w:eastAsia="宋体" w:hint="ascii"/>
        </w:rPr>
        <w:t>。</w:t>
      </w:r>
    </w:p>
    <w:p>
      <w:pPr>
        <w:autoSpaceDE w:val="0"/>
        <w:autoSpaceDN w:val="0"/>
        <w:jc w:val="left"/>
        <w:spacing w:before="56"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项目资助强度</w:t>
      </w:r>
      <w:r>
        <w:rPr>
          <w:rFonts w:ascii="宋体" w:hAnsi="宋体" w:cs="宋体" w:eastAsia="宋体" w:hint="ascii"/>
          <w:spacing w:val="30"/>
        </w:rPr>
        <w:t>为</w:t>
      </w:r>
      <w:r>
        <w:rPr>
          <w:rFonts w:ascii="Times New Roman" w:hAnsi="Times New Roman" w:cs="Times New Roman" w:eastAsia="Times New Roman" w:hint="ascii"/>
        </w:rPr>
        <w:t>6</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项左右。</w:t>
      </w:r>
    </w:p>
    <w:p>
      <w:pPr>
        <w:autoSpaceDE w:val="0"/>
        <w:autoSpaceDN w:val="0"/>
        <w:jc w:val="left"/>
        <w:spacing w:before="56" w:after="0" w:lineRule="auto" w:line="240"/>
        <w:ind w:right="0" w:left="1746" w:hanging="300"/>
        <w:snapToGrid w:val="0"/>
        <w:textAlignment w:val="auto"/>
        <w:tabs>
          <w:tab w:val="left" w:leader="none" w:pos="1746"/>
        </w:tabs>
        <w:numPr>
          <w:ilvl w:val="0"/>
          <w:numId w:val="345"/>
        </w:numPr>
        <w:rPr>
          <w:rFonts w:ascii="Times New Roman" w:hAnsi="Times New Roman" w:cs="Times New Roman" w:eastAsia="Times New Roman" w:hint="ascii"/>
        </w:rPr>
      </w:pPr>
      <w:r>
        <w:rPr>
          <w:rFonts w:ascii="宋体" w:hAnsi="宋体" w:cs="宋体" w:eastAsia="宋体" w:hint="ascii"/>
        </w:rPr>
        <w:t>天元数学专题讲习班项目</w:t>
      </w:r>
      <w:r>
        <w:rPr>
          <w:rFonts w:ascii="Times New Roman" w:hAnsi="Times New Roman" w:cs="Times New Roman" w:eastAsia="Times New Roman" w:hint="ascii"/>
          <w:b w:val="1"/>
        </w:rPr>
        <w:t>/</w:t>
      </w:r>
      <w:r>
        <w:rPr>
          <w:rFonts w:ascii="宋体" w:hAnsi="宋体" w:cs="宋体" w:eastAsia="宋体" w:hint="ascii"/>
        </w:rPr>
        <w:t>天元数学高级研讨班项目</w:t>
      </w:r>
    </w:p>
    <w:p>
      <w:pPr>
        <w:autoSpaceDE w:val="0"/>
        <w:autoSpaceDN w:val="0"/>
        <w:jc w:val="left"/>
        <w:spacing w:before="63"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天元数学专题讲习班面向研究生围绕某个学科专题开设系列课程，引导</w:t>
      </w:r>
    </w:p>
    <w:p>
      <w:pPr>
        <w:autoSpaceDE w:val="0"/>
        <w:autoSpaceDN w:val="0"/>
        <w:jc w:val="both"/>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研究生进入学科前沿。要求内容既有基础课，又有专题课，有一定的规模，时</w:t>
      </w:r>
      <w:r>
        <w:rPr>
          <w:rFonts w:ascii="宋体" w:hAnsi="宋体" w:cs="宋体" w:eastAsia="宋体" w:hint="ascii"/>
          <w:spacing w:val="30"/>
        </w:rPr>
        <w:t>间</w:t>
      </w:r>
      <w:r>
        <w:rPr>
          <w:rFonts w:ascii="Times New Roman" w:hAnsi="Times New Roman" w:cs="Times New Roman" w:eastAsia="Times New Roman" w:hint="ascii"/>
          <w:spacing w:val="60"/>
        </w:rPr>
        <w:t>3</w:t>
      </w:r>
      <w:r>
        <w:rPr>
          <w:rFonts w:ascii="宋体" w:hAnsi="宋体" w:cs="宋体" w:eastAsia="宋体" w:hint="ascii"/>
        </w:rPr>
        <w:t>周左右。申请书中需明确提供教学大纲、教学内容和授课教师名单。</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天元数学高级研讨班主要资助有较高水准、以优秀中青年数学学者为骨</w:t>
      </w:r>
    </w:p>
    <w:p>
      <w:pPr>
        <w:autoSpaceDE w:val="0"/>
        <w:autoSpaceDN w:val="0"/>
        <w:jc w:val="left"/>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spacing w:val="4"/>
        </w:rPr>
        <w:t>干的研</w:t>
      </w:r>
      <w:r>
        <w:rPr>
          <w:rFonts w:ascii="宋体" w:hAnsi="宋体" w:cs="宋体" w:eastAsia="宋体" w:hint="ascii"/>
          <w:spacing w:val="5"/>
        </w:rPr>
        <w:t>究小组，瞄准国际数学主流的科学问题，围绕明确的主题，联合</w:t>
      </w:r>
      <w:r>
        <w:rPr>
          <w:rFonts w:ascii="宋体" w:hAnsi="宋体" w:cs="宋体" w:eastAsia="宋体" w:hint="ascii"/>
        </w:rPr>
        <w:t>攻关，集中开展定期的研讨活动。项目执行后要求在期刊杂志上至少发表</w:t>
      </w:r>
      <w:r>
        <w:rPr>
          <w:rFonts w:ascii="宋体" w:hAnsi="宋体" w:cs="宋体" w:eastAsia="宋体" w:hint="ascii"/>
          <w:spacing w:val="-15"/>
        </w:rPr>
        <w:t xml:space="preserve"> </w:t>
      </w:r>
      <w:r>
        <w:rPr>
          <w:rFonts w:ascii="Times New Roman" w:hAnsi="Times New Roman" w:cs="Times New Roman" w:eastAsia="Times New Roman" w:hint="ascii"/>
        </w:rPr>
        <w:t>1</w:t>
      </w:r>
      <w:r>
        <w:rPr>
          <w:rFonts w:ascii="Times New Roman" w:hAnsi="Times New Roman" w:cs="Times New Roman" w:eastAsia="Times New Roman" w:hint="ascii"/>
          <w:spacing w:val="-15"/>
        </w:rPr>
        <w:t xml:space="preserve"> </w:t>
      </w:r>
      <w:r>
        <w:rPr>
          <w:rFonts w:ascii="宋体" w:hAnsi="宋体" w:cs="宋体" w:eastAsia="宋体" w:hint="ascii"/>
        </w:rPr>
        <w:t>篇有关该研究方向的综述文章，尽可能发表系列报告或论文。</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项目资助强</w:t>
      </w:r>
      <w:r>
        <w:rPr>
          <w:rFonts w:ascii="宋体" w:hAnsi="宋体" w:cs="宋体" w:eastAsia="宋体" w:hint="ascii"/>
          <w:spacing w:val="30"/>
        </w:rPr>
        <w:t>度</w:t>
      </w:r>
      <w:r>
        <w:rPr>
          <w:rFonts w:ascii="Times New Roman" w:hAnsi="Times New Roman" w:cs="Times New Roman" w:eastAsia="Times New Roman" w:hint="ascii"/>
        </w:rPr>
        <w:t>2</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项左右。</w:t>
      </w:r>
    </w:p>
    <w:p>
      <w:pPr>
        <w:autoSpaceDE w:val="0"/>
        <w:autoSpaceDN w:val="0"/>
        <w:jc w:val="left"/>
        <w:spacing w:before="56" w:after="0" w:lineRule="auto" w:line="240"/>
        <w:ind w:right="0" w:left="1746" w:hanging="300"/>
        <w:snapToGrid w:val="0"/>
        <w:textAlignment w:val="auto"/>
        <w:tabs>
          <w:tab w:val="left" w:leader="none" w:pos="1746"/>
        </w:tabs>
        <w:numPr>
          <w:ilvl w:val="0"/>
          <w:numId w:val="345"/>
        </w:numPr>
        <w:rPr>
          <w:rFonts w:ascii="Times New Roman" w:hAnsi="Times New Roman" w:cs="Times New Roman" w:eastAsia="Times New Roman" w:hint="ascii"/>
        </w:rPr>
      </w:pPr>
      <w:r>
        <w:rPr>
          <w:rFonts w:ascii="宋体" w:hAnsi="宋体" w:cs="宋体" w:eastAsia="宋体" w:hint="ascii"/>
        </w:rPr>
        <w:t>数学文化与传播项目</w:t>
      </w:r>
    </w:p>
    <w:p>
      <w:pPr>
        <w:autoSpaceDE w:val="0"/>
        <w:autoSpaceDN w:val="0"/>
        <w:jc w:val="left"/>
        <w:spacing w:before="63" w:after="0" w:lineRule="exact" w:line="300"/>
        <w:ind w:right="0" w:left="1437" w:firstLine="0"/>
        <w:snapToGrid w:val="0"/>
        <w:textAlignment w:val="auto"/>
        <w:tabs/>
        <w:rPr>
          <w:rFonts w:ascii="宋体" w:hAnsi="宋体" w:cs="宋体" w:eastAsia="宋体" w:hint="ascii"/>
        </w:rPr>
      </w:pPr>
      <w:r>
        <w:rPr>
          <w:rFonts w:ascii="宋体" w:hAnsi="宋体" w:cs="宋体" w:eastAsia="宋体" w:hint="ascii"/>
        </w:rPr>
        <w:t>该类项目资助数学传播类丛书</w:t>
      </w:r>
      <w:r>
        <w:rPr>
          <w:rFonts w:ascii="Times New Roman" w:hAnsi="Times New Roman" w:cs="Times New Roman" w:eastAsia="Times New Roman" w:hint="ascii"/>
        </w:rPr>
        <w:t>/</w:t>
      </w:r>
      <w:r>
        <w:rPr>
          <w:rFonts w:ascii="宋体" w:hAnsi="宋体" w:cs="宋体" w:eastAsia="宋体" w:hint="ascii"/>
        </w:rPr>
        <w:t>图书的出版，包括组织国内学者编写或翻</w:t>
      </w:r>
    </w:p>
    <w:p>
      <w:pPr>
        <w:autoSpaceDE w:val="0"/>
        <w:autoSpaceDN w:val="0"/>
        <w:jc w:val="both"/>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译国外著作，旨在提高大、中、小学生学习数学的兴趣和社会公众对数学的了解；资助与数学文化、数学传播、数学教育及数学建模相关的全国有影响的期刊杂志的出版，提高办刊水平，扩大其在公众中的影响；资助由高等学</w:t>
      </w:r>
      <w:r>
        <w:rPr>
          <w:rFonts w:ascii="宋体" w:hAnsi="宋体" w:cs="宋体" w:eastAsia="宋体" w:hint="ascii"/>
          <w:spacing w:val="-2"/>
        </w:rPr>
        <w:t>校、研究机构、省级以上科协及数</w:t>
      </w:r>
      <w:r>
        <w:rPr>
          <w:rFonts w:ascii="宋体" w:hAnsi="宋体" w:cs="宋体" w:eastAsia="宋体" w:hint="ascii"/>
          <w:spacing w:val="-3"/>
        </w:rPr>
        <w:t>学</w:t>
      </w:r>
      <w:r>
        <w:rPr>
          <w:rFonts w:ascii="宋体" w:hAnsi="宋体" w:cs="宋体" w:eastAsia="宋体" w:hint="ascii"/>
          <w:spacing w:val="-2"/>
        </w:rPr>
        <w:t>学会组织的全国性重要数学传播活动</w:t>
      </w:r>
      <w:r>
        <w:rPr>
          <w:rFonts w:ascii="宋体" w:hAnsi="宋体" w:cs="宋体" w:eastAsia="宋体" w:hint="ascii"/>
        </w:rPr>
        <w:t>。</w:t>
      </w:r>
    </w:p>
    <w:p>
      <w:pPr>
        <w:autoSpaceDE w:val="0"/>
        <w:autoSpaceDN w:val="0"/>
        <w:jc w:val="left"/>
        <w:spacing w:before="44" w:after="0" w:lineRule="exact" w:line="300"/>
        <w:ind w:right="0" w:left="1446" w:firstLine="0"/>
        <w:snapToGrid w:val="0"/>
        <w:textAlignment w:val="auto"/>
        <w:tabs/>
        <w:rPr>
          <w:rFonts w:ascii="Times New Roman" w:hAnsi="Times New Roman" w:cs="Times New Roman" w:eastAsia="Times New Roman" w:hint="ascii"/>
        </w:rPr>
      </w:pPr>
      <w:r>
        <w:rPr>
          <w:rFonts w:ascii="宋体" w:hAnsi="宋体" w:cs="宋体" w:eastAsia="宋体" w:hint="ascii"/>
        </w:rPr>
        <w:t>数学天元基金项目在线申请的受理时间分为两个时间段：</w:t>
      </w:r>
      <w:r>
        <w:rPr>
          <w:rFonts w:ascii="Times New Roman" w:hAnsi="Times New Roman" w:cs="Times New Roman" w:eastAsia="Times New Roman" w:hint="ascii"/>
        </w:rPr>
        <w:t>2018</w:t>
      </w:r>
      <w:r>
        <w:rPr>
          <w:rFonts w:ascii="Times New Roman" w:hAnsi="Times New Roman" w:cs="Times New Roman" w:eastAsia="Times New Roman" w:hint="ascii"/>
          <w:spacing w:val="-22"/>
        </w:rPr>
        <w:t xml:space="preserve"> </w:t>
      </w:r>
      <w:r>
        <w:rPr>
          <w:rFonts w:ascii="宋体" w:hAnsi="宋体" w:cs="宋体" w:eastAsia="宋体" w:hint="ascii"/>
        </w:rPr>
        <w:t>年</w:t>
      </w:r>
      <w:r>
        <w:rPr>
          <w:rFonts w:ascii="宋体" w:hAnsi="宋体" w:cs="宋体" w:eastAsia="宋体" w:hint="ascii"/>
          <w:spacing w:val="-22"/>
        </w:rPr>
        <w:t xml:space="preserve"> </w:t>
      </w:r>
      <w:r>
        <w:rPr>
          <w:rFonts w:ascii="Times New Roman" w:hAnsi="Times New Roman" w:cs="Times New Roman" w:eastAsia="Times New Roman" w:hint="ascii"/>
        </w:rPr>
        <w:t>3</w:t>
      </w:r>
      <w:r>
        <w:rPr>
          <w:rFonts w:ascii="Times New Roman" w:hAnsi="Times New Roman" w:cs="Times New Roman" w:eastAsia="Times New Roman" w:hint="ascii"/>
          <w:spacing w:val="-23"/>
        </w:rPr>
        <w:t xml:space="preserve"> </w:t>
      </w:r>
      <w:r>
        <w:rPr>
          <w:rFonts w:ascii="宋体" w:hAnsi="宋体" w:cs="宋体" w:eastAsia="宋体" w:hint="ascii"/>
        </w:rPr>
        <w:t>月</w:t>
      </w:r>
      <w:r>
        <w:rPr>
          <w:rFonts w:ascii="宋体" w:hAnsi="宋体" w:cs="宋体" w:eastAsia="宋体" w:hint="ascii"/>
          <w:spacing w:val="-22"/>
        </w:rPr>
        <w:t xml:space="preserve"> </w:t>
      </w:r>
      <w:r>
        <w:rPr>
          <w:rFonts w:ascii="Times New Roman" w:hAnsi="Times New Roman" w:cs="Times New Roman" w:eastAsia="Times New Roman" w:hint="ascii"/>
        </w:rPr>
        <w:t>1</w:t>
      </w:r>
    </w:p>
    <w:p>
      <w:pPr>
        <w:autoSpaceDE w:val="0"/>
        <w:autoSpaceDN w:val="0"/>
        <w:jc w:val="left"/>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日</w:t>
      </w:r>
      <w:r>
        <w:rPr>
          <w:rFonts w:ascii="宋体" w:hAnsi="宋体" w:cs="宋体" w:eastAsia="宋体" w:hint="ascii"/>
          <w:spacing w:val="30"/>
        </w:rPr>
        <w:t>至</w:t>
      </w:r>
      <w:r>
        <w:rPr>
          <w:rFonts w:ascii="Times New Roman" w:hAnsi="Times New Roman" w:cs="Times New Roman" w:eastAsia="Times New Roman" w:hint="ascii"/>
        </w:rPr>
        <w:t>201</w:t>
      </w:r>
      <w:r>
        <w:rPr>
          <w:rFonts w:ascii="Times New Roman" w:hAnsi="Times New Roman" w:cs="Times New Roman" w:eastAsia="Times New Roman" w:hint="ascii"/>
          <w:spacing w:val="60"/>
        </w:rPr>
        <w:t>8</w:t>
      </w:r>
      <w:r>
        <w:rPr>
          <w:rFonts w:ascii="宋体" w:hAnsi="宋体" w:cs="宋体" w:eastAsia="宋体" w:hint="ascii"/>
          <w:spacing w:val="30"/>
        </w:rPr>
        <w:t>年</w:t>
      </w:r>
      <w:r>
        <w:rPr>
          <w:rFonts w:ascii="Times New Roman" w:hAnsi="Times New Roman" w:cs="Times New Roman" w:eastAsia="Times New Roman" w:hint="ascii"/>
          <w:spacing w:val="60"/>
        </w:rPr>
        <w:t>3</w:t>
      </w:r>
      <w:r>
        <w:rPr>
          <w:rFonts w:ascii="宋体" w:hAnsi="宋体" w:cs="宋体" w:eastAsia="宋体" w:hint="ascii"/>
          <w:spacing w:val="30"/>
        </w:rPr>
        <w:t>月</w:t>
      </w:r>
      <w:r>
        <w:rPr>
          <w:rFonts w:ascii="Times New Roman" w:hAnsi="Times New Roman" w:cs="Times New Roman" w:eastAsia="Times New Roman" w:hint="ascii"/>
        </w:rPr>
        <w:t>2</w:t>
      </w:r>
      <w:r>
        <w:rPr>
          <w:rFonts w:ascii="Times New Roman" w:hAnsi="Times New Roman" w:cs="Times New Roman" w:eastAsia="Times New Roman" w:hint="ascii"/>
          <w:spacing w:val="60"/>
        </w:rPr>
        <w:t>0</w:t>
      </w:r>
      <w:r>
        <w:rPr>
          <w:rFonts w:ascii="宋体" w:hAnsi="宋体" w:cs="宋体" w:eastAsia="宋体" w:hint="ascii"/>
          <w:spacing w:val="30"/>
        </w:rPr>
        <w:t>日</w:t>
      </w:r>
      <w:r>
        <w:rPr>
          <w:rFonts w:ascii="Times New Roman" w:hAnsi="Times New Roman" w:cs="Times New Roman" w:eastAsia="Times New Roman" w:hint="ascii"/>
        </w:rPr>
        <w:t>1</w:t>
      </w:r>
      <w:r>
        <w:rPr>
          <w:rFonts w:ascii="Times New Roman" w:hAnsi="Times New Roman" w:cs="Times New Roman" w:eastAsia="Times New Roman" w:hint="ascii"/>
          <w:spacing w:val="60"/>
        </w:rPr>
        <w:t>6</w:t>
      </w:r>
      <w:r>
        <w:rPr>
          <w:rFonts w:ascii="宋体" w:hAnsi="宋体" w:cs="宋体" w:eastAsia="宋体" w:hint="ascii"/>
        </w:rPr>
        <w:t>时；</w:t>
      </w:r>
      <w:r>
        <w:rPr>
          <w:rFonts w:ascii="Times New Roman" w:hAnsi="Times New Roman" w:cs="Times New Roman" w:eastAsia="Times New Roman" w:hint="ascii"/>
        </w:rPr>
        <w:t>201</w:t>
      </w:r>
      <w:r>
        <w:rPr>
          <w:rFonts w:ascii="Times New Roman" w:hAnsi="Times New Roman" w:cs="Times New Roman" w:eastAsia="Times New Roman" w:hint="ascii"/>
          <w:spacing w:val="60"/>
        </w:rPr>
        <w:t>8</w:t>
      </w:r>
      <w:r>
        <w:rPr>
          <w:rFonts w:ascii="宋体" w:hAnsi="宋体" w:cs="宋体" w:eastAsia="宋体" w:hint="ascii"/>
          <w:spacing w:val="30"/>
        </w:rPr>
        <w:t>年</w:t>
      </w:r>
      <w:r>
        <w:rPr>
          <w:rFonts w:ascii="Times New Roman" w:hAnsi="Times New Roman" w:cs="Times New Roman" w:eastAsia="Times New Roman" w:hint="ascii"/>
          <w:spacing w:val="60"/>
        </w:rPr>
        <w:t>7</w:t>
      </w:r>
      <w:r>
        <w:rPr>
          <w:rFonts w:ascii="宋体" w:hAnsi="宋体" w:cs="宋体" w:eastAsia="宋体" w:hint="ascii"/>
          <w:spacing w:val="30"/>
        </w:rPr>
        <w:t>月</w:t>
      </w:r>
      <w:r>
        <w:rPr>
          <w:rFonts w:ascii="Times New Roman" w:hAnsi="Times New Roman" w:cs="Times New Roman" w:eastAsia="Times New Roman" w:hint="ascii"/>
          <w:spacing w:val="60"/>
        </w:rPr>
        <w:t>1</w:t>
      </w:r>
      <w:r>
        <w:rPr>
          <w:rFonts w:ascii="宋体" w:hAnsi="宋体" w:cs="宋体" w:eastAsia="宋体" w:hint="ascii"/>
        </w:rPr>
        <w:t>日</w:t>
      </w:r>
      <w:r>
        <w:rPr>
          <w:rFonts w:ascii="宋体" w:hAnsi="宋体" w:cs="宋体" w:eastAsia="宋体" w:hint="ascii"/>
          <w:spacing w:val="30"/>
        </w:rPr>
        <w:t>至</w:t>
      </w:r>
      <w:r>
        <w:rPr>
          <w:rFonts w:ascii="Times New Roman" w:hAnsi="Times New Roman" w:cs="Times New Roman" w:eastAsia="Times New Roman" w:hint="ascii"/>
        </w:rPr>
        <w:t>201</w:t>
      </w:r>
      <w:r>
        <w:rPr>
          <w:rFonts w:ascii="Times New Roman" w:hAnsi="Times New Roman" w:cs="Times New Roman" w:eastAsia="Times New Roman" w:hint="ascii"/>
          <w:spacing w:val="60"/>
        </w:rPr>
        <w:t>8</w:t>
      </w:r>
      <w:r>
        <w:rPr>
          <w:rFonts w:ascii="宋体" w:hAnsi="宋体" w:cs="宋体" w:eastAsia="宋体" w:hint="ascii"/>
          <w:spacing w:val="30"/>
        </w:rPr>
        <w:t>年</w:t>
      </w:r>
      <w:r>
        <w:rPr>
          <w:rFonts w:ascii="Times New Roman" w:hAnsi="Times New Roman" w:cs="Times New Roman" w:eastAsia="Times New Roman" w:hint="ascii"/>
          <w:spacing w:val="60"/>
        </w:rPr>
        <w:t>7</w:t>
      </w:r>
      <w:r>
        <w:rPr>
          <w:rFonts w:ascii="宋体" w:hAnsi="宋体" w:cs="宋体" w:eastAsia="宋体" w:hint="ascii"/>
          <w:spacing w:val="30"/>
        </w:rPr>
        <w:t>月</w:t>
      </w:r>
      <w:r>
        <w:rPr>
          <w:rFonts w:ascii="Times New Roman" w:hAnsi="Times New Roman" w:cs="Times New Roman" w:eastAsia="Times New Roman" w:hint="ascii"/>
        </w:rPr>
        <w:t>2</w:t>
      </w:r>
      <w:r>
        <w:rPr>
          <w:rFonts w:ascii="Times New Roman" w:hAnsi="Times New Roman" w:cs="Times New Roman" w:eastAsia="Times New Roman" w:hint="ascii"/>
          <w:spacing w:val="60"/>
        </w:rPr>
        <w:t>0</w:t>
      </w:r>
      <w:r>
        <w:rPr>
          <w:rFonts w:ascii="宋体" w:hAnsi="宋体" w:cs="宋体" w:eastAsia="宋体" w:hint="ascii"/>
          <w:spacing w:val="30"/>
        </w:rPr>
        <w:t>日</w:t>
      </w:r>
      <w:r>
        <w:rPr>
          <w:rFonts w:ascii="Times New Roman" w:hAnsi="Times New Roman" w:cs="Times New Roman" w:eastAsia="Times New Roman" w:hint="ascii"/>
        </w:rPr>
        <w:t>1</w:t>
      </w:r>
      <w:r>
        <w:rPr>
          <w:rFonts w:ascii="Times New Roman" w:hAnsi="Times New Roman" w:cs="Times New Roman" w:eastAsia="Times New Roman" w:hint="ascii"/>
          <w:spacing w:val="60"/>
        </w:rPr>
        <w:t>6</w:t>
      </w:r>
      <w:r>
        <w:rPr>
          <w:rFonts w:ascii="宋体" w:hAnsi="宋体" w:cs="宋体" w:eastAsia="宋体" w:hint="ascii"/>
        </w:rPr>
        <w:t>时。依托单位提交电子申请书后再报送经单位签字盖章后的纸质申请书原件（一式一份）及要求报送的纸质附件材料。</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spacing w:val="7"/>
        </w:rPr>
        <w:t>申请书资助类别选择“专项基金项目</w:t>
      </w:r>
      <w:r>
        <w:rPr>
          <w:rFonts w:ascii="宋体" w:hAnsi="宋体" w:cs="宋体" w:eastAsia="宋体" w:hint="ascii"/>
          <w:spacing w:val="-53"/>
        </w:rPr>
        <w:t>”</w:t>
      </w:r>
      <w:r>
        <w:rPr>
          <w:rFonts w:ascii="宋体" w:hAnsi="宋体" w:cs="宋体" w:eastAsia="宋体" w:hint="ascii"/>
          <w:spacing w:val="7"/>
        </w:rPr>
        <w:t>，亚类说明选择“数学天元</w:t>
      </w:r>
      <w:r>
        <w:rPr>
          <w:rFonts w:ascii="宋体" w:hAnsi="宋体" w:cs="宋体" w:eastAsia="宋体" w:hint="ascii"/>
        </w:rPr>
        <w:t>基</w:t>
      </w:r>
    </w:p>
    <w:p>
      <w:pPr>
        <w:autoSpaceDE w:val="0"/>
        <w:autoSpaceDN w:val="0"/>
        <w:jc w:val="both"/>
        <w:spacing w:before="11"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金</w:t>
      </w:r>
      <w:r>
        <w:rPr>
          <w:rFonts w:ascii="宋体" w:hAnsi="宋体" w:cs="宋体" w:eastAsia="宋体" w:hint="ascii"/>
          <w:spacing w:val="-60"/>
        </w:rPr>
        <w:t>”</w:t>
      </w:r>
      <w:r>
        <w:rPr>
          <w:rFonts w:ascii="宋体" w:hAnsi="宋体" w:cs="宋体" w:eastAsia="宋体" w:hint="ascii"/>
        </w:rPr>
        <w:t xml:space="preserve">，附注说明按照申请内容填写如上 </w:t>
      </w:r>
      <w:r>
        <w:rPr>
          <w:rFonts w:ascii="Times New Roman" w:hAnsi="Times New Roman" w:cs="Times New Roman" w:eastAsia="Times New Roman" w:hint="ascii"/>
        </w:rPr>
        <w:t xml:space="preserve">6 </w:t>
      </w:r>
      <w:r>
        <w:rPr>
          <w:rFonts w:ascii="宋体" w:hAnsi="宋体" w:cs="宋体" w:eastAsia="宋体" w:hint="ascii"/>
        </w:rPr>
        <w:t>类项目中的某一类。所有项目申请</w:t>
      </w:r>
      <w:r>
        <w:rPr>
          <w:rFonts w:ascii="宋体" w:hAnsi="宋体" w:cs="宋体" w:eastAsia="宋体" w:hint="ascii"/>
          <w:spacing w:val="-2"/>
        </w:rPr>
        <w:t>代码</w:t>
      </w:r>
      <w:r>
        <w:rPr>
          <w:rFonts w:ascii="宋体" w:hAnsi="宋体" w:cs="宋体" w:eastAsia="宋体" w:hint="ascii"/>
          <w:spacing w:val="-17"/>
        </w:rPr>
        <w:t xml:space="preserve"> </w:t>
      </w:r>
      <w:r>
        <w:rPr>
          <w:rFonts w:ascii="Times New Roman" w:hAnsi="Times New Roman" w:cs="Times New Roman" w:eastAsia="Times New Roman" w:hint="ascii"/>
          <w:spacing w:val="-2"/>
        </w:rPr>
        <w:t>1</w:t>
      </w:r>
      <w:r>
        <w:rPr>
          <w:rFonts w:ascii="Times New Roman" w:hAnsi="Times New Roman" w:cs="Times New Roman" w:eastAsia="Times New Roman" w:hint="ascii"/>
          <w:spacing w:val="-17"/>
        </w:rPr>
        <w:t xml:space="preserve"> </w:t>
      </w:r>
      <w:r>
        <w:rPr>
          <w:rFonts w:ascii="宋体" w:hAnsi="宋体" w:cs="宋体" w:eastAsia="宋体" w:hint="ascii"/>
          <w:spacing w:val="-2"/>
        </w:rPr>
        <w:t>均应选择数学学科申请代码。以上选择不准</w:t>
      </w:r>
      <w:r>
        <w:rPr>
          <w:rFonts w:ascii="宋体" w:hAnsi="宋体" w:cs="宋体" w:eastAsia="宋体" w:hint="ascii"/>
          <w:spacing w:val="-1"/>
        </w:rPr>
        <w:t>确或未选择的项目申请不</w:t>
      </w:r>
      <w:r>
        <w:rPr>
          <w:rFonts w:ascii="宋体" w:hAnsi="宋体" w:cs="宋体" w:eastAsia="宋体" w:hint="ascii"/>
        </w:rPr>
        <w:t xml:space="preserve"> 予受理。数学天元基金项目资助期限一般不超</w:t>
      </w:r>
      <w:r>
        <w:rPr>
          <w:rFonts w:ascii="宋体" w:hAnsi="宋体" w:cs="宋体" w:eastAsia="宋体" w:hint="ascii"/>
          <w:spacing w:val="30"/>
        </w:rPr>
        <w:t>过</w:t>
      </w:r>
      <w:r>
        <w:rPr>
          <w:rFonts w:ascii="Times New Roman" w:hAnsi="Times New Roman" w:cs="Times New Roman" w:eastAsia="Times New Roman" w:hint="ascii"/>
          <w:spacing w:val="60"/>
        </w:rPr>
        <w:t>1</w:t>
      </w:r>
      <w:r>
        <w:rPr>
          <w:rFonts w:ascii="宋体" w:hAnsi="宋体" w:cs="宋体" w:eastAsia="宋体" w:hint="ascii"/>
        </w:rPr>
        <w:t>年。</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数学天元基金项目无间接费用，申请经费为直接费用。</w:t>
      </w:r>
    </w:p>
    <w:p>
      <w:pPr>
        <w:autoSpaceDE w:val="0"/>
        <w:autoSpaceDN w:val="0"/>
        <w:jc w:val="both"/>
        <w:spacing w:before="12" w:after="0" w:lineRule="exact" w:line="355"/>
        <w:ind w:right="978" w:left="966" w:firstLine="480"/>
        <w:snapToGrid w:val="0"/>
        <w:textAlignment w:val="auto"/>
        <w:tabs/>
        <w:rPr>
          <w:rFonts w:ascii="宋体" w:hAnsi="宋体" w:cs="宋体" w:eastAsia="宋体" w:hint="ascii"/>
        </w:rPr>
      </w:pPr>
      <w:r>
        <w:rPr>
          <w:rFonts w:ascii="宋体" w:hAnsi="宋体" w:cs="宋体" w:eastAsia="宋体" w:hint="ascii"/>
        </w:rPr>
        <w:t>数学天元基金资助项目在执行中须标注“国家自然科学基金数学天元基金资助项目</w:t>
      </w:r>
      <w:r>
        <w:rPr>
          <w:rFonts w:ascii="宋体" w:hAnsi="宋体" w:cs="宋体" w:eastAsia="宋体" w:hint="ascii"/>
          <w:spacing w:val="-60"/>
        </w:rPr>
        <w:t>”</w:t>
      </w:r>
      <w:r>
        <w:rPr>
          <w:rFonts w:ascii="宋体" w:hAnsi="宋体" w:cs="宋体" w:eastAsia="宋体" w:hint="ascii"/>
        </w:rPr>
        <w:t>。</w:t>
      </w:r>
    </w:p>
    <w:p>
      <w:pPr>
        <w:autoSpaceDE w:val="0"/>
        <w:autoSpaceDN w:val="0"/>
        <w:jc w:val="left"/>
        <w:spacing w:before="1442"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249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1834" w:firstLine="0"/>
        <w:snapToGrid w:val="0"/>
        <w:textAlignment w:val="auto"/>
        <w:tabs/>
        <w:rPr>
          <w:rFonts w:ascii="宋体" w:hAnsi="宋体" w:cs="宋体" w:eastAsia="宋体" w:hint="ascii"/>
          <w:sz w:val="52"/>
        </w:rPr>
      </w:pPr>
      <w:r>
        <w:rPr>
          <w:rFonts w:ascii="宋体" w:hAnsi="宋体" w:cs="宋体" w:eastAsia="宋体" w:hint="ascii"/>
          <w:sz w:val="52"/>
        </w:rPr>
        <w:t>国家重大科研仪器研制项目</w:t>
      </w:r>
      <w:r>
        <w:rPr>
          <w:rFonts w:ascii="宋体" w:hAnsi="宋体" w:cs="宋体" w:eastAsia="宋体" w:hint="ascii"/>
          <w:sz w:val="52"/>
        </w:rPr>
        <mc:AlternateContent>
          <mc:Choice Requires="wps">
            <w:drawing>
              <wp:anchor distL="0" distR="0" distT="0" distB="0" simplePos="0" behindDoc="1" relativeHeight="329" locked="0" layoutInCell="1" allowOverlap="1">
                <wp:simplePos x="0" y="0"/>
                <wp:positionH relativeFrom="page">
                  <wp:posOffset>938530</wp:posOffset>
                </wp:positionH>
                <wp:positionV relativeFrom="page">
                  <wp:posOffset>805815</wp:posOffset>
                </wp:positionV>
                <wp:extent cx="5076190" cy="0"/>
                <wp:wrapNone/>
                <wp:docPr id="1356" name="135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21344;width:399.70pt;" id="1356"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330" locked="0" layoutInCell="1" allowOverlap="1">
                <wp:simplePos x="0" y="0"/>
                <wp:positionH relativeFrom="page">
                  <wp:posOffset>278765</wp:posOffset>
                </wp:positionH>
                <wp:positionV relativeFrom="page">
                  <wp:posOffset>335280</wp:posOffset>
                </wp:positionV>
                <wp:extent cx="6396355" cy="556260"/>
                <wp:wrapNone/>
                <wp:docPr id="1357" name="1357"/>
                <wp:cNvGraphicFramePr/>
                <a:graphic>
                  <a:graphicData uri="http://schemas.microsoft.com/office/word/2010/wordprocessingShape">
                    <wps:wsp>
                      <wps:cNvSpPr/>
                      <wps:spPr>
                        <a:xfrm>
                          <a:off x="0" y="0"/>
                          <a:ext cx="6396355" cy="55626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1.95pt;mso-position-vertical:absolute;mso-position-vertical-relative:page;margin-top:26.40pt;z-index:-251320320;width:503.65pt;height:43.80pt;" id="1357" coordsize="10073,876" stroked="f" fillcolor="#ffffff" opacity="0f">
                <v:stroke endcap="round"/>
                <v:fill opacity="0f"/>
                <w10:wrap anchorx="page" anchory="page" side="both"/>
              </v:rect>
            </w:pict>
          </mc:Fallback>
        </mc:AlternateContent>
      </w:r>
    </w:p>
    <w:p>
      <w:pPr>
        <w:autoSpaceDE w:val="0"/>
        <w:autoSpaceDN w:val="0"/>
        <w:jc w:val="both"/>
        <w:spacing w:before="397" w:after="0" w:lineRule="exact" w:line="356"/>
        <w:ind w:right="975" w:left="966" w:firstLine="480"/>
        <w:snapToGrid w:val="0"/>
        <w:textAlignment w:val="auto"/>
        <w:tabs/>
        <w:rPr>
          <w:rFonts w:ascii="宋体" w:hAnsi="宋体" w:cs="宋体" w:eastAsia="宋体" w:hint="ascii"/>
        </w:rPr>
      </w:pPr>
      <w:r>
        <w:rPr>
          <w:rFonts w:ascii="宋体" w:hAnsi="宋体" w:cs="宋体" w:eastAsia="宋体" w:hint="ascii"/>
          <w:spacing w:val="-2"/>
        </w:rPr>
        <w:t>国家重</w:t>
      </w:r>
      <w:r>
        <w:rPr>
          <w:rFonts w:ascii="宋体" w:hAnsi="宋体" w:cs="宋体" w:eastAsia="宋体" w:hint="ascii"/>
          <w:spacing w:val="-1"/>
        </w:rPr>
        <w:t>大科研仪器研制项目面向科学前沿和国家需求，以科学目标为导</w:t>
      </w:r>
      <w:r>
        <w:rPr>
          <w:rFonts w:ascii="宋体" w:hAnsi="宋体" w:cs="宋体" w:eastAsia="宋体" w:hint="ascii"/>
        </w:rPr>
        <w:t xml:space="preserve"> 向，加强顶层设计、明确重点发展方向，鼓励和培育具有原创性思想的探索性科研仪器研制，着力支持原创性重大科研仪器设备研制，为科学研究提供更新颖的手段和工具，以全面提升我国的原始创新能力。</w:t>
      </w:r>
    </w:p>
    <w:p>
      <w:pPr>
        <w:autoSpaceDE w:val="0"/>
        <w:autoSpaceDN w:val="0"/>
        <w:jc w:val="left"/>
        <w:spacing w:before="44"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国家重大科研仪器研制项目包括部门推荐和自由申请两个亚类。</w:t>
      </w:r>
    </w:p>
    <w:p>
      <w:pPr>
        <w:autoSpaceDE w:val="0"/>
        <w:autoSpaceDN w:val="0"/>
        <w:jc w:val="left"/>
        <w:spacing w:before="179" w:after="0" w:lineRule="exact" w:line="225"/>
        <w:ind w:right="0" w:left="3118" w:firstLine="0"/>
        <w:snapToGrid w:val="0"/>
        <w:textAlignment w:val="auto"/>
        <w:tabs/>
        <w:rPr>
          <w:rFonts w:ascii="宋体" w:hAnsi="宋体" w:cs="宋体" w:eastAsia="宋体" w:hint="ascii"/>
          <w:sz w:val="18"/>
        </w:rPr>
      </w:pPr>
      <w:r>
        <w:rPr>
          <w:rFonts w:ascii="宋体" w:hAnsi="宋体" w:cs="宋体" w:eastAsia="宋体" w:hint="ascii"/>
          <w:sz w:val="18"/>
        </w:rPr>
        <w:t>国家重大科研仪器研制项</w:t>
      </w:r>
      <w:r>
        <w:rPr>
          <w:rFonts w:ascii="宋体" w:hAnsi="宋体" w:cs="宋体" w:eastAsia="宋体" w:hint="ascii"/>
          <w:sz w:val="18"/>
          <w:spacing w:val="23"/>
        </w:rPr>
        <w:t>目</w:t>
      </w:r>
      <w:r>
        <w:rPr>
          <w:rFonts w:ascii="Times New Roman" w:hAnsi="Times New Roman" w:cs="Times New Roman" w:eastAsia="Times New Roman" w:hint="ascii"/>
          <w:b w:val="1"/>
          <w:sz w:val="18"/>
        </w:rPr>
        <w:t>201</w:t>
      </w:r>
      <w:r>
        <w:rPr>
          <w:rFonts w:ascii="Times New Roman" w:hAnsi="Times New Roman" w:cs="Times New Roman" w:eastAsia="Times New Roman" w:hint="ascii"/>
          <w:b w:val="1"/>
          <w:sz w:val="18"/>
          <w:spacing w:val="45"/>
        </w:rPr>
        <w:t>7</w:t>
      </w:r>
      <w:r>
        <w:rPr>
          <w:rFonts w:ascii="宋体" w:hAnsi="宋体" w:cs="宋体" w:eastAsia="宋体" w:hint="ascii"/>
          <w:sz w:val="18"/>
        </w:rPr>
        <w:t>年度资助情况</w:t>
      </w:r>
    </w:p>
    <w:p>
      <w:pPr>
        <w:autoSpaceDE w:val="0"/>
        <w:autoSpaceDN w:val="0"/>
        <w:jc w:val="left"/>
        <w:spacing w:before="37" w:after="35" w:lineRule="exact" w:line="225"/>
        <w:ind w:right="0" w:left="7267" w:firstLine="0"/>
        <w:snapToGrid w:val="0"/>
        <w:textAlignment w:val="auto"/>
        <w:tabs/>
        <w:rPr>
          <w:rFonts w:ascii="宋体" w:hAnsi="宋体" w:cs="宋体" w:eastAsia="宋体" w:hint="ascii"/>
          <w:sz w:val="18"/>
        </w:rPr>
      </w:pPr>
      <w:r>
        <w:rPr>
          <w:rFonts w:ascii="宋体" w:hAnsi="宋体" w:cs="宋体" w:eastAsia="宋体" w:hint="ascii"/>
          <w:sz w:val="18"/>
        </w:rPr>
        <w:t>金额单位：万元</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1433"/>
        <w:gridCol w:w="1431"/>
        <w:gridCol w:w="1433"/>
        <w:gridCol w:w="1432"/>
        <w:gridCol w:w="2263"/>
      </w:tblGrid>
      <w:tr>
        <w:trPr>
          <w:trHeight w:val="265" w:hRule="exact"/>
          <w:cantSplit w:val="1"/>
        </w:trPr>
        <w:tc>
          <w:tcPr>
            <w:tcW w:w="1433" w:type="dxa"/>
            <w:gridSpan w:val="1"/>
            <w:vAlign w:val="top"/>
            <w:tcMar/>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p>
        </w:tc>
        <w:tc>
          <w:tcPr>
            <w:tcW w:w="1431" w:type="dxa"/>
            <w:gridSpan w:val="1"/>
            <w:vAlign w:val="top"/>
            <w:tcMar/>
            <w:tcBorders>
              <w:left w:val="single" w:sz="4" w:space="0" w:color="000000"/>
            </w:tcBorders>
          </w:tcPr>
          <w:p>
            <w:pPr>
              <w:autoSpaceDE w:val="0"/>
              <w:autoSpaceDN w:val="0"/>
              <w:jc w:val="left"/>
              <w:spacing w:before="28" w:after="0" w:lineRule="exact" w:line="188"/>
              <w:ind w:right="0" w:left="336" w:firstLine="0"/>
              <w:snapToGrid w:val="0"/>
              <w:textAlignment w:val="auto"/>
              <w:tabs/>
              <w:rPr>
                <w:rFonts w:ascii="宋体" w:hAnsi="宋体" w:cs="宋体" w:eastAsia="宋体" w:hint="ascii"/>
                <w:sz w:val="15"/>
              </w:rPr>
            </w:pPr>
            <w:r>
              <w:rPr>
                <w:rFonts w:ascii="宋体" w:hAnsi="宋体" w:cs="宋体" w:eastAsia="宋体" w:hint="ascii"/>
                <w:sz w:val="15"/>
              </w:rPr>
              <w:t>接收申请数</w:t>
            </w:r>
          </w:p>
        </w:tc>
        <w:tc>
          <w:tcPr>
            <w:tcW w:w="1433" w:type="dxa"/>
            <w:gridSpan w:val="1"/>
            <w:vAlign w:val="top"/>
            <w:tcMar/>
            <w:tcBorders>
              <w:left w:val="single" w:sz="4" w:space="0" w:color="000000"/>
            </w:tcBorders>
          </w:tcPr>
          <w:p>
            <w:pPr>
              <w:autoSpaceDE w:val="0"/>
              <w:autoSpaceDN w:val="0"/>
              <w:jc w:val="left"/>
              <w:spacing w:before="28" w:after="0" w:lineRule="exact" w:line="188"/>
              <w:ind w:right="0" w:left="411" w:firstLine="0"/>
              <w:snapToGrid w:val="0"/>
              <w:textAlignment w:val="auto"/>
              <w:tabs/>
              <w:rPr>
                <w:rFonts w:ascii="宋体" w:hAnsi="宋体" w:cs="宋体" w:eastAsia="宋体" w:hint="ascii"/>
                <w:sz w:val="15"/>
              </w:rPr>
            </w:pPr>
            <w:r>
              <w:rPr>
                <w:rFonts w:ascii="宋体" w:hAnsi="宋体" w:cs="宋体" w:eastAsia="宋体" w:hint="ascii"/>
                <w:sz w:val="15"/>
              </w:rPr>
              <w:t>资助项数</w:t>
            </w:r>
          </w:p>
        </w:tc>
        <w:tc>
          <w:tcPr>
            <w:tcW w:w="1432" w:type="dxa"/>
            <w:gridSpan w:val="1"/>
            <w:vAlign w:val="top"/>
            <w:tcMar/>
            <w:tcBorders>
              <w:left w:val="single" w:sz="4" w:space="0" w:color="000000"/>
            </w:tcBorders>
          </w:tcPr>
          <w:p>
            <w:pPr>
              <w:autoSpaceDE w:val="0"/>
              <w:autoSpaceDN w:val="0"/>
              <w:jc w:val="left"/>
              <w:spacing w:before="28" w:after="0" w:lineRule="exact" w:line="188"/>
              <w:ind w:right="0" w:left="410" w:firstLine="0"/>
              <w:snapToGrid w:val="0"/>
              <w:textAlignment w:val="auto"/>
              <w:tabs/>
              <w:rPr>
                <w:rFonts w:ascii="宋体" w:hAnsi="宋体" w:cs="宋体" w:eastAsia="宋体" w:hint="ascii"/>
                <w:sz w:val="15"/>
              </w:rPr>
            </w:pPr>
            <w:r>
              <w:rPr>
                <w:rFonts w:ascii="宋体" w:hAnsi="宋体" w:cs="宋体" w:eastAsia="宋体" w:hint="ascii"/>
                <w:sz w:val="15"/>
              </w:rPr>
              <w:t>直接费用</w:t>
            </w:r>
          </w:p>
        </w:tc>
        <w:tc>
          <w:tcPr>
            <w:tcW w:w="2263" w:type="dxa"/>
            <w:gridSpan w:val="1"/>
            <w:vAlign w:val="top"/>
            <w:tcMar/>
            <w:tcBorders>
              <w:left w:val="single" w:sz="4" w:space="0" w:color="000000"/>
              <w:right w:val="single" w:sz="8" w:space="0" w:color="000000"/>
            </w:tcBorders>
          </w:tcPr>
          <w:p>
            <w:pPr>
              <w:autoSpaceDE w:val="0"/>
              <w:autoSpaceDN w:val="0"/>
              <w:jc w:val="left"/>
              <w:spacing w:before="28" w:after="0" w:lineRule="exact" w:line="188"/>
              <w:ind w:right="0" w:left="377" w:firstLine="0"/>
              <w:snapToGrid w:val="0"/>
              <w:textAlignment w:val="auto"/>
              <w:tabs/>
              <w:rPr>
                <w:rFonts w:ascii="宋体" w:hAnsi="宋体" w:cs="宋体" w:eastAsia="宋体" w:hint="ascii"/>
                <w:sz w:val="15"/>
              </w:rPr>
            </w:pPr>
            <w:r>
              <w:rPr>
                <w:rFonts w:ascii="宋体" w:hAnsi="宋体" w:cs="宋体" w:eastAsia="宋体" w:hint="ascii"/>
                <w:sz w:val="15"/>
              </w:rPr>
              <w:t>直接费用平均资助强度</w:t>
            </w:r>
          </w:p>
        </w:tc>
      </w:tr>
      <w:tr>
        <w:trPr>
          <w:trHeight w:val="260" w:hRule="exact"/>
          <w:cantSplit w:val="1"/>
        </w:trPr>
        <w:tc>
          <w:tcPr>
            <w:tcW w:w="1433" w:type="dxa"/>
            <w:gridSpan w:val="1"/>
            <w:vAlign w:val="top"/>
            <w:tcMar/>
            <w:tcBorders>
              <w:top w:val="single" w:sz="4" w:space="0" w:color="000000"/>
            </w:tcBorders>
          </w:tcPr>
          <w:p>
            <w:pPr>
              <w:autoSpaceDE w:val="0"/>
              <w:autoSpaceDN w:val="0"/>
              <w:jc w:val="left"/>
              <w:spacing w:before="29" w:after="0" w:lineRule="exact" w:line="188"/>
              <w:ind w:right="0" w:left="406" w:firstLine="0"/>
              <w:snapToGrid w:val="0"/>
              <w:textAlignment w:val="auto"/>
              <w:tabs/>
              <w:rPr>
                <w:rFonts w:ascii="宋体" w:hAnsi="宋体" w:cs="宋体" w:eastAsia="宋体" w:hint="ascii"/>
                <w:sz w:val="15"/>
              </w:rPr>
            </w:pPr>
            <w:r>
              <w:rPr>
                <w:rFonts w:ascii="宋体" w:hAnsi="宋体" w:cs="宋体" w:eastAsia="宋体" w:hint="ascii"/>
                <w:sz w:val="15"/>
              </w:rPr>
              <w:t>部门推荐</w:t>
            </w:r>
          </w:p>
        </w:tc>
        <w:tc>
          <w:tcPr>
            <w:tcW w:w="1431"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6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54</w:t>
            </w:r>
          </w:p>
        </w:tc>
        <w:tc>
          <w:tcPr>
            <w:tcW w:w="1433"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710" w:firstLine="0"/>
              <w:snapToGrid w:val="0"/>
              <w:textAlignment w:val="auto"/>
              <w:tabs>
                <w:tab w:val="left" w:leader="none" w:pos="983"/>
              </w:tabs>
              <w:numPr>
                <w:ilvl w:val="0"/>
                <w:numId w:val="346"/>
              </w:numPr>
              <w:rPr>
                <w:rFonts w:ascii="Times New Roman" w:hAnsi="Times New Roman" w:cs="Times New Roman" w:eastAsia="Times New Roman" w:hint="ascii"/>
                <w:sz w:val="15"/>
              </w:rPr>
            </w:pPr>
            <w:r>
              <w:rPr>
                <w:rFonts w:ascii="Times New Roman" w:hAnsi="Times New Roman" w:cs="Times New Roman" w:eastAsia="Times New Roman" w:hint="ascii"/>
                <w:sz w:val="15"/>
              </w:rPr>
              <w:t xml:space="preserve"> </w:t>
            </w:r>
          </w:p>
        </w:tc>
        <w:tc>
          <w:tcPr>
            <w:tcW w:w="1432" w:type="dxa"/>
            <w:gridSpan w:val="1"/>
            <w:vAlign w:val="top"/>
            <w:tcMar/>
            <w:tcBorders>
              <w:left w:val="single" w:sz="4" w:space="0" w:color="000000"/>
              <w:top w:val="single" w:sz="4" w:space="0" w:color="000000"/>
            </w:tcBorders>
          </w:tcPr>
          <w:p>
            <w:pPr>
              <w:autoSpaceDE w:val="0"/>
              <w:autoSpaceDN w:val="0"/>
              <w:jc w:val="left"/>
              <w:spacing w:before="35" w:after="0" w:lineRule="auto" w:line="240"/>
              <w:ind w:right="0" w:left="41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32 821.98</w:t>
            </w:r>
          </w:p>
        </w:tc>
        <w:tc>
          <w:tcPr>
            <w:tcW w:w="2263"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865" w:firstLine="0"/>
              <w:snapToGrid w:val="0"/>
              <w:textAlignment w:val="auto"/>
              <w:tabs>
                <w:tab w:val="left" w:leader="none" w:pos="983"/>
              </w:tabs>
              <w:numPr>
                <w:ilvl w:val="0"/>
                <w:numId w:val="346"/>
              </w:numPr>
              <w:rPr>
                <w:rFonts w:ascii="Times New Roman" w:hAnsi="Times New Roman" w:cs="Times New Roman" w:eastAsia="Times New Roman" w:hint="ascii"/>
                <w:sz w:val="15"/>
              </w:rPr>
            </w:pPr>
            <w:r>
              <w:rPr>
                <w:rFonts w:ascii="Times New Roman" w:hAnsi="Times New Roman" w:cs="Times New Roman" w:eastAsia="Times New Roman" w:hint="ascii"/>
                <w:sz w:val="15"/>
              </w:rPr>
              <w:t>564.40</w:t>
            </w:r>
          </w:p>
        </w:tc>
      </w:tr>
      <w:tr>
        <w:trPr>
          <w:trHeight w:val="266" w:hRule="exact"/>
          <w:cantSplit w:val="1"/>
        </w:trPr>
        <w:tc>
          <w:tcPr>
            <w:tcW w:w="1433" w:type="dxa"/>
            <w:gridSpan w:val="1"/>
            <w:vAlign w:val="top"/>
            <w:tcMar/>
            <w:tcBorders>
              <w:top w:val="single" w:sz="4" w:space="0" w:color="000000"/>
              <w:bottom w:val="single" w:sz="8" w:space="0" w:color="000000"/>
            </w:tcBorders>
          </w:tcPr>
          <w:p>
            <w:pPr>
              <w:autoSpaceDE w:val="0"/>
              <w:autoSpaceDN w:val="0"/>
              <w:jc w:val="left"/>
              <w:spacing w:before="29" w:after="0" w:lineRule="exact" w:line="188"/>
              <w:ind w:right="0" w:left="406" w:firstLine="0"/>
              <w:snapToGrid w:val="0"/>
              <w:textAlignment w:val="auto"/>
              <w:tabs/>
              <w:rPr>
                <w:rFonts w:ascii="宋体" w:hAnsi="宋体" w:cs="宋体" w:eastAsia="宋体" w:hint="ascii"/>
                <w:sz w:val="15"/>
              </w:rPr>
            </w:pPr>
            <w:r>
              <w:rPr>
                <w:rFonts w:ascii="宋体" w:hAnsi="宋体" w:cs="宋体" w:eastAsia="宋体" w:hint="ascii"/>
                <w:sz w:val="15"/>
              </w:rPr>
              <w:t>自由申请</w:t>
            </w:r>
          </w:p>
        </w:tc>
        <w:tc>
          <w:tcPr>
            <w:tcW w:w="143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59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591</w:t>
            </w:r>
          </w:p>
        </w:tc>
        <w:tc>
          <w:tcPr>
            <w:tcW w:w="1433"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636"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83</w:t>
            </w:r>
          </w:p>
        </w:tc>
        <w:tc>
          <w:tcPr>
            <w:tcW w:w="1432"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35" w:after="0" w:lineRule="auto" w:line="240"/>
              <w:ind w:right="0" w:left="41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58 977.91</w:t>
            </w:r>
          </w:p>
        </w:tc>
        <w:tc>
          <w:tcPr>
            <w:tcW w:w="2263"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35" w:after="0" w:lineRule="auto" w:line="240"/>
              <w:ind w:right="0" w:left="9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710.58</w:t>
            </w:r>
          </w:p>
        </w:tc>
      </w:tr>
    </w:tbl>
    <w:p>
      <w:pPr>
        <w:autoSpaceDE w:val="0"/>
        <w:autoSpaceDN w:val="0"/>
        <w:jc w:val="both"/>
        <w:spacing w:before="140" w:after="0" w:lineRule="exact" w:line="355"/>
        <w:ind w:right="975" w:left="966" w:firstLine="480"/>
        <w:snapToGrid w:val="0"/>
        <w:textAlignment w:val="auto"/>
        <w:tabs/>
        <w:rPr>
          <w:rFonts w:ascii="宋体" w:hAnsi="宋体" w:cs="宋体" w:eastAsia="宋体" w:hint="ascii"/>
        </w:rPr>
      </w:pPr>
      <w:r>
        <w:rPr>
          <w:rFonts w:ascii="宋体" w:hAnsi="宋体" w:cs="宋体" w:eastAsia="宋体" w:hint="ascii"/>
        </w:rPr>
        <w:t>国家重大科研仪器研制项目的资助期限为</w:t>
      </w:r>
      <w:r>
        <w:rPr>
          <w:rFonts w:ascii="宋体" w:hAnsi="宋体" w:cs="宋体" w:eastAsia="宋体" w:hint="ascii"/>
          <w:spacing w:val="-30"/>
        </w:rPr>
        <w:t xml:space="preserve"> </w:t>
      </w:r>
      <w:r>
        <w:rPr>
          <w:rFonts w:ascii="Times New Roman" w:hAnsi="Times New Roman" w:cs="Times New Roman" w:eastAsia="Times New Roman" w:hint="ascii"/>
          <w:spacing w:val="61"/>
        </w:rPr>
        <w:t>5</w:t>
      </w:r>
      <w:r>
        <w:rPr>
          <w:rFonts w:ascii="宋体" w:hAnsi="宋体" w:cs="宋体" w:eastAsia="宋体" w:hint="ascii"/>
        </w:rPr>
        <w:t>年，合作研究单位一般不超</w:t>
      </w:r>
      <w:r>
        <w:rPr>
          <w:rFonts w:ascii="宋体" w:hAnsi="宋体" w:cs="宋体" w:eastAsia="宋体" w:hint="ascii"/>
          <w:spacing w:val="30"/>
        </w:rPr>
        <w:t>过</w:t>
      </w:r>
      <w:r>
        <w:rPr>
          <w:rFonts w:ascii="Times New Roman" w:hAnsi="Times New Roman" w:cs="Times New Roman" w:eastAsia="Times New Roman" w:hint="ascii"/>
          <w:spacing w:val="60"/>
        </w:rPr>
        <w:t>5</w:t>
      </w:r>
      <w:r>
        <w:rPr>
          <w:rFonts w:ascii="宋体" w:hAnsi="宋体" w:cs="宋体" w:eastAsia="宋体" w:hint="ascii"/>
        </w:rPr>
        <w:t>个。</w:t>
      </w:r>
    </w:p>
    <w:p>
      <w:pPr>
        <w:autoSpaceDE w:val="0"/>
        <w:autoSpaceDN w:val="0"/>
        <w:jc w:val="left"/>
        <w:spacing w:before="165"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一、资助范围</w:t>
      </w:r>
    </w:p>
    <w:p>
      <w:pPr>
        <w:autoSpaceDE w:val="0"/>
        <w:autoSpaceDN w:val="0"/>
        <w:jc w:val="both"/>
        <w:spacing w:before="156" w:after="0" w:lineRule="exact" w:line="356"/>
        <w:ind w:right="975" w:left="966" w:firstLine="480"/>
        <w:snapToGrid w:val="0"/>
        <w:textAlignment w:val="auto"/>
        <w:tabs>
          <w:tab w:val="left" w:leader="none" w:pos="1746"/>
        </w:tabs>
        <w:numPr>
          <w:ilvl w:val="0"/>
          <w:numId w:val="347"/>
        </w:numPr>
        <w:rPr>
          <w:rFonts w:ascii="Times New Roman" w:hAnsi="Times New Roman" w:cs="Times New Roman" w:eastAsia="Times New Roman" w:hint="ascii"/>
        </w:rPr>
      </w:pPr>
      <w:r>
        <w:rPr>
          <w:rFonts w:ascii="宋体" w:hAnsi="宋体" w:cs="宋体" w:eastAsia="宋体" w:hint="ascii"/>
          <w:spacing w:val="-1"/>
        </w:rPr>
        <w:t>对促进科</w:t>
      </w:r>
      <w:r>
        <w:rPr>
          <w:rFonts w:ascii="宋体" w:hAnsi="宋体" w:cs="宋体" w:eastAsia="宋体" w:hint="ascii"/>
        </w:rPr>
        <w:t>学发展、开拓研究领域具有重要作用的原创性科研仪器设备的研制；</w:t>
      </w:r>
    </w:p>
    <w:p>
      <w:pPr>
        <w:autoSpaceDE w:val="0"/>
        <w:autoSpaceDN w:val="0"/>
        <w:jc w:val="both"/>
        <w:spacing w:before="0" w:after="0" w:lineRule="exact" w:line="355"/>
        <w:ind w:right="975" w:left="966" w:firstLine="480"/>
        <w:snapToGrid w:val="0"/>
        <w:textAlignment w:val="auto"/>
        <w:tabs>
          <w:tab w:val="left" w:leader="none" w:pos="1746"/>
        </w:tabs>
        <w:numPr>
          <w:ilvl w:val="0"/>
          <w:numId w:val="347"/>
        </w:numPr>
        <w:rPr>
          <w:rFonts w:ascii="Times New Roman" w:hAnsi="Times New Roman" w:cs="Times New Roman" w:eastAsia="Times New Roman" w:hint="ascii"/>
        </w:rPr>
      </w:pPr>
      <w:r>
        <w:rPr>
          <w:rFonts w:ascii="宋体" w:hAnsi="宋体" w:cs="宋体" w:eastAsia="宋体" w:hint="ascii"/>
          <w:spacing w:val="-1"/>
        </w:rPr>
        <w:t>通过关键</w:t>
      </w:r>
      <w:r>
        <w:rPr>
          <w:rFonts w:ascii="宋体" w:hAnsi="宋体" w:cs="宋体" w:eastAsia="宋体" w:hint="ascii"/>
        </w:rPr>
        <w:t>核心技术突破或集成创新，用于发现新现象、揭示新规律、验证新原理、获取新数据的科研仪器设备的研制。</w:t>
      </w:r>
    </w:p>
    <w:p>
      <w:pPr>
        <w:autoSpaceDE w:val="0"/>
        <w:autoSpaceDN w:val="0"/>
        <w:jc w:val="both"/>
        <w:spacing w:before="1" w:after="0" w:lineRule="exact" w:line="356"/>
        <w:ind w:right="975" w:left="966" w:firstLine="480"/>
        <w:snapToGrid w:val="0"/>
        <w:textAlignment w:val="auto"/>
        <w:tabs/>
        <w:rPr>
          <w:rFonts w:ascii="宋体" w:hAnsi="宋体" w:cs="宋体" w:eastAsia="宋体" w:hint="ascii"/>
        </w:rPr>
      </w:pPr>
      <w:r>
        <w:rPr>
          <w:rFonts w:ascii="宋体" w:hAnsi="宋体" w:cs="宋体" w:eastAsia="宋体" w:hint="ascii"/>
        </w:rPr>
        <w:t>此外，国家重大科研仪器研制项目（自由申请）还资助具有广泛应用前景的新颖科学仪器和部件的研制。</w:t>
      </w:r>
    </w:p>
    <w:p>
      <w:pPr>
        <w:autoSpaceDE w:val="0"/>
        <w:autoSpaceDN w:val="0"/>
        <w:jc w:val="left"/>
        <w:spacing w:before="164"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二、申请条件与申请要求</w:t>
      </w:r>
    </w:p>
    <w:p>
      <w:pPr>
        <w:autoSpaceDE w:val="0"/>
        <w:autoSpaceDN w:val="0"/>
        <w:jc w:val="left"/>
        <w:spacing w:before="198" w:after="0" w:lineRule="auto" w:line="240"/>
        <w:ind w:right="0" w:left="1746" w:hanging="300"/>
        <w:snapToGrid w:val="0"/>
        <w:textAlignment w:val="auto"/>
        <w:tabs>
          <w:tab w:val="left" w:leader="none" w:pos="1746"/>
        </w:tabs>
        <w:numPr>
          <w:ilvl w:val="0"/>
          <w:numId w:val="348"/>
        </w:numPr>
        <w:rPr>
          <w:rFonts w:ascii="Times New Roman" w:hAnsi="Times New Roman" w:cs="Times New Roman" w:eastAsia="Times New Roman" w:hint="ascii"/>
        </w:rPr>
      </w:pPr>
      <w:r>
        <w:rPr>
          <w:rFonts w:ascii="宋体" w:hAnsi="宋体" w:cs="宋体" w:eastAsia="宋体" w:hint="ascii"/>
        </w:rPr>
        <w:t>申请条件</w:t>
      </w:r>
    </w:p>
    <w:p>
      <w:pPr>
        <w:autoSpaceDE w:val="0"/>
        <w:autoSpaceDN w:val="0"/>
        <w:jc w:val="left"/>
        <w:spacing w:before="57" w:after="0" w:lineRule="exact" w:line="300"/>
        <w:ind w:right="0" w:left="1446" w:firstLine="0"/>
        <w:snapToGrid w:val="0"/>
        <w:textAlignment w:val="auto"/>
        <w:tabs/>
        <w:rPr>
          <w:rFonts w:ascii="宋体" w:hAnsi="宋体" w:cs="宋体" w:eastAsia="宋体" w:hint="ascii"/>
        </w:rPr>
      </w:pPr>
      <w:r>
        <w:rPr>
          <w:rFonts w:ascii="宋体" w:hAnsi="宋体" w:cs="宋体" w:eastAsia="宋体" w:hint="ascii"/>
        </w:rPr>
        <w:t>国家重大科研仪器研制项目申请人应当具备以下条件：</w:t>
      </w:r>
    </w:p>
    <w:p>
      <w:pPr>
        <w:autoSpaceDE w:val="0"/>
        <w:autoSpaceDN w:val="0"/>
        <w:jc w:val="left"/>
        <w:spacing w:before="50"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）具有承担基础研究课题的经历；</w:t>
      </w:r>
    </w:p>
    <w:p>
      <w:pPr>
        <w:autoSpaceDE w:val="0"/>
        <w:autoSpaceDN w:val="0"/>
        <w:jc w:val="left"/>
        <w:spacing w:before="50"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w:t>
      </w:r>
      <w:r>
        <w:rPr>
          <w:rFonts w:ascii="宋体" w:hAnsi="宋体" w:cs="宋体" w:eastAsia="宋体" w:hint="ascii"/>
          <w:spacing w:val="-60"/>
        </w:rPr>
        <w:t>）</w:t>
      </w:r>
      <w:r>
        <w:rPr>
          <w:rFonts w:ascii="宋体" w:hAnsi="宋体" w:cs="宋体" w:eastAsia="宋体" w:hint="ascii"/>
        </w:rPr>
        <w:t>。</w:t>
      </w:r>
    </w:p>
    <w:p>
      <w:pPr>
        <w:autoSpaceDE w:val="0"/>
        <w:autoSpaceDN w:val="0"/>
        <w:jc w:val="both"/>
        <w:spacing w:before="9" w:after="0" w:lineRule="exact" w:line="350"/>
        <w:ind w:right="975" w:left="966" w:firstLine="480"/>
        <w:snapToGrid w:val="0"/>
        <w:textAlignment w:val="auto"/>
        <w:tabs/>
        <w:rPr>
          <w:rFonts w:ascii="宋体" w:hAnsi="宋体" w:cs="宋体" w:eastAsia="宋体" w:hint="ascii"/>
        </w:rPr>
      </w:pPr>
      <w:r>
        <w:rPr>
          <w:rFonts w:ascii="宋体" w:hAnsi="宋体" w:cs="宋体" w:eastAsia="宋体" w:hint="ascii"/>
        </w:rPr>
        <w:t>在站博士后研究人员、正在攻读研究生学位人员，以及无工作单位或者所在单位不是依托单位的人员不得作为申请人进行申请。</w:t>
      </w:r>
    </w:p>
    <w:p>
      <w:pPr>
        <w:autoSpaceDE w:val="0"/>
        <w:autoSpaceDN w:val="0"/>
        <w:jc w:val="left"/>
        <w:spacing w:before="40" w:after="0" w:lineRule="auto" w:line="240"/>
        <w:ind w:right="0" w:left="1746" w:hanging="300"/>
        <w:snapToGrid w:val="0"/>
        <w:textAlignment w:val="auto"/>
        <w:tabs>
          <w:tab w:val="left" w:leader="none" w:pos="1746"/>
        </w:tabs>
        <w:numPr>
          <w:ilvl w:val="0"/>
          <w:numId w:val="348"/>
        </w:numPr>
        <w:rPr>
          <w:rFonts w:ascii="Times New Roman" w:hAnsi="Times New Roman" w:cs="Times New Roman" w:eastAsia="Times New Roman" w:hint="ascii"/>
        </w:rPr>
      </w:pPr>
      <w:r>
        <w:rPr>
          <w:rFonts w:ascii="宋体" w:hAnsi="宋体" w:cs="宋体" w:eastAsia="宋体" w:hint="ascii"/>
        </w:rPr>
        <w:t>申请要求</w:t>
      </w:r>
    </w:p>
    <w:p>
      <w:pPr>
        <w:autoSpaceDE w:val="0"/>
        <w:autoSpaceDN w:val="0"/>
        <w:jc w:val="left"/>
        <w:spacing w:before="62"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1</w:t>
      </w:r>
      <w:r>
        <w:rPr>
          <w:rFonts w:ascii="宋体" w:hAnsi="宋体" w:cs="宋体" w:eastAsia="宋体" w:hint="ascii"/>
        </w:rPr>
        <w:t>）国家重大科研仪器研制项目（自由申请）申请人可通过依托单位自</w:t>
      </w:r>
    </w:p>
    <w:p>
      <w:pPr>
        <w:autoSpaceDE w:val="0"/>
        <w:autoSpaceDN w:val="0"/>
        <w:jc w:val="left"/>
        <w:spacing w:before="268" w:after="0" w:lineRule="exact" w:line="225"/>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rPr>
          <w:rFonts w:ascii="宋体" w:hAnsi="宋体" w:cs="宋体" w:eastAsia="宋体" w:hint="ascii"/>
          <w:sz w:val="19"/>
        </w:rPr>
      </w:pPr>
      <w:r>
        <w:rPr>
          <w:rFonts w:ascii="宋体" w:hAnsi="宋体" w:cs="宋体" w:eastAsia="宋体" w:hint="ascii"/>
          <w:sz w:val="19"/>
        </w:rPr>
        <w:t>国家重大科研仪器研制项目</w:t>
      </w:r>
    </w:p>
    <w:p>
      <w:pPr>
        <w:autoSpaceDE w:val="0"/>
        <w:autoSpaceDN w:val="0"/>
        <w:jc w:val="both"/>
        <w:spacing w:before="221" w:after="0" w:lineRule="exact" w:line="356"/>
        <w:ind w:right="978" w:left="966" w:firstLine="0"/>
        <w:snapToGrid w:val="0"/>
        <w:textAlignment w:val="auto"/>
        <w:tabs/>
        <w:rPr>
          <w:rFonts w:ascii="宋体" w:hAnsi="宋体" w:cs="宋体" w:eastAsia="宋体" w:hint="ascii"/>
        </w:rPr>
      </w:pPr>
      <w:r>
        <w:rPr>
          <w:rFonts w:ascii="宋体" w:hAnsi="宋体" w:cs="宋体" w:eastAsia="宋体" w:hint="ascii"/>
        </w:rPr>
        <w:t>行申请。申请人填写</w:t>
      </w:r>
      <w:r>
        <w:rPr>
          <w:rFonts w:ascii="宋体" w:hAnsi="宋体" w:cs="宋体" w:eastAsia="宋体" w:hint="ascii"/>
          <w:spacing w:val="-3"/>
        </w:rPr>
        <w:t>的</w:t>
      </w:r>
      <w:r>
        <w:rPr>
          <w:rFonts w:ascii="宋体" w:hAnsi="宋体" w:cs="宋体" w:eastAsia="宋体" w:hint="ascii"/>
          <w:spacing w:val="-30"/>
        </w:rPr>
        <w:t xml:space="preserve"> </w:t>
      </w:r>
      <w:r>
        <w:rPr>
          <w:rFonts w:ascii="Times New Roman" w:hAnsi="Times New Roman" w:cs="Times New Roman" w:eastAsia="Times New Roman" w:hint="ascii"/>
        </w:rPr>
        <w:t>2017</w:t>
      </w:r>
      <w:r>
        <w:rPr>
          <w:rFonts w:ascii="Times New Roman" w:hAnsi="Times New Roman" w:cs="Times New Roman" w:eastAsia="Times New Roman" w:hint="ascii"/>
          <w:spacing w:val="-30"/>
        </w:rPr>
        <w:t xml:space="preserve"> </w:t>
      </w:r>
      <w:r>
        <w:rPr>
          <w:rFonts w:ascii="宋体" w:hAnsi="宋体" w:cs="宋体" w:eastAsia="宋体" w:hint="ascii"/>
        </w:rPr>
        <w:t>年度国家重大科研仪器研制项目（自由申请</w:t>
      </w:r>
      <w:r>
        <w:rPr>
          <w:rFonts w:ascii="宋体" w:hAnsi="宋体" w:cs="宋体" w:eastAsia="宋体" w:hint="ascii"/>
          <w:spacing w:val="-6"/>
        </w:rPr>
        <w:t>）</w:t>
      </w:r>
      <w:r>
        <w:rPr>
          <w:rFonts w:ascii="宋体" w:hAnsi="宋体" w:cs="宋体" w:eastAsia="宋体" w:hint="ascii"/>
        </w:rPr>
        <w:t>直接费用预算不得超</w:t>
      </w:r>
      <w:r>
        <w:rPr>
          <w:rFonts w:ascii="宋体" w:hAnsi="宋体" w:cs="宋体" w:eastAsia="宋体" w:hint="ascii"/>
          <w:spacing w:val="30"/>
        </w:rPr>
        <w:t>过</w:t>
      </w:r>
      <w:r>
        <w:rPr>
          <w:rFonts w:ascii="Times New Roman" w:hAnsi="Times New Roman" w:cs="Times New Roman" w:eastAsia="Times New Roman" w:hint="ascii"/>
        </w:rPr>
        <w:t>1 00</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项（不</w:t>
      </w:r>
      <w:r>
        <w:rPr>
          <w:rFonts w:ascii="宋体" w:hAnsi="宋体" w:cs="宋体" w:eastAsia="宋体" w:hint="ascii"/>
          <w:spacing w:val="30"/>
        </w:rPr>
        <w:t>含</w:t>
      </w:r>
      <w:r>
        <w:rPr>
          <w:rFonts w:ascii="Times New Roman" w:hAnsi="Times New Roman" w:cs="Times New Roman" w:eastAsia="Times New Roman" w:hint="ascii"/>
        </w:rPr>
        <w:t>1 00</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w:t>
      </w:r>
      <w:r>
        <w:rPr>
          <w:rFonts w:ascii="宋体" w:hAnsi="宋体" w:cs="宋体" w:eastAsia="宋体" w:hint="ascii"/>
          <w:spacing w:val="-60"/>
        </w:rPr>
        <w:t>）</w:t>
      </w:r>
      <w:r>
        <w:rPr>
          <w:rFonts w:ascii="宋体" w:hAnsi="宋体" w:cs="宋体" w:eastAsia="宋体" w:hint="ascii"/>
        </w:rPr>
        <w:t>。</w:t>
      </w:r>
      <w:r>
        <w:rPr>
          <w:rFonts w:ascii="宋体" w:hAnsi="宋体" w:cs="宋体" w:eastAsia="宋体" w:hint="ascii"/>
        </w:rPr>
        <mc:AlternateContent>
          <mc:Choice Requires="wps">
            <w:drawing>
              <wp:anchor distL="0" distR="0" distT="0" distB="0" simplePos="0" behindDoc="1" relativeHeight="331" locked="0" layoutInCell="1" allowOverlap="1">
                <wp:simplePos x="0" y="0"/>
                <wp:positionH relativeFrom="page">
                  <wp:posOffset>938530</wp:posOffset>
                </wp:positionH>
                <wp:positionV relativeFrom="page">
                  <wp:posOffset>819150</wp:posOffset>
                </wp:positionV>
                <wp:extent cx="5076190" cy="0"/>
                <wp:wrapNone/>
                <wp:docPr id="1358" name="135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19296;width:399.70pt;" id="135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45"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）国家重大科研仪器研制项目（部门推荐）应当经项目组织部门推荐</w:t>
      </w:r>
    </w:p>
    <w:p>
      <w:pPr>
        <w:autoSpaceDE w:val="0"/>
        <w:autoSpaceDN w:val="0"/>
        <w:jc w:val="both"/>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rPr>
        <w:t>申请。以</w:t>
      </w:r>
      <w:r>
        <w:rPr>
          <w:rFonts w:ascii="宋体" w:hAnsi="宋体" w:cs="宋体" w:eastAsia="宋体" w:hint="ascii"/>
          <w:spacing w:val="-3"/>
        </w:rPr>
        <w:t>下</w:t>
      </w:r>
      <w:r>
        <w:rPr>
          <w:rFonts w:ascii="宋体" w:hAnsi="宋体" w:cs="宋体" w:eastAsia="宋体" w:hint="ascii"/>
          <w:spacing w:val="-30"/>
        </w:rPr>
        <w:t xml:space="preserve"> </w:t>
      </w:r>
      <w:r>
        <w:rPr>
          <w:rFonts w:ascii="Times New Roman" w:hAnsi="Times New Roman" w:cs="Times New Roman" w:eastAsia="Times New Roman" w:hint="ascii"/>
        </w:rPr>
        <w:t>14</w:t>
      </w:r>
      <w:r>
        <w:rPr>
          <w:rFonts w:ascii="Times New Roman" w:hAnsi="Times New Roman" w:cs="Times New Roman" w:eastAsia="Times New Roman" w:hint="ascii"/>
          <w:spacing w:val="-30"/>
        </w:rPr>
        <w:t xml:space="preserve"> </w:t>
      </w:r>
      <w:r>
        <w:rPr>
          <w:rFonts w:ascii="宋体" w:hAnsi="宋体" w:cs="宋体" w:eastAsia="宋体" w:hint="ascii"/>
        </w:rPr>
        <w:t>个部门具有推荐资格：教育部、中国科学院、国土资源部</w:t>
      </w:r>
      <w:r>
        <w:rPr>
          <w:rFonts w:ascii="宋体" w:hAnsi="宋体" w:cs="宋体" w:eastAsia="宋体" w:hint="ascii"/>
          <w:spacing w:val="-6"/>
        </w:rPr>
        <w:t>、</w:t>
      </w:r>
      <w:r>
        <w:rPr>
          <w:rFonts w:ascii="宋体" w:hAnsi="宋体" w:cs="宋体" w:eastAsia="宋体" w:hint="ascii"/>
        </w:rPr>
        <w:t>工业和信息化部、环境保护部、农业部、国家卫生与计划生育委员会、中国地震局、国家质量监督检验检疫总局、中国气象局、国家海洋局、中国工程</w:t>
      </w:r>
      <w:r>
        <w:rPr>
          <w:rFonts w:ascii="宋体" w:hAnsi="宋体" w:cs="宋体" w:eastAsia="宋体" w:hint="ascii"/>
          <w:spacing w:val="4"/>
        </w:rPr>
        <w:t>物理研</w:t>
      </w:r>
      <w:r>
        <w:rPr>
          <w:rFonts w:ascii="宋体" w:hAnsi="宋体" w:cs="宋体" w:eastAsia="宋体" w:hint="ascii"/>
          <w:spacing w:val="5"/>
        </w:rPr>
        <w:t>究院、中央军委装备发展部及中央军委后勤保障部。申请人填写</w:t>
      </w:r>
      <w:r>
        <w:rPr>
          <w:rFonts w:ascii="宋体" w:hAnsi="宋体" w:cs="宋体" w:eastAsia="宋体" w:hint="ascii"/>
        </w:rPr>
        <w:t>的</w:t>
      </w:r>
    </w:p>
    <w:p>
      <w:pPr>
        <w:autoSpaceDE w:val="0"/>
        <w:autoSpaceDN w:val="0"/>
        <w:jc w:val="left"/>
        <w:spacing w:before="44"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rPr>
        <w:t>2018</w:t>
      </w:r>
      <w:r>
        <w:rPr>
          <w:rFonts w:ascii="Times New Roman" w:hAnsi="Times New Roman" w:cs="Times New Roman" w:eastAsia="Times New Roman" w:hint="ascii"/>
          <w:spacing w:val="-22"/>
        </w:rPr>
        <w:t xml:space="preserve"> </w:t>
      </w:r>
      <w:r>
        <w:rPr>
          <w:rFonts w:ascii="宋体" w:hAnsi="宋体" w:cs="宋体" w:eastAsia="宋体" w:hint="ascii"/>
          <w:spacing w:val="8"/>
        </w:rPr>
        <w:t>年度国家重大科研仪器研制项目（部门推荐）直接费用预算应当</w:t>
      </w:r>
      <w:r>
        <w:rPr>
          <w:rFonts w:ascii="宋体" w:hAnsi="宋体" w:cs="宋体" w:eastAsia="宋体" w:hint="ascii"/>
        </w:rPr>
        <w:t>在</w:t>
      </w:r>
    </w:p>
    <w:p>
      <w:pPr>
        <w:autoSpaceDE w:val="0"/>
        <w:autoSpaceDN w:val="0"/>
        <w:jc w:val="left"/>
        <w:spacing w:before="64"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rPr>
        <w:t>1 00</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w:t>
      </w:r>
      <w:r>
        <w:rPr>
          <w:rFonts w:ascii="宋体" w:hAnsi="宋体" w:cs="宋体" w:eastAsia="宋体" w:hint="ascii"/>
          <w:spacing w:val="30"/>
        </w:rPr>
        <w:t>含</w:t>
      </w:r>
      <w:r>
        <w:rPr>
          <w:rFonts w:ascii="Times New Roman" w:hAnsi="Times New Roman" w:cs="Times New Roman" w:eastAsia="Times New Roman" w:hint="ascii"/>
        </w:rPr>
        <w:t>1 00</w:t>
      </w:r>
      <w:r>
        <w:rPr>
          <w:rFonts w:ascii="Times New Roman" w:hAnsi="Times New Roman" w:cs="Times New Roman" w:eastAsia="Times New Roman" w:hint="ascii"/>
          <w:spacing w:val="60"/>
        </w:rPr>
        <w:t>0</w:t>
      </w:r>
      <w:r>
        <w:rPr>
          <w:rFonts w:ascii="宋体" w:hAnsi="宋体" w:cs="宋体" w:eastAsia="宋体" w:hint="ascii"/>
        </w:rPr>
        <w:t>万元</w:t>
      </w:r>
      <w:r>
        <w:rPr>
          <w:rFonts w:ascii="Times New Roman" w:hAnsi="Times New Roman" w:cs="Times New Roman" w:eastAsia="Times New Roman" w:hint="ascii"/>
        </w:rPr>
        <w:t>/</w:t>
      </w:r>
      <w:r>
        <w:rPr>
          <w:rFonts w:ascii="宋体" w:hAnsi="宋体" w:cs="宋体" w:eastAsia="宋体" w:hint="ascii"/>
        </w:rPr>
        <w:t>项）以上。</w:t>
      </w:r>
    </w:p>
    <w:p>
      <w:pPr>
        <w:autoSpaceDE w:val="0"/>
        <w:autoSpaceDN w:val="0"/>
        <w:jc w:val="left"/>
        <w:spacing w:before="183" w:after="0" w:lineRule="exact" w:line="300"/>
        <w:ind w:right="0" w:left="1386" w:firstLine="0"/>
        <w:snapToGrid w:val="0"/>
        <w:textAlignment w:val="auto"/>
        <w:tabs/>
        <w:rPr>
          <w:rFonts w:ascii="宋体" w:hAnsi="宋体" w:cs="宋体" w:eastAsia="宋体" w:hint="ascii"/>
        </w:rPr>
      </w:pPr>
      <w:r>
        <w:rPr>
          <w:rFonts w:ascii="宋体" w:hAnsi="宋体" w:cs="宋体" w:eastAsia="宋体" w:hint="ascii"/>
        </w:rPr>
        <w:t>三、申请注意事项</w:t>
      </w:r>
    </w:p>
    <w:p>
      <w:pPr>
        <w:autoSpaceDE w:val="0"/>
        <w:autoSpaceDN w:val="0"/>
        <w:jc w:val="left"/>
        <w:spacing w:before="203"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spacing w:val="3"/>
        </w:rPr>
        <w:t>（</w:t>
      </w:r>
      <w:r>
        <w:rPr>
          <w:rFonts w:ascii="Times New Roman" w:hAnsi="Times New Roman" w:cs="Times New Roman" w:eastAsia="Times New Roman" w:hint="ascii"/>
          <w:spacing w:val="6"/>
        </w:rPr>
        <w:t>1</w:t>
      </w:r>
      <w:r>
        <w:rPr>
          <w:rFonts w:ascii="宋体" w:hAnsi="宋体" w:cs="宋体" w:eastAsia="宋体" w:hint="ascii"/>
          <w:spacing w:val="3"/>
        </w:rPr>
        <w:t>）申请人应当认真阅读本《指南</w:t>
      </w:r>
      <w:r>
        <w:rPr>
          <w:rFonts w:ascii="宋体" w:hAnsi="宋体" w:cs="宋体" w:eastAsia="宋体" w:hint="ascii"/>
          <w:spacing w:val="-57"/>
        </w:rPr>
        <w:t>》</w:t>
      </w:r>
      <w:r>
        <w:rPr>
          <w:rFonts w:ascii="宋体" w:hAnsi="宋体" w:cs="宋体" w:eastAsia="宋体" w:hint="ascii"/>
          <w:spacing w:val="3"/>
        </w:rPr>
        <w:t>，按照国家重大科研仪器研制项</w:t>
      </w:r>
      <w:r>
        <w:rPr>
          <w:rFonts w:ascii="宋体" w:hAnsi="宋体" w:cs="宋体" w:eastAsia="宋体" w:hint="ascii"/>
        </w:rPr>
        <w:t>目</w:t>
      </w:r>
    </w:p>
    <w:p>
      <w:pPr>
        <w:autoSpaceDE w:val="0"/>
        <w:autoSpaceDN w:val="0"/>
        <w:jc w:val="left"/>
        <w:spacing w:before="10" w:after="0" w:lineRule="exact" w:line="356"/>
        <w:ind w:right="963" w:left="966" w:firstLine="0"/>
        <w:snapToGrid w:val="0"/>
        <w:textAlignment w:val="auto"/>
        <w:tabs/>
        <w:rPr>
          <w:rFonts w:ascii="宋体" w:hAnsi="宋体" w:cs="宋体" w:eastAsia="宋体" w:hint="ascii"/>
        </w:rPr>
      </w:pPr>
      <w:r>
        <w:rPr>
          <w:rFonts w:ascii="宋体" w:hAnsi="宋体" w:cs="宋体" w:eastAsia="宋体" w:hint="ascii"/>
          <w:spacing w:val="9"/>
        </w:rPr>
        <w:t>申请书撰写提纲撰写申请书。资助类别选择“国家重大科研仪器研制</w:t>
      </w:r>
      <w:r>
        <w:rPr>
          <w:rFonts w:ascii="宋体" w:hAnsi="宋体" w:cs="宋体" w:eastAsia="宋体" w:hint="ascii"/>
        </w:rPr>
        <w:t>项目</w:t>
      </w:r>
      <w:r>
        <w:rPr>
          <w:rFonts w:ascii="宋体" w:hAnsi="宋体" w:cs="宋体" w:eastAsia="宋体" w:hint="ascii"/>
          <w:spacing w:val="-59"/>
        </w:rPr>
        <w:t>”</w:t>
      </w:r>
      <w:r>
        <w:rPr>
          <w:rFonts w:ascii="宋体" w:hAnsi="宋体" w:cs="宋体" w:eastAsia="宋体" w:hint="ascii"/>
        </w:rPr>
        <w:t>，亚类说明选择“自由申请”或“部门推荐</w:t>
      </w:r>
      <w:r>
        <w:rPr>
          <w:rFonts w:ascii="宋体" w:hAnsi="宋体" w:cs="宋体" w:eastAsia="宋体" w:hint="ascii"/>
          <w:spacing w:val="-59"/>
        </w:rPr>
        <w:t>”</w:t>
      </w:r>
      <w:r>
        <w:rPr>
          <w:rFonts w:ascii="宋体" w:hAnsi="宋体" w:cs="宋体" w:eastAsia="宋体" w:hint="ascii"/>
        </w:rPr>
        <w:t>。如申请人已经承担与本项</w:t>
      </w:r>
      <w:r>
        <w:rPr>
          <w:rFonts w:ascii="宋体" w:hAnsi="宋体" w:cs="宋体" w:eastAsia="宋体" w:hint="ascii"/>
          <w:spacing w:val="4"/>
        </w:rPr>
        <w:t>目相关</w:t>
      </w:r>
      <w:r>
        <w:rPr>
          <w:rFonts w:ascii="宋体" w:hAnsi="宋体" w:cs="宋体" w:eastAsia="宋体" w:hint="ascii"/>
          <w:spacing w:val="5"/>
        </w:rPr>
        <w:t>的科学基金其他项目或国家其他科技计划项目，应当在报告正文</w:t>
      </w:r>
      <w:r>
        <w:rPr>
          <w:rFonts w:ascii="宋体" w:hAnsi="宋体" w:cs="宋体" w:eastAsia="宋体" w:hint="ascii"/>
        </w:rPr>
        <w:t>的</w:t>
      </w:r>
    </w:p>
    <w:p>
      <w:pPr>
        <w:autoSpaceDE w:val="0"/>
        <w:autoSpaceDN w:val="0"/>
        <w:jc w:val="left"/>
        <w:spacing w:before="44" w:after="0" w:lineRule="exact" w:line="300"/>
        <w:ind w:right="0" w:left="846" w:firstLine="0"/>
        <w:snapToGrid w:val="0"/>
        <w:textAlignment w:val="auto"/>
        <w:tabs/>
        <w:rPr>
          <w:rFonts w:ascii="宋体" w:hAnsi="宋体" w:cs="宋体" w:eastAsia="宋体" w:hint="ascii"/>
        </w:rPr>
      </w:pPr>
      <w:r>
        <w:rPr>
          <w:rFonts w:ascii="宋体" w:hAnsi="宋体" w:cs="宋体" w:eastAsia="宋体" w:hint="ascii"/>
        </w:rPr>
        <w:t>“研究基础”部分列出并详述其中的区别与联系。</w:t>
      </w:r>
    </w:p>
    <w:p>
      <w:pPr>
        <w:autoSpaceDE w:val="0"/>
        <w:autoSpaceDN w:val="0"/>
        <w:jc w:val="left"/>
        <w:spacing w:before="56" w:after="0" w:lineRule="exact" w:line="300"/>
        <w:ind w:right="0" w:left="1326" w:firstLine="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2</w:t>
      </w:r>
      <w:r>
        <w:rPr>
          <w:rFonts w:ascii="宋体" w:hAnsi="宋体" w:cs="宋体" w:eastAsia="宋体" w:hint="ascii"/>
        </w:rPr>
        <w:t>）具有高级专业技术职务（职称）的人员，申请（包括申请人和主要</w:t>
      </w:r>
    </w:p>
    <w:p>
      <w:pPr>
        <w:autoSpaceDE w:val="0"/>
        <w:autoSpaceDN w:val="0"/>
        <w:jc w:val="left"/>
        <w:spacing w:before="12" w:after="0" w:lineRule="exact" w:line="355"/>
        <w:ind w:right="963" w:left="966" w:firstLine="0"/>
        <w:snapToGrid w:val="0"/>
        <w:textAlignment w:val="auto"/>
        <w:tabs/>
        <w:rPr>
          <w:rFonts w:ascii="宋体" w:hAnsi="宋体" w:cs="宋体" w:eastAsia="宋体" w:hint="ascii"/>
        </w:rPr>
      </w:pPr>
      <w:r>
        <w:rPr>
          <w:rFonts w:ascii="宋体" w:hAnsi="宋体" w:cs="宋体" w:eastAsia="宋体" w:hint="ascii"/>
        </w:rPr>
        <w:t>参与者）和正在承担（包括负责人和主要参与者）的国家重大科研仪器研制</w:t>
      </w:r>
      <w:r>
        <w:rPr>
          <w:rFonts w:ascii="宋体" w:hAnsi="宋体" w:cs="宋体" w:eastAsia="宋体" w:hint="ascii"/>
          <w:spacing w:val="4"/>
        </w:rPr>
        <w:t>项目（</w:t>
      </w:r>
      <w:r>
        <w:rPr>
          <w:rFonts w:ascii="宋体" w:hAnsi="宋体" w:cs="宋体" w:eastAsia="宋体" w:hint="ascii"/>
          <w:spacing w:val="5"/>
        </w:rPr>
        <w:t>含承担科学仪器基础研究专款项目和国家重大科研仪器设备研制</w:t>
      </w:r>
      <w:r>
        <w:rPr>
          <w:rFonts w:ascii="宋体" w:hAnsi="宋体" w:cs="宋体" w:eastAsia="宋体" w:hint="ascii"/>
        </w:rPr>
        <w:t>专</w:t>
      </w:r>
      <w:r>
        <w:rPr>
          <w:rFonts w:ascii="宋体" w:hAnsi="宋体" w:cs="宋体" w:eastAsia="宋体" w:hint="ascii"/>
          <w:spacing w:val="6"/>
        </w:rPr>
        <w:t>项项目</w:t>
      </w:r>
      <w:r>
        <w:rPr>
          <w:rFonts w:ascii="宋体" w:hAnsi="宋体" w:cs="宋体" w:eastAsia="宋体" w:hint="ascii"/>
          <w:spacing w:val="-55"/>
        </w:rPr>
        <w:t>）</w:t>
      </w:r>
      <w:r>
        <w:rPr>
          <w:rFonts w:ascii="宋体" w:hAnsi="宋体" w:cs="宋体" w:eastAsia="宋体" w:hint="ascii"/>
          <w:spacing w:val="7"/>
        </w:rPr>
        <w:t>，以及科技部主管的国家重大科学仪器设备开发专项项目总数</w:t>
      </w:r>
      <w:r>
        <w:rPr>
          <w:rFonts w:ascii="宋体" w:hAnsi="宋体" w:cs="宋体" w:eastAsia="宋体" w:hint="ascii"/>
        </w:rPr>
        <w:t>限</w:t>
      </w:r>
    </w:p>
    <w:p>
      <w:pPr>
        <w:autoSpaceDE w:val="0"/>
        <w:autoSpaceDN w:val="0"/>
        <w:jc w:val="left"/>
        <w:spacing w:before="4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rPr>
        <w:t>1</w:t>
      </w:r>
      <w:r>
        <w:rPr>
          <w:rFonts w:ascii="Times New Roman" w:hAnsi="Times New Roman" w:cs="Times New Roman" w:eastAsia="Times New Roman" w:hint="ascii"/>
          <w:spacing w:val="-26"/>
        </w:rPr>
        <w:t xml:space="preserve"> </w:t>
      </w:r>
      <w:r>
        <w:rPr>
          <w:rFonts w:ascii="宋体" w:hAnsi="宋体" w:cs="宋体" w:eastAsia="宋体" w:hint="ascii"/>
          <w:spacing w:val="4"/>
        </w:rPr>
        <w:t>项</w:t>
      </w:r>
      <w:r>
        <w:rPr>
          <w:rFonts w:ascii="宋体" w:hAnsi="宋体" w:cs="宋体" w:eastAsia="宋体" w:hint="ascii"/>
        </w:rPr>
        <w:t>。</w:t>
      </w:r>
    </w:p>
    <w:p>
      <w:pPr>
        <w:autoSpaceDE w:val="0"/>
        <w:autoSpaceDN w:val="0"/>
        <w:jc w:val="both"/>
        <w:spacing w:before="18" w:after="0" w:lineRule="exact" w:line="356"/>
        <w:ind w:right="979" w:left="966" w:firstLine="360"/>
        <w:snapToGrid w:val="0"/>
        <w:textAlignment w:val="auto"/>
        <w:tabs/>
        <w:rPr>
          <w:rFonts w:ascii="宋体" w:hAnsi="宋体" w:cs="宋体" w:eastAsia="宋体" w:hint="ascii"/>
        </w:rPr>
      </w:pPr>
      <w:r>
        <w:rPr>
          <w:rFonts w:ascii="宋体" w:hAnsi="宋体" w:cs="宋体" w:eastAsia="宋体" w:hint="ascii"/>
        </w:rPr>
        <w:t>（</w:t>
      </w:r>
      <w:r>
        <w:rPr>
          <w:rFonts w:ascii="Times New Roman" w:hAnsi="Times New Roman" w:cs="Times New Roman" w:eastAsia="Times New Roman" w:hint="ascii"/>
        </w:rPr>
        <w:t>3</w:t>
      </w:r>
      <w:r>
        <w:rPr>
          <w:rFonts w:ascii="宋体" w:hAnsi="宋体" w:cs="宋体" w:eastAsia="宋体" w:hint="ascii"/>
        </w:rPr>
        <w:t>）国家重大科研仪器研制项目实行成本补偿的资助方式，请申请人根据仪器研制的实际需要，客观、实事求是地申请研究项目资金。</w:t>
      </w:r>
    </w:p>
    <w:p>
      <w:pPr>
        <w:autoSpaceDE w:val="0"/>
        <w:autoSpaceDN w:val="0"/>
        <w:jc w:val="left"/>
        <w:spacing w:before="4380"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1784" w:after="0" w:lineRule="exact" w:line="650"/>
        <w:ind w:right="0" w:left="1834" w:firstLine="0"/>
        <w:snapToGrid w:val="0"/>
        <w:textAlignment w:val="auto"/>
        <w:tabs/>
        <w:rPr>
          <w:rFonts w:ascii="宋体" w:hAnsi="宋体" w:cs="宋体" w:eastAsia="宋体" w:hint="ascii"/>
          <w:sz w:val="52"/>
        </w:rPr>
      </w:pPr>
      <w:r>
        <w:rPr>
          <w:rFonts w:ascii="宋体" w:hAnsi="宋体" w:cs="宋体" w:eastAsia="宋体" w:hint="ascii"/>
          <w:sz w:val="52"/>
        </w:rPr>
        <w:t>国家自然科学基金申请代码</w:t>
      </w:r>
      <w:r>
        <w:rPr>
          <w:rFonts w:ascii="宋体" w:hAnsi="宋体" w:cs="宋体" w:eastAsia="宋体" w:hint="ascii"/>
          <w:sz w:val="52"/>
        </w:rPr>
        <mc:AlternateContent>
          <mc:Choice Requires="wps">
            <w:drawing>
              <wp:anchor distL="0" distR="0" distT="0" distB="0" simplePos="0" behindDoc="1" relativeHeight="332" locked="0" layoutInCell="1" allowOverlap="1">
                <wp:simplePos x="0" y="0"/>
                <wp:positionH relativeFrom="page">
                  <wp:posOffset>938530</wp:posOffset>
                </wp:positionH>
                <wp:positionV relativeFrom="page">
                  <wp:posOffset>805815</wp:posOffset>
                </wp:positionV>
                <wp:extent cx="5076190" cy="0"/>
                <wp:wrapNone/>
                <wp:docPr id="1359" name="135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18272;width:399.70pt;" id="1359"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333" locked="0" layoutInCell="1" allowOverlap="1">
                <wp:simplePos x="0" y="0"/>
                <wp:positionH relativeFrom="page">
                  <wp:posOffset>299720</wp:posOffset>
                </wp:positionH>
                <wp:positionV relativeFrom="page">
                  <wp:posOffset>226060</wp:posOffset>
                </wp:positionV>
                <wp:extent cx="6405880" cy="642620"/>
                <wp:wrapNone/>
                <wp:docPr id="1360" name="1360"/>
                <wp:cNvGraphicFramePr/>
                <a:graphic>
                  <a:graphicData uri="http://schemas.microsoft.com/office/word/2010/wordprocessingShape">
                    <wps:wsp>
                      <wps:cNvSpPr/>
                      <wps:spPr>
                        <a:xfrm>
                          <a:off x="0" y="0"/>
                          <a:ext cx="6405880" cy="64262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3.60pt;mso-position-vertical:absolute;mso-position-vertical-relative:page;margin-top:17.80pt;z-index:-251317248;width:504.40pt;height:50.60pt;" id="1360" coordsize="10088,1012" stroked="f" fillcolor="#ffffff" opacity="0f">
                <v:stroke endcap="round"/>
                <v:fill opacity="0f"/>
                <w10:wrap anchorx="page" anchory="page" side="both"/>
              </v:rect>
            </w:pict>
          </mc:Fallback>
        </mc:AlternateContent>
      </w:r>
    </w:p>
    <w:p>
      <w:pPr>
        <w:autoSpaceDE w:val="0"/>
        <w:autoSpaceDN w:val="0"/>
        <w:jc w:val="left"/>
        <w:spacing w:before="268" w:after="0" w:lineRule="auto" w:line="240"/>
        <w:ind w:right="0" w:left="372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rPr>
        <w:t>A</w:t>
      </w:r>
      <w:r>
        <w:rPr>
          <w:rFonts w:ascii="Times New Roman" w:hAnsi="Times New Roman" w:cs="Times New Roman" w:eastAsia="Times New Roman" w:hint="ascii"/>
          <w:b w:val="1"/>
          <w:sz w:val="38"/>
        </w:rPr>
        <w:t xml:space="preserve">. </w:t>
      </w:r>
      <w:r>
        <w:rPr>
          <w:rFonts w:ascii="宋体" w:hAnsi="宋体" w:cs="宋体" w:eastAsia="宋体" w:hint="ascii"/>
          <w:sz w:val="38"/>
        </w:rPr>
        <w:t>数理科学部</w:t>
      </w:r>
      <w:rPr>
        <w:rFonts w:ascii="宋体" w:hAnsi="宋体" w:cs="宋体" w:eastAsia="宋体" w:hint="ascii"/>
        <w:sz w:val="38"/>
      </w:rPr>
    </w:p>
    <w:p>
      <w:pPr>
        <w:autoSpaceDE w:val="0"/>
        <w:autoSpaceDN w:val="0"/>
        <w:jc w:val="left"/>
        <w:spacing w:before="29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A01</w:t>
      </w:r>
      <w:r>
        <w:rPr>
          <w:rFonts w:ascii="Times New Roman" w:hAnsi="Times New Roman" w:cs="Times New Roman" w:eastAsia="Times New Roman" w:hint="ascii"/>
          <w:b w:val="1"/>
          <w:spacing w:val="60"/>
        </w:rPr>
        <w:t xml:space="preserve"> </w:t>
      </w:r>
      <w:r>
        <w:rPr>
          <w:rFonts w:ascii="宋体" w:hAnsi="宋体" w:cs="宋体" w:eastAsia="宋体" w:hint="ascii"/>
        </w:rPr>
        <w:t>数学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数论</w:t>
      </w:r>
    </w:p>
    <w:p>
      <w:pPr>
        <w:autoSpaceDE w:val="0"/>
        <w:autoSpaceDN w:val="0"/>
        <w:jc w:val="left"/>
        <w:spacing w:before="68" w:after="0" w:lineRule="auto" w:line="316"/>
        <w:ind w:right="2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解析数论</w:t>
      </w:r>
      <w:r>
        <w:rPr>
          <w:rFonts w:ascii="Times New Roman" w:hAnsi="Times New Roman" w:cs="Times New Roman" w:eastAsia="Times New Roman" w:hint="ascii"/>
          <w:sz w:val="18"/>
        </w:rPr>
        <w:t>A010102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代数数论</w:t>
      </w:r>
      <w:r>
        <w:rPr>
          <w:rFonts w:ascii="Times New Roman" w:hAnsi="Times New Roman" w:cs="Times New Roman" w:eastAsia="Times New Roman" w:hint="ascii"/>
          <w:sz w:val="18"/>
        </w:rPr>
        <w:t>A010103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数论应用</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代数学</w:t>
      </w:r>
    </w:p>
    <w:p>
      <w:pPr>
        <w:autoSpaceDE w:val="0"/>
        <w:autoSpaceDN w:val="0"/>
        <w:jc w:val="left"/>
        <w:spacing w:before="67" w:after="0" w:lineRule="auto" w:line="316"/>
        <w:ind w:right="2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群及其表示</w:t>
      </w:r>
      <w:r>
        <w:rPr>
          <w:rFonts w:ascii="Times New Roman" w:hAnsi="Times New Roman" w:cs="Times New Roman" w:eastAsia="Times New Roman" w:hint="ascii"/>
          <w:sz w:val="18"/>
        </w:rPr>
        <w:t>A010202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李群与李代数</w:t>
      </w:r>
      <w:r>
        <w:rPr>
          <w:rFonts w:ascii="Times New Roman" w:hAnsi="Times New Roman" w:cs="Times New Roman" w:eastAsia="Times New Roman" w:hint="ascii"/>
          <w:sz w:val="18"/>
        </w:rPr>
        <w:t>A010203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代数群与量子群</w:t>
      </w:r>
      <w:r>
        <w:rPr>
          <w:rFonts w:ascii="Times New Roman" w:hAnsi="Times New Roman" w:cs="Times New Roman" w:eastAsia="Times New Roman" w:hint="ascii"/>
          <w:sz w:val="18"/>
        </w:rPr>
        <w:t>A010204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同调</w:t>
      </w:r>
      <w:r>
        <w:rPr>
          <w:rFonts w:ascii="宋体" w:hAnsi="宋体" w:cs="宋体" w:eastAsia="宋体" w:hint="ascii"/>
          <w:sz w:val="18"/>
          <w:spacing w:val="23"/>
        </w:rPr>
        <w:t>与</w:t>
      </w:r>
      <w:r>
        <w:rPr>
          <w:rFonts w:ascii="Times New Roman" w:hAnsi="Times New Roman" w:cs="Times New Roman" w:eastAsia="Times New Roman" w:hint="ascii"/>
          <w:sz w:val="18"/>
          <w:spacing w:val="45"/>
        </w:rPr>
        <w:t>K</w:t>
      </w:r>
      <w:r>
        <w:rPr>
          <w:rFonts w:ascii="宋体" w:hAnsi="宋体" w:cs="宋体" w:eastAsia="宋体" w:hint="ascii"/>
          <w:sz w:val="18"/>
        </w:rPr>
        <w:t>理论</w:t>
      </w:r>
      <w:r>
        <w:rPr>
          <w:rFonts w:ascii="Times New Roman" w:hAnsi="Times New Roman" w:cs="Times New Roman" w:eastAsia="Times New Roman" w:hint="ascii"/>
          <w:sz w:val="18"/>
        </w:rPr>
        <w:t>A010205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环与代数</w:t>
      </w:r>
      <w:r>
        <w:rPr>
          <w:rFonts w:ascii="Times New Roman" w:hAnsi="Times New Roman" w:cs="Times New Roman" w:eastAsia="Times New Roman" w:hint="ascii"/>
          <w:sz w:val="18"/>
        </w:rPr>
        <w:t>A010206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编码与密码</w:t>
      </w:r>
      <w:r>
        <w:rPr>
          <w:rFonts w:ascii="Times New Roman" w:hAnsi="Times New Roman" w:cs="Times New Roman" w:eastAsia="Times New Roman" w:hint="ascii"/>
          <w:sz w:val="18"/>
        </w:rPr>
        <w:t>A010207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代数几何</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几何学</w:t>
      </w:r>
    </w:p>
    <w:p>
      <w:pPr>
        <w:autoSpaceDE w:val="0"/>
        <w:autoSpaceDN w:val="0"/>
        <w:jc w:val="left"/>
        <w:spacing w:before="67" w:after="0" w:lineRule="auto" w:line="31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整体微分几何</w:t>
      </w:r>
      <w:r>
        <w:rPr>
          <w:rFonts w:ascii="Times New Roman" w:hAnsi="Times New Roman" w:cs="Times New Roman" w:eastAsia="Times New Roman" w:hint="ascii"/>
          <w:sz w:val="18"/>
        </w:rPr>
        <w:t>A010302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复几何与代数几何</w:t>
      </w:r>
      <w:r>
        <w:rPr>
          <w:rFonts w:ascii="Times New Roman" w:hAnsi="Times New Roman" w:cs="Times New Roman" w:eastAsia="Times New Roman" w:hint="ascii"/>
          <w:sz w:val="18"/>
        </w:rPr>
        <w:t>A010303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几何分析</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拓扑学</w:t>
      </w:r>
    </w:p>
    <w:p>
      <w:pPr>
        <w:autoSpaceDE w:val="0"/>
        <w:autoSpaceDN w:val="0"/>
        <w:jc w:val="left"/>
        <w:spacing w:before="67" w:after="0" w:lineRule="auto" w:line="31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A010401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代</w:t>
      </w:r>
      <w:r>
        <w:rPr>
          <w:rFonts w:ascii="宋体" w:hAnsi="宋体" w:cs="宋体" w:eastAsia="宋体" w:hint="ascii"/>
          <w:sz w:val="18"/>
        </w:rPr>
        <w:t>数拓扑与微分拓扑</w:t>
      </w:r>
      <w:r>
        <w:rPr>
          <w:rFonts w:ascii="Times New Roman" w:hAnsi="Times New Roman" w:cs="Times New Roman" w:eastAsia="Times New Roman" w:hint="ascii"/>
          <w:sz w:val="18"/>
        </w:rPr>
        <w:t>A010402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低维流形上的拓扑</w:t>
      </w:r>
      <w:r>
        <w:rPr>
          <w:rFonts w:ascii="Times New Roman" w:hAnsi="Times New Roman" w:cs="Times New Roman" w:eastAsia="Times New Roman" w:hint="ascii"/>
          <w:sz w:val="18"/>
        </w:rPr>
        <w:t>A010403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一般拓扑学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函数论</w:t>
      </w:r>
    </w:p>
    <w:p>
      <w:pPr>
        <w:autoSpaceDE w:val="0"/>
        <w:autoSpaceDN w:val="0"/>
        <w:jc w:val="left"/>
        <w:spacing w:before="68" w:after="0" w:lineRule="auto" w:line="316"/>
        <w:ind w:right="8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多复变函数论</w:t>
      </w:r>
      <w:r>
        <w:rPr>
          <w:rFonts w:ascii="Times New Roman" w:hAnsi="Times New Roman" w:cs="Times New Roman" w:eastAsia="Times New Roman" w:hint="ascii"/>
          <w:sz w:val="18"/>
        </w:rPr>
        <w:t>A010502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复动力系统</w:t>
      </w:r>
      <w:r>
        <w:rPr>
          <w:rFonts w:ascii="Times New Roman" w:hAnsi="Times New Roman" w:cs="Times New Roman" w:eastAsia="Times New Roman" w:hint="ascii"/>
          <w:sz w:val="18"/>
        </w:rPr>
        <w:t>A010503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单复变函数论</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A010504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调</w:t>
      </w:r>
      <w:r>
        <w:rPr>
          <w:rFonts w:ascii="宋体" w:hAnsi="宋体" w:cs="宋体" w:eastAsia="宋体" w:hint="ascii"/>
          <w:sz w:val="18"/>
        </w:rPr>
        <w:t>和分析与小波分析</w:t>
      </w:r>
    </w:p>
    <w:p>
      <w:pPr>
        <w:autoSpaceDE w:val="0"/>
        <w:autoSpaceDN w:val="0"/>
        <w:jc w:val="left"/>
        <w:spacing w:before="69"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函数逼近论</w:t>
      </w:r>
    </w:p>
    <w:p>
      <w:pPr>
        <w:autoSpaceDE w:val="0"/>
        <w:autoSpaceDN w:val="0"/>
        <w:jc w:val="left"/>
        <w:spacing w:before="69"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泛函分析</w:t>
      </w:r>
    </w:p>
    <w:p>
      <w:pPr>
        <w:autoSpaceDE w:val="0"/>
        <w:autoSpaceDN w:val="0"/>
        <w:jc w:val="left"/>
        <w:spacing w:before="67" w:after="0" w:lineRule="auto" w:line="31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非线性泛函分析</w:t>
      </w:r>
      <w:r>
        <w:rPr>
          <w:rFonts w:ascii="Times New Roman" w:hAnsi="Times New Roman" w:cs="Times New Roman" w:eastAsia="Times New Roman" w:hint="ascii"/>
          <w:sz w:val="18"/>
          <w:spacing w:val="-1"/>
        </w:rPr>
        <w:t>A010602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算</w:t>
      </w:r>
      <w:r>
        <w:rPr>
          <w:rFonts w:ascii="宋体" w:hAnsi="宋体" w:cs="宋体" w:eastAsia="宋体" w:hint="ascii"/>
          <w:sz w:val="18"/>
        </w:rPr>
        <w:t>子理论与算子代数</w:t>
      </w:r>
      <w:r>
        <w:rPr>
          <w:rFonts w:ascii="Times New Roman" w:hAnsi="Times New Roman" w:cs="Times New Roman" w:eastAsia="Times New Roman" w:hint="ascii"/>
          <w:sz w:val="18"/>
        </w:rPr>
        <w:t>A010603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空间理论</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常微分方程与动力系统</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泛函微分方程</w:t>
      </w:r>
    </w:p>
    <w:p>
      <w:pPr>
        <w:autoSpaceDE w:val="0"/>
        <w:autoSpaceDN w:val="0"/>
        <w:jc w:val="left"/>
        <w:spacing w:before="340" w:after="0" w:lineRule="auto" w:line="311"/>
        <w:ind w:right="1109"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spacing w:val="-1"/>
        </w:rPr>
        <w:t>A010702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定</w:t>
      </w:r>
      <w:r>
        <w:rPr>
          <w:rFonts w:ascii="宋体" w:hAnsi="宋体" w:cs="宋体" w:eastAsia="宋体" w:hint="ascii"/>
          <w:sz w:val="18"/>
          <w:spacing w:val="-10"/>
        </w:rPr>
        <w:t>性理论与稳定性理</w:t>
      </w:r>
      <w:r>
        <w:rPr>
          <w:rFonts w:ascii="宋体" w:hAnsi="宋体" w:cs="宋体" w:eastAsia="宋体" w:hint="ascii"/>
          <w:sz w:val="18"/>
        </w:rPr>
        <w:t>论</w:t>
      </w:r>
      <w:r>
        <w:rPr>
          <w:rFonts w:ascii="Times New Roman" w:hAnsi="Times New Roman" w:cs="Times New Roman" w:eastAsia="Times New Roman" w:hint="ascii"/>
          <w:sz w:val="18"/>
        </w:rPr>
        <w:t>A010703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分支理论与混沌</w:t>
      </w:r>
      <w:r>
        <w:rPr>
          <w:rFonts w:ascii="Times New Roman" w:hAnsi="Times New Roman" w:cs="Times New Roman" w:eastAsia="Times New Roman" w:hint="ascii"/>
          <w:sz w:val="18"/>
          <w:spacing w:val="-1"/>
        </w:rPr>
        <w:t>A010704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微</w:t>
      </w:r>
      <w:r>
        <w:rPr>
          <w:rFonts w:ascii="宋体" w:hAnsi="宋体" w:cs="宋体" w:eastAsia="宋体" w:hint="ascii"/>
          <w:sz w:val="18"/>
        </w:rPr>
        <w:t>分动力系统与哈密</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顿系统</w:t>
      </w:r>
    </w:p>
    <w:p>
      <w:pPr>
        <w:autoSpaceDE w:val="0"/>
        <w:autoSpaceDN w:val="0"/>
        <w:jc w:val="left"/>
        <w:spacing w:before="59"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A010705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拓扑动力系统与遍历</w:t>
      </w:r>
      <w:r>
        <w:rPr>
          <w:rFonts w:ascii="宋体" w:hAnsi="宋体" w:cs="宋体" w:eastAsia="宋体" w:hint="ascii"/>
          <w:sz w:val="18"/>
        </w:rPr>
        <w:t>论</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偏微分方程</w:t>
      </w:r>
    </w:p>
    <w:p>
      <w:pPr>
        <w:autoSpaceDE w:val="0"/>
        <w:autoSpaceDN w:val="0"/>
        <w:jc w:val="left"/>
        <w:spacing w:before="6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几何、物理和力学中</w:t>
      </w:r>
    </w:p>
    <w:p>
      <w:pPr>
        <w:autoSpaceDE w:val="0"/>
        <w:autoSpaceDN w:val="0"/>
        <w:jc w:val="left"/>
        <w:spacing w:before="6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的偏微分方程</w:t>
      </w:r>
    </w:p>
    <w:p>
      <w:pPr>
        <w:autoSpaceDE w:val="0"/>
        <w:autoSpaceDN w:val="0"/>
        <w:jc w:val="left"/>
        <w:spacing w:before="59"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非线性椭圆和非线性</w:t>
      </w:r>
    </w:p>
    <w:p>
      <w:pPr>
        <w:autoSpaceDE w:val="0"/>
        <w:autoSpaceDN w:val="0"/>
        <w:jc w:val="left"/>
        <w:spacing w:before="6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抛物方程</w:t>
      </w:r>
    </w:p>
    <w:p>
      <w:pPr>
        <w:autoSpaceDE w:val="0"/>
        <w:autoSpaceDN w:val="0"/>
        <w:jc w:val="left"/>
        <w:spacing w:before="5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混合型、退化型偏微</w:t>
      </w:r>
    </w:p>
    <w:p>
      <w:pPr>
        <w:autoSpaceDE w:val="0"/>
        <w:autoSpaceDN w:val="0"/>
        <w:jc w:val="left"/>
        <w:spacing w:before="6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分方程</w:t>
      </w:r>
    </w:p>
    <w:p>
      <w:pPr>
        <w:autoSpaceDE w:val="0"/>
        <w:autoSpaceDN w:val="0"/>
        <w:jc w:val="left"/>
        <w:spacing w:before="59"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A010804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非线性发展方程和无</w:t>
      </w:r>
    </w:p>
    <w:p>
      <w:pPr>
        <w:autoSpaceDE w:val="0"/>
        <w:autoSpaceDN w:val="0"/>
        <w:jc w:val="left"/>
        <w:spacing w:before="6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穷维动力系统</w:t>
      </w:r>
    </w:p>
    <w:p>
      <w:pPr>
        <w:autoSpaceDE w:val="0"/>
        <w:autoSpaceDN w:val="0"/>
        <w:jc w:val="left"/>
        <w:spacing w:before="62"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数学物理</w:t>
      </w:r>
    </w:p>
    <w:p>
      <w:pPr>
        <w:autoSpaceDE w:val="0"/>
        <w:autoSpaceDN w:val="0"/>
        <w:jc w:val="both"/>
        <w:spacing w:before="64" w:after="0" w:lineRule="auto" w:line="312"/>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A010901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规</w:t>
      </w:r>
      <w:r>
        <w:rPr>
          <w:rFonts w:ascii="宋体" w:hAnsi="宋体" w:cs="宋体" w:eastAsia="宋体" w:hint="ascii"/>
          <w:sz w:val="18"/>
        </w:rPr>
        <w:t>范场论与超弦理论</w:t>
      </w:r>
      <w:r>
        <w:rPr>
          <w:rFonts w:ascii="Times New Roman" w:hAnsi="Times New Roman" w:cs="Times New Roman" w:eastAsia="Times New Roman" w:hint="ascii"/>
          <w:sz w:val="18"/>
        </w:rPr>
        <w:t>A010902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可积系统及其应用</w:t>
      </w:r>
    </w:p>
    <w:p>
      <w:pPr>
        <w:autoSpaceDE w:val="0"/>
        <w:autoSpaceDN w:val="0"/>
        <w:jc w:val="left"/>
        <w:spacing w:before="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概率论与随机分析</w:t>
      </w:r>
    </w:p>
    <w:p>
      <w:pPr>
        <w:autoSpaceDE w:val="0"/>
        <w:autoSpaceDN w:val="0"/>
        <w:jc w:val="left"/>
        <w:spacing w:before="73" w:after="0" w:lineRule="auto" w:line="320"/>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马氏过程与遍历论</w:t>
      </w: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002</w:t>
      </w:r>
      <w:r>
        <w:rPr>
          <w:rFonts w:ascii="Times New Roman" w:hAnsi="Times New Roman" w:cs="Times New Roman" w:eastAsia="Times New Roman" w:hint="ascii"/>
          <w:sz w:val="18"/>
          <w:spacing w:val="45"/>
        </w:rPr>
        <w:t xml:space="preserve"> </w:t>
      </w:r>
      <w:r>
        <w:rPr>
          <w:rFonts w:ascii="宋体" w:hAnsi="宋体" w:cs="宋体" w:eastAsia="宋体" w:hint="ascii"/>
          <w:sz w:val="18"/>
        </w:rPr>
        <w:t>随机分析与随机过程</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随机微分方程</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极限理论</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数理统计</w:t>
      </w:r>
    </w:p>
    <w:p>
      <w:pPr>
        <w:autoSpaceDE w:val="0"/>
        <w:autoSpaceDN w:val="0"/>
        <w:jc w:val="both"/>
        <w:spacing w:before="74" w:after="0" w:lineRule="auto" w:line="320"/>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抽样调查与试验设计</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时间序列与多元分析</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数据分析与统计计算</w:t>
      </w:r>
    </w:p>
    <w:p>
      <w:pPr>
        <w:autoSpaceDE w:val="0"/>
        <w:autoSpaceDN w:val="0"/>
        <w:jc w:val="left"/>
        <w:spacing w:before="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运筹学</w:t>
      </w:r>
    </w:p>
    <w:p>
      <w:pPr>
        <w:autoSpaceDE w:val="0"/>
        <w:autoSpaceDN w:val="0"/>
        <w:jc w:val="left"/>
        <w:spacing w:before="73" w:after="0" w:lineRule="auto" w:line="320"/>
        <w:ind w:right="1203"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线性与非线性规划</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组合最优化</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1203</w:t>
      </w:r>
      <w:r>
        <w:rPr>
          <w:rFonts w:ascii="Times New Roman" w:hAnsi="Times New Roman" w:cs="Times New Roman" w:eastAsia="Times New Roman" w:hint="ascii"/>
          <w:sz w:val="18"/>
          <w:spacing w:val="45"/>
        </w:rPr>
        <w:t xml:space="preserve"> </w:t>
      </w:r>
      <w:r>
        <w:rPr>
          <w:rFonts w:ascii="宋体" w:hAnsi="宋体" w:cs="宋体" w:eastAsia="宋体" w:hint="ascii"/>
          <w:sz w:val="18"/>
        </w:rPr>
        <w:t>随机最优化</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可靠性理论</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控制论中的数学方法</w:t>
      </w:r>
    </w:p>
    <w:p>
      <w:pPr>
        <w:autoSpaceDE w:val="0"/>
        <w:autoSpaceDN w:val="0"/>
        <w:jc w:val="left"/>
        <w:spacing w:before="67" w:after="0" w:lineRule="auto" w:line="240"/>
        <w:ind w:right="0" w:left="662" w:firstLine="0"/>
        <w:snapToGrid w:val="0"/>
        <w:textAlignment w:val="auto"/>
        <w:tabs/>
        <w:sectPr>
          <w:type w:val="continuous"/>
          <w:pgSz w:w="10940" w:h="15080" w:orient="portrait"/>
          <w:pgMar w:top="508" w:right="508" w:bottom="508" w:left="508" w:header="0" w:footer="0" w:gutter="0"/>
          <w:cols w:num="2" w:space="0" w:equalWidth="0">
            <w:col w:w="4737" w:space="946"/>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分布参数系统的控制</w:t>
      </w:r>
      <w:rPr>
        <w:rFonts w:ascii="宋体" w:hAnsi="宋体" w:cs="宋体" w:eastAsia="宋体" w:hint="ascii"/>
        <w:sz w:val="18"/>
      </w:rPr>
    </w:p>
    <w:p>
      <w:pPr>
        <w:autoSpaceDE w:val="0"/>
        <w:autoSpaceDN w:val="0"/>
        <w:jc w:val="left"/>
        <w:spacing w:before="427"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理论</w:t>
      </w:r>
      <w:r>
        <w:rPr>
          <w:rFonts w:ascii="宋体" w:hAnsi="宋体" w:cs="宋体" w:eastAsia="宋体" w:hint="ascii"/>
          <w:sz w:val="18"/>
        </w:rPr>
        <mc:AlternateContent>
          <mc:Choice Requires="wps">
            <w:drawing>
              <wp:anchor distL="0" distR="0" distT="0" distB="0" simplePos="0" behindDoc="1" relativeHeight="334" locked="0" layoutInCell="1" allowOverlap="1">
                <wp:simplePos x="0" y="0"/>
                <wp:positionH relativeFrom="page">
                  <wp:posOffset>938530</wp:posOffset>
                </wp:positionH>
                <wp:positionV relativeFrom="page">
                  <wp:posOffset>819150</wp:posOffset>
                </wp:positionV>
                <wp:extent cx="5076190" cy="0"/>
                <wp:wrapNone/>
                <wp:docPr id="1361" name="136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16224;width:399.70pt;" id="136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302</w:t>
      </w:r>
      <w:r>
        <w:rPr>
          <w:rFonts w:ascii="Times New Roman" w:hAnsi="Times New Roman" w:cs="Times New Roman" w:eastAsia="Times New Roman" w:hint="ascii"/>
          <w:sz w:val="18"/>
          <w:spacing w:val="45"/>
        </w:rPr>
        <w:t xml:space="preserve"> </w:t>
      </w:r>
      <w:r>
        <w:rPr>
          <w:rFonts w:ascii="宋体" w:hAnsi="宋体" w:cs="宋体" w:eastAsia="宋体" w:hint="ascii"/>
          <w:sz w:val="18"/>
        </w:rPr>
        <w:t>随机系统的控制理论</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应用数学方法</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信息论</w:t>
      </w:r>
    </w:p>
    <w:p>
      <w:pPr>
        <w:autoSpaceDE w:val="0"/>
        <w:autoSpaceDN w:val="0"/>
        <w:jc w:val="both"/>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经济数学与金融数学</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生物数学</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404</w:t>
      </w:r>
      <w:r>
        <w:rPr>
          <w:rFonts w:ascii="Times New Roman" w:hAnsi="Times New Roman" w:cs="Times New Roman" w:eastAsia="Times New Roman" w:hint="ascii"/>
          <w:sz w:val="18"/>
          <w:spacing w:val="45"/>
        </w:rPr>
        <w:t xml:space="preserve"> </w:t>
      </w:r>
      <w:r>
        <w:rPr>
          <w:rFonts w:ascii="宋体" w:hAnsi="宋体" w:cs="宋体" w:eastAsia="宋体" w:hint="ascii"/>
          <w:sz w:val="18"/>
        </w:rPr>
        <w:t>不确定性的数学理论</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分形论及应用</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A0</w:t>
      </w:r>
      <w:r>
        <w:rPr>
          <w:rFonts w:ascii="Times New Roman" w:hAnsi="Times New Roman" w:cs="Times New Roman" w:eastAsia="Times New Roman" w:hint="ascii"/>
          <w:b w:val="1"/>
          <w:sz w:val="18"/>
          <w:spacing w:val="-11"/>
        </w:rPr>
        <w:t>1</w:t>
      </w:r>
      <w:r>
        <w:rPr>
          <w:rFonts w:ascii="Times New Roman" w:hAnsi="Times New Roman" w:cs="Times New Roman" w:eastAsia="Times New Roman" w:hint="ascii"/>
          <w:b w:val="1"/>
          <w:sz w:val="18"/>
          <w:spacing w:val="-1"/>
        </w:rPr>
        <w:t>15</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2"/>
        </w:rPr>
        <w:t>数理逻辑和与计算机相关的数</w:t>
      </w:r>
      <w:r>
        <w:rPr>
          <w:rFonts w:ascii="宋体" w:hAnsi="宋体" w:cs="宋体" w:eastAsia="宋体" w:hint="ascii"/>
          <w:sz w:val="18"/>
        </w:rPr>
        <w:t>学</w:t>
      </w:r>
    </w:p>
    <w:p>
      <w:pPr>
        <w:autoSpaceDE w:val="0"/>
        <w:autoSpaceDN w:val="0"/>
        <w:jc w:val="left"/>
        <w:spacing w:before="67" w:after="0" w:lineRule="auto" w:line="313"/>
        <w:ind w:right="274"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数理逻辑</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公理集合论</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503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计算复杂性与符号计</w:t>
      </w:r>
      <w:r>
        <w:rPr>
          <w:rFonts w:ascii="宋体" w:hAnsi="宋体" w:cs="宋体" w:eastAsia="宋体" w:hint="ascii"/>
          <w:sz w:val="18"/>
        </w:rPr>
        <w:t>算</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机器证明</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组合数学</w:t>
      </w:r>
    </w:p>
    <w:p>
      <w:pPr>
        <w:autoSpaceDE w:val="0"/>
        <w:autoSpaceDN w:val="0"/>
        <w:jc w:val="both"/>
        <w:spacing w:before="68" w:after="0" w:lineRule="auto" w:line="313"/>
        <w:ind w:right="90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组</w:t>
      </w:r>
      <w:r>
        <w:rPr>
          <w:rFonts w:ascii="宋体" w:hAnsi="宋体" w:cs="宋体" w:eastAsia="宋体" w:hint="ascii"/>
          <w:sz w:val="18"/>
        </w:rPr>
        <w:t>合设计</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1602</w:t>
      </w:r>
      <w:r>
        <w:rPr>
          <w:rFonts w:ascii="Times New Roman" w:hAnsi="Times New Roman" w:cs="Times New Roman" w:eastAsia="Times New Roman" w:hint="ascii"/>
          <w:sz w:val="18"/>
          <w:spacing w:val="45"/>
        </w:rPr>
        <w:t xml:space="preserve"> </w:t>
      </w:r>
      <w:r>
        <w:rPr>
          <w:rFonts w:ascii="宋体" w:hAnsi="宋体" w:cs="宋体" w:eastAsia="宋体" w:hint="ascii"/>
          <w:sz w:val="18"/>
        </w:rPr>
        <w:t>图论</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603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代数组合与组合矩阵</w:t>
      </w:r>
      <w:r>
        <w:rPr>
          <w:rFonts w:ascii="宋体" w:hAnsi="宋体" w:cs="宋体" w:eastAsia="宋体" w:hint="ascii"/>
          <w:sz w:val="18"/>
        </w:rPr>
        <w:t>论</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计算数学与科学工程计算</w:t>
      </w:r>
    </w:p>
    <w:p>
      <w:pPr>
        <w:autoSpaceDE w:val="0"/>
        <w:autoSpaceDN w:val="0"/>
        <w:jc w:val="both"/>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偏微分方程数值计算</w:t>
      </w: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流体力学中的数值计</w:t>
      </w:r>
      <w:r>
        <w:rPr>
          <w:rFonts w:ascii="宋体" w:hAnsi="宋体" w:cs="宋体" w:eastAsia="宋体" w:hint="ascii"/>
          <w:sz w:val="18"/>
        </w:rPr>
        <w:t>算</w:t>
      </w: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一般反问题的计算方</w:t>
      </w:r>
      <w:r>
        <w:rPr>
          <w:rFonts w:ascii="宋体" w:hAnsi="宋体" w:cs="宋体" w:eastAsia="宋体" w:hint="ascii"/>
          <w:sz w:val="18"/>
        </w:rPr>
        <w:t>法</w:t>
      </w: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704</w:t>
      </w:r>
      <w:r>
        <w:rPr>
          <w:rFonts w:ascii="Times New Roman" w:hAnsi="Times New Roman" w:cs="Times New Roman" w:eastAsia="Times New Roman" w:hint="ascii"/>
          <w:sz w:val="18"/>
          <w:spacing w:val="45"/>
        </w:rPr>
        <w:t xml:space="preserve"> </w:t>
      </w:r>
      <w:r>
        <w:rPr>
          <w:rFonts w:ascii="宋体" w:hAnsi="宋体" w:cs="宋体" w:eastAsia="宋体" w:hint="ascii"/>
          <w:sz w:val="18"/>
        </w:rPr>
        <w:t>常微分方程数值计算</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1705</w:t>
      </w:r>
      <w:r>
        <w:rPr>
          <w:rFonts w:ascii="Times New Roman" w:hAnsi="Times New Roman" w:cs="Times New Roman" w:eastAsia="Times New Roman" w:hint="ascii"/>
          <w:sz w:val="18"/>
          <w:spacing w:val="45"/>
        </w:rPr>
        <w:t xml:space="preserve"> </w:t>
      </w:r>
      <w:r>
        <w:rPr>
          <w:rFonts w:ascii="宋体" w:hAnsi="宋体" w:cs="宋体" w:eastAsia="宋体" w:hint="ascii"/>
          <w:sz w:val="18"/>
        </w:rPr>
        <w:t>数值代数</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706</w:t>
      </w:r>
      <w:r>
        <w:rPr>
          <w:rFonts w:ascii="Times New Roman" w:hAnsi="Times New Roman" w:cs="Times New Roman" w:eastAsia="Times New Roman" w:hint="ascii"/>
          <w:sz w:val="18"/>
          <w:spacing w:val="45"/>
        </w:rPr>
        <w:t xml:space="preserve"> </w:t>
      </w:r>
      <w:r>
        <w:rPr>
          <w:rFonts w:ascii="宋体" w:hAnsi="宋体" w:cs="宋体" w:eastAsia="宋体" w:hint="ascii"/>
          <w:sz w:val="18"/>
        </w:rPr>
        <w:t>数值逼近与计算几何</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707</w:t>
      </w:r>
      <w:r>
        <w:rPr>
          <w:rFonts w:ascii="Times New Roman" w:hAnsi="Times New Roman" w:cs="Times New Roman" w:eastAsia="Times New Roman" w:hint="ascii"/>
          <w:sz w:val="18"/>
          <w:spacing w:val="45"/>
        </w:rPr>
        <w:t xml:space="preserve"> </w:t>
      </w:r>
      <w:r>
        <w:rPr>
          <w:rFonts w:ascii="宋体" w:hAnsi="宋体" w:cs="宋体" w:eastAsia="宋体" w:hint="ascii"/>
          <w:sz w:val="18"/>
        </w:rPr>
        <w:t>谱方法及高精度数值</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both"/>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708</w:t>
      </w:r>
      <w:r>
        <w:rPr>
          <w:rFonts w:ascii="Times New Roman" w:hAnsi="Times New Roman" w:cs="Times New Roman" w:eastAsia="Times New Roman" w:hint="ascii"/>
          <w:sz w:val="18"/>
          <w:spacing w:val="45"/>
        </w:rPr>
        <w:t xml:space="preserve"> </w:t>
      </w:r>
      <w:r>
        <w:rPr>
          <w:rFonts w:ascii="宋体" w:hAnsi="宋体" w:cs="宋体" w:eastAsia="宋体" w:hint="ascii"/>
          <w:sz w:val="18"/>
        </w:rPr>
        <w:t>有限元和边界元方法</w:t>
      </w: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709</w:t>
      </w:r>
      <w:r>
        <w:rPr>
          <w:rFonts w:ascii="Times New Roman" w:hAnsi="Times New Roman" w:cs="Times New Roman" w:eastAsia="Times New Roman" w:hint="ascii"/>
          <w:sz w:val="18"/>
          <w:spacing w:val="45"/>
        </w:rPr>
        <w:t xml:space="preserve"> </w:t>
      </w:r>
      <w:r>
        <w:rPr>
          <w:rFonts w:ascii="宋体" w:hAnsi="宋体" w:cs="宋体" w:eastAsia="宋体" w:hint="ascii"/>
          <w:sz w:val="18"/>
        </w:rPr>
        <w:t>多重网格技术及区域</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分解</w:t>
      </w:r>
    </w:p>
    <w:p>
      <w:pPr>
        <w:autoSpaceDE w:val="0"/>
        <w:autoSpaceDN w:val="0"/>
        <w:jc w:val="both"/>
        <w:spacing w:before="62" w:after="0" w:lineRule="auto" w:line="313"/>
        <w:ind w:right="72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1710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自</w:t>
      </w:r>
      <w:r>
        <w:rPr>
          <w:rFonts w:ascii="宋体" w:hAnsi="宋体" w:cs="宋体" w:eastAsia="宋体" w:hint="ascii"/>
          <w:sz w:val="18"/>
        </w:rPr>
        <w:t>适应方法</w:t>
      </w:r>
      <w:r>
        <w:rPr>
          <w:rFonts w:ascii="Times New Roman" w:hAnsi="Times New Roman" w:cs="Times New Roman" w:eastAsia="Times New Roman" w:hint="ascii"/>
          <w:sz w:val="18"/>
        </w:rPr>
        <w:t>A0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并行算法</w:t>
      </w:r>
    </w:p>
    <w:p>
      <w:pPr>
        <w:autoSpaceDE w:val="0"/>
        <w:autoSpaceDN w:val="0"/>
        <w:jc w:val="left"/>
        <w:spacing w:before="0" w:after="0" w:lineRule="auto" w:line="23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A02</w:t>
      </w:r>
      <w:r>
        <w:rPr>
          <w:rFonts w:ascii="Times New Roman" w:hAnsi="Times New Roman" w:cs="Times New Roman" w:eastAsia="Times New Roman" w:hint="ascii"/>
          <w:b w:val="1"/>
          <w:spacing w:val="60"/>
        </w:rPr>
        <w:t xml:space="preserve"> </w:t>
      </w:r>
      <w:r>
        <w:rPr>
          <w:rFonts w:ascii="宋体" w:hAnsi="宋体" w:cs="宋体" w:eastAsia="宋体" w:hint="ascii"/>
        </w:rPr>
        <w:t>力学</w:t>
      </w:r>
    </w:p>
    <w:p>
      <w:pPr>
        <w:autoSpaceDE w:val="0"/>
        <w:autoSpaceDN w:val="0"/>
        <w:jc w:val="left"/>
        <w:spacing w:before="9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力学中的基本问题和方法</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A020101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理</w:t>
      </w:r>
      <w:r>
        <w:rPr>
          <w:rFonts w:ascii="宋体" w:hAnsi="宋体" w:cs="宋体" w:eastAsia="宋体" w:hint="ascii"/>
          <w:sz w:val="18"/>
        </w:rPr>
        <w:t>性力学与力学中的</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数学方法</w:t>
      </w:r>
    </w:p>
    <w:p>
      <w:pPr>
        <w:autoSpaceDE w:val="0"/>
        <w:autoSpaceDN w:val="0"/>
        <w:jc w:val="left"/>
        <w:spacing w:before="61" w:after="0" w:lineRule="auto" w:line="313"/>
        <w:ind w:right="2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物理力学</w:t>
      </w:r>
      <w:r>
        <w:rPr>
          <w:rFonts w:ascii="Times New Roman" w:hAnsi="Times New Roman" w:cs="Times New Roman" w:eastAsia="Times New Roman" w:hint="ascii"/>
          <w:sz w:val="18"/>
        </w:rPr>
        <w:t>A020103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力学中的反问题</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动力学与控制</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分析力学</w:t>
      </w:r>
    </w:p>
    <w:p>
      <w:pPr>
        <w:autoSpaceDE w:val="0"/>
        <w:autoSpaceDN w:val="0"/>
        <w:jc w:val="both"/>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A020202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动</w:t>
      </w:r>
      <w:r>
        <w:rPr>
          <w:rFonts w:ascii="宋体" w:hAnsi="宋体" w:cs="宋体" w:eastAsia="宋体" w:hint="ascii"/>
          <w:sz w:val="18"/>
          <w:spacing w:val="-10"/>
        </w:rPr>
        <w:t>力系统的分岔与混</w:t>
      </w:r>
      <w:r>
        <w:rPr>
          <w:rFonts w:ascii="宋体" w:hAnsi="宋体" w:cs="宋体" w:eastAsia="宋体" w:hint="ascii"/>
          <w:sz w:val="18"/>
        </w:rPr>
        <w:t>沌</w:t>
      </w:r>
      <w:r>
        <w:rPr>
          <w:rFonts w:ascii="Times New Roman" w:hAnsi="Times New Roman" w:cs="Times New Roman" w:eastAsia="Times New Roman" w:hint="ascii"/>
          <w:sz w:val="18"/>
          <w:spacing w:val="-1"/>
        </w:rPr>
        <w:t>A020203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运</w:t>
      </w:r>
      <w:r>
        <w:rPr>
          <w:rFonts w:ascii="宋体" w:hAnsi="宋体" w:cs="宋体" w:eastAsia="宋体" w:hint="ascii"/>
          <w:sz w:val="18"/>
        </w:rPr>
        <w:t>动稳定性及其控制</w:t>
      </w:r>
      <w:r>
        <w:rPr>
          <w:rFonts w:ascii="Times New Roman" w:hAnsi="Times New Roman" w:cs="Times New Roman" w:eastAsia="Times New Roman" w:hint="ascii"/>
          <w:sz w:val="18"/>
          <w:spacing w:val="-1"/>
        </w:rPr>
        <w:t>A020204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非</w:t>
      </w:r>
      <w:r>
        <w:rPr>
          <w:rFonts w:ascii="宋体" w:hAnsi="宋体" w:cs="宋体" w:eastAsia="宋体" w:hint="ascii"/>
          <w:sz w:val="18"/>
        </w:rPr>
        <w:t>线性振动及其控制</w:t>
      </w:r>
    </w:p>
    <w:p>
      <w:pPr>
        <w:autoSpaceDE w:val="0"/>
        <w:autoSpaceDN w:val="0"/>
        <w:jc w:val="both"/>
        <w:spacing w:before="327" w:after="0" w:lineRule="auto" w:line="309"/>
        <w:ind w:right="1469"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spacing w:val="-1"/>
        </w:rPr>
        <w:t>A020205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多</w:t>
      </w:r>
      <w:r>
        <w:rPr>
          <w:rFonts w:ascii="宋体" w:hAnsi="宋体" w:cs="宋体" w:eastAsia="宋体" w:hint="ascii"/>
          <w:sz w:val="18"/>
        </w:rPr>
        <w:t>体系统动力学</w:t>
      </w:r>
      <w:r>
        <w:rPr>
          <w:rFonts w:ascii="Times New Roman" w:hAnsi="Times New Roman" w:cs="Times New Roman" w:eastAsia="Times New Roman" w:hint="ascii"/>
          <w:sz w:val="18"/>
        </w:rPr>
        <w:t>A020206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转子动力学</w:t>
      </w:r>
    </w:p>
    <w:p>
      <w:pPr>
        <w:autoSpaceDE w:val="0"/>
        <w:autoSpaceDN w:val="0"/>
        <w:jc w:val="left"/>
        <w:spacing w:before="0"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弹道力学与飞行力学</w:t>
      </w:r>
    </w:p>
    <w:p>
      <w:pPr>
        <w:autoSpaceDE w:val="0"/>
        <w:autoSpaceDN w:val="0"/>
        <w:jc w:val="left"/>
        <w:spacing w:before="63"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载运工具动力学及其</w:t>
      </w:r>
    </w:p>
    <w:p>
      <w:pPr>
        <w:autoSpaceDE w:val="0"/>
        <w:autoSpaceDN w:val="0"/>
        <w:jc w:val="left"/>
        <w:spacing w:before="6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控制</w:t>
      </w:r>
    </w:p>
    <w:p>
      <w:pPr>
        <w:autoSpaceDE w:val="0"/>
        <w:autoSpaceDN w:val="0"/>
        <w:jc w:val="left"/>
        <w:spacing w:before="5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A020209</w:t>
      </w:r>
      <w:r>
        <w:rPr>
          <w:rFonts w:ascii="Times New Roman" w:hAnsi="Times New Roman" w:cs="Times New Roman" w:eastAsia="Times New Roman" w:hint="ascii"/>
          <w:sz w:val="18"/>
          <w:spacing w:val="45"/>
        </w:rPr>
        <w:t xml:space="preserve"> </w:t>
      </w:r>
      <w:r>
        <w:rPr>
          <w:rFonts w:ascii="宋体" w:hAnsi="宋体" w:cs="宋体" w:eastAsia="宋体" w:hint="ascii"/>
          <w:sz w:val="18"/>
        </w:rPr>
        <w:t>多场耦合与智能结构</w:t>
      </w:r>
    </w:p>
    <w:p>
      <w:pPr>
        <w:autoSpaceDE w:val="0"/>
        <w:autoSpaceDN w:val="0"/>
        <w:jc w:val="left"/>
        <w:spacing w:before="6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动力学</w:t>
      </w:r>
    </w:p>
    <w:p>
      <w:pPr>
        <w:autoSpaceDE w:val="0"/>
        <w:autoSpaceDN w:val="0"/>
        <w:jc w:val="left"/>
        <w:spacing w:before="5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固体力学</w:t>
      </w:r>
    </w:p>
    <w:p>
      <w:pPr>
        <w:autoSpaceDE w:val="0"/>
        <w:autoSpaceDN w:val="0"/>
        <w:jc w:val="left"/>
        <w:spacing w:before="63" w:after="0" w:lineRule="auto" w:line="309"/>
        <w:ind w:right="101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弹性力学与塑性力学</w:t>
      </w:r>
      <w:r>
        <w:rPr>
          <w:rFonts w:ascii="Times New Roman" w:hAnsi="Times New Roman" w:cs="Times New Roman" w:eastAsia="Times New Roman" w:hint="ascii"/>
          <w:sz w:val="18"/>
        </w:rPr>
        <w:t>A020302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损伤与断裂力学</w:t>
      </w:r>
      <w:r>
        <w:rPr>
          <w:rFonts w:ascii="Times New Roman" w:hAnsi="Times New Roman" w:cs="Times New Roman" w:eastAsia="Times New Roman" w:hint="ascii"/>
          <w:sz w:val="18"/>
        </w:rPr>
        <w:t>A020303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疲劳与可靠性</w:t>
      </w:r>
      <w:r>
        <w:rPr>
          <w:rFonts w:ascii="Times New Roman" w:hAnsi="Times New Roman" w:cs="Times New Roman" w:eastAsia="Times New Roman" w:hint="ascii"/>
          <w:sz w:val="18"/>
        </w:rPr>
        <w:t>A020304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本构关系</w:t>
      </w:r>
    </w:p>
    <w:p>
      <w:pPr>
        <w:autoSpaceDE w:val="0"/>
        <w:autoSpaceDN w:val="0"/>
        <w:jc w:val="left"/>
        <w:spacing w:before="0"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复合材料力学</w:t>
      </w:r>
    </w:p>
    <w:p>
      <w:pPr>
        <w:autoSpaceDE w:val="0"/>
        <w:autoSpaceDN w:val="0"/>
        <w:jc w:val="both"/>
        <w:spacing w:before="63" w:after="0" w:lineRule="auto" w:line="309"/>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A020306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智</w:t>
      </w:r>
      <w:r>
        <w:rPr>
          <w:rFonts w:ascii="宋体" w:hAnsi="宋体" w:cs="宋体" w:eastAsia="宋体" w:hint="ascii"/>
          <w:sz w:val="18"/>
        </w:rPr>
        <w:t>能材料与结构力学</w:t>
      </w:r>
      <w:r>
        <w:rPr>
          <w:rFonts w:ascii="Times New Roman" w:hAnsi="Times New Roman" w:cs="Times New Roman" w:eastAsia="Times New Roman" w:hint="ascii"/>
          <w:sz w:val="18"/>
          <w:spacing w:val="-1"/>
        </w:rPr>
        <w:t>A020307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超</w:t>
      </w:r>
      <w:r>
        <w:rPr>
          <w:rFonts w:ascii="宋体" w:hAnsi="宋体" w:cs="宋体" w:eastAsia="宋体" w:hint="ascii"/>
          <w:sz w:val="18"/>
        </w:rPr>
        <w:t>常环境下材料和结</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构的力学行为</w:t>
      </w:r>
    </w:p>
    <w:p>
      <w:pPr>
        <w:autoSpaceDE w:val="0"/>
        <w:autoSpaceDN w:val="0"/>
        <w:jc w:val="left"/>
        <w:spacing w:before="5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A020308</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微纳米力学</w:t>
      </w:r>
    </w:p>
    <w:p>
      <w:pPr>
        <w:autoSpaceDE w:val="0"/>
        <w:autoSpaceDN w:val="0"/>
        <w:jc w:val="left"/>
        <w:spacing w:before="63" w:after="0" w:lineRule="auto" w:line="309"/>
        <w:ind w:right="101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A020309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接触、摩擦与磨损力</w:t>
      </w:r>
      <w:r>
        <w:rPr>
          <w:rFonts w:ascii="宋体" w:hAnsi="宋体" w:cs="宋体" w:eastAsia="宋体" w:hint="ascii"/>
          <w:sz w:val="18"/>
        </w:rPr>
        <w:t>学</w:t>
      </w:r>
      <w:r>
        <w:rPr>
          <w:rFonts w:ascii="Times New Roman" w:hAnsi="Times New Roman" w:cs="Times New Roman" w:eastAsia="Times New Roman" w:hint="ascii"/>
          <w:sz w:val="18"/>
        </w:rPr>
        <w:t>A020310</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表面、界面与薄膜力</w:t>
      </w:r>
      <w:r>
        <w:rPr>
          <w:rFonts w:ascii="宋体" w:hAnsi="宋体" w:cs="宋体" w:eastAsia="宋体" w:hint="ascii"/>
          <w:sz w:val="18"/>
        </w:rPr>
        <w:t>学</w:t>
      </w:r>
      <w:r>
        <w:rPr>
          <w:rFonts w:ascii="Times New Roman" w:hAnsi="Times New Roman" w:cs="Times New Roman" w:eastAsia="Times New Roman" w:hint="ascii"/>
          <w:sz w:val="18"/>
        </w:rPr>
        <w:t>A0203</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岩体力学和土力学</w:t>
      </w:r>
      <w:r>
        <w:rPr>
          <w:rFonts w:ascii="Times New Roman" w:hAnsi="Times New Roman" w:cs="Times New Roman" w:eastAsia="Times New Roman" w:hint="ascii"/>
          <w:sz w:val="18"/>
        </w:rPr>
        <w:t>A020312</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结构力学与结构优化</w:t>
      </w:r>
      <w:r>
        <w:rPr>
          <w:rFonts w:ascii="Times New Roman" w:hAnsi="Times New Roman" w:cs="Times New Roman" w:eastAsia="Times New Roman" w:hint="ascii"/>
          <w:sz w:val="18"/>
        </w:rPr>
        <w:t>A020313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结构振动、噪声与控</w:t>
      </w:r>
      <w:r>
        <w:rPr>
          <w:rFonts w:ascii="宋体" w:hAnsi="宋体" w:cs="宋体" w:eastAsia="宋体" w:hint="ascii"/>
          <w:sz w:val="18"/>
        </w:rPr>
        <w:t>制</w:t>
      </w:r>
      <w:r>
        <w:rPr>
          <w:rFonts w:ascii="Times New Roman" w:hAnsi="Times New Roman" w:cs="Times New Roman" w:eastAsia="Times New Roman" w:hint="ascii"/>
          <w:sz w:val="18"/>
        </w:rPr>
        <w:t>A020314</w:t>
      </w:r>
      <w:r>
        <w:rPr>
          <w:rFonts w:ascii="Times New Roman" w:hAnsi="Times New Roman" w:cs="Times New Roman" w:eastAsia="Times New Roman" w:hint="ascii"/>
          <w:sz w:val="18"/>
          <w:spacing w:val="45"/>
        </w:rPr>
        <w:t xml:space="preserve"> </w:t>
      </w:r>
      <w:r>
        <w:rPr>
          <w:rFonts w:ascii="宋体" w:hAnsi="宋体" w:cs="宋体" w:eastAsia="宋体" w:hint="ascii"/>
          <w:sz w:val="18"/>
        </w:rPr>
        <w:t>流固耦合力学</w:t>
      </w:r>
      <w:r>
        <w:rPr>
          <w:rFonts w:ascii="Times New Roman" w:hAnsi="Times New Roman" w:cs="Times New Roman" w:eastAsia="Times New Roman" w:hint="ascii"/>
          <w:sz w:val="18"/>
        </w:rPr>
        <w:t>A020315</w:t>
      </w:r>
      <w:r>
        <w:rPr>
          <w:rFonts w:ascii="Times New Roman" w:hAnsi="Times New Roman" w:cs="Times New Roman" w:eastAsia="Times New Roman" w:hint="ascii"/>
          <w:sz w:val="18"/>
          <w:spacing w:val="45"/>
        </w:rPr>
        <w:t xml:space="preserve"> </w:t>
      </w:r>
      <w:r>
        <w:rPr>
          <w:rFonts w:ascii="宋体" w:hAnsi="宋体" w:cs="宋体" w:eastAsia="宋体" w:hint="ascii"/>
          <w:sz w:val="18"/>
        </w:rPr>
        <w:t>制造工艺力学</w:t>
      </w:r>
      <w:r>
        <w:rPr>
          <w:rFonts w:ascii="Times New Roman" w:hAnsi="Times New Roman" w:cs="Times New Roman" w:eastAsia="Times New Roman" w:hint="ascii"/>
          <w:sz w:val="18"/>
        </w:rPr>
        <w:t>A020316</w:t>
      </w:r>
      <w:r>
        <w:rPr>
          <w:rFonts w:ascii="Times New Roman" w:hAnsi="Times New Roman" w:cs="Times New Roman" w:eastAsia="Times New Roman" w:hint="ascii"/>
          <w:sz w:val="18"/>
          <w:spacing w:val="45"/>
        </w:rPr>
        <w:t xml:space="preserve"> </w:t>
      </w:r>
      <w:r>
        <w:rPr>
          <w:rFonts w:ascii="宋体" w:hAnsi="宋体" w:cs="宋体" w:eastAsia="宋体" w:hint="ascii"/>
          <w:sz w:val="18"/>
        </w:rPr>
        <w:t>实验固体力学</w:t>
      </w:r>
      <w:r>
        <w:rPr>
          <w:rFonts w:ascii="Times New Roman" w:hAnsi="Times New Roman" w:cs="Times New Roman" w:eastAsia="Times New Roman" w:hint="ascii"/>
          <w:sz w:val="18"/>
        </w:rPr>
        <w:t>A020317</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计算固体力学</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流体力学</w:t>
      </w:r>
    </w:p>
    <w:p>
      <w:pPr>
        <w:autoSpaceDE w:val="0"/>
        <w:autoSpaceDN w:val="0"/>
        <w:jc w:val="both"/>
        <w:spacing w:before="63" w:after="0" w:lineRule="auto" w:line="309"/>
        <w:ind w:right="128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A020401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湍</w:t>
      </w:r>
      <w:r>
        <w:rPr>
          <w:rFonts w:ascii="宋体" w:hAnsi="宋体" w:cs="宋体" w:eastAsia="宋体" w:hint="ascii"/>
          <w:sz w:val="18"/>
        </w:rPr>
        <w:t>流与流动稳定性</w:t>
      </w:r>
      <w:r>
        <w:rPr>
          <w:rFonts w:ascii="Times New Roman" w:hAnsi="Times New Roman" w:cs="Times New Roman" w:eastAsia="Times New Roman" w:hint="ascii"/>
          <w:sz w:val="18"/>
        </w:rPr>
        <w:t>A020402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水动力学</w:t>
      </w:r>
    </w:p>
    <w:p>
      <w:pPr>
        <w:autoSpaceDE w:val="0"/>
        <w:autoSpaceDN w:val="0"/>
        <w:jc w:val="left"/>
        <w:spacing w:before="0"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空气动力学</w:t>
      </w:r>
    </w:p>
    <w:p>
      <w:pPr>
        <w:autoSpaceDE w:val="0"/>
        <w:autoSpaceDN w:val="0"/>
        <w:jc w:val="left"/>
        <w:spacing w:before="63"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非平衡流与稀薄气体</w:t>
      </w:r>
    </w:p>
    <w:p>
      <w:pPr>
        <w:autoSpaceDE w:val="0"/>
        <w:autoSpaceDN w:val="0"/>
        <w:jc w:val="left"/>
        <w:spacing w:before="6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流动</w:t>
      </w:r>
    </w:p>
    <w:p>
      <w:pPr>
        <w:autoSpaceDE w:val="0"/>
        <w:autoSpaceDN w:val="0"/>
        <w:jc w:val="left"/>
        <w:spacing w:before="57" w:after="0" w:lineRule="auto" w:line="309"/>
        <w:ind w:right="1017"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多相流与渗流</w:t>
      </w:r>
      <w:r>
        <w:rPr>
          <w:rFonts w:ascii="Times New Roman" w:hAnsi="Times New Roman" w:cs="Times New Roman" w:eastAsia="Times New Roman" w:hint="ascii"/>
          <w:sz w:val="18"/>
        </w:rPr>
        <w:t>A020406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非牛顿流与流变学</w:t>
      </w:r>
      <w:r>
        <w:rPr>
          <w:rFonts w:ascii="Times New Roman" w:hAnsi="Times New Roman" w:cs="Times New Roman" w:eastAsia="Times New Roman" w:hint="ascii"/>
          <w:sz w:val="18"/>
        </w:rPr>
        <w:t>A020407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流动噪声与气动声学</w:t>
      </w:r>
      <w:r>
        <w:rPr>
          <w:rFonts w:ascii="Times New Roman" w:hAnsi="Times New Roman" w:cs="Times New Roman" w:eastAsia="Times New Roman" w:hint="ascii"/>
          <w:sz w:val="18"/>
        </w:rPr>
        <w:t>A020408</w:t>
      </w:r>
      <w:r>
        <w:rPr>
          <w:rFonts w:ascii="Times New Roman" w:hAnsi="Times New Roman" w:cs="Times New Roman" w:eastAsia="Times New Roman" w:hint="ascii"/>
          <w:sz w:val="18"/>
          <w:spacing w:val="45"/>
        </w:rPr>
        <w:t xml:space="preserve"> </w:t>
      </w:r>
      <w:r>
        <w:rPr>
          <w:rFonts w:ascii="宋体" w:hAnsi="宋体" w:cs="宋体" w:eastAsia="宋体" w:hint="ascii"/>
          <w:sz w:val="18"/>
        </w:rPr>
        <w:t>流动控制和优化</w:t>
      </w:r>
      <w:r>
        <w:rPr>
          <w:rFonts w:ascii="Times New Roman" w:hAnsi="Times New Roman" w:cs="Times New Roman" w:eastAsia="Times New Roman" w:hint="ascii"/>
          <w:sz w:val="18"/>
        </w:rPr>
        <w:t>A020409</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环境流体力学</w:t>
      </w:r>
      <w:r>
        <w:rPr>
          <w:rFonts w:ascii="Times New Roman" w:hAnsi="Times New Roman" w:cs="Times New Roman" w:eastAsia="Times New Roman" w:hint="ascii"/>
          <w:sz w:val="18"/>
        </w:rPr>
        <w:t>A020410</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工业流体力学</w:t>
      </w:r>
      <w:r>
        <w:rPr>
          <w:rFonts w:ascii="Times New Roman" w:hAnsi="Times New Roman" w:cs="Times New Roman" w:eastAsia="Times New Roman" w:hint="ascii"/>
          <w:sz w:val="18"/>
        </w:rPr>
        <w:t>A0204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微重力流体力学</w:t>
      </w:r>
      <w:r>
        <w:rPr>
          <w:rFonts w:ascii="Times New Roman" w:hAnsi="Times New Roman" w:cs="Times New Roman" w:eastAsia="Times New Roman" w:hint="ascii"/>
          <w:sz w:val="18"/>
        </w:rPr>
        <w:t>A020412</w:t>
      </w:r>
      <w:r>
        <w:rPr>
          <w:rFonts w:ascii="Times New Roman" w:hAnsi="Times New Roman" w:cs="Times New Roman" w:eastAsia="Times New Roman" w:hint="ascii"/>
          <w:sz w:val="18"/>
          <w:spacing w:val="45"/>
        </w:rPr>
        <w:t xml:space="preserve"> </w:t>
      </w:r>
      <w:r>
        <w:rPr>
          <w:rFonts w:ascii="宋体" w:hAnsi="宋体" w:cs="宋体" w:eastAsia="宋体" w:hint="ascii"/>
          <w:sz w:val="18"/>
        </w:rPr>
        <w:t>交通流与颗粒流</w:t>
      </w:r>
      <w:r>
        <w:rPr>
          <w:rFonts w:ascii="Times New Roman" w:hAnsi="Times New Roman" w:cs="Times New Roman" w:eastAsia="Times New Roman" w:hint="ascii"/>
          <w:sz w:val="18"/>
        </w:rPr>
        <w:t>A020413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电磁与多场耦合流体</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力学</w:t>
      </w:r>
    </w:p>
    <w:p>
      <w:pPr>
        <w:autoSpaceDE w:val="0"/>
        <w:autoSpaceDN w:val="0"/>
        <w:jc w:val="left"/>
        <w:spacing w:before="5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A020414</w:t>
      </w:r>
      <w:r>
        <w:rPr>
          <w:rFonts w:ascii="Times New Roman" w:hAnsi="Times New Roman" w:cs="Times New Roman" w:eastAsia="Times New Roman" w:hint="ascii"/>
          <w:sz w:val="18"/>
          <w:spacing w:val="45"/>
        </w:rPr>
        <w:t xml:space="preserve"> </w:t>
      </w:r>
      <w:r>
        <w:rPr>
          <w:rFonts w:ascii="宋体" w:hAnsi="宋体" w:cs="宋体" w:eastAsia="宋体" w:hint="ascii"/>
          <w:sz w:val="18"/>
        </w:rPr>
        <w:t>实验流体力学</w:t>
      </w:r>
    </w:p>
    <w:p>
      <w:pPr>
        <w:autoSpaceDE w:val="0"/>
        <w:autoSpaceDN w:val="0"/>
        <w:jc w:val="left"/>
        <w:spacing w:before="309" w:after="0" w:lineRule="exact" w:line="225"/>
        <w:ind w:right="0" w:left="2648" w:firstLine="0"/>
        <w:snapToGrid w:val="0"/>
        <w:textAlignment w:val="auto"/>
        <w:tabs/>
        <w:sectPr>
          <w:type w:val="continuous"/>
          <w:pgSz w:w="10940" w:h="15080" w:orient="portrait"/>
          <w:pgMar w:top="508" w:right="508" w:bottom="508" w:left="508" w:header="0" w:footer="0" w:gutter="0"/>
          <w:cols w:num="2" w:space="0" w:equalWidth="0">
            <w:col w:w="4737" w:space="946"/>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A020415</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计算流体力学</w:t>
      </w:r>
      <w:r>
        <w:rPr>
          <w:rFonts w:ascii="宋体" w:hAnsi="宋体" w:cs="宋体" w:eastAsia="宋体" w:hint="ascii"/>
          <w:sz w:val="18"/>
        </w:rPr>
        <mc:AlternateContent>
          <mc:Choice Requires="wps">
            <w:drawing>
              <wp:anchor distL="0" distR="0" distT="0" distB="0" simplePos="0" behindDoc="1" relativeHeight="335" locked="0" layoutInCell="1" allowOverlap="1">
                <wp:simplePos x="0" y="0"/>
                <wp:positionH relativeFrom="page">
                  <wp:posOffset>938530</wp:posOffset>
                </wp:positionH>
                <wp:positionV relativeFrom="page">
                  <wp:posOffset>805815</wp:posOffset>
                </wp:positionV>
                <wp:extent cx="5076190" cy="0"/>
                <wp:wrapNone/>
                <wp:docPr id="1362" name="136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15200;width:399.70pt;" id="136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生物力学</w:t>
      </w:r>
    </w:p>
    <w:p>
      <w:pPr>
        <w:autoSpaceDE w:val="0"/>
        <w:autoSpaceDN w:val="0"/>
        <w:jc w:val="both"/>
        <w:spacing w:before="63"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组织与器官系统力学</w:t>
      </w:r>
      <w:r>
        <w:rPr>
          <w:rFonts w:ascii="Times New Roman" w:hAnsi="Times New Roman" w:cs="Times New Roman" w:eastAsia="Times New Roman" w:hint="ascii"/>
          <w:sz w:val="18"/>
        </w:rPr>
        <w:t>A020502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细胞、亚细胞、生物</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大分子力学</w:t>
      </w:r>
    </w:p>
    <w:p>
      <w:pPr>
        <w:autoSpaceDE w:val="0"/>
        <w:autoSpaceDN w:val="0"/>
        <w:jc w:val="left"/>
        <w:spacing w:before="5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仿生、生物材料与运</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动生物力学</w:t>
      </w:r>
    </w:p>
    <w:p>
      <w:pPr>
        <w:autoSpaceDE w:val="0"/>
        <w:autoSpaceDN w:val="0"/>
        <w:jc w:val="left"/>
        <w:spacing w:before="5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爆炸与冲击动力学</w:t>
      </w:r>
    </w:p>
    <w:p>
      <w:pPr>
        <w:autoSpaceDE w:val="0"/>
        <w:autoSpaceDN w:val="0"/>
        <w:jc w:val="left"/>
        <w:spacing w:before="63" w:after="0" w:lineRule="auto" w:line="309"/>
        <w:ind w:right="275"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A020601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爆炸力学</w:t>
      </w:r>
      <w:r>
        <w:rPr>
          <w:rFonts w:ascii="Times New Roman" w:hAnsi="Times New Roman" w:cs="Times New Roman" w:eastAsia="Times New Roman" w:hint="ascii"/>
          <w:sz w:val="18"/>
        </w:rPr>
        <w:t>A020602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冲击动力学</w:t>
      </w:r>
    </w:p>
    <w:p>
      <w:pPr>
        <w:autoSpaceDE w:val="0"/>
        <w:autoSpaceDN w:val="0"/>
        <w:jc w:val="left"/>
        <w:spacing w:before="0" w:after="0" w:lineRule="auto" w:line="234"/>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A03</w:t>
      </w:r>
      <w:r>
        <w:rPr>
          <w:rFonts w:ascii="Times New Roman" w:hAnsi="Times New Roman" w:cs="Times New Roman" w:eastAsia="Times New Roman" w:hint="ascii"/>
          <w:b w:val="1"/>
          <w:spacing w:val="60"/>
        </w:rPr>
        <w:t xml:space="preserve"> </w:t>
      </w:r>
      <w:r>
        <w:rPr>
          <w:rFonts w:ascii="宋体" w:hAnsi="宋体" w:cs="宋体" w:eastAsia="宋体" w:hint="ascii"/>
        </w:rPr>
        <w:t>天文学</w:t>
      </w:r>
    </w:p>
    <w:p>
      <w:pPr>
        <w:autoSpaceDE w:val="0"/>
        <w:autoSpaceDN w:val="0"/>
        <w:jc w:val="left"/>
        <w:spacing w:before="9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宇宙学</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宇宙学模型和参数、</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早期宇宙</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宇宙结构的形成和演</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化及观测宇宙学</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宇宙暗物质和暗能量</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星系和类星体</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银河系</w:t>
      </w:r>
    </w:p>
    <w:p>
      <w:pPr>
        <w:autoSpaceDE w:val="0"/>
        <w:autoSpaceDN w:val="0"/>
        <w:jc w:val="both"/>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A030202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星系形成、结构和演</w:t>
      </w:r>
      <w:r>
        <w:rPr>
          <w:rFonts w:ascii="宋体" w:hAnsi="宋体" w:cs="宋体" w:eastAsia="宋体" w:hint="ascii"/>
          <w:sz w:val="18"/>
        </w:rPr>
        <w:t>化</w:t>
      </w:r>
      <w:r>
        <w:rPr>
          <w:rFonts w:ascii="Times New Roman" w:hAnsi="Times New Roman" w:cs="Times New Roman" w:eastAsia="Times New Roman" w:hint="ascii"/>
          <w:sz w:val="18"/>
        </w:rPr>
        <w:t>A030203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星系相互作用和并</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合；活动星系核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恒星与星际物质</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恒星结构和演化与恒</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星大气</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变星和激变变星、双</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星和多星系统</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A030303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恒星形成与早期演化</w:t>
      </w:r>
      <w:r>
        <w:rPr>
          <w:rFonts w:ascii="宋体" w:hAnsi="宋体" w:cs="宋体" w:eastAsia="宋体" w:hint="ascii"/>
          <w:sz w:val="18"/>
        </w:rPr>
        <w:t>、</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10"/>
        </w:rPr>
        <w:t>星际介质和星际分</w:t>
      </w:r>
      <w:r>
        <w:rPr>
          <w:rFonts w:ascii="宋体" w:hAnsi="宋体" w:cs="宋体" w:eastAsia="宋体" w:hint="ascii"/>
          <w:sz w:val="18"/>
        </w:rPr>
        <w:t>子</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晚期演化和致密天体</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及其相关高能过程</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太阳系外行星系统</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太阳和太阳系</w:t>
      </w:r>
    </w:p>
    <w:p>
      <w:pPr>
        <w:autoSpaceDE w:val="0"/>
        <w:autoSpaceDN w:val="0"/>
        <w:jc w:val="right"/>
        <w:spacing w:before="17" w:after="0" w:lineRule="exact" w:line="287"/>
        <w:ind w:right="0" w:left="211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A030401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太阳磁场和太阳发电</w:t>
      </w:r>
      <w:r>
        <w:rPr>
          <w:rFonts w:ascii="宋体" w:hAnsi="宋体" w:cs="宋体" w:eastAsia="宋体" w:hint="ascii"/>
          <w:sz w:val="18"/>
        </w:rPr>
        <w:t>机</w:t>
      </w:r>
      <w:r>
        <w:rPr>
          <w:rFonts w:ascii="Times New Roman" w:hAnsi="Times New Roman" w:cs="Times New Roman" w:eastAsia="Times New Roman" w:hint="ascii"/>
          <w:sz w:val="18"/>
        </w:rPr>
        <w:t>A030402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太阳日冕物质抛射、</w:t>
      </w:r>
      <w:r>
        <w:rPr>
          <w:rFonts w:ascii="宋体" w:hAnsi="宋体" w:cs="宋体" w:eastAsia="宋体" w:hint="ascii"/>
          <w:sz w:val="18"/>
          <w:spacing w:val="-8"/>
        </w:rPr>
        <w:t>耀斑、日珥和其他活</w:t>
      </w:r>
      <w:r>
        <w:rPr>
          <w:rFonts w:ascii="宋体" w:hAnsi="宋体" w:cs="宋体" w:eastAsia="宋体" w:hint="ascii"/>
          <w:sz w:val="18"/>
        </w:rPr>
        <w:t>动</w:t>
      </w:r>
    </w:p>
    <w:p>
      <w:pPr>
        <w:autoSpaceDE w:val="0"/>
        <w:autoSpaceDN w:val="0"/>
        <w:jc w:val="left"/>
        <w:spacing w:before="4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日震学和太阳内部结</w:t>
      </w:r>
    </w:p>
    <w:p>
      <w:pPr>
        <w:autoSpaceDE w:val="0"/>
        <w:autoSpaceDN w:val="0"/>
        <w:jc w:val="both"/>
        <w:spacing w:before="19" w:after="0" w:lineRule="exact" w:line="286"/>
        <w:ind w:right="36" w:left="3096" w:firstLine="0"/>
        <w:snapToGrid w:val="0"/>
        <w:textAlignment w:val="auto"/>
        <w:tabs/>
        <w:rPr>
          <w:rFonts w:ascii="宋体" w:hAnsi="宋体" w:cs="宋体" w:eastAsia="宋体" w:hint="ascii"/>
          <w:sz w:val="18"/>
        </w:rPr>
      </w:pPr>
      <w:r>
        <w:rPr>
          <w:rFonts w:ascii="宋体" w:hAnsi="宋体" w:cs="宋体" w:eastAsia="宋体" w:hint="ascii"/>
          <w:sz w:val="18"/>
          <w:spacing w:val="-1"/>
        </w:rPr>
        <w:t>构；太阳黑子</w:t>
      </w:r>
      <w:r>
        <w:rPr>
          <w:rFonts w:ascii="宋体" w:hAnsi="宋体" w:cs="宋体" w:eastAsia="宋体" w:hint="ascii"/>
          <w:sz w:val="18"/>
        </w:rPr>
        <w:t>和太阳活动周期变化</w:t>
      </w:r>
    </w:p>
    <w:p>
      <w:pPr>
        <w:autoSpaceDE w:val="0"/>
        <w:autoSpaceDN w:val="0"/>
        <w:jc w:val="left"/>
        <w:spacing w:before="4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太阳系的起源和演化</w:t>
      </w:r>
    </w:p>
    <w:p>
      <w:pPr>
        <w:autoSpaceDE w:val="0"/>
        <w:autoSpaceDN w:val="0"/>
        <w:jc w:val="both"/>
        <w:spacing w:before="19" w:after="0" w:lineRule="exact" w:line="286"/>
        <w:ind w:right="36" w:left="3096" w:firstLine="0"/>
        <w:snapToGrid w:val="0"/>
        <w:textAlignment w:val="auto"/>
        <w:tabs/>
        <w:rPr>
          <w:rFonts w:ascii="宋体" w:hAnsi="宋体" w:cs="宋体" w:eastAsia="宋体" w:hint="ascii"/>
          <w:sz w:val="18"/>
        </w:rPr>
      </w:pPr>
      <w:r>
        <w:rPr>
          <w:rFonts w:ascii="宋体" w:hAnsi="宋体" w:cs="宋体" w:eastAsia="宋体" w:hint="ascii"/>
          <w:sz w:val="18"/>
          <w:spacing w:val="-1"/>
        </w:rPr>
        <w:t>及太阳系中行</w:t>
      </w:r>
      <w:r>
        <w:rPr>
          <w:rFonts w:ascii="宋体" w:hAnsi="宋体" w:cs="宋体" w:eastAsia="宋体" w:hint="ascii"/>
          <w:sz w:val="18"/>
        </w:rPr>
        <w:t>星、卫星和其他小天体</w:t>
      </w:r>
    </w:p>
    <w:p>
      <w:pPr>
        <w:autoSpaceDE w:val="0"/>
        <w:autoSpaceDN w:val="0"/>
        <w:jc w:val="left"/>
        <w:spacing w:before="357"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254</w:t>
      </w:r>
      <w:r>
        <w:rPr>
          <w:rFonts w:ascii="宋体" w:hAnsi="宋体" w:cs="宋体" w:eastAsia="宋体" w:hint="ascii"/>
          <w:sz w:val="18"/>
        </w:rPr>
        <w:t>·</w:t>
      </w:r>
    </w:p>
    <w:p>
      <w:pPr>
        <w:autoSpaceDE w:val="0"/>
        <w:autoSpaceDN w:val="0"/>
        <w:jc w:val="left"/>
        <w:spacing w:before="354" w:after="0" w:lineRule="auto" w:line="240"/>
        <w:ind w:right="0"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A030405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太阳爆发活动对日地</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空间天气的影响</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天体中基本物理过程的理论和</w:t>
      </w:r>
    </w:p>
    <w:p>
      <w:pPr>
        <w:autoSpaceDE w:val="0"/>
        <w:autoSpaceDN w:val="0"/>
        <w:jc w:val="left"/>
        <w:spacing w:before="6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实验</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天文中基本物理过程</w:t>
      </w:r>
    </w:p>
    <w:p>
      <w:pPr>
        <w:autoSpaceDE w:val="0"/>
        <w:autoSpaceDN w:val="0"/>
        <w:jc w:val="both"/>
        <w:spacing w:before="19" w:after="0" w:lineRule="exact" w:line="286"/>
        <w:ind w:right="1131" w:left="2130" w:firstLine="0"/>
        <w:snapToGrid w:val="0"/>
        <w:textAlignment w:val="auto"/>
        <w:tabs/>
        <w:rPr>
          <w:rFonts w:ascii="宋体" w:hAnsi="宋体" w:cs="宋体" w:eastAsia="宋体" w:hint="ascii"/>
          <w:sz w:val="18"/>
        </w:rPr>
      </w:pPr>
      <w:r>
        <w:rPr>
          <w:rFonts w:ascii="宋体" w:hAnsi="宋体" w:cs="宋体" w:eastAsia="宋体" w:hint="ascii"/>
          <w:sz w:val="18"/>
          <w:spacing w:val="-1"/>
        </w:rPr>
        <w:t>和天体辐射过</w:t>
      </w:r>
      <w:r>
        <w:rPr>
          <w:rFonts w:ascii="宋体" w:hAnsi="宋体" w:cs="宋体" w:eastAsia="宋体" w:hint="ascii"/>
          <w:sz w:val="18"/>
        </w:rPr>
        <w:t>程的理论和实验</w:t>
      </w:r>
    </w:p>
    <w:p>
      <w:pPr>
        <w:autoSpaceDE w:val="0"/>
        <w:autoSpaceDN w:val="0"/>
        <w:jc w:val="left"/>
        <w:spacing w:before="4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实验室天体物理</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天体测量和天文地球动力学</w:t>
      </w:r>
    </w:p>
    <w:p>
      <w:pPr>
        <w:autoSpaceDE w:val="0"/>
        <w:autoSpaceDN w:val="0"/>
        <w:jc w:val="left"/>
        <w:spacing w:before="67" w:after="0" w:lineRule="auto" w:line="314"/>
        <w:ind w:right="11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天文参考系及星表</w:t>
      </w:r>
      <w:r>
        <w:rPr>
          <w:rFonts w:ascii="Times New Roman" w:hAnsi="Times New Roman" w:cs="Times New Roman" w:eastAsia="Times New Roman" w:hint="ascii"/>
          <w:sz w:val="18"/>
        </w:rPr>
        <w:t>A030602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相对论天体测量</w:t>
      </w:r>
      <w:r>
        <w:rPr>
          <w:rFonts w:ascii="Times New Roman" w:hAnsi="Times New Roman" w:cs="Times New Roman" w:eastAsia="Times New Roman" w:hint="ascii"/>
          <w:sz w:val="18"/>
          <w:spacing w:val="-1"/>
        </w:rPr>
        <w:t>A030603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天</w:t>
      </w:r>
      <w:r>
        <w:rPr>
          <w:rFonts w:ascii="宋体" w:hAnsi="宋体" w:cs="宋体" w:eastAsia="宋体" w:hint="ascii"/>
          <w:sz w:val="18"/>
        </w:rPr>
        <w:t>文地球动力学及天</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体测量学的应用</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时间与频率</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天体力学和人造卫星动力学</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人造天体、太阳系小</w:t>
      </w:r>
    </w:p>
    <w:p>
      <w:pPr>
        <w:autoSpaceDE w:val="0"/>
        <w:autoSpaceDN w:val="0"/>
        <w:jc w:val="both"/>
        <w:spacing w:before="17" w:after="0" w:lineRule="exact" w:line="287"/>
        <w:ind w:right="1131" w:left="2130" w:firstLine="0"/>
        <w:snapToGrid w:val="0"/>
        <w:textAlignment w:val="auto"/>
        <w:tabs/>
        <w:rPr>
          <w:rFonts w:ascii="宋体" w:hAnsi="宋体" w:cs="宋体" w:eastAsia="宋体" w:hint="ascii"/>
          <w:sz w:val="18"/>
        </w:rPr>
      </w:pPr>
      <w:r>
        <w:rPr>
          <w:rFonts w:ascii="宋体" w:hAnsi="宋体" w:cs="宋体" w:eastAsia="宋体" w:hint="ascii"/>
          <w:sz w:val="18"/>
          <w:spacing w:val="-1"/>
        </w:rPr>
        <w:t>天体、行星系</w:t>
      </w:r>
      <w:r>
        <w:rPr>
          <w:rFonts w:ascii="宋体" w:hAnsi="宋体" w:cs="宋体" w:eastAsia="宋体" w:hint="ascii"/>
          <w:sz w:val="18"/>
        </w:rPr>
        <w:t>统和恒星系统动力学</w:t>
      </w:r>
    </w:p>
    <w:p>
      <w:pPr>
        <w:autoSpaceDE w:val="0"/>
        <w:autoSpaceDN w:val="0"/>
        <w:jc w:val="left"/>
        <w:spacing w:before="4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A030702</w:t>
      </w:r>
      <w:r>
        <w:rPr>
          <w:rFonts w:ascii="Times New Roman" w:hAnsi="Times New Roman" w:cs="Times New Roman" w:eastAsia="Times New Roman" w:hint="ascii"/>
          <w:sz w:val="18"/>
          <w:spacing w:val="135"/>
        </w:rPr>
        <w:t xml:space="preserve"> </w:t>
      </w:r>
      <w:r>
        <w:rPr>
          <w:rFonts w:ascii="Times New Roman" w:hAnsi="Times New Roman" w:cs="Times New Roman" w:eastAsia="Times New Roman" w:hint="ascii"/>
          <w:sz w:val="18"/>
          <w:spacing w:val="45"/>
        </w:rPr>
        <w:t>N</w:t>
      </w:r>
      <w:r>
        <w:rPr>
          <w:rFonts w:ascii="宋体" w:hAnsi="宋体" w:cs="宋体" w:eastAsia="宋体" w:hint="ascii"/>
          <w:sz w:val="18"/>
        </w:rPr>
        <w:t>体问题、非线性和</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相对论天体力学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天文技术和方法</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光学、紫外和红外天</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文技术与方法</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射电、毫米波和亚毫</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米波天文技术与方法</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高能天体物理技术方</w:t>
      </w:r>
    </w:p>
    <w:p>
      <w:pPr>
        <w:autoSpaceDE w:val="0"/>
        <w:autoSpaceDN w:val="0"/>
        <w:jc w:val="both"/>
        <w:spacing w:before="19" w:after="0" w:lineRule="exact" w:line="286"/>
        <w:ind w:right="1131" w:left="2130" w:firstLine="0"/>
        <w:snapToGrid w:val="0"/>
        <w:textAlignment w:val="auto"/>
        <w:tabs/>
        <w:rPr>
          <w:rFonts w:ascii="宋体" w:hAnsi="宋体" w:cs="宋体" w:eastAsia="宋体" w:hint="ascii"/>
          <w:sz w:val="18"/>
        </w:rPr>
      </w:pPr>
      <w:r>
        <w:rPr>
          <w:rFonts w:ascii="宋体" w:hAnsi="宋体" w:cs="宋体" w:eastAsia="宋体" w:hint="ascii"/>
          <w:sz w:val="18"/>
          <w:spacing w:val="-1"/>
        </w:rPr>
        <w:t>法和空间天文</w:t>
      </w:r>
      <w:r>
        <w:rPr>
          <w:rFonts w:ascii="宋体" w:hAnsi="宋体" w:cs="宋体" w:eastAsia="宋体" w:hint="ascii"/>
          <w:sz w:val="18"/>
        </w:rPr>
        <w:t>技术与方法</w:t>
      </w:r>
    </w:p>
    <w:p>
      <w:pPr>
        <w:autoSpaceDE w:val="0"/>
        <w:autoSpaceDN w:val="0"/>
        <w:jc w:val="left"/>
        <w:spacing w:before="4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A030804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海量数据处理及数值</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模拟天文技术与方法</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中、西方天文学史</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A0310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天文学同其他学科的交叉</w:t>
      </w:r>
    </w:p>
    <w:p>
      <w:pPr>
        <w:autoSpaceDE w:val="0"/>
        <w:autoSpaceDN w:val="0"/>
        <w:jc w:val="left"/>
        <w:spacing w:before="58" w:after="0" w:lineRule="auto" w:line="240"/>
        <w:ind w:right="0" w:left="0" w:firstLine="0"/>
        <w:snapToGrid w:val="0"/>
        <w:textAlignment w:val="auto"/>
        <w:tabs/>
        <w:rPr>
          <w:rFonts w:ascii="宋体" w:hAnsi="宋体" w:cs="宋体" w:eastAsia="宋体" w:hint="ascii"/>
          <w:b w:val="1"/>
        </w:rPr>
      </w:pPr>
      <w:r>
        <w:rPr>
          <w:rFonts w:ascii="Times New Roman" w:hAnsi="Times New Roman" w:cs="Times New Roman" w:eastAsia="Times New Roman" w:hint="ascii"/>
          <w:b w:val="1"/>
        </w:rPr>
        <w:t>A04</w:t>
      </w:r>
      <w:r>
        <w:rPr>
          <w:rFonts w:ascii="Times New Roman" w:hAnsi="Times New Roman" w:cs="Times New Roman" w:eastAsia="Times New Roman" w:hint="ascii"/>
          <w:b w:val="1"/>
          <w:spacing w:val="60"/>
        </w:rPr>
        <w:t xml:space="preserve"> </w:t>
      </w:r>
      <w:r>
        <w:rPr>
          <w:rFonts w:ascii="宋体" w:hAnsi="宋体" w:cs="宋体" w:eastAsia="宋体" w:hint="ascii"/>
        </w:rPr>
        <w:t>物理学</w:t>
      </w:r>
      <w:r>
        <w:rPr>
          <w:rFonts w:ascii="宋体" w:hAnsi="宋体" w:cs="宋体" w:eastAsia="宋体" w:hint="ascii"/>
          <w:b w:val="1"/>
        </w:rPr>
        <w:t>Ⅰ</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凝聚态物性</w:t>
      </w:r>
      <w:r>
        <w:rPr>
          <w:rFonts w:ascii="宋体" w:hAnsi="宋体" w:cs="宋体" w:eastAsia="宋体" w:hint="ascii"/>
          <w:b w:val="1"/>
          <w:sz w:val="18"/>
        </w:rPr>
        <w:t>Ⅰ</w:t>
      </w:r>
      <w:r>
        <w:rPr>
          <w:rFonts w:ascii="宋体" w:hAnsi="宋体" w:cs="宋体" w:eastAsia="宋体" w:hint="ascii"/>
          <w:sz w:val="18"/>
        </w:rPr>
        <w:t>：结构、力学和</w:t>
      </w:r>
    </w:p>
    <w:p>
      <w:pPr>
        <w:autoSpaceDE w:val="0"/>
        <w:autoSpaceDN w:val="0"/>
        <w:jc w:val="left"/>
        <w:spacing w:before="68"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热学性质</w:t>
      </w:r>
    </w:p>
    <w:p>
      <w:pPr>
        <w:autoSpaceDE w:val="0"/>
        <w:autoSpaceDN w:val="0"/>
        <w:jc w:val="both"/>
        <w:spacing w:before="61" w:after="0" w:lineRule="auto" w:line="313"/>
        <w:ind w:right="11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A040101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固</w:t>
      </w:r>
      <w:r>
        <w:rPr>
          <w:rFonts w:ascii="宋体" w:hAnsi="宋体" w:cs="宋体" w:eastAsia="宋体" w:hint="ascii"/>
          <w:sz w:val="18"/>
          <w:spacing w:val="-10"/>
        </w:rPr>
        <w:t>体结构和人工微结</w:t>
      </w:r>
      <w:r>
        <w:rPr>
          <w:rFonts w:ascii="宋体" w:hAnsi="宋体" w:cs="宋体" w:eastAsia="宋体" w:hint="ascii"/>
          <w:sz w:val="18"/>
        </w:rPr>
        <w:t>构</w:t>
      </w:r>
      <w:r>
        <w:rPr>
          <w:rFonts w:ascii="Times New Roman" w:hAnsi="Times New Roman" w:cs="Times New Roman" w:eastAsia="Times New Roman" w:hint="ascii"/>
          <w:sz w:val="18"/>
          <w:spacing w:val="-1"/>
        </w:rPr>
        <w:t>A040102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软</w:t>
      </w:r>
      <w:r>
        <w:rPr>
          <w:rFonts w:ascii="宋体" w:hAnsi="宋体" w:cs="宋体" w:eastAsia="宋体" w:hint="ascii"/>
          <w:sz w:val="18"/>
        </w:rPr>
        <w:t>物质和液体的结构</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与性质</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凝聚态物质的力学、</w:t>
      </w:r>
    </w:p>
    <w:p>
      <w:pPr>
        <w:autoSpaceDE w:val="0"/>
        <w:autoSpaceDN w:val="0"/>
        <w:jc w:val="both"/>
        <w:spacing w:before="17" w:after="0" w:lineRule="exact" w:line="287"/>
        <w:ind w:right="1131" w:left="2130" w:firstLine="0"/>
        <w:snapToGrid w:val="0"/>
        <w:textAlignment w:val="auto"/>
        <w:tabs/>
        <w:rPr>
          <w:rFonts w:ascii="宋体" w:hAnsi="宋体" w:cs="宋体" w:eastAsia="宋体" w:hint="ascii"/>
          <w:sz w:val="18"/>
        </w:rPr>
      </w:pPr>
      <w:r>
        <w:rPr>
          <w:rFonts w:ascii="宋体" w:hAnsi="宋体" w:cs="宋体" w:eastAsia="宋体" w:hint="ascii"/>
          <w:sz w:val="18"/>
          <w:spacing w:val="-1"/>
        </w:rPr>
        <w:t>热学性质，相</w:t>
      </w:r>
      <w:r>
        <w:rPr>
          <w:rFonts w:ascii="宋体" w:hAnsi="宋体" w:cs="宋体" w:eastAsia="宋体" w:hint="ascii"/>
          <w:sz w:val="18"/>
        </w:rPr>
        <w:t>变和晶格动力学</w:t>
      </w:r>
    </w:p>
    <w:p>
      <w:pPr>
        <w:autoSpaceDE w:val="0"/>
        <w:autoSpaceDN w:val="0"/>
        <w:jc w:val="left"/>
        <w:spacing w:before="48" w:after="0" w:lineRule="auto" w:line="240"/>
        <w:ind w:right="0" w:left="1302" w:firstLine="0"/>
        <w:snapToGrid w:val="0"/>
        <w:textAlignment w:val="auto"/>
        <w:tabs/>
        <w:sectPr>
          <w:type w:val="continuous"/>
          <w:pgSz w:w="10940" w:h="15080" w:orient="portrait"/>
          <w:pgMar w:top="508" w:right="508" w:bottom="508" w:left="508" w:header="0" w:footer="0" w:gutter="0"/>
          <w:cols w:num="2" w:space="0" w:equalWidth="0">
            <w:col w:w="4752" w:space="292"/>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A040104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凝聚态物质的（非电</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子）输运性质</w:t>
      </w:r>
      <w:r>
        <w:rPr>
          <w:rFonts w:ascii="宋体" w:hAnsi="宋体" w:cs="宋体" w:eastAsia="宋体" w:hint="ascii"/>
          <w:sz w:val="18"/>
        </w:rPr>
        <mc:AlternateContent>
          <mc:Choice Requires="wps">
            <w:drawing>
              <wp:anchor distL="0" distR="0" distT="0" distB="0" simplePos="0" behindDoc="1" relativeHeight="336" locked="0" layoutInCell="1" allowOverlap="1">
                <wp:simplePos x="0" y="0"/>
                <wp:positionH relativeFrom="page">
                  <wp:posOffset>938530</wp:posOffset>
                </wp:positionH>
                <wp:positionV relativeFrom="page">
                  <wp:posOffset>819150</wp:posOffset>
                </wp:positionV>
                <wp:extent cx="5076190" cy="0"/>
                <wp:wrapNone/>
                <wp:docPr id="1363" name="136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14176;width:399.70pt;" id="136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56" w:after="0" w:lineRule="auto" w:line="30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A040105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薄膜和纳米结构的形</w:t>
      </w:r>
      <w:r>
        <w:rPr>
          <w:rFonts w:ascii="宋体" w:hAnsi="宋体" w:cs="宋体" w:eastAsia="宋体" w:hint="ascii"/>
          <w:sz w:val="18"/>
        </w:rPr>
        <w:t>成</w:t>
      </w:r>
      <w:r>
        <w:rPr>
          <w:rFonts w:ascii="Times New Roman" w:hAnsi="Times New Roman" w:cs="Times New Roman" w:eastAsia="Times New Roman" w:hint="ascii"/>
          <w:sz w:val="18"/>
        </w:rPr>
        <w:t>A040106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表面、薄膜和纳米结</w: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构的表征和分析</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表面、界面、介观系</w:t>
      </w:r>
    </w:p>
    <w:p>
      <w:pPr>
        <w:autoSpaceDE w:val="0"/>
        <w:autoSpaceDN w:val="0"/>
        <w:jc w:val="both"/>
        <w:spacing w:before="18" w:after="0" w:lineRule="exact" w:line="280"/>
        <w:ind w:right="36" w:left="3096" w:firstLine="0"/>
        <w:snapToGrid w:val="0"/>
        <w:textAlignment w:val="auto"/>
        <w:tabs/>
        <w:rPr>
          <w:rFonts w:ascii="宋体" w:hAnsi="宋体" w:cs="宋体" w:eastAsia="宋体" w:hint="ascii"/>
          <w:sz w:val="18"/>
        </w:rPr>
      </w:pPr>
      <w:r>
        <w:rPr>
          <w:rFonts w:ascii="宋体" w:hAnsi="宋体" w:cs="宋体" w:eastAsia="宋体" w:hint="ascii"/>
          <w:sz w:val="18"/>
          <w:spacing w:val="-1"/>
        </w:rPr>
        <w:t>统、纳米系统</w:t>
      </w:r>
      <w:r>
        <w:rPr>
          <w:rFonts w:ascii="宋体" w:hAnsi="宋体" w:cs="宋体" w:eastAsia="宋体" w:hint="ascii"/>
          <w:sz w:val="18"/>
        </w:rPr>
        <w:t>的非电子性质</w:t>
      </w:r>
    </w:p>
    <w:p>
      <w:pPr>
        <w:autoSpaceDE w:val="0"/>
        <w:autoSpaceDN w:val="0"/>
        <w:jc w:val="left"/>
        <w:spacing w:before="4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凝聚态物性</w:t>
      </w:r>
      <w:r>
        <w:rPr>
          <w:rFonts w:ascii="宋体" w:hAnsi="宋体" w:cs="宋体" w:eastAsia="宋体" w:hint="ascii"/>
          <w:b w:val="1"/>
          <w:sz w:val="18"/>
        </w:rPr>
        <w:t>Ⅱ</w:t>
      </w:r>
      <w:r>
        <w:rPr>
          <w:rFonts w:ascii="宋体" w:hAnsi="宋体" w:cs="宋体" w:eastAsia="宋体" w:hint="ascii"/>
          <w:sz w:val="18"/>
        </w:rPr>
        <w:t>：电子结构、电</w:t>
      </w:r>
    </w:p>
    <w:p>
      <w:pPr>
        <w:autoSpaceDE w:val="0"/>
        <w:autoSpaceDN w:val="0"/>
        <w:jc w:val="left"/>
        <w:spacing w:before="62"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学、磁学和光学性质</w:t>
      </w:r>
    </w:p>
    <w:p>
      <w:pPr>
        <w:autoSpaceDE w:val="0"/>
        <w:autoSpaceDN w:val="0"/>
        <w:jc w:val="left"/>
        <w:spacing w:before="55"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块体材料的电子态</w:t>
      </w:r>
      <w:r>
        <w:rPr>
          <w:rFonts w:ascii="Times New Roman" w:hAnsi="Times New Roman" w:cs="Times New Roman" w:eastAsia="Times New Roman" w:hint="ascii"/>
          <w:sz w:val="18"/>
        </w:rPr>
        <w:t>A040202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强关联电子系统</w:t>
      </w:r>
      <w:r>
        <w:rPr>
          <w:rFonts w:ascii="Times New Roman" w:hAnsi="Times New Roman" w:cs="Times New Roman" w:eastAsia="Times New Roman" w:hint="ascii"/>
          <w:sz w:val="18"/>
        </w:rPr>
        <w:t>A040203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电子输运过程：电</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导、光电导、磁电导</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表面、界面和低维系</w:t>
      </w:r>
    </w:p>
    <w:p>
      <w:pPr>
        <w:autoSpaceDE w:val="0"/>
        <w:autoSpaceDN w:val="0"/>
        <w:jc w:val="both"/>
        <w:spacing w:before="18" w:after="0" w:lineRule="exact" w:line="280"/>
        <w:ind w:right="36" w:left="3096" w:firstLine="0"/>
        <w:snapToGrid w:val="0"/>
        <w:textAlignment w:val="auto"/>
        <w:tabs/>
        <w:rPr>
          <w:rFonts w:ascii="宋体" w:hAnsi="宋体" w:cs="宋体" w:eastAsia="宋体" w:hint="ascii"/>
          <w:sz w:val="18"/>
        </w:rPr>
      </w:pPr>
      <w:r>
        <w:rPr>
          <w:rFonts w:ascii="宋体" w:hAnsi="宋体" w:cs="宋体" w:eastAsia="宋体" w:hint="ascii"/>
          <w:sz w:val="18"/>
          <w:spacing w:val="-1"/>
        </w:rPr>
        <w:t>统的电子结构</w:t>
      </w:r>
      <w:r>
        <w:rPr>
          <w:rFonts w:ascii="宋体" w:hAnsi="宋体" w:cs="宋体" w:eastAsia="宋体" w:hint="ascii"/>
          <w:sz w:val="18"/>
        </w:rPr>
        <w:t>及电学性质</w:t>
      </w:r>
    </w:p>
    <w:p>
      <w:pPr>
        <w:autoSpaceDE w:val="0"/>
        <w:autoSpaceDN w:val="0"/>
        <w:jc w:val="left"/>
        <w:spacing w:before="4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介观系统和人工微结</w:t>
      </w:r>
    </w:p>
    <w:p>
      <w:pPr>
        <w:autoSpaceDE w:val="0"/>
        <w:autoSpaceDN w:val="0"/>
        <w:jc w:val="both"/>
        <w:spacing w:before="18" w:after="0" w:lineRule="exact" w:line="280"/>
        <w:ind w:right="36" w:left="3096" w:firstLine="0"/>
        <w:snapToGrid w:val="0"/>
        <w:textAlignment w:val="auto"/>
        <w:tabs/>
        <w:rPr>
          <w:rFonts w:ascii="宋体" w:hAnsi="宋体" w:cs="宋体" w:eastAsia="宋体" w:hint="ascii"/>
          <w:sz w:val="18"/>
        </w:rPr>
      </w:pPr>
      <w:r>
        <w:rPr>
          <w:rFonts w:ascii="宋体" w:hAnsi="宋体" w:cs="宋体" w:eastAsia="宋体" w:hint="ascii"/>
          <w:sz w:val="18"/>
          <w:spacing w:val="-1"/>
        </w:rPr>
        <w:t>构的电子结构</w:t>
      </w:r>
      <w:r>
        <w:rPr>
          <w:rFonts w:ascii="宋体" w:hAnsi="宋体" w:cs="宋体" w:eastAsia="宋体" w:hint="ascii"/>
          <w:sz w:val="18"/>
        </w:rPr>
        <w:t>、光学和电学性质</w:t>
      </w:r>
    </w:p>
    <w:p>
      <w:pPr>
        <w:autoSpaceDE w:val="0"/>
        <w:autoSpaceDN w:val="0"/>
        <w:jc w:val="left"/>
        <w:spacing w:before="44" w:after="0" w:lineRule="auto" w:line="308"/>
        <w:ind w:right="275"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超导电性</w:t>
      </w:r>
      <w:r>
        <w:rPr>
          <w:rFonts w:ascii="Times New Roman" w:hAnsi="Times New Roman" w:cs="Times New Roman" w:eastAsia="Times New Roman" w:hint="ascii"/>
          <w:sz w:val="18"/>
        </w:rPr>
        <w:t>A040207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磁有序系统</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低维、介观和人工微</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结构的磁性</w:t>
      </w:r>
    </w:p>
    <w:p>
      <w:pPr>
        <w:autoSpaceDE w:val="0"/>
        <w:autoSpaceDN w:val="0"/>
        <w:jc w:val="left"/>
        <w:spacing w:before="5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A040209</w:t>
      </w:r>
      <w:r>
        <w:rPr>
          <w:rFonts w:ascii="Times New Roman" w:hAnsi="Times New Roman" w:cs="Times New Roman" w:eastAsia="Times New Roman" w:hint="ascii"/>
          <w:sz w:val="18"/>
          <w:spacing w:val="45"/>
        </w:rPr>
        <w:t xml:space="preserve"> </w:t>
      </w:r>
      <w:r>
        <w:rPr>
          <w:rFonts w:ascii="宋体" w:hAnsi="宋体" w:cs="宋体" w:eastAsia="宋体" w:hint="ascii"/>
          <w:sz w:val="18"/>
        </w:rPr>
        <w:t>介电、压电、热电和</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铁电性质</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A040210</w:t>
      </w:r>
      <w:r>
        <w:rPr>
          <w:rFonts w:ascii="Times New Roman" w:hAnsi="Times New Roman" w:cs="Times New Roman" w:eastAsia="Times New Roman" w:hint="ascii"/>
          <w:sz w:val="18"/>
          <w:spacing w:val="45"/>
        </w:rPr>
        <w:t xml:space="preserve"> </w:t>
      </w:r>
      <w:r>
        <w:rPr>
          <w:rFonts w:ascii="宋体" w:hAnsi="宋体" w:cs="宋体" w:eastAsia="宋体" w:hint="ascii"/>
          <w:sz w:val="18"/>
        </w:rPr>
        <w:t>凝聚态物质的光学和</w:t>
      </w:r>
    </w:p>
    <w:p>
      <w:pPr>
        <w:autoSpaceDE w:val="0"/>
        <w:autoSpaceDN w:val="0"/>
        <w:jc w:val="both"/>
        <w:spacing w:before="18" w:after="0" w:lineRule="exact" w:line="280"/>
        <w:ind w:right="36" w:left="3096" w:firstLine="0"/>
        <w:snapToGrid w:val="0"/>
        <w:textAlignment w:val="auto"/>
        <w:tabs/>
        <w:rPr>
          <w:rFonts w:ascii="宋体" w:hAnsi="宋体" w:cs="宋体" w:eastAsia="宋体" w:hint="ascii"/>
          <w:sz w:val="18"/>
        </w:rPr>
      </w:pPr>
      <w:r>
        <w:rPr>
          <w:rFonts w:ascii="宋体" w:hAnsi="宋体" w:cs="宋体" w:eastAsia="宋体" w:hint="ascii"/>
          <w:sz w:val="18"/>
          <w:spacing w:val="-1"/>
        </w:rPr>
        <w:t>波谱学、物质</w:t>
      </w:r>
      <w:r>
        <w:rPr>
          <w:rFonts w:ascii="宋体" w:hAnsi="宋体" w:cs="宋体" w:eastAsia="宋体" w:hint="ascii"/>
          <w:sz w:val="18"/>
        </w:rPr>
        <w:t>与粒子的相互作用和辐射</w:t>
      </w:r>
    </w:p>
    <w:p>
      <w:pPr>
        <w:autoSpaceDE w:val="0"/>
        <w:autoSpaceDN w:val="0"/>
        <w:jc w:val="left"/>
        <w:spacing w:before="4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极端条件下的凝聚态</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物理</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A040212</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量子计算中的凝聚态</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物理问题</w:t>
      </w:r>
    </w:p>
    <w:p>
      <w:pPr>
        <w:autoSpaceDE w:val="0"/>
        <w:autoSpaceDN w:val="0"/>
        <w:jc w:val="left"/>
        <w:spacing w:before="5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A040213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8"/>
        </w:rPr>
        <w:t>软物质、有机和生</w:t>
      </w:r>
      <w:r>
        <w:rPr>
          <w:rFonts w:ascii="宋体" w:hAnsi="宋体" w:cs="宋体" w:eastAsia="宋体" w:hint="ascii"/>
          <w:sz w:val="18"/>
        </w:rPr>
        <w:t>物</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9"/>
        </w:rPr>
        <w:t>材料的电子结</w:t>
      </w:r>
      <w:r>
        <w:rPr>
          <w:rFonts w:ascii="宋体" w:hAnsi="宋体" w:cs="宋体" w:eastAsia="宋体" w:hint="ascii"/>
          <w:sz w:val="18"/>
          <w:spacing w:val="-8"/>
        </w:rPr>
        <w:t>构和物</w:t>
      </w:r>
      <w:r>
        <w:rPr>
          <w:rFonts w:ascii="宋体" w:hAnsi="宋体" w:cs="宋体" w:eastAsia="宋体" w:hint="ascii"/>
          <w:sz w:val="18"/>
        </w:rPr>
        <w:t>理</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A040214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生命现象中的凝聚态</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物理问题</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A040215</w:t>
      </w:r>
      <w:r>
        <w:rPr>
          <w:rFonts w:ascii="Times New Roman" w:hAnsi="Times New Roman" w:cs="Times New Roman" w:eastAsia="Times New Roman" w:hint="ascii"/>
          <w:sz w:val="18"/>
          <w:spacing w:val="45"/>
        </w:rPr>
        <w:t xml:space="preserve"> </w:t>
      </w:r>
      <w:r>
        <w:rPr>
          <w:rFonts w:ascii="宋体" w:hAnsi="宋体" w:cs="宋体" w:eastAsia="宋体" w:hint="ascii"/>
          <w:sz w:val="18"/>
        </w:rPr>
        <w:t>凝聚态物理中的新效</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应及其他问题</w:t>
      </w:r>
    </w:p>
    <w:p>
      <w:pPr>
        <w:autoSpaceDE w:val="0"/>
        <w:autoSpaceDN w:val="0"/>
        <w:jc w:val="left"/>
        <w:spacing w:before="5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原子和分子物理</w:t>
      </w:r>
    </w:p>
    <w:p>
      <w:pPr>
        <w:autoSpaceDE w:val="0"/>
        <w:autoSpaceDN w:val="0"/>
        <w:jc w:val="both"/>
        <w:spacing w:before="61"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原子和分子结构理论</w:t>
      </w:r>
      <w:r>
        <w:rPr>
          <w:rFonts w:ascii="Times New Roman" w:hAnsi="Times New Roman" w:cs="Times New Roman" w:eastAsia="Times New Roman" w:hint="ascii"/>
          <w:sz w:val="18"/>
        </w:rPr>
        <w:t>A040302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原子、分子、光子相</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互作用与光谱</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原子分子碰撞过程及</w:t>
      </w:r>
    </w:p>
    <w:p>
      <w:pPr>
        <w:autoSpaceDE w:val="0"/>
        <w:autoSpaceDN w:val="0"/>
        <w:jc w:val="left"/>
        <w:spacing w:before="32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宋体" w:hAnsi="宋体" w:cs="宋体" w:eastAsia="宋体" w:hint="ascii"/>
          <w:sz w:val="18"/>
        </w:rPr>
        <w:t>相互作用</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大分子、团簇与特殊</w:t>
      </w:r>
    </w:p>
    <w:p>
      <w:pPr>
        <w:autoSpaceDE w:val="0"/>
        <w:autoSpaceDN w:val="0"/>
        <w:jc w:val="left"/>
        <w:spacing w:before="6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原子分子性质</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极端条件下的原子分</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子物理</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外场中的原子分子性</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质及其操控</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量子信息中的原子分</w:t>
      </w:r>
    </w:p>
    <w:p>
      <w:pPr>
        <w:autoSpaceDE w:val="0"/>
        <w:autoSpaceDN w:val="0"/>
        <w:jc w:val="left"/>
        <w:spacing w:before="6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子物理问题</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A040308</w:t>
      </w:r>
      <w:r>
        <w:rPr>
          <w:rFonts w:ascii="Times New Roman" w:hAnsi="Times New Roman" w:cs="Times New Roman" w:eastAsia="Times New Roman" w:hint="ascii"/>
          <w:sz w:val="18"/>
          <w:spacing w:val="45"/>
        </w:rPr>
        <w:t xml:space="preserve"> </w:t>
      </w:r>
      <w:r>
        <w:rPr>
          <w:rFonts w:ascii="宋体" w:hAnsi="宋体" w:cs="宋体" w:eastAsia="宋体" w:hint="ascii"/>
          <w:sz w:val="18"/>
        </w:rPr>
        <w:t>与原子、分子有关的</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其他物理问题</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A040309</w:t>
      </w:r>
      <w:r>
        <w:rPr>
          <w:rFonts w:ascii="Times New Roman" w:hAnsi="Times New Roman" w:cs="Times New Roman" w:eastAsia="Times New Roman" w:hint="ascii"/>
          <w:sz w:val="18"/>
          <w:spacing w:val="45"/>
        </w:rPr>
        <w:t xml:space="preserve"> </w:t>
      </w:r>
      <w:r>
        <w:rPr>
          <w:rFonts w:ascii="宋体" w:hAnsi="宋体" w:cs="宋体" w:eastAsia="宋体" w:hint="ascii"/>
          <w:sz w:val="18"/>
        </w:rPr>
        <w:t>冷原子分子物理</w: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光学</w:t>
      </w:r>
    </w:p>
    <w:p>
      <w:pPr>
        <w:autoSpaceDE w:val="0"/>
        <w:autoSpaceDN w:val="0"/>
        <w:jc w:val="left"/>
        <w:spacing w:before="61" w:after="0" w:lineRule="auto" w:line="307"/>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光的传播和成像</w:t>
      </w:r>
      <w:r>
        <w:rPr>
          <w:rFonts w:ascii="Times New Roman" w:hAnsi="Times New Roman" w:cs="Times New Roman" w:eastAsia="Times New Roman" w:hint="ascii"/>
          <w:sz w:val="18"/>
          <w:spacing w:val="-1"/>
        </w:rPr>
        <w:t>A040402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信</w:t>
      </w:r>
      <w:r>
        <w:rPr>
          <w:rFonts w:ascii="宋体" w:hAnsi="宋体" w:cs="宋体" w:eastAsia="宋体" w:hint="ascii"/>
          <w:sz w:val="18"/>
          <w:spacing w:val="-10"/>
        </w:rPr>
        <w:t>息光学中的物理问</w:t>
      </w:r>
      <w:r>
        <w:rPr>
          <w:rFonts w:ascii="宋体" w:hAnsi="宋体" w:cs="宋体" w:eastAsia="宋体" w:hint="ascii"/>
          <w:sz w:val="18"/>
        </w:rPr>
        <w:t>题</w:t>
      </w:r>
      <w:r>
        <w:rPr>
          <w:rFonts w:ascii="Times New Roman" w:hAnsi="Times New Roman" w:cs="Times New Roman" w:eastAsia="Times New Roman" w:hint="ascii"/>
          <w:sz w:val="18"/>
          <w:spacing w:val="-1"/>
        </w:rPr>
        <w:t>A040403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光</w:t>
      </w:r>
      <w:r>
        <w:rPr>
          <w:rFonts w:ascii="宋体" w:hAnsi="宋体" w:cs="宋体" w:eastAsia="宋体" w:hint="ascii"/>
          <w:sz w:val="18"/>
        </w:rPr>
        <w:t>源、光学器件和光</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学系统中的物理问题</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纤维光学和集成光学</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中的物理问题</w:t>
      </w:r>
    </w:p>
    <w:p>
      <w:pPr>
        <w:autoSpaceDE w:val="0"/>
        <w:autoSpaceDN w:val="0"/>
        <w:jc w:val="left"/>
        <w:spacing w:before="55" w:after="0" w:lineRule="auto" w:line="307"/>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A040405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光</w:t>
      </w:r>
      <w:r>
        <w:rPr>
          <w:rFonts w:ascii="宋体" w:hAnsi="宋体" w:cs="宋体" w:eastAsia="宋体" w:hint="ascii"/>
          <w:sz w:val="18"/>
        </w:rPr>
        <w:t>与物质的相互作用</w:t>
      </w:r>
      <w:r>
        <w:rPr>
          <w:rFonts w:ascii="Times New Roman" w:hAnsi="Times New Roman" w:cs="Times New Roman" w:eastAsia="Times New Roman" w:hint="ascii"/>
          <w:sz w:val="18"/>
        </w:rPr>
        <w:t>A040406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超强、超快光物理</w:t>
      </w:r>
      <w:r>
        <w:rPr>
          <w:rFonts w:ascii="Times New Roman" w:hAnsi="Times New Roman" w:cs="Times New Roman" w:eastAsia="Times New Roman" w:hint="ascii"/>
          <w:sz w:val="18"/>
        </w:rPr>
        <w:t>A040407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微纳光学与光子学</w:t>
      </w:r>
      <w:r>
        <w:rPr>
          <w:rFonts w:ascii="Times New Roman" w:hAnsi="Times New Roman" w:cs="Times New Roman" w:eastAsia="Times New Roman" w:hint="ascii"/>
          <w:sz w:val="18"/>
          <w:spacing w:val="-1"/>
        </w:rPr>
        <w:t>A040408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量</w:t>
      </w:r>
      <w:r>
        <w:rPr>
          <w:rFonts w:ascii="宋体" w:hAnsi="宋体" w:cs="宋体" w:eastAsia="宋体" w:hint="ascii"/>
          <w:sz w:val="18"/>
        </w:rPr>
        <w:t>子光学和量子信息</w:t>
      </w:r>
      <w:r>
        <w:rPr>
          <w:rFonts w:ascii="Times New Roman" w:hAnsi="Times New Roman" w:cs="Times New Roman" w:eastAsia="Times New Roman" w:hint="ascii"/>
          <w:sz w:val="18"/>
        </w:rPr>
        <w:t>A040409</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非线性光学</w:t>
      </w:r>
    </w:p>
    <w:p>
      <w:pPr>
        <w:autoSpaceDE w:val="0"/>
        <w:autoSpaceDN w:val="0"/>
        <w:jc w:val="left"/>
        <w:spacing w:before="0" w:after="0" w:lineRule="auto" w:line="239"/>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A040410</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光学材料中物理问题</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及固体发光</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激光光谱学及高分辨</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高灵敏光谱方法</w:t>
      </w:r>
    </w:p>
    <w:p>
      <w:pPr>
        <w:autoSpaceDE w:val="0"/>
        <w:autoSpaceDN w:val="0"/>
        <w:jc w:val="left"/>
        <w:spacing w:before="55" w:after="0" w:lineRule="auto" w:line="240"/>
        <w:ind w:right="0" w:left="662" w:firstLine="0"/>
        <w:snapToGrid w:val="0"/>
        <w:textAlignment w:val="auto"/>
        <w:tabs/>
        <w:rPr>
          <w:rFonts w:ascii="Times New Roman" w:hAnsi="Times New Roman" w:cs="Times New Roman" w:eastAsia="Times New Roman" w:hint="ascii"/>
          <w:sz w:val="18"/>
        </w:rPr>
      </w:pPr>
      <w:r>
        <w:rPr>
          <w:rFonts w:ascii="Times New Roman" w:hAnsi="Times New Roman" w:cs="Times New Roman" w:eastAsia="Times New Roman" w:hint="ascii"/>
          <w:sz w:val="18"/>
        </w:rPr>
        <w:t>A040412</w:t>
      </w:r>
      <w:r>
        <w:rPr>
          <w:rFonts w:ascii="Times New Roman" w:hAnsi="Times New Roman" w:cs="Times New Roman" w:eastAsia="Times New Roman" w:hint="ascii"/>
          <w:sz w:val="18"/>
          <w:spacing w:val="135"/>
        </w:rPr>
        <w:t xml:space="preserve"> </w:t>
      </w:r>
      <w:r>
        <w:rPr>
          <w:rFonts w:ascii="Times New Roman" w:hAnsi="Times New Roman" w:cs="Times New Roman" w:eastAsia="Times New Roman" w:hint="ascii"/>
          <w:sz w:val="18"/>
          <w:spacing w:val="45"/>
        </w:rPr>
        <w:t>X</w:t>
      </w:r>
      <w:r>
        <w:rPr>
          <w:rFonts w:ascii="宋体" w:hAnsi="宋体" w:cs="宋体" w:eastAsia="宋体" w:hint="ascii"/>
          <w:sz w:val="18"/>
        </w:rPr>
        <w:t>射线、红外、</w:t>
      </w:r>
      <w:r>
        <w:rPr>
          <w:rFonts w:ascii="Times New Roman" w:hAnsi="Times New Roman" w:cs="Times New Roman" w:eastAsia="Times New Roman" w:hint="ascii"/>
          <w:sz w:val="18"/>
        </w:rPr>
        <w:t>THz</w:t>
      </w:r>
    </w:p>
    <w:p>
      <w:pPr>
        <w:autoSpaceDE w:val="0"/>
        <w:autoSpaceDN w:val="0"/>
        <w:jc w:val="left"/>
        <w:spacing w:before="6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物理</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A040413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光学在生命科学中的</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应用</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A040414</w:t>
      </w:r>
      <w:r>
        <w:rPr>
          <w:rFonts w:ascii="Times New Roman" w:hAnsi="Times New Roman" w:cs="Times New Roman" w:eastAsia="Times New Roman" w:hint="ascii"/>
          <w:sz w:val="18"/>
          <w:spacing w:val="45"/>
        </w:rPr>
        <w:t xml:space="preserve"> </w:t>
      </w:r>
      <w:r>
        <w:rPr>
          <w:rFonts w:ascii="宋体" w:hAnsi="宋体" w:cs="宋体" w:eastAsia="宋体" w:hint="ascii"/>
          <w:sz w:val="18"/>
        </w:rPr>
        <w:t>与光学有关的其他物</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理问题和交叉学科</w:t>
      </w:r>
    </w:p>
    <w:p>
      <w:pPr>
        <w:autoSpaceDE w:val="0"/>
        <w:autoSpaceDN w:val="0"/>
        <w:jc w:val="left"/>
        <w:spacing w:before="55"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声学</w:t>
      </w:r>
    </w:p>
    <w:p>
      <w:pPr>
        <w:autoSpaceDE w:val="0"/>
        <w:autoSpaceDN w:val="0"/>
        <w:jc w:val="left"/>
        <w:spacing w:before="62" w:after="0" w:lineRule="auto" w:line="306"/>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线性与非线性声学</w:t>
      </w:r>
      <w:r>
        <w:rPr>
          <w:rFonts w:ascii="Times New Roman" w:hAnsi="Times New Roman" w:cs="Times New Roman" w:eastAsia="Times New Roman" w:hint="ascii"/>
          <w:sz w:val="18"/>
          <w:spacing w:val="-1"/>
        </w:rPr>
        <w:t>A040502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声和海洋声学及空</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气动力声学</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超声学、量子声学和</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声学效应</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A040504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噪声、噪声效应及其</w:t>
      </w:r>
    </w:p>
    <w:p>
      <w:pPr>
        <w:autoSpaceDE w:val="0"/>
        <w:autoSpaceDN w:val="0"/>
        <w:jc w:val="left"/>
        <w:spacing w:before="6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控制</w:t>
      </w:r>
    </w:p>
    <w:p>
      <w:pPr>
        <w:autoSpaceDE w:val="0"/>
        <w:autoSpaceDN w:val="0"/>
        <w:jc w:val="left"/>
        <w:spacing w:before="59" w:after="0" w:lineRule="auto" w:line="240"/>
        <w:ind w:right="0" w:left="662" w:firstLine="0"/>
        <w:snapToGrid w:val="0"/>
        <w:textAlignment w:val="auto"/>
        <w:tabs/>
        <w:sectPr>
          <w:type w:val="continuous"/>
          <w:pgSz w:w="10940" w:h="15080" w:orient="portrait"/>
          <w:pgMar w:top="508" w:right="508" w:bottom="508" w:left="508" w:header="0" w:footer="0" w:gutter="0"/>
          <w:cols w:num="2" w:space="0" w:equalWidth="0">
            <w:col w:w="4752" w:space="931"/>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A040505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生理、心理声学和生</w:t>
      </w:r>
      <w:rPr>
        <w:rFonts w:ascii="宋体" w:hAnsi="宋体" w:cs="宋体" w:eastAsia="宋体" w:hint="ascii"/>
        <w:sz w:val="18"/>
      </w:rPr>
    </w:p>
    <w:p>
      <w:pPr>
        <w:autoSpaceDE w:val="0"/>
        <w:autoSpaceDN w:val="0"/>
        <w:jc w:val="left"/>
        <w:spacing w:before="388"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物声学</w:t>
      </w:r>
      <w:r>
        <w:rPr>
          <w:rFonts w:ascii="宋体" w:hAnsi="宋体" w:cs="宋体" w:eastAsia="宋体" w:hint="ascii"/>
          <w:sz w:val="18"/>
        </w:rPr>
        <mc:AlternateContent>
          <mc:Choice Requires="wps">
            <w:drawing>
              <wp:anchor distL="0" distR="0" distT="0" distB="0" simplePos="0" behindDoc="1" relativeHeight="337" locked="0" layoutInCell="1" allowOverlap="1">
                <wp:simplePos x="0" y="0"/>
                <wp:positionH relativeFrom="page">
                  <wp:posOffset>938530</wp:posOffset>
                </wp:positionH>
                <wp:positionV relativeFrom="page">
                  <wp:posOffset>805815</wp:posOffset>
                </wp:positionV>
                <wp:extent cx="5076190" cy="0"/>
                <wp:wrapNone/>
                <wp:docPr id="1364" name="136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13152;width:399.70pt;" id="136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A040506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语</w:t>
      </w:r>
      <w:r>
        <w:rPr>
          <w:rFonts w:ascii="宋体" w:hAnsi="宋体" w:cs="宋体" w:eastAsia="宋体" w:hint="ascii"/>
          <w:sz w:val="18"/>
        </w:rPr>
        <w:t>言声学、乐声及声</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学信号处理</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A040507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声</w:t>
      </w:r>
      <w:r>
        <w:rPr>
          <w:rFonts w:ascii="宋体" w:hAnsi="宋体" w:cs="宋体" w:eastAsia="宋体" w:hint="ascii"/>
          <w:sz w:val="18"/>
        </w:rPr>
        <w:t>学换能器、声学测</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量方法和声学材料</w: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A040508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信</w:t>
      </w:r>
      <w:r>
        <w:rPr>
          <w:rFonts w:ascii="宋体" w:hAnsi="宋体" w:cs="宋体" w:eastAsia="宋体" w:hint="ascii"/>
          <w:sz w:val="18"/>
          <w:spacing w:val="-10"/>
        </w:rPr>
        <w:t>息科学中的声学问</w:t>
      </w:r>
      <w:r>
        <w:rPr>
          <w:rFonts w:ascii="宋体" w:hAnsi="宋体" w:cs="宋体" w:eastAsia="宋体" w:hint="ascii"/>
          <w:sz w:val="18"/>
        </w:rPr>
        <w:t>题</w:t>
      </w:r>
      <w:r>
        <w:rPr>
          <w:rFonts w:ascii="Times New Roman" w:hAnsi="Times New Roman" w:cs="Times New Roman" w:eastAsia="Times New Roman" w:hint="ascii"/>
          <w:sz w:val="18"/>
        </w:rPr>
        <w:t>A040509</w:t>
      </w:r>
      <w:r>
        <w:rPr>
          <w:rFonts w:ascii="Times New Roman" w:hAnsi="Times New Roman" w:cs="Times New Roman" w:eastAsia="Times New Roman" w:hint="ascii"/>
          <w:sz w:val="18"/>
          <w:spacing w:val="45"/>
        </w:rPr>
        <w:t xml:space="preserve"> </w:t>
      </w:r>
      <w:r>
        <w:rPr>
          <w:rFonts w:ascii="宋体" w:hAnsi="宋体" w:cs="宋体" w:eastAsia="宋体" w:hint="ascii"/>
          <w:sz w:val="18"/>
        </w:rPr>
        <w:t>建筑声学与电声学</w:t>
      </w:r>
      <w:r>
        <w:rPr>
          <w:rFonts w:ascii="Times New Roman" w:hAnsi="Times New Roman" w:cs="Times New Roman" w:eastAsia="Times New Roman" w:hint="ascii"/>
          <w:sz w:val="18"/>
          <w:spacing w:val="-1"/>
        </w:rPr>
        <w:t>A040510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与</w:t>
      </w:r>
      <w:r>
        <w:rPr>
          <w:rFonts w:ascii="宋体" w:hAnsi="宋体" w:cs="宋体" w:eastAsia="宋体" w:hint="ascii"/>
          <w:sz w:val="18"/>
        </w:rPr>
        <w:t>声学有关的其他物</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理问题和交叉学科</w:t>
      </w:r>
    </w:p>
    <w:p>
      <w:pPr>
        <w:autoSpaceDE w:val="0"/>
        <w:autoSpaceDN w:val="0"/>
        <w:jc w:val="left"/>
        <w:spacing w:before="51" w:after="0" w:lineRule="auto" w:line="240"/>
        <w:ind w:right="0" w:left="966" w:firstLine="0"/>
        <w:snapToGrid w:val="0"/>
        <w:textAlignment w:val="auto"/>
        <w:tabs/>
        <w:rPr>
          <w:rFonts w:ascii="宋体" w:hAnsi="宋体" w:cs="宋体" w:eastAsia="宋体" w:hint="ascii"/>
          <w:b w:val="1"/>
        </w:rPr>
      </w:pPr>
      <w:r>
        <w:rPr>
          <w:rFonts w:ascii="Times New Roman" w:hAnsi="Times New Roman" w:cs="Times New Roman" w:eastAsia="Times New Roman" w:hint="ascii"/>
          <w:b w:val="1"/>
        </w:rPr>
        <w:t>A05</w:t>
      </w:r>
      <w:r>
        <w:rPr>
          <w:rFonts w:ascii="Times New Roman" w:hAnsi="Times New Roman" w:cs="Times New Roman" w:eastAsia="Times New Roman" w:hint="ascii"/>
          <w:b w:val="1"/>
          <w:spacing w:val="60"/>
        </w:rPr>
        <w:t xml:space="preserve"> </w:t>
      </w:r>
      <w:r>
        <w:rPr>
          <w:rFonts w:ascii="宋体" w:hAnsi="宋体" w:cs="宋体" w:eastAsia="宋体" w:hint="ascii"/>
        </w:rPr>
        <w:t>物理学</w:t>
      </w:r>
      <w:r>
        <w:rPr>
          <w:rFonts w:ascii="宋体" w:hAnsi="宋体" w:cs="宋体" w:eastAsia="宋体" w:hint="ascii"/>
          <w:b w:val="1"/>
        </w:rPr>
        <w:t>Ⅱ</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基础物理学</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物</w:t>
      </w:r>
      <w:r>
        <w:rPr>
          <w:rFonts w:ascii="宋体" w:hAnsi="宋体" w:cs="宋体" w:eastAsia="宋体" w:hint="ascii"/>
          <w:sz w:val="18"/>
        </w:rPr>
        <w:t>理学中的数学问题</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与计算方法</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经</w:t>
      </w:r>
      <w:r>
        <w:rPr>
          <w:rFonts w:ascii="宋体" w:hAnsi="宋体" w:cs="宋体" w:eastAsia="宋体" w:hint="ascii"/>
          <w:sz w:val="18"/>
        </w:rPr>
        <w:t>典物理及其唯象学</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研究</w:t>
      </w:r>
    </w:p>
    <w:p>
      <w:pPr>
        <w:autoSpaceDE w:val="0"/>
        <w:autoSpaceDN w:val="0"/>
        <w:jc w:val="both"/>
        <w:spacing w:before="61" w:after="0" w:lineRule="auto" w:line="314"/>
        <w:ind w:right="18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量</w:t>
      </w:r>
      <w:r>
        <w:rPr>
          <w:rFonts w:ascii="宋体" w:hAnsi="宋体" w:cs="宋体" w:eastAsia="宋体" w:hint="ascii"/>
          <w:sz w:val="18"/>
        </w:rPr>
        <w:t>子物理及其应用</w:t>
      </w:r>
      <w:r>
        <w:rPr>
          <w:rFonts w:ascii="Times New Roman" w:hAnsi="Times New Roman" w:cs="Times New Roman" w:eastAsia="Times New Roman" w:hint="ascii"/>
          <w:sz w:val="18"/>
        </w:rPr>
        <w:t>A050104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量子信息学</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统</w:t>
      </w:r>
      <w:r>
        <w:rPr>
          <w:rFonts w:ascii="宋体" w:hAnsi="宋体" w:cs="宋体" w:eastAsia="宋体" w:hint="ascii"/>
          <w:sz w:val="18"/>
          <w:spacing w:val="-10"/>
        </w:rPr>
        <w:t>计物理学与复杂系</w:t>
      </w:r>
      <w:r>
        <w:rPr>
          <w:rFonts w:ascii="宋体" w:hAnsi="宋体" w:cs="宋体" w:eastAsia="宋体" w:hint="ascii"/>
          <w:sz w:val="18"/>
        </w:rPr>
        <w:t>统</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A050106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相</w:t>
      </w:r>
      <w:r>
        <w:rPr>
          <w:rFonts w:ascii="宋体" w:hAnsi="宋体" w:cs="宋体" w:eastAsia="宋体" w:hint="ascii"/>
          <w:sz w:val="18"/>
          <w:spacing w:val="-10"/>
        </w:rPr>
        <w:t>对论、引力与宇宙</w:t>
      </w:r>
      <w:r>
        <w:rPr>
          <w:rFonts w:ascii="宋体" w:hAnsi="宋体" w:cs="宋体" w:eastAsia="宋体" w:hint="ascii"/>
          <w:sz w:val="18"/>
        </w:rPr>
        <w:t>学</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粒子物理学和场论</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场</w:t>
      </w:r>
      <w:r>
        <w:rPr>
          <w:rFonts w:ascii="宋体" w:hAnsi="宋体" w:cs="宋体" w:eastAsia="宋体" w:hint="ascii"/>
          <w:sz w:val="18"/>
        </w:rPr>
        <w:t>和粒子的一般理论</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及方法</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量</w:t>
      </w:r>
      <w:r>
        <w:rPr>
          <w:rFonts w:ascii="宋体" w:hAnsi="宋体" w:cs="宋体" w:eastAsia="宋体" w:hint="ascii"/>
          <w:sz w:val="18"/>
        </w:rPr>
        <w:t>子色动力学、强相</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互作用和强子物理</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w:t>
      </w:r>
      <w:r>
        <w:rPr>
          <w:rFonts w:ascii="MS Mincho" w:hAnsi="MS Mincho" w:cs="MS Mincho" w:eastAsia="MS Mincho" w:hint="ascii"/>
          <w:sz w:val="18"/>
        </w:rPr>
        <w:t>−</w:t>
      </w:r>
      <w:r>
        <w:rPr>
          <w:rFonts w:ascii="宋体" w:hAnsi="宋体" w:cs="宋体" w:eastAsia="宋体" w:hint="ascii"/>
          <w:sz w:val="18"/>
        </w:rPr>
        <w:t>弱相互作用及其</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唯象学</w:t>
      </w:r>
    </w:p>
    <w:p>
      <w:pPr>
        <w:autoSpaceDE w:val="0"/>
        <w:autoSpaceDN w:val="0"/>
        <w:jc w:val="both"/>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非</w:t>
      </w:r>
      <w:r>
        <w:rPr>
          <w:rFonts w:ascii="宋体" w:hAnsi="宋体" w:cs="宋体" w:eastAsia="宋体" w:hint="ascii"/>
          <w:sz w:val="18"/>
          <w:spacing w:val="-10"/>
        </w:rPr>
        <w:t>标准模型及其唯象</w:t>
      </w:r>
      <w:r>
        <w:rPr>
          <w:rFonts w:ascii="宋体" w:hAnsi="宋体" w:cs="宋体" w:eastAsia="宋体" w:hint="ascii"/>
          <w:sz w:val="18"/>
        </w:rPr>
        <w:t>学</w:t>
      </w:r>
      <w:r>
        <w:rPr>
          <w:rFonts w:ascii="Times New Roman" w:hAnsi="Times New Roman" w:cs="Times New Roman" w:eastAsia="Times New Roman" w:hint="ascii"/>
          <w:sz w:val="18"/>
          <w:spacing w:val="-1"/>
        </w:rPr>
        <w:t>A050205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弦</w:t>
      </w:r>
      <w:r>
        <w:rPr>
          <w:rFonts w:ascii="宋体" w:hAnsi="宋体" w:cs="宋体" w:eastAsia="宋体" w:hint="ascii"/>
          <w:sz w:val="18"/>
        </w:rPr>
        <w:t>论、膜论及隐藏的</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空间维度</w: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非加速器粒子物理</w:t>
      </w:r>
      <w:r>
        <w:rPr>
          <w:rFonts w:ascii="Times New Roman" w:hAnsi="Times New Roman" w:cs="Times New Roman" w:eastAsia="Times New Roman" w:hint="ascii"/>
          <w:sz w:val="18"/>
          <w:spacing w:val="-1"/>
        </w:rPr>
        <w:t>A050207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粒</w:t>
      </w:r>
      <w:r>
        <w:rPr>
          <w:rFonts w:ascii="宋体" w:hAnsi="宋体" w:cs="宋体" w:eastAsia="宋体" w:hint="ascii"/>
          <w:sz w:val="18"/>
          <w:spacing w:val="-10"/>
        </w:rPr>
        <w:t>子天体物理和宇宙</w:t>
      </w:r>
      <w:r>
        <w:rPr>
          <w:rFonts w:ascii="宋体" w:hAnsi="宋体" w:cs="宋体" w:eastAsia="宋体" w:hint="ascii"/>
          <w:sz w:val="18"/>
        </w:rPr>
        <w:t>学</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核物理</w:t>
      </w:r>
    </w:p>
    <w:p>
      <w:pPr>
        <w:autoSpaceDE w:val="0"/>
        <w:autoSpaceDN w:val="0"/>
        <w:jc w:val="both"/>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原</w:t>
      </w:r>
      <w:r>
        <w:rPr>
          <w:rFonts w:ascii="宋体" w:hAnsi="宋体" w:cs="宋体" w:eastAsia="宋体" w:hint="ascii"/>
          <w:sz w:val="18"/>
          <w:spacing w:val="-10"/>
        </w:rPr>
        <w:t>子核结构与特性研</w:t>
      </w:r>
      <w:r>
        <w:rPr>
          <w:rFonts w:ascii="宋体" w:hAnsi="宋体" w:cs="宋体" w:eastAsia="宋体" w:hint="ascii"/>
          <w:sz w:val="18"/>
        </w:rPr>
        <w:t>究</w:t>
      </w:r>
      <w:r>
        <w:rPr>
          <w:rFonts w:ascii="Times New Roman" w:hAnsi="Times New Roman" w:cs="Times New Roman" w:eastAsia="Times New Roman" w:hint="ascii"/>
          <w:sz w:val="18"/>
          <w:spacing w:val="-1"/>
        </w:rPr>
        <w:t>A050302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原</w:t>
      </w:r>
      <w:r>
        <w:rPr>
          <w:rFonts w:ascii="宋体" w:hAnsi="宋体" w:cs="宋体" w:eastAsia="宋体" w:hint="ascii"/>
          <w:sz w:val="18"/>
        </w:rPr>
        <w:t>子核高激发态、高</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自旋态和超形变</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A050303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核</w:t>
      </w:r>
      <w:r>
        <w:rPr>
          <w:rFonts w:ascii="宋体" w:hAnsi="宋体" w:cs="宋体" w:eastAsia="宋体" w:hint="ascii"/>
          <w:sz w:val="18"/>
        </w:rPr>
        <w:t>裂变、核聚变、核</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衰变</w: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重离子核物理</w:t>
      </w:r>
      <w:r>
        <w:rPr>
          <w:rFonts w:ascii="Times New Roman" w:hAnsi="Times New Roman" w:cs="Times New Roman" w:eastAsia="Times New Roman" w:hint="ascii"/>
          <w:sz w:val="18"/>
        </w:rPr>
        <w:t>A050305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8"/>
        </w:rPr>
        <w:t>放射性核束物理、</w:t>
      </w:r>
      <w:r>
        <w:rPr>
          <w:rFonts w:ascii="宋体" w:hAnsi="宋体" w:cs="宋体" w:eastAsia="宋体" w:hint="ascii"/>
          <w:sz w:val="18"/>
        </w:rPr>
        <w:t>超</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10"/>
        </w:rPr>
        <w:t>重元素合成及反应机</w:t>
      </w:r>
      <w:r>
        <w:rPr>
          <w:rFonts w:ascii="宋体" w:hAnsi="宋体" w:cs="宋体" w:eastAsia="宋体" w:hint="ascii"/>
          <w:sz w:val="18"/>
        </w:rPr>
        <w:t>制</w:t>
      </w:r>
    </w:p>
    <w:p>
      <w:pPr>
        <w:autoSpaceDE w:val="0"/>
        <w:autoSpaceDN w:val="0"/>
        <w:jc w:val="both"/>
        <w:spacing w:before="62" w:after="0" w:lineRule="auto" w:line="313"/>
        <w:ind w:right="54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A050306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中</w:t>
      </w:r>
      <w:r>
        <w:rPr>
          <w:rFonts w:ascii="宋体" w:hAnsi="宋体" w:cs="宋体" w:eastAsia="宋体" w:hint="ascii"/>
          <w:sz w:val="18"/>
        </w:rPr>
        <w:t>高能核物理</w:t>
      </w:r>
      <w:r>
        <w:rPr>
          <w:rFonts w:ascii="Times New Roman" w:hAnsi="Times New Roman" w:cs="Times New Roman" w:eastAsia="Times New Roman" w:hint="ascii"/>
          <w:sz w:val="18"/>
        </w:rPr>
        <w:t>A050307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核天体物理</w:t>
      </w:r>
    </w:p>
    <w:p>
      <w:pPr>
        <w:autoSpaceDE w:val="0"/>
        <w:autoSpaceDN w:val="0"/>
        <w:jc w:val="left"/>
        <w:spacing w:before="272"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256</w:t>
      </w:r>
      <w:r>
        <w:rPr>
          <w:rFonts w:ascii="宋体" w:hAnsi="宋体" w:cs="宋体" w:eastAsia="宋体" w:hint="ascii"/>
          <w:sz w:val="18"/>
        </w:rPr>
        <w:t>·</w:t>
      </w:r>
    </w:p>
    <w:p>
      <w:pPr>
        <w:autoSpaceDE w:val="0"/>
        <w:autoSpaceDN w:val="0"/>
        <w:jc w:val="left"/>
        <w:spacing w:before="639" w:after="0" w:lineRule="auto" w:line="240"/>
        <w:ind w:right="0" w:left="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A0504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核技术及其应用</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离子束与物质相互作</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用和辐照损伤</w:t>
      </w:r>
    </w:p>
    <w:p>
      <w:pPr>
        <w:autoSpaceDE w:val="0"/>
        <w:autoSpaceDN w:val="0"/>
        <w:jc w:val="left"/>
        <w:spacing w:before="61" w:after="0" w:lineRule="auto" w:line="314"/>
        <w:ind w:right="1096"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离子束核分析技术</w:t>
      </w:r>
      <w:r>
        <w:rPr>
          <w:rFonts w:ascii="Times New Roman" w:hAnsi="Times New Roman" w:cs="Times New Roman" w:eastAsia="Times New Roman" w:hint="ascii"/>
          <w:sz w:val="18"/>
        </w:rPr>
        <w:t>A050403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核效应分析技术</w:t>
      </w:r>
      <w:r>
        <w:rPr>
          <w:rFonts w:ascii="Times New Roman" w:hAnsi="Times New Roman" w:cs="Times New Roman" w:eastAsia="Times New Roman" w:hint="ascii"/>
          <w:sz w:val="18"/>
        </w:rPr>
        <w:t>A050404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中子技术及其应用</w:t>
      </w:r>
      <w:r>
        <w:rPr>
          <w:rFonts w:ascii="Times New Roman" w:hAnsi="Times New Roman" w:cs="Times New Roman" w:eastAsia="Times New Roman" w:hint="ascii"/>
          <w:sz w:val="18"/>
        </w:rPr>
        <w:t>A050405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加速器质谱技术</w:t>
      </w:r>
      <w:r>
        <w:rPr>
          <w:rFonts w:ascii="Times New Roman" w:hAnsi="Times New Roman" w:cs="Times New Roman" w:eastAsia="Times New Roman" w:hint="ascii"/>
          <w:sz w:val="18"/>
        </w:rPr>
        <w:t>A050406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离子注入及离子束材</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料改性</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核技术在环境科学、</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地学和考古中的应用</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A050408</w:t>
      </w:r>
      <w:r>
        <w:rPr>
          <w:rFonts w:ascii="Times New Roman" w:hAnsi="Times New Roman" w:cs="Times New Roman" w:eastAsia="Times New Roman" w:hint="ascii"/>
          <w:sz w:val="18"/>
          <w:spacing w:val="45"/>
        </w:rPr>
        <w:t xml:space="preserve"> </w:t>
      </w:r>
      <w:r>
        <w:rPr>
          <w:rFonts w:ascii="宋体" w:hAnsi="宋体" w:cs="宋体" w:eastAsia="宋体" w:hint="ascii"/>
          <w:sz w:val="18"/>
        </w:rPr>
        <w:t>核技术在工、农业和</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医学中的应用</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A050409</w:t>
      </w:r>
      <w:r>
        <w:rPr>
          <w:rFonts w:ascii="Times New Roman" w:hAnsi="Times New Roman" w:cs="Times New Roman" w:eastAsia="Times New Roman" w:hint="ascii"/>
          <w:sz w:val="18"/>
          <w:spacing w:val="45"/>
        </w:rPr>
        <w:t xml:space="preserve"> </w:t>
      </w:r>
      <w:r>
        <w:rPr>
          <w:rFonts w:ascii="宋体" w:hAnsi="宋体" w:cs="宋体" w:eastAsia="宋体" w:hint="ascii"/>
          <w:sz w:val="18"/>
        </w:rPr>
        <w:t>新概念、新原理、新</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right"/>
        <w:spacing w:before="61" w:after="0" w:lineRule="auto" w:line="314"/>
        <w:ind w:right="1096"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A0505</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9"/>
        </w:rPr>
        <w:t>粒子</w:t>
      </w:r>
      <w:r>
        <w:rPr>
          <w:rFonts w:ascii="宋体" w:hAnsi="宋体" w:cs="宋体" w:eastAsia="宋体" w:hint="ascii"/>
          <w:sz w:val="18"/>
          <w:spacing w:val="-8"/>
        </w:rPr>
        <w:t>物理与核物理实验方法与技</w:t>
      </w:r>
      <w:r>
        <w:rPr>
          <w:rFonts w:ascii="宋体" w:hAnsi="宋体" w:cs="宋体" w:eastAsia="宋体" w:hint="ascii"/>
          <w:sz w:val="18"/>
        </w:rPr>
        <w:t>术</w:t>
      </w:r>
      <w:r>
        <w:rPr>
          <w:rFonts w:ascii="Times New Roman" w:hAnsi="Times New Roman" w:cs="Times New Roman" w:eastAsia="Times New Roman" w:hint="ascii"/>
          <w:sz w:val="18"/>
          <w:spacing w:val="1"/>
        </w:rPr>
        <w:t>A050501</w:t>
      </w:r>
      <w:r>
        <w:rPr>
          <w:rFonts w:ascii="Times New Roman" w:hAnsi="Times New Roman" w:cs="Times New Roman" w:eastAsia="Times New Roman" w:hint="ascii"/>
          <w:sz w:val="18"/>
          <w:spacing w:val="46"/>
        </w:rPr>
        <w:t xml:space="preserve"> </w:t>
      </w:r>
      <w:r>
        <w:rPr>
          <w:rFonts w:ascii="宋体" w:hAnsi="宋体" w:cs="宋体" w:eastAsia="宋体" w:hint="ascii"/>
          <w:sz w:val="18"/>
          <w:spacing w:val="-9"/>
        </w:rPr>
        <w:t>束流物理</w:t>
      </w:r>
      <w:r>
        <w:rPr>
          <w:rFonts w:ascii="宋体" w:hAnsi="宋体" w:cs="宋体" w:eastAsia="宋体" w:hint="ascii"/>
          <w:sz w:val="18"/>
          <w:spacing w:val="-10"/>
        </w:rPr>
        <w:t>与加速器技</w:t>
      </w:r>
      <w:r>
        <w:rPr>
          <w:rFonts w:ascii="宋体" w:hAnsi="宋体" w:cs="宋体" w:eastAsia="宋体" w:hint="ascii"/>
          <w:sz w:val="18"/>
        </w:rPr>
        <w:t>术</w:t>
      </w:r>
      <w:r>
        <w:rPr>
          <w:rFonts w:ascii="Times New Roman" w:hAnsi="Times New Roman" w:cs="Times New Roman" w:eastAsia="Times New Roman" w:hint="ascii"/>
          <w:sz w:val="18"/>
        </w:rPr>
        <w:t>A050502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荷电粒子源、靶站和</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预加速装置</w:t>
      </w:r>
    </w:p>
    <w:p>
      <w:pPr>
        <w:autoSpaceDE w:val="0"/>
        <w:autoSpaceDN w:val="0"/>
        <w:jc w:val="left"/>
        <w:spacing w:before="62" w:after="0" w:lineRule="auto" w:line="314"/>
        <w:ind w:right="1096"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束流传输和测量技术</w:t>
      </w:r>
      <w:r>
        <w:rPr>
          <w:rFonts w:ascii="Times New Roman" w:hAnsi="Times New Roman" w:cs="Times New Roman" w:eastAsia="Times New Roman" w:hint="ascii"/>
          <w:sz w:val="18"/>
        </w:rPr>
        <w:t>A050504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反应堆物理与技术</w:t>
      </w:r>
      <w:r>
        <w:rPr>
          <w:rFonts w:ascii="Times New Roman" w:hAnsi="Times New Roman" w:cs="Times New Roman" w:eastAsia="Times New Roman" w:hint="ascii"/>
          <w:sz w:val="18"/>
        </w:rPr>
        <w:t>A050505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散裂中子源相关技术</w:t>
      </w:r>
      <w:r>
        <w:rPr>
          <w:rFonts w:ascii="Times New Roman" w:hAnsi="Times New Roman" w:cs="Times New Roman" w:eastAsia="Times New Roman" w:hint="ascii"/>
          <w:sz w:val="18"/>
        </w:rPr>
        <w:t>A050506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探测技术和谱仪</w:t>
      </w:r>
      <w:r>
        <w:rPr>
          <w:rFonts w:ascii="Times New Roman" w:hAnsi="Times New Roman" w:cs="Times New Roman" w:eastAsia="Times New Roman" w:hint="ascii"/>
          <w:sz w:val="18"/>
        </w:rPr>
        <w:t>A050507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辐射剂量学和辐射防</w:t>
      </w:r>
      <w:r>
        <w:rPr>
          <w:rFonts w:ascii="宋体" w:hAnsi="宋体" w:cs="宋体" w:eastAsia="宋体" w:hint="ascii"/>
          <w:sz w:val="18"/>
        </w:rPr>
        <w:t>护</w:t>
      </w:r>
      <w:r>
        <w:rPr>
          <w:rFonts w:ascii="Times New Roman" w:hAnsi="Times New Roman" w:cs="Times New Roman" w:eastAsia="Times New Roman" w:hint="ascii"/>
          <w:sz w:val="18"/>
        </w:rPr>
        <w:t>A050508</w:t>
      </w:r>
      <w:r>
        <w:rPr>
          <w:rFonts w:ascii="Times New Roman" w:hAnsi="Times New Roman" w:cs="Times New Roman" w:eastAsia="Times New Roman" w:hint="ascii"/>
          <w:sz w:val="18"/>
          <w:spacing w:val="35"/>
        </w:rPr>
        <w:t xml:space="preserve"> </w:t>
      </w:r>
      <w:r>
        <w:rPr>
          <w:rFonts w:ascii="宋体" w:hAnsi="宋体" w:cs="宋体" w:eastAsia="宋体" w:hint="ascii"/>
          <w:sz w:val="18"/>
          <w:spacing w:val="-10"/>
        </w:rPr>
        <w:t>实</w:t>
      </w:r>
      <w:r>
        <w:rPr>
          <w:rFonts w:ascii="宋体" w:hAnsi="宋体" w:cs="宋体" w:eastAsia="宋体" w:hint="ascii"/>
          <w:sz w:val="18"/>
        </w:rPr>
        <w:t>验数据获取与处理</w:t>
      </w:r>
      <w:r>
        <w:rPr>
          <w:rFonts w:ascii="Times New Roman" w:hAnsi="Times New Roman" w:cs="Times New Roman" w:eastAsia="Times New Roman" w:hint="ascii"/>
          <w:sz w:val="18"/>
        </w:rPr>
        <w:t>A050509</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新原理、新方法、新</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技术、新应用</w: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等离子体物理</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等离子体中的基本过</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程与特性</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等离子体产生、加热</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与约束</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等离子体中的波与不</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稳定性</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等离子体中的非线性</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现象</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等离子体与物质相互</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作用</w:t>
      </w:r>
    </w:p>
    <w:p>
      <w:pPr>
        <w:autoSpaceDE w:val="0"/>
        <w:autoSpaceDN w:val="0"/>
        <w:jc w:val="left"/>
        <w:spacing w:before="61" w:after="0" w:lineRule="auto" w:line="314"/>
        <w:ind w:right="1096" w:left="662" w:firstLine="0"/>
        <w:snapToGrid w:val="0"/>
        <w:textAlignment w:val="auto"/>
        <w:tabs/>
        <w:sectPr>
          <w:type w:val="continuous"/>
          <w:pgSz w:w="10940" w:h="15080" w:orient="portrait"/>
          <w:pgMar w:top="508" w:right="508" w:bottom="508" w:left="508" w:header="0" w:footer="0" w:gutter="0"/>
          <w:cols w:num="2" w:space="0" w:equalWidth="0">
            <w:col w:w="4737" w:space="946"/>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A050606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等离子体诊断</w:t>
      </w:r>
      <w:r>
        <w:rPr>
          <w:rFonts w:ascii="Times New Roman" w:hAnsi="Times New Roman" w:cs="Times New Roman" w:eastAsia="Times New Roman" w:hint="ascii"/>
          <w:sz w:val="18"/>
        </w:rPr>
        <w:t>A050607</w:t>
      </w:r>
      <w:r>
        <w:rPr>
          <w:rFonts w:ascii="Times New Roman" w:hAnsi="Times New Roman" w:cs="Times New Roman" w:eastAsia="Times New Roman" w:hint="ascii"/>
          <w:sz w:val="18"/>
          <w:spacing w:val="45"/>
        </w:rPr>
        <w:t xml:space="preserve"> </w:t>
      </w:r>
      <w:r>
        <w:rPr>
          <w:rFonts w:ascii="宋体" w:hAnsi="宋体" w:cs="宋体" w:eastAsia="宋体" w:hint="ascii"/>
          <w:sz w:val="18"/>
        </w:rPr>
        <w:t>强粒子束与辐射源</w:t>
      </w:r>
      <w:r>
        <w:rPr>
          <w:rFonts w:ascii="Times New Roman" w:hAnsi="Times New Roman" w:cs="Times New Roman" w:eastAsia="Times New Roman" w:hint="ascii"/>
          <w:sz w:val="18"/>
        </w:rPr>
        <w:t>A050608</w:t>
      </w:r>
      <w:r>
        <w:rPr>
          <w:rFonts w:ascii="Times New Roman" w:hAnsi="Times New Roman" w:cs="Times New Roman" w:eastAsia="Times New Roman" w:hint="ascii"/>
          <w:sz w:val="18"/>
          <w:spacing w:val="45"/>
        </w:rPr>
        <w:t xml:space="preserve"> </w:t>
      </w:r>
      <w:r>
        <w:rPr>
          <w:rFonts w:ascii="宋体" w:hAnsi="宋体" w:cs="宋体" w:eastAsia="宋体" w:hint="ascii"/>
          <w:sz w:val="18"/>
        </w:rPr>
        <w:t>磁约束等离子体</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A050609</w:t>
      </w:r>
      <w:r>
        <w:rPr>
          <w:rFonts w:ascii="Times New Roman" w:hAnsi="Times New Roman" w:cs="Times New Roman" w:eastAsia="Times New Roman" w:hint="ascii"/>
          <w:sz w:val="18"/>
          <w:spacing w:val="45"/>
        </w:rPr>
        <w:t xml:space="preserve"> </w:t>
      </w:r>
      <w:r>
        <w:rPr>
          <w:rFonts w:ascii="宋体" w:hAnsi="宋体" w:cs="宋体" w:eastAsia="宋体" w:hint="ascii"/>
          <w:sz w:val="18"/>
        </w:rPr>
        <w:t>惯性约束等离子体</w:t>
      </w:r>
      <w:r>
        <w:rPr>
          <w:rFonts w:ascii="Times New Roman" w:hAnsi="Times New Roman" w:cs="Times New Roman" w:eastAsia="Times New Roman" w:hint="ascii"/>
          <w:sz w:val="18"/>
          <w:spacing w:val="-1"/>
        </w:rPr>
        <w:t>A050610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低</w:t>
      </w:r>
      <w:r>
        <w:rPr>
          <w:rFonts w:ascii="宋体" w:hAnsi="宋体" w:cs="宋体" w:eastAsia="宋体" w:hint="ascii"/>
          <w:sz w:val="18"/>
          <w:spacing w:val="-10"/>
        </w:rPr>
        <w:t>温等离子体及其应</w:t>
      </w:r>
      <w:r>
        <w:rPr>
          <w:rFonts w:ascii="宋体" w:hAnsi="宋体" w:cs="宋体" w:eastAsia="宋体" w:hint="ascii"/>
          <w:sz w:val="18"/>
        </w:rPr>
        <w:t>用</w:t>
      </w:r>
      <w:r>
        <w:rPr>
          <w:rFonts w:ascii="Times New Roman" w:hAnsi="Times New Roman" w:cs="Times New Roman" w:eastAsia="Times New Roman" w:hint="ascii"/>
          <w:sz w:val="18"/>
          <w:spacing w:val="-1"/>
        </w:rPr>
        <w:t>A050</w:t>
      </w:r>
      <w:r>
        <w:rPr>
          <w:rFonts w:ascii="Times New Roman" w:hAnsi="Times New Roman" w:cs="Times New Roman" w:eastAsia="Times New Roman" w:hint="ascii"/>
          <w:sz w:val="18"/>
        </w:rPr>
        <w:t>6</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空间和天体等离子体</w:t>
      </w:r>
      <w:r>
        <w:rPr>
          <w:rFonts w:ascii="宋体" w:hAnsi="宋体" w:cs="宋体" w:eastAsia="宋体" w:hint="ascii"/>
          <w:sz w:val="18"/>
        </w:rPr>
        <mc:AlternateContent>
          <mc:Choice Requires="wps">
            <w:drawing>
              <wp:anchor distL="0" distR="0" distT="0" distB="0" simplePos="0" behindDoc="1" relativeHeight="338" locked="0" layoutInCell="1" allowOverlap="1">
                <wp:simplePos x="0" y="0"/>
                <wp:positionH relativeFrom="page">
                  <wp:posOffset>938530</wp:posOffset>
                </wp:positionH>
                <wp:positionV relativeFrom="page">
                  <wp:posOffset>819150</wp:posOffset>
                </wp:positionV>
                <wp:extent cx="5076190" cy="0"/>
                <wp:wrapNone/>
                <wp:docPr id="1365" name="136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12128;width:399.70pt;" id="136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及特殊等离子体</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A0507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同步辐射技术及其应用</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A050701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同</w:t>
      </w:r>
      <w:r>
        <w:rPr>
          <w:rFonts w:ascii="宋体" w:hAnsi="宋体" w:cs="宋体" w:eastAsia="宋体" w:hint="ascii"/>
          <w:sz w:val="18"/>
        </w:rPr>
        <w:t>步辐射光源原理和</w:t>
      </w:r>
    </w:p>
    <w:p>
      <w:pPr>
        <w:autoSpaceDE w:val="0"/>
        <w:autoSpaceDN w:val="0"/>
        <w:jc w:val="left"/>
        <w:spacing w:before="327" w:after="0" w:lineRule="exact" w:line="225"/>
        <w:ind w:right="0" w:left="828"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宋体" w:hAnsi="宋体" w:cs="宋体" w:eastAsia="宋体" w:hint="ascii"/>
          <w:sz w:val="18"/>
        </w:rPr>
        <w:t>技术</w: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自由电子激光原理和</w:t>
      </w:r>
    </w:p>
    <w:p>
      <w:pPr>
        <w:autoSpaceDE w:val="0"/>
        <w:autoSpaceDN w:val="0"/>
        <w:jc w:val="left"/>
        <w:spacing w:before="68" w:after="0" w:lineRule="exact" w:line="225"/>
        <w:ind w:right="0" w:left="828"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A050703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束线光学技术和实验</w:t>
      </w:r>
    </w:p>
    <w:p>
      <w:pPr>
        <w:autoSpaceDE w:val="0"/>
        <w:autoSpaceDN w:val="0"/>
        <w:jc w:val="left"/>
        <w:spacing w:before="67" w:after="0" w:lineRule="exact" w:line="225"/>
        <w:ind w:right="0" w:left="828" w:firstLine="0"/>
        <w:snapToGrid w:val="0"/>
        <w:textAlignment w:val="auto"/>
        <w:tabs/>
        <w:sectPr>
          <w:type w:val="continuous"/>
          <w:pgSz w:w="10940" w:h="15080" w:orient="portrait"/>
          <w:pgMar w:top="508" w:right="508" w:bottom="508" w:left="508" w:header="0" w:footer="0" w:gutter="0"/>
          <w:cols w:num="2" w:space="0" w:equalWidth="0">
            <w:col w:w="4737" w:space="1608"/>
            <w:col w:w="3579"/>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方法</w:t>
      </w:r>
      <w:rPr>
        <w:rFonts w:ascii="宋体" w:hAnsi="宋体" w:cs="宋体" w:eastAsia="宋体" w:hint="ascii"/>
        <w:sz w:val="18"/>
      </w:rPr>
    </w:p>
    <w:p>
      <w:pPr>
        <w:autoSpaceDE w:val="0"/>
        <w:autoSpaceDN w:val="0"/>
        <w:jc w:val="left"/>
        <w:spacing w:before="198" w:after="0" w:lineRule="auto" w:line="240"/>
        <w:ind w:right="0" w:left="373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rPr>
        <w:t>B</w:t>
      </w:r>
      <w:r>
        <w:rPr>
          <w:rFonts w:ascii="Times New Roman" w:hAnsi="Times New Roman" w:cs="Times New Roman" w:eastAsia="Times New Roman" w:hint="ascii"/>
          <w:b w:val="1"/>
          <w:sz w:val="38"/>
        </w:rPr>
        <w:t xml:space="preserve">. </w:t>
      </w:r>
      <w:r>
        <w:rPr>
          <w:rFonts w:ascii="宋体" w:hAnsi="宋体" w:cs="宋体" w:eastAsia="宋体" w:hint="ascii"/>
          <w:sz w:val="38"/>
        </w:rPr>
        <w:t>化学科学部</w:t>
      </w:r>
      <w:rPr>
        <w:rFonts w:ascii="宋体" w:hAnsi="宋体" w:cs="宋体" w:eastAsia="宋体" w:hint="ascii"/>
        <w:sz w:val="38"/>
      </w:rPr>
    </w:p>
    <w:p>
      <w:pPr>
        <w:autoSpaceDE w:val="0"/>
        <w:autoSpaceDN w:val="0"/>
        <w:jc w:val="left"/>
        <w:spacing w:before="29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B01</w:t>
      </w:r>
      <w:r>
        <w:rPr>
          <w:rFonts w:ascii="Times New Roman" w:hAnsi="Times New Roman" w:cs="Times New Roman" w:eastAsia="Times New Roman" w:hint="ascii"/>
          <w:b w:val="1"/>
          <w:spacing w:val="60"/>
        </w:rPr>
        <w:t xml:space="preserve"> </w:t>
      </w:r>
      <w:r>
        <w:rPr>
          <w:rFonts w:ascii="宋体" w:hAnsi="宋体" w:cs="宋体" w:eastAsia="宋体" w:hint="ascii"/>
        </w:rPr>
        <w:t>合成化学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元素化学</w:t>
      </w:r>
    </w:p>
    <w:p>
      <w:pPr>
        <w:autoSpaceDE w:val="0"/>
        <w:autoSpaceDN w:val="0"/>
        <w:jc w:val="left"/>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主族元素化学</w:t>
      </w:r>
      <w:r>
        <w:rPr>
          <w:rFonts w:ascii="Times New Roman" w:hAnsi="Times New Roman" w:cs="Times New Roman" w:eastAsia="Times New Roman" w:hint="ascii"/>
          <w:sz w:val="18"/>
        </w:rPr>
        <w:t>B010102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过渡金属元素化学</w:t>
      </w:r>
      <w:r>
        <w:rPr>
          <w:rFonts w:ascii="Times New Roman" w:hAnsi="Times New Roman" w:cs="Times New Roman" w:eastAsia="Times New Roman" w:hint="ascii"/>
          <w:sz w:val="18"/>
          <w:spacing w:val="-1"/>
        </w:rPr>
        <w:t>B010103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稀</w:t>
      </w:r>
      <w:r>
        <w:rPr>
          <w:rFonts w:ascii="宋体" w:hAnsi="宋体" w:cs="宋体" w:eastAsia="宋体" w:hint="ascii"/>
          <w:sz w:val="18"/>
        </w:rPr>
        <w:t>土与锕系元素化学</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无机合成</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无机固相合成</w:t>
      </w:r>
      <w:r>
        <w:rPr>
          <w:rFonts w:ascii="Times New Roman" w:hAnsi="Times New Roman" w:cs="Times New Roman" w:eastAsia="Times New Roman" w:hint="ascii"/>
          <w:sz w:val="18"/>
        </w:rPr>
        <w:t>B010202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无机溶液合成</w:t>
      </w:r>
      <w:r>
        <w:rPr>
          <w:rFonts w:ascii="Times New Roman" w:hAnsi="Times New Roman" w:cs="Times New Roman" w:eastAsia="Times New Roman" w:hint="ascii"/>
          <w:sz w:val="18"/>
        </w:rPr>
        <w:t>B010203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非常规条件下无</w:t>
      </w:r>
      <w:r>
        <w:rPr>
          <w:rFonts w:ascii="宋体" w:hAnsi="宋体" w:cs="宋体" w:eastAsia="宋体" w:hint="ascii"/>
          <w:sz w:val="18"/>
        </w:rPr>
        <w:t>机</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合</w:t>
      </w:r>
      <w:r>
        <w:rPr>
          <w:rFonts w:ascii="宋体" w:hAnsi="宋体" w:cs="宋体" w:eastAsia="宋体" w:hint="ascii"/>
          <w:sz w:val="18"/>
        </w:rPr>
        <w:t>成</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晶体生长化学</w:t>
      </w:r>
      <w:r>
        <w:rPr>
          <w:rFonts w:ascii="Times New Roman" w:hAnsi="Times New Roman" w:cs="Times New Roman" w:eastAsia="Times New Roman" w:hint="ascii"/>
          <w:sz w:val="18"/>
        </w:rPr>
        <w:t>B010205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纳米与团簇化学</w:t>
      </w:r>
      <w:r>
        <w:rPr>
          <w:rFonts w:ascii="Times New Roman" w:hAnsi="Times New Roman" w:cs="Times New Roman" w:eastAsia="Times New Roman" w:hint="ascii"/>
          <w:sz w:val="18"/>
          <w:spacing w:val="-1"/>
        </w:rPr>
        <w:t>B010206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功</w:t>
      </w:r>
      <w:r>
        <w:rPr>
          <w:rFonts w:ascii="宋体" w:hAnsi="宋体" w:cs="宋体" w:eastAsia="宋体" w:hint="ascii"/>
          <w:sz w:val="18"/>
        </w:rPr>
        <w:t>能无机分子的设计</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与合成</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有机合成</w:t>
      </w:r>
    </w:p>
    <w:p>
      <w:pPr>
        <w:autoSpaceDE w:val="0"/>
        <w:autoSpaceDN w:val="0"/>
        <w:jc w:val="left"/>
        <w:spacing w:before="67" w:after="0" w:lineRule="auto" w:line="314"/>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新试剂与新反应</w:t>
      </w:r>
      <w:r>
        <w:rPr>
          <w:rFonts w:ascii="Times New Roman" w:hAnsi="Times New Roman" w:cs="Times New Roman" w:eastAsia="Times New Roman" w:hint="ascii"/>
          <w:sz w:val="18"/>
        </w:rPr>
        <w:t>B010302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活性中间体化学</w:t>
      </w:r>
      <w:r>
        <w:rPr>
          <w:rFonts w:ascii="Times New Roman" w:hAnsi="Times New Roman" w:cs="Times New Roman" w:eastAsia="Times New Roman" w:hint="ascii"/>
          <w:sz w:val="18"/>
        </w:rPr>
        <w:t>B010303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金属催化合成反应</w:t>
      </w:r>
      <w:r>
        <w:rPr>
          <w:rFonts w:ascii="Times New Roman" w:hAnsi="Times New Roman" w:cs="Times New Roman" w:eastAsia="Times New Roman" w:hint="ascii"/>
          <w:sz w:val="18"/>
        </w:rPr>
        <w:t>B010304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有机小分子催化</w:t>
      </w:r>
      <w:r>
        <w:rPr>
          <w:rFonts w:ascii="Times New Roman" w:hAnsi="Times New Roman" w:cs="Times New Roman" w:eastAsia="Times New Roman" w:hint="ascii"/>
          <w:sz w:val="18"/>
        </w:rPr>
        <w:t>B010305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不对称合成</w:t>
      </w:r>
      <w:r>
        <w:rPr>
          <w:rFonts w:ascii="Times New Roman" w:hAnsi="Times New Roman" w:cs="Times New Roman" w:eastAsia="Times New Roman" w:hint="ascii"/>
          <w:sz w:val="18"/>
        </w:rPr>
        <w:t>B010306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天然产物全合成</w: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B010307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功</w:t>
      </w:r>
      <w:r>
        <w:rPr>
          <w:rFonts w:ascii="宋体" w:hAnsi="宋体" w:cs="宋体" w:eastAsia="宋体" w:hint="ascii"/>
          <w:sz w:val="18"/>
        </w:rPr>
        <w:t>能有机分子的设计</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与合成</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高分子合成</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聚合反应与方法</w:t>
      </w:r>
      <w:r>
        <w:rPr>
          <w:rFonts w:ascii="Times New Roman" w:hAnsi="Times New Roman" w:cs="Times New Roman" w:eastAsia="Times New Roman" w:hint="ascii"/>
          <w:sz w:val="18"/>
          <w:spacing w:val="-1"/>
        </w:rPr>
        <w:t>B010402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离</w:t>
      </w:r>
      <w:r>
        <w:rPr>
          <w:rFonts w:ascii="宋体" w:hAnsi="宋体" w:cs="宋体" w:eastAsia="宋体" w:hint="ascii"/>
          <w:sz w:val="18"/>
        </w:rPr>
        <w:t>子聚合与配位聚合</w:t>
      </w:r>
      <w:r>
        <w:rPr>
          <w:rFonts w:ascii="Times New Roman" w:hAnsi="Times New Roman" w:cs="Times New Roman" w:eastAsia="Times New Roman" w:hint="ascii"/>
          <w:sz w:val="18"/>
        </w:rPr>
        <w:t>B010403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自由基聚合</w: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逐步聚合</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B010405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高</w:t>
      </w:r>
      <w:r>
        <w:rPr>
          <w:rFonts w:ascii="宋体" w:hAnsi="宋体" w:cs="宋体" w:eastAsia="宋体" w:hint="ascii"/>
          <w:sz w:val="18"/>
        </w:rPr>
        <w:t>分子光化学与辐射</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化学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高分子精密合成</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配位合成化学</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配位反应</w:t>
      </w:r>
    </w:p>
    <w:p>
      <w:pPr>
        <w:autoSpaceDE w:val="0"/>
        <w:autoSpaceDN w:val="0"/>
        <w:jc w:val="left"/>
        <w:spacing w:before="340" w:after="0" w:lineRule="auto" w:line="313"/>
        <w:ind w:right="1029"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B010502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溶液配位化学</w:t>
      </w:r>
      <w:r>
        <w:rPr>
          <w:rFonts w:ascii="Times New Roman" w:hAnsi="Times New Roman" w:cs="Times New Roman" w:eastAsia="Times New Roman" w:hint="ascii"/>
          <w:sz w:val="18"/>
        </w:rPr>
        <w:t>B010503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功能配合物化学</w:t>
      </w:r>
      <w:r>
        <w:rPr>
          <w:rFonts w:ascii="Times New Roman" w:hAnsi="Times New Roman" w:cs="Times New Roman" w:eastAsia="Times New Roman" w:hint="ascii"/>
          <w:sz w:val="18"/>
        </w:rPr>
        <w:t>B010504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金属有机化学</w:t>
      </w:r>
      <w:r>
        <w:rPr>
          <w:rFonts w:ascii="Times New Roman" w:hAnsi="Times New Roman" w:cs="Times New Roman" w:eastAsia="Times New Roman" w:hint="ascii"/>
          <w:sz w:val="18"/>
        </w:rPr>
        <w:t>B010505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配位聚合物</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 xml:space="preserve">B0106 </w:t>
      </w:r>
      <w:r>
        <w:rPr>
          <w:rFonts w:ascii="宋体" w:hAnsi="宋体" w:cs="宋体" w:eastAsia="宋体" w:hint="ascii"/>
          <w:sz w:val="18"/>
        </w:rPr>
        <w:t>超分子化学与组装</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组装基元</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非共价相互作用与组</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装方法</w:t>
      </w:r>
    </w:p>
    <w:p>
      <w:pPr>
        <w:autoSpaceDE w:val="0"/>
        <w:autoSpaceDN w:val="0"/>
        <w:jc w:val="left"/>
        <w:spacing w:before="61" w:after="0" w:lineRule="auto" w:line="314"/>
        <w:ind w:right="963"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动态共价键化学</w:t>
      </w:r>
      <w:r>
        <w:rPr>
          <w:rFonts w:ascii="Times New Roman" w:hAnsi="Times New Roman" w:cs="Times New Roman" w:eastAsia="Times New Roman" w:hint="ascii"/>
          <w:sz w:val="18"/>
        </w:rPr>
        <w:t>B010604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组装过程的动态调控</w:t>
      </w:r>
      <w:r>
        <w:rPr>
          <w:rFonts w:ascii="Times New Roman" w:hAnsi="Times New Roman" w:cs="Times New Roman" w:eastAsia="Times New Roman" w:hint="ascii"/>
          <w:sz w:val="18"/>
        </w:rPr>
        <w:t>B010605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超分子复合物与</w:t>
      </w:r>
      <w:r>
        <w:rPr>
          <w:rFonts w:ascii="宋体" w:hAnsi="宋体" w:cs="宋体" w:eastAsia="宋体" w:hint="ascii"/>
          <w:sz w:val="18"/>
        </w:rPr>
        <w:t>聚</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合</w:t>
      </w:r>
      <w:r>
        <w:rPr>
          <w:rFonts w:ascii="宋体" w:hAnsi="宋体" w:cs="宋体" w:eastAsia="宋体" w:hint="ascii"/>
          <w:sz w:val="18"/>
        </w:rPr>
        <w:t>物</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生命功能体系的组装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 xml:space="preserve">B0107 </w:t>
      </w:r>
      <w:r>
        <w:rPr>
          <w:rFonts w:ascii="宋体" w:hAnsi="宋体" w:cs="宋体" w:eastAsia="宋体" w:hint="ascii"/>
          <w:sz w:val="18"/>
        </w:rPr>
        <w:t>绿色合成</w:t>
      </w:r>
    </w:p>
    <w:p>
      <w:pPr>
        <w:autoSpaceDE w:val="0"/>
        <w:autoSpaceDN w:val="0"/>
        <w:jc w:val="left"/>
        <w:spacing w:before="67" w:after="0" w:lineRule="auto" w:line="314"/>
        <w:ind w:right="963"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生物催化与生物转化</w:t>
      </w:r>
      <w:r>
        <w:rPr>
          <w:rFonts w:ascii="Times New Roman" w:hAnsi="Times New Roman" w:cs="Times New Roman" w:eastAsia="Times New Roman" w:hint="ascii"/>
          <w:sz w:val="18"/>
        </w:rPr>
        <w:t>B010702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模拟酶与仿生合成</w:t>
      </w:r>
      <w:r>
        <w:rPr>
          <w:rFonts w:ascii="Times New Roman" w:hAnsi="Times New Roman" w:cs="Times New Roman" w:eastAsia="Times New Roman" w:hint="ascii"/>
          <w:sz w:val="18"/>
        </w:rPr>
        <w:t>B010703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光化学合成</w:t>
      </w:r>
    </w:p>
    <w:p>
      <w:pPr>
        <w:autoSpaceDE w:val="0"/>
        <w:autoSpaceDN w:val="0"/>
        <w:jc w:val="left"/>
        <w:spacing w:before="0" w:after="0" w:lineRule="auto" w:line="239"/>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B010704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原子与步骤经济</w:t>
      </w:r>
      <w:r>
        <w:rPr>
          <w:rFonts w:ascii="宋体" w:hAnsi="宋体" w:cs="宋体" w:eastAsia="宋体" w:hint="ascii"/>
          <w:sz w:val="18"/>
        </w:rPr>
        <w:t>性</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反</w:t>
      </w:r>
      <w:r>
        <w:rPr>
          <w:rFonts w:ascii="宋体" w:hAnsi="宋体" w:cs="宋体" w:eastAsia="宋体" w:hint="ascii"/>
          <w:sz w:val="18"/>
        </w:rPr>
        <w:t>应</w:t>
      </w:r>
    </w:p>
    <w:p>
      <w:pPr>
        <w:autoSpaceDE w:val="0"/>
        <w:autoSpaceDN w:val="0"/>
        <w:jc w:val="left"/>
        <w:spacing w:before="62" w:after="0" w:lineRule="auto" w:line="313"/>
        <w:ind w:right="963"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B010705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可再生资源化学</w:t>
      </w:r>
      <w:r>
        <w:rPr>
          <w:rFonts w:ascii="Times New Roman" w:hAnsi="Times New Roman" w:cs="Times New Roman" w:eastAsia="Times New Roman" w:hint="ascii"/>
          <w:sz w:val="18"/>
        </w:rPr>
        <w:t>B010706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温和条件下的化</w:t>
      </w:r>
      <w:r>
        <w:rPr>
          <w:rFonts w:ascii="宋体" w:hAnsi="宋体" w:cs="宋体" w:eastAsia="宋体" w:hint="ascii"/>
          <w:sz w:val="18"/>
        </w:rPr>
        <w:t>学</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转</w:t>
      </w:r>
      <w:r>
        <w:rPr>
          <w:rFonts w:ascii="宋体" w:hAnsi="宋体" w:cs="宋体" w:eastAsia="宋体" w:hint="ascii"/>
          <w:sz w:val="18"/>
        </w:rPr>
        <w:t>化</w:t>
      </w:r>
    </w:p>
    <w:p>
      <w:pPr>
        <w:autoSpaceDE w:val="0"/>
        <w:autoSpaceDN w:val="0"/>
        <w:jc w:val="left"/>
        <w:spacing w:before="52"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B02</w:t>
      </w:r>
      <w:r>
        <w:rPr>
          <w:rFonts w:ascii="Times New Roman" w:hAnsi="Times New Roman" w:cs="Times New Roman" w:eastAsia="Times New Roman" w:hint="ascii"/>
          <w:b w:val="1"/>
          <w:spacing w:val="60"/>
        </w:rPr>
        <w:t xml:space="preserve"> </w:t>
      </w:r>
      <w:r>
        <w:rPr>
          <w:rFonts w:ascii="宋体" w:hAnsi="宋体" w:cs="宋体" w:eastAsia="宋体" w:hint="ascii"/>
        </w:rPr>
        <w:t>催化与表界面化学</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催化化学</w:t>
      </w:r>
    </w:p>
    <w:p>
      <w:pPr>
        <w:autoSpaceDE w:val="0"/>
        <w:autoSpaceDN w:val="0"/>
        <w:jc w:val="left"/>
        <w:spacing w:before="63" w:after="0" w:lineRule="auto" w:line="306"/>
        <w:ind w:right="963"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催化基础与理论</w:t>
      </w:r>
      <w:r>
        <w:rPr>
          <w:rFonts w:ascii="Times New Roman" w:hAnsi="Times New Roman" w:cs="Times New Roman" w:eastAsia="Times New Roman" w:hint="ascii"/>
          <w:sz w:val="18"/>
        </w:rPr>
        <w:t>B020102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催化剂设计和制备</w:t>
      </w:r>
      <w:r>
        <w:rPr>
          <w:rFonts w:ascii="Times New Roman" w:hAnsi="Times New Roman" w:cs="Times New Roman" w:eastAsia="Times New Roman" w:hint="ascii"/>
          <w:sz w:val="18"/>
        </w:rPr>
        <w:t>B020103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多相催化</w:t>
      </w:r>
    </w:p>
    <w:p>
      <w:pPr>
        <w:autoSpaceDE w:val="0"/>
        <w:autoSpaceDN w:val="0"/>
        <w:jc w:val="left"/>
        <w:spacing w:before="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均相催化</w:t>
      </w:r>
    </w:p>
    <w:p>
      <w:pPr>
        <w:autoSpaceDE w:val="0"/>
        <w:autoSpaceDN w:val="0"/>
        <w:jc w:val="both"/>
        <w:spacing w:before="61" w:after="0" w:lineRule="auto" w:line="306"/>
        <w:ind w:right="165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B020105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团</w:t>
      </w:r>
      <w:r>
        <w:rPr>
          <w:rFonts w:ascii="宋体" w:hAnsi="宋体" w:cs="宋体" w:eastAsia="宋体" w:hint="ascii"/>
          <w:sz w:val="18"/>
        </w:rPr>
        <w:t>簇仿生催化</w:t>
      </w:r>
      <w:r>
        <w:rPr>
          <w:rFonts w:ascii="Times New Roman" w:hAnsi="Times New Roman" w:cs="Times New Roman" w:eastAsia="Times New Roman" w:hint="ascii"/>
          <w:sz w:val="18"/>
        </w:rPr>
        <w:t>B020106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光催化</w:t>
      </w:r>
    </w:p>
    <w:p>
      <w:pPr>
        <w:autoSpaceDE w:val="0"/>
        <w:autoSpaceDN w:val="0"/>
        <w:jc w:val="left"/>
        <w:spacing w:before="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催化表征方法与技术</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表面化学</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表面结构与性质</w:t>
      </w:r>
    </w:p>
    <w:p>
      <w:pPr>
        <w:autoSpaceDE w:val="0"/>
        <w:autoSpaceDN w:val="0"/>
        <w:jc w:val="left"/>
        <w:spacing w:before="310" w:after="0" w:lineRule="exact" w:line="225"/>
        <w:ind w:right="0" w:left="3288"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表面分子反应过程</w:t>
      </w:r>
      <w:r>
        <w:rPr>
          <w:rFonts w:ascii="Times New Roman" w:hAnsi="Times New Roman" w:cs="Times New Roman" w:eastAsia="Times New Roman" w:hint="ascii"/>
          <w:sz w:val="18"/>
          <w:spacing w:val="-1"/>
        </w:rPr>
        <w:t>B020203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表</w:t>
      </w:r>
      <w:r>
        <w:rPr>
          <w:rFonts w:ascii="宋体" w:hAnsi="宋体" w:cs="宋体" w:eastAsia="宋体" w:hint="ascii"/>
          <w:sz w:val="18"/>
        </w:rPr>
        <w:t>面组装过程与功能</w:t>
      </w:r>
      <w:r>
        <w:rPr>
          <w:rFonts w:ascii="Times New Roman" w:hAnsi="Times New Roman" w:cs="Times New Roman" w:eastAsia="Times New Roman" w:hint="ascii"/>
          <w:sz w:val="18"/>
        </w:rPr>
        <w:t>B020204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表面化学研究方法</w:t>
      </w:r>
      <w:r>
        <w:rPr>
          <w:rFonts w:ascii="宋体" w:hAnsi="宋体" w:cs="宋体" w:eastAsia="宋体" w:hint="ascii"/>
          <w:sz w:val="18"/>
        </w:rPr>
        <mc:AlternateContent>
          <mc:Choice Requires="wps">
            <w:drawing>
              <wp:anchor distL="0" distR="0" distT="0" distB="0" simplePos="0" behindDoc="1" relativeHeight="339" locked="0" layoutInCell="1" allowOverlap="1">
                <wp:simplePos x="0" y="0"/>
                <wp:positionH relativeFrom="page">
                  <wp:posOffset>938530</wp:posOffset>
                </wp:positionH>
                <wp:positionV relativeFrom="page">
                  <wp:posOffset>805815</wp:posOffset>
                </wp:positionV>
                <wp:extent cx="5076190" cy="0"/>
                <wp:wrapNone/>
                <wp:docPr id="1366" name="136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11104;width:399.70pt;" id="136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胶体与界面化学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B020301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表面活性剂与分</w:t>
      </w:r>
      <w:r>
        <w:rPr>
          <w:rFonts w:ascii="宋体" w:hAnsi="宋体" w:cs="宋体" w:eastAsia="宋体" w:hint="ascii"/>
          <w:sz w:val="18"/>
        </w:rPr>
        <w:t>散</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体</w:t>
      </w:r>
      <w:r>
        <w:rPr>
          <w:rFonts w:ascii="宋体" w:hAnsi="宋体" w:cs="宋体" w:eastAsia="宋体" w:hint="ascii"/>
          <w:sz w:val="18"/>
        </w:rPr>
        <w:t>系</w:t>
      </w:r>
    </w:p>
    <w:p>
      <w:pPr>
        <w:autoSpaceDE w:val="0"/>
        <w:autoSpaceDN w:val="0"/>
        <w:jc w:val="left"/>
        <w:spacing w:before="55" w:after="0" w:lineRule="auto" w:line="307"/>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溶胶与凝胶</w:t>
      </w:r>
      <w:r>
        <w:rPr>
          <w:rFonts w:ascii="Times New Roman" w:hAnsi="Times New Roman" w:cs="Times New Roman" w:eastAsia="Times New Roman" w:hint="ascii"/>
          <w:sz w:val="18"/>
        </w:rPr>
        <w:t>B020303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浸润性与吸附</w:t>
      </w:r>
      <w:r>
        <w:rPr>
          <w:rFonts w:ascii="Times New Roman" w:hAnsi="Times New Roman" w:cs="Times New Roman" w:eastAsia="Times New Roman" w:hint="ascii"/>
          <w:sz w:val="18"/>
        </w:rPr>
        <w:t>B020304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界面组装与聚集体</w:t>
      </w:r>
      <w:r>
        <w:rPr>
          <w:rFonts w:ascii="Times New Roman" w:hAnsi="Times New Roman" w:cs="Times New Roman" w:eastAsia="Times New Roman" w:hint="ascii"/>
          <w:sz w:val="18"/>
        </w:rPr>
        <w:t>B020305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胶体颗粒与纳米晶</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B020306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外</w:t>
      </w:r>
      <w:r>
        <w:rPr>
          <w:rFonts w:ascii="宋体" w:hAnsi="宋体" w:cs="宋体" w:eastAsia="宋体" w:hint="ascii"/>
          <w:sz w:val="18"/>
        </w:rPr>
        <w:t>场响应性胶体体系</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B020307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胶</w:t>
      </w:r>
      <w:r>
        <w:rPr>
          <w:rFonts w:ascii="宋体" w:hAnsi="宋体" w:cs="宋体" w:eastAsia="宋体" w:hint="ascii"/>
          <w:sz w:val="18"/>
        </w:rPr>
        <w:t>体与界面理论方法</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及表征技术</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电化学</w:t>
      </w:r>
    </w:p>
    <w:p>
      <w:pPr>
        <w:autoSpaceDE w:val="0"/>
        <w:autoSpaceDN w:val="0"/>
        <w:jc w:val="left"/>
        <w:spacing w:before="62" w:after="0" w:lineRule="auto" w:line="307"/>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基础与理论电化学</w:t>
      </w:r>
      <w:r>
        <w:rPr>
          <w:rFonts w:ascii="Times New Roman" w:hAnsi="Times New Roman" w:cs="Times New Roman" w:eastAsia="Times New Roman" w:hint="ascii"/>
          <w:sz w:val="18"/>
        </w:rPr>
        <w:t>B020402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谱学电化学</w:t>
      </w:r>
      <w:r>
        <w:rPr>
          <w:rFonts w:ascii="Times New Roman" w:hAnsi="Times New Roman" w:cs="Times New Roman" w:eastAsia="Times New Roman" w:hint="ascii"/>
          <w:sz w:val="18"/>
        </w:rPr>
        <w:t>B020403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界面与纳米电化学</w:t>
      </w:r>
      <w:r>
        <w:rPr>
          <w:rFonts w:ascii="Times New Roman" w:hAnsi="Times New Roman" w:cs="Times New Roman" w:eastAsia="Times New Roman" w:hint="ascii"/>
          <w:sz w:val="18"/>
        </w:rPr>
        <w:t>B020404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电催化与电合成</w:t>
      </w:r>
      <w:r>
        <w:rPr>
          <w:rFonts w:ascii="Times New Roman" w:hAnsi="Times New Roman" w:cs="Times New Roman" w:eastAsia="Times New Roman" w:hint="ascii"/>
          <w:sz w:val="18"/>
        </w:rPr>
        <w:t>B020405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光电化学</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离子电化学</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B020407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生物电化学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B020408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腐</w:t>
      </w:r>
      <w:r>
        <w:rPr>
          <w:rFonts w:ascii="宋体" w:hAnsi="宋体" w:cs="宋体" w:eastAsia="宋体" w:hint="ascii"/>
          <w:sz w:val="18"/>
        </w:rPr>
        <w:t>蚀电化学与电化学</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加工基础</w:t>
      </w:r>
    </w:p>
    <w:p>
      <w:pPr>
        <w:autoSpaceDE w:val="0"/>
        <w:autoSpaceDN w:val="0"/>
        <w:jc w:val="left"/>
        <w:spacing w:before="51"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B03</w:t>
      </w:r>
      <w:r>
        <w:rPr>
          <w:rFonts w:ascii="Times New Roman" w:hAnsi="Times New Roman" w:cs="Times New Roman" w:eastAsia="Times New Roman" w:hint="ascii"/>
          <w:b w:val="1"/>
          <w:spacing w:val="60"/>
        </w:rPr>
        <w:t xml:space="preserve"> </w:t>
      </w:r>
      <w:r>
        <w:rPr>
          <w:rFonts w:ascii="宋体" w:hAnsi="宋体" w:cs="宋体" w:eastAsia="宋体" w:hint="ascii"/>
        </w:rPr>
        <w:t>化学理论与机制</w:t>
      </w:r>
    </w:p>
    <w:p>
      <w:pPr>
        <w:autoSpaceDE w:val="0"/>
        <w:autoSpaceDN w:val="0"/>
        <w:jc w:val="left"/>
        <w:spacing w:before="8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理论与计算化学</w:t>
      </w:r>
    </w:p>
    <w:p>
      <w:pPr>
        <w:autoSpaceDE w:val="0"/>
        <w:autoSpaceDN w:val="0"/>
        <w:jc w:val="left"/>
        <w:spacing w:before="61" w:after="0" w:lineRule="auto" w:line="307"/>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量子化学</w:t>
      </w:r>
      <w:r>
        <w:rPr>
          <w:rFonts w:ascii="Times New Roman" w:hAnsi="Times New Roman" w:cs="Times New Roman" w:eastAsia="Times New Roman" w:hint="ascii"/>
          <w:sz w:val="18"/>
        </w:rPr>
        <w:t>B030102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化学统计力学</w:t>
      </w:r>
      <w:r>
        <w:rPr>
          <w:rFonts w:ascii="Times New Roman" w:hAnsi="Times New Roman" w:cs="Times New Roman" w:eastAsia="Times New Roman" w:hint="ascii"/>
          <w:sz w:val="18"/>
        </w:rPr>
        <w:t>B030103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化学动力学理论</w: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B030104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计算模拟方法与应</w:t>
      </w:r>
      <w:r>
        <w:rPr>
          <w:rFonts w:ascii="宋体" w:hAnsi="宋体" w:cs="宋体" w:eastAsia="宋体" w:hint="ascii"/>
          <w:sz w:val="18"/>
        </w:rPr>
        <w:t>用</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化学程序与软件</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化学热力学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B030201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化学平衡与热力</w:t>
      </w:r>
      <w:r>
        <w:rPr>
          <w:rFonts w:ascii="宋体" w:hAnsi="宋体" w:cs="宋体" w:eastAsia="宋体" w:hint="ascii"/>
          <w:sz w:val="18"/>
        </w:rPr>
        <w:t>学</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参</w:t>
      </w:r>
      <w:r>
        <w:rPr>
          <w:rFonts w:ascii="宋体" w:hAnsi="宋体" w:cs="宋体" w:eastAsia="宋体" w:hint="ascii"/>
          <w:sz w:val="18"/>
        </w:rPr>
        <w:t>数</w:t>
      </w:r>
    </w:p>
    <w:p>
      <w:pPr>
        <w:autoSpaceDE w:val="0"/>
        <w:autoSpaceDN w:val="0"/>
        <w:jc w:val="left"/>
        <w:spacing w:before="56" w:after="0" w:lineRule="auto" w:line="306"/>
        <w:ind w:right="45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溶液化学</w:t>
      </w:r>
      <w:r>
        <w:rPr>
          <w:rFonts w:ascii="Times New Roman" w:hAnsi="Times New Roman" w:cs="Times New Roman" w:eastAsia="Times New Roman" w:hint="ascii"/>
          <w:sz w:val="18"/>
        </w:rPr>
        <w:t>B030203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量热学</w:t>
      </w:r>
      <w:r>
        <w:rPr>
          <w:rFonts w:ascii="Times New Roman" w:hAnsi="Times New Roman" w:cs="Times New Roman" w:eastAsia="Times New Roman" w:hint="ascii"/>
          <w:sz w:val="18"/>
        </w:rPr>
        <w:t>B030204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复杂流体</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非平衡态热力学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统计热力学</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化学动态学</w:t>
      </w:r>
    </w:p>
    <w:p>
      <w:pPr>
        <w:autoSpaceDE w:val="0"/>
        <w:autoSpaceDN w:val="0"/>
        <w:jc w:val="left"/>
        <w:spacing w:before="62" w:after="0" w:lineRule="auto" w:line="312"/>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宏观动力学</w:t>
      </w:r>
      <w:r>
        <w:rPr>
          <w:rFonts w:ascii="Times New Roman" w:hAnsi="Times New Roman" w:cs="Times New Roman" w:eastAsia="Times New Roman" w:hint="ascii"/>
          <w:sz w:val="18"/>
        </w:rPr>
        <w:t>B030302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分子反应动力学</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B030303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超</w:t>
      </w:r>
      <w:r>
        <w:rPr>
          <w:rFonts w:ascii="宋体" w:hAnsi="宋体" w:cs="宋体" w:eastAsia="宋体" w:hint="ascii"/>
          <w:sz w:val="18"/>
        </w:rPr>
        <w:t>快与激发态动力学</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燃烧化学动力学</w:t>
      </w:r>
    </w:p>
    <w:p>
      <w:pPr>
        <w:autoSpaceDE w:val="0"/>
        <w:autoSpaceDN w:val="0"/>
        <w:jc w:val="left"/>
        <w:spacing w:before="282"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258</w:t>
      </w:r>
      <w:r>
        <w:rPr>
          <w:rFonts w:ascii="宋体" w:hAnsi="宋体" w:cs="宋体" w:eastAsia="宋体" w:hint="ascii"/>
          <w:sz w:val="18"/>
        </w:rPr>
        <w:t>·</w:t>
      </w:r>
    </w:p>
    <w:p>
      <w:pPr>
        <w:autoSpaceDE w:val="0"/>
        <w:autoSpaceDN w:val="0"/>
        <w:jc w:val="left"/>
        <w:spacing w:before="354" w:after="0" w:lineRule="auto" w:line="240"/>
        <w:ind w:right="0"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B030305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非绝热动力学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结构化学</w:t>
      </w:r>
    </w:p>
    <w:p>
      <w:pPr>
        <w:autoSpaceDE w:val="0"/>
        <w:autoSpaceDN w:val="0"/>
        <w:jc w:val="left"/>
        <w:spacing w:before="68" w:after="0" w:lineRule="auto" w:line="313"/>
        <w:ind w:right="138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溶液结构</w:t>
      </w:r>
      <w:r>
        <w:rPr>
          <w:rFonts w:ascii="Times New Roman" w:hAnsi="Times New Roman" w:cs="Times New Roman" w:eastAsia="Times New Roman" w:hint="ascii"/>
          <w:sz w:val="18"/>
        </w:rPr>
        <w:t>B030402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表面结构</w:t>
      </w:r>
      <w:r>
        <w:rPr>
          <w:rFonts w:ascii="Times New Roman" w:hAnsi="Times New Roman" w:cs="Times New Roman" w:eastAsia="Times New Roman" w:hint="ascii"/>
          <w:sz w:val="18"/>
        </w:rPr>
        <w:t>B030403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体相结构</w:t>
      </w:r>
      <w:r>
        <w:rPr>
          <w:rFonts w:ascii="Times New Roman" w:hAnsi="Times New Roman" w:cs="Times New Roman" w:eastAsia="Times New Roman" w:hint="ascii"/>
          <w:sz w:val="18"/>
        </w:rPr>
        <w:t>B030404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纳米及介观结构</w:t>
      </w:r>
      <w:r>
        <w:rPr>
          <w:rFonts w:ascii="Times New Roman" w:hAnsi="Times New Roman" w:cs="Times New Roman" w:eastAsia="Times New Roman" w:hint="ascii"/>
          <w:sz w:val="18"/>
        </w:rPr>
        <w:t>B030405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动态结构</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结构表征方法与技术</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光化学与光谱学</w:t>
      </w:r>
    </w:p>
    <w:p>
      <w:pPr>
        <w:autoSpaceDE w:val="0"/>
        <w:autoSpaceDN w:val="0"/>
        <w:jc w:val="left"/>
        <w:spacing w:before="67" w:after="0" w:lineRule="auto" w:line="314"/>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激光光谱学</w:t>
      </w:r>
      <w:r>
        <w:rPr>
          <w:rFonts w:ascii="Times New Roman" w:hAnsi="Times New Roman" w:cs="Times New Roman" w:eastAsia="Times New Roman" w:hint="ascii"/>
          <w:sz w:val="18"/>
        </w:rPr>
        <w:t>B030502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分子光谱学</w:t>
      </w:r>
      <w:r>
        <w:rPr>
          <w:rFonts w:ascii="Times New Roman" w:hAnsi="Times New Roman" w:cs="Times New Roman" w:eastAsia="Times New Roman" w:hint="ascii"/>
          <w:sz w:val="18"/>
        </w:rPr>
        <w:t>B030503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激发态化学</w:t>
      </w:r>
    </w:p>
    <w:p>
      <w:pPr>
        <w:autoSpaceDE w:val="0"/>
        <w:autoSpaceDN w:val="0"/>
        <w:jc w:val="left"/>
        <w:spacing w:before="0" w:after="0" w:lineRule="auto" w:line="239"/>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光化学与光物理过程</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化学反应机制</w:t>
      </w:r>
    </w:p>
    <w:p>
      <w:pPr>
        <w:autoSpaceDE w:val="0"/>
        <w:autoSpaceDN w:val="0"/>
        <w:jc w:val="left"/>
        <w:spacing w:before="68" w:after="0" w:lineRule="auto" w:line="313"/>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理论无机化学</w:t>
      </w:r>
      <w:r>
        <w:rPr>
          <w:rFonts w:ascii="Times New Roman" w:hAnsi="Times New Roman" w:cs="Times New Roman" w:eastAsia="Times New Roman" w:hint="ascii"/>
          <w:sz w:val="18"/>
          <w:spacing w:val="-1"/>
        </w:rPr>
        <w:t>B030602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无</w:t>
      </w:r>
      <w:r>
        <w:rPr>
          <w:rFonts w:ascii="宋体" w:hAnsi="宋体" w:cs="宋体" w:eastAsia="宋体" w:hint="ascii"/>
          <w:sz w:val="18"/>
        </w:rPr>
        <w:t>机反应热力学与动</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力学</w:t>
      </w:r>
    </w:p>
    <w:p>
      <w:pPr>
        <w:autoSpaceDE w:val="0"/>
        <w:autoSpaceDN w:val="0"/>
        <w:jc w:val="left"/>
        <w:spacing w:before="62" w:after="0" w:lineRule="auto" w:line="314"/>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有机化学反应机制</w:t>
      </w:r>
      <w:r>
        <w:rPr>
          <w:rFonts w:ascii="Times New Roman" w:hAnsi="Times New Roman" w:cs="Times New Roman" w:eastAsia="Times New Roman" w:hint="ascii"/>
          <w:sz w:val="18"/>
          <w:spacing w:val="-1"/>
        </w:rPr>
        <w:t>B030604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理</w:t>
      </w:r>
      <w:r>
        <w:rPr>
          <w:rFonts w:ascii="宋体" w:hAnsi="宋体" w:cs="宋体" w:eastAsia="宋体" w:hint="ascii"/>
          <w:sz w:val="18"/>
        </w:rPr>
        <w:t>论与计算有机化学</w:t>
      </w:r>
      <w:r>
        <w:rPr>
          <w:rFonts w:ascii="Times New Roman" w:hAnsi="Times New Roman" w:cs="Times New Roman" w:eastAsia="Times New Roman" w:hint="ascii"/>
          <w:sz w:val="18"/>
        </w:rPr>
        <w:t>B030605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单分子电子学</w:t>
      </w:r>
      <w:r>
        <w:rPr>
          <w:rFonts w:ascii="Times New Roman" w:hAnsi="Times New Roman" w:cs="Times New Roman" w:eastAsia="Times New Roman" w:hint="ascii"/>
          <w:sz w:val="18"/>
        </w:rPr>
        <w:t>B030606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分子磁学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高分子物理与高分子物理化学</w:t>
      </w:r>
    </w:p>
    <w:p>
      <w:pPr>
        <w:autoSpaceDE w:val="0"/>
        <w:autoSpaceDN w:val="0"/>
        <w:jc w:val="left"/>
        <w:spacing w:before="67" w:after="0" w:lineRule="auto" w:line="314"/>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高分子表征方法</w:t>
      </w:r>
      <w:r>
        <w:rPr>
          <w:rFonts w:ascii="Times New Roman" w:hAnsi="Times New Roman" w:cs="Times New Roman" w:eastAsia="Times New Roman" w:hint="ascii"/>
          <w:sz w:val="18"/>
        </w:rPr>
        <w:t>B030702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大分子理论、计算</w:t>
      </w:r>
      <w:r>
        <w:rPr>
          <w:rFonts w:ascii="宋体" w:hAnsi="宋体" w:cs="宋体" w:eastAsia="宋体" w:hint="ascii"/>
          <w:sz w:val="18"/>
        </w:rPr>
        <w:t>与</w:t>
      </w:r>
    </w:p>
    <w:p>
      <w:pPr>
        <w:autoSpaceDE w:val="0"/>
        <w:autoSpaceDN w:val="0"/>
        <w:jc w:val="left"/>
        <w:spacing w:before="429496729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模拟</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B030703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高分子结晶与相</w:t>
      </w:r>
      <w:r>
        <w:rPr>
          <w:rFonts w:ascii="宋体" w:hAnsi="宋体" w:cs="宋体" w:eastAsia="宋体" w:hint="ascii"/>
          <w:sz w:val="18"/>
        </w:rPr>
        <w:t>变</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机</w:t>
      </w:r>
      <w:r>
        <w:rPr>
          <w:rFonts w:ascii="宋体" w:hAnsi="宋体" w:cs="宋体" w:eastAsia="宋体" w:hint="ascii"/>
          <w:sz w:val="18"/>
        </w:rPr>
        <w:t>制</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高分子结构、性能与</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动态过程</w:t>
      </w:r>
    </w:p>
    <w:p>
      <w:pPr>
        <w:autoSpaceDE w:val="0"/>
        <w:autoSpaceDN w:val="0"/>
        <w:jc w:val="left"/>
        <w:spacing w:before="62" w:after="0" w:lineRule="auto" w:line="313"/>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高分子流变学</w:t>
      </w:r>
      <w:r>
        <w:rPr>
          <w:rFonts w:ascii="Times New Roman" w:hAnsi="Times New Roman" w:cs="Times New Roman" w:eastAsia="Times New Roman" w:hint="ascii"/>
          <w:sz w:val="18"/>
          <w:spacing w:val="-1"/>
        </w:rPr>
        <w:t>B030706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大</w:t>
      </w:r>
      <w:r>
        <w:rPr>
          <w:rFonts w:ascii="宋体" w:hAnsi="宋体" w:cs="宋体" w:eastAsia="宋体" w:hint="ascii"/>
          <w:sz w:val="18"/>
        </w:rPr>
        <w:t>分子链行为与相互</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作用</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B0308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化学信息学</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B030801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分子信息学</w:t>
      </w:r>
    </w:p>
    <w:p>
      <w:pPr>
        <w:autoSpaceDE w:val="0"/>
        <w:autoSpaceDN w:val="0"/>
        <w:jc w:val="left"/>
        <w:spacing w:before="67" w:after="0" w:lineRule="auto" w:line="314"/>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B030802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化</w:t>
      </w:r>
      <w:r>
        <w:rPr>
          <w:rFonts w:ascii="宋体" w:hAnsi="宋体" w:cs="宋体" w:eastAsia="宋体" w:hint="ascii"/>
          <w:sz w:val="18"/>
        </w:rPr>
        <w:t>学反应过程信息学</w:t>
      </w:r>
      <w:r>
        <w:rPr>
          <w:rFonts w:ascii="Times New Roman" w:hAnsi="Times New Roman" w:cs="Times New Roman" w:eastAsia="Times New Roman" w:hint="ascii"/>
          <w:sz w:val="18"/>
        </w:rPr>
        <w:t>B030803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化学大数据挖掘</w:t>
      </w:r>
      <w:r>
        <w:rPr>
          <w:rFonts w:ascii="Times New Roman" w:hAnsi="Times New Roman" w:cs="Times New Roman" w:eastAsia="Times New Roman" w:hint="ascii"/>
          <w:sz w:val="18"/>
        </w:rPr>
        <w:t>B030804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化学计量学</w:t>
      </w:r>
    </w:p>
    <w:p>
      <w:pPr>
        <w:autoSpaceDE w:val="0"/>
        <w:autoSpaceDN w:val="0"/>
        <w:jc w:val="left"/>
        <w:spacing w:before="0" w:after="0" w:lineRule="auto" w:line="23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B04</w:t>
      </w:r>
      <w:r>
        <w:rPr>
          <w:rFonts w:ascii="Times New Roman" w:hAnsi="Times New Roman" w:cs="Times New Roman" w:eastAsia="Times New Roman" w:hint="ascii"/>
          <w:b w:val="1"/>
          <w:spacing w:val="60"/>
        </w:rPr>
        <w:t xml:space="preserve"> </w:t>
      </w:r>
      <w:r>
        <w:rPr>
          <w:rFonts w:ascii="宋体" w:hAnsi="宋体" w:cs="宋体" w:eastAsia="宋体" w:hint="ascii"/>
        </w:rPr>
        <w:t>化学测量学</w:t>
      </w:r>
    </w:p>
    <w:p>
      <w:pPr>
        <w:autoSpaceDE w:val="0"/>
        <w:autoSpaceDN w:val="0"/>
        <w:jc w:val="left"/>
        <w:spacing w:before="9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分离分析</w:t>
      </w:r>
    </w:p>
    <w:p>
      <w:pPr>
        <w:autoSpaceDE w:val="0"/>
        <w:autoSpaceDN w:val="0"/>
        <w:jc w:val="left"/>
        <w:spacing w:before="67" w:after="0" w:lineRule="auto" w:line="314"/>
        <w:ind w:right="1389"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B040101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样品处理</w:t>
      </w:r>
      <w:r>
        <w:rPr>
          <w:rFonts w:ascii="Times New Roman" w:hAnsi="Times New Roman" w:cs="Times New Roman" w:eastAsia="Times New Roman" w:hint="ascii"/>
          <w:sz w:val="18"/>
        </w:rPr>
        <w:t>B040102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分离介质</w:t>
      </w:r>
      <w:r>
        <w:rPr>
          <w:rFonts w:ascii="Times New Roman" w:hAnsi="Times New Roman" w:cs="Times New Roman" w:eastAsia="Times New Roman" w:hint="ascii"/>
          <w:sz w:val="18"/>
        </w:rPr>
        <w:t>B040103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色谱分析</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314"/>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电泳分析</w:t>
      </w:r>
      <w:r>
        <w:rPr>
          <w:rFonts w:ascii="Times New Roman" w:hAnsi="Times New Roman" w:cs="Times New Roman" w:eastAsia="Times New Roman" w:hint="ascii"/>
          <w:sz w:val="18"/>
        </w:rPr>
        <w:t>B040105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微纳流控</w:t>
      </w:r>
      <w:r>
        <w:rPr>
          <w:rFonts w:ascii="Times New Roman" w:hAnsi="Times New Roman" w:cs="Times New Roman" w:eastAsia="Times New Roman" w:hint="ascii"/>
          <w:sz w:val="18"/>
        </w:rPr>
        <w:t>B040106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组学分析</w:t>
      </w:r>
      <w:r>
        <w:rPr>
          <w:rFonts w:ascii="宋体" w:hAnsi="宋体" w:cs="宋体" w:eastAsia="宋体" w:hint="ascii"/>
          <w:sz w:val="18"/>
        </w:rPr>
        <mc:AlternateContent>
          <mc:Choice Requires="wps">
            <w:drawing>
              <wp:anchor distL="0" distR="0" distT="0" distB="0" simplePos="0" behindDoc="1" relativeHeight="340" locked="0" layoutInCell="1" allowOverlap="1">
                <wp:simplePos x="0" y="0"/>
                <wp:positionH relativeFrom="page">
                  <wp:posOffset>938530</wp:posOffset>
                </wp:positionH>
                <wp:positionV relativeFrom="page">
                  <wp:posOffset>819150</wp:posOffset>
                </wp:positionV>
                <wp:extent cx="5076190" cy="0"/>
                <wp:wrapNone/>
                <wp:docPr id="1367" name="136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10080;width:399.70pt;" id="136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电分析化学</w: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电分析化学基础</w:t>
      </w:r>
      <w:r>
        <w:rPr>
          <w:rFonts w:ascii="Times New Roman" w:hAnsi="Times New Roman" w:cs="Times New Roman" w:eastAsia="Times New Roman" w:hint="ascii"/>
          <w:sz w:val="18"/>
        </w:rPr>
        <w:t>B040202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微电极与超微电极</w:t>
      </w:r>
      <w:r>
        <w:rPr>
          <w:rFonts w:ascii="Times New Roman" w:hAnsi="Times New Roman" w:cs="Times New Roman" w:eastAsia="Times New Roman" w:hint="ascii"/>
          <w:sz w:val="18"/>
        </w:rPr>
        <w:t>B040203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谱学电分析化学</w:t>
      </w:r>
      <w:r>
        <w:rPr>
          <w:rFonts w:ascii="Times New Roman" w:hAnsi="Times New Roman" w:cs="Times New Roman" w:eastAsia="Times New Roman" w:hint="ascii"/>
          <w:sz w:val="18"/>
        </w:rPr>
        <w:t>B040204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单分子电分析化学</w:t>
      </w:r>
      <w:r>
        <w:rPr>
          <w:rFonts w:ascii="Times New Roman" w:hAnsi="Times New Roman" w:cs="Times New Roman" w:eastAsia="Times New Roman" w:hint="ascii"/>
          <w:sz w:val="18"/>
        </w:rPr>
        <w:t>B040205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生物电分析化学</w:t>
      </w:r>
      <w:r>
        <w:rPr>
          <w:rFonts w:ascii="Times New Roman" w:hAnsi="Times New Roman" w:cs="Times New Roman" w:eastAsia="Times New Roman" w:hint="ascii"/>
          <w:sz w:val="18"/>
        </w:rPr>
        <w:t>B040206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w:t>
      </w:r>
      <w:r>
        <w:rPr>
          <w:rFonts w:ascii="Times New Roman" w:hAnsi="Times New Roman" w:cs="Times New Roman" w:eastAsia="Times New Roman" w:hint="ascii"/>
          <w:sz w:val="18"/>
        </w:rPr>
        <w:t>/</w:t>
      </w:r>
      <w:r>
        <w:rPr>
          <w:rFonts w:ascii="宋体" w:hAnsi="宋体" w:cs="宋体" w:eastAsia="宋体" w:hint="ascii"/>
          <w:sz w:val="18"/>
        </w:rPr>
        <w:t>电分析化学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谱学方法与理论</w:t>
      </w:r>
    </w:p>
    <w:p>
      <w:pPr>
        <w:autoSpaceDE w:val="0"/>
        <w:autoSpaceDN w:val="0"/>
        <w:jc w:val="left"/>
        <w:spacing w:before="68" w:after="0" w:lineRule="auto" w:line="314"/>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原子光谱</w:t>
      </w:r>
      <w:r>
        <w:rPr>
          <w:rFonts w:ascii="Times New Roman" w:hAnsi="Times New Roman" w:cs="Times New Roman" w:eastAsia="Times New Roman" w:hint="ascii"/>
          <w:sz w:val="18"/>
        </w:rPr>
        <w:t>B040302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分子光谱</w:t>
      </w:r>
      <w:r>
        <w:rPr>
          <w:rFonts w:ascii="Times New Roman" w:hAnsi="Times New Roman" w:cs="Times New Roman" w:eastAsia="Times New Roman" w:hint="ascii"/>
          <w:sz w:val="18"/>
        </w:rPr>
        <w:t>B040303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质谱分析</w:t>
      </w:r>
      <w:r>
        <w:rPr>
          <w:rFonts w:ascii="Times New Roman" w:hAnsi="Times New Roman" w:cs="Times New Roman" w:eastAsia="Times New Roman" w:hint="ascii"/>
          <w:sz w:val="18"/>
        </w:rPr>
        <w:t>B040304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磁共振波谱</w:t>
      </w:r>
      <w:r>
        <w:rPr>
          <w:rFonts w:ascii="Times New Roman" w:hAnsi="Times New Roman" w:cs="Times New Roman" w:eastAsia="Times New Roman" w:hint="ascii"/>
          <w:sz w:val="18"/>
        </w:rPr>
        <w:t>B040305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能谱分析</w:t>
      </w:r>
      <w:r>
        <w:rPr>
          <w:rFonts w:ascii="Times New Roman" w:hAnsi="Times New Roman" w:cs="Times New Roman" w:eastAsia="Times New Roman" w:hint="ascii"/>
          <w:sz w:val="18"/>
        </w:rPr>
        <w:t>B040306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量热分析</w:t>
      </w:r>
      <w:r>
        <w:rPr>
          <w:rFonts w:ascii="Times New Roman" w:hAnsi="Times New Roman" w:cs="Times New Roman" w:eastAsia="Times New Roman" w:hint="ascii"/>
          <w:sz w:val="18"/>
        </w:rPr>
        <w:t>B040307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谱学信息解析</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化学与生物传感</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传感原理及方法</w:t>
      </w:r>
      <w:r>
        <w:rPr>
          <w:rFonts w:ascii="Times New Roman" w:hAnsi="Times New Roman" w:cs="Times New Roman" w:eastAsia="Times New Roman" w:hint="ascii"/>
          <w:sz w:val="18"/>
        </w:rPr>
        <w:t>B040402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探针标记与传感</w:t>
      </w:r>
      <w:r>
        <w:rPr>
          <w:rFonts w:ascii="Times New Roman" w:hAnsi="Times New Roman" w:cs="Times New Roman" w:eastAsia="Times New Roman" w:hint="ascii"/>
          <w:sz w:val="18"/>
          <w:spacing w:val="-1"/>
        </w:rPr>
        <w:t>B040403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单</w:t>
      </w:r>
      <w:r>
        <w:rPr>
          <w:rFonts w:ascii="宋体" w:hAnsi="宋体" w:cs="宋体" w:eastAsia="宋体" w:hint="ascii"/>
          <w:sz w:val="18"/>
        </w:rPr>
        <w:t>分子单细胞单颗粒</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分析</w:t>
      </w:r>
    </w:p>
    <w:p>
      <w:pPr>
        <w:autoSpaceDE w:val="0"/>
        <w:autoSpaceDN w:val="0"/>
        <w:jc w:val="left"/>
        <w:spacing w:before="62" w:after="0" w:lineRule="auto" w:line="313"/>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核酸与蛋白分析</w:t>
      </w:r>
      <w:r>
        <w:rPr>
          <w:rFonts w:ascii="Times New Roman" w:hAnsi="Times New Roman" w:cs="Times New Roman" w:eastAsia="Times New Roman" w:hint="ascii"/>
          <w:sz w:val="18"/>
        </w:rPr>
        <w:t>B040405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活体分析</w:t>
      </w:r>
      <w:r>
        <w:rPr>
          <w:rFonts w:ascii="Times New Roman" w:hAnsi="Times New Roman" w:cs="Times New Roman" w:eastAsia="Times New Roman" w:hint="ascii"/>
          <w:sz w:val="18"/>
        </w:rPr>
        <w:t>B040406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生物芯片</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B040407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极</w:t>
      </w:r>
      <w:r>
        <w:rPr>
          <w:rFonts w:ascii="宋体" w:hAnsi="宋体" w:cs="宋体" w:eastAsia="宋体" w:hint="ascii"/>
          <w:sz w:val="18"/>
        </w:rPr>
        <w:t>端条件下分析技术</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化学成像</w:t>
      </w:r>
    </w:p>
    <w:p>
      <w:pPr>
        <w:autoSpaceDE w:val="0"/>
        <w:autoSpaceDN w:val="0"/>
        <w:jc w:val="left"/>
        <w:spacing w:before="67" w:after="0" w:lineRule="auto" w:line="314"/>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成像原理与技术</w:t>
      </w:r>
      <w:r>
        <w:rPr>
          <w:rFonts w:ascii="Times New Roman" w:hAnsi="Times New Roman" w:cs="Times New Roman" w:eastAsia="Times New Roman" w:hint="ascii"/>
          <w:sz w:val="18"/>
        </w:rPr>
        <w:t>B040502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表界面成像</w:t>
      </w:r>
      <w:r>
        <w:rPr>
          <w:rFonts w:ascii="Times New Roman" w:hAnsi="Times New Roman" w:cs="Times New Roman" w:eastAsia="Times New Roman" w:hint="ascii"/>
          <w:sz w:val="18"/>
        </w:rPr>
        <w:t>B040503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元素与分子成像</w:t>
      </w:r>
      <w:r>
        <w:rPr>
          <w:rFonts w:ascii="Times New Roman" w:hAnsi="Times New Roman" w:cs="Times New Roman" w:eastAsia="Times New Roman" w:hint="ascii"/>
          <w:sz w:val="18"/>
        </w:rPr>
        <w:t>B040504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细胞成像</w:t>
      </w:r>
      <w:r>
        <w:rPr>
          <w:rFonts w:ascii="Times New Roman" w:hAnsi="Times New Roman" w:cs="Times New Roman" w:eastAsia="Times New Roman" w:hint="ascii"/>
          <w:sz w:val="18"/>
        </w:rPr>
        <w:t>B040505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活体成像</w: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多模态多尺度成像</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B040507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动态成像与大数</w:t>
      </w:r>
      <w:r>
        <w:rPr>
          <w:rFonts w:ascii="宋体" w:hAnsi="宋体" w:cs="宋体" w:eastAsia="宋体" w:hint="ascii"/>
          <w:sz w:val="18"/>
        </w:rPr>
        <w:t>据</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分</w:t>
      </w:r>
      <w:r>
        <w:rPr>
          <w:rFonts w:ascii="宋体" w:hAnsi="宋体" w:cs="宋体" w:eastAsia="宋体" w:hint="ascii"/>
          <w:sz w:val="18"/>
        </w:rPr>
        <w:t>析</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化学分析与应用</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食品分析</w:t>
      </w:r>
    </w:p>
    <w:p>
      <w:pPr>
        <w:autoSpaceDE w:val="0"/>
        <w:autoSpaceDN w:val="0"/>
        <w:jc w:val="left"/>
        <w:spacing w:before="68"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B040602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有</w:t>
      </w:r>
      <w:r>
        <w:rPr>
          <w:rFonts w:ascii="宋体" w:hAnsi="宋体" w:cs="宋体" w:eastAsia="宋体" w:hint="ascii"/>
          <w:sz w:val="18"/>
        </w:rPr>
        <w:t>机与天然产物分析</w:t>
      </w:r>
      <w:r>
        <w:rPr>
          <w:rFonts w:ascii="Times New Roman" w:hAnsi="Times New Roman" w:cs="Times New Roman" w:eastAsia="Times New Roman" w:hint="ascii"/>
          <w:sz w:val="18"/>
        </w:rPr>
        <w:t>B040603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生物与药物分析</w:t>
      </w:r>
      <w:r>
        <w:rPr>
          <w:rFonts w:ascii="Times New Roman" w:hAnsi="Times New Roman" w:cs="Times New Roman" w:eastAsia="Times New Roman" w:hint="ascii"/>
          <w:sz w:val="18"/>
        </w:rPr>
        <w:t>B040604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资源与环境分析</w:t>
      </w:r>
      <w:r>
        <w:rPr>
          <w:rFonts w:ascii="Times New Roman" w:hAnsi="Times New Roman" w:cs="Times New Roman" w:eastAsia="Times New Roman" w:hint="ascii"/>
          <w:sz w:val="18"/>
        </w:rPr>
        <w:t>B040605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精准医学分析</w:t>
      </w:r>
    </w:p>
    <w:p>
      <w:pPr>
        <w:autoSpaceDE w:val="0"/>
        <w:autoSpaceDN w:val="0"/>
        <w:jc w:val="left"/>
        <w:spacing w:before="327" w:after="0" w:lineRule="auto" w:line="313"/>
        <w:ind w:right="1119"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B040606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防化与放射分析</w:t>
      </w:r>
      <w:r>
        <w:rPr>
          <w:rFonts w:ascii="Times New Roman" w:hAnsi="Times New Roman" w:cs="Times New Roman" w:eastAsia="Times New Roman" w:hint="ascii"/>
          <w:sz w:val="18"/>
          <w:spacing w:val="-1"/>
        </w:rPr>
        <w:t>B040607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公</w:t>
      </w:r>
      <w:r>
        <w:rPr>
          <w:rFonts w:ascii="宋体" w:hAnsi="宋体" w:cs="宋体" w:eastAsia="宋体" w:hint="ascii"/>
          <w:sz w:val="18"/>
        </w:rPr>
        <w:t>共安全分析与溯源</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B0407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仪器创制</w:t>
      </w:r>
    </w:p>
    <w:p>
      <w:pPr>
        <w:autoSpaceDE w:val="0"/>
        <w:autoSpaceDN w:val="0"/>
        <w:jc w:val="left"/>
        <w:spacing w:before="7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基于新概念新原理的</w:t>
      </w:r>
    </w:p>
    <w:p>
      <w:pPr>
        <w:autoSpaceDE w:val="0"/>
        <w:autoSpaceDN w:val="0"/>
        <w:jc w:val="left"/>
        <w:spacing w:before="7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仪器与装置</w:t>
      </w:r>
    </w:p>
    <w:p>
      <w:pPr>
        <w:autoSpaceDE w:val="0"/>
        <w:autoSpaceDN w:val="0"/>
        <w:jc w:val="both"/>
        <w:spacing w:before="68" w:after="0" w:lineRule="auto" w:line="320"/>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B040702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超</w:t>
      </w:r>
      <w:r>
        <w:rPr>
          <w:rFonts w:ascii="宋体" w:hAnsi="宋体" w:cs="宋体" w:eastAsia="宋体" w:hint="ascii"/>
          <w:sz w:val="18"/>
        </w:rPr>
        <w:t>快光谱与成像技术</w:t>
      </w:r>
      <w:r>
        <w:rPr>
          <w:rFonts w:ascii="Times New Roman" w:hAnsi="Times New Roman" w:cs="Times New Roman" w:eastAsia="Times New Roman" w:hint="ascii"/>
          <w:sz w:val="18"/>
        </w:rPr>
        <w:t>B040703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超高时</w:t>
      </w:r>
      <w:r>
        <w:rPr>
          <w:rFonts w:ascii="宋体" w:hAnsi="宋体" w:cs="宋体" w:eastAsia="宋体" w:hint="ascii"/>
          <w:sz w:val="18"/>
        </w:rPr>
        <w:t>-</w:t>
      </w:r>
      <w:r>
        <w:rPr>
          <w:rFonts w:ascii="宋体" w:hAnsi="宋体" w:cs="宋体" w:eastAsia="宋体" w:hint="ascii"/>
          <w:sz w:val="18"/>
        </w:rPr>
        <w:t>空分辨成像</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超高能量分辨与谱学</w:t>
      </w:r>
    </w:p>
    <w:p>
      <w:pPr>
        <w:autoSpaceDE w:val="0"/>
        <w:autoSpaceDN w:val="0"/>
        <w:jc w:val="left"/>
        <w:spacing w:before="7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超高灵敏谱学与成像</w:t>
      </w:r>
    </w:p>
    <w:p>
      <w:pPr>
        <w:autoSpaceDE w:val="0"/>
        <w:autoSpaceDN w:val="0"/>
        <w:jc w:val="left"/>
        <w:spacing w:before="74"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both"/>
        <w:spacing w:before="67" w:after="0" w:lineRule="auto" w:line="320"/>
        <w:ind w:right="121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B040706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7"/>
        </w:rPr>
        <w:t>非</w:t>
      </w:r>
      <w:r>
        <w:rPr>
          <w:rFonts w:ascii="宋体" w:hAnsi="宋体" w:cs="宋体" w:eastAsia="宋体" w:hint="ascii"/>
          <w:sz w:val="18"/>
          <w:spacing w:val="-6"/>
        </w:rPr>
        <w:t>标记生物成像技</w:t>
      </w:r>
      <w:r>
        <w:rPr>
          <w:rFonts w:ascii="宋体" w:hAnsi="宋体" w:cs="宋体" w:eastAsia="宋体" w:hint="ascii"/>
          <w:sz w:val="18"/>
        </w:rPr>
        <w:t>术</w:t>
      </w:r>
      <w:r>
        <w:rPr>
          <w:rFonts w:ascii="Times New Roman" w:hAnsi="Times New Roman" w:cs="Times New Roman" w:eastAsia="Times New Roman" w:hint="ascii"/>
          <w:sz w:val="18"/>
        </w:rPr>
        <w:t>B040707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单分子谱学与成</w:t>
      </w:r>
      <w:r>
        <w:rPr>
          <w:rFonts w:ascii="宋体" w:hAnsi="宋体" w:cs="宋体" w:eastAsia="宋体" w:hint="ascii"/>
          <w:sz w:val="18"/>
        </w:rPr>
        <w:t>像</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B040708</w:t>
      </w:r>
      <w:r>
        <w:rPr>
          <w:rFonts w:ascii="Times New Roman" w:hAnsi="Times New Roman" w:cs="Times New Roman" w:eastAsia="Times New Roman" w:hint="ascii"/>
          <w:sz w:val="18"/>
          <w:spacing w:val="45"/>
        </w:rPr>
        <w:t xml:space="preserve"> </w:t>
      </w:r>
      <w:r>
        <w:rPr>
          <w:rFonts w:ascii="宋体" w:hAnsi="宋体" w:cs="宋体" w:eastAsia="宋体" w:hint="ascii"/>
          <w:sz w:val="18"/>
        </w:rPr>
        <w:t>智能化与微型化仪器</w:t>
      </w:r>
    </w:p>
    <w:p>
      <w:pPr>
        <w:autoSpaceDE w:val="0"/>
        <w:autoSpaceDN w:val="0"/>
        <w:jc w:val="left"/>
        <w:spacing w:before="7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装置</w:t>
      </w:r>
    </w:p>
    <w:p>
      <w:pPr>
        <w:autoSpaceDE w:val="0"/>
        <w:autoSpaceDN w:val="0"/>
        <w:jc w:val="left"/>
        <w:spacing w:before="6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B040709</w:t>
      </w:r>
      <w:r>
        <w:rPr>
          <w:rFonts w:ascii="Times New Roman" w:hAnsi="Times New Roman" w:cs="Times New Roman" w:eastAsia="Times New Roman" w:hint="ascii"/>
          <w:sz w:val="18"/>
          <w:spacing w:val="45"/>
        </w:rPr>
        <w:t xml:space="preserve"> </w:t>
      </w:r>
      <w:r>
        <w:rPr>
          <w:rFonts w:ascii="宋体" w:hAnsi="宋体" w:cs="宋体" w:eastAsia="宋体" w:hint="ascii"/>
          <w:sz w:val="18"/>
        </w:rPr>
        <w:t>大科学装置与应用</w:t>
      </w:r>
    </w:p>
    <w:p>
      <w:pPr>
        <w:autoSpaceDE w:val="0"/>
        <w:autoSpaceDN w:val="0"/>
        <w:jc w:val="left"/>
        <w:spacing w:before="58"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B05</w:t>
      </w:r>
      <w:r>
        <w:rPr>
          <w:rFonts w:ascii="Times New Roman" w:hAnsi="Times New Roman" w:cs="Times New Roman" w:eastAsia="Times New Roman" w:hint="ascii"/>
          <w:b w:val="1"/>
          <w:spacing w:val="60"/>
        </w:rPr>
        <w:t xml:space="preserve"> </w:t>
      </w:r>
      <w:r>
        <w:rPr>
          <w:rFonts w:ascii="宋体" w:hAnsi="宋体" w:cs="宋体" w:eastAsia="宋体" w:hint="ascii"/>
        </w:rPr>
        <w:t>材料化学与能源化学</w:t>
      </w:r>
    </w:p>
    <w:p>
      <w:pPr>
        <w:autoSpaceDE w:val="0"/>
        <w:autoSpaceDN w:val="0"/>
        <w:jc w:val="left"/>
        <w:spacing w:before="9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无机与纳米材料化学</w:t>
      </w:r>
    </w:p>
    <w:p>
      <w:pPr>
        <w:autoSpaceDE w:val="0"/>
        <w:autoSpaceDN w:val="0"/>
        <w:jc w:val="left"/>
        <w:spacing w:before="73" w:after="0" w:lineRule="auto" w:line="320"/>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晶态固体材料化学</w:t>
      </w:r>
      <w:r>
        <w:rPr>
          <w:rFonts w:ascii="Times New Roman" w:hAnsi="Times New Roman" w:cs="Times New Roman" w:eastAsia="Times New Roman" w:hint="ascii"/>
          <w:sz w:val="18"/>
        </w:rPr>
        <w:t>B050102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非晶态材料化学</w:t>
      </w:r>
      <w:r>
        <w:rPr>
          <w:rFonts w:ascii="Times New Roman" w:hAnsi="Times New Roman" w:cs="Times New Roman" w:eastAsia="Times New Roman" w:hint="ascii"/>
          <w:sz w:val="18"/>
        </w:rPr>
        <w:t>B050103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无机膜材料化学</w:t>
      </w:r>
      <w:r>
        <w:rPr>
          <w:rFonts w:ascii="Times New Roman" w:hAnsi="Times New Roman" w:cs="Times New Roman" w:eastAsia="Times New Roman" w:hint="ascii"/>
          <w:sz w:val="18"/>
        </w:rPr>
        <w:t>B050104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低维纳米材料化学</w:t>
      </w:r>
      <w:r>
        <w:rPr>
          <w:rFonts w:ascii="Times New Roman" w:hAnsi="Times New Roman" w:cs="Times New Roman" w:eastAsia="Times New Roman" w:hint="ascii"/>
          <w:sz w:val="18"/>
        </w:rPr>
        <w:t>B050105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团簇材料化学</w:t>
      </w:r>
      <w:r>
        <w:rPr>
          <w:rFonts w:ascii="Times New Roman" w:hAnsi="Times New Roman" w:cs="Times New Roman" w:eastAsia="Times New Roman" w:hint="ascii"/>
          <w:sz w:val="18"/>
        </w:rPr>
        <w:t>B050106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分子基材料化学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有机高分子功能材料化学</w:t>
      </w:r>
    </w:p>
    <w:p>
      <w:pPr>
        <w:autoSpaceDE w:val="0"/>
        <w:autoSpaceDN w:val="0"/>
        <w:jc w:val="left"/>
        <w:spacing w:before="73" w:after="0" w:lineRule="auto" w:line="320"/>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B050201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吸</w:t>
      </w:r>
      <w:r>
        <w:rPr>
          <w:rFonts w:ascii="宋体" w:hAnsi="宋体" w:cs="宋体" w:eastAsia="宋体" w:hint="ascii"/>
          <w:sz w:val="18"/>
        </w:rPr>
        <w:t>附与分离功能分子</w:t>
      </w:r>
      <w:r>
        <w:rPr>
          <w:rFonts w:ascii="Times New Roman" w:hAnsi="Times New Roman" w:cs="Times New Roman" w:eastAsia="Times New Roman" w:hint="ascii"/>
          <w:sz w:val="18"/>
        </w:rPr>
        <w:t>B050202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生物医用高分子</w:t>
      </w:r>
      <w:r>
        <w:rPr>
          <w:rFonts w:ascii="Times New Roman" w:hAnsi="Times New Roman" w:cs="Times New Roman" w:eastAsia="Times New Roman" w:hint="ascii"/>
          <w:sz w:val="18"/>
        </w:rPr>
        <w:t>B050203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药物传输与缓释</w:t>
      </w:r>
      <w:r>
        <w:rPr>
          <w:rFonts w:ascii="Times New Roman" w:hAnsi="Times New Roman" w:cs="Times New Roman" w:eastAsia="Times New Roman" w:hint="ascii"/>
          <w:sz w:val="18"/>
        </w:rPr>
        <w:t>B050204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液晶分子</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光电磁功能分子</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有机高分子结构材料化学</w:t>
      </w:r>
    </w:p>
    <w:p>
      <w:pPr>
        <w:autoSpaceDE w:val="0"/>
        <w:autoSpaceDN w:val="0"/>
        <w:jc w:val="left"/>
        <w:spacing w:before="7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B050301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高分子改性与</w:t>
      </w:r>
      <w:r>
        <w:rPr>
          <w:rFonts w:ascii="宋体" w:hAnsi="宋体" w:cs="宋体" w:eastAsia="宋体" w:hint="ascii"/>
          <w:sz w:val="18"/>
          <w:spacing w:val="3"/>
        </w:rPr>
        <w:t>反</w:t>
      </w:r>
      <w:r>
        <w:rPr>
          <w:rFonts w:ascii="宋体" w:hAnsi="宋体" w:cs="宋体" w:eastAsia="宋体" w:hint="ascii"/>
          <w:sz w:val="18"/>
        </w:rPr>
        <w:t>应</w:t>
      </w:r>
    </w:p>
    <w:p>
      <w:pPr>
        <w:autoSpaceDE w:val="0"/>
        <w:autoSpaceDN w:val="0"/>
        <w:jc w:val="left"/>
        <w:spacing w:before="74"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加工成</w:t>
      </w:r>
      <w:r>
        <w:rPr>
          <w:rFonts w:ascii="宋体" w:hAnsi="宋体" w:cs="宋体" w:eastAsia="宋体" w:hint="ascii"/>
          <w:sz w:val="18"/>
        </w:rPr>
        <w:t>型</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w:t>
      </w:r>
      <w:r>
        <w:rPr>
          <w:rFonts w:ascii="Times New Roman" w:hAnsi="Times New Roman" w:cs="Times New Roman" w:eastAsia="Times New Roman" w:hint="ascii"/>
          <w:sz w:val="18"/>
          <w:spacing w:val="2"/>
        </w:rPr>
        <w:t>5</w:t>
      </w:r>
      <w:r>
        <w:rPr>
          <w:rFonts w:ascii="Times New Roman" w:hAnsi="Times New Roman" w:cs="Times New Roman" w:eastAsia="Times New Roman" w:hint="ascii"/>
          <w:sz w:val="18"/>
        </w:rPr>
        <w:t>0</w:t>
      </w:r>
      <w:r>
        <w:rPr>
          <w:rFonts w:ascii="Times New Roman" w:hAnsi="Times New Roman" w:cs="Times New Roman" w:eastAsia="Times New Roman" w:hint="ascii"/>
          <w:sz w:val="18"/>
          <w:spacing w:val="2"/>
        </w:rPr>
        <w:t>3</w:t>
      </w:r>
      <w:r>
        <w:rPr>
          <w:rFonts w:ascii="Times New Roman" w:hAnsi="Times New Roman" w:cs="Times New Roman" w:eastAsia="Times New Roman" w:hint="ascii"/>
          <w:sz w:val="18"/>
        </w:rPr>
        <w:t>02</w:t>
      </w:r>
      <w:r>
        <w:rPr>
          <w:rFonts w:ascii="Times New Roman" w:hAnsi="Times New Roman" w:cs="Times New Roman" w:eastAsia="Times New Roman" w:hint="ascii"/>
          <w:sz w:val="18"/>
          <w:spacing w:val="47"/>
        </w:rPr>
        <w:t xml:space="preserve"> </w:t>
      </w:r>
      <w:r>
        <w:rPr>
          <w:rFonts w:ascii="宋体" w:hAnsi="宋体" w:cs="宋体" w:eastAsia="宋体" w:hint="ascii"/>
          <w:sz w:val="18"/>
          <w:spacing w:val="-2"/>
        </w:rPr>
        <w:t>高分子的</w:t>
      </w:r>
      <w:r>
        <w:rPr>
          <w:rFonts w:ascii="宋体" w:hAnsi="宋体" w:cs="宋体" w:eastAsia="宋体" w:hint="ascii"/>
          <w:sz w:val="18"/>
        </w:rPr>
        <w:t>降解、稳定</w:t>
      </w:r>
    </w:p>
    <w:p>
      <w:pPr>
        <w:autoSpaceDE w:val="0"/>
        <w:autoSpaceDN w:val="0"/>
        <w:jc w:val="left"/>
        <w:spacing w:before="73" w:after="0" w:lineRule="exact" w:line="225"/>
        <w:ind w:right="0" w:left="2158" w:firstLine="0"/>
        <w:snapToGrid w:val="0"/>
        <w:textAlignment w:val="auto"/>
        <w:tabs/>
        <w:rPr>
          <w:rFonts w:ascii="宋体" w:hAnsi="宋体" w:cs="宋体" w:eastAsia="宋体" w:hint="ascii"/>
          <w:sz w:val="18"/>
        </w:rPr>
      </w:pPr>
      <w:r>
        <w:rPr>
          <w:rFonts w:ascii="宋体" w:hAnsi="宋体" w:cs="宋体" w:eastAsia="宋体" w:hint="ascii"/>
          <w:sz w:val="18"/>
        </w:rPr>
        <w:t>与阻燃</w:t>
      </w:r>
    </w:p>
    <w:p>
      <w:pPr>
        <w:autoSpaceDE w:val="0"/>
        <w:autoSpaceDN w:val="0"/>
        <w:jc w:val="left"/>
        <w:spacing w:before="6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化学纤维与聚合物弹</w:t>
      </w:r>
    </w:p>
    <w:p>
      <w:pPr>
        <w:autoSpaceDE w:val="0"/>
        <w:autoSpaceDN w:val="0"/>
        <w:jc w:val="left"/>
        <w:spacing w:before="7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性体</w:t>
      </w:r>
    </w:p>
    <w:p>
      <w:pPr>
        <w:autoSpaceDE w:val="0"/>
        <w:autoSpaceDN w:val="0"/>
        <w:jc w:val="left"/>
        <w:spacing w:before="67" w:after="0" w:lineRule="auto" w:line="321"/>
        <w:ind w:right="1119"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B050304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高性能聚合物</w:t>
      </w:r>
      <w:r>
        <w:rPr>
          <w:rFonts w:ascii="Times New Roman" w:hAnsi="Times New Roman" w:cs="Times New Roman" w:eastAsia="Times New Roman" w:hint="ascii"/>
          <w:sz w:val="18"/>
        </w:rPr>
        <w:t>B050305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生物质材料化学</w:t>
      </w:r>
      <w:rPr>
        <w:rFonts w:ascii="宋体" w:hAnsi="宋体" w:cs="宋体" w:eastAsia="宋体" w:hint="ascii"/>
        <w:sz w:val="18"/>
      </w:rPr>
    </w:p>
    <w:p>
      <w:pPr>
        <w:autoSpaceDE w:val="0"/>
        <w:autoSpaceDN w:val="0"/>
        <w:jc w:val="left"/>
        <w:spacing w:before="330"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259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复合与杂化材料化学</w:t>
      </w:r>
      <w:r>
        <w:rPr>
          <w:rFonts w:ascii="宋体" w:hAnsi="宋体" w:cs="宋体" w:eastAsia="宋体" w:hint="ascii"/>
          <w:sz w:val="18"/>
        </w:rPr>
        <mc:AlternateContent>
          <mc:Choice Requires="wps">
            <w:drawing>
              <wp:anchor distL="0" distR="0" distT="0" distB="0" simplePos="0" behindDoc="1" relativeHeight="341" locked="0" layoutInCell="1" allowOverlap="1">
                <wp:simplePos x="0" y="0"/>
                <wp:positionH relativeFrom="page">
                  <wp:posOffset>938530</wp:posOffset>
                </wp:positionH>
                <wp:positionV relativeFrom="page">
                  <wp:posOffset>805815</wp:posOffset>
                </wp:positionV>
                <wp:extent cx="5076190" cy="0"/>
                <wp:wrapNone/>
                <wp:docPr id="1368" name="136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09056;width:399.70pt;" id="136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2"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复合界面化学</w:t>
      </w:r>
      <w:r>
        <w:rPr>
          <w:rFonts w:ascii="Times New Roman" w:hAnsi="Times New Roman" w:cs="Times New Roman" w:eastAsia="Times New Roman" w:hint="ascii"/>
          <w:sz w:val="18"/>
        </w:rPr>
        <w:t>B050402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杂化材料化学</w:t>
      </w:r>
      <w:r>
        <w:rPr>
          <w:rFonts w:ascii="Times New Roman" w:hAnsi="Times New Roman" w:cs="Times New Roman" w:eastAsia="Times New Roman" w:hint="ascii"/>
          <w:sz w:val="18"/>
        </w:rPr>
        <w:t>B050403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聚合物基复合材</w:t>
      </w:r>
      <w:r>
        <w:rPr>
          <w:rFonts w:ascii="宋体" w:hAnsi="宋体" w:cs="宋体" w:eastAsia="宋体" w:hint="ascii"/>
          <w:sz w:val="18"/>
        </w:rPr>
        <w:t>料</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4"/>
        </w:rPr>
        <w:t>化</w:t>
      </w:r>
      <w:r>
        <w:rPr>
          <w:rFonts w:ascii="宋体" w:hAnsi="宋体" w:cs="宋体" w:eastAsia="宋体" w:hint="ascii"/>
          <w:sz w:val="18"/>
        </w:rPr>
        <w:t>学</w:t>
      </w:r>
    </w:p>
    <w:p>
      <w:pPr>
        <w:autoSpaceDE w:val="0"/>
        <w:autoSpaceDN w:val="0"/>
        <w:jc w:val="left"/>
        <w:spacing w:before="55"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纳米复合材料化学</w:t>
      </w:r>
      <w:r>
        <w:rPr>
          <w:rFonts w:ascii="Times New Roman" w:hAnsi="Times New Roman" w:cs="Times New Roman" w:eastAsia="Times New Roman" w:hint="ascii"/>
          <w:sz w:val="18"/>
        </w:rPr>
        <w:t>B050405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多孔材料化学</w:t>
      </w:r>
      <w:r>
        <w:rPr>
          <w:rFonts w:ascii="Times New Roman" w:hAnsi="Times New Roman" w:cs="Times New Roman" w:eastAsia="Times New Roman" w:hint="ascii"/>
          <w:sz w:val="18"/>
        </w:rPr>
        <w:t>B050406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柔性与可穿戴材</w:t>
      </w:r>
      <w:r>
        <w:rPr>
          <w:rFonts w:ascii="宋体" w:hAnsi="宋体" w:cs="宋体" w:eastAsia="宋体" w:hint="ascii"/>
          <w:sz w:val="18"/>
        </w:rPr>
        <w:t>料</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化学</w:t>
      </w:r>
    </w:p>
    <w:p>
      <w:pPr>
        <w:autoSpaceDE w:val="0"/>
        <w:autoSpaceDN w:val="0"/>
        <w:jc w:val="left"/>
        <w:spacing w:before="5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智能与仿生材料化学</w:t>
      </w:r>
    </w:p>
    <w:p>
      <w:pPr>
        <w:autoSpaceDE w:val="0"/>
        <w:autoSpaceDN w:val="0"/>
        <w:jc w:val="left"/>
        <w:spacing w:before="62"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可修复材料化学</w:t>
      </w:r>
      <w:r>
        <w:rPr>
          <w:rFonts w:ascii="Times New Roman" w:hAnsi="Times New Roman" w:cs="Times New Roman" w:eastAsia="Times New Roman" w:hint="ascii"/>
          <w:sz w:val="18"/>
          <w:spacing w:val="-1"/>
        </w:rPr>
        <w:t>B050502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外</w:t>
      </w:r>
      <w:r>
        <w:rPr>
          <w:rFonts w:ascii="宋体" w:hAnsi="宋体" w:cs="宋体" w:eastAsia="宋体" w:hint="ascii"/>
          <w:sz w:val="18"/>
        </w:rPr>
        <w:t>场响应的材料化学</w:t>
      </w:r>
      <w:r>
        <w:rPr>
          <w:rFonts w:ascii="Times New Roman" w:hAnsi="Times New Roman" w:cs="Times New Roman" w:eastAsia="Times New Roman" w:hint="ascii"/>
          <w:sz w:val="18"/>
          <w:spacing w:val="-1"/>
        </w:rPr>
        <w:t>B050503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结</w:t>
      </w:r>
      <w:r>
        <w:rPr>
          <w:rFonts w:ascii="宋体" w:hAnsi="宋体" w:cs="宋体" w:eastAsia="宋体" w:hint="ascii"/>
          <w:sz w:val="18"/>
        </w:rPr>
        <w:t>构与功能仿生材料</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化学</w:t>
      </w:r>
    </w:p>
    <w:p>
      <w:pPr>
        <w:autoSpaceDE w:val="0"/>
        <w:autoSpaceDN w:val="0"/>
        <w:jc w:val="both"/>
        <w:spacing w:before="56"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B050504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表</w:t>
      </w:r>
      <w:r>
        <w:rPr>
          <w:rFonts w:ascii="宋体" w:hAnsi="宋体" w:cs="宋体" w:eastAsia="宋体" w:hint="ascii"/>
          <w:sz w:val="18"/>
        </w:rPr>
        <w:t>界面仿生材料化学</w:t>
      </w:r>
      <w:r>
        <w:rPr>
          <w:rFonts w:ascii="Times New Roman" w:hAnsi="Times New Roman" w:cs="Times New Roman" w:eastAsia="Times New Roman" w:hint="ascii"/>
          <w:sz w:val="18"/>
          <w:spacing w:val="-1"/>
        </w:rPr>
        <w:t>B050505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物矿化与过程仿生</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化学</w:t>
      </w:r>
    </w:p>
    <w:p>
      <w:pPr>
        <w:autoSpaceDE w:val="0"/>
        <w:autoSpaceDN w:val="0"/>
        <w:jc w:val="left"/>
        <w:spacing w:before="5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含能材料化学</w:t>
      </w:r>
    </w:p>
    <w:p>
      <w:pPr>
        <w:autoSpaceDE w:val="0"/>
        <w:autoSpaceDN w:val="0"/>
        <w:jc w:val="both"/>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B050601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含</w:t>
      </w:r>
      <w:r>
        <w:rPr>
          <w:rFonts w:ascii="宋体" w:hAnsi="宋体" w:cs="宋体" w:eastAsia="宋体" w:hint="ascii"/>
          <w:sz w:val="18"/>
        </w:rPr>
        <w:t>能分子设计与合成</w:t>
      </w:r>
      <w:r>
        <w:rPr>
          <w:rFonts w:ascii="Times New Roman" w:hAnsi="Times New Roman" w:cs="Times New Roman" w:eastAsia="Times New Roman" w:hint="ascii"/>
          <w:sz w:val="18"/>
          <w:spacing w:val="-1"/>
        </w:rPr>
        <w:t>B050602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含</w:t>
      </w:r>
      <w:r>
        <w:rPr>
          <w:rFonts w:ascii="宋体" w:hAnsi="宋体" w:cs="宋体" w:eastAsia="宋体" w:hint="ascii"/>
          <w:sz w:val="18"/>
        </w:rPr>
        <w:t>能材料性能调控与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评价</w: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超高能材料化学</w:t>
      </w:r>
      <w:r>
        <w:rPr>
          <w:rFonts w:ascii="Times New Roman" w:hAnsi="Times New Roman" w:cs="Times New Roman" w:eastAsia="Times New Roman" w:hint="ascii"/>
          <w:sz w:val="18"/>
        </w:rPr>
        <w:t>B050604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含能材料安全性与</w:t>
      </w:r>
    </w:p>
    <w:p>
      <w:pPr>
        <w:autoSpaceDE w:val="0"/>
        <w:autoSpaceDN w:val="0"/>
        <w:jc w:val="left"/>
        <w:spacing w:before="0" w:after="0" w:lineRule="exact" w:line="225"/>
        <w:ind w:right="0" w:left="3123" w:firstLine="0"/>
        <w:snapToGrid w:val="0"/>
        <w:textAlignment w:val="auto"/>
        <w:tabs/>
        <w:rPr>
          <w:rFonts w:ascii="宋体" w:hAnsi="宋体" w:cs="宋体" w:eastAsia="宋体" w:hint="ascii"/>
          <w:sz w:val="18"/>
        </w:rPr>
      </w:pPr>
      <w:r>
        <w:rPr>
          <w:rFonts w:ascii="宋体" w:hAnsi="宋体" w:cs="宋体" w:eastAsia="宋体" w:hint="ascii"/>
          <w:sz w:val="18"/>
        </w:rPr>
        <w:t>稳定性</w:t>
      </w:r>
    </w:p>
    <w:p>
      <w:pPr>
        <w:autoSpaceDE w:val="0"/>
        <w:autoSpaceDN w:val="0"/>
        <w:jc w:val="left"/>
        <w:spacing w:before="5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碳基能源化学</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天然气活化与转化</w:t>
      </w:r>
      <w:r>
        <w:rPr>
          <w:rFonts w:ascii="Times New Roman" w:hAnsi="Times New Roman" w:cs="Times New Roman" w:eastAsia="Times New Roman" w:hint="ascii"/>
          <w:sz w:val="18"/>
        </w:rPr>
        <w:t>B050702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煤转化化学基础</w:t>
      </w:r>
      <w:r>
        <w:rPr>
          <w:rFonts w:ascii="Times New Roman" w:hAnsi="Times New Roman" w:cs="Times New Roman" w:eastAsia="Times New Roman" w:hint="ascii"/>
          <w:sz w:val="18"/>
        </w:rPr>
        <w:t>B050703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石油资源化学</w:t>
      </w:r>
      <w:r>
        <w:rPr>
          <w:rFonts w:ascii="Times New Roman" w:hAnsi="Times New Roman" w:cs="Times New Roman" w:eastAsia="Times New Roman" w:hint="ascii"/>
          <w:sz w:val="18"/>
        </w:rPr>
        <w:t>B050704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二氧化碳化学转化</w:t>
      </w:r>
    </w:p>
    <w:p>
      <w:pPr>
        <w:autoSpaceDE w:val="0"/>
        <w:autoSpaceDN w:val="0"/>
        <w:jc w:val="left"/>
        <w:spacing w:before="0" w:after="0" w:lineRule="auto" w:line="234"/>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电化学能源化学</w:t>
      </w:r>
    </w:p>
    <w:p>
      <w:pPr>
        <w:autoSpaceDE w:val="0"/>
        <w:autoSpaceDN w:val="0"/>
        <w:jc w:val="left"/>
        <w:spacing w:before="68" w:after="0" w:lineRule="auto" w:line="314"/>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超级电容器</w:t>
      </w:r>
      <w:r>
        <w:rPr>
          <w:rFonts w:ascii="Times New Roman" w:hAnsi="Times New Roman" w:cs="Times New Roman" w:eastAsia="Times New Roman" w:hint="ascii"/>
          <w:sz w:val="18"/>
        </w:rPr>
        <w:t>B050802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燃料电池</w:t>
      </w:r>
      <w:r>
        <w:rPr>
          <w:rFonts w:ascii="Times New Roman" w:hAnsi="Times New Roman" w:cs="Times New Roman" w:eastAsia="Times New Roman" w:hint="ascii"/>
          <w:sz w:val="18"/>
        </w:rPr>
        <w:t>B050803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化学电源</w:t>
      </w:r>
      <w:r>
        <w:rPr>
          <w:rFonts w:ascii="Times New Roman" w:hAnsi="Times New Roman" w:cs="Times New Roman" w:eastAsia="Times New Roman" w:hint="ascii"/>
          <w:sz w:val="18"/>
        </w:rPr>
        <w:t>B050804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太阳能电池</w:t>
      </w:r>
      <w:r>
        <w:rPr>
          <w:rFonts w:ascii="Times New Roman" w:hAnsi="Times New Roman" w:cs="Times New Roman" w:eastAsia="Times New Roman" w:hint="ascii"/>
          <w:sz w:val="18"/>
        </w:rPr>
        <w:t>B050805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其他新型电池</w:t>
      </w:r>
      <w:r>
        <w:rPr>
          <w:rFonts w:ascii="Times New Roman" w:hAnsi="Times New Roman" w:cs="Times New Roman" w:eastAsia="Times New Roman" w:hint="ascii"/>
          <w:sz w:val="18"/>
        </w:rPr>
        <w:t>B050806</w:t>
      </w:r>
      <w:r>
        <w:rPr>
          <w:rFonts w:ascii="Times New Roman" w:hAnsi="Times New Roman" w:cs="Times New Roman" w:eastAsia="Times New Roman" w:hint="ascii"/>
          <w:sz w:val="18"/>
          <w:spacing w:val="45"/>
        </w:rPr>
        <w:t xml:space="preserve"> </w:t>
      </w:r>
      <w:r>
        <w:rPr>
          <w:rFonts w:ascii="宋体" w:hAnsi="宋体" w:cs="宋体" w:eastAsia="宋体" w:hint="ascii"/>
          <w:sz w:val="18"/>
        </w:rPr>
        <w:t>电池回收化学</w:t>
      </w:r>
    </w:p>
    <w:p>
      <w:pPr>
        <w:autoSpaceDE w:val="0"/>
        <w:autoSpaceDN w:val="0"/>
        <w:jc w:val="left"/>
        <w:spacing w:before="0" w:after="0" w:lineRule="auto" w:line="233"/>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B0509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可再生与可持续能源化学</w:t>
      </w:r>
    </w:p>
    <w:p>
      <w:pPr>
        <w:autoSpaceDE w:val="0"/>
        <w:autoSpaceDN w:val="0"/>
        <w:jc w:val="left"/>
        <w:spacing w:before="67" w:after="0" w:lineRule="auto" w:line="314"/>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氢能源化学</w:t>
      </w:r>
      <w:r>
        <w:rPr>
          <w:rFonts w:ascii="Times New Roman" w:hAnsi="Times New Roman" w:cs="Times New Roman" w:eastAsia="Times New Roman" w:hint="ascii"/>
          <w:sz w:val="18"/>
        </w:rPr>
        <w:t>B050902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人工光合过程</w:t>
      </w:r>
      <w:r>
        <w:rPr>
          <w:rFonts w:ascii="Times New Roman" w:hAnsi="Times New Roman" w:cs="Times New Roman" w:eastAsia="Times New Roman" w:hint="ascii"/>
          <w:sz w:val="18"/>
        </w:rPr>
        <w:t>B050903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化学固氮与转化</w:t>
      </w:r>
      <w:r>
        <w:rPr>
          <w:rFonts w:ascii="Times New Roman" w:hAnsi="Times New Roman" w:cs="Times New Roman" w:eastAsia="Times New Roman" w:hint="ascii"/>
          <w:sz w:val="18"/>
        </w:rPr>
        <w:t>B050904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太阳能化学利用</w:t>
      </w:r>
      <w:r>
        <w:rPr>
          <w:rFonts w:ascii="Times New Roman" w:hAnsi="Times New Roman" w:cs="Times New Roman" w:eastAsia="Times New Roman" w:hint="ascii"/>
          <w:sz w:val="18"/>
        </w:rPr>
        <w:t>B050905</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生物质能源化学</w:t>
      </w:r>
    </w:p>
    <w:p>
      <w:pPr>
        <w:autoSpaceDE w:val="0"/>
        <w:autoSpaceDN w:val="0"/>
        <w:jc w:val="left"/>
        <w:spacing w:before="354"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B0510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能量转换材料化学</w:t>
      </w:r>
    </w:p>
    <w:p>
      <w:pPr>
        <w:autoSpaceDE w:val="0"/>
        <w:autoSpaceDN w:val="0"/>
        <w:jc w:val="left"/>
        <w:spacing w:before="61" w:after="0" w:lineRule="auto" w:line="30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B051001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储能相变材料化学</w:t>
      </w:r>
      <w:r>
        <w:rPr>
          <w:rFonts w:ascii="Times New Roman" w:hAnsi="Times New Roman" w:cs="Times New Roman" w:eastAsia="Times New Roman" w:hint="ascii"/>
          <w:sz w:val="18"/>
        </w:rPr>
        <w:t>B051002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光电转换材料化学</w:t>
      </w:r>
      <w:r>
        <w:rPr>
          <w:rFonts w:ascii="Times New Roman" w:hAnsi="Times New Roman" w:cs="Times New Roman" w:eastAsia="Times New Roman" w:hint="ascii"/>
          <w:sz w:val="18"/>
        </w:rPr>
        <w:t>B051003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热电材料化学</w:t>
      </w:r>
      <w:r>
        <w:rPr>
          <w:rFonts w:ascii="Times New Roman" w:hAnsi="Times New Roman" w:cs="Times New Roman" w:eastAsia="Times New Roman" w:hint="ascii"/>
          <w:sz w:val="18"/>
        </w:rPr>
        <w:t>B051004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光热材料化学</w:t>
      </w:r>
      <w:r>
        <w:rPr>
          <w:rFonts w:ascii="Times New Roman" w:hAnsi="Times New Roman" w:cs="Times New Roman" w:eastAsia="Times New Roman" w:hint="ascii"/>
          <w:sz w:val="18"/>
        </w:rPr>
        <w:t>B051005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其他能量转化材</w:t>
      </w:r>
      <w:r>
        <w:rPr>
          <w:rFonts w:ascii="宋体" w:hAnsi="宋体" w:cs="宋体" w:eastAsia="宋体" w:hint="ascii"/>
          <w:sz w:val="18"/>
        </w:rPr>
        <w:t>料</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化</w:t>
      </w:r>
      <w:r>
        <w:rPr>
          <w:rFonts w:ascii="宋体" w:hAnsi="宋体" w:cs="宋体" w:eastAsia="宋体" w:hint="ascii"/>
          <w:sz w:val="18"/>
        </w:rPr>
        <w:t>学</w:t>
      </w:r>
    </w:p>
    <w:p>
      <w:pPr>
        <w:autoSpaceDE w:val="0"/>
        <w:autoSpaceDN w:val="0"/>
        <w:jc w:val="left"/>
        <w:spacing w:before="50"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B06</w:t>
      </w:r>
      <w:r>
        <w:rPr>
          <w:rFonts w:ascii="Times New Roman" w:hAnsi="Times New Roman" w:cs="Times New Roman" w:eastAsia="Times New Roman" w:hint="ascii"/>
          <w:b w:val="1"/>
          <w:spacing w:val="60"/>
        </w:rPr>
        <w:t xml:space="preserve"> </w:t>
      </w:r>
      <w:r>
        <w:rPr>
          <w:rFonts w:ascii="宋体" w:hAnsi="宋体" w:cs="宋体" w:eastAsia="宋体" w:hint="ascii"/>
        </w:rPr>
        <w:t>环境化学</w:t>
      </w:r>
    </w:p>
    <w:p>
      <w:pPr>
        <w:autoSpaceDE w:val="0"/>
        <w:autoSpaceDN w:val="0"/>
        <w:jc w:val="left"/>
        <w:spacing w:before="8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环境污染化学</w:t>
      </w:r>
    </w:p>
    <w:p>
      <w:pPr>
        <w:autoSpaceDE w:val="0"/>
        <w:autoSpaceDN w:val="0"/>
        <w:jc w:val="left"/>
        <w:spacing w:before="62" w:after="0" w:lineRule="auto" w:line="307"/>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环境分析化学</w:t>
      </w:r>
      <w:r>
        <w:rPr>
          <w:rFonts w:ascii="Times New Roman" w:hAnsi="Times New Roman" w:cs="Times New Roman" w:eastAsia="Times New Roman" w:hint="ascii"/>
          <w:sz w:val="18"/>
        </w:rPr>
        <w:t>B060102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大气污染化学</w:t>
      </w:r>
      <w:r>
        <w:rPr>
          <w:rFonts w:ascii="Times New Roman" w:hAnsi="Times New Roman" w:cs="Times New Roman" w:eastAsia="Times New Roman" w:hint="ascii"/>
          <w:sz w:val="18"/>
        </w:rPr>
        <w:t>B060103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水污染化学</w:t>
      </w:r>
      <w:r>
        <w:rPr>
          <w:rFonts w:ascii="Times New Roman" w:hAnsi="Times New Roman" w:cs="Times New Roman" w:eastAsia="Times New Roman" w:hint="ascii"/>
          <w:sz w:val="18"/>
        </w:rPr>
        <w:t>B060104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土壤污染化学</w:t>
      </w:r>
    </w:p>
    <w:p>
      <w:pPr>
        <w:autoSpaceDE w:val="0"/>
        <w:autoSpaceDN w:val="0"/>
        <w:jc w:val="left"/>
        <w:spacing w:before="0" w:after="0" w:lineRule="auto" w:line="239"/>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污染物迁移转化与区</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域环境过程</w:t>
      </w:r>
    </w:p>
    <w:p>
      <w:pPr>
        <w:autoSpaceDE w:val="0"/>
        <w:autoSpaceDN w:val="0"/>
        <w:jc w:val="left"/>
        <w:spacing w:before="5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纳米环境化学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污染控制与化学修复</w:t>
      </w:r>
    </w:p>
    <w:p>
      <w:pPr>
        <w:autoSpaceDE w:val="0"/>
        <w:autoSpaceDN w:val="0"/>
        <w:jc w:val="left"/>
        <w:spacing w:before="61" w:after="0" w:lineRule="auto" w:line="308"/>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大气污染控制化学</w:t>
      </w:r>
      <w:r>
        <w:rPr>
          <w:rFonts w:ascii="Times New Roman" w:hAnsi="Times New Roman" w:cs="Times New Roman" w:eastAsia="Times New Roman" w:hint="ascii"/>
          <w:sz w:val="18"/>
        </w:rPr>
        <w:t>B060202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水污染控制与化</w:t>
      </w:r>
      <w:r>
        <w:rPr>
          <w:rFonts w:ascii="宋体" w:hAnsi="宋体" w:cs="宋体" w:eastAsia="宋体" w:hint="ascii"/>
          <w:sz w:val="18"/>
        </w:rPr>
        <w:t>学</w:t>
      </w:r>
    </w:p>
    <w:p>
      <w:pPr>
        <w:autoSpaceDE w:val="0"/>
        <w:autoSpaceDN w:val="0"/>
        <w:jc w:val="left"/>
        <w:spacing w:before="429496729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修</w:t>
      </w:r>
      <w:r>
        <w:rPr>
          <w:rFonts w:ascii="宋体" w:hAnsi="宋体" w:cs="宋体" w:eastAsia="宋体" w:hint="ascii"/>
          <w:sz w:val="18"/>
        </w:rPr>
        <w:t>复</w:t>
      </w:r>
    </w:p>
    <w:p>
      <w:pPr>
        <w:autoSpaceDE w:val="0"/>
        <w:autoSpaceDN w:val="0"/>
        <w:jc w:val="both"/>
        <w:spacing w:before="55" w:after="0" w:lineRule="auto" w:line="308"/>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B060203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土</w:t>
      </w:r>
      <w:r>
        <w:rPr>
          <w:rFonts w:ascii="宋体" w:hAnsi="宋体" w:cs="宋体" w:eastAsia="宋体" w:hint="ascii"/>
          <w:sz w:val="18"/>
        </w:rPr>
        <w:t>壤污染控制与修复</w:t>
      </w:r>
      <w:r>
        <w:rPr>
          <w:rFonts w:ascii="Times New Roman" w:hAnsi="Times New Roman" w:cs="Times New Roman" w:eastAsia="Times New Roman" w:hint="ascii"/>
          <w:sz w:val="18"/>
          <w:spacing w:val="-1"/>
        </w:rPr>
        <w:t>B060204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固</w:t>
      </w:r>
      <w:r>
        <w:rPr>
          <w:rFonts w:ascii="宋体" w:hAnsi="宋体" w:cs="宋体" w:eastAsia="宋体" w:hint="ascii"/>
          <w:sz w:val="18"/>
        </w:rPr>
        <w:t>体废物处理污染控</w:t>
      </w:r>
    </w:p>
    <w:p>
      <w:pPr>
        <w:autoSpaceDE w:val="0"/>
        <w:autoSpaceDN w:val="0"/>
        <w:jc w:val="left"/>
        <w:spacing w:before="429496729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制化学</w:t>
      </w:r>
    </w:p>
    <w:p>
      <w:pPr>
        <w:autoSpaceDE w:val="0"/>
        <w:autoSpaceDN w:val="0"/>
        <w:jc w:val="left"/>
        <w:spacing w:before="5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污染形成机制与全过</w:t>
      </w:r>
    </w:p>
    <w:p>
      <w:pPr>
        <w:autoSpaceDE w:val="0"/>
        <w:autoSpaceDN w:val="0"/>
        <w:jc w:val="left"/>
        <w:spacing w:before="62"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程控制</w:t>
      </w:r>
    </w:p>
    <w:p>
      <w:pPr>
        <w:autoSpaceDE w:val="0"/>
        <w:autoSpaceDN w:val="0"/>
        <w:jc w:val="left"/>
        <w:spacing w:before="55"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环境毒理与健康</w:t>
      </w:r>
    </w:p>
    <w:p>
      <w:pPr>
        <w:autoSpaceDE w:val="0"/>
        <w:autoSpaceDN w:val="0"/>
        <w:jc w:val="left"/>
        <w:spacing w:before="61" w:after="0" w:lineRule="auto" w:line="30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环境暴露与毒理学</w:t>
      </w:r>
      <w:r>
        <w:rPr>
          <w:rFonts w:ascii="Times New Roman" w:hAnsi="Times New Roman" w:cs="Times New Roman" w:eastAsia="Times New Roman" w:hint="ascii"/>
          <w:sz w:val="18"/>
          <w:spacing w:val="-1"/>
        </w:rPr>
        <w:t>B060302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环</w:t>
      </w:r>
      <w:r>
        <w:rPr>
          <w:rFonts w:ascii="宋体" w:hAnsi="宋体" w:cs="宋体" w:eastAsia="宋体" w:hint="ascii"/>
          <w:sz w:val="18"/>
        </w:rPr>
        <w:t>境污染生物标志物</w:t>
      </w:r>
      <w:r>
        <w:rPr>
          <w:rFonts w:ascii="Times New Roman" w:hAnsi="Times New Roman" w:cs="Times New Roman" w:eastAsia="Times New Roman" w:hint="ascii"/>
          <w:sz w:val="18"/>
        </w:rPr>
        <w:t>B060303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毒性效应与机制</w:t>
      </w:r>
      <w:r>
        <w:rPr>
          <w:rFonts w:ascii="Times New Roman" w:hAnsi="Times New Roman" w:cs="Times New Roman" w:eastAsia="Times New Roman" w:hint="ascii"/>
          <w:sz w:val="18"/>
          <w:spacing w:val="-1"/>
        </w:rPr>
        <w:t>B060304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环</w:t>
      </w:r>
      <w:r>
        <w:rPr>
          <w:rFonts w:ascii="宋体" w:hAnsi="宋体" w:cs="宋体" w:eastAsia="宋体" w:hint="ascii"/>
          <w:sz w:val="18"/>
        </w:rPr>
        <w:t>境污染与食品安全</w:t>
      </w:r>
      <w:r>
        <w:rPr>
          <w:rFonts w:ascii="Times New Roman" w:hAnsi="Times New Roman" w:cs="Times New Roman" w:eastAsia="Times New Roman" w:hint="ascii"/>
          <w:sz w:val="18"/>
          <w:spacing w:val="-1"/>
        </w:rPr>
        <w:t>B060305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污</w:t>
      </w:r>
      <w:r>
        <w:rPr>
          <w:rFonts w:ascii="宋体" w:hAnsi="宋体" w:cs="宋体" w:eastAsia="宋体" w:hint="ascii"/>
          <w:sz w:val="18"/>
        </w:rPr>
        <w:t>染生态化学与生态</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风险</w:t>
      </w:r>
    </w:p>
    <w:p>
      <w:pPr>
        <w:autoSpaceDE w:val="0"/>
        <w:autoSpaceDN w:val="0"/>
        <w:jc w:val="left"/>
        <w:spacing w:before="5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环境污染与人体健康</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理论环境化学</w:t>
      </w:r>
    </w:p>
    <w:p>
      <w:pPr>
        <w:autoSpaceDE w:val="0"/>
        <w:autoSpaceDN w:val="0"/>
        <w:jc w:val="left"/>
        <w:spacing w:before="65" w:after="0" w:lineRule="auto" w:line="313"/>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环境计算化学</w:t>
      </w:r>
      <w:r>
        <w:rPr>
          <w:rFonts w:ascii="Times New Roman" w:hAnsi="Times New Roman" w:cs="Times New Roman" w:eastAsia="Times New Roman" w:hint="ascii"/>
          <w:sz w:val="18"/>
          <w:spacing w:val="-1"/>
        </w:rPr>
        <w:t>B060402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环</w:t>
      </w:r>
      <w:r>
        <w:rPr>
          <w:rFonts w:ascii="宋体" w:hAnsi="宋体" w:cs="宋体" w:eastAsia="宋体" w:hint="ascii"/>
          <w:sz w:val="18"/>
        </w:rPr>
        <w:t>境风险甄别与解析</w:t>
      </w:r>
      <w:r>
        <w:rPr>
          <w:rFonts w:ascii="Times New Roman" w:hAnsi="Times New Roman" w:cs="Times New Roman" w:eastAsia="Times New Roman" w:hint="ascii"/>
          <w:sz w:val="18"/>
          <w:spacing w:val="-1"/>
        </w:rPr>
        <w:t>B060403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环</w:t>
      </w:r>
      <w:r>
        <w:rPr>
          <w:rFonts w:ascii="宋体" w:hAnsi="宋体" w:cs="宋体" w:eastAsia="宋体" w:hint="ascii"/>
          <w:sz w:val="18"/>
        </w:rPr>
        <w:t>境污染模拟与预测</w:t>
      </w:r>
      <w:r>
        <w:rPr>
          <w:rFonts w:ascii="Times New Roman" w:hAnsi="Times New Roman" w:cs="Times New Roman" w:eastAsia="Times New Roman" w:hint="ascii"/>
          <w:sz w:val="18"/>
          <w:spacing w:val="-1"/>
        </w:rPr>
        <w:t>B060404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环</w:t>
      </w:r>
      <w:r>
        <w:rPr>
          <w:rFonts w:ascii="宋体" w:hAnsi="宋体" w:cs="宋体" w:eastAsia="宋体" w:hint="ascii"/>
          <w:sz w:val="18"/>
        </w:rPr>
        <w:t>境化学大数据分析</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放射化学与辐射化学</w:t>
      </w:r>
    </w:p>
    <w:p>
      <w:pPr>
        <w:autoSpaceDE w:val="0"/>
        <w:autoSpaceDN w:val="0"/>
        <w:jc w:val="left"/>
        <w:spacing w:before="68" w:after="0" w:lineRule="auto" w:line="313"/>
        <w:ind w:right="1119"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B060501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环境放射化学</w:t>
      </w:r>
      <w:r>
        <w:rPr>
          <w:rFonts w:ascii="Times New Roman" w:hAnsi="Times New Roman" w:cs="Times New Roman" w:eastAsia="Times New Roman" w:hint="ascii"/>
          <w:sz w:val="18"/>
        </w:rPr>
        <w:t>B060502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放射核素分析</w:t>
      </w:r>
      <w:r>
        <w:rPr>
          <w:rFonts w:ascii="Times New Roman" w:hAnsi="Times New Roman" w:cs="Times New Roman" w:eastAsia="Times New Roman" w:hint="ascii"/>
          <w:sz w:val="18"/>
        </w:rPr>
        <w:t>B060503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环境辐射化学</w:t>
      </w:r>
      <w:rPr>
        <w:rFonts w:ascii="宋体" w:hAnsi="宋体" w:cs="宋体" w:eastAsia="宋体" w:hint="ascii"/>
        <w:sz w:val="18"/>
      </w:rPr>
    </w:p>
    <w:p>
      <w:pPr>
        <w:autoSpaceDE w:val="0"/>
        <w:autoSpaceDN w:val="0"/>
        <w:jc w:val="left"/>
        <w:spacing w:before="466"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31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放射计算化学</w:t>
      </w:r>
      <w:r>
        <w:rPr>
          <w:rFonts w:ascii="Times New Roman" w:hAnsi="Times New Roman" w:cs="Times New Roman" w:eastAsia="Times New Roman" w:hint="ascii"/>
          <w:sz w:val="18"/>
        </w:rPr>
        <w:t>B060505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放射性废物处理</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342" locked="0" layoutInCell="1" allowOverlap="1">
                <wp:simplePos x="0" y="0"/>
                <wp:positionH relativeFrom="page">
                  <wp:posOffset>938530</wp:posOffset>
                </wp:positionH>
                <wp:positionV relativeFrom="page">
                  <wp:posOffset>819150</wp:posOffset>
                </wp:positionV>
                <wp:extent cx="5076190" cy="0"/>
                <wp:wrapNone/>
                <wp:docPr id="1369" name="136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08032;width:399.70pt;" id="136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处</w:t>
      </w:r>
      <w:r>
        <w:rPr>
          <w:rFonts w:ascii="宋体" w:hAnsi="宋体" w:cs="宋体" w:eastAsia="宋体" w:hint="ascii"/>
          <w:sz w:val="18"/>
        </w:rPr>
        <w:t>置</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安全与防护化学</w:t>
      </w:r>
    </w:p>
    <w:p>
      <w:pPr>
        <w:autoSpaceDE w:val="0"/>
        <w:autoSpaceDN w:val="0"/>
        <w:jc w:val="left"/>
        <w:spacing w:before="69" w:after="0" w:lineRule="auto" w:line="31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B060601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化学品安全与防护</w:t>
      </w:r>
      <w:r>
        <w:rPr>
          <w:rFonts w:ascii="Times New Roman" w:hAnsi="Times New Roman" w:cs="Times New Roman" w:eastAsia="Times New Roman" w:hint="ascii"/>
          <w:sz w:val="18"/>
        </w:rPr>
        <w:t>B060602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生物安全与防护</w:t>
      </w:r>
      <w:r>
        <w:rPr>
          <w:rFonts w:ascii="Times New Roman" w:hAnsi="Times New Roman" w:cs="Times New Roman" w:eastAsia="Times New Roman" w:hint="ascii"/>
          <w:sz w:val="18"/>
        </w:rPr>
        <w:t>B060603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辐射安全与防护</w:t>
      </w:r>
      <w:r>
        <w:rPr>
          <w:rFonts w:ascii="Times New Roman" w:hAnsi="Times New Roman" w:cs="Times New Roman" w:eastAsia="Times New Roman" w:hint="ascii"/>
          <w:sz w:val="18"/>
          <w:spacing w:val="-1"/>
        </w:rPr>
        <w:t>B060604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危</w:t>
      </w:r>
      <w:r>
        <w:rPr>
          <w:rFonts w:ascii="宋体" w:hAnsi="宋体" w:cs="宋体" w:eastAsia="宋体" w:hint="ascii"/>
          <w:sz w:val="18"/>
        </w:rPr>
        <w:t>险品检测、处理与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处置</w:t>
      </w:r>
    </w:p>
    <w:p>
      <w:pPr>
        <w:autoSpaceDE w:val="0"/>
        <w:autoSpaceDN w:val="0"/>
        <w:jc w:val="left"/>
        <w:spacing w:before="52"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B07</w:t>
      </w:r>
      <w:r>
        <w:rPr>
          <w:rFonts w:ascii="Times New Roman" w:hAnsi="Times New Roman" w:cs="Times New Roman" w:eastAsia="Times New Roman" w:hint="ascii"/>
          <w:b w:val="1"/>
          <w:spacing w:val="60"/>
        </w:rPr>
        <w:t xml:space="preserve"> </w:t>
      </w:r>
      <w:r>
        <w:rPr>
          <w:rFonts w:ascii="宋体" w:hAnsi="宋体" w:cs="宋体" w:eastAsia="宋体" w:hint="ascii"/>
        </w:rPr>
        <w:t>化学生物学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B0701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分子探针</w:t>
      </w:r>
    </w:p>
    <w:p>
      <w:pPr>
        <w:autoSpaceDE w:val="0"/>
        <w:autoSpaceDN w:val="0"/>
        <w:jc w:val="both"/>
        <w:spacing w:before="69" w:after="0" w:lineRule="auto" w:line="31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B070101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子探针设计与构建</w:t>
      </w:r>
      <w:r>
        <w:rPr>
          <w:rFonts w:ascii="Times New Roman" w:hAnsi="Times New Roman" w:cs="Times New Roman" w:eastAsia="Times New Roman" w:hint="ascii"/>
          <w:sz w:val="18"/>
          <w:spacing w:val="-1"/>
        </w:rPr>
        <w:t>B070102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天</w:t>
      </w:r>
      <w:r>
        <w:rPr>
          <w:rFonts w:ascii="宋体" w:hAnsi="宋体" w:cs="宋体" w:eastAsia="宋体" w:hint="ascii"/>
          <w:sz w:val="18"/>
        </w:rPr>
        <w:t>然产物与分子探针</w:t>
      </w:r>
      <w:r>
        <w:rPr>
          <w:rFonts w:ascii="Times New Roman" w:hAnsi="Times New Roman" w:cs="Times New Roman" w:eastAsia="Times New Roman" w:hint="ascii"/>
          <w:sz w:val="18"/>
          <w:spacing w:val="-1"/>
        </w:rPr>
        <w:t>B070103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子探针与信号转导</w:t>
      </w:r>
      <w:r>
        <w:rPr>
          <w:rFonts w:ascii="Times New Roman" w:hAnsi="Times New Roman" w:cs="Times New Roman" w:eastAsia="Times New Roman" w:hint="ascii"/>
          <w:sz w:val="18"/>
          <w:spacing w:val="-1"/>
        </w:rPr>
        <w:t>B070104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子探针与生物分子</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示踪</w:t>
      </w:r>
    </w:p>
    <w:p>
      <w:pPr>
        <w:autoSpaceDE w:val="0"/>
        <w:autoSpaceDN w:val="0"/>
        <w:jc w:val="both"/>
        <w:spacing w:before="65" w:after="0" w:lineRule="auto" w:line="31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B070105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子探针与组学技术</w:t>
      </w:r>
      <w:r>
        <w:rPr>
          <w:rFonts w:ascii="Times New Roman" w:hAnsi="Times New Roman" w:cs="Times New Roman" w:eastAsia="Times New Roman" w:hint="ascii"/>
          <w:sz w:val="18"/>
          <w:spacing w:val="-1"/>
        </w:rPr>
        <w:t>B070106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子探针与生物通讯</w:t>
      </w:r>
      <w:r>
        <w:rPr>
          <w:rFonts w:ascii="Times New Roman" w:hAnsi="Times New Roman" w:cs="Times New Roman" w:eastAsia="Times New Roman" w:hint="ascii"/>
          <w:sz w:val="18"/>
        </w:rPr>
        <w:t>B070107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分子探针与生态</w:t>
      </w:r>
      <w:r>
        <w:rPr>
          <w:rFonts w:ascii="宋体" w:hAnsi="宋体" w:cs="宋体" w:eastAsia="宋体" w:hint="ascii"/>
          <w:sz w:val="18"/>
        </w:rPr>
        <w:t>学</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效应</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生物分子的化学生物学</w:t>
      </w:r>
    </w:p>
    <w:p>
      <w:pPr>
        <w:autoSpaceDE w:val="0"/>
        <w:autoSpaceDN w:val="0"/>
        <w:jc w:val="left"/>
        <w:spacing w:before="7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B070201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蛋</w:t>
      </w:r>
      <w:r>
        <w:rPr>
          <w:rFonts w:ascii="宋体" w:hAnsi="宋体" w:cs="宋体" w:eastAsia="宋体" w:hint="ascii"/>
          <w:sz w:val="18"/>
        </w:rPr>
        <w:t>白质和多肽化学生</w:t>
      </w:r>
    </w:p>
    <w:p>
      <w:pPr>
        <w:autoSpaceDE w:val="0"/>
        <w:autoSpaceDN w:val="0"/>
        <w:jc w:val="left"/>
        <w:spacing w:before="7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物学</w:t>
      </w:r>
    </w:p>
    <w:p>
      <w:pPr>
        <w:autoSpaceDE w:val="0"/>
        <w:autoSpaceDN w:val="0"/>
        <w:jc w:val="left"/>
        <w:spacing w:before="65" w:after="0" w:lineRule="auto" w:line="31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核酸化学生物学</w:t>
      </w:r>
      <w:r>
        <w:rPr>
          <w:rFonts w:ascii="Times New Roman" w:hAnsi="Times New Roman" w:cs="Times New Roman" w:eastAsia="Times New Roman" w:hint="ascii"/>
          <w:sz w:val="18"/>
        </w:rPr>
        <w:t>B070203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糖化学生物学</w:t>
      </w:r>
      <w:r>
        <w:rPr>
          <w:rFonts w:ascii="Times New Roman" w:hAnsi="Times New Roman" w:cs="Times New Roman" w:eastAsia="Times New Roman" w:hint="ascii"/>
          <w:sz w:val="18"/>
        </w:rPr>
        <w:t>B070204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脂化学生物学</w:t>
      </w:r>
      <w:r>
        <w:rPr>
          <w:rFonts w:ascii="Times New Roman" w:hAnsi="Times New Roman" w:cs="Times New Roman" w:eastAsia="Times New Roman" w:hint="ascii"/>
          <w:sz w:val="18"/>
          <w:spacing w:val="-1"/>
        </w:rPr>
        <w:t>B070205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金</w:t>
      </w:r>
      <w:r>
        <w:rPr>
          <w:rFonts w:ascii="宋体" w:hAnsi="宋体" w:cs="宋体" w:eastAsia="宋体" w:hint="ascii"/>
          <w:sz w:val="18"/>
        </w:rPr>
        <w:t>属蛋白（酶）化学</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生物学</w:t>
      </w:r>
    </w:p>
    <w:p>
      <w:pPr>
        <w:autoSpaceDE w:val="0"/>
        <w:autoSpaceDN w:val="0"/>
        <w:jc w:val="both"/>
        <w:spacing w:before="64" w:after="0" w:lineRule="auto" w:line="31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B070206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微</w:t>
      </w:r>
      <w:r>
        <w:rPr>
          <w:rFonts w:ascii="宋体" w:hAnsi="宋体" w:cs="宋体" w:eastAsia="宋体" w:hint="ascii"/>
          <w:sz w:val="18"/>
        </w:rPr>
        <w:t>量元素化学生物学</w:t>
      </w:r>
      <w:r>
        <w:rPr>
          <w:rFonts w:ascii="Times New Roman" w:hAnsi="Times New Roman" w:cs="Times New Roman" w:eastAsia="Times New Roman" w:hint="ascii"/>
          <w:sz w:val="18"/>
          <w:spacing w:val="-1"/>
        </w:rPr>
        <w:t>B070207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物分子偶联与标记</w:t>
      </w:r>
    </w:p>
    <w:p>
      <w:pPr>
        <w:autoSpaceDE w:val="0"/>
        <w:autoSpaceDN w:val="0"/>
        <w:jc w:val="left"/>
        <w:spacing w:before="0" w:after="0" w:lineRule="auto" w:line="237"/>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B0703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化学遗传学</w:t>
      </w:r>
    </w:p>
    <w:p>
      <w:pPr>
        <w:autoSpaceDE w:val="0"/>
        <w:autoSpaceDN w:val="0"/>
        <w:jc w:val="left"/>
        <w:spacing w:before="70" w:after="0" w:lineRule="auto" w:line="31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正向化学遗传学</w:t>
      </w:r>
      <w:r>
        <w:rPr>
          <w:rFonts w:ascii="Times New Roman" w:hAnsi="Times New Roman" w:cs="Times New Roman" w:eastAsia="Times New Roman" w:hint="ascii"/>
          <w:sz w:val="18"/>
        </w:rPr>
        <w:t>B070302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反向化学遗传学</w:t>
      </w:r>
      <w:r>
        <w:rPr>
          <w:rFonts w:ascii="Times New Roman" w:hAnsi="Times New Roman" w:cs="Times New Roman" w:eastAsia="Times New Roman" w:hint="ascii"/>
          <w:sz w:val="18"/>
        </w:rPr>
        <w:t>B070303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化学表观遗传学</w:t>
      </w:r>
      <w:r>
        <w:rPr>
          <w:rFonts w:ascii="Times New Roman" w:hAnsi="Times New Roman" w:cs="Times New Roman" w:eastAsia="Times New Roman" w:hint="ascii"/>
          <w:sz w:val="18"/>
        </w:rPr>
        <w:t>B070304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化学表观转录组学</w:t>
      </w:r>
    </w:p>
    <w:p>
      <w:pPr>
        <w:autoSpaceDE w:val="0"/>
        <w:autoSpaceDN w:val="0"/>
        <w:jc w:val="left"/>
        <w:spacing w:before="0" w:after="0" w:lineRule="auto" w:line="231"/>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B0704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生物合成化学</w:t>
      </w:r>
    </w:p>
    <w:p>
      <w:pPr>
        <w:autoSpaceDE w:val="0"/>
        <w:autoSpaceDN w:val="0"/>
        <w:jc w:val="left"/>
        <w:spacing w:before="69"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酶化学机制</w:t>
      </w:r>
    </w:p>
    <w:p>
      <w:pPr>
        <w:autoSpaceDE w:val="0"/>
        <w:autoSpaceDN w:val="0"/>
        <w:jc w:val="both"/>
        <w:spacing w:before="71" w:after="0" w:lineRule="auto" w:line="31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B070402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物合成策略与机制</w:t>
      </w:r>
      <w:r>
        <w:rPr>
          <w:rFonts w:ascii="Times New Roman" w:hAnsi="Times New Roman" w:cs="Times New Roman" w:eastAsia="Times New Roman" w:hint="ascii"/>
          <w:sz w:val="18"/>
          <w:spacing w:val="-1"/>
        </w:rPr>
        <w:t>B070403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活</w:t>
      </w:r>
      <w:r>
        <w:rPr>
          <w:rFonts w:ascii="宋体" w:hAnsi="宋体" w:cs="宋体" w:eastAsia="宋体" w:hint="ascii"/>
          <w:sz w:val="18"/>
        </w:rPr>
        <w:t>性与结构导向的生</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物合成</w:t>
      </w:r>
    </w:p>
    <w:p>
      <w:pPr>
        <w:autoSpaceDE w:val="0"/>
        <w:autoSpaceDN w:val="0"/>
        <w:jc w:val="left"/>
        <w:spacing w:before="6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B070404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合</w:t>
      </w:r>
      <w:r>
        <w:rPr>
          <w:rFonts w:ascii="宋体" w:hAnsi="宋体" w:cs="宋体" w:eastAsia="宋体" w:hint="ascii"/>
          <w:sz w:val="18"/>
        </w:rPr>
        <w:t>成生物学化学基础</w:t>
      </w:r>
    </w:p>
    <w:p>
      <w:pPr>
        <w:autoSpaceDE w:val="0"/>
        <w:autoSpaceDN w:val="0"/>
        <w:jc w:val="left"/>
        <w:spacing w:before="327"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B0705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药物化学生物学</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先导化合物发现与结</w:t>
      </w:r>
    </w:p>
    <w:p>
      <w:pPr>
        <w:autoSpaceDE w:val="0"/>
        <w:autoSpaceDN w:val="0"/>
        <w:jc w:val="left"/>
        <w:spacing w:before="62"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构优化</w:t>
      </w:r>
    </w:p>
    <w:p>
      <w:pPr>
        <w:autoSpaceDE w:val="0"/>
        <w:autoSpaceDN w:val="0"/>
        <w:jc w:val="left"/>
        <w:spacing w:before="5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靶向分子设计与作用</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机制</w:t>
      </w:r>
    </w:p>
    <w:p>
      <w:pPr>
        <w:autoSpaceDE w:val="0"/>
        <w:autoSpaceDN w:val="0"/>
        <w:jc w:val="left"/>
        <w:spacing w:before="56" w:after="0" w:lineRule="auto" w:line="306"/>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靶标发现与确证</w:t>
      </w:r>
      <w:r>
        <w:rPr>
          <w:rFonts w:ascii="Times New Roman" w:hAnsi="Times New Roman" w:cs="Times New Roman" w:eastAsia="Times New Roman" w:hint="ascii"/>
          <w:sz w:val="18"/>
        </w:rPr>
        <w:t>B070504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药物载体与传输</w:t>
      </w:r>
      <w:r>
        <w:rPr>
          <w:rFonts w:ascii="Times New Roman" w:hAnsi="Times New Roman" w:cs="Times New Roman" w:eastAsia="Times New Roman" w:hint="ascii"/>
          <w:sz w:val="18"/>
        </w:rPr>
        <w:t>B070505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农用化学品发现</w:t>
      </w:r>
      <w:r>
        <w:rPr>
          <w:rFonts w:ascii="宋体" w:hAnsi="宋体" w:cs="宋体" w:eastAsia="宋体" w:hint="ascii"/>
          <w:sz w:val="18"/>
        </w:rPr>
        <w:t>与</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机制</w:t>
      </w:r>
    </w:p>
    <w:p>
      <w:pPr>
        <w:autoSpaceDE w:val="0"/>
        <w:autoSpaceDN w:val="0"/>
        <w:jc w:val="left"/>
        <w:spacing w:before="55"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B0706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化学生物学理论与技术</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理论与计算化学生物</w:t>
      </w:r>
    </w:p>
    <w:p>
      <w:pPr>
        <w:autoSpaceDE w:val="0"/>
        <w:autoSpaceDN w:val="0"/>
        <w:jc w:val="left"/>
        <w:spacing w:before="62"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学</w:t>
      </w:r>
    </w:p>
    <w:p>
      <w:pPr>
        <w:autoSpaceDE w:val="0"/>
        <w:autoSpaceDN w:val="0"/>
        <w:jc w:val="left"/>
        <w:spacing w:before="5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B070602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生物光电化学与热力</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学</w:t>
      </w:r>
    </w:p>
    <w:p>
      <w:pPr>
        <w:autoSpaceDE w:val="0"/>
        <w:autoSpaceDN w:val="0"/>
        <w:jc w:val="left"/>
        <w:spacing w:before="56" w:after="0" w:lineRule="auto" w:line="30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B070603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物分子反应动力学</w:t>
      </w:r>
      <w:r>
        <w:rPr>
          <w:rFonts w:ascii="Times New Roman" w:hAnsi="Times New Roman" w:cs="Times New Roman" w:eastAsia="Times New Roman" w:hint="ascii"/>
          <w:sz w:val="18"/>
        </w:rPr>
        <w:t>B070604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生物体系自组装</w:t>
      </w:r>
      <w:r>
        <w:rPr>
          <w:rFonts w:ascii="Times New Roman" w:hAnsi="Times New Roman" w:cs="Times New Roman" w:eastAsia="Times New Roman" w:hint="ascii"/>
          <w:sz w:val="18"/>
          <w:spacing w:val="-1"/>
        </w:rPr>
        <w:t>B070605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物体系的纳米技术</w:t>
      </w:r>
      <w:r>
        <w:rPr>
          <w:rFonts w:ascii="Times New Roman" w:hAnsi="Times New Roman" w:cs="Times New Roman" w:eastAsia="Times New Roman" w:hint="ascii"/>
          <w:sz w:val="18"/>
          <w:spacing w:val="-1"/>
        </w:rPr>
        <w:t>B070606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仿</w:t>
      </w:r>
      <w:r>
        <w:rPr>
          <w:rFonts w:ascii="宋体" w:hAnsi="宋体" w:cs="宋体" w:eastAsia="宋体" w:hint="ascii"/>
          <w:sz w:val="18"/>
        </w:rPr>
        <w:t>生化学与分子进化</w:t>
      </w:r>
    </w:p>
    <w:p>
      <w:pPr>
        <w:autoSpaceDE w:val="0"/>
        <w:autoSpaceDN w:val="0"/>
        <w:jc w:val="left"/>
        <w:spacing w:before="0" w:after="0" w:lineRule="auto" w:line="235"/>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B08</w:t>
      </w:r>
      <w:r>
        <w:rPr>
          <w:rFonts w:ascii="Times New Roman" w:hAnsi="Times New Roman" w:cs="Times New Roman" w:eastAsia="Times New Roman" w:hint="ascii"/>
          <w:b w:val="1"/>
          <w:spacing w:val="60"/>
        </w:rPr>
        <w:t xml:space="preserve"> </w:t>
      </w:r>
      <w:r>
        <w:rPr>
          <w:rFonts w:ascii="宋体" w:hAnsi="宋体" w:cs="宋体" w:eastAsia="宋体" w:hint="ascii"/>
        </w:rPr>
        <w:t>化学工程与工业化学</w:t>
      </w:r>
    </w:p>
    <w:p>
      <w:pPr>
        <w:autoSpaceDE w:val="0"/>
        <w:autoSpaceDN w:val="0"/>
        <w:jc w:val="left"/>
        <w:spacing w:before="8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化工热力学</w:t>
      </w:r>
    </w:p>
    <w:p>
      <w:pPr>
        <w:autoSpaceDE w:val="0"/>
        <w:autoSpaceDN w:val="0"/>
        <w:jc w:val="left"/>
        <w:spacing w:before="61" w:after="0" w:lineRule="auto" w:line="30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B080101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化</w:t>
      </w:r>
      <w:r>
        <w:rPr>
          <w:rFonts w:ascii="宋体" w:hAnsi="宋体" w:cs="宋体" w:eastAsia="宋体" w:hint="ascii"/>
          <w:sz w:val="18"/>
        </w:rPr>
        <w:t>工基础数据与模型</w:t>
      </w:r>
      <w:r>
        <w:rPr>
          <w:rFonts w:ascii="Times New Roman" w:hAnsi="Times New Roman" w:cs="Times New Roman" w:eastAsia="Times New Roman" w:hint="ascii"/>
          <w:sz w:val="18"/>
        </w:rPr>
        <w:t>B080102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纳微尺度热力学</w:t>
      </w:r>
      <w:r>
        <w:rPr>
          <w:rFonts w:ascii="Times New Roman" w:hAnsi="Times New Roman" w:cs="Times New Roman" w:eastAsia="Times New Roman" w:hint="ascii"/>
          <w:sz w:val="18"/>
        </w:rPr>
        <w:t>B080103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表界面结构与现象</w:t>
      </w:r>
      <w:r>
        <w:rPr>
          <w:rFonts w:ascii="Times New Roman" w:hAnsi="Times New Roman" w:cs="Times New Roman" w:eastAsia="Times New Roman" w:hint="ascii"/>
          <w:sz w:val="18"/>
        </w:rPr>
        <w:t>B080104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分子模拟与计算</w:t>
      </w:r>
      <w:r>
        <w:rPr>
          <w:rFonts w:ascii="Times New Roman" w:hAnsi="Times New Roman" w:cs="Times New Roman" w:eastAsia="Times New Roman" w:hint="ascii"/>
          <w:sz w:val="18"/>
          <w:spacing w:val="-1"/>
        </w:rPr>
        <w:t>B080105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平</w:t>
      </w:r>
      <w:r>
        <w:rPr>
          <w:rFonts w:ascii="宋体" w:hAnsi="宋体" w:cs="宋体" w:eastAsia="宋体" w:hint="ascii"/>
          <w:sz w:val="18"/>
        </w:rPr>
        <w:t>衡与非平衡热力学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传递过程</w:t>
      </w:r>
    </w:p>
    <w:p>
      <w:pPr>
        <w:autoSpaceDE w:val="0"/>
        <w:autoSpaceDN w:val="0"/>
        <w:jc w:val="left"/>
        <w:spacing w:before="66" w:after="0" w:lineRule="auto" w:line="313"/>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分子混合与传递</w:t>
      </w:r>
      <w:r>
        <w:rPr>
          <w:rFonts w:ascii="Times New Roman" w:hAnsi="Times New Roman" w:cs="Times New Roman" w:eastAsia="Times New Roman" w:hint="ascii"/>
          <w:sz w:val="18"/>
        </w:rPr>
        <w:t>B080202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化工流体力学</w:t>
      </w:r>
      <w:r>
        <w:rPr>
          <w:rFonts w:ascii="Times New Roman" w:hAnsi="Times New Roman" w:cs="Times New Roman" w:eastAsia="Times New Roman" w:hint="ascii"/>
          <w:sz w:val="18"/>
        </w:rPr>
        <w:t>B080203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传质与传热</w:t>
      </w:r>
      <w:r>
        <w:rPr>
          <w:rFonts w:ascii="Times New Roman" w:hAnsi="Times New Roman" w:cs="Times New Roman" w:eastAsia="Times New Roman" w:hint="ascii"/>
          <w:sz w:val="18"/>
        </w:rPr>
        <w:t>B080204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界面与限域传递</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非常规条件下的传递</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过程</w:t>
      </w:r>
    </w:p>
    <w:p>
      <w:pPr>
        <w:autoSpaceDE w:val="0"/>
        <w:autoSpaceDN w:val="0"/>
        <w:jc w:val="left"/>
        <w:spacing w:before="5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反应工程</w:t>
      </w:r>
    </w:p>
    <w:p>
      <w:pPr>
        <w:autoSpaceDE w:val="0"/>
        <w:autoSpaceDN w:val="0"/>
        <w:jc w:val="both"/>
        <w:spacing w:before="67" w:after="0" w:lineRule="auto" w:line="313"/>
        <w:ind w:right="121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B080301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7"/>
        </w:rPr>
        <w:t>介</w:t>
      </w:r>
      <w:r>
        <w:rPr>
          <w:rFonts w:ascii="宋体" w:hAnsi="宋体" w:cs="宋体" w:eastAsia="宋体" w:hint="ascii"/>
          <w:sz w:val="18"/>
          <w:spacing w:val="-6"/>
        </w:rPr>
        <w:t>尺度时空动态结</w:t>
      </w:r>
      <w:r>
        <w:rPr>
          <w:rFonts w:ascii="宋体" w:hAnsi="宋体" w:cs="宋体" w:eastAsia="宋体" w:hint="ascii"/>
          <w:sz w:val="18"/>
        </w:rPr>
        <w:t>构</w:t>
      </w:r>
      <w:r>
        <w:rPr>
          <w:rFonts w:ascii="Times New Roman" w:hAnsi="Times New Roman" w:cs="Times New Roman" w:eastAsia="Times New Roman" w:hint="ascii"/>
          <w:sz w:val="18"/>
          <w:spacing w:val="-1"/>
        </w:rPr>
        <w:t>B080302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5"/>
        </w:rPr>
        <w:t>反</w:t>
      </w:r>
      <w:r>
        <w:rPr>
          <w:rFonts w:ascii="宋体" w:hAnsi="宋体" w:cs="宋体" w:eastAsia="宋体" w:hint="ascii"/>
          <w:sz w:val="18"/>
          <w:spacing w:val="6"/>
        </w:rPr>
        <w:t>应机理与反应</w:t>
      </w:r>
      <w:r>
        <w:rPr>
          <w:rFonts w:ascii="宋体" w:hAnsi="宋体" w:cs="宋体" w:eastAsia="宋体" w:hint="ascii"/>
          <w:sz w:val="18"/>
        </w:rPr>
        <w:t>动</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力学</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B080303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催化材料与催化</w:t>
      </w:r>
      <w:r>
        <w:rPr>
          <w:rFonts w:ascii="宋体" w:hAnsi="宋体" w:cs="宋体" w:eastAsia="宋体" w:hint="ascii"/>
          <w:sz w:val="18"/>
        </w:rPr>
        <w:t>剂</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工程</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反应器工程及新型反</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应器</w:t>
      </w:r>
    </w:p>
    <w:p>
      <w:pPr>
        <w:autoSpaceDE w:val="0"/>
        <w:autoSpaceDN w:val="0"/>
        <w:jc w:val="both"/>
        <w:spacing w:before="61" w:after="0" w:lineRule="auto" w:line="313"/>
        <w:ind w:right="1119"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spacing w:val="-1"/>
        </w:rPr>
        <w:t>B080305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聚</w:t>
      </w:r>
      <w:r>
        <w:rPr>
          <w:rFonts w:ascii="宋体" w:hAnsi="宋体" w:cs="宋体" w:eastAsia="宋体" w:hint="ascii"/>
          <w:sz w:val="18"/>
        </w:rPr>
        <w:t>合反应方法与工程</w:t>
      </w:r>
      <w:r>
        <w:rPr>
          <w:rFonts w:ascii="Times New Roman" w:hAnsi="Times New Roman" w:cs="Times New Roman" w:eastAsia="Times New Roman" w:hint="ascii"/>
          <w:sz w:val="18"/>
        </w:rPr>
        <w:t>B080306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w:t>
      </w:r>
      <w:r>
        <w:rPr>
          <w:rFonts w:ascii="Times New Roman" w:hAnsi="Times New Roman" w:cs="Times New Roman" w:eastAsia="Times New Roman" w:hint="ascii"/>
          <w:sz w:val="18"/>
        </w:rPr>
        <w:t>/</w:t>
      </w:r>
      <w:r>
        <w:rPr>
          <w:rFonts w:ascii="宋体" w:hAnsi="宋体" w:cs="宋体" w:eastAsia="宋体" w:hint="ascii"/>
          <w:sz w:val="18"/>
        </w:rPr>
        <w:t>电化学反应工程</w:t>
      </w:r>
      <w:rPr>
        <w:rFonts w:ascii="宋体" w:hAnsi="宋体" w:cs="宋体" w:eastAsia="宋体" w:hint="ascii"/>
        <w:sz w:val="18"/>
      </w:rPr>
    </w:p>
    <w:p>
      <w:pPr>
        <w:autoSpaceDE w:val="0"/>
        <w:autoSpaceDN w:val="0"/>
        <w:jc w:val="left"/>
        <w:spacing w:before="424"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反应与分离耦合</w:t>
      </w:r>
      <w:r>
        <w:rPr>
          <w:rFonts w:ascii="宋体" w:hAnsi="宋体" w:cs="宋体" w:eastAsia="宋体" w:hint="ascii"/>
          <w:sz w:val="18"/>
        </w:rPr>
        <mc:AlternateContent>
          <mc:Choice Requires="wps">
            <w:drawing>
              <wp:anchor distL="0" distR="0" distT="0" distB="0" simplePos="0" behindDoc="1" relativeHeight="343" locked="0" layoutInCell="1" allowOverlap="1">
                <wp:simplePos x="0" y="0"/>
                <wp:positionH relativeFrom="page">
                  <wp:posOffset>938530</wp:posOffset>
                </wp:positionH>
                <wp:positionV relativeFrom="page">
                  <wp:posOffset>805815</wp:posOffset>
                </wp:positionV>
                <wp:extent cx="5076190" cy="0"/>
                <wp:wrapNone/>
                <wp:docPr id="1370" name="137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07008;width:399.70pt;" id="137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分离工程</w:t>
      </w:r>
    </w:p>
    <w:p>
      <w:pPr>
        <w:autoSpaceDE w:val="0"/>
        <w:autoSpaceDN w:val="0"/>
        <w:jc w:val="left"/>
        <w:spacing w:before="62"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分子辨识分离工程</w:t>
      </w:r>
      <w:r>
        <w:rPr>
          <w:rFonts w:ascii="Times New Roman" w:hAnsi="Times New Roman" w:cs="Times New Roman" w:eastAsia="Times New Roman" w:hint="ascii"/>
          <w:sz w:val="18"/>
        </w:rPr>
        <w:t>B080402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膜材料与膜分离</w:t>
      </w:r>
      <w:r>
        <w:rPr>
          <w:rFonts w:ascii="Times New Roman" w:hAnsi="Times New Roman" w:cs="Times New Roman" w:eastAsia="Times New Roman" w:hint="ascii"/>
          <w:sz w:val="18"/>
        </w:rPr>
        <w:t>B080403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结晶、干燥与吸收</w:t>
      </w:r>
      <w:r>
        <w:rPr>
          <w:rFonts w:ascii="Times New Roman" w:hAnsi="Times New Roman" w:cs="Times New Roman" w:eastAsia="Times New Roman" w:hint="ascii"/>
          <w:sz w:val="18"/>
        </w:rPr>
        <w:t>B080404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萃取、吸附与离</w:t>
      </w:r>
      <w:r>
        <w:rPr>
          <w:rFonts w:ascii="宋体" w:hAnsi="宋体" w:cs="宋体" w:eastAsia="宋体" w:hint="ascii"/>
          <w:sz w:val="18"/>
        </w:rPr>
        <w:t>子</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交</w:t>
      </w:r>
      <w:r>
        <w:rPr>
          <w:rFonts w:ascii="宋体" w:hAnsi="宋体" w:cs="宋体" w:eastAsia="宋体" w:hint="ascii"/>
          <w:sz w:val="18"/>
        </w:rPr>
        <w:t>换</w:t>
      </w:r>
    </w:p>
    <w:p>
      <w:pPr>
        <w:autoSpaceDE w:val="0"/>
        <w:autoSpaceDN w:val="0"/>
        <w:jc w:val="both"/>
        <w:spacing w:before="64" w:after="0" w:lineRule="auto" w:line="321"/>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B080405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机</w:t>
      </w:r>
      <w:r>
        <w:rPr>
          <w:rFonts w:ascii="宋体" w:hAnsi="宋体" w:cs="宋体" w:eastAsia="宋体" w:hint="ascii"/>
          <w:sz w:val="18"/>
        </w:rPr>
        <w:t>械与其他分离过程</w:t>
      </w:r>
      <w:r>
        <w:rPr>
          <w:rFonts w:ascii="Times New Roman" w:hAnsi="Times New Roman" w:cs="Times New Roman" w:eastAsia="Times New Roman" w:hint="ascii"/>
          <w:sz w:val="18"/>
        </w:rPr>
        <w:t>B080406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分离与传递耦合</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化工装备与过程强化</w:t>
      </w:r>
    </w:p>
    <w:p>
      <w:pPr>
        <w:autoSpaceDE w:val="0"/>
        <w:autoSpaceDN w:val="0"/>
        <w:jc w:val="left"/>
        <w:spacing w:before="74" w:after="0" w:lineRule="auto" w:line="32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新型化工装备</w:t>
      </w:r>
      <w:r>
        <w:rPr>
          <w:rFonts w:ascii="Times New Roman" w:hAnsi="Times New Roman" w:cs="Times New Roman" w:eastAsia="Times New Roman" w:hint="ascii"/>
          <w:sz w:val="18"/>
        </w:rPr>
        <w:t>B080502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装备腐蚀与防腐</w:t>
      </w:r>
      <w:r>
        <w:rPr>
          <w:rFonts w:ascii="Times New Roman" w:hAnsi="Times New Roman" w:cs="Times New Roman" w:eastAsia="Times New Roman" w:hint="ascii"/>
          <w:sz w:val="18"/>
        </w:rPr>
        <w:t>B080503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化工过程原位检测</w:t>
      </w:r>
      <w:r>
        <w:rPr>
          <w:rFonts w:ascii="Times New Roman" w:hAnsi="Times New Roman" w:cs="Times New Roman" w:eastAsia="Times New Roman" w:hint="ascii"/>
          <w:sz w:val="18"/>
          <w:spacing w:val="-1"/>
        </w:rPr>
        <w:t>B080504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材料（介质）过程</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强化</w:t>
      </w:r>
    </w:p>
    <w:p>
      <w:pPr>
        <w:autoSpaceDE w:val="0"/>
        <w:autoSpaceDN w:val="0"/>
        <w:jc w:val="both"/>
        <w:spacing w:before="67" w:after="0" w:lineRule="auto" w:line="31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B080505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外</w:t>
      </w:r>
      <w:r>
        <w:rPr>
          <w:rFonts w:ascii="宋体" w:hAnsi="宋体" w:cs="宋体" w:eastAsia="宋体" w:hint="ascii"/>
          <w:sz w:val="18"/>
        </w:rPr>
        <w:t>场强化及新型装备</w:t>
      </w:r>
      <w:r>
        <w:rPr>
          <w:rFonts w:ascii="Times New Roman" w:hAnsi="Times New Roman" w:cs="Times New Roman" w:eastAsia="Times New Roman" w:hint="ascii"/>
          <w:sz w:val="18"/>
        </w:rPr>
        <w:t>B080506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过程与系统耦合</w:t>
      </w:r>
    </w:p>
    <w:p>
      <w:pPr>
        <w:autoSpaceDE w:val="0"/>
        <w:autoSpaceDN w:val="0"/>
        <w:jc w:val="left"/>
        <w:spacing w:before="0" w:after="0" w:lineRule="auto" w:line="235"/>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系统过程与化工安全</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B080601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化工大数据与虚</w:t>
      </w:r>
      <w:r>
        <w:rPr>
          <w:rFonts w:ascii="宋体" w:hAnsi="宋体" w:cs="宋体" w:eastAsia="宋体" w:hint="ascii"/>
          <w:sz w:val="18"/>
        </w:rPr>
        <w:t>拟</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过程</w:t>
      </w:r>
    </w:p>
    <w:p>
      <w:pPr>
        <w:autoSpaceDE w:val="0"/>
        <w:autoSpaceDN w:val="0"/>
        <w:jc w:val="left"/>
        <w:spacing w:before="55"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智能化工系统</w:t>
      </w:r>
      <w:r>
        <w:rPr>
          <w:rFonts w:ascii="Times New Roman" w:hAnsi="Times New Roman" w:cs="Times New Roman" w:eastAsia="Times New Roman" w:hint="ascii"/>
          <w:sz w:val="18"/>
          <w:spacing w:val="-1"/>
        </w:rPr>
        <w:t>B080603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化</w:t>
      </w:r>
      <w:r>
        <w:rPr>
          <w:rFonts w:ascii="宋体" w:hAnsi="宋体" w:cs="宋体" w:eastAsia="宋体" w:hint="ascii"/>
          <w:sz w:val="18"/>
        </w:rPr>
        <w:t>工过程模拟、优化</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与控制</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化工过程安全</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生物化工与轻化工</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B080701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合</w:t>
      </w:r>
      <w:r>
        <w:rPr>
          <w:rFonts w:ascii="宋体" w:hAnsi="宋体" w:cs="宋体" w:eastAsia="宋体" w:hint="ascii"/>
          <w:sz w:val="18"/>
        </w:rPr>
        <w:t>成生物技术与生物</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系统工程</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B080702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化反应过程与分离</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工程</w:t>
      </w:r>
    </w:p>
    <w:p>
      <w:pPr>
        <w:autoSpaceDE w:val="0"/>
        <w:autoSpaceDN w:val="0"/>
        <w:jc w:val="left"/>
        <w:spacing w:before="59" w:after="0" w:lineRule="auto" w:line="30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工业生物催化</w:t>
      </w:r>
      <w:r>
        <w:rPr>
          <w:rFonts w:ascii="Times New Roman" w:hAnsi="Times New Roman" w:cs="Times New Roman" w:eastAsia="Times New Roman" w:hint="ascii"/>
          <w:sz w:val="18"/>
          <w:spacing w:val="-1"/>
        </w:rPr>
        <w:t>B080704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食</w:t>
      </w:r>
      <w:r>
        <w:rPr>
          <w:rFonts w:ascii="宋体" w:hAnsi="宋体" w:cs="宋体" w:eastAsia="宋体" w:hint="ascii"/>
          <w:sz w:val="18"/>
        </w:rPr>
        <w:t>品与生物医药工程</w:t>
      </w:r>
      <w:r>
        <w:rPr>
          <w:rFonts w:ascii="Times New Roman" w:hAnsi="Times New Roman" w:cs="Times New Roman" w:eastAsia="Times New Roman" w:hint="ascii"/>
          <w:sz w:val="18"/>
          <w:spacing w:val="-1"/>
        </w:rPr>
        <w:t>B080705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农</w:t>
      </w:r>
      <w:r>
        <w:rPr>
          <w:rFonts w:ascii="宋体" w:hAnsi="宋体" w:cs="宋体" w:eastAsia="宋体" w:hint="ascii"/>
          <w:sz w:val="18"/>
        </w:rPr>
        <w:t>林及海洋产物加工</w:t>
      </w:r>
    </w:p>
    <w:p>
      <w:pPr>
        <w:autoSpaceDE w:val="0"/>
        <w:autoSpaceDN w:val="0"/>
        <w:jc w:val="left"/>
        <w:spacing w:before="35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宋体" w:hAnsi="宋体" w:cs="宋体" w:eastAsia="宋体" w:hint="ascii"/>
          <w:sz w:val="18"/>
        </w:rPr>
        <w:t>与转化</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B080706</w:t>
      </w:r>
      <w:r>
        <w:rPr>
          <w:rFonts w:ascii="Times New Roman" w:hAnsi="Times New Roman" w:cs="Times New Roman" w:eastAsia="Times New Roman" w:hint="ascii"/>
          <w:sz w:val="18"/>
          <w:spacing w:val="45"/>
        </w:rPr>
        <w:t xml:space="preserve"> </w:t>
      </w:r>
      <w:r>
        <w:rPr>
          <w:rFonts w:ascii="宋体" w:hAnsi="宋体" w:cs="宋体" w:eastAsia="宋体" w:hint="ascii"/>
          <w:sz w:val="18"/>
        </w:rPr>
        <w:t>皮革与造纸化工</w:t>
      </w:r>
    </w:p>
    <w:p>
      <w:pPr>
        <w:autoSpaceDE w:val="0"/>
        <w:autoSpaceDN w:val="0"/>
        <w:jc w:val="left"/>
        <w:spacing w:before="62"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精细化工与绿色制造</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原料及中间体的绿色</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制造</w:t>
      </w:r>
    </w:p>
    <w:p>
      <w:pPr>
        <w:autoSpaceDE w:val="0"/>
        <w:autoSpaceDN w:val="0"/>
        <w:jc w:val="left"/>
        <w:spacing w:before="56" w:after="0" w:lineRule="auto" w:line="307"/>
        <w:ind w:right="12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染料、颜料与涂料</w:t>
      </w:r>
      <w:r>
        <w:rPr>
          <w:rFonts w:ascii="Times New Roman" w:hAnsi="Times New Roman" w:cs="Times New Roman" w:eastAsia="Times New Roman" w:hint="ascii"/>
          <w:sz w:val="18"/>
        </w:rPr>
        <w:t>B080803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日用化学品</w:t>
      </w:r>
      <w:r>
        <w:rPr>
          <w:rFonts w:ascii="Times New Roman" w:hAnsi="Times New Roman" w:cs="Times New Roman" w:eastAsia="Times New Roman" w:hint="ascii"/>
          <w:sz w:val="18"/>
        </w:rPr>
        <w:t>B080804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电子信息化学品</w:t>
      </w:r>
      <w:r>
        <w:rPr>
          <w:rFonts w:ascii="Times New Roman" w:hAnsi="Times New Roman" w:cs="Times New Roman" w:eastAsia="Times New Roman" w:hint="ascii"/>
          <w:sz w:val="18"/>
        </w:rPr>
        <w:t>B080805</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化工制药</w:t>
      </w:r>
    </w:p>
    <w:p>
      <w:pPr>
        <w:autoSpaceDE w:val="0"/>
        <w:autoSpaceDN w:val="0"/>
        <w:jc w:val="left"/>
        <w:spacing w:before="0" w:after="0" w:lineRule="auto" w:line="239"/>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材料化工与产品工程</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材料的功能设计与化</w:t>
      </w:r>
    </w:p>
    <w:p>
      <w:pPr>
        <w:autoSpaceDE w:val="0"/>
        <w:autoSpaceDN w:val="0"/>
        <w:jc w:val="left"/>
        <w:spacing w:before="6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工制备</w:t>
      </w:r>
    </w:p>
    <w:p>
      <w:pPr>
        <w:autoSpaceDE w:val="0"/>
        <w:autoSpaceDN w:val="0"/>
        <w:jc w:val="left"/>
        <w:spacing w:before="55" w:after="0" w:lineRule="auto" w:line="306"/>
        <w:ind w:right="111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材料应用化工基础</w:t>
      </w:r>
      <w:r>
        <w:rPr>
          <w:rFonts w:ascii="Times New Roman" w:hAnsi="Times New Roman" w:cs="Times New Roman" w:eastAsia="Times New Roman" w:hint="ascii"/>
          <w:sz w:val="18"/>
          <w:spacing w:val="-1"/>
        </w:rPr>
        <w:t>B080903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化</w:t>
      </w:r>
      <w:r>
        <w:rPr>
          <w:rFonts w:ascii="宋体" w:hAnsi="宋体" w:cs="宋体" w:eastAsia="宋体" w:hint="ascii"/>
          <w:sz w:val="18"/>
        </w:rPr>
        <w:t>工产品加工过程与</w: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工艺</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B080904</w:t>
      </w:r>
      <w:r>
        <w:rPr>
          <w:rFonts w:ascii="Times New Roman" w:hAnsi="Times New Roman" w:cs="Times New Roman" w:eastAsia="Times New Roman" w:hint="ascii"/>
          <w:sz w:val="18"/>
          <w:spacing w:val="45"/>
        </w:rPr>
        <w:t xml:space="preserve"> </w:t>
      </w:r>
      <w:r>
        <w:rPr>
          <w:rFonts w:ascii="宋体" w:hAnsi="宋体" w:cs="宋体" w:eastAsia="宋体" w:hint="ascii"/>
          <w:sz w:val="18"/>
        </w:rPr>
        <w:t>产品全生命周期评价</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与循环利用</w:t>
      </w:r>
    </w:p>
    <w:p>
      <w:pPr>
        <w:autoSpaceDE w:val="0"/>
        <w:autoSpaceDN w:val="0"/>
        <w:jc w:val="left"/>
        <w:spacing w:before="56"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能源化工</w:t>
      </w:r>
    </w:p>
    <w:p>
      <w:pPr>
        <w:autoSpaceDE w:val="0"/>
        <w:autoSpaceDN w:val="0"/>
        <w:jc w:val="left"/>
        <w:spacing w:before="61" w:after="0" w:lineRule="auto" w:line="307"/>
        <w:ind w:right="138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煤与天然气化工</w:t>
      </w:r>
      <w:r>
        <w:rPr>
          <w:rFonts w:ascii="Times New Roman" w:hAnsi="Times New Roman" w:cs="Times New Roman" w:eastAsia="Times New Roman" w:hint="ascii"/>
          <w:sz w:val="18"/>
        </w:rPr>
        <w:t>B081002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石油化工</w:t>
      </w:r>
      <w:r>
        <w:rPr>
          <w:rFonts w:ascii="Times New Roman" w:hAnsi="Times New Roman" w:cs="Times New Roman" w:eastAsia="Times New Roman" w:hint="ascii"/>
          <w:sz w:val="18"/>
        </w:rPr>
        <w:t>B081003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生物质能源化工</w:t>
      </w:r>
    </w:p>
    <w:p>
      <w:pPr>
        <w:autoSpaceDE w:val="0"/>
        <w:autoSpaceDN w:val="0"/>
        <w:jc w:val="left"/>
        <w:spacing w:before="0" w:after="0" w:lineRule="auto" w:line="239"/>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核与其他能源化工</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B081005</w:t>
      </w:r>
      <w:r>
        <w:rPr>
          <w:rFonts w:ascii="Times New Roman" w:hAnsi="Times New Roman" w:cs="Times New Roman" w:eastAsia="Times New Roman" w:hint="ascii"/>
          <w:sz w:val="18"/>
          <w:spacing w:val="45"/>
        </w:rPr>
        <w:t xml:space="preserve"> </w:t>
      </w:r>
      <w:r>
        <w:rPr>
          <w:rFonts w:ascii="宋体" w:hAnsi="宋体" w:cs="宋体" w:eastAsia="宋体" w:hint="ascii"/>
          <w:sz w:val="18"/>
        </w:rPr>
        <w:t>能源转换与储存工程</w:t>
      </w:r>
    </w:p>
    <w:p>
      <w:pPr>
        <w:autoSpaceDE w:val="0"/>
        <w:autoSpaceDN w:val="0"/>
        <w:jc w:val="left"/>
        <w:spacing w:before="6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55"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B08</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资源与环境化工</w:t>
      </w:r>
    </w:p>
    <w:p>
      <w:pPr>
        <w:autoSpaceDE w:val="0"/>
        <w:autoSpaceDN w:val="0"/>
        <w:jc w:val="left"/>
        <w:spacing w:before="61" w:after="0" w:lineRule="auto" w:line="308"/>
        <w:ind w:right="111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B08</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矿产资源高效利用</w:t>
      </w:r>
      <w:r>
        <w:rPr>
          <w:rFonts w:ascii="Times New Roman" w:hAnsi="Times New Roman" w:cs="Times New Roman" w:eastAsia="Times New Roman" w:hint="ascii"/>
          <w:sz w:val="18"/>
          <w:spacing w:val="-1"/>
        </w:rPr>
        <w:t>B08</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低值与废弃资源的有</w:t>
      </w:r>
    </w:p>
    <w:p>
      <w:pPr>
        <w:autoSpaceDE w:val="0"/>
        <w:autoSpaceDN w:val="0"/>
        <w:jc w:val="left"/>
        <w:spacing w:before="429496729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效利用</w:t>
      </w:r>
    </w:p>
    <w:p>
      <w:pPr>
        <w:autoSpaceDE w:val="0"/>
        <w:autoSpaceDN w:val="0"/>
        <w:jc w:val="left"/>
        <w:spacing w:before="55" w:after="0" w:lineRule="auto" w:line="307"/>
        <w:ind w:right="1119" w:left="662" w:firstLine="0"/>
        <w:snapToGrid w:val="0"/>
        <w:textAlignment w:val="auto"/>
        <w:tabs/>
        <w:sectPr>
          <w:type w:val="continuous"/>
          <w:pgSz w:w="10940" w:h="15080" w:orient="portrait"/>
          <w:pgMar w:top="508" w:right="508" w:bottom="508" w:left="508" w:header="0" w:footer="0" w:gutter="0"/>
          <w:cols w:num="2" w:space="0" w:equalWidth="0">
            <w:col w:w="4728" w:space="955"/>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spacing w:val="-1"/>
        </w:rPr>
        <w:t>B08</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生物质资源高效转化</w:t>
      </w:r>
      <w:r>
        <w:rPr>
          <w:rFonts w:ascii="Times New Roman" w:hAnsi="Times New Roman" w:cs="Times New Roman" w:eastAsia="Times New Roman" w:hint="ascii"/>
          <w:sz w:val="18"/>
        </w:rPr>
        <w:t>B08</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104</w:t>
      </w:r>
      <w:r>
        <w:rPr>
          <w:rFonts w:ascii="Times New Roman" w:hAnsi="Times New Roman" w:cs="Times New Roman" w:eastAsia="Times New Roman" w:hint="ascii"/>
          <w:sz w:val="18"/>
          <w:spacing w:val="45"/>
        </w:rPr>
        <w:t xml:space="preserve"> </w:t>
      </w:r>
      <w:r>
        <w:rPr>
          <w:rFonts w:ascii="宋体" w:hAnsi="宋体" w:cs="宋体" w:eastAsia="宋体" w:hint="ascii"/>
          <w:sz w:val="18"/>
        </w:rPr>
        <w:t>绿色化工过程</w:t>
      </w:r>
      <w:r>
        <w:rPr>
          <w:rFonts w:ascii="Times New Roman" w:hAnsi="Times New Roman" w:cs="Times New Roman" w:eastAsia="Times New Roman" w:hint="ascii"/>
          <w:sz w:val="18"/>
          <w:spacing w:val="-1"/>
        </w:rPr>
        <w:t>B08</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rPr>
        <w:t>105</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环境治理的化工过程</w:t>
      </w:r>
      <w:r>
        <w:rPr>
          <w:rFonts w:ascii="Times New Roman" w:hAnsi="Times New Roman" w:cs="Times New Roman" w:eastAsia="Times New Roman" w:hint="ascii"/>
          <w:sz w:val="18"/>
        </w:rPr>
        <w:t>B08</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106</w:t>
      </w:r>
      <w:r>
        <w:rPr>
          <w:rFonts w:ascii="Times New Roman" w:hAnsi="Times New Roman" w:cs="Times New Roman" w:eastAsia="Times New Roman" w:hint="ascii"/>
          <w:sz w:val="18"/>
          <w:spacing w:val="45"/>
        </w:rPr>
        <w:t xml:space="preserve"> </w:t>
      </w:r>
      <w:r>
        <w:rPr>
          <w:rFonts w:ascii="宋体" w:hAnsi="宋体" w:cs="宋体" w:eastAsia="宋体" w:hint="ascii"/>
          <w:sz w:val="18"/>
        </w:rPr>
        <w:t>生态化工</w:t>
      </w:r>
      <w:rPr>
        <w:rFonts w:ascii="宋体" w:hAnsi="宋体" w:cs="宋体" w:eastAsia="宋体" w:hint="ascii"/>
        <w:sz w:val="18"/>
      </w:rPr>
    </w:p>
    <w:p>
      <w:pPr>
        <w:autoSpaceDE w:val="0"/>
        <w:autoSpaceDN w:val="0"/>
        <w:jc w:val="left"/>
        <w:spacing w:before="135" w:after="0" w:lineRule="auto" w:line="240"/>
        <w:ind w:right="0" w:left="372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rPr>
        <w:t>C</w:t>
      </w:r>
      <w:r>
        <w:rPr>
          <w:rFonts w:ascii="Times New Roman" w:hAnsi="Times New Roman" w:cs="Times New Roman" w:eastAsia="Times New Roman" w:hint="ascii"/>
          <w:b w:val="1"/>
          <w:sz w:val="38"/>
        </w:rPr>
        <w:t xml:space="preserve">. </w:t>
      </w:r>
      <w:r>
        <w:rPr>
          <w:rFonts w:ascii="宋体" w:hAnsi="宋体" w:cs="宋体" w:eastAsia="宋体" w:hint="ascii"/>
          <w:sz w:val="38"/>
        </w:rPr>
        <w:t>生命科学部</w:t>
      </w:r>
      <w:rPr>
        <w:rFonts w:ascii="宋体" w:hAnsi="宋体" w:cs="宋体" w:eastAsia="宋体" w:hint="ascii"/>
        <w:sz w:val="38"/>
      </w:rPr>
    </w:p>
    <w:p>
      <w:pPr>
        <w:autoSpaceDE w:val="0"/>
        <w:autoSpaceDN w:val="0"/>
        <w:jc w:val="left"/>
        <w:spacing w:before="29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C01</w:t>
      </w:r>
      <w:r>
        <w:rPr>
          <w:rFonts w:ascii="Times New Roman" w:hAnsi="Times New Roman" w:cs="Times New Roman" w:eastAsia="Times New Roman" w:hint="ascii"/>
          <w:b w:val="1"/>
          <w:spacing w:val="60"/>
        </w:rPr>
        <w:t xml:space="preserve"> </w:t>
      </w:r>
      <w:r>
        <w:rPr>
          <w:rFonts w:ascii="宋体" w:hAnsi="宋体" w:cs="宋体" w:eastAsia="宋体" w:hint="ascii"/>
        </w:rPr>
        <w:t>微生物学</w:t>
      </w:r>
    </w:p>
    <w:p>
      <w:pPr>
        <w:autoSpaceDE w:val="0"/>
        <w:autoSpaceDN w:val="0"/>
        <w:jc w:val="left"/>
        <w:spacing w:before="9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微生物资源、分类与系统发育</w:t>
      </w:r>
    </w:p>
    <w:p>
      <w:pPr>
        <w:autoSpaceDE w:val="0"/>
        <w:autoSpaceDN w:val="0"/>
        <w:jc w:val="left"/>
        <w:spacing w:before="7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C010101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细</w:t>
      </w:r>
      <w:r>
        <w:rPr>
          <w:rFonts w:ascii="宋体" w:hAnsi="宋体" w:cs="宋体" w:eastAsia="宋体" w:hint="ascii"/>
          <w:sz w:val="18"/>
        </w:rPr>
        <w:t>菌资源、分类及系</w:t>
      </w:r>
    </w:p>
    <w:p>
      <w:pPr>
        <w:autoSpaceDE w:val="0"/>
        <w:autoSpaceDN w:val="0"/>
        <w:jc w:val="left"/>
        <w:spacing w:before="74"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统发育</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C010102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放</w:t>
      </w:r>
      <w:r>
        <w:rPr>
          <w:rFonts w:ascii="宋体" w:hAnsi="宋体" w:cs="宋体" w:eastAsia="宋体" w:hint="ascii"/>
          <w:sz w:val="18"/>
        </w:rPr>
        <w:t>线菌资源、分类及</w:t>
      </w:r>
    </w:p>
    <w:p>
      <w:pPr>
        <w:autoSpaceDE w:val="0"/>
        <w:autoSpaceDN w:val="0"/>
        <w:jc w:val="left"/>
        <w:spacing w:before="7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系统发育</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C010103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真</w:t>
      </w:r>
      <w:r>
        <w:rPr>
          <w:rFonts w:ascii="宋体" w:hAnsi="宋体" w:cs="宋体" w:eastAsia="宋体" w:hint="ascii"/>
          <w:sz w:val="18"/>
        </w:rPr>
        <w:t>菌资源、分类及系</w:t>
      </w:r>
    </w:p>
    <w:p>
      <w:pPr>
        <w:autoSpaceDE w:val="0"/>
        <w:autoSpaceDN w:val="0"/>
        <w:jc w:val="left"/>
        <w:spacing w:before="34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宋体" w:hAnsi="宋体" w:cs="宋体" w:eastAsia="宋体" w:hint="ascii"/>
          <w:sz w:val="18"/>
        </w:rPr>
        <w:t>统发育</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C010104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病毒资源、分类及变</w:t>
      </w:r>
      <w:r>
        <w:rPr>
          <w:rFonts w:ascii="宋体" w:hAnsi="宋体" w:cs="宋体" w:eastAsia="宋体" w:hint="ascii"/>
          <w:sz w:val="18"/>
        </w:rPr>
        <w:t>异</w:t>
      </w:r>
    </w:p>
    <w:p>
      <w:pPr>
        <w:autoSpaceDE w:val="0"/>
        <w:autoSpaceDN w:val="0"/>
        <w:jc w:val="left"/>
        <w:spacing w:before="3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微生物生理与生物化学</w:t>
      </w:r>
    </w:p>
    <w:p>
      <w:pPr>
        <w:autoSpaceDE w:val="0"/>
        <w:autoSpaceDN w:val="0"/>
        <w:jc w:val="left"/>
        <w:spacing w:before="77" w:after="0" w:lineRule="auto" w:line="324"/>
        <w:ind w:right="1119" w:left="662" w:firstLine="0"/>
        <w:snapToGrid w:val="0"/>
        <w:textAlignment w:val="auto"/>
        <w:tabs/>
        <w:sectPr>
          <w:type w:val="continuous"/>
          <w:pgSz w:w="10940" w:h="15080" w:orient="portrait"/>
          <w:pgMar w:top="508" w:right="508" w:bottom="508" w:left="508" w:header="0" w:footer="0" w:gutter="0"/>
          <w:cols w:num="2" w:space="0" w:equalWidth="0">
            <w:col w:w="4728" w:space="955"/>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C010201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微生物生理与代谢</w:t>
      </w:r>
      <w:r>
        <w:rPr>
          <w:rFonts w:ascii="Times New Roman" w:hAnsi="Times New Roman" w:cs="Times New Roman" w:eastAsia="Times New Roman" w:hint="ascii"/>
          <w:sz w:val="18"/>
        </w:rPr>
        <w:t>C010202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微生物生物化学</w:t>
      </w:r>
      <w:r>
        <w:rPr>
          <w:rFonts w:ascii="Times New Roman" w:hAnsi="Times New Roman" w:cs="Times New Roman" w:eastAsia="Times New Roman" w:hint="ascii"/>
          <w:sz w:val="18"/>
        </w:rPr>
        <w:t>C010203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微生物结构与功能</w:t>
      </w:r>
      <w:rPr>
        <w:rFonts w:ascii="宋体" w:hAnsi="宋体" w:cs="宋体" w:eastAsia="宋体" w:hint="ascii"/>
        <w:sz w:val="18"/>
      </w:rPr>
    </w:p>
    <w:p>
      <w:pPr>
        <w:autoSpaceDE w:val="0"/>
        <w:autoSpaceDN w:val="0"/>
        <w:jc w:val="left"/>
        <w:spacing w:before="292"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262</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微生物遗传与育种</w:t>
      </w:r>
      <w:r>
        <w:rPr>
          <w:rFonts w:ascii="宋体" w:hAnsi="宋体" w:cs="宋体" w:eastAsia="宋体" w:hint="ascii"/>
          <w:sz w:val="18"/>
        </w:rPr>
        <mc:AlternateContent>
          <mc:Choice Requires="wps">
            <w:drawing>
              <wp:anchor distL="0" distR="0" distT="0" distB="0" simplePos="0" behindDoc="1" relativeHeight="344" locked="0" layoutInCell="1" allowOverlap="1">
                <wp:simplePos x="0" y="0"/>
                <wp:positionH relativeFrom="page">
                  <wp:posOffset>938530</wp:posOffset>
                </wp:positionH>
                <wp:positionV relativeFrom="page">
                  <wp:posOffset>819150</wp:posOffset>
                </wp:positionV>
                <wp:extent cx="5076190" cy="0"/>
                <wp:wrapNone/>
                <wp:docPr id="1371" name="137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05984;width:399.70pt;" id="137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77" w:after="0" w:lineRule="auto" w:line="32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C010301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微生物功能基因</w:t>
      </w:r>
      <w:r>
        <w:rPr>
          <w:rFonts w:ascii="Times New Roman" w:hAnsi="Times New Roman" w:cs="Times New Roman" w:eastAsia="Times New Roman" w:hint="ascii"/>
          <w:sz w:val="18"/>
        </w:rPr>
        <w:t>C010302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微生物遗传育种</w:t>
      </w:r>
      <w:r>
        <w:rPr>
          <w:rFonts w:ascii="Times New Roman" w:hAnsi="Times New Roman" w:cs="Times New Roman" w:eastAsia="Times New Roman" w:hint="ascii"/>
          <w:sz w:val="18"/>
        </w:rPr>
        <w:t>C010303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微生物合成生物学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8"/>
        </w:rPr>
        <w:t>微生物学研究的新技术与新方</w:t>
      </w:r>
      <w:r>
        <w:rPr>
          <w:rFonts w:ascii="宋体" w:hAnsi="宋体" w:cs="宋体" w:eastAsia="宋体" w:hint="ascii"/>
          <w:sz w:val="18"/>
        </w:rPr>
        <w:t>法</w:t>
      </w:r>
    </w:p>
    <w:p>
      <w:pPr>
        <w:autoSpaceDE w:val="0"/>
        <w:autoSpaceDN w:val="0"/>
        <w:jc w:val="left"/>
        <w:spacing w:before="7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环境微生物学</w: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C010501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陆生环境微生物学</w:t>
      </w:r>
      <w:r>
        <w:rPr>
          <w:rFonts w:ascii="Times New Roman" w:hAnsi="Times New Roman" w:cs="Times New Roman" w:eastAsia="Times New Roman" w:hint="ascii"/>
          <w:sz w:val="18"/>
        </w:rPr>
        <w:t>C010502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水生环境微生物学</w:t>
      </w:r>
      <w:r>
        <w:rPr>
          <w:rFonts w:ascii="Times New Roman" w:hAnsi="Times New Roman" w:cs="Times New Roman" w:eastAsia="Times New Roman" w:hint="ascii"/>
          <w:sz w:val="18"/>
        </w:rPr>
        <w:t>C010503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人体微生物学</w:t>
      </w:r>
      <w:r>
        <w:rPr>
          <w:rFonts w:ascii="Times New Roman" w:hAnsi="Times New Roman" w:cs="Times New Roman" w:eastAsia="Times New Roman" w:hint="ascii"/>
          <w:sz w:val="18"/>
        </w:rPr>
        <w:t>C010504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其他环境微生物学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病原细菌与放线菌生物学</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C010601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植</w:t>
      </w:r>
      <w:r>
        <w:rPr>
          <w:rFonts w:ascii="宋体" w:hAnsi="宋体" w:cs="宋体" w:eastAsia="宋体" w:hint="ascii"/>
          <w:sz w:val="18"/>
        </w:rPr>
        <w:t>物病原细菌与放线</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菌生物学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C010602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动</w:t>
      </w:r>
      <w:r>
        <w:rPr>
          <w:rFonts w:ascii="宋体" w:hAnsi="宋体" w:cs="宋体" w:eastAsia="宋体" w:hint="ascii"/>
          <w:sz w:val="18"/>
        </w:rPr>
        <w:t>物病原细菌与放线</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菌生物学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C010603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人</w:t>
      </w:r>
      <w:r>
        <w:rPr>
          <w:rFonts w:ascii="宋体" w:hAnsi="宋体" w:cs="宋体" w:eastAsia="宋体" w:hint="ascii"/>
          <w:sz w:val="18"/>
        </w:rPr>
        <w:t>类病原细菌与放线</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菌生物学</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病原真菌学</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C010701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植物病原真菌学</w:t>
      </w:r>
      <w:r>
        <w:rPr>
          <w:rFonts w:ascii="Times New Roman" w:hAnsi="Times New Roman" w:cs="Times New Roman" w:eastAsia="Times New Roman" w:hint="ascii"/>
          <w:sz w:val="18"/>
        </w:rPr>
        <w:t>C010702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动物病原真菌学</w:t>
      </w:r>
      <w:r>
        <w:rPr>
          <w:rFonts w:ascii="Times New Roman" w:hAnsi="Times New Roman" w:cs="Times New Roman" w:eastAsia="Times New Roman" w:hint="ascii"/>
          <w:sz w:val="18"/>
        </w:rPr>
        <w:t>C010703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人类病原真菌学</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病毒学</w:t>
      </w:r>
    </w:p>
    <w:p>
      <w:pPr>
        <w:autoSpaceDE w:val="0"/>
        <w:autoSpaceDN w:val="0"/>
        <w:jc w:val="left"/>
        <w:spacing w:before="67" w:after="0" w:lineRule="auto" w:line="313"/>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C010801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植物病毒学</w:t>
      </w:r>
      <w:r>
        <w:rPr>
          <w:rFonts w:ascii="Times New Roman" w:hAnsi="Times New Roman" w:cs="Times New Roman" w:eastAsia="Times New Roman" w:hint="ascii"/>
          <w:sz w:val="18"/>
        </w:rPr>
        <w:t>C010802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动物病毒学</w:t>
      </w:r>
      <w:r>
        <w:rPr>
          <w:rFonts w:ascii="Times New Roman" w:hAnsi="Times New Roman" w:cs="Times New Roman" w:eastAsia="Times New Roman" w:hint="ascii"/>
          <w:sz w:val="18"/>
        </w:rPr>
        <w:t>C010803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人类病毒学</w:t>
      </w:r>
      <w:r>
        <w:rPr>
          <w:rFonts w:ascii="Times New Roman" w:hAnsi="Times New Roman" w:cs="Times New Roman" w:eastAsia="Times New Roman" w:hint="ascii"/>
          <w:sz w:val="18"/>
        </w:rPr>
        <w:t>C010804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噬菌体</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支原体、立克次氏体与衣原体</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C010901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支原体</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C010902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立</w:t>
      </w:r>
      <w:r>
        <w:rPr>
          <w:rFonts w:ascii="宋体" w:hAnsi="宋体" w:cs="宋体" w:eastAsia="宋体" w:hint="ascii"/>
          <w:sz w:val="18"/>
          <w:spacing w:val="-10"/>
        </w:rPr>
        <w:t>克次氏体、衣原体</w:t>
      </w:r>
      <w:r>
        <w:rPr>
          <w:rFonts w:ascii="宋体" w:hAnsi="宋体" w:cs="宋体" w:eastAsia="宋体" w:hint="ascii"/>
          <w:sz w:val="18"/>
        </w:rPr>
        <w:t>等</w:t>
      </w:r>
    </w:p>
    <w:p>
      <w:pPr>
        <w:autoSpaceDE w:val="0"/>
        <w:autoSpaceDN w:val="0"/>
        <w:jc w:val="left"/>
        <w:spacing w:before="58"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C02</w:t>
      </w:r>
      <w:r>
        <w:rPr>
          <w:rFonts w:ascii="Times New Roman" w:hAnsi="Times New Roman" w:cs="Times New Roman" w:eastAsia="Times New Roman" w:hint="ascii"/>
          <w:b w:val="1"/>
          <w:spacing w:val="60"/>
        </w:rPr>
        <w:t xml:space="preserve"> </w:t>
      </w:r>
      <w:r>
        <w:rPr>
          <w:rFonts w:ascii="宋体" w:hAnsi="宋体" w:cs="宋体" w:eastAsia="宋体" w:hint="ascii"/>
        </w:rPr>
        <w:t>植物学</w:t>
      </w:r>
    </w:p>
    <w:p>
      <w:pPr>
        <w:autoSpaceDE w:val="0"/>
        <w:autoSpaceDN w:val="0"/>
        <w:jc w:val="left"/>
        <w:spacing w:before="8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植物结构生物学</w:t>
      </w:r>
    </w:p>
    <w:p>
      <w:pPr>
        <w:autoSpaceDE w:val="0"/>
        <w:autoSpaceDN w:val="0"/>
        <w:jc w:val="both"/>
        <w:spacing w:before="62"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C020101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植</w:t>
      </w:r>
      <w:r>
        <w:rPr>
          <w:rFonts w:ascii="宋体" w:hAnsi="宋体" w:cs="宋体" w:eastAsia="宋体" w:hint="ascii"/>
          <w:sz w:val="18"/>
        </w:rPr>
        <w:t>物形态结构与功能</w:t>
      </w:r>
      <w:r>
        <w:rPr>
          <w:rFonts w:ascii="Times New Roman" w:hAnsi="Times New Roman" w:cs="Times New Roman" w:eastAsia="Times New Roman" w:hint="ascii"/>
          <w:sz w:val="18"/>
        </w:rPr>
        <w:t>C020102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植物形态发生</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植物分类学</w:t>
      </w:r>
    </w:p>
    <w:p>
      <w:pPr>
        <w:autoSpaceDE w:val="0"/>
        <w:autoSpaceDN w:val="0"/>
        <w:jc w:val="left"/>
        <w:spacing w:before="62"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种子植物分类</w:t>
      </w:r>
      <w:r>
        <w:rPr>
          <w:rFonts w:ascii="Times New Roman" w:hAnsi="Times New Roman" w:cs="Times New Roman" w:eastAsia="Times New Roman" w:hint="ascii"/>
          <w:sz w:val="18"/>
        </w:rPr>
        <w:t>C020202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孢子植物分类</w:t>
      </w:r>
      <w:r>
        <w:rPr>
          <w:rFonts w:ascii="Times New Roman" w:hAnsi="Times New Roman" w:cs="Times New Roman" w:eastAsia="Times New Roman" w:hint="ascii"/>
          <w:sz w:val="18"/>
        </w:rPr>
        <w:t>C020203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植物区系地理学</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植物进化生物学</w:t>
      </w:r>
    </w:p>
    <w:p>
      <w:pPr>
        <w:autoSpaceDE w:val="0"/>
        <w:autoSpaceDN w:val="0"/>
        <w:jc w:val="left"/>
        <w:spacing w:before="61"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植物系统发育</w:t>
      </w:r>
      <w:r>
        <w:rPr>
          <w:rFonts w:ascii="Times New Roman" w:hAnsi="Times New Roman" w:cs="Times New Roman" w:eastAsia="Times New Roman" w:hint="ascii"/>
          <w:sz w:val="18"/>
        </w:rPr>
        <w:t>C020302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古植物学与孢粉学</w:t>
      </w:r>
      <w:r>
        <w:rPr>
          <w:rFonts w:ascii="Times New Roman" w:hAnsi="Times New Roman" w:cs="Times New Roman" w:eastAsia="Times New Roman" w:hint="ascii"/>
          <w:sz w:val="18"/>
        </w:rPr>
        <w:t>C020303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植物进化与发育</w:t>
      </w:r>
      <w:r>
        <w:rPr>
          <w:rFonts w:ascii="Times New Roman" w:hAnsi="Times New Roman" w:cs="Times New Roman" w:eastAsia="Times New Roman" w:hint="ascii"/>
          <w:sz w:val="18"/>
        </w:rPr>
        <w:t>C020304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传粉生物学</w:t>
      </w:r>
    </w:p>
    <w:p>
      <w:pPr>
        <w:autoSpaceDE w:val="0"/>
        <w:autoSpaceDN w:val="0"/>
        <w:jc w:val="left"/>
        <w:spacing w:before="327"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C0204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植物生理学</w:t>
      </w:r>
    </w:p>
    <w:p>
      <w:pPr>
        <w:autoSpaceDE w:val="0"/>
        <w:autoSpaceDN w:val="0"/>
        <w:jc w:val="left"/>
        <w:spacing w:before="73" w:after="0" w:lineRule="auto" w:line="320"/>
        <w:ind w:right="138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光合作用</w:t>
      </w:r>
      <w:r>
        <w:rPr>
          <w:rFonts w:ascii="Times New Roman" w:hAnsi="Times New Roman" w:cs="Times New Roman" w:eastAsia="Times New Roman" w:hint="ascii"/>
          <w:sz w:val="18"/>
        </w:rPr>
        <w:t>C020402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生物固氮</w:t>
      </w:r>
      <w:r>
        <w:rPr>
          <w:rFonts w:ascii="Times New Roman" w:hAnsi="Times New Roman" w:cs="Times New Roman" w:eastAsia="Times New Roman" w:hint="ascii"/>
          <w:sz w:val="18"/>
        </w:rPr>
        <w:t>C020403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呼吸作用</w:t>
      </w:r>
    </w:p>
    <w:p>
      <w:pPr>
        <w:autoSpaceDE w:val="0"/>
        <w:autoSpaceDN w:val="0"/>
        <w:jc w:val="left"/>
        <w:spacing w:before="0" w:after="0" w:lineRule="auto" w:line="239"/>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矿质元素代谢与运输</w:t>
      </w:r>
    </w:p>
    <w:p>
      <w:pPr>
        <w:autoSpaceDE w:val="0"/>
        <w:autoSpaceDN w:val="0"/>
        <w:jc w:val="both"/>
        <w:spacing w:before="74" w:after="0" w:lineRule="auto" w:line="320"/>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C020405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有</w:t>
      </w:r>
      <w:r>
        <w:rPr>
          <w:rFonts w:ascii="宋体" w:hAnsi="宋体" w:cs="宋体" w:eastAsia="宋体" w:hint="ascii"/>
          <w:sz w:val="18"/>
        </w:rPr>
        <w:t>机物质合成与运输</w:t>
      </w:r>
      <w:r>
        <w:rPr>
          <w:rFonts w:ascii="Times New Roman" w:hAnsi="Times New Roman" w:cs="Times New Roman" w:eastAsia="Times New Roman" w:hint="ascii"/>
          <w:sz w:val="18"/>
        </w:rPr>
        <w:t>C020406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抗性生理</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植物生长调节物质</w:t>
      </w:r>
    </w:p>
    <w:p>
      <w:pPr>
        <w:autoSpaceDE w:val="0"/>
        <w:autoSpaceDN w:val="0"/>
        <w:jc w:val="left"/>
        <w:spacing w:before="74" w:after="0" w:lineRule="auto" w:line="320"/>
        <w:ind w:right="963"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C020408</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植物的生长发育</w:t>
      </w:r>
      <w:r>
        <w:rPr>
          <w:rFonts w:ascii="Times New Roman" w:hAnsi="Times New Roman" w:cs="Times New Roman" w:eastAsia="Times New Roman" w:hint="ascii"/>
          <w:sz w:val="18"/>
        </w:rPr>
        <w:t>C020409</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植物次生代谢与调控</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植物生殖生物学</w:t>
      </w:r>
    </w:p>
    <w:p>
      <w:pPr>
        <w:autoSpaceDE w:val="0"/>
        <w:autoSpaceDN w:val="0"/>
        <w:jc w:val="left"/>
        <w:spacing w:before="74"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无性繁殖</w:t>
      </w:r>
    </w:p>
    <w:p>
      <w:pPr>
        <w:autoSpaceDE w:val="0"/>
        <w:autoSpaceDN w:val="0"/>
        <w:jc w:val="left"/>
        <w:spacing w:before="73" w:after="0" w:lineRule="auto" w:line="320"/>
        <w:ind w:right="102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性别及花器官分化</w:t>
      </w:r>
      <w:r>
        <w:rPr>
          <w:rFonts w:ascii="Times New Roman" w:hAnsi="Times New Roman" w:cs="Times New Roman" w:eastAsia="Times New Roman" w:hint="ascii"/>
          <w:sz w:val="18"/>
        </w:rPr>
        <w:t>C020503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植物配子体发生与受</w:t>
      </w:r>
      <w:r>
        <w:rPr>
          <w:rFonts w:ascii="宋体" w:hAnsi="宋体" w:cs="宋体" w:eastAsia="宋体" w:hint="ascii"/>
          <w:sz w:val="18"/>
        </w:rPr>
        <w:t>精</w:t>
      </w:r>
      <w:r>
        <w:rPr>
          <w:rFonts w:ascii="Times New Roman" w:hAnsi="Times New Roman" w:cs="Times New Roman" w:eastAsia="Times New Roman" w:hint="ascii"/>
          <w:sz w:val="18"/>
        </w:rPr>
        <w:t>C020504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植物胚胎发生</w:t>
      </w:r>
      <w:r>
        <w:rPr>
          <w:rFonts w:ascii="Times New Roman" w:hAnsi="Times New Roman" w:cs="Times New Roman" w:eastAsia="Times New Roman" w:hint="ascii"/>
          <w:sz w:val="18"/>
        </w:rPr>
        <w:t>C020505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胚乳发育</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种子贮藏与传播</w:t>
      </w:r>
    </w:p>
    <w:p>
      <w:pPr>
        <w:autoSpaceDE w:val="0"/>
        <w:autoSpaceDN w:val="0"/>
        <w:jc w:val="left"/>
        <w:spacing w:before="7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植物资源学</w:t>
      </w:r>
    </w:p>
    <w:p>
      <w:pPr>
        <w:autoSpaceDE w:val="0"/>
        <w:autoSpaceDN w:val="0"/>
        <w:jc w:val="left"/>
        <w:spacing w:before="73" w:after="0" w:lineRule="auto" w:line="320"/>
        <w:ind w:right="102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植物资源评价</w:t>
      </w:r>
      <w:r>
        <w:rPr>
          <w:rFonts w:ascii="Times New Roman" w:hAnsi="Times New Roman" w:cs="Times New Roman" w:eastAsia="Times New Roman" w:hint="ascii"/>
          <w:sz w:val="18"/>
        </w:rPr>
        <w:t>C020602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植物引种驯化</w:t>
      </w:r>
      <w:r>
        <w:rPr>
          <w:rFonts w:ascii="Times New Roman" w:hAnsi="Times New Roman" w:cs="Times New Roman" w:eastAsia="Times New Roman" w:hint="ascii"/>
          <w:sz w:val="18"/>
        </w:rPr>
        <w:t>C020603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植物种质及保存保育</w:t>
      </w:r>
      <w:r>
        <w:rPr>
          <w:rFonts w:ascii="Times New Roman" w:hAnsi="Times New Roman" w:cs="Times New Roman" w:eastAsia="Times New Roman" w:hint="ascii"/>
          <w:sz w:val="18"/>
        </w:rPr>
        <w:t>C020604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植物化学</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C020605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水生植物与资源</w:t>
      </w:r>
    </w:p>
    <w:p>
      <w:pPr>
        <w:autoSpaceDE w:val="0"/>
        <w:autoSpaceDN w:val="0"/>
        <w:jc w:val="left"/>
        <w:spacing w:before="7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C0207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植物学研究的新技术、新方法</w:t>
      </w:r>
    </w:p>
    <w:p>
      <w:pPr>
        <w:autoSpaceDE w:val="0"/>
        <w:autoSpaceDN w:val="0"/>
        <w:jc w:val="left"/>
        <w:spacing w:before="58"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C03</w:t>
      </w:r>
      <w:r>
        <w:rPr>
          <w:rFonts w:ascii="Times New Roman" w:hAnsi="Times New Roman" w:cs="Times New Roman" w:eastAsia="Times New Roman" w:hint="ascii"/>
          <w:b w:val="1"/>
          <w:spacing w:val="60"/>
        </w:rPr>
        <w:t xml:space="preserve"> </w:t>
      </w:r>
      <w:r>
        <w:rPr>
          <w:rFonts w:ascii="宋体" w:hAnsi="宋体" w:cs="宋体" w:eastAsia="宋体" w:hint="ascii"/>
        </w:rPr>
        <w:t>生态学</w:t>
      </w:r>
    </w:p>
    <w:p>
      <w:pPr>
        <w:autoSpaceDE w:val="0"/>
        <w:autoSpaceDN w:val="0"/>
        <w:jc w:val="left"/>
        <w:spacing w:before="99"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分子与进化生态学</w:t>
      </w:r>
    </w:p>
    <w:p>
      <w:pPr>
        <w:autoSpaceDE w:val="0"/>
        <w:autoSpaceDN w:val="0"/>
        <w:jc w:val="both"/>
        <w:spacing w:before="76" w:after="0" w:lineRule="auto" w:line="325"/>
        <w:ind w:right="183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子生态学</w:t>
      </w:r>
      <w:r>
        <w:rPr>
          <w:rFonts w:ascii="Times New Roman" w:hAnsi="Times New Roman" w:cs="Times New Roman" w:eastAsia="Times New Roman" w:hint="ascii"/>
          <w:sz w:val="18"/>
          <w:spacing w:val="-1"/>
        </w:rPr>
        <w:t>C030102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进</w:t>
      </w:r>
      <w:r>
        <w:rPr>
          <w:rFonts w:ascii="宋体" w:hAnsi="宋体" w:cs="宋体" w:eastAsia="宋体" w:hint="ascii"/>
          <w:sz w:val="18"/>
        </w:rPr>
        <w:t>化生态学</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行为生态学</w:t>
      </w:r>
    </w:p>
    <w:p>
      <w:pPr>
        <w:autoSpaceDE w:val="0"/>
        <w:autoSpaceDN w:val="0"/>
        <w:jc w:val="both"/>
        <w:spacing w:before="76" w:after="0" w:lineRule="auto" w:line="325"/>
        <w:ind w:right="147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昆</w:t>
      </w:r>
      <w:r>
        <w:rPr>
          <w:rFonts w:ascii="宋体" w:hAnsi="宋体" w:cs="宋体" w:eastAsia="宋体" w:hint="ascii"/>
          <w:sz w:val="18"/>
        </w:rPr>
        <w:t>虫行为生态学</w:t>
      </w:r>
      <w:r>
        <w:rPr>
          <w:rFonts w:ascii="Times New Roman" w:hAnsi="Times New Roman" w:cs="Times New Roman" w:eastAsia="Times New Roman" w:hint="ascii"/>
          <w:sz w:val="18"/>
          <w:spacing w:val="-1"/>
        </w:rPr>
        <w:t>C030202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动</w:t>
      </w:r>
      <w:r>
        <w:rPr>
          <w:rFonts w:ascii="宋体" w:hAnsi="宋体" w:cs="宋体" w:eastAsia="宋体" w:hint="ascii"/>
          <w:sz w:val="18"/>
        </w:rPr>
        <w:t>物行为生态学</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生理生态学</w:t>
      </w:r>
    </w:p>
    <w:p>
      <w:pPr>
        <w:autoSpaceDE w:val="0"/>
        <w:autoSpaceDN w:val="0"/>
        <w:jc w:val="both"/>
        <w:spacing w:before="76" w:after="0" w:lineRule="auto" w:line="325"/>
        <w:ind w:right="147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植</w:t>
      </w:r>
      <w:r>
        <w:rPr>
          <w:rFonts w:ascii="宋体" w:hAnsi="宋体" w:cs="宋体" w:eastAsia="宋体" w:hint="ascii"/>
          <w:sz w:val="18"/>
        </w:rPr>
        <w:t>物生理生态学</w:t>
      </w:r>
      <w:r>
        <w:rPr>
          <w:rFonts w:ascii="Times New Roman" w:hAnsi="Times New Roman" w:cs="Times New Roman" w:eastAsia="Times New Roman" w:hint="ascii"/>
          <w:sz w:val="18"/>
          <w:spacing w:val="-1"/>
        </w:rPr>
        <w:t>C030302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动</w:t>
      </w:r>
      <w:r>
        <w:rPr>
          <w:rFonts w:ascii="宋体" w:hAnsi="宋体" w:cs="宋体" w:eastAsia="宋体" w:hint="ascii"/>
          <w:sz w:val="18"/>
        </w:rPr>
        <w:t>物生理生态学</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种群生态学</w:t>
      </w:r>
    </w:p>
    <w:p>
      <w:pPr>
        <w:autoSpaceDE w:val="0"/>
        <w:autoSpaceDN w:val="0"/>
        <w:jc w:val="left"/>
        <w:spacing w:before="76" w:after="0" w:lineRule="auto" w:line="325"/>
        <w:ind w:right="963"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C030401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植物种群生态学</w:t>
      </w:r>
      <w:r>
        <w:rPr>
          <w:rFonts w:ascii="Times New Roman" w:hAnsi="Times New Roman" w:cs="Times New Roman" w:eastAsia="Times New Roman" w:hint="ascii"/>
          <w:sz w:val="18"/>
        </w:rPr>
        <w:t>C030402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昆虫种群生态学</w:t>
      </w:r>
      <w:r>
        <w:rPr>
          <w:rFonts w:ascii="Times New Roman" w:hAnsi="Times New Roman" w:cs="Times New Roman" w:eastAsia="Times New Roman" w:hint="ascii"/>
          <w:sz w:val="18"/>
        </w:rPr>
        <w:t>C030403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动物种群生态学</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群落生态学</w:t>
      </w:r>
    </w:p>
    <w:p>
      <w:pPr>
        <w:autoSpaceDE w:val="0"/>
        <w:autoSpaceDN w:val="0"/>
        <w:jc w:val="both"/>
        <w:spacing w:before="78" w:after="0" w:lineRule="auto" w:line="325"/>
        <w:ind w:right="147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群</w:t>
      </w:r>
      <w:r>
        <w:rPr>
          <w:rFonts w:ascii="宋体" w:hAnsi="宋体" w:cs="宋体" w:eastAsia="宋体" w:hint="ascii"/>
          <w:sz w:val="18"/>
        </w:rPr>
        <w:t>落结构与动态</w:t>
      </w:r>
      <w:r>
        <w:rPr>
          <w:rFonts w:ascii="Times New Roman" w:hAnsi="Times New Roman" w:cs="Times New Roman" w:eastAsia="Times New Roman" w:hint="ascii"/>
          <w:sz w:val="18"/>
          <w:spacing w:val="-1"/>
        </w:rPr>
        <w:t>C030502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物</w:t>
      </w:r>
      <w:r>
        <w:rPr>
          <w:rFonts w:ascii="宋体" w:hAnsi="宋体" w:cs="宋体" w:eastAsia="宋体" w:hint="ascii"/>
          <w:sz w:val="18"/>
        </w:rPr>
        <w:t>种间相互作用</w:t>
      </w:r>
    </w:p>
    <w:p>
      <w:pPr>
        <w:autoSpaceDE w:val="0"/>
        <w:autoSpaceDN w:val="0"/>
        <w:jc w:val="left"/>
        <w:spacing w:before="251" w:after="0" w:lineRule="exact" w:line="225"/>
        <w:ind w:right="0" w:left="3288"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生态系统生态学</w:t>
      </w:r>
      <w:r>
        <w:rPr>
          <w:rFonts w:ascii="宋体" w:hAnsi="宋体" w:cs="宋体" w:eastAsia="宋体" w:hint="ascii"/>
          <w:sz w:val="18"/>
        </w:rPr>
        <mc:AlternateContent>
          <mc:Choice Requires="wps">
            <w:drawing>
              <wp:anchor distL="0" distR="0" distT="0" distB="0" simplePos="0" behindDoc="1" relativeHeight="345" locked="0" layoutInCell="1" allowOverlap="1">
                <wp:simplePos x="0" y="0"/>
                <wp:positionH relativeFrom="page">
                  <wp:posOffset>938530</wp:posOffset>
                </wp:positionH>
                <wp:positionV relativeFrom="page">
                  <wp:posOffset>805815</wp:posOffset>
                </wp:positionV>
                <wp:extent cx="5076190" cy="0"/>
                <wp:wrapNone/>
                <wp:docPr id="1372" name="137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04960;width:399.70pt;" id="137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73" w:after="0" w:lineRule="auto" w:line="320"/>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C030601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农田生态学</w:t>
      </w:r>
      <w:r>
        <w:rPr>
          <w:rFonts w:ascii="Times New Roman" w:hAnsi="Times New Roman" w:cs="Times New Roman" w:eastAsia="Times New Roman" w:hint="ascii"/>
          <w:sz w:val="18"/>
        </w:rPr>
        <w:t>C030602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森林生态学</w:t>
      </w:r>
      <w:r>
        <w:rPr>
          <w:rFonts w:ascii="Times New Roman" w:hAnsi="Times New Roman" w:cs="Times New Roman" w:eastAsia="Times New Roman" w:hint="ascii"/>
          <w:sz w:val="18"/>
        </w:rPr>
        <w:t>C030603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草地与荒漠生态</w:t>
      </w:r>
      <w:r>
        <w:rPr>
          <w:rFonts w:ascii="Times New Roman" w:hAnsi="Times New Roman" w:cs="Times New Roman" w:eastAsia="Times New Roman" w:hint="ascii"/>
          <w:sz w:val="18"/>
        </w:rPr>
        <w:t>C030604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水域生态学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景观与区域生态学</w:t>
      </w:r>
    </w:p>
    <w:p>
      <w:pPr>
        <w:autoSpaceDE w:val="0"/>
        <w:autoSpaceDN w:val="0"/>
        <w:jc w:val="both"/>
        <w:spacing w:before="75" w:after="0" w:lineRule="auto" w:line="322"/>
        <w:ind w:right="72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C030701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景</w:t>
      </w:r>
      <w:r>
        <w:rPr>
          <w:rFonts w:ascii="宋体" w:hAnsi="宋体" w:cs="宋体" w:eastAsia="宋体" w:hint="ascii"/>
          <w:sz w:val="18"/>
        </w:rPr>
        <w:t>观生态学</w:t>
      </w:r>
      <w:r>
        <w:rPr>
          <w:rFonts w:ascii="Times New Roman" w:hAnsi="Times New Roman" w:cs="Times New Roman" w:eastAsia="Times New Roman" w:hint="ascii"/>
          <w:sz w:val="18"/>
          <w:spacing w:val="-1"/>
        </w:rPr>
        <w:t>C030702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区</w:t>
      </w:r>
      <w:r>
        <w:rPr>
          <w:rFonts w:ascii="宋体" w:hAnsi="宋体" w:cs="宋体" w:eastAsia="宋体" w:hint="ascii"/>
          <w:sz w:val="18"/>
        </w:rPr>
        <w:t>域生态学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全球变化生态学</w:t>
      </w:r>
    </w:p>
    <w:p>
      <w:pPr>
        <w:autoSpaceDE w:val="0"/>
        <w:autoSpaceDN w:val="0"/>
        <w:jc w:val="left"/>
        <w:spacing w:before="7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C030801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陆</w:t>
      </w:r>
      <w:r>
        <w:rPr>
          <w:rFonts w:ascii="宋体" w:hAnsi="宋体" w:cs="宋体" w:eastAsia="宋体" w:hint="ascii"/>
          <w:sz w:val="18"/>
        </w:rPr>
        <w:t>地生态系统与全球</w:t>
      </w:r>
    </w:p>
    <w:p>
      <w:pPr>
        <w:autoSpaceDE w:val="0"/>
        <w:autoSpaceDN w:val="0"/>
        <w:jc w:val="left"/>
        <w:spacing w:before="7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变化</w:t>
      </w:r>
    </w:p>
    <w:p>
      <w:pPr>
        <w:autoSpaceDE w:val="0"/>
        <w:autoSpaceDN w:val="0"/>
        <w:jc w:val="left"/>
        <w:spacing w:before="69"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C030802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海</w:t>
      </w:r>
      <w:r>
        <w:rPr>
          <w:rFonts w:ascii="宋体" w:hAnsi="宋体" w:cs="宋体" w:eastAsia="宋体" w:hint="ascii"/>
          <w:sz w:val="18"/>
        </w:rPr>
        <w:t>洋生态系统与全球</w:t>
      </w:r>
    </w:p>
    <w:p>
      <w:pPr>
        <w:autoSpaceDE w:val="0"/>
        <w:autoSpaceDN w:val="0"/>
        <w:jc w:val="left"/>
        <w:spacing w:before="7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变化</w:t>
      </w:r>
    </w:p>
    <w:p>
      <w:pPr>
        <w:autoSpaceDE w:val="0"/>
        <w:autoSpaceDN w:val="0"/>
        <w:jc w:val="both"/>
        <w:spacing w:before="69" w:after="0" w:lineRule="auto" w:line="322"/>
        <w:ind w:right="1373"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C0309</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微生</w:t>
      </w:r>
      <w:r>
        <w:rPr>
          <w:rFonts w:ascii="宋体" w:hAnsi="宋体" w:cs="宋体" w:eastAsia="宋体" w:hint="ascii"/>
          <w:sz w:val="18"/>
        </w:rPr>
        <w:t>物生态学</w:t>
      </w:r>
      <w:r>
        <w:rPr>
          <w:rFonts w:ascii="Times New Roman" w:hAnsi="Times New Roman" w:cs="Times New Roman" w:eastAsia="Times New Roman" w:hint="ascii"/>
          <w:b w:val="1"/>
          <w:sz w:val="18"/>
        </w:rPr>
        <w:t>C0310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污染生态学</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C031001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污染生态学</w:t>
      </w:r>
    </w:p>
    <w:p>
      <w:pPr>
        <w:autoSpaceDE w:val="0"/>
        <w:autoSpaceDN w:val="0"/>
        <w:jc w:val="left"/>
        <w:spacing w:before="7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C031002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毒理生态学</w:t>
      </w:r>
    </w:p>
    <w:p>
      <w:pPr>
        <w:autoSpaceDE w:val="0"/>
        <w:autoSpaceDN w:val="0"/>
        <w:jc w:val="left"/>
        <w:spacing w:before="7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土壤生态学</w:t>
      </w:r>
    </w:p>
    <w:p>
      <w:pPr>
        <w:autoSpaceDE w:val="0"/>
        <w:autoSpaceDN w:val="0"/>
        <w:jc w:val="left"/>
        <w:spacing w:before="7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保护生物学与恢复生态学</w:t>
      </w:r>
    </w:p>
    <w:p>
      <w:pPr>
        <w:autoSpaceDE w:val="0"/>
        <w:autoSpaceDN w:val="0"/>
        <w:jc w:val="left"/>
        <w:spacing w:before="75" w:after="0" w:lineRule="auto" w:line="322"/>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C031201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生物多样性</w:t>
      </w:r>
      <w:r>
        <w:rPr>
          <w:rFonts w:ascii="Times New Roman" w:hAnsi="Times New Roman" w:cs="Times New Roman" w:eastAsia="Times New Roman" w:hint="ascii"/>
          <w:sz w:val="18"/>
        </w:rPr>
        <w:t>C031202</w:t>
      </w:r>
      <w:r>
        <w:rPr>
          <w:rFonts w:ascii="Times New Roman" w:hAnsi="Times New Roman" w:cs="Times New Roman" w:eastAsia="Times New Roman" w:hint="ascii"/>
          <w:sz w:val="18"/>
          <w:spacing w:val="45"/>
        </w:rPr>
        <w:t xml:space="preserve"> </w:t>
      </w:r>
      <w:r>
        <w:rPr>
          <w:rFonts w:ascii="宋体" w:hAnsi="宋体" w:cs="宋体" w:eastAsia="宋体" w:hint="ascii"/>
          <w:sz w:val="18"/>
        </w:rPr>
        <w:t>保护生物学</w:t>
      </w:r>
      <w:r>
        <w:rPr>
          <w:rFonts w:ascii="Times New Roman" w:hAnsi="Times New Roman" w:cs="Times New Roman" w:eastAsia="Times New Roman" w:hint="ascii"/>
          <w:sz w:val="18"/>
        </w:rPr>
        <w:t>C031203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受损生态系统恢复</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C0313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生态安全评价</w:t>
      </w:r>
    </w:p>
    <w:p>
      <w:pPr>
        <w:autoSpaceDE w:val="0"/>
        <w:autoSpaceDN w:val="0"/>
        <w:jc w:val="left"/>
        <w:spacing w:before="7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C031301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转</w:t>
      </w:r>
      <w:r>
        <w:rPr>
          <w:rFonts w:ascii="宋体" w:hAnsi="宋体" w:cs="宋体" w:eastAsia="宋体" w:hint="ascii"/>
          <w:sz w:val="18"/>
        </w:rPr>
        <w:t>基因生物的生态安</w:t>
      </w:r>
    </w:p>
    <w:p>
      <w:pPr>
        <w:autoSpaceDE w:val="0"/>
        <w:autoSpaceDN w:val="0"/>
        <w:jc w:val="left"/>
        <w:spacing w:before="7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全性评价</w:t>
      </w:r>
    </w:p>
    <w:p>
      <w:pPr>
        <w:autoSpaceDE w:val="0"/>
        <w:autoSpaceDN w:val="0"/>
        <w:jc w:val="left"/>
        <w:spacing w:before="69"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C031302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外</w:t>
      </w:r>
      <w:r>
        <w:rPr>
          <w:rFonts w:ascii="宋体" w:hAnsi="宋体" w:cs="宋体" w:eastAsia="宋体" w:hint="ascii"/>
          <w:sz w:val="18"/>
        </w:rPr>
        <w:t>来物种的入侵与生</w:t>
      </w:r>
    </w:p>
    <w:p>
      <w:pPr>
        <w:autoSpaceDE w:val="0"/>
        <w:autoSpaceDN w:val="0"/>
        <w:jc w:val="left"/>
        <w:spacing w:before="7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态安全性评价</w:t>
      </w:r>
    </w:p>
    <w:p>
      <w:pPr>
        <w:autoSpaceDE w:val="0"/>
        <w:autoSpaceDN w:val="0"/>
        <w:jc w:val="left"/>
        <w:spacing w:before="69"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C031303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生态工程评价</w:t>
      </w:r>
    </w:p>
    <w:p>
      <w:pPr>
        <w:autoSpaceDE w:val="0"/>
        <w:autoSpaceDN w:val="0"/>
        <w:jc w:val="left"/>
        <w:spacing w:before="61"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C04</w:t>
      </w:r>
      <w:r>
        <w:rPr>
          <w:rFonts w:ascii="Times New Roman" w:hAnsi="Times New Roman" w:cs="Times New Roman" w:eastAsia="Times New Roman" w:hint="ascii"/>
          <w:b w:val="1"/>
          <w:spacing w:val="60"/>
        </w:rPr>
        <w:t xml:space="preserve"> </w:t>
      </w:r>
      <w:r>
        <w:rPr>
          <w:rFonts w:ascii="宋体" w:hAnsi="宋体" w:cs="宋体" w:eastAsia="宋体" w:hint="ascii"/>
        </w:rPr>
        <w:t>动物学</w:t>
      </w:r>
    </w:p>
    <w:p>
      <w:pPr>
        <w:autoSpaceDE w:val="0"/>
        <w:autoSpaceDN w:val="0"/>
        <w:jc w:val="both"/>
        <w:spacing w:before="97" w:after="0" w:lineRule="auto" w:line="322"/>
        <w:ind w:right="833"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C0401</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动物</w:t>
      </w:r>
      <w:r>
        <w:rPr>
          <w:rFonts w:ascii="宋体" w:hAnsi="宋体" w:cs="宋体" w:eastAsia="宋体" w:hint="ascii"/>
          <w:sz w:val="18"/>
        </w:rPr>
        <w:t>形态学及胚胎学</w:t>
      </w:r>
      <w:r>
        <w:rPr>
          <w:rFonts w:ascii="Times New Roman" w:hAnsi="Times New Roman" w:cs="Times New Roman" w:eastAsia="Times New Roman" w:hint="ascii"/>
          <w:b w:val="1"/>
          <w:sz w:val="18"/>
        </w:rPr>
        <w:t>C0402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动物系统及分类学</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C040201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动物分类学</w:t>
      </w:r>
    </w:p>
    <w:p>
      <w:pPr>
        <w:autoSpaceDE w:val="0"/>
        <w:autoSpaceDN w:val="0"/>
        <w:jc w:val="left"/>
        <w:spacing w:before="75" w:after="0" w:lineRule="auto" w:line="322"/>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C040202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动物系统学</w:t>
      </w:r>
      <w:r>
        <w:rPr>
          <w:rFonts w:ascii="Times New Roman" w:hAnsi="Times New Roman" w:cs="Times New Roman" w:eastAsia="Times New Roman" w:hint="ascii"/>
          <w:sz w:val="18"/>
        </w:rPr>
        <w:t>C040203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动物地理学</w:t>
      </w:r>
      <w:r>
        <w:rPr>
          <w:rFonts w:ascii="Times New Roman" w:hAnsi="Times New Roman" w:cs="Times New Roman" w:eastAsia="Times New Roman" w:hint="ascii"/>
          <w:sz w:val="18"/>
        </w:rPr>
        <w:t>C040204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动物进化</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动物生理及行为学</w:t>
      </w:r>
    </w:p>
    <w:p>
      <w:pPr>
        <w:autoSpaceDE w:val="0"/>
        <w:autoSpaceDN w:val="0"/>
        <w:jc w:val="both"/>
        <w:spacing w:before="75" w:after="0" w:lineRule="auto" w:line="322"/>
        <w:ind w:right="54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C040301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动</w:t>
      </w:r>
      <w:r>
        <w:rPr>
          <w:rFonts w:ascii="宋体" w:hAnsi="宋体" w:cs="宋体" w:eastAsia="宋体" w:hint="ascii"/>
          <w:sz w:val="18"/>
        </w:rPr>
        <w:t>物生理生化</w:t>
      </w:r>
      <w:r>
        <w:rPr>
          <w:rFonts w:ascii="Times New Roman" w:hAnsi="Times New Roman" w:cs="Times New Roman" w:eastAsia="Times New Roman" w:hint="ascii"/>
          <w:sz w:val="18"/>
        </w:rPr>
        <w:t>C040302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动物行为学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动物资源与保护</w:t>
      </w:r>
    </w:p>
    <w:p>
      <w:pPr>
        <w:autoSpaceDE w:val="0"/>
        <w:autoSpaceDN w:val="0"/>
        <w:jc w:val="left"/>
        <w:spacing w:before="7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昆虫学</w:t>
      </w:r>
    </w:p>
    <w:p>
      <w:pPr>
        <w:autoSpaceDE w:val="0"/>
        <w:autoSpaceDN w:val="0"/>
        <w:jc w:val="left"/>
        <w:spacing w:before="7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C040501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昆虫系统及分类学</w:t>
      </w:r>
    </w:p>
    <w:p>
      <w:pPr>
        <w:autoSpaceDE w:val="0"/>
        <w:autoSpaceDN w:val="0"/>
        <w:jc w:val="left"/>
        <w:spacing w:before="324"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264</w:t>
      </w:r>
      <w:r>
        <w:rPr>
          <w:rFonts w:ascii="宋体" w:hAnsi="宋体" w:cs="宋体" w:eastAsia="宋体" w:hint="ascii"/>
          <w:sz w:val="18"/>
        </w:rPr>
        <w:t>·</w:t>
      </w:r>
    </w:p>
    <w:p>
      <w:pPr>
        <w:autoSpaceDE w:val="0"/>
        <w:autoSpaceDN w:val="0"/>
        <w:jc w:val="left"/>
        <w:spacing w:before="352" w:after="0" w:lineRule="auto" w:line="322"/>
        <w:ind w:right="1209"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C040502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昆虫形态学</w:t>
      </w:r>
      <w:r>
        <w:rPr>
          <w:rFonts w:ascii="Times New Roman" w:hAnsi="Times New Roman" w:cs="Times New Roman" w:eastAsia="Times New Roman" w:hint="ascii"/>
          <w:sz w:val="18"/>
        </w:rPr>
        <w:t>C040503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昆虫行为学</w:t>
      </w:r>
      <w:r>
        <w:rPr>
          <w:rFonts w:ascii="Times New Roman" w:hAnsi="Times New Roman" w:cs="Times New Roman" w:eastAsia="Times New Roman" w:hint="ascii"/>
          <w:sz w:val="18"/>
        </w:rPr>
        <w:t>C040504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昆虫生理生化</w:t>
      </w:r>
      <w:r>
        <w:rPr>
          <w:rFonts w:ascii="Times New Roman" w:hAnsi="Times New Roman" w:cs="Times New Roman" w:eastAsia="Times New Roman" w:hint="ascii"/>
          <w:sz w:val="18"/>
        </w:rPr>
        <w:t>C040505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昆虫毒理学</w:t>
      </w:r>
      <w:r>
        <w:rPr>
          <w:rFonts w:ascii="Times New Roman" w:hAnsi="Times New Roman" w:cs="Times New Roman" w:eastAsia="Times New Roman" w:hint="ascii"/>
          <w:sz w:val="18"/>
        </w:rPr>
        <w:t>C040506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昆虫资源与保护</w:t>
      </w:r>
    </w:p>
    <w:p>
      <w:pPr>
        <w:autoSpaceDE w:val="0"/>
        <w:autoSpaceDN w:val="0"/>
        <w:jc w:val="left"/>
        <w:spacing w:before="0" w:after="0" w:lineRule="auto" w:line="234"/>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实验动物学</w:t>
      </w:r>
    </w:p>
    <w:p>
      <w:pPr>
        <w:autoSpaceDE w:val="0"/>
        <w:autoSpaceDN w:val="0"/>
        <w:jc w:val="both"/>
        <w:spacing w:before="68" w:after="0" w:lineRule="auto" w:line="314"/>
        <w:ind w:right="20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C040601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实</w:t>
      </w:r>
      <w:r>
        <w:rPr>
          <w:rFonts w:ascii="宋体" w:hAnsi="宋体" w:cs="宋体" w:eastAsia="宋体" w:hint="ascii"/>
          <w:sz w:val="18"/>
        </w:rPr>
        <w:t>验动物</w:t>
      </w:r>
      <w:r>
        <w:rPr>
          <w:rFonts w:ascii="Times New Roman" w:hAnsi="Times New Roman" w:cs="Times New Roman" w:eastAsia="Times New Roman" w:hint="ascii"/>
          <w:sz w:val="18"/>
          <w:spacing w:val="-1"/>
        </w:rPr>
        <w:t>C040602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模</w:t>
      </w:r>
      <w:r>
        <w:rPr>
          <w:rFonts w:ascii="宋体" w:hAnsi="宋体" w:cs="宋体" w:eastAsia="宋体" w:hint="ascii"/>
          <w:sz w:val="18"/>
        </w:rPr>
        <w:t>式动物</w:t>
      </w:r>
    </w:p>
    <w:p>
      <w:pPr>
        <w:autoSpaceDE w:val="0"/>
        <w:autoSpaceDN w:val="0"/>
        <w:jc w:val="left"/>
        <w:spacing w:before="0" w:after="0" w:lineRule="auto" w:line="229"/>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C05</w:t>
      </w:r>
      <w:r>
        <w:rPr>
          <w:rFonts w:ascii="Times New Roman" w:hAnsi="Times New Roman" w:cs="Times New Roman" w:eastAsia="Times New Roman" w:hint="ascii"/>
          <w:b w:val="1"/>
          <w:spacing w:val="60"/>
        </w:rPr>
        <w:t xml:space="preserve"> </w:t>
      </w:r>
      <w:r>
        <w:rPr>
          <w:rFonts w:ascii="宋体" w:hAnsi="宋体" w:cs="宋体" w:eastAsia="宋体" w:hint="ascii"/>
          <w:spacing w:val="-16"/>
        </w:rPr>
        <w:t>生物物理、生物化学与分子生物</w:t>
      </w:r>
      <w:r>
        <w:rPr>
          <w:rFonts w:ascii="宋体" w:hAnsi="宋体" w:cs="宋体" w:eastAsia="宋体" w:hint="ascii"/>
        </w:rPr>
        <w:t>学</w:t>
      </w:r>
    </w:p>
    <w:p>
      <w:pPr>
        <w:autoSpaceDE w:val="0"/>
        <w:autoSpaceDN w:val="0"/>
        <w:jc w:val="left"/>
        <w:spacing w:before="9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生物大分子结构与功能</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生物大分子结构计算</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与理论预测</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生物大分子空间结构</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测定</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生物大分子相互作用</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生物化学</w:t>
      </w:r>
    </w:p>
    <w:p>
      <w:pPr>
        <w:autoSpaceDE w:val="0"/>
        <w:autoSpaceDN w:val="0"/>
        <w:jc w:val="left"/>
        <w:spacing w:before="67" w:after="0" w:lineRule="auto" w:line="314"/>
        <w:ind w:right="107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C050201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蛋白质与多肽生物化</w:t>
      </w:r>
      <w:r>
        <w:rPr>
          <w:rFonts w:ascii="宋体" w:hAnsi="宋体" w:cs="宋体" w:eastAsia="宋体" w:hint="ascii"/>
          <w:sz w:val="18"/>
        </w:rPr>
        <w:t>学</w:t>
      </w:r>
      <w:r>
        <w:rPr>
          <w:rFonts w:ascii="Times New Roman" w:hAnsi="Times New Roman" w:cs="Times New Roman" w:eastAsia="Times New Roman" w:hint="ascii"/>
          <w:sz w:val="18"/>
        </w:rPr>
        <w:t>C050202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代谢生物化学</w:t>
      </w:r>
      <w:r>
        <w:rPr>
          <w:rFonts w:ascii="Times New Roman" w:hAnsi="Times New Roman" w:cs="Times New Roman" w:eastAsia="Times New Roman" w:hint="ascii"/>
          <w:sz w:val="18"/>
        </w:rPr>
        <w:t>C050203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酶学</w:t>
      </w:r>
    </w:p>
    <w:p>
      <w:pPr>
        <w:autoSpaceDE w:val="0"/>
        <w:autoSpaceDN w:val="0"/>
        <w:jc w:val="left"/>
        <w:spacing w:before="0" w:after="0" w:lineRule="auto" w:line="239"/>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糖生物化学</w:t>
      </w:r>
    </w:p>
    <w:p>
      <w:pPr>
        <w:autoSpaceDE w:val="0"/>
        <w:autoSpaceDN w:val="0"/>
        <w:jc w:val="left"/>
        <w:spacing w:before="67" w:after="0" w:lineRule="auto" w:line="313"/>
        <w:ind w:right="107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脂质生物化学</w:t>
      </w:r>
      <w:r>
        <w:rPr>
          <w:rFonts w:ascii="Times New Roman" w:hAnsi="Times New Roman" w:cs="Times New Roman" w:eastAsia="Times New Roman" w:hint="ascii"/>
          <w:sz w:val="18"/>
        </w:rPr>
        <w:t>C050206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无机生物化学</w:t>
      </w:r>
      <w:r>
        <w:rPr>
          <w:rFonts w:ascii="Times New Roman" w:hAnsi="Times New Roman" w:cs="Times New Roman" w:eastAsia="Times New Roman" w:hint="ascii"/>
          <w:sz w:val="18"/>
        </w:rPr>
        <w:t>C050207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脱氧核糖核酸生物化</w:t>
      </w:r>
      <w:r>
        <w:rPr>
          <w:rFonts w:ascii="宋体" w:hAnsi="宋体" w:cs="宋体" w:eastAsia="宋体" w:hint="ascii"/>
          <w:sz w:val="18"/>
        </w:rPr>
        <w:t>学</w:t>
      </w:r>
      <w:r>
        <w:rPr>
          <w:rFonts w:ascii="Times New Roman" w:hAnsi="Times New Roman" w:cs="Times New Roman" w:eastAsia="Times New Roman" w:hint="ascii"/>
          <w:sz w:val="18"/>
        </w:rPr>
        <w:t>C050208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核糖核酸生物化学</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蛋白质组学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膜生物化学与膜生物物理学</w:t>
      </w:r>
    </w:p>
    <w:p>
      <w:pPr>
        <w:autoSpaceDE w:val="0"/>
        <w:autoSpaceDN w:val="0"/>
        <w:jc w:val="left"/>
        <w:spacing w:before="67" w:after="0" w:lineRule="auto" w:line="313"/>
        <w:ind w:right="107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生物膜结构与功能</w:t>
      </w:r>
      <w:r>
        <w:rPr>
          <w:rFonts w:ascii="Times New Roman" w:hAnsi="Times New Roman" w:cs="Times New Roman" w:eastAsia="Times New Roman" w:hint="ascii"/>
          <w:sz w:val="18"/>
        </w:rPr>
        <w:t>C050402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跨膜信号转导</w:t>
      </w:r>
      <w:r>
        <w:rPr>
          <w:rFonts w:ascii="Times New Roman" w:hAnsi="Times New Roman" w:cs="Times New Roman" w:eastAsia="Times New Roman" w:hint="ascii"/>
          <w:sz w:val="18"/>
        </w:rPr>
        <w:t>C050403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物质跨膜转运</w:t>
      </w:r>
      <w:r>
        <w:rPr>
          <w:rFonts w:ascii="Times New Roman" w:hAnsi="Times New Roman" w:cs="Times New Roman" w:eastAsia="Times New Roman" w:hint="ascii"/>
          <w:sz w:val="18"/>
        </w:rPr>
        <w:t>C050404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其他膜生物化学与膜</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生物物理学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系统生物学</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生物模块</w:t>
      </w:r>
    </w:p>
    <w:p>
      <w:pPr>
        <w:autoSpaceDE w:val="0"/>
        <w:autoSpaceDN w:val="0"/>
        <w:jc w:val="left"/>
        <w:spacing w:before="68" w:after="0" w:lineRule="auto" w:line="313"/>
        <w:ind w:right="107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C050502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生物网络的结构与功</w:t>
      </w:r>
      <w:r>
        <w:rPr>
          <w:rFonts w:ascii="宋体" w:hAnsi="宋体" w:cs="宋体" w:eastAsia="宋体" w:hint="ascii"/>
          <w:sz w:val="18"/>
        </w:rPr>
        <w:t>能</w:t>
      </w:r>
      <w:r>
        <w:rPr>
          <w:rFonts w:ascii="Times New Roman" w:hAnsi="Times New Roman" w:cs="Times New Roman" w:eastAsia="Times New Roman" w:hint="ascii"/>
          <w:sz w:val="18"/>
        </w:rPr>
        <w:t>C050503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生物网络动力学</w:t>
      </w:r>
      <w:r>
        <w:rPr>
          <w:rFonts w:ascii="Times New Roman" w:hAnsi="Times New Roman" w:cs="Times New Roman" w:eastAsia="Times New Roman" w:hint="ascii"/>
          <w:sz w:val="18"/>
        </w:rPr>
        <w:t>C050504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生物系统的信号处理</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与控制</w:t>
      </w:r>
    </w:p>
    <w:p>
      <w:pPr>
        <w:autoSpaceDE w:val="0"/>
        <w:autoSpaceDN w:val="0"/>
        <w:jc w:val="both"/>
        <w:spacing w:before="61" w:after="0" w:lineRule="auto" w:line="313"/>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C050505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物系统功能与预测</w:t>
      </w:r>
      <w:r>
        <w:rPr>
          <w:rFonts w:ascii="Times New Roman" w:hAnsi="Times New Roman" w:cs="Times New Roman" w:eastAsia="Times New Roman" w:hint="ascii"/>
          <w:sz w:val="18"/>
          <w:spacing w:val="-1"/>
        </w:rPr>
        <w:t>C050506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系</w:t>
      </w:r>
      <w:r>
        <w:rPr>
          <w:rFonts w:ascii="宋体" w:hAnsi="宋体" w:cs="宋体" w:eastAsia="宋体" w:hint="ascii"/>
          <w:sz w:val="18"/>
        </w:rPr>
        <w:t>统生物学研究新技</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术及新方法</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环境生物物理</w:t>
      </w:r>
    </w:p>
    <w:p>
      <w:pPr>
        <w:autoSpaceDE w:val="0"/>
        <w:autoSpaceDN w:val="0"/>
        <w:jc w:val="left"/>
        <w:spacing w:before="67" w:after="0" w:lineRule="auto" w:line="240"/>
        <w:ind w:right="0"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C050601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电磁辐射生物物理学</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声生物物理学</w:t>
      </w:r>
      <w:r>
        <w:rPr>
          <w:rFonts w:ascii="Times New Roman" w:hAnsi="Times New Roman" w:cs="Times New Roman" w:eastAsia="Times New Roman" w:hint="ascii"/>
          <w:sz w:val="18"/>
        </w:rPr>
        <w:t>C050603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光生物物理学</w:t>
      </w:r>
      <w:r>
        <w:rPr>
          <w:rFonts w:ascii="Times New Roman" w:hAnsi="Times New Roman" w:cs="Times New Roman" w:eastAsia="Times New Roman" w:hint="ascii"/>
          <w:sz w:val="18"/>
          <w:spacing w:val="-1"/>
        </w:rPr>
        <w:t>C050604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电</w:t>
      </w:r>
      <w:r>
        <w:rPr>
          <w:rFonts w:ascii="宋体" w:hAnsi="宋体" w:cs="宋体" w:eastAsia="宋体" w:hint="ascii"/>
          <w:sz w:val="18"/>
        </w:rPr>
        <w:t>离辐射生物物理与</w:t>
      </w:r>
      <w:r>
        <w:rPr>
          <w:rFonts w:ascii="宋体" w:hAnsi="宋体" w:cs="宋体" w:eastAsia="宋体" w:hint="ascii"/>
          <w:sz w:val="18"/>
        </w:rPr>
        <mc:AlternateContent>
          <mc:Choice Requires="wps">
            <w:drawing>
              <wp:anchor distL="0" distR="0" distT="0" distB="0" simplePos="0" behindDoc="1" relativeHeight="346" locked="0" layoutInCell="1" allowOverlap="1">
                <wp:simplePos x="0" y="0"/>
                <wp:positionH relativeFrom="page">
                  <wp:posOffset>938530</wp:posOffset>
                </wp:positionH>
                <wp:positionV relativeFrom="page">
                  <wp:posOffset>819150</wp:posOffset>
                </wp:positionV>
                <wp:extent cx="5076190" cy="0"/>
                <wp:wrapNone/>
                <wp:docPr id="1373" name="137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03936;width:399.70pt;" id="137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放射生物学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C050605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自由基生物学</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空间生物学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生物物理、生物化学与分子生</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物学研究的新方法与新技术</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生命科学基础研究相关的新仪</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器研制</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C0510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合成生物学</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C051001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合</w:t>
      </w:r>
      <w:r>
        <w:rPr>
          <w:rFonts w:ascii="宋体" w:hAnsi="宋体" w:cs="宋体" w:eastAsia="宋体" w:hint="ascii"/>
          <w:sz w:val="18"/>
        </w:rPr>
        <w:t>成生物学的原理与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基础</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C051002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合</w:t>
      </w:r>
      <w:r>
        <w:rPr>
          <w:rFonts w:ascii="宋体" w:hAnsi="宋体" w:cs="宋体" w:eastAsia="宋体" w:hint="ascii"/>
          <w:sz w:val="18"/>
        </w:rPr>
        <w:t>成生物学的新技术</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与新方法</w:t>
      </w:r>
    </w:p>
    <w:p>
      <w:pPr>
        <w:autoSpaceDE w:val="0"/>
        <w:autoSpaceDN w:val="0"/>
        <w:jc w:val="left"/>
        <w:spacing w:before="51"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C06</w:t>
      </w:r>
      <w:r>
        <w:rPr>
          <w:rFonts w:ascii="Times New Roman" w:hAnsi="Times New Roman" w:cs="Times New Roman" w:eastAsia="Times New Roman" w:hint="ascii"/>
          <w:b w:val="1"/>
          <w:spacing w:val="60"/>
        </w:rPr>
        <w:t xml:space="preserve"> </w:t>
      </w:r>
      <w:r>
        <w:rPr>
          <w:rFonts w:ascii="宋体" w:hAnsi="宋体" w:cs="宋体" w:eastAsia="宋体" w:hint="ascii"/>
        </w:rPr>
        <w:t>遗传学与生物信息学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植物遗传学</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植物分子遗传</w:t>
      </w:r>
      <w:r>
        <w:rPr>
          <w:rFonts w:ascii="Times New Roman" w:hAnsi="Times New Roman" w:cs="Times New Roman" w:eastAsia="Times New Roman" w:hint="ascii"/>
          <w:sz w:val="18"/>
        </w:rPr>
        <w:t>C060102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植物细胞遗传</w:t>
      </w:r>
      <w:r>
        <w:rPr>
          <w:rFonts w:ascii="Times New Roman" w:hAnsi="Times New Roman" w:cs="Times New Roman" w:eastAsia="Times New Roman" w:hint="ascii"/>
          <w:sz w:val="18"/>
        </w:rPr>
        <w:t>C060103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植物数量遗传</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动物遗传学</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动物分子遗传</w:t>
      </w:r>
      <w:r>
        <w:rPr>
          <w:rFonts w:ascii="Times New Roman" w:hAnsi="Times New Roman" w:cs="Times New Roman" w:eastAsia="Times New Roman" w:hint="ascii"/>
          <w:sz w:val="18"/>
        </w:rPr>
        <w:t>C060202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动物细胞遗传</w:t>
      </w:r>
      <w:r>
        <w:rPr>
          <w:rFonts w:ascii="Times New Roman" w:hAnsi="Times New Roman" w:cs="Times New Roman" w:eastAsia="Times New Roman" w:hint="ascii"/>
          <w:sz w:val="18"/>
        </w:rPr>
        <w:t>C060203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动物数量遗传</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微生物遗传学</w:t>
      </w:r>
    </w:p>
    <w:p>
      <w:pPr>
        <w:autoSpaceDE w:val="0"/>
        <w:autoSpaceDN w:val="0"/>
        <w:jc w:val="both"/>
        <w:spacing w:before="68" w:after="0" w:lineRule="auto" w:line="313"/>
        <w:ind w:right="3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C060301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原</w:t>
      </w:r>
      <w:r>
        <w:rPr>
          <w:rFonts w:ascii="宋体" w:hAnsi="宋体" w:cs="宋体" w:eastAsia="宋体" w:hint="ascii"/>
          <w:sz w:val="18"/>
        </w:rPr>
        <w:t>核微生物遗传</w:t>
      </w:r>
      <w:r>
        <w:rPr>
          <w:rFonts w:ascii="Times New Roman" w:hAnsi="Times New Roman" w:cs="Times New Roman" w:eastAsia="Times New Roman" w:hint="ascii"/>
          <w:sz w:val="18"/>
          <w:spacing w:val="-1"/>
        </w:rPr>
        <w:t>C060302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真</w:t>
      </w:r>
      <w:r>
        <w:rPr>
          <w:rFonts w:ascii="宋体" w:hAnsi="宋体" w:cs="宋体" w:eastAsia="宋体" w:hint="ascii"/>
          <w:sz w:val="18"/>
        </w:rPr>
        <w:t>核微生物遗传</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人类遗传学</w:t>
      </w:r>
    </w:p>
    <w:p>
      <w:pPr>
        <w:autoSpaceDE w:val="0"/>
        <w:autoSpaceDN w:val="0"/>
        <w:jc w:val="left"/>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人类遗传的多样性</w:t>
      </w:r>
      <w:r>
        <w:rPr>
          <w:rFonts w:ascii="Times New Roman" w:hAnsi="Times New Roman" w:cs="Times New Roman" w:eastAsia="Times New Roman" w:hint="ascii"/>
          <w:sz w:val="18"/>
        </w:rPr>
        <w:t>C060402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人类起源与进化</w:t>
      </w:r>
      <w:r>
        <w:rPr>
          <w:rFonts w:ascii="Times New Roman" w:hAnsi="Times New Roman" w:cs="Times New Roman" w:eastAsia="Times New Roman" w:hint="ascii"/>
          <w:sz w:val="18"/>
          <w:spacing w:val="-1"/>
        </w:rPr>
        <w:t>C060403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人</w:t>
      </w:r>
      <w:r>
        <w:rPr>
          <w:rFonts w:ascii="宋体" w:hAnsi="宋体" w:cs="宋体" w:eastAsia="宋体" w:hint="ascii"/>
          <w:sz w:val="18"/>
        </w:rPr>
        <w:t>类行为的遗传基础</w:t>
      </w:r>
      <w:r>
        <w:rPr>
          <w:rFonts w:ascii="Times New Roman" w:hAnsi="Times New Roman" w:cs="Times New Roman" w:eastAsia="Times New Roman" w:hint="ascii"/>
          <w:sz w:val="18"/>
        </w:rPr>
        <w:t>C060404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人类表型性状</w:t>
      </w:r>
      <w:r>
        <w:rPr>
          <w:rFonts w:ascii="Times New Roman" w:hAnsi="Times New Roman" w:cs="Times New Roman" w:eastAsia="Times New Roman" w:hint="ascii"/>
          <w:sz w:val="18"/>
        </w:rPr>
        <w:t>C060405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人类细胞遗传</w:t>
      </w:r>
      <w:r>
        <w:rPr>
          <w:rFonts w:ascii="Times New Roman" w:hAnsi="Times New Roman" w:cs="Times New Roman" w:eastAsia="Times New Roman" w:hint="ascii"/>
          <w:sz w:val="18"/>
        </w:rPr>
        <w:t>C060406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遗传与变异</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基因组学</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基因组结构与分析</w:t>
      </w:r>
      <w:r>
        <w:rPr>
          <w:rFonts w:ascii="Times New Roman" w:hAnsi="Times New Roman" w:cs="Times New Roman" w:eastAsia="Times New Roman" w:hint="ascii"/>
          <w:sz w:val="18"/>
        </w:rPr>
        <w:t>C060502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比较基因组与进化</w:t>
      </w:r>
      <w:r>
        <w:rPr>
          <w:rFonts w:ascii="Times New Roman" w:hAnsi="Times New Roman" w:cs="Times New Roman" w:eastAsia="Times New Roman" w:hint="ascii"/>
          <w:sz w:val="18"/>
        </w:rPr>
        <w:t>C060503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基因组与复杂性状</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基因表达调控与表观遗传学</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组蛋白修饰及意义</w:t>
      </w:r>
      <w:r>
        <w:rPr>
          <w:rFonts w:ascii="Times New Roman" w:hAnsi="Times New Roman" w:cs="Times New Roman" w:eastAsia="Times New Roman" w:hint="ascii"/>
          <w:sz w:val="18"/>
        </w:rPr>
        <w:t>C060602</w:t>
      </w:r>
      <w:r>
        <w:rPr>
          <w:rFonts w:ascii="Times New Roman" w:hAnsi="Times New Roman" w:cs="Times New Roman" w:eastAsia="Times New Roman" w:hint="ascii"/>
          <w:sz w:val="18"/>
          <w:spacing w:val="135"/>
        </w:rPr>
        <w:t xml:space="preserve"> </w:t>
      </w:r>
      <w:r>
        <w:rPr>
          <w:rFonts w:ascii="Times New Roman" w:hAnsi="Times New Roman" w:cs="Times New Roman" w:eastAsia="Times New Roman" w:hint="ascii"/>
          <w:sz w:val="18"/>
        </w:rPr>
        <w:t>DN</w:t>
      </w:r>
      <w:r>
        <w:rPr>
          <w:rFonts w:ascii="Times New Roman" w:hAnsi="Times New Roman" w:cs="Times New Roman" w:eastAsia="Times New Roman" w:hint="ascii"/>
          <w:sz w:val="18"/>
          <w:spacing w:val="45"/>
        </w:rPr>
        <w:t>A</w:t>
      </w:r>
      <w:r>
        <w:rPr>
          <w:rFonts w:ascii="宋体" w:hAnsi="宋体" w:cs="宋体" w:eastAsia="宋体" w:hint="ascii"/>
          <w:sz w:val="18"/>
        </w:rPr>
        <w:t>修饰及意义</w:t>
      </w:r>
      <w:r>
        <w:rPr>
          <w:rFonts w:ascii="Times New Roman" w:hAnsi="Times New Roman" w:cs="Times New Roman" w:eastAsia="Times New Roman" w:hint="ascii"/>
          <w:sz w:val="18"/>
        </w:rPr>
        <w:t>C060603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染色体重塑及意义</w:t>
      </w:r>
    </w:p>
    <w:p>
      <w:pPr>
        <w:autoSpaceDE w:val="0"/>
        <w:autoSpaceDN w:val="0"/>
        <w:jc w:val="left"/>
        <w:spacing w:before="327" w:after="0" w:lineRule="auto" w:line="240"/>
        <w:ind w:right="0"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C060604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非编</w:t>
      </w:r>
      <w:r>
        <w:rPr>
          <w:rFonts w:ascii="宋体" w:hAnsi="宋体" w:cs="宋体" w:eastAsia="宋体" w:hint="ascii"/>
          <w:sz w:val="18"/>
          <w:spacing w:val="23"/>
        </w:rPr>
        <w:t>码</w:t>
      </w:r>
      <w:r>
        <w:rPr>
          <w:rFonts w:ascii="Times New Roman" w:hAnsi="Times New Roman" w:cs="Times New Roman" w:eastAsia="Times New Roman" w:hint="ascii"/>
          <w:sz w:val="18"/>
        </w:rPr>
        <w:t>RN</w:t>
      </w:r>
      <w:r>
        <w:rPr>
          <w:rFonts w:ascii="Times New Roman" w:hAnsi="Times New Roman" w:cs="Times New Roman" w:eastAsia="Times New Roman" w:hint="ascii"/>
          <w:sz w:val="18"/>
          <w:spacing w:val="45"/>
        </w:rPr>
        <w:t>A</w:t>
      </w:r>
      <w:r>
        <w:rPr>
          <w:rFonts w:ascii="宋体" w:hAnsi="宋体" w:cs="宋体" w:eastAsia="宋体" w:hint="ascii"/>
          <w:sz w:val="18"/>
        </w:rPr>
        <w:t>调控与</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功能</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转录与调控</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生物信息学</w:t>
      </w:r>
    </w:p>
    <w:p>
      <w:pPr>
        <w:autoSpaceDE w:val="0"/>
        <w:autoSpaceDN w:val="0"/>
        <w:jc w:val="left"/>
        <w:spacing w:before="67" w:after="0" w:lineRule="auto" w:line="323"/>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生物数据分析</w:t>
      </w:r>
      <w:r>
        <w:rPr>
          <w:rFonts w:ascii="Times New Roman" w:hAnsi="Times New Roman" w:cs="Times New Roman" w:eastAsia="Times New Roman" w:hint="ascii"/>
          <w:sz w:val="18"/>
          <w:spacing w:val="-1"/>
        </w:rPr>
        <w:t>C060702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物信息算法及工具</w:t>
      </w:r>
      <w:r>
        <w:rPr>
          <w:rFonts w:ascii="Times New Roman" w:hAnsi="Times New Roman" w:cs="Times New Roman" w:eastAsia="Times New Roman" w:hint="ascii"/>
          <w:sz w:val="18"/>
          <w:spacing w:val="-1"/>
        </w:rPr>
        <w:t>C060703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物信息的整合及信</w:t>
      </w:r>
    </w:p>
    <w:p>
      <w:pPr>
        <w:autoSpaceDE w:val="0"/>
        <w:autoSpaceDN w:val="0"/>
        <w:jc w:val="left"/>
        <w:spacing w:before="2"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息挖掘</w:t>
      </w:r>
    </w:p>
    <w:p>
      <w:pPr>
        <w:autoSpaceDE w:val="0"/>
        <w:autoSpaceDN w:val="0"/>
        <w:jc w:val="left"/>
        <w:spacing w:before="71" w:after="0" w:lineRule="auto" w:line="324"/>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C060704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生物系统网络模型</w:t>
      </w:r>
      <w:r>
        <w:rPr>
          <w:rFonts w:ascii="Times New Roman" w:hAnsi="Times New Roman" w:cs="Times New Roman" w:eastAsia="Times New Roman" w:hint="ascii"/>
          <w:sz w:val="18"/>
          <w:spacing w:val="-1"/>
        </w:rPr>
        <w:t>C060705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生</w:t>
      </w:r>
      <w:r>
        <w:rPr>
          <w:rFonts w:ascii="宋体" w:hAnsi="宋体" w:cs="宋体" w:eastAsia="宋体" w:hint="ascii"/>
          <w:sz w:val="18"/>
          <w:spacing w:val="-10"/>
        </w:rPr>
        <w:t>物环路的模拟与构</w:t>
      </w:r>
      <w:r>
        <w:rPr>
          <w:rFonts w:ascii="宋体" w:hAnsi="宋体" w:cs="宋体" w:eastAsia="宋体" w:hint="ascii"/>
          <w:sz w:val="18"/>
        </w:rPr>
        <w:t>建</w:t>
      </w:r>
      <w:r>
        <w:rPr>
          <w:rFonts w:ascii="Times New Roman" w:hAnsi="Times New Roman" w:cs="Times New Roman" w:eastAsia="Times New Roman" w:hint="ascii"/>
          <w:sz w:val="18"/>
          <w:spacing w:val="-1"/>
        </w:rPr>
        <w:t>C060706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物信息学研究新技</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术与新方法</w:t>
      </w:r>
    </w:p>
    <w:p>
      <w:pPr>
        <w:autoSpaceDE w:val="0"/>
        <w:autoSpaceDN w:val="0"/>
        <w:jc w:val="left"/>
        <w:spacing w:before="7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C0608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遗传学研究新技术与新方法</w:t>
      </w:r>
    </w:p>
    <w:p>
      <w:pPr>
        <w:autoSpaceDE w:val="0"/>
        <w:autoSpaceDN w:val="0"/>
        <w:jc w:val="left"/>
        <w:spacing w:before="61"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C07</w:t>
      </w:r>
      <w:r>
        <w:rPr>
          <w:rFonts w:ascii="Times New Roman" w:hAnsi="Times New Roman" w:cs="Times New Roman" w:eastAsia="Times New Roman" w:hint="ascii"/>
          <w:b w:val="1"/>
          <w:spacing w:val="60"/>
        </w:rPr>
        <w:t xml:space="preserve"> </w:t>
      </w:r>
      <w:r>
        <w:rPr>
          <w:rFonts w:ascii="宋体" w:hAnsi="宋体" w:cs="宋体" w:eastAsia="宋体" w:hint="ascii"/>
        </w:rPr>
        <w:t>细胞生物学</w:t>
      </w:r>
    </w:p>
    <w:p>
      <w:pPr>
        <w:autoSpaceDE w:val="0"/>
        <w:autoSpaceDN w:val="0"/>
        <w:jc w:val="both"/>
        <w:spacing w:before="103" w:after="0" w:lineRule="auto" w:line="329"/>
        <w:ind w:right="159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C0701</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细胞</w:t>
      </w:r>
      <w:r>
        <w:rPr>
          <w:rFonts w:ascii="宋体" w:hAnsi="宋体" w:cs="宋体" w:eastAsia="宋体" w:hint="ascii"/>
          <w:sz w:val="18"/>
        </w:rPr>
        <w:t>及亚细胞结构与功能</w:t>
      </w:r>
      <w:r>
        <w:rPr>
          <w:rFonts w:ascii="Times New Roman" w:hAnsi="Times New Roman" w:cs="Times New Roman" w:eastAsia="Times New Roman" w:hint="ascii"/>
          <w:b w:val="1"/>
          <w:sz w:val="18"/>
        </w:rPr>
        <w:t>C0702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细胞生长与分裂</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C0703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细胞周期与调控</w:t>
      </w:r>
    </w:p>
    <w:p>
      <w:pPr>
        <w:autoSpaceDE w:val="0"/>
        <w:autoSpaceDN w:val="0"/>
        <w:jc w:val="both"/>
        <w:spacing w:before="81" w:after="0" w:lineRule="auto" w:line="329"/>
        <w:ind w:right="231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C0704</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细胞</w:t>
      </w:r>
      <w:r>
        <w:rPr>
          <w:rFonts w:ascii="宋体" w:hAnsi="宋体" w:cs="宋体" w:eastAsia="宋体" w:hint="ascii"/>
          <w:sz w:val="18"/>
        </w:rPr>
        <w:t>增殖与分化</w:t>
      </w:r>
      <w:r>
        <w:rPr>
          <w:rFonts w:ascii="Times New Roman" w:hAnsi="Times New Roman" w:cs="Times New Roman" w:eastAsia="Times New Roman" w:hint="ascii"/>
          <w:b w:val="1"/>
          <w:sz w:val="18"/>
        </w:rPr>
        <w:t>C0705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细胞衰老</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C0706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细胞凋亡、坏死和自噬</w:t>
      </w:r>
    </w:p>
    <w:p>
      <w:pPr>
        <w:autoSpaceDE w:val="0"/>
        <w:autoSpaceDN w:val="0"/>
        <w:jc w:val="left"/>
        <w:spacing w:before="81" w:after="0" w:lineRule="auto" w:line="329"/>
        <w:ind w:right="167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C0707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细胞运动与微环境</w:t>
      </w:r>
      <w:r>
        <w:rPr>
          <w:rFonts w:ascii="Times New Roman" w:hAnsi="Times New Roman" w:cs="Times New Roman" w:eastAsia="Times New Roman" w:hint="ascii"/>
          <w:b w:val="1"/>
          <w:sz w:val="18"/>
        </w:rPr>
        <w:t>C0708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细胞极性建立与维持</w:t>
      </w:r>
      <w:r>
        <w:rPr>
          <w:rFonts w:ascii="Times New Roman" w:hAnsi="Times New Roman" w:cs="Times New Roman" w:eastAsia="Times New Roman" w:hint="ascii"/>
          <w:b w:val="1"/>
          <w:sz w:val="18"/>
        </w:rPr>
        <w:t>C0709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细胞信号转导</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C0710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细胞物质运输</w:t>
      </w:r>
    </w:p>
    <w:p>
      <w:pPr>
        <w:autoSpaceDE w:val="0"/>
        <w:autoSpaceDN w:val="0"/>
        <w:jc w:val="both"/>
        <w:spacing w:before="81" w:after="0" w:lineRule="auto" w:line="329"/>
        <w:ind w:right="2321"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C07</w:t>
      </w:r>
      <w:r>
        <w:rPr>
          <w:rFonts w:ascii="Times New Roman" w:hAnsi="Times New Roman" w:cs="Times New Roman" w:eastAsia="Times New Roman" w:hint="ascii"/>
          <w:b w:val="1"/>
          <w:sz w:val="18"/>
          <w:spacing w:val="-11"/>
        </w:rPr>
        <w:t>1</w:t>
      </w:r>
      <w:r>
        <w:rPr>
          <w:rFonts w:ascii="Times New Roman" w:hAnsi="Times New Roman" w:cs="Times New Roman" w:eastAsia="Times New Roman" w:hint="ascii"/>
          <w:b w:val="1"/>
          <w:sz w:val="18"/>
          <w:spacing w:val="-1"/>
        </w:rPr>
        <w:t>1</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细胞</w:t>
      </w:r>
      <w:r>
        <w:rPr>
          <w:rFonts w:ascii="宋体" w:hAnsi="宋体" w:cs="宋体" w:eastAsia="宋体" w:hint="ascii"/>
          <w:sz w:val="18"/>
        </w:rPr>
        <w:t>呼吸与代谢</w:t>
      </w:r>
      <w:r>
        <w:rPr>
          <w:rFonts w:ascii="Times New Roman" w:hAnsi="Times New Roman" w:cs="Times New Roman" w:eastAsia="Times New Roman" w:hint="ascii"/>
          <w:b w:val="1"/>
          <w:sz w:val="18"/>
          <w:spacing w:val="-2"/>
        </w:rPr>
        <w:t>C</w:t>
      </w:r>
      <w:r>
        <w:rPr>
          <w:rFonts w:ascii="Times New Roman" w:hAnsi="Times New Roman" w:cs="Times New Roman" w:eastAsia="Times New Roman" w:hint="ascii"/>
          <w:b w:val="1"/>
          <w:sz w:val="18"/>
          <w:spacing w:val="-1"/>
        </w:rPr>
        <w:t>0712</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细胞变异与转</w:t>
      </w:r>
      <w:r>
        <w:rPr>
          <w:rFonts w:ascii="宋体" w:hAnsi="宋体" w:cs="宋体" w:eastAsia="宋体" w:hint="ascii"/>
          <w:sz w:val="18"/>
        </w:rPr>
        <w:t>化</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C0713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细胞生物学研究中的新方法</w:t>
      </w:r>
    </w:p>
    <w:p>
      <w:pPr>
        <w:autoSpaceDE w:val="0"/>
        <w:autoSpaceDN w:val="0"/>
        <w:jc w:val="left"/>
        <w:spacing w:before="51"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C08</w:t>
      </w:r>
      <w:r>
        <w:rPr>
          <w:rFonts w:ascii="Times New Roman" w:hAnsi="Times New Roman" w:cs="Times New Roman" w:eastAsia="Times New Roman" w:hint="ascii"/>
          <w:b w:val="1"/>
          <w:spacing w:val="60"/>
        </w:rPr>
        <w:t xml:space="preserve"> </w:t>
      </w:r>
      <w:r>
        <w:rPr>
          <w:rFonts w:ascii="宋体" w:hAnsi="宋体" w:cs="宋体" w:eastAsia="宋体" w:hint="ascii"/>
        </w:rPr>
        <w:t>免疫学</w:t>
      </w:r>
    </w:p>
    <w:p>
      <w:pPr>
        <w:autoSpaceDE w:val="0"/>
        <w:autoSpaceDN w:val="0"/>
        <w:jc w:val="left"/>
        <w:spacing w:before="99"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分子免疫</w:t>
      </w:r>
    </w:p>
    <w:p>
      <w:pPr>
        <w:autoSpaceDE w:val="0"/>
        <w:autoSpaceDN w:val="0"/>
        <w:jc w:val="left"/>
        <w:spacing w:before="8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细胞免疫</w:t>
      </w:r>
    </w:p>
    <w:p>
      <w:pPr>
        <w:autoSpaceDE w:val="0"/>
        <w:autoSpaceDN w:val="0"/>
        <w:jc w:val="left"/>
        <w:spacing w:before="8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免疫应答</w:t>
      </w:r>
    </w:p>
    <w:p>
      <w:pPr>
        <w:autoSpaceDE w:val="0"/>
        <w:autoSpaceDN w:val="0"/>
        <w:jc w:val="left"/>
        <w:spacing w:before="8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免疫耐受</w:t>
      </w:r>
    </w:p>
    <w:p>
      <w:pPr>
        <w:autoSpaceDE w:val="0"/>
        <w:autoSpaceDN w:val="0"/>
        <w:jc w:val="left"/>
        <w:spacing w:before="8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免疫调节</w:t>
      </w:r>
    </w:p>
    <w:p>
      <w:pPr>
        <w:autoSpaceDE w:val="0"/>
        <w:autoSpaceDN w:val="0"/>
        <w:jc w:val="left"/>
        <w:spacing w:before="8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免疫遗传</w:t>
      </w:r>
    </w:p>
    <w:p>
      <w:pPr>
        <w:autoSpaceDE w:val="0"/>
        <w:autoSpaceDN w:val="0"/>
        <w:jc w:val="left"/>
        <w:spacing w:before="8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生殖免疫</w:t>
      </w:r>
    </w:p>
    <w:p>
      <w:pPr>
        <w:autoSpaceDE w:val="0"/>
        <w:autoSpaceDN w:val="0"/>
        <w:jc w:val="both"/>
        <w:spacing w:before="81" w:after="0" w:lineRule="auto" w:line="329"/>
        <w:ind w:right="231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C0808</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黏膜</w:t>
      </w:r>
      <w:r>
        <w:rPr>
          <w:rFonts w:ascii="宋体" w:hAnsi="宋体" w:cs="宋体" w:eastAsia="宋体" w:hint="ascii"/>
          <w:sz w:val="18"/>
        </w:rPr>
        <w:t>和局部免疫</w:t>
      </w:r>
      <w:r>
        <w:rPr>
          <w:rFonts w:ascii="Times New Roman" w:hAnsi="Times New Roman" w:cs="Times New Roman" w:eastAsia="Times New Roman" w:hint="ascii"/>
          <w:b w:val="1"/>
          <w:sz w:val="18"/>
        </w:rPr>
        <w:t>C0809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疫苗研究</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C080901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疫苗设计</w:t>
      </w:r>
    </w:p>
    <w:p>
      <w:pPr>
        <w:autoSpaceDE w:val="0"/>
        <w:autoSpaceDN w:val="0"/>
        <w:jc w:val="left"/>
        <w:spacing w:before="81" w:after="0" w:lineRule="auto" w:line="329"/>
        <w:ind w:right="1389"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C080902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疫苗佐剂</w:t>
      </w:r>
      <w:r>
        <w:rPr>
          <w:rFonts w:ascii="Times New Roman" w:hAnsi="Times New Roman" w:cs="Times New Roman" w:eastAsia="Times New Roman" w:hint="ascii"/>
          <w:sz w:val="18"/>
        </w:rPr>
        <w:t>C080903</w:t>
      </w:r>
      <w:r>
        <w:rPr>
          <w:rFonts w:ascii="Times New Roman" w:hAnsi="Times New Roman" w:cs="Times New Roman" w:eastAsia="Times New Roman" w:hint="ascii"/>
          <w:sz w:val="18"/>
          <w:spacing w:val="45"/>
        </w:rPr>
        <w:t xml:space="preserve"> </w:t>
      </w:r>
      <w:r>
        <w:rPr>
          <w:rFonts w:ascii="宋体" w:hAnsi="宋体" w:cs="宋体" w:eastAsia="宋体" w:hint="ascii"/>
          <w:sz w:val="18"/>
        </w:rPr>
        <w:t>疫苗递送系统</w:t>
      </w:r>
      <w:rPr>
        <w:rFonts w:ascii="宋体" w:hAnsi="宋体" w:cs="宋体" w:eastAsia="宋体" w:hint="ascii"/>
        <w:sz w:val="18"/>
      </w:rPr>
    </w:p>
    <w:p>
      <w:pPr>
        <w:autoSpaceDE w:val="0"/>
        <w:autoSpaceDN w:val="0"/>
        <w:jc w:val="left"/>
        <w:spacing w:before="272"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C080904</w:t>
      </w:r>
      <w:r>
        <w:rPr>
          <w:rFonts w:ascii="Times New Roman" w:hAnsi="Times New Roman" w:cs="Times New Roman" w:eastAsia="Times New Roman" w:hint="ascii"/>
          <w:sz w:val="18"/>
          <w:spacing w:val="45"/>
        </w:rPr>
        <w:t xml:space="preserve"> </w:t>
      </w:r>
      <w:r>
        <w:rPr>
          <w:rFonts w:ascii="宋体" w:hAnsi="宋体" w:cs="宋体" w:eastAsia="宋体" w:hint="ascii"/>
          <w:sz w:val="18"/>
        </w:rPr>
        <w:t>疫苗效应及机制</w:t>
      </w:r>
      <w:r>
        <w:rPr>
          <w:rFonts w:ascii="宋体" w:hAnsi="宋体" w:cs="宋体" w:eastAsia="宋体" w:hint="ascii"/>
          <w:sz w:val="18"/>
        </w:rPr>
        <mc:AlternateContent>
          <mc:Choice Requires="wps">
            <w:drawing>
              <wp:anchor distL="0" distR="0" distT="0" distB="0" simplePos="0" behindDoc="1" relativeHeight="347" locked="0" layoutInCell="1" allowOverlap="1">
                <wp:simplePos x="0" y="0"/>
                <wp:positionH relativeFrom="page">
                  <wp:posOffset>938530</wp:posOffset>
                </wp:positionH>
                <wp:positionV relativeFrom="page">
                  <wp:posOffset>805815</wp:posOffset>
                </wp:positionV>
                <wp:extent cx="5076190" cy="0"/>
                <wp:wrapNone/>
                <wp:docPr id="1374" name="137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02912;width:399.70pt;" id="137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8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抗体工程研究</w:t>
      </w:r>
    </w:p>
    <w:p>
      <w:pPr>
        <w:autoSpaceDE w:val="0"/>
        <w:autoSpaceDN w:val="0"/>
        <w:jc w:val="left"/>
        <w:spacing w:before="81" w:after="0" w:lineRule="auto" w:line="329"/>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C081001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抗体与功能</w:t>
      </w:r>
      <w:r>
        <w:rPr>
          <w:rFonts w:ascii="Times New Roman" w:hAnsi="Times New Roman" w:cs="Times New Roman" w:eastAsia="Times New Roman" w:hint="ascii"/>
          <w:sz w:val="18"/>
        </w:rPr>
        <w:t>C081002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重组与改型</w:t>
      </w:r>
      <w:r>
        <w:rPr>
          <w:rFonts w:ascii="Times New Roman" w:hAnsi="Times New Roman" w:cs="Times New Roman" w:eastAsia="Times New Roman" w:hint="ascii"/>
          <w:sz w:val="18"/>
        </w:rPr>
        <w:t>C081003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抗体的表达</w:t>
      </w:r>
    </w:p>
    <w:p>
      <w:pPr>
        <w:autoSpaceDE w:val="0"/>
        <w:autoSpaceDN w:val="0"/>
        <w:jc w:val="left"/>
        <w:spacing w:before="0" w:after="0" w:lineRule="auto" w:line="226"/>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C08</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免疫学研究新技术与新方法</w:t>
      </w:r>
    </w:p>
    <w:p>
      <w:pPr>
        <w:autoSpaceDE w:val="0"/>
        <w:autoSpaceDN w:val="0"/>
        <w:jc w:val="left"/>
        <w:spacing w:before="5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C09</w:t>
      </w:r>
      <w:r>
        <w:rPr>
          <w:rFonts w:ascii="Times New Roman" w:hAnsi="Times New Roman" w:cs="Times New Roman" w:eastAsia="Times New Roman" w:hint="ascii"/>
          <w:b w:val="1"/>
          <w:spacing w:val="60"/>
        </w:rPr>
        <w:t xml:space="preserve"> </w:t>
      </w:r>
      <w:r>
        <w:rPr>
          <w:rFonts w:ascii="宋体" w:hAnsi="宋体" w:cs="宋体" w:eastAsia="宋体" w:hint="ascii"/>
        </w:rPr>
        <w:t>神经科学</w:t>
      </w:r>
    </w:p>
    <w:p>
      <w:pPr>
        <w:autoSpaceDE w:val="0"/>
        <w:autoSpaceDN w:val="0"/>
        <w:jc w:val="left"/>
        <w:spacing w:before="92" w:after="0" w:lineRule="auto" w:line="314"/>
        <w:ind w:right="743"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C0901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分子神经生物学</w:t>
      </w:r>
      <w:r>
        <w:rPr>
          <w:rFonts w:ascii="Times New Roman" w:hAnsi="Times New Roman" w:cs="Times New Roman" w:eastAsia="Times New Roman" w:hint="ascii"/>
          <w:b w:val="1"/>
          <w:sz w:val="18"/>
        </w:rPr>
        <w:t>C0902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细胞神经生物学</w:t>
      </w:r>
      <w:r>
        <w:rPr>
          <w:rFonts w:ascii="Times New Roman" w:hAnsi="Times New Roman" w:cs="Times New Roman" w:eastAsia="Times New Roman" w:hint="ascii"/>
          <w:b w:val="1"/>
          <w:sz w:val="18"/>
        </w:rPr>
        <w:t>C0903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发育神经生物学</w:t>
      </w:r>
      <w:r>
        <w:rPr>
          <w:rFonts w:ascii="Times New Roman" w:hAnsi="Times New Roman" w:cs="Times New Roman" w:eastAsia="Times New Roman" w:hint="ascii"/>
          <w:b w:val="1"/>
          <w:sz w:val="18"/>
        </w:rPr>
        <w:t>C0904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系统神经生物学</w:t>
      </w:r>
      <w:r>
        <w:rPr>
          <w:rFonts w:ascii="Times New Roman" w:hAnsi="Times New Roman" w:cs="Times New Roman" w:eastAsia="Times New Roman" w:hint="ascii"/>
          <w:b w:val="1"/>
          <w:sz w:val="18"/>
        </w:rPr>
        <w:t>C0905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计算神经生物学</w:t>
      </w:r>
      <w:r>
        <w:rPr>
          <w:rFonts w:ascii="Times New Roman" w:hAnsi="Times New Roman" w:cs="Times New Roman" w:eastAsia="Times New Roman" w:hint="ascii"/>
          <w:b w:val="1"/>
          <w:sz w:val="18"/>
        </w:rPr>
        <w:t>C0906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视觉神经生物学</w:t>
      </w:r>
      <w:r>
        <w:rPr>
          <w:rFonts w:ascii="Times New Roman" w:hAnsi="Times New Roman" w:cs="Times New Roman" w:eastAsia="Times New Roman" w:hint="ascii"/>
          <w:b w:val="1"/>
          <w:sz w:val="18"/>
        </w:rPr>
        <w:t>C0907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听觉神经生物学</w:t>
      </w:r>
      <w:r>
        <w:rPr>
          <w:rFonts w:ascii="Times New Roman" w:hAnsi="Times New Roman" w:cs="Times New Roman" w:eastAsia="Times New Roman" w:hint="ascii"/>
          <w:b w:val="1"/>
          <w:sz w:val="18"/>
        </w:rPr>
        <w:t>C0908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化学感受神经生物学</w:t>
      </w:r>
      <w:r>
        <w:rPr>
          <w:rFonts w:ascii="Times New Roman" w:hAnsi="Times New Roman" w:cs="Times New Roman" w:eastAsia="Times New Roman" w:hint="ascii"/>
          <w:b w:val="1"/>
          <w:sz w:val="18"/>
        </w:rPr>
        <w:t>C0909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触觉神经生物学</w:t>
      </w:r>
      <w:r>
        <w:rPr>
          <w:rFonts w:ascii="Times New Roman" w:hAnsi="Times New Roman" w:cs="Times New Roman" w:eastAsia="Times New Roman" w:hint="ascii"/>
          <w:b w:val="1"/>
          <w:sz w:val="18"/>
        </w:rPr>
        <w:t>C0910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痛觉神经生物学</w:t>
      </w:r>
      <w:r>
        <w:rPr>
          <w:rFonts w:ascii="Times New Roman" w:hAnsi="Times New Roman" w:cs="Times New Roman" w:eastAsia="Times New Roman" w:hint="ascii"/>
          <w:b w:val="1"/>
          <w:sz w:val="18"/>
        </w:rPr>
        <w:t>C09</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 xml:space="preserve">行为神经生物学 </w:t>
      </w:r>
      <w:r>
        <w:rPr>
          <w:rFonts w:ascii="Times New Roman" w:hAnsi="Times New Roman" w:cs="Times New Roman" w:eastAsia="Times New Roman" w:hint="ascii"/>
          <w:b w:val="1"/>
          <w:sz w:val="18"/>
        </w:rPr>
        <w:t>C0912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神经信息学</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C0913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学习与记忆</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C0914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认知神经生物学</w:t>
      </w:r>
    </w:p>
    <w:p>
      <w:pPr>
        <w:autoSpaceDE w:val="0"/>
        <w:autoSpaceDN w:val="0"/>
        <w:jc w:val="left"/>
        <w:spacing w:before="68" w:after="0" w:lineRule="auto" w:line="313"/>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C0915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神经系统结构与功能异常</w:t>
      </w:r>
      <w:r>
        <w:rPr>
          <w:rFonts w:ascii="Times New Roman" w:hAnsi="Times New Roman" w:cs="Times New Roman" w:eastAsia="Times New Roman" w:hint="ascii"/>
          <w:b w:val="1"/>
          <w:sz w:val="18"/>
        </w:rPr>
        <w:t>C0916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神经科学研究的新技术和新方</w:t>
      </w:r>
      <w:r>
        <w:rPr>
          <w:rFonts w:ascii="宋体" w:hAnsi="宋体" w:cs="宋体" w:eastAsia="宋体" w:hint="ascii"/>
          <w:sz w:val="18"/>
        </w:rPr>
        <w:t>法</w:t>
      </w:r>
    </w:p>
    <w:p>
      <w:pPr>
        <w:autoSpaceDE w:val="0"/>
        <w:autoSpaceDN w:val="0"/>
        <w:jc w:val="left"/>
        <w:spacing w:before="0" w:after="0" w:lineRule="auto" w:line="23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C10</w:t>
      </w:r>
      <w:r>
        <w:rPr>
          <w:rFonts w:ascii="Times New Roman" w:hAnsi="Times New Roman" w:cs="Times New Roman" w:eastAsia="Times New Roman" w:hint="ascii"/>
          <w:b w:val="1"/>
          <w:spacing w:val="60"/>
        </w:rPr>
        <w:t xml:space="preserve"> </w:t>
      </w:r>
      <w:r>
        <w:rPr>
          <w:rFonts w:ascii="宋体" w:hAnsi="宋体" w:cs="宋体" w:eastAsia="宋体" w:hint="ascii"/>
        </w:rPr>
        <w:t>生物力学与组织工程学</w:t>
      </w:r>
    </w:p>
    <w:p>
      <w:pPr>
        <w:autoSpaceDE w:val="0"/>
        <w:autoSpaceDN w:val="0"/>
        <w:jc w:val="left"/>
        <w:spacing w:before="89"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C1001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生物力学与生物流变学</w:t>
      </w:r>
    </w:p>
    <w:p>
      <w:pPr>
        <w:autoSpaceDE w:val="0"/>
        <w:autoSpaceDN w:val="0"/>
        <w:jc w:val="both"/>
        <w:spacing w:before="61" w:after="0" w:lineRule="auto" w:line="30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C100101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细</w:t>
      </w:r>
      <w:r>
        <w:rPr>
          <w:rFonts w:ascii="宋体" w:hAnsi="宋体" w:cs="宋体" w:eastAsia="宋体" w:hint="ascii"/>
          <w:sz w:val="18"/>
        </w:rPr>
        <w:t>胞与分子生物力学</w:t>
      </w:r>
      <w:r>
        <w:rPr>
          <w:rFonts w:ascii="Times New Roman" w:hAnsi="Times New Roman" w:cs="Times New Roman" w:eastAsia="Times New Roman" w:hint="ascii"/>
          <w:sz w:val="18"/>
          <w:spacing w:val="-1"/>
        </w:rPr>
        <w:t>C100102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骨</w:t>
      </w:r>
      <w:r>
        <w:rPr>
          <w:rFonts w:ascii="宋体" w:hAnsi="宋体" w:cs="宋体" w:eastAsia="宋体" w:hint="ascii"/>
          <w:sz w:val="18"/>
        </w:rPr>
        <w:t>、关节与运动系统</w: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生物力学</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C100103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心</w:t>
      </w:r>
      <w:r>
        <w:rPr>
          <w:rFonts w:ascii="宋体" w:hAnsi="宋体" w:cs="宋体" w:eastAsia="宋体" w:hint="ascii"/>
          <w:sz w:val="18"/>
        </w:rPr>
        <w:t>、血管组织生物力</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学与流变学</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C100104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口</w:t>
      </w:r>
      <w:r>
        <w:rPr>
          <w:rFonts w:ascii="宋体" w:hAnsi="宋体" w:cs="宋体" w:eastAsia="宋体" w:hint="ascii"/>
          <w:sz w:val="18"/>
        </w:rPr>
        <w:t>腔及颌面组织生物</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力学</w:t>
      </w:r>
    </w:p>
    <w:p>
      <w:pPr>
        <w:autoSpaceDE w:val="0"/>
        <w:autoSpaceDN w:val="0"/>
        <w:jc w:val="left"/>
        <w:spacing w:before="5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C100105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其</w:t>
      </w:r>
      <w:r>
        <w:rPr>
          <w:rFonts w:ascii="宋体" w:hAnsi="宋体" w:cs="宋体" w:eastAsia="宋体" w:hint="ascii"/>
          <w:sz w:val="18"/>
          <w:spacing w:val="-10"/>
        </w:rPr>
        <w:t>他组织器官生物力</w:t>
      </w:r>
      <w:r>
        <w:rPr>
          <w:rFonts w:ascii="宋体" w:hAnsi="宋体" w:cs="宋体" w:eastAsia="宋体" w:hint="ascii"/>
          <w:sz w:val="18"/>
        </w:rPr>
        <w:t>学</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C1002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生物材料</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C1003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组织工程学</w:t>
      </w:r>
    </w:p>
    <w:p>
      <w:pPr>
        <w:autoSpaceDE w:val="0"/>
        <w:autoSpaceDN w:val="0"/>
        <w:jc w:val="left"/>
        <w:spacing w:before="62" w:after="0" w:lineRule="auto" w:line="31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C100301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皮肤组织工程</w:t>
      </w:r>
      <w:r>
        <w:rPr>
          <w:rFonts w:ascii="Times New Roman" w:hAnsi="Times New Roman" w:cs="Times New Roman" w:eastAsia="Times New Roman" w:hint="ascii"/>
          <w:sz w:val="18"/>
        </w:rPr>
        <w:t>C100302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骨和软骨组织工程</w:t>
      </w:r>
      <w:r>
        <w:rPr>
          <w:rFonts w:ascii="Times New Roman" w:hAnsi="Times New Roman" w:cs="Times New Roman" w:eastAsia="Times New Roman" w:hint="ascii"/>
          <w:sz w:val="18"/>
        </w:rPr>
        <w:t>C100303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神经组织工程</w:t>
      </w:r>
      <w:r>
        <w:rPr>
          <w:rFonts w:ascii="Times New Roman" w:hAnsi="Times New Roman" w:cs="Times New Roman" w:eastAsia="Times New Roman" w:hint="ascii"/>
          <w:sz w:val="18"/>
          <w:spacing w:val="-1"/>
        </w:rPr>
        <w:t>C100304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血</w:t>
      </w:r>
      <w:r>
        <w:rPr>
          <w:rFonts w:ascii="宋体" w:hAnsi="宋体" w:cs="宋体" w:eastAsia="宋体" w:hint="ascii"/>
          <w:sz w:val="18"/>
        </w:rPr>
        <w:t>管与心脏组织工程</w:t>
      </w:r>
      <w:r>
        <w:rPr>
          <w:rFonts w:ascii="Times New Roman" w:hAnsi="Times New Roman" w:cs="Times New Roman" w:eastAsia="Times New Roman" w:hint="ascii"/>
          <w:sz w:val="18"/>
          <w:spacing w:val="-1"/>
        </w:rPr>
        <w:t>C100305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肌</w:t>
      </w:r>
      <w:r>
        <w:rPr>
          <w:rFonts w:ascii="宋体" w:hAnsi="宋体" w:cs="宋体" w:eastAsia="宋体" w:hint="ascii"/>
          <w:sz w:val="18"/>
          <w:spacing w:val="-10"/>
        </w:rPr>
        <w:t>组织与肌腱组织工</w:t>
      </w:r>
      <w:r>
        <w:rPr>
          <w:rFonts w:ascii="宋体" w:hAnsi="宋体" w:cs="宋体" w:eastAsia="宋体" w:hint="ascii"/>
          <w:sz w:val="18"/>
        </w:rPr>
        <w:t>程</w:t>
      </w:r>
      <w:r>
        <w:rPr>
          <w:rFonts w:ascii="Times New Roman" w:hAnsi="Times New Roman" w:cs="Times New Roman" w:eastAsia="Times New Roman" w:hint="ascii"/>
          <w:sz w:val="18"/>
          <w:spacing w:val="-1"/>
        </w:rPr>
        <w:t>C100306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肝</w:t>
      </w:r>
      <w:r>
        <w:rPr>
          <w:rFonts w:ascii="宋体" w:hAnsi="宋体" w:cs="宋体" w:eastAsia="宋体" w:hint="ascii"/>
          <w:sz w:val="18"/>
        </w:rPr>
        <w:t>、胆、胰组织工程</w:t>
      </w:r>
      <w:r>
        <w:rPr>
          <w:rFonts w:ascii="Times New Roman" w:hAnsi="Times New Roman" w:cs="Times New Roman" w:eastAsia="Times New Roman" w:hint="ascii"/>
          <w:sz w:val="18"/>
        </w:rPr>
        <w:t>C100307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肾与膀胱组织工程</w:t>
      </w:r>
    </w:p>
    <w:p>
      <w:pPr>
        <w:autoSpaceDE w:val="0"/>
        <w:autoSpaceDN w:val="0"/>
        <w:jc w:val="left"/>
        <w:spacing w:before="230"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266</w:t>
      </w:r>
      <w:r>
        <w:rPr>
          <w:rFonts w:ascii="宋体" w:hAnsi="宋体" w:cs="宋体" w:eastAsia="宋体" w:hint="ascii"/>
          <w:sz w:val="18"/>
        </w:rPr>
        <w:t>·</w:t>
      </w:r>
    </w:p>
    <w:p>
      <w:pPr>
        <w:autoSpaceDE w:val="0"/>
        <w:autoSpaceDN w:val="0"/>
        <w:jc w:val="left"/>
        <w:spacing w:before="354" w:after="0" w:lineRule="auto" w:line="314"/>
        <w:ind w:right="1089"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C100308</w:t>
      </w:r>
      <w:r>
        <w:rPr>
          <w:rFonts w:ascii="Times New Roman" w:hAnsi="Times New Roman" w:cs="Times New Roman" w:eastAsia="Times New Roman" w:hint="ascii"/>
          <w:sz w:val="18"/>
          <w:spacing w:val="45"/>
        </w:rPr>
        <w:t xml:space="preserve"> </w:t>
      </w:r>
      <w:r>
        <w:rPr>
          <w:rFonts w:ascii="宋体" w:hAnsi="宋体" w:cs="宋体" w:eastAsia="宋体" w:hint="ascii"/>
          <w:sz w:val="18"/>
        </w:rPr>
        <w:t>口腔组织工程</w:t>
      </w:r>
      <w:r>
        <w:rPr>
          <w:rFonts w:ascii="Times New Roman" w:hAnsi="Times New Roman" w:cs="Times New Roman" w:eastAsia="Times New Roman" w:hint="ascii"/>
          <w:sz w:val="18"/>
        </w:rPr>
        <w:t>C100309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干细胞移植与组织再</w:t>
      </w:r>
      <w:r>
        <w:rPr>
          <w:rFonts w:ascii="宋体" w:hAnsi="宋体" w:cs="宋体" w:eastAsia="宋体" w:hint="ascii"/>
          <w:sz w:val="18"/>
        </w:rPr>
        <w:t>生</w:t>
      </w:r>
      <w:r>
        <w:rPr>
          <w:rFonts w:ascii="Times New Roman" w:hAnsi="Times New Roman" w:cs="Times New Roman" w:eastAsia="Times New Roman" w:hint="ascii"/>
          <w:sz w:val="18"/>
        </w:rPr>
        <w:t>C100310</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人工器官与模拟组织</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三维构建</w:t>
      </w:r>
    </w:p>
    <w:p>
      <w:pPr>
        <w:autoSpaceDE w:val="0"/>
        <w:autoSpaceDN w:val="0"/>
        <w:jc w:val="left"/>
        <w:spacing w:before="6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C1003</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其他器官组织工程</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C1004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生物图像与生物电子学</w:t>
      </w:r>
    </w:p>
    <w:p>
      <w:pPr>
        <w:autoSpaceDE w:val="0"/>
        <w:autoSpaceDN w:val="0"/>
        <w:jc w:val="left"/>
        <w:spacing w:before="77" w:after="0" w:lineRule="auto" w:line="324"/>
        <w:ind w:right="108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C100401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生物信号检测与分析</w:t>
      </w:r>
      <w:r>
        <w:rPr>
          <w:rFonts w:ascii="Times New Roman" w:hAnsi="Times New Roman" w:cs="Times New Roman" w:eastAsia="Times New Roman" w:hint="ascii"/>
          <w:sz w:val="18"/>
        </w:rPr>
        <w:t>C100402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生物成像与图像处理</w:t>
      </w:r>
      <w:r>
        <w:rPr>
          <w:rFonts w:ascii="Times New Roman" w:hAnsi="Times New Roman" w:cs="Times New Roman" w:eastAsia="Times New Roman" w:hint="ascii"/>
          <w:sz w:val="18"/>
        </w:rPr>
        <w:t>C100403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生物传感</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C100404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生物检测的器件及系</w:t>
      </w:r>
      <w:r>
        <w:rPr>
          <w:rFonts w:ascii="宋体" w:hAnsi="宋体" w:cs="宋体" w:eastAsia="宋体" w:hint="ascii"/>
          <w:sz w:val="18"/>
        </w:rPr>
        <w:t>统</w:t>
      </w:r>
    </w:p>
    <w:p>
      <w:pPr>
        <w:autoSpaceDE w:val="0"/>
        <w:autoSpaceDN w:val="0"/>
        <w:jc w:val="left"/>
        <w:spacing w:before="7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C1005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仿生学</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C1006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纳米生物学</w:t>
      </w:r>
    </w:p>
    <w:p>
      <w:pPr>
        <w:autoSpaceDE w:val="0"/>
        <w:autoSpaceDN w:val="0"/>
        <w:jc w:val="left"/>
        <w:spacing w:before="77" w:after="0" w:lineRule="auto" w:line="325"/>
        <w:ind w:right="108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C100601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纳米生物检测</w:t>
      </w:r>
      <w:r>
        <w:rPr>
          <w:rFonts w:ascii="Times New Roman" w:hAnsi="Times New Roman" w:cs="Times New Roman" w:eastAsia="Times New Roman" w:hint="ascii"/>
          <w:sz w:val="18"/>
        </w:rPr>
        <w:t>C100602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纳米载体与递送</w:t>
      </w:r>
      <w:r>
        <w:rPr>
          <w:rFonts w:ascii="Times New Roman" w:hAnsi="Times New Roman" w:cs="Times New Roman" w:eastAsia="Times New Roman" w:hint="ascii"/>
          <w:sz w:val="18"/>
        </w:rPr>
        <w:t>C100603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纳米生物效应</w:t>
      </w:r>
      <w:r>
        <w:rPr>
          <w:rFonts w:ascii="Times New Roman" w:hAnsi="Times New Roman" w:cs="Times New Roman" w:eastAsia="Times New Roman" w:hint="ascii"/>
          <w:sz w:val="18"/>
        </w:rPr>
        <w:t>C100604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纳米生物学安全性评</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价与伦理学</w:t>
      </w:r>
    </w:p>
    <w:p>
      <w:pPr>
        <w:autoSpaceDE w:val="0"/>
        <w:autoSpaceDN w:val="0"/>
        <w:jc w:val="left"/>
        <w:spacing w:before="7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C1007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组织工程研究的新技术与新方</w:t>
      </w:r>
      <w:r>
        <w:rPr>
          <w:rFonts w:ascii="宋体" w:hAnsi="宋体" w:cs="宋体" w:eastAsia="宋体" w:hint="ascii"/>
          <w:sz w:val="18"/>
        </w:rPr>
        <w:t>法</w:t>
      </w:r>
    </w:p>
    <w:p>
      <w:pPr>
        <w:autoSpaceDE w:val="0"/>
        <w:autoSpaceDN w:val="0"/>
        <w:jc w:val="left"/>
        <w:spacing w:before="49"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w:t>
      </w:r>
      <w:r>
        <w:rPr>
          <w:rFonts w:ascii="Times New Roman" w:hAnsi="Times New Roman" w:cs="Times New Roman" w:eastAsia="Times New Roman" w:hint="ascii"/>
          <w:b w:val="1"/>
          <w:spacing w:val="-13"/>
        </w:rPr>
        <w:t>1</w:t>
      </w:r>
      <w:r>
        <w:rPr>
          <w:rFonts w:ascii="Times New Roman" w:hAnsi="Times New Roman" w:cs="Times New Roman" w:eastAsia="Times New Roman" w:hint="ascii"/>
          <w:b w:val="1"/>
        </w:rPr>
        <w:t>1</w:t>
      </w:r>
      <w:r>
        <w:rPr>
          <w:rFonts w:ascii="Times New Roman" w:hAnsi="Times New Roman" w:cs="Times New Roman" w:eastAsia="Times New Roman" w:hint="ascii"/>
          <w:b w:val="1"/>
          <w:spacing w:val="60"/>
        </w:rPr>
        <w:t xml:space="preserve"> </w:t>
      </w:r>
      <w:r>
        <w:rPr>
          <w:rFonts w:ascii="宋体" w:hAnsi="宋体" w:cs="宋体" w:eastAsia="宋体" w:hint="ascii"/>
        </w:rPr>
        <w:t>生理学与整合生物学</w:t>
      </w:r>
    </w:p>
    <w:p>
      <w:pPr>
        <w:autoSpaceDE w:val="0"/>
        <w:autoSpaceDN w:val="0"/>
        <w:jc w:val="left"/>
        <w:spacing w:before="9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细胞生理学</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细胞膜生理功能</w:t>
      </w:r>
    </w:p>
    <w:p>
      <w:pPr>
        <w:autoSpaceDE w:val="0"/>
        <w:autoSpaceDN w:val="0"/>
        <w:jc w:val="left"/>
        <w:spacing w:before="7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细胞代谢与自由基</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细胞间相互作用</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系统生理学</w:t>
      </w:r>
    </w:p>
    <w:p>
      <w:pPr>
        <w:autoSpaceDE w:val="0"/>
        <w:autoSpaceDN w:val="0"/>
        <w:jc w:val="left"/>
        <w:spacing w:before="7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循环生理</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血液生理</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呼吸生理</w:t>
      </w:r>
    </w:p>
    <w:p>
      <w:pPr>
        <w:autoSpaceDE w:val="0"/>
        <w:autoSpaceDN w:val="0"/>
        <w:jc w:val="left"/>
        <w:spacing w:before="7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消化生理</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泌尿生理</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内分泌生理</w:t>
      </w:r>
    </w:p>
    <w:p>
      <w:pPr>
        <w:autoSpaceDE w:val="0"/>
        <w:autoSpaceDN w:val="0"/>
        <w:jc w:val="left"/>
        <w:spacing w:before="7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生殖生理</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整合生理学</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生物的调节与适应</w:t>
      </w:r>
    </w:p>
    <w:p>
      <w:pPr>
        <w:autoSpaceDE w:val="0"/>
        <w:autoSpaceDN w:val="0"/>
        <w:jc w:val="left"/>
        <w:spacing w:before="7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应激、适应与代偿</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神经、内分泌与免疫</w:t>
      </w:r>
    </w:p>
    <w:p>
      <w:pPr>
        <w:autoSpaceDE w:val="0"/>
        <w:autoSpaceDN w:val="0"/>
        <w:jc w:val="left"/>
        <w:spacing w:before="7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调节</w:t>
      </w:r>
    </w:p>
    <w:p>
      <w:pPr>
        <w:autoSpaceDE w:val="0"/>
        <w:autoSpaceDN w:val="0"/>
        <w:jc w:val="left"/>
        <w:spacing w:before="7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内分泌与代谢调节</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造血调控与微环境</w:t>
      </w:r>
    </w:p>
    <w:p>
      <w:pPr>
        <w:autoSpaceDE w:val="0"/>
        <w:autoSpaceDN w:val="0"/>
        <w:jc w:val="left"/>
        <w:spacing w:before="7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8"/>
        </w:rPr>
        <w:t>水、电解质平衡与调</w:t>
      </w:r>
      <w:r>
        <w:rPr>
          <w:rFonts w:ascii="宋体" w:hAnsi="宋体" w:cs="宋体" w:eastAsia="宋体" w:hint="ascii"/>
          <w:sz w:val="18"/>
        </w:rPr>
        <w:t>节</w:t>
      </w:r>
    </w:p>
    <w:p>
      <w:pPr>
        <w:autoSpaceDE w:val="0"/>
        <w:autoSpaceDN w:val="0"/>
        <w:jc w:val="left"/>
        <w:spacing w:before="7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离子通道及受体</w:t>
      </w:r>
    </w:p>
    <w:p>
      <w:pPr>
        <w:autoSpaceDE w:val="0"/>
        <w:autoSpaceDN w:val="0"/>
        <w:jc w:val="left"/>
        <w:spacing w:before="77" w:after="0" w:lineRule="auto" w:line="240"/>
        <w:ind w:right="0"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10308</w:t>
      </w:r>
      <w:r>
        <w:rPr>
          <w:rFonts w:ascii="Times New Roman" w:hAnsi="Times New Roman" w:cs="Times New Roman" w:eastAsia="Times New Roman" w:hint="ascii"/>
          <w:sz w:val="18"/>
          <w:spacing w:val="45"/>
        </w:rPr>
        <w:t xml:space="preserve"> </w:t>
      </w:r>
      <w:r>
        <w:rPr>
          <w:rFonts w:ascii="宋体" w:hAnsi="宋体" w:cs="宋体" w:eastAsia="宋体" w:hint="ascii"/>
          <w:sz w:val="18"/>
        </w:rPr>
        <w:t>稳态调节及失衡</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10309</w:t>
      </w:r>
      <w:r>
        <w:rPr>
          <w:rFonts w:ascii="Times New Roman" w:hAnsi="Times New Roman" w:cs="Times New Roman" w:eastAsia="Times New Roman" w:hint="ascii"/>
          <w:sz w:val="18"/>
          <w:spacing w:val="45"/>
        </w:rPr>
        <w:t xml:space="preserve"> </w:t>
      </w:r>
      <w:r>
        <w:rPr>
          <w:rFonts w:ascii="宋体" w:hAnsi="宋体" w:cs="宋体" w:eastAsia="宋体" w:hint="ascii"/>
          <w:sz w:val="18"/>
        </w:rPr>
        <w:t>器官功能维持及紊乱</w:t>
      </w:r>
      <w:r>
        <w:rPr>
          <w:rFonts w:ascii="宋体" w:hAnsi="宋体" w:cs="宋体" w:eastAsia="宋体" w:hint="ascii"/>
          <w:sz w:val="18"/>
        </w:rPr>
        <mc:AlternateContent>
          <mc:Choice Requires="wps">
            <w:drawing>
              <wp:anchor distL="0" distR="0" distT="0" distB="0" simplePos="0" behindDoc="1" relativeHeight="348" locked="0" layoutInCell="1" allowOverlap="1">
                <wp:simplePos x="0" y="0"/>
                <wp:positionH relativeFrom="page">
                  <wp:posOffset>938530</wp:posOffset>
                </wp:positionH>
                <wp:positionV relativeFrom="page">
                  <wp:posOffset>819150</wp:posOffset>
                </wp:positionV>
                <wp:extent cx="5076190" cy="0"/>
                <wp:wrapNone/>
                <wp:docPr id="1375" name="137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301888;width:399.70pt;" id="137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7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10310</w:t>
      </w:r>
      <w:r>
        <w:rPr>
          <w:rFonts w:ascii="Times New Roman" w:hAnsi="Times New Roman" w:cs="Times New Roman" w:eastAsia="Times New Roman" w:hint="ascii"/>
          <w:sz w:val="18"/>
          <w:spacing w:val="45"/>
        </w:rPr>
        <w:t xml:space="preserve"> </w:t>
      </w:r>
      <w:r>
        <w:rPr>
          <w:rFonts w:ascii="宋体" w:hAnsi="宋体" w:cs="宋体" w:eastAsia="宋体" w:hint="ascii"/>
          <w:sz w:val="18"/>
        </w:rPr>
        <w:t>功能代偿与重构</w:t>
      </w:r>
    </w:p>
    <w:p>
      <w:pPr>
        <w:autoSpaceDE w:val="0"/>
        <w:autoSpaceDN w:val="0"/>
        <w:jc w:val="left"/>
        <w:spacing w:before="7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微循环与血管新生</w:t>
      </w:r>
    </w:p>
    <w:p>
      <w:pPr>
        <w:autoSpaceDE w:val="0"/>
        <w:autoSpaceDN w:val="0"/>
        <w:jc w:val="left"/>
        <w:spacing w:before="69"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生物节律</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营养与代谢生理学</w:t>
      </w:r>
    </w:p>
    <w:p>
      <w:pPr>
        <w:autoSpaceDE w:val="0"/>
        <w:autoSpaceDN w:val="0"/>
        <w:jc w:val="left"/>
        <w:spacing w:before="7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糖、脂代谢</w:t>
      </w:r>
    </w:p>
    <w:p>
      <w:pPr>
        <w:autoSpaceDE w:val="0"/>
        <w:autoSpaceDN w:val="0"/>
        <w:jc w:val="left"/>
        <w:spacing w:before="7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蛋</w:t>
      </w:r>
      <w:r>
        <w:rPr>
          <w:rFonts w:ascii="宋体" w:hAnsi="宋体" w:cs="宋体" w:eastAsia="宋体" w:hint="ascii"/>
          <w:sz w:val="18"/>
          <w:spacing w:val="-8"/>
        </w:rPr>
        <w:t>白质代谢与肝脏代</w:t>
      </w:r>
      <w:r>
        <w:rPr>
          <w:rFonts w:ascii="宋体" w:hAnsi="宋体" w:cs="宋体" w:eastAsia="宋体" w:hint="ascii"/>
          <w:sz w:val="18"/>
        </w:rPr>
        <w:t>谢</w:t>
      </w:r>
    </w:p>
    <w:p>
      <w:pPr>
        <w:autoSpaceDE w:val="0"/>
        <w:autoSpaceDN w:val="0"/>
        <w:jc w:val="left"/>
        <w:spacing w:before="7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骨与钙、磷代谢</w:t>
      </w:r>
    </w:p>
    <w:p>
      <w:pPr>
        <w:autoSpaceDE w:val="0"/>
        <w:autoSpaceDN w:val="0"/>
        <w:jc w:val="left"/>
        <w:spacing w:before="7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微量元素代谢</w:t>
      </w:r>
    </w:p>
    <w:p>
      <w:pPr>
        <w:autoSpaceDE w:val="0"/>
        <w:autoSpaceDN w:val="0"/>
        <w:jc w:val="left"/>
        <w:spacing w:before="7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运动生理学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特殊环境生理学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比较生理学</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整合生物学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人体解剖学</w:t>
      </w:r>
    </w:p>
    <w:p>
      <w:pPr>
        <w:autoSpaceDE w:val="0"/>
        <w:autoSpaceDN w:val="0"/>
        <w:jc w:val="both"/>
        <w:spacing w:before="67" w:after="0" w:lineRule="auto" w:line="314"/>
        <w:ind w:right="1072"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5"/>
        </w:rPr>
        <w:t>C</w:t>
      </w:r>
      <w:r>
        <w:rPr>
          <w:rFonts w:ascii="Times New Roman" w:hAnsi="Times New Roman" w:cs="Times New Roman" w:eastAsia="Times New Roman" w:hint="ascii"/>
          <w:b w:val="1"/>
          <w:sz w:val="18"/>
          <w:spacing w:val="-15"/>
        </w:rPr>
        <w:t>111</w:t>
      </w:r>
      <w:r>
        <w:rPr>
          <w:rFonts w:ascii="Times New Roman" w:hAnsi="Times New Roman" w:cs="Times New Roman" w:eastAsia="Times New Roman" w:hint="ascii"/>
          <w:b w:val="1"/>
          <w:sz w:val="18"/>
          <w:spacing w:val="-5"/>
        </w:rPr>
        <w:t>1</w:t>
      </w:r>
      <w:r>
        <w:rPr>
          <w:rFonts w:ascii="Times New Roman" w:hAnsi="Times New Roman" w:cs="Times New Roman" w:eastAsia="Times New Roman" w:hint="ascii"/>
          <w:b w:val="1"/>
          <w:sz w:val="18"/>
          <w:spacing w:val="40"/>
        </w:rPr>
        <w:t xml:space="preserve"> </w:t>
      </w:r>
      <w:r>
        <w:rPr>
          <w:rFonts w:ascii="宋体" w:hAnsi="宋体" w:cs="宋体" w:eastAsia="宋体" w:hint="ascii"/>
          <w:sz w:val="18"/>
          <w:spacing w:val="-5"/>
        </w:rPr>
        <w:t>人体组</w:t>
      </w:r>
      <w:r>
        <w:rPr>
          <w:rFonts w:ascii="宋体" w:hAnsi="宋体" w:cs="宋体" w:eastAsia="宋体" w:hint="ascii"/>
          <w:sz w:val="18"/>
          <w:spacing w:val="-4"/>
        </w:rPr>
        <w:t>织与胚胎学</w:t>
      </w:r>
      <w:r>
        <w:rPr>
          <w:rFonts w:ascii="宋体" w:hAnsi="宋体" w:cs="宋体" w:eastAsia="宋体" w:hint="ascii"/>
          <w:sz w:val="18"/>
        </w:rPr>
        <w:t xml:space="preserve"> </w:t>
      </w:r>
      <w:r>
        <w:rPr>
          <w:rFonts w:ascii="Times New Roman" w:hAnsi="Times New Roman" w:cs="Times New Roman" w:eastAsia="Times New Roman" w:hint="ascii"/>
          <w:b w:val="1"/>
          <w:sz w:val="18"/>
        </w:rPr>
        <w:t>C</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衰老生物学</w:t>
      </w:r>
    </w:p>
    <w:p>
      <w:pPr>
        <w:autoSpaceDE w:val="0"/>
        <w:autoSpaceDN w:val="0"/>
        <w:jc w:val="left"/>
        <w:spacing w:before="0" w:after="0" w:lineRule="auto" w:line="229"/>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C12</w:t>
      </w:r>
      <w:r>
        <w:rPr>
          <w:rFonts w:ascii="Times New Roman" w:hAnsi="Times New Roman" w:cs="Times New Roman" w:eastAsia="Times New Roman" w:hint="ascii"/>
          <w:b w:val="1"/>
          <w:spacing w:val="60"/>
        </w:rPr>
        <w:t xml:space="preserve"> </w:t>
      </w:r>
      <w:r>
        <w:rPr>
          <w:rFonts w:ascii="宋体" w:hAnsi="宋体" w:cs="宋体" w:eastAsia="宋体" w:hint="ascii"/>
        </w:rPr>
        <w:t>发育生物学与生殖生物学</w:t>
      </w:r>
    </w:p>
    <w:p>
      <w:pPr>
        <w:autoSpaceDE w:val="0"/>
        <w:autoSpaceDN w:val="0"/>
        <w:jc w:val="left"/>
        <w:spacing w:before="10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发育生物学</w:t>
      </w:r>
    </w:p>
    <w:p>
      <w:pPr>
        <w:autoSpaceDE w:val="0"/>
        <w:autoSpaceDN w:val="0"/>
        <w:jc w:val="left"/>
        <w:spacing w:before="76" w:after="0" w:lineRule="auto" w:line="325"/>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性器官与性腺发育</w:t>
      </w:r>
      <w:r>
        <w:rPr>
          <w:rFonts w:ascii="Times New Roman" w:hAnsi="Times New Roman" w:cs="Times New Roman" w:eastAsia="Times New Roman" w:hint="ascii"/>
          <w:sz w:val="18"/>
        </w:rPr>
        <w:t>C120102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早期生殖细胞发育</w:t>
      </w:r>
      <w:r>
        <w:rPr>
          <w:rFonts w:ascii="Times New Roman" w:hAnsi="Times New Roman" w:cs="Times New Roman" w:eastAsia="Times New Roman" w:hint="ascii"/>
          <w:sz w:val="18"/>
        </w:rPr>
        <w:t>C120103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合子激活与胚胎早期</w: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发育</w:t>
      </w:r>
    </w:p>
    <w:p>
      <w:pPr>
        <w:autoSpaceDE w:val="0"/>
        <w:autoSpaceDN w:val="0"/>
        <w:jc w:val="both"/>
        <w:spacing w:before="71" w:after="0" w:lineRule="auto" w:line="325"/>
        <w:ind w:right="3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C120104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组</w:t>
      </w:r>
      <w:r>
        <w:rPr>
          <w:rFonts w:ascii="宋体" w:hAnsi="宋体" w:cs="宋体" w:eastAsia="宋体" w:hint="ascii"/>
          <w:sz w:val="18"/>
        </w:rPr>
        <w:t>织器官发生与发育</w:t>
      </w:r>
      <w:r>
        <w:rPr>
          <w:rFonts w:ascii="Times New Roman" w:hAnsi="Times New Roman" w:cs="Times New Roman" w:eastAsia="Times New Roman" w:hint="ascii"/>
          <w:sz w:val="18"/>
          <w:spacing w:val="-1"/>
        </w:rPr>
        <w:t>C120105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组</w:t>
      </w:r>
      <w:r>
        <w:rPr>
          <w:rFonts w:ascii="宋体" w:hAnsi="宋体" w:cs="宋体" w:eastAsia="宋体" w:hint="ascii"/>
          <w:sz w:val="18"/>
        </w:rPr>
        <w:t>织器官稳态维持与</w: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再生</w:t>
      </w:r>
    </w:p>
    <w:p>
      <w:pPr>
        <w:autoSpaceDE w:val="0"/>
        <w:autoSpaceDN w:val="0"/>
        <w:jc w:val="left"/>
        <w:spacing w:before="7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细胞命运决定与分化</w:t>
      </w:r>
    </w:p>
    <w:p>
      <w:pPr>
        <w:autoSpaceDE w:val="0"/>
        <w:autoSpaceDN w:val="0"/>
        <w:jc w:val="left"/>
        <w:spacing w:before="7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及其微环境</w:t>
      </w:r>
    </w:p>
    <w:p>
      <w:pPr>
        <w:autoSpaceDE w:val="0"/>
        <w:autoSpaceDN w:val="0"/>
        <w:jc w:val="left"/>
        <w:spacing w:before="70" w:after="0" w:lineRule="auto" w:line="32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核质互作与重编程</w:t>
      </w:r>
      <w:r>
        <w:rPr>
          <w:rFonts w:ascii="Times New Roman" w:hAnsi="Times New Roman" w:cs="Times New Roman" w:eastAsia="Times New Roman" w:hint="ascii"/>
          <w:sz w:val="18"/>
        </w:rPr>
        <w:t>C120108</w:t>
      </w:r>
      <w:r>
        <w:rPr>
          <w:rFonts w:ascii="Times New Roman" w:hAnsi="Times New Roman" w:cs="Times New Roman" w:eastAsia="Times New Roman" w:hint="ascii"/>
          <w:sz w:val="18"/>
          <w:spacing w:val="45"/>
        </w:rPr>
        <w:t xml:space="preserve"> </w:t>
      </w:r>
      <w:r>
        <w:rPr>
          <w:rFonts w:ascii="宋体" w:hAnsi="宋体" w:cs="宋体" w:eastAsia="宋体" w:hint="ascii"/>
          <w:sz w:val="18"/>
        </w:rPr>
        <w:t>模式生物与模型建立</w:t>
      </w:r>
      <w:r>
        <w:rPr>
          <w:rFonts w:ascii="Times New Roman" w:hAnsi="Times New Roman" w:cs="Times New Roman" w:eastAsia="Times New Roman" w:hint="ascii"/>
          <w:sz w:val="18"/>
        </w:rPr>
        <w:t>C120109</w:t>
      </w:r>
      <w:r>
        <w:rPr>
          <w:rFonts w:ascii="Times New Roman" w:hAnsi="Times New Roman" w:cs="Times New Roman" w:eastAsia="Times New Roman" w:hint="ascii"/>
          <w:sz w:val="18"/>
          <w:spacing w:val="45"/>
        </w:rPr>
        <w:t xml:space="preserve"> </w:t>
      </w:r>
      <w:r>
        <w:rPr>
          <w:rFonts w:ascii="宋体" w:hAnsi="宋体" w:cs="宋体" w:eastAsia="宋体" w:hint="ascii"/>
          <w:sz w:val="18"/>
        </w:rPr>
        <w:t>诱导性多能干细胞</w:t>
      </w: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w:t>
      </w:r>
      <w:r>
        <w:rPr>
          <w:rFonts w:ascii="Times New Roman" w:hAnsi="Times New Roman" w:cs="Times New Roman" w:eastAsia="Times New Roman" w:hint="ascii"/>
          <w:sz w:val="18"/>
          <w:spacing w:val="45"/>
        </w:rPr>
        <w:t xml:space="preserve"> </w:t>
      </w:r>
      <w:r>
        <w:rPr>
          <w:rFonts w:ascii="宋体" w:hAnsi="宋体" w:cs="宋体" w:eastAsia="宋体" w:hint="ascii"/>
          <w:sz w:val="18"/>
        </w:rPr>
        <w:t>干细胞干性维持与自</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我更新</w:t>
      </w:r>
    </w:p>
    <w:p>
      <w:pPr>
        <w:autoSpaceDE w:val="0"/>
        <w:autoSpaceDN w:val="0"/>
        <w:jc w:val="left"/>
        <w:spacing w:before="7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干细胞定向分化</w:t>
      </w:r>
    </w:p>
    <w:p>
      <w:pPr>
        <w:autoSpaceDE w:val="0"/>
        <w:autoSpaceDN w:val="0"/>
        <w:jc w:val="left"/>
        <w:spacing w:before="76" w:after="0" w:lineRule="auto" w:line="325"/>
        <w:ind w:right="134"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w:t>
      </w:r>
      <w:r>
        <w:rPr>
          <w:rFonts w:ascii="Times New Roman" w:hAnsi="Times New Roman" w:cs="Times New Roman" w:eastAsia="Times New Roman" w:hint="ascii"/>
          <w:sz w:val="18"/>
          <w:spacing w:val="45"/>
        </w:rPr>
        <w:t xml:space="preserve"> </w:t>
      </w:r>
      <w:r>
        <w:rPr>
          <w:rFonts w:ascii="宋体" w:hAnsi="宋体" w:cs="宋体" w:eastAsia="宋体" w:hint="ascii"/>
          <w:sz w:val="18"/>
        </w:rPr>
        <w:t>细胞转分化</w:t>
      </w: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w:t>
      </w:r>
      <w:r>
        <w:rPr>
          <w:rFonts w:ascii="Times New Roman" w:hAnsi="Times New Roman" w:cs="Times New Roman" w:eastAsia="Times New Roman" w:hint="ascii"/>
          <w:sz w:val="18"/>
          <w:spacing w:val="45"/>
        </w:rPr>
        <w:t xml:space="preserve"> </w:t>
      </w:r>
      <w:r>
        <w:rPr>
          <w:rFonts w:ascii="宋体" w:hAnsi="宋体" w:cs="宋体" w:eastAsia="宋体" w:hint="ascii"/>
          <w:sz w:val="18"/>
        </w:rPr>
        <w:t>核移植与细胞融合</w:t>
      </w: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w:t>
      </w:r>
      <w:r>
        <w:rPr>
          <w:rFonts w:ascii="Times New Roman" w:hAnsi="Times New Roman" w:cs="Times New Roman" w:eastAsia="Times New Roman" w:hint="ascii"/>
          <w:sz w:val="18"/>
          <w:spacing w:val="45"/>
        </w:rPr>
        <w:t xml:space="preserve"> </w:t>
      </w:r>
      <w:r>
        <w:rPr>
          <w:rFonts w:ascii="宋体" w:hAnsi="宋体" w:cs="宋体" w:eastAsia="宋体" w:hint="ascii"/>
          <w:sz w:val="18"/>
        </w:rPr>
        <w:t>干细胞与微环境</w:t>
      </w: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w:t>
      </w:r>
      <w:r>
        <w:rPr>
          <w:rFonts w:ascii="Times New Roman" w:hAnsi="Times New Roman" w:cs="Times New Roman" w:eastAsia="Times New Roman" w:hint="ascii"/>
          <w:sz w:val="18"/>
          <w:spacing w:val="45"/>
        </w:rPr>
        <w:t xml:space="preserve"> </w:t>
      </w:r>
      <w:r>
        <w:rPr>
          <w:rFonts w:ascii="宋体" w:hAnsi="宋体" w:cs="宋体" w:eastAsia="宋体" w:hint="ascii"/>
          <w:sz w:val="18"/>
        </w:rPr>
        <w:t>发育与进化</w:t>
      </w: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16</w:t>
      </w:r>
      <w:r>
        <w:rPr>
          <w:rFonts w:ascii="Times New Roman" w:hAnsi="Times New Roman" w:cs="Times New Roman" w:eastAsia="Times New Roman" w:hint="ascii"/>
          <w:sz w:val="18"/>
          <w:spacing w:val="45"/>
        </w:rPr>
        <w:t xml:space="preserve"> </w:t>
      </w:r>
      <w:r>
        <w:rPr>
          <w:rFonts w:ascii="宋体" w:hAnsi="宋体" w:cs="宋体" w:eastAsia="宋体" w:hint="ascii"/>
          <w:sz w:val="18"/>
        </w:rPr>
        <w:t>发育异常</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w:t>
      </w:r>
      <w:r>
        <w:rPr>
          <w:rFonts w:ascii="Times New Roman" w:hAnsi="Times New Roman" w:cs="Times New Roman" w:eastAsia="Times New Roman" w:hint="ascii"/>
          <w:sz w:val="18"/>
          <w:spacing w:val="45"/>
        </w:rPr>
        <w:t xml:space="preserve"> </w:t>
      </w:r>
      <w:r>
        <w:rPr>
          <w:rFonts w:ascii="宋体" w:hAnsi="宋体" w:cs="宋体" w:eastAsia="宋体" w:hint="ascii"/>
          <w:sz w:val="18"/>
        </w:rPr>
        <w:t>体内外环境与发育</w:t>
      </w:r>
    </w:p>
    <w:p>
      <w:pPr>
        <w:autoSpaceDE w:val="0"/>
        <w:autoSpaceDN w:val="0"/>
        <w:jc w:val="left"/>
        <w:spacing w:before="7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18</w:t>
      </w:r>
      <w:r>
        <w:rPr>
          <w:rFonts w:ascii="Times New Roman" w:hAnsi="Times New Roman" w:cs="Times New Roman" w:eastAsia="Times New Roman" w:hint="ascii"/>
          <w:sz w:val="18"/>
          <w:spacing w:val="45"/>
        </w:rPr>
        <w:t xml:space="preserve"> </w:t>
      </w:r>
      <w:r>
        <w:rPr>
          <w:rFonts w:ascii="宋体" w:hAnsi="宋体" w:cs="宋体" w:eastAsia="宋体" w:hint="ascii"/>
          <w:sz w:val="18"/>
        </w:rPr>
        <w:t>发育生物学研究的新</w:t>
      </w:r>
    </w:p>
    <w:p>
      <w:pPr>
        <w:autoSpaceDE w:val="0"/>
        <w:autoSpaceDN w:val="0"/>
        <w:jc w:val="left"/>
        <w:spacing w:before="7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技术、新方法</w:t>
      </w:r>
    </w:p>
    <w:p>
      <w:pPr>
        <w:autoSpaceDE w:val="0"/>
        <w:autoSpaceDN w:val="0"/>
        <w:jc w:val="left"/>
        <w:spacing w:before="327"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C1202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生殖生物学</w:t>
      </w:r>
    </w:p>
    <w:p>
      <w:pPr>
        <w:autoSpaceDE w:val="0"/>
        <w:autoSpaceDN w:val="0"/>
        <w:jc w:val="left"/>
        <w:spacing w:before="74" w:after="0" w:lineRule="auto" w:line="325"/>
        <w:ind w:right="109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睾丸功能与精子发生</w:t>
      </w:r>
      <w:r>
        <w:rPr>
          <w:rFonts w:ascii="Times New Roman" w:hAnsi="Times New Roman" w:cs="Times New Roman" w:eastAsia="Times New Roman" w:hint="ascii"/>
          <w:sz w:val="18"/>
        </w:rPr>
        <w:t>C120202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卵巢功能与卵子成熟</w:t>
      </w:r>
      <w:r>
        <w:rPr>
          <w:rFonts w:ascii="Times New Roman" w:hAnsi="Times New Roman" w:cs="Times New Roman" w:eastAsia="Times New Roman" w:hint="ascii"/>
          <w:sz w:val="18"/>
        </w:rPr>
        <w:t>C120203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精卵识别与受精</w:t>
      </w:r>
      <w:r>
        <w:rPr>
          <w:rFonts w:ascii="Times New Roman" w:hAnsi="Times New Roman" w:cs="Times New Roman" w:eastAsia="Times New Roman" w:hint="ascii"/>
          <w:sz w:val="18"/>
        </w:rPr>
        <w:t>C120204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性激素与靶器官</w:t>
      </w:r>
      <w:r>
        <w:rPr>
          <w:rFonts w:ascii="Times New Roman" w:hAnsi="Times New Roman" w:cs="Times New Roman" w:eastAsia="Times New Roman" w:hint="ascii"/>
          <w:sz w:val="18"/>
        </w:rPr>
        <w:t>C120205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胚胎着床</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母胎关系与妊娠生理</w:t>
      </w:r>
    </w:p>
    <w:p>
      <w:pPr>
        <w:autoSpaceDE w:val="0"/>
        <w:autoSpaceDN w:val="0"/>
        <w:jc w:val="left"/>
        <w:spacing w:before="76" w:after="0" w:lineRule="auto" w:line="325"/>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分娩与泌乳</w:t>
      </w:r>
      <w:r>
        <w:rPr>
          <w:rFonts w:ascii="Times New Roman" w:hAnsi="Times New Roman" w:cs="Times New Roman" w:eastAsia="Times New Roman" w:hint="ascii"/>
          <w:sz w:val="18"/>
        </w:rPr>
        <w:t>C120208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生殖异常与不育</w:t>
      </w:r>
      <w:r>
        <w:rPr>
          <w:rFonts w:ascii="Times New Roman" w:hAnsi="Times New Roman" w:cs="Times New Roman" w:eastAsia="Times New Roman" w:hint="ascii"/>
          <w:sz w:val="18"/>
        </w:rPr>
        <w:t>C120209</w:t>
      </w:r>
      <w:r>
        <w:rPr>
          <w:rFonts w:ascii="Times New Roman" w:hAnsi="Times New Roman" w:cs="Times New Roman" w:eastAsia="Times New Roman" w:hint="ascii"/>
          <w:sz w:val="18"/>
          <w:spacing w:val="45"/>
        </w:rPr>
        <w:t xml:space="preserve"> </w:t>
      </w:r>
      <w:r>
        <w:rPr>
          <w:rFonts w:ascii="宋体" w:hAnsi="宋体" w:cs="宋体" w:eastAsia="宋体" w:hint="ascii"/>
          <w:sz w:val="18"/>
        </w:rPr>
        <w:t>辅助生殖</w:t>
      </w:r>
    </w:p>
    <w:p>
      <w:pPr>
        <w:autoSpaceDE w:val="0"/>
        <w:autoSpaceDN w:val="0"/>
        <w:jc w:val="left"/>
        <w:spacing w:before="0" w:after="0" w:lineRule="auto" w:line="238"/>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C120210</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体内外环境与生殖健</w:t>
      </w:r>
      <w:r>
        <w:rPr>
          <w:rFonts w:ascii="宋体" w:hAnsi="宋体" w:cs="宋体" w:eastAsia="宋体" w:hint="ascii"/>
          <w:sz w:val="18"/>
        </w:rPr>
        <w:t>康</w:t>
      </w:r>
    </w:p>
    <w:p>
      <w:pPr>
        <w:autoSpaceDE w:val="0"/>
        <w:autoSpaceDN w:val="0"/>
        <w:jc w:val="left"/>
        <w:spacing w:before="7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C1202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生殖生物学研究的新</w:t>
      </w:r>
    </w:p>
    <w:p>
      <w:pPr>
        <w:autoSpaceDE w:val="0"/>
        <w:autoSpaceDN w:val="0"/>
        <w:jc w:val="left"/>
        <w:spacing w:before="7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技术与新方法</w:t>
      </w:r>
    </w:p>
    <w:p>
      <w:pPr>
        <w:autoSpaceDE w:val="0"/>
        <w:autoSpaceDN w:val="0"/>
        <w:jc w:val="left"/>
        <w:spacing w:before="24"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C13</w:t>
      </w:r>
      <w:r>
        <w:rPr>
          <w:rFonts w:ascii="Times New Roman" w:hAnsi="Times New Roman" w:cs="Times New Roman" w:eastAsia="Times New Roman" w:hint="ascii"/>
          <w:b w:val="1"/>
          <w:spacing w:val="60"/>
        </w:rPr>
        <w:t xml:space="preserve"> </w:t>
      </w:r>
      <w:r>
        <w:rPr>
          <w:rFonts w:ascii="宋体" w:hAnsi="宋体" w:cs="宋体" w:eastAsia="宋体" w:hint="ascii"/>
        </w:rPr>
        <w:t>作物学</w:t>
      </w:r>
    </w:p>
    <w:p>
      <w:pPr>
        <w:autoSpaceDE w:val="0"/>
        <w:autoSpaceDN w:val="0"/>
        <w:jc w:val="left"/>
        <w:spacing w:before="7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作物学基础</w:t>
      </w:r>
    </w:p>
    <w:p>
      <w:pPr>
        <w:autoSpaceDE w:val="0"/>
        <w:autoSpaceDN w:val="0"/>
        <w:jc w:val="left"/>
        <w:spacing w:before="57" w:after="0" w:lineRule="auto" w:line="303"/>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作物气象学</w:t>
      </w:r>
      <w:r>
        <w:rPr>
          <w:rFonts w:ascii="Times New Roman" w:hAnsi="Times New Roman" w:cs="Times New Roman" w:eastAsia="Times New Roman" w:hint="ascii"/>
          <w:sz w:val="18"/>
        </w:rPr>
        <w:t>C130102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作物信息学</w:t>
      </w:r>
      <w:r>
        <w:rPr>
          <w:rFonts w:ascii="Times New Roman" w:hAnsi="Times New Roman" w:cs="Times New Roman" w:eastAsia="Times New Roman" w:hint="ascii"/>
          <w:sz w:val="18"/>
        </w:rPr>
        <w:t>C130103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作物系统工程</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作物生理学</w:t>
      </w:r>
    </w:p>
    <w:p>
      <w:pPr>
        <w:autoSpaceDE w:val="0"/>
        <w:autoSpaceDN w:val="0"/>
        <w:jc w:val="left"/>
        <w:spacing w:before="5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作物栽培与耕作学</w:t>
      </w:r>
    </w:p>
    <w:p>
      <w:pPr>
        <w:autoSpaceDE w:val="0"/>
        <w:autoSpaceDN w:val="0"/>
        <w:jc w:val="both"/>
        <w:spacing w:before="73" w:after="0" w:lineRule="auto" w:line="325"/>
        <w:ind w:right="183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C130301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作</w:t>
      </w:r>
      <w:r>
        <w:rPr>
          <w:rFonts w:ascii="宋体" w:hAnsi="宋体" w:cs="宋体" w:eastAsia="宋体" w:hint="ascii"/>
          <w:sz w:val="18"/>
        </w:rPr>
        <w:t>物栽培学</w:t>
      </w:r>
      <w:r>
        <w:rPr>
          <w:rFonts w:ascii="Times New Roman" w:hAnsi="Times New Roman" w:cs="Times New Roman" w:eastAsia="Times New Roman" w:hint="ascii"/>
          <w:sz w:val="18"/>
        </w:rPr>
        <w:t>C130302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耕作学</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作物种质资源与遗传育种学</w:t>
      </w:r>
    </w:p>
    <w:p>
      <w:pPr>
        <w:autoSpaceDE w:val="0"/>
        <w:autoSpaceDN w:val="0"/>
        <w:jc w:val="left"/>
        <w:spacing w:before="7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稻类作物种质资源与</w:t>
      </w:r>
    </w:p>
    <w:p>
      <w:pPr>
        <w:autoSpaceDE w:val="0"/>
        <w:autoSpaceDN w:val="0"/>
        <w:jc w:val="left"/>
        <w:spacing w:before="7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遗传育种</w:t>
      </w:r>
    </w:p>
    <w:p>
      <w:pPr>
        <w:autoSpaceDE w:val="0"/>
        <w:autoSpaceDN w:val="0"/>
        <w:jc w:val="left"/>
        <w:spacing w:before="7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麦类作物种质资源与</w:t>
      </w:r>
    </w:p>
    <w:p>
      <w:pPr>
        <w:autoSpaceDE w:val="0"/>
        <w:autoSpaceDN w:val="0"/>
        <w:jc w:val="left"/>
        <w:spacing w:before="7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遗传育种</w:t>
      </w:r>
    </w:p>
    <w:p>
      <w:pPr>
        <w:autoSpaceDE w:val="0"/>
        <w:autoSpaceDN w:val="0"/>
        <w:jc w:val="left"/>
        <w:spacing w:before="7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8"/>
        </w:rPr>
        <w:t>玉米及其他禾谷类</w:t>
      </w:r>
      <w:r>
        <w:rPr>
          <w:rFonts w:ascii="宋体" w:hAnsi="宋体" w:cs="宋体" w:eastAsia="宋体" w:hint="ascii"/>
          <w:sz w:val="18"/>
        </w:rPr>
        <w:t>作</w:t>
      </w:r>
    </w:p>
    <w:p>
      <w:pPr>
        <w:autoSpaceDE w:val="0"/>
        <w:autoSpaceDN w:val="0"/>
        <w:jc w:val="left"/>
        <w:spacing w:before="76"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8"/>
        </w:rPr>
        <w:t>物种质资源与遗传育</w:t>
      </w:r>
      <w:r>
        <w:rPr>
          <w:rFonts w:ascii="宋体" w:hAnsi="宋体" w:cs="宋体" w:eastAsia="宋体" w:hint="ascii"/>
          <w:sz w:val="18"/>
        </w:rPr>
        <w:t>种</w:t>
      </w:r>
    </w:p>
    <w:p>
      <w:pPr>
        <w:autoSpaceDE w:val="0"/>
        <w:autoSpaceDN w:val="0"/>
        <w:jc w:val="left"/>
        <w:spacing w:before="7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大豆作物种质资源与</w:t>
      </w:r>
    </w:p>
    <w:p>
      <w:pPr>
        <w:autoSpaceDE w:val="0"/>
        <w:autoSpaceDN w:val="0"/>
        <w:jc w:val="left"/>
        <w:spacing w:before="7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遗传育种</w:t>
      </w:r>
    </w:p>
    <w:p>
      <w:pPr>
        <w:autoSpaceDE w:val="0"/>
        <w:autoSpaceDN w:val="0"/>
        <w:jc w:val="right"/>
        <w:spacing w:before="13" w:after="0" w:lineRule="exact" w:line="296"/>
        <w:ind w:right="1119" w:left="115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油菜及其他油料作物种质资源与遗传育种</w:t>
      </w:r>
    </w:p>
    <w:p>
      <w:pPr>
        <w:autoSpaceDE w:val="0"/>
        <w:autoSpaceDN w:val="0"/>
        <w:jc w:val="left"/>
        <w:spacing w:before="5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棉麻类作物种质资源</w:t>
      </w:r>
    </w:p>
    <w:p>
      <w:pPr>
        <w:autoSpaceDE w:val="0"/>
        <w:autoSpaceDN w:val="0"/>
        <w:jc w:val="left"/>
        <w:spacing w:before="76"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与遗传育种</w:t>
      </w:r>
    </w:p>
    <w:p>
      <w:pPr>
        <w:autoSpaceDE w:val="0"/>
        <w:autoSpaceDN w:val="0"/>
        <w:jc w:val="left"/>
        <w:spacing w:before="7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薯类作物种质资源与</w:t>
      </w:r>
    </w:p>
    <w:p>
      <w:pPr>
        <w:autoSpaceDE w:val="0"/>
        <w:autoSpaceDN w:val="0"/>
        <w:jc w:val="left"/>
        <w:spacing w:before="7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遗传育种</w:t>
      </w:r>
    </w:p>
    <w:p>
      <w:pPr>
        <w:autoSpaceDE w:val="0"/>
        <w:autoSpaceDN w:val="0"/>
        <w:jc w:val="left"/>
        <w:spacing w:before="7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C130408</w:t>
      </w:r>
      <w:r>
        <w:rPr>
          <w:rFonts w:ascii="Times New Roman" w:hAnsi="Times New Roman" w:cs="Times New Roman" w:eastAsia="Times New Roman" w:hint="ascii"/>
          <w:sz w:val="18"/>
          <w:spacing w:val="45"/>
        </w:rPr>
        <w:t xml:space="preserve"> </w:t>
      </w:r>
      <w:r>
        <w:rPr>
          <w:rFonts w:ascii="宋体" w:hAnsi="宋体" w:cs="宋体" w:eastAsia="宋体" w:hint="ascii"/>
          <w:sz w:val="18"/>
        </w:rPr>
        <w:t>糖料作物种质资源与</w:t>
      </w:r>
    </w:p>
    <w:p>
      <w:pPr>
        <w:autoSpaceDE w:val="0"/>
        <w:autoSpaceDN w:val="0"/>
        <w:jc w:val="left"/>
        <w:spacing w:before="7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遗传育种</w:t>
      </w:r>
    </w:p>
    <w:p>
      <w:pPr>
        <w:autoSpaceDE w:val="0"/>
        <w:autoSpaceDN w:val="0"/>
        <w:jc w:val="left"/>
        <w:spacing w:before="7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C130409</w:t>
      </w:r>
      <w:r>
        <w:rPr>
          <w:rFonts w:ascii="Times New Roman" w:hAnsi="Times New Roman" w:cs="Times New Roman" w:eastAsia="Times New Roman" w:hint="ascii"/>
          <w:sz w:val="18"/>
          <w:spacing w:val="45"/>
        </w:rPr>
        <w:t xml:space="preserve"> </w:t>
      </w:r>
      <w:r>
        <w:rPr>
          <w:rFonts w:ascii="宋体" w:hAnsi="宋体" w:cs="宋体" w:eastAsia="宋体" w:hint="ascii"/>
          <w:sz w:val="18"/>
        </w:rPr>
        <w:t>其他作物种质资源与</w:t>
      </w:r>
    </w:p>
    <w:p>
      <w:pPr>
        <w:autoSpaceDE w:val="0"/>
        <w:autoSpaceDN w:val="0"/>
        <w:jc w:val="left"/>
        <w:spacing w:before="76" w:after="0" w:lineRule="exact" w:line="225"/>
        <w:ind w:right="0" w:left="2130" w:firstLine="0"/>
        <w:snapToGrid w:val="0"/>
        <w:textAlignment w:val="auto"/>
        <w:tabs/>
        <w:sectPr>
          <w:type w:val="continuous"/>
          <w:pgSz w:w="10940" w:h="15080" w:orient="portrait"/>
          <w:pgMar w:top="508" w:right="508" w:bottom="508" w:left="508" w:header="0" w:footer="0" w:gutter="0"/>
          <w:cols w:num="2" w:space="0" w:equalWidth="0">
            <w:col w:w="4758" w:space="28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遗传育种</w:t>
      </w:r>
      <w:rPr>
        <w:rFonts w:ascii="宋体" w:hAnsi="宋体" w:cs="宋体" w:eastAsia="宋体" w:hint="ascii"/>
        <w:sz w:val="18"/>
      </w:rPr>
    </w:p>
    <w:p>
      <w:pPr>
        <w:autoSpaceDE w:val="0"/>
        <w:autoSpaceDN w:val="0"/>
        <w:jc w:val="left"/>
        <w:spacing w:before="320"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both"/>
        <w:spacing w:before="354" w:after="0" w:lineRule="auto" w:line="308"/>
        <w:ind w:right="653"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C1305</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作物</w:t>
      </w:r>
      <w:r>
        <w:rPr>
          <w:rFonts w:ascii="宋体" w:hAnsi="宋体" w:cs="宋体" w:eastAsia="宋体" w:hint="ascii"/>
          <w:sz w:val="18"/>
        </w:rPr>
        <w:t>杂种优势及其利用</w:t>
      </w:r>
      <w:r>
        <w:rPr>
          <w:rFonts w:ascii="Times New Roman" w:hAnsi="Times New Roman" w:cs="Times New Roman" w:eastAsia="Times New Roman" w:hint="ascii"/>
          <w:b w:val="1"/>
          <w:sz w:val="18"/>
        </w:rPr>
        <w:t>C1306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作物分子育种</w:t>
      </w:r>
      <w:r>
        <w:rPr>
          <w:rFonts w:ascii="宋体" w:hAnsi="宋体" w:cs="宋体" w:eastAsia="宋体" w:hint="ascii"/>
          <w:sz w:val="18"/>
        </w:rPr>
        <mc:AlternateContent>
          <mc:Choice Requires="wps">
            <w:drawing>
              <wp:anchor distL="0" distR="0" distT="0" distB="0" simplePos="0" behindDoc="1" relativeHeight="349" locked="0" layoutInCell="1" allowOverlap="1">
                <wp:simplePos x="0" y="0"/>
                <wp:positionH relativeFrom="page">
                  <wp:posOffset>938530</wp:posOffset>
                </wp:positionH>
                <wp:positionV relativeFrom="page">
                  <wp:posOffset>805815</wp:posOffset>
                </wp:positionV>
                <wp:extent cx="5076190" cy="0"/>
                <wp:wrapNone/>
                <wp:docPr id="1376" name="137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300864;width:399.70pt;" id="137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作物种子学</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C14</w:t>
      </w:r>
      <w:r>
        <w:rPr>
          <w:rFonts w:ascii="Times New Roman" w:hAnsi="Times New Roman" w:cs="Times New Roman" w:eastAsia="Times New Roman" w:hint="ascii"/>
          <w:b w:val="1"/>
          <w:spacing w:val="60"/>
        </w:rPr>
        <w:t xml:space="preserve"> </w:t>
      </w:r>
      <w:r>
        <w:rPr>
          <w:rFonts w:ascii="宋体" w:hAnsi="宋体" w:cs="宋体" w:eastAsia="宋体" w:hint="ascii"/>
        </w:rPr>
        <w:t>植物保护学</w:t>
      </w:r>
    </w:p>
    <w:p>
      <w:pPr>
        <w:autoSpaceDE w:val="0"/>
        <w:autoSpaceDN w:val="0"/>
        <w:jc w:val="left"/>
        <w:spacing w:before="9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植物病理学</w:t>
      </w:r>
    </w:p>
    <w:p>
      <w:pPr>
        <w:autoSpaceDE w:val="0"/>
        <w:autoSpaceDN w:val="0"/>
        <w:jc w:val="left"/>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C140101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植物病害测报学</w:t>
      </w:r>
      <w:r>
        <w:rPr>
          <w:rFonts w:ascii="Times New Roman" w:hAnsi="Times New Roman" w:cs="Times New Roman" w:eastAsia="Times New Roman" w:hint="ascii"/>
          <w:sz w:val="18"/>
        </w:rPr>
        <w:t>C140102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植物真菌病害</w:t>
      </w:r>
      <w:r>
        <w:rPr>
          <w:rFonts w:ascii="Times New Roman" w:hAnsi="Times New Roman" w:cs="Times New Roman" w:eastAsia="Times New Roman" w:hint="ascii"/>
          <w:sz w:val="18"/>
        </w:rPr>
        <w:t>C140103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植物细菌病害</w:t>
      </w:r>
      <w:r>
        <w:rPr>
          <w:rFonts w:ascii="Times New Roman" w:hAnsi="Times New Roman" w:cs="Times New Roman" w:eastAsia="Times New Roman" w:hint="ascii"/>
          <w:sz w:val="18"/>
        </w:rPr>
        <w:t>C140104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植物病毒病害</w:t>
      </w:r>
      <w:r>
        <w:rPr>
          <w:rFonts w:ascii="Times New Roman" w:hAnsi="Times New Roman" w:cs="Times New Roman" w:eastAsia="Times New Roman" w:hint="ascii"/>
          <w:sz w:val="18"/>
        </w:rPr>
        <w:t>C140105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植物其他病害</w:t>
      </w:r>
      <w:r>
        <w:rPr>
          <w:rFonts w:ascii="Times New Roman" w:hAnsi="Times New Roman" w:cs="Times New Roman" w:eastAsia="Times New Roman" w:hint="ascii"/>
          <w:sz w:val="18"/>
        </w:rPr>
        <w:t>C140106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植物抗病性</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农业昆虫学</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C140201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植物害虫测报学</w:t>
      </w:r>
      <w:r>
        <w:rPr>
          <w:rFonts w:ascii="Times New Roman" w:hAnsi="Times New Roman" w:cs="Times New Roman" w:eastAsia="Times New Roman" w:hint="ascii"/>
          <w:sz w:val="18"/>
        </w:rPr>
        <w:t>C140202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粮食作物害虫</w:t>
      </w:r>
      <w:r>
        <w:rPr>
          <w:rFonts w:ascii="Times New Roman" w:hAnsi="Times New Roman" w:cs="Times New Roman" w:eastAsia="Times New Roman" w:hint="ascii"/>
          <w:sz w:val="18"/>
        </w:rPr>
        <w:t>C140203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油料作物害虫</w:t>
      </w:r>
      <w:r>
        <w:rPr>
          <w:rFonts w:ascii="Times New Roman" w:hAnsi="Times New Roman" w:cs="Times New Roman" w:eastAsia="Times New Roman" w:hint="ascii"/>
          <w:sz w:val="18"/>
        </w:rPr>
        <w:t>C140204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园艺作物害虫</w:t>
      </w:r>
      <w:r>
        <w:rPr>
          <w:rFonts w:ascii="Times New Roman" w:hAnsi="Times New Roman" w:cs="Times New Roman" w:eastAsia="Times New Roman" w:hint="ascii"/>
          <w:sz w:val="18"/>
          <w:spacing w:val="-1"/>
        </w:rPr>
        <w:t>C140205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经</w:t>
      </w:r>
      <w:r>
        <w:rPr>
          <w:rFonts w:ascii="宋体" w:hAnsi="宋体" w:cs="宋体" w:eastAsia="宋体" w:hint="ascii"/>
          <w:sz w:val="18"/>
        </w:rPr>
        <w:t>济及其他作物害虫</w:t>
      </w:r>
      <w:r>
        <w:rPr>
          <w:rFonts w:ascii="Times New Roman" w:hAnsi="Times New Roman" w:cs="Times New Roman" w:eastAsia="Times New Roman" w:hint="ascii"/>
          <w:sz w:val="18"/>
        </w:rPr>
        <w:t>C140206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植物抗虫性</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农田草害</w:t>
      </w:r>
    </w:p>
    <w:p>
      <w:pPr>
        <w:autoSpaceDE w:val="0"/>
        <w:autoSpaceDN w:val="0"/>
        <w:jc w:val="both"/>
        <w:spacing w:before="67" w:after="0" w:lineRule="auto" w:line="314"/>
        <w:ind w:right="473"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C1404</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农田</w:t>
      </w:r>
      <w:r>
        <w:rPr>
          <w:rFonts w:ascii="宋体" w:hAnsi="宋体" w:cs="宋体" w:eastAsia="宋体" w:hint="ascii"/>
          <w:sz w:val="18"/>
        </w:rPr>
        <w:t>鼠害及其他有害生物</w:t>
      </w:r>
      <w:r>
        <w:rPr>
          <w:rFonts w:ascii="Times New Roman" w:hAnsi="Times New Roman" w:cs="Times New Roman" w:eastAsia="Times New Roman" w:hint="ascii"/>
          <w:b w:val="1"/>
          <w:sz w:val="18"/>
        </w:rPr>
        <w:t>C1405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植物化学保护</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C140501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农</w:t>
      </w:r>
      <w:r>
        <w:rPr>
          <w:rFonts w:ascii="宋体" w:hAnsi="宋体" w:cs="宋体" w:eastAsia="宋体" w:hint="ascii"/>
          <w:sz w:val="18"/>
        </w:rPr>
        <w:t>药毒理学与有害生</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物抗药性</w:t>
      </w:r>
    </w:p>
    <w:p>
      <w:pPr>
        <w:autoSpaceDE w:val="0"/>
        <w:autoSpaceDN w:val="0"/>
        <w:jc w:val="left"/>
        <w:spacing w:before="62"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C140502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植物病害化学防治</w:t>
      </w:r>
      <w:r>
        <w:rPr>
          <w:rFonts w:ascii="Times New Roman" w:hAnsi="Times New Roman" w:cs="Times New Roman" w:eastAsia="Times New Roman" w:hint="ascii"/>
          <w:sz w:val="18"/>
        </w:rPr>
        <w:t>C140503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植物害虫化学防治</w:t>
      </w:r>
      <w:r>
        <w:rPr>
          <w:rFonts w:ascii="Times New Roman" w:hAnsi="Times New Roman" w:cs="Times New Roman" w:eastAsia="Times New Roman" w:hint="ascii"/>
          <w:sz w:val="18"/>
          <w:spacing w:val="-1"/>
        </w:rPr>
        <w:t>C140504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其</w:t>
      </w:r>
      <w:r>
        <w:rPr>
          <w:rFonts w:ascii="宋体" w:hAnsi="宋体" w:cs="宋体" w:eastAsia="宋体" w:hint="ascii"/>
          <w:sz w:val="18"/>
          <w:spacing w:val="-10"/>
        </w:rPr>
        <w:t>他有害生物化学防</w:t>
      </w:r>
      <w:r>
        <w:rPr>
          <w:rFonts w:ascii="宋体" w:hAnsi="宋体" w:cs="宋体" w:eastAsia="宋体" w:hint="ascii"/>
          <w:sz w:val="18"/>
        </w:rPr>
        <w:t>治</w:t>
      </w:r>
      <w:r>
        <w:rPr>
          <w:rFonts w:ascii="Times New Roman" w:hAnsi="Times New Roman" w:cs="Times New Roman" w:eastAsia="Times New Roman" w:hint="ascii"/>
          <w:sz w:val="18"/>
          <w:spacing w:val="-1"/>
        </w:rPr>
        <w:t>C140505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农</w:t>
      </w:r>
      <w:r>
        <w:rPr>
          <w:rFonts w:ascii="宋体" w:hAnsi="宋体" w:cs="宋体" w:eastAsia="宋体" w:hint="ascii"/>
          <w:sz w:val="18"/>
        </w:rPr>
        <w:t>药分子特性及应用</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原理</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生物防治</w:t>
      </w:r>
    </w:p>
    <w:p>
      <w:pPr>
        <w:autoSpaceDE w:val="0"/>
        <w:autoSpaceDN w:val="0"/>
        <w:jc w:val="left"/>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C140601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植物病害生物防治</w:t>
      </w:r>
      <w:r>
        <w:rPr>
          <w:rFonts w:ascii="Times New Roman" w:hAnsi="Times New Roman" w:cs="Times New Roman" w:eastAsia="Times New Roman" w:hint="ascii"/>
          <w:sz w:val="18"/>
        </w:rPr>
        <w:t>C140602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植物害虫生物防治</w:t>
      </w:r>
      <w:r>
        <w:rPr>
          <w:rFonts w:ascii="Times New Roman" w:hAnsi="Times New Roman" w:cs="Times New Roman" w:eastAsia="Times New Roman" w:hint="ascii"/>
          <w:sz w:val="18"/>
          <w:spacing w:val="-1"/>
        </w:rPr>
        <w:t>C140603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其</w:t>
      </w:r>
      <w:r>
        <w:rPr>
          <w:rFonts w:ascii="宋体" w:hAnsi="宋体" w:cs="宋体" w:eastAsia="宋体" w:hint="ascii"/>
          <w:sz w:val="18"/>
        </w:rPr>
        <w:t>他有害生物的生物</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防治</w:t>
      </w:r>
    </w:p>
    <w:p>
      <w:pPr>
        <w:autoSpaceDE w:val="0"/>
        <w:autoSpaceDN w:val="0"/>
        <w:jc w:val="both"/>
        <w:spacing w:before="61" w:after="0" w:lineRule="auto" w:line="313"/>
        <w:ind w:right="89"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C1407</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农业</w:t>
      </w:r>
      <w:r>
        <w:rPr>
          <w:rFonts w:ascii="宋体" w:hAnsi="宋体" w:cs="宋体" w:eastAsia="宋体" w:hint="ascii"/>
          <w:sz w:val="18"/>
          <w:spacing w:val="-6"/>
        </w:rPr>
        <w:t>有害生物检疫与入侵生物</w:t>
      </w:r>
      <w:r>
        <w:rPr>
          <w:rFonts w:ascii="宋体" w:hAnsi="宋体" w:cs="宋体" w:eastAsia="宋体" w:hint="ascii"/>
          <w:sz w:val="18"/>
        </w:rPr>
        <w:t>学</w:t>
      </w:r>
      <w:r>
        <w:rPr>
          <w:rFonts w:ascii="Times New Roman" w:hAnsi="Times New Roman" w:cs="Times New Roman" w:eastAsia="Times New Roman" w:hint="ascii"/>
          <w:b w:val="1"/>
          <w:sz w:val="18"/>
        </w:rPr>
        <w:t>C1408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植物保护生物技术</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C1409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植物免疫学</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C15</w:t>
      </w:r>
      <w:r>
        <w:rPr>
          <w:rFonts w:ascii="Times New Roman" w:hAnsi="Times New Roman" w:cs="Times New Roman" w:eastAsia="Times New Roman" w:hint="ascii"/>
          <w:b w:val="1"/>
          <w:spacing w:val="60"/>
        </w:rPr>
        <w:t xml:space="preserve"> </w:t>
      </w:r>
      <w:r>
        <w:rPr>
          <w:rFonts w:ascii="宋体" w:hAnsi="宋体" w:cs="宋体" w:eastAsia="宋体" w:hint="ascii"/>
        </w:rPr>
        <w:t>园艺学与植物营养学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果树学</w: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C150101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果树生理与栽培学</w:t>
      </w:r>
      <w:r>
        <w:rPr>
          <w:rFonts w:ascii="Times New Roman" w:hAnsi="Times New Roman" w:cs="Times New Roman" w:eastAsia="Times New Roman" w:hint="ascii"/>
          <w:sz w:val="18"/>
          <w:spacing w:val="-1"/>
        </w:rPr>
        <w:t>C150102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果</w:t>
      </w:r>
      <w:r>
        <w:rPr>
          <w:rFonts w:ascii="宋体" w:hAnsi="宋体" w:cs="宋体" w:eastAsia="宋体" w:hint="ascii"/>
          <w:sz w:val="18"/>
        </w:rPr>
        <w:t>树种质资源与遗传</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育种学</w:t>
      </w:r>
    </w:p>
    <w:p>
      <w:pPr>
        <w:autoSpaceDE w:val="0"/>
        <w:autoSpaceDN w:val="0"/>
        <w:jc w:val="left"/>
        <w:spacing w:before="541"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268</w:t>
      </w:r>
      <w:r>
        <w:rPr>
          <w:rFonts w:ascii="宋体" w:hAnsi="宋体" w:cs="宋体" w:eastAsia="宋体" w:hint="ascii"/>
          <w:sz w:val="18"/>
        </w:rPr>
        <w:t>·</w:t>
      </w:r>
    </w:p>
    <w:p>
      <w:pPr>
        <w:autoSpaceDE w:val="0"/>
        <w:autoSpaceDN w:val="0"/>
        <w:jc w:val="left"/>
        <w:spacing w:before="354" w:after="0" w:lineRule="auto" w:line="240"/>
        <w:ind w:right="0"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C150103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果树分子生物学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蔬菜学与瓜果学</w:t>
      </w:r>
    </w:p>
    <w:p>
      <w:pPr>
        <w:autoSpaceDE w:val="0"/>
        <w:autoSpaceDN w:val="0"/>
        <w:jc w:val="left"/>
        <w:spacing w:before="70" w:after="0" w:lineRule="auto" w:line="31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C150201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蔬菜生理与栽培学</w:t>
      </w:r>
      <w:r>
        <w:rPr>
          <w:rFonts w:ascii="Times New Roman" w:hAnsi="Times New Roman" w:cs="Times New Roman" w:eastAsia="Times New Roman" w:hint="ascii"/>
          <w:sz w:val="18"/>
          <w:spacing w:val="-1"/>
        </w:rPr>
        <w:t>C150202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蔬</w:t>
      </w:r>
      <w:r>
        <w:rPr>
          <w:rFonts w:ascii="宋体" w:hAnsi="宋体" w:cs="宋体" w:eastAsia="宋体" w:hint="ascii"/>
          <w:sz w:val="18"/>
        </w:rPr>
        <w:t>菜种质资源与遗传</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育种学</w:t>
      </w:r>
    </w:p>
    <w:p>
      <w:pPr>
        <w:autoSpaceDE w:val="0"/>
        <w:autoSpaceDN w:val="0"/>
        <w:jc w:val="both"/>
        <w:spacing w:before="65" w:after="0" w:lineRule="auto" w:line="317"/>
        <w:ind w:right="147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C150203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蔬</w:t>
      </w:r>
      <w:r>
        <w:rPr>
          <w:rFonts w:ascii="宋体" w:hAnsi="宋体" w:cs="宋体" w:eastAsia="宋体" w:hint="ascii"/>
          <w:sz w:val="18"/>
        </w:rPr>
        <w:t>菜分子生物学</w:t>
      </w:r>
      <w:r>
        <w:rPr>
          <w:rFonts w:ascii="Times New Roman" w:hAnsi="Times New Roman" w:cs="Times New Roman" w:eastAsia="Times New Roman" w:hint="ascii"/>
          <w:sz w:val="18"/>
        </w:rPr>
        <w:t>C150204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瓜果学</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观赏园艺学</w:t>
      </w:r>
    </w:p>
    <w:p>
      <w:pPr>
        <w:autoSpaceDE w:val="0"/>
        <w:autoSpaceDN w:val="0"/>
        <w:jc w:val="both"/>
        <w:spacing w:before="71" w:after="0" w:lineRule="auto" w:line="31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C150301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观</w:t>
      </w:r>
      <w:r>
        <w:rPr>
          <w:rFonts w:ascii="宋体" w:hAnsi="宋体" w:cs="宋体" w:eastAsia="宋体" w:hint="ascii"/>
          <w:sz w:val="18"/>
          <w:spacing w:val="-10"/>
        </w:rPr>
        <w:t>赏作物生理与栽培</w:t>
      </w:r>
      <w:r>
        <w:rPr>
          <w:rFonts w:ascii="宋体" w:hAnsi="宋体" w:cs="宋体" w:eastAsia="宋体" w:hint="ascii"/>
          <w:sz w:val="18"/>
        </w:rPr>
        <w:t>学</w:t>
      </w:r>
      <w:r>
        <w:rPr>
          <w:rFonts w:ascii="Times New Roman" w:hAnsi="Times New Roman" w:cs="Times New Roman" w:eastAsia="Times New Roman" w:hint="ascii"/>
          <w:sz w:val="18"/>
          <w:spacing w:val="-1"/>
        </w:rPr>
        <w:t>C150302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观</w:t>
      </w:r>
      <w:r>
        <w:rPr>
          <w:rFonts w:ascii="宋体" w:hAnsi="宋体" w:cs="宋体" w:eastAsia="宋体" w:hint="ascii"/>
          <w:sz w:val="18"/>
        </w:rPr>
        <w:t>赏作物种质资源与</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遗传育种学</w:t>
      </w:r>
    </w:p>
    <w:p>
      <w:pPr>
        <w:autoSpaceDE w:val="0"/>
        <w:autoSpaceDN w:val="0"/>
        <w:jc w:val="left"/>
        <w:spacing w:before="6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C150303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观赏作物分子生物学</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设施园艺学</w:t>
      </w:r>
    </w:p>
    <w:p>
      <w:pPr>
        <w:autoSpaceDE w:val="0"/>
        <w:autoSpaceDN w:val="0"/>
        <w:jc w:val="both"/>
        <w:spacing w:before="68" w:after="0" w:lineRule="auto" w:line="313"/>
        <w:ind w:right="195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C1505</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园艺</w:t>
      </w:r>
      <w:r>
        <w:rPr>
          <w:rFonts w:ascii="宋体" w:hAnsi="宋体" w:cs="宋体" w:eastAsia="宋体" w:hint="ascii"/>
          <w:sz w:val="18"/>
        </w:rPr>
        <w:t>作物采后生物学</w:t>
      </w:r>
      <w:r>
        <w:rPr>
          <w:rFonts w:ascii="Times New Roman" w:hAnsi="Times New Roman" w:cs="Times New Roman" w:eastAsia="Times New Roman" w:hint="ascii"/>
          <w:b w:val="1"/>
          <w:sz w:val="18"/>
        </w:rPr>
        <w:t>C1506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食用真菌学</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植物营养学</w:t>
      </w:r>
    </w:p>
    <w:p>
      <w:pPr>
        <w:autoSpaceDE w:val="0"/>
        <w:autoSpaceDN w:val="0"/>
        <w:jc w:val="left"/>
        <w:spacing w:before="70" w:after="0" w:lineRule="auto" w:line="318"/>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C150701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植物营养遗传</w:t>
      </w:r>
      <w:r>
        <w:rPr>
          <w:rFonts w:ascii="Times New Roman" w:hAnsi="Times New Roman" w:cs="Times New Roman" w:eastAsia="Times New Roman" w:hint="ascii"/>
          <w:sz w:val="18"/>
        </w:rPr>
        <w:t>C150702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植物营养生理</w:t>
      </w:r>
      <w:r>
        <w:rPr>
          <w:rFonts w:ascii="Times New Roman" w:hAnsi="Times New Roman" w:cs="Times New Roman" w:eastAsia="Times New Roman" w:hint="ascii"/>
          <w:sz w:val="18"/>
        </w:rPr>
        <w:t>C150703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肥料与施肥科学</w:t>
      </w:r>
      <w:r>
        <w:rPr>
          <w:rFonts w:ascii="Times New Roman" w:hAnsi="Times New Roman" w:cs="Times New Roman" w:eastAsia="Times New Roman" w:hint="ascii"/>
          <w:sz w:val="18"/>
          <w:spacing w:val="-1"/>
        </w:rPr>
        <w:t>C150704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养</w:t>
      </w:r>
      <w:r>
        <w:rPr>
          <w:rFonts w:ascii="宋体" w:hAnsi="宋体" w:cs="宋体" w:eastAsia="宋体" w:hint="ascii"/>
          <w:sz w:val="18"/>
        </w:rPr>
        <w:t>分资源与养分循环</w:t>
      </w:r>
      <w:r>
        <w:rPr>
          <w:rFonts w:ascii="Times New Roman" w:hAnsi="Times New Roman" w:cs="Times New Roman" w:eastAsia="Times New Roman" w:hint="ascii"/>
          <w:sz w:val="18"/>
        </w:rPr>
        <w:t>C150705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作物</w:t>
      </w:r>
      <w:r>
        <w:rPr>
          <w:rFonts w:ascii="MS Mincho" w:hAnsi="MS Mincho" w:cs="MS Mincho" w:eastAsia="MS Mincho" w:hint="ascii"/>
          <w:sz w:val="18"/>
        </w:rPr>
        <w:t>−</w:t>
      </w:r>
      <w:r>
        <w:rPr>
          <w:rFonts w:ascii="宋体" w:hAnsi="宋体" w:cs="宋体" w:eastAsia="宋体" w:hint="ascii"/>
          <w:sz w:val="18"/>
        </w:rPr>
        <w:t>土壤互作过程</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与调控</w:t>
      </w:r>
    </w:p>
    <w:p>
      <w:pPr>
        <w:autoSpaceDE w:val="0"/>
        <w:autoSpaceDN w:val="0"/>
        <w:jc w:val="left"/>
        <w:spacing w:before="6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C150706</w:t>
      </w:r>
      <w:r>
        <w:rPr>
          <w:rFonts w:ascii="Times New Roman" w:hAnsi="Times New Roman" w:cs="Times New Roman" w:eastAsia="Times New Roman" w:hint="ascii"/>
          <w:sz w:val="18"/>
          <w:spacing w:val="45"/>
        </w:rPr>
        <w:t xml:space="preserve"> </w:t>
      </w:r>
      <w:r>
        <w:rPr>
          <w:rFonts w:ascii="宋体" w:hAnsi="宋体" w:cs="宋体" w:eastAsia="宋体" w:hint="ascii"/>
          <w:sz w:val="18"/>
        </w:rPr>
        <w:t>农田水土资源利用学</w:t>
      </w:r>
    </w:p>
    <w:p>
      <w:pPr>
        <w:autoSpaceDE w:val="0"/>
        <w:autoSpaceDN w:val="0"/>
        <w:jc w:val="left"/>
        <w:spacing w:before="58"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C16</w:t>
      </w:r>
      <w:r>
        <w:rPr>
          <w:rFonts w:ascii="Times New Roman" w:hAnsi="Times New Roman" w:cs="Times New Roman" w:eastAsia="Times New Roman" w:hint="ascii"/>
          <w:b w:val="1"/>
          <w:spacing w:val="60"/>
        </w:rPr>
        <w:t xml:space="preserve"> </w:t>
      </w:r>
      <w:r>
        <w:rPr>
          <w:rFonts w:ascii="宋体" w:hAnsi="宋体" w:cs="宋体" w:eastAsia="宋体" w:hint="ascii"/>
        </w:rPr>
        <w:t>林学</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森林资源学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森林资源信息学</w:t>
      </w:r>
    </w:p>
    <w:p>
      <w:pPr>
        <w:autoSpaceDE w:val="0"/>
        <w:autoSpaceDN w:val="0"/>
        <w:jc w:val="left"/>
        <w:spacing w:before="6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森林资源管理与信息</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森林灾害监测的理论</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与方法</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木材物理学</w:t>
      </w:r>
    </w:p>
    <w:p>
      <w:pPr>
        <w:autoSpaceDE w:val="0"/>
        <w:autoSpaceDN w:val="0"/>
        <w:jc w:val="left"/>
        <w:spacing w:before="67" w:after="0" w:lineRule="auto" w:line="314"/>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材性及其改良</w:t>
      </w:r>
      <w:r>
        <w:rPr>
          <w:rFonts w:ascii="Times New Roman" w:hAnsi="Times New Roman" w:cs="Times New Roman" w:eastAsia="Times New Roman" w:hint="ascii"/>
          <w:sz w:val="18"/>
        </w:rPr>
        <w:t>C160302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木材加工学</w:t>
      </w:r>
      <w:r>
        <w:rPr>
          <w:rFonts w:ascii="Times New Roman" w:hAnsi="Times New Roman" w:cs="Times New Roman" w:eastAsia="Times New Roman" w:hint="ascii"/>
          <w:sz w:val="18"/>
        </w:rPr>
        <w:t>C160303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人工复合木材</w:t>
      </w:r>
    </w:p>
    <w:p>
      <w:pPr>
        <w:autoSpaceDE w:val="0"/>
        <w:autoSpaceDN w:val="0"/>
        <w:jc w:val="left"/>
        <w:spacing w:before="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林产化学</w:t>
      </w:r>
    </w:p>
    <w:p>
      <w:pPr>
        <w:autoSpaceDE w:val="0"/>
        <w:autoSpaceDN w:val="0"/>
        <w:jc w:val="both"/>
        <w:spacing w:before="71" w:after="0" w:lineRule="auto" w:line="318"/>
        <w:ind w:right="129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C160401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树</w:t>
      </w:r>
      <w:r>
        <w:rPr>
          <w:rFonts w:ascii="宋体" w:hAnsi="宋体" w:cs="宋体" w:eastAsia="宋体" w:hint="ascii"/>
          <w:sz w:val="18"/>
        </w:rPr>
        <w:t>木化学成分分析</w:t>
      </w:r>
      <w:r>
        <w:rPr>
          <w:rFonts w:ascii="Times New Roman" w:hAnsi="Times New Roman" w:cs="Times New Roman" w:eastAsia="Times New Roman" w:hint="ascii"/>
          <w:sz w:val="18"/>
          <w:spacing w:val="-1"/>
        </w:rPr>
        <w:t>C160402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木</w:t>
      </w:r>
      <w:r>
        <w:rPr>
          <w:rFonts w:ascii="宋体" w:hAnsi="宋体" w:cs="宋体" w:eastAsia="宋体" w:hint="ascii"/>
          <w:sz w:val="18"/>
        </w:rPr>
        <w:t>质纤维利用基础</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森林生物学</w:t>
      </w:r>
    </w:p>
    <w:p>
      <w:pPr>
        <w:autoSpaceDE w:val="0"/>
        <w:autoSpaceDN w:val="0"/>
        <w:jc w:val="left"/>
        <w:spacing w:before="72" w:after="0" w:lineRule="auto" w:line="318"/>
        <w:ind w:right="1119"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C160501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树木生长发育</w:t>
      </w:r>
      <w:r>
        <w:rPr>
          <w:rFonts w:ascii="Times New Roman" w:hAnsi="Times New Roman" w:cs="Times New Roman" w:eastAsia="Times New Roman" w:hint="ascii"/>
          <w:sz w:val="18"/>
        </w:rPr>
        <w:t>C160502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树木抗逆生理学</w:t>
      </w:r>
      <w:r>
        <w:rPr>
          <w:rFonts w:ascii="Times New Roman" w:hAnsi="Times New Roman" w:cs="Times New Roman" w:eastAsia="Times New Roman" w:hint="ascii"/>
          <w:sz w:val="18"/>
        </w:rPr>
        <w:t>C160503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树木繁殖生物学</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森林土壤学</w:t>
      </w:r>
      <w:r>
        <w:rPr>
          <w:rFonts w:ascii="宋体" w:hAnsi="宋体" w:cs="宋体" w:eastAsia="宋体" w:hint="ascii"/>
          <w:sz w:val="18"/>
        </w:rPr>
        <mc:AlternateContent>
          <mc:Choice Requires="wps">
            <w:drawing>
              <wp:anchor distL="0" distR="0" distT="0" distB="0" simplePos="0" behindDoc="1" relativeHeight="350" locked="0" layoutInCell="1" allowOverlap="1">
                <wp:simplePos x="0" y="0"/>
                <wp:positionH relativeFrom="page">
                  <wp:posOffset>938530</wp:posOffset>
                </wp:positionH>
                <wp:positionV relativeFrom="page">
                  <wp:posOffset>819150</wp:posOffset>
                </wp:positionV>
                <wp:extent cx="5076190" cy="0"/>
                <wp:wrapNone/>
                <wp:docPr id="1377" name="137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99840;width:399.70pt;" id="137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森林培育学</w:t>
      </w:r>
    </w:p>
    <w:p>
      <w:pPr>
        <w:autoSpaceDE w:val="0"/>
        <w:autoSpaceDN w:val="0"/>
        <w:jc w:val="both"/>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C160701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森</w:t>
      </w:r>
      <w:r>
        <w:rPr>
          <w:rFonts w:ascii="宋体" w:hAnsi="宋体" w:cs="宋体" w:eastAsia="宋体" w:hint="ascii"/>
          <w:sz w:val="18"/>
        </w:rPr>
        <w:t>林植被恢复与保持</w:t>
      </w:r>
      <w:r>
        <w:rPr>
          <w:rFonts w:ascii="Times New Roman" w:hAnsi="Times New Roman" w:cs="Times New Roman" w:eastAsia="Times New Roman" w:hint="ascii"/>
          <w:sz w:val="18"/>
        </w:rPr>
        <w:t>C160702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人工林培育</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种苗学</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复合农林业</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森林经理学</w:t>
      </w:r>
    </w:p>
    <w:p>
      <w:pPr>
        <w:autoSpaceDE w:val="0"/>
        <w:autoSpaceDN w:val="0"/>
        <w:jc w:val="both"/>
        <w:spacing w:before="67" w:after="0" w:lineRule="auto" w:line="322"/>
        <w:ind w:right="3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C160801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森</w:t>
      </w:r>
      <w:r>
        <w:rPr>
          <w:rFonts w:ascii="宋体" w:hAnsi="宋体" w:cs="宋体" w:eastAsia="宋体" w:hint="ascii"/>
          <w:sz w:val="18"/>
        </w:rPr>
        <w:t>林可持续发展</w:t>
      </w:r>
      <w:r>
        <w:rPr>
          <w:rFonts w:ascii="Times New Roman" w:hAnsi="Times New Roman" w:cs="Times New Roman" w:eastAsia="Times New Roman" w:hint="ascii"/>
          <w:sz w:val="18"/>
        </w:rPr>
        <w:t>C160802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森林分类经营</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森林健康</w:t>
      </w:r>
    </w:p>
    <w:p>
      <w:pPr>
        <w:autoSpaceDE w:val="0"/>
        <w:autoSpaceDN w:val="0"/>
        <w:jc w:val="left"/>
        <w:spacing w:before="77" w:after="0" w:lineRule="auto" w:line="324"/>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森林病理</w:t>
      </w:r>
      <w:r>
        <w:rPr>
          <w:rFonts w:ascii="Times New Roman" w:hAnsi="Times New Roman" w:cs="Times New Roman" w:eastAsia="Times New Roman" w:hint="ascii"/>
          <w:sz w:val="18"/>
        </w:rPr>
        <w:t>C160902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森林害虫</w:t>
      </w:r>
      <w:r>
        <w:rPr>
          <w:rFonts w:ascii="Times New Roman" w:hAnsi="Times New Roman" w:cs="Times New Roman" w:eastAsia="Times New Roman" w:hint="ascii"/>
          <w:sz w:val="18"/>
        </w:rPr>
        <w:t>C160903</w:t>
      </w:r>
      <w:r>
        <w:rPr>
          <w:rFonts w:ascii="Times New Roman" w:hAnsi="Times New Roman" w:cs="Times New Roman" w:eastAsia="Times New Roman" w:hint="ascii"/>
          <w:sz w:val="18"/>
          <w:spacing w:val="45"/>
        </w:rPr>
        <w:t xml:space="preserve"> </w:t>
      </w:r>
      <w:r>
        <w:rPr>
          <w:rFonts w:ascii="宋体" w:hAnsi="宋体" w:cs="宋体" w:eastAsia="宋体" w:hint="ascii"/>
          <w:sz w:val="18"/>
        </w:rPr>
        <w:t>森林防火</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林木遗传育种学</w:t>
      </w:r>
    </w:p>
    <w:p>
      <w:pPr>
        <w:autoSpaceDE w:val="0"/>
        <w:autoSpaceDN w:val="0"/>
        <w:jc w:val="left"/>
        <w:spacing w:before="77" w:after="0" w:lineRule="auto" w:line="32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林木种质资源</w:t>
      </w:r>
      <w:r>
        <w:rPr>
          <w:rFonts w:ascii="Times New Roman" w:hAnsi="Times New Roman" w:cs="Times New Roman" w:eastAsia="Times New Roman" w:hint="ascii"/>
          <w:sz w:val="18"/>
        </w:rPr>
        <w:t>C161002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林木遗传改良</w:t>
      </w:r>
      <w:r>
        <w:rPr>
          <w:rFonts w:ascii="Times New Roman" w:hAnsi="Times New Roman" w:cs="Times New Roman" w:eastAsia="Times New Roman" w:hint="ascii"/>
          <w:sz w:val="18"/>
          <w:spacing w:val="-1"/>
        </w:rPr>
        <w:t>C161003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林</w:t>
      </w:r>
      <w:r>
        <w:rPr>
          <w:rFonts w:ascii="宋体" w:hAnsi="宋体" w:cs="宋体" w:eastAsia="宋体" w:hint="ascii"/>
          <w:sz w:val="18"/>
        </w:rPr>
        <w:t>木育种理论与方法</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经济林学</w:t>
      </w:r>
    </w:p>
    <w:p>
      <w:pPr>
        <w:autoSpaceDE w:val="0"/>
        <w:autoSpaceDN w:val="0"/>
        <w:jc w:val="left"/>
        <w:spacing w:before="7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C16</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经济林重要性状形成</w:t>
      </w:r>
    </w:p>
    <w:p>
      <w:pPr>
        <w:autoSpaceDE w:val="0"/>
        <w:autoSpaceDN w:val="0"/>
        <w:jc w:val="left"/>
        <w:spacing w:before="7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及调控</w:t>
      </w:r>
    </w:p>
    <w:p>
      <w:pPr>
        <w:autoSpaceDE w:val="0"/>
        <w:autoSpaceDN w:val="0"/>
        <w:jc w:val="left"/>
        <w:spacing w:before="71" w:after="0" w:lineRule="auto" w:line="32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经济林栽培生理</w:t>
      </w:r>
      <w:r>
        <w:rPr>
          <w:rFonts w:ascii="Times New Roman" w:hAnsi="Times New Roman" w:cs="Times New Roman" w:eastAsia="Times New Roman" w:hint="ascii"/>
          <w:sz w:val="18"/>
          <w:spacing w:val="-1"/>
        </w:rPr>
        <w:t>C16</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林木果实采后生物学</w:t>
      </w:r>
      <w:r>
        <w:rPr>
          <w:rFonts w:ascii="Times New Roman" w:hAnsi="Times New Roman" w:cs="Times New Roman" w:eastAsia="Times New Roman" w:hint="ascii"/>
          <w:sz w:val="18"/>
        </w:rPr>
        <w:t>C16</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104</w:t>
      </w:r>
      <w:r>
        <w:rPr>
          <w:rFonts w:ascii="Times New Roman" w:hAnsi="Times New Roman" w:cs="Times New Roman" w:eastAsia="Times New Roman" w:hint="ascii"/>
          <w:sz w:val="18"/>
          <w:spacing w:val="45"/>
        </w:rPr>
        <w:t xml:space="preserve"> </w:t>
      </w:r>
      <w:r>
        <w:rPr>
          <w:rFonts w:ascii="宋体" w:hAnsi="宋体" w:cs="宋体" w:eastAsia="宋体" w:hint="ascii"/>
          <w:sz w:val="18"/>
        </w:rPr>
        <w:t>茶树培育</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园林学</w:t>
      </w:r>
    </w:p>
    <w:p>
      <w:pPr>
        <w:autoSpaceDE w:val="0"/>
        <w:autoSpaceDN w:val="0"/>
        <w:jc w:val="left"/>
        <w:spacing w:before="76" w:after="0" w:lineRule="auto" w:line="325"/>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C161201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园林植物种质资源</w:t>
      </w:r>
      <w:r>
        <w:rPr>
          <w:rFonts w:ascii="Times New Roman" w:hAnsi="Times New Roman" w:cs="Times New Roman" w:eastAsia="Times New Roman" w:hint="ascii"/>
          <w:sz w:val="18"/>
        </w:rPr>
        <w:t>C161202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城市园林与功能</w:t>
      </w:r>
      <w:r>
        <w:rPr>
          <w:rFonts w:ascii="Times New Roman" w:hAnsi="Times New Roman" w:cs="Times New Roman" w:eastAsia="Times New Roman" w:hint="ascii"/>
          <w:sz w:val="18"/>
          <w:spacing w:val="-1"/>
        </w:rPr>
        <w:t>C161203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园</w:t>
      </w:r>
      <w:r>
        <w:rPr>
          <w:rFonts w:ascii="宋体" w:hAnsi="宋体" w:cs="宋体" w:eastAsia="宋体" w:hint="ascii"/>
          <w:sz w:val="18"/>
        </w:rPr>
        <w:t>林规划和景观设计</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荒漠化与水土保持</w:t>
      </w:r>
    </w:p>
    <w:p>
      <w:pPr>
        <w:autoSpaceDE w:val="0"/>
        <w:autoSpaceDN w:val="0"/>
        <w:jc w:val="left"/>
        <w:spacing w:before="7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C161301</w:t>
      </w:r>
      <w:r>
        <w:rPr>
          <w:rFonts w:ascii="Times New Roman" w:hAnsi="Times New Roman" w:cs="Times New Roman" w:eastAsia="Times New Roman" w:hint="ascii"/>
          <w:sz w:val="18"/>
          <w:spacing w:val="45"/>
        </w:rPr>
        <w:t xml:space="preserve"> </w:t>
      </w:r>
      <w:r>
        <w:rPr>
          <w:rFonts w:ascii="宋体" w:hAnsi="宋体" w:cs="宋体" w:eastAsia="宋体" w:hint="ascii"/>
          <w:sz w:val="18"/>
        </w:rPr>
        <w:t>防护林学</w:t>
      </w:r>
    </w:p>
    <w:p>
      <w:pPr>
        <w:autoSpaceDE w:val="0"/>
        <w:autoSpaceDN w:val="0"/>
        <w:jc w:val="both"/>
        <w:spacing w:before="77" w:after="0" w:lineRule="auto" w:line="32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C161302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森</w:t>
      </w:r>
      <w:r>
        <w:rPr>
          <w:rFonts w:ascii="宋体" w:hAnsi="宋体" w:cs="宋体" w:eastAsia="宋体" w:hint="ascii"/>
          <w:sz w:val="18"/>
        </w:rPr>
        <w:t>林植被与水土保持</w:t>
      </w:r>
      <w:r>
        <w:rPr>
          <w:rFonts w:ascii="Times New Roman" w:hAnsi="Times New Roman" w:cs="Times New Roman" w:eastAsia="Times New Roman" w:hint="ascii"/>
          <w:sz w:val="18"/>
        </w:rPr>
        <w:t>C161303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植被与荒漠化</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C1614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林业研究的新技术与新方法</w:t>
      </w:r>
    </w:p>
    <w:p>
      <w:pPr>
        <w:autoSpaceDE w:val="0"/>
        <w:autoSpaceDN w:val="0"/>
        <w:jc w:val="left"/>
        <w:spacing w:before="4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C17</w:t>
      </w:r>
      <w:r>
        <w:rPr>
          <w:rFonts w:ascii="Times New Roman" w:hAnsi="Times New Roman" w:cs="Times New Roman" w:eastAsia="Times New Roman" w:hint="ascii"/>
          <w:b w:val="1"/>
          <w:spacing w:val="60"/>
        </w:rPr>
        <w:t xml:space="preserve"> </w:t>
      </w:r>
      <w:r>
        <w:rPr>
          <w:rFonts w:ascii="宋体" w:hAnsi="宋体" w:cs="宋体" w:eastAsia="宋体" w:hint="ascii"/>
        </w:rPr>
        <w:t>畜牧学与草地科学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C1701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畜牧学</w:t>
      </w:r>
    </w:p>
    <w:p>
      <w:pPr>
        <w:autoSpaceDE w:val="0"/>
        <w:autoSpaceDN w:val="0"/>
        <w:jc w:val="left"/>
        <w:spacing w:before="73" w:after="0" w:lineRule="auto" w:line="320"/>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C170101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畜禽资源</w:t>
      </w:r>
      <w:r>
        <w:rPr>
          <w:rFonts w:ascii="Times New Roman" w:hAnsi="Times New Roman" w:cs="Times New Roman" w:eastAsia="Times New Roman" w:hint="ascii"/>
          <w:sz w:val="18"/>
        </w:rPr>
        <w:t>C170102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家畜遗传育种学</w:t>
      </w:r>
      <w:r>
        <w:rPr>
          <w:rFonts w:ascii="Times New Roman" w:hAnsi="Times New Roman" w:cs="Times New Roman" w:eastAsia="Times New Roman" w:hint="ascii"/>
          <w:sz w:val="18"/>
        </w:rPr>
        <w:t>C170103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家禽遗传育种学</w:t>
      </w:r>
      <w:r>
        <w:rPr>
          <w:rFonts w:ascii="Times New Roman" w:hAnsi="Times New Roman" w:cs="Times New Roman" w:eastAsia="Times New Roman" w:hint="ascii"/>
          <w:sz w:val="18"/>
        </w:rPr>
        <w:t>C170104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畜禽繁殖学</w:t>
      </w:r>
      <w:r>
        <w:rPr>
          <w:rFonts w:ascii="Times New Roman" w:hAnsi="Times New Roman" w:cs="Times New Roman" w:eastAsia="Times New Roman" w:hint="ascii"/>
          <w:sz w:val="18"/>
        </w:rPr>
        <w:t>C170105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单胃动物营养学</w:t>
      </w:r>
      <w:r>
        <w:rPr>
          <w:rFonts w:ascii="Times New Roman" w:hAnsi="Times New Roman" w:cs="Times New Roman" w:eastAsia="Times New Roman" w:hint="ascii"/>
          <w:sz w:val="18"/>
        </w:rPr>
        <w:t>C170106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家禽营养学</w:t>
      </w:r>
      <w:r>
        <w:rPr>
          <w:rFonts w:ascii="Times New Roman" w:hAnsi="Times New Roman" w:cs="Times New Roman" w:eastAsia="Times New Roman" w:hint="ascii"/>
          <w:sz w:val="18"/>
        </w:rPr>
        <w:t>C170107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反刍动物营养学</w:t>
      </w:r>
    </w:p>
    <w:p>
      <w:pPr>
        <w:autoSpaceDE w:val="0"/>
        <w:autoSpaceDN w:val="0"/>
        <w:jc w:val="left"/>
        <w:spacing w:before="327" w:after="0" w:lineRule="auto" w:line="307"/>
        <w:ind w:right="1569"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C170108</w:t>
      </w:r>
      <w:r>
        <w:rPr>
          <w:rFonts w:ascii="Times New Roman" w:hAnsi="Times New Roman" w:cs="Times New Roman" w:eastAsia="Times New Roman" w:hint="ascii"/>
          <w:sz w:val="18"/>
          <w:spacing w:val="45"/>
        </w:rPr>
        <w:t xml:space="preserve"> </w:t>
      </w:r>
      <w:r>
        <w:rPr>
          <w:rFonts w:ascii="宋体" w:hAnsi="宋体" w:cs="宋体" w:eastAsia="宋体" w:hint="ascii"/>
          <w:sz w:val="18"/>
        </w:rPr>
        <w:t>饲料学</w:t>
      </w:r>
      <w:r>
        <w:rPr>
          <w:rFonts w:ascii="Times New Roman" w:hAnsi="Times New Roman" w:cs="Times New Roman" w:eastAsia="Times New Roman" w:hint="ascii"/>
          <w:sz w:val="18"/>
        </w:rPr>
        <w:t>C170109</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畜禽行为学</w:t>
      </w:r>
      <w:r>
        <w:rPr>
          <w:rFonts w:ascii="Times New Roman" w:hAnsi="Times New Roman" w:cs="Times New Roman" w:eastAsia="Times New Roman" w:hint="ascii"/>
          <w:sz w:val="18"/>
        </w:rPr>
        <w:t>C170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畜禽环境学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草地科学</w:t>
      </w:r>
    </w:p>
    <w:p>
      <w:pPr>
        <w:autoSpaceDE w:val="0"/>
        <w:autoSpaceDN w:val="0"/>
        <w:jc w:val="left"/>
        <w:spacing w:before="61" w:after="0" w:lineRule="auto" w:line="30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C170201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草地与放牧学</w:t>
      </w:r>
      <w:r>
        <w:rPr>
          <w:rFonts w:ascii="Times New Roman" w:hAnsi="Times New Roman" w:cs="Times New Roman" w:eastAsia="Times New Roman" w:hint="ascii"/>
          <w:sz w:val="18"/>
        </w:rPr>
        <w:t>C170202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草种质资源与育种</w:t>
      </w:r>
      <w:r>
        <w:rPr>
          <w:rFonts w:ascii="Times New Roman" w:hAnsi="Times New Roman" w:cs="Times New Roman" w:eastAsia="Times New Roman" w:hint="ascii"/>
          <w:sz w:val="18"/>
        </w:rPr>
        <w:t>C170203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草地环境与灾害</w:t>
      </w:r>
      <w:r>
        <w:rPr>
          <w:rFonts w:ascii="Times New Roman" w:hAnsi="Times New Roman" w:cs="Times New Roman" w:eastAsia="Times New Roman" w:hint="ascii"/>
          <w:sz w:val="18"/>
        </w:rPr>
        <w:t>C170204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牧草生产与加工</w:t>
      </w:r>
    </w:p>
    <w:p>
      <w:pPr>
        <w:autoSpaceDE w:val="0"/>
        <w:autoSpaceDN w:val="0"/>
        <w:jc w:val="left"/>
        <w:spacing w:before="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C1703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养蚕学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C1704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养蜂学</w:t>
      </w:r>
    </w:p>
    <w:p>
      <w:pPr>
        <w:autoSpaceDE w:val="0"/>
        <w:autoSpaceDN w:val="0"/>
        <w:jc w:val="left"/>
        <w:spacing w:before="58"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C18</w:t>
      </w:r>
      <w:r>
        <w:rPr>
          <w:rFonts w:ascii="Times New Roman" w:hAnsi="Times New Roman" w:cs="Times New Roman" w:eastAsia="Times New Roman" w:hint="ascii"/>
          <w:b w:val="1"/>
          <w:spacing w:val="60"/>
        </w:rPr>
        <w:t xml:space="preserve"> </w:t>
      </w:r>
      <w:r>
        <w:rPr>
          <w:rFonts w:ascii="宋体" w:hAnsi="宋体" w:cs="宋体" w:eastAsia="宋体" w:hint="ascii"/>
        </w:rPr>
        <w:t>兽医学</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C1801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基础兽医学</w:t>
      </w:r>
    </w:p>
    <w:p>
      <w:pPr>
        <w:autoSpaceDE w:val="0"/>
        <w:autoSpaceDN w:val="0"/>
        <w:jc w:val="left"/>
        <w:spacing w:before="63" w:after="0" w:lineRule="auto" w:line="307"/>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C180101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畜禽解剖学</w:t>
      </w:r>
      <w:r>
        <w:rPr>
          <w:rFonts w:ascii="Times New Roman" w:hAnsi="Times New Roman" w:cs="Times New Roman" w:eastAsia="Times New Roman" w:hint="ascii"/>
          <w:sz w:val="18"/>
        </w:rPr>
        <w:t>C180102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畜禽组织胚胎学</w:t>
      </w:r>
      <w:r>
        <w:rPr>
          <w:rFonts w:ascii="Times New Roman" w:hAnsi="Times New Roman" w:cs="Times New Roman" w:eastAsia="Times New Roman" w:hint="ascii"/>
          <w:sz w:val="18"/>
        </w:rPr>
        <w:t>C180103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畜禽生理学</w:t>
      </w:r>
      <w:r>
        <w:rPr>
          <w:rFonts w:ascii="Times New Roman" w:hAnsi="Times New Roman" w:cs="Times New Roman" w:eastAsia="Times New Roman" w:hint="ascii"/>
          <w:sz w:val="18"/>
        </w:rPr>
        <w:t>C180104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畜禽生物化学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C1802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兽医病理学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C1803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兽医免疫学</w:t>
      </w:r>
    </w:p>
    <w:p>
      <w:pPr>
        <w:autoSpaceDE w:val="0"/>
        <w:autoSpaceDN w:val="0"/>
        <w:jc w:val="both"/>
        <w:spacing w:before="62" w:after="0" w:lineRule="auto" w:line="306"/>
        <w:ind w:right="249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C1804</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兽医</w:t>
      </w:r>
      <w:r>
        <w:rPr>
          <w:rFonts w:ascii="宋体" w:hAnsi="宋体" w:cs="宋体" w:eastAsia="宋体" w:hint="ascii"/>
          <w:sz w:val="18"/>
        </w:rPr>
        <w:t>寄生虫学</w:t>
      </w:r>
      <w:r>
        <w:rPr>
          <w:rFonts w:ascii="Times New Roman" w:hAnsi="Times New Roman" w:cs="Times New Roman" w:eastAsia="Times New Roman" w:hint="ascii"/>
          <w:b w:val="1"/>
          <w:sz w:val="18"/>
          <w:spacing w:val="-1"/>
        </w:rPr>
        <w:t>C1805</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兽医</w:t>
      </w:r>
      <w:r>
        <w:rPr>
          <w:rFonts w:ascii="宋体" w:hAnsi="宋体" w:cs="宋体" w:eastAsia="宋体" w:hint="ascii"/>
          <w:sz w:val="18"/>
        </w:rPr>
        <w:t>传染病学</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C180501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病原学</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C180502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流行病学</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C180503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兽医传染病的预防</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C1806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中兽医学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C1807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兽医药理学与毒理学</w:t>
      </w:r>
    </w:p>
    <w:p>
      <w:pPr>
        <w:autoSpaceDE w:val="0"/>
        <w:autoSpaceDN w:val="0"/>
        <w:jc w:val="both"/>
        <w:spacing w:before="61" w:after="0" w:lineRule="auto" w:line="306"/>
        <w:ind w:right="183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C180701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兽</w:t>
      </w:r>
      <w:r>
        <w:rPr>
          <w:rFonts w:ascii="宋体" w:hAnsi="宋体" w:cs="宋体" w:eastAsia="宋体" w:hint="ascii"/>
          <w:sz w:val="18"/>
        </w:rPr>
        <w:t>医药理学</w:t>
      </w:r>
      <w:r>
        <w:rPr>
          <w:rFonts w:ascii="Times New Roman" w:hAnsi="Times New Roman" w:cs="Times New Roman" w:eastAsia="Times New Roman" w:hint="ascii"/>
          <w:sz w:val="18"/>
          <w:spacing w:val="-1"/>
        </w:rPr>
        <w:t>C180702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兽</w:t>
      </w:r>
      <w:r>
        <w:rPr>
          <w:rFonts w:ascii="宋体" w:hAnsi="宋体" w:cs="宋体" w:eastAsia="宋体" w:hint="ascii"/>
          <w:sz w:val="18"/>
        </w:rPr>
        <w:t>医毒理学</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C1808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临床兽医学</w:t>
      </w:r>
    </w:p>
    <w:p>
      <w:pPr>
        <w:autoSpaceDE w:val="0"/>
        <w:autoSpaceDN w:val="0"/>
        <w:jc w:val="left"/>
        <w:spacing w:before="61" w:after="0" w:lineRule="auto" w:line="307"/>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C180801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兽医外科学</w:t>
      </w:r>
      <w:r>
        <w:rPr>
          <w:rFonts w:ascii="Times New Roman" w:hAnsi="Times New Roman" w:cs="Times New Roman" w:eastAsia="Times New Roman" w:hint="ascii"/>
          <w:sz w:val="18"/>
        </w:rPr>
        <w:t>C180802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兽医内科学</w:t>
      </w:r>
      <w:r>
        <w:rPr>
          <w:rFonts w:ascii="Times New Roman" w:hAnsi="Times New Roman" w:cs="Times New Roman" w:eastAsia="Times New Roman" w:hint="ascii"/>
          <w:sz w:val="18"/>
        </w:rPr>
        <w:t>C180803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兽医产科学</w:t>
      </w:r>
      <w:r>
        <w:rPr>
          <w:rFonts w:ascii="Times New Roman" w:hAnsi="Times New Roman" w:cs="Times New Roman" w:eastAsia="Times New Roman" w:hint="ascii"/>
          <w:sz w:val="18"/>
        </w:rPr>
        <w:t>C180804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兽医临床诊断学</w:t>
      </w:r>
      <w:r>
        <w:rPr>
          <w:rFonts w:ascii="Times New Roman" w:hAnsi="Times New Roman" w:cs="Times New Roman" w:eastAsia="Times New Roman" w:hint="ascii"/>
          <w:sz w:val="18"/>
        </w:rPr>
        <w:t>C180805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兽医治疗学</w:t>
      </w:r>
    </w:p>
    <w:p>
      <w:pPr>
        <w:autoSpaceDE w:val="0"/>
        <w:autoSpaceDN w:val="0"/>
        <w:jc w:val="left"/>
        <w:spacing w:before="0" w:after="0" w:lineRule="auto" w:line="236"/>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C19</w:t>
      </w:r>
      <w:r>
        <w:rPr>
          <w:rFonts w:ascii="Times New Roman" w:hAnsi="Times New Roman" w:cs="Times New Roman" w:eastAsia="Times New Roman" w:hint="ascii"/>
          <w:b w:val="1"/>
          <w:spacing w:val="60"/>
        </w:rPr>
        <w:t xml:space="preserve"> </w:t>
      </w:r>
      <w:r>
        <w:rPr>
          <w:rFonts w:ascii="宋体" w:hAnsi="宋体" w:cs="宋体" w:eastAsia="宋体" w:hint="ascii"/>
        </w:rPr>
        <w:t>水产学</w:t>
      </w:r>
    </w:p>
    <w:p>
      <w:pPr>
        <w:autoSpaceDE w:val="0"/>
        <w:autoSpaceDN w:val="0"/>
        <w:jc w:val="left"/>
        <w:spacing w:before="8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水产基础生物学</w:t>
      </w:r>
    </w:p>
    <w:p>
      <w:pPr>
        <w:autoSpaceDE w:val="0"/>
        <w:autoSpaceDN w:val="0"/>
        <w:jc w:val="left"/>
        <w:spacing w:before="71" w:after="0" w:lineRule="auto" w:line="320"/>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C190101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水产生物生理学</w:t>
      </w:r>
      <w:r>
        <w:rPr>
          <w:rFonts w:ascii="Times New Roman" w:hAnsi="Times New Roman" w:cs="Times New Roman" w:eastAsia="Times New Roman" w:hint="ascii"/>
          <w:sz w:val="18"/>
          <w:spacing w:val="-1"/>
        </w:rPr>
        <w:t>C190102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水</w:t>
      </w:r>
      <w:r>
        <w:rPr>
          <w:rFonts w:ascii="宋体" w:hAnsi="宋体" w:cs="宋体" w:eastAsia="宋体" w:hint="ascii"/>
          <w:sz w:val="18"/>
          <w:spacing w:val="-10"/>
        </w:rPr>
        <w:t>产生物繁殖与发育</w:t>
      </w:r>
      <w:r>
        <w:rPr>
          <w:rFonts w:ascii="宋体" w:hAnsi="宋体" w:cs="宋体" w:eastAsia="宋体" w:hint="ascii"/>
          <w:sz w:val="18"/>
        </w:rPr>
        <w:t>学</w:t>
      </w:r>
      <w:r>
        <w:rPr>
          <w:rFonts w:ascii="Times New Roman" w:hAnsi="Times New Roman" w:cs="Times New Roman" w:eastAsia="Times New Roman" w:hint="ascii"/>
          <w:sz w:val="18"/>
        </w:rPr>
        <w:t>C190103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水产生物遗传学</w:t>
      </w:r>
    </w:p>
    <w:p>
      <w:pPr>
        <w:autoSpaceDE w:val="0"/>
        <w:autoSpaceDN w:val="0"/>
        <w:jc w:val="left"/>
        <w:spacing w:before="0" w:after="0" w:lineRule="auto" w:line="22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水产生物遗传育种学</w:t>
      </w:r>
    </w:p>
    <w:p>
      <w:pPr>
        <w:autoSpaceDE w:val="0"/>
        <w:autoSpaceDN w:val="0"/>
        <w:jc w:val="left"/>
        <w:spacing w:before="73" w:after="0" w:lineRule="auto" w:line="316"/>
        <w:ind w:right="1119" w:left="1302"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C190201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鱼类遗传育种学</w:t>
      </w:r>
      <w:r>
        <w:rPr>
          <w:rFonts w:ascii="Times New Roman" w:hAnsi="Times New Roman" w:cs="Times New Roman" w:eastAsia="Times New Roman" w:hint="ascii"/>
          <w:sz w:val="18"/>
        </w:rPr>
        <w:t>C190202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虾蟹类遗传育种学</w:t>
      </w:r>
      <w:r>
        <w:rPr>
          <w:rFonts w:ascii="Times New Roman" w:hAnsi="Times New Roman" w:cs="Times New Roman" w:eastAsia="Times New Roman" w:hint="ascii"/>
          <w:sz w:val="18"/>
        </w:rPr>
        <w:t>C190203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贝类遗传育种学</w:t>
      </w:r>
      <w:rPr>
        <w:rFonts w:ascii="宋体" w:hAnsi="宋体" w:cs="宋体" w:eastAsia="宋体" w:hint="ascii"/>
        <w:sz w:val="18"/>
      </w:rPr>
    </w:p>
    <w:p>
      <w:pPr>
        <w:autoSpaceDE w:val="0"/>
        <w:autoSpaceDN w:val="0"/>
        <w:jc w:val="left"/>
        <w:spacing w:before="282"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269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C190204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藻类遗传育种学</w:t>
      </w:r>
      <w:r>
        <w:rPr>
          <w:rFonts w:ascii="Times New Roman" w:hAnsi="Times New Roman" w:cs="Times New Roman" w:eastAsia="Times New Roman" w:hint="ascii"/>
          <w:sz w:val="18"/>
          <w:spacing w:val="-1"/>
        </w:rPr>
        <w:t>C190205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其</w:t>
      </w:r>
      <w:r>
        <w:rPr>
          <w:rFonts w:ascii="宋体" w:hAnsi="宋体" w:cs="宋体" w:eastAsia="宋体" w:hint="ascii"/>
          <w:sz w:val="18"/>
        </w:rPr>
        <w:t>他水产经济生物遗</w:t>
      </w:r>
      <w:r>
        <w:rPr>
          <w:rFonts w:ascii="宋体" w:hAnsi="宋体" w:cs="宋体" w:eastAsia="宋体" w:hint="ascii"/>
          <w:sz w:val="18"/>
        </w:rPr>
        <mc:AlternateContent>
          <mc:Choice Requires="wps">
            <w:drawing>
              <wp:anchor distL="0" distR="0" distT="0" distB="0" simplePos="0" behindDoc="1" relativeHeight="351" locked="0" layoutInCell="1" allowOverlap="1">
                <wp:simplePos x="0" y="0"/>
                <wp:positionH relativeFrom="page">
                  <wp:posOffset>938530</wp:posOffset>
                </wp:positionH>
                <wp:positionV relativeFrom="page">
                  <wp:posOffset>805815</wp:posOffset>
                </wp:positionV>
                <wp:extent cx="5076190" cy="0"/>
                <wp:wrapNone/>
                <wp:docPr id="1378" name="137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98816;width:399.70pt;" id="137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传育种学</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水产资源与保护学</w:t>
      </w:r>
    </w:p>
    <w:p>
      <w:pPr>
        <w:autoSpaceDE w:val="0"/>
        <w:autoSpaceDN w:val="0"/>
        <w:jc w:val="left"/>
        <w:spacing w:before="61"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C190301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水产生物多样性</w:t>
      </w:r>
      <w:r>
        <w:rPr>
          <w:rFonts w:ascii="Times New Roman" w:hAnsi="Times New Roman" w:cs="Times New Roman" w:eastAsia="Times New Roman" w:hint="ascii"/>
          <w:sz w:val="18"/>
        </w:rPr>
        <w:t>C190302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水产生物种质资源</w:t>
      </w:r>
      <w:r>
        <w:rPr>
          <w:rFonts w:ascii="Times New Roman" w:hAnsi="Times New Roman" w:cs="Times New Roman" w:eastAsia="Times New Roman" w:hint="ascii"/>
          <w:sz w:val="18"/>
        </w:rPr>
        <w:t>C190303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水产保护生物学</w:t>
      </w:r>
      <w:r>
        <w:rPr>
          <w:rFonts w:ascii="Times New Roman" w:hAnsi="Times New Roman" w:cs="Times New Roman" w:eastAsia="Times New Roman" w:hint="ascii"/>
          <w:sz w:val="18"/>
          <w:spacing w:val="-1"/>
        </w:rPr>
        <w:t>C190304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水</w:t>
      </w:r>
      <w:r>
        <w:rPr>
          <w:rFonts w:ascii="宋体" w:hAnsi="宋体" w:cs="宋体" w:eastAsia="宋体" w:hint="ascii"/>
          <w:sz w:val="18"/>
          <w:spacing w:val="-10"/>
        </w:rPr>
        <w:t>产养殖生态系统恢</w:t>
      </w:r>
      <w:r>
        <w:rPr>
          <w:rFonts w:ascii="宋体" w:hAnsi="宋体" w:cs="宋体" w:eastAsia="宋体" w:hint="ascii"/>
          <w:sz w:val="18"/>
        </w:rPr>
        <w:t>复</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水产动物营养与饲料学</w:t>
      </w:r>
    </w:p>
    <w:p>
      <w:pPr>
        <w:autoSpaceDE w:val="0"/>
        <w:autoSpaceDN w:val="0"/>
        <w:jc w:val="both"/>
        <w:spacing w:before="61" w:after="0" w:lineRule="auto" w:line="306"/>
        <w:ind w:right="3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C190401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产动物营养学</w:t>
      </w:r>
      <w:r>
        <w:rPr>
          <w:rFonts w:ascii="Times New Roman" w:hAnsi="Times New Roman" w:cs="Times New Roman" w:eastAsia="Times New Roman" w:hint="ascii"/>
          <w:sz w:val="18"/>
          <w:spacing w:val="-1"/>
        </w:rPr>
        <w:t>C190402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产动物饲料学</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水产养殖学</w:t>
      </w:r>
    </w:p>
    <w:p>
      <w:pPr>
        <w:autoSpaceDE w:val="0"/>
        <w:autoSpaceDN w:val="0"/>
        <w:jc w:val="left"/>
        <w:spacing w:before="61" w:after="0" w:lineRule="auto" w:line="307"/>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C190501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鱼类养殖学</w:t>
      </w:r>
      <w:r>
        <w:rPr>
          <w:rFonts w:ascii="Times New Roman" w:hAnsi="Times New Roman" w:cs="Times New Roman" w:eastAsia="Times New Roman" w:hint="ascii"/>
          <w:sz w:val="18"/>
        </w:rPr>
        <w:t>C190502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虾蟹类养殖学</w:t>
      </w:r>
      <w:r>
        <w:rPr>
          <w:rFonts w:ascii="Times New Roman" w:hAnsi="Times New Roman" w:cs="Times New Roman" w:eastAsia="Times New Roman" w:hint="ascii"/>
          <w:sz w:val="18"/>
        </w:rPr>
        <w:t>C190503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贝类养殖学</w:t>
      </w:r>
      <w:r>
        <w:rPr>
          <w:rFonts w:ascii="Times New Roman" w:hAnsi="Times New Roman" w:cs="Times New Roman" w:eastAsia="Times New Roman" w:hint="ascii"/>
          <w:sz w:val="18"/>
        </w:rPr>
        <w:t>C190504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藻类养殖学</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C190505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其</w:t>
      </w:r>
      <w:r>
        <w:rPr>
          <w:rFonts w:ascii="宋体" w:hAnsi="宋体" w:cs="宋体" w:eastAsia="宋体" w:hint="ascii"/>
          <w:sz w:val="18"/>
        </w:rPr>
        <w:t>他水产经济生物养</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殖学</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水产生物免疫学与病害控制</w:t>
      </w:r>
    </w:p>
    <w:p>
      <w:pPr>
        <w:autoSpaceDE w:val="0"/>
        <w:autoSpaceDN w:val="0"/>
        <w:jc w:val="left"/>
        <w:spacing w:before="61"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C190601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水产免疫生物学</w:t>
      </w:r>
      <w:r>
        <w:rPr>
          <w:rFonts w:ascii="Times New Roman" w:hAnsi="Times New Roman" w:cs="Times New Roman" w:eastAsia="Times New Roman" w:hint="ascii"/>
          <w:sz w:val="18"/>
        </w:rPr>
        <w:t>C190602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水产生物病原学</w:t>
      </w:r>
      <w:r>
        <w:rPr>
          <w:rFonts w:ascii="Times New Roman" w:hAnsi="Times New Roman" w:cs="Times New Roman" w:eastAsia="Times New Roman" w:hint="ascii"/>
          <w:sz w:val="18"/>
        </w:rPr>
        <w:t>C190603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水产生物病理学</w:t>
      </w:r>
      <w:r>
        <w:rPr>
          <w:rFonts w:ascii="Times New Roman" w:hAnsi="Times New Roman" w:cs="Times New Roman" w:eastAsia="Times New Roman" w:hint="ascii"/>
          <w:sz w:val="18"/>
        </w:rPr>
        <w:t>C190604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水产生物疫苗学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养殖与渔业工程学</w:t>
      </w:r>
    </w:p>
    <w:p>
      <w:pPr>
        <w:autoSpaceDE w:val="0"/>
        <w:autoSpaceDN w:val="0"/>
        <w:jc w:val="left"/>
        <w:spacing w:before="61"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C190701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高效养殖工程学</w:t>
      </w:r>
      <w:r>
        <w:rPr>
          <w:rFonts w:ascii="Times New Roman" w:hAnsi="Times New Roman" w:cs="Times New Roman" w:eastAsia="Times New Roman" w:hint="ascii"/>
          <w:sz w:val="18"/>
          <w:spacing w:val="-1"/>
        </w:rPr>
        <w:t>C190702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产增殖、捕捞与设</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施渔业</w:t>
      </w:r>
    </w:p>
    <w:p>
      <w:pPr>
        <w:autoSpaceDE w:val="0"/>
        <w:autoSpaceDN w:val="0"/>
        <w:jc w:val="left"/>
        <w:spacing w:before="59"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C1908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8"/>
        </w:rPr>
        <w:t>水产生物研究的新技术和新方</w:t>
      </w:r>
      <w:r>
        <w:rPr>
          <w:rFonts w:ascii="宋体" w:hAnsi="宋体" w:cs="宋体" w:eastAsia="宋体" w:hint="ascii"/>
          <w:sz w:val="18"/>
        </w:rPr>
        <w:t>法</w:t>
      </w:r>
    </w:p>
    <w:p>
      <w:pPr>
        <w:autoSpaceDE w:val="0"/>
        <w:autoSpaceDN w:val="0"/>
        <w:jc w:val="left"/>
        <w:spacing w:before="58"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C20</w:t>
      </w:r>
      <w:r>
        <w:rPr>
          <w:rFonts w:ascii="Times New Roman" w:hAnsi="Times New Roman" w:cs="Times New Roman" w:eastAsia="Times New Roman" w:hint="ascii"/>
          <w:b w:val="1"/>
          <w:spacing w:val="60"/>
        </w:rPr>
        <w:t xml:space="preserve"> </w:t>
      </w:r>
      <w:r>
        <w:rPr>
          <w:rFonts w:ascii="宋体" w:hAnsi="宋体" w:cs="宋体" w:eastAsia="宋体" w:hint="ascii"/>
        </w:rPr>
        <w:t>食品科学</w:t>
      </w:r>
    </w:p>
    <w:p>
      <w:pPr>
        <w:autoSpaceDE w:val="0"/>
        <w:autoSpaceDN w:val="0"/>
        <w:jc w:val="left"/>
        <w:spacing w:before="8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C2001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食品原料学</w:t>
      </w:r>
    </w:p>
    <w:p>
      <w:pPr>
        <w:autoSpaceDE w:val="0"/>
        <w:autoSpaceDN w:val="0"/>
        <w:jc w:val="left"/>
        <w:spacing w:before="62" w:after="0" w:lineRule="auto" w:line="307"/>
        <w:ind w:right="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C200101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果蔬原料学</w:t>
      </w:r>
      <w:r>
        <w:rPr>
          <w:rFonts w:ascii="Times New Roman" w:hAnsi="Times New Roman" w:cs="Times New Roman" w:eastAsia="Times New Roman" w:hint="ascii"/>
          <w:sz w:val="18"/>
        </w:rPr>
        <w:t>C200102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粮油食品原料学</w:t>
      </w:r>
      <w:r>
        <w:rPr>
          <w:rFonts w:ascii="Times New Roman" w:hAnsi="Times New Roman" w:cs="Times New Roman" w:eastAsia="Times New Roman" w:hint="ascii"/>
          <w:sz w:val="18"/>
        </w:rPr>
        <w:t>C200103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畜产食品原料学</w:t>
      </w:r>
      <w:r>
        <w:rPr>
          <w:rFonts w:ascii="Times New Roman" w:hAnsi="Times New Roman" w:cs="Times New Roman" w:eastAsia="Times New Roman" w:hint="ascii"/>
          <w:sz w:val="18"/>
        </w:rPr>
        <w:t>C200104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水产食品原料学</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C2002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食品生物化学</w:t>
      </w:r>
    </w:p>
    <w:p>
      <w:pPr>
        <w:autoSpaceDE w:val="0"/>
        <w:autoSpaceDN w:val="0"/>
        <w:jc w:val="left"/>
        <w:spacing w:before="61" w:after="0" w:lineRule="auto" w:line="307"/>
        <w:ind w:right="27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C200201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食品酶学</w:t>
      </w:r>
      <w:r>
        <w:rPr>
          <w:rFonts w:ascii="Times New Roman" w:hAnsi="Times New Roman" w:cs="Times New Roman" w:eastAsia="Times New Roman" w:hint="ascii"/>
          <w:sz w:val="18"/>
        </w:rPr>
        <w:t>C200202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食品蛋白质</w:t>
      </w:r>
      <w:r>
        <w:rPr>
          <w:rFonts w:ascii="Times New Roman" w:hAnsi="Times New Roman" w:cs="Times New Roman" w:eastAsia="Times New Roman" w:hint="ascii"/>
          <w:sz w:val="18"/>
        </w:rPr>
        <w:t>C200203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食品碳水化合物</w:t>
      </w:r>
      <w:r>
        <w:rPr>
          <w:rFonts w:ascii="Times New Roman" w:hAnsi="Times New Roman" w:cs="Times New Roman" w:eastAsia="Times New Roman" w:hint="ascii"/>
          <w:sz w:val="18"/>
        </w:rPr>
        <w:t>C200204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食品脂质</w:t>
      </w:r>
      <w:r>
        <w:rPr>
          <w:rFonts w:ascii="Times New Roman" w:hAnsi="Times New Roman" w:cs="Times New Roman" w:eastAsia="Times New Roman" w:hint="ascii"/>
          <w:sz w:val="18"/>
        </w:rPr>
        <w:t>C200205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食品其他成分</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C2003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食品发酵与酿造</w:t>
      </w:r>
    </w:p>
    <w:p>
      <w:pPr>
        <w:autoSpaceDE w:val="0"/>
        <w:autoSpaceDN w:val="0"/>
        <w:jc w:val="both"/>
        <w:spacing w:before="61" w:after="0" w:lineRule="auto" w:line="313"/>
        <w:ind w:right="72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C200301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食</w:t>
      </w:r>
      <w:r>
        <w:rPr>
          <w:rFonts w:ascii="宋体" w:hAnsi="宋体" w:cs="宋体" w:eastAsia="宋体" w:hint="ascii"/>
          <w:sz w:val="18"/>
        </w:rPr>
        <w:t>品微生物</w:t>
      </w:r>
      <w:r>
        <w:rPr>
          <w:rFonts w:ascii="Times New Roman" w:hAnsi="Times New Roman" w:cs="Times New Roman" w:eastAsia="Times New Roman" w:hint="ascii"/>
          <w:sz w:val="18"/>
        </w:rPr>
        <w:t>C200302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食品发酵</w:t>
      </w:r>
    </w:p>
    <w:p>
      <w:pPr>
        <w:autoSpaceDE w:val="0"/>
        <w:autoSpaceDN w:val="0"/>
        <w:jc w:val="left"/>
        <w:spacing w:before="221"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270</w:t>
      </w:r>
      <w:r>
        <w:rPr>
          <w:rFonts w:ascii="宋体" w:hAnsi="宋体" w:cs="宋体" w:eastAsia="宋体" w:hint="ascii"/>
          <w:sz w:val="18"/>
        </w:rPr>
        <w:t>·</w:t>
      </w:r>
    </w:p>
    <w:p>
      <w:pPr>
        <w:autoSpaceDE w:val="0"/>
        <w:autoSpaceDN w:val="0"/>
        <w:jc w:val="left"/>
        <w:spacing w:before="354" w:after="0" w:lineRule="auto" w:line="240"/>
        <w:ind w:right="0"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C200303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食品酿造</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C2004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食品营养</w:t>
      </w:r>
    </w:p>
    <w:p>
      <w:pPr>
        <w:autoSpaceDE w:val="0"/>
        <w:autoSpaceDN w:val="0"/>
        <w:jc w:val="left"/>
        <w:spacing w:before="62" w:after="0" w:lineRule="auto" w:line="306"/>
        <w:ind w:right="12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C200401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食品营养组分</w:t>
      </w:r>
      <w:r>
        <w:rPr>
          <w:rFonts w:ascii="Times New Roman" w:hAnsi="Times New Roman" w:cs="Times New Roman" w:eastAsia="Times New Roman" w:hint="ascii"/>
          <w:sz w:val="18"/>
        </w:rPr>
        <w:t>C200402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膳食与营养</w:t>
      </w:r>
      <w:r>
        <w:rPr>
          <w:rFonts w:ascii="Times New Roman" w:hAnsi="Times New Roman" w:cs="Times New Roman" w:eastAsia="Times New Roman" w:hint="ascii"/>
          <w:sz w:val="18"/>
        </w:rPr>
        <w:t>C200403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食品组分相互作用</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C2005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食品加工的生物学基础</w:t>
      </w:r>
    </w:p>
    <w:p>
      <w:pPr>
        <w:autoSpaceDE w:val="0"/>
        <w:autoSpaceDN w:val="0"/>
        <w:jc w:val="left"/>
        <w:spacing w:before="61" w:after="0" w:lineRule="auto" w:line="307"/>
        <w:ind w:right="138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C200501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水果、蔬菜</w:t>
      </w:r>
      <w:r>
        <w:rPr>
          <w:rFonts w:ascii="Times New Roman" w:hAnsi="Times New Roman" w:cs="Times New Roman" w:eastAsia="Times New Roman" w:hint="ascii"/>
          <w:sz w:val="18"/>
        </w:rPr>
        <w:t>C200502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畜产食品</w:t>
      </w:r>
      <w:r>
        <w:rPr>
          <w:rFonts w:ascii="Times New Roman" w:hAnsi="Times New Roman" w:cs="Times New Roman" w:eastAsia="Times New Roman" w:hint="ascii"/>
          <w:sz w:val="18"/>
        </w:rPr>
        <w:t>C200503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水产食品</w:t>
      </w:r>
      <w:r>
        <w:rPr>
          <w:rFonts w:ascii="Times New Roman" w:hAnsi="Times New Roman" w:cs="Times New Roman" w:eastAsia="Times New Roman" w:hint="ascii"/>
          <w:sz w:val="18"/>
        </w:rPr>
        <w:t>C200504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粮油食品</w:t>
      </w:r>
      <w:r>
        <w:rPr>
          <w:rFonts w:ascii="Times New Roman" w:hAnsi="Times New Roman" w:cs="Times New Roman" w:eastAsia="Times New Roman" w:hint="ascii"/>
          <w:sz w:val="18"/>
        </w:rPr>
        <w:t>C200505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制糖</w:t>
      </w:r>
    </w:p>
    <w:p>
      <w:pPr>
        <w:autoSpaceDE w:val="0"/>
        <w:autoSpaceDN w:val="0"/>
        <w:jc w:val="left"/>
        <w:spacing w:before="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C200506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食品配料及其他</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C2006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食品贮藏与保鲜</w:t>
      </w:r>
    </w:p>
    <w:p>
      <w:pPr>
        <w:autoSpaceDE w:val="0"/>
        <w:autoSpaceDN w:val="0"/>
        <w:jc w:val="both"/>
        <w:spacing w:before="61" w:after="0" w:lineRule="auto" w:line="30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C200601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植</w:t>
      </w:r>
      <w:r>
        <w:rPr>
          <w:rFonts w:ascii="宋体" w:hAnsi="宋体" w:cs="宋体" w:eastAsia="宋体" w:hint="ascii"/>
          <w:sz w:val="18"/>
          <w:spacing w:val="-10"/>
        </w:rPr>
        <w:t>物源食品贮藏与保</w:t>
      </w:r>
      <w:r>
        <w:rPr>
          <w:rFonts w:ascii="宋体" w:hAnsi="宋体" w:cs="宋体" w:eastAsia="宋体" w:hint="ascii"/>
          <w:sz w:val="18"/>
        </w:rPr>
        <w:t>鲜</w:t>
      </w:r>
      <w:r>
        <w:rPr>
          <w:rFonts w:ascii="Times New Roman" w:hAnsi="Times New Roman" w:cs="Times New Roman" w:eastAsia="Times New Roman" w:hint="ascii"/>
          <w:sz w:val="18"/>
          <w:spacing w:val="-1"/>
        </w:rPr>
        <w:t>C200602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畜</w:t>
      </w:r>
      <w:r>
        <w:rPr>
          <w:rFonts w:ascii="宋体" w:hAnsi="宋体" w:cs="宋体" w:eastAsia="宋体" w:hint="ascii"/>
          <w:sz w:val="18"/>
        </w:rPr>
        <w:t>产食品贮藏与保鲜</w:t>
      </w:r>
      <w:r>
        <w:rPr>
          <w:rFonts w:ascii="Times New Roman" w:hAnsi="Times New Roman" w:cs="Times New Roman" w:eastAsia="Times New Roman" w:hint="ascii"/>
          <w:sz w:val="18"/>
          <w:spacing w:val="-1"/>
        </w:rPr>
        <w:t>C200603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产食品贮藏与保鲜</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C2007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食品安全与质量控制</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C200701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食品检验学</w:t>
      </w:r>
    </w:p>
    <w:p>
      <w:pPr>
        <w:autoSpaceDE w:val="0"/>
        <w:autoSpaceDN w:val="0"/>
        <w:jc w:val="both"/>
        <w:spacing w:before="61" w:after="0" w:lineRule="auto" w:line="307"/>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C200702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食</w:t>
      </w:r>
      <w:r>
        <w:rPr>
          <w:rFonts w:ascii="宋体" w:hAnsi="宋体" w:cs="宋体" w:eastAsia="宋体" w:hint="ascii"/>
          <w:sz w:val="18"/>
        </w:rPr>
        <w:t>品化学残留与控制</w:t>
      </w:r>
      <w:r>
        <w:rPr>
          <w:rFonts w:ascii="Times New Roman" w:hAnsi="Times New Roman" w:cs="Times New Roman" w:eastAsia="Times New Roman" w:hint="ascii"/>
          <w:sz w:val="18"/>
          <w:spacing w:val="-1"/>
        </w:rPr>
        <w:t>C200703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食</w:t>
      </w:r>
      <w:r>
        <w:rPr>
          <w:rFonts w:ascii="宋体" w:hAnsi="宋体" w:cs="宋体" w:eastAsia="宋体" w:hint="ascii"/>
          <w:sz w:val="18"/>
        </w:rPr>
        <w:t>品生物污染与控制</w:t>
      </w:r>
      <w:r>
        <w:rPr>
          <w:rFonts w:ascii="Times New Roman" w:hAnsi="Times New Roman" w:cs="Times New Roman" w:eastAsia="Times New Roman" w:hint="ascii"/>
          <w:sz w:val="18"/>
          <w:spacing w:val="-1"/>
        </w:rPr>
        <w:t>C200704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食</w:t>
      </w:r>
      <w:r>
        <w:rPr>
          <w:rFonts w:ascii="宋体" w:hAnsi="宋体" w:cs="宋体" w:eastAsia="宋体" w:hint="ascii"/>
          <w:sz w:val="18"/>
        </w:rPr>
        <w:t>品加工过程中有害</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产物分析</w:t>
      </w:r>
    </w:p>
    <w:p>
      <w:pPr>
        <w:autoSpaceDE w:val="0"/>
        <w:autoSpaceDN w:val="0"/>
        <w:jc w:val="both"/>
        <w:spacing w:before="55" w:after="0" w:lineRule="auto" w:line="308"/>
        <w:ind w:right="111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C200705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转</w:t>
      </w:r>
      <w:r>
        <w:rPr>
          <w:rFonts w:ascii="宋体" w:hAnsi="宋体" w:cs="宋体" w:eastAsia="宋体" w:hint="ascii"/>
          <w:sz w:val="18"/>
          <w:spacing w:val="-10"/>
        </w:rPr>
        <w:t>基因食品安全与检</w:t>
      </w:r>
      <w:r>
        <w:rPr>
          <w:rFonts w:ascii="宋体" w:hAnsi="宋体" w:cs="宋体" w:eastAsia="宋体" w:hint="ascii"/>
          <w:sz w:val="18"/>
        </w:rPr>
        <w:t>测</w:t>
      </w:r>
      <w:r>
        <w:rPr>
          <w:rFonts w:ascii="Times New Roman" w:hAnsi="Times New Roman" w:cs="Times New Roman" w:eastAsia="Times New Roman" w:hint="ascii"/>
          <w:sz w:val="18"/>
          <w:spacing w:val="-1"/>
        </w:rPr>
        <w:t>C200706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食</w:t>
      </w:r>
      <w:r>
        <w:rPr>
          <w:rFonts w:ascii="宋体" w:hAnsi="宋体" w:cs="宋体" w:eastAsia="宋体" w:hint="ascii"/>
          <w:sz w:val="18"/>
        </w:rPr>
        <w:t>品安全风险评估理</w:t>
      </w:r>
    </w:p>
    <w:p>
      <w:pPr>
        <w:autoSpaceDE w:val="0"/>
        <w:autoSpaceDN w:val="0"/>
        <w:jc w:val="left"/>
        <w:spacing w:before="429496729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论与方法</w:t>
      </w:r>
    </w:p>
    <w:p>
      <w:pPr>
        <w:autoSpaceDE w:val="0"/>
        <w:autoSpaceDN w:val="0"/>
        <w:jc w:val="left"/>
        <w:spacing w:before="50"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C21</w:t>
      </w:r>
      <w:r>
        <w:rPr>
          <w:rFonts w:ascii="Times New Roman" w:hAnsi="Times New Roman" w:cs="Times New Roman" w:eastAsia="Times New Roman" w:hint="ascii"/>
          <w:b w:val="1"/>
          <w:spacing w:val="60"/>
        </w:rPr>
        <w:t xml:space="preserve"> </w:t>
      </w:r>
      <w:r>
        <w:rPr>
          <w:rFonts w:ascii="宋体" w:hAnsi="宋体" w:cs="宋体" w:eastAsia="宋体" w:hint="ascii"/>
        </w:rPr>
        <w:t>心理学</w:t>
      </w:r>
    </w:p>
    <w:p>
      <w:pPr>
        <w:autoSpaceDE w:val="0"/>
        <w:autoSpaceDN w:val="0"/>
        <w:jc w:val="left"/>
        <w:spacing w:before="8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认知心理学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生理心理学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医学心理学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工程心理学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发展心理学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教育心理学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社会心理学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应用心理学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个性心理学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遗传心理学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实验心理学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应激心理学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行为心理学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认知语言学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认知模拟</w:t>
      </w:r>
    </w:p>
    <w:p>
      <w:pPr>
        <w:autoSpaceDE w:val="0"/>
        <w:autoSpaceDN w:val="0"/>
        <w:jc w:val="left"/>
        <w:spacing w:before="62"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728" w:space="31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C2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认知的脑结构与神经基础</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rPr>
          <w:rFonts w:ascii="宋体" w:hAnsi="宋体" w:cs="宋体" w:eastAsia="宋体" w:hint="ascii"/>
          <w:sz w:val="19"/>
        </w:rPr>
      </w:pPr>
      <w:r>
        <w:rPr>
          <w:rFonts w:ascii="宋体" w:hAnsi="宋体" w:cs="宋体" w:eastAsia="宋体" w:hint="ascii"/>
          <w:sz w:val="19"/>
        </w:rPr>
        <w:t>国家自然科学基金申请代码</w:t>
      </w:r>
    </w:p>
    <w:p>
      <w:pPr>
        <w:autoSpaceDE w:val="0"/>
        <w:autoSpaceDN w:val="0"/>
        <w:jc w:val="left"/>
        <w:spacing w:before="438" w:after="0" w:lineRule="auto" w:line="240"/>
        <w:ind w:right="0" w:left="372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rPr>
        <w:t>D</w:t>
      </w:r>
      <w:r>
        <w:rPr>
          <w:rFonts w:ascii="宋体" w:hAnsi="宋体" w:cs="宋体" w:eastAsia="宋体" w:hint="ascii"/>
          <w:sz w:val="38"/>
        </w:rPr>
        <w:t>.</w:t>
      </w:r>
      <w:r>
        <w:rPr>
          <w:rFonts w:ascii="宋体" w:hAnsi="宋体" w:cs="宋体" w:eastAsia="宋体" w:hint="ascii"/>
          <w:sz w:val="38"/>
          <w:spacing w:val="-43"/>
        </w:rPr>
        <w:t xml:space="preserve"> </w:t>
      </w:r>
      <w:r>
        <w:rPr>
          <w:rFonts w:ascii="宋体" w:hAnsi="宋体" w:cs="宋体" w:eastAsia="宋体" w:hint="ascii"/>
          <w:sz w:val="38"/>
        </w:rPr>
        <w:t>地球科学部</w:t>
      </w:r>
      <w:r>
        <w:rPr>
          <w:rFonts w:ascii="宋体" w:hAnsi="宋体" w:cs="宋体" w:eastAsia="宋体" w:hint="ascii"/>
          <w:sz w:val="38"/>
        </w:rPr>
        <mc:AlternateContent>
          <mc:Choice Requires="wps">
            <w:drawing>
              <wp:anchor distL="0" distR="0" distT="0" distB="0" simplePos="0" behindDoc="1" relativeHeight="352" locked="0" layoutInCell="1" allowOverlap="1">
                <wp:simplePos x="0" y="0"/>
                <wp:positionH relativeFrom="page">
                  <wp:posOffset>938530</wp:posOffset>
                </wp:positionH>
                <wp:positionV relativeFrom="page">
                  <wp:posOffset>819150</wp:posOffset>
                </wp:positionV>
                <wp:extent cx="5076190" cy="0"/>
                <wp:wrapNone/>
                <wp:docPr id="1379" name="137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97792;width:399.70pt;" id="1379" coordsize="7994,0" strokeweight="0.50pt" strokecolor="#231f20" fillcolor="#auto" opacity="0f" from="0.00pt, 0.00pt" to="399.70pt, 0.00pt">
                <v:stroke endcap="round"/>
                <v:fill opacity="0f"/>
                <w10:wrap anchorx="page" anchory="page" side="both"/>
              </v:line>
            </w:pict>
          </mc:Fallback>
        </mc:AlternateContent>
      </w:r>
      <w:rPr>
        <w:rFonts w:ascii="宋体" w:hAnsi="宋体" w:cs="宋体" w:eastAsia="宋体" w:hint="ascii"/>
        <w:sz w:val="38"/>
      </w:rPr>
    </w:p>
    <w:p>
      <w:pPr>
        <w:autoSpaceDE w:val="0"/>
        <w:autoSpaceDN w:val="0"/>
        <w:jc w:val="left"/>
        <w:spacing w:before="29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D01</w:t>
      </w:r>
      <w:r>
        <w:rPr>
          <w:rFonts w:ascii="Times New Roman" w:hAnsi="Times New Roman" w:cs="Times New Roman" w:eastAsia="Times New Roman" w:hint="ascii"/>
          <w:b w:val="1"/>
          <w:spacing w:val="60"/>
        </w:rPr>
        <w:t xml:space="preserve"> </w:t>
      </w:r>
      <w:r>
        <w:rPr>
          <w:rFonts w:ascii="宋体" w:hAnsi="宋体" w:cs="宋体" w:eastAsia="宋体" w:hint="ascii"/>
        </w:rPr>
        <w:t>地理学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自然地理学</w:t>
      </w:r>
    </w:p>
    <w:p>
      <w:pPr>
        <w:autoSpaceDE w:val="0"/>
        <w:autoSpaceDN w:val="0"/>
        <w:jc w:val="left"/>
        <w:spacing w:before="67" w:after="0" w:lineRule="auto" w:line="313"/>
        <w:ind w:right="44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D010101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地貌学</w:t>
      </w:r>
      <w:r>
        <w:rPr>
          <w:rFonts w:ascii="Times New Roman" w:hAnsi="Times New Roman" w:cs="Times New Roman" w:eastAsia="Times New Roman" w:hint="ascii"/>
          <w:sz w:val="18"/>
        </w:rPr>
        <w:t>D010102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应用气候学</w:t>
      </w:r>
      <w:r>
        <w:rPr>
          <w:rFonts w:ascii="Times New Roman" w:hAnsi="Times New Roman" w:cs="Times New Roman" w:eastAsia="Times New Roman" w:hint="ascii"/>
          <w:sz w:val="18"/>
        </w:rPr>
        <w:t>D010103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生物地理学</w:t>
      </w:r>
      <w:r>
        <w:rPr>
          <w:rFonts w:ascii="Times New Roman" w:hAnsi="Times New Roman" w:cs="Times New Roman" w:eastAsia="Times New Roman" w:hint="ascii"/>
          <w:sz w:val="18"/>
        </w:rPr>
        <w:t>D010104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冰冻圈地理学</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D010105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综合自然地理学</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人文地理学</w:t>
      </w:r>
    </w:p>
    <w:p>
      <w:pPr>
        <w:autoSpaceDE w:val="0"/>
        <w:autoSpaceDN w:val="0"/>
        <w:jc w:val="left"/>
        <w:spacing w:before="67" w:after="0" w:lineRule="auto" w:line="313"/>
        <w:ind w:right="8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D010201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经济地理学</w:t>
      </w:r>
      <w:r>
        <w:rPr>
          <w:rFonts w:ascii="Times New Roman" w:hAnsi="Times New Roman" w:cs="Times New Roman" w:eastAsia="Times New Roman" w:hint="ascii"/>
          <w:sz w:val="18"/>
        </w:rPr>
        <w:t>D010202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社会、文化地理学</w:t>
      </w:r>
      <w:r>
        <w:rPr>
          <w:rFonts w:ascii="Times New Roman" w:hAnsi="Times New Roman" w:cs="Times New Roman" w:eastAsia="Times New Roman" w:hint="ascii"/>
          <w:sz w:val="18"/>
        </w:rPr>
        <w:t>D010203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城市地理学</w:t>
      </w:r>
      <w:r>
        <w:rPr>
          <w:rFonts w:ascii="Times New Roman" w:hAnsi="Times New Roman" w:cs="Times New Roman" w:eastAsia="Times New Roman" w:hint="ascii"/>
          <w:sz w:val="18"/>
        </w:rPr>
        <w:t>D010204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乡村地理学</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景观地理学</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自然资源管理</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D010401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可再生资源演化</w:t>
      </w:r>
      <w:r>
        <w:rPr>
          <w:rFonts w:ascii="Times New Roman" w:hAnsi="Times New Roman" w:cs="Times New Roman" w:eastAsia="Times New Roman" w:hint="ascii"/>
          <w:sz w:val="18"/>
        </w:rPr>
        <w:t>D010402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自然资源评价</w:t>
      </w:r>
      <w:r>
        <w:rPr>
          <w:rFonts w:ascii="Times New Roman" w:hAnsi="Times New Roman" w:cs="Times New Roman" w:eastAsia="Times New Roman" w:hint="ascii"/>
          <w:sz w:val="18"/>
          <w:spacing w:val="-1"/>
        </w:rPr>
        <w:t>D010403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自</w:t>
      </w:r>
      <w:r>
        <w:rPr>
          <w:rFonts w:ascii="宋体" w:hAnsi="宋体" w:cs="宋体" w:eastAsia="宋体" w:hint="ascii"/>
          <w:sz w:val="18"/>
        </w:rPr>
        <w:t>然资源利用与规划</w:t>
      </w:r>
    </w:p>
    <w:p>
      <w:pPr>
        <w:autoSpaceDE w:val="0"/>
        <w:autoSpaceDN w:val="0"/>
        <w:jc w:val="left"/>
        <w:spacing w:before="0" w:after="0" w:lineRule="auto" w:line="239"/>
        <w:ind w:right="0" w:left="1605" w:firstLine="0"/>
        <w:snapToGrid w:val="0"/>
        <w:textAlignment w:val="auto"/>
        <w:tabs/>
        <w:rPr>
          <w:rFonts w:ascii="黑体" w:hAnsi="黑体" w:cs="黑体" w:eastAsia="黑体" w:hint="ascii"/>
          <w:sz w:val="18"/>
        </w:rPr>
      </w:pPr>
      <w:r>
        <w:rPr>
          <w:rFonts w:ascii="Times New Roman" w:hAnsi="Times New Roman" w:cs="Times New Roman" w:eastAsia="Times New Roman" w:hint="ascii"/>
          <w:b w:val="1"/>
          <w:sz w:val="18"/>
        </w:rPr>
        <w:t>D0105</w:t>
      </w:r>
      <w:r>
        <w:rPr>
          <w:rFonts w:ascii="Times New Roman" w:hAnsi="Times New Roman" w:cs="Times New Roman" w:eastAsia="Times New Roman" w:hint="ascii"/>
          <w:b w:val="1"/>
          <w:sz w:val="18"/>
          <w:spacing w:val="45"/>
        </w:rPr>
        <w:t xml:space="preserve"> </w:t>
      </w:r>
      <w:r>
        <w:rPr>
          <w:rFonts w:ascii="黑体" w:hAnsi="黑体" w:cs="黑体" w:eastAsia="黑体" w:hint="ascii"/>
          <w:sz w:val="18"/>
        </w:rPr>
        <w:t>区域可持续发展</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D010501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资源与可持续发展</w:t>
      </w:r>
      <w:r>
        <w:rPr>
          <w:rFonts w:ascii="Times New Roman" w:hAnsi="Times New Roman" w:cs="Times New Roman" w:eastAsia="Times New Roman" w:hint="ascii"/>
          <w:sz w:val="18"/>
          <w:spacing w:val="-1"/>
        </w:rPr>
        <w:t>D010502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经</w:t>
      </w:r>
      <w:r>
        <w:rPr>
          <w:rFonts w:ascii="宋体" w:hAnsi="宋体" w:cs="宋体" w:eastAsia="宋体" w:hint="ascii"/>
          <w:sz w:val="18"/>
        </w:rPr>
        <w:t>济发展与环境质量</w:t>
      </w:r>
      <w:r>
        <w:rPr>
          <w:rFonts w:ascii="Times New Roman" w:hAnsi="Times New Roman" w:cs="Times New Roman" w:eastAsia="Times New Roman" w:hint="ascii"/>
          <w:sz w:val="18"/>
        </w:rPr>
        <w:t>D010503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可持续性评估</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遥感机理与方法</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地理信息系统</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D010701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空间数据组织与管</w:t>
      </w:r>
      <w:r>
        <w:rPr>
          <w:rFonts w:ascii="宋体" w:hAnsi="宋体" w:cs="宋体" w:eastAsia="宋体" w:hint="ascii"/>
          <w:sz w:val="18"/>
        </w:rPr>
        <w:t>理</w:t>
      </w:r>
      <w:r>
        <w:rPr>
          <w:rFonts w:ascii="Times New Roman" w:hAnsi="Times New Roman" w:cs="Times New Roman" w:eastAsia="Times New Roman" w:hint="ascii"/>
          <w:sz w:val="18"/>
        </w:rPr>
        <w:t>D010702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遥感信息分析与应</w:t>
      </w:r>
      <w:r>
        <w:rPr>
          <w:rFonts w:ascii="宋体" w:hAnsi="宋体" w:cs="宋体" w:eastAsia="宋体" w:hint="ascii"/>
          <w:sz w:val="18"/>
        </w:rPr>
        <w:t>用</w:t>
      </w:r>
      <w:r>
        <w:rPr>
          <w:rFonts w:ascii="Times New Roman" w:hAnsi="Times New Roman" w:cs="Times New Roman" w:eastAsia="Times New Roman" w:hint="ascii"/>
          <w:sz w:val="18"/>
          <w:spacing w:val="-1"/>
        </w:rPr>
        <w:t>D010703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空</w:t>
      </w:r>
      <w:r>
        <w:rPr>
          <w:rFonts w:ascii="宋体" w:hAnsi="宋体" w:cs="宋体" w:eastAsia="宋体" w:hint="ascii"/>
          <w:sz w:val="18"/>
        </w:rPr>
        <w:t>间定位数据分析与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应用</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测量与地图学</w:t>
      </w:r>
    </w:p>
    <w:p>
      <w:pPr>
        <w:autoSpaceDE w:val="0"/>
        <w:autoSpaceDN w:val="0"/>
        <w:jc w:val="left"/>
        <w:spacing w:before="58"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D02</w:t>
      </w:r>
      <w:r>
        <w:rPr>
          <w:rFonts w:ascii="Times New Roman" w:hAnsi="Times New Roman" w:cs="Times New Roman" w:eastAsia="Times New Roman" w:hint="ascii"/>
          <w:b w:val="1"/>
          <w:spacing w:val="60"/>
        </w:rPr>
        <w:t xml:space="preserve"> </w:t>
      </w:r>
      <w:r>
        <w:rPr>
          <w:rFonts w:ascii="宋体" w:hAnsi="宋体" w:cs="宋体" w:eastAsia="宋体" w:hint="ascii"/>
        </w:rPr>
        <w:t>地质学</w:t>
      </w:r>
    </w:p>
    <w:p>
      <w:pPr>
        <w:autoSpaceDE w:val="0"/>
        <w:autoSpaceDN w:val="0"/>
        <w:jc w:val="left"/>
        <w:spacing w:before="9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古生物学和古生态学</w:t>
      </w:r>
    </w:p>
    <w:p>
      <w:pPr>
        <w:autoSpaceDE w:val="0"/>
        <w:autoSpaceDN w:val="0"/>
        <w:jc w:val="left"/>
        <w:spacing w:before="68" w:after="0" w:lineRule="auto" w:line="313"/>
        <w:ind w:right="2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D020101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古生物学</w:t>
      </w:r>
      <w:r>
        <w:rPr>
          <w:rFonts w:ascii="Times New Roman" w:hAnsi="Times New Roman" w:cs="Times New Roman" w:eastAsia="Times New Roman" w:hint="ascii"/>
          <w:sz w:val="18"/>
        </w:rPr>
        <w:t>D020102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古人类学</w:t>
      </w:r>
      <w:r>
        <w:rPr>
          <w:rFonts w:ascii="Times New Roman" w:hAnsi="Times New Roman" w:cs="Times New Roman" w:eastAsia="Times New Roman" w:hint="ascii"/>
          <w:sz w:val="18"/>
        </w:rPr>
        <w:t>D020103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古生态学</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D020104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地</w:t>
      </w:r>
      <w:r>
        <w:rPr>
          <w:rFonts w:ascii="宋体" w:hAnsi="宋体" w:cs="宋体" w:eastAsia="宋体" w:hint="ascii"/>
          <w:sz w:val="18"/>
        </w:rPr>
        <w:t>球环境与生命演化</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地层学</w:t>
      </w:r>
    </w:p>
    <w:p>
      <w:pPr>
        <w:autoSpaceDE w:val="0"/>
        <w:autoSpaceDN w:val="0"/>
        <w:jc w:val="both"/>
        <w:spacing w:before="67" w:after="0" w:lineRule="auto" w:line="314"/>
        <w:ind w:right="482"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D0203</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矿物</w:t>
      </w:r>
      <w:r>
        <w:rPr>
          <w:rFonts w:ascii="宋体" w:hAnsi="宋体" w:cs="宋体" w:eastAsia="宋体" w:hint="ascii"/>
          <w:sz w:val="18"/>
        </w:rPr>
        <w:t>学（含矿物物理学）</w:t>
      </w:r>
      <w:r>
        <w:rPr>
          <w:rFonts w:ascii="Times New Roman" w:hAnsi="Times New Roman" w:cs="Times New Roman" w:eastAsia="Times New Roman" w:hint="ascii"/>
          <w:b w:val="1"/>
          <w:sz w:val="18"/>
        </w:rPr>
        <w:t>D0204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岩石学</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矿床学</w:t>
      </w:r>
    </w:p>
    <w:p>
      <w:pPr>
        <w:autoSpaceDE w:val="0"/>
        <w:autoSpaceDN w:val="0"/>
        <w:jc w:val="left"/>
        <w:spacing w:before="340" w:after="0" w:lineRule="auto" w:line="314"/>
        <w:ind w:right="1492"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D0206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沉积学和盆地动力学</w:t>
      </w:r>
      <w:r>
        <w:rPr>
          <w:rFonts w:ascii="Times New Roman" w:hAnsi="Times New Roman" w:cs="Times New Roman" w:eastAsia="Times New Roman" w:hint="ascii"/>
          <w:b w:val="1"/>
          <w:sz w:val="18"/>
        </w:rPr>
        <w:t>D0207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石油、天然气地质学</w:t>
      </w:r>
      <w:r>
        <w:rPr>
          <w:rFonts w:ascii="Times New Roman" w:hAnsi="Times New Roman" w:cs="Times New Roman" w:eastAsia="Times New Roman" w:hint="ascii"/>
          <w:b w:val="1"/>
          <w:sz w:val="18"/>
        </w:rPr>
        <w:t>D0208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煤地质学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D0209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勘探技术与地质钻探学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D0210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前寒武纪地质学</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构造地质学与活动构造</w:t>
      </w:r>
    </w:p>
    <w:p>
      <w:pPr>
        <w:autoSpaceDE w:val="0"/>
        <w:autoSpaceDN w:val="0"/>
        <w:jc w:val="both"/>
        <w:spacing w:before="67" w:after="0" w:lineRule="auto" w:line="313"/>
        <w:ind w:right="183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D02</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构</w:t>
      </w:r>
      <w:r>
        <w:rPr>
          <w:rFonts w:ascii="宋体" w:hAnsi="宋体" w:cs="宋体" w:eastAsia="宋体" w:hint="ascii"/>
          <w:sz w:val="18"/>
        </w:rPr>
        <w:t>造地质学</w:t>
      </w:r>
      <w:r>
        <w:rPr>
          <w:rFonts w:ascii="Times New Roman" w:hAnsi="Times New Roman" w:cs="Times New Roman" w:eastAsia="Times New Roman" w:hint="ascii"/>
          <w:sz w:val="18"/>
        </w:rPr>
        <w:t>D02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活动构造</w:t>
      </w:r>
    </w:p>
    <w:p>
      <w:pPr>
        <w:autoSpaceDE w:val="0"/>
        <w:autoSpaceDN w:val="0"/>
        <w:jc w:val="left"/>
        <w:spacing w:before="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构造物理与流变学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D0212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大地构造学</w:t>
      </w:r>
    </w:p>
    <w:p>
      <w:pPr>
        <w:autoSpaceDE w:val="0"/>
        <w:autoSpaceDN w:val="0"/>
        <w:jc w:val="both"/>
        <w:spacing w:before="67" w:after="0" w:lineRule="auto" w:line="314"/>
        <w:ind w:right="159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D0213</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数学</w:t>
      </w:r>
      <w:r>
        <w:rPr>
          <w:rFonts w:ascii="宋体" w:hAnsi="宋体" w:cs="宋体" w:eastAsia="宋体" w:hint="ascii"/>
          <w:sz w:val="18"/>
        </w:rPr>
        <w:t>地质学与遥感地质学</w:t>
      </w:r>
      <w:r>
        <w:rPr>
          <w:rFonts w:ascii="Times New Roman" w:hAnsi="Times New Roman" w:cs="Times New Roman" w:eastAsia="Times New Roman" w:hint="ascii"/>
          <w:b w:val="1"/>
          <w:sz w:val="18"/>
        </w:rPr>
        <w:t>D0214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火山学</w:t>
      </w:r>
    </w:p>
    <w:p>
      <w:pPr>
        <w:autoSpaceDE w:val="0"/>
        <w:autoSpaceDN w:val="0"/>
        <w:jc w:val="left"/>
        <w:spacing w:before="0" w:after="0" w:lineRule="auto" w:line="229"/>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D03</w:t>
      </w:r>
      <w:r>
        <w:rPr>
          <w:rFonts w:ascii="Times New Roman" w:hAnsi="Times New Roman" w:cs="Times New Roman" w:eastAsia="Times New Roman" w:hint="ascii"/>
          <w:b w:val="1"/>
          <w:spacing w:val="60"/>
        </w:rPr>
        <w:t xml:space="preserve"> </w:t>
      </w:r>
      <w:r>
        <w:rPr>
          <w:rFonts w:ascii="宋体" w:hAnsi="宋体" w:cs="宋体" w:eastAsia="宋体" w:hint="ascii"/>
        </w:rPr>
        <w:t>地球化学</w:t>
      </w:r>
    </w:p>
    <w:p>
      <w:pPr>
        <w:autoSpaceDE w:val="0"/>
        <w:autoSpaceDN w:val="0"/>
        <w:jc w:val="left"/>
        <w:spacing w:before="92" w:after="0" w:lineRule="auto" w:line="311"/>
        <w:ind w:right="203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同位素地球化学</w:t>
      </w:r>
      <w:r>
        <w:rPr>
          <w:rFonts w:ascii="Times New Roman" w:hAnsi="Times New Roman" w:cs="Times New Roman" w:eastAsia="Times New Roman" w:hint="ascii"/>
          <w:b w:val="1"/>
          <w:sz w:val="18"/>
        </w:rPr>
        <w:t>D0302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微量元素地球化学</w:t>
      </w:r>
      <w:r>
        <w:rPr>
          <w:rFonts w:ascii="Times New Roman" w:hAnsi="Times New Roman" w:cs="Times New Roman" w:eastAsia="Times New Roman" w:hint="ascii"/>
          <w:b w:val="1"/>
          <w:sz w:val="18"/>
        </w:rPr>
        <w:t>D0303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岩石地球化学</w:t>
      </w:r>
      <w:r>
        <w:rPr>
          <w:rFonts w:ascii="Times New Roman" w:hAnsi="Times New Roman" w:cs="Times New Roman" w:eastAsia="Times New Roman" w:hint="ascii"/>
          <w:b w:val="1"/>
          <w:sz w:val="18"/>
        </w:rPr>
        <w:t>D0304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矿床地球化学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同位素和化学年代学</w:t>
      </w:r>
    </w:p>
    <w:p>
      <w:pPr>
        <w:autoSpaceDE w:val="0"/>
        <w:autoSpaceDN w:val="0"/>
        <w:jc w:val="both"/>
        <w:spacing w:before="66" w:after="0" w:lineRule="auto" w:line="312"/>
        <w:ind w:right="123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D0306</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实验</w:t>
      </w:r>
      <w:r>
        <w:rPr>
          <w:rFonts w:ascii="宋体" w:hAnsi="宋体" w:cs="宋体" w:eastAsia="宋体" w:hint="ascii"/>
          <w:sz w:val="18"/>
        </w:rPr>
        <w:t>地球化学和计算地球化学</w:t>
      </w:r>
      <w:r>
        <w:rPr>
          <w:rFonts w:ascii="Times New Roman" w:hAnsi="Times New Roman" w:cs="Times New Roman" w:eastAsia="Times New Roman" w:hint="ascii"/>
          <w:b w:val="1"/>
          <w:sz w:val="18"/>
        </w:rPr>
        <w:t>D0307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宇宙化学与比较行星学</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D0308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气体地球化学</w:t>
      </w:r>
    </w:p>
    <w:p>
      <w:pPr>
        <w:autoSpaceDE w:val="0"/>
        <w:autoSpaceDN w:val="0"/>
        <w:jc w:val="left"/>
        <w:spacing w:before="59"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D04</w:t>
      </w:r>
      <w:r>
        <w:rPr>
          <w:rFonts w:ascii="Times New Roman" w:hAnsi="Times New Roman" w:cs="Times New Roman" w:eastAsia="Times New Roman" w:hint="ascii"/>
          <w:b w:val="1"/>
          <w:spacing w:val="60"/>
        </w:rPr>
        <w:t xml:space="preserve"> </w:t>
      </w:r>
      <w:r>
        <w:rPr>
          <w:rFonts w:ascii="宋体" w:hAnsi="宋体" w:cs="宋体" w:eastAsia="宋体" w:hint="ascii"/>
        </w:rPr>
        <w:t>地球物理学和空间物理学</w:t>
      </w:r>
    </w:p>
    <w:p>
      <w:pPr>
        <w:autoSpaceDE w:val="0"/>
        <w:autoSpaceDN w:val="0"/>
        <w:jc w:val="left"/>
        <w:spacing w:before="9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大地测量学</w:t>
      </w:r>
    </w:p>
    <w:p>
      <w:pPr>
        <w:autoSpaceDE w:val="0"/>
        <w:autoSpaceDN w:val="0"/>
        <w:jc w:val="left"/>
        <w:spacing w:before="64" w:after="0" w:lineRule="auto" w:line="312"/>
        <w:ind w:right="123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D040101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物理大地测量学</w:t>
      </w:r>
      <w:r>
        <w:rPr>
          <w:rFonts w:ascii="Times New Roman" w:hAnsi="Times New Roman" w:cs="Times New Roman" w:eastAsia="Times New Roman" w:hint="ascii"/>
          <w:sz w:val="18"/>
        </w:rPr>
        <w:t>D040102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动力大地测量学</w:t>
      </w:r>
      <w:r>
        <w:rPr>
          <w:rFonts w:ascii="Times New Roman" w:hAnsi="Times New Roman" w:cs="Times New Roman" w:eastAsia="Times New Roman" w:hint="ascii"/>
          <w:sz w:val="18"/>
        </w:rPr>
        <w:t>D040103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卫星大地测量学</w:t>
      </w:r>
    </w:p>
    <w:p>
      <w:pPr>
        <w:autoSpaceDE w:val="0"/>
        <w:autoSpaceDN w:val="0"/>
        <w:jc w:val="left"/>
        <w:spacing w:before="4294967295" w:after="0" w:lineRule="exact" w:line="225"/>
        <w:ind w:right="0" w:left="2040" w:firstLine="0"/>
        <w:snapToGrid w:val="0"/>
        <w:textAlignment w:val="auto"/>
        <w:tabs/>
        <w:rPr>
          <w:rFonts w:ascii="宋体" w:hAnsi="宋体" w:cs="宋体" w:eastAsia="宋体" w:hint="ascii"/>
          <w:sz w:val="18"/>
        </w:rPr>
      </w:pPr>
      <w:r>
        <w:rPr>
          <w:rFonts w:ascii="宋体" w:hAnsi="宋体" w:cs="宋体" w:eastAsia="宋体" w:hint="ascii"/>
          <w:sz w:val="18"/>
        </w:rPr>
        <w:t>（含导航学）</w:t>
      </w:r>
    </w:p>
    <w:p>
      <w:pPr>
        <w:autoSpaceDE w:val="0"/>
        <w:autoSpaceDN w:val="0"/>
        <w:jc w:val="left"/>
        <w:spacing w:before="59"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地震学</w:t>
      </w:r>
    </w:p>
    <w:p>
      <w:pPr>
        <w:autoSpaceDE w:val="0"/>
        <w:autoSpaceDN w:val="0"/>
        <w:jc w:val="left"/>
        <w:spacing w:before="65"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地磁学</w:t>
      </w:r>
    </w:p>
    <w:p>
      <w:pPr>
        <w:autoSpaceDE w:val="0"/>
        <w:autoSpaceDN w:val="0"/>
        <w:jc w:val="left"/>
        <w:spacing w:before="64" w:after="0" w:lineRule="auto" w:line="312"/>
        <w:ind w:right="257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地球电磁学</w:t>
      </w:r>
      <w:r>
        <w:rPr>
          <w:rFonts w:ascii="Times New Roman" w:hAnsi="Times New Roman" w:cs="Times New Roman" w:eastAsia="Times New Roman" w:hint="ascii"/>
          <w:b w:val="1"/>
          <w:sz w:val="18"/>
        </w:rPr>
        <w:t>D0405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重力学</w:t>
      </w:r>
      <w:r>
        <w:rPr>
          <w:rFonts w:ascii="Times New Roman" w:hAnsi="Times New Roman" w:cs="Times New Roman" w:eastAsia="Times New Roman" w:hint="ascii"/>
          <w:b w:val="1"/>
          <w:sz w:val="18"/>
        </w:rPr>
        <w:t>D0406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地热学</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地球内部物理学</w:t>
      </w:r>
    </w:p>
    <w:p>
      <w:pPr>
        <w:autoSpaceDE w:val="0"/>
        <w:autoSpaceDN w:val="0"/>
        <w:jc w:val="left"/>
        <w:spacing w:before="66" w:after="0" w:lineRule="auto" w:line="312"/>
        <w:ind w:right="221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地球动力学</w:t>
      </w:r>
      <w:r>
        <w:rPr>
          <w:rFonts w:ascii="Times New Roman" w:hAnsi="Times New Roman" w:cs="Times New Roman" w:eastAsia="Times New Roman" w:hint="ascii"/>
          <w:b w:val="1"/>
          <w:sz w:val="18"/>
        </w:rPr>
        <w:t>D0409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应用地球物理学</w:t>
      </w:r>
    </w:p>
    <w:p>
      <w:pPr>
        <w:autoSpaceDE w:val="0"/>
        <w:autoSpaceDN w:val="0"/>
        <w:jc w:val="left"/>
        <w:spacing w:before="0" w:after="0" w:lineRule="auto" w:line="238"/>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D040901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勘探地球物理学</w:t>
      </w:r>
    </w:p>
    <w:p>
      <w:pPr>
        <w:autoSpaceDE w:val="0"/>
        <w:autoSpaceDN w:val="0"/>
        <w:jc w:val="left"/>
        <w:spacing w:before="6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D040902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城市地球物理</w:t>
      </w:r>
    </w:p>
    <w:p>
      <w:pPr>
        <w:autoSpaceDE w:val="0"/>
        <w:autoSpaceDN w:val="0"/>
        <w:jc w:val="left"/>
        <w:spacing w:before="65"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737" w:space="30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D0410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空间物理</w:t>
      </w:r>
      <w:rPr>
        <w:rFonts w:ascii="宋体" w:hAnsi="宋体" w:cs="宋体" w:eastAsia="宋体" w:hint="ascii"/>
        <w:sz w:val="18"/>
      </w:rPr>
    </w:p>
    <w:p>
      <w:pPr>
        <w:autoSpaceDE w:val="0"/>
        <w:autoSpaceDN w:val="0"/>
        <w:jc w:val="left"/>
        <w:spacing w:before="513"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311"/>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D041001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高层大气物理学</w:t>
      </w:r>
      <w:r>
        <w:rPr>
          <w:rFonts w:ascii="Times New Roman" w:hAnsi="Times New Roman" w:cs="Times New Roman" w:eastAsia="Times New Roman" w:hint="ascii"/>
          <w:sz w:val="18"/>
        </w:rPr>
        <w:t>D041002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电离层物理学</w:t>
      </w:r>
      <w:r>
        <w:rPr>
          <w:rFonts w:ascii="Times New Roman" w:hAnsi="Times New Roman" w:cs="Times New Roman" w:eastAsia="Times New Roman" w:hint="ascii"/>
          <w:sz w:val="18"/>
        </w:rPr>
        <w:t>D041003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磁层物理学</w:t>
      </w:r>
      <w:r>
        <w:rPr>
          <w:rFonts w:ascii="宋体" w:hAnsi="宋体" w:cs="宋体" w:eastAsia="宋体" w:hint="ascii"/>
          <w:sz w:val="18"/>
        </w:rPr>
        <mc:AlternateContent>
          <mc:Choice Requires="wps">
            <w:drawing>
              <wp:anchor distL="0" distR="0" distT="0" distB="0" simplePos="0" behindDoc="1" relativeHeight="353" locked="0" layoutInCell="1" allowOverlap="1">
                <wp:simplePos x="0" y="0"/>
                <wp:positionH relativeFrom="page">
                  <wp:posOffset>938530</wp:posOffset>
                </wp:positionH>
                <wp:positionV relativeFrom="page">
                  <wp:posOffset>805815</wp:posOffset>
                </wp:positionV>
                <wp:extent cx="5076190" cy="0"/>
                <wp:wrapNone/>
                <wp:docPr id="1380" name="138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96768;width:399.70pt;" id="138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D041004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太</w:t>
      </w:r>
      <w:r>
        <w:rPr>
          <w:rFonts w:ascii="宋体" w:hAnsi="宋体" w:cs="宋体" w:eastAsia="宋体" w:hint="ascii"/>
          <w:sz w:val="18"/>
        </w:rPr>
        <w:t>阳大气和行星际物</w:t>
      </w:r>
    </w:p>
    <w:p>
      <w:pPr>
        <w:autoSpaceDE w:val="0"/>
        <w:autoSpaceDN w:val="0"/>
        <w:jc w:val="left"/>
        <w:spacing w:before="64"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理学</w:t>
      </w:r>
    </w:p>
    <w:p>
      <w:pPr>
        <w:autoSpaceDE w:val="0"/>
        <w:autoSpaceDN w:val="0"/>
        <w:jc w:val="both"/>
        <w:spacing w:before="59" w:after="0" w:lineRule="auto" w:line="312"/>
        <w:ind w:right="54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D041005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宇</w:t>
      </w:r>
      <w:r>
        <w:rPr>
          <w:rFonts w:ascii="宋体" w:hAnsi="宋体" w:cs="宋体" w:eastAsia="宋体" w:hint="ascii"/>
          <w:sz w:val="18"/>
        </w:rPr>
        <w:t>宙线物理学</w:t>
      </w:r>
      <w:r>
        <w:rPr>
          <w:rFonts w:ascii="Times New Roman" w:hAnsi="Times New Roman" w:cs="Times New Roman" w:eastAsia="Times New Roman" w:hint="ascii"/>
          <w:sz w:val="18"/>
        </w:rPr>
        <w:t>D041006</w:t>
      </w:r>
      <w:r>
        <w:rPr>
          <w:rFonts w:ascii="Times New Roman" w:hAnsi="Times New Roman" w:cs="Times New Roman" w:eastAsia="Times New Roman" w:hint="ascii"/>
          <w:sz w:val="18"/>
          <w:spacing w:val="45"/>
        </w:rPr>
        <w:t xml:space="preserve"> </w:t>
      </w:r>
      <w:r>
        <w:rPr>
          <w:rFonts w:ascii="宋体" w:hAnsi="宋体" w:cs="宋体" w:eastAsia="宋体" w:hint="ascii"/>
          <w:sz w:val="18"/>
        </w:rPr>
        <w:t>行星物理学</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地球物理实验与仪器</w:t>
      </w:r>
    </w:p>
    <w:p>
      <w:pPr>
        <w:autoSpaceDE w:val="0"/>
        <w:autoSpaceDN w:val="0"/>
        <w:jc w:val="left"/>
        <w:spacing w:before="6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D0412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空间环境和空间天气</w:t>
      </w:r>
    </w:p>
    <w:p>
      <w:pPr>
        <w:autoSpaceDE w:val="0"/>
        <w:autoSpaceDN w:val="0"/>
        <w:jc w:val="left"/>
        <w:spacing w:before="58"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D05</w:t>
      </w:r>
      <w:r>
        <w:rPr>
          <w:rFonts w:ascii="Times New Roman" w:hAnsi="Times New Roman" w:cs="Times New Roman" w:eastAsia="Times New Roman" w:hint="ascii"/>
          <w:b w:val="1"/>
          <w:spacing w:val="60"/>
        </w:rPr>
        <w:t xml:space="preserve"> </w:t>
      </w:r>
      <w:r>
        <w:rPr>
          <w:rFonts w:ascii="宋体" w:hAnsi="宋体" w:cs="宋体" w:eastAsia="宋体" w:hint="ascii"/>
        </w:rPr>
        <w:t>大气科学</w:t>
      </w:r>
    </w:p>
    <w:p>
      <w:pPr>
        <w:autoSpaceDE w:val="0"/>
        <w:autoSpaceDN w:val="0"/>
        <w:jc w:val="left"/>
        <w:spacing w:before="8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对流层大气物理学</w:t>
      </w:r>
    </w:p>
    <w:p>
      <w:pPr>
        <w:autoSpaceDE w:val="0"/>
        <w:autoSpaceDN w:val="0"/>
        <w:jc w:val="both"/>
        <w:spacing w:before="65" w:after="0" w:lineRule="auto" w:line="312"/>
        <w:ind w:right="122"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D0502</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边界</w:t>
      </w:r>
      <w:r>
        <w:rPr>
          <w:rFonts w:ascii="宋体" w:hAnsi="宋体" w:cs="宋体" w:eastAsia="宋体" w:hint="ascii"/>
          <w:sz w:val="18"/>
        </w:rPr>
        <w:t>层大气物理学和大气湍流</w:t>
      </w:r>
      <w:r>
        <w:rPr>
          <w:rFonts w:ascii="Times New Roman" w:hAnsi="Times New Roman" w:cs="Times New Roman" w:eastAsia="Times New Roman" w:hint="ascii"/>
          <w:b w:val="1"/>
          <w:sz w:val="18"/>
        </w:rPr>
        <w:t>D0503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大气遥感和大气探测</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中层与行星大气物理学</w:t>
      </w:r>
    </w:p>
    <w:p>
      <w:pPr>
        <w:autoSpaceDE w:val="0"/>
        <w:autoSpaceDN w:val="0"/>
        <w:jc w:val="left"/>
        <w:spacing w:before="6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D0505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天气学</w:t>
      </w:r>
    </w:p>
    <w:p>
      <w:pPr>
        <w:autoSpaceDE w:val="0"/>
        <w:autoSpaceDN w:val="0"/>
        <w:jc w:val="left"/>
        <w:spacing w:before="6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大气动力学</w:t>
      </w:r>
    </w:p>
    <w:p>
      <w:pPr>
        <w:autoSpaceDE w:val="0"/>
        <w:autoSpaceDN w:val="0"/>
        <w:jc w:val="left"/>
        <w:spacing w:before="64" w:after="0" w:lineRule="auto" w:line="312"/>
        <w:ind w:right="563"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气候学与气候系统</w:t>
      </w:r>
      <w:r>
        <w:rPr>
          <w:rFonts w:ascii="Times New Roman" w:hAnsi="Times New Roman" w:cs="Times New Roman" w:eastAsia="Times New Roman" w:hint="ascii"/>
          <w:b w:val="1"/>
          <w:sz w:val="18"/>
        </w:rPr>
        <w:t>D0508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数值预报与数值模拟</w:t>
      </w:r>
      <w:r>
        <w:rPr>
          <w:rFonts w:ascii="Times New Roman" w:hAnsi="Times New Roman" w:cs="Times New Roman" w:eastAsia="Times New Roman" w:hint="ascii"/>
          <w:b w:val="1"/>
          <w:sz w:val="18"/>
        </w:rPr>
        <w:t>D0509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应用气象学</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D0510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大气化学</w:t>
      </w:r>
    </w:p>
    <w:p>
      <w:pPr>
        <w:autoSpaceDE w:val="0"/>
        <w:autoSpaceDN w:val="0"/>
        <w:jc w:val="left"/>
        <w:spacing w:before="66" w:after="0" w:lineRule="auto" w:line="311"/>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D05</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 xml:space="preserve">云雾物理化学与人工影响天气 </w:t>
      </w:r>
      <w:r>
        <w:rPr>
          <w:rFonts w:ascii="Times New Roman" w:hAnsi="Times New Roman" w:cs="Times New Roman" w:eastAsia="Times New Roman" w:hint="ascii"/>
          <w:b w:val="1"/>
          <w:sz w:val="18"/>
          <w:spacing w:val="1"/>
        </w:rPr>
        <w:t>D05</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大气环境与全球气候变化</w:t>
      </w:r>
      <w:r>
        <w:rPr>
          <w:rFonts w:ascii="Times New Roman" w:hAnsi="Times New Roman" w:cs="Times New Roman" w:eastAsia="Times New Roman" w:hint="ascii"/>
          <w:b w:val="1"/>
          <w:sz w:val="18"/>
        </w:rPr>
        <w:t>D0513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气象观测原理、方法及数据分</w:t>
      </w:r>
      <w:r>
        <w:rPr>
          <w:rFonts w:ascii="宋体" w:hAnsi="宋体" w:cs="宋体" w:eastAsia="宋体" w:hint="ascii"/>
          <w:sz w:val="18"/>
        </w:rPr>
        <w:t>析</w:t>
      </w:r>
    </w:p>
    <w:p>
      <w:pPr>
        <w:autoSpaceDE w:val="0"/>
        <w:autoSpaceDN w:val="0"/>
        <w:jc w:val="left"/>
        <w:spacing w:before="0" w:after="0" w:lineRule="auto" w:line="233"/>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D06</w:t>
      </w:r>
      <w:r>
        <w:rPr>
          <w:rFonts w:ascii="Times New Roman" w:hAnsi="Times New Roman" w:cs="Times New Roman" w:eastAsia="Times New Roman" w:hint="ascii"/>
          <w:b w:val="1"/>
          <w:spacing w:val="60"/>
        </w:rPr>
        <w:t xml:space="preserve"> </w:t>
      </w:r>
      <w:r>
        <w:rPr>
          <w:rFonts w:ascii="宋体" w:hAnsi="宋体" w:cs="宋体" w:eastAsia="宋体" w:hint="ascii"/>
        </w:rPr>
        <w:t>海洋科学</w:t>
      </w:r>
    </w:p>
    <w:p>
      <w:pPr>
        <w:autoSpaceDE w:val="0"/>
        <w:autoSpaceDN w:val="0"/>
        <w:jc w:val="left"/>
        <w:spacing w:before="9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物理海洋学</w:t>
      </w:r>
    </w:p>
    <w:p>
      <w:pPr>
        <w:autoSpaceDE w:val="0"/>
        <w:autoSpaceDN w:val="0"/>
        <w:jc w:val="left"/>
        <w:spacing w:before="6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海洋物理学</w:t>
      </w:r>
    </w:p>
    <w:p>
      <w:pPr>
        <w:autoSpaceDE w:val="0"/>
        <w:autoSpaceDN w:val="0"/>
        <w:jc w:val="left"/>
        <w:spacing w:before="6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海洋地质学</w:t>
      </w:r>
    </w:p>
    <w:p>
      <w:pPr>
        <w:autoSpaceDE w:val="0"/>
        <w:autoSpaceDN w:val="0"/>
        <w:jc w:val="left"/>
        <w:spacing w:before="6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海洋化学</w:t>
      </w:r>
    </w:p>
    <w:p>
      <w:pPr>
        <w:autoSpaceDE w:val="0"/>
        <w:autoSpaceDN w:val="0"/>
        <w:jc w:val="left"/>
        <w:spacing w:before="6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河口海岸学</w:t>
      </w:r>
    </w:p>
    <w:p>
      <w:pPr>
        <w:autoSpaceDE w:val="0"/>
        <w:autoSpaceDN w:val="0"/>
        <w:jc w:val="left"/>
        <w:spacing w:before="6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工程海洋学</w:t>
      </w:r>
    </w:p>
    <w:p>
      <w:pPr>
        <w:autoSpaceDE w:val="0"/>
        <w:autoSpaceDN w:val="0"/>
        <w:jc w:val="both"/>
        <w:spacing w:before="65" w:after="0" w:lineRule="auto" w:line="310"/>
        <w:ind w:right="842"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D0607</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海洋</w:t>
      </w:r>
      <w:r>
        <w:rPr>
          <w:rFonts w:ascii="宋体" w:hAnsi="宋体" w:cs="宋体" w:eastAsia="宋体" w:hint="ascii"/>
          <w:sz w:val="18"/>
        </w:rPr>
        <w:t>监测、调查技术</w:t>
      </w:r>
      <w:r>
        <w:rPr>
          <w:rFonts w:ascii="Times New Roman" w:hAnsi="Times New Roman" w:cs="Times New Roman" w:eastAsia="Times New Roman" w:hint="ascii"/>
          <w:b w:val="1"/>
          <w:sz w:val="18"/>
        </w:rPr>
        <w:t>D0608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海洋环境科学</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生物海洋学与海洋生物资源</w:t>
      </w:r>
    </w:p>
    <w:p>
      <w:pPr>
        <w:autoSpaceDE w:val="0"/>
        <w:autoSpaceDN w:val="0"/>
        <w:jc w:val="left"/>
        <w:spacing w:before="6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海洋遥感</w:t>
      </w:r>
    </w:p>
    <w:p>
      <w:pPr>
        <w:autoSpaceDE w:val="0"/>
        <w:autoSpaceDN w:val="0"/>
        <w:jc w:val="left"/>
        <w:spacing w:before="6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D06</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极地科学</w:t>
      </w:r>
    </w:p>
    <w:p>
      <w:pPr>
        <w:autoSpaceDE w:val="0"/>
        <w:autoSpaceDN w:val="0"/>
        <w:jc w:val="left"/>
        <w:spacing w:before="183"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D07</w:t>
      </w:r>
      <w:r>
        <w:rPr>
          <w:rFonts w:ascii="Times New Roman" w:hAnsi="Times New Roman" w:cs="Times New Roman" w:eastAsia="Times New Roman" w:hint="ascii"/>
          <w:b w:val="1"/>
          <w:spacing w:val="60"/>
        </w:rPr>
        <w:t xml:space="preserve"> </w:t>
      </w:r>
      <w:r>
        <w:rPr>
          <w:rFonts w:ascii="宋体" w:hAnsi="宋体" w:cs="宋体" w:eastAsia="宋体" w:hint="ascii"/>
        </w:rPr>
        <w:t>环境地球科学</w:t>
      </w:r>
    </w:p>
    <w:p>
      <w:pPr>
        <w:autoSpaceDE w:val="0"/>
        <w:autoSpaceDN w:val="0"/>
        <w:jc w:val="left"/>
        <w:spacing w:before="9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土壤学</w:t>
      </w:r>
    </w:p>
    <w:p>
      <w:pPr>
        <w:autoSpaceDE w:val="0"/>
        <w:autoSpaceDN w:val="0"/>
        <w:jc w:val="left"/>
        <w:spacing w:before="1533"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272</w:t>
      </w:r>
      <w:r>
        <w:rPr>
          <w:rFonts w:ascii="宋体" w:hAnsi="宋体" w:cs="宋体" w:eastAsia="宋体" w:hint="ascii"/>
          <w:sz w:val="18"/>
        </w:rPr>
        <w:t>·</w:t>
      </w:r>
    </w:p>
    <w:p>
      <w:pPr>
        <w:autoSpaceDE w:val="0"/>
        <w:autoSpaceDN w:val="0"/>
        <w:jc w:val="left"/>
        <w:spacing w:before="354" w:after="0" w:lineRule="auto" w:line="313"/>
        <w:ind w:right="137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D070101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土壤地理学</w:t>
      </w:r>
      <w:r>
        <w:rPr>
          <w:rFonts w:ascii="Times New Roman" w:hAnsi="Times New Roman" w:cs="Times New Roman" w:eastAsia="Times New Roman" w:hint="ascii"/>
          <w:sz w:val="18"/>
        </w:rPr>
        <w:t>D070102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土壤物理学</w:t>
      </w:r>
      <w:r>
        <w:rPr>
          <w:rFonts w:ascii="Times New Roman" w:hAnsi="Times New Roman" w:cs="Times New Roman" w:eastAsia="Times New Roman" w:hint="ascii"/>
          <w:sz w:val="18"/>
        </w:rPr>
        <w:t>D070103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土壤化学</w:t>
      </w:r>
      <w:r>
        <w:rPr>
          <w:rFonts w:ascii="Times New Roman" w:hAnsi="Times New Roman" w:cs="Times New Roman" w:eastAsia="Times New Roman" w:hint="ascii"/>
          <w:sz w:val="18"/>
        </w:rPr>
        <w:t>D070104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土壤生物学</w:t>
      </w:r>
    </w:p>
    <w:p>
      <w:pPr>
        <w:autoSpaceDE w:val="0"/>
        <w:autoSpaceDN w:val="0"/>
        <w:jc w:val="left"/>
        <w:spacing w:before="0"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土壤侵蚀与水土保持</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土壤肥力与土壤养分</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循环</w:t>
      </w:r>
    </w:p>
    <w:p>
      <w:pPr>
        <w:autoSpaceDE w:val="0"/>
        <w:autoSpaceDN w:val="0"/>
        <w:jc w:val="left"/>
        <w:spacing w:before="61" w:after="0" w:lineRule="auto" w:line="314"/>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土壤污染与修复</w:t>
      </w:r>
      <w:r>
        <w:rPr>
          <w:rFonts w:ascii="Times New Roman" w:hAnsi="Times New Roman" w:cs="Times New Roman" w:eastAsia="Times New Roman" w:hint="ascii"/>
          <w:sz w:val="18"/>
          <w:spacing w:val="-1"/>
        </w:rPr>
        <w:t>D070108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土</w:t>
      </w:r>
      <w:r>
        <w:rPr>
          <w:rFonts w:ascii="宋体" w:hAnsi="宋体" w:cs="宋体" w:eastAsia="宋体" w:hint="ascii"/>
          <w:sz w:val="18"/>
        </w:rPr>
        <w:t>壤质量与食物安全</w:t>
      </w:r>
    </w:p>
    <w:p>
      <w:pPr>
        <w:autoSpaceDE w:val="0"/>
        <w:autoSpaceDN w:val="0"/>
        <w:jc w:val="left"/>
        <w:spacing w:before="0" w:after="0" w:lineRule="auto" w:line="238"/>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水文学</w:t>
      </w:r>
    </w:p>
    <w:p>
      <w:pPr>
        <w:autoSpaceDE w:val="0"/>
        <w:autoSpaceDN w:val="0"/>
        <w:jc w:val="both"/>
        <w:spacing w:before="67" w:after="0" w:lineRule="auto" w:line="314"/>
        <w:ind w:right="1232"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D0703</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地下</w:t>
      </w:r>
      <w:r>
        <w:rPr>
          <w:rFonts w:ascii="宋体" w:hAnsi="宋体" w:cs="宋体" w:eastAsia="宋体" w:hint="ascii"/>
          <w:sz w:val="18"/>
        </w:rPr>
        <w:t>水科学（含地热地质学）</w:t>
      </w:r>
      <w:r>
        <w:rPr>
          <w:rFonts w:ascii="Times New Roman" w:hAnsi="Times New Roman" w:cs="Times New Roman" w:eastAsia="Times New Roman" w:hint="ascii"/>
          <w:b w:val="1"/>
          <w:sz w:val="18"/>
        </w:rPr>
        <w:t>D0704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工程地质学</w:t>
      </w:r>
    </w:p>
    <w:p>
      <w:pPr>
        <w:autoSpaceDE w:val="0"/>
        <w:autoSpaceDN w:val="0"/>
        <w:jc w:val="left"/>
        <w:spacing w:before="0" w:after="0" w:lineRule="auto" w:line="238"/>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环境地质学和灾害地质学</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环境大气科学</w:t>
      </w:r>
    </w:p>
    <w:p>
      <w:pPr>
        <w:autoSpaceDE w:val="0"/>
        <w:autoSpaceDN w:val="0"/>
        <w:jc w:val="left"/>
        <w:spacing w:before="68"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生物地质学</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生物地球化学</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环境地球化学</w:t>
      </w:r>
    </w:p>
    <w:p>
      <w:pPr>
        <w:autoSpaceDE w:val="0"/>
        <w:autoSpaceDN w:val="0"/>
        <w:jc w:val="left"/>
        <w:spacing w:before="68"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环境生物学</w:t>
      </w:r>
    </w:p>
    <w:p>
      <w:pPr>
        <w:autoSpaceDE w:val="0"/>
        <w:autoSpaceDN w:val="0"/>
        <w:jc w:val="left"/>
        <w:spacing w:before="67" w:after="0" w:lineRule="auto" w:line="314"/>
        <w:ind w:right="119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环境生态学</w:t>
      </w:r>
      <w:r>
        <w:rPr>
          <w:rFonts w:ascii="Times New Roman" w:hAnsi="Times New Roman" w:cs="Times New Roman" w:eastAsia="Times New Roman" w:hint="ascii"/>
          <w:sz w:val="18"/>
        </w:rPr>
        <w:t>D071002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环境生物地球化学</w:t>
      </w:r>
      <w:r>
        <w:rPr>
          <w:rFonts w:ascii="Times New Roman" w:hAnsi="Times New Roman" w:cs="Times New Roman" w:eastAsia="Times New Roman" w:hint="ascii"/>
          <w:sz w:val="18"/>
        </w:rPr>
        <w:t>D071003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环境有机地球化学</w:t>
      </w:r>
    </w:p>
    <w:p>
      <w:pPr>
        <w:autoSpaceDE w:val="0"/>
        <w:autoSpaceDN w:val="0"/>
        <w:jc w:val="left"/>
        <w:spacing w:before="0" w:after="0" w:lineRule="auto" w:line="239"/>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第四纪地质学</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环境变化与预测</w:t>
      </w:r>
    </w:p>
    <w:p>
      <w:pPr>
        <w:autoSpaceDE w:val="0"/>
        <w:autoSpaceDN w:val="0"/>
        <w:jc w:val="left"/>
        <w:spacing w:before="68"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污染物行为过程及其环境效应</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D071301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污染物迁移、转化、</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归趋动力学</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D071302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污染物生物有效性与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生态毒理</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D071303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污染物区域空间过程</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与生态风险</w: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D0714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区域环境质量与安全</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区域环境质量综合评</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估</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D071402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自然灾害风险评估与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公共安全</w:t>
      </w:r>
    </w:p>
    <w:p>
      <w:pPr>
        <w:autoSpaceDE w:val="0"/>
        <w:autoSpaceDN w:val="0"/>
        <w:jc w:val="both"/>
        <w:spacing w:before="62" w:after="0" w:lineRule="auto" w:line="313"/>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D071403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重</w:t>
      </w:r>
      <w:r>
        <w:rPr>
          <w:rFonts w:ascii="宋体" w:hAnsi="宋体" w:cs="宋体" w:eastAsia="宋体" w:hint="ascii"/>
          <w:sz w:val="18"/>
        </w:rPr>
        <w:t>大工程活动的影响</w:t>
      </w:r>
      <w:r>
        <w:rPr>
          <w:rFonts w:ascii="Times New Roman" w:hAnsi="Times New Roman" w:cs="Times New Roman" w:eastAsia="Times New Roman" w:hint="ascii"/>
          <w:sz w:val="18"/>
          <w:spacing w:val="-1"/>
        </w:rPr>
        <w:t>D071404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态恢复及其环境效</w:t>
      </w:r>
    </w:p>
    <w:p>
      <w:pPr>
        <w:autoSpaceDE w:val="0"/>
        <w:autoSpaceDN w:val="0"/>
        <w:jc w:val="left"/>
        <w:spacing w:before="0" w:after="0" w:lineRule="exact" w:line="225"/>
        <w:ind w:right="0" w:left="1490" w:firstLine="0"/>
        <w:snapToGrid w:val="0"/>
        <w:textAlignment w:val="auto"/>
        <w:tabs/>
        <w:sectPr>
          <w:type w:val="continuous"/>
          <w:pgSz w:w="10940" w:h="15080" w:orient="portrait"/>
          <w:pgMar w:top="508" w:right="508" w:bottom="508" w:left="508" w:header="0" w:footer="0" w:gutter="0"/>
          <w:cols w:num="2" w:space="0" w:equalWidth="0">
            <w:col w:w="4737" w:space="946"/>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应</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rPr>
          <w:rFonts w:ascii="宋体" w:hAnsi="宋体" w:cs="宋体" w:eastAsia="宋体" w:hint="ascii"/>
          <w:sz w:val="19"/>
        </w:rPr>
      </w:pPr>
      <w:r>
        <w:rPr>
          <w:rFonts w:ascii="宋体" w:hAnsi="宋体" w:cs="宋体" w:eastAsia="宋体" w:hint="ascii"/>
          <w:sz w:val="19"/>
        </w:rPr>
        <w:t>国家自然科学基金申请代码</w:t>
      </w:r>
    </w:p>
    <w:p>
      <w:pPr>
        <w:autoSpaceDE w:val="0"/>
        <w:autoSpaceDN w:val="0"/>
        <w:jc w:val="left"/>
        <w:spacing w:before="438" w:after="0" w:lineRule="auto" w:line="240"/>
        <w:ind w:right="0" w:left="3162"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rPr>
        <w:t>E</w:t>
      </w:r>
      <w:r>
        <w:rPr>
          <w:rFonts w:ascii="宋体" w:hAnsi="宋体" w:cs="宋体" w:eastAsia="宋体" w:hint="ascii"/>
          <w:sz w:val="38"/>
        </w:rPr>
        <w:t>.</w:t>
      </w:r>
      <w:r>
        <w:rPr>
          <w:rFonts w:ascii="宋体" w:hAnsi="宋体" w:cs="宋体" w:eastAsia="宋体" w:hint="ascii"/>
          <w:sz w:val="38"/>
          <w:spacing w:val="-43"/>
        </w:rPr>
        <w:t xml:space="preserve"> </w:t>
      </w:r>
      <w:r>
        <w:rPr>
          <w:rFonts w:ascii="宋体" w:hAnsi="宋体" w:cs="宋体" w:eastAsia="宋体" w:hint="ascii"/>
          <w:sz w:val="38"/>
        </w:rPr>
        <w:t>工程与材料科学部</w:t>
      </w:r>
      <w:r>
        <w:rPr>
          <w:rFonts w:ascii="宋体" w:hAnsi="宋体" w:cs="宋体" w:eastAsia="宋体" w:hint="ascii"/>
          <w:sz w:val="38"/>
        </w:rPr>
        <mc:AlternateContent>
          <mc:Choice Requires="wps">
            <w:drawing>
              <wp:anchor distL="0" distR="0" distT="0" distB="0" simplePos="0" behindDoc="1" relativeHeight="354" locked="0" layoutInCell="1" allowOverlap="1">
                <wp:simplePos x="0" y="0"/>
                <wp:positionH relativeFrom="page">
                  <wp:posOffset>938530</wp:posOffset>
                </wp:positionH>
                <wp:positionV relativeFrom="page">
                  <wp:posOffset>819150</wp:posOffset>
                </wp:positionV>
                <wp:extent cx="5076190" cy="0"/>
                <wp:wrapNone/>
                <wp:docPr id="1381" name="138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95744;width:399.70pt;" id="1381" coordsize="7994,0" strokeweight="0.50pt" strokecolor="#231f20" fillcolor="#auto" opacity="0f" from="0.00pt, 0.00pt" to="399.70pt, 0.00pt">
                <v:stroke endcap="round"/>
                <v:fill opacity="0f"/>
                <w10:wrap anchorx="page" anchory="page" side="both"/>
              </v:line>
            </w:pict>
          </mc:Fallback>
        </mc:AlternateContent>
      </w:r>
      <w:rPr>
        <w:rFonts w:ascii="宋体" w:hAnsi="宋体" w:cs="宋体" w:eastAsia="宋体" w:hint="ascii"/>
        <w:sz w:val="38"/>
      </w:rPr>
    </w:p>
    <w:p>
      <w:pPr>
        <w:autoSpaceDE w:val="0"/>
        <w:autoSpaceDN w:val="0"/>
        <w:jc w:val="left"/>
        <w:spacing w:before="29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E01</w:t>
      </w:r>
      <w:r>
        <w:rPr>
          <w:rFonts w:ascii="Times New Roman" w:hAnsi="Times New Roman" w:cs="Times New Roman" w:eastAsia="Times New Roman" w:hint="ascii"/>
          <w:b w:val="1"/>
          <w:spacing w:val="60"/>
        </w:rPr>
        <w:t xml:space="preserve"> </w:t>
      </w:r>
      <w:r>
        <w:rPr>
          <w:rFonts w:ascii="宋体" w:hAnsi="宋体" w:cs="宋体" w:eastAsia="宋体" w:hint="ascii"/>
        </w:rPr>
        <w:t>金属材料</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金属结构材料</w: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新型金属结构材料</w:t>
      </w:r>
      <w:r>
        <w:rPr>
          <w:rFonts w:ascii="Times New Roman" w:hAnsi="Times New Roman" w:cs="Times New Roman" w:eastAsia="Times New Roman" w:hint="ascii"/>
          <w:sz w:val="18"/>
        </w:rPr>
        <w:t>E010102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钢铁和有色合金结构</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金属基复合材料</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纤维、颗粒增强金属</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基复合材料</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新型金属基复合材料</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金属非晶态、准晶和纳米晶材</w:t>
      </w:r>
      <w:r>
        <w:rPr>
          <w:rFonts w:ascii="宋体" w:hAnsi="宋体" w:cs="宋体" w:eastAsia="宋体" w:hint="ascii"/>
          <w:sz w:val="18"/>
        </w:rPr>
        <w:t>料</w:t>
      </w:r>
    </w:p>
    <w:p>
      <w:pPr>
        <w:autoSpaceDE w:val="0"/>
        <w:autoSpaceDN w:val="0"/>
        <w:jc w:val="left"/>
        <w:spacing w:before="62"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非晶态金属材料</w:t>
      </w:r>
      <w:r>
        <w:rPr>
          <w:rFonts w:ascii="Times New Roman" w:hAnsi="Times New Roman" w:cs="Times New Roman" w:eastAsia="Times New Roman" w:hint="ascii"/>
          <w:sz w:val="18"/>
        </w:rPr>
        <w:t>E010302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纳米晶金属材料</w:t>
      </w:r>
      <w:r>
        <w:rPr>
          <w:rFonts w:ascii="Times New Roman" w:hAnsi="Times New Roman" w:cs="Times New Roman" w:eastAsia="Times New Roman" w:hint="ascii"/>
          <w:sz w:val="18"/>
        </w:rPr>
        <w:t>E010303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新型亚稳金属材料</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极端条件下使用的金属材料</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金属功能材料</w:t>
      </w:r>
    </w:p>
    <w:p>
      <w:pPr>
        <w:autoSpaceDE w:val="0"/>
        <w:autoSpaceDN w:val="0"/>
        <w:jc w:val="left"/>
        <w:spacing w:before="6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金属光、电、磁功能</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57"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金属智能和仿生材料</w:t>
      </w:r>
      <w:r>
        <w:rPr>
          <w:rFonts w:ascii="Times New Roman" w:hAnsi="Times New Roman" w:cs="Times New Roman" w:eastAsia="Times New Roman" w:hint="ascii"/>
          <w:sz w:val="18"/>
        </w:rPr>
        <w:t>E010503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金属生物医用材料</w:t>
      </w:r>
      <w:r>
        <w:rPr>
          <w:rFonts w:ascii="Times New Roman" w:hAnsi="Times New Roman" w:cs="Times New Roman" w:eastAsia="Times New Roman" w:hint="ascii"/>
          <w:sz w:val="18"/>
        </w:rPr>
        <w:t>E010504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金属能源和环境材料</w:t>
      </w:r>
      <w:r>
        <w:rPr>
          <w:rFonts w:ascii="Times New Roman" w:hAnsi="Times New Roman" w:cs="Times New Roman" w:eastAsia="Times New Roman" w:hint="ascii"/>
          <w:sz w:val="18"/>
        </w:rPr>
        <w:t>E010505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金属催化材料</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金属材料的合金相、相变及合</w:t>
      </w:r>
    </w:p>
    <w:p>
      <w:pPr>
        <w:autoSpaceDE w:val="0"/>
        <w:autoSpaceDN w:val="0"/>
        <w:jc w:val="left"/>
        <w:spacing w:before="63"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金设计</w:t>
      </w:r>
    </w:p>
    <w:p>
      <w:pPr>
        <w:autoSpaceDE w:val="0"/>
        <w:autoSpaceDN w:val="0"/>
        <w:jc w:val="left"/>
        <w:spacing w:before="57"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金属材料的合金相图</w:t>
      </w:r>
      <w:r>
        <w:rPr>
          <w:rFonts w:ascii="Times New Roman" w:hAnsi="Times New Roman" w:cs="Times New Roman" w:eastAsia="Times New Roman" w:hint="ascii"/>
          <w:sz w:val="18"/>
        </w:rPr>
        <w:t>E010602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金属材料的合金相变</w:t>
      </w:r>
      <w:r>
        <w:rPr>
          <w:rFonts w:ascii="Times New Roman" w:hAnsi="Times New Roman" w:cs="Times New Roman" w:eastAsia="Times New Roman" w:hint="ascii"/>
          <w:sz w:val="18"/>
        </w:rPr>
        <w:t>E010603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金属材料的合金设计</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金属材料的微观结构</w:t>
      </w:r>
    </w:p>
    <w:p>
      <w:pPr>
        <w:autoSpaceDE w:val="0"/>
        <w:autoSpaceDN w:val="0"/>
        <w:jc w:val="left"/>
        <w:spacing w:before="6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金属的晶体结构与缺</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陷及其表征方法</w:t>
      </w:r>
    </w:p>
    <w:p>
      <w:pPr>
        <w:autoSpaceDE w:val="0"/>
        <w:autoSpaceDN w:val="0"/>
        <w:jc w:val="left"/>
        <w:spacing w:before="5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金属材料的界面问题</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金属材料的力学行为</w:t>
      </w:r>
    </w:p>
    <w:p>
      <w:pPr>
        <w:autoSpaceDE w:val="0"/>
        <w:autoSpaceDN w:val="0"/>
        <w:jc w:val="both"/>
        <w:spacing w:before="63"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E010801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金</w:t>
      </w:r>
      <w:r>
        <w:rPr>
          <w:rFonts w:ascii="宋体" w:hAnsi="宋体" w:cs="宋体" w:eastAsia="宋体" w:hint="ascii"/>
          <w:sz w:val="18"/>
          <w:spacing w:val="-8"/>
        </w:rPr>
        <w:t>属材料的形变与损</w:t>
      </w:r>
      <w:r>
        <w:rPr>
          <w:rFonts w:ascii="宋体" w:hAnsi="宋体" w:cs="宋体" w:eastAsia="宋体" w:hint="ascii"/>
          <w:sz w:val="18"/>
        </w:rPr>
        <w:t>伤</w:t>
      </w:r>
      <w:r>
        <w:rPr>
          <w:rFonts w:ascii="Times New Roman" w:hAnsi="Times New Roman" w:cs="Times New Roman" w:eastAsia="Times New Roman" w:hint="ascii"/>
          <w:sz w:val="18"/>
          <w:spacing w:val="-1"/>
        </w:rPr>
        <w:t>E010802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金</w:t>
      </w:r>
      <w:r>
        <w:rPr>
          <w:rFonts w:ascii="宋体" w:hAnsi="宋体" w:cs="宋体" w:eastAsia="宋体" w:hint="ascii"/>
          <w:sz w:val="18"/>
          <w:spacing w:val="-8"/>
        </w:rPr>
        <w:t>属材料的疲劳与断</w:t>
      </w:r>
      <w:r>
        <w:rPr>
          <w:rFonts w:ascii="宋体" w:hAnsi="宋体" w:cs="宋体" w:eastAsia="宋体" w:hint="ascii"/>
          <w:sz w:val="18"/>
        </w:rPr>
        <w:t>裂</w:t>
      </w:r>
      <w:r>
        <w:rPr>
          <w:rFonts w:ascii="Times New Roman" w:hAnsi="Times New Roman" w:cs="Times New Roman" w:eastAsia="Times New Roman" w:hint="ascii"/>
          <w:sz w:val="18"/>
          <w:spacing w:val="-1"/>
        </w:rPr>
        <w:t>E010803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金</w:t>
      </w:r>
      <w:r>
        <w:rPr>
          <w:rFonts w:ascii="宋体" w:hAnsi="宋体" w:cs="宋体" w:eastAsia="宋体" w:hint="ascii"/>
          <w:sz w:val="18"/>
          <w:spacing w:val="-8"/>
        </w:rPr>
        <w:t>属材料的强化与韧</w:t>
      </w:r>
      <w:r>
        <w:rPr>
          <w:rFonts w:ascii="宋体" w:hAnsi="宋体" w:cs="宋体" w:eastAsia="宋体" w:hint="ascii"/>
          <w:sz w:val="18"/>
        </w:rPr>
        <w:t>化</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金属材料的凝固与结晶学</w:t>
      </w:r>
    </w:p>
    <w:p>
      <w:pPr>
        <w:autoSpaceDE w:val="0"/>
        <w:autoSpaceDN w:val="0"/>
        <w:jc w:val="left"/>
        <w:spacing w:before="6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金属的非平衡凝固与</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结晶</w:t>
      </w:r>
    </w:p>
    <w:p>
      <w:pPr>
        <w:autoSpaceDE w:val="0"/>
        <w:autoSpaceDN w:val="0"/>
        <w:jc w:val="left"/>
        <w:spacing w:before="5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E010902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金属的凝固行为与结</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晶理论</w:t>
      </w:r>
    </w:p>
    <w:p>
      <w:pPr>
        <w:autoSpaceDE w:val="0"/>
        <w:autoSpaceDN w:val="0"/>
        <w:jc w:val="left"/>
        <w:spacing w:before="337"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E0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金属材料表面科学与工程</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金属材料表面的组</w:t>
      </w:r>
    </w:p>
    <w:p>
      <w:pPr>
        <w:autoSpaceDE w:val="0"/>
        <w:autoSpaceDN w:val="0"/>
        <w:jc w:val="left"/>
        <w:spacing w:before="6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织、结构与性能</w:t>
      </w:r>
    </w:p>
    <w:p>
      <w:pPr>
        <w:autoSpaceDE w:val="0"/>
        <w:autoSpaceDN w:val="0"/>
        <w:jc w:val="left"/>
        <w:spacing w:before="5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金属材料表面改性及</w:t>
      </w:r>
    </w:p>
    <w:p>
      <w:pPr>
        <w:autoSpaceDE w:val="0"/>
        <w:autoSpaceDN w:val="0"/>
        <w:jc w:val="left"/>
        <w:spacing w:before="6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涂层</w:t>
      </w:r>
    </w:p>
    <w:p>
      <w:pPr>
        <w:autoSpaceDE w:val="0"/>
        <w:autoSpaceDN w:val="0"/>
        <w:jc w:val="left"/>
        <w:spacing w:before="5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金属材料的腐蚀与防护</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金属常温腐蚀与防护</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金属高温腐蚀与防护</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金属材料的磨损与磨蚀</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金属材料的摩擦磨损</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金属材料的磨蚀</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4"/>
        </w:rPr>
        <w:t>金属制备与加工的材料科学基</w:t>
      </w:r>
      <w:r>
        <w:rPr>
          <w:rFonts w:ascii="宋体" w:hAnsi="宋体" w:cs="宋体" w:eastAsia="宋体" w:hint="ascii"/>
          <w:sz w:val="18"/>
        </w:rPr>
        <w:t>础</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8"/>
        </w:rPr>
        <w:t>铸、锻、焊、热处理</w:t>
      </w:r>
      <w:r>
        <w:rPr>
          <w:rFonts w:ascii="宋体" w:hAnsi="宋体" w:cs="宋体" w:eastAsia="宋体" w:hint="ascii"/>
          <w:sz w:val="18"/>
        </w:rPr>
        <w:t>与</w:t>
      </w:r>
    </w:p>
    <w:p>
      <w:pPr>
        <w:autoSpaceDE w:val="0"/>
        <w:autoSpaceDN w:val="0"/>
        <w:jc w:val="left"/>
        <w:spacing w:before="6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8"/>
        </w:rPr>
        <w:t>塑性成形的材料基</w:t>
      </w:r>
      <w:r>
        <w:rPr>
          <w:rFonts w:ascii="宋体" w:hAnsi="宋体" w:cs="宋体" w:eastAsia="宋体" w:hint="ascii"/>
          <w:sz w:val="18"/>
        </w:rPr>
        <w:t>础</w:t>
      </w:r>
    </w:p>
    <w:p>
      <w:pPr>
        <w:autoSpaceDE w:val="0"/>
        <w:autoSpaceDN w:val="0"/>
        <w:jc w:val="left"/>
        <w:spacing w:before="5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制备加工一体化与近</w:t>
      </w:r>
    </w:p>
    <w:p>
      <w:pPr>
        <w:autoSpaceDE w:val="0"/>
        <w:autoSpaceDN w:val="0"/>
        <w:jc w:val="left"/>
        <w:spacing w:before="6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净成形的材料基础</w:t>
      </w:r>
    </w:p>
    <w:p>
      <w:pPr>
        <w:autoSpaceDE w:val="0"/>
        <w:autoSpaceDN w:val="0"/>
        <w:jc w:val="left"/>
        <w:spacing w:before="5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微纳尺度加工成形的</w:t>
      </w:r>
    </w:p>
    <w:p>
      <w:pPr>
        <w:autoSpaceDE w:val="0"/>
        <w:autoSpaceDN w:val="0"/>
        <w:jc w:val="left"/>
        <w:spacing w:before="6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材料基础</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制备加工新方法与新</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原理</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金属材料跨学科应用基础</w:t>
      </w:r>
    </w:p>
    <w:p>
      <w:pPr>
        <w:autoSpaceDE w:val="0"/>
        <w:autoSpaceDN w:val="0"/>
        <w:jc w:val="left"/>
        <w:spacing w:before="57"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E02</w:t>
      </w:r>
      <w:r>
        <w:rPr>
          <w:rFonts w:ascii="Times New Roman" w:hAnsi="Times New Roman" w:cs="Times New Roman" w:eastAsia="Times New Roman" w:hint="ascii"/>
          <w:b w:val="1"/>
          <w:spacing w:val="60"/>
        </w:rPr>
        <w:t xml:space="preserve"> </w:t>
      </w:r>
      <w:r>
        <w:rPr>
          <w:rFonts w:ascii="宋体" w:hAnsi="宋体" w:cs="宋体" w:eastAsia="宋体" w:hint="ascii"/>
        </w:rPr>
        <w:t>无机非金属材料</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人工晶体</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玻璃材料</w:t>
      </w:r>
    </w:p>
    <w:p>
      <w:pPr>
        <w:autoSpaceDE w:val="0"/>
        <w:autoSpaceDN w:val="0"/>
        <w:jc w:val="both"/>
        <w:spacing w:before="67" w:after="0" w:lineRule="auto" w:line="314"/>
        <w:ind w:right="166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E020201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特</w:t>
      </w:r>
      <w:r>
        <w:rPr>
          <w:rFonts w:ascii="宋体" w:hAnsi="宋体" w:cs="宋体" w:eastAsia="宋体" w:hint="ascii"/>
          <w:sz w:val="18"/>
        </w:rPr>
        <w:t>种玻璃材料</w:t>
      </w:r>
      <w:r>
        <w:rPr>
          <w:rFonts w:ascii="Times New Roman" w:hAnsi="Times New Roman" w:cs="Times New Roman" w:eastAsia="Times New Roman" w:hint="ascii"/>
          <w:sz w:val="18"/>
          <w:spacing w:val="-1"/>
        </w:rPr>
        <w:t>E020202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传</w:t>
      </w:r>
      <w:r>
        <w:rPr>
          <w:rFonts w:ascii="宋体" w:hAnsi="宋体" w:cs="宋体" w:eastAsia="宋体" w:hint="ascii"/>
          <w:sz w:val="18"/>
        </w:rPr>
        <w:t>统玻璃材料</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结构陶瓷</w:t>
      </w:r>
    </w:p>
    <w:p>
      <w:pPr>
        <w:autoSpaceDE w:val="0"/>
        <w:autoSpaceDN w:val="0"/>
        <w:jc w:val="left"/>
        <w:spacing w:before="67" w:after="0" w:lineRule="auto" w:line="314"/>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先进结构陶瓷</w:t>
      </w:r>
      <w:r>
        <w:rPr>
          <w:rFonts w:ascii="Times New Roman" w:hAnsi="Times New Roman" w:cs="Times New Roman" w:eastAsia="Times New Roman" w:hint="ascii"/>
          <w:sz w:val="18"/>
        </w:rPr>
        <w:t>E020302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陶瓷基复合材料</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功能陶瓷</w:t>
      </w:r>
    </w:p>
    <w:p>
      <w:pPr>
        <w:autoSpaceDE w:val="0"/>
        <w:autoSpaceDN w:val="0"/>
        <w:jc w:val="left"/>
        <w:spacing w:before="67" w:after="0" w:lineRule="auto" w:line="314"/>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精细功能陶瓷</w:t>
      </w:r>
      <w:r>
        <w:rPr>
          <w:rFonts w:ascii="Times New Roman" w:hAnsi="Times New Roman" w:cs="Times New Roman" w:eastAsia="Times New Roman" w:hint="ascii"/>
          <w:sz w:val="18"/>
        </w:rPr>
        <w:t>E020402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压电与铁电陶瓷材料</w:t>
      </w:r>
      <w:r>
        <w:rPr>
          <w:rFonts w:ascii="Times New Roman" w:hAnsi="Times New Roman" w:cs="Times New Roman" w:eastAsia="Times New Roman" w:hint="ascii"/>
          <w:sz w:val="18"/>
        </w:rPr>
        <w:t>E020403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功能类陶瓷复合材料</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水泥与耐火材料</w:t>
      </w:r>
    </w:p>
    <w:p>
      <w:pPr>
        <w:autoSpaceDE w:val="0"/>
        <w:autoSpaceDN w:val="0"/>
        <w:jc w:val="both"/>
        <w:spacing w:before="68" w:after="0" w:lineRule="auto" w:line="313"/>
        <w:ind w:right="166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E020501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型水泥材料</w:t>
      </w:r>
      <w:r>
        <w:rPr>
          <w:rFonts w:ascii="Times New Roman" w:hAnsi="Times New Roman" w:cs="Times New Roman" w:eastAsia="Times New Roman" w:hint="ascii"/>
          <w:sz w:val="18"/>
          <w:spacing w:val="-1"/>
        </w:rPr>
        <w:t>E020502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型耐火材料</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碳素材料与超硬材料</w:t>
      </w:r>
    </w:p>
    <w:p>
      <w:pPr>
        <w:autoSpaceDE w:val="0"/>
        <w:autoSpaceDN w:val="0"/>
        <w:jc w:val="left"/>
        <w:spacing w:before="68" w:after="0" w:lineRule="auto" w:line="313"/>
        <w:ind w:right="1092" w:left="1302" w:firstLine="0"/>
        <w:snapToGrid w:val="0"/>
        <w:textAlignment w:val="auto"/>
        <w:tabs/>
        <w:sectPr>
          <w:type w:val="continuous"/>
          <w:pgSz w:w="10940" w:h="15080" w:orient="portrait"/>
          <w:pgMar w:top="508" w:right="508" w:bottom="508" w:left="508" w:header="0" w:footer="0" w:gutter="0"/>
          <w:cols w:num="2" w:space="0" w:equalWidth="0">
            <w:col w:w="4754" w:space="289"/>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E020601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高性能碳素材料</w:t>
      </w:r>
      <w:r>
        <w:rPr>
          <w:rFonts w:ascii="Times New Roman" w:hAnsi="Times New Roman" w:cs="Times New Roman" w:eastAsia="Times New Roman" w:hint="ascii"/>
          <w:sz w:val="18"/>
          <w:spacing w:val="-1"/>
        </w:rPr>
        <w:t>E020602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金</w:t>
      </w:r>
      <w:r>
        <w:rPr>
          <w:rFonts w:ascii="宋体" w:hAnsi="宋体" w:cs="宋体" w:eastAsia="宋体" w:hint="ascii"/>
          <w:sz w:val="18"/>
          <w:spacing w:val="-8"/>
        </w:rPr>
        <w:t>刚石及其他超硬材</w:t>
      </w:r>
      <w:r>
        <w:rPr>
          <w:rFonts w:ascii="宋体" w:hAnsi="宋体" w:cs="宋体" w:eastAsia="宋体" w:hint="ascii"/>
          <w:sz w:val="18"/>
        </w:rPr>
        <w:t>料</w:t>
      </w:r>
      <w:rPr>
        <w:rFonts w:ascii="宋体" w:hAnsi="宋体" w:cs="宋体" w:eastAsia="宋体" w:hint="ascii"/>
        <w:sz w:val="18"/>
      </w:rPr>
    </w:p>
    <w:p>
      <w:pPr>
        <w:autoSpaceDE w:val="0"/>
        <w:autoSpaceDN w:val="0"/>
        <w:jc w:val="left"/>
        <w:spacing w:before="289"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新型碳功能材料</w:t>
      </w:r>
      <w:r>
        <w:rPr>
          <w:rFonts w:ascii="宋体" w:hAnsi="宋体" w:cs="宋体" w:eastAsia="宋体" w:hint="ascii"/>
          <w:sz w:val="18"/>
        </w:rPr>
        <mc:AlternateContent>
          <mc:Choice Requires="wps">
            <w:drawing>
              <wp:anchor distL="0" distR="0" distT="0" distB="0" simplePos="0" behindDoc="1" relativeHeight="355" locked="0" layoutInCell="1" allowOverlap="1">
                <wp:simplePos x="0" y="0"/>
                <wp:positionH relativeFrom="page">
                  <wp:posOffset>938530</wp:posOffset>
                </wp:positionH>
                <wp:positionV relativeFrom="page">
                  <wp:posOffset>805815</wp:posOffset>
                </wp:positionV>
                <wp:extent cx="5076190" cy="0"/>
                <wp:wrapNone/>
                <wp:docPr id="1382" name="138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94720;width:399.70pt;" id="138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无机非金属类光电信息与功能</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微电子与光电子材料</w:t>
      </w:r>
      <w:r>
        <w:rPr>
          <w:rFonts w:ascii="Times New Roman" w:hAnsi="Times New Roman" w:cs="Times New Roman" w:eastAsia="Times New Roman" w:hint="ascii"/>
          <w:sz w:val="18"/>
        </w:rPr>
        <w:t>E020702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发光及显示材料</w:t>
      </w:r>
      <w:r>
        <w:rPr>
          <w:rFonts w:ascii="Times New Roman" w:hAnsi="Times New Roman" w:cs="Times New Roman" w:eastAsia="Times New Roman" w:hint="ascii"/>
          <w:sz w:val="18"/>
        </w:rPr>
        <w:t>E020703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特种无机涂层与薄膜</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无机非金属基复合材料</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复合材料的制备</w:t>
      </w:r>
      <w:r>
        <w:rPr>
          <w:rFonts w:ascii="Times New Roman" w:hAnsi="Times New Roman" w:cs="Times New Roman" w:eastAsia="Times New Roman" w:hint="ascii"/>
          <w:sz w:val="18"/>
        </w:rPr>
        <w:t>E020802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强化与增韧理论</w:t>
      </w:r>
      <w:r>
        <w:rPr>
          <w:rFonts w:ascii="Times New Roman" w:hAnsi="Times New Roman" w:cs="Times New Roman" w:eastAsia="Times New Roman" w:hint="ascii"/>
          <w:sz w:val="18"/>
        </w:rPr>
        <w:t>E020803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界面物理与界面化学</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半导体材料</w:t>
      </w:r>
    </w:p>
    <w:p>
      <w:pPr>
        <w:autoSpaceDE w:val="0"/>
        <w:autoSpaceDN w:val="0"/>
        <w:jc w:val="right"/>
        <w:spacing w:before="68" w:after="0" w:lineRule="auto" w:line="313"/>
        <w:ind w:right="22" w:left="966"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2"/>
        </w:rPr>
        <w:t>无机非金属能量转换与存储材</w:t>
      </w:r>
      <w:r>
        <w:rPr>
          <w:rFonts w:ascii="宋体" w:hAnsi="宋体" w:cs="宋体" w:eastAsia="宋体" w:hint="ascii"/>
          <w:sz w:val="18"/>
        </w:rPr>
        <w:t>料</w:t>
      </w:r>
      <w:r>
        <w:rPr>
          <w:rFonts w:ascii="Times New Roman" w:hAnsi="Times New Roman" w:cs="Times New Roman" w:eastAsia="Times New Roman" w:hint="ascii"/>
          <w:sz w:val="18"/>
        </w:rPr>
        <w:t>E021001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无机非金属能量转换</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无机非金属能量存储</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无机非金属类高温超导与磁性</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高温超导材料</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8"/>
        </w:rPr>
        <w:t>磁性材料及巨磁阻材</w:t>
      </w:r>
      <w:r>
        <w:rPr>
          <w:rFonts w:ascii="宋体" w:hAnsi="宋体" w:cs="宋体" w:eastAsia="宋体" w:hint="ascii"/>
          <w:sz w:val="18"/>
        </w:rPr>
        <w:t>料</w:t>
      </w:r>
    </w:p>
    <w:p>
      <w:pPr>
        <w:autoSpaceDE w:val="0"/>
        <w:autoSpaceDN w:val="0"/>
        <w:jc w:val="left"/>
        <w:spacing w:before="68" w:after="0" w:lineRule="auto" w:line="313"/>
        <w:ind w:right="599"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E0212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古陶瓷与传统陶瓷</w:t>
      </w:r>
      <w:r>
        <w:rPr>
          <w:rFonts w:ascii="Times New Roman" w:hAnsi="Times New Roman" w:cs="Times New Roman" w:eastAsia="Times New Roman" w:hint="ascii"/>
          <w:b w:val="1"/>
          <w:sz w:val="18"/>
          <w:spacing w:val="-1"/>
        </w:rPr>
        <w:t>E0213</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无机</w:t>
      </w:r>
      <w:r>
        <w:rPr>
          <w:rFonts w:ascii="宋体" w:hAnsi="宋体" w:cs="宋体" w:eastAsia="宋体" w:hint="ascii"/>
          <w:sz w:val="18"/>
        </w:rPr>
        <w:t xml:space="preserve">非金属类生物材料 </w:t>
      </w:r>
      <w:r>
        <w:rPr>
          <w:rFonts w:ascii="Times New Roman" w:hAnsi="Times New Roman" w:cs="Times New Roman" w:eastAsia="Times New Roman" w:hint="ascii"/>
          <w:b w:val="1"/>
          <w:sz w:val="18"/>
        </w:rPr>
        <w:t>E0214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其他无机非金属材料</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生态环境材料</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E021402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无机非金属材料设计</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及相图</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E021403</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无机非金属智能材料</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E03</w:t>
      </w:r>
      <w:r>
        <w:rPr>
          <w:rFonts w:ascii="Times New Roman" w:hAnsi="Times New Roman" w:cs="Times New Roman" w:eastAsia="Times New Roman" w:hint="ascii"/>
          <w:b w:val="1"/>
          <w:spacing w:val="60"/>
        </w:rPr>
        <w:t xml:space="preserve"> </w:t>
      </w:r>
      <w:r>
        <w:rPr>
          <w:rFonts w:ascii="宋体" w:hAnsi="宋体" w:cs="宋体" w:eastAsia="宋体" w:hint="ascii"/>
        </w:rPr>
        <w:t>有机高分子材料</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塑料</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设计与制备</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E030102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高</w:t>
      </w:r>
      <w:r>
        <w:rPr>
          <w:rFonts w:ascii="宋体" w:hAnsi="宋体" w:cs="宋体" w:eastAsia="宋体" w:hint="ascii"/>
          <w:sz w:val="18"/>
          <w:spacing w:val="-8"/>
        </w:rPr>
        <w:t>性能塑料与工程塑</w:t>
      </w:r>
      <w:r>
        <w:rPr>
          <w:rFonts w:ascii="宋体" w:hAnsi="宋体" w:cs="宋体" w:eastAsia="宋体" w:hint="ascii"/>
          <w:sz w:val="18"/>
        </w:rPr>
        <w:t>料</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橡胶及弹性体</w:t>
      </w:r>
    </w:p>
    <w:p>
      <w:pPr>
        <w:autoSpaceDE w:val="0"/>
        <w:autoSpaceDN w:val="0"/>
        <w:jc w:val="left"/>
        <w:spacing w:before="67" w:after="0" w:lineRule="auto" w:line="314"/>
        <w:ind w:right="1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设计与制备</w:t>
      </w:r>
      <w:r>
        <w:rPr>
          <w:rFonts w:ascii="Times New Roman" w:hAnsi="Times New Roman" w:cs="Times New Roman" w:eastAsia="Times New Roman" w:hint="ascii"/>
          <w:sz w:val="18"/>
        </w:rPr>
        <w:t>E030202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高性能橡胶</w:t>
      </w:r>
      <w:r>
        <w:rPr>
          <w:rFonts w:ascii="Times New Roman" w:hAnsi="Times New Roman" w:cs="Times New Roman" w:eastAsia="Times New Roman" w:hint="ascii"/>
          <w:sz w:val="18"/>
        </w:rPr>
        <w:t>E030203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热塑弹性体</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纤维</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设计与制备</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高性能纤维与特种合</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成纤维</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仿生与差别化纤维</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涂料</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黏合剂</w:t>
      </w:r>
    </w:p>
    <w:p>
      <w:pPr>
        <w:autoSpaceDE w:val="0"/>
        <w:autoSpaceDN w:val="0"/>
        <w:jc w:val="left"/>
        <w:spacing w:before="354"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E0306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高分子助剂</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聚合物共混与复合材料</w:t>
      </w:r>
    </w:p>
    <w:p>
      <w:pPr>
        <w:autoSpaceDE w:val="0"/>
        <w:autoSpaceDN w:val="0"/>
        <w:jc w:val="left"/>
        <w:spacing w:before="68" w:after="0" w:lineRule="auto" w:line="313"/>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材料的设计与制备</w:t>
      </w:r>
      <w:r>
        <w:rPr>
          <w:rFonts w:ascii="Times New Roman" w:hAnsi="Times New Roman" w:cs="Times New Roman" w:eastAsia="Times New Roman" w:hint="ascii"/>
          <w:sz w:val="18"/>
        </w:rPr>
        <w:t>E030702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高性能基体树脂</w:t>
      </w:r>
      <w:r>
        <w:rPr>
          <w:rFonts w:ascii="Times New Roman" w:hAnsi="Times New Roman" w:cs="Times New Roman" w:eastAsia="Times New Roman" w:hint="ascii"/>
          <w:sz w:val="18"/>
        </w:rPr>
        <w:t>E030703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纳米复合</w:t>
      </w:r>
    </w:p>
    <w:p>
      <w:pPr>
        <w:autoSpaceDE w:val="0"/>
        <w:autoSpaceDN w:val="0"/>
        <w:jc w:val="left"/>
        <w:spacing w:before="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增强与增韧</w:t>
      </w:r>
    </w:p>
    <w:p>
      <w:pPr>
        <w:autoSpaceDE w:val="0"/>
        <w:autoSpaceDN w:val="0"/>
        <w:jc w:val="both"/>
        <w:spacing w:before="75" w:after="0" w:lineRule="auto" w:line="322"/>
        <w:ind w:right="1114"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E0308</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3"/>
        </w:rPr>
        <w:t>特殊</w:t>
      </w:r>
      <w:r>
        <w:rPr>
          <w:rFonts w:ascii="宋体" w:hAnsi="宋体" w:cs="宋体" w:eastAsia="宋体" w:hint="ascii"/>
          <w:sz w:val="18"/>
          <w:spacing w:val="-2"/>
        </w:rPr>
        <w:t>与极端环境下的高分子材</w:t>
      </w:r>
      <w:r>
        <w:rPr>
          <w:rFonts w:ascii="宋体" w:hAnsi="宋体" w:cs="宋体" w:eastAsia="宋体" w:hint="ascii"/>
          <w:sz w:val="18"/>
        </w:rPr>
        <w:t>料</w:t>
      </w:r>
      <w:r>
        <w:rPr>
          <w:rFonts w:ascii="Times New Roman" w:hAnsi="Times New Roman" w:cs="Times New Roman" w:eastAsia="Times New Roman" w:hint="ascii"/>
          <w:b w:val="1"/>
          <w:sz w:val="18"/>
        </w:rPr>
        <w:t>E0309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有机高分子功能材料</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光电磁信息功能材料</w:t>
      </w:r>
    </w:p>
    <w:p>
      <w:pPr>
        <w:autoSpaceDE w:val="0"/>
        <w:autoSpaceDN w:val="0"/>
        <w:jc w:val="both"/>
        <w:spacing w:before="75" w:after="0" w:lineRule="auto" w:line="322"/>
        <w:ind w:right="148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E030902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离与吸附材料</w:t>
      </w:r>
      <w:r>
        <w:rPr>
          <w:rFonts w:ascii="Times New Roman" w:hAnsi="Times New Roman" w:cs="Times New Roman" w:eastAsia="Times New Roman" w:hint="ascii"/>
          <w:sz w:val="18"/>
        </w:rPr>
        <w:t>E030903</w:t>
      </w:r>
      <w:r>
        <w:rPr>
          <w:rFonts w:ascii="Times New Roman" w:hAnsi="Times New Roman" w:cs="Times New Roman" w:eastAsia="Times New Roman" w:hint="ascii"/>
          <w:sz w:val="18"/>
          <w:spacing w:val="45"/>
        </w:rPr>
        <w:t xml:space="preserve"> </w:t>
      </w:r>
      <w:r>
        <w:rPr>
          <w:rFonts w:ascii="宋体" w:hAnsi="宋体" w:cs="宋体" w:eastAsia="宋体" w:hint="ascii"/>
          <w:sz w:val="18"/>
        </w:rPr>
        <w:t>感光材料</w:t>
      </w:r>
    </w:p>
    <w:p>
      <w:pPr>
        <w:autoSpaceDE w:val="0"/>
        <w:autoSpaceDN w:val="0"/>
        <w:jc w:val="left"/>
        <w:spacing w:before="0"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E030904</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自组装有机材料与图</w:t>
      </w:r>
    </w:p>
    <w:p>
      <w:pPr>
        <w:autoSpaceDE w:val="0"/>
        <w:autoSpaceDN w:val="0"/>
        <w:jc w:val="left"/>
        <w:spacing w:before="7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形化</w:t>
      </w:r>
    </w:p>
    <w:p>
      <w:pPr>
        <w:autoSpaceDE w:val="0"/>
        <w:autoSpaceDN w:val="0"/>
        <w:jc w:val="both"/>
        <w:spacing w:before="69" w:after="0" w:lineRule="auto" w:line="322"/>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E030905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有</w:t>
      </w:r>
      <w:r>
        <w:rPr>
          <w:rFonts w:ascii="宋体" w:hAnsi="宋体" w:cs="宋体" w:eastAsia="宋体" w:hint="ascii"/>
          <w:sz w:val="18"/>
          <w:spacing w:val="-8"/>
        </w:rPr>
        <w:t>机无机复合功能材</w:t>
      </w:r>
      <w:r>
        <w:rPr>
          <w:rFonts w:ascii="宋体" w:hAnsi="宋体" w:cs="宋体" w:eastAsia="宋体" w:hint="ascii"/>
          <w:sz w:val="18"/>
        </w:rPr>
        <w:t>料</w:t>
      </w:r>
      <w:r>
        <w:rPr>
          <w:rFonts w:ascii="Times New Roman" w:hAnsi="Times New Roman" w:cs="Times New Roman" w:eastAsia="Times New Roman" w:hint="ascii"/>
          <w:sz w:val="18"/>
        </w:rPr>
        <w:t>E030906</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纳米效应与纳米技术</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生物医用高分子材料</w:t>
      </w:r>
    </w:p>
    <w:p>
      <w:pPr>
        <w:autoSpaceDE w:val="0"/>
        <w:autoSpaceDN w:val="0"/>
        <w:jc w:val="left"/>
        <w:spacing w:before="75" w:after="0" w:lineRule="auto" w:line="322"/>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组织工程材料</w:t>
      </w:r>
      <w:r>
        <w:rPr>
          <w:rFonts w:ascii="Times New Roman" w:hAnsi="Times New Roman" w:cs="Times New Roman" w:eastAsia="Times New Roman" w:hint="ascii"/>
          <w:sz w:val="18"/>
        </w:rPr>
        <w:t>E031002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载体与缓释材料</w:t>
      </w:r>
      <w:r>
        <w:rPr>
          <w:rFonts w:ascii="Times New Roman" w:hAnsi="Times New Roman" w:cs="Times New Roman" w:eastAsia="Times New Roman" w:hint="ascii"/>
          <w:sz w:val="18"/>
        </w:rPr>
        <w:t>E031003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植入材料</w:t>
      </w:r>
    </w:p>
    <w:p>
      <w:pPr>
        <w:autoSpaceDE w:val="0"/>
        <w:autoSpaceDN w:val="0"/>
        <w:jc w:val="left"/>
        <w:spacing w:before="0" w:after="0" w:lineRule="auto" w:line="234"/>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智能材料</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仿生材料</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高分子材料与环境</w:t>
      </w:r>
    </w:p>
    <w:p>
      <w:pPr>
        <w:autoSpaceDE w:val="0"/>
        <w:autoSpaceDN w:val="0"/>
        <w:jc w:val="left"/>
        <w:spacing w:before="62" w:after="0" w:lineRule="auto" w:line="306"/>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E031301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天然高分子材料</w:t>
      </w:r>
      <w:r>
        <w:rPr>
          <w:rFonts w:ascii="Times New Roman" w:hAnsi="Times New Roman" w:cs="Times New Roman" w:eastAsia="Times New Roman" w:hint="ascii"/>
          <w:sz w:val="18"/>
        </w:rPr>
        <w:t>E031302</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环境友好高分子材料</w:t>
      </w:r>
      <w:r>
        <w:rPr>
          <w:rFonts w:ascii="Times New Roman" w:hAnsi="Times New Roman" w:cs="Times New Roman" w:eastAsia="Times New Roman" w:hint="ascii"/>
          <w:sz w:val="18"/>
        </w:rPr>
        <w:t>E031303</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高分子材料的循环利</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用与资源化</w:t>
      </w:r>
    </w:p>
    <w:p>
      <w:pPr>
        <w:autoSpaceDE w:val="0"/>
        <w:autoSpaceDN w:val="0"/>
        <w:jc w:val="left"/>
        <w:spacing w:before="5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E031304</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高分子材料的稳定与</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老化</w:t>
      </w:r>
    </w:p>
    <w:p>
      <w:pPr>
        <w:autoSpaceDE w:val="0"/>
        <w:autoSpaceDN w:val="0"/>
        <w:jc w:val="left"/>
        <w:spacing w:before="5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高分子材料结构与性能</w:t>
      </w:r>
    </w:p>
    <w:p>
      <w:pPr>
        <w:autoSpaceDE w:val="0"/>
        <w:autoSpaceDN w:val="0"/>
        <w:jc w:val="left"/>
        <w:spacing w:before="61" w:after="0" w:lineRule="auto" w:line="306"/>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结构与性能关系</w:t>
      </w:r>
      <w:r>
        <w:rPr>
          <w:rFonts w:ascii="Times New Roman" w:hAnsi="Times New Roman" w:cs="Times New Roman" w:eastAsia="Times New Roman" w:hint="ascii"/>
          <w:sz w:val="18"/>
        </w:rPr>
        <w:t>E031402</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高分子材料的表征与</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评价</w:t>
      </w:r>
    </w:p>
    <w:p>
      <w:pPr>
        <w:autoSpaceDE w:val="0"/>
        <w:autoSpaceDN w:val="0"/>
        <w:jc w:val="left"/>
        <w:spacing w:before="55"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E031403</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高分子材料的表面与</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界面</w:t>
      </w:r>
    </w:p>
    <w:p>
      <w:pPr>
        <w:autoSpaceDE w:val="0"/>
        <w:autoSpaceDN w:val="0"/>
        <w:jc w:val="left"/>
        <w:spacing w:before="5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E0315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高分子材料的加工与成型</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E031501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加工与成型中的化学</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与物理问题</w:t>
      </w:r>
    </w:p>
    <w:p>
      <w:pPr>
        <w:autoSpaceDE w:val="0"/>
        <w:autoSpaceDN w:val="0"/>
        <w:jc w:val="left"/>
        <w:spacing w:before="56"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E031502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加工与成型新原理、</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新方法</w:t>
      </w:r>
    </w:p>
    <w:p>
      <w:pPr>
        <w:autoSpaceDE w:val="0"/>
        <w:autoSpaceDN w:val="0"/>
        <w:jc w:val="left"/>
        <w:spacing w:before="50"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E04</w:t>
      </w:r>
      <w:r>
        <w:rPr>
          <w:rFonts w:ascii="Times New Roman" w:hAnsi="Times New Roman" w:cs="Times New Roman" w:eastAsia="Times New Roman" w:hint="ascii"/>
          <w:b w:val="1"/>
          <w:spacing w:val="60"/>
        </w:rPr>
        <w:t xml:space="preserve"> </w:t>
      </w:r>
      <w:r>
        <w:rPr>
          <w:rFonts w:ascii="宋体" w:hAnsi="宋体" w:cs="宋体" w:eastAsia="宋体" w:hint="ascii"/>
        </w:rPr>
        <w:t>冶金与矿业</w:t>
      </w:r>
    </w:p>
    <w:p>
      <w:pPr>
        <w:autoSpaceDE w:val="0"/>
        <w:autoSpaceDN w:val="0"/>
        <w:jc w:val="both"/>
        <w:spacing w:before="87" w:after="0" w:lineRule="auto" w:line="306"/>
        <w:ind w:right="1781" w:left="640" w:firstLine="0"/>
        <w:snapToGrid w:val="0"/>
        <w:textAlignment w:val="auto"/>
        <w:tabs/>
        <w:sectPr>
          <w:type w:val="continuous"/>
          <w:pgSz w:w="10940" w:h="15080" w:orient="portrait"/>
          <w:pgMar w:top="508" w:right="508" w:bottom="508" w:left="508" w:header="0" w:footer="0" w:gutter="0"/>
          <w:cols w:num="2" w:space="0" w:equalWidth="0">
            <w:col w:w="4754" w:space="289"/>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spacing w:val="-4"/>
        </w:rPr>
        <w:t>E0401</w:t>
      </w:r>
      <w:r>
        <w:rPr>
          <w:rFonts w:ascii="Times New Roman" w:hAnsi="Times New Roman" w:cs="Times New Roman" w:eastAsia="Times New Roman" w:hint="ascii"/>
          <w:b w:val="1"/>
          <w:sz w:val="18"/>
          <w:spacing w:val="41"/>
        </w:rPr>
        <w:t xml:space="preserve"> </w:t>
      </w:r>
      <w:r>
        <w:rPr>
          <w:rFonts w:ascii="宋体" w:hAnsi="宋体" w:cs="宋体" w:eastAsia="宋体" w:hint="ascii"/>
          <w:sz w:val="18"/>
          <w:spacing w:val="-4"/>
        </w:rPr>
        <w:t>金属与非金属地下</w:t>
      </w:r>
      <w:r>
        <w:rPr>
          <w:rFonts w:ascii="宋体" w:hAnsi="宋体" w:cs="宋体" w:eastAsia="宋体" w:hint="ascii"/>
          <w:sz w:val="18"/>
          <w:spacing w:val="-3"/>
        </w:rPr>
        <w:t>开采</w:t>
      </w:r>
      <w:r>
        <w:rPr>
          <w:rFonts w:ascii="宋体" w:hAnsi="宋体" w:cs="宋体" w:eastAsia="宋体" w:hint="ascii"/>
          <w:sz w:val="18"/>
        </w:rPr>
        <w:t xml:space="preserve"> </w:t>
      </w:r>
      <w:r>
        <w:rPr>
          <w:rFonts w:ascii="Times New Roman" w:hAnsi="Times New Roman" w:cs="Times New Roman" w:eastAsia="Times New Roman" w:hint="ascii"/>
          <w:b w:val="1"/>
          <w:sz w:val="18"/>
        </w:rPr>
        <w:t>E0402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煤炭地下开采</w:t>
      </w:r>
      <w:rPr>
        <w:rFonts w:ascii="宋体" w:hAnsi="宋体" w:cs="宋体" w:eastAsia="宋体" w:hint="ascii"/>
        <w:sz w:val="18"/>
      </w:rPr>
    </w:p>
    <w:p>
      <w:pPr>
        <w:autoSpaceDE w:val="0"/>
        <w:autoSpaceDN w:val="0"/>
        <w:jc w:val="left"/>
        <w:spacing w:before="292"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石油天然气开采</w:t>
      </w:r>
      <w:r>
        <w:rPr>
          <w:rFonts w:ascii="宋体" w:hAnsi="宋体" w:cs="宋体" w:eastAsia="宋体" w:hint="ascii"/>
          <w:sz w:val="18"/>
        </w:rPr>
        <mc:AlternateContent>
          <mc:Choice Requires="wps">
            <w:drawing>
              <wp:anchor distL="0" distR="0" distT="0" distB="0" simplePos="0" behindDoc="1" relativeHeight="356" locked="0" layoutInCell="1" allowOverlap="1">
                <wp:simplePos x="0" y="0"/>
                <wp:positionH relativeFrom="page">
                  <wp:posOffset>938530</wp:posOffset>
                </wp:positionH>
                <wp:positionV relativeFrom="page">
                  <wp:posOffset>819150</wp:posOffset>
                </wp:positionV>
                <wp:extent cx="5076190" cy="0"/>
                <wp:wrapNone/>
                <wp:docPr id="1383" name="138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93696;width:399.70pt;" id="138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auto" w:line="307"/>
        <w:ind w:right="31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油气渗流</w:t>
      </w:r>
      <w:r>
        <w:rPr>
          <w:rFonts w:ascii="Times New Roman" w:hAnsi="Times New Roman" w:cs="Times New Roman" w:eastAsia="Times New Roman" w:hint="ascii"/>
          <w:sz w:val="18"/>
        </w:rPr>
        <w:t>E040302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油藏工程</w:t>
      </w:r>
      <w:r>
        <w:rPr>
          <w:rFonts w:ascii="Times New Roman" w:hAnsi="Times New Roman" w:cs="Times New Roman" w:eastAsia="Times New Roman" w:hint="ascii"/>
          <w:sz w:val="18"/>
        </w:rPr>
        <w:t>E040303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采油工程</w:t>
      </w:r>
      <w:r>
        <w:rPr>
          <w:rFonts w:ascii="Times New Roman" w:hAnsi="Times New Roman" w:cs="Times New Roman" w:eastAsia="Times New Roman" w:hint="ascii"/>
          <w:sz w:val="18"/>
        </w:rPr>
        <w:t>E040304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油田化学</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E040305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非</w:t>
      </w:r>
      <w:r>
        <w:rPr>
          <w:rFonts w:ascii="宋体" w:hAnsi="宋体" w:cs="宋体" w:eastAsia="宋体" w:hint="ascii"/>
          <w:sz w:val="18"/>
          <w:spacing w:val="-8"/>
        </w:rPr>
        <w:t>常规油气开发及其</w:t>
      </w:r>
      <w:r>
        <w:rPr>
          <w:rFonts w:ascii="宋体" w:hAnsi="宋体" w:cs="宋体" w:eastAsia="宋体" w:hint="ascii"/>
          <w:sz w:val="18"/>
        </w:rPr>
        <w:t>他</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化石能源储存与输送</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露天开采与边坡工程</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海洋、空间及其他矿物资源开</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采与利用</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钻井工程与地热开采</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地下空间工程</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矿山岩体力学与岩层控制</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安全科学与工程</w:t>
      </w:r>
    </w:p>
    <w:p>
      <w:pPr>
        <w:autoSpaceDE w:val="0"/>
        <w:autoSpaceDN w:val="0"/>
        <w:jc w:val="left"/>
        <w:spacing w:before="62" w:after="0" w:lineRule="auto" w:line="307"/>
        <w:ind w:right="1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通风与防尘</w:t>
      </w:r>
      <w:r>
        <w:rPr>
          <w:rFonts w:ascii="Times New Roman" w:hAnsi="Times New Roman" w:cs="Times New Roman" w:eastAsia="Times New Roman" w:hint="ascii"/>
          <w:sz w:val="18"/>
        </w:rPr>
        <w:t>E041002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突水与防灭火</w:t>
      </w:r>
      <w:r>
        <w:rPr>
          <w:rFonts w:ascii="Times New Roman" w:hAnsi="Times New Roman" w:cs="Times New Roman" w:eastAsia="Times New Roman" w:hint="ascii"/>
          <w:sz w:val="18"/>
        </w:rPr>
        <w:t>E041003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岩爆与瓦斯灾害</w:t>
      </w:r>
      <w:r>
        <w:rPr>
          <w:rFonts w:ascii="Times New Roman" w:hAnsi="Times New Roman" w:cs="Times New Roman" w:eastAsia="Times New Roman" w:hint="ascii"/>
          <w:sz w:val="18"/>
        </w:rPr>
        <w:t>E041004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安全检测与监控</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矿物工程与物质分离科学</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工艺矿物学与粉碎工</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程学</w:t>
      </w:r>
    </w:p>
    <w:p>
      <w:pPr>
        <w:autoSpaceDE w:val="0"/>
        <w:autoSpaceDN w:val="0"/>
        <w:jc w:val="left"/>
        <w:spacing w:before="5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矿物加工工程</w:t>
      </w:r>
    </w:p>
    <w:p>
      <w:pPr>
        <w:autoSpaceDE w:val="0"/>
        <w:autoSpaceDN w:val="0"/>
        <w:jc w:val="left"/>
        <w:spacing w:before="6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物理方法分离</w:t>
      </w:r>
    </w:p>
    <w:p>
      <w:pPr>
        <w:autoSpaceDE w:val="0"/>
        <w:autoSpaceDN w:val="0"/>
        <w:jc w:val="left"/>
        <w:spacing w:before="6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化学方法分离</w:t>
      </w:r>
    </w:p>
    <w:p>
      <w:pPr>
        <w:autoSpaceDE w:val="0"/>
        <w:autoSpaceDN w:val="0"/>
        <w:jc w:val="left"/>
        <w:spacing w:before="6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105</w:t>
      </w:r>
      <w:r>
        <w:rPr>
          <w:rFonts w:ascii="Times New Roman" w:hAnsi="Times New Roman" w:cs="Times New Roman" w:eastAsia="Times New Roman" w:hint="ascii"/>
          <w:sz w:val="18"/>
          <w:spacing w:val="45"/>
        </w:rPr>
        <w:t xml:space="preserve"> </w:t>
      </w:r>
      <w:r>
        <w:rPr>
          <w:rFonts w:ascii="宋体" w:hAnsi="宋体" w:cs="宋体" w:eastAsia="宋体" w:hint="ascii"/>
          <w:sz w:val="18"/>
        </w:rPr>
        <w:t>矿物材料与应用</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冶金物理化学与冶金原理</w:t>
      </w:r>
    </w:p>
    <w:p>
      <w:pPr>
        <w:autoSpaceDE w:val="0"/>
        <w:autoSpaceDN w:val="0"/>
        <w:jc w:val="both"/>
        <w:spacing w:before="62" w:after="0" w:lineRule="auto" w:line="308"/>
        <w:ind w:right="9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E041201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火</w:t>
      </w:r>
      <w:r>
        <w:rPr>
          <w:rFonts w:ascii="宋体" w:hAnsi="宋体" w:cs="宋体" w:eastAsia="宋体" w:hint="ascii"/>
          <w:sz w:val="18"/>
        </w:rPr>
        <w:t>法冶金</w:t>
      </w:r>
      <w:r>
        <w:rPr>
          <w:rFonts w:ascii="Times New Roman" w:hAnsi="Times New Roman" w:cs="Times New Roman" w:eastAsia="Times New Roman" w:hint="ascii"/>
          <w:sz w:val="18"/>
          <w:spacing w:val="-1"/>
        </w:rPr>
        <w:t>E041202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湿</w:t>
      </w:r>
      <w:r>
        <w:rPr>
          <w:rFonts w:ascii="宋体" w:hAnsi="宋体" w:cs="宋体" w:eastAsia="宋体" w:hint="ascii"/>
          <w:sz w:val="18"/>
        </w:rPr>
        <w:t>法冶金</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E041203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电（化学）冶金与电</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池电化学</w:t>
      </w:r>
    </w:p>
    <w:p>
      <w:pPr>
        <w:autoSpaceDE w:val="0"/>
        <w:autoSpaceDN w:val="0"/>
        <w:jc w:val="left"/>
        <w:spacing w:before="56"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E041204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冶金熔体（溶液）</w:t>
      </w:r>
      <w:r>
        <w:rPr>
          <w:rFonts w:ascii="Times New Roman" w:hAnsi="Times New Roman" w:cs="Times New Roman" w:eastAsia="Times New Roman" w:hint="ascii"/>
          <w:sz w:val="18"/>
        </w:rPr>
        <w:t>E041205</w:t>
      </w:r>
      <w:r>
        <w:rPr>
          <w:rFonts w:ascii="Times New Roman" w:hAnsi="Times New Roman" w:cs="Times New Roman" w:eastAsia="Times New Roman" w:hint="ascii"/>
          <w:sz w:val="18"/>
          <w:spacing w:val="45"/>
        </w:rPr>
        <w:t xml:space="preserve"> </w:t>
      </w:r>
      <w:r>
        <w:rPr>
          <w:rFonts w:ascii="宋体" w:hAnsi="宋体" w:cs="宋体" w:eastAsia="宋体" w:hint="ascii"/>
          <w:sz w:val="18"/>
        </w:rPr>
        <w:t>冶金物理化学研究方</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法与测试技术</w:t>
      </w:r>
    </w:p>
    <w:p>
      <w:pPr>
        <w:autoSpaceDE w:val="0"/>
        <w:autoSpaceDN w:val="0"/>
        <w:jc w:val="both"/>
        <w:spacing w:before="57" w:after="0" w:lineRule="auto" w:line="309"/>
        <w:ind w:right="329"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4"/>
        </w:rPr>
        <w:t>E0413</w:t>
      </w:r>
      <w:r>
        <w:rPr>
          <w:rFonts w:ascii="Times New Roman" w:hAnsi="Times New Roman" w:cs="Times New Roman" w:eastAsia="Times New Roman" w:hint="ascii"/>
          <w:b w:val="1"/>
          <w:sz w:val="18"/>
          <w:spacing w:val="41"/>
        </w:rPr>
        <w:t xml:space="preserve"> </w:t>
      </w:r>
      <w:r>
        <w:rPr>
          <w:rFonts w:ascii="宋体" w:hAnsi="宋体" w:cs="宋体" w:eastAsia="宋体" w:hint="ascii"/>
          <w:sz w:val="18"/>
          <w:spacing w:val="-4"/>
        </w:rPr>
        <w:t>冶金</w:t>
      </w:r>
      <w:r>
        <w:rPr>
          <w:rFonts w:ascii="宋体" w:hAnsi="宋体" w:cs="宋体" w:eastAsia="宋体" w:hint="ascii"/>
          <w:sz w:val="18"/>
          <w:spacing w:val="-3"/>
        </w:rPr>
        <w:t>化工与冶金反应工程学</w:t>
      </w:r>
      <w:r>
        <w:rPr>
          <w:rFonts w:ascii="宋体" w:hAnsi="宋体" w:cs="宋体" w:eastAsia="宋体" w:hint="ascii"/>
          <w:sz w:val="18"/>
        </w:rPr>
        <w:t xml:space="preserve"> </w:t>
      </w:r>
      <w:r>
        <w:rPr>
          <w:rFonts w:ascii="Times New Roman" w:hAnsi="Times New Roman" w:cs="Times New Roman" w:eastAsia="Times New Roman" w:hint="ascii"/>
          <w:b w:val="1"/>
          <w:sz w:val="18"/>
        </w:rPr>
        <w:t>E0414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钢铁冶金</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有色金属冶金</w:t>
      </w:r>
    </w:p>
    <w:p>
      <w:pPr>
        <w:autoSpaceDE w:val="0"/>
        <w:autoSpaceDN w:val="0"/>
        <w:jc w:val="left"/>
        <w:spacing w:before="63" w:after="0" w:lineRule="auto" w:line="309"/>
        <w:ind w:right="49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E041501</w:t>
      </w:r>
      <w:r>
        <w:rPr>
          <w:rFonts w:ascii="Times New Roman" w:hAnsi="Times New Roman" w:cs="Times New Roman" w:eastAsia="Times New Roman" w:hint="ascii"/>
          <w:sz w:val="18"/>
          <w:spacing w:val="45"/>
        </w:rPr>
        <w:t xml:space="preserve"> </w:t>
      </w:r>
      <w:r>
        <w:rPr>
          <w:rFonts w:ascii="宋体" w:hAnsi="宋体" w:cs="宋体" w:eastAsia="宋体" w:hint="ascii"/>
          <w:sz w:val="18"/>
        </w:rPr>
        <w:t>轻金属</w:t>
      </w:r>
      <w:r>
        <w:rPr>
          <w:rFonts w:ascii="Times New Roman" w:hAnsi="Times New Roman" w:cs="Times New Roman" w:eastAsia="Times New Roman" w:hint="ascii"/>
          <w:sz w:val="18"/>
        </w:rPr>
        <w:t>E041502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重金属</w:t>
      </w:r>
      <w:r>
        <w:rPr>
          <w:rFonts w:ascii="Times New Roman" w:hAnsi="Times New Roman" w:cs="Times New Roman" w:eastAsia="Times New Roman" w:hint="ascii"/>
          <w:sz w:val="18"/>
        </w:rPr>
        <w:t>E041503</w:t>
      </w:r>
      <w:r>
        <w:rPr>
          <w:rFonts w:ascii="Times New Roman" w:hAnsi="Times New Roman" w:cs="Times New Roman" w:eastAsia="Times New Roman" w:hint="ascii"/>
          <w:sz w:val="18"/>
          <w:spacing w:val="45"/>
        </w:rPr>
        <w:t xml:space="preserve"> </w:t>
      </w:r>
      <w:r>
        <w:rPr>
          <w:rFonts w:ascii="宋体" w:hAnsi="宋体" w:cs="宋体" w:eastAsia="宋体" w:hint="ascii"/>
          <w:sz w:val="18"/>
        </w:rPr>
        <w:t>稀有金属</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E041504</w:t>
      </w:r>
      <w:r>
        <w:rPr>
          <w:rFonts w:ascii="Times New Roman" w:hAnsi="Times New Roman" w:cs="Times New Roman" w:eastAsia="Times New Roman" w:hint="ascii"/>
          <w:sz w:val="18"/>
          <w:spacing w:val="45"/>
        </w:rPr>
        <w:t xml:space="preserve"> </w:t>
      </w:r>
      <w:r>
        <w:rPr>
          <w:rFonts w:ascii="宋体" w:hAnsi="宋体" w:cs="宋体" w:eastAsia="宋体" w:hint="ascii"/>
          <w:sz w:val="18"/>
        </w:rPr>
        <w:t>贵金属等分离提取</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材料冶金过程工程</w:t>
      </w:r>
    </w:p>
    <w:p>
      <w:pPr>
        <w:autoSpaceDE w:val="0"/>
        <w:autoSpaceDN w:val="0"/>
        <w:jc w:val="both"/>
        <w:spacing w:before="63" w:after="0" w:lineRule="auto" w:line="309"/>
        <w:ind w:right="21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E041601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材</w:t>
      </w:r>
      <w:r>
        <w:rPr>
          <w:rFonts w:ascii="宋体" w:hAnsi="宋体" w:cs="宋体" w:eastAsia="宋体" w:hint="ascii"/>
          <w:sz w:val="18"/>
        </w:rPr>
        <w:t>料冶金物理化学</w:t>
      </w:r>
      <w:r>
        <w:rPr>
          <w:rFonts w:ascii="Times New Roman" w:hAnsi="Times New Roman" w:cs="Times New Roman" w:eastAsia="Times New Roman" w:hint="ascii"/>
          <w:sz w:val="18"/>
        </w:rPr>
        <w:t>E041602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金属净化与提纯</w:t>
      </w:r>
    </w:p>
    <w:p>
      <w:pPr>
        <w:autoSpaceDE w:val="0"/>
        <w:autoSpaceDN w:val="0"/>
        <w:jc w:val="left"/>
        <w:spacing w:before="327" w:after="0" w:lineRule="auto" w:line="320"/>
        <w:ind w:right="1092"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spacing w:val="-1"/>
        </w:rPr>
        <w:t>E041603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熔</w:t>
      </w:r>
      <w:r>
        <w:rPr>
          <w:rFonts w:ascii="宋体" w:hAnsi="宋体" w:cs="宋体" w:eastAsia="宋体" w:hint="ascii"/>
          <w:sz w:val="18"/>
          <w:spacing w:val="-8"/>
        </w:rPr>
        <w:t>化、凝固过程与控</w:t>
      </w:r>
      <w:r>
        <w:rPr>
          <w:rFonts w:ascii="宋体" w:hAnsi="宋体" w:cs="宋体" w:eastAsia="宋体" w:hint="ascii"/>
          <w:sz w:val="18"/>
        </w:rPr>
        <w:t>制</w:t>
      </w:r>
      <w:r>
        <w:rPr>
          <w:rFonts w:ascii="Times New Roman" w:hAnsi="Times New Roman" w:cs="Times New Roman" w:eastAsia="Times New Roman" w:hint="ascii"/>
          <w:sz w:val="18"/>
        </w:rPr>
        <w:t>E041604</w:t>
      </w:r>
      <w:r>
        <w:rPr>
          <w:rFonts w:ascii="Times New Roman" w:hAnsi="Times New Roman" w:cs="Times New Roman" w:eastAsia="Times New Roman" w:hint="ascii"/>
          <w:sz w:val="18"/>
          <w:spacing w:val="45"/>
        </w:rPr>
        <w:t xml:space="preserve"> </w:t>
      </w:r>
      <w:r>
        <w:rPr>
          <w:rFonts w:ascii="宋体" w:hAnsi="宋体" w:cs="宋体" w:eastAsia="宋体" w:hint="ascii"/>
          <w:sz w:val="18"/>
        </w:rPr>
        <w:t>金属成形与加工</w:t>
      </w:r>
      <w:r>
        <w:rPr>
          <w:rFonts w:ascii="Times New Roman" w:hAnsi="Times New Roman" w:cs="Times New Roman" w:eastAsia="Times New Roman" w:hint="ascii"/>
          <w:sz w:val="18"/>
        </w:rPr>
        <w:t>E041605</w:t>
      </w:r>
      <w:r>
        <w:rPr>
          <w:rFonts w:ascii="Times New Roman" w:hAnsi="Times New Roman" w:cs="Times New Roman" w:eastAsia="Times New Roman" w:hint="ascii"/>
          <w:sz w:val="18"/>
          <w:spacing w:val="45"/>
        </w:rPr>
        <w:t xml:space="preserve"> </w:t>
      </w:r>
      <w:r>
        <w:rPr>
          <w:rFonts w:ascii="宋体" w:hAnsi="宋体" w:cs="宋体" w:eastAsia="宋体" w:hint="ascii"/>
          <w:sz w:val="18"/>
        </w:rPr>
        <w:t>应变冶金</w:t>
      </w:r>
    </w:p>
    <w:p>
      <w:pPr>
        <w:autoSpaceDE w:val="0"/>
        <w:autoSpaceDN w:val="0"/>
        <w:jc w:val="left"/>
        <w:spacing w:before="0" w:after="0" w:lineRule="auto" w:line="239"/>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E041606</w:t>
      </w:r>
      <w:r>
        <w:rPr>
          <w:rFonts w:ascii="Times New Roman" w:hAnsi="Times New Roman" w:cs="Times New Roman" w:eastAsia="Times New Roman" w:hint="ascii"/>
          <w:sz w:val="18"/>
          <w:spacing w:val="45"/>
        </w:rPr>
        <w:t xml:space="preserve"> </w:t>
      </w:r>
      <w:r>
        <w:rPr>
          <w:rFonts w:ascii="宋体" w:hAnsi="宋体" w:cs="宋体" w:eastAsia="宋体" w:hint="ascii"/>
          <w:sz w:val="18"/>
        </w:rPr>
        <w:t>喷射与喷涂冶金</w:t>
      </w:r>
    </w:p>
    <w:p>
      <w:pPr>
        <w:autoSpaceDE w:val="0"/>
        <w:autoSpaceDN w:val="0"/>
        <w:jc w:val="both"/>
        <w:spacing w:before="73" w:after="0" w:lineRule="auto" w:line="321"/>
        <w:ind w:right="202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E041607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焊</w:t>
      </w:r>
      <w:r>
        <w:rPr>
          <w:rFonts w:ascii="宋体" w:hAnsi="宋体" w:cs="宋体" w:eastAsia="宋体" w:hint="ascii"/>
          <w:sz w:val="18"/>
        </w:rPr>
        <w:t>接冶金</w:t>
      </w:r>
      <w:r>
        <w:rPr>
          <w:rFonts w:ascii="Times New Roman" w:hAnsi="Times New Roman" w:cs="Times New Roman" w:eastAsia="Times New Roman" w:hint="ascii"/>
          <w:sz w:val="18"/>
          <w:spacing w:val="-1"/>
        </w:rPr>
        <w:t>E041608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电</w:t>
      </w:r>
      <w:r>
        <w:rPr>
          <w:rFonts w:ascii="宋体" w:hAnsi="宋体" w:cs="宋体" w:eastAsia="宋体" w:hint="ascii"/>
          <w:sz w:val="18"/>
        </w:rPr>
        <w:t>磁冶金</w:t>
      </w:r>
    </w:p>
    <w:p>
      <w:pPr>
        <w:autoSpaceDE w:val="0"/>
        <w:autoSpaceDN w:val="0"/>
        <w:jc w:val="left"/>
        <w:spacing w:before="0" w:after="0" w:lineRule="auto" w:line="227"/>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粉末冶金与粉体工程</w:t>
      </w:r>
    </w:p>
    <w:p>
      <w:pPr>
        <w:autoSpaceDE w:val="0"/>
        <w:autoSpaceDN w:val="0"/>
        <w:jc w:val="left"/>
        <w:spacing w:before="65"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特殊冶金、外场冶金与冶金新</w:t>
      </w:r>
    </w:p>
    <w:p>
      <w:pPr>
        <w:autoSpaceDE w:val="0"/>
        <w:autoSpaceDN w:val="0"/>
        <w:jc w:val="left"/>
        <w:spacing w:before="63"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理论、新方法</w:t>
      </w:r>
    </w:p>
    <w:p>
      <w:pPr>
        <w:autoSpaceDE w:val="0"/>
        <w:autoSpaceDN w:val="0"/>
        <w:jc w:val="left"/>
        <w:spacing w:before="5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资源循环科学</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矿冶生态与环境工程</w:t>
      </w:r>
    </w:p>
    <w:p>
      <w:pPr>
        <w:autoSpaceDE w:val="0"/>
        <w:autoSpaceDN w:val="0"/>
        <w:jc w:val="both"/>
        <w:spacing w:before="71" w:after="0" w:lineRule="auto" w:line="320"/>
        <w:ind w:right="112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E042001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矿</w:t>
      </w:r>
      <w:r>
        <w:rPr>
          <w:rFonts w:ascii="宋体" w:hAnsi="宋体" w:cs="宋体" w:eastAsia="宋体" w:hint="ascii"/>
          <w:sz w:val="18"/>
        </w:rPr>
        <w:t>山复垦与生态恢复</w:t>
      </w:r>
      <w:r>
        <w:rPr>
          <w:rFonts w:ascii="Times New Roman" w:hAnsi="Times New Roman" w:cs="Times New Roman" w:eastAsia="Times New Roman" w:hint="ascii"/>
          <w:sz w:val="18"/>
          <w:spacing w:val="-1"/>
        </w:rPr>
        <w:t>E042002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矿</w:t>
      </w:r>
      <w:r>
        <w:rPr>
          <w:rFonts w:ascii="宋体" w:hAnsi="宋体" w:cs="宋体" w:eastAsia="宋体" w:hint="ascii"/>
          <w:sz w:val="18"/>
        </w:rPr>
        <w:t>冶环境污染评测与</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控制</w:t>
      </w:r>
    </w:p>
    <w:p>
      <w:pPr>
        <w:autoSpaceDE w:val="0"/>
        <w:autoSpaceDN w:val="0"/>
        <w:jc w:val="both"/>
        <w:spacing w:before="67" w:after="0" w:lineRule="auto" w:line="320"/>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E042003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有</w:t>
      </w:r>
      <w:r>
        <w:rPr>
          <w:rFonts w:ascii="宋体" w:hAnsi="宋体" w:cs="宋体" w:eastAsia="宋体" w:hint="ascii"/>
          <w:sz w:val="18"/>
          <w:spacing w:val="-8"/>
        </w:rPr>
        <w:t>害辐射等污染的防</w:t>
      </w:r>
      <w:r>
        <w:rPr>
          <w:rFonts w:ascii="宋体" w:hAnsi="宋体" w:cs="宋体" w:eastAsia="宋体" w:hint="ascii"/>
          <w:sz w:val="18"/>
        </w:rPr>
        <w:t>治</w:t>
      </w:r>
      <w:r>
        <w:rPr>
          <w:rFonts w:ascii="Times New Roman" w:hAnsi="Times New Roman" w:cs="Times New Roman" w:eastAsia="Times New Roman" w:hint="ascii"/>
          <w:sz w:val="18"/>
        </w:rPr>
        <w:t>E042004</w:t>
      </w:r>
      <w:r>
        <w:rPr>
          <w:rFonts w:ascii="Times New Roman" w:hAnsi="Times New Roman" w:cs="Times New Roman" w:eastAsia="Times New Roman" w:hint="ascii"/>
          <w:sz w:val="18"/>
          <w:spacing w:val="45"/>
        </w:rPr>
        <w:t xml:space="preserve"> </w:t>
      </w:r>
      <w:r>
        <w:rPr>
          <w:rFonts w:ascii="宋体" w:hAnsi="宋体" w:cs="宋体" w:eastAsia="宋体" w:hint="ascii"/>
          <w:sz w:val="18"/>
        </w:rPr>
        <w:t>绿色冶金与增值冶金</w:t>
      </w:r>
    </w:p>
    <w:p>
      <w:pPr>
        <w:autoSpaceDE w:val="0"/>
        <w:autoSpaceDN w:val="0"/>
        <w:jc w:val="left"/>
        <w:spacing w:before="0" w:after="0" w:lineRule="auto" w:line="23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矿冶装备工艺原理</w:t>
      </w:r>
    </w:p>
    <w:p>
      <w:pPr>
        <w:autoSpaceDE w:val="0"/>
        <w:autoSpaceDN w:val="0"/>
        <w:jc w:val="left"/>
        <w:spacing w:before="65"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E0422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资源利用科学及其他</w:t>
      </w:r>
    </w:p>
    <w:p>
      <w:pPr>
        <w:autoSpaceDE w:val="0"/>
        <w:autoSpaceDN w:val="0"/>
        <w:jc w:val="left"/>
        <w:spacing w:before="71" w:after="0" w:lineRule="auto" w:line="320"/>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E042201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短流程新技术</w:t>
      </w:r>
      <w:r>
        <w:rPr>
          <w:rFonts w:ascii="Times New Roman" w:hAnsi="Times New Roman" w:cs="Times New Roman" w:eastAsia="Times New Roman" w:hint="ascii"/>
          <w:sz w:val="18"/>
        </w:rPr>
        <w:t>E042202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冶金耐火与保温材料</w:t>
      </w:r>
      <w:r>
        <w:rPr>
          <w:rFonts w:ascii="Times New Roman" w:hAnsi="Times New Roman" w:cs="Times New Roman" w:eastAsia="Times New Roman" w:hint="ascii"/>
          <w:sz w:val="18"/>
        </w:rPr>
        <w:t>E042203</w:t>
      </w:r>
      <w:r>
        <w:rPr>
          <w:rFonts w:ascii="Times New Roman" w:hAnsi="Times New Roman" w:cs="Times New Roman" w:eastAsia="Times New Roman" w:hint="ascii"/>
          <w:sz w:val="18"/>
          <w:spacing w:val="45"/>
        </w:rPr>
        <w:t xml:space="preserve"> </w:t>
      </w:r>
      <w:r>
        <w:rPr>
          <w:rFonts w:ascii="宋体" w:hAnsi="宋体" w:cs="宋体" w:eastAsia="宋体" w:hint="ascii"/>
          <w:sz w:val="18"/>
        </w:rPr>
        <w:t>交叉学科与新技术</w:t>
      </w:r>
      <w:r>
        <w:rPr>
          <w:rFonts w:ascii="Times New Roman" w:hAnsi="Times New Roman" w:cs="Times New Roman" w:eastAsia="Times New Roman" w:hint="ascii"/>
          <w:sz w:val="18"/>
          <w:spacing w:val="-1"/>
        </w:rPr>
        <w:t>E042204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冶</w:t>
      </w:r>
      <w:r>
        <w:rPr>
          <w:rFonts w:ascii="宋体" w:hAnsi="宋体" w:cs="宋体" w:eastAsia="宋体" w:hint="ascii"/>
          <w:sz w:val="18"/>
          <w:spacing w:val="-8"/>
        </w:rPr>
        <w:t>金计量、测试与标</w:t>
      </w:r>
      <w:r>
        <w:rPr>
          <w:rFonts w:ascii="宋体" w:hAnsi="宋体" w:cs="宋体" w:eastAsia="宋体" w:hint="ascii"/>
          <w:sz w:val="18"/>
        </w:rPr>
        <w:t>准</w:t>
      </w:r>
      <w:r>
        <w:rPr>
          <w:rFonts w:ascii="Times New Roman" w:hAnsi="Times New Roman" w:cs="Times New Roman" w:eastAsia="Times New Roman" w:hint="ascii"/>
          <w:sz w:val="18"/>
        </w:rPr>
        <w:t>E042205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矿冶系统工程与信息</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工程</w:t>
      </w:r>
    </w:p>
    <w:p>
      <w:pPr>
        <w:autoSpaceDE w:val="0"/>
        <w:autoSpaceDN w:val="0"/>
        <w:jc w:val="left"/>
        <w:spacing w:before="68" w:after="0" w:lineRule="auto" w:line="320"/>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E042206</w:t>
      </w:r>
      <w:r>
        <w:rPr>
          <w:rFonts w:ascii="Times New Roman" w:hAnsi="Times New Roman" w:cs="Times New Roman" w:eastAsia="Times New Roman" w:hint="ascii"/>
          <w:sz w:val="18"/>
          <w:spacing w:val="45"/>
        </w:rPr>
        <w:t xml:space="preserve"> </w:t>
      </w:r>
      <w:r>
        <w:rPr>
          <w:rFonts w:ascii="宋体" w:hAnsi="宋体" w:cs="宋体" w:eastAsia="宋体" w:hint="ascii"/>
          <w:sz w:val="18"/>
        </w:rPr>
        <w:t>冶金燃烧与节能工程</w:t>
      </w:r>
      <w:r>
        <w:rPr>
          <w:rFonts w:ascii="Times New Roman" w:hAnsi="Times New Roman" w:cs="Times New Roman" w:eastAsia="Times New Roman" w:hint="ascii"/>
          <w:sz w:val="18"/>
          <w:spacing w:val="-1"/>
        </w:rPr>
        <w:t>E042207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冶</w:t>
      </w:r>
      <w:r>
        <w:rPr>
          <w:rFonts w:ascii="宋体" w:hAnsi="宋体" w:cs="宋体" w:eastAsia="宋体" w:hint="ascii"/>
          <w:sz w:val="18"/>
          <w:spacing w:val="-8"/>
        </w:rPr>
        <w:t>金史及古代矿物科</w:t>
      </w:r>
      <w:r>
        <w:rPr>
          <w:rFonts w:ascii="宋体" w:hAnsi="宋体" w:cs="宋体" w:eastAsia="宋体" w:hint="ascii"/>
          <w:sz w:val="18"/>
        </w:rPr>
        <w:t>学</w:t>
      </w:r>
    </w:p>
    <w:p>
      <w:pPr>
        <w:autoSpaceDE w:val="0"/>
        <w:autoSpaceDN w:val="0"/>
        <w:jc w:val="left"/>
        <w:spacing w:before="0" w:after="0" w:lineRule="auto" w:line="226"/>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E05</w:t>
      </w:r>
      <w:r>
        <w:rPr>
          <w:rFonts w:ascii="Times New Roman" w:hAnsi="Times New Roman" w:cs="Times New Roman" w:eastAsia="Times New Roman" w:hint="ascii"/>
          <w:b w:val="1"/>
          <w:spacing w:val="60"/>
        </w:rPr>
        <w:t xml:space="preserve"> </w:t>
      </w:r>
      <w:r>
        <w:rPr>
          <w:rFonts w:ascii="宋体" w:hAnsi="宋体" w:cs="宋体" w:eastAsia="宋体" w:hint="ascii"/>
        </w:rPr>
        <w:t>机械工程</w:t>
      </w:r>
    </w:p>
    <w:p>
      <w:pPr>
        <w:autoSpaceDE w:val="0"/>
        <w:autoSpaceDN w:val="0"/>
        <w:jc w:val="left"/>
        <w:spacing w:before="95"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机构学与机器人</w:t>
      </w:r>
    </w:p>
    <w:p>
      <w:pPr>
        <w:autoSpaceDE w:val="0"/>
        <w:autoSpaceDN w:val="0"/>
        <w:jc w:val="left"/>
        <w:spacing w:before="67" w:after="0" w:lineRule="auto" w:line="314"/>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E050101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机</w:t>
      </w:r>
      <w:r>
        <w:rPr>
          <w:rFonts w:ascii="宋体" w:hAnsi="宋体" w:cs="宋体" w:eastAsia="宋体" w:hint="ascii"/>
          <w:sz w:val="18"/>
          <w:spacing w:val="-8"/>
        </w:rPr>
        <w:t>构学与机器组成原</w:t>
      </w:r>
      <w:r>
        <w:rPr>
          <w:rFonts w:ascii="宋体" w:hAnsi="宋体" w:cs="宋体" w:eastAsia="宋体" w:hint="ascii"/>
          <w:sz w:val="18"/>
        </w:rPr>
        <w:t>理</w:t>
      </w:r>
      <w:r>
        <w:rPr>
          <w:rFonts w:ascii="Times New Roman" w:hAnsi="Times New Roman" w:cs="Times New Roman" w:eastAsia="Times New Roman" w:hint="ascii"/>
          <w:sz w:val="18"/>
        </w:rPr>
        <w:t>E050102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机构运动学与动力学</w:t>
      </w:r>
      <w:r>
        <w:rPr>
          <w:rFonts w:ascii="Times New Roman" w:hAnsi="Times New Roman" w:cs="Times New Roman" w:eastAsia="Times New Roman" w:hint="ascii"/>
          <w:sz w:val="18"/>
        </w:rPr>
        <w:t>E050103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机器人机械学</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传动机械学</w:t>
      </w:r>
    </w:p>
    <w:p>
      <w:pPr>
        <w:autoSpaceDE w:val="0"/>
        <w:autoSpaceDN w:val="0"/>
        <w:jc w:val="left"/>
        <w:spacing w:before="68" w:after="0" w:lineRule="auto" w:line="313"/>
        <w:ind w:right="140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机械传动</w:t>
      </w:r>
      <w:r>
        <w:rPr>
          <w:rFonts w:ascii="Times New Roman" w:hAnsi="Times New Roman" w:cs="Times New Roman" w:eastAsia="Times New Roman" w:hint="ascii"/>
          <w:sz w:val="18"/>
        </w:rPr>
        <w:t>E050202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流体传动</w:t>
      </w:r>
      <w:r>
        <w:rPr>
          <w:rFonts w:ascii="Times New Roman" w:hAnsi="Times New Roman" w:cs="Times New Roman" w:eastAsia="Times New Roman" w:hint="ascii"/>
          <w:sz w:val="18"/>
        </w:rPr>
        <w:t>E050203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复合传动</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机械动力学</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振动</w:t>
      </w:r>
      <w:r>
        <w:rPr>
          <w:rFonts w:ascii="Times New Roman" w:hAnsi="Times New Roman" w:cs="Times New Roman" w:eastAsia="Times New Roman" w:hint="ascii"/>
          <w:sz w:val="18"/>
        </w:rPr>
        <w:t>/</w:t>
      </w:r>
      <w:r>
        <w:rPr>
          <w:rFonts w:ascii="宋体" w:hAnsi="宋体" w:cs="宋体" w:eastAsia="宋体" w:hint="ascii"/>
          <w:sz w:val="18"/>
        </w:rPr>
        <w:t>噪声测试、分</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析与控制</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机械系统动态监测、</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诊断与维护</w:t>
      </w:r>
    </w:p>
    <w:p>
      <w:pPr>
        <w:autoSpaceDE w:val="0"/>
        <w:autoSpaceDN w:val="0"/>
        <w:jc w:val="left"/>
        <w:spacing w:before="61" w:after="0" w:lineRule="auto" w:line="240"/>
        <w:ind w:right="0" w:left="1302" w:firstLine="0"/>
        <w:snapToGrid w:val="0"/>
        <w:textAlignment w:val="auto"/>
        <w:tabs/>
        <w:sectPr>
          <w:type w:val="continuous"/>
          <w:pgSz w:w="10940" w:h="15080" w:orient="portrait"/>
          <w:pgMar w:top="508" w:right="508" w:bottom="508" w:left="508" w:header="0" w:footer="0" w:gutter="0"/>
          <w:cols w:num="2" w:space="0" w:equalWidth="0">
            <w:col w:w="4754" w:space="289"/>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E050303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8"/>
        </w:rPr>
        <w:t>机械结构与系统动力</w:t>
      </w:r>
      <w:r>
        <w:rPr>
          <w:rFonts w:ascii="宋体" w:hAnsi="宋体" w:cs="宋体" w:eastAsia="宋体" w:hint="ascii"/>
          <w:sz w:val="18"/>
        </w:rPr>
        <w:t>学</w:t>
      </w:r>
      <w:rPr>
        <w:rFonts w:ascii="宋体" w:hAnsi="宋体" w:cs="宋体" w:eastAsia="宋体" w:hint="ascii"/>
        <w:sz w:val="18"/>
      </w:rPr>
    </w:p>
    <w:p>
      <w:pPr>
        <w:autoSpaceDE w:val="0"/>
        <w:autoSpaceDN w:val="0"/>
        <w:jc w:val="left"/>
        <w:spacing w:before="300"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机械结构强度学</w:t>
      </w:r>
      <w:r>
        <w:rPr>
          <w:rFonts w:ascii="宋体" w:hAnsi="宋体" w:cs="宋体" w:eastAsia="宋体" w:hint="ascii"/>
          <w:sz w:val="18"/>
        </w:rPr>
        <mc:AlternateContent>
          <mc:Choice Requires="wps">
            <w:drawing>
              <wp:anchor distL="0" distR="0" distT="0" distB="0" simplePos="0" behindDoc="1" relativeHeight="357" locked="0" layoutInCell="1" allowOverlap="1">
                <wp:simplePos x="0" y="0"/>
                <wp:positionH relativeFrom="page">
                  <wp:posOffset>938530</wp:posOffset>
                </wp:positionH>
                <wp:positionV relativeFrom="page">
                  <wp:posOffset>805815</wp:posOffset>
                </wp:positionV>
                <wp:extent cx="5076190" cy="0"/>
                <wp:wrapNone/>
                <wp:docPr id="1384" name="138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92672;width:399.70pt;" id="138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机械结构损伤、疲劳</w:t>
      </w:r>
    </w:p>
    <w:p>
      <w:pPr>
        <w:autoSpaceDE w:val="0"/>
        <w:autoSpaceDN w:val="0"/>
        <w:jc w:val="left"/>
        <w:spacing w:before="62"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与断裂</w:t>
      </w:r>
    </w:p>
    <w:p>
      <w:pPr>
        <w:autoSpaceDE w:val="0"/>
        <w:autoSpaceDN w:val="0"/>
        <w:jc w:val="left"/>
        <w:spacing w:before="5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机械结构强度理论与</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可靠性设计</w:t>
      </w:r>
    </w:p>
    <w:p>
      <w:pPr>
        <w:autoSpaceDE w:val="0"/>
        <w:autoSpaceDN w:val="0"/>
        <w:jc w:val="left"/>
        <w:spacing w:before="5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机械结构安全评定</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机械摩擦学与表面技术</w:t>
      </w:r>
    </w:p>
    <w:p>
      <w:pPr>
        <w:autoSpaceDE w:val="0"/>
        <w:autoSpaceDN w:val="0"/>
        <w:jc w:val="both"/>
        <w:spacing w:before="61"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E050501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机</w:t>
      </w:r>
      <w:r>
        <w:rPr>
          <w:rFonts w:ascii="宋体" w:hAnsi="宋体" w:cs="宋体" w:eastAsia="宋体" w:hint="ascii"/>
          <w:sz w:val="18"/>
          <w:spacing w:val="-8"/>
        </w:rPr>
        <w:t>械摩擦、磨损与控</w:t>
      </w:r>
      <w:r>
        <w:rPr>
          <w:rFonts w:ascii="宋体" w:hAnsi="宋体" w:cs="宋体" w:eastAsia="宋体" w:hint="ascii"/>
          <w:sz w:val="18"/>
        </w:rPr>
        <w:t>制</w:t>
      </w:r>
      <w:r>
        <w:rPr>
          <w:rFonts w:ascii="Times New Roman" w:hAnsi="Times New Roman" w:cs="Times New Roman" w:eastAsia="Times New Roman" w:hint="ascii"/>
          <w:sz w:val="18"/>
          <w:spacing w:val="-1"/>
        </w:rPr>
        <w:t>E050502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机</w:t>
      </w:r>
      <w:r>
        <w:rPr>
          <w:rFonts w:ascii="宋体" w:hAnsi="宋体" w:cs="宋体" w:eastAsia="宋体" w:hint="ascii"/>
          <w:sz w:val="18"/>
          <w:spacing w:val="-8"/>
        </w:rPr>
        <w:t>械润滑、密封与控</w:t>
      </w:r>
      <w:r>
        <w:rPr>
          <w:rFonts w:ascii="宋体" w:hAnsi="宋体" w:cs="宋体" w:eastAsia="宋体" w:hint="ascii"/>
          <w:sz w:val="18"/>
        </w:rPr>
        <w:t>制</w:t>
      </w:r>
      <w:r>
        <w:rPr>
          <w:rFonts w:ascii="Times New Roman" w:hAnsi="Times New Roman" w:cs="Times New Roman" w:eastAsia="Times New Roman" w:hint="ascii"/>
          <w:sz w:val="18"/>
        </w:rPr>
        <w:t>E050503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机械表面效应与表面</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5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工程摩擦学与摩擦学</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设计</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机械设计学</w:t>
      </w:r>
    </w:p>
    <w:p>
      <w:pPr>
        <w:autoSpaceDE w:val="0"/>
        <w:autoSpaceDN w:val="0"/>
        <w:jc w:val="left"/>
        <w:spacing w:before="62"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设计理论与方法</w:t>
      </w:r>
      <w:r>
        <w:rPr>
          <w:rFonts w:ascii="Times New Roman" w:hAnsi="Times New Roman" w:cs="Times New Roman" w:eastAsia="Times New Roman" w:hint="ascii"/>
          <w:sz w:val="18"/>
        </w:rPr>
        <w:t>E050602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概念设计与优化设计</w:t>
      </w:r>
      <w:r>
        <w:rPr>
          <w:rFonts w:ascii="Times New Roman" w:hAnsi="Times New Roman" w:cs="Times New Roman" w:eastAsia="Times New Roman" w:hint="ascii"/>
          <w:sz w:val="18"/>
          <w:spacing w:val="-1"/>
        </w:rPr>
        <w:t>E050603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智</w:t>
      </w:r>
      <w:r>
        <w:rPr>
          <w:rFonts w:ascii="宋体" w:hAnsi="宋体" w:cs="宋体" w:eastAsia="宋体" w:hint="ascii"/>
          <w:sz w:val="18"/>
          <w:spacing w:val="-8"/>
        </w:rPr>
        <w:t>能设计与数字化设</w:t>
      </w:r>
      <w:r>
        <w:rPr>
          <w:rFonts w:ascii="宋体" w:hAnsi="宋体" w:cs="宋体" w:eastAsia="宋体" w:hint="ascii"/>
          <w:sz w:val="18"/>
        </w:rPr>
        <w:t>计</w:t>
      </w:r>
      <w:r>
        <w:rPr>
          <w:rFonts w:ascii="Times New Roman" w:hAnsi="Times New Roman" w:cs="Times New Roman" w:eastAsia="Times New Roman" w:hint="ascii"/>
          <w:sz w:val="18"/>
        </w:rPr>
        <w:t>E050604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机械系统集成设计</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机械仿生学</w:t>
      </w:r>
    </w:p>
    <w:p>
      <w:pPr>
        <w:autoSpaceDE w:val="0"/>
        <w:autoSpaceDN w:val="0"/>
        <w:jc w:val="left"/>
        <w:spacing w:before="61"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机械仿生原理</w:t>
      </w:r>
      <w:r>
        <w:rPr>
          <w:rFonts w:ascii="Times New Roman" w:hAnsi="Times New Roman" w:cs="Times New Roman" w:eastAsia="Times New Roman" w:hint="ascii"/>
          <w:sz w:val="18"/>
        </w:rPr>
        <w:t>E050702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仿生机械设计与制造</w:t>
      </w:r>
      <w:r>
        <w:rPr>
          <w:rFonts w:ascii="Times New Roman" w:hAnsi="Times New Roman" w:cs="Times New Roman" w:eastAsia="Times New Roman" w:hint="ascii"/>
          <w:sz w:val="18"/>
        </w:rPr>
        <w:t>E050703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人</w:t>
      </w:r>
      <w:r>
        <w:rPr>
          <w:rFonts w:ascii="MS Mincho" w:hAnsi="MS Mincho" w:cs="MS Mincho" w:eastAsia="MS Mincho" w:hint="ascii"/>
          <w:sz w:val="18"/>
        </w:rPr>
        <w:t>−</w:t>
      </w:r>
      <w:r>
        <w:rPr>
          <w:rFonts w:ascii="宋体" w:hAnsi="宋体" w:cs="宋体" w:eastAsia="宋体" w:hint="ascii"/>
          <w:sz w:val="18"/>
        </w:rPr>
        <w:t>机</w:t>
      </w:r>
      <w:r>
        <w:rPr>
          <w:rFonts w:ascii="MS Mincho" w:hAnsi="MS Mincho" w:cs="MS Mincho" w:eastAsia="MS Mincho" w:hint="ascii"/>
          <w:sz w:val="18"/>
        </w:rPr>
        <w:t>−</w:t>
      </w:r>
      <w:r>
        <w:rPr>
          <w:rFonts w:ascii="宋体" w:hAnsi="宋体" w:cs="宋体" w:eastAsia="宋体" w:hint="ascii"/>
          <w:sz w:val="18"/>
        </w:rPr>
        <w:t>环境工程学</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零件成形制造</w:t>
      </w:r>
    </w:p>
    <w:p>
      <w:pPr>
        <w:autoSpaceDE w:val="0"/>
        <w:autoSpaceDN w:val="0"/>
        <w:jc w:val="left"/>
        <w:spacing w:before="62"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铸造工艺与装备</w:t>
      </w:r>
      <w:r>
        <w:rPr>
          <w:rFonts w:ascii="Times New Roman" w:hAnsi="Times New Roman" w:cs="Times New Roman" w:eastAsia="Times New Roman" w:hint="ascii"/>
          <w:sz w:val="18"/>
        </w:rPr>
        <w:t>E050802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塑性加工工艺、模具</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与装备</w:t>
      </w:r>
    </w:p>
    <w:p>
      <w:pPr>
        <w:autoSpaceDE w:val="0"/>
        <w:autoSpaceDN w:val="0"/>
        <w:jc w:val="both"/>
        <w:spacing w:before="56"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E050803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焊</w:t>
      </w:r>
      <w:r>
        <w:rPr>
          <w:rFonts w:ascii="宋体" w:hAnsi="宋体" w:cs="宋体" w:eastAsia="宋体" w:hint="ascii"/>
          <w:sz w:val="18"/>
          <w:spacing w:val="-8"/>
        </w:rPr>
        <w:t>接结构、工艺与装</w:t>
      </w:r>
      <w:r>
        <w:rPr>
          <w:rFonts w:ascii="宋体" w:hAnsi="宋体" w:cs="宋体" w:eastAsia="宋体" w:hint="ascii"/>
          <w:sz w:val="18"/>
        </w:rPr>
        <w:t>备</w:t>
      </w:r>
      <w:r>
        <w:rPr>
          <w:rFonts w:ascii="Times New Roman" w:hAnsi="Times New Roman" w:cs="Times New Roman" w:eastAsia="Times New Roman" w:hint="ascii"/>
          <w:sz w:val="18"/>
        </w:rPr>
        <w:t>E050804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近净成形与快速制造</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零件加工制造</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切削、磨削加工工艺</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与装备</w:t>
      </w:r>
    </w:p>
    <w:p>
      <w:pPr>
        <w:autoSpaceDE w:val="0"/>
        <w:autoSpaceDN w:val="0"/>
        <w:jc w:val="both"/>
        <w:spacing w:before="55"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E050902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非</w:t>
      </w:r>
      <w:r>
        <w:rPr>
          <w:rFonts w:ascii="宋体" w:hAnsi="宋体" w:cs="宋体" w:eastAsia="宋体" w:hint="ascii"/>
          <w:sz w:val="18"/>
          <w:spacing w:val="-8"/>
        </w:rPr>
        <w:t>传统加工工艺与装</w:t>
      </w:r>
      <w:r>
        <w:rPr>
          <w:rFonts w:ascii="宋体" w:hAnsi="宋体" w:cs="宋体" w:eastAsia="宋体" w:hint="ascii"/>
          <w:sz w:val="18"/>
        </w:rPr>
        <w:t>备</w:t>
      </w:r>
      <w:r>
        <w:rPr>
          <w:rFonts w:ascii="Times New Roman" w:hAnsi="Times New Roman" w:cs="Times New Roman" w:eastAsia="Times New Roman" w:hint="ascii"/>
          <w:sz w:val="18"/>
          <w:spacing w:val="-1"/>
        </w:rPr>
        <w:t>E050903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超</w:t>
      </w:r>
      <w:r>
        <w:rPr>
          <w:rFonts w:ascii="宋体" w:hAnsi="宋体" w:cs="宋体" w:eastAsia="宋体" w:hint="ascii"/>
          <w:sz w:val="18"/>
          <w:spacing w:val="-8"/>
        </w:rPr>
        <w:t>精密加工工艺与装</w:t>
      </w:r>
      <w:r>
        <w:rPr>
          <w:rFonts w:ascii="宋体" w:hAnsi="宋体" w:cs="宋体" w:eastAsia="宋体" w:hint="ascii"/>
          <w:sz w:val="18"/>
        </w:rPr>
        <w:t>备</w:t>
      </w:r>
      <w:r>
        <w:rPr>
          <w:rFonts w:ascii="Times New Roman" w:hAnsi="Times New Roman" w:cs="Times New Roman" w:eastAsia="Times New Roman" w:hint="ascii"/>
          <w:sz w:val="18"/>
          <w:spacing w:val="-1"/>
        </w:rPr>
        <w:t>E050904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高</w:t>
      </w:r>
      <w:r>
        <w:rPr>
          <w:rFonts w:ascii="宋体" w:hAnsi="宋体" w:cs="宋体" w:eastAsia="宋体" w:hint="ascii"/>
          <w:sz w:val="18"/>
          <w:spacing w:val="-8"/>
        </w:rPr>
        <w:t>能束加工工艺与装</w:t>
      </w:r>
      <w:r>
        <w:rPr>
          <w:rFonts w:ascii="宋体" w:hAnsi="宋体" w:cs="宋体" w:eastAsia="宋体" w:hint="ascii"/>
          <w:sz w:val="18"/>
        </w:rPr>
        <w:t>备</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制造系统与自动化</w:t>
      </w:r>
    </w:p>
    <w:p>
      <w:pPr>
        <w:autoSpaceDE w:val="0"/>
        <w:autoSpaceDN w:val="0"/>
        <w:jc w:val="left"/>
        <w:spacing w:before="62" w:after="0" w:lineRule="auto" w:line="240"/>
        <w:ind w:right="0" w:left="2267"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数控技术与装备</w:t>
      </w:r>
    </w:p>
    <w:p>
      <w:pPr>
        <w:autoSpaceDE w:val="0"/>
        <w:autoSpaceDN w:val="0"/>
        <w:jc w:val="left"/>
        <w:spacing w:before="61" w:after="0" w:lineRule="auto" w:line="240"/>
        <w:ind w:right="0" w:left="2267"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E051002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数</w:t>
      </w:r>
      <w:r>
        <w:rPr>
          <w:rFonts w:ascii="宋体" w:hAnsi="宋体" w:cs="宋体" w:eastAsia="宋体" w:hint="ascii"/>
          <w:sz w:val="18"/>
          <w:spacing w:val="-8"/>
        </w:rPr>
        <w:t>字化制造与智能制</w:t>
      </w:r>
      <w:r>
        <w:rPr>
          <w:rFonts w:ascii="宋体" w:hAnsi="宋体" w:cs="宋体" w:eastAsia="宋体" w:hint="ascii"/>
          <w:sz w:val="18"/>
        </w:rPr>
        <w:t>造</w:t>
      </w:r>
    </w:p>
    <w:p>
      <w:pPr>
        <w:autoSpaceDE w:val="0"/>
        <w:autoSpaceDN w:val="0"/>
        <w:jc w:val="left"/>
        <w:spacing w:before="61"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可重构制造系统</w:t>
      </w:r>
      <w:r>
        <w:rPr>
          <w:rFonts w:ascii="Times New Roman" w:hAnsi="Times New Roman" w:cs="Times New Roman" w:eastAsia="Times New Roman" w:hint="ascii"/>
          <w:sz w:val="18"/>
        </w:rPr>
        <w:t>E051004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可持续设计与制造</w:t>
      </w:r>
      <w:r>
        <w:rPr>
          <w:rFonts w:ascii="Times New Roman" w:hAnsi="Times New Roman" w:cs="Times New Roman" w:eastAsia="Times New Roman" w:hint="ascii"/>
          <w:sz w:val="18"/>
        </w:rPr>
        <w:t>E051005</w:t>
      </w:r>
      <w:r>
        <w:rPr>
          <w:rFonts w:ascii="Times New Roman" w:hAnsi="Times New Roman" w:cs="Times New Roman" w:eastAsia="Times New Roman" w:hint="ascii"/>
          <w:sz w:val="18"/>
          <w:spacing w:val="45"/>
        </w:rPr>
        <w:t xml:space="preserve"> </w:t>
      </w:r>
      <w:r>
        <w:rPr>
          <w:rFonts w:ascii="宋体" w:hAnsi="宋体" w:cs="宋体" w:eastAsia="宋体" w:hint="ascii"/>
          <w:sz w:val="18"/>
        </w:rPr>
        <w:t>制造系统调度、规划</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与管理</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机械测试理论与技术</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机械计量标准、理论</w:t>
      </w:r>
    </w:p>
    <w:p>
      <w:pPr>
        <w:autoSpaceDE w:val="0"/>
        <w:autoSpaceDN w:val="0"/>
        <w:jc w:val="left"/>
        <w:spacing w:before="354"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宋体" w:hAnsi="宋体" w:cs="宋体" w:eastAsia="宋体" w:hint="ascii"/>
          <w:sz w:val="18"/>
        </w:rPr>
        <w:t>与方法</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机械测试理论、方法</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与技术</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机械传感器技术与测</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试仪器</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机械制造过程监测与</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控制</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E0512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w:t>
      </w:r>
      <w:r>
        <w:rPr>
          <w:rFonts w:ascii="Times New Roman" w:hAnsi="Times New Roman" w:cs="Times New Roman" w:eastAsia="Times New Roman" w:hint="ascii"/>
          <w:b w:val="1"/>
          <w:sz w:val="18"/>
        </w:rPr>
        <w:t>/</w:t>
      </w:r>
      <w:r>
        <w:rPr>
          <w:rFonts w:ascii="宋体" w:hAnsi="宋体" w:cs="宋体" w:eastAsia="宋体" w:hint="ascii"/>
          <w:sz w:val="18"/>
        </w:rPr>
        <w:t>纳机械系统</w:t>
      </w:r>
    </w:p>
    <w:p>
      <w:pPr>
        <w:autoSpaceDE w:val="0"/>
        <w:autoSpaceDN w:val="0"/>
        <w:jc w:val="left"/>
        <w:spacing w:before="6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E051201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w:t>
      </w:r>
      <w:r>
        <w:rPr>
          <w:rFonts w:ascii="Times New Roman" w:hAnsi="Times New Roman" w:cs="Times New Roman" w:eastAsia="Times New Roman" w:hint="ascii"/>
          <w:sz w:val="18"/>
        </w:rPr>
        <w:t>/</w:t>
      </w:r>
      <w:r>
        <w:rPr>
          <w:rFonts w:ascii="宋体" w:hAnsi="宋体" w:cs="宋体" w:eastAsia="宋体" w:hint="ascii"/>
          <w:sz w:val="18"/>
        </w:rPr>
        <w:t>纳机械驱动器与</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执行器件</w:t>
      </w:r>
    </w:p>
    <w:p>
      <w:pPr>
        <w:autoSpaceDE w:val="0"/>
        <w:autoSpaceDN w:val="0"/>
        <w:jc w:val="both"/>
        <w:spacing w:before="61" w:after="0" w:lineRule="auto" w:line="314"/>
        <w:ind w:right="1215"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E051202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微</w:t>
      </w:r>
      <w:r>
        <w:rPr>
          <w:rFonts w:ascii="Times New Roman" w:hAnsi="Times New Roman" w:cs="Times New Roman" w:eastAsia="Times New Roman" w:hint="ascii"/>
          <w:sz w:val="18"/>
          <w:spacing w:val="-8"/>
        </w:rPr>
        <w:t>/</w:t>
      </w:r>
      <w:r>
        <w:rPr>
          <w:rFonts w:ascii="宋体" w:hAnsi="宋体" w:cs="宋体" w:eastAsia="宋体" w:hint="ascii"/>
          <w:sz w:val="18"/>
          <w:spacing w:val="-8"/>
        </w:rPr>
        <w:t>纳机械传感与控</w:t>
      </w:r>
      <w:r>
        <w:rPr>
          <w:rFonts w:ascii="宋体" w:hAnsi="宋体" w:cs="宋体" w:eastAsia="宋体" w:hint="ascii"/>
          <w:sz w:val="18"/>
        </w:rPr>
        <w:t>制</w:t>
      </w:r>
      <w:r>
        <w:rPr>
          <w:rFonts w:ascii="Times New Roman" w:hAnsi="Times New Roman" w:cs="Times New Roman" w:eastAsia="Times New Roman" w:hint="ascii"/>
          <w:sz w:val="18"/>
        </w:rPr>
        <w:t>E051203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微</w:t>
      </w:r>
      <w:r>
        <w:rPr>
          <w:rFonts w:ascii="Times New Roman" w:hAnsi="Times New Roman" w:cs="Times New Roman" w:eastAsia="Times New Roman" w:hint="ascii"/>
          <w:sz w:val="18"/>
        </w:rPr>
        <w:t>/</w:t>
      </w:r>
      <w:r>
        <w:rPr>
          <w:rFonts w:ascii="宋体" w:hAnsi="宋体" w:cs="宋体" w:eastAsia="宋体" w:hint="ascii"/>
          <w:sz w:val="18"/>
        </w:rPr>
        <w:t>纳制造过程检测</w:t>
      </w:r>
    </w:p>
    <w:p>
      <w:pPr>
        <w:autoSpaceDE w:val="0"/>
        <w:autoSpaceDN w:val="0"/>
        <w:jc w:val="left"/>
        <w:spacing w:before="429496729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与控制</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E051204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微</w:t>
      </w:r>
      <w:r>
        <w:rPr>
          <w:rFonts w:ascii="Times New Roman" w:hAnsi="Times New Roman" w:cs="Times New Roman" w:eastAsia="Times New Roman" w:hint="ascii"/>
          <w:sz w:val="18"/>
        </w:rPr>
        <w:t>/</w:t>
      </w:r>
      <w:r>
        <w:rPr>
          <w:rFonts w:ascii="宋体" w:hAnsi="宋体" w:cs="宋体" w:eastAsia="宋体" w:hint="ascii"/>
          <w:sz w:val="18"/>
        </w:rPr>
        <w:t>纳机械系统组成</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原理与集成</w:t>
      </w:r>
    </w:p>
    <w:p>
      <w:pPr>
        <w:autoSpaceDE w:val="0"/>
        <w:autoSpaceDN w:val="0"/>
        <w:jc w:val="left"/>
        <w:spacing w:before="51"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E06</w:t>
      </w:r>
      <w:r>
        <w:rPr>
          <w:rFonts w:ascii="Times New Roman" w:hAnsi="Times New Roman" w:cs="Times New Roman" w:eastAsia="Times New Roman" w:hint="ascii"/>
          <w:b w:val="1"/>
          <w:spacing w:val="60"/>
        </w:rPr>
        <w:t xml:space="preserve"> </w:t>
      </w:r>
      <w:r>
        <w:rPr>
          <w:rFonts w:ascii="宋体" w:hAnsi="宋体" w:cs="宋体" w:eastAsia="宋体" w:hint="ascii"/>
        </w:rPr>
        <w:t>工程热物理与能源利用</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工程热力学</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热力学基础</w:t>
      </w:r>
    </w:p>
    <w:p>
      <w:pPr>
        <w:autoSpaceDE w:val="0"/>
        <w:autoSpaceDN w:val="0"/>
        <w:jc w:val="both"/>
        <w:spacing w:before="67" w:after="0" w:lineRule="auto" w:line="312"/>
        <w:ind w:right="112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E060102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热</w:t>
      </w:r>
      <w:r>
        <w:rPr>
          <w:rFonts w:ascii="宋体" w:hAnsi="宋体" w:cs="宋体" w:eastAsia="宋体" w:hint="ascii"/>
          <w:sz w:val="18"/>
        </w:rPr>
        <w:t>力过程与热力循环</w:t>
      </w:r>
      <w:r>
        <w:rPr>
          <w:rFonts w:ascii="Times New Roman" w:hAnsi="Times New Roman" w:cs="Times New Roman" w:eastAsia="Times New Roman" w:hint="ascii"/>
          <w:sz w:val="18"/>
          <w:spacing w:val="-1"/>
        </w:rPr>
        <w:t>E060103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能</w:t>
      </w:r>
      <w:r>
        <w:rPr>
          <w:rFonts w:ascii="宋体" w:hAnsi="宋体" w:cs="宋体" w:eastAsia="宋体" w:hint="ascii"/>
          <w:sz w:val="18"/>
        </w:rPr>
        <w:t>源利用系统与评价</w:t>
      </w:r>
      <w:r>
        <w:rPr>
          <w:rFonts w:ascii="Times New Roman" w:hAnsi="Times New Roman" w:cs="Times New Roman" w:eastAsia="Times New Roman" w:hint="ascii"/>
          <w:sz w:val="18"/>
          <w:spacing w:val="-1"/>
        </w:rPr>
        <w:t>E060104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节</w:t>
      </w:r>
      <w:r>
        <w:rPr>
          <w:rFonts w:ascii="宋体" w:hAnsi="宋体" w:cs="宋体" w:eastAsia="宋体" w:hint="ascii"/>
          <w:sz w:val="18"/>
        </w:rPr>
        <w:t>能与储能中的工程</w:t>
      </w:r>
    </w:p>
    <w:p>
      <w:pPr>
        <w:autoSpaceDE w:val="0"/>
        <w:autoSpaceDN w:val="0"/>
        <w:jc w:val="left"/>
        <w:spacing w:before="4294967294"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热物理问题</w:t>
      </w:r>
    </w:p>
    <w:p>
      <w:pPr>
        <w:autoSpaceDE w:val="0"/>
        <w:autoSpaceDN w:val="0"/>
        <w:jc w:val="left"/>
        <w:spacing w:before="5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制冷</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热力系统动态特性、</w:t>
      </w:r>
    </w:p>
    <w:p>
      <w:pPr>
        <w:autoSpaceDE w:val="0"/>
        <w:autoSpaceDN w:val="0"/>
        <w:jc w:val="left"/>
        <w:spacing w:before="6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诊断与控制</w:t>
      </w:r>
    </w:p>
    <w:p>
      <w:pPr>
        <w:autoSpaceDE w:val="0"/>
        <w:autoSpaceDN w:val="0"/>
        <w:jc w:val="left"/>
        <w:spacing w:before="5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内流流体力学</w:t>
      </w:r>
    </w:p>
    <w:p>
      <w:pPr>
        <w:autoSpaceDE w:val="0"/>
        <w:autoSpaceDN w:val="0"/>
        <w:jc w:val="left"/>
        <w:spacing w:before="63" w:after="0" w:lineRule="auto" w:line="309"/>
        <w:ind w:right="112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黏性流动与湍流</w:t>
      </w:r>
      <w:r>
        <w:rPr>
          <w:rFonts w:ascii="Times New Roman" w:hAnsi="Times New Roman" w:cs="Times New Roman" w:eastAsia="Times New Roman" w:hint="ascii"/>
          <w:sz w:val="18"/>
        </w:rPr>
        <w:t>E060202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动力装置内部流动</w:t>
      </w:r>
      <w:r>
        <w:rPr>
          <w:rFonts w:ascii="Times New Roman" w:hAnsi="Times New Roman" w:cs="Times New Roman" w:eastAsia="Times New Roman" w:hint="ascii"/>
          <w:sz w:val="18"/>
        </w:rPr>
        <w:t>E060203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流体机械内部流动</w:t>
      </w:r>
      <w:r>
        <w:rPr>
          <w:rFonts w:ascii="Times New Roman" w:hAnsi="Times New Roman" w:cs="Times New Roman" w:eastAsia="Times New Roman" w:hint="ascii"/>
          <w:sz w:val="18"/>
          <w:spacing w:val="-1"/>
        </w:rPr>
        <w:t>E060204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流</w:t>
      </w:r>
      <w:r>
        <w:rPr>
          <w:rFonts w:ascii="宋体" w:hAnsi="宋体" w:cs="宋体" w:eastAsia="宋体" w:hint="ascii"/>
          <w:sz w:val="18"/>
        </w:rPr>
        <w:t>体噪声与流固耦合</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传热传质学</w:t>
      </w:r>
    </w:p>
    <w:p>
      <w:pPr>
        <w:autoSpaceDE w:val="0"/>
        <w:autoSpaceDN w:val="0"/>
        <w:jc w:val="left"/>
        <w:spacing w:before="63" w:after="0" w:lineRule="auto" w:line="309"/>
        <w:ind w:right="158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热传导</w:t>
      </w:r>
      <w:r>
        <w:rPr>
          <w:rFonts w:ascii="Times New Roman" w:hAnsi="Times New Roman" w:cs="Times New Roman" w:eastAsia="Times New Roman" w:hint="ascii"/>
          <w:sz w:val="18"/>
        </w:rPr>
        <w:t>E060302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辐射换热</w:t>
      </w:r>
      <w:r>
        <w:rPr>
          <w:rFonts w:ascii="Times New Roman" w:hAnsi="Times New Roman" w:cs="Times New Roman" w:eastAsia="Times New Roman" w:hint="ascii"/>
          <w:sz w:val="18"/>
        </w:rPr>
        <w:t>E060303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对流传热传质</w:t>
      </w:r>
      <w:r>
        <w:rPr>
          <w:rFonts w:ascii="Times New Roman" w:hAnsi="Times New Roman" w:cs="Times New Roman" w:eastAsia="Times New Roman" w:hint="ascii"/>
          <w:sz w:val="18"/>
        </w:rPr>
        <w:t>E060304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相变传递过程</w:t>
      </w:r>
      <w:r>
        <w:rPr>
          <w:rFonts w:ascii="Times New Roman" w:hAnsi="Times New Roman" w:cs="Times New Roman" w:eastAsia="Times New Roman" w:hint="ascii"/>
          <w:sz w:val="18"/>
        </w:rPr>
        <w:t>E060305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微观传递过程</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燃烧学</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层流火焰和燃烧反应</w:t>
      </w:r>
    </w:p>
    <w:p>
      <w:pPr>
        <w:autoSpaceDE w:val="0"/>
        <w:autoSpaceDN w:val="0"/>
        <w:jc w:val="left"/>
        <w:spacing w:before="63"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动力学</w:t>
      </w:r>
    </w:p>
    <w:p>
      <w:pPr>
        <w:autoSpaceDE w:val="0"/>
        <w:autoSpaceDN w:val="0"/>
        <w:jc w:val="left"/>
        <w:spacing w:before="5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湍流火焰</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煤与其他固体燃料的</w:t>
      </w:r>
    </w:p>
    <w:p>
      <w:pPr>
        <w:autoSpaceDE w:val="0"/>
        <w:autoSpaceDN w:val="0"/>
        <w:jc w:val="left"/>
        <w:spacing w:before="63" w:after="0" w:lineRule="exact" w:line="225"/>
        <w:ind w:right="0" w:left="2130" w:firstLine="0"/>
        <w:snapToGrid w:val="0"/>
        <w:textAlignment w:val="auto"/>
        <w:tabs/>
        <w:sectPr>
          <w:type w:val="continuous"/>
          <w:pgSz w:w="10940" w:h="15080" w:orient="portrait"/>
          <w:pgMar w:top="508" w:right="508" w:bottom="508" w:left="508" w:header="0" w:footer="0" w:gutter="0"/>
          <w:cols w:num="2" w:space="0" w:equalWidth="0">
            <w:col w:w="4754" w:space="289"/>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燃烧</w:t>
      </w:r>
      <w:rPr>
        <w:rFonts w:ascii="宋体" w:hAnsi="宋体" w:cs="宋体" w:eastAsia="宋体" w:hint="ascii"/>
        <w:sz w:val="18"/>
      </w:rPr>
    </w:p>
    <w:p>
      <w:pPr>
        <w:autoSpaceDE w:val="0"/>
        <w:autoSpaceDN w:val="0"/>
        <w:jc w:val="left"/>
        <w:spacing w:before="382"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276</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气体、液体燃料燃烧</w:t>
      </w:r>
      <w:r>
        <w:rPr>
          <w:rFonts w:ascii="Times New Roman" w:hAnsi="Times New Roman" w:cs="Times New Roman" w:eastAsia="Times New Roman" w:hint="ascii"/>
          <w:sz w:val="18"/>
        </w:rPr>
        <w:t>E060405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动力装置中的燃烧</w:t>
      </w:r>
      <w:r>
        <w:rPr>
          <w:rFonts w:ascii="Times New Roman" w:hAnsi="Times New Roman" w:cs="Times New Roman" w:eastAsia="Times New Roman" w:hint="ascii"/>
          <w:sz w:val="18"/>
          <w:spacing w:val="-1"/>
        </w:rPr>
        <w:t>E060406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特</w:t>
      </w:r>
      <w:r>
        <w:rPr>
          <w:rFonts w:ascii="宋体" w:hAnsi="宋体" w:cs="宋体" w:eastAsia="宋体" w:hint="ascii"/>
          <w:sz w:val="18"/>
          <w:spacing w:val="-8"/>
        </w:rPr>
        <w:t>殊环境与条件下燃</w:t>
      </w:r>
      <w:r>
        <w:rPr>
          <w:rFonts w:ascii="宋体" w:hAnsi="宋体" w:cs="宋体" w:eastAsia="宋体" w:hint="ascii"/>
          <w:sz w:val="18"/>
        </w:rPr>
        <w:t>烧</w:t>
      </w:r>
      <w:r>
        <w:rPr>
          <w:rFonts w:ascii="Times New Roman" w:hAnsi="Times New Roman" w:cs="Times New Roman" w:eastAsia="Times New Roman" w:hint="ascii"/>
          <w:sz w:val="18"/>
          <w:spacing w:val="-1"/>
        </w:rPr>
        <w:t>E060407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燃</w:t>
      </w:r>
      <w:r>
        <w:rPr>
          <w:rFonts w:ascii="宋体" w:hAnsi="宋体" w:cs="宋体" w:eastAsia="宋体" w:hint="ascii"/>
          <w:sz w:val="18"/>
          <w:spacing w:val="-8"/>
        </w:rPr>
        <w:t>烧污染物生成和防</w:t>
      </w:r>
      <w:r>
        <w:rPr>
          <w:rFonts w:ascii="宋体" w:hAnsi="宋体" w:cs="宋体" w:eastAsia="宋体" w:hint="ascii"/>
          <w:sz w:val="18"/>
        </w:rPr>
        <w:t>治</w:t>
      </w:r>
      <w:r>
        <w:rPr>
          <w:rFonts w:ascii="Times New Roman" w:hAnsi="Times New Roman" w:cs="Times New Roman" w:eastAsia="Times New Roman" w:hint="ascii"/>
          <w:sz w:val="18"/>
        </w:rPr>
        <w:t>E060408</w:t>
      </w:r>
      <w:r>
        <w:rPr>
          <w:rFonts w:ascii="Times New Roman" w:hAnsi="Times New Roman" w:cs="Times New Roman" w:eastAsia="Times New Roman" w:hint="ascii"/>
          <w:sz w:val="18"/>
          <w:spacing w:val="45"/>
        </w:rPr>
        <w:t xml:space="preserve"> </w:t>
      </w:r>
      <w:r>
        <w:rPr>
          <w:rFonts w:ascii="宋体" w:hAnsi="宋体" w:cs="宋体" w:eastAsia="宋体" w:hint="ascii"/>
          <w:sz w:val="18"/>
        </w:rPr>
        <w:t>火灾</w:t>
      </w:r>
      <w:r>
        <w:rPr>
          <w:rFonts w:ascii="宋体" w:hAnsi="宋体" w:cs="宋体" w:eastAsia="宋体" w:hint="ascii"/>
          <w:sz w:val="18"/>
        </w:rPr>
        <mc:AlternateContent>
          <mc:Choice Requires="wps">
            <w:drawing>
              <wp:anchor distL="0" distR="0" distT="0" distB="0" simplePos="0" behindDoc="1" relativeHeight="358" locked="0" layoutInCell="1" allowOverlap="1">
                <wp:simplePos x="0" y="0"/>
                <wp:positionH relativeFrom="page">
                  <wp:posOffset>938530</wp:posOffset>
                </wp:positionH>
                <wp:positionV relativeFrom="page">
                  <wp:posOffset>819150</wp:posOffset>
                </wp:positionV>
                <wp:extent cx="5076190" cy="0"/>
                <wp:wrapNone/>
                <wp:docPr id="1385" name="138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91648;width:399.70pt;" id="138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多相流热物理学</w:t>
      </w:r>
    </w:p>
    <w:p>
      <w:pPr>
        <w:autoSpaceDE w:val="0"/>
        <w:autoSpaceDN w:val="0"/>
        <w:jc w:val="left"/>
        <w:spacing w:before="63" w:after="0" w:lineRule="auto" w:line="309"/>
        <w:ind w:right="1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离散相动力学</w:t>
      </w:r>
      <w:r>
        <w:rPr>
          <w:rFonts w:ascii="Times New Roman" w:hAnsi="Times New Roman" w:cs="Times New Roman" w:eastAsia="Times New Roman" w:hint="ascii"/>
          <w:sz w:val="18"/>
        </w:rPr>
        <w:t>E060502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多相流流动</w:t>
      </w:r>
      <w:r>
        <w:rPr>
          <w:rFonts w:ascii="Times New Roman" w:hAnsi="Times New Roman" w:cs="Times New Roman" w:eastAsia="Times New Roman" w:hint="ascii"/>
          <w:sz w:val="18"/>
        </w:rPr>
        <w:t>E060503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多相流传热传质</w:t>
      </w:r>
      <w:r>
        <w:rPr>
          <w:rFonts w:ascii="Times New Roman" w:hAnsi="Times New Roman" w:cs="Times New Roman" w:eastAsia="Times New Roman" w:hint="ascii"/>
          <w:sz w:val="18"/>
        </w:rPr>
        <w:t>E060504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气固两相流</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热物性与热物理测试技术</w:t>
      </w:r>
    </w:p>
    <w:p>
      <w:pPr>
        <w:autoSpaceDE w:val="0"/>
        <w:autoSpaceDN w:val="0"/>
        <w:jc w:val="left"/>
        <w:spacing w:before="63" w:after="0" w:lineRule="auto" w:line="309"/>
        <w:ind w:right="1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流体热物性</w:t>
      </w:r>
      <w:r>
        <w:rPr>
          <w:rFonts w:ascii="Times New Roman" w:hAnsi="Times New Roman" w:cs="Times New Roman" w:eastAsia="Times New Roman" w:hint="ascii"/>
          <w:sz w:val="18"/>
        </w:rPr>
        <w:t>E060602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固体材料热物性</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单相与多相流动测试</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both"/>
        <w:spacing w:before="57" w:after="0" w:lineRule="auto" w:line="309"/>
        <w:ind w:right="21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E060604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传</w:t>
      </w:r>
      <w:r>
        <w:rPr>
          <w:rFonts w:ascii="宋体" w:hAnsi="宋体" w:cs="宋体" w:eastAsia="宋体" w:hint="ascii"/>
          <w:sz w:val="18"/>
        </w:rPr>
        <w:t>热传质测试技术</w:t>
      </w:r>
      <w:r>
        <w:rPr>
          <w:rFonts w:ascii="Times New Roman" w:hAnsi="Times New Roman" w:cs="Times New Roman" w:eastAsia="Times New Roman" w:hint="ascii"/>
          <w:sz w:val="18"/>
        </w:rPr>
        <w:t>E060605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燃烧测试技术</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可再生与替代能源利用中的工</w:t>
      </w:r>
    </w:p>
    <w:p>
      <w:pPr>
        <w:autoSpaceDE w:val="0"/>
        <w:autoSpaceDN w:val="0"/>
        <w:jc w:val="left"/>
        <w:spacing w:before="63"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程热物理问题</w:t>
      </w:r>
    </w:p>
    <w:p>
      <w:pPr>
        <w:autoSpaceDE w:val="0"/>
        <w:autoSpaceDN w:val="0"/>
        <w:jc w:val="left"/>
        <w:spacing w:before="5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太阳能利用中的工程</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热物理问题</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生物质能利用中的工</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程热物理问题</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风能利用中的工程热</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物理问题</w:t>
      </w:r>
    </w:p>
    <w:p>
      <w:pPr>
        <w:autoSpaceDE w:val="0"/>
        <w:autoSpaceDN w:val="0"/>
        <w:jc w:val="right"/>
        <w:spacing w:before="12" w:after="0" w:lineRule="exact" w:line="286"/>
        <w:ind w:right="36" w:left="211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水能、海洋能、潮汐能利用中的工程热物</w:t>
      </w:r>
    </w:p>
    <w:p>
      <w:pPr>
        <w:autoSpaceDE w:val="0"/>
        <w:autoSpaceDN w:val="0"/>
        <w:jc w:val="left"/>
        <w:spacing w:before="5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理问题</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地热能利用中的工程</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热物理问题</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E060706</w:t>
      </w:r>
      <w:r>
        <w:rPr>
          <w:rFonts w:ascii="Times New Roman" w:hAnsi="Times New Roman" w:cs="Times New Roman" w:eastAsia="Times New Roman" w:hint="ascii"/>
          <w:sz w:val="18"/>
          <w:spacing w:val="45"/>
        </w:rPr>
        <w:t xml:space="preserve"> </w:t>
      </w:r>
      <w:r>
        <w:rPr>
          <w:rFonts w:ascii="宋体" w:hAnsi="宋体" w:cs="宋体" w:eastAsia="宋体" w:hint="ascii"/>
          <w:sz w:val="18"/>
        </w:rPr>
        <w:t>氢能利用中的工程热</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物理问题</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E0608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工程热物理相关交叉领域</w:t>
      </w:r>
    </w:p>
    <w:p>
      <w:pPr>
        <w:autoSpaceDE w:val="0"/>
        <w:autoSpaceDN w:val="0"/>
        <w:jc w:val="left"/>
        <w:spacing w:before="58"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E07</w:t>
      </w:r>
      <w:r>
        <w:rPr>
          <w:rFonts w:ascii="Times New Roman" w:hAnsi="Times New Roman" w:cs="Times New Roman" w:eastAsia="Times New Roman" w:hint="ascii"/>
          <w:b w:val="1"/>
          <w:spacing w:val="60"/>
        </w:rPr>
        <w:t xml:space="preserve"> </w:t>
      </w:r>
      <w:r>
        <w:rPr>
          <w:rFonts w:ascii="宋体" w:hAnsi="宋体" w:cs="宋体" w:eastAsia="宋体" w:hint="ascii"/>
        </w:rPr>
        <w:t>电气科学与工程</w:t>
      </w:r>
    </w:p>
    <w:p>
      <w:pPr>
        <w:autoSpaceDE w:val="0"/>
        <w:autoSpaceDN w:val="0"/>
        <w:jc w:val="left"/>
        <w:spacing w:before="9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电磁场与电路</w:t>
      </w:r>
    </w:p>
    <w:p>
      <w:pPr>
        <w:autoSpaceDE w:val="0"/>
        <w:autoSpaceDN w:val="0"/>
        <w:jc w:val="left"/>
        <w:spacing w:before="68" w:after="0" w:lineRule="auto" w:line="314"/>
        <w:ind w:right="1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E070101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电磁场分析与综合</w:t>
      </w:r>
      <w:r>
        <w:rPr>
          <w:rFonts w:ascii="Times New Roman" w:hAnsi="Times New Roman" w:cs="Times New Roman" w:eastAsia="Times New Roman" w:hint="ascii"/>
          <w:sz w:val="18"/>
        </w:rPr>
        <w:t>E070102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电网络理论</w:t>
      </w:r>
      <w:r>
        <w:rPr>
          <w:rFonts w:ascii="Times New Roman" w:hAnsi="Times New Roman" w:cs="Times New Roman" w:eastAsia="Times New Roman" w:hint="ascii"/>
          <w:sz w:val="18"/>
        </w:rPr>
        <w:t>E070103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静电理论与技术</w:t>
      </w:r>
      <w:r>
        <w:rPr>
          <w:rFonts w:ascii="Times New Roman" w:hAnsi="Times New Roman" w:cs="Times New Roman" w:eastAsia="Times New Roman" w:hint="ascii"/>
          <w:sz w:val="18"/>
        </w:rPr>
        <w:t>E070104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电磁测量与传感</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电工材料特性及其应用</w:t>
      </w:r>
    </w:p>
    <w:p>
      <w:pPr>
        <w:autoSpaceDE w:val="0"/>
        <w:autoSpaceDN w:val="0"/>
        <w:jc w:val="both"/>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E070201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工</w:t>
      </w:r>
      <w:r>
        <w:rPr>
          <w:rFonts w:ascii="宋体" w:hAnsi="宋体" w:cs="宋体" w:eastAsia="宋体" w:hint="ascii"/>
          <w:sz w:val="18"/>
          <w:spacing w:val="-8"/>
        </w:rPr>
        <w:t>程电介质特性与测</w:t>
      </w:r>
      <w:r>
        <w:rPr>
          <w:rFonts w:ascii="宋体" w:hAnsi="宋体" w:cs="宋体" w:eastAsia="宋体" w:hint="ascii"/>
          <w:sz w:val="18"/>
        </w:rPr>
        <w:t>量</w:t>
      </w:r>
      <w:r>
        <w:rPr>
          <w:rFonts w:ascii="Times New Roman" w:hAnsi="Times New Roman" w:cs="Times New Roman" w:eastAsia="Times New Roman" w:hint="ascii"/>
          <w:sz w:val="18"/>
        </w:rPr>
        <w:t>E070202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绝缘与功能电介质材</w:t>
      </w:r>
    </w:p>
    <w:p>
      <w:pPr>
        <w:autoSpaceDE w:val="0"/>
        <w:autoSpaceDN w:val="0"/>
        <w:jc w:val="left"/>
        <w:spacing w:before="32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宋体" w:hAnsi="宋体" w:cs="宋体" w:eastAsia="宋体" w:hint="ascii"/>
          <w:sz w:val="18"/>
        </w:rPr>
        <w:t>料的应用基础</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电器及其系统</w:t>
      </w:r>
    </w:p>
    <w:p>
      <w:pPr>
        <w:autoSpaceDE w:val="0"/>
        <w:autoSpaceDN w:val="0"/>
        <w:jc w:val="left"/>
        <w:spacing w:before="68" w:after="0" w:lineRule="auto" w:line="313"/>
        <w:ind w:right="140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E070301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电弧与电接触</w:t>
      </w:r>
      <w:r>
        <w:rPr>
          <w:rFonts w:ascii="Times New Roman" w:hAnsi="Times New Roman" w:cs="Times New Roman" w:eastAsia="Times New Roman" w:hint="ascii"/>
          <w:sz w:val="18"/>
        </w:rPr>
        <w:t>E070302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高压电器</w:t>
      </w:r>
      <w:r>
        <w:rPr>
          <w:rFonts w:ascii="Times New Roman" w:hAnsi="Times New Roman" w:cs="Times New Roman" w:eastAsia="Times New Roman" w:hint="ascii"/>
          <w:sz w:val="18"/>
        </w:rPr>
        <w:t>E070303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其他电器</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电力系统</w:t>
      </w:r>
    </w:p>
    <w:p>
      <w:pPr>
        <w:autoSpaceDE w:val="0"/>
        <w:autoSpaceDN w:val="0"/>
        <w:jc w:val="left"/>
        <w:spacing w:before="67" w:after="0" w:lineRule="auto" w:line="314"/>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E070401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电力系统分析</w:t>
      </w:r>
      <w:r>
        <w:rPr>
          <w:rFonts w:ascii="Times New Roman" w:hAnsi="Times New Roman" w:cs="Times New Roman" w:eastAsia="Times New Roman" w:hint="ascii"/>
          <w:sz w:val="18"/>
        </w:rPr>
        <w:t>E070402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电力系统控制</w:t>
      </w:r>
      <w:r>
        <w:rPr>
          <w:rFonts w:ascii="Times New Roman" w:hAnsi="Times New Roman" w:cs="Times New Roman" w:eastAsia="Times New Roman" w:hint="ascii"/>
          <w:sz w:val="18"/>
        </w:rPr>
        <w:t>E070403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电力系统保护</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高电压与绝缘</w:t>
      </w:r>
    </w:p>
    <w:p>
      <w:pPr>
        <w:autoSpaceDE w:val="0"/>
        <w:autoSpaceDN w:val="0"/>
        <w:jc w:val="left"/>
        <w:spacing w:before="67" w:after="0" w:lineRule="auto" w:line="314"/>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E070501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高电压与大电流</w:t>
      </w:r>
      <w:r>
        <w:rPr>
          <w:rFonts w:ascii="Times New Roman" w:hAnsi="Times New Roman" w:cs="Times New Roman" w:eastAsia="Times New Roman" w:hint="ascii"/>
          <w:sz w:val="18"/>
        </w:rPr>
        <w:t>E070502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电气设备绝缘</w:t>
      </w:r>
      <w:r>
        <w:rPr>
          <w:rFonts w:ascii="Times New Roman" w:hAnsi="Times New Roman" w:cs="Times New Roman" w:eastAsia="Times New Roman" w:hint="ascii"/>
          <w:sz w:val="18"/>
        </w:rPr>
        <w:t>E070503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过电压及其防护</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电力电子学</w:t>
      </w:r>
    </w:p>
    <w:p>
      <w:pPr>
        <w:autoSpaceDE w:val="0"/>
        <w:autoSpaceDN w:val="0"/>
        <w:jc w:val="both"/>
        <w:spacing w:before="68" w:after="0" w:lineRule="auto" w:line="313"/>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E070601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电</w:t>
      </w:r>
      <w:r>
        <w:rPr>
          <w:rFonts w:ascii="宋体" w:hAnsi="宋体" w:cs="宋体" w:eastAsia="宋体" w:hint="ascii"/>
          <w:sz w:val="18"/>
          <w:spacing w:val="-8"/>
        </w:rPr>
        <w:t>力电子器件及其应</w:t>
      </w:r>
      <w:r>
        <w:rPr>
          <w:rFonts w:ascii="宋体" w:hAnsi="宋体" w:cs="宋体" w:eastAsia="宋体" w:hint="ascii"/>
          <w:sz w:val="18"/>
        </w:rPr>
        <w:t>用</w:t>
      </w:r>
      <w:r>
        <w:rPr>
          <w:rFonts w:ascii="Times New Roman" w:hAnsi="Times New Roman" w:cs="Times New Roman" w:eastAsia="Times New Roman" w:hint="ascii"/>
          <w:sz w:val="18"/>
          <w:spacing w:val="-1"/>
        </w:rPr>
        <w:t>E070602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电</w:t>
      </w:r>
      <w:r>
        <w:rPr>
          <w:rFonts w:ascii="宋体" w:hAnsi="宋体" w:cs="宋体" w:eastAsia="宋体" w:hint="ascii"/>
          <w:sz w:val="18"/>
          <w:spacing w:val="-8"/>
        </w:rPr>
        <w:t>力电子系统及其控</w:t>
      </w:r>
      <w:r>
        <w:rPr>
          <w:rFonts w:ascii="宋体" w:hAnsi="宋体" w:cs="宋体" w:eastAsia="宋体" w:hint="ascii"/>
          <w:sz w:val="18"/>
        </w:rPr>
        <w:t>制</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电机及其系统</w:t>
      </w:r>
    </w:p>
    <w:p>
      <w:pPr>
        <w:autoSpaceDE w:val="0"/>
        <w:autoSpaceDN w:val="0"/>
        <w:jc w:val="left"/>
        <w:spacing w:before="68" w:after="0" w:lineRule="auto" w:line="313"/>
        <w:ind w:right="1092"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E070701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电机分析与设计</w:t>
      </w:r>
      <w:r>
        <w:rPr>
          <w:rFonts w:ascii="Times New Roman" w:hAnsi="Times New Roman" w:cs="Times New Roman" w:eastAsia="Times New Roman" w:hint="ascii"/>
          <w:sz w:val="18"/>
        </w:rPr>
        <w:t>E070702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电机系统变流与控制</w:t>
      </w:r>
      <w:r>
        <w:rPr>
          <w:rFonts w:ascii="Times New Roman" w:hAnsi="Times New Roman" w:cs="Times New Roman" w:eastAsia="Times New Roman" w:hint="ascii"/>
          <w:sz w:val="18"/>
        </w:rPr>
        <w:t>E070703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电机系统集成优化与</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整合调控</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脉冲功率技术</w:t>
      </w:r>
    </w:p>
    <w:p>
      <w:pPr>
        <w:autoSpaceDE w:val="0"/>
        <w:autoSpaceDN w:val="0"/>
        <w:jc w:val="both"/>
        <w:spacing w:before="67" w:after="0" w:lineRule="auto" w:line="314"/>
        <w:ind w:right="1241"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4"/>
        </w:rPr>
        <w:t>E0709</w:t>
      </w:r>
      <w:r>
        <w:rPr>
          <w:rFonts w:ascii="Times New Roman" w:hAnsi="Times New Roman" w:cs="Times New Roman" w:eastAsia="Times New Roman" w:hint="ascii"/>
          <w:b w:val="1"/>
          <w:sz w:val="18"/>
          <w:spacing w:val="42"/>
        </w:rPr>
        <w:t xml:space="preserve"> </w:t>
      </w:r>
      <w:r>
        <w:rPr>
          <w:rFonts w:ascii="宋体" w:hAnsi="宋体" w:cs="宋体" w:eastAsia="宋体" w:hint="ascii"/>
          <w:sz w:val="18"/>
          <w:spacing w:val="-3"/>
        </w:rPr>
        <w:t>气体放电与放电等离子体技术</w:t>
      </w:r>
      <w:r>
        <w:rPr>
          <w:rFonts w:ascii="宋体" w:hAnsi="宋体" w:cs="宋体" w:eastAsia="宋体" w:hint="ascii"/>
          <w:sz w:val="18"/>
        </w:rPr>
        <w:t xml:space="preserve"> </w:t>
      </w:r>
      <w:r>
        <w:rPr>
          <w:rFonts w:ascii="Times New Roman" w:hAnsi="Times New Roman" w:cs="Times New Roman" w:eastAsia="Times New Roman" w:hint="ascii"/>
          <w:b w:val="1"/>
          <w:sz w:val="18"/>
        </w:rPr>
        <w:t>E0710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电磁环境与电磁兼容</w:t>
      </w:r>
    </w:p>
    <w:p>
      <w:pPr>
        <w:autoSpaceDE w:val="0"/>
        <w:autoSpaceDN w:val="0"/>
        <w:jc w:val="left"/>
        <w:spacing w:before="0" w:after="0" w:lineRule="auto" w:line="238"/>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超导电工学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生物电磁技术</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E0713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电能储存与节电技术</w:t>
      </w:r>
    </w:p>
    <w:p>
      <w:pPr>
        <w:autoSpaceDE w:val="0"/>
        <w:autoSpaceDN w:val="0"/>
        <w:jc w:val="left"/>
        <w:spacing w:before="57"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E08</w:t>
      </w:r>
      <w:r>
        <w:rPr>
          <w:rFonts w:ascii="Times New Roman" w:hAnsi="Times New Roman" w:cs="Times New Roman" w:eastAsia="Times New Roman" w:hint="ascii"/>
          <w:b w:val="1"/>
          <w:spacing w:val="60"/>
        </w:rPr>
        <w:t xml:space="preserve"> </w:t>
      </w:r>
      <w:r>
        <w:rPr>
          <w:rFonts w:ascii="宋体" w:hAnsi="宋体" w:cs="宋体" w:eastAsia="宋体" w:hint="ascii"/>
        </w:rPr>
        <w:t>建筑环境与结构工程</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建筑学</w:t>
      </w:r>
    </w:p>
    <w:p>
      <w:pPr>
        <w:autoSpaceDE w:val="0"/>
        <w:autoSpaceDN w:val="0"/>
        <w:jc w:val="both"/>
        <w:spacing w:before="67" w:after="0" w:lineRule="auto" w:line="313"/>
        <w:ind w:right="148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E080101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建</w:t>
      </w:r>
      <w:r>
        <w:rPr>
          <w:rFonts w:ascii="宋体" w:hAnsi="宋体" w:cs="宋体" w:eastAsia="宋体" w:hint="ascii"/>
          <w:sz w:val="18"/>
        </w:rPr>
        <w:t>筑设计与理论</w:t>
      </w:r>
      <w:r>
        <w:rPr>
          <w:rFonts w:ascii="Times New Roman" w:hAnsi="Times New Roman" w:cs="Times New Roman" w:eastAsia="Times New Roman" w:hint="ascii"/>
          <w:sz w:val="18"/>
          <w:spacing w:val="-1"/>
        </w:rPr>
        <w:t>E080102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建</w:t>
      </w:r>
      <w:r>
        <w:rPr>
          <w:rFonts w:ascii="宋体" w:hAnsi="宋体" w:cs="宋体" w:eastAsia="宋体" w:hint="ascii"/>
          <w:sz w:val="18"/>
        </w:rPr>
        <w:t>筑历史与理论</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城乡规划</w:t>
      </w:r>
    </w:p>
    <w:p>
      <w:pPr>
        <w:autoSpaceDE w:val="0"/>
        <w:autoSpaceDN w:val="0"/>
        <w:jc w:val="both"/>
        <w:spacing w:before="67" w:after="0" w:lineRule="auto" w:line="313"/>
        <w:ind w:right="112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E080201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城</w:t>
      </w:r>
      <w:r>
        <w:rPr>
          <w:rFonts w:ascii="宋体" w:hAnsi="宋体" w:cs="宋体" w:eastAsia="宋体" w:hint="ascii"/>
          <w:sz w:val="18"/>
        </w:rPr>
        <w:t>乡规划设计与理论</w:t>
      </w:r>
      <w:r>
        <w:rPr>
          <w:rFonts w:ascii="Times New Roman" w:hAnsi="Times New Roman" w:cs="Times New Roman" w:eastAsia="Times New Roman" w:hint="ascii"/>
          <w:sz w:val="18"/>
          <w:spacing w:val="-1"/>
        </w:rPr>
        <w:t>E080202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风</w:t>
      </w:r>
      <w:r>
        <w:rPr>
          <w:rFonts w:ascii="宋体" w:hAnsi="宋体" w:cs="宋体" w:eastAsia="宋体" w:hint="ascii"/>
          <w:sz w:val="18"/>
        </w:rPr>
        <w:t>景园林规划设计与</w: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理论</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建筑物理</w:t>
      </w:r>
    </w:p>
    <w:p>
      <w:pPr>
        <w:autoSpaceDE w:val="0"/>
        <w:autoSpaceDN w:val="0"/>
        <w:jc w:val="left"/>
        <w:spacing w:before="67" w:after="0" w:lineRule="auto" w:line="314"/>
        <w:ind w:right="122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建筑热环境</w:t>
      </w:r>
      <w:r>
        <w:rPr>
          <w:rFonts w:ascii="Times New Roman" w:hAnsi="Times New Roman" w:cs="Times New Roman" w:eastAsia="Times New Roman" w:hint="ascii"/>
          <w:sz w:val="18"/>
        </w:rPr>
        <w:t>E080302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建筑光环境</w:t>
      </w:r>
      <w:r>
        <w:rPr>
          <w:rFonts w:ascii="Times New Roman" w:hAnsi="Times New Roman" w:cs="Times New Roman" w:eastAsia="Times New Roman" w:hint="ascii"/>
          <w:sz w:val="18"/>
        </w:rPr>
        <w:t>E080303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建筑声环境</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环境工程</w:t>
      </w:r>
    </w:p>
    <w:p>
      <w:pPr>
        <w:autoSpaceDE w:val="0"/>
        <w:autoSpaceDN w:val="0"/>
        <w:jc w:val="left"/>
        <w:spacing w:before="68"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给水处理</w:t>
      </w:r>
    </w:p>
    <w:p>
      <w:pPr>
        <w:autoSpaceDE w:val="0"/>
        <w:autoSpaceDN w:val="0"/>
        <w:jc w:val="left"/>
        <w:spacing w:before="67" w:after="0" w:lineRule="auto" w:line="240"/>
        <w:ind w:right="0" w:left="1302" w:firstLine="0"/>
        <w:snapToGrid w:val="0"/>
        <w:textAlignment w:val="auto"/>
        <w:tabs/>
        <w:sectPr>
          <w:type w:val="continuous"/>
          <w:pgSz w:w="10940" w:h="15080" w:orient="portrait"/>
          <w:pgMar w:top="508" w:right="508" w:bottom="508" w:left="508" w:header="0" w:footer="0" w:gutter="0"/>
          <w:cols w:num="2" w:space="0" w:equalWidth="0">
            <w:col w:w="4754" w:space="289"/>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E080402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污水处理与资源化</w:t>
      </w:r>
      <w:rPr>
        <w:rFonts w:ascii="宋体" w:hAnsi="宋体" w:cs="宋体" w:eastAsia="宋体" w:hint="ascii"/>
        <w:sz w:val="18"/>
      </w:rPr>
    </w:p>
    <w:p>
      <w:pPr>
        <w:autoSpaceDE w:val="0"/>
        <w:autoSpaceDN w:val="0"/>
        <w:jc w:val="left"/>
        <w:spacing w:before="339"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城镇给排水系统</w:t>
      </w:r>
      <w:r>
        <w:rPr>
          <w:rFonts w:ascii="Times New Roman" w:hAnsi="Times New Roman" w:cs="Times New Roman" w:eastAsia="Times New Roman" w:hint="ascii"/>
          <w:sz w:val="18"/>
        </w:rPr>
        <w:t>E080404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城镇固体废弃物处置</w:t>
      </w:r>
      <w:r>
        <w:rPr>
          <w:rFonts w:ascii="宋体" w:hAnsi="宋体" w:cs="宋体" w:eastAsia="宋体" w:hint="ascii"/>
          <w:sz w:val="18"/>
        </w:rPr>
        <mc:AlternateContent>
          <mc:Choice Requires="wps">
            <w:drawing>
              <wp:anchor distL="0" distR="0" distT="0" distB="0" simplePos="0" behindDoc="1" relativeHeight="359" locked="0" layoutInCell="1" allowOverlap="1">
                <wp:simplePos x="0" y="0"/>
                <wp:positionH relativeFrom="page">
                  <wp:posOffset>938530</wp:posOffset>
                </wp:positionH>
                <wp:positionV relativeFrom="page">
                  <wp:posOffset>805815</wp:posOffset>
                </wp:positionV>
                <wp:extent cx="5076190" cy="0"/>
                <wp:wrapNone/>
                <wp:docPr id="1386" name="138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90624;width:399.70pt;" id="1386"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与资源化</w:t>
      </w:r>
    </w:p>
    <w:p>
      <w:pPr>
        <w:autoSpaceDE w:val="0"/>
        <w:autoSpaceDN w:val="0"/>
        <w:jc w:val="left"/>
        <w:spacing w:before="55"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空气污染治理</w:t>
      </w:r>
      <w:r>
        <w:rPr>
          <w:rFonts w:ascii="Times New Roman" w:hAnsi="Times New Roman" w:cs="Times New Roman" w:eastAsia="Times New Roman" w:hint="ascii"/>
          <w:sz w:val="18"/>
        </w:rPr>
        <w:t>E080406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城市受污染水环境的</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工程修复</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结构工程</w:t>
      </w:r>
    </w:p>
    <w:p>
      <w:pPr>
        <w:autoSpaceDE w:val="0"/>
        <w:autoSpaceDN w:val="0"/>
        <w:jc w:val="left"/>
        <w:spacing w:before="61"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E080501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混</w:t>
      </w:r>
      <w:r>
        <w:rPr>
          <w:rFonts w:ascii="宋体" w:hAnsi="宋体" w:cs="宋体" w:eastAsia="宋体" w:hint="ascii"/>
          <w:sz w:val="18"/>
          <w:spacing w:val="-8"/>
        </w:rPr>
        <w:t>凝土结构与砌体结</w:t>
      </w:r>
      <w:r>
        <w:rPr>
          <w:rFonts w:ascii="宋体" w:hAnsi="宋体" w:cs="宋体" w:eastAsia="宋体" w:hint="ascii"/>
          <w:sz w:val="18"/>
        </w:rPr>
        <w:t>构</w:t>
      </w:r>
      <w:r>
        <w:rPr>
          <w:rFonts w:ascii="Times New Roman" w:hAnsi="Times New Roman" w:cs="Times New Roman" w:eastAsia="Times New Roman" w:hint="ascii"/>
          <w:sz w:val="18"/>
        </w:rPr>
        <w:t>E080502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钢结构与空间结构</w:t>
      </w:r>
      <w:r>
        <w:rPr>
          <w:rFonts w:ascii="Times New Roman" w:hAnsi="Times New Roman" w:cs="Times New Roman" w:eastAsia="Times New Roman" w:hint="ascii"/>
          <w:sz w:val="18"/>
        </w:rPr>
        <w:t>E080503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组合结构与混合结构</w:t>
      </w:r>
      <w:r>
        <w:rPr>
          <w:rFonts w:ascii="Times New Roman" w:hAnsi="Times New Roman" w:cs="Times New Roman" w:eastAsia="Times New Roman" w:hint="ascii"/>
          <w:sz w:val="18"/>
          <w:spacing w:val="-1"/>
        </w:rPr>
        <w:t>E080504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新</w:t>
      </w:r>
      <w:r>
        <w:rPr>
          <w:rFonts w:ascii="宋体" w:hAnsi="宋体" w:cs="宋体" w:eastAsia="宋体" w:hint="ascii"/>
          <w:sz w:val="18"/>
          <w:spacing w:val="-8"/>
        </w:rPr>
        <w:t>型结构与新材料结</w:t>
      </w:r>
      <w:r>
        <w:rPr>
          <w:rFonts w:ascii="宋体" w:hAnsi="宋体" w:cs="宋体" w:eastAsia="宋体" w:hint="ascii"/>
          <w:sz w:val="18"/>
        </w:rPr>
        <w:t>构</w:t>
      </w:r>
      <w:r>
        <w:rPr>
          <w:rFonts w:ascii="Times New Roman" w:hAnsi="Times New Roman" w:cs="Times New Roman" w:eastAsia="Times New Roman" w:hint="ascii"/>
          <w:sz w:val="18"/>
        </w:rPr>
        <w:t>E080505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混凝土结构材料</w:t>
      </w:r>
      <w:r>
        <w:rPr>
          <w:rFonts w:ascii="Times New Roman" w:hAnsi="Times New Roman" w:cs="Times New Roman" w:eastAsia="Times New Roman" w:hint="ascii"/>
          <w:sz w:val="18"/>
        </w:rPr>
        <w:t>E080506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土木工程施工与管理</w:t>
      </w:r>
      <w:r>
        <w:rPr>
          <w:rFonts w:ascii="Times New Roman" w:hAnsi="Times New Roman" w:cs="Times New Roman" w:eastAsia="Times New Roman" w:hint="ascii"/>
          <w:sz w:val="18"/>
        </w:rPr>
        <w:t>E080507</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结构分析、计算与设</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计理论</w:t>
      </w:r>
    </w:p>
    <w:p>
      <w:pPr>
        <w:autoSpaceDE w:val="0"/>
        <w:autoSpaceDN w:val="0"/>
        <w:jc w:val="left"/>
        <w:spacing w:before="55"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E080508</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结构实验方法与技术</w:t>
      </w:r>
      <w:r>
        <w:rPr>
          <w:rFonts w:ascii="Times New Roman" w:hAnsi="Times New Roman" w:cs="Times New Roman" w:eastAsia="Times New Roman" w:hint="ascii"/>
          <w:sz w:val="18"/>
        </w:rPr>
        <w:t>E080509</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结构健康监测</w:t>
      </w:r>
      <w:r>
        <w:rPr>
          <w:rFonts w:ascii="Times New Roman" w:hAnsi="Times New Roman" w:cs="Times New Roman" w:eastAsia="Times New Roman" w:hint="ascii"/>
          <w:sz w:val="18"/>
        </w:rPr>
        <w:t>E080510</w:t>
      </w:r>
      <w:r>
        <w:rPr>
          <w:rFonts w:ascii="Times New Roman" w:hAnsi="Times New Roman" w:cs="Times New Roman" w:eastAsia="Times New Roman" w:hint="ascii"/>
          <w:sz w:val="18"/>
          <w:spacing w:val="45"/>
        </w:rPr>
        <w:t xml:space="preserve"> </w:t>
      </w:r>
      <w:r>
        <w:rPr>
          <w:rFonts w:ascii="宋体" w:hAnsi="宋体" w:cs="宋体" w:eastAsia="宋体" w:hint="ascii"/>
          <w:sz w:val="18"/>
        </w:rPr>
        <w:t>既有结构性能评价与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修复</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岩土与基础工程</w:t>
      </w:r>
    </w:p>
    <w:p>
      <w:pPr>
        <w:autoSpaceDE w:val="0"/>
        <w:autoSpaceDN w:val="0"/>
        <w:jc w:val="both"/>
        <w:spacing w:before="62" w:after="0" w:lineRule="auto" w:line="306"/>
        <w:ind w:right="39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E080601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地</w:t>
      </w:r>
      <w:r>
        <w:rPr>
          <w:rFonts w:ascii="宋体" w:hAnsi="宋体" w:cs="宋体" w:eastAsia="宋体" w:hint="ascii"/>
          <w:sz w:val="18"/>
        </w:rPr>
        <w:t>基与基础工程</w:t>
      </w:r>
      <w:r>
        <w:rPr>
          <w:rFonts w:ascii="Times New Roman" w:hAnsi="Times New Roman" w:cs="Times New Roman" w:eastAsia="Times New Roman" w:hint="ascii"/>
          <w:sz w:val="18"/>
        </w:rPr>
        <w:t>E080602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岩土工程减灾</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交通土建工程</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桥梁工程</w:t>
      </w:r>
    </w:p>
    <w:p>
      <w:pPr>
        <w:autoSpaceDE w:val="0"/>
        <w:autoSpaceDN w:val="0"/>
        <w:jc w:val="both"/>
        <w:spacing w:before="61" w:after="0" w:lineRule="auto" w:line="306"/>
        <w:ind w:right="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E080702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地</w:t>
      </w:r>
      <w:r>
        <w:rPr>
          <w:rFonts w:ascii="宋体" w:hAnsi="宋体" w:cs="宋体" w:eastAsia="宋体" w:hint="ascii"/>
          <w:sz w:val="18"/>
        </w:rPr>
        <w:t>下工程与隧道工程</w:t>
      </w:r>
      <w:r>
        <w:rPr>
          <w:rFonts w:ascii="Times New Roman" w:hAnsi="Times New Roman" w:cs="Times New Roman" w:eastAsia="Times New Roman" w:hint="ascii"/>
          <w:sz w:val="18"/>
        </w:rPr>
        <w:t>E080703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道路工程</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铁道工程</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E0808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防灾工程</w:t>
      </w:r>
    </w:p>
    <w:p>
      <w:pPr>
        <w:autoSpaceDE w:val="0"/>
        <w:autoSpaceDN w:val="0"/>
        <w:jc w:val="left"/>
        <w:spacing w:before="61" w:after="0" w:lineRule="auto" w:line="307"/>
        <w:ind w:right="49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E080801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地震工程</w:t>
      </w:r>
      <w:r>
        <w:rPr>
          <w:rFonts w:ascii="Times New Roman" w:hAnsi="Times New Roman" w:cs="Times New Roman" w:eastAsia="Times New Roman" w:hint="ascii"/>
          <w:sz w:val="18"/>
        </w:rPr>
        <w:t>E080802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风工程</w:t>
      </w:r>
      <w:r>
        <w:rPr>
          <w:rFonts w:ascii="Times New Roman" w:hAnsi="Times New Roman" w:cs="Times New Roman" w:eastAsia="Times New Roman" w:hint="ascii"/>
          <w:sz w:val="18"/>
        </w:rPr>
        <w:t>E080803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结构振动控制</w:t>
      </w:r>
      <w:r>
        <w:rPr>
          <w:rFonts w:ascii="Times New Roman" w:hAnsi="Times New Roman" w:cs="Times New Roman" w:eastAsia="Times New Roman" w:hint="ascii"/>
          <w:sz w:val="18"/>
        </w:rPr>
        <w:t>E080804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结构抗火</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E080805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城</w:t>
      </w:r>
      <w:r>
        <w:rPr>
          <w:rFonts w:ascii="宋体" w:hAnsi="宋体" w:cs="宋体" w:eastAsia="宋体" w:hint="ascii"/>
          <w:sz w:val="18"/>
          <w:spacing w:val="-8"/>
        </w:rPr>
        <w:t>市与生命线工程防</w:t>
      </w:r>
      <w:r>
        <w:rPr>
          <w:rFonts w:ascii="宋体" w:hAnsi="宋体" w:cs="宋体" w:eastAsia="宋体" w:hint="ascii"/>
          <w:sz w:val="18"/>
        </w:rPr>
        <w:t>灾</w:t>
      </w:r>
    </w:p>
    <w:p>
      <w:pPr>
        <w:autoSpaceDE w:val="0"/>
        <w:autoSpaceDN w:val="0"/>
        <w:jc w:val="left"/>
        <w:spacing w:before="32"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E09</w:t>
      </w:r>
      <w:r>
        <w:rPr>
          <w:rFonts w:ascii="Times New Roman" w:hAnsi="Times New Roman" w:cs="Times New Roman" w:eastAsia="Times New Roman" w:hint="ascii"/>
          <w:b w:val="1"/>
          <w:spacing w:val="60"/>
        </w:rPr>
        <w:t xml:space="preserve"> </w:t>
      </w:r>
      <w:r>
        <w:rPr>
          <w:rFonts w:ascii="宋体" w:hAnsi="宋体" w:cs="宋体" w:eastAsia="宋体" w:hint="ascii"/>
        </w:rPr>
        <w:t>水利科学与海洋工程</w:t>
      </w:r>
    </w:p>
    <w:p>
      <w:pPr>
        <w:autoSpaceDE w:val="0"/>
        <w:autoSpaceDN w:val="0"/>
        <w:jc w:val="left"/>
        <w:spacing w:before="79"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水文、水资源</w:t>
      </w:r>
    </w:p>
    <w:p>
      <w:pPr>
        <w:autoSpaceDE w:val="0"/>
        <w:autoSpaceDN w:val="0"/>
        <w:jc w:val="left"/>
        <w:spacing w:before="62"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洪涝和干旱与减灾</w:t>
      </w:r>
      <w:r>
        <w:rPr>
          <w:rFonts w:ascii="Times New Roman" w:hAnsi="Times New Roman" w:cs="Times New Roman" w:eastAsia="Times New Roman" w:hint="ascii"/>
          <w:sz w:val="18"/>
          <w:spacing w:val="-1"/>
        </w:rPr>
        <w:t>E090102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水</w:t>
      </w:r>
      <w:r>
        <w:rPr>
          <w:rFonts w:ascii="宋体" w:hAnsi="宋体" w:cs="宋体" w:eastAsia="宋体" w:hint="ascii"/>
          <w:sz w:val="18"/>
          <w:spacing w:val="-8"/>
        </w:rPr>
        <w:t>文过程和模型及预</w:t>
      </w:r>
      <w:r>
        <w:rPr>
          <w:rFonts w:ascii="宋体" w:hAnsi="宋体" w:cs="宋体" w:eastAsia="宋体" w:hint="ascii"/>
          <w:sz w:val="18"/>
        </w:rPr>
        <w:t>报</w:t>
      </w:r>
      <w:r>
        <w:rPr>
          <w:rFonts w:ascii="Times New Roman" w:hAnsi="Times New Roman" w:cs="Times New Roman" w:eastAsia="Times New Roman" w:hint="ascii"/>
          <w:sz w:val="18"/>
        </w:rPr>
        <w:t>E090103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流域水循环与流域综</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合管理</w:t>
      </w:r>
    </w:p>
    <w:p>
      <w:pPr>
        <w:autoSpaceDE w:val="0"/>
        <w:autoSpaceDN w:val="0"/>
        <w:jc w:val="both"/>
        <w:spacing w:before="55" w:after="0" w:lineRule="auto" w:line="306"/>
        <w:ind w:right="21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E090104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资源分析与管理</w:t>
      </w:r>
      <w:r>
        <w:rPr>
          <w:rFonts w:ascii="Times New Roman" w:hAnsi="Times New Roman" w:cs="Times New Roman" w:eastAsia="Times New Roman" w:hint="ascii"/>
          <w:sz w:val="18"/>
          <w:spacing w:val="-1"/>
        </w:rPr>
        <w:t>E090105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资源开发与利用</w:t>
      </w:r>
    </w:p>
    <w:p>
      <w:pPr>
        <w:autoSpaceDE w:val="0"/>
        <w:autoSpaceDN w:val="0"/>
        <w:jc w:val="left"/>
        <w:spacing w:before="1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农业水利</w:t>
      </w:r>
    </w:p>
    <w:p>
      <w:pPr>
        <w:autoSpaceDE w:val="0"/>
        <w:autoSpaceDN w:val="0"/>
        <w:jc w:val="left"/>
        <w:spacing w:before="7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农业水循环与利用</w:t>
      </w:r>
    </w:p>
    <w:p>
      <w:pPr>
        <w:autoSpaceDE w:val="0"/>
        <w:autoSpaceDN w:val="0"/>
        <w:jc w:val="left"/>
        <w:spacing w:before="307"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278</w:t>
      </w:r>
      <w:r>
        <w:rPr>
          <w:rFonts w:ascii="宋体" w:hAnsi="宋体" w:cs="宋体" w:eastAsia="宋体" w:hint="ascii"/>
          <w:sz w:val="18"/>
        </w:rPr>
        <w:t>·</w:t>
      </w:r>
    </w:p>
    <w:p>
      <w:pPr>
        <w:autoSpaceDE w:val="0"/>
        <w:autoSpaceDN w:val="0"/>
        <w:jc w:val="left"/>
        <w:spacing w:before="352"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E090202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灌溉与排水</w:t>
      </w:r>
    </w:p>
    <w:p>
      <w:pPr>
        <w:autoSpaceDE w:val="0"/>
        <w:autoSpaceDN w:val="0"/>
        <w:jc w:val="left"/>
        <w:spacing w:before="7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灌排与农业生态环境</w:t>
      </w:r>
    </w:p>
    <w:p>
      <w:pPr>
        <w:autoSpaceDE w:val="0"/>
        <w:autoSpaceDN w:val="0"/>
        <w:jc w:val="left"/>
        <w:spacing w:before="75"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水环境与生态水利</w:t>
      </w:r>
    </w:p>
    <w:p>
      <w:pPr>
        <w:autoSpaceDE w:val="0"/>
        <w:autoSpaceDN w:val="0"/>
        <w:jc w:val="left"/>
        <w:spacing w:before="75" w:after="0" w:lineRule="auto" w:line="322"/>
        <w:ind w:right="1092"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水环境污染与修复</w:t>
      </w:r>
      <w:r>
        <w:rPr>
          <w:rFonts w:ascii="Times New Roman" w:hAnsi="Times New Roman" w:cs="Times New Roman" w:eastAsia="Times New Roman" w:hint="ascii"/>
          <w:sz w:val="18"/>
        </w:rPr>
        <w:t>E090302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农业非点源污染与劣</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质水利用</w:t>
      </w:r>
    </w:p>
    <w:p>
      <w:pPr>
        <w:autoSpaceDE w:val="0"/>
        <w:autoSpaceDN w:val="0"/>
        <w:jc w:val="left"/>
        <w:spacing w:before="69"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水利工程对生态与环</w:t>
      </w:r>
    </w:p>
    <w:p>
      <w:pPr>
        <w:autoSpaceDE w:val="0"/>
        <w:autoSpaceDN w:val="0"/>
        <w:jc w:val="left"/>
        <w:spacing w:before="7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境的影响</w:t>
      </w:r>
    </w:p>
    <w:p>
      <w:pPr>
        <w:autoSpaceDE w:val="0"/>
        <w:autoSpaceDN w:val="0"/>
        <w:jc w:val="left"/>
        <w:spacing w:before="69"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河流海岸动力学与泥沙研究</w:t>
      </w:r>
    </w:p>
    <w:p>
      <w:pPr>
        <w:autoSpaceDE w:val="0"/>
        <w:autoSpaceDN w:val="0"/>
        <w:jc w:val="left"/>
        <w:spacing w:before="75" w:after="0" w:lineRule="auto" w:line="322"/>
        <w:ind w:right="122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泥沙动力学</w:t>
      </w:r>
      <w:r>
        <w:rPr>
          <w:rFonts w:ascii="Times New Roman" w:hAnsi="Times New Roman" w:cs="Times New Roman" w:eastAsia="Times New Roman" w:hint="ascii"/>
          <w:sz w:val="18"/>
        </w:rPr>
        <w:t>E090402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流域泥沙运动过程</w:t>
      </w:r>
      <w:r>
        <w:rPr>
          <w:rFonts w:ascii="Times New Roman" w:hAnsi="Times New Roman" w:cs="Times New Roman" w:eastAsia="Times New Roman" w:hint="ascii"/>
          <w:sz w:val="18"/>
        </w:rPr>
        <w:t>E090403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河流泥沙及演变</w:t>
      </w:r>
      <w:r>
        <w:rPr>
          <w:rFonts w:ascii="Times New Roman" w:hAnsi="Times New Roman" w:cs="Times New Roman" w:eastAsia="Times New Roman" w:hint="ascii"/>
          <w:sz w:val="18"/>
        </w:rPr>
        <w:t>E090404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河口泥沙与演变</w:t>
      </w:r>
      <w:r>
        <w:rPr>
          <w:rFonts w:ascii="Times New Roman" w:hAnsi="Times New Roman" w:cs="Times New Roman" w:eastAsia="Times New Roman" w:hint="ascii"/>
          <w:sz w:val="18"/>
        </w:rPr>
        <w:t>E090405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工程泥沙</w:t>
      </w:r>
    </w:p>
    <w:p>
      <w:pPr>
        <w:autoSpaceDE w:val="0"/>
        <w:autoSpaceDN w:val="0"/>
        <w:jc w:val="left"/>
        <w:spacing w:before="0" w:after="0" w:lineRule="auto" w:line="23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水力学与水信息学</w:t>
      </w:r>
    </w:p>
    <w:p>
      <w:pPr>
        <w:autoSpaceDE w:val="0"/>
        <w:autoSpaceDN w:val="0"/>
        <w:jc w:val="left"/>
        <w:spacing w:before="67" w:after="0" w:lineRule="auto" w:line="311"/>
        <w:ind w:right="122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工程水力学</w:t>
      </w:r>
      <w:r>
        <w:rPr>
          <w:rFonts w:ascii="Times New Roman" w:hAnsi="Times New Roman" w:cs="Times New Roman" w:eastAsia="Times New Roman" w:hint="ascii"/>
          <w:sz w:val="18"/>
        </w:rPr>
        <w:t>E090502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地下与渗流水力学</w:t>
      </w:r>
      <w:r>
        <w:rPr>
          <w:rFonts w:ascii="Times New Roman" w:hAnsi="Times New Roman" w:cs="Times New Roman" w:eastAsia="Times New Roman" w:hint="ascii"/>
          <w:sz w:val="18"/>
        </w:rPr>
        <w:t>E090503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地表与河道水力学</w:t>
      </w:r>
    </w:p>
    <w:p>
      <w:pPr>
        <w:autoSpaceDE w:val="0"/>
        <w:autoSpaceDN w:val="0"/>
        <w:jc w:val="left"/>
        <w:spacing w:before="0"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水信息学与数字流域</w:t>
      </w:r>
    </w:p>
    <w:p>
      <w:pPr>
        <w:autoSpaceDE w:val="0"/>
        <w:autoSpaceDN w:val="0"/>
        <w:jc w:val="left"/>
        <w:spacing w:before="64"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水力机械及其系统</w:t>
      </w:r>
    </w:p>
    <w:p>
      <w:pPr>
        <w:autoSpaceDE w:val="0"/>
        <w:autoSpaceDN w:val="0"/>
        <w:jc w:val="left"/>
        <w:spacing w:before="65" w:after="0" w:lineRule="auto" w:line="311"/>
        <w:ind w:right="1092"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水力机械的流动理论</w:t>
      </w:r>
      <w:r>
        <w:rPr>
          <w:rFonts w:ascii="Times New Roman" w:hAnsi="Times New Roman" w:cs="Times New Roman" w:eastAsia="Times New Roman" w:hint="ascii"/>
          <w:sz w:val="18"/>
        </w:rPr>
        <w:t>E090602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空蚀和磨损及多相流</w:t>
      </w:r>
      <w:r>
        <w:rPr>
          <w:rFonts w:ascii="Times New Roman" w:hAnsi="Times New Roman" w:cs="Times New Roman" w:eastAsia="Times New Roman" w:hint="ascii"/>
          <w:sz w:val="18"/>
        </w:rPr>
        <w:t>E090603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电站和泵站系统</w:t>
      </w:r>
      <w:r>
        <w:rPr>
          <w:rFonts w:ascii="Times New Roman" w:hAnsi="Times New Roman" w:cs="Times New Roman" w:eastAsia="Times New Roman" w:hint="ascii"/>
          <w:sz w:val="18"/>
        </w:rPr>
        <w:t>E090604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监测和诊断及控制</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岩土力学与岩土工程</w:t>
      </w:r>
    </w:p>
    <w:p>
      <w:pPr>
        <w:autoSpaceDE w:val="0"/>
        <w:autoSpaceDN w:val="0"/>
        <w:jc w:val="left"/>
        <w:spacing w:before="64"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岩土体本构关系与数</w:t>
      </w:r>
    </w:p>
    <w:p>
      <w:pPr>
        <w:autoSpaceDE w:val="0"/>
        <w:autoSpaceDN w:val="0"/>
        <w:jc w:val="left"/>
        <w:spacing w:before="6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值模拟</w:t>
      </w:r>
    </w:p>
    <w:p>
      <w:pPr>
        <w:autoSpaceDE w:val="0"/>
        <w:autoSpaceDN w:val="0"/>
        <w:jc w:val="left"/>
        <w:spacing w:before="59"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岩土体试验、现场观</w:t>
      </w:r>
    </w:p>
    <w:p>
      <w:pPr>
        <w:autoSpaceDE w:val="0"/>
        <w:autoSpaceDN w:val="0"/>
        <w:jc w:val="left"/>
        <w:spacing w:before="6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测与分析</w:t>
      </w:r>
    </w:p>
    <w:p>
      <w:pPr>
        <w:autoSpaceDE w:val="0"/>
        <w:autoSpaceDN w:val="0"/>
        <w:jc w:val="left"/>
        <w:spacing w:before="59"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软基与岩土体加固和</w:t>
      </w:r>
    </w:p>
    <w:p>
      <w:pPr>
        <w:autoSpaceDE w:val="0"/>
        <w:autoSpaceDN w:val="0"/>
        <w:jc w:val="left"/>
        <w:spacing w:before="6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处理</w:t>
      </w:r>
    </w:p>
    <w:p>
      <w:pPr>
        <w:autoSpaceDE w:val="0"/>
        <w:autoSpaceDN w:val="0"/>
        <w:jc w:val="both"/>
        <w:spacing w:before="58" w:after="0" w:lineRule="auto" w:line="312"/>
        <w:ind w:right="1092"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E090704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岩</w:t>
      </w:r>
      <w:r>
        <w:rPr>
          <w:rFonts w:ascii="宋体" w:hAnsi="宋体" w:cs="宋体" w:eastAsia="宋体" w:hint="ascii"/>
          <w:sz w:val="18"/>
          <w:spacing w:val="-8"/>
        </w:rPr>
        <w:t>土体渗流及环境效</w:t>
      </w:r>
      <w:r>
        <w:rPr>
          <w:rFonts w:ascii="宋体" w:hAnsi="宋体" w:cs="宋体" w:eastAsia="宋体" w:hint="ascii"/>
          <w:sz w:val="18"/>
        </w:rPr>
        <w:t>应</w:t>
      </w:r>
      <w:r>
        <w:rPr>
          <w:rFonts w:ascii="Times New Roman" w:hAnsi="Times New Roman" w:cs="Times New Roman" w:eastAsia="Times New Roman" w:hint="ascii"/>
          <w:sz w:val="18"/>
          <w:spacing w:val="-1"/>
        </w:rPr>
        <w:t>E090705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岩</w:t>
      </w:r>
      <w:r>
        <w:rPr>
          <w:rFonts w:ascii="宋体" w:hAnsi="宋体" w:cs="宋体" w:eastAsia="宋体" w:hint="ascii"/>
          <w:sz w:val="18"/>
          <w:spacing w:val="-8"/>
        </w:rPr>
        <w:t>土体应力变形及灾</w:t>
      </w:r>
      <w:r>
        <w:rPr>
          <w:rFonts w:ascii="宋体" w:hAnsi="宋体" w:cs="宋体" w:eastAsia="宋体" w:hint="ascii"/>
          <w:sz w:val="18"/>
        </w:rPr>
        <w:t>害</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水工结构和材料及施工</w:t>
      </w:r>
    </w:p>
    <w:p>
      <w:pPr>
        <w:autoSpaceDE w:val="0"/>
        <w:autoSpaceDN w:val="0"/>
        <w:jc w:val="left"/>
        <w:spacing w:before="64"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水工结构动静力性能</w:t>
      </w:r>
    </w:p>
    <w:p>
      <w:pPr>
        <w:autoSpaceDE w:val="0"/>
        <w:autoSpaceDN w:val="0"/>
        <w:jc w:val="left"/>
        <w:spacing w:before="6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分析与控制</w:t>
      </w:r>
    </w:p>
    <w:p>
      <w:pPr>
        <w:autoSpaceDE w:val="0"/>
        <w:autoSpaceDN w:val="0"/>
        <w:jc w:val="left"/>
        <w:spacing w:before="59"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水工结构实验、观测</w:t>
      </w:r>
    </w:p>
    <w:p>
      <w:pPr>
        <w:autoSpaceDE w:val="0"/>
        <w:autoSpaceDN w:val="0"/>
        <w:jc w:val="left"/>
        <w:spacing w:before="6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与分析</w:t>
      </w:r>
    </w:p>
    <w:p>
      <w:pPr>
        <w:autoSpaceDE w:val="0"/>
        <w:autoSpaceDN w:val="0"/>
        <w:jc w:val="both"/>
        <w:spacing w:before="59" w:after="0" w:lineRule="auto" w:line="312"/>
        <w:ind w:right="148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E090803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工和海工材料</w:t>
      </w:r>
      <w:r>
        <w:rPr>
          <w:rFonts w:ascii="Times New Roman" w:hAnsi="Times New Roman" w:cs="Times New Roman" w:eastAsia="Times New Roman" w:hint="ascii"/>
          <w:sz w:val="18"/>
          <w:spacing w:val="-1"/>
        </w:rPr>
        <w:t>E090804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工施工及管理</w:t>
      </w:r>
    </w:p>
    <w:p>
      <w:pPr>
        <w:autoSpaceDE w:val="0"/>
        <w:autoSpaceDN w:val="0"/>
        <w:jc w:val="left"/>
        <w:spacing w:before="0" w:after="0" w:lineRule="auto" w:line="238"/>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海岸工程</w:t>
      </w:r>
    </w:p>
    <w:p>
      <w:pPr>
        <w:autoSpaceDE w:val="0"/>
        <w:autoSpaceDN w:val="0"/>
        <w:jc w:val="left"/>
        <w:spacing w:before="66" w:after="0" w:lineRule="auto" w:line="240"/>
        <w:ind w:right="0" w:left="662" w:firstLine="0"/>
        <w:snapToGrid w:val="0"/>
        <w:textAlignment w:val="auto"/>
        <w:tabs/>
        <w:sectPr>
          <w:type w:val="continuous"/>
          <w:pgSz w:w="10940" w:h="15080" w:orient="portrait"/>
          <w:pgMar w:top="508" w:right="508" w:bottom="508" w:left="508" w:header="0" w:footer="0" w:gutter="0"/>
          <w:cols w:num="2" w:space="0" w:equalWidth="0">
            <w:col w:w="4754" w:space="929"/>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E090901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海岸工程的基础理论</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both"/>
        <w:spacing w:before="327" w:after="0" w:lineRule="auto" w:line="311"/>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E090902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河</w:t>
      </w:r>
      <w:r>
        <w:rPr>
          <w:rFonts w:ascii="宋体" w:hAnsi="宋体" w:cs="宋体" w:eastAsia="宋体" w:hint="ascii"/>
          <w:sz w:val="18"/>
          <w:spacing w:val="-8"/>
        </w:rPr>
        <w:t>口和海岸污染与治</w:t>
      </w:r>
      <w:r>
        <w:rPr>
          <w:rFonts w:ascii="宋体" w:hAnsi="宋体" w:cs="宋体" w:eastAsia="宋体" w:hint="ascii"/>
          <w:sz w:val="18"/>
        </w:rPr>
        <w:t>理</w:t>
      </w:r>
      <w:r>
        <w:rPr>
          <w:rFonts w:ascii="Times New Roman" w:hAnsi="Times New Roman" w:cs="Times New Roman" w:eastAsia="Times New Roman" w:hint="ascii"/>
          <w:sz w:val="18"/>
          <w:spacing w:val="-1"/>
        </w:rPr>
        <w:t>E090903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港</w:t>
      </w:r>
      <w:r>
        <w:rPr>
          <w:rFonts w:ascii="宋体" w:hAnsi="宋体" w:cs="宋体" w:eastAsia="宋体" w:hint="ascii"/>
          <w:sz w:val="18"/>
          <w:spacing w:val="-8"/>
        </w:rPr>
        <w:t>口航道及海岸建筑</w:t>
      </w:r>
      <w:r>
        <w:rPr>
          <w:rFonts w:ascii="宋体" w:hAnsi="宋体" w:cs="宋体" w:eastAsia="宋体" w:hint="ascii"/>
          <w:sz w:val="18"/>
        </w:rPr>
        <w:t>物</w:t>
      </w:r>
      <w:r>
        <w:rPr>
          <w:rFonts w:ascii="Times New Roman" w:hAnsi="Times New Roman" w:cs="Times New Roman" w:eastAsia="Times New Roman" w:hint="ascii"/>
          <w:sz w:val="18"/>
        </w:rPr>
        <w:t>E090904</w:t>
      </w:r>
      <w:r>
        <w:rPr>
          <w:rFonts w:ascii="Times New Roman" w:hAnsi="Times New Roman" w:cs="Times New Roman" w:eastAsia="Times New Roman" w:hint="ascii"/>
          <w:sz w:val="18"/>
          <w:spacing w:val="45"/>
        </w:rPr>
        <w:t xml:space="preserve"> </w:t>
      </w:r>
      <w:r>
        <w:rPr>
          <w:rFonts w:ascii="宋体" w:hAnsi="宋体" w:cs="宋体" w:eastAsia="宋体" w:hint="ascii"/>
          <w:sz w:val="18"/>
        </w:rPr>
        <w:t>海岸防灾与河口治理</w:t>
      </w:r>
      <w:r>
        <w:rPr>
          <w:rFonts w:ascii="宋体" w:hAnsi="宋体" w:cs="宋体" w:eastAsia="宋体" w:hint="ascii"/>
          <w:sz w:val="18"/>
        </w:rPr>
        <mc:AlternateContent>
          <mc:Choice Requires="wps">
            <w:drawing>
              <wp:anchor distL="0" distR="0" distT="0" distB="0" simplePos="0" behindDoc="1" relativeHeight="360" locked="0" layoutInCell="1" allowOverlap="1">
                <wp:simplePos x="0" y="0"/>
                <wp:positionH relativeFrom="page">
                  <wp:posOffset>938530</wp:posOffset>
                </wp:positionH>
                <wp:positionV relativeFrom="page">
                  <wp:posOffset>819150</wp:posOffset>
                </wp:positionV>
                <wp:extent cx="5076190" cy="0"/>
                <wp:wrapNone/>
                <wp:docPr id="1387" name="138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89600;width:399.70pt;" id="138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E0910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海洋工程</w:t>
      </w:r>
    </w:p>
    <w:p>
      <w:pPr>
        <w:autoSpaceDE w:val="0"/>
        <w:autoSpaceDN w:val="0"/>
        <w:jc w:val="left"/>
        <w:spacing w:before="6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E091001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海洋工程的基础理论</w:t>
      </w:r>
    </w:p>
    <w:p>
      <w:pPr>
        <w:autoSpaceDE w:val="0"/>
        <w:autoSpaceDN w:val="0"/>
        <w:jc w:val="left"/>
        <w:spacing w:before="327" w:after="0" w:lineRule="auto" w:line="311"/>
        <w:ind w:right="1092" w:left="0" w:firstLine="0"/>
        <w:snapToGrid w:val="0"/>
        <w:textAlignment w:val="auto"/>
        <w:tabs/>
        <w:sectPr>
          <w:type w:val="continuous"/>
          <w:pgSz w:w="10940" w:h="15080" w:orient="portrait"/>
          <w:pgMar w:top="508" w:right="508" w:bottom="508" w:left="508" w:header="0" w:footer="0" w:gutter="0"/>
          <w:cols w:num="2" w:space="0" w:equalWidth="0">
            <w:col w:w="4754" w:space="1591"/>
            <w:col w:w="3579"/>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E091002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船舶和水下航行器</w:t>
      </w:r>
      <w:r>
        <w:rPr>
          <w:rFonts w:ascii="Times New Roman" w:hAnsi="Times New Roman" w:cs="Times New Roman" w:eastAsia="Times New Roman" w:hint="ascii"/>
          <w:sz w:val="18"/>
          <w:spacing w:val="-1"/>
        </w:rPr>
        <w:t>E091003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海</w:t>
      </w:r>
      <w:r>
        <w:rPr>
          <w:rFonts w:ascii="宋体" w:hAnsi="宋体" w:cs="宋体" w:eastAsia="宋体" w:hint="ascii"/>
          <w:sz w:val="18"/>
          <w:spacing w:val="-8"/>
        </w:rPr>
        <w:t>洋建筑物与水下工</w:t>
      </w:r>
      <w:r>
        <w:rPr>
          <w:rFonts w:ascii="宋体" w:hAnsi="宋体" w:cs="宋体" w:eastAsia="宋体" w:hint="ascii"/>
          <w:sz w:val="18"/>
        </w:rPr>
        <w:t>程</w:t>
      </w:r>
      <w:r>
        <w:rPr>
          <w:rFonts w:ascii="Times New Roman" w:hAnsi="Times New Roman" w:cs="Times New Roman" w:eastAsia="Times New Roman" w:hint="ascii"/>
          <w:sz w:val="18"/>
        </w:rPr>
        <w:t>E091004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海上作业与海事保障</w:t>
      </w:r>
      <w:r>
        <w:rPr>
          <w:rFonts w:ascii="Times New Roman" w:hAnsi="Times New Roman" w:cs="Times New Roman" w:eastAsia="Times New Roman" w:hint="ascii"/>
          <w:sz w:val="18"/>
        </w:rPr>
        <w:t>E091005</w:t>
      </w:r>
      <w:r>
        <w:rPr>
          <w:rFonts w:ascii="Times New Roman" w:hAnsi="Times New Roman" w:cs="Times New Roman" w:eastAsia="Times New Roman" w:hint="ascii"/>
          <w:sz w:val="18"/>
          <w:spacing w:val="45"/>
        </w:rPr>
        <w:t xml:space="preserve"> </w:t>
      </w:r>
      <w:r>
        <w:rPr>
          <w:rFonts w:ascii="宋体" w:hAnsi="宋体" w:cs="宋体" w:eastAsia="宋体" w:hint="ascii"/>
          <w:sz w:val="18"/>
        </w:rPr>
        <w:t>海洋资源开发利用</w:t>
      </w:r>
      <w:rPr>
        <w:rFonts w:ascii="宋体" w:hAnsi="宋体" w:cs="宋体" w:eastAsia="宋体" w:hint="ascii"/>
        <w:sz w:val="18"/>
      </w:rPr>
    </w:p>
    <w:p>
      <w:pPr>
        <w:autoSpaceDE w:val="0"/>
        <w:autoSpaceDN w:val="0"/>
        <w:jc w:val="left"/>
        <w:spacing w:before="199" w:after="0" w:lineRule="auto" w:line="240"/>
        <w:ind w:right="0" w:left="3747"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spacing w:val="1"/>
        </w:rPr>
        <w:t>F</w:t>
      </w:r>
      <w:r>
        <w:rPr>
          <w:rFonts w:ascii="Times New Roman" w:hAnsi="Times New Roman" w:cs="Times New Roman" w:eastAsia="Times New Roman" w:hint="ascii"/>
          <w:b w:val="1"/>
          <w:sz w:val="38"/>
        </w:rPr>
        <w:t xml:space="preserve">. </w:t>
      </w:r>
      <w:r>
        <w:rPr>
          <w:rFonts w:ascii="宋体" w:hAnsi="宋体" w:cs="宋体" w:eastAsia="宋体" w:hint="ascii"/>
          <w:sz w:val="38"/>
        </w:rPr>
        <w:t>信息科学部</w:t>
      </w:r>
      <w:rPr>
        <w:rFonts w:ascii="宋体" w:hAnsi="宋体" w:cs="宋体" w:eastAsia="宋体" w:hint="ascii"/>
        <w:sz w:val="38"/>
      </w:rPr>
    </w:p>
    <w:p>
      <w:pPr>
        <w:autoSpaceDE w:val="0"/>
        <w:autoSpaceDN w:val="0"/>
        <w:jc w:val="left"/>
        <w:spacing w:before="29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F01</w:t>
      </w:r>
      <w:r>
        <w:rPr>
          <w:rFonts w:ascii="Times New Roman" w:hAnsi="Times New Roman" w:cs="Times New Roman" w:eastAsia="Times New Roman" w:hint="ascii"/>
          <w:b w:val="1"/>
          <w:spacing w:val="60"/>
        </w:rPr>
        <w:t xml:space="preserve"> </w:t>
      </w:r>
      <w:r>
        <w:rPr>
          <w:rFonts w:ascii="宋体" w:hAnsi="宋体" w:cs="宋体" w:eastAsia="宋体" w:hint="ascii"/>
        </w:rPr>
        <w:t>电子学与信息系统</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信息论</w:t>
      </w:r>
    </w:p>
    <w:p>
      <w:pPr>
        <w:autoSpaceDE w:val="0"/>
        <w:autoSpaceDN w:val="0"/>
        <w:jc w:val="both"/>
        <w:spacing w:before="68" w:after="0" w:lineRule="auto" w:line="313"/>
        <w:ind w:right="72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经</w:t>
      </w:r>
      <w:r>
        <w:rPr>
          <w:rFonts w:ascii="宋体" w:hAnsi="宋体" w:cs="宋体" w:eastAsia="宋体" w:hint="ascii"/>
          <w:sz w:val="18"/>
        </w:rPr>
        <w:t>典信息论</w:t>
      </w:r>
      <w:r>
        <w:rPr>
          <w:rFonts w:ascii="Times New Roman" w:hAnsi="Times New Roman" w:cs="Times New Roman" w:eastAsia="Times New Roman" w:hint="ascii"/>
          <w:sz w:val="18"/>
          <w:spacing w:val="-1"/>
        </w:rPr>
        <w:t>F010102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网</w:t>
      </w:r>
      <w:r>
        <w:rPr>
          <w:rFonts w:ascii="宋体" w:hAnsi="宋体" w:cs="宋体" w:eastAsia="宋体" w:hint="ascii"/>
          <w:sz w:val="18"/>
        </w:rPr>
        <w:t>络信息论</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信</w:t>
      </w:r>
      <w:r>
        <w:rPr>
          <w:rFonts w:ascii="宋体" w:hAnsi="宋体" w:cs="宋体" w:eastAsia="宋体" w:hint="ascii"/>
          <w:sz w:val="18"/>
        </w:rPr>
        <w:t>源编码与信道编码</w:t>
      </w:r>
    </w:p>
    <w:p>
      <w:pPr>
        <w:autoSpaceDE w:val="0"/>
        <w:autoSpaceDN w:val="0"/>
        <w:jc w:val="left"/>
        <w:spacing w:before="68" w:after="0" w:lineRule="auto" w:line="313"/>
        <w:ind w:right="2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网络编码</w:t>
      </w:r>
      <w:r>
        <w:rPr>
          <w:rFonts w:ascii="Times New Roman" w:hAnsi="Times New Roman" w:cs="Times New Roman" w:eastAsia="Times New Roman" w:hint="ascii"/>
          <w:sz w:val="18"/>
        </w:rPr>
        <w:t>F010105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广义信息论</w:t>
      </w:r>
      <w:r>
        <w:rPr>
          <w:rFonts w:ascii="Times New Roman" w:hAnsi="Times New Roman" w:cs="Times New Roman" w:eastAsia="Times New Roman" w:hint="ascii"/>
          <w:sz w:val="18"/>
        </w:rPr>
        <w:t>F010106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认知信息论</w:t>
      </w:r>
    </w:p>
    <w:p>
      <w:pPr>
        <w:autoSpaceDE w:val="0"/>
        <w:autoSpaceDN w:val="0"/>
        <w:jc w:val="left"/>
        <w:spacing w:before="0" w:after="0" w:lineRule="auto" w:line="237"/>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信息系统</w:t>
      </w:r>
    </w:p>
    <w:p>
      <w:pPr>
        <w:autoSpaceDE w:val="0"/>
        <w:autoSpaceDN w:val="0"/>
        <w:jc w:val="left"/>
        <w:spacing w:before="64"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信</w:t>
      </w:r>
      <w:r>
        <w:rPr>
          <w:rFonts w:ascii="宋体" w:hAnsi="宋体" w:cs="宋体" w:eastAsia="宋体" w:hint="ascii"/>
          <w:sz w:val="18"/>
        </w:rPr>
        <w:t>息系统建模与仿真</w:t>
      </w:r>
      <w:r>
        <w:rPr>
          <w:rFonts w:ascii="Times New Roman" w:hAnsi="Times New Roman" w:cs="Times New Roman" w:eastAsia="Times New Roman" w:hint="ascii"/>
          <w:sz w:val="18"/>
        </w:rPr>
        <w:t>F010202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信息系统安全</w:t>
      </w:r>
      <w:r>
        <w:rPr>
          <w:rFonts w:ascii="Times New Roman" w:hAnsi="Times New Roman" w:cs="Times New Roman" w:eastAsia="Times New Roman" w:hint="ascii"/>
          <w:sz w:val="18"/>
        </w:rPr>
        <w:t>F010203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通信网络安全</w:t>
      </w:r>
      <w:r>
        <w:rPr>
          <w:rFonts w:ascii="Times New Roman" w:hAnsi="Times New Roman" w:cs="Times New Roman" w:eastAsia="Times New Roman" w:hint="ascii"/>
          <w:sz w:val="18"/>
        </w:rPr>
        <w:t>F010204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网络服务</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网络管理</w:t>
      </w:r>
    </w:p>
    <w:p>
      <w:pPr>
        <w:autoSpaceDE w:val="0"/>
        <w:autoSpaceDN w:val="0"/>
        <w:jc w:val="left"/>
        <w:spacing w:before="63" w:after="0" w:lineRule="auto" w:line="309"/>
        <w:ind w:right="11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无线资源管理</w:t>
      </w:r>
      <w:r>
        <w:rPr>
          <w:rFonts w:ascii="Times New Roman" w:hAnsi="Times New Roman" w:cs="Times New Roman" w:eastAsia="Times New Roman" w:hint="ascii"/>
          <w:sz w:val="18"/>
        </w:rPr>
        <w:t>F010207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认知无线电</w:t>
      </w:r>
      <w:r>
        <w:rPr>
          <w:rFonts w:ascii="Times New Roman" w:hAnsi="Times New Roman" w:cs="Times New Roman" w:eastAsia="Times New Roman" w:hint="ascii"/>
          <w:sz w:val="18"/>
        </w:rPr>
        <w:t>F010208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认知无线网络</w:t>
      </w:r>
    </w:p>
    <w:p>
      <w:pPr>
        <w:autoSpaceDE w:val="0"/>
        <w:autoSpaceDN w:val="0"/>
        <w:jc w:val="left"/>
        <w:spacing w:before="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通信理论与系统</w:t>
      </w:r>
    </w:p>
    <w:p>
      <w:pPr>
        <w:autoSpaceDE w:val="0"/>
        <w:autoSpaceDN w:val="0"/>
        <w:jc w:val="left"/>
        <w:spacing w:before="67" w:after="0" w:lineRule="auto" w:line="313"/>
        <w:ind w:right="2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无线通信</w:t>
      </w:r>
      <w:r>
        <w:rPr>
          <w:rFonts w:ascii="Times New Roman" w:hAnsi="Times New Roman" w:cs="Times New Roman" w:eastAsia="Times New Roman" w:hint="ascii"/>
          <w:sz w:val="18"/>
        </w:rPr>
        <w:t>F010302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通信信号处理</w:t>
      </w:r>
      <w:r>
        <w:rPr>
          <w:rFonts w:ascii="Times New Roman" w:hAnsi="Times New Roman" w:cs="Times New Roman" w:eastAsia="Times New Roman" w:hint="ascii"/>
          <w:sz w:val="18"/>
        </w:rPr>
        <w:t>F010303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协同通信</w:t>
      </w:r>
      <w:r>
        <w:rPr>
          <w:rFonts w:ascii="Times New Roman" w:hAnsi="Times New Roman" w:cs="Times New Roman" w:eastAsia="Times New Roman" w:hint="ascii"/>
          <w:sz w:val="18"/>
        </w:rPr>
        <w:t>F010304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超宽带通信</w:t>
      </w:r>
      <w:r>
        <w:rPr>
          <w:rFonts w:ascii="Times New Roman" w:hAnsi="Times New Roman" w:cs="Times New Roman" w:eastAsia="Times New Roman" w:hint="ascii"/>
          <w:sz w:val="18"/>
        </w:rPr>
        <w:t>F010305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专用通信</w:t>
      </w:r>
      <w:r>
        <w:rPr>
          <w:rFonts w:ascii="Times New Roman" w:hAnsi="Times New Roman" w:cs="Times New Roman" w:eastAsia="Times New Roman" w:hint="ascii"/>
          <w:sz w:val="18"/>
        </w:rPr>
        <w:t>F010306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智能通信</w:t>
      </w:r>
      <w:r>
        <w:rPr>
          <w:rFonts w:ascii="Times New Roman" w:hAnsi="Times New Roman" w:cs="Times New Roman" w:eastAsia="Times New Roman" w:hint="ascii"/>
          <w:sz w:val="18"/>
        </w:rPr>
        <w:t>F010307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广义通信</w:t>
      </w:r>
      <w:r>
        <w:rPr>
          <w:rFonts w:ascii="Times New Roman" w:hAnsi="Times New Roman" w:cs="Times New Roman" w:eastAsia="Times New Roman" w:hint="ascii"/>
          <w:sz w:val="18"/>
        </w:rPr>
        <w:t>F010308</w:t>
      </w:r>
      <w:r>
        <w:rPr>
          <w:rFonts w:ascii="Times New Roman" w:hAnsi="Times New Roman" w:cs="Times New Roman" w:eastAsia="Times New Roman" w:hint="ascii"/>
          <w:sz w:val="18"/>
          <w:spacing w:val="45"/>
        </w:rPr>
        <w:t xml:space="preserve"> </w:t>
      </w:r>
      <w:r>
        <w:rPr>
          <w:rFonts w:ascii="宋体" w:hAnsi="宋体" w:cs="宋体" w:eastAsia="宋体" w:hint="ascii"/>
          <w:sz w:val="18"/>
        </w:rPr>
        <w:t>通信干扰与抑制</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通信网络</w:t>
      </w:r>
    </w:p>
    <w:p>
      <w:pPr>
        <w:autoSpaceDE w:val="0"/>
        <w:autoSpaceDN w:val="0"/>
        <w:jc w:val="left"/>
        <w:spacing w:before="67" w:after="0" w:lineRule="auto" w:line="314"/>
        <w:ind w:right="2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异构网络</w:t>
      </w:r>
      <w:r>
        <w:rPr>
          <w:rFonts w:ascii="Times New Roman" w:hAnsi="Times New Roman" w:cs="Times New Roman" w:eastAsia="Times New Roman" w:hint="ascii"/>
          <w:sz w:val="18"/>
        </w:rPr>
        <w:t>F010402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自组网络</w:t>
      </w:r>
      <w:r>
        <w:rPr>
          <w:rFonts w:ascii="Times New Roman" w:hAnsi="Times New Roman" w:cs="Times New Roman" w:eastAsia="Times New Roman" w:hint="ascii"/>
          <w:sz w:val="18"/>
        </w:rPr>
        <w:t>F010403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物联网通信</w:t>
      </w:r>
      <w:r>
        <w:rPr>
          <w:rFonts w:ascii="Times New Roman" w:hAnsi="Times New Roman" w:cs="Times New Roman" w:eastAsia="Times New Roman" w:hint="ascii"/>
          <w:sz w:val="18"/>
        </w:rPr>
        <w:t>F010404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移动互联网</w:t>
      </w:r>
      <w:r>
        <w:rPr>
          <w:rFonts w:ascii="Times New Roman" w:hAnsi="Times New Roman" w:cs="Times New Roman" w:eastAsia="Times New Roman" w:hint="ascii"/>
          <w:sz w:val="18"/>
        </w:rPr>
        <w:t>F010405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通信网络与系统</w:t>
      </w:r>
      <w:r>
        <w:rPr>
          <w:rFonts w:ascii="Times New Roman" w:hAnsi="Times New Roman" w:cs="Times New Roman" w:eastAsia="Times New Roman" w:hint="ascii"/>
          <w:sz w:val="18"/>
        </w:rPr>
        <w:t>F010406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计算机通信</w: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F010407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传</w:t>
      </w:r>
      <w:r>
        <w:rPr>
          <w:rFonts w:ascii="宋体" w:hAnsi="宋体" w:cs="宋体" w:eastAsia="宋体" w:hint="ascii"/>
          <w:sz w:val="18"/>
        </w:rPr>
        <w:t>感网络理论与技术</w:t>
      </w:r>
    </w:p>
    <w:p>
      <w:pPr>
        <w:autoSpaceDE w:val="0"/>
        <w:autoSpaceDN w:val="0"/>
        <w:jc w:val="both"/>
        <w:spacing w:before="340" w:after="0" w:lineRule="auto" w:line="314"/>
        <w:ind w:right="1138"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spacing w:val="-1"/>
        </w:rPr>
        <w:t>F010408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传</w:t>
      </w:r>
      <w:r>
        <w:rPr>
          <w:rFonts w:ascii="宋体" w:hAnsi="宋体" w:cs="宋体" w:eastAsia="宋体" w:hint="ascii"/>
          <w:sz w:val="18"/>
        </w:rPr>
        <w:t>感网络监测与定位</w:t>
      </w:r>
      <w:r>
        <w:rPr>
          <w:rFonts w:ascii="Times New Roman" w:hAnsi="Times New Roman" w:cs="Times New Roman" w:eastAsia="Times New Roman" w:hint="ascii"/>
          <w:sz w:val="18"/>
          <w:spacing w:val="-1"/>
        </w:rPr>
        <w:t>F010409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专</w:t>
      </w:r>
      <w:r>
        <w:rPr>
          <w:rFonts w:ascii="宋体" w:hAnsi="宋体" w:cs="宋体" w:eastAsia="宋体" w:hint="ascii"/>
          <w:sz w:val="18"/>
        </w:rPr>
        <w:t>用网络理论与技术</w:t>
      </w:r>
      <w:r>
        <w:rPr>
          <w:rFonts w:ascii="Times New Roman" w:hAnsi="Times New Roman" w:cs="Times New Roman" w:eastAsia="Times New Roman" w:hint="ascii"/>
          <w:sz w:val="18"/>
        </w:rPr>
        <w:t>F010410</w:t>
      </w:r>
      <w:r>
        <w:rPr>
          <w:rFonts w:ascii="Times New Roman" w:hAnsi="Times New Roman" w:cs="Times New Roman" w:eastAsia="Times New Roman" w:hint="ascii"/>
          <w:sz w:val="18"/>
          <w:spacing w:val="45"/>
        </w:rPr>
        <w:t xml:space="preserve"> </w:t>
      </w:r>
      <w:r>
        <w:rPr>
          <w:rFonts w:ascii="宋体" w:hAnsi="宋体" w:cs="宋体" w:eastAsia="宋体" w:hint="ascii"/>
          <w:sz w:val="18"/>
        </w:rPr>
        <w:t>体域网</w:t>
      </w:r>
    </w:p>
    <w:p>
      <w:pPr>
        <w:autoSpaceDE w:val="0"/>
        <w:autoSpaceDN w:val="0"/>
        <w:jc w:val="left"/>
        <w:spacing w:before="0" w:after="0" w:lineRule="auto" w:line="239"/>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移动通信</w:t>
      </w:r>
    </w:p>
    <w:p>
      <w:pPr>
        <w:autoSpaceDE w:val="0"/>
        <w:autoSpaceDN w:val="0"/>
        <w:jc w:val="left"/>
        <w:spacing w:before="68" w:after="0" w:lineRule="auto" w:line="313"/>
        <w:ind w:right="142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F010501</w:t>
      </w:r>
      <w:r>
        <w:rPr>
          <w:rFonts w:ascii="Times New Roman" w:hAnsi="Times New Roman" w:cs="Times New Roman" w:eastAsia="Times New Roman" w:hint="ascii"/>
          <w:sz w:val="18"/>
          <w:spacing w:val="135"/>
        </w:rPr>
        <w:t xml:space="preserve"> </w:t>
      </w:r>
      <w:r>
        <w:rPr>
          <w:rFonts w:ascii="Times New Roman" w:hAnsi="Times New Roman" w:cs="Times New Roman" w:eastAsia="Times New Roman" w:hint="ascii"/>
          <w:sz w:val="18"/>
        </w:rPr>
        <w:t>MIM</w:t>
      </w:r>
      <w:r>
        <w:rPr>
          <w:rFonts w:ascii="Times New Roman" w:hAnsi="Times New Roman" w:cs="Times New Roman" w:eastAsia="Times New Roman" w:hint="ascii"/>
          <w:sz w:val="18"/>
          <w:spacing w:val="44"/>
        </w:rPr>
        <w:t>O</w:t>
      </w:r>
      <w:r>
        <w:rPr>
          <w:rFonts w:ascii="宋体" w:hAnsi="宋体" w:cs="宋体" w:eastAsia="宋体" w:hint="ascii"/>
          <w:sz w:val="18"/>
        </w:rPr>
        <w:t xml:space="preserve">通信 </w:t>
      </w:r>
      <w:r>
        <w:rPr>
          <w:rFonts w:ascii="Times New Roman" w:hAnsi="Times New Roman" w:cs="Times New Roman" w:eastAsia="Times New Roman" w:hint="ascii"/>
          <w:sz w:val="18"/>
        </w:rPr>
        <w:t>F010502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多址通信</w:t>
      </w:r>
      <w:r>
        <w:rPr>
          <w:rFonts w:ascii="Times New Roman" w:hAnsi="Times New Roman" w:cs="Times New Roman" w:eastAsia="Times New Roman" w:hint="ascii"/>
          <w:sz w:val="18"/>
        </w:rPr>
        <w:t>F010503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扩频通信</w:t>
      </w:r>
      <w:r>
        <w:rPr>
          <w:rFonts w:ascii="Times New Roman" w:hAnsi="Times New Roman" w:cs="Times New Roman" w:eastAsia="Times New Roman" w:hint="ascii"/>
          <w:sz w:val="18"/>
        </w:rPr>
        <w:t>F010504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移动定位</w:t>
      </w:r>
      <w:r>
        <w:rPr>
          <w:rFonts w:ascii="Times New Roman" w:hAnsi="Times New Roman" w:cs="Times New Roman" w:eastAsia="Times New Roman" w:hint="ascii"/>
          <w:sz w:val="18"/>
        </w:rPr>
        <w:t>F010505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移动通信系统</w:t>
      </w:r>
      <w:r>
        <w:rPr>
          <w:rFonts w:ascii="Times New Roman" w:hAnsi="Times New Roman" w:cs="Times New Roman" w:eastAsia="Times New Roman" w:hint="ascii"/>
          <w:sz w:val="18"/>
        </w:rPr>
        <w:t>F010506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高能效通信</w:t>
      </w:r>
    </w:p>
    <w:p>
      <w:pPr>
        <w:autoSpaceDE w:val="0"/>
        <w:autoSpaceDN w:val="0"/>
        <w:jc w:val="left"/>
        <w:spacing w:before="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空天通信</w:t>
      </w:r>
    </w:p>
    <w:p>
      <w:pPr>
        <w:autoSpaceDE w:val="0"/>
        <w:autoSpaceDN w:val="0"/>
        <w:jc w:val="left"/>
        <w:spacing w:before="67" w:after="0" w:lineRule="auto" w:line="313"/>
        <w:ind w:right="142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空间通信</w:t>
      </w:r>
      <w:r>
        <w:rPr>
          <w:rFonts w:ascii="Times New Roman" w:hAnsi="Times New Roman" w:cs="Times New Roman" w:eastAsia="Times New Roman" w:hint="ascii"/>
          <w:sz w:val="18"/>
        </w:rPr>
        <w:t>F010602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深空通信</w:t>
      </w:r>
      <w:r>
        <w:rPr>
          <w:rFonts w:ascii="Times New Roman" w:hAnsi="Times New Roman" w:cs="Times New Roman" w:eastAsia="Times New Roman" w:hint="ascii"/>
          <w:sz w:val="18"/>
        </w:rPr>
        <w:t>F010603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卫星通信</w:t>
      </w:r>
      <w:r>
        <w:rPr>
          <w:rFonts w:ascii="Times New Roman" w:hAnsi="Times New Roman" w:cs="Times New Roman" w:eastAsia="Times New Roman" w:hint="ascii"/>
          <w:sz w:val="18"/>
        </w:rPr>
        <w:t>F010604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卫星测控</w:t>
      </w:r>
      <w:r>
        <w:rPr>
          <w:rFonts w:ascii="Times New Roman" w:hAnsi="Times New Roman" w:cs="Times New Roman" w:eastAsia="Times New Roman" w:hint="ascii"/>
          <w:sz w:val="18"/>
        </w:rPr>
        <w:t>F010605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机载通信</w:t>
      </w:r>
      <w:r>
        <w:rPr>
          <w:rFonts w:ascii="Times New Roman" w:hAnsi="Times New Roman" w:cs="Times New Roman" w:eastAsia="Times New Roman" w:hint="ascii"/>
          <w:sz w:val="18"/>
        </w:rPr>
        <w:t>F010606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空间通信网</w:t>
      </w:r>
      <w:r>
        <w:rPr>
          <w:rFonts w:ascii="Times New Roman" w:hAnsi="Times New Roman" w:cs="Times New Roman" w:eastAsia="Times New Roman" w:hint="ascii"/>
          <w:sz w:val="18"/>
        </w:rPr>
        <w:t>F010607</w:t>
      </w:r>
      <w:r>
        <w:rPr>
          <w:rFonts w:ascii="Times New Roman" w:hAnsi="Times New Roman" w:cs="Times New Roman" w:eastAsia="Times New Roman" w:hint="ascii"/>
          <w:sz w:val="18"/>
          <w:spacing w:val="45"/>
        </w:rPr>
        <w:t xml:space="preserve"> </w:t>
      </w:r>
      <w:r>
        <w:rPr>
          <w:rFonts w:ascii="宋体" w:hAnsi="宋体" w:cs="宋体" w:eastAsia="宋体" w:hint="ascii"/>
          <w:sz w:val="18"/>
        </w:rPr>
        <w:t>空天地网络</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水域通信</w:t>
      </w:r>
    </w:p>
    <w:p>
      <w:pPr>
        <w:autoSpaceDE w:val="0"/>
        <w:autoSpaceDN w:val="0"/>
        <w:jc w:val="left"/>
        <w:spacing w:before="68" w:after="0" w:lineRule="auto" w:line="313"/>
        <w:ind w:right="142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水声通信</w:t>
      </w:r>
      <w:r>
        <w:rPr>
          <w:rFonts w:ascii="Times New Roman" w:hAnsi="Times New Roman" w:cs="Times New Roman" w:eastAsia="Times New Roman" w:hint="ascii"/>
          <w:sz w:val="18"/>
        </w:rPr>
        <w:t>F010702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水下光通信</w:t>
      </w:r>
      <w:r>
        <w:rPr>
          <w:rFonts w:ascii="Times New Roman" w:hAnsi="Times New Roman" w:cs="Times New Roman" w:eastAsia="Times New Roman" w:hint="ascii"/>
          <w:sz w:val="18"/>
        </w:rPr>
        <w:t>F010703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水下通信网</w:t>
      </w:r>
    </w:p>
    <w:p>
      <w:pPr>
        <w:autoSpaceDE w:val="0"/>
        <w:autoSpaceDN w:val="0"/>
        <w:jc w:val="left"/>
        <w:spacing w:before="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水下定位与传感网</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海上通信网</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多媒体通信</w:t>
      </w:r>
    </w:p>
    <w:p>
      <w:pPr>
        <w:autoSpaceDE w:val="0"/>
        <w:autoSpaceDN w:val="0"/>
        <w:jc w:val="left"/>
        <w:spacing w:before="68" w:after="0" w:lineRule="auto" w:line="314"/>
        <w:ind w:right="142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视频通信</w:t>
      </w:r>
      <w:r>
        <w:rPr>
          <w:rFonts w:ascii="Times New Roman" w:hAnsi="Times New Roman" w:cs="Times New Roman" w:eastAsia="Times New Roman" w:hint="ascii"/>
          <w:sz w:val="18"/>
        </w:rPr>
        <w:t>F010802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视频编码</w:t>
      </w:r>
      <w:r>
        <w:rPr>
          <w:rFonts w:ascii="Times New Roman" w:hAnsi="Times New Roman" w:cs="Times New Roman" w:eastAsia="Times New Roman" w:hint="ascii"/>
          <w:sz w:val="18"/>
        </w:rPr>
        <w:t>F010803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视频传输</w:t>
      </w:r>
      <w:r>
        <w:rPr>
          <w:rFonts w:ascii="Times New Roman" w:hAnsi="Times New Roman" w:cs="Times New Roman" w:eastAsia="Times New Roman" w:hint="ascii"/>
          <w:sz w:val="18"/>
        </w:rPr>
        <w:t>F010804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语音通信</w:t>
      </w:r>
    </w:p>
    <w:p>
      <w:pPr>
        <w:autoSpaceDE w:val="0"/>
        <w:autoSpaceDN w:val="0"/>
        <w:jc w:val="left"/>
        <w:spacing w:before="0" w:after="0" w:lineRule="auto" w:line="239"/>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光通信</w:t>
      </w:r>
    </w:p>
    <w:p>
      <w:pPr>
        <w:autoSpaceDE w:val="0"/>
        <w:autoSpaceDN w:val="0"/>
        <w:jc w:val="left"/>
        <w:spacing w:before="67" w:after="0" w:lineRule="auto" w:line="313"/>
        <w:ind w:right="1138" w:left="662" w:firstLine="0"/>
        <w:snapToGrid w:val="0"/>
        <w:textAlignment w:val="auto"/>
        <w:tabs/>
        <w:sectPr>
          <w:type w:val="continuous"/>
          <w:pgSz w:w="10940" w:h="15080" w:orient="portrait"/>
          <w:pgMar w:top="508" w:right="508" w:bottom="508" w:left="508" w:header="0" w:footer="0" w:gutter="0"/>
          <w:cols w:num="2" w:space="0" w:equalWidth="0">
            <w:col w:w="4707" w:space="977"/>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F010901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高速光纤传输</w:t>
      </w:r>
      <w:r>
        <w:rPr>
          <w:rFonts w:ascii="Times New Roman" w:hAnsi="Times New Roman" w:cs="Times New Roman" w:eastAsia="Times New Roman" w:hint="ascii"/>
          <w:sz w:val="18"/>
        </w:rPr>
        <w:t>F010902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光网络与控制管理</w:t>
      </w:r>
      <w:r>
        <w:rPr>
          <w:rFonts w:ascii="Times New Roman" w:hAnsi="Times New Roman" w:cs="Times New Roman" w:eastAsia="Times New Roman" w:hint="ascii"/>
          <w:sz w:val="18"/>
        </w:rPr>
        <w:t>F010903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光交换网络与协议</w:t>
      </w:r>
      <w:r>
        <w:rPr>
          <w:rFonts w:ascii="Times New Roman" w:hAnsi="Times New Roman" w:cs="Times New Roman" w:eastAsia="Times New Roman" w:hint="ascii"/>
          <w:sz w:val="18"/>
        </w:rPr>
        <w:t>F010904</w:t>
      </w:r>
      <w:r>
        <w:rPr>
          <w:rFonts w:ascii="Times New Roman" w:hAnsi="Times New Roman" w:cs="Times New Roman" w:eastAsia="Times New Roman" w:hint="ascii"/>
          <w:sz w:val="18"/>
          <w:spacing w:val="45"/>
        </w:rPr>
        <w:t xml:space="preserve"> </w:t>
      </w:r>
      <w:r>
        <w:rPr>
          <w:rFonts w:ascii="宋体" w:hAnsi="宋体" w:cs="宋体" w:eastAsia="宋体" w:hint="ascii"/>
          <w:sz w:val="18"/>
        </w:rPr>
        <w:t>宽带光纤接入</w:t>
      </w:r>
      <w:rPr>
        <w:rFonts w:ascii="宋体" w:hAnsi="宋体" w:cs="宋体" w:eastAsia="宋体" w:hint="ascii"/>
        <w:sz w:val="18"/>
      </w:rPr>
    </w:p>
    <w:p>
      <w:pPr>
        <w:autoSpaceDE w:val="0"/>
        <w:autoSpaceDN w:val="0"/>
        <w:jc w:val="left"/>
        <w:spacing w:before="292"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279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314"/>
        <w:ind w:right="14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F010905</w:t>
      </w:r>
      <w:r>
        <w:rPr>
          <w:rFonts w:ascii="Times New Roman" w:hAnsi="Times New Roman" w:cs="Times New Roman" w:eastAsia="Times New Roman" w:hint="ascii"/>
          <w:sz w:val="18"/>
          <w:spacing w:val="45"/>
        </w:rPr>
        <w:t xml:space="preserve"> </w:t>
      </w:r>
      <w:r>
        <w:rPr>
          <w:rFonts w:ascii="宋体" w:hAnsi="宋体" w:cs="宋体" w:eastAsia="宋体" w:hint="ascii"/>
          <w:sz w:val="18"/>
        </w:rPr>
        <w:t>无线光通信</w:t>
      </w:r>
      <w:r>
        <w:rPr>
          <w:rFonts w:ascii="Times New Roman" w:hAnsi="Times New Roman" w:cs="Times New Roman" w:eastAsia="Times New Roman" w:hint="ascii"/>
          <w:sz w:val="18"/>
        </w:rPr>
        <w:t>F010906</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空间光通信</w:t>
      </w:r>
      <w:r>
        <w:rPr>
          <w:rFonts w:ascii="Times New Roman" w:hAnsi="Times New Roman" w:cs="Times New Roman" w:eastAsia="Times New Roman" w:hint="ascii"/>
          <w:sz w:val="18"/>
        </w:rPr>
        <w:t>F010907</w:t>
      </w:r>
      <w:r>
        <w:rPr>
          <w:rFonts w:ascii="Times New Roman" w:hAnsi="Times New Roman" w:cs="Times New Roman" w:eastAsia="Times New Roman" w:hint="ascii"/>
          <w:sz w:val="18"/>
          <w:spacing w:val="45"/>
        </w:rPr>
        <w:t xml:space="preserve"> </w:t>
      </w:r>
      <w:r>
        <w:rPr>
          <w:rFonts w:ascii="宋体" w:hAnsi="宋体" w:cs="宋体" w:eastAsia="宋体" w:hint="ascii"/>
          <w:sz w:val="18"/>
        </w:rPr>
        <w:t>光载无线通信</w:t>
      </w:r>
      <w:r>
        <w:rPr>
          <w:rFonts w:ascii="宋体" w:hAnsi="宋体" w:cs="宋体" w:eastAsia="宋体" w:hint="ascii"/>
          <w:sz w:val="18"/>
        </w:rPr>
        <mc:AlternateContent>
          <mc:Choice Requires="wps">
            <w:drawing>
              <wp:anchor distL="0" distR="0" distT="0" distB="0" simplePos="0" behindDoc="1" relativeHeight="361" locked="0" layoutInCell="1" allowOverlap="1">
                <wp:simplePos x="0" y="0"/>
                <wp:positionH relativeFrom="page">
                  <wp:posOffset>938530</wp:posOffset>
                </wp:positionH>
                <wp:positionV relativeFrom="page">
                  <wp:posOffset>805815</wp:posOffset>
                </wp:positionV>
                <wp:extent cx="5076190" cy="0"/>
                <wp:wrapNone/>
                <wp:docPr id="1388" name="138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88576;width:399.70pt;" id="138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量子通信与量子信息处理</w:t>
      </w:r>
    </w:p>
    <w:p>
      <w:pPr>
        <w:autoSpaceDE w:val="0"/>
        <w:autoSpaceDN w:val="0"/>
        <w:jc w:val="left"/>
        <w:spacing w:before="63"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量子通信协议及系统</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安全</w:t>
      </w:r>
    </w:p>
    <w:p>
      <w:pPr>
        <w:autoSpaceDE w:val="0"/>
        <w:autoSpaceDN w:val="0"/>
        <w:jc w:val="both"/>
        <w:spacing w:before="57"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1002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量</w:t>
      </w:r>
      <w:r>
        <w:rPr>
          <w:rFonts w:ascii="宋体" w:hAnsi="宋体" w:cs="宋体" w:eastAsia="宋体" w:hint="ascii"/>
          <w:sz w:val="18"/>
          <w:spacing w:val="-8"/>
        </w:rPr>
        <w:t>子通信后处理及认</w:t>
      </w:r>
      <w:r>
        <w:rPr>
          <w:rFonts w:ascii="宋体" w:hAnsi="宋体" w:cs="宋体" w:eastAsia="宋体" w:hint="ascii"/>
          <w:sz w:val="18"/>
        </w:rPr>
        <w:t>证</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量子网络与量子中继</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量子隐性传态与量子</w:t>
      </w:r>
    </w:p>
    <w:p>
      <w:pPr>
        <w:autoSpaceDE w:val="0"/>
        <w:autoSpaceDN w:val="0"/>
        <w:jc w:val="left"/>
        <w:spacing w:before="63"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直接通信</w: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1005</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量子信息处理</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1006</w:t>
      </w:r>
      <w:r>
        <w:rPr>
          <w:rFonts w:ascii="Times New Roman" w:hAnsi="Times New Roman" w:cs="Times New Roman" w:eastAsia="Times New Roman" w:hint="ascii"/>
          <w:sz w:val="18"/>
          <w:spacing w:val="45"/>
        </w:rPr>
        <w:t xml:space="preserve"> </w:t>
      </w:r>
      <w:r>
        <w:rPr>
          <w:rFonts w:ascii="宋体" w:hAnsi="宋体" w:cs="宋体" w:eastAsia="宋体" w:hint="ascii"/>
          <w:sz w:val="18"/>
        </w:rPr>
        <w:t xml:space="preserve">量子与关联成像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1007</w:t>
      </w:r>
      <w:r>
        <w:rPr>
          <w:rFonts w:ascii="Times New Roman" w:hAnsi="Times New Roman" w:cs="Times New Roman" w:eastAsia="Times New Roman" w:hint="ascii"/>
          <w:sz w:val="18"/>
          <w:spacing w:val="45"/>
        </w:rPr>
        <w:t xml:space="preserve"> </w:t>
      </w:r>
      <w:r>
        <w:rPr>
          <w:rFonts w:ascii="宋体" w:hAnsi="宋体" w:cs="宋体" w:eastAsia="宋体" w:hint="ascii"/>
          <w:sz w:val="18"/>
        </w:rPr>
        <w:t xml:space="preserve">量子时频传输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1008</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量子雷达</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信号理论与信号处理</w: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多维信号处理</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 xml:space="preserve">声信号分析与处理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自适应信号处理</w:t>
      </w:r>
      <w:r>
        <w:rPr>
          <w:rFonts w:ascii="Times New Roman" w:hAnsi="Times New Roman" w:cs="Times New Roman" w:eastAsia="Times New Roman" w:hint="ascii"/>
          <w:sz w:val="18"/>
          <w:spacing w:val="-3"/>
        </w:rPr>
        <w:t>F0</w:t>
      </w:r>
      <w:r>
        <w:rPr>
          <w:rFonts w:ascii="Times New Roman" w:hAnsi="Times New Roman" w:cs="Times New Roman" w:eastAsia="Times New Roman" w:hint="ascii"/>
          <w:sz w:val="18"/>
          <w:spacing w:val="-10"/>
        </w:rPr>
        <w:t>11</w:t>
      </w:r>
      <w:r>
        <w:rPr>
          <w:rFonts w:ascii="Times New Roman" w:hAnsi="Times New Roman" w:cs="Times New Roman" w:eastAsia="Times New Roman" w:hint="ascii"/>
          <w:sz w:val="18"/>
          <w:spacing w:val="-3"/>
        </w:rPr>
        <w:t>1</w:t>
      </w:r>
      <w:r>
        <w:rPr>
          <w:rFonts w:ascii="Times New Roman" w:hAnsi="Times New Roman" w:cs="Times New Roman" w:eastAsia="Times New Roman" w:hint="ascii"/>
          <w:sz w:val="18"/>
          <w:spacing w:val="-2"/>
        </w:rPr>
        <w:t>04</w:t>
      </w:r>
      <w:r>
        <w:rPr>
          <w:rFonts w:ascii="Times New Roman" w:hAnsi="Times New Roman" w:cs="Times New Roman" w:eastAsia="Times New Roman" w:hint="ascii"/>
          <w:sz w:val="18"/>
          <w:spacing w:val="43"/>
        </w:rPr>
        <w:t xml:space="preserve"> </w:t>
      </w:r>
      <w:r>
        <w:rPr>
          <w:rFonts w:ascii="宋体" w:hAnsi="宋体" w:cs="宋体" w:eastAsia="宋体" w:hint="ascii"/>
          <w:sz w:val="18"/>
          <w:spacing w:val="-2"/>
        </w:rPr>
        <w:t>稀疏信号表征与处理</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105</w:t>
      </w:r>
      <w:r>
        <w:rPr>
          <w:rFonts w:ascii="Times New Roman" w:hAnsi="Times New Roman" w:cs="Times New Roman" w:eastAsia="Times New Roman" w:hint="ascii"/>
          <w:sz w:val="18"/>
          <w:spacing w:val="45"/>
        </w:rPr>
        <w:t xml:space="preserve"> </w:t>
      </w:r>
      <w:r>
        <w:rPr>
          <w:rFonts w:ascii="宋体" w:hAnsi="宋体" w:cs="宋体" w:eastAsia="宋体" w:hint="ascii"/>
          <w:sz w:val="18"/>
        </w:rPr>
        <w:t>信号检测与估计</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106</w:t>
      </w:r>
      <w:r>
        <w:rPr>
          <w:rFonts w:ascii="Times New Roman" w:hAnsi="Times New Roman" w:cs="Times New Roman" w:eastAsia="Times New Roman" w:hint="ascii"/>
          <w:sz w:val="18"/>
          <w:spacing w:val="45"/>
        </w:rPr>
        <w:t xml:space="preserve"> </w:t>
      </w:r>
      <w:r>
        <w:rPr>
          <w:rFonts w:ascii="宋体" w:hAnsi="宋体" w:cs="宋体" w:eastAsia="宋体" w:hint="ascii"/>
          <w:sz w:val="18"/>
        </w:rPr>
        <w:t>非平稳信号处理</w:t>
      </w:r>
    </w:p>
    <w:p>
      <w:pPr>
        <w:autoSpaceDE w:val="0"/>
        <w:autoSpaceDN w:val="0"/>
        <w:jc w:val="left"/>
        <w:spacing w:before="67" w:after="0" w:lineRule="auto" w:line="314"/>
        <w:ind w:right="168"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107</w:t>
      </w:r>
      <w:r>
        <w:rPr>
          <w:rFonts w:ascii="Times New Roman" w:hAnsi="Times New Roman" w:cs="Times New Roman" w:eastAsia="Times New Roman" w:hint="ascii"/>
          <w:sz w:val="18"/>
          <w:spacing w:val="45"/>
        </w:rPr>
        <w:t xml:space="preserve"> </w:t>
      </w:r>
      <w:r>
        <w:rPr>
          <w:rFonts w:ascii="宋体" w:hAnsi="宋体" w:cs="宋体" w:eastAsia="宋体" w:hint="ascii"/>
          <w:sz w:val="18"/>
        </w:rPr>
        <w:t xml:space="preserve">盲信号处理 </w:t>
      </w:r>
      <w:r>
        <w:rPr>
          <w:rFonts w:ascii="Times New Roman" w:hAnsi="Times New Roman" w:cs="Times New Roman" w:eastAsia="Times New Roman" w:hint="ascii"/>
          <w:sz w:val="18"/>
          <w:spacing w:val="-2"/>
        </w:rPr>
        <w:t>F0</w:t>
      </w:r>
      <w:r>
        <w:rPr>
          <w:rFonts w:ascii="Times New Roman" w:hAnsi="Times New Roman" w:cs="Times New Roman" w:eastAsia="Times New Roman" w:hint="ascii"/>
          <w:sz w:val="18"/>
          <w:spacing w:val="-9"/>
        </w:rPr>
        <w:t>11</w:t>
      </w:r>
      <w:r>
        <w:rPr>
          <w:rFonts w:ascii="Times New Roman" w:hAnsi="Times New Roman" w:cs="Times New Roman" w:eastAsia="Times New Roman" w:hint="ascii"/>
          <w:sz w:val="18"/>
          <w:spacing w:val="-2"/>
        </w:rPr>
        <w:t>108</w:t>
      </w:r>
      <w:r>
        <w:rPr>
          <w:rFonts w:ascii="Times New Roman" w:hAnsi="Times New Roman" w:cs="Times New Roman" w:eastAsia="Times New Roman" w:hint="ascii"/>
          <w:sz w:val="18"/>
          <w:spacing w:val="43"/>
        </w:rPr>
        <w:t xml:space="preserve"> </w:t>
      </w:r>
      <w:r>
        <w:rPr>
          <w:rFonts w:ascii="宋体" w:hAnsi="宋体" w:cs="宋体" w:eastAsia="宋体" w:hint="ascii"/>
          <w:sz w:val="18"/>
          <w:spacing w:val="-2"/>
        </w:rPr>
        <w:t>弱信号检测与</w:t>
      </w:r>
      <w:r>
        <w:rPr>
          <w:rFonts w:ascii="宋体" w:hAnsi="宋体" w:cs="宋体" w:eastAsia="宋体" w:hint="ascii"/>
          <w:sz w:val="18"/>
          <w:spacing w:val="-1"/>
        </w:rPr>
        <w:t>分析</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109</w:t>
      </w:r>
      <w:r>
        <w:rPr>
          <w:rFonts w:ascii="Times New Roman" w:hAnsi="Times New Roman" w:cs="Times New Roman" w:eastAsia="Times New Roman" w:hint="ascii"/>
          <w:sz w:val="18"/>
          <w:spacing w:val="45"/>
        </w:rPr>
        <w:t xml:space="preserve"> </w:t>
      </w:r>
      <w:r>
        <w:rPr>
          <w:rFonts w:ascii="宋体" w:hAnsi="宋体" w:cs="宋体" w:eastAsia="宋体" w:hint="ascii"/>
          <w:sz w:val="18"/>
        </w:rPr>
        <w:t>阵列信号处理</w: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spacing w:val="-6"/>
        </w:rPr>
        <w:t>1</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w:t>
      </w:r>
      <w:r>
        <w:rPr>
          <w:rFonts w:ascii="Times New Roman" w:hAnsi="Times New Roman" w:cs="Times New Roman" w:eastAsia="Times New Roman" w:hint="ascii"/>
          <w:sz w:val="18"/>
          <w:spacing w:val="45"/>
        </w:rPr>
        <w:t xml:space="preserve"> </w:t>
      </w:r>
      <w:r>
        <w:rPr>
          <w:rFonts w:ascii="宋体" w:hAnsi="宋体" w:cs="宋体" w:eastAsia="宋体" w:hint="ascii"/>
          <w:sz w:val="18"/>
        </w:rPr>
        <w:t>压缩感知理论与方法</w:t>
      </w:r>
    </w:p>
    <w:p>
      <w:pPr>
        <w:autoSpaceDE w:val="0"/>
        <w:autoSpaceDN w:val="0"/>
        <w:jc w:val="left"/>
        <w:spacing w:before="7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spacing w:val="-6"/>
        </w:rPr>
        <w:t>1</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杂波认知与抑制</w:t>
      </w:r>
    </w:p>
    <w:p>
      <w:pPr>
        <w:autoSpaceDE w:val="0"/>
        <w:autoSpaceDN w:val="0"/>
        <w:jc w:val="left"/>
        <w:spacing w:before="7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雷达原理与雷达信号</w:t>
      </w:r>
    </w:p>
    <w:p>
      <w:pPr>
        <w:autoSpaceDE w:val="0"/>
        <w:autoSpaceDN w:val="0"/>
        <w:jc w:val="left"/>
        <w:spacing w:before="75" w:after="0" w:lineRule="auto" w:line="322"/>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1201</w:t>
      </w:r>
      <w:r>
        <w:rPr>
          <w:rFonts w:ascii="Times New Roman" w:hAnsi="Times New Roman" w:cs="Times New Roman" w:eastAsia="Times New Roman" w:hint="ascii"/>
          <w:sz w:val="18"/>
          <w:spacing w:val="45"/>
        </w:rPr>
        <w:t xml:space="preserve"> </w:t>
      </w:r>
      <w:r>
        <w:rPr>
          <w:rFonts w:ascii="宋体" w:hAnsi="宋体" w:cs="宋体" w:eastAsia="宋体" w:hint="ascii"/>
          <w:sz w:val="18"/>
        </w:rPr>
        <w:t>雷达原理与技术</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1202</w:t>
      </w:r>
      <w:r>
        <w:rPr>
          <w:rFonts w:ascii="Times New Roman" w:hAnsi="Times New Roman" w:cs="Times New Roman" w:eastAsia="Times New Roman" w:hint="ascii"/>
          <w:sz w:val="18"/>
          <w:spacing w:val="45"/>
        </w:rPr>
        <w:t xml:space="preserve"> </w:t>
      </w:r>
      <w:r>
        <w:rPr>
          <w:rFonts w:ascii="宋体" w:hAnsi="宋体" w:cs="宋体" w:eastAsia="宋体" w:hint="ascii"/>
          <w:sz w:val="18"/>
        </w:rPr>
        <w:t xml:space="preserve">合成孔径雷达成像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微波雷达成像</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光学雷达成像</w:t>
      </w:r>
    </w:p>
    <w:p>
      <w:pPr>
        <w:autoSpaceDE w:val="0"/>
        <w:autoSpaceDN w:val="0"/>
        <w:jc w:val="left"/>
        <w:spacing w:before="75" w:after="0" w:lineRule="auto" w:line="322"/>
        <w:ind w:right="334"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1205</w:t>
      </w:r>
      <w:r>
        <w:rPr>
          <w:rFonts w:ascii="Times New Roman" w:hAnsi="Times New Roman" w:cs="Times New Roman" w:eastAsia="Times New Roman" w:hint="ascii"/>
          <w:sz w:val="18"/>
          <w:spacing w:val="45"/>
        </w:rPr>
        <w:t xml:space="preserve"> </w:t>
      </w:r>
      <w:r>
        <w:rPr>
          <w:rFonts w:ascii="宋体" w:hAnsi="宋体" w:cs="宋体" w:eastAsia="宋体" w:hint="ascii"/>
          <w:sz w:val="18"/>
        </w:rPr>
        <w:t>雷达对抗</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1206</w:t>
      </w:r>
      <w:r>
        <w:rPr>
          <w:rFonts w:ascii="Times New Roman" w:hAnsi="Times New Roman" w:cs="Times New Roman" w:eastAsia="Times New Roman" w:hint="ascii"/>
          <w:sz w:val="18"/>
          <w:spacing w:val="45"/>
        </w:rPr>
        <w:t xml:space="preserve"> </w:t>
      </w:r>
      <w:r>
        <w:rPr>
          <w:rFonts w:ascii="宋体" w:hAnsi="宋体" w:cs="宋体" w:eastAsia="宋体" w:hint="ascii"/>
          <w:sz w:val="18"/>
        </w:rPr>
        <w:t>雷达信号处理</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1207</w:t>
      </w:r>
      <w:r>
        <w:rPr>
          <w:rFonts w:ascii="Times New Roman" w:hAnsi="Times New Roman" w:cs="Times New Roman" w:eastAsia="Times New Roman" w:hint="ascii"/>
          <w:sz w:val="18"/>
          <w:spacing w:val="45"/>
        </w:rPr>
        <w:t xml:space="preserve"> </w:t>
      </w:r>
      <w:r>
        <w:rPr>
          <w:rFonts w:ascii="宋体" w:hAnsi="宋体" w:cs="宋体" w:eastAsia="宋体" w:hint="ascii"/>
          <w:sz w:val="18"/>
        </w:rPr>
        <w:t>雷达目标检测与定位</w:t>
      </w:r>
    </w:p>
    <w:p>
      <w:pPr>
        <w:autoSpaceDE w:val="0"/>
        <w:autoSpaceDN w:val="0"/>
        <w:jc w:val="both"/>
        <w:spacing w:before="75" w:after="0" w:lineRule="auto" w:line="322"/>
        <w:ind w:right="36"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4"/>
        </w:rPr>
        <w:t>F0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1208</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雷达目标识别与</w:t>
      </w:r>
      <w:r>
        <w:rPr>
          <w:rFonts w:ascii="宋体" w:hAnsi="宋体" w:cs="宋体" w:eastAsia="宋体" w:hint="ascii"/>
          <w:sz w:val="18"/>
          <w:spacing w:val="-3"/>
        </w:rPr>
        <w:t>跟踪</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1209</w:t>
      </w:r>
      <w:r>
        <w:rPr>
          <w:rFonts w:ascii="Times New Roman" w:hAnsi="Times New Roman" w:cs="Times New Roman" w:eastAsia="Times New Roman" w:hint="ascii"/>
          <w:sz w:val="18"/>
          <w:spacing w:val="45"/>
        </w:rPr>
        <w:t xml:space="preserve"> </w:t>
      </w:r>
      <w:r>
        <w:rPr>
          <w:rFonts w:ascii="宋体" w:hAnsi="宋体" w:cs="宋体" w:eastAsia="宋体" w:hint="ascii"/>
          <w:sz w:val="18"/>
        </w:rPr>
        <w:t>毫米波雷达成像</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1210</w:t>
      </w:r>
      <w:r>
        <w:rPr>
          <w:rFonts w:ascii="Times New Roman" w:hAnsi="Times New Roman" w:cs="Times New Roman" w:eastAsia="Times New Roman" w:hint="ascii"/>
          <w:sz w:val="18"/>
          <w:spacing w:val="45"/>
        </w:rPr>
        <w:t xml:space="preserve"> </w:t>
      </w:r>
      <w:r>
        <w:rPr>
          <w:rFonts w:ascii="宋体" w:hAnsi="宋体" w:cs="宋体" w:eastAsia="宋体" w:hint="ascii"/>
          <w:sz w:val="18"/>
        </w:rPr>
        <w:t>太赫兹雷达成像</w:t>
      </w:r>
    </w:p>
    <w:p>
      <w:pPr>
        <w:autoSpaceDE w:val="0"/>
        <w:autoSpaceDN w:val="0"/>
        <w:jc w:val="both"/>
        <w:spacing w:before="75" w:after="0" w:lineRule="auto" w:line="322"/>
        <w:ind w:right="223"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5"/>
        </w:rPr>
        <w:t>F0</w:t>
      </w:r>
      <w:r>
        <w:rPr>
          <w:rFonts w:ascii="Times New Roman" w:hAnsi="Times New Roman" w:cs="Times New Roman" w:eastAsia="Times New Roman" w:hint="ascii"/>
          <w:sz w:val="18"/>
          <w:spacing w:val="-12"/>
        </w:rPr>
        <w:t>1</w:t>
      </w:r>
      <w:r>
        <w:rPr>
          <w:rFonts w:ascii="Times New Roman" w:hAnsi="Times New Roman" w:cs="Times New Roman" w:eastAsia="Times New Roman" w:hint="ascii"/>
          <w:sz w:val="18"/>
          <w:spacing w:val="-5"/>
        </w:rPr>
        <w:t>1</w:t>
      </w:r>
      <w:r>
        <w:rPr>
          <w:rFonts w:ascii="Times New Roman" w:hAnsi="Times New Roman" w:cs="Times New Roman" w:eastAsia="Times New Roman" w:hint="ascii"/>
          <w:sz w:val="18"/>
          <w:spacing w:val="-4"/>
        </w:rPr>
        <w:t>2</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成像雷达参数反演</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1212</w:t>
      </w:r>
      <w:r>
        <w:rPr>
          <w:rFonts w:ascii="Times New Roman" w:hAnsi="Times New Roman" w:cs="Times New Roman" w:eastAsia="Times New Roman" w:hint="ascii"/>
          <w:sz w:val="18"/>
          <w:spacing w:val="45"/>
        </w:rPr>
        <w:t xml:space="preserve"> </w:t>
      </w:r>
      <w:r>
        <w:rPr>
          <w:rFonts w:ascii="宋体" w:hAnsi="宋体" w:cs="宋体" w:eastAsia="宋体" w:hint="ascii"/>
          <w:sz w:val="18"/>
        </w:rPr>
        <w:t>软件雷达</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信息获取与处理</w:t>
      </w:r>
    </w:p>
    <w:p>
      <w:pPr>
        <w:autoSpaceDE w:val="0"/>
        <w:autoSpaceDN w:val="0"/>
        <w:jc w:val="left"/>
        <w:spacing w:before="7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1301</w:t>
      </w:r>
      <w:r>
        <w:rPr>
          <w:rFonts w:ascii="Times New Roman" w:hAnsi="Times New Roman" w:cs="Times New Roman" w:eastAsia="Times New Roman" w:hint="ascii"/>
          <w:sz w:val="18"/>
          <w:spacing w:val="45"/>
        </w:rPr>
        <w:t xml:space="preserve"> </w:t>
      </w:r>
      <w:r>
        <w:rPr>
          <w:rFonts w:ascii="宋体" w:hAnsi="宋体" w:cs="宋体" w:eastAsia="宋体" w:hint="ascii"/>
          <w:sz w:val="18"/>
        </w:rPr>
        <w:t>视觉信息获取与处理</w:t>
      </w:r>
    </w:p>
    <w:p>
      <w:pPr>
        <w:autoSpaceDE w:val="0"/>
        <w:autoSpaceDN w:val="0"/>
        <w:jc w:val="left"/>
        <w:spacing w:before="75"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1302</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网络信息获取与处理</w:t>
      </w:r>
    </w:p>
    <w:p>
      <w:pPr>
        <w:autoSpaceDE w:val="0"/>
        <w:autoSpaceDN w:val="0"/>
        <w:jc w:val="left"/>
        <w:spacing w:before="354"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1303</w:t>
      </w:r>
      <w:r>
        <w:rPr>
          <w:rFonts w:ascii="Times New Roman" w:hAnsi="Times New Roman" w:cs="Times New Roman" w:eastAsia="Times New Roman" w:hint="ascii"/>
          <w:sz w:val="18"/>
          <w:spacing w:val="45"/>
        </w:rPr>
        <w:t xml:space="preserve"> </w:t>
      </w:r>
      <w:r>
        <w:rPr>
          <w:rFonts w:ascii="宋体" w:hAnsi="宋体" w:cs="宋体" w:eastAsia="宋体" w:hint="ascii"/>
          <w:sz w:val="18"/>
        </w:rPr>
        <w:t>遥感信息处理</w:t>
      </w:r>
    </w:p>
    <w:p>
      <w:pPr>
        <w:autoSpaceDE w:val="0"/>
        <w:autoSpaceDN w:val="0"/>
        <w:jc w:val="left"/>
        <w:spacing w:before="73" w:after="0" w:lineRule="auto" w:line="320"/>
        <w:ind w:right="1144"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1304</w:t>
      </w:r>
      <w:r>
        <w:rPr>
          <w:rFonts w:ascii="Times New Roman" w:hAnsi="Times New Roman" w:cs="Times New Roman" w:eastAsia="Times New Roman" w:hint="ascii"/>
          <w:sz w:val="18"/>
          <w:spacing w:val="45"/>
        </w:rPr>
        <w:t xml:space="preserve"> </w:t>
      </w:r>
      <w:r>
        <w:rPr>
          <w:rFonts w:ascii="宋体" w:hAnsi="宋体" w:cs="宋体" w:eastAsia="宋体" w:hint="ascii"/>
          <w:sz w:val="18"/>
        </w:rPr>
        <w:t>遥感图像处理</w:t>
      </w:r>
      <w:r>
        <w:rPr>
          <w:rFonts w:ascii="Times New Roman" w:hAnsi="Times New Roman" w:cs="Times New Roman" w:eastAsia="Times New Roman" w:hint="ascii"/>
          <w:sz w:val="18"/>
          <w:spacing w:val="-4"/>
        </w:rPr>
        <w:t>F0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1305</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稀疏数据获取与</w:t>
      </w:r>
      <w:r>
        <w:rPr>
          <w:rFonts w:ascii="宋体" w:hAnsi="宋体" w:cs="宋体" w:eastAsia="宋体" w:hint="ascii"/>
          <w:sz w:val="18"/>
          <w:spacing w:val="-3"/>
        </w:rPr>
        <w:t>处理</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1306</w:t>
      </w:r>
      <w:r>
        <w:rPr>
          <w:rFonts w:ascii="Times New Roman" w:hAnsi="Times New Roman" w:cs="Times New Roman" w:eastAsia="Times New Roman" w:hint="ascii"/>
          <w:sz w:val="18"/>
          <w:spacing w:val="45"/>
        </w:rPr>
        <w:t xml:space="preserve"> </w:t>
      </w:r>
      <w:r>
        <w:rPr>
          <w:rFonts w:ascii="宋体" w:hAnsi="宋体" w:cs="宋体" w:eastAsia="宋体" w:hint="ascii"/>
          <w:sz w:val="18"/>
        </w:rPr>
        <w:t>遥感图像解译</w:t>
      </w:r>
      <w:r>
        <w:rPr>
          <w:rFonts w:ascii="Times New Roman" w:hAnsi="Times New Roman" w:cs="Times New Roman" w:eastAsia="Times New Roman" w:hint="ascii"/>
          <w:sz w:val="18"/>
          <w:spacing w:val="-1"/>
        </w:rPr>
        <w:t>F0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1307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遥</w:t>
      </w:r>
      <w:r>
        <w:rPr>
          <w:rFonts w:ascii="宋体" w:hAnsi="宋体" w:cs="宋体" w:eastAsia="宋体" w:hint="ascii"/>
          <w:sz w:val="18"/>
        </w:rPr>
        <w:t>感图像分类与检索</w:t>
      </w:r>
    </w:p>
    <w:p>
      <w:pPr>
        <w:autoSpaceDE w:val="0"/>
        <w:autoSpaceDN w:val="0"/>
        <w:jc w:val="left"/>
        <w:spacing w:before="0"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1308</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多源目标综合识别与</w:t>
      </w:r>
    </w:p>
    <w:p>
      <w:pPr>
        <w:autoSpaceDE w:val="0"/>
        <w:autoSpaceDN w:val="0"/>
        <w:jc w:val="left"/>
        <w:spacing w:before="7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跟踪</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1309</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空间信息获取与处理</w:t>
      </w:r>
    </w:p>
    <w:p>
      <w:pPr>
        <w:autoSpaceDE w:val="0"/>
        <w:autoSpaceDN w:val="0"/>
        <w:jc w:val="both"/>
        <w:spacing w:before="74" w:after="0" w:lineRule="auto" w:line="320"/>
        <w:ind w:right="1144"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4"/>
        </w:rPr>
        <w:t>F0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1310</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海洋信息获取与</w:t>
      </w:r>
      <w:r>
        <w:rPr>
          <w:rFonts w:ascii="宋体" w:hAnsi="宋体" w:cs="宋体" w:eastAsia="宋体" w:hint="ascii"/>
          <w:sz w:val="18"/>
          <w:spacing w:val="-3"/>
        </w:rPr>
        <w:t>处理</w:t>
      </w:r>
      <w:r>
        <w:rPr>
          <w:rFonts w:ascii="宋体" w:hAnsi="宋体" w:cs="宋体" w:eastAsia="宋体" w:hint="ascii"/>
          <w:sz w:val="18"/>
        </w:rPr>
        <w:t xml:space="preserve"> </w:t>
      </w:r>
      <w:r>
        <w:rPr>
          <w:rFonts w:ascii="Times New Roman" w:hAnsi="Times New Roman" w:cs="Times New Roman" w:eastAsia="Times New Roman" w:hint="ascii"/>
          <w:sz w:val="18"/>
          <w:spacing w:val="-1"/>
        </w:rPr>
        <w:t>F0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rPr>
        <w:t>13</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灾害信息获取与处理</w:t>
      </w:r>
    </w:p>
    <w:p>
      <w:pPr>
        <w:autoSpaceDE w:val="0"/>
        <w:autoSpaceDN w:val="0"/>
        <w:jc w:val="left"/>
        <w:spacing w:before="0" w:after="0" w:lineRule="auto" w:line="227"/>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探测与成像</w:t>
      </w:r>
    </w:p>
    <w:p>
      <w:pPr>
        <w:autoSpaceDE w:val="0"/>
        <w:autoSpaceDN w:val="0"/>
        <w:jc w:val="left"/>
        <w:spacing w:before="64"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工业无损声学检测与</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成像</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1402</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工业无损光学检测与</w:t>
      </w:r>
    </w:p>
    <w:p>
      <w:pPr>
        <w:autoSpaceDE w:val="0"/>
        <w:autoSpaceDN w:val="0"/>
        <w:jc w:val="left"/>
        <w:spacing w:before="6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成像</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1403</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工业无损电磁检测与</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成像</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1404</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工业无损多模检测与</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成像</w:t>
      </w:r>
    </w:p>
    <w:p>
      <w:pPr>
        <w:autoSpaceDE w:val="0"/>
        <w:autoSpaceDN w:val="0"/>
        <w:jc w:val="left"/>
        <w:spacing w:before="55" w:after="0" w:lineRule="auto" w:line="308"/>
        <w:ind w:right="1144"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1405</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水下探测与成像</w:t>
      </w:r>
      <w:r>
        <w:rPr>
          <w:rFonts w:ascii="Times New Roman" w:hAnsi="Times New Roman" w:cs="Times New Roman" w:eastAsia="Times New Roman" w:hint="ascii"/>
          <w:sz w:val="18"/>
          <w:spacing w:val="-1"/>
        </w:rPr>
        <w:t>F0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1406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水</w:t>
      </w:r>
      <w:r>
        <w:rPr>
          <w:rFonts w:ascii="宋体" w:hAnsi="宋体" w:cs="宋体" w:eastAsia="宋体" w:hint="ascii"/>
          <w:sz w:val="18"/>
        </w:rPr>
        <w:t>下目标识别、定位</w:t>
      </w:r>
    </w:p>
    <w:p>
      <w:pPr>
        <w:autoSpaceDE w:val="0"/>
        <w:autoSpaceDN w:val="0"/>
        <w:jc w:val="left"/>
        <w:spacing w:before="429496729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与跟踪</w:t>
      </w:r>
    </w:p>
    <w:p>
      <w:pPr>
        <w:autoSpaceDE w:val="0"/>
        <w:autoSpaceDN w:val="0"/>
        <w:jc w:val="left"/>
        <w:spacing w:before="5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1407</w:t>
      </w:r>
      <w:r>
        <w:rPr>
          <w:rFonts w:ascii="Times New Roman" w:hAnsi="Times New Roman" w:cs="Times New Roman" w:eastAsia="Times New Roman" w:hint="ascii"/>
          <w:sz w:val="18"/>
          <w:spacing w:val="45"/>
        </w:rPr>
        <w:t xml:space="preserve"> </w:t>
      </w:r>
      <w:r>
        <w:rPr>
          <w:rFonts w:ascii="宋体" w:hAnsi="宋体" w:cs="宋体" w:eastAsia="宋体" w:hint="ascii"/>
          <w:sz w:val="18"/>
        </w:rPr>
        <w:t>水声干扰与抑制</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1408</w:t>
      </w:r>
      <w:r>
        <w:rPr>
          <w:rFonts w:ascii="Times New Roman" w:hAnsi="Times New Roman" w:cs="Times New Roman" w:eastAsia="Times New Roman" w:hint="ascii"/>
          <w:sz w:val="18"/>
          <w:spacing w:val="45"/>
        </w:rPr>
        <w:t xml:space="preserve"> </w:t>
      </w:r>
      <w:r>
        <w:rPr>
          <w:rFonts w:ascii="宋体" w:hAnsi="宋体" w:cs="宋体" w:eastAsia="宋体" w:hint="ascii"/>
          <w:sz w:val="18"/>
        </w:rPr>
        <w:t>地下探测与成像</w:t>
      </w:r>
    </w:p>
    <w:p>
      <w:pPr>
        <w:autoSpaceDE w:val="0"/>
        <w:autoSpaceDN w:val="0"/>
        <w:jc w:val="left"/>
        <w:spacing w:before="61" w:after="0" w:lineRule="auto" w:line="307"/>
        <w:ind w:right="1144"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1409</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空间探测与成像</w:t>
      </w:r>
      <w:r>
        <w:rPr>
          <w:rFonts w:ascii="Times New Roman" w:hAnsi="Times New Roman" w:cs="Times New Roman" w:eastAsia="Times New Roman" w:hint="ascii"/>
          <w:sz w:val="18"/>
          <w:spacing w:val="-4"/>
        </w:rPr>
        <w:t>F0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1410</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瞬态成像理论与</w:t>
      </w:r>
      <w:r>
        <w:rPr>
          <w:rFonts w:ascii="宋体" w:hAnsi="宋体" w:cs="宋体" w:eastAsia="宋体" w:hint="ascii"/>
          <w:sz w:val="18"/>
          <w:spacing w:val="-3"/>
        </w:rPr>
        <w:t>应用</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电磁频谱探测</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1412</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多源协同探测</w:t>
      </w:r>
      <w:r>
        <w:rPr>
          <w:rFonts w:ascii="Times New Roman" w:hAnsi="Times New Roman" w:cs="Times New Roman" w:eastAsia="Times New Roman" w:hint="ascii"/>
          <w:sz w:val="18"/>
          <w:spacing w:val="-1"/>
        </w:rPr>
        <w:t>F0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1413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多</w:t>
      </w:r>
      <w:r>
        <w:rPr>
          <w:rFonts w:ascii="宋体" w:hAnsi="宋体" w:cs="宋体" w:eastAsia="宋体" w:hint="ascii"/>
          <w:sz w:val="18"/>
        </w:rPr>
        <w:t>探测器信息获取与</w: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融合</w:t>
      </w:r>
    </w:p>
    <w:p>
      <w:pPr>
        <w:autoSpaceDE w:val="0"/>
        <w:autoSpaceDN w:val="0"/>
        <w:jc w:val="left"/>
        <w:spacing w:before="55"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图像处理</w:t>
      </w:r>
    </w:p>
    <w:p>
      <w:pPr>
        <w:autoSpaceDE w:val="0"/>
        <w:autoSpaceDN w:val="0"/>
        <w:jc w:val="left"/>
        <w:spacing w:before="61" w:after="0" w:lineRule="auto" w:line="307"/>
        <w:ind w:right="1442"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2"/>
        </w:rPr>
        <w:t>F0</w:t>
      </w:r>
      <w:r>
        <w:rPr>
          <w:rFonts w:ascii="Times New Roman" w:hAnsi="Times New Roman" w:cs="Times New Roman" w:eastAsia="Times New Roman" w:hint="ascii"/>
          <w:sz w:val="18"/>
          <w:spacing w:val="-9"/>
        </w:rPr>
        <w:t>1</w:t>
      </w:r>
      <w:r>
        <w:rPr>
          <w:rFonts w:ascii="Times New Roman" w:hAnsi="Times New Roman" w:cs="Times New Roman" w:eastAsia="Times New Roman" w:hint="ascii"/>
          <w:sz w:val="18"/>
          <w:spacing w:val="-2"/>
        </w:rPr>
        <w:t>1501</w:t>
      </w:r>
      <w:r>
        <w:rPr>
          <w:rFonts w:ascii="Times New Roman" w:hAnsi="Times New Roman" w:cs="Times New Roman" w:eastAsia="Times New Roman" w:hint="ascii"/>
          <w:sz w:val="18"/>
          <w:spacing w:val="43"/>
        </w:rPr>
        <w:t xml:space="preserve"> </w:t>
      </w:r>
      <w:r>
        <w:rPr>
          <w:rFonts w:ascii="宋体" w:hAnsi="宋体" w:cs="宋体" w:eastAsia="宋体" w:hint="ascii"/>
          <w:sz w:val="18"/>
          <w:spacing w:val="-2"/>
        </w:rPr>
        <w:t>图像分割</w:t>
      </w:r>
      <w:r>
        <w:rPr>
          <w:rFonts w:ascii="宋体" w:hAnsi="宋体" w:cs="宋体" w:eastAsia="宋体" w:hint="ascii"/>
          <w:sz w:val="18"/>
          <w:spacing w:val="-1"/>
        </w:rPr>
        <w:t>与配准</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图像压缩</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图像去噪与增强</w:t>
      </w:r>
    </w:p>
    <w:p>
      <w:pPr>
        <w:autoSpaceDE w:val="0"/>
        <w:autoSpaceDN w:val="0"/>
        <w:jc w:val="left"/>
        <w:spacing w:before="0" w:after="0" w:lineRule="auto" w:line="239"/>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图像复原与修复</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1505</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图像重建</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1506</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图像安全</w:t>
      </w:r>
    </w:p>
    <w:p>
      <w:pPr>
        <w:autoSpaceDE w:val="0"/>
        <w:autoSpaceDN w:val="0"/>
        <w:jc w:val="left"/>
        <w:spacing w:before="61" w:after="0" w:lineRule="auto" w:line="308"/>
        <w:ind w:right="1442"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1507</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图像融合</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1508</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多模图像处理</w:t>
      </w:r>
    </w:p>
    <w:p>
      <w:pPr>
        <w:autoSpaceDE w:val="0"/>
        <w:autoSpaceDN w:val="0"/>
        <w:jc w:val="left"/>
        <w:spacing w:before="0" w:after="0" w:lineRule="auto" w:line="238"/>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图像表征与显示</w:t>
      </w:r>
    </w:p>
    <w:p>
      <w:pPr>
        <w:autoSpaceDE w:val="0"/>
        <w:autoSpaceDN w:val="0"/>
        <w:jc w:val="both"/>
        <w:spacing w:before="61" w:after="0" w:lineRule="auto" w:line="308"/>
        <w:ind w:right="1144"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4"/>
        </w:rPr>
        <w:t>F0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1601</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图像表征与特征</w:t>
      </w:r>
      <w:r>
        <w:rPr>
          <w:rFonts w:ascii="宋体" w:hAnsi="宋体" w:cs="宋体" w:eastAsia="宋体" w:hint="ascii"/>
          <w:sz w:val="18"/>
          <w:spacing w:val="-3"/>
        </w:rPr>
        <w:t>提取</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1602</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图像分析</w:t>
      </w:r>
    </w:p>
    <w:p>
      <w:pPr>
        <w:autoSpaceDE w:val="0"/>
        <w:autoSpaceDN w:val="0"/>
        <w:jc w:val="left"/>
        <w:spacing w:before="0" w:after="0" w:lineRule="auto" w:line="238"/>
        <w:ind w:right="0" w:left="662" w:firstLine="0"/>
        <w:snapToGrid w:val="0"/>
        <w:textAlignment w:val="auto"/>
        <w:tabs/>
        <w:sectPr>
          <w:type w:val="continuous"/>
          <w:pgSz w:w="10940" w:h="15080" w:orient="portrait"/>
          <w:pgMar w:top="508" w:right="508" w:bottom="508" w:left="508" w:header="0" w:footer="0" w:gutter="0"/>
          <w:cols w:num="2" w:space="0" w:equalWidth="0">
            <w:col w:w="4737" w:space="947"/>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1603</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图像质量评价</w:t>
      </w:r>
      <w:rPr>
        <w:rFonts w:ascii="宋体" w:hAnsi="宋体" w:cs="宋体" w:eastAsia="宋体" w:hint="ascii"/>
        <w:sz w:val="18"/>
      </w:rPr>
    </w:p>
    <w:p>
      <w:pPr>
        <w:autoSpaceDE w:val="0"/>
        <w:autoSpaceDN w:val="0"/>
        <w:jc w:val="left"/>
        <w:spacing w:before="283"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280</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1604</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图像显示</w:t>
      </w:r>
      <w:r>
        <w:rPr>
          <w:rFonts w:ascii="宋体" w:hAnsi="宋体" w:cs="宋体" w:eastAsia="宋体" w:hint="ascii"/>
          <w:sz w:val="18"/>
        </w:rPr>
        <mc:AlternateContent>
          <mc:Choice Requires="wps">
            <w:drawing>
              <wp:anchor distL="0" distR="0" distT="0" distB="0" simplePos="0" behindDoc="1" relativeHeight="362" locked="0" layoutInCell="1" allowOverlap="1">
                <wp:simplePos x="0" y="0"/>
                <wp:positionH relativeFrom="page">
                  <wp:posOffset>938530</wp:posOffset>
                </wp:positionH>
                <wp:positionV relativeFrom="page">
                  <wp:posOffset>819150</wp:posOffset>
                </wp:positionV>
                <wp:extent cx="5076190" cy="0"/>
                <wp:wrapNone/>
                <wp:docPr id="1389" name="138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87552;width:399.70pt;" id="138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多媒体信息处理</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1701</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计算摄像</w:t>
      </w:r>
    </w:p>
    <w:p>
      <w:pPr>
        <w:autoSpaceDE w:val="0"/>
        <w:autoSpaceDN w:val="0"/>
        <w:jc w:val="both"/>
        <w:spacing w:before="61"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4"/>
        </w:rPr>
        <w:t>F0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1702</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视频信息</w:t>
      </w:r>
      <w:r>
        <w:rPr>
          <w:rFonts w:ascii="宋体" w:hAnsi="宋体" w:cs="宋体" w:eastAsia="宋体" w:hint="ascii"/>
          <w:sz w:val="18"/>
          <w:spacing w:val="-3"/>
        </w:rPr>
        <w:t>采集与重建</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1703</w:t>
      </w:r>
      <w:r>
        <w:rPr>
          <w:rFonts w:ascii="Times New Roman" w:hAnsi="Times New Roman" w:cs="Times New Roman" w:eastAsia="Times New Roman" w:hint="ascii"/>
          <w:sz w:val="18"/>
          <w:spacing w:val="45"/>
        </w:rPr>
        <w:t xml:space="preserve"> </w:t>
      </w:r>
      <w:r>
        <w:rPr>
          <w:rFonts w:ascii="宋体" w:hAnsi="宋体" w:cs="宋体" w:eastAsia="宋体" w:hint="ascii"/>
          <w:sz w:val="18"/>
        </w:rPr>
        <w:t>视频监控</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1704</w:t>
      </w:r>
      <w:r>
        <w:rPr>
          <w:rFonts w:ascii="Times New Roman" w:hAnsi="Times New Roman" w:cs="Times New Roman" w:eastAsia="Times New Roman" w:hint="ascii"/>
          <w:sz w:val="18"/>
          <w:spacing w:val="45"/>
        </w:rPr>
        <w:t xml:space="preserve"> </w:t>
      </w:r>
      <w:r>
        <w:rPr>
          <w:rFonts w:ascii="宋体" w:hAnsi="宋体" w:cs="宋体" w:eastAsia="宋体" w:hint="ascii"/>
          <w:sz w:val="18"/>
        </w:rPr>
        <w:t>视频信息处理</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1705</w:t>
      </w:r>
      <w:r>
        <w:rPr>
          <w:rFonts w:ascii="Times New Roman" w:hAnsi="Times New Roman" w:cs="Times New Roman" w:eastAsia="Times New Roman" w:hint="ascii"/>
          <w:sz w:val="18"/>
          <w:spacing w:val="45"/>
        </w:rPr>
        <w:t xml:space="preserve"> </w:t>
      </w:r>
      <w:r>
        <w:rPr>
          <w:rFonts w:ascii="宋体" w:hAnsi="宋体" w:cs="宋体" w:eastAsia="宋体" w:hint="ascii"/>
          <w:sz w:val="18"/>
        </w:rPr>
        <w:t>音频信息处理</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1706</w:t>
      </w:r>
      <w:r>
        <w:rPr>
          <w:rFonts w:ascii="Times New Roman" w:hAnsi="Times New Roman" w:cs="Times New Roman" w:eastAsia="Times New Roman" w:hint="ascii"/>
          <w:sz w:val="18"/>
          <w:spacing w:val="45"/>
        </w:rPr>
        <w:t xml:space="preserve"> </w:t>
      </w:r>
      <w:r>
        <w:rPr>
          <w:rFonts w:ascii="宋体" w:hAnsi="宋体" w:cs="宋体" w:eastAsia="宋体" w:hint="ascii"/>
          <w:sz w:val="18"/>
        </w:rPr>
        <w:t>语音信息处理</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电路与系统</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1801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电路设计与测试</w:t>
      </w:r>
      <w:r>
        <w:rPr>
          <w:rFonts w:ascii="Times New Roman" w:hAnsi="Times New Roman" w:cs="Times New Roman" w:eastAsia="Times New Roman" w:hint="ascii"/>
          <w:sz w:val="18"/>
          <w:spacing w:val="-1"/>
        </w:rPr>
        <w:t>F0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802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电路与系统故障检测</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803</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非线性电路系统理论</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与技术</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1804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7"/>
        </w:rPr>
        <w:t>功能集成的电路</w:t>
      </w:r>
      <w:r>
        <w:rPr>
          <w:rFonts w:ascii="宋体" w:hAnsi="宋体" w:cs="宋体" w:eastAsia="宋体" w:hint="ascii"/>
          <w:sz w:val="18"/>
        </w:rPr>
        <w:t>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系</w:t>
      </w:r>
      <w:r>
        <w:rPr>
          <w:rFonts w:ascii="宋体" w:hAnsi="宋体" w:cs="宋体" w:eastAsia="宋体" w:hint="ascii"/>
          <w:sz w:val="18"/>
        </w:rPr>
        <w:t>统</w: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4"/>
        </w:rPr>
        <w:t>F0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1805</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功率电子</w:t>
      </w:r>
      <w:r>
        <w:rPr>
          <w:rFonts w:ascii="宋体" w:hAnsi="宋体" w:cs="宋体" w:eastAsia="宋体" w:hint="ascii"/>
          <w:sz w:val="18"/>
          <w:spacing w:val="-3"/>
        </w:rPr>
        <w:t>技术与系统</w:t>
      </w:r>
      <w:r>
        <w:rPr>
          <w:rFonts w:ascii="宋体" w:hAnsi="宋体" w:cs="宋体" w:eastAsia="宋体" w:hint="ascii"/>
          <w:sz w:val="18"/>
        </w:rPr>
        <w:t xml:space="preserve">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1806</w:t>
      </w:r>
      <w:r>
        <w:rPr>
          <w:rFonts w:ascii="Times New Roman" w:hAnsi="Times New Roman" w:cs="Times New Roman" w:eastAsia="Times New Roman" w:hint="ascii"/>
          <w:sz w:val="18"/>
          <w:spacing w:val="45"/>
        </w:rPr>
        <w:t xml:space="preserve"> </w:t>
      </w:r>
      <w:r>
        <w:rPr>
          <w:rFonts w:ascii="宋体" w:hAnsi="宋体" w:cs="宋体" w:eastAsia="宋体" w:hint="ascii"/>
          <w:sz w:val="18"/>
        </w:rPr>
        <w:t>射频技术与系统</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1807</w:t>
      </w:r>
      <w:r>
        <w:rPr>
          <w:rFonts w:ascii="Times New Roman" w:hAnsi="Times New Roman" w:cs="Times New Roman" w:eastAsia="Times New Roman" w:hint="ascii"/>
          <w:sz w:val="18"/>
          <w:spacing w:val="45"/>
        </w:rPr>
        <w:t xml:space="preserve"> </w:t>
      </w:r>
      <w:r>
        <w:rPr>
          <w:rFonts w:ascii="宋体" w:hAnsi="宋体" w:cs="宋体" w:eastAsia="宋体" w:hint="ascii"/>
          <w:sz w:val="18"/>
        </w:rPr>
        <w:t>电路与系统可靠性</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1808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电</w:t>
      </w:r>
      <w:r>
        <w:rPr>
          <w:rFonts w:ascii="宋体" w:hAnsi="宋体" w:cs="宋体" w:eastAsia="宋体" w:hint="ascii"/>
          <w:sz w:val="18"/>
          <w:spacing w:val="3"/>
        </w:rPr>
        <w:t>路与系统节能</w:t>
      </w:r>
      <w:r>
        <w:rPr>
          <w:rFonts w:ascii="宋体" w:hAnsi="宋体" w:cs="宋体" w:eastAsia="宋体" w:hint="ascii"/>
          <w:sz w:val="18"/>
        </w:rPr>
        <w:t>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安</w:t>
      </w:r>
      <w:r>
        <w:rPr>
          <w:rFonts w:ascii="宋体" w:hAnsi="宋体" w:cs="宋体" w:eastAsia="宋体" w:hint="ascii"/>
          <w:sz w:val="18"/>
        </w:rPr>
        <w:t>全</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电磁场</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电磁场理论</w:t>
      </w:r>
    </w:p>
    <w:p>
      <w:pPr>
        <w:autoSpaceDE w:val="0"/>
        <w:autoSpaceDN w:val="0"/>
        <w:jc w:val="left"/>
        <w:spacing w:before="68" w:after="0" w:lineRule="auto" w:line="313"/>
        <w:ind w:right="124"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1902</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计算电磁学</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1903</w:t>
      </w:r>
      <w:r>
        <w:rPr>
          <w:rFonts w:ascii="Times New Roman" w:hAnsi="Times New Roman" w:cs="Times New Roman" w:eastAsia="Times New Roman" w:hint="ascii"/>
          <w:sz w:val="18"/>
          <w:spacing w:val="45"/>
        </w:rPr>
        <w:t xml:space="preserve"> </w:t>
      </w:r>
      <w:r>
        <w:rPr>
          <w:rFonts w:ascii="宋体" w:hAnsi="宋体" w:cs="宋体" w:eastAsia="宋体" w:hint="ascii"/>
          <w:sz w:val="18"/>
        </w:rPr>
        <w:t xml:space="preserve">散射与逆散射 </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电磁兼容</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瞬</w:t>
      </w:r>
      <w:r>
        <w:rPr>
          <w:rFonts w:ascii="宋体" w:hAnsi="宋体" w:cs="宋体" w:eastAsia="宋体" w:hint="ascii"/>
          <w:sz w:val="18"/>
          <w:spacing w:val="3"/>
        </w:rPr>
        <w:t>态电磁场理论</w:t>
      </w:r>
      <w:r>
        <w:rPr>
          <w:rFonts w:ascii="宋体" w:hAnsi="宋体" w:cs="宋体" w:eastAsia="宋体" w:hint="ascii"/>
          <w:sz w:val="18"/>
        </w:rPr>
        <w:t>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应</w:t>
      </w:r>
      <w:r>
        <w:rPr>
          <w:rFonts w:ascii="宋体" w:hAnsi="宋体" w:cs="宋体" w:eastAsia="宋体" w:hint="ascii"/>
          <w:sz w:val="18"/>
        </w:rPr>
        <w:t>用</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1906</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人工电磁媒质</w:t>
      </w:r>
      <w:r>
        <w:rPr>
          <w:rFonts w:ascii="Times New Roman" w:hAnsi="Times New Roman" w:cs="Times New Roman" w:eastAsia="Times New Roman" w:hint="ascii"/>
          <w:sz w:val="18"/>
        </w:rPr>
        <w:t>F0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1907</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电磁环境及效应</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电磁波</w:t>
      </w:r>
    </w:p>
    <w:p>
      <w:pPr>
        <w:autoSpaceDE w:val="0"/>
        <w:autoSpaceDN w:val="0"/>
        <w:jc w:val="left"/>
        <w:spacing w:before="67" w:after="0" w:lineRule="auto" w:line="314"/>
        <w:ind w:right="2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F012001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电波传播</w:t>
      </w:r>
      <w:r>
        <w:rPr>
          <w:rFonts w:ascii="Times New Roman" w:hAnsi="Times New Roman" w:cs="Times New Roman" w:eastAsia="Times New Roman" w:hint="ascii"/>
          <w:sz w:val="18"/>
        </w:rPr>
        <w:t>F012002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天线理论与技术</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F012003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天</w:t>
      </w:r>
      <w:r>
        <w:rPr>
          <w:rFonts w:ascii="宋体" w:hAnsi="宋体" w:cs="宋体" w:eastAsia="宋体" w:hint="ascii"/>
          <w:sz w:val="18"/>
        </w:rPr>
        <w:t>线阵列理论与设计</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F012004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毫米波与亚毫米</w:t>
      </w:r>
      <w:r>
        <w:rPr>
          <w:rFonts w:ascii="宋体" w:hAnsi="宋体" w:cs="宋体" w:eastAsia="宋体" w:hint="ascii"/>
          <w:sz w:val="18"/>
        </w:rPr>
        <w:t>波</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p>
    <w:p>
      <w:pPr>
        <w:autoSpaceDE w:val="0"/>
        <w:autoSpaceDN w:val="0"/>
        <w:jc w:val="left"/>
        <w:spacing w:before="61" w:after="0" w:lineRule="auto" w:line="313"/>
        <w:ind w:right="2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F012005</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微波电路与器件</w:t>
      </w:r>
      <w:r>
        <w:rPr>
          <w:rFonts w:ascii="Times New Roman" w:hAnsi="Times New Roman" w:cs="Times New Roman" w:eastAsia="Times New Roman" w:hint="ascii"/>
          <w:sz w:val="18"/>
        </w:rPr>
        <w:t>F012006</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微波射频技术</w:t>
      </w:r>
      <w:r>
        <w:rPr>
          <w:rFonts w:ascii="Times New Roman" w:hAnsi="Times New Roman" w:cs="Times New Roman" w:eastAsia="Times New Roman" w:hint="ascii"/>
          <w:sz w:val="18"/>
        </w:rPr>
        <w:t>F012007</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微波系统</w:t>
      </w:r>
      <w:r>
        <w:rPr>
          <w:rFonts w:ascii="Times New Roman" w:hAnsi="Times New Roman" w:cs="Times New Roman" w:eastAsia="Times New Roman" w:hint="ascii"/>
          <w:sz w:val="18"/>
        </w:rPr>
        <w:t>F012008</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微波与天线测量</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F012009</w:t>
      </w:r>
      <w:r>
        <w:rPr>
          <w:rFonts w:ascii="Times New Roman" w:hAnsi="Times New Roman" w:cs="Times New Roman" w:eastAsia="Times New Roman" w:hint="ascii"/>
          <w:sz w:val="18"/>
          <w:spacing w:val="45"/>
        </w:rPr>
        <w:t xml:space="preserve"> </w:t>
      </w:r>
      <w:r>
        <w:rPr>
          <w:rFonts w:ascii="宋体" w:hAnsi="宋体" w:cs="宋体" w:eastAsia="宋体" w:hint="ascii"/>
          <w:sz w:val="18"/>
        </w:rPr>
        <w:t>太赫兹理论与技术</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F012010</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毫米波天线与系</w:t>
      </w:r>
      <w:r>
        <w:rPr>
          <w:rFonts w:ascii="宋体" w:hAnsi="宋体" w:cs="宋体" w:eastAsia="宋体" w:hint="ascii"/>
          <w:sz w:val="18"/>
        </w:rPr>
        <w:t>统</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集</w:t>
      </w:r>
      <w:r>
        <w:rPr>
          <w:rFonts w:ascii="宋体" w:hAnsi="宋体" w:cs="宋体" w:eastAsia="宋体" w:hint="ascii"/>
          <w:sz w:val="18"/>
        </w:rPr>
        <w:t>成</w:t>
      </w:r>
    </w:p>
    <w:p>
      <w:pPr>
        <w:autoSpaceDE w:val="0"/>
        <w:autoSpaceDN w:val="0"/>
        <w:jc w:val="left"/>
        <w:spacing w:before="327"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F0120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电磁能量获取与应用</w:t>
      </w:r>
    </w:p>
    <w:p>
      <w:pPr>
        <w:autoSpaceDE w:val="0"/>
        <w:autoSpaceDN w:val="0"/>
        <w:jc w:val="left"/>
        <w:spacing w:before="73"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微波光子学</w:t>
      </w:r>
    </w:p>
    <w:p>
      <w:pPr>
        <w:autoSpaceDE w:val="0"/>
        <w:autoSpaceDN w:val="0"/>
        <w:jc w:val="left"/>
        <w:spacing w:before="74"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微波光子链路与光载</w:t>
      </w:r>
    </w:p>
    <w:p>
      <w:pPr>
        <w:autoSpaceDE w:val="0"/>
        <w:autoSpaceDN w:val="0"/>
        <w:jc w:val="left"/>
        <w:spacing w:before="7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射频传输</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微波光子信号产生与</w:t>
      </w:r>
    </w:p>
    <w:p>
      <w:pPr>
        <w:autoSpaceDE w:val="0"/>
        <w:autoSpaceDN w:val="0"/>
        <w:jc w:val="left"/>
        <w:spacing w:before="7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处理</w:t>
      </w:r>
    </w:p>
    <w:p>
      <w:pPr>
        <w:autoSpaceDE w:val="0"/>
        <w:autoSpaceDN w:val="0"/>
        <w:jc w:val="left"/>
        <w:spacing w:before="67" w:after="0" w:lineRule="auto" w:line="320"/>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微波光子传感</w:t>
      </w:r>
      <w:r>
        <w:rPr>
          <w:rFonts w:ascii="Times New Roman" w:hAnsi="Times New Roman" w:cs="Times New Roman" w:eastAsia="Times New Roman" w:hint="ascii"/>
          <w:sz w:val="18"/>
        </w:rPr>
        <w:t>F012104</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微波光子雷达</w:t>
      </w:r>
      <w:r>
        <w:rPr>
          <w:rFonts w:ascii="Times New Roman" w:hAnsi="Times New Roman" w:cs="Times New Roman" w:eastAsia="Times New Roman" w:hint="ascii"/>
          <w:sz w:val="18"/>
        </w:rPr>
        <w:t>F012105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微波光子检测</w:t>
      </w:r>
      <w:r>
        <w:rPr>
          <w:rFonts w:ascii="Times New Roman" w:hAnsi="Times New Roman" w:cs="Times New Roman" w:eastAsia="Times New Roman" w:hint="ascii"/>
          <w:sz w:val="18"/>
        </w:rPr>
        <w:t>F012106</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微波光子系统</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物理电子学</w:t>
      </w:r>
    </w:p>
    <w:p>
      <w:pPr>
        <w:autoSpaceDE w:val="0"/>
        <w:autoSpaceDN w:val="0"/>
        <w:jc w:val="left"/>
        <w:spacing w:before="74" w:after="0" w:lineRule="auto" w:line="320"/>
        <w:ind w:right="124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真空电子学</w:t>
      </w:r>
      <w:r>
        <w:rPr>
          <w:rFonts w:ascii="Times New Roman" w:hAnsi="Times New Roman" w:cs="Times New Roman" w:eastAsia="Times New Roman" w:hint="ascii"/>
          <w:sz w:val="18"/>
        </w:rPr>
        <w:t>F012202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相对论电子学</w:t>
      </w:r>
      <w:r>
        <w:rPr>
          <w:rFonts w:ascii="Times New Roman" w:hAnsi="Times New Roman" w:cs="Times New Roman" w:eastAsia="Times New Roman" w:hint="ascii"/>
          <w:sz w:val="18"/>
          <w:spacing w:val="-2"/>
        </w:rPr>
        <w:t>F0</w:t>
      </w:r>
      <w:r>
        <w:rPr>
          <w:rFonts w:ascii="Times New Roman" w:hAnsi="Times New Roman" w:cs="Times New Roman" w:eastAsia="Times New Roman" w:hint="ascii"/>
          <w:sz w:val="18"/>
          <w:spacing w:val="-1"/>
        </w:rPr>
        <w:t>12203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5"/>
        </w:rPr>
        <w:t>量子与等离子体</w:t>
      </w:r>
      <w:r>
        <w:rPr>
          <w:rFonts w:ascii="宋体" w:hAnsi="宋体" w:cs="宋体" w:eastAsia="宋体" w:hint="ascii"/>
          <w:sz w:val="18"/>
        </w:rPr>
        <w:t>电</w: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子</w:t>
      </w:r>
      <w:r>
        <w:rPr>
          <w:rFonts w:ascii="宋体" w:hAnsi="宋体" w:cs="宋体" w:eastAsia="宋体" w:hint="ascii"/>
          <w:sz w:val="18"/>
        </w:rPr>
        <w:t>学</w:t>
      </w:r>
    </w:p>
    <w:p>
      <w:pPr>
        <w:autoSpaceDE w:val="0"/>
        <w:autoSpaceDN w:val="0"/>
        <w:jc w:val="both"/>
        <w:spacing w:before="67" w:after="0" w:lineRule="auto" w:line="320"/>
        <w:ind w:right="185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超</w:t>
      </w:r>
      <w:r>
        <w:rPr>
          <w:rFonts w:ascii="宋体" w:hAnsi="宋体" w:cs="宋体" w:eastAsia="宋体" w:hint="ascii"/>
          <w:sz w:val="18"/>
        </w:rPr>
        <w:t>导电子学</w:t>
      </w:r>
      <w:r>
        <w:rPr>
          <w:rFonts w:ascii="Times New Roman" w:hAnsi="Times New Roman" w:cs="Times New Roman" w:eastAsia="Times New Roman" w:hint="ascii"/>
          <w:sz w:val="18"/>
        </w:rPr>
        <w:t>F012205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纳电子学</w:t>
      </w:r>
    </w:p>
    <w:p>
      <w:pPr>
        <w:autoSpaceDE w:val="0"/>
        <w:autoSpaceDN w:val="0"/>
        <w:jc w:val="left"/>
        <w:spacing w:before="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F012206</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表面和薄膜电子学</w:t>
      </w:r>
    </w:p>
    <w:p>
      <w:pPr>
        <w:autoSpaceDE w:val="0"/>
        <w:autoSpaceDN w:val="0"/>
        <w:jc w:val="both"/>
        <w:spacing w:before="73" w:after="0" w:lineRule="auto" w:line="320"/>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F012207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型电磁材料与器件</w:t>
      </w:r>
      <w:r>
        <w:rPr>
          <w:rFonts w:ascii="Times New Roman" w:hAnsi="Times New Roman" w:cs="Times New Roman" w:eastAsia="Times New Roman" w:hint="ascii"/>
          <w:sz w:val="18"/>
        </w:rPr>
        <w:t>F012208</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分子电子学</w:t>
      </w:r>
    </w:p>
    <w:p>
      <w:pPr>
        <w:autoSpaceDE w:val="0"/>
        <w:autoSpaceDN w:val="0"/>
        <w:jc w:val="left"/>
        <w:spacing w:before="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F012209</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电子显微学</w:t>
      </w:r>
    </w:p>
    <w:p>
      <w:pPr>
        <w:autoSpaceDE w:val="0"/>
        <w:autoSpaceDN w:val="0"/>
        <w:jc w:val="left"/>
        <w:spacing w:before="73"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敏感电子学与传感器</w:t>
      </w:r>
    </w:p>
    <w:p>
      <w:pPr>
        <w:autoSpaceDE w:val="0"/>
        <w:autoSpaceDN w:val="0"/>
        <w:jc w:val="left"/>
        <w:spacing w:before="73"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F012301</w:t>
      </w:r>
      <w:r>
        <w:rPr>
          <w:rFonts w:ascii="Times New Roman" w:hAnsi="Times New Roman" w:cs="Times New Roman" w:eastAsia="Times New Roman" w:hint="ascii"/>
          <w:sz w:val="18"/>
          <w:spacing w:val="45"/>
        </w:rPr>
        <w:t xml:space="preserve"> </w:t>
      </w:r>
      <w:r>
        <w:rPr>
          <w:rFonts w:ascii="宋体" w:hAnsi="宋体" w:cs="宋体" w:eastAsia="宋体" w:hint="ascii"/>
          <w:sz w:val="18"/>
        </w:rPr>
        <w:t>物理信息传感机理与</w:t>
      </w:r>
    </w:p>
    <w:p>
      <w:pPr>
        <w:autoSpaceDE w:val="0"/>
        <w:autoSpaceDN w:val="0"/>
        <w:jc w:val="left"/>
        <w:spacing w:before="7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传感器</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化学信息传感机理与</w:t>
      </w:r>
    </w:p>
    <w:p>
      <w:pPr>
        <w:autoSpaceDE w:val="0"/>
        <w:autoSpaceDN w:val="0"/>
        <w:jc w:val="left"/>
        <w:spacing w:before="7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传感器</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生化信息传感机理与</w:t>
      </w:r>
    </w:p>
    <w:p>
      <w:pPr>
        <w:autoSpaceDE w:val="0"/>
        <w:autoSpaceDN w:val="0"/>
        <w:jc w:val="left"/>
        <w:spacing w:before="7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传感器</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生物信息传感机理与</w:t>
      </w:r>
    </w:p>
    <w:p>
      <w:pPr>
        <w:autoSpaceDE w:val="0"/>
        <w:autoSpaceDN w:val="0"/>
        <w:jc w:val="left"/>
        <w:spacing w:before="7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传感器</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微纳传感器原理</w:t>
      </w:r>
      <w:r>
        <w:rPr>
          <w:rFonts w:ascii="宋体" w:hAnsi="宋体" w:cs="宋体" w:eastAsia="宋体" w:hint="ascii"/>
          <w:sz w:val="18"/>
        </w:rPr>
        <w:t>与</w:t>
      </w:r>
    </w:p>
    <w:p>
      <w:pPr>
        <w:autoSpaceDE w:val="0"/>
        <w:autoSpaceDN w:val="0"/>
        <w:jc w:val="left"/>
        <w:spacing w:before="7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检</w:t>
      </w:r>
      <w:r>
        <w:rPr>
          <w:rFonts w:ascii="宋体" w:hAnsi="宋体" w:cs="宋体" w:eastAsia="宋体" w:hint="ascii"/>
          <w:sz w:val="18"/>
        </w:rPr>
        <w:t>测</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F012306</w:t>
      </w:r>
      <w:r>
        <w:rPr>
          <w:rFonts w:ascii="Times New Roman" w:hAnsi="Times New Roman" w:cs="Times New Roman" w:eastAsia="Times New Roman" w:hint="ascii"/>
          <w:sz w:val="18"/>
          <w:spacing w:val="45"/>
        </w:rPr>
        <w:t xml:space="preserve"> </w:t>
      </w:r>
      <w:r>
        <w:rPr>
          <w:rFonts w:ascii="宋体" w:hAnsi="宋体" w:cs="宋体" w:eastAsia="宋体" w:hint="ascii"/>
          <w:sz w:val="18"/>
        </w:rPr>
        <w:t>多功能传感器与集成</w:t>
      </w:r>
    </w:p>
    <w:p>
      <w:pPr>
        <w:autoSpaceDE w:val="0"/>
        <w:autoSpaceDN w:val="0"/>
        <w:jc w:val="left"/>
        <w:spacing w:before="73"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系统</w:t>
      </w:r>
    </w:p>
    <w:p>
      <w:pPr>
        <w:autoSpaceDE w:val="0"/>
        <w:autoSpaceDN w:val="0"/>
        <w:jc w:val="left"/>
        <w:spacing w:before="67" w:after="0" w:lineRule="auto" w:line="321"/>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F012307</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新型敏感材料</w:t>
      </w:r>
      <w:r>
        <w:rPr>
          <w:rFonts w:ascii="Times New Roman" w:hAnsi="Times New Roman" w:cs="Times New Roman" w:eastAsia="Times New Roman" w:hint="ascii"/>
          <w:sz w:val="18"/>
        </w:rPr>
        <w:t>F012308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传感器信息融合</w:t>
      </w:r>
      <w:r>
        <w:rPr>
          <w:rFonts w:ascii="宋体" w:hAnsi="宋体" w:cs="宋体" w:eastAsia="宋体" w:hint="ascii"/>
          <w:sz w:val="18"/>
        </w:rPr>
        <w:t>与</w:t>
      </w:r>
    </w:p>
    <w:p>
      <w:pPr>
        <w:autoSpaceDE w:val="0"/>
        <w:autoSpaceDN w:val="0"/>
        <w:jc w:val="left"/>
        <w:spacing w:before="429496729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处</w:t>
      </w:r>
      <w:r>
        <w:rPr>
          <w:rFonts w:ascii="宋体" w:hAnsi="宋体" w:cs="宋体" w:eastAsia="宋体" w:hint="ascii"/>
          <w:sz w:val="18"/>
        </w:rPr>
        <w:t>理</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仿生传感机理与</w:t>
      </w:r>
      <w:r>
        <w:rPr>
          <w:rFonts w:ascii="宋体" w:hAnsi="宋体" w:cs="宋体" w:eastAsia="宋体" w:hint="ascii"/>
          <w:sz w:val="18"/>
        </w:rPr>
        <w:t>传</w:t>
      </w:r>
    </w:p>
    <w:p>
      <w:pPr>
        <w:autoSpaceDE w:val="0"/>
        <w:autoSpaceDN w:val="0"/>
        <w:jc w:val="left"/>
        <w:spacing w:before="74"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感</w:t>
      </w:r>
      <w:r>
        <w:rPr>
          <w:rFonts w:ascii="宋体" w:hAnsi="宋体" w:cs="宋体" w:eastAsia="宋体" w:hint="ascii"/>
          <w:sz w:val="18"/>
        </w:rPr>
        <w:t>器</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F012310</w:t>
      </w:r>
      <w:r>
        <w:rPr>
          <w:rFonts w:ascii="Times New Roman" w:hAnsi="Times New Roman" w:cs="Times New Roman" w:eastAsia="Times New Roman" w:hint="ascii"/>
          <w:sz w:val="18"/>
          <w:spacing w:val="45"/>
        </w:rPr>
        <w:t xml:space="preserve"> </w:t>
      </w:r>
      <w:r>
        <w:rPr>
          <w:rFonts w:ascii="宋体" w:hAnsi="宋体" w:cs="宋体" w:eastAsia="宋体" w:hint="ascii"/>
          <w:sz w:val="18"/>
        </w:rPr>
        <w:t>穿戴式敏感材料与传</w:t>
      </w:r>
    </w:p>
    <w:p>
      <w:pPr>
        <w:autoSpaceDE w:val="0"/>
        <w:autoSpaceDN w:val="0"/>
        <w:jc w:val="left"/>
        <w:spacing w:before="73" w:after="0" w:lineRule="exact" w:line="225"/>
        <w:ind w:right="0" w:left="1490" w:firstLine="0"/>
        <w:snapToGrid w:val="0"/>
        <w:textAlignment w:val="auto"/>
        <w:tabs/>
        <w:sectPr>
          <w:type w:val="continuous"/>
          <w:pgSz w:w="10940" w:h="15080" w:orient="portrait"/>
          <w:pgMar w:top="508" w:right="508" w:bottom="508" w:left="508" w:header="0" w:footer="0" w:gutter="0"/>
          <w:cols w:num="2" w:space="0" w:equalWidth="0">
            <w:col w:w="4707" w:space="977"/>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感器</w:t>
      </w:r>
      <w:rPr>
        <w:rFonts w:ascii="宋体" w:hAnsi="宋体" w:cs="宋体" w:eastAsia="宋体" w:hint="ascii"/>
        <w:sz w:val="18"/>
      </w:rPr>
    </w:p>
    <w:p>
      <w:pPr>
        <w:autoSpaceDE w:val="0"/>
        <w:autoSpaceDN w:val="0"/>
        <w:jc w:val="left"/>
        <w:spacing w:before="464"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F0124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生物电子学与生物信息处理</w:t>
      </w:r>
      <w:r>
        <w:rPr>
          <w:rFonts w:ascii="宋体" w:hAnsi="宋体" w:cs="宋体" w:eastAsia="宋体" w:hint="ascii"/>
          <w:sz w:val="18"/>
        </w:rPr>
        <mc:AlternateContent>
          <mc:Choice Requires="wps">
            <w:drawing>
              <wp:anchor distL="0" distR="0" distT="0" distB="0" simplePos="0" behindDoc="1" relativeHeight="363" locked="0" layoutInCell="1" allowOverlap="1">
                <wp:simplePos x="0" y="0"/>
                <wp:positionH relativeFrom="page">
                  <wp:posOffset>938530</wp:posOffset>
                </wp:positionH>
                <wp:positionV relativeFrom="page">
                  <wp:posOffset>805815</wp:posOffset>
                </wp:positionV>
                <wp:extent cx="5076190" cy="0"/>
                <wp:wrapNone/>
                <wp:docPr id="1390" name="139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86528;width:399.70pt;" id="139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auto" w:line="313"/>
        <w:ind w:right="11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生物电子学</w:t>
      </w:r>
      <w:r>
        <w:rPr>
          <w:rFonts w:ascii="Times New Roman" w:hAnsi="Times New Roman" w:cs="Times New Roman" w:eastAsia="Times New Roman" w:hint="ascii"/>
          <w:sz w:val="18"/>
        </w:rPr>
        <w:t>F012402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电磁场生物效应</w:t>
      </w:r>
      <w:r>
        <w:rPr>
          <w:rFonts w:ascii="Times New Roman" w:hAnsi="Times New Roman" w:cs="Times New Roman" w:eastAsia="Times New Roman" w:hint="ascii"/>
          <w:sz w:val="18"/>
        </w:rPr>
        <w:t>F012403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生物电磁信号检测</w:t>
      </w:r>
      <w:r>
        <w:rPr>
          <w:rFonts w:ascii="Times New Roman" w:hAnsi="Times New Roman" w:cs="Times New Roman" w:eastAsia="Times New Roman" w:hint="ascii"/>
          <w:sz w:val="18"/>
        </w:rPr>
        <w:t>F012404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生物分子信息检测</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物信息处理与分析</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F012406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物细胞信号处理与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分析</w:t>
      </w:r>
    </w:p>
    <w:p>
      <w:pPr>
        <w:autoSpaceDE w:val="0"/>
        <w:autoSpaceDN w:val="0"/>
        <w:jc w:val="both"/>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F012407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物信息网络与模型</w:t>
      </w:r>
      <w:r>
        <w:rPr>
          <w:rFonts w:ascii="Times New Roman" w:hAnsi="Times New Roman" w:cs="Times New Roman" w:eastAsia="Times New Roman" w:hint="ascii"/>
          <w:sz w:val="18"/>
          <w:spacing w:val="-1"/>
        </w:rPr>
        <w:t>F012408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物信息系统建模与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仿真</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F012409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物数据分析与应用</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F0125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医学信息检测与处理</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F012501</w:t>
      </w:r>
      <w:r>
        <w:rPr>
          <w:rFonts w:ascii="Times New Roman" w:hAnsi="Times New Roman" w:cs="Times New Roman" w:eastAsia="Times New Roman" w:hint="ascii"/>
          <w:sz w:val="18"/>
          <w:spacing w:val="45"/>
        </w:rPr>
        <w:t xml:space="preserve"> </w:t>
      </w:r>
      <w:r>
        <w:rPr>
          <w:rFonts w:ascii="宋体" w:hAnsi="宋体" w:cs="宋体" w:eastAsia="宋体" w:hint="ascii"/>
          <w:sz w:val="18"/>
        </w:rPr>
        <w:t>医学成像检测</w:t>
      </w:r>
      <w:r>
        <w:rPr>
          <w:rFonts w:ascii="Times New Roman" w:hAnsi="Times New Roman" w:cs="Times New Roman" w:eastAsia="Times New Roman" w:hint="ascii"/>
          <w:sz w:val="18"/>
        </w:rPr>
        <w:t>F012502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医学电生理检测</w:t>
      </w:r>
      <w:r>
        <w:rPr>
          <w:rFonts w:ascii="Times New Roman" w:hAnsi="Times New Roman" w:cs="Times New Roman" w:eastAsia="Times New Roman" w:hint="ascii"/>
          <w:sz w:val="18"/>
        </w:rPr>
        <w:t>F012503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医学生理信息检测</w:t>
      </w:r>
      <w:r>
        <w:rPr>
          <w:rFonts w:ascii="Times New Roman" w:hAnsi="Times New Roman" w:cs="Times New Roman" w:eastAsia="Times New Roman" w:hint="ascii"/>
          <w:sz w:val="18"/>
        </w:rPr>
        <w:t>F012504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医学影像处理</w:t>
      </w:r>
      <w:r>
        <w:rPr>
          <w:rFonts w:ascii="Times New Roman" w:hAnsi="Times New Roman" w:cs="Times New Roman" w:eastAsia="Times New Roman" w:hint="ascii"/>
          <w:sz w:val="18"/>
          <w:spacing w:val="-1"/>
        </w:rPr>
        <w:t>F012505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中</w:t>
      </w:r>
      <w:r>
        <w:rPr>
          <w:rFonts w:ascii="宋体" w:hAnsi="宋体" w:cs="宋体" w:eastAsia="宋体" w:hint="ascii"/>
          <w:sz w:val="18"/>
        </w:rPr>
        <w:t>医信息获取与处理</w:t>
      </w:r>
      <w:r>
        <w:rPr>
          <w:rFonts w:ascii="Times New Roman" w:hAnsi="Times New Roman" w:cs="Times New Roman" w:eastAsia="Times New Roman" w:hint="ascii"/>
          <w:sz w:val="18"/>
          <w:spacing w:val="-1"/>
        </w:rPr>
        <w:t>F012506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中</w:t>
      </w:r>
      <w:r>
        <w:rPr>
          <w:rFonts w:ascii="宋体" w:hAnsi="宋体" w:cs="宋体" w:eastAsia="宋体" w:hint="ascii"/>
          <w:sz w:val="18"/>
        </w:rPr>
        <w:t>药成分检测与分析</w:t>
      </w:r>
      <w:r>
        <w:rPr>
          <w:rFonts w:ascii="Times New Roman" w:hAnsi="Times New Roman" w:cs="Times New Roman" w:eastAsia="Times New Roman" w:hint="ascii"/>
          <w:sz w:val="18"/>
          <w:spacing w:val="-1"/>
        </w:rPr>
        <w:t>F012507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神</w:t>
      </w:r>
      <w:r>
        <w:rPr>
          <w:rFonts w:ascii="宋体" w:hAnsi="宋体" w:cs="宋体" w:eastAsia="宋体" w:hint="ascii"/>
          <w:sz w:val="18"/>
        </w:rPr>
        <w:t>经信息获取与处理</w:t>
      </w:r>
      <w:r>
        <w:rPr>
          <w:rFonts w:ascii="Times New Roman" w:hAnsi="Times New Roman" w:cs="Times New Roman" w:eastAsia="Times New Roman" w:hint="ascii"/>
          <w:sz w:val="18"/>
          <w:spacing w:val="-1"/>
        </w:rPr>
        <w:t>F012508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医</w:t>
      </w:r>
      <w:r>
        <w:rPr>
          <w:rFonts w:ascii="宋体" w:hAnsi="宋体" w:cs="宋体" w:eastAsia="宋体" w:hint="ascii"/>
          <w:sz w:val="18"/>
        </w:rPr>
        <w:t>学光谱信息检测与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处理</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F012509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精</w:t>
      </w:r>
      <w:r>
        <w:rPr>
          <w:rFonts w:ascii="宋体" w:hAnsi="宋体" w:cs="宋体" w:eastAsia="宋体" w:hint="ascii"/>
          <w:sz w:val="18"/>
        </w:rPr>
        <w:t>准医学信息获取与</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处理</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F012510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医</w:t>
      </w:r>
      <w:r>
        <w:rPr>
          <w:rFonts w:ascii="宋体" w:hAnsi="宋体" w:cs="宋体" w:eastAsia="宋体" w:hint="ascii"/>
          <w:sz w:val="18"/>
        </w:rPr>
        <w:t>学影像重建与手术</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导航</w:t>
      </w:r>
    </w:p>
    <w:p>
      <w:pPr>
        <w:autoSpaceDE w:val="0"/>
        <w:autoSpaceDN w:val="0"/>
        <w:jc w:val="both"/>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4"/>
        </w:rPr>
        <w:t>F0125</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医学信息</w:t>
      </w:r>
      <w:r>
        <w:rPr>
          <w:rFonts w:ascii="宋体" w:hAnsi="宋体" w:cs="宋体" w:eastAsia="宋体" w:hint="ascii"/>
          <w:sz w:val="18"/>
          <w:spacing w:val="-3"/>
        </w:rPr>
        <w:t>融合与应用</w:t>
      </w:r>
      <w:r>
        <w:rPr>
          <w:rFonts w:ascii="宋体" w:hAnsi="宋体" w:cs="宋体" w:eastAsia="宋体" w:hint="ascii"/>
          <w:sz w:val="18"/>
        </w:rPr>
        <w:t xml:space="preserve"> </w:t>
      </w:r>
      <w:r>
        <w:rPr>
          <w:rFonts w:ascii="Times New Roman" w:hAnsi="Times New Roman" w:cs="Times New Roman" w:eastAsia="Times New Roman" w:hint="ascii"/>
          <w:sz w:val="18"/>
        </w:rPr>
        <w:t>F012512</w:t>
      </w:r>
      <w:r>
        <w:rPr>
          <w:rFonts w:ascii="Times New Roman" w:hAnsi="Times New Roman" w:cs="Times New Roman" w:eastAsia="Times New Roman" w:hint="ascii"/>
          <w:sz w:val="18"/>
          <w:spacing w:val="45"/>
        </w:rPr>
        <w:t xml:space="preserve"> </w:t>
      </w:r>
      <w:r>
        <w:rPr>
          <w:rFonts w:ascii="宋体" w:hAnsi="宋体" w:cs="宋体" w:eastAsia="宋体" w:hint="ascii"/>
          <w:sz w:val="18"/>
        </w:rPr>
        <w:t>医学信息系统</w:t>
      </w:r>
      <w:r>
        <w:rPr>
          <w:rFonts w:ascii="宋体" w:hAnsi="宋体" w:cs="宋体" w:eastAsia="宋体" w:hint="ascii"/>
          <w:sz w:val="18"/>
        </w:rPr>
        <mc:AlternateContent>
          <mc:Choice Requires="wps">
            <w:drawing>
              <wp:anchor distL="0" distR="0" distT="0" distB="0" simplePos="0" behindDoc="1" relativeHeight="364" locked="0" layoutInCell="1" allowOverlap="1">
                <wp:simplePos x="0" y="0"/>
                <wp:positionH relativeFrom="page">
                  <wp:posOffset>826135</wp:posOffset>
                </wp:positionH>
                <wp:positionV relativeFrom="page">
                  <wp:posOffset>5852160</wp:posOffset>
                </wp:positionV>
                <wp:extent cx="0" cy="181610"/>
                <wp:wrapNone/>
                <wp:docPr id="1391" name="1391"/>
                <wp:cNvGraphicFramePr/>
                <a:graphic>
                  <a:graphicData uri="http://schemas.microsoft.com/office/word/2010/wordprocessingShape">
                    <wps:wsp>
                      <wps:cNvSpPr/>
                      <wps:spPr>
                        <a:xfrm>
                          <a:off x="0" y="0"/>
                          <a:ext cx="0" cy="181610"/>
                        </a:xfrm>
                        <a:prstGeom prst="line"/>
                        <a:solidFill>
                          <a:srgbClr val="000000"/>
                        </a:solidFill>
                        <a:ln w="8890" cap="rnd">
                          <a:solidFill>
                            <a:srgbClr val="00000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65.05pt;mso-position-vertical:absolute;mso-position-vertical-relative:page;margin-top:460.80pt;z-index:-251285504;height:14.30pt;" id="1391" coordsize="0,286" strokeweight="0.70pt" fillcolor="#000000" from="0.00pt, 0.00pt" to="0.00pt, 14.30pt">
                <v:stroke endcap="round"/>
                <w10:wrap anchorx="page" anchory="page" side="both"/>
              </v:line>
            </w:pict>
          </mc:Fallback>
        </mc:AlternateContent>
      </w:r>
    </w:p>
    <w:p>
      <w:pPr>
        <w:autoSpaceDE w:val="0"/>
        <w:autoSpaceDN w:val="0"/>
        <w:jc w:val="left"/>
        <w:spacing w:before="0" w:after="0" w:lineRule="auto" w:line="23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F02</w:t>
      </w:r>
      <w:r>
        <w:rPr>
          <w:rFonts w:ascii="Times New Roman" w:hAnsi="Times New Roman" w:cs="Times New Roman" w:eastAsia="Times New Roman" w:hint="ascii"/>
          <w:b w:val="1"/>
          <w:spacing w:val="60"/>
        </w:rPr>
        <w:t xml:space="preserve"> </w:t>
      </w:r>
      <w:r>
        <w:rPr>
          <w:rFonts w:ascii="宋体" w:hAnsi="宋体" w:cs="宋体" w:eastAsia="宋体" w:hint="ascii"/>
        </w:rPr>
        <w:t>计算机科学</w:t>
      </w:r>
    </w:p>
    <w:p>
      <w:pPr>
        <w:autoSpaceDE w:val="0"/>
        <w:autoSpaceDN w:val="0"/>
        <w:jc w:val="left"/>
        <w:spacing w:before="9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计算机科学的基础理论</w:t>
      </w:r>
    </w:p>
    <w:p>
      <w:pPr>
        <w:autoSpaceDE w:val="0"/>
        <w:autoSpaceDN w:val="0"/>
        <w:jc w:val="left"/>
        <w:spacing w:before="67" w:after="0" w:lineRule="auto" w:line="313"/>
        <w:ind w:right="29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理论计算机科学</w:t>
      </w:r>
      <w:r>
        <w:rPr>
          <w:rFonts w:ascii="Times New Roman" w:hAnsi="Times New Roman" w:cs="Times New Roman" w:eastAsia="Times New Roman" w:hint="ascii"/>
          <w:sz w:val="18"/>
        </w:rPr>
        <w:t>F020102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新型计算模型</w:t>
      </w:r>
      <w:r>
        <w:rPr>
          <w:rFonts w:ascii="Times New Roman" w:hAnsi="Times New Roman" w:cs="Times New Roman" w:eastAsia="Times New Roman" w:hint="ascii"/>
          <w:sz w:val="18"/>
        </w:rPr>
        <w:t>F020103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计算机编码理论</w:t>
      </w:r>
      <w:r>
        <w:rPr>
          <w:rFonts w:ascii="Times New Roman" w:hAnsi="Times New Roman" w:cs="Times New Roman" w:eastAsia="Times New Roman" w:hint="ascii"/>
          <w:sz w:val="18"/>
        </w:rPr>
        <w:t>F020104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算法及其复杂性</w:t>
      </w:r>
      <w:r>
        <w:rPr>
          <w:rFonts w:ascii="Times New Roman" w:hAnsi="Times New Roman" w:cs="Times New Roman" w:eastAsia="Times New Roman" w:hint="ascii"/>
          <w:sz w:val="18"/>
        </w:rPr>
        <w:t>F020105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容错计算</w:t>
      </w:r>
      <w:r>
        <w:rPr>
          <w:rFonts w:ascii="Times New Roman" w:hAnsi="Times New Roman" w:cs="Times New Roman" w:eastAsia="Times New Roman" w:hint="ascii"/>
          <w:sz w:val="18"/>
        </w:rPr>
        <w:t>F020106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形式化方法</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F020107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计</w:t>
      </w:r>
      <w:r>
        <w:rPr>
          <w:rFonts w:ascii="宋体" w:hAnsi="宋体" w:cs="宋体" w:eastAsia="宋体" w:hint="ascii"/>
          <w:sz w:val="18"/>
        </w:rPr>
        <w:t>算系统的智能理论</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与方法</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F020108</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计算博弈理论</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计算机软件</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F020201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软件理论与软件</w:t>
      </w:r>
      <w:r>
        <w:rPr>
          <w:rFonts w:ascii="宋体" w:hAnsi="宋体" w:cs="宋体" w:eastAsia="宋体" w:hint="ascii"/>
          <w:sz w:val="18"/>
        </w:rPr>
        <w:t>方</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法</w:t>
      </w:r>
      <w:r>
        <w:rPr>
          <w:rFonts w:ascii="宋体" w:hAnsi="宋体" w:cs="宋体" w:eastAsia="宋体" w:hint="ascii"/>
          <w:sz w:val="18"/>
        </w:rPr>
        <w:t>学</w:t>
      </w:r>
    </w:p>
    <w:p>
      <w:pPr>
        <w:autoSpaceDE w:val="0"/>
        <w:autoSpaceDN w:val="0"/>
        <w:jc w:val="left"/>
        <w:spacing w:before="333"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282</w:t>
      </w:r>
      <w:r>
        <w:rPr>
          <w:rFonts w:ascii="宋体" w:hAnsi="宋体" w:cs="宋体" w:eastAsia="宋体" w:hint="ascii"/>
          <w:sz w:val="18"/>
        </w:rPr>
        <w:t>·</w:t>
      </w:r>
    </w:p>
    <w:p>
      <w:pPr>
        <w:autoSpaceDE w:val="0"/>
        <w:autoSpaceDN w:val="0"/>
        <w:jc w:val="left"/>
        <w:spacing w:before="354"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F020202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软件工程</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程序设计语言及支撑</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环境</w:t>
      </w:r>
    </w:p>
    <w:p>
      <w:pPr>
        <w:autoSpaceDE w:val="0"/>
        <w:autoSpaceDN w:val="0"/>
        <w:jc w:val="both"/>
        <w:spacing w:before="61" w:after="0" w:lineRule="auto" w:line="313"/>
        <w:ind w:right="131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数</w:t>
      </w:r>
      <w:r>
        <w:rPr>
          <w:rFonts w:ascii="宋体" w:hAnsi="宋体" w:cs="宋体" w:eastAsia="宋体" w:hint="ascii"/>
          <w:sz w:val="18"/>
        </w:rPr>
        <w:t>据库与数据工程</w:t>
      </w:r>
      <w:r>
        <w:rPr>
          <w:rFonts w:ascii="Times New Roman" w:hAnsi="Times New Roman" w:cs="Times New Roman" w:eastAsia="Times New Roman" w:hint="ascii"/>
          <w:sz w:val="18"/>
        </w:rPr>
        <w:t>F020205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系统软件</w:t>
      </w:r>
    </w:p>
    <w:p>
      <w:pPr>
        <w:autoSpaceDE w:val="0"/>
        <w:autoSpaceDN w:val="0"/>
        <w:jc w:val="left"/>
        <w:spacing w:before="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并行与分布式软件</w:t>
      </w:r>
    </w:p>
    <w:p>
      <w:pPr>
        <w:autoSpaceDE w:val="0"/>
        <w:autoSpaceDN w:val="0"/>
        <w:jc w:val="both"/>
        <w:spacing w:before="67" w:after="0" w:lineRule="auto" w:line="313"/>
        <w:ind w:right="131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F020207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实</w:t>
      </w:r>
      <w:r>
        <w:rPr>
          <w:rFonts w:ascii="宋体" w:hAnsi="宋体" w:cs="宋体" w:eastAsia="宋体" w:hint="ascii"/>
          <w:sz w:val="18"/>
        </w:rPr>
        <w:t>时与嵌入式软件</w:t>
      </w:r>
      <w:r>
        <w:rPr>
          <w:rFonts w:ascii="Times New Roman" w:hAnsi="Times New Roman" w:cs="Times New Roman" w:eastAsia="Times New Roman" w:hint="ascii"/>
          <w:sz w:val="18"/>
        </w:rPr>
        <w:t>F020208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可信软件</w:t>
      </w:r>
    </w:p>
    <w:p>
      <w:pPr>
        <w:autoSpaceDE w:val="0"/>
        <w:autoSpaceDN w:val="0"/>
        <w:jc w:val="left"/>
        <w:spacing w:before="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F020209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软件演化与自适</w:t>
      </w:r>
      <w:r>
        <w:rPr>
          <w:rFonts w:ascii="宋体" w:hAnsi="宋体" w:cs="宋体" w:eastAsia="宋体" w:hint="ascii"/>
          <w:sz w:val="18"/>
        </w:rPr>
        <w:t>应</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F020210</w:t>
      </w:r>
      <w:r>
        <w:rPr>
          <w:rFonts w:ascii="Times New Roman" w:hAnsi="Times New Roman" w:cs="Times New Roman" w:eastAsia="Times New Roman" w:hint="ascii"/>
          <w:sz w:val="18"/>
          <w:spacing w:val="45"/>
        </w:rPr>
        <w:t xml:space="preserve"> </w:t>
      </w:r>
      <w:r>
        <w:rPr>
          <w:rFonts w:ascii="宋体" w:hAnsi="宋体" w:cs="宋体" w:eastAsia="宋体" w:hint="ascii"/>
          <w:sz w:val="18"/>
        </w:rPr>
        <w:t>服务计算</w:t>
      </w:r>
    </w:p>
    <w:p>
      <w:pPr>
        <w:autoSpaceDE w:val="0"/>
        <w:autoSpaceDN w:val="0"/>
        <w:jc w:val="left"/>
        <w:spacing w:before="68"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计算机体系结构</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F020301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计算机系统建模</w:t>
      </w:r>
      <w:r>
        <w:rPr>
          <w:rFonts w:ascii="宋体" w:hAnsi="宋体" w:cs="宋体" w:eastAsia="宋体" w:hint="ascii"/>
          <w:sz w:val="18"/>
        </w:rPr>
        <w:t>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模</w:t>
      </w:r>
      <w:r>
        <w:rPr>
          <w:rFonts w:ascii="宋体" w:hAnsi="宋体" w:cs="宋体" w:eastAsia="宋体" w:hint="ascii"/>
          <w:sz w:val="18"/>
        </w:rPr>
        <w:t>拟</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计算机系统设计与性</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能评测</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F020303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计算机系统安全</w:t>
      </w:r>
      <w:r>
        <w:rPr>
          <w:rFonts w:ascii="宋体" w:hAnsi="宋体" w:cs="宋体" w:eastAsia="宋体" w:hint="ascii"/>
          <w:sz w:val="18"/>
        </w:rPr>
        <w:t>与</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评</w:t>
      </w:r>
      <w:r>
        <w:rPr>
          <w:rFonts w:ascii="宋体" w:hAnsi="宋体" w:cs="宋体" w:eastAsia="宋体" w:hint="ascii"/>
          <w:sz w:val="18"/>
        </w:rPr>
        <w:t>估</w:t>
      </w:r>
    </w:p>
    <w:p>
      <w:pPr>
        <w:autoSpaceDE w:val="0"/>
        <w:autoSpaceDN w:val="0"/>
        <w:jc w:val="left"/>
        <w:spacing w:before="61"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并行与分布式处理</w:t>
      </w:r>
      <w:r>
        <w:rPr>
          <w:rFonts w:ascii="Times New Roman" w:hAnsi="Times New Roman" w:cs="Times New Roman" w:eastAsia="Times New Roman" w:hint="ascii"/>
          <w:sz w:val="18"/>
          <w:spacing w:val="-1"/>
        </w:rPr>
        <w:t>F020305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高</w:t>
      </w:r>
      <w:r>
        <w:rPr>
          <w:rFonts w:ascii="宋体" w:hAnsi="宋体" w:cs="宋体" w:eastAsia="宋体" w:hint="ascii"/>
          <w:sz w:val="18"/>
        </w:rPr>
        <w:t>性能计算与超级计</w: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算机</w:t>
      </w:r>
    </w:p>
    <w:p>
      <w:pPr>
        <w:autoSpaceDE w:val="0"/>
        <w:autoSpaceDN w:val="0"/>
        <w:jc w:val="left"/>
        <w:spacing w:before="61" w:after="0" w:lineRule="auto" w:line="314"/>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新型计算系统</w:t>
      </w:r>
      <w:r>
        <w:rPr>
          <w:rFonts w:ascii="Times New Roman" w:hAnsi="Times New Roman" w:cs="Times New Roman" w:eastAsia="Times New Roman" w:hint="ascii"/>
          <w:sz w:val="18"/>
        </w:rPr>
        <w:t>F020307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计算系统可靠性</w:t>
      </w:r>
      <w:r>
        <w:rPr>
          <w:rFonts w:ascii="Times New Roman" w:hAnsi="Times New Roman" w:cs="Times New Roman" w:eastAsia="Times New Roman" w:hint="ascii"/>
          <w:sz w:val="18"/>
        </w:rPr>
        <w:t>F020308</w:t>
      </w:r>
      <w:r>
        <w:rPr>
          <w:rFonts w:ascii="Times New Roman" w:hAnsi="Times New Roman" w:cs="Times New Roman" w:eastAsia="Times New Roman" w:hint="ascii"/>
          <w:sz w:val="18"/>
          <w:spacing w:val="45"/>
        </w:rPr>
        <w:t xml:space="preserve"> </w:t>
      </w:r>
      <w:r>
        <w:rPr>
          <w:rFonts w:ascii="宋体" w:hAnsi="宋体" w:cs="宋体" w:eastAsia="宋体" w:hint="ascii"/>
          <w:sz w:val="18"/>
        </w:rPr>
        <w:t>嵌入式系统</w:t>
      </w:r>
    </w:p>
    <w:p>
      <w:pPr>
        <w:autoSpaceDE w:val="0"/>
        <w:autoSpaceDN w:val="0"/>
        <w:jc w:val="left"/>
        <w:spacing w:before="0" w:after="0" w:lineRule="auto" w:line="239"/>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F020309</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信息物理系统结构与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计算模型</w:t>
      </w:r>
    </w:p>
    <w:p>
      <w:pPr>
        <w:autoSpaceDE w:val="0"/>
        <w:autoSpaceDN w:val="0"/>
        <w:jc w:val="left"/>
        <w:spacing w:before="62"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计算机硬件技术</w:t>
      </w:r>
    </w:p>
    <w:p>
      <w:pPr>
        <w:autoSpaceDE w:val="0"/>
        <w:autoSpaceDN w:val="0"/>
        <w:jc w:val="left"/>
        <w:spacing w:before="67"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测试与诊断技术</w:t>
      </w:r>
      <w:r>
        <w:rPr>
          <w:rFonts w:ascii="Times New Roman" w:hAnsi="Times New Roman" w:cs="Times New Roman" w:eastAsia="Times New Roman" w:hint="ascii"/>
          <w:sz w:val="18"/>
        </w:rPr>
        <w:t>F020402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处理器设计方法</w:t>
      </w:r>
      <w:r>
        <w:rPr>
          <w:rFonts w:ascii="宋体" w:hAnsi="宋体" w:cs="宋体" w:eastAsia="宋体" w:hint="ascii"/>
          <w:sz w:val="18"/>
        </w:rPr>
        <w:t>与</w: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工</w:t>
      </w:r>
      <w:r>
        <w:rPr>
          <w:rFonts w:ascii="宋体" w:hAnsi="宋体" w:cs="宋体" w:eastAsia="宋体" w:hint="ascii"/>
          <w:sz w:val="18"/>
        </w:rPr>
        <w:t>具</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F020403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大容量存储设备</w:t>
      </w:r>
      <w:r>
        <w:rPr>
          <w:rFonts w:ascii="宋体" w:hAnsi="宋体" w:cs="宋体" w:eastAsia="宋体" w:hint="ascii"/>
          <w:sz w:val="18"/>
        </w:rPr>
        <w:t>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系</w:t>
      </w:r>
      <w:r>
        <w:rPr>
          <w:rFonts w:ascii="宋体" w:hAnsi="宋体" w:cs="宋体" w:eastAsia="宋体" w:hint="ascii"/>
          <w:sz w:val="18"/>
        </w:rPr>
        <w:t>统</w:t>
      </w:r>
    </w:p>
    <w:p>
      <w:pPr>
        <w:autoSpaceDE w:val="0"/>
        <w:autoSpaceDN w:val="0"/>
        <w:jc w:val="left"/>
        <w:spacing w:before="62"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交互设备与系统</w:t>
      </w:r>
      <w:r>
        <w:rPr>
          <w:rFonts w:ascii="Times New Roman" w:hAnsi="Times New Roman" w:cs="Times New Roman" w:eastAsia="Times New Roman" w:hint="ascii"/>
          <w:sz w:val="18"/>
          <w:spacing w:val="-1"/>
        </w:rPr>
        <w:t>F020405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部</w:t>
      </w:r>
      <w:r>
        <w:rPr>
          <w:rFonts w:ascii="宋体" w:hAnsi="宋体" w:cs="宋体" w:eastAsia="宋体" w:hint="ascii"/>
          <w:sz w:val="18"/>
        </w:rPr>
        <w:t>件互连与数据传输</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4"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计算机应用技术</w:t>
      </w:r>
    </w:p>
    <w:p>
      <w:pPr>
        <w:autoSpaceDE w:val="0"/>
        <w:autoSpaceDN w:val="0"/>
        <w:jc w:val="left"/>
        <w:spacing w:before="70" w:after="0" w:lineRule="auto" w:line="318"/>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F020501</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计算机图形学</w:t>
      </w:r>
      <w:r>
        <w:rPr>
          <w:rFonts w:ascii="Times New Roman" w:hAnsi="Times New Roman" w:cs="Times New Roman" w:eastAsia="Times New Roman" w:hint="ascii"/>
          <w:sz w:val="18"/>
        </w:rPr>
        <w:t>F020502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6"/>
        </w:rPr>
        <w:t>计算机图像与视</w:t>
      </w:r>
      <w:r>
        <w:rPr>
          <w:rFonts w:ascii="宋体" w:hAnsi="宋体" w:cs="宋体" w:eastAsia="宋体" w:hint="ascii"/>
          <w:sz w:val="18"/>
        </w:rPr>
        <w:t>频</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处</w:t>
      </w:r>
      <w:r>
        <w:rPr>
          <w:rFonts w:ascii="宋体" w:hAnsi="宋体" w:cs="宋体" w:eastAsia="宋体" w:hint="ascii"/>
          <w:sz w:val="18"/>
        </w:rPr>
        <w:t>理</w:t>
      </w:r>
    </w:p>
    <w:p>
      <w:pPr>
        <w:autoSpaceDE w:val="0"/>
        <w:autoSpaceDN w:val="0"/>
        <w:jc w:val="left"/>
        <w:spacing w:before="64"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虚拟现实与增强现实</w:t>
      </w:r>
    </w:p>
    <w:p>
      <w:pPr>
        <w:autoSpaceDE w:val="0"/>
        <w:autoSpaceDN w:val="0"/>
        <w:jc w:val="left"/>
        <w:spacing w:before="7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5" w:after="0" w:lineRule="auto" w:line="240"/>
        <w:ind w:right="0" w:left="662" w:firstLine="0"/>
        <w:snapToGrid w:val="0"/>
        <w:textAlignment w:val="auto"/>
        <w:tabs/>
        <w:sectPr>
          <w:type w:val="continuous"/>
          <w:pgSz w:w="10940" w:h="15080" w:orient="portrait"/>
          <w:pgMar w:top="508" w:right="508" w:bottom="508" w:left="508" w:header="0" w:footer="0" w:gutter="0"/>
          <w:cols w:num="2" w:space="0" w:equalWidth="0">
            <w:col w:w="4707" w:space="977"/>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F020504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多媒体技术</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both"/>
        <w:spacing w:before="327" w:after="0" w:lineRule="auto" w:line="31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社</w:t>
      </w:r>
      <w:r>
        <w:rPr>
          <w:rFonts w:ascii="宋体" w:hAnsi="宋体" w:cs="宋体" w:eastAsia="宋体" w:hint="ascii"/>
          <w:sz w:val="18"/>
        </w:rPr>
        <w:t>交网络与社会计算</w:t>
      </w:r>
      <w:r>
        <w:rPr>
          <w:rFonts w:ascii="Times New Roman" w:hAnsi="Times New Roman" w:cs="Times New Roman" w:eastAsia="Times New Roman" w:hint="ascii"/>
          <w:sz w:val="18"/>
          <w:spacing w:val="-1"/>
        </w:rPr>
        <w:t>F020506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物信息计算与系统</w:t>
      </w:r>
      <w:r>
        <w:rPr>
          <w:rFonts w:ascii="Times New Roman" w:hAnsi="Times New Roman" w:cs="Times New Roman" w:eastAsia="Times New Roman" w:hint="ascii"/>
          <w:sz w:val="18"/>
          <w:spacing w:val="-1"/>
        </w:rPr>
        <w:t>F020507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科</w:t>
      </w:r>
      <w:r>
        <w:rPr>
          <w:rFonts w:ascii="宋体" w:hAnsi="宋体" w:cs="宋体" w:eastAsia="宋体" w:hint="ascii"/>
          <w:sz w:val="18"/>
        </w:rPr>
        <w:t>学工程计算与高性</w:t>
      </w:r>
      <w:r>
        <w:rPr>
          <w:rFonts w:ascii="宋体" w:hAnsi="宋体" w:cs="宋体" w:eastAsia="宋体" w:hint="ascii"/>
          <w:sz w:val="18"/>
        </w:rPr>
        <mc:AlternateContent>
          <mc:Choice Requires="wps">
            <w:drawing>
              <wp:anchor distL="0" distR="0" distT="0" distB="0" simplePos="0" behindDoc="1" relativeHeight="365" locked="0" layoutInCell="1" allowOverlap="1">
                <wp:simplePos x="0" y="0"/>
                <wp:positionH relativeFrom="page">
                  <wp:posOffset>938530</wp:posOffset>
                </wp:positionH>
                <wp:positionV relativeFrom="page">
                  <wp:posOffset>819150</wp:posOffset>
                </wp:positionV>
                <wp:extent cx="5076190" cy="0"/>
                <wp:wrapNone/>
                <wp:docPr id="1392" name="139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84480;width:399.70pt;" id="139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能计算应用</w:t>
      </w:r>
    </w:p>
    <w:p>
      <w:pPr>
        <w:autoSpaceDE w:val="0"/>
        <w:autoSpaceDN w:val="0"/>
        <w:jc w:val="both"/>
        <w:spacing w:before="64" w:after="0" w:lineRule="auto" w:line="318"/>
        <w:ind w:right="18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F020508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可</w:t>
      </w:r>
      <w:r>
        <w:rPr>
          <w:rFonts w:ascii="宋体" w:hAnsi="宋体" w:cs="宋体" w:eastAsia="宋体" w:hint="ascii"/>
          <w:sz w:val="18"/>
        </w:rPr>
        <w:t>视化与可视分析</w:t>
      </w:r>
      <w:r>
        <w:rPr>
          <w:rFonts w:ascii="Times New Roman" w:hAnsi="Times New Roman" w:cs="Times New Roman" w:eastAsia="Times New Roman" w:hint="ascii"/>
          <w:sz w:val="18"/>
        </w:rPr>
        <w:t>F020509</w:t>
      </w:r>
      <w:r>
        <w:rPr>
          <w:rFonts w:ascii="Times New Roman" w:hAnsi="Times New Roman" w:cs="Times New Roman" w:eastAsia="Times New Roman" w:hint="ascii"/>
          <w:sz w:val="18"/>
          <w:spacing w:val="45"/>
        </w:rPr>
        <w:t xml:space="preserve"> </w:t>
      </w:r>
      <w:r>
        <w:rPr>
          <w:rFonts w:ascii="宋体" w:hAnsi="宋体" w:cs="宋体" w:eastAsia="宋体" w:hint="ascii"/>
          <w:sz w:val="18"/>
        </w:rPr>
        <w:t>人机交互</w: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F020510</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计算机辅助技术</w:t>
      </w:r>
    </w:p>
    <w:p>
      <w:pPr>
        <w:autoSpaceDE w:val="0"/>
        <w:autoSpaceDN w:val="0"/>
        <w:jc w:val="left"/>
        <w:spacing w:before="70" w:after="0" w:lineRule="auto" w:line="31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信息系统技术</w:t>
      </w:r>
      <w:r>
        <w:rPr>
          <w:rFonts w:ascii="Times New Roman" w:hAnsi="Times New Roman" w:cs="Times New Roman" w:eastAsia="Times New Roman" w:hint="ascii"/>
          <w:sz w:val="18"/>
        </w:rPr>
        <w:t>F020512</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信息检索与挖掘</w:t>
      </w:r>
      <w:r>
        <w:rPr>
          <w:rFonts w:ascii="Times New Roman" w:hAnsi="Times New Roman" w:cs="Times New Roman" w:eastAsia="Times New Roman" w:hint="ascii"/>
          <w:sz w:val="18"/>
        </w:rPr>
        <w:t>F020513</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网络搜索技术</w:t>
      </w:r>
      <w:r>
        <w:rPr>
          <w:rFonts w:ascii="Times New Roman" w:hAnsi="Times New Roman" w:cs="Times New Roman" w:eastAsia="Times New Roman" w:hint="ascii"/>
          <w:sz w:val="18"/>
        </w:rPr>
        <w:t>F020514</w:t>
      </w:r>
      <w:r>
        <w:rPr>
          <w:rFonts w:ascii="Times New Roman" w:hAnsi="Times New Roman" w:cs="Times New Roman" w:eastAsia="Times New Roman" w:hint="ascii"/>
          <w:sz w:val="18"/>
          <w:spacing w:val="45"/>
        </w:rPr>
        <w:t xml:space="preserve"> </w:t>
      </w:r>
      <w:r>
        <w:rPr>
          <w:rFonts w:ascii="宋体" w:hAnsi="宋体" w:cs="宋体" w:eastAsia="宋体" w:hint="ascii"/>
          <w:sz w:val="18"/>
        </w:rPr>
        <w:t>语言文字信息处理</w:t>
      </w:r>
      <w:r>
        <w:rPr>
          <w:rFonts w:ascii="Times New Roman" w:hAnsi="Times New Roman" w:cs="Times New Roman" w:eastAsia="Times New Roman" w:hint="ascii"/>
          <w:sz w:val="18"/>
        </w:rPr>
        <w:t>F020515</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计算金融</w:t>
      </w:r>
    </w:p>
    <w:p>
      <w:pPr>
        <w:autoSpaceDE w:val="0"/>
        <w:autoSpaceDN w:val="0"/>
        <w:jc w:val="left"/>
        <w:spacing w:before="0" w:after="0" w:lineRule="auto" w:line="23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F020516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计</w:t>
      </w:r>
      <w:r>
        <w:rPr>
          <w:rFonts w:ascii="宋体" w:hAnsi="宋体" w:cs="宋体" w:eastAsia="宋体" w:hint="ascii"/>
          <w:sz w:val="18"/>
        </w:rPr>
        <w:t>算医疗与健康技术</w:t>
      </w:r>
    </w:p>
    <w:p>
      <w:pPr>
        <w:autoSpaceDE w:val="0"/>
        <w:autoSpaceDN w:val="0"/>
        <w:jc w:val="left"/>
        <w:spacing w:before="69"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F020517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应用领域中的基础</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研究</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信息安全</w: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密码学</w:t>
      </w:r>
    </w:p>
    <w:p>
      <w:pPr>
        <w:autoSpaceDE w:val="0"/>
        <w:autoSpaceDN w:val="0"/>
        <w:jc w:val="both"/>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安</w:t>
      </w:r>
      <w:r>
        <w:rPr>
          <w:rFonts w:ascii="宋体" w:hAnsi="宋体" w:cs="宋体" w:eastAsia="宋体" w:hint="ascii"/>
          <w:sz w:val="18"/>
        </w:rPr>
        <w:t>全体系结构与协议</w:t>
      </w:r>
      <w:r>
        <w:rPr>
          <w:rFonts w:ascii="Times New Roman" w:hAnsi="Times New Roman" w:cs="Times New Roman" w:eastAsia="Times New Roman" w:hint="ascii"/>
          <w:sz w:val="18"/>
        </w:rPr>
        <w:t>F020603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信息隐藏</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信息对抗</w:t>
      </w:r>
    </w:p>
    <w:p>
      <w:pPr>
        <w:autoSpaceDE w:val="0"/>
        <w:autoSpaceDN w:val="0"/>
        <w:jc w:val="both"/>
        <w:spacing w:before="67" w:after="0" w:lineRule="auto" w:line="313"/>
        <w:ind w:right="90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F020605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系</w:t>
      </w:r>
      <w:r>
        <w:rPr>
          <w:rFonts w:ascii="宋体" w:hAnsi="宋体" w:cs="宋体" w:eastAsia="宋体" w:hint="ascii"/>
          <w:sz w:val="18"/>
        </w:rPr>
        <w:t>统安全</w:t>
      </w:r>
      <w:r>
        <w:rPr>
          <w:rFonts w:ascii="Times New Roman" w:hAnsi="Times New Roman" w:cs="Times New Roman" w:eastAsia="Times New Roman" w:hint="ascii"/>
          <w:sz w:val="18"/>
          <w:spacing w:val="-1"/>
        </w:rPr>
        <w:t>F020606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隐</w:t>
      </w:r>
      <w:r>
        <w:rPr>
          <w:rFonts w:ascii="宋体" w:hAnsi="宋体" w:cs="宋体" w:eastAsia="宋体" w:hint="ascii"/>
          <w:sz w:val="18"/>
        </w:rPr>
        <w:t>私保护</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F0207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计算机网络</w: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F020701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计</w:t>
      </w:r>
      <w:r>
        <w:rPr>
          <w:rFonts w:ascii="宋体" w:hAnsi="宋体" w:cs="宋体" w:eastAsia="宋体" w:hint="ascii"/>
          <w:sz w:val="18"/>
        </w:rPr>
        <w:t>算机网络体系结构</w:t>
      </w:r>
      <w:r>
        <w:rPr>
          <w:rFonts w:ascii="Times New Roman" w:hAnsi="Times New Roman" w:cs="Times New Roman" w:eastAsia="Times New Roman" w:hint="ascii"/>
          <w:sz w:val="18"/>
          <w:spacing w:val="-1"/>
        </w:rPr>
        <w:t>F020702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计</w:t>
      </w:r>
      <w:r>
        <w:rPr>
          <w:rFonts w:ascii="宋体" w:hAnsi="宋体" w:cs="宋体" w:eastAsia="宋体" w:hint="ascii"/>
          <w:sz w:val="18"/>
        </w:rPr>
        <w:t>算机网络通信协议</w:t>
      </w:r>
      <w:r>
        <w:rPr>
          <w:rFonts w:ascii="Times New Roman" w:hAnsi="Times New Roman" w:cs="Times New Roman" w:eastAsia="Times New Roman" w:hint="ascii"/>
          <w:sz w:val="18"/>
          <w:spacing w:val="-1"/>
        </w:rPr>
        <w:t>F020703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网</w:t>
      </w:r>
      <w:r>
        <w:rPr>
          <w:rFonts w:ascii="宋体" w:hAnsi="宋体" w:cs="宋体" w:eastAsia="宋体" w:hint="ascii"/>
          <w:sz w:val="18"/>
        </w:rPr>
        <w:t>络资源共享与管理</w:t>
      </w:r>
      <w:r>
        <w:rPr>
          <w:rFonts w:ascii="Times New Roman" w:hAnsi="Times New Roman" w:cs="Times New Roman" w:eastAsia="Times New Roman" w:hint="ascii"/>
          <w:sz w:val="18"/>
        </w:rPr>
        <w:t>F020704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网络服务质量</w:t>
      </w:r>
      <w:r>
        <w:rPr>
          <w:rFonts w:ascii="Times New Roman" w:hAnsi="Times New Roman" w:cs="Times New Roman" w:eastAsia="Times New Roman" w:hint="ascii"/>
          <w:sz w:val="18"/>
        </w:rPr>
        <w:t>F020705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网络安全</w: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F020706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7"/>
        </w:rPr>
        <w:t>网络环境下的协</w:t>
      </w:r>
      <w:r>
        <w:rPr>
          <w:rFonts w:ascii="宋体" w:hAnsi="宋体" w:cs="宋体" w:eastAsia="宋体" w:hint="ascii"/>
          <w:sz w:val="18"/>
        </w:rPr>
        <w:t>同</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F020707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网</w:t>
      </w:r>
      <w:r>
        <w:rPr>
          <w:rFonts w:ascii="宋体" w:hAnsi="宋体" w:cs="宋体" w:eastAsia="宋体" w:hint="ascii"/>
          <w:sz w:val="18"/>
        </w:rPr>
        <w:t>络行为学与网络生</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态学</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F020708</w:t>
      </w:r>
      <w:r>
        <w:rPr>
          <w:rFonts w:ascii="Times New Roman" w:hAnsi="Times New Roman" w:cs="Times New Roman" w:eastAsia="Times New Roman" w:hint="ascii"/>
          <w:sz w:val="18"/>
          <w:spacing w:val="45"/>
        </w:rPr>
        <w:t xml:space="preserve"> </w:t>
      </w:r>
      <w:r>
        <w:rPr>
          <w:rFonts w:ascii="宋体" w:hAnsi="宋体" w:cs="宋体" w:eastAsia="宋体" w:hint="ascii"/>
          <w:sz w:val="18"/>
        </w:rPr>
        <w:t>移动网络计算</w:t>
      </w:r>
      <w:r>
        <w:rPr>
          <w:rFonts w:ascii="Times New Roman" w:hAnsi="Times New Roman" w:cs="Times New Roman" w:eastAsia="Times New Roman" w:hint="ascii"/>
          <w:sz w:val="18"/>
          <w:spacing w:val="-1"/>
        </w:rPr>
        <w:t>F020709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型感知计算及网络</w:t>
      </w:r>
      <w:r>
        <w:rPr>
          <w:rFonts w:ascii="Times New Roman" w:hAnsi="Times New Roman" w:cs="Times New Roman" w:eastAsia="Times New Roman" w:hint="ascii"/>
          <w:sz w:val="18"/>
        </w:rPr>
        <w:t>F020710</w:t>
      </w:r>
      <w:r>
        <w:rPr>
          <w:rFonts w:ascii="Times New Roman" w:hAnsi="Times New Roman" w:cs="Times New Roman" w:eastAsia="Times New Roman" w:hint="ascii"/>
          <w:sz w:val="18"/>
          <w:spacing w:val="45"/>
        </w:rPr>
        <w:t xml:space="preserve"> </w:t>
      </w:r>
      <w:r>
        <w:rPr>
          <w:rFonts w:ascii="宋体" w:hAnsi="宋体" w:cs="宋体" w:eastAsia="宋体" w:hint="ascii"/>
          <w:sz w:val="18"/>
        </w:rPr>
        <w:t>物联网</w:t>
      </w:r>
    </w:p>
    <w:p>
      <w:pPr>
        <w:autoSpaceDE w:val="0"/>
        <w:autoSpaceDN w:val="0"/>
        <w:jc w:val="left"/>
        <w:spacing w:before="0" w:after="0" w:lineRule="auto" w:line="23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F03</w:t>
      </w:r>
      <w:r>
        <w:rPr>
          <w:rFonts w:ascii="Times New Roman" w:hAnsi="Times New Roman" w:cs="Times New Roman" w:eastAsia="Times New Roman" w:hint="ascii"/>
          <w:b w:val="1"/>
          <w:spacing w:val="60"/>
        </w:rPr>
        <w:t xml:space="preserve"> </w:t>
      </w:r>
      <w:r>
        <w:rPr>
          <w:rFonts w:ascii="宋体" w:hAnsi="宋体" w:cs="宋体" w:eastAsia="宋体" w:hint="ascii"/>
        </w:rPr>
        <w:t>自动化</w:t>
      </w:r>
    </w:p>
    <w:p>
      <w:pPr>
        <w:autoSpaceDE w:val="0"/>
        <w:autoSpaceDN w:val="0"/>
        <w:jc w:val="left"/>
        <w:spacing w:before="9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控制理论与技术</w:t>
      </w:r>
    </w:p>
    <w:p>
      <w:pPr>
        <w:autoSpaceDE w:val="0"/>
        <w:autoSpaceDN w:val="0"/>
        <w:jc w:val="both"/>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随</w:t>
      </w:r>
      <w:r>
        <w:rPr>
          <w:rFonts w:ascii="宋体" w:hAnsi="宋体" w:cs="宋体" w:eastAsia="宋体" w:hint="ascii"/>
          <w:sz w:val="18"/>
        </w:rPr>
        <w:t>机系统分析与控制</w:t>
      </w:r>
      <w:r>
        <w:rPr>
          <w:rFonts w:ascii="Times New Roman" w:hAnsi="Times New Roman" w:cs="Times New Roman" w:eastAsia="Times New Roman" w:hint="ascii"/>
          <w:sz w:val="18"/>
          <w:spacing w:val="-1"/>
        </w:rPr>
        <w:t>F030102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分</w:t>
      </w:r>
      <w:r>
        <w:rPr>
          <w:rFonts w:ascii="宋体" w:hAnsi="宋体" w:cs="宋体" w:eastAsia="宋体" w:hint="ascii"/>
          <w:sz w:val="18"/>
        </w:rPr>
        <w:t>布参数系统分析与</w:t>
      </w:r>
      <w:r>
        <w:rPr>
          <w:rFonts w:ascii="宋体" w:hAnsi="宋体" w:cs="宋体" w:eastAsia="宋体" w:hint="ascii"/>
          <w:sz w:val="18"/>
        </w:rPr>
        <mc:AlternateContent>
          <mc:Choice Requires="wps">
            <w:drawing>
              <wp:anchor distL="0" distR="0" distT="0" distB="0" simplePos="0" behindDoc="1" relativeHeight="366" locked="0" layoutInCell="1" allowOverlap="1">
                <wp:simplePos x="0" y="0"/>
                <wp:positionH relativeFrom="page">
                  <wp:posOffset>1762760</wp:posOffset>
                </wp:positionH>
                <wp:positionV relativeFrom="page">
                  <wp:posOffset>7777480</wp:posOffset>
                </wp:positionV>
                <wp:extent cx="406400" cy="170815"/>
                <wp:wrapNone/>
                <wp:docPr id="1393" name="1393"/>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12.40pt;z-index:-251283456;width:32.00pt;height:13.45pt;" id="1393" coordsize="6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67" locked="0" layoutInCell="1" allowOverlap="1">
                <wp:simplePos x="0" y="0"/>
                <wp:positionH relativeFrom="page">
                  <wp:posOffset>1762760</wp:posOffset>
                </wp:positionH>
                <wp:positionV relativeFrom="page">
                  <wp:posOffset>7959090</wp:posOffset>
                </wp:positionV>
                <wp:extent cx="406400" cy="170815"/>
                <wp:wrapNone/>
                <wp:docPr id="1394" name="1394"/>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26.70pt;z-index:-251282432;width:32.00pt;height:13.45pt;" id="1394" coordsize="64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控制</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F030103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离</w:t>
      </w:r>
      <w:r>
        <w:rPr>
          <w:rFonts w:ascii="宋体" w:hAnsi="宋体" w:cs="宋体" w:eastAsia="宋体" w:hint="ascii"/>
          <w:sz w:val="18"/>
        </w:rPr>
        <w:t>散、混杂与切换系</w:t>
      </w:r>
      <w:r>
        <w:rPr>
          <w:rFonts w:ascii="宋体" w:hAnsi="宋体" w:cs="宋体" w:eastAsia="宋体" w:hint="ascii"/>
          <w:sz w:val="18"/>
        </w:rPr>
        <mc:AlternateContent>
          <mc:Choice Requires="wps">
            <w:drawing>
              <wp:anchor distL="0" distR="0" distT="0" distB="0" simplePos="0" behindDoc="1" relativeHeight="368" locked="0" layoutInCell="1" allowOverlap="1">
                <wp:simplePos x="0" y="0"/>
                <wp:positionH relativeFrom="page">
                  <wp:posOffset>1762760</wp:posOffset>
                </wp:positionH>
                <wp:positionV relativeFrom="page">
                  <wp:posOffset>8322310</wp:posOffset>
                </wp:positionV>
                <wp:extent cx="520700" cy="170815"/>
                <wp:wrapNone/>
                <wp:docPr id="1395" name="1395"/>
                <wp:cNvGraphicFramePr/>
                <a:graphic>
                  <a:graphicData uri="http://schemas.microsoft.com/office/word/2010/wordprocessingShape">
                    <wps:wsp>
                      <wps:cNvSpPr/>
                      <wps:spPr>
                        <a:xfrm>
                          <a:off x="0" y="0"/>
                          <a:ext cx="5207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55.30pt;z-index:-251281408;width:41.00pt;height:13.45pt;" id="1395" coordsize="82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统分析与控制</w:t>
      </w:r>
    </w:p>
    <w:p>
      <w:pPr>
        <w:autoSpaceDE w:val="0"/>
        <w:autoSpaceDN w:val="0"/>
        <w:jc w:val="left"/>
        <w:spacing w:before="327"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F030104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7"/>
        </w:rPr>
        <w:t>网络化系统分析</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369" locked="0" layoutInCell="1" allowOverlap="1">
                <wp:simplePos x="0" y="0"/>
                <wp:positionH relativeFrom="page">
                  <wp:posOffset>4352290</wp:posOffset>
                </wp:positionH>
                <wp:positionV relativeFrom="page">
                  <wp:posOffset>975995</wp:posOffset>
                </wp:positionV>
                <wp:extent cx="406400" cy="170815"/>
                <wp:wrapNone/>
                <wp:docPr id="1396" name="1396"/>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76.85pt;z-index:-251280384;width:32.00pt;height:13.45pt;" id="1396" coordsize="6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控</w:t>
      </w:r>
      <w:r>
        <w:rPr>
          <w:rFonts w:ascii="宋体" w:hAnsi="宋体" w:cs="宋体" w:eastAsia="宋体" w:hint="ascii"/>
          <w:sz w:val="18"/>
        </w:rPr>
        <w:t>制</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多智能体系统分析与</w:t>
      </w:r>
      <w:r>
        <w:rPr>
          <w:rFonts w:ascii="宋体" w:hAnsi="宋体" w:cs="宋体" w:eastAsia="宋体" w:hint="ascii"/>
          <w:sz w:val="18"/>
        </w:rPr>
        <mc:AlternateContent>
          <mc:Choice Requires="wps">
            <w:drawing>
              <wp:anchor distL="0" distR="0" distT="0" distB="0" simplePos="0" behindDoc="1" relativeHeight="370" locked="0" layoutInCell="1" allowOverlap="1">
                <wp:simplePos x="0" y="0"/>
                <wp:positionH relativeFrom="page">
                  <wp:posOffset>4352290</wp:posOffset>
                </wp:positionH>
                <wp:positionV relativeFrom="page">
                  <wp:posOffset>1339215</wp:posOffset>
                </wp:positionV>
                <wp:extent cx="406400" cy="170815"/>
                <wp:wrapNone/>
                <wp:docPr id="1397" name="1397"/>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05.45pt;z-index:-251279360;width:32.00pt;height:13.45pt;" id="1397" coordsize="6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协同控制</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信息物理系统分析与</w:t>
      </w:r>
      <w:r>
        <w:rPr>
          <w:rFonts w:ascii="宋体" w:hAnsi="宋体" w:cs="宋体" w:eastAsia="宋体" w:hint="ascii"/>
          <w:sz w:val="18"/>
        </w:rPr>
        <mc:AlternateContent>
          <mc:Choice Requires="wps">
            <w:drawing>
              <wp:anchor distL="0" distR="0" distT="0" distB="0" simplePos="0" behindDoc="1" relativeHeight="371" locked="0" layoutInCell="1" allowOverlap="1">
                <wp:simplePos x="0" y="0"/>
                <wp:positionH relativeFrom="page">
                  <wp:posOffset>4352290</wp:posOffset>
                </wp:positionH>
                <wp:positionV relativeFrom="page">
                  <wp:posOffset>1701800</wp:posOffset>
                </wp:positionV>
                <wp:extent cx="406400" cy="170815"/>
                <wp:wrapNone/>
                <wp:docPr id="1398" name="1398"/>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34.00pt;z-index:-251278336;width:32.00pt;height:13.45pt;" id="1398" coordsize="6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控制</w:t>
      </w:r>
    </w:p>
    <w:p>
      <w:pPr>
        <w:autoSpaceDE w:val="0"/>
        <w:autoSpaceDN w:val="0"/>
        <w:jc w:val="both"/>
        <w:spacing w:before="61"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F030107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复</w:t>
      </w:r>
      <w:r>
        <w:rPr>
          <w:rFonts w:ascii="宋体" w:hAnsi="宋体" w:cs="宋体" w:eastAsia="宋体" w:hint="ascii"/>
          <w:sz w:val="18"/>
        </w:rPr>
        <w:t>杂系统分析与控制</w:t>
      </w:r>
      <w:r>
        <w:rPr>
          <w:rFonts w:ascii="Times New Roman" w:hAnsi="Times New Roman" w:cs="Times New Roman" w:eastAsia="Times New Roman" w:hint="ascii"/>
          <w:sz w:val="18"/>
          <w:spacing w:val="-1"/>
        </w:rPr>
        <w:t>F030108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线</w:t>
      </w:r>
      <w:r>
        <w:rPr>
          <w:rFonts w:ascii="宋体" w:hAnsi="宋体" w:cs="宋体" w:eastAsia="宋体" w:hint="ascii"/>
          <w:sz w:val="18"/>
        </w:rPr>
        <w:t>性与非线性系统分</w:t>
      </w:r>
      <w:r>
        <w:rPr>
          <w:rFonts w:ascii="宋体" w:hAnsi="宋体" w:cs="宋体" w:eastAsia="宋体" w:hint="ascii"/>
          <w:sz w:val="18"/>
        </w:rPr>
        <mc:AlternateContent>
          <mc:Choice Requires="wps">
            <w:drawing>
              <wp:anchor distL="0" distR="0" distT="0" distB="0" simplePos="0" behindDoc="1" relativeHeight="372" locked="0" layoutInCell="1" allowOverlap="1">
                <wp:simplePos x="0" y="0"/>
                <wp:positionH relativeFrom="page">
                  <wp:posOffset>4352290</wp:posOffset>
                </wp:positionH>
                <wp:positionV relativeFrom="page">
                  <wp:posOffset>2065655</wp:posOffset>
                </wp:positionV>
                <wp:extent cx="406400" cy="170815"/>
                <wp:wrapNone/>
                <wp:docPr id="1399" name="1399"/>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62.65pt;z-index:-251277312;width:32.00pt;height:13.45pt;" id="1399" coordsize="6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73" locked="0" layoutInCell="1" allowOverlap="1">
                <wp:simplePos x="0" y="0"/>
                <wp:positionH relativeFrom="page">
                  <wp:posOffset>4352290</wp:posOffset>
                </wp:positionH>
                <wp:positionV relativeFrom="page">
                  <wp:posOffset>2246630</wp:posOffset>
                </wp:positionV>
                <wp:extent cx="406400" cy="170815"/>
                <wp:wrapNone/>
                <wp:docPr id="1400" name="1400"/>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76.90pt;z-index:-251276288;width:32.00pt;height:13.45pt;" id="1400" coordsize="64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析与控制</w:t>
      </w:r>
    </w:p>
    <w:p>
      <w:pPr>
        <w:autoSpaceDE w:val="0"/>
        <w:autoSpaceDN w:val="0"/>
        <w:jc w:val="both"/>
        <w:spacing w:before="61" w:after="0" w:lineRule="auto" w:line="313"/>
        <w:ind w:right="131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F030109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自</w:t>
      </w:r>
      <w:r>
        <w:rPr>
          <w:rFonts w:ascii="宋体" w:hAnsi="宋体" w:cs="宋体" w:eastAsia="宋体" w:hint="ascii"/>
          <w:sz w:val="18"/>
        </w:rPr>
        <w:t>适应与学习控制</w:t>
      </w:r>
      <w:r>
        <w:rPr>
          <w:rFonts w:ascii="Times New Roman" w:hAnsi="Times New Roman" w:cs="Times New Roman" w:eastAsia="Times New Roman" w:hint="ascii"/>
          <w:sz w:val="18"/>
        </w:rPr>
        <w:t>F030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w:t>
      </w:r>
      <w:r>
        <w:rPr>
          <w:rFonts w:ascii="Times New Roman" w:hAnsi="Times New Roman" w:cs="Times New Roman" w:eastAsia="Times New Roman" w:hint="ascii"/>
          <w:sz w:val="18"/>
          <w:spacing w:val="45"/>
        </w:rPr>
        <w:t xml:space="preserve"> </w:t>
      </w:r>
      <w:r>
        <w:rPr>
          <w:rFonts w:ascii="宋体" w:hAnsi="宋体" w:cs="宋体" w:eastAsia="宋体" w:hint="ascii"/>
          <w:sz w:val="18"/>
        </w:rPr>
        <w:t>数据驱动控制</w:t>
      </w:r>
      <w:r>
        <w:rPr>
          <w:rFonts w:ascii="宋体" w:hAnsi="宋体" w:cs="宋体" w:eastAsia="宋体" w:hint="ascii"/>
          <w:sz w:val="18"/>
        </w:rPr>
        <mc:AlternateContent>
          <mc:Choice Requires="wps">
            <w:drawing>
              <wp:anchor distL="0" distR="0" distT="0" distB="0" simplePos="0" behindDoc="1" relativeHeight="374" locked="0" layoutInCell="1" allowOverlap="1">
                <wp:simplePos x="0" y="0"/>
                <wp:positionH relativeFrom="page">
                  <wp:posOffset>4352290</wp:posOffset>
                </wp:positionH>
                <wp:positionV relativeFrom="page">
                  <wp:posOffset>2610485</wp:posOffset>
                </wp:positionV>
                <wp:extent cx="406400" cy="170815"/>
                <wp:wrapNone/>
                <wp:docPr id="1401" name="1401"/>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05.55pt;z-index:-251275264;width:32.00pt;height:13.45pt;" id="1401" coordsize="6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75" locked="0" layoutInCell="1" allowOverlap="1">
                <wp:simplePos x="0" y="0"/>
                <wp:positionH relativeFrom="page">
                  <wp:posOffset>4352290</wp:posOffset>
                </wp:positionH>
                <wp:positionV relativeFrom="page">
                  <wp:posOffset>2791460</wp:posOffset>
                </wp:positionV>
                <wp:extent cx="401320" cy="170815"/>
                <wp:wrapNone/>
                <wp:docPr id="1402" name="1402"/>
                <wp:cNvGraphicFramePr/>
                <a:graphic>
                  <a:graphicData uri="http://schemas.microsoft.com/office/word/2010/wordprocessingShape">
                    <wps:wsp>
                      <wps:cNvSpPr/>
                      <wps:spPr>
                        <a:xfrm>
                          <a:off x="0" y="0"/>
                          <a:ext cx="4013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19.80pt;z-index:-251274240;width:31.60pt;height:13.45pt;" id="1402" coordsize="632,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76" locked="0" layoutInCell="1" allowOverlap="1">
                <wp:simplePos x="0" y="0"/>
                <wp:positionH relativeFrom="page">
                  <wp:posOffset>4352290</wp:posOffset>
                </wp:positionH>
                <wp:positionV relativeFrom="page">
                  <wp:posOffset>2973705</wp:posOffset>
                </wp:positionV>
                <wp:extent cx="396875" cy="170815"/>
                <wp:wrapNone/>
                <wp:docPr id="1403" name="1403"/>
                <wp:cNvGraphicFramePr/>
                <a:graphic>
                  <a:graphicData uri="http://schemas.microsoft.com/office/word/2010/wordprocessingShape">
                    <wps:wsp>
                      <wps:cNvSpPr/>
                      <wps:spPr>
                        <a:xfrm>
                          <a:off x="0" y="0"/>
                          <a:ext cx="39687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34.15pt;z-index:-251273216;width:31.25pt;height:13.45pt;" id="1403" coordsize="625,269" stroked="f" fillcolor="#ffffff" opacity="0f">
                <v:stroke endcap="round"/>
                <v:fill opacity="0f"/>
                <w10:wrap anchorx="page" anchory="page" side="both"/>
              </v:rect>
            </w:pict>
          </mc:Fallback>
        </mc:AlternateContent>
      </w:r>
    </w:p>
    <w:p>
      <w:pPr>
        <w:autoSpaceDE w:val="0"/>
        <w:autoSpaceDN w:val="0"/>
        <w:jc w:val="left"/>
        <w:spacing w:before="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w:t>
      </w:r>
      <w:r>
        <w:rPr>
          <w:rFonts w:ascii="Times New Roman" w:hAnsi="Times New Roman" w:cs="Times New Roman" w:eastAsia="Times New Roman" w:hint="ascii"/>
          <w:sz w:val="18"/>
          <w:spacing w:val="-7"/>
        </w:rPr>
        <w:t>11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鲁棒控制</w:t>
      </w:r>
    </w:p>
    <w:p>
      <w:pPr>
        <w:autoSpaceDE w:val="0"/>
        <w:autoSpaceDN w:val="0"/>
        <w:jc w:val="both"/>
        <w:spacing w:before="67" w:after="0" w:lineRule="auto" w:line="313"/>
        <w:ind w:right="2044"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预</w:t>
      </w:r>
      <w:r>
        <w:rPr>
          <w:rFonts w:ascii="宋体" w:hAnsi="宋体" w:cs="宋体" w:eastAsia="宋体" w:hint="ascii"/>
          <w:sz w:val="18"/>
        </w:rPr>
        <w:t>测控制</w:t>
      </w:r>
      <w:r>
        <w:rPr>
          <w:rFonts w:ascii="Times New Roman" w:hAnsi="Times New Roman" w:cs="Times New Roman" w:eastAsia="Times New Roman" w:hint="ascii"/>
          <w:sz w:val="18"/>
          <w:spacing w:val="-1"/>
        </w:rPr>
        <w:t>F030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量</w:t>
      </w:r>
      <w:r>
        <w:rPr>
          <w:rFonts w:ascii="宋体" w:hAnsi="宋体" w:cs="宋体" w:eastAsia="宋体" w:hint="ascii"/>
          <w:sz w:val="18"/>
        </w:rPr>
        <w:t>子控制</w:t>
      </w:r>
      <w:r>
        <w:rPr>
          <w:rFonts w:ascii="宋体" w:hAnsi="宋体" w:cs="宋体" w:eastAsia="宋体" w:hint="ascii"/>
          <w:sz w:val="18"/>
        </w:rPr>
        <mc:AlternateContent>
          <mc:Choice Requires="wps">
            <w:drawing>
              <wp:anchor distL="0" distR="0" distT="0" distB="0" simplePos="0" behindDoc="1" relativeHeight="377" locked="0" layoutInCell="1" allowOverlap="1">
                <wp:simplePos x="0" y="0"/>
                <wp:positionH relativeFrom="page">
                  <wp:posOffset>4352290</wp:posOffset>
                </wp:positionH>
                <wp:positionV relativeFrom="page">
                  <wp:posOffset>3155315</wp:posOffset>
                </wp:positionV>
                <wp:extent cx="515620" cy="170815"/>
                <wp:wrapNone/>
                <wp:docPr id="1404" name="1404"/>
                <wp:cNvGraphicFramePr/>
                <a:graphic>
                  <a:graphicData uri="http://schemas.microsoft.com/office/word/2010/wordprocessingShape">
                    <wps:wsp>
                      <wps:cNvSpPr/>
                      <wps:spPr>
                        <a:xfrm>
                          <a:off x="0" y="0"/>
                          <a:ext cx="5156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48.45pt;z-index:-251272192;width:40.60pt;height:13.45pt;" id="1404" coordsize="812,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78" locked="0" layoutInCell="1" allowOverlap="1">
                <wp:simplePos x="0" y="0"/>
                <wp:positionH relativeFrom="page">
                  <wp:posOffset>4352290</wp:posOffset>
                </wp:positionH>
                <wp:positionV relativeFrom="page">
                  <wp:posOffset>3336290</wp:posOffset>
                </wp:positionV>
                <wp:extent cx="515620" cy="170815"/>
                <wp:wrapNone/>
                <wp:docPr id="1405" name="1405"/>
                <wp:cNvGraphicFramePr/>
                <a:graphic>
                  <a:graphicData uri="http://schemas.microsoft.com/office/word/2010/wordprocessingShape">
                    <wps:wsp>
                      <wps:cNvSpPr/>
                      <wps:spPr>
                        <a:xfrm>
                          <a:off x="0" y="0"/>
                          <a:ext cx="5156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62.70pt;z-index:-251271168;width:40.60pt;height:13.45pt;" id="1405" coordsize="812,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79" locked="0" layoutInCell="1" allowOverlap="1">
                <wp:simplePos x="0" y="0"/>
                <wp:positionH relativeFrom="page">
                  <wp:posOffset>4352290</wp:posOffset>
                </wp:positionH>
                <wp:positionV relativeFrom="page">
                  <wp:posOffset>3518535</wp:posOffset>
                </wp:positionV>
                <wp:extent cx="515620" cy="170815"/>
                <wp:wrapNone/>
                <wp:docPr id="1406" name="1406"/>
                <wp:cNvGraphicFramePr/>
                <a:graphic>
                  <a:graphicData uri="http://schemas.microsoft.com/office/word/2010/wordprocessingShape">
                    <wps:wsp>
                      <wps:cNvSpPr/>
                      <wps:spPr>
                        <a:xfrm>
                          <a:off x="0" y="0"/>
                          <a:ext cx="5156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77.05pt;z-index:-251270144;width:40.60pt;height:13.45pt;" id="1406" coordsize="812,269" stroked="f" fillcolor="#ffffff" opacity="0f">
                <v:stroke endcap="round"/>
                <v:fill opacity="0f"/>
                <w10:wrap anchorx="page" anchory="page" side="both"/>
              </v:rect>
            </w:pict>
          </mc:Fallback>
        </mc:AlternateContent>
      </w:r>
    </w:p>
    <w:p>
      <w:pPr>
        <w:autoSpaceDE w:val="0"/>
        <w:autoSpaceDN w:val="0"/>
        <w:jc w:val="left"/>
        <w:spacing w:before="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w:t>
      </w:r>
      <w:r>
        <w:rPr>
          <w:rFonts w:ascii="Times New Roman" w:hAnsi="Times New Roman" w:cs="Times New Roman" w:eastAsia="Times New Roman" w:hint="ascii"/>
          <w:sz w:val="18"/>
          <w:spacing w:val="45"/>
        </w:rPr>
        <w:t xml:space="preserve"> </w:t>
      </w:r>
      <w:r>
        <w:rPr>
          <w:rFonts w:ascii="宋体" w:hAnsi="宋体" w:cs="宋体" w:eastAsia="宋体" w:hint="ascii"/>
          <w:sz w:val="18"/>
        </w:rPr>
        <w:t>优化控制与运行优化</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控制</w:t>
      </w:r>
    </w:p>
    <w:p>
      <w:pPr>
        <w:autoSpaceDE w:val="0"/>
        <w:autoSpaceDN w:val="0"/>
        <w:jc w:val="left"/>
        <w:spacing w:before="61" w:after="0" w:lineRule="auto" w:line="311"/>
        <w:ind w:right="963"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15</w:t>
      </w:r>
      <w:r>
        <w:rPr>
          <w:rFonts w:ascii="Times New Roman" w:hAnsi="Times New Roman" w:cs="Times New Roman" w:eastAsia="Times New Roman" w:hint="ascii"/>
          <w:sz w:val="18"/>
          <w:spacing w:val="45"/>
        </w:rPr>
        <w:t xml:space="preserve"> </w:t>
      </w:r>
      <w:r>
        <w:rPr>
          <w:rFonts w:ascii="宋体" w:hAnsi="宋体" w:cs="宋体" w:eastAsia="宋体" w:hint="ascii"/>
          <w:sz w:val="18"/>
        </w:rPr>
        <w:t>故障诊断与容错控制</w:t>
      </w:r>
      <w:r>
        <w:rPr>
          <w:rFonts w:ascii="Times New Roman" w:hAnsi="Times New Roman" w:cs="Times New Roman" w:eastAsia="Times New Roman" w:hint="ascii"/>
          <w:sz w:val="18"/>
        </w:rPr>
        <w:t>F030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16</w:t>
      </w:r>
      <w:r>
        <w:rPr>
          <w:rFonts w:ascii="Times New Roman" w:hAnsi="Times New Roman" w:cs="Times New Roman" w:eastAsia="Times New Roman" w:hint="ascii"/>
          <w:sz w:val="18"/>
          <w:spacing w:val="45"/>
        </w:rPr>
        <w:t xml:space="preserve"> </w:t>
      </w:r>
      <w:r>
        <w:rPr>
          <w:rFonts w:ascii="宋体" w:hAnsi="宋体" w:cs="宋体" w:eastAsia="宋体" w:hint="ascii"/>
          <w:sz w:val="18"/>
        </w:rPr>
        <w:t>决策与控制一体化</w:t>
      </w:r>
      <w:r>
        <w:rPr>
          <w:rFonts w:ascii="Times New Roman" w:hAnsi="Times New Roman" w:cs="Times New Roman" w:eastAsia="Times New Roman" w:hint="ascii"/>
          <w:sz w:val="18"/>
        </w:rPr>
        <w:t>F030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17</w:t>
      </w:r>
      <w:r>
        <w:rPr>
          <w:rFonts w:ascii="Times New Roman" w:hAnsi="Times New Roman" w:cs="Times New Roman" w:eastAsia="Times New Roman" w:hint="ascii"/>
          <w:sz w:val="18"/>
          <w:spacing w:val="45"/>
        </w:rPr>
        <w:t xml:space="preserve"> </w:t>
      </w:r>
      <w:r>
        <w:rPr>
          <w:rFonts w:ascii="宋体" w:hAnsi="宋体" w:cs="宋体" w:eastAsia="宋体" w:hint="ascii"/>
          <w:sz w:val="18"/>
        </w:rPr>
        <w:t>控制系统的动态性能</w:t>
      </w:r>
      <w:r>
        <w:rPr>
          <w:rFonts w:ascii="宋体" w:hAnsi="宋体" w:cs="宋体" w:eastAsia="宋体" w:hint="ascii"/>
          <w:sz w:val="18"/>
        </w:rPr>
        <mc:AlternateContent>
          <mc:Choice Requires="wps">
            <w:drawing>
              <wp:anchor distL="0" distR="0" distT="0" distB="0" simplePos="0" behindDoc="1" relativeHeight="380" locked="0" layoutInCell="1" allowOverlap="1">
                <wp:simplePos x="0" y="0"/>
                <wp:positionH relativeFrom="page">
                  <wp:posOffset>4352290</wp:posOffset>
                </wp:positionH>
                <wp:positionV relativeFrom="page">
                  <wp:posOffset>3881120</wp:posOffset>
                </wp:positionV>
                <wp:extent cx="515620" cy="170815"/>
                <wp:wrapNone/>
                <wp:docPr id="1407" name="1407"/>
                <wp:cNvGraphicFramePr/>
                <a:graphic>
                  <a:graphicData uri="http://schemas.microsoft.com/office/word/2010/wordprocessingShape">
                    <wps:wsp>
                      <wps:cNvSpPr/>
                      <wps:spPr>
                        <a:xfrm>
                          <a:off x="0" y="0"/>
                          <a:ext cx="5156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05.60pt;z-index:-251269120;width:40.60pt;height:13.45pt;" id="1407" coordsize="812,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81" locked="0" layoutInCell="1" allowOverlap="1">
                <wp:simplePos x="0" y="0"/>
                <wp:positionH relativeFrom="page">
                  <wp:posOffset>4352290</wp:posOffset>
                </wp:positionH>
                <wp:positionV relativeFrom="page">
                  <wp:posOffset>4063365</wp:posOffset>
                </wp:positionV>
                <wp:extent cx="515620" cy="170815"/>
                <wp:wrapNone/>
                <wp:docPr id="1408" name="1408"/>
                <wp:cNvGraphicFramePr/>
                <a:graphic>
                  <a:graphicData uri="http://schemas.microsoft.com/office/word/2010/wordprocessingShape">
                    <wps:wsp>
                      <wps:cNvSpPr/>
                      <wps:spPr>
                        <a:xfrm>
                          <a:off x="0" y="0"/>
                          <a:ext cx="5156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19.95pt;z-index:-251268096;width:40.60pt;height:13.45pt;" id="1408" coordsize="812,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82" locked="0" layoutInCell="1" allowOverlap="1">
                <wp:simplePos x="0" y="0"/>
                <wp:positionH relativeFrom="page">
                  <wp:posOffset>4352290</wp:posOffset>
                </wp:positionH>
                <wp:positionV relativeFrom="page">
                  <wp:posOffset>4241800</wp:posOffset>
                </wp:positionV>
                <wp:extent cx="515620" cy="170815"/>
                <wp:wrapNone/>
                <wp:docPr id="1409" name="1409"/>
                <wp:cNvGraphicFramePr/>
                <a:graphic>
                  <a:graphicData uri="http://schemas.microsoft.com/office/word/2010/wordprocessingShape">
                    <wps:wsp>
                      <wps:cNvSpPr/>
                      <wps:spPr>
                        <a:xfrm>
                          <a:off x="0" y="0"/>
                          <a:ext cx="5156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34.00pt;z-index:-251267072;width:40.60pt;height:13.45pt;" id="1409" coordsize="812,269" stroked="f" fillcolor="#ffffff" opacity="0f">
                <v:stroke endcap="round"/>
                <v:fill opacity="0f"/>
                <w10:wrap anchorx="page" anchory="page" side="both"/>
              </v:rect>
            </w:pict>
          </mc:Fallback>
        </mc:AlternateContent>
      </w:r>
    </w:p>
    <w:p>
      <w:pPr>
        <w:autoSpaceDE w:val="0"/>
        <w:autoSpaceDN w:val="0"/>
        <w:jc w:val="left"/>
        <w:spacing w:before="429496729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分析与评估</w:t>
      </w:r>
    </w:p>
    <w:p>
      <w:pPr>
        <w:autoSpaceDE w:val="0"/>
        <w:autoSpaceDN w:val="0"/>
        <w:jc w:val="left"/>
        <w:spacing w:before="56"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控制系统</w:t>
      </w:r>
    </w:p>
    <w:p>
      <w:pPr>
        <w:autoSpaceDE w:val="0"/>
        <w:autoSpaceDN w:val="0"/>
        <w:jc w:val="left"/>
        <w:spacing w:before="61" w:after="0" w:lineRule="auto" w:line="307"/>
        <w:ind w:right="963"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协同优化控制系统</w:t>
      </w:r>
      <w:r>
        <w:rPr>
          <w:rFonts w:ascii="Times New Roman" w:hAnsi="Times New Roman" w:cs="Times New Roman" w:eastAsia="Times New Roman" w:hint="ascii"/>
          <w:sz w:val="18"/>
        </w:rPr>
        <w:t>F030202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嵌入式控制系统</w:t>
      </w:r>
      <w:r>
        <w:rPr>
          <w:rFonts w:ascii="Times New Roman" w:hAnsi="Times New Roman" w:cs="Times New Roman" w:eastAsia="Times New Roman" w:hint="ascii"/>
          <w:sz w:val="18"/>
        </w:rPr>
        <w:t>F030203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电力电子与电机控制</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系统</w:t>
      </w:r>
    </w:p>
    <w:p>
      <w:pPr>
        <w:autoSpaceDE w:val="0"/>
        <w:autoSpaceDN w:val="0"/>
        <w:jc w:val="left"/>
        <w:spacing w:before="55" w:after="0" w:lineRule="auto" w:line="307"/>
        <w:ind w:right="963"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复杂装备控制系统</w:t>
      </w:r>
      <w:r>
        <w:rPr>
          <w:rFonts w:ascii="Times New Roman" w:hAnsi="Times New Roman" w:cs="Times New Roman" w:eastAsia="Times New Roman" w:hint="ascii"/>
          <w:sz w:val="18"/>
        </w:rPr>
        <w:t>F030205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交通运输控制系统</w:t>
      </w:r>
      <w:r>
        <w:rPr>
          <w:rFonts w:ascii="Times New Roman" w:hAnsi="Times New Roman" w:cs="Times New Roman" w:eastAsia="Times New Roman" w:hint="ascii"/>
          <w:sz w:val="18"/>
        </w:rPr>
        <w:t>F030206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航天与航空飞行器控</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制系统</w:t>
      </w:r>
    </w:p>
    <w:p>
      <w:pPr>
        <w:autoSpaceDE w:val="0"/>
        <w:autoSpaceDN w:val="0"/>
        <w:jc w:val="left"/>
        <w:spacing w:before="56"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海洋装备与运载器控</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制系统</w:t>
      </w:r>
    </w:p>
    <w:p>
      <w:pPr>
        <w:autoSpaceDE w:val="0"/>
        <w:autoSpaceDN w:val="0"/>
        <w:jc w:val="left"/>
        <w:spacing w:before="55" w:after="0" w:lineRule="auto" w:line="307"/>
        <w:ind w:right="1076"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新能源控制系统</w:t>
      </w:r>
      <w:r>
        <w:rPr>
          <w:rFonts w:ascii="Times New Roman" w:hAnsi="Times New Roman" w:cs="Times New Roman" w:eastAsia="Times New Roman" w:hint="ascii"/>
          <w:sz w:val="18"/>
        </w:rPr>
        <w:t>F030209</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微纳控制系统</w:t>
      </w:r>
      <w:r>
        <w:rPr>
          <w:rFonts w:ascii="Times New Roman" w:hAnsi="Times New Roman" w:cs="Times New Roman" w:eastAsia="Times New Roman" w:hint="ascii"/>
          <w:sz w:val="18"/>
        </w:rPr>
        <w:t>F030210</w:t>
      </w:r>
      <w:r>
        <w:rPr>
          <w:rFonts w:ascii="Times New Roman" w:hAnsi="Times New Roman" w:cs="Times New Roman" w:eastAsia="Times New Roman" w:hint="ascii"/>
          <w:sz w:val="18"/>
          <w:spacing w:val="45"/>
        </w:rPr>
        <w:t xml:space="preserve"> </w:t>
      </w:r>
      <w:r>
        <w:rPr>
          <w:rFonts w:ascii="宋体" w:hAnsi="宋体" w:cs="宋体" w:eastAsia="宋体" w:hint="ascii"/>
          <w:sz w:val="18"/>
        </w:rPr>
        <w:t>过程控制系统</w:t>
      </w:r>
      <w:r>
        <w:rPr>
          <w:rFonts w:ascii="Times New Roman" w:hAnsi="Times New Roman" w:cs="Times New Roman" w:eastAsia="Times New Roman" w:hint="ascii"/>
          <w:sz w:val="18"/>
        </w:rPr>
        <w:t>F0302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运动体控制系统</w:t>
      </w:r>
      <w:r>
        <w:rPr>
          <w:rFonts w:ascii="Times New Roman" w:hAnsi="Times New Roman" w:cs="Times New Roman" w:eastAsia="Times New Roman" w:hint="ascii"/>
          <w:sz w:val="18"/>
        </w:rPr>
        <w:t>F030212</w:t>
      </w:r>
      <w:r>
        <w:rPr>
          <w:rFonts w:ascii="Times New Roman" w:hAnsi="Times New Roman" w:cs="Times New Roman" w:eastAsia="Times New Roman" w:hint="ascii"/>
          <w:sz w:val="18"/>
          <w:spacing w:val="45"/>
        </w:rPr>
        <w:t xml:space="preserve"> </w:t>
      </w:r>
      <w:r>
        <w:rPr>
          <w:rFonts w:ascii="宋体" w:hAnsi="宋体" w:cs="宋体" w:eastAsia="宋体" w:hint="ascii"/>
          <w:sz w:val="18"/>
        </w:rPr>
        <w:t>楼宇监测与控制系统</w:t>
      </w:r>
      <w:r>
        <w:rPr>
          <w:rFonts w:ascii="Times New Roman" w:hAnsi="Times New Roman" w:cs="Times New Roman" w:eastAsia="Times New Roman" w:hint="ascii"/>
          <w:sz w:val="18"/>
        </w:rPr>
        <w:t>F030213</w:t>
      </w:r>
      <w:r>
        <w:rPr>
          <w:rFonts w:ascii="Times New Roman" w:hAnsi="Times New Roman" w:cs="Times New Roman" w:eastAsia="Times New Roman" w:hint="ascii"/>
          <w:sz w:val="18"/>
          <w:spacing w:val="45"/>
        </w:rPr>
        <w:t xml:space="preserve"> </w:t>
      </w:r>
      <w:r>
        <w:rPr>
          <w:rFonts w:ascii="宋体" w:hAnsi="宋体" w:cs="宋体" w:eastAsia="宋体" w:hint="ascii"/>
          <w:sz w:val="18"/>
        </w:rPr>
        <w:t>农业监测与控制系统</w:t>
      </w:r>
      <w:r>
        <w:rPr>
          <w:rFonts w:ascii="Times New Roman" w:hAnsi="Times New Roman" w:cs="Times New Roman" w:eastAsia="Times New Roman" w:hint="ascii"/>
          <w:sz w:val="18"/>
        </w:rPr>
        <w:t>F030214</w:t>
      </w:r>
      <w:r>
        <w:rPr>
          <w:rFonts w:ascii="Times New Roman" w:hAnsi="Times New Roman" w:cs="Times New Roman" w:eastAsia="Times New Roman" w:hint="ascii"/>
          <w:sz w:val="18"/>
          <w:spacing w:val="45"/>
        </w:rPr>
        <w:t xml:space="preserve"> </w:t>
      </w:r>
      <w:r>
        <w:rPr>
          <w:rFonts w:ascii="宋体" w:hAnsi="宋体" w:cs="宋体" w:eastAsia="宋体" w:hint="ascii"/>
          <w:sz w:val="18"/>
        </w:rPr>
        <w:t>自动化教学实验系统</w:t>
      </w:r>
    </w:p>
    <w:p>
      <w:pPr>
        <w:autoSpaceDE w:val="0"/>
        <w:autoSpaceDN w:val="0"/>
        <w:jc w:val="left"/>
        <w:spacing w:before="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系统建模理论与仿真技术</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动态系统建模理论与</w:t>
      </w:r>
    </w:p>
    <w:p>
      <w:pPr>
        <w:autoSpaceDE w:val="0"/>
        <w:autoSpaceDN w:val="0"/>
        <w:jc w:val="left"/>
        <w:spacing w:before="6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both"/>
        <w:spacing w:before="56" w:after="0" w:lineRule="auto" w:line="306"/>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F030302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数</w:t>
      </w:r>
      <w:r>
        <w:rPr>
          <w:rFonts w:ascii="宋体" w:hAnsi="宋体" w:cs="宋体" w:eastAsia="宋体" w:hint="ascii"/>
          <w:sz w:val="18"/>
        </w:rPr>
        <w:t>据建模方法与技术</w:t>
      </w:r>
      <w:r>
        <w:rPr>
          <w:rFonts w:ascii="Times New Roman" w:hAnsi="Times New Roman" w:cs="Times New Roman" w:eastAsia="Times New Roman" w:hint="ascii"/>
          <w:sz w:val="18"/>
          <w:spacing w:val="-1"/>
        </w:rPr>
        <w:t>F030303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智</w:t>
      </w:r>
      <w:r>
        <w:rPr>
          <w:rFonts w:ascii="宋体" w:hAnsi="宋体" w:cs="宋体" w:eastAsia="宋体" w:hint="ascii"/>
          <w:sz w:val="18"/>
        </w:rPr>
        <w:t>能建模方法与技术</w:t>
      </w:r>
    </w:p>
    <w:p>
      <w:pPr>
        <w:autoSpaceDE w:val="0"/>
        <w:autoSpaceDN w:val="0"/>
        <w:jc w:val="left"/>
        <w:spacing w:before="229" w:after="0" w:lineRule="exact" w:line="225"/>
        <w:ind w:right="0" w:left="2647" w:firstLine="0"/>
        <w:snapToGrid w:val="0"/>
        <w:textAlignment w:val="auto"/>
        <w:tabs/>
        <w:sectPr>
          <w:type w:val="continuous"/>
          <w:pgSz w:w="10940" w:h="15080" w:orient="portrait"/>
          <w:pgMar w:top="508" w:right="508" w:bottom="508" w:left="508" w:header="0" w:footer="0" w:gutter="0"/>
          <w:cols w:num="2" w:space="0" w:equalWidth="0">
            <w:col w:w="4707" w:space="977"/>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F030304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系</w:t>
      </w:r>
      <w:r>
        <w:rPr>
          <w:rFonts w:ascii="宋体" w:hAnsi="宋体" w:cs="宋体" w:eastAsia="宋体" w:hint="ascii"/>
          <w:sz w:val="18"/>
        </w:rPr>
        <w:t>统状态滤波、估计</w:t>
      </w:r>
      <w:r>
        <w:rPr>
          <w:rFonts w:ascii="宋体" w:hAnsi="宋体" w:cs="宋体" w:eastAsia="宋体" w:hint="ascii"/>
          <w:sz w:val="18"/>
        </w:rPr>
        <mc:AlternateContent>
          <mc:Choice Requires="wps">
            <w:drawing>
              <wp:anchor distL="0" distR="0" distT="0" distB="0" simplePos="0" behindDoc="1" relativeHeight="383" locked="0" layoutInCell="1" allowOverlap="1">
                <wp:simplePos x="0" y="0"/>
                <wp:positionH relativeFrom="page">
                  <wp:posOffset>938530</wp:posOffset>
                </wp:positionH>
                <wp:positionV relativeFrom="page">
                  <wp:posOffset>805815</wp:posOffset>
                </wp:positionV>
                <wp:extent cx="5076190" cy="0"/>
                <wp:wrapNone/>
                <wp:docPr id="1410" name="141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66048;width:399.70pt;" id="141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与预测</w:t>
      </w:r>
    </w:p>
    <w:p>
      <w:pPr>
        <w:autoSpaceDE w:val="0"/>
        <w:autoSpaceDN w:val="0"/>
        <w:jc w:val="both"/>
        <w:spacing w:before="56" w:after="0" w:lineRule="auto" w:line="30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F030305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系</w:t>
      </w:r>
      <w:r>
        <w:rPr>
          <w:rFonts w:ascii="宋体" w:hAnsi="宋体" w:cs="宋体" w:eastAsia="宋体" w:hint="ascii"/>
          <w:sz w:val="18"/>
        </w:rPr>
        <w:t>统辨识与参数估计</w:t>
      </w:r>
      <w:r>
        <w:rPr>
          <w:rFonts w:ascii="Times New Roman" w:hAnsi="Times New Roman" w:cs="Times New Roman" w:eastAsia="Times New Roman" w:hint="ascii"/>
          <w:sz w:val="18"/>
          <w:spacing w:val="-1"/>
        </w:rPr>
        <w:t>F030306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复</w:t>
      </w:r>
      <w:r>
        <w:rPr>
          <w:rFonts w:ascii="宋体" w:hAnsi="宋体" w:cs="宋体" w:eastAsia="宋体" w:hint="ascii"/>
          <w:sz w:val="18"/>
        </w:rPr>
        <w:t>杂网络系统建模与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分析</w:t>
      </w:r>
    </w:p>
    <w:p>
      <w:pPr>
        <w:autoSpaceDE w:val="0"/>
        <w:autoSpaceDN w:val="0"/>
        <w:jc w:val="left"/>
        <w:spacing w:before="56"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F030307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复</w:t>
      </w:r>
      <w:r>
        <w:rPr>
          <w:rFonts w:ascii="宋体" w:hAnsi="宋体" w:cs="宋体" w:eastAsia="宋体" w:hint="ascii"/>
          <w:sz w:val="18"/>
        </w:rPr>
        <w:t>杂动态系统建模与</w:t>
      </w:r>
    </w:p>
    <w:p>
      <w:pPr>
        <w:autoSpaceDE w:val="0"/>
        <w:autoSpaceDN w:val="0"/>
        <w:jc w:val="left"/>
        <w:spacing w:before="6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分析</w:t>
      </w:r>
    </w:p>
    <w:p>
      <w:pPr>
        <w:autoSpaceDE w:val="0"/>
        <w:autoSpaceDN w:val="0"/>
        <w:jc w:val="both"/>
        <w:spacing w:before="55" w:after="0" w:lineRule="auto" w:line="307"/>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F030308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动</w:t>
      </w:r>
      <w:r>
        <w:rPr>
          <w:rFonts w:ascii="宋体" w:hAnsi="宋体" w:cs="宋体" w:eastAsia="宋体" w:hint="ascii"/>
          <w:sz w:val="18"/>
        </w:rPr>
        <w:t>态模拟与模型验证</w:t>
      </w:r>
      <w:r>
        <w:rPr>
          <w:rFonts w:ascii="Times New Roman" w:hAnsi="Times New Roman" w:cs="Times New Roman" w:eastAsia="Times New Roman" w:hint="ascii"/>
          <w:sz w:val="18"/>
          <w:spacing w:val="-1"/>
        </w:rPr>
        <w:t>F030309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工</w:t>
      </w:r>
      <w:r>
        <w:rPr>
          <w:rFonts w:ascii="宋体" w:hAnsi="宋体" w:cs="宋体" w:eastAsia="宋体" w:hint="ascii"/>
          <w:sz w:val="18"/>
        </w:rPr>
        <w:t>业系统建模与仿真</w:t>
      </w:r>
      <w:r>
        <w:rPr>
          <w:rFonts w:ascii="Times New Roman" w:hAnsi="Times New Roman" w:cs="Times New Roman" w:eastAsia="Times New Roman" w:hint="ascii"/>
          <w:sz w:val="18"/>
          <w:spacing w:val="-1"/>
        </w:rPr>
        <w:t>F030310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社</w:t>
      </w:r>
      <w:r>
        <w:rPr>
          <w:rFonts w:ascii="宋体" w:hAnsi="宋体" w:cs="宋体" w:eastAsia="宋体" w:hint="ascii"/>
          <w:sz w:val="18"/>
        </w:rPr>
        <w:t>会、经济系统建模</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与仿真</w:t>
      </w:r>
    </w:p>
    <w:p>
      <w:pPr>
        <w:autoSpaceDE w:val="0"/>
        <w:autoSpaceDN w:val="0"/>
        <w:jc w:val="both"/>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w:t>
      </w:r>
      <w:r>
        <w:rPr>
          <w:rFonts w:ascii="Times New Roman" w:hAnsi="Times New Roman" w:cs="Times New Roman" w:eastAsia="Times New Roman" w:hint="ascii"/>
          <w:sz w:val="18"/>
        </w:rPr>
        <w:t>3</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交通系统建模与仿真</w:t>
      </w:r>
      <w:r>
        <w:rPr>
          <w:rFonts w:ascii="Times New Roman" w:hAnsi="Times New Roman" w:cs="Times New Roman" w:eastAsia="Times New Roman" w:hint="ascii"/>
          <w:sz w:val="18"/>
          <w:spacing w:val="-1"/>
        </w:rPr>
        <w:t>F030312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能</w:t>
      </w:r>
      <w:r>
        <w:rPr>
          <w:rFonts w:ascii="宋体" w:hAnsi="宋体" w:cs="宋体" w:eastAsia="宋体" w:hint="ascii"/>
          <w:sz w:val="18"/>
        </w:rPr>
        <w:t>源系统建模与仿真</w:t>
      </w:r>
      <w:r>
        <w:rPr>
          <w:rFonts w:ascii="Times New Roman" w:hAnsi="Times New Roman" w:cs="Times New Roman" w:eastAsia="Times New Roman" w:hint="ascii"/>
          <w:sz w:val="18"/>
        </w:rPr>
        <w:t>F030313</w:t>
      </w:r>
      <w:r>
        <w:rPr>
          <w:rFonts w:ascii="Times New Roman" w:hAnsi="Times New Roman" w:cs="Times New Roman" w:eastAsia="Times New Roman" w:hint="ascii"/>
          <w:sz w:val="18"/>
          <w:spacing w:val="45"/>
        </w:rPr>
        <w:t xml:space="preserve"> </w:t>
      </w:r>
      <w:r>
        <w:rPr>
          <w:rFonts w:ascii="宋体" w:hAnsi="宋体" w:cs="宋体" w:eastAsia="宋体" w:hint="ascii"/>
          <w:sz w:val="18"/>
        </w:rPr>
        <w:t>系统仿真与评估</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系统工程理论与技术</w: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复杂系统理论</w:t>
      </w:r>
      <w:r>
        <w:rPr>
          <w:rFonts w:ascii="Times New Roman" w:hAnsi="Times New Roman" w:cs="Times New Roman" w:eastAsia="Times New Roman" w:hint="ascii"/>
          <w:sz w:val="18"/>
        </w:rPr>
        <w:t>F030402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优化理论与方法</w:t>
      </w:r>
      <w:r>
        <w:rPr>
          <w:rFonts w:ascii="Times New Roman" w:hAnsi="Times New Roman" w:cs="Times New Roman" w:eastAsia="Times New Roman" w:hint="ascii"/>
          <w:sz w:val="18"/>
          <w:spacing w:val="-1"/>
        </w:rPr>
        <w:t>F030403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智</w:t>
      </w:r>
      <w:r>
        <w:rPr>
          <w:rFonts w:ascii="宋体" w:hAnsi="宋体" w:cs="宋体" w:eastAsia="宋体" w:hint="ascii"/>
          <w:sz w:val="18"/>
        </w:rPr>
        <w:t>能优化方法与技术</w:t>
      </w:r>
      <w:r>
        <w:rPr>
          <w:rFonts w:ascii="Times New Roman" w:hAnsi="Times New Roman" w:cs="Times New Roman" w:eastAsia="Times New Roman" w:hint="ascii"/>
          <w:sz w:val="18"/>
          <w:spacing w:val="-1"/>
        </w:rPr>
        <w:t>F030404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工</w:t>
      </w:r>
      <w:r>
        <w:rPr>
          <w:rFonts w:ascii="宋体" w:hAnsi="宋体" w:cs="宋体" w:eastAsia="宋体" w:hint="ascii"/>
          <w:sz w:val="18"/>
        </w:rPr>
        <w:t>程系统优化方法与</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both"/>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计</w:t>
      </w:r>
      <w:r>
        <w:rPr>
          <w:rFonts w:ascii="宋体" w:hAnsi="宋体" w:cs="宋体" w:eastAsia="宋体" w:hint="ascii"/>
          <w:sz w:val="18"/>
        </w:rPr>
        <w:t>划调度系统与优化</w:t>
      </w:r>
      <w:r>
        <w:rPr>
          <w:rFonts w:ascii="Times New Roman" w:hAnsi="Times New Roman" w:cs="Times New Roman" w:eastAsia="Times New Roman" w:hint="ascii"/>
          <w:sz w:val="18"/>
          <w:spacing w:val="-1"/>
        </w:rPr>
        <w:t>F030406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资</w:t>
      </w:r>
      <w:r>
        <w:rPr>
          <w:rFonts w:ascii="宋体" w:hAnsi="宋体" w:cs="宋体" w:eastAsia="宋体" w:hint="ascii"/>
          <w:sz w:val="18"/>
        </w:rPr>
        <w:t>源、能源管理系统</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与优化</w: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F030407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物</w:t>
      </w:r>
      <w:r>
        <w:rPr>
          <w:rFonts w:ascii="宋体" w:hAnsi="宋体" w:cs="宋体" w:eastAsia="宋体" w:hint="ascii"/>
          <w:sz w:val="18"/>
        </w:rPr>
        <w:t>流管理系统与优化</w:t>
      </w:r>
      <w:r>
        <w:rPr>
          <w:rFonts w:ascii="Times New Roman" w:hAnsi="Times New Roman" w:cs="Times New Roman" w:eastAsia="Times New Roman" w:hint="ascii"/>
          <w:sz w:val="18"/>
          <w:spacing w:val="-1"/>
        </w:rPr>
        <w:t>F030408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交</w:t>
      </w:r>
      <w:r>
        <w:rPr>
          <w:rFonts w:ascii="宋体" w:hAnsi="宋体" w:cs="宋体" w:eastAsia="宋体" w:hint="ascii"/>
          <w:sz w:val="18"/>
        </w:rPr>
        <w:t>通管理系统与优化</w:t>
      </w:r>
      <w:r>
        <w:rPr>
          <w:rFonts w:ascii="Times New Roman" w:hAnsi="Times New Roman" w:cs="Times New Roman" w:eastAsia="Times New Roman" w:hint="ascii"/>
          <w:sz w:val="18"/>
          <w:spacing w:val="-1"/>
        </w:rPr>
        <w:t>F030409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应</w:t>
      </w:r>
      <w:r>
        <w:rPr>
          <w:rFonts w:ascii="宋体" w:hAnsi="宋体" w:cs="宋体" w:eastAsia="宋体" w:hint="ascii"/>
          <w:sz w:val="18"/>
        </w:rPr>
        <w:t>急指挥系统与优化</w:t>
      </w:r>
      <w:r>
        <w:rPr>
          <w:rFonts w:ascii="Times New Roman" w:hAnsi="Times New Roman" w:cs="Times New Roman" w:eastAsia="Times New Roman" w:hint="ascii"/>
          <w:sz w:val="18"/>
        </w:rPr>
        <w:t>F030410</w:t>
      </w:r>
      <w:r>
        <w:rPr>
          <w:rFonts w:ascii="Times New Roman" w:hAnsi="Times New Roman" w:cs="Times New Roman" w:eastAsia="Times New Roman" w:hint="ascii"/>
          <w:sz w:val="18"/>
          <w:spacing w:val="45"/>
        </w:rPr>
        <w:t xml:space="preserve"> </w:t>
      </w:r>
      <w:r>
        <w:rPr>
          <w:rFonts w:ascii="宋体" w:hAnsi="宋体" w:cs="宋体" w:eastAsia="宋体" w:hint="ascii"/>
          <w:sz w:val="18"/>
        </w:rPr>
        <w:t>网络化系统优化</w:t>
      </w:r>
      <w:r>
        <w:rPr>
          <w:rFonts w:ascii="Times New Roman" w:hAnsi="Times New Roman" w:cs="Times New Roman" w:eastAsia="Times New Roman" w:hint="ascii"/>
          <w:sz w:val="18"/>
          <w:spacing w:val="-1"/>
        </w:rPr>
        <w:t>F030</w:t>
      </w:r>
      <w:r>
        <w:rPr>
          <w:rFonts w:ascii="Times New Roman" w:hAnsi="Times New Roman" w:cs="Times New Roman" w:eastAsia="Times New Roman" w:hint="ascii"/>
          <w:sz w:val="18"/>
        </w:rPr>
        <w:t>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自动化系统安全与可</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靠性分析</w: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F030412</w:t>
      </w:r>
      <w:r>
        <w:rPr>
          <w:rFonts w:ascii="Times New Roman" w:hAnsi="Times New Roman" w:cs="Times New Roman" w:eastAsia="Times New Roman" w:hint="ascii"/>
          <w:sz w:val="18"/>
          <w:spacing w:val="45"/>
        </w:rPr>
        <w:t xml:space="preserve"> </w:t>
      </w:r>
      <w:r>
        <w:rPr>
          <w:rFonts w:ascii="宋体" w:hAnsi="宋体" w:cs="宋体" w:eastAsia="宋体" w:hint="ascii"/>
          <w:sz w:val="18"/>
        </w:rPr>
        <w:t>系统集成优化技术</w:t>
      </w:r>
      <w:r>
        <w:rPr>
          <w:rFonts w:ascii="Times New Roman" w:hAnsi="Times New Roman" w:cs="Times New Roman" w:eastAsia="Times New Roman" w:hint="ascii"/>
          <w:sz w:val="18"/>
          <w:spacing w:val="-1"/>
        </w:rPr>
        <w:t>F030413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信</w:t>
      </w:r>
      <w:r>
        <w:rPr>
          <w:rFonts w:ascii="宋体" w:hAnsi="宋体" w:cs="宋体" w:eastAsia="宋体" w:hint="ascii"/>
          <w:sz w:val="18"/>
        </w:rPr>
        <w:t>息服务系统理论与</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F030414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社</w:t>
      </w:r>
      <w:r>
        <w:rPr>
          <w:rFonts w:ascii="宋体" w:hAnsi="宋体" w:cs="宋体" w:eastAsia="宋体" w:hint="ascii"/>
          <w:sz w:val="18"/>
        </w:rPr>
        <w:t>会经济系统分析与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优化</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F030415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信</w:t>
      </w:r>
      <w:r>
        <w:rPr>
          <w:rFonts w:ascii="宋体" w:hAnsi="宋体" w:cs="宋体" w:eastAsia="宋体" w:hint="ascii"/>
          <w:sz w:val="18"/>
        </w:rPr>
        <w:t>息物理系统优化与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安全</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F030416</w:t>
      </w:r>
      <w:r>
        <w:rPr>
          <w:rFonts w:ascii="Times New Roman" w:hAnsi="Times New Roman" w:cs="Times New Roman" w:eastAsia="Times New Roman" w:hint="ascii"/>
          <w:sz w:val="18"/>
          <w:spacing w:val="45"/>
        </w:rPr>
        <w:t xml:space="preserve"> </w:t>
      </w:r>
      <w:r>
        <w:rPr>
          <w:rFonts w:ascii="宋体" w:hAnsi="宋体" w:cs="宋体" w:eastAsia="宋体" w:hint="ascii"/>
          <w:sz w:val="18"/>
        </w:rPr>
        <w:t>工程博弈论</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生物系统分析与调控</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理系统建模、分析</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与调控</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物过程建模、分析</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与调控</w:t>
      </w:r>
    </w:p>
    <w:p>
      <w:pPr>
        <w:autoSpaceDE w:val="0"/>
        <w:autoSpaceDN w:val="0"/>
        <w:jc w:val="left"/>
        <w:spacing w:before="354"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F030503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生物及健康大数据分</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析技术与应用</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生物特征与生物分子</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识别</w:t>
      </w:r>
    </w:p>
    <w:p>
      <w:pPr>
        <w:autoSpaceDE w:val="0"/>
        <w:autoSpaceDN w:val="0"/>
        <w:jc w:val="both"/>
        <w:spacing w:before="61" w:after="0" w:lineRule="auto" w:line="314"/>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医</w:t>
      </w:r>
      <w:r>
        <w:rPr>
          <w:rFonts w:ascii="宋体" w:hAnsi="宋体" w:cs="宋体" w:eastAsia="宋体" w:hint="ascii"/>
          <w:sz w:val="18"/>
        </w:rPr>
        <w:t>疗系统分析与调控</w:t>
      </w:r>
      <w:r>
        <w:rPr>
          <w:rFonts w:ascii="Times New Roman" w:hAnsi="Times New Roman" w:cs="Times New Roman" w:eastAsia="Times New Roman" w:hint="ascii"/>
          <w:sz w:val="18"/>
          <w:spacing w:val="-1"/>
        </w:rPr>
        <w:t>F030506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物系统控制与仿生</w:t>
      </w:r>
      <w:r>
        <w:rPr>
          <w:rFonts w:ascii="Times New Roman" w:hAnsi="Times New Roman" w:cs="Times New Roman" w:eastAsia="Times New Roman" w:hint="ascii"/>
          <w:sz w:val="18"/>
          <w:spacing w:val="-1"/>
        </w:rPr>
        <w:t>F030507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人</w:t>
      </w:r>
      <w:r>
        <w:rPr>
          <w:rFonts w:ascii="宋体" w:hAnsi="宋体" w:cs="宋体" w:eastAsia="宋体" w:hint="ascii"/>
          <w:sz w:val="18"/>
        </w:rPr>
        <w:t>工生物系统的设计</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与控制</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F030508</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生物信息学</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检测技术及装置</w:t>
      </w:r>
    </w:p>
    <w:p>
      <w:pPr>
        <w:autoSpaceDE w:val="0"/>
        <w:autoSpaceDN w:val="0"/>
        <w:jc w:val="both"/>
        <w:spacing w:before="67" w:after="0" w:lineRule="auto" w:line="314"/>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无</w:t>
      </w:r>
      <w:r>
        <w:rPr>
          <w:rFonts w:ascii="宋体" w:hAnsi="宋体" w:cs="宋体" w:eastAsia="宋体" w:hint="ascii"/>
          <w:sz w:val="18"/>
        </w:rPr>
        <w:t>损检测技术及装置</w:t>
      </w:r>
      <w:r>
        <w:rPr>
          <w:rFonts w:ascii="Times New Roman" w:hAnsi="Times New Roman" w:cs="Times New Roman" w:eastAsia="Times New Roman" w:hint="ascii"/>
          <w:sz w:val="18"/>
        </w:rPr>
        <w:t>F030602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7"/>
        </w:rPr>
        <w:t>微弱量检测技术</w:t>
      </w:r>
      <w:r>
        <w:rPr>
          <w:rFonts w:ascii="宋体" w:hAnsi="宋体" w:cs="宋体" w:eastAsia="宋体" w:hint="ascii"/>
          <w:sz w:val="18"/>
        </w:rPr>
        <w:t>及</w:t>
      </w:r>
    </w:p>
    <w:p>
      <w:pPr>
        <w:autoSpaceDE w:val="0"/>
        <w:autoSpaceDN w:val="0"/>
        <w:jc w:val="left"/>
        <w:spacing w:before="429496729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装</w:t>
      </w:r>
      <w:r>
        <w:rPr>
          <w:rFonts w:ascii="宋体" w:hAnsi="宋体" w:cs="宋体" w:eastAsia="宋体" w:hint="ascii"/>
          <w:sz w:val="18"/>
        </w:rPr>
        <w:t>置</w:t>
      </w:r>
    </w:p>
    <w:p>
      <w:pPr>
        <w:autoSpaceDE w:val="0"/>
        <w:autoSpaceDN w:val="0"/>
        <w:jc w:val="left"/>
        <w:spacing w:before="61" w:after="0" w:lineRule="auto" w:line="314"/>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F030603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在</w:t>
      </w:r>
      <w:r>
        <w:rPr>
          <w:rFonts w:ascii="宋体" w:hAnsi="宋体" w:cs="宋体" w:eastAsia="宋体" w:hint="ascii"/>
          <w:sz w:val="18"/>
        </w:rPr>
        <w:t>线检测技术及装置</w:t>
      </w:r>
      <w:r>
        <w:rPr>
          <w:rFonts w:ascii="Times New Roman" w:hAnsi="Times New Roman" w:cs="Times New Roman" w:eastAsia="Times New Roman" w:hint="ascii"/>
          <w:sz w:val="18"/>
        </w:rPr>
        <w:t>F030604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软测量理论与技术</w:t>
      </w:r>
      <w:r>
        <w:rPr>
          <w:rFonts w:ascii="Times New Roman" w:hAnsi="Times New Roman" w:cs="Times New Roman" w:eastAsia="Times New Roman" w:hint="ascii"/>
          <w:sz w:val="18"/>
        </w:rPr>
        <w:t>F030605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7"/>
        </w:rPr>
        <w:t>嵌入式检测技术</w:t>
      </w:r>
      <w:r>
        <w:rPr>
          <w:rFonts w:ascii="宋体" w:hAnsi="宋体" w:cs="宋体" w:eastAsia="宋体" w:hint="ascii"/>
          <w:sz w:val="18"/>
        </w:rPr>
        <w:t>及</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装</w:t>
      </w:r>
      <w:r>
        <w:rPr>
          <w:rFonts w:ascii="宋体" w:hAnsi="宋体" w:cs="宋体" w:eastAsia="宋体" w:hint="ascii"/>
          <w:sz w:val="18"/>
        </w:rPr>
        <w:t>置</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工业参量检测技术与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装置</w:t>
      </w:r>
    </w:p>
    <w:p>
      <w:pPr>
        <w:autoSpaceDE w:val="0"/>
        <w:autoSpaceDN w:val="0"/>
        <w:jc w:val="both"/>
        <w:spacing w:before="61" w:after="0" w:lineRule="auto" w:line="314"/>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F030607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量</w:t>
      </w:r>
      <w:r>
        <w:rPr>
          <w:rFonts w:ascii="宋体" w:hAnsi="宋体" w:cs="宋体" w:eastAsia="宋体" w:hint="ascii"/>
          <w:sz w:val="18"/>
        </w:rPr>
        <w:t>子测量技术及装置</w:t>
      </w:r>
      <w:r>
        <w:rPr>
          <w:rFonts w:ascii="Times New Roman" w:hAnsi="Times New Roman" w:cs="Times New Roman" w:eastAsia="Times New Roman" w:hint="ascii"/>
          <w:sz w:val="18"/>
          <w:spacing w:val="-1"/>
        </w:rPr>
        <w:t>F030608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态与环境监测技术</w:t>
      </w:r>
      <w:r>
        <w:rPr>
          <w:rFonts w:ascii="Times New Roman" w:hAnsi="Times New Roman" w:cs="Times New Roman" w:eastAsia="Times New Roman" w:hint="ascii"/>
          <w:sz w:val="18"/>
          <w:spacing w:val="-1"/>
        </w:rPr>
        <w:t>F030609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微</w:t>
      </w:r>
      <w:r>
        <w:rPr>
          <w:rFonts w:ascii="宋体" w:hAnsi="宋体" w:cs="宋体" w:eastAsia="宋体" w:hint="ascii"/>
          <w:sz w:val="18"/>
        </w:rPr>
        <w:t>纳传感器与检测技</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术及装置</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F030610</w:t>
      </w:r>
      <w:r>
        <w:rPr>
          <w:rFonts w:ascii="Times New Roman" w:hAnsi="Times New Roman" w:cs="Times New Roman" w:eastAsia="Times New Roman" w:hint="ascii"/>
          <w:sz w:val="18"/>
          <w:spacing w:val="45"/>
        </w:rPr>
        <w:t xml:space="preserve"> </w:t>
      </w:r>
      <w:r>
        <w:rPr>
          <w:rFonts w:ascii="宋体" w:hAnsi="宋体" w:cs="宋体" w:eastAsia="宋体" w:hint="ascii"/>
          <w:sz w:val="18"/>
        </w:rPr>
        <w:t>特种传感器与检测技</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术及装置</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F0306</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无线传感器与检测技</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术及装置</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F030612</w:t>
      </w:r>
      <w:r>
        <w:rPr>
          <w:rFonts w:ascii="Times New Roman" w:hAnsi="Times New Roman" w:cs="Times New Roman" w:eastAsia="Times New Roman" w:hint="ascii"/>
          <w:sz w:val="18"/>
          <w:spacing w:val="45"/>
        </w:rPr>
        <w:t xml:space="preserve"> </w:t>
      </w:r>
      <w:r>
        <w:rPr>
          <w:rFonts w:ascii="宋体" w:hAnsi="宋体" w:cs="宋体" w:eastAsia="宋体" w:hint="ascii"/>
          <w:sz w:val="18"/>
        </w:rPr>
        <w:t>多传感器与多源信息</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融合</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F030613</w:t>
      </w:r>
      <w:r>
        <w:rPr>
          <w:rFonts w:ascii="Times New Roman" w:hAnsi="Times New Roman" w:cs="Times New Roman" w:eastAsia="Times New Roman" w:hint="ascii"/>
          <w:sz w:val="18"/>
          <w:spacing w:val="45"/>
        </w:rPr>
        <w:t xml:space="preserve"> </w:t>
      </w:r>
      <w:r>
        <w:rPr>
          <w:rFonts w:ascii="宋体" w:hAnsi="宋体" w:cs="宋体" w:eastAsia="宋体" w:hint="ascii"/>
          <w:sz w:val="18"/>
        </w:rPr>
        <w:t>传感器测试分析技术</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及装置</w:t>
      </w:r>
    </w:p>
    <w:p>
      <w:pPr>
        <w:autoSpaceDE w:val="0"/>
        <w:autoSpaceDN w:val="0"/>
        <w:jc w:val="both"/>
        <w:spacing w:before="61" w:after="0" w:lineRule="auto" w:line="314"/>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F030614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型检测技术及装置</w:t>
      </w:r>
      <w:r>
        <w:rPr>
          <w:rFonts w:ascii="Times New Roman" w:hAnsi="Times New Roman" w:cs="Times New Roman" w:eastAsia="Times New Roman" w:hint="ascii"/>
          <w:sz w:val="18"/>
          <w:spacing w:val="-1"/>
        </w:rPr>
        <w:t>F030615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误</w:t>
      </w:r>
      <w:r>
        <w:rPr>
          <w:rFonts w:ascii="宋体" w:hAnsi="宋体" w:cs="宋体" w:eastAsia="宋体" w:hint="ascii"/>
          <w:sz w:val="18"/>
        </w:rPr>
        <w:t>差分析与校正技术</w:t>
      </w:r>
    </w:p>
    <w:p>
      <w:pPr>
        <w:autoSpaceDE w:val="0"/>
        <w:autoSpaceDN w:val="0"/>
        <w:jc w:val="left"/>
        <w:spacing w:before="0" w:after="0" w:lineRule="auto" w:line="238"/>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导航、制导与控制</w:t>
      </w:r>
    </w:p>
    <w:p>
      <w:pPr>
        <w:autoSpaceDE w:val="0"/>
        <w:autoSpaceDN w:val="0"/>
        <w:jc w:val="left"/>
        <w:spacing w:before="67" w:after="0" w:lineRule="auto" w:line="314"/>
        <w:ind w:right="1428" w:left="662" w:firstLine="0"/>
        <w:snapToGrid w:val="0"/>
        <w:textAlignment w:val="auto"/>
        <w:tabs/>
        <w:sectPr>
          <w:type w:val="continuous"/>
          <w:pgSz w:w="10940" w:h="15080" w:orient="portrait"/>
          <w:pgMar w:top="508" w:right="508" w:bottom="508" w:left="508" w:header="0" w:footer="0" w:gutter="0"/>
          <w:cols w:num="2" w:space="0" w:equalWidth="0">
            <w:col w:w="4707" w:space="977"/>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F030701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惯性导航</w:t>
      </w:r>
      <w:r>
        <w:rPr>
          <w:rFonts w:ascii="Times New Roman" w:hAnsi="Times New Roman" w:cs="Times New Roman" w:eastAsia="Times New Roman" w:hint="ascii"/>
          <w:sz w:val="18"/>
        </w:rPr>
        <w:t>F030702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天文导航</w:t>
      </w:r>
      <w:r>
        <w:rPr>
          <w:rFonts w:ascii="Times New Roman" w:hAnsi="Times New Roman" w:cs="Times New Roman" w:eastAsia="Times New Roman" w:hint="ascii"/>
          <w:sz w:val="18"/>
        </w:rPr>
        <w:t>F030703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卫星导航</w:t>
      </w:r>
      <w:r>
        <w:rPr>
          <w:rFonts w:ascii="Times New Roman" w:hAnsi="Times New Roman" w:cs="Times New Roman" w:eastAsia="Times New Roman" w:hint="ascii"/>
          <w:sz w:val="18"/>
        </w:rPr>
        <w:t>F030704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视觉导航</w:t>
      </w:r>
      <w:r>
        <w:rPr>
          <w:rFonts w:ascii="Times New Roman" w:hAnsi="Times New Roman" w:cs="Times New Roman" w:eastAsia="Times New Roman" w:hint="ascii"/>
          <w:sz w:val="18"/>
        </w:rPr>
        <w:t>F030705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自主导航</w:t>
      </w:r>
      <w:r>
        <w:rPr>
          <w:rFonts w:ascii="Times New Roman" w:hAnsi="Times New Roman" w:cs="Times New Roman" w:eastAsia="Times New Roman" w:hint="ascii"/>
          <w:sz w:val="18"/>
        </w:rPr>
        <w:t>F030706</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量子导航</w:t>
      </w:r>
      <w:r>
        <w:rPr>
          <w:rFonts w:ascii="Times New Roman" w:hAnsi="Times New Roman" w:cs="Times New Roman" w:eastAsia="Times New Roman" w:hint="ascii"/>
          <w:sz w:val="18"/>
        </w:rPr>
        <w:t>F030707</w:t>
      </w:r>
      <w:r>
        <w:rPr>
          <w:rFonts w:ascii="Times New Roman" w:hAnsi="Times New Roman" w:cs="Times New Roman" w:eastAsia="Times New Roman" w:hint="ascii"/>
          <w:sz w:val="18"/>
          <w:spacing w:val="45"/>
        </w:rPr>
        <w:t xml:space="preserve"> </w:t>
      </w:r>
      <w:r>
        <w:rPr>
          <w:rFonts w:ascii="宋体" w:hAnsi="宋体" w:cs="宋体" w:eastAsia="宋体" w:hint="ascii"/>
          <w:sz w:val="18"/>
        </w:rPr>
        <w:t>仿生导航</w:t>
      </w:r>
      <w:r>
        <w:rPr>
          <w:rFonts w:ascii="Times New Roman" w:hAnsi="Times New Roman" w:cs="Times New Roman" w:eastAsia="Times New Roman" w:hint="ascii"/>
          <w:sz w:val="18"/>
        </w:rPr>
        <w:t>F030708</w:t>
      </w:r>
      <w:r>
        <w:rPr>
          <w:rFonts w:ascii="Times New Roman" w:hAnsi="Times New Roman" w:cs="Times New Roman" w:eastAsia="Times New Roman" w:hint="ascii"/>
          <w:sz w:val="18"/>
          <w:spacing w:val="45"/>
        </w:rPr>
        <w:t xml:space="preserve"> </w:t>
      </w:r>
      <w:r>
        <w:rPr>
          <w:rFonts w:ascii="宋体" w:hAnsi="宋体" w:cs="宋体" w:eastAsia="宋体" w:hint="ascii"/>
          <w:sz w:val="18"/>
        </w:rPr>
        <w:t>组合导航</w:t>
      </w:r>
      <w:rPr>
        <w:rFonts w:ascii="宋体" w:hAnsi="宋体" w:cs="宋体" w:eastAsia="宋体" w:hint="ascii"/>
        <w:sz w:val="18"/>
      </w:rPr>
    </w:p>
    <w:p>
      <w:pPr>
        <w:autoSpaceDE w:val="0"/>
        <w:autoSpaceDN w:val="0"/>
        <w:jc w:val="left"/>
        <w:spacing w:before="359"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284</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F030709</w:t>
      </w:r>
      <w:r>
        <w:rPr>
          <w:rFonts w:ascii="Times New Roman" w:hAnsi="Times New Roman" w:cs="Times New Roman" w:eastAsia="Times New Roman" w:hint="ascii"/>
          <w:sz w:val="18"/>
          <w:spacing w:val="45"/>
        </w:rPr>
        <w:t xml:space="preserve"> </w:t>
      </w:r>
      <w:r>
        <w:rPr>
          <w:rFonts w:ascii="宋体" w:hAnsi="宋体" w:cs="宋体" w:eastAsia="宋体" w:hint="ascii"/>
          <w:sz w:val="18"/>
        </w:rPr>
        <w:t>重力与地磁导航</w:t>
      </w:r>
      <w:r>
        <w:rPr>
          <w:rFonts w:ascii="Times New Roman" w:hAnsi="Times New Roman" w:cs="Times New Roman" w:eastAsia="Times New Roman" w:hint="ascii"/>
          <w:sz w:val="18"/>
        </w:rPr>
        <w:t>F030710</w:t>
      </w:r>
      <w:r>
        <w:rPr>
          <w:rFonts w:ascii="Times New Roman" w:hAnsi="Times New Roman" w:cs="Times New Roman" w:eastAsia="Times New Roman" w:hint="ascii"/>
          <w:sz w:val="18"/>
          <w:spacing w:val="45"/>
        </w:rPr>
        <w:t xml:space="preserve"> </w:t>
      </w:r>
      <w:r>
        <w:rPr>
          <w:rFonts w:ascii="宋体" w:hAnsi="宋体" w:cs="宋体" w:eastAsia="宋体" w:hint="ascii"/>
          <w:sz w:val="18"/>
        </w:rPr>
        <w:t>导航技术与系统</w:t>
      </w:r>
      <w:r>
        <w:rPr>
          <w:rFonts w:ascii="Times New Roman" w:hAnsi="Times New Roman" w:cs="Times New Roman" w:eastAsia="Times New Roman" w:hint="ascii"/>
          <w:sz w:val="18"/>
        </w:rPr>
        <w:t>F0307</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协同制导与控制</w:t>
      </w:r>
      <w:r>
        <w:rPr>
          <w:rFonts w:ascii="Times New Roman" w:hAnsi="Times New Roman" w:cs="Times New Roman" w:eastAsia="Times New Roman" w:hint="ascii"/>
          <w:sz w:val="18"/>
        </w:rPr>
        <w:t>F030712</w:t>
      </w:r>
      <w:r>
        <w:rPr>
          <w:rFonts w:ascii="Times New Roman" w:hAnsi="Times New Roman" w:cs="Times New Roman" w:eastAsia="Times New Roman" w:hint="ascii"/>
          <w:sz w:val="18"/>
          <w:spacing w:val="45"/>
        </w:rPr>
        <w:t xml:space="preserve"> </w:t>
      </w:r>
      <w:r>
        <w:rPr>
          <w:rFonts w:ascii="宋体" w:hAnsi="宋体" w:cs="宋体" w:eastAsia="宋体" w:hint="ascii"/>
          <w:sz w:val="18"/>
        </w:rPr>
        <w:t>制导技术及系统</w:t>
      </w:r>
      <w:r>
        <w:rPr>
          <w:rFonts w:ascii="Times New Roman" w:hAnsi="Times New Roman" w:cs="Times New Roman" w:eastAsia="Times New Roman" w:hint="ascii"/>
          <w:sz w:val="18"/>
        </w:rPr>
        <w:t>F030713</w:t>
      </w:r>
      <w:r>
        <w:rPr>
          <w:rFonts w:ascii="Times New Roman" w:hAnsi="Times New Roman" w:cs="Times New Roman" w:eastAsia="Times New Roman" w:hint="ascii"/>
          <w:sz w:val="18"/>
          <w:spacing w:val="45"/>
        </w:rPr>
        <w:t xml:space="preserve"> </w:t>
      </w:r>
      <w:r>
        <w:rPr>
          <w:rFonts w:ascii="宋体" w:hAnsi="宋体" w:cs="宋体" w:eastAsia="宋体" w:hint="ascii"/>
          <w:sz w:val="18"/>
        </w:rPr>
        <w:t>导航制导控制一体化</w:t>
      </w:r>
      <w:r>
        <w:rPr>
          <w:rFonts w:ascii="宋体" w:hAnsi="宋体" w:cs="宋体" w:eastAsia="宋体" w:hint="ascii"/>
          <w:sz w:val="18"/>
        </w:rPr>
        <mc:AlternateContent>
          <mc:Choice Requires="wps">
            <w:drawing>
              <wp:anchor distL="0" distR="0" distT="0" distB="0" simplePos="0" behindDoc="1" relativeHeight="384" locked="0" layoutInCell="1" allowOverlap="1">
                <wp:simplePos x="0" y="0"/>
                <wp:positionH relativeFrom="page">
                  <wp:posOffset>938530</wp:posOffset>
                </wp:positionH>
                <wp:positionV relativeFrom="page">
                  <wp:posOffset>819150</wp:posOffset>
                </wp:positionV>
                <wp:extent cx="5076190" cy="0"/>
                <wp:wrapNone/>
                <wp:docPr id="1411" name="141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265024;width:399.70pt;" id="141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F030714</w:t>
      </w:r>
      <w:r>
        <w:rPr>
          <w:rFonts w:ascii="Times New Roman" w:hAnsi="Times New Roman" w:cs="Times New Roman" w:eastAsia="Times New Roman" w:hint="ascii"/>
          <w:sz w:val="18"/>
          <w:spacing w:val="45"/>
        </w:rPr>
        <w:t xml:space="preserve"> </w:t>
      </w:r>
      <w:r>
        <w:rPr>
          <w:rFonts w:ascii="宋体" w:hAnsi="宋体" w:cs="宋体" w:eastAsia="宋体" w:hint="ascii"/>
          <w:sz w:val="18"/>
        </w:rPr>
        <w:t>飞行器可靠控制与健</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康管理</w:t>
      </w:r>
    </w:p>
    <w:p>
      <w:pPr>
        <w:autoSpaceDE w:val="0"/>
        <w:autoSpaceDN w:val="0"/>
        <w:jc w:val="both"/>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F030715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飞</w:t>
      </w:r>
      <w:r>
        <w:rPr>
          <w:rFonts w:ascii="宋体" w:hAnsi="宋体" w:cs="宋体" w:eastAsia="宋体" w:hint="ascii"/>
          <w:sz w:val="18"/>
          <w:spacing w:val="-8"/>
        </w:rPr>
        <w:t>行器制导与控制技</w:t>
      </w:r>
      <w:r>
        <w:rPr>
          <w:rFonts w:ascii="宋体" w:hAnsi="宋体" w:cs="宋体" w:eastAsia="宋体" w:hint="ascii"/>
          <w:sz w:val="18"/>
        </w:rPr>
        <w:t>术</w:t>
      </w:r>
      <w:r>
        <w:rPr>
          <w:rFonts w:ascii="Times New Roman" w:hAnsi="Times New Roman" w:cs="Times New Roman" w:eastAsia="Times New Roman" w:hint="ascii"/>
          <w:sz w:val="18"/>
        </w:rPr>
        <w:t>F030716</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机动目标识别、制导</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与控制</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4"/>
        </w:rPr>
        <w:t>F</w:t>
      </w:r>
      <w:r>
        <w:rPr>
          <w:rFonts w:ascii="Times New Roman" w:hAnsi="Times New Roman" w:cs="Times New Roman" w:eastAsia="Times New Roman" w:hint="ascii"/>
          <w:sz w:val="18"/>
          <w:spacing w:val="-2"/>
        </w:rPr>
        <w:t>0</w:t>
      </w:r>
      <w:r>
        <w:rPr>
          <w:rFonts w:ascii="Times New Roman" w:hAnsi="Times New Roman" w:cs="Times New Roman" w:eastAsia="Times New Roman" w:hint="ascii"/>
          <w:sz w:val="18"/>
          <w:spacing w:val="-4"/>
        </w:rPr>
        <w:t>3</w:t>
      </w:r>
      <w:r>
        <w:rPr>
          <w:rFonts w:ascii="Times New Roman" w:hAnsi="Times New Roman" w:cs="Times New Roman" w:eastAsia="Times New Roman" w:hint="ascii"/>
          <w:sz w:val="18"/>
          <w:spacing w:val="-2"/>
        </w:rPr>
        <w:t>0</w:t>
      </w:r>
      <w:r>
        <w:rPr>
          <w:rFonts w:ascii="Times New Roman" w:hAnsi="Times New Roman" w:cs="Times New Roman" w:eastAsia="Times New Roman" w:hint="ascii"/>
          <w:sz w:val="18"/>
        </w:rPr>
        <w:t>8</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3"/>
        </w:rPr>
        <w:t>智能制造自动化系统理论与技</w:t>
      </w:r>
      <w:r>
        <w:rPr>
          <w:rFonts w:ascii="宋体" w:hAnsi="宋体" w:cs="宋体" w:eastAsia="宋体" w:hint="ascii"/>
          <w:sz w:val="18"/>
        </w:rPr>
        <w:t>术</w:t>
      </w:r>
    </w:p>
    <w:p>
      <w:pPr>
        <w:autoSpaceDE w:val="0"/>
        <w:autoSpaceDN w:val="0"/>
        <w:jc w:val="both"/>
        <w:spacing w:before="67" w:after="0" w:lineRule="auto" w:line="313"/>
        <w:ind w:right="37"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F030801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制</w:t>
      </w:r>
      <w:r>
        <w:rPr>
          <w:rFonts w:ascii="宋体" w:hAnsi="宋体" w:cs="宋体" w:eastAsia="宋体" w:hint="ascii"/>
          <w:sz w:val="18"/>
        </w:rPr>
        <w:t>造过程监控与溯源</w:t>
      </w:r>
      <w:r>
        <w:rPr>
          <w:rFonts w:ascii="Times New Roman" w:hAnsi="Times New Roman" w:cs="Times New Roman" w:eastAsia="Times New Roman" w:hint="ascii"/>
          <w:sz w:val="18"/>
        </w:rPr>
        <w:t>F030802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工业物联网与边</w:t>
      </w:r>
      <w:r>
        <w:rPr>
          <w:rFonts w:ascii="宋体" w:hAnsi="宋体" w:cs="宋体" w:eastAsia="宋体" w:hint="ascii"/>
          <w:sz w:val="18"/>
        </w:rPr>
        <w:t>缘</w: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计</w:t>
      </w:r>
      <w:r>
        <w:rPr>
          <w:rFonts w:ascii="宋体" w:hAnsi="宋体" w:cs="宋体" w:eastAsia="宋体" w:hint="ascii"/>
          <w:sz w:val="18"/>
        </w:rPr>
        <w:t>算</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工业互联网与工业云</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工业大数据分析</w:t>
      </w:r>
      <w:r>
        <w:rPr>
          <w:rFonts w:ascii="宋体" w:hAnsi="宋体" w:cs="宋体" w:eastAsia="宋体" w:hint="ascii"/>
          <w:sz w:val="18"/>
        </w:rPr>
        <w:t>及</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应</w:t>
      </w:r>
      <w:r>
        <w:rPr>
          <w:rFonts w:ascii="宋体" w:hAnsi="宋体" w:cs="宋体" w:eastAsia="宋体" w:hint="ascii"/>
          <w:sz w:val="18"/>
        </w:rPr>
        <w:t>用</w:t>
      </w:r>
    </w:p>
    <w:p>
      <w:pPr>
        <w:autoSpaceDE w:val="0"/>
        <w:autoSpaceDN w:val="0"/>
        <w:jc w:val="both"/>
        <w:spacing w:before="61" w:after="0" w:lineRule="auto" w:line="314"/>
        <w:ind w:right="37"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F030805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网</w:t>
      </w:r>
      <w:r>
        <w:rPr>
          <w:rFonts w:ascii="宋体" w:hAnsi="宋体" w:cs="宋体" w:eastAsia="宋体" w:hint="ascii"/>
          <w:sz w:val="18"/>
        </w:rPr>
        <w:t>络化协同制造技术</w:t>
      </w:r>
      <w:r>
        <w:rPr>
          <w:rFonts w:ascii="Times New Roman" w:hAnsi="Times New Roman" w:cs="Times New Roman" w:eastAsia="Times New Roman" w:hint="ascii"/>
          <w:sz w:val="18"/>
        </w:rPr>
        <w:t>F030806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增材制造系统控</w:t>
      </w:r>
      <w:r>
        <w:rPr>
          <w:rFonts w:ascii="宋体" w:hAnsi="宋体" w:cs="宋体" w:eastAsia="宋体" w:hint="ascii"/>
          <w:sz w:val="18"/>
        </w:rPr>
        <w:t>制</w: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F030807</w:t>
      </w:r>
      <w:r>
        <w:rPr>
          <w:rFonts w:ascii="Times New Roman" w:hAnsi="Times New Roman" w:cs="Times New Roman" w:eastAsia="Times New Roman" w:hint="ascii"/>
          <w:sz w:val="18"/>
          <w:spacing w:val="45"/>
        </w:rPr>
        <w:t xml:space="preserve"> </w:t>
      </w:r>
      <w:r>
        <w:rPr>
          <w:rFonts w:ascii="宋体" w:hAnsi="宋体" w:cs="宋体" w:eastAsia="宋体" w:hint="ascii"/>
          <w:sz w:val="18"/>
        </w:rPr>
        <w:t>先进制造控制技术</w:t>
      </w:r>
      <w:r>
        <w:rPr>
          <w:rFonts w:ascii="Times New Roman" w:hAnsi="Times New Roman" w:cs="Times New Roman" w:eastAsia="Times New Roman" w:hint="ascii"/>
          <w:sz w:val="18"/>
        </w:rPr>
        <w:t>F030808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虚拟制造系统与</w:t>
      </w:r>
      <w:r>
        <w:rPr>
          <w:rFonts w:ascii="宋体" w:hAnsi="宋体" w:cs="宋体" w:eastAsia="宋体" w:hint="ascii"/>
          <w:sz w:val="18"/>
        </w:rPr>
        <w:t>可</w: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视</w:t>
      </w:r>
      <w:r>
        <w:rPr>
          <w:rFonts w:ascii="宋体" w:hAnsi="宋体" w:cs="宋体" w:eastAsia="宋体" w:hint="ascii"/>
          <w:sz w:val="18"/>
        </w:rPr>
        <w:t>化</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F030809</w:t>
      </w:r>
      <w:r>
        <w:rPr>
          <w:rFonts w:ascii="Times New Roman" w:hAnsi="Times New Roman" w:cs="Times New Roman" w:eastAsia="Times New Roman" w:hint="ascii"/>
          <w:sz w:val="18"/>
          <w:spacing w:val="45"/>
        </w:rPr>
        <w:t xml:space="preserve"> </w:t>
      </w:r>
      <w:r>
        <w:rPr>
          <w:rFonts w:ascii="宋体" w:hAnsi="宋体" w:cs="宋体" w:eastAsia="宋体" w:hint="ascii"/>
          <w:sz w:val="18"/>
        </w:rPr>
        <w:t>生产管理决策系统</w:t>
      </w:r>
      <w:r>
        <w:rPr>
          <w:rFonts w:ascii="Times New Roman" w:hAnsi="Times New Roman" w:cs="Times New Roman" w:eastAsia="Times New Roman" w:hint="ascii"/>
          <w:sz w:val="18"/>
        </w:rPr>
        <w:t>F030810</w:t>
      </w:r>
      <w:r>
        <w:rPr>
          <w:rFonts w:ascii="Times New Roman" w:hAnsi="Times New Roman" w:cs="Times New Roman" w:eastAsia="Times New Roman" w:hint="ascii"/>
          <w:sz w:val="18"/>
          <w:spacing w:val="45"/>
        </w:rPr>
        <w:t xml:space="preserve"> </w:t>
      </w:r>
      <w:r>
        <w:rPr>
          <w:rFonts w:ascii="宋体" w:hAnsi="宋体" w:cs="宋体" w:eastAsia="宋体" w:hint="ascii"/>
          <w:sz w:val="18"/>
        </w:rPr>
        <w:t>个性定制与柔性制造</w: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智能化技术</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系统状态评估、故障</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预测与智能维护</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F030812</w:t>
      </w:r>
      <w:r>
        <w:rPr>
          <w:rFonts w:ascii="Times New Roman" w:hAnsi="Times New Roman" w:cs="Times New Roman" w:eastAsia="Times New Roman" w:hint="ascii"/>
          <w:sz w:val="18"/>
          <w:spacing w:val="45"/>
        </w:rPr>
        <w:t xml:space="preserve"> </w:t>
      </w:r>
      <w:r>
        <w:rPr>
          <w:rFonts w:ascii="宋体" w:hAnsi="宋体" w:cs="宋体" w:eastAsia="宋体" w:hint="ascii"/>
          <w:sz w:val="18"/>
        </w:rPr>
        <w:t>仪表与控制系统的安</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全性</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F030813</w:t>
      </w:r>
      <w:r>
        <w:rPr>
          <w:rFonts w:ascii="Times New Roman" w:hAnsi="Times New Roman" w:cs="Times New Roman" w:eastAsia="Times New Roman" w:hint="ascii"/>
          <w:sz w:val="18"/>
          <w:spacing w:val="45"/>
        </w:rPr>
        <w:t xml:space="preserve"> </w:t>
      </w:r>
      <w:r>
        <w:rPr>
          <w:rFonts w:ascii="宋体" w:hAnsi="宋体" w:cs="宋体" w:eastAsia="宋体" w:hint="ascii"/>
          <w:sz w:val="18"/>
        </w:rPr>
        <w:t>知识型工作自动化与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系统</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F030814</w:t>
      </w:r>
      <w:r>
        <w:rPr>
          <w:rFonts w:ascii="Times New Roman" w:hAnsi="Times New Roman" w:cs="Times New Roman" w:eastAsia="Times New Roman" w:hint="ascii"/>
          <w:sz w:val="18"/>
          <w:spacing w:val="45"/>
        </w:rPr>
        <w:t xml:space="preserve"> </w:t>
      </w:r>
      <w:r>
        <w:rPr>
          <w:rFonts w:ascii="宋体" w:hAnsi="宋体" w:cs="宋体" w:eastAsia="宋体" w:hint="ascii"/>
          <w:sz w:val="18"/>
        </w:rPr>
        <w:t>制造流程智能化理论</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与技术</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F030815</w:t>
      </w:r>
      <w:r>
        <w:rPr>
          <w:rFonts w:ascii="Times New Roman" w:hAnsi="Times New Roman" w:cs="Times New Roman" w:eastAsia="Times New Roman" w:hint="ascii"/>
          <w:sz w:val="18"/>
          <w:spacing w:val="45"/>
        </w:rPr>
        <w:t xml:space="preserve"> </w:t>
      </w:r>
      <w:r>
        <w:rPr>
          <w:rFonts w:ascii="宋体" w:hAnsi="宋体" w:cs="宋体" w:eastAsia="宋体" w:hint="ascii"/>
          <w:sz w:val="18"/>
        </w:rPr>
        <w:t>制造系统智能优化决</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策理论与技术</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机器人学与机器人技术</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机器人系统建模</w:t>
      </w:r>
      <w:r>
        <w:rPr>
          <w:rFonts w:ascii="宋体" w:hAnsi="宋体" w:cs="宋体" w:eastAsia="宋体" w:hint="ascii"/>
          <w:sz w:val="18"/>
        </w:rPr>
        <w:t>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4"/>
        </w:rPr>
        <w:t>分</w:t>
      </w:r>
      <w:r>
        <w:rPr>
          <w:rFonts w:ascii="宋体" w:hAnsi="宋体" w:cs="宋体" w:eastAsia="宋体" w:hint="ascii"/>
          <w:sz w:val="18"/>
        </w:rPr>
        <w:t>析</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机器人导航、定位与</w:t>
      </w:r>
    </w:p>
    <w:p>
      <w:pPr>
        <w:autoSpaceDE w:val="0"/>
        <w:autoSpaceDN w:val="0"/>
        <w:jc w:val="left"/>
        <w:spacing w:before="32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宋体" w:hAnsi="宋体" w:cs="宋体" w:eastAsia="宋体" w:hint="ascii"/>
          <w:sz w:val="18"/>
        </w:rPr>
        <w:t>自主控制</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机器人运动与路</w:t>
      </w:r>
      <w:r>
        <w:rPr>
          <w:rFonts w:ascii="宋体" w:hAnsi="宋体" w:cs="宋体" w:eastAsia="宋体" w:hint="ascii"/>
          <w:sz w:val="18"/>
        </w:rPr>
        <w:t>径</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规</w:t>
      </w:r>
      <w:r>
        <w:rPr>
          <w:rFonts w:ascii="宋体" w:hAnsi="宋体" w:cs="宋体" w:eastAsia="宋体" w:hint="ascii"/>
          <w:sz w:val="18"/>
        </w:rPr>
        <w:t>划</w:t>
      </w:r>
    </w:p>
    <w:p>
      <w:pPr>
        <w:autoSpaceDE w:val="0"/>
        <w:autoSpaceDN w:val="0"/>
        <w:jc w:val="both"/>
        <w:spacing w:before="61"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F030904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w:t>
      </w:r>
      <w:r>
        <w:rPr>
          <w:rFonts w:ascii="宋体" w:hAnsi="宋体" w:cs="宋体" w:eastAsia="宋体" w:hint="ascii"/>
          <w:sz w:val="18"/>
        </w:rPr>
        <w:t>机</w:t>
      </w:r>
      <w:r>
        <w:rPr>
          <w:rFonts w:ascii="宋体" w:hAnsi="宋体" w:cs="宋体" w:eastAsia="宋体" w:hint="ascii"/>
          <w:sz w:val="18"/>
        </w:rPr>
        <w:t>-</w:t>
      </w:r>
      <w:r>
        <w:rPr>
          <w:rFonts w:ascii="宋体" w:hAnsi="宋体" w:cs="宋体" w:eastAsia="宋体" w:hint="ascii"/>
          <w:sz w:val="18"/>
        </w:rPr>
        <w:t>电系统与融合</w:t>
      </w:r>
      <w:r>
        <w:rPr>
          <w:rFonts w:ascii="Times New Roman" w:hAnsi="Times New Roman" w:cs="Times New Roman" w:eastAsia="Times New Roman" w:hint="ascii"/>
          <w:sz w:val="18"/>
          <w:spacing w:val="-1"/>
        </w:rPr>
        <w:t>F030905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人</w:t>
      </w:r>
      <w:r>
        <w:rPr>
          <w:rFonts w:ascii="宋体" w:hAnsi="宋体" w:cs="宋体" w:eastAsia="宋体" w:hint="ascii"/>
          <w:sz w:val="18"/>
        </w:rPr>
        <w:t>-</w:t>
      </w:r>
      <w:r>
        <w:rPr>
          <w:rFonts w:ascii="宋体" w:hAnsi="宋体" w:cs="宋体" w:eastAsia="宋体" w:hint="ascii"/>
          <w:sz w:val="18"/>
        </w:rPr>
        <w:t>机</w:t>
      </w:r>
      <w:r>
        <w:rPr>
          <w:rFonts w:ascii="宋体" w:hAnsi="宋体" w:cs="宋体" w:eastAsia="宋体" w:hint="ascii"/>
          <w:sz w:val="18"/>
        </w:rPr>
        <w:t>-</w:t>
      </w:r>
      <w:r>
        <w:rPr>
          <w:rFonts w:ascii="宋体" w:hAnsi="宋体" w:cs="宋体" w:eastAsia="宋体" w:hint="ascii"/>
          <w:sz w:val="18"/>
        </w:rPr>
        <w:t>环境自然交互</w: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与互动</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F030906</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机器人传感与伺服控</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制技术</w:t>
      </w:r>
    </w:p>
    <w:p>
      <w:pPr>
        <w:autoSpaceDE w:val="0"/>
        <w:autoSpaceDN w:val="0"/>
        <w:jc w:val="left"/>
        <w:spacing w:before="62"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F030907</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机器人运动控制</w:t>
      </w:r>
      <w:r>
        <w:rPr>
          <w:rFonts w:ascii="Times New Roman" w:hAnsi="Times New Roman" w:cs="Times New Roman" w:eastAsia="Times New Roman" w:hint="ascii"/>
          <w:sz w:val="18"/>
        </w:rPr>
        <w:t>F030908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机器人安全与可</w:t>
      </w:r>
      <w:r>
        <w:rPr>
          <w:rFonts w:ascii="宋体" w:hAnsi="宋体" w:cs="宋体" w:eastAsia="宋体" w:hint="ascii"/>
          <w:sz w:val="18"/>
        </w:rPr>
        <w:t>靠</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控</w:t>
      </w:r>
      <w:r>
        <w:rPr>
          <w:rFonts w:ascii="宋体" w:hAnsi="宋体" w:cs="宋体" w:eastAsia="宋体" w:hint="ascii"/>
          <w:sz w:val="18"/>
        </w:rPr>
        <w:t>制</w:t>
      </w:r>
    </w:p>
    <w:p>
      <w:pPr>
        <w:autoSpaceDE w:val="0"/>
        <w:autoSpaceDN w:val="0"/>
        <w:jc w:val="left"/>
        <w:spacing w:before="62"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F030909</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多机器人协作控制</w:t>
      </w:r>
      <w:r>
        <w:rPr>
          <w:rFonts w:ascii="Times New Roman" w:hAnsi="Times New Roman" w:cs="Times New Roman" w:eastAsia="Times New Roman" w:hint="ascii"/>
          <w:sz w:val="18"/>
          <w:spacing w:val="-1"/>
        </w:rPr>
        <w:t>F030910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机</w:t>
      </w:r>
      <w:r>
        <w:rPr>
          <w:rFonts w:ascii="宋体" w:hAnsi="宋体" w:cs="宋体" w:eastAsia="宋体" w:hint="ascii"/>
          <w:sz w:val="18"/>
        </w:rPr>
        <w:t>器人行为决策与控</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制一体化技术</w:t>
      </w:r>
    </w:p>
    <w:p>
      <w:pPr>
        <w:autoSpaceDE w:val="0"/>
        <w:autoSpaceDN w:val="0"/>
        <w:jc w:val="left"/>
        <w:spacing w:before="62"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机器人抓取及操作</w:t>
      </w:r>
      <w:r>
        <w:rPr>
          <w:rFonts w:ascii="Times New Roman" w:hAnsi="Times New Roman" w:cs="Times New Roman" w:eastAsia="Times New Roman" w:hint="ascii"/>
          <w:sz w:val="18"/>
        </w:rPr>
        <w:t>F030912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仿生机器人理论</w:t>
      </w:r>
      <w:r>
        <w:rPr>
          <w:rFonts w:ascii="宋体" w:hAnsi="宋体" w:cs="宋体" w:eastAsia="宋体" w:hint="ascii"/>
          <w:sz w:val="18"/>
        </w:rPr>
        <w:t>与</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F030913</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机器人自主学习理论</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与技术</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F030914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机器人智能化控</w:t>
      </w:r>
      <w:r>
        <w:rPr>
          <w:rFonts w:ascii="宋体" w:hAnsi="宋体" w:cs="宋体" w:eastAsia="宋体" w:hint="ascii"/>
          <w:sz w:val="18"/>
        </w:rPr>
        <w:t>制</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系</w:t>
      </w:r>
      <w:r>
        <w:rPr>
          <w:rFonts w:ascii="宋体" w:hAnsi="宋体" w:cs="宋体" w:eastAsia="宋体" w:hint="ascii"/>
          <w:sz w:val="18"/>
        </w:rPr>
        <w:t>统</w:t>
      </w:r>
    </w:p>
    <w:p>
      <w:pPr>
        <w:autoSpaceDE w:val="0"/>
        <w:autoSpaceDN w:val="0"/>
        <w:jc w:val="left"/>
        <w:spacing w:before="61" w:after="0" w:lineRule="auto" w:line="316"/>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F030915</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机器人操作系统</w:t>
      </w:r>
      <w:r>
        <w:rPr>
          <w:rFonts w:ascii="Times New Roman" w:hAnsi="Times New Roman" w:cs="Times New Roman" w:eastAsia="Times New Roman" w:hint="ascii"/>
          <w:sz w:val="18"/>
        </w:rPr>
        <w:t>F030916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模块化及自重构</w:t>
      </w:r>
      <w:r>
        <w:rPr>
          <w:rFonts w:ascii="宋体" w:hAnsi="宋体" w:cs="宋体" w:eastAsia="宋体" w:hint="ascii"/>
          <w:sz w:val="18"/>
        </w:rPr>
        <w:t>机</w:t>
      </w:r>
    </w:p>
    <w:p>
      <w:pPr>
        <w:autoSpaceDE w:val="0"/>
        <w:autoSpaceDN w:val="0"/>
        <w:jc w:val="left"/>
        <w:spacing w:before="2"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器</w:t>
      </w:r>
      <w:r>
        <w:rPr>
          <w:rFonts w:ascii="宋体" w:hAnsi="宋体" w:cs="宋体" w:eastAsia="宋体" w:hint="ascii"/>
          <w:sz w:val="18"/>
        </w:rPr>
        <w:t>人</w:t>
      </w:r>
    </w:p>
    <w:p>
      <w:pPr>
        <w:autoSpaceDE w:val="0"/>
        <w:autoSpaceDN w:val="0"/>
        <w:jc w:val="left"/>
        <w:spacing w:before="6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F030917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生物与微纳机器</w:t>
      </w:r>
      <w:r>
        <w:rPr>
          <w:rFonts w:ascii="宋体" w:hAnsi="宋体" w:cs="宋体" w:eastAsia="宋体" w:hint="ascii"/>
          <w:sz w:val="18"/>
        </w:rPr>
        <w:t>人</w:t>
      </w:r>
    </w:p>
    <w:p>
      <w:pPr>
        <w:autoSpaceDE w:val="0"/>
        <w:autoSpaceDN w:val="0"/>
        <w:jc w:val="left"/>
        <w:spacing w:before="7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4"/>
        </w:rPr>
        <w:t>系</w:t>
      </w:r>
      <w:r>
        <w:rPr>
          <w:rFonts w:ascii="宋体" w:hAnsi="宋体" w:cs="宋体" w:eastAsia="宋体" w:hint="ascii"/>
          <w:sz w:val="18"/>
        </w:rPr>
        <w:t>统</w:t>
      </w:r>
    </w:p>
    <w:p>
      <w:pPr>
        <w:autoSpaceDE w:val="0"/>
        <w:autoSpaceDN w:val="0"/>
        <w:jc w:val="left"/>
        <w:spacing w:before="6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F030918</w:t>
      </w:r>
      <w:r>
        <w:rPr>
          <w:rFonts w:ascii="Times New Roman" w:hAnsi="Times New Roman" w:cs="Times New Roman" w:eastAsia="Times New Roman" w:hint="ascii"/>
          <w:sz w:val="18"/>
          <w:spacing w:val="45"/>
        </w:rPr>
        <w:t xml:space="preserve"> </w:t>
      </w:r>
      <w:r>
        <w:rPr>
          <w:rFonts w:ascii="宋体" w:hAnsi="宋体" w:cs="宋体" w:eastAsia="宋体" w:hint="ascii"/>
          <w:sz w:val="18"/>
        </w:rPr>
        <w:t>可穿戴、医疗及服务</w:t>
      </w:r>
    </w:p>
    <w:p>
      <w:pPr>
        <w:autoSpaceDE w:val="0"/>
        <w:autoSpaceDN w:val="0"/>
        <w:jc w:val="left"/>
        <w:spacing w:before="7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机器人系统</w:t>
      </w:r>
    </w:p>
    <w:p>
      <w:pPr>
        <w:autoSpaceDE w:val="0"/>
        <w:autoSpaceDN w:val="0"/>
        <w:jc w:val="left"/>
        <w:spacing w:before="64" w:after="0" w:lineRule="auto" w:line="318"/>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F030919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先</w:t>
      </w:r>
      <w:r>
        <w:rPr>
          <w:rFonts w:ascii="宋体" w:hAnsi="宋体" w:cs="宋体" w:eastAsia="宋体" w:hint="ascii"/>
          <w:sz w:val="18"/>
        </w:rPr>
        <w:t>进工业机器人系统</w:t>
      </w:r>
      <w:r>
        <w:rPr>
          <w:rFonts w:ascii="Times New Roman" w:hAnsi="Times New Roman" w:cs="Times New Roman" w:eastAsia="Times New Roman" w:hint="ascii"/>
          <w:sz w:val="18"/>
        </w:rPr>
        <w:t>F030920</w:t>
      </w:r>
      <w:r>
        <w:rPr>
          <w:rFonts w:ascii="Times New Roman" w:hAnsi="Times New Roman" w:cs="Times New Roman" w:eastAsia="Times New Roman" w:hint="ascii"/>
          <w:sz w:val="18"/>
          <w:spacing w:val="45"/>
        </w:rPr>
        <w:t xml:space="preserve"> </w:t>
      </w:r>
      <w:r>
        <w:rPr>
          <w:rFonts w:ascii="宋体" w:hAnsi="宋体" w:cs="宋体" w:eastAsia="宋体" w:hint="ascii"/>
          <w:sz w:val="18"/>
        </w:rPr>
        <w:t>特种机器人系统</w:t>
      </w:r>
      <w:r>
        <w:rPr>
          <w:rFonts w:ascii="Times New Roman" w:hAnsi="Times New Roman" w:cs="Times New Roman" w:eastAsia="Times New Roman" w:hint="ascii"/>
          <w:sz w:val="18"/>
        </w:rPr>
        <w:t>F030921</w:t>
      </w:r>
      <w:r>
        <w:rPr>
          <w:rFonts w:ascii="Times New Roman" w:hAnsi="Times New Roman" w:cs="Times New Roman" w:eastAsia="Times New Roman" w:hint="ascii"/>
          <w:sz w:val="18"/>
          <w:spacing w:val="45"/>
        </w:rPr>
        <w:t xml:space="preserve"> </w:t>
      </w:r>
      <w:r>
        <w:rPr>
          <w:rFonts w:ascii="宋体" w:hAnsi="宋体" w:cs="宋体" w:eastAsia="宋体" w:hint="ascii"/>
          <w:sz w:val="18"/>
        </w:rPr>
        <w:t>无人系统控制技术</w:t>
      </w:r>
    </w:p>
    <w:p>
      <w:pPr>
        <w:autoSpaceDE w:val="0"/>
        <w:autoSpaceDN w:val="0"/>
        <w:jc w:val="left"/>
        <w:spacing w:before="0" w:after="0" w:lineRule="auto" w:line="238"/>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F0310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人工智能驱动的自动化</w:t>
      </w:r>
    </w:p>
    <w:p>
      <w:pPr>
        <w:autoSpaceDE w:val="0"/>
        <w:autoSpaceDN w:val="0"/>
        <w:jc w:val="left"/>
        <w:spacing w:before="72" w:after="0" w:lineRule="auto" w:line="318"/>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F031001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智</w:t>
      </w:r>
      <w:r>
        <w:rPr>
          <w:rFonts w:ascii="宋体" w:hAnsi="宋体" w:cs="宋体" w:eastAsia="宋体" w:hint="ascii"/>
          <w:sz w:val="18"/>
        </w:rPr>
        <w:t>能控制理论与方法</w:t>
      </w:r>
      <w:r>
        <w:rPr>
          <w:rFonts w:ascii="Times New Roman" w:hAnsi="Times New Roman" w:cs="Times New Roman" w:eastAsia="Times New Roman" w:hint="ascii"/>
          <w:sz w:val="18"/>
        </w:rPr>
        <w:t>F031002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可穿戴自动化技术</w:t>
      </w:r>
      <w:r>
        <w:rPr>
          <w:rFonts w:ascii="Times New Roman" w:hAnsi="Times New Roman" w:cs="Times New Roman" w:eastAsia="Times New Roman" w:hint="ascii"/>
          <w:sz w:val="18"/>
        </w:rPr>
        <w:t>F031003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智能体学习建模</w:t>
      </w:r>
      <w:r>
        <w:rPr>
          <w:rFonts w:ascii="宋体" w:hAnsi="宋体" w:cs="宋体" w:eastAsia="宋体" w:hint="ascii"/>
          <w:sz w:val="18"/>
        </w:rPr>
        <w:t>与</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进</w:t>
      </w:r>
      <w:r>
        <w:rPr>
          <w:rFonts w:ascii="宋体" w:hAnsi="宋体" w:cs="宋体" w:eastAsia="宋体" w:hint="ascii"/>
          <w:sz w:val="18"/>
        </w:rPr>
        <w:t>化</w:t>
      </w:r>
    </w:p>
    <w:p>
      <w:pPr>
        <w:autoSpaceDE w:val="0"/>
        <w:autoSpaceDN w:val="0"/>
        <w:jc w:val="left"/>
        <w:spacing w:before="6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F031004</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多智能体协同感知与</w:t>
      </w:r>
    </w:p>
    <w:p>
      <w:pPr>
        <w:autoSpaceDE w:val="0"/>
        <w:autoSpaceDN w:val="0"/>
        <w:jc w:val="left"/>
        <w:spacing w:before="7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优化</w:t>
      </w:r>
    </w:p>
    <w:p>
      <w:pPr>
        <w:autoSpaceDE w:val="0"/>
        <w:autoSpaceDN w:val="0"/>
        <w:jc w:val="left"/>
        <w:spacing w:before="65"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F031005</w:t>
      </w:r>
      <w:r>
        <w:rPr>
          <w:rFonts w:ascii="Times New Roman" w:hAnsi="Times New Roman" w:cs="Times New Roman" w:eastAsia="Times New Roman" w:hint="ascii"/>
          <w:sz w:val="18"/>
          <w:spacing w:val="45"/>
        </w:rPr>
        <w:t xml:space="preserve"> </w:t>
      </w:r>
      <w:r>
        <w:rPr>
          <w:rFonts w:ascii="宋体" w:hAnsi="宋体" w:cs="宋体" w:eastAsia="宋体" w:hint="ascii"/>
          <w:sz w:val="18"/>
        </w:rPr>
        <w:t>复杂工业过程智能控</w:t>
      </w:r>
    </w:p>
    <w:p>
      <w:pPr>
        <w:autoSpaceDE w:val="0"/>
        <w:autoSpaceDN w:val="0"/>
        <w:jc w:val="left"/>
        <w:spacing w:before="7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制与优化</w:t>
      </w:r>
    </w:p>
    <w:p>
      <w:pPr>
        <w:autoSpaceDE w:val="0"/>
        <w:autoSpaceDN w:val="0"/>
        <w:jc w:val="left"/>
        <w:spacing w:before="64"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F031006</w:t>
      </w:r>
      <w:r>
        <w:rPr>
          <w:rFonts w:ascii="Times New Roman" w:hAnsi="Times New Roman" w:cs="Times New Roman" w:eastAsia="Times New Roman" w:hint="ascii"/>
          <w:sz w:val="18"/>
          <w:spacing w:val="45"/>
        </w:rPr>
        <w:t xml:space="preserve"> </w:t>
      </w:r>
      <w:r>
        <w:rPr>
          <w:rFonts w:ascii="宋体" w:hAnsi="宋体" w:cs="宋体" w:eastAsia="宋体" w:hint="ascii"/>
          <w:sz w:val="18"/>
        </w:rPr>
        <w:t>异常工况智能预测与</w:t>
      </w:r>
    </w:p>
    <w:p>
      <w:pPr>
        <w:autoSpaceDE w:val="0"/>
        <w:autoSpaceDN w:val="0"/>
        <w:jc w:val="left"/>
        <w:spacing w:before="71" w:after="0" w:lineRule="exact" w:line="225"/>
        <w:ind w:right="0" w:left="1490" w:firstLine="0"/>
        <w:snapToGrid w:val="0"/>
        <w:textAlignment w:val="auto"/>
        <w:tabs/>
        <w:sectPr>
          <w:type w:val="continuous"/>
          <w:pgSz w:w="10940" w:h="15080" w:orient="portrait"/>
          <w:pgMar w:top="508" w:right="508" w:bottom="508" w:left="508" w:header="0" w:footer="0" w:gutter="0"/>
          <w:cols w:num="2" w:space="0" w:equalWidth="0">
            <w:col w:w="4744" w:space="940"/>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自愈控制</w:t>
      </w:r>
      <w:rPr>
        <w:rFonts w:ascii="宋体" w:hAnsi="宋体" w:cs="宋体" w:eastAsia="宋体" w:hint="ascii"/>
        <w:sz w:val="18"/>
      </w:rPr>
    </w:p>
    <w:p>
      <w:pPr>
        <w:autoSpaceDE w:val="0"/>
        <w:autoSpaceDN w:val="0"/>
        <w:jc w:val="left"/>
        <w:spacing w:before="343"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F031007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决</w:t>
      </w:r>
      <w:r>
        <w:rPr>
          <w:rFonts w:ascii="宋体" w:hAnsi="宋体" w:cs="宋体" w:eastAsia="宋体" w:hint="ascii"/>
          <w:sz w:val="18"/>
        </w:rPr>
        <w:t>策特征提取与知识</w:t>
      </w:r>
      <w:r>
        <w:rPr>
          <w:rFonts w:ascii="宋体" w:hAnsi="宋体" w:cs="宋体" w:eastAsia="宋体" w:hint="ascii"/>
          <w:sz w:val="18"/>
        </w:rPr>
        <mc:AlternateContent>
          <mc:Choice Requires="wps">
            <w:drawing>
              <wp:anchor distL="0" distR="0" distT="0" distB="0" simplePos="0" behindDoc="1" relativeHeight="385" locked="0" layoutInCell="1" allowOverlap="1">
                <wp:simplePos x="0" y="0"/>
                <wp:positionH relativeFrom="page">
                  <wp:posOffset>938530</wp:posOffset>
                </wp:positionH>
                <wp:positionV relativeFrom="page">
                  <wp:posOffset>805815</wp:posOffset>
                </wp:positionV>
                <wp:extent cx="5076190" cy="0"/>
                <wp:wrapNone/>
                <wp:docPr id="1412" name="141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264000;width:399.70pt;" id="141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获取</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F031008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智</w:t>
      </w:r>
      <w:r>
        <w:rPr>
          <w:rFonts w:ascii="宋体" w:hAnsi="宋体" w:cs="宋体" w:eastAsia="宋体" w:hint="ascii"/>
          <w:sz w:val="18"/>
        </w:rPr>
        <w:t>能决策系统架构与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F031009</w:t>
      </w:r>
      <w:r>
        <w:rPr>
          <w:rFonts w:ascii="Times New Roman" w:hAnsi="Times New Roman" w:cs="Times New Roman" w:eastAsia="Times New Roman" w:hint="ascii"/>
          <w:sz w:val="18"/>
          <w:spacing w:val="45"/>
        </w:rPr>
        <w:t xml:space="preserve"> </w:t>
      </w:r>
      <w:r>
        <w:rPr>
          <w:rFonts w:ascii="宋体" w:hAnsi="宋体" w:cs="宋体" w:eastAsia="宋体" w:hint="ascii"/>
          <w:sz w:val="18"/>
        </w:rPr>
        <w:t>人机合作决策</w:t>
      </w:r>
      <w:r>
        <w:rPr>
          <w:rFonts w:ascii="Times New Roman" w:hAnsi="Times New Roman" w:cs="Times New Roman" w:eastAsia="Times New Roman" w:hint="ascii"/>
          <w:sz w:val="18"/>
        </w:rPr>
        <w:t>F031010</w:t>
      </w:r>
      <w:r>
        <w:rPr>
          <w:rFonts w:ascii="Times New Roman" w:hAnsi="Times New Roman" w:cs="Times New Roman" w:eastAsia="Times New Roman" w:hint="ascii"/>
          <w:sz w:val="18"/>
          <w:spacing w:val="45"/>
        </w:rPr>
        <w:t xml:space="preserve"> </w:t>
      </w:r>
      <w:r>
        <w:rPr>
          <w:rFonts w:ascii="宋体" w:hAnsi="宋体" w:cs="宋体" w:eastAsia="宋体" w:hint="ascii"/>
          <w:sz w:val="18"/>
        </w:rPr>
        <w:t>智能自主控制系统</w:t>
      </w:r>
      <w:r>
        <w:rPr>
          <w:rFonts w:ascii="Times New Roman" w:hAnsi="Times New Roman" w:cs="Times New Roman" w:eastAsia="Times New Roman" w:hint="ascii"/>
          <w:sz w:val="18"/>
          <w:spacing w:val="-4"/>
        </w:rPr>
        <w:t>F0310</w:t>
      </w:r>
      <w:r>
        <w:rPr>
          <w:rFonts w:ascii="Times New Roman" w:hAnsi="Times New Roman" w:cs="Times New Roman" w:eastAsia="Times New Roman" w:hint="ascii"/>
          <w:sz w:val="18"/>
          <w:spacing w:val="-11"/>
        </w:rPr>
        <w:t>1</w:t>
      </w:r>
      <w:r>
        <w:rPr>
          <w:rFonts w:ascii="Times New Roman" w:hAnsi="Times New Roman" w:cs="Times New Roman" w:eastAsia="Times New Roman" w:hint="ascii"/>
          <w:sz w:val="18"/>
          <w:spacing w:val="-4"/>
        </w:rPr>
        <w:t>1</w:t>
      </w:r>
      <w:r>
        <w:rPr>
          <w:rFonts w:ascii="Times New Roman" w:hAnsi="Times New Roman" w:cs="Times New Roman" w:eastAsia="Times New Roman" w:hint="ascii"/>
          <w:sz w:val="18"/>
          <w:spacing w:val="41"/>
        </w:rPr>
        <w:t xml:space="preserve"> </w:t>
      </w:r>
      <w:r>
        <w:rPr>
          <w:rFonts w:ascii="宋体" w:hAnsi="宋体" w:cs="宋体" w:eastAsia="宋体" w:hint="ascii"/>
          <w:sz w:val="18"/>
          <w:spacing w:val="-4"/>
        </w:rPr>
        <w:t>机器感知</w:t>
      </w:r>
      <w:r>
        <w:rPr>
          <w:rFonts w:ascii="宋体" w:hAnsi="宋体" w:cs="宋体" w:eastAsia="宋体" w:hint="ascii"/>
          <w:sz w:val="18"/>
          <w:spacing w:val="-3"/>
        </w:rPr>
        <w:t>技术与系统</w:t>
      </w:r>
      <w:r>
        <w:rPr>
          <w:rFonts w:ascii="宋体" w:hAnsi="宋体" w:cs="宋体" w:eastAsia="宋体" w:hint="ascii"/>
          <w:sz w:val="18"/>
        </w:rPr>
        <w:t xml:space="preserve"> </w:t>
      </w:r>
      <w:r>
        <w:rPr>
          <w:rFonts w:ascii="Times New Roman" w:hAnsi="Times New Roman" w:cs="Times New Roman" w:eastAsia="Times New Roman" w:hint="ascii"/>
          <w:sz w:val="18"/>
        </w:rPr>
        <w:t>F031012</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机器视</w:t>
      </w:r>
      <w:r>
        <w:rPr>
          <w:rFonts w:ascii="Times New Roman" w:hAnsi="Times New Roman" w:cs="Times New Roman" w:eastAsia="Times New Roman" w:hint="ascii"/>
          <w:sz w:val="18"/>
        </w:rPr>
        <w:t>/</w:t>
      </w:r>
      <w:r>
        <w:rPr>
          <w:rFonts w:ascii="宋体" w:hAnsi="宋体" w:cs="宋体" w:eastAsia="宋体" w:hint="ascii"/>
          <w:sz w:val="18"/>
        </w:rPr>
        <w:t>听</w:t>
      </w:r>
      <w:r>
        <w:rPr>
          <w:rFonts w:ascii="Times New Roman" w:hAnsi="Times New Roman" w:cs="Times New Roman" w:eastAsia="Times New Roman" w:hint="ascii"/>
          <w:sz w:val="18"/>
        </w:rPr>
        <w:t>/</w:t>
      </w:r>
      <w:r>
        <w:rPr>
          <w:rFonts w:ascii="宋体" w:hAnsi="宋体" w:cs="宋体" w:eastAsia="宋体" w:hint="ascii"/>
          <w:sz w:val="18"/>
        </w:rPr>
        <w:t>力觉技术</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与控制系统</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F031013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多模态人机交互</w:t>
      </w:r>
      <w:r>
        <w:rPr>
          <w:rFonts w:ascii="宋体" w:hAnsi="宋体" w:cs="宋体" w:eastAsia="宋体" w:hint="ascii"/>
          <w:sz w:val="18"/>
        </w:rPr>
        <w:t>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系</w:t>
      </w:r>
      <w:r>
        <w:rPr>
          <w:rFonts w:ascii="宋体" w:hAnsi="宋体" w:cs="宋体" w:eastAsia="宋体" w:hint="ascii"/>
          <w:sz w:val="18"/>
        </w:rPr>
        <w:t>统</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F031014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模</w:t>
      </w:r>
      <w:r>
        <w:rPr>
          <w:rFonts w:ascii="宋体" w:hAnsi="宋体" w:cs="宋体" w:eastAsia="宋体" w:hint="ascii"/>
          <w:sz w:val="18"/>
        </w:rPr>
        <w:t>式识别与智能系统</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F04</w:t>
      </w:r>
      <w:r>
        <w:rPr>
          <w:rFonts w:ascii="Times New Roman" w:hAnsi="Times New Roman" w:cs="Times New Roman" w:eastAsia="Times New Roman" w:hint="ascii"/>
          <w:b w:val="1"/>
          <w:spacing w:val="60"/>
        </w:rPr>
        <w:t xml:space="preserve"> </w:t>
      </w:r>
      <w:r>
        <w:rPr>
          <w:rFonts w:ascii="宋体" w:hAnsi="宋体" w:cs="宋体" w:eastAsia="宋体" w:hint="ascii"/>
        </w:rPr>
        <w:t>半导体科学与信息器件</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半导体材料</w:t>
      </w:r>
      <w:r>
        <w:rPr>
          <w:rFonts w:ascii="宋体" w:hAnsi="宋体" w:cs="宋体" w:eastAsia="宋体" w:hint="ascii"/>
          <w:sz w:val="18"/>
        </w:rPr>
        <mc:AlternateContent>
          <mc:Choice Requires="wps">
            <w:drawing>
              <wp:anchor distL="0" distR="0" distT="0" distB="0" simplePos="0" behindDoc="1" relativeHeight="386" locked="0" layoutInCell="1" allowOverlap="1">
                <wp:simplePos x="0" y="0"/>
                <wp:positionH relativeFrom="page">
                  <wp:posOffset>1341755</wp:posOffset>
                </wp:positionH>
                <wp:positionV relativeFrom="page">
                  <wp:posOffset>3388995</wp:posOffset>
                </wp:positionV>
                <wp:extent cx="984250" cy="167005"/>
                <wp:wrapNone/>
                <wp:docPr id="1413" name="1413"/>
                <wp:cNvGraphicFramePr/>
                <a:graphic>
                  <a:graphicData uri="http://schemas.microsoft.com/office/word/2010/wordprocessingShape">
                    <wps:wsp>
                      <wps:cNvSpPr/>
                      <wps:spPr>
                        <a:xfrm>
                          <a:off x="0" y="0"/>
                          <a:ext cx="9842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266.85pt;z-index:-251262976;width:77.50pt;height:13.15pt;" id="1413" coordsize="1550,263" stroked="f" fillcolor="#ffffff" opacity="0f">
                <v:stroke endcap="round"/>
                <v:fill opacity="0f"/>
                <w10:wrap anchorx="page" anchory="page" side="both"/>
              </v:rect>
            </w:pict>
          </mc:Fallback>
        </mc:AlternateContent>
      </w:r>
    </w:p>
    <w:p>
      <w:pPr>
        <w:autoSpaceDE w:val="0"/>
        <w:autoSpaceDN w:val="0"/>
        <w:jc w:val="left"/>
        <w:spacing w:before="67"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半导体晶体材料</w:t>
      </w:r>
      <w:r>
        <w:rPr>
          <w:rFonts w:ascii="Times New Roman" w:hAnsi="Times New Roman" w:cs="Times New Roman" w:eastAsia="Times New Roman" w:hint="ascii"/>
          <w:sz w:val="18"/>
          <w:spacing w:val="-1"/>
        </w:rPr>
        <w:t>F040102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非</w:t>
      </w:r>
      <w:r>
        <w:rPr>
          <w:rFonts w:ascii="宋体" w:hAnsi="宋体" w:cs="宋体" w:eastAsia="宋体" w:hint="ascii"/>
          <w:sz w:val="18"/>
        </w:rPr>
        <w:t>晶、多晶和纳米晶</w:t>
      </w:r>
      <w:r>
        <w:rPr>
          <w:rFonts w:ascii="宋体" w:hAnsi="宋体" w:cs="宋体" w:eastAsia="宋体" w:hint="ascii"/>
          <w:sz w:val="18"/>
        </w:rPr>
        <mc:AlternateContent>
          <mc:Choice Requires="wps">
            <w:drawing>
              <wp:anchor distL="0" distR="0" distT="0" distB="0" simplePos="0" behindDoc="1" relativeHeight="387" locked="0" layoutInCell="1" allowOverlap="1">
                <wp:simplePos x="0" y="0"/>
                <wp:positionH relativeFrom="page">
                  <wp:posOffset>1762760</wp:posOffset>
                </wp:positionH>
                <wp:positionV relativeFrom="page">
                  <wp:posOffset>3574415</wp:posOffset>
                </wp:positionV>
                <wp:extent cx="1320800" cy="170815"/>
                <wp:wrapNone/>
                <wp:docPr id="1414" name="1414"/>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81.45pt;z-index:-251261952;width:104.00pt;height:13.45pt;" id="1414"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88" locked="0" layoutInCell="1" allowOverlap="1">
                <wp:simplePos x="0" y="0"/>
                <wp:positionH relativeFrom="page">
                  <wp:posOffset>1762760</wp:posOffset>
                </wp:positionH>
                <wp:positionV relativeFrom="page">
                  <wp:posOffset>3755390</wp:posOffset>
                </wp:positionV>
                <wp:extent cx="1549400" cy="170815"/>
                <wp:wrapNone/>
                <wp:docPr id="1415" name="1415"/>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95.70pt;z-index:-251260928;width:122.00pt;height:13.45pt;" id="1415"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89" locked="0" layoutInCell="1" allowOverlap="1">
                <wp:simplePos x="0" y="0"/>
                <wp:positionH relativeFrom="page">
                  <wp:posOffset>2288540</wp:posOffset>
                </wp:positionH>
                <wp:positionV relativeFrom="page">
                  <wp:posOffset>3937635</wp:posOffset>
                </wp:positionV>
                <wp:extent cx="571500" cy="170815"/>
                <wp:wrapNone/>
                <wp:docPr id="1416" name="1416"/>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10.05pt;z-index:-251259904;width:45.00pt;height:13.45pt;" id="1416" coordsize="90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半导体材料</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薄膜半导体材料</w:t>
      </w:r>
      <w:r>
        <w:rPr>
          <w:rFonts w:ascii="Times New Roman" w:hAnsi="Times New Roman" w:cs="Times New Roman" w:eastAsia="Times New Roman" w:hint="ascii"/>
          <w:sz w:val="18"/>
        </w:rPr>
        <w:t>F040104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低维半导体材料</w:t>
      </w:r>
      <w:r>
        <w:rPr>
          <w:rFonts w:ascii="Times New Roman" w:hAnsi="Times New Roman" w:cs="Times New Roman" w:eastAsia="Times New Roman" w:hint="ascii"/>
          <w:sz w:val="18"/>
          <w:spacing w:val="-1"/>
        </w:rPr>
        <w:t>F040105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半</w:t>
      </w:r>
      <w:r>
        <w:rPr>
          <w:rFonts w:ascii="宋体" w:hAnsi="宋体" w:cs="宋体" w:eastAsia="宋体" w:hint="ascii"/>
          <w:sz w:val="18"/>
        </w:rPr>
        <w:t>导体异质结构与复</w:t>
      </w:r>
      <w:r>
        <w:rPr>
          <w:rFonts w:ascii="宋体" w:hAnsi="宋体" w:cs="宋体" w:eastAsia="宋体" w:hint="ascii"/>
          <w:sz w:val="18"/>
        </w:rPr>
        <mc:AlternateContent>
          <mc:Choice Requires="wps">
            <w:drawing>
              <wp:anchor distL="0" distR="0" distT="0" distB="0" simplePos="0" behindDoc="1" relativeHeight="390" locked="0" layoutInCell="1" allowOverlap="1">
                <wp:simplePos x="0" y="0"/>
                <wp:positionH relativeFrom="page">
                  <wp:posOffset>1762760</wp:posOffset>
                </wp:positionH>
                <wp:positionV relativeFrom="page">
                  <wp:posOffset>4119245</wp:posOffset>
                </wp:positionV>
                <wp:extent cx="1320800" cy="170815"/>
                <wp:wrapNone/>
                <wp:docPr id="1417" name="1417"/>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24.35pt;z-index:-251258880;width:104.00pt;height:13.45pt;" id="1417"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91" locked="0" layoutInCell="1" allowOverlap="1">
                <wp:simplePos x="0" y="0"/>
                <wp:positionH relativeFrom="page">
                  <wp:posOffset>1762760</wp:posOffset>
                </wp:positionH>
                <wp:positionV relativeFrom="page">
                  <wp:posOffset>4300220</wp:posOffset>
                </wp:positionV>
                <wp:extent cx="1320800" cy="170815"/>
                <wp:wrapNone/>
                <wp:docPr id="1418" name="1418"/>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38.60pt;z-index:-251257856;width:104.00pt;height:13.45pt;" id="1418"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92" locked="0" layoutInCell="1" allowOverlap="1">
                <wp:simplePos x="0" y="0"/>
                <wp:positionH relativeFrom="page">
                  <wp:posOffset>1762760</wp:posOffset>
                </wp:positionH>
                <wp:positionV relativeFrom="page">
                  <wp:posOffset>4482465</wp:posOffset>
                </wp:positionV>
                <wp:extent cx="1549400" cy="170815"/>
                <wp:wrapNone/>
                <wp:docPr id="1419" name="1419"/>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52.95pt;z-index:-251256832;width:122.00pt;height:13.45pt;" id="1419"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393" locked="0" layoutInCell="1" allowOverlap="1">
                <wp:simplePos x="0" y="0"/>
                <wp:positionH relativeFrom="page">
                  <wp:posOffset>2288540</wp:posOffset>
                </wp:positionH>
                <wp:positionV relativeFrom="page">
                  <wp:posOffset>4664075</wp:posOffset>
                </wp:positionV>
                <wp:extent cx="571500" cy="170815"/>
                <wp:wrapNone/>
                <wp:docPr id="1420" name="1420"/>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67.25pt;z-index:-251255808;width:45.00pt;height:13.45pt;" id="1420" coordsize="90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合结构材料</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F040106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半</w:t>
      </w:r>
      <w:r>
        <w:rPr>
          <w:rFonts w:ascii="宋体" w:hAnsi="宋体" w:cs="宋体" w:eastAsia="宋体" w:hint="ascii"/>
          <w:sz w:val="18"/>
        </w:rPr>
        <w:t>导体材料工艺、测</w:t>
      </w:r>
      <w:r>
        <w:rPr>
          <w:rFonts w:ascii="宋体" w:hAnsi="宋体" w:cs="宋体" w:eastAsia="宋体" w:hint="ascii"/>
          <w:sz w:val="18"/>
        </w:rPr>
        <mc:AlternateContent>
          <mc:Choice Requires="wps">
            <w:drawing>
              <wp:anchor distL="0" distR="0" distT="0" distB="0" simplePos="0" behindDoc="1" relativeHeight="394" locked="0" layoutInCell="1" allowOverlap="1">
                <wp:simplePos x="0" y="0"/>
                <wp:positionH relativeFrom="page">
                  <wp:posOffset>1762760</wp:posOffset>
                </wp:positionH>
                <wp:positionV relativeFrom="page">
                  <wp:posOffset>4845050</wp:posOffset>
                </wp:positionV>
                <wp:extent cx="1549400" cy="170815"/>
                <wp:wrapNone/>
                <wp:docPr id="1421" name="142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81.50pt;z-index:-251254784;width:122.00pt;height:13.45pt;" id="1421"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试表征与设备</w:t>
      </w:r>
      <w:r>
        <w:rPr>
          <w:rFonts w:ascii="宋体" w:hAnsi="宋体" w:cs="宋体" w:eastAsia="宋体" w:hint="ascii"/>
          <w:sz w:val="18"/>
        </w:rPr>
        <mc:AlternateContent>
          <mc:Choice Requires="wps">
            <w:drawing>
              <wp:anchor distL="0" distR="0" distT="0" distB="0" simplePos="0" behindDoc="1" relativeHeight="395" locked="0" layoutInCell="1" allowOverlap="1">
                <wp:simplePos x="0" y="0"/>
                <wp:positionH relativeFrom="page">
                  <wp:posOffset>2288540</wp:posOffset>
                </wp:positionH>
                <wp:positionV relativeFrom="page">
                  <wp:posOffset>5027295</wp:posOffset>
                </wp:positionV>
                <wp:extent cx="685800" cy="170815"/>
                <wp:wrapNone/>
                <wp:docPr id="1422" name="1422"/>
                <wp:cNvGraphicFramePr/>
                <a:graphic>
                  <a:graphicData uri="http://schemas.microsoft.com/office/word/2010/wordprocessingShape">
                    <wps:wsp>
                      <wps:cNvSpPr/>
                      <wps:spPr>
                        <a:xfrm>
                          <a:off x="0" y="0"/>
                          <a:ext cx="685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95.85pt;z-index:-251253760;width:54.00pt;height:13.45pt;" id="1422" coordsize="108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w:t>
      </w:r>
      <w:r>
        <w:rPr>
          <w:rFonts w:ascii="宋体" w:hAnsi="宋体" w:cs="宋体" w:eastAsia="宋体" w:hint="ascii"/>
          <w:sz w:val="18"/>
        </w:rPr>
        <w:t>-</w:t>
      </w:r>
      <w:r>
        <w:rPr>
          <w:rFonts w:ascii="宋体" w:hAnsi="宋体" w:cs="宋体" w:eastAsia="宋体" w:hint="ascii"/>
          <w:sz w:val="18"/>
        </w:rPr>
        <w:t>无机复合半导</w:t>
      </w:r>
      <w:r>
        <w:rPr>
          <w:rFonts w:ascii="宋体" w:hAnsi="宋体" w:cs="宋体" w:eastAsia="宋体" w:hint="ascii"/>
          <w:sz w:val="18"/>
        </w:rPr>
        <mc:AlternateContent>
          <mc:Choice Requires="wps">
            <w:drawing>
              <wp:anchor distL="0" distR="0" distT="0" distB="0" simplePos="0" behindDoc="1" relativeHeight="396" locked="0" layoutInCell="1" allowOverlap="1">
                <wp:simplePos x="0" y="0"/>
                <wp:positionH relativeFrom="page">
                  <wp:posOffset>1762760</wp:posOffset>
                </wp:positionH>
                <wp:positionV relativeFrom="page">
                  <wp:posOffset>5208905</wp:posOffset>
                </wp:positionV>
                <wp:extent cx="1492250" cy="170815"/>
                <wp:wrapNone/>
                <wp:docPr id="1423" name="1423"/>
                <wp:cNvGraphicFramePr/>
                <a:graphic>
                  <a:graphicData uri="http://schemas.microsoft.com/office/word/2010/wordprocessingShape">
                    <wps:wsp>
                      <wps:cNvSpPr/>
                      <wps:spPr>
                        <a:xfrm>
                          <a:off x="0" y="0"/>
                          <a:ext cx="14922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10.15pt;z-index:-251252736;width:117.50pt;height:13.45pt;" id="1423" coordsize="235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体材料</w:t>
      </w:r>
      <w:r>
        <w:rPr>
          <w:rFonts w:ascii="宋体" w:hAnsi="宋体" w:cs="宋体" w:eastAsia="宋体" w:hint="ascii"/>
          <w:sz w:val="18"/>
        </w:rPr>
        <mc:AlternateContent>
          <mc:Choice Requires="wps">
            <w:drawing>
              <wp:anchor distL="0" distR="0" distT="0" distB="0" simplePos="0" behindDoc="1" relativeHeight="397" locked="0" layoutInCell="1" allowOverlap="1">
                <wp:simplePos x="0" y="0"/>
                <wp:positionH relativeFrom="page">
                  <wp:posOffset>2288540</wp:posOffset>
                </wp:positionH>
                <wp:positionV relativeFrom="page">
                  <wp:posOffset>5389880</wp:posOffset>
                </wp:positionV>
                <wp:extent cx="342900" cy="170815"/>
                <wp:wrapNone/>
                <wp:docPr id="1424" name="1424"/>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424.40pt;z-index:-251251712;width:27.00pt;height:13.45pt;" id="1424" coordsize="54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F040108</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w:t>
      </w:r>
      <w:r>
        <w:rPr>
          <w:rFonts w:ascii="Times New Roman" w:hAnsi="Times New Roman" w:cs="Times New Roman" w:eastAsia="Times New Roman" w:hint="ascii"/>
          <w:sz w:val="18"/>
        </w:rPr>
        <w:t>/</w:t>
      </w:r>
      <w:r>
        <w:rPr>
          <w:rFonts w:ascii="宋体" w:hAnsi="宋体" w:cs="宋体" w:eastAsia="宋体" w:hint="ascii"/>
          <w:sz w:val="18"/>
        </w:rPr>
        <w:t>聚合物半导体</w:t>
      </w:r>
      <w:r>
        <w:rPr>
          <w:rFonts w:ascii="宋体" w:hAnsi="宋体" w:cs="宋体" w:eastAsia="宋体" w:hint="ascii"/>
          <w:sz w:val="18"/>
        </w:rPr>
        <mc:AlternateContent>
          <mc:Choice Requires="wps">
            <w:drawing>
              <wp:anchor distL="0" distR="0" distT="0" distB="0" simplePos="0" behindDoc="1" relativeHeight="398" locked="0" layoutInCell="1" allowOverlap="1">
                <wp:simplePos x="0" y="0"/>
                <wp:positionH relativeFrom="page">
                  <wp:posOffset>1762760</wp:posOffset>
                </wp:positionH>
                <wp:positionV relativeFrom="page">
                  <wp:posOffset>5572125</wp:posOffset>
                </wp:positionV>
                <wp:extent cx="1466850" cy="170815"/>
                <wp:wrapNone/>
                <wp:docPr id="1425" name="1425"/>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38.75pt;z-index:-251250688;width:115.50pt;height:13.45pt;" id="1425" coordsize="231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材料</w:t>
      </w:r>
      <w:r>
        <w:rPr>
          <w:rFonts w:ascii="宋体" w:hAnsi="宋体" w:cs="宋体" w:eastAsia="宋体" w:hint="ascii"/>
          <w:sz w:val="18"/>
        </w:rPr>
        <mc:AlternateContent>
          <mc:Choice Requires="wps">
            <w:drawing>
              <wp:anchor distL="0" distR="0" distT="0" distB="0" simplePos="0" behindDoc="1" relativeHeight="399" locked="0" layoutInCell="1" allowOverlap="1">
                <wp:simplePos x="0" y="0"/>
                <wp:positionH relativeFrom="page">
                  <wp:posOffset>2288540</wp:posOffset>
                </wp:positionH>
                <wp:positionV relativeFrom="page">
                  <wp:posOffset>5753735</wp:posOffset>
                </wp:positionV>
                <wp:extent cx="228600" cy="170815"/>
                <wp:wrapNone/>
                <wp:docPr id="1426" name="1426"/>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453.05pt;z-index:-251249664;width:18.00pt;height:13.45pt;" id="1426" coordsize="3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F040109</w:t>
      </w:r>
      <w:r>
        <w:rPr>
          <w:rFonts w:ascii="Times New Roman" w:hAnsi="Times New Roman" w:cs="Times New Roman" w:eastAsia="Times New Roman" w:hint="ascii"/>
          <w:sz w:val="18"/>
          <w:spacing w:val="49"/>
        </w:rPr>
        <w:t xml:space="preserve"> </w:t>
      </w:r>
      <w:r>
        <w:rPr>
          <w:rFonts w:ascii="宋体" w:hAnsi="宋体" w:cs="宋体" w:eastAsia="宋体" w:hint="ascii"/>
          <w:sz w:val="18"/>
        </w:rPr>
        <w:t>新型信息功能材料</w:t>
      </w:r>
      <w:r>
        <w:rPr>
          <w:rFonts w:ascii="宋体" w:hAnsi="宋体" w:cs="宋体" w:eastAsia="宋体" w:hint="ascii"/>
          <w:sz w:val="18"/>
        </w:rPr>
        <mc:AlternateContent>
          <mc:Choice Requires="wps">
            <w:drawing>
              <wp:anchor distL="0" distR="0" distT="0" distB="0" simplePos="0" behindDoc="1" relativeHeight="400" locked="0" layoutInCell="1" allowOverlap="1">
                <wp:simplePos x="0" y="0"/>
                <wp:positionH relativeFrom="page">
                  <wp:posOffset>1762760</wp:posOffset>
                </wp:positionH>
                <wp:positionV relativeFrom="page">
                  <wp:posOffset>5934710</wp:posOffset>
                </wp:positionV>
                <wp:extent cx="1440180" cy="170815"/>
                <wp:wrapNone/>
                <wp:docPr id="1427" name="1427"/>
                <wp:cNvGraphicFramePr/>
                <a:graphic>
                  <a:graphicData uri="http://schemas.microsoft.com/office/word/2010/wordprocessingShape">
                    <wps:wsp>
                      <wps:cNvSpPr/>
                      <wps:spPr>
                        <a:xfrm>
                          <a:off x="0" y="0"/>
                          <a:ext cx="14401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67.30pt;z-index:-251248640;width:113.40pt;height:13.45pt;" id="1427" coordsize="2268,269" stroked="f" fillcolor="#ffffff" opacity="0f">
                <v:stroke endcap="round"/>
                <v:fill opacity="0f"/>
                <w10:wrap anchorx="page" anchory="page" side="both"/>
              </v:rect>
            </w:pict>
          </mc:Fallback>
        </mc:AlternateConten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集成电路设计</w:t>
      </w:r>
      <w:r>
        <w:rPr>
          <w:rFonts w:ascii="宋体" w:hAnsi="宋体" w:cs="宋体" w:eastAsia="宋体" w:hint="ascii"/>
          <w:sz w:val="18"/>
        </w:rPr>
        <mc:AlternateContent>
          <mc:Choice Requires="wps">
            <w:drawing>
              <wp:anchor distL="0" distR="0" distT="0" distB="0" simplePos="0" behindDoc="1" relativeHeight="401" locked="0" layoutInCell="1" allowOverlap="1">
                <wp:simplePos x="0" y="0"/>
                <wp:positionH relativeFrom="page">
                  <wp:posOffset>1341755</wp:posOffset>
                </wp:positionH>
                <wp:positionV relativeFrom="page">
                  <wp:posOffset>6113145</wp:posOffset>
                </wp:positionV>
                <wp:extent cx="1098550" cy="167005"/>
                <wp:wrapNone/>
                <wp:docPr id="1428" name="1428"/>
                <wp:cNvGraphicFramePr/>
                <a:graphic>
                  <a:graphicData uri="http://schemas.microsoft.com/office/word/2010/wordprocessingShape">
                    <wps:wsp>
                      <wps:cNvSpPr/>
                      <wps:spPr>
                        <a:xfrm>
                          <a:off x="0" y="0"/>
                          <a:ext cx="10985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481.35pt;z-index:-251247616;width:86.50pt;height:13.15pt;" id="1428" coordsize="1730,263"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多核</w:t>
      </w:r>
      <w:r>
        <w:rPr>
          <w:rFonts w:ascii="Times New Roman" w:hAnsi="Times New Roman" w:cs="Times New Roman" w:eastAsia="Times New Roman" w:hint="ascii"/>
          <w:sz w:val="18"/>
        </w:rPr>
        <w:t>/</w:t>
      </w:r>
      <w:r>
        <w:rPr>
          <w:rFonts w:ascii="宋体" w:hAnsi="宋体" w:cs="宋体" w:eastAsia="宋体" w:hint="ascii"/>
          <w:sz w:val="18"/>
        </w:rPr>
        <w:t>系统芯片设计</w:t>
      </w:r>
      <w:r>
        <w:rPr>
          <w:rFonts w:ascii="宋体" w:hAnsi="宋体" w:cs="宋体" w:eastAsia="宋体" w:hint="ascii"/>
          <w:sz w:val="18"/>
        </w:rPr>
        <mc:AlternateContent>
          <mc:Choice Requires="wps">
            <w:drawing>
              <wp:anchor distL="0" distR="0" distT="0" distB="0" simplePos="0" behindDoc="1" relativeHeight="402" locked="0" layoutInCell="1" allowOverlap="1">
                <wp:simplePos x="0" y="0"/>
                <wp:positionH relativeFrom="page">
                  <wp:posOffset>1762760</wp:posOffset>
                </wp:positionH>
                <wp:positionV relativeFrom="page">
                  <wp:posOffset>6298565</wp:posOffset>
                </wp:positionV>
                <wp:extent cx="1466850" cy="170815"/>
                <wp:wrapNone/>
                <wp:docPr id="1429" name="1429"/>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95.95pt;z-index:-251246592;width:115.50pt;height:13.45pt;" id="1429" coordsize="231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方法</w:t>
      </w:r>
      <w:r>
        <w:rPr>
          <w:rFonts w:ascii="宋体" w:hAnsi="宋体" w:cs="宋体" w:eastAsia="宋体" w:hint="ascii"/>
          <w:sz w:val="18"/>
        </w:rPr>
        <mc:AlternateContent>
          <mc:Choice Requires="wps">
            <w:drawing>
              <wp:anchor distL="0" distR="0" distT="0" distB="0" simplePos="0" behindDoc="1" relativeHeight="403" locked="0" layoutInCell="1" allowOverlap="1">
                <wp:simplePos x="0" y="0"/>
                <wp:positionH relativeFrom="page">
                  <wp:posOffset>2288540</wp:posOffset>
                </wp:positionH>
                <wp:positionV relativeFrom="page">
                  <wp:posOffset>6479540</wp:posOffset>
                </wp:positionV>
                <wp:extent cx="228600" cy="170815"/>
                <wp:wrapNone/>
                <wp:docPr id="1430" name="1430"/>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10.20pt;z-index:-251245568;width:18.00pt;height:13.45pt;" id="1430" coordsize="36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模</w:t>
      </w:r>
      <w:r>
        <w:rPr>
          <w:rFonts w:ascii="宋体" w:hAnsi="宋体" w:cs="宋体" w:eastAsia="宋体" w:hint="ascii"/>
          <w:sz w:val="18"/>
        </w:rPr>
        <w:t>拟、混合信号、射</w:t>
      </w:r>
      <w:r>
        <w:rPr>
          <w:rFonts w:ascii="宋体" w:hAnsi="宋体" w:cs="宋体" w:eastAsia="宋体" w:hint="ascii"/>
          <w:sz w:val="18"/>
        </w:rPr>
        <mc:AlternateContent>
          <mc:Choice Requires="wps">
            <w:drawing>
              <wp:anchor distL="0" distR="0" distT="0" distB="0" simplePos="0" behindDoc="1" relativeHeight="404" locked="0" layoutInCell="1" allowOverlap="1">
                <wp:simplePos x="0" y="0"/>
                <wp:positionH relativeFrom="page">
                  <wp:posOffset>1762760</wp:posOffset>
                </wp:positionH>
                <wp:positionV relativeFrom="page">
                  <wp:posOffset>6661785</wp:posOffset>
                </wp:positionV>
                <wp:extent cx="1549400" cy="170815"/>
                <wp:wrapNone/>
                <wp:docPr id="1431" name="143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24.55pt;z-index:-251244544;width:122.00pt;height:13.45pt;" id="1431"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频集成电路设计</w:t>
      </w:r>
      <w:r>
        <w:rPr>
          <w:rFonts w:ascii="宋体" w:hAnsi="宋体" w:cs="宋体" w:eastAsia="宋体" w:hint="ascii"/>
          <w:sz w:val="18"/>
        </w:rPr>
        <mc:AlternateContent>
          <mc:Choice Requires="wps">
            <w:drawing>
              <wp:anchor distL="0" distR="0" distT="0" distB="0" simplePos="0" behindDoc="1" relativeHeight="405" locked="0" layoutInCell="1" allowOverlap="1">
                <wp:simplePos x="0" y="0"/>
                <wp:positionH relativeFrom="page">
                  <wp:posOffset>2288540</wp:posOffset>
                </wp:positionH>
                <wp:positionV relativeFrom="page">
                  <wp:posOffset>6843395</wp:posOffset>
                </wp:positionV>
                <wp:extent cx="800100" cy="170815"/>
                <wp:wrapNone/>
                <wp:docPr id="1432" name="1432"/>
                <wp:cNvGraphicFramePr/>
                <a:graphic>
                  <a:graphicData uri="http://schemas.microsoft.com/office/word/2010/wordprocessingShape">
                    <wps:wsp>
                      <wps:cNvSpPr/>
                      <wps:spPr>
                        <a:xfrm>
                          <a:off x="0" y="0"/>
                          <a:ext cx="800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38.85pt;z-index:-251243520;width:63.00pt;height:13.45pt;" id="1432" coordsize="12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F040203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低</w:t>
      </w:r>
      <w:r>
        <w:rPr>
          <w:rFonts w:ascii="宋体" w:hAnsi="宋体" w:cs="宋体" w:eastAsia="宋体" w:hint="ascii"/>
          <w:sz w:val="18"/>
        </w:rPr>
        <w:t>功耗、高能效集成</w:t>
      </w:r>
      <w:r>
        <w:rPr>
          <w:rFonts w:ascii="宋体" w:hAnsi="宋体" w:cs="宋体" w:eastAsia="宋体" w:hint="ascii"/>
          <w:sz w:val="18"/>
        </w:rPr>
        <mc:AlternateContent>
          <mc:Choice Requires="wps">
            <w:drawing>
              <wp:anchor distL="0" distR="0" distT="0" distB="0" simplePos="0" behindDoc="1" relativeHeight="406" locked="0" layoutInCell="1" allowOverlap="1">
                <wp:simplePos x="0" y="0"/>
                <wp:positionH relativeFrom="page">
                  <wp:posOffset>1762760</wp:posOffset>
                </wp:positionH>
                <wp:positionV relativeFrom="page">
                  <wp:posOffset>7024370</wp:posOffset>
                </wp:positionV>
                <wp:extent cx="1549400" cy="170815"/>
                <wp:wrapNone/>
                <wp:docPr id="1433" name="143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53.10pt;z-index:-251242496;width:122.00pt;height:13.45pt;" id="1433"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电路设计</w:t>
      </w:r>
      <w:r>
        <w:rPr>
          <w:rFonts w:ascii="宋体" w:hAnsi="宋体" w:cs="宋体" w:eastAsia="宋体" w:hint="ascii"/>
          <w:sz w:val="18"/>
        </w:rPr>
        <mc:AlternateContent>
          <mc:Choice Requires="wps">
            <w:drawing>
              <wp:anchor distL="0" distR="0" distT="0" distB="0" simplePos="0" behindDoc="1" relativeHeight="407" locked="0" layoutInCell="1" allowOverlap="1">
                <wp:simplePos x="0" y="0"/>
                <wp:positionH relativeFrom="page">
                  <wp:posOffset>2288540</wp:posOffset>
                </wp:positionH>
                <wp:positionV relativeFrom="page">
                  <wp:posOffset>7206615</wp:posOffset>
                </wp:positionV>
                <wp:extent cx="457200" cy="170815"/>
                <wp:wrapNone/>
                <wp:docPr id="1434" name="1434"/>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67.45pt;z-index:-251241472;width:36.00pt;height:13.45pt;" id="1434" coordsize="720,269" stroked="f" fillcolor="#ffffff" opacity="0f">
                <v:stroke endcap="round"/>
                <v:fill opacity="0f"/>
                <w10:wrap anchorx="page" anchory="page" side="both"/>
              </v:rect>
            </w:pict>
          </mc:Fallback>
        </mc:AlternateContent>
      </w:r>
    </w:p>
    <w:p>
      <w:pPr>
        <w:autoSpaceDE w:val="0"/>
        <w:autoSpaceDN w:val="0"/>
        <w:jc w:val="both"/>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F040204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集</w:t>
      </w:r>
      <w:r>
        <w:rPr>
          <w:rFonts w:ascii="宋体" w:hAnsi="宋体" w:cs="宋体" w:eastAsia="宋体" w:hint="ascii"/>
          <w:sz w:val="18"/>
        </w:rPr>
        <w:t>成电路设计自动化</w:t>
      </w:r>
      <w:r>
        <w:rPr>
          <w:rFonts w:ascii="Times New Roman" w:hAnsi="Times New Roman" w:cs="Times New Roman" w:eastAsia="Times New Roman" w:hint="ascii"/>
          <w:sz w:val="18"/>
          <w:spacing w:val="-1"/>
        </w:rPr>
        <w:t>F040205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器</w:t>
      </w:r>
      <w:r>
        <w:rPr>
          <w:rFonts w:ascii="宋体" w:hAnsi="宋体" w:cs="宋体" w:eastAsia="宋体" w:hint="ascii"/>
          <w:sz w:val="18"/>
        </w:rPr>
        <w:t>件、电路、系统协</w:t>
      </w:r>
      <w:r>
        <w:rPr>
          <w:rFonts w:ascii="宋体" w:hAnsi="宋体" w:cs="宋体" w:eastAsia="宋体" w:hint="ascii"/>
          <w:sz w:val="18"/>
        </w:rPr>
        <mc:AlternateContent>
          <mc:Choice Requires="wps">
            <w:drawing>
              <wp:anchor distL="0" distR="0" distT="0" distB="0" simplePos="0" behindDoc="1" relativeHeight="408" locked="0" layoutInCell="1" allowOverlap="1">
                <wp:simplePos x="0" y="0"/>
                <wp:positionH relativeFrom="page">
                  <wp:posOffset>1762760</wp:posOffset>
                </wp:positionH>
                <wp:positionV relativeFrom="page">
                  <wp:posOffset>7388225</wp:posOffset>
                </wp:positionV>
                <wp:extent cx="1549400" cy="170815"/>
                <wp:wrapNone/>
                <wp:docPr id="1435" name="1435"/>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81.75pt;z-index:-251240448;width:122.00pt;height:13.45pt;" id="1435"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09" locked="0" layoutInCell="1" allowOverlap="1">
                <wp:simplePos x="0" y="0"/>
                <wp:positionH relativeFrom="page">
                  <wp:posOffset>1762760</wp:posOffset>
                </wp:positionH>
                <wp:positionV relativeFrom="page">
                  <wp:posOffset>7569200</wp:posOffset>
                </wp:positionV>
                <wp:extent cx="1549400" cy="170815"/>
                <wp:wrapNone/>
                <wp:docPr id="1436" name="143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96.00pt;z-index:-251239424;width:122.00pt;height:13.45pt;" id="1436"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10" locked="0" layoutInCell="1" allowOverlap="1">
                <wp:simplePos x="0" y="0"/>
                <wp:positionH relativeFrom="page">
                  <wp:posOffset>2288540</wp:posOffset>
                </wp:positionH>
                <wp:positionV relativeFrom="page">
                  <wp:posOffset>7751445</wp:posOffset>
                </wp:positionV>
                <wp:extent cx="342900" cy="170815"/>
                <wp:wrapNone/>
                <wp:docPr id="1437" name="1437"/>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610.35pt;z-index:-251238400;width:27.00pt;height:13.45pt;" id="1437" coordsize="54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同设计</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F040206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集</w:t>
      </w:r>
      <w:r>
        <w:rPr>
          <w:rFonts w:ascii="宋体" w:hAnsi="宋体" w:cs="宋体" w:eastAsia="宋体" w:hint="ascii"/>
          <w:sz w:val="18"/>
        </w:rPr>
        <w:t>成电路验证与测试</w:t>
      </w:r>
      <w:r>
        <w:rPr>
          <w:rFonts w:ascii="宋体" w:hAnsi="宋体" w:cs="宋体" w:eastAsia="宋体" w:hint="ascii"/>
          <w:sz w:val="18"/>
        </w:rPr>
        <mc:AlternateContent>
          <mc:Choice Requires="wps">
            <w:drawing>
              <wp:anchor distL="0" distR="0" distT="0" distB="0" simplePos="0" behindDoc="1" relativeHeight="411" locked="0" layoutInCell="1" allowOverlap="1">
                <wp:simplePos x="0" y="0"/>
                <wp:positionH relativeFrom="page">
                  <wp:posOffset>1762760</wp:posOffset>
                </wp:positionH>
                <wp:positionV relativeFrom="page">
                  <wp:posOffset>7933055</wp:posOffset>
                </wp:positionV>
                <wp:extent cx="1549400" cy="170815"/>
                <wp:wrapNone/>
                <wp:docPr id="1438" name="143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24.65pt;z-index:-251237376;width:122.00pt;height:13.45pt;" id="1438"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方法</w:t>
      </w:r>
      <w:r>
        <w:rPr>
          <w:rFonts w:ascii="宋体" w:hAnsi="宋体" w:cs="宋体" w:eastAsia="宋体" w:hint="ascii"/>
          <w:sz w:val="18"/>
        </w:rPr>
        <mc:AlternateContent>
          <mc:Choice Requires="wps">
            <w:drawing>
              <wp:anchor distL="0" distR="0" distT="0" distB="0" simplePos="0" behindDoc="1" relativeHeight="412" locked="0" layoutInCell="1" allowOverlap="1">
                <wp:simplePos x="0" y="0"/>
                <wp:positionH relativeFrom="page">
                  <wp:posOffset>2288540</wp:posOffset>
                </wp:positionH>
                <wp:positionV relativeFrom="page">
                  <wp:posOffset>8114030</wp:posOffset>
                </wp:positionV>
                <wp:extent cx="228600" cy="170815"/>
                <wp:wrapNone/>
                <wp:docPr id="1439" name="1439"/>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638.90pt;z-index:-251236352;width:18.00pt;height:13.45pt;" id="1439" coordsize="36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F040207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器</w:t>
      </w:r>
      <w:r>
        <w:rPr>
          <w:rFonts w:ascii="宋体" w:hAnsi="宋体" w:cs="宋体" w:eastAsia="宋体" w:hint="ascii"/>
          <w:sz w:val="18"/>
        </w:rPr>
        <w:t>件、微纳集成系统</w:t>
      </w:r>
      <w:r>
        <w:rPr>
          <w:rFonts w:ascii="宋体" w:hAnsi="宋体" w:cs="宋体" w:eastAsia="宋体" w:hint="ascii"/>
          <w:sz w:val="18"/>
        </w:rPr>
        <mc:AlternateContent>
          <mc:Choice Requires="wps">
            <w:drawing>
              <wp:anchor distL="0" distR="0" distT="0" distB="0" simplePos="0" behindDoc="1" relativeHeight="413" locked="0" layoutInCell="1" allowOverlap="1">
                <wp:simplePos x="0" y="0"/>
                <wp:positionH relativeFrom="page">
                  <wp:posOffset>1762760</wp:posOffset>
                </wp:positionH>
                <wp:positionV relativeFrom="page">
                  <wp:posOffset>8296275</wp:posOffset>
                </wp:positionV>
                <wp:extent cx="1549400" cy="170815"/>
                <wp:wrapNone/>
                <wp:docPr id="1440" name="144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53.25pt;z-index:-251235328;width:122.00pt;height:13.45pt;" id="1440"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建模与验证</w:t>
      </w:r>
      <w:r>
        <w:rPr>
          <w:rFonts w:ascii="宋体" w:hAnsi="宋体" w:cs="宋体" w:eastAsia="宋体" w:hint="ascii"/>
          <w:sz w:val="18"/>
        </w:rPr>
        <mc:AlternateContent>
          <mc:Choice Requires="wps">
            <w:drawing>
              <wp:anchor distL="0" distR="0" distT="0" distB="0" simplePos="0" behindDoc="1" relativeHeight="414" locked="0" layoutInCell="1" allowOverlap="1">
                <wp:simplePos x="0" y="0"/>
                <wp:positionH relativeFrom="page">
                  <wp:posOffset>2288540</wp:posOffset>
                </wp:positionH>
                <wp:positionV relativeFrom="page">
                  <wp:posOffset>8477885</wp:posOffset>
                </wp:positionV>
                <wp:extent cx="571500" cy="170815"/>
                <wp:wrapNone/>
                <wp:docPr id="1441" name="1441"/>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667.55pt;z-index:-251234304;width:45.00pt;height:13.45pt;" id="1441" coordsize="900,269" stroked="f" fillcolor="#ffffff" opacity="0f">
                <v:stroke endcap="round"/>
                <v:fill opacity="0f"/>
                <w10:wrap anchorx="page" anchory="page" side="both"/>
              </v:rect>
            </w:pict>
          </mc:Fallback>
        </mc:AlternateContent>
      </w:r>
    </w:p>
    <w:p>
      <w:pPr>
        <w:autoSpaceDE w:val="0"/>
        <w:autoSpaceDN w:val="0"/>
        <w:jc w:val="left"/>
        <w:spacing w:before="333"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286</w:t>
      </w:r>
      <w:r>
        <w:rPr>
          <w:rFonts w:ascii="宋体" w:hAnsi="宋体" w:cs="宋体" w:eastAsia="宋体" w:hint="ascii"/>
          <w:sz w:val="18"/>
        </w:rPr>
        <w:t>·</w:t>
      </w:r>
    </w:p>
    <w:p>
      <w:pPr>
        <w:autoSpaceDE w:val="0"/>
        <w:autoSpaceDN w:val="0"/>
        <w:jc w:val="left"/>
        <w:spacing w:before="354"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F040208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三维集成电路与集成</w:t>
      </w:r>
      <w:r>
        <w:rPr>
          <w:rFonts w:ascii="宋体" w:hAnsi="宋体" w:cs="宋体" w:eastAsia="宋体" w:hint="ascii"/>
          <w:sz w:val="18"/>
        </w:rPr>
        <mc:AlternateContent>
          <mc:Choice Requires="wps">
            <w:drawing>
              <wp:anchor distL="0" distR="0" distT="0" distB="0" simplePos="0" behindDoc="1" relativeHeight="415" locked="0" layoutInCell="1" allowOverlap="1">
                <wp:simplePos x="0" y="0"/>
                <wp:positionH relativeFrom="page">
                  <wp:posOffset>4352290</wp:posOffset>
                </wp:positionH>
                <wp:positionV relativeFrom="page">
                  <wp:posOffset>975995</wp:posOffset>
                </wp:positionV>
                <wp:extent cx="1549400" cy="170815"/>
                <wp:wrapNone/>
                <wp:docPr id="1442" name="144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76.85pt;z-index:-251233280;width:122.00pt;height:13.45pt;" id="1442"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系统</w:t>
      </w:r>
      <w:r>
        <w:rPr>
          <w:rFonts w:ascii="宋体" w:hAnsi="宋体" w:cs="宋体" w:eastAsia="宋体" w:hint="ascii"/>
          <w:sz w:val="18"/>
        </w:rPr>
        <mc:AlternateContent>
          <mc:Choice Requires="wps">
            <w:drawing>
              <wp:anchor distL="0" distR="0" distT="0" distB="0" simplePos="0" behindDoc="1" relativeHeight="416" locked="0" layoutInCell="1" allowOverlap="1">
                <wp:simplePos x="0" y="0"/>
                <wp:positionH relativeFrom="page">
                  <wp:posOffset>4878070</wp:posOffset>
                </wp:positionH>
                <wp:positionV relativeFrom="page">
                  <wp:posOffset>1156970</wp:posOffset>
                </wp:positionV>
                <wp:extent cx="228600" cy="170815"/>
                <wp:wrapNone/>
                <wp:docPr id="1443" name="1443"/>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91.10pt;z-index:-251232256;width:18.00pt;height:13.45pt;" id="1443" coordsize="360,269" stroked="f" fillcolor="#ffffff" opacity="0f">
                <v:stroke endcap="round"/>
                <v:fill opacity="0f"/>
                <w10:wrap anchorx="page" anchory="page" side="both"/>
              </v:rect>
            </w:pict>
          </mc:Fallback>
        </mc:AlternateContent>
      </w:r>
    </w:p>
    <w:p>
      <w:pPr>
        <w:autoSpaceDE w:val="0"/>
        <w:autoSpaceDN w:val="0"/>
        <w:jc w:val="left"/>
        <w:spacing w:before="62" w:after="0" w:lineRule="auto" w:line="313"/>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F040209</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集成电路硬件安全</w:t>
      </w:r>
      <w:r>
        <w:rPr>
          <w:rFonts w:ascii="Times New Roman" w:hAnsi="Times New Roman" w:cs="Times New Roman" w:eastAsia="Times New Roman" w:hint="ascii"/>
          <w:sz w:val="18"/>
        </w:rPr>
        <w:t>F040210</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新功能、新结构芯片</w:t>
      </w:r>
      <w:r>
        <w:rPr>
          <w:rFonts w:ascii="Times New Roman" w:hAnsi="Times New Roman" w:cs="Times New Roman" w:eastAsia="Times New Roman" w:hint="ascii"/>
          <w:sz w:val="18"/>
        </w:rPr>
        <w:t>F0402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集成电路可测性、可</w:t>
      </w:r>
      <w:r>
        <w:rPr>
          <w:rFonts w:ascii="宋体" w:hAnsi="宋体" w:cs="宋体" w:eastAsia="宋体" w:hint="ascii"/>
          <w:sz w:val="18"/>
        </w:rPr>
        <mc:AlternateContent>
          <mc:Choice Requires="wps">
            <w:drawing>
              <wp:anchor distL="0" distR="0" distT="0" distB="0" simplePos="0" behindDoc="1" relativeHeight="417" locked="0" layoutInCell="1" allowOverlap="1">
                <wp:simplePos x="0" y="0"/>
                <wp:positionH relativeFrom="page">
                  <wp:posOffset>4352290</wp:posOffset>
                </wp:positionH>
                <wp:positionV relativeFrom="page">
                  <wp:posOffset>1339215</wp:posOffset>
                </wp:positionV>
                <wp:extent cx="1435100" cy="170815"/>
                <wp:wrapNone/>
                <wp:docPr id="1444" name="1444"/>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05.45pt;z-index:-251231232;width:113.00pt;height:13.45pt;" id="1444"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18" locked="0" layoutInCell="1" allowOverlap="1">
                <wp:simplePos x="0" y="0"/>
                <wp:positionH relativeFrom="page">
                  <wp:posOffset>4352290</wp:posOffset>
                </wp:positionH>
                <wp:positionV relativeFrom="page">
                  <wp:posOffset>1520825</wp:posOffset>
                </wp:positionV>
                <wp:extent cx="1549400" cy="170815"/>
                <wp:wrapNone/>
                <wp:docPr id="1445" name="1445"/>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19.75pt;z-index:-251230208;width:122.00pt;height:13.45pt;" id="1445"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19" locked="0" layoutInCell="1" allowOverlap="1">
                <wp:simplePos x="0" y="0"/>
                <wp:positionH relativeFrom="page">
                  <wp:posOffset>4352290</wp:posOffset>
                </wp:positionH>
                <wp:positionV relativeFrom="page">
                  <wp:posOffset>1701800</wp:posOffset>
                </wp:positionV>
                <wp:extent cx="1545590" cy="170815"/>
                <wp:wrapNone/>
                <wp:docPr id="1446" name="1446"/>
                <wp:cNvGraphicFramePr/>
                <a:graphic>
                  <a:graphicData uri="http://schemas.microsoft.com/office/word/2010/wordprocessingShape">
                    <wps:wsp>
                      <wps:cNvSpPr/>
                      <wps:spPr>
                        <a:xfrm>
                          <a:off x="0" y="0"/>
                          <a:ext cx="15455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34.00pt;z-index:-251229184;width:121.70pt;height:13.45pt;" id="1446" coordsize="243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20" locked="0" layoutInCell="1" allowOverlap="1">
                <wp:simplePos x="0" y="0"/>
                <wp:positionH relativeFrom="page">
                  <wp:posOffset>4878070</wp:posOffset>
                </wp:positionH>
                <wp:positionV relativeFrom="page">
                  <wp:posOffset>1884045</wp:posOffset>
                </wp:positionV>
                <wp:extent cx="1028700" cy="170815"/>
                <wp:wrapNone/>
                <wp:docPr id="1447" name="1447"/>
                <wp:cNvGraphicFramePr/>
                <a:graphic>
                  <a:graphicData uri="http://schemas.microsoft.com/office/word/2010/wordprocessingShape">
                    <wps:wsp>
                      <wps:cNvSpPr/>
                      <wps:spPr>
                        <a:xfrm>
                          <a:off x="0" y="0"/>
                          <a:ext cx="10287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48.35pt;z-index:-251228160;width:81.00pt;height:13.45pt;" id="1447" coordsize="162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靠性、可制造性设计</w: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半导体光电子器件与集成</w:t>
      </w:r>
      <w:r>
        <w:rPr>
          <w:rFonts w:ascii="宋体" w:hAnsi="宋体" w:cs="宋体" w:eastAsia="宋体" w:hint="ascii"/>
          <w:sz w:val="18"/>
        </w:rPr>
        <mc:AlternateContent>
          <mc:Choice Requires="wps">
            <w:drawing>
              <wp:anchor distL="0" distR="0" distT="0" distB="0" simplePos="0" behindDoc="1" relativeHeight="421" locked="0" layoutInCell="1" allowOverlap="1">
                <wp:simplePos x="0" y="0"/>
                <wp:positionH relativeFrom="page">
                  <wp:posOffset>3931920</wp:posOffset>
                </wp:positionH>
                <wp:positionV relativeFrom="page">
                  <wp:posOffset>2061845</wp:posOffset>
                </wp:positionV>
                <wp:extent cx="1670050" cy="167005"/>
                <wp:wrapNone/>
                <wp:docPr id="1448" name="1448"/>
                <wp:cNvGraphicFramePr/>
                <a:graphic>
                  <a:graphicData uri="http://schemas.microsoft.com/office/word/2010/wordprocessingShape">
                    <wps:wsp>
                      <wps:cNvSpPr/>
                      <wps:spPr>
                        <a:xfrm>
                          <a:off x="0" y="0"/>
                          <a:ext cx="16700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162.35pt;z-index:-251227136;width:131.50pt;height:13.15pt;" id="1448" coordsize="2630,263" stroked="f" fillcolor="#ffffff" opacity="0f">
                <v:stroke endcap="round"/>
                <v:fill opacity="0f"/>
                <w10:wrap anchorx="page" anchory="page" side="both"/>
              </v:rect>
            </w:pict>
          </mc:Fallback>
        </mc:AlternateContent>
      </w:r>
    </w:p>
    <w:p>
      <w:pPr>
        <w:autoSpaceDE w:val="0"/>
        <w:autoSpaceDN w:val="0"/>
        <w:jc w:val="left"/>
        <w:spacing w:before="67" w:after="0" w:lineRule="auto" w:line="314"/>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半</w:t>
      </w:r>
      <w:r>
        <w:rPr>
          <w:rFonts w:ascii="宋体" w:hAnsi="宋体" w:cs="宋体" w:eastAsia="宋体" w:hint="ascii"/>
          <w:sz w:val="18"/>
          <w:spacing w:val="-8"/>
        </w:rPr>
        <w:t>导体发光材料与器</w:t>
      </w:r>
      <w:r>
        <w:rPr>
          <w:rFonts w:ascii="宋体" w:hAnsi="宋体" w:cs="宋体" w:eastAsia="宋体" w:hint="ascii"/>
          <w:sz w:val="18"/>
        </w:rPr>
        <w:t>件</w:t>
      </w:r>
      <w:r>
        <w:rPr>
          <w:rFonts w:ascii="Times New Roman" w:hAnsi="Times New Roman" w:cs="Times New Roman" w:eastAsia="Times New Roman" w:hint="ascii"/>
          <w:sz w:val="18"/>
        </w:rPr>
        <w:t>F040302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半导体激光器</w:t>
      </w:r>
      <w:r>
        <w:rPr>
          <w:rFonts w:ascii="Times New Roman" w:hAnsi="Times New Roman" w:cs="Times New Roman" w:eastAsia="Times New Roman" w:hint="ascii"/>
          <w:sz w:val="18"/>
        </w:rPr>
        <w:t>F040303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半导体光探测器</w:t>
      </w:r>
      <w:r>
        <w:rPr>
          <w:rFonts w:ascii="Times New Roman" w:hAnsi="Times New Roman" w:cs="Times New Roman" w:eastAsia="Times New Roman" w:hint="ascii"/>
          <w:sz w:val="18"/>
        </w:rPr>
        <w:t>F040304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半导体光电子集成</w:t>
      </w:r>
      <w:r>
        <w:rPr>
          <w:rFonts w:ascii="Times New Roman" w:hAnsi="Times New Roman" w:cs="Times New Roman" w:eastAsia="Times New Roman" w:hint="ascii"/>
          <w:sz w:val="18"/>
        </w:rPr>
        <w:t>F040305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半导体成像与显示相</w:t>
      </w:r>
      <w:r>
        <w:rPr>
          <w:rFonts w:ascii="宋体" w:hAnsi="宋体" w:cs="宋体" w:eastAsia="宋体" w:hint="ascii"/>
          <w:sz w:val="18"/>
        </w:rPr>
        <mc:AlternateContent>
          <mc:Choice Requires="wps">
            <w:drawing>
              <wp:anchor distL="0" distR="0" distT="0" distB="0" simplePos="0" behindDoc="1" relativeHeight="422" locked="0" layoutInCell="1" allowOverlap="1">
                <wp:simplePos x="0" y="0"/>
                <wp:positionH relativeFrom="page">
                  <wp:posOffset>4352290</wp:posOffset>
                </wp:positionH>
                <wp:positionV relativeFrom="page">
                  <wp:posOffset>2246630</wp:posOffset>
                </wp:positionV>
                <wp:extent cx="1562735" cy="170815"/>
                <wp:wrapNone/>
                <wp:docPr id="1449" name="1449"/>
                <wp:cNvGraphicFramePr/>
                <a:graphic>
                  <a:graphicData uri="http://schemas.microsoft.com/office/word/2010/wordprocessingShape">
                    <wps:wsp>
                      <wps:cNvSpPr/>
                      <wps:spPr>
                        <a:xfrm>
                          <a:off x="0" y="0"/>
                          <a:ext cx="15627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76.90pt;z-index:-251226112;width:123.05pt;height:13.45pt;" id="1449" coordsize="246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23" locked="0" layoutInCell="1" allowOverlap="1">
                <wp:simplePos x="0" y="0"/>
                <wp:positionH relativeFrom="page">
                  <wp:posOffset>4352290</wp:posOffset>
                </wp:positionH>
                <wp:positionV relativeFrom="page">
                  <wp:posOffset>2428875</wp:posOffset>
                </wp:positionV>
                <wp:extent cx="1206500" cy="170815"/>
                <wp:wrapNone/>
                <wp:docPr id="1450" name="1450"/>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91.25pt;z-index:-251225088;width:95.00pt;height:13.45pt;" id="1450"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24" locked="0" layoutInCell="1" allowOverlap="1">
                <wp:simplePos x="0" y="0"/>
                <wp:positionH relativeFrom="page">
                  <wp:posOffset>4352290</wp:posOffset>
                </wp:positionH>
                <wp:positionV relativeFrom="page">
                  <wp:posOffset>2610485</wp:posOffset>
                </wp:positionV>
                <wp:extent cx="1320800" cy="170815"/>
                <wp:wrapNone/>
                <wp:docPr id="1451" name="1451"/>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05.55pt;z-index:-251224064;width:104.00pt;height:13.45pt;" id="1451"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25" locked="0" layoutInCell="1" allowOverlap="1">
                <wp:simplePos x="0" y="0"/>
                <wp:positionH relativeFrom="page">
                  <wp:posOffset>4352290</wp:posOffset>
                </wp:positionH>
                <wp:positionV relativeFrom="page">
                  <wp:posOffset>2791460</wp:posOffset>
                </wp:positionV>
                <wp:extent cx="1435100" cy="170815"/>
                <wp:wrapNone/>
                <wp:docPr id="1452" name="1452"/>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19.80pt;z-index:-251223040;width:113.00pt;height:13.45pt;" id="1452"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26" locked="0" layoutInCell="1" allowOverlap="1">
                <wp:simplePos x="0" y="0"/>
                <wp:positionH relativeFrom="page">
                  <wp:posOffset>4352290</wp:posOffset>
                </wp:positionH>
                <wp:positionV relativeFrom="page">
                  <wp:posOffset>2973705</wp:posOffset>
                </wp:positionV>
                <wp:extent cx="1549400" cy="170815"/>
                <wp:wrapNone/>
                <wp:docPr id="1453" name="145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34.15pt;z-index:-251222016;width:122.00pt;height:13.45pt;" id="1453"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27" locked="0" layoutInCell="1" allowOverlap="1">
                <wp:simplePos x="0" y="0"/>
                <wp:positionH relativeFrom="page">
                  <wp:posOffset>4878070</wp:posOffset>
                </wp:positionH>
                <wp:positionV relativeFrom="page">
                  <wp:posOffset>3155315</wp:posOffset>
                </wp:positionV>
                <wp:extent cx="685800" cy="170815"/>
                <wp:wrapNone/>
                <wp:docPr id="1454" name="1454"/>
                <wp:cNvGraphicFramePr/>
                <a:graphic>
                  <a:graphicData uri="http://schemas.microsoft.com/office/word/2010/wordprocessingShape">
                    <wps:wsp>
                      <wps:cNvSpPr/>
                      <wps:spPr>
                        <a:xfrm>
                          <a:off x="0" y="0"/>
                          <a:ext cx="685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48.45pt;z-index:-251220992;width:54.00pt;height:13.45pt;" id="1454" coordsize="108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关材料及器件</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F040306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半导体光伏材料</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428" locked="0" layoutInCell="1" allowOverlap="1">
                <wp:simplePos x="0" y="0"/>
                <wp:positionH relativeFrom="page">
                  <wp:posOffset>4352290</wp:posOffset>
                </wp:positionH>
                <wp:positionV relativeFrom="page">
                  <wp:posOffset>3336290</wp:posOffset>
                </wp:positionV>
                <wp:extent cx="1465580" cy="170815"/>
                <wp:wrapNone/>
                <wp:docPr id="1455" name="1455"/>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62.70pt;z-index:-251219968;width:115.40pt;height:13.45pt;" id="1455" coordsize="2308,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器</w:t>
      </w:r>
      <w:r>
        <w:rPr>
          <w:rFonts w:ascii="宋体" w:hAnsi="宋体" w:cs="宋体" w:eastAsia="宋体" w:hint="ascii"/>
          <w:sz w:val="18"/>
        </w:rPr>
        <w:t>件</w:t>
      </w:r>
      <w:r>
        <w:rPr>
          <w:rFonts w:ascii="宋体" w:hAnsi="宋体" w:cs="宋体" w:eastAsia="宋体" w:hint="ascii"/>
          <w:sz w:val="18"/>
        </w:rPr>
        <mc:AlternateContent>
          <mc:Choice Requires="wps">
            <w:drawing>
              <wp:anchor distL="0" distR="0" distT="0" distB="0" simplePos="0" behindDoc="1" relativeHeight="429" locked="0" layoutInCell="1" allowOverlap="1">
                <wp:simplePos x="0" y="0"/>
                <wp:positionH relativeFrom="page">
                  <wp:posOffset>4878070</wp:posOffset>
                </wp:positionH>
                <wp:positionV relativeFrom="page">
                  <wp:posOffset>3518535</wp:posOffset>
                </wp:positionV>
                <wp:extent cx="236220" cy="170815"/>
                <wp:wrapNone/>
                <wp:docPr id="1456" name="1456"/>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77.05pt;z-index:-251218944;width:18.60pt;height:13.45pt;" id="1456"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w:t>
      </w:r>
      <w:r>
        <w:rPr>
          <w:rFonts w:ascii="Times New Roman" w:hAnsi="Times New Roman" w:cs="Times New Roman" w:eastAsia="Times New Roman" w:hint="ascii"/>
          <w:sz w:val="18"/>
        </w:rPr>
        <w:t>/</w:t>
      </w:r>
      <w:r>
        <w:rPr>
          <w:rFonts w:ascii="宋体" w:hAnsi="宋体" w:cs="宋体" w:eastAsia="宋体" w:hint="ascii"/>
          <w:sz w:val="18"/>
        </w:rPr>
        <w:t>柔性光电子器</w:t>
      </w:r>
      <w:r>
        <w:rPr>
          <w:rFonts w:ascii="宋体" w:hAnsi="宋体" w:cs="宋体" w:eastAsia="宋体" w:hint="ascii"/>
          <w:sz w:val="18"/>
        </w:rPr>
        <mc:AlternateContent>
          <mc:Choice Requires="wps">
            <w:drawing>
              <wp:anchor distL="0" distR="0" distT="0" distB="0" simplePos="0" behindDoc="1" relativeHeight="430" locked="0" layoutInCell="1" allowOverlap="1">
                <wp:simplePos x="0" y="0"/>
                <wp:positionH relativeFrom="page">
                  <wp:posOffset>4352290</wp:posOffset>
                </wp:positionH>
                <wp:positionV relativeFrom="page">
                  <wp:posOffset>3700145</wp:posOffset>
                </wp:positionV>
                <wp:extent cx="1466850" cy="170815"/>
                <wp:wrapNone/>
                <wp:docPr id="1457" name="1457"/>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91.35pt;z-index:-251217920;width:115.50pt;height:13.45pt;" id="1457" coordsize="231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件与集成</w:t>
      </w:r>
      <w:r>
        <w:rPr>
          <w:rFonts w:ascii="宋体" w:hAnsi="宋体" w:cs="宋体" w:eastAsia="宋体" w:hint="ascii"/>
          <w:sz w:val="18"/>
        </w:rPr>
        <mc:AlternateContent>
          <mc:Choice Requires="wps">
            <w:drawing>
              <wp:anchor distL="0" distR="0" distT="0" distB="0" simplePos="0" behindDoc="1" relativeHeight="431" locked="0" layoutInCell="1" allowOverlap="1">
                <wp:simplePos x="0" y="0"/>
                <wp:positionH relativeFrom="page">
                  <wp:posOffset>4878070</wp:posOffset>
                </wp:positionH>
                <wp:positionV relativeFrom="page">
                  <wp:posOffset>3881120</wp:posOffset>
                </wp:positionV>
                <wp:extent cx="457200" cy="170815"/>
                <wp:wrapNone/>
                <wp:docPr id="1458" name="1458"/>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05.60pt;z-index:-251216896;width:36.00pt;height:13.45pt;" id="1458" coordsize="72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F040308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新型半导体光电</w:t>
      </w:r>
      <w:r>
        <w:rPr>
          <w:rFonts w:ascii="宋体" w:hAnsi="宋体" w:cs="宋体" w:eastAsia="宋体" w:hint="ascii"/>
          <w:sz w:val="18"/>
        </w:rPr>
        <w:t>子</w:t>
      </w:r>
      <w:r>
        <w:rPr>
          <w:rFonts w:ascii="宋体" w:hAnsi="宋体" w:cs="宋体" w:eastAsia="宋体" w:hint="ascii"/>
          <w:sz w:val="18"/>
        </w:rPr>
        <mc:AlternateContent>
          <mc:Choice Requires="wps">
            <w:drawing>
              <wp:anchor distL="0" distR="0" distT="0" distB="0" simplePos="0" behindDoc="1" relativeHeight="432" locked="0" layoutInCell="1" allowOverlap="1">
                <wp:simplePos x="0" y="0"/>
                <wp:positionH relativeFrom="page">
                  <wp:posOffset>4352290</wp:posOffset>
                </wp:positionH>
                <wp:positionV relativeFrom="page">
                  <wp:posOffset>4063365</wp:posOffset>
                </wp:positionV>
                <wp:extent cx="1465580" cy="170815"/>
                <wp:wrapNone/>
                <wp:docPr id="1459" name="1459"/>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19.95pt;z-index:-251215872;width:115.40pt;height:13.45pt;" id="1459" coordsize="2308,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器</w:t>
      </w:r>
      <w:r>
        <w:rPr>
          <w:rFonts w:ascii="宋体" w:hAnsi="宋体" w:cs="宋体" w:eastAsia="宋体" w:hint="ascii"/>
          <w:sz w:val="18"/>
        </w:rPr>
        <w:t>件</w:t>
      </w:r>
      <w:r>
        <w:rPr>
          <w:rFonts w:ascii="宋体" w:hAnsi="宋体" w:cs="宋体" w:eastAsia="宋体" w:hint="ascii"/>
          <w:sz w:val="18"/>
        </w:rPr>
        <mc:AlternateContent>
          <mc:Choice Requires="wps">
            <w:drawing>
              <wp:anchor distL="0" distR="0" distT="0" distB="0" simplePos="0" behindDoc="1" relativeHeight="433" locked="0" layoutInCell="1" allowOverlap="1">
                <wp:simplePos x="0" y="0"/>
                <wp:positionH relativeFrom="page">
                  <wp:posOffset>4878070</wp:posOffset>
                </wp:positionH>
                <wp:positionV relativeFrom="page">
                  <wp:posOffset>4244975</wp:posOffset>
                </wp:positionV>
                <wp:extent cx="236220" cy="170815"/>
                <wp:wrapNone/>
                <wp:docPr id="1460" name="1460"/>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34.25pt;z-index:-251214848;width:18.60pt;height:13.45pt;" id="1460"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F040309</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光电子器件工艺、封</w:t>
      </w:r>
      <w:r>
        <w:rPr>
          <w:rFonts w:ascii="宋体" w:hAnsi="宋体" w:cs="宋体" w:eastAsia="宋体" w:hint="ascii"/>
          <w:sz w:val="18"/>
        </w:rPr>
        <mc:AlternateContent>
          <mc:Choice Requires="wps">
            <w:drawing>
              <wp:anchor distL="0" distR="0" distT="0" distB="0" simplePos="0" behindDoc="1" relativeHeight="434" locked="0" layoutInCell="1" allowOverlap="1">
                <wp:simplePos x="0" y="0"/>
                <wp:positionH relativeFrom="page">
                  <wp:posOffset>4352290</wp:posOffset>
                </wp:positionH>
                <wp:positionV relativeFrom="page">
                  <wp:posOffset>4425950</wp:posOffset>
                </wp:positionV>
                <wp:extent cx="1549400" cy="170815"/>
                <wp:wrapNone/>
                <wp:docPr id="1461" name="146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48.50pt;z-index:-251213824;width:122.00pt;height:13.45pt;" id="1461"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装与测试</w:t>
      </w:r>
      <w:r>
        <w:rPr>
          <w:rFonts w:ascii="宋体" w:hAnsi="宋体" w:cs="宋体" w:eastAsia="宋体" w:hint="ascii"/>
          <w:sz w:val="18"/>
        </w:rPr>
        <mc:AlternateContent>
          <mc:Choice Requires="wps">
            <w:drawing>
              <wp:anchor distL="0" distR="0" distT="0" distB="0" simplePos="0" behindDoc="1" relativeHeight="435" locked="0" layoutInCell="1" allowOverlap="1">
                <wp:simplePos x="0" y="0"/>
                <wp:positionH relativeFrom="page">
                  <wp:posOffset>4878070</wp:posOffset>
                </wp:positionH>
                <wp:positionV relativeFrom="page">
                  <wp:posOffset>4608195</wp:posOffset>
                </wp:positionV>
                <wp:extent cx="457200" cy="170815"/>
                <wp:wrapNone/>
                <wp:docPr id="1462" name="1462"/>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62.85pt;z-index:-251212800;width:36.00pt;height:13.45pt;" id="1462" coordsize="72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半导体电子器件与集成</w:t>
      </w:r>
      <w:r>
        <w:rPr>
          <w:rFonts w:ascii="宋体" w:hAnsi="宋体" w:cs="宋体" w:eastAsia="宋体" w:hint="ascii"/>
          <w:sz w:val="18"/>
        </w:rPr>
        <mc:AlternateContent>
          <mc:Choice Requires="wps">
            <w:drawing>
              <wp:anchor distL="0" distR="0" distT="0" distB="0" simplePos="0" behindDoc="1" relativeHeight="436" locked="0" layoutInCell="1" allowOverlap="1">
                <wp:simplePos x="0" y="0"/>
                <wp:positionH relativeFrom="page">
                  <wp:posOffset>3931920</wp:posOffset>
                </wp:positionH>
                <wp:positionV relativeFrom="page">
                  <wp:posOffset>4785995</wp:posOffset>
                </wp:positionV>
                <wp:extent cx="1555750" cy="167005"/>
                <wp:wrapNone/>
                <wp:docPr id="1463" name="1463"/>
                <wp:cNvGraphicFramePr/>
                <a:graphic>
                  <a:graphicData uri="http://schemas.microsoft.com/office/word/2010/wordprocessingShape">
                    <wps:wsp>
                      <wps:cNvSpPr/>
                      <wps:spPr>
                        <a:xfrm>
                          <a:off x="0" y="0"/>
                          <a:ext cx="15557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376.85pt;z-index:-251211776;width:122.50pt;height:13.15pt;" id="1463" coordsize="2450,263" stroked="f" fillcolor="#ffffff" opacity="0f">
                <v:stroke endcap="round"/>
                <v:fill opacity="0f"/>
                <w10:wrap anchorx="page" anchory="page" side="both"/>
              </v:rect>
            </w:pict>
          </mc:Fallback>
        </mc:AlternateContent>
      </w:r>
    </w:p>
    <w:p>
      <w:pPr>
        <w:autoSpaceDE w:val="0"/>
        <w:autoSpaceDN w:val="0"/>
        <w:jc w:val="left"/>
        <w:spacing w:before="67" w:after="0" w:lineRule="auto" w:line="314"/>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半导体传感器</w:t>
      </w:r>
      <w:r>
        <w:rPr>
          <w:rFonts w:ascii="Times New Roman" w:hAnsi="Times New Roman" w:cs="Times New Roman" w:eastAsia="Times New Roman" w:hint="ascii"/>
          <w:sz w:val="18"/>
        </w:rPr>
        <w:t>F040402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半导体微波</w:t>
      </w:r>
      <w:r>
        <w:rPr>
          <w:rFonts w:ascii="Times New Roman" w:hAnsi="Times New Roman" w:cs="Times New Roman" w:eastAsia="Times New Roman" w:hint="ascii"/>
          <w:sz w:val="18"/>
        </w:rPr>
        <w:t>/</w:t>
      </w:r>
      <w:r>
        <w:rPr>
          <w:rFonts w:ascii="宋体" w:hAnsi="宋体" w:cs="宋体" w:eastAsia="宋体" w:hint="ascii"/>
          <w:sz w:val="18"/>
        </w:rPr>
        <w:t>太赫兹</w:t>
      </w:r>
      <w:r>
        <w:rPr>
          <w:rFonts w:ascii="宋体" w:hAnsi="宋体" w:cs="宋体" w:eastAsia="宋体" w:hint="ascii"/>
          <w:sz w:val="18"/>
        </w:rPr>
        <mc:AlternateContent>
          <mc:Choice Requires="wps">
            <w:drawing>
              <wp:anchor distL="0" distR="0" distT="0" distB="0" simplePos="0" behindDoc="1" relativeHeight="437" locked="0" layoutInCell="1" allowOverlap="1">
                <wp:simplePos x="0" y="0"/>
                <wp:positionH relativeFrom="page">
                  <wp:posOffset>4352290</wp:posOffset>
                </wp:positionH>
                <wp:positionV relativeFrom="page">
                  <wp:posOffset>4970780</wp:posOffset>
                </wp:positionV>
                <wp:extent cx="1206500" cy="170815"/>
                <wp:wrapNone/>
                <wp:docPr id="1464" name="1464"/>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91.40pt;z-index:-251210752;width:95.00pt;height:13.45pt;" id="1464"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38" locked="0" layoutInCell="1" allowOverlap="1">
                <wp:simplePos x="0" y="0"/>
                <wp:positionH relativeFrom="page">
                  <wp:posOffset>4352290</wp:posOffset>
                </wp:positionH>
                <wp:positionV relativeFrom="page">
                  <wp:posOffset>5153025</wp:posOffset>
                </wp:positionV>
                <wp:extent cx="1466850" cy="170815"/>
                <wp:wrapNone/>
                <wp:docPr id="1465" name="1465"/>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05.75pt;z-index:-251209728;width:115.50pt;height:13.45pt;" id="1465" coordsize="231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39" locked="0" layoutInCell="1" allowOverlap="1">
                <wp:simplePos x="0" y="0"/>
                <wp:positionH relativeFrom="page">
                  <wp:posOffset>4878070</wp:posOffset>
                </wp:positionH>
                <wp:positionV relativeFrom="page">
                  <wp:posOffset>5334635</wp:posOffset>
                </wp:positionV>
                <wp:extent cx="571500" cy="170815"/>
                <wp:wrapNone/>
                <wp:docPr id="1466" name="1466"/>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20.05pt;z-index:-251208704;width:45.00pt;height:13.45pt;" id="1466" coordsize="900,269" stroked="f" fillcolor="#ffffff" opacity="0f">
                <v:stroke endcap="round"/>
                <v:fill opacity="0f"/>
                <w10:wrap anchorx="page" anchory="page" side="both"/>
              </v:rect>
            </w:pict>
          </mc:Fallback>
        </mc:AlternateContent>
      </w:r>
    </w:p>
    <w:p>
      <w:pPr>
        <w:autoSpaceDE w:val="0"/>
        <w:autoSpaceDN w:val="0"/>
        <w:jc w:val="left"/>
        <w:spacing w:before="4294967295"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器件与集成</w:t>
      </w:r>
    </w:p>
    <w:p>
      <w:pPr>
        <w:autoSpaceDE w:val="0"/>
        <w:autoSpaceDN w:val="0"/>
        <w:jc w:val="left"/>
        <w:spacing w:before="63"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F040403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半导体功率器件</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440" locked="0" layoutInCell="1" allowOverlap="1">
                <wp:simplePos x="0" y="0"/>
                <wp:positionH relativeFrom="page">
                  <wp:posOffset>4352290</wp:posOffset>
                </wp:positionH>
                <wp:positionV relativeFrom="page">
                  <wp:posOffset>5517515</wp:posOffset>
                </wp:positionV>
                <wp:extent cx="1465580" cy="170815"/>
                <wp:wrapNone/>
                <wp:docPr id="1467" name="1467"/>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34.45pt;z-index:-251207680;width:115.40pt;height:13.45pt;" id="1467" coordsize="2308,269" stroked="f" fillcolor="#ffffff" opacity="0f">
                <v:stroke endcap="round"/>
                <v:fill opacity="0f"/>
                <w10:wrap anchorx="page" anchory="page" side="both"/>
              </v:rect>
            </w:pict>
          </mc:Fallback>
        </mc:AlternateContent>
      </w:r>
    </w:p>
    <w:p>
      <w:pPr>
        <w:autoSpaceDE w:val="0"/>
        <w:autoSpaceDN w:val="0"/>
        <w:jc w:val="left"/>
        <w:spacing w:before="7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集</w:t>
      </w:r>
      <w:r>
        <w:rPr>
          <w:rFonts w:ascii="宋体" w:hAnsi="宋体" w:cs="宋体" w:eastAsia="宋体" w:hint="ascii"/>
          <w:sz w:val="18"/>
        </w:rPr>
        <w:t>成</w:t>
      </w:r>
      <w:r>
        <w:rPr>
          <w:rFonts w:ascii="宋体" w:hAnsi="宋体" w:cs="宋体" w:eastAsia="宋体" w:hint="ascii"/>
          <w:sz w:val="18"/>
        </w:rPr>
        <mc:AlternateContent>
          <mc:Choice Requires="wps">
            <w:drawing>
              <wp:anchor distL="0" distR="0" distT="0" distB="0" simplePos="0" behindDoc="1" relativeHeight="441" locked="0" layoutInCell="1" allowOverlap="1">
                <wp:simplePos x="0" y="0"/>
                <wp:positionH relativeFrom="page">
                  <wp:posOffset>4878070</wp:posOffset>
                </wp:positionH>
                <wp:positionV relativeFrom="page">
                  <wp:posOffset>5701665</wp:posOffset>
                </wp:positionV>
                <wp:extent cx="236220" cy="170815"/>
                <wp:wrapNone/>
                <wp:docPr id="1468" name="1468"/>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48.95pt;z-index:-251206656;width:18.60pt;height:13.45pt;" id="1468" coordsize="372,269" stroked="f" fillcolor="#ffffff" opacity="0f">
                <v:stroke endcap="round"/>
                <v:fill opacity="0f"/>
                <w10:wrap anchorx="page" anchory="page" side="both"/>
              </v:rect>
            </w:pict>
          </mc:Fallback>
        </mc:AlternateContent>
      </w:r>
    </w:p>
    <w:p>
      <w:pPr>
        <w:autoSpaceDE w:val="0"/>
        <w:autoSpaceDN w:val="0"/>
        <w:jc w:val="left"/>
        <w:spacing w:before="65" w:after="0" w:lineRule="auto" w:line="317"/>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半导体辐射探测器</w:t>
      </w:r>
      <w:r>
        <w:rPr>
          <w:rFonts w:ascii="Times New Roman" w:hAnsi="Times New Roman" w:cs="Times New Roman" w:eastAsia="Times New Roman" w:hint="ascii"/>
          <w:sz w:val="18"/>
        </w:rPr>
        <w:t>F040405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半导体电子器件工艺</w:t>
      </w:r>
      <w:r>
        <w:rPr>
          <w:rFonts w:ascii="宋体" w:hAnsi="宋体" w:cs="宋体" w:eastAsia="宋体" w:hint="ascii"/>
          <w:sz w:val="18"/>
        </w:rPr>
        <mc:AlternateContent>
          <mc:Choice Requires="wps">
            <w:drawing>
              <wp:anchor distL="0" distR="0" distT="0" distB="0" simplePos="0" behindDoc="1" relativeHeight="442" locked="0" layoutInCell="1" allowOverlap="1">
                <wp:simplePos x="0" y="0"/>
                <wp:positionH relativeFrom="page">
                  <wp:posOffset>4352290</wp:posOffset>
                </wp:positionH>
                <wp:positionV relativeFrom="page">
                  <wp:posOffset>5886450</wp:posOffset>
                </wp:positionV>
                <wp:extent cx="1435100" cy="170815"/>
                <wp:wrapNone/>
                <wp:docPr id="1469" name="1469"/>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63.50pt;z-index:-251205632;width:113.00pt;height:13.45pt;" id="1469"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43" locked="0" layoutInCell="1" allowOverlap="1">
                <wp:simplePos x="0" y="0"/>
                <wp:positionH relativeFrom="page">
                  <wp:posOffset>4352290</wp:posOffset>
                </wp:positionH>
                <wp:positionV relativeFrom="page">
                  <wp:posOffset>6069965</wp:posOffset>
                </wp:positionV>
                <wp:extent cx="1549400" cy="170815"/>
                <wp:wrapNone/>
                <wp:docPr id="1470" name="147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77.95pt;z-index:-251204608;width:122.00pt;height:13.45pt;" id="1470"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44" locked="0" layoutInCell="1" allowOverlap="1">
                <wp:simplePos x="0" y="0"/>
                <wp:positionH relativeFrom="page">
                  <wp:posOffset>4878070</wp:posOffset>
                </wp:positionH>
                <wp:positionV relativeFrom="page">
                  <wp:posOffset>6254115</wp:posOffset>
                </wp:positionV>
                <wp:extent cx="342900" cy="170815"/>
                <wp:wrapNone/>
                <wp:docPr id="1471" name="1471"/>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92.45pt;z-index:-251203584;width:27.00pt;height:13.45pt;" id="1471" coordsize="54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及封装</w:t>
      </w:r>
    </w:p>
    <w:p>
      <w:pPr>
        <w:autoSpaceDE w:val="0"/>
        <w:autoSpaceDN w:val="0"/>
        <w:jc w:val="left"/>
        <w:spacing w:before="65" w:after="0" w:lineRule="auto" w:line="318"/>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薄膜电子器件与集成</w:t>
      </w:r>
      <w:r>
        <w:rPr>
          <w:rFonts w:ascii="Times New Roman" w:hAnsi="Times New Roman" w:cs="Times New Roman" w:eastAsia="Times New Roman" w:hint="ascii"/>
          <w:sz w:val="18"/>
        </w:rPr>
        <w:t>F040407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信息存储材料与器件</w:t>
      </w:r>
      <w:r>
        <w:rPr>
          <w:rFonts w:ascii="Times New Roman" w:hAnsi="Times New Roman" w:cs="Times New Roman" w:eastAsia="Times New Roman" w:hint="ascii"/>
          <w:sz w:val="18"/>
        </w:rPr>
        <w:t>F040408</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w:t>
      </w:r>
      <w:r>
        <w:rPr>
          <w:rFonts w:ascii="Times New Roman" w:hAnsi="Times New Roman" w:cs="Times New Roman" w:eastAsia="Times New Roman" w:hint="ascii"/>
          <w:sz w:val="18"/>
        </w:rPr>
        <w:t>/</w:t>
      </w:r>
      <w:r>
        <w:rPr>
          <w:rFonts w:ascii="宋体" w:hAnsi="宋体" w:cs="宋体" w:eastAsia="宋体" w:hint="ascii"/>
          <w:sz w:val="18"/>
        </w:rPr>
        <w:t>柔性电子器件</w:t>
      </w:r>
      <w:r>
        <w:rPr>
          <w:rFonts w:ascii="宋体" w:hAnsi="宋体" w:cs="宋体" w:eastAsia="宋体" w:hint="ascii"/>
          <w:sz w:val="18"/>
        </w:rPr>
        <mc:AlternateContent>
          <mc:Choice Requires="wps">
            <w:drawing>
              <wp:anchor distL="0" distR="0" distT="0" distB="0" simplePos="0" behindDoc="1" relativeHeight="445" locked="0" layoutInCell="1" allowOverlap="1">
                <wp:simplePos x="0" y="0"/>
                <wp:positionH relativeFrom="page">
                  <wp:posOffset>4352290</wp:posOffset>
                </wp:positionH>
                <wp:positionV relativeFrom="page">
                  <wp:posOffset>6438900</wp:posOffset>
                </wp:positionV>
                <wp:extent cx="1549400" cy="170815"/>
                <wp:wrapNone/>
                <wp:docPr id="1472" name="147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07.00pt;z-index:-251202560;width:122.00pt;height:13.45pt;" id="1472"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46" locked="0" layoutInCell="1" allowOverlap="1">
                <wp:simplePos x="0" y="0"/>
                <wp:positionH relativeFrom="page">
                  <wp:posOffset>4352290</wp:posOffset>
                </wp:positionH>
                <wp:positionV relativeFrom="page">
                  <wp:posOffset>6622415</wp:posOffset>
                </wp:positionV>
                <wp:extent cx="1549400" cy="170815"/>
                <wp:wrapNone/>
                <wp:docPr id="1473" name="147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21.45pt;z-index:-251201536;width:122.00pt;height:13.45pt;" id="1473"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47" locked="0" layoutInCell="1" allowOverlap="1">
                <wp:simplePos x="0" y="0"/>
                <wp:positionH relativeFrom="page">
                  <wp:posOffset>4352290</wp:posOffset>
                </wp:positionH>
                <wp:positionV relativeFrom="page">
                  <wp:posOffset>6806565</wp:posOffset>
                </wp:positionV>
                <wp:extent cx="1466850" cy="170815"/>
                <wp:wrapNone/>
                <wp:docPr id="1474" name="1474"/>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35.95pt;z-index:-251200512;width:115.50pt;height:13.45pt;" id="1474" coordsize="231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48" locked="0" layoutInCell="1" allowOverlap="1">
                <wp:simplePos x="0" y="0"/>
                <wp:positionH relativeFrom="page">
                  <wp:posOffset>4878070</wp:posOffset>
                </wp:positionH>
                <wp:positionV relativeFrom="page">
                  <wp:posOffset>6991350</wp:posOffset>
                </wp:positionV>
                <wp:extent cx="342900" cy="170815"/>
                <wp:wrapNone/>
                <wp:docPr id="1475" name="1475"/>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50.50pt;z-index:-251199488;width:27.00pt;height:13.45pt;" id="1475" coordsize="54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与集成</w:t>
      </w:r>
    </w:p>
    <w:p>
      <w:pPr>
        <w:autoSpaceDE w:val="0"/>
        <w:autoSpaceDN w:val="0"/>
        <w:jc w:val="left"/>
        <w:spacing w:before="64"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F040409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半导体无源器件</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449" locked="0" layoutInCell="1" allowOverlap="1">
                <wp:simplePos x="0" y="0"/>
                <wp:positionH relativeFrom="page">
                  <wp:posOffset>4352290</wp:posOffset>
                </wp:positionH>
                <wp:positionV relativeFrom="page">
                  <wp:posOffset>7174865</wp:posOffset>
                </wp:positionV>
                <wp:extent cx="1465580" cy="170815"/>
                <wp:wrapNone/>
                <wp:docPr id="1476" name="1476"/>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64.95pt;z-index:-251198464;width:115.40pt;height:13.45pt;" id="1476" coordsize="2308,269" stroked="f" fillcolor="#ffffff" opacity="0f">
                <v:stroke endcap="round"/>
                <v:fill opacity="0f"/>
                <w10:wrap anchorx="page" anchory="page" side="both"/>
              </v:rect>
            </w:pict>
          </mc:Fallback>
        </mc:AlternateContent>
      </w:r>
    </w:p>
    <w:p>
      <w:pPr>
        <w:autoSpaceDE w:val="0"/>
        <w:autoSpaceDN w:val="0"/>
        <w:jc w:val="left"/>
        <w:spacing w:before="7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集</w:t>
      </w:r>
      <w:r>
        <w:rPr>
          <w:rFonts w:ascii="宋体" w:hAnsi="宋体" w:cs="宋体" w:eastAsia="宋体" w:hint="ascii"/>
          <w:sz w:val="18"/>
        </w:rPr>
        <w:t>成</w:t>
      </w:r>
      <w:r>
        <w:rPr>
          <w:rFonts w:ascii="宋体" w:hAnsi="宋体" w:cs="宋体" w:eastAsia="宋体" w:hint="ascii"/>
          <w:sz w:val="18"/>
        </w:rPr>
        <mc:AlternateContent>
          <mc:Choice Requires="wps">
            <w:drawing>
              <wp:anchor distL="0" distR="0" distT="0" distB="0" simplePos="0" behindDoc="1" relativeHeight="450" locked="0" layoutInCell="1" allowOverlap="1">
                <wp:simplePos x="0" y="0"/>
                <wp:positionH relativeFrom="page">
                  <wp:posOffset>4878070</wp:posOffset>
                </wp:positionH>
                <wp:positionV relativeFrom="page">
                  <wp:posOffset>7359015</wp:posOffset>
                </wp:positionV>
                <wp:extent cx="236220" cy="170815"/>
                <wp:wrapNone/>
                <wp:docPr id="1477" name="1477"/>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79.45pt;z-index:-251197440;width:18.60pt;height:13.45pt;" id="1477" coordsize="372,269" stroked="f" fillcolor="#ffffff" opacity="0f">
                <v:stroke endcap="round"/>
                <v:fill opacity="0f"/>
                <w10:wrap anchorx="page" anchory="page" side="both"/>
              </v:rect>
            </w:pict>
          </mc:Fallback>
        </mc:AlternateContent>
      </w:r>
    </w:p>
    <w:p>
      <w:pPr>
        <w:autoSpaceDE w:val="0"/>
        <w:autoSpaceDN w:val="0"/>
        <w:jc w:val="both"/>
        <w:spacing w:before="65" w:after="0" w:lineRule="auto" w:line="317"/>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F040410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型半导体电子器件</w:t>
      </w:r>
      <w:r>
        <w:rPr>
          <w:rFonts w:ascii="Times New Roman" w:hAnsi="Times New Roman" w:cs="Times New Roman" w:eastAsia="Times New Roman" w:hint="ascii"/>
          <w:sz w:val="18"/>
          <w:spacing w:val="-1"/>
        </w:rPr>
        <w:t>F040</w:t>
      </w:r>
      <w:r>
        <w:rPr>
          <w:rFonts w:ascii="Times New Roman" w:hAnsi="Times New Roman" w:cs="Times New Roman" w:eastAsia="Times New Roman" w:hint="ascii"/>
          <w:sz w:val="18"/>
        </w:rPr>
        <w:t>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半导体器件测试表征</w:t>
      </w:r>
      <w:r>
        <w:rPr>
          <w:rFonts w:ascii="宋体" w:hAnsi="宋体" w:cs="宋体" w:eastAsia="宋体" w:hint="ascii"/>
          <w:sz w:val="18"/>
        </w:rPr>
        <mc:AlternateContent>
          <mc:Choice Requires="wps">
            <w:drawing>
              <wp:anchor distL="0" distR="0" distT="0" distB="0" simplePos="0" behindDoc="1" relativeHeight="451" locked="0" layoutInCell="1" allowOverlap="1">
                <wp:simplePos x="0" y="0"/>
                <wp:positionH relativeFrom="page">
                  <wp:posOffset>4352290</wp:posOffset>
                </wp:positionH>
                <wp:positionV relativeFrom="page">
                  <wp:posOffset>7543800</wp:posOffset>
                </wp:positionV>
                <wp:extent cx="1549400" cy="170815"/>
                <wp:wrapNone/>
                <wp:docPr id="1478" name="147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94.00pt;z-index:-251196416;width:122.00pt;height:13.45pt;" id="1478"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52" locked="0" layoutInCell="1" allowOverlap="1">
                <wp:simplePos x="0" y="0"/>
                <wp:positionH relativeFrom="page">
                  <wp:posOffset>4352290</wp:posOffset>
                </wp:positionH>
                <wp:positionV relativeFrom="page">
                  <wp:posOffset>7727315</wp:posOffset>
                </wp:positionV>
                <wp:extent cx="1545590" cy="170815"/>
                <wp:wrapNone/>
                <wp:docPr id="1479" name="1479"/>
                <wp:cNvGraphicFramePr/>
                <a:graphic>
                  <a:graphicData uri="http://schemas.microsoft.com/office/word/2010/wordprocessingShape">
                    <wps:wsp>
                      <wps:cNvSpPr/>
                      <wps:spPr>
                        <a:xfrm>
                          <a:off x="0" y="0"/>
                          <a:ext cx="15455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08.45pt;z-index:-251195392;width:121.70pt;height:13.45pt;" id="1479" coordsize="243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53" locked="0" layoutInCell="1" allowOverlap="1">
                <wp:simplePos x="0" y="0"/>
                <wp:positionH relativeFrom="page">
                  <wp:posOffset>4878070</wp:posOffset>
                </wp:positionH>
                <wp:positionV relativeFrom="page">
                  <wp:posOffset>7911465</wp:posOffset>
                </wp:positionV>
                <wp:extent cx="685800" cy="170815"/>
                <wp:wrapNone/>
                <wp:docPr id="1480" name="1480"/>
                <wp:cNvGraphicFramePr/>
                <a:graphic>
                  <a:graphicData uri="http://schemas.microsoft.com/office/word/2010/wordprocessingShape">
                    <wps:wsp>
                      <wps:cNvSpPr/>
                      <wps:spPr>
                        <a:xfrm>
                          <a:off x="0" y="0"/>
                          <a:ext cx="685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22.95pt;z-index:-251194368;width:54.00pt;height:13.45pt;" id="1480" coordsize="108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与可靠性分析</w:t>
      </w:r>
    </w:p>
    <w:p>
      <w:pPr>
        <w:autoSpaceDE w:val="0"/>
        <w:autoSpaceDN w:val="0"/>
        <w:jc w:val="left"/>
        <w:spacing w:before="65"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半导体物理</w:t>
      </w:r>
      <w:r>
        <w:rPr>
          <w:rFonts w:ascii="宋体" w:hAnsi="宋体" w:cs="宋体" w:eastAsia="宋体" w:hint="ascii"/>
          <w:sz w:val="18"/>
        </w:rPr>
        <mc:AlternateContent>
          <mc:Choice Requires="wps">
            <w:drawing>
              <wp:anchor distL="0" distR="0" distT="0" distB="0" simplePos="0" behindDoc="1" relativeHeight="454" locked="0" layoutInCell="1" allowOverlap="1">
                <wp:simplePos x="0" y="0"/>
                <wp:positionH relativeFrom="page">
                  <wp:posOffset>3931920</wp:posOffset>
                </wp:positionH>
                <wp:positionV relativeFrom="page">
                  <wp:posOffset>8092440</wp:posOffset>
                </wp:positionV>
                <wp:extent cx="984250" cy="167005"/>
                <wp:wrapNone/>
                <wp:docPr id="1481" name="1481"/>
                <wp:cNvGraphicFramePr/>
                <a:graphic>
                  <a:graphicData uri="http://schemas.microsoft.com/office/word/2010/wordprocessingShape">
                    <wps:wsp>
                      <wps:cNvSpPr/>
                      <wps:spPr>
                        <a:xfrm>
                          <a:off x="0" y="0"/>
                          <a:ext cx="9842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637.20pt;z-index:-251193344;width:77.50pt;height:13.15pt;" id="1481" coordsize="1550,263" stroked="f" fillcolor="#ffffff" opacity="0f">
                <v:stroke endcap="round"/>
                <v:fill opacity="0f"/>
                <w10:wrap anchorx="page" anchory="page" side="both"/>
              </v:rect>
            </w:pict>
          </mc:Fallback>
        </mc:AlternateContent>
      </w:r>
    </w:p>
    <w:p>
      <w:pPr>
        <w:autoSpaceDE w:val="0"/>
        <w:autoSpaceDN w:val="0"/>
        <w:jc w:val="both"/>
        <w:spacing w:before="70" w:after="0" w:lineRule="auto" w:line="318"/>
        <w:ind w:right="1498" w:left="662" w:firstLine="0"/>
        <w:snapToGrid w:val="0"/>
        <w:textAlignment w:val="auto"/>
        <w:tabs/>
        <w:sectPr>
          <w:type w:val="continuous"/>
          <w:pgSz w:w="10940" w:h="15080" w:orient="portrait"/>
          <w:pgMar w:top="508" w:right="508" w:bottom="508" w:left="508" w:header="0" w:footer="0" w:gutter="0"/>
          <w:cols w:num="2" w:space="0" w:equalWidth="0">
            <w:col w:w="4707" w:space="977"/>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spacing w:val="-1"/>
        </w:rPr>
        <w:t>F040501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半</w:t>
      </w:r>
      <w:r>
        <w:rPr>
          <w:rFonts w:ascii="宋体" w:hAnsi="宋体" w:cs="宋体" w:eastAsia="宋体" w:hint="ascii"/>
          <w:sz w:val="18"/>
        </w:rPr>
        <w:t>导体材料物理</w:t>
      </w:r>
      <w:r>
        <w:rPr>
          <w:rFonts w:ascii="Times New Roman" w:hAnsi="Times New Roman" w:cs="Times New Roman" w:eastAsia="Times New Roman" w:hint="ascii"/>
          <w:sz w:val="18"/>
          <w:spacing w:val="-1"/>
        </w:rPr>
        <w:t>F040502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半</w:t>
      </w:r>
      <w:r>
        <w:rPr>
          <w:rFonts w:ascii="宋体" w:hAnsi="宋体" w:cs="宋体" w:eastAsia="宋体" w:hint="ascii"/>
          <w:sz w:val="18"/>
        </w:rPr>
        <w:t>导体器件物理</w:t>
      </w:r>
      <w:r>
        <w:rPr>
          <w:rFonts w:ascii="宋体" w:hAnsi="宋体" w:cs="宋体" w:eastAsia="宋体" w:hint="ascii"/>
          <w:sz w:val="18"/>
        </w:rPr>
        <mc:AlternateContent>
          <mc:Choice Requires="wps">
            <w:drawing>
              <wp:anchor distL="0" distR="0" distT="0" distB="0" simplePos="0" behindDoc="1" relativeHeight="455" locked="0" layoutInCell="1" allowOverlap="1">
                <wp:simplePos x="0" y="0"/>
                <wp:positionH relativeFrom="page">
                  <wp:posOffset>4352290</wp:posOffset>
                </wp:positionH>
                <wp:positionV relativeFrom="page">
                  <wp:posOffset>8279765</wp:posOffset>
                </wp:positionV>
                <wp:extent cx="1320800" cy="170815"/>
                <wp:wrapNone/>
                <wp:docPr id="1482" name="1482"/>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51.95pt;z-index:-251192320;width:104.00pt;height:13.45pt;" id="1482"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56" locked="0" layoutInCell="1" allowOverlap="1">
                <wp:simplePos x="0" y="0"/>
                <wp:positionH relativeFrom="page">
                  <wp:posOffset>4352290</wp:posOffset>
                </wp:positionH>
                <wp:positionV relativeFrom="page">
                  <wp:posOffset>8463915</wp:posOffset>
                </wp:positionV>
                <wp:extent cx="1320800" cy="170815"/>
                <wp:wrapNone/>
                <wp:docPr id="1483" name="1483"/>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66.45pt;z-index:-251191296;width:104.00pt;height:13.45pt;" id="1483" coordsize="2080,269" stroked="f" fillcolor="#ffffff" opacity="0f">
                <v:stroke endcap="round"/>
                <v:fill opacity="0f"/>
                <w10:wrap anchorx="page" anchory="page" side="both"/>
              </v:rect>
            </w:pict>
          </mc:Fallback>
        </mc:AlternateConten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F040503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半导体表面与界</w:t>
      </w:r>
      <w:r>
        <w:rPr>
          <w:rFonts w:ascii="宋体" w:hAnsi="宋体" w:cs="宋体" w:eastAsia="宋体" w:hint="ascii"/>
          <w:sz w:val="18"/>
        </w:rPr>
        <w:t>面</w:t>
      </w:r>
      <w:r>
        <w:rPr>
          <w:rFonts w:ascii="宋体" w:hAnsi="宋体" w:cs="宋体" w:eastAsia="宋体" w:hint="ascii"/>
          <w:sz w:val="18"/>
        </w:rPr>
        <mc:AlternateContent>
          <mc:Choice Requires="wps">
            <w:drawing>
              <wp:anchor distL="0" distR="0" distT="0" distB="0" simplePos="0" behindDoc="1" relativeHeight="457" locked="0" layoutInCell="1" allowOverlap="1">
                <wp:simplePos x="0" y="0"/>
                <wp:positionH relativeFrom="page">
                  <wp:posOffset>938530</wp:posOffset>
                </wp:positionH>
                <wp:positionV relativeFrom="page">
                  <wp:posOffset>819150</wp:posOffset>
                </wp:positionV>
                <wp:extent cx="5076190" cy="0"/>
                <wp:wrapNone/>
                <wp:docPr id="1484" name="148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190272;width:399.70pt;" id="1484"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18"/>
        </w:rPr>
        <mc:AlternateContent>
          <mc:Choice Requires="wps">
            <w:drawing>
              <wp:anchor distL="0" distR="0" distT="0" distB="0" simplePos="0" behindDoc="1" relativeHeight="458" locked="0" layoutInCell="1" allowOverlap="1">
                <wp:simplePos x="0" y="0"/>
                <wp:positionH relativeFrom="page">
                  <wp:posOffset>1762760</wp:posOffset>
                </wp:positionH>
                <wp:positionV relativeFrom="page">
                  <wp:posOffset>975995</wp:posOffset>
                </wp:positionV>
                <wp:extent cx="1465580" cy="170815"/>
                <wp:wrapNone/>
                <wp:docPr id="1485" name="1485"/>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76.85pt;z-index:-251189248;width:115.40pt;height:13.45pt;" id="1485" coordsize="2308,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物</w:t>
      </w:r>
      <w:r>
        <w:rPr>
          <w:rFonts w:ascii="宋体" w:hAnsi="宋体" w:cs="宋体" w:eastAsia="宋体" w:hint="ascii"/>
          <w:sz w:val="18"/>
        </w:rPr>
        <w:t>理</w:t>
      </w:r>
      <w:r>
        <w:rPr>
          <w:rFonts w:ascii="宋体" w:hAnsi="宋体" w:cs="宋体" w:eastAsia="宋体" w:hint="ascii"/>
          <w:sz w:val="18"/>
        </w:rPr>
        <mc:AlternateContent>
          <mc:Choice Requires="wps">
            <w:drawing>
              <wp:anchor distL="0" distR="0" distT="0" distB="0" simplePos="0" behindDoc="1" relativeHeight="459" locked="0" layoutInCell="1" allowOverlap="1">
                <wp:simplePos x="0" y="0"/>
                <wp:positionH relativeFrom="page">
                  <wp:posOffset>2288540</wp:posOffset>
                </wp:positionH>
                <wp:positionV relativeFrom="page">
                  <wp:posOffset>1156970</wp:posOffset>
                </wp:positionV>
                <wp:extent cx="236220" cy="170815"/>
                <wp:wrapNone/>
                <wp:docPr id="1486" name="1486"/>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91.10pt;z-index:-251188224;width:18.60pt;height:13.45pt;" id="1486" coordsize="372,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半导体中杂质与缺陷</w:t>
      </w:r>
      <w:r>
        <w:rPr>
          <w:rFonts w:ascii="宋体" w:hAnsi="宋体" w:cs="宋体" w:eastAsia="宋体" w:hint="ascii"/>
          <w:sz w:val="18"/>
        </w:rPr>
        <mc:AlternateContent>
          <mc:Choice Requires="wps">
            <w:drawing>
              <wp:anchor distL="0" distR="0" distT="0" distB="0" simplePos="0" behindDoc="1" relativeHeight="460" locked="0" layoutInCell="1" allowOverlap="1">
                <wp:simplePos x="0" y="0"/>
                <wp:positionH relativeFrom="page">
                  <wp:posOffset>1762760</wp:posOffset>
                </wp:positionH>
                <wp:positionV relativeFrom="page">
                  <wp:posOffset>1339215</wp:posOffset>
                </wp:positionV>
                <wp:extent cx="1549400" cy="170815"/>
                <wp:wrapNone/>
                <wp:docPr id="1487" name="1487"/>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05.45pt;z-index:-251187200;width:122.00pt;height:13.45pt;" id="1487"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物理</w:t>
      </w:r>
      <w:r>
        <w:rPr>
          <w:rFonts w:ascii="宋体" w:hAnsi="宋体" w:cs="宋体" w:eastAsia="宋体" w:hint="ascii"/>
          <w:sz w:val="18"/>
        </w:rPr>
        <mc:AlternateContent>
          <mc:Choice Requires="wps">
            <w:drawing>
              <wp:anchor distL="0" distR="0" distT="0" distB="0" simplePos="0" behindDoc="1" relativeHeight="461" locked="0" layoutInCell="1" allowOverlap="1">
                <wp:simplePos x="0" y="0"/>
                <wp:positionH relativeFrom="page">
                  <wp:posOffset>2288540</wp:posOffset>
                </wp:positionH>
                <wp:positionV relativeFrom="page">
                  <wp:posOffset>1520825</wp:posOffset>
                </wp:positionV>
                <wp:extent cx="228600" cy="170815"/>
                <wp:wrapNone/>
                <wp:docPr id="1488" name="1488"/>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19.75pt;z-index:-251186176;width:18.00pt;height:13.45pt;" id="1488" coordsize="3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半导体中的输运与半</w:t>
      </w:r>
      <w:r>
        <w:rPr>
          <w:rFonts w:ascii="宋体" w:hAnsi="宋体" w:cs="宋体" w:eastAsia="宋体" w:hint="ascii"/>
          <w:sz w:val="18"/>
        </w:rPr>
        <mc:AlternateContent>
          <mc:Choice Requires="wps">
            <w:drawing>
              <wp:anchor distL="0" distR="0" distT="0" distB="0" simplePos="0" behindDoc="1" relativeHeight="462" locked="0" layoutInCell="1" allowOverlap="1">
                <wp:simplePos x="0" y="0"/>
                <wp:positionH relativeFrom="page">
                  <wp:posOffset>1762760</wp:posOffset>
                </wp:positionH>
                <wp:positionV relativeFrom="page">
                  <wp:posOffset>1701800</wp:posOffset>
                </wp:positionV>
                <wp:extent cx="1549400" cy="170815"/>
                <wp:wrapNone/>
                <wp:docPr id="1489" name="1489"/>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34.00pt;z-index:-251185152;width:122.00pt;height:13.45pt;" id="1489"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导体能谱</w:t>
      </w:r>
      <w:r>
        <w:rPr>
          <w:rFonts w:ascii="宋体" w:hAnsi="宋体" w:cs="宋体" w:eastAsia="宋体" w:hint="ascii"/>
          <w:sz w:val="18"/>
        </w:rPr>
        <mc:AlternateContent>
          <mc:Choice Requires="wps">
            <w:drawing>
              <wp:anchor distL="0" distR="0" distT="0" distB="0" simplePos="0" behindDoc="1" relativeHeight="463" locked="0" layoutInCell="1" allowOverlap="1">
                <wp:simplePos x="0" y="0"/>
                <wp:positionH relativeFrom="page">
                  <wp:posOffset>2288540</wp:posOffset>
                </wp:positionH>
                <wp:positionV relativeFrom="page">
                  <wp:posOffset>1884045</wp:posOffset>
                </wp:positionV>
                <wp:extent cx="457200" cy="170815"/>
                <wp:wrapNone/>
                <wp:docPr id="1490" name="1490"/>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48.35pt;z-index:-251184128;width:36.00pt;height:13.45pt;" id="1490" coordsize="720,269" stroked="f" fillcolor="#ffffff" opacity="0f">
                <v:stroke endcap="round"/>
                <v:fill opacity="0f"/>
                <w10:wrap anchorx="page" anchory="page" side="both"/>
              </v:rect>
            </w:pict>
          </mc:Fallback>
        </mc:AlternateConten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半导体低维结构物理</w:t>
      </w:r>
      <w:r>
        <w:rPr>
          <w:rFonts w:ascii="Times New Roman" w:hAnsi="Times New Roman" w:cs="Times New Roman" w:eastAsia="Times New Roman" w:hint="ascii"/>
          <w:sz w:val="18"/>
        </w:rPr>
        <w:t>F040507</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半导体光电子学</w:t>
      </w:r>
      <w:r>
        <w:rPr>
          <w:rFonts w:ascii="Times New Roman" w:hAnsi="Times New Roman" w:cs="Times New Roman" w:eastAsia="Times New Roman" w:hint="ascii"/>
          <w:sz w:val="18"/>
          <w:spacing w:val="-1"/>
        </w:rPr>
        <w:t>F040508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半</w:t>
      </w:r>
      <w:r>
        <w:rPr>
          <w:rFonts w:ascii="宋体" w:hAnsi="宋体" w:cs="宋体" w:eastAsia="宋体" w:hint="ascii"/>
          <w:sz w:val="18"/>
          <w:spacing w:val="-8"/>
        </w:rPr>
        <w:t>导体中量子态及调</w:t>
      </w:r>
      <w:r>
        <w:rPr>
          <w:rFonts w:ascii="宋体" w:hAnsi="宋体" w:cs="宋体" w:eastAsia="宋体" w:hint="ascii"/>
          <w:sz w:val="18"/>
        </w:rPr>
        <w:t>控</w:t>
      </w:r>
      <w:r>
        <w:rPr>
          <w:rFonts w:ascii="宋体" w:hAnsi="宋体" w:cs="宋体" w:eastAsia="宋体" w:hint="ascii"/>
          <w:sz w:val="18"/>
        </w:rPr>
        <mc:AlternateContent>
          <mc:Choice Requires="wps">
            <w:drawing>
              <wp:anchor distL="0" distR="0" distT="0" distB="0" simplePos="0" behindDoc="1" relativeHeight="464" locked="0" layoutInCell="1" allowOverlap="1">
                <wp:simplePos x="0" y="0"/>
                <wp:positionH relativeFrom="page">
                  <wp:posOffset>1762760</wp:posOffset>
                </wp:positionH>
                <wp:positionV relativeFrom="page">
                  <wp:posOffset>2065655</wp:posOffset>
                </wp:positionV>
                <wp:extent cx="1549400" cy="170815"/>
                <wp:wrapNone/>
                <wp:docPr id="1491" name="149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62.65pt;z-index:-251183104;width:122.00pt;height:13.45pt;" id="1491"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65" locked="0" layoutInCell="1" allowOverlap="1">
                <wp:simplePos x="0" y="0"/>
                <wp:positionH relativeFrom="page">
                  <wp:posOffset>1762760</wp:posOffset>
                </wp:positionH>
                <wp:positionV relativeFrom="page">
                  <wp:posOffset>2246630</wp:posOffset>
                </wp:positionV>
                <wp:extent cx="1320800" cy="170815"/>
                <wp:wrapNone/>
                <wp:docPr id="1492" name="1492"/>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76.90pt;z-index:-251182080;width:104.00pt;height:13.45pt;" id="1492"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66" locked="0" layoutInCell="1" allowOverlap="1">
                <wp:simplePos x="0" y="0"/>
                <wp:positionH relativeFrom="page">
                  <wp:posOffset>1762760</wp:posOffset>
                </wp:positionH>
                <wp:positionV relativeFrom="page">
                  <wp:posOffset>2428875</wp:posOffset>
                </wp:positionV>
                <wp:extent cx="1562735" cy="170815"/>
                <wp:wrapNone/>
                <wp:docPr id="1493" name="1493"/>
                <wp:cNvGraphicFramePr/>
                <a:graphic>
                  <a:graphicData uri="http://schemas.microsoft.com/office/word/2010/wordprocessingShape">
                    <wps:wsp>
                      <wps:cNvSpPr/>
                      <wps:spPr>
                        <a:xfrm>
                          <a:off x="0" y="0"/>
                          <a:ext cx="15627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91.25pt;z-index:-251181056;width:123.05pt;height:13.45pt;" id="1493" coordsize="246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67" locked="0" layoutInCell="1" allowOverlap="1">
                <wp:simplePos x="0" y="0"/>
                <wp:positionH relativeFrom="page">
                  <wp:posOffset>1341755</wp:posOffset>
                </wp:positionH>
                <wp:positionV relativeFrom="page">
                  <wp:posOffset>2606675</wp:posOffset>
                </wp:positionV>
                <wp:extent cx="1784350" cy="167005"/>
                <wp:wrapNone/>
                <wp:docPr id="1494" name="1494"/>
                <wp:cNvGraphicFramePr/>
                <a:graphic>
                  <a:graphicData uri="http://schemas.microsoft.com/office/word/2010/wordprocessingShape">
                    <wps:wsp>
                      <wps:cNvSpPr/>
                      <wps:spPr>
                        <a:xfrm>
                          <a:off x="0" y="0"/>
                          <a:ext cx="17843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205.25pt;z-index:-251180032;width:140.50pt;height:13.15pt;" id="1494" coordsize="2810,263" stroked="f" fillcolor="#ffffff" opacity="0f">
                <v:stroke endcap="round"/>
                <v:fill opacity="0f"/>
                <w10:wrap anchorx="page" anchory="page" side="both"/>
              </v:rect>
            </w:pict>
          </mc:Fallback>
        </mc:AlternateConten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集成电路器件、制造与封装</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集成电路制造先进工</w:t>
      </w:r>
      <w:r>
        <w:rPr>
          <w:rFonts w:ascii="宋体" w:hAnsi="宋体" w:cs="宋体" w:eastAsia="宋体" w:hint="ascii"/>
          <w:sz w:val="18"/>
        </w:rPr>
        <mc:AlternateContent>
          <mc:Choice Requires="wps">
            <w:drawing>
              <wp:anchor distL="0" distR="0" distT="0" distB="0" simplePos="0" behindDoc="1" relativeHeight="468" locked="0" layoutInCell="1" allowOverlap="1">
                <wp:simplePos x="0" y="0"/>
                <wp:positionH relativeFrom="page">
                  <wp:posOffset>1762760</wp:posOffset>
                </wp:positionH>
                <wp:positionV relativeFrom="page">
                  <wp:posOffset>2791460</wp:posOffset>
                </wp:positionV>
                <wp:extent cx="406400" cy="170815"/>
                <wp:wrapNone/>
                <wp:docPr id="1495" name="1495"/>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19.80pt;z-index:-251179008;width:32.00pt;height:13.45pt;" id="1495" coordsize="6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69" locked="0" layoutInCell="1" allowOverlap="1">
                <wp:simplePos x="0" y="0"/>
                <wp:positionH relativeFrom="page">
                  <wp:posOffset>2282825</wp:posOffset>
                </wp:positionH>
                <wp:positionV relativeFrom="page">
                  <wp:posOffset>2791460</wp:posOffset>
                </wp:positionV>
                <wp:extent cx="1028700" cy="170815"/>
                <wp:wrapNone/>
                <wp:docPr id="1496" name="1496"/>
                <wp:cNvGraphicFramePr/>
                <a:graphic>
                  <a:graphicData uri="http://schemas.microsoft.com/office/word/2010/wordprocessingShape">
                    <wps:wsp>
                      <wps:cNvSpPr/>
                      <wps:spPr>
                        <a:xfrm>
                          <a:off x="0" y="0"/>
                          <a:ext cx="10287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9.75pt;mso-position-vertical:absolute;mso-position-vertical-relative:page;margin-top:219.80pt;z-index:-251177984;width:81.00pt;height:13.45pt;" id="1496" coordsize="162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艺技术</w:t>
      </w:r>
      <w:r>
        <w:rPr>
          <w:rFonts w:ascii="宋体" w:hAnsi="宋体" w:cs="宋体" w:eastAsia="宋体" w:hint="ascii"/>
          <w:sz w:val="18"/>
        </w:rPr>
        <mc:AlternateContent>
          <mc:Choice Requires="wps">
            <w:drawing>
              <wp:anchor distL="0" distR="0" distT="0" distB="0" simplePos="0" behindDoc="1" relativeHeight="470" locked="0" layoutInCell="1" allowOverlap="1">
                <wp:simplePos x="0" y="0"/>
                <wp:positionH relativeFrom="page">
                  <wp:posOffset>2288540</wp:posOffset>
                </wp:positionH>
                <wp:positionV relativeFrom="page">
                  <wp:posOffset>2973705</wp:posOffset>
                </wp:positionV>
                <wp:extent cx="342900" cy="170815"/>
                <wp:wrapNone/>
                <wp:docPr id="1497" name="1497"/>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34.15pt;z-index:-251176960;width:27.00pt;height:13.45pt;" id="1497"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同质</w:t>
      </w:r>
      <w:r>
        <w:rPr>
          <w:rFonts w:ascii="Times New Roman" w:hAnsi="Times New Roman" w:cs="Times New Roman" w:eastAsia="Times New Roman" w:hint="ascii"/>
          <w:sz w:val="18"/>
        </w:rPr>
        <w:t>/</w:t>
      </w:r>
      <w:r>
        <w:rPr>
          <w:rFonts w:ascii="宋体" w:hAnsi="宋体" w:cs="宋体" w:eastAsia="宋体" w:hint="ascii"/>
          <w:sz w:val="18"/>
        </w:rPr>
        <w:t>异质三维集成</w:t>
      </w:r>
      <w:r>
        <w:rPr>
          <w:rFonts w:ascii="宋体" w:hAnsi="宋体" w:cs="宋体" w:eastAsia="宋体" w:hint="ascii"/>
          <w:sz w:val="18"/>
        </w:rPr>
        <mc:AlternateContent>
          <mc:Choice Requires="wps">
            <w:drawing>
              <wp:anchor distL="0" distR="0" distT="0" distB="0" simplePos="0" behindDoc="1" relativeHeight="471" locked="0" layoutInCell="1" allowOverlap="1">
                <wp:simplePos x="0" y="0"/>
                <wp:positionH relativeFrom="page">
                  <wp:posOffset>1762760</wp:posOffset>
                </wp:positionH>
                <wp:positionV relativeFrom="page">
                  <wp:posOffset>3155315</wp:posOffset>
                </wp:positionV>
                <wp:extent cx="1466850" cy="170815"/>
                <wp:wrapNone/>
                <wp:docPr id="1498" name="1498"/>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48.45pt;z-index:-251175936;width:115.50pt;height:13.45pt;" id="1498" coordsize="231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r>
        <w:rPr>
          <w:rFonts w:ascii="宋体" w:hAnsi="宋体" w:cs="宋体" w:eastAsia="宋体" w:hint="ascii"/>
          <w:sz w:val="18"/>
        </w:rPr>
        <mc:AlternateContent>
          <mc:Choice Requires="wps">
            <w:drawing>
              <wp:anchor distL="0" distR="0" distT="0" distB="0" simplePos="0" behindDoc="1" relativeHeight="472" locked="0" layoutInCell="1" allowOverlap="1">
                <wp:simplePos x="0" y="0"/>
                <wp:positionH relativeFrom="page">
                  <wp:posOffset>2288540</wp:posOffset>
                </wp:positionH>
                <wp:positionV relativeFrom="page">
                  <wp:posOffset>3336290</wp:posOffset>
                </wp:positionV>
                <wp:extent cx="228600" cy="170815"/>
                <wp:wrapNone/>
                <wp:docPr id="1499" name="1499"/>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62.70pt;z-index:-251174912;width:18.00pt;height:13.45pt;" id="1499" coordsize="360,269" stroked="f" fillcolor="#ffffff" opacity="0f">
                <v:stroke endcap="round"/>
                <v:fill opacity="0f"/>
                <w10:wrap anchorx="page" anchory="page" side="both"/>
              </v:rect>
            </w:pict>
          </mc:Fallback>
        </mc:AlternateConten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抗辐射集成电路</w:t>
      </w:r>
      <w:r>
        <w:rPr>
          <w:rFonts w:ascii="Times New Roman" w:hAnsi="Times New Roman" w:cs="Times New Roman" w:eastAsia="Times New Roman" w:hint="ascii"/>
          <w:sz w:val="18"/>
        </w:rPr>
        <w:t>F040604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集成电路的可靠性与</w:t>
      </w:r>
      <w:r>
        <w:rPr>
          <w:rFonts w:ascii="宋体" w:hAnsi="宋体" w:cs="宋体" w:eastAsia="宋体" w:hint="ascii"/>
          <w:sz w:val="18"/>
        </w:rPr>
        <mc:AlternateContent>
          <mc:Choice Requires="wps">
            <w:drawing>
              <wp:anchor distL="0" distR="0" distT="0" distB="0" simplePos="0" behindDoc="1" relativeHeight="473" locked="0" layoutInCell="1" allowOverlap="1">
                <wp:simplePos x="0" y="0"/>
                <wp:positionH relativeFrom="page">
                  <wp:posOffset>1762760</wp:posOffset>
                </wp:positionH>
                <wp:positionV relativeFrom="page">
                  <wp:posOffset>3518535</wp:posOffset>
                </wp:positionV>
                <wp:extent cx="1320800" cy="170815"/>
                <wp:wrapNone/>
                <wp:docPr id="1500" name="1500"/>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77.05pt;z-index:-251173888;width:104.00pt;height:13.45pt;" id="1500"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74" locked="0" layoutInCell="1" allowOverlap="1">
                <wp:simplePos x="0" y="0"/>
                <wp:positionH relativeFrom="page">
                  <wp:posOffset>1762760</wp:posOffset>
                </wp:positionH>
                <wp:positionV relativeFrom="page">
                  <wp:posOffset>3700145</wp:posOffset>
                </wp:positionV>
                <wp:extent cx="1549400" cy="170815"/>
                <wp:wrapNone/>
                <wp:docPr id="1501" name="150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91.35pt;z-index:-251172864;width:122.00pt;height:13.45pt;" id="1501"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75" locked="0" layoutInCell="1" allowOverlap="1">
                <wp:simplePos x="0" y="0"/>
                <wp:positionH relativeFrom="page">
                  <wp:posOffset>2288540</wp:posOffset>
                </wp:positionH>
                <wp:positionV relativeFrom="page">
                  <wp:posOffset>3881120</wp:posOffset>
                </wp:positionV>
                <wp:extent cx="457200" cy="170815"/>
                <wp:wrapNone/>
                <wp:docPr id="1502" name="1502"/>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05.60pt;z-index:-251171840;width:36.00pt;height:13.45pt;" id="1502" coordsize="72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可制造性</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F040605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集成电路制造专</w:t>
      </w:r>
      <w:r>
        <w:rPr>
          <w:rFonts w:ascii="宋体" w:hAnsi="宋体" w:cs="宋体" w:eastAsia="宋体" w:hint="ascii"/>
          <w:sz w:val="18"/>
        </w:rPr>
        <w:t>用</w:t>
      </w:r>
      <w:r>
        <w:rPr>
          <w:rFonts w:ascii="宋体" w:hAnsi="宋体" w:cs="宋体" w:eastAsia="宋体" w:hint="ascii"/>
          <w:sz w:val="18"/>
        </w:rPr>
        <mc:AlternateContent>
          <mc:Choice Requires="wps">
            <w:drawing>
              <wp:anchor distL="0" distR="0" distT="0" distB="0" simplePos="0" behindDoc="1" relativeHeight="476" locked="0" layoutInCell="1" allowOverlap="1">
                <wp:simplePos x="0" y="0"/>
                <wp:positionH relativeFrom="page">
                  <wp:posOffset>1762760</wp:posOffset>
                </wp:positionH>
                <wp:positionV relativeFrom="page">
                  <wp:posOffset>4063365</wp:posOffset>
                </wp:positionV>
                <wp:extent cx="1465580" cy="170815"/>
                <wp:wrapNone/>
                <wp:docPr id="1503" name="1503"/>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19.95pt;z-index:-251170816;width:115.40pt;height:13.45pt;" id="1503" coordsize="2308,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设</w:t>
      </w:r>
      <w:r>
        <w:rPr>
          <w:rFonts w:ascii="宋体" w:hAnsi="宋体" w:cs="宋体" w:eastAsia="宋体" w:hint="ascii"/>
          <w:sz w:val="18"/>
        </w:rPr>
        <w:t>备</w:t>
      </w:r>
      <w:r>
        <w:rPr>
          <w:rFonts w:ascii="宋体" w:hAnsi="宋体" w:cs="宋体" w:eastAsia="宋体" w:hint="ascii"/>
          <w:sz w:val="18"/>
        </w:rPr>
        <mc:AlternateContent>
          <mc:Choice Requires="wps">
            <w:drawing>
              <wp:anchor distL="0" distR="0" distT="0" distB="0" simplePos="0" behindDoc="1" relativeHeight="477" locked="0" layoutInCell="1" allowOverlap="1">
                <wp:simplePos x="0" y="0"/>
                <wp:positionH relativeFrom="page">
                  <wp:posOffset>2288540</wp:posOffset>
                </wp:positionH>
                <wp:positionV relativeFrom="page">
                  <wp:posOffset>4244975</wp:posOffset>
                </wp:positionV>
                <wp:extent cx="236220" cy="170815"/>
                <wp:wrapNone/>
                <wp:docPr id="1504" name="1504"/>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34.25pt;z-index:-251169792;width:18.60pt;height:13.45pt;" id="1504"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先进封装</w:t>
      </w:r>
      <w:r>
        <w:rPr>
          <w:rFonts w:ascii="Times New Roman" w:hAnsi="Times New Roman" w:cs="Times New Roman" w:eastAsia="Times New Roman" w:hint="ascii"/>
          <w:sz w:val="18"/>
        </w:rPr>
        <w:t>/</w:t>
      </w:r>
      <w:r>
        <w:rPr>
          <w:rFonts w:ascii="宋体" w:hAnsi="宋体" w:cs="宋体" w:eastAsia="宋体" w:hint="ascii"/>
          <w:sz w:val="18"/>
        </w:rPr>
        <w:t>系统封装</w:t>
      </w:r>
      <w:r>
        <w:rPr>
          <w:rFonts w:ascii="Times New Roman" w:hAnsi="Times New Roman" w:cs="Times New Roman" w:eastAsia="Times New Roman" w:hint="ascii"/>
          <w:sz w:val="18"/>
        </w:rPr>
        <w:t>F040607</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微纳电子器件与集成</w:t>
      </w:r>
      <w:r>
        <w:rPr>
          <w:rFonts w:ascii="Times New Roman" w:hAnsi="Times New Roman" w:cs="Times New Roman" w:eastAsia="Times New Roman" w:hint="ascii"/>
          <w:sz w:val="18"/>
        </w:rPr>
        <w:t>F040608</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集成电路光互连技术</w:t>
      </w:r>
      <w:r>
        <w:rPr>
          <w:rFonts w:ascii="Times New Roman" w:hAnsi="Times New Roman" w:cs="Times New Roman" w:eastAsia="Times New Roman" w:hint="ascii"/>
          <w:sz w:val="18"/>
        </w:rPr>
        <w:t>F040609</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新型互连技术</w:t>
      </w:r>
      <w:r>
        <w:rPr>
          <w:rFonts w:ascii="Times New Roman" w:hAnsi="Times New Roman" w:cs="Times New Roman" w:eastAsia="Times New Roman" w:hint="ascii"/>
          <w:sz w:val="18"/>
        </w:rPr>
        <w:t>F040610</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集成电路系统测试</w:t>
      </w:r>
      <w:r>
        <w:rPr>
          <w:rFonts w:ascii="Times New Roman" w:hAnsi="Times New Roman" w:cs="Times New Roman" w:eastAsia="Times New Roman" w:hint="ascii"/>
          <w:sz w:val="18"/>
        </w:rPr>
        <w:t>F0406</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集成电路制造与封装</w:t>
      </w:r>
      <w:r>
        <w:rPr>
          <w:rFonts w:ascii="宋体" w:hAnsi="宋体" w:cs="宋体" w:eastAsia="宋体" w:hint="ascii"/>
          <w:sz w:val="18"/>
        </w:rPr>
        <mc:AlternateContent>
          <mc:Choice Requires="wps">
            <w:drawing>
              <wp:anchor distL="0" distR="0" distT="0" distB="0" simplePos="0" behindDoc="1" relativeHeight="478" locked="0" layoutInCell="1" allowOverlap="1">
                <wp:simplePos x="0" y="0"/>
                <wp:positionH relativeFrom="page">
                  <wp:posOffset>1762760</wp:posOffset>
                </wp:positionH>
                <wp:positionV relativeFrom="page">
                  <wp:posOffset>4425950</wp:posOffset>
                </wp:positionV>
                <wp:extent cx="1466850" cy="170815"/>
                <wp:wrapNone/>
                <wp:docPr id="1505" name="1505"/>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48.50pt;z-index:-251168768;width:115.50pt;height:13.45pt;" id="1505" coordsize="231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79" locked="0" layoutInCell="1" allowOverlap="1">
                <wp:simplePos x="0" y="0"/>
                <wp:positionH relativeFrom="page">
                  <wp:posOffset>1762760</wp:posOffset>
                </wp:positionH>
                <wp:positionV relativeFrom="page">
                  <wp:posOffset>4608195</wp:posOffset>
                </wp:positionV>
                <wp:extent cx="1549400" cy="170815"/>
                <wp:wrapNone/>
                <wp:docPr id="1506" name="150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62.85pt;z-index:-251167744;width:122.00pt;height:13.45pt;" id="1506"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80" locked="0" layoutInCell="1" allowOverlap="1">
                <wp:simplePos x="0" y="0"/>
                <wp:positionH relativeFrom="page">
                  <wp:posOffset>1762760</wp:posOffset>
                </wp:positionH>
                <wp:positionV relativeFrom="page">
                  <wp:posOffset>4789805</wp:posOffset>
                </wp:positionV>
                <wp:extent cx="1549400" cy="170815"/>
                <wp:wrapNone/>
                <wp:docPr id="1507" name="1507"/>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77.15pt;z-index:-251166720;width:122.00pt;height:13.45pt;" id="1507"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81" locked="0" layoutInCell="1" allowOverlap="1">
                <wp:simplePos x="0" y="0"/>
                <wp:positionH relativeFrom="page">
                  <wp:posOffset>1762760</wp:posOffset>
                </wp:positionH>
                <wp:positionV relativeFrom="page">
                  <wp:posOffset>4970780</wp:posOffset>
                </wp:positionV>
                <wp:extent cx="1206500" cy="170815"/>
                <wp:wrapNone/>
                <wp:docPr id="1508" name="1508"/>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91.40pt;z-index:-251165696;width:95.00pt;height:13.45pt;" id="1508"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82" locked="0" layoutInCell="1" allowOverlap="1">
                <wp:simplePos x="0" y="0"/>
                <wp:positionH relativeFrom="page">
                  <wp:posOffset>1762760</wp:posOffset>
                </wp:positionH>
                <wp:positionV relativeFrom="page">
                  <wp:posOffset>5153025</wp:posOffset>
                </wp:positionV>
                <wp:extent cx="1435100" cy="170815"/>
                <wp:wrapNone/>
                <wp:docPr id="1509" name="1509"/>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05.75pt;z-index:-251164672;width:113.00pt;height:13.45pt;" id="1509"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83" locked="0" layoutInCell="1" allowOverlap="1">
                <wp:simplePos x="0" y="0"/>
                <wp:positionH relativeFrom="page">
                  <wp:posOffset>1762760</wp:posOffset>
                </wp:positionH>
                <wp:positionV relativeFrom="page">
                  <wp:posOffset>5334635</wp:posOffset>
                </wp:positionV>
                <wp:extent cx="1545590" cy="170815"/>
                <wp:wrapNone/>
                <wp:docPr id="1510" name="1510"/>
                <wp:cNvGraphicFramePr/>
                <a:graphic>
                  <a:graphicData uri="http://schemas.microsoft.com/office/word/2010/wordprocessingShape">
                    <wps:wsp>
                      <wps:cNvSpPr/>
                      <wps:spPr>
                        <a:xfrm>
                          <a:off x="0" y="0"/>
                          <a:ext cx="15455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20.05pt;z-index:-251163648;width:121.70pt;height:13.45pt;" id="1510" coordsize="243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84" locked="0" layoutInCell="1" allowOverlap="1">
                <wp:simplePos x="0" y="0"/>
                <wp:positionH relativeFrom="page">
                  <wp:posOffset>2288540</wp:posOffset>
                </wp:positionH>
                <wp:positionV relativeFrom="page">
                  <wp:posOffset>5515610</wp:posOffset>
                </wp:positionV>
                <wp:extent cx="228600" cy="170815"/>
                <wp:wrapNone/>
                <wp:docPr id="1511" name="1511"/>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434.30pt;z-index:-251162624;width:18.00pt;height:13.45pt;" id="1511" coordsize="36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微纳机电器件与控制系统</w:t>
      </w:r>
      <w:r>
        <w:rPr>
          <w:rFonts w:ascii="宋体" w:hAnsi="宋体" w:cs="宋体" w:eastAsia="宋体" w:hint="ascii"/>
          <w:sz w:val="18"/>
        </w:rPr>
        <mc:AlternateContent>
          <mc:Choice Requires="wps">
            <w:drawing>
              <wp:anchor distL="0" distR="0" distT="0" distB="0" simplePos="0" behindDoc="1" relativeHeight="485" locked="0" layoutInCell="1" allowOverlap="1">
                <wp:simplePos x="0" y="0"/>
                <wp:positionH relativeFrom="page">
                  <wp:posOffset>1341755</wp:posOffset>
                </wp:positionH>
                <wp:positionV relativeFrom="page">
                  <wp:posOffset>5694045</wp:posOffset>
                </wp:positionV>
                <wp:extent cx="1670050" cy="167005"/>
                <wp:wrapNone/>
                <wp:docPr id="1512" name="1512"/>
                <wp:cNvGraphicFramePr/>
                <a:graphic>
                  <a:graphicData uri="http://schemas.microsoft.com/office/word/2010/wordprocessingShape">
                    <wps:wsp>
                      <wps:cNvSpPr/>
                      <wps:spPr>
                        <a:xfrm>
                          <a:off x="0" y="0"/>
                          <a:ext cx="16700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448.35pt;z-index:-251161600;width:131.50pt;height:13.15pt;" id="1512" coordsize="2630,263"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微纳机电器件与系统</w:t>
      </w:r>
      <w:r>
        <w:rPr>
          <w:rFonts w:ascii="宋体" w:hAnsi="宋体" w:cs="宋体" w:eastAsia="宋体" w:hint="ascii"/>
          <w:sz w:val="18"/>
        </w:rPr>
        <mc:AlternateContent>
          <mc:Choice Requires="wps">
            <w:drawing>
              <wp:anchor distL="0" distR="0" distT="0" distB="0" simplePos="0" behindDoc="1" relativeHeight="486" locked="0" layoutInCell="1" allowOverlap="1">
                <wp:simplePos x="0" y="0"/>
                <wp:positionH relativeFrom="page">
                  <wp:posOffset>1762760</wp:posOffset>
                </wp:positionH>
                <wp:positionV relativeFrom="page">
                  <wp:posOffset>5879465</wp:posOffset>
                </wp:positionV>
                <wp:extent cx="1549400" cy="170815"/>
                <wp:wrapNone/>
                <wp:docPr id="1513" name="151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62.95pt;z-index:-251160576;width:122.00pt;height:13.45pt;" id="1513"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模型及设计</w:t>
      </w:r>
      <w:r>
        <w:rPr>
          <w:rFonts w:ascii="宋体" w:hAnsi="宋体" w:cs="宋体" w:eastAsia="宋体" w:hint="ascii"/>
          <w:sz w:val="18"/>
        </w:rPr>
        <mc:AlternateContent>
          <mc:Choice Requires="wps">
            <w:drawing>
              <wp:anchor distL="0" distR="0" distT="0" distB="0" simplePos="0" behindDoc="1" relativeHeight="487" locked="0" layoutInCell="1" allowOverlap="1">
                <wp:simplePos x="0" y="0"/>
                <wp:positionH relativeFrom="page">
                  <wp:posOffset>2288540</wp:posOffset>
                </wp:positionH>
                <wp:positionV relativeFrom="page">
                  <wp:posOffset>6060440</wp:posOffset>
                </wp:positionV>
                <wp:extent cx="571500" cy="170815"/>
                <wp:wrapNone/>
                <wp:docPr id="1514" name="1514"/>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477.20pt;z-index:-251159552;width:45.00pt;height:13.45pt;" id="1514" coordsize="90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微纳机电器件工艺、</w:t>
      </w:r>
      <w:r>
        <w:rPr>
          <w:rFonts w:ascii="宋体" w:hAnsi="宋体" w:cs="宋体" w:eastAsia="宋体" w:hint="ascii"/>
          <w:sz w:val="18"/>
        </w:rPr>
        <mc:AlternateContent>
          <mc:Choice Requires="wps">
            <w:drawing>
              <wp:anchor distL="0" distR="0" distT="0" distB="0" simplePos="0" behindDoc="1" relativeHeight="488" locked="0" layoutInCell="1" allowOverlap="1">
                <wp:simplePos x="0" y="0"/>
                <wp:positionH relativeFrom="page">
                  <wp:posOffset>1762760</wp:posOffset>
                </wp:positionH>
                <wp:positionV relativeFrom="page">
                  <wp:posOffset>6242685</wp:posOffset>
                </wp:positionV>
                <wp:extent cx="1549400" cy="170815"/>
                <wp:wrapNone/>
                <wp:docPr id="1515" name="1515"/>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91.55pt;z-index:-251158528;width:122.00pt;height:13.45pt;" id="1515"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集成及可靠性</w:t>
      </w:r>
      <w:r>
        <w:rPr>
          <w:rFonts w:ascii="宋体" w:hAnsi="宋体" w:cs="宋体" w:eastAsia="宋体" w:hint="ascii"/>
          <w:sz w:val="18"/>
        </w:rPr>
        <mc:AlternateContent>
          <mc:Choice Requires="wps">
            <w:drawing>
              <wp:anchor distL="0" distR="0" distT="0" distB="0" simplePos="0" behindDoc="1" relativeHeight="489" locked="0" layoutInCell="1" allowOverlap="1">
                <wp:simplePos x="0" y="0"/>
                <wp:positionH relativeFrom="page">
                  <wp:posOffset>2288540</wp:posOffset>
                </wp:positionH>
                <wp:positionV relativeFrom="page">
                  <wp:posOffset>6424295</wp:posOffset>
                </wp:positionV>
                <wp:extent cx="685800" cy="170815"/>
                <wp:wrapNone/>
                <wp:docPr id="1516" name="1516"/>
                <wp:cNvGraphicFramePr/>
                <a:graphic>
                  <a:graphicData uri="http://schemas.microsoft.com/office/word/2010/wordprocessingShape">
                    <wps:wsp>
                      <wps:cNvSpPr/>
                      <wps:spPr>
                        <a:xfrm>
                          <a:off x="0" y="0"/>
                          <a:ext cx="685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05.85pt;z-index:-251157504;width:54.00pt;height:13.45pt;" id="1516" coordsize="1080,269" stroked="f" fillcolor="#ffffff" opacity="0f">
                <v:stroke endcap="round"/>
                <v:fill opacity="0f"/>
                <w10:wrap anchorx="page" anchory="page" side="both"/>
              </v:rect>
            </w:pict>
          </mc:Fallback>
        </mc:AlternateConten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新型微纳机电器件</w:t>
      </w:r>
      <w:r>
        <w:rPr>
          <w:rFonts w:ascii="Times New Roman" w:hAnsi="Times New Roman" w:cs="Times New Roman" w:eastAsia="Times New Roman" w:hint="ascii"/>
          <w:sz w:val="18"/>
        </w:rPr>
        <w:t>F040704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射频</w:t>
      </w:r>
      <w:r>
        <w:rPr>
          <w:rFonts w:ascii="Times New Roman" w:hAnsi="Times New Roman" w:cs="Times New Roman" w:eastAsia="Times New Roman" w:hint="ascii"/>
          <w:sz w:val="18"/>
        </w:rPr>
        <w:t>/</w:t>
      </w:r>
      <w:r>
        <w:rPr>
          <w:rFonts w:ascii="宋体" w:hAnsi="宋体" w:cs="宋体" w:eastAsia="宋体" w:hint="ascii"/>
          <w:sz w:val="18"/>
        </w:rPr>
        <w:t>微波微纳机电</w:t>
      </w:r>
      <w:r>
        <w:rPr>
          <w:rFonts w:ascii="宋体" w:hAnsi="宋体" w:cs="宋体" w:eastAsia="宋体" w:hint="ascii"/>
          <w:sz w:val="18"/>
        </w:rPr>
        <mc:AlternateContent>
          <mc:Choice Requires="wps">
            <w:drawing>
              <wp:anchor distL="0" distR="0" distT="0" distB="0" simplePos="0" behindDoc="1" relativeHeight="490" locked="0" layoutInCell="1" allowOverlap="1">
                <wp:simplePos x="0" y="0"/>
                <wp:positionH relativeFrom="page">
                  <wp:posOffset>1762760</wp:posOffset>
                </wp:positionH>
                <wp:positionV relativeFrom="page">
                  <wp:posOffset>6605270</wp:posOffset>
                </wp:positionV>
                <wp:extent cx="1435100" cy="170815"/>
                <wp:wrapNone/>
                <wp:docPr id="1517" name="1517"/>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20.10pt;z-index:-251156480;width:113.00pt;height:13.45pt;" id="1517"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91" locked="0" layoutInCell="1" allowOverlap="1">
                <wp:simplePos x="0" y="0"/>
                <wp:positionH relativeFrom="page">
                  <wp:posOffset>1762760</wp:posOffset>
                </wp:positionH>
                <wp:positionV relativeFrom="page">
                  <wp:posOffset>6787515</wp:posOffset>
                </wp:positionV>
                <wp:extent cx="1466850" cy="170815"/>
                <wp:wrapNone/>
                <wp:docPr id="1518" name="1518"/>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34.45pt;z-index:-251155456;width:115.50pt;height:13.45pt;" id="1518" coordsize="231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92" locked="0" layoutInCell="1" allowOverlap="1">
                <wp:simplePos x="0" y="0"/>
                <wp:positionH relativeFrom="page">
                  <wp:posOffset>2288540</wp:posOffset>
                </wp:positionH>
                <wp:positionV relativeFrom="page">
                  <wp:posOffset>6969125</wp:posOffset>
                </wp:positionV>
                <wp:extent cx="571500" cy="170815"/>
                <wp:wrapNone/>
                <wp:docPr id="1519" name="1519"/>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48.75pt;z-index:-251154432;width:45.00pt;height:13.45pt;" id="1519" coordsize="900,269" stroked="f" fillcolor="#ffffff" opacity="0f">
                <v:stroke endcap="round"/>
                <v:fill opacity="0f"/>
                <w10:wrap anchorx="page" anchory="page" side="both"/>
              </v:rect>
            </w:pict>
          </mc:Fallback>
        </mc:AlternateContent>
      </w:r>
    </w:p>
    <w:p>
      <w:pPr>
        <w:autoSpaceDE w:val="0"/>
        <w:autoSpaceDN w:val="0"/>
        <w:jc w:val="left"/>
        <w:spacing w:before="4294967295"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器件与系统</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F040705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微纳光机电器件</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493" locked="0" layoutInCell="1" allowOverlap="1">
                <wp:simplePos x="0" y="0"/>
                <wp:positionH relativeFrom="page">
                  <wp:posOffset>1762760</wp:posOffset>
                </wp:positionH>
                <wp:positionV relativeFrom="page">
                  <wp:posOffset>7150100</wp:posOffset>
                </wp:positionV>
                <wp:extent cx="1465580" cy="170815"/>
                <wp:wrapNone/>
                <wp:docPr id="1520" name="1520"/>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63.00pt;z-index:-251153408;width:115.40pt;height:13.45pt;" id="1520" coordsize="2308,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系</w:t>
      </w:r>
      <w:r>
        <w:rPr>
          <w:rFonts w:ascii="宋体" w:hAnsi="宋体" w:cs="宋体" w:eastAsia="宋体" w:hint="ascii"/>
          <w:sz w:val="18"/>
        </w:rPr>
        <w:t>统</w:t>
      </w:r>
      <w:r>
        <w:rPr>
          <w:rFonts w:ascii="宋体" w:hAnsi="宋体" w:cs="宋体" w:eastAsia="宋体" w:hint="ascii"/>
          <w:sz w:val="18"/>
        </w:rPr>
        <mc:AlternateContent>
          <mc:Choice Requires="wps">
            <w:drawing>
              <wp:anchor distL="0" distR="0" distT="0" distB="0" simplePos="0" behindDoc="1" relativeHeight="494" locked="0" layoutInCell="1" allowOverlap="1">
                <wp:simplePos x="0" y="0"/>
                <wp:positionH relativeFrom="page">
                  <wp:posOffset>2288540</wp:posOffset>
                </wp:positionH>
                <wp:positionV relativeFrom="page">
                  <wp:posOffset>7332345</wp:posOffset>
                </wp:positionV>
                <wp:extent cx="236220" cy="170815"/>
                <wp:wrapNone/>
                <wp:docPr id="1521" name="1521"/>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77.35pt;z-index:-251152384;width:18.60pt;height:13.45pt;" id="1521"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F040706</w:t>
      </w:r>
      <w:r>
        <w:rPr>
          <w:rFonts w:ascii="Times New Roman" w:hAnsi="Times New Roman" w:cs="Times New Roman" w:eastAsia="Times New Roman" w:hint="ascii"/>
          <w:sz w:val="18"/>
          <w:spacing w:val="45"/>
        </w:rPr>
        <w:t xml:space="preserve"> </w:t>
      </w:r>
      <w:r>
        <w:rPr>
          <w:rFonts w:ascii="宋体" w:hAnsi="宋体" w:cs="宋体" w:eastAsia="宋体" w:hint="ascii"/>
          <w:sz w:val="18"/>
        </w:rPr>
        <w:t>微全分析系统</w:t>
      </w:r>
      <w:r>
        <w:rPr>
          <w:rFonts w:ascii="Times New Roman" w:hAnsi="Times New Roman" w:cs="Times New Roman" w:eastAsia="Times New Roman" w:hint="ascii"/>
          <w:sz w:val="18"/>
        </w:rPr>
        <w:t>/</w:t>
      </w:r>
      <w:r>
        <w:rPr>
          <w:rFonts w:ascii="宋体" w:hAnsi="宋体" w:cs="宋体" w:eastAsia="宋体" w:hint="ascii"/>
          <w:sz w:val="18"/>
        </w:rPr>
        <w:t>片上</w:t>
      </w:r>
      <w:r>
        <w:rPr>
          <w:rFonts w:ascii="宋体" w:hAnsi="宋体" w:cs="宋体" w:eastAsia="宋体" w:hint="ascii"/>
          <w:sz w:val="18"/>
        </w:rPr>
        <mc:AlternateContent>
          <mc:Choice Requires="wps">
            <w:drawing>
              <wp:anchor distL="0" distR="0" distT="0" distB="0" simplePos="0" behindDoc="1" relativeHeight="495" locked="0" layoutInCell="1" allowOverlap="1">
                <wp:simplePos x="0" y="0"/>
                <wp:positionH relativeFrom="page">
                  <wp:posOffset>1762760</wp:posOffset>
                </wp:positionH>
                <wp:positionV relativeFrom="page">
                  <wp:posOffset>7513955</wp:posOffset>
                </wp:positionV>
                <wp:extent cx="1466850" cy="170815"/>
                <wp:wrapNone/>
                <wp:docPr id="1522" name="1522"/>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91.65pt;z-index:-251151360;width:115.50pt;height:13.45pt;" id="1522" coordsize="231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实验室</w:t>
      </w:r>
      <w:r>
        <w:rPr>
          <w:rFonts w:ascii="宋体" w:hAnsi="宋体" w:cs="宋体" w:eastAsia="宋体" w:hint="ascii"/>
          <w:sz w:val="18"/>
        </w:rPr>
        <mc:AlternateContent>
          <mc:Choice Requires="wps">
            <w:drawing>
              <wp:anchor distL="0" distR="0" distT="0" distB="0" simplePos="0" behindDoc="1" relativeHeight="496" locked="0" layoutInCell="1" allowOverlap="1">
                <wp:simplePos x="0" y="0"/>
                <wp:positionH relativeFrom="page">
                  <wp:posOffset>2288540</wp:posOffset>
                </wp:positionH>
                <wp:positionV relativeFrom="page">
                  <wp:posOffset>7694930</wp:posOffset>
                </wp:positionV>
                <wp:extent cx="342900" cy="170815"/>
                <wp:wrapNone/>
                <wp:docPr id="1523" name="1523"/>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605.90pt;z-index:-251150336;width:27.00pt;height:13.45pt;" id="1523" coordsize="540,269" stroked="f" fillcolor="#ffffff" opacity="0f">
                <v:stroke endcap="round"/>
                <v:fill opacity="0f"/>
                <w10:wrap anchorx="page" anchory="page" side="both"/>
              </v:rect>
            </w:pict>
          </mc:Fallback>
        </mc:AlternateConten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F040707</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微纳机电物理传感器</w:t>
      </w:r>
      <w:r>
        <w:rPr>
          <w:rFonts w:ascii="Times New Roman" w:hAnsi="Times New Roman" w:cs="Times New Roman" w:eastAsia="Times New Roman" w:hint="ascii"/>
          <w:sz w:val="18"/>
        </w:rPr>
        <w:t>F040708</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微纳机电生化传感器</w:t>
      </w:r>
      <w:r>
        <w:rPr>
          <w:rFonts w:ascii="Times New Roman" w:hAnsi="Times New Roman" w:cs="Times New Roman" w:eastAsia="Times New Roman" w:hint="ascii"/>
          <w:sz w:val="18"/>
        </w:rPr>
        <w:t>F040709</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微纳机电执行器与微</w:t>
      </w:r>
      <w:r>
        <w:rPr>
          <w:rFonts w:ascii="宋体" w:hAnsi="宋体" w:cs="宋体" w:eastAsia="宋体" w:hint="ascii"/>
          <w:sz w:val="18"/>
        </w:rPr>
        <mc:AlternateContent>
          <mc:Choice Requires="wps">
            <w:drawing>
              <wp:anchor distL="0" distR="0" distT="0" distB="0" simplePos="0" behindDoc="1" relativeHeight="497" locked="0" layoutInCell="1" allowOverlap="1">
                <wp:simplePos x="0" y="0"/>
                <wp:positionH relativeFrom="page">
                  <wp:posOffset>1762760</wp:posOffset>
                </wp:positionH>
                <wp:positionV relativeFrom="page">
                  <wp:posOffset>7877175</wp:posOffset>
                </wp:positionV>
                <wp:extent cx="1549400" cy="170815"/>
                <wp:wrapNone/>
                <wp:docPr id="1524" name="1524"/>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20.25pt;z-index:-251149312;width:122.00pt;height:13.45pt;" id="1524"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98" locked="0" layoutInCell="1" allowOverlap="1">
                <wp:simplePos x="0" y="0"/>
                <wp:positionH relativeFrom="page">
                  <wp:posOffset>1762760</wp:posOffset>
                </wp:positionH>
                <wp:positionV relativeFrom="page">
                  <wp:posOffset>8058785</wp:posOffset>
                </wp:positionV>
                <wp:extent cx="1549400" cy="170815"/>
                <wp:wrapNone/>
                <wp:docPr id="1525" name="1525"/>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34.55pt;z-index:-251148288;width:122.00pt;height:13.45pt;" id="1525"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499" locked="0" layoutInCell="1" allowOverlap="1">
                <wp:simplePos x="0" y="0"/>
                <wp:positionH relativeFrom="page">
                  <wp:posOffset>1762760</wp:posOffset>
                </wp:positionH>
                <wp:positionV relativeFrom="page">
                  <wp:posOffset>8239760</wp:posOffset>
                </wp:positionV>
                <wp:extent cx="1549400" cy="170815"/>
                <wp:wrapNone/>
                <wp:docPr id="1526" name="152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48.80pt;z-index:-251147264;width:122.00pt;height:13.45pt;" id="1526"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00" locked="0" layoutInCell="1" allowOverlap="1">
                <wp:simplePos x="0" y="0"/>
                <wp:positionH relativeFrom="page">
                  <wp:posOffset>2288540</wp:posOffset>
                </wp:positionH>
                <wp:positionV relativeFrom="page">
                  <wp:posOffset>8422005</wp:posOffset>
                </wp:positionV>
                <wp:extent cx="228600" cy="170815"/>
                <wp:wrapNone/>
                <wp:docPr id="1527" name="1527"/>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663.15pt;z-index:-251146240;width:18.00pt;height:13.45pt;" id="1527" coordsize="36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能源</w:t>
      </w:r>
    </w:p>
    <w:p>
      <w:pPr>
        <w:autoSpaceDE w:val="0"/>
        <w:autoSpaceDN w:val="0"/>
        <w:jc w:val="left"/>
        <w:spacing w:before="327" w:after="0" w:lineRule="auto" w:line="240"/>
        <w:ind w:right="0"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F040710</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生物医学微机电器件</w:t>
      </w:r>
      <w:r>
        <w:rPr>
          <w:rFonts w:ascii="宋体" w:hAnsi="宋体" w:cs="宋体" w:eastAsia="宋体" w:hint="ascii"/>
          <w:sz w:val="18"/>
        </w:rPr>
        <mc:AlternateContent>
          <mc:Choice Requires="wps">
            <w:drawing>
              <wp:anchor distL="0" distR="0" distT="0" distB="0" simplePos="0" behindDoc="1" relativeHeight="501" locked="0" layoutInCell="1" allowOverlap="1">
                <wp:simplePos x="0" y="0"/>
                <wp:positionH relativeFrom="page">
                  <wp:posOffset>4352290</wp:posOffset>
                </wp:positionH>
                <wp:positionV relativeFrom="page">
                  <wp:posOffset>975995</wp:posOffset>
                </wp:positionV>
                <wp:extent cx="1549400" cy="170815"/>
                <wp:wrapNone/>
                <wp:docPr id="1528" name="152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76.85pt;z-index:-251145216;width:122.00pt;height:13.45pt;" id="1528"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与系统</w:t>
      </w:r>
      <w:r>
        <w:rPr>
          <w:rFonts w:ascii="宋体" w:hAnsi="宋体" w:cs="宋体" w:eastAsia="宋体" w:hint="ascii"/>
          <w:sz w:val="18"/>
        </w:rPr>
        <mc:AlternateContent>
          <mc:Choice Requires="wps">
            <w:drawing>
              <wp:anchor distL="0" distR="0" distT="0" distB="0" simplePos="0" behindDoc="1" relativeHeight="502" locked="0" layoutInCell="1" allowOverlap="1">
                <wp:simplePos x="0" y="0"/>
                <wp:positionH relativeFrom="page">
                  <wp:posOffset>4878070</wp:posOffset>
                </wp:positionH>
                <wp:positionV relativeFrom="page">
                  <wp:posOffset>1156970</wp:posOffset>
                </wp:positionV>
                <wp:extent cx="342900" cy="170815"/>
                <wp:wrapNone/>
                <wp:docPr id="1529" name="1529"/>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91.10pt;z-index:-251144192;width:27.00pt;height:13.45pt;" id="1529" coordsize="54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F0408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新型信息器件</w:t>
      </w:r>
      <w:r>
        <w:rPr>
          <w:rFonts w:ascii="宋体" w:hAnsi="宋体" w:cs="宋体" w:eastAsia="宋体" w:hint="ascii"/>
          <w:sz w:val="18"/>
        </w:rPr>
        <mc:AlternateContent>
          <mc:Choice Requires="wps">
            <w:drawing>
              <wp:anchor distL="0" distR="0" distT="0" distB="0" simplePos="0" behindDoc="1" relativeHeight="503" locked="0" layoutInCell="1" allowOverlap="1">
                <wp:simplePos x="0" y="0"/>
                <wp:positionH relativeFrom="page">
                  <wp:posOffset>3931920</wp:posOffset>
                </wp:positionH>
                <wp:positionV relativeFrom="page">
                  <wp:posOffset>1335405</wp:posOffset>
                </wp:positionV>
                <wp:extent cx="1098550" cy="167005"/>
                <wp:wrapNone/>
                <wp:docPr id="1530" name="1530"/>
                <wp:cNvGraphicFramePr/>
                <a:graphic>
                  <a:graphicData uri="http://schemas.microsoft.com/office/word/2010/wordprocessingShape">
                    <wps:wsp>
                      <wps:cNvSpPr/>
                      <wps:spPr>
                        <a:xfrm>
                          <a:off x="0" y="0"/>
                          <a:ext cx="10985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105.15pt;z-index:-251143168;width:86.50pt;height:13.15pt;" id="1530" coordsize="1730,263"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纳米信息器件与纳电</w:t>
      </w:r>
      <w:r>
        <w:rPr>
          <w:rFonts w:ascii="宋体" w:hAnsi="宋体" w:cs="宋体" w:eastAsia="宋体" w:hint="ascii"/>
          <w:sz w:val="18"/>
        </w:rPr>
        <mc:AlternateContent>
          <mc:Choice Requires="wps">
            <w:drawing>
              <wp:anchor distL="0" distR="0" distT="0" distB="0" simplePos="0" behindDoc="1" relativeHeight="504" locked="0" layoutInCell="1" allowOverlap="1">
                <wp:simplePos x="0" y="0"/>
                <wp:positionH relativeFrom="page">
                  <wp:posOffset>4352290</wp:posOffset>
                </wp:positionH>
                <wp:positionV relativeFrom="page">
                  <wp:posOffset>1520825</wp:posOffset>
                </wp:positionV>
                <wp:extent cx="1549400" cy="170815"/>
                <wp:wrapNone/>
                <wp:docPr id="1531" name="153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19.75pt;z-index:-251142144;width:122.00pt;height:13.45pt;" id="1531"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子技术</w:t>
      </w:r>
      <w:r>
        <w:rPr>
          <w:rFonts w:ascii="宋体" w:hAnsi="宋体" w:cs="宋体" w:eastAsia="宋体" w:hint="ascii"/>
          <w:sz w:val="18"/>
        </w:rPr>
        <mc:AlternateContent>
          <mc:Choice Requires="wps">
            <w:drawing>
              <wp:anchor distL="0" distR="0" distT="0" distB="0" simplePos="0" behindDoc="1" relativeHeight="505" locked="0" layoutInCell="1" allowOverlap="1">
                <wp:simplePos x="0" y="0"/>
                <wp:positionH relativeFrom="page">
                  <wp:posOffset>4878070</wp:posOffset>
                </wp:positionH>
                <wp:positionV relativeFrom="page">
                  <wp:posOffset>1701800</wp:posOffset>
                </wp:positionV>
                <wp:extent cx="342900" cy="170815"/>
                <wp:wrapNone/>
                <wp:docPr id="1532" name="1532"/>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34.00pt;z-index:-251141120;width:27.00pt;height:13.45pt;" id="1532" coordsize="540,269" stroked="f" fillcolor="#ffffff" opacity="0f">
                <v:stroke endcap="round"/>
                <v:fill opacity="0f"/>
                <w10:wrap anchorx="page" anchory="page" side="both"/>
              </v:rect>
            </w:pict>
          </mc:Fallback>
        </mc:AlternateContent>
      </w:r>
    </w:p>
    <w:p>
      <w:pPr>
        <w:autoSpaceDE w:val="0"/>
        <w:autoSpaceDN w:val="0"/>
        <w:jc w:val="left"/>
        <w:spacing w:before="62" w:after="0" w:lineRule="auto" w:line="314"/>
        <w:ind w:right="113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分子信息器件</w:t>
      </w:r>
      <w:r>
        <w:rPr>
          <w:rFonts w:ascii="Times New Roman" w:hAnsi="Times New Roman" w:cs="Times New Roman" w:eastAsia="Times New Roman" w:hint="ascii"/>
          <w:sz w:val="18"/>
        </w:rPr>
        <w:t>F040803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量子信息器件</w:t>
      </w:r>
      <w:r>
        <w:rPr>
          <w:rFonts w:ascii="Times New Roman" w:hAnsi="Times New Roman" w:cs="Times New Roman" w:eastAsia="Times New Roman" w:hint="ascii"/>
          <w:sz w:val="18"/>
        </w:rPr>
        <w:t>F040804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超导信息器件</w:t>
      </w:r>
      <w:r>
        <w:rPr>
          <w:rFonts w:ascii="Times New Roman" w:hAnsi="Times New Roman" w:cs="Times New Roman" w:eastAsia="Times New Roman" w:hint="ascii"/>
          <w:sz w:val="18"/>
          <w:spacing w:val="-1"/>
        </w:rPr>
        <w:t>F040805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低</w:t>
      </w:r>
      <w:r>
        <w:rPr>
          <w:rFonts w:ascii="宋体" w:hAnsi="宋体" w:cs="宋体" w:eastAsia="宋体" w:hint="ascii"/>
          <w:sz w:val="18"/>
        </w:rPr>
        <w:t>维结构信息材料与</w:t>
      </w:r>
      <w:r>
        <w:rPr>
          <w:rFonts w:ascii="宋体" w:hAnsi="宋体" w:cs="宋体" w:eastAsia="宋体" w:hint="ascii"/>
          <w:sz w:val="18"/>
        </w:rPr>
        <mc:AlternateContent>
          <mc:Choice Requires="wps">
            <w:drawing>
              <wp:anchor distL="0" distR="0" distT="0" distB="0" simplePos="0" behindDoc="1" relativeHeight="506" locked="0" layoutInCell="1" allowOverlap="1">
                <wp:simplePos x="0" y="0"/>
                <wp:positionH relativeFrom="page">
                  <wp:posOffset>4352290</wp:posOffset>
                </wp:positionH>
                <wp:positionV relativeFrom="page">
                  <wp:posOffset>1884045</wp:posOffset>
                </wp:positionV>
                <wp:extent cx="1206500" cy="170815"/>
                <wp:wrapNone/>
                <wp:docPr id="1533" name="1533"/>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48.35pt;z-index:-251140096;width:95.00pt;height:13.45pt;" id="1533"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07" locked="0" layoutInCell="1" allowOverlap="1">
                <wp:simplePos x="0" y="0"/>
                <wp:positionH relativeFrom="page">
                  <wp:posOffset>4352290</wp:posOffset>
                </wp:positionH>
                <wp:positionV relativeFrom="page">
                  <wp:posOffset>2065655</wp:posOffset>
                </wp:positionV>
                <wp:extent cx="1206500" cy="170815"/>
                <wp:wrapNone/>
                <wp:docPr id="1534" name="1534"/>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62.65pt;z-index:-251139072;width:95.00pt;height:13.45pt;" id="1534"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08" locked="0" layoutInCell="1" allowOverlap="1">
                <wp:simplePos x="0" y="0"/>
                <wp:positionH relativeFrom="page">
                  <wp:posOffset>4352290</wp:posOffset>
                </wp:positionH>
                <wp:positionV relativeFrom="page">
                  <wp:posOffset>2246630</wp:posOffset>
                </wp:positionV>
                <wp:extent cx="1206500" cy="170815"/>
                <wp:wrapNone/>
                <wp:docPr id="1535" name="1535"/>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76.90pt;z-index:-251138048;width:95.00pt;height:13.45pt;" id="1535"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09" locked="0" layoutInCell="1" allowOverlap="1">
                <wp:simplePos x="0" y="0"/>
                <wp:positionH relativeFrom="page">
                  <wp:posOffset>4352290</wp:posOffset>
                </wp:positionH>
                <wp:positionV relativeFrom="page">
                  <wp:posOffset>2428875</wp:posOffset>
                </wp:positionV>
                <wp:extent cx="1549400" cy="170815"/>
                <wp:wrapNone/>
                <wp:docPr id="1536" name="153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91.25pt;z-index:-251137024;width:122.00pt;height:13.45pt;" id="1536"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10" locked="0" layoutInCell="1" allowOverlap="1">
                <wp:simplePos x="0" y="0"/>
                <wp:positionH relativeFrom="page">
                  <wp:posOffset>4878070</wp:posOffset>
                </wp:positionH>
                <wp:positionV relativeFrom="page">
                  <wp:posOffset>2610485</wp:posOffset>
                </wp:positionV>
                <wp:extent cx="228600" cy="170815"/>
                <wp:wrapNone/>
                <wp:docPr id="1537" name="1537"/>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05.55pt;z-index:-251136000;width:18.00pt;height:13.45pt;" id="1537" coordsize="36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器件</w:t>
      </w:r>
    </w:p>
    <w:p>
      <w:pPr>
        <w:autoSpaceDE w:val="0"/>
        <w:autoSpaceDN w:val="0"/>
        <w:jc w:val="left"/>
        <w:spacing w:before="61" w:after="0" w:lineRule="auto" w:line="314"/>
        <w:ind w:right="113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F040806</w:t>
      </w:r>
      <w:r>
        <w:rPr>
          <w:rFonts w:ascii="Times New Roman" w:hAnsi="Times New Roman" w:cs="Times New Roman" w:eastAsia="Times New Roman" w:hint="ascii"/>
          <w:sz w:val="18"/>
          <w:spacing w:val="45"/>
        </w:rPr>
        <w:t xml:space="preserve"> </w:t>
      </w:r>
      <w:r>
        <w:rPr>
          <w:rFonts w:ascii="宋体" w:hAnsi="宋体" w:cs="宋体" w:eastAsia="宋体" w:hint="ascii"/>
          <w:sz w:val="18"/>
        </w:rPr>
        <w:t>自旋、谷电子器件</w:t>
      </w:r>
      <w:r>
        <w:rPr>
          <w:rFonts w:ascii="Times New Roman" w:hAnsi="Times New Roman" w:cs="Times New Roman" w:eastAsia="Times New Roman" w:hint="ascii"/>
          <w:sz w:val="18"/>
          <w:spacing w:val="-1"/>
        </w:rPr>
        <w:t>F040807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神</w:t>
      </w:r>
      <w:r>
        <w:rPr>
          <w:rFonts w:ascii="宋体" w:hAnsi="宋体" w:cs="宋体" w:eastAsia="宋体" w:hint="ascii"/>
          <w:sz w:val="18"/>
        </w:rPr>
        <w:t>经形态信息材料与</w:t>
      </w:r>
      <w:r>
        <w:rPr>
          <w:rFonts w:ascii="宋体" w:hAnsi="宋体" w:cs="宋体" w:eastAsia="宋体" w:hint="ascii"/>
          <w:sz w:val="18"/>
        </w:rPr>
        <mc:AlternateContent>
          <mc:Choice Requires="wps">
            <w:drawing>
              <wp:anchor distL="0" distR="0" distT="0" distB="0" simplePos="0" behindDoc="1" relativeHeight="511" locked="0" layoutInCell="1" allowOverlap="1">
                <wp:simplePos x="0" y="0"/>
                <wp:positionH relativeFrom="page">
                  <wp:posOffset>4352290</wp:posOffset>
                </wp:positionH>
                <wp:positionV relativeFrom="page">
                  <wp:posOffset>2791460</wp:posOffset>
                </wp:positionV>
                <wp:extent cx="1435100" cy="170815"/>
                <wp:wrapNone/>
                <wp:docPr id="1538" name="1538"/>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19.80pt;z-index:-251134976;width:113.00pt;height:13.45pt;" id="1538"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12" locked="0" layoutInCell="1" allowOverlap="1">
                <wp:simplePos x="0" y="0"/>
                <wp:positionH relativeFrom="page">
                  <wp:posOffset>4352290</wp:posOffset>
                </wp:positionH>
                <wp:positionV relativeFrom="page">
                  <wp:posOffset>2973705</wp:posOffset>
                </wp:positionV>
                <wp:extent cx="1549400" cy="170815"/>
                <wp:wrapNone/>
                <wp:docPr id="1539" name="1539"/>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34.15pt;z-index:-251133952;width:122.00pt;height:13.45pt;" id="1539"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13" locked="0" layoutInCell="1" allowOverlap="1">
                <wp:simplePos x="0" y="0"/>
                <wp:positionH relativeFrom="page">
                  <wp:posOffset>4878070</wp:posOffset>
                </wp:positionH>
                <wp:positionV relativeFrom="page">
                  <wp:posOffset>3155315</wp:posOffset>
                </wp:positionV>
                <wp:extent cx="228600" cy="170815"/>
                <wp:wrapNone/>
                <wp:docPr id="1540" name="1540"/>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48.45pt;z-index:-251132928;width:18.00pt;height:13.45pt;" id="1540" coordsize="360,269" stroked="f" fillcolor="#ffffff" opacity="0f">
                <v:stroke endcap="round"/>
                <v:fill opacity="0f"/>
                <w10:wrap anchorx="page" anchory="page" side="both"/>
              </v:rect>
            </w:pict>
          </mc:Fallback>
        </mc:AlternateContent>
      </w:r>
    </w:p>
    <w:p>
      <w:pPr>
        <w:autoSpaceDE w:val="0"/>
        <w:autoSpaceDN w:val="0"/>
        <w:jc w:val="left"/>
        <w:spacing w:before="429496729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器件</w:t>
      </w:r>
    </w:p>
    <w:p>
      <w:pPr>
        <w:autoSpaceDE w:val="0"/>
        <w:autoSpaceDN w:val="0"/>
        <w:jc w:val="left"/>
        <w:spacing w:before="61" w:after="0" w:lineRule="auto" w:line="314"/>
        <w:ind w:right="113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F040808</w:t>
      </w:r>
      <w:r>
        <w:rPr>
          <w:rFonts w:ascii="Times New Roman" w:hAnsi="Times New Roman" w:cs="Times New Roman" w:eastAsia="Times New Roman" w:hint="ascii"/>
          <w:sz w:val="18"/>
          <w:spacing w:val="45"/>
        </w:rPr>
        <w:t xml:space="preserve"> </w:t>
      </w:r>
      <w:r>
        <w:rPr>
          <w:rFonts w:ascii="宋体" w:hAnsi="宋体" w:cs="宋体" w:eastAsia="宋体" w:hint="ascii"/>
          <w:sz w:val="18"/>
        </w:rPr>
        <w:t>极化材料与器件</w:t>
      </w:r>
      <w:r>
        <w:rPr>
          <w:rFonts w:ascii="Times New Roman" w:hAnsi="Times New Roman" w:cs="Times New Roman" w:eastAsia="Times New Roman" w:hint="ascii"/>
          <w:sz w:val="18"/>
          <w:spacing w:val="-1"/>
        </w:rPr>
        <w:t>F040809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物信息材料与器件</w:t>
      </w:r>
      <w:r>
        <w:rPr>
          <w:rFonts w:ascii="Times New Roman" w:hAnsi="Times New Roman" w:cs="Times New Roman" w:eastAsia="Times New Roman" w:hint="ascii"/>
          <w:sz w:val="18"/>
        </w:rPr>
        <w:t>F040810</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可降解电子材料</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514" locked="0" layoutInCell="1" allowOverlap="1">
                <wp:simplePos x="0" y="0"/>
                <wp:positionH relativeFrom="page">
                  <wp:posOffset>4352290</wp:posOffset>
                </wp:positionH>
                <wp:positionV relativeFrom="page">
                  <wp:posOffset>3336290</wp:posOffset>
                </wp:positionV>
                <wp:extent cx="1320800" cy="170815"/>
                <wp:wrapNone/>
                <wp:docPr id="1541" name="1541"/>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62.70pt;z-index:-251131904;width:104.00pt;height:13.45pt;" id="1541"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15" locked="0" layoutInCell="1" allowOverlap="1">
                <wp:simplePos x="0" y="0"/>
                <wp:positionH relativeFrom="page">
                  <wp:posOffset>4352290</wp:posOffset>
                </wp:positionH>
                <wp:positionV relativeFrom="page">
                  <wp:posOffset>3518535</wp:posOffset>
                </wp:positionV>
                <wp:extent cx="1549400" cy="170815"/>
                <wp:wrapNone/>
                <wp:docPr id="1542" name="154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77.05pt;z-index:-251130880;width:122.00pt;height:13.45pt;" id="1542"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16" locked="0" layoutInCell="1" allowOverlap="1">
                <wp:simplePos x="0" y="0"/>
                <wp:positionH relativeFrom="page">
                  <wp:posOffset>4352290</wp:posOffset>
                </wp:positionH>
                <wp:positionV relativeFrom="page">
                  <wp:posOffset>3700145</wp:posOffset>
                </wp:positionV>
                <wp:extent cx="1465580" cy="170815"/>
                <wp:wrapNone/>
                <wp:docPr id="1543" name="1543"/>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91.35pt;z-index:-251129856;width:115.40pt;height:13.45pt;" id="1543"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17" locked="0" layoutInCell="1" allowOverlap="1">
                <wp:simplePos x="0" y="0"/>
                <wp:positionH relativeFrom="page">
                  <wp:posOffset>4878070</wp:posOffset>
                </wp:positionH>
                <wp:positionV relativeFrom="page">
                  <wp:posOffset>3881120</wp:posOffset>
                </wp:positionV>
                <wp:extent cx="236220" cy="170815"/>
                <wp:wrapNone/>
                <wp:docPr id="1544" name="1544"/>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05.60pt;z-index:-251128832;width:18.60pt;height:13.45pt;" id="1544"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器</w:t>
      </w:r>
      <w:r>
        <w:rPr>
          <w:rFonts w:ascii="宋体" w:hAnsi="宋体" w:cs="宋体" w:eastAsia="宋体" w:hint="ascii"/>
          <w:sz w:val="18"/>
        </w:rPr>
        <w:t>件</w:t>
      </w:r>
    </w:p>
    <w:p>
      <w:pPr>
        <w:autoSpaceDE w:val="0"/>
        <w:autoSpaceDN w:val="0"/>
        <w:jc w:val="left"/>
        <w:spacing w:before="62" w:after="0" w:lineRule="auto" w:line="313"/>
        <w:ind w:right="113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F0408</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真空微纳电子器件</w:t>
      </w:r>
      <w:r>
        <w:rPr>
          <w:rFonts w:ascii="Times New Roman" w:hAnsi="Times New Roman" w:cs="Times New Roman" w:eastAsia="Times New Roman" w:hint="ascii"/>
          <w:sz w:val="18"/>
        </w:rPr>
        <w:t>F040812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新原理信息材料</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518" locked="0" layoutInCell="1" allowOverlap="1">
                <wp:simplePos x="0" y="0"/>
                <wp:positionH relativeFrom="page">
                  <wp:posOffset>4352290</wp:posOffset>
                </wp:positionH>
                <wp:positionV relativeFrom="page">
                  <wp:posOffset>4063365</wp:posOffset>
                </wp:positionV>
                <wp:extent cx="1431290" cy="170815"/>
                <wp:wrapNone/>
                <wp:docPr id="1545" name="1545"/>
                <wp:cNvGraphicFramePr/>
                <a:graphic>
                  <a:graphicData uri="http://schemas.microsoft.com/office/word/2010/wordprocessingShape">
                    <wps:wsp>
                      <wps:cNvSpPr/>
                      <wps:spPr>
                        <a:xfrm>
                          <a:off x="0" y="0"/>
                          <a:ext cx="14312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19.95pt;z-index:-251127808;width:112.70pt;height:13.45pt;" id="1545" coordsize="225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19" locked="0" layoutInCell="1" allowOverlap="1">
                <wp:simplePos x="0" y="0"/>
                <wp:positionH relativeFrom="page">
                  <wp:posOffset>4352290</wp:posOffset>
                </wp:positionH>
                <wp:positionV relativeFrom="page">
                  <wp:posOffset>4244975</wp:posOffset>
                </wp:positionV>
                <wp:extent cx="1465580" cy="170815"/>
                <wp:wrapNone/>
                <wp:docPr id="1546" name="1546"/>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34.25pt;z-index:-251126784;width:115.40pt;height:13.45pt;" id="1546"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20" locked="0" layoutInCell="1" allowOverlap="1">
                <wp:simplePos x="0" y="0"/>
                <wp:positionH relativeFrom="page">
                  <wp:posOffset>4878070</wp:posOffset>
                </wp:positionH>
                <wp:positionV relativeFrom="page">
                  <wp:posOffset>4425950</wp:posOffset>
                </wp:positionV>
                <wp:extent cx="236220" cy="170815"/>
                <wp:wrapNone/>
                <wp:docPr id="1547" name="1547"/>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48.50pt;z-index:-251125760;width:18.60pt;height:13.45pt;" id="1547"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器</w:t>
      </w:r>
      <w:r>
        <w:rPr>
          <w:rFonts w:ascii="宋体" w:hAnsi="宋体" w:cs="宋体" w:eastAsia="宋体" w:hint="ascii"/>
          <w:sz w:val="18"/>
        </w:rPr>
        <w:t>件</w:t>
      </w:r>
    </w:p>
    <w:p>
      <w:pPr>
        <w:autoSpaceDE w:val="0"/>
        <w:autoSpaceDN w:val="0"/>
        <w:jc w:val="left"/>
        <w:spacing w:before="52"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F05</w:t>
      </w:r>
      <w:r>
        <w:rPr>
          <w:rFonts w:ascii="Times New Roman" w:hAnsi="Times New Roman" w:cs="Times New Roman" w:eastAsia="Times New Roman" w:hint="ascii"/>
          <w:b w:val="1"/>
          <w:spacing w:val="60"/>
        </w:rPr>
        <w:t xml:space="preserve"> </w:t>
      </w:r>
      <w:r>
        <w:rPr>
          <w:rFonts w:ascii="宋体" w:hAnsi="宋体" w:cs="宋体" w:eastAsia="宋体" w:hint="ascii"/>
        </w:rPr>
        <w:t>光学和光电子学</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光学信息获取、显示与处理</w:t>
      </w:r>
      <w:r>
        <w:rPr>
          <w:rFonts w:ascii="宋体" w:hAnsi="宋体" w:cs="宋体" w:eastAsia="宋体" w:hint="ascii"/>
          <w:sz w:val="18"/>
        </w:rPr>
        <mc:AlternateContent>
          <mc:Choice Requires="wps">
            <w:drawing>
              <wp:anchor distL="0" distR="0" distT="0" distB="0" simplePos="0" behindDoc="1" relativeHeight="521" locked="0" layoutInCell="1" allowOverlap="1">
                <wp:simplePos x="0" y="0"/>
                <wp:positionH relativeFrom="page">
                  <wp:posOffset>3931920</wp:posOffset>
                </wp:positionH>
                <wp:positionV relativeFrom="page">
                  <wp:posOffset>4841240</wp:posOffset>
                </wp:positionV>
                <wp:extent cx="1784350" cy="167005"/>
                <wp:wrapNone/>
                <wp:docPr id="1548" name="1548"/>
                <wp:cNvGraphicFramePr/>
                <a:graphic>
                  <a:graphicData uri="http://schemas.microsoft.com/office/word/2010/wordprocessingShape">
                    <wps:wsp>
                      <wps:cNvSpPr/>
                      <wps:spPr>
                        <a:xfrm>
                          <a:off x="0" y="0"/>
                          <a:ext cx="17843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381.20pt;z-index:-251124736;width:140.50pt;height:13.15pt;" id="1548" coordsize="2810,263" stroked="f" fillcolor="#ffffff" opacity="0f">
                <v:stroke endcap="round"/>
                <v:fill opacity="0f"/>
                <w10:wrap anchorx="page" anchory="page" side="both"/>
              </v:rect>
            </w:pict>
          </mc:Fallback>
        </mc:AlternateContent>
      </w:r>
    </w:p>
    <w:p>
      <w:pPr>
        <w:autoSpaceDE w:val="0"/>
        <w:autoSpaceDN w:val="0"/>
        <w:jc w:val="both"/>
        <w:spacing w:before="68" w:after="0" w:lineRule="auto" w:line="313"/>
        <w:ind w:right="113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F050101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光</w:t>
      </w:r>
      <w:r>
        <w:rPr>
          <w:rFonts w:ascii="宋体" w:hAnsi="宋体" w:cs="宋体" w:eastAsia="宋体" w:hint="ascii"/>
          <w:sz w:val="18"/>
        </w:rPr>
        <w:t>学计算和光学逻辑</w:t>
      </w:r>
      <w:r>
        <w:rPr>
          <w:rFonts w:ascii="Times New Roman" w:hAnsi="Times New Roman" w:cs="Times New Roman" w:eastAsia="Times New Roman" w:hint="ascii"/>
          <w:sz w:val="18"/>
          <w:spacing w:val="-1"/>
        </w:rPr>
        <w:t>F050102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光</w:t>
      </w:r>
      <w:r>
        <w:rPr>
          <w:rFonts w:ascii="宋体" w:hAnsi="宋体" w:cs="宋体" w:eastAsia="宋体" w:hint="ascii"/>
          <w:sz w:val="18"/>
        </w:rPr>
        <w:t>学信息处理与人工</w:t>
      </w:r>
      <w:r>
        <w:rPr>
          <w:rFonts w:ascii="宋体" w:hAnsi="宋体" w:cs="宋体" w:eastAsia="宋体" w:hint="ascii"/>
          <w:sz w:val="18"/>
        </w:rPr>
        <mc:AlternateContent>
          <mc:Choice Requires="wps">
            <w:drawing>
              <wp:anchor distL="0" distR="0" distT="0" distB="0" simplePos="0" behindDoc="1" relativeHeight="522" locked="0" layoutInCell="1" allowOverlap="1">
                <wp:simplePos x="0" y="0"/>
                <wp:positionH relativeFrom="page">
                  <wp:posOffset>4352290</wp:posOffset>
                </wp:positionH>
                <wp:positionV relativeFrom="page">
                  <wp:posOffset>5027295</wp:posOffset>
                </wp:positionV>
                <wp:extent cx="1549400" cy="170815"/>
                <wp:wrapNone/>
                <wp:docPr id="1549" name="1549"/>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95.85pt;z-index:-251123712;width:122.00pt;height:13.45pt;" id="1549"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23" locked="0" layoutInCell="1" allowOverlap="1">
                <wp:simplePos x="0" y="0"/>
                <wp:positionH relativeFrom="page">
                  <wp:posOffset>4352290</wp:posOffset>
                </wp:positionH>
                <wp:positionV relativeFrom="page">
                  <wp:posOffset>5208905</wp:posOffset>
                </wp:positionV>
                <wp:extent cx="1549400" cy="170815"/>
                <wp:wrapNone/>
                <wp:docPr id="1550" name="155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10.15pt;z-index:-251122688;width:122.00pt;height:13.45pt;" id="1550"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24" locked="0" layoutInCell="1" allowOverlap="1">
                <wp:simplePos x="0" y="0"/>
                <wp:positionH relativeFrom="page">
                  <wp:posOffset>4878070</wp:posOffset>
                </wp:positionH>
                <wp:positionV relativeFrom="page">
                  <wp:posOffset>5389880</wp:posOffset>
                </wp:positionV>
                <wp:extent cx="228600" cy="170815"/>
                <wp:wrapNone/>
                <wp:docPr id="1551" name="1551"/>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24.40pt;z-index:-251121664;width:18.00pt;height:13.45pt;" id="1551" coordsize="36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视觉</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光存储材料、器件及</w:t>
      </w:r>
      <w:r>
        <w:rPr>
          <w:rFonts w:ascii="宋体" w:hAnsi="宋体" w:cs="宋体" w:eastAsia="宋体" w:hint="ascii"/>
          <w:sz w:val="18"/>
        </w:rPr>
        <mc:AlternateContent>
          <mc:Choice Requires="wps">
            <w:drawing>
              <wp:anchor distL="0" distR="0" distT="0" distB="0" simplePos="0" behindDoc="1" relativeHeight="525" locked="0" layoutInCell="1" allowOverlap="1">
                <wp:simplePos x="0" y="0"/>
                <wp:positionH relativeFrom="page">
                  <wp:posOffset>4352290</wp:posOffset>
                </wp:positionH>
                <wp:positionV relativeFrom="page">
                  <wp:posOffset>5572125</wp:posOffset>
                </wp:positionV>
                <wp:extent cx="1549400" cy="170815"/>
                <wp:wrapNone/>
                <wp:docPr id="1552" name="155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38.75pt;z-index:-251120640;width:122.00pt;height:13.45pt;" id="1552"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技术</w:t>
      </w:r>
      <w:r>
        <w:rPr>
          <w:rFonts w:ascii="宋体" w:hAnsi="宋体" w:cs="宋体" w:eastAsia="宋体" w:hint="ascii"/>
          <w:sz w:val="18"/>
        </w:rPr>
        <mc:AlternateContent>
          <mc:Choice Requires="wps">
            <w:drawing>
              <wp:anchor distL="0" distR="0" distT="0" distB="0" simplePos="0" behindDoc="1" relativeHeight="526" locked="0" layoutInCell="1" allowOverlap="1">
                <wp:simplePos x="0" y="0"/>
                <wp:positionH relativeFrom="page">
                  <wp:posOffset>4878070</wp:posOffset>
                </wp:positionH>
                <wp:positionV relativeFrom="page">
                  <wp:posOffset>5753735</wp:posOffset>
                </wp:positionV>
                <wp:extent cx="228600" cy="170815"/>
                <wp:wrapNone/>
                <wp:docPr id="1553" name="1553"/>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53.05pt;z-index:-251119616;width:18.00pt;height:13.45pt;" id="1553" coordsize="3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F050104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光全息技术与衍</w:t>
      </w:r>
      <w:r>
        <w:rPr>
          <w:rFonts w:ascii="宋体" w:hAnsi="宋体" w:cs="宋体" w:eastAsia="宋体" w:hint="ascii"/>
          <w:sz w:val="18"/>
        </w:rPr>
        <w:t>射</w:t>
      </w:r>
      <w:r>
        <w:rPr>
          <w:rFonts w:ascii="宋体" w:hAnsi="宋体" w:cs="宋体" w:eastAsia="宋体" w:hint="ascii"/>
          <w:sz w:val="18"/>
        </w:rPr>
        <mc:AlternateContent>
          <mc:Choice Requires="wps">
            <w:drawing>
              <wp:anchor distL="0" distR="0" distT="0" distB="0" simplePos="0" behindDoc="1" relativeHeight="527" locked="0" layoutInCell="1" allowOverlap="1">
                <wp:simplePos x="0" y="0"/>
                <wp:positionH relativeFrom="page">
                  <wp:posOffset>4352290</wp:posOffset>
                </wp:positionH>
                <wp:positionV relativeFrom="page">
                  <wp:posOffset>5934710</wp:posOffset>
                </wp:positionV>
                <wp:extent cx="1465580" cy="170815"/>
                <wp:wrapNone/>
                <wp:docPr id="1554" name="1554"/>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67.30pt;z-index:-251118592;width:115.40pt;height:13.45pt;" id="1554" coordsize="2308,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光</w:t>
      </w:r>
      <w:r>
        <w:rPr>
          <w:rFonts w:ascii="宋体" w:hAnsi="宋体" w:cs="宋体" w:eastAsia="宋体" w:hint="ascii"/>
          <w:sz w:val="18"/>
        </w:rPr>
        <w:t>学</w:t>
      </w:r>
      <w:r>
        <w:rPr>
          <w:rFonts w:ascii="宋体" w:hAnsi="宋体" w:cs="宋体" w:eastAsia="宋体" w:hint="ascii"/>
          <w:sz w:val="18"/>
        </w:rPr>
        <mc:AlternateContent>
          <mc:Choice Requires="wps">
            <w:drawing>
              <wp:anchor distL="0" distR="0" distT="0" distB="0" simplePos="0" behindDoc="1" relativeHeight="528" locked="0" layoutInCell="1" allowOverlap="1">
                <wp:simplePos x="0" y="0"/>
                <wp:positionH relativeFrom="page">
                  <wp:posOffset>4878070</wp:posOffset>
                </wp:positionH>
                <wp:positionV relativeFrom="page">
                  <wp:posOffset>6116955</wp:posOffset>
                </wp:positionV>
                <wp:extent cx="236220" cy="170815"/>
                <wp:wrapNone/>
                <wp:docPr id="1555" name="1555"/>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81.65pt;z-index:-251117568;width:18.60pt;height:13.45pt;" id="1555"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光学成像、图像分析</w:t>
      </w:r>
      <w:r>
        <w:rPr>
          <w:rFonts w:ascii="宋体" w:hAnsi="宋体" w:cs="宋体" w:eastAsia="宋体" w:hint="ascii"/>
          <w:sz w:val="18"/>
        </w:rPr>
        <mc:AlternateContent>
          <mc:Choice Requires="wps">
            <w:drawing>
              <wp:anchor distL="0" distR="0" distT="0" distB="0" simplePos="0" behindDoc="1" relativeHeight="529" locked="0" layoutInCell="1" allowOverlap="1">
                <wp:simplePos x="0" y="0"/>
                <wp:positionH relativeFrom="page">
                  <wp:posOffset>4352290</wp:posOffset>
                </wp:positionH>
                <wp:positionV relativeFrom="page">
                  <wp:posOffset>6298565</wp:posOffset>
                </wp:positionV>
                <wp:extent cx="1549400" cy="170815"/>
                <wp:wrapNone/>
                <wp:docPr id="1556" name="155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95.95pt;z-index:-251116544;width:122.00pt;height:13.45pt;" id="1556"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与处理</w:t>
      </w:r>
      <w:r>
        <w:rPr>
          <w:rFonts w:ascii="宋体" w:hAnsi="宋体" w:cs="宋体" w:eastAsia="宋体" w:hint="ascii"/>
          <w:sz w:val="18"/>
        </w:rPr>
        <mc:AlternateContent>
          <mc:Choice Requires="wps">
            <w:drawing>
              <wp:anchor distL="0" distR="0" distT="0" distB="0" simplePos="0" behindDoc="1" relativeHeight="530" locked="0" layoutInCell="1" allowOverlap="1">
                <wp:simplePos x="0" y="0"/>
                <wp:positionH relativeFrom="page">
                  <wp:posOffset>4878070</wp:posOffset>
                </wp:positionH>
                <wp:positionV relativeFrom="page">
                  <wp:posOffset>6479540</wp:posOffset>
                </wp:positionV>
                <wp:extent cx="342900" cy="170815"/>
                <wp:wrapNone/>
                <wp:docPr id="1557" name="1557"/>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10.20pt;z-index:-251115520;width:27.00pt;height:13.45pt;" id="1557" coordsize="54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光电子显示材料、器</w:t>
      </w:r>
      <w:r>
        <w:rPr>
          <w:rFonts w:ascii="宋体" w:hAnsi="宋体" w:cs="宋体" w:eastAsia="宋体" w:hint="ascii"/>
          <w:sz w:val="18"/>
        </w:rPr>
        <mc:AlternateContent>
          <mc:Choice Requires="wps">
            <w:drawing>
              <wp:anchor distL="0" distR="0" distT="0" distB="0" simplePos="0" behindDoc="1" relativeHeight="531" locked="0" layoutInCell="1" allowOverlap="1">
                <wp:simplePos x="0" y="0"/>
                <wp:positionH relativeFrom="page">
                  <wp:posOffset>4352290</wp:posOffset>
                </wp:positionH>
                <wp:positionV relativeFrom="page">
                  <wp:posOffset>6661785</wp:posOffset>
                </wp:positionV>
                <wp:extent cx="1549400" cy="170815"/>
                <wp:wrapNone/>
                <wp:docPr id="1558" name="155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24.55pt;z-index:-251114496;width:122.00pt;height:13.45pt;" id="1558"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件及技术</w:t>
      </w:r>
      <w:r>
        <w:rPr>
          <w:rFonts w:ascii="宋体" w:hAnsi="宋体" w:cs="宋体" w:eastAsia="宋体" w:hint="ascii"/>
          <w:sz w:val="18"/>
        </w:rPr>
        <mc:AlternateContent>
          <mc:Choice Requires="wps">
            <w:drawing>
              <wp:anchor distL="0" distR="0" distT="0" distB="0" simplePos="0" behindDoc="1" relativeHeight="532" locked="0" layoutInCell="1" allowOverlap="1">
                <wp:simplePos x="0" y="0"/>
                <wp:positionH relativeFrom="page">
                  <wp:posOffset>4878070</wp:posOffset>
                </wp:positionH>
                <wp:positionV relativeFrom="page">
                  <wp:posOffset>6843395</wp:posOffset>
                </wp:positionV>
                <wp:extent cx="457200" cy="170815"/>
                <wp:wrapNone/>
                <wp:docPr id="1559" name="1559"/>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38.85pt;z-index:-251113472;width:36.00pt;height:13.45pt;" id="1559" coordsize="72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光学增强现实与虚拟</w:t>
      </w:r>
      <w:r>
        <w:rPr>
          <w:rFonts w:ascii="宋体" w:hAnsi="宋体" w:cs="宋体" w:eastAsia="宋体" w:hint="ascii"/>
          <w:sz w:val="18"/>
        </w:rPr>
        <mc:AlternateContent>
          <mc:Choice Requires="wps">
            <w:drawing>
              <wp:anchor distL="0" distR="0" distT="0" distB="0" simplePos="0" behindDoc="1" relativeHeight="533" locked="0" layoutInCell="1" allowOverlap="1">
                <wp:simplePos x="0" y="0"/>
                <wp:positionH relativeFrom="page">
                  <wp:posOffset>4352290</wp:posOffset>
                </wp:positionH>
                <wp:positionV relativeFrom="page">
                  <wp:posOffset>7024370</wp:posOffset>
                </wp:positionV>
                <wp:extent cx="1549400" cy="170815"/>
                <wp:wrapNone/>
                <wp:docPr id="1560" name="156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53.10pt;z-index:-251112448;width:122.00pt;height:13.45pt;" id="1560"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现实技术</w:t>
      </w:r>
      <w:r>
        <w:rPr>
          <w:rFonts w:ascii="宋体" w:hAnsi="宋体" w:cs="宋体" w:eastAsia="宋体" w:hint="ascii"/>
          <w:sz w:val="18"/>
        </w:rPr>
        <mc:AlternateContent>
          <mc:Choice Requires="wps">
            <w:drawing>
              <wp:anchor distL="0" distR="0" distT="0" distB="0" simplePos="0" behindDoc="1" relativeHeight="534" locked="0" layoutInCell="1" allowOverlap="1">
                <wp:simplePos x="0" y="0"/>
                <wp:positionH relativeFrom="page">
                  <wp:posOffset>4878070</wp:posOffset>
                </wp:positionH>
                <wp:positionV relativeFrom="page">
                  <wp:posOffset>7206615</wp:posOffset>
                </wp:positionV>
                <wp:extent cx="457200" cy="170815"/>
                <wp:wrapNone/>
                <wp:docPr id="1561" name="1561"/>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67.45pt;z-index:-251111424;width:36.00pt;height:13.45pt;" id="1561" coordsize="720,269" stroked="f" fillcolor="#ffffff" opacity="0f">
                <v:stroke endcap="round"/>
                <v:fill opacity="0f"/>
                <w10:wrap anchorx="page" anchory="page" side="both"/>
              </v:rect>
            </w:pict>
          </mc:Fallback>
        </mc:AlternateContent>
      </w:r>
    </w:p>
    <w:p>
      <w:pPr>
        <w:autoSpaceDE w:val="0"/>
        <w:autoSpaceDN w:val="0"/>
        <w:jc w:val="both"/>
        <w:spacing w:before="61" w:after="0" w:lineRule="auto" w:line="313"/>
        <w:ind w:right="113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F050108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微</w:t>
      </w:r>
      <w:r>
        <w:rPr>
          <w:rFonts w:ascii="宋体" w:hAnsi="宋体" w:cs="宋体" w:eastAsia="宋体" w:hint="ascii"/>
          <w:sz w:val="18"/>
        </w:rPr>
        <w:t>波光子器件与技术</w:t>
      </w:r>
      <w:r>
        <w:rPr>
          <w:rFonts w:ascii="Times New Roman" w:hAnsi="Times New Roman" w:cs="Times New Roman" w:eastAsia="Times New Roman" w:hint="ascii"/>
          <w:sz w:val="18"/>
        </w:rPr>
        <w:t>F050109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光学关联成像、</w:t>
      </w:r>
      <w:r>
        <w:rPr>
          <w:rFonts w:ascii="宋体" w:hAnsi="宋体" w:cs="宋体" w:eastAsia="宋体" w:hint="ascii"/>
          <w:sz w:val="18"/>
        </w:rPr>
        <w:t>计</w:t>
      </w:r>
      <w:r>
        <w:rPr>
          <w:rFonts w:ascii="宋体" w:hAnsi="宋体" w:cs="宋体" w:eastAsia="宋体" w:hint="ascii"/>
          <w:sz w:val="18"/>
        </w:rPr>
        <mc:AlternateContent>
          <mc:Choice Requires="wps">
            <w:drawing>
              <wp:anchor distL="0" distR="0" distT="0" distB="0" simplePos="0" behindDoc="1" relativeHeight="535" locked="0" layoutInCell="1" allowOverlap="1">
                <wp:simplePos x="0" y="0"/>
                <wp:positionH relativeFrom="page">
                  <wp:posOffset>4352290</wp:posOffset>
                </wp:positionH>
                <wp:positionV relativeFrom="page">
                  <wp:posOffset>7388225</wp:posOffset>
                </wp:positionV>
                <wp:extent cx="1549400" cy="170815"/>
                <wp:wrapNone/>
                <wp:docPr id="1562" name="156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81.75pt;z-index:-251110400;width:122.00pt;height:13.45pt;" id="1562"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36" locked="0" layoutInCell="1" allowOverlap="1">
                <wp:simplePos x="0" y="0"/>
                <wp:positionH relativeFrom="page">
                  <wp:posOffset>4352290</wp:posOffset>
                </wp:positionH>
                <wp:positionV relativeFrom="page">
                  <wp:posOffset>7569200</wp:posOffset>
                </wp:positionV>
                <wp:extent cx="1465580" cy="170815"/>
                <wp:wrapNone/>
                <wp:docPr id="1563" name="1563"/>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96.00pt;z-index:-251109376;width:115.40pt;height:13.45pt;" id="1563"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37" locked="0" layoutInCell="1" allowOverlap="1">
                <wp:simplePos x="0" y="0"/>
                <wp:positionH relativeFrom="page">
                  <wp:posOffset>4878070</wp:posOffset>
                </wp:positionH>
                <wp:positionV relativeFrom="page">
                  <wp:posOffset>7751445</wp:posOffset>
                </wp:positionV>
                <wp:extent cx="944880" cy="170815"/>
                <wp:wrapNone/>
                <wp:docPr id="1564" name="1564"/>
                <wp:cNvGraphicFramePr/>
                <a:graphic>
                  <a:graphicData uri="http://schemas.microsoft.com/office/word/2010/wordprocessingShape">
                    <wps:wsp>
                      <wps:cNvSpPr/>
                      <wps:spPr>
                        <a:xfrm>
                          <a:off x="0" y="0"/>
                          <a:ext cx="9448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10.35pt;z-index:-251108352;width:74.40pt;height:13.45pt;" id="1564" coordsize="1488,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算成像及相关技</w:t>
      </w:r>
      <w:r>
        <w:rPr>
          <w:rFonts w:ascii="宋体" w:hAnsi="宋体" w:cs="宋体" w:eastAsia="宋体" w:hint="ascii"/>
          <w:sz w:val="18"/>
        </w:rPr>
        <w:t>术</w:t>
      </w:r>
    </w:p>
    <w:p>
      <w:pPr>
        <w:autoSpaceDE w:val="0"/>
        <w:autoSpaceDN w:val="0"/>
        <w:jc w:val="left"/>
        <w:spacing w:before="61"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与器</w:t>
      </w:r>
      <w:r>
        <w:rPr>
          <w:rFonts w:ascii="宋体" w:hAnsi="宋体" w:cs="宋体" w:eastAsia="宋体" w:hint="ascii"/>
          <w:sz w:val="18"/>
        </w:rPr>
        <w:t>件</w:t>
      </w:r>
      <w:r>
        <w:rPr>
          <w:rFonts w:ascii="宋体" w:hAnsi="宋体" w:cs="宋体" w:eastAsia="宋体" w:hint="ascii"/>
          <w:sz w:val="18"/>
        </w:rPr>
        <mc:AlternateContent>
          <mc:Choice Requires="wps">
            <w:drawing>
              <wp:anchor distL="0" distR="0" distT="0" distB="0" simplePos="0" behindDoc="1" relativeHeight="538" locked="0" layoutInCell="1" allowOverlap="1">
                <wp:simplePos x="0" y="0"/>
                <wp:positionH relativeFrom="page">
                  <wp:posOffset>4878070</wp:posOffset>
                </wp:positionH>
                <wp:positionV relativeFrom="page">
                  <wp:posOffset>7933055</wp:posOffset>
                </wp:positionV>
                <wp:extent cx="354330" cy="170815"/>
                <wp:wrapNone/>
                <wp:docPr id="1565" name="1565"/>
                <wp:cNvGraphicFramePr/>
                <a:graphic>
                  <a:graphicData uri="http://schemas.microsoft.com/office/word/2010/wordprocessingShape">
                    <wps:wsp>
                      <wps:cNvSpPr/>
                      <wps:spPr>
                        <a:xfrm>
                          <a:off x="0" y="0"/>
                          <a:ext cx="35433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24.65pt;z-index:-251107328;width:27.90pt;height:13.45pt;" id="1565" coordsize="558,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光子与光电子器件</w:t>
      </w:r>
      <w:r>
        <w:rPr>
          <w:rFonts w:ascii="宋体" w:hAnsi="宋体" w:cs="宋体" w:eastAsia="宋体" w:hint="ascii"/>
          <w:sz w:val="18"/>
        </w:rPr>
        <mc:AlternateContent>
          <mc:Choice Requires="wps">
            <w:drawing>
              <wp:anchor distL="0" distR="0" distT="0" distB="0" simplePos="0" behindDoc="1" relativeHeight="539" locked="0" layoutInCell="1" allowOverlap="1">
                <wp:simplePos x="0" y="0"/>
                <wp:positionH relativeFrom="page">
                  <wp:posOffset>3931920</wp:posOffset>
                </wp:positionH>
                <wp:positionV relativeFrom="page">
                  <wp:posOffset>8110220</wp:posOffset>
                </wp:positionV>
                <wp:extent cx="1327150" cy="167005"/>
                <wp:wrapNone/>
                <wp:docPr id="1566" name="1566"/>
                <wp:cNvGraphicFramePr/>
                <a:graphic>
                  <a:graphicData uri="http://schemas.microsoft.com/office/word/2010/wordprocessingShape">
                    <wps:wsp>
                      <wps:cNvSpPr/>
                      <wps:spPr>
                        <a:xfrm>
                          <a:off x="0" y="0"/>
                          <a:ext cx="13271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638.60pt;z-index:-251106304;width:104.50pt;height:13.15pt;" id="1566" coordsize="2090,263" stroked="f" fillcolor="#ffffff" opacity="0f">
                <v:stroke endcap="round"/>
                <v:fill opacity="0f"/>
                <w10:wrap anchorx="page" anchory="page" side="both"/>
              </v:rect>
            </w:pict>
          </mc:Fallback>
        </mc:AlternateContent>
      </w:r>
    </w:p>
    <w:p>
      <w:pPr>
        <w:autoSpaceDE w:val="0"/>
        <w:autoSpaceDN w:val="0"/>
        <w:jc w:val="both"/>
        <w:spacing w:before="68" w:after="0" w:lineRule="auto" w:line="313"/>
        <w:ind w:right="2038" w:left="1302" w:firstLine="0"/>
        <w:snapToGrid w:val="0"/>
        <w:textAlignment w:val="auto"/>
        <w:tabs/>
        <w:sectPr>
          <w:type w:val="continuous"/>
          <w:pgSz w:w="10940" w:h="15080" w:orient="portrait"/>
          <w:pgMar w:top="508" w:right="508" w:bottom="508" w:left="508" w:header="0" w:footer="0" w:gutter="0"/>
          <w:cols w:num="2" w:space="0" w:equalWidth="0">
            <w:col w:w="4744" w:space="300"/>
            <w:col w:w="488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spacing w:val="-1"/>
        </w:rPr>
        <w:t>F050201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有</w:t>
      </w:r>
      <w:r>
        <w:rPr>
          <w:rFonts w:ascii="宋体" w:hAnsi="宋体" w:cs="宋体" w:eastAsia="宋体" w:hint="ascii"/>
          <w:sz w:val="18"/>
        </w:rPr>
        <w:t>源器件</w:t>
      </w:r>
      <w:r>
        <w:rPr>
          <w:rFonts w:ascii="Times New Roman" w:hAnsi="Times New Roman" w:cs="Times New Roman" w:eastAsia="Times New Roman" w:hint="ascii"/>
          <w:sz w:val="18"/>
          <w:spacing w:val="-1"/>
        </w:rPr>
        <w:t>F050202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无</w:t>
      </w:r>
      <w:r>
        <w:rPr>
          <w:rFonts w:ascii="宋体" w:hAnsi="宋体" w:cs="宋体" w:eastAsia="宋体" w:hint="ascii"/>
          <w:sz w:val="18"/>
        </w:rPr>
        <w:t>源器件</w:t>
      </w:r>
      <w:r>
        <w:rPr>
          <w:rFonts w:ascii="宋体" w:hAnsi="宋体" w:cs="宋体" w:eastAsia="宋体" w:hint="ascii"/>
          <w:sz w:val="18"/>
        </w:rPr>
        <mc:AlternateContent>
          <mc:Choice Requires="wps">
            <w:drawing>
              <wp:anchor distL="0" distR="0" distT="0" distB="0" simplePos="0" behindDoc="1" relativeHeight="540" locked="0" layoutInCell="1" allowOverlap="1">
                <wp:simplePos x="0" y="0"/>
                <wp:positionH relativeFrom="page">
                  <wp:posOffset>4352290</wp:posOffset>
                </wp:positionH>
                <wp:positionV relativeFrom="page">
                  <wp:posOffset>8296275</wp:posOffset>
                </wp:positionV>
                <wp:extent cx="977900" cy="170815"/>
                <wp:wrapNone/>
                <wp:docPr id="1567" name="1567"/>
                <wp:cNvGraphicFramePr/>
                <a:graphic>
                  <a:graphicData uri="http://schemas.microsoft.com/office/word/2010/wordprocessingShape">
                    <wps:wsp>
                      <wps:cNvSpPr/>
                      <wps:spPr>
                        <a:xfrm>
                          <a:off x="0" y="0"/>
                          <a:ext cx="977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53.25pt;z-index:-251105280;width:77.00pt;height:13.45pt;" id="1567" coordsize="15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41" locked="0" layoutInCell="1" allowOverlap="1">
                <wp:simplePos x="0" y="0"/>
                <wp:positionH relativeFrom="page">
                  <wp:posOffset>4352290</wp:posOffset>
                </wp:positionH>
                <wp:positionV relativeFrom="page">
                  <wp:posOffset>8477885</wp:posOffset>
                </wp:positionV>
                <wp:extent cx="977900" cy="170815"/>
                <wp:wrapNone/>
                <wp:docPr id="1568" name="1568"/>
                <wp:cNvGraphicFramePr/>
                <a:graphic>
                  <a:graphicData uri="http://schemas.microsoft.com/office/word/2010/wordprocessingShape">
                    <wps:wsp>
                      <wps:cNvSpPr/>
                      <wps:spPr>
                        <a:xfrm>
                          <a:off x="0" y="0"/>
                          <a:ext cx="977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67.55pt;z-index:-251104256;width:77.00pt;height:13.45pt;" id="1568" coordsize="1540,269" stroked="f" fillcolor="#ffffff" opacity="0f">
                <v:stroke endcap="round"/>
                <v:fill opacity="0f"/>
                <w10:wrap anchorx="page" anchory="page" side="both"/>
              </v:rect>
            </w:pict>
          </mc:Fallback>
        </mc:AlternateContent>
      </w:r>
      <w:rPr>
        <w:rFonts w:ascii="宋体" w:hAnsi="宋体" w:cs="宋体" w:eastAsia="宋体" w:hint="ascii"/>
        <w:sz w:val="18"/>
      </w:rPr>
    </w:p>
    <w:p>
      <w:pPr>
        <w:autoSpaceDE w:val="0"/>
        <w:autoSpaceDN w:val="0"/>
        <w:jc w:val="left"/>
        <w:spacing w:before="272"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功能集成器件</w:t>
      </w:r>
      <w:r>
        <w:rPr>
          <w:rFonts w:ascii="Times New Roman" w:hAnsi="Times New Roman" w:cs="Times New Roman" w:eastAsia="Times New Roman" w:hint="ascii"/>
          <w:sz w:val="18"/>
        </w:rPr>
        <w:t>F050204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w:t>
      </w:r>
      <w:r>
        <w:rPr>
          <w:rFonts w:ascii="Times New Roman" w:hAnsi="Times New Roman" w:cs="Times New Roman" w:eastAsia="Times New Roman" w:hint="ascii"/>
          <w:sz w:val="18"/>
        </w:rPr>
        <w:t>/</w:t>
      </w:r>
      <w:r>
        <w:rPr>
          <w:rFonts w:ascii="宋体" w:hAnsi="宋体" w:cs="宋体" w:eastAsia="宋体" w:hint="ascii"/>
          <w:sz w:val="18"/>
        </w:rPr>
        <w:t>聚合物光电子</w:t>
      </w:r>
      <w:r>
        <w:rPr>
          <w:rFonts w:ascii="宋体" w:hAnsi="宋体" w:cs="宋体" w:eastAsia="宋体" w:hint="ascii"/>
          <w:sz w:val="18"/>
        </w:rPr>
        <mc:AlternateContent>
          <mc:Choice Requires="wps">
            <w:drawing>
              <wp:anchor distL="0" distR="0" distT="0" distB="0" simplePos="0" behindDoc="1" relativeHeight="542" locked="0" layoutInCell="1" allowOverlap="1">
                <wp:simplePos x="0" y="0"/>
                <wp:positionH relativeFrom="page">
                  <wp:posOffset>938530</wp:posOffset>
                </wp:positionH>
                <wp:positionV relativeFrom="page">
                  <wp:posOffset>805815</wp:posOffset>
                </wp:positionV>
                <wp:extent cx="5076190" cy="0"/>
                <wp:wrapNone/>
                <wp:docPr id="1569" name="156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1103232;width:399.70pt;" id="1569"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18"/>
        </w:rPr>
        <mc:AlternateContent>
          <mc:Choice Requires="wps">
            <w:drawing>
              <wp:anchor distL="0" distR="0" distT="0" distB="0" simplePos="0" behindDoc="1" relativeHeight="543" locked="0" layoutInCell="1" allowOverlap="1">
                <wp:simplePos x="0" y="0"/>
                <wp:positionH relativeFrom="page">
                  <wp:posOffset>1762760</wp:posOffset>
                </wp:positionH>
                <wp:positionV relativeFrom="page">
                  <wp:posOffset>975995</wp:posOffset>
                </wp:positionV>
                <wp:extent cx="1206500" cy="170815"/>
                <wp:wrapNone/>
                <wp:docPr id="1570" name="1570"/>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76.85pt;z-index:-251102208;width:95.00pt;height:13.45pt;" id="1570"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44" locked="0" layoutInCell="1" allowOverlap="1">
                <wp:simplePos x="0" y="0"/>
                <wp:positionH relativeFrom="page">
                  <wp:posOffset>1762760</wp:posOffset>
                </wp:positionH>
                <wp:positionV relativeFrom="page">
                  <wp:posOffset>1156970</wp:posOffset>
                </wp:positionV>
                <wp:extent cx="1466850" cy="170815"/>
                <wp:wrapNone/>
                <wp:docPr id="1571" name="1571"/>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91.10pt;z-index:-251101184;width:115.50pt;height:13.45pt;" id="1571" coordsize="231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45" locked="0" layoutInCell="1" allowOverlap="1">
                <wp:simplePos x="0" y="0"/>
                <wp:positionH relativeFrom="page">
                  <wp:posOffset>2288540</wp:posOffset>
                </wp:positionH>
                <wp:positionV relativeFrom="page">
                  <wp:posOffset>1339215</wp:posOffset>
                </wp:positionV>
                <wp:extent cx="800100" cy="170815"/>
                <wp:wrapNone/>
                <wp:docPr id="1572" name="1572"/>
                <wp:cNvGraphicFramePr/>
                <a:graphic>
                  <a:graphicData uri="http://schemas.microsoft.com/office/word/2010/wordprocessingShape">
                    <wps:wsp>
                      <wps:cNvSpPr/>
                      <wps:spPr>
                        <a:xfrm>
                          <a:off x="0" y="0"/>
                          <a:ext cx="800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05.45pt;z-index:-251100160;width:63.00pt;height:13.45pt;" id="1572" coordsize="126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器件与光子器件</w: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光探测材料与器件</w:t>
      </w:r>
      <w:r>
        <w:rPr>
          <w:rFonts w:ascii="Times New Roman" w:hAnsi="Times New Roman" w:cs="Times New Roman" w:eastAsia="Times New Roman" w:hint="ascii"/>
          <w:sz w:val="18"/>
        </w:rPr>
        <w:t>F050206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紫外及更短波长光电</w:t>
      </w:r>
      <w:r>
        <w:rPr>
          <w:rFonts w:ascii="宋体" w:hAnsi="宋体" w:cs="宋体" w:eastAsia="宋体" w:hint="ascii"/>
          <w:sz w:val="18"/>
        </w:rPr>
        <mc:AlternateContent>
          <mc:Choice Requires="wps">
            <w:drawing>
              <wp:anchor distL="0" distR="0" distT="0" distB="0" simplePos="0" behindDoc="1" relativeHeight="546" locked="0" layoutInCell="1" allowOverlap="1">
                <wp:simplePos x="0" y="0"/>
                <wp:positionH relativeFrom="page">
                  <wp:posOffset>1762760</wp:posOffset>
                </wp:positionH>
                <wp:positionV relativeFrom="page">
                  <wp:posOffset>1520825</wp:posOffset>
                </wp:positionV>
                <wp:extent cx="1435100" cy="170815"/>
                <wp:wrapNone/>
                <wp:docPr id="1573" name="1573"/>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19.75pt;z-index:-251099136;width:113.00pt;height:13.45pt;" id="1573"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47" locked="0" layoutInCell="1" allowOverlap="1">
                <wp:simplePos x="0" y="0"/>
                <wp:positionH relativeFrom="page">
                  <wp:posOffset>1762760</wp:posOffset>
                </wp:positionH>
                <wp:positionV relativeFrom="page">
                  <wp:posOffset>1701800</wp:posOffset>
                </wp:positionV>
                <wp:extent cx="1549400" cy="170815"/>
                <wp:wrapNone/>
                <wp:docPr id="1574" name="1574"/>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34.00pt;z-index:-251098112;width:122.00pt;height:13.45pt;" id="1574"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48" locked="0" layoutInCell="1" allowOverlap="1">
                <wp:simplePos x="0" y="0"/>
                <wp:positionH relativeFrom="page">
                  <wp:posOffset>2288540</wp:posOffset>
                </wp:positionH>
                <wp:positionV relativeFrom="page">
                  <wp:posOffset>1884045</wp:posOffset>
                </wp:positionV>
                <wp:extent cx="571500" cy="170815"/>
                <wp:wrapNone/>
                <wp:docPr id="1575" name="1575"/>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48.35pt;z-index:-251097088;width:45.00pt;height:13.45pt;" id="1575" coordsize="90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材料与器件</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光子晶体、超构材料</w:t>
      </w:r>
      <w:r>
        <w:rPr>
          <w:rFonts w:ascii="宋体" w:hAnsi="宋体" w:cs="宋体" w:eastAsia="宋体" w:hint="ascii"/>
          <w:sz w:val="18"/>
        </w:rPr>
        <mc:AlternateContent>
          <mc:Choice Requires="wps">
            <w:drawing>
              <wp:anchor distL="0" distR="0" distT="0" distB="0" simplePos="0" behindDoc="1" relativeHeight="549" locked="0" layoutInCell="1" allowOverlap="1">
                <wp:simplePos x="0" y="0"/>
                <wp:positionH relativeFrom="page">
                  <wp:posOffset>1762760</wp:posOffset>
                </wp:positionH>
                <wp:positionV relativeFrom="page">
                  <wp:posOffset>2065655</wp:posOffset>
                </wp:positionV>
                <wp:extent cx="1549400" cy="170815"/>
                <wp:wrapNone/>
                <wp:docPr id="1576" name="157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62.65pt;z-index:-251096064;width:122.00pt;height:13.45pt;" id="1576"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及器件</w:t>
      </w:r>
      <w:r>
        <w:rPr>
          <w:rFonts w:ascii="宋体" w:hAnsi="宋体" w:cs="宋体" w:eastAsia="宋体" w:hint="ascii"/>
          <w:sz w:val="18"/>
        </w:rPr>
        <mc:AlternateContent>
          <mc:Choice Requires="wps">
            <w:drawing>
              <wp:anchor distL="0" distR="0" distT="0" distB="0" simplePos="0" behindDoc="1" relativeHeight="550" locked="0" layoutInCell="1" allowOverlap="1">
                <wp:simplePos x="0" y="0"/>
                <wp:positionH relativeFrom="page">
                  <wp:posOffset>2288540</wp:posOffset>
                </wp:positionH>
                <wp:positionV relativeFrom="page">
                  <wp:posOffset>2246630</wp:posOffset>
                </wp:positionV>
                <wp:extent cx="342900" cy="170815"/>
                <wp:wrapNone/>
                <wp:docPr id="1577" name="1577"/>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76.90pt;z-index:-251095040;width:27.00pt;height:13.45pt;" id="1577" coordsize="540,269" stroked="f" fillcolor="#ffffff" opacity="0f">
                <v:stroke endcap="round"/>
                <v:fill opacity="0f"/>
                <w10:wrap anchorx="page" anchory="page" side="both"/>
              </v:rect>
            </w:pict>
          </mc:Fallback>
        </mc:AlternateContent>
      </w:r>
    </w:p>
    <w:p>
      <w:pPr>
        <w:autoSpaceDE w:val="0"/>
        <w:autoSpaceDN w:val="0"/>
        <w:jc w:val="left"/>
        <w:spacing w:before="62" w:after="0" w:lineRule="auto" w:line="313"/>
        <w:ind w:right="154"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有源</w:t>
      </w:r>
      <w:r>
        <w:rPr>
          <w:rFonts w:ascii="Times New Roman" w:hAnsi="Times New Roman" w:cs="Times New Roman" w:eastAsia="Times New Roman" w:hint="ascii"/>
          <w:sz w:val="18"/>
        </w:rPr>
        <w:t>/</w:t>
      </w:r>
      <w:r>
        <w:rPr>
          <w:rFonts w:ascii="宋体" w:hAnsi="宋体" w:cs="宋体" w:eastAsia="宋体" w:hint="ascii"/>
          <w:sz w:val="18"/>
        </w:rPr>
        <w:t>无源光纤器件</w:t>
      </w:r>
      <w:r>
        <w:rPr>
          <w:rFonts w:ascii="Times New Roman" w:hAnsi="Times New Roman" w:cs="Times New Roman" w:eastAsia="Times New Roman" w:hint="ascii"/>
          <w:sz w:val="18"/>
        </w:rPr>
        <w:t>F050209</w:t>
      </w:r>
      <w:r>
        <w:rPr>
          <w:rFonts w:ascii="Times New Roman" w:hAnsi="Times New Roman" w:cs="Times New Roman" w:eastAsia="Times New Roman" w:hint="ascii"/>
          <w:sz w:val="18"/>
          <w:spacing w:val="45"/>
        </w:rPr>
        <w:t xml:space="preserve"> </w:t>
      </w:r>
      <w:r>
        <w:rPr>
          <w:rFonts w:ascii="宋体" w:hAnsi="宋体" w:cs="宋体" w:eastAsia="宋体" w:hint="ascii"/>
          <w:sz w:val="18"/>
        </w:rPr>
        <w:t>发光器件与光源</w:t>
      </w:r>
      <w:r>
        <w:rPr>
          <w:rFonts w:ascii="Times New Roman" w:hAnsi="Times New Roman" w:cs="Times New Roman" w:eastAsia="Times New Roman" w:hint="ascii"/>
          <w:sz w:val="18"/>
        </w:rPr>
        <w:t>F050210</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微纳光电子器件</w:t>
      </w:r>
      <w:r>
        <w:rPr>
          <w:rFonts w:ascii="Times New Roman" w:hAnsi="Times New Roman" w:cs="Times New Roman" w:eastAsia="Times New Roman" w:hint="ascii"/>
          <w:sz w:val="18"/>
        </w:rPr>
        <w:t>F0502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光波导器件</w:t>
      </w:r>
      <w:r>
        <w:rPr>
          <w:rFonts w:ascii="Times New Roman" w:hAnsi="Times New Roman" w:cs="Times New Roman" w:eastAsia="Times New Roman" w:hint="ascii"/>
          <w:sz w:val="18"/>
        </w:rPr>
        <w:t>F050212</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微波光子器件</w:t>
      </w:r>
      <w:r>
        <w:rPr>
          <w:rFonts w:ascii="Times New Roman" w:hAnsi="Times New Roman" w:cs="Times New Roman" w:eastAsia="Times New Roman" w:hint="ascii"/>
          <w:sz w:val="18"/>
        </w:rPr>
        <w:t>F050213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柔性光电子技术</w:t>
      </w:r>
      <w:r>
        <w:rPr>
          <w:rFonts w:ascii="宋体" w:hAnsi="宋体" w:cs="宋体" w:eastAsia="宋体" w:hint="ascii"/>
          <w:sz w:val="18"/>
        </w:rPr>
        <w:t>及</w:t>
      </w:r>
      <w:r>
        <w:rPr>
          <w:rFonts w:ascii="宋体" w:hAnsi="宋体" w:cs="宋体" w:eastAsia="宋体" w:hint="ascii"/>
          <w:sz w:val="18"/>
        </w:rPr>
        <mc:AlternateContent>
          <mc:Choice Requires="wps">
            <w:drawing>
              <wp:anchor distL="0" distR="0" distT="0" distB="0" simplePos="0" behindDoc="1" relativeHeight="551" locked="0" layoutInCell="1" allowOverlap="1">
                <wp:simplePos x="0" y="0"/>
                <wp:positionH relativeFrom="page">
                  <wp:posOffset>1762760</wp:posOffset>
                </wp:positionH>
                <wp:positionV relativeFrom="page">
                  <wp:posOffset>2428875</wp:posOffset>
                </wp:positionV>
                <wp:extent cx="1466850" cy="170815"/>
                <wp:wrapNone/>
                <wp:docPr id="1578" name="1578"/>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91.25pt;z-index:-251094016;width:115.50pt;height:13.45pt;" id="1578" coordsize="231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52" locked="0" layoutInCell="1" allowOverlap="1">
                <wp:simplePos x="0" y="0"/>
                <wp:positionH relativeFrom="page">
                  <wp:posOffset>1762760</wp:posOffset>
                </wp:positionH>
                <wp:positionV relativeFrom="page">
                  <wp:posOffset>2610485</wp:posOffset>
                </wp:positionV>
                <wp:extent cx="1320800" cy="170815"/>
                <wp:wrapNone/>
                <wp:docPr id="1579" name="1579"/>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05.55pt;z-index:-251092992;width:104.00pt;height:13.45pt;" id="1579"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53" locked="0" layoutInCell="1" allowOverlap="1">
                <wp:simplePos x="0" y="0"/>
                <wp:positionH relativeFrom="page">
                  <wp:posOffset>1762760</wp:posOffset>
                </wp:positionH>
                <wp:positionV relativeFrom="page">
                  <wp:posOffset>2791460</wp:posOffset>
                </wp:positionV>
                <wp:extent cx="1377950" cy="170815"/>
                <wp:wrapNone/>
                <wp:docPr id="1580" name="1580"/>
                <wp:cNvGraphicFramePr/>
                <a:graphic>
                  <a:graphicData uri="http://schemas.microsoft.com/office/word/2010/wordprocessingShape">
                    <wps:wsp>
                      <wps:cNvSpPr/>
                      <wps:spPr>
                        <a:xfrm>
                          <a:off x="0" y="0"/>
                          <a:ext cx="13779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19.80pt;z-index:-251091968;width:108.50pt;height:13.45pt;" id="1580" coordsize="217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54" locked="0" layoutInCell="1" allowOverlap="1">
                <wp:simplePos x="0" y="0"/>
                <wp:positionH relativeFrom="page">
                  <wp:posOffset>1762760</wp:posOffset>
                </wp:positionH>
                <wp:positionV relativeFrom="page">
                  <wp:posOffset>2973705</wp:posOffset>
                </wp:positionV>
                <wp:extent cx="1088390" cy="170815"/>
                <wp:wrapNone/>
                <wp:docPr id="1581" name="1581"/>
                <wp:cNvGraphicFramePr/>
                <a:graphic>
                  <a:graphicData uri="http://schemas.microsoft.com/office/word/2010/wordprocessingShape">
                    <wps:wsp>
                      <wps:cNvSpPr/>
                      <wps:spPr>
                        <a:xfrm>
                          <a:off x="0" y="0"/>
                          <a:ext cx="10883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34.15pt;z-index:-251090944;width:85.70pt;height:13.45pt;" id="1581" coordsize="171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55" locked="0" layoutInCell="1" allowOverlap="1">
                <wp:simplePos x="0" y="0"/>
                <wp:positionH relativeFrom="page">
                  <wp:posOffset>1762760</wp:posOffset>
                </wp:positionH>
                <wp:positionV relativeFrom="page">
                  <wp:posOffset>3155315</wp:posOffset>
                </wp:positionV>
                <wp:extent cx="1206500" cy="170815"/>
                <wp:wrapNone/>
                <wp:docPr id="1582" name="1582"/>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48.45pt;z-index:-251089920;width:95.00pt;height:13.45pt;" id="1582"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56" locked="0" layoutInCell="1" allowOverlap="1">
                <wp:simplePos x="0" y="0"/>
                <wp:positionH relativeFrom="page">
                  <wp:posOffset>1762760</wp:posOffset>
                </wp:positionH>
                <wp:positionV relativeFrom="page">
                  <wp:posOffset>3336290</wp:posOffset>
                </wp:positionV>
                <wp:extent cx="1465580" cy="170815"/>
                <wp:wrapNone/>
                <wp:docPr id="1583" name="1583"/>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62.70pt;z-index:-251088896;width:115.40pt;height:13.45pt;" id="1583"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57" locked="0" layoutInCell="1" allowOverlap="1">
                <wp:simplePos x="0" y="0"/>
                <wp:positionH relativeFrom="page">
                  <wp:posOffset>2288540</wp:posOffset>
                </wp:positionH>
                <wp:positionV relativeFrom="page">
                  <wp:posOffset>3518535</wp:posOffset>
                </wp:positionV>
                <wp:extent cx="236220" cy="170815"/>
                <wp:wrapNone/>
                <wp:docPr id="1584" name="1584"/>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77.05pt;z-index:-251087872;width:18.60pt;height:13.45pt;" id="1584" coordsize="372,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器</w:t>
      </w:r>
      <w:r>
        <w:rPr>
          <w:rFonts w:ascii="宋体" w:hAnsi="宋体" w:cs="宋体" w:eastAsia="宋体" w:hint="ascii"/>
          <w:sz w:val="18"/>
        </w:rPr>
        <w:t>件</w:t>
      </w:r>
    </w:p>
    <w:p>
      <w:pPr>
        <w:autoSpaceDE w:val="0"/>
        <w:autoSpaceDN w:val="0"/>
        <w:jc w:val="both"/>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F050214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等</w:t>
      </w:r>
      <w:r>
        <w:rPr>
          <w:rFonts w:ascii="宋体" w:hAnsi="宋体" w:cs="宋体" w:eastAsia="宋体" w:hint="ascii"/>
          <w:sz w:val="18"/>
          <w:spacing w:val="-8"/>
        </w:rPr>
        <w:t>离子体光子学及器</w:t>
      </w:r>
      <w:r>
        <w:rPr>
          <w:rFonts w:ascii="宋体" w:hAnsi="宋体" w:cs="宋体" w:eastAsia="宋体" w:hint="ascii"/>
          <w:sz w:val="18"/>
        </w:rPr>
        <w:t>件</w:t>
      </w:r>
      <w:r>
        <w:rPr>
          <w:rFonts w:ascii="Times New Roman" w:hAnsi="Times New Roman" w:cs="Times New Roman" w:eastAsia="Times New Roman" w:hint="ascii"/>
          <w:sz w:val="18"/>
        </w:rPr>
        <w:t>F050215</w:t>
      </w:r>
      <w:r>
        <w:rPr>
          <w:rFonts w:ascii="Times New Roman" w:hAnsi="Times New Roman" w:cs="Times New Roman" w:eastAsia="Times New Roman" w:hint="ascii"/>
          <w:sz w:val="18"/>
          <w:spacing w:val="45"/>
        </w:rPr>
        <w:t xml:space="preserve"> </w:t>
      </w:r>
      <w:r>
        <w:rPr>
          <w:rFonts w:ascii="宋体" w:hAnsi="宋体" w:cs="宋体" w:eastAsia="宋体" w:hint="ascii"/>
          <w:sz w:val="18"/>
        </w:rPr>
        <w:t>太赫兹器件</w:t>
      </w:r>
      <w:r>
        <w:rPr>
          <w:rFonts w:ascii="宋体" w:hAnsi="宋体" w:cs="宋体" w:eastAsia="宋体" w:hint="ascii"/>
          <w:sz w:val="18"/>
        </w:rPr>
        <mc:AlternateContent>
          <mc:Choice Requires="wps">
            <w:drawing>
              <wp:anchor distL="0" distR="0" distT="0" distB="0" simplePos="0" behindDoc="1" relativeHeight="558" locked="0" layoutInCell="1" allowOverlap="1">
                <wp:simplePos x="0" y="0"/>
                <wp:positionH relativeFrom="page">
                  <wp:posOffset>1762760</wp:posOffset>
                </wp:positionH>
                <wp:positionV relativeFrom="page">
                  <wp:posOffset>3700145</wp:posOffset>
                </wp:positionV>
                <wp:extent cx="1562735" cy="170815"/>
                <wp:wrapNone/>
                <wp:docPr id="1585" name="1585"/>
                <wp:cNvGraphicFramePr/>
                <a:graphic>
                  <a:graphicData uri="http://schemas.microsoft.com/office/word/2010/wordprocessingShape">
                    <wps:wsp>
                      <wps:cNvSpPr/>
                      <wps:spPr>
                        <a:xfrm>
                          <a:off x="0" y="0"/>
                          <a:ext cx="15627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91.35pt;z-index:-251086848;width:123.05pt;height:13.45pt;" id="1585" coordsize="246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59" locked="0" layoutInCell="1" allowOverlap="1">
                <wp:simplePos x="0" y="0"/>
                <wp:positionH relativeFrom="page">
                  <wp:posOffset>1762760</wp:posOffset>
                </wp:positionH>
                <wp:positionV relativeFrom="page">
                  <wp:posOffset>3881120</wp:posOffset>
                </wp:positionV>
                <wp:extent cx="1092200" cy="170815"/>
                <wp:wrapNone/>
                <wp:docPr id="1586" name="1586"/>
                <wp:cNvGraphicFramePr/>
                <a:graphic>
                  <a:graphicData uri="http://schemas.microsoft.com/office/word/2010/wordprocessingShape">
                    <wps:wsp>
                      <wps:cNvSpPr/>
                      <wps:spPr>
                        <a:xfrm>
                          <a:off x="0" y="0"/>
                          <a:ext cx="1092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05.60pt;z-index:-251085824;width:86.00pt;height:13.45pt;" id="1586" coordsize="172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60" locked="0" layoutInCell="1" allowOverlap="1">
                <wp:simplePos x="0" y="0"/>
                <wp:positionH relativeFrom="page">
                  <wp:posOffset>1762760</wp:posOffset>
                </wp:positionH>
                <wp:positionV relativeFrom="page">
                  <wp:posOffset>4063365</wp:posOffset>
                </wp:positionV>
                <wp:extent cx="1320800" cy="170815"/>
                <wp:wrapNone/>
                <wp:docPr id="1587" name="1587"/>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19.95pt;z-index:-251084800;width:104.00pt;height:13.45pt;" id="1587" coordsize="2080,269" stroked="f" fillcolor="#ffffff" opacity="0f">
                <v:stroke endcap="round"/>
                <v:fill opacity="0f"/>
                <w10:wrap anchorx="page" anchory="page" side="both"/>
              </v:rect>
            </w:pict>
          </mc:Fallback>
        </mc:AlternateContent>
      </w:r>
    </w:p>
    <w:p>
      <w:pPr>
        <w:autoSpaceDE w:val="0"/>
        <w:autoSpaceDN w:val="0"/>
        <w:jc w:val="left"/>
        <w:spacing w:before="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F050216</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新型光电子器件</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传输与交换光子学</w:t>
      </w:r>
      <w:r>
        <w:rPr>
          <w:rFonts w:ascii="宋体" w:hAnsi="宋体" w:cs="宋体" w:eastAsia="宋体" w:hint="ascii"/>
          <w:sz w:val="18"/>
        </w:rPr>
        <mc:AlternateContent>
          <mc:Choice Requires="wps">
            <w:drawing>
              <wp:anchor distL="0" distR="0" distT="0" distB="0" simplePos="0" behindDoc="1" relativeHeight="561" locked="0" layoutInCell="1" allowOverlap="1">
                <wp:simplePos x="0" y="0"/>
                <wp:positionH relativeFrom="page">
                  <wp:posOffset>1341755</wp:posOffset>
                </wp:positionH>
                <wp:positionV relativeFrom="page">
                  <wp:posOffset>4241165</wp:posOffset>
                </wp:positionV>
                <wp:extent cx="1327150" cy="167005"/>
                <wp:wrapNone/>
                <wp:docPr id="1588" name="1588"/>
                <wp:cNvGraphicFramePr/>
                <a:graphic>
                  <a:graphicData uri="http://schemas.microsoft.com/office/word/2010/wordprocessingShape">
                    <wps:wsp>
                      <wps:cNvSpPr/>
                      <wps:spPr>
                        <a:xfrm>
                          <a:off x="0" y="0"/>
                          <a:ext cx="13271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333.95pt;z-index:-251083776;width:104.50pt;height:13.15pt;" id="1588" coordsize="2090,263"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F050301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导波光学与光信</w:t>
      </w:r>
      <w:r>
        <w:rPr>
          <w:rFonts w:ascii="宋体" w:hAnsi="宋体" w:cs="宋体" w:eastAsia="宋体" w:hint="ascii"/>
          <w:sz w:val="18"/>
        </w:rPr>
        <w:t>息</w:t>
      </w:r>
      <w:r>
        <w:rPr>
          <w:rFonts w:ascii="宋体" w:hAnsi="宋体" w:cs="宋体" w:eastAsia="宋体" w:hint="ascii"/>
          <w:sz w:val="18"/>
        </w:rPr>
        <mc:AlternateContent>
          <mc:Choice Requires="wps">
            <w:drawing>
              <wp:anchor distL="0" distR="0" distT="0" distB="0" simplePos="0" behindDoc="1" relativeHeight="562" locked="0" layoutInCell="1" allowOverlap="1">
                <wp:simplePos x="0" y="0"/>
                <wp:positionH relativeFrom="page">
                  <wp:posOffset>1762760</wp:posOffset>
                </wp:positionH>
                <wp:positionV relativeFrom="page">
                  <wp:posOffset>4425950</wp:posOffset>
                </wp:positionV>
                <wp:extent cx="1465580" cy="170815"/>
                <wp:wrapNone/>
                <wp:docPr id="1589" name="1589"/>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48.50pt;z-index:-251082752;width:115.40pt;height:13.45pt;" id="1589" coordsize="2308,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传</w:t>
      </w:r>
      <w:r>
        <w:rPr>
          <w:rFonts w:ascii="宋体" w:hAnsi="宋体" w:cs="宋体" w:eastAsia="宋体" w:hint="ascii"/>
          <w:sz w:val="18"/>
        </w:rPr>
        <w:t>输</w:t>
      </w:r>
      <w:r>
        <w:rPr>
          <w:rFonts w:ascii="宋体" w:hAnsi="宋体" w:cs="宋体" w:eastAsia="宋体" w:hint="ascii"/>
          <w:sz w:val="18"/>
        </w:rPr>
        <mc:AlternateContent>
          <mc:Choice Requires="wps">
            <w:drawing>
              <wp:anchor distL="0" distR="0" distT="0" distB="0" simplePos="0" behindDoc="1" relativeHeight="563" locked="0" layoutInCell="1" allowOverlap="1">
                <wp:simplePos x="0" y="0"/>
                <wp:positionH relativeFrom="page">
                  <wp:posOffset>2288540</wp:posOffset>
                </wp:positionH>
                <wp:positionV relativeFrom="page">
                  <wp:posOffset>4608195</wp:posOffset>
                </wp:positionV>
                <wp:extent cx="236220" cy="170815"/>
                <wp:wrapNone/>
                <wp:docPr id="1590" name="1590"/>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62.85pt;z-index:-251081728;width:18.60pt;height:13.45pt;" id="1590"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光通信与光网络关键</w:t>
      </w:r>
      <w:r>
        <w:rPr>
          <w:rFonts w:ascii="宋体" w:hAnsi="宋体" w:cs="宋体" w:eastAsia="宋体" w:hint="ascii"/>
          <w:sz w:val="18"/>
        </w:rPr>
        <mc:AlternateContent>
          <mc:Choice Requires="wps">
            <w:drawing>
              <wp:anchor distL="0" distR="0" distT="0" distB="0" simplePos="0" behindDoc="1" relativeHeight="564" locked="0" layoutInCell="1" allowOverlap="1">
                <wp:simplePos x="0" y="0"/>
                <wp:positionH relativeFrom="page">
                  <wp:posOffset>1762760</wp:posOffset>
                </wp:positionH>
                <wp:positionV relativeFrom="page">
                  <wp:posOffset>4789805</wp:posOffset>
                </wp:positionV>
                <wp:extent cx="1549400" cy="170815"/>
                <wp:wrapNone/>
                <wp:docPr id="1591" name="159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77.15pt;z-index:-251080704;width:122.00pt;height:13.45pt;" id="1591"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技术与器件</w:t>
      </w:r>
      <w:r>
        <w:rPr>
          <w:rFonts w:ascii="宋体" w:hAnsi="宋体" w:cs="宋体" w:eastAsia="宋体" w:hint="ascii"/>
          <w:sz w:val="18"/>
        </w:rPr>
        <mc:AlternateContent>
          <mc:Choice Requires="wps">
            <w:drawing>
              <wp:anchor distL="0" distR="0" distT="0" distB="0" simplePos="0" behindDoc="1" relativeHeight="565" locked="0" layoutInCell="1" allowOverlap="1">
                <wp:simplePos x="0" y="0"/>
                <wp:positionH relativeFrom="page">
                  <wp:posOffset>2288540</wp:posOffset>
                </wp:positionH>
                <wp:positionV relativeFrom="page">
                  <wp:posOffset>4970780</wp:posOffset>
                </wp:positionV>
                <wp:extent cx="628650" cy="170815"/>
                <wp:wrapNone/>
                <wp:docPr id="1592" name="1592"/>
                <wp:cNvGraphicFramePr/>
                <a:graphic>
                  <a:graphicData uri="http://schemas.microsoft.com/office/word/2010/wordprocessingShape">
                    <wps:wsp>
                      <wps:cNvSpPr/>
                      <wps:spPr>
                        <a:xfrm>
                          <a:off x="0" y="0"/>
                          <a:ext cx="6286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91.40pt;z-index:-251079680;width:49.50pt;height:13.45pt;" id="1592" coordsize="99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空间光传播与通信关</w:t>
      </w:r>
      <w:r>
        <w:rPr>
          <w:rFonts w:ascii="宋体" w:hAnsi="宋体" w:cs="宋体" w:eastAsia="宋体" w:hint="ascii"/>
          <w:sz w:val="18"/>
        </w:rPr>
        <mc:AlternateContent>
          <mc:Choice Requires="wps">
            <w:drawing>
              <wp:anchor distL="0" distR="0" distT="0" distB="0" simplePos="0" behindDoc="1" relativeHeight="566" locked="0" layoutInCell="1" allowOverlap="1">
                <wp:simplePos x="0" y="0"/>
                <wp:positionH relativeFrom="page">
                  <wp:posOffset>1762760</wp:posOffset>
                </wp:positionH>
                <wp:positionV relativeFrom="page">
                  <wp:posOffset>5153025</wp:posOffset>
                </wp:positionV>
                <wp:extent cx="1549400" cy="170815"/>
                <wp:wrapNone/>
                <wp:docPr id="1593" name="159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05.75pt;z-index:-251078656;width:122.00pt;height:13.45pt;" id="1593"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键技术</w:t>
      </w:r>
      <w:r>
        <w:rPr>
          <w:rFonts w:ascii="宋体" w:hAnsi="宋体" w:cs="宋体" w:eastAsia="宋体" w:hint="ascii"/>
          <w:sz w:val="18"/>
        </w:rPr>
        <mc:AlternateContent>
          <mc:Choice Requires="wps">
            <w:drawing>
              <wp:anchor distL="0" distR="0" distT="0" distB="0" simplePos="0" behindDoc="1" relativeHeight="567" locked="0" layoutInCell="1" allowOverlap="1">
                <wp:simplePos x="0" y="0"/>
                <wp:positionH relativeFrom="page">
                  <wp:posOffset>2288540</wp:posOffset>
                </wp:positionH>
                <wp:positionV relativeFrom="page">
                  <wp:posOffset>5334635</wp:posOffset>
                </wp:positionV>
                <wp:extent cx="342900" cy="170815"/>
                <wp:wrapNone/>
                <wp:docPr id="1594" name="1594"/>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420.05pt;z-index:-251077632;width:27.00pt;height:13.45pt;" id="1594"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F050304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光学与光纤传感材</w:t>
      </w:r>
      <w:r>
        <w:rPr>
          <w:rFonts w:ascii="宋体" w:hAnsi="宋体" w:cs="宋体" w:eastAsia="宋体" w:hint="ascii"/>
          <w:sz w:val="18"/>
        </w:rPr>
        <mc:AlternateContent>
          <mc:Choice Requires="wps">
            <w:drawing>
              <wp:anchor distL="0" distR="0" distT="0" distB="0" simplePos="0" behindDoc="1" relativeHeight="568" locked="0" layoutInCell="1" allowOverlap="1">
                <wp:simplePos x="0" y="0"/>
                <wp:positionH relativeFrom="page">
                  <wp:posOffset>1762760</wp:posOffset>
                </wp:positionH>
                <wp:positionV relativeFrom="page">
                  <wp:posOffset>5515610</wp:posOffset>
                </wp:positionV>
                <wp:extent cx="1435100" cy="170815"/>
                <wp:wrapNone/>
                <wp:docPr id="1595" name="1595"/>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34.30pt;z-index:-251076608;width:113.00pt;height:13.45pt;" id="1595" coordsize="226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料、器件及技术</w:t>
      </w:r>
      <w:r>
        <w:rPr>
          <w:rFonts w:ascii="宋体" w:hAnsi="宋体" w:cs="宋体" w:eastAsia="宋体" w:hint="ascii"/>
          <w:sz w:val="18"/>
        </w:rPr>
        <mc:AlternateContent>
          <mc:Choice Requires="wps">
            <w:drawing>
              <wp:anchor distL="0" distR="0" distT="0" distB="0" simplePos="0" behindDoc="1" relativeHeight="569" locked="0" layoutInCell="1" allowOverlap="1">
                <wp:simplePos x="0" y="0"/>
                <wp:positionH relativeFrom="page">
                  <wp:posOffset>2288540</wp:posOffset>
                </wp:positionH>
                <wp:positionV relativeFrom="page">
                  <wp:posOffset>5697855</wp:posOffset>
                </wp:positionV>
                <wp:extent cx="800100" cy="170815"/>
                <wp:wrapNone/>
                <wp:docPr id="1596" name="1596"/>
                <wp:cNvGraphicFramePr/>
                <a:graphic>
                  <a:graphicData uri="http://schemas.microsoft.com/office/word/2010/wordprocessingShape">
                    <wps:wsp>
                      <wps:cNvSpPr/>
                      <wps:spPr>
                        <a:xfrm>
                          <a:off x="0" y="0"/>
                          <a:ext cx="800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448.65pt;z-index:-251075584;width:63.00pt;height:13.45pt;" id="1596" coordsize="1260,269" stroked="f" fillcolor="#ffffff" opacity="0f">
                <v:stroke endcap="round"/>
                <v:fill opacity="0f"/>
                <w10:wrap anchorx="page" anchory="page" side="both"/>
              </v:rect>
            </w:pict>
          </mc:Fallback>
        </mc:AlternateConten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F050305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光纤材料及特种光纤</w:t>
      </w:r>
      <w:r>
        <w:rPr>
          <w:rFonts w:ascii="Times New Roman" w:hAnsi="Times New Roman" w:cs="Times New Roman" w:eastAsia="Times New Roman" w:hint="ascii"/>
          <w:sz w:val="18"/>
        </w:rPr>
        <w:t>F050306</w:t>
      </w:r>
      <w:r>
        <w:rPr>
          <w:rFonts w:ascii="Times New Roman" w:hAnsi="Times New Roman" w:cs="Times New Roman" w:eastAsia="Times New Roman" w:hint="ascii"/>
          <w:sz w:val="18"/>
          <w:spacing w:val="45"/>
        </w:rPr>
        <w:t xml:space="preserve"> </w:t>
      </w:r>
      <w:r>
        <w:rPr>
          <w:rFonts w:ascii="宋体" w:hAnsi="宋体" w:cs="宋体" w:eastAsia="宋体" w:hint="ascii"/>
          <w:sz w:val="18"/>
        </w:rPr>
        <w:t>传输与交换测试技术</w:t>
      </w:r>
      <w:r>
        <w:rPr>
          <w:rFonts w:ascii="Times New Roman" w:hAnsi="Times New Roman" w:cs="Times New Roman" w:eastAsia="Times New Roman" w:hint="ascii"/>
          <w:sz w:val="18"/>
        </w:rPr>
        <w:t>F050307</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光开关、光互连与光</w:t>
      </w:r>
      <w:r>
        <w:rPr>
          <w:rFonts w:ascii="宋体" w:hAnsi="宋体" w:cs="宋体" w:eastAsia="宋体" w:hint="ascii"/>
          <w:sz w:val="18"/>
        </w:rPr>
        <mc:AlternateContent>
          <mc:Choice Requires="wps">
            <w:drawing>
              <wp:anchor distL="0" distR="0" distT="0" distB="0" simplePos="0" behindDoc="1" relativeHeight="570" locked="0" layoutInCell="1" allowOverlap="1">
                <wp:simplePos x="0" y="0"/>
                <wp:positionH relativeFrom="page">
                  <wp:posOffset>1762760</wp:posOffset>
                </wp:positionH>
                <wp:positionV relativeFrom="page">
                  <wp:posOffset>5879465</wp:posOffset>
                </wp:positionV>
                <wp:extent cx="406400" cy="170815"/>
                <wp:wrapNone/>
                <wp:docPr id="1597" name="1597"/>
                <wp:cNvGraphicFramePr/>
                <a:graphic>
                  <a:graphicData uri="http://schemas.microsoft.com/office/word/2010/wordprocessingShape">
                    <wps:wsp>
                      <wps:cNvSpPr/>
                      <wps:spPr>
                        <a:xfrm>
                          <a:off x="0" y="0"/>
                          <a:ext cx="406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62.95pt;z-index:-251074560;width:32.00pt;height:13.45pt;" id="1597" coordsize="6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71" locked="0" layoutInCell="1" allowOverlap="1">
                <wp:simplePos x="0" y="0"/>
                <wp:positionH relativeFrom="page">
                  <wp:posOffset>2282825</wp:posOffset>
                </wp:positionH>
                <wp:positionV relativeFrom="page">
                  <wp:posOffset>5879465</wp:posOffset>
                </wp:positionV>
                <wp:extent cx="1028700" cy="170815"/>
                <wp:wrapNone/>
                <wp:docPr id="1598" name="1598"/>
                <wp:cNvGraphicFramePr/>
                <a:graphic>
                  <a:graphicData uri="http://schemas.microsoft.com/office/word/2010/wordprocessingShape">
                    <wps:wsp>
                      <wps:cNvSpPr/>
                      <wps:spPr>
                        <a:xfrm>
                          <a:off x="0" y="0"/>
                          <a:ext cx="10287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9.75pt;mso-position-vertical:absolute;mso-position-vertical-relative:page;margin-top:462.95pt;z-index:-251073536;width:81.00pt;height:13.45pt;" id="1598" coordsize="162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72" locked="0" layoutInCell="1" allowOverlap="1">
                <wp:simplePos x="0" y="0"/>
                <wp:positionH relativeFrom="page">
                  <wp:posOffset>1762760</wp:posOffset>
                </wp:positionH>
                <wp:positionV relativeFrom="page">
                  <wp:posOffset>6060440</wp:posOffset>
                </wp:positionV>
                <wp:extent cx="1549400" cy="170815"/>
                <wp:wrapNone/>
                <wp:docPr id="1599" name="1599"/>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77.20pt;z-index:-251072512;width:122.00pt;height:13.45pt;" id="1599"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73" locked="0" layoutInCell="1" allowOverlap="1">
                <wp:simplePos x="0" y="0"/>
                <wp:positionH relativeFrom="page">
                  <wp:posOffset>1762760</wp:posOffset>
                </wp:positionH>
                <wp:positionV relativeFrom="page">
                  <wp:posOffset>6242685</wp:posOffset>
                </wp:positionV>
                <wp:extent cx="1549400" cy="170815"/>
                <wp:wrapNone/>
                <wp:docPr id="1600" name="160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91.55pt;z-index:-251071488;width:122.00pt;height:13.45pt;" id="1600"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74" locked="0" layoutInCell="1" allowOverlap="1">
                <wp:simplePos x="0" y="0"/>
                <wp:positionH relativeFrom="page">
                  <wp:posOffset>2288540</wp:posOffset>
                </wp:positionH>
                <wp:positionV relativeFrom="page">
                  <wp:posOffset>6424295</wp:posOffset>
                </wp:positionV>
                <wp:extent cx="228600" cy="170815"/>
                <wp:wrapNone/>
                <wp:docPr id="1601" name="1601"/>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05.85pt;z-index:-251070464;width:18.00pt;height:13.45pt;" id="1601" coordsize="36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交换</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F050308</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微波光子传输芯片及</w:t>
      </w:r>
      <w:r>
        <w:rPr>
          <w:rFonts w:ascii="宋体" w:hAnsi="宋体" w:cs="宋体" w:eastAsia="宋体" w:hint="ascii"/>
          <w:sz w:val="18"/>
        </w:rPr>
        <mc:AlternateContent>
          <mc:Choice Requires="wps">
            <w:drawing>
              <wp:anchor distL="0" distR="0" distT="0" distB="0" simplePos="0" behindDoc="1" relativeHeight="575" locked="0" layoutInCell="1" allowOverlap="1">
                <wp:simplePos x="0" y="0"/>
                <wp:positionH relativeFrom="page">
                  <wp:posOffset>1762760</wp:posOffset>
                </wp:positionH>
                <wp:positionV relativeFrom="page">
                  <wp:posOffset>6605270</wp:posOffset>
                </wp:positionV>
                <wp:extent cx="1549400" cy="170815"/>
                <wp:wrapNone/>
                <wp:docPr id="1602" name="160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20.10pt;z-index:-251069440;width:122.00pt;height:13.45pt;" id="1602"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技术</w:t>
      </w:r>
      <w:r>
        <w:rPr>
          <w:rFonts w:ascii="宋体" w:hAnsi="宋体" w:cs="宋体" w:eastAsia="宋体" w:hint="ascii"/>
          <w:sz w:val="18"/>
        </w:rPr>
        <mc:AlternateContent>
          <mc:Choice Requires="wps">
            <w:drawing>
              <wp:anchor distL="0" distR="0" distT="0" distB="0" simplePos="0" behindDoc="1" relativeHeight="576" locked="0" layoutInCell="1" allowOverlap="1">
                <wp:simplePos x="0" y="0"/>
                <wp:positionH relativeFrom="page">
                  <wp:posOffset>2288540</wp:posOffset>
                </wp:positionH>
                <wp:positionV relativeFrom="page">
                  <wp:posOffset>6787515</wp:posOffset>
                </wp:positionV>
                <wp:extent cx="228600" cy="170815"/>
                <wp:wrapNone/>
                <wp:docPr id="1603" name="1603"/>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34.45pt;z-index:-251068416;width:18.00pt;height:13.45pt;" id="1603" coordsize="3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红外与太赫兹物理及技术</w:t>
      </w:r>
      <w:r>
        <w:rPr>
          <w:rFonts w:ascii="宋体" w:hAnsi="宋体" w:cs="宋体" w:eastAsia="宋体" w:hint="ascii"/>
          <w:sz w:val="18"/>
        </w:rPr>
        <mc:AlternateContent>
          <mc:Choice Requires="wps">
            <w:drawing>
              <wp:anchor distL="0" distR="0" distT="0" distB="0" simplePos="0" behindDoc="1" relativeHeight="577" locked="0" layoutInCell="1" allowOverlap="1">
                <wp:simplePos x="0" y="0"/>
                <wp:positionH relativeFrom="page">
                  <wp:posOffset>1341755</wp:posOffset>
                </wp:positionH>
                <wp:positionV relativeFrom="page">
                  <wp:posOffset>6965315</wp:posOffset>
                </wp:positionV>
                <wp:extent cx="1670050" cy="167005"/>
                <wp:wrapNone/>
                <wp:docPr id="1604" name="1604"/>
                <wp:cNvGraphicFramePr/>
                <a:graphic>
                  <a:graphicData uri="http://schemas.microsoft.com/office/word/2010/wordprocessingShape">
                    <wps:wsp>
                      <wps:cNvSpPr/>
                      <wps:spPr>
                        <a:xfrm>
                          <a:off x="0" y="0"/>
                          <a:ext cx="16700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548.45pt;z-index:-251067392;width:131.50pt;height:13.15pt;" id="1604" coordsize="2630,263"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红外物理</w:t>
      </w:r>
      <w:r>
        <w:rPr>
          <w:rFonts w:ascii="宋体" w:hAnsi="宋体" w:cs="宋体" w:eastAsia="宋体" w:hint="ascii"/>
          <w:sz w:val="18"/>
        </w:rPr>
        <mc:AlternateContent>
          <mc:Choice Requires="wps">
            <w:drawing>
              <wp:anchor distL="0" distR="0" distT="0" distB="0" simplePos="0" behindDoc="1" relativeHeight="578" locked="0" layoutInCell="1" allowOverlap="1">
                <wp:simplePos x="0" y="0"/>
                <wp:positionH relativeFrom="page">
                  <wp:posOffset>1762760</wp:posOffset>
                </wp:positionH>
                <wp:positionV relativeFrom="page">
                  <wp:posOffset>7150100</wp:posOffset>
                </wp:positionV>
                <wp:extent cx="977900" cy="170815"/>
                <wp:wrapNone/>
                <wp:docPr id="1605" name="1605"/>
                <wp:cNvGraphicFramePr/>
                <a:graphic>
                  <a:graphicData uri="http://schemas.microsoft.com/office/word/2010/wordprocessingShape">
                    <wps:wsp>
                      <wps:cNvSpPr/>
                      <wps:spPr>
                        <a:xfrm>
                          <a:off x="0" y="0"/>
                          <a:ext cx="977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63.00pt;z-index:-251066368;width:77.00pt;height:13.45pt;" id="1605" coordsize="1540,269" stroked="f" fillcolor="#ffffff" opacity="0f">
                <v:stroke endcap="round"/>
                <v:fill opacity="0f"/>
                <w10:wrap anchorx="page" anchory="page" side="both"/>
              </v:rect>
            </w:pict>
          </mc:Fallback>
        </mc:AlternateContent>
      </w:r>
    </w:p>
    <w:p>
      <w:pPr>
        <w:autoSpaceDE w:val="0"/>
        <w:autoSpaceDN w:val="0"/>
        <w:jc w:val="left"/>
        <w:spacing w:before="68"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红外辐射与物质相互</w:t>
      </w:r>
      <w:r>
        <w:rPr>
          <w:rFonts w:ascii="宋体" w:hAnsi="宋体" w:cs="宋体" w:eastAsia="宋体" w:hint="ascii"/>
          <w:sz w:val="18"/>
        </w:rPr>
        <mc:AlternateContent>
          <mc:Choice Requires="wps">
            <w:drawing>
              <wp:anchor distL="0" distR="0" distT="0" distB="0" simplePos="0" behindDoc="1" relativeHeight="579" locked="0" layoutInCell="1" allowOverlap="1">
                <wp:simplePos x="0" y="0"/>
                <wp:positionH relativeFrom="page">
                  <wp:posOffset>1762760</wp:posOffset>
                </wp:positionH>
                <wp:positionV relativeFrom="page">
                  <wp:posOffset>7332345</wp:posOffset>
                </wp:positionV>
                <wp:extent cx="1549400" cy="170815"/>
                <wp:wrapNone/>
                <wp:docPr id="1606" name="160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77.35pt;z-index:-251065344;width:122.00pt;height:13.45pt;" id="1606"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作用</w:t>
      </w:r>
      <w:r>
        <w:rPr>
          <w:rFonts w:ascii="宋体" w:hAnsi="宋体" w:cs="宋体" w:eastAsia="宋体" w:hint="ascii"/>
          <w:sz w:val="18"/>
        </w:rPr>
        <mc:AlternateContent>
          <mc:Choice Requires="wps">
            <w:drawing>
              <wp:anchor distL="0" distR="0" distT="0" distB="0" simplePos="0" behindDoc="1" relativeHeight="580" locked="0" layoutInCell="1" allowOverlap="1">
                <wp:simplePos x="0" y="0"/>
                <wp:positionH relativeFrom="page">
                  <wp:posOffset>2288540</wp:posOffset>
                </wp:positionH>
                <wp:positionV relativeFrom="page">
                  <wp:posOffset>7513955</wp:posOffset>
                </wp:positionV>
                <wp:extent cx="228600" cy="170815"/>
                <wp:wrapNone/>
                <wp:docPr id="1607" name="1607"/>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91.65pt;z-index:-251064320;width:18.00pt;height:13.45pt;" id="1607" coordsize="3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F050403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红外探测、传输</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581" locked="0" layoutInCell="1" allowOverlap="1">
                <wp:simplePos x="0" y="0"/>
                <wp:positionH relativeFrom="page">
                  <wp:posOffset>1762760</wp:posOffset>
                </wp:positionH>
                <wp:positionV relativeFrom="page">
                  <wp:posOffset>7694930</wp:posOffset>
                </wp:positionV>
                <wp:extent cx="1465580" cy="170815"/>
                <wp:wrapNone/>
                <wp:docPr id="1608" name="1608"/>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05.90pt;z-index:-251063296;width:115.40pt;height:13.45pt;" id="1608" coordsize="2308,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发</w:t>
      </w:r>
      <w:r>
        <w:rPr>
          <w:rFonts w:ascii="宋体" w:hAnsi="宋体" w:cs="宋体" w:eastAsia="宋体" w:hint="ascii"/>
          <w:sz w:val="18"/>
        </w:rPr>
        <w:t>射</w:t>
      </w:r>
      <w:r>
        <w:rPr>
          <w:rFonts w:ascii="宋体" w:hAnsi="宋体" w:cs="宋体" w:eastAsia="宋体" w:hint="ascii"/>
          <w:sz w:val="18"/>
        </w:rPr>
        <mc:AlternateContent>
          <mc:Choice Requires="wps">
            <w:drawing>
              <wp:anchor distL="0" distR="0" distT="0" distB="0" simplePos="0" behindDoc="1" relativeHeight="582" locked="0" layoutInCell="1" allowOverlap="1">
                <wp:simplePos x="0" y="0"/>
                <wp:positionH relativeFrom="page">
                  <wp:posOffset>2288540</wp:posOffset>
                </wp:positionH>
                <wp:positionV relativeFrom="page">
                  <wp:posOffset>7877175</wp:posOffset>
                </wp:positionV>
                <wp:extent cx="236220" cy="170815"/>
                <wp:wrapNone/>
                <wp:docPr id="1609" name="1609"/>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620.25pt;z-index:-251062272;width:18.60pt;height:13.45pt;" id="1609" coordsize="372,269" stroked="f" fillcolor="#ffffff" opacity="0f">
                <v:stroke endcap="round"/>
                <v:fill opacity="0f"/>
                <w10:wrap anchorx="page" anchory="page" side="both"/>
              </v:rect>
            </w:pict>
          </mc:Fallback>
        </mc:AlternateContent>
      </w:r>
    </w:p>
    <w:p>
      <w:pPr>
        <w:autoSpaceDE w:val="0"/>
        <w:autoSpaceDN w:val="0"/>
        <w:jc w:val="both"/>
        <w:spacing w:before="61" w:after="0" w:lineRule="auto" w:line="313"/>
        <w:ind w:right="37"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F050404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红</w:t>
      </w:r>
      <w:r>
        <w:rPr>
          <w:rFonts w:ascii="宋体" w:hAnsi="宋体" w:cs="宋体" w:eastAsia="宋体" w:hint="ascii"/>
          <w:sz w:val="18"/>
        </w:rPr>
        <w:t>外探测材料与器件</w:t>
      </w:r>
      <w:r>
        <w:rPr>
          <w:rFonts w:ascii="Times New Roman" w:hAnsi="Times New Roman" w:cs="Times New Roman" w:eastAsia="Times New Roman" w:hint="ascii"/>
          <w:sz w:val="18"/>
          <w:spacing w:val="-1"/>
        </w:rPr>
        <w:t>F050405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红</w:t>
      </w:r>
      <w:r>
        <w:rPr>
          <w:rFonts w:ascii="宋体" w:hAnsi="宋体" w:cs="宋体" w:eastAsia="宋体" w:hint="ascii"/>
          <w:sz w:val="18"/>
        </w:rPr>
        <w:t>外成像光谱和信息</w:t>
      </w:r>
      <w:r>
        <w:rPr>
          <w:rFonts w:ascii="宋体" w:hAnsi="宋体" w:cs="宋体" w:eastAsia="宋体" w:hint="ascii"/>
          <w:sz w:val="18"/>
        </w:rPr>
        <mc:AlternateContent>
          <mc:Choice Requires="wps">
            <w:drawing>
              <wp:anchor distL="0" distR="0" distT="0" distB="0" simplePos="0" behindDoc="1" relativeHeight="583" locked="0" layoutInCell="1" allowOverlap="1">
                <wp:simplePos x="0" y="0"/>
                <wp:positionH relativeFrom="page">
                  <wp:posOffset>1762760</wp:posOffset>
                </wp:positionH>
                <wp:positionV relativeFrom="page">
                  <wp:posOffset>8058785</wp:posOffset>
                </wp:positionV>
                <wp:extent cx="1549400" cy="170815"/>
                <wp:wrapNone/>
                <wp:docPr id="1610" name="161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34.55pt;z-index:-251061248;width:122.00pt;height:13.45pt;" id="1610"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84" locked="0" layoutInCell="1" allowOverlap="1">
                <wp:simplePos x="0" y="0"/>
                <wp:positionH relativeFrom="page">
                  <wp:posOffset>1762760</wp:posOffset>
                </wp:positionH>
                <wp:positionV relativeFrom="page">
                  <wp:posOffset>8239760</wp:posOffset>
                </wp:positionV>
                <wp:extent cx="1549400" cy="170815"/>
                <wp:wrapNone/>
                <wp:docPr id="1611" name="161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48.80pt;z-index:-251060224;width:122.00pt;height:13.45pt;" id="1611"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85" locked="0" layoutInCell="1" allowOverlap="1">
                <wp:simplePos x="0" y="0"/>
                <wp:positionH relativeFrom="page">
                  <wp:posOffset>2288540</wp:posOffset>
                </wp:positionH>
                <wp:positionV relativeFrom="page">
                  <wp:posOffset>8422005</wp:posOffset>
                </wp:positionV>
                <wp:extent cx="228600" cy="170815"/>
                <wp:wrapNone/>
                <wp:docPr id="1612" name="1612"/>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663.15pt;z-index:-251059200;width:18.00pt;height:13.45pt;" id="1612" coordsize="36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识别</w:t>
      </w:r>
    </w:p>
    <w:p>
      <w:pPr>
        <w:autoSpaceDE w:val="0"/>
        <w:autoSpaceDN w:val="0"/>
        <w:jc w:val="left"/>
        <w:spacing w:before="354" w:after="0" w:lineRule="auto" w:line="313"/>
        <w:ind w:right="1101"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F050406</w:t>
      </w:r>
      <w:r>
        <w:rPr>
          <w:rFonts w:ascii="Times New Roman" w:hAnsi="Times New Roman" w:cs="Times New Roman" w:eastAsia="Times New Roman" w:hint="ascii"/>
          <w:sz w:val="18"/>
          <w:spacing w:val="45"/>
        </w:rPr>
        <w:t xml:space="preserve"> </w:t>
      </w:r>
      <w:r>
        <w:rPr>
          <w:rFonts w:ascii="宋体" w:hAnsi="宋体" w:cs="宋体" w:eastAsia="宋体" w:hint="ascii"/>
          <w:sz w:val="18"/>
        </w:rPr>
        <w:t>红外技术和应用</w:t>
      </w:r>
      <w:r>
        <w:rPr>
          <w:rFonts w:ascii="Times New Roman" w:hAnsi="Times New Roman" w:cs="Times New Roman" w:eastAsia="Times New Roman" w:hint="ascii"/>
          <w:sz w:val="18"/>
        </w:rPr>
        <w:t>F050407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红外遥感和红外空间</w:t>
      </w:r>
      <w:r>
        <w:rPr>
          <w:rFonts w:ascii="宋体" w:hAnsi="宋体" w:cs="宋体" w:eastAsia="宋体" w:hint="ascii"/>
          <w:sz w:val="18"/>
        </w:rPr>
        <mc:AlternateContent>
          <mc:Choice Requires="wps">
            <w:drawing>
              <wp:anchor distL="0" distR="0" distT="0" distB="0" simplePos="0" behindDoc="1" relativeHeight="586" locked="0" layoutInCell="1" allowOverlap="1">
                <wp:simplePos x="0" y="0"/>
                <wp:positionH relativeFrom="page">
                  <wp:posOffset>4352290</wp:posOffset>
                </wp:positionH>
                <wp:positionV relativeFrom="page">
                  <wp:posOffset>975995</wp:posOffset>
                </wp:positionV>
                <wp:extent cx="1320800" cy="170815"/>
                <wp:wrapNone/>
                <wp:docPr id="1613" name="1613"/>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76.85pt;z-index:-251058176;width:104.00pt;height:13.45pt;" id="1613"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87" locked="0" layoutInCell="1" allowOverlap="1">
                <wp:simplePos x="0" y="0"/>
                <wp:positionH relativeFrom="page">
                  <wp:posOffset>4352290</wp:posOffset>
                </wp:positionH>
                <wp:positionV relativeFrom="page">
                  <wp:posOffset>1156970</wp:posOffset>
                </wp:positionV>
                <wp:extent cx="1549400" cy="170815"/>
                <wp:wrapNone/>
                <wp:docPr id="1614" name="1614"/>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91.10pt;z-index:-251057152;width:122.00pt;height:13.45pt;" id="1614"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88" locked="0" layoutInCell="1" allowOverlap="1">
                <wp:simplePos x="0" y="0"/>
                <wp:positionH relativeFrom="page">
                  <wp:posOffset>4878070</wp:posOffset>
                </wp:positionH>
                <wp:positionV relativeFrom="page">
                  <wp:posOffset>1339215</wp:posOffset>
                </wp:positionV>
                <wp:extent cx="228600" cy="170815"/>
                <wp:wrapNone/>
                <wp:docPr id="1615" name="1615"/>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05.45pt;z-index:-251056128;width:18.00pt;height:13.45pt;" id="1615" coordsize="360,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1" w:after="0" w:lineRule="auto" w:line="314"/>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F050408</w:t>
      </w:r>
      <w:r>
        <w:rPr>
          <w:rFonts w:ascii="Times New Roman" w:hAnsi="Times New Roman" w:cs="Times New Roman" w:eastAsia="Times New Roman" w:hint="ascii"/>
          <w:sz w:val="18"/>
          <w:spacing w:val="45"/>
        </w:rPr>
        <w:t xml:space="preserve"> </w:t>
      </w:r>
      <w:r>
        <w:rPr>
          <w:rFonts w:ascii="宋体" w:hAnsi="宋体" w:cs="宋体" w:eastAsia="宋体" w:hint="ascii"/>
          <w:sz w:val="18"/>
        </w:rPr>
        <w:t>太赫兹波技术及应用</w:t>
      </w:r>
      <w:r>
        <w:rPr>
          <w:rFonts w:ascii="Times New Roman" w:hAnsi="Times New Roman" w:cs="Times New Roman" w:eastAsia="Times New Roman" w:hint="ascii"/>
          <w:sz w:val="18"/>
        </w:rPr>
        <w:t>F050409</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微波与光波相互作用</w:t>
      </w:r>
      <w:r>
        <w:rPr>
          <w:rFonts w:ascii="Times New Roman" w:hAnsi="Times New Roman" w:cs="Times New Roman" w:eastAsia="Times New Roman" w:hint="ascii"/>
          <w:sz w:val="18"/>
        </w:rPr>
        <w:t>F050410</w:t>
      </w:r>
      <w:r>
        <w:rPr>
          <w:rFonts w:ascii="Times New Roman" w:hAnsi="Times New Roman" w:cs="Times New Roman" w:eastAsia="Times New Roman" w:hint="ascii"/>
          <w:sz w:val="18"/>
          <w:spacing w:val="45"/>
        </w:rPr>
        <w:t xml:space="preserve"> </w:t>
      </w:r>
      <w:r>
        <w:rPr>
          <w:rFonts w:ascii="宋体" w:hAnsi="宋体" w:cs="宋体" w:eastAsia="宋体" w:hint="ascii"/>
          <w:sz w:val="18"/>
        </w:rPr>
        <w:t>红外相干辐射技术、</w:t>
      </w:r>
      <w:r>
        <w:rPr>
          <w:rFonts w:ascii="宋体" w:hAnsi="宋体" w:cs="宋体" w:eastAsia="宋体" w:hint="ascii"/>
          <w:sz w:val="18"/>
        </w:rPr>
        <mc:AlternateContent>
          <mc:Choice Requires="wps">
            <w:drawing>
              <wp:anchor distL="0" distR="0" distT="0" distB="0" simplePos="0" behindDoc="1" relativeHeight="589" locked="0" layoutInCell="1" allowOverlap="1">
                <wp:simplePos x="0" y="0"/>
                <wp:positionH relativeFrom="page">
                  <wp:posOffset>4352290</wp:posOffset>
                </wp:positionH>
                <wp:positionV relativeFrom="page">
                  <wp:posOffset>1520825</wp:posOffset>
                </wp:positionV>
                <wp:extent cx="1549400" cy="170815"/>
                <wp:wrapNone/>
                <wp:docPr id="1616" name="161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19.75pt;z-index:-251055104;width:122.00pt;height:13.45pt;" id="1616"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90" locked="0" layoutInCell="1" allowOverlap="1">
                <wp:simplePos x="0" y="0"/>
                <wp:positionH relativeFrom="page">
                  <wp:posOffset>4352290</wp:posOffset>
                </wp:positionH>
                <wp:positionV relativeFrom="page">
                  <wp:posOffset>1701800</wp:posOffset>
                </wp:positionV>
                <wp:extent cx="1549400" cy="170815"/>
                <wp:wrapNone/>
                <wp:docPr id="1617" name="1617"/>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34.00pt;z-index:-251054080;width:122.00pt;height:13.45pt;" id="1617"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91" locked="0" layoutInCell="1" allowOverlap="1">
                <wp:simplePos x="0" y="0"/>
                <wp:positionH relativeFrom="page">
                  <wp:posOffset>4352290</wp:posOffset>
                </wp:positionH>
                <wp:positionV relativeFrom="page">
                  <wp:posOffset>1884045</wp:posOffset>
                </wp:positionV>
                <wp:extent cx="1549400" cy="170815"/>
                <wp:wrapNone/>
                <wp:docPr id="1618" name="161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48.35pt;z-index:-251053056;width:122.00pt;height:13.45pt;" id="1618"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92" locked="0" layoutInCell="1" allowOverlap="1">
                <wp:simplePos x="0" y="0"/>
                <wp:positionH relativeFrom="page">
                  <wp:posOffset>4878070</wp:posOffset>
                </wp:positionH>
                <wp:positionV relativeFrom="page">
                  <wp:posOffset>2065655</wp:posOffset>
                </wp:positionV>
                <wp:extent cx="571500" cy="170815"/>
                <wp:wrapNone/>
                <wp:docPr id="1619" name="1619"/>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62.65pt;z-index:-251052032;width:45.00pt;height:13.45pt;" id="1619" coordsize="90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器件及应用</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F0504</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红外光学材料及光学</w:t>
      </w:r>
      <w:r>
        <w:rPr>
          <w:rFonts w:ascii="宋体" w:hAnsi="宋体" w:cs="宋体" w:eastAsia="宋体" w:hint="ascii"/>
          <w:sz w:val="18"/>
        </w:rPr>
        <mc:AlternateContent>
          <mc:Choice Requires="wps">
            <w:drawing>
              <wp:anchor distL="0" distR="0" distT="0" distB="0" simplePos="0" behindDoc="1" relativeHeight="593" locked="0" layoutInCell="1" allowOverlap="1">
                <wp:simplePos x="0" y="0"/>
                <wp:positionH relativeFrom="page">
                  <wp:posOffset>4352290</wp:posOffset>
                </wp:positionH>
                <wp:positionV relativeFrom="page">
                  <wp:posOffset>2246630</wp:posOffset>
                </wp:positionV>
                <wp:extent cx="1545590" cy="170815"/>
                <wp:wrapNone/>
                <wp:docPr id="1620" name="1620"/>
                <wp:cNvGraphicFramePr/>
                <a:graphic>
                  <a:graphicData uri="http://schemas.microsoft.com/office/word/2010/wordprocessingShape">
                    <wps:wsp>
                      <wps:cNvSpPr/>
                      <wps:spPr>
                        <a:xfrm>
                          <a:off x="0" y="0"/>
                          <a:ext cx="15455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76.90pt;z-index:-251051008;width:121.70pt;height:13.45pt;" id="1620" coordsize="2434,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系统</w:t>
      </w:r>
      <w:r>
        <w:rPr>
          <w:rFonts w:ascii="宋体" w:hAnsi="宋体" w:cs="宋体" w:eastAsia="宋体" w:hint="ascii"/>
          <w:sz w:val="18"/>
        </w:rPr>
        <mc:AlternateContent>
          <mc:Choice Requires="wps">
            <w:drawing>
              <wp:anchor distL="0" distR="0" distT="0" distB="0" simplePos="0" behindDoc="1" relativeHeight="594" locked="0" layoutInCell="1" allowOverlap="1">
                <wp:simplePos x="0" y="0"/>
                <wp:positionH relativeFrom="page">
                  <wp:posOffset>4878070</wp:posOffset>
                </wp:positionH>
                <wp:positionV relativeFrom="page">
                  <wp:posOffset>2428875</wp:posOffset>
                </wp:positionV>
                <wp:extent cx="228600" cy="170815"/>
                <wp:wrapNone/>
                <wp:docPr id="1621" name="1621"/>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91.25pt;z-index:-251049984;width:18.00pt;height:13.45pt;" id="1621" coordsize="3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非线性光学与量子光学</w:t>
      </w:r>
      <w:r>
        <w:rPr>
          <w:rFonts w:ascii="宋体" w:hAnsi="宋体" w:cs="宋体" w:eastAsia="宋体" w:hint="ascii"/>
          <w:sz w:val="18"/>
        </w:rPr>
        <mc:AlternateContent>
          <mc:Choice Requires="wps">
            <w:drawing>
              <wp:anchor distL="0" distR="0" distT="0" distB="0" simplePos="0" behindDoc="1" relativeHeight="595" locked="0" layoutInCell="1" allowOverlap="1">
                <wp:simplePos x="0" y="0"/>
                <wp:positionH relativeFrom="page">
                  <wp:posOffset>3931920</wp:posOffset>
                </wp:positionH>
                <wp:positionV relativeFrom="page">
                  <wp:posOffset>2606675</wp:posOffset>
                </wp:positionV>
                <wp:extent cx="1555750" cy="167005"/>
                <wp:wrapNone/>
                <wp:docPr id="1622" name="1622"/>
                <wp:cNvGraphicFramePr/>
                <a:graphic>
                  <a:graphicData uri="http://schemas.microsoft.com/office/word/2010/wordprocessingShape">
                    <wps:wsp>
                      <wps:cNvSpPr/>
                      <wps:spPr>
                        <a:xfrm>
                          <a:off x="0" y="0"/>
                          <a:ext cx="15557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205.25pt;z-index:-251048960;width:122.50pt;height:13.15pt;" id="1622" coordsize="2450,263" stroked="f" fillcolor="#ffffff" opacity="0f">
                <v:stroke endcap="round"/>
                <v:fill opacity="0f"/>
                <w10:wrap anchorx="page" anchory="page" side="both"/>
              </v:rect>
            </w:pict>
          </mc:Fallback>
        </mc:AlternateContent>
      </w:r>
    </w:p>
    <w:p>
      <w:pPr>
        <w:autoSpaceDE w:val="0"/>
        <w:autoSpaceDN w:val="0"/>
        <w:jc w:val="left"/>
        <w:spacing w:before="67" w:after="0" w:lineRule="auto" w:line="314"/>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非</w:t>
      </w:r>
      <w:r>
        <w:rPr>
          <w:rFonts w:ascii="宋体" w:hAnsi="宋体" w:cs="宋体" w:eastAsia="宋体" w:hint="ascii"/>
          <w:sz w:val="18"/>
          <w:spacing w:val="-8"/>
        </w:rPr>
        <w:t>线性光学效应及应</w:t>
      </w:r>
      <w:r>
        <w:rPr>
          <w:rFonts w:ascii="宋体" w:hAnsi="宋体" w:cs="宋体" w:eastAsia="宋体" w:hint="ascii"/>
          <w:sz w:val="18"/>
        </w:rPr>
        <w:t>用</w:t>
      </w:r>
      <w:r>
        <w:rPr>
          <w:rFonts w:ascii="Times New Roman" w:hAnsi="Times New Roman" w:cs="Times New Roman" w:eastAsia="Times New Roman" w:hint="ascii"/>
          <w:sz w:val="18"/>
        </w:rPr>
        <w:t>F050502</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光学频率变换与调控</w:t>
      </w:r>
      <w:r>
        <w:rPr>
          <w:rFonts w:ascii="Times New Roman" w:hAnsi="Times New Roman" w:cs="Times New Roman" w:eastAsia="Times New Roman" w:hint="ascii"/>
          <w:sz w:val="18"/>
        </w:rPr>
        <w:t>F050503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光量子计算与信</w:t>
      </w:r>
      <w:r>
        <w:rPr>
          <w:rFonts w:ascii="宋体" w:hAnsi="宋体" w:cs="宋体" w:eastAsia="宋体" w:hint="ascii"/>
          <w:sz w:val="18"/>
        </w:rPr>
        <w:t>息</w:t>
      </w:r>
      <w:r>
        <w:rPr>
          <w:rFonts w:ascii="宋体" w:hAnsi="宋体" w:cs="宋体" w:eastAsia="宋体" w:hint="ascii"/>
          <w:sz w:val="18"/>
        </w:rPr>
        <mc:AlternateContent>
          <mc:Choice Requires="wps">
            <w:drawing>
              <wp:anchor distL="0" distR="0" distT="0" distB="0" simplePos="0" behindDoc="1" relativeHeight="596" locked="0" layoutInCell="1" allowOverlap="1">
                <wp:simplePos x="0" y="0"/>
                <wp:positionH relativeFrom="page">
                  <wp:posOffset>4352290</wp:posOffset>
                </wp:positionH>
                <wp:positionV relativeFrom="page">
                  <wp:posOffset>2791460</wp:posOffset>
                </wp:positionV>
                <wp:extent cx="1562735" cy="170815"/>
                <wp:wrapNone/>
                <wp:docPr id="1623" name="1623"/>
                <wp:cNvGraphicFramePr/>
                <a:graphic>
                  <a:graphicData uri="http://schemas.microsoft.com/office/word/2010/wordprocessingShape">
                    <wps:wsp>
                      <wps:cNvSpPr/>
                      <wps:spPr>
                        <a:xfrm>
                          <a:off x="0" y="0"/>
                          <a:ext cx="15627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19.80pt;z-index:-251047936;width:123.05pt;height:13.45pt;" id="1623" coordsize="246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97" locked="0" layoutInCell="1" allowOverlap="1">
                <wp:simplePos x="0" y="0"/>
                <wp:positionH relativeFrom="page">
                  <wp:posOffset>4352290</wp:posOffset>
                </wp:positionH>
                <wp:positionV relativeFrom="page">
                  <wp:posOffset>2973705</wp:posOffset>
                </wp:positionV>
                <wp:extent cx="1549400" cy="170815"/>
                <wp:wrapNone/>
                <wp:docPr id="1624" name="1624"/>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34.15pt;z-index:-251046912;width:122.00pt;height:13.45pt;" id="1624"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98" locked="0" layoutInCell="1" allowOverlap="1">
                <wp:simplePos x="0" y="0"/>
                <wp:positionH relativeFrom="page">
                  <wp:posOffset>4352290</wp:posOffset>
                </wp:positionH>
                <wp:positionV relativeFrom="page">
                  <wp:posOffset>3155315</wp:posOffset>
                </wp:positionV>
                <wp:extent cx="1465580" cy="170815"/>
                <wp:wrapNone/>
                <wp:docPr id="1625" name="1625"/>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48.45pt;z-index:-251045888;width:115.40pt;height:13.45pt;" id="1625"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599" locked="0" layoutInCell="1" allowOverlap="1">
                <wp:simplePos x="0" y="0"/>
                <wp:positionH relativeFrom="page">
                  <wp:posOffset>4878070</wp:posOffset>
                </wp:positionH>
                <wp:positionV relativeFrom="page">
                  <wp:posOffset>3336290</wp:posOffset>
                </wp:positionV>
                <wp:extent cx="236220" cy="170815"/>
                <wp:wrapNone/>
                <wp:docPr id="1626" name="1626"/>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62.70pt;z-index:-251044864;width:18.60pt;height:13.45pt;" id="1626"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处</w:t>
      </w:r>
      <w:r>
        <w:rPr>
          <w:rFonts w:ascii="宋体" w:hAnsi="宋体" w:cs="宋体" w:eastAsia="宋体" w:hint="ascii"/>
          <w:sz w:val="18"/>
        </w:rPr>
        <w:t>理</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F050504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光学孤子与非线</w:t>
      </w:r>
      <w:r>
        <w:rPr>
          <w:rFonts w:ascii="宋体" w:hAnsi="宋体" w:cs="宋体" w:eastAsia="宋体" w:hint="ascii"/>
          <w:sz w:val="18"/>
        </w:rPr>
        <w:t>性</w:t>
      </w:r>
      <w:r>
        <w:rPr>
          <w:rFonts w:ascii="宋体" w:hAnsi="宋体" w:cs="宋体" w:eastAsia="宋体" w:hint="ascii"/>
          <w:sz w:val="18"/>
        </w:rPr>
        <mc:AlternateContent>
          <mc:Choice Requires="wps">
            <w:drawing>
              <wp:anchor distL="0" distR="0" distT="0" distB="0" simplePos="0" behindDoc="1" relativeHeight="600" locked="0" layoutInCell="1" allowOverlap="1">
                <wp:simplePos x="0" y="0"/>
                <wp:positionH relativeFrom="page">
                  <wp:posOffset>4352290</wp:posOffset>
                </wp:positionH>
                <wp:positionV relativeFrom="page">
                  <wp:posOffset>3518535</wp:posOffset>
                </wp:positionV>
                <wp:extent cx="1465580" cy="170815"/>
                <wp:wrapNone/>
                <wp:docPr id="1627" name="1627"/>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77.05pt;z-index:-251043840;width:115.40pt;height:13.45pt;" id="1627" coordsize="2308,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传</w:t>
      </w:r>
      <w:r>
        <w:rPr>
          <w:rFonts w:ascii="宋体" w:hAnsi="宋体" w:cs="宋体" w:eastAsia="宋体" w:hint="ascii"/>
          <w:sz w:val="18"/>
        </w:rPr>
        <w:t>播</w:t>
      </w:r>
      <w:r>
        <w:rPr>
          <w:rFonts w:ascii="宋体" w:hAnsi="宋体" w:cs="宋体" w:eastAsia="宋体" w:hint="ascii"/>
          <w:sz w:val="18"/>
        </w:rPr>
        <mc:AlternateContent>
          <mc:Choice Requires="wps">
            <w:drawing>
              <wp:anchor distL="0" distR="0" distT="0" distB="0" simplePos="0" behindDoc="1" relativeHeight="601" locked="0" layoutInCell="1" allowOverlap="1">
                <wp:simplePos x="0" y="0"/>
                <wp:positionH relativeFrom="page">
                  <wp:posOffset>4878070</wp:posOffset>
                </wp:positionH>
                <wp:positionV relativeFrom="page">
                  <wp:posOffset>3700145</wp:posOffset>
                </wp:positionV>
                <wp:extent cx="236220" cy="170815"/>
                <wp:wrapNone/>
                <wp:docPr id="1628" name="1628"/>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91.35pt;z-index:-251042816;width:18.60pt;height:13.45pt;" id="1628"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313"/>
        <w:ind w:right="124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F050505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光量子通信</w:t>
      </w:r>
      <w:r>
        <w:rPr>
          <w:rFonts w:ascii="Times New Roman" w:hAnsi="Times New Roman" w:cs="Times New Roman" w:eastAsia="Times New Roman" w:hint="ascii"/>
          <w:sz w:val="18"/>
        </w:rPr>
        <w:t>F050506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光量子探测与遥感</w:t>
      </w:r>
      <w:r>
        <w:rPr>
          <w:rFonts w:ascii="Times New Roman" w:hAnsi="Times New Roman" w:cs="Times New Roman" w:eastAsia="Times New Roman" w:hint="ascii"/>
          <w:sz w:val="18"/>
        </w:rPr>
        <w:t>F050507</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光量子精密测量</w:t>
      </w:r>
      <w:r>
        <w:rPr>
          <w:rFonts w:ascii="Times New Roman" w:hAnsi="Times New Roman" w:cs="Times New Roman" w:eastAsia="Times New Roman" w:hint="ascii"/>
          <w:sz w:val="18"/>
        </w:rPr>
        <w:t>F050508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量子光学新效应</w:t>
      </w:r>
      <w:r>
        <w:rPr>
          <w:rFonts w:ascii="宋体" w:hAnsi="宋体" w:cs="宋体" w:eastAsia="宋体" w:hint="ascii"/>
          <w:sz w:val="18"/>
        </w:rPr>
        <w:t>及</w:t>
      </w:r>
      <w:r>
        <w:rPr>
          <w:rFonts w:ascii="宋体" w:hAnsi="宋体" w:cs="宋体" w:eastAsia="宋体" w:hint="ascii"/>
          <w:sz w:val="18"/>
        </w:rPr>
        <mc:AlternateContent>
          <mc:Choice Requires="wps">
            <w:drawing>
              <wp:anchor distL="0" distR="0" distT="0" distB="0" simplePos="0" behindDoc="1" relativeHeight="602" locked="0" layoutInCell="1" allowOverlap="1">
                <wp:simplePos x="0" y="0"/>
                <wp:positionH relativeFrom="page">
                  <wp:posOffset>4352290</wp:posOffset>
                </wp:positionH>
                <wp:positionV relativeFrom="page">
                  <wp:posOffset>3881120</wp:posOffset>
                </wp:positionV>
                <wp:extent cx="1092200" cy="170815"/>
                <wp:wrapNone/>
                <wp:docPr id="1629" name="1629"/>
                <wp:cNvGraphicFramePr/>
                <a:graphic>
                  <a:graphicData uri="http://schemas.microsoft.com/office/word/2010/wordprocessingShape">
                    <wps:wsp>
                      <wps:cNvSpPr/>
                      <wps:spPr>
                        <a:xfrm>
                          <a:off x="0" y="0"/>
                          <a:ext cx="1092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05.60pt;z-index:-251041792;width:86.00pt;height:13.45pt;" id="1629" coordsize="172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03" locked="0" layoutInCell="1" allowOverlap="1">
                <wp:simplePos x="0" y="0"/>
                <wp:positionH relativeFrom="page">
                  <wp:posOffset>4352290</wp:posOffset>
                </wp:positionH>
                <wp:positionV relativeFrom="page">
                  <wp:posOffset>4063365</wp:posOffset>
                </wp:positionV>
                <wp:extent cx="1435100" cy="170815"/>
                <wp:wrapNone/>
                <wp:docPr id="1630" name="1630"/>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19.95pt;z-index:-251040768;width:113.00pt;height:13.45pt;" id="1630"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04" locked="0" layoutInCell="1" allowOverlap="1">
                <wp:simplePos x="0" y="0"/>
                <wp:positionH relativeFrom="page">
                  <wp:posOffset>4352290</wp:posOffset>
                </wp:positionH>
                <wp:positionV relativeFrom="page">
                  <wp:posOffset>4244975</wp:posOffset>
                </wp:positionV>
                <wp:extent cx="1320800" cy="170815"/>
                <wp:wrapNone/>
                <wp:docPr id="1631" name="1631"/>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34.25pt;z-index:-251039744;width:104.00pt;height:13.45pt;" id="1631"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05" locked="0" layoutInCell="1" allowOverlap="1">
                <wp:simplePos x="0" y="0"/>
                <wp:positionH relativeFrom="page">
                  <wp:posOffset>4352290</wp:posOffset>
                </wp:positionH>
                <wp:positionV relativeFrom="page">
                  <wp:posOffset>4425950</wp:posOffset>
                </wp:positionV>
                <wp:extent cx="1465580" cy="170815"/>
                <wp:wrapNone/>
                <wp:docPr id="1632" name="1632"/>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48.50pt;z-index:-251038720;width:115.40pt;height:13.45pt;" id="1632"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06" locked="0" layoutInCell="1" allowOverlap="1">
                <wp:simplePos x="0" y="0"/>
                <wp:positionH relativeFrom="page">
                  <wp:posOffset>4878070</wp:posOffset>
                </wp:positionH>
                <wp:positionV relativeFrom="page">
                  <wp:posOffset>4608195</wp:posOffset>
                </wp:positionV>
                <wp:extent cx="236220" cy="170815"/>
                <wp:wrapNone/>
                <wp:docPr id="1633" name="1633"/>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62.85pt;z-index:-251037696;width:18.60pt;height:13.45pt;" id="1633"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p>
    <w:p>
      <w:pPr>
        <w:autoSpaceDE w:val="0"/>
        <w:autoSpaceDN w:val="0"/>
        <w:jc w:val="left"/>
        <w:spacing w:before="61" w:after="0" w:lineRule="auto" w:line="314"/>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F050509</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光量子器件与集成</w:t>
      </w:r>
      <w:r>
        <w:rPr>
          <w:rFonts w:ascii="Times New Roman" w:hAnsi="Times New Roman" w:cs="Times New Roman" w:eastAsia="Times New Roman" w:hint="ascii"/>
          <w:sz w:val="18"/>
        </w:rPr>
        <w:t>F050510</w:t>
      </w:r>
      <w:r>
        <w:rPr>
          <w:rFonts w:ascii="Times New Roman" w:hAnsi="Times New Roman" w:cs="Times New Roman" w:eastAsia="Times New Roman" w:hint="ascii"/>
          <w:sz w:val="18"/>
          <w:spacing w:val="45"/>
        </w:rPr>
        <w:t xml:space="preserve"> </w:t>
      </w:r>
      <w:r>
        <w:rPr>
          <w:rFonts w:ascii="宋体" w:hAnsi="宋体" w:cs="宋体" w:eastAsia="宋体" w:hint="ascii"/>
          <w:sz w:val="18"/>
        </w:rPr>
        <w:t>混沌光学及应用</w:t>
      </w:r>
      <w:r>
        <w:rPr>
          <w:rFonts w:ascii="Times New Roman" w:hAnsi="Times New Roman" w:cs="Times New Roman" w:eastAsia="Times New Roman" w:hint="ascii"/>
          <w:sz w:val="18"/>
        </w:rPr>
        <w:t>F0505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非线性光学成像</w:t>
      </w:r>
      <w:r>
        <w:rPr>
          <w:rFonts w:ascii="宋体" w:hAnsi="宋体" w:cs="宋体" w:eastAsia="宋体" w:hint="ascii"/>
          <w:sz w:val="18"/>
        </w:rPr>
        <mc:AlternateContent>
          <mc:Choice Requires="wps">
            <w:drawing>
              <wp:anchor distL="0" distR="0" distT="0" distB="0" simplePos="0" behindDoc="1" relativeHeight="607" locked="0" layoutInCell="1" allowOverlap="1">
                <wp:simplePos x="0" y="0"/>
                <wp:positionH relativeFrom="page">
                  <wp:posOffset>4352290</wp:posOffset>
                </wp:positionH>
                <wp:positionV relativeFrom="page">
                  <wp:posOffset>4789805</wp:posOffset>
                </wp:positionV>
                <wp:extent cx="1435100" cy="170815"/>
                <wp:wrapNone/>
                <wp:docPr id="1634" name="1634"/>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77.15pt;z-index:-251036672;width:113.00pt;height:13.45pt;" id="1634"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08" locked="0" layoutInCell="1" allowOverlap="1">
                <wp:simplePos x="0" y="0"/>
                <wp:positionH relativeFrom="page">
                  <wp:posOffset>4352290</wp:posOffset>
                </wp:positionH>
                <wp:positionV relativeFrom="page">
                  <wp:posOffset>4970780</wp:posOffset>
                </wp:positionV>
                <wp:extent cx="1320800" cy="170815"/>
                <wp:wrapNone/>
                <wp:docPr id="1635" name="1635"/>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91.40pt;z-index:-251035648;width:104.00pt;height:13.45pt;" id="1635"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09" locked="0" layoutInCell="1" allowOverlap="1">
                <wp:simplePos x="0" y="0"/>
                <wp:positionH relativeFrom="page">
                  <wp:posOffset>4352290</wp:posOffset>
                </wp:positionH>
                <wp:positionV relativeFrom="page">
                  <wp:posOffset>5153025</wp:posOffset>
                </wp:positionV>
                <wp:extent cx="1316990" cy="170815"/>
                <wp:wrapNone/>
                <wp:docPr id="1636" name="1636"/>
                <wp:cNvGraphicFramePr/>
                <a:graphic>
                  <a:graphicData uri="http://schemas.microsoft.com/office/word/2010/wordprocessingShape">
                    <wps:wsp>
                      <wps:cNvSpPr/>
                      <wps:spPr>
                        <a:xfrm>
                          <a:off x="0" y="0"/>
                          <a:ext cx="13169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05.75pt;z-index:-251034624;width:103.70pt;height:13.45pt;" id="1636" coordsize="207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10" locked="0" layoutInCell="1" allowOverlap="1">
                <wp:simplePos x="0" y="0"/>
                <wp:positionH relativeFrom="page">
                  <wp:posOffset>3931920</wp:posOffset>
                </wp:positionH>
                <wp:positionV relativeFrom="page">
                  <wp:posOffset>5330825</wp:posOffset>
                </wp:positionV>
                <wp:extent cx="641350" cy="167005"/>
                <wp:wrapNone/>
                <wp:docPr id="1637" name="1637"/>
                <wp:cNvGraphicFramePr/>
                <a:graphic>
                  <a:graphicData uri="http://schemas.microsoft.com/office/word/2010/wordprocessingShape">
                    <wps:wsp>
                      <wps:cNvSpPr/>
                      <wps:spPr>
                        <a:xfrm>
                          <a:off x="0" y="0"/>
                          <a:ext cx="6413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419.75pt;z-index:-251033600;width:50.50pt;height:13.15pt;" id="1637" coordsize="1010,263" stroked="f" fillcolor="#ffffff" opacity="0f">
                <v:stroke endcap="round"/>
                <v:fill opacity="0f"/>
                <w10:wrap anchorx="page" anchory="page" side="both"/>
              </v:rect>
            </w:pict>
          </mc:Fallback>
        </mc:AlternateContent>
      </w:r>
    </w:p>
    <w:p>
      <w:pPr>
        <w:autoSpaceDE w:val="0"/>
        <w:autoSpaceDN w:val="0"/>
        <w:jc w:val="left"/>
        <w:spacing w:before="0" w:after="0" w:lineRule="auto" w:line="239"/>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激光</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激光物理</w:t>
      </w:r>
      <w:r>
        <w:rPr>
          <w:rFonts w:ascii="宋体" w:hAnsi="宋体" w:cs="宋体" w:eastAsia="宋体" w:hint="ascii"/>
          <w:sz w:val="18"/>
        </w:rPr>
        <mc:AlternateContent>
          <mc:Choice Requires="wps">
            <w:drawing>
              <wp:anchor distL="0" distR="0" distT="0" distB="0" simplePos="0" behindDoc="1" relativeHeight="611" locked="0" layoutInCell="1" allowOverlap="1">
                <wp:simplePos x="0" y="0"/>
                <wp:positionH relativeFrom="page">
                  <wp:posOffset>4352290</wp:posOffset>
                </wp:positionH>
                <wp:positionV relativeFrom="page">
                  <wp:posOffset>5515610</wp:posOffset>
                </wp:positionV>
                <wp:extent cx="977900" cy="170815"/>
                <wp:wrapNone/>
                <wp:docPr id="1638" name="1638"/>
                <wp:cNvGraphicFramePr/>
                <a:graphic>
                  <a:graphicData uri="http://schemas.microsoft.com/office/word/2010/wordprocessingShape">
                    <wps:wsp>
                      <wps:cNvSpPr/>
                      <wps:spPr>
                        <a:xfrm>
                          <a:off x="0" y="0"/>
                          <a:ext cx="977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34.30pt;z-index:-251032576;width:77.00pt;height:13.45pt;" id="1638" coordsize="1540,269" stroked="f" fillcolor="#ffffff" opacity="0f">
                <v:stroke endcap="round"/>
                <v:fill opacity="0f"/>
                <w10:wrap anchorx="page" anchory="page" side="both"/>
              </v:rect>
            </w:pict>
          </mc:Fallback>
        </mc:AlternateContent>
      </w:r>
    </w:p>
    <w:p>
      <w:pPr>
        <w:autoSpaceDE w:val="0"/>
        <w:autoSpaceDN w:val="0"/>
        <w:jc w:val="both"/>
        <w:spacing w:before="68"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激</w:t>
      </w:r>
      <w:r>
        <w:rPr>
          <w:rFonts w:ascii="宋体" w:hAnsi="宋体" w:cs="宋体" w:eastAsia="宋体" w:hint="ascii"/>
          <w:sz w:val="18"/>
        </w:rPr>
        <w:t>光与物质相互作用</w:t>
      </w:r>
      <w:r>
        <w:rPr>
          <w:rFonts w:ascii="Times New Roman" w:hAnsi="Times New Roman" w:cs="Times New Roman" w:eastAsia="Times New Roman" w:hint="ascii"/>
          <w:sz w:val="18"/>
        </w:rPr>
        <w:t>F050603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超快光子学与超</w:t>
      </w:r>
      <w:r>
        <w:rPr>
          <w:rFonts w:ascii="宋体" w:hAnsi="宋体" w:cs="宋体" w:eastAsia="宋体" w:hint="ascii"/>
          <w:sz w:val="18"/>
        </w:rPr>
        <w:t>快</w:t>
      </w:r>
      <w:r>
        <w:rPr>
          <w:rFonts w:ascii="宋体" w:hAnsi="宋体" w:cs="宋体" w:eastAsia="宋体" w:hint="ascii"/>
          <w:sz w:val="18"/>
        </w:rPr>
        <mc:AlternateContent>
          <mc:Choice Requires="wps">
            <w:drawing>
              <wp:anchor distL="0" distR="0" distT="0" distB="0" simplePos="0" behindDoc="1" relativeHeight="612" locked="0" layoutInCell="1" allowOverlap="1">
                <wp:simplePos x="0" y="0"/>
                <wp:positionH relativeFrom="page">
                  <wp:posOffset>4352290</wp:posOffset>
                </wp:positionH>
                <wp:positionV relativeFrom="page">
                  <wp:posOffset>5697855</wp:posOffset>
                </wp:positionV>
                <wp:extent cx="1549400" cy="170815"/>
                <wp:wrapNone/>
                <wp:docPr id="1639" name="1639"/>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48.65pt;z-index:-251031552;width:122.00pt;height:13.45pt;" id="1639"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13" locked="0" layoutInCell="1" allowOverlap="1">
                <wp:simplePos x="0" y="0"/>
                <wp:positionH relativeFrom="page">
                  <wp:posOffset>4352290</wp:posOffset>
                </wp:positionH>
                <wp:positionV relativeFrom="page">
                  <wp:posOffset>5879465</wp:posOffset>
                </wp:positionV>
                <wp:extent cx="1465580" cy="170815"/>
                <wp:wrapNone/>
                <wp:docPr id="1640" name="1640"/>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62.95pt;z-index:-251030528;width:115.40pt;height:13.45pt;" id="1640"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14" locked="0" layoutInCell="1" allowOverlap="1">
                <wp:simplePos x="0" y="0"/>
                <wp:positionH relativeFrom="page">
                  <wp:posOffset>4878070</wp:posOffset>
                </wp:positionH>
                <wp:positionV relativeFrom="page">
                  <wp:posOffset>6060440</wp:posOffset>
                </wp:positionV>
                <wp:extent cx="236220" cy="170815"/>
                <wp:wrapNone/>
                <wp:docPr id="1641" name="1641"/>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77.20pt;z-index:-251029504;width:18.60pt;height:13.45pt;" id="1641"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过</w:t>
      </w:r>
      <w:r>
        <w:rPr>
          <w:rFonts w:ascii="宋体" w:hAnsi="宋体" w:cs="宋体" w:eastAsia="宋体" w:hint="ascii"/>
          <w:sz w:val="18"/>
        </w:rPr>
        <w:t>程</w:t>
      </w:r>
    </w:p>
    <w:p>
      <w:pPr>
        <w:autoSpaceDE w:val="0"/>
        <w:autoSpaceDN w:val="0"/>
        <w:jc w:val="left"/>
        <w:spacing w:before="62" w:after="0" w:lineRule="auto" w:line="313"/>
        <w:ind w:right="110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固体激光器件</w:t>
      </w:r>
      <w:r>
        <w:rPr>
          <w:rFonts w:ascii="Times New Roman" w:hAnsi="Times New Roman" w:cs="Times New Roman" w:eastAsia="Times New Roman" w:hint="ascii"/>
          <w:sz w:val="18"/>
        </w:rPr>
        <w:t>F050605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气体、准分子、化学</w:t>
      </w:r>
      <w:r>
        <w:rPr>
          <w:rFonts w:ascii="宋体" w:hAnsi="宋体" w:cs="宋体" w:eastAsia="宋体" w:hint="ascii"/>
          <w:sz w:val="18"/>
        </w:rPr>
        <mc:AlternateContent>
          <mc:Choice Requires="wps">
            <w:drawing>
              <wp:anchor distL="0" distR="0" distT="0" distB="0" simplePos="0" behindDoc="1" relativeHeight="615" locked="0" layoutInCell="1" allowOverlap="1">
                <wp:simplePos x="0" y="0"/>
                <wp:positionH relativeFrom="page">
                  <wp:posOffset>4352290</wp:posOffset>
                </wp:positionH>
                <wp:positionV relativeFrom="page">
                  <wp:posOffset>6242685</wp:posOffset>
                </wp:positionV>
                <wp:extent cx="1206500" cy="170815"/>
                <wp:wrapNone/>
                <wp:docPr id="1642" name="1642"/>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91.55pt;z-index:-251028480;width:95.00pt;height:13.45pt;" id="1642"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16" locked="0" layoutInCell="1" allowOverlap="1">
                <wp:simplePos x="0" y="0"/>
                <wp:positionH relativeFrom="page">
                  <wp:posOffset>4352290</wp:posOffset>
                </wp:positionH>
                <wp:positionV relativeFrom="page">
                  <wp:posOffset>6424295</wp:posOffset>
                </wp:positionV>
                <wp:extent cx="1549400" cy="170815"/>
                <wp:wrapNone/>
                <wp:docPr id="1643" name="164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05.85pt;z-index:-251027456;width:122.00pt;height:13.45pt;" id="1643"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17" locked="0" layoutInCell="1" allowOverlap="1">
                <wp:simplePos x="0" y="0"/>
                <wp:positionH relativeFrom="page">
                  <wp:posOffset>4878070</wp:posOffset>
                </wp:positionH>
                <wp:positionV relativeFrom="page">
                  <wp:posOffset>6605270</wp:posOffset>
                </wp:positionV>
                <wp:extent cx="228600" cy="170815"/>
                <wp:wrapNone/>
                <wp:docPr id="1644" name="1644"/>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20.10pt;z-index:-251026432;width:18.00pt;height:13.45pt;" id="1644" coordsize="36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激光</w:t>
      </w:r>
    </w:p>
    <w:p>
      <w:pPr>
        <w:autoSpaceDE w:val="0"/>
        <w:autoSpaceDN w:val="0"/>
        <w:jc w:val="left"/>
        <w:spacing w:before="62" w:after="0" w:lineRule="auto" w:line="240"/>
        <w:ind w:right="0" w:left="662" w:firstLine="0"/>
        <w:snapToGrid w:val="0"/>
        <w:textAlignment w:val="auto"/>
        <w:tabs/>
        <w:rPr>
          <w:rFonts w:ascii="Times New Roman" w:hAnsi="Times New Roman" w:cs="Times New Roman" w:eastAsia="Times New Roman" w:hint="ascii"/>
          <w:sz w:val="18"/>
        </w:rPr>
      </w:pPr>
      <w:r>
        <w:rPr>
          <w:rFonts w:ascii="Times New Roman" w:hAnsi="Times New Roman" w:cs="Times New Roman" w:eastAsia="Times New Roman" w:hint="ascii"/>
          <w:sz w:val="18"/>
        </w:rPr>
        <w:t>F050606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自由电子激光</w:t>
      </w:r>
      <w:r>
        <w:rPr>
          <w:rFonts w:ascii="宋体" w:hAnsi="宋体" w:cs="宋体" w:eastAsia="宋体" w:hint="ascii"/>
          <w:sz w:val="18"/>
          <w:spacing w:val="22"/>
        </w:rPr>
        <w:t>与</w:t>
      </w:r>
      <w:r>
        <w:rPr>
          <w:rFonts w:ascii="Times New Roman" w:hAnsi="Times New Roman" w:cs="Times New Roman" w:eastAsia="Times New Roman" w:hint="ascii"/>
          <w:sz w:val="18"/>
        </w:rPr>
        <w:t>X</w:t>
      </w:r>
      <w:r>
        <w:rPr>
          <w:rFonts w:ascii="Times New Roman" w:hAnsi="Times New Roman" w:cs="Times New Roman" w:eastAsia="Times New Roman" w:hint="ascii"/>
          <w:sz w:val="18"/>
        </w:rPr>
        <mc:AlternateContent>
          <mc:Choice Requires="wps">
            <w:drawing>
              <wp:anchor distL="0" distR="0" distT="0" distB="0" simplePos="0" behindDoc="1" relativeHeight="618" locked="0" layoutInCell="1" allowOverlap="1">
                <wp:simplePos x="0" y="0"/>
                <wp:positionH relativeFrom="page">
                  <wp:posOffset>4352290</wp:posOffset>
                </wp:positionH>
                <wp:positionV relativeFrom="page">
                  <wp:posOffset>6787515</wp:posOffset>
                </wp:positionV>
                <wp:extent cx="1431925" cy="170815"/>
                <wp:wrapNone/>
                <wp:docPr id="1645" name="1645"/>
                <wp:cNvGraphicFramePr/>
                <a:graphic>
                  <a:graphicData uri="http://schemas.microsoft.com/office/word/2010/wordprocessingShape">
                    <wps:wsp>
                      <wps:cNvSpPr/>
                      <wps:spPr>
                        <a:xfrm>
                          <a:off x="0" y="0"/>
                          <a:ext cx="143192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34.45pt;z-index:-251025408;width:112.75pt;height:13.45pt;" id="1645" coordsize="2255,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射线激光</w:t>
      </w:r>
      <w:r>
        <w:rPr>
          <w:rFonts w:ascii="宋体" w:hAnsi="宋体" w:cs="宋体" w:eastAsia="宋体" w:hint="ascii"/>
          <w:sz w:val="18"/>
        </w:rPr>
        <mc:AlternateContent>
          <mc:Choice Requires="wps">
            <w:drawing>
              <wp:anchor distL="0" distR="0" distT="0" distB="0" simplePos="0" behindDoc="1" relativeHeight="619" locked="0" layoutInCell="1" allowOverlap="1">
                <wp:simplePos x="0" y="0"/>
                <wp:positionH relativeFrom="page">
                  <wp:posOffset>4878070</wp:posOffset>
                </wp:positionH>
                <wp:positionV relativeFrom="page">
                  <wp:posOffset>6969125</wp:posOffset>
                </wp:positionV>
                <wp:extent cx="457200" cy="170815"/>
                <wp:wrapNone/>
                <wp:docPr id="1646" name="1646"/>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48.75pt;z-index:-251024384;width:36.00pt;height:13.45pt;" id="1646" coordsize="720,269" stroked="f" fillcolor="#ffffff" opacity="0f">
                <v:stroke endcap="round"/>
                <v:fill opacity="0f"/>
                <w10:wrap anchorx="page" anchory="page" side="both"/>
              </v:rect>
            </w:pict>
          </mc:Fallback>
        </mc:AlternateContent>
      </w:r>
    </w:p>
    <w:p>
      <w:pPr>
        <w:autoSpaceDE w:val="0"/>
        <w:autoSpaceDN w:val="0"/>
        <w:jc w:val="left"/>
        <w:spacing w:before="61" w:after="0" w:lineRule="auto" w:line="314"/>
        <w:ind w:right="124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F050607</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光纤激光器</w:t>
      </w:r>
      <w:r>
        <w:rPr>
          <w:rFonts w:ascii="Times New Roman" w:hAnsi="Times New Roman" w:cs="Times New Roman" w:eastAsia="Times New Roman" w:hint="ascii"/>
          <w:sz w:val="18"/>
        </w:rPr>
        <w:t>F050608</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激光技术及应用</w:t>
      </w:r>
      <w:r>
        <w:rPr>
          <w:rFonts w:ascii="Times New Roman" w:hAnsi="Times New Roman" w:cs="Times New Roman" w:eastAsia="Times New Roman" w:hint="ascii"/>
          <w:sz w:val="18"/>
        </w:rPr>
        <w:t>F050609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激光传输、调控</w:t>
      </w:r>
      <w:r>
        <w:rPr>
          <w:rFonts w:ascii="宋体" w:hAnsi="宋体" w:cs="宋体" w:eastAsia="宋体" w:hint="ascii"/>
          <w:sz w:val="18"/>
        </w:rPr>
        <w:t>与</w:t>
      </w:r>
      <w:r>
        <w:rPr>
          <w:rFonts w:ascii="宋体" w:hAnsi="宋体" w:cs="宋体" w:eastAsia="宋体" w:hint="ascii"/>
          <w:sz w:val="18"/>
        </w:rPr>
        <mc:AlternateContent>
          <mc:Choice Requires="wps">
            <w:drawing>
              <wp:anchor distL="0" distR="0" distT="0" distB="0" simplePos="0" behindDoc="1" relativeHeight="620" locked="0" layoutInCell="1" allowOverlap="1">
                <wp:simplePos x="0" y="0"/>
                <wp:positionH relativeFrom="page">
                  <wp:posOffset>4352290</wp:posOffset>
                </wp:positionH>
                <wp:positionV relativeFrom="page">
                  <wp:posOffset>7150100</wp:posOffset>
                </wp:positionV>
                <wp:extent cx="1092200" cy="170815"/>
                <wp:wrapNone/>
                <wp:docPr id="1647" name="1647"/>
                <wp:cNvGraphicFramePr/>
                <a:graphic>
                  <a:graphicData uri="http://schemas.microsoft.com/office/word/2010/wordprocessingShape">
                    <wps:wsp>
                      <wps:cNvSpPr/>
                      <wps:spPr>
                        <a:xfrm>
                          <a:off x="0" y="0"/>
                          <a:ext cx="1092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63.00pt;z-index:-251023360;width:86.00pt;height:13.45pt;" id="1647" coordsize="172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21" locked="0" layoutInCell="1" allowOverlap="1">
                <wp:simplePos x="0" y="0"/>
                <wp:positionH relativeFrom="page">
                  <wp:posOffset>4352290</wp:posOffset>
                </wp:positionH>
                <wp:positionV relativeFrom="page">
                  <wp:posOffset>7332345</wp:posOffset>
                </wp:positionV>
                <wp:extent cx="1320800" cy="170815"/>
                <wp:wrapNone/>
                <wp:docPr id="1648" name="1648"/>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77.35pt;z-index:-251022336;width:104.00pt;height:13.45pt;" id="1648"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22" locked="0" layoutInCell="1" allowOverlap="1">
                <wp:simplePos x="0" y="0"/>
                <wp:positionH relativeFrom="page">
                  <wp:posOffset>4352290</wp:posOffset>
                </wp:positionH>
                <wp:positionV relativeFrom="page">
                  <wp:posOffset>7513955</wp:posOffset>
                </wp:positionV>
                <wp:extent cx="1465580" cy="170815"/>
                <wp:wrapNone/>
                <wp:docPr id="1649" name="1649"/>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91.65pt;z-index:-251021312;width:115.40pt;height:13.45pt;" id="1649"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23" locked="0" layoutInCell="1" allowOverlap="1">
                <wp:simplePos x="0" y="0"/>
                <wp:positionH relativeFrom="page">
                  <wp:posOffset>4878070</wp:posOffset>
                </wp:positionH>
                <wp:positionV relativeFrom="page">
                  <wp:posOffset>7694930</wp:posOffset>
                </wp:positionV>
                <wp:extent cx="236220" cy="170815"/>
                <wp:wrapNone/>
                <wp:docPr id="1650" name="1650"/>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05.90pt;z-index:-251020288;width:18.60pt;height:13.45pt;" id="1650"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合</w:t>
      </w:r>
      <w:r>
        <w:rPr>
          <w:rFonts w:ascii="宋体" w:hAnsi="宋体" w:cs="宋体" w:eastAsia="宋体" w:hint="ascii"/>
          <w:sz w:val="18"/>
        </w:rPr>
        <w:t>成</w:t>
      </w:r>
    </w:p>
    <w:p>
      <w:pPr>
        <w:autoSpaceDE w:val="0"/>
        <w:autoSpaceDN w:val="0"/>
        <w:jc w:val="both"/>
        <w:spacing w:before="62"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F050610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高</w:t>
      </w:r>
      <w:r>
        <w:rPr>
          <w:rFonts w:ascii="宋体" w:hAnsi="宋体" w:cs="宋体" w:eastAsia="宋体" w:hint="ascii"/>
          <w:sz w:val="18"/>
        </w:rPr>
        <w:t>次谐波与阿秒脉冲</w:t>
      </w:r>
      <w:r>
        <w:rPr>
          <w:rFonts w:ascii="Times New Roman" w:hAnsi="Times New Roman" w:cs="Times New Roman" w:eastAsia="Times New Roman" w:hint="ascii"/>
          <w:sz w:val="18"/>
          <w:spacing w:val="-1"/>
        </w:rPr>
        <w:t>F050</w:t>
      </w:r>
      <w:r>
        <w:rPr>
          <w:rFonts w:ascii="Times New Roman" w:hAnsi="Times New Roman" w:cs="Times New Roman" w:eastAsia="Times New Roman" w:hint="ascii"/>
          <w:sz w:val="18"/>
        </w:rPr>
        <w:t>6</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超快、超强及超窄线</w:t>
      </w:r>
      <w:r>
        <w:rPr>
          <w:rFonts w:ascii="宋体" w:hAnsi="宋体" w:cs="宋体" w:eastAsia="宋体" w:hint="ascii"/>
          <w:sz w:val="18"/>
        </w:rPr>
        <mc:AlternateContent>
          <mc:Choice Requires="wps">
            <w:drawing>
              <wp:anchor distL="0" distR="0" distT="0" distB="0" simplePos="0" behindDoc="1" relativeHeight="624" locked="0" layoutInCell="1" allowOverlap="1">
                <wp:simplePos x="0" y="0"/>
                <wp:positionH relativeFrom="page">
                  <wp:posOffset>4352290</wp:posOffset>
                </wp:positionH>
                <wp:positionV relativeFrom="page">
                  <wp:posOffset>7877175</wp:posOffset>
                </wp:positionV>
                <wp:extent cx="1549400" cy="170815"/>
                <wp:wrapNone/>
                <wp:docPr id="1651" name="165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20.25pt;z-index:-251019264;width:122.00pt;height:13.45pt;" id="1651"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25" locked="0" layoutInCell="1" allowOverlap="1">
                <wp:simplePos x="0" y="0"/>
                <wp:positionH relativeFrom="page">
                  <wp:posOffset>4352290</wp:posOffset>
                </wp:positionH>
                <wp:positionV relativeFrom="page">
                  <wp:posOffset>8058785</wp:posOffset>
                </wp:positionV>
                <wp:extent cx="1545590" cy="170815"/>
                <wp:wrapNone/>
                <wp:docPr id="1652" name="1652"/>
                <wp:cNvGraphicFramePr/>
                <a:graphic>
                  <a:graphicData uri="http://schemas.microsoft.com/office/word/2010/wordprocessingShape">
                    <wps:wsp>
                      <wps:cNvSpPr/>
                      <wps:spPr>
                        <a:xfrm>
                          <a:off x="0" y="0"/>
                          <a:ext cx="15455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34.55pt;z-index:-251018240;width:121.70pt;height:13.45pt;" id="1652" coordsize="243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26" locked="0" layoutInCell="1" allowOverlap="1">
                <wp:simplePos x="0" y="0"/>
                <wp:positionH relativeFrom="page">
                  <wp:posOffset>4878070</wp:posOffset>
                </wp:positionH>
                <wp:positionV relativeFrom="page">
                  <wp:posOffset>8239760</wp:posOffset>
                </wp:positionV>
                <wp:extent cx="571500" cy="170815"/>
                <wp:wrapNone/>
                <wp:docPr id="1653" name="1653"/>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48.80pt;z-index:-251017216;width:45.00pt;height:13.45pt;" id="1653" coordsize="90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宽激光技术</w:t>
      </w:r>
    </w:p>
    <w:p>
      <w:pPr>
        <w:autoSpaceDE w:val="0"/>
        <w:autoSpaceDN w:val="0"/>
        <w:jc w:val="left"/>
        <w:spacing w:before="62" w:after="0" w:lineRule="auto" w:line="240"/>
        <w:ind w:right="0" w:left="662" w:firstLine="0"/>
        <w:snapToGrid w:val="0"/>
        <w:textAlignment w:val="auto"/>
        <w:tabs/>
        <w:sectPr>
          <w:type w:val="continuous"/>
          <w:pgSz w:w="10940" w:h="15080" w:orient="portrait"/>
          <w:pgMar w:top="508" w:right="508" w:bottom="508" w:left="508" w:header="0" w:footer="0" w:gutter="0"/>
          <w:cols w:num="2" w:space="0" w:equalWidth="0">
            <w:col w:w="4744" w:space="940"/>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F050612</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光频梳技术及应用</w:t>
      </w:r>
      <w:r>
        <w:rPr>
          <w:rFonts w:ascii="宋体" w:hAnsi="宋体" w:cs="宋体" w:eastAsia="宋体" w:hint="ascii"/>
          <w:sz w:val="18"/>
        </w:rPr>
        <mc:AlternateContent>
          <mc:Choice Requires="wps">
            <w:drawing>
              <wp:anchor distL="0" distR="0" distT="0" distB="0" simplePos="0" behindDoc="1" relativeHeight="627" locked="0" layoutInCell="1" allowOverlap="1">
                <wp:simplePos x="0" y="0"/>
                <wp:positionH relativeFrom="page">
                  <wp:posOffset>4352290</wp:posOffset>
                </wp:positionH>
                <wp:positionV relativeFrom="page">
                  <wp:posOffset>8422005</wp:posOffset>
                </wp:positionV>
                <wp:extent cx="1435100" cy="170815"/>
                <wp:wrapNone/>
                <wp:docPr id="1654" name="1654"/>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63.15pt;z-index:-251016192;width:113.00pt;height:13.45pt;" id="1654" coordsize="2260,269" stroked="f" fillcolor="#ffffff" opacity="0f">
                <v:stroke endcap="round"/>
                <v:fill opacity="0f"/>
                <w10:wrap anchorx="page" anchory="page" side="both"/>
              </v:rect>
            </w:pict>
          </mc:Fallback>
        </mc:AlternateContent>
      </w:r>
      <w:rPr>
        <w:rFonts w:ascii="宋体" w:hAnsi="宋体" w:cs="宋体" w:eastAsia="宋体" w:hint="ascii"/>
        <w:sz w:val="18"/>
      </w:rPr>
    </w:p>
    <w:p>
      <w:pPr>
        <w:autoSpaceDE w:val="0"/>
        <w:autoSpaceDN w:val="0"/>
        <w:jc w:val="left"/>
        <w:spacing w:before="421" w:after="0" w:lineRule="exact" w:line="225"/>
        <w:ind w:right="0" w:left="966"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288</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F050613</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新型激光</w:t>
      </w:r>
      <w:r>
        <w:rPr>
          <w:rFonts w:ascii="宋体" w:hAnsi="宋体" w:cs="宋体" w:eastAsia="宋体" w:hint="ascii"/>
          <w:sz w:val="18"/>
        </w:rPr>
        <mc:AlternateContent>
          <mc:Choice Requires="wps">
            <w:drawing>
              <wp:anchor distL="0" distR="0" distT="0" distB="0" simplePos="0" behindDoc="1" relativeHeight="628" locked="0" layoutInCell="1" allowOverlap="1">
                <wp:simplePos x="0" y="0"/>
                <wp:positionH relativeFrom="page">
                  <wp:posOffset>938530</wp:posOffset>
                </wp:positionH>
                <wp:positionV relativeFrom="page">
                  <wp:posOffset>819150</wp:posOffset>
                </wp:positionV>
                <wp:extent cx="5076190" cy="0"/>
                <wp:wrapNone/>
                <wp:docPr id="1655" name="165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1015168;width:399.70pt;" id="1655"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18"/>
        </w:rPr>
        <mc:AlternateContent>
          <mc:Choice Requires="wps">
            <w:drawing>
              <wp:anchor distL="0" distR="0" distT="0" distB="0" simplePos="0" behindDoc="1" relativeHeight="629" locked="0" layoutInCell="1" allowOverlap="1">
                <wp:simplePos x="0" y="0"/>
                <wp:positionH relativeFrom="page">
                  <wp:posOffset>1762760</wp:posOffset>
                </wp:positionH>
                <wp:positionV relativeFrom="page">
                  <wp:posOffset>975995</wp:posOffset>
                </wp:positionV>
                <wp:extent cx="977900" cy="170815"/>
                <wp:wrapNone/>
                <wp:docPr id="1656" name="1656"/>
                <wp:cNvGraphicFramePr/>
                <a:graphic>
                  <a:graphicData uri="http://schemas.microsoft.com/office/word/2010/wordprocessingShape">
                    <wps:wsp>
                      <wps:cNvSpPr/>
                      <wps:spPr>
                        <a:xfrm>
                          <a:off x="0" y="0"/>
                          <a:ext cx="977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76.85pt;z-index:-251014144;width:77.00pt;height:13.45pt;" id="1656" coordsize="1540,269"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光谱技术</w:t>
      </w:r>
      <w:r>
        <w:rPr>
          <w:rFonts w:ascii="宋体" w:hAnsi="宋体" w:cs="宋体" w:eastAsia="宋体" w:hint="ascii"/>
          <w:sz w:val="18"/>
        </w:rPr>
        <mc:AlternateContent>
          <mc:Choice Requires="wps">
            <w:drawing>
              <wp:anchor distL="0" distR="0" distT="0" distB="0" simplePos="0" behindDoc="1" relativeHeight="630" locked="0" layoutInCell="1" allowOverlap="1">
                <wp:simplePos x="0" y="0"/>
                <wp:positionH relativeFrom="page">
                  <wp:posOffset>1341755</wp:posOffset>
                </wp:positionH>
                <wp:positionV relativeFrom="page">
                  <wp:posOffset>1153160</wp:posOffset>
                </wp:positionV>
                <wp:extent cx="869950" cy="167005"/>
                <wp:wrapNone/>
                <wp:docPr id="1657" name="1657"/>
                <wp:cNvGraphicFramePr/>
                <a:graphic>
                  <a:graphicData uri="http://schemas.microsoft.com/office/word/2010/wordprocessingShape">
                    <wps:wsp>
                      <wps:cNvSpPr/>
                      <wps:spPr>
                        <a:xfrm>
                          <a:off x="0" y="0"/>
                          <a:ext cx="8699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90.80pt;z-index:-251013120;width:68.50pt;height:13.15pt;" id="1657" coordsize="1370,263" stroked="f" fillcolor="#ffffff" opacity="0f">
                <v:stroke endcap="round"/>
                <v:fill opacity="0f"/>
                <w10:wrap anchorx="page" anchory="page" side="both"/>
              </v:rect>
            </w:pict>
          </mc:Fallback>
        </mc:AlternateContent>
      </w:r>
    </w:p>
    <w:p>
      <w:pPr>
        <w:autoSpaceDE w:val="0"/>
        <w:autoSpaceDN w:val="0"/>
        <w:jc w:val="left"/>
        <w:spacing w:before="68"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新型光谱技术与系统</w:t>
      </w:r>
      <w:r>
        <w:rPr>
          <w:rFonts w:ascii="Times New Roman" w:hAnsi="Times New Roman" w:cs="Times New Roman" w:eastAsia="Times New Roman" w:hint="ascii"/>
          <w:sz w:val="18"/>
        </w:rPr>
        <w:t>F050702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光谱诊断技术</w:t>
      </w:r>
      <w:r>
        <w:rPr>
          <w:rFonts w:ascii="Times New Roman" w:hAnsi="Times New Roman" w:cs="Times New Roman" w:eastAsia="Times New Roman" w:hint="ascii"/>
          <w:sz w:val="18"/>
        </w:rPr>
        <w:t>F050703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超快光谱技术</w:t>
      </w:r>
      <w:r>
        <w:rPr>
          <w:rFonts w:ascii="Times New Roman" w:hAnsi="Times New Roman" w:cs="Times New Roman" w:eastAsia="Times New Roman" w:hint="ascii"/>
          <w:sz w:val="18"/>
        </w:rPr>
        <w:t>F050704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激光光谱技术及应用</w:t>
      </w:r>
      <w:r>
        <w:rPr>
          <w:rFonts w:ascii="Times New Roman" w:hAnsi="Times New Roman" w:cs="Times New Roman" w:eastAsia="Times New Roman" w:hint="ascii"/>
          <w:sz w:val="18"/>
        </w:rPr>
        <w:t>F050705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成像光谱技术</w:t>
      </w:r>
      <w:r>
        <w:rPr>
          <w:rFonts w:ascii="Times New Roman" w:hAnsi="Times New Roman" w:cs="Times New Roman" w:eastAsia="Times New Roman" w:hint="ascii"/>
          <w:sz w:val="18"/>
        </w:rPr>
        <w:t>F050706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光频梳光谱学技术</w:t>
      </w:r>
      <w:r>
        <w:rPr>
          <w:rFonts w:ascii="Times New Roman" w:hAnsi="Times New Roman" w:cs="Times New Roman" w:eastAsia="Times New Roman" w:hint="ascii"/>
          <w:sz w:val="18"/>
        </w:rPr>
        <w:t>F050707</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超光谱、高光谱与多</w:t>
      </w:r>
      <w:r>
        <w:rPr>
          <w:rFonts w:ascii="宋体" w:hAnsi="宋体" w:cs="宋体" w:eastAsia="宋体" w:hint="ascii"/>
          <w:sz w:val="18"/>
        </w:rPr>
        <mc:AlternateContent>
          <mc:Choice Requires="wps">
            <w:drawing>
              <wp:anchor distL="0" distR="0" distT="0" distB="0" simplePos="0" behindDoc="1" relativeHeight="631" locked="0" layoutInCell="1" allowOverlap="1">
                <wp:simplePos x="0" y="0"/>
                <wp:positionH relativeFrom="page">
                  <wp:posOffset>1762760</wp:posOffset>
                </wp:positionH>
                <wp:positionV relativeFrom="page">
                  <wp:posOffset>1339215</wp:posOffset>
                </wp:positionV>
                <wp:extent cx="1549400" cy="170815"/>
                <wp:wrapNone/>
                <wp:docPr id="1658" name="165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05.45pt;z-index:-251012096;width:122.00pt;height:13.45pt;" id="1658"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32" locked="0" layoutInCell="1" allowOverlap="1">
                <wp:simplePos x="0" y="0"/>
                <wp:positionH relativeFrom="page">
                  <wp:posOffset>1762760</wp:posOffset>
                </wp:positionH>
                <wp:positionV relativeFrom="page">
                  <wp:posOffset>1520825</wp:posOffset>
                </wp:positionV>
                <wp:extent cx="1206500" cy="170815"/>
                <wp:wrapNone/>
                <wp:docPr id="1659" name="1659"/>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19.75pt;z-index:-251011072;width:95.00pt;height:13.45pt;" id="1659"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33" locked="0" layoutInCell="1" allowOverlap="1">
                <wp:simplePos x="0" y="0"/>
                <wp:positionH relativeFrom="page">
                  <wp:posOffset>1762760</wp:posOffset>
                </wp:positionH>
                <wp:positionV relativeFrom="page">
                  <wp:posOffset>1701800</wp:posOffset>
                </wp:positionV>
                <wp:extent cx="1263650" cy="170815"/>
                <wp:wrapNone/>
                <wp:docPr id="1660" name="1660"/>
                <wp:cNvGraphicFramePr/>
                <a:graphic>
                  <a:graphicData uri="http://schemas.microsoft.com/office/word/2010/wordprocessingShape">
                    <wps:wsp>
                      <wps:cNvSpPr/>
                      <wps:spPr>
                        <a:xfrm>
                          <a:off x="0" y="0"/>
                          <a:ext cx="12636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34.00pt;z-index:-251010048;width:99.50pt;height:13.45pt;" id="1660" coordsize="199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34" locked="0" layoutInCell="1" allowOverlap="1">
                <wp:simplePos x="0" y="0"/>
                <wp:positionH relativeFrom="page">
                  <wp:posOffset>1762760</wp:posOffset>
                </wp:positionH>
                <wp:positionV relativeFrom="page">
                  <wp:posOffset>1884045</wp:posOffset>
                </wp:positionV>
                <wp:extent cx="1549400" cy="170815"/>
                <wp:wrapNone/>
                <wp:docPr id="1661" name="166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48.35pt;z-index:-251009024;width:122.00pt;height:13.45pt;" id="1661"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35" locked="0" layoutInCell="1" allowOverlap="1">
                <wp:simplePos x="0" y="0"/>
                <wp:positionH relativeFrom="page">
                  <wp:posOffset>1762760</wp:posOffset>
                </wp:positionH>
                <wp:positionV relativeFrom="page">
                  <wp:posOffset>2065655</wp:posOffset>
                </wp:positionV>
                <wp:extent cx="1206500" cy="170815"/>
                <wp:wrapNone/>
                <wp:docPr id="1662" name="1662"/>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62.65pt;z-index:-251008000;width:95.00pt;height:13.45pt;" id="1662"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36" locked="0" layoutInCell="1" allowOverlap="1">
                <wp:simplePos x="0" y="0"/>
                <wp:positionH relativeFrom="page">
                  <wp:posOffset>1762760</wp:posOffset>
                </wp:positionH>
                <wp:positionV relativeFrom="page">
                  <wp:posOffset>2246630</wp:posOffset>
                </wp:positionV>
                <wp:extent cx="1435100" cy="170815"/>
                <wp:wrapNone/>
                <wp:docPr id="1663" name="1663"/>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76.90pt;z-index:-251006976;width:113.00pt;height:13.45pt;" id="1663"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37" locked="0" layoutInCell="1" allowOverlap="1">
                <wp:simplePos x="0" y="0"/>
                <wp:positionH relativeFrom="page">
                  <wp:posOffset>1762760</wp:posOffset>
                </wp:positionH>
                <wp:positionV relativeFrom="page">
                  <wp:posOffset>2428875</wp:posOffset>
                </wp:positionV>
                <wp:extent cx="1549400" cy="170815"/>
                <wp:wrapNone/>
                <wp:docPr id="1664" name="1664"/>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91.25pt;z-index:-251005952;width:122.00pt;height:13.45pt;" id="1664"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38" locked="0" layoutInCell="1" allowOverlap="1">
                <wp:simplePos x="0" y="0"/>
                <wp:positionH relativeFrom="page">
                  <wp:posOffset>2288540</wp:posOffset>
                </wp:positionH>
                <wp:positionV relativeFrom="page">
                  <wp:posOffset>2610485</wp:posOffset>
                </wp:positionV>
                <wp:extent cx="457200" cy="170815"/>
                <wp:wrapNone/>
                <wp:docPr id="1665" name="1665"/>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05.55pt;z-index:-251004928;width:36.00pt;height:13.45pt;" id="1665" coordsize="72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光谱技术</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F050708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太赫兹光谱技术</w:t>
      </w:r>
      <w:r>
        <w:rPr>
          <w:rFonts w:ascii="宋体" w:hAnsi="宋体" w:cs="宋体" w:eastAsia="宋体" w:hint="ascii"/>
          <w:sz w:val="18"/>
        </w:rPr>
        <w:t>及</w:t>
      </w:r>
      <w:r>
        <w:rPr>
          <w:rFonts w:ascii="宋体" w:hAnsi="宋体" w:cs="宋体" w:eastAsia="宋体" w:hint="ascii"/>
          <w:sz w:val="18"/>
        </w:rPr>
        <mc:AlternateContent>
          <mc:Choice Requires="wps">
            <w:drawing>
              <wp:anchor distL="0" distR="0" distT="0" distB="0" simplePos="0" behindDoc="1" relativeHeight="639" locked="0" layoutInCell="1" allowOverlap="1">
                <wp:simplePos x="0" y="0"/>
                <wp:positionH relativeFrom="page">
                  <wp:posOffset>1762760</wp:posOffset>
                </wp:positionH>
                <wp:positionV relativeFrom="page">
                  <wp:posOffset>2791460</wp:posOffset>
                </wp:positionV>
                <wp:extent cx="1465580" cy="170815"/>
                <wp:wrapNone/>
                <wp:docPr id="1666" name="1666"/>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19.80pt;z-index:-251003904;width:115.40pt;height:13.45pt;" id="1666" coordsize="2308,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应</w:t>
      </w:r>
      <w:r>
        <w:rPr>
          <w:rFonts w:ascii="宋体" w:hAnsi="宋体" w:cs="宋体" w:eastAsia="宋体" w:hint="ascii"/>
          <w:sz w:val="18"/>
        </w:rPr>
        <w:t>用</w:t>
      </w:r>
      <w:r>
        <w:rPr>
          <w:rFonts w:ascii="宋体" w:hAnsi="宋体" w:cs="宋体" w:eastAsia="宋体" w:hint="ascii"/>
          <w:sz w:val="18"/>
        </w:rPr>
        <mc:AlternateContent>
          <mc:Choice Requires="wps">
            <w:drawing>
              <wp:anchor distL="0" distR="0" distT="0" distB="0" simplePos="0" behindDoc="1" relativeHeight="640" locked="0" layoutInCell="1" allowOverlap="1">
                <wp:simplePos x="0" y="0"/>
                <wp:positionH relativeFrom="page">
                  <wp:posOffset>2288540</wp:posOffset>
                </wp:positionH>
                <wp:positionV relativeFrom="page">
                  <wp:posOffset>2973705</wp:posOffset>
                </wp:positionV>
                <wp:extent cx="236220" cy="170815"/>
                <wp:wrapNone/>
                <wp:docPr id="1667" name="1667"/>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34.15pt;z-index:-251002880;width:18.60pt;height:13.45pt;" id="1667"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F050709</w:t>
      </w:r>
      <w:r>
        <w:rPr>
          <w:rFonts w:ascii="Times New Roman" w:hAnsi="Times New Roman" w:cs="Times New Roman" w:eastAsia="Times New Roman" w:hint="ascii"/>
          <w:sz w:val="18"/>
          <w:spacing w:val="45"/>
        </w:rPr>
        <w:t xml:space="preserve"> </w:t>
      </w:r>
      <w:r>
        <w:rPr>
          <w:rFonts w:ascii="宋体" w:hAnsi="宋体" w:cs="宋体" w:eastAsia="宋体" w:hint="ascii"/>
          <w:sz w:val="18"/>
        </w:rPr>
        <w:t>偏振光谱技术及应用</w:t>
      </w:r>
      <w:r>
        <w:rPr>
          <w:rFonts w:ascii="宋体" w:hAnsi="宋体" w:cs="宋体" w:eastAsia="宋体" w:hint="ascii"/>
          <w:sz w:val="18"/>
        </w:rPr>
        <mc:AlternateContent>
          <mc:Choice Requires="wps">
            <w:drawing>
              <wp:anchor distL="0" distR="0" distT="0" distB="0" simplePos="0" behindDoc="1" relativeHeight="641" locked="0" layoutInCell="1" allowOverlap="1">
                <wp:simplePos x="0" y="0"/>
                <wp:positionH relativeFrom="page">
                  <wp:posOffset>1762760</wp:posOffset>
                </wp:positionH>
                <wp:positionV relativeFrom="page">
                  <wp:posOffset>3155315</wp:posOffset>
                </wp:positionV>
                <wp:extent cx="1549400" cy="170815"/>
                <wp:wrapNone/>
                <wp:docPr id="1668" name="166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48.45pt;z-index:-251001856;width:122.00pt;height:13.45pt;" id="1668" coordsize="2440,269"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应用光学</w:t>
      </w:r>
      <w:r>
        <w:rPr>
          <w:rFonts w:ascii="宋体" w:hAnsi="宋体" w:cs="宋体" w:eastAsia="宋体" w:hint="ascii"/>
          <w:sz w:val="18"/>
        </w:rPr>
        <mc:AlternateContent>
          <mc:Choice Requires="wps">
            <w:drawing>
              <wp:anchor distL="0" distR="0" distT="0" distB="0" simplePos="0" behindDoc="1" relativeHeight="642" locked="0" layoutInCell="1" allowOverlap="1">
                <wp:simplePos x="0" y="0"/>
                <wp:positionH relativeFrom="page">
                  <wp:posOffset>1341755</wp:posOffset>
                </wp:positionH>
                <wp:positionV relativeFrom="page">
                  <wp:posOffset>3332480</wp:posOffset>
                </wp:positionV>
                <wp:extent cx="869950" cy="167005"/>
                <wp:wrapNone/>
                <wp:docPr id="1669" name="1669"/>
                <wp:cNvGraphicFramePr/>
                <a:graphic>
                  <a:graphicData uri="http://schemas.microsoft.com/office/word/2010/wordprocessingShape">
                    <wps:wsp>
                      <wps:cNvSpPr/>
                      <wps:spPr>
                        <a:xfrm>
                          <a:off x="0" y="0"/>
                          <a:ext cx="8699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262.40pt;z-index:-251000832;width:68.50pt;height:13.15pt;" id="1669" coordsize="1370,263" stroked="f" fillcolor="#ffffff" opacity="0f">
                <v:stroke endcap="round"/>
                <v:fill opacity="0f"/>
                <w10:wrap anchorx="page" anchory="page" side="both"/>
              </v:rect>
            </w:pict>
          </mc:Fallback>
        </mc:AlternateContent>
      </w:r>
    </w:p>
    <w:p>
      <w:pPr>
        <w:autoSpaceDE w:val="0"/>
        <w:autoSpaceDN w:val="0"/>
        <w:jc w:val="both"/>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F050801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7"/>
        </w:rPr>
        <w:t>光</w:t>
      </w:r>
      <w:r>
        <w:rPr>
          <w:rFonts w:ascii="宋体" w:hAnsi="宋体" w:cs="宋体" w:eastAsia="宋体" w:hint="ascii"/>
          <w:sz w:val="18"/>
          <w:spacing w:val="14"/>
        </w:rPr>
        <w:t>学</w:t>
      </w:r>
      <w:r>
        <w:rPr>
          <w:rFonts w:ascii="Times New Roman" w:hAnsi="Times New Roman" w:cs="Times New Roman" w:eastAsia="Times New Roman" w:hint="ascii"/>
          <w:sz w:val="18"/>
          <w:spacing w:val="-6"/>
        </w:rPr>
        <w:t>CA</w:t>
      </w:r>
      <w:r>
        <w:rPr>
          <w:rFonts w:ascii="Times New Roman" w:hAnsi="Times New Roman" w:cs="Times New Roman" w:eastAsia="Times New Roman" w:hint="ascii"/>
          <w:sz w:val="18"/>
          <w:spacing w:val="36"/>
        </w:rPr>
        <w:t>D</w:t>
      </w:r>
      <w:r>
        <w:rPr>
          <w:rFonts w:ascii="宋体" w:hAnsi="宋体" w:cs="宋体" w:eastAsia="宋体" w:hint="ascii"/>
          <w:sz w:val="18"/>
          <w:spacing w:val="-6"/>
        </w:rPr>
        <w:t>与虚拟</w:t>
      </w:r>
      <w:r>
        <w:rPr>
          <w:rFonts w:ascii="宋体" w:hAnsi="宋体" w:cs="宋体" w:eastAsia="宋体" w:hint="ascii"/>
          <w:sz w:val="18"/>
          <w:spacing w:val="-5"/>
        </w:rPr>
        <w:t>光</w:t>
      </w:r>
      <w:r>
        <w:rPr>
          <w:rFonts w:ascii="宋体" w:hAnsi="宋体" w:cs="宋体" w:eastAsia="宋体" w:hint="ascii"/>
          <w:sz w:val="18"/>
        </w:rPr>
        <w:t>学</w:t>
      </w:r>
      <w:r>
        <w:rPr>
          <w:rFonts w:ascii="Times New Roman" w:hAnsi="Times New Roman" w:cs="Times New Roman" w:eastAsia="Times New Roman" w:hint="ascii"/>
          <w:sz w:val="18"/>
        </w:rPr>
        <w:t>F050802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薄膜光学</w:t>
      </w:r>
      <w:r>
        <w:rPr>
          <w:rFonts w:ascii="宋体" w:hAnsi="宋体" w:cs="宋体" w:eastAsia="宋体" w:hint="ascii"/>
          <w:sz w:val="18"/>
        </w:rPr>
        <mc:AlternateContent>
          <mc:Choice Requires="wps">
            <w:drawing>
              <wp:anchor distL="0" distR="0" distT="0" distB="0" simplePos="0" behindDoc="1" relativeHeight="643" locked="0" layoutInCell="1" allowOverlap="1">
                <wp:simplePos x="0" y="0"/>
                <wp:positionH relativeFrom="page">
                  <wp:posOffset>1762760</wp:posOffset>
                </wp:positionH>
                <wp:positionV relativeFrom="page">
                  <wp:posOffset>3518535</wp:posOffset>
                </wp:positionV>
                <wp:extent cx="1550670" cy="170815"/>
                <wp:wrapNone/>
                <wp:docPr id="1670" name="1670"/>
                <wp:cNvGraphicFramePr/>
                <a:graphic>
                  <a:graphicData uri="http://schemas.microsoft.com/office/word/2010/wordprocessingShape">
                    <wps:wsp>
                      <wps:cNvSpPr/>
                      <wps:spPr>
                        <a:xfrm>
                          <a:off x="0" y="0"/>
                          <a:ext cx="155067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77.05pt;z-index:-250999808;width:122.10pt;height:13.45pt;" id="1670" coordsize="2442,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44" locked="0" layoutInCell="1" allowOverlap="1">
                <wp:simplePos x="0" y="0"/>
                <wp:positionH relativeFrom="page">
                  <wp:posOffset>1762760</wp:posOffset>
                </wp:positionH>
                <wp:positionV relativeFrom="page">
                  <wp:posOffset>3700145</wp:posOffset>
                </wp:positionV>
                <wp:extent cx="977900" cy="170815"/>
                <wp:wrapNone/>
                <wp:docPr id="1671" name="1671"/>
                <wp:cNvGraphicFramePr/>
                <a:graphic>
                  <a:graphicData uri="http://schemas.microsoft.com/office/word/2010/wordprocessingShape">
                    <wps:wsp>
                      <wps:cNvSpPr/>
                      <wps:spPr>
                        <a:xfrm>
                          <a:off x="0" y="0"/>
                          <a:ext cx="977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91.35pt;z-index:-250998784;width:77.00pt;height:13.45pt;" id="1671" coordsize="15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45" locked="0" layoutInCell="1" allowOverlap="1">
                <wp:simplePos x="0" y="0"/>
                <wp:positionH relativeFrom="page">
                  <wp:posOffset>1762760</wp:posOffset>
                </wp:positionH>
                <wp:positionV relativeFrom="page">
                  <wp:posOffset>3881120</wp:posOffset>
                </wp:positionV>
                <wp:extent cx="1352550" cy="170815"/>
                <wp:wrapNone/>
                <wp:docPr id="1672" name="1672"/>
                <wp:cNvGraphicFramePr/>
                <a:graphic>
                  <a:graphicData uri="http://schemas.microsoft.com/office/word/2010/wordprocessingShape">
                    <wps:wsp>
                      <wps:cNvSpPr/>
                      <wps:spPr>
                        <a:xfrm>
                          <a:off x="0" y="0"/>
                          <a:ext cx="13525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05.60pt;z-index:-250997760;width:106.50pt;height:13.45pt;" id="1672" coordsize="2130,269" stroked="f" fillcolor="#ffffff" opacity="0f">
                <v:stroke endcap="round"/>
                <v:fill opacity="0f"/>
                <w10:wrap anchorx="page" anchory="page" side="both"/>
              </v:rect>
            </w:pict>
          </mc:Fallback>
        </mc:AlternateContent>
      </w:r>
    </w:p>
    <w:p>
      <w:pPr>
        <w:autoSpaceDE w:val="0"/>
        <w:autoSpaceDN w:val="0"/>
        <w:jc w:val="left"/>
        <w:spacing w:before="0"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w:t>
      </w:r>
      <w:r>
        <w:rPr>
          <w:rFonts w:ascii="Times New Roman" w:hAnsi="Times New Roman" w:cs="Times New Roman" w:eastAsia="Times New Roman" w:hint="ascii"/>
          <w:sz w:val="18"/>
        </w:rPr>
        <w:t>/</w:t>
      </w:r>
      <w:r>
        <w:rPr>
          <w:rFonts w:ascii="宋体" w:hAnsi="宋体" w:cs="宋体" w:eastAsia="宋体" w:hint="ascii"/>
          <w:sz w:val="18"/>
        </w:rPr>
        <w:t>光学系统设</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计、先进光学仪器</w:t>
      </w:r>
      <w:r>
        <w:rPr>
          <w:rFonts w:ascii="宋体" w:hAnsi="宋体" w:cs="宋体" w:eastAsia="宋体" w:hint="ascii"/>
          <w:sz w:val="18"/>
        </w:rPr>
        <mc:AlternateContent>
          <mc:Choice Requires="wps">
            <w:drawing>
              <wp:anchor distL="0" distR="0" distT="0" distB="0" simplePos="0" behindDoc="1" relativeHeight="646" locked="0" layoutInCell="1" allowOverlap="1">
                <wp:simplePos x="0" y="0"/>
                <wp:positionH relativeFrom="page">
                  <wp:posOffset>2288540</wp:posOffset>
                </wp:positionH>
                <wp:positionV relativeFrom="page">
                  <wp:posOffset>4063365</wp:posOffset>
                </wp:positionV>
                <wp:extent cx="914400" cy="170815"/>
                <wp:wrapNone/>
                <wp:docPr id="1673" name="1673"/>
                <wp:cNvGraphicFramePr/>
                <a:graphic>
                  <a:graphicData uri="http://schemas.microsoft.com/office/word/2010/wordprocessingShape">
                    <wps:wsp>
                      <wps:cNvSpPr/>
                      <wps:spPr>
                        <a:xfrm>
                          <a:off x="0" y="0"/>
                          <a:ext cx="914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19.95pt;z-index:-250996736;width:72.00pt;height:13.45pt;" id="1673" coordsize="1440,269" stroked="f" fillcolor="#ffffff" opacity="0f">
                <v:stroke endcap="round"/>
                <v:fill opacity="0f"/>
                <w10:wrap anchorx="page" anchory="page" side="both"/>
              </v:rect>
            </w:pict>
          </mc:Fallback>
        </mc:AlternateContent>
      </w:r>
    </w:p>
    <w:p>
      <w:pPr>
        <w:autoSpaceDE w:val="0"/>
        <w:autoSpaceDN w:val="0"/>
        <w:jc w:val="left"/>
        <w:spacing w:before="61"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先进光学制造与检测</w:t>
      </w:r>
      <w:r>
        <w:rPr>
          <w:rFonts w:ascii="Times New Roman" w:hAnsi="Times New Roman" w:cs="Times New Roman" w:eastAsia="Times New Roman" w:hint="ascii"/>
          <w:sz w:val="18"/>
        </w:rPr>
        <w:t>F050805</w:t>
      </w:r>
      <w:r>
        <w:rPr>
          <w:rFonts w:ascii="Times New Roman" w:hAnsi="Times New Roman" w:cs="Times New Roman" w:eastAsia="Times New Roman" w:hint="ascii"/>
          <w:sz w:val="18"/>
          <w:spacing w:val="45"/>
        </w:rPr>
        <w:t xml:space="preserve"> </w:t>
      </w:r>
      <w:r>
        <w:rPr>
          <w:rFonts w:ascii="宋体" w:hAnsi="宋体" w:cs="宋体" w:eastAsia="宋体" w:hint="ascii"/>
          <w:sz w:val="18"/>
        </w:rPr>
        <w:t>微小光学器件与系统</w:t>
      </w:r>
      <w:r>
        <w:rPr>
          <w:rFonts w:ascii="Times New Roman" w:hAnsi="Times New Roman" w:cs="Times New Roman" w:eastAsia="Times New Roman" w:hint="ascii"/>
          <w:sz w:val="18"/>
        </w:rPr>
        <w:t>F050806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光度学与色度学</w:t>
      </w:r>
      <w:r>
        <w:rPr>
          <w:rFonts w:ascii="Times New Roman" w:hAnsi="Times New Roman" w:cs="Times New Roman" w:eastAsia="Times New Roman" w:hint="ascii"/>
          <w:sz w:val="18"/>
        </w:rPr>
        <w:t>F050807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自适应光学及二</w:t>
      </w:r>
      <w:r>
        <w:rPr>
          <w:rFonts w:ascii="宋体" w:hAnsi="宋体" w:cs="宋体" w:eastAsia="宋体" w:hint="ascii"/>
          <w:sz w:val="18"/>
        </w:rPr>
        <w:t>元</w:t>
      </w:r>
      <w:r>
        <w:rPr>
          <w:rFonts w:ascii="宋体" w:hAnsi="宋体" w:cs="宋体" w:eastAsia="宋体" w:hint="ascii"/>
          <w:sz w:val="18"/>
        </w:rPr>
        <mc:AlternateContent>
          <mc:Choice Requires="wps">
            <w:drawing>
              <wp:anchor distL="0" distR="0" distT="0" distB="0" simplePos="0" behindDoc="1" relativeHeight="647" locked="0" layoutInCell="1" allowOverlap="1">
                <wp:simplePos x="0" y="0"/>
                <wp:positionH relativeFrom="page">
                  <wp:posOffset>1762760</wp:posOffset>
                </wp:positionH>
                <wp:positionV relativeFrom="page">
                  <wp:posOffset>4244975</wp:posOffset>
                </wp:positionV>
                <wp:extent cx="1549400" cy="170815"/>
                <wp:wrapNone/>
                <wp:docPr id="1674" name="1674"/>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34.25pt;z-index:-250995712;width:122.00pt;height:13.45pt;" id="1674"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48" locked="0" layoutInCell="1" allowOverlap="1">
                <wp:simplePos x="0" y="0"/>
                <wp:positionH relativeFrom="page">
                  <wp:posOffset>1762760</wp:posOffset>
                </wp:positionH>
                <wp:positionV relativeFrom="page">
                  <wp:posOffset>4425950</wp:posOffset>
                </wp:positionV>
                <wp:extent cx="1549400" cy="170815"/>
                <wp:wrapNone/>
                <wp:docPr id="1675" name="1675"/>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48.50pt;z-index:-250994688;width:122.00pt;height:13.45pt;" id="1675"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49" locked="0" layoutInCell="1" allowOverlap="1">
                <wp:simplePos x="0" y="0"/>
                <wp:positionH relativeFrom="page">
                  <wp:posOffset>1762760</wp:posOffset>
                </wp:positionH>
                <wp:positionV relativeFrom="page">
                  <wp:posOffset>4608195</wp:posOffset>
                </wp:positionV>
                <wp:extent cx="1320800" cy="170815"/>
                <wp:wrapNone/>
                <wp:docPr id="1676" name="1676"/>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62.85pt;z-index:-250993664;width:104.00pt;height:13.45pt;" id="1676"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50" locked="0" layoutInCell="1" allowOverlap="1">
                <wp:simplePos x="0" y="0"/>
                <wp:positionH relativeFrom="page">
                  <wp:posOffset>1762760</wp:posOffset>
                </wp:positionH>
                <wp:positionV relativeFrom="page">
                  <wp:posOffset>4789805</wp:posOffset>
                </wp:positionV>
                <wp:extent cx="1465580" cy="170815"/>
                <wp:wrapNone/>
                <wp:docPr id="1677" name="1677"/>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77.15pt;z-index:-250992640;width:115.40pt;height:13.45pt;" id="1677"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51" locked="0" layoutInCell="1" allowOverlap="1">
                <wp:simplePos x="0" y="0"/>
                <wp:positionH relativeFrom="page">
                  <wp:posOffset>2288540</wp:posOffset>
                </wp:positionH>
                <wp:positionV relativeFrom="page">
                  <wp:posOffset>4970780</wp:posOffset>
                </wp:positionV>
                <wp:extent cx="236220" cy="170815"/>
                <wp:wrapNone/>
                <wp:docPr id="1678" name="1678"/>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91.40pt;z-index:-250991616;width:18.60pt;height:13.45pt;" id="1678"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光</w:t>
      </w:r>
      <w:r>
        <w:rPr>
          <w:rFonts w:ascii="宋体" w:hAnsi="宋体" w:cs="宋体" w:eastAsia="宋体" w:hint="ascii"/>
          <w:sz w:val="18"/>
        </w:rPr>
        <w:t>学</w: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F050808</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光学测量与计量</w:t>
      </w:r>
      <w:r>
        <w:rPr>
          <w:rFonts w:ascii="Times New Roman" w:hAnsi="Times New Roman" w:cs="Times New Roman" w:eastAsia="Times New Roman" w:hint="ascii"/>
          <w:sz w:val="18"/>
        </w:rPr>
        <w:t>F050809</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制造技术中的光</w:t>
      </w:r>
      <w:r>
        <w:rPr>
          <w:rFonts w:ascii="宋体" w:hAnsi="宋体" w:cs="宋体" w:eastAsia="宋体" w:hint="ascii"/>
          <w:sz w:val="18"/>
        </w:rPr>
        <w:t>学</w:t>
      </w:r>
      <w:r>
        <w:rPr>
          <w:rFonts w:ascii="宋体" w:hAnsi="宋体" w:cs="宋体" w:eastAsia="宋体" w:hint="ascii"/>
          <w:sz w:val="18"/>
        </w:rPr>
        <mc:AlternateContent>
          <mc:Choice Requires="wps">
            <w:drawing>
              <wp:anchor distL="0" distR="0" distT="0" distB="0" simplePos="0" behindDoc="1" relativeHeight="652" locked="0" layoutInCell="1" allowOverlap="1">
                <wp:simplePos x="0" y="0"/>
                <wp:positionH relativeFrom="page">
                  <wp:posOffset>1762760</wp:posOffset>
                </wp:positionH>
                <wp:positionV relativeFrom="page">
                  <wp:posOffset>5153025</wp:posOffset>
                </wp:positionV>
                <wp:extent cx="1320800" cy="170815"/>
                <wp:wrapNone/>
                <wp:docPr id="1679" name="1679"/>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05.75pt;z-index:-250990592;width:104.00pt;height:13.45pt;" id="1679"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53" locked="0" layoutInCell="1" allowOverlap="1">
                <wp:simplePos x="0" y="0"/>
                <wp:positionH relativeFrom="page">
                  <wp:posOffset>1762760</wp:posOffset>
                </wp:positionH>
                <wp:positionV relativeFrom="page">
                  <wp:posOffset>5334635</wp:posOffset>
                </wp:positionV>
                <wp:extent cx="1465580" cy="170815"/>
                <wp:wrapNone/>
                <wp:docPr id="1680" name="1680"/>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20.05pt;z-index:-250989568;width:115.40pt;height:13.45pt;" id="1680"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54" locked="0" layoutInCell="1" allowOverlap="1">
                <wp:simplePos x="0" y="0"/>
                <wp:positionH relativeFrom="page">
                  <wp:posOffset>2288540</wp:posOffset>
                </wp:positionH>
                <wp:positionV relativeFrom="page">
                  <wp:posOffset>5515610</wp:posOffset>
                </wp:positionV>
                <wp:extent cx="236220" cy="170815"/>
                <wp:wrapNone/>
                <wp:docPr id="1681" name="1681"/>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434.30pt;z-index:-250988544;width:18.60pt;height:13.45pt;" id="1681"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问</w:t>
      </w:r>
      <w:r>
        <w:rPr>
          <w:rFonts w:ascii="宋体" w:hAnsi="宋体" w:cs="宋体" w:eastAsia="宋体" w:hint="ascii"/>
          <w:sz w:val="18"/>
        </w:rPr>
        <w:t>题</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F050810</w:t>
      </w:r>
      <w:r>
        <w:rPr>
          <w:rFonts w:ascii="Times New Roman" w:hAnsi="Times New Roman" w:cs="Times New Roman" w:eastAsia="Times New Roman" w:hint="ascii"/>
          <w:sz w:val="18"/>
          <w:spacing w:val="45"/>
        </w:rPr>
        <w:t xml:space="preserve"> </w:t>
      </w:r>
      <w:r>
        <w:rPr>
          <w:rFonts w:ascii="宋体" w:hAnsi="宋体" w:cs="宋体" w:eastAsia="宋体" w:hint="ascii"/>
          <w:sz w:val="18"/>
        </w:rPr>
        <w:t>表面与界面光学</w:t>
      </w:r>
      <w:r>
        <w:rPr>
          <w:rFonts w:ascii="宋体" w:hAnsi="宋体" w:cs="宋体" w:eastAsia="宋体" w:hint="ascii"/>
          <w:sz w:val="18"/>
        </w:rPr>
        <mc:AlternateContent>
          <mc:Choice Requires="wps">
            <w:drawing>
              <wp:anchor distL="0" distR="0" distT="0" distB="0" simplePos="0" behindDoc="1" relativeHeight="655" locked="0" layoutInCell="1" allowOverlap="1">
                <wp:simplePos x="0" y="0"/>
                <wp:positionH relativeFrom="page">
                  <wp:posOffset>1762760</wp:posOffset>
                </wp:positionH>
                <wp:positionV relativeFrom="page">
                  <wp:posOffset>5697855</wp:posOffset>
                </wp:positionV>
                <wp:extent cx="1320800" cy="170815"/>
                <wp:wrapNone/>
                <wp:docPr id="1682" name="1682"/>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48.65pt;z-index:-250987520;width:104.00pt;height:13.45pt;" id="1682" coordsize="2080,269"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光学和光电子材料</w:t>
      </w:r>
      <w:r>
        <w:rPr>
          <w:rFonts w:ascii="宋体" w:hAnsi="宋体" w:cs="宋体" w:eastAsia="宋体" w:hint="ascii"/>
          <w:sz w:val="18"/>
        </w:rPr>
        <mc:AlternateContent>
          <mc:Choice Requires="wps">
            <w:drawing>
              <wp:anchor distL="0" distR="0" distT="0" distB="0" simplePos="0" behindDoc="1" relativeHeight="656" locked="0" layoutInCell="1" allowOverlap="1">
                <wp:simplePos x="0" y="0"/>
                <wp:positionH relativeFrom="page">
                  <wp:posOffset>1341755</wp:posOffset>
                </wp:positionH>
                <wp:positionV relativeFrom="page">
                  <wp:posOffset>5875655</wp:posOffset>
                </wp:positionV>
                <wp:extent cx="1327150" cy="167005"/>
                <wp:wrapNone/>
                <wp:docPr id="1683" name="1683"/>
                <wp:cNvGraphicFramePr/>
                <a:graphic>
                  <a:graphicData uri="http://schemas.microsoft.com/office/word/2010/wordprocessingShape">
                    <wps:wsp>
                      <wps:cNvSpPr/>
                      <wps:spPr>
                        <a:xfrm>
                          <a:off x="0" y="0"/>
                          <a:ext cx="13271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462.65pt;z-index:-250986496;width:104.50pt;height:13.15pt;" id="1683" coordsize="2090,263" stroked="f" fillcolor="#ffffff" opacity="0f">
                <v:stroke endcap="round"/>
                <v:fill opacity="0f"/>
                <w10:wrap anchorx="page" anchory="page" side="both"/>
              </v:rect>
            </w:pict>
          </mc:Fallback>
        </mc:AlternateContent>
      </w:r>
    </w:p>
    <w:p>
      <w:pPr>
        <w:autoSpaceDE w:val="0"/>
        <w:autoSpaceDN w:val="0"/>
        <w:jc w:val="left"/>
        <w:spacing w:before="67" w:after="0" w:lineRule="auto" w:line="314"/>
        <w:ind w:right="305"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激光材料</w:t>
      </w:r>
      <w:r>
        <w:rPr>
          <w:rFonts w:ascii="Times New Roman" w:hAnsi="Times New Roman" w:cs="Times New Roman" w:eastAsia="Times New Roman" w:hint="ascii"/>
          <w:sz w:val="18"/>
        </w:rPr>
        <w:t>F050902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非线性光学材料</w:t>
      </w:r>
      <w:r>
        <w:rPr>
          <w:rFonts w:ascii="Times New Roman" w:hAnsi="Times New Roman" w:cs="Times New Roman" w:eastAsia="Times New Roman" w:hint="ascii"/>
          <w:sz w:val="18"/>
        </w:rPr>
        <w:t>F050903</w:t>
      </w:r>
      <w:r>
        <w:rPr>
          <w:rFonts w:ascii="Times New Roman" w:hAnsi="Times New Roman" w:cs="Times New Roman" w:eastAsia="Times New Roman" w:hint="ascii"/>
          <w:sz w:val="18"/>
          <w:spacing w:val="45"/>
        </w:rPr>
        <w:t xml:space="preserve"> </w:t>
      </w:r>
      <w:r>
        <w:rPr>
          <w:rFonts w:ascii="宋体" w:hAnsi="宋体" w:cs="宋体" w:eastAsia="宋体" w:hint="ascii"/>
          <w:sz w:val="18"/>
        </w:rPr>
        <w:t>功能光学材料</w:t>
      </w:r>
      <w:r>
        <w:rPr>
          <w:rFonts w:ascii="宋体" w:hAnsi="宋体" w:cs="宋体" w:eastAsia="宋体" w:hint="ascii"/>
          <w:sz w:val="18"/>
        </w:rPr>
        <mc:AlternateContent>
          <mc:Choice Requires="wps">
            <w:drawing>
              <wp:anchor distL="0" distR="0" distT="0" distB="0" simplePos="0" behindDoc="1" relativeHeight="657" locked="0" layoutInCell="1" allowOverlap="1">
                <wp:simplePos x="0" y="0"/>
                <wp:positionH relativeFrom="page">
                  <wp:posOffset>1762760</wp:posOffset>
                </wp:positionH>
                <wp:positionV relativeFrom="page">
                  <wp:posOffset>6060440</wp:posOffset>
                </wp:positionV>
                <wp:extent cx="977900" cy="170815"/>
                <wp:wrapNone/>
                <wp:docPr id="1684" name="1684"/>
                <wp:cNvGraphicFramePr/>
                <a:graphic>
                  <a:graphicData uri="http://schemas.microsoft.com/office/word/2010/wordprocessingShape">
                    <wps:wsp>
                      <wps:cNvSpPr/>
                      <wps:spPr>
                        <a:xfrm>
                          <a:off x="0" y="0"/>
                          <a:ext cx="977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77.20pt;z-index:-250985472;width:77.00pt;height:13.45pt;" id="1684" coordsize="15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58" locked="0" layoutInCell="1" allowOverlap="1">
                <wp:simplePos x="0" y="0"/>
                <wp:positionH relativeFrom="page">
                  <wp:posOffset>1762760</wp:posOffset>
                </wp:positionH>
                <wp:positionV relativeFrom="page">
                  <wp:posOffset>6242685</wp:posOffset>
                </wp:positionV>
                <wp:extent cx="1320800" cy="170815"/>
                <wp:wrapNone/>
                <wp:docPr id="1685" name="1685"/>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91.55pt;z-index:-250984448;width:104.00pt;height:13.45pt;" id="1685"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59" locked="0" layoutInCell="1" allowOverlap="1">
                <wp:simplePos x="0" y="0"/>
                <wp:positionH relativeFrom="page">
                  <wp:posOffset>1762760</wp:posOffset>
                </wp:positionH>
                <wp:positionV relativeFrom="page">
                  <wp:posOffset>6424295</wp:posOffset>
                </wp:positionV>
                <wp:extent cx="1206500" cy="170815"/>
                <wp:wrapNone/>
                <wp:docPr id="1686" name="1686"/>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05.85pt;z-index:-250983424;width:95.00pt;height:13.45pt;" id="1686"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60" locked="0" layoutInCell="1" allowOverlap="1">
                <wp:simplePos x="0" y="0"/>
                <wp:positionH relativeFrom="page">
                  <wp:posOffset>1762760</wp:posOffset>
                </wp:positionH>
                <wp:positionV relativeFrom="page">
                  <wp:posOffset>6605270</wp:posOffset>
                </wp:positionV>
                <wp:extent cx="1466850" cy="170815"/>
                <wp:wrapNone/>
                <wp:docPr id="1687" name="1687"/>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20.10pt;z-index:-250982400;width:115.50pt;height:13.45pt;" id="1687" coordsize="2310,269" stroked="f" fillcolor="#ffffff" opacity="0f">
                <v:stroke endcap="round"/>
                <v:fill opacity="0f"/>
                <w10:wrap anchorx="page" anchory="page" side="both"/>
              </v:rect>
            </w:pict>
          </mc:Fallback>
        </mc:AlternateConten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F050904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有机</w:t>
      </w:r>
      <w:r>
        <w:rPr>
          <w:rFonts w:ascii="Times New Roman" w:hAnsi="Times New Roman" w:cs="Times New Roman" w:eastAsia="Times New Roman" w:hint="ascii"/>
          <w:sz w:val="18"/>
        </w:rPr>
        <w:t>/</w:t>
      </w:r>
      <w:r>
        <w:rPr>
          <w:rFonts w:ascii="宋体" w:hAnsi="宋体" w:cs="宋体" w:eastAsia="宋体" w:hint="ascii"/>
          <w:sz w:val="18"/>
        </w:rPr>
        <w:t>无机复合、杂</w: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化光电材料</w:t>
      </w:r>
      <w:r>
        <w:rPr>
          <w:rFonts w:ascii="宋体" w:hAnsi="宋体" w:cs="宋体" w:eastAsia="宋体" w:hint="ascii"/>
          <w:sz w:val="18"/>
        </w:rPr>
        <mc:AlternateContent>
          <mc:Choice Requires="wps">
            <w:drawing>
              <wp:anchor distL="0" distR="0" distT="0" distB="0" simplePos="0" behindDoc="1" relativeHeight="661" locked="0" layoutInCell="1" allowOverlap="1">
                <wp:simplePos x="0" y="0"/>
                <wp:positionH relativeFrom="page">
                  <wp:posOffset>2288540</wp:posOffset>
                </wp:positionH>
                <wp:positionV relativeFrom="page">
                  <wp:posOffset>6787515</wp:posOffset>
                </wp:positionV>
                <wp:extent cx="571500" cy="170815"/>
                <wp:wrapNone/>
                <wp:docPr id="1688" name="1688"/>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34.45pt;z-index:-250981376;width:45.00pt;height:13.45pt;" id="1688" coordsize="90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F050905</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分子基及聚合物光电</w:t>
      </w:r>
      <w:r>
        <w:rPr>
          <w:rFonts w:ascii="宋体" w:hAnsi="宋体" w:cs="宋体" w:eastAsia="宋体" w:hint="ascii"/>
          <w:sz w:val="18"/>
        </w:rPr>
        <mc:AlternateContent>
          <mc:Choice Requires="wps">
            <w:drawing>
              <wp:anchor distL="0" distR="0" distT="0" distB="0" simplePos="0" behindDoc="1" relativeHeight="662" locked="0" layoutInCell="1" allowOverlap="1">
                <wp:simplePos x="0" y="0"/>
                <wp:positionH relativeFrom="page">
                  <wp:posOffset>1762760</wp:posOffset>
                </wp:positionH>
                <wp:positionV relativeFrom="page">
                  <wp:posOffset>6969125</wp:posOffset>
                </wp:positionV>
                <wp:extent cx="1549400" cy="170815"/>
                <wp:wrapNone/>
                <wp:docPr id="1689" name="1689"/>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48.75pt;z-index:-250980352;width:122.00pt;height:13.45pt;" id="1689"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子材料</w:t>
      </w:r>
      <w:r>
        <w:rPr>
          <w:rFonts w:ascii="宋体" w:hAnsi="宋体" w:cs="宋体" w:eastAsia="宋体" w:hint="ascii"/>
          <w:sz w:val="18"/>
        </w:rPr>
        <mc:AlternateContent>
          <mc:Choice Requires="wps">
            <w:drawing>
              <wp:anchor distL="0" distR="0" distT="0" distB="0" simplePos="0" behindDoc="1" relativeHeight="663" locked="0" layoutInCell="1" allowOverlap="1">
                <wp:simplePos x="0" y="0"/>
                <wp:positionH relativeFrom="page">
                  <wp:posOffset>2288540</wp:posOffset>
                </wp:positionH>
                <wp:positionV relativeFrom="page">
                  <wp:posOffset>7150100</wp:posOffset>
                </wp:positionV>
                <wp:extent cx="400050" cy="170815"/>
                <wp:wrapNone/>
                <wp:docPr id="1690" name="1690"/>
                <wp:cNvGraphicFramePr/>
                <a:graphic>
                  <a:graphicData uri="http://schemas.microsoft.com/office/word/2010/wordprocessingShape">
                    <wps:wsp>
                      <wps:cNvSpPr/>
                      <wps:spPr>
                        <a:xfrm>
                          <a:off x="0" y="0"/>
                          <a:ext cx="4000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63.00pt;z-index:-250979328;width:31.50pt;height:13.45pt;" id="1690" coordsize="630,269" stroked="f" fillcolor="#ffffff" opacity="0f">
                <v:stroke endcap="round"/>
                <v:fill opacity="0f"/>
                <w10:wrap anchorx="page" anchory="page" side="both"/>
              </v:rect>
            </w:pict>
          </mc:Fallback>
        </mc:AlternateContent>
      </w:r>
    </w:p>
    <w:p>
      <w:pPr>
        <w:autoSpaceDE w:val="0"/>
        <w:autoSpaceDN w:val="0"/>
        <w:jc w:val="left"/>
        <w:spacing w:before="62"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F050906</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人工结构光学材料</w:t>
      </w:r>
      <w:r>
        <w:rPr>
          <w:rFonts w:ascii="Times New Roman" w:hAnsi="Times New Roman" w:cs="Times New Roman" w:eastAsia="Times New Roman" w:hint="ascii"/>
          <w:sz w:val="18"/>
        </w:rPr>
        <w:t>F050907</w:t>
      </w:r>
      <w:r>
        <w:rPr>
          <w:rFonts w:ascii="Times New Roman" w:hAnsi="Times New Roman" w:cs="Times New Roman" w:eastAsia="Times New Roman" w:hint="ascii"/>
          <w:sz w:val="18"/>
          <w:spacing w:val="45"/>
        </w:rPr>
        <w:t xml:space="preserve"> </w:t>
      </w:r>
      <w:r>
        <w:rPr>
          <w:rFonts w:ascii="宋体" w:hAnsi="宋体" w:cs="宋体" w:eastAsia="宋体" w:hint="ascii"/>
          <w:sz w:val="18"/>
        </w:rPr>
        <w:t>辐射探测材料</w:t>
      </w:r>
      <w:r>
        <w:rPr>
          <w:rFonts w:ascii="Times New Roman" w:hAnsi="Times New Roman" w:cs="Times New Roman" w:eastAsia="Times New Roman" w:hint="ascii"/>
          <w:sz w:val="18"/>
        </w:rPr>
        <w:t>F050908</w:t>
      </w:r>
      <w:r>
        <w:rPr>
          <w:rFonts w:ascii="Times New Roman" w:hAnsi="Times New Roman" w:cs="Times New Roman" w:eastAsia="Times New Roman" w:hint="ascii"/>
          <w:sz w:val="18"/>
          <w:spacing w:val="45"/>
        </w:rPr>
        <w:t xml:space="preserve"> </w:t>
      </w:r>
      <w:r>
        <w:rPr>
          <w:rFonts w:ascii="宋体" w:hAnsi="宋体" w:cs="宋体" w:eastAsia="宋体" w:hint="ascii"/>
          <w:sz w:val="18"/>
        </w:rPr>
        <w:t>增益光纤材料</w:t>
      </w:r>
      <w:r>
        <w:rPr>
          <w:rFonts w:ascii="Times New Roman" w:hAnsi="Times New Roman" w:cs="Times New Roman" w:eastAsia="Times New Roman" w:hint="ascii"/>
          <w:sz w:val="18"/>
        </w:rPr>
        <w:t>F050909</w:t>
      </w:r>
      <w:r>
        <w:rPr>
          <w:rFonts w:ascii="Times New Roman" w:hAnsi="Times New Roman" w:cs="Times New Roman" w:eastAsia="Times New Roman" w:hint="ascii"/>
          <w:sz w:val="18"/>
          <w:spacing w:val="45"/>
        </w:rPr>
        <w:t xml:space="preserve"> </w:t>
      </w:r>
      <w:r>
        <w:rPr>
          <w:rFonts w:ascii="宋体" w:hAnsi="宋体" w:cs="宋体" w:eastAsia="宋体" w:hint="ascii"/>
          <w:sz w:val="18"/>
        </w:rPr>
        <w:t>二维光电材料</w:t>
      </w:r>
      <w:r>
        <w:rPr>
          <w:rFonts w:ascii="Times New Roman" w:hAnsi="Times New Roman" w:cs="Times New Roman" w:eastAsia="Times New Roman" w:hint="ascii"/>
          <w:sz w:val="18"/>
        </w:rPr>
        <w:t>F050910</w:t>
      </w:r>
      <w:r>
        <w:rPr>
          <w:rFonts w:ascii="Times New Roman" w:hAnsi="Times New Roman" w:cs="Times New Roman" w:eastAsia="Times New Roman" w:hint="ascii"/>
          <w:sz w:val="18"/>
          <w:spacing w:val="45"/>
        </w:rPr>
        <w:t xml:space="preserve"> </w:t>
      </w:r>
      <w:r>
        <w:rPr>
          <w:rFonts w:ascii="宋体" w:hAnsi="宋体" w:cs="宋体" w:eastAsia="宋体" w:hint="ascii"/>
          <w:sz w:val="18"/>
        </w:rPr>
        <w:t>液晶态光电子材料</w:t>
      </w:r>
      <w:r>
        <w:rPr>
          <w:rFonts w:ascii="Times New Roman" w:hAnsi="Times New Roman" w:cs="Times New Roman" w:eastAsia="Times New Roman" w:hint="ascii"/>
          <w:sz w:val="18"/>
        </w:rPr>
        <w:t>F0509</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135"/>
        </w:rPr>
        <w:t xml:space="preserve"> </w:t>
      </w:r>
      <w:r>
        <w:rPr>
          <w:rFonts w:ascii="Times New Roman" w:hAnsi="Times New Roman" w:cs="Times New Roman" w:eastAsia="Times New Roman" w:hint="ascii"/>
          <w:sz w:val="18"/>
        </w:rPr>
        <w:t>3</w:t>
      </w:r>
      <w:r>
        <w:rPr>
          <w:rFonts w:ascii="Times New Roman" w:hAnsi="Times New Roman" w:cs="Times New Roman" w:eastAsia="Times New Roman" w:hint="ascii"/>
          <w:sz w:val="18"/>
          <w:spacing w:val="45"/>
        </w:rPr>
        <w:t>D</w:t>
      </w:r>
      <w:r>
        <w:rPr>
          <w:rFonts w:ascii="宋体" w:hAnsi="宋体" w:cs="宋体" w:eastAsia="宋体" w:hint="ascii"/>
          <w:sz w:val="18"/>
        </w:rPr>
        <w:t xml:space="preserve">打印光电材料 </w:t>
      </w:r>
      <w:r>
        <w:rPr>
          <w:rFonts w:ascii="Times New Roman" w:hAnsi="Times New Roman" w:cs="Times New Roman" w:eastAsia="Times New Roman" w:hint="ascii"/>
          <w:sz w:val="18"/>
        </w:rPr>
        <w:t>F050912</w:t>
      </w:r>
      <w:r>
        <w:rPr>
          <w:rFonts w:ascii="Times New Roman" w:hAnsi="Times New Roman" w:cs="Times New Roman" w:eastAsia="Times New Roman" w:hint="ascii"/>
          <w:sz w:val="18"/>
          <w:spacing w:val="45"/>
        </w:rPr>
        <w:t xml:space="preserve"> </w:t>
      </w:r>
      <w:r>
        <w:rPr>
          <w:rFonts w:ascii="宋体" w:hAnsi="宋体" w:cs="宋体" w:eastAsia="宋体" w:hint="ascii"/>
          <w:sz w:val="18"/>
        </w:rPr>
        <w:t>上转换发光材料</w:t>
      </w:r>
      <w:r>
        <w:rPr>
          <w:rFonts w:ascii="宋体" w:hAnsi="宋体" w:cs="宋体" w:eastAsia="宋体" w:hint="ascii"/>
          <w:sz w:val="18"/>
        </w:rPr>
        <mc:AlternateContent>
          <mc:Choice Requires="wps">
            <w:drawing>
              <wp:anchor distL="0" distR="0" distT="0" distB="0" simplePos="0" behindDoc="1" relativeHeight="664" locked="0" layoutInCell="1" allowOverlap="1">
                <wp:simplePos x="0" y="0"/>
                <wp:positionH relativeFrom="page">
                  <wp:posOffset>1762760</wp:posOffset>
                </wp:positionH>
                <wp:positionV relativeFrom="page">
                  <wp:posOffset>7332345</wp:posOffset>
                </wp:positionV>
                <wp:extent cx="1435100" cy="170815"/>
                <wp:wrapNone/>
                <wp:docPr id="1691" name="1691"/>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77.35pt;z-index:-250978304;width:113.00pt;height:13.45pt;" id="1691"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65" locked="0" layoutInCell="1" allowOverlap="1">
                <wp:simplePos x="0" y="0"/>
                <wp:positionH relativeFrom="page">
                  <wp:posOffset>1762760</wp:posOffset>
                </wp:positionH>
                <wp:positionV relativeFrom="page">
                  <wp:posOffset>7513955</wp:posOffset>
                </wp:positionV>
                <wp:extent cx="1263650" cy="170815"/>
                <wp:wrapNone/>
                <wp:docPr id="1692" name="1692"/>
                <wp:cNvGraphicFramePr/>
                <a:graphic>
                  <a:graphicData uri="http://schemas.microsoft.com/office/word/2010/wordprocessingShape">
                    <wps:wsp>
                      <wps:cNvSpPr/>
                      <wps:spPr>
                        <a:xfrm>
                          <a:off x="0" y="0"/>
                          <a:ext cx="12636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91.65pt;z-index:-250977280;width:99.50pt;height:13.45pt;" id="1692" coordsize="199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66" locked="0" layoutInCell="1" allowOverlap="1">
                <wp:simplePos x="0" y="0"/>
                <wp:positionH relativeFrom="page">
                  <wp:posOffset>1762760</wp:posOffset>
                </wp:positionH>
                <wp:positionV relativeFrom="page">
                  <wp:posOffset>7694930</wp:posOffset>
                </wp:positionV>
                <wp:extent cx="1206500" cy="170815"/>
                <wp:wrapNone/>
                <wp:docPr id="1693" name="1693"/>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05.90pt;z-index:-250976256;width:95.00pt;height:13.45pt;" id="1693"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67" locked="0" layoutInCell="1" allowOverlap="1">
                <wp:simplePos x="0" y="0"/>
                <wp:positionH relativeFrom="page">
                  <wp:posOffset>1762760</wp:posOffset>
                </wp:positionH>
                <wp:positionV relativeFrom="page">
                  <wp:posOffset>7877175</wp:posOffset>
                </wp:positionV>
                <wp:extent cx="1206500" cy="170815"/>
                <wp:wrapNone/>
                <wp:docPr id="1694" name="1694"/>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20.25pt;z-index:-250975232;width:95.00pt;height:13.45pt;" id="1694"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68" locked="0" layoutInCell="1" allowOverlap="1">
                <wp:simplePos x="0" y="0"/>
                <wp:positionH relativeFrom="page">
                  <wp:posOffset>1762760</wp:posOffset>
                </wp:positionH>
                <wp:positionV relativeFrom="page">
                  <wp:posOffset>8058785</wp:posOffset>
                </wp:positionV>
                <wp:extent cx="1435100" cy="170815"/>
                <wp:wrapNone/>
                <wp:docPr id="1695" name="1695"/>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34.55pt;z-index:-250974208;width:113.00pt;height:13.45pt;" id="1695"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69" locked="0" layoutInCell="1" allowOverlap="1">
                <wp:simplePos x="0" y="0"/>
                <wp:positionH relativeFrom="page">
                  <wp:posOffset>1762760</wp:posOffset>
                </wp:positionH>
                <wp:positionV relativeFrom="page">
                  <wp:posOffset>8239760</wp:posOffset>
                </wp:positionV>
                <wp:extent cx="1370965" cy="170815"/>
                <wp:wrapNone/>
                <wp:docPr id="1696" name="1696"/>
                <wp:cNvGraphicFramePr/>
                <a:graphic>
                  <a:graphicData uri="http://schemas.microsoft.com/office/word/2010/wordprocessingShape">
                    <wps:wsp>
                      <wps:cNvSpPr/>
                      <wps:spPr>
                        <a:xfrm>
                          <a:off x="0" y="0"/>
                          <a:ext cx="137096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48.80pt;z-index:-250973184;width:107.95pt;height:13.45pt;" id="1696" coordsize="2159,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70" locked="0" layoutInCell="1" allowOverlap="1">
                <wp:simplePos x="0" y="0"/>
                <wp:positionH relativeFrom="page">
                  <wp:posOffset>1762760</wp:posOffset>
                </wp:positionH>
                <wp:positionV relativeFrom="page">
                  <wp:posOffset>8422005</wp:posOffset>
                </wp:positionV>
                <wp:extent cx="1320800" cy="170815"/>
                <wp:wrapNone/>
                <wp:docPr id="1697" name="1697"/>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663.15pt;z-index:-250972160;width:104.00pt;height:13.45pt;" id="1697" coordsize="2080,269" stroked="f" fillcolor="#ffffff" opacity="0f">
                <v:stroke endcap="round"/>
                <v:fill opacity="0f"/>
                <w10:wrap anchorx="page" anchory="page" side="both"/>
              </v:rect>
            </w:pict>
          </mc:Fallback>
        </mc:AlternateContent>
      </w:r>
    </w:p>
    <w:p>
      <w:pPr>
        <w:autoSpaceDE w:val="0"/>
        <w:autoSpaceDN w:val="0"/>
        <w:jc w:val="left"/>
        <w:spacing w:before="327" w:after="0" w:lineRule="auto" w:line="240"/>
        <w:ind w:right="0"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F050913</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新光学材料</w:t>
      </w:r>
      <w:r>
        <w:rPr>
          <w:rFonts w:ascii="宋体" w:hAnsi="宋体" w:cs="宋体" w:eastAsia="宋体" w:hint="ascii"/>
          <w:sz w:val="18"/>
        </w:rPr>
        <mc:AlternateContent>
          <mc:Choice Requires="wps">
            <w:drawing>
              <wp:anchor distL="0" distR="0" distT="0" distB="0" simplePos="0" behindDoc="1" relativeHeight="671" locked="0" layoutInCell="1" allowOverlap="1">
                <wp:simplePos x="0" y="0"/>
                <wp:positionH relativeFrom="page">
                  <wp:posOffset>4352290</wp:posOffset>
                </wp:positionH>
                <wp:positionV relativeFrom="page">
                  <wp:posOffset>975995</wp:posOffset>
                </wp:positionV>
                <wp:extent cx="1092200" cy="170815"/>
                <wp:wrapNone/>
                <wp:docPr id="1698" name="1698"/>
                <wp:cNvGraphicFramePr/>
                <a:graphic>
                  <a:graphicData uri="http://schemas.microsoft.com/office/word/2010/wordprocessingShape">
                    <wps:wsp>
                      <wps:cNvSpPr/>
                      <wps:spPr>
                        <a:xfrm>
                          <a:off x="0" y="0"/>
                          <a:ext cx="1092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76.85pt;z-index:-250971136;width:86.00pt;height:13.45pt;" id="1698" coordsize="1720,269"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空间光学</w:t>
      </w:r>
      <w:r>
        <w:rPr>
          <w:rFonts w:ascii="宋体" w:hAnsi="宋体" w:cs="宋体" w:eastAsia="宋体" w:hint="ascii"/>
          <w:sz w:val="18"/>
        </w:rPr>
        <mc:AlternateContent>
          <mc:Choice Requires="wps">
            <w:drawing>
              <wp:anchor distL="0" distR="0" distT="0" distB="0" simplePos="0" behindDoc="1" relativeHeight="672" locked="0" layoutInCell="1" allowOverlap="1">
                <wp:simplePos x="0" y="0"/>
                <wp:positionH relativeFrom="page">
                  <wp:posOffset>3931920</wp:posOffset>
                </wp:positionH>
                <wp:positionV relativeFrom="page">
                  <wp:posOffset>1153160</wp:posOffset>
                </wp:positionV>
                <wp:extent cx="869950" cy="167005"/>
                <wp:wrapNone/>
                <wp:docPr id="1699" name="1699"/>
                <wp:cNvGraphicFramePr/>
                <a:graphic>
                  <a:graphicData uri="http://schemas.microsoft.com/office/word/2010/wordprocessingShape">
                    <wps:wsp>
                      <wps:cNvSpPr/>
                      <wps:spPr>
                        <a:xfrm>
                          <a:off x="0" y="0"/>
                          <a:ext cx="8699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90.80pt;z-index:-250970112;width:68.50pt;height:13.15pt;" id="1699" coordsize="1370,263" stroked="f" fillcolor="#ffffff" opacity="0f">
                <v:stroke endcap="round"/>
                <v:fill opacity="0f"/>
                <w10:wrap anchorx="page" anchory="page" side="both"/>
              </v:rect>
            </w:pict>
          </mc:Fallback>
        </mc:AlternateConten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F051001</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空间光学遥感方法与</w:t>
      </w:r>
      <w:r>
        <w:rPr>
          <w:rFonts w:ascii="宋体" w:hAnsi="宋体" w:cs="宋体" w:eastAsia="宋体" w:hint="ascii"/>
          <w:sz w:val="18"/>
        </w:rPr>
        <mc:AlternateContent>
          <mc:Choice Requires="wps">
            <w:drawing>
              <wp:anchor distL="0" distR="0" distT="0" distB="0" simplePos="0" behindDoc="1" relativeHeight="673" locked="0" layoutInCell="1" allowOverlap="1">
                <wp:simplePos x="0" y="0"/>
                <wp:positionH relativeFrom="page">
                  <wp:posOffset>4352290</wp:posOffset>
                </wp:positionH>
                <wp:positionV relativeFrom="page">
                  <wp:posOffset>1339215</wp:posOffset>
                </wp:positionV>
                <wp:extent cx="1549400" cy="170815"/>
                <wp:wrapNone/>
                <wp:docPr id="1700" name="170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05.45pt;z-index:-250969088;width:122.00pt;height:13.45pt;" id="1700"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成像仿真</w:t>
      </w:r>
      <w:r>
        <w:rPr>
          <w:rFonts w:ascii="宋体" w:hAnsi="宋体" w:cs="宋体" w:eastAsia="宋体" w:hint="ascii"/>
          <w:sz w:val="18"/>
        </w:rPr>
        <mc:AlternateContent>
          <mc:Choice Requires="wps">
            <w:drawing>
              <wp:anchor distL="0" distR="0" distT="0" distB="0" simplePos="0" behindDoc="1" relativeHeight="674" locked="0" layoutInCell="1" allowOverlap="1">
                <wp:simplePos x="0" y="0"/>
                <wp:positionH relativeFrom="page">
                  <wp:posOffset>4878070</wp:posOffset>
                </wp:positionH>
                <wp:positionV relativeFrom="page">
                  <wp:posOffset>1520825</wp:posOffset>
                </wp:positionV>
                <wp:extent cx="457200" cy="170815"/>
                <wp:wrapNone/>
                <wp:docPr id="1701" name="1701"/>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19.75pt;z-index:-250968064;width:36.00pt;height:13.45pt;" id="1701" coordsize="72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F051002</w:t>
      </w:r>
      <w:r>
        <w:rPr>
          <w:rFonts w:ascii="Times New Roman" w:hAnsi="Times New Roman" w:cs="Times New Roman" w:eastAsia="Times New Roman" w:hint="ascii"/>
          <w:sz w:val="18"/>
          <w:spacing w:val="45"/>
        </w:rPr>
        <w:t xml:space="preserve"> </w:t>
      </w:r>
      <w:r>
        <w:rPr>
          <w:rFonts w:ascii="宋体" w:hAnsi="宋体" w:cs="宋体" w:eastAsia="宋体" w:hint="ascii"/>
          <w:sz w:val="18"/>
        </w:rPr>
        <w:t>空间目标光学探测与</w:t>
      </w:r>
      <w:r>
        <w:rPr>
          <w:rFonts w:ascii="宋体" w:hAnsi="宋体" w:cs="宋体" w:eastAsia="宋体" w:hint="ascii"/>
          <w:sz w:val="18"/>
        </w:rPr>
        <mc:AlternateContent>
          <mc:Choice Requires="wps">
            <w:drawing>
              <wp:anchor distL="0" distR="0" distT="0" distB="0" simplePos="0" behindDoc="1" relativeHeight="675" locked="0" layoutInCell="1" allowOverlap="1">
                <wp:simplePos x="0" y="0"/>
                <wp:positionH relativeFrom="page">
                  <wp:posOffset>4352290</wp:posOffset>
                </wp:positionH>
                <wp:positionV relativeFrom="page">
                  <wp:posOffset>1701800</wp:posOffset>
                </wp:positionV>
                <wp:extent cx="1549400" cy="170815"/>
                <wp:wrapNone/>
                <wp:docPr id="1702" name="170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34.00pt;z-index:-250967040;width:122.00pt;height:13.45pt;" id="1702"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识别</w:t>
      </w:r>
      <w:r>
        <w:rPr>
          <w:rFonts w:ascii="宋体" w:hAnsi="宋体" w:cs="宋体" w:eastAsia="宋体" w:hint="ascii"/>
          <w:sz w:val="18"/>
        </w:rPr>
        <mc:AlternateContent>
          <mc:Choice Requires="wps">
            <w:drawing>
              <wp:anchor distL="0" distR="0" distT="0" distB="0" simplePos="0" behindDoc="1" relativeHeight="676" locked="0" layoutInCell="1" allowOverlap="1">
                <wp:simplePos x="0" y="0"/>
                <wp:positionH relativeFrom="page">
                  <wp:posOffset>4878070</wp:posOffset>
                </wp:positionH>
                <wp:positionV relativeFrom="page">
                  <wp:posOffset>1884045</wp:posOffset>
                </wp:positionV>
                <wp:extent cx="228600" cy="170815"/>
                <wp:wrapNone/>
                <wp:docPr id="1703" name="1703"/>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48.35pt;z-index:-250966016;width:18.00pt;height:13.45pt;" id="1703" coordsize="3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F051003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w:t>
      </w:r>
      <w:r>
        <w:rPr>
          <w:rFonts w:ascii="Times New Roman" w:hAnsi="Times New Roman" w:cs="Times New Roman" w:eastAsia="Times New Roman" w:hint="ascii"/>
          <w:sz w:val="18"/>
        </w:rPr>
        <w:t>/</w:t>
      </w:r>
      <w:r>
        <w:rPr>
          <w:rFonts w:ascii="宋体" w:hAnsi="宋体" w:cs="宋体" w:eastAsia="宋体" w:hint="ascii"/>
          <w:sz w:val="18"/>
        </w:rPr>
        <w:t>光谱遥感技术</w:t>
      </w:r>
      <w:r>
        <w:rPr>
          <w:rFonts w:ascii="宋体" w:hAnsi="宋体" w:cs="宋体" w:eastAsia="宋体" w:hint="ascii"/>
          <w:sz w:val="18"/>
        </w:rPr>
        <mc:AlternateContent>
          <mc:Choice Requires="wps">
            <w:drawing>
              <wp:anchor distL="0" distR="0" distT="0" distB="0" simplePos="0" behindDoc="1" relativeHeight="677" locked="0" layoutInCell="1" allowOverlap="1">
                <wp:simplePos x="0" y="0"/>
                <wp:positionH relativeFrom="page">
                  <wp:posOffset>4352290</wp:posOffset>
                </wp:positionH>
                <wp:positionV relativeFrom="page">
                  <wp:posOffset>2065655</wp:posOffset>
                </wp:positionV>
                <wp:extent cx="1466850" cy="170815"/>
                <wp:wrapNone/>
                <wp:docPr id="1704" name="1704"/>
                <wp:cNvGraphicFramePr/>
                <a:graphic>
                  <a:graphicData uri="http://schemas.microsoft.com/office/word/2010/wordprocessingShape">
                    <wps:wsp>
                      <wps:cNvSpPr/>
                      <wps:spPr>
                        <a:xfrm>
                          <a:off x="0" y="0"/>
                          <a:ext cx="14668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62.65pt;z-index:-250964992;width:115.50pt;height:13.45pt;" id="1704" coordsize="231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与应用</w:t>
      </w:r>
      <w:r>
        <w:rPr>
          <w:rFonts w:ascii="宋体" w:hAnsi="宋体" w:cs="宋体" w:eastAsia="宋体" w:hint="ascii"/>
          <w:sz w:val="18"/>
        </w:rPr>
        <mc:AlternateContent>
          <mc:Choice Requires="wps">
            <w:drawing>
              <wp:anchor distL="0" distR="0" distT="0" distB="0" simplePos="0" behindDoc="1" relativeHeight="678" locked="0" layoutInCell="1" allowOverlap="1">
                <wp:simplePos x="0" y="0"/>
                <wp:positionH relativeFrom="page">
                  <wp:posOffset>4878070</wp:posOffset>
                </wp:positionH>
                <wp:positionV relativeFrom="page">
                  <wp:posOffset>2246630</wp:posOffset>
                </wp:positionV>
                <wp:extent cx="342900" cy="170815"/>
                <wp:wrapNone/>
                <wp:docPr id="1705" name="1705"/>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176.90pt;z-index:-250963968;width:27.00pt;height:13.45pt;" id="1705" coordsize="540,269" stroked="f" fillcolor="#ffffff" opacity="0f">
                <v:stroke endcap="round"/>
                <v:fill opacity="0f"/>
                <w10:wrap anchorx="page" anchory="page" side="both"/>
              </v:rect>
            </w:pict>
          </mc:Fallback>
        </mc:AlternateContent>
      </w:r>
    </w:p>
    <w:p>
      <w:pPr>
        <w:autoSpaceDE w:val="0"/>
        <w:autoSpaceDN w:val="0"/>
        <w:jc w:val="both"/>
        <w:spacing w:before="62" w:after="0" w:lineRule="auto" w:line="313"/>
        <w:ind w:right="131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F051004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空</w:t>
      </w:r>
      <w:r>
        <w:rPr>
          <w:rFonts w:ascii="宋体" w:hAnsi="宋体" w:cs="宋体" w:eastAsia="宋体" w:hint="ascii"/>
          <w:sz w:val="18"/>
        </w:rPr>
        <w:t>间激光应用技术</w:t>
      </w:r>
      <w:r>
        <w:rPr>
          <w:rFonts w:ascii="Times New Roman" w:hAnsi="Times New Roman" w:cs="Times New Roman" w:eastAsia="Times New Roman" w:hint="ascii"/>
          <w:sz w:val="18"/>
        </w:rPr>
        <w:t>F051005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光学相控阵</w:t>
      </w:r>
      <w:r>
        <w:rPr>
          <w:rFonts w:ascii="宋体" w:hAnsi="宋体" w:cs="宋体" w:eastAsia="宋体" w:hint="ascii"/>
          <w:sz w:val="18"/>
        </w:rPr>
        <mc:AlternateContent>
          <mc:Choice Requires="wps">
            <w:drawing>
              <wp:anchor distL="0" distR="0" distT="0" distB="0" simplePos="0" behindDoc="1" relativeHeight="679" locked="0" layoutInCell="1" allowOverlap="1">
                <wp:simplePos x="0" y="0"/>
                <wp:positionH relativeFrom="page">
                  <wp:posOffset>4352290</wp:posOffset>
                </wp:positionH>
                <wp:positionV relativeFrom="page">
                  <wp:posOffset>2428875</wp:posOffset>
                </wp:positionV>
                <wp:extent cx="1435100" cy="170815"/>
                <wp:wrapNone/>
                <wp:docPr id="1706" name="1706"/>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191.25pt;z-index:-250962944;width:113.00pt;height:13.45pt;" id="1706"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80" locked="0" layoutInCell="1" allowOverlap="1">
                <wp:simplePos x="0" y="0"/>
                <wp:positionH relativeFrom="page">
                  <wp:posOffset>4352290</wp:posOffset>
                </wp:positionH>
                <wp:positionV relativeFrom="page">
                  <wp:posOffset>2610485</wp:posOffset>
                </wp:positionV>
                <wp:extent cx="1092200" cy="170815"/>
                <wp:wrapNone/>
                <wp:docPr id="1707" name="1707"/>
                <wp:cNvGraphicFramePr/>
                <a:graphic>
                  <a:graphicData uri="http://schemas.microsoft.com/office/word/2010/wordprocessingShape">
                    <wps:wsp>
                      <wps:cNvSpPr/>
                      <wps:spPr>
                        <a:xfrm>
                          <a:off x="0" y="0"/>
                          <a:ext cx="1092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05.55pt;z-index:-250961920;width:86.00pt;height:13.45pt;" id="1707" coordsize="172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81" locked="0" layoutInCell="1" allowOverlap="1">
                <wp:simplePos x="0" y="0"/>
                <wp:positionH relativeFrom="page">
                  <wp:posOffset>4352290</wp:posOffset>
                </wp:positionH>
                <wp:positionV relativeFrom="page">
                  <wp:posOffset>2791460</wp:posOffset>
                </wp:positionV>
                <wp:extent cx="1549400" cy="170815"/>
                <wp:wrapNone/>
                <wp:docPr id="1708" name="170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19.80pt;z-index:-250960896;width:122.00pt;height:13.45pt;" id="1708" coordsize="2440,269" stroked="f" fillcolor="#ffffff" opacity="0f">
                <v:stroke endcap="round"/>
                <v:fill opacity="0f"/>
                <w10:wrap anchorx="page" anchory="page" side="both"/>
              </v:rect>
            </w:pict>
          </mc:Fallback>
        </mc:AlternateContent>
      </w:r>
    </w:p>
    <w:p>
      <w:pPr>
        <w:autoSpaceDE w:val="0"/>
        <w:autoSpaceDN w:val="0"/>
        <w:jc w:val="left"/>
        <w:spacing w:before="0"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F051006</w:t>
      </w:r>
      <w:r>
        <w:rPr>
          <w:rFonts w:ascii="Times New Roman" w:hAnsi="Times New Roman" w:cs="Times New Roman" w:eastAsia="Times New Roman" w:hint="ascii"/>
          <w:sz w:val="18"/>
          <w:spacing w:val="45"/>
        </w:rPr>
        <w:t xml:space="preserve"> </w:t>
      </w:r>
      <w:r>
        <w:rPr>
          <w:rFonts w:ascii="宋体" w:hAnsi="宋体" w:cs="宋体" w:eastAsia="宋体" w:hint="ascii"/>
          <w:sz w:val="18"/>
        </w:rPr>
        <w:t>多参量信息获取技术</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及应用</w:t>
      </w:r>
      <w:r>
        <w:rPr>
          <w:rFonts w:ascii="宋体" w:hAnsi="宋体" w:cs="宋体" w:eastAsia="宋体" w:hint="ascii"/>
          <w:sz w:val="18"/>
        </w:rPr>
        <mc:AlternateContent>
          <mc:Choice Requires="wps">
            <w:drawing>
              <wp:anchor distL="0" distR="0" distT="0" distB="0" simplePos="0" behindDoc="1" relativeHeight="682" locked="0" layoutInCell="1" allowOverlap="1">
                <wp:simplePos x="0" y="0"/>
                <wp:positionH relativeFrom="page">
                  <wp:posOffset>4878070</wp:posOffset>
                </wp:positionH>
                <wp:positionV relativeFrom="page">
                  <wp:posOffset>2973705</wp:posOffset>
                </wp:positionV>
                <wp:extent cx="342900" cy="170815"/>
                <wp:wrapNone/>
                <wp:docPr id="1709" name="1709"/>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34.15pt;z-index:-250959872;width:27.00pt;height:13.45pt;" id="1709"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F051007</w:t>
      </w:r>
      <w:r>
        <w:rPr>
          <w:rFonts w:ascii="Times New Roman" w:hAnsi="Times New Roman" w:cs="Times New Roman" w:eastAsia="Times New Roman" w:hint="ascii"/>
          <w:sz w:val="18"/>
          <w:spacing w:val="45"/>
        </w:rPr>
        <w:t xml:space="preserve"> </w:t>
      </w:r>
      <w:r>
        <w:rPr>
          <w:rFonts w:ascii="宋体" w:hAnsi="宋体" w:cs="宋体" w:eastAsia="宋体" w:hint="ascii"/>
          <w:sz w:val="18"/>
        </w:rPr>
        <w:t>可见及更短波长探测</w:t>
      </w:r>
      <w:r>
        <w:rPr>
          <w:rFonts w:ascii="宋体" w:hAnsi="宋体" w:cs="宋体" w:eastAsia="宋体" w:hint="ascii"/>
          <w:sz w:val="18"/>
        </w:rPr>
        <mc:AlternateContent>
          <mc:Choice Requires="wps">
            <w:drawing>
              <wp:anchor distL="0" distR="0" distT="0" distB="0" simplePos="0" behindDoc="1" relativeHeight="683" locked="0" layoutInCell="1" allowOverlap="1">
                <wp:simplePos x="0" y="0"/>
                <wp:positionH relativeFrom="page">
                  <wp:posOffset>4352290</wp:posOffset>
                </wp:positionH>
                <wp:positionV relativeFrom="page">
                  <wp:posOffset>3155315</wp:posOffset>
                </wp:positionV>
                <wp:extent cx="1549400" cy="170815"/>
                <wp:wrapNone/>
                <wp:docPr id="1710" name="1710"/>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48.45pt;z-index:-250958848;width:122.00pt;height:13.45pt;" id="1710"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和通信技术</w:t>
      </w:r>
      <w:r>
        <w:rPr>
          <w:rFonts w:ascii="宋体" w:hAnsi="宋体" w:cs="宋体" w:eastAsia="宋体" w:hint="ascii"/>
          <w:sz w:val="18"/>
        </w:rPr>
        <mc:AlternateContent>
          <mc:Choice Requires="wps">
            <w:drawing>
              <wp:anchor distL="0" distR="0" distT="0" distB="0" simplePos="0" behindDoc="1" relativeHeight="684" locked="0" layoutInCell="1" allowOverlap="1">
                <wp:simplePos x="0" y="0"/>
                <wp:positionH relativeFrom="page">
                  <wp:posOffset>4878070</wp:posOffset>
                </wp:positionH>
                <wp:positionV relativeFrom="page">
                  <wp:posOffset>3336290</wp:posOffset>
                </wp:positionV>
                <wp:extent cx="571500" cy="170815"/>
                <wp:wrapNone/>
                <wp:docPr id="1711" name="1711"/>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262.70pt;z-index:-250957824;width:45.00pt;height:13.45pt;" id="1711" coordsize="90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F051008</w:t>
      </w:r>
      <w:r>
        <w:rPr>
          <w:rFonts w:ascii="Times New Roman" w:hAnsi="Times New Roman" w:cs="Times New Roman" w:eastAsia="Times New Roman" w:hint="ascii"/>
          <w:sz w:val="18"/>
          <w:spacing w:val="45"/>
        </w:rPr>
        <w:t xml:space="preserve"> </w:t>
      </w:r>
      <w:r>
        <w:rPr>
          <w:rFonts w:ascii="宋体" w:hAnsi="宋体" w:cs="宋体" w:eastAsia="宋体" w:hint="ascii"/>
          <w:sz w:val="18"/>
        </w:rPr>
        <w:t>超大口径望远镜技术</w:t>
      </w:r>
      <w:r>
        <w:rPr>
          <w:rFonts w:ascii="宋体" w:hAnsi="宋体" w:cs="宋体" w:eastAsia="宋体" w:hint="ascii"/>
          <w:sz w:val="18"/>
        </w:rPr>
        <mc:AlternateContent>
          <mc:Choice Requires="wps">
            <w:drawing>
              <wp:anchor distL="0" distR="0" distT="0" distB="0" simplePos="0" behindDoc="1" relativeHeight="685" locked="0" layoutInCell="1" allowOverlap="1">
                <wp:simplePos x="0" y="0"/>
                <wp:positionH relativeFrom="page">
                  <wp:posOffset>4352290</wp:posOffset>
                </wp:positionH>
                <wp:positionV relativeFrom="page">
                  <wp:posOffset>3518535</wp:posOffset>
                </wp:positionV>
                <wp:extent cx="1549400" cy="170815"/>
                <wp:wrapNone/>
                <wp:docPr id="1712" name="171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277.05pt;z-index:-250956800;width:122.00pt;height:13.45pt;" id="1712" coordsize="2440,269"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大气、海洋与环境光学</w:t>
      </w:r>
      <w:r>
        <w:rPr>
          <w:rFonts w:ascii="宋体" w:hAnsi="宋体" w:cs="宋体" w:eastAsia="宋体" w:hint="ascii"/>
          <w:sz w:val="18"/>
        </w:rPr>
        <mc:AlternateContent>
          <mc:Choice Requires="wps">
            <w:drawing>
              <wp:anchor distL="0" distR="0" distT="0" distB="0" simplePos="0" behindDoc="1" relativeHeight="686" locked="0" layoutInCell="1" allowOverlap="1">
                <wp:simplePos x="0" y="0"/>
                <wp:positionH relativeFrom="page">
                  <wp:posOffset>3931920</wp:posOffset>
                </wp:positionH>
                <wp:positionV relativeFrom="page">
                  <wp:posOffset>3696335</wp:posOffset>
                </wp:positionV>
                <wp:extent cx="1549400" cy="167005"/>
                <wp:wrapNone/>
                <wp:docPr id="1713" name="1713"/>
                <wp:cNvGraphicFramePr/>
                <a:graphic>
                  <a:graphicData uri="http://schemas.microsoft.com/office/word/2010/wordprocessingShape">
                    <wps:wsp>
                      <wps:cNvSpPr/>
                      <wps:spPr>
                        <a:xfrm>
                          <a:off x="0" y="0"/>
                          <a:ext cx="154940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291.05pt;z-index:-250955776;width:122.00pt;height:13.15pt;" id="1713" coordsize="2440,263" stroked="f" fillcolor="#ffffff" opacity="0f">
                <v:stroke endcap="round"/>
                <v:fill opacity="0f"/>
                <w10:wrap anchorx="page" anchory="page" side="both"/>
              </v:rect>
            </w:pict>
          </mc:Fallback>
        </mc:AlternateContent>
      </w:r>
    </w:p>
    <w:p>
      <w:pPr>
        <w:autoSpaceDE w:val="0"/>
        <w:autoSpaceDN w:val="0"/>
        <w:jc w:val="left"/>
        <w:spacing w:before="67" w:after="0" w:lineRule="auto" w:line="314"/>
        <w:ind w:right="1441"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大气光学</w:t>
      </w:r>
      <w:r>
        <w:rPr>
          <w:rFonts w:ascii="Times New Roman" w:hAnsi="Times New Roman" w:cs="Times New Roman" w:eastAsia="Times New Roman" w:hint="ascii"/>
          <w:sz w:val="18"/>
        </w:rPr>
        <w:t>F05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激光遥感与探测</w:t>
      </w:r>
      <w:r>
        <w:rPr>
          <w:rFonts w:ascii="宋体" w:hAnsi="宋体" w:cs="宋体" w:eastAsia="宋体" w:hint="ascii"/>
          <w:sz w:val="18"/>
        </w:rPr>
        <mc:AlternateContent>
          <mc:Choice Requires="wps">
            <w:drawing>
              <wp:anchor distL="0" distR="0" distT="0" distB="0" simplePos="0" behindDoc="1" relativeHeight="687" locked="0" layoutInCell="1" allowOverlap="1">
                <wp:simplePos x="0" y="0"/>
                <wp:positionH relativeFrom="page">
                  <wp:posOffset>4352290</wp:posOffset>
                </wp:positionH>
                <wp:positionV relativeFrom="page">
                  <wp:posOffset>3881120</wp:posOffset>
                </wp:positionV>
                <wp:extent cx="974090" cy="170815"/>
                <wp:wrapNone/>
                <wp:docPr id="1714" name="1714"/>
                <wp:cNvGraphicFramePr/>
                <a:graphic>
                  <a:graphicData uri="http://schemas.microsoft.com/office/word/2010/wordprocessingShape">
                    <wps:wsp>
                      <wps:cNvSpPr/>
                      <wps:spPr>
                        <a:xfrm>
                          <a:off x="0" y="0"/>
                          <a:ext cx="9740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05.60pt;z-index:-250954752;width:76.70pt;height:13.45pt;" id="1714" coordsize="153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88" locked="0" layoutInCell="1" allowOverlap="1">
                <wp:simplePos x="0" y="0"/>
                <wp:positionH relativeFrom="page">
                  <wp:posOffset>4352290</wp:posOffset>
                </wp:positionH>
                <wp:positionV relativeFrom="page">
                  <wp:posOffset>4063365</wp:posOffset>
                </wp:positionV>
                <wp:extent cx="1316990" cy="170815"/>
                <wp:wrapNone/>
                <wp:docPr id="1715" name="1715"/>
                <wp:cNvGraphicFramePr/>
                <a:graphic>
                  <a:graphicData uri="http://schemas.microsoft.com/office/word/2010/wordprocessingShape">
                    <wps:wsp>
                      <wps:cNvSpPr/>
                      <wps:spPr>
                        <a:xfrm>
                          <a:off x="0" y="0"/>
                          <a:ext cx="13169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19.95pt;z-index:-250953728;width:103.70pt;height:13.45pt;" id="1715" coordsize="2074,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689" locked="0" layoutInCell="1" allowOverlap="1">
                <wp:simplePos x="0" y="0"/>
                <wp:positionH relativeFrom="page">
                  <wp:posOffset>4352290</wp:posOffset>
                </wp:positionH>
                <wp:positionV relativeFrom="page">
                  <wp:posOffset>4244975</wp:posOffset>
                </wp:positionV>
                <wp:extent cx="1545590" cy="170815"/>
                <wp:wrapNone/>
                <wp:docPr id="1716" name="1716"/>
                <wp:cNvGraphicFramePr/>
                <a:graphic>
                  <a:graphicData uri="http://schemas.microsoft.com/office/word/2010/wordprocessingShape">
                    <wps:wsp>
                      <wps:cNvSpPr/>
                      <wps:spPr>
                        <a:xfrm>
                          <a:off x="0" y="0"/>
                          <a:ext cx="15455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34.25pt;z-index:-250952704;width:121.70pt;height:13.45pt;" id="1716" coordsize="2434,269" stroked="f" fillcolor="#ffffff" opacity="0f">
                <v:stroke endcap="round"/>
                <v:fill opacity="0f"/>
                <w10:wrap anchorx="page" anchory="page" side="both"/>
              </v:rect>
            </w:pict>
          </mc:Fallback>
        </mc:AlternateContent>
      </w:r>
    </w:p>
    <w:p>
      <w:pPr>
        <w:autoSpaceDE w:val="0"/>
        <w:autoSpaceDN w:val="0"/>
        <w:jc w:val="left"/>
        <w:spacing w:before="0" w:after="0" w:lineRule="auto" w:line="238"/>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103</w:t>
      </w:r>
      <w:r>
        <w:rPr>
          <w:rFonts w:ascii="Times New Roman" w:hAnsi="Times New Roman" w:cs="Times New Roman" w:eastAsia="Times New Roman" w:hint="ascii"/>
          <w:sz w:val="18"/>
          <w:spacing w:val="45"/>
        </w:rPr>
        <w:t xml:space="preserve"> </w:t>
      </w:r>
      <w:r>
        <w:rPr>
          <w:rFonts w:ascii="宋体" w:hAnsi="宋体" w:cs="宋体" w:eastAsia="宋体" w:hint="ascii"/>
          <w:sz w:val="18"/>
        </w:rPr>
        <w:t>水色、水质光学信息</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获取与处理</w:t>
      </w:r>
      <w:r>
        <w:rPr>
          <w:rFonts w:ascii="宋体" w:hAnsi="宋体" w:cs="宋体" w:eastAsia="宋体" w:hint="ascii"/>
          <w:sz w:val="18"/>
        </w:rPr>
        <mc:AlternateContent>
          <mc:Choice Requires="wps">
            <w:drawing>
              <wp:anchor distL="0" distR="0" distT="0" distB="0" simplePos="0" behindDoc="1" relativeHeight="690" locked="0" layoutInCell="1" allowOverlap="1">
                <wp:simplePos x="0" y="0"/>
                <wp:positionH relativeFrom="page">
                  <wp:posOffset>4878070</wp:posOffset>
                </wp:positionH>
                <wp:positionV relativeFrom="page">
                  <wp:posOffset>4425950</wp:posOffset>
                </wp:positionV>
                <wp:extent cx="628650" cy="170815"/>
                <wp:wrapNone/>
                <wp:docPr id="1717" name="1717"/>
                <wp:cNvGraphicFramePr/>
                <a:graphic>
                  <a:graphicData uri="http://schemas.microsoft.com/office/word/2010/wordprocessingShape">
                    <wps:wsp>
                      <wps:cNvSpPr/>
                      <wps:spPr>
                        <a:xfrm>
                          <a:off x="0" y="0"/>
                          <a:ext cx="62865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48.50pt;z-index:-250951680;width:49.50pt;height:13.45pt;" id="1717" coordsize="99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104</w:t>
      </w:r>
      <w:r>
        <w:rPr>
          <w:rFonts w:ascii="Times New Roman" w:hAnsi="Times New Roman" w:cs="Times New Roman" w:eastAsia="Times New Roman" w:hint="ascii"/>
          <w:sz w:val="18"/>
          <w:spacing w:val="45"/>
        </w:rPr>
        <w:t xml:space="preserve"> </w:t>
      </w:r>
      <w:r>
        <w:rPr>
          <w:rFonts w:ascii="宋体" w:hAnsi="宋体" w:cs="宋体" w:eastAsia="宋体" w:hint="ascii"/>
          <w:sz w:val="18"/>
        </w:rPr>
        <w:t>水下目标、海底光学</w:t>
      </w:r>
      <w:r>
        <w:rPr>
          <w:rFonts w:ascii="宋体" w:hAnsi="宋体" w:cs="宋体" w:eastAsia="宋体" w:hint="ascii"/>
          <w:sz w:val="18"/>
        </w:rPr>
        <mc:AlternateContent>
          <mc:Choice Requires="wps">
            <w:drawing>
              <wp:anchor distL="0" distR="0" distT="0" distB="0" simplePos="0" behindDoc="1" relativeHeight="691" locked="0" layoutInCell="1" allowOverlap="1">
                <wp:simplePos x="0" y="0"/>
                <wp:positionH relativeFrom="page">
                  <wp:posOffset>4352290</wp:posOffset>
                </wp:positionH>
                <wp:positionV relativeFrom="page">
                  <wp:posOffset>4608195</wp:posOffset>
                </wp:positionV>
                <wp:extent cx="1545590" cy="170815"/>
                <wp:wrapNone/>
                <wp:docPr id="1718" name="1718"/>
                <wp:cNvGraphicFramePr/>
                <a:graphic>
                  <a:graphicData uri="http://schemas.microsoft.com/office/word/2010/wordprocessingShape">
                    <wps:wsp>
                      <wps:cNvSpPr/>
                      <wps:spPr>
                        <a:xfrm>
                          <a:off x="0" y="0"/>
                          <a:ext cx="15455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62.85pt;z-index:-250950656;width:121.70pt;height:13.45pt;" id="1718" coordsize="2434,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探测与信息处理</w:t>
      </w:r>
      <w:r>
        <w:rPr>
          <w:rFonts w:ascii="宋体" w:hAnsi="宋体" w:cs="宋体" w:eastAsia="宋体" w:hint="ascii"/>
          <w:sz w:val="18"/>
        </w:rPr>
        <mc:AlternateContent>
          <mc:Choice Requires="wps">
            <w:drawing>
              <wp:anchor distL="0" distR="0" distT="0" distB="0" simplePos="0" behindDoc="1" relativeHeight="692" locked="0" layoutInCell="1" allowOverlap="1">
                <wp:simplePos x="0" y="0"/>
                <wp:positionH relativeFrom="page">
                  <wp:posOffset>4878070</wp:posOffset>
                </wp:positionH>
                <wp:positionV relativeFrom="page">
                  <wp:posOffset>4789805</wp:posOffset>
                </wp:positionV>
                <wp:extent cx="800100" cy="170815"/>
                <wp:wrapNone/>
                <wp:docPr id="1719" name="1719"/>
                <wp:cNvGraphicFramePr/>
                <a:graphic>
                  <a:graphicData uri="http://schemas.microsoft.com/office/word/2010/wordprocessingShape">
                    <wps:wsp>
                      <wps:cNvSpPr/>
                      <wps:spPr>
                        <a:xfrm>
                          <a:off x="0" y="0"/>
                          <a:ext cx="800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377.15pt;z-index:-250949632;width:63.00pt;height:13.45pt;" id="1719" coordsize="126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105</w:t>
      </w:r>
      <w:r>
        <w:rPr>
          <w:rFonts w:ascii="Times New Roman" w:hAnsi="Times New Roman" w:cs="Times New Roman" w:eastAsia="Times New Roman" w:hint="ascii"/>
          <w:sz w:val="18"/>
          <w:spacing w:val="53"/>
        </w:rPr>
        <w:t xml:space="preserve"> </w:t>
      </w:r>
      <w:r>
        <w:rPr>
          <w:rFonts w:ascii="宋体" w:hAnsi="宋体" w:cs="宋体" w:eastAsia="宋体" w:hint="ascii"/>
          <w:sz w:val="18"/>
        </w:rPr>
        <w:t>海洋光学</w:t>
      </w:r>
      <w:r>
        <w:rPr>
          <w:rFonts w:ascii="宋体" w:hAnsi="宋体" w:cs="宋体" w:eastAsia="宋体" w:hint="ascii"/>
          <w:sz w:val="18"/>
        </w:rPr>
        <mc:AlternateContent>
          <mc:Choice Requires="wps">
            <w:drawing>
              <wp:anchor distL="0" distR="0" distT="0" distB="0" simplePos="0" behindDoc="1" relativeHeight="693" locked="0" layoutInCell="1" allowOverlap="1">
                <wp:simplePos x="0" y="0"/>
                <wp:positionH relativeFrom="page">
                  <wp:posOffset>4352290</wp:posOffset>
                </wp:positionH>
                <wp:positionV relativeFrom="page">
                  <wp:posOffset>4970780</wp:posOffset>
                </wp:positionV>
                <wp:extent cx="982980" cy="170815"/>
                <wp:wrapNone/>
                <wp:docPr id="1720" name="1720"/>
                <wp:cNvGraphicFramePr/>
                <a:graphic>
                  <a:graphicData uri="http://schemas.microsoft.com/office/word/2010/wordprocessingShape">
                    <wps:wsp>
                      <wps:cNvSpPr/>
                      <wps:spPr>
                        <a:xfrm>
                          <a:off x="0" y="0"/>
                          <a:ext cx="9829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391.40pt;z-index:-250948608;width:77.40pt;height:13.45pt;" id="1720" coordsize="1548,269" stroked="f" fillcolor="#ffffff" opacity="0f">
                <v:stroke endcap="round"/>
                <v:fill opacity="0f"/>
                <w10:wrap anchorx="page" anchory="page" side="both"/>
              </v:rect>
            </w:pict>
          </mc:Fallback>
        </mc:AlternateConten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106</w:t>
      </w:r>
      <w:r>
        <w:rPr>
          <w:rFonts w:ascii="Times New Roman" w:hAnsi="Times New Roman" w:cs="Times New Roman" w:eastAsia="Times New Roman" w:hint="ascii"/>
          <w:sz w:val="18"/>
          <w:spacing w:val="45"/>
        </w:rPr>
        <w:t xml:space="preserve"> </w:t>
      </w:r>
      <w:r>
        <w:rPr>
          <w:rFonts w:ascii="宋体" w:hAnsi="宋体" w:cs="宋体" w:eastAsia="宋体" w:hint="ascii"/>
          <w:sz w:val="18"/>
        </w:rPr>
        <w:t>环境光学</w:t>
      </w:r>
      <w:r>
        <w:rPr>
          <w:rFonts w:ascii="宋体" w:hAnsi="宋体" w:cs="宋体" w:eastAsia="宋体" w:hint="ascii"/>
          <w:sz w:val="18"/>
        </w:rPr>
        <mc:AlternateContent>
          <mc:Choice Requires="wps">
            <w:drawing>
              <wp:anchor distL="0" distR="0" distT="0" distB="0" simplePos="0" behindDoc="1" relativeHeight="694" locked="0" layoutInCell="1" allowOverlap="1">
                <wp:simplePos x="0" y="0"/>
                <wp:positionH relativeFrom="page">
                  <wp:posOffset>4352290</wp:posOffset>
                </wp:positionH>
                <wp:positionV relativeFrom="page">
                  <wp:posOffset>5153025</wp:posOffset>
                </wp:positionV>
                <wp:extent cx="974090" cy="170815"/>
                <wp:wrapNone/>
                <wp:docPr id="1721" name="1721"/>
                <wp:cNvGraphicFramePr/>
                <a:graphic>
                  <a:graphicData uri="http://schemas.microsoft.com/office/word/2010/wordprocessingShape">
                    <wps:wsp>
                      <wps:cNvSpPr/>
                      <wps:spPr>
                        <a:xfrm>
                          <a:off x="0" y="0"/>
                          <a:ext cx="97409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05.75pt;z-index:-250947584;width:76.70pt;height:13.45pt;" id="1721" coordsize="1534,269"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生物、医学光学与光子学</w:t>
      </w:r>
      <w:r>
        <w:rPr>
          <w:rFonts w:ascii="宋体" w:hAnsi="宋体" w:cs="宋体" w:eastAsia="宋体" w:hint="ascii"/>
          <w:sz w:val="18"/>
        </w:rPr>
        <mc:AlternateContent>
          <mc:Choice Requires="wps">
            <w:drawing>
              <wp:anchor distL="0" distR="0" distT="0" distB="0" simplePos="0" behindDoc="1" relativeHeight="695" locked="0" layoutInCell="1" allowOverlap="1">
                <wp:simplePos x="0" y="0"/>
                <wp:positionH relativeFrom="page">
                  <wp:posOffset>3931920</wp:posOffset>
                </wp:positionH>
                <wp:positionV relativeFrom="page">
                  <wp:posOffset>5330825</wp:posOffset>
                </wp:positionV>
                <wp:extent cx="1670050" cy="167005"/>
                <wp:wrapNone/>
                <wp:docPr id="1722" name="1722"/>
                <wp:cNvGraphicFramePr/>
                <a:graphic>
                  <a:graphicData uri="http://schemas.microsoft.com/office/word/2010/wordprocessingShape">
                    <wps:wsp>
                      <wps:cNvSpPr/>
                      <wps:spPr>
                        <a:xfrm>
                          <a:off x="0" y="0"/>
                          <a:ext cx="16700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09.60pt;mso-position-vertical:absolute;mso-position-vertical-relative:page;margin-top:419.75pt;z-index:-250946560;width:131.50pt;height:13.15pt;" id="1722" coordsize="2630,263"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光学探针、标记与光</w:t>
      </w:r>
      <w:r>
        <w:rPr>
          <w:rFonts w:ascii="宋体" w:hAnsi="宋体" w:cs="宋体" w:eastAsia="宋体" w:hint="ascii"/>
          <w:sz w:val="18"/>
        </w:rPr>
        <mc:AlternateContent>
          <mc:Choice Requires="wps">
            <w:drawing>
              <wp:anchor distL="0" distR="0" distT="0" distB="0" simplePos="0" behindDoc="1" relativeHeight="696" locked="0" layoutInCell="1" allowOverlap="1">
                <wp:simplePos x="0" y="0"/>
                <wp:positionH relativeFrom="page">
                  <wp:posOffset>4352290</wp:posOffset>
                </wp:positionH>
                <wp:positionV relativeFrom="page">
                  <wp:posOffset>5515610</wp:posOffset>
                </wp:positionV>
                <wp:extent cx="1549400" cy="170815"/>
                <wp:wrapNone/>
                <wp:docPr id="1723" name="172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34.30pt;z-index:-250945536;width:122.00pt;height:13.45pt;" id="1723"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学成像</w:t>
      </w:r>
      <w:r>
        <w:rPr>
          <w:rFonts w:ascii="宋体" w:hAnsi="宋体" w:cs="宋体" w:eastAsia="宋体" w:hint="ascii"/>
          <w:sz w:val="18"/>
        </w:rPr>
        <mc:AlternateContent>
          <mc:Choice Requires="wps">
            <w:drawing>
              <wp:anchor distL="0" distR="0" distT="0" distB="0" simplePos="0" behindDoc="1" relativeHeight="697" locked="0" layoutInCell="1" allowOverlap="1">
                <wp:simplePos x="0" y="0"/>
                <wp:positionH relativeFrom="page">
                  <wp:posOffset>4878070</wp:posOffset>
                </wp:positionH>
                <wp:positionV relativeFrom="page">
                  <wp:posOffset>5697855</wp:posOffset>
                </wp:positionV>
                <wp:extent cx="342900" cy="170815"/>
                <wp:wrapNone/>
                <wp:docPr id="1724" name="1724"/>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48.65pt;z-index:-250944512;width:27.00pt;height:13.45pt;" id="1724"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F051202</w:t>
      </w:r>
      <w:r>
        <w:rPr>
          <w:rFonts w:ascii="Times New Roman" w:hAnsi="Times New Roman" w:cs="Times New Roman" w:eastAsia="Times New Roman" w:hint="ascii"/>
          <w:sz w:val="18"/>
          <w:spacing w:val="45"/>
        </w:rPr>
        <w:t xml:space="preserve"> </w:t>
      </w:r>
      <w:r>
        <w:rPr>
          <w:rFonts w:ascii="宋体" w:hAnsi="宋体" w:cs="宋体" w:eastAsia="宋体" w:hint="ascii"/>
          <w:sz w:val="18"/>
        </w:rPr>
        <w:t>单分子探测、操控及</w:t>
      </w:r>
      <w:r>
        <w:rPr>
          <w:rFonts w:ascii="宋体" w:hAnsi="宋体" w:cs="宋体" w:eastAsia="宋体" w:hint="ascii"/>
          <w:sz w:val="18"/>
        </w:rPr>
        <mc:AlternateContent>
          <mc:Choice Requires="wps">
            <w:drawing>
              <wp:anchor distL="0" distR="0" distT="0" distB="0" simplePos="0" behindDoc="1" relativeHeight="698" locked="0" layoutInCell="1" allowOverlap="1">
                <wp:simplePos x="0" y="0"/>
                <wp:positionH relativeFrom="page">
                  <wp:posOffset>4352290</wp:posOffset>
                </wp:positionH>
                <wp:positionV relativeFrom="page">
                  <wp:posOffset>5879465</wp:posOffset>
                </wp:positionV>
                <wp:extent cx="1549400" cy="170815"/>
                <wp:wrapNone/>
                <wp:docPr id="1725" name="1725"/>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62.95pt;z-index:-250943488;width:122.00pt;height:13.45pt;" id="1725"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其应用</w:t>
      </w:r>
      <w:r>
        <w:rPr>
          <w:rFonts w:ascii="宋体" w:hAnsi="宋体" w:cs="宋体" w:eastAsia="宋体" w:hint="ascii"/>
          <w:sz w:val="18"/>
        </w:rPr>
        <mc:AlternateContent>
          <mc:Choice Requires="wps">
            <w:drawing>
              <wp:anchor distL="0" distR="0" distT="0" distB="0" simplePos="0" behindDoc="1" relativeHeight="699" locked="0" layoutInCell="1" allowOverlap="1">
                <wp:simplePos x="0" y="0"/>
                <wp:positionH relativeFrom="page">
                  <wp:posOffset>4878070</wp:posOffset>
                </wp:positionH>
                <wp:positionV relativeFrom="page">
                  <wp:posOffset>6060440</wp:posOffset>
                </wp:positionV>
                <wp:extent cx="342900" cy="170815"/>
                <wp:wrapNone/>
                <wp:docPr id="1726" name="1726"/>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477.20pt;z-index:-250942464;width:27.00pt;height:13.45pt;" id="1726" coordsize="540,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F051203</w:t>
      </w:r>
      <w:r>
        <w:rPr>
          <w:rFonts w:ascii="Times New Roman" w:hAnsi="Times New Roman" w:cs="Times New Roman" w:eastAsia="Times New Roman" w:hint="ascii"/>
          <w:sz w:val="18"/>
          <w:spacing w:val="45"/>
        </w:rPr>
        <w:t xml:space="preserve"> </w:t>
      </w:r>
      <w:r>
        <w:rPr>
          <w:rFonts w:ascii="宋体" w:hAnsi="宋体" w:cs="宋体" w:eastAsia="宋体" w:hint="ascii"/>
          <w:sz w:val="18"/>
        </w:rPr>
        <w:t>生命系统的光学效应</w:t>
      </w:r>
      <w:r>
        <w:rPr>
          <w:rFonts w:ascii="宋体" w:hAnsi="宋体" w:cs="宋体" w:eastAsia="宋体" w:hint="ascii"/>
          <w:sz w:val="18"/>
        </w:rPr>
        <mc:AlternateContent>
          <mc:Choice Requires="wps">
            <w:drawing>
              <wp:anchor distL="0" distR="0" distT="0" distB="0" simplePos="0" behindDoc="1" relativeHeight="700" locked="0" layoutInCell="1" allowOverlap="1">
                <wp:simplePos x="0" y="0"/>
                <wp:positionH relativeFrom="page">
                  <wp:posOffset>4352290</wp:posOffset>
                </wp:positionH>
                <wp:positionV relativeFrom="page">
                  <wp:posOffset>6242685</wp:posOffset>
                </wp:positionV>
                <wp:extent cx="1549400" cy="170815"/>
                <wp:wrapNone/>
                <wp:docPr id="1727" name="1727"/>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491.55pt;z-index:-250941440;width:122.00pt;height:13.45pt;" id="1727"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及机理</w:t>
      </w:r>
      <w:r>
        <w:rPr>
          <w:rFonts w:ascii="宋体" w:hAnsi="宋体" w:cs="宋体" w:eastAsia="宋体" w:hint="ascii"/>
          <w:sz w:val="18"/>
        </w:rPr>
        <mc:AlternateContent>
          <mc:Choice Requires="wps">
            <w:drawing>
              <wp:anchor distL="0" distR="0" distT="0" distB="0" simplePos="0" behindDoc="1" relativeHeight="701" locked="0" layoutInCell="1" allowOverlap="1">
                <wp:simplePos x="0" y="0"/>
                <wp:positionH relativeFrom="page">
                  <wp:posOffset>4878070</wp:posOffset>
                </wp:positionH>
                <wp:positionV relativeFrom="page">
                  <wp:posOffset>6424295</wp:posOffset>
                </wp:positionV>
                <wp:extent cx="342900" cy="170815"/>
                <wp:wrapNone/>
                <wp:docPr id="1728" name="1728"/>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05.85pt;z-index:-250940416;width:27.00pt;height:13.45pt;" id="1728"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光与生物组织相</w:t>
      </w:r>
      <w:r>
        <w:rPr>
          <w:rFonts w:ascii="宋体" w:hAnsi="宋体" w:cs="宋体" w:eastAsia="宋体" w:hint="ascii"/>
          <w:sz w:val="18"/>
        </w:rPr>
        <w:t>互</w:t>
      </w:r>
      <w:r>
        <w:rPr>
          <w:rFonts w:ascii="宋体" w:hAnsi="宋体" w:cs="宋体" w:eastAsia="宋体" w:hint="ascii"/>
          <w:sz w:val="18"/>
        </w:rPr>
        <mc:AlternateContent>
          <mc:Choice Requires="wps">
            <w:drawing>
              <wp:anchor distL="0" distR="0" distT="0" distB="0" simplePos="0" behindDoc="1" relativeHeight="702" locked="0" layoutInCell="1" allowOverlap="1">
                <wp:simplePos x="0" y="0"/>
                <wp:positionH relativeFrom="page">
                  <wp:posOffset>4352290</wp:posOffset>
                </wp:positionH>
                <wp:positionV relativeFrom="page">
                  <wp:posOffset>6605270</wp:posOffset>
                </wp:positionV>
                <wp:extent cx="1465580" cy="170815"/>
                <wp:wrapNone/>
                <wp:docPr id="1729" name="1729"/>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20.10pt;z-index:-250939392;width:115.40pt;height:13.45pt;" id="1729" coordsize="2308,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作</w:t>
      </w:r>
      <w:r>
        <w:rPr>
          <w:rFonts w:ascii="宋体" w:hAnsi="宋体" w:cs="宋体" w:eastAsia="宋体" w:hint="ascii"/>
          <w:sz w:val="18"/>
        </w:rPr>
        <w:t>用</w:t>
      </w:r>
      <w:r>
        <w:rPr>
          <w:rFonts w:ascii="宋体" w:hAnsi="宋体" w:cs="宋体" w:eastAsia="宋体" w:hint="ascii"/>
          <w:sz w:val="18"/>
        </w:rPr>
        <mc:AlternateContent>
          <mc:Choice Requires="wps">
            <w:drawing>
              <wp:anchor distL="0" distR="0" distT="0" distB="0" simplePos="0" behindDoc="1" relativeHeight="703" locked="0" layoutInCell="1" allowOverlap="1">
                <wp:simplePos x="0" y="0"/>
                <wp:positionH relativeFrom="page">
                  <wp:posOffset>4878070</wp:posOffset>
                </wp:positionH>
                <wp:positionV relativeFrom="page">
                  <wp:posOffset>6787515</wp:posOffset>
                </wp:positionV>
                <wp:extent cx="236220" cy="170815"/>
                <wp:wrapNone/>
                <wp:docPr id="1730" name="1730"/>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34.45pt;z-index:-250938368;width:18.60pt;height:13.45pt;" id="1730"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生物组织光谱技术及</w:t>
      </w:r>
      <w:r>
        <w:rPr>
          <w:rFonts w:ascii="宋体" w:hAnsi="宋体" w:cs="宋体" w:eastAsia="宋体" w:hint="ascii"/>
          <w:sz w:val="18"/>
        </w:rPr>
        <mc:AlternateContent>
          <mc:Choice Requires="wps">
            <w:drawing>
              <wp:anchor distL="0" distR="0" distT="0" distB="0" simplePos="0" behindDoc="1" relativeHeight="704" locked="0" layoutInCell="1" allowOverlap="1">
                <wp:simplePos x="0" y="0"/>
                <wp:positionH relativeFrom="page">
                  <wp:posOffset>4352290</wp:posOffset>
                </wp:positionH>
                <wp:positionV relativeFrom="page">
                  <wp:posOffset>6969125</wp:posOffset>
                </wp:positionV>
                <wp:extent cx="1549400" cy="170815"/>
                <wp:wrapNone/>
                <wp:docPr id="1731" name="173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48.75pt;z-index:-250937344;width:122.00pt;height:13.45pt;" id="1731"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成像</w:t>
      </w:r>
      <w:r>
        <w:rPr>
          <w:rFonts w:ascii="宋体" w:hAnsi="宋体" w:cs="宋体" w:eastAsia="宋体" w:hint="ascii"/>
          <w:sz w:val="18"/>
        </w:rPr>
        <mc:AlternateContent>
          <mc:Choice Requires="wps">
            <w:drawing>
              <wp:anchor distL="0" distR="0" distT="0" distB="0" simplePos="0" behindDoc="1" relativeHeight="705" locked="0" layoutInCell="1" allowOverlap="1">
                <wp:simplePos x="0" y="0"/>
                <wp:positionH relativeFrom="page">
                  <wp:posOffset>4878070</wp:posOffset>
                </wp:positionH>
                <wp:positionV relativeFrom="page">
                  <wp:posOffset>7150100</wp:posOffset>
                </wp:positionV>
                <wp:extent cx="228600" cy="170815"/>
                <wp:wrapNone/>
                <wp:docPr id="1732" name="1732"/>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563.00pt;z-index:-250936320;width:18.00pt;height:13.45pt;" id="1732" coordsize="360,269" stroked="f" fillcolor="#ffffff" opacity="0f">
                <v:stroke endcap="round"/>
                <v:fill opacity="0f"/>
                <w10:wrap anchorx="page" anchory="page" side="both"/>
              </v:rect>
            </w:pict>
          </mc:Fallback>
        </mc:AlternateContent>
      </w:r>
    </w:p>
    <w:p>
      <w:pPr>
        <w:autoSpaceDE w:val="0"/>
        <w:autoSpaceDN w:val="0"/>
        <w:jc w:val="both"/>
        <w:spacing w:before="62"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F051206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医</w:t>
      </w:r>
      <w:r>
        <w:rPr>
          <w:rFonts w:ascii="宋体" w:hAnsi="宋体" w:cs="宋体" w:eastAsia="宋体" w:hint="ascii"/>
          <w:sz w:val="18"/>
        </w:rPr>
        <w:t>学光学诊断与治疗</w:t>
      </w:r>
      <w:r>
        <w:rPr>
          <w:rFonts w:ascii="Times New Roman" w:hAnsi="Times New Roman" w:cs="Times New Roman" w:eastAsia="Times New Roman" w:hint="ascii"/>
          <w:sz w:val="18"/>
        </w:rPr>
        <w:t>F051207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生物、医学光功</w:t>
      </w:r>
      <w:r>
        <w:rPr>
          <w:rFonts w:ascii="宋体" w:hAnsi="宋体" w:cs="宋体" w:eastAsia="宋体" w:hint="ascii"/>
          <w:sz w:val="18"/>
        </w:rPr>
        <w:t>能</w:t>
      </w:r>
      <w:r>
        <w:rPr>
          <w:rFonts w:ascii="宋体" w:hAnsi="宋体" w:cs="宋体" w:eastAsia="宋体" w:hint="ascii"/>
          <w:sz w:val="18"/>
        </w:rPr>
        <mc:AlternateContent>
          <mc:Choice Requires="wps">
            <w:drawing>
              <wp:anchor distL="0" distR="0" distT="0" distB="0" simplePos="0" behindDoc="1" relativeHeight="706" locked="0" layoutInCell="1" allowOverlap="1">
                <wp:simplePos x="0" y="0"/>
                <wp:positionH relativeFrom="page">
                  <wp:posOffset>4352290</wp:posOffset>
                </wp:positionH>
                <wp:positionV relativeFrom="page">
                  <wp:posOffset>7332345</wp:posOffset>
                </wp:positionV>
                <wp:extent cx="1549400" cy="170815"/>
                <wp:wrapNone/>
                <wp:docPr id="1733" name="1733"/>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77.35pt;z-index:-250935296;width:122.00pt;height:13.45pt;" id="1733"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07" locked="0" layoutInCell="1" allowOverlap="1">
                <wp:simplePos x="0" y="0"/>
                <wp:positionH relativeFrom="page">
                  <wp:posOffset>4352290</wp:posOffset>
                </wp:positionH>
                <wp:positionV relativeFrom="page">
                  <wp:posOffset>7513955</wp:posOffset>
                </wp:positionV>
                <wp:extent cx="1465580" cy="170815"/>
                <wp:wrapNone/>
                <wp:docPr id="1734" name="1734"/>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591.65pt;z-index:-250934272;width:115.40pt;height:13.45pt;" id="1734" coordsize="2308,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08" locked="0" layoutInCell="1" allowOverlap="1">
                <wp:simplePos x="0" y="0"/>
                <wp:positionH relativeFrom="page">
                  <wp:posOffset>4878070</wp:posOffset>
                </wp:positionH>
                <wp:positionV relativeFrom="page">
                  <wp:posOffset>7694930</wp:posOffset>
                </wp:positionV>
                <wp:extent cx="236220" cy="170815"/>
                <wp:wrapNone/>
                <wp:docPr id="1735" name="1735"/>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05.90pt;z-index:-250933248;width:18.60pt;height:13.45pt;" id="1735" coordsize="372,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材</w:t>
      </w:r>
      <w:r>
        <w:rPr>
          <w:rFonts w:ascii="宋体" w:hAnsi="宋体" w:cs="宋体" w:eastAsia="宋体" w:hint="ascii"/>
          <w:sz w:val="18"/>
        </w:rPr>
        <w:t>料</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F051208</w:t>
      </w:r>
      <w:r>
        <w:rPr>
          <w:rFonts w:ascii="Times New Roman" w:hAnsi="Times New Roman" w:cs="Times New Roman" w:eastAsia="Times New Roman" w:hint="ascii"/>
          <w:sz w:val="18"/>
          <w:spacing w:val="45"/>
        </w:rPr>
        <w:t xml:space="preserve"> </w:t>
      </w:r>
      <w:r>
        <w:rPr>
          <w:rFonts w:ascii="宋体" w:hAnsi="宋体" w:cs="宋体" w:eastAsia="宋体" w:hint="ascii"/>
          <w:sz w:val="18"/>
        </w:rPr>
        <w:t>可穿戴与可植入技术</w:t>
      </w:r>
      <w:r>
        <w:rPr>
          <w:rFonts w:ascii="宋体" w:hAnsi="宋体" w:cs="宋体" w:eastAsia="宋体" w:hint="ascii"/>
          <w:sz w:val="18"/>
        </w:rPr>
        <mc:AlternateContent>
          <mc:Choice Requires="wps">
            <w:drawing>
              <wp:anchor distL="0" distR="0" distT="0" distB="0" simplePos="0" behindDoc="1" relativeHeight="709" locked="0" layoutInCell="1" allowOverlap="1">
                <wp:simplePos x="0" y="0"/>
                <wp:positionH relativeFrom="page">
                  <wp:posOffset>4352290</wp:posOffset>
                </wp:positionH>
                <wp:positionV relativeFrom="page">
                  <wp:posOffset>7877175</wp:posOffset>
                </wp:positionV>
                <wp:extent cx="1549400" cy="170815"/>
                <wp:wrapNone/>
                <wp:docPr id="1736" name="173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20.25pt;z-index:-250932224;width:122.00pt;height:13.45pt;" id="1736"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及器件</w:t>
      </w:r>
      <w:r>
        <w:rPr>
          <w:rFonts w:ascii="宋体" w:hAnsi="宋体" w:cs="宋体" w:eastAsia="宋体" w:hint="ascii"/>
          <w:sz w:val="18"/>
        </w:rPr>
        <mc:AlternateContent>
          <mc:Choice Requires="wps">
            <w:drawing>
              <wp:anchor distL="0" distR="0" distT="0" distB="0" simplePos="0" behindDoc="1" relativeHeight="710" locked="0" layoutInCell="1" allowOverlap="1">
                <wp:simplePos x="0" y="0"/>
                <wp:positionH relativeFrom="page">
                  <wp:posOffset>4878070</wp:posOffset>
                </wp:positionH>
                <wp:positionV relativeFrom="page">
                  <wp:posOffset>8058785</wp:posOffset>
                </wp:positionV>
                <wp:extent cx="342900" cy="170815"/>
                <wp:wrapNone/>
                <wp:docPr id="1737" name="1737"/>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34.55pt;z-index:-250931200;width:27.00pt;height:13.45pt;" id="1737"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F051209</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无标记光学信息检测</w:t>
      </w:r>
      <w:r>
        <w:rPr>
          <w:rFonts w:ascii="宋体" w:hAnsi="宋体" w:cs="宋体" w:eastAsia="宋体" w:hint="ascii"/>
          <w:sz w:val="18"/>
        </w:rPr>
        <mc:AlternateContent>
          <mc:Choice Requires="wps">
            <w:drawing>
              <wp:anchor distL="0" distR="0" distT="0" distB="0" simplePos="0" behindDoc="1" relativeHeight="711" locked="0" layoutInCell="1" allowOverlap="1">
                <wp:simplePos x="0" y="0"/>
                <wp:positionH relativeFrom="page">
                  <wp:posOffset>4352290</wp:posOffset>
                </wp:positionH>
                <wp:positionV relativeFrom="page">
                  <wp:posOffset>8239760</wp:posOffset>
                </wp:positionV>
                <wp:extent cx="1549400" cy="170815"/>
                <wp:wrapNone/>
                <wp:docPr id="1738" name="173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42.70pt;mso-position-vertical:absolute;mso-position-vertical-relative:page;margin-top:648.80pt;z-index:-250930176;width:122.00pt;height:13.45pt;" id="1738"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1490" w:firstLine="0"/>
        <w:snapToGrid w:val="0"/>
        <w:textAlignment w:val="auto"/>
        <w:tabs/>
        <w:sectPr>
          <w:type w:val="continuous"/>
          <w:pgSz w:w="10940" w:h="15080" w:orient="portrait"/>
          <w:pgMar w:top="508" w:right="508" w:bottom="508" w:left="508" w:header="0" w:footer="0" w:gutter="0"/>
          <w:cols w:num="2" w:space="0" w:equalWidth="0">
            <w:col w:w="4722" w:space="962"/>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与显微成像</w:t>
      </w:r>
      <w:r>
        <w:rPr>
          <w:rFonts w:ascii="宋体" w:hAnsi="宋体" w:cs="宋体" w:eastAsia="宋体" w:hint="ascii"/>
          <w:sz w:val="18"/>
        </w:rPr>
        <mc:AlternateContent>
          <mc:Choice Requires="wps">
            <w:drawing>
              <wp:anchor distL="0" distR="0" distT="0" distB="0" simplePos="0" behindDoc="1" relativeHeight="712" locked="0" layoutInCell="1" allowOverlap="1">
                <wp:simplePos x="0" y="0"/>
                <wp:positionH relativeFrom="page">
                  <wp:posOffset>4878070</wp:posOffset>
                </wp:positionH>
                <wp:positionV relativeFrom="page">
                  <wp:posOffset>8422005</wp:posOffset>
                </wp:positionV>
                <wp:extent cx="571500" cy="170815"/>
                <wp:wrapNone/>
                <wp:docPr id="1739" name="1739"/>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84.10pt;mso-position-vertical:absolute;mso-position-vertical-relative:page;margin-top:663.15pt;z-index:-250929152;width:45.00pt;height:13.45pt;" id="1739" coordsize="900,269" stroked="f" fillcolor="#ffffff" opacity="0f">
                <v:stroke endcap="round"/>
                <v:fill opacity="0f"/>
                <w10:wrap anchorx="page" anchory="page" side="both"/>
              </v:rect>
            </w:pict>
          </mc:Fallback>
        </mc:AlternateContent>
      </w:r>
      <w:rPr>
        <w:rFonts w:ascii="宋体" w:hAnsi="宋体" w:cs="宋体" w:eastAsia="宋体" w:hint="ascii"/>
        <w:sz w:val="18"/>
      </w:rPr>
    </w:p>
    <w:p>
      <w:pPr>
        <w:autoSpaceDE w:val="0"/>
        <w:autoSpaceDN w:val="0"/>
        <w:jc w:val="left"/>
        <w:spacing w:before="359"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289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F051210</w:t>
      </w:r>
      <w:r>
        <w:rPr>
          <w:rFonts w:ascii="Times New Roman" w:hAnsi="Times New Roman" w:cs="Times New Roman" w:eastAsia="Times New Roman" w:hint="ascii"/>
          <w:sz w:val="18"/>
          <w:spacing w:val="45"/>
        </w:rPr>
        <w:t xml:space="preserve"> </w:t>
      </w:r>
      <w:r>
        <w:rPr>
          <w:rFonts w:ascii="宋体" w:hAnsi="宋体" w:cs="宋体" w:eastAsia="宋体" w:hint="ascii"/>
          <w:sz w:val="18"/>
        </w:rPr>
        <w:t>纳米生物光子学</w:t>
      </w:r>
      <w:r>
        <w:rPr>
          <w:rFonts w:ascii="Times New Roman" w:hAnsi="Times New Roman" w:cs="Times New Roman" w:eastAsia="Times New Roman" w:hint="ascii"/>
          <w:sz w:val="18"/>
        </w:rPr>
        <w:t>F0512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光</w:t>
      </w:r>
      <w:r>
        <w:rPr>
          <w:rFonts w:ascii="宋体" w:hAnsi="宋体" w:cs="宋体" w:eastAsia="宋体" w:hint="ascii"/>
          <w:sz w:val="18"/>
          <w:spacing w:val="3"/>
        </w:rPr>
        <w:t>学捕获与微操</w:t>
      </w:r>
      <w:r>
        <w:rPr>
          <w:rFonts w:ascii="宋体" w:hAnsi="宋体" w:cs="宋体" w:eastAsia="宋体" w:hint="ascii"/>
          <w:sz w:val="18"/>
        </w:rPr>
        <w:t>控</w:t>
      </w:r>
      <w:r>
        <w:rPr>
          <w:rFonts w:ascii="宋体" w:hAnsi="宋体" w:cs="宋体" w:eastAsia="宋体" w:hint="ascii"/>
          <w:sz w:val="18"/>
        </w:rPr>
        <mc:AlternateContent>
          <mc:Choice Requires="wps">
            <w:drawing>
              <wp:anchor distL="0" distR="0" distT="0" distB="0" simplePos="0" behindDoc="1" relativeHeight="713" locked="0" layoutInCell="1" allowOverlap="1">
                <wp:simplePos x="0" y="0"/>
                <wp:positionH relativeFrom="page">
                  <wp:posOffset>938530</wp:posOffset>
                </wp:positionH>
                <wp:positionV relativeFrom="page">
                  <wp:posOffset>805815</wp:posOffset>
                </wp:positionV>
                <wp:extent cx="5076190" cy="0"/>
                <wp:wrapNone/>
                <wp:docPr id="1740" name="174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0928128;width:399.70pt;" id="1740"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18"/>
        </w:rPr>
        <mc:AlternateContent>
          <mc:Choice Requires="wps">
            <w:drawing>
              <wp:anchor distL="0" distR="0" distT="0" distB="0" simplePos="0" behindDoc="1" relativeHeight="714" locked="0" layoutInCell="1" allowOverlap="1">
                <wp:simplePos x="0" y="0"/>
                <wp:positionH relativeFrom="page">
                  <wp:posOffset>1762760</wp:posOffset>
                </wp:positionH>
                <wp:positionV relativeFrom="page">
                  <wp:posOffset>975995</wp:posOffset>
                </wp:positionV>
                <wp:extent cx="1320800" cy="170815"/>
                <wp:wrapNone/>
                <wp:docPr id="1741" name="1741"/>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76.85pt;z-index:-250927104;width:104.00pt;height:13.45pt;" id="1741"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15" locked="0" layoutInCell="1" allowOverlap="1">
                <wp:simplePos x="0" y="0"/>
                <wp:positionH relativeFrom="page">
                  <wp:posOffset>1762760</wp:posOffset>
                </wp:positionH>
                <wp:positionV relativeFrom="page">
                  <wp:posOffset>1156970</wp:posOffset>
                </wp:positionV>
                <wp:extent cx="1461770" cy="170815"/>
                <wp:wrapNone/>
                <wp:docPr id="1742" name="1742"/>
                <wp:cNvGraphicFramePr/>
                <a:graphic>
                  <a:graphicData uri="http://schemas.microsoft.com/office/word/2010/wordprocessingShape">
                    <wps:wsp>
                      <wps:cNvSpPr/>
                      <wps:spPr>
                        <a:xfrm>
                          <a:off x="0" y="0"/>
                          <a:ext cx="146177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91.10pt;z-index:-250926080;width:115.10pt;height:13.45pt;" id="1742" coordsize="2302,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16" locked="0" layoutInCell="1" allowOverlap="1">
                <wp:simplePos x="0" y="0"/>
                <wp:positionH relativeFrom="page">
                  <wp:posOffset>2288540</wp:posOffset>
                </wp:positionH>
                <wp:positionV relativeFrom="page">
                  <wp:posOffset>1339215</wp:posOffset>
                </wp:positionV>
                <wp:extent cx="236220" cy="170815"/>
                <wp:wrapNone/>
                <wp:docPr id="1743" name="1743"/>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05.45pt;z-index:-250925056;width:18.60pt;height:13.45pt;" id="1743" coordsize="372,269" stroked="f" fillcolor="#ffffff" opacity="0f">
                <v:stroke endcap="round"/>
                <v:fill opacity="0f"/>
                <w10:wrap anchorx="page" anchory="page" side="both"/>
              </v:rect>
            </w:pict>
          </mc:Fallback>
        </mc:AlternateContent>
      </w:r>
    </w:p>
    <w:p>
      <w:pPr>
        <w:autoSpaceDE w:val="0"/>
        <w:autoSpaceDN w:val="0"/>
        <w:jc w:val="left"/>
        <w:spacing w:before="1"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F051212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神经光子学及光</w:t>
      </w:r>
      <w:r>
        <w:rPr>
          <w:rFonts w:ascii="宋体" w:hAnsi="宋体" w:cs="宋体" w:eastAsia="宋体" w:hint="ascii"/>
          <w:sz w:val="18"/>
        </w:rPr>
        <w:t>遗</w:t>
      </w:r>
      <w:r>
        <w:rPr>
          <w:rFonts w:ascii="宋体" w:hAnsi="宋体" w:cs="宋体" w:eastAsia="宋体" w:hint="ascii"/>
          <w:sz w:val="18"/>
        </w:rPr>
        <mc:AlternateContent>
          <mc:Choice Requires="wps">
            <w:drawing>
              <wp:anchor distL="0" distR="0" distT="0" distB="0" simplePos="0" behindDoc="1" relativeHeight="717" locked="0" layoutInCell="1" allowOverlap="1">
                <wp:simplePos x="0" y="0"/>
                <wp:positionH relativeFrom="page">
                  <wp:posOffset>1762760</wp:posOffset>
                </wp:positionH>
                <wp:positionV relativeFrom="page">
                  <wp:posOffset>1520825</wp:posOffset>
                </wp:positionV>
                <wp:extent cx="1465580" cy="170815"/>
                <wp:wrapNone/>
                <wp:docPr id="1744" name="1744"/>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19.75pt;z-index:-250924032;width:115.40pt;height:13.45pt;" id="1744" coordsize="2308,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传</w:t>
      </w:r>
      <w:r>
        <w:rPr>
          <w:rFonts w:ascii="宋体" w:hAnsi="宋体" w:cs="宋体" w:eastAsia="宋体" w:hint="ascii"/>
          <w:sz w:val="18"/>
        </w:rPr>
        <w:t>学</w:t>
      </w:r>
      <w:r>
        <w:rPr>
          <w:rFonts w:ascii="宋体" w:hAnsi="宋体" w:cs="宋体" w:eastAsia="宋体" w:hint="ascii"/>
          <w:sz w:val="18"/>
        </w:rPr>
        <mc:AlternateContent>
          <mc:Choice Requires="wps">
            <w:drawing>
              <wp:anchor distL="0" distR="0" distT="0" distB="0" simplePos="0" behindDoc="1" relativeHeight="718" locked="0" layoutInCell="1" allowOverlap="1">
                <wp:simplePos x="0" y="0"/>
                <wp:positionH relativeFrom="page">
                  <wp:posOffset>2288540</wp:posOffset>
                </wp:positionH>
                <wp:positionV relativeFrom="page">
                  <wp:posOffset>1701800</wp:posOffset>
                </wp:positionV>
                <wp:extent cx="236220" cy="170815"/>
                <wp:wrapNone/>
                <wp:docPr id="1745" name="1745"/>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34.00pt;z-index:-250923008;width:18.60pt;height:13.45pt;" id="1745" coordsize="372,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F051213</w:t>
      </w:r>
      <w:r>
        <w:rPr>
          <w:rFonts w:ascii="Times New Roman" w:hAnsi="Times New Roman" w:cs="Times New Roman" w:eastAsia="Times New Roman" w:hint="ascii"/>
          <w:sz w:val="18"/>
          <w:spacing w:val="45"/>
        </w:rPr>
        <w:t xml:space="preserve"> </w:t>
      </w:r>
      <w:r>
        <w:rPr>
          <w:rFonts w:ascii="宋体" w:hAnsi="宋体" w:cs="宋体" w:eastAsia="宋体" w:hint="ascii"/>
          <w:sz w:val="18"/>
        </w:rPr>
        <w:t>等离子体光子学及医</w:t>
      </w:r>
      <w:r>
        <w:rPr>
          <w:rFonts w:ascii="宋体" w:hAnsi="宋体" w:cs="宋体" w:eastAsia="宋体" w:hint="ascii"/>
          <w:sz w:val="18"/>
        </w:rPr>
        <mc:AlternateContent>
          <mc:Choice Requires="wps">
            <w:drawing>
              <wp:anchor distL="0" distR="0" distT="0" distB="0" simplePos="0" behindDoc="1" relativeHeight="719" locked="0" layoutInCell="1" allowOverlap="1">
                <wp:simplePos x="0" y="0"/>
                <wp:positionH relativeFrom="page">
                  <wp:posOffset>1762760</wp:posOffset>
                </wp:positionH>
                <wp:positionV relativeFrom="page">
                  <wp:posOffset>1884045</wp:posOffset>
                </wp:positionV>
                <wp:extent cx="1549400" cy="170815"/>
                <wp:wrapNone/>
                <wp:docPr id="1746" name="1746"/>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48.35pt;z-index:-250921984;width:122.00pt;height:13.45pt;" id="1746" coordsize="2440,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学应用</w:t>
      </w:r>
      <w:r>
        <w:rPr>
          <w:rFonts w:ascii="宋体" w:hAnsi="宋体" w:cs="宋体" w:eastAsia="宋体" w:hint="ascii"/>
          <w:sz w:val="18"/>
        </w:rPr>
        <mc:AlternateContent>
          <mc:Choice Requires="wps">
            <w:drawing>
              <wp:anchor distL="0" distR="0" distT="0" distB="0" simplePos="0" behindDoc="1" relativeHeight="720" locked="0" layoutInCell="1" allowOverlap="1">
                <wp:simplePos x="0" y="0"/>
                <wp:positionH relativeFrom="page">
                  <wp:posOffset>2288540</wp:posOffset>
                </wp:positionH>
                <wp:positionV relativeFrom="page">
                  <wp:posOffset>2065655</wp:posOffset>
                </wp:positionV>
                <wp:extent cx="342900" cy="170815"/>
                <wp:wrapNone/>
                <wp:docPr id="1747" name="1747"/>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62.65pt;z-index:-250920960;width:27.00pt;height:13.45pt;" id="1747"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F051214</w:t>
      </w:r>
      <w:r>
        <w:rPr>
          <w:rFonts w:ascii="Times New Roman" w:hAnsi="Times New Roman" w:cs="Times New Roman" w:eastAsia="Times New Roman" w:hint="ascii"/>
          <w:sz w:val="18"/>
          <w:spacing w:val="45"/>
        </w:rPr>
        <w:t xml:space="preserve"> </w:t>
      </w:r>
      <w:r>
        <w:rPr>
          <w:rFonts w:ascii="宋体" w:hAnsi="宋体" w:cs="宋体" w:eastAsia="宋体" w:hint="ascii"/>
          <w:sz w:val="18"/>
        </w:rPr>
        <w:t>生物、医学光学成像</w:t>
      </w:r>
      <w:r>
        <w:rPr>
          <w:rFonts w:ascii="宋体" w:hAnsi="宋体" w:cs="宋体" w:eastAsia="宋体" w:hint="ascii"/>
          <w:sz w:val="18"/>
        </w:rPr>
        <mc:AlternateContent>
          <mc:Choice Requires="wps">
            <w:drawing>
              <wp:anchor distL="0" distR="0" distT="0" distB="0" simplePos="0" behindDoc="1" relativeHeight="721" locked="0" layoutInCell="1" allowOverlap="1">
                <wp:simplePos x="0" y="0"/>
                <wp:positionH relativeFrom="page">
                  <wp:posOffset>1762760</wp:posOffset>
                </wp:positionH>
                <wp:positionV relativeFrom="page">
                  <wp:posOffset>2246630</wp:posOffset>
                </wp:positionV>
                <wp:extent cx="1549400" cy="170815"/>
                <wp:wrapNone/>
                <wp:docPr id="1748" name="1748"/>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176.90pt;z-index:-250919936;width:122.00pt;height:13.45pt;" id="1748"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仪器及应用</w:t>
      </w:r>
      <w:r>
        <w:rPr>
          <w:rFonts w:ascii="宋体" w:hAnsi="宋体" w:cs="宋体" w:eastAsia="宋体" w:hint="ascii"/>
          <w:sz w:val="18"/>
        </w:rPr>
        <mc:AlternateContent>
          <mc:Choice Requires="wps">
            <w:drawing>
              <wp:anchor distL="0" distR="0" distT="0" distB="0" simplePos="0" behindDoc="1" relativeHeight="722" locked="0" layoutInCell="1" allowOverlap="1">
                <wp:simplePos x="0" y="0"/>
                <wp:positionH relativeFrom="page">
                  <wp:posOffset>2288540</wp:posOffset>
                </wp:positionH>
                <wp:positionV relativeFrom="page">
                  <wp:posOffset>2428875</wp:posOffset>
                </wp:positionV>
                <wp:extent cx="571500" cy="170815"/>
                <wp:wrapNone/>
                <wp:docPr id="1749" name="1749"/>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191.25pt;z-index:-250918912;width:45.00pt;height:13.45pt;" id="1749" coordsize="90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能源与照明光子学</w:t>
      </w:r>
      <w:r>
        <w:rPr>
          <w:rFonts w:ascii="宋体" w:hAnsi="宋体" w:cs="宋体" w:eastAsia="宋体" w:hint="ascii"/>
          <w:sz w:val="18"/>
        </w:rPr>
        <mc:AlternateContent>
          <mc:Choice Requires="wps">
            <w:drawing>
              <wp:anchor distL="0" distR="0" distT="0" distB="0" simplePos="0" behindDoc="1" relativeHeight="723" locked="0" layoutInCell="1" allowOverlap="1">
                <wp:simplePos x="0" y="0"/>
                <wp:positionH relativeFrom="page">
                  <wp:posOffset>1341755</wp:posOffset>
                </wp:positionH>
                <wp:positionV relativeFrom="page">
                  <wp:posOffset>2606675</wp:posOffset>
                </wp:positionV>
                <wp:extent cx="1327150" cy="167005"/>
                <wp:wrapNone/>
                <wp:docPr id="1750" name="1750"/>
                <wp:cNvGraphicFramePr/>
                <a:graphic>
                  <a:graphicData uri="http://schemas.microsoft.com/office/word/2010/wordprocessingShape">
                    <wps:wsp>
                      <wps:cNvSpPr/>
                      <wps:spPr>
                        <a:xfrm>
                          <a:off x="0" y="0"/>
                          <a:ext cx="13271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205.25pt;z-index:-250917888;width:104.50pt;height:13.15pt;" id="1750" coordsize="2090,263"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F051301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光电转换材料、器件</w:t>
      </w:r>
      <w:r>
        <w:rPr>
          <w:rFonts w:ascii="宋体" w:hAnsi="宋体" w:cs="宋体" w:eastAsia="宋体" w:hint="ascii"/>
          <w:sz w:val="18"/>
        </w:rPr>
        <mc:AlternateContent>
          <mc:Choice Requires="wps">
            <w:drawing>
              <wp:anchor distL="0" distR="0" distT="0" distB="0" simplePos="0" behindDoc="1" relativeHeight="724" locked="0" layoutInCell="1" allowOverlap="1">
                <wp:simplePos x="0" y="0"/>
                <wp:positionH relativeFrom="page">
                  <wp:posOffset>1762760</wp:posOffset>
                </wp:positionH>
                <wp:positionV relativeFrom="page">
                  <wp:posOffset>2791460</wp:posOffset>
                </wp:positionV>
                <wp:extent cx="1549400" cy="170815"/>
                <wp:wrapNone/>
                <wp:docPr id="1751" name="175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19.80pt;z-index:-250916864;width:122.00pt;height:13.45pt;" id="1751"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及技术</w:t>
      </w:r>
      <w:r>
        <w:rPr>
          <w:rFonts w:ascii="宋体" w:hAnsi="宋体" w:cs="宋体" w:eastAsia="宋体" w:hint="ascii"/>
          <w:sz w:val="18"/>
        </w:rPr>
        <mc:AlternateContent>
          <mc:Choice Requires="wps">
            <w:drawing>
              <wp:anchor distL="0" distR="0" distT="0" distB="0" simplePos="0" behindDoc="1" relativeHeight="725" locked="0" layoutInCell="1" allowOverlap="1">
                <wp:simplePos x="0" y="0"/>
                <wp:positionH relativeFrom="page">
                  <wp:posOffset>2288540</wp:posOffset>
                </wp:positionH>
                <wp:positionV relativeFrom="page">
                  <wp:posOffset>2973705</wp:posOffset>
                </wp:positionV>
                <wp:extent cx="342900" cy="170815"/>
                <wp:wrapNone/>
                <wp:docPr id="1752" name="1752"/>
                <wp:cNvGraphicFramePr/>
                <a:graphic>
                  <a:graphicData uri="http://schemas.microsoft.com/office/word/2010/wordprocessingShape">
                    <wps:wsp>
                      <wps:cNvSpPr/>
                      <wps:spPr>
                        <a:xfrm>
                          <a:off x="0" y="0"/>
                          <a:ext cx="3429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34.15pt;z-index:-250915840;width:27.00pt;height:13.45pt;" id="1752" coordsize="54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F051302</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照明材料、器件</w:t>
      </w:r>
      <w:r>
        <w:rPr>
          <w:rFonts w:ascii="宋体" w:hAnsi="宋体" w:cs="宋体" w:eastAsia="宋体" w:hint="ascii"/>
          <w:sz w:val="18"/>
        </w:rPr>
        <w:t>及</w:t>
      </w:r>
      <w:r>
        <w:rPr>
          <w:rFonts w:ascii="宋体" w:hAnsi="宋体" w:cs="宋体" w:eastAsia="宋体" w:hint="ascii"/>
          <w:sz w:val="18"/>
        </w:rPr>
        <mc:AlternateContent>
          <mc:Choice Requires="wps">
            <w:drawing>
              <wp:anchor distL="0" distR="0" distT="0" distB="0" simplePos="0" behindDoc="1" relativeHeight="726" locked="0" layoutInCell="1" allowOverlap="1">
                <wp:simplePos x="0" y="0"/>
                <wp:positionH relativeFrom="page">
                  <wp:posOffset>1762760</wp:posOffset>
                </wp:positionH>
                <wp:positionV relativeFrom="page">
                  <wp:posOffset>3155315</wp:posOffset>
                </wp:positionV>
                <wp:extent cx="1465580" cy="170815"/>
                <wp:wrapNone/>
                <wp:docPr id="1753" name="1753"/>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48.45pt;z-index:-250914816;width:115.40pt;height:13.45pt;" id="1753" coordsize="2308,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r>
        <w:rPr>
          <w:rFonts w:ascii="宋体" w:hAnsi="宋体" w:cs="宋体" w:eastAsia="宋体" w:hint="ascii"/>
          <w:sz w:val="18"/>
        </w:rPr>
        <mc:AlternateContent>
          <mc:Choice Requires="wps">
            <w:drawing>
              <wp:anchor distL="0" distR="0" distT="0" distB="0" simplePos="0" behindDoc="1" relativeHeight="727" locked="0" layoutInCell="1" allowOverlap="1">
                <wp:simplePos x="0" y="0"/>
                <wp:positionH relativeFrom="page">
                  <wp:posOffset>2288540</wp:posOffset>
                </wp:positionH>
                <wp:positionV relativeFrom="page">
                  <wp:posOffset>3336290</wp:posOffset>
                </wp:positionV>
                <wp:extent cx="236220" cy="170815"/>
                <wp:wrapNone/>
                <wp:docPr id="1754" name="1754"/>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62.70pt;z-index:-250913792;width:18.60pt;height:13.45pt;" id="1754" coordsize="372,269" stroked="f" fillcolor="#ffffff" opacity="0f">
                <v:stroke endcap="round"/>
                <v:fill opacity="0f"/>
                <w10:wrap anchorx="page" anchory="page" side="both"/>
              </v:rect>
            </w:pict>
          </mc:Fallback>
        </mc:AlternateConten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F051303</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换能材料、器件</w:t>
      </w:r>
      <w:r>
        <w:rPr>
          <w:rFonts w:ascii="宋体" w:hAnsi="宋体" w:cs="宋体" w:eastAsia="宋体" w:hint="ascii"/>
          <w:sz w:val="18"/>
        </w:rPr>
        <w:t>及</w:t>
      </w:r>
      <w:r>
        <w:rPr>
          <w:rFonts w:ascii="宋体" w:hAnsi="宋体" w:cs="宋体" w:eastAsia="宋体" w:hint="ascii"/>
          <w:sz w:val="18"/>
        </w:rPr>
        <mc:AlternateContent>
          <mc:Choice Requires="wps">
            <w:drawing>
              <wp:anchor distL="0" distR="0" distT="0" distB="0" simplePos="0" behindDoc="1" relativeHeight="728" locked="0" layoutInCell="1" allowOverlap="1">
                <wp:simplePos x="0" y="0"/>
                <wp:positionH relativeFrom="page">
                  <wp:posOffset>1762760</wp:posOffset>
                </wp:positionH>
                <wp:positionV relativeFrom="page">
                  <wp:posOffset>3518535</wp:posOffset>
                </wp:positionV>
                <wp:extent cx="1465580" cy="170815"/>
                <wp:wrapNone/>
                <wp:docPr id="1755" name="1755"/>
                <wp:cNvGraphicFramePr/>
                <a:graphic>
                  <a:graphicData uri="http://schemas.microsoft.com/office/word/2010/wordprocessingShape">
                    <wps:wsp>
                      <wps:cNvSpPr/>
                      <wps:spPr>
                        <a:xfrm>
                          <a:off x="0" y="0"/>
                          <a:ext cx="146558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277.05pt;z-index:-250912768;width:115.40pt;height:13.45pt;" id="1755" coordsize="2308,269" stroked="f" fillcolor="#ffffff" opacity="0f">
                <v:stroke endcap="round"/>
                <v:fill opacity="0f"/>
                <w10:wrap anchorx="page" anchory="page" side="both"/>
              </v:rect>
            </w:pict>
          </mc:Fallback>
        </mc:AlternateConten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spacing w:val="3"/>
        </w:rPr>
        <w:t>技</w:t>
      </w:r>
      <w:r>
        <w:rPr>
          <w:rFonts w:ascii="宋体" w:hAnsi="宋体" w:cs="宋体" w:eastAsia="宋体" w:hint="ascii"/>
          <w:sz w:val="18"/>
        </w:rPr>
        <w:t>术</w:t>
      </w:r>
      <w:r>
        <w:rPr>
          <w:rFonts w:ascii="宋体" w:hAnsi="宋体" w:cs="宋体" w:eastAsia="宋体" w:hint="ascii"/>
          <w:sz w:val="18"/>
        </w:rPr>
        <mc:AlternateContent>
          <mc:Choice Requires="wps">
            <w:drawing>
              <wp:anchor distL="0" distR="0" distT="0" distB="0" simplePos="0" behindDoc="1" relativeHeight="729" locked="0" layoutInCell="1" allowOverlap="1">
                <wp:simplePos x="0" y="0"/>
                <wp:positionH relativeFrom="page">
                  <wp:posOffset>2288540</wp:posOffset>
                </wp:positionH>
                <wp:positionV relativeFrom="page">
                  <wp:posOffset>3700145</wp:posOffset>
                </wp:positionV>
                <wp:extent cx="236220" cy="170815"/>
                <wp:wrapNone/>
                <wp:docPr id="1756" name="1756"/>
                <wp:cNvGraphicFramePr/>
                <a:graphic>
                  <a:graphicData uri="http://schemas.microsoft.com/office/word/2010/wordprocessingShape">
                    <wps:wsp>
                      <wps:cNvSpPr/>
                      <wps:spPr>
                        <a:xfrm>
                          <a:off x="0" y="0"/>
                          <a:ext cx="23622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291.35pt;z-index:-250911744;width:18.60pt;height:13.45pt;" id="1756" coordsize="372,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F051304</w:t>
      </w:r>
      <w:r>
        <w:rPr>
          <w:rFonts w:ascii="Times New Roman" w:hAnsi="Times New Roman" w:cs="Times New Roman" w:eastAsia="Times New Roman" w:hint="ascii"/>
          <w:sz w:val="18"/>
          <w:spacing w:val="45"/>
        </w:rPr>
        <w:t xml:space="preserve"> </w:t>
      </w:r>
      <w:r>
        <w:rPr>
          <w:rFonts w:ascii="宋体" w:hAnsi="宋体" w:cs="宋体" w:eastAsia="宋体" w:hint="ascii"/>
          <w:sz w:val="18"/>
        </w:rPr>
        <w:t>照明技术在交叉学科</w:t>
      </w:r>
      <w:r>
        <w:rPr>
          <w:rFonts w:ascii="宋体" w:hAnsi="宋体" w:cs="宋体" w:eastAsia="宋体" w:hint="ascii"/>
          <w:sz w:val="18"/>
        </w:rPr>
        <mc:AlternateContent>
          <mc:Choice Requires="wps">
            <w:drawing>
              <wp:anchor distL="0" distR="0" distT="0" distB="0" simplePos="0" behindDoc="1" relativeHeight="730" locked="0" layoutInCell="1" allowOverlap="1">
                <wp:simplePos x="0" y="0"/>
                <wp:positionH relativeFrom="page">
                  <wp:posOffset>1762760</wp:posOffset>
                </wp:positionH>
                <wp:positionV relativeFrom="page">
                  <wp:posOffset>3881120</wp:posOffset>
                </wp:positionV>
                <wp:extent cx="1549400" cy="170815"/>
                <wp:wrapNone/>
                <wp:docPr id="1757" name="1757"/>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05.60pt;z-index:-250910720;width:122.00pt;height:13.45pt;" id="1757" coordsize="2440,269" stroked="f" fillcolor="#ffffff" opacity="0f">
                <v:stroke endcap="round"/>
                <v:fill opacity="0f"/>
                <w10:wrap anchorx="page" anchory="page" side="both"/>
              </v:rect>
            </w:pict>
          </mc:Fallback>
        </mc:AlternateContent>
      </w:r>
    </w:p>
    <w:p>
      <w:pPr>
        <w:autoSpaceDE w:val="0"/>
        <w:autoSpaceDN w:val="0"/>
        <w:jc w:val="left"/>
        <w:spacing w:before="68"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中的应用</w:t>
      </w:r>
      <w:r>
        <w:rPr>
          <w:rFonts w:ascii="宋体" w:hAnsi="宋体" w:cs="宋体" w:eastAsia="宋体" w:hint="ascii"/>
          <w:sz w:val="18"/>
        </w:rPr>
        <mc:AlternateContent>
          <mc:Choice Requires="wps">
            <w:drawing>
              <wp:anchor distL="0" distR="0" distT="0" distB="0" simplePos="0" behindDoc="1" relativeHeight="731" locked="0" layoutInCell="1" allowOverlap="1">
                <wp:simplePos x="0" y="0"/>
                <wp:positionH relativeFrom="page">
                  <wp:posOffset>2288540</wp:posOffset>
                </wp:positionH>
                <wp:positionV relativeFrom="page">
                  <wp:posOffset>4063365</wp:posOffset>
                </wp:positionV>
                <wp:extent cx="457200" cy="170815"/>
                <wp:wrapNone/>
                <wp:docPr id="1758" name="1758"/>
                <wp:cNvGraphicFramePr/>
                <a:graphic>
                  <a:graphicData uri="http://schemas.microsoft.com/office/word/2010/wordprocessingShape">
                    <wps:wsp>
                      <wps:cNvSpPr/>
                      <wps:spPr>
                        <a:xfrm>
                          <a:off x="0" y="0"/>
                          <a:ext cx="4572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19.95pt;z-index:-250909696;width:36.00pt;height:13.45pt;" id="1758" coordsize="720,269" stroked="f" fillcolor="#ffffff" opacity="0f">
                <v:stroke endcap="round"/>
                <v:fill opacity="0f"/>
                <w10:wrap anchorx="page" anchory="page" side="both"/>
              </v:rect>
            </w:pict>
          </mc:Fallback>
        </mc:AlternateConten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F051305</w:t>
      </w:r>
      <w:r>
        <w:rPr>
          <w:rFonts w:ascii="Times New Roman" w:hAnsi="Times New Roman" w:cs="Times New Roman" w:eastAsia="Times New Roman" w:hint="ascii"/>
          <w:sz w:val="18"/>
          <w:spacing w:val="45"/>
        </w:rPr>
        <w:t xml:space="preserve"> </w:t>
      </w:r>
      <w:r>
        <w:rPr>
          <w:rFonts w:ascii="宋体" w:hAnsi="宋体" w:cs="宋体" w:eastAsia="宋体" w:hint="ascii"/>
          <w:sz w:val="18"/>
        </w:rPr>
        <w:t>光驱动技术及应用</w:t>
      </w:r>
      <w:r>
        <w:rPr>
          <w:rFonts w:ascii="宋体" w:hAnsi="宋体" w:cs="宋体" w:eastAsia="宋体" w:hint="ascii"/>
          <w:sz w:val="18"/>
        </w:rPr>
        <mc:AlternateContent>
          <mc:Choice Requires="wps">
            <w:drawing>
              <wp:anchor distL="0" distR="0" distT="0" distB="0" simplePos="0" behindDoc="1" relativeHeight="732" locked="0" layoutInCell="1" allowOverlap="1">
                <wp:simplePos x="0" y="0"/>
                <wp:positionH relativeFrom="page">
                  <wp:posOffset>1762760</wp:posOffset>
                </wp:positionH>
                <wp:positionV relativeFrom="page">
                  <wp:posOffset>4244975</wp:posOffset>
                </wp:positionV>
                <wp:extent cx="1435100" cy="170815"/>
                <wp:wrapNone/>
                <wp:docPr id="1759" name="1759"/>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34.25pt;z-index:-250908672;width:113.00pt;height:13.45pt;" id="1759" coordsize="2260,269" stroked="f" fillcolor="#ffffff" opacity="0f">
                <v:stroke endcap="round"/>
                <v:fill opacity="0f"/>
                <w10:wrap anchorx="page" anchory="page" side="both"/>
              </v:rect>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微纳光子学</w:t>
      </w:r>
      <w:r>
        <w:rPr>
          <w:rFonts w:ascii="宋体" w:hAnsi="宋体" w:cs="宋体" w:eastAsia="宋体" w:hint="ascii"/>
          <w:sz w:val="18"/>
        </w:rPr>
        <mc:AlternateContent>
          <mc:Choice Requires="wps">
            <w:drawing>
              <wp:anchor distL="0" distR="0" distT="0" distB="0" simplePos="0" behindDoc="1" relativeHeight="733" locked="0" layoutInCell="1" allowOverlap="1">
                <wp:simplePos x="0" y="0"/>
                <wp:positionH relativeFrom="page">
                  <wp:posOffset>1341755</wp:posOffset>
                </wp:positionH>
                <wp:positionV relativeFrom="page">
                  <wp:posOffset>4422140</wp:posOffset>
                </wp:positionV>
                <wp:extent cx="984250" cy="167005"/>
                <wp:wrapNone/>
                <wp:docPr id="1760" name="1760"/>
                <wp:cNvGraphicFramePr/>
                <a:graphic>
                  <a:graphicData uri="http://schemas.microsoft.com/office/word/2010/wordprocessingShape">
                    <wps:wsp>
                      <wps:cNvSpPr/>
                      <wps:spPr>
                        <a:xfrm>
                          <a:off x="0" y="0"/>
                          <a:ext cx="9842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348.20pt;z-index:-250907648;width:77.50pt;height:13.15pt;" id="1760" coordsize="1550,263" stroked="f" fillcolor="#ffffff" opacity="0f">
                <v:stroke endcap="round"/>
                <v:fill opacity="0f"/>
                <w10:wrap anchorx="page" anchory="page" side="both"/>
              </v:rect>
            </w:pict>
          </mc:Fallback>
        </mc:AlternateContent>
      </w:r>
    </w:p>
    <w:p>
      <w:pPr>
        <w:autoSpaceDE w:val="0"/>
        <w:autoSpaceDN w:val="0"/>
        <w:jc w:val="left"/>
        <w:spacing w:before="68"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微纳光子学理论</w:t>
      </w:r>
      <w:r>
        <w:rPr>
          <w:rFonts w:ascii="Times New Roman" w:hAnsi="Times New Roman" w:cs="Times New Roman" w:eastAsia="Times New Roman" w:hint="ascii"/>
          <w:sz w:val="18"/>
        </w:rPr>
        <w:t>F051402</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微纳光子设计、制造</w:t>
      </w:r>
      <w:r>
        <w:rPr>
          <w:rFonts w:ascii="宋体" w:hAnsi="宋体" w:cs="宋体" w:eastAsia="宋体" w:hint="ascii"/>
          <w:sz w:val="18"/>
        </w:rPr>
        <mc:AlternateContent>
          <mc:Choice Requires="wps">
            <w:drawing>
              <wp:anchor distL="0" distR="0" distT="0" distB="0" simplePos="0" behindDoc="1" relativeHeight="734" locked="0" layoutInCell="1" allowOverlap="1">
                <wp:simplePos x="0" y="0"/>
                <wp:positionH relativeFrom="page">
                  <wp:posOffset>1762760</wp:posOffset>
                </wp:positionH>
                <wp:positionV relativeFrom="page">
                  <wp:posOffset>4608195</wp:posOffset>
                </wp:positionV>
                <wp:extent cx="1320800" cy="170815"/>
                <wp:wrapNone/>
                <wp:docPr id="1761" name="1761"/>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62.85pt;z-index:-250906624;width:104.00pt;height:13.45pt;" id="1761"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35" locked="0" layoutInCell="1" allowOverlap="1">
                <wp:simplePos x="0" y="0"/>
                <wp:positionH relativeFrom="page">
                  <wp:posOffset>1762760</wp:posOffset>
                </wp:positionH>
                <wp:positionV relativeFrom="page">
                  <wp:posOffset>4789805</wp:posOffset>
                </wp:positionV>
                <wp:extent cx="1549400" cy="170815"/>
                <wp:wrapNone/>
                <wp:docPr id="1762" name="1762"/>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377.15pt;z-index:-250905600;width:122.00pt;height:13.45pt;" id="1762"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36" locked="0" layoutInCell="1" allowOverlap="1">
                <wp:simplePos x="0" y="0"/>
                <wp:positionH relativeFrom="page">
                  <wp:posOffset>2288540</wp:posOffset>
                </wp:positionH>
                <wp:positionV relativeFrom="page">
                  <wp:posOffset>4970780</wp:posOffset>
                </wp:positionV>
                <wp:extent cx="571500" cy="170815"/>
                <wp:wrapNone/>
                <wp:docPr id="1763" name="1763"/>
                <wp:cNvGraphicFramePr/>
                <a:graphic>
                  <a:graphicData uri="http://schemas.microsoft.com/office/word/2010/wordprocessingShape">
                    <wps:wsp>
                      <wps:cNvSpPr/>
                      <wps:spPr>
                        <a:xfrm>
                          <a:off x="0" y="0"/>
                          <a:ext cx="571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391.40pt;z-index:-250904576;width:45.00pt;height:13.45pt;" id="1763" coordsize="90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与检测技术</w:t>
      </w:r>
    </w:p>
    <w:p>
      <w:pPr>
        <w:autoSpaceDE w:val="0"/>
        <w:autoSpaceDN w:val="0"/>
        <w:jc w:val="left"/>
        <w:spacing w:before="62"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F051403</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微纳光子学器件</w:t>
      </w:r>
      <w:r>
        <w:rPr>
          <w:rFonts w:ascii="Times New Roman" w:hAnsi="Times New Roman" w:cs="Times New Roman" w:eastAsia="Times New Roman" w:hint="ascii"/>
          <w:sz w:val="18"/>
        </w:rPr>
        <w:t>F051404</w:t>
      </w:r>
      <w:r>
        <w:rPr>
          <w:rFonts w:ascii="Times New Roman" w:hAnsi="Times New Roman" w:cs="Times New Roman" w:eastAsia="Times New Roman" w:hint="ascii"/>
          <w:sz w:val="18"/>
          <w:spacing w:val="45"/>
        </w:rPr>
        <w:t xml:space="preserve"> </w:t>
      </w:r>
      <w:r>
        <w:rPr>
          <w:rFonts w:ascii="宋体" w:hAnsi="宋体" w:cs="宋体" w:eastAsia="宋体" w:hint="ascii"/>
          <w:sz w:val="18"/>
        </w:rPr>
        <w:t>微纳混合集成</w:t>
      </w:r>
      <w:r>
        <w:rPr>
          <w:rFonts w:ascii="Times New Roman" w:hAnsi="Times New Roman" w:cs="Times New Roman" w:eastAsia="Times New Roman" w:hint="ascii"/>
          <w:sz w:val="18"/>
          <w:spacing w:val="-1"/>
        </w:rPr>
        <w:t>F051405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微</w:t>
      </w:r>
      <w:r>
        <w:rPr>
          <w:rFonts w:ascii="宋体" w:hAnsi="宋体" w:cs="宋体" w:eastAsia="宋体" w:hint="ascii"/>
          <w:sz w:val="18"/>
          <w:spacing w:val="-8"/>
        </w:rPr>
        <w:t>纳光子学系统与应</w:t>
      </w:r>
      <w:r>
        <w:rPr>
          <w:rFonts w:ascii="宋体" w:hAnsi="宋体" w:cs="宋体" w:eastAsia="宋体" w:hint="ascii"/>
          <w:sz w:val="18"/>
        </w:rPr>
        <w:t>用</w:t>
      </w:r>
      <w:r>
        <w:rPr>
          <w:rFonts w:ascii="Times New Roman" w:hAnsi="Times New Roman" w:cs="Times New Roman" w:eastAsia="Times New Roman" w:hint="ascii"/>
          <w:sz w:val="18"/>
          <w:spacing w:val="-1"/>
        </w:rPr>
        <w:t>F051406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9"/>
        </w:rPr>
        <w:t>光</w:t>
      </w:r>
      <w:r>
        <w:rPr>
          <w:rFonts w:ascii="宋体" w:hAnsi="宋体" w:cs="宋体" w:eastAsia="宋体" w:hint="ascii"/>
          <w:sz w:val="18"/>
          <w:spacing w:val="-8"/>
        </w:rPr>
        <w:t>流控芯片与系统集</w:t>
      </w:r>
      <w:r>
        <w:rPr>
          <w:rFonts w:ascii="宋体" w:hAnsi="宋体" w:cs="宋体" w:eastAsia="宋体" w:hint="ascii"/>
          <w:sz w:val="18"/>
        </w:rPr>
        <w:t>成</w:t>
      </w:r>
      <w:r>
        <w:rPr>
          <w:rFonts w:ascii="宋体" w:hAnsi="宋体" w:cs="宋体" w:eastAsia="宋体" w:hint="ascii"/>
          <w:sz w:val="18"/>
        </w:rPr>
        <mc:AlternateContent>
          <mc:Choice Requires="wps">
            <w:drawing>
              <wp:anchor distL="0" distR="0" distT="0" distB="0" simplePos="0" behindDoc="1" relativeHeight="737" locked="0" layoutInCell="1" allowOverlap="1">
                <wp:simplePos x="0" y="0"/>
                <wp:positionH relativeFrom="page">
                  <wp:posOffset>1762760</wp:posOffset>
                </wp:positionH>
                <wp:positionV relativeFrom="page">
                  <wp:posOffset>5153025</wp:posOffset>
                </wp:positionV>
                <wp:extent cx="1320800" cy="170815"/>
                <wp:wrapNone/>
                <wp:docPr id="1764" name="1764"/>
                <wp:cNvGraphicFramePr/>
                <a:graphic>
                  <a:graphicData uri="http://schemas.microsoft.com/office/word/2010/wordprocessingShape">
                    <wps:wsp>
                      <wps:cNvSpPr/>
                      <wps:spPr>
                        <a:xfrm>
                          <a:off x="0" y="0"/>
                          <a:ext cx="13208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05.75pt;z-index:-250903552;width:104.00pt;height:13.45pt;" id="1764" coordsize="208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38" locked="0" layoutInCell="1" allowOverlap="1">
                <wp:simplePos x="0" y="0"/>
                <wp:positionH relativeFrom="page">
                  <wp:posOffset>1762760</wp:posOffset>
                </wp:positionH>
                <wp:positionV relativeFrom="page">
                  <wp:posOffset>5334635</wp:posOffset>
                </wp:positionV>
                <wp:extent cx="1206500" cy="170815"/>
                <wp:wrapNone/>
                <wp:docPr id="1765" name="1765"/>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20.05pt;z-index:-250902528;width:95.00pt;height:13.45pt;" id="1765"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39" locked="0" layoutInCell="1" allowOverlap="1">
                <wp:simplePos x="0" y="0"/>
                <wp:positionH relativeFrom="page">
                  <wp:posOffset>1762760</wp:posOffset>
                </wp:positionH>
                <wp:positionV relativeFrom="page">
                  <wp:posOffset>5515610</wp:posOffset>
                </wp:positionV>
                <wp:extent cx="1562735" cy="170815"/>
                <wp:wrapNone/>
                <wp:docPr id="1766" name="1766"/>
                <wp:cNvGraphicFramePr/>
                <a:graphic>
                  <a:graphicData uri="http://schemas.microsoft.com/office/word/2010/wordprocessingShape">
                    <wps:wsp>
                      <wps:cNvSpPr/>
                      <wps:spPr>
                        <a:xfrm>
                          <a:off x="0" y="0"/>
                          <a:ext cx="15627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34.30pt;z-index:-250901504;width:123.05pt;height:13.45pt;" id="1766" coordsize="246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0" locked="0" layoutInCell="1" allowOverlap="1">
                <wp:simplePos x="0" y="0"/>
                <wp:positionH relativeFrom="page">
                  <wp:posOffset>1762760</wp:posOffset>
                </wp:positionH>
                <wp:positionV relativeFrom="page">
                  <wp:posOffset>5697855</wp:posOffset>
                </wp:positionV>
                <wp:extent cx="1562735" cy="170815"/>
                <wp:wrapNone/>
                <wp:docPr id="1767" name="1767"/>
                <wp:cNvGraphicFramePr/>
                <a:graphic>
                  <a:graphicData uri="http://schemas.microsoft.com/office/word/2010/wordprocessingShape">
                    <wps:wsp>
                      <wps:cNvSpPr/>
                      <wps:spPr>
                        <a:xfrm>
                          <a:off x="0" y="0"/>
                          <a:ext cx="1562735"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48.65pt;z-index:-250900480;width:123.05pt;height:13.45pt;" id="1767" coordsize="2461,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1" locked="0" layoutInCell="1" allowOverlap="1">
                <wp:simplePos x="0" y="0"/>
                <wp:positionH relativeFrom="page">
                  <wp:posOffset>1341755</wp:posOffset>
                </wp:positionH>
                <wp:positionV relativeFrom="page">
                  <wp:posOffset>5875655</wp:posOffset>
                </wp:positionV>
                <wp:extent cx="1441450" cy="167005"/>
                <wp:wrapNone/>
                <wp:docPr id="1768" name="1768"/>
                <wp:cNvGraphicFramePr/>
                <a:graphic>
                  <a:graphicData uri="http://schemas.microsoft.com/office/word/2010/wordprocessingShape">
                    <wps:wsp>
                      <wps:cNvSpPr/>
                      <wps:spPr>
                        <a:xfrm>
                          <a:off x="0" y="0"/>
                          <a:ext cx="14414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462.65pt;z-index:-250899456;width:113.50pt;height:13.15pt;" id="1768" coordsize="2270,263" stroked="f" fillcolor="#ffffff" opacity="0f">
                <v:stroke endcap="round"/>
                <v:fill opacity="0f"/>
                <w10:wrap anchorx="page" anchory="page" side="both"/>
              </v:rect>
            </w:pict>
          </mc:Fallback>
        </mc:AlternateConten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光子集成技术与器件</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F051501</w:t>
      </w:r>
      <w:r>
        <w:rPr>
          <w:rFonts w:ascii="Times New Roman" w:hAnsi="Times New Roman" w:cs="Times New Roman" w:eastAsia="Times New Roman" w:hint="ascii"/>
          <w:sz w:val="18"/>
          <w:spacing w:val="45"/>
        </w:rPr>
        <w:t xml:space="preserve"> </w:t>
      </w:r>
      <w:r>
        <w:rPr>
          <w:rFonts w:ascii="宋体" w:hAnsi="宋体" w:cs="宋体" w:eastAsia="宋体" w:hint="ascii"/>
          <w:sz w:val="18"/>
        </w:rPr>
        <w:t>有源光子集成</w:t>
      </w:r>
      <w:r>
        <w:rPr>
          <w:rFonts w:ascii="Times New Roman" w:hAnsi="Times New Roman" w:cs="Times New Roman" w:eastAsia="Times New Roman" w:hint="ascii"/>
          <w:sz w:val="18"/>
        </w:rPr>
        <w:t>F051502</w:t>
      </w:r>
      <w:r>
        <w:rPr>
          <w:rFonts w:ascii="Times New Roman" w:hAnsi="Times New Roman" w:cs="Times New Roman" w:eastAsia="Times New Roman" w:hint="ascii"/>
          <w:sz w:val="18"/>
          <w:spacing w:val="45"/>
        </w:rPr>
        <w:t xml:space="preserve"> </w:t>
      </w:r>
      <w:r>
        <w:rPr>
          <w:rFonts w:ascii="宋体" w:hAnsi="宋体" w:cs="宋体" w:eastAsia="宋体" w:hint="ascii"/>
          <w:sz w:val="18"/>
        </w:rPr>
        <w:t>无源光子集成</w:t>
      </w:r>
      <w:r>
        <w:rPr>
          <w:rFonts w:ascii="Times New Roman" w:hAnsi="Times New Roman" w:cs="Times New Roman" w:eastAsia="Times New Roman" w:hint="ascii"/>
          <w:sz w:val="18"/>
        </w:rPr>
        <w:t>F051503</w:t>
      </w:r>
      <w:r>
        <w:rPr>
          <w:rFonts w:ascii="Times New Roman" w:hAnsi="Times New Roman" w:cs="Times New Roman" w:eastAsia="Times New Roman" w:hint="ascii"/>
          <w:sz w:val="18"/>
          <w:spacing w:val="45"/>
        </w:rPr>
        <w:t xml:space="preserve"> </w:t>
      </w:r>
      <w:r>
        <w:rPr>
          <w:rFonts w:ascii="宋体" w:hAnsi="宋体" w:cs="宋体" w:eastAsia="宋体" w:hint="ascii"/>
          <w:sz w:val="18"/>
        </w:rPr>
        <w:t>光电子与微电子混合</w:t>
      </w:r>
      <w:r>
        <w:rPr>
          <w:rFonts w:ascii="宋体" w:hAnsi="宋体" w:cs="宋体" w:eastAsia="宋体" w:hint="ascii"/>
          <w:sz w:val="18"/>
        </w:rPr>
        <mc:AlternateContent>
          <mc:Choice Requires="wps">
            <w:drawing>
              <wp:anchor distL="0" distR="0" distT="0" distB="0" simplePos="0" behindDoc="1" relativeHeight="742" locked="0" layoutInCell="1" allowOverlap="1">
                <wp:simplePos x="0" y="0"/>
                <wp:positionH relativeFrom="page">
                  <wp:posOffset>1762760</wp:posOffset>
                </wp:positionH>
                <wp:positionV relativeFrom="page">
                  <wp:posOffset>6060440</wp:posOffset>
                </wp:positionV>
                <wp:extent cx="1206500" cy="170815"/>
                <wp:wrapNone/>
                <wp:docPr id="1769" name="1769"/>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77.20pt;z-index:-250898432;width:95.00pt;height:13.45pt;" id="1769"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3" locked="0" layoutInCell="1" allowOverlap="1">
                <wp:simplePos x="0" y="0"/>
                <wp:positionH relativeFrom="page">
                  <wp:posOffset>1762760</wp:posOffset>
                </wp:positionH>
                <wp:positionV relativeFrom="page">
                  <wp:posOffset>6242685</wp:posOffset>
                </wp:positionV>
                <wp:extent cx="1206500" cy="170815"/>
                <wp:wrapNone/>
                <wp:docPr id="1770" name="1770"/>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491.55pt;z-index:-250897408;width:95.00pt;height:13.45pt;" id="1770"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4" locked="0" layoutInCell="1" allowOverlap="1">
                <wp:simplePos x="0" y="0"/>
                <wp:positionH relativeFrom="page">
                  <wp:posOffset>1762760</wp:posOffset>
                </wp:positionH>
                <wp:positionV relativeFrom="page">
                  <wp:posOffset>6424295</wp:posOffset>
                </wp:positionV>
                <wp:extent cx="1549400" cy="170815"/>
                <wp:wrapNone/>
                <wp:docPr id="1771" name="1771"/>
                <wp:cNvGraphicFramePr/>
                <a:graphic>
                  <a:graphicData uri="http://schemas.microsoft.com/office/word/2010/wordprocessingShape">
                    <wps:wsp>
                      <wps:cNvSpPr/>
                      <wps:spPr>
                        <a:xfrm>
                          <a:off x="0" y="0"/>
                          <a:ext cx="15494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05.85pt;z-index:-250896384;width:122.00pt;height:13.45pt;" id="1771" coordsize="244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5" locked="0" layoutInCell="1" allowOverlap="1">
                <wp:simplePos x="0" y="0"/>
                <wp:positionH relativeFrom="page">
                  <wp:posOffset>2288540</wp:posOffset>
                </wp:positionH>
                <wp:positionV relativeFrom="page">
                  <wp:posOffset>6605270</wp:posOffset>
                </wp:positionV>
                <wp:extent cx="228600" cy="170815"/>
                <wp:wrapNone/>
                <wp:docPr id="1772" name="1772"/>
                <wp:cNvGraphicFramePr/>
                <a:graphic>
                  <a:graphicData uri="http://schemas.microsoft.com/office/word/2010/wordprocessingShape">
                    <wps:wsp>
                      <wps:cNvSpPr/>
                      <wps:spPr>
                        <a:xfrm>
                          <a:off x="0" y="0"/>
                          <a:ext cx="2286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80.20pt;mso-position-vertical:absolute;mso-position-vertical-relative:page;margin-top:520.10pt;z-index:-250895360;width:18.00pt;height:13.45pt;" id="1772" coordsize="360,269" stroked="f" fillcolor="#ffffff" opacity="0f">
                <v:stroke endcap="round"/>
                <v:fill opacity="0f"/>
                <w10:wrap anchorx="page" anchory="page" side="both"/>
              </v:rect>
            </w:pict>
          </mc:Fallback>
        </mc:AlternateConten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集成</w: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F051504</w:t>
      </w:r>
      <w:r>
        <w:rPr>
          <w:rFonts w:ascii="Times New Roman" w:hAnsi="Times New Roman" w:cs="Times New Roman" w:eastAsia="Times New Roman" w:hint="ascii"/>
          <w:sz w:val="18"/>
          <w:spacing w:val="45"/>
        </w:rPr>
        <w:t xml:space="preserve"> </w:t>
      </w:r>
      <w:r>
        <w:rPr>
          <w:rFonts w:ascii="宋体" w:hAnsi="宋体" w:cs="宋体" w:eastAsia="宋体" w:hint="ascii"/>
          <w:sz w:val="18"/>
        </w:rPr>
        <w:t>异质异构光子集成</w:t>
      </w:r>
      <w:r>
        <w:rPr>
          <w:rFonts w:ascii="Times New Roman" w:hAnsi="Times New Roman" w:cs="Times New Roman" w:eastAsia="Times New Roman" w:hint="ascii"/>
          <w:sz w:val="18"/>
        </w:rPr>
        <w:t>F051505</w:t>
      </w:r>
      <w:r>
        <w:rPr>
          <w:rFonts w:ascii="Times New Roman" w:hAnsi="Times New Roman" w:cs="Times New Roman" w:eastAsia="Times New Roman" w:hint="ascii"/>
          <w:sz w:val="18"/>
          <w:spacing w:val="45"/>
        </w:rPr>
        <w:t xml:space="preserve"> </w:t>
      </w:r>
      <w:r>
        <w:rPr>
          <w:rFonts w:ascii="宋体" w:hAnsi="宋体" w:cs="宋体" w:eastAsia="宋体" w:hint="ascii"/>
          <w:sz w:val="18"/>
        </w:rPr>
        <w:t>微波光子集成</w:t>
      </w:r>
      <w:r>
        <w:rPr>
          <w:rFonts w:ascii="Times New Roman" w:hAnsi="Times New Roman" w:cs="Times New Roman" w:eastAsia="Times New Roman" w:hint="ascii"/>
          <w:sz w:val="18"/>
        </w:rPr>
        <w:t>F051506</w:t>
      </w:r>
      <w:r>
        <w:rPr>
          <w:rFonts w:ascii="Times New Roman" w:hAnsi="Times New Roman" w:cs="Times New Roman" w:eastAsia="Times New Roman" w:hint="ascii"/>
          <w:sz w:val="18"/>
          <w:spacing w:val="45"/>
        </w:rPr>
        <w:t xml:space="preserve"> </w:t>
      </w:r>
      <w:r>
        <w:rPr>
          <w:rFonts w:ascii="宋体" w:hAnsi="宋体" w:cs="宋体" w:eastAsia="宋体" w:hint="ascii"/>
          <w:sz w:val="18"/>
        </w:rPr>
        <w:t>新型光子集成</w:t>
      </w:r>
      <w:r>
        <w:rPr>
          <w:rFonts w:ascii="宋体" w:hAnsi="宋体" w:cs="宋体" w:eastAsia="宋体" w:hint="ascii"/>
          <w:sz w:val="18"/>
        </w:rPr>
        <mc:AlternateContent>
          <mc:Choice Requires="wps">
            <w:drawing>
              <wp:anchor distL="0" distR="0" distT="0" distB="0" simplePos="0" behindDoc="1" relativeHeight="746" locked="0" layoutInCell="1" allowOverlap="1">
                <wp:simplePos x="0" y="0"/>
                <wp:positionH relativeFrom="page">
                  <wp:posOffset>1762760</wp:posOffset>
                </wp:positionH>
                <wp:positionV relativeFrom="page">
                  <wp:posOffset>6787515</wp:posOffset>
                </wp:positionV>
                <wp:extent cx="1435100" cy="170815"/>
                <wp:wrapNone/>
                <wp:docPr id="1773" name="1773"/>
                <wp:cNvGraphicFramePr/>
                <a:graphic>
                  <a:graphicData uri="http://schemas.microsoft.com/office/word/2010/wordprocessingShape">
                    <wps:wsp>
                      <wps:cNvSpPr/>
                      <wps:spPr>
                        <a:xfrm>
                          <a:off x="0" y="0"/>
                          <a:ext cx="14351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34.45pt;z-index:-250894336;width:113.00pt;height:13.45pt;" id="1773" coordsize="226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7" locked="0" layoutInCell="1" allowOverlap="1">
                <wp:simplePos x="0" y="0"/>
                <wp:positionH relativeFrom="page">
                  <wp:posOffset>1762760</wp:posOffset>
                </wp:positionH>
                <wp:positionV relativeFrom="page">
                  <wp:posOffset>6969125</wp:posOffset>
                </wp:positionV>
                <wp:extent cx="1206500" cy="170815"/>
                <wp:wrapNone/>
                <wp:docPr id="1774" name="1774"/>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48.75pt;z-index:-250893312;width:95.00pt;height:13.45pt;" id="1774"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8" locked="0" layoutInCell="1" allowOverlap="1">
                <wp:simplePos x="0" y="0"/>
                <wp:positionH relativeFrom="page">
                  <wp:posOffset>1762760</wp:posOffset>
                </wp:positionH>
                <wp:positionV relativeFrom="page">
                  <wp:posOffset>7150100</wp:posOffset>
                </wp:positionV>
                <wp:extent cx="1206500" cy="170815"/>
                <wp:wrapNone/>
                <wp:docPr id="1775" name="1775"/>
                <wp:cNvGraphicFramePr/>
                <a:graphic>
                  <a:graphicData uri="http://schemas.microsoft.com/office/word/2010/wordprocessingShape">
                    <wps:wsp>
                      <wps:cNvSpPr/>
                      <wps:spPr>
                        <a:xfrm>
                          <a:off x="0" y="0"/>
                          <a:ext cx="1206500" cy="17081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38.80pt;mso-position-vertical:absolute;mso-position-vertical-relative:page;margin-top:563.00pt;z-index:-250892288;width:95.00pt;height:13.45pt;" id="1775" coordsize="1900,269"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49" locked="0" layoutInCell="1" allowOverlap="1">
                <wp:simplePos x="0" y="0"/>
                <wp:positionH relativeFrom="page">
                  <wp:posOffset>1341755</wp:posOffset>
                </wp:positionH>
                <wp:positionV relativeFrom="page">
                  <wp:posOffset>7328535</wp:posOffset>
                </wp:positionV>
                <wp:extent cx="1555750" cy="167005"/>
                <wp:wrapNone/>
                <wp:docPr id="1776" name="1776"/>
                <wp:cNvGraphicFramePr/>
                <a:graphic>
                  <a:graphicData uri="http://schemas.microsoft.com/office/word/2010/wordprocessingShape">
                    <wps:wsp>
                      <wps:cNvSpPr/>
                      <wps:spPr>
                        <a:xfrm>
                          <a:off x="0" y="0"/>
                          <a:ext cx="1555750" cy="16700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05.65pt;mso-position-vertical:absolute;mso-position-vertical-relative:page;margin-top:577.05pt;z-index:-250891264;width:122.50pt;height:13.15pt;" id="1776" coordsize="2450,263" stroked="f" fillcolor="#ffffff" opacity="0f">
                <v:stroke endcap="round"/>
                <v:fill opacity="0f"/>
                <w10:wrap anchorx="page" anchory="page" side="both"/>
              </v:rect>
            </w:pict>
          </mc:Fallback>
        </mc:AlternateConten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F0516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交叉学科中的光学问题</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F06</w:t>
      </w:r>
      <w:r>
        <w:rPr>
          <w:rFonts w:ascii="Times New Roman" w:hAnsi="Times New Roman" w:cs="Times New Roman" w:eastAsia="Times New Roman" w:hint="ascii"/>
          <w:b w:val="1"/>
          <w:spacing w:val="77"/>
        </w:rPr>
        <w:t xml:space="preserve"> </w:t>
      </w:r>
      <w:r>
        <w:rPr>
          <w:rFonts w:ascii="宋体" w:hAnsi="宋体" w:cs="宋体" w:eastAsia="宋体" w:hint="ascii"/>
        </w:rPr>
        <w:t>人工智能</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人工智能基础</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机器智能基础理论与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逻辑推理与搜索</w:t>
      </w:r>
      <w:r>
        <w:rPr>
          <w:rFonts w:ascii="Times New Roman" w:hAnsi="Times New Roman" w:cs="Times New Roman" w:eastAsia="Times New Roman" w:hint="ascii"/>
          <w:sz w:val="18"/>
        </w:rPr>
        <w:t>F060103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定理证明与近似推理</w:t>
      </w:r>
    </w:p>
    <w:p>
      <w:pPr>
        <w:autoSpaceDE w:val="0"/>
        <w:autoSpaceDN w:val="0"/>
        <w:jc w:val="left"/>
        <w:spacing w:before="272"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290</w:t>
      </w:r>
      <w:r>
        <w:rPr>
          <w:rFonts w:ascii="宋体" w:hAnsi="宋体" w:cs="宋体" w:eastAsia="宋体" w:hint="ascii"/>
          <w:sz w:val="18"/>
        </w:rPr>
        <w:t>·</w:t>
      </w:r>
    </w:p>
    <w:p>
      <w:pPr>
        <w:autoSpaceDE w:val="0"/>
        <w:autoSpaceDN w:val="0"/>
        <w:jc w:val="left"/>
        <w:spacing w:before="354" w:after="0" w:lineRule="auto" w:line="313"/>
        <w:ind w:right="1138" w:left="66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spacing w:val="-1"/>
        </w:rPr>
        <w:t>F060104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复</w:t>
      </w:r>
      <w:r>
        <w:rPr>
          <w:rFonts w:ascii="宋体" w:hAnsi="宋体" w:cs="宋体" w:eastAsia="宋体" w:hint="ascii"/>
          <w:sz w:val="18"/>
        </w:rPr>
        <w:t>杂任务规划与决策</w:t>
      </w:r>
      <w:r>
        <w:rPr>
          <w:rFonts w:ascii="Times New Roman" w:hAnsi="Times New Roman" w:cs="Times New Roman" w:eastAsia="Times New Roman" w:hint="ascii"/>
          <w:sz w:val="18"/>
        </w:rPr>
        <w:t>F060105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自然计算基础理论</w:t>
      </w:r>
      <w:r>
        <w:rPr>
          <w:rFonts w:ascii="Times New Roman" w:hAnsi="Times New Roman" w:cs="Times New Roman" w:eastAsia="Times New Roman" w:hint="ascii"/>
          <w:sz w:val="18"/>
          <w:spacing w:val="-1"/>
        </w:rPr>
        <w:t>F060106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神</w:t>
      </w:r>
      <w:r>
        <w:rPr>
          <w:rFonts w:ascii="宋体" w:hAnsi="宋体" w:cs="宋体" w:eastAsia="宋体" w:hint="ascii"/>
          <w:sz w:val="18"/>
        </w:rPr>
        <w:t>经网络理论与方法</w:t>
      </w:r>
      <w:r>
        <w:rPr>
          <w:rFonts w:ascii="Times New Roman" w:hAnsi="Times New Roman" w:cs="Times New Roman" w:eastAsia="Times New Roman" w:hint="ascii"/>
          <w:sz w:val="18"/>
          <w:spacing w:val="-1"/>
        </w:rPr>
        <w:t>F060107</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计</w:t>
      </w:r>
      <w:r>
        <w:rPr>
          <w:rFonts w:ascii="宋体" w:hAnsi="宋体" w:cs="宋体" w:eastAsia="宋体" w:hint="ascii"/>
          <w:sz w:val="18"/>
        </w:rPr>
        <w:t>算智能新理论与新</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left"/>
        <w:spacing w:before="62"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F060108</w:t>
      </w:r>
      <w:r>
        <w:rPr>
          <w:rFonts w:ascii="Times New Roman" w:hAnsi="Times New Roman" w:cs="Times New Roman" w:eastAsia="Times New Roman" w:hint="ascii"/>
          <w:sz w:val="18"/>
          <w:spacing w:val="45"/>
        </w:rPr>
        <w:t xml:space="preserve"> </w:t>
      </w:r>
      <w:r>
        <w:rPr>
          <w:rFonts w:ascii="宋体" w:hAnsi="宋体" w:cs="宋体" w:eastAsia="宋体" w:hint="ascii"/>
          <w:sz w:val="18"/>
        </w:rPr>
        <w:t>不确定性人工智能</w:t>
      </w:r>
      <w:r>
        <w:rPr>
          <w:rFonts w:ascii="Times New Roman" w:hAnsi="Times New Roman" w:cs="Times New Roman" w:eastAsia="Times New Roman" w:hint="ascii"/>
          <w:sz w:val="18"/>
        </w:rPr>
        <w:t>F060109</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机器智能测试模型</w:t>
      </w:r>
      <w:r>
        <w:rPr>
          <w:rFonts w:ascii="Times New Roman" w:hAnsi="Times New Roman" w:cs="Times New Roman" w:eastAsia="Times New Roman" w:hint="ascii"/>
          <w:sz w:val="18"/>
          <w:spacing w:val="-1"/>
        </w:rPr>
        <w:t>F060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人工智能中的博弈理</w:t>
      </w:r>
    </w:p>
    <w:p>
      <w:pPr>
        <w:autoSpaceDE w:val="0"/>
        <w:autoSpaceDN w:val="0"/>
        <w:jc w:val="left"/>
        <w:spacing w:before="1"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论与方法</w:t>
      </w:r>
    </w:p>
    <w:p>
      <w:pPr>
        <w:autoSpaceDE w:val="0"/>
        <w:autoSpaceDN w:val="0"/>
        <w:jc w:val="left"/>
        <w:spacing w:before="61"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机器学习</w:t>
      </w:r>
    </w:p>
    <w:p>
      <w:pPr>
        <w:autoSpaceDE w:val="0"/>
        <w:autoSpaceDN w:val="0"/>
        <w:jc w:val="left"/>
        <w:spacing w:before="67"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机器学习基础理论与</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left"/>
        <w:spacing w:before="61" w:after="0" w:lineRule="auto" w:line="314"/>
        <w:ind w:right="142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监督学习</w:t>
      </w:r>
      <w:r>
        <w:rPr>
          <w:rFonts w:ascii="Times New Roman" w:hAnsi="Times New Roman" w:cs="Times New Roman" w:eastAsia="Times New Roman" w:hint="ascii"/>
          <w:sz w:val="18"/>
        </w:rPr>
        <w:t>F060203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弱监督学习</w:t>
      </w:r>
      <w:r>
        <w:rPr>
          <w:rFonts w:ascii="Times New Roman" w:hAnsi="Times New Roman" w:cs="Times New Roman" w:eastAsia="Times New Roman" w:hint="ascii"/>
          <w:sz w:val="18"/>
        </w:rPr>
        <w:t>F060204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无监督学习</w:t>
      </w:r>
      <w:r>
        <w:rPr>
          <w:rFonts w:ascii="Times New Roman" w:hAnsi="Times New Roman" w:cs="Times New Roman" w:eastAsia="Times New Roman" w:hint="ascii"/>
          <w:sz w:val="18"/>
        </w:rPr>
        <w:t>F060205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统计学习</w:t>
      </w:r>
      <w:r>
        <w:rPr>
          <w:rFonts w:ascii="Times New Roman" w:hAnsi="Times New Roman" w:cs="Times New Roman" w:eastAsia="Times New Roman" w:hint="ascii"/>
          <w:sz w:val="18"/>
        </w:rPr>
        <w:t>F060206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集成学习</w:t>
      </w:r>
      <w:r>
        <w:rPr>
          <w:rFonts w:ascii="Times New Roman" w:hAnsi="Times New Roman" w:cs="Times New Roman" w:eastAsia="Times New Roman" w:hint="ascii"/>
          <w:sz w:val="18"/>
        </w:rPr>
        <w:t>F060207</w:t>
      </w:r>
      <w:r>
        <w:rPr>
          <w:rFonts w:ascii="Times New Roman" w:hAnsi="Times New Roman" w:cs="Times New Roman" w:eastAsia="Times New Roman" w:hint="ascii"/>
          <w:sz w:val="18"/>
          <w:spacing w:val="45"/>
        </w:rPr>
        <w:t xml:space="preserve"> </w:t>
      </w:r>
      <w:r>
        <w:rPr>
          <w:rFonts w:ascii="宋体" w:hAnsi="宋体" w:cs="宋体" w:eastAsia="宋体" w:hint="ascii"/>
          <w:sz w:val="18"/>
        </w:rPr>
        <w:t>强化学习</w:t>
      </w:r>
    </w:p>
    <w:p>
      <w:pPr>
        <w:autoSpaceDE w:val="0"/>
        <w:autoSpaceDN w:val="0"/>
        <w:jc w:val="left"/>
        <w:spacing w:before="0" w:after="0" w:lineRule="auto" w:line="239"/>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F060208</w:t>
      </w:r>
      <w:r>
        <w:rPr>
          <w:rFonts w:ascii="Times New Roman" w:hAnsi="Times New Roman" w:cs="Times New Roman" w:eastAsia="Times New Roman" w:hint="ascii"/>
          <w:sz w:val="18"/>
          <w:spacing w:val="45"/>
        </w:rPr>
        <w:t xml:space="preserve"> </w:t>
      </w:r>
      <w:r>
        <w:rPr>
          <w:rFonts w:ascii="宋体" w:hAnsi="宋体" w:cs="宋体" w:eastAsia="宋体" w:hint="ascii"/>
          <w:sz w:val="18"/>
        </w:rPr>
        <w:t>深度学习理论与方法</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机器感知与模式识别</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F060301</w:t>
      </w:r>
      <w:r>
        <w:rPr>
          <w:rFonts w:ascii="Times New Roman" w:hAnsi="Times New Roman" w:cs="Times New Roman" w:eastAsia="Times New Roman" w:hint="ascii"/>
          <w:sz w:val="18"/>
          <w:spacing w:val="45"/>
        </w:rPr>
        <w:t xml:space="preserve"> </w:t>
      </w:r>
      <w:r>
        <w:rPr>
          <w:rFonts w:ascii="宋体" w:hAnsi="宋体" w:cs="宋体" w:eastAsia="宋体" w:hint="ascii"/>
          <w:sz w:val="18"/>
        </w:rPr>
        <w:t>模式识别基础理论与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方法</w:t>
      </w:r>
    </w:p>
    <w:p>
      <w:pPr>
        <w:autoSpaceDE w:val="0"/>
        <w:autoSpaceDN w:val="0"/>
        <w:jc w:val="left"/>
        <w:spacing w:before="61" w:after="0" w:lineRule="auto" w:line="314"/>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图像识别与理解</w:t>
      </w:r>
      <w:r>
        <w:rPr>
          <w:rFonts w:ascii="Times New Roman" w:hAnsi="Times New Roman" w:cs="Times New Roman" w:eastAsia="Times New Roman" w:hint="ascii"/>
          <w:sz w:val="18"/>
        </w:rPr>
        <w:t>F060303</w:t>
      </w:r>
      <w:r>
        <w:rPr>
          <w:rFonts w:ascii="Times New Roman" w:hAnsi="Times New Roman" w:cs="Times New Roman" w:eastAsia="Times New Roman" w:hint="ascii"/>
          <w:sz w:val="18"/>
          <w:spacing w:val="45"/>
        </w:rPr>
        <w:t xml:space="preserve"> </w:t>
      </w:r>
      <w:r>
        <w:rPr>
          <w:rFonts w:ascii="宋体" w:hAnsi="宋体" w:cs="宋体" w:eastAsia="宋体" w:hint="ascii"/>
          <w:sz w:val="18"/>
        </w:rPr>
        <w:t>视频分析与理解</w:t>
      </w:r>
      <w:r>
        <w:rPr>
          <w:rFonts w:ascii="Times New Roman" w:hAnsi="Times New Roman" w:cs="Times New Roman" w:eastAsia="Times New Roman" w:hint="ascii"/>
          <w:sz w:val="18"/>
        </w:rPr>
        <w:t>F060304</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多模态感知与情</w:t>
      </w:r>
      <w:r>
        <w:rPr>
          <w:rFonts w:ascii="宋体" w:hAnsi="宋体" w:cs="宋体" w:eastAsia="宋体" w:hint="ascii"/>
          <w:sz w:val="18"/>
        </w:rPr>
        <w:t>景</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计</w:t>
      </w:r>
      <w:r>
        <w:rPr>
          <w:rFonts w:ascii="宋体" w:hAnsi="宋体" w:cs="宋体" w:eastAsia="宋体" w:hint="ascii"/>
          <w:sz w:val="18"/>
        </w:rPr>
        <w:t>算</w:t>
      </w:r>
    </w:p>
    <w:p>
      <w:pPr>
        <w:autoSpaceDE w:val="0"/>
        <w:autoSpaceDN w:val="0"/>
        <w:jc w:val="left"/>
        <w:spacing w:before="62"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F060305</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文字、文本与图</w:t>
      </w:r>
      <w:r>
        <w:rPr>
          <w:rFonts w:ascii="宋体" w:hAnsi="宋体" w:cs="宋体" w:eastAsia="宋体" w:hint="ascii"/>
          <w:sz w:val="18"/>
        </w:rPr>
        <w:t>形</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识</w:t>
      </w:r>
      <w:r>
        <w:rPr>
          <w:rFonts w:ascii="宋体" w:hAnsi="宋体" w:cs="宋体" w:eastAsia="宋体" w:hint="ascii"/>
          <w:sz w:val="18"/>
        </w:rPr>
        <w:t>别</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F060306</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语音识别、合成</w:t>
      </w:r>
      <w:r>
        <w:rPr>
          <w:rFonts w:ascii="宋体" w:hAnsi="宋体" w:cs="宋体" w:eastAsia="宋体" w:hint="ascii"/>
          <w:sz w:val="18"/>
        </w:rPr>
        <w:t>与</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理</w:t>
      </w:r>
      <w:r>
        <w:rPr>
          <w:rFonts w:ascii="宋体" w:hAnsi="宋体" w:cs="宋体" w:eastAsia="宋体" w:hint="ascii"/>
          <w:sz w:val="18"/>
        </w:rPr>
        <w:t>解</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F060307</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目标检测、跟踪</w:t>
      </w:r>
      <w:r>
        <w:rPr>
          <w:rFonts w:ascii="宋体" w:hAnsi="宋体" w:cs="宋体" w:eastAsia="宋体" w:hint="ascii"/>
          <w:sz w:val="18"/>
        </w:rPr>
        <w:t>与</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spacing w:val="3"/>
        </w:rPr>
        <w:t>识</w:t>
      </w:r>
      <w:r>
        <w:rPr>
          <w:rFonts w:ascii="宋体" w:hAnsi="宋体" w:cs="宋体" w:eastAsia="宋体" w:hint="ascii"/>
          <w:sz w:val="18"/>
        </w:rPr>
        <w:t>别</w:t>
      </w:r>
    </w:p>
    <w:p>
      <w:pPr>
        <w:autoSpaceDE w:val="0"/>
        <w:autoSpaceDN w:val="0"/>
        <w:jc w:val="both"/>
        <w:spacing w:before="62" w:after="0" w:lineRule="auto" w:line="313"/>
        <w:ind w:right="167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F060308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物特征识别</w:t>
      </w:r>
      <w:r>
        <w:rPr>
          <w:rFonts w:ascii="Times New Roman" w:hAnsi="Times New Roman" w:cs="Times New Roman" w:eastAsia="Times New Roman" w:hint="ascii"/>
          <w:sz w:val="18"/>
          <w:spacing w:val="-1"/>
        </w:rPr>
        <w:t>F060309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智</w:t>
      </w:r>
      <w:r>
        <w:rPr>
          <w:rFonts w:ascii="宋体" w:hAnsi="宋体" w:cs="宋体" w:eastAsia="宋体" w:hint="ascii"/>
          <w:sz w:val="18"/>
        </w:rPr>
        <w:t>能人机交互</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自然语言处理</w:t>
      </w:r>
    </w:p>
    <w:p>
      <w:pPr>
        <w:autoSpaceDE w:val="0"/>
        <w:autoSpaceDN w:val="0"/>
        <w:jc w:val="left"/>
        <w:spacing w:before="68"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F060401</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自然语言处理基础理</w:t>
      </w:r>
    </w:p>
    <w:p>
      <w:pPr>
        <w:autoSpaceDE w:val="0"/>
        <w:autoSpaceDN w:val="0"/>
        <w:jc w:val="left"/>
        <w:spacing w:before="67"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论与方法</w:t>
      </w:r>
    </w:p>
    <w:p>
      <w:pPr>
        <w:autoSpaceDE w:val="0"/>
        <w:autoSpaceDN w:val="0"/>
        <w:jc w:val="left"/>
        <w:spacing w:before="61" w:after="0" w:lineRule="auto" w:line="240"/>
        <w:ind w:right="0"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自然语言认知、理解</w:t>
      </w:r>
    </w:p>
    <w:p>
      <w:pPr>
        <w:autoSpaceDE w:val="0"/>
        <w:autoSpaceDN w:val="0"/>
        <w:jc w:val="left"/>
        <w:spacing w:before="68"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与推理</w:t>
      </w:r>
    </w:p>
    <w:p>
      <w:pPr>
        <w:autoSpaceDE w:val="0"/>
        <w:autoSpaceDN w:val="0"/>
        <w:jc w:val="both"/>
        <w:spacing w:before="61" w:after="0" w:lineRule="auto" w:line="313"/>
        <w:ind w:right="1138"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F060403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自</w:t>
      </w:r>
      <w:r>
        <w:rPr>
          <w:rFonts w:ascii="宋体" w:hAnsi="宋体" w:cs="宋体" w:eastAsia="宋体" w:hint="ascii"/>
          <w:sz w:val="18"/>
        </w:rPr>
        <w:t>然语言生成与写作</w:t>
      </w:r>
      <w:r>
        <w:rPr>
          <w:rFonts w:ascii="Times New Roman" w:hAnsi="Times New Roman" w:cs="Times New Roman" w:eastAsia="Times New Roman" w:hint="ascii"/>
          <w:sz w:val="18"/>
        </w:rPr>
        <w:t>F060404</w:t>
      </w:r>
      <w:r>
        <w:rPr>
          <w:rFonts w:ascii="Times New Roman" w:hAnsi="Times New Roman" w:cs="Times New Roman" w:eastAsia="Times New Roman" w:hint="ascii"/>
          <w:sz w:val="18"/>
          <w:spacing w:val="45"/>
        </w:rPr>
        <w:t xml:space="preserve"> </w:t>
      </w:r>
      <w:r>
        <w:rPr>
          <w:rFonts w:ascii="宋体" w:hAnsi="宋体" w:cs="宋体" w:eastAsia="宋体" w:hint="ascii"/>
          <w:sz w:val="18"/>
        </w:rPr>
        <w:t>机器翻译</w:t>
      </w:r>
    </w:p>
    <w:p>
      <w:pPr>
        <w:autoSpaceDE w:val="0"/>
        <w:autoSpaceDN w:val="0"/>
        <w:jc w:val="left"/>
        <w:spacing w:before="1" w:after="0" w:lineRule="auto" w:line="240"/>
        <w:ind w:right="0" w:left="662" w:firstLine="0"/>
        <w:snapToGrid w:val="0"/>
        <w:textAlignment w:val="auto"/>
        <w:tabs/>
        <w:sectPr>
          <w:type w:val="continuous"/>
          <w:pgSz w:w="10940" w:h="15080" w:orient="portrait"/>
          <w:pgMar w:top="508" w:right="508" w:bottom="508" w:left="508" w:header="0" w:footer="0" w:gutter="0"/>
          <w:cols w:num="2" w:space="0" w:equalWidth="0">
            <w:col w:w="4744" w:space="940"/>
            <w:col w:w="424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rPr>
        <w:t>F060405</w:t>
      </w:r>
      <w:r>
        <w:rPr>
          <w:rFonts w:ascii="Times New Roman" w:hAnsi="Times New Roman" w:cs="Times New Roman" w:eastAsia="Times New Roman" w:hint="ascii"/>
          <w:sz w:val="18"/>
          <w:spacing w:val="45"/>
        </w:rPr>
        <w:t xml:space="preserve"> </w:t>
      </w:r>
      <w:r>
        <w:rPr>
          <w:rFonts w:ascii="宋体" w:hAnsi="宋体" w:cs="宋体" w:eastAsia="宋体" w:hint="ascii"/>
          <w:sz w:val="18"/>
        </w:rPr>
        <w:t>文本检索、挖掘与信</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息抽取</w:t>
      </w:r>
      <w:r>
        <w:rPr>
          <w:rFonts w:ascii="宋体" w:hAnsi="宋体" w:cs="宋体" w:eastAsia="宋体" w:hint="ascii"/>
          <w:sz w:val="18"/>
        </w:rPr>
        <mc:AlternateContent>
          <mc:Choice Requires="wps">
            <w:drawing>
              <wp:anchor distL="0" distR="0" distT="0" distB="0" simplePos="0" behindDoc="1" relativeHeight="750" locked="0" layoutInCell="1" allowOverlap="1">
                <wp:simplePos x="0" y="0"/>
                <wp:positionH relativeFrom="page">
                  <wp:posOffset>938530</wp:posOffset>
                </wp:positionH>
                <wp:positionV relativeFrom="page">
                  <wp:posOffset>819150</wp:posOffset>
                </wp:positionV>
                <wp:extent cx="5076190" cy="0"/>
                <wp:wrapNone/>
                <wp:docPr id="1777" name="1777"/>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0890240;width:399.70pt;" id="1777"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both"/>
        <w:spacing w:before="61" w:after="0" w:lineRule="auto" w:line="314"/>
        <w:ind w:right="3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F060406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人</w:t>
      </w:r>
      <w:r>
        <w:rPr>
          <w:rFonts w:ascii="宋体" w:hAnsi="宋体" w:cs="宋体" w:eastAsia="宋体" w:hint="ascii"/>
          <w:sz w:val="18"/>
        </w:rPr>
        <w:t>机对话与问答</w:t>
      </w:r>
      <w:r>
        <w:rPr>
          <w:rFonts w:ascii="Times New Roman" w:hAnsi="Times New Roman" w:cs="Times New Roman" w:eastAsia="Times New Roman" w:hint="ascii"/>
          <w:sz w:val="18"/>
        </w:rPr>
        <w:t>F060407</w:t>
      </w:r>
      <w:r>
        <w:rPr>
          <w:rFonts w:ascii="Times New Roman" w:hAnsi="Times New Roman" w:cs="Times New Roman" w:eastAsia="Times New Roman" w:hint="ascii"/>
          <w:sz w:val="18"/>
          <w:spacing w:val="45"/>
        </w:rPr>
        <w:t xml:space="preserve"> </w:t>
      </w:r>
      <w:r>
        <w:rPr>
          <w:rFonts w:ascii="宋体" w:hAnsi="宋体" w:cs="宋体" w:eastAsia="宋体" w:hint="ascii"/>
          <w:sz w:val="18"/>
        </w:rPr>
        <w:t>情感计算</w:t>
      </w:r>
    </w:p>
    <w:p>
      <w:pPr>
        <w:autoSpaceDE w:val="0"/>
        <w:autoSpaceDN w:val="0"/>
        <w:jc w:val="left"/>
        <w:spacing w:before="0" w:after="0" w:lineRule="auto" w:line="238"/>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F060408</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社</w:t>
      </w:r>
      <w:r>
        <w:rPr>
          <w:rFonts w:ascii="宋体" w:hAnsi="宋体" w:cs="宋体" w:eastAsia="宋体" w:hint="ascii"/>
          <w:sz w:val="18"/>
        </w:rPr>
        <w:t>会媒体处理与跨媒</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体分析</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知识表示与处理</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F060501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知</w:t>
      </w:r>
      <w:r>
        <w:rPr>
          <w:rFonts w:ascii="宋体" w:hAnsi="宋体" w:cs="宋体" w:eastAsia="宋体" w:hint="ascii"/>
          <w:sz w:val="18"/>
        </w:rPr>
        <w:t>识表示与处理的基</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础理论与方法</w:t>
      </w:r>
    </w:p>
    <w:p>
      <w:pPr>
        <w:autoSpaceDE w:val="0"/>
        <w:autoSpaceDN w:val="0"/>
        <w:jc w:val="both"/>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F060502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知</w:t>
      </w:r>
      <w:r>
        <w:rPr>
          <w:rFonts w:ascii="宋体" w:hAnsi="宋体" w:cs="宋体" w:eastAsia="宋体" w:hint="ascii"/>
          <w:sz w:val="18"/>
        </w:rPr>
        <w:t>识表示与自动推理</w:t>
      </w:r>
      <w:r>
        <w:rPr>
          <w:rFonts w:ascii="Times New Roman" w:hAnsi="Times New Roman" w:cs="Times New Roman" w:eastAsia="Times New Roman" w:hint="ascii"/>
          <w:sz w:val="18"/>
          <w:spacing w:val="-1"/>
        </w:rPr>
        <w:t>F060503</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知</w:t>
      </w:r>
      <w:r>
        <w:rPr>
          <w:rFonts w:ascii="宋体" w:hAnsi="宋体" w:cs="宋体" w:eastAsia="宋体" w:hint="ascii"/>
          <w:sz w:val="18"/>
        </w:rPr>
        <w:t>识工程与专家系统</w:t>
      </w:r>
      <w:r>
        <w:rPr>
          <w:rFonts w:ascii="Times New Roman" w:hAnsi="Times New Roman" w:cs="Times New Roman" w:eastAsia="Times New Roman" w:hint="ascii"/>
          <w:sz w:val="18"/>
          <w:spacing w:val="-1"/>
        </w:rPr>
        <w:t>F060504</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知</w:t>
      </w:r>
      <w:r>
        <w:rPr>
          <w:rFonts w:ascii="宋体" w:hAnsi="宋体" w:cs="宋体" w:eastAsia="宋体" w:hint="ascii"/>
          <w:sz w:val="18"/>
        </w:rPr>
        <w:t>识发现与数据挖掘</w:t>
      </w:r>
      <w:r>
        <w:rPr>
          <w:rFonts w:ascii="Times New Roman" w:hAnsi="Times New Roman" w:cs="Times New Roman" w:eastAsia="Times New Roman" w:hint="ascii"/>
          <w:sz w:val="18"/>
          <w:spacing w:val="-1"/>
        </w:rPr>
        <w:t>F060505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知</w:t>
      </w:r>
      <w:r>
        <w:rPr>
          <w:rFonts w:ascii="宋体" w:hAnsi="宋体" w:cs="宋体" w:eastAsia="宋体" w:hint="ascii"/>
          <w:sz w:val="18"/>
        </w:rPr>
        <w:t>识获取与知识图谱</w:t>
      </w:r>
      <w:r>
        <w:rPr>
          <w:rFonts w:ascii="Times New Roman" w:hAnsi="Times New Roman" w:cs="Times New Roman" w:eastAsia="Times New Roman" w:hint="ascii"/>
          <w:sz w:val="18"/>
          <w:spacing w:val="-1"/>
        </w:rPr>
        <w:t>F060506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知</w:t>
      </w:r>
      <w:r>
        <w:rPr>
          <w:rFonts w:ascii="宋体" w:hAnsi="宋体" w:cs="宋体" w:eastAsia="宋体" w:hint="ascii"/>
          <w:sz w:val="18"/>
        </w:rPr>
        <w:t>识演化与因果发现</w:t>
      </w:r>
      <w:r>
        <w:rPr>
          <w:rFonts w:ascii="Times New Roman" w:hAnsi="Times New Roman" w:cs="Times New Roman" w:eastAsia="Times New Roman" w:hint="ascii"/>
          <w:sz w:val="18"/>
        </w:rPr>
        <w:t>F060507</w:t>
      </w:r>
      <w:r>
        <w:rPr>
          <w:rFonts w:ascii="Times New Roman" w:hAnsi="Times New Roman" w:cs="Times New Roman" w:eastAsia="Times New Roman" w:hint="ascii"/>
          <w:sz w:val="18"/>
          <w:spacing w:val="45"/>
        </w:rPr>
        <w:t xml:space="preserve"> </w:t>
      </w:r>
      <w:r>
        <w:rPr>
          <w:rFonts w:ascii="宋体" w:hAnsi="宋体" w:cs="宋体" w:eastAsia="宋体" w:hint="ascii"/>
          <w:sz w:val="18"/>
        </w:rPr>
        <w:t>分布式知识处理</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智能系统与应用</w:t>
      </w:r>
    </w:p>
    <w:p>
      <w:pPr>
        <w:autoSpaceDE w:val="0"/>
        <w:autoSpaceDN w:val="0"/>
        <w:jc w:val="left"/>
        <w:spacing w:before="67"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人</w:t>
      </w:r>
      <w:r>
        <w:rPr>
          <w:rFonts w:ascii="宋体" w:hAnsi="宋体" w:cs="宋体" w:eastAsia="宋体" w:hint="ascii"/>
          <w:sz w:val="18"/>
        </w:rPr>
        <w:t>工智能器件、芯片</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及系统结构</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人</w:t>
      </w:r>
      <w:r>
        <w:rPr>
          <w:rFonts w:ascii="宋体" w:hAnsi="宋体" w:cs="宋体" w:eastAsia="宋体" w:hint="ascii"/>
          <w:sz w:val="18"/>
        </w:rPr>
        <w:t>工智能开发工具与</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基础平台</w:t>
      </w:r>
    </w:p>
    <w:p>
      <w:pPr>
        <w:autoSpaceDE w:val="0"/>
        <w:autoSpaceDN w:val="0"/>
        <w:jc w:val="left"/>
        <w:spacing w:before="61"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自主无人系统</w:t>
      </w:r>
      <w:r>
        <w:rPr>
          <w:rFonts w:ascii="Times New Roman" w:hAnsi="Times New Roman" w:cs="Times New Roman" w:eastAsia="Times New Roman" w:hint="ascii"/>
          <w:sz w:val="18"/>
        </w:rPr>
        <w:t>F060604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进化与演化系统</w:t>
      </w:r>
      <w:r>
        <w:rPr>
          <w:rFonts w:ascii="Times New Roman" w:hAnsi="Times New Roman" w:cs="Times New Roman" w:eastAsia="Times New Roman" w:hint="ascii"/>
          <w:sz w:val="18"/>
          <w:spacing w:val="-1"/>
        </w:rPr>
        <w:t>F060605</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群</w:t>
      </w:r>
      <w:r>
        <w:rPr>
          <w:rFonts w:ascii="宋体" w:hAnsi="宋体" w:cs="宋体" w:eastAsia="宋体" w:hint="ascii"/>
          <w:sz w:val="18"/>
        </w:rPr>
        <w:t>体智能与多智能体</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系统</w:t>
      </w:r>
    </w:p>
    <w:p>
      <w:pPr>
        <w:autoSpaceDE w:val="0"/>
        <w:autoSpaceDN w:val="0"/>
        <w:jc w:val="left"/>
        <w:spacing w:before="62" w:after="0" w:lineRule="auto" w:line="313"/>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F060606</w:t>
      </w:r>
      <w:r>
        <w:rPr>
          <w:rFonts w:ascii="Times New Roman" w:hAnsi="Times New Roman" w:cs="Times New Roman" w:eastAsia="Times New Roman" w:hint="ascii"/>
          <w:sz w:val="18"/>
          <w:spacing w:val="45"/>
        </w:rPr>
        <w:t xml:space="preserve"> </w:t>
      </w:r>
      <w:r>
        <w:rPr>
          <w:rFonts w:ascii="宋体" w:hAnsi="宋体" w:cs="宋体" w:eastAsia="宋体" w:hint="ascii"/>
          <w:sz w:val="18"/>
        </w:rPr>
        <w:t>人机混合智能</w:t>
      </w:r>
      <w:r>
        <w:rPr>
          <w:rFonts w:ascii="Times New Roman" w:hAnsi="Times New Roman" w:cs="Times New Roman" w:eastAsia="Times New Roman" w:hint="ascii"/>
          <w:sz w:val="18"/>
        </w:rPr>
        <w:t>F060607</w:t>
      </w:r>
      <w:r>
        <w:rPr>
          <w:rFonts w:ascii="Times New Roman" w:hAnsi="Times New Roman" w:cs="Times New Roman" w:eastAsia="Times New Roman" w:hint="ascii"/>
          <w:sz w:val="18"/>
          <w:spacing w:val="45"/>
        </w:rPr>
        <w:t xml:space="preserve"> </w:t>
      </w:r>
      <w:r>
        <w:rPr>
          <w:rFonts w:ascii="宋体" w:hAnsi="宋体" w:cs="宋体" w:eastAsia="宋体" w:hint="ascii"/>
          <w:sz w:val="18"/>
        </w:rPr>
        <w:t>人机协同学习</w:t>
      </w:r>
      <w:r>
        <w:rPr>
          <w:rFonts w:ascii="Times New Roman" w:hAnsi="Times New Roman" w:cs="Times New Roman" w:eastAsia="Times New Roman" w:hint="ascii"/>
          <w:sz w:val="18"/>
        </w:rPr>
        <w:t>F060608</w:t>
      </w:r>
      <w:r>
        <w:rPr>
          <w:rFonts w:ascii="Times New Roman" w:hAnsi="Times New Roman" w:cs="Times New Roman" w:eastAsia="Times New Roman" w:hint="ascii"/>
          <w:sz w:val="18"/>
          <w:spacing w:val="45"/>
        </w:rPr>
        <w:t xml:space="preserve"> </w:t>
      </w:r>
      <w:r>
        <w:rPr>
          <w:rFonts w:ascii="宋体" w:hAnsi="宋体" w:cs="宋体" w:eastAsia="宋体" w:hint="ascii"/>
          <w:sz w:val="18"/>
        </w:rPr>
        <w:t>智能系统评测</w:t>
      </w:r>
      <w:r>
        <w:rPr>
          <w:rFonts w:ascii="Times New Roman" w:hAnsi="Times New Roman" w:cs="Times New Roman" w:eastAsia="Times New Roman" w:hint="ascii"/>
          <w:sz w:val="18"/>
          <w:spacing w:val="-1"/>
        </w:rPr>
        <w:t>F060609</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新</w:t>
      </w:r>
      <w:r>
        <w:rPr>
          <w:rFonts w:ascii="宋体" w:hAnsi="宋体" w:cs="宋体" w:eastAsia="宋体" w:hint="ascii"/>
          <w:sz w:val="18"/>
        </w:rPr>
        <w:t>型智能技术及应用</w:t>
      </w:r>
      <w:r>
        <w:rPr>
          <w:rFonts w:ascii="Times New Roman" w:hAnsi="Times New Roman" w:cs="Times New Roman" w:eastAsia="Times New Roman" w:hint="ascii"/>
          <w:sz w:val="18"/>
          <w:spacing w:val="-1"/>
        </w:rPr>
        <w:t>F060610</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安</w:t>
      </w:r>
      <w:r>
        <w:rPr>
          <w:rFonts w:ascii="宋体" w:hAnsi="宋体" w:cs="宋体" w:eastAsia="宋体" w:hint="ascii"/>
          <w:sz w:val="18"/>
        </w:rPr>
        <w:t>全、可信智能系统</w:t>
      </w:r>
    </w:p>
    <w:p>
      <w:pPr>
        <w:autoSpaceDE w:val="0"/>
        <w:autoSpaceDN w:val="0"/>
        <w:jc w:val="left"/>
        <w:spacing w:before="0"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构建的基本方法</w:t>
      </w:r>
    </w:p>
    <w:p>
      <w:pPr>
        <w:autoSpaceDE w:val="0"/>
        <w:autoSpaceDN w:val="0"/>
        <w:jc w:val="left"/>
        <w:spacing w:before="62"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w:t>
      </w:r>
      <w:r>
        <w:rPr>
          <w:rFonts w:ascii="Times New Roman" w:hAnsi="Times New Roman" w:cs="Times New Roman" w:eastAsia="Times New Roman" w:hint="ascii"/>
          <w:sz w:val="18"/>
        </w:rPr>
        <w:t>6</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w:t>
      </w:r>
      <w:r>
        <w:rPr>
          <w:rFonts w:ascii="Times New Roman" w:hAnsi="Times New Roman" w:cs="Times New Roman" w:eastAsia="Times New Roman" w:hint="ascii"/>
          <w:sz w:val="18"/>
          <w:spacing w:val="45"/>
        </w:rPr>
        <w:t xml:space="preserve"> </w:t>
      </w:r>
      <w:r>
        <w:rPr>
          <w:rFonts w:ascii="宋体" w:hAnsi="宋体" w:cs="宋体" w:eastAsia="宋体" w:hint="ascii"/>
          <w:sz w:val="18"/>
        </w:rPr>
        <w:t>交叉学科中的人工智</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能问题</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F0607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认知与神经科学启发的人工智</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能</w:t>
      </w:r>
    </w:p>
    <w:p>
      <w:pPr>
        <w:autoSpaceDE w:val="0"/>
        <w:autoSpaceDN w:val="0"/>
        <w:jc w:val="left"/>
        <w:spacing w:before="6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F060701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基</w:t>
      </w:r>
      <w:r>
        <w:rPr>
          <w:rFonts w:ascii="宋体" w:hAnsi="宋体" w:cs="宋体" w:eastAsia="宋体" w:hint="ascii"/>
          <w:sz w:val="18"/>
        </w:rPr>
        <w:t>于认知机理的计算</w:t>
      </w:r>
    </w:p>
    <w:p>
      <w:pPr>
        <w:autoSpaceDE w:val="0"/>
        <w:autoSpaceDN w:val="0"/>
        <w:jc w:val="left"/>
        <w:spacing w:before="67" w:after="0" w:lineRule="exact" w:line="225"/>
        <w:ind w:right="0" w:left="3096" w:firstLine="0"/>
        <w:snapToGrid w:val="0"/>
        <w:textAlignment w:val="auto"/>
        <w:tabs/>
        <w:rPr>
          <w:rFonts w:ascii="宋体" w:hAnsi="宋体" w:cs="宋体" w:eastAsia="宋体" w:hint="ascii"/>
          <w:sz w:val="18"/>
        </w:rPr>
      </w:pPr>
      <w:r>
        <w:rPr>
          <w:rFonts w:ascii="宋体" w:hAnsi="宋体" w:cs="宋体" w:eastAsia="宋体" w:hint="ascii"/>
          <w:sz w:val="18"/>
        </w:rPr>
        <w:t>模型及应用</w:t>
      </w:r>
    </w:p>
    <w:p>
      <w:pPr>
        <w:autoSpaceDE w:val="0"/>
        <w:autoSpaceDN w:val="0"/>
        <w:jc w:val="right"/>
        <w:spacing w:before="278" w:after="0" w:lineRule="exact" w:line="286"/>
        <w:ind w:right="1130" w:left="115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F060702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脑认知的注意、学习与记忆机制的建模与</w:t>
      </w:r>
    </w:p>
    <w:p>
      <w:pPr>
        <w:autoSpaceDE w:val="0"/>
        <w:autoSpaceDN w:val="0"/>
        <w:jc w:val="left"/>
        <w:spacing w:before="5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计算</w:t>
      </w:r>
    </w:p>
    <w:p>
      <w:pPr>
        <w:autoSpaceDE w:val="0"/>
        <w:autoSpaceDN w:val="0"/>
        <w:jc w:val="left"/>
        <w:spacing w:before="61" w:after="0" w:lineRule="auto" w:line="313"/>
        <w:ind w:right="113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视听觉感知模型</w:t>
      </w:r>
      <w:r>
        <w:rPr>
          <w:rFonts w:ascii="Times New Roman" w:hAnsi="Times New Roman" w:cs="Times New Roman" w:eastAsia="Times New Roman" w:hint="ascii"/>
          <w:sz w:val="18"/>
          <w:spacing w:val="-1"/>
        </w:rPr>
        <w:t>F06</w:t>
      </w:r>
      <w:r>
        <w:rPr>
          <w:rFonts w:ascii="Times New Roman" w:hAnsi="Times New Roman" w:cs="Times New Roman" w:eastAsia="Times New Roman" w:hint="ascii"/>
          <w:sz w:val="18"/>
        </w:rPr>
        <w:t>0704</w:t>
      </w:r>
      <w:r>
        <w:rPr>
          <w:rFonts w:ascii="Times New Roman" w:hAnsi="Times New Roman" w:cs="Times New Roman" w:eastAsia="Times New Roman" w:hint="ascii"/>
          <w:sz w:val="18"/>
          <w:spacing w:val="45"/>
        </w:rPr>
        <w:t xml:space="preserve"> </w:t>
      </w:r>
      <w:r>
        <w:rPr>
          <w:rFonts w:ascii="宋体" w:hAnsi="宋体" w:cs="宋体" w:eastAsia="宋体" w:hint="ascii"/>
          <w:sz w:val="18"/>
        </w:rPr>
        <w:t>神经信息编码与解码</w:t>
      </w:r>
      <w:r>
        <w:rPr>
          <w:rFonts w:ascii="Times New Roman" w:hAnsi="Times New Roman" w:cs="Times New Roman" w:eastAsia="Times New Roman" w:hint="ascii"/>
          <w:sz w:val="18"/>
          <w:spacing w:val="-1"/>
        </w:rPr>
        <w:t>F06</w:t>
      </w:r>
      <w:r>
        <w:rPr>
          <w:rFonts w:ascii="Times New Roman" w:hAnsi="Times New Roman" w:cs="Times New Roman" w:eastAsia="Times New Roman" w:hint="ascii"/>
          <w:sz w:val="18"/>
        </w:rPr>
        <w:t>0705</w:t>
      </w:r>
      <w:r>
        <w:rPr>
          <w:rFonts w:ascii="Times New Roman" w:hAnsi="Times New Roman" w:cs="Times New Roman" w:eastAsia="Times New Roman" w:hint="ascii"/>
          <w:sz w:val="18"/>
          <w:spacing w:val="45"/>
        </w:rPr>
        <w:t xml:space="preserve"> </w:t>
      </w:r>
      <w:r>
        <w:rPr>
          <w:rFonts w:ascii="宋体" w:hAnsi="宋体" w:cs="宋体" w:eastAsia="宋体" w:hint="ascii"/>
          <w:sz w:val="18"/>
        </w:rPr>
        <w:t>神经系统建模与分析</w:t>
      </w:r>
      <w:r>
        <w:rPr>
          <w:rFonts w:ascii="Times New Roman" w:hAnsi="Times New Roman" w:cs="Times New Roman" w:eastAsia="Times New Roman" w:hint="ascii"/>
          <w:sz w:val="18"/>
        </w:rPr>
        <w:t>F060706</w:t>
      </w:r>
      <w:r>
        <w:rPr>
          <w:rFonts w:ascii="Times New Roman" w:hAnsi="Times New Roman" w:cs="Times New Roman" w:eastAsia="Times New Roman" w:hint="ascii"/>
          <w:sz w:val="18"/>
          <w:spacing w:val="45"/>
        </w:rPr>
        <w:t xml:space="preserve"> </w:t>
      </w:r>
      <w:r>
        <w:rPr>
          <w:rFonts w:ascii="宋体" w:hAnsi="宋体" w:cs="宋体" w:eastAsia="宋体" w:hint="ascii"/>
          <w:sz w:val="18"/>
        </w:rPr>
        <w:t>神经形态工程</w:t>
      </w:r>
      <w:r>
        <w:rPr>
          <w:rFonts w:ascii="Times New Roman" w:hAnsi="Times New Roman" w:cs="Times New Roman" w:eastAsia="Times New Roman" w:hint="ascii"/>
          <w:sz w:val="18"/>
        </w:rPr>
        <w:t>F060707</w:t>
      </w:r>
      <w:r>
        <w:rPr>
          <w:rFonts w:ascii="Times New Roman" w:hAnsi="Times New Roman" w:cs="Times New Roman" w:eastAsia="Times New Roman" w:hint="ascii"/>
          <w:sz w:val="18"/>
          <w:spacing w:val="45"/>
        </w:rPr>
        <w:t xml:space="preserve"> </w:t>
      </w:r>
      <w:r>
        <w:rPr>
          <w:rFonts w:ascii="宋体" w:hAnsi="宋体" w:cs="宋体" w:eastAsia="宋体" w:hint="ascii"/>
          <w:sz w:val="18"/>
        </w:rPr>
        <w:t>类脑芯片</w:t>
      </w:r>
    </w:p>
    <w:p>
      <w:pPr>
        <w:autoSpaceDE w:val="0"/>
        <w:autoSpaceDN w:val="0"/>
        <w:jc w:val="left"/>
        <w:spacing w:before="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F060708</w:t>
      </w:r>
      <w:r>
        <w:rPr>
          <w:rFonts w:ascii="Times New Roman" w:hAnsi="Times New Roman" w:cs="Times New Roman" w:eastAsia="Times New Roman" w:hint="ascii"/>
          <w:sz w:val="18"/>
          <w:spacing w:val="45"/>
        </w:rPr>
        <w:t xml:space="preserve"> </w:t>
      </w:r>
      <w:r>
        <w:rPr>
          <w:rFonts w:ascii="宋体" w:hAnsi="宋体" w:cs="宋体" w:eastAsia="宋体" w:hint="ascii"/>
          <w:sz w:val="18"/>
        </w:rPr>
        <w:t>类脑计算</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F060709</w:t>
      </w:r>
      <w:r>
        <w:rPr>
          <w:rFonts w:ascii="Times New Roman" w:hAnsi="Times New Roman" w:cs="Times New Roman" w:eastAsia="Times New Roman" w:hint="ascii"/>
          <w:sz w:val="18"/>
          <w:spacing w:val="45"/>
        </w:rPr>
        <w:t xml:space="preserve"> </w:t>
      </w:r>
      <w:r>
        <w:rPr>
          <w:rFonts w:ascii="宋体" w:hAnsi="宋体" w:cs="宋体" w:eastAsia="宋体" w:hint="ascii"/>
          <w:sz w:val="18"/>
        </w:rPr>
        <w:t>脑机接口与神经工程</w:t>
      </w:r>
    </w:p>
    <w:p>
      <w:pPr>
        <w:autoSpaceDE w:val="0"/>
        <w:autoSpaceDN w:val="0"/>
        <w:jc w:val="left"/>
        <w:spacing w:before="57"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F07</w:t>
      </w:r>
      <w:r>
        <w:rPr>
          <w:rFonts w:ascii="Times New Roman" w:hAnsi="Times New Roman" w:cs="Times New Roman" w:eastAsia="Times New Roman" w:hint="ascii"/>
          <w:b w:val="1"/>
          <w:spacing w:val="60"/>
        </w:rPr>
        <w:t xml:space="preserve"> </w:t>
      </w:r>
      <w:r>
        <w:rPr>
          <w:rFonts w:ascii="宋体" w:hAnsi="宋体" w:cs="宋体" w:eastAsia="宋体" w:hint="ascii"/>
        </w:rPr>
        <w:t>交叉学科中的信息科学</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F0701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教育信息科学与技术</w:t>
      </w:r>
    </w:p>
    <w:p>
      <w:pPr>
        <w:autoSpaceDE w:val="0"/>
        <w:autoSpaceDN w:val="0"/>
        <w:jc w:val="left"/>
        <w:spacing w:before="67"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F070101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教育信息科学基础理</w:t>
      </w:r>
    </w:p>
    <w:p>
      <w:pPr>
        <w:autoSpaceDE w:val="0"/>
        <w:autoSpaceDN w:val="0"/>
        <w:jc w:val="left"/>
        <w:spacing w:before="68"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论与方法</w:t>
      </w:r>
    </w:p>
    <w:p>
      <w:pPr>
        <w:autoSpaceDE w:val="0"/>
        <w:autoSpaceDN w:val="0"/>
        <w:jc w:val="left"/>
        <w:spacing w:before="6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F070102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在线与移动交互学习</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环境构建</w:t>
      </w:r>
    </w:p>
    <w:p>
      <w:pPr>
        <w:autoSpaceDE w:val="0"/>
        <w:autoSpaceDN w:val="0"/>
        <w:jc w:val="left"/>
        <w:spacing w:before="62"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F070103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虚拟与增强现实学习</w:t>
      </w:r>
    </w:p>
    <w:p>
      <w:pPr>
        <w:autoSpaceDE w:val="0"/>
        <w:autoSpaceDN w:val="0"/>
        <w:jc w:val="left"/>
        <w:spacing w:before="67"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rPr>
        <w:t>环境</w:t>
      </w:r>
    </w:p>
    <w:p>
      <w:pPr>
        <w:autoSpaceDE w:val="0"/>
        <w:autoSpaceDN w:val="0"/>
        <w:jc w:val="left"/>
        <w:spacing w:before="61" w:after="0" w:lineRule="auto" w:line="314"/>
        <w:ind w:right="1248"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F070104</w:t>
      </w:r>
      <w:r>
        <w:rPr>
          <w:rFonts w:ascii="Times New Roman" w:hAnsi="Times New Roman" w:cs="Times New Roman" w:eastAsia="Times New Roman" w:hint="ascii"/>
          <w:sz w:val="18"/>
          <w:spacing w:val="45"/>
        </w:rPr>
        <w:t xml:space="preserve"> </w:t>
      </w:r>
      <w:r>
        <w:rPr>
          <w:rFonts w:ascii="宋体" w:hAnsi="宋体" w:cs="宋体" w:eastAsia="宋体" w:hint="ascii"/>
          <w:sz w:val="18"/>
        </w:rPr>
        <w:t>教学知识可视化</w:t>
      </w:r>
      <w:r>
        <w:rPr>
          <w:rFonts w:ascii="Times New Roman" w:hAnsi="Times New Roman" w:cs="Times New Roman" w:eastAsia="Times New Roman" w:hint="ascii"/>
          <w:sz w:val="18"/>
        </w:rPr>
        <w:t>F070105</w:t>
      </w:r>
      <w:r>
        <w:rPr>
          <w:rFonts w:ascii="Times New Roman" w:hAnsi="Times New Roman" w:cs="Times New Roman" w:eastAsia="Times New Roman" w:hint="ascii"/>
          <w:sz w:val="18"/>
          <w:spacing w:val="45"/>
        </w:rPr>
        <w:t xml:space="preserve"> </w:t>
      </w:r>
      <w:r>
        <w:rPr>
          <w:rFonts w:ascii="宋体" w:hAnsi="宋体" w:cs="宋体" w:eastAsia="宋体" w:hint="ascii"/>
          <w:sz w:val="18"/>
        </w:rPr>
        <w:t>教育认知工具</w:t>
      </w:r>
      <w:r>
        <w:rPr>
          <w:rFonts w:ascii="Times New Roman" w:hAnsi="Times New Roman" w:cs="Times New Roman" w:eastAsia="Times New Roman" w:hint="ascii"/>
          <w:sz w:val="18"/>
        </w:rPr>
        <w:t>F070106</w:t>
      </w:r>
      <w:r>
        <w:rPr>
          <w:rFonts w:ascii="Times New Roman" w:hAnsi="Times New Roman" w:cs="Times New Roman" w:eastAsia="Times New Roman" w:hint="ascii"/>
          <w:sz w:val="18"/>
          <w:spacing w:val="45"/>
        </w:rPr>
        <w:t xml:space="preserve"> </w:t>
      </w:r>
      <w:r>
        <w:rPr>
          <w:rFonts w:ascii="宋体" w:hAnsi="宋体" w:cs="宋体" w:eastAsia="宋体" w:hint="ascii"/>
          <w:sz w:val="18"/>
        </w:rPr>
        <w:t>教育机器人</w:t>
      </w:r>
      <w:r>
        <w:rPr>
          <w:rFonts w:ascii="Times New Roman" w:hAnsi="Times New Roman" w:cs="Times New Roman" w:eastAsia="Times New Roman" w:hint="ascii"/>
          <w:sz w:val="18"/>
        </w:rPr>
        <w:t>F070107</w:t>
      </w:r>
      <w:r>
        <w:rPr>
          <w:rFonts w:ascii="Times New Roman" w:hAnsi="Times New Roman" w:cs="Times New Roman" w:eastAsia="Times New Roman" w:hint="ascii"/>
          <w:sz w:val="18"/>
          <w:spacing w:val="45"/>
        </w:rPr>
        <w:t xml:space="preserve"> </w:t>
      </w:r>
      <w:r>
        <w:rPr>
          <w:rFonts w:ascii="宋体" w:hAnsi="宋体" w:cs="宋体" w:eastAsia="宋体" w:hint="ascii"/>
          <w:sz w:val="18"/>
        </w:rPr>
        <w:t>教育智能体</w:t>
      </w:r>
      <w:r>
        <w:rPr>
          <w:rFonts w:ascii="Times New Roman" w:hAnsi="Times New Roman" w:cs="Times New Roman" w:eastAsia="Times New Roman" w:hint="ascii"/>
          <w:sz w:val="18"/>
        </w:rPr>
        <w:t>F070108</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3"/>
        </w:rPr>
        <w:t>教育大数据分析</w:t>
      </w:r>
      <w:r>
        <w:rPr>
          <w:rFonts w:ascii="宋体" w:hAnsi="宋体" w:cs="宋体" w:eastAsia="宋体" w:hint="ascii"/>
          <w:sz w:val="18"/>
        </w:rPr>
        <w:t>与</w:t>
      </w:r>
    </w:p>
    <w:p>
      <w:pPr>
        <w:autoSpaceDE w:val="0"/>
        <w:autoSpaceDN w:val="0"/>
        <w:jc w:val="left"/>
        <w:spacing w:before="0"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应</w:t>
      </w:r>
      <w:r>
        <w:rPr>
          <w:rFonts w:ascii="宋体" w:hAnsi="宋体" w:cs="宋体" w:eastAsia="宋体" w:hint="ascii"/>
          <w:sz w:val="18"/>
        </w:rPr>
        <w:t>用</w:t>
      </w:r>
    </w:p>
    <w:p>
      <w:pPr>
        <w:autoSpaceDE w:val="0"/>
        <w:autoSpaceDN w:val="0"/>
        <w:jc w:val="left"/>
        <w:spacing w:before="61" w:after="0" w:lineRule="auto" w:line="314"/>
        <w:ind w:right="113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F070109</w:t>
      </w:r>
      <w:r>
        <w:rPr>
          <w:rFonts w:ascii="Times New Roman" w:hAnsi="Times New Roman" w:cs="Times New Roman" w:eastAsia="Times New Roman" w:hint="ascii"/>
          <w:sz w:val="18"/>
          <w:spacing w:val="45"/>
        </w:rPr>
        <w:t xml:space="preserve"> </w:t>
      </w:r>
      <w:r>
        <w:rPr>
          <w:rFonts w:ascii="宋体" w:hAnsi="宋体" w:cs="宋体" w:eastAsia="宋体" w:hint="ascii"/>
          <w:sz w:val="18"/>
        </w:rPr>
        <w:t>学习分析与评测</w:t>
      </w:r>
      <w:r>
        <w:rPr>
          <w:rFonts w:ascii="Times New Roman" w:hAnsi="Times New Roman" w:cs="Times New Roman" w:eastAsia="Times New Roman" w:hint="ascii"/>
          <w:sz w:val="18"/>
        </w:rPr>
        <w:t>F070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4"/>
        </w:rPr>
        <w:t>自</w:t>
      </w:r>
      <w:r>
        <w:rPr>
          <w:rFonts w:ascii="宋体" w:hAnsi="宋体" w:cs="宋体" w:eastAsia="宋体" w:hint="ascii"/>
          <w:sz w:val="18"/>
          <w:spacing w:val="3"/>
        </w:rPr>
        <w:t>适应个性化辅</w:t>
      </w:r>
      <w:r>
        <w:rPr>
          <w:rFonts w:ascii="宋体" w:hAnsi="宋体" w:cs="宋体" w:eastAsia="宋体" w:hint="ascii"/>
          <w:sz w:val="18"/>
        </w:rPr>
        <w:t>助</w:t>
      </w:r>
    </w:p>
    <w:p>
      <w:pPr>
        <w:autoSpaceDE w:val="0"/>
        <w:autoSpaceDN w:val="0"/>
        <w:jc w:val="left"/>
        <w:spacing w:before="4294967295" w:after="0" w:lineRule="exact" w:line="225"/>
        <w:ind w:right="0" w:left="2130" w:firstLine="0"/>
        <w:snapToGrid w:val="0"/>
        <w:textAlignment w:val="auto"/>
        <w:tabs/>
        <w:rPr>
          <w:rFonts w:ascii="宋体" w:hAnsi="宋体" w:cs="宋体" w:eastAsia="宋体" w:hint="ascii"/>
          <w:sz w:val="18"/>
        </w:rPr>
      </w:pPr>
      <w:r>
        <w:rPr>
          <w:rFonts w:ascii="宋体" w:hAnsi="宋体" w:cs="宋体" w:eastAsia="宋体" w:hint="ascii"/>
          <w:sz w:val="18"/>
          <w:spacing w:val="3"/>
        </w:rPr>
        <w:t>学</w:t>
      </w:r>
      <w:r>
        <w:rPr>
          <w:rFonts w:ascii="宋体" w:hAnsi="宋体" w:cs="宋体" w:eastAsia="宋体" w:hint="ascii"/>
          <w:sz w:val="18"/>
        </w:rPr>
        <w:t>习</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F0702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信息与数学交叉问题</w:t>
      </w:r>
    </w:p>
    <w:p>
      <w:pPr>
        <w:autoSpaceDE w:val="0"/>
        <w:autoSpaceDN w:val="0"/>
        <w:jc w:val="left"/>
        <w:spacing w:before="68" w:after="0" w:lineRule="auto" w:line="313"/>
        <w:ind w:right="1130" w:left="1302" w:firstLine="0"/>
        <w:snapToGrid w:val="0"/>
        <w:textAlignment w:val="auto"/>
        <w:tabs/>
        <w:sectPr>
          <w:type w:val="continuous"/>
          <w:pgSz w:w="10940" w:h="15080" w:orient="portrait"/>
          <w:pgMar w:top="508" w:right="508" w:bottom="508" w:left="508" w:header="0" w:footer="0" w:gutter="0"/>
          <w:cols w:num="2" w:space="0" w:equalWidth="0">
            <w:col w:w="4707" w:space="337"/>
            <w:col w:w="488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spacing w:val="-1"/>
        </w:rPr>
        <w:t>F07</w:t>
      </w:r>
      <w:r>
        <w:rPr>
          <w:rFonts w:ascii="Times New Roman" w:hAnsi="Times New Roman" w:cs="Times New Roman" w:eastAsia="Times New Roman" w:hint="ascii"/>
          <w:sz w:val="18"/>
        </w:rPr>
        <w:t>0201</w:t>
      </w:r>
      <w:r>
        <w:rPr>
          <w:rFonts w:ascii="Times New Roman" w:hAnsi="Times New Roman" w:cs="Times New Roman" w:eastAsia="Times New Roman" w:hint="ascii"/>
          <w:sz w:val="18"/>
          <w:spacing w:val="45"/>
        </w:rPr>
        <w:t xml:space="preserve"> </w:t>
      </w:r>
      <w:r>
        <w:rPr>
          <w:rFonts w:ascii="宋体" w:hAnsi="宋体" w:cs="宋体" w:eastAsia="宋体" w:hint="ascii"/>
          <w:sz w:val="18"/>
        </w:rPr>
        <w:t>电子通信与数学交叉</w:t>
      </w:r>
      <w:r>
        <w:rPr>
          <w:rFonts w:ascii="Times New Roman" w:hAnsi="Times New Roman" w:cs="Times New Roman" w:eastAsia="Times New Roman" w:hint="ascii"/>
          <w:sz w:val="18"/>
        </w:rPr>
        <w:t>F070202</w:t>
      </w:r>
      <w:r>
        <w:rPr>
          <w:rFonts w:ascii="Times New Roman" w:hAnsi="Times New Roman" w:cs="Times New Roman" w:eastAsia="Times New Roman" w:hint="ascii"/>
          <w:sz w:val="18"/>
          <w:spacing w:val="45"/>
        </w:rPr>
        <w:t xml:space="preserve"> </w:t>
      </w:r>
      <w:r>
        <w:rPr>
          <w:rFonts w:ascii="宋体" w:hAnsi="宋体" w:cs="宋体" w:eastAsia="宋体" w:hint="ascii"/>
          <w:sz w:val="18"/>
        </w:rPr>
        <w:t>计算机与数学交叉</w:t>
      </w:r>
      <w:r>
        <w:rPr>
          <w:rFonts w:ascii="Times New Roman" w:hAnsi="Times New Roman" w:cs="Times New Roman" w:eastAsia="Times New Roman" w:hint="ascii"/>
          <w:sz w:val="18"/>
        </w:rPr>
        <w:t>F070203</w:t>
      </w:r>
      <w:r>
        <w:rPr>
          <w:rFonts w:ascii="Times New Roman" w:hAnsi="Times New Roman" w:cs="Times New Roman" w:eastAsia="Times New Roman" w:hint="ascii"/>
          <w:sz w:val="18"/>
          <w:spacing w:val="45"/>
        </w:rPr>
        <w:t xml:space="preserve"> </w:t>
      </w:r>
      <w:r>
        <w:rPr>
          <w:rFonts w:ascii="宋体" w:hAnsi="宋体" w:cs="宋体" w:eastAsia="宋体" w:hint="ascii"/>
          <w:sz w:val="18"/>
        </w:rPr>
        <w:t>自动化与数学交叉</w:t>
      </w:r>
      <w:r>
        <w:rPr>
          <w:rFonts w:ascii="Times New Roman" w:hAnsi="Times New Roman" w:cs="Times New Roman" w:eastAsia="Times New Roman" w:hint="ascii"/>
          <w:sz w:val="18"/>
          <w:spacing w:val="-1"/>
        </w:rPr>
        <w:t>F07</w:t>
      </w:r>
      <w:r>
        <w:rPr>
          <w:rFonts w:ascii="Times New Roman" w:hAnsi="Times New Roman" w:cs="Times New Roman" w:eastAsia="Times New Roman" w:hint="ascii"/>
          <w:sz w:val="18"/>
        </w:rPr>
        <w:t>0204</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人工智能与数学交叉</w:t>
      </w:r>
      <w:r>
        <w:rPr>
          <w:rFonts w:ascii="Times New Roman" w:hAnsi="Times New Roman" w:cs="Times New Roman" w:eastAsia="Times New Roman" w:hint="ascii"/>
          <w:sz w:val="18"/>
        </w:rPr>
        <w:t>F070205</w:t>
      </w:r>
      <w:r>
        <w:rPr>
          <w:rFonts w:ascii="Times New Roman" w:hAnsi="Times New Roman" w:cs="Times New Roman" w:eastAsia="Times New Roman" w:hint="ascii"/>
          <w:sz w:val="18"/>
          <w:spacing w:val="45"/>
        </w:rPr>
        <w:t xml:space="preserve"> </w:t>
      </w:r>
      <w:r>
        <w:rPr>
          <w:rFonts w:ascii="宋体" w:hAnsi="宋体" w:cs="宋体" w:eastAsia="宋体" w:hint="ascii"/>
          <w:sz w:val="18"/>
        </w:rPr>
        <w:t>半导体与数学交叉</w:t>
      </w:r>
      <w:r>
        <w:rPr>
          <w:rFonts w:ascii="Times New Roman" w:hAnsi="Times New Roman" w:cs="Times New Roman" w:eastAsia="Times New Roman" w:hint="ascii"/>
          <w:sz w:val="18"/>
        </w:rPr>
        <w:t>F070206</w:t>
      </w:r>
      <w:r>
        <w:rPr>
          <w:rFonts w:ascii="Times New Roman" w:hAnsi="Times New Roman" w:cs="Times New Roman" w:eastAsia="Times New Roman" w:hint="ascii"/>
          <w:sz w:val="18"/>
          <w:spacing w:val="45"/>
        </w:rPr>
        <w:t xml:space="preserve"> </w:t>
      </w:r>
      <w:r>
        <w:rPr>
          <w:rFonts w:ascii="宋体" w:hAnsi="宋体" w:cs="宋体" w:eastAsia="宋体" w:hint="ascii"/>
          <w:sz w:val="18"/>
        </w:rPr>
        <w:t>光学与数学交叉</w:t>
      </w:r>
      <w:rPr>
        <w:rFonts w:ascii="宋体" w:hAnsi="宋体" w:cs="宋体" w:eastAsia="宋体" w:hint="ascii"/>
        <w:sz w:val="18"/>
      </w:rPr>
    </w:p>
    <w:p>
      <w:pPr>
        <w:autoSpaceDE w:val="0"/>
        <w:autoSpaceDN w:val="0"/>
        <w:jc w:val="left"/>
        <w:spacing w:before="462" w:after="0" w:lineRule="auto" w:line="240"/>
        <w:ind w:right="0" w:left="3715"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spacing w:val="1"/>
        </w:rPr>
        <w:t>G</w:t>
      </w:r>
      <w:r>
        <w:rPr>
          <w:rFonts w:ascii="Times New Roman" w:hAnsi="Times New Roman" w:cs="Times New Roman" w:eastAsia="Times New Roman" w:hint="ascii"/>
          <w:b w:val="1"/>
          <w:sz w:val="38"/>
        </w:rPr>
        <w:t xml:space="preserve">. </w:t>
      </w:r>
      <w:r>
        <w:rPr>
          <w:rFonts w:ascii="宋体" w:hAnsi="宋体" w:cs="宋体" w:eastAsia="宋体" w:hint="ascii"/>
          <w:sz w:val="38"/>
        </w:rPr>
        <w:t>管理科学部</w:t>
      </w:r>
      <w:rPr>
        <w:rFonts w:ascii="宋体" w:hAnsi="宋体" w:cs="宋体" w:eastAsia="宋体" w:hint="ascii"/>
        <w:sz w:val="38"/>
      </w:rPr>
    </w:p>
    <w:p>
      <w:pPr>
        <w:autoSpaceDE w:val="0"/>
        <w:autoSpaceDN w:val="0"/>
        <w:jc w:val="left"/>
        <w:spacing w:before="29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G01</w:t>
      </w:r>
      <w:r>
        <w:rPr>
          <w:rFonts w:ascii="Times New Roman" w:hAnsi="Times New Roman" w:cs="Times New Roman" w:eastAsia="Times New Roman" w:hint="ascii"/>
          <w:b w:val="1"/>
          <w:spacing w:val="60"/>
        </w:rPr>
        <w:t xml:space="preserve"> </w:t>
      </w:r>
      <w:r>
        <w:rPr>
          <w:rFonts w:ascii="宋体" w:hAnsi="宋体" w:cs="宋体" w:eastAsia="宋体" w:hint="ascii"/>
        </w:rPr>
        <w:t>管理科学与工程</w:t>
      </w:r>
    </w:p>
    <w:p>
      <w:pPr>
        <w:autoSpaceDE w:val="0"/>
        <w:autoSpaceDN w:val="0"/>
        <w:jc w:val="left"/>
        <w:spacing w:before="8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G0101</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管理</w:t>
      </w:r>
      <w:r>
        <w:rPr>
          <w:rFonts w:ascii="宋体" w:hAnsi="宋体" w:cs="宋体" w:eastAsia="宋体" w:hint="ascii"/>
          <w:sz w:val="18"/>
        </w:rPr>
        <w:t>理论与研究方法论</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运筹与管理</w:t>
      </w:r>
    </w:p>
    <w:p>
      <w:pPr>
        <w:autoSpaceDE w:val="0"/>
        <w:autoSpaceDN w:val="0"/>
        <w:jc w:val="left"/>
        <w:spacing w:before="337" w:after="0" w:lineRule="auto" w:line="240"/>
        <w:ind w:right="0" w:left="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G0103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决策理论与方法</w:t>
      </w:r>
    </w:p>
    <w:p>
      <w:pPr>
        <w:autoSpaceDE w:val="0"/>
        <w:autoSpaceDN w:val="0"/>
        <w:jc w:val="left"/>
        <w:spacing w:before="63"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博弈理论与方法</w:t>
      </w:r>
    </w:p>
    <w:p>
      <w:pPr>
        <w:autoSpaceDE w:val="0"/>
        <w:autoSpaceDN w:val="0"/>
        <w:jc w:val="left"/>
        <w:spacing w:before="63" w:after="0" w:lineRule="auto" w:line="240"/>
        <w:ind w:right="0" w:left="0" w:firstLine="0"/>
        <w:snapToGrid w:val="0"/>
        <w:textAlignment w:val="auto"/>
        <w:tabs/>
        <w:sectPr>
          <w:type w:val="continuous"/>
          <w:pgSz w:w="10940" w:h="15080" w:orient="portrait"/>
          <w:pgMar w:top="508" w:right="508" w:bottom="508" w:left="508" w:header="0" w:footer="0" w:gutter="0"/>
          <w:cols w:num="2" w:space="0" w:equalWidth="0">
            <w:col w:w="4086" w:space="1597"/>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G0105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评价理论与方法</w:t>
      </w:r>
      <w:rPr>
        <w:rFonts w:ascii="宋体" w:hAnsi="宋体" w:cs="宋体" w:eastAsia="宋体" w:hint="ascii"/>
        <w:sz w:val="18"/>
      </w:rPr>
    </w:p>
    <w:p>
      <w:pPr>
        <w:autoSpaceDE w:val="0"/>
        <w:autoSpaceDN w:val="0"/>
        <w:jc w:val="left"/>
        <w:spacing w:before="319"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预测理论与方法</w:t>
      </w:r>
      <w:r>
        <w:rPr>
          <w:rFonts w:ascii="宋体" w:hAnsi="宋体" w:cs="宋体" w:eastAsia="宋体" w:hint="ascii"/>
          <w:sz w:val="18"/>
        </w:rPr>
        <mc:AlternateContent>
          <mc:Choice Requires="wps">
            <w:drawing>
              <wp:anchor distL="0" distR="0" distT="0" distB="0" simplePos="0" behindDoc="1" relativeHeight="751" locked="0" layoutInCell="1" allowOverlap="1">
                <wp:simplePos x="0" y="0"/>
                <wp:positionH relativeFrom="page">
                  <wp:posOffset>938530</wp:posOffset>
                </wp:positionH>
                <wp:positionV relativeFrom="page">
                  <wp:posOffset>805815</wp:posOffset>
                </wp:positionV>
                <wp:extent cx="5076190" cy="0"/>
                <wp:wrapNone/>
                <wp:docPr id="1778" name="1778"/>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0889216;width:399.70pt;" id="1778"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管理统计理论与方法</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管理心理与行为</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管理系统工程</w:t>
      </w:r>
    </w:p>
    <w:p>
      <w:pPr>
        <w:autoSpaceDE w:val="0"/>
        <w:autoSpaceDN w:val="0"/>
        <w:jc w:val="left"/>
        <w:spacing w:before="67" w:after="0" w:lineRule="auto" w:line="314"/>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G010901</w:t>
      </w:r>
      <w:r>
        <w:rPr>
          <w:rFonts w:ascii="Times New Roman" w:hAnsi="Times New Roman" w:cs="Times New Roman" w:eastAsia="Times New Roman" w:hint="ascii"/>
          <w:sz w:val="18"/>
          <w:spacing w:val="45"/>
        </w:rPr>
        <w:t xml:space="preserve"> </w:t>
      </w:r>
      <w:r>
        <w:rPr>
          <w:rFonts w:ascii="宋体" w:hAnsi="宋体" w:cs="宋体" w:eastAsia="宋体" w:hint="ascii"/>
          <w:sz w:val="18"/>
        </w:rPr>
        <w:t>管理系统分析</w:t>
      </w:r>
      <w:r>
        <w:rPr>
          <w:rFonts w:ascii="Times New Roman" w:hAnsi="Times New Roman" w:cs="Times New Roman" w:eastAsia="Times New Roman" w:hint="ascii"/>
          <w:sz w:val="18"/>
          <w:spacing w:val="-1"/>
        </w:rPr>
        <w:t>G010902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管</w:t>
      </w:r>
      <w:r>
        <w:rPr>
          <w:rFonts w:ascii="宋体" w:hAnsi="宋体" w:cs="宋体" w:eastAsia="宋体" w:hint="ascii"/>
          <w:sz w:val="18"/>
        </w:rPr>
        <w:t>理系统计算与仿真</w:t>
      </w:r>
      <w:r>
        <w:rPr>
          <w:rFonts w:ascii="Times New Roman" w:hAnsi="Times New Roman" w:cs="Times New Roman" w:eastAsia="Times New Roman" w:hint="ascii"/>
          <w:sz w:val="18"/>
        </w:rPr>
        <w:t>G010903</w:t>
      </w:r>
      <w:r>
        <w:rPr>
          <w:rFonts w:ascii="Times New Roman" w:hAnsi="Times New Roman" w:cs="Times New Roman" w:eastAsia="Times New Roman" w:hint="ascii"/>
          <w:sz w:val="18"/>
          <w:spacing w:val="45"/>
        </w:rPr>
        <w:t xml:space="preserve"> </w:t>
      </w:r>
      <w:r>
        <w:rPr>
          <w:rFonts w:ascii="宋体" w:hAnsi="宋体" w:cs="宋体" w:eastAsia="宋体" w:hint="ascii"/>
          <w:sz w:val="18"/>
        </w:rPr>
        <w:t>管理系统复杂性</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工业工程与管理</w:t>
      </w:r>
    </w:p>
    <w:p>
      <w:pPr>
        <w:autoSpaceDE w:val="0"/>
        <w:autoSpaceDN w:val="0"/>
        <w:jc w:val="left"/>
        <w:spacing w:before="67" w:after="0" w:lineRule="auto" w:line="313"/>
        <w:ind w:right="742"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物流与供应链理论</w:t>
      </w: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服务科学与工程</w:t>
      </w: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系统可靠性与管理</w:t>
      </w: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信息系统与管理</w:t>
      </w:r>
    </w:p>
    <w:p>
      <w:pPr>
        <w:autoSpaceDE w:val="0"/>
        <w:autoSpaceDN w:val="0"/>
        <w:jc w:val="left"/>
        <w:spacing w:before="0" w:after="0" w:lineRule="auto" w:line="236"/>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信息系统及其管理</w:t>
      </w:r>
    </w:p>
    <w:p>
      <w:pPr>
        <w:autoSpaceDE w:val="0"/>
        <w:autoSpaceDN w:val="0"/>
        <w:jc w:val="left"/>
        <w:spacing w:before="64" w:after="0" w:lineRule="auto" w:line="30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1402</w:t>
      </w:r>
      <w:r>
        <w:rPr>
          <w:rFonts w:ascii="Times New Roman" w:hAnsi="Times New Roman" w:cs="Times New Roman" w:eastAsia="Times New Roman" w:hint="ascii"/>
          <w:sz w:val="18"/>
          <w:spacing w:val="45"/>
        </w:rPr>
        <w:t xml:space="preserve"> </w:t>
      </w:r>
      <w:r>
        <w:rPr>
          <w:rFonts w:ascii="宋体" w:hAnsi="宋体" w:cs="宋体" w:eastAsia="宋体" w:hint="ascii"/>
          <w:sz w:val="18"/>
        </w:rPr>
        <w:t>决策支持系统</w:t>
      </w:r>
      <w:r>
        <w:rPr>
          <w:rFonts w:ascii="Times New Roman" w:hAnsi="Times New Roman" w:cs="Times New Roman" w:eastAsia="Times New Roman" w:hint="ascii"/>
          <w:sz w:val="18"/>
          <w:spacing w:val="-1"/>
        </w:rPr>
        <w:t>G0</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spacing w:val="-1"/>
        </w:rPr>
        <w:t>1</w:t>
      </w:r>
      <w:r>
        <w:rPr>
          <w:rFonts w:ascii="Times New Roman" w:hAnsi="Times New Roman" w:cs="Times New Roman" w:eastAsia="Times New Roman" w:hint="ascii"/>
          <w:sz w:val="18"/>
        </w:rPr>
        <w:t>403</w:t>
      </w:r>
      <w:r>
        <w:rPr>
          <w:rFonts w:ascii="Times New Roman" w:hAnsi="Times New Roman" w:cs="Times New Roman" w:eastAsia="Times New Roman" w:hint="ascii"/>
          <w:sz w:val="18"/>
          <w:spacing w:val="45"/>
        </w:rPr>
        <w:t xml:space="preserve"> </w:t>
      </w:r>
      <w:r>
        <w:rPr>
          <w:rFonts w:ascii="宋体" w:hAnsi="宋体" w:cs="宋体" w:eastAsia="宋体" w:hint="ascii"/>
          <w:sz w:val="18"/>
        </w:rPr>
        <w:t>数据挖掘与商务分析</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知识管理</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风险管理</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金融工程</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工程管理</w:t>
      </w:r>
    </w:p>
    <w:p>
      <w:pPr>
        <w:autoSpaceDE w:val="0"/>
        <w:autoSpaceDN w:val="0"/>
        <w:jc w:val="left"/>
        <w:spacing w:before="63"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交通运输管理</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G02</w:t>
      </w:r>
      <w:r>
        <w:rPr>
          <w:rFonts w:ascii="Times New Roman" w:hAnsi="Times New Roman" w:cs="Times New Roman" w:eastAsia="Times New Roman" w:hint="ascii"/>
          <w:b w:val="1"/>
          <w:spacing w:val="60"/>
        </w:rPr>
        <w:t xml:space="preserve"> </w:t>
      </w:r>
      <w:r>
        <w:rPr>
          <w:rFonts w:ascii="宋体" w:hAnsi="宋体" w:cs="宋体" w:eastAsia="宋体" w:hint="ascii"/>
        </w:rPr>
        <w:t>工商管理</w:t>
      </w:r>
    </w:p>
    <w:p>
      <w:pPr>
        <w:autoSpaceDE w:val="0"/>
        <w:autoSpaceDN w:val="0"/>
        <w:jc w:val="left"/>
        <w:spacing w:before="9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战略管理</w:t>
      </w:r>
    </w:p>
    <w:p>
      <w:pPr>
        <w:autoSpaceDE w:val="0"/>
        <w:autoSpaceDN w:val="0"/>
        <w:jc w:val="left"/>
        <w:spacing w:before="69"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组织理论与组织行为</w:t>
      </w:r>
    </w:p>
    <w:p>
      <w:pPr>
        <w:autoSpaceDE w:val="0"/>
        <w:autoSpaceDN w:val="0"/>
        <w:jc w:val="both"/>
        <w:spacing w:before="67" w:after="0" w:lineRule="auto" w:line="313"/>
        <w:ind w:right="90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G020201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组</w:t>
      </w:r>
      <w:r>
        <w:rPr>
          <w:rFonts w:ascii="宋体" w:hAnsi="宋体" w:cs="宋体" w:eastAsia="宋体" w:hint="ascii"/>
          <w:sz w:val="18"/>
        </w:rPr>
        <w:t>织理论</w:t>
      </w:r>
      <w:r>
        <w:rPr>
          <w:rFonts w:ascii="Times New Roman" w:hAnsi="Times New Roman" w:cs="Times New Roman" w:eastAsia="Times New Roman" w:hint="ascii"/>
          <w:sz w:val="18"/>
          <w:spacing w:val="-1"/>
        </w:rPr>
        <w:t>G020202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组</w:t>
      </w:r>
      <w:r>
        <w:rPr>
          <w:rFonts w:ascii="宋体" w:hAnsi="宋体" w:cs="宋体" w:eastAsia="宋体" w:hint="ascii"/>
          <w:sz w:val="18"/>
        </w:rPr>
        <w:t>织行为</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企业技术管理与创新管理</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人力资源管理</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财务管理</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会计与审计</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市场营销</w:t>
      </w:r>
    </w:p>
    <w:p>
      <w:pPr>
        <w:autoSpaceDE w:val="0"/>
        <w:autoSpaceDN w:val="0"/>
        <w:jc w:val="left"/>
        <w:spacing w:before="67" w:after="0" w:lineRule="auto" w:line="314"/>
        <w:ind w:right="26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G020701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营销模型</w:t>
      </w:r>
      <w:r>
        <w:rPr>
          <w:rFonts w:ascii="Times New Roman" w:hAnsi="Times New Roman" w:cs="Times New Roman" w:eastAsia="Times New Roman" w:hint="ascii"/>
          <w:sz w:val="18"/>
        </w:rPr>
        <w:t>G020702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消费者行为</w:t>
      </w:r>
      <w:r>
        <w:rPr>
          <w:rFonts w:ascii="Times New Roman" w:hAnsi="Times New Roman" w:cs="Times New Roman" w:eastAsia="Times New Roman" w:hint="ascii"/>
          <w:sz w:val="18"/>
        </w:rPr>
        <w:t>G020703</w:t>
      </w:r>
      <w:r>
        <w:rPr>
          <w:rFonts w:ascii="Times New Roman" w:hAnsi="Times New Roman" w:cs="Times New Roman" w:eastAsia="Times New Roman" w:hint="ascii"/>
          <w:sz w:val="18"/>
          <w:spacing w:val="45"/>
        </w:rPr>
        <w:t xml:space="preserve"> </w:t>
      </w:r>
      <w:r>
        <w:rPr>
          <w:rFonts w:ascii="宋体" w:hAnsi="宋体" w:cs="宋体" w:eastAsia="宋体" w:hint="ascii"/>
          <w:sz w:val="18"/>
        </w:rPr>
        <w:t>营销战略</w:t>
      </w:r>
    </w:p>
    <w:p>
      <w:pPr>
        <w:autoSpaceDE w:val="0"/>
        <w:autoSpaceDN w:val="0"/>
        <w:jc w:val="left"/>
        <w:spacing w:before="0" w:after="0" w:lineRule="auto" w:line="239"/>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生产与质量管理</w:t>
      </w:r>
    </w:p>
    <w:p>
      <w:pPr>
        <w:autoSpaceDE w:val="0"/>
        <w:autoSpaceDN w:val="0"/>
        <w:jc w:val="both"/>
        <w:spacing w:before="68" w:after="0" w:lineRule="auto" w:line="313"/>
        <w:ind w:right="90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G020801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生</w:t>
      </w:r>
      <w:r>
        <w:rPr>
          <w:rFonts w:ascii="宋体" w:hAnsi="宋体" w:cs="宋体" w:eastAsia="宋体" w:hint="ascii"/>
          <w:sz w:val="18"/>
        </w:rPr>
        <w:t>产管理</w:t>
      </w:r>
      <w:r>
        <w:rPr>
          <w:rFonts w:ascii="Times New Roman" w:hAnsi="Times New Roman" w:cs="Times New Roman" w:eastAsia="Times New Roman" w:hint="ascii"/>
          <w:sz w:val="18"/>
          <w:spacing w:val="-1"/>
        </w:rPr>
        <w:t>G020802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质</w:t>
      </w:r>
      <w:r>
        <w:rPr>
          <w:rFonts w:ascii="宋体" w:hAnsi="宋体" w:cs="宋体" w:eastAsia="宋体" w:hint="ascii"/>
          <w:sz w:val="18"/>
        </w:rPr>
        <w:t>量管理</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企业信息管理</w:t>
      </w:r>
    </w:p>
    <w:p>
      <w:pPr>
        <w:autoSpaceDE w:val="0"/>
        <w:autoSpaceDN w:val="0"/>
        <w:jc w:val="both"/>
        <w:spacing w:before="68" w:after="0" w:lineRule="auto" w:line="313"/>
        <w:ind w:right="18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G020901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企</w:t>
      </w:r>
      <w:r>
        <w:rPr>
          <w:rFonts w:ascii="宋体" w:hAnsi="宋体" w:cs="宋体" w:eastAsia="宋体" w:hint="ascii"/>
          <w:sz w:val="18"/>
        </w:rPr>
        <w:t>业信息资源管理</w:t>
      </w:r>
      <w:r>
        <w:rPr>
          <w:rFonts w:ascii="Times New Roman" w:hAnsi="Times New Roman" w:cs="Times New Roman" w:eastAsia="Times New Roman" w:hint="ascii"/>
          <w:sz w:val="18"/>
        </w:rPr>
        <w:t>G020902</w:t>
      </w:r>
      <w:r>
        <w:rPr>
          <w:rFonts w:ascii="Times New Roman" w:hAnsi="Times New Roman" w:cs="Times New Roman" w:eastAsia="Times New Roman" w:hint="ascii"/>
          <w:sz w:val="18"/>
          <w:spacing w:val="45"/>
        </w:rPr>
        <w:t xml:space="preserve"> </w:t>
      </w:r>
      <w:r>
        <w:rPr>
          <w:rFonts w:ascii="宋体" w:hAnsi="宋体" w:cs="宋体" w:eastAsia="宋体" w:hint="ascii"/>
          <w:sz w:val="18"/>
        </w:rPr>
        <w:t>商务智能</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电子商务</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运营管理</w:t>
      </w:r>
    </w:p>
    <w:p>
      <w:pPr>
        <w:autoSpaceDE w:val="0"/>
        <w:autoSpaceDN w:val="0"/>
        <w:jc w:val="left"/>
        <w:spacing w:before="71" w:after="0" w:lineRule="auto" w:line="240"/>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G02</w:t>
      </w:r>
      <w:r>
        <w:rPr>
          <w:rFonts w:ascii="Times New Roman" w:hAnsi="Times New Roman" w:cs="Times New Roman" w:eastAsia="Times New Roman" w:hint="ascii"/>
          <w:sz w:val="18"/>
          <w:spacing w:val="-8"/>
        </w:rPr>
        <w:t>1</w:t>
      </w:r>
      <w:r>
        <w:rPr>
          <w:rFonts w:ascii="Times New Roman" w:hAnsi="Times New Roman" w:cs="Times New Roman" w:eastAsia="Times New Roman" w:hint="ascii"/>
          <w:sz w:val="18"/>
        </w:rPr>
        <w:t>101</w:t>
      </w:r>
      <w:r>
        <w:rPr>
          <w:rFonts w:ascii="Times New Roman" w:hAnsi="Times New Roman" w:cs="Times New Roman" w:eastAsia="Times New Roman" w:hint="ascii"/>
          <w:sz w:val="18"/>
          <w:spacing w:val="45"/>
        </w:rPr>
        <w:t xml:space="preserve"> </w:t>
      </w:r>
      <w:r>
        <w:rPr>
          <w:rFonts w:ascii="宋体" w:hAnsi="宋体" w:cs="宋体" w:eastAsia="宋体" w:hint="ascii"/>
          <w:sz w:val="18"/>
          <w:spacing w:val="-10"/>
        </w:rPr>
        <w:t>企业物流与供应链管</w:t>
      </w:r>
      <w:r>
        <w:rPr>
          <w:rFonts w:ascii="宋体" w:hAnsi="宋体" w:cs="宋体" w:eastAsia="宋体" w:hint="ascii"/>
          <w:sz w:val="18"/>
        </w:rPr>
        <w:t>理</w:t>
      </w:r>
    </w:p>
    <w:p>
      <w:pPr>
        <w:autoSpaceDE w:val="0"/>
        <w:autoSpaceDN w:val="0"/>
        <w:jc w:val="left"/>
        <w:spacing w:before="369"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292</w:t>
      </w:r>
      <w:r>
        <w:rPr>
          <w:rFonts w:ascii="宋体" w:hAnsi="宋体" w:cs="宋体" w:eastAsia="宋体" w:hint="ascii"/>
          <w:sz w:val="18"/>
        </w:rPr>
        <w:t>·</w:t>
      </w:r>
    </w:p>
    <w:p>
      <w:pPr>
        <w:autoSpaceDE w:val="0"/>
        <w:autoSpaceDN w:val="0"/>
        <w:jc w:val="left"/>
        <w:spacing w:before="354" w:after="0" w:lineRule="auto" w:line="240"/>
        <w:ind w:right="0" w:left="1302"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sz w:val="18"/>
        </w:rPr>
        <w:t>G02</w:t>
      </w:r>
      <w:r>
        <w:rPr>
          <w:rFonts w:ascii="Times New Roman" w:hAnsi="Times New Roman" w:cs="Times New Roman" w:eastAsia="Times New Roman" w:hint="ascii"/>
          <w:sz w:val="18"/>
          <w:spacing w:val="-7"/>
        </w:rPr>
        <w:t>1</w:t>
      </w:r>
      <w:r>
        <w:rPr>
          <w:rFonts w:ascii="Times New Roman" w:hAnsi="Times New Roman" w:cs="Times New Roman" w:eastAsia="Times New Roman" w:hint="ascii"/>
          <w:sz w:val="18"/>
        </w:rPr>
        <w:t>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服务管理</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项目管理</w:t>
      </w:r>
    </w:p>
    <w:p>
      <w:pPr>
        <w:autoSpaceDE w:val="0"/>
        <w:autoSpaceDN w:val="0"/>
        <w:jc w:val="left"/>
        <w:spacing w:before="7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创业管理</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G0214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国际商务与跨文化管理</w:t>
      </w:r>
    </w:p>
    <w:p>
      <w:pPr>
        <w:autoSpaceDE w:val="0"/>
        <w:autoSpaceDN w:val="0"/>
        <w:jc w:val="left"/>
        <w:spacing w:before="58"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G03</w:t>
      </w:r>
      <w:r>
        <w:rPr>
          <w:rFonts w:ascii="Times New Roman" w:hAnsi="Times New Roman" w:cs="Times New Roman" w:eastAsia="Times New Roman" w:hint="ascii"/>
          <w:b w:val="1"/>
          <w:spacing w:val="60"/>
        </w:rPr>
        <w:t xml:space="preserve"> </w:t>
      </w:r>
      <w:r>
        <w:rPr>
          <w:rFonts w:ascii="宋体" w:hAnsi="宋体" w:cs="宋体" w:eastAsia="宋体" w:hint="ascii"/>
        </w:rPr>
        <w:t>经济科学</w:t>
      </w:r>
    </w:p>
    <w:p>
      <w:pPr>
        <w:autoSpaceDE w:val="0"/>
        <w:autoSpaceDN w:val="0"/>
        <w:jc w:val="left"/>
        <w:spacing w:before="8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博弈论与信息经济</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行为经济与实验经济</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计量经济与经济计算</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经济发展与贸易</w:t>
      </w:r>
    </w:p>
    <w:p>
      <w:pPr>
        <w:autoSpaceDE w:val="0"/>
        <w:autoSpaceDN w:val="0"/>
        <w:jc w:val="both"/>
        <w:spacing w:before="63" w:after="0" w:lineRule="auto" w:line="309"/>
        <w:ind w:right="146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G030401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经</w:t>
      </w:r>
      <w:r>
        <w:rPr>
          <w:rFonts w:ascii="宋体" w:hAnsi="宋体" w:cs="宋体" w:eastAsia="宋体" w:hint="ascii"/>
          <w:sz w:val="18"/>
        </w:rPr>
        <w:t>济增长与发展</w:t>
      </w:r>
      <w:r>
        <w:rPr>
          <w:rFonts w:ascii="Times New Roman" w:hAnsi="Times New Roman" w:cs="Times New Roman" w:eastAsia="Times New Roman" w:hint="ascii"/>
          <w:sz w:val="18"/>
        </w:rPr>
        <w:t>G030402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贸易经济</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货币政策与财税政策</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金融管理</w:t>
      </w:r>
    </w:p>
    <w:p>
      <w:pPr>
        <w:autoSpaceDE w:val="0"/>
        <w:autoSpaceDN w:val="0"/>
        <w:jc w:val="left"/>
        <w:spacing w:before="63" w:after="0" w:lineRule="auto" w:line="309"/>
        <w:ind w:right="11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G030601</w:t>
      </w:r>
      <w:r>
        <w:rPr>
          <w:rFonts w:ascii="Times New Roman" w:hAnsi="Times New Roman" w:cs="Times New Roman" w:eastAsia="Times New Roman" w:hint="ascii"/>
          <w:sz w:val="18"/>
          <w:spacing w:val="45"/>
        </w:rPr>
        <w:t xml:space="preserve"> </w:t>
      </w:r>
      <w:r>
        <w:rPr>
          <w:rFonts w:ascii="宋体" w:hAnsi="宋体" w:cs="宋体" w:eastAsia="宋体" w:hint="ascii"/>
          <w:sz w:val="18"/>
        </w:rPr>
        <w:t>银行体系管理</w:t>
      </w:r>
      <w:r>
        <w:rPr>
          <w:rFonts w:ascii="Times New Roman" w:hAnsi="Times New Roman" w:cs="Times New Roman" w:eastAsia="Times New Roman" w:hint="ascii"/>
          <w:sz w:val="18"/>
        </w:rPr>
        <w:t>G030602</w:t>
      </w:r>
      <w:r>
        <w:rPr>
          <w:rFonts w:ascii="Times New Roman" w:hAnsi="Times New Roman" w:cs="Times New Roman" w:eastAsia="Times New Roman" w:hint="ascii"/>
          <w:sz w:val="18"/>
          <w:spacing w:val="45"/>
        </w:rPr>
        <w:t xml:space="preserve"> </w:t>
      </w:r>
      <w:r>
        <w:rPr>
          <w:rFonts w:ascii="宋体" w:hAnsi="宋体" w:cs="宋体" w:eastAsia="宋体" w:hint="ascii"/>
          <w:sz w:val="18"/>
        </w:rPr>
        <w:t>金融市场管理</w:t>
      </w:r>
      <w:r>
        <w:rPr>
          <w:rFonts w:ascii="Times New Roman" w:hAnsi="Times New Roman" w:cs="Times New Roman" w:eastAsia="Times New Roman" w:hint="ascii"/>
          <w:sz w:val="18"/>
        </w:rPr>
        <w:t>G030603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金融创新管理</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人口资源环境经济与劳动经济</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G030701</w:t>
      </w:r>
      <w:r>
        <w:rPr>
          <w:rFonts w:ascii="Times New Roman" w:hAnsi="Times New Roman" w:cs="Times New Roman" w:eastAsia="Times New Roman" w:hint="ascii"/>
          <w:sz w:val="18"/>
          <w:spacing w:val="45"/>
        </w:rPr>
        <w:t xml:space="preserve"> </w:t>
      </w:r>
      <w:r>
        <w:rPr>
          <w:rFonts w:ascii="宋体" w:hAnsi="宋体" w:cs="宋体" w:eastAsia="宋体" w:hint="ascii"/>
          <w:sz w:val="18"/>
        </w:rPr>
        <w:t>劳动经济</w:t>
      </w:r>
    </w:p>
    <w:p>
      <w:pPr>
        <w:autoSpaceDE w:val="0"/>
        <w:autoSpaceDN w:val="0"/>
        <w:jc w:val="left"/>
        <w:spacing w:before="63"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G030702</w:t>
      </w:r>
      <w:r>
        <w:rPr>
          <w:rFonts w:ascii="Times New Roman" w:hAnsi="Times New Roman" w:cs="Times New Roman" w:eastAsia="Times New Roman" w:hint="ascii"/>
          <w:sz w:val="18"/>
          <w:spacing w:val="45"/>
        </w:rPr>
        <w:t xml:space="preserve"> </w:t>
      </w:r>
      <w:r>
        <w:rPr>
          <w:rFonts w:ascii="宋体" w:hAnsi="宋体" w:cs="宋体" w:eastAsia="宋体" w:hint="ascii"/>
          <w:sz w:val="18"/>
        </w:rPr>
        <w:t>人口资源环境经济</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农林经济管理</w:t>
      </w:r>
    </w:p>
    <w:p>
      <w:pPr>
        <w:autoSpaceDE w:val="0"/>
        <w:autoSpaceDN w:val="0"/>
        <w:jc w:val="left"/>
        <w:spacing w:before="63" w:after="0" w:lineRule="auto" w:line="309"/>
        <w:ind w:right="11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G030801</w:t>
      </w:r>
      <w:r>
        <w:rPr>
          <w:rFonts w:ascii="Times New Roman" w:hAnsi="Times New Roman" w:cs="Times New Roman" w:eastAsia="Times New Roman" w:hint="ascii"/>
          <w:sz w:val="18"/>
          <w:spacing w:val="45"/>
        </w:rPr>
        <w:t xml:space="preserve"> </w:t>
      </w:r>
      <w:r>
        <w:rPr>
          <w:rFonts w:ascii="宋体" w:hAnsi="宋体" w:cs="宋体" w:eastAsia="宋体" w:hint="ascii"/>
          <w:sz w:val="18"/>
        </w:rPr>
        <w:t>林业经济管理</w:t>
      </w:r>
      <w:r>
        <w:rPr>
          <w:rFonts w:ascii="Times New Roman" w:hAnsi="Times New Roman" w:cs="Times New Roman" w:eastAsia="Times New Roman" w:hint="ascii"/>
          <w:sz w:val="18"/>
        </w:rPr>
        <w:t>G030802</w:t>
      </w:r>
      <w:r>
        <w:rPr>
          <w:rFonts w:ascii="Times New Roman" w:hAnsi="Times New Roman" w:cs="Times New Roman" w:eastAsia="Times New Roman" w:hint="ascii"/>
          <w:sz w:val="18"/>
          <w:spacing w:val="45"/>
        </w:rPr>
        <w:t xml:space="preserve"> </w:t>
      </w:r>
      <w:r>
        <w:rPr>
          <w:rFonts w:ascii="宋体" w:hAnsi="宋体" w:cs="宋体" w:eastAsia="宋体" w:hint="ascii"/>
          <w:sz w:val="18"/>
        </w:rPr>
        <w:t>农业经济管理</w:t>
      </w:r>
      <w:r>
        <w:rPr>
          <w:rFonts w:ascii="Times New Roman" w:hAnsi="Times New Roman" w:cs="Times New Roman" w:eastAsia="Times New Roman" w:hint="ascii"/>
          <w:sz w:val="18"/>
        </w:rPr>
        <w:t>G030803</w:t>
      </w:r>
      <w:r>
        <w:rPr>
          <w:rFonts w:ascii="Times New Roman" w:hAnsi="Times New Roman" w:cs="Times New Roman" w:eastAsia="Times New Roman" w:hint="ascii"/>
          <w:sz w:val="18"/>
          <w:spacing w:val="45"/>
        </w:rPr>
        <w:t xml:space="preserve"> </w:t>
      </w:r>
      <w:r>
        <w:rPr>
          <w:rFonts w:ascii="宋体" w:hAnsi="宋体" w:cs="宋体" w:eastAsia="宋体" w:hint="ascii"/>
          <w:sz w:val="18"/>
        </w:rPr>
        <w:t>农村改革与发展</w:t>
      </w:r>
      <w:r>
        <w:rPr>
          <w:rFonts w:ascii="Times New Roman" w:hAnsi="Times New Roman" w:cs="Times New Roman" w:eastAsia="Times New Roman" w:hint="ascii"/>
          <w:sz w:val="18"/>
        </w:rPr>
        <w:t>G030804</w:t>
      </w:r>
      <w:r>
        <w:rPr>
          <w:rFonts w:ascii="Times New Roman" w:hAnsi="Times New Roman" w:cs="Times New Roman" w:eastAsia="Times New Roman" w:hint="ascii"/>
          <w:sz w:val="18"/>
          <w:spacing w:val="45"/>
        </w:rPr>
        <w:t xml:space="preserve"> </w:t>
      </w:r>
      <w:r>
        <w:rPr>
          <w:rFonts w:ascii="宋体" w:hAnsi="宋体" w:cs="宋体" w:eastAsia="宋体" w:hint="ascii"/>
          <w:sz w:val="18"/>
        </w:rPr>
        <w:t>食物经济管理</w:t>
      </w:r>
    </w:p>
    <w:p>
      <w:pPr>
        <w:autoSpaceDE w:val="0"/>
        <w:autoSpaceDN w:val="0"/>
        <w:jc w:val="left"/>
        <w:spacing w:before="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G0309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区域经济与产业经济</w:t>
      </w:r>
    </w:p>
    <w:p>
      <w:pPr>
        <w:autoSpaceDE w:val="0"/>
        <w:autoSpaceDN w:val="0"/>
        <w:jc w:val="both"/>
        <w:spacing w:before="63" w:after="0" w:lineRule="auto" w:line="309"/>
        <w:ind w:right="164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G030901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区</w:t>
      </w:r>
      <w:r>
        <w:rPr>
          <w:rFonts w:ascii="宋体" w:hAnsi="宋体" w:cs="宋体" w:eastAsia="宋体" w:hint="ascii"/>
          <w:sz w:val="18"/>
        </w:rPr>
        <w:t>域经济管理</w:t>
      </w:r>
      <w:r>
        <w:rPr>
          <w:rFonts w:ascii="Times New Roman" w:hAnsi="Times New Roman" w:cs="Times New Roman" w:eastAsia="Times New Roman" w:hint="ascii"/>
          <w:sz w:val="18"/>
          <w:spacing w:val="-1"/>
        </w:rPr>
        <w:t>G030902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产</w:t>
      </w:r>
      <w:r>
        <w:rPr>
          <w:rFonts w:ascii="宋体" w:hAnsi="宋体" w:cs="宋体" w:eastAsia="宋体" w:hint="ascii"/>
          <w:sz w:val="18"/>
        </w:rPr>
        <w:t>业经济管理</w:t>
      </w:r>
    </w:p>
    <w:p>
      <w:pPr>
        <w:autoSpaceDE w:val="0"/>
        <w:autoSpaceDN w:val="0"/>
        <w:jc w:val="left"/>
        <w:spacing w:before="0" w:after="0" w:lineRule="auto" w:line="234"/>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G04</w:t>
      </w:r>
      <w:r>
        <w:rPr>
          <w:rFonts w:ascii="Times New Roman" w:hAnsi="Times New Roman" w:cs="Times New Roman" w:eastAsia="Times New Roman" w:hint="ascii"/>
          <w:b w:val="1"/>
          <w:spacing w:val="60"/>
        </w:rPr>
        <w:t xml:space="preserve"> </w:t>
      </w:r>
      <w:r>
        <w:rPr>
          <w:rFonts w:ascii="宋体" w:hAnsi="宋体" w:cs="宋体" w:eastAsia="宋体" w:hint="ascii"/>
        </w:rPr>
        <w:t>宏观管理与政策</w:t>
      </w:r>
    </w:p>
    <w:p>
      <w:pPr>
        <w:autoSpaceDE w:val="0"/>
        <w:autoSpaceDN w:val="0"/>
        <w:jc w:val="left"/>
        <w:spacing w:before="9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公共管理</w:t>
      </w:r>
    </w:p>
    <w:p>
      <w:pPr>
        <w:autoSpaceDE w:val="0"/>
        <w:autoSpaceDN w:val="0"/>
        <w:jc w:val="left"/>
        <w:spacing w:before="67" w:after="0" w:lineRule="auto" w:line="314"/>
        <w:ind w:right="11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G040101</w:t>
      </w:r>
      <w:r>
        <w:rPr>
          <w:rFonts w:ascii="Times New Roman" w:hAnsi="Times New Roman" w:cs="Times New Roman" w:eastAsia="Times New Roman" w:hint="ascii"/>
          <w:sz w:val="18"/>
          <w:spacing w:val="45"/>
        </w:rPr>
        <w:t xml:space="preserve"> </w:t>
      </w:r>
      <w:r>
        <w:rPr>
          <w:rFonts w:ascii="宋体" w:hAnsi="宋体" w:cs="宋体" w:eastAsia="宋体" w:hint="ascii"/>
          <w:sz w:val="18"/>
        </w:rPr>
        <w:t>公共管理基础理论</w:t>
      </w:r>
      <w:r>
        <w:rPr>
          <w:rFonts w:ascii="Times New Roman" w:hAnsi="Times New Roman" w:cs="Times New Roman" w:eastAsia="Times New Roman" w:hint="ascii"/>
          <w:sz w:val="18"/>
        </w:rPr>
        <w:t>G040102</w:t>
      </w:r>
      <w:r>
        <w:rPr>
          <w:rFonts w:ascii="Times New Roman" w:hAnsi="Times New Roman" w:cs="Times New Roman" w:eastAsia="Times New Roman" w:hint="ascii"/>
          <w:sz w:val="18"/>
          <w:spacing w:val="45"/>
        </w:rPr>
        <w:t xml:space="preserve"> </w:t>
      </w:r>
      <w:r>
        <w:rPr>
          <w:rFonts w:ascii="宋体" w:hAnsi="宋体" w:cs="宋体" w:eastAsia="宋体" w:hint="ascii"/>
          <w:sz w:val="18"/>
        </w:rPr>
        <w:t>政府组织管理</w:t>
      </w:r>
      <w:r>
        <w:rPr>
          <w:rFonts w:ascii="Times New Roman" w:hAnsi="Times New Roman" w:cs="Times New Roman" w:eastAsia="Times New Roman" w:hint="ascii"/>
          <w:sz w:val="18"/>
        </w:rPr>
        <w:t>G040103</w:t>
      </w:r>
      <w:r>
        <w:rPr>
          <w:rFonts w:ascii="Times New Roman" w:hAnsi="Times New Roman" w:cs="Times New Roman" w:eastAsia="Times New Roman" w:hint="ascii"/>
          <w:sz w:val="18"/>
          <w:spacing w:val="45"/>
        </w:rPr>
        <w:t xml:space="preserve"> </w:t>
      </w:r>
      <w:r>
        <w:rPr>
          <w:rFonts w:ascii="宋体" w:hAnsi="宋体" w:cs="宋体" w:eastAsia="宋体" w:hint="ascii"/>
          <w:sz w:val="18"/>
        </w:rPr>
        <w:t>社会与区域治理</w:t>
      </w:r>
    </w:p>
    <w:p>
      <w:pPr>
        <w:autoSpaceDE w:val="0"/>
        <w:autoSpaceDN w:val="0"/>
        <w:jc w:val="left"/>
        <w:spacing w:before="0" w:after="0" w:lineRule="auto" w:line="239"/>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政策科学理论与方法</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非营利组织管理</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科技管理与政策</w:t>
      </w:r>
    </w:p>
    <w:p>
      <w:pPr>
        <w:autoSpaceDE w:val="0"/>
        <w:autoSpaceDN w:val="0"/>
        <w:jc w:val="both"/>
        <w:spacing w:before="67" w:after="0" w:lineRule="auto" w:line="313"/>
        <w:ind w:right="1109"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G040401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1"/>
        </w:rPr>
        <w:t>科</w:t>
      </w:r>
      <w:r>
        <w:rPr>
          <w:rFonts w:ascii="宋体" w:hAnsi="宋体" w:cs="宋体" w:eastAsia="宋体" w:hint="ascii"/>
          <w:sz w:val="18"/>
          <w:spacing w:val="-10"/>
        </w:rPr>
        <w:t>学计量学与科技评</w:t>
      </w:r>
      <w:r>
        <w:rPr>
          <w:rFonts w:ascii="宋体" w:hAnsi="宋体" w:cs="宋体" w:eastAsia="宋体" w:hint="ascii"/>
          <w:sz w:val="18"/>
        </w:rPr>
        <w:t>价</w:t>
      </w:r>
      <w:r>
        <w:rPr>
          <w:rFonts w:ascii="Times New Roman" w:hAnsi="Times New Roman" w:cs="Times New Roman" w:eastAsia="Times New Roman" w:hint="ascii"/>
          <w:sz w:val="18"/>
        </w:rPr>
        <w:t>G040402</w:t>
      </w:r>
      <w:r>
        <w:rPr>
          <w:rFonts w:ascii="Times New Roman" w:hAnsi="Times New Roman" w:cs="Times New Roman" w:eastAsia="Times New Roman" w:hint="ascii"/>
          <w:sz w:val="18"/>
          <w:spacing w:val="45"/>
        </w:rPr>
        <w:t xml:space="preserve"> </w:t>
      </w:r>
      <w:r>
        <w:rPr>
          <w:rFonts w:ascii="宋体" w:hAnsi="宋体" w:cs="宋体" w:eastAsia="宋体" w:hint="ascii"/>
          <w:sz w:val="18"/>
        </w:rPr>
        <w:t>科研管理</w:t>
      </w:r>
    </w:p>
    <w:p>
      <w:pPr>
        <w:autoSpaceDE w:val="0"/>
        <w:autoSpaceDN w:val="0"/>
        <w:jc w:val="left"/>
        <w:spacing w:before="1" w:after="0" w:lineRule="auto" w:line="240"/>
        <w:ind w:right="0" w:left="130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G040403</w:t>
      </w:r>
      <w:r>
        <w:rPr>
          <w:rFonts w:ascii="Times New Roman" w:hAnsi="Times New Roman" w:cs="Times New Roman" w:eastAsia="Times New Roman" w:hint="ascii"/>
          <w:sz w:val="18"/>
          <w:spacing w:val="45"/>
        </w:rPr>
        <w:t xml:space="preserve"> </w:t>
      </w:r>
      <w:r>
        <w:rPr>
          <w:rFonts w:ascii="宋体" w:hAnsi="宋体" w:cs="宋体" w:eastAsia="宋体" w:hint="ascii"/>
          <w:sz w:val="18"/>
        </w:rPr>
        <w:t>知识产权管理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创新管理与政策</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卫生管理与政策</w:t>
      </w:r>
    </w:p>
    <w:p>
      <w:pPr>
        <w:autoSpaceDE w:val="0"/>
        <w:autoSpaceDN w:val="0"/>
        <w:jc w:val="both"/>
        <w:spacing w:before="68" w:after="0" w:lineRule="auto" w:line="313"/>
        <w:ind w:right="2009" w:left="1302" w:firstLine="0"/>
        <w:snapToGrid w:val="0"/>
        <w:textAlignment w:val="auto"/>
        <w:tabs/>
        <w:sectPr>
          <w:type w:val="continuous"/>
          <w:pgSz w:w="10940" w:h="15080" w:orient="portrait"/>
          <w:pgMar w:top="508" w:right="508" w:bottom="508" w:left="508" w:header="0" w:footer="0" w:gutter="0"/>
          <w:cols w:num="2" w:space="0" w:equalWidth="0">
            <w:col w:w="4737" w:space="30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sz w:val="18"/>
          <w:spacing w:val="-1"/>
        </w:rPr>
        <w:t>G040601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卫</w:t>
      </w:r>
      <w:r>
        <w:rPr>
          <w:rFonts w:ascii="宋体" w:hAnsi="宋体" w:cs="宋体" w:eastAsia="宋体" w:hint="ascii"/>
          <w:sz w:val="18"/>
        </w:rPr>
        <w:t>生政策</w:t>
      </w:r>
      <w:r>
        <w:rPr>
          <w:rFonts w:ascii="Times New Roman" w:hAnsi="Times New Roman" w:cs="Times New Roman" w:eastAsia="Times New Roman" w:hint="ascii"/>
          <w:sz w:val="18"/>
          <w:spacing w:val="-1"/>
        </w:rPr>
        <w:t>G040602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药</w:t>
      </w:r>
      <w:r>
        <w:rPr>
          <w:rFonts w:ascii="宋体" w:hAnsi="宋体" w:cs="宋体" w:eastAsia="宋体" w:hint="ascii"/>
          <w:sz w:val="18"/>
        </w:rPr>
        <w:t>事管理</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314"/>
        <w:ind w:right="8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G040603</w:t>
      </w:r>
      <w:r>
        <w:rPr>
          <w:rFonts w:ascii="Times New Roman" w:hAnsi="Times New Roman" w:cs="Times New Roman" w:eastAsia="Times New Roman" w:hint="ascii"/>
          <w:sz w:val="18"/>
          <w:spacing w:val="45"/>
        </w:rPr>
        <w:t xml:space="preserve"> </w:t>
      </w:r>
      <w:r>
        <w:rPr>
          <w:rFonts w:ascii="宋体" w:hAnsi="宋体" w:cs="宋体" w:eastAsia="宋体" w:hint="ascii"/>
          <w:sz w:val="18"/>
        </w:rPr>
        <w:t>医院管理</w:t>
      </w:r>
      <w:r>
        <w:rPr>
          <w:rFonts w:ascii="Times New Roman" w:hAnsi="Times New Roman" w:cs="Times New Roman" w:eastAsia="Times New Roman" w:hint="ascii"/>
          <w:sz w:val="18"/>
        </w:rPr>
        <w:t>G040604</w:t>
      </w:r>
      <w:r>
        <w:rPr>
          <w:rFonts w:ascii="Times New Roman" w:hAnsi="Times New Roman" w:cs="Times New Roman" w:eastAsia="Times New Roman" w:hint="ascii"/>
          <w:sz w:val="18"/>
          <w:spacing w:val="45"/>
        </w:rPr>
        <w:t xml:space="preserve"> </w:t>
      </w:r>
      <w:r>
        <w:rPr>
          <w:rFonts w:ascii="宋体" w:hAnsi="宋体" w:cs="宋体" w:eastAsia="宋体" w:hint="ascii"/>
          <w:sz w:val="18"/>
        </w:rPr>
        <w:t>社区卫生管理</w:t>
      </w:r>
      <w:r>
        <w:rPr>
          <w:rFonts w:ascii="Times New Roman" w:hAnsi="Times New Roman" w:cs="Times New Roman" w:eastAsia="Times New Roman" w:hint="ascii"/>
          <w:sz w:val="18"/>
        </w:rPr>
        <w:t>G040605</w:t>
      </w:r>
      <w:r>
        <w:rPr>
          <w:rFonts w:ascii="Times New Roman" w:hAnsi="Times New Roman" w:cs="Times New Roman" w:eastAsia="Times New Roman" w:hint="ascii"/>
          <w:sz w:val="18"/>
          <w:spacing w:val="45"/>
        </w:rPr>
        <w:t xml:space="preserve"> </w:t>
      </w:r>
      <w:r>
        <w:rPr>
          <w:rFonts w:ascii="宋体" w:hAnsi="宋体" w:cs="宋体" w:eastAsia="宋体" w:hint="ascii"/>
          <w:sz w:val="18"/>
        </w:rPr>
        <w:t>健康服务管理</w:t>
      </w:r>
      <w:r>
        <w:rPr>
          <w:rFonts w:ascii="宋体" w:hAnsi="宋体" w:cs="宋体" w:eastAsia="宋体" w:hint="ascii"/>
          <w:sz w:val="18"/>
        </w:rPr>
        <mc:AlternateContent>
          <mc:Choice Requires="wps">
            <w:drawing>
              <wp:anchor distL="0" distR="0" distT="0" distB="0" simplePos="0" behindDoc="1" relativeHeight="752" locked="0" layoutInCell="1" allowOverlap="1">
                <wp:simplePos x="0" y="0"/>
                <wp:positionH relativeFrom="page">
                  <wp:posOffset>938530</wp:posOffset>
                </wp:positionH>
                <wp:positionV relativeFrom="page">
                  <wp:posOffset>819150</wp:posOffset>
                </wp:positionV>
                <wp:extent cx="5076190" cy="0"/>
                <wp:wrapNone/>
                <wp:docPr id="1779" name="177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0888192;width:399.70pt;" id="1779"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0" w:after="0" w:lineRule="auto" w:line="239"/>
        <w:ind w:right="0" w:left="2268"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G040606</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中</w:t>
      </w:r>
      <w:r>
        <w:rPr>
          <w:rFonts w:ascii="宋体" w:hAnsi="宋体" w:cs="宋体" w:eastAsia="宋体" w:hint="ascii"/>
          <w:sz w:val="18"/>
        </w:rPr>
        <w:t>医药管理与政策</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教育管理与政策</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文化与休闲产业管理</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公共安全与危机管理</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社会福利管理</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环境与生态管理</w:t>
      </w:r>
    </w:p>
    <w:p>
      <w:pPr>
        <w:autoSpaceDE w:val="0"/>
        <w:autoSpaceDN w:val="0"/>
        <w:jc w:val="left"/>
        <w:spacing w:before="327" w:after="0" w:lineRule="auto" w:line="240"/>
        <w:ind w:right="0" w:left="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G0412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资源管理与政策</w:t>
      </w:r>
    </w:p>
    <w:p>
      <w:pPr>
        <w:autoSpaceDE w:val="0"/>
        <w:autoSpaceDN w:val="0"/>
        <w:jc w:val="left"/>
        <w:spacing w:before="67"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区域发展管理</w:t>
      </w:r>
    </w:p>
    <w:p>
      <w:pPr>
        <w:autoSpaceDE w:val="0"/>
        <w:autoSpaceDN w:val="0"/>
        <w:jc w:val="both"/>
        <w:spacing w:before="68" w:after="0" w:lineRule="auto" w:line="313"/>
        <w:ind w:right="128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spacing w:val="-1"/>
        </w:rPr>
        <w:t>G041301</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区</w:t>
      </w:r>
      <w:r>
        <w:rPr>
          <w:rFonts w:ascii="宋体" w:hAnsi="宋体" w:cs="宋体" w:eastAsia="宋体" w:hint="ascii"/>
          <w:sz w:val="18"/>
        </w:rPr>
        <w:t>域发展战略管理</w:t>
      </w:r>
      <w:r>
        <w:rPr>
          <w:rFonts w:ascii="Times New Roman" w:hAnsi="Times New Roman" w:cs="Times New Roman" w:eastAsia="Times New Roman" w:hint="ascii"/>
          <w:sz w:val="18"/>
        </w:rPr>
        <w:t>G041302</w:t>
      </w:r>
      <w:r>
        <w:rPr>
          <w:rFonts w:ascii="Times New Roman" w:hAnsi="Times New Roman" w:cs="Times New Roman" w:eastAsia="Times New Roman" w:hint="ascii"/>
          <w:sz w:val="18"/>
          <w:spacing w:val="45"/>
        </w:rPr>
        <w:t xml:space="preserve"> </w:t>
      </w:r>
      <w:r>
        <w:rPr>
          <w:rFonts w:ascii="宋体" w:hAnsi="宋体" w:cs="宋体" w:eastAsia="宋体" w:hint="ascii"/>
          <w:sz w:val="18"/>
        </w:rPr>
        <w:t>城镇发展与管理</w:t>
      </w:r>
    </w:p>
    <w:p>
      <w:pPr>
        <w:autoSpaceDE w:val="0"/>
        <w:autoSpaceDN w:val="0"/>
        <w:jc w:val="left"/>
        <w:spacing w:before="0" w:after="0" w:lineRule="auto" w:line="240"/>
        <w:ind w:right="0" w:left="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G0414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信息资源管理</w:t>
      </w:r>
    </w:p>
    <w:p>
      <w:pPr>
        <w:autoSpaceDE w:val="0"/>
        <w:autoSpaceDN w:val="0"/>
        <w:jc w:val="left"/>
        <w:spacing w:before="68" w:after="0" w:lineRule="auto" w:line="313"/>
        <w:ind w:right="1109" w:left="662" w:firstLine="0"/>
        <w:snapToGrid w:val="0"/>
        <w:textAlignment w:val="auto"/>
        <w:tabs/>
        <w:rPr>
          <w:rFonts w:ascii="宋体" w:hAnsi="宋体" w:cs="宋体" w:eastAsia="宋体" w:hint="ascii"/>
          <w:sz w:val="18"/>
        </w:rPr>
      </w:pPr>
      <w:r>
        <w:rPr>
          <w:rFonts w:ascii="Times New Roman" w:hAnsi="Times New Roman" w:cs="Times New Roman" w:eastAsia="Times New Roman" w:hint="ascii"/>
          <w:sz w:val="18"/>
        </w:rPr>
        <w:t>G041401</w:t>
      </w:r>
      <w:r>
        <w:rPr>
          <w:rFonts w:ascii="Times New Roman" w:hAnsi="Times New Roman" w:cs="Times New Roman" w:eastAsia="Times New Roman" w:hint="ascii"/>
          <w:sz w:val="18"/>
          <w:spacing w:val="45"/>
        </w:rPr>
        <w:t xml:space="preserve"> </w:t>
      </w:r>
      <w:r>
        <w:rPr>
          <w:rFonts w:ascii="宋体" w:hAnsi="宋体" w:cs="宋体" w:eastAsia="宋体" w:hint="ascii"/>
          <w:sz w:val="18"/>
        </w:rPr>
        <w:t>图书情报档案管理</w:t>
      </w:r>
      <w:r>
        <w:rPr>
          <w:rFonts w:ascii="Times New Roman" w:hAnsi="Times New Roman" w:cs="Times New Roman" w:eastAsia="Times New Roman" w:hint="ascii"/>
          <w:sz w:val="18"/>
          <w:spacing w:val="-1"/>
        </w:rPr>
        <w:t>G041402</w:t>
      </w:r>
      <w:r>
        <w:rPr>
          <w:rFonts w:ascii="Times New Roman" w:hAnsi="Times New Roman" w:cs="Times New Roman" w:eastAsia="Times New Roman" w:hint="ascii"/>
          <w:sz w:val="18"/>
          <w:spacing w:val="44"/>
        </w:rPr>
        <w:t xml:space="preserve"> </w:t>
      </w:r>
      <w:r>
        <w:rPr>
          <w:rFonts w:ascii="宋体" w:hAnsi="宋体" w:cs="宋体" w:eastAsia="宋体" w:hint="ascii"/>
          <w:sz w:val="18"/>
          <w:spacing w:val="-1"/>
        </w:rPr>
        <w:t>社</w:t>
      </w:r>
      <w:r>
        <w:rPr>
          <w:rFonts w:ascii="宋体" w:hAnsi="宋体" w:cs="宋体" w:eastAsia="宋体" w:hint="ascii"/>
          <w:sz w:val="18"/>
        </w:rPr>
        <w:t>会与政府信息资源</w:t>
      </w:r>
    </w:p>
    <w:p>
      <w:pPr>
        <w:autoSpaceDE w:val="0"/>
        <w:autoSpaceDN w:val="0"/>
        <w:jc w:val="left"/>
        <w:spacing w:before="0" w:after="0" w:lineRule="exact" w:line="225"/>
        <w:ind w:right="0" w:left="1490" w:firstLine="0"/>
        <w:snapToGrid w:val="0"/>
        <w:textAlignment w:val="auto"/>
        <w:tabs/>
        <w:rPr>
          <w:rFonts w:ascii="宋体" w:hAnsi="宋体" w:cs="宋体" w:eastAsia="宋体" w:hint="ascii"/>
          <w:sz w:val="18"/>
        </w:rPr>
      </w:pPr>
      <w:r>
        <w:rPr>
          <w:rFonts w:ascii="宋体" w:hAnsi="宋体" w:cs="宋体" w:eastAsia="宋体" w:hint="ascii"/>
          <w:sz w:val="18"/>
        </w:rPr>
        <w:t>管理</w:t>
      </w:r>
    </w:p>
    <w:p>
      <w:pPr>
        <w:autoSpaceDE w:val="0"/>
        <w:autoSpaceDN w:val="0"/>
        <w:jc w:val="left"/>
        <w:spacing w:before="62" w:after="0" w:lineRule="auto" w:line="240"/>
        <w:ind w:right="0" w:left="0" w:firstLine="0"/>
        <w:snapToGrid w:val="0"/>
        <w:textAlignment w:val="auto"/>
        <w:tabs/>
        <w:sectPr>
          <w:type w:val="continuous"/>
          <w:pgSz w:w="10940" w:h="15080" w:orient="portrait"/>
          <w:pgMar w:top="508" w:right="508" w:bottom="508" w:left="508" w:header="0" w:footer="0" w:gutter="0"/>
          <w:cols w:num="2" w:space="0" w:equalWidth="0">
            <w:col w:w="4557" w:space="1126"/>
            <w:col w:w="424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G0415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电子政务</w:t>
      </w:r>
      <w:rPr>
        <w:rFonts w:ascii="宋体" w:hAnsi="宋体" w:cs="宋体" w:eastAsia="宋体" w:hint="ascii"/>
        <w:sz w:val="18"/>
      </w:rPr>
    </w:p>
    <w:p>
      <w:pPr>
        <w:autoSpaceDE w:val="0"/>
        <w:autoSpaceDN w:val="0"/>
        <w:jc w:val="left"/>
        <w:spacing w:before="483" w:after="0" w:lineRule="auto" w:line="240"/>
        <w:ind w:right="0" w:left="3715"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38"/>
        </w:rPr>
      </w:pPr>
      <w:r>
        <w:rPr>
          <w:rFonts w:ascii="Times New Roman" w:hAnsi="Times New Roman" w:cs="Times New Roman" w:eastAsia="Times New Roman" w:hint="ascii"/>
          <w:b w:val="1"/>
          <w:sz w:val="38"/>
          <w:spacing w:val="1"/>
        </w:rPr>
        <w:t>H</w:t>
      </w:r>
      <w:r>
        <w:rPr>
          <w:rFonts w:ascii="Times New Roman" w:hAnsi="Times New Roman" w:cs="Times New Roman" w:eastAsia="Times New Roman" w:hint="ascii"/>
          <w:b w:val="1"/>
          <w:sz w:val="38"/>
        </w:rPr>
        <w:t xml:space="preserve">. </w:t>
      </w:r>
      <w:r>
        <w:rPr>
          <w:rFonts w:ascii="宋体" w:hAnsi="宋体" w:cs="宋体" w:eastAsia="宋体" w:hint="ascii"/>
          <w:sz w:val="38"/>
        </w:rPr>
        <w:t>医学科学部</w:t>
      </w:r>
      <w:rPr>
        <w:rFonts w:ascii="宋体" w:hAnsi="宋体" w:cs="宋体" w:eastAsia="宋体" w:hint="ascii"/>
        <w:sz w:val="38"/>
      </w:rPr>
    </w:p>
    <w:p>
      <w:pPr>
        <w:autoSpaceDE w:val="0"/>
        <w:autoSpaceDN w:val="0"/>
        <w:jc w:val="left"/>
        <w:spacing w:before="301"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H01</w:t>
      </w:r>
      <w:r>
        <w:rPr>
          <w:rFonts w:ascii="Times New Roman" w:hAnsi="Times New Roman" w:cs="Times New Roman" w:eastAsia="Times New Roman" w:hint="ascii"/>
          <w:b w:val="1"/>
          <w:spacing w:val="60"/>
        </w:rPr>
        <w:t xml:space="preserve"> </w:t>
      </w:r>
      <w:r>
        <w:rPr>
          <w:rFonts w:ascii="宋体" w:hAnsi="宋体" w:cs="宋体" w:eastAsia="宋体" w:hint="ascii"/>
        </w:rPr>
        <w:t>呼吸系统</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肺及气道结构、功能与发育异</w:t>
      </w:r>
      <w:r>
        <w:rPr>
          <w:rFonts w:ascii="宋体" w:hAnsi="宋体" w:cs="宋体" w:eastAsia="宋体" w:hint="ascii"/>
          <w:sz w:val="18"/>
        </w:rPr>
        <w:t>常</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呼吸系统遗传性疾病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呼吸调控异常</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呼吸系统炎症与感染</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呼吸系统免疫性疾病及变应性</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肺疾病</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气道重塑与气道疾病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支气管哮喘</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慢性阻塞性肺疾病</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肺循环及肺血管疾病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间质性肺疾病</w:t>
      </w:r>
    </w:p>
    <w:p>
      <w:pPr>
        <w:autoSpaceDE w:val="0"/>
        <w:autoSpaceDN w:val="0"/>
        <w:jc w:val="both"/>
        <w:spacing w:before="67" w:after="0" w:lineRule="auto" w:line="314"/>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H0</w:t>
      </w:r>
      <w:r>
        <w:rPr>
          <w:rFonts w:ascii="Times New Roman" w:hAnsi="Times New Roman" w:cs="Times New Roman" w:eastAsia="Times New Roman" w:hint="ascii"/>
          <w:b w:val="1"/>
          <w:sz w:val="18"/>
          <w:spacing w:val="-11"/>
        </w:rPr>
        <w:t>11</w:t>
      </w:r>
      <w:r>
        <w:rPr>
          <w:rFonts w:ascii="Times New Roman" w:hAnsi="Times New Roman" w:cs="Times New Roman" w:eastAsia="Times New Roman" w:hint="ascii"/>
          <w:b w:val="1"/>
          <w:sz w:val="18"/>
          <w:spacing w:val="-1"/>
        </w:rPr>
        <w:t>1</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9"/>
        </w:rPr>
        <w:t>急性</w:t>
      </w:r>
      <w:r>
        <w:rPr>
          <w:rFonts w:ascii="宋体" w:hAnsi="宋体" w:cs="宋体" w:eastAsia="宋体" w:hint="ascii"/>
          <w:sz w:val="18"/>
          <w:spacing w:val="-8"/>
        </w:rPr>
        <w:t>肺损伤和急性呼吸窘迫综合</w:t>
      </w:r>
      <w:r>
        <w:rPr>
          <w:rFonts w:ascii="宋体" w:hAnsi="宋体" w:cs="宋体" w:eastAsia="宋体" w:hint="ascii"/>
          <w:sz w:val="18"/>
        </w:rPr>
        <w:t>征</w:t>
      </w:r>
      <w:r>
        <w:rPr>
          <w:rFonts w:ascii="Times New Roman" w:hAnsi="Times New Roman" w:cs="Times New Roman" w:eastAsia="Times New Roman" w:hint="ascii"/>
          <w:b w:val="1"/>
          <w:sz w:val="18"/>
        </w:rPr>
        <w:t>H0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呼吸衰竭与呼吸支持</w:t>
      </w:r>
    </w:p>
    <w:p>
      <w:pPr>
        <w:autoSpaceDE w:val="0"/>
        <w:autoSpaceDN w:val="0"/>
        <w:jc w:val="left"/>
        <w:spacing w:before="0" w:after="0" w:lineRule="auto" w:line="238"/>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睡眠呼吸障碍</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纵隔与胸膜疾病</w:t>
      </w:r>
    </w:p>
    <w:p>
      <w:pPr>
        <w:autoSpaceDE w:val="0"/>
        <w:autoSpaceDN w:val="0"/>
        <w:jc w:val="both"/>
        <w:spacing w:before="68" w:after="0" w:lineRule="auto" w:line="313"/>
        <w:ind w:right="58"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H0</w:t>
      </w:r>
      <w:r>
        <w:rPr>
          <w:rFonts w:ascii="Times New Roman" w:hAnsi="Times New Roman" w:cs="Times New Roman" w:eastAsia="Times New Roman" w:hint="ascii"/>
          <w:b w:val="1"/>
          <w:sz w:val="18"/>
          <w:spacing w:val="-11"/>
        </w:rPr>
        <w:t>1</w:t>
      </w:r>
      <w:r>
        <w:rPr>
          <w:rFonts w:ascii="Times New Roman" w:hAnsi="Times New Roman" w:cs="Times New Roman" w:eastAsia="Times New Roman" w:hint="ascii"/>
          <w:b w:val="1"/>
          <w:sz w:val="18"/>
          <w:spacing w:val="-1"/>
        </w:rPr>
        <w:t>15</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胸</w:t>
      </w:r>
      <w:r>
        <w:rPr>
          <w:rFonts w:ascii="宋体" w:hAnsi="宋体" w:cs="宋体" w:eastAsia="宋体" w:hint="ascii"/>
          <w:sz w:val="18"/>
          <w:spacing w:val="-6"/>
        </w:rPr>
        <w:t>廓</w:t>
      </w:r>
      <w:r>
        <w:rPr>
          <w:rFonts w:ascii="Times New Roman" w:hAnsi="Times New Roman" w:cs="Times New Roman" w:eastAsia="Times New Roman" w:hint="ascii"/>
          <w:sz w:val="18"/>
          <w:spacing w:val="-6"/>
        </w:rPr>
        <w:t>/</w:t>
      </w:r>
      <w:r>
        <w:rPr>
          <w:rFonts w:ascii="宋体" w:hAnsi="宋体" w:cs="宋体" w:eastAsia="宋体" w:hint="ascii"/>
          <w:sz w:val="18"/>
          <w:spacing w:val="-7"/>
        </w:rPr>
        <w:t>膈</w:t>
      </w:r>
      <w:r>
        <w:rPr>
          <w:rFonts w:ascii="宋体" w:hAnsi="宋体" w:cs="宋体" w:eastAsia="宋体" w:hint="ascii"/>
          <w:sz w:val="18"/>
          <w:spacing w:val="-6"/>
        </w:rPr>
        <w:t>肌结构、功能及发育异</w:t>
      </w:r>
      <w:r>
        <w:rPr>
          <w:rFonts w:ascii="宋体" w:hAnsi="宋体" w:cs="宋体" w:eastAsia="宋体" w:hint="ascii"/>
          <w:sz w:val="18"/>
        </w:rPr>
        <w:t>常</w:t>
      </w:r>
      <w:r>
        <w:rPr>
          <w:rFonts w:ascii="Times New Roman" w:hAnsi="Times New Roman" w:cs="Times New Roman" w:eastAsia="Times New Roman" w:hint="ascii"/>
          <w:b w:val="1"/>
          <w:sz w:val="18"/>
        </w:rPr>
        <w:t>H0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肺移植和肺保护</w:t>
      </w:r>
    </w:p>
    <w:p>
      <w:pPr>
        <w:autoSpaceDE w:val="0"/>
        <w:autoSpaceDN w:val="0"/>
        <w:jc w:val="left"/>
        <w:spacing w:before="0"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呼吸系统疾病诊疗新技术</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呼吸系统疾病其他科学问题</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H02</w:t>
      </w:r>
      <w:r>
        <w:rPr>
          <w:rFonts w:ascii="Times New Roman" w:hAnsi="Times New Roman" w:cs="Times New Roman" w:eastAsia="Times New Roman" w:hint="ascii"/>
          <w:b w:val="1"/>
          <w:spacing w:val="60"/>
        </w:rPr>
        <w:t xml:space="preserve"> </w:t>
      </w:r>
      <w:r>
        <w:rPr>
          <w:rFonts w:ascii="宋体" w:hAnsi="宋体" w:cs="宋体" w:eastAsia="宋体" w:hint="ascii"/>
        </w:rPr>
        <w:t>循环系统</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心脏结构与功能异常</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循环系统遗传性疾病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心肌细胞</w:t>
      </w:r>
      <w:r>
        <w:rPr>
          <w:rFonts w:ascii="Times New Roman" w:hAnsi="Times New Roman" w:cs="Times New Roman" w:eastAsia="Times New Roman" w:hint="ascii"/>
          <w:b w:val="1"/>
          <w:sz w:val="18"/>
        </w:rPr>
        <w:t>/</w:t>
      </w:r>
      <w:r>
        <w:rPr>
          <w:rFonts w:ascii="宋体" w:hAnsi="宋体" w:cs="宋体" w:eastAsia="宋体" w:hint="ascii"/>
          <w:sz w:val="18"/>
        </w:rPr>
        <w:t>血管细胞损伤、修</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复、重构和再生</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心脏发育异常与先天性心脏病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心电活动异常与心律失常</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冠状动脉性心脏病</w:t>
      </w:r>
    </w:p>
    <w:p>
      <w:pPr>
        <w:autoSpaceDE w:val="0"/>
        <w:autoSpaceDN w:val="0"/>
        <w:jc w:val="left"/>
        <w:spacing w:before="337"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H0207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肺源性心脏病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心肌炎和心肌病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感染性心内膜炎</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心脏瓣膜疾病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心包疾病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心力衰竭</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心脏</w:t>
      </w:r>
      <w:r>
        <w:rPr>
          <w:rFonts w:ascii="Times New Roman" w:hAnsi="Times New Roman" w:cs="Times New Roman" w:eastAsia="Times New Roman" w:hint="ascii"/>
          <w:b w:val="1"/>
          <w:sz w:val="18"/>
        </w:rPr>
        <w:t>/</w:t>
      </w:r>
      <w:r>
        <w:rPr>
          <w:rFonts w:ascii="宋体" w:hAnsi="宋体" w:cs="宋体" w:eastAsia="宋体" w:hint="ascii"/>
          <w:sz w:val="18"/>
        </w:rPr>
        <w:t>血管移植和辅助循环</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血压调节异常与高血压病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动脉粥样硬化与动脉硬化</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主动脉疾病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周围血管疾病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淋巴管与淋巴循环疾病</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微循环与休克</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血管发生异常及血管结构与功</w:t>
      </w:r>
    </w:p>
    <w:p>
      <w:pPr>
        <w:autoSpaceDE w:val="0"/>
        <w:autoSpaceDN w:val="0"/>
        <w:jc w:val="left"/>
        <w:spacing w:before="61"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能异常</w:t>
      </w:r>
    </w:p>
    <w:p>
      <w:pPr>
        <w:autoSpaceDE w:val="0"/>
        <w:autoSpaceDN w:val="0"/>
        <w:jc w:val="left"/>
        <w:spacing w:before="5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循环系统免疫相关疾病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循环系统疾病诊疗新技术</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H0223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循环系统疾病其他科学问题</w:t>
      </w:r>
    </w:p>
    <w:p>
      <w:pPr>
        <w:autoSpaceDE w:val="0"/>
        <w:autoSpaceDN w:val="0"/>
        <w:jc w:val="left"/>
        <w:spacing w:before="33"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H03</w:t>
      </w:r>
      <w:r>
        <w:rPr>
          <w:rFonts w:ascii="Times New Roman" w:hAnsi="Times New Roman" w:cs="Times New Roman" w:eastAsia="Times New Roman" w:hint="ascii"/>
          <w:b w:val="1"/>
          <w:spacing w:val="60"/>
        </w:rPr>
        <w:t xml:space="preserve"> </w:t>
      </w:r>
      <w:r>
        <w:rPr>
          <w:rFonts w:ascii="宋体" w:hAnsi="宋体" w:cs="宋体" w:eastAsia="宋体" w:hint="ascii"/>
        </w:rPr>
        <w:t>消化系统</w:t>
      </w:r>
    </w:p>
    <w:p>
      <w:pPr>
        <w:autoSpaceDE w:val="0"/>
        <w:autoSpaceDN w:val="0"/>
        <w:jc w:val="left"/>
        <w:spacing w:before="79"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消化系统发育异常</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消化系统遗传性疾病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消化道结构与功能异常</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肝胆胰结构与功能异常</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腹壁</w:t>
      </w:r>
      <w:r>
        <w:rPr>
          <w:rFonts w:ascii="Times New Roman" w:hAnsi="Times New Roman" w:cs="Times New Roman" w:eastAsia="Times New Roman" w:hint="ascii"/>
          <w:b w:val="1"/>
          <w:sz w:val="18"/>
        </w:rPr>
        <w:t>/</w:t>
      </w:r>
      <w:r>
        <w:rPr>
          <w:rFonts w:ascii="宋体" w:hAnsi="宋体" w:cs="宋体" w:eastAsia="宋体" w:hint="ascii"/>
          <w:sz w:val="18"/>
        </w:rPr>
        <w:t>腹膜结构及功能异常</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消化道内环境紊乱、黏膜屏障</w:t>
      </w:r>
    </w:p>
    <w:p>
      <w:pPr>
        <w:autoSpaceDE w:val="0"/>
        <w:autoSpaceDN w:val="0"/>
        <w:jc w:val="left"/>
        <w:spacing w:before="62"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障碍及相关疾病</w:t>
      </w:r>
    </w:p>
    <w:p>
      <w:pPr>
        <w:autoSpaceDE w:val="0"/>
        <w:autoSpaceDN w:val="0"/>
        <w:jc w:val="left"/>
        <w:spacing w:before="55"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消化道动力异常及功能性胃肠</w:t>
      </w:r>
      <w:r>
        <w:rPr>
          <w:rFonts w:ascii="宋体" w:hAnsi="宋体" w:cs="宋体" w:eastAsia="宋体" w:hint="ascii"/>
          <w:sz w:val="18"/>
        </w:rPr>
        <w:t>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消化系统内分泌及神经体液调</w:t>
      </w:r>
    </w:p>
    <w:p>
      <w:pPr>
        <w:autoSpaceDE w:val="0"/>
        <w:autoSpaceDN w:val="0"/>
        <w:jc w:val="left"/>
        <w:spacing w:before="62" w:after="0" w:lineRule="exact" w:line="225"/>
        <w:ind w:right="0" w:left="1301" w:firstLine="0"/>
        <w:snapToGrid w:val="0"/>
        <w:textAlignment w:val="auto"/>
        <w:tabs/>
        <w:sectPr>
          <w:type w:val="continuous"/>
          <w:pgSz w:w="10940" w:h="15080" w:orient="portrait"/>
          <w:pgMar w:top="508" w:right="508" w:bottom="508" w:left="508" w:header="0" w:footer="0" w:gutter="0"/>
          <w:cols w:num="2" w:space="0" w:equalWidth="0">
            <w:col w:w="4741" w:space="302"/>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节异常</w:t>
      </w:r>
      <w:rPr>
        <w:rFonts w:ascii="宋体" w:hAnsi="宋体" w:cs="宋体" w:eastAsia="宋体" w:hint="ascii"/>
        <w:sz w:val="18"/>
      </w:rPr>
    </w:p>
    <w:p>
      <w:pPr>
        <w:autoSpaceDE w:val="0"/>
        <w:autoSpaceDN w:val="0"/>
        <w:jc w:val="left"/>
        <w:spacing w:before="455"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293</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胃酸分泌异常及酸相关性疾病</w:t>
      </w:r>
      <w:r>
        <w:rPr>
          <w:rFonts w:ascii="宋体" w:hAnsi="宋体" w:cs="宋体" w:eastAsia="宋体" w:hint="ascii"/>
          <w:sz w:val="18"/>
        </w:rPr>
        <mc:AlternateContent>
          <mc:Choice Requires="wps">
            <w:drawing>
              <wp:anchor distL="0" distR="0" distT="0" distB="0" simplePos="0" behindDoc="1" relativeHeight="753" locked="0" layoutInCell="1" allowOverlap="1">
                <wp:simplePos x="0" y="0"/>
                <wp:positionH relativeFrom="page">
                  <wp:posOffset>938530</wp:posOffset>
                </wp:positionH>
                <wp:positionV relativeFrom="page">
                  <wp:posOffset>805815</wp:posOffset>
                </wp:positionV>
                <wp:extent cx="5076190" cy="0"/>
                <wp:wrapNone/>
                <wp:docPr id="1780" name="1780"/>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0887168;width:399.70pt;" id="1780"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胃肠道免疫相关疾病</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消化</w:t>
      </w:r>
      <w:r>
        <w:rPr>
          <w:rFonts w:ascii="宋体" w:hAnsi="宋体" w:cs="宋体" w:eastAsia="宋体" w:hint="ascii"/>
          <w:sz w:val="18"/>
          <w:spacing w:val="-7"/>
        </w:rPr>
        <w:t>系</w:t>
      </w:r>
      <w:r>
        <w:rPr>
          <w:rFonts w:ascii="宋体" w:hAnsi="宋体" w:cs="宋体" w:eastAsia="宋体" w:hint="ascii"/>
          <w:sz w:val="18"/>
          <w:spacing w:val="-6"/>
        </w:rPr>
        <w:t>统血管及循环障碍性疾</w:t>
      </w:r>
      <w:r>
        <w:rPr>
          <w:rFonts w:ascii="宋体" w:hAnsi="宋体" w:cs="宋体" w:eastAsia="宋体" w:hint="ascii"/>
          <w:sz w:val="18"/>
        </w:rPr>
        <w:t>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胃肠道及腹腔感染性疾病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肝胆胰免疫及相关疾病</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肝脏代谢障碍及相关疾病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药物、毒物及酒精性消化系统</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疾病</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炎性及感染性肝病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H0317</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肝纤</w:t>
      </w:r>
      <w:r>
        <w:rPr>
          <w:rFonts w:ascii="宋体" w:hAnsi="宋体" w:cs="宋体" w:eastAsia="宋体" w:hint="ascii"/>
          <w:sz w:val="18"/>
          <w:spacing w:val="-6"/>
        </w:rPr>
        <w:t>维化、肝硬化与门脉高压</w:t>
      </w:r>
      <w:r>
        <w:rPr>
          <w:rFonts w:ascii="宋体" w:hAnsi="宋体" w:cs="宋体" w:eastAsia="宋体" w:hint="ascii"/>
          <w:sz w:val="18"/>
        </w:rPr>
        <w:t>症</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肝再生、肝保护、肝衰竭、人</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工肝</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胆石成因、胆石症及胆道系统</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炎症</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胰腺外分泌功能异常与胰腺炎</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消化系统器官移植</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消化系统疾病诊疗新技术</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H0323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消化系统疾病其他科学问题</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H04</w:t>
      </w:r>
      <w:r>
        <w:rPr>
          <w:rFonts w:ascii="Times New Roman" w:hAnsi="Times New Roman" w:cs="Times New Roman" w:eastAsia="Times New Roman" w:hint="ascii"/>
          <w:b w:val="1"/>
          <w:spacing w:val="60"/>
        </w:rPr>
        <w:t xml:space="preserve"> </w:t>
      </w:r>
      <w:r>
        <w:rPr>
          <w:rFonts w:ascii="宋体" w:hAnsi="宋体" w:cs="宋体" w:eastAsia="宋体" w:hint="ascii"/>
        </w:rPr>
        <w:t>生殖系统</w:t>
      </w:r>
      <w:r>
        <w:rPr>
          <w:rFonts w:ascii="Times New Roman" w:hAnsi="Times New Roman" w:cs="Times New Roman" w:eastAsia="Times New Roman" w:hint="ascii"/>
          <w:b w:val="1"/>
        </w:rPr>
        <w:t>/</w:t>
      </w:r>
      <w:r>
        <w:rPr>
          <w:rFonts w:ascii="宋体" w:hAnsi="宋体" w:cs="宋体" w:eastAsia="宋体" w:hint="ascii"/>
        </w:rPr>
        <w:t>围生医学</w:t>
      </w:r>
      <w:r>
        <w:rPr>
          <w:rFonts w:ascii="Times New Roman" w:hAnsi="Times New Roman" w:cs="Times New Roman" w:eastAsia="Times New Roman" w:hint="ascii"/>
          <w:b w:val="1"/>
        </w:rPr>
        <w:t>/</w:t>
      </w:r>
      <w:r>
        <w:rPr>
          <w:rFonts w:ascii="宋体" w:hAnsi="宋体" w:cs="宋体" w:eastAsia="宋体" w:hint="ascii"/>
        </w:rPr>
        <w:t>新生儿</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女性生殖系统结构、功能与发</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育异常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女性生殖系统损伤与修复</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女性生殖系统炎症与感染</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H0404</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女性</w:t>
      </w:r>
      <w:r>
        <w:rPr>
          <w:rFonts w:ascii="宋体" w:hAnsi="宋体" w:cs="宋体" w:eastAsia="宋体" w:hint="ascii"/>
          <w:sz w:val="18"/>
          <w:spacing w:val="-6"/>
        </w:rPr>
        <w:t>生殖内分泌异常及相关疾</w:t>
      </w:r>
      <w:r>
        <w:rPr>
          <w:rFonts w:ascii="宋体" w:hAnsi="宋体" w:cs="宋体" w:eastAsia="宋体" w:hint="ascii"/>
          <w:sz w:val="18"/>
        </w:rPr>
        <w:t>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女性生殖系统遗传性疾病</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子宫内膜异位症与子宫腺肌症</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女性盆底功能障碍</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女性性功能障碍</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乳腺结构、功能及发育异常</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男性生殖系统结构、功能与发</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育异常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男性生殖系统损伤与修复</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男性生殖系统炎症与感染</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H0413</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男性</w:t>
      </w:r>
      <w:r>
        <w:rPr>
          <w:rFonts w:ascii="宋体" w:hAnsi="宋体" w:cs="宋体" w:eastAsia="宋体" w:hint="ascii"/>
          <w:sz w:val="18"/>
          <w:spacing w:val="-6"/>
        </w:rPr>
        <w:t>生殖内分泌异常及相关疾</w:t>
      </w:r>
      <w:r>
        <w:rPr>
          <w:rFonts w:ascii="宋体" w:hAnsi="宋体" w:cs="宋体" w:eastAsia="宋体" w:hint="ascii"/>
          <w:sz w:val="18"/>
        </w:rPr>
        <w:t>病</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男性生殖系统遗传性疾病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男性性功能障碍</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卵子发生与受精异常</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胚胎着床及早期胚胎发育异常</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胎盘结构与功能异常</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胎儿发育与产前诊断</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妊娠及妊娠相关性疾病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分娩与产褥</w:t>
      </w:r>
    </w:p>
    <w:p>
      <w:pPr>
        <w:autoSpaceDE w:val="0"/>
        <w:autoSpaceDN w:val="0"/>
        <w:jc w:val="left"/>
        <w:spacing w:before="339"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294</w:t>
      </w:r>
      <w:r>
        <w:rPr>
          <w:rFonts w:ascii="宋体" w:hAnsi="宋体" w:cs="宋体" w:eastAsia="宋体" w:hint="ascii"/>
          <w:sz w:val="18"/>
        </w:rPr>
        <w:t>·</w:t>
      </w:r>
    </w:p>
    <w:p>
      <w:pPr>
        <w:autoSpaceDE w:val="0"/>
        <w:autoSpaceDN w:val="0"/>
        <w:jc w:val="left"/>
        <w:spacing w:before="354"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H0422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新生儿相关疾病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避孕、节育与妊娠终止</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精子发生异常与男性不育</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女性不孕不育与辅助生殖</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生殖医学工程</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生殖免疫相关疾病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生殖系统移植</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H0429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生殖系统</w:t>
      </w:r>
      <w:r>
        <w:rPr>
          <w:rFonts w:ascii="Times New Roman" w:hAnsi="Times New Roman" w:cs="Times New Roman" w:eastAsia="Times New Roman" w:hint="ascii"/>
          <w:b w:val="1"/>
          <w:sz w:val="18"/>
        </w:rPr>
        <w:t>/</w:t>
      </w:r>
      <w:r>
        <w:rPr>
          <w:rFonts w:ascii="宋体" w:hAnsi="宋体" w:cs="宋体" w:eastAsia="宋体" w:hint="ascii"/>
          <w:sz w:val="18"/>
        </w:rPr>
        <w:t>围生医学</w:t>
      </w:r>
      <w:r>
        <w:rPr>
          <w:rFonts w:ascii="Times New Roman" w:hAnsi="Times New Roman" w:cs="Times New Roman" w:eastAsia="Times New Roman" w:hint="ascii"/>
          <w:b w:val="1"/>
          <w:sz w:val="18"/>
        </w:rPr>
        <w:t>/</w:t>
      </w:r>
      <w:r>
        <w:rPr>
          <w:rFonts w:ascii="宋体" w:hAnsi="宋体" w:cs="宋体" w:eastAsia="宋体" w:hint="ascii"/>
          <w:sz w:val="18"/>
        </w:rPr>
        <w:t>新生儿疾病</w:t>
      </w:r>
    </w:p>
    <w:p>
      <w:pPr>
        <w:autoSpaceDE w:val="0"/>
        <w:autoSpaceDN w:val="0"/>
        <w:jc w:val="left"/>
        <w:spacing w:before="68"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相关诊疗新技术</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H0430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生殖系统</w:t>
      </w:r>
      <w:r>
        <w:rPr>
          <w:rFonts w:ascii="Times New Roman" w:hAnsi="Times New Roman" w:cs="Times New Roman" w:eastAsia="Times New Roman" w:hint="ascii"/>
          <w:b w:val="1"/>
          <w:sz w:val="18"/>
        </w:rPr>
        <w:t>/</w:t>
      </w:r>
      <w:r>
        <w:rPr>
          <w:rFonts w:ascii="宋体" w:hAnsi="宋体" w:cs="宋体" w:eastAsia="宋体" w:hint="ascii"/>
          <w:sz w:val="18"/>
        </w:rPr>
        <w:t>围生医学</w:t>
      </w:r>
      <w:r>
        <w:rPr>
          <w:rFonts w:ascii="Times New Roman" w:hAnsi="Times New Roman" w:cs="Times New Roman" w:eastAsia="Times New Roman" w:hint="ascii"/>
          <w:b w:val="1"/>
          <w:sz w:val="18"/>
        </w:rPr>
        <w:t>/</w:t>
      </w:r>
      <w:r>
        <w:rPr>
          <w:rFonts w:ascii="宋体" w:hAnsi="宋体" w:cs="宋体" w:eastAsia="宋体" w:hint="ascii"/>
          <w:sz w:val="18"/>
        </w:rPr>
        <w:t>新生儿疾病</w:t>
      </w:r>
    </w:p>
    <w:p>
      <w:pPr>
        <w:autoSpaceDE w:val="0"/>
        <w:autoSpaceDN w:val="0"/>
        <w:jc w:val="left"/>
        <w:spacing w:before="6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其他科学问题</w:t>
      </w:r>
    </w:p>
    <w:p>
      <w:pPr>
        <w:autoSpaceDE w:val="0"/>
        <w:autoSpaceDN w:val="0"/>
        <w:jc w:val="left"/>
        <w:spacing w:before="52"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H05</w:t>
      </w:r>
      <w:r>
        <w:rPr>
          <w:rFonts w:ascii="Times New Roman" w:hAnsi="Times New Roman" w:cs="Times New Roman" w:eastAsia="Times New Roman" w:hint="ascii"/>
          <w:b w:val="1"/>
          <w:spacing w:val="60"/>
        </w:rPr>
        <w:t xml:space="preserve"> </w:t>
      </w:r>
      <w:r>
        <w:rPr>
          <w:rFonts w:ascii="宋体" w:hAnsi="宋体" w:cs="宋体" w:eastAsia="宋体" w:hint="ascii"/>
        </w:rPr>
        <w:t>泌尿系统</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泌尿系统结构、功能与发育异</w:t>
      </w:r>
      <w:r>
        <w:rPr>
          <w:rFonts w:ascii="宋体" w:hAnsi="宋体" w:cs="宋体" w:eastAsia="宋体" w:hint="ascii"/>
          <w:sz w:val="18"/>
        </w:rPr>
        <w:t>常</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泌尿系统遗传性疾病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泌尿系统损伤与修复</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泌尿系统感染</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泌尿系统免疫相关疾病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泌尿系统结石</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肾脏物质转运异常</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肾脏内分泌功能异常</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原发性肾脏疾病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继发性肾脏疾病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肾衰竭</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肾移植</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前列腺疾病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膀胱疾病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尿动力学</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血液净化和替代治疗</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泌尿系统疾病诊疗新技术</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H0518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泌尿系统疾病其他科学问题</w:t>
      </w:r>
    </w:p>
    <w:p>
      <w:pPr>
        <w:autoSpaceDE w:val="0"/>
        <w:autoSpaceDN w:val="0"/>
        <w:jc w:val="left"/>
        <w:spacing w:before="57"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H06</w:t>
      </w:r>
      <w:r>
        <w:rPr>
          <w:rFonts w:ascii="Times New Roman" w:hAnsi="Times New Roman" w:cs="Times New Roman" w:eastAsia="Times New Roman" w:hint="ascii"/>
          <w:b w:val="1"/>
          <w:spacing w:val="60"/>
        </w:rPr>
        <w:t xml:space="preserve"> </w:t>
      </w:r>
      <w:r>
        <w:rPr>
          <w:rFonts w:ascii="宋体" w:hAnsi="宋体" w:cs="宋体" w:eastAsia="宋体" w:hint="ascii"/>
        </w:rPr>
        <w:t>运动系统</w:t>
      </w:r>
    </w:p>
    <w:p>
      <w:pPr>
        <w:autoSpaceDE w:val="0"/>
        <w:autoSpaceDN w:val="0"/>
        <w:jc w:val="left"/>
        <w:spacing w:before="8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w:t>
      </w:r>
      <w:r>
        <w:rPr>
          <w:rFonts w:ascii="宋体" w:hAnsi="宋体" w:cs="宋体" w:eastAsia="宋体" w:hint="ascii"/>
          <w:sz w:val="18"/>
          <w:spacing w:val="-6"/>
        </w:rPr>
        <w:t>动系统结构、功能和发育异</w:t>
      </w:r>
      <w:r>
        <w:rPr>
          <w:rFonts w:ascii="宋体" w:hAnsi="宋体" w:cs="宋体" w:eastAsia="宋体" w:hint="ascii"/>
          <w:sz w:val="18"/>
        </w:rPr>
        <w:t>常</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运动系统遗传性疾病</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运动系统免疫相关疾病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骨、关节、软组织医用材料</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骨、关节、软组织损伤与修复</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骨、关节、软组织移植与重建</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骨、关节、软组织感染</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骨、关节、软组织疲劳与恢复</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骨、关节、软组织退行性病变</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骨、关节、软组织运动损伤</w:t>
      </w:r>
    </w:p>
    <w:p>
      <w:pPr>
        <w:autoSpaceDE w:val="0"/>
        <w:autoSpaceDN w:val="0"/>
        <w:jc w:val="left"/>
        <w:spacing w:before="65"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649" w:space="394"/>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H06</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运动系统畸形与矫正</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运动系统疾病诊疗新技术</w:t>
      </w:r>
      <w:r>
        <w:rPr>
          <w:rFonts w:ascii="宋体" w:hAnsi="宋体" w:cs="宋体" w:eastAsia="宋体" w:hint="ascii"/>
          <w:sz w:val="18"/>
        </w:rPr>
        <mc:AlternateContent>
          <mc:Choice Requires="wps">
            <w:drawing>
              <wp:anchor distL="0" distR="0" distT="0" distB="0" simplePos="0" behindDoc="1" relativeHeight="754" locked="0" layoutInCell="1" allowOverlap="1">
                <wp:simplePos x="0" y="0"/>
                <wp:positionH relativeFrom="page">
                  <wp:posOffset>938530</wp:posOffset>
                </wp:positionH>
                <wp:positionV relativeFrom="page">
                  <wp:posOffset>819150</wp:posOffset>
                </wp:positionV>
                <wp:extent cx="5076190" cy="0"/>
                <wp:wrapNone/>
                <wp:docPr id="1781" name="178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0886144;width:399.70pt;" id="1781"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H0613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运动系统疾病其他科学问题</w:t>
      </w:r>
    </w:p>
    <w:p>
      <w:pPr>
        <w:autoSpaceDE w:val="0"/>
        <w:autoSpaceDN w:val="0"/>
        <w:jc w:val="left"/>
        <w:spacing w:before="58"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H07</w:t>
      </w:r>
      <w:r>
        <w:rPr>
          <w:rFonts w:ascii="Times New Roman" w:hAnsi="Times New Roman" w:cs="Times New Roman" w:eastAsia="Times New Roman" w:hint="ascii"/>
          <w:b w:val="1"/>
          <w:spacing w:val="60"/>
        </w:rPr>
        <w:t xml:space="preserve"> </w:t>
      </w:r>
      <w:r>
        <w:rPr>
          <w:rFonts w:ascii="宋体" w:hAnsi="宋体" w:cs="宋体" w:eastAsia="宋体" w:hint="ascii"/>
        </w:rPr>
        <w:t>内分泌系统</w:t>
      </w:r>
      <w:r>
        <w:rPr>
          <w:rFonts w:ascii="Times New Roman" w:hAnsi="Times New Roman" w:cs="Times New Roman" w:eastAsia="Times New Roman" w:hint="ascii"/>
          <w:b w:val="1"/>
        </w:rPr>
        <w:t>/</w:t>
      </w:r>
      <w:r>
        <w:rPr>
          <w:rFonts w:ascii="宋体" w:hAnsi="宋体" w:cs="宋体" w:eastAsia="宋体" w:hint="ascii"/>
        </w:rPr>
        <w:t>代谢和营养支持</w:t>
      </w:r>
    </w:p>
    <w:p>
      <w:pPr>
        <w:autoSpaceDE w:val="0"/>
        <w:autoSpaceDN w:val="0"/>
        <w:jc w:val="left"/>
        <w:spacing w:before="9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H0701</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松果</w:t>
      </w:r>
      <w:r>
        <w:rPr>
          <w:rFonts w:ascii="宋体" w:hAnsi="宋体" w:cs="宋体" w:eastAsia="宋体" w:hint="ascii"/>
          <w:sz w:val="18"/>
        </w:rPr>
        <w:t>体</w:t>
      </w:r>
      <w:r>
        <w:rPr>
          <w:rFonts w:ascii="Times New Roman" w:hAnsi="Times New Roman" w:cs="Times New Roman" w:eastAsia="Times New Roman" w:hint="ascii"/>
          <w:b w:val="1"/>
          <w:sz w:val="18"/>
        </w:rPr>
        <w:t>/</w:t>
      </w:r>
      <w:r>
        <w:rPr>
          <w:rFonts w:ascii="宋体" w:hAnsi="宋体" w:cs="宋体" w:eastAsia="宋体" w:hint="ascii"/>
          <w:sz w:val="18"/>
        </w:rPr>
        <w:t>下丘脑</w:t>
      </w:r>
      <w:r>
        <w:rPr>
          <w:rFonts w:ascii="Times New Roman" w:hAnsi="Times New Roman" w:cs="Times New Roman" w:eastAsia="Times New Roman" w:hint="ascii"/>
          <w:b w:val="1"/>
          <w:sz w:val="18"/>
        </w:rPr>
        <w:t>/</w:t>
      </w:r>
      <w:r>
        <w:rPr>
          <w:rFonts w:ascii="宋体" w:hAnsi="宋体" w:cs="宋体" w:eastAsia="宋体" w:hint="ascii"/>
          <w:sz w:val="18"/>
        </w:rPr>
        <w:t>垂体发育及结构</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甲状腺</w:t>
      </w:r>
      <w:r>
        <w:rPr>
          <w:rFonts w:ascii="Times New Roman" w:hAnsi="Times New Roman" w:cs="Times New Roman" w:eastAsia="Times New Roman" w:hint="ascii"/>
          <w:sz w:val="18"/>
          <w:spacing w:val="-7"/>
        </w:rPr>
        <w:t>/</w:t>
      </w:r>
      <w:r>
        <w:rPr>
          <w:rFonts w:ascii="宋体" w:hAnsi="宋体" w:cs="宋体" w:eastAsia="宋体" w:hint="ascii"/>
          <w:sz w:val="18"/>
          <w:spacing w:val="-6"/>
        </w:rPr>
        <w:t>甲状旁腺发育及结构异</w:t>
      </w:r>
      <w:r>
        <w:rPr>
          <w:rFonts w:ascii="宋体" w:hAnsi="宋体" w:cs="宋体" w:eastAsia="宋体" w:hint="ascii"/>
          <w:sz w:val="18"/>
        </w:rPr>
        <w:t>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肾上腺发育及结构异常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胰岛发育、胰岛细胞分化再生</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及功能调控异常与胰岛移植</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内分泌系统炎症与感染</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内分泌系统遗传性疾病</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内分泌系统免疫相关疾病</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H0708</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松果</w:t>
      </w:r>
      <w:r>
        <w:rPr>
          <w:rFonts w:ascii="宋体" w:hAnsi="宋体" w:cs="宋体" w:eastAsia="宋体" w:hint="ascii"/>
          <w:sz w:val="18"/>
        </w:rPr>
        <w:t>体</w:t>
      </w:r>
      <w:r>
        <w:rPr>
          <w:rFonts w:ascii="Times New Roman" w:hAnsi="Times New Roman" w:cs="Times New Roman" w:eastAsia="Times New Roman" w:hint="ascii"/>
          <w:b w:val="1"/>
          <w:sz w:val="18"/>
        </w:rPr>
        <w:t>/</w:t>
      </w:r>
      <w:r>
        <w:rPr>
          <w:rFonts w:ascii="宋体" w:hAnsi="宋体" w:cs="宋体" w:eastAsia="宋体" w:hint="ascii"/>
          <w:sz w:val="18"/>
        </w:rPr>
        <w:t>下丘脑</w:t>
      </w:r>
      <w:r>
        <w:rPr>
          <w:rFonts w:ascii="Times New Roman" w:hAnsi="Times New Roman" w:cs="Times New Roman" w:eastAsia="Times New Roman" w:hint="ascii"/>
          <w:b w:val="1"/>
          <w:sz w:val="18"/>
        </w:rPr>
        <w:t>/</w:t>
      </w:r>
      <w:r>
        <w:rPr>
          <w:rFonts w:ascii="宋体" w:hAnsi="宋体" w:cs="宋体" w:eastAsia="宋体" w:hint="ascii"/>
          <w:sz w:val="18"/>
        </w:rPr>
        <w:t>垂体疾病及功能</w:t>
      </w:r>
    </w:p>
    <w:p>
      <w:pPr>
        <w:autoSpaceDE w:val="0"/>
        <w:autoSpaceDN w:val="0"/>
        <w:jc w:val="left"/>
        <w:spacing w:before="62"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异常</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甲状腺</w:t>
      </w:r>
      <w:r>
        <w:rPr>
          <w:rFonts w:ascii="Times New Roman" w:hAnsi="Times New Roman" w:cs="Times New Roman" w:eastAsia="Times New Roman" w:hint="ascii"/>
          <w:sz w:val="18"/>
          <w:spacing w:val="-7"/>
        </w:rPr>
        <w:t>/</w:t>
      </w:r>
      <w:r>
        <w:rPr>
          <w:rFonts w:ascii="宋体" w:hAnsi="宋体" w:cs="宋体" w:eastAsia="宋体" w:hint="ascii"/>
          <w:sz w:val="18"/>
          <w:spacing w:val="-6"/>
        </w:rPr>
        <w:t>甲状旁腺疾病及功能异</w:t>
      </w:r>
      <w:r>
        <w:rPr>
          <w:rFonts w:ascii="宋体" w:hAnsi="宋体" w:cs="宋体" w:eastAsia="宋体" w:hint="ascii"/>
          <w:sz w:val="18"/>
        </w:rPr>
        <w:t>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肾上腺疾病及功能异常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糖尿病发生的遗传和环境因素</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血糖调控异常与胰岛素抵抗</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糖尿病</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其他组织的内分泌功能异常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甲状腺和甲状旁腺移植</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能量代谢调节异常及肥胖</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代谢综合征</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糖代谢异常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脂代谢异常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脂肪细胞分化及功能异常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氨基酸代谢异常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核酸代谢异常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水、电解质代谢障碍及酸碱平</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衡异常</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微量元素、维生素代谢异常</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钙磷代谢异常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骨转换、骨代谢异常和骨质疏</w:t>
      </w:r>
      <w:r>
        <w:rPr>
          <w:rFonts w:ascii="宋体" w:hAnsi="宋体" w:cs="宋体" w:eastAsia="宋体" w:hint="ascii"/>
          <w:sz w:val="18"/>
        </w:rPr>
        <w:t>松</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营养不良与营养支持</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遗传性代谢缺陷</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H0729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内分泌系统疾病</w:t>
      </w:r>
      <w:r>
        <w:rPr>
          <w:rFonts w:ascii="Times New Roman" w:hAnsi="Times New Roman" w:cs="Times New Roman" w:eastAsia="Times New Roman" w:hint="ascii"/>
          <w:b w:val="1"/>
          <w:sz w:val="18"/>
        </w:rPr>
        <w:t>/</w:t>
      </w:r>
      <w:r>
        <w:rPr>
          <w:rFonts w:ascii="宋体" w:hAnsi="宋体" w:cs="宋体" w:eastAsia="宋体" w:hint="ascii"/>
          <w:sz w:val="18"/>
        </w:rPr>
        <w:t>代谢异常与营</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养支持领域相关新技术</w:t>
      </w:r>
    </w:p>
    <w:p>
      <w:pPr>
        <w:autoSpaceDE w:val="0"/>
        <w:autoSpaceDN w:val="0"/>
        <w:jc w:val="left"/>
        <w:spacing w:before="5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H0730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内分泌系统疾病</w:t>
      </w:r>
      <w:r>
        <w:rPr>
          <w:rFonts w:ascii="Times New Roman" w:hAnsi="Times New Roman" w:cs="Times New Roman" w:eastAsia="Times New Roman" w:hint="ascii"/>
          <w:b w:val="1"/>
          <w:sz w:val="18"/>
        </w:rPr>
        <w:t>/</w:t>
      </w:r>
      <w:r>
        <w:rPr>
          <w:rFonts w:ascii="宋体" w:hAnsi="宋体" w:cs="宋体" w:eastAsia="宋体" w:hint="ascii"/>
          <w:sz w:val="18"/>
        </w:rPr>
        <w:t>代谢异常与营</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养支持其他科学问题</w:t>
      </w:r>
    </w:p>
    <w:p>
      <w:pPr>
        <w:autoSpaceDE w:val="0"/>
        <w:autoSpaceDN w:val="0"/>
        <w:jc w:val="left"/>
        <w:spacing w:before="50"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H08</w:t>
      </w:r>
      <w:r>
        <w:rPr>
          <w:rFonts w:ascii="Times New Roman" w:hAnsi="Times New Roman" w:cs="Times New Roman" w:eastAsia="Times New Roman" w:hint="ascii"/>
          <w:b w:val="1"/>
          <w:spacing w:val="60"/>
        </w:rPr>
        <w:t xml:space="preserve"> </w:t>
      </w:r>
      <w:r>
        <w:rPr>
          <w:rFonts w:ascii="宋体" w:hAnsi="宋体" w:cs="宋体" w:eastAsia="宋体" w:hint="ascii"/>
        </w:rPr>
        <w:t>血液系统</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造血、造血调控与造血微环境</w: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异常</w:t>
      </w:r>
    </w:p>
    <w:p>
      <w:pPr>
        <w:autoSpaceDE w:val="0"/>
        <w:autoSpaceDN w:val="0"/>
        <w:jc w:val="left"/>
        <w:spacing w:before="327"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H0802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造血相关器官结构及功能异常</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红细胞异常及相关疾病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白细胞异常及相关疾病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血小板异常及相关疾病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再生障碍性贫血和骨髓衰竭</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骨髓增生异常综合征</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骨髓增殖性疾病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血液系统免疫相关疾病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血液系统感染性疾病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出血、凝血与血栓</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白血病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造血干细胞移植及并发症</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血型与输血</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遗传性血液病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血液系统疾病诊疗新技术</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血液系统疾病其他科学问题</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淋巴瘤及其他淋巴增殖性疾病</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H0819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骨髓瘤及其他浆细胞疾病</w:t>
      </w:r>
    </w:p>
    <w:p>
      <w:pPr>
        <w:autoSpaceDE w:val="0"/>
        <w:autoSpaceDN w:val="0"/>
        <w:jc w:val="left"/>
        <w:spacing w:before="32"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H09</w:t>
      </w:r>
      <w:r>
        <w:rPr>
          <w:rFonts w:ascii="Times New Roman" w:hAnsi="Times New Roman" w:cs="Times New Roman" w:eastAsia="Times New Roman" w:hint="ascii"/>
          <w:b w:val="1"/>
          <w:spacing w:val="60"/>
        </w:rPr>
        <w:t xml:space="preserve"> </w:t>
      </w:r>
      <w:r>
        <w:rPr>
          <w:rFonts w:ascii="宋体" w:hAnsi="宋体" w:cs="宋体" w:eastAsia="宋体" w:hint="ascii"/>
        </w:rPr>
        <w:t>神经系统和精神疾病</w:t>
      </w:r>
    </w:p>
    <w:p>
      <w:pPr>
        <w:autoSpaceDE w:val="0"/>
        <w:autoSpaceDN w:val="0"/>
        <w:jc w:val="left"/>
        <w:spacing w:before="8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意识障碍</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认知功能障碍</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躯体感觉、疼痛与镇痛</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运动调节与运动障碍</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神经发育、遗传、代谢相关疾</w:t>
      </w:r>
      <w:r>
        <w:rPr>
          <w:rFonts w:ascii="宋体" w:hAnsi="宋体" w:cs="宋体" w:eastAsia="宋体" w:hint="ascii"/>
          <w:sz w:val="18"/>
        </w:rPr>
        <w:t>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脑血管结构、功能异常及相关</w:t>
      </w:r>
    </w:p>
    <w:p>
      <w:pPr>
        <w:autoSpaceDE w:val="0"/>
        <w:autoSpaceDN w:val="0"/>
        <w:jc w:val="left"/>
        <w:spacing w:before="6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神经免疫调节异常及神经免疫</w:t>
      </w:r>
    </w:p>
    <w:p>
      <w:pPr>
        <w:autoSpaceDE w:val="0"/>
        <w:autoSpaceDN w:val="0"/>
        <w:jc w:val="left"/>
        <w:spacing w:before="68"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相关疾病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神经系统屏障和脑脊液异常及</w:t>
      </w:r>
    </w:p>
    <w:p>
      <w:pPr>
        <w:autoSpaceDE w:val="0"/>
        <w:autoSpaceDN w:val="0"/>
        <w:jc w:val="left"/>
        <w:spacing w:before="6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相关疾病</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神经系统炎症及感染性疾病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脑、脊髓、周围神经损伤及修</w:t>
      </w:r>
      <w:r>
        <w:rPr>
          <w:rFonts w:ascii="宋体" w:hAnsi="宋体" w:cs="宋体" w:eastAsia="宋体" w:hint="ascii"/>
          <w:sz w:val="18"/>
        </w:rPr>
        <w:t>复</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周围神经、神经</w:t>
      </w:r>
      <w:r>
        <w:rPr>
          <w:rFonts w:ascii="MS Mincho" w:hAnsi="MS Mincho" w:cs="MS Mincho" w:eastAsia="MS Mincho" w:hint="ascii"/>
          <w:sz w:val="18"/>
        </w:rPr>
        <w:t>−</w:t>
      </w:r>
      <w:r>
        <w:rPr>
          <w:rFonts w:ascii="宋体" w:hAnsi="宋体" w:cs="宋体" w:eastAsia="宋体" w:hint="ascii"/>
          <w:sz w:val="18"/>
        </w:rPr>
        <w:t>肌肉接头、肌</w:t>
      </w:r>
    </w:p>
    <w:p>
      <w:pPr>
        <w:autoSpaceDE w:val="0"/>
        <w:autoSpaceDN w:val="0"/>
        <w:jc w:val="left"/>
        <w:spacing w:before="68"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肉、自主神经疾病</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神经变性、再生及相关疾病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神经电活动异常与发作性疾病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脑功能保护、治疗与康复</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节律调控与节律紊乱</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睡眠与睡眠障碍</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器质性精神疾病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物质依赖和其他成瘾性障碍</w:t>
      </w:r>
    </w:p>
    <w:p>
      <w:pPr>
        <w:autoSpaceDE w:val="0"/>
        <w:autoSpaceDN w:val="0"/>
        <w:jc w:val="left"/>
        <w:spacing w:before="67"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725" w:space="318"/>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H0919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精神分裂症和其他精神障碍</w:t>
      </w:r>
      <w:rPr>
        <w:rFonts w:ascii="宋体" w:hAnsi="宋体" w:cs="宋体" w:eastAsia="宋体" w:hint="ascii"/>
        <w:sz w:val="18"/>
      </w:rPr>
    </w:p>
    <w:p>
      <w:pPr>
        <w:autoSpaceDE w:val="0"/>
        <w:autoSpaceDN w:val="0"/>
        <w:jc w:val="left"/>
        <w:spacing w:before="389"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295</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神经症和应激相关障碍</w:t>
      </w:r>
      <w:r>
        <w:rPr>
          <w:rFonts w:ascii="宋体" w:hAnsi="宋体" w:cs="宋体" w:eastAsia="宋体" w:hint="ascii"/>
          <w:sz w:val="18"/>
        </w:rPr>
        <mc:AlternateContent>
          <mc:Choice Requires="wps">
            <w:drawing>
              <wp:anchor distL="0" distR="0" distT="0" distB="0" simplePos="0" behindDoc="1" relativeHeight="755" locked="0" layoutInCell="1" allowOverlap="1">
                <wp:simplePos x="0" y="0"/>
                <wp:positionH relativeFrom="page">
                  <wp:posOffset>938530</wp:posOffset>
                </wp:positionH>
                <wp:positionV relativeFrom="page">
                  <wp:posOffset>805815</wp:posOffset>
                </wp:positionV>
                <wp:extent cx="5076190" cy="0"/>
                <wp:wrapNone/>
                <wp:docPr id="1782" name="1782"/>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0885120;width:399.70pt;" id="1782"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心境障碍、心理生理障碍和心</w:t>
      </w:r>
    </w:p>
    <w:p>
      <w:pPr>
        <w:autoSpaceDE w:val="0"/>
        <w:autoSpaceDN w:val="0"/>
        <w:jc w:val="left"/>
        <w:spacing w:before="62"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身疾病</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人格障碍、冲动控制障碍和性</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心理异常</w:t>
      </w:r>
    </w:p>
    <w:p>
      <w:pPr>
        <w:autoSpaceDE w:val="0"/>
        <w:autoSpaceDN w:val="0"/>
        <w:jc w:val="left"/>
        <w:spacing w:before="5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儿童和青少年精神障碍</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其他精神障碍与精神卫生问题</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精神疾病的心理测量和评估</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心理咨询与心理治疗</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危机干预</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神经系统和精神疾病诊疗新技</w:t>
      </w:r>
      <w:r>
        <w:rPr>
          <w:rFonts w:ascii="宋体" w:hAnsi="宋体" w:cs="宋体" w:eastAsia="宋体" w:hint="ascii"/>
          <w:sz w:val="18"/>
        </w:rPr>
        <w:t>术</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H0929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神经系统和精神疾病其他科学</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问题</w:t>
      </w:r>
    </w:p>
    <w:p>
      <w:pPr>
        <w:autoSpaceDE w:val="0"/>
        <w:autoSpaceDN w:val="0"/>
        <w:jc w:val="left"/>
        <w:spacing w:before="50"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H10</w:t>
      </w:r>
      <w:r>
        <w:rPr>
          <w:rFonts w:ascii="Times New Roman" w:hAnsi="Times New Roman" w:cs="Times New Roman" w:eastAsia="Times New Roman" w:hint="ascii"/>
          <w:b w:val="1"/>
          <w:spacing w:val="60"/>
        </w:rPr>
        <w:t xml:space="preserve"> </w:t>
      </w:r>
      <w:r>
        <w:rPr>
          <w:rFonts w:ascii="宋体" w:hAnsi="宋体" w:cs="宋体" w:eastAsia="宋体" w:hint="ascii"/>
        </w:rPr>
        <w:t>医学免疫学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免疫器官</w:t>
      </w:r>
      <w:r>
        <w:rPr>
          <w:rFonts w:ascii="Times New Roman" w:hAnsi="Times New Roman" w:cs="Times New Roman" w:eastAsia="Times New Roman" w:hint="ascii"/>
          <w:b w:val="1"/>
          <w:sz w:val="18"/>
        </w:rPr>
        <w:t>/</w:t>
      </w:r>
      <w:r>
        <w:rPr>
          <w:rFonts w:ascii="宋体" w:hAnsi="宋体" w:cs="宋体" w:eastAsia="宋体" w:hint="ascii"/>
          <w:sz w:val="18"/>
        </w:rPr>
        <w:t>组织</w:t>
      </w:r>
      <w:r>
        <w:rPr>
          <w:rFonts w:ascii="Times New Roman" w:hAnsi="Times New Roman" w:cs="Times New Roman" w:eastAsia="Times New Roman" w:hint="ascii"/>
          <w:b w:val="1"/>
          <w:sz w:val="18"/>
        </w:rPr>
        <w:t>/</w:t>
      </w:r>
      <w:r>
        <w:rPr>
          <w:rFonts w:ascii="宋体" w:hAnsi="宋体" w:cs="宋体" w:eastAsia="宋体" w:hint="ascii"/>
          <w:sz w:val="18"/>
        </w:rPr>
        <w:t>细胞的发育分化</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异常</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免疫应答异常</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免疫反应相关因子与疾病</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H1004</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免</w:t>
      </w:r>
      <w:r>
        <w:rPr>
          <w:rFonts w:ascii="宋体" w:hAnsi="宋体" w:cs="宋体" w:eastAsia="宋体" w:hint="ascii"/>
          <w:sz w:val="18"/>
          <w:spacing w:val="-6"/>
        </w:rPr>
        <w:t>疫识别</w:t>
      </w:r>
      <w:r>
        <w:rPr>
          <w:rFonts w:ascii="Times New Roman" w:hAnsi="Times New Roman" w:cs="Times New Roman" w:eastAsia="Times New Roman" w:hint="ascii"/>
          <w:sz w:val="18"/>
          <w:spacing w:val="-6"/>
        </w:rPr>
        <w:t>/</w:t>
      </w:r>
      <w:r>
        <w:rPr>
          <w:rFonts w:ascii="宋体" w:hAnsi="宋体" w:cs="宋体" w:eastAsia="宋体" w:hint="ascii"/>
          <w:sz w:val="18"/>
          <w:spacing w:val="-6"/>
        </w:rPr>
        <w:t>免疫耐受</w:t>
      </w:r>
      <w:r>
        <w:rPr>
          <w:rFonts w:ascii="Times New Roman" w:hAnsi="Times New Roman" w:cs="Times New Roman" w:eastAsia="Times New Roman" w:hint="ascii"/>
          <w:sz w:val="18"/>
          <w:spacing w:val="-6"/>
        </w:rPr>
        <w:t>/</w:t>
      </w:r>
      <w:r>
        <w:rPr>
          <w:rFonts w:ascii="宋体" w:hAnsi="宋体" w:cs="宋体" w:eastAsia="宋体" w:hint="ascii"/>
          <w:sz w:val="18"/>
          <w:spacing w:val="-7"/>
        </w:rPr>
        <w:t>免</w:t>
      </w:r>
      <w:r>
        <w:rPr>
          <w:rFonts w:ascii="宋体" w:hAnsi="宋体" w:cs="宋体" w:eastAsia="宋体" w:hint="ascii"/>
          <w:sz w:val="18"/>
          <w:spacing w:val="-6"/>
        </w:rPr>
        <w:t>疫调节异</w:t>
      </w:r>
      <w:r>
        <w:rPr>
          <w:rFonts w:ascii="宋体" w:hAnsi="宋体" w:cs="宋体" w:eastAsia="宋体" w:hint="ascii"/>
          <w:sz w:val="18"/>
        </w:rPr>
        <w:t>常</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炎症、感染与免疫</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器官移植与移植免疫</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超敏反应性疾病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自身免疫性疾病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继发及原发性免疫缺陷性疾病</w:t>
      </w:r>
    </w:p>
    <w:p>
      <w:pPr>
        <w:autoSpaceDE w:val="0"/>
        <w:autoSpaceDN w:val="0"/>
        <w:jc w:val="left"/>
        <w:spacing w:before="7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固有免疫异常</w:t>
      </w:r>
    </w:p>
    <w:p>
      <w:pPr>
        <w:autoSpaceDE w:val="0"/>
        <w:autoSpaceDN w:val="0"/>
        <w:jc w:val="left"/>
        <w:spacing w:before="7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神经内分泌免疫异常</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黏膜免疫疾病</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疾病的系统免疫学</w:t>
      </w:r>
    </w:p>
    <w:p>
      <w:pPr>
        <w:autoSpaceDE w:val="0"/>
        <w:autoSpaceDN w:val="0"/>
        <w:jc w:val="left"/>
        <w:spacing w:before="7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疫苗和佐剂研究</w:t>
      </w:r>
      <w:r>
        <w:rPr>
          <w:rFonts w:ascii="Times New Roman" w:hAnsi="Times New Roman" w:cs="Times New Roman" w:eastAsia="Times New Roman" w:hint="ascii"/>
          <w:b w:val="1"/>
          <w:sz w:val="18"/>
        </w:rPr>
        <w:t>/</w:t>
      </w:r>
      <w:r>
        <w:rPr>
          <w:rFonts w:ascii="宋体" w:hAnsi="宋体" w:cs="宋体" w:eastAsia="宋体" w:hint="ascii"/>
          <w:sz w:val="18"/>
        </w:rPr>
        <w:t>接种</w:t>
      </w:r>
      <w:r>
        <w:rPr>
          <w:rFonts w:ascii="Times New Roman" w:hAnsi="Times New Roman" w:cs="Times New Roman" w:eastAsia="Times New Roman" w:hint="ascii"/>
          <w:b w:val="1"/>
          <w:sz w:val="18"/>
        </w:rPr>
        <w:t>/</w:t>
      </w:r>
      <w:r>
        <w:rPr>
          <w:rFonts w:ascii="宋体" w:hAnsi="宋体" w:cs="宋体" w:eastAsia="宋体" w:hint="ascii"/>
          <w:sz w:val="18"/>
        </w:rPr>
        <w:t>免疫防治</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免疫相关疾病诊疗新技术</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H1016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免疫相关疾病其他科学问题</w:t>
      </w:r>
    </w:p>
    <w:p>
      <w:pPr>
        <w:autoSpaceDE w:val="0"/>
        <w:autoSpaceDN w:val="0"/>
        <w:jc w:val="left"/>
        <w:spacing w:before="4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w:t>
      </w:r>
      <w:r>
        <w:rPr>
          <w:rFonts w:ascii="Times New Roman" w:hAnsi="Times New Roman" w:cs="Times New Roman" w:eastAsia="Times New Roman" w:hint="ascii"/>
          <w:b w:val="1"/>
          <w:spacing w:val="-13"/>
        </w:rPr>
        <w:t>1</w:t>
      </w:r>
      <w:r>
        <w:rPr>
          <w:rFonts w:ascii="Times New Roman" w:hAnsi="Times New Roman" w:cs="Times New Roman" w:eastAsia="Times New Roman" w:hint="ascii"/>
          <w:b w:val="1"/>
        </w:rPr>
        <w:t>1</w:t>
      </w:r>
      <w:r>
        <w:rPr>
          <w:rFonts w:ascii="Times New Roman" w:hAnsi="Times New Roman" w:cs="Times New Roman" w:eastAsia="Times New Roman" w:hint="ascii"/>
          <w:b w:val="1"/>
          <w:spacing w:val="60"/>
        </w:rPr>
        <w:t xml:space="preserve"> </w:t>
      </w:r>
      <w:r>
        <w:rPr>
          <w:rFonts w:ascii="宋体" w:hAnsi="宋体" w:cs="宋体" w:eastAsia="宋体" w:hint="ascii"/>
        </w:rPr>
        <w:t>皮肤及其附属器</w:t>
      </w:r>
    </w:p>
    <w:p>
      <w:pPr>
        <w:autoSpaceDE w:val="0"/>
        <w:autoSpaceDN w:val="0"/>
        <w:jc w:val="both"/>
        <w:spacing w:before="96" w:after="0" w:lineRule="auto" w:line="324"/>
        <w:ind w:right="302"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w:t>
      </w:r>
      <w:r>
        <w:rPr>
          <w:rFonts w:ascii="Times New Roman" w:hAnsi="Times New Roman" w:cs="Times New Roman" w:eastAsia="Times New Roman" w:hint="ascii"/>
          <w:b w:val="1"/>
          <w:sz w:val="18"/>
          <w:spacing w:val="-11"/>
        </w:rPr>
        <w:t>1</w:t>
      </w:r>
      <w:r>
        <w:rPr>
          <w:rFonts w:ascii="Times New Roman" w:hAnsi="Times New Roman" w:cs="Times New Roman" w:eastAsia="Times New Roman" w:hint="ascii"/>
          <w:b w:val="1"/>
          <w:sz w:val="18"/>
          <w:spacing w:val="-1"/>
        </w:rPr>
        <w:t>101</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皮肤</w:t>
      </w:r>
      <w:r>
        <w:rPr>
          <w:rFonts w:ascii="宋体" w:hAnsi="宋体" w:cs="宋体" w:eastAsia="宋体" w:hint="ascii"/>
          <w:sz w:val="18"/>
        </w:rPr>
        <w:t>形态、结构和功能异常</w:t>
      </w:r>
      <w:r>
        <w:rPr>
          <w:rFonts w:ascii="Times New Roman" w:hAnsi="Times New Roman" w:cs="Times New Roman" w:eastAsia="Times New Roman" w:hint="ascii"/>
          <w:b w:val="1"/>
          <w:sz w:val="18"/>
        </w:rPr>
        <w:t>H</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皮肤遗传及相关疾病</w:t>
      </w:r>
    </w:p>
    <w:p>
      <w:pPr>
        <w:autoSpaceDE w:val="0"/>
        <w:autoSpaceDN w:val="0"/>
        <w:jc w:val="left"/>
        <w:spacing w:before="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皮肤免疫性疾病</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皮肤感染</w:t>
      </w:r>
    </w:p>
    <w:p>
      <w:pPr>
        <w:autoSpaceDE w:val="0"/>
        <w:autoSpaceDN w:val="0"/>
        <w:jc w:val="left"/>
        <w:spacing w:before="7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非感染性皮肤病</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皮肤附属器及相关疾病</w:t>
      </w:r>
    </w:p>
    <w:p>
      <w:pPr>
        <w:autoSpaceDE w:val="0"/>
        <w:autoSpaceDN w:val="0"/>
        <w:jc w:val="both"/>
        <w:spacing w:before="77" w:after="0" w:lineRule="auto" w:line="324"/>
        <w:ind w:right="98"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w:t>
      </w:r>
      <w:r>
        <w:rPr>
          <w:rFonts w:ascii="Times New Roman" w:hAnsi="Times New Roman" w:cs="Times New Roman" w:eastAsia="Times New Roman" w:hint="ascii"/>
          <w:b w:val="1"/>
          <w:sz w:val="18"/>
          <w:spacing w:val="-11"/>
        </w:rPr>
        <w:t>1</w:t>
      </w:r>
      <w:r>
        <w:rPr>
          <w:rFonts w:ascii="Times New Roman" w:hAnsi="Times New Roman" w:cs="Times New Roman" w:eastAsia="Times New Roman" w:hint="ascii"/>
          <w:b w:val="1"/>
          <w:sz w:val="18"/>
          <w:spacing w:val="-1"/>
        </w:rPr>
        <w:t>107</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皮</w:t>
      </w:r>
      <w:r>
        <w:rPr>
          <w:rFonts w:ascii="宋体" w:hAnsi="宋体" w:cs="宋体" w:eastAsia="宋体" w:hint="ascii"/>
          <w:sz w:val="18"/>
          <w:spacing w:val="-6"/>
        </w:rPr>
        <w:t>肤</w:t>
      </w:r>
      <w:r>
        <w:rPr>
          <w:rFonts w:ascii="宋体" w:hAnsi="宋体" w:cs="宋体" w:eastAsia="宋体" w:hint="ascii"/>
          <w:sz w:val="18"/>
          <w:spacing w:val="-7"/>
        </w:rPr>
        <w:t>及</w:t>
      </w:r>
      <w:r>
        <w:rPr>
          <w:rFonts w:ascii="宋体" w:hAnsi="宋体" w:cs="宋体" w:eastAsia="宋体" w:hint="ascii"/>
          <w:sz w:val="18"/>
          <w:spacing w:val="-6"/>
        </w:rPr>
        <w:t>其附属器疾病诊疗新技</w:t>
      </w:r>
      <w:r>
        <w:rPr>
          <w:rFonts w:ascii="宋体" w:hAnsi="宋体" w:cs="宋体" w:eastAsia="宋体" w:hint="ascii"/>
          <w:sz w:val="18"/>
        </w:rPr>
        <w:t>术</w:t>
      </w:r>
      <w:r>
        <w:rPr>
          <w:rFonts w:ascii="Times New Roman" w:hAnsi="Times New Roman" w:cs="Times New Roman" w:eastAsia="Times New Roman" w:hint="ascii"/>
          <w:b w:val="1"/>
          <w:sz w:val="18"/>
        </w:rPr>
        <w:t>H</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皮肤及其附属器疾病其他科学</w:t>
      </w:r>
    </w:p>
    <w:p>
      <w:pPr>
        <w:autoSpaceDE w:val="0"/>
        <w:autoSpaceDN w:val="0"/>
        <w:jc w:val="left"/>
        <w:spacing w:before="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问题</w:t>
      </w:r>
    </w:p>
    <w:p>
      <w:pPr>
        <w:autoSpaceDE w:val="0"/>
        <w:autoSpaceDN w:val="0"/>
        <w:jc w:val="left"/>
        <w:spacing w:before="463"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296</w:t>
      </w:r>
      <w:r>
        <w:rPr>
          <w:rFonts w:ascii="宋体" w:hAnsi="宋体" w:cs="宋体" w:eastAsia="宋体" w:hint="ascii"/>
          <w:sz w:val="18"/>
        </w:rPr>
        <w:t>·</w:t>
      </w:r>
    </w:p>
    <w:p>
      <w:pPr>
        <w:autoSpaceDE w:val="0"/>
        <w:autoSpaceDN w:val="0"/>
        <w:jc w:val="left"/>
        <w:spacing w:before="294" w:after="0" w:lineRule="auto" w:line="240"/>
        <w:ind w:right="0" w:left="0" w:firstLine="0"/>
        <w:snapToGrid w:val="0"/>
        <w:textAlignment w:val="auto"/>
        <w:tabs/>
        <w:rPr>
          <w:rFonts w:ascii="宋体" w:hAnsi="宋体" w:cs="宋体" w:eastAsia="宋体" w:hint="ascii"/>
        </w:rPr>
      </w:pPr>
      <w:r>
        <w:rPr>
          <w:rFonts w:ascii="宋体" w:hAnsi="宋体" w:cs="宋体" w:eastAsia="宋体" w:hint="ascii"/>
          <w:sz w:val="18"/>
        </w:rPr>
        <w:br w:type="column"/>
      </w:r>
      <w:r>
        <w:rPr>
          <w:rFonts w:ascii="Times New Roman" w:hAnsi="Times New Roman" w:cs="Times New Roman" w:eastAsia="Times New Roman" w:hint="ascii"/>
          <w:b w:val="1"/>
        </w:rPr>
        <w:t>H12</w:t>
      </w:r>
      <w:r>
        <w:rPr>
          <w:rFonts w:ascii="Times New Roman" w:hAnsi="Times New Roman" w:cs="Times New Roman" w:eastAsia="Times New Roman" w:hint="ascii"/>
          <w:b w:val="1"/>
          <w:spacing w:val="60"/>
        </w:rPr>
        <w:t xml:space="preserve"> </w:t>
      </w:r>
      <w:r>
        <w:rPr>
          <w:rFonts w:ascii="宋体" w:hAnsi="宋体" w:cs="宋体" w:eastAsia="宋体" w:hint="ascii"/>
        </w:rPr>
        <w:t>眼科学</w:t>
      </w:r>
    </w:p>
    <w:p>
      <w:pPr>
        <w:autoSpaceDE w:val="0"/>
        <w:autoSpaceDN w:val="0"/>
        <w:jc w:val="left"/>
        <w:spacing w:before="9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角膜及眼表疾病</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晶状体与白内障</w:t>
      </w:r>
    </w:p>
    <w:p>
      <w:pPr>
        <w:autoSpaceDE w:val="0"/>
        <w:autoSpaceDN w:val="0"/>
        <w:jc w:val="left"/>
        <w:spacing w:before="7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巩膜、葡萄膜、眼免疫</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青光眼、视神经及视路相关疾</w:t>
      </w:r>
      <w:r>
        <w:rPr>
          <w:rFonts w:ascii="宋体" w:hAnsi="宋体" w:cs="宋体" w:eastAsia="宋体" w:hint="ascii"/>
          <w:sz w:val="18"/>
        </w:rPr>
        <w:t>病</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视网膜、脉络膜及玻璃体相关</w:t>
      </w:r>
    </w:p>
    <w:p>
      <w:pPr>
        <w:autoSpaceDE w:val="0"/>
        <w:autoSpaceDN w:val="0"/>
        <w:jc w:val="left"/>
        <w:spacing w:before="76"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疾病</w:t>
      </w:r>
    </w:p>
    <w:p>
      <w:pPr>
        <w:autoSpaceDE w:val="0"/>
        <w:autoSpaceDN w:val="0"/>
        <w:jc w:val="left"/>
        <w:spacing w:before="7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视觉、视光学与近视、弱视及</w:t>
      </w:r>
    </w:p>
    <w:p>
      <w:pPr>
        <w:autoSpaceDE w:val="0"/>
        <w:autoSpaceDN w:val="0"/>
        <w:jc w:val="left"/>
        <w:spacing w:before="7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眼肌疾病</w:t>
      </w:r>
    </w:p>
    <w:p>
      <w:pPr>
        <w:autoSpaceDE w:val="0"/>
        <w:autoSpaceDN w:val="0"/>
        <w:jc w:val="left"/>
        <w:spacing w:before="7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全身疾病眼部表现、眼眶疾病</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眼遗传性疾病</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眼组织移植</w:t>
      </w:r>
    </w:p>
    <w:p>
      <w:pPr>
        <w:autoSpaceDE w:val="0"/>
        <w:autoSpaceDN w:val="0"/>
        <w:jc w:val="left"/>
        <w:spacing w:before="7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眼科疾病诊疗新技术</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H12</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眼科疾病其他科学问题</w:t>
      </w:r>
    </w:p>
    <w:p>
      <w:pPr>
        <w:autoSpaceDE w:val="0"/>
        <w:autoSpaceDN w:val="0"/>
        <w:jc w:val="left"/>
        <w:spacing w:before="61"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H13</w:t>
      </w:r>
      <w:r>
        <w:rPr>
          <w:rFonts w:ascii="Times New Roman" w:hAnsi="Times New Roman" w:cs="Times New Roman" w:eastAsia="Times New Roman" w:hint="ascii"/>
          <w:b w:val="1"/>
          <w:spacing w:val="60"/>
        </w:rPr>
        <w:t xml:space="preserve"> </w:t>
      </w:r>
      <w:r>
        <w:rPr>
          <w:rFonts w:ascii="宋体" w:hAnsi="宋体" w:cs="宋体" w:eastAsia="宋体" w:hint="ascii"/>
        </w:rPr>
        <w:t>耳鼻咽喉头颈科学</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嗅觉、鼻及前颅底疾病</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咽喉及颈部疾病</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耳及侧颅底疾病</w:t>
      </w:r>
    </w:p>
    <w:p>
      <w:pPr>
        <w:autoSpaceDE w:val="0"/>
        <w:autoSpaceDN w:val="0"/>
        <w:jc w:val="left"/>
        <w:spacing w:before="7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听觉异常与平衡障碍</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H1305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耳鼻咽喉遗传与发育相关疾病</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H1306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耳鼻咽喉疾病诊疗新技术</w:t>
      </w:r>
    </w:p>
    <w:p>
      <w:pPr>
        <w:autoSpaceDE w:val="0"/>
        <w:autoSpaceDN w:val="0"/>
        <w:jc w:val="left"/>
        <w:spacing w:before="7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H1307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耳鼻咽喉疾病其他科学问题</w:t>
      </w:r>
    </w:p>
    <w:p>
      <w:pPr>
        <w:autoSpaceDE w:val="0"/>
        <w:autoSpaceDN w:val="0"/>
        <w:jc w:val="left"/>
        <w:spacing w:before="49"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H14</w:t>
      </w:r>
      <w:r>
        <w:rPr>
          <w:rFonts w:ascii="Times New Roman" w:hAnsi="Times New Roman" w:cs="Times New Roman" w:eastAsia="Times New Roman" w:hint="ascii"/>
          <w:b w:val="1"/>
          <w:spacing w:val="60"/>
        </w:rPr>
        <w:t xml:space="preserve"> </w:t>
      </w:r>
      <w:r>
        <w:rPr>
          <w:rFonts w:ascii="宋体" w:hAnsi="宋体" w:cs="宋体" w:eastAsia="宋体" w:hint="ascii"/>
        </w:rPr>
        <w:t>口腔颅颌面科学</w:t>
      </w:r>
    </w:p>
    <w:p>
      <w:pPr>
        <w:autoSpaceDE w:val="0"/>
        <w:autoSpaceDN w:val="0"/>
        <w:jc w:val="left"/>
        <w:spacing w:before="9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口腔颅颌面组织生长发育及牙</w:t>
      </w:r>
    </w:p>
    <w:p>
      <w:pPr>
        <w:autoSpaceDE w:val="0"/>
        <w:autoSpaceDN w:val="0"/>
        <w:jc w:val="left"/>
        <w:spacing w:before="7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再生</w:t>
      </w:r>
    </w:p>
    <w:p>
      <w:pPr>
        <w:autoSpaceDE w:val="0"/>
        <w:autoSpaceDN w:val="0"/>
        <w:jc w:val="left"/>
        <w:spacing w:before="7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颅颌面部骨、软骨组织的研究</w:t>
      </w:r>
    </w:p>
    <w:p>
      <w:pPr>
        <w:autoSpaceDE w:val="0"/>
        <w:autoSpaceDN w:val="0"/>
        <w:jc w:val="left"/>
        <w:spacing w:before="7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口腔颌面部遗传性疾病和发育</w:t>
      </w:r>
    </w:p>
    <w:p>
      <w:pPr>
        <w:autoSpaceDE w:val="0"/>
        <w:autoSpaceDN w:val="0"/>
        <w:jc w:val="left"/>
        <w:spacing w:before="7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畸形及软组织缺损修复</w:t>
      </w:r>
    </w:p>
    <w:p>
      <w:pPr>
        <w:autoSpaceDE w:val="0"/>
        <w:autoSpaceDN w:val="0"/>
        <w:jc w:val="left"/>
        <w:spacing w:before="7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牙体牙髓及根尖周组织疾病</w:t>
      </w:r>
    </w:p>
    <w:p>
      <w:pPr>
        <w:autoSpaceDE w:val="0"/>
        <w:autoSpaceDN w:val="0"/>
        <w:jc w:val="left"/>
        <w:spacing w:before="7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牙周及口腔黏膜疾病</w:t>
      </w:r>
    </w:p>
    <w:p>
      <w:pPr>
        <w:autoSpaceDE w:val="0"/>
        <w:autoSpaceDN w:val="0"/>
        <w:jc w:val="left"/>
        <w:spacing w:before="7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唾液、涎腺疾病、口腔颌面脉</w:t>
      </w:r>
    </w:p>
    <w:p>
      <w:pPr>
        <w:autoSpaceDE w:val="0"/>
        <w:autoSpaceDN w:val="0"/>
        <w:jc w:val="left"/>
        <w:spacing w:before="7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管神经及颌骨良性疾病</w:t>
      </w:r>
    </w:p>
    <w:p>
      <w:pPr>
        <w:autoSpaceDE w:val="0"/>
        <w:autoSpaceDN w:val="0"/>
        <w:jc w:val="left"/>
        <w:spacing w:before="7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味觉、口颌面疼痛、咬合及颞</w:t>
      </w:r>
    </w:p>
    <w:p>
      <w:pPr>
        <w:autoSpaceDE w:val="0"/>
        <w:autoSpaceDN w:val="0"/>
        <w:jc w:val="left"/>
        <w:spacing w:before="7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下颌关节疾病</w:t>
      </w:r>
    </w:p>
    <w:p>
      <w:pPr>
        <w:autoSpaceDE w:val="0"/>
        <w:autoSpaceDN w:val="0"/>
        <w:jc w:val="left"/>
        <w:spacing w:before="7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牙缺损、缺失及牙颌畸形的修</w:t>
      </w:r>
    </w:p>
    <w:p>
      <w:pPr>
        <w:autoSpaceDE w:val="0"/>
        <w:autoSpaceDN w:val="0"/>
        <w:jc w:val="left"/>
        <w:spacing w:before="76"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复与矫治</w:t>
      </w:r>
    </w:p>
    <w:p>
      <w:pPr>
        <w:autoSpaceDE w:val="0"/>
        <w:autoSpaceDN w:val="0"/>
        <w:jc w:val="left"/>
        <w:spacing w:before="7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口腔颌面组织生物力学和生物</w:t>
      </w:r>
    </w:p>
    <w:p>
      <w:pPr>
        <w:autoSpaceDE w:val="0"/>
        <w:autoSpaceDN w:val="0"/>
        <w:jc w:val="left"/>
        <w:spacing w:before="7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材料</w:t>
      </w:r>
    </w:p>
    <w:p>
      <w:pPr>
        <w:autoSpaceDE w:val="0"/>
        <w:autoSpaceDN w:val="0"/>
        <w:jc w:val="left"/>
        <w:spacing w:before="7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H1410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口腔颌面疾病诊疗新技术</w:t>
      </w:r>
    </w:p>
    <w:p>
      <w:pPr>
        <w:autoSpaceDE w:val="0"/>
        <w:autoSpaceDN w:val="0"/>
        <w:jc w:val="left"/>
        <w:spacing w:before="77"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737" w:space="306"/>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H14</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口腔颌面疾病其他科学问题</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26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H15</w:t>
      </w:r>
      <w:r>
        <w:rPr>
          <w:rFonts w:ascii="Times New Roman" w:hAnsi="Times New Roman" w:cs="Times New Roman" w:eastAsia="Times New Roman" w:hint="ascii"/>
          <w:b w:val="1"/>
          <w:spacing w:val="60"/>
        </w:rPr>
        <w:t xml:space="preserve"> </w:t>
      </w:r>
      <w:r>
        <w:rPr>
          <w:rFonts w:ascii="宋体" w:hAnsi="宋体" w:cs="宋体" w:eastAsia="宋体" w:hint="ascii"/>
        </w:rPr>
        <w:t>急重症医学</w:t>
      </w:r>
      <w:r>
        <w:rPr>
          <w:rFonts w:ascii="Times New Roman" w:hAnsi="Times New Roman" w:cs="Times New Roman" w:eastAsia="Times New Roman" w:hint="ascii"/>
          <w:b w:val="1"/>
        </w:rPr>
        <w:t>/</w:t>
      </w:r>
      <w:r>
        <w:rPr>
          <w:rFonts w:ascii="宋体" w:hAnsi="宋体" w:cs="宋体" w:eastAsia="宋体" w:hint="ascii"/>
        </w:rPr>
        <w:t>创伤</w:t>
      </w:r>
      <w:r>
        <w:rPr>
          <w:rFonts w:ascii="Times New Roman" w:hAnsi="Times New Roman" w:cs="Times New Roman" w:eastAsia="Times New Roman" w:hint="ascii"/>
          <w:b w:val="1"/>
        </w:rPr>
        <w:t>/</w:t>
      </w:r>
      <w:r>
        <w:rPr>
          <w:rFonts w:ascii="宋体" w:hAnsi="宋体" w:cs="宋体" w:eastAsia="宋体" w:hint="ascii"/>
        </w:rPr>
        <w:t>烧伤</w:t>
      </w:r>
      <w:r>
        <w:rPr>
          <w:rFonts w:ascii="Times New Roman" w:hAnsi="Times New Roman" w:cs="Times New Roman" w:eastAsia="Times New Roman" w:hint="ascii"/>
          <w:b w:val="1"/>
        </w:rPr>
        <w:t>/</w:t>
      </w:r>
      <w:r>
        <w:rPr>
          <w:rFonts w:ascii="宋体" w:hAnsi="宋体" w:cs="宋体" w:eastAsia="宋体" w:hint="ascii"/>
        </w:rPr>
        <w:t>整形</w:t>
      </w:r>
      <w:r>
        <w:rPr>
          <w:rFonts w:ascii="宋体" w:hAnsi="宋体" w:cs="宋体" w:eastAsia="宋体" w:hint="ascii"/>
        </w:rPr>
        <mc:AlternateContent>
          <mc:Choice Requires="wps">
            <w:drawing>
              <wp:anchor distL="0" distR="0" distT="0" distB="0" simplePos="0" behindDoc="1" relativeHeight="756" locked="0" layoutInCell="1" allowOverlap="1">
                <wp:simplePos x="0" y="0"/>
                <wp:positionH relativeFrom="page">
                  <wp:posOffset>938530</wp:posOffset>
                </wp:positionH>
                <wp:positionV relativeFrom="page">
                  <wp:posOffset>819150</wp:posOffset>
                </wp:positionV>
                <wp:extent cx="5076190" cy="0"/>
                <wp:wrapNone/>
                <wp:docPr id="1783" name="1783"/>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0884096;width:399.70pt;" id="1783"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9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心肺复苏</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多脏器衰竭</w:t>
      </w:r>
    </w:p>
    <w:p>
      <w:pPr>
        <w:autoSpaceDE w:val="0"/>
        <w:autoSpaceDN w:val="0"/>
        <w:jc w:val="left"/>
        <w:spacing w:before="7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中毒</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创伤</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烧伤</w:t>
      </w:r>
    </w:p>
    <w:p>
      <w:pPr>
        <w:autoSpaceDE w:val="0"/>
        <w:autoSpaceDN w:val="0"/>
        <w:jc w:val="left"/>
        <w:spacing w:before="7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冻伤</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创面愈合与瘢痕</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H1508</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体表</w:t>
      </w:r>
      <w:r>
        <w:rPr>
          <w:rFonts w:ascii="宋体" w:hAnsi="宋体" w:cs="宋体" w:eastAsia="宋体" w:hint="ascii"/>
          <w:sz w:val="18"/>
        </w:rPr>
        <w:t>组织器官畸形、损伤与修</w:t>
      </w:r>
    </w:p>
    <w:p>
      <w:pPr>
        <w:autoSpaceDE w:val="0"/>
        <w:autoSpaceDN w:val="0"/>
        <w:jc w:val="left"/>
        <w:spacing w:before="76"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复、再生</w:t>
      </w:r>
    </w:p>
    <w:p>
      <w:pPr>
        <w:autoSpaceDE w:val="0"/>
        <w:autoSpaceDN w:val="0"/>
        <w:jc w:val="left"/>
        <w:spacing w:before="7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体表组织器官移植与再造</w:t>
      </w:r>
    </w:p>
    <w:p>
      <w:pPr>
        <w:autoSpaceDE w:val="0"/>
        <w:autoSpaceDN w:val="0"/>
        <w:jc w:val="left"/>
        <w:spacing w:before="7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颅颌面畸形与矫正</w:t>
      </w:r>
    </w:p>
    <w:p>
      <w:pPr>
        <w:autoSpaceDE w:val="0"/>
        <w:autoSpaceDN w:val="0"/>
        <w:jc w:val="left"/>
        <w:spacing w:before="7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H15</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急重症医学</w:t>
      </w:r>
      <w:r>
        <w:rPr>
          <w:rFonts w:ascii="Times New Roman" w:hAnsi="Times New Roman" w:cs="Times New Roman" w:eastAsia="Times New Roman" w:hint="ascii"/>
          <w:b w:val="1"/>
          <w:sz w:val="18"/>
        </w:rPr>
        <w:t>/</w:t>
      </w:r>
      <w:r>
        <w:rPr>
          <w:rFonts w:ascii="宋体" w:hAnsi="宋体" w:cs="宋体" w:eastAsia="宋体" w:hint="ascii"/>
          <w:sz w:val="18"/>
        </w:rPr>
        <w:t>创伤</w:t>
      </w:r>
      <w:r>
        <w:rPr>
          <w:rFonts w:ascii="Times New Roman" w:hAnsi="Times New Roman" w:cs="Times New Roman" w:eastAsia="Times New Roman" w:hint="ascii"/>
          <w:b w:val="1"/>
          <w:sz w:val="18"/>
        </w:rPr>
        <w:t>/</w:t>
      </w:r>
      <w:r>
        <w:rPr>
          <w:rFonts w:ascii="宋体" w:hAnsi="宋体" w:cs="宋体" w:eastAsia="宋体" w:hint="ascii"/>
          <w:sz w:val="18"/>
        </w:rPr>
        <w:t>烧伤</w:t>
      </w:r>
      <w:r>
        <w:rPr>
          <w:rFonts w:ascii="Times New Roman" w:hAnsi="Times New Roman" w:cs="Times New Roman" w:eastAsia="Times New Roman" w:hint="ascii"/>
          <w:b w:val="1"/>
          <w:sz w:val="18"/>
        </w:rPr>
        <w:t>/</w:t>
      </w:r>
      <w:r>
        <w:rPr>
          <w:rFonts w:ascii="宋体" w:hAnsi="宋体" w:cs="宋体" w:eastAsia="宋体" w:hint="ascii"/>
          <w:sz w:val="18"/>
        </w:rPr>
        <w:t>整形其</w:t>
      </w:r>
    </w:p>
    <w:p>
      <w:pPr>
        <w:autoSpaceDE w:val="0"/>
        <w:autoSpaceDN w:val="0"/>
        <w:jc w:val="left"/>
        <w:spacing w:before="7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他科学问题</w:t>
      </w:r>
    </w:p>
    <w:p>
      <w:pPr>
        <w:autoSpaceDE w:val="0"/>
        <w:autoSpaceDN w:val="0"/>
        <w:jc w:val="left"/>
        <w:spacing w:before="55"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H16</w:t>
      </w:r>
      <w:r>
        <w:rPr>
          <w:rFonts w:ascii="Times New Roman" w:hAnsi="Times New Roman" w:cs="Times New Roman" w:eastAsia="Times New Roman" w:hint="ascii"/>
          <w:b w:val="1"/>
          <w:spacing w:val="60"/>
        </w:rPr>
        <w:t xml:space="preserve"> </w:t>
      </w:r>
      <w:r>
        <w:rPr>
          <w:rFonts w:ascii="宋体" w:hAnsi="宋体" w:cs="宋体" w:eastAsia="宋体" w:hint="ascii"/>
        </w:rPr>
        <w:t>肿瘤学</w:t>
      </w:r>
    </w:p>
    <w:p>
      <w:pPr>
        <w:autoSpaceDE w:val="0"/>
        <w:autoSpaceDN w:val="0"/>
        <w:jc w:val="left"/>
        <w:spacing w:before="8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肿瘤病因</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肿瘤发生</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肿瘤遗传与表观遗传</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肿瘤免疫</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肿瘤预防</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肿瘤复发与转移</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肿瘤干细胞</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肿瘤诊断</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肿瘤化学药物治疗</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肿瘤物理治疗</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肿瘤生物治疗</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肿瘤综合治疗</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肿瘤康复（包括社会心理</w:t>
      </w:r>
    </w:p>
    <w:p>
      <w:pPr>
        <w:autoSpaceDE w:val="0"/>
        <w:autoSpaceDN w:val="0"/>
        <w:jc w:val="left"/>
        <w:spacing w:before="62"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康复）</w:t>
      </w:r>
    </w:p>
    <w:p>
      <w:pPr>
        <w:autoSpaceDE w:val="0"/>
        <w:autoSpaceDN w:val="0"/>
        <w:jc w:val="left"/>
        <w:spacing w:before="55"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肿瘤研究体系新技术</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呼吸系统肿瘤</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消化系统肿瘤</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H1618</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神经</w:t>
      </w:r>
      <w:r>
        <w:rPr>
          <w:rFonts w:ascii="宋体" w:hAnsi="宋体" w:cs="宋体" w:eastAsia="宋体" w:hint="ascii"/>
          <w:sz w:val="18"/>
        </w:rPr>
        <w:t>系统肿瘤（含特殊感受器</w:t>
      </w:r>
    </w:p>
    <w:p>
      <w:pPr>
        <w:autoSpaceDE w:val="0"/>
        <w:autoSpaceDN w:val="0"/>
        <w:jc w:val="left"/>
        <w:spacing w:before="61"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肿瘤）</w:t>
      </w:r>
    </w:p>
    <w:p>
      <w:pPr>
        <w:autoSpaceDE w:val="0"/>
        <w:autoSpaceDN w:val="0"/>
        <w:jc w:val="left"/>
        <w:spacing w:before="56"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泌尿系统肿瘤</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男性生殖系统肿瘤</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女性生殖系统肿瘤</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乳腺肿瘤</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内分泌系统肿瘤</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H1624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骨与软组织肿瘤</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H1625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头颈部及颌面肿瘤</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H1626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皮肤、体表及其他部位肿瘤</w:t>
      </w:r>
    </w:p>
    <w:p>
      <w:pPr>
        <w:autoSpaceDE w:val="0"/>
        <w:autoSpaceDN w:val="0"/>
        <w:jc w:val="left"/>
        <w:spacing w:before="266" w:after="0" w:lineRule="auto" w:line="240"/>
        <w:ind w:right="0" w:left="0" w:firstLine="0"/>
        <w:snapToGrid w:val="0"/>
        <w:textAlignment w:val="auto"/>
        <w:tabs/>
        <w:rPr>
          <w:rFonts w:ascii="宋体" w:hAnsi="宋体" w:cs="宋体" w:eastAsia="宋体" w:hint="ascii"/>
        </w:rPr>
      </w:pPr>
      <w:r>
        <w:rPr>
          <w:rFonts w:ascii="宋体" w:hAnsi="宋体" w:cs="宋体" w:eastAsia="宋体" w:hint="ascii"/>
          <w:sz w:val="18"/>
        </w:rPr>
        <w:br w:type="column"/>
      </w:r>
      <w:r>
        <w:rPr>
          <w:rFonts w:ascii="Times New Roman" w:hAnsi="Times New Roman" w:cs="Times New Roman" w:eastAsia="Times New Roman" w:hint="ascii"/>
          <w:b w:val="1"/>
        </w:rPr>
        <w:t>H17</w:t>
      </w:r>
      <w:r>
        <w:rPr>
          <w:rFonts w:ascii="Times New Roman" w:hAnsi="Times New Roman" w:cs="Times New Roman" w:eastAsia="Times New Roman" w:hint="ascii"/>
          <w:b w:val="1"/>
          <w:spacing w:val="60"/>
        </w:rPr>
        <w:t xml:space="preserve"> </w:t>
      </w:r>
      <w:r>
        <w:rPr>
          <w:rFonts w:ascii="宋体" w:hAnsi="宋体" w:cs="宋体" w:eastAsia="宋体" w:hint="ascii"/>
        </w:rPr>
        <w:t>康复医学</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H1701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康复医学</w:t>
      </w:r>
    </w:p>
    <w:p>
      <w:pPr>
        <w:autoSpaceDE w:val="0"/>
        <w:autoSpaceDN w:val="0"/>
        <w:jc w:val="left"/>
        <w:spacing w:before="58"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H18</w:t>
      </w:r>
      <w:r>
        <w:rPr>
          <w:rFonts w:ascii="Times New Roman" w:hAnsi="Times New Roman" w:cs="Times New Roman" w:eastAsia="Times New Roman" w:hint="ascii"/>
          <w:b w:val="1"/>
          <w:spacing w:val="60"/>
        </w:rPr>
        <w:t xml:space="preserve"> </w:t>
      </w:r>
      <w:r>
        <w:rPr>
          <w:rFonts w:ascii="宋体" w:hAnsi="宋体" w:cs="宋体" w:eastAsia="宋体" w:hint="ascii"/>
        </w:rPr>
        <w:t>影像医学与生物医学工程</w:t>
      </w:r>
    </w:p>
    <w:p>
      <w:pPr>
        <w:autoSpaceDE w:val="0"/>
        <w:autoSpaceDN w:val="0"/>
        <w:jc w:val="left"/>
        <w:spacing w:before="8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磁共振结构成像与疾病诊断</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H1802</w:t>
      </w:r>
      <w:r>
        <w:rPr>
          <w:rFonts w:ascii="Times New Roman" w:hAnsi="Times New Roman" w:cs="Times New Roman" w:eastAsia="Times New Roman" w:hint="ascii"/>
          <w:b w:val="1"/>
          <w:sz w:val="18"/>
          <w:spacing w:val="135"/>
        </w:rPr>
        <w:t xml:space="preserve"> </w:t>
      </w:r>
      <w:r>
        <w:rPr>
          <w:rFonts w:ascii="Times New Roman" w:hAnsi="Times New Roman" w:cs="Times New Roman" w:eastAsia="Times New Roman" w:hint="ascii"/>
          <w:b w:val="1"/>
          <w:sz w:val="18"/>
        </w:rPr>
        <w:t>fMR</w:t>
      </w:r>
      <w:r>
        <w:rPr>
          <w:rFonts w:ascii="Times New Roman" w:hAnsi="Times New Roman" w:cs="Times New Roman" w:eastAsia="Times New Roman" w:hint="ascii"/>
          <w:b w:val="1"/>
          <w:sz w:val="18"/>
          <w:spacing w:val="44"/>
        </w:rPr>
        <w:t>I</w:t>
      </w:r>
      <w:r>
        <w:rPr>
          <w:rFonts w:ascii="宋体" w:hAnsi="宋体" w:cs="宋体" w:eastAsia="宋体" w:hint="ascii"/>
          <w:sz w:val="18"/>
        </w:rPr>
        <w:t>与脑、脊髓功能异常检测</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磁共振成像技术与造影剂</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H1804</w:t>
      </w:r>
      <w:r>
        <w:rPr>
          <w:rFonts w:ascii="Times New Roman" w:hAnsi="Times New Roman" w:cs="Times New Roman" w:eastAsia="Times New Roman" w:hint="ascii"/>
          <w:b w:val="1"/>
          <w:sz w:val="18"/>
          <w:spacing w:val="134"/>
        </w:rPr>
        <w:t xml:space="preserve"> </w:t>
      </w:r>
      <w:r>
        <w:rPr>
          <w:rFonts w:ascii="Times New Roman" w:hAnsi="Times New Roman" w:cs="Times New Roman" w:eastAsia="Times New Roman" w:hint="ascii"/>
          <w:b w:val="1"/>
          <w:sz w:val="18"/>
          <w:spacing w:val="46"/>
        </w:rPr>
        <w:t>X</w:t>
      </w:r>
      <w:r>
        <w:rPr>
          <w:rFonts w:ascii="宋体" w:hAnsi="宋体" w:cs="宋体" w:eastAsia="宋体" w:hint="ascii"/>
          <w:sz w:val="18"/>
        </w:rPr>
        <w:t>射线</w:t>
      </w:r>
      <w:r>
        <w:rPr>
          <w:rFonts w:ascii="宋体" w:hAnsi="宋体" w:cs="宋体" w:eastAsia="宋体" w:hint="ascii"/>
          <w:sz w:val="18"/>
          <w:spacing w:val="23"/>
        </w:rPr>
        <w:t>与</w:t>
      </w:r>
      <w:r>
        <w:rPr>
          <w:rFonts w:ascii="Times New Roman" w:hAnsi="Times New Roman" w:cs="Times New Roman" w:eastAsia="Times New Roman" w:hint="ascii"/>
          <w:b w:val="1"/>
          <w:sz w:val="18"/>
        </w:rPr>
        <w:t>CT</w:t>
      </w:r>
      <w:r>
        <w:rPr>
          <w:rFonts w:ascii="宋体" w:hAnsi="宋体" w:cs="宋体" w:eastAsia="宋体" w:hint="ascii"/>
          <w:sz w:val="18"/>
        </w:rPr>
        <w:t>、电子与离子束、</w:t>
      </w:r>
    </w:p>
    <w:p>
      <w:pPr>
        <w:autoSpaceDE w:val="0"/>
        <w:autoSpaceDN w:val="0"/>
        <w:jc w:val="left"/>
        <w:spacing w:before="62"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放射诊断与质量控制</w:t>
      </w:r>
    </w:p>
    <w:p>
      <w:pPr>
        <w:autoSpaceDE w:val="0"/>
        <w:autoSpaceDN w:val="0"/>
        <w:jc w:val="left"/>
        <w:spacing w:before="4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医学超声与声学造影剂</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核医学</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医学光子学、光谱与光学成像</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分子影像与分子探针</w:t>
      </w:r>
    </w:p>
    <w:p>
      <w:pPr>
        <w:autoSpaceDE w:val="0"/>
        <w:autoSpaceDN w:val="0"/>
        <w:jc w:val="left"/>
        <w:spacing w:before="9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医学图像数据处理与分析</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脑电图、脑磁图与脑机交互</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人体医学信号检测、识别、处</w:t>
      </w:r>
    </w:p>
    <w:p>
      <w:pPr>
        <w:autoSpaceDE w:val="0"/>
        <w:autoSpaceDN w:val="0"/>
        <w:jc w:val="left"/>
        <w:spacing w:before="92"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理与分析</w:t>
      </w:r>
    </w:p>
    <w:p>
      <w:pPr>
        <w:autoSpaceDE w:val="0"/>
        <w:autoSpaceDN w:val="0"/>
        <w:jc w:val="left"/>
        <w:spacing w:before="86"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生物医学传感</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生物医学系统建模及仿真</w:t>
      </w:r>
    </w:p>
    <w:p>
      <w:pPr>
        <w:autoSpaceDE w:val="0"/>
        <w:autoSpaceDN w:val="0"/>
        <w:jc w:val="left"/>
        <w:spacing w:before="9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医学信息系统与远程医疗</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治疗计划、导航与机器人辅助</w:t>
      </w:r>
    </w:p>
    <w:p>
      <w:pPr>
        <w:autoSpaceDE w:val="0"/>
        <w:autoSpaceDN w:val="0"/>
        <w:jc w:val="left"/>
        <w:spacing w:before="110"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介入医学与工程</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康复工程与智能控制</w:t>
      </w:r>
    </w:p>
    <w:p>
      <w:pPr>
        <w:autoSpaceDE w:val="0"/>
        <w:autoSpaceDN w:val="0"/>
        <w:jc w:val="left"/>
        <w:spacing w:before="7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药物、基因载体系统</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纳米医学</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医用生物材料与植入科学</w:t>
      </w:r>
    </w:p>
    <w:p>
      <w:pPr>
        <w:autoSpaceDE w:val="0"/>
        <w:autoSpaceDN w:val="0"/>
        <w:jc w:val="left"/>
        <w:spacing w:before="7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细胞移植、组织再生与生物反</w:t>
      </w:r>
    </w:p>
    <w:p>
      <w:pPr>
        <w:autoSpaceDE w:val="0"/>
        <w:autoSpaceDN w:val="0"/>
        <w:jc w:val="left"/>
        <w:spacing w:before="73"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应器</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H1822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组织工程与再生医学</w:t>
      </w:r>
    </w:p>
    <w:p>
      <w:pPr>
        <w:autoSpaceDE w:val="0"/>
        <w:autoSpaceDN w:val="0"/>
        <w:jc w:val="left"/>
        <w:spacing w:before="74"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H1823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人工器官与特殊感受器仿生医</w:t>
      </w:r>
      <w:r>
        <w:rPr>
          <w:rFonts w:ascii="宋体" w:hAnsi="宋体" w:cs="宋体" w:eastAsia="宋体" w:hint="ascii"/>
          <w:sz w:val="18"/>
        </w:rPr>
        <w:t>学</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H1824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电磁与物理治疗</w:t>
      </w:r>
    </w:p>
    <w:p>
      <w:pPr>
        <w:autoSpaceDE w:val="0"/>
        <w:autoSpaceDN w:val="0"/>
        <w:jc w:val="left"/>
        <w:spacing w:before="7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H1825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用于检测、分析、成像及治疗</w:t>
      </w:r>
    </w:p>
    <w:p>
      <w:pPr>
        <w:autoSpaceDE w:val="0"/>
        <w:autoSpaceDN w:val="0"/>
        <w:jc w:val="left"/>
        <w:spacing w:before="74"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的医学器件和仪器</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H1826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影像医学与生物医学工程其他</w:t>
      </w:r>
    </w:p>
    <w:p>
      <w:pPr>
        <w:autoSpaceDE w:val="0"/>
        <w:autoSpaceDN w:val="0"/>
        <w:jc w:val="left"/>
        <w:spacing w:before="6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科学问题</w:t>
      </w:r>
    </w:p>
    <w:p>
      <w:pPr>
        <w:autoSpaceDE w:val="0"/>
        <w:autoSpaceDN w:val="0"/>
        <w:jc w:val="left"/>
        <w:spacing w:before="52"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H19</w:t>
      </w:r>
      <w:r>
        <w:rPr>
          <w:rFonts w:ascii="Times New Roman" w:hAnsi="Times New Roman" w:cs="Times New Roman" w:eastAsia="Times New Roman" w:hint="ascii"/>
          <w:b w:val="1"/>
          <w:spacing w:val="60"/>
        </w:rPr>
        <w:t xml:space="preserve"> </w:t>
      </w:r>
      <w:r>
        <w:rPr>
          <w:rFonts w:ascii="宋体" w:hAnsi="宋体" w:cs="宋体" w:eastAsia="宋体" w:hint="ascii"/>
        </w:rPr>
        <w:t>医学病原生物与感染</w:t>
      </w:r>
    </w:p>
    <w:p>
      <w:pPr>
        <w:autoSpaceDE w:val="0"/>
        <w:autoSpaceDN w:val="0"/>
        <w:jc w:val="left"/>
        <w:spacing w:before="9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病原细菌、细菌感染与宿主免</w:t>
      </w:r>
      <w:r>
        <w:rPr>
          <w:rFonts w:ascii="宋体" w:hAnsi="宋体" w:cs="宋体" w:eastAsia="宋体" w:hint="ascii"/>
          <w:sz w:val="18"/>
        </w:rPr>
        <w:t>疫</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病原放线菌、放线菌感染与宿</w:t>
      </w:r>
    </w:p>
    <w:p>
      <w:pPr>
        <w:autoSpaceDE w:val="0"/>
        <w:autoSpaceDN w:val="0"/>
        <w:jc w:val="left"/>
        <w:spacing w:before="67" w:after="0" w:lineRule="exact" w:line="225"/>
        <w:ind w:right="0" w:left="1301" w:firstLine="0"/>
        <w:snapToGrid w:val="0"/>
        <w:textAlignment w:val="auto"/>
        <w:tabs/>
        <w:rPr>
          <w:rFonts w:ascii="宋体" w:hAnsi="宋体" w:cs="宋体" w:eastAsia="宋体" w:hint="ascii"/>
          <w:sz w:val="18"/>
        </w:rPr>
      </w:pPr>
      <w:r>
        <w:rPr>
          <w:rFonts w:ascii="宋体" w:hAnsi="宋体" w:cs="宋体" w:eastAsia="宋体" w:hint="ascii"/>
          <w:sz w:val="18"/>
        </w:rPr>
        <w:t>主免疫</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6"/>
        </w:rPr>
        <w:t>病原真菌、真菌感染与宿主免</w:t>
      </w:r>
      <w:r>
        <w:rPr>
          <w:rFonts w:ascii="宋体" w:hAnsi="宋体" w:cs="宋体" w:eastAsia="宋体" w:hint="ascii"/>
          <w:sz w:val="18"/>
        </w:rPr>
        <w:t>疫</w:t>
      </w:r>
    </w:p>
    <w:p>
      <w:pPr>
        <w:autoSpaceDE w:val="0"/>
        <w:autoSpaceDN w:val="0"/>
        <w:jc w:val="left"/>
        <w:spacing w:before="68"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626" w:space="418"/>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H1904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病毒、病毒感染与宿主免疫</w:t>
      </w:r>
      <w:rPr>
        <w:rFonts w:ascii="宋体" w:hAnsi="宋体" w:cs="宋体" w:eastAsia="宋体" w:hint="ascii"/>
        <w:sz w:val="18"/>
      </w:rPr>
    </w:p>
    <w:p>
      <w:pPr>
        <w:autoSpaceDE w:val="0"/>
        <w:autoSpaceDN w:val="0"/>
        <w:jc w:val="left"/>
        <w:spacing w:before="337"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297</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rPr>
        <w:rFonts w:ascii="宋体" w:hAnsi="宋体" w:cs="宋体" w:eastAsia="宋体" w:hint="ascii"/>
        <w:sz w:val="19"/>
      </w:rPr>
    </w:p>
    <w:p>
      <w:pPr>
        <w:autoSpaceDE w:val="0"/>
        <w:autoSpaceDN w:val="0"/>
        <w:jc w:val="left"/>
        <w:spacing w:before="354"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其他病原微生物及感染与宿主</w:t>
      </w:r>
      <w:r>
        <w:rPr>
          <w:rFonts w:ascii="宋体" w:hAnsi="宋体" w:cs="宋体" w:eastAsia="宋体" w:hint="ascii"/>
          <w:sz w:val="18"/>
        </w:rPr>
        <mc:AlternateContent>
          <mc:Choice Requires="wps">
            <w:drawing>
              <wp:anchor distL="0" distR="0" distT="0" distB="0" simplePos="0" behindDoc="1" relativeHeight="757" locked="0" layoutInCell="1" allowOverlap="1">
                <wp:simplePos x="0" y="0"/>
                <wp:positionH relativeFrom="page">
                  <wp:posOffset>938530</wp:posOffset>
                </wp:positionH>
                <wp:positionV relativeFrom="page">
                  <wp:posOffset>805815</wp:posOffset>
                </wp:positionV>
                <wp:extent cx="5076190" cy="0"/>
                <wp:wrapNone/>
                <wp:docPr id="1784" name="1784"/>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0883072;width:399.70pt;" id="1784"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免疫</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H1906</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7"/>
        </w:rPr>
        <w:t>寄生</w:t>
      </w:r>
      <w:r>
        <w:rPr>
          <w:rFonts w:ascii="宋体" w:hAnsi="宋体" w:cs="宋体" w:eastAsia="宋体" w:hint="ascii"/>
          <w:sz w:val="18"/>
          <w:spacing w:val="-6"/>
        </w:rPr>
        <w:t>虫、寄生虫感染与宿主免</w:t>
      </w:r>
      <w:r>
        <w:rPr>
          <w:rFonts w:ascii="宋体" w:hAnsi="宋体" w:cs="宋体" w:eastAsia="宋体" w:hint="ascii"/>
          <w:sz w:val="18"/>
        </w:rPr>
        <w:t>疫</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传染病媒介生物</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病原生物变异与耐药</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医院获得性感染</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性传播疾病</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病原生物与感染研究与诊疗新</w:t>
      </w:r>
    </w:p>
    <w:p>
      <w:pPr>
        <w:autoSpaceDE w:val="0"/>
        <w:autoSpaceDN w:val="0"/>
        <w:jc w:val="left"/>
        <w:spacing w:before="68" w:after="0" w:lineRule="exact" w:line="225"/>
        <w:ind w:right="0" w:left="2266" w:firstLine="0"/>
        <w:snapToGrid w:val="0"/>
        <w:textAlignment w:val="auto"/>
        <w:tabs/>
        <w:rPr>
          <w:rFonts w:ascii="宋体" w:hAnsi="宋体" w:cs="宋体" w:eastAsia="宋体" w:hint="ascii"/>
          <w:sz w:val="18"/>
        </w:rPr>
      </w:pPr>
      <w:r>
        <w:rPr>
          <w:rFonts w:ascii="宋体" w:hAnsi="宋体" w:cs="宋体" w:eastAsia="宋体" w:hint="ascii"/>
          <w:sz w:val="18"/>
        </w:rPr>
        <w:t>技术</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H1912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病原生物与感染其他科学问题</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H20</w:t>
      </w:r>
      <w:r>
        <w:rPr>
          <w:rFonts w:ascii="Times New Roman" w:hAnsi="Times New Roman" w:cs="Times New Roman" w:eastAsia="Times New Roman" w:hint="ascii"/>
          <w:b w:val="1"/>
          <w:spacing w:val="60"/>
        </w:rPr>
        <w:t xml:space="preserve"> </w:t>
      </w:r>
      <w:r>
        <w:rPr>
          <w:rFonts w:ascii="宋体" w:hAnsi="宋体" w:cs="宋体" w:eastAsia="宋体" w:hint="ascii"/>
        </w:rPr>
        <w:t>检验医学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H2001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临床生物化学检验</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H2002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临床微生物学检验</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H2003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临床细胞学和血液学检验</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H2004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临床免疫学检验</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H2005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临床分子生物学检验</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H2006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临床检验新技术</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H2007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检验医学其他科学问题</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H21</w:t>
      </w:r>
      <w:r>
        <w:rPr>
          <w:rFonts w:ascii="Times New Roman" w:hAnsi="Times New Roman" w:cs="Times New Roman" w:eastAsia="Times New Roman" w:hint="ascii"/>
          <w:b w:val="1"/>
          <w:spacing w:val="60"/>
        </w:rPr>
        <w:t xml:space="preserve"> </w:t>
      </w:r>
      <w:r>
        <w:rPr>
          <w:rFonts w:ascii="宋体" w:hAnsi="宋体" w:cs="宋体" w:eastAsia="宋体" w:hint="ascii"/>
        </w:rPr>
        <w:t>特种医学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特种医学（航空、航天、航</w:t>
      </w:r>
    </w:p>
    <w:p>
      <w:pPr>
        <w:autoSpaceDE w:val="0"/>
        <w:autoSpaceDN w:val="0"/>
        <w:jc w:val="both"/>
        <w:spacing w:before="17" w:after="0" w:lineRule="exact" w:line="287"/>
        <w:ind w:right="43" w:left="2266" w:firstLine="0"/>
        <w:snapToGrid w:val="0"/>
        <w:textAlignment w:val="auto"/>
        <w:tabs/>
        <w:rPr>
          <w:rFonts w:ascii="宋体" w:hAnsi="宋体" w:cs="宋体" w:eastAsia="宋体" w:hint="ascii"/>
          <w:sz w:val="18"/>
        </w:rPr>
      </w:pPr>
      <w:r>
        <w:rPr>
          <w:rFonts w:ascii="宋体" w:hAnsi="宋体" w:cs="宋体" w:eastAsia="宋体" w:hint="ascii"/>
          <w:sz w:val="18"/>
          <w:spacing w:val="-1"/>
        </w:rPr>
        <w:t>海、潜水、高</w:t>
      </w:r>
      <w:r>
        <w:rPr>
          <w:rFonts w:ascii="宋体" w:hAnsi="宋体" w:cs="宋体" w:eastAsia="宋体" w:hint="ascii"/>
          <w:sz w:val="18"/>
        </w:rPr>
        <w:t>原、极地等极端环境）</w:t>
      </w:r>
    </w:p>
    <w:p>
      <w:pPr>
        <w:autoSpaceDE w:val="0"/>
        <w:autoSpaceDN w:val="0"/>
        <w:jc w:val="left"/>
        <w:spacing w:before="39"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H22</w:t>
      </w:r>
      <w:r>
        <w:rPr>
          <w:rFonts w:ascii="Times New Roman" w:hAnsi="Times New Roman" w:cs="Times New Roman" w:eastAsia="Times New Roman" w:hint="ascii"/>
          <w:b w:val="1"/>
          <w:spacing w:val="60"/>
        </w:rPr>
        <w:t xml:space="preserve"> </w:t>
      </w:r>
      <w:r>
        <w:rPr>
          <w:rFonts w:ascii="宋体" w:hAnsi="宋体" w:cs="宋体" w:eastAsia="宋体" w:hint="ascii"/>
        </w:rPr>
        <w:t>放射医学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H2201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放射医学</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H23</w:t>
      </w:r>
      <w:r>
        <w:rPr>
          <w:rFonts w:ascii="Times New Roman" w:hAnsi="Times New Roman" w:cs="Times New Roman" w:eastAsia="Times New Roman" w:hint="ascii"/>
          <w:b w:val="1"/>
          <w:spacing w:val="60"/>
        </w:rPr>
        <w:t xml:space="preserve"> </w:t>
      </w:r>
      <w:r>
        <w:rPr>
          <w:rFonts w:ascii="宋体" w:hAnsi="宋体" w:cs="宋体" w:eastAsia="宋体" w:hint="ascii"/>
        </w:rPr>
        <w:t>法医学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H2301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法医毒理、病理及毒物分析</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H2302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法医物证学、法医人类学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H2303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法医精神病学及法医临床学</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H2304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法医学其他科学问题</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H24</w:t>
      </w:r>
      <w:r>
        <w:rPr>
          <w:rFonts w:ascii="Times New Roman" w:hAnsi="Times New Roman" w:cs="Times New Roman" w:eastAsia="Times New Roman" w:hint="ascii"/>
          <w:b w:val="1"/>
          <w:spacing w:val="60"/>
        </w:rPr>
        <w:t xml:space="preserve"> </w:t>
      </w:r>
      <w:r>
        <w:rPr>
          <w:rFonts w:ascii="宋体" w:hAnsi="宋体" w:cs="宋体" w:eastAsia="宋体" w:hint="ascii"/>
        </w:rPr>
        <w:t>地方病学</w:t>
      </w:r>
      <w:r>
        <w:rPr>
          <w:rFonts w:ascii="Times New Roman" w:hAnsi="Times New Roman" w:cs="Times New Roman" w:eastAsia="Times New Roman" w:hint="ascii"/>
          <w:b w:val="1"/>
        </w:rPr>
        <w:t>/</w:t>
      </w:r>
      <w:r>
        <w:rPr>
          <w:rFonts w:ascii="宋体" w:hAnsi="宋体" w:cs="宋体" w:eastAsia="宋体" w:hint="ascii"/>
        </w:rPr>
        <w:t>职业病学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H2401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地方病学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H2402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职业病学</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H25</w:t>
      </w:r>
      <w:r>
        <w:rPr>
          <w:rFonts w:ascii="Times New Roman" w:hAnsi="Times New Roman" w:cs="Times New Roman" w:eastAsia="Times New Roman" w:hint="ascii"/>
          <w:b w:val="1"/>
          <w:spacing w:val="60"/>
        </w:rPr>
        <w:t xml:space="preserve"> </w:t>
      </w:r>
      <w:r>
        <w:rPr>
          <w:rFonts w:ascii="宋体" w:hAnsi="宋体" w:cs="宋体" w:eastAsia="宋体" w:hint="ascii"/>
        </w:rPr>
        <w:t>老年医学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H2501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老年医学</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H26</w:t>
      </w:r>
      <w:r>
        <w:rPr>
          <w:rFonts w:ascii="Times New Roman" w:hAnsi="Times New Roman" w:cs="Times New Roman" w:eastAsia="Times New Roman" w:hint="ascii"/>
          <w:b w:val="1"/>
          <w:spacing w:val="60"/>
        </w:rPr>
        <w:t xml:space="preserve"> </w:t>
      </w:r>
      <w:r>
        <w:rPr>
          <w:rFonts w:ascii="宋体" w:hAnsi="宋体" w:cs="宋体" w:eastAsia="宋体" w:hint="ascii"/>
        </w:rPr>
        <w:t>预防医学</w:t>
      </w:r>
    </w:p>
    <w:p>
      <w:pPr>
        <w:autoSpaceDE w:val="0"/>
        <w:autoSpaceDN w:val="0"/>
        <w:jc w:val="left"/>
        <w:spacing w:before="8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环境卫生</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职业卫生</w:t>
      </w:r>
    </w:p>
    <w:p>
      <w:pPr>
        <w:autoSpaceDE w:val="0"/>
        <w:autoSpaceDN w:val="0"/>
        <w:jc w:val="left"/>
        <w:spacing w:before="6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人类营养</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食品卫生</w:t>
      </w:r>
    </w:p>
    <w:p>
      <w:pPr>
        <w:autoSpaceDE w:val="0"/>
        <w:autoSpaceDN w:val="0"/>
        <w:jc w:val="left"/>
        <w:spacing w:before="61"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妇幼保健</w:t>
      </w:r>
    </w:p>
    <w:p>
      <w:pPr>
        <w:autoSpaceDE w:val="0"/>
        <w:autoSpaceDN w:val="0"/>
        <w:jc w:val="left"/>
        <w:spacing w:before="412"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298</w:t>
      </w:r>
      <w:r>
        <w:rPr>
          <w:rFonts w:ascii="宋体" w:hAnsi="宋体" w:cs="宋体" w:eastAsia="宋体" w:hint="ascii"/>
          <w:sz w:val="18"/>
        </w:rPr>
        <w:t>·</w:t>
      </w:r>
    </w:p>
    <w:p>
      <w:pPr>
        <w:autoSpaceDE w:val="0"/>
        <w:autoSpaceDN w:val="0"/>
        <w:jc w:val="left"/>
        <w:spacing w:before="354"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H2606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儿童少年卫生</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卫生毒理</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卫生分析化学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传染病流行病学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非传染病流行病学</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流行病学方法与卫生统计</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H2612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预防医学其他科学问题</w:t>
      </w:r>
    </w:p>
    <w:p>
      <w:pPr>
        <w:autoSpaceDE w:val="0"/>
        <w:autoSpaceDN w:val="0"/>
        <w:jc w:val="left"/>
        <w:spacing w:before="56"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H27</w:t>
      </w:r>
      <w:r>
        <w:rPr>
          <w:rFonts w:ascii="Times New Roman" w:hAnsi="Times New Roman" w:cs="Times New Roman" w:eastAsia="Times New Roman" w:hint="ascii"/>
          <w:b w:val="1"/>
          <w:spacing w:val="60"/>
        </w:rPr>
        <w:t xml:space="preserve"> </w:t>
      </w:r>
      <w:r>
        <w:rPr>
          <w:rFonts w:ascii="宋体" w:hAnsi="宋体" w:cs="宋体" w:eastAsia="宋体" w:hint="ascii"/>
        </w:rPr>
        <w:t>中医学</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脏腑气血津液体质</w:t>
      </w:r>
    </w:p>
    <w:p>
      <w:pPr>
        <w:autoSpaceDE w:val="0"/>
        <w:autoSpaceDN w:val="0"/>
        <w:jc w:val="left"/>
        <w:spacing w:before="63"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病因病机</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证候基础</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治则与治法</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中医方剂</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中医诊断</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经络与腧穴</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中医内科</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中医外科</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中医骨伤科</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中医妇科</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中医儿科</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中医眼科</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中医耳鼻喉科</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中医口腔科</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中医老年病</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中医养生与康复</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中医针灸</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按摩推拿</w:t>
      </w:r>
    </w:p>
    <w:p>
      <w:pPr>
        <w:autoSpaceDE w:val="0"/>
        <w:autoSpaceDN w:val="0"/>
        <w:jc w:val="left"/>
        <w:spacing w:before="6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H2720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民族医学</w:t>
      </w:r>
    </w:p>
    <w:p>
      <w:pPr>
        <w:autoSpaceDE w:val="0"/>
        <w:autoSpaceDN w:val="0"/>
        <w:jc w:val="left"/>
        <w:spacing w:before="6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H2721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中医学其他科学问题</w:t>
      </w:r>
    </w:p>
    <w:p>
      <w:pPr>
        <w:autoSpaceDE w:val="0"/>
        <w:autoSpaceDN w:val="0"/>
        <w:jc w:val="left"/>
        <w:spacing w:before="56"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H28</w:t>
      </w:r>
      <w:r>
        <w:rPr>
          <w:rFonts w:ascii="Times New Roman" w:hAnsi="Times New Roman" w:cs="Times New Roman" w:eastAsia="Times New Roman" w:hint="ascii"/>
          <w:b w:val="1"/>
          <w:spacing w:val="60"/>
        </w:rPr>
        <w:t xml:space="preserve"> </w:t>
      </w:r>
      <w:r>
        <w:rPr>
          <w:rFonts w:ascii="宋体" w:hAnsi="宋体" w:cs="宋体" w:eastAsia="宋体" w:hint="ascii"/>
        </w:rPr>
        <w:t>中药学</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中药资源</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中药鉴定</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中药药效物质</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中药质量评价</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中药炮制</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中药制剂</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中药药性理论</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中药神经精神药理</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中药心脑血管药理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中药抗肿瘤药理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中药内分泌及代谢药理</w:t>
      </w:r>
    </w:p>
    <w:p>
      <w:pPr>
        <w:autoSpaceDE w:val="0"/>
        <w:autoSpaceDN w:val="0"/>
        <w:jc w:val="left"/>
        <w:spacing w:before="68"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649" w:space="394"/>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H2812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中药抗炎与免疫药理</w:t>
      </w:r>
      <w:rPr>
        <w:rFonts w:ascii="宋体" w:hAnsi="宋体" w:cs="宋体" w:eastAsia="宋体" w:hint="ascii"/>
        <w:sz w:val="18"/>
      </w:rPr>
    </w:p>
    <w:p>
      <w:pPr>
        <w:autoSpaceDE w:val="0"/>
        <w:autoSpaceDN w:val="0"/>
        <w:jc w:val="left"/>
        <w:spacing w:before="470" w:after="0" w:lineRule="exact" w:line="238"/>
        <w:ind w:right="0" w:left="668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9"/>
        </w:rPr>
      </w:pPr>
      <w:r>
        <w:rPr>
          <w:rFonts w:ascii="宋体" w:hAnsi="宋体" w:cs="宋体" w:eastAsia="宋体" w:hint="ascii"/>
          <w:sz w:val="19"/>
        </w:rPr>
        <w:t>国家自然科学基金申请代码</w:t>
      </w:r>
      <w:rPr>
        <w:rFonts w:ascii="宋体" w:hAnsi="宋体" w:cs="宋体" w:eastAsia="宋体" w:hint="ascii"/>
        <w:sz w:val="19"/>
      </w:rPr>
    </w:p>
    <w:p>
      <w:pPr>
        <w:autoSpaceDE w:val="0"/>
        <w:autoSpaceDN w:val="0"/>
        <w:jc w:val="left"/>
        <w:spacing w:before="32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中药抗病毒与感染药理</w:t>
      </w:r>
      <w:r>
        <w:rPr>
          <w:rFonts w:ascii="宋体" w:hAnsi="宋体" w:cs="宋体" w:eastAsia="宋体" w:hint="ascii"/>
          <w:sz w:val="18"/>
        </w:rPr>
        <mc:AlternateContent>
          <mc:Choice Requires="wps">
            <w:drawing>
              <wp:anchor distL="0" distR="0" distT="0" distB="0" simplePos="0" behindDoc="1" relativeHeight="758" locked="0" layoutInCell="1" allowOverlap="1">
                <wp:simplePos x="0" y="0"/>
                <wp:positionH relativeFrom="page">
                  <wp:posOffset>938530</wp:posOffset>
                </wp:positionH>
                <wp:positionV relativeFrom="page">
                  <wp:posOffset>819150</wp:posOffset>
                </wp:positionV>
                <wp:extent cx="5076190" cy="0"/>
                <wp:wrapNone/>
                <wp:docPr id="1785" name="1785"/>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0882048;width:399.70pt;" id="1785" coordsize="7994,0" strokeweight="0.50pt" strokecolor="#231f20" fillcolor="#auto" opacity="0f" from="0.00pt, 0.00pt" to="399.70pt, 0.00pt">
                <v:stroke endcap="round"/>
                <v:fill opacity="0f"/>
                <w10:wrap anchorx="page" anchory="page" side="both"/>
              </v:line>
            </w:pict>
          </mc:Fallback>
        </mc:AlternateConten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中药消化与呼吸药理</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中药泌尿与生殖药理</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中药药代动力学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中药毒理</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民族药学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H2819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中药学其他科学问题</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H29</w:t>
      </w:r>
      <w:r>
        <w:rPr>
          <w:rFonts w:ascii="Times New Roman" w:hAnsi="Times New Roman" w:cs="Times New Roman" w:eastAsia="Times New Roman" w:hint="ascii"/>
          <w:b w:val="1"/>
          <w:spacing w:val="60"/>
        </w:rPr>
        <w:t xml:space="preserve"> </w:t>
      </w:r>
      <w:r>
        <w:rPr>
          <w:rFonts w:ascii="宋体" w:hAnsi="宋体" w:cs="宋体" w:eastAsia="宋体" w:hint="ascii"/>
        </w:rPr>
        <w:t>中西医结合</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H2901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中西医结合基础理论</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H2902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中西医结合临床基础</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H2903</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中医</w:t>
      </w:r>
      <w:r>
        <w:rPr>
          <w:rFonts w:ascii="宋体" w:hAnsi="宋体" w:cs="宋体" w:eastAsia="宋体" w:hint="ascii"/>
          <w:sz w:val="18"/>
        </w:rPr>
        <w:t>药学研究新技术和新方法</w:t>
      </w:r>
    </w:p>
    <w:p>
      <w:pPr>
        <w:autoSpaceDE w:val="0"/>
        <w:autoSpaceDN w:val="0"/>
        <w:jc w:val="left"/>
        <w:spacing w:before="57" w:after="0" w:lineRule="auto" w:line="240"/>
        <w:ind w:right="0" w:left="966" w:firstLine="0"/>
        <w:snapToGrid w:val="0"/>
        <w:textAlignment w:val="auto"/>
        <w:tabs/>
        <w:rPr>
          <w:rFonts w:ascii="宋体" w:hAnsi="宋体" w:cs="宋体" w:eastAsia="宋体" w:hint="ascii"/>
        </w:rPr>
      </w:pPr>
      <w:r>
        <w:rPr>
          <w:rFonts w:ascii="Times New Roman" w:hAnsi="Times New Roman" w:cs="Times New Roman" w:eastAsia="Times New Roman" w:hint="ascii"/>
          <w:b w:val="1"/>
        </w:rPr>
        <w:t>H30</w:t>
      </w:r>
      <w:r>
        <w:rPr>
          <w:rFonts w:ascii="Times New Roman" w:hAnsi="Times New Roman" w:cs="Times New Roman" w:eastAsia="Times New Roman" w:hint="ascii"/>
          <w:b w:val="1"/>
          <w:spacing w:val="60"/>
        </w:rPr>
        <w:t xml:space="preserve"> </w:t>
      </w:r>
      <w:r>
        <w:rPr>
          <w:rFonts w:ascii="宋体" w:hAnsi="宋体" w:cs="宋体" w:eastAsia="宋体" w:hint="ascii"/>
        </w:rPr>
        <w:t>药物学</w:t>
      </w:r>
    </w:p>
    <w:p>
      <w:pPr>
        <w:autoSpaceDE w:val="0"/>
        <w:autoSpaceDN w:val="0"/>
        <w:jc w:val="left"/>
        <w:spacing w:before="92"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合成药物化学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天然药物化学</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微生物药物</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生物技术药物</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海洋药物</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特种药物</w:t>
      </w:r>
    </w:p>
    <w:p>
      <w:pPr>
        <w:autoSpaceDE w:val="0"/>
        <w:autoSpaceDN w:val="0"/>
        <w:jc w:val="left"/>
        <w:spacing w:before="68"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药物设计与药物信息</w:t>
      </w:r>
    </w:p>
    <w:p>
      <w:pPr>
        <w:autoSpaceDE w:val="0"/>
        <w:autoSpaceDN w:val="0"/>
        <w:jc w:val="left"/>
        <w:spacing w:before="67" w:after="0" w:lineRule="auto" w:line="240"/>
        <w:ind w:right="0" w:left="1605"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药剂学</w:t>
      </w:r>
    </w:p>
    <w:p>
      <w:pPr>
        <w:autoSpaceDE w:val="0"/>
        <w:autoSpaceDN w:val="0"/>
        <w:jc w:val="left"/>
        <w:spacing w:before="327" w:after="0" w:lineRule="auto" w:line="240"/>
        <w:ind w:right="0" w:left="640" w:firstLine="0"/>
        <w:snapToGrid w:val="0"/>
        <w:textAlignment w:val="auto"/>
        <w:tabs/>
        <w:rPr>
          <w:rFonts w:ascii="宋体" w:hAnsi="宋体" w:cs="宋体" w:eastAsia="宋体" w:hint="ascii"/>
          <w:sz w:val="18"/>
        </w:rPr>
      </w:pPr>
      <w:r>
        <w:rPr>
          <w:rFonts w:ascii="宋体" w:hAnsi="宋体" w:cs="宋体" w:eastAsia="宋体" w:hint="ascii"/>
          <w:sz w:val="18"/>
        </w:rPr>
        <w:br w:type="column"/>
      </w:r>
      <w:r>
        <w:rPr>
          <w:rFonts w:ascii="Times New Roman" w:hAnsi="Times New Roman" w:cs="Times New Roman" w:eastAsia="Times New Roman" w:hint="ascii"/>
          <w:b w:val="1"/>
          <w:sz w:val="18"/>
        </w:rPr>
        <w:t>H3009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药物材料</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H3010</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药物分析</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药物资源</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H3012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药物学其他科学问题</w:t>
      </w:r>
    </w:p>
    <w:p>
      <w:pPr>
        <w:autoSpaceDE w:val="0"/>
        <w:autoSpaceDN w:val="0"/>
        <w:jc w:val="left"/>
        <w:spacing w:before="57" w:after="0" w:lineRule="auto" w:line="240"/>
        <w:ind w:right="0" w:left="0" w:firstLine="0"/>
        <w:snapToGrid w:val="0"/>
        <w:textAlignment w:val="auto"/>
        <w:tabs/>
        <w:rPr>
          <w:rFonts w:ascii="宋体" w:hAnsi="宋体" w:cs="宋体" w:eastAsia="宋体" w:hint="ascii"/>
        </w:rPr>
      </w:pPr>
      <w:r>
        <w:rPr>
          <w:rFonts w:ascii="Times New Roman" w:hAnsi="Times New Roman" w:cs="Times New Roman" w:eastAsia="Times New Roman" w:hint="ascii"/>
          <w:b w:val="1"/>
        </w:rPr>
        <w:t>H31</w:t>
      </w:r>
      <w:r>
        <w:rPr>
          <w:rFonts w:ascii="Times New Roman" w:hAnsi="Times New Roman" w:cs="Times New Roman" w:eastAsia="Times New Roman" w:hint="ascii"/>
          <w:b w:val="1"/>
          <w:spacing w:val="60"/>
        </w:rPr>
        <w:t xml:space="preserve"> </w:t>
      </w:r>
      <w:r>
        <w:rPr>
          <w:rFonts w:ascii="宋体" w:hAnsi="宋体" w:cs="宋体" w:eastAsia="宋体" w:hint="ascii"/>
        </w:rPr>
        <w:t>药理学</w:t>
      </w:r>
    </w:p>
    <w:p>
      <w:pPr>
        <w:autoSpaceDE w:val="0"/>
        <w:autoSpaceDN w:val="0"/>
        <w:jc w:val="left"/>
        <w:spacing w:before="92"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神经精神药物药理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心脑血管药物药理</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老年病药物药理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H3104</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抗炎与免疫药物药理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H3105</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抗肿瘤药物药理</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H3106</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抗感染药物药理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H3107</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代谢性疾病药物药理</w:t>
      </w:r>
    </w:p>
    <w:p>
      <w:pPr>
        <w:autoSpaceDE w:val="0"/>
        <w:autoSpaceDN w:val="0"/>
        <w:jc w:val="left"/>
        <w:spacing w:before="67"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H3108</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消化与呼吸系统药物药理</w:t>
      </w:r>
    </w:p>
    <w:p>
      <w:pPr>
        <w:autoSpaceDE w:val="0"/>
        <w:autoSpaceDN w:val="0"/>
        <w:jc w:val="left"/>
        <w:spacing w:before="68"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H3109</w:t>
      </w:r>
      <w:r>
        <w:rPr>
          <w:rFonts w:ascii="Times New Roman" w:hAnsi="Times New Roman" w:cs="Times New Roman" w:eastAsia="Times New Roman" w:hint="ascii"/>
          <w:b w:val="1"/>
          <w:sz w:val="18"/>
          <w:spacing w:val="45"/>
        </w:rPr>
        <w:t xml:space="preserve"> </w:t>
      </w:r>
      <w:r>
        <w:rPr>
          <w:rFonts w:ascii="宋体" w:hAnsi="宋体" w:cs="宋体" w:eastAsia="宋体" w:hint="ascii"/>
          <w:sz w:val="18"/>
          <w:spacing w:val="-4"/>
        </w:rPr>
        <w:t>血液、泌尿与生殖系统药物药</w:t>
      </w:r>
      <w:r>
        <w:rPr>
          <w:rFonts w:ascii="宋体" w:hAnsi="宋体" w:cs="宋体" w:eastAsia="宋体" w:hint="ascii"/>
          <w:sz w:val="18"/>
        </w:rPr>
        <w:t>理</w:t>
      </w:r>
    </w:p>
    <w:p>
      <w:pPr>
        <w:autoSpaceDE w:val="0"/>
        <w:autoSpaceDN w:val="0"/>
        <w:jc w:val="both"/>
        <w:spacing w:before="67" w:after="0" w:lineRule="auto" w:line="313"/>
        <w:ind w:right="1772"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spacing w:val="-1"/>
        </w:rPr>
        <w:t>H3</w:t>
      </w:r>
      <w:r>
        <w:rPr>
          <w:rFonts w:ascii="Times New Roman" w:hAnsi="Times New Roman" w:cs="Times New Roman" w:eastAsia="Times New Roman" w:hint="ascii"/>
          <w:b w:val="1"/>
          <w:sz w:val="18"/>
          <w:spacing w:val="-11"/>
        </w:rPr>
        <w:t>1</w:t>
      </w:r>
      <w:r>
        <w:rPr>
          <w:rFonts w:ascii="Times New Roman" w:hAnsi="Times New Roman" w:cs="Times New Roman" w:eastAsia="Times New Roman" w:hint="ascii"/>
          <w:b w:val="1"/>
          <w:sz w:val="18"/>
          <w:spacing w:val="-1"/>
        </w:rPr>
        <w:t>10</w:t>
      </w:r>
      <w:r>
        <w:rPr>
          <w:rFonts w:ascii="Times New Roman" w:hAnsi="Times New Roman" w:cs="Times New Roman" w:eastAsia="Times New Roman" w:hint="ascii"/>
          <w:b w:val="1"/>
          <w:sz w:val="18"/>
          <w:spacing w:val="44"/>
        </w:rPr>
        <w:t xml:space="preserve"> </w:t>
      </w:r>
      <w:r>
        <w:rPr>
          <w:rFonts w:ascii="宋体" w:hAnsi="宋体" w:cs="宋体" w:eastAsia="宋体" w:hint="ascii"/>
          <w:sz w:val="18"/>
          <w:spacing w:val="-1"/>
        </w:rPr>
        <w:t>药物</w:t>
      </w:r>
      <w:r>
        <w:rPr>
          <w:rFonts w:ascii="宋体" w:hAnsi="宋体" w:cs="宋体" w:eastAsia="宋体" w:hint="ascii"/>
          <w:sz w:val="18"/>
        </w:rPr>
        <w:t>代谢与药物动力学</w:t>
      </w:r>
      <w:r>
        <w:rPr>
          <w:rFonts w:ascii="Times New Roman" w:hAnsi="Times New Roman" w:cs="Times New Roman" w:eastAsia="Times New Roman" w:hint="ascii"/>
          <w:b w:val="1"/>
          <w:sz w:val="18"/>
        </w:rPr>
        <w:t>H3</w:t>
      </w:r>
      <w:r>
        <w:rPr>
          <w:rFonts w:ascii="Times New Roman" w:hAnsi="Times New Roman" w:cs="Times New Roman" w:eastAsia="Times New Roman" w:hint="ascii"/>
          <w:b w:val="1"/>
          <w:sz w:val="18"/>
          <w:spacing w:val="-10"/>
        </w:rPr>
        <w:t>11</w:t>
      </w:r>
      <w:r>
        <w:rPr>
          <w:rFonts w:ascii="Times New Roman" w:hAnsi="Times New Roman" w:cs="Times New Roman" w:eastAsia="Times New Roman" w:hint="ascii"/>
          <w:b w:val="1"/>
          <w:sz w:val="18"/>
        </w:rPr>
        <w:t>1</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临床药理</w:t>
      </w:r>
    </w:p>
    <w:p>
      <w:pPr>
        <w:autoSpaceDE w:val="0"/>
        <w:autoSpaceDN w:val="0"/>
        <w:jc w:val="left"/>
        <w:spacing w:before="1" w:after="0" w:lineRule="auto" w:line="240"/>
        <w:ind w:right="0" w:left="640" w:firstLine="0"/>
        <w:snapToGrid w:val="0"/>
        <w:textAlignment w:val="auto"/>
        <w:tabs/>
        <w:rPr>
          <w:rFonts w:ascii="宋体" w:hAnsi="宋体" w:cs="宋体" w:eastAsia="宋体" w:hint="ascii"/>
          <w:sz w:val="18"/>
        </w:rPr>
      </w:pPr>
      <w:r>
        <w:rPr>
          <w:rFonts w:ascii="Times New Roman" w:hAnsi="Times New Roman" w:cs="Times New Roman" w:eastAsia="Times New Roman" w:hint="ascii"/>
          <w:b w:val="1"/>
          <w:sz w:val="18"/>
        </w:rPr>
        <w:t>H3</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12</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药物毒理</w:t>
      </w:r>
    </w:p>
    <w:p>
      <w:pPr>
        <w:autoSpaceDE w:val="0"/>
        <w:autoSpaceDN w:val="0"/>
        <w:jc w:val="left"/>
        <w:spacing w:before="67" w:after="0" w:lineRule="auto" w:line="240"/>
        <w:ind w:right="0" w:left="640" w:firstLine="0"/>
        <w:snapToGrid w:val="0"/>
        <w:textAlignment w:val="auto"/>
        <w:tabs/>
        <w:sectPr>
          <w:type w:val="continuous"/>
          <w:pgSz w:w="10940" w:h="15080" w:orient="portrait"/>
          <w:pgMar w:top="508" w:right="508" w:bottom="508" w:left="508" w:header="0" w:footer="0" w:gutter="0"/>
          <w:cols w:num="2" w:space="0" w:equalWidth="0">
            <w:col w:w="4626" w:space="418"/>
            <w:col w:w="4881"/>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Times New Roman" w:hAnsi="Times New Roman" w:cs="Times New Roman" w:eastAsia="Times New Roman" w:hint="ascii"/>
          <w:b w:val="1"/>
          <w:sz w:val="18"/>
        </w:rPr>
        <w:t>H3</w:t>
      </w:r>
      <w:r>
        <w:rPr>
          <w:rFonts w:ascii="Times New Roman" w:hAnsi="Times New Roman" w:cs="Times New Roman" w:eastAsia="Times New Roman" w:hint="ascii"/>
          <w:b w:val="1"/>
          <w:sz w:val="18"/>
          <w:spacing w:val="-10"/>
        </w:rPr>
        <w:t>1</w:t>
      </w:r>
      <w:r>
        <w:rPr>
          <w:rFonts w:ascii="Times New Roman" w:hAnsi="Times New Roman" w:cs="Times New Roman" w:eastAsia="Times New Roman" w:hint="ascii"/>
          <w:b w:val="1"/>
          <w:sz w:val="18"/>
        </w:rPr>
        <w:t>13</w:t>
      </w:r>
      <w:r>
        <w:rPr>
          <w:rFonts w:ascii="Times New Roman" w:hAnsi="Times New Roman" w:cs="Times New Roman" w:eastAsia="Times New Roman" w:hint="ascii"/>
          <w:b w:val="1"/>
          <w:sz w:val="18"/>
          <w:spacing w:val="45"/>
        </w:rPr>
        <w:t xml:space="preserve"> </w:t>
      </w:r>
      <w:r>
        <w:rPr>
          <w:rFonts w:ascii="宋体" w:hAnsi="宋体" w:cs="宋体" w:eastAsia="宋体" w:hint="ascii"/>
          <w:sz w:val="18"/>
        </w:rPr>
        <w:t>药理学其他科学问题</w:t>
      </w:r>
      <w:rPr>
        <w:rFonts w:ascii="宋体" w:hAnsi="宋体" w:cs="宋体" w:eastAsia="宋体" w:hint="ascii"/>
        <w:sz w:val="18"/>
      </w:rPr>
    </w:p>
    <w:p>
      <w:pPr>
        <w:autoSpaceDE w:val="0"/>
        <w:autoSpaceDN w:val="0"/>
        <w:jc w:val="left"/>
        <w:spacing w:before="6543" w:after="0" w:lineRule="exact" w:line="225"/>
        <w:ind w:right="0" w:left="8331" w:firstLine="0"/>
        <w:snapToGrid w:val="0"/>
        <w:textAlignment w:val="auto"/>
        <w:tabs/>
        <w:sectPr>
          <w:type w:val="continuous"/>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299</w:t>
      </w:r>
      <w:r>
        <w:rPr>
          <w:rFonts w:ascii="宋体" w:hAnsi="宋体" w:cs="宋体" w:eastAsia="宋体" w:hint="ascii"/>
          <w:sz w:val="18"/>
        </w:rPr>
        <w:t>·</w:t>
      </w:r>
      <w:rPr>
        <w:rFonts w:ascii="宋体" w:hAnsi="宋体" w:cs="宋体" w:eastAsia="宋体" w:hint="ascii"/>
        <w:sz w:val="18"/>
      </w:rPr>
    </w:p>
    <w:p>
      <w:pPr>
        <w:autoSpaceDE w:val="0"/>
        <w:autoSpaceDN w:val="0"/>
        <w:jc w:val="left"/>
        <w:spacing w:before="0" w:after="0" w:lineRule="auto" w:line="240"/>
        <w:ind w:right="0" w:left="0" w:firstLine="0"/>
        <w:snapToGrid w:val="0"/>
        <w:textAlignment w:val="auto"/>
        <w:tabs/>
        <w:sectPr>
          <w:pgSz w:w="10940" w:h="15080" w:orient="portrait"/>
          <w:pgMar w:top="508" w:right="508" w:bottom="3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mc:AlternateContent>
          <mc:Choice Requires="wps">
            <w:drawing>
              <wp:anchor distL="0" distR="0" distT="0" distB="0" simplePos="0" behindDoc="1" relativeHeight="759" locked="0" layoutInCell="1" allowOverlap="1">
                <wp:simplePos x="0" y="0"/>
                <wp:positionH relativeFrom="page">
                  <wp:posOffset>938530</wp:posOffset>
                </wp:positionH>
                <wp:positionV relativeFrom="page">
                  <wp:posOffset>805815</wp:posOffset>
                </wp:positionV>
                <wp:extent cx="5076190" cy="0"/>
                <wp:wrapNone/>
                <wp:docPr id="1786" name="1786"/>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0881024;width:399.70pt;" id="1786"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18"/>
        </w:rPr>
        <mc:AlternateContent>
          <mc:Choice Requires="wps">
            <w:drawing>
              <wp:anchor distL="0" distR="0" distT="0" distB="0" simplePos="0" behindDoc="1" relativeHeight="760" locked="0" layoutInCell="1" allowOverlap="1">
                <wp:simplePos x="0" y="0"/>
                <wp:positionH relativeFrom="page">
                  <wp:posOffset>380365</wp:posOffset>
                </wp:positionH>
                <wp:positionV relativeFrom="page">
                  <wp:posOffset>248920</wp:posOffset>
                </wp:positionV>
                <wp:extent cx="6137275" cy="1097280"/>
                <wp:wrapNone/>
                <wp:docPr id="1787" name="1787"/>
                <wp:cNvGraphicFramePr/>
                <a:graphic>
                  <a:graphicData uri="http://schemas.microsoft.com/office/word/2010/wordprocessingShape">
                    <wps:wsp>
                      <wps:cNvSpPr/>
                      <wps:spPr>
                        <a:xfrm>
                          <a:off x="0" y="0"/>
                          <a:ext cx="6137275" cy="109728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9.95pt;mso-position-vertical:absolute;mso-position-vertical-relative:page;margin-top:19.60pt;z-index:-250880000;width:483.25pt;height:86.40pt;" id="1787" coordsize="9665,1728" stroked="f" fillcolor="#ffffff" opacity="0f">
                <v:stroke endcap="round"/>
                <v:fill opacity="0f"/>
                <w10:wrap anchorx="page" anchory="page" side="both"/>
              </v:rect>
            </w:pict>
          </mc:Fallback>
        </mc:AlternateContent>
      </w:r>
      <w:r>
        <w:rPr>
          <w:rFonts w:ascii="宋体" w:hAnsi="宋体" w:cs="宋体" w:eastAsia="宋体" w:hint="ascii"/>
          <w:sz w:val="18"/>
        </w:rPr>
        <mc:AlternateContent>
          <mc:Choice Requires="wps">
            <w:drawing>
              <wp:anchor distL="0" distR="0" distT="0" distB="0" simplePos="0" behindDoc="1" relativeHeight="761" locked="0" layoutInCell="1" allowOverlap="1">
                <wp:simplePos x="0" y="0"/>
                <wp:positionH relativeFrom="page">
                  <wp:posOffset>380365</wp:posOffset>
                </wp:positionH>
                <wp:positionV relativeFrom="page">
                  <wp:posOffset>8412480</wp:posOffset>
                </wp:positionV>
                <wp:extent cx="1726565" cy="906780"/>
                <wp:wrapNone/>
                <wp:docPr id="1788" name="1788"/>
                <wp:cNvGraphicFramePr/>
                <a:graphic>
                  <a:graphicData uri="http://schemas.microsoft.com/office/word/2010/wordprocessingShape">
                    <wps:wsp>
                      <wps:cNvSpPr/>
                      <wps:spPr>
                        <a:xfrm>
                          <a:off x="0" y="0"/>
                          <a:ext cx="1726565" cy="906780"/>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9.95pt;mso-position-vertical:absolute;mso-position-vertical-relative:page;margin-top:662.40pt;z-index:-250878976;width:135.95pt;height:71.40pt;" id="1788" coordsize="2719,1428" stroked="f" fillcolor="#ffffff" opacity="0f">
                <v:stroke endcap="round"/>
                <v:fill opacity="0f"/>
                <w10:wrap anchorx="page" anchory="page" side="both"/>
              </v:rect>
            </w:pict>
          </mc:Fallback>
        </mc:AlternateContent>
      </w:r>
      <w:rPr>
        <w:rFonts w:ascii="宋体" w:hAnsi="宋体" w:cs="宋体" w:eastAsia="宋体" w:hint="ascii"/>
        <w:sz w:val="18"/>
      </w:rPr>
    </w:p>
    <w:p>
      <w:pPr>
        <w:autoSpaceDE w:val="0"/>
        <w:autoSpaceDN w:val="0"/>
        <w:jc w:val="left"/>
        <w:spacing w:before="1162" w:after="0" w:lineRule="exact" w:line="650"/>
        <w:ind w:right="0" w:left="4176" w:firstLine="0"/>
        <w:snapToGrid w:val="0"/>
        <w:textAlignment w:val="auto"/>
        <w:tabs/>
        <w:rPr>
          <w:rFonts w:ascii="宋体" w:hAnsi="宋体" w:cs="宋体" w:eastAsia="宋体" w:hint="ascii"/>
          <w:sz w:val="52"/>
        </w:rPr>
      </w:pPr>
      <w:r>
        <w:rPr>
          <w:rFonts w:ascii="宋体" w:hAnsi="宋体" w:cs="宋体" w:eastAsia="宋体" w:hint="ascii"/>
          <w:sz w:val="52"/>
        </w:rPr>
        <w:t>附</w:t>
      </w:r>
      <w:r>
        <w:rPr>
          <w:rFonts w:ascii="宋体" w:hAnsi="宋体" w:cs="宋体" w:eastAsia="宋体" w:hint="ascii"/>
          <w:sz w:val="52"/>
          <w:spacing w:val="130"/>
        </w:rPr>
        <w:t xml:space="preserve"> </w:t>
      </w:r>
      <w:r>
        <w:rPr>
          <w:rFonts w:ascii="宋体" w:hAnsi="宋体" w:cs="宋体" w:eastAsia="宋体" w:hint="ascii"/>
          <w:sz w:val="52"/>
        </w:rPr>
        <w:t>录</w:t>
      </w:r>
      <w:r>
        <w:rPr>
          <w:rFonts w:ascii="宋体" w:hAnsi="宋体" w:cs="宋体" w:eastAsia="宋体" w:hint="ascii"/>
          <w:sz w:val="52"/>
        </w:rPr>
        <mc:AlternateContent>
          <mc:Choice Requires="wps">
            <w:drawing>
              <wp:anchor distL="0" distR="0" distT="0" distB="0" simplePos="0" behindDoc="1" relativeHeight="762" locked="0" layoutInCell="1" allowOverlap="1">
                <wp:simplePos x="0" y="0"/>
                <wp:positionH relativeFrom="page">
                  <wp:posOffset>938530</wp:posOffset>
                </wp:positionH>
                <wp:positionV relativeFrom="page">
                  <wp:posOffset>819150</wp:posOffset>
                </wp:positionV>
                <wp:extent cx="5076190" cy="0"/>
                <wp:wrapNone/>
                <wp:docPr id="1789" name="1789"/>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4.50pt;z-index:-250877952;width:399.70pt;" id="1789" coordsize="7994,0" strokeweight="0.50pt" strokecolor="#231f20" fillcolor="#auto" opacity="0f" from="0.00pt, 0.00pt" to="399.70pt, 0.00pt">
                <v:stroke endcap="round"/>
                <v:fill opacity="0f"/>
                <w10:wrap anchorx="page" anchory="page" side="both"/>
              </v:line>
            </w:pict>
          </mc:Fallback>
        </mc:AlternateContent>
      </w:r>
      <w:r>
        <w:rPr>
          <w:rFonts w:ascii="宋体" w:hAnsi="宋体" w:cs="宋体" w:eastAsia="宋体" w:hint="ascii"/>
          <w:sz w:val="52"/>
        </w:rPr>
        <mc:AlternateContent>
          <mc:Choice Requires="wps">
            <w:drawing>
              <wp:anchor distL="0" distR="0" distT="0" distB="0" simplePos="0" behindDoc="1" relativeHeight="763" locked="0" layoutInCell="1" allowOverlap="1">
                <wp:simplePos x="0" y="0"/>
                <wp:positionH relativeFrom="page">
                  <wp:posOffset>320675</wp:posOffset>
                </wp:positionH>
                <wp:positionV relativeFrom="page">
                  <wp:posOffset>260350</wp:posOffset>
                </wp:positionV>
                <wp:extent cx="6346190" cy="612775"/>
                <wp:wrapNone/>
                <wp:docPr id="1790" name="1790"/>
                <wp:cNvGraphicFramePr/>
                <a:graphic>
                  <a:graphicData uri="http://schemas.microsoft.com/office/word/2010/wordprocessingShape">
                    <wps:wsp>
                      <wps:cNvSpPr/>
                      <wps:spPr>
                        <a:xfrm>
                          <a:off x="0" y="0"/>
                          <a:ext cx="6346190" cy="612775"/>
                        </a:xfrm>
                        <a:prstGeom prst="rect"/>
                        <a:solidFill>
                          <a:srgbClr val="ffffff">
                            <a:alpha val="0"/>
                          </a:srgbClr>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25.25pt;mso-position-vertical:absolute;mso-position-vertical-relative:page;margin-top:20.50pt;z-index:-250876928;width:499.70pt;height:48.25pt;" id="1790" coordsize="9994,965" stroked="f" fillcolor="#ffffff" opacity="0f">
                <v:stroke endcap="round"/>
                <v:fill opacity="0f"/>
                <w10:wrap anchorx="page" anchory="page" side="both"/>
              </v:rect>
            </w:pict>
          </mc:Fallback>
        </mc:AlternateContent>
      </w:r>
    </w:p>
    <w:p>
      <w:pPr>
        <w:autoSpaceDE w:val="0"/>
        <w:autoSpaceDN w:val="0"/>
        <w:jc w:val="left"/>
        <w:spacing w:before="268" w:after="278" w:lineRule="exact" w:line="475"/>
        <w:ind w:right="0" w:left="1346" w:firstLine="0"/>
        <w:snapToGrid w:val="0"/>
        <w:textAlignment w:val="auto"/>
        <w:tabs/>
        <w:rPr>
          <w:rFonts w:ascii="宋体" w:hAnsi="宋体" w:cs="宋体" w:eastAsia="宋体" w:hint="ascii"/>
          <w:sz w:val="38"/>
        </w:rPr>
      </w:pPr>
      <w:r>
        <w:rPr>
          <w:rFonts w:ascii="宋体" w:hAnsi="宋体" w:cs="宋体" w:eastAsia="宋体" w:hint="ascii"/>
          <w:sz w:val="38"/>
        </w:rPr>
        <w:t>国家自然科学基金委员会有关部门联系电话</w:t>
      </w:r>
    </w:p>
    <w:tbl>
      <w:tblPr>
        <w:tblW w:w="7992" w:type="dxa"/>
        <w:jc w:val="left"/>
        <w:tblInd w:w="967"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473"/>
        <w:gridCol w:w="2391"/>
        <w:gridCol w:w="955"/>
        <w:gridCol w:w="478"/>
        <w:gridCol w:w="643"/>
        <w:gridCol w:w="2063"/>
        <w:gridCol w:w="989"/>
      </w:tblGrid>
      <w:tr>
        <w:trPr>
          <w:trHeight w:val="266" w:hRule="exact"/>
          <w:cantSplit w:val="1"/>
        </w:trPr>
        <w:tc>
          <w:tcPr>
            <w:tcW w:w="2864" w:type="dxa"/>
            <w:gridSpan w:val="2"/>
            <w:vAlign w:val="top"/>
            <w:tcMar/>
            <w:tcBorders/>
          </w:tcPr>
          <w:p>
            <w:pPr>
              <w:autoSpaceDE w:val="0"/>
              <w:autoSpaceDN w:val="0"/>
              <w:jc w:val="left"/>
              <w:spacing w:before="28" w:after="0" w:lineRule="exact" w:line="188"/>
              <w:ind w:right="0" w:left="1123" w:firstLine="0"/>
              <w:snapToGrid w:val="0"/>
              <w:textAlignment w:val="auto"/>
              <w:tabs/>
              <w:rPr>
                <w:rFonts w:ascii="宋体" w:hAnsi="宋体" w:cs="宋体" w:eastAsia="宋体" w:hint="ascii"/>
                <w:sz w:val="15"/>
              </w:rPr>
            </w:pPr>
            <w:r>
              <w:rPr>
                <w:rFonts w:ascii="宋体" w:hAnsi="宋体" w:cs="宋体" w:eastAsia="宋体" w:hint="ascii"/>
                <w:sz w:val="15"/>
              </w:rPr>
              <w:t>单位名称</w:t>
            </w:r>
          </w:p>
        </w:tc>
        <w:tc>
          <w:tcPr>
            <w:tcW w:w="955" w:type="dxa"/>
            <w:gridSpan w:val="1"/>
            <w:vAlign w:val="top"/>
            <w:tcMar/>
            <w:tcBorders>
              <w:left w:val="single" w:sz="4" w:space="0" w:color="000000"/>
              <w:right w:val="single" w:sz="12" w:space="0" w:color="000000"/>
            </w:tcBorders>
          </w:tcPr>
          <w:p>
            <w:pPr>
              <w:autoSpaceDE w:val="0"/>
              <w:autoSpaceDN w:val="0"/>
              <w:jc w:val="left"/>
              <w:spacing w:before="28" w:after="0" w:lineRule="exact" w:line="188"/>
              <w:ind w:right="0" w:left="323" w:firstLine="0"/>
              <w:snapToGrid w:val="0"/>
              <w:textAlignment w:val="auto"/>
              <w:tabs/>
              <w:rPr>
                <w:rFonts w:ascii="宋体" w:hAnsi="宋体" w:cs="宋体" w:eastAsia="宋体" w:hint="ascii"/>
                <w:sz w:val="15"/>
              </w:rPr>
            </w:pPr>
            <w:r>
              <w:rPr>
                <w:rFonts w:ascii="宋体" w:hAnsi="宋体" w:cs="宋体" w:eastAsia="宋体" w:hint="ascii"/>
                <w:sz w:val="15"/>
              </w:rPr>
              <w:t>电话</w:t>
            </w:r>
          </w:p>
        </w:tc>
        <w:tc>
          <w:tcPr>
            <w:tcW w:w="3184" w:type="dxa"/>
            <w:gridSpan w:val="3"/>
            <w:vAlign w:val="top"/>
            <w:tcMar/>
            <w:tcBorders>
              <w:left w:val="single" w:sz="12" w:space="0" w:color="000000"/>
            </w:tcBorders>
          </w:tcPr>
          <w:p>
            <w:pPr>
              <w:autoSpaceDE w:val="0"/>
              <w:autoSpaceDN w:val="0"/>
              <w:jc w:val="left"/>
              <w:spacing w:before="28" w:after="0" w:lineRule="exact" w:line="188"/>
              <w:ind w:right="0" w:left="1276" w:firstLine="0"/>
              <w:snapToGrid w:val="0"/>
              <w:textAlignment w:val="auto"/>
              <w:tabs/>
              <w:rPr>
                <w:rFonts w:ascii="宋体" w:hAnsi="宋体" w:cs="宋体" w:eastAsia="宋体" w:hint="ascii"/>
                <w:sz w:val="15"/>
              </w:rPr>
            </w:pPr>
            <w:r>
              <w:rPr>
                <w:rFonts w:ascii="宋体" w:hAnsi="宋体" w:cs="宋体" w:eastAsia="宋体" w:hint="ascii"/>
                <w:sz w:val="15"/>
              </w:rPr>
              <w:t>单位名称</w:t>
            </w:r>
          </w:p>
        </w:tc>
        <w:tc>
          <w:tcPr>
            <w:tcW w:w="989" w:type="dxa"/>
            <w:gridSpan w:val="1"/>
            <w:vAlign w:val="top"/>
            <w:tcMar/>
            <w:tcBorders>
              <w:left w:val="single" w:sz="4" w:space="0" w:color="000000"/>
              <w:right w:val="single" w:sz="8" w:space="0" w:color="000000"/>
            </w:tcBorders>
          </w:tcPr>
          <w:p>
            <w:pPr>
              <w:autoSpaceDE w:val="0"/>
              <w:autoSpaceDN w:val="0"/>
              <w:jc w:val="left"/>
              <w:spacing w:before="28" w:after="0" w:lineRule="exact" w:line="188"/>
              <w:ind w:right="0" w:left="339" w:firstLine="0"/>
              <w:snapToGrid w:val="0"/>
              <w:textAlignment w:val="auto"/>
              <w:tabs/>
              <w:rPr>
                <w:rFonts w:ascii="宋体" w:hAnsi="宋体" w:cs="宋体" w:eastAsia="宋体" w:hint="ascii"/>
                <w:sz w:val="15"/>
              </w:rPr>
            </w:pPr>
            <w:r>
              <w:rPr>
                <w:rFonts w:ascii="宋体" w:hAnsi="宋体" w:cs="宋体" w:eastAsia="宋体" w:hint="ascii"/>
                <w:sz w:val="15"/>
              </w:rPr>
              <w:t>电话</w:t>
            </w:r>
          </w:p>
        </w:tc>
      </w:tr>
      <w:tr>
        <w:trPr>
          <w:trHeight w:val="284" w:hRule="exact"/>
          <w:cantSplit w:val="1"/>
        </w:trPr>
        <w:tc>
          <w:tcPr>
            <w:tcW w:w="3819" w:type="dxa"/>
            <w:gridSpan w:val="3"/>
            <w:vAlign w:val="top"/>
            <w:tcMar/>
            <w:tcBorders>
              <w:top w:val="single" w:sz="4" w:space="0" w:color="000000"/>
              <w:right w:val="single" w:sz="12" w:space="0" w:color="000000"/>
            </w:tcBorders>
          </w:tcPr>
          <w:p>
            <w:pPr>
              <w:autoSpaceDE w:val="0"/>
              <w:autoSpaceDN w:val="0"/>
              <w:jc w:val="left"/>
              <w:spacing w:before="37"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数理科学部</w:t>
            </w:r>
          </w:p>
        </w:tc>
        <w:tc>
          <w:tcPr>
            <w:tcW w:w="478" w:type="dxa"/>
            <w:gridSpan w:val="1"/>
            <w:vAlign w:val="top"/>
            <w:vMerge w:val="restart"/>
            <w:tcMar/>
            <w:tcBorders>
              <w:left w:val="single" w:sz="12" w:space="0" w:color="000000"/>
              <w:top w:val="single" w:sz="4" w:space="0" w:color="000000"/>
            </w:tcBorders>
          </w:tcPr>
          <w:p>
            <w:pPr>
              <w:autoSpaceDE w:val="0"/>
              <w:autoSpaceDN w:val="0"/>
              <w:jc w:val="left"/>
              <w:spacing w:before="188"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2706" w:type="dxa"/>
            <w:gridSpan w:val="2"/>
            <w:vAlign w:val="top"/>
            <w:tcMar/>
            <w:tcBorders>
              <w:left w:val="single" w:sz="4" w:space="0" w:color="000000"/>
              <w:top w:val="single" w:sz="4" w:space="0" w:color="000000"/>
            </w:tcBorders>
          </w:tcPr>
          <w:p>
            <w:pPr>
              <w:autoSpaceDE w:val="0"/>
              <w:autoSpaceDN w:val="0"/>
              <w:jc w:val="left"/>
              <w:spacing w:before="41"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作物学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7"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62329494</w:t>
            </w:r>
          </w:p>
        </w:tc>
      </w:tr>
      <w:tr>
        <w:trPr>
          <w:trHeight w:val="296" w:hRule="exact"/>
          <w:cantSplit w:val="1"/>
        </w:trPr>
        <w:tc>
          <w:tcPr>
            <w:tcW w:w="2864" w:type="dxa"/>
            <w:gridSpan w:val="2"/>
            <w:vAlign w:val="top"/>
            <w:tcMar/>
            <w:tcBorders>
              <w:top w:val="single" w:sz="4" w:space="0" w:color="000000"/>
            </w:tcBorders>
          </w:tcPr>
          <w:p>
            <w:pPr>
              <w:autoSpaceDE w:val="0"/>
              <w:autoSpaceDN w:val="0"/>
              <w:jc w:val="left"/>
              <w:spacing w:before="6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综合与战略规划处</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0"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w:t>
            </w:r>
            <w:r>
              <w:rPr>
                <w:rFonts w:ascii="Times New Roman" w:hAnsi="Times New Roman" w:cs="Times New Roman" w:eastAsia="Times New Roman" w:hint="ascii"/>
                <w:sz w:val="15"/>
                <w:spacing w:val="-7"/>
              </w:rPr>
              <w:t>1</w:t>
            </w:r>
            <w:r>
              <w:rPr>
                <w:rFonts w:ascii="Times New Roman" w:hAnsi="Times New Roman" w:cs="Times New Roman" w:eastAsia="Times New Roman" w:hint="ascii"/>
                <w:sz w:val="15"/>
              </w:rPr>
              <w:t>1</w:t>
            </w:r>
          </w:p>
        </w:tc>
        <w:tc>
          <w:tcPr>
            <w:tcW w:w="478"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706" w:type="dxa"/>
            <w:gridSpan w:val="2"/>
            <w:vAlign w:val="top"/>
            <w:tcMar/>
            <w:tcBorders>
              <w:left w:val="single" w:sz="4" w:space="0" w:color="000000"/>
              <w:top w:val="single" w:sz="4" w:space="0" w:color="000000"/>
            </w:tcBorders>
          </w:tcPr>
          <w:p>
            <w:pPr>
              <w:autoSpaceDE w:val="0"/>
              <w:autoSpaceDN w:val="0"/>
              <w:jc w:val="left"/>
              <w:spacing w:before="63"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食品科学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62326919</w:t>
            </w:r>
          </w:p>
        </w:tc>
      </w:tr>
      <w:tr>
        <w:trPr>
          <w:trHeight w:val="260" w:hRule="exact"/>
          <w:cantSplit w:val="1"/>
        </w:trPr>
        <w:tc>
          <w:tcPr>
            <w:tcW w:w="2864" w:type="dxa"/>
            <w:gridSpan w:val="2"/>
            <w:vAlign w:val="top"/>
            <w:tcMar/>
            <w:tcBorders>
              <w:top w:val="single" w:sz="4" w:space="0" w:color="000000"/>
            </w:tcBorders>
          </w:tcPr>
          <w:p>
            <w:pPr>
              <w:autoSpaceDE w:val="0"/>
              <w:autoSpaceDN w:val="0"/>
              <w:jc w:val="left"/>
              <w:spacing w:before="27"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数学科学处</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4"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62327178</w:t>
            </w:r>
          </w:p>
        </w:tc>
        <w:tc>
          <w:tcPr>
            <w:tcW w:w="478" w:type="dxa"/>
            <w:gridSpan w:val="1"/>
            <w:vAlign w:val="top"/>
            <w:vMerge w:val="restart"/>
            <w:tcMar/>
            <w:tcBorders>
              <w:left w:val="single" w:sz="12" w:space="0" w:color="000000"/>
              <w:top w:val="single" w:sz="4" w:space="0" w:color="000000"/>
            </w:tcBorders>
          </w:tcPr>
          <w:p>
            <w:pPr>
              <w:autoSpaceDE w:val="0"/>
              <w:autoSpaceDN w:val="0"/>
              <w:jc w:val="left"/>
              <w:spacing w:before="158"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2706" w:type="dxa"/>
            <w:gridSpan w:val="2"/>
            <w:vAlign w:val="top"/>
            <w:tcMar/>
            <w:tcBorders>
              <w:left w:val="single" w:sz="4" w:space="0" w:color="000000"/>
              <w:top w:val="single" w:sz="4" w:space="0" w:color="000000"/>
            </w:tcBorders>
          </w:tcPr>
          <w:p>
            <w:pPr>
              <w:autoSpaceDE w:val="0"/>
              <w:autoSpaceDN w:val="0"/>
              <w:jc w:val="left"/>
              <w:spacing w:before="27"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植物保护学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62328882</w:t>
            </w:r>
          </w:p>
        </w:tc>
      </w:tr>
      <w:tr>
        <w:trPr>
          <w:trHeight w:val="260" w:hRule="exact"/>
          <w:cantSplit w:val="1"/>
        </w:trPr>
        <w:tc>
          <w:tcPr>
            <w:tcW w:w="2864" w:type="dxa"/>
            <w:gridSpan w:val="2"/>
            <w:vAlign w:val="top"/>
            <w:tcMar/>
            <w:tcBorders>
              <w:top w:val="single" w:sz="4" w:space="0" w:color="000000"/>
            </w:tcBorders>
          </w:tcPr>
          <w:p>
            <w:pPr>
              <w:autoSpaceDE w:val="0"/>
              <w:autoSpaceDN w:val="0"/>
              <w:jc w:val="left"/>
              <w:spacing w:before="27"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力学科学处</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4"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62327179</w:t>
            </w:r>
          </w:p>
        </w:tc>
        <w:tc>
          <w:tcPr>
            <w:tcW w:w="478"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706" w:type="dxa"/>
            <w:gridSpan w:val="2"/>
            <w:vAlign w:val="top"/>
            <w:tcMar/>
            <w:tcBorders>
              <w:left w:val="single" w:sz="4" w:space="0" w:color="000000"/>
              <w:top w:val="single" w:sz="4" w:space="0" w:color="000000"/>
            </w:tcBorders>
          </w:tcPr>
          <w:p>
            <w:pPr>
              <w:autoSpaceDE w:val="0"/>
              <w:autoSpaceDN w:val="0"/>
              <w:jc w:val="left"/>
              <w:spacing w:before="27"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园艺学与植物营养学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62327197</w:t>
            </w:r>
          </w:p>
        </w:tc>
      </w:tr>
      <w:tr>
        <w:trPr>
          <w:trHeight w:val="260" w:hRule="exact"/>
          <w:cantSplit w:val="1"/>
        </w:trPr>
        <w:tc>
          <w:tcPr>
            <w:tcW w:w="2864" w:type="dxa"/>
            <w:gridSpan w:val="2"/>
            <w:vAlign w:val="top"/>
            <w:tcMar/>
            <w:tcBorders>
              <w:top w:val="single" w:sz="4" w:space="0" w:color="000000"/>
            </w:tcBorders>
          </w:tcPr>
          <w:p>
            <w:pPr>
              <w:autoSpaceDE w:val="0"/>
              <w:autoSpaceDN w:val="0"/>
              <w:jc w:val="left"/>
              <w:spacing w:before="27"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天文科学处</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62325940</w:t>
            </w:r>
          </w:p>
        </w:tc>
        <w:tc>
          <w:tcPr>
            <w:tcW w:w="478" w:type="dxa"/>
            <w:gridSpan w:val="1"/>
            <w:vAlign w:val="top"/>
            <w:vMerge w:val="restart"/>
            <w:tcMar/>
            <w:tcBorders>
              <w:left w:val="single" w:sz="12" w:space="0" w:color="000000"/>
              <w:top w:val="single" w:sz="4" w:space="0" w:color="000000"/>
            </w:tcBorders>
          </w:tcPr>
          <w:p>
            <w:pPr>
              <w:autoSpaceDE w:val="0"/>
              <w:autoSpaceDN w:val="0"/>
              <w:jc w:val="left"/>
              <w:spacing w:before="614"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2706" w:type="dxa"/>
            <w:gridSpan w:val="2"/>
            <w:vAlign w:val="top"/>
            <w:vMerge w:val="restart"/>
            <w:tcMar/>
            <w:tcBorders>
              <w:left w:val="single" w:sz="4" w:space="0" w:color="000000"/>
              <w:top w:val="single" w:sz="4" w:space="0" w:color="000000"/>
            </w:tcBorders>
          </w:tcPr>
          <w:p>
            <w:pPr>
              <w:autoSpaceDE w:val="0"/>
              <w:autoSpaceDN w:val="0"/>
              <w:jc w:val="left"/>
              <w:spacing w:before="176"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畜牧学与草地科学</w:t>
            </w:r>
          </w:p>
        </w:tc>
        <w:tc>
          <w:tcPr>
            <w:tcW w:w="989" w:type="dxa"/>
            <w:gridSpan w:val="1"/>
            <w:vAlign w:val="top"/>
            <w:vMerge w:val="restart"/>
            <w:tcMar/>
            <w:tcBorders>
              <w:left w:val="single" w:sz="4" w:space="0" w:color="000000"/>
              <w:top w:val="single" w:sz="4" w:space="0" w:color="000000"/>
              <w:right w:val="single" w:sz="8" w:space="0" w:color="000000"/>
            </w:tcBorders>
          </w:tcPr>
          <w:p>
            <w:pPr>
              <w:autoSpaceDE w:val="0"/>
              <w:autoSpaceDN w:val="0"/>
              <w:jc w:val="left"/>
              <w:spacing w:before="183"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62329105</w:t>
            </w:r>
          </w:p>
        </w:tc>
      </w:tr>
      <w:tr>
        <w:trPr>
          <w:trHeight w:val="295" w:hRule="exact"/>
          <w:cantSplit w:val="1"/>
        </w:trPr>
        <w:tc>
          <w:tcPr>
            <w:tcW w:w="2864" w:type="dxa"/>
            <w:gridSpan w:val="2"/>
            <w:vAlign w:val="top"/>
            <w:tcMar/>
            <w:tcBorders>
              <w:top w:val="single" w:sz="4" w:space="0" w:color="000000"/>
            </w:tcBorders>
          </w:tcPr>
          <w:p>
            <w:pPr>
              <w:autoSpaceDE w:val="0"/>
              <w:autoSpaceDN w:val="0"/>
              <w:jc w:val="left"/>
              <w:spacing w:before="6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物理科学一处</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62325055</w:t>
            </w:r>
          </w:p>
        </w:tc>
        <w:tc>
          <w:tcPr>
            <w:tcW w:w="478"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706" w:type="dxa"/>
            <w:gridSpan w:val="2"/>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989" w:type="dxa"/>
            <w:gridSpan w:val="1"/>
            <w:vAlign w:val="top"/>
            <w:vMerge w:val="continue"/>
            <w:tcMar/>
            <w:tcBorders>
              <w:left w:val="single" w:sz="4" w:space="0" w:color="000000"/>
              <w:top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r>
      <w:tr>
        <w:trPr>
          <w:trHeight w:val="295" w:hRule="exact"/>
          <w:cantSplit w:val="1"/>
        </w:trPr>
        <w:tc>
          <w:tcPr>
            <w:tcW w:w="2864" w:type="dxa"/>
            <w:gridSpan w:val="2"/>
            <w:vAlign w:val="top"/>
            <w:tcMar/>
            <w:tcBorders>
              <w:top w:val="single" w:sz="4" w:space="0" w:color="000000"/>
            </w:tcBorders>
          </w:tcPr>
          <w:p>
            <w:pPr>
              <w:autoSpaceDE w:val="0"/>
              <w:autoSpaceDN w:val="0"/>
              <w:jc w:val="left"/>
              <w:spacing w:before="6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物理科学二处</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62327182</w:t>
            </w:r>
          </w:p>
        </w:tc>
        <w:tc>
          <w:tcPr>
            <w:tcW w:w="478"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706" w:type="dxa"/>
            <w:gridSpan w:val="2"/>
            <w:vAlign w:val="top"/>
            <w:tcMar/>
            <w:tcBorders>
              <w:left w:val="single" w:sz="4" w:space="0" w:color="000000"/>
              <w:top w:val="single" w:sz="4" w:space="0" w:color="000000"/>
            </w:tcBorders>
          </w:tcPr>
          <w:p>
            <w:pPr>
              <w:autoSpaceDE w:val="0"/>
              <w:autoSpaceDN w:val="0"/>
              <w:jc w:val="left"/>
              <w:spacing w:before="6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兽医学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62329585</w:t>
            </w:r>
          </w:p>
        </w:tc>
      </w:tr>
      <w:tr>
        <w:trPr>
          <w:trHeight w:val="286" w:hRule="exact"/>
          <w:cantSplit w:val="1"/>
        </w:trPr>
        <w:tc>
          <w:tcPr>
            <w:tcW w:w="3819" w:type="dxa"/>
            <w:gridSpan w:val="3"/>
            <w:vAlign w:val="top"/>
            <w:tcMar/>
            <w:tcBorders>
              <w:top w:val="single" w:sz="4" w:space="0" w:color="000000"/>
              <w:right w:val="single" w:sz="12" w:space="0" w:color="000000"/>
            </w:tcBorders>
          </w:tcPr>
          <w:p>
            <w:pPr>
              <w:autoSpaceDE w:val="0"/>
              <w:autoSpaceDN w:val="0"/>
              <w:jc w:val="left"/>
              <w:spacing w:before="38"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化学科学部</w:t>
            </w:r>
          </w:p>
        </w:tc>
        <w:tc>
          <w:tcPr>
            <w:tcW w:w="478"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2706" w:type="dxa"/>
            <w:gridSpan w:val="2"/>
            <w:vAlign w:val="top"/>
            <w:tcMar/>
            <w:tcBorders>
              <w:left w:val="single" w:sz="4" w:space="0" w:color="000000"/>
              <w:top w:val="single" w:sz="4" w:space="0" w:color="000000"/>
            </w:tcBorders>
          </w:tcPr>
          <w:p>
            <w:pPr>
              <w:autoSpaceDE w:val="0"/>
              <w:autoSpaceDN w:val="0"/>
              <w:jc w:val="left"/>
              <w:spacing w:before="41"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水产学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7"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62327194</w:t>
            </w:r>
          </w:p>
        </w:tc>
      </w:tr>
      <w:tr>
        <w:trPr>
          <w:trHeight w:val="295" w:hRule="exact"/>
          <w:cantSplit w:val="1"/>
        </w:trPr>
        <w:tc>
          <w:tcPr>
            <w:tcW w:w="2864" w:type="dxa"/>
            <w:gridSpan w:val="2"/>
            <w:vAlign w:val="top"/>
            <w:vMerge w:val="restart"/>
            <w:tcMar/>
            <w:tcBorders>
              <w:top w:val="single" w:sz="4" w:space="0" w:color="000000"/>
            </w:tcBorders>
          </w:tcPr>
          <w:p>
            <w:pPr>
              <w:autoSpaceDE w:val="0"/>
              <w:autoSpaceDN w:val="0"/>
              <w:jc w:val="left"/>
              <w:spacing w:before="22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综合与战略规划处</w:t>
            </w:r>
          </w:p>
        </w:tc>
        <w:tc>
          <w:tcPr>
            <w:tcW w:w="955" w:type="dxa"/>
            <w:gridSpan w:val="1"/>
            <w:vAlign w:val="top"/>
            <w:vMerge w:val="restart"/>
            <w:tcMar/>
            <w:tcBorders>
              <w:left w:val="single" w:sz="4" w:space="0" w:color="000000"/>
              <w:top w:val="single" w:sz="4" w:space="0" w:color="000000"/>
              <w:right w:val="single" w:sz="12" w:space="0" w:color="000000"/>
            </w:tcBorders>
          </w:tcPr>
          <w:p>
            <w:pPr>
              <w:autoSpaceDE w:val="0"/>
              <w:autoSpaceDN w:val="0"/>
              <w:jc w:val="left"/>
              <w:spacing w:before="145" w:after="0" w:lineRule="auto" w:line="239"/>
              <w:ind w:right="0" w:left="16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62326906</w:t>
            </w:r>
          </w:p>
          <w:p>
            <w:pPr>
              <w:autoSpaceDE w:val="0"/>
              <w:autoSpaceDN w:val="0"/>
              <w:jc w:val="left"/>
              <w:spacing w:before="0" w:after="0" w:lineRule="auto" w:line="239"/>
              <w:ind w:right="0" w:left="16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62327057</w:t>
            </w:r>
          </w:p>
        </w:tc>
        <w:tc>
          <w:tcPr>
            <w:tcW w:w="478"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706" w:type="dxa"/>
            <w:gridSpan w:val="2"/>
            <w:vAlign w:val="top"/>
            <w:tcMar/>
            <w:tcBorders>
              <w:left w:val="single" w:sz="4" w:space="0" w:color="000000"/>
              <w:top w:val="single" w:sz="4" w:space="0" w:color="000000"/>
            </w:tcBorders>
          </w:tcPr>
          <w:p>
            <w:pPr>
              <w:autoSpaceDE w:val="0"/>
              <w:autoSpaceDN w:val="0"/>
              <w:jc w:val="left"/>
              <w:spacing w:before="63"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动物学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62326914</w:t>
            </w:r>
          </w:p>
        </w:tc>
      </w:tr>
      <w:tr>
        <w:trPr>
          <w:trHeight w:val="320" w:hRule="exact"/>
          <w:cantSplit w:val="1"/>
        </w:trPr>
        <w:tc>
          <w:tcPr>
            <w:tcW w:w="2864" w:type="dxa"/>
            <w:gridSpan w:val="2"/>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955" w:type="dxa"/>
            <w:gridSpan w:val="1"/>
            <w:vAlign w:val="top"/>
            <w:vMerge w:val="continue"/>
            <w:tcMar/>
            <w:tcBorders>
              <w:left w:val="single" w:sz="4" w:space="0" w:color="000000"/>
              <w:top w:val="single" w:sz="4" w:space="0" w:color="000000"/>
              <w:right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4173" w:type="dxa"/>
            <w:gridSpan w:val="4"/>
            <w:vAlign w:val="top"/>
            <w:tcMar/>
            <w:tcBorders>
              <w:left w:val="single" w:sz="12" w:space="0" w:color="000000"/>
              <w:top w:val="single" w:sz="4" w:space="0" w:color="000000"/>
              <w:right w:val="single" w:sz="8" w:space="0" w:color="000000"/>
            </w:tcBorders>
          </w:tcPr>
          <w:p>
            <w:pPr>
              <w:autoSpaceDE w:val="0"/>
              <w:autoSpaceDN w:val="0"/>
              <w:jc w:val="left"/>
              <w:spacing w:before="7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地球科学部</w:t>
            </w:r>
          </w:p>
        </w:tc>
      </w:tr>
      <w:tr>
        <w:trPr>
          <w:trHeight w:val="295" w:hRule="exact"/>
          <w:cantSplit w:val="1"/>
        </w:trPr>
        <w:tc>
          <w:tcPr>
            <w:tcW w:w="473" w:type="dxa"/>
            <w:gridSpan w:val="1"/>
            <w:vAlign w:val="top"/>
            <w:tcMar/>
            <w:tcBorders>
              <w:top w:val="single" w:sz="4" w:space="0" w:color="000000"/>
            </w:tcBorders>
          </w:tcPr>
          <w:p>
            <w:pPr>
              <w:autoSpaceDE w:val="0"/>
              <w:autoSpaceDN w:val="0"/>
              <w:jc w:val="left"/>
              <w:spacing w:before="6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391"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合成化学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62326902</w:t>
            </w:r>
          </w:p>
        </w:tc>
        <w:tc>
          <w:tcPr>
            <w:tcW w:w="3184" w:type="dxa"/>
            <w:gridSpan w:val="3"/>
            <w:vAlign w:val="top"/>
            <w:tcMar/>
            <w:tcBorders>
              <w:left w:val="single" w:sz="12" w:space="0" w:color="000000"/>
              <w:top w:val="single" w:sz="4" w:space="0" w:color="000000"/>
            </w:tcBorders>
          </w:tcPr>
          <w:p>
            <w:pPr>
              <w:autoSpaceDE w:val="0"/>
              <w:autoSpaceDN w:val="0"/>
              <w:jc w:val="left"/>
              <w:spacing w:before="6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综合与战略规划处</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62327157</w:t>
            </w:r>
          </w:p>
        </w:tc>
      </w:tr>
      <w:tr>
        <w:trPr>
          <w:trHeight w:val="296" w:hRule="exact"/>
          <w:cantSplit w:val="1"/>
        </w:trPr>
        <w:tc>
          <w:tcPr>
            <w:tcW w:w="473" w:type="dxa"/>
            <w:gridSpan w:val="1"/>
            <w:vAlign w:val="top"/>
            <w:vMerge w:val="restart"/>
            <w:tcMar/>
            <w:tcBorders>
              <w:top w:val="single" w:sz="4" w:space="0" w:color="000000"/>
            </w:tcBorders>
          </w:tcPr>
          <w:p>
            <w:pPr>
              <w:autoSpaceDE w:val="0"/>
              <w:autoSpaceDN w:val="0"/>
              <w:jc w:val="left"/>
              <w:spacing w:before="194"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391"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催化与表界面化学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62327035</w:t>
            </w:r>
          </w:p>
        </w:tc>
        <w:tc>
          <w:tcPr>
            <w:tcW w:w="478" w:type="dxa"/>
            <w:gridSpan w:val="1"/>
            <w:vAlign w:val="top"/>
            <w:tcMar/>
            <w:tcBorders>
              <w:left w:val="single" w:sz="12" w:space="0" w:color="000000"/>
              <w:top w:val="single" w:sz="4" w:space="0" w:color="000000"/>
            </w:tcBorders>
          </w:tcPr>
          <w:p>
            <w:pPr>
              <w:autoSpaceDE w:val="0"/>
              <w:autoSpaceDN w:val="0"/>
              <w:jc w:val="left"/>
              <w:spacing w:before="6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706" w:type="dxa"/>
            <w:gridSpan w:val="2"/>
            <w:vAlign w:val="top"/>
            <w:tcMar/>
            <w:tcBorders>
              <w:left w:val="single" w:sz="4" w:space="0" w:color="000000"/>
              <w:top w:val="single" w:sz="4" w:space="0" w:color="000000"/>
            </w:tcBorders>
          </w:tcPr>
          <w:p>
            <w:pPr>
              <w:autoSpaceDE w:val="0"/>
              <w:autoSpaceDN w:val="0"/>
              <w:jc w:val="left"/>
              <w:spacing w:before="63"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地理学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62327161</w:t>
            </w:r>
          </w:p>
        </w:tc>
      </w:tr>
      <w:tr>
        <w:trPr>
          <w:trHeight w:val="260"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化学理论与机制</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4"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62327035</w:t>
            </w:r>
          </w:p>
        </w:tc>
        <w:tc>
          <w:tcPr>
            <w:tcW w:w="478" w:type="dxa"/>
            <w:gridSpan w:val="1"/>
            <w:vAlign w:val="top"/>
            <w:vMerge w:val="restart"/>
            <w:tcMar/>
            <w:tcBorders>
              <w:left w:val="single" w:sz="12" w:space="0" w:color="000000"/>
              <w:top w:val="single" w:sz="4" w:space="0" w:color="000000"/>
            </w:tcBorders>
          </w:tcPr>
          <w:p>
            <w:pPr>
              <w:autoSpaceDE w:val="0"/>
              <w:autoSpaceDN w:val="0"/>
              <w:jc w:val="left"/>
              <w:spacing w:before="158"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706" w:type="dxa"/>
            <w:gridSpan w:val="2"/>
            <w:vAlign w:val="top"/>
            <w:tcMar/>
            <w:tcBorders>
              <w:left w:val="single" w:sz="4" w:space="0" w:color="000000"/>
              <w:top w:val="single" w:sz="4" w:space="0" w:color="000000"/>
            </w:tcBorders>
          </w:tcPr>
          <w:p>
            <w:pPr>
              <w:autoSpaceDE w:val="0"/>
              <w:autoSpaceDN w:val="0"/>
              <w:jc w:val="left"/>
              <w:spacing w:before="27"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地球化学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62327158</w:t>
            </w:r>
          </w:p>
        </w:tc>
      </w:tr>
      <w:tr>
        <w:trPr>
          <w:trHeight w:val="260" w:hRule="exact"/>
          <w:cantSplit w:val="1"/>
        </w:trPr>
        <w:tc>
          <w:tcPr>
            <w:tcW w:w="473" w:type="dxa"/>
            <w:gridSpan w:val="1"/>
            <w:vAlign w:val="top"/>
            <w:vMerge w:val="restart"/>
            <w:tcMar/>
            <w:tcBorders>
              <w:top w:val="single" w:sz="4" w:space="0" w:color="000000"/>
            </w:tcBorders>
          </w:tcPr>
          <w:p>
            <w:pPr>
              <w:autoSpaceDE w:val="0"/>
              <w:autoSpaceDN w:val="0"/>
              <w:jc w:val="left"/>
              <w:spacing w:before="158"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391" w:type="dxa"/>
            <w:gridSpan w:val="1"/>
            <w:vAlign w:val="top"/>
            <w:vMerge w:val="restart"/>
            <w:tcMar/>
            <w:tcBorders>
              <w:left w:val="single" w:sz="4" w:space="0" w:color="000000"/>
              <w:top w:val="single" w:sz="4" w:space="0" w:color="000000"/>
            </w:tcBorders>
          </w:tcPr>
          <w:p>
            <w:pPr>
              <w:autoSpaceDE w:val="0"/>
              <w:autoSpaceDN w:val="0"/>
              <w:jc w:val="left"/>
              <w:spacing w:before="158"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材料化学与能源化学</w:t>
            </w:r>
          </w:p>
        </w:tc>
        <w:tc>
          <w:tcPr>
            <w:tcW w:w="955" w:type="dxa"/>
            <w:gridSpan w:val="1"/>
            <w:vAlign w:val="top"/>
            <w:vMerge w:val="restart"/>
            <w:tcMar/>
            <w:tcBorders>
              <w:left w:val="single" w:sz="4" w:space="0" w:color="000000"/>
              <w:top w:val="single" w:sz="4" w:space="0" w:color="000000"/>
              <w:right w:val="single" w:sz="12" w:space="0" w:color="000000"/>
            </w:tcBorders>
          </w:tcPr>
          <w:p>
            <w:pPr>
              <w:autoSpaceDE w:val="0"/>
              <w:autoSpaceDN w:val="0"/>
              <w:jc w:val="left"/>
              <w:spacing w:before="78"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62327167</w:t>
            </w:r>
          </w:p>
          <w:p>
            <w:pPr>
              <w:autoSpaceDE w:val="0"/>
              <w:autoSpaceDN w:val="0"/>
              <w:jc w:val="left"/>
              <w:spacing w:before="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62327170</w:t>
            </w:r>
          </w:p>
        </w:tc>
        <w:tc>
          <w:tcPr>
            <w:tcW w:w="478"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706" w:type="dxa"/>
            <w:gridSpan w:val="2"/>
            <w:vAlign w:val="top"/>
            <w:tcMar/>
            <w:tcBorders>
              <w:left w:val="single" w:sz="4" w:space="0" w:color="000000"/>
              <w:top w:val="single" w:sz="4" w:space="0" w:color="000000"/>
            </w:tcBorders>
          </w:tcPr>
          <w:p>
            <w:pPr>
              <w:autoSpaceDE w:val="0"/>
              <w:autoSpaceDN w:val="0"/>
              <w:jc w:val="left"/>
              <w:spacing w:before="27"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地质学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62327166</w:t>
            </w:r>
          </w:p>
        </w:tc>
      </w:tr>
      <w:tr>
        <w:trPr>
          <w:trHeight w:val="260"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955" w:type="dxa"/>
            <w:gridSpan w:val="1"/>
            <w:vAlign w:val="top"/>
            <w:vMerge w:val="continue"/>
            <w:tcMar/>
            <w:tcBorders>
              <w:left w:val="single" w:sz="4" w:space="0" w:color="000000"/>
              <w:top w:val="single" w:sz="4" w:space="0" w:color="000000"/>
              <w:right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478" w:type="dxa"/>
            <w:gridSpan w:val="1"/>
            <w:vAlign w:val="top"/>
            <w:tcMar/>
            <w:tcBorders>
              <w:left w:val="single" w:sz="12" w:space="0" w:color="000000"/>
              <w:top w:val="single" w:sz="4" w:space="0" w:color="000000"/>
            </w:tcBorders>
          </w:tcPr>
          <w:p>
            <w:pPr>
              <w:autoSpaceDE w:val="0"/>
              <w:autoSpaceDN w:val="0"/>
              <w:jc w:val="left"/>
              <w:spacing w:before="27"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706" w:type="dxa"/>
            <w:gridSpan w:val="2"/>
            <w:vAlign w:val="top"/>
            <w:tcMar/>
            <w:tcBorders>
              <w:left w:val="single" w:sz="4" w:space="0" w:color="000000"/>
              <w:top w:val="single" w:sz="4" w:space="0" w:color="000000"/>
            </w:tcBorders>
          </w:tcPr>
          <w:p>
            <w:pPr>
              <w:autoSpaceDE w:val="0"/>
              <w:autoSpaceDN w:val="0"/>
              <w:jc w:val="left"/>
              <w:spacing w:before="27"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地球物理和空间物理学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62327160</w:t>
            </w:r>
          </w:p>
        </w:tc>
      </w:tr>
      <w:tr>
        <w:trPr>
          <w:trHeight w:val="260" w:hRule="exact"/>
          <w:cantSplit w:val="1"/>
        </w:trPr>
        <w:tc>
          <w:tcPr>
            <w:tcW w:w="473" w:type="dxa"/>
            <w:gridSpan w:val="1"/>
            <w:vAlign w:val="top"/>
            <w:vMerge w:val="restart"/>
            <w:tcMar/>
            <w:tcBorders>
              <w:top w:val="single" w:sz="4" w:space="0" w:color="000000"/>
            </w:tcBorders>
          </w:tcPr>
          <w:p>
            <w:pPr>
              <w:autoSpaceDE w:val="0"/>
              <w:autoSpaceDN w:val="0"/>
              <w:jc w:val="left"/>
              <w:spacing w:before="301"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391"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化学测量学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62327173</w:t>
            </w:r>
          </w:p>
        </w:tc>
        <w:tc>
          <w:tcPr>
            <w:tcW w:w="478" w:type="dxa"/>
            <w:gridSpan w:val="1"/>
            <w:vAlign w:val="top"/>
            <w:tcMar/>
            <w:tcBorders>
              <w:left w:val="single" w:sz="12" w:space="0" w:color="000000"/>
              <w:top w:val="single" w:sz="4" w:space="0" w:color="000000"/>
            </w:tcBorders>
          </w:tcPr>
          <w:p>
            <w:pPr>
              <w:autoSpaceDE w:val="0"/>
              <w:autoSpaceDN w:val="0"/>
              <w:jc w:val="left"/>
              <w:spacing w:before="29"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706" w:type="dxa"/>
            <w:gridSpan w:val="2"/>
            <w:vAlign w:val="top"/>
            <w:tcMar/>
            <w:tcBorders>
              <w:left w:val="single" w:sz="4" w:space="0" w:color="000000"/>
              <w:top w:val="single" w:sz="4" w:space="0" w:color="000000"/>
            </w:tcBorders>
          </w:tcPr>
          <w:p>
            <w:pPr>
              <w:autoSpaceDE w:val="0"/>
              <w:autoSpaceDN w:val="0"/>
              <w:jc w:val="left"/>
              <w:spacing w:before="29"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海洋科学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62327165</w:t>
            </w:r>
          </w:p>
        </w:tc>
      </w:tr>
      <w:tr>
        <w:trPr>
          <w:trHeight w:val="260"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环境化学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62327075</w:t>
            </w:r>
          </w:p>
        </w:tc>
        <w:tc>
          <w:tcPr>
            <w:tcW w:w="478" w:type="dxa"/>
            <w:gridSpan w:val="1"/>
            <w:vAlign w:val="top"/>
            <w:tcMar/>
            <w:tcBorders>
              <w:left w:val="single" w:sz="12" w:space="0" w:color="000000"/>
              <w:top w:val="single" w:sz="4" w:space="0" w:color="000000"/>
            </w:tcBorders>
          </w:tcPr>
          <w:p>
            <w:pPr>
              <w:autoSpaceDE w:val="0"/>
              <w:autoSpaceDN w:val="0"/>
              <w:jc w:val="left"/>
              <w:spacing w:before="29"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2706" w:type="dxa"/>
            <w:gridSpan w:val="2"/>
            <w:vAlign w:val="top"/>
            <w:tcMar/>
            <w:tcBorders>
              <w:left w:val="single" w:sz="4" w:space="0" w:color="000000"/>
              <w:top w:val="single" w:sz="4" w:space="0" w:color="000000"/>
            </w:tcBorders>
          </w:tcPr>
          <w:p>
            <w:pPr>
              <w:autoSpaceDE w:val="0"/>
              <w:autoSpaceDN w:val="0"/>
              <w:jc w:val="left"/>
              <w:spacing w:before="29" w:after="0" w:lineRule="exact" w:line="188"/>
              <w:ind w:right="0" w:left="51" w:firstLine="0"/>
              <w:snapToGrid w:val="0"/>
              <w:textAlignment w:val="auto"/>
              <w:tabs/>
              <w:rPr>
                <w:rFonts w:ascii="宋体" w:hAnsi="宋体" w:cs="宋体" w:eastAsia="宋体" w:hint="ascii"/>
                <w:sz w:val="15"/>
              </w:rPr>
            </w:pPr>
            <w:r>
              <w:rPr>
                <w:rFonts w:ascii="宋体" w:hAnsi="宋体" w:cs="宋体" w:eastAsia="宋体" w:hint="ascii"/>
                <w:sz w:val="15"/>
              </w:rPr>
              <w:t>大气科学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62327162</w:t>
            </w:r>
          </w:p>
        </w:tc>
      </w:tr>
      <w:tr>
        <w:trPr>
          <w:trHeight w:val="286"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41"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化学生物学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47"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62327169</w:t>
            </w:r>
          </w:p>
        </w:tc>
        <w:tc>
          <w:tcPr>
            <w:tcW w:w="4173" w:type="dxa"/>
            <w:gridSpan w:val="4"/>
            <w:vAlign w:val="top"/>
            <w:tcMar/>
            <w:tcBorders>
              <w:left w:val="single" w:sz="12" w:space="0" w:color="000000"/>
              <w:top w:val="single" w:sz="4" w:space="0" w:color="000000"/>
              <w:right w:val="single" w:sz="8" w:space="0" w:color="000000"/>
            </w:tcBorders>
          </w:tcPr>
          <w:p>
            <w:pPr>
              <w:autoSpaceDE w:val="0"/>
              <w:autoSpaceDN w:val="0"/>
              <w:jc w:val="left"/>
              <w:spacing w:before="38"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工程与材料科学部</w:t>
            </w:r>
          </w:p>
        </w:tc>
      </w:tr>
      <w:tr>
        <w:trPr>
          <w:trHeight w:val="410" w:hRule="exact"/>
          <w:cantSplit w:val="1"/>
        </w:trPr>
        <w:tc>
          <w:tcPr>
            <w:tcW w:w="473" w:type="dxa"/>
            <w:gridSpan w:val="1"/>
            <w:vAlign w:val="top"/>
            <w:tcMar/>
            <w:tcBorders>
              <w:top w:val="single" w:sz="4" w:space="0" w:color="000000"/>
            </w:tcBorders>
          </w:tcPr>
          <w:p>
            <w:pPr>
              <w:autoSpaceDE w:val="0"/>
              <w:autoSpaceDN w:val="0"/>
              <w:jc w:val="left"/>
              <w:spacing w:before="10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2391" w:type="dxa"/>
            <w:gridSpan w:val="1"/>
            <w:vAlign w:val="top"/>
            <w:tcMar/>
            <w:tcBorders>
              <w:left w:val="single" w:sz="4" w:space="0" w:color="000000"/>
              <w:top w:val="single" w:sz="4" w:space="0" w:color="000000"/>
            </w:tcBorders>
          </w:tcPr>
          <w:p>
            <w:pPr>
              <w:autoSpaceDE w:val="0"/>
              <w:autoSpaceDN w:val="0"/>
              <w:jc w:val="left"/>
              <w:spacing w:before="10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化学工程与工业化学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23"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62327168</w:t>
            </w:r>
          </w:p>
          <w:p>
            <w:pPr>
              <w:autoSpaceDE w:val="0"/>
              <w:autoSpaceDN w:val="0"/>
              <w:jc w:val="left"/>
              <w:spacing w:before="0" w:after="0" w:lineRule="auto" w:line="240"/>
              <w:ind w:right="0" w:left="17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w:t>
            </w:r>
            <w:r>
              <w:rPr>
                <w:rFonts w:ascii="Times New Roman" w:hAnsi="Times New Roman" w:cs="Times New Roman" w:eastAsia="Times New Roman" w:hint="ascii"/>
                <w:sz w:val="15"/>
                <w:spacing w:val="-5"/>
              </w:rPr>
              <w:t>11</w:t>
            </w:r>
            <w:r>
              <w:rPr>
                <w:rFonts w:ascii="Times New Roman" w:hAnsi="Times New Roman" w:cs="Times New Roman" w:eastAsia="Times New Roman" w:hint="ascii"/>
                <w:sz w:val="15"/>
              </w:rPr>
              <w:t>1</w:t>
            </w:r>
          </w:p>
        </w:tc>
        <w:tc>
          <w:tcPr>
            <w:tcW w:w="3184" w:type="dxa"/>
            <w:gridSpan w:val="3"/>
            <w:vAlign w:val="top"/>
            <w:tcMar/>
            <w:tcBorders>
              <w:left w:val="single" w:sz="12" w:space="0" w:color="000000"/>
              <w:top w:val="single" w:sz="4" w:space="0" w:color="000000"/>
            </w:tcBorders>
          </w:tcPr>
          <w:p>
            <w:pPr>
              <w:autoSpaceDE w:val="0"/>
              <w:autoSpaceDN w:val="0"/>
              <w:jc w:val="left"/>
              <w:spacing w:before="10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综合与战略规划处</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62326887</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62326884</w:t>
            </w:r>
          </w:p>
        </w:tc>
      </w:tr>
      <w:tr>
        <w:trPr>
          <w:trHeight w:val="320" w:hRule="exact"/>
          <w:cantSplit w:val="1"/>
        </w:trPr>
        <w:tc>
          <w:tcPr>
            <w:tcW w:w="3819" w:type="dxa"/>
            <w:gridSpan w:val="3"/>
            <w:vAlign w:val="top"/>
            <w:tcMar/>
            <w:tcBorders>
              <w:top w:val="single" w:sz="4" w:space="0" w:color="000000"/>
              <w:right w:val="single" w:sz="12" w:space="0" w:color="000000"/>
            </w:tcBorders>
          </w:tcPr>
          <w:p>
            <w:pPr>
              <w:autoSpaceDE w:val="0"/>
              <w:autoSpaceDN w:val="0"/>
              <w:jc w:val="left"/>
              <w:spacing w:before="7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生命科学部</w:t>
            </w:r>
          </w:p>
        </w:tc>
        <w:tc>
          <w:tcPr>
            <w:tcW w:w="1121" w:type="dxa"/>
            <w:gridSpan w:val="2"/>
            <w:vAlign w:val="top"/>
            <w:vMerge w:val="restart"/>
            <w:tcMar/>
            <w:tcBorders>
              <w:left w:val="single" w:sz="12" w:space="0" w:color="000000"/>
              <w:top w:val="single" w:sz="4" w:space="0" w:color="000000"/>
            </w:tcBorders>
          </w:tcPr>
          <w:p>
            <w:pPr>
              <w:autoSpaceDE w:val="0"/>
              <w:autoSpaceDN w:val="0"/>
              <w:jc w:val="left"/>
              <w:spacing w:before="22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材料科学一处</w:t>
            </w:r>
          </w:p>
        </w:tc>
        <w:tc>
          <w:tcPr>
            <w:tcW w:w="2063" w:type="dxa"/>
            <w:gridSpan w:val="1"/>
            <w:vAlign w:val="top"/>
            <w:tcMar/>
            <w:tcBorders>
              <w:left w:val="single" w:sz="4" w:space="0" w:color="000000"/>
              <w:top w:val="single" w:sz="4" w:space="0" w:color="000000"/>
            </w:tcBorders>
          </w:tcPr>
          <w:p>
            <w:pPr>
              <w:autoSpaceDE w:val="0"/>
              <w:autoSpaceDN w:val="0"/>
              <w:jc w:val="left"/>
              <w:spacing w:before="75" w:after="0" w:lineRule="exact" w:line="188"/>
              <w:ind w:right="0" w:left="50" w:firstLine="0"/>
              <w:snapToGrid w:val="0"/>
              <w:textAlignment w:val="auto"/>
              <w:tabs/>
              <w:rPr>
                <w:rFonts w:ascii="宋体" w:hAnsi="宋体" w:cs="宋体" w:eastAsia="宋体" w:hint="ascii"/>
                <w:sz w:val="15"/>
              </w:rPr>
            </w:pPr>
            <w:r>
              <w:rPr>
                <w:rFonts w:ascii="宋体" w:hAnsi="宋体" w:cs="宋体" w:eastAsia="宋体" w:hint="ascii"/>
                <w:sz w:val="15"/>
              </w:rPr>
              <w:t>金属材料</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82"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62328301</w:t>
            </w:r>
          </w:p>
        </w:tc>
      </w:tr>
      <w:tr>
        <w:trPr>
          <w:trHeight w:val="295" w:hRule="exact"/>
          <w:cantSplit w:val="1"/>
        </w:trPr>
        <w:tc>
          <w:tcPr>
            <w:tcW w:w="2864" w:type="dxa"/>
            <w:gridSpan w:val="2"/>
            <w:vAlign w:val="top"/>
            <w:vMerge w:val="restart"/>
            <w:tcMar/>
            <w:tcBorders>
              <w:top w:val="single" w:sz="4" w:space="0" w:color="000000"/>
            </w:tcBorders>
          </w:tcPr>
          <w:p>
            <w:pPr>
              <w:autoSpaceDE w:val="0"/>
              <w:autoSpaceDN w:val="0"/>
              <w:jc w:val="left"/>
              <w:spacing w:before="211"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综合处</w:t>
            </w:r>
          </w:p>
        </w:tc>
        <w:tc>
          <w:tcPr>
            <w:tcW w:w="955" w:type="dxa"/>
            <w:gridSpan w:val="1"/>
            <w:vAlign w:val="top"/>
            <w:vMerge w:val="restart"/>
            <w:tcMar/>
            <w:tcBorders>
              <w:left w:val="single" w:sz="4" w:space="0" w:color="000000"/>
              <w:top w:val="single" w:sz="4" w:space="0" w:color="000000"/>
              <w:right w:val="single" w:sz="12" w:space="0" w:color="000000"/>
            </w:tcBorders>
          </w:tcPr>
          <w:p>
            <w:pPr>
              <w:autoSpaceDE w:val="0"/>
              <w:autoSpaceDN w:val="0"/>
              <w:jc w:val="left"/>
              <w:spacing w:before="131"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62327200</w:t>
            </w:r>
          </w:p>
          <w:p>
            <w:pPr>
              <w:autoSpaceDE w:val="0"/>
              <w:autoSpaceDN w:val="0"/>
              <w:jc w:val="left"/>
              <w:spacing w:before="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62329190</w:t>
            </w:r>
          </w:p>
        </w:tc>
        <w:tc>
          <w:tcPr>
            <w:tcW w:w="1121" w:type="dxa"/>
            <w:gridSpan w:val="2"/>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63"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50" w:firstLine="0"/>
              <w:snapToGrid w:val="0"/>
              <w:textAlignment w:val="auto"/>
              <w:tabs/>
              <w:rPr>
                <w:rFonts w:ascii="宋体" w:hAnsi="宋体" w:cs="宋体" w:eastAsia="宋体" w:hint="ascii"/>
                <w:sz w:val="15"/>
              </w:rPr>
            </w:pPr>
            <w:r>
              <w:rPr>
                <w:rFonts w:ascii="宋体" w:hAnsi="宋体" w:cs="宋体" w:eastAsia="宋体" w:hint="ascii"/>
                <w:sz w:val="15"/>
              </w:rPr>
              <w:t>有机高分子材料</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62327138</w:t>
            </w:r>
          </w:p>
        </w:tc>
      </w:tr>
      <w:tr>
        <w:trPr>
          <w:trHeight w:val="296" w:hRule="exact"/>
          <w:cantSplit w:val="1"/>
        </w:trPr>
        <w:tc>
          <w:tcPr>
            <w:tcW w:w="2864" w:type="dxa"/>
            <w:gridSpan w:val="2"/>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955" w:type="dxa"/>
            <w:gridSpan w:val="1"/>
            <w:vAlign w:val="top"/>
            <w:vMerge w:val="continue"/>
            <w:tcMar/>
            <w:tcBorders>
              <w:left w:val="single" w:sz="4" w:space="0" w:color="000000"/>
              <w:top w:val="single" w:sz="4" w:space="0" w:color="000000"/>
              <w:right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1121" w:type="dxa"/>
            <w:gridSpan w:val="2"/>
            <w:vAlign w:val="top"/>
            <w:tcMar/>
            <w:tcBorders>
              <w:left w:val="single" w:sz="12" w:space="0" w:color="000000"/>
              <w:top w:val="single" w:sz="4" w:space="0" w:color="000000"/>
            </w:tcBorders>
          </w:tcPr>
          <w:p>
            <w:pPr>
              <w:autoSpaceDE w:val="0"/>
              <w:autoSpaceDN w:val="0"/>
              <w:jc w:val="left"/>
              <w:spacing w:before="6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材料科学二处</w:t>
            </w:r>
          </w:p>
        </w:tc>
        <w:tc>
          <w:tcPr>
            <w:tcW w:w="2063"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50" w:firstLine="0"/>
              <w:snapToGrid w:val="0"/>
              <w:textAlignment w:val="auto"/>
              <w:tabs/>
              <w:rPr>
                <w:rFonts w:ascii="宋体" w:hAnsi="宋体" w:cs="宋体" w:eastAsia="宋体" w:hint="ascii"/>
                <w:sz w:val="15"/>
              </w:rPr>
            </w:pPr>
            <w:r>
              <w:rPr>
                <w:rFonts w:ascii="宋体" w:hAnsi="宋体" w:cs="宋体" w:eastAsia="宋体" w:hint="ascii"/>
                <w:sz w:val="15"/>
              </w:rPr>
              <w:t>无机非金属材料</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62327144</w:t>
            </w:r>
          </w:p>
        </w:tc>
      </w:tr>
      <w:tr>
        <w:trPr>
          <w:trHeight w:val="295" w:hRule="exact"/>
          <w:cantSplit w:val="1"/>
        </w:trPr>
        <w:tc>
          <w:tcPr>
            <w:tcW w:w="473" w:type="dxa"/>
            <w:gridSpan w:val="1"/>
            <w:vAlign w:val="top"/>
            <w:vMerge w:val="restart"/>
            <w:tcMar/>
            <w:tcBorders>
              <w:top w:val="single" w:sz="4" w:space="0" w:color="000000"/>
            </w:tcBorders>
          </w:tcPr>
          <w:p>
            <w:pPr>
              <w:autoSpaceDE w:val="0"/>
              <w:autoSpaceDN w:val="0"/>
              <w:jc w:val="left"/>
              <w:spacing w:before="19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391" w:type="dxa"/>
            <w:gridSpan w:val="1"/>
            <w:vAlign w:val="top"/>
            <w:tcMar/>
            <w:tcBorders>
              <w:left w:val="single" w:sz="4" w:space="0" w:color="000000"/>
              <w:top w:val="single" w:sz="4" w:space="0" w:color="000000"/>
            </w:tcBorders>
          </w:tcPr>
          <w:p>
            <w:pPr>
              <w:autoSpaceDE w:val="0"/>
              <w:autoSpaceDN w:val="0"/>
              <w:jc w:val="left"/>
              <w:spacing w:before="62"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微生物学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62329221</w:t>
            </w:r>
          </w:p>
        </w:tc>
        <w:tc>
          <w:tcPr>
            <w:tcW w:w="1121" w:type="dxa"/>
            <w:gridSpan w:val="2"/>
            <w:vAlign w:val="top"/>
            <w:tcMar/>
            <w:tcBorders>
              <w:left w:val="single" w:sz="12" w:space="0" w:color="000000"/>
              <w:top w:val="single" w:sz="4" w:space="0" w:color="000000"/>
            </w:tcBorders>
          </w:tcPr>
          <w:p>
            <w:pPr>
              <w:autoSpaceDE w:val="0"/>
              <w:autoSpaceDN w:val="0"/>
              <w:jc w:val="left"/>
              <w:spacing w:before="62"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工程科学一处</w:t>
            </w:r>
          </w:p>
        </w:tc>
        <w:tc>
          <w:tcPr>
            <w:tcW w:w="2063" w:type="dxa"/>
            <w:gridSpan w:val="1"/>
            <w:vAlign w:val="top"/>
            <w:tcMar/>
            <w:tcBorders>
              <w:left w:val="single" w:sz="4" w:space="0" w:color="000000"/>
              <w:top w:val="single" w:sz="4" w:space="0" w:color="000000"/>
            </w:tcBorders>
          </w:tcPr>
          <w:p>
            <w:pPr>
              <w:autoSpaceDE w:val="0"/>
              <w:autoSpaceDN w:val="0"/>
              <w:jc w:val="left"/>
              <w:spacing w:before="62" w:after="0" w:lineRule="exact" w:line="188"/>
              <w:ind w:right="0" w:left="50" w:firstLine="0"/>
              <w:snapToGrid w:val="0"/>
              <w:textAlignment w:val="auto"/>
              <w:tabs/>
              <w:rPr>
                <w:rFonts w:ascii="宋体" w:hAnsi="宋体" w:cs="宋体" w:eastAsia="宋体" w:hint="ascii"/>
                <w:sz w:val="15"/>
              </w:rPr>
            </w:pPr>
            <w:r>
              <w:rPr>
                <w:rFonts w:ascii="宋体" w:hAnsi="宋体" w:cs="宋体" w:eastAsia="宋体" w:hint="ascii"/>
                <w:sz w:val="15"/>
              </w:rPr>
              <w:t>冶金与矿业</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62327136</w:t>
            </w:r>
          </w:p>
        </w:tc>
      </w:tr>
      <w:tr>
        <w:trPr>
          <w:trHeight w:val="260"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植物学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62329135</w:t>
            </w:r>
          </w:p>
        </w:tc>
        <w:tc>
          <w:tcPr>
            <w:tcW w:w="1121" w:type="dxa"/>
            <w:gridSpan w:val="2"/>
            <w:vAlign w:val="top"/>
            <w:tcMar/>
            <w:tcBorders>
              <w:left w:val="single" w:sz="12" w:space="0" w:color="000000"/>
              <w:top w:val="single" w:sz="4" w:space="0" w:color="000000"/>
            </w:tcBorders>
          </w:tcPr>
          <w:p>
            <w:pPr>
              <w:autoSpaceDE w:val="0"/>
              <w:autoSpaceDN w:val="0"/>
              <w:jc w:val="left"/>
              <w:spacing w:before="27"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工程科学二处</w:t>
            </w:r>
          </w:p>
        </w:tc>
        <w:tc>
          <w:tcPr>
            <w:tcW w:w="2063"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机械学与制造科学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62327098</w:t>
            </w:r>
          </w:p>
        </w:tc>
      </w:tr>
      <w:tr>
        <w:trPr>
          <w:trHeight w:val="295" w:hRule="exact"/>
          <w:cantSplit w:val="1"/>
        </w:trPr>
        <w:tc>
          <w:tcPr>
            <w:tcW w:w="473" w:type="dxa"/>
            <w:gridSpan w:val="1"/>
            <w:vAlign w:val="top"/>
            <w:vMerge w:val="restart"/>
            <w:tcMar/>
            <w:tcBorders>
              <w:top w:val="single" w:sz="4" w:space="0" w:color="000000"/>
            </w:tcBorders>
          </w:tcPr>
          <w:p>
            <w:pPr>
              <w:autoSpaceDE w:val="0"/>
              <w:autoSpaceDN w:val="0"/>
              <w:jc w:val="left"/>
              <w:spacing w:before="211"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391"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生态学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6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62327193</w:t>
            </w:r>
          </w:p>
        </w:tc>
        <w:tc>
          <w:tcPr>
            <w:tcW w:w="1121" w:type="dxa"/>
            <w:gridSpan w:val="2"/>
            <w:vAlign w:val="top"/>
            <w:tcMar/>
            <w:tcBorders>
              <w:left w:val="single" w:sz="12" w:space="0" w:color="000000"/>
              <w:top w:val="single" w:sz="4" w:space="0" w:color="000000"/>
            </w:tcBorders>
          </w:tcPr>
          <w:p>
            <w:pPr>
              <w:autoSpaceDE w:val="0"/>
              <w:autoSpaceDN w:val="0"/>
              <w:jc w:val="left"/>
              <w:spacing w:before="6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工程科学三处</w:t>
            </w:r>
          </w:p>
        </w:tc>
        <w:tc>
          <w:tcPr>
            <w:tcW w:w="2063"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工程热物理与能源利用</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62327135</w:t>
            </w:r>
          </w:p>
        </w:tc>
      </w:tr>
      <w:tr>
        <w:trPr>
          <w:trHeight w:val="295"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林学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67"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62329321</w:t>
            </w:r>
          </w:p>
        </w:tc>
        <w:tc>
          <w:tcPr>
            <w:tcW w:w="1121" w:type="dxa"/>
            <w:gridSpan w:val="2"/>
            <w:vAlign w:val="top"/>
            <w:tcMar/>
            <w:tcBorders>
              <w:left w:val="single" w:sz="12" w:space="0" w:color="000000"/>
              <w:top w:val="single" w:sz="4" w:space="0" w:color="000000"/>
            </w:tcBorders>
          </w:tcPr>
          <w:p>
            <w:pPr>
              <w:autoSpaceDE w:val="0"/>
              <w:autoSpaceDN w:val="0"/>
              <w:jc w:val="left"/>
              <w:spacing w:before="6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工程科学四处</w:t>
            </w:r>
          </w:p>
        </w:tc>
        <w:tc>
          <w:tcPr>
            <w:tcW w:w="2063"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spacing w:val="-4"/>
              </w:rPr>
              <w:t>建筑学、环境工程与土木工</w:t>
            </w:r>
            <w:r>
              <w:rPr>
                <w:rFonts w:ascii="宋体" w:hAnsi="宋体" w:cs="宋体" w:eastAsia="宋体" w:hint="ascii"/>
                <w:sz w:val="15"/>
              </w:rPr>
              <w:t>程</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62327142</w:t>
            </w:r>
          </w:p>
        </w:tc>
      </w:tr>
      <w:tr>
        <w:trPr>
          <w:trHeight w:val="296" w:hRule="exact"/>
          <w:cantSplit w:val="1"/>
        </w:trPr>
        <w:tc>
          <w:tcPr>
            <w:tcW w:w="473" w:type="dxa"/>
            <w:gridSpan w:val="1"/>
            <w:vAlign w:val="top"/>
            <w:vMerge w:val="restart"/>
            <w:tcMar/>
            <w:tcBorders>
              <w:top w:val="single" w:sz="4" w:space="0" w:color="000000"/>
            </w:tcBorders>
          </w:tcPr>
          <w:p>
            <w:pPr>
              <w:autoSpaceDE w:val="0"/>
              <w:autoSpaceDN w:val="0"/>
              <w:jc w:val="left"/>
              <w:spacing w:before="372"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391"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生物物理、生物化学与分子生物学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62329246</w:t>
            </w:r>
          </w:p>
        </w:tc>
        <w:tc>
          <w:tcPr>
            <w:tcW w:w="1121" w:type="dxa"/>
            <w:gridSpan w:val="2"/>
            <w:vAlign w:val="top"/>
            <w:vMerge w:val="restart"/>
            <w:tcMar/>
            <w:tcBorders>
              <w:left w:val="single" w:sz="12" w:space="0" w:color="000000"/>
              <w:top w:val="single" w:sz="4" w:space="0" w:color="000000"/>
            </w:tcBorders>
          </w:tcPr>
          <w:p>
            <w:pPr>
              <w:autoSpaceDE w:val="0"/>
              <w:autoSpaceDN w:val="0"/>
              <w:jc w:val="left"/>
              <w:spacing w:before="211"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工程科学五处</w:t>
            </w:r>
          </w:p>
        </w:tc>
        <w:tc>
          <w:tcPr>
            <w:tcW w:w="2063"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电气科学与工程</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62327131</w:t>
            </w:r>
          </w:p>
        </w:tc>
      </w:tr>
      <w:tr>
        <w:trPr>
          <w:trHeight w:val="295"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生物力学与组织工程学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5"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17</w:t>
            </w:r>
          </w:p>
        </w:tc>
        <w:tc>
          <w:tcPr>
            <w:tcW w:w="1121" w:type="dxa"/>
            <w:gridSpan w:val="2"/>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63"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水利科学与海洋工程</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62327137</w:t>
            </w:r>
          </w:p>
        </w:tc>
      </w:tr>
      <w:tr>
        <w:trPr>
          <w:trHeight w:val="320"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75" w:after="0" w:lineRule="exact" w:line="188"/>
              <w:ind w:right="0" w:left="49" w:firstLine="0"/>
              <w:snapToGrid w:val="0"/>
              <w:textAlignment w:val="auto"/>
              <w:tabs/>
              <w:rPr>
                <w:rFonts w:ascii="宋体" w:hAnsi="宋体" w:cs="宋体" w:eastAsia="宋体" w:hint="ascii"/>
                <w:sz w:val="15"/>
              </w:rPr>
            </w:pPr>
            <w:r>
              <w:rPr>
                <w:rFonts w:ascii="宋体" w:hAnsi="宋体" w:cs="宋体" w:eastAsia="宋体" w:hint="ascii"/>
                <w:sz w:val="15"/>
              </w:rPr>
              <w:t>免疫学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82"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62329240</w:t>
            </w:r>
          </w:p>
        </w:tc>
        <w:tc>
          <w:tcPr>
            <w:tcW w:w="4173" w:type="dxa"/>
            <w:gridSpan w:val="4"/>
            <w:vAlign w:val="top"/>
            <w:tcMar/>
            <w:tcBorders>
              <w:left w:val="single" w:sz="12" w:space="0" w:color="000000"/>
              <w:top w:val="single" w:sz="4" w:space="0" w:color="000000"/>
              <w:right w:val="single" w:sz="8" w:space="0" w:color="000000"/>
            </w:tcBorders>
          </w:tcPr>
          <w:p>
            <w:pPr>
              <w:autoSpaceDE w:val="0"/>
              <w:autoSpaceDN w:val="0"/>
              <w:jc w:val="left"/>
              <w:spacing w:before="7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信息科学部</w:t>
            </w:r>
          </w:p>
        </w:tc>
      </w:tr>
      <w:tr>
        <w:trPr>
          <w:trHeight w:val="260" w:hRule="exact"/>
          <w:cantSplit w:val="1"/>
        </w:trPr>
        <w:tc>
          <w:tcPr>
            <w:tcW w:w="473" w:type="dxa"/>
            <w:gridSpan w:val="1"/>
            <w:vAlign w:val="top"/>
            <w:vMerge w:val="restart"/>
            <w:tcMar/>
            <w:tcBorders>
              <w:top w:val="single" w:sz="4" w:space="0" w:color="000000"/>
            </w:tcBorders>
          </w:tcPr>
          <w:p>
            <w:pPr>
              <w:autoSpaceDE w:val="0"/>
              <w:autoSpaceDN w:val="0"/>
              <w:jc w:val="left"/>
              <w:spacing w:before="289"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391" w:type="dxa"/>
            <w:gridSpan w:val="1"/>
            <w:vAlign w:val="top"/>
            <w:tcMar/>
            <w:tcBorders>
              <w:left w:val="single" w:sz="4" w:space="0" w:color="000000"/>
              <w:top w:val="single" w:sz="4" w:space="0" w:color="000000"/>
            </w:tcBorders>
          </w:tcPr>
          <w:p>
            <w:pPr>
              <w:autoSpaceDE w:val="0"/>
              <w:autoSpaceDN w:val="0"/>
              <w:jc w:val="left"/>
              <w:spacing w:before="27"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神经科学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62329253</w:t>
            </w:r>
          </w:p>
        </w:tc>
        <w:tc>
          <w:tcPr>
            <w:tcW w:w="3184" w:type="dxa"/>
            <w:gridSpan w:val="3"/>
            <w:vAlign w:val="top"/>
            <w:tcMar/>
            <w:tcBorders>
              <w:left w:val="single" w:sz="12" w:space="0" w:color="000000"/>
              <w:top w:val="single" w:sz="4" w:space="0" w:color="000000"/>
            </w:tcBorders>
          </w:tcPr>
          <w:p>
            <w:pPr>
              <w:autoSpaceDE w:val="0"/>
              <w:autoSpaceDN w:val="0"/>
              <w:jc w:val="left"/>
              <w:spacing w:before="27"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综合与战略规划处</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62327146</w:t>
            </w:r>
          </w:p>
        </w:tc>
      </w:tr>
      <w:tr>
        <w:trPr>
          <w:trHeight w:val="260"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心理学与认知科学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62329630</w:t>
            </w:r>
          </w:p>
        </w:tc>
        <w:tc>
          <w:tcPr>
            <w:tcW w:w="1121" w:type="dxa"/>
            <w:gridSpan w:val="2"/>
            <w:vAlign w:val="top"/>
            <w:tcMar/>
            <w:tcBorders>
              <w:left w:val="single" w:sz="12" w:space="0" w:color="000000"/>
              <w:top w:val="single" w:sz="4" w:space="0" w:color="000000"/>
            </w:tcBorders>
          </w:tcPr>
          <w:p>
            <w:pPr>
              <w:autoSpaceDE w:val="0"/>
              <w:autoSpaceDN w:val="0"/>
              <w:jc w:val="left"/>
              <w:spacing w:before="29"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063"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电子学与信息系统</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62327147</w:t>
            </w:r>
          </w:p>
        </w:tc>
      </w:tr>
      <w:tr>
        <w:trPr>
          <w:trHeight w:val="260" w:hRule="exact"/>
          <w:cantSplit w:val="1"/>
        </w:trPr>
        <w:tc>
          <w:tcPr>
            <w:tcW w:w="473"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生理学与整合生物学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62329352</w:t>
            </w:r>
          </w:p>
        </w:tc>
        <w:tc>
          <w:tcPr>
            <w:tcW w:w="1121" w:type="dxa"/>
            <w:gridSpan w:val="2"/>
            <w:vAlign w:val="top"/>
            <w:tcMar/>
            <w:tcBorders>
              <w:left w:val="single" w:sz="12" w:space="0" w:color="000000"/>
              <w:top w:val="single" w:sz="4" w:space="0" w:color="000000"/>
            </w:tcBorders>
          </w:tcPr>
          <w:p>
            <w:pPr>
              <w:autoSpaceDE w:val="0"/>
              <w:autoSpaceDN w:val="0"/>
              <w:jc w:val="left"/>
              <w:spacing w:before="29"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063"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计算机科学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62327141</w:t>
            </w:r>
          </w:p>
        </w:tc>
      </w:tr>
      <w:tr>
        <w:trPr>
          <w:trHeight w:val="260" w:hRule="exact"/>
          <w:cantSplit w:val="1"/>
        </w:trPr>
        <w:tc>
          <w:tcPr>
            <w:tcW w:w="473" w:type="dxa"/>
            <w:gridSpan w:val="1"/>
            <w:vAlign w:val="top"/>
            <w:vMerge w:val="restart"/>
            <w:tcMar/>
            <w:tcBorders>
              <w:top w:val="single" w:sz="4" w:space="0" w:color="000000"/>
              <w:bottom w:val="single" w:sz="8" w:space="0" w:color="000000"/>
            </w:tcBorders>
          </w:tcPr>
          <w:p>
            <w:pPr>
              <w:autoSpaceDE w:val="0"/>
              <w:autoSpaceDN w:val="0"/>
              <w:jc w:val="left"/>
              <w:spacing w:before="289"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2391"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遗传学与生物信息学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62327213</w:t>
            </w:r>
          </w:p>
        </w:tc>
        <w:tc>
          <w:tcPr>
            <w:tcW w:w="1121" w:type="dxa"/>
            <w:gridSpan w:val="2"/>
            <w:vAlign w:val="top"/>
            <w:tcMar/>
            <w:tcBorders>
              <w:left w:val="single" w:sz="12" w:space="0" w:color="000000"/>
              <w:top w:val="single" w:sz="4" w:space="0" w:color="000000"/>
            </w:tcBorders>
          </w:tcPr>
          <w:p>
            <w:pPr>
              <w:autoSpaceDE w:val="0"/>
              <w:autoSpaceDN w:val="0"/>
              <w:jc w:val="left"/>
              <w:spacing w:before="29"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063"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自动化科学</w:t>
            </w:r>
          </w:p>
        </w:tc>
        <w:tc>
          <w:tcPr>
            <w:tcW w:w="989"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5"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62327149</w:t>
            </w:r>
          </w:p>
        </w:tc>
      </w:tr>
      <w:tr>
        <w:trPr>
          <w:trHeight w:val="260" w:hRule="exact"/>
          <w:cantSplit w:val="1"/>
        </w:trPr>
        <w:tc>
          <w:tcPr>
            <w:tcW w:w="473" w:type="dxa"/>
            <w:gridSpan w:val="1"/>
            <w:vAlign w:val="top"/>
            <w:vMerge w:val="continue"/>
            <w:tcMar/>
            <w:tcBorders>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细胞生物学</w:t>
            </w:r>
          </w:p>
        </w:tc>
        <w:tc>
          <w:tcPr>
            <w:tcW w:w="955"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62329341</w:t>
            </w:r>
          </w:p>
        </w:tc>
        <w:tc>
          <w:tcPr>
            <w:tcW w:w="1121" w:type="dxa"/>
            <w:gridSpan w:val="2"/>
            <w:vAlign w:val="top"/>
            <w:vMerge w:val="restart"/>
            <w:tcMar/>
            <w:tcBorders>
              <w:left w:val="single" w:sz="12" w:space="0" w:color="000000"/>
              <w:top w:val="single" w:sz="4" w:space="0" w:color="000000"/>
              <w:bottom w:val="single" w:sz="8" w:space="0" w:color="000000"/>
            </w:tcBorders>
          </w:tcPr>
          <w:p>
            <w:pPr>
              <w:autoSpaceDE w:val="0"/>
              <w:autoSpaceDN w:val="0"/>
              <w:jc w:val="left"/>
              <w:spacing w:before="158"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063" w:type="dxa"/>
            <w:gridSpan w:val="1"/>
            <w:vAlign w:val="top"/>
            <w:vMerge w:val="restart"/>
            <w:tcMar/>
            <w:tcBorders>
              <w:left w:val="single" w:sz="4" w:space="0" w:color="000000"/>
              <w:top w:val="single" w:sz="4" w:space="0" w:color="000000"/>
              <w:bottom w:val="single" w:sz="8" w:space="0" w:color="000000"/>
            </w:tcBorders>
          </w:tcPr>
          <w:p>
            <w:pPr>
              <w:autoSpaceDE w:val="0"/>
              <w:autoSpaceDN w:val="0"/>
              <w:jc w:val="left"/>
              <w:spacing w:before="158"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信息器件与光学</w:t>
            </w:r>
          </w:p>
        </w:tc>
        <w:tc>
          <w:tcPr>
            <w:tcW w:w="989" w:type="dxa"/>
            <w:gridSpan w:val="1"/>
            <w:vAlign w:val="top"/>
            <w:vMerge w:val="restart"/>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166"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62327143</w:t>
            </w:r>
          </w:p>
        </w:tc>
      </w:tr>
      <w:tr>
        <w:trPr>
          <w:trHeight w:val="266" w:hRule="exact"/>
          <w:cantSplit w:val="1"/>
        </w:trPr>
        <w:tc>
          <w:tcPr>
            <w:tcW w:w="473" w:type="dxa"/>
            <w:gridSpan w:val="1"/>
            <w:vAlign w:val="top"/>
            <w:vMerge w:val="continue"/>
            <w:tcMar/>
            <w:tcBorders>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1"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29"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发育生物学与生殖生物学</w:t>
            </w:r>
          </w:p>
        </w:tc>
        <w:tc>
          <w:tcPr>
            <w:tcW w:w="955" w:type="dxa"/>
            <w:gridSpan w:val="1"/>
            <w:vAlign w:val="top"/>
            <w:tcMar/>
            <w:tcBorders>
              <w:left w:val="single" w:sz="4" w:space="0" w:color="000000"/>
              <w:top w:val="single" w:sz="4" w:space="0" w:color="000000"/>
              <w:right w:val="single" w:sz="12" w:space="0" w:color="000000"/>
              <w:bottom w:val="single" w:sz="8" w:space="0" w:color="000000"/>
            </w:tcBorders>
          </w:tcPr>
          <w:p>
            <w:pPr>
              <w:autoSpaceDE w:val="0"/>
              <w:autoSpaceDN w:val="0"/>
              <w:jc w:val="left"/>
              <w:spacing w:before="35"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62329170</w:t>
            </w:r>
          </w:p>
        </w:tc>
        <w:tc>
          <w:tcPr>
            <w:tcW w:w="1121" w:type="dxa"/>
            <w:gridSpan w:val="2"/>
            <w:vAlign w:val="top"/>
            <w:vMerge w:val="continue"/>
            <w:tcMar/>
            <w:tcBorders>
              <w:left w:val="single" w:sz="12" w:space="0" w:color="000000"/>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063" w:type="dxa"/>
            <w:gridSpan w:val="1"/>
            <w:vAlign w:val="top"/>
            <w:vMerge w:val="continue"/>
            <w:tcMar/>
            <w:tcBorders>
              <w:left w:val="single" w:sz="4" w:space="0" w:color="000000"/>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989" w:type="dxa"/>
            <w:gridSpan w:val="1"/>
            <w:vAlign w:val="top"/>
            <w:vMerge w:val="continue"/>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r>
    </w:tbl>
    <w:p>
      <w:pPr>
        <w:autoSpaceDE w:val="0"/>
        <w:autoSpaceDN w:val="0"/>
        <w:jc w:val="left"/>
        <w:spacing w:before="307" w:after="0" w:lineRule="exact" w:line="225"/>
        <w:ind w:right="0" w:left="8331" w:firstLine="0"/>
        <w:snapToGrid w:val="0"/>
        <w:textAlignment w:val="auto"/>
        <w:tabs/>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301</w:t>
      </w:r>
      <w:r>
        <w:rPr>
          <w:rFonts w:ascii="宋体" w:hAnsi="宋体" w:cs="宋体" w:eastAsia="宋体" w:hint="ascii"/>
          <w:sz w:val="18"/>
        </w:rPr>
        <w:t>·</w:t>
      </w:r>
      <w:rPr>
        <w:rFonts w:ascii="宋体" w:hAnsi="宋体" w:cs="宋体" w:eastAsia="宋体" w:hint="ascii"/>
        <w:sz w:val="18"/>
      </w:rPr>
    </w:p>
    <w:p>
      <w:pPr>
        <w:autoSpaceDE w:val="0"/>
        <w:autoSpaceDN w:val="0"/>
        <w:jc w:val="left"/>
        <w:spacing w:before="450" w:after="0" w:lineRule="auto" w:line="240"/>
        <w:ind w:right="0" w:left="966" w:firstLine="0"/>
        <w:snapToGrid w:val="0"/>
        <w:textAlignment w:val="auto"/>
        <w:tabs/>
        <w:rPr>
          <w:rFonts w:ascii="宋体" w:hAnsi="宋体" w:cs="宋体" w:eastAsia="宋体" w:hint="ascii"/>
          <w:sz w:val="19"/>
        </w:rPr>
      </w:pPr>
      <w:r>
        <w:rPr>
          <w:rFonts w:ascii="Times New Roman" w:hAnsi="Times New Roman" w:cs="Times New Roman" w:eastAsia="Times New Roman" w:hint="ascii"/>
          <w:sz w:val="19"/>
        </w:rPr>
        <w:t>201</w:t>
      </w:r>
      <w:r>
        <w:rPr>
          <w:rFonts w:ascii="Times New Roman" w:hAnsi="Times New Roman" w:cs="Times New Roman" w:eastAsia="Times New Roman" w:hint="ascii"/>
          <w:sz w:val="19"/>
          <w:spacing w:val="48"/>
        </w:rPr>
        <w:t>8</w:t>
      </w:r>
      <w:r>
        <w:rPr>
          <w:rFonts w:ascii="宋体" w:hAnsi="宋体" w:cs="宋体" w:eastAsia="宋体" w:hint="ascii"/>
          <w:sz w:val="19"/>
        </w:rPr>
        <w:t>年度国家自然科学基金项目指南</w:t>
      </w:r>
    </w:p>
    <w:p>
      <w:pPr>
        <w:autoSpaceDE w:val="0"/>
        <w:autoSpaceDN w:val="0"/>
        <w:jc w:val="left"/>
        <w:spacing w:before="354" w:after="17" w:lineRule="exact" w:line="225"/>
        <w:ind w:right="0" w:left="8167" w:firstLine="0"/>
        <w:snapToGrid w:val="0"/>
        <w:textAlignment w:val="auto"/>
        <w:tabs/>
        <w:rPr>
          <w:rFonts w:ascii="宋体" w:hAnsi="宋体" w:cs="宋体" w:eastAsia="宋体" w:hint="ascii"/>
          <w:sz w:val="18"/>
        </w:rPr>
      </w:pPr>
      <w:r>
        <w:rPr>
          <w:rFonts w:ascii="宋体" w:hAnsi="宋体" w:cs="宋体" w:eastAsia="宋体" w:hint="ascii"/>
          <w:sz w:val="18"/>
        </w:rPr>
        <w:t>续表</w:t>
      </w:r>
      <w:r>
        <w:rPr>
          <w:rFonts w:ascii="宋体" w:hAnsi="宋体" w:cs="宋体" w:eastAsia="宋体" w:hint="ascii"/>
          <w:sz w:val="18"/>
        </w:rPr>
        <mc:AlternateContent>
          <mc:Choice Requires="wps">
            <w:drawing>
              <wp:anchor distL="0" distR="0" distT="0" distB="0" simplePos="0" behindDoc="1" relativeHeight="764" locked="0" layoutInCell="1" allowOverlap="1">
                <wp:simplePos x="0" y="0"/>
                <wp:positionH relativeFrom="page">
                  <wp:posOffset>938530</wp:posOffset>
                </wp:positionH>
                <wp:positionV relativeFrom="page">
                  <wp:posOffset>805815</wp:posOffset>
                </wp:positionV>
                <wp:extent cx="5076190" cy="0"/>
                <wp:wrapNone/>
                <wp:docPr id="1791" name="1791"/>
                <wp:cNvGraphicFramePr/>
                <a:graphic>
                  <a:graphicData uri="http://schemas.microsoft.com/office/word/2010/wordprocessingShape">
                    <wps:wsp>
                      <wps:cNvSpPr/>
                      <wps:spPr>
                        <a:xfrm>
                          <a:off x="0" y="0"/>
                          <a:ext cx="5076190" cy="0"/>
                        </a:xfrm>
                        <a:prstGeom prst="line"/>
                        <a:solidFill>
                          <a:srgbClr val="ffffff">
                            <a:alpha val="0"/>
                          </a:srgbClr>
                        </a:solidFill>
                        <a:ln w="6350" cap="rnd">
                          <a:solidFill>
                            <a:srgbClr val="231f20"/>
                          </a:solidFill>
                          <a:prstDash val="solid"/>
                        </a:ln>
                      </wps:spPr>
                      <wps:bodyPr vert="horz" wrap="square" lIns="91440" tIns="45720" rIns="91440" bIns="45720" anchor="t">
                        <a:noAutofit/>
                      </wps:bodyPr>
                    </wps:wsp>
                  </a:graphicData>
                </a:graphic>
              </wp:anchor>
            </w:drawing>
          </mc:Choice>
          <mc:Fallback>
            <w:pict>
              <v:line style="position:absolute;mso-position-horizontal:absolute;mso-position-horizontal-relative:page;margin-left:73.90pt;mso-position-vertical:absolute;mso-position-vertical-relative:page;margin-top:63.45pt;z-index:-250875904;width:399.70pt;" id="1791" coordsize="7994,0" strokeweight="0.50pt" strokecolor="#231f20" fillcolor="#auto" opacity="0f" from="0.00pt, 0.00pt" to="399.70pt, 0.00pt">
                <v:stroke endcap="round"/>
                <v:fill opacity="0f"/>
                <w10:wrap anchorx="page" anchory="page" side="both"/>
              </v:line>
            </w:pict>
          </mc:Fallback>
        </mc:AlternateContent>
      </w:r>
    </w:p>
    <w:tbl>
      <w:tblPr>
        <w:tblW w:w="7995" w:type="dxa"/>
        <w:jc w:val="left"/>
        <w:tblInd w:w="966" w:type="dxa"/>
        <w:tblCellMar>
          <w:top w:w="0" w:type="dxa"/>
          <w:left w:w="0" w:type="dxa"/>
          <w:right w:w="0" w:type="dxa"/>
          <w:bottom w:w="0" w:type="dxa"/>
        </w:tblCellMar>
        <w:tblBorders>
          <w:top w:val="single" w:sz="8" w:space="0" w:color="000000"/>
          <w:left w:val="single" w:sz="8" w:space="0" w:color="000000"/>
          <w:bottom w:val="single" w:sz="4" w:space="0" w:color="000000"/>
          <w:right w:val="single" w:sz="4" w:space="0" w:color="000000"/>
          <w:insideH w:val="single" w:sz="8" w:space="0" w:color="000000"/>
          <w:insideV w:val="single" w:sz="8" w:space="0" w:color="000000"/>
        </w:tblBorders>
      </w:tblPr>
      <w:tblGrid>
        <w:gridCol w:w="477"/>
        <w:gridCol w:w="2394"/>
        <w:gridCol w:w="957"/>
        <w:gridCol w:w="3177"/>
        <w:gridCol w:w="990"/>
      </w:tblGrid>
      <w:tr>
        <w:trPr>
          <w:trHeight w:val="265" w:hRule="exact"/>
          <w:cantSplit w:val="1"/>
        </w:trPr>
        <w:tc>
          <w:tcPr>
            <w:tcW w:w="2871" w:type="dxa"/>
            <w:gridSpan w:val="2"/>
            <w:vAlign w:val="top"/>
            <w:tcMar/>
            <w:tcBorders/>
          </w:tcPr>
          <w:p>
            <w:pPr>
              <w:autoSpaceDE w:val="0"/>
              <w:autoSpaceDN w:val="0"/>
              <w:jc w:val="left"/>
              <w:spacing w:before="28" w:after="0" w:lineRule="exact" w:line="188"/>
              <w:ind w:right="0" w:left="1126" w:firstLine="0"/>
              <w:snapToGrid w:val="0"/>
              <w:textAlignment w:val="auto"/>
              <w:tabs/>
              <w:rPr>
                <w:rFonts w:ascii="宋体" w:hAnsi="宋体" w:cs="宋体" w:eastAsia="宋体" w:hint="ascii"/>
                <w:sz w:val="15"/>
              </w:rPr>
            </w:pPr>
            <w:r>
              <w:rPr>
                <w:rFonts w:ascii="宋体" w:hAnsi="宋体" w:cs="宋体" w:eastAsia="宋体" w:hint="ascii"/>
                <w:sz w:val="15"/>
              </w:rPr>
              <w:t>单位名称</w:t>
            </w:r>
          </w:p>
        </w:tc>
        <w:tc>
          <w:tcPr>
            <w:tcW w:w="957" w:type="dxa"/>
            <w:gridSpan w:val="1"/>
            <w:vAlign w:val="top"/>
            <w:tcMar/>
            <w:tcBorders>
              <w:left w:val="single" w:sz="4" w:space="0" w:color="000000"/>
              <w:right w:val="single" w:sz="12" w:space="0" w:color="000000"/>
            </w:tcBorders>
          </w:tcPr>
          <w:p>
            <w:pPr>
              <w:autoSpaceDE w:val="0"/>
              <w:autoSpaceDN w:val="0"/>
              <w:jc w:val="left"/>
              <w:spacing w:before="28" w:after="0" w:lineRule="exact" w:line="188"/>
              <w:ind w:right="0" w:left="323" w:firstLine="0"/>
              <w:snapToGrid w:val="0"/>
              <w:textAlignment w:val="auto"/>
              <w:tabs/>
              <w:rPr>
                <w:rFonts w:ascii="宋体" w:hAnsi="宋体" w:cs="宋体" w:eastAsia="宋体" w:hint="ascii"/>
                <w:sz w:val="15"/>
              </w:rPr>
            </w:pPr>
            <w:r>
              <w:rPr>
                <w:rFonts w:ascii="宋体" w:hAnsi="宋体" w:cs="宋体" w:eastAsia="宋体" w:hint="ascii"/>
                <w:sz w:val="15"/>
              </w:rPr>
              <w:t>电话</w:t>
            </w:r>
          </w:p>
        </w:tc>
        <w:tc>
          <w:tcPr>
            <w:tcW w:w="3177" w:type="dxa"/>
            <w:gridSpan w:val="1"/>
            <w:vAlign w:val="top"/>
            <w:tcMar/>
            <w:tcBorders>
              <w:left w:val="single" w:sz="12" w:space="0" w:color="000000"/>
            </w:tcBorders>
          </w:tcPr>
          <w:p>
            <w:pPr>
              <w:autoSpaceDE w:val="0"/>
              <w:autoSpaceDN w:val="0"/>
              <w:jc w:val="left"/>
              <w:spacing w:before="28" w:after="0" w:lineRule="exact" w:line="188"/>
              <w:ind w:right="0" w:left="1274" w:firstLine="0"/>
              <w:snapToGrid w:val="0"/>
              <w:textAlignment w:val="auto"/>
              <w:tabs/>
              <w:rPr>
                <w:rFonts w:ascii="宋体" w:hAnsi="宋体" w:cs="宋体" w:eastAsia="宋体" w:hint="ascii"/>
                <w:sz w:val="15"/>
              </w:rPr>
            </w:pPr>
            <w:r>
              <w:rPr>
                <w:rFonts w:ascii="宋体" w:hAnsi="宋体" w:cs="宋体" w:eastAsia="宋体" w:hint="ascii"/>
                <w:sz w:val="15"/>
              </w:rPr>
              <w:t>单位名称</w:t>
            </w:r>
          </w:p>
        </w:tc>
        <w:tc>
          <w:tcPr>
            <w:tcW w:w="990" w:type="dxa"/>
            <w:gridSpan w:val="1"/>
            <w:vAlign w:val="top"/>
            <w:tcMar/>
            <w:tcBorders>
              <w:left w:val="single" w:sz="4" w:space="0" w:color="000000"/>
              <w:right w:val="single" w:sz="8" w:space="0" w:color="000000"/>
            </w:tcBorders>
          </w:tcPr>
          <w:p>
            <w:pPr>
              <w:autoSpaceDE w:val="0"/>
              <w:autoSpaceDN w:val="0"/>
              <w:jc w:val="left"/>
              <w:spacing w:before="28" w:after="0" w:lineRule="exact" w:line="188"/>
              <w:ind w:right="0" w:left="339" w:firstLine="0"/>
              <w:snapToGrid w:val="0"/>
              <w:textAlignment w:val="auto"/>
              <w:tabs/>
              <w:rPr>
                <w:rFonts w:ascii="宋体" w:hAnsi="宋体" w:cs="宋体" w:eastAsia="宋体" w:hint="ascii"/>
                <w:sz w:val="15"/>
              </w:rPr>
            </w:pPr>
            <w:r>
              <w:rPr>
                <w:rFonts w:ascii="宋体" w:hAnsi="宋体" w:cs="宋体" w:eastAsia="宋体" w:hint="ascii"/>
                <w:sz w:val="15"/>
              </w:rPr>
              <w:t>电话</w:t>
            </w:r>
          </w:p>
        </w:tc>
      </w:tr>
      <w:tr>
        <w:trPr>
          <w:trHeight w:val="286" w:hRule="exact"/>
          <w:cantSplit w:val="1"/>
        </w:trPr>
        <w:tc>
          <w:tcPr>
            <w:tcW w:w="3828" w:type="dxa"/>
            <w:gridSpan w:val="3"/>
            <w:vAlign w:val="top"/>
            <w:tcMar/>
            <w:tcBorders>
              <w:top w:val="single" w:sz="4" w:space="0" w:color="000000"/>
              <w:right w:val="single" w:sz="12" w:space="0" w:color="000000"/>
            </w:tcBorders>
          </w:tcPr>
          <w:p>
            <w:pPr>
              <w:autoSpaceDE w:val="0"/>
              <w:autoSpaceDN w:val="0"/>
              <w:jc w:val="left"/>
              <w:spacing w:before="38"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管理科学部</w:t>
            </w:r>
          </w:p>
        </w:tc>
        <w:tc>
          <w:tcPr>
            <w:tcW w:w="4167" w:type="dxa"/>
            <w:gridSpan w:val="2"/>
            <w:vAlign w:val="top"/>
            <w:tcMar/>
            <w:tcBorders>
              <w:left w:val="single" w:sz="12" w:space="0" w:color="000000"/>
              <w:top w:val="single" w:sz="4" w:space="0" w:color="000000"/>
              <w:right w:val="single" w:sz="8" w:space="0" w:color="000000"/>
            </w:tcBorders>
          </w:tcPr>
          <w:p>
            <w:pPr>
              <w:autoSpaceDE w:val="0"/>
              <w:autoSpaceDN w:val="0"/>
              <w:jc w:val="left"/>
              <w:spacing w:before="38"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计划局</w:t>
            </w:r>
          </w:p>
        </w:tc>
      </w:tr>
      <w:tr>
        <w:trPr>
          <w:trHeight w:val="260" w:hRule="exact"/>
          <w:cantSplit w:val="1"/>
        </w:trPr>
        <w:tc>
          <w:tcPr>
            <w:tcW w:w="2871" w:type="dxa"/>
            <w:gridSpan w:val="2"/>
            <w:vAlign w:val="top"/>
            <w:tcMar/>
            <w:tcBorders>
              <w:top w:val="single" w:sz="4" w:space="0" w:color="000000"/>
            </w:tcBorders>
          </w:tcPr>
          <w:p>
            <w:pPr>
              <w:autoSpaceDE w:val="0"/>
              <w:autoSpaceDN w:val="0"/>
              <w:jc w:val="left"/>
              <w:spacing w:before="27"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综合处</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34"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62326898</w:t>
            </w:r>
          </w:p>
        </w:tc>
        <w:tc>
          <w:tcPr>
            <w:tcW w:w="3177" w:type="dxa"/>
            <w:gridSpan w:val="1"/>
            <w:vAlign w:val="top"/>
            <w:tcMar/>
            <w:tcBorders>
              <w:left w:val="single" w:sz="12" w:space="0" w:color="000000"/>
              <w:top w:val="single" w:sz="4" w:space="0" w:color="000000"/>
            </w:tcBorders>
          </w:tcPr>
          <w:p>
            <w:pPr>
              <w:autoSpaceDE w:val="0"/>
              <w:autoSpaceDN w:val="0"/>
              <w:jc w:val="left"/>
              <w:spacing w:before="27"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综合处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34"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62326980</w:t>
            </w:r>
          </w:p>
        </w:tc>
      </w:tr>
      <w:tr>
        <w:trPr>
          <w:trHeight w:val="410" w:hRule="exact"/>
          <w:cantSplit w:val="1"/>
        </w:trPr>
        <w:tc>
          <w:tcPr>
            <w:tcW w:w="477" w:type="dxa"/>
            <w:gridSpan w:val="1"/>
            <w:vAlign w:val="top"/>
            <w:tcMar/>
            <w:tcBorders>
              <w:top w:val="single" w:sz="4" w:space="0" w:color="000000"/>
            </w:tcBorders>
          </w:tcPr>
          <w:p>
            <w:pPr>
              <w:autoSpaceDE w:val="0"/>
              <w:autoSpaceDN w:val="0"/>
              <w:jc w:val="left"/>
              <w:spacing w:before="10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394" w:type="dxa"/>
            <w:gridSpan w:val="1"/>
            <w:vAlign w:val="top"/>
            <w:tcMar/>
            <w:tcBorders>
              <w:left w:val="single" w:sz="4" w:space="0" w:color="000000"/>
              <w:top w:val="single" w:sz="4" w:space="0" w:color="000000"/>
            </w:tcBorders>
          </w:tcPr>
          <w:p>
            <w:pPr>
              <w:autoSpaceDE w:val="0"/>
              <w:autoSpaceDN w:val="0"/>
              <w:jc w:val="left"/>
              <w:spacing w:before="10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管理科学与工程</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09"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62327155</w:t>
            </w:r>
          </w:p>
        </w:tc>
        <w:tc>
          <w:tcPr>
            <w:tcW w:w="3177" w:type="dxa"/>
            <w:gridSpan w:val="1"/>
            <w:vAlign w:val="top"/>
            <w:tcMar/>
            <w:tcBorders>
              <w:left w:val="single" w:sz="12" w:space="0" w:color="000000"/>
              <w:top w:val="single" w:sz="4" w:space="0" w:color="000000"/>
            </w:tcBorders>
          </w:tcPr>
          <w:p>
            <w:pPr>
              <w:autoSpaceDE w:val="0"/>
              <w:autoSpaceDN w:val="0"/>
              <w:jc w:val="left"/>
              <w:spacing w:before="10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项目处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62327230</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62325557</w:t>
            </w:r>
          </w:p>
        </w:tc>
      </w:tr>
      <w:tr>
        <w:trPr>
          <w:trHeight w:val="412" w:hRule="exact"/>
          <w:cantSplit w:val="1"/>
        </w:trPr>
        <w:tc>
          <w:tcPr>
            <w:tcW w:w="477" w:type="dxa"/>
            <w:gridSpan w:val="1"/>
            <w:vAlign w:val="top"/>
            <w:tcMar/>
            <w:tcBorders>
              <w:top w:val="single" w:sz="4" w:space="0" w:color="000000"/>
            </w:tcBorders>
          </w:tcPr>
          <w:p>
            <w:pPr>
              <w:autoSpaceDE w:val="0"/>
              <w:autoSpaceDN w:val="0"/>
              <w:jc w:val="left"/>
              <w:spacing w:before="10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394" w:type="dxa"/>
            <w:gridSpan w:val="1"/>
            <w:vAlign w:val="top"/>
            <w:tcMar/>
            <w:tcBorders>
              <w:left w:val="single" w:sz="4" w:space="0" w:color="000000"/>
              <w:top w:val="single" w:sz="4" w:space="0" w:color="000000"/>
            </w:tcBorders>
          </w:tcPr>
          <w:p>
            <w:pPr>
              <w:autoSpaceDE w:val="0"/>
              <w:autoSpaceDN w:val="0"/>
              <w:jc w:val="left"/>
              <w:spacing w:before="10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工商管理</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11"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62327152</w:t>
            </w:r>
          </w:p>
        </w:tc>
        <w:tc>
          <w:tcPr>
            <w:tcW w:w="3177" w:type="dxa"/>
            <w:gridSpan w:val="1"/>
            <w:vAlign w:val="top"/>
            <w:tcMar/>
            <w:tcBorders>
              <w:left w:val="single" w:sz="12" w:space="0" w:color="000000"/>
              <w:top w:val="single" w:sz="4" w:space="0" w:color="000000"/>
            </w:tcBorders>
          </w:tcPr>
          <w:p>
            <w:pPr>
              <w:autoSpaceDE w:val="0"/>
              <w:autoSpaceDN w:val="0"/>
              <w:jc w:val="left"/>
              <w:spacing w:before="10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人才处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4"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62328623</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62325562</w:t>
            </w:r>
          </w:p>
        </w:tc>
      </w:tr>
      <w:tr>
        <w:trPr>
          <w:trHeight w:val="410" w:hRule="exact"/>
          <w:cantSplit w:val="1"/>
        </w:trPr>
        <w:tc>
          <w:tcPr>
            <w:tcW w:w="477" w:type="dxa"/>
            <w:gridSpan w:val="1"/>
            <w:vAlign w:val="top"/>
            <w:tcMar/>
            <w:tcBorders>
              <w:top w:val="single" w:sz="4" w:space="0" w:color="000000"/>
            </w:tcBorders>
          </w:tcPr>
          <w:p>
            <w:pPr>
              <w:autoSpaceDE w:val="0"/>
              <w:autoSpaceDN w:val="0"/>
              <w:jc w:val="left"/>
              <w:spacing w:before="10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394" w:type="dxa"/>
            <w:gridSpan w:val="1"/>
            <w:vAlign w:val="top"/>
            <w:tcMar/>
            <w:tcBorders>
              <w:left w:val="single" w:sz="4" w:space="0" w:color="000000"/>
              <w:top w:val="single" w:sz="4" w:space="0" w:color="000000"/>
            </w:tcBorders>
          </w:tcPr>
          <w:p>
            <w:pPr>
              <w:autoSpaceDE w:val="0"/>
              <w:autoSpaceDN w:val="0"/>
              <w:jc w:val="left"/>
              <w:spacing w:before="10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宏观管理与政策</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09"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62327151</w:t>
            </w:r>
          </w:p>
        </w:tc>
        <w:tc>
          <w:tcPr>
            <w:tcW w:w="3177" w:type="dxa"/>
            <w:gridSpan w:val="1"/>
            <w:vAlign w:val="top"/>
            <w:tcMar/>
            <w:tcBorders>
              <w:left w:val="single" w:sz="12" w:space="0" w:color="000000"/>
              <w:top w:val="single" w:sz="4" w:space="0" w:color="000000"/>
            </w:tcBorders>
          </w:tcPr>
          <w:p>
            <w:pPr>
              <w:autoSpaceDE w:val="0"/>
              <w:autoSpaceDN w:val="0"/>
              <w:jc w:val="left"/>
              <w:spacing w:before="10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交叉学科处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62327015</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62328484</w:t>
            </w:r>
          </w:p>
        </w:tc>
      </w:tr>
      <w:tr>
        <w:trPr>
          <w:trHeight w:val="286" w:hRule="exact"/>
          <w:cantSplit w:val="1"/>
        </w:trPr>
        <w:tc>
          <w:tcPr>
            <w:tcW w:w="3828" w:type="dxa"/>
            <w:gridSpan w:val="3"/>
            <w:vAlign w:val="top"/>
            <w:tcMar/>
            <w:tcBorders>
              <w:top w:val="single" w:sz="4" w:space="0" w:color="000000"/>
              <w:right w:val="single" w:sz="12" w:space="0" w:color="000000"/>
            </w:tcBorders>
          </w:tcPr>
          <w:p>
            <w:pPr>
              <w:autoSpaceDE w:val="0"/>
              <w:autoSpaceDN w:val="0"/>
              <w:jc w:val="left"/>
              <w:spacing w:before="38"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医学科学部</w:t>
            </w:r>
          </w:p>
        </w:tc>
        <w:tc>
          <w:tcPr>
            <w:tcW w:w="3177" w:type="dxa"/>
            <w:gridSpan w:val="1"/>
            <w:vAlign w:val="top"/>
            <w:tcMar/>
            <w:tcBorders>
              <w:left w:val="single" w:sz="12" w:space="0" w:color="000000"/>
              <w:top w:val="single" w:sz="4" w:space="0" w:color="000000"/>
            </w:tcBorders>
          </w:tcPr>
          <w:p>
            <w:pPr>
              <w:autoSpaceDE w:val="0"/>
              <w:autoSpaceDN w:val="0"/>
              <w:jc w:val="left"/>
              <w:spacing w:before="41"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财务局</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r>
      <w:tr>
        <w:trPr>
          <w:trHeight w:val="583" w:hRule="exact"/>
          <w:cantSplit w:val="1"/>
        </w:trPr>
        <w:tc>
          <w:tcPr>
            <w:tcW w:w="2871" w:type="dxa"/>
            <w:gridSpan w:val="2"/>
            <w:vAlign w:val="top"/>
            <w:tcMar/>
            <w:tcBorders>
              <w:top w:val="single" w:sz="4" w:space="0" w:color="000000"/>
            </w:tcBorders>
          </w:tcPr>
          <w:p>
            <w:pPr>
              <w:autoSpaceDE w:val="0"/>
              <w:autoSpaceDN w:val="0"/>
              <w:jc w:val="left"/>
              <w:spacing w:before="189"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综合处</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09" w:after="0" w:lineRule="auto" w:line="240"/>
              <w:ind w:right="0" w:left="1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62328991</w:t>
            </w:r>
          </w:p>
          <w:p>
            <w:pPr>
              <w:autoSpaceDE w:val="0"/>
              <w:autoSpaceDN w:val="0"/>
              <w:jc w:val="left"/>
              <w:spacing w:before="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62328552</w:t>
            </w:r>
          </w:p>
        </w:tc>
        <w:tc>
          <w:tcPr>
            <w:tcW w:w="3177" w:type="dxa"/>
            <w:gridSpan w:val="1"/>
            <w:vAlign w:val="top"/>
            <w:tcMar/>
            <w:tcBorders>
              <w:left w:val="single" w:sz="12" w:space="0" w:color="000000"/>
              <w:top w:val="single" w:sz="4" w:space="0" w:color="000000"/>
            </w:tcBorders>
          </w:tcPr>
          <w:p>
            <w:pPr>
              <w:autoSpaceDE w:val="0"/>
              <w:autoSpaceDN w:val="0"/>
              <w:jc w:val="left"/>
              <w:spacing w:before="189"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预算处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62326585</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62328485</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62326460</w:t>
            </w:r>
          </w:p>
        </w:tc>
      </w:tr>
      <w:tr>
        <w:trPr>
          <w:trHeight w:val="586" w:hRule="exact"/>
          <w:cantSplit w:val="1"/>
        </w:trPr>
        <w:tc>
          <w:tcPr>
            <w:tcW w:w="477" w:type="dxa"/>
            <w:gridSpan w:val="1"/>
            <w:vAlign w:val="top"/>
            <w:vMerge w:val="restart"/>
            <w:tcMar/>
            <w:tcBorders>
              <w:top w:val="single" w:sz="4" w:space="0" w:color="000000"/>
            </w:tcBorders>
          </w:tcPr>
          <w:p>
            <w:pPr>
              <w:autoSpaceDE w:val="0"/>
              <w:autoSpaceDN w:val="0"/>
              <w:jc w:val="left"/>
              <w:spacing w:before="456"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一处</w:t>
            </w:r>
          </w:p>
        </w:tc>
        <w:tc>
          <w:tcPr>
            <w:tcW w:w="2394" w:type="dxa"/>
            <w:gridSpan w:val="1"/>
            <w:vAlign w:val="top"/>
            <w:tcMar/>
            <w:tcBorders>
              <w:left w:val="single" w:sz="4" w:space="0" w:color="000000"/>
              <w:top w:val="single" w:sz="4" w:space="0" w:color="000000"/>
            </w:tcBorders>
          </w:tcPr>
          <w:p>
            <w:pPr>
              <w:autoSpaceDE w:val="0"/>
              <w:autoSpaceDN w:val="0"/>
              <w:jc w:val="left"/>
              <w:spacing w:before="191"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呼吸、血液</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97"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62327215</w:t>
            </w:r>
          </w:p>
        </w:tc>
        <w:tc>
          <w:tcPr>
            <w:tcW w:w="3177" w:type="dxa"/>
            <w:gridSpan w:val="1"/>
            <w:vAlign w:val="top"/>
            <w:vMerge w:val="restart"/>
            <w:tcMar/>
            <w:tcBorders>
              <w:left w:val="single" w:sz="12" w:space="0" w:color="000000"/>
              <w:top w:val="single" w:sz="4" w:space="0" w:color="000000"/>
            </w:tcBorders>
          </w:tcPr>
          <w:p>
            <w:pPr>
              <w:autoSpaceDE w:val="0"/>
              <w:autoSpaceDN w:val="0"/>
              <w:jc w:val="left"/>
              <w:spacing w:before="314"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经费管理处</w:t>
            </w:r>
          </w:p>
        </w:tc>
        <w:tc>
          <w:tcPr>
            <w:tcW w:w="990" w:type="dxa"/>
            <w:gridSpan w:val="1"/>
            <w:vAlign w:val="top"/>
            <w:vMerge w:val="restart"/>
            <w:tcMar/>
            <w:tcBorders>
              <w:left w:val="single" w:sz="4" w:space="0" w:color="000000"/>
              <w:top w:val="single" w:sz="4" w:space="0" w:color="000000"/>
              <w:right w:val="single" w:sz="8" w:space="0" w:color="000000"/>
            </w:tcBorders>
          </w:tcPr>
          <w:p>
            <w:pPr>
              <w:autoSpaceDE w:val="0"/>
              <w:autoSpaceDN w:val="0"/>
              <w:jc w:val="left"/>
              <w:spacing w:before="61"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62326760</w:t>
            </w:r>
          </w:p>
          <w:p>
            <w:pPr>
              <w:autoSpaceDE w:val="0"/>
              <w:autoSpaceDN w:val="0"/>
              <w:jc w:val="left"/>
              <w:spacing w:before="0" w:after="0" w:lineRule="auto" w:line="240"/>
              <w:ind w:right="0" w:left="192"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w:t>
            </w:r>
            <w:r>
              <w:rPr>
                <w:rFonts w:ascii="Times New Roman" w:hAnsi="Times New Roman" w:cs="Times New Roman" w:eastAsia="Times New Roman" w:hint="ascii"/>
                <w:sz w:val="15"/>
                <w:spacing w:val="-5"/>
              </w:rPr>
              <w:t>1</w:t>
            </w:r>
            <w:r>
              <w:rPr>
                <w:rFonts w:ascii="Times New Roman" w:hAnsi="Times New Roman" w:cs="Times New Roman" w:eastAsia="Times New Roman" w:hint="ascii"/>
                <w:sz w:val="15"/>
              </w:rPr>
              <w:t>12</w:t>
            </w:r>
          </w:p>
          <w:p>
            <w:pPr>
              <w:autoSpaceDE w:val="0"/>
              <w:autoSpaceDN w:val="0"/>
              <w:jc w:val="left"/>
              <w:spacing w:before="1" w:after="0" w:lineRule="auto" w:line="239"/>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62327225</w:t>
            </w:r>
          </w:p>
          <w:p>
            <w:pPr>
              <w:autoSpaceDE w:val="0"/>
              <w:autoSpaceDN w:val="0"/>
              <w:jc w:val="left"/>
              <w:spacing w:before="0" w:after="0" w:lineRule="auto" w:line="239"/>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62327229</w:t>
            </w:r>
          </w:p>
        </w:tc>
      </w:tr>
      <w:tr>
        <w:trPr>
          <w:trHeight w:val="246" w:hRule="exact"/>
          <w:cantSplit w:val="1"/>
        </w:trPr>
        <w:tc>
          <w:tcPr>
            <w:tcW w:w="47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4" w:type="dxa"/>
            <w:gridSpan w:val="1"/>
            <w:vAlign w:val="top"/>
            <w:vMerge w:val="restart"/>
            <w:tcMar/>
            <w:tcBorders>
              <w:left w:val="single" w:sz="4" w:space="0" w:color="000000"/>
              <w:top w:val="single" w:sz="4" w:space="0" w:color="000000"/>
            </w:tcBorders>
          </w:tcPr>
          <w:p>
            <w:pPr>
              <w:autoSpaceDE w:val="0"/>
              <w:autoSpaceDN w:val="0"/>
              <w:jc w:val="left"/>
              <w:spacing w:before="164"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循环</w:t>
            </w:r>
          </w:p>
        </w:tc>
        <w:tc>
          <w:tcPr>
            <w:tcW w:w="957" w:type="dxa"/>
            <w:gridSpan w:val="1"/>
            <w:vAlign w:val="top"/>
            <w:vMerge w:val="restart"/>
            <w:tcMar/>
            <w:tcBorders>
              <w:left w:val="single" w:sz="4" w:space="0" w:color="000000"/>
              <w:top w:val="single" w:sz="4" w:space="0" w:color="000000"/>
              <w:right w:val="single" w:sz="12" w:space="0" w:color="000000"/>
            </w:tcBorders>
          </w:tcPr>
          <w:p>
            <w:pPr>
              <w:autoSpaceDE w:val="0"/>
              <w:autoSpaceDN w:val="0"/>
              <w:jc w:val="left"/>
              <w:spacing w:before="171"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62328559</w:t>
            </w:r>
          </w:p>
        </w:tc>
        <w:tc>
          <w:tcPr>
            <w:tcW w:w="3177" w:type="dxa"/>
            <w:gridSpan w:val="1"/>
            <w:vAlign w:val="top"/>
            <w:vMerge w:val="continue"/>
            <w:tcMar/>
            <w:tcBorders>
              <w:left w:val="single" w:sz="12"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990" w:type="dxa"/>
            <w:gridSpan w:val="1"/>
            <w:vAlign w:val="top"/>
            <w:vMerge w:val="continue"/>
            <w:tcMar/>
            <w:tcBorders>
              <w:left w:val="single" w:sz="4" w:space="0" w:color="000000"/>
              <w:top w:val="single" w:sz="4" w:space="0" w:color="000000"/>
              <w:right w:val="single" w:sz="8"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r>
      <w:tr>
        <w:trPr>
          <w:trHeight w:val="286" w:hRule="exact"/>
          <w:cantSplit w:val="1"/>
        </w:trPr>
        <w:tc>
          <w:tcPr>
            <w:tcW w:w="47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2394" w:type="dxa"/>
            <w:gridSpan w:val="1"/>
            <w:vAlign w:val="top"/>
            <w:vMerge w:val="continue"/>
            <w:tcMar/>
            <w:tcBorders>
              <w:left w:val="single" w:sz="4" w:space="0" w:color="000000"/>
              <w:top w:val="single" w:sz="4"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957" w:type="dxa"/>
            <w:gridSpan w:val="1"/>
            <w:vAlign w:val="top"/>
            <w:vMerge w:val="continue"/>
            <w:tcMar/>
            <w:tcBorders>
              <w:left w:val="single" w:sz="4" w:space="0" w:color="000000"/>
              <w:top w:val="single" w:sz="4" w:space="0" w:color="000000"/>
              <w:right w:val="single" w:sz="12" w:space="0" w:color="000000"/>
            </w:tcBorders>
          </w:tcPr>
          <w:p>
            <w:pPr>
              <w:autoSpaceDE w:val="0"/>
              <w:autoSpaceDN w:val="0"/>
              <w:jc w:val="left"/>
              <w:spacing w:before="0" w:after="0" w:lineRule="auto" w:line="240"/>
              <w:ind w:right="0" w:left="0" w:firstLine="0"/>
              <w:snapToGrid w:val="0"/>
              <w:textAlignment w:val="auto"/>
              <w:tabs/>
              <w:rPr>
                <w:rFonts w:ascii="Times New Roman" w:hAnsi="Times New Roman" w:cs="Times New Roman" w:eastAsia="Times New Roman" w:hint="ascii"/>
                <w:sz w:val="15"/>
              </w:rPr>
            </w:pPr>
          </w:p>
        </w:tc>
        <w:tc>
          <w:tcPr>
            <w:tcW w:w="4167" w:type="dxa"/>
            <w:gridSpan w:val="2"/>
            <w:vAlign w:val="top"/>
            <w:tcMar/>
            <w:tcBorders>
              <w:left w:val="single" w:sz="12" w:space="0" w:color="000000"/>
              <w:top w:val="single" w:sz="4" w:space="0" w:color="000000"/>
              <w:right w:val="single" w:sz="8" w:space="0" w:color="000000"/>
            </w:tcBorders>
          </w:tcPr>
          <w:p>
            <w:pPr>
              <w:autoSpaceDE w:val="0"/>
              <w:autoSpaceDN w:val="0"/>
              <w:jc w:val="left"/>
              <w:spacing w:before="38"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国际合作局</w:t>
            </w:r>
          </w:p>
        </w:tc>
      </w:tr>
      <w:tr>
        <w:trPr>
          <w:trHeight w:val="455" w:hRule="exact"/>
          <w:cantSplit w:val="1"/>
        </w:trPr>
        <w:tc>
          <w:tcPr>
            <w:tcW w:w="477" w:type="dxa"/>
            <w:gridSpan w:val="1"/>
            <w:vAlign w:val="top"/>
            <w:tcMar/>
            <w:tcBorders>
              <w:top w:val="single" w:sz="4" w:space="0" w:color="000000"/>
            </w:tcBorders>
          </w:tcPr>
          <w:p>
            <w:pPr>
              <w:autoSpaceDE w:val="0"/>
              <w:autoSpaceDN w:val="0"/>
              <w:jc w:val="left"/>
              <w:spacing w:before="126"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二处</w:t>
            </w:r>
          </w:p>
        </w:tc>
        <w:tc>
          <w:tcPr>
            <w:tcW w:w="2394" w:type="dxa"/>
            <w:gridSpan w:val="1"/>
            <w:vAlign w:val="top"/>
            <w:tcMar/>
            <w:tcBorders>
              <w:left w:val="single" w:sz="4" w:space="0" w:color="000000"/>
              <w:top w:val="single" w:sz="4" w:space="0" w:color="000000"/>
            </w:tcBorders>
          </w:tcPr>
          <w:p>
            <w:pPr>
              <w:autoSpaceDE w:val="0"/>
              <w:autoSpaceDN w:val="0"/>
              <w:jc w:val="both"/>
              <w:spacing w:before="23" w:after="0" w:lineRule="exact" w:line="194"/>
              <w:ind w:right="54" w:left="53" w:firstLine="0"/>
              <w:snapToGrid w:val="0"/>
              <w:textAlignment w:val="auto"/>
              <w:tabs/>
              <w:rPr>
                <w:rFonts w:ascii="宋体" w:hAnsi="宋体" w:cs="宋体" w:eastAsia="宋体" w:hint="ascii"/>
                <w:sz w:val="15"/>
              </w:rPr>
            </w:pPr>
            <w:r>
              <w:rPr>
                <w:rFonts w:ascii="宋体" w:hAnsi="宋体" w:cs="宋体" w:eastAsia="宋体" w:hint="ascii"/>
                <w:sz w:val="15"/>
                <w:spacing w:val="2"/>
              </w:rPr>
              <w:t>消化、泌尿、内分泌、眼、</w:t>
            </w:r>
            <w:r>
              <w:rPr>
                <w:rFonts w:ascii="宋体" w:hAnsi="宋体" w:cs="宋体" w:eastAsia="宋体" w:hint="ascii"/>
                <w:sz w:val="15"/>
                <w:spacing w:val="1"/>
              </w:rPr>
              <w:t>耳</w:t>
            </w:r>
            <w:r>
              <w:rPr>
                <w:rFonts w:ascii="宋体" w:hAnsi="宋体" w:cs="宋体" w:eastAsia="宋体" w:hint="ascii"/>
                <w:sz w:val="15"/>
                <w:spacing w:val="-11"/>
              </w:rPr>
              <w:t>鼻</w:t>
            </w:r>
            <w:r>
              <w:rPr>
                <w:rFonts w:ascii="宋体" w:hAnsi="宋体" w:cs="宋体" w:eastAsia="宋体" w:hint="ascii"/>
                <w:sz w:val="15"/>
              </w:rPr>
              <w:t>喉、口腔</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46"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62328790</w:t>
            </w:r>
          </w:p>
          <w:p>
            <w:pPr>
              <w:autoSpaceDE w:val="0"/>
              <w:autoSpaceDN w:val="0"/>
              <w:jc w:val="left"/>
              <w:spacing w:before="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62329153</w:t>
            </w:r>
          </w:p>
        </w:tc>
        <w:tc>
          <w:tcPr>
            <w:tcW w:w="3177" w:type="dxa"/>
            <w:gridSpan w:val="1"/>
            <w:vAlign w:val="top"/>
            <w:tcMar/>
            <w:tcBorders>
              <w:left w:val="single" w:sz="12" w:space="0" w:color="000000"/>
              <w:top w:val="single" w:sz="4" w:space="0" w:color="000000"/>
            </w:tcBorders>
          </w:tcPr>
          <w:p>
            <w:pPr>
              <w:autoSpaceDE w:val="0"/>
              <w:autoSpaceDN w:val="0"/>
              <w:jc w:val="left"/>
              <w:spacing w:before="126"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外事计划处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132"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62326943</w:t>
            </w:r>
          </w:p>
        </w:tc>
      </w:tr>
      <w:tr>
        <w:trPr>
          <w:trHeight w:val="412" w:hRule="exact"/>
          <w:cantSplit w:val="1"/>
        </w:trPr>
        <w:tc>
          <w:tcPr>
            <w:tcW w:w="477" w:type="dxa"/>
            <w:gridSpan w:val="1"/>
            <w:vAlign w:val="top"/>
            <w:tcMar/>
            <w:tcBorders>
              <w:top w:val="single" w:sz="4" w:space="0" w:color="000000"/>
            </w:tcBorders>
          </w:tcPr>
          <w:p>
            <w:pPr>
              <w:autoSpaceDE w:val="0"/>
              <w:autoSpaceDN w:val="0"/>
              <w:jc w:val="left"/>
              <w:spacing w:before="10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三处</w:t>
            </w:r>
          </w:p>
        </w:tc>
        <w:tc>
          <w:tcPr>
            <w:tcW w:w="2394" w:type="dxa"/>
            <w:gridSpan w:val="1"/>
            <w:vAlign w:val="top"/>
            <w:tcMar/>
            <w:tcBorders>
              <w:left w:val="single" w:sz="4" w:space="0" w:color="000000"/>
              <w:top w:val="single" w:sz="4" w:space="0" w:color="000000"/>
            </w:tcBorders>
          </w:tcPr>
          <w:p>
            <w:pPr>
              <w:autoSpaceDE w:val="0"/>
              <w:autoSpaceDN w:val="0"/>
              <w:jc w:val="left"/>
              <w:spacing w:before="10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神经、精神、老年医学</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11"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62327198</w:t>
            </w:r>
          </w:p>
        </w:tc>
        <w:tc>
          <w:tcPr>
            <w:tcW w:w="3177" w:type="dxa"/>
            <w:gridSpan w:val="1"/>
            <w:vAlign w:val="top"/>
            <w:tcMar/>
            <w:tcBorders>
              <w:left w:val="single" w:sz="12" w:space="0" w:color="000000"/>
              <w:top w:val="single" w:sz="4" w:space="0" w:color="000000"/>
            </w:tcBorders>
          </w:tcPr>
          <w:p>
            <w:pPr>
              <w:autoSpaceDE w:val="0"/>
              <w:autoSpaceDN w:val="0"/>
              <w:jc w:val="left"/>
              <w:spacing w:before="10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亚非及国际组织处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5" w:after="0" w:lineRule="auto" w:line="239"/>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62325449</w:t>
            </w:r>
          </w:p>
          <w:p>
            <w:pPr>
              <w:autoSpaceDE w:val="0"/>
              <w:autoSpaceDN w:val="0"/>
              <w:jc w:val="left"/>
              <w:spacing w:before="0" w:after="0" w:lineRule="auto" w:line="239"/>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62326998</w:t>
            </w:r>
          </w:p>
        </w:tc>
      </w:tr>
      <w:tr>
        <w:trPr>
          <w:trHeight w:val="410" w:hRule="exact"/>
          <w:cantSplit w:val="1"/>
        </w:trPr>
        <w:tc>
          <w:tcPr>
            <w:tcW w:w="477" w:type="dxa"/>
            <w:gridSpan w:val="1"/>
            <w:vAlign w:val="top"/>
            <w:tcMar/>
            <w:tcBorders>
              <w:top w:val="single" w:sz="4" w:space="0" w:color="000000"/>
            </w:tcBorders>
          </w:tcPr>
          <w:p>
            <w:pPr>
              <w:autoSpaceDE w:val="0"/>
              <w:autoSpaceDN w:val="0"/>
              <w:jc w:val="left"/>
              <w:spacing w:before="10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四处</w:t>
            </w:r>
          </w:p>
        </w:tc>
        <w:tc>
          <w:tcPr>
            <w:tcW w:w="2394" w:type="dxa"/>
            <w:gridSpan w:val="1"/>
            <w:vAlign w:val="top"/>
            <w:tcMar/>
            <w:tcBorders>
              <w:left w:val="single" w:sz="4" w:space="0" w:color="000000"/>
              <w:top w:val="single" w:sz="4" w:space="0" w:color="000000"/>
            </w:tcBorders>
          </w:tcPr>
          <w:p>
            <w:pPr>
              <w:autoSpaceDE w:val="0"/>
              <w:autoSpaceDN w:val="0"/>
              <w:jc w:val="left"/>
              <w:spacing w:before="103"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生殖、围生、新生儿、医学免疫学</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09"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62326924</w:t>
            </w:r>
          </w:p>
        </w:tc>
        <w:tc>
          <w:tcPr>
            <w:tcW w:w="3177" w:type="dxa"/>
            <w:gridSpan w:val="1"/>
            <w:vAlign w:val="top"/>
            <w:tcMar/>
            <w:tcBorders>
              <w:left w:val="single" w:sz="12" w:space="0" w:color="000000"/>
              <w:top w:val="single" w:sz="4" w:space="0" w:color="000000"/>
            </w:tcBorders>
          </w:tcPr>
          <w:p>
            <w:pPr>
              <w:autoSpaceDE w:val="0"/>
              <w:autoSpaceDN w:val="0"/>
              <w:jc w:val="left"/>
              <w:spacing w:before="10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美大处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3"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62325377</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62325544</w:t>
            </w:r>
          </w:p>
        </w:tc>
      </w:tr>
      <w:tr>
        <w:trPr>
          <w:trHeight w:val="455" w:hRule="exact"/>
          <w:cantSplit w:val="1"/>
        </w:trPr>
        <w:tc>
          <w:tcPr>
            <w:tcW w:w="477" w:type="dxa"/>
            <w:gridSpan w:val="1"/>
            <w:vAlign w:val="top"/>
            <w:tcMar/>
            <w:tcBorders>
              <w:top w:val="single" w:sz="4" w:space="0" w:color="000000"/>
            </w:tcBorders>
          </w:tcPr>
          <w:p>
            <w:pPr>
              <w:autoSpaceDE w:val="0"/>
              <w:autoSpaceDN w:val="0"/>
              <w:jc w:val="left"/>
              <w:spacing w:before="126"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五处</w:t>
            </w:r>
          </w:p>
        </w:tc>
        <w:tc>
          <w:tcPr>
            <w:tcW w:w="2394" w:type="dxa"/>
            <w:gridSpan w:val="1"/>
            <w:vAlign w:val="top"/>
            <w:tcMar/>
            <w:tcBorders>
              <w:left w:val="single" w:sz="4" w:space="0" w:color="000000"/>
              <w:top w:val="single" w:sz="4" w:space="0" w:color="000000"/>
            </w:tcBorders>
          </w:tcPr>
          <w:p>
            <w:pPr>
              <w:autoSpaceDE w:val="0"/>
              <w:autoSpaceDN w:val="0"/>
              <w:jc w:val="both"/>
              <w:spacing w:before="23" w:after="0" w:lineRule="exact" w:line="194"/>
              <w:ind w:right="51" w:left="53" w:firstLine="0"/>
              <w:snapToGrid w:val="0"/>
              <w:textAlignment w:val="auto"/>
              <w:tabs/>
              <w:rPr>
                <w:rFonts w:ascii="宋体" w:hAnsi="宋体" w:cs="宋体" w:eastAsia="宋体" w:hint="ascii"/>
                <w:sz w:val="15"/>
              </w:rPr>
            </w:pPr>
            <w:r>
              <w:rPr>
                <w:rFonts w:ascii="宋体" w:hAnsi="宋体" w:cs="宋体" w:eastAsia="宋体" w:hint="ascii"/>
                <w:sz w:val="15"/>
              </w:rPr>
              <w:t>影像医学、生物医学工程、特种医学、法医学</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32"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62329131</w:t>
            </w:r>
          </w:p>
        </w:tc>
        <w:tc>
          <w:tcPr>
            <w:tcW w:w="3177" w:type="dxa"/>
            <w:gridSpan w:val="1"/>
            <w:vAlign w:val="top"/>
            <w:tcMar/>
            <w:tcBorders>
              <w:left w:val="single" w:sz="12" w:space="0" w:color="000000"/>
              <w:top w:val="single" w:sz="4" w:space="0" w:color="000000"/>
            </w:tcBorders>
          </w:tcPr>
          <w:p>
            <w:pPr>
              <w:autoSpaceDE w:val="0"/>
              <w:autoSpaceDN w:val="0"/>
              <w:jc w:val="left"/>
              <w:spacing w:before="126"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欧洲处</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6"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62325309</w:t>
            </w:r>
          </w:p>
          <w:p>
            <w:pPr>
              <w:autoSpaceDE w:val="0"/>
              <w:autoSpaceDN w:val="0"/>
              <w:jc w:val="left"/>
              <w:spacing w:before="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62327014</w:t>
            </w:r>
          </w:p>
        </w:tc>
      </w:tr>
      <w:tr>
        <w:trPr>
          <w:trHeight w:val="650" w:hRule="exact"/>
          <w:cantSplit w:val="1"/>
        </w:trPr>
        <w:tc>
          <w:tcPr>
            <w:tcW w:w="477" w:type="dxa"/>
            <w:gridSpan w:val="1"/>
            <w:vAlign w:val="top"/>
            <w:tcMar/>
            <w:tcBorders>
              <w:top w:val="single" w:sz="4" w:space="0" w:color="000000"/>
            </w:tcBorders>
          </w:tcPr>
          <w:p>
            <w:pPr>
              <w:autoSpaceDE w:val="0"/>
              <w:autoSpaceDN w:val="0"/>
              <w:jc w:val="left"/>
              <w:spacing w:before="22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六处</w:t>
            </w:r>
          </w:p>
        </w:tc>
        <w:tc>
          <w:tcPr>
            <w:tcW w:w="2394" w:type="dxa"/>
            <w:gridSpan w:val="1"/>
            <w:vAlign w:val="top"/>
            <w:tcMar/>
            <w:tcBorders>
              <w:left w:val="single" w:sz="4" w:space="0" w:color="000000"/>
              <w:top w:val="single" w:sz="4" w:space="0" w:color="000000"/>
            </w:tcBorders>
          </w:tcPr>
          <w:p>
            <w:pPr>
              <w:autoSpaceDE w:val="0"/>
              <w:autoSpaceDN w:val="0"/>
              <w:jc w:val="left"/>
              <w:spacing w:before="23" w:after="0" w:lineRule="exact" w:line="194"/>
              <w:ind w:right="0" w:left="53" w:firstLine="0"/>
              <w:snapToGrid w:val="0"/>
              <w:textAlignment w:val="auto"/>
              <w:tabs/>
              <w:rPr>
                <w:rFonts w:ascii="宋体" w:hAnsi="宋体" w:cs="宋体" w:eastAsia="宋体" w:hint="ascii"/>
                <w:sz w:val="15"/>
              </w:rPr>
            </w:pPr>
            <w:r>
              <w:rPr>
                <w:rFonts w:ascii="宋体" w:hAnsi="宋体" w:cs="宋体" w:eastAsia="宋体" w:hint="ascii"/>
                <w:sz w:val="15"/>
              </w:rPr>
              <w:t>医学生物与感染性疾病、运动系统疾病、创伤、烧伤、整形、急重症医学、检验医学、康复医学</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43" w:after="0" w:lineRule="auto" w:line="240"/>
              <w:ind w:right="0" w:left="171"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62327195</w:t>
            </w:r>
          </w:p>
          <w:p>
            <w:pPr>
              <w:autoSpaceDE w:val="0"/>
              <w:autoSpaceDN w:val="0"/>
              <w:jc w:val="left"/>
              <w:spacing w:before="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62328775</w:t>
            </w:r>
          </w:p>
        </w:tc>
        <w:tc>
          <w:tcPr>
            <w:tcW w:w="3177" w:type="dxa"/>
            <w:gridSpan w:val="1"/>
            <w:vAlign w:val="top"/>
            <w:tcMar/>
            <w:tcBorders>
              <w:left w:val="single" w:sz="12" w:space="0" w:color="000000"/>
              <w:top w:val="single" w:sz="4" w:space="0" w:color="000000"/>
            </w:tcBorders>
          </w:tcPr>
          <w:p>
            <w:pPr>
              <w:autoSpaceDE w:val="0"/>
              <w:autoSpaceDN w:val="0"/>
              <w:jc w:val="left"/>
              <w:spacing w:before="22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港澳台办公室</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229"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62326934</w:t>
            </w:r>
          </w:p>
        </w:tc>
      </w:tr>
      <w:tr>
        <w:trPr>
          <w:trHeight w:val="289" w:hRule="exact"/>
          <w:cantSplit w:val="1"/>
        </w:trPr>
        <w:tc>
          <w:tcPr>
            <w:tcW w:w="477" w:type="dxa"/>
            <w:gridSpan w:val="1"/>
            <w:vAlign w:val="top"/>
            <w:vMerge w:val="restart"/>
            <w:tcMar/>
            <w:tcBorders>
              <w:top w:val="single" w:sz="4" w:space="0" w:color="000000"/>
            </w:tcBorders>
          </w:tcPr>
          <w:p>
            <w:pPr>
              <w:autoSpaceDE w:val="0"/>
              <w:autoSpaceDN w:val="0"/>
              <w:jc w:val="left"/>
              <w:spacing w:before="187"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七处</w:t>
            </w:r>
          </w:p>
        </w:tc>
        <w:tc>
          <w:tcPr>
            <w:tcW w:w="2394" w:type="dxa"/>
            <w:gridSpan w:val="1"/>
            <w:vAlign w:val="top"/>
            <w:tcMar/>
            <w:tcBorders>
              <w:left w:val="single" w:sz="4" w:space="0" w:color="000000"/>
              <w:top w:val="single" w:sz="4" w:space="0" w:color="000000"/>
            </w:tcBorders>
          </w:tcPr>
          <w:p>
            <w:pPr>
              <w:autoSpaceDE w:val="0"/>
              <w:autoSpaceDN w:val="0"/>
              <w:jc w:val="left"/>
              <w:spacing w:before="31"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肿瘤学</w:t>
            </w:r>
            <w:r>
              <w:rPr>
                <w:rFonts w:ascii="宋体" w:hAnsi="宋体" w:cs="宋体" w:eastAsia="宋体" w:hint="ascii"/>
                <w:sz w:val="15"/>
              </w:rPr>
              <w:t>Ⅰ</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49"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62327207</w:t>
            </w:r>
          </w:p>
        </w:tc>
        <w:tc>
          <w:tcPr>
            <w:tcW w:w="4167" w:type="dxa"/>
            <w:gridSpan w:val="2"/>
            <w:vAlign w:val="top"/>
            <w:tcMar/>
            <w:tcBorders>
              <w:left w:val="single" w:sz="12" w:space="0" w:color="000000"/>
              <w:top w:val="single" w:sz="4" w:space="0" w:color="000000"/>
              <w:right w:val="single" w:sz="8" w:space="0" w:color="000000"/>
            </w:tcBorders>
          </w:tcPr>
          <w:p>
            <w:pPr>
              <w:autoSpaceDE w:val="0"/>
              <w:autoSpaceDN w:val="0"/>
              <w:jc w:val="left"/>
              <w:spacing w:before="39"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机关服务中心</w:t>
            </w:r>
          </w:p>
        </w:tc>
      </w:tr>
      <w:tr>
        <w:trPr>
          <w:trHeight w:val="290" w:hRule="exact"/>
          <w:cantSplit w:val="1"/>
        </w:trPr>
        <w:tc>
          <w:tcPr>
            <w:tcW w:w="477" w:type="dxa"/>
            <w:gridSpan w:val="1"/>
            <w:vAlign w:val="top"/>
            <w:vMerge w:val="continue"/>
            <w:tcMar/>
            <w:tcBorders>
              <w:top w:val="single" w:sz="4"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2394" w:type="dxa"/>
            <w:gridSpan w:val="1"/>
            <w:vAlign w:val="top"/>
            <w:tcMar/>
            <w:tcBorders>
              <w:left w:val="single" w:sz="4" w:space="0" w:color="000000"/>
              <w:top w:val="single" w:sz="4" w:space="0" w:color="000000"/>
            </w:tcBorders>
          </w:tcPr>
          <w:p>
            <w:pPr>
              <w:autoSpaceDE w:val="0"/>
              <w:autoSpaceDN w:val="0"/>
              <w:jc w:val="left"/>
              <w:spacing w:before="32" w:after="0" w:lineRule="exact" w:line="188"/>
              <w:ind w:right="0" w:left="53" w:firstLine="0"/>
              <w:snapToGrid w:val="0"/>
              <w:textAlignment w:val="auto"/>
              <w:tabs/>
              <w:rPr>
                <w:rFonts w:ascii="宋体" w:hAnsi="宋体" w:cs="宋体" w:eastAsia="宋体" w:hint="ascii"/>
                <w:sz w:val="15"/>
              </w:rPr>
            </w:pPr>
            <w:r>
              <w:rPr>
                <w:rFonts w:ascii="宋体" w:hAnsi="宋体" w:cs="宋体" w:eastAsia="宋体" w:hint="ascii"/>
                <w:sz w:val="15"/>
              </w:rPr>
              <w:t>肿瘤学</w:t>
            </w:r>
            <w:r>
              <w:rPr>
                <w:rFonts w:ascii="宋体" w:hAnsi="宋体" w:cs="宋体" w:eastAsia="宋体" w:hint="ascii"/>
                <w:sz w:val="15"/>
              </w:rPr>
              <w:t>Ⅱ</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49"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62329157</w:t>
            </w:r>
          </w:p>
        </w:tc>
        <w:tc>
          <w:tcPr>
            <w:tcW w:w="3177" w:type="dxa"/>
            <w:gridSpan w:val="1"/>
            <w:vAlign w:val="top"/>
            <w:tcMar/>
            <w:tcBorders>
              <w:left w:val="single" w:sz="12" w:space="0" w:color="000000"/>
              <w:top w:val="single" w:sz="4" w:space="0" w:color="000000"/>
            </w:tcBorders>
          </w:tcPr>
          <w:p>
            <w:pPr>
              <w:autoSpaceDE w:val="0"/>
              <w:autoSpaceDN w:val="0"/>
              <w:jc w:val="left"/>
              <w:spacing w:before="4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办公室</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49"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62327218</w:t>
            </w:r>
          </w:p>
        </w:tc>
      </w:tr>
      <w:tr>
        <w:trPr>
          <w:trHeight w:val="490" w:hRule="exact"/>
          <w:cantSplit w:val="1"/>
        </w:trPr>
        <w:tc>
          <w:tcPr>
            <w:tcW w:w="477" w:type="dxa"/>
            <w:gridSpan w:val="1"/>
            <w:vAlign w:val="top"/>
            <w:tcMar/>
            <w:tcBorders>
              <w:top w:val="single" w:sz="4" w:space="0" w:color="000000"/>
            </w:tcBorders>
          </w:tcPr>
          <w:p>
            <w:pPr>
              <w:autoSpaceDE w:val="0"/>
              <w:autoSpaceDN w:val="0"/>
              <w:jc w:val="left"/>
              <w:spacing w:before="159"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八处</w:t>
            </w:r>
          </w:p>
        </w:tc>
        <w:tc>
          <w:tcPr>
            <w:tcW w:w="2394" w:type="dxa"/>
            <w:gridSpan w:val="1"/>
            <w:vAlign w:val="top"/>
            <w:tcMar/>
            <w:tcBorders>
              <w:left w:val="single" w:sz="4" w:space="0" w:color="000000"/>
              <w:top w:val="single" w:sz="4" w:space="0" w:color="000000"/>
            </w:tcBorders>
          </w:tcPr>
          <w:p>
            <w:pPr>
              <w:autoSpaceDE w:val="0"/>
              <w:autoSpaceDN w:val="0"/>
              <w:jc w:val="both"/>
              <w:spacing w:before="56" w:after="0" w:lineRule="exact" w:line="196"/>
              <w:ind w:right="49" w:left="50" w:firstLine="0"/>
              <w:snapToGrid w:val="0"/>
              <w:textAlignment w:val="auto"/>
              <w:tabs/>
              <w:rPr>
                <w:rFonts w:ascii="宋体" w:hAnsi="宋体" w:cs="宋体" w:eastAsia="宋体" w:hint="ascii"/>
                <w:sz w:val="15"/>
              </w:rPr>
            </w:pPr>
            <w:r>
              <w:rPr>
                <w:rFonts w:ascii="宋体" w:hAnsi="宋体" w:cs="宋体" w:eastAsia="宋体" w:hint="ascii"/>
                <w:sz w:val="15"/>
              </w:rPr>
              <w:t>皮肤、预防医学、地方病学、职业病学、放射医学</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167"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62327212</w:t>
            </w:r>
          </w:p>
        </w:tc>
        <w:tc>
          <w:tcPr>
            <w:tcW w:w="4167" w:type="dxa"/>
            <w:gridSpan w:val="2"/>
            <w:vAlign w:val="top"/>
            <w:tcMar/>
            <w:tcBorders>
              <w:left w:val="single" w:sz="12" w:space="0" w:color="000000"/>
              <w:top w:val="single" w:sz="4" w:space="0" w:color="000000"/>
              <w:right w:val="single" w:sz="8" w:space="0" w:color="000000"/>
            </w:tcBorders>
          </w:tcPr>
          <w:p>
            <w:pPr>
              <w:autoSpaceDE w:val="0"/>
              <w:autoSpaceDN w:val="0"/>
              <w:jc w:val="left"/>
              <w:spacing w:before="157"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科学基金杂志社</w:t>
            </w:r>
          </w:p>
        </w:tc>
      </w:tr>
      <w:tr>
        <w:trPr>
          <w:trHeight w:val="295" w:hRule="exact"/>
          <w:cantSplit w:val="1"/>
        </w:trPr>
        <w:tc>
          <w:tcPr>
            <w:tcW w:w="477" w:type="dxa"/>
            <w:gridSpan w:val="1"/>
            <w:vAlign w:val="top"/>
            <w:tcMar/>
            <w:tcBorders>
              <w:top w:val="single" w:sz="4" w:space="0" w:color="000000"/>
            </w:tcBorders>
          </w:tcPr>
          <w:p>
            <w:pPr>
              <w:autoSpaceDE w:val="0"/>
              <w:autoSpaceDN w:val="0"/>
              <w:jc w:val="left"/>
              <w:spacing w:before="6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九处</w:t>
            </w:r>
          </w:p>
        </w:tc>
        <w:tc>
          <w:tcPr>
            <w:tcW w:w="2394" w:type="dxa"/>
            <w:gridSpan w:val="1"/>
            <w:vAlign w:val="top"/>
            <w:tcMar/>
            <w:tcBorders>
              <w:left w:val="single" w:sz="4" w:space="0" w:color="000000"/>
              <w:top w:val="single" w:sz="4" w:space="0" w:color="000000"/>
            </w:tcBorders>
          </w:tcPr>
          <w:p>
            <w:pPr>
              <w:autoSpaceDE w:val="0"/>
              <w:autoSpaceDN w:val="0"/>
              <w:jc w:val="left"/>
              <w:spacing w:before="63" w:after="0" w:lineRule="exact" w:line="188"/>
              <w:ind w:right="0" w:left="50" w:firstLine="0"/>
              <w:snapToGrid w:val="0"/>
              <w:textAlignment w:val="auto"/>
              <w:tabs/>
              <w:rPr>
                <w:rFonts w:ascii="宋体" w:hAnsi="宋体" w:cs="宋体" w:eastAsia="宋体" w:hint="ascii"/>
                <w:sz w:val="15"/>
              </w:rPr>
            </w:pPr>
            <w:r>
              <w:rPr>
                <w:rFonts w:ascii="宋体" w:hAnsi="宋体" w:cs="宋体" w:eastAsia="宋体" w:hint="ascii"/>
                <w:sz w:val="15"/>
              </w:rPr>
              <w:t>药物学、药理学</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62327199</w:t>
            </w:r>
          </w:p>
        </w:tc>
        <w:tc>
          <w:tcPr>
            <w:tcW w:w="3177" w:type="dxa"/>
            <w:gridSpan w:val="1"/>
            <w:vAlign w:val="top"/>
            <w:tcMar/>
            <w:tcBorders>
              <w:left w:val="single" w:sz="12" w:space="0" w:color="000000"/>
              <w:top w:val="single" w:sz="4" w:space="0" w:color="000000"/>
            </w:tcBorders>
          </w:tcPr>
          <w:p>
            <w:pPr>
              <w:autoSpaceDE w:val="0"/>
              <w:autoSpaceDN w:val="0"/>
              <w:jc w:val="left"/>
              <w:spacing w:before="6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办公室</w:t>
            </w:r>
          </w:p>
        </w:tc>
        <w:tc>
          <w:tcPr>
            <w:tcW w:w="990" w:type="dxa"/>
            <w:gridSpan w:val="1"/>
            <w:vAlign w:val="top"/>
            <w:tcMar/>
            <w:tcBorders>
              <w:left w:val="single" w:sz="4" w:space="0" w:color="000000"/>
              <w:top w:val="single" w:sz="4" w:space="0" w:color="000000"/>
              <w:right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62327204</w:t>
            </w:r>
          </w:p>
        </w:tc>
      </w:tr>
      <w:tr>
        <w:trPr>
          <w:trHeight w:val="320" w:hRule="exact"/>
          <w:cantSplit w:val="1"/>
        </w:trPr>
        <w:tc>
          <w:tcPr>
            <w:tcW w:w="477" w:type="dxa"/>
            <w:gridSpan w:val="1"/>
            <w:vAlign w:val="top"/>
            <w:vMerge w:val="restart"/>
            <w:tcMar/>
            <w:tcBorders>
              <w:top w:val="single" w:sz="4" w:space="0" w:color="000000"/>
              <w:bottom w:val="single" w:sz="8" w:space="0" w:color="000000"/>
            </w:tcBorders>
          </w:tcPr>
          <w:p>
            <w:pPr>
              <w:autoSpaceDE w:val="0"/>
              <w:autoSpaceDN w:val="0"/>
              <w:jc w:val="left"/>
              <w:spacing w:before="223" w:after="0" w:lineRule="exact" w:line="188"/>
              <w:ind w:right="0" w:left="48" w:firstLine="0"/>
              <w:snapToGrid w:val="0"/>
              <w:textAlignment w:val="auto"/>
              <w:tabs/>
              <w:rPr>
                <w:rFonts w:ascii="宋体" w:hAnsi="宋体" w:cs="宋体" w:eastAsia="宋体" w:hint="ascii"/>
                <w:sz w:val="15"/>
              </w:rPr>
            </w:pPr>
            <w:r>
              <w:rPr>
                <w:rFonts w:ascii="宋体" w:hAnsi="宋体" w:cs="宋体" w:eastAsia="宋体" w:hint="ascii"/>
                <w:sz w:val="15"/>
              </w:rPr>
              <w:t>十处</w:t>
            </w:r>
          </w:p>
        </w:tc>
        <w:tc>
          <w:tcPr>
            <w:tcW w:w="2394" w:type="dxa"/>
            <w:gridSpan w:val="1"/>
            <w:vAlign w:val="top"/>
            <w:tcMar/>
            <w:tcBorders>
              <w:left w:val="single" w:sz="4" w:space="0" w:color="000000"/>
              <w:top w:val="single" w:sz="4" w:space="0" w:color="000000"/>
            </w:tcBorders>
          </w:tcPr>
          <w:p>
            <w:pPr>
              <w:autoSpaceDE w:val="0"/>
              <w:autoSpaceDN w:val="0"/>
              <w:jc w:val="left"/>
              <w:spacing w:before="75" w:after="0" w:lineRule="exact" w:line="188"/>
              <w:ind w:right="0" w:left="50" w:firstLine="0"/>
              <w:snapToGrid w:val="0"/>
              <w:textAlignment w:val="auto"/>
              <w:tabs/>
              <w:rPr>
                <w:rFonts w:ascii="宋体" w:hAnsi="宋体" w:cs="宋体" w:eastAsia="宋体" w:hint="ascii"/>
                <w:sz w:val="15"/>
              </w:rPr>
            </w:pPr>
            <w:r>
              <w:rPr>
                <w:rFonts w:ascii="宋体" w:hAnsi="宋体" w:cs="宋体" w:eastAsia="宋体" w:hint="ascii"/>
                <w:sz w:val="15"/>
              </w:rPr>
              <w:t>中医学</w:t>
            </w:r>
          </w:p>
        </w:tc>
        <w:tc>
          <w:tcPr>
            <w:tcW w:w="957" w:type="dxa"/>
            <w:gridSpan w:val="1"/>
            <w:vAlign w:val="top"/>
            <w:tcMar/>
            <w:tcBorders>
              <w:left w:val="single" w:sz="4" w:space="0" w:color="000000"/>
              <w:top w:val="single" w:sz="4" w:space="0" w:color="000000"/>
              <w:right w:val="single" w:sz="12" w:space="0" w:color="000000"/>
            </w:tcBorders>
          </w:tcPr>
          <w:p>
            <w:pPr>
              <w:autoSpaceDE w:val="0"/>
              <w:autoSpaceDN w:val="0"/>
              <w:jc w:val="left"/>
              <w:spacing w:before="83"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62328634</w:t>
            </w:r>
          </w:p>
        </w:tc>
        <w:tc>
          <w:tcPr>
            <w:tcW w:w="4167" w:type="dxa"/>
            <w:gridSpan w:val="2"/>
            <w:vAlign w:val="top"/>
            <w:tcMar/>
            <w:tcBorders>
              <w:left w:val="single" w:sz="12" w:space="0" w:color="000000"/>
              <w:top w:val="single" w:sz="4" w:space="0" w:color="000000"/>
              <w:right w:val="single" w:sz="8" w:space="0" w:color="000000"/>
            </w:tcBorders>
          </w:tcPr>
          <w:p>
            <w:pPr>
              <w:autoSpaceDE w:val="0"/>
              <w:autoSpaceDN w:val="0"/>
              <w:jc w:val="left"/>
              <w:spacing w:before="7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中德科学中心</w:t>
            </w:r>
          </w:p>
        </w:tc>
      </w:tr>
      <w:tr>
        <w:trPr>
          <w:trHeight w:val="301" w:hRule="exact"/>
          <w:cantSplit w:val="1"/>
        </w:trPr>
        <w:tc>
          <w:tcPr>
            <w:tcW w:w="477" w:type="dxa"/>
            <w:gridSpan w:val="1"/>
            <w:vAlign w:val="top"/>
            <w:vMerge w:val="continue"/>
            <w:tcMar/>
            <w:tcBorders>
              <w:top w:val="single" w:sz="4" w:space="0" w:color="000000"/>
              <w:bottom w:val="single" w:sz="8" w:space="0" w:color="000000"/>
            </w:tcBorders>
          </w:tcPr>
          <w:p>
            <w:pPr>
              <w:autoSpaceDE w:val="0"/>
              <w:autoSpaceDN w:val="0"/>
              <w:jc w:val="left"/>
              <w:spacing w:before="0" w:after="0" w:lineRule="auto" w:line="240"/>
              <w:ind w:right="0" w:left="0" w:firstLine="0"/>
              <w:snapToGrid w:val="0"/>
              <w:textAlignment w:val="auto"/>
              <w:tabs/>
              <w:rPr>
                <w:rFonts w:ascii="宋体" w:hAnsi="宋体" w:cs="宋体" w:eastAsia="宋体" w:hint="ascii"/>
                <w:sz w:val="15"/>
              </w:rPr>
            </w:pPr>
          </w:p>
        </w:tc>
        <w:tc>
          <w:tcPr>
            <w:tcW w:w="2394" w:type="dxa"/>
            <w:gridSpan w:val="1"/>
            <w:vAlign w:val="top"/>
            <w:tcMar/>
            <w:tcBorders>
              <w:left w:val="single" w:sz="4" w:space="0" w:color="000000"/>
              <w:top w:val="single" w:sz="4" w:space="0" w:color="000000"/>
              <w:bottom w:val="single" w:sz="8" w:space="0" w:color="000000"/>
            </w:tcBorders>
          </w:tcPr>
          <w:p>
            <w:pPr>
              <w:autoSpaceDE w:val="0"/>
              <w:autoSpaceDN w:val="0"/>
              <w:jc w:val="left"/>
              <w:spacing w:before="63" w:after="0" w:lineRule="exact" w:line="188"/>
              <w:ind w:right="0" w:left="50" w:firstLine="0"/>
              <w:snapToGrid w:val="0"/>
              <w:textAlignment w:val="auto"/>
              <w:tabs/>
              <w:rPr>
                <w:rFonts w:ascii="宋体" w:hAnsi="宋体" w:cs="宋体" w:eastAsia="宋体" w:hint="ascii"/>
                <w:sz w:val="15"/>
              </w:rPr>
            </w:pPr>
            <w:r>
              <w:rPr>
                <w:rFonts w:ascii="宋体" w:hAnsi="宋体" w:cs="宋体" w:eastAsia="宋体" w:hint="ascii"/>
                <w:sz w:val="15"/>
              </w:rPr>
              <w:t>中药学、中西医结合学</w:t>
            </w:r>
          </w:p>
        </w:tc>
        <w:tc>
          <w:tcPr>
            <w:tcW w:w="957" w:type="dxa"/>
            <w:gridSpan w:val="1"/>
            <w:vAlign w:val="top"/>
            <w:tcMar/>
            <w:tcBorders>
              <w:left w:val="single" w:sz="4" w:space="0" w:color="000000"/>
              <w:top w:val="single" w:sz="4" w:space="0" w:color="000000"/>
              <w:right w:val="single" w:sz="12" w:space="0" w:color="000000"/>
              <w:bottom w:val="single" w:sz="8" w:space="0" w:color="000000"/>
            </w:tcBorders>
          </w:tcPr>
          <w:p>
            <w:pPr>
              <w:autoSpaceDE w:val="0"/>
              <w:autoSpaceDN w:val="0"/>
              <w:jc w:val="left"/>
              <w:spacing w:before="70" w:after="0" w:lineRule="auto" w:line="240"/>
              <w:ind w:right="0" w:left="173"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62328941</w:t>
            </w:r>
          </w:p>
        </w:tc>
        <w:tc>
          <w:tcPr>
            <w:tcW w:w="3177" w:type="dxa"/>
            <w:gridSpan w:val="1"/>
            <w:vAlign w:val="top"/>
            <w:tcMar/>
            <w:tcBorders>
              <w:left w:val="single" w:sz="12" w:space="0" w:color="000000"/>
              <w:top w:val="single" w:sz="4" w:space="0" w:color="000000"/>
              <w:bottom w:val="single" w:sz="8" w:space="0" w:color="000000"/>
            </w:tcBorders>
          </w:tcPr>
          <w:p>
            <w:pPr>
              <w:autoSpaceDE w:val="0"/>
              <w:autoSpaceDN w:val="0"/>
              <w:jc w:val="left"/>
              <w:spacing w:before="63" w:after="0" w:lineRule="exact" w:line="188"/>
              <w:ind w:right="0" w:left="43" w:firstLine="0"/>
              <w:snapToGrid w:val="0"/>
              <w:textAlignment w:val="auto"/>
              <w:tabs/>
              <w:rPr>
                <w:rFonts w:ascii="宋体" w:hAnsi="宋体" w:cs="宋体" w:eastAsia="宋体" w:hint="ascii"/>
                <w:sz w:val="15"/>
              </w:rPr>
            </w:pPr>
            <w:r>
              <w:rPr>
                <w:rFonts w:ascii="宋体" w:hAnsi="宋体" w:cs="宋体" w:eastAsia="宋体" w:hint="ascii"/>
                <w:sz w:val="15"/>
              </w:rPr>
              <w:t>总机</w:t>
            </w:r>
          </w:p>
        </w:tc>
        <w:tc>
          <w:tcPr>
            <w:tcW w:w="990" w:type="dxa"/>
            <w:gridSpan w:val="1"/>
            <w:vAlign w:val="top"/>
            <w:tcMar/>
            <w:tcBorders>
              <w:left w:val="single" w:sz="4" w:space="0" w:color="000000"/>
              <w:top w:val="single" w:sz="4" w:space="0" w:color="000000"/>
              <w:right w:val="single" w:sz="8" w:space="0" w:color="000000"/>
              <w:bottom w:val="single" w:sz="8" w:space="0" w:color="000000"/>
            </w:tcBorders>
          </w:tcPr>
          <w:p>
            <w:pPr>
              <w:autoSpaceDE w:val="0"/>
              <w:autoSpaceDN w:val="0"/>
              <w:jc w:val="left"/>
              <w:spacing w:before="70" w:after="0" w:lineRule="auto" w:line="240"/>
              <w:ind w:right="0" w:left="189" w:firstLine="0"/>
              <w:snapToGrid w:val="0"/>
              <w:textAlignment w:val="auto"/>
              <w:tabs/>
              <w:rPr>
                <w:rFonts w:ascii="Times New Roman" w:hAnsi="Times New Roman" w:cs="Times New Roman" w:eastAsia="Times New Roman" w:hint="ascii"/>
                <w:sz w:val="15"/>
              </w:rPr>
            </w:pPr>
            <w:r>
              <w:rPr>
                <w:rFonts w:ascii="Times New Roman" w:hAnsi="Times New Roman" w:cs="Times New Roman" w:eastAsia="Times New Roman" w:hint="ascii"/>
                <w:sz w:val="15"/>
              </w:rPr>
              <w:t>82361200</w:t>
            </w:r>
          </w:p>
        </w:tc>
      </w:tr>
    </w:tbl>
    <w:p>
      <w:pPr>
        <w:autoSpaceDE w:val="0"/>
        <w:autoSpaceDN w:val="0"/>
        <w:jc w:val="left"/>
        <w:spacing w:before="3712" w:after="0" w:lineRule="exact" w:line="225"/>
        <w:ind w:right="0" w:left="966" w:firstLine="0"/>
        <w:snapToGrid w:val="0"/>
        <w:textAlignment w:val="auto"/>
        <w:tabs/>
        <w:rPr>
          <w:rFonts w:ascii="宋体" w:hAnsi="宋体" w:cs="宋体" w:eastAsia="宋体" w:hint="ascii"/>
          <w:sz w:val="18"/>
        </w:rPr>
      </w:pPr>
      <w:r>
        <w:rPr>
          <w:rFonts w:ascii="宋体" w:hAnsi="宋体" w:cs="宋体" w:eastAsia="宋体" w:hint="ascii"/>
          <w:sz w:val="18"/>
        </w:rPr>
        <w:t>·</w:t>
      </w:r>
      <w:r>
        <w:rPr>
          <w:rFonts w:ascii="Times New Roman" w:hAnsi="Times New Roman" w:cs="Times New Roman" w:eastAsia="Times New Roman" w:hint="ascii"/>
          <w:sz w:val="18"/>
        </w:rPr>
        <w:t>302</w:t>
      </w:r>
      <w:r>
        <w:rPr>
          <w:rFonts w:ascii="宋体" w:hAnsi="宋体" w:cs="宋体" w:eastAsia="宋体" w:hint="ascii"/>
          <w:sz w:val="18"/>
        </w:rPr>
        <w:t>·</w:t>
      </w:r>
    </w:p>
    <w:sectPr>
      <w:pgSz w:w="10940" w:h="15080" w:orient="portrait"/>
      <w:pgMar w:top="508" w:right="508" w:bottom="508" w:left="508" w:header="0" w:footer="0" w:gutter="0"/>
      <w:cols/>
      <w:docGrid w:type="default"/>
      <w:pgNumType w:fmt="decimal" w:start="0"/>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Times New Roman">
    <w:altName w:val="Times New Roman"/>
    <w:charset w:val="00"/>
    <w:family w:val="ffDecorative"/>
    <w:pitch w:val="variable"/>
  </w:font>
  <w:font w:name="宋体">
    <w:altName w:val="宋体"/>
    <w:charset w:val="86"/>
    <w:family w:val="auto"/>
    <w:pitch w:val="variable"/>
  </w:font>
  <w:font w:name="黑体">
    <w:altName w:val="黑体"/>
    <w:charset w:val="86"/>
    <w:family w:val="ffDecorative"/>
    <w:pitch w:val="fixed"/>
  </w:font>
  <w:font w:name="新宋体">
    <w:altName w:val="新宋体"/>
    <w:charset w:val="86"/>
    <w:family w:val="ffDecorative"/>
    <w:pitch w:val="fixed"/>
  </w:font>
  <w:font w:name="Arial">
    <w:altName w:val="Arial"/>
    <w:charset w:val="00"/>
    <w:family w:val="modern"/>
    <w:pitch w:val="variable"/>
  </w:font>
  <w:font w:name="Symbol">
    <w:altName w:val="Symbol"/>
    <w:charset w:val="02"/>
    <w:family w:val="ffDecorative"/>
    <w:pitch w:val="variable"/>
  </w:font>
  <w:font w:name="Cambria Math">
    <w:altName w:val="Cambria Math"/>
    <w:charset w:val="00"/>
    <w:family w:val="ffDecorative"/>
    <w:pitch w:val="variable"/>
  </w:font>
  <w:font w:name="MS Mincho">
    <w:altName w:val="MS Mincho"/>
    <w:charset w:val="00"/>
    <w:family w:val="ffDecorative"/>
    <w:pitch w:val="fixed"/>
  </w:font>
  <w:font w:name="Times New Roman">
    <w:altName w:val="Times New Roman"/>
    <w:charset w:val="a1"/>
    <w:family w:val="ffDecorative"/>
    <w:pitch w:val="variable"/>
  </w:font>
  <w:font w:name="MingLiU_HKSCS">
    <w:altName w:val="MingLiU_HKSCS"/>
    <w:charset w:val="00"/>
    <w:family w:val="ffDecorative"/>
    <w:pitch w:val="variable"/>
  </w:font>
</w:fonts>
</file>

<file path=word/numbering.xml><?xml version="1.0" encoding="utf-8"?>
<w:numbering xmlns:w="http://schemas.openxmlformats.org/wordprocessingml/2006/main" xmlns:w10="urn:schemas-microsoft-com:office:word" xmlns:o="urn:schemas-microsoft-com:office:office" xmlns:v="urn:schemas-microsoft-com:vml" xmlns:r="http://schemas.openxmlformats.org/officeDocument/2006/relationships">
  <w:abstractNum w:abstractNumId="0">
    <w:nsid w:val="a"/>
    <w:multiLevelType w:val="multilevel"/>
    <w:tmpl w:val="1163f"/>
    <w:lvl w:ilvl="0">
      <w:lvlJc w:val="left"/>
      <w:lvlText w:val="%1."/>
      <w:numFmt w:val="decimal"/>
      <w:start w:val="0"/>
      <w:suff w:val="tab"/>
      <w:pPr>
        <w:autoSpaceDE w:val="0"/>
        <w:autoSpaceDN w:val="0"/>
        <w:ind w:left="792" w:hanging="268"/>
        <w:tabs>
          <w:tab w:val="left" w:leader="none" w:pos="792"/>
        </w:tabs>
      </w:pPr>
    </w:lvl>
    <w:lvl w:ilvl="1">
      <w:lvlJc w:val="left"/>
      <w:lvlText w:val="%1.%2"/>
      <w:numFmt w:val="decimal"/>
      <w:start w:val="34"/>
      <w:suff w:val="nothing"/>
      <w:pPr>
        <w:autoSpaceDE w:val="0"/>
        <w:autoSpaceDN w:val="0"/>
        <w:ind w:left="420" w:firstLine="546"/>
      </w:pPr>
    </w:lvl>
    <w:lvl w:ilvl="2">
      <w:lvlJc w:val="left"/>
      <w:lvlText w:val="%1.%2.%3"/>
      <w:numFmt w:val="decimal"/>
      <w:start w:val="1"/>
      <w:suff w:val="tab"/>
      <w:pPr>
        <w:autoSpaceDE w:val="0"/>
        <w:autoSpaceDN w:val="0"/>
        <w:ind w:left="420" w:firstLine="546"/>
      </w:pPr>
    </w:lvl>
    <w:lvl w:ilvl="3">
      <w:lvlJc w:val="left"/>
      <w:lvlText w:val="%1.%2.%3.%4"/>
      <w:numFmt w:val="decimal"/>
      <w:start w:val="1"/>
      <w:suff w:val="tab"/>
      <w:pPr>
        <w:autoSpaceDE w:val="0"/>
        <w:autoSpaceDN w:val="0"/>
        <w:ind w:left="420" w:firstLine="546"/>
      </w:pPr>
    </w:lvl>
    <w:lvl w:ilvl="4">
      <w:lvlJc w:val="left"/>
      <w:lvlText w:val="%1.%2.%3.%4.%5"/>
      <w:numFmt w:val="decimal"/>
      <w:start w:val="1"/>
      <w:suff w:val="tab"/>
      <w:pPr>
        <w:autoSpaceDE w:val="0"/>
        <w:autoSpaceDN w:val="0"/>
        <w:ind w:left="420" w:firstLine="546"/>
      </w:pPr>
    </w:lvl>
    <w:lvl w:ilvl="5">
      <w:lvlJc w:val="left"/>
      <w:lvlText w:val="%1.%2.%3.%4.%5.%6"/>
      <w:numFmt w:val="decimal"/>
      <w:start w:val="1"/>
      <w:suff w:val="tab"/>
      <w:pPr>
        <w:autoSpaceDE w:val="0"/>
        <w:autoSpaceDN w:val="0"/>
        <w:ind w:left="420" w:firstLine="546"/>
      </w:pPr>
    </w:lvl>
    <w:lvl w:ilvl="6">
      <w:lvlJc w:val="left"/>
      <w:lvlText w:val="%1.%2.%3.%4.%5.%6.%7"/>
      <w:numFmt w:val="decimal"/>
      <w:start w:val="1"/>
      <w:suff w:val="tab"/>
      <w:pPr>
        <w:autoSpaceDE w:val="0"/>
        <w:autoSpaceDN w:val="0"/>
        <w:ind w:left="420" w:firstLine="546"/>
      </w:pPr>
    </w:lvl>
    <w:lvl w:ilvl="7">
      <w:lvlJc w:val="left"/>
      <w:lvlText w:val="%1.%2.%3.%4.%5.%6.%7.%8"/>
      <w:numFmt w:val="decimal"/>
      <w:start w:val="1"/>
      <w:suff w:val="tab"/>
      <w:pPr>
        <w:autoSpaceDE w:val="0"/>
        <w:autoSpaceDN w:val="0"/>
        <w:ind w:left="420" w:firstLine="546"/>
      </w:pPr>
    </w:lvl>
    <w:lvl w:ilvl="8">
      <w:lvlJc w:val="left"/>
      <w:lvlText w:val="%1.%2.%3.%4.%5.%6.%7.%8.%9"/>
      <w:numFmt w:val="decimal"/>
      <w:start w:val="1"/>
      <w:suff w:val="tab"/>
      <w:pPr>
        <w:autoSpaceDE w:val="0"/>
        <w:autoSpaceDN w:val="0"/>
        <w:ind w:left="420" w:firstLine="546"/>
      </w:pPr>
    </w:lvl>
  </w:abstractNum>
  <w:abstractNum w:abstractNumId="1">
    <w:nsid w:val="13"/>
    <w:multiLevelType w:val="hybridMultilevel"/>
    <w:tmpl w:val="11649"/>
    <w:lvl w:ilvl="0" w:tplc="1164a">
      <w:lvlJc w:val="left"/>
      <w:lvlText w:val="%1."/>
      <w:numFmt w:val="decimal"/>
      <w:start w:val="1"/>
      <w:suff w:val="tab"/>
      <w:pPr>
        <w:autoSpaceDE w:val="0"/>
        <w:autoSpaceDN w:val="0"/>
        <w:ind w:left="790" w:hanging="266"/>
        <w:tabs>
          <w:tab w:val="left" w:leader="none" w:pos="790"/>
        </w:tabs>
      </w:pPr>
      <w:rPr>
        <w:b w:val="0"/>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
    <w:nsid w:val="15"/>
    <w:multiLevelType w:val="hybridMultilevel"/>
    <w:tmpl w:val="1164b"/>
    <w:lvl w:ilvl="0" w:tplc="1164c">
      <w:lvlJc w:val="left"/>
      <w:lvlText w:val="%1."/>
      <w:numFmt w:val="decimal"/>
      <w:start w:val="1"/>
      <w:suff w:val="tab"/>
      <w:pPr>
        <w:autoSpaceDE w:val="0"/>
        <w:autoSpaceDN w:val="0"/>
        <w:ind w:left="966" w:firstLine="420"/>
        <w:tabs>
          <w:tab w:val="left" w:leader="none" w:pos="165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
    <w:nsid w:val="18"/>
    <w:multiLevelType w:val="hybridMultilevel"/>
    <w:tmpl w:val="1164d"/>
    <w:lvl w:ilvl="0" w:tplc="1164e">
      <w:lvlJc w:val="left"/>
      <w:lvlText w:val="%1."/>
      <w:numFmt w:val="decimal"/>
      <w:start w:val="1"/>
      <w:suff w:val="tab"/>
      <w:pPr>
        <w:autoSpaceDE w:val="0"/>
        <w:autoSpaceDN w:val="0"/>
        <w:ind w:left="966" w:firstLine="420"/>
        <w:tabs>
          <w:tab w:val="left" w:leader="none" w:pos="16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
    <w:nsid w:val="19"/>
    <w:multiLevelType w:val="hybridMultilevel"/>
    <w:tmpl w:val="1164f"/>
    <w:lvl w:ilvl="0" w:tplc="11650">
      <w:lvlJc w:val="left"/>
      <w:lvlText w:val="%1."/>
      <w:numFmt w:val="decimal"/>
      <w:start w:val="1"/>
      <w:suff w:val="tab"/>
      <w:pPr>
        <w:autoSpaceDE w:val="0"/>
        <w:autoSpaceDN w:val="0"/>
        <w:ind w:left="966" w:firstLine="420"/>
        <w:tabs>
          <w:tab w:val="left" w:leader="none" w:pos="165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
    <w:nsid w:val="1a"/>
    <w:multiLevelType w:val="hybridMultilevel"/>
    <w:tmpl w:val="11651"/>
    <w:lvl w:ilvl="0" w:tplc="11652">
      <w:lvlJc w:val="left"/>
      <w:lvlText w:val="%1."/>
      <w:numFmt w:val="decimal"/>
      <w:start w:val="1"/>
      <w:suff w:val="tab"/>
      <w:pPr>
        <w:autoSpaceDE w:val="0"/>
        <w:autoSpaceDN w:val="0"/>
        <w:ind w:left="966" w:firstLine="420"/>
        <w:tabs>
          <w:tab w:val="left" w:leader="none" w:pos="16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
    <w:nsid w:val="1d"/>
    <w:multiLevelType w:val="hybridMultilevel"/>
    <w:tmpl w:val="11653"/>
    <w:lvl w:ilvl="0" w:tplc="11654">
      <w:lvlJc w:val="left"/>
      <w:lvlText w:val="%1."/>
      <w:numFmt w:val="decimal"/>
      <w:start w:val="1"/>
      <w:suff w:val="tab"/>
      <w:pPr>
        <w:autoSpaceDE w:val="0"/>
        <w:autoSpaceDN w:val="0"/>
        <w:ind w:left="1653" w:hanging="268"/>
        <w:tabs>
          <w:tab w:val="left" w:leader="none" w:pos="16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
    <w:nsid w:val="1e"/>
    <w:multiLevelType w:val="hybridMultilevel"/>
    <w:tmpl w:val="11655"/>
    <w:lvl w:ilvl="0" w:tplc="11656">
      <w:lvlJc w:val="left"/>
      <w:lvlText w:val="%1."/>
      <w:numFmt w:val="decimal"/>
      <w:start w:val="1"/>
      <w:suff w:val="tab"/>
      <w:pPr>
        <w:autoSpaceDE w:val="0"/>
        <w:autoSpaceDN w:val="0"/>
        <w:ind w:left="690" w:hanging="270"/>
        <w:tabs>
          <w:tab w:val="left" w:leader="none" w:pos="69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
    <w:nsid w:val="1f"/>
    <w:multiLevelType w:val="multilevel"/>
    <w:tmpl w:val="11657"/>
    <w:lvl w:ilvl="0">
      <w:lvlJc w:val="right"/>
      <w:lvlText w:val="%1."/>
      <w:numFmt w:val="decimal"/>
      <w:start w:val="1"/>
      <w:suff w:val="tab"/>
      <w:pPr>
        <w:autoSpaceDE w:val="0"/>
        <w:autoSpaceDN w:val="0"/>
        <w:ind w:left="0" w:firstLine="578"/>
        <w:tabs>
          <w:tab w:val="left" w:leader="none" w:pos="688"/>
        </w:tabs>
      </w:pPr>
    </w:lvl>
    <w:lvl w:ilvl="1">
      <w:lvlJc w:val="left"/>
      <w:lvlText w:val="%1.%2"/>
      <w:numFmt w:val="decimal"/>
      <w:start w:val="0"/>
      <w:suff w:val="nothing"/>
      <w:pPr>
        <w:autoSpaceDE w:val="0"/>
        <w:autoSpaceDN w:val="0"/>
        <w:ind w:left="104"/>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9">
    <w:nsid w:val="20"/>
    <w:multiLevelType w:val="hybridMultilevel"/>
    <w:tmpl w:val="11661"/>
    <w:lvl w:ilvl="0" w:tplc="11662">
      <w:lvlJc w:val="left"/>
      <w:lvlText w:val="%1."/>
      <w:numFmt w:val="decimal"/>
      <w:start w:val="1"/>
      <w:suff w:val="tab"/>
      <w:pPr>
        <w:autoSpaceDE w:val="0"/>
        <w:autoSpaceDN w:val="0"/>
        <w:ind w:left="683" w:hanging="263"/>
        <w:tabs>
          <w:tab w:val="left" w:leader="none" w:pos="68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
    <w:nsid w:val="24"/>
    <w:multiLevelType w:val="hybridMultilevel"/>
    <w:tmpl w:val="11663"/>
    <w:lvl w:ilvl="0" w:tplc="11664">
      <w:lvlJc w:val="left"/>
      <w:lvlText w:val="%1."/>
      <w:numFmt w:val="decimal"/>
      <w:start w:val="1"/>
      <w:suff w:val="tab"/>
      <w:pPr>
        <w:autoSpaceDE w:val="0"/>
        <w:autoSpaceDN w:val="0"/>
        <w:ind w:left="966" w:firstLine="420"/>
        <w:tabs>
          <w:tab w:val="left" w:leader="none" w:pos="16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
    <w:nsid w:val="25"/>
    <w:multiLevelType w:val="hybridMultilevel"/>
    <w:tmpl w:val="11665"/>
    <w:lvl w:ilvl="0" w:tplc="11666">
      <w:lvlJc w:val="left"/>
      <w:lvlText w:val="%1."/>
      <w:numFmt w:val="decimal"/>
      <w:start w:val="1"/>
      <w:suff w:val="tab"/>
      <w:pPr>
        <w:autoSpaceDE w:val="0"/>
        <w:autoSpaceDN w:val="0"/>
        <w:ind w:left="861" w:firstLine="524"/>
        <w:tabs>
          <w:tab w:val="left" w:leader="none" w:pos="16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2">
    <w:nsid w:val="28"/>
    <w:multiLevelType w:val="hybridMultilevel"/>
    <w:tmpl w:val="11667"/>
    <w:lvl w:ilvl="0" w:tplc="11668">
      <w:lvlJc w:val="left"/>
      <w:lvlText w:val="%1."/>
      <w:numFmt w:val="decimal"/>
      <w:start w:val="1"/>
      <w:suff w:val="tab"/>
      <w:pPr>
        <w:autoSpaceDE w:val="0"/>
        <w:autoSpaceDN w:val="0"/>
        <w:ind w:left="966" w:firstLine="420"/>
        <w:tabs>
          <w:tab w:val="left" w:leader="none" w:pos="16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
    <w:nsid w:val="29"/>
    <w:multiLevelType w:val="hybridMultilevel"/>
    <w:tmpl w:val="11669"/>
    <w:lvl w:ilvl="0" w:tplc="1166a">
      <w:lvlJc w:val="left"/>
      <w:lvlText w:val="%1"/>
      <w:numFmt w:val="decimal"/>
      <w:start w:val="2016"/>
      <w:suff w:val="tab"/>
      <w:pPr>
        <w:autoSpaceDE w:val="0"/>
        <w:autoSpaceDN w:val="0"/>
        <w:ind w:left="966" w:firstLine="420"/>
        <w:tabs>
          <w:tab w:val="left" w:leader="none" w:pos="186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
    <w:nsid w:val="2b"/>
    <w:multiLevelType w:val="hybridMultilevel"/>
    <w:tmpl w:val="1166b"/>
    <w:lvl w:ilvl="0" w:tplc="1166c">
      <w:lvlJc w:val="left"/>
      <w:lvlText w:val="%1."/>
      <w:numFmt w:val="decimal"/>
      <w:start w:val="1"/>
      <w:suff w:val="tab"/>
      <w:pPr>
        <w:autoSpaceDE w:val="0"/>
        <w:autoSpaceDN w:val="0"/>
        <w:ind w:left="966" w:firstLine="420"/>
        <w:tabs>
          <w:tab w:val="left" w:leader="none" w:pos="16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
    <w:nsid w:val="2e"/>
    <w:multiLevelType w:val="hybridMultilevel"/>
    <w:tmpl w:val="1166d"/>
    <w:lvl w:ilvl="0" w:tplc="1166e">
      <w:lvlJc w:val="right"/>
      <w:lvlText w:val="%1."/>
      <w:numFmt w:val="decimal"/>
      <w:start w:val="1"/>
      <w:suff w:val="tab"/>
      <w:pPr>
        <w:autoSpaceDE w:val="0"/>
        <w:autoSpaceDN w:val="0"/>
        <w:ind w:left="0" w:firstLine="578"/>
        <w:tabs>
          <w:tab w:val="left" w:leader="none" w:pos="68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
    <w:nsid w:val="2f"/>
    <w:multiLevelType w:val="hybridMultilevel"/>
    <w:tmpl w:val="1166f"/>
    <w:lvl w:ilvl="0" w:tplc="11670">
      <w:lvlJc w:val="left"/>
      <w:lvlText w:val="%1"/>
      <w:numFmt w:val="decimal"/>
      <w:start w:val="2015"/>
      <w:suff w:val="tab"/>
      <w:pPr>
        <w:autoSpaceDE w:val="0"/>
        <w:autoSpaceDN w:val="0"/>
        <w:ind w:left="473" w:hanging="473"/>
        <w:tabs>
          <w:tab w:val="left" w:leader="none" w:pos="4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
    <w:nsid w:val="31"/>
    <w:multiLevelType w:val="hybridMultilevel"/>
    <w:tmpl w:val="11671"/>
    <w:lvl w:ilvl="0" w:tplc="11672">
      <w:lvlJc w:val="left"/>
      <w:lvlText w:val="%1."/>
      <w:numFmt w:val="decimal"/>
      <w:start w:val="1"/>
      <w:suff w:val="tab"/>
      <w:pPr>
        <w:autoSpaceDE w:val="0"/>
        <w:autoSpaceDN w:val="0"/>
        <w:ind w:left="0" w:firstLine="420"/>
        <w:tabs>
          <w:tab w:val="left" w:leader="none" w:pos="68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
    <w:nsid w:val="36"/>
    <w:multiLevelType w:val="hybridMultilevel"/>
    <w:tmpl w:val="11673"/>
    <w:lvl w:ilvl="0" w:tplc="11674">
      <w:lvlJc w:val="center"/>
      <w:lvlText w:val="%1."/>
      <w:numFmt w:val="upperLetter"/>
      <w:start w:val="1"/>
      <w:suff w:val="tab"/>
      <w:pPr>
        <w:autoSpaceDE w:val="0"/>
        <w:autoSpaceDN w:val="0"/>
        <w:ind w:left="520" w:hanging="208"/>
        <w:tabs>
          <w:tab w:val="left" w:leader="none" w:pos="52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
    <w:nsid w:val="37"/>
    <w:multiLevelType w:val="hybridMultilevel"/>
    <w:tmpl w:val="11675"/>
    <w:lvl w:ilvl="0" w:tplc="11676">
      <w:lvlJc w:val="left"/>
      <w:lvlText w:val="%1."/>
      <w:numFmt w:val="upperLetter"/>
      <w:start w:val="7"/>
      <w:suff w:val="tab"/>
      <w:pPr>
        <w:autoSpaceDE w:val="0"/>
        <w:autoSpaceDN w:val="0"/>
        <w:ind w:left="520" w:hanging="310"/>
        <w:tabs>
          <w:tab w:val="left" w:leader="none" w:pos="52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
    <w:nsid w:val="38"/>
    <w:multiLevelType w:val="hybridMultilevel"/>
    <w:tmpl w:val="11677"/>
    <w:lvl w:ilvl="0" w:tplc="11678">
      <w:lvlJc w:val="left"/>
      <w:lvlText w:val="%1"/>
      <w:numFmt w:val="decimal"/>
      <w:start w:val="2017"/>
      <w:suff w:val="tab"/>
      <w:pPr>
        <w:autoSpaceDE w:val="0"/>
        <w:autoSpaceDN w:val="0"/>
        <w:ind w:left="1988" w:hanging="542"/>
        <w:tabs>
          <w:tab w:val="left" w:leader="none" w:pos="198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
    <w:nsid w:val="3c"/>
    <w:multiLevelType w:val="hybridMultilevel"/>
    <w:tmpl w:val="11679"/>
    <w:lvl w:ilvl="0" w:tplc="1167a">
      <w:lvlJc w:val="left"/>
      <w:lvlText w:val="%1"/>
      <w:numFmt w:val="decimal"/>
      <w:start w:val="5"/>
      <w:suff w:val="tab"/>
      <w:pPr>
        <w:autoSpaceDE w:val="0"/>
        <w:autoSpaceDN w:val="0"/>
        <w:ind w:left="405" w:hanging="113"/>
        <w:tabs>
          <w:tab w:val="left" w:leader="none" w:pos="40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
    <w:nsid w:val="43"/>
    <w:multiLevelType w:val="hybridMultilevel"/>
    <w:tmpl w:val="1167b"/>
    <w:lvl w:ilvl="0" w:tplc="1167c">
      <w:lvlJc w:val="left"/>
      <w:lvlText w:val="%1"/>
      <w:numFmt w:val="decimal"/>
      <w:start w:val="1"/>
      <w:suff w:val="tab"/>
      <w:pPr>
        <w:autoSpaceDE w:val="0"/>
        <w:autoSpaceDN w:val="0"/>
        <w:ind w:left="437" w:hanging="113"/>
        <w:tabs>
          <w:tab w:val="left" w:leader="none" w:pos="4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
    <w:nsid w:val="47"/>
    <w:multiLevelType w:val="multilevel"/>
    <w:tmpl w:val="1167d"/>
    <w:lvl w:ilvl="0">
      <w:lvlJc w:val="left"/>
      <w:lvlText w:val="%1"/>
      <w:numFmt w:val="decimal"/>
      <w:start w:val="10"/>
      <w:suff w:val="tab"/>
      <w:pPr>
        <w:autoSpaceDE w:val="0"/>
        <w:autoSpaceDN w:val="0"/>
        <w:ind w:left="405" w:hanging="182"/>
        <w:tabs>
          <w:tab w:val="left" w:leader="none" w:pos="405"/>
        </w:tabs>
      </w:pPr>
    </w:lvl>
    <w:lvl w:ilvl="1">
      <w:lvlJc w:val="left"/>
      <w:lvlText w:val="%1.%2"/>
      <w:numFmt w:val="decimal"/>
      <w:start w:val="0"/>
      <w:suff w:val="nothing"/>
      <w:pPr>
        <w:autoSpaceDE w:val="0"/>
        <w:autoSpaceDN w:val="0"/>
        <w:ind w:left="420" w:firstLine="114"/>
      </w:pPr>
    </w:lvl>
    <w:lvl w:ilvl="2">
      <w:lvlJc w:val="left"/>
      <w:lvlText w:val="%1.%2.%3"/>
      <w:numFmt w:val="decimal"/>
      <w:start w:val="1"/>
      <w:suff w:val="tab"/>
      <w:pPr>
        <w:autoSpaceDE w:val="0"/>
        <w:autoSpaceDN w:val="0"/>
        <w:ind w:left="420" w:firstLine="114"/>
      </w:pPr>
    </w:lvl>
    <w:lvl w:ilvl="3">
      <w:lvlJc w:val="left"/>
      <w:lvlText w:val="%1.%2.%3.%4"/>
      <w:numFmt w:val="decimal"/>
      <w:start w:val="1"/>
      <w:suff w:val="tab"/>
      <w:pPr>
        <w:autoSpaceDE w:val="0"/>
        <w:autoSpaceDN w:val="0"/>
        <w:ind w:left="420" w:firstLine="114"/>
      </w:pPr>
    </w:lvl>
    <w:lvl w:ilvl="4">
      <w:lvlJc w:val="left"/>
      <w:lvlText w:val="%1.%2.%3.%4.%5"/>
      <w:numFmt w:val="decimal"/>
      <w:start w:val="1"/>
      <w:suff w:val="tab"/>
      <w:pPr>
        <w:autoSpaceDE w:val="0"/>
        <w:autoSpaceDN w:val="0"/>
        <w:ind w:left="420" w:firstLine="114"/>
      </w:pPr>
    </w:lvl>
    <w:lvl w:ilvl="5">
      <w:lvlJc w:val="left"/>
      <w:lvlText w:val="%1.%2.%3.%4.%5.%6"/>
      <w:numFmt w:val="decimal"/>
      <w:start w:val="1"/>
      <w:suff w:val="tab"/>
      <w:pPr>
        <w:autoSpaceDE w:val="0"/>
        <w:autoSpaceDN w:val="0"/>
        <w:ind w:left="420" w:firstLine="114"/>
      </w:pPr>
    </w:lvl>
    <w:lvl w:ilvl="6">
      <w:lvlJc w:val="left"/>
      <w:lvlText w:val="%1.%2.%3.%4.%5.%6.%7"/>
      <w:numFmt w:val="decimal"/>
      <w:start w:val="1"/>
      <w:suff w:val="tab"/>
      <w:pPr>
        <w:autoSpaceDE w:val="0"/>
        <w:autoSpaceDN w:val="0"/>
        <w:ind w:left="420" w:firstLine="114"/>
      </w:pPr>
    </w:lvl>
    <w:lvl w:ilvl="7">
      <w:lvlJc w:val="left"/>
      <w:lvlText w:val="%1.%2.%3.%4.%5.%6.%7.%8"/>
      <w:numFmt w:val="decimal"/>
      <w:start w:val="1"/>
      <w:suff w:val="tab"/>
      <w:pPr>
        <w:autoSpaceDE w:val="0"/>
        <w:autoSpaceDN w:val="0"/>
        <w:ind w:left="420" w:firstLine="114"/>
      </w:pPr>
    </w:lvl>
    <w:lvl w:ilvl="8">
      <w:lvlJc w:val="left"/>
      <w:lvlText w:val="%1.%2.%3.%4.%5.%6.%7.%8.%9"/>
      <w:numFmt w:val="decimal"/>
      <w:start w:val="1"/>
      <w:suff w:val="tab"/>
      <w:pPr>
        <w:autoSpaceDE w:val="0"/>
        <w:autoSpaceDN w:val="0"/>
        <w:ind w:left="420" w:firstLine="114"/>
      </w:pPr>
    </w:lvl>
  </w:abstractNum>
  <w:abstractNum w:abstractNumId="24">
    <w:nsid w:val="60"/>
    <w:multiLevelType w:val="multilevel"/>
    <w:tmpl w:val="11687"/>
    <w:lvl w:ilvl="0">
      <w:lvlJc w:val="left"/>
      <w:lvlText w:val="%1"/>
      <w:numFmt w:val="decimal"/>
      <w:start w:val="21"/>
      <w:suff w:val="tab"/>
      <w:pPr>
        <w:autoSpaceDE w:val="0"/>
        <w:autoSpaceDN w:val="0"/>
        <w:ind w:left="402" w:hanging="188"/>
        <w:tabs>
          <w:tab w:val="left" w:leader="none" w:pos="402"/>
        </w:tabs>
      </w:pPr>
    </w:lvl>
    <w:lvl w:ilvl="1">
      <w:lvlJc w:val="left"/>
      <w:lvlText w:val="%1.%2"/>
      <w:numFmt w:val="decimal"/>
      <w:start w:val="56"/>
      <w:suff w:val="tab"/>
      <w:pPr>
        <w:autoSpaceDE w:val="0"/>
        <w:autoSpaceDN w:val="0"/>
        <w:ind w:left="420" w:hanging="28"/>
        <w:tabs>
          <w:tab w:val="left" w:leader="none" w:pos="420"/>
        </w:tabs>
      </w:pPr>
    </w:lvl>
    <w:lvl w:ilvl="2">
      <w:lvlJc w:val="left"/>
      <w:lvlText w:val="%1.%2.%3"/>
      <w:numFmt w:val="decimal"/>
      <w:start w:val="1"/>
      <w:suff w:val="tab"/>
      <w:pPr>
        <w:autoSpaceDE w:val="0"/>
        <w:autoSpaceDN w:val="0"/>
        <w:ind w:left="420" w:hanging="28"/>
      </w:pPr>
    </w:lvl>
    <w:lvl w:ilvl="3">
      <w:lvlJc w:val="left"/>
      <w:lvlText w:val="%1.%2.%3.%4"/>
      <w:numFmt w:val="decimal"/>
      <w:start w:val="1"/>
      <w:suff w:val="tab"/>
      <w:pPr>
        <w:autoSpaceDE w:val="0"/>
        <w:autoSpaceDN w:val="0"/>
        <w:ind w:left="420" w:hanging="28"/>
      </w:pPr>
    </w:lvl>
    <w:lvl w:ilvl="4">
      <w:lvlJc w:val="left"/>
      <w:lvlText w:val="%1.%2.%3.%4.%5"/>
      <w:numFmt w:val="decimal"/>
      <w:start w:val="1"/>
      <w:suff w:val="tab"/>
      <w:pPr>
        <w:autoSpaceDE w:val="0"/>
        <w:autoSpaceDN w:val="0"/>
        <w:ind w:left="420" w:hanging="28"/>
      </w:pPr>
    </w:lvl>
    <w:lvl w:ilvl="5">
      <w:lvlJc w:val="left"/>
      <w:lvlText w:val="%1.%2.%3.%4.%5.%6"/>
      <w:numFmt w:val="decimal"/>
      <w:start w:val="1"/>
      <w:suff w:val="tab"/>
      <w:pPr>
        <w:autoSpaceDE w:val="0"/>
        <w:autoSpaceDN w:val="0"/>
        <w:ind w:left="420" w:hanging="28"/>
      </w:pPr>
    </w:lvl>
    <w:lvl w:ilvl="6">
      <w:lvlJc w:val="left"/>
      <w:lvlText w:val="%1.%2.%3.%4.%5.%6.%7"/>
      <w:numFmt w:val="decimal"/>
      <w:start w:val="1"/>
      <w:suff w:val="tab"/>
      <w:pPr>
        <w:autoSpaceDE w:val="0"/>
        <w:autoSpaceDN w:val="0"/>
        <w:ind w:left="420" w:hanging="28"/>
      </w:pPr>
    </w:lvl>
    <w:lvl w:ilvl="7">
      <w:lvlJc w:val="left"/>
      <w:lvlText w:val="%1.%2.%3.%4.%5.%6.%7.%8"/>
      <w:numFmt w:val="decimal"/>
      <w:start w:val="1"/>
      <w:suff w:val="tab"/>
      <w:pPr>
        <w:autoSpaceDE w:val="0"/>
        <w:autoSpaceDN w:val="0"/>
        <w:ind w:left="420" w:hanging="28"/>
      </w:pPr>
    </w:lvl>
    <w:lvl w:ilvl="8">
      <w:lvlJc w:val="left"/>
      <w:lvlText w:val="%1.%2.%3.%4.%5.%6.%7.%8.%9"/>
      <w:numFmt w:val="decimal"/>
      <w:start w:val="1"/>
      <w:suff w:val="tab"/>
      <w:pPr>
        <w:autoSpaceDE w:val="0"/>
        <w:autoSpaceDN w:val="0"/>
        <w:ind w:left="420" w:hanging="28"/>
      </w:pPr>
    </w:lvl>
  </w:abstractNum>
  <w:abstractNum w:abstractNumId="25">
    <w:nsid w:val="67"/>
    <w:multiLevelType w:val="multilevel"/>
    <w:tmpl w:val="11691"/>
    <w:lvl w:ilvl="0">
      <w:lvlJc w:val="left"/>
      <w:lvlText w:val="%1"/>
      <w:numFmt w:val="decimal"/>
      <w:start w:val="3"/>
      <w:suff w:val="tab"/>
      <w:pPr>
        <w:autoSpaceDE w:val="0"/>
        <w:autoSpaceDN w:val="0"/>
        <w:ind w:left="473" w:hanging="113"/>
        <w:tabs>
          <w:tab w:val="left" w:leader="none" w:pos="473"/>
        </w:tabs>
      </w:pPr>
    </w:lvl>
    <w:lvl w:ilvl="1">
      <w:lvlJc w:val="left"/>
      <w:lvlText w:val="%1.%2"/>
      <w:numFmt w:val="decimal"/>
      <w:start w:val="39"/>
      <w:suff w:val="tab"/>
      <w:pPr>
        <w:autoSpaceDE w:val="0"/>
        <w:autoSpaceDN w:val="0"/>
        <w:ind w:left="420" w:firstLine="267"/>
        <w:tabs>
          <w:tab w:val="left" w:leader="none" w:pos="420"/>
        </w:tabs>
      </w:pPr>
    </w:lvl>
    <w:lvl w:ilvl="2">
      <w:lvlJc w:val="left"/>
      <w:lvlText w:val="%1.%2.%3"/>
      <w:numFmt w:val="decimal"/>
      <w:start w:val="1"/>
      <w:suff w:val="tab"/>
      <w:pPr>
        <w:autoSpaceDE w:val="0"/>
        <w:autoSpaceDN w:val="0"/>
        <w:ind w:left="420" w:firstLine="267"/>
      </w:pPr>
    </w:lvl>
    <w:lvl w:ilvl="3">
      <w:lvlJc w:val="left"/>
      <w:lvlText w:val="%1.%2.%3.%4"/>
      <w:numFmt w:val="decimal"/>
      <w:start w:val="1"/>
      <w:suff w:val="tab"/>
      <w:pPr>
        <w:autoSpaceDE w:val="0"/>
        <w:autoSpaceDN w:val="0"/>
        <w:ind w:left="420" w:firstLine="267"/>
      </w:pPr>
    </w:lvl>
    <w:lvl w:ilvl="4">
      <w:lvlJc w:val="left"/>
      <w:lvlText w:val="%1.%2.%3.%4.%5"/>
      <w:numFmt w:val="decimal"/>
      <w:start w:val="1"/>
      <w:suff w:val="tab"/>
      <w:pPr>
        <w:autoSpaceDE w:val="0"/>
        <w:autoSpaceDN w:val="0"/>
        <w:ind w:left="420" w:firstLine="267"/>
      </w:pPr>
    </w:lvl>
    <w:lvl w:ilvl="5">
      <w:lvlJc w:val="left"/>
      <w:lvlText w:val="%1.%2.%3.%4.%5.%6"/>
      <w:numFmt w:val="decimal"/>
      <w:start w:val="1"/>
      <w:suff w:val="tab"/>
      <w:pPr>
        <w:autoSpaceDE w:val="0"/>
        <w:autoSpaceDN w:val="0"/>
        <w:ind w:left="420" w:firstLine="267"/>
      </w:pPr>
    </w:lvl>
    <w:lvl w:ilvl="6">
      <w:lvlJc w:val="left"/>
      <w:lvlText w:val="%1.%2.%3.%4.%5.%6.%7"/>
      <w:numFmt w:val="decimal"/>
      <w:start w:val="1"/>
      <w:suff w:val="tab"/>
      <w:pPr>
        <w:autoSpaceDE w:val="0"/>
        <w:autoSpaceDN w:val="0"/>
        <w:ind w:left="420" w:firstLine="267"/>
      </w:pPr>
    </w:lvl>
    <w:lvl w:ilvl="7">
      <w:lvlJc w:val="left"/>
      <w:lvlText w:val="%1.%2.%3.%4.%5.%6.%7.%8"/>
      <w:numFmt w:val="decimal"/>
      <w:start w:val="1"/>
      <w:suff w:val="tab"/>
      <w:pPr>
        <w:autoSpaceDE w:val="0"/>
        <w:autoSpaceDN w:val="0"/>
        <w:ind w:left="420" w:firstLine="267"/>
      </w:pPr>
    </w:lvl>
    <w:lvl w:ilvl="8">
      <w:lvlJc w:val="left"/>
      <w:lvlText w:val="%1.%2.%3.%4.%5.%6.%7.%8.%9"/>
      <w:numFmt w:val="decimal"/>
      <w:start w:val="1"/>
      <w:suff w:val="tab"/>
      <w:pPr>
        <w:autoSpaceDE w:val="0"/>
        <w:autoSpaceDN w:val="0"/>
        <w:ind w:left="420" w:firstLine="267"/>
      </w:pPr>
    </w:lvl>
  </w:abstractNum>
  <w:abstractNum w:abstractNumId="26">
    <w:nsid w:val="7b"/>
    <w:multiLevelType w:val="hybridMultilevel"/>
    <w:tmpl w:val="1169b"/>
    <w:lvl w:ilvl="0" w:tplc="1169c">
      <w:lvlJc w:val="left"/>
      <w:lvlText w:val="%1"/>
      <w:numFmt w:val="decimalZero"/>
      <w:start w:val="2016"/>
      <w:suff w:val="tab"/>
      <w:pPr>
        <w:autoSpaceDE w:val="0"/>
        <w:autoSpaceDN w:val="0"/>
        <w:ind w:left="1383" w:hanging="338"/>
        <w:tabs>
          <w:tab w:val="left" w:leader="none" w:pos="138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
    <w:nsid w:val="7e"/>
    <w:multiLevelType w:val="hybridMultilevel"/>
    <w:tmpl w:val="1169d"/>
    <w:lvl w:ilvl="0" w:tplc="1169e">
      <w:lvlJc w:val="left"/>
      <w:lvlText w:val="%1"/>
      <w:numFmt w:val="decimal"/>
      <w:start w:val="9"/>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
    <w:nsid w:val="8d"/>
    <w:multiLevelType w:val="multilevel"/>
    <w:tmpl w:val="1169f"/>
    <w:lvl w:ilvl="0">
      <w:lvlJc w:val="left"/>
      <w:lvlText w:val="%1"/>
      <w:numFmt w:val="decimal"/>
      <w:start w:val="25"/>
      <w:suff w:val="tab"/>
      <w:pPr>
        <w:autoSpaceDE w:val="0"/>
        <w:autoSpaceDN w:val="0"/>
        <w:ind w:left="420" w:hanging="18"/>
        <w:tabs>
          <w:tab w:val="left" w:leader="none" w:pos="420"/>
        </w:tabs>
      </w:pPr>
    </w:lvl>
    <w:lvl w:ilvl="1">
      <w:lvlJc w:val="left"/>
      <w:lvlText w:val="%1.%2"/>
      <w:numFmt w:val="decimal"/>
      <w:start w:val="0"/>
      <w:suff w:val="nothing"/>
      <w:pPr>
        <w:autoSpaceDE w:val="0"/>
        <w:autoSpaceDN w:val="0"/>
        <w:ind w:left="420" w:hanging="84"/>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29">
    <w:nsid w:val="8e"/>
    <w:multiLevelType w:val="hybridMultilevel"/>
    <w:tmpl w:val="116a9"/>
    <w:lvl w:ilvl="0" w:tplc="116aa">
      <w:lvlJc w:val="left"/>
      <w:lvlText w:val="%1"/>
      <w:numFmt w:val="decimal"/>
      <w:start w:val="8"/>
      <w:suff w:val="tab"/>
      <w:pPr>
        <w:autoSpaceDE w:val="0"/>
        <w:autoSpaceDN w:val="0"/>
        <w:ind w:left="391" w:firstLine="101"/>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
    <w:nsid w:val="94"/>
    <w:multiLevelType w:val="hybridMultilevel"/>
    <w:tmpl w:val="116ab"/>
    <w:lvl w:ilvl="0" w:tplc="116ac">
      <w:lvlJc w:val="left"/>
      <w:lvlText w:val="%1"/>
      <w:numFmt w:val="decimal"/>
      <w:start w:val="3"/>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
    <w:nsid w:val="a7"/>
    <w:multiLevelType w:val="hybridMultilevel"/>
    <w:tmpl w:val="116ad"/>
    <w:lvl w:ilvl="0" w:tplc="116ae">
      <w:lvlJc w:val="left"/>
      <w:lvlText w:val="%1"/>
      <w:numFmt w:val="decimal"/>
      <w:start w:val="1"/>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
    <w:nsid w:val="ab"/>
    <w:multiLevelType w:val="hybridMultilevel"/>
    <w:tmpl w:val="116af"/>
    <w:lvl w:ilvl="0" w:tplc="116b0">
      <w:lvlJc w:val="left"/>
      <w:lvlText w:val="%1"/>
      <w:numFmt w:val="decimal"/>
      <w:start w:val="1"/>
      <w:suff w:val="tab"/>
      <w:pPr>
        <w:autoSpaceDE w:val="0"/>
        <w:autoSpaceDN w:val="0"/>
        <w:ind w:left="384" w:hanging="113"/>
        <w:tabs>
          <w:tab w:val="left" w:leader="none" w:pos="38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
    <w:nsid w:val="bb"/>
    <w:multiLevelType w:val="hybridMultilevel"/>
    <w:tmpl w:val="116b1"/>
    <w:lvl w:ilvl="0" w:tplc="116b2">
      <w:lvlJc w:val="left"/>
      <w:lvlText w:val="%1"/>
      <w:numFmt w:val="decimal"/>
      <w:start w:val="2"/>
      <w:suff w:val="tab"/>
      <w:pPr>
        <w:autoSpaceDE w:val="0"/>
        <w:autoSpaceDN w:val="0"/>
        <w:ind w:left="384" w:hanging="113"/>
        <w:tabs>
          <w:tab w:val="left" w:leader="none" w:pos="38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
    <w:nsid w:val="c0"/>
    <w:multiLevelType w:val="hybridMultilevel"/>
    <w:tmpl w:val="116b3"/>
    <w:lvl w:ilvl="0" w:tplc="116b4">
      <w:lvlJc w:val="left"/>
      <w:lvlText w:val="%1"/>
      <w:numFmt w:val="decimalZero"/>
      <w:start w:val="13"/>
      <w:suff w:val="tab"/>
      <w:pPr>
        <w:autoSpaceDE w:val="0"/>
        <w:autoSpaceDN w:val="0"/>
        <w:ind w:left="391" w:hanging="188"/>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5">
    <w:nsid w:val="d6"/>
    <w:multiLevelType w:val="hybridMultilevel"/>
    <w:tmpl w:val="116b5"/>
    <w:lvl w:ilvl="0" w:tplc="116b6">
      <w:lvlJc w:val="left"/>
      <w:lvlText w:val="%1"/>
      <w:numFmt w:val="decimal"/>
      <w:start w:val="2"/>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6">
    <w:nsid w:val="105"/>
    <w:multiLevelType w:val="hybridMultilevel"/>
    <w:tmpl w:val="116b7"/>
    <w:lvl w:ilvl="0" w:tplc="116b8">
      <w:lvlJc w:val="left"/>
      <w:lvlText w:val="%1"/>
      <w:numFmt w:val="decimalZero"/>
      <w:start w:val="2016"/>
      <w:suff w:val="tab"/>
      <w:pPr>
        <w:autoSpaceDE w:val="0"/>
        <w:autoSpaceDN w:val="0"/>
        <w:ind w:left="1470" w:hanging="338"/>
        <w:tabs>
          <w:tab w:val="left" w:leader="none" w:pos="147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7">
    <w:nsid w:val="117"/>
    <w:multiLevelType w:val="hybridMultilevel"/>
    <w:tmpl w:val="116b9"/>
    <w:lvl w:ilvl="0" w:tplc="116ba">
      <w:lvlJc w:val="left"/>
      <w:lvlText w:val="%1"/>
      <w:numFmt w:val="decimal"/>
      <w:start w:val="10"/>
      <w:suff w:val="tab"/>
      <w:pPr>
        <w:autoSpaceDE w:val="0"/>
        <w:autoSpaceDN w:val="0"/>
        <w:ind w:left="489" w:hanging="188"/>
        <w:tabs>
          <w:tab w:val="left" w:leader="none" w:pos="4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8">
    <w:nsid w:val="12a"/>
    <w:multiLevelType w:val="hybridMultilevel"/>
    <w:tmpl w:val="116bb"/>
    <w:lvl w:ilvl="0" w:tplc="116bc">
      <w:lvlJc w:val="left"/>
      <w:lvlText w:val="%1"/>
      <w:numFmt w:val="decimalZero"/>
      <w:start w:val="19"/>
      <w:suff w:val="tab"/>
      <w:pPr>
        <w:autoSpaceDE w:val="0"/>
        <w:autoSpaceDN w:val="0"/>
        <w:ind w:left="462" w:hanging="188"/>
        <w:tabs>
          <w:tab w:val="left" w:leader="none" w:pos="46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9">
    <w:nsid w:val="131"/>
    <w:multiLevelType w:val="hybridMultilevel"/>
    <w:tmpl w:val="116bd"/>
    <w:lvl w:ilvl="0" w:tplc="116be">
      <w:lvlJc w:val="left"/>
      <w:lvlText w:val="%1"/>
      <w:numFmt w:val="decimal"/>
      <w:start w:val="8"/>
      <w:suff w:val="tab"/>
      <w:pPr>
        <w:autoSpaceDE w:val="0"/>
        <w:autoSpaceDN w:val="0"/>
        <w:ind w:left="462" w:hanging="113"/>
        <w:tabs>
          <w:tab w:val="left" w:leader="none" w:pos="46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0">
    <w:nsid w:val="13f"/>
    <w:multiLevelType w:val="hybridMultilevel"/>
    <w:tmpl w:val="116bf"/>
    <w:lvl w:ilvl="0" w:tplc="116c0">
      <w:lvlJc w:val="left"/>
      <w:lvlText w:val="%1"/>
      <w:numFmt w:val="decimalZero"/>
      <w:start w:val="19"/>
      <w:suff w:val="tab"/>
      <w:pPr>
        <w:autoSpaceDE w:val="0"/>
        <w:autoSpaceDN w:val="0"/>
        <w:ind w:left="462" w:hanging="188"/>
        <w:tabs>
          <w:tab w:val="left" w:leader="none" w:pos="46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1">
    <w:nsid w:val="100"/>
    <w:multiLevelType w:val="hybridMultilevel"/>
    <w:tmpl w:val="116c1"/>
    <w:lvl w:ilvl="0" w:tplc="116c2">
      <w:lvlJc w:val="left"/>
      <w:lvlText w:val="%1"/>
      <w:numFmt w:val="decimal"/>
      <w:start w:val="2017"/>
      <w:suff w:val="tab"/>
      <w:pPr>
        <w:autoSpaceDE w:val="0"/>
        <w:autoSpaceDN w:val="0"/>
        <w:ind w:left="1873" w:hanging="487"/>
        <w:tabs>
          <w:tab w:val="left" w:leader="none" w:pos="18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2">
    <w:nsid w:val="154"/>
    <w:multiLevelType w:val="hybridMultilevel"/>
    <w:tmpl w:val="116c3"/>
    <w:lvl w:ilvl="0" w:tplc="116c4">
      <w:lvlJc w:val="left"/>
      <w:lvlText w:val="%1"/>
      <w:numFmt w:val="decimal"/>
      <w:start w:val="2017"/>
      <w:suff w:val="tab"/>
      <w:pPr>
        <w:autoSpaceDE w:val="0"/>
        <w:autoSpaceDN w:val="0"/>
        <w:ind w:left="1834" w:hanging="461"/>
        <w:tabs>
          <w:tab w:val="left" w:leader="none" w:pos="183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3">
    <w:nsid w:val="157"/>
    <w:multiLevelType w:val="hybridMultilevel"/>
    <w:tmpl w:val="116c5"/>
    <w:lvl w:ilvl="0" w:tplc="116c6">
      <w:lvlJc w:val="left"/>
      <w:lvlText w:val="%1"/>
      <w:numFmt w:val="decimalZero"/>
      <w:start w:val="2016"/>
      <w:suff w:val="tab"/>
      <w:pPr>
        <w:autoSpaceDE w:val="0"/>
        <w:autoSpaceDN w:val="0"/>
        <w:ind w:left="1376" w:hanging="338"/>
        <w:tabs>
          <w:tab w:val="left" w:leader="none" w:pos="13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4">
    <w:nsid w:val="158"/>
    <w:multiLevelType w:val="hybridMultilevel"/>
    <w:tmpl w:val="116c7"/>
    <w:lvl w:ilvl="0" w:tplc="116c8">
      <w:lvlJc w:val="left"/>
      <w:lvlText w:val="%1"/>
      <w:numFmt w:val="decimal"/>
      <w:start w:val="10"/>
      <w:suff w:val="tab"/>
      <w:pPr>
        <w:autoSpaceDE w:val="0"/>
        <w:autoSpaceDN w:val="0"/>
        <w:ind w:left="276" w:hanging="188"/>
        <w:tabs>
          <w:tab w:val="left" w:leader="none" w:pos="2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5">
    <w:nsid w:val="15c"/>
    <w:multiLevelType w:val="hybridMultilevel"/>
    <w:tmpl w:val="116c9"/>
    <w:lvl w:ilvl="0" w:tplc="116ca">
      <w:lvlJc w:val="left"/>
      <w:lvlText w:val="%1"/>
      <w:numFmt w:val="decimalZero"/>
      <w:start w:val="11"/>
      <w:suff w:val="tab"/>
      <w:pPr>
        <w:autoSpaceDE w:val="0"/>
        <w:autoSpaceDN w:val="0"/>
        <w:ind w:left="272" w:hanging="182"/>
        <w:tabs>
          <w:tab w:val="left" w:leader="none" w:pos="27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6">
    <w:nsid w:val="15f"/>
    <w:multiLevelType w:val="hybridMultilevel"/>
    <w:tmpl w:val="116cb"/>
    <w:lvl w:ilvl="0" w:tplc="116cc">
      <w:lvlJc w:val="left"/>
      <w:lvlText w:val="%1"/>
      <w:numFmt w:val="decimalZero"/>
      <w:start w:val="11"/>
      <w:suff w:val="tab"/>
      <w:pPr>
        <w:autoSpaceDE w:val="0"/>
        <w:autoSpaceDN w:val="0"/>
        <w:ind w:left="272" w:hanging="182"/>
        <w:tabs>
          <w:tab w:val="left" w:leader="none" w:pos="27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7">
    <w:nsid w:val="165"/>
    <w:multiLevelType w:val="hybridMultilevel"/>
    <w:tmpl w:val="116cd"/>
    <w:lvl w:ilvl="0" w:tplc="116ce">
      <w:lvlJc w:val="left"/>
      <w:lvlText w:val="%1"/>
      <w:numFmt w:val="decimal"/>
      <w:start w:val="10"/>
      <w:suff w:val="tab"/>
      <w:pPr>
        <w:autoSpaceDE w:val="0"/>
        <w:autoSpaceDN w:val="0"/>
        <w:ind w:left="276" w:hanging="188"/>
        <w:tabs>
          <w:tab w:val="left" w:leader="none" w:pos="2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8">
    <w:nsid w:val="16d"/>
    <w:multiLevelType w:val="hybridMultilevel"/>
    <w:tmpl w:val="116cf"/>
    <w:lvl w:ilvl="0" w:tplc="116d0">
      <w:lvlJc w:val="left"/>
      <w:lvlText w:val="%1"/>
      <w:numFmt w:val="decimal"/>
      <w:start w:val="4"/>
      <w:suff w:val="tab"/>
      <w:pPr>
        <w:autoSpaceDE w:val="0"/>
        <w:autoSpaceDN w:val="0"/>
        <w:ind w:left="237" w:hanging="113"/>
        <w:tabs>
          <w:tab w:val="left" w:leader="none" w:pos="2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49">
    <w:nsid w:val="16f"/>
    <w:multiLevelType w:val="hybridMultilevel"/>
    <w:tmpl w:val="116d1"/>
    <w:lvl w:ilvl="0" w:tplc="116d2">
      <w:lvlJc w:val="left"/>
      <w:lvlText w:val="%1"/>
      <w:numFmt w:val="decimal"/>
      <w:start w:val="4"/>
      <w:suff w:val="tab"/>
      <w:pPr>
        <w:autoSpaceDE w:val="0"/>
        <w:autoSpaceDN w:val="0"/>
        <w:ind w:left="237" w:hanging="113"/>
        <w:tabs>
          <w:tab w:val="left" w:leader="none" w:pos="2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0">
    <w:nsid w:val="173"/>
    <w:multiLevelType w:val="hybridMultilevel"/>
    <w:tmpl w:val="116d3"/>
    <w:lvl w:ilvl="0" w:tplc="116d4">
      <w:lvlJc w:val="left"/>
      <w:lvlText w:val="%1"/>
      <w:numFmt w:val="decimal"/>
      <w:start w:val="4"/>
      <w:suff w:val="tab"/>
      <w:pPr>
        <w:autoSpaceDE w:val="0"/>
        <w:autoSpaceDN w:val="0"/>
        <w:ind w:left="237" w:hanging="113"/>
        <w:tabs>
          <w:tab w:val="left" w:leader="none" w:pos="2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1">
    <w:nsid w:val="176"/>
    <w:multiLevelType w:val="hybridMultilevel"/>
    <w:tmpl w:val="116d5"/>
    <w:lvl w:ilvl="0" w:tplc="116d6">
      <w:lvlJc w:val="left"/>
      <w:lvlText w:val="%1"/>
      <w:numFmt w:val="decimal"/>
      <w:start w:val="3"/>
      <w:suff w:val="tab"/>
      <w:pPr>
        <w:autoSpaceDE w:val="0"/>
        <w:autoSpaceDN w:val="0"/>
        <w:ind w:left="237" w:hanging="113"/>
        <w:tabs>
          <w:tab w:val="left" w:leader="none" w:pos="2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2">
    <w:nsid w:val="178"/>
    <w:multiLevelType w:val="hybridMultilevel"/>
    <w:tmpl w:val="116d7"/>
    <w:lvl w:ilvl="0" w:tplc="116d8">
      <w:lvlJc w:val="left"/>
      <w:lvlText w:val="%1"/>
      <w:numFmt w:val="decimal"/>
      <w:start w:val="3"/>
      <w:suff w:val="tab"/>
      <w:pPr>
        <w:autoSpaceDE w:val="0"/>
        <w:autoSpaceDN w:val="0"/>
        <w:ind w:left="237" w:hanging="113"/>
        <w:tabs>
          <w:tab w:val="left" w:leader="none" w:pos="2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3">
    <w:nsid w:val="17c"/>
    <w:multiLevelType w:val="hybridMultilevel"/>
    <w:tmpl w:val="116d9"/>
    <w:lvl w:ilvl="0" w:tplc="116da">
      <w:lvlJc w:val="left"/>
      <w:lvlText w:val="%1"/>
      <w:numFmt w:val="decimal"/>
      <w:start w:val="7"/>
      <w:suff w:val="tab"/>
      <w:pPr>
        <w:autoSpaceDE w:val="0"/>
        <w:autoSpaceDN w:val="0"/>
        <w:ind w:left="237" w:hanging="113"/>
        <w:tabs>
          <w:tab w:val="left" w:leader="none" w:pos="2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4">
    <w:nsid w:val="19b"/>
    <w:multiLevelType w:val="hybridMultilevel"/>
    <w:tmpl w:val="116db"/>
    <w:lvl w:ilvl="0" w:tplc="116dc">
      <w:lvlJc w:val="left"/>
      <w:lvlText w:val="%1"/>
      <w:numFmt w:val="decimalZero"/>
      <w:start w:val="2016"/>
      <w:suff w:val="tab"/>
      <w:pPr>
        <w:autoSpaceDE w:val="0"/>
        <w:autoSpaceDN w:val="0"/>
        <w:ind w:left="1376" w:hanging="338"/>
        <w:tabs>
          <w:tab w:val="left" w:leader="none" w:pos="13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5">
    <w:nsid w:val="1a4"/>
    <w:multiLevelType w:val="hybridMultilevel"/>
    <w:tmpl w:val="116dd"/>
    <w:lvl w:ilvl="0" w:tplc="116de">
      <w:lvlJc w:val="left"/>
      <w:lvlText w:val="%1"/>
      <w:numFmt w:val="decimal"/>
      <w:start w:val="2"/>
      <w:suff w:val="tab"/>
      <w:pPr>
        <w:autoSpaceDE w:val="0"/>
        <w:autoSpaceDN w:val="0"/>
        <w:ind w:left="210" w:hanging="113"/>
        <w:tabs>
          <w:tab w:val="left" w:leader="none" w:pos="2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6">
    <w:nsid w:val="1a8"/>
    <w:multiLevelType w:val="hybridMultilevel"/>
    <w:tmpl w:val="116df"/>
    <w:lvl w:ilvl="0" w:tplc="116e0">
      <w:lvlJc w:val="left"/>
      <w:lvlText w:val="%1"/>
      <w:numFmt w:val="decimal"/>
      <w:start w:val="2"/>
      <w:suff w:val="tab"/>
      <w:pPr>
        <w:autoSpaceDE w:val="0"/>
        <w:autoSpaceDN w:val="0"/>
        <w:ind w:left="209" w:hanging="113"/>
        <w:tabs>
          <w:tab w:val="left" w:leader="none" w:pos="20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7">
    <w:nsid w:val="1c1"/>
    <w:multiLevelType w:val="hybridMultilevel"/>
    <w:tmpl w:val="116e1"/>
    <w:lvl w:ilvl="0" w:tplc="116e2">
      <w:lvlJc w:val="left"/>
      <w:lvlText w:val="%1"/>
      <w:numFmt w:val="decimal"/>
      <w:start w:val="2017"/>
      <w:suff w:val="tab"/>
      <w:pPr>
        <w:autoSpaceDE w:val="0"/>
        <w:autoSpaceDN w:val="0"/>
        <w:ind w:left="1863" w:hanging="478"/>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8">
    <w:nsid w:val="1c4"/>
    <w:multiLevelType w:val="hybridMultilevel"/>
    <w:tmpl w:val="116e3"/>
    <w:lvl w:ilvl="0" w:tplc="116e4">
      <w:lvlJc w:val="left"/>
      <w:lvlText w:val="%1"/>
      <w:numFmt w:val="decimalZero"/>
      <w:start w:val="2017"/>
      <w:suff w:val="tab"/>
      <w:pPr>
        <w:autoSpaceDE w:val="0"/>
        <w:autoSpaceDN w:val="0"/>
        <w:ind w:left="1863" w:hanging="478"/>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59">
    <w:nsid w:val="1c7"/>
    <w:multiLevelType w:val="hybridMultilevel"/>
    <w:tmpl w:val="116e5"/>
    <w:lvl w:ilvl="0" w:tplc="116e6">
      <w:lvlJc w:val="left"/>
      <w:lvlText w:val="%1"/>
      <w:numFmt w:val="decimal"/>
      <w:start w:val="2017"/>
      <w:suff w:val="tab"/>
      <w:pPr>
        <w:autoSpaceDE w:val="0"/>
        <w:autoSpaceDN w:val="0"/>
        <w:ind w:left="1875" w:hanging="481"/>
        <w:tabs>
          <w:tab w:val="left" w:leader="none" w:pos="187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0">
    <w:nsid w:val="1ce"/>
    <w:multiLevelType w:val="hybridMultilevel"/>
    <w:tmpl w:val="116e7"/>
    <w:lvl w:ilvl="0" w:tplc="116e8">
      <w:lvlJc w:val="left"/>
      <w:lvlText w:val="%1"/>
      <w:numFmt w:val="decimalZero"/>
      <w:start w:val="2017"/>
      <w:suff w:val="tab"/>
      <w:pPr>
        <w:autoSpaceDE w:val="0"/>
        <w:autoSpaceDN w:val="0"/>
        <w:ind w:left="966" w:firstLine="420"/>
        <w:tabs>
          <w:tab w:val="left" w:leader="none" w:pos="186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1">
    <w:nsid w:val="1cf"/>
    <w:multiLevelType w:val="hybridMultilevel"/>
    <w:tmpl w:val="116e9"/>
    <w:lvl w:ilvl="0" w:tplc="116ea">
      <w:lvlJc w:val="left"/>
      <w:lvlText w:val="%1"/>
      <w:numFmt w:val="decimal"/>
      <w:start w:val="2017"/>
      <w:suff w:val="tab"/>
      <w:pPr>
        <w:autoSpaceDE w:val="0"/>
        <w:autoSpaceDN w:val="0"/>
        <w:ind w:left="966" w:firstLine="420"/>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2">
    <w:nsid w:val="1d4"/>
    <w:multiLevelType w:val="hybridMultilevel"/>
    <w:tmpl w:val="116eb"/>
    <w:lvl w:ilvl="0" w:tplc="116ec">
      <w:lvlJc w:val="left"/>
      <w:lvlText w:val="%1"/>
      <w:numFmt w:val="decimalZero"/>
      <w:start w:val="2017"/>
      <w:suff w:val="tab"/>
      <w:pPr>
        <w:autoSpaceDE w:val="0"/>
        <w:autoSpaceDN w:val="0"/>
        <w:ind w:left="1863" w:hanging="478"/>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3">
    <w:nsid w:val="1d8"/>
    <w:multiLevelType w:val="hybridMultilevel"/>
    <w:tmpl w:val="116ed"/>
    <w:lvl w:ilvl="0" w:tplc="116ee">
      <w:lvlJc w:val="left"/>
      <w:lvlText w:val="%1"/>
      <w:numFmt w:val="decimalZero"/>
      <w:start w:val="2016"/>
      <w:suff w:val="tab"/>
      <w:pPr>
        <w:autoSpaceDE w:val="0"/>
        <w:autoSpaceDN w:val="0"/>
        <w:ind w:left="1375" w:hanging="338"/>
        <w:tabs>
          <w:tab w:val="left" w:leader="none" w:pos="137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4">
    <w:nsid w:val="1da"/>
    <w:multiLevelType w:val="hybridMultilevel"/>
    <w:tmpl w:val="116ef"/>
    <w:lvl w:ilvl="0" w:tplc="116f0">
      <w:lvlJc w:val="left"/>
      <w:lvlText w:val="%1"/>
      <w:numFmt w:val="decimalZero"/>
      <w:start w:val="35"/>
      <w:suff w:val="tab"/>
      <w:pPr>
        <w:autoSpaceDE w:val="0"/>
        <w:autoSpaceDN w:val="0"/>
        <w:ind w:left="402" w:hanging="188"/>
        <w:tabs>
          <w:tab w:val="left" w:leader="none" w:pos="40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5">
    <w:nsid w:val="1de"/>
    <w:multiLevelType w:val="hybridMultilevel"/>
    <w:tmpl w:val="116f1"/>
    <w:lvl w:ilvl="0" w:tplc="116f2">
      <w:lvlJc w:val="left"/>
      <w:lvlText w:val="%1"/>
      <w:numFmt w:val="decimalZero"/>
      <w:start w:val="26"/>
      <w:suff w:val="tab"/>
      <w:pPr>
        <w:autoSpaceDE w:val="0"/>
        <w:autoSpaceDN w:val="0"/>
        <w:ind w:left="402" w:hanging="188"/>
        <w:tabs>
          <w:tab w:val="left" w:leader="none" w:pos="40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6">
    <w:nsid w:val="1e1"/>
    <w:multiLevelType w:val="hybridMultilevel"/>
    <w:tmpl w:val="116f3"/>
    <w:lvl w:ilvl="0" w:tplc="116f4">
      <w:lvlJc w:val="left"/>
      <w:lvlText w:val="%1"/>
      <w:numFmt w:val="decimal"/>
      <w:start w:val="9"/>
      <w:suff w:val="tab"/>
      <w:pPr>
        <w:autoSpaceDE w:val="0"/>
        <w:autoSpaceDN w:val="0"/>
        <w:ind w:left="365" w:hanging="113"/>
        <w:tabs>
          <w:tab w:val="left" w:leader="none" w:pos="36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7">
    <w:nsid w:val="1e5"/>
    <w:multiLevelType w:val="hybridMultilevel"/>
    <w:tmpl w:val="116f5"/>
    <w:lvl w:ilvl="0" w:tplc="116f6">
      <w:lvlJc w:val="left"/>
      <w:lvlText w:val="%1"/>
      <w:numFmt w:val="decimalZero"/>
      <w:start w:val="12"/>
      <w:suff w:val="tab"/>
      <w:pPr>
        <w:autoSpaceDE w:val="0"/>
        <w:autoSpaceDN w:val="0"/>
        <w:ind w:left="402" w:hanging="188"/>
        <w:tabs>
          <w:tab w:val="left" w:leader="none" w:pos="40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8">
    <w:nsid w:val="1fc"/>
    <w:multiLevelType w:val="hybridMultilevel"/>
    <w:tmpl w:val="116f7"/>
    <w:lvl w:ilvl="0" w:tplc="116f8">
      <w:lvlJc w:val="left"/>
      <w:lvlText w:val="%1"/>
      <w:numFmt w:val="decimal"/>
      <w:start w:val="2017"/>
      <w:suff w:val="tab"/>
      <w:pPr>
        <w:autoSpaceDE w:val="0"/>
        <w:autoSpaceDN w:val="0"/>
        <w:ind w:left="1873" w:hanging="472"/>
        <w:tabs>
          <w:tab w:val="left" w:leader="none" w:pos="18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69">
    <w:nsid w:val="201"/>
    <w:multiLevelType w:val="hybridMultilevel"/>
    <w:tmpl w:val="116f9"/>
    <w:lvl w:ilvl="0" w:tplc="116fa">
      <w:lvlJc w:val="left"/>
      <w:lvlText w:val="%1"/>
      <w:numFmt w:val="decimalZero"/>
      <w:start w:val="2016"/>
      <w:suff w:val="tab"/>
      <w:pPr>
        <w:autoSpaceDE w:val="0"/>
        <w:autoSpaceDN w:val="0"/>
        <w:ind w:left="1367" w:hanging="320"/>
        <w:tabs>
          <w:tab w:val="left" w:leader="none" w:pos="136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0">
    <w:nsid w:val="205"/>
    <w:multiLevelType w:val="hybridMultilevel"/>
    <w:tmpl w:val="116fb"/>
    <w:lvl w:ilvl="0" w:tplc="116fc">
      <w:lvlJc w:val="left"/>
      <w:lvlText w:val="%1"/>
      <w:numFmt w:val="decimalZero"/>
      <w:start w:val="13"/>
      <w:suff w:val="tab"/>
      <w:pPr>
        <w:autoSpaceDE w:val="0"/>
        <w:autoSpaceDN w:val="0"/>
        <w:ind w:left="439" w:hanging="188"/>
        <w:tabs>
          <w:tab w:val="left" w:leader="none" w:pos="43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1">
    <w:nsid w:val="215"/>
    <w:multiLevelType w:val="hybridMultilevel"/>
    <w:tmpl w:val="116fd"/>
    <w:lvl w:ilvl="0" w:tplc="116fe">
      <w:lvlJc w:val="left"/>
      <w:lvlText w:val="%1"/>
      <w:numFmt w:val="decimalZero"/>
      <w:start w:val="19"/>
      <w:suff w:val="tab"/>
      <w:pPr>
        <w:autoSpaceDE w:val="0"/>
        <w:autoSpaceDN w:val="0"/>
        <w:ind w:left="439" w:hanging="188"/>
        <w:tabs>
          <w:tab w:val="left" w:leader="none" w:pos="43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2">
    <w:nsid w:val="21b"/>
    <w:multiLevelType w:val="hybridMultilevel"/>
    <w:tmpl w:val="116ff"/>
    <w:lvl w:ilvl="0" w:tplc="11700">
      <w:lvlJc w:val="left"/>
      <w:lvlText w:val="%1"/>
      <w:numFmt w:val="decimalZero"/>
      <w:start w:val="2016"/>
      <w:suff w:val="tab"/>
      <w:pPr>
        <w:autoSpaceDE w:val="0"/>
        <w:autoSpaceDN w:val="0"/>
        <w:ind w:left="1367" w:hanging="320"/>
        <w:tabs>
          <w:tab w:val="left" w:leader="none" w:pos="136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3">
    <w:nsid w:val="223"/>
    <w:multiLevelType w:val="multilevel"/>
    <w:tmpl w:val="11701"/>
    <w:lvl w:ilvl="0">
      <w:lvlJc w:val="left"/>
      <w:lvlText w:val="%1"/>
      <w:numFmt w:val="decimal"/>
      <w:start w:val="20"/>
      <w:suff w:val="tab"/>
      <w:pPr>
        <w:autoSpaceDE w:val="0"/>
        <w:autoSpaceDN w:val="0"/>
        <w:ind w:left="439" w:hanging="188"/>
        <w:tabs>
          <w:tab w:val="left" w:leader="none" w:pos="439"/>
        </w:tabs>
      </w:pPr>
    </w:lvl>
    <w:lvl w:ilvl="1">
      <w:lvlJc w:val="left"/>
      <w:lvlText w:val="%1.%2"/>
      <w:numFmt w:val="decimal"/>
      <w:start w:val="66"/>
      <w:suff w:val="tab"/>
      <w:pPr>
        <w:autoSpaceDE w:val="0"/>
        <w:autoSpaceDN w:val="0"/>
        <w:ind w:left="420" w:hanging="84"/>
        <w:tabs>
          <w:tab w:val="left" w:leader="none" w:pos="420"/>
        </w:tabs>
      </w:pPr>
    </w:lvl>
    <w:lvl w:ilvl="2">
      <w:lvlJc w:val="left"/>
      <w:lvlText w:val="%1.%2.%3"/>
      <w:numFmt w:val="decimal"/>
      <w:start w:val="1"/>
      <w:suff w:val="tab"/>
      <w:pPr>
        <w:autoSpaceDE w:val="0"/>
        <w:autoSpaceDN w:val="0"/>
        <w:ind w:left="420" w:hanging="84"/>
      </w:pPr>
    </w:lvl>
    <w:lvl w:ilvl="3">
      <w:lvlJc w:val="left"/>
      <w:lvlText w:val="%1.%2.%3.%4"/>
      <w:numFmt w:val="decimal"/>
      <w:start w:val="1"/>
      <w:suff w:val="tab"/>
      <w:pPr>
        <w:autoSpaceDE w:val="0"/>
        <w:autoSpaceDN w:val="0"/>
        <w:ind w:left="420" w:hanging="84"/>
      </w:pPr>
    </w:lvl>
    <w:lvl w:ilvl="4">
      <w:lvlJc w:val="left"/>
      <w:lvlText w:val="%1.%2.%3.%4.%5"/>
      <w:numFmt w:val="decimal"/>
      <w:start w:val="1"/>
      <w:suff w:val="tab"/>
      <w:pPr>
        <w:autoSpaceDE w:val="0"/>
        <w:autoSpaceDN w:val="0"/>
        <w:ind w:left="420" w:hanging="84"/>
      </w:pPr>
    </w:lvl>
    <w:lvl w:ilvl="5">
      <w:lvlJc w:val="left"/>
      <w:lvlText w:val="%1.%2.%3.%4.%5.%6"/>
      <w:numFmt w:val="decimal"/>
      <w:start w:val="1"/>
      <w:suff w:val="tab"/>
      <w:pPr>
        <w:autoSpaceDE w:val="0"/>
        <w:autoSpaceDN w:val="0"/>
        <w:ind w:left="420" w:hanging="84"/>
      </w:pPr>
    </w:lvl>
    <w:lvl w:ilvl="6">
      <w:lvlJc w:val="left"/>
      <w:lvlText w:val="%1.%2.%3.%4.%5.%6.%7"/>
      <w:numFmt w:val="decimal"/>
      <w:start w:val="1"/>
      <w:suff w:val="tab"/>
      <w:pPr>
        <w:autoSpaceDE w:val="0"/>
        <w:autoSpaceDN w:val="0"/>
        <w:ind w:left="420" w:hanging="84"/>
      </w:pPr>
    </w:lvl>
    <w:lvl w:ilvl="7">
      <w:lvlJc w:val="left"/>
      <w:lvlText w:val="%1.%2.%3.%4.%5.%6.%7.%8"/>
      <w:numFmt w:val="decimal"/>
      <w:start w:val="1"/>
      <w:suff w:val="tab"/>
      <w:pPr>
        <w:autoSpaceDE w:val="0"/>
        <w:autoSpaceDN w:val="0"/>
        <w:ind w:left="420" w:hanging="84"/>
      </w:pPr>
    </w:lvl>
    <w:lvl w:ilvl="8">
      <w:lvlJc w:val="left"/>
      <w:lvlText w:val="%1.%2.%3.%4.%5.%6.%7.%8.%9"/>
      <w:numFmt w:val="decimal"/>
      <w:start w:val="1"/>
      <w:suff w:val="tab"/>
      <w:pPr>
        <w:autoSpaceDE w:val="0"/>
        <w:autoSpaceDN w:val="0"/>
        <w:ind w:left="420" w:hanging="84"/>
      </w:pPr>
    </w:lvl>
  </w:abstractNum>
  <w:abstractNum w:abstractNumId="74">
    <w:nsid w:val="257"/>
    <w:multiLevelType w:val="hybridMultilevel"/>
    <w:tmpl w:val="1170b"/>
    <w:lvl w:ilvl="0" w:tplc="1170c">
      <w:lvlJc w:val="left"/>
      <w:lvlText w:val="%1"/>
      <w:numFmt w:val="decimal"/>
      <w:start w:val="2"/>
      <w:suff w:val="tab"/>
      <w:pPr>
        <w:autoSpaceDE w:val="0"/>
        <w:autoSpaceDN w:val="0"/>
        <w:ind w:left="365" w:hanging="113"/>
        <w:tabs>
          <w:tab w:val="left" w:leader="none" w:pos="36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5">
    <w:nsid w:val="262"/>
    <w:multiLevelType w:val="hybridMultilevel"/>
    <w:tmpl w:val="1170d"/>
    <w:lvl w:ilvl="0" w:tplc="1170e">
      <w:lvlJc w:val="left"/>
      <w:lvlText w:val="%1"/>
      <w:numFmt w:val="decimal"/>
      <w:start w:val="2017"/>
      <w:suff w:val="tab"/>
      <w:pPr>
        <w:autoSpaceDE w:val="0"/>
        <w:autoSpaceDN w:val="0"/>
        <w:ind w:left="966" w:firstLine="420"/>
        <w:tabs>
          <w:tab w:val="left" w:leader="none" w:pos="186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6">
    <w:nsid w:val="264"/>
    <w:multiLevelType w:val="hybridMultilevel"/>
    <w:tmpl w:val="1170f"/>
    <w:lvl w:ilvl="0" w:tplc="11710">
      <w:lvlJc w:val="left"/>
      <w:lvlText w:val="%1"/>
      <w:numFmt w:val="decimal"/>
      <w:start w:val="2017"/>
      <w:suff w:val="tab"/>
      <w:pPr>
        <w:autoSpaceDE w:val="0"/>
        <w:autoSpaceDN w:val="0"/>
        <w:ind w:left="966" w:firstLine="420"/>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7">
    <w:nsid w:val="266"/>
    <w:multiLevelType w:val="hybridMultilevel"/>
    <w:tmpl w:val="11711"/>
    <w:lvl w:ilvl="0" w:tplc="11712">
      <w:lvlJc w:val="left"/>
      <w:lvlText w:val="%1"/>
      <w:numFmt w:val="decimal"/>
      <w:start w:val="2017"/>
      <w:suff w:val="tab"/>
      <w:pPr>
        <w:autoSpaceDE w:val="0"/>
        <w:autoSpaceDN w:val="0"/>
        <w:ind w:left="966" w:firstLine="420"/>
        <w:tabs>
          <w:tab w:val="left" w:leader="none" w:pos="186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8">
    <w:nsid w:val="268"/>
    <w:multiLevelType w:val="hybridMultilevel"/>
    <w:tmpl w:val="11713"/>
    <w:lvl w:ilvl="0" w:tplc="11714">
      <w:lvlJc w:val="left"/>
      <w:lvlText w:val="%1"/>
      <w:numFmt w:val="decimal"/>
      <w:start w:val="2017"/>
      <w:suff w:val="tab"/>
      <w:pPr>
        <w:autoSpaceDE w:val="0"/>
        <w:autoSpaceDN w:val="0"/>
        <w:ind w:left="966" w:firstLine="420"/>
        <w:tabs>
          <w:tab w:val="left" w:leader="none" w:pos="184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79">
    <w:nsid w:val="26a"/>
    <w:multiLevelType w:val="hybridMultilevel"/>
    <w:tmpl w:val="11715"/>
    <w:lvl w:ilvl="0" w:tplc="11716">
      <w:lvlJc w:val="left"/>
      <w:lvlText w:val="%1"/>
      <w:numFmt w:val="decimal"/>
      <w:start w:val="2017"/>
      <w:suff w:val="tab"/>
      <w:pPr>
        <w:autoSpaceDE w:val="0"/>
        <w:autoSpaceDN w:val="0"/>
        <w:ind w:left="966" w:firstLine="420"/>
        <w:tabs>
          <w:tab w:val="left" w:leader="none" w:pos="186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0">
    <w:nsid w:val="26e"/>
    <w:multiLevelType w:val="hybridMultilevel"/>
    <w:tmpl w:val="11717"/>
    <w:lvl w:ilvl="0" w:tplc="11718">
      <w:lvlJc w:val="center"/>
      <w:lvlText w:val="%1"/>
      <w:numFmt w:val="decimal"/>
      <w:start w:val="2017"/>
      <w:suff w:val="tab"/>
      <w:pPr>
        <w:autoSpaceDE w:val="0"/>
        <w:autoSpaceDN w:val="0"/>
        <w:ind w:left="0" w:firstLine="657"/>
        <w:tabs>
          <w:tab w:val="left" w:leader="none" w:pos="89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1">
    <w:nsid w:val="271"/>
    <w:multiLevelType w:val="hybridMultilevel"/>
    <w:tmpl w:val="11719"/>
    <w:lvl w:ilvl="0" w:tplc="1171a">
      <w:lvlJc w:val="center"/>
      <w:lvlText w:val="%1"/>
      <w:numFmt w:val="decimal"/>
      <w:start w:val="2017"/>
      <w:suff w:val="tab"/>
      <w:pPr>
        <w:autoSpaceDE w:val="0"/>
        <w:autoSpaceDN w:val="0"/>
        <w:ind w:left="894" w:hanging="237"/>
        <w:tabs>
          <w:tab w:val="left" w:leader="none" w:pos="89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2">
    <w:nsid w:val="275"/>
    <w:multiLevelType w:val="hybridMultilevel"/>
    <w:tmpl w:val="1171b"/>
    <w:lvl w:ilvl="0" w:tplc="1171c">
      <w:lvlJc w:val="left"/>
      <w:lvlText w:val="%1"/>
      <w:numFmt w:val="decimal"/>
      <w:start w:val="2017"/>
      <w:suff w:val="tab"/>
      <w:pPr>
        <w:autoSpaceDE w:val="0"/>
        <w:autoSpaceDN w:val="0"/>
        <w:ind w:left="966" w:firstLine="420"/>
        <w:tabs>
          <w:tab w:val="left" w:leader="none" w:pos="184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3">
    <w:nsid w:val="277"/>
    <w:multiLevelType w:val="hybridMultilevel"/>
    <w:tmpl w:val="1171d"/>
    <w:lvl w:ilvl="0" w:tplc="1171e">
      <w:lvlJc w:val="left"/>
      <w:lvlText w:val="%1"/>
      <w:numFmt w:val="decimal"/>
      <w:start w:val="2017"/>
      <w:suff w:val="tab"/>
      <w:pPr>
        <w:autoSpaceDE w:val="0"/>
        <w:autoSpaceDN w:val="0"/>
        <w:ind w:left="966" w:firstLine="420"/>
        <w:tabs>
          <w:tab w:val="left" w:leader="none" w:pos="186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4">
    <w:nsid w:val="27c"/>
    <w:multiLevelType w:val="hybridMultilevel"/>
    <w:tmpl w:val="1171f"/>
    <w:lvl w:ilvl="0" w:tplc="11720">
      <w:lvlJc w:val="left"/>
      <w:lvlText w:val="%1"/>
      <w:numFmt w:val="decimalZero"/>
      <w:start w:val="2017"/>
      <w:suff w:val="tab"/>
      <w:pPr>
        <w:autoSpaceDE w:val="0"/>
        <w:autoSpaceDN w:val="0"/>
        <w:ind w:left="966" w:firstLine="420"/>
        <w:tabs>
          <w:tab w:val="left" w:leader="none" w:pos="186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5">
    <w:nsid w:val="27d"/>
    <w:multiLevelType w:val="hybridMultilevel"/>
    <w:tmpl w:val="11721"/>
    <w:lvl w:ilvl="0" w:tplc="11722">
      <w:lvlJc w:val="left"/>
      <w:lvlText w:val="%1"/>
      <w:numFmt w:val="decimal"/>
      <w:start w:val="2017"/>
      <w:suff w:val="tab"/>
      <w:pPr>
        <w:autoSpaceDE w:val="0"/>
        <w:autoSpaceDN w:val="0"/>
        <w:ind w:left="1860" w:hanging="474"/>
        <w:tabs>
          <w:tab w:val="left" w:leader="none" w:pos="186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6">
    <w:nsid w:val="280"/>
    <w:multiLevelType w:val="hybridMultilevel"/>
    <w:tmpl w:val="11723"/>
    <w:lvl w:ilvl="0" w:tplc="11724">
      <w:lvlJc w:val="left"/>
      <w:lvlText w:val="%1"/>
      <w:numFmt w:val="decimalZero"/>
      <w:start w:val="2017"/>
      <w:suff w:val="tab"/>
      <w:pPr>
        <w:autoSpaceDE w:val="0"/>
        <w:autoSpaceDN w:val="0"/>
        <w:ind w:left="966" w:firstLine="420"/>
        <w:tabs>
          <w:tab w:val="left" w:leader="none" w:pos="185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7">
    <w:nsid w:val="284"/>
    <w:multiLevelType w:val="hybridMultilevel"/>
    <w:tmpl w:val="11725"/>
    <w:lvl w:ilvl="0" w:tplc="11726">
      <w:lvlJc w:val="left"/>
      <w:lvlText w:val="%1"/>
      <w:numFmt w:val="decimalZero"/>
      <w:start w:val="2016"/>
      <w:suff w:val="tab"/>
      <w:pPr>
        <w:autoSpaceDE w:val="0"/>
        <w:autoSpaceDN w:val="0"/>
        <w:ind w:left="1376" w:hanging="338"/>
        <w:tabs>
          <w:tab w:val="left" w:leader="none" w:pos="13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8">
    <w:nsid w:val="287"/>
    <w:multiLevelType w:val="hybridMultilevel"/>
    <w:tmpl w:val="11727"/>
    <w:lvl w:ilvl="0" w:tplc="11728">
      <w:lvlJc w:val="left"/>
      <w:lvlText w:val="%1"/>
      <w:numFmt w:val="decimal"/>
      <w:start w:val="9"/>
      <w:suff w:val="tab"/>
      <w:pPr>
        <w:autoSpaceDE w:val="0"/>
        <w:autoSpaceDN w:val="0"/>
        <w:ind w:left="438" w:hanging="113"/>
        <w:tabs>
          <w:tab w:val="left" w:leader="none" w:pos="43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89">
    <w:nsid w:val="28e"/>
    <w:multiLevelType w:val="hybridMultilevel"/>
    <w:tmpl w:val="11729"/>
    <w:lvl w:ilvl="0" w:tplc="1172a">
      <w:lvlJc w:val="left"/>
      <w:lvlText w:val="%1"/>
      <w:numFmt w:val="decimal"/>
      <w:start w:val="9"/>
      <w:suff w:val="tab"/>
      <w:pPr>
        <w:autoSpaceDE w:val="0"/>
        <w:autoSpaceDN w:val="0"/>
        <w:ind w:left="438" w:hanging="113"/>
        <w:tabs>
          <w:tab w:val="left" w:leader="none" w:pos="43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0">
    <w:nsid w:val="299"/>
    <w:multiLevelType w:val="hybridMultilevel"/>
    <w:tmpl w:val="1172b"/>
    <w:lvl w:ilvl="0" w:tplc="1172c">
      <w:lvlJc w:val="left"/>
      <w:lvlText w:val="%1"/>
      <w:numFmt w:val="decimal"/>
      <w:start w:val="8"/>
      <w:suff w:val="tab"/>
      <w:pPr>
        <w:autoSpaceDE w:val="0"/>
        <w:autoSpaceDN w:val="0"/>
        <w:ind w:left="410" w:hanging="113"/>
        <w:tabs>
          <w:tab w:val="left" w:leader="none" w:pos="4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1">
    <w:nsid w:val="29d"/>
    <w:multiLevelType w:val="hybridMultilevel"/>
    <w:tmpl w:val="1172d"/>
    <w:lvl w:ilvl="0" w:tplc="1172e">
      <w:lvlJc w:val="left"/>
      <w:lvlText w:val="%1"/>
      <w:numFmt w:val="decimal"/>
      <w:start w:val="8"/>
      <w:suff w:val="tab"/>
      <w:pPr>
        <w:autoSpaceDE w:val="0"/>
        <w:autoSpaceDN w:val="0"/>
        <w:ind w:left="438" w:hanging="113"/>
        <w:tabs>
          <w:tab w:val="left" w:leader="none" w:pos="43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2">
    <w:nsid w:val="2a1"/>
    <w:multiLevelType w:val="hybridMultilevel"/>
    <w:tmpl w:val="1172f"/>
    <w:lvl w:ilvl="0" w:tplc="11730">
      <w:lvlJc w:val="left"/>
      <w:lvlText w:val="%1"/>
      <w:numFmt w:val="decimal"/>
      <w:start w:val="7"/>
      <w:suff w:val="tab"/>
      <w:pPr>
        <w:autoSpaceDE w:val="0"/>
        <w:autoSpaceDN w:val="0"/>
        <w:ind w:left="410" w:hanging="113"/>
        <w:tabs>
          <w:tab w:val="left" w:leader="none" w:pos="4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3">
    <w:nsid w:val="2c9"/>
    <w:multiLevelType w:val="hybridMultilevel"/>
    <w:tmpl w:val="11731"/>
    <w:lvl w:ilvl="0" w:tplc="11732">
      <w:lvlJc w:val="left"/>
      <w:lvlText w:val="%1"/>
      <w:numFmt w:val="decimal"/>
      <w:start w:val="6"/>
      <w:suff w:val="tab"/>
      <w:pPr>
        <w:autoSpaceDE w:val="0"/>
        <w:autoSpaceDN w:val="0"/>
        <w:ind w:left="438" w:hanging="113"/>
        <w:tabs>
          <w:tab w:val="left" w:leader="none" w:pos="43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4">
    <w:nsid w:val="2cd"/>
    <w:multiLevelType w:val="hybridMultilevel"/>
    <w:tmpl w:val="11733"/>
    <w:lvl w:ilvl="0" w:tplc="11734">
      <w:lvlJc w:val="left"/>
      <w:lvlText w:val="%1"/>
      <w:numFmt w:val="decimal"/>
      <w:start w:val="6"/>
      <w:suff w:val="tab"/>
      <w:pPr>
        <w:autoSpaceDE w:val="0"/>
        <w:autoSpaceDN w:val="0"/>
        <w:ind w:left="438" w:hanging="113"/>
        <w:tabs>
          <w:tab w:val="left" w:leader="none" w:pos="43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5">
    <w:nsid w:val="2db"/>
    <w:multiLevelType w:val="hybridMultilevel"/>
    <w:tmpl w:val="11735"/>
    <w:lvl w:ilvl="0" w:tplc="11736">
      <w:lvlJc w:val="left"/>
      <w:lvlText w:val="%1"/>
      <w:numFmt w:val="decimalZero"/>
      <w:start w:val="2017"/>
      <w:suff w:val="tab"/>
      <w:pPr>
        <w:autoSpaceDE w:val="0"/>
        <w:autoSpaceDN w:val="0"/>
        <w:ind w:left="966" w:firstLine="420"/>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6">
    <w:nsid w:val="2de"/>
    <w:multiLevelType w:val="hybridMultilevel"/>
    <w:tmpl w:val="11737"/>
    <w:lvl w:ilvl="0" w:tplc="11738">
      <w:lvlJc w:val="left"/>
      <w:lvlText w:val="%1"/>
      <w:numFmt w:val="decimal"/>
      <w:start w:val="2017"/>
      <w:suff w:val="tab"/>
      <w:pPr>
        <w:autoSpaceDE w:val="0"/>
        <w:autoSpaceDN w:val="0"/>
        <w:ind w:left="966" w:firstLine="420"/>
        <w:tabs>
          <w:tab w:val="left" w:leader="none" w:pos="186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7">
    <w:nsid w:val="2e1"/>
    <w:multiLevelType w:val="hybridMultilevel"/>
    <w:tmpl w:val="11739"/>
    <w:lvl w:ilvl="0" w:tplc="1173a">
      <w:lvlJc w:val="left"/>
      <w:lvlText w:val="%1"/>
      <w:numFmt w:val="decimalZero"/>
      <w:start w:val="2017"/>
      <w:suff w:val="tab"/>
      <w:pPr>
        <w:autoSpaceDE w:val="0"/>
        <w:autoSpaceDN w:val="0"/>
        <w:ind w:left="1836" w:hanging="450"/>
        <w:tabs>
          <w:tab w:val="left" w:leader="none" w:pos="183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8">
    <w:nsid w:val="2e4"/>
    <w:multiLevelType w:val="hybridMultilevel"/>
    <w:tmpl w:val="1173b"/>
    <w:lvl w:ilvl="0" w:tplc="1173c">
      <w:lvlJc w:val="left"/>
      <w:lvlText w:val="%1"/>
      <w:numFmt w:val="decimal"/>
      <w:start w:val="2017"/>
      <w:suff w:val="tab"/>
      <w:pPr>
        <w:autoSpaceDE w:val="0"/>
        <w:autoSpaceDN w:val="0"/>
        <w:ind w:left="966" w:firstLine="408"/>
        <w:tabs>
          <w:tab w:val="left" w:leader="none" w:pos="183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99">
    <w:nsid w:val="2e8"/>
    <w:multiLevelType w:val="hybridMultilevel"/>
    <w:tmpl w:val="1173d"/>
    <w:lvl w:ilvl="0" w:tplc="1173e">
      <w:lvlJc w:val="left"/>
      <w:lvlText w:val="%1"/>
      <w:numFmt w:val="decimal"/>
      <w:start w:val="2017"/>
      <w:suff w:val="tab"/>
      <w:pPr>
        <w:autoSpaceDE w:val="0"/>
        <w:autoSpaceDN w:val="0"/>
        <w:ind w:left="966"/>
        <w:tabs>
          <w:tab w:val="left" w:leader="none" w:pos="144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0">
    <w:nsid w:val="2ed"/>
    <w:multiLevelType w:val="hybridMultilevel"/>
    <w:tmpl w:val="1173f"/>
    <w:lvl w:ilvl="0" w:tplc="11740">
      <w:lvlJc w:val="left"/>
      <w:lvlText w:val="%1"/>
      <w:numFmt w:val="decimalZero"/>
      <w:start w:val="2016"/>
      <w:suff w:val="tab"/>
      <w:pPr>
        <w:autoSpaceDE w:val="0"/>
        <w:autoSpaceDN w:val="0"/>
        <w:ind w:left="1376" w:hanging="338"/>
        <w:tabs>
          <w:tab w:val="left" w:leader="none" w:pos="13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1">
    <w:nsid w:val="2f0"/>
    <w:multiLevelType w:val="hybridMultilevel"/>
    <w:tmpl w:val="11741"/>
    <w:lvl w:ilvl="0" w:tplc="11742">
      <w:lvlJc w:val="left"/>
      <w:lvlText w:val="%1"/>
      <w:numFmt w:val="decimal"/>
      <w:start w:val="9"/>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2">
    <w:nsid w:val="2ff"/>
    <w:multiLevelType w:val="hybridMultilevel"/>
    <w:tmpl w:val="11743"/>
    <w:lvl w:ilvl="0" w:tplc="11744">
      <w:lvlJc w:val="left"/>
      <w:lvlText w:val="%1"/>
      <w:numFmt w:val="decimal"/>
      <w:start w:val="6"/>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3">
    <w:nsid w:val="2eb"/>
    <w:multiLevelType w:val="hybridMultilevel"/>
    <w:tmpl w:val="11745"/>
    <w:lvl w:ilvl="0" w:tplc="11746">
      <w:lvlJc w:val="left"/>
      <w:lvlText w:val="%1"/>
      <w:numFmt w:val="decimalZero"/>
      <w:start w:val="2017"/>
      <w:suff w:val="tab"/>
      <w:pPr>
        <w:autoSpaceDE w:val="0"/>
        <w:autoSpaceDN w:val="0"/>
        <w:ind w:left="1858" w:hanging="473"/>
        <w:tabs>
          <w:tab w:val="left" w:leader="none" w:pos="185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4">
    <w:nsid w:val="317"/>
    <w:multiLevelType w:val="hybridMultilevel"/>
    <w:tmpl w:val="11747"/>
    <w:lvl w:ilvl="0" w:tplc="11748">
      <w:lvlJc w:val="left"/>
      <w:lvlText w:val="%1"/>
      <w:numFmt w:val="decimal"/>
      <w:start w:val="2017"/>
      <w:suff w:val="tab"/>
      <w:pPr>
        <w:autoSpaceDE w:val="0"/>
        <w:autoSpaceDN w:val="0"/>
        <w:ind w:left="1858" w:hanging="473"/>
        <w:tabs>
          <w:tab w:val="left" w:leader="none" w:pos="185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5">
    <w:nsid w:val="31a"/>
    <w:multiLevelType w:val="hybridMultilevel"/>
    <w:tmpl w:val="11749"/>
    <w:lvl w:ilvl="0" w:tplc="1174a">
      <w:lvlJc w:val="left"/>
      <w:lvlText w:val="%1"/>
      <w:numFmt w:val="decimalZero"/>
      <w:start w:val="2017"/>
      <w:suff w:val="tab"/>
      <w:pPr>
        <w:autoSpaceDE w:val="0"/>
        <w:autoSpaceDN w:val="0"/>
        <w:ind w:left="1863" w:hanging="478"/>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6">
    <w:nsid w:val="31e"/>
    <w:multiLevelType w:val="hybridMultilevel"/>
    <w:tmpl w:val="1174b"/>
    <w:lvl w:ilvl="0" w:tplc="1174c">
      <w:lvlJc w:val="left"/>
      <w:lvlText w:val="%1"/>
      <w:numFmt w:val="decimalZero"/>
      <w:start w:val="2017"/>
      <w:suff w:val="tab"/>
      <w:pPr>
        <w:autoSpaceDE w:val="0"/>
        <w:autoSpaceDN w:val="0"/>
        <w:ind w:left="1861" w:hanging="475"/>
        <w:tabs>
          <w:tab w:val="left" w:leader="none" w:pos="186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7">
    <w:nsid w:val="31f"/>
    <w:multiLevelType w:val="multilevel"/>
    <w:tmpl w:val="1174d"/>
    <w:lvl w:ilvl="0">
      <w:lvlJc w:val="left"/>
      <w:lvlText w:val="%1."/>
      <w:numFmt w:val="decimal"/>
      <w:start w:val="17"/>
      <w:suff w:val="tab"/>
      <w:pPr>
        <w:autoSpaceDE w:val="0"/>
        <w:autoSpaceDN w:val="0"/>
        <w:ind w:left="787" w:hanging="367"/>
        <w:tabs>
          <w:tab w:val="left" w:leader="none" w:pos="787"/>
        </w:tabs>
      </w:pPr>
      <w:rPr>
        <w:b w:val="1"/>
        <w:i w:val="0"/>
      </w:rPr>
    </w:lvl>
    <w:lvl w:ilvl="1">
      <w:lvlJc w:val="left"/>
      <w:lvlText w:val="%1.%2"/>
      <w:numFmt w:val="decimal"/>
      <w:start w:val="0"/>
      <w:suff w:val="nothing"/>
      <w:pPr>
        <w:autoSpaceDE w:val="0"/>
        <w:autoSpaceDN w:val="0"/>
        <w:ind w:left="420" w:firstLine="546"/>
      </w:pPr>
    </w:lvl>
    <w:lvl w:ilvl="2">
      <w:lvlJc w:val="left"/>
      <w:lvlText w:val="%1.%2.%3"/>
      <w:numFmt w:val="decimal"/>
      <w:start w:val="1"/>
      <w:suff w:val="tab"/>
      <w:pPr>
        <w:autoSpaceDE w:val="0"/>
        <w:autoSpaceDN w:val="0"/>
        <w:ind w:left="420" w:firstLine="546"/>
      </w:pPr>
    </w:lvl>
    <w:lvl w:ilvl="3">
      <w:lvlJc w:val="left"/>
      <w:lvlText w:val="%1.%2.%3.%4"/>
      <w:numFmt w:val="decimal"/>
      <w:start w:val="1"/>
      <w:suff w:val="tab"/>
      <w:pPr>
        <w:autoSpaceDE w:val="0"/>
        <w:autoSpaceDN w:val="0"/>
        <w:ind w:left="420" w:firstLine="546"/>
      </w:pPr>
    </w:lvl>
    <w:lvl w:ilvl="4">
      <w:lvlJc w:val="left"/>
      <w:lvlText w:val="%1.%2.%3.%4.%5"/>
      <w:numFmt w:val="decimal"/>
      <w:start w:val="1"/>
      <w:suff w:val="tab"/>
      <w:pPr>
        <w:autoSpaceDE w:val="0"/>
        <w:autoSpaceDN w:val="0"/>
        <w:ind w:left="420" w:firstLine="546"/>
      </w:pPr>
    </w:lvl>
    <w:lvl w:ilvl="5">
      <w:lvlJc w:val="left"/>
      <w:lvlText w:val="%1.%2.%3.%4.%5.%6"/>
      <w:numFmt w:val="decimal"/>
      <w:start w:val="1"/>
      <w:suff w:val="tab"/>
      <w:pPr>
        <w:autoSpaceDE w:val="0"/>
        <w:autoSpaceDN w:val="0"/>
        <w:ind w:left="420" w:firstLine="546"/>
      </w:pPr>
    </w:lvl>
    <w:lvl w:ilvl="6">
      <w:lvlJc w:val="left"/>
      <w:lvlText w:val="%1.%2.%3.%4.%5.%6.%7"/>
      <w:numFmt w:val="decimal"/>
      <w:start w:val="1"/>
      <w:suff w:val="tab"/>
      <w:pPr>
        <w:autoSpaceDE w:val="0"/>
        <w:autoSpaceDN w:val="0"/>
        <w:ind w:left="420" w:firstLine="546"/>
      </w:pPr>
    </w:lvl>
    <w:lvl w:ilvl="7">
      <w:lvlJc w:val="left"/>
      <w:lvlText w:val="%1.%2.%3.%4.%5.%6.%7.%8"/>
      <w:numFmt w:val="decimal"/>
      <w:start w:val="1"/>
      <w:suff w:val="tab"/>
      <w:pPr>
        <w:autoSpaceDE w:val="0"/>
        <w:autoSpaceDN w:val="0"/>
        <w:ind w:left="420" w:firstLine="546"/>
      </w:pPr>
    </w:lvl>
    <w:lvl w:ilvl="8">
      <w:lvlJc w:val="left"/>
      <w:lvlText w:val="%1.%2.%3.%4.%5.%6.%7.%8.%9"/>
      <w:numFmt w:val="decimal"/>
      <w:start w:val="1"/>
      <w:suff w:val="tab"/>
      <w:pPr>
        <w:autoSpaceDE w:val="0"/>
        <w:autoSpaceDN w:val="0"/>
        <w:ind w:left="420" w:firstLine="546"/>
      </w:pPr>
    </w:lvl>
  </w:abstractNum>
  <w:abstractNum w:abstractNumId="108">
    <w:nsid w:val="321"/>
    <w:multiLevelType w:val="hybridMultilevel"/>
    <w:tmpl w:val="11757"/>
    <w:lvl w:ilvl="0" w:tplc="11758">
      <w:lvlJc w:val="left"/>
      <w:lvlText w:val="%1"/>
      <w:numFmt w:val="decimalZero"/>
      <w:start w:val="2017"/>
      <w:suff w:val="tab"/>
      <w:pPr>
        <w:autoSpaceDE w:val="0"/>
        <w:autoSpaceDN w:val="0"/>
        <w:ind w:left="966" w:firstLine="420"/>
        <w:tabs>
          <w:tab w:val="left" w:leader="none" w:pos="186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09">
    <w:nsid w:val="322"/>
    <w:multiLevelType w:val="hybridMultilevel"/>
    <w:tmpl w:val="11759"/>
    <w:lvl w:ilvl="0" w:tplc="1175a">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0">
    <w:nsid w:val="32a"/>
    <w:multiLevelType w:val="hybridMultilevel"/>
    <w:tmpl w:val="1175b"/>
    <w:lvl w:ilvl="0" w:tplc="1175c">
      <w:lvlJc w:val="left"/>
      <w:lvlText w:val="%1"/>
      <w:numFmt w:val="decimalZero"/>
      <w:start w:val="2016"/>
      <w:suff w:val="tab"/>
      <w:pPr>
        <w:autoSpaceDE w:val="0"/>
        <w:autoSpaceDN w:val="0"/>
        <w:ind w:left="1376" w:hanging="338"/>
        <w:tabs>
          <w:tab w:val="left" w:leader="none" w:pos="13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1">
    <w:nsid w:val="333"/>
    <w:multiLevelType w:val="multilevel"/>
    <w:tmpl w:val="1175d"/>
    <w:lvl w:ilvl="0">
      <w:lvlJc w:val="left"/>
      <w:lvlText w:val="%1"/>
      <w:numFmt w:val="decimal"/>
      <w:start w:val="20"/>
      <w:suff w:val="tab"/>
      <w:pPr>
        <w:autoSpaceDE w:val="0"/>
        <w:autoSpaceDN w:val="0"/>
        <w:ind w:left="302" w:hanging="188"/>
        <w:tabs>
          <w:tab w:val="left" w:leader="none" w:pos="302"/>
        </w:tabs>
      </w:pPr>
    </w:lvl>
    <w:lvl w:ilvl="1">
      <w:lvlJc w:val="left"/>
      <w:lvlText w:val="%1.%2"/>
      <w:numFmt w:val="decimal"/>
      <w:start w:val="61"/>
      <w:suff w:val="tab"/>
      <w:pPr>
        <w:autoSpaceDE w:val="0"/>
        <w:autoSpaceDN w:val="0"/>
        <w:ind w:left="420" w:hanging="168"/>
        <w:tabs>
          <w:tab w:val="left" w:leader="none" w:pos="420"/>
        </w:tabs>
      </w:pPr>
    </w:lvl>
    <w:lvl w:ilvl="2">
      <w:lvlJc w:val="left"/>
      <w:lvlText w:val="%1.%2.%3"/>
      <w:numFmt w:val="decimal"/>
      <w:start w:val="1"/>
      <w:suff w:val="tab"/>
      <w:pPr>
        <w:autoSpaceDE w:val="0"/>
        <w:autoSpaceDN w:val="0"/>
        <w:ind w:left="420" w:hanging="168"/>
      </w:pPr>
    </w:lvl>
    <w:lvl w:ilvl="3">
      <w:lvlJc w:val="left"/>
      <w:lvlText w:val="%1.%2.%3.%4"/>
      <w:numFmt w:val="decimal"/>
      <w:start w:val="1"/>
      <w:suff w:val="tab"/>
      <w:pPr>
        <w:autoSpaceDE w:val="0"/>
        <w:autoSpaceDN w:val="0"/>
        <w:ind w:left="420" w:hanging="168"/>
      </w:pPr>
    </w:lvl>
    <w:lvl w:ilvl="4">
      <w:lvlJc w:val="left"/>
      <w:lvlText w:val="%1.%2.%3.%4.%5"/>
      <w:numFmt w:val="decimal"/>
      <w:start w:val="1"/>
      <w:suff w:val="tab"/>
      <w:pPr>
        <w:autoSpaceDE w:val="0"/>
        <w:autoSpaceDN w:val="0"/>
        <w:ind w:left="420" w:hanging="168"/>
      </w:pPr>
    </w:lvl>
    <w:lvl w:ilvl="5">
      <w:lvlJc w:val="left"/>
      <w:lvlText w:val="%1.%2.%3.%4.%5.%6"/>
      <w:numFmt w:val="decimal"/>
      <w:start w:val="1"/>
      <w:suff w:val="tab"/>
      <w:pPr>
        <w:autoSpaceDE w:val="0"/>
        <w:autoSpaceDN w:val="0"/>
        <w:ind w:left="420" w:hanging="168"/>
      </w:pPr>
    </w:lvl>
    <w:lvl w:ilvl="6">
      <w:lvlJc w:val="left"/>
      <w:lvlText w:val="%1.%2.%3.%4.%5.%6.%7"/>
      <w:numFmt w:val="decimal"/>
      <w:start w:val="1"/>
      <w:suff w:val="tab"/>
      <w:pPr>
        <w:autoSpaceDE w:val="0"/>
        <w:autoSpaceDN w:val="0"/>
        <w:ind w:left="420" w:hanging="168"/>
      </w:pPr>
    </w:lvl>
    <w:lvl w:ilvl="7">
      <w:lvlJc w:val="left"/>
      <w:lvlText w:val="%1.%2.%3.%4.%5.%6.%7.%8"/>
      <w:numFmt w:val="decimal"/>
      <w:start w:val="1"/>
      <w:suff w:val="tab"/>
      <w:pPr>
        <w:autoSpaceDE w:val="0"/>
        <w:autoSpaceDN w:val="0"/>
        <w:ind w:left="420" w:hanging="168"/>
      </w:pPr>
    </w:lvl>
    <w:lvl w:ilvl="8">
      <w:lvlJc w:val="left"/>
      <w:lvlText w:val="%1.%2.%3.%4.%5.%6.%7.%8.%9"/>
      <w:numFmt w:val="decimal"/>
      <w:start w:val="1"/>
      <w:suff w:val="tab"/>
      <w:pPr>
        <w:autoSpaceDE w:val="0"/>
        <w:autoSpaceDN w:val="0"/>
        <w:ind w:left="420" w:hanging="168"/>
      </w:pPr>
    </w:lvl>
  </w:abstractNum>
  <w:abstractNum w:abstractNumId="112">
    <w:nsid w:val="336"/>
    <w:multiLevelType w:val="multilevel"/>
    <w:tmpl w:val="11767"/>
    <w:lvl w:ilvl="0">
      <w:lvlJc w:val="left"/>
      <w:lvlText w:val="%1"/>
      <w:numFmt w:val="decimal"/>
      <w:start w:val="20"/>
      <w:suff w:val="tab"/>
      <w:pPr>
        <w:autoSpaceDE w:val="0"/>
        <w:autoSpaceDN w:val="0"/>
        <w:ind w:left="332" w:hanging="188"/>
        <w:tabs>
          <w:tab w:val="left" w:leader="none" w:pos="332"/>
        </w:tabs>
      </w:pPr>
    </w:lvl>
    <w:lvl w:ilvl="1">
      <w:lvlJc w:val="left"/>
      <w:lvlText w:val="%1.%2"/>
      <w:numFmt w:val="decimal"/>
      <w:start w:val="57"/>
      <w:suff w:val="tab"/>
      <w:pPr>
        <w:autoSpaceDE w:val="0"/>
        <w:autoSpaceDN w:val="0"/>
        <w:ind w:left="420" w:hanging="197"/>
        <w:tabs>
          <w:tab w:val="left" w:leader="none" w:pos="420"/>
        </w:tabs>
      </w:pPr>
    </w:lvl>
    <w:lvl w:ilvl="2">
      <w:lvlJc w:val="left"/>
      <w:lvlText w:val="%1.%2.%3"/>
      <w:numFmt w:val="decimal"/>
      <w:start w:val="1"/>
      <w:suff w:val="tab"/>
      <w:pPr>
        <w:autoSpaceDE w:val="0"/>
        <w:autoSpaceDN w:val="0"/>
        <w:ind w:left="420" w:hanging="197"/>
      </w:pPr>
    </w:lvl>
    <w:lvl w:ilvl="3">
      <w:lvlJc w:val="left"/>
      <w:lvlText w:val="%1.%2.%3.%4"/>
      <w:numFmt w:val="decimal"/>
      <w:start w:val="1"/>
      <w:suff w:val="tab"/>
      <w:pPr>
        <w:autoSpaceDE w:val="0"/>
        <w:autoSpaceDN w:val="0"/>
        <w:ind w:left="420" w:hanging="197"/>
      </w:pPr>
    </w:lvl>
    <w:lvl w:ilvl="4">
      <w:lvlJc w:val="left"/>
      <w:lvlText w:val="%1.%2.%3.%4.%5"/>
      <w:numFmt w:val="decimal"/>
      <w:start w:val="1"/>
      <w:suff w:val="tab"/>
      <w:pPr>
        <w:autoSpaceDE w:val="0"/>
        <w:autoSpaceDN w:val="0"/>
        <w:ind w:left="420" w:hanging="197"/>
      </w:pPr>
    </w:lvl>
    <w:lvl w:ilvl="5">
      <w:lvlJc w:val="left"/>
      <w:lvlText w:val="%1.%2.%3.%4.%5.%6"/>
      <w:numFmt w:val="decimal"/>
      <w:start w:val="1"/>
      <w:suff w:val="tab"/>
      <w:pPr>
        <w:autoSpaceDE w:val="0"/>
        <w:autoSpaceDN w:val="0"/>
        <w:ind w:left="420" w:hanging="197"/>
      </w:pPr>
    </w:lvl>
    <w:lvl w:ilvl="6">
      <w:lvlJc w:val="left"/>
      <w:lvlText w:val="%1.%2.%3.%4.%5.%6.%7"/>
      <w:numFmt w:val="decimal"/>
      <w:start w:val="1"/>
      <w:suff w:val="tab"/>
      <w:pPr>
        <w:autoSpaceDE w:val="0"/>
        <w:autoSpaceDN w:val="0"/>
        <w:ind w:left="420" w:hanging="197"/>
      </w:pPr>
    </w:lvl>
    <w:lvl w:ilvl="7">
      <w:lvlJc w:val="left"/>
      <w:lvlText w:val="%1.%2.%3.%4.%5.%6.%7.%8"/>
      <w:numFmt w:val="decimal"/>
      <w:start w:val="1"/>
      <w:suff w:val="tab"/>
      <w:pPr>
        <w:autoSpaceDE w:val="0"/>
        <w:autoSpaceDN w:val="0"/>
        <w:ind w:left="420" w:hanging="197"/>
      </w:pPr>
    </w:lvl>
    <w:lvl w:ilvl="8">
      <w:lvlJc w:val="left"/>
      <w:lvlText w:val="%1.%2.%3.%4.%5.%6.%7.%8.%9"/>
      <w:numFmt w:val="decimal"/>
      <w:start w:val="1"/>
      <w:suff w:val="tab"/>
      <w:pPr>
        <w:autoSpaceDE w:val="0"/>
        <w:autoSpaceDN w:val="0"/>
        <w:ind w:left="420" w:hanging="197"/>
      </w:pPr>
    </w:lvl>
  </w:abstractNum>
  <w:abstractNum w:abstractNumId="113">
    <w:nsid w:val="337"/>
    <w:multiLevelType w:val="multilevel"/>
    <w:tmpl w:val="11771"/>
    <w:lvl w:ilvl="0">
      <w:lvlJc w:val="left"/>
      <w:lvlText w:val="%1"/>
      <w:numFmt w:val="decimal"/>
      <w:start w:val="20"/>
      <w:suff w:val="tab"/>
      <w:pPr>
        <w:autoSpaceDE w:val="0"/>
        <w:autoSpaceDN w:val="0"/>
        <w:ind w:left="302" w:hanging="188"/>
        <w:tabs>
          <w:tab w:val="left" w:leader="none" w:pos="302"/>
        </w:tabs>
      </w:pPr>
    </w:lvl>
    <w:lvl w:ilvl="1">
      <w:lvlJc w:val="left"/>
      <w:lvlText w:val="%1.%2"/>
      <w:numFmt w:val="decimal"/>
      <w:start w:val="65"/>
      <w:suff w:val="tab"/>
      <w:pPr>
        <w:autoSpaceDE w:val="0"/>
        <w:autoSpaceDN w:val="0"/>
        <w:ind w:left="420" w:hanging="197"/>
        <w:tabs>
          <w:tab w:val="left" w:leader="none" w:pos="420"/>
        </w:tabs>
      </w:pPr>
    </w:lvl>
    <w:lvl w:ilvl="2">
      <w:lvlJc w:val="left"/>
      <w:lvlText w:val="%1.%2.%3"/>
      <w:numFmt w:val="decimal"/>
      <w:start w:val="1"/>
      <w:suff w:val="tab"/>
      <w:pPr>
        <w:autoSpaceDE w:val="0"/>
        <w:autoSpaceDN w:val="0"/>
        <w:ind w:left="420" w:hanging="197"/>
      </w:pPr>
    </w:lvl>
    <w:lvl w:ilvl="3">
      <w:lvlJc w:val="left"/>
      <w:lvlText w:val="%1.%2.%3.%4"/>
      <w:numFmt w:val="decimal"/>
      <w:start w:val="1"/>
      <w:suff w:val="tab"/>
      <w:pPr>
        <w:autoSpaceDE w:val="0"/>
        <w:autoSpaceDN w:val="0"/>
        <w:ind w:left="420" w:hanging="197"/>
      </w:pPr>
    </w:lvl>
    <w:lvl w:ilvl="4">
      <w:lvlJc w:val="left"/>
      <w:lvlText w:val="%1.%2.%3.%4.%5"/>
      <w:numFmt w:val="decimal"/>
      <w:start w:val="1"/>
      <w:suff w:val="tab"/>
      <w:pPr>
        <w:autoSpaceDE w:val="0"/>
        <w:autoSpaceDN w:val="0"/>
        <w:ind w:left="420" w:hanging="197"/>
      </w:pPr>
    </w:lvl>
    <w:lvl w:ilvl="5">
      <w:lvlJc w:val="left"/>
      <w:lvlText w:val="%1.%2.%3.%4.%5.%6"/>
      <w:numFmt w:val="decimal"/>
      <w:start w:val="1"/>
      <w:suff w:val="tab"/>
      <w:pPr>
        <w:autoSpaceDE w:val="0"/>
        <w:autoSpaceDN w:val="0"/>
        <w:ind w:left="420" w:hanging="197"/>
      </w:pPr>
    </w:lvl>
    <w:lvl w:ilvl="6">
      <w:lvlJc w:val="left"/>
      <w:lvlText w:val="%1.%2.%3.%4.%5.%6.%7"/>
      <w:numFmt w:val="decimal"/>
      <w:start w:val="1"/>
      <w:suff w:val="tab"/>
      <w:pPr>
        <w:autoSpaceDE w:val="0"/>
        <w:autoSpaceDN w:val="0"/>
        <w:ind w:left="420" w:hanging="197"/>
      </w:pPr>
    </w:lvl>
    <w:lvl w:ilvl="7">
      <w:lvlJc w:val="left"/>
      <w:lvlText w:val="%1.%2.%3.%4.%5.%6.%7.%8"/>
      <w:numFmt w:val="decimal"/>
      <w:start w:val="1"/>
      <w:suff w:val="tab"/>
      <w:pPr>
        <w:autoSpaceDE w:val="0"/>
        <w:autoSpaceDN w:val="0"/>
        <w:ind w:left="420" w:hanging="197"/>
      </w:pPr>
    </w:lvl>
    <w:lvl w:ilvl="8">
      <w:lvlJc w:val="left"/>
      <w:lvlText w:val="%1.%2.%3.%4.%5.%6.%7.%8.%9"/>
      <w:numFmt w:val="decimal"/>
      <w:start w:val="1"/>
      <w:suff w:val="tab"/>
      <w:pPr>
        <w:autoSpaceDE w:val="0"/>
        <w:autoSpaceDN w:val="0"/>
        <w:ind w:left="420" w:hanging="197"/>
      </w:pPr>
    </w:lvl>
  </w:abstractNum>
  <w:abstractNum w:abstractNumId="114">
    <w:nsid w:val="341"/>
    <w:multiLevelType w:val="hybridMultilevel"/>
    <w:tmpl w:val="1177b"/>
    <w:lvl w:ilvl="0" w:tplc="1177c">
      <w:lvlJc w:val="left"/>
      <w:lvlText w:val="%1"/>
      <w:numFmt w:val="decimalZero"/>
      <w:start w:val="12"/>
      <w:suff w:val="tab"/>
      <w:pPr>
        <w:autoSpaceDE w:val="0"/>
        <w:autoSpaceDN w:val="0"/>
        <w:ind w:left="302" w:hanging="188"/>
        <w:tabs>
          <w:tab w:val="left" w:leader="none" w:pos="30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5">
    <w:nsid w:val="34d"/>
    <w:multiLevelType w:val="hybridMultilevel"/>
    <w:tmpl w:val="1177d"/>
    <w:lvl w:ilvl="0" w:tplc="1177e">
      <w:lvlJc w:val="left"/>
      <w:lvlText w:val="%1"/>
      <w:numFmt w:val="decimalZero"/>
      <w:start w:val="2016"/>
      <w:suff w:val="tab"/>
      <w:pPr>
        <w:autoSpaceDE w:val="0"/>
        <w:autoSpaceDN w:val="0"/>
        <w:ind w:left="1376" w:hanging="338"/>
        <w:tabs>
          <w:tab w:val="left" w:leader="none" w:pos="137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6">
    <w:nsid w:val="34f"/>
    <w:multiLevelType w:val="hybridMultilevel"/>
    <w:tmpl w:val="1177f"/>
    <w:lvl w:ilvl="0" w:tplc="11780">
      <w:lvlJc w:val="left"/>
      <w:lvlText w:val="%1"/>
      <w:numFmt w:val="decimalZero"/>
      <w:start w:val="12"/>
      <w:suff w:val="tab"/>
      <w:pPr>
        <w:autoSpaceDE w:val="0"/>
        <w:autoSpaceDN w:val="0"/>
        <w:ind w:left="302" w:hanging="188"/>
        <w:tabs>
          <w:tab w:val="left" w:leader="none" w:pos="30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7">
    <w:nsid w:val="35b"/>
    <w:multiLevelType w:val="hybridMultilevel"/>
    <w:tmpl w:val="11781"/>
    <w:lvl w:ilvl="0" w:tplc="11782">
      <w:lvlJc w:val="left"/>
      <w:lvlText w:val="%1"/>
      <w:numFmt w:val="decimal"/>
      <w:start w:val="3"/>
      <w:suff w:val="tab"/>
      <w:pPr>
        <w:autoSpaceDE w:val="0"/>
        <w:autoSpaceDN w:val="0"/>
        <w:ind w:left="255" w:hanging="107"/>
        <w:tabs>
          <w:tab w:val="left" w:leader="none" w:pos="26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8">
    <w:nsid w:val="36e"/>
    <w:multiLevelType w:val="hybridMultilevel"/>
    <w:tmpl w:val="11783"/>
    <w:lvl w:ilvl="0" w:tplc="11784">
      <w:lvlJc w:val="left"/>
      <w:lvlText w:val="%1"/>
      <w:numFmt w:val="decimal"/>
      <w:start w:val="2017"/>
      <w:suff w:val="tab"/>
      <w:pPr>
        <w:autoSpaceDE w:val="0"/>
        <w:autoSpaceDN w:val="0"/>
        <w:ind w:left="966"/>
        <w:tabs>
          <w:tab w:val="left" w:leader="none" w:pos="144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19">
    <w:nsid w:val="378"/>
    <w:multiLevelType w:val="hybridMultilevel"/>
    <w:tmpl w:val="11785"/>
    <w:lvl w:ilvl="0" w:tplc="11786">
      <w:lvlJc w:val="left"/>
      <w:lvlText w:val="%1"/>
      <w:numFmt w:val="decimal"/>
      <w:start w:val="2017"/>
      <w:suff w:val="tab"/>
      <w:pPr>
        <w:autoSpaceDE w:val="0"/>
        <w:autoSpaceDN w:val="0"/>
        <w:ind w:left="966" w:firstLine="480"/>
        <w:tabs>
          <w:tab w:val="left" w:leader="none" w:pos="198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20">
    <w:nsid w:val="386"/>
    <w:multiLevelType w:val="multilevel"/>
    <w:tmpl w:val="11787"/>
    <w:lvl w:ilvl="0">
      <w:lvlJc w:val="left"/>
      <w:lvlText w:val="%1"/>
      <w:numFmt w:val="decimal"/>
      <w:start w:val="27"/>
      <w:suff w:val="tab"/>
      <w:pPr>
        <w:autoSpaceDE w:val="0"/>
        <w:autoSpaceDN w:val="0"/>
        <w:ind w:left="581" w:hanging="188"/>
        <w:tabs>
          <w:tab w:val="left" w:leader="none" w:pos="581"/>
        </w:tabs>
      </w:pPr>
    </w:lvl>
    <w:lvl w:ilvl="1">
      <w:lvlJc w:val="left"/>
      <w:lvlText w:val="%1.%2"/>
      <w:numFmt w:val="decimal"/>
      <w:start w:val="0"/>
      <w:suff w:val="nothing"/>
      <w:pPr>
        <w:autoSpaceDE w:val="0"/>
        <w:autoSpaceDN w:val="0"/>
        <w:ind w:left="420" w:hanging="141"/>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121">
    <w:nsid w:val="38b"/>
    <w:multiLevelType w:val="multilevel"/>
    <w:tmpl w:val="11791"/>
    <w:lvl w:ilvl="0">
      <w:lvlJc w:val="left"/>
      <w:lvlText w:val="%1"/>
      <w:numFmt w:val="decimal"/>
      <w:start w:val="18"/>
      <w:suff w:val="tab"/>
      <w:pPr>
        <w:autoSpaceDE w:val="0"/>
        <w:autoSpaceDN w:val="0"/>
        <w:ind w:left="581" w:hanging="188"/>
        <w:tabs>
          <w:tab w:val="left" w:leader="none" w:pos="581"/>
        </w:tabs>
      </w:pPr>
    </w:lvl>
    <w:lvl w:ilvl="1">
      <w:lvlJc w:val="left"/>
      <w:lvlText w:val="%1.%2"/>
      <w:numFmt w:val="decimal"/>
      <w:start w:val="50"/>
      <w:suff w:val="tab"/>
      <w:pPr>
        <w:autoSpaceDE w:val="0"/>
        <w:autoSpaceDN w:val="0"/>
        <w:ind w:left="420" w:hanging="141"/>
        <w:tabs>
          <w:tab w:val="left" w:leader="none" w:pos="420"/>
        </w:tabs>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122">
    <w:nsid w:val="392"/>
    <w:multiLevelType w:val="multilevel"/>
    <w:tmpl w:val="1179b"/>
    <w:lvl w:ilvl="0">
      <w:lvlJc w:val="left"/>
      <w:lvlText w:val="%1"/>
      <w:numFmt w:val="decimal"/>
      <w:start w:val="33"/>
      <w:suff w:val="tab"/>
      <w:pPr>
        <w:autoSpaceDE w:val="0"/>
        <w:autoSpaceDN w:val="0"/>
        <w:ind w:left="581" w:hanging="188"/>
        <w:tabs>
          <w:tab w:val="left" w:leader="none" w:pos="581"/>
        </w:tabs>
      </w:pPr>
    </w:lvl>
    <w:lvl w:ilvl="1">
      <w:lvlJc w:val="left"/>
      <w:lvlText w:val="%1.%2"/>
      <w:numFmt w:val="decimal"/>
      <w:start w:val="33"/>
      <w:suff w:val="tab"/>
      <w:pPr>
        <w:autoSpaceDE w:val="0"/>
        <w:autoSpaceDN w:val="0"/>
        <w:ind w:left="420" w:hanging="141"/>
        <w:tabs>
          <w:tab w:val="left" w:leader="none" w:pos="420"/>
        </w:tabs>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123">
    <w:nsid w:val="3a7"/>
    <w:multiLevelType w:val="multilevel"/>
    <w:tmpl w:val="117a5"/>
    <w:lvl w:ilvl="0">
      <w:lvlJc w:val="left"/>
      <w:lvlText w:val="%1"/>
      <w:numFmt w:val="decimal"/>
      <w:start w:val="25"/>
      <w:suff w:val="tab"/>
      <w:pPr>
        <w:autoSpaceDE w:val="0"/>
        <w:autoSpaceDN w:val="0"/>
        <w:ind w:left="581" w:hanging="188"/>
        <w:tabs>
          <w:tab w:val="left" w:leader="none" w:pos="581"/>
        </w:tabs>
      </w:pPr>
    </w:lvl>
    <w:lvl w:ilvl="1">
      <w:lvlJc w:val="left"/>
      <w:lvlText w:val="%1.%2"/>
      <w:numFmt w:val="decimal"/>
      <w:start w:val="93"/>
      <w:suff w:val="tab"/>
      <w:pPr>
        <w:autoSpaceDE w:val="0"/>
        <w:autoSpaceDN w:val="0"/>
        <w:ind w:left="420" w:hanging="141"/>
        <w:tabs>
          <w:tab w:val="left" w:leader="none" w:pos="420"/>
        </w:tabs>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124">
    <w:nsid w:val="3c2"/>
    <w:multiLevelType w:val="hybridMultilevel"/>
    <w:tmpl w:val="117af"/>
    <w:lvl w:ilvl="0" w:tplc="117b0">
      <w:lvlJc w:val="left"/>
      <w:lvlText w:val="%1"/>
      <w:numFmt w:val="decimalZero"/>
      <w:start w:val="2017"/>
      <w:suff w:val="tab"/>
      <w:pPr>
        <w:autoSpaceDE w:val="0"/>
        <w:autoSpaceDN w:val="0"/>
        <w:ind w:left="0" w:firstLine="412"/>
        <w:tabs>
          <w:tab w:val="left" w:leader="none" w:pos="85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25">
    <w:nsid w:val="3c5"/>
    <w:multiLevelType w:val="hybridMultilevel"/>
    <w:tmpl w:val="117b1"/>
    <w:lvl w:ilvl="0" w:tplc="117b2">
      <w:lvlJc w:val="right"/>
      <w:lvlText w:val="%1."/>
      <w:numFmt w:val="decimal"/>
      <w:start w:val="1"/>
      <w:suff w:val="tab"/>
      <w:pPr>
        <w:autoSpaceDE w:val="0"/>
        <w:autoSpaceDN w:val="0"/>
        <w:ind w:left="683" w:hanging="105"/>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26">
    <w:nsid w:val="3c7"/>
    <w:multiLevelType w:val="hybridMultilevel"/>
    <w:tmpl w:val="117b3"/>
    <w:lvl w:ilvl="0" w:tplc="117b4">
      <w:lvlJc w:val="left"/>
      <w:lvlText w:val="%1."/>
      <w:numFmt w:val="decimalZero"/>
      <w:start w:val="12"/>
      <w:suff w:val="tab"/>
      <w:pPr>
        <w:autoSpaceDE w:val="0"/>
        <w:autoSpaceDN w:val="0"/>
        <w:ind w:left="787" w:hanging="367"/>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27">
    <w:nsid w:val="3cd"/>
    <w:multiLevelType w:val="hybridMultilevel"/>
    <w:tmpl w:val="117b5"/>
    <w:lvl w:ilvl="0" w:tplc="117b6">
      <w:lvlJc w:val="left"/>
      <w:lvlText w:val="%1."/>
      <w:numFmt w:val="decimalZero"/>
      <w:start w:val="100"/>
      <w:suff w:val="tab"/>
      <w:pPr>
        <w:autoSpaceDE w:val="0"/>
        <w:autoSpaceDN w:val="0"/>
        <w:ind w:left="1858" w:hanging="473"/>
        <w:tabs>
          <w:tab w:val="left" w:leader="none" w:pos="185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28">
    <w:nsid w:val="3cf"/>
    <w:multiLevelType w:val="hybridMultilevel"/>
    <w:tmpl w:val="117b7"/>
    <w:lvl w:ilvl="0" w:tplc="117b8">
      <w:lvlJc w:val="left"/>
      <w:lvlText w:val="%1"/>
      <w:numFmt w:val="decimalZero"/>
      <w:start w:val="2017"/>
      <w:suff w:val="tab"/>
      <w:pPr>
        <w:autoSpaceDE w:val="0"/>
        <w:autoSpaceDN w:val="0"/>
        <w:ind w:left="893" w:hanging="473"/>
        <w:tabs>
          <w:tab w:val="left" w:leader="none" w:pos="89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29">
    <w:nsid w:val="3d0"/>
    <w:multiLevelType w:val="hybridMultilevel"/>
    <w:tmpl w:val="117b9"/>
    <w:lvl w:ilvl="0" w:tplc="117ba">
      <w:lvlJc w:val="right"/>
      <w:lvlText w:val="%1."/>
      <w:numFmt w:val="decimal"/>
      <w:start w:val="1"/>
      <w:suff w:val="tab"/>
      <w:pPr>
        <w:autoSpaceDE w:val="0"/>
        <w:autoSpaceDN w:val="0"/>
        <w:ind w:left="683" w:hanging="105"/>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0">
    <w:nsid w:val="3d4"/>
    <w:multiLevelType w:val="hybridMultilevel"/>
    <w:tmpl w:val="117bb"/>
    <w:lvl w:ilvl="0" w:tplc="117bc">
      <w:lvlJc w:val="left"/>
      <w:lvlText w:val="%1."/>
      <w:numFmt w:val="decimalZero"/>
      <w:start w:val="12"/>
      <w:suff w:val="tab"/>
      <w:pPr>
        <w:autoSpaceDE w:val="0"/>
        <w:autoSpaceDN w:val="0"/>
        <w:ind w:left="787" w:hanging="367"/>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1">
    <w:nsid w:val="3d8"/>
    <w:multiLevelType w:val="hybridMultilevel"/>
    <w:tmpl w:val="117bd"/>
    <w:lvl w:ilvl="0" w:tplc="117be">
      <w:lvlJc w:val="right"/>
      <w:lvlText w:val="%1."/>
      <w:numFmt w:val="decimal"/>
      <w:start w:val="1"/>
      <w:suff w:val="tab"/>
      <w:pPr>
        <w:autoSpaceDE w:val="0"/>
        <w:autoSpaceDN w:val="0"/>
        <w:ind w:left="683" w:hanging="105"/>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2">
    <w:nsid w:val="3da"/>
    <w:multiLevelType w:val="hybridMultilevel"/>
    <w:tmpl w:val="117bf"/>
    <w:lvl w:ilvl="0" w:tplc="117c0">
      <w:lvlJc w:val="left"/>
      <w:lvlText w:val="%1."/>
      <w:numFmt w:val="decimalZero"/>
      <w:start w:val="12"/>
      <w:suff w:val="tab"/>
      <w:pPr>
        <w:autoSpaceDE w:val="0"/>
        <w:autoSpaceDN w:val="0"/>
        <w:ind w:left="787" w:hanging="367"/>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3">
    <w:nsid w:val="3de"/>
    <w:multiLevelType w:val="hybridMultilevel"/>
    <w:tmpl w:val="117c1"/>
    <w:lvl w:ilvl="0" w:tplc="117c2">
      <w:lvlJc w:val="left"/>
      <w:lvlText w:val="%1"/>
      <w:numFmt w:val="decimalZero"/>
      <w:start w:val="2017"/>
      <w:suff w:val="tab"/>
      <w:pPr>
        <w:autoSpaceDE w:val="0"/>
        <w:autoSpaceDN w:val="0"/>
        <w:ind w:left="1861" w:hanging="475"/>
        <w:tabs>
          <w:tab w:val="left" w:leader="none" w:pos="186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4">
    <w:nsid w:val="3e1"/>
    <w:multiLevelType w:val="hybridMultilevel"/>
    <w:tmpl w:val="117c3"/>
    <w:lvl w:ilvl="0" w:tplc="117c4">
      <w:lvlJc w:val="right"/>
      <w:lvlText w:val="%1."/>
      <w:numFmt w:val="decimal"/>
      <w:start w:val="1"/>
      <w:suff w:val="tab"/>
      <w:pPr>
        <w:autoSpaceDE w:val="0"/>
        <w:autoSpaceDN w:val="0"/>
        <w:ind w:left="683" w:hanging="105"/>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5">
    <w:nsid w:val="3f9"/>
    <w:multiLevelType w:val="hybridMultilevel"/>
    <w:tmpl w:val="117c5"/>
    <w:lvl w:ilvl="0" w:tplc="117c6">
      <w:lvlJc w:val="left"/>
      <w:lvlText w:val="%1"/>
      <w:numFmt w:val="decimalZero"/>
      <w:start w:val="2017"/>
      <w:suff w:val="tab"/>
      <w:pPr>
        <w:autoSpaceDE w:val="0"/>
        <w:autoSpaceDN w:val="0"/>
        <w:ind w:left="0" w:firstLine="420"/>
        <w:tabs>
          <w:tab w:val="left" w:leader="none" w:pos="87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6">
    <w:nsid w:val="3fa"/>
    <w:multiLevelType w:val="multilevel"/>
    <w:tmpl w:val="117c7"/>
    <w:lvl w:ilvl="0">
      <w:lvlJc w:val="left"/>
      <w:lvlText w:val="%1."/>
      <w:numFmt w:val="decimal"/>
      <w:start w:val="21"/>
      <w:suff w:val="tab"/>
      <w:pPr>
        <w:autoSpaceDE w:val="0"/>
        <w:autoSpaceDN w:val="0"/>
        <w:ind w:left="420"/>
      </w:pPr>
    </w:lvl>
    <w:lvl w:ilvl="1">
      <w:lvlJc w:val="left"/>
      <w:lvlText w:val="%1.%2"/>
      <w:numFmt w:val="decimal"/>
      <w:start w:val="66"/>
      <w:suff w:val="nothing"/>
      <w:pPr>
        <w:autoSpaceDE w:val="0"/>
        <w:autoSpaceDN w:val="0"/>
        <w:ind w:left="420" w:hanging="420"/>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137">
    <w:nsid w:val="3fe"/>
    <w:multiLevelType w:val="hybridMultilevel"/>
    <w:tmpl w:val="117d1"/>
    <w:lvl w:ilvl="0" w:tplc="117d2">
      <w:lvlJc w:val="left"/>
      <w:lvlText w:val="%1."/>
      <w:numFmt w:val="decimalZero"/>
      <w:start w:val="12"/>
      <w:suff w:val="tab"/>
      <w:pPr>
        <w:autoSpaceDE w:val="0"/>
        <w:autoSpaceDN w:val="0"/>
        <w:ind w:left="1764" w:hanging="1344"/>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8">
    <w:nsid w:val="402"/>
    <w:multiLevelType w:val="hybridMultilevel"/>
    <w:tmpl w:val="117d3"/>
    <w:lvl w:ilvl="0" w:tplc="117d4">
      <w:lvlJc w:val="left"/>
      <w:lvlText w:val="%1"/>
      <w:numFmt w:val="decimalZero"/>
      <w:start w:val="2017"/>
      <w:suff w:val="tab"/>
      <w:pPr>
        <w:autoSpaceDE w:val="0"/>
        <w:autoSpaceDN w:val="0"/>
        <w:ind w:left="966" w:firstLine="428"/>
        <w:tabs>
          <w:tab w:val="left" w:leader="none" w:pos="188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39">
    <w:nsid w:val="406"/>
    <w:multiLevelType w:val="hybridMultilevel"/>
    <w:tmpl w:val="117d5"/>
    <w:lvl w:ilvl="0" w:tplc="117d6">
      <w:lvlJc w:val="left"/>
      <w:lvlText w:val="%1"/>
      <w:numFmt w:val="decimalZero"/>
      <w:start w:val="2018"/>
      <w:suff w:val="tab"/>
      <w:pPr>
        <w:autoSpaceDE w:val="0"/>
        <w:autoSpaceDN w:val="0"/>
        <w:ind w:left="966" w:firstLine="420"/>
        <w:tabs>
          <w:tab w:val="left" w:leader="none" w:pos="186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0">
    <w:nsid w:val="40b"/>
    <w:multiLevelType w:val="hybridMultilevel"/>
    <w:tmpl w:val="117d7"/>
    <w:lvl w:ilvl="0" w:tplc="117d8">
      <w:lvlJc w:val="right"/>
      <w:lvlText w:val="%1."/>
      <w:numFmt w:val="decimal"/>
      <w:start w:val="1"/>
      <w:suff w:val="tab"/>
      <w:pPr>
        <w:autoSpaceDE w:val="0"/>
        <w:autoSpaceDN w:val="0"/>
        <w:ind w:left="683" w:hanging="105"/>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1">
    <w:nsid w:val="40d"/>
    <w:multiLevelType w:val="hybridMultilevel"/>
    <w:tmpl w:val="117d9"/>
    <w:lvl w:ilvl="0" w:tplc="117da">
      <w:lvlJc w:val="left"/>
      <w:lvlText w:val="%1."/>
      <w:numFmt w:val="decimalZero"/>
      <w:start w:val="12"/>
      <w:suff w:val="tab"/>
      <w:pPr>
        <w:autoSpaceDE w:val="0"/>
        <w:autoSpaceDN w:val="0"/>
        <w:ind w:left="787" w:hanging="367"/>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2">
    <w:nsid w:val="410"/>
    <w:multiLevelType w:val="hybridMultilevel"/>
    <w:tmpl w:val="117db"/>
    <w:lvl w:ilvl="0" w:tplc="117dc">
      <w:lvlJc w:val="left"/>
      <w:lvlText w:val="%1"/>
      <w:numFmt w:val="decimal"/>
      <w:start w:val="2017"/>
      <w:suff w:val="tab"/>
      <w:pPr>
        <w:autoSpaceDE w:val="0"/>
        <w:autoSpaceDN w:val="0"/>
        <w:ind w:left="966" w:firstLine="420"/>
        <w:tabs>
          <w:tab w:val="left" w:leader="none" w:pos="183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3">
    <w:nsid w:val="412"/>
    <w:multiLevelType w:val="hybridMultilevel"/>
    <w:tmpl w:val="117dd"/>
    <w:lvl w:ilvl="0" w:tplc="117de">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4">
    <w:nsid w:val="416"/>
    <w:multiLevelType w:val="hybridMultilevel"/>
    <w:tmpl w:val="117df"/>
    <w:lvl w:ilvl="0" w:tplc="117e0">
      <w:lvlJc w:val="right"/>
      <w:lvlText w:val="%1."/>
      <w:numFmt w:val="decimal"/>
      <w:start w:val="9"/>
      <w:suff w:val="tab"/>
      <w:pPr>
        <w:autoSpaceDE w:val="0"/>
        <w:autoSpaceDN w:val="0"/>
        <w:ind w:left="683" w:hanging="105"/>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5">
    <w:nsid w:val="417"/>
    <w:multiLevelType w:val="hybridMultilevel"/>
    <w:tmpl w:val="117e1"/>
    <w:lvl w:ilvl="0" w:tplc="117e2">
      <w:lvlJc w:val="left"/>
      <w:lvlText w:val="%1."/>
      <w:numFmt w:val="decimal"/>
      <w:start w:val="12"/>
      <w:suff w:val="tab"/>
      <w:pPr>
        <w:autoSpaceDE w:val="0"/>
        <w:autoSpaceDN w:val="0"/>
        <w:ind w:left="787" w:hanging="367"/>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6">
    <w:nsid w:val="41c"/>
    <w:multiLevelType w:val="hybridMultilevel"/>
    <w:tmpl w:val="117e3"/>
    <w:lvl w:ilvl="0" w:tplc="117e4">
      <w:lvlJc w:val="left"/>
      <w:lvlText w:val="%1."/>
      <w:numFmt w:val="decimalZero"/>
      <w:start w:val="14"/>
      <w:suff w:val="tab"/>
      <w:pPr>
        <w:autoSpaceDE w:val="0"/>
        <w:autoSpaceDN w:val="0"/>
        <w:ind w:left="1753" w:hanging="367"/>
        <w:tabs>
          <w:tab w:val="left" w:leader="none" w:pos="175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7">
    <w:nsid w:val="429"/>
    <w:multiLevelType w:val="hybridMultilevel"/>
    <w:tmpl w:val="117e5"/>
    <w:lvl w:ilvl="0" w:tplc="117e6">
      <w:lvlJc w:val="left"/>
      <w:lvlText w:val="%1."/>
      <w:numFmt w:val="decimalZero"/>
      <w:start w:val="24"/>
      <w:suff w:val="tab"/>
      <w:pPr>
        <w:autoSpaceDE w:val="0"/>
        <w:autoSpaceDN w:val="0"/>
        <w:ind w:left="787" w:hanging="367"/>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48">
    <w:nsid w:val="42c"/>
    <w:multiLevelType w:val="multilevel"/>
    <w:tmpl w:val="117e7"/>
    <w:lvl w:ilvl="0">
      <w:lvlJc w:val="left"/>
      <w:lvlText w:val="%1"/>
      <w:numFmt w:val="decimal"/>
      <w:start w:val="1"/>
      <w:suff w:val="tab"/>
      <w:pPr>
        <w:autoSpaceDE w:val="0"/>
        <w:autoSpaceDN w:val="0"/>
        <w:ind w:left="1146" w:hanging="180"/>
        <w:tabs>
          <w:tab w:val="left" w:leader="none" w:pos="1146"/>
        </w:tabs>
      </w:pPr>
    </w:lvl>
    <w:lvl w:ilvl="1">
      <w:lvlJc w:val="left"/>
      <w:lvlText w:val="%1.%2"/>
      <w:numFmt w:val="decimal"/>
      <w:start w:val="36"/>
      <w:suff w:val="tab"/>
      <w:pPr>
        <w:autoSpaceDE w:val="0"/>
        <w:autoSpaceDN w:val="0"/>
        <w:ind w:left="420" w:hanging="420"/>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149">
    <w:nsid w:val="42f"/>
    <w:multiLevelType w:val="hybridMultilevel"/>
    <w:tmpl w:val="117f1"/>
    <w:lvl w:ilvl="0" w:tplc="117f2">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0">
    <w:nsid w:val="430"/>
    <w:multiLevelType w:val="hybridMultilevel"/>
    <w:tmpl w:val="117f3"/>
    <w:lvl w:ilvl="0" w:tplc="117f4">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1">
    <w:nsid w:val="436"/>
    <w:multiLevelType w:val="hybridMultilevel"/>
    <w:tmpl w:val="117f5"/>
    <w:lvl w:ilvl="0" w:tplc="117f6">
      <w:lvlJc w:val="left"/>
      <w:lvlText w:val="%1"/>
      <w:numFmt w:val="decimalZero"/>
      <w:start w:val="2017"/>
      <w:suff w:val="tab"/>
      <w:pPr>
        <w:autoSpaceDE w:val="0"/>
        <w:autoSpaceDN w:val="0"/>
        <w:ind w:left="966" w:firstLine="432"/>
        <w:tabs>
          <w:tab w:val="left" w:leader="none" w:pos="189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2">
    <w:nsid w:val="43a"/>
    <w:multiLevelType w:val="hybridMultilevel"/>
    <w:tmpl w:val="117f7"/>
    <w:lvl w:ilvl="0" w:tplc="117f8">
      <w:lvlJc w:val="left"/>
      <w:lvlText w:val="%1."/>
      <w:numFmt w:val="decimal"/>
      <w:start w:val="1"/>
      <w:suff w:val="tab"/>
      <w:pPr>
        <w:autoSpaceDE w:val="0"/>
        <w:autoSpaceDN w:val="0"/>
        <w:ind w:left="966" w:firstLine="420"/>
        <w:tabs>
          <w:tab w:val="left" w:leader="none" w:pos="165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3">
    <w:nsid w:val="43f"/>
    <w:multiLevelType w:val="hybridMultilevel"/>
    <w:tmpl w:val="117f9"/>
    <w:lvl w:ilvl="0" w:tplc="117fa">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4">
    <w:nsid w:val="442"/>
    <w:multiLevelType w:val="hybridMultilevel"/>
    <w:tmpl w:val="117fb"/>
    <w:lvl w:ilvl="0" w:tplc="117fc">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5">
    <w:nsid w:val="443"/>
    <w:multiLevelType w:val="hybridMultilevel"/>
    <w:tmpl w:val="117fd"/>
    <w:lvl w:ilvl="0" w:tplc="117fe">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6">
    <w:nsid w:val="447"/>
    <w:multiLevelType w:val="hybridMultilevel"/>
    <w:tmpl w:val="117ff"/>
    <w:lvl w:ilvl="0" w:tplc="11800">
      <w:lvlJc w:val="left"/>
      <w:lvlText w:val="%1"/>
      <w:numFmt w:val="decimalZero"/>
      <w:start w:val="2017"/>
      <w:suff w:val="tab"/>
      <w:pPr>
        <w:autoSpaceDE w:val="0"/>
        <w:autoSpaceDN w:val="0"/>
        <w:ind w:left="966" w:firstLine="480"/>
        <w:tabs>
          <w:tab w:val="left" w:leader="none" w:pos="198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7">
    <w:nsid w:val="448"/>
    <w:multiLevelType w:val="multilevel"/>
    <w:tmpl w:val="11801"/>
    <w:lvl w:ilvl="0">
      <w:lvlJc w:val="left"/>
      <w:lvlText w:val="%1."/>
      <w:numFmt w:val="decimal"/>
      <w:start w:val="0"/>
      <w:suff w:val="tab"/>
      <w:pPr>
        <w:autoSpaceDE w:val="0"/>
        <w:autoSpaceDN w:val="0"/>
        <w:ind w:left="900" w:hanging="300"/>
        <w:tabs>
          <w:tab w:val="left" w:leader="none" w:pos="900"/>
        </w:tabs>
      </w:pPr>
    </w:lvl>
    <w:lvl w:ilvl="1">
      <w:lvlJc w:val="left"/>
      <w:lvlText w:val="%1.%2"/>
      <w:numFmt w:val="decimal"/>
      <w:start w:val="48"/>
      <w:suff w:val="tab"/>
      <w:pPr>
        <w:autoSpaceDE w:val="0"/>
        <w:autoSpaceDN w:val="0"/>
        <w:ind w:left="1446" w:hanging="480"/>
        <w:tabs>
          <w:tab w:val="left" w:leader="none" w:pos="1446"/>
        </w:tabs>
      </w:pPr>
    </w:lvl>
    <w:lvl w:ilvl="2">
      <w:lvlJc w:val="left"/>
      <w:lvlText w:val="%1.%2.%3"/>
      <w:numFmt w:val="decimal"/>
      <w:start w:val="1"/>
      <w:suff w:val="tab"/>
      <w:pPr>
        <w:autoSpaceDE w:val="0"/>
        <w:autoSpaceDN w:val="0"/>
        <w:ind w:left="420" w:firstLine="546"/>
      </w:pPr>
    </w:lvl>
    <w:lvl w:ilvl="3">
      <w:lvlJc w:val="left"/>
      <w:lvlText w:val="%1.%2.%3.%4"/>
      <w:numFmt w:val="decimal"/>
      <w:start w:val="1"/>
      <w:suff w:val="tab"/>
      <w:pPr>
        <w:autoSpaceDE w:val="0"/>
        <w:autoSpaceDN w:val="0"/>
        <w:ind w:left="420" w:firstLine="546"/>
      </w:pPr>
    </w:lvl>
    <w:lvl w:ilvl="4">
      <w:lvlJc w:val="left"/>
      <w:lvlText w:val="%1.%2.%3.%4.%5"/>
      <w:numFmt w:val="decimal"/>
      <w:start w:val="1"/>
      <w:suff w:val="tab"/>
      <w:pPr>
        <w:autoSpaceDE w:val="0"/>
        <w:autoSpaceDN w:val="0"/>
        <w:ind w:left="420" w:firstLine="546"/>
      </w:pPr>
    </w:lvl>
    <w:lvl w:ilvl="5">
      <w:lvlJc w:val="left"/>
      <w:lvlText w:val="%1.%2.%3.%4.%5.%6"/>
      <w:numFmt w:val="decimal"/>
      <w:start w:val="1"/>
      <w:suff w:val="tab"/>
      <w:pPr>
        <w:autoSpaceDE w:val="0"/>
        <w:autoSpaceDN w:val="0"/>
        <w:ind w:left="420" w:firstLine="546"/>
      </w:pPr>
    </w:lvl>
    <w:lvl w:ilvl="6">
      <w:lvlJc w:val="left"/>
      <w:lvlText w:val="%1.%2.%3.%4.%5.%6.%7"/>
      <w:numFmt w:val="decimal"/>
      <w:start w:val="1"/>
      <w:suff w:val="tab"/>
      <w:pPr>
        <w:autoSpaceDE w:val="0"/>
        <w:autoSpaceDN w:val="0"/>
        <w:ind w:left="420" w:firstLine="546"/>
      </w:pPr>
    </w:lvl>
    <w:lvl w:ilvl="7">
      <w:lvlJc w:val="left"/>
      <w:lvlText w:val="%1.%2.%3.%4.%5.%6.%7.%8"/>
      <w:numFmt w:val="decimal"/>
      <w:start w:val="1"/>
      <w:suff w:val="tab"/>
      <w:pPr>
        <w:autoSpaceDE w:val="0"/>
        <w:autoSpaceDN w:val="0"/>
        <w:ind w:left="420" w:firstLine="546"/>
      </w:pPr>
    </w:lvl>
    <w:lvl w:ilvl="8">
      <w:lvlJc w:val="left"/>
      <w:lvlText w:val="%1.%2.%3.%4.%5.%6.%7.%8.%9"/>
      <w:numFmt w:val="decimal"/>
      <w:start w:val="1"/>
      <w:suff w:val="tab"/>
      <w:pPr>
        <w:autoSpaceDE w:val="0"/>
        <w:autoSpaceDN w:val="0"/>
        <w:ind w:left="420" w:firstLine="546"/>
      </w:pPr>
    </w:lvl>
  </w:abstractNum>
  <w:abstractNum w:abstractNumId="158">
    <w:nsid w:val="44d"/>
    <w:multiLevelType w:val="hybridMultilevel"/>
    <w:tmpl w:val="1180b"/>
    <w:lvl w:ilvl="0" w:tplc="1180c">
      <w:lvlJc w:val="left"/>
      <w:lvlText w:val="%1"/>
      <w:numFmt w:val="decimal"/>
      <w:start w:val="5"/>
      <w:suff w:val="tab"/>
      <w:pPr>
        <w:autoSpaceDE w:val="0"/>
        <w:autoSpaceDN w:val="0"/>
        <w:ind w:left="397" w:hanging="113"/>
        <w:tabs>
          <w:tab w:val="left" w:leader="none" w:pos="39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59">
    <w:nsid w:val="453"/>
    <w:multiLevelType w:val="hybridMultilevel"/>
    <w:tmpl w:val="1180d"/>
    <w:lvl w:ilvl="0" w:tplc="1180e">
      <w:lvlJc w:val="left"/>
      <w:lvlText w:val="%1"/>
      <w:numFmt w:val="decimal"/>
      <w:start w:val="1"/>
      <w:suff w:val="tab"/>
      <w:pPr>
        <w:autoSpaceDE w:val="0"/>
        <w:autoSpaceDN w:val="0"/>
        <w:ind w:left="465" w:hanging="113"/>
        <w:tabs>
          <w:tab w:val="left" w:leader="none" w:pos="46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0">
    <w:nsid w:val="457"/>
    <w:multiLevelType w:val="multilevel"/>
    <w:tmpl w:val="1180f"/>
    <w:lvl w:ilvl="0">
      <w:lvlJc w:val="left"/>
      <w:lvlText w:val="%1"/>
      <w:numFmt w:val="decimal"/>
      <w:start w:val="9"/>
      <w:suff w:val="tab"/>
      <w:pPr>
        <w:autoSpaceDE w:val="0"/>
        <w:autoSpaceDN w:val="0"/>
        <w:ind w:left="397" w:hanging="188"/>
        <w:tabs>
          <w:tab w:val="left" w:leader="none" w:pos="397"/>
        </w:tabs>
      </w:pPr>
    </w:lvl>
    <w:lvl w:ilvl="1">
      <w:lvlJc w:val="left"/>
      <w:lvlText w:val="%1.%2"/>
      <w:numFmt w:val="decimal"/>
      <w:start w:val="34"/>
      <w:suff w:val="tab"/>
      <w:pPr>
        <w:autoSpaceDE w:val="0"/>
        <w:autoSpaceDN w:val="0"/>
        <w:ind w:left="420" w:firstLine="159"/>
        <w:tabs>
          <w:tab w:val="left" w:leader="none" w:pos="420"/>
        </w:tabs>
      </w:pPr>
    </w:lvl>
    <w:lvl w:ilvl="2">
      <w:lvlJc w:val="left"/>
      <w:lvlText w:val="%1.%2.%3"/>
      <w:numFmt w:val="decimal"/>
      <w:start w:val="1"/>
      <w:suff w:val="tab"/>
      <w:pPr>
        <w:autoSpaceDE w:val="0"/>
        <w:autoSpaceDN w:val="0"/>
        <w:ind w:left="420" w:firstLine="159"/>
      </w:pPr>
    </w:lvl>
    <w:lvl w:ilvl="3">
      <w:lvlJc w:val="left"/>
      <w:lvlText w:val="%1.%2.%3.%4"/>
      <w:numFmt w:val="decimal"/>
      <w:start w:val="1"/>
      <w:suff w:val="tab"/>
      <w:pPr>
        <w:autoSpaceDE w:val="0"/>
        <w:autoSpaceDN w:val="0"/>
        <w:ind w:left="420" w:firstLine="159"/>
      </w:pPr>
    </w:lvl>
    <w:lvl w:ilvl="4">
      <w:lvlJc w:val="left"/>
      <w:lvlText w:val="%1.%2.%3.%4.%5"/>
      <w:numFmt w:val="decimal"/>
      <w:start w:val="1"/>
      <w:suff w:val="tab"/>
      <w:pPr>
        <w:autoSpaceDE w:val="0"/>
        <w:autoSpaceDN w:val="0"/>
        <w:ind w:left="420" w:firstLine="159"/>
      </w:pPr>
    </w:lvl>
    <w:lvl w:ilvl="5">
      <w:lvlJc w:val="left"/>
      <w:lvlText w:val="%1.%2.%3.%4.%5.%6"/>
      <w:numFmt w:val="decimal"/>
      <w:start w:val="1"/>
      <w:suff w:val="tab"/>
      <w:pPr>
        <w:autoSpaceDE w:val="0"/>
        <w:autoSpaceDN w:val="0"/>
        <w:ind w:left="420" w:firstLine="159"/>
      </w:pPr>
    </w:lvl>
    <w:lvl w:ilvl="6">
      <w:lvlJc w:val="left"/>
      <w:lvlText w:val="%1.%2.%3.%4.%5.%6.%7"/>
      <w:numFmt w:val="decimal"/>
      <w:start w:val="1"/>
      <w:suff w:val="tab"/>
      <w:pPr>
        <w:autoSpaceDE w:val="0"/>
        <w:autoSpaceDN w:val="0"/>
        <w:ind w:left="420" w:firstLine="159"/>
      </w:pPr>
    </w:lvl>
    <w:lvl w:ilvl="7">
      <w:lvlJc w:val="left"/>
      <w:lvlText w:val="%1.%2.%3.%4.%5.%6.%7.%8"/>
      <w:numFmt w:val="decimal"/>
      <w:start w:val="1"/>
      <w:suff w:val="tab"/>
      <w:pPr>
        <w:autoSpaceDE w:val="0"/>
        <w:autoSpaceDN w:val="0"/>
        <w:ind w:left="420" w:firstLine="159"/>
      </w:pPr>
    </w:lvl>
    <w:lvl w:ilvl="8">
      <w:lvlJc w:val="left"/>
      <w:lvlText w:val="%1.%2.%3.%4.%5.%6.%7.%8.%9"/>
      <w:numFmt w:val="decimal"/>
      <w:start w:val="1"/>
      <w:suff w:val="tab"/>
      <w:pPr>
        <w:autoSpaceDE w:val="0"/>
        <w:autoSpaceDN w:val="0"/>
        <w:ind w:left="420" w:firstLine="159"/>
      </w:pPr>
    </w:lvl>
  </w:abstractNum>
  <w:abstractNum w:abstractNumId="161">
    <w:nsid w:val="45e"/>
    <w:multiLevelType w:val="hybridMultilevel"/>
    <w:tmpl w:val="11819"/>
    <w:lvl w:ilvl="0" w:tplc="1181a">
      <w:lvlJc w:val="left"/>
      <w:lvlText w:val="%1"/>
      <w:numFmt w:val="decimal"/>
      <w:start w:val="6"/>
      <w:suff w:val="tab"/>
      <w:pPr>
        <w:autoSpaceDE w:val="0"/>
        <w:autoSpaceDN w:val="0"/>
        <w:ind w:left="397" w:hanging="113"/>
        <w:tabs>
          <w:tab w:val="left" w:leader="none" w:pos="39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2">
    <w:nsid w:val="45f"/>
    <w:multiLevelType w:val="hybridMultilevel"/>
    <w:tmpl w:val="1181b"/>
    <w:lvl w:ilvl="0" w:tplc="1181c">
      <w:lvlJc w:val="left"/>
      <w:lvlText w:val="%1"/>
      <w:numFmt w:val="decimal"/>
      <w:start w:val="1"/>
      <w:suff w:val="tab"/>
      <w:pPr>
        <w:autoSpaceDE w:val="0"/>
        <w:autoSpaceDN w:val="0"/>
        <w:ind w:left="465" w:hanging="113"/>
        <w:tabs>
          <w:tab w:val="left" w:leader="none" w:pos="46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3">
    <w:nsid w:val="465"/>
    <w:multiLevelType w:val="hybridMultilevel"/>
    <w:tmpl w:val="1181d"/>
    <w:lvl w:ilvl="0" w:tplc="1181e">
      <w:lvlJc w:val="left"/>
      <w:lvlText w:val="%1"/>
      <w:numFmt w:val="decimalZero"/>
      <w:start w:val="13"/>
      <w:suff w:val="tab"/>
      <w:pPr>
        <w:autoSpaceDE w:val="0"/>
        <w:autoSpaceDN w:val="0"/>
        <w:ind w:left="397" w:hanging="188"/>
        <w:tabs>
          <w:tab w:val="left" w:leader="none" w:pos="39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4">
    <w:nsid w:val="46a"/>
    <w:multiLevelType w:val="multilevel"/>
    <w:tmpl w:val="1181f"/>
    <w:lvl w:ilvl="0">
      <w:lvlJc w:val="left"/>
      <w:lvlText w:val="%1"/>
      <w:numFmt w:val="decimal"/>
      <w:start w:val="23"/>
      <w:suff w:val="tab"/>
      <w:pPr>
        <w:autoSpaceDE w:val="0"/>
        <w:autoSpaceDN w:val="0"/>
        <w:ind w:left="397" w:hanging="188"/>
        <w:tabs>
          <w:tab w:val="left" w:leader="none" w:pos="397"/>
        </w:tabs>
      </w:pPr>
    </w:lvl>
    <w:lvl w:ilvl="1">
      <w:lvlJc w:val="left"/>
      <w:lvlText w:val="%1.%2"/>
      <w:numFmt w:val="decimal"/>
      <w:start w:val="46"/>
      <w:suff w:val="tab"/>
      <w:pPr>
        <w:autoSpaceDE w:val="0"/>
        <w:autoSpaceDN w:val="0"/>
        <w:ind w:left="420" w:hanging="55"/>
        <w:tabs>
          <w:tab w:val="left" w:leader="none" w:pos="420"/>
        </w:tabs>
      </w:pPr>
    </w:lvl>
    <w:lvl w:ilvl="2">
      <w:lvlJc w:val="left"/>
      <w:lvlText w:val="%1.%2.%3"/>
      <w:numFmt w:val="decimal"/>
      <w:start w:val="1"/>
      <w:suff w:val="tab"/>
      <w:pPr>
        <w:autoSpaceDE w:val="0"/>
        <w:autoSpaceDN w:val="0"/>
        <w:ind w:left="420" w:hanging="55"/>
      </w:pPr>
    </w:lvl>
    <w:lvl w:ilvl="3">
      <w:lvlJc w:val="left"/>
      <w:lvlText w:val="%1.%2.%3.%4"/>
      <w:numFmt w:val="decimal"/>
      <w:start w:val="1"/>
      <w:suff w:val="tab"/>
      <w:pPr>
        <w:autoSpaceDE w:val="0"/>
        <w:autoSpaceDN w:val="0"/>
        <w:ind w:left="420" w:hanging="55"/>
      </w:pPr>
    </w:lvl>
    <w:lvl w:ilvl="4">
      <w:lvlJc w:val="left"/>
      <w:lvlText w:val="%1.%2.%3.%4.%5"/>
      <w:numFmt w:val="decimal"/>
      <w:start w:val="1"/>
      <w:suff w:val="tab"/>
      <w:pPr>
        <w:autoSpaceDE w:val="0"/>
        <w:autoSpaceDN w:val="0"/>
        <w:ind w:left="420" w:hanging="55"/>
      </w:pPr>
    </w:lvl>
    <w:lvl w:ilvl="5">
      <w:lvlJc w:val="left"/>
      <w:lvlText w:val="%1.%2.%3.%4.%5.%6"/>
      <w:numFmt w:val="decimal"/>
      <w:start w:val="1"/>
      <w:suff w:val="tab"/>
      <w:pPr>
        <w:autoSpaceDE w:val="0"/>
        <w:autoSpaceDN w:val="0"/>
        <w:ind w:left="420" w:hanging="55"/>
      </w:pPr>
    </w:lvl>
    <w:lvl w:ilvl="6">
      <w:lvlJc w:val="left"/>
      <w:lvlText w:val="%1.%2.%3.%4.%5.%6.%7"/>
      <w:numFmt w:val="decimal"/>
      <w:start w:val="1"/>
      <w:suff w:val="tab"/>
      <w:pPr>
        <w:autoSpaceDE w:val="0"/>
        <w:autoSpaceDN w:val="0"/>
        <w:ind w:left="420" w:hanging="55"/>
      </w:pPr>
    </w:lvl>
    <w:lvl w:ilvl="7">
      <w:lvlJc w:val="left"/>
      <w:lvlText w:val="%1.%2.%3.%4.%5.%6.%7.%8"/>
      <w:numFmt w:val="decimal"/>
      <w:start w:val="1"/>
      <w:suff w:val="tab"/>
      <w:pPr>
        <w:autoSpaceDE w:val="0"/>
        <w:autoSpaceDN w:val="0"/>
        <w:ind w:left="420" w:hanging="55"/>
      </w:pPr>
    </w:lvl>
    <w:lvl w:ilvl="8">
      <w:lvlJc w:val="left"/>
      <w:lvlText w:val="%1.%2.%3.%4.%5.%6.%7.%8.%9"/>
      <w:numFmt w:val="decimal"/>
      <w:start w:val="1"/>
      <w:suff w:val="tab"/>
      <w:pPr>
        <w:autoSpaceDE w:val="0"/>
        <w:autoSpaceDN w:val="0"/>
        <w:ind w:left="420" w:hanging="55"/>
      </w:pPr>
    </w:lvl>
  </w:abstractNum>
  <w:abstractNum w:abstractNumId="165">
    <w:nsid w:val="473"/>
    <w:multiLevelType w:val="multilevel"/>
    <w:tmpl w:val="11829"/>
    <w:lvl w:ilvl="0">
      <w:lvlJc w:val="left"/>
      <w:lvlText w:val="%1"/>
      <w:numFmt w:val="decimal"/>
      <w:start w:val="3"/>
      <w:suff w:val="tab"/>
      <w:pPr>
        <w:autoSpaceDE w:val="0"/>
        <w:autoSpaceDN w:val="0"/>
        <w:ind w:left="465" w:hanging="113"/>
        <w:tabs>
          <w:tab w:val="left" w:leader="none" w:pos="465"/>
        </w:tabs>
      </w:pPr>
    </w:lvl>
    <w:lvl w:ilvl="1">
      <w:lvlJc w:val="left"/>
      <w:lvlText w:val="%1.%2"/>
      <w:numFmt w:val="decimal"/>
      <w:start w:val="67"/>
      <w:suff w:val="tab"/>
      <w:pPr>
        <w:autoSpaceDE w:val="0"/>
        <w:autoSpaceDN w:val="0"/>
        <w:ind w:left="420" w:firstLine="159"/>
        <w:tabs>
          <w:tab w:val="left" w:leader="none" w:pos="420"/>
        </w:tabs>
      </w:pPr>
    </w:lvl>
    <w:lvl w:ilvl="2">
      <w:lvlJc w:val="left"/>
      <w:lvlText w:val="%1.%2.%3"/>
      <w:numFmt w:val="decimal"/>
      <w:start w:val="1"/>
      <w:suff w:val="tab"/>
      <w:pPr>
        <w:autoSpaceDE w:val="0"/>
        <w:autoSpaceDN w:val="0"/>
        <w:ind w:left="420" w:firstLine="159"/>
      </w:pPr>
    </w:lvl>
    <w:lvl w:ilvl="3">
      <w:lvlJc w:val="left"/>
      <w:lvlText w:val="%1.%2.%3.%4"/>
      <w:numFmt w:val="decimal"/>
      <w:start w:val="1"/>
      <w:suff w:val="tab"/>
      <w:pPr>
        <w:autoSpaceDE w:val="0"/>
        <w:autoSpaceDN w:val="0"/>
        <w:ind w:left="420" w:firstLine="159"/>
      </w:pPr>
    </w:lvl>
    <w:lvl w:ilvl="4">
      <w:lvlJc w:val="left"/>
      <w:lvlText w:val="%1.%2.%3.%4.%5"/>
      <w:numFmt w:val="decimal"/>
      <w:start w:val="1"/>
      <w:suff w:val="tab"/>
      <w:pPr>
        <w:autoSpaceDE w:val="0"/>
        <w:autoSpaceDN w:val="0"/>
        <w:ind w:left="420" w:firstLine="159"/>
      </w:pPr>
    </w:lvl>
    <w:lvl w:ilvl="5">
      <w:lvlJc w:val="left"/>
      <w:lvlText w:val="%1.%2.%3.%4.%5.%6"/>
      <w:numFmt w:val="decimal"/>
      <w:start w:val="1"/>
      <w:suff w:val="tab"/>
      <w:pPr>
        <w:autoSpaceDE w:val="0"/>
        <w:autoSpaceDN w:val="0"/>
        <w:ind w:left="420" w:firstLine="159"/>
      </w:pPr>
    </w:lvl>
    <w:lvl w:ilvl="6">
      <w:lvlJc w:val="left"/>
      <w:lvlText w:val="%1.%2.%3.%4.%5.%6.%7"/>
      <w:numFmt w:val="decimal"/>
      <w:start w:val="1"/>
      <w:suff w:val="tab"/>
      <w:pPr>
        <w:autoSpaceDE w:val="0"/>
        <w:autoSpaceDN w:val="0"/>
        <w:ind w:left="420" w:firstLine="159"/>
      </w:pPr>
    </w:lvl>
    <w:lvl w:ilvl="7">
      <w:lvlJc w:val="left"/>
      <w:lvlText w:val="%1.%2.%3.%4.%5.%6.%7.%8"/>
      <w:numFmt w:val="decimal"/>
      <w:start w:val="1"/>
      <w:suff w:val="tab"/>
      <w:pPr>
        <w:autoSpaceDE w:val="0"/>
        <w:autoSpaceDN w:val="0"/>
        <w:ind w:left="420" w:firstLine="159"/>
      </w:pPr>
    </w:lvl>
    <w:lvl w:ilvl="8">
      <w:lvlJc w:val="left"/>
      <w:lvlText w:val="%1.%2.%3.%4.%5.%6.%7.%8.%9"/>
      <w:numFmt w:val="decimal"/>
      <w:start w:val="1"/>
      <w:suff w:val="tab"/>
      <w:pPr>
        <w:autoSpaceDE w:val="0"/>
        <w:autoSpaceDN w:val="0"/>
        <w:ind w:left="420" w:firstLine="159"/>
      </w:pPr>
    </w:lvl>
  </w:abstractNum>
  <w:abstractNum w:abstractNumId="166">
    <w:nsid w:val="484"/>
    <w:multiLevelType w:val="hybridMultilevel"/>
    <w:tmpl w:val="11833"/>
    <w:lvl w:ilvl="0" w:tplc="11834">
      <w:lvlJc w:val="left"/>
      <w:lvlText w:val="%1"/>
      <w:numFmt w:val="decimalZero"/>
      <w:start w:val="2016"/>
      <w:suff w:val="tab"/>
      <w:pPr>
        <w:autoSpaceDE w:val="0"/>
        <w:autoSpaceDN w:val="0"/>
        <w:ind w:left="1404" w:hanging="338"/>
        <w:tabs>
          <w:tab w:val="left" w:leader="none" w:pos="140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7">
    <w:nsid w:val="487"/>
    <w:multiLevelType w:val="hybridMultilevel"/>
    <w:tmpl w:val="11835"/>
    <w:lvl w:ilvl="0" w:tplc="11836">
      <w:lvlJc w:val="left"/>
      <w:lvlText w:val="%1"/>
      <w:numFmt w:val="decimal"/>
      <w:start w:val="4"/>
      <w:suff w:val="tab"/>
      <w:pPr>
        <w:autoSpaceDE w:val="0"/>
        <w:autoSpaceDN w:val="0"/>
        <w:ind w:left="347" w:hanging="113"/>
        <w:tabs>
          <w:tab w:val="left" w:leader="none" w:pos="34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8">
    <w:nsid w:val="48b"/>
    <w:multiLevelType w:val="hybridMultilevel"/>
    <w:tmpl w:val="11837"/>
    <w:lvl w:ilvl="0" w:tplc="11838">
      <w:lvlJc w:val="left"/>
      <w:lvlText w:val="%1"/>
      <w:numFmt w:val="decimal"/>
      <w:start w:val="6"/>
      <w:suff w:val="tab"/>
      <w:pPr>
        <w:autoSpaceDE w:val="0"/>
        <w:autoSpaceDN w:val="0"/>
        <w:ind w:left="410" w:hanging="113"/>
        <w:tabs>
          <w:tab w:val="left" w:leader="none" w:pos="4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69">
    <w:nsid w:val="49d"/>
    <w:multiLevelType w:val="hybridMultilevel"/>
    <w:tmpl w:val="11839"/>
    <w:lvl w:ilvl="0" w:tplc="1183a">
      <w:lvlJc w:val="left"/>
      <w:lvlText w:val="%1"/>
      <w:numFmt w:val="decimal"/>
      <w:start w:val="1"/>
      <w:suff w:val="tab"/>
      <w:pPr>
        <w:autoSpaceDE w:val="0"/>
        <w:autoSpaceDN w:val="0"/>
        <w:ind w:left="347" w:hanging="113"/>
        <w:tabs>
          <w:tab w:val="left" w:leader="none" w:pos="34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0">
    <w:nsid w:val="4a1"/>
    <w:multiLevelType w:val="hybridMultilevel"/>
    <w:tmpl w:val="1183b"/>
    <w:lvl w:ilvl="0" w:tplc="1183c">
      <w:lvlJc w:val="left"/>
      <w:lvlText w:val="%1"/>
      <w:numFmt w:val="decimal"/>
      <w:start w:val="1"/>
      <w:suff w:val="tab"/>
      <w:pPr>
        <w:autoSpaceDE w:val="0"/>
        <w:autoSpaceDN w:val="0"/>
        <w:ind w:left="410" w:hanging="113"/>
        <w:tabs>
          <w:tab w:val="left" w:leader="none" w:pos="4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1">
    <w:nsid w:val="4ba"/>
    <w:multiLevelType w:val="hybridMultilevel"/>
    <w:tmpl w:val="1183d"/>
    <w:lvl w:ilvl="0" w:tplc="1183e">
      <w:lvlJc w:val="left"/>
      <w:lvlText w:val="%1"/>
      <w:numFmt w:val="decimalZero"/>
      <w:start w:val="40"/>
      <w:suff w:val="tab"/>
      <w:pPr>
        <w:autoSpaceDE w:val="0"/>
        <w:autoSpaceDN w:val="0"/>
        <w:ind w:left="410" w:firstLine="32"/>
        <w:tabs>
          <w:tab w:val="left" w:leader="none" w:pos="4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2">
    <w:nsid w:val="4da"/>
    <w:multiLevelType w:val="hybridMultilevel"/>
    <w:tmpl w:val="1183f"/>
    <w:lvl w:ilvl="0" w:tplc="11840">
      <w:lvlJc w:val="left"/>
      <w:lvlText w:val="%1"/>
      <w:numFmt w:val="decimal"/>
      <w:start w:val="1"/>
      <w:suff w:val="tab"/>
      <w:pPr>
        <w:autoSpaceDE w:val="0"/>
        <w:autoSpaceDN w:val="0"/>
        <w:ind w:left="349" w:hanging="113"/>
        <w:tabs>
          <w:tab w:val="left" w:leader="none" w:pos="34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3">
    <w:nsid w:val="4dc"/>
    <w:multiLevelType w:val="hybridMultilevel"/>
    <w:tmpl w:val="11841"/>
    <w:lvl w:ilvl="0" w:tplc="11842">
      <w:lvlJc w:val="left"/>
      <w:lvlText w:val="%1"/>
      <w:numFmt w:val="decimal"/>
      <w:start w:val="1"/>
      <w:suff w:val="tab"/>
      <w:pPr>
        <w:autoSpaceDE w:val="0"/>
        <w:autoSpaceDN w:val="0"/>
        <w:ind w:left="410" w:hanging="113"/>
        <w:tabs>
          <w:tab w:val="left" w:leader="none" w:pos="4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4">
    <w:nsid w:val="4f3"/>
    <w:multiLevelType w:val="hybridMultilevel"/>
    <w:tmpl w:val="11843"/>
    <w:lvl w:ilvl="0" w:tplc="11844">
      <w:lvlJc w:val="left"/>
      <w:lvlText w:val="%1"/>
      <w:numFmt w:val="decimal"/>
      <w:start w:val="1"/>
      <w:suff w:val="tab"/>
      <w:pPr>
        <w:autoSpaceDE w:val="0"/>
        <w:autoSpaceDN w:val="0"/>
        <w:ind w:left="410" w:hanging="113"/>
        <w:tabs>
          <w:tab w:val="left" w:leader="none" w:pos="41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5">
    <w:nsid w:val="513"/>
    <w:multiLevelType w:val="hybridMultilevel"/>
    <w:tmpl w:val="11845"/>
    <w:lvl w:ilvl="0" w:tplc="11846">
      <w:lvlJc w:val="left"/>
      <w:lvlText w:val="%1"/>
      <w:numFmt w:val="decimalZero"/>
      <w:start w:val="2016"/>
      <w:suff w:val="tab"/>
      <w:pPr>
        <w:autoSpaceDE w:val="0"/>
        <w:autoSpaceDN w:val="0"/>
        <w:ind w:left="1399" w:hanging="338"/>
        <w:tabs>
          <w:tab w:val="left" w:leader="none" w:pos="139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6">
    <w:nsid w:val="516"/>
    <w:multiLevelType w:val="hybridMultilevel"/>
    <w:tmpl w:val="11847"/>
    <w:lvl w:ilvl="0" w:tplc="11848">
      <w:lvlJc w:val="left"/>
      <w:lvlText w:val="%1"/>
      <w:numFmt w:val="decimal"/>
      <w:start w:val="4"/>
      <w:suff w:val="tab"/>
      <w:pPr>
        <w:autoSpaceDE w:val="0"/>
        <w:autoSpaceDN w:val="0"/>
        <w:ind w:left="417" w:hanging="113"/>
        <w:tabs>
          <w:tab w:val="left" w:leader="none" w:pos="41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7">
    <w:nsid w:val="51a"/>
    <w:multiLevelType w:val="hybridMultilevel"/>
    <w:tmpl w:val="11849"/>
    <w:lvl w:ilvl="0" w:tplc="1184a">
      <w:lvlJc w:val="left"/>
      <w:lvlText w:val="%1"/>
      <w:numFmt w:val="decimal"/>
      <w:start w:val="4"/>
      <w:suff w:val="tab"/>
      <w:pPr>
        <w:autoSpaceDE w:val="0"/>
        <w:autoSpaceDN w:val="0"/>
        <w:ind w:left="385" w:hanging="113"/>
        <w:tabs>
          <w:tab w:val="left" w:leader="none" w:pos="38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8">
    <w:nsid w:val="51e"/>
    <w:multiLevelType w:val="hybridMultilevel"/>
    <w:tmpl w:val="1184b"/>
    <w:lvl w:ilvl="0" w:tplc="1184c">
      <w:lvlJc w:val="left"/>
      <w:lvlText w:val="%1"/>
      <w:numFmt w:val="decimal"/>
      <w:start w:val="3"/>
      <w:suff w:val="tab"/>
      <w:pPr>
        <w:autoSpaceDE w:val="0"/>
        <w:autoSpaceDN w:val="0"/>
        <w:ind w:left="417" w:hanging="113"/>
        <w:tabs>
          <w:tab w:val="left" w:leader="none" w:pos="41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79">
    <w:nsid w:val="52a"/>
    <w:multiLevelType w:val="hybridMultilevel"/>
    <w:tmpl w:val="1184d"/>
    <w:lvl w:ilvl="0" w:tplc="1184e">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0">
    <w:nsid w:val="510"/>
    <w:multiLevelType w:val="hybridMultilevel"/>
    <w:tmpl w:val="1184f"/>
    <w:lvl w:ilvl="0" w:tplc="11850">
      <w:lvlJc w:val="left"/>
      <w:lvlText w:val="%1"/>
      <w:numFmt w:val="decimal"/>
      <w:start w:val="2017"/>
      <w:suff w:val="tab"/>
      <w:pPr>
        <w:autoSpaceDE w:val="0"/>
        <w:autoSpaceDN w:val="0"/>
        <w:ind w:left="1858" w:hanging="473"/>
        <w:tabs>
          <w:tab w:val="left" w:leader="none" w:pos="185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1">
    <w:nsid w:val="551"/>
    <w:multiLevelType w:val="hybridMultilevel"/>
    <w:tmpl w:val="11851"/>
    <w:lvl w:ilvl="0" w:tplc="11852">
      <w:lvlJc w:val="left"/>
      <w:lvlText w:val="%1"/>
      <w:numFmt w:val="decimalZero"/>
      <w:start w:val="2016"/>
      <w:suff w:val="tab"/>
      <w:pPr>
        <w:autoSpaceDE w:val="0"/>
        <w:autoSpaceDN w:val="0"/>
        <w:ind w:left="1555" w:hanging="338"/>
        <w:tabs>
          <w:tab w:val="left" w:leader="none" w:pos="155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2">
    <w:nsid w:val="55c"/>
    <w:multiLevelType w:val="hybridMultilevel"/>
    <w:tmpl w:val="11853"/>
    <w:lvl w:ilvl="0" w:tplc="11854">
      <w:lvlJc w:val="left"/>
      <w:lvlText w:val="%1"/>
      <w:numFmt w:val="decimal"/>
      <w:start w:val="2"/>
      <w:suff w:val="tab"/>
      <w:pPr>
        <w:autoSpaceDE w:val="0"/>
        <w:autoSpaceDN w:val="0"/>
        <w:ind w:left="365" w:hanging="113"/>
        <w:tabs>
          <w:tab w:val="left" w:leader="none" w:pos="36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3">
    <w:nsid w:val="565"/>
    <w:multiLevelType w:val="hybridMultilevel"/>
    <w:tmpl w:val="11855"/>
    <w:lvl w:ilvl="0" w:tplc="11856">
      <w:lvlJc w:val="left"/>
      <w:lvlText w:val="%1"/>
      <w:numFmt w:val="decimal"/>
      <w:start w:val="3"/>
      <w:suff w:val="tab"/>
      <w:pPr>
        <w:autoSpaceDE w:val="0"/>
        <w:autoSpaceDN w:val="0"/>
        <w:ind w:left="365" w:hanging="113"/>
        <w:tabs>
          <w:tab w:val="left" w:leader="none" w:pos="36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4">
    <w:nsid w:val="56f"/>
    <w:multiLevelType w:val="hybridMultilevel"/>
    <w:tmpl w:val="11857"/>
    <w:lvl w:ilvl="0" w:tplc="11858">
      <w:lvlJc w:val="left"/>
      <w:lvlText w:val="%1"/>
      <w:numFmt w:val="decimal"/>
      <w:start w:val="2"/>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5">
    <w:nsid w:val="57f"/>
    <w:multiLevelType w:val="hybridMultilevel"/>
    <w:tmpl w:val="11859"/>
    <w:lvl w:ilvl="0" w:tplc="1185a">
      <w:lvlJc w:val="left"/>
      <w:lvlText w:val="%1"/>
      <w:numFmt w:val="decimal"/>
      <w:start w:val="1"/>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6">
    <w:nsid w:val="583"/>
    <w:multiLevelType w:val="hybridMultilevel"/>
    <w:tmpl w:val="1185b"/>
    <w:lvl w:ilvl="0" w:tplc="1185c">
      <w:lvlJc w:val="left"/>
      <w:lvlText w:val="%1"/>
      <w:numFmt w:val="decimal"/>
      <w:start w:val="1"/>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7">
    <w:nsid w:val="587"/>
    <w:multiLevelType w:val="hybridMultilevel"/>
    <w:tmpl w:val="1185d"/>
    <w:lvl w:ilvl="0" w:tplc="1185e">
      <w:lvlJc w:val="left"/>
      <w:lvlText w:val="%1"/>
      <w:numFmt w:val="decimal"/>
      <w:start w:val="1"/>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8">
    <w:nsid w:val="58a"/>
    <w:multiLevelType w:val="hybridMultilevel"/>
    <w:tmpl w:val="1185f"/>
    <w:lvl w:ilvl="0" w:tplc="11860">
      <w:lvlJc w:val="left"/>
      <w:lvlText w:val="%1"/>
      <w:numFmt w:val="decimalZero"/>
      <w:start w:val="56"/>
      <w:suff w:val="tab"/>
      <w:pPr>
        <w:autoSpaceDE w:val="0"/>
        <w:autoSpaceDN w:val="0"/>
        <w:ind w:left="402" w:firstLine="41"/>
        <w:tabs>
          <w:tab w:val="left" w:leader="none" w:pos="40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89">
    <w:nsid w:val="58b"/>
    <w:multiLevelType w:val="hybridMultilevel"/>
    <w:tmpl w:val="11861"/>
    <w:lvl w:ilvl="0" w:tplc="11862">
      <w:lvlJc w:val="left"/>
      <w:lvlText w:val="%1"/>
      <w:numFmt w:val="decimal"/>
      <w:start w:val="1"/>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0">
    <w:nsid w:val="58f"/>
    <w:multiLevelType w:val="hybridMultilevel"/>
    <w:tmpl w:val="11863"/>
    <w:lvl w:ilvl="0" w:tplc="11864">
      <w:lvlJc w:val="left"/>
      <w:lvlText w:val="%1"/>
      <w:numFmt w:val="decimal"/>
      <w:start w:val="1"/>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1">
    <w:nsid w:val="593"/>
    <w:multiLevelType w:val="hybridMultilevel"/>
    <w:tmpl w:val="11865"/>
    <w:lvl w:ilvl="0" w:tplc="11866">
      <w:lvlJc w:val="left"/>
      <w:lvlText w:val="%1"/>
      <w:numFmt w:val="decimal"/>
      <w:start w:val="1"/>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2">
    <w:nsid w:val="596"/>
    <w:multiLevelType w:val="hybridMultilevel"/>
    <w:tmpl w:val="11867"/>
    <w:lvl w:ilvl="0" w:tplc="11868">
      <w:lvlJc w:val="left"/>
      <w:lvlText w:val="%1"/>
      <w:numFmt w:val="decimalZero"/>
      <w:start w:val="43"/>
      <w:suff w:val="tab"/>
      <w:pPr>
        <w:autoSpaceDE w:val="0"/>
        <w:autoSpaceDN w:val="0"/>
        <w:ind w:left="391" w:firstLine="5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3">
    <w:nsid w:val="59c"/>
    <w:multiLevelType w:val="hybridMultilevel"/>
    <w:tmpl w:val="11869"/>
    <w:lvl w:ilvl="0" w:tplc="1186a">
      <w:lvlJc w:val="left"/>
      <w:lvlText w:val="%1"/>
      <w:numFmt w:val="decimal"/>
      <w:start w:val="1"/>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4">
    <w:nsid w:val="5a2"/>
    <w:multiLevelType w:val="hybridMultilevel"/>
    <w:tmpl w:val="1186b"/>
    <w:lvl w:ilvl="0" w:tplc="1186c">
      <w:lvlJc w:val="left"/>
      <w:lvlText w:val="%1"/>
      <w:numFmt w:val="decimal"/>
      <w:start w:val="1"/>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5">
    <w:nsid w:val="5ae"/>
    <w:multiLevelType w:val="hybridMultilevel"/>
    <w:tmpl w:val="1186d"/>
    <w:lvl w:ilvl="0" w:tplc="1186e">
      <w:lvlJc w:val="left"/>
      <w:lvlText w:val="%1"/>
      <w:numFmt w:val="decimal"/>
      <w:start w:val="1"/>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6">
    <w:nsid w:val="5c8"/>
    <w:multiLevelType w:val="hybridMultilevel"/>
    <w:tmpl w:val="1186f"/>
    <w:lvl w:ilvl="0" w:tplc="11870">
      <w:lvlJc w:val="left"/>
      <w:lvlText w:val="%1"/>
      <w:numFmt w:val="decimal"/>
      <w:start w:val="1"/>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7">
    <w:nsid w:val="5cc"/>
    <w:multiLevelType w:val="hybridMultilevel"/>
    <w:tmpl w:val="11871"/>
    <w:lvl w:ilvl="0" w:tplc="11872">
      <w:lvlJc w:val="left"/>
      <w:lvlText w:val="%1"/>
      <w:numFmt w:val="decimal"/>
      <w:start w:val="1"/>
      <w:suff w:val="tab"/>
      <w:pPr>
        <w:autoSpaceDE w:val="0"/>
        <w:autoSpaceDN w:val="0"/>
        <w:ind w:left="401" w:hanging="113"/>
        <w:tabs>
          <w:tab w:val="left" w:leader="none" w:pos="4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8">
    <w:nsid w:val="5d7"/>
    <w:multiLevelType w:val="hybridMultilevel"/>
    <w:tmpl w:val="11873"/>
    <w:lvl w:ilvl="0" w:tplc="11874">
      <w:lvlJc w:val="left"/>
      <w:lvlText w:val="%1"/>
      <w:numFmt w:val="decimal"/>
      <w:start w:val="1"/>
      <w:suff w:val="tab"/>
      <w:pPr>
        <w:autoSpaceDE w:val="0"/>
        <w:autoSpaceDN w:val="0"/>
        <w:ind w:left="391" w:hanging="113"/>
        <w:tabs>
          <w:tab w:val="left" w:leader="none" w:pos="39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199">
    <w:nsid w:val="54f"/>
    <w:multiLevelType w:val="hybridMultilevel"/>
    <w:tmpl w:val="11875"/>
    <w:lvl w:ilvl="0" w:tplc="11876">
      <w:lvlJc w:val="left"/>
      <w:lvlText w:val="%1"/>
      <w:numFmt w:val="decimalZero"/>
      <w:start w:val="2017"/>
      <w:suff w:val="tab"/>
      <w:pPr>
        <w:autoSpaceDE w:val="0"/>
        <w:autoSpaceDN w:val="0"/>
        <w:ind w:left="1864" w:hanging="479"/>
        <w:tabs>
          <w:tab w:val="left" w:leader="none" w:pos="186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0">
    <w:nsid w:val="5e5"/>
    <w:multiLevelType w:val="hybridMultilevel"/>
    <w:tmpl w:val="11877"/>
    <w:lvl w:ilvl="0" w:tplc="11878">
      <w:lvlJc w:val="left"/>
      <w:lvlText w:val="%1"/>
      <w:numFmt w:val="decimalZero"/>
      <w:start w:val="2016"/>
      <w:suff w:val="tab"/>
      <w:pPr>
        <w:autoSpaceDE w:val="0"/>
        <w:autoSpaceDN w:val="0"/>
        <w:ind w:left="1347" w:hanging="338"/>
        <w:tabs>
          <w:tab w:val="left" w:leader="none" w:pos="134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1">
    <w:nsid w:val="5fa"/>
    <w:multiLevelType w:val="hybridMultilevel"/>
    <w:tmpl w:val="11879"/>
    <w:lvl w:ilvl="0" w:tplc="1187a">
      <w:lvlJc w:val="left"/>
      <w:lvlText w:val="%1"/>
      <w:numFmt w:val="decimal"/>
      <w:start w:val="2"/>
      <w:suff w:val="tab"/>
      <w:pPr>
        <w:autoSpaceDE w:val="0"/>
        <w:autoSpaceDN w:val="0"/>
        <w:ind w:left="372" w:hanging="113"/>
        <w:tabs>
          <w:tab w:val="left" w:leader="none" w:pos="37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2">
    <w:nsid w:val="600"/>
    <w:multiLevelType w:val="hybridMultilevel"/>
    <w:tmpl w:val="1187b"/>
    <w:lvl w:ilvl="0" w:tplc="1187c">
      <w:lvlJc w:val="left"/>
      <w:lvlText w:val="%1"/>
      <w:numFmt w:val="decimal"/>
      <w:start w:val="3"/>
      <w:suff w:val="tab"/>
      <w:pPr>
        <w:autoSpaceDE w:val="0"/>
        <w:autoSpaceDN w:val="0"/>
        <w:ind w:left="372" w:hanging="113"/>
        <w:tabs>
          <w:tab w:val="left" w:leader="none" w:pos="37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3">
    <w:nsid w:val="60c"/>
    <w:multiLevelType w:val="hybridMultilevel"/>
    <w:tmpl w:val="1187d"/>
    <w:lvl w:ilvl="0" w:tplc="1187e">
      <w:lvlJc w:val="left"/>
      <w:lvlText w:val="%1"/>
      <w:numFmt w:val="decimal"/>
      <w:start w:val="2"/>
      <w:suff w:val="tab"/>
      <w:pPr>
        <w:autoSpaceDE w:val="0"/>
        <w:autoSpaceDN w:val="0"/>
        <w:ind w:left="372" w:hanging="113"/>
        <w:tabs>
          <w:tab w:val="left" w:leader="none" w:pos="37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4">
    <w:nsid w:val="61e"/>
    <w:multiLevelType w:val="hybridMultilevel"/>
    <w:tmpl w:val="1187f"/>
    <w:lvl w:ilvl="0" w:tplc="11880">
      <w:lvlJc w:val="left"/>
      <w:lvlText w:val="%1"/>
      <w:numFmt w:val="decimal"/>
      <w:start w:val="4"/>
      <w:suff w:val="tab"/>
      <w:pPr>
        <w:autoSpaceDE w:val="0"/>
        <w:autoSpaceDN w:val="0"/>
        <w:ind w:left="371" w:hanging="113"/>
        <w:tabs>
          <w:tab w:val="left" w:leader="none" w:pos="37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5">
    <w:nsid w:val="625"/>
    <w:multiLevelType w:val="hybridMultilevel"/>
    <w:tmpl w:val="11881"/>
    <w:lvl w:ilvl="0" w:tplc="11882">
      <w:lvlJc w:val="left"/>
      <w:lvlText w:val="%1"/>
      <w:numFmt w:val="decimal"/>
      <w:start w:val="4"/>
      <w:suff w:val="tab"/>
      <w:pPr>
        <w:autoSpaceDE w:val="0"/>
        <w:autoSpaceDN w:val="0"/>
        <w:ind w:left="371" w:hanging="113"/>
        <w:tabs>
          <w:tab w:val="left" w:leader="none" w:pos="37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6">
    <w:nsid w:val="63f"/>
    <w:multiLevelType w:val="hybridMultilevel"/>
    <w:tmpl w:val="11883"/>
    <w:lvl w:ilvl="0" w:tplc="11884">
      <w:lvlJc w:val="left"/>
      <w:lvlText w:val="%1"/>
      <w:numFmt w:val="decimal"/>
      <w:start w:val="4"/>
      <w:suff w:val="tab"/>
      <w:pPr>
        <w:autoSpaceDE w:val="0"/>
        <w:autoSpaceDN w:val="0"/>
        <w:ind w:left="371" w:hanging="113"/>
        <w:tabs>
          <w:tab w:val="left" w:leader="none" w:pos="37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7">
    <w:nsid w:val="64e"/>
    <w:multiLevelType w:val="hybridMultilevel"/>
    <w:tmpl w:val="11885"/>
    <w:lvl w:ilvl="0" w:tplc="11886">
      <w:lvlJc w:val="left"/>
      <w:lvlText w:val="%1"/>
      <w:numFmt w:val="decimal"/>
      <w:start w:val="3"/>
      <w:suff w:val="tab"/>
      <w:pPr>
        <w:autoSpaceDE w:val="0"/>
        <w:autoSpaceDN w:val="0"/>
        <w:ind w:left="371" w:hanging="113"/>
        <w:tabs>
          <w:tab w:val="left" w:leader="none" w:pos="37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8">
    <w:nsid w:val="659"/>
    <w:multiLevelType w:val="hybridMultilevel"/>
    <w:tmpl w:val="11887"/>
    <w:lvl w:ilvl="0" w:tplc="11888">
      <w:lvlJc w:val="left"/>
      <w:lvlText w:val="%1"/>
      <w:numFmt w:val="decimal"/>
      <w:start w:val="2"/>
      <w:suff w:val="tab"/>
      <w:pPr>
        <w:autoSpaceDE w:val="0"/>
        <w:autoSpaceDN w:val="0"/>
        <w:ind w:left="336" w:hanging="113"/>
        <w:tabs>
          <w:tab w:val="left" w:leader="none" w:pos="33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09">
    <w:nsid w:val="661"/>
    <w:multiLevelType w:val="hybridMultilevel"/>
    <w:tmpl w:val="11889"/>
    <w:lvl w:ilvl="0" w:tplc="1188a">
      <w:lvlJc w:val="left"/>
      <w:lvlText w:val="%1"/>
      <w:numFmt w:val="decimal"/>
      <w:start w:val="2017"/>
      <w:suff w:val="tab"/>
      <w:pPr>
        <w:autoSpaceDE w:val="0"/>
        <w:autoSpaceDN w:val="0"/>
        <w:ind w:left="966" w:firstLine="420"/>
        <w:tabs>
          <w:tab w:val="left" w:leader="none" w:pos="186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0">
    <w:nsid w:val="666"/>
    <w:multiLevelType w:val="hybridMultilevel"/>
    <w:tmpl w:val="1188b"/>
    <w:lvl w:ilvl="0" w:tplc="1188c">
      <w:lvlJc w:val="left"/>
      <w:lvlText w:val="%1"/>
      <w:numFmt w:val="decimalZero"/>
      <w:start w:val="2016"/>
      <w:suff w:val="tab"/>
      <w:pPr>
        <w:autoSpaceDE w:val="0"/>
        <w:autoSpaceDN w:val="0"/>
        <w:ind w:left="1347" w:hanging="338"/>
        <w:tabs>
          <w:tab w:val="left" w:leader="none" w:pos="134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1">
    <w:nsid w:val="669"/>
    <w:multiLevelType w:val="hybridMultilevel"/>
    <w:tmpl w:val="1188d"/>
    <w:lvl w:ilvl="0" w:tplc="1188e">
      <w:lvlJc w:val="left"/>
      <w:lvlText w:val="%1"/>
      <w:numFmt w:val="decimal"/>
      <w:start w:val="3"/>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2">
    <w:nsid w:val="670"/>
    <w:multiLevelType w:val="hybridMultilevel"/>
    <w:tmpl w:val="1188f"/>
    <w:lvl w:ilvl="0" w:tplc="11890">
      <w:lvlJc w:val="left"/>
      <w:lvlText w:val="%1"/>
      <w:numFmt w:val="decimal"/>
      <w:start w:val="3"/>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3">
    <w:nsid w:val="677"/>
    <w:multiLevelType w:val="hybridMultilevel"/>
    <w:tmpl w:val="11891"/>
    <w:lvl w:ilvl="0" w:tplc="11892">
      <w:lvlJc w:val="left"/>
      <w:lvlText w:val="%1"/>
      <w:numFmt w:val="decimal"/>
      <w:start w:val="3"/>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4">
    <w:nsid w:val="67e"/>
    <w:multiLevelType w:val="hybridMultilevel"/>
    <w:tmpl w:val="11893"/>
    <w:lvl w:ilvl="0" w:tplc="11894">
      <w:lvlJc w:val="left"/>
      <w:lvlText w:val="%1"/>
      <w:numFmt w:val="decimal"/>
      <w:start w:val="2"/>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5">
    <w:nsid w:val="682"/>
    <w:multiLevelType w:val="hybridMultilevel"/>
    <w:tmpl w:val="11895"/>
    <w:lvl w:ilvl="0" w:tplc="11896">
      <w:lvlJc w:val="left"/>
      <w:lvlText w:val="%1"/>
      <w:numFmt w:val="decimal"/>
      <w:start w:val="2"/>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6">
    <w:nsid w:val="698"/>
    <w:multiLevelType w:val="hybridMultilevel"/>
    <w:tmpl w:val="11897"/>
    <w:lvl w:ilvl="0" w:tplc="11898">
      <w:lvlJc w:val="left"/>
      <w:lvlText w:val="%1"/>
      <w:numFmt w:val="decimal"/>
      <w:start w:val="1"/>
      <w:suff w:val="tab"/>
      <w:pPr>
        <w:autoSpaceDE w:val="0"/>
        <w:autoSpaceDN w:val="0"/>
        <w:ind w:left="375" w:hanging="113"/>
        <w:tabs>
          <w:tab w:val="left" w:leader="none" w:pos="37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7">
    <w:nsid w:val="69c"/>
    <w:multiLevelType w:val="hybridMultilevel"/>
    <w:tmpl w:val="11899"/>
    <w:lvl w:ilvl="0" w:tplc="1189a">
      <w:lvlJc w:val="left"/>
      <w:lvlText w:val="%1"/>
      <w:numFmt w:val="decimal"/>
      <w:start w:val="1"/>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8">
    <w:nsid w:val="6a0"/>
    <w:multiLevelType w:val="hybridMultilevel"/>
    <w:tmpl w:val="1189b"/>
    <w:lvl w:ilvl="0" w:tplc="1189c">
      <w:lvlJc w:val="left"/>
      <w:lvlText w:val="%1"/>
      <w:numFmt w:val="decimal"/>
      <w:start w:val="3"/>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19">
    <w:nsid w:val="6a5"/>
    <w:multiLevelType w:val="hybridMultilevel"/>
    <w:tmpl w:val="1189d"/>
    <w:lvl w:ilvl="0" w:tplc="1189e">
      <w:lvlJc w:val="left"/>
      <w:lvlText w:val="%1"/>
      <w:numFmt w:val="decimal"/>
      <w:start w:val="3"/>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0">
    <w:nsid w:val="6b2"/>
    <w:multiLevelType w:val="hybridMultilevel"/>
    <w:tmpl w:val="1189f"/>
    <w:lvl w:ilvl="0" w:tplc="118a0">
      <w:lvlJc w:val="left"/>
      <w:lvlText w:val="%1"/>
      <w:numFmt w:val="decimal"/>
      <w:start w:val="1"/>
      <w:suff w:val="tab"/>
      <w:pPr>
        <w:autoSpaceDE w:val="0"/>
        <w:autoSpaceDN w:val="0"/>
        <w:ind w:left="354" w:hanging="113"/>
        <w:tabs>
          <w:tab w:val="left" w:leader="none" w:pos="35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1">
    <w:nsid w:val="663"/>
    <w:multiLevelType w:val="hybridMultilevel"/>
    <w:tmpl w:val="118a1"/>
    <w:lvl w:ilvl="0" w:tplc="118a2">
      <w:lvlJc w:val="left"/>
      <w:lvlText w:val="%1"/>
      <w:numFmt w:val="decimal"/>
      <w:start w:val="2017"/>
      <w:suff w:val="tab"/>
      <w:pPr>
        <w:autoSpaceDE w:val="0"/>
        <w:autoSpaceDN w:val="0"/>
        <w:ind w:left="966" w:firstLine="420"/>
        <w:tabs>
          <w:tab w:val="left" w:leader="none" w:pos="186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2">
    <w:nsid w:val="6bd"/>
    <w:multiLevelType w:val="hybridMultilevel"/>
    <w:tmpl w:val="118a3"/>
    <w:lvl w:ilvl="0" w:tplc="118a4">
      <w:lvlJc w:val="left"/>
      <w:lvlText w:val="%1"/>
      <w:numFmt w:val="decimalZero"/>
      <w:start w:val="2016"/>
      <w:suff w:val="tab"/>
      <w:pPr>
        <w:autoSpaceDE w:val="0"/>
        <w:autoSpaceDN w:val="0"/>
        <w:ind w:left="1347" w:hanging="338"/>
        <w:tabs>
          <w:tab w:val="left" w:leader="none" w:pos="134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3">
    <w:nsid w:val="6c0"/>
    <w:multiLevelType w:val="hybridMultilevel"/>
    <w:tmpl w:val="118a5"/>
    <w:lvl w:ilvl="0" w:tplc="118a6">
      <w:lvlJc w:val="left"/>
      <w:lvlText w:val="%1"/>
      <w:numFmt w:val="decimal"/>
      <w:start w:val="3"/>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4">
    <w:nsid w:val="6cf"/>
    <w:multiLevelType w:val="hybridMultilevel"/>
    <w:tmpl w:val="118a7"/>
    <w:lvl w:ilvl="0" w:tplc="118a8">
      <w:lvlJc w:val="left"/>
      <w:lvlText w:val="%1"/>
      <w:numFmt w:val="decimal"/>
      <w:start w:val="2"/>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5">
    <w:nsid w:val="6d6"/>
    <w:multiLevelType w:val="hybridMultilevel"/>
    <w:tmpl w:val="118a9"/>
    <w:lvl w:ilvl="0" w:tplc="118aa">
      <w:lvlJc w:val="left"/>
      <w:lvlText w:val="%1"/>
      <w:numFmt w:val="decimal"/>
      <w:start w:val="2"/>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6">
    <w:nsid w:val="6e8"/>
    <w:multiLevelType w:val="hybridMultilevel"/>
    <w:tmpl w:val="118ab"/>
    <w:lvl w:ilvl="0" w:tplc="118ac">
      <w:lvlJc w:val="left"/>
      <w:lvlText w:val="%1"/>
      <w:numFmt w:val="decimalZero"/>
      <w:start w:val="2016"/>
      <w:suff w:val="tab"/>
      <w:pPr>
        <w:autoSpaceDE w:val="0"/>
        <w:autoSpaceDN w:val="0"/>
        <w:ind w:left="1347" w:hanging="338"/>
        <w:tabs>
          <w:tab w:val="left" w:leader="none" w:pos="134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7">
    <w:nsid w:val="6eb"/>
    <w:multiLevelType w:val="hybridMultilevel"/>
    <w:tmpl w:val="118ad"/>
    <w:lvl w:ilvl="0" w:tplc="118ae">
      <w:lvlJc w:val="left"/>
      <w:lvlText w:val="%1"/>
      <w:numFmt w:val="decimal"/>
      <w:start w:val="6"/>
      <w:suff w:val="tab"/>
      <w:pPr>
        <w:autoSpaceDE w:val="0"/>
        <w:autoSpaceDN w:val="0"/>
        <w:ind w:left="336" w:hanging="113"/>
        <w:tabs>
          <w:tab w:val="left" w:leader="none" w:pos="33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8">
    <w:nsid w:val="6ef"/>
    <w:multiLevelType w:val="hybridMultilevel"/>
    <w:tmpl w:val="118af"/>
    <w:lvl w:ilvl="0" w:tplc="118b0">
      <w:lvlJc w:val="left"/>
      <w:lvlText w:val="%1"/>
      <w:numFmt w:val="decimal"/>
      <w:start w:val="8"/>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29">
    <w:nsid w:val="702"/>
    <w:multiLevelType w:val="hybridMultilevel"/>
    <w:tmpl w:val="118b1"/>
    <w:lvl w:ilvl="0" w:tplc="118b2">
      <w:lvlJc w:val="left"/>
      <w:lvlText w:val="%1"/>
      <w:numFmt w:val="decimal"/>
      <w:start w:val="3"/>
      <w:suff w:val="tab"/>
      <w:pPr>
        <w:autoSpaceDE w:val="0"/>
        <w:autoSpaceDN w:val="0"/>
        <w:ind w:left="336" w:hanging="113"/>
        <w:tabs>
          <w:tab w:val="left" w:leader="none" w:pos="33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0">
    <w:nsid w:val="709"/>
    <w:multiLevelType w:val="hybridMultilevel"/>
    <w:tmpl w:val="118b3"/>
    <w:lvl w:ilvl="0" w:tplc="118b4">
      <w:lvlJc w:val="left"/>
      <w:lvlText w:val="%1"/>
      <w:numFmt w:val="decimal"/>
      <w:start w:val="3"/>
      <w:suff w:val="tab"/>
      <w:pPr>
        <w:autoSpaceDE w:val="0"/>
        <w:autoSpaceDN w:val="0"/>
        <w:ind w:left="336" w:hanging="113"/>
        <w:tabs>
          <w:tab w:val="left" w:leader="none" w:pos="33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1">
    <w:nsid w:val="70f"/>
    <w:multiLevelType w:val="hybridMultilevel"/>
    <w:tmpl w:val="118b5"/>
    <w:lvl w:ilvl="0" w:tplc="118b6">
      <w:lvlJc w:val="left"/>
      <w:lvlText w:val="%1"/>
      <w:numFmt w:val="decimalZero"/>
      <w:start w:val="2016"/>
      <w:suff w:val="tab"/>
      <w:pPr>
        <w:autoSpaceDE w:val="0"/>
        <w:autoSpaceDN w:val="0"/>
        <w:ind w:left="1347" w:hanging="338"/>
        <w:tabs>
          <w:tab w:val="left" w:leader="none" w:pos="134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2">
    <w:nsid w:val="712"/>
    <w:multiLevelType w:val="hybridMultilevel"/>
    <w:tmpl w:val="118b7"/>
    <w:lvl w:ilvl="0" w:tplc="118b8">
      <w:lvlJc w:val="left"/>
      <w:lvlText w:val="%1"/>
      <w:numFmt w:val="decimal"/>
      <w:start w:val="5"/>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3">
    <w:nsid w:val="716"/>
    <w:multiLevelType w:val="hybridMultilevel"/>
    <w:tmpl w:val="118b9"/>
    <w:lvl w:ilvl="0" w:tplc="118ba">
      <w:lvlJc w:val="left"/>
      <w:lvlText w:val="%1"/>
      <w:numFmt w:val="decimal"/>
      <w:start w:val="7"/>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4">
    <w:nsid w:val="717"/>
    <w:multiLevelType w:val="multilevel"/>
    <w:tmpl w:val="118bb"/>
    <w:lvl w:ilvl="0">
      <w:lvlJc w:val="left"/>
      <w:lvlText w:val="%1"/>
      <w:numFmt w:val="decimal"/>
      <w:start w:val="16"/>
      <w:suff w:val="tab"/>
      <w:pPr>
        <w:autoSpaceDE w:val="0"/>
        <w:autoSpaceDN w:val="0"/>
        <w:ind w:left="374" w:hanging="188"/>
        <w:tabs>
          <w:tab w:val="left" w:leader="none" w:pos="374"/>
        </w:tabs>
      </w:pPr>
    </w:lvl>
    <w:lvl w:ilvl="1">
      <w:lvlJc w:val="left"/>
      <w:lvlText w:val="%1.%2"/>
      <w:numFmt w:val="decimal"/>
      <w:start w:val="29"/>
      <w:suff w:val="tab"/>
      <w:pPr>
        <w:autoSpaceDE w:val="0"/>
        <w:autoSpaceDN w:val="0"/>
        <w:ind w:left="420" w:hanging="55"/>
        <w:tabs>
          <w:tab w:val="left" w:leader="none" w:pos="420"/>
        </w:tabs>
      </w:pPr>
    </w:lvl>
    <w:lvl w:ilvl="2">
      <w:lvlJc w:val="left"/>
      <w:lvlText w:val="%1.%2.%3"/>
      <w:numFmt w:val="decimal"/>
      <w:start w:val="1"/>
      <w:suff w:val="tab"/>
      <w:pPr>
        <w:autoSpaceDE w:val="0"/>
        <w:autoSpaceDN w:val="0"/>
        <w:ind w:left="420" w:hanging="55"/>
      </w:pPr>
    </w:lvl>
    <w:lvl w:ilvl="3">
      <w:lvlJc w:val="left"/>
      <w:lvlText w:val="%1.%2.%3.%4"/>
      <w:numFmt w:val="decimal"/>
      <w:start w:val="1"/>
      <w:suff w:val="tab"/>
      <w:pPr>
        <w:autoSpaceDE w:val="0"/>
        <w:autoSpaceDN w:val="0"/>
        <w:ind w:left="420" w:hanging="55"/>
      </w:pPr>
    </w:lvl>
    <w:lvl w:ilvl="4">
      <w:lvlJc w:val="left"/>
      <w:lvlText w:val="%1.%2.%3.%4.%5"/>
      <w:numFmt w:val="decimal"/>
      <w:start w:val="1"/>
      <w:suff w:val="tab"/>
      <w:pPr>
        <w:autoSpaceDE w:val="0"/>
        <w:autoSpaceDN w:val="0"/>
        <w:ind w:left="420" w:hanging="55"/>
      </w:pPr>
    </w:lvl>
    <w:lvl w:ilvl="5">
      <w:lvlJc w:val="left"/>
      <w:lvlText w:val="%1.%2.%3.%4.%5.%6"/>
      <w:numFmt w:val="decimal"/>
      <w:start w:val="1"/>
      <w:suff w:val="tab"/>
      <w:pPr>
        <w:autoSpaceDE w:val="0"/>
        <w:autoSpaceDN w:val="0"/>
        <w:ind w:left="420" w:hanging="55"/>
      </w:pPr>
    </w:lvl>
    <w:lvl w:ilvl="6">
      <w:lvlJc w:val="left"/>
      <w:lvlText w:val="%1.%2.%3.%4.%5.%6.%7"/>
      <w:numFmt w:val="decimal"/>
      <w:start w:val="1"/>
      <w:suff w:val="tab"/>
      <w:pPr>
        <w:autoSpaceDE w:val="0"/>
        <w:autoSpaceDN w:val="0"/>
        <w:ind w:left="420" w:hanging="55"/>
      </w:pPr>
    </w:lvl>
    <w:lvl w:ilvl="7">
      <w:lvlJc w:val="left"/>
      <w:lvlText w:val="%1.%2.%3.%4.%5.%6.%7.%8"/>
      <w:numFmt w:val="decimal"/>
      <w:start w:val="1"/>
      <w:suff w:val="tab"/>
      <w:pPr>
        <w:autoSpaceDE w:val="0"/>
        <w:autoSpaceDN w:val="0"/>
        <w:ind w:left="420" w:hanging="55"/>
      </w:pPr>
    </w:lvl>
    <w:lvl w:ilvl="8">
      <w:lvlJc w:val="left"/>
      <w:lvlText w:val="%1.%2.%3.%4.%5.%6.%7.%8.%9"/>
      <w:numFmt w:val="decimal"/>
      <w:start w:val="1"/>
      <w:suff w:val="tab"/>
      <w:pPr>
        <w:autoSpaceDE w:val="0"/>
        <w:autoSpaceDN w:val="0"/>
        <w:ind w:left="420" w:hanging="55"/>
      </w:pPr>
    </w:lvl>
  </w:abstractNum>
  <w:abstractNum w:abstractNumId="235">
    <w:nsid w:val="722"/>
    <w:multiLevelType w:val="hybridMultilevel"/>
    <w:tmpl w:val="118c5"/>
    <w:lvl w:ilvl="0" w:tplc="118c6">
      <w:lvlJc w:val="left"/>
      <w:lvlText w:val="%1"/>
      <w:numFmt w:val="decimal"/>
      <w:start w:val="3"/>
      <w:suff w:val="tab"/>
      <w:pPr>
        <w:autoSpaceDE w:val="0"/>
        <w:autoSpaceDN w:val="0"/>
        <w:ind w:left="373" w:hanging="113"/>
        <w:tabs>
          <w:tab w:val="left" w:leader="none" w:pos="37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6">
    <w:nsid w:val="736"/>
    <w:multiLevelType w:val="hybridMultilevel"/>
    <w:tmpl w:val="118c7"/>
    <w:lvl w:ilvl="0" w:tplc="118c8">
      <w:lvlJc w:val="left"/>
      <w:lvlText w:val="%1"/>
      <w:numFmt w:val="decimal"/>
      <w:start w:val="3"/>
      <w:suff w:val="tab"/>
      <w:pPr>
        <w:autoSpaceDE w:val="0"/>
        <w:autoSpaceDN w:val="0"/>
        <w:ind w:left="354" w:hanging="113"/>
        <w:tabs>
          <w:tab w:val="left" w:leader="none" w:pos="35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7">
    <w:nsid w:val="740"/>
    <w:multiLevelType w:val="hybridMultilevel"/>
    <w:tmpl w:val="118c9"/>
    <w:lvl w:ilvl="0" w:tplc="118ca">
      <w:lvlJc w:val="left"/>
      <w:lvlText w:val="%1"/>
      <w:numFmt w:val="decimalZero"/>
      <w:start w:val="2017"/>
      <w:suff w:val="tab"/>
      <w:pPr>
        <w:autoSpaceDE w:val="0"/>
        <w:autoSpaceDN w:val="0"/>
        <w:ind w:left="0" w:firstLine="480"/>
        <w:tabs>
          <w:tab w:val="left" w:leader="none" w:pos="102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38">
    <w:nsid w:val="747"/>
    <w:multiLevelType w:val="multilevel"/>
    <w:tmpl w:val="118cb"/>
    <w:lvl w:ilvl="0">
      <w:lvlJc w:val="left"/>
      <w:lvlText w:val="%1"/>
      <w:numFmt w:val="decimal"/>
      <w:start w:val="6"/>
      <w:suff w:val="tab"/>
      <w:pPr>
        <w:autoSpaceDE w:val="0"/>
        <w:autoSpaceDN w:val="0"/>
        <w:ind w:left="581" w:hanging="113"/>
        <w:tabs>
          <w:tab w:val="left" w:leader="none" w:pos="581"/>
        </w:tabs>
      </w:pPr>
    </w:lvl>
    <w:lvl w:ilvl="1">
      <w:lvlJc w:val="left"/>
      <w:lvlText w:val="%1.%2"/>
      <w:numFmt w:val="decimal"/>
      <w:start w:val="34"/>
      <w:suff w:val="tab"/>
      <w:pPr>
        <w:autoSpaceDE w:val="0"/>
        <w:autoSpaceDN w:val="0"/>
        <w:ind w:left="420" w:firstLine="201"/>
        <w:tabs>
          <w:tab w:val="left" w:leader="none" w:pos="420"/>
        </w:tabs>
      </w:pPr>
    </w:lvl>
    <w:lvl w:ilvl="2">
      <w:lvlJc w:val="left"/>
      <w:lvlText w:val="%1.%2.%3"/>
      <w:numFmt w:val="decimal"/>
      <w:start w:val="1"/>
      <w:suff w:val="tab"/>
      <w:pPr>
        <w:autoSpaceDE w:val="0"/>
        <w:autoSpaceDN w:val="0"/>
        <w:ind w:left="420" w:firstLine="201"/>
      </w:pPr>
    </w:lvl>
    <w:lvl w:ilvl="3">
      <w:lvlJc w:val="left"/>
      <w:lvlText w:val="%1.%2.%3.%4"/>
      <w:numFmt w:val="decimal"/>
      <w:start w:val="1"/>
      <w:suff w:val="tab"/>
      <w:pPr>
        <w:autoSpaceDE w:val="0"/>
        <w:autoSpaceDN w:val="0"/>
        <w:ind w:left="420" w:firstLine="201"/>
      </w:pPr>
    </w:lvl>
    <w:lvl w:ilvl="4">
      <w:lvlJc w:val="left"/>
      <w:lvlText w:val="%1.%2.%3.%4.%5"/>
      <w:numFmt w:val="decimal"/>
      <w:start w:val="1"/>
      <w:suff w:val="tab"/>
      <w:pPr>
        <w:autoSpaceDE w:val="0"/>
        <w:autoSpaceDN w:val="0"/>
        <w:ind w:left="420" w:firstLine="201"/>
      </w:pPr>
    </w:lvl>
    <w:lvl w:ilvl="5">
      <w:lvlJc w:val="left"/>
      <w:lvlText w:val="%1.%2.%3.%4.%5.%6"/>
      <w:numFmt w:val="decimal"/>
      <w:start w:val="1"/>
      <w:suff w:val="tab"/>
      <w:pPr>
        <w:autoSpaceDE w:val="0"/>
        <w:autoSpaceDN w:val="0"/>
        <w:ind w:left="420" w:firstLine="201"/>
      </w:pPr>
    </w:lvl>
    <w:lvl w:ilvl="6">
      <w:lvlJc w:val="left"/>
      <w:lvlText w:val="%1.%2.%3.%4.%5.%6.%7"/>
      <w:numFmt w:val="decimal"/>
      <w:start w:val="1"/>
      <w:suff w:val="tab"/>
      <w:pPr>
        <w:autoSpaceDE w:val="0"/>
        <w:autoSpaceDN w:val="0"/>
        <w:ind w:left="420" w:firstLine="201"/>
      </w:pPr>
    </w:lvl>
    <w:lvl w:ilvl="7">
      <w:lvlJc w:val="left"/>
      <w:lvlText w:val="%1.%2.%3.%4.%5.%6.%7.%8"/>
      <w:numFmt w:val="decimal"/>
      <w:start w:val="1"/>
      <w:suff w:val="tab"/>
      <w:pPr>
        <w:autoSpaceDE w:val="0"/>
        <w:autoSpaceDN w:val="0"/>
        <w:ind w:left="420" w:firstLine="201"/>
      </w:pPr>
    </w:lvl>
    <w:lvl w:ilvl="8">
      <w:lvlJc w:val="left"/>
      <w:lvlText w:val="%1.%2.%3.%4.%5.%6.%7.%8.%9"/>
      <w:numFmt w:val="decimal"/>
      <w:start w:val="1"/>
      <w:suff w:val="tab"/>
      <w:pPr>
        <w:autoSpaceDE w:val="0"/>
        <w:autoSpaceDN w:val="0"/>
        <w:ind w:left="420" w:firstLine="201"/>
      </w:pPr>
    </w:lvl>
  </w:abstractNum>
  <w:abstractNum w:abstractNumId="239">
    <w:nsid w:val="755"/>
    <w:multiLevelType w:val="hybridMultilevel"/>
    <w:tmpl w:val="118d5"/>
    <w:lvl w:ilvl="0" w:tplc="118d6">
      <w:lvlJc w:val="left"/>
      <w:lvlText w:val="%1"/>
      <w:numFmt w:val="decimalZero"/>
      <w:start w:val="29"/>
      <w:suff w:val="tab"/>
      <w:pPr>
        <w:autoSpaceDE w:val="0"/>
        <w:autoSpaceDN w:val="0"/>
        <w:ind w:left="581" w:hanging="188"/>
        <w:tabs>
          <w:tab w:val="left" w:leader="none" w:pos="58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40">
    <w:nsid w:val="760"/>
    <w:multiLevelType w:val="multilevel"/>
    <w:tmpl w:val="118d7"/>
    <w:lvl w:ilvl="0">
      <w:lvlJc w:val="left"/>
      <w:lvlText w:val="%1"/>
      <w:numFmt w:val="decimal"/>
      <w:start w:val="2"/>
      <w:suff w:val="tab"/>
      <w:pPr>
        <w:autoSpaceDE w:val="0"/>
        <w:autoSpaceDN w:val="0"/>
        <w:ind w:left="453" w:hanging="113"/>
        <w:tabs>
          <w:tab w:val="left" w:leader="none" w:pos="453"/>
        </w:tabs>
      </w:pPr>
    </w:lvl>
    <w:lvl w:ilvl="1">
      <w:lvlJc w:val="left"/>
      <w:lvlText w:val="%1.%2"/>
      <w:numFmt w:val="decimal"/>
      <w:start w:val="49"/>
      <w:suff w:val="tab"/>
      <w:pPr>
        <w:autoSpaceDE w:val="0"/>
        <w:autoSpaceDN w:val="0"/>
        <w:ind w:left="420" w:firstLine="201"/>
        <w:tabs>
          <w:tab w:val="left" w:leader="none" w:pos="420"/>
        </w:tabs>
      </w:pPr>
    </w:lvl>
    <w:lvl w:ilvl="2">
      <w:lvlJc w:val="left"/>
      <w:lvlText w:val="%1.%2.%3"/>
      <w:numFmt w:val="decimal"/>
      <w:start w:val="1"/>
      <w:suff w:val="tab"/>
      <w:pPr>
        <w:autoSpaceDE w:val="0"/>
        <w:autoSpaceDN w:val="0"/>
        <w:ind w:left="420" w:firstLine="201"/>
      </w:pPr>
    </w:lvl>
    <w:lvl w:ilvl="3">
      <w:lvlJc w:val="left"/>
      <w:lvlText w:val="%1.%2.%3.%4"/>
      <w:numFmt w:val="decimal"/>
      <w:start w:val="1"/>
      <w:suff w:val="tab"/>
      <w:pPr>
        <w:autoSpaceDE w:val="0"/>
        <w:autoSpaceDN w:val="0"/>
        <w:ind w:left="420" w:firstLine="201"/>
      </w:pPr>
    </w:lvl>
    <w:lvl w:ilvl="4">
      <w:lvlJc w:val="left"/>
      <w:lvlText w:val="%1.%2.%3.%4.%5"/>
      <w:numFmt w:val="decimal"/>
      <w:start w:val="1"/>
      <w:suff w:val="tab"/>
      <w:pPr>
        <w:autoSpaceDE w:val="0"/>
        <w:autoSpaceDN w:val="0"/>
        <w:ind w:left="420" w:firstLine="201"/>
      </w:pPr>
    </w:lvl>
    <w:lvl w:ilvl="5">
      <w:lvlJc w:val="left"/>
      <w:lvlText w:val="%1.%2.%3.%4.%5.%6"/>
      <w:numFmt w:val="decimal"/>
      <w:start w:val="1"/>
      <w:suff w:val="tab"/>
      <w:pPr>
        <w:autoSpaceDE w:val="0"/>
        <w:autoSpaceDN w:val="0"/>
        <w:ind w:left="420" w:firstLine="201"/>
      </w:pPr>
    </w:lvl>
    <w:lvl w:ilvl="6">
      <w:lvlJc w:val="left"/>
      <w:lvlText w:val="%1.%2.%3.%4.%5.%6.%7"/>
      <w:numFmt w:val="decimal"/>
      <w:start w:val="1"/>
      <w:suff w:val="tab"/>
      <w:pPr>
        <w:autoSpaceDE w:val="0"/>
        <w:autoSpaceDN w:val="0"/>
        <w:ind w:left="420" w:firstLine="201"/>
      </w:pPr>
    </w:lvl>
    <w:lvl w:ilvl="7">
      <w:lvlJc w:val="left"/>
      <w:lvlText w:val="%1.%2.%3.%4.%5.%6.%7.%8"/>
      <w:numFmt w:val="decimal"/>
      <w:start w:val="1"/>
      <w:suff w:val="tab"/>
      <w:pPr>
        <w:autoSpaceDE w:val="0"/>
        <w:autoSpaceDN w:val="0"/>
        <w:ind w:left="420" w:firstLine="201"/>
      </w:pPr>
    </w:lvl>
    <w:lvl w:ilvl="8">
      <w:lvlJc w:val="left"/>
      <w:lvlText w:val="%1.%2.%3.%4.%5.%6.%7.%8.%9"/>
      <w:numFmt w:val="decimal"/>
      <w:start w:val="1"/>
      <w:suff w:val="tab"/>
      <w:pPr>
        <w:autoSpaceDE w:val="0"/>
        <w:autoSpaceDN w:val="0"/>
        <w:ind w:left="420" w:firstLine="201"/>
      </w:pPr>
    </w:lvl>
  </w:abstractNum>
  <w:abstractNum w:abstractNumId="241">
    <w:nsid w:val="764"/>
    <w:multiLevelType w:val="hybridMultilevel"/>
    <w:tmpl w:val="118e1"/>
    <w:lvl w:ilvl="0" w:tplc="118e2">
      <w:lvlJc w:val="left"/>
      <w:lvlText w:val="%1"/>
      <w:numFmt w:val="decimalZero"/>
      <w:start w:val="14"/>
      <w:suff w:val="tab"/>
      <w:pPr>
        <w:autoSpaceDE w:val="0"/>
        <w:autoSpaceDN w:val="0"/>
        <w:ind w:left="581" w:hanging="188"/>
        <w:tabs>
          <w:tab w:val="left" w:leader="none" w:pos="58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42">
    <w:nsid w:val="785"/>
    <w:multiLevelType w:val="hybridMultilevel"/>
    <w:tmpl w:val="118e3"/>
    <w:lvl w:ilvl="0" w:tplc="118e4">
      <w:lvlJc w:val="left"/>
      <w:lvlText w:val="%1"/>
      <w:numFmt w:val="decimalZero"/>
      <w:start w:val="2016"/>
      <w:suff w:val="tab"/>
      <w:pPr>
        <w:autoSpaceDE w:val="0"/>
        <w:autoSpaceDN w:val="0"/>
        <w:ind w:left="1248" w:hanging="338"/>
        <w:tabs>
          <w:tab w:val="left" w:leader="none" w:pos="12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43">
    <w:nsid w:val="790"/>
    <w:multiLevelType w:val="hybridMultilevel"/>
    <w:tmpl w:val="118e5"/>
    <w:lvl w:ilvl="0" w:tplc="118e6">
      <w:lvlJc w:val="left"/>
      <w:lvlText w:val="%1"/>
      <w:numFmt w:val="decimal"/>
      <w:start w:val="1"/>
      <w:suff w:val="tab"/>
      <w:pPr>
        <w:autoSpaceDE w:val="0"/>
        <w:autoSpaceDN w:val="0"/>
        <w:ind w:left="368" w:hanging="113"/>
        <w:tabs>
          <w:tab w:val="left" w:leader="none" w:pos="36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44">
    <w:nsid w:val="792"/>
    <w:multiLevelType w:val="multilevel"/>
    <w:tmpl w:val="118e7"/>
    <w:lvl w:ilvl="0">
      <w:lvlJc w:val="left"/>
      <w:lvlText w:val="%1"/>
      <w:numFmt w:val="decimal"/>
      <w:start w:val="35"/>
      <w:suff w:val="tab"/>
      <w:pPr>
        <w:autoSpaceDE w:val="0"/>
        <w:autoSpaceDN w:val="0"/>
        <w:ind w:left="420" w:hanging="41"/>
        <w:tabs>
          <w:tab w:val="left" w:leader="none" w:pos="420"/>
        </w:tabs>
      </w:pPr>
    </w:lvl>
    <w:lvl w:ilvl="1">
      <w:lvlJc w:val="left"/>
      <w:lvlText w:val="%1.%2"/>
      <w:numFmt w:val="decimal"/>
      <w:start w:val="0"/>
      <w:suff w:val="nothing"/>
      <w:pPr>
        <w:autoSpaceDE w:val="0"/>
        <w:autoSpaceDN w:val="0"/>
        <w:ind w:left="420" w:hanging="144"/>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245">
    <w:nsid w:val="794"/>
    <w:multiLevelType w:val="hybridMultilevel"/>
    <w:tmpl w:val="118f1"/>
    <w:lvl w:ilvl="0" w:tplc="118f2">
      <w:lvlJc w:val="left"/>
      <w:lvlText w:val="%1"/>
      <w:numFmt w:val="decimal"/>
      <w:start w:val="1"/>
      <w:suff w:val="tab"/>
      <w:pPr>
        <w:autoSpaceDE w:val="0"/>
        <w:autoSpaceDN w:val="0"/>
        <w:ind w:left="318" w:hanging="113"/>
        <w:tabs>
          <w:tab w:val="left" w:leader="none" w:pos="31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46">
    <w:nsid w:val="7ad"/>
    <w:multiLevelType w:val="hybridMultilevel"/>
    <w:tmpl w:val="118f3"/>
    <w:lvl w:ilvl="0" w:tplc="118f4">
      <w:lvlJc w:val="left"/>
      <w:lvlText w:val="%1"/>
      <w:numFmt w:val="decimal"/>
      <w:start w:val="5"/>
      <w:suff w:val="tab"/>
      <w:pPr>
        <w:autoSpaceDE w:val="0"/>
        <w:autoSpaceDN w:val="0"/>
        <w:ind w:left="326" w:firstLine="128"/>
        <w:tabs>
          <w:tab w:val="left" w:leader="none" w:pos="32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47">
    <w:nsid w:val="7c6"/>
    <w:multiLevelType w:val="multilevel"/>
    <w:tmpl w:val="118f5"/>
    <w:lvl w:ilvl="0">
      <w:lvlJc w:val="left"/>
      <w:lvlText w:val="%1"/>
      <w:numFmt w:val="decimal"/>
      <w:start w:val="0"/>
      <w:suff w:val="tab"/>
      <w:pPr>
        <w:autoSpaceDE w:val="0"/>
        <w:autoSpaceDN w:val="0"/>
        <w:ind w:left="420" w:firstLine="35"/>
        <w:tabs>
          <w:tab w:val="left" w:leader="none" w:pos="420"/>
        </w:tabs>
      </w:pPr>
    </w:lvl>
    <w:lvl w:ilvl="1">
      <w:lvlJc w:val="left"/>
      <w:lvlText w:val="%1.%2"/>
      <w:numFmt w:val="decimal"/>
      <w:start w:val="0"/>
      <w:suff w:val="nothing"/>
      <w:pPr>
        <w:autoSpaceDE w:val="0"/>
        <w:autoSpaceDN w:val="0"/>
        <w:ind w:left="420" w:hanging="81"/>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248">
    <w:nsid w:val="7cd"/>
    <w:multiLevelType w:val="hybridMultilevel"/>
    <w:tmpl w:val="118ff"/>
    <w:lvl w:ilvl="0" w:tplc="11900">
      <w:lvlJc w:val="left"/>
      <w:lvlText w:val="%1"/>
      <w:numFmt w:val="decimal"/>
      <w:start w:val="5"/>
      <w:suff w:val="tab"/>
      <w:pPr>
        <w:autoSpaceDE w:val="0"/>
        <w:autoSpaceDN w:val="0"/>
        <w:ind w:left="368" w:firstLine="86"/>
        <w:tabs>
          <w:tab w:val="left" w:leader="none" w:pos="36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49">
    <w:nsid w:val="807"/>
    <w:multiLevelType w:val="hybridMultilevel"/>
    <w:tmpl w:val="11901"/>
    <w:lvl w:ilvl="0" w:tplc="11902">
      <w:lvlJc w:val="left"/>
      <w:lvlText w:val="%1"/>
      <w:numFmt w:val="decimalZero"/>
      <w:start w:val="2016"/>
      <w:suff w:val="tab"/>
      <w:pPr>
        <w:autoSpaceDE w:val="0"/>
        <w:autoSpaceDN w:val="0"/>
        <w:ind w:left="1517" w:hanging="338"/>
        <w:tabs>
          <w:tab w:val="left" w:leader="none" w:pos="151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0">
    <w:nsid w:val="815"/>
    <w:multiLevelType w:val="hybridMultilevel"/>
    <w:tmpl w:val="11903"/>
    <w:lvl w:ilvl="0" w:tplc="11904">
      <w:lvlJc w:val="left"/>
      <w:lvlText w:val="%1"/>
      <w:numFmt w:val="decimal"/>
      <w:start w:val="1"/>
      <w:suff w:val="tab"/>
      <w:pPr>
        <w:autoSpaceDE w:val="0"/>
        <w:autoSpaceDN w:val="0"/>
        <w:ind w:left="485" w:hanging="113"/>
        <w:tabs>
          <w:tab w:val="left" w:leader="none" w:pos="48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1">
    <w:nsid w:val="804"/>
    <w:multiLevelType w:val="hybridMultilevel"/>
    <w:tmpl w:val="11905"/>
    <w:lvl w:ilvl="0" w:tplc="11906">
      <w:lvlJc w:val="left"/>
      <w:lvlText w:val="%1"/>
      <w:numFmt w:val="decimal"/>
      <w:start w:val="2017"/>
      <w:suff w:val="tab"/>
      <w:pPr>
        <w:autoSpaceDE w:val="0"/>
        <w:autoSpaceDN w:val="0"/>
        <w:ind w:left="966" w:firstLine="420"/>
        <w:tabs>
          <w:tab w:val="left" w:leader="none" w:pos="186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2">
    <w:nsid w:val="849"/>
    <w:multiLevelType w:val="hybridMultilevel"/>
    <w:tmpl w:val="11907"/>
    <w:lvl w:ilvl="0" w:tplc="11908">
      <w:lvlJc w:val="left"/>
      <w:lvlText w:val="%1"/>
      <w:numFmt w:val="decimalZero"/>
      <w:start w:val="2016"/>
      <w:suff w:val="tab"/>
      <w:pPr>
        <w:autoSpaceDE w:val="0"/>
        <w:autoSpaceDN w:val="0"/>
        <w:ind w:left="1248" w:hanging="338"/>
        <w:tabs>
          <w:tab w:val="left" w:leader="none" w:pos="12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3">
    <w:nsid w:val="84c"/>
    <w:multiLevelType w:val="hybridMultilevel"/>
    <w:tmpl w:val="11909"/>
    <w:lvl w:ilvl="0" w:tplc="1190a">
      <w:lvlJc w:val="left"/>
      <w:lvlText w:val="%1"/>
      <w:numFmt w:val="decimal"/>
      <w:start w:val="1"/>
      <w:suff w:val="tab"/>
      <w:pPr>
        <w:autoSpaceDE w:val="0"/>
        <w:autoSpaceDN w:val="0"/>
        <w:ind w:left="368" w:hanging="113"/>
        <w:tabs>
          <w:tab w:val="left" w:leader="none" w:pos="36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4">
    <w:nsid w:val="850"/>
    <w:multiLevelType w:val="hybridMultilevel"/>
    <w:tmpl w:val="1190b"/>
    <w:lvl w:ilvl="0" w:tplc="1190c">
      <w:lvlJc w:val="left"/>
      <w:lvlText w:val="%1"/>
      <w:numFmt w:val="decimal"/>
      <w:start w:val="1"/>
      <w:suff w:val="tab"/>
      <w:pPr>
        <w:autoSpaceDE w:val="0"/>
        <w:autoSpaceDN w:val="0"/>
        <w:ind w:left="368" w:hanging="113"/>
        <w:tabs>
          <w:tab w:val="left" w:leader="none" w:pos="36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5">
    <w:nsid w:val="883"/>
    <w:multiLevelType w:val="hybridMultilevel"/>
    <w:tmpl w:val="1190d"/>
    <w:lvl w:ilvl="0" w:tplc="1190e">
      <w:lvlJc w:val="left"/>
      <w:lvlText w:val="%1"/>
      <w:numFmt w:val="decimalZero"/>
      <w:start w:val="2016"/>
      <w:suff w:val="tab"/>
      <w:pPr>
        <w:autoSpaceDE w:val="0"/>
        <w:autoSpaceDN w:val="0"/>
        <w:ind w:left="1248" w:hanging="338"/>
        <w:tabs>
          <w:tab w:val="left" w:leader="none" w:pos="12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6">
    <w:nsid w:val="899"/>
    <w:multiLevelType w:val="hybridMultilevel"/>
    <w:tmpl w:val="1190f"/>
    <w:lvl w:ilvl="0" w:tplc="11910">
      <w:lvlJc w:val="left"/>
      <w:lvlText w:val="%1"/>
      <w:numFmt w:val="decimalZero"/>
      <w:start w:val="28"/>
      <w:suff w:val="tab"/>
      <w:pPr>
        <w:autoSpaceDE w:val="0"/>
        <w:autoSpaceDN w:val="0"/>
        <w:ind w:left="389" w:hanging="58"/>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7">
    <w:nsid w:val="89a"/>
    <w:multiLevelType w:val="hybridMultilevel"/>
    <w:tmpl w:val="11911"/>
    <w:lvl w:ilvl="0" w:tplc="11912">
      <w:lvlJc w:val="left"/>
      <w:lvlText w:val="%1"/>
      <w:numFmt w:val="decimal"/>
      <w:start w:val="1"/>
      <w:suff w:val="tab"/>
      <w:pPr>
        <w:autoSpaceDE w:val="0"/>
        <w:autoSpaceDN w:val="0"/>
        <w:ind w:left="368" w:hanging="113"/>
        <w:tabs>
          <w:tab w:val="left" w:leader="none" w:pos="36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8">
    <w:nsid w:val="8c4"/>
    <w:multiLevelType w:val="hybridMultilevel"/>
    <w:tmpl w:val="11913"/>
    <w:lvl w:ilvl="0" w:tplc="11914">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59">
    <w:nsid w:val="8c6"/>
    <w:multiLevelType w:val="hybridMultilevel"/>
    <w:tmpl w:val="11915"/>
    <w:lvl w:ilvl="0" w:tplc="11916">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0">
    <w:nsid w:val="8d0"/>
    <w:multiLevelType w:val="hybridMultilevel"/>
    <w:tmpl w:val="11917"/>
    <w:lvl w:ilvl="0" w:tplc="11918">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1">
    <w:nsid w:val="8d4"/>
    <w:multiLevelType w:val="hybridMultilevel"/>
    <w:tmpl w:val="11919"/>
    <w:lvl w:ilvl="0" w:tplc="1191a">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2">
    <w:nsid w:val="8dd"/>
    <w:multiLevelType w:val="multilevel"/>
    <w:tmpl w:val="1191b"/>
    <w:lvl w:ilvl="0">
      <w:lvlJc w:val="left"/>
      <w:lvlText w:val="%1"/>
      <w:numFmt w:val="decimal"/>
      <w:start w:val="39"/>
      <w:suff w:val="tab"/>
      <w:pPr>
        <w:autoSpaceDE w:val="0"/>
        <w:autoSpaceDN w:val="0"/>
        <w:ind w:left="420" w:hanging="52"/>
        <w:tabs>
          <w:tab w:val="left" w:leader="none" w:pos="420"/>
        </w:tabs>
      </w:pPr>
    </w:lvl>
    <w:lvl w:ilvl="1">
      <w:lvlJc w:val="left"/>
      <w:lvlText w:val="%1.%2"/>
      <w:numFmt w:val="decimal"/>
      <w:start w:val="0"/>
      <w:suff w:val="nothing"/>
      <w:pPr>
        <w:autoSpaceDE w:val="0"/>
        <w:autoSpaceDN w:val="0"/>
        <w:ind w:left="420" w:firstLine="639"/>
      </w:pPr>
    </w:lvl>
    <w:lvl w:ilvl="2">
      <w:lvlJc w:val="left"/>
      <w:lvlText w:val="%1.%2.%3"/>
      <w:numFmt w:val="decimal"/>
      <w:start w:val="1"/>
      <w:suff w:val="tab"/>
      <w:pPr>
        <w:autoSpaceDE w:val="0"/>
        <w:autoSpaceDN w:val="0"/>
        <w:ind w:left="420" w:firstLine="639"/>
      </w:pPr>
    </w:lvl>
    <w:lvl w:ilvl="3">
      <w:lvlJc w:val="left"/>
      <w:lvlText w:val="%1.%2.%3.%4"/>
      <w:numFmt w:val="decimal"/>
      <w:start w:val="1"/>
      <w:suff w:val="tab"/>
      <w:pPr>
        <w:autoSpaceDE w:val="0"/>
        <w:autoSpaceDN w:val="0"/>
        <w:ind w:left="420" w:firstLine="639"/>
      </w:pPr>
    </w:lvl>
    <w:lvl w:ilvl="4">
      <w:lvlJc w:val="left"/>
      <w:lvlText w:val="%1.%2.%3.%4.%5"/>
      <w:numFmt w:val="decimal"/>
      <w:start w:val="1"/>
      <w:suff w:val="tab"/>
      <w:pPr>
        <w:autoSpaceDE w:val="0"/>
        <w:autoSpaceDN w:val="0"/>
        <w:ind w:left="420" w:firstLine="639"/>
      </w:pPr>
    </w:lvl>
    <w:lvl w:ilvl="5">
      <w:lvlJc w:val="left"/>
      <w:lvlText w:val="%1.%2.%3.%4.%5.%6"/>
      <w:numFmt w:val="decimal"/>
      <w:start w:val="1"/>
      <w:suff w:val="tab"/>
      <w:pPr>
        <w:autoSpaceDE w:val="0"/>
        <w:autoSpaceDN w:val="0"/>
        <w:ind w:left="420" w:firstLine="639"/>
      </w:pPr>
    </w:lvl>
    <w:lvl w:ilvl="6">
      <w:lvlJc w:val="left"/>
      <w:lvlText w:val="%1.%2.%3.%4.%5.%6.%7"/>
      <w:numFmt w:val="decimal"/>
      <w:start w:val="1"/>
      <w:suff w:val="tab"/>
      <w:pPr>
        <w:autoSpaceDE w:val="0"/>
        <w:autoSpaceDN w:val="0"/>
        <w:ind w:left="420" w:firstLine="639"/>
      </w:pPr>
    </w:lvl>
    <w:lvl w:ilvl="7">
      <w:lvlJc w:val="left"/>
      <w:lvlText w:val="%1.%2.%3.%4.%5.%6.%7.%8"/>
      <w:numFmt w:val="decimal"/>
      <w:start w:val="1"/>
      <w:suff w:val="tab"/>
      <w:pPr>
        <w:autoSpaceDE w:val="0"/>
        <w:autoSpaceDN w:val="0"/>
        <w:ind w:left="420" w:firstLine="639"/>
      </w:pPr>
    </w:lvl>
    <w:lvl w:ilvl="8">
      <w:lvlJc w:val="left"/>
      <w:lvlText w:val="%1.%2.%3.%4.%5.%6.%7.%8.%9"/>
      <w:numFmt w:val="decimal"/>
      <w:start w:val="1"/>
      <w:suff w:val="tab"/>
      <w:pPr>
        <w:autoSpaceDE w:val="0"/>
        <w:autoSpaceDN w:val="0"/>
        <w:ind w:left="420" w:firstLine="639"/>
      </w:pPr>
    </w:lvl>
  </w:abstractNum>
  <w:abstractNum w:abstractNumId="263">
    <w:nsid w:val="881"/>
    <w:multiLevelType w:val="hybridMultilevel"/>
    <w:tmpl w:val="11925"/>
    <w:lvl w:ilvl="0" w:tplc="11926">
      <w:lvlJc w:val="left"/>
      <w:lvlText w:val="%1"/>
      <w:numFmt w:val="decimalZero"/>
      <w:start w:val="2017"/>
      <w:suff w:val="tab"/>
      <w:pPr>
        <w:autoSpaceDE w:val="0"/>
        <w:autoSpaceDN w:val="0"/>
        <w:ind w:left="966" w:firstLine="420"/>
        <w:tabs>
          <w:tab w:val="left" w:leader="none" w:pos="1863"/>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4">
    <w:nsid w:val="8f1"/>
    <w:multiLevelType w:val="hybridMultilevel"/>
    <w:tmpl w:val="11927"/>
    <w:lvl w:ilvl="0" w:tplc="11928">
      <w:lvlJc w:val="left"/>
      <w:lvlText w:val="%1"/>
      <w:numFmt w:val="decimalZero"/>
      <w:start w:val="2016"/>
      <w:suff w:val="tab"/>
      <w:pPr>
        <w:autoSpaceDE w:val="0"/>
        <w:autoSpaceDN w:val="0"/>
        <w:ind w:left="1220" w:hanging="338"/>
        <w:tabs>
          <w:tab w:val="left" w:leader="none" w:pos="122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5">
    <w:nsid w:val="918"/>
    <w:multiLevelType w:val="hybridMultilevel"/>
    <w:tmpl w:val="11929"/>
    <w:lvl w:ilvl="0" w:tplc="1192a">
      <w:lvlJc w:val="left"/>
      <w:lvlText w:val="%1"/>
      <w:numFmt w:val="decimalZero"/>
      <w:start w:val="2016"/>
      <w:suff w:val="tab"/>
      <w:pPr>
        <w:autoSpaceDE w:val="0"/>
        <w:autoSpaceDN w:val="0"/>
        <w:ind w:left="1220" w:hanging="338"/>
        <w:tabs>
          <w:tab w:val="left" w:leader="none" w:pos="122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6">
    <w:nsid w:val="944"/>
    <w:multiLevelType w:val="hybridMultilevel"/>
    <w:tmpl w:val="1192b"/>
    <w:lvl w:ilvl="0" w:tplc="1192c">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7">
    <w:nsid w:val="948"/>
    <w:multiLevelType w:val="hybridMultilevel"/>
    <w:tmpl w:val="1192d"/>
    <w:lvl w:ilvl="0" w:tplc="1192e">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8">
    <w:nsid w:val="94c"/>
    <w:multiLevelType w:val="hybridMultilevel"/>
    <w:tmpl w:val="1192f"/>
    <w:lvl w:ilvl="0" w:tplc="11930">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69">
    <w:nsid w:val="950"/>
    <w:multiLevelType w:val="hybridMultilevel"/>
    <w:tmpl w:val="11931"/>
    <w:lvl w:ilvl="0" w:tplc="11932">
      <w:lvlJc w:val="left"/>
      <w:lvlText w:val="%1"/>
      <w:numFmt w:val="decimal"/>
      <w:start w:val="1"/>
      <w:suff w:val="tab"/>
      <w:pPr>
        <w:autoSpaceDE w:val="0"/>
        <w:autoSpaceDN w:val="0"/>
        <w:ind w:left="389" w:hanging="113"/>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0">
    <w:nsid w:val="979"/>
    <w:multiLevelType w:val="hybridMultilevel"/>
    <w:tmpl w:val="11933"/>
    <w:lvl w:ilvl="0" w:tplc="11934">
      <w:lvlJc w:val="left"/>
      <w:lvlText w:val="%1"/>
      <w:numFmt w:val="decimalZero"/>
      <w:start w:val="13"/>
      <w:suff w:val="tab"/>
      <w:pPr>
        <w:autoSpaceDE w:val="0"/>
        <w:autoSpaceDN w:val="0"/>
        <w:ind w:left="389" w:hanging="188"/>
        <w:tabs>
          <w:tab w:val="left" w:leader="none" w:pos="389"/>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1">
    <w:nsid w:val="915"/>
    <w:multiLevelType w:val="hybridMultilevel"/>
    <w:tmpl w:val="11935"/>
    <w:lvl w:ilvl="0" w:tplc="11936">
      <w:lvlJc w:val="left"/>
      <w:lvlText w:val="%1"/>
      <w:numFmt w:val="decimal"/>
      <w:start w:val="2017"/>
      <w:suff w:val="tab"/>
      <w:pPr>
        <w:autoSpaceDE w:val="0"/>
        <w:autoSpaceDN w:val="0"/>
        <w:ind w:left="1860" w:hanging="474"/>
        <w:tabs>
          <w:tab w:val="left" w:leader="none" w:pos="186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2">
    <w:nsid w:val="984"/>
    <w:multiLevelType w:val="hybridMultilevel"/>
    <w:tmpl w:val="11937"/>
    <w:lvl w:ilvl="0" w:tplc="11938">
      <w:lvlJc w:val="left"/>
      <w:lvlText w:val="%1"/>
      <w:numFmt w:val="decimalZero"/>
      <w:start w:val="2016"/>
      <w:suff w:val="tab"/>
      <w:pPr>
        <w:autoSpaceDE w:val="0"/>
        <w:autoSpaceDN w:val="0"/>
        <w:ind w:left="1248" w:hanging="338"/>
        <w:tabs>
          <w:tab w:val="left" w:leader="none" w:pos="12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3">
    <w:nsid w:val="995"/>
    <w:multiLevelType w:val="multilevel"/>
    <w:tmpl w:val="11939"/>
    <w:lvl w:ilvl="0">
      <w:lvlJc w:val="left"/>
      <w:lvlText w:val="%1"/>
      <w:numFmt w:val="decimal"/>
      <w:start w:val="20"/>
      <w:suff w:val="tab"/>
      <w:pPr>
        <w:autoSpaceDE w:val="0"/>
        <w:autoSpaceDN w:val="0"/>
        <w:ind w:left="420" w:hanging="52"/>
        <w:tabs>
          <w:tab w:val="left" w:leader="none" w:pos="420"/>
        </w:tabs>
      </w:pPr>
    </w:lvl>
    <w:lvl w:ilvl="1">
      <w:lvlJc w:val="left"/>
      <w:lvlText w:val="%1.%2"/>
      <w:numFmt w:val="decimal"/>
      <w:start w:val="0"/>
      <w:suff w:val="nothing"/>
      <w:pPr>
        <w:autoSpaceDE w:val="0"/>
        <w:autoSpaceDN w:val="0"/>
        <w:ind w:left="420" w:hanging="183"/>
      </w:pPr>
    </w:lvl>
    <w:lvl w:ilvl="2">
      <w:lvlJc w:val="left"/>
      <w:lvlText w:val="%1.%2.%3"/>
      <w:numFmt w:val="decimal"/>
      <w:start w:val="1"/>
      <w:suff w:val="tab"/>
      <w:pPr>
        <w:autoSpaceDE w:val="0"/>
        <w:autoSpaceDN w:val="0"/>
        <w:ind w:left="420"/>
      </w:pPr>
    </w:lvl>
    <w:lvl w:ilvl="3">
      <w:lvlJc w:val="left"/>
      <w:lvlText w:val="%1.%2.%3.%4"/>
      <w:numFmt w:val="decimal"/>
      <w:start w:val="1"/>
      <w:suff w:val="tab"/>
      <w:pPr>
        <w:autoSpaceDE w:val="0"/>
        <w:autoSpaceDN w:val="0"/>
        <w:ind w:left="420"/>
      </w:pPr>
    </w:lvl>
    <w:lvl w:ilvl="4">
      <w:lvlJc w:val="left"/>
      <w:lvlText w:val="%1.%2.%3.%4.%5"/>
      <w:numFmt w:val="decimal"/>
      <w:start w:val="1"/>
      <w:suff w:val="tab"/>
      <w:pPr>
        <w:autoSpaceDE w:val="0"/>
        <w:autoSpaceDN w:val="0"/>
        <w:ind w:left="420"/>
      </w:pPr>
    </w:lvl>
    <w:lvl w:ilvl="5">
      <w:lvlJc w:val="left"/>
      <w:lvlText w:val="%1.%2.%3.%4.%5.%6"/>
      <w:numFmt w:val="decimal"/>
      <w:start w:val="1"/>
      <w:suff w:val="tab"/>
      <w:pPr>
        <w:autoSpaceDE w:val="0"/>
        <w:autoSpaceDN w:val="0"/>
        <w:ind w:left="420"/>
      </w:pPr>
    </w:lvl>
    <w:lvl w:ilvl="6">
      <w:lvlJc w:val="left"/>
      <w:lvlText w:val="%1.%2.%3.%4.%5.%6.%7"/>
      <w:numFmt w:val="decimal"/>
      <w:start w:val="1"/>
      <w:suff w:val="tab"/>
      <w:pPr>
        <w:autoSpaceDE w:val="0"/>
        <w:autoSpaceDN w:val="0"/>
        <w:ind w:left="420"/>
      </w:pPr>
    </w:lvl>
    <w:lvl w:ilvl="7">
      <w:lvlJc w:val="left"/>
      <w:lvlText w:val="%1.%2.%3.%4.%5.%6.%7.%8"/>
      <w:numFmt w:val="decimal"/>
      <w:start w:val="1"/>
      <w:suff w:val="tab"/>
      <w:pPr>
        <w:autoSpaceDE w:val="0"/>
        <w:autoSpaceDN w:val="0"/>
        <w:ind w:left="420"/>
      </w:pPr>
    </w:lvl>
    <w:lvl w:ilvl="8">
      <w:lvlJc w:val="left"/>
      <w:lvlText w:val="%1.%2.%3.%4.%5.%6.%7.%8.%9"/>
      <w:numFmt w:val="decimal"/>
      <w:start w:val="1"/>
      <w:suff w:val="tab"/>
      <w:pPr>
        <w:autoSpaceDE w:val="0"/>
        <w:autoSpaceDN w:val="0"/>
        <w:ind w:left="420"/>
      </w:pPr>
    </w:lvl>
  </w:abstractNum>
  <w:abstractNum w:abstractNumId="274">
    <w:nsid w:val="9a6"/>
    <w:multiLevelType w:val="hybridMultilevel"/>
    <w:tmpl w:val="11943"/>
    <w:lvl w:ilvl="0" w:tplc="11944">
      <w:lvlJc w:val="left"/>
      <w:lvlText w:val="%1"/>
      <w:numFmt w:val="decimal"/>
      <w:start w:val="1"/>
      <w:suff w:val="tab"/>
      <w:pPr>
        <w:autoSpaceDE w:val="0"/>
        <w:autoSpaceDN w:val="0"/>
        <w:ind w:left="368" w:hanging="113"/>
        <w:tabs>
          <w:tab w:val="left" w:leader="none" w:pos="36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5">
    <w:nsid w:val="981"/>
    <w:multiLevelType w:val="hybridMultilevel"/>
    <w:tmpl w:val="11945"/>
    <w:lvl w:ilvl="0" w:tplc="11946">
      <w:lvlJc w:val="left"/>
      <w:lvlText w:val="%1"/>
      <w:numFmt w:val="decimal"/>
      <w:start w:val="2017"/>
      <w:suff w:val="tab"/>
      <w:pPr>
        <w:autoSpaceDE w:val="0"/>
        <w:autoSpaceDN w:val="0"/>
        <w:ind w:left="861" w:firstLine="509"/>
        <w:tabs>
          <w:tab w:val="left" w:leader="none" w:pos="183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6">
    <w:nsid w:val="9e5"/>
    <w:multiLevelType w:val="hybridMultilevel"/>
    <w:tmpl w:val="11947"/>
    <w:lvl w:ilvl="0" w:tplc="11948">
      <w:lvlJc w:val="left"/>
      <w:lvlText w:val="%1"/>
      <w:numFmt w:val="decimalZero"/>
      <w:start w:val="2016"/>
      <w:suff w:val="tab"/>
      <w:pPr>
        <w:autoSpaceDE w:val="0"/>
        <w:autoSpaceDN w:val="0"/>
        <w:ind w:left="1305" w:hanging="338"/>
        <w:tabs>
          <w:tab w:val="left" w:leader="none" w:pos="130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7">
    <w:nsid w:val="a02"/>
    <w:multiLevelType w:val="hybridMultilevel"/>
    <w:tmpl w:val="11949"/>
    <w:lvl w:ilvl="0" w:tplc="1194a">
      <w:lvlJc w:val="left"/>
      <w:lvlText w:val="%1"/>
      <w:numFmt w:val="decimalZero"/>
      <w:start w:val="2016"/>
      <w:suff w:val="tab"/>
      <w:pPr>
        <w:autoSpaceDE w:val="0"/>
        <w:autoSpaceDN w:val="0"/>
        <w:ind w:left="1305" w:hanging="338"/>
        <w:tabs>
          <w:tab w:val="left" w:leader="none" w:pos="130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8">
    <w:nsid w:val="9ff"/>
    <w:multiLevelType w:val="hybridMultilevel"/>
    <w:tmpl w:val="1194b"/>
    <w:lvl w:ilvl="0" w:tplc="1194c">
      <w:lvlJc w:val="left"/>
      <w:lvlText w:val="%1"/>
      <w:numFmt w:val="decimal"/>
      <w:start w:val="2017"/>
      <w:suff w:val="tab"/>
      <w:pPr>
        <w:autoSpaceDE w:val="0"/>
        <w:autoSpaceDN w:val="0"/>
        <w:ind w:left="1858" w:hanging="473"/>
        <w:tabs>
          <w:tab w:val="left" w:leader="none" w:pos="185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79">
    <w:nsid w:val="a17"/>
    <w:multiLevelType w:val="hybridMultilevel"/>
    <w:tmpl w:val="1194d"/>
    <w:lvl w:ilvl="0" w:tplc="1194e">
      <w:lvlJc w:val="left"/>
      <w:lvlText w:val="%1"/>
      <w:numFmt w:val="decimalZero"/>
      <w:start w:val="2016"/>
      <w:suff w:val="tab"/>
      <w:pPr>
        <w:autoSpaceDE w:val="0"/>
        <w:autoSpaceDN w:val="0"/>
        <w:ind w:left="1248" w:hanging="338"/>
        <w:tabs>
          <w:tab w:val="left" w:leader="none" w:pos="12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0">
    <w:nsid w:val="a33"/>
    <w:multiLevelType w:val="hybridMultilevel"/>
    <w:tmpl w:val="1194f"/>
    <w:lvl w:ilvl="0" w:tplc="11950">
      <w:lvlJc w:val="left"/>
      <w:lvlText w:val="%1"/>
      <w:numFmt w:val="decimalZero"/>
      <w:start w:val="2016"/>
      <w:suff w:val="tab"/>
      <w:pPr>
        <w:autoSpaceDE w:val="0"/>
        <w:autoSpaceDN w:val="0"/>
        <w:ind w:left="1248" w:hanging="338"/>
        <w:tabs>
          <w:tab w:val="left" w:leader="none" w:pos="12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1">
    <w:nsid w:val="a36"/>
    <w:multiLevelType w:val="hybridMultilevel"/>
    <w:tmpl w:val="11951"/>
    <w:lvl w:ilvl="0" w:tplc="11952">
      <w:lvlJc w:val="left"/>
      <w:lvlText w:val="%1"/>
      <w:numFmt w:val="decimal"/>
      <w:start w:val="1"/>
      <w:suff w:val="tab"/>
      <w:pPr>
        <w:autoSpaceDE w:val="0"/>
        <w:autoSpaceDN w:val="0"/>
        <w:ind w:left="350" w:hanging="113"/>
        <w:tabs>
          <w:tab w:val="left" w:leader="none" w:pos="35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2">
    <w:nsid w:val="a3a"/>
    <w:multiLevelType w:val="hybridMultilevel"/>
    <w:tmpl w:val="11953"/>
    <w:lvl w:ilvl="0" w:tplc="11954">
      <w:lvlJc w:val="left"/>
      <w:lvlText w:val="%1"/>
      <w:numFmt w:val="decimal"/>
      <w:start w:val="1"/>
      <w:suff w:val="tab"/>
      <w:pPr>
        <w:autoSpaceDE w:val="0"/>
        <w:autoSpaceDN w:val="0"/>
        <w:ind w:left="350" w:hanging="113"/>
        <w:tabs>
          <w:tab w:val="left" w:leader="none" w:pos="35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3">
    <w:nsid w:val="a3e"/>
    <w:multiLevelType w:val="hybridMultilevel"/>
    <w:tmpl w:val="11955"/>
    <w:lvl w:ilvl="0" w:tplc="11956">
      <w:lvlJc w:val="left"/>
      <w:lvlText w:val="%1"/>
      <w:numFmt w:val="decimal"/>
      <w:start w:val="1"/>
      <w:suff w:val="tab"/>
      <w:pPr>
        <w:autoSpaceDE w:val="0"/>
        <w:autoSpaceDN w:val="0"/>
        <w:ind w:left="350" w:hanging="113"/>
        <w:tabs>
          <w:tab w:val="left" w:leader="none" w:pos="35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4">
    <w:nsid w:val="a42"/>
    <w:multiLevelType w:val="hybridMultilevel"/>
    <w:tmpl w:val="11957"/>
    <w:lvl w:ilvl="0" w:tplc="11958">
      <w:lvlJc w:val="left"/>
      <w:lvlText w:val="%1"/>
      <w:numFmt w:val="decimal"/>
      <w:start w:val="1"/>
      <w:suff w:val="tab"/>
      <w:pPr>
        <w:autoSpaceDE w:val="0"/>
        <w:autoSpaceDN w:val="0"/>
        <w:ind w:left="350" w:hanging="113"/>
        <w:tabs>
          <w:tab w:val="left" w:leader="none" w:pos="35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5">
    <w:nsid w:val="a74"/>
    <w:multiLevelType w:val="hybridMultilevel"/>
    <w:tmpl w:val="11959"/>
    <w:lvl w:ilvl="0" w:tplc="1195a">
      <w:lvlJc w:val="left"/>
      <w:lvlText w:val="%1"/>
      <w:numFmt w:val="decimalZero"/>
      <w:start w:val="2017"/>
      <w:suff w:val="tab"/>
      <w:pPr>
        <w:autoSpaceDE w:val="0"/>
        <w:autoSpaceDN w:val="0"/>
        <w:ind w:left="120" w:firstLine="480"/>
        <w:tabs>
          <w:tab w:val="left" w:leader="none" w:pos="1142"/>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6">
    <w:nsid w:val="aa1"/>
    <w:multiLevelType w:val="hybridMultilevel"/>
    <w:tmpl w:val="1195b"/>
    <w:lvl w:ilvl="0" w:tplc="1195c">
      <w:lvlJc w:val="left"/>
      <w:lvlText w:val="%1."/>
      <w:numFmt w:val="decimal"/>
      <w:start w:val="1"/>
      <w:suff w:val="tab"/>
      <w:pPr>
        <w:autoSpaceDE w:val="0"/>
        <w:autoSpaceDN w:val="0"/>
        <w:ind w:left="1746" w:hanging="300"/>
        <w:tabs>
          <w:tab w:val="left" w:leader="none" w:pos="174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7">
    <w:nsid w:val="aa3"/>
    <w:multiLevelType w:val="hybridMultilevel"/>
    <w:tmpl w:val="1195d"/>
    <w:lvl w:ilvl="0" w:tplc="1195e">
      <w:lvlJc w:val="left"/>
      <w:lvlText w:val="%1"/>
      <w:numFmt w:val="decimalZero"/>
      <w:start w:val="2017"/>
      <w:suff w:val="tab"/>
      <w:pPr>
        <w:autoSpaceDE w:val="0"/>
        <w:autoSpaceDN w:val="0"/>
        <w:ind w:left="966" w:firstLine="480"/>
        <w:tabs>
          <w:tab w:val="left" w:leader="none" w:pos="198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8">
    <w:nsid w:val="ad0"/>
    <w:multiLevelType w:val="hybridMultilevel"/>
    <w:tmpl w:val="1195f"/>
    <w:lvl w:ilvl="0" w:tplc="11960">
      <w:lvlJc w:val="left"/>
      <w:lvlText w:val="%1"/>
      <w:numFmt w:val="decimalZero"/>
      <w:start w:val="2017"/>
      <w:suff w:val="tab"/>
      <w:pPr>
        <w:autoSpaceDE w:val="0"/>
        <w:autoSpaceDN w:val="0"/>
        <w:ind w:left="966" w:firstLine="480"/>
        <w:tabs>
          <w:tab w:val="left" w:leader="none" w:pos="199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89">
    <w:nsid w:val="ad8"/>
    <w:multiLevelType w:val="hybridMultilevel"/>
    <w:tmpl w:val="11961"/>
    <w:lvl w:ilvl="0" w:tplc="11962">
      <w:lvlJc w:val="left"/>
      <w:lvlText w:val="%1"/>
      <w:numFmt w:val="decimal"/>
      <w:start w:val="4"/>
      <w:suff w:val="tab"/>
      <w:pPr>
        <w:autoSpaceDE w:val="0"/>
        <w:autoSpaceDN w:val="0"/>
        <w:ind w:left="656" w:hanging="113"/>
        <w:tabs>
          <w:tab w:val="left" w:leader="none" w:pos="65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0">
    <w:nsid w:val="ae4"/>
    <w:multiLevelType w:val="hybridMultilevel"/>
    <w:tmpl w:val="11963"/>
    <w:lvl w:ilvl="0" w:tplc="11964">
      <w:lvlJc w:val="left"/>
      <w:lvlText w:val="%1"/>
      <w:numFmt w:val="decimal"/>
      <w:start w:val="5"/>
      <w:suff w:val="tab"/>
      <w:pPr>
        <w:autoSpaceDE w:val="0"/>
        <w:autoSpaceDN w:val="0"/>
        <w:ind w:left="656" w:hanging="113"/>
        <w:tabs>
          <w:tab w:val="left" w:leader="none" w:pos="65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1">
    <w:nsid w:val="b00"/>
    <w:multiLevelType w:val="hybridMultilevel"/>
    <w:tmpl w:val="11965"/>
    <w:lvl w:ilvl="0" w:tplc="11966">
      <w:lvlJc w:val="left"/>
      <w:lvlText w:val="%1"/>
      <w:numFmt w:val="decimalZero"/>
      <w:start w:val="2017"/>
      <w:suff w:val="tab"/>
      <w:pPr>
        <w:autoSpaceDE w:val="0"/>
        <w:autoSpaceDN w:val="0"/>
        <w:ind w:left="966" w:firstLine="480"/>
        <w:tabs>
          <w:tab w:val="left" w:leader="none" w:pos="198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2">
    <w:nsid w:val="b02"/>
    <w:multiLevelType w:val="hybridMultilevel"/>
    <w:tmpl w:val="11967"/>
    <w:lvl w:ilvl="0" w:tplc="11968">
      <w:lvlJc w:val="left"/>
      <w:lvlText w:val="%1"/>
      <w:numFmt w:val="decimalZero"/>
      <w:start w:val="2017"/>
      <w:suff w:val="tab"/>
      <w:pPr>
        <w:autoSpaceDE w:val="0"/>
        <w:autoSpaceDN w:val="0"/>
        <w:ind w:left="966" w:firstLine="480"/>
        <w:tabs>
          <w:tab w:val="left" w:leader="none" w:pos="200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3">
    <w:nsid w:val="b04"/>
    <w:multiLevelType w:val="hybridMultilevel"/>
    <w:tmpl w:val="11969"/>
    <w:lvl w:ilvl="0" w:tplc="1196a">
      <w:lvlJc w:val="left"/>
      <w:lvlText w:val="%1"/>
      <w:numFmt w:val="decimalZero"/>
      <w:start w:val="2017"/>
      <w:suff w:val="tab"/>
      <w:pPr>
        <w:autoSpaceDE w:val="0"/>
        <w:autoSpaceDN w:val="0"/>
        <w:ind w:left="966" w:firstLine="420"/>
        <w:tabs>
          <w:tab w:val="left" w:leader="none" w:pos="186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4">
    <w:nsid w:val="b07"/>
    <w:multiLevelType w:val="hybridMultilevel"/>
    <w:tmpl w:val="1196b"/>
    <w:lvl w:ilvl="0" w:tplc="1196c">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5">
    <w:nsid w:val="b2b"/>
    <w:multiLevelType w:val="hybridMultilevel"/>
    <w:tmpl w:val="1196d"/>
    <w:lvl w:ilvl="0" w:tplc="1196e">
      <w:lvlJc w:val="left"/>
      <w:lvlText w:val="%1"/>
      <w:numFmt w:val="decimal"/>
      <w:start w:val="2016"/>
      <w:suff w:val="tab"/>
      <w:pPr>
        <w:autoSpaceDE w:val="0"/>
        <w:autoSpaceDN w:val="0"/>
        <w:ind w:left="1917" w:hanging="532"/>
        <w:tabs>
          <w:tab w:val="left" w:leader="none" w:pos="1917"/>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6">
    <w:nsid w:val="b2f"/>
    <w:multiLevelType w:val="hybridMultilevel"/>
    <w:tmpl w:val="1196f"/>
    <w:lvl w:ilvl="0" w:tplc="11970">
      <w:lvlJc w:val="left"/>
      <w:lvlText w:val="%1"/>
      <w:numFmt w:val="decimal"/>
      <w:start w:val="2017"/>
      <w:suff w:val="tab"/>
      <w:pPr>
        <w:autoSpaceDE w:val="0"/>
        <w:autoSpaceDN w:val="0"/>
        <w:ind w:left="861" w:firstLine="524"/>
        <w:tabs>
          <w:tab w:val="left" w:leader="none" w:pos="192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7">
    <w:nsid w:val="b35"/>
    <w:multiLevelType w:val="hybridMultilevel"/>
    <w:tmpl w:val="11971"/>
    <w:lvl w:ilvl="0" w:tplc="11972">
      <w:lvlJc w:val="left"/>
      <w:lvlText w:val="%1"/>
      <w:numFmt w:val="decimal"/>
      <w:start w:val="2017"/>
      <w:suff w:val="tab"/>
      <w:pPr>
        <w:autoSpaceDE w:val="0"/>
        <w:autoSpaceDN w:val="0"/>
        <w:ind w:left="966" w:firstLine="420"/>
        <w:tabs>
          <w:tab w:val="left" w:leader="none" w:pos="190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8">
    <w:nsid w:val="b38"/>
    <w:multiLevelType w:val="hybridMultilevel"/>
    <w:tmpl w:val="11973"/>
    <w:lvl w:ilvl="0" w:tplc="11974">
      <w:lvlJc w:val="left"/>
      <w:lvlText w:val="%1"/>
      <w:numFmt w:val="decimalZero"/>
      <w:start w:val="2014"/>
      <w:suff w:val="tab"/>
      <w:pPr>
        <w:autoSpaceDE w:val="0"/>
        <w:autoSpaceDN w:val="0"/>
        <w:ind w:left="966" w:firstLine="420"/>
        <w:tabs>
          <w:tab w:val="left" w:leader="none" w:pos="1880"/>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299">
    <w:nsid w:val="b3a"/>
    <w:multiLevelType w:val="hybridMultilevel"/>
    <w:tmpl w:val="11975"/>
    <w:lvl w:ilvl="0" w:tplc="11976">
      <w:lvlJc w:val="left"/>
      <w:lvlText w:val="%1"/>
      <w:numFmt w:val="decimalZero"/>
      <w:start w:val="2017"/>
      <w:suff w:val="tab"/>
      <w:pPr>
        <w:autoSpaceDE w:val="0"/>
        <w:autoSpaceDN w:val="0"/>
        <w:ind w:left="1914" w:hanging="528"/>
        <w:tabs>
          <w:tab w:val="left" w:leader="none" w:pos="191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0">
    <w:nsid w:val="b3c"/>
    <w:multiLevelType w:val="hybridMultilevel"/>
    <w:tmpl w:val="11977"/>
    <w:lvl w:ilvl="0" w:tplc="11978">
      <w:lvlJc w:val="left"/>
      <w:lvlText w:val="%1"/>
      <w:numFmt w:val="decimalZero"/>
      <w:start w:val="2017"/>
      <w:suff w:val="tab"/>
      <w:pPr>
        <w:autoSpaceDE w:val="0"/>
        <w:autoSpaceDN w:val="0"/>
        <w:ind w:left="1914" w:hanging="528"/>
        <w:tabs>
          <w:tab w:val="left" w:leader="none" w:pos="1914"/>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1">
    <w:nsid w:val="b3f"/>
    <w:multiLevelType w:val="hybridMultilevel"/>
    <w:tmpl w:val="11979"/>
    <w:lvl w:ilvl="0" w:tplc="1197a">
      <w:lvlJc w:val="left"/>
      <w:lvlText w:val="%1"/>
      <w:numFmt w:val="decimal"/>
      <w:start w:val="2017"/>
      <w:suff w:val="tab"/>
      <w:pPr>
        <w:autoSpaceDE w:val="0"/>
        <w:autoSpaceDN w:val="0"/>
        <w:ind w:left="966" w:firstLine="420"/>
        <w:tabs>
          <w:tab w:val="left" w:leader="none" w:pos="1915"/>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2">
    <w:nsid w:val="b4f"/>
    <w:multiLevelType w:val="hybridMultilevel"/>
    <w:tmpl w:val="1197b"/>
    <w:lvl w:ilvl="0" w:tplc="1197c">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3">
    <w:nsid w:val="b64"/>
    <w:multiLevelType w:val="hybridMultilevel"/>
    <w:tmpl w:val="1197d"/>
    <w:lvl w:ilvl="0" w:tplc="1197e">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4">
    <w:nsid w:val="b68"/>
    <w:multiLevelType w:val="hybridMultilevel"/>
    <w:tmpl w:val="1197f"/>
    <w:lvl w:ilvl="0" w:tplc="11980">
      <w:lvlJc w:val="left"/>
      <w:lvlText w:val="%1."/>
      <w:numFmt w:val="decimal"/>
      <w:start w:val="2"/>
      <w:suff w:val="tab"/>
      <w:pPr>
        <w:autoSpaceDE w:val="0"/>
        <w:autoSpaceDN w:val="0"/>
        <w:ind w:left="1648" w:hanging="263"/>
        <w:tabs>
          <w:tab w:val="left" w:leader="none" w:pos="164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5">
    <w:nsid w:val="b73"/>
    <w:multiLevelType w:val="hybridMultilevel"/>
    <w:tmpl w:val="11981"/>
    <w:lvl w:ilvl="0" w:tplc="11982">
      <w:lvlJc w:val="right"/>
      <w:lvlText w:val="%1."/>
      <w:numFmt w:val="decimal"/>
      <w:start w:val="1"/>
      <w:suff w:val="tab"/>
      <w:pPr>
        <w:autoSpaceDE w:val="0"/>
        <w:autoSpaceDN w:val="0"/>
        <w:ind w:left="683" w:hanging="105"/>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6">
    <w:nsid w:val="b76"/>
    <w:multiLevelType w:val="hybridMultilevel"/>
    <w:tmpl w:val="11983"/>
    <w:lvl w:ilvl="0" w:tplc="11984">
      <w:lvlJc w:val="left"/>
      <w:lvlText w:val="%1."/>
      <w:numFmt w:val="decimalZero"/>
      <w:start w:val="12"/>
      <w:suff w:val="tab"/>
      <w:pPr>
        <w:autoSpaceDE w:val="0"/>
        <w:autoSpaceDN w:val="0"/>
        <w:ind w:left="787" w:hanging="367"/>
        <w:tabs>
          <w:tab w:val="left" w:leader="none" w:pos="787"/>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7">
    <w:nsid w:val="b79"/>
    <w:multiLevelType w:val="hybridMultilevel"/>
    <w:tmpl w:val="11985"/>
    <w:lvl w:ilvl="0" w:tplc="11986">
      <w:lvlJc w:val="left"/>
      <w:lvlText w:val="%1."/>
      <w:numFmt w:val="decimal"/>
      <w:start w:val="1"/>
      <w:suff w:val="tab"/>
      <w:pPr>
        <w:autoSpaceDE w:val="0"/>
        <w:autoSpaceDN w:val="0"/>
        <w:ind w:left="683" w:hanging="263"/>
        <w:tabs>
          <w:tab w:val="left" w:leader="none" w:pos="68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8">
    <w:nsid w:val="b7f"/>
    <w:multiLevelType w:val="hybridMultilevel"/>
    <w:tmpl w:val="11987"/>
    <w:lvl w:ilvl="0" w:tplc="11988">
      <w:lvlJc w:val="left"/>
      <w:lvlText w:val="%1."/>
      <w:numFmt w:val="decimalZero"/>
      <w:start w:val="13"/>
      <w:suff w:val="tab"/>
      <w:pPr>
        <w:autoSpaceDE w:val="0"/>
        <w:autoSpaceDN w:val="0"/>
        <w:ind w:left="1386"/>
        <w:tabs>
          <w:tab w:val="left" w:leader="none" w:pos="175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09">
    <w:nsid w:val="b80"/>
    <w:multiLevelType w:val="hybridMultilevel"/>
    <w:tmpl w:val="11989"/>
    <w:lvl w:ilvl="0" w:tplc="1198a">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0">
    <w:nsid w:val="b81"/>
    <w:multiLevelType w:val="hybridMultilevel"/>
    <w:tmpl w:val="1198b"/>
    <w:lvl w:ilvl="0" w:tplc="1198c">
      <w:lvlJc w:val="left"/>
      <w:lvlText w:val="%1."/>
      <w:numFmt w:val="decimal"/>
      <w:start w:val="1"/>
      <w:suff w:val="tab"/>
      <w:pPr>
        <w:autoSpaceDE w:val="0"/>
        <w:autoSpaceDN w:val="0"/>
        <w:ind w:left="966" w:firstLine="420"/>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1">
    <w:nsid w:val="b84"/>
    <w:multiLevelType w:val="hybridMultilevel"/>
    <w:tmpl w:val="1198d"/>
    <w:lvl w:ilvl="0" w:tplc="1198e">
      <w:lvlJc w:val="left"/>
      <w:lvlText w:val="%1."/>
      <w:numFmt w:val="decimal"/>
      <w:start w:val="1"/>
      <w:suff w:val="tab"/>
      <w:pPr>
        <w:autoSpaceDE w:val="0"/>
        <w:autoSpaceDN w:val="0"/>
        <w:ind w:left="966" w:firstLine="420"/>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2">
    <w:nsid w:val="b85"/>
    <w:multiLevelType w:val="hybridMultilevel"/>
    <w:tmpl w:val="1198f"/>
    <w:lvl w:ilvl="0" w:tplc="11990">
      <w:lvlJc w:val="left"/>
      <w:lvlText w:val="%1."/>
      <w:numFmt w:val="decimal"/>
      <w:start w:val="1"/>
      <w:suff w:val="tab"/>
      <w:pPr>
        <w:autoSpaceDE w:val="0"/>
        <w:autoSpaceDN w:val="0"/>
        <w:ind w:left="1386"/>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3">
    <w:nsid w:val="b88"/>
    <w:multiLevelType w:val="hybridMultilevel"/>
    <w:tmpl w:val="11991"/>
    <w:lvl w:ilvl="0" w:tplc="11992">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4">
    <w:nsid w:val="b89"/>
    <w:multiLevelType w:val="hybridMultilevel"/>
    <w:tmpl w:val="11993"/>
    <w:lvl w:ilvl="0" w:tplc="11994">
      <w:lvlJc w:val="left"/>
      <w:lvlText w:val="%1."/>
      <w:numFmt w:val="decimal"/>
      <w:start w:val="1"/>
      <w:suff w:val="tab"/>
      <w:pPr>
        <w:autoSpaceDE w:val="0"/>
        <w:autoSpaceDN w:val="0"/>
        <w:ind w:left="966" w:firstLine="420"/>
        <w:tabs>
          <w:tab w:val="left" w:leader="none" w:pos="1651"/>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5">
    <w:nsid w:val="b8c"/>
    <w:multiLevelType w:val="hybridMultilevel"/>
    <w:tmpl w:val="11995"/>
    <w:lvl w:ilvl="0" w:tplc="11996">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6">
    <w:nsid w:val="b90"/>
    <w:multiLevelType w:val="hybridMultilevel"/>
    <w:tmpl w:val="11997"/>
    <w:lvl w:ilvl="0" w:tplc="11998">
      <w:lvlJc w:val="left"/>
      <w:lvlText w:val="%1."/>
      <w:numFmt w:val="decimal"/>
      <w:start w:val="2"/>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7">
    <w:nsid w:val="b92"/>
    <w:multiLevelType w:val="hybridMultilevel"/>
    <w:tmpl w:val="11999"/>
    <w:lvl w:ilvl="0" w:tplc="1199a">
      <w:lvlJc w:val="left"/>
      <w:lvlText w:val="%1."/>
      <w:numFmt w:val="decimal"/>
      <w:start w:val="2"/>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8">
    <w:nsid w:val="b93"/>
    <w:multiLevelType w:val="hybridMultilevel"/>
    <w:tmpl w:val="1199b"/>
    <w:lvl w:ilvl="0" w:tplc="1199c">
      <w:lvlJc w:val="left"/>
      <w:lvlText w:val="%1."/>
      <w:numFmt w:val="decimal"/>
      <w:start w:val="2"/>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19">
    <w:nsid w:val="b96"/>
    <w:multiLevelType w:val="hybridMultilevel"/>
    <w:tmpl w:val="1199d"/>
    <w:lvl w:ilvl="0" w:tplc="1199e">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0">
    <w:nsid w:val="b99"/>
    <w:multiLevelType w:val="hybridMultilevel"/>
    <w:tmpl w:val="1199f"/>
    <w:lvl w:ilvl="0" w:tplc="119a0">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1">
    <w:nsid w:val="b9a"/>
    <w:multiLevelType w:val="hybridMultilevel"/>
    <w:tmpl w:val="119a1"/>
    <w:lvl w:ilvl="0" w:tplc="119a2">
      <w:lvlJc w:val="left"/>
      <w:lvlText w:val="%1."/>
      <w:numFmt w:val="decimal"/>
      <w:start w:val="1"/>
      <w:suff w:val="tab"/>
      <w:pPr>
        <w:autoSpaceDE w:val="0"/>
        <w:autoSpaceDN w:val="0"/>
        <w:ind w:left="966" w:firstLine="420"/>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2">
    <w:nsid w:val="b9b"/>
    <w:multiLevelType w:val="hybridMultilevel"/>
    <w:tmpl w:val="119a3"/>
    <w:lvl w:ilvl="0" w:tplc="119a4">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3">
    <w:nsid w:val="b9c"/>
    <w:multiLevelType w:val="hybridMultilevel"/>
    <w:tmpl w:val="119a5"/>
    <w:lvl w:ilvl="0" w:tplc="119a6">
      <w:lvlJc w:val="left"/>
      <w:lvlText w:val="%1."/>
      <w:numFmt w:val="decimal"/>
      <w:start w:val="1"/>
      <w:suff w:val="tab"/>
      <w:pPr>
        <w:autoSpaceDE w:val="0"/>
        <w:autoSpaceDN w:val="0"/>
        <w:ind w:left="1386"/>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4">
    <w:nsid w:val="b9f"/>
    <w:multiLevelType w:val="hybridMultilevel"/>
    <w:tmpl w:val="119a7"/>
    <w:lvl w:ilvl="0" w:tplc="119a8">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5">
    <w:nsid w:val="ba4"/>
    <w:multiLevelType w:val="hybridMultilevel"/>
    <w:tmpl w:val="119a9"/>
    <w:lvl w:ilvl="0" w:tplc="119aa">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6">
    <w:nsid w:val="ba5"/>
    <w:multiLevelType w:val="hybridMultilevel"/>
    <w:tmpl w:val="119ab"/>
    <w:lvl w:ilvl="0" w:tplc="119ac">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7">
    <w:nsid w:val="ba9"/>
    <w:multiLevelType w:val="hybridMultilevel"/>
    <w:tmpl w:val="119ad"/>
    <w:lvl w:ilvl="0" w:tplc="119ae">
      <w:lvlJc w:val="left"/>
      <w:lvlText w:val="%1."/>
      <w:numFmt w:val="decimal"/>
      <w:start w:val="2"/>
      <w:suff w:val="tab"/>
      <w:pPr>
        <w:autoSpaceDE w:val="0"/>
        <w:autoSpaceDN w:val="0"/>
        <w:ind w:left="966" w:firstLine="420"/>
        <w:tabs>
          <w:tab w:val="left" w:leader="none" w:pos="1653"/>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8">
    <w:nsid w:val="bac"/>
    <w:multiLevelType w:val="hybridMultilevel"/>
    <w:tmpl w:val="119af"/>
    <w:lvl w:ilvl="0" w:tplc="119b0">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29">
    <w:nsid w:val="bad"/>
    <w:multiLevelType w:val="hybridMultilevel"/>
    <w:tmpl w:val="119b1"/>
    <w:lvl w:ilvl="0" w:tplc="119b2">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0">
    <w:nsid w:val="bb0"/>
    <w:multiLevelType w:val="hybridMultilevel"/>
    <w:tmpl w:val="119b3"/>
    <w:lvl w:ilvl="0" w:tplc="119b4">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1">
    <w:nsid w:val="bb1"/>
    <w:multiLevelType w:val="hybridMultilevel"/>
    <w:tmpl w:val="119b5"/>
    <w:lvl w:ilvl="0" w:tplc="119b6">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2">
    <w:nsid w:val="bb6"/>
    <w:multiLevelType w:val="hybridMultilevel"/>
    <w:tmpl w:val="119b7"/>
    <w:lvl w:ilvl="0" w:tplc="119b8">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3">
    <w:nsid w:val="bbd"/>
    <w:multiLevelType w:val="hybridMultilevel"/>
    <w:tmpl w:val="119b9"/>
    <w:lvl w:ilvl="0" w:tplc="119ba">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4">
    <w:nsid w:val="bbe"/>
    <w:multiLevelType w:val="hybridMultilevel"/>
    <w:tmpl w:val="119bb"/>
    <w:lvl w:ilvl="0" w:tplc="119bc">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5">
    <w:nsid w:val="bc1"/>
    <w:multiLevelType w:val="hybridMultilevel"/>
    <w:tmpl w:val="119bd"/>
    <w:lvl w:ilvl="0" w:tplc="119be">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6">
    <w:nsid w:val="bc8"/>
    <w:multiLevelType w:val="hybridMultilevel"/>
    <w:tmpl w:val="119bf"/>
    <w:lvl w:ilvl="0" w:tplc="119c0">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7">
    <w:nsid w:val="bcb"/>
    <w:multiLevelType w:val="hybridMultilevel"/>
    <w:tmpl w:val="119c1"/>
    <w:lvl w:ilvl="0" w:tplc="119c2">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8">
    <w:nsid w:val="bcc"/>
    <w:multiLevelType w:val="hybridMultilevel"/>
    <w:tmpl w:val="119c3"/>
    <w:lvl w:ilvl="0" w:tplc="119c4">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39">
    <w:nsid w:val="bd3"/>
    <w:multiLevelType w:val="hybridMultilevel"/>
    <w:tmpl w:val="119c5"/>
    <w:lvl w:ilvl="0" w:tplc="119c6">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0">
    <w:nsid w:val="bd6"/>
    <w:multiLevelType w:val="hybridMultilevel"/>
    <w:tmpl w:val="119c7"/>
    <w:lvl w:ilvl="0" w:tplc="119c8">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1">
    <w:nsid w:val="bd7"/>
    <w:multiLevelType w:val="hybridMultilevel"/>
    <w:tmpl w:val="119c9"/>
    <w:lvl w:ilvl="0" w:tplc="119ca">
      <w:lvlJc w:val="left"/>
      <w:lvlText w:val="%1."/>
      <w:numFmt w:val="decimal"/>
      <w:start w:val="1"/>
      <w:suff w:val="tab"/>
      <w:pPr>
        <w:autoSpaceDE w:val="0"/>
        <w:autoSpaceDN w:val="0"/>
        <w:ind w:left="1386"/>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2">
    <w:nsid w:val="bda"/>
    <w:multiLevelType w:val="hybridMultilevel"/>
    <w:tmpl w:val="119cb"/>
    <w:lvl w:ilvl="0" w:tplc="119cc">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3">
    <w:nsid w:val="bdf"/>
    <w:multiLevelType w:val="hybridMultilevel"/>
    <w:tmpl w:val="119cd"/>
    <w:lvl w:ilvl="0" w:tplc="119ce">
      <w:lvlJc w:val="left"/>
      <w:lvlText w:val="%1."/>
      <w:numFmt w:val="decimal"/>
      <w:start w:val="1"/>
      <w:suff w:val="tab"/>
      <w:pPr>
        <w:autoSpaceDE w:val="0"/>
        <w:autoSpaceDN w:val="0"/>
        <w:ind w:left="1648" w:hanging="263"/>
        <w:tabs>
          <w:tab w:val="left" w:leader="none" w:pos="1648"/>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4">
    <w:nsid w:val="be4"/>
    <w:multiLevelType w:val="hybridMultilevel"/>
    <w:tmpl w:val="119cf"/>
    <w:lvl w:ilvl="0" w:tplc="119d0">
      <w:lvlJc w:val="left"/>
      <w:lvlText w:val="%1."/>
      <w:numFmt w:val="decimal"/>
      <w:start w:val="1"/>
      <w:suff w:val="tab"/>
      <w:pPr>
        <w:autoSpaceDE w:val="0"/>
        <w:autoSpaceDN w:val="0"/>
        <w:ind w:left="1746" w:hanging="300"/>
        <w:tabs>
          <w:tab w:val="left" w:leader="none" w:pos="1746"/>
        </w:tabs>
      </w:pPr>
      <w:rPr>
        <w:b w:val="1"/>
        <w:i w:val="0"/>
      </w:r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5">
    <w:nsid w:val="bef"/>
    <w:multiLevelType w:val="hybridMultilevel"/>
    <w:tmpl w:val="119d1"/>
    <w:lvl w:ilvl="0" w:tplc="119d2">
      <w:lvlJc w:val="left"/>
      <w:lvlText w:val="%1"/>
      <w:numFmt w:val="decimal"/>
      <w:start w:val="5"/>
      <w:suff w:val="tab"/>
      <w:pPr>
        <w:autoSpaceDE w:val="0"/>
        <w:autoSpaceDN w:val="0"/>
        <w:ind w:left="978" w:hanging="268"/>
        <w:tabs>
          <w:tab w:val="left" w:leader="none" w:pos="978"/>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6">
    <w:nsid w:val="beb"/>
    <w:multiLevelType w:val="hybridMultilevel"/>
    <w:tmpl w:val="119d3"/>
    <w:lvl w:ilvl="0" w:tplc="119d4">
      <w:lvlJc w:val="left"/>
      <w:lvlText w:val="%1."/>
      <w:numFmt w:val="decimal"/>
      <w:start w:val="1"/>
      <w:suff w:val="tab"/>
      <w:pPr>
        <w:autoSpaceDE w:val="0"/>
        <w:autoSpaceDN w:val="0"/>
        <w:ind w:left="966" w:firstLine="480"/>
        <w:tabs>
          <w:tab w:val="left" w:leader="none" w:pos="174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abstractNum w:abstractNumId="347">
    <w:nsid w:val="bec"/>
    <w:multiLevelType w:val="hybridMultilevel"/>
    <w:tmpl w:val="119d5"/>
    <w:lvl w:ilvl="0" w:tplc="119d6">
      <w:lvlJc w:val="left"/>
      <w:lvlText w:val="%1."/>
      <w:numFmt w:val="decimal"/>
      <w:start w:val="1"/>
      <w:suff w:val="tab"/>
      <w:pPr>
        <w:autoSpaceDE w:val="0"/>
        <w:autoSpaceDN w:val="0"/>
        <w:ind w:left="1746" w:hanging="300"/>
        <w:tabs>
          <w:tab w:val="left" w:leader="none" w:pos="1746"/>
        </w:tabs>
      </w:pPr>
    </w:lvl>
    <w:lvl w:ilvl="1" w:tplc="4e27">
      <w:lvlJc w:val="left"/>
      <w:lvlText w:val="%2)"/>
      <w:numFmt w:val="lowerLetter"/>
      <w:start w:val="1"/>
      <w:suff w:val="tab"/>
      <w:pPr>
        <w:autoSpaceDE w:val="0"/>
        <w:autoSpaceDN w:val="0"/>
        <w:ind w:left="840" w:hanging="420"/>
      </w:pPr>
    </w:lvl>
    <w:lvl w:ilvl="2" w:tplc="4e28">
      <w:lvlJc w:val="right"/>
      <w:lvlText w:val="%3."/>
      <w:numFmt w:val="lowerRoman"/>
      <w:start w:val="1"/>
      <w:suff w:val="tab"/>
      <w:pPr>
        <w:autoSpaceDE w:val="0"/>
        <w:autoSpaceDN w:val="0"/>
        <w:ind w:left="1260" w:hanging="420"/>
      </w:pPr>
    </w:lvl>
    <w:lvl w:ilvl="3" w:tplc="4e26">
      <w:lvlJc w:val="left"/>
      <w:lvlText w:val="%4."/>
      <w:numFmt w:val="decimal"/>
      <w:start w:val="1"/>
      <w:suff w:val="tab"/>
      <w:pPr>
        <w:autoSpaceDE w:val="0"/>
        <w:autoSpaceDN w:val="0"/>
        <w:ind w:left="1680" w:hanging="420"/>
      </w:pPr>
    </w:lvl>
    <w:lvl w:ilvl="4" w:tplc="4e27">
      <w:lvlJc w:val="left"/>
      <w:lvlText w:val="%5)"/>
      <w:numFmt w:val="lowerLetter"/>
      <w:start w:val="1"/>
      <w:suff w:val="tab"/>
      <w:pPr>
        <w:autoSpaceDE w:val="0"/>
        <w:autoSpaceDN w:val="0"/>
        <w:ind w:left="2100" w:hanging="420"/>
      </w:pPr>
    </w:lvl>
    <w:lvl w:ilvl="5" w:tplc="4e28">
      <w:lvlJc w:val="right"/>
      <w:lvlText w:val="%6."/>
      <w:numFmt w:val="lowerRoman"/>
      <w:start w:val="1"/>
      <w:suff w:val="tab"/>
      <w:pPr>
        <w:autoSpaceDE w:val="0"/>
        <w:autoSpaceDN w:val="0"/>
        <w:ind w:left="2520" w:hanging="420"/>
      </w:pPr>
    </w:lvl>
    <w:lvl w:ilvl="6" w:tplc="4e26">
      <w:lvlJc w:val="left"/>
      <w:lvlText w:val="%7."/>
      <w:numFmt w:val="decimal"/>
      <w:start w:val="1"/>
      <w:suff w:val="tab"/>
      <w:pPr>
        <w:autoSpaceDE w:val="0"/>
        <w:autoSpaceDN w:val="0"/>
        <w:ind w:left="2940" w:hanging="420"/>
      </w:pPr>
    </w:lvl>
    <w:lvl w:ilvl="7" w:tplc="4e27">
      <w:lvlJc w:val="left"/>
      <w:lvlText w:val="%8)"/>
      <w:numFmt w:val="lowerLetter"/>
      <w:start w:val="1"/>
      <w:suff w:val="tab"/>
      <w:pPr>
        <w:autoSpaceDE w:val="0"/>
        <w:autoSpaceDN w:val="0"/>
        <w:ind w:left="3360" w:hanging="420"/>
      </w:pPr>
    </w:lvl>
    <w:lvl w:ilvl="8" w:tplc="4e28">
      <w:lvlJc w:val="right"/>
      <w:lvlText w:val="%9."/>
      <w:numFmt w:val="lowerRoman"/>
      <w:start w:val="1"/>
      <w:suff w:val="tab"/>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bering>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49.jpg"/><Relationship Id="rId11" Type="http://schemas.openxmlformats.org/officeDocument/2006/relationships/image" Target="1050.jpg"/><Relationship Id="rId12" Type="http://schemas.openxmlformats.org/officeDocument/2006/relationships/image" Target="1053.jpg"/><Relationship Id="rId13" Type="http://schemas.openxmlformats.org/officeDocument/2006/relationships/image" Target="1071.jpg"/><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image" Target="1028.jpg"/><Relationship Id="rId6" Type="http://schemas.openxmlformats.org/officeDocument/2006/relationships/image" Target="1030.jpg"/><Relationship Id="rId7" Type="http://schemas.openxmlformats.org/officeDocument/2006/relationships/image" Target="1031.jpg"/><Relationship Id="rId8" Type="http://schemas.openxmlformats.org/officeDocument/2006/relationships/image" Target="1033.jpg"/><Relationship Id="rId9" Type="http://schemas.openxmlformats.org/officeDocument/2006/relationships/image" Target="1034.jpg"/></Relationships>
</file>